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charts/chart1.xml" ContentType="application/vnd.openxmlformats-officedocument.drawingml.chart+xml"/>
  <Override PartName="/word/drawings/drawing1.xml" ContentType="application/vnd.openxmlformats-officedocument.drawingml.chartshapes+xml"/>
  <Override PartName="/word/charts/chart2.xml" ContentType="application/vnd.openxmlformats-officedocument.drawingml.chart+xml"/>
  <Override PartName="/word/drawings/drawing2.xml" ContentType="application/vnd.openxmlformats-officedocument.drawingml.chartshapes+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13"/>
        <w:gridCol w:w="4337"/>
        <w:gridCol w:w="506"/>
      </w:tblGrid>
      <w:tr w:rsidR="00271F1E" w:rsidRPr="008B2CC1" w:rsidTr="005F213D">
        <w:tc>
          <w:tcPr>
            <w:tcW w:w="4513" w:type="dxa"/>
            <w:tcBorders>
              <w:bottom w:val="single" w:sz="4" w:space="0" w:color="auto"/>
            </w:tcBorders>
            <w:tcMar>
              <w:bottom w:w="170" w:type="dxa"/>
            </w:tcMar>
          </w:tcPr>
          <w:p w:rsidR="00271F1E" w:rsidRPr="008B2CC1" w:rsidRDefault="00271F1E" w:rsidP="005F213D">
            <w:bookmarkStart w:id="0" w:name="_Toc327875008"/>
          </w:p>
        </w:tc>
        <w:tc>
          <w:tcPr>
            <w:tcW w:w="4337" w:type="dxa"/>
            <w:tcBorders>
              <w:bottom w:val="single" w:sz="4" w:space="0" w:color="auto"/>
            </w:tcBorders>
            <w:tcMar>
              <w:left w:w="0" w:type="dxa"/>
              <w:right w:w="0" w:type="dxa"/>
            </w:tcMar>
          </w:tcPr>
          <w:p w:rsidR="00271F1E" w:rsidRPr="008B2CC1" w:rsidRDefault="00271F1E" w:rsidP="005F213D">
            <w:r>
              <w:rPr>
                <w:noProof/>
              </w:rPr>
              <w:drawing>
                <wp:inline distT="0" distB="0" distL="0" distR="0" wp14:anchorId="7ACA7E63" wp14:editId="455F92E0">
                  <wp:extent cx="1857375" cy="1323975"/>
                  <wp:effectExtent l="0" t="0" r="0" b="0"/>
                  <wp:docPr id="87" name="Picture 87"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E"/>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57375" cy="1323975"/>
                          </a:xfrm>
                          <a:prstGeom prst="rect">
                            <a:avLst/>
                          </a:prstGeom>
                          <a:noFill/>
                          <a:ln>
                            <a:noFill/>
                          </a:ln>
                        </pic:spPr>
                      </pic:pic>
                    </a:graphicData>
                  </a:graphic>
                </wp:inline>
              </w:drawing>
            </w:r>
          </w:p>
        </w:tc>
        <w:tc>
          <w:tcPr>
            <w:tcW w:w="425" w:type="dxa"/>
            <w:tcBorders>
              <w:bottom w:val="single" w:sz="4" w:space="0" w:color="auto"/>
            </w:tcBorders>
            <w:tcMar>
              <w:left w:w="0" w:type="dxa"/>
              <w:right w:w="0" w:type="dxa"/>
            </w:tcMar>
          </w:tcPr>
          <w:p w:rsidR="00271F1E" w:rsidRPr="008B2CC1" w:rsidRDefault="00271F1E" w:rsidP="005F213D">
            <w:pPr>
              <w:jc w:val="right"/>
            </w:pPr>
            <w:r w:rsidRPr="00605827">
              <w:rPr>
                <w:b/>
                <w:sz w:val="40"/>
                <w:szCs w:val="40"/>
              </w:rPr>
              <w:t>E</w:t>
            </w:r>
          </w:p>
        </w:tc>
      </w:tr>
      <w:tr w:rsidR="00271F1E" w:rsidRPr="001832A6" w:rsidTr="005F213D">
        <w:trPr>
          <w:trHeight w:hRule="exact" w:val="340"/>
        </w:trPr>
        <w:tc>
          <w:tcPr>
            <w:tcW w:w="9356" w:type="dxa"/>
            <w:gridSpan w:val="3"/>
            <w:tcBorders>
              <w:top w:val="single" w:sz="4" w:space="0" w:color="auto"/>
            </w:tcBorders>
            <w:tcMar>
              <w:top w:w="170" w:type="dxa"/>
              <w:left w:w="0" w:type="dxa"/>
              <w:right w:w="0" w:type="dxa"/>
            </w:tcMar>
            <w:vAlign w:val="bottom"/>
          </w:tcPr>
          <w:p w:rsidR="00271F1E" w:rsidRPr="0090731E" w:rsidRDefault="00271F1E" w:rsidP="005F213D">
            <w:pPr>
              <w:jc w:val="right"/>
              <w:rPr>
                <w:rFonts w:ascii="Arial Black" w:hAnsi="Arial Black"/>
                <w:caps/>
                <w:sz w:val="15"/>
              </w:rPr>
            </w:pPr>
            <w:r>
              <w:rPr>
                <w:rFonts w:ascii="Arial Black" w:hAnsi="Arial Black"/>
                <w:caps/>
                <w:sz w:val="15"/>
              </w:rPr>
              <w:t>A/56/</w:t>
            </w:r>
            <w:bookmarkStart w:id="1" w:name="Code"/>
            <w:bookmarkEnd w:id="1"/>
            <w:r>
              <w:rPr>
                <w:rFonts w:ascii="Arial Black" w:hAnsi="Arial Black"/>
                <w:caps/>
                <w:sz w:val="15"/>
              </w:rPr>
              <w:t xml:space="preserve">5 </w:t>
            </w:r>
            <w:r w:rsidRPr="0090731E">
              <w:rPr>
                <w:rFonts w:ascii="Arial Black" w:hAnsi="Arial Black"/>
                <w:caps/>
                <w:sz w:val="15"/>
              </w:rPr>
              <w:t xml:space="preserve">   </w:t>
            </w:r>
          </w:p>
        </w:tc>
      </w:tr>
      <w:tr w:rsidR="00271F1E" w:rsidRPr="001832A6" w:rsidTr="005F213D">
        <w:trPr>
          <w:trHeight w:hRule="exact" w:val="170"/>
        </w:trPr>
        <w:tc>
          <w:tcPr>
            <w:tcW w:w="9356" w:type="dxa"/>
            <w:gridSpan w:val="3"/>
            <w:noWrap/>
            <w:tcMar>
              <w:left w:w="0" w:type="dxa"/>
              <w:right w:w="0" w:type="dxa"/>
            </w:tcMar>
            <w:vAlign w:val="bottom"/>
          </w:tcPr>
          <w:p w:rsidR="00271F1E" w:rsidRPr="0090731E" w:rsidRDefault="00271F1E" w:rsidP="005F213D">
            <w:pPr>
              <w:jc w:val="right"/>
              <w:rPr>
                <w:rFonts w:ascii="Arial Black" w:hAnsi="Arial Black"/>
                <w:caps/>
                <w:sz w:val="15"/>
              </w:rPr>
            </w:pPr>
            <w:r w:rsidRPr="0090731E">
              <w:rPr>
                <w:rFonts w:ascii="Arial Black" w:hAnsi="Arial Black"/>
                <w:caps/>
                <w:sz w:val="15"/>
              </w:rPr>
              <w:t xml:space="preserve">ORIGINAL: </w:t>
            </w:r>
            <w:bookmarkStart w:id="2" w:name="Original"/>
            <w:bookmarkEnd w:id="2"/>
            <w:r>
              <w:rPr>
                <w:rFonts w:ascii="Arial Black" w:hAnsi="Arial Black"/>
                <w:caps/>
                <w:sz w:val="15"/>
              </w:rPr>
              <w:t>ENGLISH</w:t>
            </w:r>
          </w:p>
        </w:tc>
      </w:tr>
      <w:tr w:rsidR="00271F1E" w:rsidRPr="001832A6" w:rsidTr="005F213D">
        <w:trPr>
          <w:trHeight w:hRule="exact" w:val="198"/>
        </w:trPr>
        <w:tc>
          <w:tcPr>
            <w:tcW w:w="9356" w:type="dxa"/>
            <w:gridSpan w:val="3"/>
            <w:tcMar>
              <w:left w:w="0" w:type="dxa"/>
              <w:right w:w="0" w:type="dxa"/>
            </w:tcMar>
            <w:vAlign w:val="bottom"/>
          </w:tcPr>
          <w:p w:rsidR="00271F1E" w:rsidRPr="0090731E" w:rsidRDefault="00271F1E" w:rsidP="005F213D">
            <w:pPr>
              <w:jc w:val="right"/>
              <w:rPr>
                <w:rFonts w:ascii="Arial Black" w:hAnsi="Arial Black"/>
                <w:caps/>
                <w:sz w:val="15"/>
              </w:rPr>
            </w:pPr>
            <w:r w:rsidRPr="0090731E">
              <w:rPr>
                <w:rFonts w:ascii="Arial Black" w:hAnsi="Arial Black"/>
                <w:caps/>
                <w:sz w:val="15"/>
              </w:rPr>
              <w:t xml:space="preserve">DATE: </w:t>
            </w:r>
            <w:bookmarkStart w:id="3" w:name="Date"/>
            <w:bookmarkEnd w:id="3"/>
            <w:r>
              <w:rPr>
                <w:rFonts w:ascii="Arial Black" w:hAnsi="Arial Black"/>
                <w:caps/>
                <w:sz w:val="15"/>
              </w:rPr>
              <w:t>AUGUST 2, 2016</w:t>
            </w:r>
          </w:p>
        </w:tc>
      </w:tr>
    </w:tbl>
    <w:p w:rsidR="00271F1E" w:rsidRPr="008B2CC1" w:rsidRDefault="00271F1E" w:rsidP="00271F1E"/>
    <w:p w:rsidR="00271F1E" w:rsidRPr="008B2CC1" w:rsidRDefault="00271F1E" w:rsidP="00271F1E"/>
    <w:p w:rsidR="00271F1E" w:rsidRPr="008B2CC1" w:rsidRDefault="00271F1E" w:rsidP="00271F1E"/>
    <w:p w:rsidR="00271F1E" w:rsidRPr="008B2CC1" w:rsidRDefault="00271F1E" w:rsidP="00271F1E"/>
    <w:p w:rsidR="00271F1E" w:rsidRPr="008B2CC1" w:rsidRDefault="00271F1E" w:rsidP="00271F1E"/>
    <w:p w:rsidR="00271F1E" w:rsidRPr="007C68B6" w:rsidRDefault="00271F1E" w:rsidP="00271F1E">
      <w:pPr>
        <w:rPr>
          <w:b/>
          <w:sz w:val="28"/>
          <w:szCs w:val="28"/>
        </w:rPr>
      </w:pPr>
      <w:bookmarkStart w:id="4" w:name="_GoBack"/>
      <w:bookmarkEnd w:id="4"/>
      <w:r w:rsidRPr="007C68B6">
        <w:rPr>
          <w:rFonts w:eastAsia="Arial"/>
          <w:b/>
          <w:bCs/>
          <w:color w:val="111111"/>
          <w:w w:val="106"/>
          <w:sz w:val="28"/>
          <w:szCs w:val="28"/>
        </w:rPr>
        <w:t xml:space="preserve">Assemblies </w:t>
      </w:r>
      <w:r w:rsidRPr="007C68B6">
        <w:rPr>
          <w:rFonts w:eastAsia="Arial"/>
          <w:b/>
          <w:bCs/>
          <w:color w:val="111111"/>
          <w:sz w:val="28"/>
          <w:szCs w:val="28"/>
        </w:rPr>
        <w:t>of</w:t>
      </w:r>
      <w:r w:rsidRPr="007C68B6">
        <w:rPr>
          <w:rFonts w:eastAsia="Arial"/>
          <w:b/>
          <w:bCs/>
          <w:color w:val="111111"/>
          <w:spacing w:val="17"/>
          <w:sz w:val="28"/>
          <w:szCs w:val="28"/>
        </w:rPr>
        <w:t xml:space="preserve"> </w:t>
      </w:r>
      <w:r w:rsidRPr="007C68B6">
        <w:rPr>
          <w:rFonts w:eastAsia="Arial"/>
          <w:b/>
          <w:bCs/>
          <w:color w:val="111111"/>
          <w:sz w:val="28"/>
          <w:szCs w:val="28"/>
        </w:rPr>
        <w:t>the</w:t>
      </w:r>
      <w:r w:rsidRPr="007C68B6">
        <w:rPr>
          <w:rFonts w:eastAsia="Arial"/>
          <w:b/>
          <w:bCs/>
          <w:color w:val="111111"/>
          <w:spacing w:val="37"/>
          <w:sz w:val="28"/>
          <w:szCs w:val="28"/>
        </w:rPr>
        <w:t xml:space="preserve"> </w:t>
      </w:r>
      <w:r w:rsidRPr="007C68B6">
        <w:rPr>
          <w:rFonts w:eastAsia="Arial"/>
          <w:b/>
          <w:bCs/>
          <w:color w:val="111111"/>
          <w:sz w:val="28"/>
          <w:szCs w:val="28"/>
        </w:rPr>
        <w:t>Member</w:t>
      </w:r>
      <w:r w:rsidRPr="007C68B6">
        <w:rPr>
          <w:rFonts w:eastAsia="Arial"/>
          <w:b/>
          <w:bCs/>
          <w:color w:val="111111"/>
          <w:spacing w:val="68"/>
          <w:sz w:val="28"/>
          <w:szCs w:val="28"/>
        </w:rPr>
        <w:t xml:space="preserve"> </w:t>
      </w:r>
      <w:r w:rsidRPr="007C68B6">
        <w:rPr>
          <w:rFonts w:eastAsia="Arial"/>
          <w:b/>
          <w:bCs/>
          <w:color w:val="111111"/>
          <w:sz w:val="28"/>
          <w:szCs w:val="28"/>
        </w:rPr>
        <w:t>States</w:t>
      </w:r>
      <w:r w:rsidRPr="007C68B6">
        <w:rPr>
          <w:rFonts w:eastAsia="Arial"/>
          <w:b/>
          <w:bCs/>
          <w:color w:val="111111"/>
          <w:spacing w:val="52"/>
          <w:sz w:val="28"/>
          <w:szCs w:val="28"/>
        </w:rPr>
        <w:t xml:space="preserve"> </w:t>
      </w:r>
      <w:r w:rsidRPr="007C68B6">
        <w:rPr>
          <w:rFonts w:eastAsia="Arial"/>
          <w:b/>
          <w:bCs/>
          <w:color w:val="111111"/>
          <w:sz w:val="28"/>
          <w:szCs w:val="28"/>
        </w:rPr>
        <w:t>of</w:t>
      </w:r>
      <w:r w:rsidRPr="007C68B6">
        <w:rPr>
          <w:rFonts w:eastAsia="Arial"/>
          <w:b/>
          <w:bCs/>
          <w:color w:val="111111"/>
          <w:spacing w:val="20"/>
          <w:sz w:val="28"/>
          <w:szCs w:val="28"/>
        </w:rPr>
        <w:t xml:space="preserve"> </w:t>
      </w:r>
      <w:r w:rsidRPr="007C68B6">
        <w:rPr>
          <w:rFonts w:eastAsia="Arial"/>
          <w:b/>
          <w:bCs/>
          <w:color w:val="111111"/>
          <w:w w:val="107"/>
          <w:sz w:val="28"/>
          <w:szCs w:val="28"/>
        </w:rPr>
        <w:t>W</w:t>
      </w:r>
      <w:r w:rsidRPr="007C68B6">
        <w:rPr>
          <w:rFonts w:eastAsia="Arial"/>
          <w:b/>
          <w:bCs/>
          <w:color w:val="111111"/>
          <w:spacing w:val="-11"/>
          <w:w w:val="107"/>
          <w:sz w:val="28"/>
          <w:szCs w:val="28"/>
        </w:rPr>
        <w:t>I</w:t>
      </w:r>
      <w:r w:rsidRPr="007C68B6">
        <w:rPr>
          <w:rFonts w:eastAsia="Arial"/>
          <w:b/>
          <w:bCs/>
          <w:color w:val="111111"/>
          <w:w w:val="107"/>
          <w:sz w:val="28"/>
          <w:szCs w:val="28"/>
        </w:rPr>
        <w:t>PO</w:t>
      </w:r>
    </w:p>
    <w:p w:rsidR="00271F1E" w:rsidRDefault="00271F1E" w:rsidP="00271F1E"/>
    <w:p w:rsidR="00271F1E" w:rsidRDefault="00271F1E" w:rsidP="00271F1E"/>
    <w:p w:rsidR="00271F1E" w:rsidRPr="007C68B6" w:rsidRDefault="00271F1E" w:rsidP="00271F1E">
      <w:pPr>
        <w:rPr>
          <w:b/>
          <w:sz w:val="24"/>
        </w:rPr>
      </w:pPr>
      <w:r w:rsidRPr="007C68B6">
        <w:rPr>
          <w:rFonts w:eastAsia="Arial"/>
          <w:b/>
          <w:bCs/>
          <w:color w:val="111111"/>
          <w:sz w:val="24"/>
        </w:rPr>
        <w:t>Fifty-Sixth</w:t>
      </w:r>
      <w:r w:rsidRPr="007C68B6">
        <w:rPr>
          <w:rFonts w:eastAsia="Arial"/>
          <w:b/>
          <w:bCs/>
          <w:color w:val="111111"/>
          <w:spacing w:val="34"/>
          <w:sz w:val="24"/>
        </w:rPr>
        <w:t xml:space="preserve"> </w:t>
      </w:r>
      <w:r w:rsidRPr="007C68B6">
        <w:rPr>
          <w:rFonts w:eastAsia="Arial"/>
          <w:b/>
          <w:bCs/>
          <w:color w:val="111111"/>
          <w:sz w:val="24"/>
        </w:rPr>
        <w:t>Series</w:t>
      </w:r>
      <w:r w:rsidRPr="007C68B6">
        <w:rPr>
          <w:rFonts w:eastAsia="Arial"/>
          <w:b/>
          <w:bCs/>
          <w:color w:val="111111"/>
          <w:spacing w:val="30"/>
          <w:sz w:val="24"/>
        </w:rPr>
        <w:t xml:space="preserve"> </w:t>
      </w:r>
      <w:r w:rsidRPr="007C68B6">
        <w:rPr>
          <w:rFonts w:eastAsia="Arial"/>
          <w:b/>
          <w:bCs/>
          <w:color w:val="111111"/>
          <w:sz w:val="24"/>
        </w:rPr>
        <w:t>of</w:t>
      </w:r>
      <w:r w:rsidRPr="007C68B6">
        <w:rPr>
          <w:rFonts w:eastAsia="Arial"/>
          <w:b/>
          <w:bCs/>
          <w:color w:val="111111"/>
          <w:spacing w:val="13"/>
          <w:sz w:val="24"/>
        </w:rPr>
        <w:t xml:space="preserve"> </w:t>
      </w:r>
      <w:r w:rsidRPr="007C68B6">
        <w:rPr>
          <w:rFonts w:eastAsia="Arial"/>
          <w:b/>
          <w:bCs/>
          <w:color w:val="111111"/>
          <w:w w:val="103"/>
          <w:sz w:val="24"/>
        </w:rPr>
        <w:t>Meetings</w:t>
      </w:r>
    </w:p>
    <w:p w:rsidR="00271F1E" w:rsidRPr="007C68B6" w:rsidRDefault="00271F1E" w:rsidP="00271F1E">
      <w:pPr>
        <w:rPr>
          <w:b/>
          <w:sz w:val="24"/>
        </w:rPr>
      </w:pPr>
      <w:r w:rsidRPr="007C68B6">
        <w:rPr>
          <w:rFonts w:eastAsia="Arial"/>
          <w:b/>
          <w:bCs/>
          <w:color w:val="111111"/>
          <w:sz w:val="24"/>
        </w:rPr>
        <w:t>Genev</w:t>
      </w:r>
      <w:r w:rsidRPr="007C68B6">
        <w:rPr>
          <w:rFonts w:eastAsia="Arial"/>
          <w:b/>
          <w:bCs/>
          <w:color w:val="111111"/>
          <w:spacing w:val="7"/>
          <w:sz w:val="24"/>
        </w:rPr>
        <w:t>a</w:t>
      </w:r>
      <w:r w:rsidRPr="007C68B6">
        <w:rPr>
          <w:rFonts w:eastAsia="Arial"/>
          <w:b/>
          <w:bCs/>
          <w:color w:val="383838"/>
          <w:sz w:val="24"/>
        </w:rPr>
        <w:t>,</w:t>
      </w:r>
      <w:r w:rsidRPr="007C68B6">
        <w:rPr>
          <w:rFonts w:eastAsia="Arial"/>
          <w:b/>
          <w:bCs/>
          <w:color w:val="383838"/>
          <w:spacing w:val="6"/>
          <w:sz w:val="24"/>
        </w:rPr>
        <w:t xml:space="preserve"> </w:t>
      </w:r>
      <w:r w:rsidRPr="007C68B6">
        <w:rPr>
          <w:rFonts w:eastAsia="Arial"/>
          <w:b/>
          <w:bCs/>
          <w:color w:val="111111"/>
          <w:sz w:val="24"/>
        </w:rPr>
        <w:t>October</w:t>
      </w:r>
      <w:r w:rsidRPr="007C68B6">
        <w:rPr>
          <w:rFonts w:eastAsia="Arial"/>
          <w:b/>
          <w:bCs/>
          <w:color w:val="111111"/>
          <w:spacing w:val="37"/>
          <w:sz w:val="24"/>
        </w:rPr>
        <w:t xml:space="preserve"> </w:t>
      </w:r>
      <w:r w:rsidRPr="007C68B6">
        <w:rPr>
          <w:rFonts w:eastAsia="Arial"/>
          <w:b/>
          <w:bCs/>
          <w:color w:val="111111"/>
          <w:sz w:val="24"/>
        </w:rPr>
        <w:t>3</w:t>
      </w:r>
      <w:r w:rsidRPr="007C68B6">
        <w:rPr>
          <w:rFonts w:eastAsia="Arial"/>
          <w:b/>
          <w:bCs/>
          <w:color w:val="111111"/>
          <w:spacing w:val="14"/>
          <w:sz w:val="24"/>
        </w:rPr>
        <w:t xml:space="preserve"> </w:t>
      </w:r>
      <w:r w:rsidRPr="007C68B6">
        <w:rPr>
          <w:rFonts w:eastAsia="Arial"/>
          <w:b/>
          <w:bCs/>
          <w:color w:val="111111"/>
          <w:sz w:val="24"/>
        </w:rPr>
        <w:t>to</w:t>
      </w:r>
      <w:r w:rsidRPr="007C68B6">
        <w:rPr>
          <w:rFonts w:eastAsia="Arial"/>
          <w:b/>
          <w:bCs/>
          <w:color w:val="111111"/>
          <w:spacing w:val="4"/>
          <w:sz w:val="24"/>
        </w:rPr>
        <w:t xml:space="preserve"> </w:t>
      </w:r>
      <w:r w:rsidRPr="007C68B6">
        <w:rPr>
          <w:rFonts w:eastAsia="Arial"/>
          <w:b/>
          <w:bCs/>
          <w:color w:val="111111"/>
          <w:sz w:val="24"/>
        </w:rPr>
        <w:t>11,</w:t>
      </w:r>
      <w:r w:rsidRPr="007C68B6">
        <w:rPr>
          <w:rFonts w:eastAsia="Arial"/>
          <w:b/>
          <w:bCs/>
          <w:color w:val="111111"/>
          <w:spacing w:val="31"/>
          <w:sz w:val="24"/>
        </w:rPr>
        <w:t xml:space="preserve"> </w:t>
      </w:r>
      <w:r w:rsidRPr="007C68B6">
        <w:rPr>
          <w:rFonts w:eastAsia="Arial"/>
          <w:b/>
          <w:bCs/>
          <w:color w:val="111111"/>
          <w:w w:val="102"/>
          <w:sz w:val="24"/>
        </w:rPr>
        <w:t>2016</w:t>
      </w:r>
    </w:p>
    <w:p w:rsidR="00271F1E" w:rsidRPr="008B2CC1" w:rsidRDefault="00271F1E" w:rsidP="00271F1E"/>
    <w:p w:rsidR="00271F1E" w:rsidRPr="008B2CC1" w:rsidRDefault="00271F1E" w:rsidP="00271F1E"/>
    <w:p w:rsidR="00271F1E" w:rsidRPr="008B2CC1" w:rsidRDefault="00271F1E" w:rsidP="00271F1E"/>
    <w:p w:rsidR="00271F1E" w:rsidRPr="003845C1" w:rsidRDefault="00271F1E" w:rsidP="00271F1E">
      <w:pPr>
        <w:rPr>
          <w:caps/>
          <w:sz w:val="24"/>
        </w:rPr>
      </w:pPr>
      <w:bookmarkStart w:id="5" w:name="TitleOfDoc"/>
      <w:bookmarkEnd w:id="5"/>
      <w:r>
        <w:rPr>
          <w:caps/>
          <w:sz w:val="24"/>
        </w:rPr>
        <w:t>PROGRAM PERFORMANCE REPORT FOR 2014/15</w:t>
      </w:r>
    </w:p>
    <w:p w:rsidR="00271F1E" w:rsidRPr="008B2CC1" w:rsidRDefault="00271F1E" w:rsidP="00271F1E"/>
    <w:p w:rsidR="00271F1E" w:rsidRPr="008B2CC1" w:rsidRDefault="00271F1E" w:rsidP="00271F1E">
      <w:pPr>
        <w:rPr>
          <w:i/>
        </w:rPr>
      </w:pPr>
      <w:proofErr w:type="gramStart"/>
      <w:r>
        <w:rPr>
          <w:i/>
        </w:rPr>
        <w:t>presented</w:t>
      </w:r>
      <w:proofErr w:type="gramEnd"/>
      <w:r>
        <w:rPr>
          <w:i/>
        </w:rPr>
        <w:t xml:space="preserve"> by the Director General</w:t>
      </w:r>
    </w:p>
    <w:p w:rsidR="00271F1E" w:rsidRDefault="00271F1E" w:rsidP="00271F1E"/>
    <w:p w:rsidR="00271F1E" w:rsidRDefault="00271F1E" w:rsidP="00271F1E"/>
    <w:p w:rsidR="00271F1E" w:rsidRDefault="00271F1E" w:rsidP="00271F1E"/>
    <w:p w:rsidR="00271F1E" w:rsidRDefault="00271F1E" w:rsidP="00271F1E"/>
    <w:p w:rsidR="00271F1E" w:rsidRPr="008F7B65" w:rsidRDefault="00271F1E" w:rsidP="00271F1E">
      <w:pPr>
        <w:rPr>
          <w:szCs w:val="22"/>
        </w:rPr>
      </w:pPr>
    </w:p>
    <w:p w:rsidR="00271F1E" w:rsidRPr="008F7B65" w:rsidRDefault="00271F1E" w:rsidP="00271F1E">
      <w:pPr>
        <w:pStyle w:val="ListParagraph"/>
        <w:numPr>
          <w:ilvl w:val="0"/>
          <w:numId w:val="181"/>
        </w:numPr>
        <w:ind w:left="0" w:firstLine="0"/>
        <w:contextualSpacing/>
        <w:rPr>
          <w:rFonts w:cs="Arial"/>
          <w:sz w:val="22"/>
          <w:szCs w:val="22"/>
        </w:rPr>
      </w:pPr>
      <w:r w:rsidRPr="008F7B65">
        <w:rPr>
          <w:rFonts w:cs="Arial"/>
          <w:sz w:val="22"/>
          <w:szCs w:val="22"/>
        </w:rPr>
        <w:t xml:space="preserve">The present document contains </w:t>
      </w:r>
      <w:r>
        <w:rPr>
          <w:rFonts w:cs="Arial"/>
          <w:sz w:val="22"/>
          <w:szCs w:val="22"/>
        </w:rPr>
        <w:t xml:space="preserve">the </w:t>
      </w:r>
      <w:r w:rsidRPr="008F7B65">
        <w:rPr>
          <w:rFonts w:cs="Arial"/>
          <w:sz w:val="22"/>
          <w:szCs w:val="22"/>
        </w:rPr>
        <w:t>Program Performance Report for 2014</w:t>
      </w:r>
      <w:r>
        <w:rPr>
          <w:rFonts w:cs="Arial"/>
          <w:sz w:val="22"/>
          <w:szCs w:val="22"/>
        </w:rPr>
        <w:t>/15</w:t>
      </w:r>
      <w:r w:rsidRPr="008F7B65">
        <w:rPr>
          <w:rFonts w:cs="Arial"/>
          <w:sz w:val="22"/>
          <w:szCs w:val="22"/>
        </w:rPr>
        <w:t xml:space="preserve"> (document WO/PBC/2</w:t>
      </w:r>
      <w:r>
        <w:rPr>
          <w:rFonts w:cs="Arial"/>
          <w:sz w:val="22"/>
          <w:szCs w:val="22"/>
        </w:rPr>
        <w:t>5/7</w:t>
      </w:r>
      <w:r w:rsidRPr="008F7B65">
        <w:rPr>
          <w:rFonts w:cs="Arial"/>
          <w:sz w:val="22"/>
          <w:szCs w:val="22"/>
        </w:rPr>
        <w:t>), which was submitted to the WIPO Program and Budget Committee</w:t>
      </w:r>
      <w:r>
        <w:rPr>
          <w:rFonts w:cs="Arial"/>
          <w:sz w:val="22"/>
          <w:szCs w:val="22"/>
        </w:rPr>
        <w:t> </w:t>
      </w:r>
      <w:r w:rsidRPr="008F7B65">
        <w:rPr>
          <w:rFonts w:cs="Arial"/>
          <w:sz w:val="22"/>
          <w:szCs w:val="22"/>
        </w:rPr>
        <w:t>(PBC) at its twenty-</w:t>
      </w:r>
      <w:r>
        <w:rPr>
          <w:rFonts w:cs="Arial"/>
          <w:sz w:val="22"/>
          <w:szCs w:val="22"/>
        </w:rPr>
        <w:t>fifth</w:t>
      </w:r>
      <w:r w:rsidRPr="008F7B65">
        <w:rPr>
          <w:rFonts w:cs="Arial"/>
          <w:sz w:val="22"/>
          <w:szCs w:val="22"/>
        </w:rPr>
        <w:t xml:space="preserve"> session (</w:t>
      </w:r>
      <w:r>
        <w:rPr>
          <w:rFonts w:cs="Arial"/>
          <w:sz w:val="22"/>
          <w:szCs w:val="22"/>
        </w:rPr>
        <w:t>August 29 to September 2, 2016)</w:t>
      </w:r>
      <w:r w:rsidRPr="008F7B65">
        <w:rPr>
          <w:rFonts w:cs="Arial"/>
          <w:sz w:val="22"/>
          <w:szCs w:val="22"/>
        </w:rPr>
        <w:t>.</w:t>
      </w:r>
    </w:p>
    <w:p w:rsidR="00271F1E" w:rsidRPr="008F7B65" w:rsidRDefault="00271F1E" w:rsidP="00271F1E">
      <w:pPr>
        <w:pStyle w:val="ListParagraph"/>
        <w:ind w:left="0"/>
        <w:rPr>
          <w:rFonts w:cs="Arial"/>
          <w:sz w:val="22"/>
          <w:szCs w:val="22"/>
        </w:rPr>
      </w:pPr>
      <w:r>
        <w:rPr>
          <w:rFonts w:cs="Arial"/>
          <w:sz w:val="22"/>
          <w:szCs w:val="22"/>
        </w:rPr>
        <w:t xml:space="preserve">  </w:t>
      </w:r>
    </w:p>
    <w:p w:rsidR="00271F1E" w:rsidRPr="008F7B65" w:rsidRDefault="00271F1E" w:rsidP="00271F1E">
      <w:pPr>
        <w:pStyle w:val="ListParagraph"/>
        <w:numPr>
          <w:ilvl w:val="0"/>
          <w:numId w:val="181"/>
        </w:numPr>
        <w:ind w:left="0" w:firstLine="0"/>
        <w:contextualSpacing/>
        <w:rPr>
          <w:rFonts w:cs="Arial"/>
          <w:sz w:val="22"/>
          <w:szCs w:val="22"/>
        </w:rPr>
      </w:pPr>
      <w:r w:rsidRPr="008F7B65">
        <w:rPr>
          <w:rFonts w:cs="Arial"/>
          <w:sz w:val="22"/>
          <w:szCs w:val="22"/>
        </w:rPr>
        <w:t>The decisions of the PBC in respect of that document appear in the Decisions Taken by the Program and</w:t>
      </w:r>
      <w:r>
        <w:rPr>
          <w:rFonts w:cs="Arial"/>
          <w:sz w:val="22"/>
          <w:szCs w:val="22"/>
        </w:rPr>
        <w:t xml:space="preserve"> Budget Committee (document A/56</w:t>
      </w:r>
      <w:r w:rsidRPr="008F7B65">
        <w:rPr>
          <w:rFonts w:cs="Arial"/>
          <w:sz w:val="22"/>
          <w:szCs w:val="22"/>
        </w:rPr>
        <w:t>/</w:t>
      </w:r>
      <w:r>
        <w:rPr>
          <w:rFonts w:cs="Arial"/>
          <w:sz w:val="22"/>
          <w:szCs w:val="22"/>
        </w:rPr>
        <w:t>12</w:t>
      </w:r>
      <w:r w:rsidRPr="008F7B65">
        <w:rPr>
          <w:rFonts w:cs="Arial"/>
          <w:sz w:val="22"/>
          <w:szCs w:val="22"/>
        </w:rPr>
        <w:t>).</w:t>
      </w:r>
    </w:p>
    <w:p w:rsidR="00271F1E" w:rsidRPr="008F7B65" w:rsidRDefault="00271F1E" w:rsidP="00271F1E">
      <w:pPr>
        <w:pStyle w:val="ListParagraph"/>
        <w:rPr>
          <w:rFonts w:cs="Arial"/>
          <w:sz w:val="22"/>
          <w:szCs w:val="22"/>
        </w:rPr>
      </w:pPr>
    </w:p>
    <w:p w:rsidR="00271F1E" w:rsidRPr="008F7B65" w:rsidRDefault="00271F1E" w:rsidP="00271F1E">
      <w:pPr>
        <w:pStyle w:val="ListParagraph"/>
        <w:rPr>
          <w:rFonts w:cs="Arial"/>
          <w:sz w:val="22"/>
          <w:szCs w:val="22"/>
        </w:rPr>
      </w:pPr>
    </w:p>
    <w:p w:rsidR="00271F1E" w:rsidRPr="008F7B65" w:rsidRDefault="00271F1E" w:rsidP="00271F1E">
      <w:pPr>
        <w:rPr>
          <w:szCs w:val="22"/>
          <w:lang w:val="en-IN"/>
        </w:rPr>
      </w:pPr>
    </w:p>
    <w:p w:rsidR="00271F1E" w:rsidRPr="008F7B65" w:rsidRDefault="00271F1E" w:rsidP="00271F1E">
      <w:pPr>
        <w:pStyle w:val="Endofdocument-Annex"/>
        <w:rPr>
          <w:szCs w:val="22"/>
          <w:lang w:val="en-IN"/>
        </w:rPr>
      </w:pPr>
      <w:r w:rsidRPr="008F7B65">
        <w:rPr>
          <w:szCs w:val="22"/>
          <w:lang w:val="en-IN"/>
        </w:rPr>
        <w:t>[Document WO/PBC/2</w:t>
      </w:r>
      <w:r>
        <w:rPr>
          <w:szCs w:val="22"/>
          <w:lang w:val="en-IN"/>
        </w:rPr>
        <w:t>5</w:t>
      </w:r>
      <w:r w:rsidRPr="008F7B65">
        <w:rPr>
          <w:szCs w:val="22"/>
          <w:lang w:val="en-IN"/>
        </w:rPr>
        <w:t>/</w:t>
      </w:r>
      <w:r>
        <w:rPr>
          <w:szCs w:val="22"/>
          <w:lang w:val="en-IN"/>
        </w:rPr>
        <w:t>7</w:t>
      </w:r>
      <w:r w:rsidRPr="008F7B65">
        <w:rPr>
          <w:szCs w:val="22"/>
          <w:lang w:val="en-IN"/>
        </w:rPr>
        <w:t xml:space="preserve"> follows]</w:t>
      </w:r>
    </w:p>
    <w:p w:rsidR="00271F1E" w:rsidRDefault="00271F1E" w:rsidP="00271F1E"/>
    <w:p w:rsidR="00271F1E" w:rsidRDefault="00271F1E" w:rsidP="0052593C"/>
    <w:p w:rsidR="00271F1E" w:rsidRDefault="00271F1E" w:rsidP="0052593C">
      <w:pPr>
        <w:sectPr w:rsidR="00271F1E" w:rsidSect="00E31A65">
          <w:headerReference w:type="even" r:id="rId10"/>
          <w:headerReference w:type="default" r:id="rId11"/>
          <w:footerReference w:type="even" r:id="rId12"/>
          <w:footerReference w:type="default" r:id="rId13"/>
          <w:pgSz w:w="11907" w:h="16840" w:code="9"/>
          <w:pgMar w:top="426" w:right="1134" w:bottom="1418" w:left="1418" w:header="567" w:footer="1021" w:gutter="0"/>
          <w:pgNumType w:start="1"/>
          <w:cols w:space="720"/>
          <w:titlePg/>
          <w:docGrid w:linePitch="272"/>
        </w:sectPr>
      </w:pPr>
    </w:p>
    <w:tbl>
      <w:tblPr>
        <w:tblW w:w="9356" w:type="dxa"/>
        <w:tblInd w:w="108" w:type="dxa"/>
        <w:tblLayout w:type="fixed"/>
        <w:tblLook w:val="01E0" w:firstRow="1" w:lastRow="1" w:firstColumn="1" w:lastColumn="1" w:noHBand="0" w:noVBand="0"/>
      </w:tblPr>
      <w:tblGrid>
        <w:gridCol w:w="4513"/>
        <w:gridCol w:w="4337"/>
        <w:gridCol w:w="506"/>
      </w:tblGrid>
      <w:tr w:rsidR="0076666B" w:rsidRPr="008B2CC1" w:rsidTr="0076666B">
        <w:tc>
          <w:tcPr>
            <w:tcW w:w="4513" w:type="dxa"/>
            <w:tcBorders>
              <w:bottom w:val="single" w:sz="4" w:space="0" w:color="auto"/>
            </w:tcBorders>
            <w:tcMar>
              <w:bottom w:w="170" w:type="dxa"/>
            </w:tcMar>
          </w:tcPr>
          <w:p w:rsidR="0076666B" w:rsidRPr="008B2CC1" w:rsidRDefault="00431F4C" w:rsidP="0052593C">
            <w:r>
              <w:lastRenderedPageBreak/>
              <w:t xml:space="preserve"> </w:t>
            </w:r>
          </w:p>
        </w:tc>
        <w:tc>
          <w:tcPr>
            <w:tcW w:w="4337" w:type="dxa"/>
            <w:tcBorders>
              <w:bottom w:val="single" w:sz="4" w:space="0" w:color="auto"/>
            </w:tcBorders>
            <w:tcMar>
              <w:left w:w="0" w:type="dxa"/>
              <w:right w:w="0" w:type="dxa"/>
            </w:tcMar>
          </w:tcPr>
          <w:p w:rsidR="0076666B" w:rsidRPr="008B2CC1" w:rsidRDefault="0076666B" w:rsidP="0052593C">
            <w:r>
              <w:rPr>
                <w:noProof/>
              </w:rPr>
              <w:drawing>
                <wp:inline distT="0" distB="0" distL="0" distR="0" wp14:anchorId="75D361F4" wp14:editId="4961CC7E">
                  <wp:extent cx="1857375" cy="1323975"/>
                  <wp:effectExtent l="0" t="0" r="9525" b="9525"/>
                  <wp:docPr id="1" name="Picture 1"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E"/>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57375" cy="1323975"/>
                          </a:xfrm>
                          <a:prstGeom prst="rect">
                            <a:avLst/>
                          </a:prstGeom>
                          <a:noFill/>
                          <a:ln>
                            <a:noFill/>
                          </a:ln>
                        </pic:spPr>
                      </pic:pic>
                    </a:graphicData>
                  </a:graphic>
                </wp:inline>
              </w:drawing>
            </w:r>
          </w:p>
        </w:tc>
        <w:tc>
          <w:tcPr>
            <w:tcW w:w="506" w:type="dxa"/>
            <w:tcBorders>
              <w:bottom w:val="single" w:sz="4" w:space="0" w:color="auto"/>
            </w:tcBorders>
            <w:tcMar>
              <w:left w:w="0" w:type="dxa"/>
              <w:right w:w="0" w:type="dxa"/>
            </w:tcMar>
          </w:tcPr>
          <w:p w:rsidR="0076666B" w:rsidRPr="008B2CC1" w:rsidRDefault="0076666B" w:rsidP="0052593C">
            <w:pPr>
              <w:jc w:val="right"/>
            </w:pPr>
            <w:r w:rsidRPr="00605827">
              <w:rPr>
                <w:b/>
                <w:sz w:val="40"/>
                <w:szCs w:val="40"/>
              </w:rPr>
              <w:t>E</w:t>
            </w:r>
          </w:p>
        </w:tc>
      </w:tr>
      <w:tr w:rsidR="0076666B" w:rsidRPr="001832A6" w:rsidTr="0052593C">
        <w:trPr>
          <w:trHeight w:hRule="exact" w:val="340"/>
        </w:trPr>
        <w:tc>
          <w:tcPr>
            <w:tcW w:w="9356" w:type="dxa"/>
            <w:gridSpan w:val="3"/>
            <w:tcBorders>
              <w:top w:val="single" w:sz="4" w:space="0" w:color="auto"/>
            </w:tcBorders>
            <w:tcMar>
              <w:top w:w="170" w:type="dxa"/>
              <w:left w:w="0" w:type="dxa"/>
              <w:right w:w="0" w:type="dxa"/>
            </w:tcMar>
            <w:vAlign w:val="bottom"/>
          </w:tcPr>
          <w:p w:rsidR="0076666B" w:rsidRPr="0090731E" w:rsidRDefault="0076666B" w:rsidP="0052593C">
            <w:pPr>
              <w:jc w:val="right"/>
              <w:rPr>
                <w:rFonts w:ascii="Arial Black" w:hAnsi="Arial Black"/>
                <w:caps/>
                <w:sz w:val="15"/>
              </w:rPr>
            </w:pPr>
            <w:r>
              <w:rPr>
                <w:rFonts w:ascii="Arial Black" w:hAnsi="Arial Black"/>
                <w:caps/>
                <w:sz w:val="15"/>
              </w:rPr>
              <w:t>WO/PBC/25/7</w:t>
            </w:r>
            <w:r w:rsidRPr="0090731E">
              <w:rPr>
                <w:rFonts w:ascii="Arial Black" w:hAnsi="Arial Black"/>
                <w:caps/>
                <w:sz w:val="15"/>
              </w:rPr>
              <w:t xml:space="preserve"> </w:t>
            </w:r>
          </w:p>
        </w:tc>
      </w:tr>
      <w:tr w:rsidR="0076666B" w:rsidRPr="001832A6" w:rsidTr="0052593C">
        <w:trPr>
          <w:trHeight w:hRule="exact" w:val="170"/>
        </w:trPr>
        <w:tc>
          <w:tcPr>
            <w:tcW w:w="9356" w:type="dxa"/>
            <w:gridSpan w:val="3"/>
            <w:noWrap/>
            <w:tcMar>
              <w:left w:w="0" w:type="dxa"/>
              <w:right w:w="0" w:type="dxa"/>
            </w:tcMar>
            <w:vAlign w:val="bottom"/>
          </w:tcPr>
          <w:p w:rsidR="0076666B" w:rsidRPr="0090731E" w:rsidRDefault="0076666B" w:rsidP="0052593C">
            <w:pPr>
              <w:jc w:val="right"/>
              <w:rPr>
                <w:rFonts w:ascii="Arial Black" w:hAnsi="Arial Black"/>
                <w:caps/>
                <w:sz w:val="15"/>
              </w:rPr>
            </w:pPr>
            <w:r w:rsidRPr="0090731E">
              <w:rPr>
                <w:rFonts w:ascii="Arial Black" w:hAnsi="Arial Black"/>
                <w:caps/>
                <w:sz w:val="15"/>
              </w:rPr>
              <w:t xml:space="preserve">ORIGINAL: </w:t>
            </w:r>
            <w:r>
              <w:rPr>
                <w:rFonts w:ascii="Arial Black" w:hAnsi="Arial Black"/>
                <w:caps/>
                <w:sz w:val="15"/>
              </w:rPr>
              <w:t>ENGLISH</w:t>
            </w:r>
          </w:p>
        </w:tc>
      </w:tr>
      <w:tr w:rsidR="0076666B" w:rsidRPr="001832A6" w:rsidTr="0052593C">
        <w:trPr>
          <w:trHeight w:hRule="exact" w:val="198"/>
        </w:trPr>
        <w:tc>
          <w:tcPr>
            <w:tcW w:w="9356" w:type="dxa"/>
            <w:gridSpan w:val="3"/>
            <w:tcMar>
              <w:left w:w="0" w:type="dxa"/>
              <w:right w:w="0" w:type="dxa"/>
            </w:tcMar>
            <w:vAlign w:val="bottom"/>
          </w:tcPr>
          <w:p w:rsidR="0076666B" w:rsidRPr="0090731E" w:rsidRDefault="0076666B" w:rsidP="00BD3EFD">
            <w:pPr>
              <w:jc w:val="right"/>
              <w:rPr>
                <w:rFonts w:ascii="Arial Black" w:hAnsi="Arial Black"/>
                <w:caps/>
                <w:sz w:val="15"/>
              </w:rPr>
            </w:pPr>
            <w:r w:rsidRPr="0090731E">
              <w:rPr>
                <w:rFonts w:ascii="Arial Black" w:hAnsi="Arial Black"/>
                <w:caps/>
                <w:sz w:val="15"/>
              </w:rPr>
              <w:t xml:space="preserve">DATE: </w:t>
            </w:r>
            <w:r w:rsidR="00BD3EFD">
              <w:rPr>
                <w:rFonts w:ascii="Arial Black" w:hAnsi="Arial Black"/>
                <w:caps/>
                <w:sz w:val="15"/>
              </w:rPr>
              <w:t>JUNE 27,</w:t>
            </w:r>
            <w:r>
              <w:rPr>
                <w:rFonts w:ascii="Arial Black" w:hAnsi="Arial Black"/>
                <w:caps/>
                <w:sz w:val="15"/>
              </w:rPr>
              <w:t xml:space="preserve"> 2016</w:t>
            </w:r>
          </w:p>
        </w:tc>
      </w:tr>
    </w:tbl>
    <w:p w:rsidR="0076666B" w:rsidRPr="008B2CC1" w:rsidRDefault="0076666B" w:rsidP="0052593C"/>
    <w:p w:rsidR="0076666B" w:rsidRPr="008B2CC1" w:rsidRDefault="0076666B" w:rsidP="0052593C"/>
    <w:p w:rsidR="0076666B" w:rsidRPr="008B2CC1" w:rsidRDefault="0076666B" w:rsidP="0052593C"/>
    <w:p w:rsidR="0076666B" w:rsidRPr="008B2CC1" w:rsidRDefault="0076666B" w:rsidP="0052593C"/>
    <w:p w:rsidR="0076666B" w:rsidRPr="008B2CC1" w:rsidRDefault="0076666B" w:rsidP="0052593C"/>
    <w:p w:rsidR="0076666B" w:rsidRPr="003845C1" w:rsidRDefault="0076666B" w:rsidP="0052593C">
      <w:pPr>
        <w:rPr>
          <w:b/>
          <w:sz w:val="28"/>
          <w:szCs w:val="28"/>
        </w:rPr>
      </w:pPr>
      <w:r>
        <w:rPr>
          <w:b/>
          <w:sz w:val="28"/>
          <w:szCs w:val="28"/>
        </w:rPr>
        <w:t>Program and Budget Committee</w:t>
      </w:r>
    </w:p>
    <w:p w:rsidR="0076666B" w:rsidRDefault="0076666B" w:rsidP="0052593C"/>
    <w:p w:rsidR="0076666B" w:rsidRDefault="0076666B" w:rsidP="0052593C"/>
    <w:p w:rsidR="0076666B" w:rsidRPr="003845C1" w:rsidRDefault="0076666B" w:rsidP="0052593C">
      <w:pPr>
        <w:rPr>
          <w:b/>
          <w:sz w:val="24"/>
        </w:rPr>
      </w:pPr>
      <w:r>
        <w:rPr>
          <w:b/>
          <w:sz w:val="24"/>
        </w:rPr>
        <w:t xml:space="preserve">Twenty-Fifth </w:t>
      </w:r>
      <w:proofErr w:type="gramStart"/>
      <w:r w:rsidRPr="003845C1">
        <w:rPr>
          <w:b/>
          <w:sz w:val="24"/>
        </w:rPr>
        <w:t>Session</w:t>
      </w:r>
      <w:proofErr w:type="gramEnd"/>
    </w:p>
    <w:p w:rsidR="0076666B" w:rsidRPr="003845C1" w:rsidRDefault="0076666B" w:rsidP="0052593C">
      <w:pPr>
        <w:rPr>
          <w:b/>
          <w:sz w:val="24"/>
        </w:rPr>
      </w:pPr>
      <w:r>
        <w:rPr>
          <w:b/>
          <w:sz w:val="24"/>
        </w:rPr>
        <w:t>Geneva, August 29 to September 2, 2016</w:t>
      </w:r>
    </w:p>
    <w:p w:rsidR="0076666B" w:rsidRPr="008B2CC1" w:rsidRDefault="0076666B" w:rsidP="0052593C"/>
    <w:p w:rsidR="0076666B" w:rsidRPr="008B2CC1" w:rsidRDefault="0076666B" w:rsidP="0052593C"/>
    <w:p w:rsidR="0076666B" w:rsidRPr="008B2CC1" w:rsidRDefault="0076666B" w:rsidP="0052593C"/>
    <w:p w:rsidR="0076666B" w:rsidRPr="003845C1" w:rsidRDefault="0076666B" w:rsidP="0052593C">
      <w:pPr>
        <w:rPr>
          <w:caps/>
          <w:sz w:val="24"/>
        </w:rPr>
      </w:pPr>
      <w:r>
        <w:rPr>
          <w:caps/>
          <w:sz w:val="24"/>
        </w:rPr>
        <w:t>Program Performance Report FOR 2014/15</w:t>
      </w:r>
    </w:p>
    <w:p w:rsidR="0076666B" w:rsidRPr="008B2CC1" w:rsidRDefault="0076666B" w:rsidP="0052593C"/>
    <w:p w:rsidR="0076666B" w:rsidRPr="008B2CC1" w:rsidRDefault="0076666B" w:rsidP="0052593C">
      <w:pPr>
        <w:rPr>
          <w:i/>
        </w:rPr>
      </w:pPr>
      <w:bookmarkStart w:id="6" w:name="Prepared"/>
      <w:bookmarkEnd w:id="6"/>
      <w:proofErr w:type="gramStart"/>
      <w:r>
        <w:rPr>
          <w:i/>
        </w:rPr>
        <w:t>presented</w:t>
      </w:r>
      <w:proofErr w:type="gramEnd"/>
      <w:r>
        <w:rPr>
          <w:i/>
        </w:rPr>
        <w:t xml:space="preserve"> by the Director General</w:t>
      </w:r>
    </w:p>
    <w:p w:rsidR="0076666B" w:rsidRDefault="0076666B"/>
    <w:p w:rsidR="0076666B" w:rsidRDefault="0076666B"/>
    <w:p w:rsidR="0076666B" w:rsidRDefault="0076666B"/>
    <w:p w:rsidR="0076666B" w:rsidRDefault="0076666B" w:rsidP="0052593C"/>
    <w:p w:rsidR="0076666B" w:rsidRDefault="0076666B"/>
    <w:p w:rsidR="0076666B" w:rsidRDefault="0076666B" w:rsidP="0076666B">
      <w:pPr>
        <w:rPr>
          <w:sz w:val="22"/>
          <w:szCs w:val="22"/>
        </w:rPr>
      </w:pPr>
      <w:r w:rsidRPr="00FE0B36">
        <w:rPr>
          <w:sz w:val="22"/>
          <w:szCs w:val="22"/>
        </w:rPr>
        <w:t>1.</w:t>
      </w:r>
      <w:r w:rsidRPr="00FE0B36">
        <w:rPr>
          <w:sz w:val="22"/>
          <w:szCs w:val="22"/>
        </w:rPr>
        <w:tab/>
        <w:t>The Program Performance Report (PPR) for 2014</w:t>
      </w:r>
      <w:r>
        <w:rPr>
          <w:sz w:val="22"/>
          <w:szCs w:val="22"/>
        </w:rPr>
        <w:t>/15</w:t>
      </w:r>
      <w:r w:rsidRPr="00FE0B36">
        <w:rPr>
          <w:sz w:val="22"/>
          <w:szCs w:val="22"/>
        </w:rPr>
        <w:t xml:space="preserve"> has been prepared in accordance with WIPO’s results-based </w:t>
      </w:r>
      <w:r>
        <w:rPr>
          <w:sz w:val="22"/>
          <w:szCs w:val="22"/>
        </w:rPr>
        <w:t xml:space="preserve">management </w:t>
      </w:r>
      <w:r w:rsidRPr="00FE0B36">
        <w:rPr>
          <w:sz w:val="22"/>
          <w:szCs w:val="22"/>
        </w:rPr>
        <w:t xml:space="preserve">framework.  The present report is based on the performance criteria established in the 2014/15 Program and Budget, as approved by the Assemblies of the Member States of WIPO in December 2013 (publication No. 360E/PB14/15).  </w:t>
      </w:r>
    </w:p>
    <w:p w:rsidR="001040AD" w:rsidRDefault="001040AD" w:rsidP="0076666B">
      <w:pPr>
        <w:rPr>
          <w:sz w:val="22"/>
          <w:szCs w:val="22"/>
        </w:rPr>
      </w:pPr>
    </w:p>
    <w:p w:rsidR="001040AD" w:rsidRPr="00FE0B36" w:rsidRDefault="001040AD" w:rsidP="0076666B">
      <w:pPr>
        <w:rPr>
          <w:sz w:val="22"/>
          <w:szCs w:val="22"/>
        </w:rPr>
      </w:pPr>
      <w:r>
        <w:rPr>
          <w:sz w:val="22"/>
          <w:szCs w:val="22"/>
        </w:rPr>
        <w:t>2.</w:t>
      </w:r>
      <w:r>
        <w:rPr>
          <w:sz w:val="22"/>
          <w:szCs w:val="22"/>
        </w:rPr>
        <w:tab/>
        <w:t>The following decision paragraph is proposed.</w:t>
      </w:r>
    </w:p>
    <w:p w:rsidR="0076666B" w:rsidRPr="00FE0B36" w:rsidRDefault="0076666B" w:rsidP="0076666B">
      <w:pPr>
        <w:rPr>
          <w:color w:val="000000"/>
          <w:sz w:val="22"/>
          <w:szCs w:val="22"/>
        </w:rPr>
      </w:pPr>
    </w:p>
    <w:p w:rsidR="0076666B" w:rsidRPr="00FE0B36" w:rsidRDefault="001040AD" w:rsidP="0076666B">
      <w:pPr>
        <w:pStyle w:val="ListParagraph"/>
        <w:tabs>
          <w:tab w:val="left" w:pos="1134"/>
          <w:tab w:val="left" w:pos="6660"/>
        </w:tabs>
        <w:ind w:left="6120"/>
        <w:contextualSpacing/>
        <w:rPr>
          <w:rFonts w:cs="Arial"/>
          <w:i/>
          <w:sz w:val="22"/>
          <w:szCs w:val="22"/>
        </w:rPr>
      </w:pPr>
      <w:r>
        <w:rPr>
          <w:i/>
          <w:sz w:val="22"/>
          <w:szCs w:val="22"/>
        </w:rPr>
        <w:t>3</w:t>
      </w:r>
      <w:r w:rsidR="0076666B" w:rsidRPr="009E5BE8">
        <w:rPr>
          <w:i/>
          <w:sz w:val="22"/>
          <w:szCs w:val="22"/>
        </w:rPr>
        <w:t>.</w:t>
      </w:r>
      <w:r w:rsidR="0076666B" w:rsidRPr="00FE0B36">
        <w:rPr>
          <w:sz w:val="22"/>
          <w:szCs w:val="22"/>
        </w:rPr>
        <w:tab/>
      </w:r>
      <w:r w:rsidR="0076666B" w:rsidRPr="00FE0B36">
        <w:rPr>
          <w:i/>
          <w:sz w:val="22"/>
          <w:szCs w:val="22"/>
        </w:rPr>
        <w:t>The Program and Budget Committee (PBC), having reviewed the Program Performance Report (PPR) for</w:t>
      </w:r>
      <w:r w:rsidR="001F78C6">
        <w:rPr>
          <w:i/>
          <w:sz w:val="22"/>
          <w:szCs w:val="22"/>
        </w:rPr>
        <w:t> </w:t>
      </w:r>
      <w:r w:rsidR="0076666B" w:rsidRPr="00FE0B36">
        <w:rPr>
          <w:i/>
          <w:sz w:val="22"/>
          <w:szCs w:val="22"/>
        </w:rPr>
        <w:t>2014</w:t>
      </w:r>
      <w:r w:rsidR="0076666B">
        <w:rPr>
          <w:i/>
          <w:sz w:val="22"/>
          <w:szCs w:val="22"/>
        </w:rPr>
        <w:t>/15 (document</w:t>
      </w:r>
      <w:r w:rsidR="001F78C6">
        <w:rPr>
          <w:i/>
          <w:sz w:val="22"/>
          <w:szCs w:val="22"/>
        </w:rPr>
        <w:t> </w:t>
      </w:r>
      <w:r w:rsidR="0076666B">
        <w:rPr>
          <w:i/>
          <w:sz w:val="22"/>
          <w:szCs w:val="22"/>
        </w:rPr>
        <w:t>WO/PBC/25</w:t>
      </w:r>
      <w:r w:rsidR="0076666B" w:rsidRPr="00FE0B36">
        <w:rPr>
          <w:i/>
          <w:sz w:val="22"/>
          <w:szCs w:val="22"/>
        </w:rPr>
        <w:t>/</w:t>
      </w:r>
      <w:r w:rsidR="0076666B">
        <w:rPr>
          <w:i/>
          <w:sz w:val="22"/>
          <w:szCs w:val="22"/>
        </w:rPr>
        <w:t>7</w:t>
      </w:r>
      <w:r w:rsidR="0076666B" w:rsidRPr="00FE0B36">
        <w:rPr>
          <w:i/>
          <w:sz w:val="22"/>
          <w:szCs w:val="22"/>
        </w:rPr>
        <w:t>), and recognizing its nature as a self</w:t>
      </w:r>
      <w:r w:rsidR="0076666B" w:rsidRPr="00FE0B36">
        <w:rPr>
          <w:i/>
          <w:sz w:val="22"/>
          <w:szCs w:val="22"/>
        </w:rPr>
        <w:noBreakHyphen/>
        <w:t>assessment of the Secretariat, recommended that the Assemblies of the Member States of WIPO</w:t>
      </w:r>
      <w:r w:rsidR="0076666B">
        <w:rPr>
          <w:i/>
          <w:sz w:val="22"/>
          <w:szCs w:val="22"/>
        </w:rPr>
        <w:t xml:space="preserve"> </w:t>
      </w:r>
      <w:r w:rsidR="0076666B" w:rsidRPr="00FE0B36">
        <w:rPr>
          <w:rFonts w:cs="Arial"/>
          <w:i/>
          <w:sz w:val="22"/>
          <w:szCs w:val="22"/>
        </w:rPr>
        <w:t xml:space="preserve">acknowledge Programs’ </w:t>
      </w:r>
      <w:r>
        <w:rPr>
          <w:rFonts w:cs="Arial"/>
          <w:i/>
          <w:sz w:val="22"/>
          <w:szCs w:val="22"/>
        </w:rPr>
        <w:t>contribution made</w:t>
      </w:r>
      <w:r w:rsidR="0076666B">
        <w:rPr>
          <w:rFonts w:cs="Arial"/>
          <w:i/>
          <w:sz w:val="22"/>
          <w:szCs w:val="22"/>
        </w:rPr>
        <w:t xml:space="preserve"> in 2014</w:t>
      </w:r>
      <w:r>
        <w:rPr>
          <w:rFonts w:cs="Arial"/>
          <w:i/>
          <w:sz w:val="22"/>
          <w:szCs w:val="22"/>
        </w:rPr>
        <w:t>/15</w:t>
      </w:r>
      <w:r w:rsidR="0076666B">
        <w:rPr>
          <w:rFonts w:cs="Arial"/>
          <w:i/>
          <w:sz w:val="22"/>
          <w:szCs w:val="22"/>
        </w:rPr>
        <w:t xml:space="preserve"> to</w:t>
      </w:r>
      <w:r>
        <w:rPr>
          <w:rFonts w:cs="Arial"/>
          <w:i/>
          <w:sz w:val="22"/>
          <w:szCs w:val="22"/>
        </w:rPr>
        <w:t xml:space="preserve"> the achievement of</w:t>
      </w:r>
      <w:r w:rsidR="0076666B" w:rsidRPr="00FE0B36">
        <w:rPr>
          <w:rFonts w:cs="Arial"/>
          <w:i/>
          <w:sz w:val="22"/>
          <w:szCs w:val="22"/>
        </w:rPr>
        <w:t xml:space="preserve"> the expected results</w:t>
      </w:r>
      <w:r w:rsidR="0076666B">
        <w:rPr>
          <w:rFonts w:cs="Arial"/>
          <w:i/>
          <w:sz w:val="22"/>
          <w:szCs w:val="22"/>
        </w:rPr>
        <w:t>.</w:t>
      </w:r>
      <w:r w:rsidR="0076666B" w:rsidRPr="00FE0B36">
        <w:rPr>
          <w:rFonts w:cs="Arial"/>
          <w:i/>
          <w:sz w:val="22"/>
          <w:szCs w:val="22"/>
        </w:rPr>
        <w:t xml:space="preserve"> </w:t>
      </w:r>
    </w:p>
    <w:p w:rsidR="0076666B" w:rsidRPr="00FE0B36" w:rsidRDefault="0076666B" w:rsidP="0076666B">
      <w:pPr>
        <w:pStyle w:val="DecisionInvitingPara"/>
        <w:tabs>
          <w:tab w:val="left" w:pos="6096"/>
        </w:tabs>
        <w:ind w:left="5529" w:firstLine="5"/>
        <w:rPr>
          <w:sz w:val="22"/>
          <w:szCs w:val="22"/>
        </w:rPr>
      </w:pPr>
    </w:p>
    <w:p w:rsidR="0076666B" w:rsidRPr="00FE0B36" w:rsidRDefault="0076666B" w:rsidP="0076666B">
      <w:pPr>
        <w:pStyle w:val="DecisionInvitingPara"/>
        <w:ind w:left="6237" w:hanging="703"/>
        <w:rPr>
          <w:sz w:val="22"/>
          <w:szCs w:val="22"/>
        </w:rPr>
      </w:pPr>
    </w:p>
    <w:p w:rsidR="0076666B" w:rsidRDefault="0076666B" w:rsidP="0076666B">
      <w:pPr>
        <w:pStyle w:val="DecisionInvitingPara"/>
        <w:ind w:left="5529"/>
        <w:rPr>
          <w:i w:val="0"/>
          <w:iCs/>
          <w:sz w:val="22"/>
          <w:szCs w:val="22"/>
        </w:rPr>
      </w:pPr>
      <w:r w:rsidRPr="00FE0B36">
        <w:rPr>
          <w:i w:val="0"/>
          <w:iCs/>
          <w:sz w:val="22"/>
          <w:szCs w:val="22"/>
        </w:rPr>
        <w:t>[Program Performance Report for 2014</w:t>
      </w:r>
      <w:r>
        <w:rPr>
          <w:i w:val="0"/>
          <w:iCs/>
          <w:sz w:val="22"/>
          <w:szCs w:val="22"/>
        </w:rPr>
        <w:t>/15</w:t>
      </w:r>
      <w:r w:rsidRPr="00FE0B36">
        <w:rPr>
          <w:i w:val="0"/>
          <w:iCs/>
          <w:sz w:val="22"/>
          <w:szCs w:val="22"/>
        </w:rPr>
        <w:t xml:space="preserve"> follows]</w:t>
      </w:r>
    </w:p>
    <w:p w:rsidR="007F6F24" w:rsidRDefault="007F6F24" w:rsidP="007F6F24">
      <w:pPr>
        <w:pStyle w:val="ONUME"/>
      </w:pPr>
    </w:p>
    <w:p w:rsidR="0076666B" w:rsidRDefault="0076666B" w:rsidP="007F6F24">
      <w:pPr>
        <w:pStyle w:val="ONUME"/>
      </w:pPr>
    </w:p>
    <w:p w:rsidR="0076666B" w:rsidRDefault="0076666B" w:rsidP="007F6F24">
      <w:pPr>
        <w:pStyle w:val="ONUME"/>
      </w:pPr>
    </w:p>
    <w:p w:rsidR="0076666B" w:rsidRDefault="0076666B" w:rsidP="007F6F24">
      <w:pPr>
        <w:pStyle w:val="ONUME"/>
      </w:pPr>
    </w:p>
    <w:p w:rsidR="007F6F24" w:rsidRDefault="007F6F24" w:rsidP="007F6F24">
      <w:pPr>
        <w:pStyle w:val="ONUME"/>
        <w:sectPr w:rsidR="007F6F24" w:rsidSect="00E31A65">
          <w:pgSz w:w="11907" w:h="16840" w:code="9"/>
          <w:pgMar w:top="426" w:right="1134" w:bottom="1418" w:left="1418" w:header="567" w:footer="1021" w:gutter="0"/>
          <w:pgNumType w:start="1"/>
          <w:cols w:space="720"/>
          <w:titlePg/>
          <w:docGrid w:linePitch="272"/>
        </w:sectPr>
      </w:pPr>
    </w:p>
    <w:p w:rsidR="007F6F24" w:rsidRPr="00D339EC" w:rsidRDefault="00D339EC" w:rsidP="00D339EC">
      <w:pPr>
        <w:pStyle w:val="ONUME"/>
        <w:jc w:val="center"/>
        <w:rPr>
          <w:b/>
          <w:sz w:val="22"/>
        </w:rPr>
      </w:pPr>
      <w:r w:rsidRPr="00D339EC">
        <w:rPr>
          <w:b/>
          <w:sz w:val="22"/>
        </w:rPr>
        <w:lastRenderedPageBreak/>
        <w:t>PROGRAM PERFORMANCE REPORT FOR 2014</w:t>
      </w:r>
      <w:r w:rsidR="0076666B">
        <w:rPr>
          <w:b/>
          <w:sz w:val="22"/>
        </w:rPr>
        <w:t>/15</w:t>
      </w:r>
    </w:p>
    <w:p w:rsidR="007F6F24" w:rsidRPr="001E4922" w:rsidRDefault="007F6F24">
      <w:pPr>
        <w:rPr>
          <w:rFonts w:asciiTheme="majorHAnsi" w:eastAsiaTheme="majorEastAsia" w:hAnsiTheme="majorHAnsi" w:cstheme="majorBidi"/>
          <w:b/>
          <w:bCs/>
          <w:sz w:val="22"/>
          <w:szCs w:val="28"/>
          <w:lang w:eastAsia="ja-JP"/>
        </w:rPr>
      </w:pPr>
    </w:p>
    <w:p w:rsidR="007F6F24" w:rsidRPr="00D339EC" w:rsidRDefault="007F6F24" w:rsidP="00D339EC">
      <w:pPr>
        <w:jc w:val="center"/>
        <w:rPr>
          <w:rFonts w:eastAsiaTheme="majorEastAsia" w:cs="Arial"/>
          <w:bCs/>
          <w:sz w:val="22"/>
          <w:szCs w:val="28"/>
          <w:lang w:eastAsia="ja-JP"/>
        </w:rPr>
      </w:pPr>
      <w:r w:rsidRPr="00D339EC">
        <w:rPr>
          <w:rFonts w:eastAsiaTheme="majorEastAsia" w:cs="Arial"/>
          <w:bCs/>
          <w:sz w:val="22"/>
          <w:szCs w:val="28"/>
          <w:lang w:eastAsia="ja-JP"/>
        </w:rPr>
        <w:t>TABLE OF CONTENTS</w:t>
      </w:r>
    </w:p>
    <w:p w:rsidR="007F6F24" w:rsidRPr="00F838C5" w:rsidRDefault="007F6F24">
      <w:pPr>
        <w:rPr>
          <w:rFonts w:eastAsiaTheme="majorEastAsia" w:cs="Arial"/>
          <w:b/>
          <w:bCs/>
          <w:sz w:val="16"/>
          <w:szCs w:val="28"/>
          <w:lang w:eastAsia="ja-JP"/>
        </w:rPr>
      </w:pPr>
    </w:p>
    <w:p w:rsidR="006325E6" w:rsidRDefault="007F6F24">
      <w:pPr>
        <w:pStyle w:val="TOC1"/>
        <w:rPr>
          <w:rFonts w:asciiTheme="minorHAnsi" w:eastAsiaTheme="minorEastAsia" w:hAnsiTheme="minorHAnsi" w:cstheme="minorBidi"/>
          <w:b w:val="0"/>
          <w:bCs w:val="0"/>
          <w:caps w:val="0"/>
          <w:sz w:val="22"/>
          <w:szCs w:val="22"/>
        </w:rPr>
      </w:pPr>
      <w:r w:rsidRPr="00F838C5">
        <w:fldChar w:fldCharType="begin"/>
      </w:r>
      <w:r w:rsidRPr="00F838C5">
        <w:instrText xml:space="preserve"> TOC \o "1-3" \h \z \u </w:instrText>
      </w:r>
      <w:r w:rsidRPr="00F838C5">
        <w:fldChar w:fldCharType="separate"/>
      </w:r>
      <w:hyperlink w:anchor="_Toc454544455" w:history="1">
        <w:r w:rsidR="006325E6" w:rsidRPr="00CE61AB">
          <w:rPr>
            <w:rStyle w:val="Hyperlink"/>
          </w:rPr>
          <w:t>I.</w:t>
        </w:r>
        <w:r w:rsidR="006325E6">
          <w:rPr>
            <w:rFonts w:asciiTheme="minorHAnsi" w:eastAsiaTheme="minorEastAsia" w:hAnsiTheme="minorHAnsi" w:cstheme="minorBidi"/>
            <w:b w:val="0"/>
            <w:bCs w:val="0"/>
            <w:caps w:val="0"/>
            <w:sz w:val="22"/>
            <w:szCs w:val="22"/>
          </w:rPr>
          <w:tab/>
        </w:r>
        <w:r w:rsidR="006325E6" w:rsidRPr="00CE61AB">
          <w:rPr>
            <w:rStyle w:val="Hyperlink"/>
          </w:rPr>
          <w:t>INTRODUCTION</w:t>
        </w:r>
        <w:r w:rsidR="006325E6">
          <w:rPr>
            <w:webHidden/>
          </w:rPr>
          <w:tab/>
        </w:r>
        <w:r w:rsidR="006325E6">
          <w:rPr>
            <w:webHidden/>
          </w:rPr>
          <w:fldChar w:fldCharType="begin"/>
        </w:r>
        <w:r w:rsidR="006325E6">
          <w:rPr>
            <w:webHidden/>
          </w:rPr>
          <w:instrText xml:space="preserve"> PAGEREF _Toc454544455 \h </w:instrText>
        </w:r>
        <w:r w:rsidR="006325E6">
          <w:rPr>
            <w:webHidden/>
          </w:rPr>
        </w:r>
        <w:r w:rsidR="006325E6">
          <w:rPr>
            <w:webHidden/>
          </w:rPr>
          <w:fldChar w:fldCharType="separate"/>
        </w:r>
        <w:r w:rsidR="004E4E0A">
          <w:rPr>
            <w:webHidden/>
          </w:rPr>
          <w:t>3</w:t>
        </w:r>
        <w:r w:rsidR="006325E6">
          <w:rPr>
            <w:webHidden/>
          </w:rPr>
          <w:fldChar w:fldCharType="end"/>
        </w:r>
      </w:hyperlink>
    </w:p>
    <w:p w:rsidR="006325E6" w:rsidRDefault="00271F1E">
      <w:pPr>
        <w:pStyle w:val="TOC1"/>
        <w:rPr>
          <w:rFonts w:asciiTheme="minorHAnsi" w:eastAsiaTheme="minorEastAsia" w:hAnsiTheme="minorHAnsi" w:cstheme="minorBidi"/>
          <w:b w:val="0"/>
          <w:bCs w:val="0"/>
          <w:caps w:val="0"/>
          <w:sz w:val="22"/>
          <w:szCs w:val="22"/>
        </w:rPr>
      </w:pPr>
      <w:hyperlink w:anchor="_Toc454544456" w:history="1">
        <w:r w:rsidR="006325E6" w:rsidRPr="00CE61AB">
          <w:rPr>
            <w:rStyle w:val="Hyperlink"/>
          </w:rPr>
          <w:t>II.</w:t>
        </w:r>
        <w:r w:rsidR="006325E6">
          <w:rPr>
            <w:rFonts w:asciiTheme="minorHAnsi" w:eastAsiaTheme="minorEastAsia" w:hAnsiTheme="minorHAnsi" w:cstheme="minorBidi"/>
            <w:b w:val="0"/>
            <w:bCs w:val="0"/>
            <w:caps w:val="0"/>
            <w:sz w:val="22"/>
            <w:szCs w:val="22"/>
          </w:rPr>
          <w:tab/>
        </w:r>
        <w:r w:rsidR="006325E6" w:rsidRPr="00CE61AB">
          <w:rPr>
            <w:rStyle w:val="Hyperlink"/>
          </w:rPr>
          <w:t>SUMMARY OF ACHIEVEMENTS IN 2014/15</w:t>
        </w:r>
        <w:r w:rsidR="006325E6">
          <w:rPr>
            <w:webHidden/>
          </w:rPr>
          <w:tab/>
        </w:r>
        <w:r w:rsidR="006325E6">
          <w:rPr>
            <w:webHidden/>
          </w:rPr>
          <w:fldChar w:fldCharType="begin"/>
        </w:r>
        <w:r w:rsidR="006325E6">
          <w:rPr>
            <w:webHidden/>
          </w:rPr>
          <w:instrText xml:space="preserve"> PAGEREF _Toc454544456 \h </w:instrText>
        </w:r>
        <w:r w:rsidR="006325E6">
          <w:rPr>
            <w:webHidden/>
          </w:rPr>
        </w:r>
        <w:r w:rsidR="006325E6">
          <w:rPr>
            <w:webHidden/>
          </w:rPr>
          <w:fldChar w:fldCharType="separate"/>
        </w:r>
        <w:r w:rsidR="004E4E0A">
          <w:rPr>
            <w:webHidden/>
          </w:rPr>
          <w:t>4</w:t>
        </w:r>
        <w:r w:rsidR="006325E6">
          <w:rPr>
            <w:webHidden/>
          </w:rPr>
          <w:fldChar w:fldCharType="end"/>
        </w:r>
      </w:hyperlink>
    </w:p>
    <w:p w:rsidR="006325E6" w:rsidRDefault="00271F1E">
      <w:pPr>
        <w:pStyle w:val="TOC1"/>
        <w:rPr>
          <w:rFonts w:asciiTheme="minorHAnsi" w:eastAsiaTheme="minorEastAsia" w:hAnsiTheme="minorHAnsi" w:cstheme="minorBidi"/>
          <w:b w:val="0"/>
          <w:bCs w:val="0"/>
          <w:caps w:val="0"/>
          <w:sz w:val="22"/>
          <w:szCs w:val="22"/>
        </w:rPr>
      </w:pPr>
      <w:hyperlink w:anchor="_Toc454544457" w:history="1">
        <w:r w:rsidR="006325E6" w:rsidRPr="00CE61AB">
          <w:rPr>
            <w:rStyle w:val="Hyperlink"/>
          </w:rPr>
          <w:t>III.</w:t>
        </w:r>
        <w:r w:rsidR="006325E6">
          <w:rPr>
            <w:rFonts w:asciiTheme="minorHAnsi" w:eastAsiaTheme="minorEastAsia" w:hAnsiTheme="minorHAnsi" w:cstheme="minorBidi"/>
            <w:b w:val="0"/>
            <w:bCs w:val="0"/>
            <w:caps w:val="0"/>
            <w:sz w:val="22"/>
            <w:szCs w:val="22"/>
          </w:rPr>
          <w:tab/>
        </w:r>
        <w:r w:rsidR="006325E6" w:rsidRPr="00CE61AB">
          <w:rPr>
            <w:rStyle w:val="Hyperlink"/>
          </w:rPr>
          <w:t>CONSOLIDATED BUDGET AND ACTUAL EXPENDITURE 2014/15</w:t>
        </w:r>
        <w:r w:rsidR="006325E6">
          <w:rPr>
            <w:webHidden/>
          </w:rPr>
          <w:tab/>
        </w:r>
        <w:r w:rsidR="006325E6">
          <w:rPr>
            <w:webHidden/>
          </w:rPr>
          <w:fldChar w:fldCharType="begin"/>
        </w:r>
        <w:r w:rsidR="006325E6">
          <w:rPr>
            <w:webHidden/>
          </w:rPr>
          <w:instrText xml:space="preserve"> PAGEREF _Toc454544457 \h </w:instrText>
        </w:r>
        <w:r w:rsidR="006325E6">
          <w:rPr>
            <w:webHidden/>
          </w:rPr>
        </w:r>
        <w:r w:rsidR="006325E6">
          <w:rPr>
            <w:webHidden/>
          </w:rPr>
          <w:fldChar w:fldCharType="separate"/>
        </w:r>
        <w:r w:rsidR="004E4E0A">
          <w:rPr>
            <w:webHidden/>
          </w:rPr>
          <w:t>21</w:t>
        </w:r>
        <w:r w:rsidR="006325E6">
          <w:rPr>
            <w:webHidden/>
          </w:rPr>
          <w:fldChar w:fldCharType="end"/>
        </w:r>
      </w:hyperlink>
    </w:p>
    <w:p w:rsidR="006325E6" w:rsidRDefault="00271F1E">
      <w:pPr>
        <w:pStyle w:val="TOC1"/>
        <w:rPr>
          <w:rFonts w:asciiTheme="minorHAnsi" w:eastAsiaTheme="minorEastAsia" w:hAnsiTheme="minorHAnsi" w:cstheme="minorBidi"/>
          <w:b w:val="0"/>
          <w:bCs w:val="0"/>
          <w:caps w:val="0"/>
          <w:sz w:val="22"/>
          <w:szCs w:val="22"/>
        </w:rPr>
      </w:pPr>
      <w:hyperlink w:anchor="_Toc454544458" w:history="1">
        <w:r w:rsidR="006325E6" w:rsidRPr="00CE61AB">
          <w:rPr>
            <w:rStyle w:val="Hyperlink"/>
          </w:rPr>
          <w:t>IV.</w:t>
        </w:r>
        <w:r w:rsidR="006325E6">
          <w:rPr>
            <w:rFonts w:asciiTheme="minorHAnsi" w:eastAsiaTheme="minorEastAsia" w:hAnsiTheme="minorHAnsi" w:cstheme="minorBidi"/>
            <w:b w:val="0"/>
            <w:bCs w:val="0"/>
            <w:caps w:val="0"/>
            <w:sz w:val="22"/>
            <w:szCs w:val="22"/>
          </w:rPr>
          <w:tab/>
        </w:r>
        <w:r w:rsidR="006325E6" w:rsidRPr="00CE61AB">
          <w:rPr>
            <w:rStyle w:val="Hyperlink"/>
          </w:rPr>
          <w:t>REPORT ON DEVELOPMENT EXPENDITURES 2014/15</w:t>
        </w:r>
        <w:r w:rsidR="006325E6">
          <w:rPr>
            <w:webHidden/>
          </w:rPr>
          <w:tab/>
        </w:r>
        <w:r w:rsidR="006325E6">
          <w:rPr>
            <w:webHidden/>
          </w:rPr>
          <w:fldChar w:fldCharType="begin"/>
        </w:r>
        <w:r w:rsidR="006325E6">
          <w:rPr>
            <w:webHidden/>
          </w:rPr>
          <w:instrText xml:space="preserve"> PAGEREF _Toc454544458 \h </w:instrText>
        </w:r>
        <w:r w:rsidR="006325E6">
          <w:rPr>
            <w:webHidden/>
          </w:rPr>
        </w:r>
        <w:r w:rsidR="006325E6">
          <w:rPr>
            <w:webHidden/>
          </w:rPr>
          <w:fldChar w:fldCharType="separate"/>
        </w:r>
        <w:r w:rsidR="004E4E0A">
          <w:rPr>
            <w:webHidden/>
          </w:rPr>
          <w:t>24</w:t>
        </w:r>
        <w:r w:rsidR="006325E6">
          <w:rPr>
            <w:webHidden/>
          </w:rPr>
          <w:fldChar w:fldCharType="end"/>
        </w:r>
      </w:hyperlink>
    </w:p>
    <w:p w:rsidR="006325E6" w:rsidRDefault="00271F1E">
      <w:pPr>
        <w:pStyle w:val="TOC1"/>
        <w:rPr>
          <w:rFonts w:asciiTheme="minorHAnsi" w:eastAsiaTheme="minorEastAsia" w:hAnsiTheme="minorHAnsi" w:cstheme="minorBidi"/>
          <w:b w:val="0"/>
          <w:bCs w:val="0"/>
          <w:caps w:val="0"/>
          <w:sz w:val="22"/>
          <w:szCs w:val="22"/>
        </w:rPr>
      </w:pPr>
      <w:hyperlink w:anchor="_Toc454544459" w:history="1">
        <w:r w:rsidR="006325E6" w:rsidRPr="00CE61AB">
          <w:rPr>
            <w:rStyle w:val="Hyperlink"/>
          </w:rPr>
          <w:t>V.</w:t>
        </w:r>
        <w:r w:rsidR="006325E6">
          <w:rPr>
            <w:rFonts w:asciiTheme="minorHAnsi" w:eastAsiaTheme="minorEastAsia" w:hAnsiTheme="minorHAnsi" w:cstheme="minorBidi"/>
            <w:b w:val="0"/>
            <w:bCs w:val="0"/>
            <w:caps w:val="0"/>
            <w:sz w:val="22"/>
            <w:szCs w:val="22"/>
          </w:rPr>
          <w:tab/>
        </w:r>
        <w:r w:rsidR="006325E6" w:rsidRPr="00CE61AB">
          <w:rPr>
            <w:rStyle w:val="Hyperlink"/>
            <w:rFonts w:eastAsiaTheme="minorHAnsi"/>
          </w:rPr>
          <w:t>REPORT ON THE IMPLEMENTATION OF COST EFFICIENCY MEASURES  IN THE 2014/15 BIENNIUM</w:t>
        </w:r>
        <w:r w:rsidR="006325E6">
          <w:rPr>
            <w:webHidden/>
          </w:rPr>
          <w:tab/>
        </w:r>
        <w:r w:rsidR="006325E6">
          <w:rPr>
            <w:webHidden/>
          </w:rPr>
          <w:fldChar w:fldCharType="begin"/>
        </w:r>
        <w:r w:rsidR="006325E6">
          <w:rPr>
            <w:webHidden/>
          </w:rPr>
          <w:instrText xml:space="preserve"> PAGEREF _Toc454544459 \h </w:instrText>
        </w:r>
        <w:r w:rsidR="006325E6">
          <w:rPr>
            <w:webHidden/>
          </w:rPr>
        </w:r>
        <w:r w:rsidR="006325E6">
          <w:rPr>
            <w:webHidden/>
          </w:rPr>
          <w:fldChar w:fldCharType="separate"/>
        </w:r>
        <w:r w:rsidR="004E4E0A">
          <w:rPr>
            <w:webHidden/>
          </w:rPr>
          <w:t>26</w:t>
        </w:r>
        <w:r w:rsidR="006325E6">
          <w:rPr>
            <w:webHidden/>
          </w:rPr>
          <w:fldChar w:fldCharType="end"/>
        </w:r>
      </w:hyperlink>
    </w:p>
    <w:p w:rsidR="006325E6" w:rsidRDefault="00271F1E">
      <w:pPr>
        <w:pStyle w:val="TOC1"/>
        <w:rPr>
          <w:rFonts w:asciiTheme="minorHAnsi" w:eastAsiaTheme="minorEastAsia" w:hAnsiTheme="minorHAnsi" w:cstheme="minorBidi"/>
          <w:b w:val="0"/>
          <w:bCs w:val="0"/>
          <w:caps w:val="0"/>
          <w:sz w:val="22"/>
          <w:szCs w:val="22"/>
        </w:rPr>
      </w:pPr>
      <w:hyperlink w:anchor="_Toc454544460" w:history="1">
        <w:r w:rsidR="006325E6" w:rsidRPr="00CE61AB">
          <w:rPr>
            <w:rStyle w:val="Hyperlink"/>
          </w:rPr>
          <w:t>VI.</w:t>
        </w:r>
        <w:r w:rsidR="006325E6">
          <w:rPr>
            <w:rFonts w:asciiTheme="minorHAnsi" w:eastAsiaTheme="minorEastAsia" w:hAnsiTheme="minorHAnsi" w:cstheme="minorBidi"/>
            <w:b w:val="0"/>
            <w:bCs w:val="0"/>
            <w:caps w:val="0"/>
            <w:sz w:val="22"/>
            <w:szCs w:val="22"/>
          </w:rPr>
          <w:tab/>
        </w:r>
        <w:r w:rsidR="006325E6" w:rsidRPr="00CE61AB">
          <w:rPr>
            <w:rStyle w:val="Hyperlink"/>
          </w:rPr>
          <w:t>OVERVIEW OF PROGRESS IN 2014/15 BY STRATEGIC GOAL</w:t>
        </w:r>
        <w:r w:rsidR="006325E6">
          <w:rPr>
            <w:webHidden/>
          </w:rPr>
          <w:tab/>
        </w:r>
        <w:r w:rsidR="006325E6">
          <w:rPr>
            <w:webHidden/>
          </w:rPr>
          <w:fldChar w:fldCharType="begin"/>
        </w:r>
        <w:r w:rsidR="006325E6">
          <w:rPr>
            <w:webHidden/>
          </w:rPr>
          <w:instrText xml:space="preserve"> PAGEREF _Toc454544460 \h </w:instrText>
        </w:r>
        <w:r w:rsidR="006325E6">
          <w:rPr>
            <w:webHidden/>
          </w:rPr>
        </w:r>
        <w:r w:rsidR="006325E6">
          <w:rPr>
            <w:webHidden/>
          </w:rPr>
          <w:fldChar w:fldCharType="separate"/>
        </w:r>
        <w:r w:rsidR="004E4E0A">
          <w:rPr>
            <w:webHidden/>
          </w:rPr>
          <w:t>32</w:t>
        </w:r>
        <w:r w:rsidR="006325E6">
          <w:rPr>
            <w:webHidden/>
          </w:rPr>
          <w:fldChar w:fldCharType="end"/>
        </w:r>
      </w:hyperlink>
    </w:p>
    <w:p w:rsidR="006325E6" w:rsidRDefault="00271F1E">
      <w:pPr>
        <w:pStyle w:val="TOC2"/>
        <w:rPr>
          <w:rFonts w:eastAsiaTheme="minorEastAsia" w:cstheme="minorBidi"/>
          <w:smallCaps w:val="0"/>
          <w:noProof/>
          <w:sz w:val="22"/>
          <w:szCs w:val="22"/>
        </w:rPr>
      </w:pPr>
      <w:hyperlink w:anchor="_Toc454544461" w:history="1">
        <w:r w:rsidR="006325E6" w:rsidRPr="00CE61AB">
          <w:rPr>
            <w:rStyle w:val="Hyperlink"/>
            <w:rFonts w:ascii="Arial" w:hAnsi="Arial"/>
            <w:noProof/>
          </w:rPr>
          <w:t>STRATEGIC GOAL I</w:t>
        </w:r>
        <w:r w:rsidR="006325E6">
          <w:rPr>
            <w:noProof/>
            <w:webHidden/>
          </w:rPr>
          <w:tab/>
        </w:r>
        <w:r w:rsidR="006325E6">
          <w:rPr>
            <w:noProof/>
            <w:webHidden/>
          </w:rPr>
          <w:fldChar w:fldCharType="begin"/>
        </w:r>
        <w:r w:rsidR="006325E6">
          <w:rPr>
            <w:noProof/>
            <w:webHidden/>
          </w:rPr>
          <w:instrText xml:space="preserve"> PAGEREF _Toc454544461 \h </w:instrText>
        </w:r>
        <w:r w:rsidR="006325E6">
          <w:rPr>
            <w:noProof/>
            <w:webHidden/>
          </w:rPr>
        </w:r>
        <w:r w:rsidR="006325E6">
          <w:rPr>
            <w:noProof/>
            <w:webHidden/>
          </w:rPr>
          <w:fldChar w:fldCharType="separate"/>
        </w:r>
        <w:r w:rsidR="004E4E0A">
          <w:rPr>
            <w:noProof/>
            <w:webHidden/>
          </w:rPr>
          <w:t>32</w:t>
        </w:r>
        <w:r w:rsidR="006325E6">
          <w:rPr>
            <w:noProof/>
            <w:webHidden/>
          </w:rPr>
          <w:fldChar w:fldCharType="end"/>
        </w:r>
      </w:hyperlink>
    </w:p>
    <w:p w:rsidR="006325E6" w:rsidRDefault="00271F1E">
      <w:pPr>
        <w:pStyle w:val="TOC2"/>
        <w:rPr>
          <w:rFonts w:eastAsiaTheme="minorEastAsia" w:cstheme="minorBidi"/>
          <w:smallCaps w:val="0"/>
          <w:noProof/>
          <w:sz w:val="22"/>
          <w:szCs w:val="22"/>
        </w:rPr>
      </w:pPr>
      <w:hyperlink w:anchor="_Toc454544462" w:history="1">
        <w:r w:rsidR="006325E6" w:rsidRPr="00CE61AB">
          <w:rPr>
            <w:rStyle w:val="Hyperlink"/>
            <w:noProof/>
          </w:rPr>
          <w:t>PROGRAM 1</w:t>
        </w:r>
        <w:r w:rsidR="006325E6">
          <w:rPr>
            <w:rFonts w:eastAsiaTheme="minorEastAsia" w:cstheme="minorBidi"/>
            <w:smallCaps w:val="0"/>
            <w:noProof/>
            <w:sz w:val="22"/>
            <w:szCs w:val="22"/>
          </w:rPr>
          <w:tab/>
        </w:r>
        <w:r w:rsidR="006325E6" w:rsidRPr="00CE61AB">
          <w:rPr>
            <w:rStyle w:val="Hyperlink"/>
            <w:noProof/>
          </w:rPr>
          <w:t>PATENT LAW</w:t>
        </w:r>
        <w:r w:rsidR="006325E6">
          <w:rPr>
            <w:noProof/>
            <w:webHidden/>
          </w:rPr>
          <w:tab/>
        </w:r>
        <w:r w:rsidR="006325E6">
          <w:rPr>
            <w:noProof/>
            <w:webHidden/>
          </w:rPr>
          <w:fldChar w:fldCharType="begin"/>
        </w:r>
        <w:r w:rsidR="006325E6">
          <w:rPr>
            <w:noProof/>
            <w:webHidden/>
          </w:rPr>
          <w:instrText xml:space="preserve"> PAGEREF _Toc454544462 \h </w:instrText>
        </w:r>
        <w:r w:rsidR="006325E6">
          <w:rPr>
            <w:noProof/>
            <w:webHidden/>
          </w:rPr>
        </w:r>
        <w:r w:rsidR="006325E6">
          <w:rPr>
            <w:noProof/>
            <w:webHidden/>
          </w:rPr>
          <w:fldChar w:fldCharType="separate"/>
        </w:r>
        <w:r w:rsidR="004E4E0A">
          <w:rPr>
            <w:noProof/>
            <w:webHidden/>
          </w:rPr>
          <w:t>34</w:t>
        </w:r>
        <w:r w:rsidR="006325E6">
          <w:rPr>
            <w:noProof/>
            <w:webHidden/>
          </w:rPr>
          <w:fldChar w:fldCharType="end"/>
        </w:r>
      </w:hyperlink>
    </w:p>
    <w:p w:rsidR="006325E6" w:rsidRDefault="00271F1E">
      <w:pPr>
        <w:pStyle w:val="TOC2"/>
        <w:rPr>
          <w:rFonts w:eastAsiaTheme="minorEastAsia" w:cstheme="minorBidi"/>
          <w:smallCaps w:val="0"/>
          <w:noProof/>
          <w:sz w:val="22"/>
          <w:szCs w:val="22"/>
        </w:rPr>
      </w:pPr>
      <w:hyperlink w:anchor="_Toc454544463" w:history="1">
        <w:r w:rsidR="006325E6" w:rsidRPr="00CE61AB">
          <w:rPr>
            <w:rStyle w:val="Hyperlink"/>
            <w:noProof/>
          </w:rPr>
          <w:t>PROGRAM 2</w:t>
        </w:r>
        <w:r w:rsidR="006325E6">
          <w:rPr>
            <w:rFonts w:eastAsiaTheme="minorEastAsia" w:cstheme="minorBidi"/>
            <w:smallCaps w:val="0"/>
            <w:noProof/>
            <w:sz w:val="22"/>
            <w:szCs w:val="22"/>
          </w:rPr>
          <w:tab/>
        </w:r>
        <w:r w:rsidR="006325E6" w:rsidRPr="00CE61AB">
          <w:rPr>
            <w:rStyle w:val="Hyperlink"/>
            <w:noProof/>
          </w:rPr>
          <w:t>TRADEMARKS, INDUSTRIAL DESIGNS AND GEOGRAPHICAL INDICATIONS</w:t>
        </w:r>
        <w:r w:rsidR="006325E6">
          <w:rPr>
            <w:noProof/>
            <w:webHidden/>
          </w:rPr>
          <w:tab/>
        </w:r>
        <w:r w:rsidR="006325E6">
          <w:rPr>
            <w:noProof/>
            <w:webHidden/>
          </w:rPr>
          <w:fldChar w:fldCharType="begin"/>
        </w:r>
        <w:r w:rsidR="006325E6">
          <w:rPr>
            <w:noProof/>
            <w:webHidden/>
          </w:rPr>
          <w:instrText xml:space="preserve"> PAGEREF _Toc454544463 \h </w:instrText>
        </w:r>
        <w:r w:rsidR="006325E6">
          <w:rPr>
            <w:noProof/>
            <w:webHidden/>
          </w:rPr>
        </w:r>
        <w:r w:rsidR="006325E6">
          <w:rPr>
            <w:noProof/>
            <w:webHidden/>
          </w:rPr>
          <w:fldChar w:fldCharType="separate"/>
        </w:r>
        <w:r w:rsidR="004E4E0A">
          <w:rPr>
            <w:noProof/>
            <w:webHidden/>
          </w:rPr>
          <w:t>37</w:t>
        </w:r>
        <w:r w:rsidR="006325E6">
          <w:rPr>
            <w:noProof/>
            <w:webHidden/>
          </w:rPr>
          <w:fldChar w:fldCharType="end"/>
        </w:r>
      </w:hyperlink>
    </w:p>
    <w:p w:rsidR="006325E6" w:rsidRDefault="00271F1E">
      <w:pPr>
        <w:pStyle w:val="TOC2"/>
        <w:rPr>
          <w:rFonts w:eastAsiaTheme="minorEastAsia" w:cstheme="minorBidi"/>
          <w:smallCaps w:val="0"/>
          <w:noProof/>
          <w:sz w:val="22"/>
          <w:szCs w:val="22"/>
        </w:rPr>
      </w:pPr>
      <w:hyperlink w:anchor="_Toc454544464" w:history="1">
        <w:r w:rsidR="006325E6" w:rsidRPr="00CE61AB">
          <w:rPr>
            <w:rStyle w:val="Hyperlink"/>
            <w:noProof/>
          </w:rPr>
          <w:t>PROGRAM 3</w:t>
        </w:r>
        <w:r w:rsidR="006325E6">
          <w:rPr>
            <w:rFonts w:eastAsiaTheme="minorEastAsia" w:cstheme="minorBidi"/>
            <w:smallCaps w:val="0"/>
            <w:noProof/>
            <w:sz w:val="22"/>
            <w:szCs w:val="22"/>
          </w:rPr>
          <w:tab/>
        </w:r>
        <w:r w:rsidR="006325E6" w:rsidRPr="00CE61AB">
          <w:rPr>
            <w:rStyle w:val="Hyperlink"/>
            <w:noProof/>
          </w:rPr>
          <w:t>COPYRIGHT AND RELATED RIGHTS</w:t>
        </w:r>
        <w:r w:rsidR="006325E6">
          <w:rPr>
            <w:noProof/>
            <w:webHidden/>
          </w:rPr>
          <w:tab/>
        </w:r>
        <w:r w:rsidR="006325E6">
          <w:rPr>
            <w:noProof/>
            <w:webHidden/>
          </w:rPr>
          <w:fldChar w:fldCharType="begin"/>
        </w:r>
        <w:r w:rsidR="006325E6">
          <w:rPr>
            <w:noProof/>
            <w:webHidden/>
          </w:rPr>
          <w:instrText xml:space="preserve"> PAGEREF _Toc454544464 \h </w:instrText>
        </w:r>
        <w:r w:rsidR="006325E6">
          <w:rPr>
            <w:noProof/>
            <w:webHidden/>
          </w:rPr>
        </w:r>
        <w:r w:rsidR="006325E6">
          <w:rPr>
            <w:noProof/>
            <w:webHidden/>
          </w:rPr>
          <w:fldChar w:fldCharType="separate"/>
        </w:r>
        <w:r w:rsidR="004E4E0A">
          <w:rPr>
            <w:noProof/>
            <w:webHidden/>
          </w:rPr>
          <w:t>41</w:t>
        </w:r>
        <w:r w:rsidR="006325E6">
          <w:rPr>
            <w:noProof/>
            <w:webHidden/>
          </w:rPr>
          <w:fldChar w:fldCharType="end"/>
        </w:r>
      </w:hyperlink>
    </w:p>
    <w:p w:rsidR="006325E6" w:rsidRDefault="00271F1E">
      <w:pPr>
        <w:pStyle w:val="TOC2"/>
        <w:rPr>
          <w:rFonts w:eastAsiaTheme="minorEastAsia" w:cstheme="minorBidi"/>
          <w:smallCaps w:val="0"/>
          <w:noProof/>
          <w:sz w:val="22"/>
          <w:szCs w:val="22"/>
        </w:rPr>
      </w:pPr>
      <w:hyperlink w:anchor="_Toc454544465" w:history="1">
        <w:r w:rsidR="006325E6" w:rsidRPr="00CE61AB">
          <w:rPr>
            <w:rStyle w:val="Hyperlink"/>
            <w:noProof/>
          </w:rPr>
          <w:t>PROGRAM 4</w:t>
        </w:r>
        <w:r w:rsidR="006325E6">
          <w:rPr>
            <w:rFonts w:eastAsiaTheme="minorEastAsia" w:cstheme="minorBidi"/>
            <w:smallCaps w:val="0"/>
            <w:noProof/>
            <w:sz w:val="22"/>
            <w:szCs w:val="22"/>
          </w:rPr>
          <w:tab/>
        </w:r>
        <w:r w:rsidR="006325E6" w:rsidRPr="00CE61AB">
          <w:rPr>
            <w:rStyle w:val="Hyperlink"/>
            <w:noProof/>
          </w:rPr>
          <w:t>TRADITIONAL KNOWLEDGE, TRADITIONAL CULTURAL EXPRESSIONS AND GENETIC RESOURCES</w:t>
        </w:r>
        <w:r w:rsidR="006325E6">
          <w:rPr>
            <w:noProof/>
            <w:webHidden/>
          </w:rPr>
          <w:tab/>
        </w:r>
        <w:r w:rsidR="006325E6">
          <w:rPr>
            <w:noProof/>
            <w:webHidden/>
          </w:rPr>
          <w:fldChar w:fldCharType="begin"/>
        </w:r>
        <w:r w:rsidR="006325E6">
          <w:rPr>
            <w:noProof/>
            <w:webHidden/>
          </w:rPr>
          <w:instrText xml:space="preserve"> PAGEREF _Toc454544465 \h </w:instrText>
        </w:r>
        <w:r w:rsidR="006325E6">
          <w:rPr>
            <w:noProof/>
            <w:webHidden/>
          </w:rPr>
        </w:r>
        <w:r w:rsidR="006325E6">
          <w:rPr>
            <w:noProof/>
            <w:webHidden/>
          </w:rPr>
          <w:fldChar w:fldCharType="separate"/>
        </w:r>
        <w:r w:rsidR="004E4E0A">
          <w:rPr>
            <w:noProof/>
            <w:webHidden/>
          </w:rPr>
          <w:t>49</w:t>
        </w:r>
        <w:r w:rsidR="006325E6">
          <w:rPr>
            <w:noProof/>
            <w:webHidden/>
          </w:rPr>
          <w:fldChar w:fldCharType="end"/>
        </w:r>
      </w:hyperlink>
    </w:p>
    <w:p w:rsidR="006325E6" w:rsidRDefault="00271F1E">
      <w:pPr>
        <w:pStyle w:val="TOC2"/>
        <w:rPr>
          <w:rFonts w:eastAsiaTheme="minorEastAsia" w:cstheme="minorBidi"/>
          <w:smallCaps w:val="0"/>
          <w:noProof/>
          <w:sz w:val="22"/>
          <w:szCs w:val="22"/>
        </w:rPr>
      </w:pPr>
      <w:hyperlink w:anchor="_Toc454544466" w:history="1">
        <w:r w:rsidR="006325E6" w:rsidRPr="00CE61AB">
          <w:rPr>
            <w:rStyle w:val="Hyperlink"/>
            <w:rFonts w:ascii="Arial" w:hAnsi="Arial"/>
            <w:noProof/>
          </w:rPr>
          <w:t>STRATEGIC GOAL II</w:t>
        </w:r>
        <w:r w:rsidR="006325E6">
          <w:rPr>
            <w:noProof/>
            <w:webHidden/>
          </w:rPr>
          <w:tab/>
        </w:r>
        <w:r w:rsidR="006325E6">
          <w:rPr>
            <w:noProof/>
            <w:webHidden/>
          </w:rPr>
          <w:fldChar w:fldCharType="begin"/>
        </w:r>
        <w:r w:rsidR="006325E6">
          <w:rPr>
            <w:noProof/>
            <w:webHidden/>
          </w:rPr>
          <w:instrText xml:space="preserve"> PAGEREF _Toc454544466 \h </w:instrText>
        </w:r>
        <w:r w:rsidR="006325E6">
          <w:rPr>
            <w:noProof/>
            <w:webHidden/>
          </w:rPr>
        </w:r>
        <w:r w:rsidR="006325E6">
          <w:rPr>
            <w:noProof/>
            <w:webHidden/>
          </w:rPr>
          <w:fldChar w:fldCharType="separate"/>
        </w:r>
        <w:r w:rsidR="004E4E0A">
          <w:rPr>
            <w:noProof/>
            <w:webHidden/>
          </w:rPr>
          <w:t>53</w:t>
        </w:r>
        <w:r w:rsidR="006325E6">
          <w:rPr>
            <w:noProof/>
            <w:webHidden/>
          </w:rPr>
          <w:fldChar w:fldCharType="end"/>
        </w:r>
      </w:hyperlink>
    </w:p>
    <w:p w:rsidR="006325E6" w:rsidRDefault="00271F1E">
      <w:pPr>
        <w:pStyle w:val="TOC2"/>
        <w:rPr>
          <w:rFonts w:eastAsiaTheme="minorEastAsia" w:cstheme="minorBidi"/>
          <w:smallCaps w:val="0"/>
          <w:noProof/>
          <w:sz w:val="22"/>
          <w:szCs w:val="22"/>
        </w:rPr>
      </w:pPr>
      <w:hyperlink w:anchor="_Toc454544467" w:history="1">
        <w:r w:rsidR="006325E6" w:rsidRPr="00CE61AB">
          <w:rPr>
            <w:rStyle w:val="Hyperlink"/>
            <w:rFonts w:eastAsia="SimSun"/>
            <w:caps/>
            <w:noProof/>
            <w:lang w:eastAsia="zh-CN"/>
          </w:rPr>
          <w:t>PROGRAM 5</w:t>
        </w:r>
        <w:r w:rsidR="006325E6">
          <w:rPr>
            <w:rFonts w:eastAsiaTheme="minorEastAsia" w:cstheme="minorBidi"/>
            <w:smallCaps w:val="0"/>
            <w:noProof/>
            <w:sz w:val="22"/>
            <w:szCs w:val="22"/>
          </w:rPr>
          <w:tab/>
        </w:r>
        <w:r w:rsidR="006325E6" w:rsidRPr="00CE61AB">
          <w:rPr>
            <w:rStyle w:val="Hyperlink"/>
            <w:rFonts w:eastAsia="SimSun"/>
            <w:caps/>
            <w:noProof/>
            <w:lang w:eastAsia="zh-CN"/>
          </w:rPr>
          <w:t>THE PCT SYSTEM</w:t>
        </w:r>
        <w:r w:rsidR="006325E6">
          <w:rPr>
            <w:noProof/>
            <w:webHidden/>
          </w:rPr>
          <w:tab/>
        </w:r>
        <w:r w:rsidR="006325E6">
          <w:rPr>
            <w:noProof/>
            <w:webHidden/>
          </w:rPr>
          <w:fldChar w:fldCharType="begin"/>
        </w:r>
        <w:r w:rsidR="006325E6">
          <w:rPr>
            <w:noProof/>
            <w:webHidden/>
          </w:rPr>
          <w:instrText xml:space="preserve"> PAGEREF _Toc454544467 \h </w:instrText>
        </w:r>
        <w:r w:rsidR="006325E6">
          <w:rPr>
            <w:noProof/>
            <w:webHidden/>
          </w:rPr>
        </w:r>
        <w:r w:rsidR="006325E6">
          <w:rPr>
            <w:noProof/>
            <w:webHidden/>
          </w:rPr>
          <w:fldChar w:fldCharType="separate"/>
        </w:r>
        <w:r w:rsidR="004E4E0A">
          <w:rPr>
            <w:noProof/>
            <w:webHidden/>
          </w:rPr>
          <w:t>56</w:t>
        </w:r>
        <w:r w:rsidR="006325E6">
          <w:rPr>
            <w:noProof/>
            <w:webHidden/>
          </w:rPr>
          <w:fldChar w:fldCharType="end"/>
        </w:r>
      </w:hyperlink>
    </w:p>
    <w:p w:rsidR="006325E6" w:rsidRPr="006325E6" w:rsidRDefault="00271F1E" w:rsidP="006325E6">
      <w:pPr>
        <w:pStyle w:val="TOC3"/>
        <w:rPr>
          <w:rFonts w:eastAsiaTheme="minorEastAsia" w:cstheme="minorBidi"/>
          <w:sz w:val="22"/>
          <w:szCs w:val="22"/>
          <w:lang w:val="en-US"/>
        </w:rPr>
      </w:pPr>
      <w:hyperlink w:anchor="_Toc454544468" w:history="1">
        <w:r w:rsidR="006325E6" w:rsidRPr="006325E6">
          <w:rPr>
            <w:rStyle w:val="Hyperlink"/>
            <w:b w:val="0"/>
          </w:rPr>
          <w:t>Program 5 Annex:    Indicators of PCT Operations</w:t>
        </w:r>
        <w:r w:rsidR="006325E6" w:rsidRPr="006325E6">
          <w:rPr>
            <w:webHidden/>
          </w:rPr>
          <w:tab/>
        </w:r>
        <w:r w:rsidR="006325E6" w:rsidRPr="006325E6">
          <w:rPr>
            <w:webHidden/>
          </w:rPr>
          <w:fldChar w:fldCharType="begin"/>
        </w:r>
        <w:r w:rsidR="006325E6" w:rsidRPr="006325E6">
          <w:rPr>
            <w:webHidden/>
          </w:rPr>
          <w:instrText xml:space="preserve"> PAGEREF _Toc454544468 \h </w:instrText>
        </w:r>
        <w:r w:rsidR="006325E6" w:rsidRPr="006325E6">
          <w:rPr>
            <w:webHidden/>
          </w:rPr>
        </w:r>
        <w:r w:rsidR="006325E6" w:rsidRPr="006325E6">
          <w:rPr>
            <w:webHidden/>
          </w:rPr>
          <w:fldChar w:fldCharType="separate"/>
        </w:r>
        <w:r w:rsidR="004E4E0A">
          <w:rPr>
            <w:webHidden/>
          </w:rPr>
          <w:t>62</w:t>
        </w:r>
        <w:r w:rsidR="006325E6" w:rsidRPr="006325E6">
          <w:rPr>
            <w:webHidden/>
          </w:rPr>
          <w:fldChar w:fldCharType="end"/>
        </w:r>
      </w:hyperlink>
    </w:p>
    <w:p w:rsidR="006325E6" w:rsidRDefault="00271F1E">
      <w:pPr>
        <w:pStyle w:val="TOC2"/>
        <w:rPr>
          <w:rFonts w:eastAsiaTheme="minorEastAsia" w:cstheme="minorBidi"/>
          <w:smallCaps w:val="0"/>
          <w:noProof/>
          <w:sz w:val="22"/>
          <w:szCs w:val="22"/>
        </w:rPr>
      </w:pPr>
      <w:hyperlink w:anchor="_Toc454544469" w:history="1">
        <w:r w:rsidR="006325E6" w:rsidRPr="00CE61AB">
          <w:rPr>
            <w:rStyle w:val="Hyperlink"/>
            <w:noProof/>
          </w:rPr>
          <w:t>PROGRAM 6</w:t>
        </w:r>
        <w:r w:rsidR="006325E6">
          <w:rPr>
            <w:rFonts w:eastAsiaTheme="minorEastAsia" w:cstheme="minorBidi"/>
            <w:smallCaps w:val="0"/>
            <w:noProof/>
            <w:sz w:val="22"/>
            <w:szCs w:val="22"/>
          </w:rPr>
          <w:tab/>
        </w:r>
        <w:r w:rsidR="006325E6" w:rsidRPr="00CE61AB">
          <w:rPr>
            <w:rStyle w:val="Hyperlink"/>
            <w:noProof/>
          </w:rPr>
          <w:t xml:space="preserve"> MADRID AND LISBON SYSTEMS</w:t>
        </w:r>
        <w:r w:rsidR="006325E6">
          <w:rPr>
            <w:noProof/>
            <w:webHidden/>
          </w:rPr>
          <w:tab/>
        </w:r>
        <w:r w:rsidR="006325E6">
          <w:rPr>
            <w:noProof/>
            <w:webHidden/>
          </w:rPr>
          <w:fldChar w:fldCharType="begin"/>
        </w:r>
        <w:r w:rsidR="006325E6">
          <w:rPr>
            <w:noProof/>
            <w:webHidden/>
          </w:rPr>
          <w:instrText xml:space="preserve"> PAGEREF _Toc454544469 \h </w:instrText>
        </w:r>
        <w:r w:rsidR="006325E6">
          <w:rPr>
            <w:noProof/>
            <w:webHidden/>
          </w:rPr>
        </w:r>
        <w:r w:rsidR="006325E6">
          <w:rPr>
            <w:noProof/>
            <w:webHidden/>
          </w:rPr>
          <w:fldChar w:fldCharType="separate"/>
        </w:r>
        <w:r w:rsidR="004E4E0A">
          <w:rPr>
            <w:noProof/>
            <w:webHidden/>
          </w:rPr>
          <w:t>73</w:t>
        </w:r>
        <w:r w:rsidR="006325E6">
          <w:rPr>
            <w:noProof/>
            <w:webHidden/>
          </w:rPr>
          <w:fldChar w:fldCharType="end"/>
        </w:r>
      </w:hyperlink>
    </w:p>
    <w:p w:rsidR="006325E6" w:rsidRPr="006325E6" w:rsidRDefault="00271F1E" w:rsidP="006325E6">
      <w:pPr>
        <w:pStyle w:val="TOC3"/>
        <w:rPr>
          <w:rFonts w:eastAsiaTheme="minorEastAsia" w:cstheme="minorBidi"/>
          <w:sz w:val="22"/>
          <w:szCs w:val="22"/>
          <w:lang w:val="en-US"/>
        </w:rPr>
      </w:pPr>
      <w:hyperlink w:anchor="_Toc454544470" w:history="1">
        <w:r w:rsidR="006325E6" w:rsidRPr="006325E6">
          <w:rPr>
            <w:rStyle w:val="Hyperlink"/>
            <w:b w:val="0"/>
          </w:rPr>
          <w:t>Program 6 Annex:    Indicators of Madrid Operations</w:t>
        </w:r>
        <w:r w:rsidR="006325E6" w:rsidRPr="006325E6">
          <w:rPr>
            <w:webHidden/>
          </w:rPr>
          <w:tab/>
        </w:r>
        <w:r w:rsidR="006325E6" w:rsidRPr="006325E6">
          <w:rPr>
            <w:webHidden/>
          </w:rPr>
          <w:fldChar w:fldCharType="begin"/>
        </w:r>
        <w:r w:rsidR="006325E6" w:rsidRPr="006325E6">
          <w:rPr>
            <w:webHidden/>
          </w:rPr>
          <w:instrText xml:space="preserve"> PAGEREF _Toc454544470 \h </w:instrText>
        </w:r>
        <w:r w:rsidR="006325E6" w:rsidRPr="006325E6">
          <w:rPr>
            <w:webHidden/>
          </w:rPr>
        </w:r>
        <w:r w:rsidR="006325E6" w:rsidRPr="006325E6">
          <w:rPr>
            <w:webHidden/>
          </w:rPr>
          <w:fldChar w:fldCharType="separate"/>
        </w:r>
        <w:r w:rsidR="004E4E0A">
          <w:rPr>
            <w:webHidden/>
          </w:rPr>
          <w:t>79</w:t>
        </w:r>
        <w:r w:rsidR="006325E6" w:rsidRPr="006325E6">
          <w:rPr>
            <w:webHidden/>
          </w:rPr>
          <w:fldChar w:fldCharType="end"/>
        </w:r>
      </w:hyperlink>
    </w:p>
    <w:p w:rsidR="006325E6" w:rsidRDefault="00271F1E">
      <w:pPr>
        <w:pStyle w:val="TOC2"/>
        <w:rPr>
          <w:rFonts w:eastAsiaTheme="minorEastAsia" w:cstheme="minorBidi"/>
          <w:smallCaps w:val="0"/>
          <w:noProof/>
          <w:sz w:val="22"/>
          <w:szCs w:val="22"/>
        </w:rPr>
      </w:pPr>
      <w:hyperlink w:anchor="_Toc454544471" w:history="1">
        <w:r w:rsidR="006325E6" w:rsidRPr="00CE61AB">
          <w:rPr>
            <w:rStyle w:val="Hyperlink"/>
            <w:noProof/>
          </w:rPr>
          <w:t>PROGRAM 31</w:t>
        </w:r>
        <w:r w:rsidR="006325E6">
          <w:rPr>
            <w:rFonts w:eastAsiaTheme="minorEastAsia" w:cstheme="minorBidi"/>
            <w:smallCaps w:val="0"/>
            <w:noProof/>
            <w:sz w:val="22"/>
            <w:szCs w:val="22"/>
          </w:rPr>
          <w:tab/>
        </w:r>
        <w:r w:rsidR="006325E6" w:rsidRPr="00CE61AB">
          <w:rPr>
            <w:rStyle w:val="Hyperlink"/>
            <w:noProof/>
          </w:rPr>
          <w:t>THE HAGUE SYSTEM</w:t>
        </w:r>
        <w:r w:rsidR="006325E6">
          <w:rPr>
            <w:noProof/>
            <w:webHidden/>
          </w:rPr>
          <w:tab/>
        </w:r>
        <w:r w:rsidR="006325E6">
          <w:rPr>
            <w:noProof/>
            <w:webHidden/>
          </w:rPr>
          <w:fldChar w:fldCharType="begin"/>
        </w:r>
        <w:r w:rsidR="006325E6">
          <w:rPr>
            <w:noProof/>
            <w:webHidden/>
          </w:rPr>
          <w:instrText xml:space="preserve"> PAGEREF _Toc454544471 \h </w:instrText>
        </w:r>
        <w:r w:rsidR="006325E6">
          <w:rPr>
            <w:noProof/>
            <w:webHidden/>
          </w:rPr>
        </w:r>
        <w:r w:rsidR="006325E6">
          <w:rPr>
            <w:noProof/>
            <w:webHidden/>
          </w:rPr>
          <w:fldChar w:fldCharType="separate"/>
        </w:r>
        <w:r w:rsidR="004E4E0A">
          <w:rPr>
            <w:noProof/>
            <w:webHidden/>
          </w:rPr>
          <w:t>96</w:t>
        </w:r>
        <w:r w:rsidR="006325E6">
          <w:rPr>
            <w:noProof/>
            <w:webHidden/>
          </w:rPr>
          <w:fldChar w:fldCharType="end"/>
        </w:r>
      </w:hyperlink>
    </w:p>
    <w:p w:rsidR="006325E6" w:rsidRPr="006325E6" w:rsidRDefault="00271F1E" w:rsidP="006325E6">
      <w:pPr>
        <w:pStyle w:val="TOC3"/>
        <w:rPr>
          <w:rFonts w:eastAsiaTheme="minorEastAsia" w:cstheme="minorBidi"/>
          <w:sz w:val="22"/>
          <w:szCs w:val="22"/>
          <w:lang w:val="en-US"/>
        </w:rPr>
      </w:pPr>
      <w:hyperlink w:anchor="_Toc454544472" w:history="1">
        <w:r w:rsidR="006325E6" w:rsidRPr="006325E6">
          <w:rPr>
            <w:rStyle w:val="Hyperlink"/>
            <w:b w:val="0"/>
          </w:rPr>
          <w:t>Program 31 Annex:    Indicators of the Hague System Operations</w:t>
        </w:r>
        <w:r w:rsidR="006325E6" w:rsidRPr="006325E6">
          <w:rPr>
            <w:webHidden/>
          </w:rPr>
          <w:tab/>
        </w:r>
        <w:r w:rsidR="006325E6" w:rsidRPr="006325E6">
          <w:rPr>
            <w:webHidden/>
          </w:rPr>
          <w:fldChar w:fldCharType="begin"/>
        </w:r>
        <w:r w:rsidR="006325E6" w:rsidRPr="006325E6">
          <w:rPr>
            <w:webHidden/>
          </w:rPr>
          <w:instrText xml:space="preserve"> PAGEREF _Toc454544472 \h </w:instrText>
        </w:r>
        <w:r w:rsidR="006325E6" w:rsidRPr="006325E6">
          <w:rPr>
            <w:webHidden/>
          </w:rPr>
        </w:r>
        <w:r w:rsidR="006325E6" w:rsidRPr="006325E6">
          <w:rPr>
            <w:webHidden/>
          </w:rPr>
          <w:fldChar w:fldCharType="separate"/>
        </w:r>
        <w:r w:rsidR="004E4E0A">
          <w:rPr>
            <w:webHidden/>
          </w:rPr>
          <w:t>100</w:t>
        </w:r>
        <w:r w:rsidR="006325E6" w:rsidRPr="006325E6">
          <w:rPr>
            <w:webHidden/>
          </w:rPr>
          <w:fldChar w:fldCharType="end"/>
        </w:r>
      </w:hyperlink>
    </w:p>
    <w:p w:rsidR="006325E6" w:rsidRDefault="00271F1E">
      <w:pPr>
        <w:pStyle w:val="TOC2"/>
        <w:rPr>
          <w:rFonts w:eastAsiaTheme="minorEastAsia" w:cstheme="minorBidi"/>
          <w:smallCaps w:val="0"/>
          <w:noProof/>
          <w:sz w:val="22"/>
          <w:szCs w:val="22"/>
        </w:rPr>
      </w:pPr>
      <w:hyperlink w:anchor="_Toc454544473" w:history="1">
        <w:r w:rsidR="006325E6" w:rsidRPr="00CE61AB">
          <w:rPr>
            <w:rStyle w:val="Hyperlink"/>
            <w:noProof/>
          </w:rPr>
          <w:t>PROGRAM 7</w:t>
        </w:r>
        <w:r w:rsidR="006325E6">
          <w:rPr>
            <w:rFonts w:eastAsiaTheme="minorEastAsia" w:cstheme="minorBidi"/>
            <w:smallCaps w:val="0"/>
            <w:noProof/>
            <w:sz w:val="22"/>
            <w:szCs w:val="22"/>
          </w:rPr>
          <w:tab/>
        </w:r>
        <w:r w:rsidR="006325E6" w:rsidRPr="00CE61AB">
          <w:rPr>
            <w:rStyle w:val="Hyperlink"/>
            <w:noProof/>
          </w:rPr>
          <w:t xml:space="preserve"> ARBITRATION, MEDIATION AND DOMAIN NAMES</w:t>
        </w:r>
        <w:r w:rsidR="006325E6">
          <w:rPr>
            <w:noProof/>
            <w:webHidden/>
          </w:rPr>
          <w:tab/>
        </w:r>
        <w:r w:rsidR="006325E6">
          <w:rPr>
            <w:noProof/>
            <w:webHidden/>
          </w:rPr>
          <w:fldChar w:fldCharType="begin"/>
        </w:r>
        <w:r w:rsidR="006325E6">
          <w:rPr>
            <w:noProof/>
            <w:webHidden/>
          </w:rPr>
          <w:instrText xml:space="preserve"> PAGEREF _Toc454544473 \h </w:instrText>
        </w:r>
        <w:r w:rsidR="006325E6">
          <w:rPr>
            <w:noProof/>
            <w:webHidden/>
          </w:rPr>
        </w:r>
        <w:r w:rsidR="006325E6">
          <w:rPr>
            <w:noProof/>
            <w:webHidden/>
          </w:rPr>
          <w:fldChar w:fldCharType="separate"/>
        </w:r>
        <w:r w:rsidR="004E4E0A">
          <w:rPr>
            <w:noProof/>
            <w:webHidden/>
          </w:rPr>
          <w:t>108</w:t>
        </w:r>
        <w:r w:rsidR="006325E6">
          <w:rPr>
            <w:noProof/>
            <w:webHidden/>
          </w:rPr>
          <w:fldChar w:fldCharType="end"/>
        </w:r>
      </w:hyperlink>
    </w:p>
    <w:p w:rsidR="006325E6" w:rsidRDefault="00271F1E">
      <w:pPr>
        <w:pStyle w:val="TOC2"/>
        <w:rPr>
          <w:rFonts w:eastAsiaTheme="minorEastAsia" w:cstheme="minorBidi"/>
          <w:smallCaps w:val="0"/>
          <w:noProof/>
          <w:sz w:val="22"/>
          <w:szCs w:val="22"/>
        </w:rPr>
      </w:pPr>
      <w:hyperlink w:anchor="_Toc454544474" w:history="1">
        <w:r w:rsidR="006325E6" w:rsidRPr="00CE61AB">
          <w:rPr>
            <w:rStyle w:val="Hyperlink"/>
            <w:rFonts w:ascii="Arial" w:hAnsi="Arial"/>
            <w:noProof/>
          </w:rPr>
          <w:t>STRATEGIC GOAL III</w:t>
        </w:r>
        <w:r w:rsidR="006325E6">
          <w:rPr>
            <w:noProof/>
            <w:webHidden/>
          </w:rPr>
          <w:tab/>
        </w:r>
        <w:r w:rsidR="006325E6">
          <w:rPr>
            <w:noProof/>
            <w:webHidden/>
          </w:rPr>
          <w:fldChar w:fldCharType="begin"/>
        </w:r>
        <w:r w:rsidR="006325E6">
          <w:rPr>
            <w:noProof/>
            <w:webHidden/>
          </w:rPr>
          <w:instrText xml:space="preserve"> PAGEREF _Toc454544474 \h </w:instrText>
        </w:r>
        <w:r w:rsidR="006325E6">
          <w:rPr>
            <w:noProof/>
            <w:webHidden/>
          </w:rPr>
        </w:r>
        <w:r w:rsidR="006325E6">
          <w:rPr>
            <w:noProof/>
            <w:webHidden/>
          </w:rPr>
          <w:fldChar w:fldCharType="separate"/>
        </w:r>
        <w:r w:rsidR="004E4E0A">
          <w:rPr>
            <w:noProof/>
            <w:webHidden/>
          </w:rPr>
          <w:t>113</w:t>
        </w:r>
        <w:r w:rsidR="006325E6">
          <w:rPr>
            <w:noProof/>
            <w:webHidden/>
          </w:rPr>
          <w:fldChar w:fldCharType="end"/>
        </w:r>
      </w:hyperlink>
    </w:p>
    <w:p w:rsidR="006325E6" w:rsidRDefault="00271F1E">
      <w:pPr>
        <w:pStyle w:val="TOC2"/>
        <w:rPr>
          <w:rFonts w:eastAsiaTheme="minorEastAsia" w:cstheme="minorBidi"/>
          <w:smallCaps w:val="0"/>
          <w:noProof/>
          <w:sz w:val="22"/>
          <w:szCs w:val="22"/>
        </w:rPr>
      </w:pPr>
      <w:hyperlink w:anchor="_Toc454544475" w:history="1">
        <w:r w:rsidR="006325E6" w:rsidRPr="00CE61AB">
          <w:rPr>
            <w:rStyle w:val="Hyperlink"/>
            <w:noProof/>
          </w:rPr>
          <w:t>PROGRAM 8</w:t>
        </w:r>
        <w:r w:rsidR="006325E6">
          <w:rPr>
            <w:rFonts w:eastAsiaTheme="minorEastAsia" w:cstheme="minorBidi"/>
            <w:smallCaps w:val="0"/>
            <w:noProof/>
            <w:sz w:val="22"/>
            <w:szCs w:val="22"/>
          </w:rPr>
          <w:tab/>
        </w:r>
        <w:r w:rsidR="006325E6" w:rsidRPr="00CE61AB">
          <w:rPr>
            <w:rStyle w:val="Hyperlink"/>
            <w:noProof/>
          </w:rPr>
          <w:t>DEVELOPMENT AGENDA COORDINATION</w:t>
        </w:r>
        <w:r w:rsidR="006325E6">
          <w:rPr>
            <w:noProof/>
            <w:webHidden/>
          </w:rPr>
          <w:tab/>
        </w:r>
        <w:r w:rsidR="006325E6">
          <w:rPr>
            <w:noProof/>
            <w:webHidden/>
          </w:rPr>
          <w:fldChar w:fldCharType="begin"/>
        </w:r>
        <w:r w:rsidR="006325E6">
          <w:rPr>
            <w:noProof/>
            <w:webHidden/>
          </w:rPr>
          <w:instrText xml:space="preserve"> PAGEREF _Toc454544475 \h </w:instrText>
        </w:r>
        <w:r w:rsidR="006325E6">
          <w:rPr>
            <w:noProof/>
            <w:webHidden/>
          </w:rPr>
        </w:r>
        <w:r w:rsidR="006325E6">
          <w:rPr>
            <w:noProof/>
            <w:webHidden/>
          </w:rPr>
          <w:fldChar w:fldCharType="separate"/>
        </w:r>
        <w:r w:rsidR="004E4E0A">
          <w:rPr>
            <w:noProof/>
            <w:webHidden/>
          </w:rPr>
          <w:t>116</w:t>
        </w:r>
        <w:r w:rsidR="006325E6">
          <w:rPr>
            <w:noProof/>
            <w:webHidden/>
          </w:rPr>
          <w:fldChar w:fldCharType="end"/>
        </w:r>
      </w:hyperlink>
    </w:p>
    <w:p w:rsidR="006325E6" w:rsidRDefault="00271F1E">
      <w:pPr>
        <w:pStyle w:val="TOC2"/>
        <w:rPr>
          <w:rFonts w:eastAsiaTheme="minorEastAsia" w:cstheme="minorBidi"/>
          <w:smallCaps w:val="0"/>
          <w:noProof/>
          <w:sz w:val="22"/>
          <w:szCs w:val="22"/>
        </w:rPr>
      </w:pPr>
      <w:hyperlink w:anchor="_Toc454544476" w:history="1">
        <w:r w:rsidR="006325E6" w:rsidRPr="00CE61AB">
          <w:rPr>
            <w:rStyle w:val="Hyperlink"/>
            <w:noProof/>
          </w:rPr>
          <w:t>PROGRAM 9</w:t>
        </w:r>
        <w:r w:rsidR="006325E6">
          <w:rPr>
            <w:rFonts w:eastAsiaTheme="minorEastAsia" w:cstheme="minorBidi"/>
            <w:smallCaps w:val="0"/>
            <w:noProof/>
            <w:sz w:val="22"/>
            <w:szCs w:val="22"/>
          </w:rPr>
          <w:tab/>
        </w:r>
        <w:r w:rsidR="006325E6" w:rsidRPr="00CE61AB">
          <w:rPr>
            <w:rStyle w:val="Hyperlink"/>
            <w:noProof/>
          </w:rPr>
          <w:t>AFRICA, ARAB, ASIA AND THE PACIFIC, LATIN AMERICA AND THE CARIBBEAN COUNTRIES, LEAST DEVELOPED COUNTRIES</w:t>
        </w:r>
        <w:r w:rsidR="006325E6">
          <w:rPr>
            <w:noProof/>
            <w:webHidden/>
          </w:rPr>
          <w:tab/>
        </w:r>
        <w:r w:rsidR="006325E6">
          <w:rPr>
            <w:noProof/>
            <w:webHidden/>
          </w:rPr>
          <w:fldChar w:fldCharType="begin"/>
        </w:r>
        <w:r w:rsidR="006325E6">
          <w:rPr>
            <w:noProof/>
            <w:webHidden/>
          </w:rPr>
          <w:instrText xml:space="preserve"> PAGEREF _Toc454544476 \h </w:instrText>
        </w:r>
        <w:r w:rsidR="006325E6">
          <w:rPr>
            <w:noProof/>
            <w:webHidden/>
          </w:rPr>
        </w:r>
        <w:r w:rsidR="006325E6">
          <w:rPr>
            <w:noProof/>
            <w:webHidden/>
          </w:rPr>
          <w:fldChar w:fldCharType="separate"/>
        </w:r>
        <w:r w:rsidR="004E4E0A">
          <w:rPr>
            <w:noProof/>
            <w:webHidden/>
          </w:rPr>
          <w:t>120</w:t>
        </w:r>
        <w:r w:rsidR="006325E6">
          <w:rPr>
            <w:noProof/>
            <w:webHidden/>
          </w:rPr>
          <w:fldChar w:fldCharType="end"/>
        </w:r>
      </w:hyperlink>
    </w:p>
    <w:p w:rsidR="006325E6" w:rsidRDefault="00271F1E">
      <w:pPr>
        <w:pStyle w:val="TOC2"/>
        <w:rPr>
          <w:rFonts w:eastAsiaTheme="minorEastAsia" w:cstheme="minorBidi"/>
          <w:smallCaps w:val="0"/>
          <w:noProof/>
          <w:sz w:val="22"/>
          <w:szCs w:val="22"/>
        </w:rPr>
      </w:pPr>
      <w:hyperlink w:anchor="_Toc454544477" w:history="1">
        <w:r w:rsidR="006325E6" w:rsidRPr="00CE61AB">
          <w:rPr>
            <w:rStyle w:val="Hyperlink"/>
            <w:noProof/>
          </w:rPr>
          <w:t>PROGRAM 10</w:t>
        </w:r>
        <w:r w:rsidR="006325E6">
          <w:rPr>
            <w:rFonts w:eastAsiaTheme="minorEastAsia" w:cstheme="minorBidi"/>
            <w:smallCaps w:val="0"/>
            <w:noProof/>
            <w:sz w:val="22"/>
            <w:szCs w:val="22"/>
          </w:rPr>
          <w:tab/>
        </w:r>
        <w:r w:rsidR="006325E6" w:rsidRPr="00CE61AB">
          <w:rPr>
            <w:rStyle w:val="Hyperlink"/>
            <w:noProof/>
          </w:rPr>
          <w:t>COOPERATIONS WITH CERTAIN COUNTRIES IN EUROPE AND ASIA</w:t>
        </w:r>
        <w:r w:rsidR="006325E6">
          <w:rPr>
            <w:noProof/>
            <w:webHidden/>
          </w:rPr>
          <w:tab/>
        </w:r>
        <w:r w:rsidR="006325E6">
          <w:rPr>
            <w:noProof/>
            <w:webHidden/>
          </w:rPr>
          <w:fldChar w:fldCharType="begin"/>
        </w:r>
        <w:r w:rsidR="006325E6">
          <w:rPr>
            <w:noProof/>
            <w:webHidden/>
          </w:rPr>
          <w:instrText xml:space="preserve"> PAGEREF _Toc454544477 \h </w:instrText>
        </w:r>
        <w:r w:rsidR="006325E6">
          <w:rPr>
            <w:noProof/>
            <w:webHidden/>
          </w:rPr>
        </w:r>
        <w:r w:rsidR="006325E6">
          <w:rPr>
            <w:noProof/>
            <w:webHidden/>
          </w:rPr>
          <w:fldChar w:fldCharType="separate"/>
        </w:r>
        <w:r w:rsidR="004E4E0A">
          <w:rPr>
            <w:noProof/>
            <w:webHidden/>
          </w:rPr>
          <w:t>130</w:t>
        </w:r>
        <w:r w:rsidR="006325E6">
          <w:rPr>
            <w:noProof/>
            <w:webHidden/>
          </w:rPr>
          <w:fldChar w:fldCharType="end"/>
        </w:r>
      </w:hyperlink>
    </w:p>
    <w:p w:rsidR="006325E6" w:rsidRDefault="00271F1E">
      <w:pPr>
        <w:pStyle w:val="TOC2"/>
        <w:rPr>
          <w:rFonts w:eastAsiaTheme="minorEastAsia" w:cstheme="minorBidi"/>
          <w:smallCaps w:val="0"/>
          <w:noProof/>
          <w:sz w:val="22"/>
          <w:szCs w:val="22"/>
        </w:rPr>
      </w:pPr>
      <w:hyperlink w:anchor="_Toc454544478" w:history="1">
        <w:r w:rsidR="006325E6" w:rsidRPr="00CE61AB">
          <w:rPr>
            <w:rStyle w:val="Hyperlink"/>
            <w:noProof/>
          </w:rPr>
          <w:t>PROGRAM 11</w:t>
        </w:r>
        <w:r w:rsidR="006325E6">
          <w:rPr>
            <w:rFonts w:eastAsiaTheme="minorEastAsia" w:cstheme="minorBidi"/>
            <w:smallCaps w:val="0"/>
            <w:noProof/>
            <w:sz w:val="22"/>
            <w:szCs w:val="22"/>
          </w:rPr>
          <w:tab/>
        </w:r>
        <w:r w:rsidR="006325E6" w:rsidRPr="00CE61AB">
          <w:rPr>
            <w:rStyle w:val="Hyperlink"/>
            <w:noProof/>
          </w:rPr>
          <w:t>THE WIPO ACADEMY</w:t>
        </w:r>
        <w:r w:rsidR="006325E6">
          <w:rPr>
            <w:noProof/>
            <w:webHidden/>
          </w:rPr>
          <w:tab/>
        </w:r>
        <w:r w:rsidR="006325E6">
          <w:rPr>
            <w:noProof/>
            <w:webHidden/>
          </w:rPr>
          <w:fldChar w:fldCharType="begin"/>
        </w:r>
        <w:r w:rsidR="006325E6">
          <w:rPr>
            <w:noProof/>
            <w:webHidden/>
          </w:rPr>
          <w:instrText xml:space="preserve"> PAGEREF _Toc454544478 \h </w:instrText>
        </w:r>
        <w:r w:rsidR="006325E6">
          <w:rPr>
            <w:noProof/>
            <w:webHidden/>
          </w:rPr>
        </w:r>
        <w:r w:rsidR="006325E6">
          <w:rPr>
            <w:noProof/>
            <w:webHidden/>
          </w:rPr>
          <w:fldChar w:fldCharType="separate"/>
        </w:r>
        <w:r w:rsidR="004E4E0A">
          <w:rPr>
            <w:noProof/>
            <w:webHidden/>
          </w:rPr>
          <w:t>136</w:t>
        </w:r>
        <w:r w:rsidR="006325E6">
          <w:rPr>
            <w:noProof/>
            <w:webHidden/>
          </w:rPr>
          <w:fldChar w:fldCharType="end"/>
        </w:r>
      </w:hyperlink>
    </w:p>
    <w:p w:rsidR="006325E6" w:rsidRDefault="00271F1E">
      <w:pPr>
        <w:pStyle w:val="TOC2"/>
        <w:rPr>
          <w:rFonts w:eastAsiaTheme="minorEastAsia" w:cstheme="minorBidi"/>
          <w:smallCaps w:val="0"/>
          <w:noProof/>
          <w:sz w:val="22"/>
          <w:szCs w:val="22"/>
        </w:rPr>
      </w:pPr>
      <w:hyperlink w:anchor="_Toc454544479" w:history="1">
        <w:r w:rsidR="006325E6" w:rsidRPr="00CE61AB">
          <w:rPr>
            <w:rStyle w:val="Hyperlink"/>
            <w:noProof/>
          </w:rPr>
          <w:t>PROGRAM 30</w:t>
        </w:r>
        <w:r w:rsidR="006325E6">
          <w:rPr>
            <w:rFonts w:eastAsiaTheme="minorEastAsia" w:cstheme="minorBidi"/>
            <w:smallCaps w:val="0"/>
            <w:noProof/>
            <w:sz w:val="22"/>
            <w:szCs w:val="22"/>
          </w:rPr>
          <w:tab/>
        </w:r>
        <w:r w:rsidR="006325E6" w:rsidRPr="00CE61AB">
          <w:rPr>
            <w:rStyle w:val="Hyperlink"/>
            <w:noProof/>
          </w:rPr>
          <w:t>SMALL AND MEDIUM-SIZED ENTERPRISES (SMES) AND INNOVATION</w:t>
        </w:r>
        <w:r w:rsidR="006325E6">
          <w:rPr>
            <w:noProof/>
            <w:webHidden/>
          </w:rPr>
          <w:tab/>
        </w:r>
        <w:r w:rsidR="006325E6">
          <w:rPr>
            <w:noProof/>
            <w:webHidden/>
          </w:rPr>
          <w:fldChar w:fldCharType="begin"/>
        </w:r>
        <w:r w:rsidR="006325E6">
          <w:rPr>
            <w:noProof/>
            <w:webHidden/>
          </w:rPr>
          <w:instrText xml:space="preserve"> PAGEREF _Toc454544479 \h </w:instrText>
        </w:r>
        <w:r w:rsidR="006325E6">
          <w:rPr>
            <w:noProof/>
            <w:webHidden/>
          </w:rPr>
        </w:r>
        <w:r w:rsidR="006325E6">
          <w:rPr>
            <w:noProof/>
            <w:webHidden/>
          </w:rPr>
          <w:fldChar w:fldCharType="separate"/>
        </w:r>
        <w:r w:rsidR="004E4E0A">
          <w:rPr>
            <w:noProof/>
            <w:webHidden/>
          </w:rPr>
          <w:t>143</w:t>
        </w:r>
        <w:r w:rsidR="006325E6">
          <w:rPr>
            <w:noProof/>
            <w:webHidden/>
          </w:rPr>
          <w:fldChar w:fldCharType="end"/>
        </w:r>
      </w:hyperlink>
    </w:p>
    <w:p w:rsidR="006325E6" w:rsidRDefault="00271F1E">
      <w:pPr>
        <w:pStyle w:val="TOC2"/>
        <w:rPr>
          <w:rFonts w:eastAsiaTheme="minorEastAsia" w:cstheme="minorBidi"/>
          <w:smallCaps w:val="0"/>
          <w:noProof/>
          <w:sz w:val="22"/>
          <w:szCs w:val="22"/>
        </w:rPr>
      </w:pPr>
      <w:hyperlink w:anchor="_Toc454544480" w:history="1">
        <w:r w:rsidR="006325E6" w:rsidRPr="00CE61AB">
          <w:rPr>
            <w:rStyle w:val="Hyperlink"/>
            <w:rFonts w:ascii="Arial" w:hAnsi="Arial" w:cs="Arial"/>
            <w:noProof/>
          </w:rPr>
          <w:t>STRATEGIC GOAL IV</w:t>
        </w:r>
        <w:r w:rsidR="006325E6">
          <w:rPr>
            <w:noProof/>
            <w:webHidden/>
          </w:rPr>
          <w:tab/>
        </w:r>
        <w:r w:rsidR="006325E6">
          <w:rPr>
            <w:noProof/>
            <w:webHidden/>
          </w:rPr>
          <w:fldChar w:fldCharType="begin"/>
        </w:r>
        <w:r w:rsidR="006325E6">
          <w:rPr>
            <w:noProof/>
            <w:webHidden/>
          </w:rPr>
          <w:instrText xml:space="preserve"> PAGEREF _Toc454544480 \h </w:instrText>
        </w:r>
        <w:r w:rsidR="006325E6">
          <w:rPr>
            <w:noProof/>
            <w:webHidden/>
          </w:rPr>
        </w:r>
        <w:r w:rsidR="006325E6">
          <w:rPr>
            <w:noProof/>
            <w:webHidden/>
          </w:rPr>
          <w:fldChar w:fldCharType="separate"/>
        </w:r>
        <w:r w:rsidR="004E4E0A">
          <w:rPr>
            <w:noProof/>
            <w:webHidden/>
          </w:rPr>
          <w:t>149</w:t>
        </w:r>
        <w:r w:rsidR="006325E6">
          <w:rPr>
            <w:noProof/>
            <w:webHidden/>
          </w:rPr>
          <w:fldChar w:fldCharType="end"/>
        </w:r>
      </w:hyperlink>
    </w:p>
    <w:p w:rsidR="006325E6" w:rsidRDefault="00271F1E">
      <w:pPr>
        <w:pStyle w:val="TOC2"/>
        <w:rPr>
          <w:rFonts w:eastAsiaTheme="minorEastAsia" w:cstheme="minorBidi"/>
          <w:smallCaps w:val="0"/>
          <w:noProof/>
          <w:sz w:val="22"/>
          <w:szCs w:val="22"/>
        </w:rPr>
      </w:pPr>
      <w:hyperlink w:anchor="_Toc454544481" w:history="1">
        <w:r w:rsidR="006325E6" w:rsidRPr="00CE61AB">
          <w:rPr>
            <w:rStyle w:val="Hyperlink"/>
            <w:noProof/>
          </w:rPr>
          <w:t>PROGRAM 12</w:t>
        </w:r>
        <w:r w:rsidR="006325E6">
          <w:rPr>
            <w:rFonts w:eastAsiaTheme="minorEastAsia" w:cstheme="minorBidi"/>
            <w:smallCaps w:val="0"/>
            <w:noProof/>
            <w:sz w:val="22"/>
            <w:szCs w:val="22"/>
          </w:rPr>
          <w:tab/>
        </w:r>
        <w:r w:rsidR="006325E6" w:rsidRPr="00CE61AB">
          <w:rPr>
            <w:rStyle w:val="Hyperlink"/>
            <w:noProof/>
          </w:rPr>
          <w:t>INTERNATIONAL CLASSIFICATIONS AND STANDARDS</w:t>
        </w:r>
        <w:r w:rsidR="006325E6">
          <w:rPr>
            <w:noProof/>
            <w:webHidden/>
          </w:rPr>
          <w:tab/>
        </w:r>
        <w:r w:rsidR="006325E6">
          <w:rPr>
            <w:noProof/>
            <w:webHidden/>
          </w:rPr>
          <w:fldChar w:fldCharType="begin"/>
        </w:r>
        <w:r w:rsidR="006325E6">
          <w:rPr>
            <w:noProof/>
            <w:webHidden/>
          </w:rPr>
          <w:instrText xml:space="preserve"> PAGEREF _Toc454544481 \h </w:instrText>
        </w:r>
        <w:r w:rsidR="006325E6">
          <w:rPr>
            <w:noProof/>
            <w:webHidden/>
          </w:rPr>
        </w:r>
        <w:r w:rsidR="006325E6">
          <w:rPr>
            <w:noProof/>
            <w:webHidden/>
          </w:rPr>
          <w:fldChar w:fldCharType="separate"/>
        </w:r>
        <w:r w:rsidR="004E4E0A">
          <w:rPr>
            <w:noProof/>
            <w:webHidden/>
          </w:rPr>
          <w:t>152</w:t>
        </w:r>
        <w:r w:rsidR="006325E6">
          <w:rPr>
            <w:noProof/>
            <w:webHidden/>
          </w:rPr>
          <w:fldChar w:fldCharType="end"/>
        </w:r>
      </w:hyperlink>
    </w:p>
    <w:p w:rsidR="006325E6" w:rsidRDefault="00271F1E">
      <w:pPr>
        <w:pStyle w:val="TOC2"/>
        <w:rPr>
          <w:rFonts w:eastAsiaTheme="minorEastAsia" w:cstheme="minorBidi"/>
          <w:smallCaps w:val="0"/>
          <w:noProof/>
          <w:sz w:val="22"/>
          <w:szCs w:val="22"/>
        </w:rPr>
      </w:pPr>
      <w:hyperlink w:anchor="_Toc454544482" w:history="1">
        <w:r w:rsidR="006325E6" w:rsidRPr="00CE61AB">
          <w:rPr>
            <w:rStyle w:val="Hyperlink"/>
            <w:noProof/>
          </w:rPr>
          <w:t>PROGRAM 13</w:t>
        </w:r>
        <w:r w:rsidR="006325E6">
          <w:rPr>
            <w:rFonts w:eastAsiaTheme="minorEastAsia" w:cstheme="minorBidi"/>
            <w:smallCaps w:val="0"/>
            <w:noProof/>
            <w:sz w:val="22"/>
            <w:szCs w:val="22"/>
          </w:rPr>
          <w:tab/>
        </w:r>
        <w:r w:rsidR="006325E6" w:rsidRPr="00CE61AB">
          <w:rPr>
            <w:rStyle w:val="Hyperlink"/>
            <w:noProof/>
          </w:rPr>
          <w:t>GLOBAL DATABASES</w:t>
        </w:r>
        <w:r w:rsidR="006325E6">
          <w:rPr>
            <w:noProof/>
            <w:webHidden/>
          </w:rPr>
          <w:tab/>
        </w:r>
        <w:r w:rsidR="006325E6">
          <w:rPr>
            <w:noProof/>
            <w:webHidden/>
          </w:rPr>
          <w:fldChar w:fldCharType="begin"/>
        </w:r>
        <w:r w:rsidR="006325E6">
          <w:rPr>
            <w:noProof/>
            <w:webHidden/>
          </w:rPr>
          <w:instrText xml:space="preserve"> PAGEREF _Toc454544482 \h </w:instrText>
        </w:r>
        <w:r w:rsidR="006325E6">
          <w:rPr>
            <w:noProof/>
            <w:webHidden/>
          </w:rPr>
        </w:r>
        <w:r w:rsidR="006325E6">
          <w:rPr>
            <w:noProof/>
            <w:webHidden/>
          </w:rPr>
          <w:fldChar w:fldCharType="separate"/>
        </w:r>
        <w:r w:rsidR="004E4E0A">
          <w:rPr>
            <w:noProof/>
            <w:webHidden/>
          </w:rPr>
          <w:t>155</w:t>
        </w:r>
        <w:r w:rsidR="006325E6">
          <w:rPr>
            <w:noProof/>
            <w:webHidden/>
          </w:rPr>
          <w:fldChar w:fldCharType="end"/>
        </w:r>
      </w:hyperlink>
    </w:p>
    <w:p w:rsidR="006325E6" w:rsidRDefault="00271F1E">
      <w:pPr>
        <w:pStyle w:val="TOC2"/>
        <w:rPr>
          <w:rFonts w:eastAsiaTheme="minorEastAsia" w:cstheme="minorBidi"/>
          <w:smallCaps w:val="0"/>
          <w:noProof/>
          <w:sz w:val="22"/>
          <w:szCs w:val="22"/>
        </w:rPr>
      </w:pPr>
      <w:hyperlink w:anchor="_Toc454544483" w:history="1">
        <w:r w:rsidR="006325E6" w:rsidRPr="00CE61AB">
          <w:rPr>
            <w:rStyle w:val="Hyperlink"/>
            <w:noProof/>
          </w:rPr>
          <w:t>PROGRAM 14</w:t>
        </w:r>
        <w:r w:rsidR="006325E6">
          <w:rPr>
            <w:rFonts w:eastAsiaTheme="minorEastAsia" w:cstheme="minorBidi"/>
            <w:smallCaps w:val="0"/>
            <w:noProof/>
            <w:sz w:val="22"/>
            <w:szCs w:val="22"/>
          </w:rPr>
          <w:tab/>
        </w:r>
        <w:r w:rsidR="006325E6" w:rsidRPr="00CE61AB">
          <w:rPr>
            <w:rStyle w:val="Hyperlink"/>
            <w:noProof/>
          </w:rPr>
          <w:t>SERVICES FOR ACCESS TO INFORMATION AND KNOWLEDGE</w:t>
        </w:r>
        <w:r w:rsidR="006325E6">
          <w:rPr>
            <w:noProof/>
            <w:webHidden/>
          </w:rPr>
          <w:tab/>
        </w:r>
        <w:r w:rsidR="006325E6">
          <w:rPr>
            <w:noProof/>
            <w:webHidden/>
          </w:rPr>
          <w:fldChar w:fldCharType="begin"/>
        </w:r>
        <w:r w:rsidR="006325E6">
          <w:rPr>
            <w:noProof/>
            <w:webHidden/>
          </w:rPr>
          <w:instrText xml:space="preserve"> PAGEREF _Toc454544483 \h </w:instrText>
        </w:r>
        <w:r w:rsidR="006325E6">
          <w:rPr>
            <w:noProof/>
            <w:webHidden/>
          </w:rPr>
        </w:r>
        <w:r w:rsidR="006325E6">
          <w:rPr>
            <w:noProof/>
            <w:webHidden/>
          </w:rPr>
          <w:fldChar w:fldCharType="separate"/>
        </w:r>
        <w:r w:rsidR="004E4E0A">
          <w:rPr>
            <w:noProof/>
            <w:webHidden/>
          </w:rPr>
          <w:t>159</w:t>
        </w:r>
        <w:r w:rsidR="006325E6">
          <w:rPr>
            <w:noProof/>
            <w:webHidden/>
          </w:rPr>
          <w:fldChar w:fldCharType="end"/>
        </w:r>
      </w:hyperlink>
    </w:p>
    <w:p w:rsidR="006325E6" w:rsidRDefault="00271F1E">
      <w:pPr>
        <w:pStyle w:val="TOC2"/>
        <w:rPr>
          <w:rFonts w:eastAsiaTheme="minorEastAsia" w:cstheme="minorBidi"/>
          <w:smallCaps w:val="0"/>
          <w:noProof/>
          <w:sz w:val="22"/>
          <w:szCs w:val="22"/>
        </w:rPr>
      </w:pPr>
      <w:hyperlink w:anchor="_Toc454544484" w:history="1">
        <w:r w:rsidR="006325E6" w:rsidRPr="00CE61AB">
          <w:rPr>
            <w:rStyle w:val="Hyperlink"/>
            <w:noProof/>
          </w:rPr>
          <w:t>PROGRAM 15</w:t>
        </w:r>
        <w:r w:rsidR="006325E6">
          <w:rPr>
            <w:rFonts w:eastAsiaTheme="minorEastAsia" w:cstheme="minorBidi"/>
            <w:smallCaps w:val="0"/>
            <w:noProof/>
            <w:sz w:val="22"/>
            <w:szCs w:val="22"/>
          </w:rPr>
          <w:tab/>
        </w:r>
        <w:r w:rsidR="006325E6" w:rsidRPr="00CE61AB">
          <w:rPr>
            <w:rStyle w:val="Hyperlink"/>
            <w:noProof/>
          </w:rPr>
          <w:t>BUSINESS SOLUTIONS FOR IP OFFICES</w:t>
        </w:r>
        <w:r w:rsidR="006325E6">
          <w:rPr>
            <w:noProof/>
            <w:webHidden/>
          </w:rPr>
          <w:tab/>
        </w:r>
        <w:r w:rsidR="006325E6">
          <w:rPr>
            <w:noProof/>
            <w:webHidden/>
          </w:rPr>
          <w:fldChar w:fldCharType="begin"/>
        </w:r>
        <w:r w:rsidR="006325E6">
          <w:rPr>
            <w:noProof/>
            <w:webHidden/>
          </w:rPr>
          <w:instrText xml:space="preserve"> PAGEREF _Toc454544484 \h </w:instrText>
        </w:r>
        <w:r w:rsidR="006325E6">
          <w:rPr>
            <w:noProof/>
            <w:webHidden/>
          </w:rPr>
        </w:r>
        <w:r w:rsidR="006325E6">
          <w:rPr>
            <w:noProof/>
            <w:webHidden/>
          </w:rPr>
          <w:fldChar w:fldCharType="separate"/>
        </w:r>
        <w:r w:rsidR="004E4E0A">
          <w:rPr>
            <w:noProof/>
            <w:webHidden/>
          </w:rPr>
          <w:t>163</w:t>
        </w:r>
        <w:r w:rsidR="006325E6">
          <w:rPr>
            <w:noProof/>
            <w:webHidden/>
          </w:rPr>
          <w:fldChar w:fldCharType="end"/>
        </w:r>
      </w:hyperlink>
    </w:p>
    <w:p w:rsidR="006325E6" w:rsidRDefault="00271F1E">
      <w:pPr>
        <w:pStyle w:val="TOC2"/>
        <w:rPr>
          <w:rFonts w:eastAsiaTheme="minorEastAsia" w:cstheme="minorBidi"/>
          <w:smallCaps w:val="0"/>
          <w:noProof/>
          <w:sz w:val="22"/>
          <w:szCs w:val="22"/>
        </w:rPr>
      </w:pPr>
      <w:hyperlink w:anchor="_Toc454544485" w:history="1">
        <w:r w:rsidR="006325E6" w:rsidRPr="00CE61AB">
          <w:rPr>
            <w:rStyle w:val="Hyperlink"/>
            <w:rFonts w:ascii="Arial" w:hAnsi="Arial" w:cs="Arial"/>
            <w:noProof/>
          </w:rPr>
          <w:t>STRATEGIC GOAL V</w:t>
        </w:r>
        <w:r w:rsidR="006325E6">
          <w:rPr>
            <w:noProof/>
            <w:webHidden/>
          </w:rPr>
          <w:tab/>
        </w:r>
        <w:r w:rsidR="006325E6">
          <w:rPr>
            <w:noProof/>
            <w:webHidden/>
          </w:rPr>
          <w:fldChar w:fldCharType="begin"/>
        </w:r>
        <w:r w:rsidR="006325E6">
          <w:rPr>
            <w:noProof/>
            <w:webHidden/>
          </w:rPr>
          <w:instrText xml:space="preserve"> PAGEREF _Toc454544485 \h </w:instrText>
        </w:r>
        <w:r w:rsidR="006325E6">
          <w:rPr>
            <w:noProof/>
            <w:webHidden/>
          </w:rPr>
        </w:r>
        <w:r w:rsidR="006325E6">
          <w:rPr>
            <w:noProof/>
            <w:webHidden/>
          </w:rPr>
          <w:fldChar w:fldCharType="separate"/>
        </w:r>
        <w:r w:rsidR="004E4E0A">
          <w:rPr>
            <w:noProof/>
            <w:webHidden/>
          </w:rPr>
          <w:t>167</w:t>
        </w:r>
        <w:r w:rsidR="006325E6">
          <w:rPr>
            <w:noProof/>
            <w:webHidden/>
          </w:rPr>
          <w:fldChar w:fldCharType="end"/>
        </w:r>
      </w:hyperlink>
    </w:p>
    <w:p w:rsidR="006325E6" w:rsidRDefault="00271F1E">
      <w:pPr>
        <w:pStyle w:val="TOC2"/>
        <w:rPr>
          <w:rFonts w:eastAsiaTheme="minorEastAsia" w:cstheme="minorBidi"/>
          <w:smallCaps w:val="0"/>
          <w:noProof/>
          <w:sz w:val="22"/>
          <w:szCs w:val="22"/>
        </w:rPr>
      </w:pPr>
      <w:hyperlink w:anchor="_Toc454544486" w:history="1">
        <w:r w:rsidR="006325E6" w:rsidRPr="00CE61AB">
          <w:rPr>
            <w:rStyle w:val="Hyperlink"/>
            <w:rFonts w:eastAsia="SimSun"/>
            <w:caps/>
            <w:noProof/>
            <w:lang w:eastAsia="zh-CN"/>
          </w:rPr>
          <w:t>PROGRAM 16</w:t>
        </w:r>
        <w:r w:rsidR="006325E6">
          <w:rPr>
            <w:rFonts w:eastAsiaTheme="minorEastAsia" w:cstheme="minorBidi"/>
            <w:smallCaps w:val="0"/>
            <w:noProof/>
            <w:sz w:val="22"/>
            <w:szCs w:val="22"/>
          </w:rPr>
          <w:tab/>
        </w:r>
        <w:r w:rsidR="006325E6" w:rsidRPr="00CE61AB">
          <w:rPr>
            <w:rStyle w:val="Hyperlink"/>
            <w:rFonts w:eastAsia="SimSun"/>
            <w:caps/>
            <w:noProof/>
            <w:lang w:eastAsia="zh-CN"/>
          </w:rPr>
          <w:t>ECONOMICS AND STATISTICS</w:t>
        </w:r>
        <w:r w:rsidR="006325E6">
          <w:rPr>
            <w:noProof/>
            <w:webHidden/>
          </w:rPr>
          <w:tab/>
        </w:r>
        <w:r w:rsidR="006325E6">
          <w:rPr>
            <w:noProof/>
            <w:webHidden/>
          </w:rPr>
          <w:fldChar w:fldCharType="begin"/>
        </w:r>
        <w:r w:rsidR="006325E6">
          <w:rPr>
            <w:noProof/>
            <w:webHidden/>
          </w:rPr>
          <w:instrText xml:space="preserve"> PAGEREF _Toc454544486 \h </w:instrText>
        </w:r>
        <w:r w:rsidR="006325E6">
          <w:rPr>
            <w:noProof/>
            <w:webHidden/>
          </w:rPr>
        </w:r>
        <w:r w:rsidR="006325E6">
          <w:rPr>
            <w:noProof/>
            <w:webHidden/>
          </w:rPr>
          <w:fldChar w:fldCharType="separate"/>
        </w:r>
        <w:r w:rsidR="004E4E0A">
          <w:rPr>
            <w:noProof/>
            <w:webHidden/>
          </w:rPr>
          <w:t>168</w:t>
        </w:r>
        <w:r w:rsidR="006325E6">
          <w:rPr>
            <w:noProof/>
            <w:webHidden/>
          </w:rPr>
          <w:fldChar w:fldCharType="end"/>
        </w:r>
      </w:hyperlink>
    </w:p>
    <w:p w:rsidR="006325E6" w:rsidRDefault="00271F1E">
      <w:pPr>
        <w:pStyle w:val="TOC2"/>
        <w:rPr>
          <w:rFonts w:eastAsiaTheme="minorEastAsia" w:cstheme="minorBidi"/>
          <w:smallCaps w:val="0"/>
          <w:noProof/>
          <w:sz w:val="22"/>
          <w:szCs w:val="22"/>
        </w:rPr>
      </w:pPr>
      <w:hyperlink w:anchor="_Toc454544487" w:history="1">
        <w:r w:rsidR="006325E6" w:rsidRPr="00CE61AB">
          <w:rPr>
            <w:rStyle w:val="Hyperlink"/>
            <w:rFonts w:ascii="Arial" w:hAnsi="Arial" w:cs="Arial"/>
            <w:noProof/>
          </w:rPr>
          <w:t>STRATEGIC GOAL VI</w:t>
        </w:r>
        <w:r w:rsidR="006325E6">
          <w:rPr>
            <w:noProof/>
            <w:webHidden/>
          </w:rPr>
          <w:tab/>
        </w:r>
        <w:r w:rsidR="006325E6">
          <w:rPr>
            <w:noProof/>
            <w:webHidden/>
          </w:rPr>
          <w:fldChar w:fldCharType="begin"/>
        </w:r>
        <w:r w:rsidR="006325E6">
          <w:rPr>
            <w:noProof/>
            <w:webHidden/>
          </w:rPr>
          <w:instrText xml:space="preserve"> PAGEREF _Toc454544487 \h </w:instrText>
        </w:r>
        <w:r w:rsidR="006325E6">
          <w:rPr>
            <w:noProof/>
            <w:webHidden/>
          </w:rPr>
        </w:r>
        <w:r w:rsidR="006325E6">
          <w:rPr>
            <w:noProof/>
            <w:webHidden/>
          </w:rPr>
          <w:fldChar w:fldCharType="separate"/>
        </w:r>
        <w:r w:rsidR="004E4E0A">
          <w:rPr>
            <w:noProof/>
            <w:webHidden/>
          </w:rPr>
          <w:t>172</w:t>
        </w:r>
        <w:r w:rsidR="006325E6">
          <w:rPr>
            <w:noProof/>
            <w:webHidden/>
          </w:rPr>
          <w:fldChar w:fldCharType="end"/>
        </w:r>
      </w:hyperlink>
    </w:p>
    <w:p w:rsidR="006325E6" w:rsidRDefault="00271F1E">
      <w:pPr>
        <w:pStyle w:val="TOC2"/>
        <w:rPr>
          <w:rFonts w:eastAsiaTheme="minorEastAsia" w:cstheme="minorBidi"/>
          <w:smallCaps w:val="0"/>
          <w:noProof/>
          <w:sz w:val="22"/>
          <w:szCs w:val="22"/>
        </w:rPr>
      </w:pPr>
      <w:hyperlink w:anchor="_Toc454544488" w:history="1">
        <w:r w:rsidR="006325E6" w:rsidRPr="00CE61AB">
          <w:rPr>
            <w:rStyle w:val="Hyperlink"/>
            <w:noProof/>
          </w:rPr>
          <w:t>PROGRAM 17</w:t>
        </w:r>
        <w:r w:rsidR="006325E6">
          <w:rPr>
            <w:rFonts w:eastAsiaTheme="minorEastAsia" w:cstheme="minorBidi"/>
            <w:smallCaps w:val="0"/>
            <w:noProof/>
            <w:sz w:val="22"/>
            <w:szCs w:val="22"/>
          </w:rPr>
          <w:tab/>
        </w:r>
        <w:r w:rsidR="006325E6" w:rsidRPr="00CE61AB">
          <w:rPr>
            <w:rStyle w:val="Hyperlink"/>
            <w:noProof/>
          </w:rPr>
          <w:t>BUILDING RESPECT FOR IP</w:t>
        </w:r>
        <w:r w:rsidR="006325E6">
          <w:rPr>
            <w:noProof/>
            <w:webHidden/>
          </w:rPr>
          <w:tab/>
        </w:r>
        <w:r w:rsidR="006325E6">
          <w:rPr>
            <w:noProof/>
            <w:webHidden/>
          </w:rPr>
          <w:fldChar w:fldCharType="begin"/>
        </w:r>
        <w:r w:rsidR="006325E6">
          <w:rPr>
            <w:noProof/>
            <w:webHidden/>
          </w:rPr>
          <w:instrText xml:space="preserve"> PAGEREF _Toc454544488 \h </w:instrText>
        </w:r>
        <w:r w:rsidR="006325E6">
          <w:rPr>
            <w:noProof/>
            <w:webHidden/>
          </w:rPr>
        </w:r>
        <w:r w:rsidR="006325E6">
          <w:rPr>
            <w:noProof/>
            <w:webHidden/>
          </w:rPr>
          <w:fldChar w:fldCharType="separate"/>
        </w:r>
        <w:r w:rsidR="004E4E0A">
          <w:rPr>
            <w:noProof/>
            <w:webHidden/>
          </w:rPr>
          <w:t>173</w:t>
        </w:r>
        <w:r w:rsidR="006325E6">
          <w:rPr>
            <w:noProof/>
            <w:webHidden/>
          </w:rPr>
          <w:fldChar w:fldCharType="end"/>
        </w:r>
      </w:hyperlink>
    </w:p>
    <w:p w:rsidR="006325E6" w:rsidRDefault="00271F1E">
      <w:pPr>
        <w:pStyle w:val="TOC2"/>
        <w:rPr>
          <w:rFonts w:eastAsiaTheme="minorEastAsia" w:cstheme="minorBidi"/>
          <w:smallCaps w:val="0"/>
          <w:noProof/>
          <w:sz w:val="22"/>
          <w:szCs w:val="22"/>
        </w:rPr>
      </w:pPr>
      <w:hyperlink w:anchor="_Toc454544489" w:history="1">
        <w:r w:rsidR="006325E6" w:rsidRPr="00CE61AB">
          <w:rPr>
            <w:rStyle w:val="Hyperlink"/>
            <w:rFonts w:ascii="Arial" w:hAnsi="Arial" w:cs="Arial"/>
            <w:noProof/>
          </w:rPr>
          <w:t>STRATEGIC GOAL VII</w:t>
        </w:r>
        <w:r w:rsidR="006325E6">
          <w:rPr>
            <w:noProof/>
            <w:webHidden/>
          </w:rPr>
          <w:tab/>
        </w:r>
        <w:r w:rsidR="006325E6">
          <w:rPr>
            <w:noProof/>
            <w:webHidden/>
          </w:rPr>
          <w:fldChar w:fldCharType="begin"/>
        </w:r>
        <w:r w:rsidR="006325E6">
          <w:rPr>
            <w:noProof/>
            <w:webHidden/>
          </w:rPr>
          <w:instrText xml:space="preserve"> PAGEREF _Toc454544489 \h </w:instrText>
        </w:r>
        <w:r w:rsidR="006325E6">
          <w:rPr>
            <w:noProof/>
            <w:webHidden/>
          </w:rPr>
        </w:r>
        <w:r w:rsidR="006325E6">
          <w:rPr>
            <w:noProof/>
            <w:webHidden/>
          </w:rPr>
          <w:fldChar w:fldCharType="separate"/>
        </w:r>
        <w:r w:rsidR="004E4E0A">
          <w:rPr>
            <w:noProof/>
            <w:webHidden/>
          </w:rPr>
          <w:t>177</w:t>
        </w:r>
        <w:r w:rsidR="006325E6">
          <w:rPr>
            <w:noProof/>
            <w:webHidden/>
          </w:rPr>
          <w:fldChar w:fldCharType="end"/>
        </w:r>
      </w:hyperlink>
    </w:p>
    <w:p w:rsidR="006325E6" w:rsidRDefault="00271F1E">
      <w:pPr>
        <w:pStyle w:val="TOC2"/>
        <w:rPr>
          <w:rFonts w:eastAsiaTheme="minorEastAsia" w:cstheme="minorBidi"/>
          <w:smallCaps w:val="0"/>
          <w:noProof/>
          <w:sz w:val="22"/>
          <w:szCs w:val="22"/>
        </w:rPr>
      </w:pPr>
      <w:hyperlink w:anchor="_Toc454544490" w:history="1">
        <w:r w:rsidR="006325E6" w:rsidRPr="00CE61AB">
          <w:rPr>
            <w:rStyle w:val="Hyperlink"/>
            <w:noProof/>
          </w:rPr>
          <w:t>PROGRAM 18</w:t>
        </w:r>
        <w:r w:rsidR="006325E6">
          <w:rPr>
            <w:rFonts w:eastAsiaTheme="minorEastAsia" w:cstheme="minorBidi"/>
            <w:smallCaps w:val="0"/>
            <w:noProof/>
            <w:sz w:val="22"/>
            <w:szCs w:val="22"/>
          </w:rPr>
          <w:tab/>
        </w:r>
        <w:r w:rsidR="006325E6" w:rsidRPr="00CE61AB">
          <w:rPr>
            <w:rStyle w:val="Hyperlink"/>
            <w:noProof/>
          </w:rPr>
          <w:t>IP AND GLOBAL CHALLENGES</w:t>
        </w:r>
        <w:r w:rsidR="006325E6">
          <w:rPr>
            <w:noProof/>
            <w:webHidden/>
          </w:rPr>
          <w:tab/>
        </w:r>
        <w:r w:rsidR="006325E6">
          <w:rPr>
            <w:noProof/>
            <w:webHidden/>
          </w:rPr>
          <w:fldChar w:fldCharType="begin"/>
        </w:r>
        <w:r w:rsidR="006325E6">
          <w:rPr>
            <w:noProof/>
            <w:webHidden/>
          </w:rPr>
          <w:instrText xml:space="preserve"> PAGEREF _Toc454544490 \h </w:instrText>
        </w:r>
        <w:r w:rsidR="006325E6">
          <w:rPr>
            <w:noProof/>
            <w:webHidden/>
          </w:rPr>
        </w:r>
        <w:r w:rsidR="006325E6">
          <w:rPr>
            <w:noProof/>
            <w:webHidden/>
          </w:rPr>
          <w:fldChar w:fldCharType="separate"/>
        </w:r>
        <w:r w:rsidR="004E4E0A">
          <w:rPr>
            <w:noProof/>
            <w:webHidden/>
          </w:rPr>
          <w:t>178</w:t>
        </w:r>
        <w:r w:rsidR="006325E6">
          <w:rPr>
            <w:noProof/>
            <w:webHidden/>
          </w:rPr>
          <w:fldChar w:fldCharType="end"/>
        </w:r>
      </w:hyperlink>
    </w:p>
    <w:p w:rsidR="006325E6" w:rsidRDefault="00271F1E">
      <w:pPr>
        <w:pStyle w:val="TOC2"/>
        <w:rPr>
          <w:rFonts w:eastAsiaTheme="minorEastAsia" w:cstheme="minorBidi"/>
          <w:smallCaps w:val="0"/>
          <w:noProof/>
          <w:sz w:val="22"/>
          <w:szCs w:val="22"/>
        </w:rPr>
      </w:pPr>
      <w:hyperlink w:anchor="_Toc454544491" w:history="1">
        <w:r w:rsidR="006325E6" w:rsidRPr="00CE61AB">
          <w:rPr>
            <w:rStyle w:val="Hyperlink"/>
            <w:rFonts w:ascii="Arial" w:hAnsi="Arial" w:cs="Arial"/>
            <w:noProof/>
          </w:rPr>
          <w:t>STRATEGIC GOAL VIII</w:t>
        </w:r>
        <w:r w:rsidR="006325E6">
          <w:rPr>
            <w:noProof/>
            <w:webHidden/>
          </w:rPr>
          <w:tab/>
        </w:r>
        <w:r w:rsidR="006325E6">
          <w:rPr>
            <w:noProof/>
            <w:webHidden/>
          </w:rPr>
          <w:fldChar w:fldCharType="begin"/>
        </w:r>
        <w:r w:rsidR="006325E6">
          <w:rPr>
            <w:noProof/>
            <w:webHidden/>
          </w:rPr>
          <w:instrText xml:space="preserve"> PAGEREF _Toc454544491 \h </w:instrText>
        </w:r>
        <w:r w:rsidR="006325E6">
          <w:rPr>
            <w:noProof/>
            <w:webHidden/>
          </w:rPr>
        </w:r>
        <w:r w:rsidR="006325E6">
          <w:rPr>
            <w:noProof/>
            <w:webHidden/>
          </w:rPr>
          <w:fldChar w:fldCharType="separate"/>
        </w:r>
        <w:r w:rsidR="004E4E0A">
          <w:rPr>
            <w:noProof/>
            <w:webHidden/>
          </w:rPr>
          <w:t>185</w:t>
        </w:r>
        <w:r w:rsidR="006325E6">
          <w:rPr>
            <w:noProof/>
            <w:webHidden/>
          </w:rPr>
          <w:fldChar w:fldCharType="end"/>
        </w:r>
      </w:hyperlink>
    </w:p>
    <w:p w:rsidR="006325E6" w:rsidRDefault="00271F1E">
      <w:pPr>
        <w:pStyle w:val="TOC2"/>
        <w:rPr>
          <w:rFonts w:eastAsiaTheme="minorEastAsia" w:cstheme="minorBidi"/>
          <w:smallCaps w:val="0"/>
          <w:noProof/>
          <w:sz w:val="22"/>
          <w:szCs w:val="22"/>
        </w:rPr>
      </w:pPr>
      <w:hyperlink w:anchor="_Toc454544492" w:history="1">
        <w:r w:rsidR="006325E6" w:rsidRPr="00CE61AB">
          <w:rPr>
            <w:rStyle w:val="Hyperlink"/>
            <w:noProof/>
          </w:rPr>
          <w:t>PROGRAM 19</w:t>
        </w:r>
        <w:r w:rsidR="006325E6">
          <w:rPr>
            <w:rFonts w:eastAsiaTheme="minorEastAsia" w:cstheme="minorBidi"/>
            <w:smallCaps w:val="0"/>
            <w:noProof/>
            <w:sz w:val="22"/>
            <w:szCs w:val="22"/>
          </w:rPr>
          <w:tab/>
        </w:r>
        <w:r w:rsidR="006325E6" w:rsidRPr="00CE61AB">
          <w:rPr>
            <w:rStyle w:val="Hyperlink"/>
            <w:noProof/>
          </w:rPr>
          <w:t>COMMUNICATIONS</w:t>
        </w:r>
        <w:r w:rsidR="006325E6">
          <w:rPr>
            <w:noProof/>
            <w:webHidden/>
          </w:rPr>
          <w:tab/>
        </w:r>
        <w:r w:rsidR="006325E6">
          <w:rPr>
            <w:noProof/>
            <w:webHidden/>
          </w:rPr>
          <w:fldChar w:fldCharType="begin"/>
        </w:r>
        <w:r w:rsidR="006325E6">
          <w:rPr>
            <w:noProof/>
            <w:webHidden/>
          </w:rPr>
          <w:instrText xml:space="preserve"> PAGEREF _Toc454544492 \h </w:instrText>
        </w:r>
        <w:r w:rsidR="006325E6">
          <w:rPr>
            <w:noProof/>
            <w:webHidden/>
          </w:rPr>
        </w:r>
        <w:r w:rsidR="006325E6">
          <w:rPr>
            <w:noProof/>
            <w:webHidden/>
          </w:rPr>
          <w:fldChar w:fldCharType="separate"/>
        </w:r>
        <w:r w:rsidR="004E4E0A">
          <w:rPr>
            <w:noProof/>
            <w:webHidden/>
          </w:rPr>
          <w:t>187</w:t>
        </w:r>
        <w:r w:rsidR="006325E6">
          <w:rPr>
            <w:noProof/>
            <w:webHidden/>
          </w:rPr>
          <w:fldChar w:fldCharType="end"/>
        </w:r>
      </w:hyperlink>
    </w:p>
    <w:p w:rsidR="006325E6" w:rsidRDefault="00271F1E">
      <w:pPr>
        <w:pStyle w:val="TOC2"/>
        <w:rPr>
          <w:rFonts w:eastAsiaTheme="minorEastAsia" w:cstheme="minorBidi"/>
          <w:smallCaps w:val="0"/>
          <w:noProof/>
          <w:sz w:val="22"/>
          <w:szCs w:val="22"/>
        </w:rPr>
      </w:pPr>
      <w:hyperlink w:anchor="_Toc454544493" w:history="1">
        <w:r w:rsidR="006325E6" w:rsidRPr="00CE61AB">
          <w:rPr>
            <w:rStyle w:val="Hyperlink"/>
            <w:noProof/>
          </w:rPr>
          <w:t>PROGRAM 20</w:t>
        </w:r>
        <w:r w:rsidR="006325E6">
          <w:rPr>
            <w:rFonts w:eastAsiaTheme="minorEastAsia" w:cstheme="minorBidi"/>
            <w:smallCaps w:val="0"/>
            <w:noProof/>
            <w:sz w:val="22"/>
            <w:szCs w:val="22"/>
          </w:rPr>
          <w:tab/>
        </w:r>
        <w:r w:rsidR="006325E6" w:rsidRPr="00CE61AB">
          <w:rPr>
            <w:rStyle w:val="Hyperlink"/>
            <w:noProof/>
          </w:rPr>
          <w:t>EXTERNAL RELATIONS, PARTNERSHIPS AND EXTERNAL OFFICES</w:t>
        </w:r>
        <w:r w:rsidR="006325E6">
          <w:rPr>
            <w:noProof/>
            <w:webHidden/>
          </w:rPr>
          <w:tab/>
        </w:r>
        <w:r w:rsidR="006325E6">
          <w:rPr>
            <w:noProof/>
            <w:webHidden/>
          </w:rPr>
          <w:fldChar w:fldCharType="begin"/>
        </w:r>
        <w:r w:rsidR="006325E6">
          <w:rPr>
            <w:noProof/>
            <w:webHidden/>
          </w:rPr>
          <w:instrText xml:space="preserve"> PAGEREF _Toc454544493 \h </w:instrText>
        </w:r>
        <w:r w:rsidR="006325E6">
          <w:rPr>
            <w:noProof/>
            <w:webHidden/>
          </w:rPr>
        </w:r>
        <w:r w:rsidR="006325E6">
          <w:rPr>
            <w:noProof/>
            <w:webHidden/>
          </w:rPr>
          <w:fldChar w:fldCharType="separate"/>
        </w:r>
        <w:r w:rsidR="004E4E0A">
          <w:rPr>
            <w:noProof/>
            <w:webHidden/>
          </w:rPr>
          <w:t>193</w:t>
        </w:r>
        <w:r w:rsidR="006325E6">
          <w:rPr>
            <w:noProof/>
            <w:webHidden/>
          </w:rPr>
          <w:fldChar w:fldCharType="end"/>
        </w:r>
      </w:hyperlink>
    </w:p>
    <w:p w:rsidR="006325E6" w:rsidRDefault="00271F1E">
      <w:pPr>
        <w:pStyle w:val="TOC2"/>
        <w:rPr>
          <w:rFonts w:eastAsiaTheme="minorEastAsia" w:cstheme="minorBidi"/>
          <w:smallCaps w:val="0"/>
          <w:noProof/>
          <w:sz w:val="22"/>
          <w:szCs w:val="22"/>
        </w:rPr>
      </w:pPr>
      <w:hyperlink w:anchor="_Toc454544494" w:history="1">
        <w:r w:rsidR="006325E6" w:rsidRPr="00CE61AB">
          <w:rPr>
            <w:rStyle w:val="Hyperlink"/>
            <w:rFonts w:ascii="Arial" w:hAnsi="Arial" w:cs="Arial"/>
            <w:noProof/>
          </w:rPr>
          <w:t>STRATEGIC GOAL IX</w:t>
        </w:r>
        <w:r w:rsidR="006325E6">
          <w:rPr>
            <w:noProof/>
            <w:webHidden/>
          </w:rPr>
          <w:tab/>
        </w:r>
        <w:r w:rsidR="006325E6">
          <w:rPr>
            <w:noProof/>
            <w:webHidden/>
          </w:rPr>
          <w:fldChar w:fldCharType="begin"/>
        </w:r>
        <w:r w:rsidR="006325E6">
          <w:rPr>
            <w:noProof/>
            <w:webHidden/>
          </w:rPr>
          <w:instrText xml:space="preserve"> PAGEREF _Toc454544494 \h </w:instrText>
        </w:r>
        <w:r w:rsidR="006325E6">
          <w:rPr>
            <w:noProof/>
            <w:webHidden/>
          </w:rPr>
        </w:r>
        <w:r w:rsidR="006325E6">
          <w:rPr>
            <w:noProof/>
            <w:webHidden/>
          </w:rPr>
          <w:fldChar w:fldCharType="separate"/>
        </w:r>
        <w:r w:rsidR="004E4E0A">
          <w:rPr>
            <w:noProof/>
            <w:webHidden/>
          </w:rPr>
          <w:t>208</w:t>
        </w:r>
        <w:r w:rsidR="006325E6">
          <w:rPr>
            <w:noProof/>
            <w:webHidden/>
          </w:rPr>
          <w:fldChar w:fldCharType="end"/>
        </w:r>
      </w:hyperlink>
    </w:p>
    <w:p w:rsidR="006325E6" w:rsidRDefault="00271F1E">
      <w:pPr>
        <w:pStyle w:val="TOC2"/>
        <w:rPr>
          <w:rFonts w:eastAsiaTheme="minorEastAsia" w:cstheme="minorBidi"/>
          <w:smallCaps w:val="0"/>
          <w:noProof/>
          <w:sz w:val="22"/>
          <w:szCs w:val="22"/>
        </w:rPr>
      </w:pPr>
      <w:hyperlink w:anchor="_Toc454544495" w:history="1">
        <w:r w:rsidR="006325E6" w:rsidRPr="00CE61AB">
          <w:rPr>
            <w:rStyle w:val="Hyperlink"/>
            <w:noProof/>
          </w:rPr>
          <w:t>PROGRAM 21</w:t>
        </w:r>
        <w:r w:rsidR="006325E6">
          <w:rPr>
            <w:rFonts w:eastAsiaTheme="minorEastAsia" w:cstheme="minorBidi"/>
            <w:smallCaps w:val="0"/>
            <w:noProof/>
            <w:sz w:val="22"/>
            <w:szCs w:val="22"/>
          </w:rPr>
          <w:tab/>
        </w:r>
        <w:r w:rsidR="006325E6" w:rsidRPr="00CE61AB">
          <w:rPr>
            <w:rStyle w:val="Hyperlink"/>
            <w:noProof/>
          </w:rPr>
          <w:t>EXECUTIVE MANAGEMENT</w:t>
        </w:r>
        <w:r w:rsidR="006325E6">
          <w:rPr>
            <w:noProof/>
            <w:webHidden/>
          </w:rPr>
          <w:tab/>
        </w:r>
        <w:r w:rsidR="006325E6">
          <w:rPr>
            <w:noProof/>
            <w:webHidden/>
          </w:rPr>
          <w:fldChar w:fldCharType="begin"/>
        </w:r>
        <w:r w:rsidR="006325E6">
          <w:rPr>
            <w:noProof/>
            <w:webHidden/>
          </w:rPr>
          <w:instrText xml:space="preserve"> PAGEREF _Toc454544495 \h </w:instrText>
        </w:r>
        <w:r w:rsidR="006325E6">
          <w:rPr>
            <w:noProof/>
            <w:webHidden/>
          </w:rPr>
        </w:r>
        <w:r w:rsidR="006325E6">
          <w:rPr>
            <w:noProof/>
            <w:webHidden/>
          </w:rPr>
          <w:fldChar w:fldCharType="separate"/>
        </w:r>
        <w:r w:rsidR="004E4E0A">
          <w:rPr>
            <w:noProof/>
            <w:webHidden/>
          </w:rPr>
          <w:t>212</w:t>
        </w:r>
        <w:r w:rsidR="006325E6">
          <w:rPr>
            <w:noProof/>
            <w:webHidden/>
          </w:rPr>
          <w:fldChar w:fldCharType="end"/>
        </w:r>
      </w:hyperlink>
    </w:p>
    <w:p w:rsidR="006325E6" w:rsidRDefault="00271F1E">
      <w:pPr>
        <w:pStyle w:val="TOC2"/>
        <w:rPr>
          <w:rFonts w:eastAsiaTheme="minorEastAsia" w:cstheme="minorBidi"/>
          <w:smallCaps w:val="0"/>
          <w:noProof/>
          <w:sz w:val="22"/>
          <w:szCs w:val="22"/>
        </w:rPr>
      </w:pPr>
      <w:hyperlink w:anchor="_Toc454544496" w:history="1">
        <w:r w:rsidR="006325E6" w:rsidRPr="00CE61AB">
          <w:rPr>
            <w:rStyle w:val="Hyperlink"/>
            <w:noProof/>
          </w:rPr>
          <w:t>PROGRAM 22</w:t>
        </w:r>
        <w:r w:rsidR="006325E6">
          <w:rPr>
            <w:rFonts w:eastAsiaTheme="minorEastAsia" w:cstheme="minorBidi"/>
            <w:smallCaps w:val="0"/>
            <w:noProof/>
            <w:sz w:val="22"/>
            <w:szCs w:val="22"/>
          </w:rPr>
          <w:tab/>
        </w:r>
        <w:r w:rsidR="006325E6" w:rsidRPr="00CE61AB">
          <w:rPr>
            <w:rStyle w:val="Hyperlink"/>
            <w:noProof/>
          </w:rPr>
          <w:t>PROGRAM AND RESOURCE MANAGEMENT</w:t>
        </w:r>
        <w:r w:rsidR="006325E6">
          <w:rPr>
            <w:noProof/>
            <w:webHidden/>
          </w:rPr>
          <w:tab/>
        </w:r>
        <w:r w:rsidR="006325E6">
          <w:rPr>
            <w:noProof/>
            <w:webHidden/>
          </w:rPr>
          <w:fldChar w:fldCharType="begin"/>
        </w:r>
        <w:r w:rsidR="006325E6">
          <w:rPr>
            <w:noProof/>
            <w:webHidden/>
          </w:rPr>
          <w:instrText xml:space="preserve"> PAGEREF _Toc454544496 \h </w:instrText>
        </w:r>
        <w:r w:rsidR="006325E6">
          <w:rPr>
            <w:noProof/>
            <w:webHidden/>
          </w:rPr>
        </w:r>
        <w:r w:rsidR="006325E6">
          <w:rPr>
            <w:noProof/>
            <w:webHidden/>
          </w:rPr>
          <w:fldChar w:fldCharType="separate"/>
        </w:r>
        <w:r w:rsidR="004E4E0A">
          <w:rPr>
            <w:noProof/>
            <w:webHidden/>
          </w:rPr>
          <w:t>218</w:t>
        </w:r>
        <w:r w:rsidR="006325E6">
          <w:rPr>
            <w:noProof/>
            <w:webHidden/>
          </w:rPr>
          <w:fldChar w:fldCharType="end"/>
        </w:r>
      </w:hyperlink>
    </w:p>
    <w:p w:rsidR="006325E6" w:rsidRDefault="00271F1E">
      <w:pPr>
        <w:pStyle w:val="TOC2"/>
        <w:rPr>
          <w:rFonts w:eastAsiaTheme="minorEastAsia" w:cstheme="minorBidi"/>
          <w:smallCaps w:val="0"/>
          <w:noProof/>
          <w:sz w:val="22"/>
          <w:szCs w:val="22"/>
        </w:rPr>
      </w:pPr>
      <w:hyperlink w:anchor="_Toc454544497" w:history="1">
        <w:r w:rsidR="006325E6" w:rsidRPr="00CE61AB">
          <w:rPr>
            <w:rStyle w:val="Hyperlink"/>
            <w:noProof/>
          </w:rPr>
          <w:t>PROGRAM 23</w:t>
        </w:r>
        <w:r w:rsidR="006325E6">
          <w:rPr>
            <w:rFonts w:eastAsiaTheme="minorEastAsia" w:cstheme="minorBidi"/>
            <w:smallCaps w:val="0"/>
            <w:noProof/>
            <w:sz w:val="22"/>
            <w:szCs w:val="22"/>
          </w:rPr>
          <w:tab/>
        </w:r>
        <w:r w:rsidR="006325E6" w:rsidRPr="00CE61AB">
          <w:rPr>
            <w:rStyle w:val="Hyperlink"/>
            <w:noProof/>
          </w:rPr>
          <w:t>HUMAN RESOURCES MANAGEMENT AND DEVELOPMENT</w:t>
        </w:r>
        <w:r w:rsidR="006325E6">
          <w:rPr>
            <w:noProof/>
            <w:webHidden/>
          </w:rPr>
          <w:tab/>
        </w:r>
        <w:r w:rsidR="006325E6">
          <w:rPr>
            <w:noProof/>
            <w:webHidden/>
          </w:rPr>
          <w:fldChar w:fldCharType="begin"/>
        </w:r>
        <w:r w:rsidR="006325E6">
          <w:rPr>
            <w:noProof/>
            <w:webHidden/>
          </w:rPr>
          <w:instrText xml:space="preserve"> PAGEREF _Toc454544497 \h </w:instrText>
        </w:r>
        <w:r w:rsidR="006325E6">
          <w:rPr>
            <w:noProof/>
            <w:webHidden/>
          </w:rPr>
        </w:r>
        <w:r w:rsidR="006325E6">
          <w:rPr>
            <w:noProof/>
            <w:webHidden/>
          </w:rPr>
          <w:fldChar w:fldCharType="separate"/>
        </w:r>
        <w:r w:rsidR="004E4E0A">
          <w:rPr>
            <w:noProof/>
            <w:webHidden/>
          </w:rPr>
          <w:t>224</w:t>
        </w:r>
        <w:r w:rsidR="006325E6">
          <w:rPr>
            <w:noProof/>
            <w:webHidden/>
          </w:rPr>
          <w:fldChar w:fldCharType="end"/>
        </w:r>
      </w:hyperlink>
    </w:p>
    <w:p w:rsidR="006325E6" w:rsidRDefault="00271F1E">
      <w:pPr>
        <w:pStyle w:val="TOC2"/>
        <w:rPr>
          <w:rFonts w:eastAsiaTheme="minorEastAsia" w:cstheme="minorBidi"/>
          <w:smallCaps w:val="0"/>
          <w:noProof/>
          <w:sz w:val="22"/>
          <w:szCs w:val="22"/>
        </w:rPr>
      </w:pPr>
      <w:hyperlink w:anchor="_Toc454544498" w:history="1">
        <w:r w:rsidR="006325E6" w:rsidRPr="00CE61AB">
          <w:rPr>
            <w:rStyle w:val="Hyperlink"/>
            <w:noProof/>
          </w:rPr>
          <w:t>PROGRAM 24</w:t>
        </w:r>
        <w:r w:rsidR="006325E6">
          <w:rPr>
            <w:rFonts w:eastAsiaTheme="minorEastAsia" w:cstheme="minorBidi"/>
            <w:smallCaps w:val="0"/>
            <w:noProof/>
            <w:sz w:val="22"/>
            <w:szCs w:val="22"/>
          </w:rPr>
          <w:tab/>
        </w:r>
        <w:r w:rsidR="006325E6" w:rsidRPr="00CE61AB">
          <w:rPr>
            <w:rStyle w:val="Hyperlink"/>
            <w:noProof/>
          </w:rPr>
          <w:t>GENERAL SUPPORT SERVICES</w:t>
        </w:r>
        <w:r w:rsidR="006325E6">
          <w:rPr>
            <w:noProof/>
            <w:webHidden/>
          </w:rPr>
          <w:tab/>
        </w:r>
        <w:r w:rsidR="006325E6">
          <w:rPr>
            <w:noProof/>
            <w:webHidden/>
          </w:rPr>
          <w:fldChar w:fldCharType="begin"/>
        </w:r>
        <w:r w:rsidR="006325E6">
          <w:rPr>
            <w:noProof/>
            <w:webHidden/>
          </w:rPr>
          <w:instrText xml:space="preserve"> PAGEREF _Toc454544498 \h </w:instrText>
        </w:r>
        <w:r w:rsidR="006325E6">
          <w:rPr>
            <w:noProof/>
            <w:webHidden/>
          </w:rPr>
        </w:r>
        <w:r w:rsidR="006325E6">
          <w:rPr>
            <w:noProof/>
            <w:webHidden/>
          </w:rPr>
          <w:fldChar w:fldCharType="separate"/>
        </w:r>
        <w:r w:rsidR="004E4E0A">
          <w:rPr>
            <w:noProof/>
            <w:webHidden/>
          </w:rPr>
          <w:t>231</w:t>
        </w:r>
        <w:r w:rsidR="006325E6">
          <w:rPr>
            <w:noProof/>
            <w:webHidden/>
          </w:rPr>
          <w:fldChar w:fldCharType="end"/>
        </w:r>
      </w:hyperlink>
    </w:p>
    <w:p w:rsidR="006325E6" w:rsidRDefault="00271F1E">
      <w:pPr>
        <w:pStyle w:val="TOC2"/>
        <w:rPr>
          <w:rFonts w:eastAsiaTheme="minorEastAsia" w:cstheme="minorBidi"/>
          <w:smallCaps w:val="0"/>
          <w:noProof/>
          <w:sz w:val="22"/>
          <w:szCs w:val="22"/>
        </w:rPr>
      </w:pPr>
      <w:hyperlink w:anchor="_Toc454544499" w:history="1">
        <w:r w:rsidR="006325E6" w:rsidRPr="00CE61AB">
          <w:rPr>
            <w:rStyle w:val="Hyperlink"/>
            <w:noProof/>
          </w:rPr>
          <w:t>PROGRAM 25</w:t>
        </w:r>
        <w:r w:rsidR="006325E6">
          <w:rPr>
            <w:rFonts w:eastAsiaTheme="minorEastAsia" w:cstheme="minorBidi"/>
            <w:smallCaps w:val="0"/>
            <w:noProof/>
            <w:sz w:val="22"/>
            <w:szCs w:val="22"/>
          </w:rPr>
          <w:tab/>
        </w:r>
        <w:r w:rsidR="006325E6" w:rsidRPr="00CE61AB">
          <w:rPr>
            <w:rStyle w:val="Hyperlink"/>
            <w:noProof/>
          </w:rPr>
          <w:t>INFORMATION AND COMMUNICATION TECHNOLOGY</w:t>
        </w:r>
        <w:r w:rsidR="006325E6">
          <w:rPr>
            <w:noProof/>
            <w:webHidden/>
          </w:rPr>
          <w:tab/>
        </w:r>
        <w:r w:rsidR="006325E6">
          <w:rPr>
            <w:noProof/>
            <w:webHidden/>
          </w:rPr>
          <w:fldChar w:fldCharType="begin"/>
        </w:r>
        <w:r w:rsidR="006325E6">
          <w:rPr>
            <w:noProof/>
            <w:webHidden/>
          </w:rPr>
          <w:instrText xml:space="preserve"> PAGEREF _Toc454544499 \h </w:instrText>
        </w:r>
        <w:r w:rsidR="006325E6">
          <w:rPr>
            <w:noProof/>
            <w:webHidden/>
          </w:rPr>
        </w:r>
        <w:r w:rsidR="006325E6">
          <w:rPr>
            <w:noProof/>
            <w:webHidden/>
          </w:rPr>
          <w:fldChar w:fldCharType="separate"/>
        </w:r>
        <w:r w:rsidR="004E4E0A">
          <w:rPr>
            <w:noProof/>
            <w:webHidden/>
          </w:rPr>
          <w:t>239</w:t>
        </w:r>
        <w:r w:rsidR="006325E6">
          <w:rPr>
            <w:noProof/>
            <w:webHidden/>
          </w:rPr>
          <w:fldChar w:fldCharType="end"/>
        </w:r>
      </w:hyperlink>
    </w:p>
    <w:p w:rsidR="006325E6" w:rsidRDefault="00271F1E">
      <w:pPr>
        <w:pStyle w:val="TOC2"/>
        <w:rPr>
          <w:rFonts w:eastAsiaTheme="minorEastAsia" w:cstheme="minorBidi"/>
          <w:smallCaps w:val="0"/>
          <w:noProof/>
          <w:sz w:val="22"/>
          <w:szCs w:val="22"/>
        </w:rPr>
      </w:pPr>
      <w:hyperlink w:anchor="_Toc454544500" w:history="1">
        <w:r w:rsidR="006325E6" w:rsidRPr="00CE61AB">
          <w:rPr>
            <w:rStyle w:val="Hyperlink"/>
            <w:rFonts w:eastAsia="SimSun"/>
            <w:caps/>
            <w:noProof/>
            <w:lang w:eastAsia="zh-CN"/>
          </w:rPr>
          <w:t>PROGRAM 26</w:t>
        </w:r>
        <w:r w:rsidR="006325E6">
          <w:rPr>
            <w:rFonts w:eastAsiaTheme="minorEastAsia" w:cstheme="minorBidi"/>
            <w:smallCaps w:val="0"/>
            <w:noProof/>
            <w:sz w:val="22"/>
            <w:szCs w:val="22"/>
          </w:rPr>
          <w:tab/>
        </w:r>
        <w:r w:rsidR="006325E6" w:rsidRPr="00CE61AB">
          <w:rPr>
            <w:rStyle w:val="Hyperlink"/>
            <w:rFonts w:eastAsia="SimSun"/>
            <w:caps/>
            <w:noProof/>
            <w:lang w:eastAsia="zh-CN"/>
          </w:rPr>
          <w:t>INTERNAL OVERSIGHT</w:t>
        </w:r>
        <w:r w:rsidR="006325E6">
          <w:rPr>
            <w:noProof/>
            <w:webHidden/>
          </w:rPr>
          <w:tab/>
        </w:r>
        <w:r w:rsidR="006325E6">
          <w:rPr>
            <w:noProof/>
            <w:webHidden/>
          </w:rPr>
          <w:fldChar w:fldCharType="begin"/>
        </w:r>
        <w:r w:rsidR="006325E6">
          <w:rPr>
            <w:noProof/>
            <w:webHidden/>
          </w:rPr>
          <w:instrText xml:space="preserve"> PAGEREF _Toc454544500 \h </w:instrText>
        </w:r>
        <w:r w:rsidR="006325E6">
          <w:rPr>
            <w:noProof/>
            <w:webHidden/>
          </w:rPr>
        </w:r>
        <w:r w:rsidR="006325E6">
          <w:rPr>
            <w:noProof/>
            <w:webHidden/>
          </w:rPr>
          <w:fldChar w:fldCharType="separate"/>
        </w:r>
        <w:r w:rsidR="004E4E0A">
          <w:rPr>
            <w:noProof/>
            <w:webHidden/>
          </w:rPr>
          <w:t>245</w:t>
        </w:r>
        <w:r w:rsidR="006325E6">
          <w:rPr>
            <w:noProof/>
            <w:webHidden/>
          </w:rPr>
          <w:fldChar w:fldCharType="end"/>
        </w:r>
      </w:hyperlink>
    </w:p>
    <w:p w:rsidR="006325E6" w:rsidRDefault="00271F1E">
      <w:pPr>
        <w:pStyle w:val="TOC2"/>
        <w:rPr>
          <w:rFonts w:eastAsiaTheme="minorEastAsia" w:cstheme="minorBidi"/>
          <w:smallCaps w:val="0"/>
          <w:noProof/>
          <w:sz w:val="22"/>
          <w:szCs w:val="22"/>
        </w:rPr>
      </w:pPr>
      <w:hyperlink w:anchor="_Toc454544501" w:history="1">
        <w:r w:rsidR="006325E6" w:rsidRPr="00CE61AB">
          <w:rPr>
            <w:rStyle w:val="Hyperlink"/>
            <w:noProof/>
          </w:rPr>
          <w:t>PROGRAM 27</w:t>
        </w:r>
        <w:r w:rsidR="006325E6">
          <w:rPr>
            <w:rFonts w:eastAsiaTheme="minorEastAsia" w:cstheme="minorBidi"/>
            <w:smallCaps w:val="0"/>
            <w:noProof/>
            <w:sz w:val="22"/>
            <w:szCs w:val="22"/>
          </w:rPr>
          <w:tab/>
        </w:r>
        <w:r w:rsidR="006325E6" w:rsidRPr="00CE61AB">
          <w:rPr>
            <w:rStyle w:val="Hyperlink"/>
            <w:noProof/>
          </w:rPr>
          <w:t>CONFERENCE AND LANGUAGE SERVICES</w:t>
        </w:r>
        <w:r w:rsidR="006325E6">
          <w:rPr>
            <w:noProof/>
            <w:webHidden/>
          </w:rPr>
          <w:tab/>
        </w:r>
        <w:r w:rsidR="006325E6">
          <w:rPr>
            <w:noProof/>
            <w:webHidden/>
          </w:rPr>
          <w:fldChar w:fldCharType="begin"/>
        </w:r>
        <w:r w:rsidR="006325E6">
          <w:rPr>
            <w:noProof/>
            <w:webHidden/>
          </w:rPr>
          <w:instrText xml:space="preserve"> PAGEREF _Toc454544501 \h </w:instrText>
        </w:r>
        <w:r w:rsidR="006325E6">
          <w:rPr>
            <w:noProof/>
            <w:webHidden/>
          </w:rPr>
        </w:r>
        <w:r w:rsidR="006325E6">
          <w:rPr>
            <w:noProof/>
            <w:webHidden/>
          </w:rPr>
          <w:fldChar w:fldCharType="separate"/>
        </w:r>
        <w:r w:rsidR="004E4E0A">
          <w:rPr>
            <w:noProof/>
            <w:webHidden/>
          </w:rPr>
          <w:t>249</w:t>
        </w:r>
        <w:r w:rsidR="006325E6">
          <w:rPr>
            <w:noProof/>
            <w:webHidden/>
          </w:rPr>
          <w:fldChar w:fldCharType="end"/>
        </w:r>
      </w:hyperlink>
    </w:p>
    <w:p w:rsidR="006325E6" w:rsidRDefault="00271F1E">
      <w:pPr>
        <w:pStyle w:val="TOC2"/>
        <w:rPr>
          <w:rFonts w:eastAsiaTheme="minorEastAsia" w:cstheme="minorBidi"/>
          <w:smallCaps w:val="0"/>
          <w:noProof/>
          <w:sz w:val="22"/>
          <w:szCs w:val="22"/>
        </w:rPr>
      </w:pPr>
      <w:hyperlink w:anchor="_Toc454544502" w:history="1">
        <w:r w:rsidR="006325E6" w:rsidRPr="00CE61AB">
          <w:rPr>
            <w:rStyle w:val="Hyperlink"/>
            <w:noProof/>
          </w:rPr>
          <w:t>PROGRAM 28</w:t>
        </w:r>
        <w:r w:rsidR="006325E6">
          <w:rPr>
            <w:rFonts w:eastAsiaTheme="minorEastAsia" w:cstheme="minorBidi"/>
            <w:smallCaps w:val="0"/>
            <w:noProof/>
            <w:sz w:val="22"/>
            <w:szCs w:val="22"/>
          </w:rPr>
          <w:tab/>
        </w:r>
        <w:r w:rsidR="006325E6" w:rsidRPr="00CE61AB">
          <w:rPr>
            <w:rStyle w:val="Hyperlink"/>
            <w:noProof/>
          </w:rPr>
          <w:t>SAFETY AND SECURITY</w:t>
        </w:r>
        <w:r w:rsidR="006325E6">
          <w:rPr>
            <w:noProof/>
            <w:webHidden/>
          </w:rPr>
          <w:tab/>
        </w:r>
        <w:r w:rsidR="006325E6">
          <w:rPr>
            <w:noProof/>
            <w:webHidden/>
          </w:rPr>
          <w:fldChar w:fldCharType="begin"/>
        </w:r>
        <w:r w:rsidR="006325E6">
          <w:rPr>
            <w:noProof/>
            <w:webHidden/>
          </w:rPr>
          <w:instrText xml:space="preserve"> PAGEREF _Toc454544502 \h </w:instrText>
        </w:r>
        <w:r w:rsidR="006325E6">
          <w:rPr>
            <w:noProof/>
            <w:webHidden/>
          </w:rPr>
        </w:r>
        <w:r w:rsidR="006325E6">
          <w:rPr>
            <w:noProof/>
            <w:webHidden/>
          </w:rPr>
          <w:fldChar w:fldCharType="separate"/>
        </w:r>
        <w:r w:rsidR="004E4E0A">
          <w:rPr>
            <w:noProof/>
            <w:webHidden/>
          </w:rPr>
          <w:t>254</w:t>
        </w:r>
        <w:r w:rsidR="006325E6">
          <w:rPr>
            <w:noProof/>
            <w:webHidden/>
          </w:rPr>
          <w:fldChar w:fldCharType="end"/>
        </w:r>
      </w:hyperlink>
    </w:p>
    <w:p w:rsidR="006325E6" w:rsidRDefault="00271F1E">
      <w:pPr>
        <w:pStyle w:val="TOC2"/>
        <w:rPr>
          <w:rFonts w:eastAsiaTheme="minorEastAsia" w:cstheme="minorBidi"/>
          <w:smallCaps w:val="0"/>
          <w:noProof/>
          <w:sz w:val="22"/>
          <w:szCs w:val="22"/>
        </w:rPr>
      </w:pPr>
      <w:hyperlink w:anchor="_Toc454544503" w:history="1">
        <w:r w:rsidR="006325E6" w:rsidRPr="00CE61AB">
          <w:rPr>
            <w:rStyle w:val="Hyperlink"/>
            <w:noProof/>
          </w:rPr>
          <w:t>PROGRAM 29</w:t>
        </w:r>
        <w:r w:rsidR="006325E6">
          <w:rPr>
            <w:rFonts w:eastAsiaTheme="minorEastAsia" w:cstheme="minorBidi"/>
            <w:smallCaps w:val="0"/>
            <w:noProof/>
            <w:sz w:val="22"/>
            <w:szCs w:val="22"/>
          </w:rPr>
          <w:tab/>
        </w:r>
        <w:r w:rsidR="006325E6" w:rsidRPr="00CE61AB">
          <w:rPr>
            <w:rStyle w:val="Hyperlink"/>
            <w:noProof/>
          </w:rPr>
          <w:t>CONSTRUCTIONS PROJECTS</w:t>
        </w:r>
        <w:r w:rsidR="006325E6">
          <w:rPr>
            <w:noProof/>
            <w:webHidden/>
          </w:rPr>
          <w:tab/>
        </w:r>
        <w:r w:rsidR="006325E6">
          <w:rPr>
            <w:noProof/>
            <w:webHidden/>
          </w:rPr>
          <w:fldChar w:fldCharType="begin"/>
        </w:r>
        <w:r w:rsidR="006325E6">
          <w:rPr>
            <w:noProof/>
            <w:webHidden/>
          </w:rPr>
          <w:instrText xml:space="preserve"> PAGEREF _Toc454544503 \h </w:instrText>
        </w:r>
        <w:r w:rsidR="006325E6">
          <w:rPr>
            <w:noProof/>
            <w:webHidden/>
          </w:rPr>
        </w:r>
        <w:r w:rsidR="006325E6">
          <w:rPr>
            <w:noProof/>
            <w:webHidden/>
          </w:rPr>
          <w:fldChar w:fldCharType="separate"/>
        </w:r>
        <w:r w:rsidR="004E4E0A">
          <w:rPr>
            <w:noProof/>
            <w:webHidden/>
          </w:rPr>
          <w:t>257</w:t>
        </w:r>
        <w:r w:rsidR="006325E6">
          <w:rPr>
            <w:noProof/>
            <w:webHidden/>
          </w:rPr>
          <w:fldChar w:fldCharType="end"/>
        </w:r>
      </w:hyperlink>
    </w:p>
    <w:p w:rsidR="006325E6" w:rsidRDefault="00271F1E">
      <w:pPr>
        <w:pStyle w:val="TOC1"/>
        <w:rPr>
          <w:rFonts w:asciiTheme="minorHAnsi" w:eastAsiaTheme="minorEastAsia" w:hAnsiTheme="minorHAnsi" w:cstheme="minorBidi"/>
          <w:b w:val="0"/>
          <w:bCs w:val="0"/>
          <w:caps w:val="0"/>
          <w:sz w:val="22"/>
          <w:szCs w:val="22"/>
        </w:rPr>
      </w:pPr>
      <w:hyperlink w:anchor="_Toc454544504" w:history="1">
        <w:r w:rsidR="006325E6" w:rsidRPr="00CE61AB">
          <w:rPr>
            <w:rStyle w:val="Hyperlink"/>
          </w:rPr>
          <w:t>VII.</w:t>
        </w:r>
        <w:r w:rsidR="006325E6">
          <w:rPr>
            <w:rFonts w:asciiTheme="minorHAnsi" w:eastAsiaTheme="minorEastAsia" w:hAnsiTheme="minorHAnsi" w:cstheme="minorBidi"/>
            <w:b w:val="0"/>
            <w:bCs w:val="0"/>
            <w:caps w:val="0"/>
            <w:sz w:val="22"/>
            <w:szCs w:val="22"/>
          </w:rPr>
          <w:tab/>
        </w:r>
        <w:r w:rsidR="006325E6" w:rsidRPr="00CE61AB">
          <w:rPr>
            <w:rStyle w:val="Hyperlink"/>
          </w:rPr>
          <w:t>APPENDICES</w:t>
        </w:r>
        <w:r w:rsidR="006325E6">
          <w:rPr>
            <w:webHidden/>
          </w:rPr>
          <w:tab/>
        </w:r>
        <w:r w:rsidR="006325E6">
          <w:rPr>
            <w:webHidden/>
          </w:rPr>
          <w:fldChar w:fldCharType="begin"/>
        </w:r>
        <w:r w:rsidR="006325E6">
          <w:rPr>
            <w:webHidden/>
          </w:rPr>
          <w:instrText xml:space="preserve"> PAGEREF _Toc454544504 \h </w:instrText>
        </w:r>
        <w:r w:rsidR="006325E6">
          <w:rPr>
            <w:webHidden/>
          </w:rPr>
        </w:r>
        <w:r w:rsidR="006325E6">
          <w:rPr>
            <w:webHidden/>
          </w:rPr>
          <w:fldChar w:fldCharType="separate"/>
        </w:r>
        <w:r w:rsidR="004E4E0A">
          <w:rPr>
            <w:webHidden/>
          </w:rPr>
          <w:t>261</w:t>
        </w:r>
        <w:r w:rsidR="006325E6">
          <w:rPr>
            <w:webHidden/>
          </w:rPr>
          <w:fldChar w:fldCharType="end"/>
        </w:r>
      </w:hyperlink>
    </w:p>
    <w:p w:rsidR="006325E6" w:rsidRDefault="00271F1E">
      <w:pPr>
        <w:pStyle w:val="TOC2"/>
        <w:rPr>
          <w:rFonts w:eastAsiaTheme="minorEastAsia" w:cstheme="minorBidi"/>
          <w:smallCaps w:val="0"/>
          <w:noProof/>
          <w:sz w:val="22"/>
          <w:szCs w:val="22"/>
        </w:rPr>
      </w:pPr>
      <w:hyperlink w:anchor="_Toc454544505" w:history="1">
        <w:r w:rsidR="006325E6" w:rsidRPr="00CE61AB">
          <w:rPr>
            <w:rStyle w:val="Hyperlink"/>
            <w:noProof/>
          </w:rPr>
          <w:t>APPENDIX I       BREAKDOWN OF THE PERFORMANCE ASSESSMENTS BY PROGRAM</w:t>
        </w:r>
        <w:r w:rsidR="006325E6">
          <w:rPr>
            <w:noProof/>
            <w:webHidden/>
          </w:rPr>
          <w:tab/>
        </w:r>
        <w:r w:rsidR="006325E6">
          <w:rPr>
            <w:noProof/>
            <w:webHidden/>
          </w:rPr>
          <w:fldChar w:fldCharType="begin"/>
        </w:r>
        <w:r w:rsidR="006325E6">
          <w:rPr>
            <w:noProof/>
            <w:webHidden/>
          </w:rPr>
          <w:instrText xml:space="preserve"> PAGEREF _Toc454544505 \h </w:instrText>
        </w:r>
        <w:r w:rsidR="006325E6">
          <w:rPr>
            <w:noProof/>
            <w:webHidden/>
          </w:rPr>
        </w:r>
        <w:r w:rsidR="006325E6">
          <w:rPr>
            <w:noProof/>
            <w:webHidden/>
          </w:rPr>
          <w:fldChar w:fldCharType="separate"/>
        </w:r>
        <w:r w:rsidR="004E4E0A">
          <w:rPr>
            <w:noProof/>
            <w:webHidden/>
          </w:rPr>
          <w:t>261</w:t>
        </w:r>
        <w:r w:rsidR="006325E6">
          <w:rPr>
            <w:noProof/>
            <w:webHidden/>
          </w:rPr>
          <w:fldChar w:fldCharType="end"/>
        </w:r>
      </w:hyperlink>
    </w:p>
    <w:p w:rsidR="006325E6" w:rsidRDefault="00271F1E">
      <w:pPr>
        <w:pStyle w:val="TOC2"/>
        <w:rPr>
          <w:rFonts w:eastAsiaTheme="minorEastAsia" w:cstheme="minorBidi"/>
          <w:smallCaps w:val="0"/>
          <w:noProof/>
          <w:sz w:val="22"/>
          <w:szCs w:val="22"/>
        </w:rPr>
      </w:pPr>
      <w:hyperlink w:anchor="_Toc454544506" w:history="1">
        <w:r w:rsidR="006325E6" w:rsidRPr="00CE61AB">
          <w:rPr>
            <w:rStyle w:val="Hyperlink"/>
            <w:noProof/>
            <w:lang w:eastAsia="zh-CN"/>
          </w:rPr>
          <w:t xml:space="preserve">APPENDIX II     </w:t>
        </w:r>
        <w:r w:rsidR="006325E6" w:rsidRPr="00CE61AB">
          <w:rPr>
            <w:rStyle w:val="Hyperlink"/>
            <w:noProof/>
          </w:rPr>
          <w:t xml:space="preserve"> IMPLEMENTATION OF FUNDS-IN-TRUST 2014/15</w:t>
        </w:r>
        <w:r w:rsidR="006325E6">
          <w:rPr>
            <w:noProof/>
            <w:webHidden/>
          </w:rPr>
          <w:tab/>
        </w:r>
        <w:r w:rsidR="006325E6">
          <w:rPr>
            <w:noProof/>
            <w:webHidden/>
          </w:rPr>
          <w:fldChar w:fldCharType="begin"/>
        </w:r>
        <w:r w:rsidR="006325E6">
          <w:rPr>
            <w:noProof/>
            <w:webHidden/>
          </w:rPr>
          <w:instrText xml:space="preserve"> PAGEREF _Toc454544506 \h </w:instrText>
        </w:r>
        <w:r w:rsidR="006325E6">
          <w:rPr>
            <w:noProof/>
            <w:webHidden/>
          </w:rPr>
        </w:r>
        <w:r w:rsidR="006325E6">
          <w:rPr>
            <w:noProof/>
            <w:webHidden/>
          </w:rPr>
          <w:fldChar w:fldCharType="separate"/>
        </w:r>
        <w:r w:rsidR="004E4E0A">
          <w:rPr>
            <w:noProof/>
            <w:webHidden/>
          </w:rPr>
          <w:t>263</w:t>
        </w:r>
        <w:r w:rsidR="006325E6">
          <w:rPr>
            <w:noProof/>
            <w:webHidden/>
          </w:rPr>
          <w:fldChar w:fldCharType="end"/>
        </w:r>
      </w:hyperlink>
    </w:p>
    <w:p w:rsidR="006325E6" w:rsidRDefault="00271F1E">
      <w:pPr>
        <w:pStyle w:val="TOC2"/>
        <w:rPr>
          <w:rFonts w:eastAsiaTheme="minorEastAsia" w:cstheme="minorBidi"/>
          <w:smallCaps w:val="0"/>
          <w:noProof/>
          <w:sz w:val="22"/>
          <w:szCs w:val="22"/>
        </w:rPr>
      </w:pPr>
      <w:hyperlink w:anchor="_Toc454544507" w:history="1">
        <w:r w:rsidR="006325E6" w:rsidRPr="00CE61AB">
          <w:rPr>
            <w:rStyle w:val="Hyperlink"/>
            <w:noProof/>
          </w:rPr>
          <w:t>APPENDIX III     CAPITAL MASTER PLAN (CMP) PROGRESS REPORT 2014/15</w:t>
        </w:r>
        <w:r w:rsidR="006325E6">
          <w:rPr>
            <w:noProof/>
            <w:webHidden/>
          </w:rPr>
          <w:tab/>
        </w:r>
        <w:r w:rsidR="006325E6">
          <w:rPr>
            <w:noProof/>
            <w:webHidden/>
          </w:rPr>
          <w:fldChar w:fldCharType="begin"/>
        </w:r>
        <w:r w:rsidR="006325E6">
          <w:rPr>
            <w:noProof/>
            <w:webHidden/>
          </w:rPr>
          <w:instrText xml:space="preserve"> PAGEREF _Toc454544507 \h </w:instrText>
        </w:r>
        <w:r w:rsidR="006325E6">
          <w:rPr>
            <w:noProof/>
            <w:webHidden/>
          </w:rPr>
        </w:r>
        <w:r w:rsidR="006325E6">
          <w:rPr>
            <w:noProof/>
            <w:webHidden/>
          </w:rPr>
          <w:fldChar w:fldCharType="separate"/>
        </w:r>
        <w:r w:rsidR="004E4E0A">
          <w:rPr>
            <w:noProof/>
            <w:webHidden/>
          </w:rPr>
          <w:t>288</w:t>
        </w:r>
        <w:r w:rsidR="006325E6">
          <w:rPr>
            <w:noProof/>
            <w:webHidden/>
          </w:rPr>
          <w:fldChar w:fldCharType="end"/>
        </w:r>
      </w:hyperlink>
    </w:p>
    <w:p w:rsidR="006325E6" w:rsidRPr="007769A6" w:rsidRDefault="00271F1E" w:rsidP="006325E6">
      <w:pPr>
        <w:pStyle w:val="TOC3"/>
        <w:rPr>
          <w:rFonts w:eastAsiaTheme="minorEastAsia" w:cstheme="minorBidi"/>
          <w:b w:val="0"/>
          <w:sz w:val="22"/>
          <w:szCs w:val="22"/>
          <w:lang w:val="en-US"/>
        </w:rPr>
      </w:pPr>
      <w:hyperlink w:anchor="_Toc454544508" w:history="1">
        <w:r w:rsidR="006325E6" w:rsidRPr="007769A6">
          <w:rPr>
            <w:rStyle w:val="Hyperlink"/>
            <w:b w:val="0"/>
          </w:rPr>
          <w:t>PROJECT 1</w:t>
        </w:r>
        <w:r w:rsidR="006325E6" w:rsidRPr="007769A6">
          <w:rPr>
            <w:rFonts w:eastAsiaTheme="minorEastAsia" w:cstheme="minorBidi"/>
            <w:b w:val="0"/>
            <w:sz w:val="22"/>
            <w:szCs w:val="22"/>
            <w:lang w:val="en-US"/>
          </w:rPr>
          <w:tab/>
        </w:r>
        <w:r w:rsidR="006325E6" w:rsidRPr="007769A6">
          <w:rPr>
            <w:rStyle w:val="Hyperlink"/>
            <w:b w:val="0"/>
          </w:rPr>
          <w:t>SECURITY ENHANCEMENT:  DATA ENCRYPTION AND USER MANAGEMENT (CMP 1)</w:t>
        </w:r>
        <w:r w:rsidR="006325E6" w:rsidRPr="007769A6">
          <w:rPr>
            <w:b w:val="0"/>
            <w:webHidden/>
          </w:rPr>
          <w:tab/>
        </w:r>
        <w:r w:rsidR="006325E6" w:rsidRPr="007769A6">
          <w:rPr>
            <w:b w:val="0"/>
            <w:webHidden/>
          </w:rPr>
          <w:fldChar w:fldCharType="begin"/>
        </w:r>
        <w:r w:rsidR="006325E6" w:rsidRPr="007769A6">
          <w:rPr>
            <w:b w:val="0"/>
            <w:webHidden/>
          </w:rPr>
          <w:instrText xml:space="preserve"> PAGEREF _Toc454544508 \h </w:instrText>
        </w:r>
        <w:r w:rsidR="006325E6" w:rsidRPr="007769A6">
          <w:rPr>
            <w:b w:val="0"/>
            <w:webHidden/>
          </w:rPr>
        </w:r>
        <w:r w:rsidR="006325E6" w:rsidRPr="007769A6">
          <w:rPr>
            <w:b w:val="0"/>
            <w:webHidden/>
          </w:rPr>
          <w:fldChar w:fldCharType="separate"/>
        </w:r>
        <w:r w:rsidR="004E4E0A">
          <w:rPr>
            <w:b w:val="0"/>
            <w:webHidden/>
          </w:rPr>
          <w:t>289</w:t>
        </w:r>
        <w:r w:rsidR="006325E6" w:rsidRPr="007769A6">
          <w:rPr>
            <w:b w:val="0"/>
            <w:webHidden/>
          </w:rPr>
          <w:fldChar w:fldCharType="end"/>
        </w:r>
      </w:hyperlink>
    </w:p>
    <w:p w:rsidR="006325E6" w:rsidRPr="007769A6" w:rsidRDefault="00271F1E" w:rsidP="006325E6">
      <w:pPr>
        <w:pStyle w:val="TOC3"/>
        <w:rPr>
          <w:rFonts w:eastAsiaTheme="minorEastAsia" w:cstheme="minorBidi"/>
          <w:b w:val="0"/>
          <w:sz w:val="22"/>
          <w:szCs w:val="22"/>
          <w:lang w:val="en-US"/>
        </w:rPr>
      </w:pPr>
      <w:hyperlink w:anchor="_Toc454544509" w:history="1">
        <w:r w:rsidR="006325E6" w:rsidRPr="007769A6">
          <w:rPr>
            <w:rStyle w:val="Hyperlink"/>
            <w:b w:val="0"/>
            <w:lang w:val="fr-CH"/>
          </w:rPr>
          <w:t>PROJECT 2</w:t>
        </w:r>
        <w:r w:rsidR="006325E6" w:rsidRPr="007769A6">
          <w:rPr>
            <w:rFonts w:eastAsiaTheme="minorEastAsia" w:cstheme="minorBidi"/>
            <w:b w:val="0"/>
            <w:sz w:val="22"/>
            <w:szCs w:val="22"/>
            <w:lang w:val="en-US"/>
          </w:rPr>
          <w:tab/>
        </w:r>
        <w:r w:rsidR="006325E6" w:rsidRPr="007769A6">
          <w:rPr>
            <w:rStyle w:val="Hyperlink"/>
            <w:b w:val="0"/>
            <w:lang w:val="fr-CH"/>
          </w:rPr>
          <w:t>ENTERPRISE CONTENT MANAGEMENT (ECM) IMPLEMENTATION (CMP 2)</w:t>
        </w:r>
        <w:r w:rsidR="006325E6" w:rsidRPr="007769A6">
          <w:rPr>
            <w:b w:val="0"/>
            <w:webHidden/>
          </w:rPr>
          <w:tab/>
        </w:r>
        <w:r w:rsidR="006325E6" w:rsidRPr="007769A6">
          <w:rPr>
            <w:b w:val="0"/>
            <w:webHidden/>
          </w:rPr>
          <w:fldChar w:fldCharType="begin"/>
        </w:r>
        <w:r w:rsidR="006325E6" w:rsidRPr="007769A6">
          <w:rPr>
            <w:b w:val="0"/>
            <w:webHidden/>
          </w:rPr>
          <w:instrText xml:space="preserve"> PAGEREF _Toc454544509 \h </w:instrText>
        </w:r>
        <w:r w:rsidR="006325E6" w:rsidRPr="007769A6">
          <w:rPr>
            <w:b w:val="0"/>
            <w:webHidden/>
          </w:rPr>
        </w:r>
        <w:r w:rsidR="006325E6" w:rsidRPr="007769A6">
          <w:rPr>
            <w:b w:val="0"/>
            <w:webHidden/>
          </w:rPr>
          <w:fldChar w:fldCharType="separate"/>
        </w:r>
        <w:r w:rsidR="004E4E0A">
          <w:rPr>
            <w:b w:val="0"/>
            <w:webHidden/>
          </w:rPr>
          <w:t>292</w:t>
        </w:r>
        <w:r w:rsidR="006325E6" w:rsidRPr="007769A6">
          <w:rPr>
            <w:b w:val="0"/>
            <w:webHidden/>
          </w:rPr>
          <w:fldChar w:fldCharType="end"/>
        </w:r>
      </w:hyperlink>
    </w:p>
    <w:p w:rsidR="006325E6" w:rsidRPr="007769A6" w:rsidRDefault="00271F1E" w:rsidP="006325E6">
      <w:pPr>
        <w:pStyle w:val="TOC3"/>
        <w:rPr>
          <w:rFonts w:eastAsiaTheme="minorEastAsia" w:cstheme="minorBidi"/>
          <w:b w:val="0"/>
          <w:sz w:val="22"/>
          <w:szCs w:val="22"/>
          <w:lang w:val="en-US"/>
        </w:rPr>
      </w:pPr>
      <w:hyperlink w:anchor="_Toc454544510" w:history="1">
        <w:r w:rsidR="006325E6" w:rsidRPr="007769A6">
          <w:rPr>
            <w:rStyle w:val="Hyperlink"/>
            <w:b w:val="0"/>
          </w:rPr>
          <w:t>PROJECT 3</w:t>
        </w:r>
        <w:r w:rsidR="006325E6" w:rsidRPr="007769A6">
          <w:rPr>
            <w:rFonts w:eastAsiaTheme="minorEastAsia" w:cstheme="minorBidi"/>
            <w:b w:val="0"/>
            <w:sz w:val="22"/>
            <w:szCs w:val="22"/>
            <w:lang w:val="en-US"/>
          </w:rPr>
          <w:tab/>
        </w:r>
        <w:r w:rsidR="006325E6" w:rsidRPr="007769A6">
          <w:rPr>
            <w:rStyle w:val="Hyperlink"/>
            <w:b w:val="0"/>
          </w:rPr>
          <w:t xml:space="preserve">RENOVATION OF THE FACADES AND COOLING/HEATING INSTALLATION IN PCT BUILDING </w:t>
        </w:r>
        <w:r w:rsidR="007769A6">
          <w:rPr>
            <w:rStyle w:val="Hyperlink"/>
            <w:b w:val="0"/>
          </w:rPr>
          <w:br/>
        </w:r>
        <w:r w:rsidR="006325E6" w:rsidRPr="007769A6">
          <w:rPr>
            <w:rStyle w:val="Hyperlink"/>
            <w:b w:val="0"/>
          </w:rPr>
          <w:t>(CMP 3)</w:t>
        </w:r>
        <w:r w:rsidR="006325E6" w:rsidRPr="007769A6">
          <w:rPr>
            <w:b w:val="0"/>
            <w:webHidden/>
          </w:rPr>
          <w:tab/>
        </w:r>
        <w:r w:rsidR="006325E6" w:rsidRPr="007769A6">
          <w:rPr>
            <w:b w:val="0"/>
            <w:webHidden/>
          </w:rPr>
          <w:fldChar w:fldCharType="begin"/>
        </w:r>
        <w:r w:rsidR="006325E6" w:rsidRPr="007769A6">
          <w:rPr>
            <w:b w:val="0"/>
            <w:webHidden/>
          </w:rPr>
          <w:instrText xml:space="preserve"> PAGEREF _Toc454544510 \h </w:instrText>
        </w:r>
        <w:r w:rsidR="006325E6" w:rsidRPr="007769A6">
          <w:rPr>
            <w:b w:val="0"/>
            <w:webHidden/>
          </w:rPr>
        </w:r>
        <w:r w:rsidR="006325E6" w:rsidRPr="007769A6">
          <w:rPr>
            <w:b w:val="0"/>
            <w:webHidden/>
          </w:rPr>
          <w:fldChar w:fldCharType="separate"/>
        </w:r>
        <w:r w:rsidR="004E4E0A">
          <w:rPr>
            <w:b w:val="0"/>
            <w:webHidden/>
          </w:rPr>
          <w:t>298</w:t>
        </w:r>
        <w:r w:rsidR="006325E6" w:rsidRPr="007769A6">
          <w:rPr>
            <w:b w:val="0"/>
            <w:webHidden/>
          </w:rPr>
          <w:fldChar w:fldCharType="end"/>
        </w:r>
      </w:hyperlink>
    </w:p>
    <w:p w:rsidR="006325E6" w:rsidRPr="007769A6" w:rsidRDefault="00271F1E" w:rsidP="006325E6">
      <w:pPr>
        <w:pStyle w:val="TOC3"/>
        <w:rPr>
          <w:rFonts w:eastAsiaTheme="minorEastAsia" w:cstheme="minorBidi"/>
          <w:b w:val="0"/>
          <w:sz w:val="22"/>
          <w:szCs w:val="22"/>
          <w:lang w:val="en-US"/>
        </w:rPr>
      </w:pPr>
      <w:hyperlink w:anchor="_Toc454544511" w:history="1">
        <w:r w:rsidR="006325E6" w:rsidRPr="007769A6">
          <w:rPr>
            <w:rStyle w:val="Hyperlink"/>
            <w:b w:val="0"/>
          </w:rPr>
          <w:t>PROJECT 4</w:t>
        </w:r>
        <w:r w:rsidR="006325E6" w:rsidRPr="007769A6">
          <w:rPr>
            <w:rFonts w:eastAsiaTheme="minorEastAsia" w:cstheme="minorBidi"/>
            <w:b w:val="0"/>
            <w:sz w:val="22"/>
            <w:szCs w:val="22"/>
            <w:lang w:val="en-US"/>
          </w:rPr>
          <w:tab/>
        </w:r>
        <w:r w:rsidR="006325E6" w:rsidRPr="007769A6">
          <w:rPr>
            <w:rStyle w:val="Hyperlink"/>
            <w:b w:val="0"/>
          </w:rPr>
          <w:t>DEPLOYMENT OF GENEVA LAKE WATER (“GLN”) COOLING SYSTEM TO AB AND PCT BUILDINGS (CMP 4)</w:t>
        </w:r>
        <w:r w:rsidR="006325E6" w:rsidRPr="007769A6">
          <w:rPr>
            <w:b w:val="0"/>
            <w:webHidden/>
          </w:rPr>
          <w:tab/>
        </w:r>
        <w:r w:rsidR="006325E6" w:rsidRPr="007769A6">
          <w:rPr>
            <w:b w:val="0"/>
            <w:webHidden/>
          </w:rPr>
          <w:fldChar w:fldCharType="begin"/>
        </w:r>
        <w:r w:rsidR="006325E6" w:rsidRPr="007769A6">
          <w:rPr>
            <w:b w:val="0"/>
            <w:webHidden/>
          </w:rPr>
          <w:instrText xml:space="preserve"> PAGEREF _Toc454544511 \h </w:instrText>
        </w:r>
        <w:r w:rsidR="006325E6" w:rsidRPr="007769A6">
          <w:rPr>
            <w:b w:val="0"/>
            <w:webHidden/>
          </w:rPr>
        </w:r>
        <w:r w:rsidR="006325E6" w:rsidRPr="007769A6">
          <w:rPr>
            <w:b w:val="0"/>
            <w:webHidden/>
          </w:rPr>
          <w:fldChar w:fldCharType="separate"/>
        </w:r>
        <w:r w:rsidR="004E4E0A">
          <w:rPr>
            <w:b w:val="0"/>
            <w:webHidden/>
          </w:rPr>
          <w:t>302</w:t>
        </w:r>
        <w:r w:rsidR="006325E6" w:rsidRPr="007769A6">
          <w:rPr>
            <w:b w:val="0"/>
            <w:webHidden/>
          </w:rPr>
          <w:fldChar w:fldCharType="end"/>
        </w:r>
      </w:hyperlink>
    </w:p>
    <w:p w:rsidR="006325E6" w:rsidRPr="007769A6" w:rsidRDefault="00271F1E" w:rsidP="006325E6">
      <w:pPr>
        <w:pStyle w:val="TOC3"/>
        <w:rPr>
          <w:rFonts w:eastAsiaTheme="minorEastAsia" w:cstheme="minorBidi"/>
          <w:b w:val="0"/>
          <w:sz w:val="22"/>
          <w:szCs w:val="22"/>
          <w:lang w:val="en-US"/>
        </w:rPr>
      </w:pPr>
      <w:hyperlink w:anchor="_Toc454544512" w:history="1">
        <w:r w:rsidR="006325E6" w:rsidRPr="007769A6">
          <w:rPr>
            <w:rStyle w:val="Hyperlink"/>
            <w:b w:val="0"/>
          </w:rPr>
          <w:t>PROJECT 5</w:t>
        </w:r>
        <w:r w:rsidR="006325E6" w:rsidRPr="007769A6">
          <w:rPr>
            <w:rFonts w:eastAsiaTheme="minorEastAsia" w:cstheme="minorBidi"/>
            <w:b w:val="0"/>
            <w:sz w:val="22"/>
            <w:szCs w:val="22"/>
            <w:lang w:val="en-US"/>
          </w:rPr>
          <w:tab/>
        </w:r>
        <w:r w:rsidR="006325E6" w:rsidRPr="007769A6">
          <w:rPr>
            <w:rStyle w:val="Hyperlink"/>
            <w:b w:val="0"/>
          </w:rPr>
          <w:t>ARPAD BOGSCH BUILDING - PHASE 1 OF BASEMENT RENOVATION (RESIZING OF DATA CENTER AND RENOVATION OF THE PRINTSHOP) (CMP 5)</w:t>
        </w:r>
        <w:r w:rsidR="006325E6" w:rsidRPr="007769A6">
          <w:rPr>
            <w:b w:val="0"/>
            <w:webHidden/>
          </w:rPr>
          <w:tab/>
        </w:r>
        <w:r w:rsidR="006325E6" w:rsidRPr="007769A6">
          <w:rPr>
            <w:b w:val="0"/>
            <w:webHidden/>
          </w:rPr>
          <w:fldChar w:fldCharType="begin"/>
        </w:r>
        <w:r w:rsidR="006325E6" w:rsidRPr="007769A6">
          <w:rPr>
            <w:b w:val="0"/>
            <w:webHidden/>
          </w:rPr>
          <w:instrText xml:space="preserve"> PAGEREF _Toc454544512 \h </w:instrText>
        </w:r>
        <w:r w:rsidR="006325E6" w:rsidRPr="007769A6">
          <w:rPr>
            <w:b w:val="0"/>
            <w:webHidden/>
          </w:rPr>
        </w:r>
        <w:r w:rsidR="006325E6" w:rsidRPr="007769A6">
          <w:rPr>
            <w:b w:val="0"/>
            <w:webHidden/>
          </w:rPr>
          <w:fldChar w:fldCharType="separate"/>
        </w:r>
        <w:r w:rsidR="004E4E0A">
          <w:rPr>
            <w:b w:val="0"/>
            <w:webHidden/>
          </w:rPr>
          <w:t>306</w:t>
        </w:r>
        <w:r w:rsidR="006325E6" w:rsidRPr="007769A6">
          <w:rPr>
            <w:b w:val="0"/>
            <w:webHidden/>
          </w:rPr>
          <w:fldChar w:fldCharType="end"/>
        </w:r>
      </w:hyperlink>
    </w:p>
    <w:p w:rsidR="006325E6" w:rsidRPr="007769A6" w:rsidRDefault="00271F1E" w:rsidP="006325E6">
      <w:pPr>
        <w:pStyle w:val="TOC3"/>
        <w:rPr>
          <w:rFonts w:eastAsiaTheme="minorEastAsia" w:cstheme="minorBidi"/>
          <w:b w:val="0"/>
          <w:sz w:val="22"/>
          <w:szCs w:val="22"/>
          <w:lang w:val="en-US"/>
        </w:rPr>
      </w:pPr>
      <w:hyperlink w:anchor="_Toc454544513" w:history="1">
        <w:r w:rsidR="006325E6" w:rsidRPr="007769A6">
          <w:rPr>
            <w:rStyle w:val="Hyperlink"/>
            <w:b w:val="0"/>
          </w:rPr>
          <w:t>PROJECT 6</w:t>
        </w:r>
        <w:r w:rsidR="006325E6" w:rsidRPr="007769A6">
          <w:rPr>
            <w:rFonts w:eastAsiaTheme="minorEastAsia" w:cstheme="minorBidi"/>
            <w:b w:val="0"/>
            <w:sz w:val="22"/>
            <w:szCs w:val="22"/>
            <w:lang w:val="en-US"/>
          </w:rPr>
          <w:tab/>
        </w:r>
        <w:r w:rsidR="006325E6" w:rsidRPr="007769A6">
          <w:rPr>
            <w:rStyle w:val="Hyperlink"/>
            <w:b w:val="0"/>
          </w:rPr>
          <w:t>ARPAD BOGSCH BUILDING - REPLACEMENT OF CERTAIN WINDOWS (CMP 6)</w:t>
        </w:r>
        <w:r w:rsidR="006325E6" w:rsidRPr="007769A6">
          <w:rPr>
            <w:b w:val="0"/>
            <w:webHidden/>
          </w:rPr>
          <w:tab/>
        </w:r>
        <w:r w:rsidR="006325E6" w:rsidRPr="007769A6">
          <w:rPr>
            <w:b w:val="0"/>
            <w:webHidden/>
          </w:rPr>
          <w:fldChar w:fldCharType="begin"/>
        </w:r>
        <w:r w:rsidR="006325E6" w:rsidRPr="007769A6">
          <w:rPr>
            <w:b w:val="0"/>
            <w:webHidden/>
          </w:rPr>
          <w:instrText xml:space="preserve"> PAGEREF _Toc454544513 \h </w:instrText>
        </w:r>
        <w:r w:rsidR="006325E6" w:rsidRPr="007769A6">
          <w:rPr>
            <w:b w:val="0"/>
            <w:webHidden/>
          </w:rPr>
        </w:r>
        <w:r w:rsidR="006325E6" w:rsidRPr="007769A6">
          <w:rPr>
            <w:b w:val="0"/>
            <w:webHidden/>
          </w:rPr>
          <w:fldChar w:fldCharType="separate"/>
        </w:r>
        <w:r w:rsidR="004E4E0A">
          <w:rPr>
            <w:b w:val="0"/>
            <w:webHidden/>
          </w:rPr>
          <w:t>309</w:t>
        </w:r>
        <w:r w:rsidR="006325E6" w:rsidRPr="007769A6">
          <w:rPr>
            <w:b w:val="0"/>
            <w:webHidden/>
          </w:rPr>
          <w:fldChar w:fldCharType="end"/>
        </w:r>
      </w:hyperlink>
    </w:p>
    <w:p w:rsidR="006325E6" w:rsidRPr="007769A6" w:rsidRDefault="00271F1E" w:rsidP="006325E6">
      <w:pPr>
        <w:pStyle w:val="TOC3"/>
        <w:rPr>
          <w:rFonts w:eastAsiaTheme="minorEastAsia" w:cstheme="minorBidi"/>
          <w:b w:val="0"/>
          <w:sz w:val="22"/>
          <w:szCs w:val="22"/>
          <w:lang w:val="en-US"/>
        </w:rPr>
      </w:pPr>
      <w:hyperlink w:anchor="_Toc454544514" w:history="1">
        <w:r w:rsidR="006325E6" w:rsidRPr="007769A6">
          <w:rPr>
            <w:rStyle w:val="Hyperlink"/>
            <w:b w:val="0"/>
          </w:rPr>
          <w:t>PROJECT 7</w:t>
        </w:r>
        <w:r w:rsidR="006325E6" w:rsidRPr="007769A6">
          <w:rPr>
            <w:rFonts w:eastAsiaTheme="minorEastAsia" w:cstheme="minorBidi"/>
            <w:b w:val="0"/>
            <w:sz w:val="22"/>
            <w:szCs w:val="22"/>
            <w:lang w:val="en-US"/>
          </w:rPr>
          <w:tab/>
        </w:r>
        <w:r w:rsidR="006325E6" w:rsidRPr="007769A6">
          <w:rPr>
            <w:rStyle w:val="Hyperlink"/>
            <w:b w:val="0"/>
          </w:rPr>
          <w:t>SAFETY AND FIREPROTECTION MEASURES (CMP 7)</w:t>
        </w:r>
        <w:r w:rsidR="006325E6" w:rsidRPr="007769A6">
          <w:rPr>
            <w:b w:val="0"/>
            <w:webHidden/>
          </w:rPr>
          <w:tab/>
        </w:r>
        <w:r w:rsidR="006325E6" w:rsidRPr="007769A6">
          <w:rPr>
            <w:b w:val="0"/>
            <w:webHidden/>
          </w:rPr>
          <w:fldChar w:fldCharType="begin"/>
        </w:r>
        <w:r w:rsidR="006325E6" w:rsidRPr="007769A6">
          <w:rPr>
            <w:b w:val="0"/>
            <w:webHidden/>
          </w:rPr>
          <w:instrText xml:space="preserve"> PAGEREF _Toc454544514 \h </w:instrText>
        </w:r>
        <w:r w:rsidR="006325E6" w:rsidRPr="007769A6">
          <w:rPr>
            <w:b w:val="0"/>
            <w:webHidden/>
          </w:rPr>
        </w:r>
        <w:r w:rsidR="006325E6" w:rsidRPr="007769A6">
          <w:rPr>
            <w:b w:val="0"/>
            <w:webHidden/>
          </w:rPr>
          <w:fldChar w:fldCharType="separate"/>
        </w:r>
        <w:r w:rsidR="004E4E0A">
          <w:rPr>
            <w:b w:val="0"/>
            <w:webHidden/>
          </w:rPr>
          <w:t>312</w:t>
        </w:r>
        <w:r w:rsidR="006325E6" w:rsidRPr="007769A6">
          <w:rPr>
            <w:b w:val="0"/>
            <w:webHidden/>
          </w:rPr>
          <w:fldChar w:fldCharType="end"/>
        </w:r>
      </w:hyperlink>
    </w:p>
    <w:p w:rsidR="006325E6" w:rsidRDefault="00271F1E">
      <w:pPr>
        <w:pStyle w:val="TOC2"/>
        <w:rPr>
          <w:rFonts w:eastAsiaTheme="minorEastAsia" w:cstheme="minorBidi"/>
          <w:smallCaps w:val="0"/>
          <w:noProof/>
          <w:sz w:val="22"/>
          <w:szCs w:val="22"/>
        </w:rPr>
      </w:pPr>
      <w:hyperlink w:anchor="_Toc454544515" w:history="1">
        <w:r w:rsidR="006325E6" w:rsidRPr="00CE61AB">
          <w:rPr>
            <w:rStyle w:val="Hyperlink"/>
            <w:noProof/>
            <w:lang w:eastAsia="zh-CN"/>
          </w:rPr>
          <w:t xml:space="preserve">APPENDIX IV    </w:t>
        </w:r>
        <w:r w:rsidR="006325E6" w:rsidRPr="00CE61AB">
          <w:rPr>
            <w:rStyle w:val="Hyperlink"/>
            <w:noProof/>
          </w:rPr>
          <w:t xml:space="preserve"> ACRONYMS AND ABBREVIATIONS USED IN THE PRESENT DOCUMENT</w:t>
        </w:r>
        <w:r w:rsidR="006325E6">
          <w:rPr>
            <w:noProof/>
            <w:webHidden/>
          </w:rPr>
          <w:tab/>
        </w:r>
        <w:r w:rsidR="006325E6">
          <w:rPr>
            <w:noProof/>
            <w:webHidden/>
          </w:rPr>
          <w:fldChar w:fldCharType="begin"/>
        </w:r>
        <w:r w:rsidR="006325E6">
          <w:rPr>
            <w:noProof/>
            <w:webHidden/>
          </w:rPr>
          <w:instrText xml:space="preserve"> PAGEREF _Toc454544515 \h </w:instrText>
        </w:r>
        <w:r w:rsidR="006325E6">
          <w:rPr>
            <w:noProof/>
            <w:webHidden/>
          </w:rPr>
        </w:r>
        <w:r w:rsidR="006325E6">
          <w:rPr>
            <w:noProof/>
            <w:webHidden/>
          </w:rPr>
          <w:fldChar w:fldCharType="separate"/>
        </w:r>
        <w:r w:rsidR="004E4E0A">
          <w:rPr>
            <w:noProof/>
            <w:webHidden/>
          </w:rPr>
          <w:t>316</w:t>
        </w:r>
        <w:r w:rsidR="006325E6">
          <w:rPr>
            <w:noProof/>
            <w:webHidden/>
          </w:rPr>
          <w:fldChar w:fldCharType="end"/>
        </w:r>
      </w:hyperlink>
    </w:p>
    <w:p w:rsidR="007F6F24" w:rsidRDefault="007F6F24">
      <w:r w:rsidRPr="00F838C5">
        <w:rPr>
          <w:rFonts w:cs="Arial"/>
        </w:rPr>
        <w:fldChar w:fldCharType="end"/>
      </w:r>
    </w:p>
    <w:p w:rsidR="007F6F24" w:rsidRDefault="007F6F24"/>
    <w:p w:rsidR="007F6F24" w:rsidRDefault="007F6F24"/>
    <w:p w:rsidR="007F6F24" w:rsidRDefault="007F6F24"/>
    <w:p w:rsidR="007F6F24" w:rsidRDefault="007F6F24">
      <w:r>
        <w:br w:type="page"/>
      </w:r>
    </w:p>
    <w:p w:rsidR="007F6F24" w:rsidRPr="00685779" w:rsidRDefault="007F6F24" w:rsidP="00845557">
      <w:pPr>
        <w:pStyle w:val="Heading1"/>
        <w:tabs>
          <w:tab w:val="clear" w:pos="284"/>
        </w:tabs>
        <w:ind w:hanging="578"/>
        <w:jc w:val="left"/>
        <w:rPr>
          <w:szCs w:val="22"/>
        </w:rPr>
      </w:pPr>
      <w:bookmarkStart w:id="7" w:name="_Toc327875005"/>
      <w:bookmarkStart w:id="8" w:name="_Toc358366917"/>
      <w:bookmarkStart w:id="9" w:name="_Toc454544455"/>
      <w:r w:rsidRPr="00685779">
        <w:lastRenderedPageBreak/>
        <w:t>INTRODUCTION</w:t>
      </w:r>
      <w:bookmarkEnd w:id="7"/>
      <w:bookmarkEnd w:id="8"/>
      <w:bookmarkEnd w:id="9"/>
    </w:p>
    <w:p w:rsidR="00DA0522" w:rsidRPr="00812B04" w:rsidRDefault="00DA0522" w:rsidP="00547ACE">
      <w:pPr>
        <w:jc w:val="both"/>
      </w:pPr>
    </w:p>
    <w:p w:rsidR="00DA0522" w:rsidRPr="009357E8" w:rsidRDefault="00DA0522" w:rsidP="009357E8">
      <w:pPr>
        <w:pStyle w:val="ONUME"/>
        <w:numPr>
          <w:ilvl w:val="0"/>
          <w:numId w:val="92"/>
        </w:numPr>
        <w:jc w:val="both"/>
        <w:rPr>
          <w:lang w:val="en"/>
        </w:rPr>
      </w:pPr>
      <w:r w:rsidRPr="009357E8">
        <w:rPr>
          <w:lang w:val="en"/>
        </w:rPr>
        <w:t xml:space="preserve">The Program Performance Report (PPR) is the principal accountability tool for reporting on organizational performance to Member States and an integral part of WIPO’s Results Based Management (RBM) framework.  The Report also serves as an important learning tool ensuring that lessons from past performance are learned and duly incorporated into the future implementation of WIPO’s activities.  The PPR is a self-assessment by Program Managers based on the results framework approved by Member States.  As in 2014, the assessment of the implementation of the Development Agenda (DA) was mainstreamed and therefore integrated into the Achievements in the 2014/15 Biennium, as opposed to </w:t>
      </w:r>
      <w:proofErr w:type="gramStart"/>
      <w:r w:rsidRPr="009357E8">
        <w:rPr>
          <w:lang w:val="en"/>
        </w:rPr>
        <w:t>addressed</w:t>
      </w:r>
      <w:proofErr w:type="gramEnd"/>
      <w:r w:rsidRPr="009357E8">
        <w:rPr>
          <w:lang w:val="en"/>
        </w:rPr>
        <w:t xml:space="preserve"> in a separate section.  As part of WIPO’s commitment to strengthening its risk management, the PPR 2014/15 has been enhanced to include, for the first time, a dedicated section on Risk Reporting for the Biennium.  To strengthen the validity of the information in the PPR, the Internal Oversight Division (IOD) carries out a validation of the performance data on a biennial basis.  The validation of the PPR 2014/15 can be found in document WO/PBC/25/8.  </w:t>
      </w:r>
    </w:p>
    <w:p w:rsidR="00DA0522" w:rsidRPr="009357E8" w:rsidRDefault="00DA0522" w:rsidP="009357E8">
      <w:pPr>
        <w:pStyle w:val="ONUME"/>
        <w:numPr>
          <w:ilvl w:val="0"/>
          <w:numId w:val="92"/>
        </w:numPr>
        <w:jc w:val="both"/>
        <w:rPr>
          <w:lang w:val="en"/>
        </w:rPr>
      </w:pPr>
      <w:r w:rsidRPr="009357E8">
        <w:rPr>
          <w:lang w:val="en"/>
        </w:rPr>
        <w:t xml:space="preserve">The PPR 2014/15 is an end-biennium report, and assesses progress </w:t>
      </w:r>
      <w:r w:rsidR="00380E9D">
        <w:rPr>
          <w:lang w:val="en"/>
        </w:rPr>
        <w:t>made and/or achievement of the expected r</w:t>
      </w:r>
      <w:r w:rsidRPr="009357E8">
        <w:rPr>
          <w:lang w:val="en"/>
        </w:rPr>
        <w:t>esults, measured by the Performance Indicators and with the resources approved in the Program and Budget 2014/15</w:t>
      </w:r>
      <w:r w:rsidRPr="00BA6F3B">
        <w:rPr>
          <w:vertAlign w:val="superscript"/>
          <w:lang w:val="en"/>
        </w:rPr>
        <w:footnoteReference w:id="1"/>
      </w:r>
      <w:r w:rsidRPr="009357E8">
        <w:rPr>
          <w:lang w:val="en"/>
        </w:rPr>
        <w:t>.  A performance indicator could be measured by more than one target.  In such cases, the rating for each target is provided, resulting in multiple ratings.  The following assessment criteria have been used for the PPR 2014/15:</w:t>
      </w:r>
    </w:p>
    <w:p w:rsidR="00DA0522" w:rsidRPr="009357E8" w:rsidRDefault="00DA0522" w:rsidP="009357E8">
      <w:pPr>
        <w:pStyle w:val="ONUME"/>
        <w:numPr>
          <w:ilvl w:val="0"/>
          <w:numId w:val="92"/>
        </w:numPr>
        <w:jc w:val="both"/>
        <w:rPr>
          <w:lang w:val="en"/>
        </w:rPr>
      </w:pPr>
      <w:r w:rsidRPr="009357E8">
        <w:rPr>
          <w:lang w:val="en"/>
        </w:rPr>
        <w:t>Key to Traffic Light System (TLS):</w:t>
      </w:r>
    </w:p>
    <w:p w:rsidR="00DA0522" w:rsidRPr="009D6000" w:rsidRDefault="00DA0522" w:rsidP="00DA0522">
      <w:pPr>
        <w:numPr>
          <w:ilvl w:val="0"/>
          <w:numId w:val="174"/>
        </w:numPr>
        <w:ind w:left="806" w:hanging="403"/>
        <w:jc w:val="both"/>
        <w:rPr>
          <w:szCs w:val="20"/>
        </w:rPr>
      </w:pPr>
      <w:r>
        <w:rPr>
          <w:rFonts w:cs="Arial"/>
          <w:b/>
          <w:bCs/>
          <w:color w:val="008000"/>
          <w:szCs w:val="20"/>
        </w:rPr>
        <w:t>Fully Achieved</w:t>
      </w:r>
      <w:r w:rsidRPr="009D6000">
        <w:rPr>
          <w:rFonts w:cs="Arial"/>
          <w:szCs w:val="20"/>
        </w:rPr>
        <w:t xml:space="preserve"> is </w:t>
      </w:r>
      <w:r w:rsidRPr="009D6000">
        <w:rPr>
          <w:szCs w:val="20"/>
        </w:rPr>
        <w:t xml:space="preserve">applied when </w:t>
      </w:r>
      <w:r>
        <w:rPr>
          <w:szCs w:val="20"/>
        </w:rPr>
        <w:t>the 2014/15 performance data suggest 80</w:t>
      </w:r>
      <w:r w:rsidRPr="009D6000">
        <w:rPr>
          <w:szCs w:val="20"/>
        </w:rPr>
        <w:t xml:space="preserve"> per cent or </w:t>
      </w:r>
      <w:r>
        <w:rPr>
          <w:szCs w:val="20"/>
        </w:rPr>
        <w:t>greater achievement of the performance indicator target.</w:t>
      </w:r>
    </w:p>
    <w:p w:rsidR="00DA0522" w:rsidRDefault="00DA0522" w:rsidP="00DA0522">
      <w:pPr>
        <w:numPr>
          <w:ilvl w:val="0"/>
          <w:numId w:val="174"/>
        </w:numPr>
        <w:spacing w:before="120"/>
        <w:ind w:left="806" w:hanging="403"/>
        <w:jc w:val="both"/>
      </w:pPr>
      <w:r w:rsidRPr="00F2279E">
        <w:rPr>
          <w:b/>
          <w:bCs/>
          <w:color w:val="E26B0A"/>
        </w:rPr>
        <w:t>Partially Achieved</w:t>
      </w:r>
      <w:r>
        <w:t xml:space="preserve"> is applied when the 2014/15 performance data suggest between 30-80 per cent </w:t>
      </w:r>
      <w:proofErr w:type="gramStart"/>
      <w:r>
        <w:t>achievement</w:t>
      </w:r>
      <w:proofErr w:type="gramEnd"/>
      <w:r>
        <w:t xml:space="preserve"> of the performance indicator target. </w:t>
      </w:r>
    </w:p>
    <w:p w:rsidR="00DA0522" w:rsidRDefault="00DA0522" w:rsidP="00DA0522">
      <w:pPr>
        <w:numPr>
          <w:ilvl w:val="0"/>
          <w:numId w:val="174"/>
        </w:numPr>
        <w:spacing w:before="120"/>
        <w:ind w:left="806" w:hanging="403"/>
        <w:jc w:val="both"/>
      </w:pPr>
      <w:r>
        <w:rPr>
          <w:b/>
          <w:bCs/>
          <w:color w:val="FF0000"/>
        </w:rPr>
        <w:t>Not Achieved</w:t>
      </w:r>
      <w:r>
        <w:t xml:space="preserve"> is applied when the 2014/15 performance data suggest less than 30 per cent achievement of the performance indicator target. </w:t>
      </w:r>
    </w:p>
    <w:p w:rsidR="00DA0522" w:rsidRPr="009D6000" w:rsidRDefault="00DA0522" w:rsidP="00DA0522">
      <w:pPr>
        <w:numPr>
          <w:ilvl w:val="0"/>
          <w:numId w:val="174"/>
        </w:numPr>
        <w:spacing w:before="120"/>
        <w:ind w:left="806" w:hanging="403"/>
        <w:jc w:val="both"/>
        <w:rPr>
          <w:color w:val="A6A6A6" w:themeColor="background1" w:themeShade="A6"/>
          <w:szCs w:val="20"/>
        </w:rPr>
      </w:pPr>
      <w:r w:rsidRPr="009D6000">
        <w:rPr>
          <w:b/>
          <w:bCs/>
          <w:color w:val="7F7F7F" w:themeColor="text1" w:themeTint="80"/>
          <w:szCs w:val="20"/>
        </w:rPr>
        <w:t>Not Assessable</w:t>
      </w:r>
      <w:r w:rsidRPr="009D6000">
        <w:rPr>
          <w:rStyle w:val="FootnoteReference"/>
          <w:b/>
          <w:bCs/>
          <w:color w:val="7F7F7F" w:themeColor="text1" w:themeTint="80"/>
          <w:szCs w:val="20"/>
        </w:rPr>
        <w:footnoteReference w:id="2"/>
      </w:r>
      <w:r w:rsidRPr="009D6000">
        <w:rPr>
          <w:b/>
          <w:bCs/>
          <w:color w:val="A6A6A6" w:themeColor="background1" w:themeShade="A6"/>
          <w:szCs w:val="20"/>
        </w:rPr>
        <w:t xml:space="preserve"> </w:t>
      </w:r>
      <w:r w:rsidRPr="009D6000">
        <w:rPr>
          <w:szCs w:val="20"/>
        </w:rPr>
        <w:t xml:space="preserve">is applied when assessment of the performance is not feasible due to </w:t>
      </w:r>
      <w:r>
        <w:rPr>
          <w:szCs w:val="20"/>
        </w:rPr>
        <w:t xml:space="preserve">the target </w:t>
      </w:r>
      <w:r w:rsidRPr="009D6000">
        <w:rPr>
          <w:szCs w:val="20"/>
        </w:rPr>
        <w:t>not having been adequately defined, when a baseline is not av</w:t>
      </w:r>
      <w:r>
        <w:rPr>
          <w:szCs w:val="20"/>
        </w:rPr>
        <w:t>a</w:t>
      </w:r>
      <w:r w:rsidRPr="009D6000">
        <w:rPr>
          <w:szCs w:val="20"/>
        </w:rPr>
        <w:t>ilable or when the performance data is insufficient to determine the TLS, and;</w:t>
      </w:r>
    </w:p>
    <w:p w:rsidR="00DA0522" w:rsidRPr="009D6000" w:rsidRDefault="00DA0522" w:rsidP="00DA0522">
      <w:pPr>
        <w:numPr>
          <w:ilvl w:val="0"/>
          <w:numId w:val="174"/>
        </w:numPr>
        <w:spacing w:before="120"/>
        <w:ind w:left="806" w:hanging="403"/>
        <w:jc w:val="both"/>
        <w:rPr>
          <w:szCs w:val="20"/>
        </w:rPr>
      </w:pPr>
      <w:r w:rsidRPr="009D6000">
        <w:rPr>
          <w:rFonts w:cs="Arial"/>
          <w:b/>
          <w:bCs/>
          <w:szCs w:val="20"/>
        </w:rPr>
        <w:t>Discontinued</w:t>
      </w:r>
      <w:r w:rsidRPr="009D6000">
        <w:rPr>
          <w:rFonts w:cs="Arial"/>
          <w:b/>
          <w:bCs/>
          <w:color w:val="808080"/>
          <w:szCs w:val="20"/>
        </w:rPr>
        <w:t xml:space="preserve"> </w:t>
      </w:r>
      <w:r w:rsidRPr="009D6000">
        <w:rPr>
          <w:rFonts w:cs="Arial"/>
          <w:szCs w:val="20"/>
        </w:rPr>
        <w:t xml:space="preserve">is </w:t>
      </w:r>
      <w:r w:rsidRPr="009D6000">
        <w:rPr>
          <w:szCs w:val="20"/>
        </w:rPr>
        <w:t xml:space="preserve">applied when a performance indicator is no longer used to measure the performance of the Program.  </w:t>
      </w:r>
    </w:p>
    <w:p w:rsidR="00DA0522" w:rsidRPr="00812B04" w:rsidRDefault="00DA0522" w:rsidP="00547ACE">
      <w:pPr>
        <w:jc w:val="both"/>
      </w:pPr>
    </w:p>
    <w:p w:rsidR="00DA0522" w:rsidRPr="00812B04" w:rsidRDefault="00DA0522" w:rsidP="009357E8">
      <w:pPr>
        <w:pStyle w:val="ONUME"/>
        <w:numPr>
          <w:ilvl w:val="0"/>
          <w:numId w:val="92"/>
        </w:numPr>
        <w:jc w:val="both"/>
      </w:pPr>
      <w:r w:rsidRPr="002B2D82">
        <w:t xml:space="preserve">Of a total of </w:t>
      </w:r>
      <w:r>
        <w:t>394</w:t>
      </w:r>
      <w:r w:rsidRPr="002B2D82">
        <w:t xml:space="preserve"> performance indicator ratings in the Program and Budget 2014/15, 2</w:t>
      </w:r>
      <w:r>
        <w:t>86</w:t>
      </w:r>
      <w:r w:rsidRPr="002B2D82">
        <w:t xml:space="preserve"> have been assessed as “</w:t>
      </w:r>
      <w:r>
        <w:t>Fully Achieved</w:t>
      </w:r>
      <w:r w:rsidRPr="002B2D82">
        <w:t xml:space="preserve">”, or </w:t>
      </w:r>
      <w:r>
        <w:t>72</w:t>
      </w:r>
      <w:r w:rsidRPr="002B2D82">
        <w:t xml:space="preserve"> per cent.  Performance on a total of </w:t>
      </w:r>
      <w:r>
        <w:t>19</w:t>
      </w:r>
      <w:r w:rsidRPr="002B2D82">
        <w:t xml:space="preserve"> indicator ratings, or </w:t>
      </w:r>
      <w:r>
        <w:t>five</w:t>
      </w:r>
      <w:r w:rsidRPr="002B2D82">
        <w:t xml:space="preserve"> per cent, were assessed to be “</w:t>
      </w:r>
      <w:r>
        <w:t>Partially Achieved</w:t>
      </w:r>
      <w:r w:rsidRPr="002B2D82">
        <w:t xml:space="preserve">”, and </w:t>
      </w:r>
      <w:r>
        <w:t>46</w:t>
      </w:r>
      <w:r w:rsidRPr="002B2D82">
        <w:t xml:space="preserve"> indicator ratings, or </w:t>
      </w:r>
      <w:r>
        <w:t>12 per cent</w:t>
      </w:r>
      <w:r w:rsidRPr="002B2D82">
        <w:t>, were assessed to be “</w:t>
      </w:r>
      <w:r>
        <w:t>Not Achieved</w:t>
      </w:r>
      <w:r w:rsidRPr="002B2D82">
        <w:t xml:space="preserve">”.  Some </w:t>
      </w:r>
      <w:r>
        <w:t>35</w:t>
      </w:r>
      <w:r w:rsidRPr="002B2D82">
        <w:t xml:space="preserve"> indicator ratings, or </w:t>
      </w:r>
      <w:r>
        <w:t>nine</w:t>
      </w:r>
      <w:r w:rsidRPr="002B2D82">
        <w:t xml:space="preserve"> per cent, were “Not Assessable”, and </w:t>
      </w:r>
      <w:r>
        <w:t>eight</w:t>
      </w:r>
      <w:r w:rsidRPr="002B2D82">
        <w:t xml:space="preserve"> indicator ratings, or </w:t>
      </w:r>
      <w:r>
        <w:t>two</w:t>
      </w:r>
      <w:r w:rsidRPr="002B2D82">
        <w:t xml:space="preserve"> per cent, were “Discontinued”.</w:t>
      </w:r>
      <w:r w:rsidRPr="00812B04">
        <w:t xml:space="preserve"> </w:t>
      </w:r>
      <w:r>
        <w:t xml:space="preserve">  </w:t>
      </w:r>
    </w:p>
    <w:p w:rsidR="00DA0522" w:rsidRDefault="00DA0522" w:rsidP="00547ACE">
      <w:pPr>
        <w:jc w:val="center"/>
      </w:pPr>
      <w:r>
        <w:rPr>
          <w:noProof/>
        </w:rPr>
        <w:lastRenderedPageBreak/>
        <w:drawing>
          <wp:inline distT="0" distB="0" distL="0" distR="0" wp14:anchorId="6877CAF8" wp14:editId="56B288EC">
            <wp:extent cx="4718953" cy="2651760"/>
            <wp:effectExtent l="0" t="0" r="5715"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718953" cy="2651760"/>
                    </a:xfrm>
                    <a:prstGeom prst="rect">
                      <a:avLst/>
                    </a:prstGeom>
                    <a:noFill/>
                  </pic:spPr>
                </pic:pic>
              </a:graphicData>
            </a:graphic>
          </wp:inline>
        </w:drawing>
      </w:r>
    </w:p>
    <w:p w:rsidR="00475AE7" w:rsidRDefault="00475AE7" w:rsidP="00547ACE">
      <w:pPr>
        <w:jc w:val="center"/>
      </w:pPr>
    </w:p>
    <w:p w:rsidR="00475AE7" w:rsidRDefault="00475AE7" w:rsidP="00547ACE">
      <w:pPr>
        <w:jc w:val="center"/>
      </w:pPr>
    </w:p>
    <w:p w:rsidR="00DA0522" w:rsidRPr="00812B04" w:rsidRDefault="00DA0522" w:rsidP="00DA0522">
      <w:pPr>
        <w:pStyle w:val="Heading1"/>
        <w:tabs>
          <w:tab w:val="left" w:pos="284"/>
        </w:tabs>
        <w:spacing w:before="0" w:after="0"/>
        <w:ind w:left="0" w:firstLine="0"/>
        <w:jc w:val="left"/>
      </w:pPr>
      <w:bookmarkStart w:id="10" w:name="_Toc454544456"/>
      <w:r w:rsidRPr="00812B04">
        <w:t xml:space="preserve">SUMMARY OF ACHIEVEMENTS IN </w:t>
      </w:r>
      <w:r>
        <w:t>2014/15</w:t>
      </w:r>
      <w:bookmarkEnd w:id="10"/>
    </w:p>
    <w:p w:rsidR="00DA0522" w:rsidRPr="00812B04" w:rsidRDefault="00DA0522" w:rsidP="00547ACE"/>
    <w:p w:rsidR="00DA0522" w:rsidRPr="00812B04" w:rsidRDefault="00DA0522" w:rsidP="009357E8">
      <w:pPr>
        <w:pStyle w:val="ONUME"/>
        <w:numPr>
          <w:ilvl w:val="0"/>
          <w:numId w:val="92"/>
        </w:numPr>
        <w:jc w:val="both"/>
      </w:pPr>
      <w:r>
        <w:t>The</w:t>
      </w:r>
      <w:r w:rsidRPr="00812B04">
        <w:t xml:space="preserve"> PPR </w:t>
      </w:r>
      <w:r>
        <w:t xml:space="preserve">2014/15 includes </w:t>
      </w:r>
      <w:r w:rsidRPr="00CC5349">
        <w:t>Performance Dashboards</w:t>
      </w:r>
      <w:r>
        <w:t xml:space="preserve"> </w:t>
      </w:r>
      <w:r w:rsidRPr="00CC5349">
        <w:t>for each of the nine Strategic Goals</w:t>
      </w:r>
      <w:r>
        <w:t xml:space="preserve"> (SGs), providing </w:t>
      </w:r>
      <w:r w:rsidRPr="00CC5349">
        <w:t xml:space="preserve">a graphic summary of the </w:t>
      </w:r>
      <w:r w:rsidRPr="00651FAA">
        <w:t>achievements in 2014/15 as measured by the Performance Indicators under the Programs contributing to the respective Goals.  In assessing performance, for the first time, an in</w:t>
      </w:r>
      <w:r w:rsidRPr="00651FAA">
        <w:noBreakHyphen/>
        <w:t xml:space="preserve">depth analysis of the risks identified in the Program and Budget 2014/15 was performed </w:t>
      </w:r>
      <w:r>
        <w:t>at the Program level. This included</w:t>
      </w:r>
      <w:r w:rsidRPr="00651FAA">
        <w:t xml:space="preserve"> </w:t>
      </w:r>
      <w:r>
        <w:t xml:space="preserve">an assessment of </w:t>
      </w:r>
      <w:r w:rsidRPr="00651FAA">
        <w:t xml:space="preserve">the evolution of the risks during the biennium, including whether or not </w:t>
      </w:r>
      <w:r>
        <w:t>a</w:t>
      </w:r>
      <w:r w:rsidRPr="00651FAA">
        <w:t xml:space="preserve"> risk materialized</w:t>
      </w:r>
      <w:proofErr w:type="gramStart"/>
      <w:r w:rsidRPr="00651FAA">
        <w:t>;  the</w:t>
      </w:r>
      <w:proofErr w:type="gramEnd"/>
      <w:r w:rsidRPr="00651FAA">
        <w:t xml:space="preserve"> implementation of mitigation strategies;  and the impact on Program performance towards the delivery of expected results.  An overview of WIPO’s</w:t>
      </w:r>
      <w:r w:rsidRPr="0099322B">
        <w:t xml:space="preserve"> strengthened risk management processes can be found under SG IX and Program 22</w:t>
      </w:r>
      <w:r>
        <w:t>.</w:t>
      </w:r>
    </w:p>
    <w:p w:rsidR="00DA0522" w:rsidRDefault="00DA0522" w:rsidP="009357E8">
      <w:pPr>
        <w:pStyle w:val="ONUME"/>
        <w:numPr>
          <w:ilvl w:val="0"/>
          <w:numId w:val="92"/>
        </w:numPr>
        <w:jc w:val="both"/>
      </w:pPr>
      <w:r w:rsidRPr="00812B04">
        <w:t xml:space="preserve">Highlights of achievements in </w:t>
      </w:r>
      <w:r>
        <w:t>2014/15</w:t>
      </w:r>
      <w:r w:rsidRPr="00812B04">
        <w:t xml:space="preserve"> towards the nine Strategic Goals are summarized below.</w:t>
      </w:r>
    </w:p>
    <w:p w:rsidR="00DA0522" w:rsidRPr="00661287" w:rsidRDefault="00DA0522" w:rsidP="00547ACE">
      <w:pPr>
        <w:jc w:val="both"/>
      </w:pPr>
    </w:p>
    <w:p w:rsidR="00DA0522" w:rsidRDefault="00DA0522" w:rsidP="00547ACE">
      <w:pPr>
        <w:jc w:val="center"/>
        <w:rPr>
          <w:b/>
          <w:sz w:val="18"/>
          <w:szCs w:val="18"/>
        </w:rPr>
      </w:pPr>
      <w:r>
        <w:rPr>
          <w:b/>
          <w:sz w:val="18"/>
          <w:szCs w:val="18"/>
        </w:rPr>
        <w:t>Consolidated v</w:t>
      </w:r>
      <w:r w:rsidRPr="00CC5349">
        <w:rPr>
          <w:b/>
          <w:sz w:val="18"/>
          <w:szCs w:val="18"/>
        </w:rPr>
        <w:t xml:space="preserve">iew of </w:t>
      </w:r>
      <w:r>
        <w:rPr>
          <w:b/>
          <w:sz w:val="18"/>
          <w:szCs w:val="18"/>
        </w:rPr>
        <w:t>achievements of the Expected Results</w:t>
      </w:r>
      <w:r w:rsidRPr="00CC5349">
        <w:rPr>
          <w:b/>
          <w:sz w:val="18"/>
          <w:szCs w:val="18"/>
        </w:rPr>
        <w:t xml:space="preserve"> </w:t>
      </w:r>
      <w:r>
        <w:rPr>
          <w:b/>
          <w:sz w:val="18"/>
          <w:szCs w:val="18"/>
        </w:rPr>
        <w:t xml:space="preserve">in the Biennium 2014/15 </w:t>
      </w:r>
      <w:r w:rsidRPr="00CC5349">
        <w:rPr>
          <w:b/>
          <w:sz w:val="18"/>
          <w:szCs w:val="18"/>
        </w:rPr>
        <w:t>by Strategic Goal</w:t>
      </w:r>
    </w:p>
    <w:p w:rsidR="00DA0522" w:rsidRPr="00661287" w:rsidRDefault="00DA0522" w:rsidP="00547ACE">
      <w:pPr>
        <w:jc w:val="center"/>
        <w:rPr>
          <w:b/>
          <w:sz w:val="18"/>
          <w:szCs w:val="18"/>
        </w:rPr>
      </w:pPr>
    </w:p>
    <w:p w:rsidR="00DA0522" w:rsidRDefault="00DA0522" w:rsidP="00547ACE">
      <w:pPr>
        <w:jc w:val="center"/>
        <w:rPr>
          <w:b/>
          <w:iCs/>
        </w:rPr>
      </w:pPr>
      <w:r>
        <w:rPr>
          <w:b/>
          <w:iCs/>
          <w:noProof/>
        </w:rPr>
        <w:drawing>
          <wp:inline distT="0" distB="0" distL="0" distR="0" wp14:anchorId="1A3BB71A" wp14:editId="7FEC3376">
            <wp:extent cx="5781809" cy="3566160"/>
            <wp:effectExtent l="0" t="0" r="9525"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81809" cy="3566160"/>
                    </a:xfrm>
                    <a:prstGeom prst="rect">
                      <a:avLst/>
                    </a:prstGeom>
                    <a:noFill/>
                  </pic:spPr>
                </pic:pic>
              </a:graphicData>
            </a:graphic>
          </wp:inline>
        </w:drawing>
      </w:r>
    </w:p>
    <w:p w:rsidR="00DA0522" w:rsidRDefault="00DA0522">
      <w:pPr>
        <w:rPr>
          <w:b/>
          <w:iCs/>
        </w:rPr>
      </w:pPr>
    </w:p>
    <w:p w:rsidR="00DA0522" w:rsidRDefault="00DA0522">
      <w:pPr>
        <w:rPr>
          <w:b/>
          <w:iCs/>
        </w:rPr>
      </w:pPr>
    </w:p>
    <w:p w:rsidR="00DA0522" w:rsidRDefault="00DA0522" w:rsidP="00475AE7">
      <w:pPr>
        <w:keepNext/>
        <w:keepLines/>
        <w:jc w:val="center"/>
        <w:rPr>
          <w:b/>
          <w:iCs/>
        </w:rPr>
      </w:pPr>
      <w:r w:rsidRPr="008D3579">
        <w:rPr>
          <w:b/>
          <w:iCs/>
        </w:rPr>
        <w:t>Strategic Goal I:  Balanced Evolution of the International Normative Framework for IP</w:t>
      </w:r>
    </w:p>
    <w:p w:rsidR="00DA0522" w:rsidRDefault="00DA0522" w:rsidP="00475AE7">
      <w:pPr>
        <w:keepNext/>
        <w:keepLines/>
        <w:jc w:val="center"/>
        <w:rPr>
          <w:b/>
          <w:iCs/>
        </w:rPr>
      </w:pPr>
      <w:r>
        <w:rPr>
          <w:b/>
          <w:iCs/>
          <w:noProof/>
        </w:rPr>
        <w:drawing>
          <wp:inline distT="0" distB="0" distL="0" distR="0" wp14:anchorId="237F3FF6" wp14:editId="63C59137">
            <wp:extent cx="5515308" cy="2651760"/>
            <wp:effectExtent l="0" t="0" r="9525"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515308" cy="2651760"/>
                    </a:xfrm>
                    <a:prstGeom prst="rect">
                      <a:avLst/>
                    </a:prstGeom>
                    <a:noFill/>
                  </pic:spPr>
                </pic:pic>
              </a:graphicData>
            </a:graphic>
          </wp:inline>
        </w:drawing>
      </w:r>
    </w:p>
    <w:p w:rsidR="00DA0522" w:rsidRDefault="00DA0522" w:rsidP="00547ACE">
      <w:pPr>
        <w:rPr>
          <w:b/>
          <w:iCs/>
        </w:rPr>
      </w:pPr>
    </w:p>
    <w:p w:rsidR="00475AE7" w:rsidRDefault="00475AE7" w:rsidP="00547ACE">
      <w:pPr>
        <w:rPr>
          <w:b/>
          <w:iCs/>
        </w:rPr>
      </w:pPr>
    </w:p>
    <w:p w:rsidR="00DA0522" w:rsidRDefault="00DA0522" w:rsidP="00475AE7">
      <w:pPr>
        <w:spacing w:after="120"/>
        <w:jc w:val="center"/>
        <w:rPr>
          <w:b/>
          <w:sz w:val="18"/>
          <w:szCs w:val="18"/>
        </w:rPr>
      </w:pPr>
      <w:r>
        <w:rPr>
          <w:b/>
          <w:sz w:val="18"/>
          <w:szCs w:val="18"/>
        </w:rPr>
        <w:t>Summary of Achievements by Expected Results</w:t>
      </w:r>
    </w:p>
    <w:p w:rsidR="00DA0522" w:rsidRDefault="00DA0522" w:rsidP="00547ACE">
      <w:pPr>
        <w:jc w:val="center"/>
        <w:rPr>
          <w:b/>
          <w:iCs/>
        </w:rPr>
      </w:pPr>
      <w:r>
        <w:rPr>
          <w:b/>
          <w:iCs/>
          <w:noProof/>
        </w:rPr>
        <w:drawing>
          <wp:inline distT="0" distB="0" distL="0" distR="0" wp14:anchorId="2D60C472" wp14:editId="745D1E9B">
            <wp:extent cx="5709275" cy="1554480"/>
            <wp:effectExtent l="0" t="0" r="6350" b="762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709275" cy="1554480"/>
                    </a:xfrm>
                    <a:prstGeom prst="rect">
                      <a:avLst/>
                    </a:prstGeom>
                    <a:noFill/>
                  </pic:spPr>
                </pic:pic>
              </a:graphicData>
            </a:graphic>
          </wp:inline>
        </w:drawing>
      </w:r>
    </w:p>
    <w:p w:rsidR="00DA0522" w:rsidRPr="00661287" w:rsidRDefault="00DA0522" w:rsidP="00547ACE">
      <w:pPr>
        <w:ind w:hanging="90"/>
        <w:jc w:val="center"/>
        <w:rPr>
          <w:iCs/>
        </w:rPr>
      </w:pPr>
    </w:p>
    <w:p w:rsidR="00DA0522" w:rsidRPr="009357E8" w:rsidRDefault="00DA0522" w:rsidP="009357E8">
      <w:pPr>
        <w:pStyle w:val="ONUME"/>
        <w:numPr>
          <w:ilvl w:val="0"/>
          <w:numId w:val="92"/>
        </w:numPr>
        <w:jc w:val="both"/>
        <w:rPr>
          <w:lang w:val="en"/>
        </w:rPr>
      </w:pPr>
      <w:r w:rsidRPr="009357E8">
        <w:rPr>
          <w:lang w:val="en"/>
        </w:rPr>
        <w:t>Progress continued to be made in 2014/15 under this Strategic Goal, albeit at a slightly slower pace than anticipated.  At the end of the biennium, several outstanding issues still remained in the Standing Committees.</w:t>
      </w:r>
    </w:p>
    <w:p w:rsidR="00DA0522" w:rsidRPr="009357E8" w:rsidRDefault="00DA0522" w:rsidP="009357E8">
      <w:pPr>
        <w:pStyle w:val="ONUME"/>
        <w:numPr>
          <w:ilvl w:val="0"/>
          <w:numId w:val="92"/>
        </w:numPr>
        <w:jc w:val="both"/>
        <w:rPr>
          <w:lang w:val="en"/>
        </w:rPr>
      </w:pPr>
      <w:r w:rsidRPr="009357E8">
        <w:rPr>
          <w:lang w:val="en"/>
        </w:rPr>
        <w:t xml:space="preserve">The progress of the two new copyright treaties toward entry into force continued in 2014 and 2015.  The Beijing Treaty on Audiovisual Performances (Beijing Treaty) obtained eight additional ratifications and accessions (Chile, China, Japan, Qatar, Republic of Moldova, Russian Federation, Slovakia and United Arab Emirates) for a total of 10 of the 30 needed to bring it into force.  The Marrakesh Treaty to Facilitate Access to Published Works for Persons Who Are Blind, Visually Impaired or Otherwise Print Disabled (Marrakesh VIP Treaty) obtained a total of 80 signatures by the June 2014 deadline.  The Marrakesh VIP Treaty obtained 13 ratifications and accessions (Argentina, Australia, Brazil, El Salvador, India, Mali, Mexico, Mongolia, Paraguay, Republic of Korea, Singapore, United Arab Emirates and Uruguay) toward the 20 needed to bring it into force.  Although the ratification/accession targets requested for the 2014/15 biennium for these treaties at the twentieth session of the Program and Budget Committee were quite ambitious given the need to hold resource allocations to their proposed levels, the targets were partially achieved by making it a priority to provide assistance to Member States with regard to joining treaties.  This approach will be continued in the 2016/17 biennium.     </w:t>
      </w:r>
    </w:p>
    <w:p w:rsidR="00DA0522" w:rsidRDefault="00DA0522" w:rsidP="009357E8">
      <w:pPr>
        <w:pStyle w:val="ONUME"/>
        <w:numPr>
          <w:ilvl w:val="0"/>
          <w:numId w:val="92"/>
        </w:numPr>
        <w:jc w:val="both"/>
      </w:pPr>
      <w:r w:rsidRPr="009357E8">
        <w:rPr>
          <w:lang w:val="en"/>
        </w:rPr>
        <w:t>Further discussions were held on the topics on the SCCR agenda during the five meetings held in April/May 2014, June/July 2014, December 2014, June/July 2015 and December 2015.   The SCCR discussions addressed a proposed treaty for broadcasting organizations and limitations and exceptions related to libraries and archives, educational and research institutions, and persons with other disabilities (than</w:t>
      </w:r>
      <w:r>
        <w:t xml:space="preserve"> those covered by the Marrakesh VIP Treaty)</w:t>
      </w:r>
      <w:r w:rsidRPr="002469D3">
        <w:t>.</w:t>
      </w:r>
      <w:r>
        <w:t xml:space="preserve"> </w:t>
      </w:r>
      <w:r w:rsidRPr="002469D3">
        <w:t xml:space="preserve">  </w:t>
      </w:r>
      <w:r>
        <w:t>In addition, a</w:t>
      </w:r>
      <w:r w:rsidRPr="002469D3">
        <w:t xml:space="preserve">t the session </w:t>
      </w:r>
      <w:r>
        <w:t xml:space="preserve">held </w:t>
      </w:r>
      <w:r w:rsidRPr="002469D3">
        <w:t xml:space="preserve">in December 2015, the SCCR also received two proposals </w:t>
      </w:r>
      <w:r>
        <w:t>for new agenda items - one with regard to</w:t>
      </w:r>
      <w:r w:rsidRPr="00C03ED0">
        <w:t xml:space="preserve"> analysis of copyright related to the digital </w:t>
      </w:r>
      <w:r w:rsidRPr="002469D3">
        <w:t xml:space="preserve">environment and </w:t>
      </w:r>
      <w:r>
        <w:t xml:space="preserve">the other concerning the </w:t>
      </w:r>
      <w:r w:rsidRPr="002469D3">
        <w:t xml:space="preserve">resale </w:t>
      </w:r>
      <w:r>
        <w:t>royalty right.  The target of having a diplomatic conference and a new treaty was not achieved</w:t>
      </w:r>
      <w:proofErr w:type="gramStart"/>
      <w:r>
        <w:t>;  Member</w:t>
      </w:r>
      <w:proofErr w:type="gramEnd"/>
      <w:r>
        <w:t xml:space="preserve"> States requested to remove this target for the 2016/17 biennium.</w:t>
      </w:r>
    </w:p>
    <w:p w:rsidR="00DA0522" w:rsidRPr="00B31E85" w:rsidRDefault="00DA0522" w:rsidP="00547ACE">
      <w:pPr>
        <w:jc w:val="both"/>
        <w:rPr>
          <w:rFonts w:eastAsia="SimSun" w:cs="Arial"/>
          <w:bCs/>
          <w:highlight w:val="yellow"/>
          <w:lang w:eastAsia="zh-CN"/>
        </w:rPr>
      </w:pPr>
    </w:p>
    <w:p w:rsidR="00DA0522" w:rsidRPr="009357E8" w:rsidRDefault="00DA0522" w:rsidP="009357E8">
      <w:pPr>
        <w:pStyle w:val="ONUME"/>
        <w:numPr>
          <w:ilvl w:val="0"/>
          <w:numId w:val="92"/>
        </w:numPr>
        <w:jc w:val="both"/>
        <w:rPr>
          <w:lang w:val="en"/>
        </w:rPr>
      </w:pPr>
      <w:r w:rsidRPr="009357E8">
        <w:rPr>
          <w:lang w:val="en"/>
        </w:rPr>
        <w:t xml:space="preserve">During the biennium, the Standing Committee on the Law of Trademarks, Industrial Designs and Geographical Indications (SCT) continued from its thirty-first through to its thirty-fourth sessions work on a draft Design Law Treaty to be adopted at a Diplomatic Conference.  The question of convening such a Diplomatic Conference was dealt with by the WIPO General Assembly at its forty-seventh (22nd ordinary) session in October 2015, where the General Assembly agreed “to convene a diplomatic conference for the adoption of a Design Law Treaty at the end of the first half of 2017, only if the discussions on technical assistance and disclosure have been completed during the thirty-fourth and thirty-fifth sessions of the SCT.”  The SCT continued its work on the protection of country names and adopted a Reference Document on the Protection of Country Names against Registration and Use as Trademarks (document WIPO/Strad/INF/7).  Furthermore, a number of delegations presented proposals for work by the SCT on geographical indications.  </w:t>
      </w:r>
    </w:p>
    <w:p w:rsidR="00DA0522" w:rsidRPr="009357E8" w:rsidRDefault="00DA0522" w:rsidP="009357E8">
      <w:pPr>
        <w:pStyle w:val="ONUME"/>
        <w:numPr>
          <w:ilvl w:val="0"/>
          <w:numId w:val="92"/>
        </w:numPr>
        <w:jc w:val="both"/>
        <w:rPr>
          <w:lang w:val="en"/>
        </w:rPr>
      </w:pPr>
      <w:r w:rsidRPr="009357E8">
        <w:rPr>
          <w:lang w:val="en"/>
        </w:rPr>
        <w:t>The WIPO Intergovernmental Committee on Intellectual Property and Genetic Resources, Traditional Knowledge and Folklore (the IGC) met three times in 2014 (IGCs 26, 27 and  28) in accordance with the renewed mandate of the IGC for the biennium adopted by the WIPO General Assembly in October 2013 and an agreed-upon work program for 2014.  IGC 26 included an Ambassadorial/Senior Capital-based officials meeting.  By the end of IGC 28, the IGC had further streamlined a consolidated text on genetic resources (GRs) and made further progress on the texts on traditional knowledge (TK) and traditional cultural expressions (TCEs).  A Member State-organized inter-sessional meeting held outside Geneva in 2014 gave further impetus to the process.  The Secretariat continued to endeavor to play a neutral, professional and efficient facilitatory role in support of the process and to further improve the services provided to IGC participants as a follow up to the evaluation conducted by WIPO’s Internal Oversight Division (IOD) in 2013, which found a high rate (96 per cent) of satisfaction among IGC participants. Although the Secretariat continued to facilitate the participation in the IGC process of indigenous peoples and local communities as far as possible, the WIPO Voluntary Fund for Accredited Indigenous and Local Communities remained depleted.  The WIPO General Assembly in October 2014, while considering the texts and the progress made, was not in a position to agree on an IGC work program for 2015.  The WIPO General Assembly in October 2015 agreed upon a renewed mandate for the IGC for the 2016/17 biennium.</w:t>
      </w:r>
    </w:p>
    <w:p w:rsidR="00DA0522" w:rsidRPr="009357E8" w:rsidRDefault="00DA0522" w:rsidP="009357E8">
      <w:pPr>
        <w:pStyle w:val="ONUME"/>
        <w:numPr>
          <w:ilvl w:val="0"/>
          <w:numId w:val="92"/>
        </w:numPr>
        <w:jc w:val="both"/>
        <w:rPr>
          <w:lang w:val="en"/>
        </w:rPr>
      </w:pPr>
      <w:r w:rsidRPr="009357E8">
        <w:rPr>
          <w:lang w:val="en"/>
        </w:rPr>
        <w:t>In view of enhancing cooperation among Member States on further developing balanced policy and normative frameworks for the international patent system, the twentieth, twenty-first, twenty-second and twenty-third sessions of the Standing Committee on the Law of Patents (SCP) were held in January and November 2014 and July and December 2015, respectively.  The SCP continued to examine five topics on its agenda, namely:  (i) exceptions and limitations to patent rights;  (ii) quality of patents, including opposition systems;  (iii) patents and health;  (iv) confidentiality of communication between clients and their patent advisors;  and (v) transfer of technology.</w:t>
      </w:r>
    </w:p>
    <w:p w:rsidR="00DA0522" w:rsidRDefault="00DA0522">
      <w:pPr>
        <w:rPr>
          <w:rFonts w:eastAsia="SimSun" w:cs="Arial"/>
          <w:bCs/>
          <w:lang w:eastAsia="zh-CN"/>
        </w:rPr>
      </w:pPr>
    </w:p>
    <w:p w:rsidR="00DA0522" w:rsidRDefault="00DA0522">
      <w:pPr>
        <w:rPr>
          <w:b/>
          <w:iCs/>
        </w:rPr>
      </w:pPr>
    </w:p>
    <w:p w:rsidR="00DA0522" w:rsidRDefault="00DA0522" w:rsidP="00547ACE">
      <w:pPr>
        <w:jc w:val="center"/>
        <w:rPr>
          <w:b/>
          <w:iCs/>
        </w:rPr>
      </w:pPr>
      <w:r w:rsidRPr="008869AE">
        <w:rPr>
          <w:b/>
          <w:iCs/>
        </w:rPr>
        <w:t>Strategic Goal II:  Provision of Premier Global IP Services</w:t>
      </w:r>
    </w:p>
    <w:p w:rsidR="00DA0522" w:rsidRPr="006D6B52" w:rsidRDefault="00DA0522" w:rsidP="00547ACE">
      <w:pPr>
        <w:jc w:val="center"/>
        <w:rPr>
          <w:b/>
          <w:iCs/>
        </w:rPr>
      </w:pPr>
      <w:r>
        <w:rPr>
          <w:b/>
          <w:iCs/>
          <w:noProof/>
        </w:rPr>
        <w:drawing>
          <wp:inline distT="0" distB="0" distL="0" distR="0" wp14:anchorId="336C0E4E" wp14:editId="536D92B0">
            <wp:extent cx="5297805" cy="2651760"/>
            <wp:effectExtent l="0" t="0" r="0"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297805" cy="2651760"/>
                    </a:xfrm>
                    <a:prstGeom prst="rect">
                      <a:avLst/>
                    </a:prstGeom>
                    <a:noFill/>
                  </pic:spPr>
                </pic:pic>
              </a:graphicData>
            </a:graphic>
          </wp:inline>
        </w:drawing>
      </w:r>
    </w:p>
    <w:p w:rsidR="00DA0522" w:rsidRDefault="00DA0522" w:rsidP="00547ACE">
      <w:pPr>
        <w:rPr>
          <w:b/>
          <w:sz w:val="18"/>
          <w:szCs w:val="18"/>
        </w:rPr>
      </w:pPr>
    </w:p>
    <w:p w:rsidR="00DA0522" w:rsidRDefault="00DA0522" w:rsidP="00547ACE">
      <w:pPr>
        <w:jc w:val="center"/>
        <w:rPr>
          <w:b/>
          <w:sz w:val="18"/>
          <w:szCs w:val="18"/>
        </w:rPr>
      </w:pPr>
    </w:p>
    <w:p w:rsidR="00DA0522" w:rsidRDefault="00DA0522" w:rsidP="00547ACE">
      <w:pPr>
        <w:jc w:val="center"/>
        <w:rPr>
          <w:b/>
          <w:sz w:val="18"/>
          <w:szCs w:val="18"/>
        </w:rPr>
      </w:pPr>
    </w:p>
    <w:p w:rsidR="00DA0522" w:rsidRDefault="00DA0522" w:rsidP="00547ACE">
      <w:pPr>
        <w:jc w:val="center"/>
        <w:rPr>
          <w:b/>
          <w:sz w:val="18"/>
          <w:szCs w:val="18"/>
        </w:rPr>
      </w:pPr>
    </w:p>
    <w:p w:rsidR="00DA0522" w:rsidRPr="0025268B" w:rsidRDefault="00DA0522" w:rsidP="00475AE7">
      <w:pPr>
        <w:spacing w:after="120"/>
        <w:jc w:val="center"/>
        <w:rPr>
          <w:b/>
          <w:iCs/>
        </w:rPr>
      </w:pPr>
      <w:r>
        <w:rPr>
          <w:b/>
          <w:sz w:val="18"/>
          <w:szCs w:val="18"/>
        </w:rPr>
        <w:t>Summary of Achievements by Expected Results</w:t>
      </w:r>
    </w:p>
    <w:p w:rsidR="00DA0522" w:rsidRDefault="00DA0522" w:rsidP="00547ACE">
      <w:pPr>
        <w:jc w:val="center"/>
        <w:rPr>
          <w:b/>
          <w:sz w:val="18"/>
          <w:szCs w:val="18"/>
        </w:rPr>
      </w:pPr>
      <w:r>
        <w:rPr>
          <w:b/>
          <w:noProof/>
          <w:sz w:val="18"/>
          <w:szCs w:val="18"/>
        </w:rPr>
        <w:drawing>
          <wp:inline distT="0" distB="0" distL="0" distR="0" wp14:anchorId="2DA1474D" wp14:editId="1F3914E4">
            <wp:extent cx="5829186" cy="2751667"/>
            <wp:effectExtent l="0" t="0" r="635"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836513" cy="2755125"/>
                    </a:xfrm>
                    <a:prstGeom prst="rect">
                      <a:avLst/>
                    </a:prstGeom>
                    <a:noFill/>
                  </pic:spPr>
                </pic:pic>
              </a:graphicData>
            </a:graphic>
          </wp:inline>
        </w:drawing>
      </w:r>
    </w:p>
    <w:p w:rsidR="00DA0522" w:rsidRDefault="00DA0522" w:rsidP="00547ACE">
      <w:pPr>
        <w:jc w:val="center"/>
        <w:rPr>
          <w:b/>
          <w:sz w:val="18"/>
          <w:szCs w:val="18"/>
        </w:rPr>
      </w:pPr>
    </w:p>
    <w:p w:rsidR="00DA0522" w:rsidRPr="009357E8" w:rsidRDefault="00DA0522" w:rsidP="009357E8">
      <w:pPr>
        <w:pStyle w:val="ONUME"/>
        <w:numPr>
          <w:ilvl w:val="0"/>
          <w:numId w:val="92"/>
        </w:numPr>
        <w:jc w:val="both"/>
        <w:rPr>
          <w:lang w:val="en"/>
        </w:rPr>
      </w:pPr>
      <w:r w:rsidRPr="009357E8">
        <w:rPr>
          <w:lang w:val="en"/>
        </w:rPr>
        <w:t xml:space="preserve">The biennium saw considerable growth in the international registration systems for the fifth and sixth consecutive years despite a continuing fragile global economy.  </w:t>
      </w:r>
    </w:p>
    <w:p w:rsidR="00DA0522" w:rsidRPr="009357E8" w:rsidRDefault="00DA0522" w:rsidP="009357E8">
      <w:pPr>
        <w:pStyle w:val="ONUME"/>
        <w:numPr>
          <w:ilvl w:val="0"/>
          <w:numId w:val="92"/>
        </w:numPr>
        <w:jc w:val="both"/>
        <w:rPr>
          <w:lang w:val="en"/>
        </w:rPr>
      </w:pPr>
      <w:r w:rsidRPr="009357E8">
        <w:rPr>
          <w:lang w:val="en"/>
        </w:rPr>
        <w:t>Growth in international patent filings under the Patent Cooperation Treaty (PCT) remain</w:t>
      </w:r>
      <w:r w:rsidR="00475AE7" w:rsidRPr="009357E8">
        <w:rPr>
          <w:lang w:val="en"/>
        </w:rPr>
        <w:t xml:space="preserve">ed strong </w:t>
      </w:r>
      <w:r w:rsidRPr="009357E8">
        <w:rPr>
          <w:lang w:val="en"/>
        </w:rPr>
        <w:t>both in</w:t>
      </w:r>
      <w:r w:rsidR="00475AE7" w:rsidRPr="009357E8">
        <w:rPr>
          <w:lang w:val="en"/>
        </w:rPr>
        <w:t> </w:t>
      </w:r>
      <w:r w:rsidRPr="009357E8">
        <w:rPr>
          <w:lang w:val="en"/>
        </w:rPr>
        <w:t>2014, with a total of 214,500 applications, representing an increase of 4.5 per cent over 2013, and in 2015, with 218,000 applications, representing a 1.7 per cent increase over 2014.  The year 2015 marked a new annual record in patent filings.  Three telecom giants from China and the United States of America led the international patent filing activity in both years of the biennium.</w:t>
      </w:r>
    </w:p>
    <w:p w:rsidR="00DA0522" w:rsidRPr="009357E8" w:rsidRDefault="00DA0522" w:rsidP="009357E8">
      <w:pPr>
        <w:pStyle w:val="ONUME"/>
        <w:numPr>
          <w:ilvl w:val="0"/>
          <w:numId w:val="92"/>
        </w:numPr>
        <w:jc w:val="both"/>
        <w:rPr>
          <w:lang w:val="en"/>
        </w:rPr>
      </w:pPr>
      <w:r w:rsidRPr="009357E8">
        <w:rPr>
          <w:lang w:val="en"/>
        </w:rPr>
        <w:t>At its seventh and eighth sessions, held in 2014 and 2015, the PCT Working Group continued its discussions on a number of proposals aimed at improving the functioning of the PCT system.  Discussions were in line with recommendations endorsed by the Working Group at its third session, which include recommendations as to how the future development of the PCT can be matched with applicable DA Recommendations – notably from Clusters A and C.  Particular achievements in 2014 included:  (i) agreement on new eligibility criteria for fee reductions for applicants from certain countries, which expanded the number of developing countries and LDCs benefitting from such fee reductions; and (ii) a revised procedure for the appointment of new International Searching and Preliminary Examining Authorities to help ensure that prospective Authorities have the infrastructure and resources to perform this role.  Notable achievements in 2015 included:  (i) agreement to forward search and classification results from earlier applications to International Searching Authorities to bring about further efficiencies and contribute to raising quality in international search</w:t>
      </w:r>
      <w:proofErr w:type="gramStart"/>
      <w:r w:rsidRPr="009357E8">
        <w:rPr>
          <w:lang w:val="en"/>
        </w:rPr>
        <w:t>;  and</w:t>
      </w:r>
      <w:proofErr w:type="gramEnd"/>
      <w:r w:rsidRPr="009357E8">
        <w:rPr>
          <w:lang w:val="en"/>
        </w:rPr>
        <w:t xml:space="preserve"> (ii) agreement to require designated Offices to send timely information to the IB on applications in the national phase, which will significantly improve information on pending and granted national patent rights.  The IB also presented estimations on how responsive PCT filings are to changes in the international filing fee, showing simulations on the effect of possible fee reductions for universities and public research organizations in both developed and developing countries.</w:t>
      </w:r>
    </w:p>
    <w:p w:rsidR="00DA0522" w:rsidRPr="009357E8" w:rsidRDefault="00DA0522" w:rsidP="009357E8">
      <w:pPr>
        <w:pStyle w:val="ONUME"/>
        <w:numPr>
          <w:ilvl w:val="0"/>
          <w:numId w:val="92"/>
        </w:numPr>
        <w:jc w:val="both"/>
        <w:rPr>
          <w:lang w:val="en"/>
        </w:rPr>
      </w:pPr>
      <w:r w:rsidRPr="009357E8">
        <w:rPr>
          <w:lang w:val="en"/>
        </w:rPr>
        <w:t>Use of the Madrid System increased by 2.3 per cent in 2014 as compared to 2013, with a total of 47,885</w:t>
      </w:r>
      <w:r w:rsidR="00475AE7" w:rsidRPr="009357E8">
        <w:rPr>
          <w:lang w:val="en"/>
        </w:rPr>
        <w:t> </w:t>
      </w:r>
      <w:r w:rsidRPr="009357E8">
        <w:rPr>
          <w:lang w:val="en"/>
        </w:rPr>
        <w:t xml:space="preserve">applications received.  In 2014, the United States of America surpassed Germany as the biggest user of the Madrid System, illustrating the geographical transformation of the System.  In 2015, a total of 49,273 applications were received representing a 2.9 per cent growth over 2014.  This represents healthy growth in the biennium, in particular taking into account that the Madrid System became more expensive for applicants from a number of important filing countries following the sharp appreciation of the Swiss franc in 2015.  The geographical expansion of the System saw important positive developments in the biennium.  In 2014, Zimbabwe and the </w:t>
      </w:r>
      <w:r w:rsidRPr="00BA6F3B">
        <w:rPr>
          <w:i/>
          <w:lang w:val="en"/>
        </w:rPr>
        <w:t>Organisation Africaine de la Propriété Intellectuelle</w:t>
      </w:r>
      <w:r w:rsidRPr="009357E8">
        <w:rPr>
          <w:lang w:val="en"/>
        </w:rPr>
        <w:t xml:space="preserve"> (OAPI) acceded to the Madrid Protocol.  With OAPI being a 17-country intergovernmental organization, these two accessions alone increased the number of countries in which users can protect and manage their trademarks centrally through the Madrid System from 94 to 110 in 2014 alone.  In 2015, Algeria, Cambodia</w:t>
      </w:r>
      <w:r w:rsidR="00375281">
        <w:rPr>
          <w:lang w:val="en"/>
        </w:rPr>
        <w:t>,</w:t>
      </w:r>
      <w:r w:rsidRPr="009357E8">
        <w:rPr>
          <w:lang w:val="en"/>
        </w:rPr>
        <w:t xml:space="preserve"> the Gambia and Lao People’s Democratic Republic also acceded to the Protocol, bringing the </w:t>
      </w:r>
      <w:r w:rsidRPr="009357E8">
        <w:rPr>
          <w:lang w:val="en"/>
        </w:rPr>
        <w:lastRenderedPageBreak/>
        <w:t>total number of Contracting Parties at the end of the biennium to 97, covering 113 countries.  As Algeria was the last remaining Contracting Party of the Madrid Union to be a member of the Madrid Agreement only, the Madrid System, for practical purposes, now operates as a single treaty system.</w:t>
      </w:r>
    </w:p>
    <w:p w:rsidR="00DA0522" w:rsidRPr="009357E8" w:rsidRDefault="00DA0522" w:rsidP="009357E8">
      <w:pPr>
        <w:pStyle w:val="ONUME"/>
        <w:numPr>
          <w:ilvl w:val="0"/>
          <w:numId w:val="92"/>
        </w:numPr>
        <w:jc w:val="both"/>
        <w:rPr>
          <w:lang w:val="en"/>
        </w:rPr>
      </w:pPr>
      <w:r w:rsidRPr="009357E8">
        <w:rPr>
          <w:lang w:val="en"/>
        </w:rPr>
        <w:t xml:space="preserve">The Hague System experienced good growth in 2014/15.  In 2014, the Republic of </w:t>
      </w:r>
      <w:proofErr w:type="gramStart"/>
      <w:r w:rsidRPr="009357E8">
        <w:rPr>
          <w:lang w:val="en"/>
        </w:rPr>
        <w:t>Korea,</w:t>
      </w:r>
      <w:proofErr w:type="gramEnd"/>
      <w:r w:rsidRPr="009357E8">
        <w:rPr>
          <w:lang w:val="en"/>
        </w:rPr>
        <w:t xml:space="preserve"> and in 2015, Japan, Turkmenistan and the United States of America became party to the Geneva (1999) Act of the Hague Agreement Concerning the International Registration of Industrial Designs (hereinafter referred to as “the 1999 Act”).  Those accessions brought the number of Contracting Parties to that Act to 50.  Although this number remained lower than the target, accession</w:t>
      </w:r>
      <w:r w:rsidR="00375281">
        <w:rPr>
          <w:lang w:val="en"/>
        </w:rPr>
        <w:t>s</w:t>
      </w:r>
      <w:r w:rsidRPr="009357E8">
        <w:rPr>
          <w:lang w:val="en"/>
        </w:rPr>
        <w:t xml:space="preserve"> in particular by the Republic of Korea, the United States of America and of Japan, which respectively rank as the third, fourth and fifth jurisdictions worldwide in terms of design filings, significantly raised the attractiveness of the Hague System.  Consequently, international applications increased by over 40 per cent in 2015, a figure well above the expected increase on 2014.  Also as a result of this expansion, by the end of the biennium, there were already strong indications of interest to join amongst other prospective Contracting Parties, including from countries bound by the older Acts.  In that respect, at the end of 2015, only two consents were still required for the termination of the 1934 Act, whilst four Contracting Parties outside the European Union (EU) and </w:t>
      </w:r>
      <w:r w:rsidRPr="00BA6F3B">
        <w:rPr>
          <w:i/>
          <w:lang w:val="en"/>
        </w:rPr>
        <w:t>Organisation Africaine de la Propriété Intellectuelle</w:t>
      </w:r>
      <w:r w:rsidRPr="009357E8">
        <w:rPr>
          <w:lang w:val="en"/>
        </w:rPr>
        <w:t xml:space="preserve"> (OAPI) remained bound only by the 1960 Act.</w:t>
      </w:r>
    </w:p>
    <w:p w:rsidR="00DA0522" w:rsidRPr="009357E8" w:rsidRDefault="00DA0522" w:rsidP="009357E8">
      <w:pPr>
        <w:pStyle w:val="ONUME"/>
        <w:numPr>
          <w:ilvl w:val="0"/>
          <w:numId w:val="92"/>
        </w:numPr>
        <w:jc w:val="both"/>
        <w:rPr>
          <w:lang w:val="en"/>
        </w:rPr>
      </w:pPr>
      <w:r w:rsidRPr="009357E8">
        <w:rPr>
          <w:lang w:val="en"/>
        </w:rPr>
        <w:t>The Assembly of the Lisbon Union mandated the Working Group on the Development of the Lisbon System, in 2009, to engage in a full review of the Lisbon System aimed at making the system more attractive for users and prospective new Members, while preserving its principles and objectives.  In view of the progress made by the Working Group, the Lisbon Union Assembly approved in 2013 the convening of a Diplomatic Conference for the Adoption of a Revised Lisbon Agreement on Appellations of Origin and Geographical Indications in 2015.  In October 2014, the Working Group finished its preparatory work.  From May 11 to 21, 2015, the Diplomatic Conference for the Adoption of a new Act of the Lisbon Agreement took place in Geneva and adopted, on May 20, 2015, the Geneva Act of the Lisbon Agreement on Appellations of Origin and Geographical Indications.</w:t>
      </w:r>
    </w:p>
    <w:p w:rsidR="00DA0522" w:rsidRPr="009357E8" w:rsidRDefault="00DA0522" w:rsidP="009357E8">
      <w:pPr>
        <w:pStyle w:val="ONUME"/>
        <w:numPr>
          <w:ilvl w:val="0"/>
          <w:numId w:val="92"/>
        </w:numPr>
        <w:jc w:val="both"/>
        <w:rPr>
          <w:lang w:val="en"/>
        </w:rPr>
      </w:pPr>
      <w:r w:rsidRPr="009357E8">
        <w:rPr>
          <w:lang w:val="en"/>
        </w:rPr>
        <w:t>Building on the findings of the WIPO Center’s 2013 International Survey on Dispute Resolution in International Technology Transactions, the WIPO Center in 2014/15 worked to optimize the potential of its procedures to meet the needs of IP right holders and users.  The year 2014 marked the 15</w:t>
      </w:r>
      <w:r w:rsidRPr="00380E9D">
        <w:rPr>
          <w:vertAlign w:val="superscript"/>
          <w:lang w:val="en"/>
        </w:rPr>
        <w:t>th</w:t>
      </w:r>
      <w:r w:rsidR="00380E9D">
        <w:rPr>
          <w:lang w:val="en"/>
        </w:rPr>
        <w:t> </w:t>
      </w:r>
      <w:r w:rsidRPr="009357E8">
        <w:rPr>
          <w:lang w:val="en"/>
        </w:rPr>
        <w:t>anniversary of the WIPO-developed UDRP.  Since the WIPO Center administered the first UDRP case in</w:t>
      </w:r>
      <w:r w:rsidR="00380E9D">
        <w:rPr>
          <w:lang w:val="en"/>
        </w:rPr>
        <w:t> </w:t>
      </w:r>
      <w:r w:rsidRPr="009357E8">
        <w:rPr>
          <w:lang w:val="en"/>
        </w:rPr>
        <w:t>1999, total WIPO case filings have surpassed the 33,000</w:t>
      </w:r>
      <w:r w:rsidRPr="00380E9D">
        <w:rPr>
          <w:vertAlign w:val="superscript"/>
          <w:lang w:val="en"/>
        </w:rPr>
        <w:footnoteReference w:id="3"/>
      </w:r>
      <w:r w:rsidRPr="00380E9D">
        <w:rPr>
          <w:vertAlign w:val="superscript"/>
          <w:lang w:val="en"/>
        </w:rPr>
        <w:t xml:space="preserve"> </w:t>
      </w:r>
      <w:r w:rsidRPr="009357E8">
        <w:rPr>
          <w:lang w:val="en"/>
        </w:rPr>
        <w:t>mark, encompassing over 61,000 domain names.  Cybersquatting case filings by trademark owners alleging abuse of their mark with WIPO increased in 2014 by 1.9 per cent from the 2013 level, with a further increase of 4.6 per cent in 2015 as compared to 2014.  This included the first UDRP cases in relation to registrations in new gTLDs, which represented 6.8 per cent of disputed domain names in 2014/15.  WIPO UDRP cases involved parties from 108 countries in 2014 and 113 countries in 2015.  Among the top five users in the biennium, the United States of America saw the highest growth in cases filed (14.3 per cent) in 2014 and Germany (43.6 per cent) in 2015.  The top three sectors of complainant activity were:  retail (13 per cent), banking and finance (11 per cent) and fashion (10 per cent) in 2014</w:t>
      </w:r>
      <w:proofErr w:type="gramStart"/>
      <w:r w:rsidRPr="009357E8">
        <w:rPr>
          <w:lang w:val="en"/>
        </w:rPr>
        <w:t>;  and</w:t>
      </w:r>
      <w:proofErr w:type="gramEnd"/>
      <w:r w:rsidRPr="009357E8">
        <w:rPr>
          <w:lang w:val="en"/>
        </w:rPr>
        <w:t xml:space="preserve"> fashion (10 per cent), banking and finance (nine per cent), and Internet and IT (nine per cent) in 2015.</w:t>
      </w:r>
    </w:p>
    <w:p w:rsidR="00DA0522" w:rsidRPr="00DF2C9B" w:rsidRDefault="00DA0522" w:rsidP="00547ACE">
      <w:pPr>
        <w:pStyle w:val="Header"/>
        <w:keepNext/>
        <w:keepLines/>
        <w:widowControl w:val="0"/>
        <w:tabs>
          <w:tab w:val="right" w:pos="9000"/>
        </w:tabs>
        <w:autoSpaceDE w:val="0"/>
        <w:autoSpaceDN w:val="0"/>
        <w:adjustRightInd w:val="0"/>
        <w:jc w:val="both"/>
        <w:rPr>
          <w:rFonts w:cs="Arial"/>
        </w:rPr>
      </w:pPr>
    </w:p>
    <w:p w:rsidR="00DA0522" w:rsidRDefault="00DA0522">
      <w:pPr>
        <w:rPr>
          <w:b/>
          <w:iCs/>
        </w:rPr>
      </w:pPr>
    </w:p>
    <w:p w:rsidR="00DA0522" w:rsidRDefault="00DA0522">
      <w:pPr>
        <w:rPr>
          <w:b/>
          <w:iCs/>
        </w:rPr>
      </w:pPr>
    </w:p>
    <w:p w:rsidR="00DA0522" w:rsidRDefault="00DA0522">
      <w:pPr>
        <w:rPr>
          <w:b/>
          <w:iCs/>
        </w:rPr>
      </w:pPr>
      <w:r>
        <w:rPr>
          <w:b/>
          <w:iCs/>
        </w:rPr>
        <w:br w:type="page"/>
      </w:r>
    </w:p>
    <w:p w:rsidR="00DA0522" w:rsidRDefault="00DA0522" w:rsidP="00547ACE">
      <w:pPr>
        <w:jc w:val="center"/>
        <w:rPr>
          <w:b/>
          <w:iCs/>
        </w:rPr>
      </w:pPr>
      <w:r w:rsidRPr="004A7442">
        <w:rPr>
          <w:b/>
          <w:iCs/>
        </w:rPr>
        <w:lastRenderedPageBreak/>
        <w:t>Strategic Goal III:  Facilitating the Use of IP for Development</w:t>
      </w:r>
    </w:p>
    <w:p w:rsidR="00DA0522" w:rsidRDefault="00DA0522" w:rsidP="00547ACE">
      <w:pPr>
        <w:jc w:val="center"/>
        <w:rPr>
          <w:b/>
          <w:iCs/>
        </w:rPr>
      </w:pPr>
      <w:r>
        <w:rPr>
          <w:noProof/>
        </w:rPr>
        <w:drawing>
          <wp:inline distT="0" distB="0" distL="0" distR="0" wp14:anchorId="6BE31FFB" wp14:editId="034EC005">
            <wp:extent cx="5205264" cy="2590800"/>
            <wp:effectExtent l="0" t="0" r="0"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212754" cy="2594528"/>
                    </a:xfrm>
                    <a:prstGeom prst="rect">
                      <a:avLst/>
                    </a:prstGeom>
                    <a:noFill/>
                  </pic:spPr>
                </pic:pic>
              </a:graphicData>
            </a:graphic>
          </wp:inline>
        </w:drawing>
      </w:r>
    </w:p>
    <w:p w:rsidR="00DA0522" w:rsidRDefault="00DA0522" w:rsidP="00547ACE">
      <w:pPr>
        <w:jc w:val="center"/>
        <w:rPr>
          <w:b/>
          <w:iCs/>
        </w:rPr>
      </w:pPr>
    </w:p>
    <w:p w:rsidR="00DA0522" w:rsidRPr="0082515D" w:rsidRDefault="00DA0522" w:rsidP="00475AE7">
      <w:pPr>
        <w:spacing w:after="120"/>
        <w:jc w:val="center"/>
        <w:rPr>
          <w:b/>
          <w:iCs/>
        </w:rPr>
      </w:pPr>
      <w:r>
        <w:rPr>
          <w:b/>
          <w:sz w:val="18"/>
          <w:szCs w:val="18"/>
        </w:rPr>
        <w:t>Summary of Achievements by Expected Results</w:t>
      </w:r>
    </w:p>
    <w:p w:rsidR="00DA0522" w:rsidRDefault="00DA0522" w:rsidP="00547ACE">
      <w:r>
        <w:rPr>
          <w:noProof/>
        </w:rPr>
        <w:drawing>
          <wp:inline distT="0" distB="0" distL="0" distR="0" wp14:anchorId="7F293F94" wp14:editId="6C7900B5">
            <wp:extent cx="5752743" cy="2468880"/>
            <wp:effectExtent l="0" t="0" r="635" b="762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752743" cy="2468880"/>
                    </a:xfrm>
                    <a:prstGeom prst="rect">
                      <a:avLst/>
                    </a:prstGeom>
                    <a:noFill/>
                  </pic:spPr>
                </pic:pic>
              </a:graphicData>
            </a:graphic>
          </wp:inline>
        </w:drawing>
      </w:r>
    </w:p>
    <w:p w:rsidR="00DA0522" w:rsidRPr="009357E8" w:rsidRDefault="00DA0522" w:rsidP="009357E8">
      <w:pPr>
        <w:pStyle w:val="ONUME"/>
        <w:numPr>
          <w:ilvl w:val="0"/>
          <w:numId w:val="92"/>
        </w:numPr>
        <w:jc w:val="both"/>
        <w:rPr>
          <w:lang w:val="en"/>
        </w:rPr>
      </w:pPr>
      <w:r w:rsidRPr="009357E8">
        <w:rPr>
          <w:lang w:val="en"/>
        </w:rPr>
        <w:t xml:space="preserve">Facilitating the use of IP for development and empowering developing countries, LDCs and countries in transition, to harness IP for enhancing national innovation potential and capacities continued to be a priority in the biennium.  </w:t>
      </w:r>
    </w:p>
    <w:p w:rsidR="00DA0522" w:rsidRPr="009357E8" w:rsidRDefault="00DA0522" w:rsidP="009357E8">
      <w:pPr>
        <w:pStyle w:val="ONUME"/>
        <w:numPr>
          <w:ilvl w:val="0"/>
          <w:numId w:val="92"/>
        </w:numPr>
        <w:jc w:val="both"/>
        <w:rPr>
          <w:lang w:val="en"/>
        </w:rPr>
      </w:pPr>
      <w:r w:rsidRPr="009357E8">
        <w:rPr>
          <w:lang w:val="en"/>
        </w:rPr>
        <w:t xml:space="preserve">WIPO continued to assist developing countries and LDCs in the design, development and implementation of national IP strategies that are both consistent with their overall development plans and that have the ability to foster innovation and creativity.  The application of the standardized, yet flexible, methodology and set of practical tools for the formulation of national IP strategies and plans, developed as part of the DA project on Improvement of National, Sub-regional and Regional IP Institutional and User Capacity in 2012, continued to guide the process.  As a result, 15 countries (six in Africa, five in Asia and the Pacific, and four in Latin America and the Caribbean) initiated the process of formulating national IP strategies/development plans, and 13 countries (four in Africa, two in the Arab region, three in Asia and the Pacific, and four in Latin America and the Caribbean) were still in the process of formulation and/or adoption at the end of 2014.  At the end of 2014/15, national IP strategies/development plans had been adopted and/or were under implementation in a total of 44 countries (26 in Africa, two in the Arab region, eight in Asia and the Pacific, and eight in Latin America and the Caribbean), of which 19 in LDCs. </w:t>
      </w:r>
    </w:p>
    <w:p w:rsidR="00DA0522" w:rsidRPr="00641FF5" w:rsidRDefault="00DA0522" w:rsidP="009357E8">
      <w:pPr>
        <w:pStyle w:val="ONUME"/>
        <w:numPr>
          <w:ilvl w:val="0"/>
          <w:numId w:val="92"/>
        </w:numPr>
        <w:jc w:val="both"/>
      </w:pPr>
      <w:r w:rsidRPr="009357E8">
        <w:rPr>
          <w:lang w:val="en"/>
        </w:rPr>
        <w:t xml:space="preserve">In line with the cooperation plans and national IP strategies and, following WIPO assistance, including promotional activities, the following nine countries amended their national IP legislation and/or joined WIPO-administered Treaties:  Kazakhstan, Kyrgyzstan, Latvia, Lithuania, Montenegro, the Republic of Moldova, the Russian Federation, Tajikistan and Turkmenistan. </w:t>
      </w:r>
      <w:r w:rsidR="00FB6BCD">
        <w:rPr>
          <w:lang w:val="en"/>
        </w:rPr>
        <w:t xml:space="preserve"> </w:t>
      </w:r>
      <w:r w:rsidRPr="009357E8">
        <w:rPr>
          <w:lang w:val="en"/>
        </w:rPr>
        <w:t>Promotion of the importance of and/or assistance in the development and implementation of long</w:t>
      </w:r>
      <w:r w:rsidRPr="009357E8">
        <w:rPr>
          <w:lang w:val="en"/>
        </w:rPr>
        <w:noBreakHyphen/>
        <w:t>term and comprehensive national IP strategies to meet the</w:t>
      </w:r>
      <w:r w:rsidRPr="003048CF">
        <w:t xml:space="preserve"> needs of Member States remained a priority in 2014</w:t>
      </w:r>
      <w:r>
        <w:t>/15.  S</w:t>
      </w:r>
      <w:r w:rsidRPr="003048CF">
        <w:t xml:space="preserve">ix countries (Bulgaria, </w:t>
      </w:r>
      <w:r w:rsidRPr="003048CF">
        <w:lastRenderedPageBreak/>
        <w:t>Slovenia, Tajikistan, Turkey, Turkmenistan</w:t>
      </w:r>
      <w:r>
        <w:t xml:space="preserve"> and</w:t>
      </w:r>
      <w:r w:rsidRPr="003048CF">
        <w:t xml:space="preserve"> Ukraine) </w:t>
      </w:r>
      <w:r>
        <w:t>adopted IP related national strategies and four countries (</w:t>
      </w:r>
      <w:r w:rsidRPr="003048CF">
        <w:t>Albania, Georgia, Latvia and Poland</w:t>
      </w:r>
      <w:r>
        <w:t>)</w:t>
      </w:r>
      <w:r w:rsidRPr="003048CF">
        <w:t xml:space="preserve"> initiated </w:t>
      </w:r>
      <w:r>
        <w:t>the development of a new strategy</w:t>
      </w:r>
      <w:r w:rsidRPr="003048CF">
        <w:t>.</w:t>
      </w:r>
    </w:p>
    <w:p w:rsidR="00DA0522" w:rsidRPr="009357E8" w:rsidRDefault="00DA0522" w:rsidP="009357E8">
      <w:pPr>
        <w:pStyle w:val="ONUME"/>
        <w:numPr>
          <w:ilvl w:val="0"/>
          <w:numId w:val="92"/>
        </w:numPr>
        <w:jc w:val="both"/>
        <w:rPr>
          <w:lang w:val="en"/>
        </w:rPr>
      </w:pPr>
      <w:r w:rsidRPr="009357E8">
        <w:rPr>
          <w:lang w:val="en"/>
        </w:rPr>
        <w:t>In 2014/15, the WIPO Academy initiated the implementation of a reform process and repositioning itself as the core entity in WIPO for providing professional training, education and capacity</w:t>
      </w:r>
      <w:r w:rsidRPr="009357E8">
        <w:rPr>
          <w:lang w:val="en"/>
        </w:rPr>
        <w:noBreakHyphen/>
        <w:t>building on IP for government officials and other stakeholders.</w:t>
      </w:r>
      <w:r w:rsidRPr="009357E8" w:rsidDel="00D411D9">
        <w:rPr>
          <w:lang w:val="en"/>
        </w:rPr>
        <w:t xml:space="preserve"> </w:t>
      </w:r>
      <w:r w:rsidRPr="009357E8">
        <w:rPr>
          <w:lang w:val="en"/>
        </w:rPr>
        <w:t xml:space="preserve"> Throughout this process, the WIPO Academy endeavored to maintain the quantity, quality and frequency of the training programs regularly provided in order to meet the ongoing training obligations with partners; to respond to new and urgent training requests of Member States and other stakeholders; and to preserve the continuum of the training provided.  During the biennium, some 80,000 persons benefited from its programs and activities.  </w:t>
      </w:r>
    </w:p>
    <w:p w:rsidR="00DA0522" w:rsidRPr="009357E8" w:rsidRDefault="00DA0522" w:rsidP="009357E8">
      <w:pPr>
        <w:pStyle w:val="ONUME"/>
        <w:numPr>
          <w:ilvl w:val="0"/>
          <w:numId w:val="92"/>
        </w:numPr>
        <w:jc w:val="both"/>
        <w:rPr>
          <w:lang w:val="en"/>
        </w:rPr>
      </w:pPr>
      <w:r w:rsidRPr="009357E8">
        <w:rPr>
          <w:lang w:val="en"/>
        </w:rPr>
        <w:t xml:space="preserve">With regard to the Professional Development Program (PDP), some 35 training courses were offered jointly with 22 partner institutions in Algeria, Austria, Brazil, Cameroon, Canada, Costa Rica, Finland, France, Germany, Indonesia, Israel, Malaysia, Mexico, Morocco, Norway, Paraguay, Peru, Spain, Switzerland, and the United Kingdom, as well as the World Trade Organization (WTO) and the </w:t>
      </w:r>
      <w:r w:rsidRPr="00CC4A4E">
        <w:rPr>
          <w:i/>
          <w:lang w:val="en"/>
        </w:rPr>
        <w:t>Centre d’Etudes Internationales de la Propriété Intellectuelle</w:t>
      </w:r>
      <w:r w:rsidRPr="009357E8">
        <w:rPr>
          <w:lang w:val="en"/>
        </w:rPr>
        <w:t xml:space="preserve"> (CEIPI), in Strasbourg, France.  The Distance Learning Program (DL) continued to attract participants from a broad group of stakeholders.  In 2014/15, some 78,551 participants from 193 countries (67,809 under its general courses and 10,742 under its advanced courses), a 3.6 per cent decrease from 2012/13, benefited from the enhanced e-learning Centre (WeLC).  Of particular note, demand for the advanced courses from IP Offices, other governmental bodies, start-up academies and TISCs, in developing countries and LDCs, increased by 138 per cent</w:t>
      </w:r>
      <w:r w:rsidRPr="00BA6F3B">
        <w:rPr>
          <w:vertAlign w:val="superscript"/>
          <w:lang w:val="en"/>
        </w:rPr>
        <w:footnoteReference w:id="4"/>
      </w:r>
      <w:r w:rsidRPr="009357E8">
        <w:rPr>
          <w:lang w:val="en"/>
        </w:rPr>
        <w:t xml:space="preserve"> to an all-time high of 6,926 as compared to 2,907 in the previous biennium. </w:t>
      </w:r>
    </w:p>
    <w:p w:rsidR="00DA0522" w:rsidRPr="009357E8" w:rsidRDefault="00DA0522" w:rsidP="009357E8">
      <w:pPr>
        <w:pStyle w:val="ONUME"/>
        <w:numPr>
          <w:ilvl w:val="0"/>
          <w:numId w:val="92"/>
        </w:numPr>
        <w:jc w:val="both"/>
        <w:rPr>
          <w:lang w:val="en"/>
        </w:rPr>
      </w:pPr>
      <w:r w:rsidRPr="009357E8">
        <w:rPr>
          <w:lang w:val="en"/>
        </w:rPr>
        <w:t xml:space="preserve">In 2014, the start-up academies project was mainstreamed into the WIPO Academy’s regular programs following approval by the fourteenth Session of the CDIP of an independent evaluation of the project.  Cooperation continued, throughout the biennium with the six start-up academies that were established during the CDIP project phase (Colombia, Dominican Republic, Egypt, Ethiopia, Peru and Tunisia).  New agreements to establish national IP Training Centers (start-up academies) were signed with the Governments of Azerbaijan, Cambodia, Costa Rica, Ecuador, El Salvador, Georgia and Turkey.  Further requests from Member States seeking assistance to establish national IP Training Centers were received in 2014/15 and will be addressed in 2016/17. </w:t>
      </w:r>
    </w:p>
    <w:p w:rsidR="00DA0522" w:rsidRPr="009357E8" w:rsidRDefault="00DA0522" w:rsidP="009357E8">
      <w:pPr>
        <w:pStyle w:val="ONUME"/>
        <w:numPr>
          <w:ilvl w:val="0"/>
          <w:numId w:val="92"/>
        </w:numPr>
        <w:jc w:val="both"/>
        <w:rPr>
          <w:lang w:val="en"/>
        </w:rPr>
      </w:pPr>
      <w:r w:rsidRPr="009357E8">
        <w:rPr>
          <w:lang w:val="en"/>
        </w:rPr>
        <w:t>Enhancing human resource capabilities to deal with the broad range of requirements for the effective use of IP for development and fostering innovation and creativity remained a priority throughout the biennium.  Focused capacity building and skills development programs were delivered to specific target groups such as government officials, policy-makers, IP professionals, enforcement officials, researchers and academics, entrepreneurs and industrialists, as well as SMEs, at the national, sub-regional and regional levels.  Some 33 programs on effective IP asset management by SMEs, benefitting over 700 participants, were organized, aiming at creating a critical mass of trainers in specific countries with knowledge, skills and experience to provide basic assistance to SMEs on IP asset management.</w:t>
      </w:r>
    </w:p>
    <w:p w:rsidR="00DA0522" w:rsidRPr="009357E8" w:rsidRDefault="00DA0522" w:rsidP="009357E8">
      <w:pPr>
        <w:pStyle w:val="ONUME"/>
        <w:numPr>
          <w:ilvl w:val="0"/>
          <w:numId w:val="92"/>
        </w:numPr>
        <w:jc w:val="both"/>
        <w:rPr>
          <w:lang w:val="en"/>
        </w:rPr>
      </w:pPr>
      <w:r w:rsidRPr="009357E8">
        <w:rPr>
          <w:lang w:val="en"/>
        </w:rPr>
        <w:t>WIPO also strengthened its cooperation with LDCs for the development of a framework for national policies on innovation</w:t>
      </w:r>
      <w:proofErr w:type="gramStart"/>
      <w:r w:rsidRPr="009357E8">
        <w:rPr>
          <w:lang w:val="en"/>
        </w:rPr>
        <w:t>;  assessing</w:t>
      </w:r>
      <w:proofErr w:type="gramEnd"/>
      <w:r w:rsidRPr="009357E8">
        <w:rPr>
          <w:lang w:val="en"/>
        </w:rPr>
        <w:t xml:space="preserve"> technical skills needs;  facilitating access to global scientific and technological information platforms;  establishing innovation support infrastructure;  supporting inventories and capacity building in traditional knowledge.  As part of Phase II of the DA Project on Capacity building in the Use of Appropriate Technology Specific Technical and Scientific Information as a Solution for Identified Development Challenges, MoUs were signed with four LDCs (Ethiopia, Rwanda, United Republic of Tanzania and Uganda, and by the end of 2015, implementation of the project had begun in three LDCs (Ethiopia, Rwanda, and United Republic of Tanzania).   </w:t>
      </w:r>
    </w:p>
    <w:p w:rsidR="00DA0522" w:rsidRPr="009357E8" w:rsidRDefault="00DA0522" w:rsidP="009357E8">
      <w:pPr>
        <w:pStyle w:val="ONUME"/>
        <w:numPr>
          <w:ilvl w:val="0"/>
          <w:numId w:val="92"/>
        </w:numPr>
        <w:jc w:val="both"/>
        <w:rPr>
          <w:lang w:val="en"/>
        </w:rPr>
      </w:pPr>
      <w:r w:rsidRPr="009357E8">
        <w:rPr>
          <w:lang w:val="en"/>
        </w:rPr>
        <w:t>In the same vein, WIPO worked closely with the United Nations Office of the High Representative for Least Developed Countries, Landlocked Developing Countries and Small Island Developing States in the context of the implementation of the Istanbul Program of Action.  In 2014, on the occasion of the LDCs’ Ministerial Conference held in Benin, WIPO implemented an interregional partnership program in cooperation with the International Telecommunication Union (ITU), the United Nations Capital Development Fund (UNCDF) and the United Nations Industrial Development Organization (UNIDO).  In 2015, two additional partnership cooperation fora were established, with the United Nations Economic Commission for Asia and the Pacific (UN</w:t>
      </w:r>
      <w:r w:rsidR="00FB6BCD">
        <w:rPr>
          <w:lang w:val="en"/>
        </w:rPr>
        <w:t xml:space="preserve"> </w:t>
      </w:r>
      <w:r w:rsidRPr="009357E8">
        <w:rPr>
          <w:lang w:val="en"/>
        </w:rPr>
        <w:t>ESCAP) and the United Nations Economic Commission for Africa (U</w:t>
      </w:r>
      <w:r w:rsidR="00FB6BCD">
        <w:rPr>
          <w:lang w:val="en"/>
        </w:rPr>
        <w:t xml:space="preserve">NECA).  The partnership with UN </w:t>
      </w:r>
      <w:r w:rsidRPr="009357E8">
        <w:rPr>
          <w:lang w:val="en"/>
        </w:rPr>
        <w:t xml:space="preserve">ESCAP led to a proposal for the signing of a MoU between the </w:t>
      </w:r>
      <w:r w:rsidRPr="009357E8">
        <w:rPr>
          <w:lang w:val="en"/>
        </w:rPr>
        <w:lastRenderedPageBreak/>
        <w:t>two organizations.  The focus was on capacity building and strengthening institutions of the LDCs from Africa and Asia.</w:t>
      </w:r>
    </w:p>
    <w:p w:rsidR="00DA0522" w:rsidRDefault="00DA0522" w:rsidP="009357E8">
      <w:pPr>
        <w:pStyle w:val="ONUME"/>
        <w:numPr>
          <w:ilvl w:val="0"/>
          <w:numId w:val="92"/>
        </w:numPr>
        <w:jc w:val="both"/>
      </w:pPr>
      <w:r w:rsidRPr="009357E8">
        <w:rPr>
          <w:lang w:val="en"/>
        </w:rPr>
        <w:t xml:space="preserve">During the biennium, the CDIP considered and discussed various documents and studies. In addition, the Committee approved proposals for second phases of two completed and evaluated projects, three new projects proposals and new activities </w:t>
      </w:r>
      <w:proofErr w:type="gramStart"/>
      <w:r w:rsidRPr="009357E8">
        <w:rPr>
          <w:lang w:val="en"/>
        </w:rPr>
        <w:t>Related</w:t>
      </w:r>
      <w:proofErr w:type="gramEnd"/>
      <w:r w:rsidRPr="009357E8">
        <w:rPr>
          <w:lang w:val="en"/>
        </w:rPr>
        <w:t xml:space="preserve"> to Using Copyright to Promote Access to Information and Creative content.  Furthermore, the Committee approved the Terms of Reference (TORs) for the Independent Review of the Implementation of the Development Agenda Recommendations and took a decision on</w:t>
      </w:r>
      <w:r w:rsidRPr="001E4646">
        <w:t xml:space="preserve"> the convening of the International Conference on Intellectual Property and Development.</w:t>
      </w:r>
    </w:p>
    <w:p w:rsidR="00DA0522" w:rsidRDefault="00DA0522" w:rsidP="009357E8">
      <w:pPr>
        <w:jc w:val="both"/>
        <w:rPr>
          <w:b/>
          <w:iCs/>
        </w:rPr>
      </w:pPr>
      <w:r w:rsidRPr="001E4646">
        <w:t xml:space="preserve">  </w:t>
      </w:r>
    </w:p>
    <w:p w:rsidR="00DA0522" w:rsidRPr="00094AFF" w:rsidRDefault="00DA0522" w:rsidP="00547ACE">
      <w:pPr>
        <w:jc w:val="center"/>
        <w:rPr>
          <w:b/>
          <w:iCs/>
        </w:rPr>
      </w:pPr>
      <w:r w:rsidRPr="008869AE">
        <w:rPr>
          <w:b/>
          <w:iCs/>
        </w:rPr>
        <w:t>Strategic Goal IV:  Coordination and Development of Global IP Infrastructure</w:t>
      </w:r>
    </w:p>
    <w:p w:rsidR="00DA0522" w:rsidRDefault="00DA0522" w:rsidP="00547ACE">
      <w:pPr>
        <w:jc w:val="center"/>
        <w:rPr>
          <w:b/>
          <w:noProof/>
          <w:sz w:val="18"/>
          <w:szCs w:val="18"/>
        </w:rPr>
      </w:pPr>
    </w:p>
    <w:p w:rsidR="00DA0522" w:rsidRDefault="00DA0522" w:rsidP="00547ACE">
      <w:pPr>
        <w:jc w:val="center"/>
        <w:rPr>
          <w:b/>
          <w:sz w:val="18"/>
          <w:szCs w:val="18"/>
        </w:rPr>
      </w:pPr>
      <w:r>
        <w:rPr>
          <w:b/>
          <w:noProof/>
          <w:sz w:val="18"/>
          <w:szCs w:val="18"/>
        </w:rPr>
        <w:drawing>
          <wp:inline distT="0" distB="0" distL="0" distR="0" wp14:anchorId="791D1EC1" wp14:editId="6D31CDD1">
            <wp:extent cx="4854818" cy="2651760"/>
            <wp:effectExtent l="0" t="0" r="3175"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854818" cy="2651760"/>
                    </a:xfrm>
                    <a:prstGeom prst="rect">
                      <a:avLst/>
                    </a:prstGeom>
                    <a:noFill/>
                  </pic:spPr>
                </pic:pic>
              </a:graphicData>
            </a:graphic>
          </wp:inline>
        </w:drawing>
      </w:r>
    </w:p>
    <w:p w:rsidR="00DA0522" w:rsidRDefault="00DA0522" w:rsidP="00547ACE">
      <w:pPr>
        <w:jc w:val="center"/>
        <w:rPr>
          <w:b/>
          <w:sz w:val="18"/>
          <w:szCs w:val="18"/>
        </w:rPr>
      </w:pPr>
    </w:p>
    <w:p w:rsidR="00DA0522" w:rsidRPr="00D42F27" w:rsidRDefault="00DA0522" w:rsidP="00475AE7">
      <w:pPr>
        <w:spacing w:after="120"/>
        <w:jc w:val="center"/>
        <w:rPr>
          <w:b/>
          <w:iCs/>
        </w:rPr>
      </w:pPr>
      <w:r>
        <w:rPr>
          <w:b/>
          <w:sz w:val="18"/>
          <w:szCs w:val="18"/>
        </w:rPr>
        <w:t>Summary of Achievements by Expected Results</w:t>
      </w:r>
    </w:p>
    <w:p w:rsidR="00DA0522" w:rsidRDefault="00DA0522" w:rsidP="00547ACE">
      <w:pPr>
        <w:rPr>
          <w:b/>
          <w:noProof/>
          <w:sz w:val="18"/>
          <w:szCs w:val="18"/>
        </w:rPr>
      </w:pPr>
      <w:r>
        <w:rPr>
          <w:b/>
          <w:noProof/>
          <w:sz w:val="18"/>
          <w:szCs w:val="18"/>
        </w:rPr>
        <w:drawing>
          <wp:inline distT="0" distB="0" distL="0" distR="0" wp14:anchorId="2AB1C6EF" wp14:editId="012989FB">
            <wp:extent cx="5828211" cy="1828800"/>
            <wp:effectExtent l="0" t="0" r="127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828211" cy="1828800"/>
                    </a:xfrm>
                    <a:prstGeom prst="rect">
                      <a:avLst/>
                    </a:prstGeom>
                    <a:noFill/>
                  </pic:spPr>
                </pic:pic>
              </a:graphicData>
            </a:graphic>
          </wp:inline>
        </w:drawing>
      </w:r>
    </w:p>
    <w:p w:rsidR="00DA0522" w:rsidRDefault="00DA0522" w:rsidP="00547ACE">
      <w:pPr>
        <w:jc w:val="center"/>
        <w:rPr>
          <w:b/>
          <w:sz w:val="18"/>
          <w:szCs w:val="18"/>
        </w:rPr>
      </w:pPr>
    </w:p>
    <w:p w:rsidR="00DA0522" w:rsidRPr="009357E8" w:rsidRDefault="00DA0522" w:rsidP="009357E8">
      <w:pPr>
        <w:pStyle w:val="ONUME"/>
        <w:numPr>
          <w:ilvl w:val="0"/>
          <w:numId w:val="92"/>
        </w:numPr>
        <w:jc w:val="both"/>
        <w:rPr>
          <w:lang w:val="en"/>
        </w:rPr>
      </w:pPr>
      <w:r w:rsidRPr="009357E8">
        <w:rPr>
          <w:lang w:val="en"/>
        </w:rPr>
        <w:t xml:space="preserve">With a focus on enhancing the global IP infrastructure to help meet the growing global demand on the IP system and facilitating the participation of developing countries and LDCs in the system, good progress was made in the areas of global IP databases, classifications, IP office modernization, and TISCs in 2014/15. </w:t>
      </w:r>
    </w:p>
    <w:p w:rsidR="00DA0522" w:rsidRPr="009357E8" w:rsidRDefault="00DA0522" w:rsidP="009357E8">
      <w:pPr>
        <w:pStyle w:val="ONUME"/>
        <w:keepNext/>
        <w:keepLines/>
        <w:numPr>
          <w:ilvl w:val="0"/>
          <w:numId w:val="92"/>
        </w:numPr>
        <w:jc w:val="both"/>
        <w:rPr>
          <w:lang w:val="en"/>
        </w:rPr>
      </w:pPr>
      <w:r w:rsidRPr="009357E8">
        <w:rPr>
          <w:lang w:val="en"/>
        </w:rPr>
        <w:lastRenderedPageBreak/>
        <w:t>The PATENTSCOPE system was further strengthened in 2014/15 with a significant focus on improving access to the system in regions experiencing poor latency.  Demonstrable improvements were also achieved for users in Asia.  Two additional languages were developed for inclusion in the Cross Lingual Information Retrieval (CLIR) multilingual searching system, bringing the total number of languages to 14 by the end of the biennium.  WIPO Translate</w:t>
      </w:r>
      <w:r w:rsidRPr="00BA6F3B">
        <w:rPr>
          <w:vertAlign w:val="superscript"/>
          <w:lang w:val="en"/>
        </w:rPr>
        <w:footnoteReference w:id="5"/>
      </w:r>
      <w:r w:rsidRPr="009357E8">
        <w:rPr>
          <w:lang w:val="en"/>
        </w:rPr>
        <w:t>, a statistical machine translation system developed in-house, was extended to include three additional and difficult language pairs by biennium end:  English and Korean, English and Russian, and English and Spanish, bringing the total number to seven, as well as expanding the coverage of English and Chinese to include descriptions and claims.</w:t>
      </w:r>
    </w:p>
    <w:p w:rsidR="00DA0522" w:rsidRPr="009357E8" w:rsidRDefault="00DA0522" w:rsidP="009357E8">
      <w:pPr>
        <w:pStyle w:val="ONUME"/>
        <w:numPr>
          <w:ilvl w:val="0"/>
          <w:numId w:val="92"/>
        </w:numPr>
        <w:jc w:val="both"/>
        <w:rPr>
          <w:lang w:val="en"/>
        </w:rPr>
      </w:pPr>
      <w:r w:rsidRPr="009357E8">
        <w:rPr>
          <w:lang w:val="en"/>
        </w:rPr>
        <w:t>The PATENTSCOPE service continued to show high levels of usage with an average of 500,000</w:t>
      </w:r>
      <w:r w:rsidR="00375281">
        <w:rPr>
          <w:lang w:val="en"/>
        </w:rPr>
        <w:t> </w:t>
      </w:r>
      <w:r w:rsidRPr="009357E8">
        <w:rPr>
          <w:lang w:val="en"/>
        </w:rPr>
        <w:t>unique page views per day.  Use of PATENTSCOPE remained stable with over 221,000 unique visitors per quarter by the end of the biennium, showing that service levels for the PATENTSCOPE search engine are now sufficiently mature to arrive at the point of diminishing returns.  The number of collections in PATENTSCOPE also saw a 19 per cent increase from 2013, bringing the total number of national and regional collections to 43 (as compared to 36 at the end of</w:t>
      </w:r>
      <w:r w:rsidR="00375281">
        <w:rPr>
          <w:lang w:val="en"/>
        </w:rPr>
        <w:t> </w:t>
      </w:r>
      <w:r w:rsidRPr="009357E8">
        <w:rPr>
          <w:lang w:val="en"/>
        </w:rPr>
        <w:t>2013) and the total number of records contained to more than 50 million (as compared to 34 million at the end of 2013), a 47 per cent increase over 2013.</w:t>
      </w:r>
    </w:p>
    <w:p w:rsidR="00DA0522" w:rsidRPr="009357E8" w:rsidRDefault="00DA0522" w:rsidP="009357E8">
      <w:pPr>
        <w:pStyle w:val="ONUME"/>
        <w:numPr>
          <w:ilvl w:val="0"/>
          <w:numId w:val="92"/>
        </w:numPr>
        <w:jc w:val="both"/>
        <w:rPr>
          <w:lang w:val="en"/>
        </w:rPr>
      </w:pPr>
      <w:r w:rsidRPr="009357E8">
        <w:rPr>
          <w:lang w:val="en"/>
        </w:rPr>
        <w:t>With the introduction of a powerful image similarity search function, use of the Global Brand Database exceeded expectations in 2014/15, with a fourfold increase in the number of unique visitors per quarter to more than 80,000 as compared to 23,000 at the end of 2013.  The number of national collections more than doubled from 12 at the end of 2013 to 26 at the end of 2015.  Likewise, the total number of records contained in the system also more than doubled in 2014/15, from 12 million to over 24 million records.</w:t>
      </w:r>
    </w:p>
    <w:p w:rsidR="00DA0522" w:rsidRPr="009357E8" w:rsidRDefault="00DA0522" w:rsidP="009357E8">
      <w:pPr>
        <w:pStyle w:val="ONUME"/>
        <w:numPr>
          <w:ilvl w:val="0"/>
          <w:numId w:val="92"/>
        </w:numPr>
        <w:jc w:val="both"/>
        <w:rPr>
          <w:lang w:val="en"/>
        </w:rPr>
      </w:pPr>
      <w:r w:rsidRPr="009357E8">
        <w:rPr>
          <w:lang w:val="en"/>
        </w:rPr>
        <w:t xml:space="preserve">Of particular note in the biennium was the launch in January 2015 of a new service, the Global Design Database for industrial designs.  By the end of 2015, just one year after its introduction, the Global Design Database had already reached an impressive 14,000 unique visitors per quarter.  In addition, the number of national collections had reached five and contained more than 1.5 million design documents. </w:t>
      </w:r>
    </w:p>
    <w:p w:rsidR="00DA0522" w:rsidRPr="009357E8" w:rsidRDefault="00DA0522" w:rsidP="009357E8">
      <w:pPr>
        <w:pStyle w:val="ONUME"/>
        <w:numPr>
          <w:ilvl w:val="0"/>
          <w:numId w:val="92"/>
        </w:numPr>
        <w:jc w:val="both"/>
        <w:rPr>
          <w:lang w:val="en"/>
        </w:rPr>
      </w:pPr>
      <w:r w:rsidRPr="009357E8">
        <w:rPr>
          <w:lang w:val="en"/>
        </w:rPr>
        <w:t xml:space="preserve">Despite uneven progress in 2014, the situation as regards International Classifications and WIPO IP Standards improved substantially in 2015, exceeding expectations in certain areas and trailing behind in others.  As regards the Nice Classification (NCL), a total of 1,480 new amendments and 25 new information files were introduced in the biennium.  The number of amendments represents a 94 per cent increase over 2012/13.  In the IPC, the modified publication platform to facilitate the use of the system, including a new search tool and the IPC/CPC/FI parallel viewer, was launched in April 2014.  Due to the increase of new revision projects coming from the IP5 Offices and from the IPC community, the number of new subdivisions introduced in 2015 (1,031) exceeded the annual target by 28 per cent, rebounding from 2014 to achieve the target.  At its fourth session, the Committee on WIPO Standards (CWS) was unable to adopt an agenda, resulting in informal decisions not being formalized.  Despite this set-back, there was one new standard adopted and one standard revised informally in 2014.  This standstill continued in 2015, resulting in the lack of formal approval of new Standards.  Nonetheless, the informal work continued in the Task Forces, groups consisting of experts nominated by the CWS members and observers to address specific tasks.  Several Standards are expected to be adopted when the CWS resumes in 2016.  The use of internet tools for accessing classifications and standards publications showed stable growth with visits to the IPC Publications substantially higher (a 107 per cent increase over 2013), due to the inclusion of revised classifications and new tools.   </w:t>
      </w:r>
    </w:p>
    <w:p w:rsidR="00DA0522" w:rsidRPr="009357E8" w:rsidRDefault="00DA0522" w:rsidP="009357E8">
      <w:pPr>
        <w:pStyle w:val="ONUME"/>
        <w:numPr>
          <w:ilvl w:val="0"/>
          <w:numId w:val="92"/>
        </w:numPr>
        <w:jc w:val="both"/>
        <w:rPr>
          <w:lang w:val="en"/>
        </w:rPr>
      </w:pPr>
      <w:r w:rsidRPr="009357E8">
        <w:rPr>
          <w:lang w:val="en"/>
        </w:rPr>
        <w:t>The biennium 2014/15 brought the total number of Member States that had established Technology Innovation Support Centers (TISCs) in their countries to 50, with 11 additional networks, a 28</w:t>
      </w:r>
      <w:r w:rsidR="00CC4A4E">
        <w:rPr>
          <w:lang w:val="en"/>
        </w:rPr>
        <w:t> </w:t>
      </w:r>
      <w:r w:rsidRPr="009357E8">
        <w:rPr>
          <w:lang w:val="en"/>
        </w:rPr>
        <w:t>per cent increase over 2012/13.  The focus remained on reinforcing the long-term sustainability of the networks, and by the end of 2015, 25 TISC networks were considered sustainable.  The eTISC knowledge management platform continued to experience strong growth, more than doubling its membership to nearly 1,500 members from over 115 countries by the end of 2015, as compared to 700</w:t>
      </w:r>
      <w:r w:rsidR="00CC4A4E">
        <w:rPr>
          <w:lang w:val="en"/>
        </w:rPr>
        <w:t> </w:t>
      </w:r>
      <w:r w:rsidRPr="009357E8">
        <w:rPr>
          <w:lang w:val="en"/>
        </w:rPr>
        <w:t>members in the previous biennium.  The eTISC platform added 16 training webinars and hosted 10 live question-and-answer sessions with innovation support experts.</w:t>
      </w:r>
    </w:p>
    <w:p w:rsidR="00DA0522" w:rsidRPr="00B60696" w:rsidRDefault="00DA0522" w:rsidP="009357E8">
      <w:pPr>
        <w:pStyle w:val="ONUME"/>
        <w:numPr>
          <w:ilvl w:val="0"/>
          <w:numId w:val="92"/>
        </w:numPr>
        <w:jc w:val="both"/>
        <w:rPr>
          <w:lang w:val="en-SG"/>
        </w:rPr>
      </w:pPr>
      <w:r w:rsidRPr="009357E8">
        <w:rPr>
          <w:lang w:val="en"/>
        </w:rPr>
        <w:t xml:space="preserve">To respond to the demand, the IB continued to develop the products to support IP Offices’ business processes, in particular the Industrial Property Administration System (IPAS) and supporting modules.  Major new features deployed during the biennium included better support for electronic </w:t>
      </w:r>
      <w:r w:rsidRPr="009357E8">
        <w:rPr>
          <w:lang w:val="en"/>
        </w:rPr>
        <w:lastRenderedPageBreak/>
        <w:t>document management and support for bilingual operations, particularly for Offices working in the Arabic language.  Two</w:t>
      </w:r>
      <w:r w:rsidRPr="002D3CAE">
        <w:rPr>
          <w:lang w:val="en-SG"/>
        </w:rPr>
        <w:t xml:space="preserve"> new modules were developed and piloted in several IP Offices: </w:t>
      </w:r>
    </w:p>
    <w:p w:rsidR="00DA0522" w:rsidRPr="002D3CAE" w:rsidRDefault="00DA0522" w:rsidP="00DA0522">
      <w:pPr>
        <w:pStyle w:val="ListParagraph"/>
        <w:numPr>
          <w:ilvl w:val="0"/>
          <w:numId w:val="7"/>
        </w:numPr>
        <w:ind w:left="1134" w:hanging="425"/>
        <w:jc w:val="both"/>
        <w:rPr>
          <w:rFonts w:cs="Arial"/>
        </w:rPr>
      </w:pPr>
      <w:r w:rsidRPr="002D3CAE">
        <w:rPr>
          <w:rFonts w:cs="Arial"/>
          <w:lang w:val="en-SG"/>
        </w:rPr>
        <w:t xml:space="preserve">WIPO Publish was </w:t>
      </w:r>
      <w:r w:rsidRPr="002D3CAE">
        <w:rPr>
          <w:rFonts w:cs="Arial"/>
        </w:rPr>
        <w:t xml:space="preserve">designed to meet Offices’ needs for online publication of IP data, documents, legal status and dossier information, as well as data exchange needs (including data exchange for WIPO global databases).  It was deployed for internal use in more than 10 Offices and for online dissemination of IP information in several other Offices. </w:t>
      </w:r>
    </w:p>
    <w:p w:rsidR="00DA0522" w:rsidRPr="002D3CAE" w:rsidRDefault="00DA0522" w:rsidP="00547ACE">
      <w:pPr>
        <w:pStyle w:val="ListParagraph"/>
        <w:jc w:val="both"/>
        <w:rPr>
          <w:rFonts w:cs="Arial"/>
        </w:rPr>
      </w:pPr>
    </w:p>
    <w:p w:rsidR="00DA0522" w:rsidRPr="002D3CAE" w:rsidRDefault="00DA0522" w:rsidP="00DA0522">
      <w:pPr>
        <w:pStyle w:val="ListParagraph"/>
        <w:numPr>
          <w:ilvl w:val="0"/>
          <w:numId w:val="7"/>
        </w:numPr>
        <w:ind w:left="1134" w:hanging="425"/>
        <w:jc w:val="both"/>
        <w:rPr>
          <w:rFonts w:cs="Arial"/>
        </w:rPr>
      </w:pPr>
      <w:r w:rsidRPr="002D3CAE">
        <w:rPr>
          <w:rFonts w:cs="Arial"/>
          <w:lang w:val="en-SG"/>
        </w:rPr>
        <w:t xml:space="preserve">WIPO File was </w:t>
      </w:r>
      <w:r w:rsidRPr="002D3CAE">
        <w:rPr>
          <w:rFonts w:cs="Arial"/>
        </w:rPr>
        <w:t>designed to provide an online filing solution for small and medium offices, including the flexibility to be extensively customized for local conditions (e.g. for local payment systems).  WIPO File was successfully piloted in one IP Office and is being used for online filing at that Office.</w:t>
      </w:r>
    </w:p>
    <w:p w:rsidR="00DA0522" w:rsidRPr="002D3CAE" w:rsidRDefault="00DA0522" w:rsidP="00547ACE">
      <w:pPr>
        <w:shd w:val="clear" w:color="auto" w:fill="FFFFFF"/>
        <w:jc w:val="both"/>
        <w:rPr>
          <w:bCs/>
          <w:szCs w:val="20"/>
        </w:rPr>
      </w:pPr>
    </w:p>
    <w:p w:rsidR="00DA0522" w:rsidRPr="009357E8" w:rsidRDefault="00DA0522" w:rsidP="009357E8">
      <w:pPr>
        <w:pStyle w:val="ONUME"/>
        <w:numPr>
          <w:ilvl w:val="0"/>
          <w:numId w:val="92"/>
        </w:numPr>
        <w:jc w:val="both"/>
        <w:rPr>
          <w:lang w:val="en"/>
        </w:rPr>
      </w:pPr>
      <w:r w:rsidRPr="009357E8">
        <w:rPr>
          <w:lang w:val="en"/>
        </w:rPr>
        <w:t>The WIPO Copyright Connection (WCC) project (successor to WIPOCOS) was also launched in 2014, with the aim of releasing an interconnected system for the management of author and neighboring rights.  The system was in the final development phase at the end of 2014/15 and will be deployed in CMOs in developing countries and LDCs starting in 2016.</w:t>
      </w:r>
    </w:p>
    <w:p w:rsidR="00DA0522" w:rsidRPr="009357E8" w:rsidRDefault="00DA0522" w:rsidP="009357E8">
      <w:pPr>
        <w:pStyle w:val="ONUME"/>
        <w:numPr>
          <w:ilvl w:val="0"/>
          <w:numId w:val="92"/>
        </w:numPr>
        <w:jc w:val="both"/>
        <w:rPr>
          <w:lang w:val="en"/>
        </w:rPr>
      </w:pPr>
      <w:r w:rsidRPr="009357E8">
        <w:rPr>
          <w:lang w:val="en"/>
        </w:rPr>
        <w:t>Based on a specification and review process with participating Offices, a new version of the Digital Access Service (DAS) portal to support the revised framework of DAS 2.0 was launched in December 2014.  The number of participating Offices remained steady at 11.  In April 2014, the WIPO Centralized Access to Search and Examination (CASE) was linked to the IP5 One Dossier Portal system, allowing full two-way exchange of dossier information between CASE and IP5 Offices.  Several new Offices registered to use WIPO CASE during the biennium, bringing the total number of participating Offices to 21, of which 10 have agreed to provide their dossier information to others.</w:t>
      </w:r>
    </w:p>
    <w:p w:rsidR="00DA0522" w:rsidRPr="001630A8" w:rsidRDefault="00DA0522" w:rsidP="009357E8">
      <w:pPr>
        <w:pStyle w:val="ONUME"/>
        <w:numPr>
          <w:ilvl w:val="0"/>
          <w:numId w:val="92"/>
        </w:numPr>
        <w:jc w:val="both"/>
      </w:pPr>
      <w:r w:rsidRPr="009357E8">
        <w:rPr>
          <w:lang w:val="en"/>
        </w:rPr>
        <w:t>In June 2014, a new multi-stakeholder entity, the Accessible Books Consortium (ABC), was established to increase the number of books available in accessible formats to people with print disabilities worldwide.  The ABC carried out three main activities:  (i) technical assistance in accessible book production (funded by the Governments of Australia and the Republic of Korea)</w:t>
      </w:r>
      <w:proofErr w:type="gramStart"/>
      <w:r w:rsidRPr="009357E8">
        <w:rPr>
          <w:lang w:val="en"/>
        </w:rPr>
        <w:t>;  (</w:t>
      </w:r>
      <w:proofErr w:type="gramEnd"/>
      <w:r w:rsidRPr="009357E8">
        <w:rPr>
          <w:lang w:val="en"/>
        </w:rPr>
        <w:t>ii) inclusive publishing, which promotes technologies that allow for “born accessible” publishing so that new books are usable from the start by both sighted people and people with print disabilities;  and (iii) the ABC Book Service, also known as TIGAR, an international database of accessible titles in 55 languages.  Under the first activity, the ABC produced 1,580 educational books benefiting 23,500 print-disabled students in Bangladesh, India, Nepal, and Sri Lanka.  Under the second activity, the ABC sponsored the Charter for Accessible Publishing and the ABC International Excellence Award for Accessible Publishing.  As of the end of 2015, there were 4,208 downloads of accessible titles by 15 participating libraries and over 58,000 loans of accessible books to</w:t>
      </w:r>
      <w:r w:rsidRPr="0091028D">
        <w:rPr>
          <w:color w:val="000000"/>
        </w:rPr>
        <w:t xml:space="preserve"> persons who are print-disabled in the reporting period.</w:t>
      </w:r>
    </w:p>
    <w:p w:rsidR="00DA0522" w:rsidRDefault="00DA0522">
      <w:pPr>
        <w:rPr>
          <w:b/>
          <w:iCs/>
        </w:rPr>
      </w:pPr>
    </w:p>
    <w:p w:rsidR="00DA0522" w:rsidRPr="0025268B" w:rsidRDefault="00DA0522" w:rsidP="00547ACE">
      <w:pPr>
        <w:jc w:val="center"/>
        <w:rPr>
          <w:b/>
          <w:iCs/>
        </w:rPr>
      </w:pPr>
      <w:r w:rsidRPr="008869AE">
        <w:rPr>
          <w:b/>
          <w:iCs/>
        </w:rPr>
        <w:t>Strategic Goal V:  World Reference Source for IP Information and Analysis</w:t>
      </w:r>
    </w:p>
    <w:p w:rsidR="00DA0522" w:rsidRDefault="00DA0522" w:rsidP="00547ACE">
      <w:pPr>
        <w:jc w:val="center"/>
        <w:rPr>
          <w:rFonts w:cs="Arial"/>
        </w:rPr>
      </w:pPr>
      <w:r>
        <w:rPr>
          <w:rFonts w:cs="Arial"/>
          <w:noProof/>
        </w:rPr>
        <w:drawing>
          <wp:inline distT="0" distB="0" distL="0" distR="0" wp14:anchorId="319F1CC7" wp14:editId="401FD9C8">
            <wp:extent cx="5362998" cy="2562225"/>
            <wp:effectExtent l="0" t="0" r="9525"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370715" cy="2565912"/>
                    </a:xfrm>
                    <a:prstGeom prst="rect">
                      <a:avLst/>
                    </a:prstGeom>
                    <a:noFill/>
                  </pic:spPr>
                </pic:pic>
              </a:graphicData>
            </a:graphic>
          </wp:inline>
        </w:drawing>
      </w:r>
    </w:p>
    <w:p w:rsidR="00DA0522" w:rsidRDefault="00DA0522" w:rsidP="00547ACE">
      <w:pPr>
        <w:jc w:val="center"/>
        <w:rPr>
          <w:b/>
          <w:sz w:val="18"/>
          <w:szCs w:val="18"/>
        </w:rPr>
      </w:pPr>
    </w:p>
    <w:p w:rsidR="00DA0522" w:rsidRPr="0025268B" w:rsidRDefault="00DA0522" w:rsidP="009357E8">
      <w:pPr>
        <w:keepNext/>
        <w:keepLines/>
        <w:spacing w:after="120"/>
        <w:jc w:val="center"/>
        <w:rPr>
          <w:b/>
          <w:iCs/>
        </w:rPr>
      </w:pPr>
      <w:r>
        <w:rPr>
          <w:b/>
          <w:sz w:val="18"/>
          <w:szCs w:val="18"/>
        </w:rPr>
        <w:lastRenderedPageBreak/>
        <w:t>Summary of Achievements by Expected Results</w:t>
      </w:r>
    </w:p>
    <w:p w:rsidR="00DA0522" w:rsidRDefault="00DA0522" w:rsidP="009357E8">
      <w:pPr>
        <w:keepNext/>
        <w:keepLines/>
        <w:rPr>
          <w:iCs/>
        </w:rPr>
      </w:pPr>
      <w:r>
        <w:rPr>
          <w:iCs/>
          <w:noProof/>
        </w:rPr>
        <w:drawing>
          <wp:inline distT="0" distB="0" distL="0" distR="0" wp14:anchorId="20F2AAAF" wp14:editId="188AAF5A">
            <wp:extent cx="5719512" cy="1234440"/>
            <wp:effectExtent l="0" t="0" r="0" b="381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719512" cy="1234440"/>
                    </a:xfrm>
                    <a:prstGeom prst="rect">
                      <a:avLst/>
                    </a:prstGeom>
                    <a:noFill/>
                  </pic:spPr>
                </pic:pic>
              </a:graphicData>
            </a:graphic>
          </wp:inline>
        </w:drawing>
      </w:r>
    </w:p>
    <w:p w:rsidR="00DA0522" w:rsidRDefault="00DA0522" w:rsidP="00547ACE">
      <w:pPr>
        <w:jc w:val="both"/>
        <w:rPr>
          <w:bCs/>
        </w:rPr>
      </w:pPr>
    </w:p>
    <w:p w:rsidR="00DA0522" w:rsidRPr="009357E8" w:rsidRDefault="00DA0522" w:rsidP="009357E8">
      <w:pPr>
        <w:pStyle w:val="ONUME"/>
        <w:numPr>
          <w:ilvl w:val="0"/>
          <w:numId w:val="92"/>
        </w:numPr>
        <w:jc w:val="both"/>
        <w:rPr>
          <w:lang w:val="en"/>
        </w:rPr>
      </w:pPr>
      <w:r w:rsidRPr="009357E8">
        <w:rPr>
          <w:lang w:val="en"/>
        </w:rPr>
        <w:t>In the biennium, WIPO’s economic analysis work made significant progress towards its objective of promoting high quality analysis addressing economic challenges in the international IP system and assessing the economic effects of IP policy choices.  One major accomplishment was the publication of the third World Intellectual Property Report on Breakthrough Innovation and Economic Growth, which generated over 200 media articles and interest from policymakers and academia worldwide.  In addition, WIPO continued to be a co-publisher of the Global Innovation Index (GII), along with Cornell University and INSEAD.  In 2014/15, for the first time, the GII launches took place outside of Geneva, with the launches co-hosted by the Government of Australia in 2014 and the Government of the United Kingdom in 2015.  News and social media coverage also reached new highs compared to the previous biennium.</w:t>
      </w:r>
    </w:p>
    <w:p w:rsidR="00DA0522" w:rsidRPr="009357E8" w:rsidRDefault="00DA0522" w:rsidP="009357E8">
      <w:pPr>
        <w:pStyle w:val="ONUME"/>
        <w:numPr>
          <w:ilvl w:val="0"/>
          <w:numId w:val="92"/>
        </w:numPr>
        <w:jc w:val="both"/>
        <w:rPr>
          <w:lang w:val="en"/>
        </w:rPr>
      </w:pPr>
      <w:r w:rsidRPr="009357E8">
        <w:rPr>
          <w:lang w:val="en"/>
        </w:rPr>
        <w:t>Significant achievements in the 2014/15 biennium were also made with regard to targeted economic studies to support the work of WIPO committees.  Above all, three Development Agenda (DA) projects were concluded on IP and socioeconomic development, IP and the informal economy, and IP and brain drain.  A second phase of the project on IP and socioeconomic development that takes the underlying study work to new developing countries was also launched in 2015.</w:t>
      </w:r>
    </w:p>
    <w:p w:rsidR="00DA0522" w:rsidRDefault="00DA0522" w:rsidP="009357E8">
      <w:pPr>
        <w:pStyle w:val="ONUME"/>
        <w:numPr>
          <w:ilvl w:val="0"/>
          <w:numId w:val="92"/>
        </w:numPr>
        <w:jc w:val="both"/>
      </w:pPr>
      <w:r w:rsidRPr="009357E8">
        <w:rPr>
          <w:lang w:val="en"/>
        </w:rPr>
        <w:t>Finally, the statistical work undertaken in the 2014/15 biennium also fulfilled the objective of providing accurate, comprehensive, and timely statistical information on the performance of the IP system worldwide.  Most importantly, annual statistical surveys of national and regional IP offices were conducted and saw the</w:t>
      </w:r>
      <w:r w:rsidRPr="005B7665">
        <w:t xml:space="preserve"> average number of responses rise to 127 compared to 112 in the previous biennium</w:t>
      </w:r>
    </w:p>
    <w:p w:rsidR="00DA0522" w:rsidRDefault="00DA0522">
      <w:pPr>
        <w:rPr>
          <w:b/>
          <w:iCs/>
        </w:rPr>
      </w:pPr>
    </w:p>
    <w:p w:rsidR="00DA0522" w:rsidRPr="00F14F4E" w:rsidRDefault="00DA0522" w:rsidP="00547ACE">
      <w:pPr>
        <w:jc w:val="center"/>
        <w:rPr>
          <w:b/>
          <w:iCs/>
        </w:rPr>
      </w:pPr>
      <w:r w:rsidRPr="008869AE">
        <w:rPr>
          <w:b/>
          <w:iCs/>
        </w:rPr>
        <w:t>Strategic Goal VI:  International Cooperation on Building Respect for IP</w:t>
      </w:r>
    </w:p>
    <w:p w:rsidR="00DA0522" w:rsidRDefault="00DA0522" w:rsidP="00547ACE">
      <w:pPr>
        <w:jc w:val="center"/>
        <w:rPr>
          <w:b/>
          <w:noProof/>
          <w:sz w:val="18"/>
          <w:szCs w:val="18"/>
        </w:rPr>
      </w:pPr>
      <w:r>
        <w:rPr>
          <w:b/>
          <w:noProof/>
          <w:sz w:val="18"/>
          <w:szCs w:val="18"/>
        </w:rPr>
        <w:drawing>
          <wp:inline distT="0" distB="0" distL="0" distR="0" wp14:anchorId="1B75D6E1" wp14:editId="12C13EA6">
            <wp:extent cx="5501555" cy="2651760"/>
            <wp:effectExtent l="0" t="0" r="4445"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501555" cy="2651760"/>
                    </a:xfrm>
                    <a:prstGeom prst="rect">
                      <a:avLst/>
                    </a:prstGeom>
                    <a:noFill/>
                  </pic:spPr>
                </pic:pic>
              </a:graphicData>
            </a:graphic>
          </wp:inline>
        </w:drawing>
      </w:r>
    </w:p>
    <w:p w:rsidR="009357E8" w:rsidRDefault="009357E8">
      <w:pPr>
        <w:rPr>
          <w:b/>
          <w:noProof/>
          <w:sz w:val="18"/>
          <w:szCs w:val="18"/>
        </w:rPr>
      </w:pPr>
      <w:r>
        <w:rPr>
          <w:b/>
          <w:noProof/>
          <w:sz w:val="18"/>
          <w:szCs w:val="18"/>
        </w:rPr>
        <w:br w:type="page"/>
      </w:r>
    </w:p>
    <w:p w:rsidR="00DA0522" w:rsidRDefault="00DA0522" w:rsidP="00547ACE">
      <w:pPr>
        <w:rPr>
          <w:b/>
          <w:noProof/>
          <w:sz w:val="18"/>
          <w:szCs w:val="18"/>
        </w:rPr>
      </w:pPr>
    </w:p>
    <w:p w:rsidR="00DA0522" w:rsidRPr="0025268B" w:rsidRDefault="00DA0522" w:rsidP="00475AE7">
      <w:pPr>
        <w:spacing w:after="120"/>
        <w:jc w:val="center"/>
        <w:rPr>
          <w:b/>
          <w:iCs/>
        </w:rPr>
      </w:pPr>
      <w:r>
        <w:rPr>
          <w:b/>
          <w:sz w:val="18"/>
          <w:szCs w:val="18"/>
        </w:rPr>
        <w:t>Summary of Achievements by Expected Results</w:t>
      </w:r>
    </w:p>
    <w:p w:rsidR="00DA0522" w:rsidRPr="000A23D9" w:rsidRDefault="00DA0522" w:rsidP="00547ACE">
      <w:pPr>
        <w:rPr>
          <w:b/>
          <w:sz w:val="18"/>
          <w:szCs w:val="18"/>
        </w:rPr>
      </w:pPr>
      <w:r>
        <w:rPr>
          <w:b/>
          <w:noProof/>
          <w:sz w:val="18"/>
          <w:szCs w:val="18"/>
        </w:rPr>
        <w:drawing>
          <wp:inline distT="0" distB="0" distL="0" distR="0" wp14:anchorId="1A8D0FAB" wp14:editId="309ED0CA">
            <wp:extent cx="5856673" cy="1280160"/>
            <wp:effectExtent l="0" t="0" r="0"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856673" cy="1280160"/>
                    </a:xfrm>
                    <a:prstGeom prst="rect">
                      <a:avLst/>
                    </a:prstGeom>
                    <a:noFill/>
                  </pic:spPr>
                </pic:pic>
              </a:graphicData>
            </a:graphic>
          </wp:inline>
        </w:drawing>
      </w:r>
    </w:p>
    <w:p w:rsidR="00DA0522" w:rsidRDefault="00DA0522" w:rsidP="009357E8">
      <w:pPr>
        <w:pStyle w:val="ONUME"/>
        <w:numPr>
          <w:ilvl w:val="0"/>
          <w:numId w:val="92"/>
        </w:numPr>
        <w:jc w:val="both"/>
        <w:rPr>
          <w:b/>
          <w:iCs/>
        </w:rPr>
      </w:pPr>
      <w:r w:rsidRPr="009357E8">
        <w:rPr>
          <w:lang w:val="en"/>
        </w:rPr>
        <w:t>With a view to achieving progress in the international policy dialogue among WIPO Member States on building respect for IP, the ninth and tenth sessions of the Advisory Committee on Enforcement (ACE) (March 3 to 5, 2014;  and November 23 to 25, 2015) served as a “marketplace of ideas”, allowing for the exchange of national practices and experiences.  The three day meetings showed growing interest in effective preventive strategies, ranging from awareness raising, new business models and supply chain security, to alternative mechanisms for resolving IP disputes.  The two sessions were accompanied by audiovisual exhibitions, presenting public communication campaigns on respect for IP and awareness tools for young people.   Member States agreed to exchange, at its eleventh session, information on national experiences on four topics:  (i) awareness building activities and strategic campaigns as a means for building respect for IP among the general public, especially the youth, in accordance with Member States’ educational or any other priorities;  (ii) institutional arrangements concerning IP enforcement policies and regimes, including mechanisms to resolve IP disputes in a balanced, holistic and effective manner;  (iii) WIPO’s legislative assistance, with a focus on drafting national laws of enforcement that take into account the flexibilities, the level of development, the difference in legal tradition and the possible abuse of enforcement procedures;  and (iv) WIPO’s capacity building and support for training activities</w:t>
      </w:r>
      <w:r>
        <w:t xml:space="preserve"> in line with relevant Development Agenda Recommendations and the ACE mandate.  </w:t>
      </w:r>
    </w:p>
    <w:p w:rsidR="00DA0522" w:rsidRDefault="00DA0522">
      <w:pPr>
        <w:rPr>
          <w:b/>
          <w:iCs/>
        </w:rPr>
      </w:pPr>
    </w:p>
    <w:p w:rsidR="00DA0522" w:rsidRPr="0025268B" w:rsidRDefault="00DA0522" w:rsidP="00547ACE">
      <w:pPr>
        <w:jc w:val="center"/>
        <w:rPr>
          <w:b/>
          <w:iCs/>
        </w:rPr>
      </w:pPr>
      <w:r w:rsidRPr="008869AE">
        <w:rPr>
          <w:b/>
          <w:iCs/>
        </w:rPr>
        <w:t>Strategic Goal VII:  Addressing IP in Relation to Global IP Policy Issues</w:t>
      </w:r>
    </w:p>
    <w:p w:rsidR="00DA0522" w:rsidRDefault="00DA0522" w:rsidP="00547ACE">
      <w:pPr>
        <w:jc w:val="center"/>
        <w:rPr>
          <w:rFonts w:cs="Arial"/>
        </w:rPr>
      </w:pPr>
      <w:r>
        <w:rPr>
          <w:rFonts w:cs="Arial"/>
          <w:noProof/>
        </w:rPr>
        <w:drawing>
          <wp:inline distT="0" distB="0" distL="0" distR="0" wp14:anchorId="57BC9BAA" wp14:editId="79ACB121">
            <wp:extent cx="5272003" cy="2651760"/>
            <wp:effectExtent l="0" t="0" r="508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272003" cy="2651760"/>
                    </a:xfrm>
                    <a:prstGeom prst="rect">
                      <a:avLst/>
                    </a:prstGeom>
                    <a:noFill/>
                  </pic:spPr>
                </pic:pic>
              </a:graphicData>
            </a:graphic>
          </wp:inline>
        </w:drawing>
      </w:r>
    </w:p>
    <w:p w:rsidR="00DA0522" w:rsidRDefault="00DA0522" w:rsidP="00547ACE">
      <w:pPr>
        <w:jc w:val="center"/>
        <w:rPr>
          <w:rFonts w:cs="Arial"/>
        </w:rPr>
      </w:pPr>
    </w:p>
    <w:p w:rsidR="00DA0522" w:rsidRPr="0025268B" w:rsidRDefault="00DA0522" w:rsidP="00475AE7">
      <w:pPr>
        <w:spacing w:after="120"/>
        <w:jc w:val="center"/>
        <w:rPr>
          <w:b/>
          <w:iCs/>
        </w:rPr>
      </w:pPr>
      <w:r>
        <w:rPr>
          <w:b/>
          <w:sz w:val="18"/>
          <w:szCs w:val="18"/>
        </w:rPr>
        <w:t>Summary of Achievements by Expected Results</w:t>
      </w:r>
    </w:p>
    <w:p w:rsidR="00DA0522" w:rsidRDefault="00DA0522" w:rsidP="00547ACE">
      <w:pPr>
        <w:rPr>
          <w:rFonts w:cs="Arial"/>
        </w:rPr>
      </w:pPr>
      <w:r>
        <w:rPr>
          <w:rFonts w:cs="Arial"/>
          <w:noProof/>
        </w:rPr>
        <w:drawing>
          <wp:inline distT="0" distB="0" distL="0" distR="0" wp14:anchorId="71144029" wp14:editId="30EE6ACB">
            <wp:extent cx="5862392" cy="1463040"/>
            <wp:effectExtent l="0" t="0" r="5080" b="381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862392" cy="1463040"/>
                    </a:xfrm>
                    <a:prstGeom prst="rect">
                      <a:avLst/>
                    </a:prstGeom>
                    <a:noFill/>
                  </pic:spPr>
                </pic:pic>
              </a:graphicData>
            </a:graphic>
          </wp:inline>
        </w:drawing>
      </w:r>
    </w:p>
    <w:p w:rsidR="00DA0522" w:rsidRDefault="00DA0522" w:rsidP="00547ACE">
      <w:pPr>
        <w:rPr>
          <w:rFonts w:cs="Arial"/>
        </w:rPr>
      </w:pPr>
    </w:p>
    <w:p w:rsidR="00DA0522" w:rsidRPr="009357E8" w:rsidRDefault="00DA0522" w:rsidP="009357E8">
      <w:pPr>
        <w:pStyle w:val="ONUME"/>
        <w:numPr>
          <w:ilvl w:val="0"/>
          <w:numId w:val="92"/>
        </w:numPr>
        <w:jc w:val="both"/>
        <w:rPr>
          <w:lang w:val="en"/>
        </w:rPr>
      </w:pPr>
      <w:r w:rsidRPr="009357E8">
        <w:rPr>
          <w:lang w:val="en"/>
        </w:rPr>
        <w:lastRenderedPageBreak/>
        <w:t>At the intersection of pressing global and interconnected issues, in particular global health, climate change and food security, substantive progress was made in supporting an enhanced understanding among policy makers on the interface between global challenges and innovation and IP.  I</w:t>
      </w:r>
      <w:r w:rsidR="006F648A">
        <w:rPr>
          <w:lang w:val="en"/>
        </w:rPr>
        <w:t>n</w:t>
      </w:r>
      <w:r w:rsidRPr="009357E8">
        <w:rPr>
          <w:lang w:val="en"/>
        </w:rPr>
        <w:t xml:space="preserve"> the biennium, WIPO consolidated its position as a credible source of support, collaboration and reference for information on issues related to public policy and IP, resulting in continued requests for WIPO to contribute to and participate in fora by other international and non</w:t>
      </w:r>
      <w:r w:rsidRPr="009357E8">
        <w:rPr>
          <w:lang w:val="en"/>
        </w:rPr>
        <w:noBreakHyphen/>
        <w:t>governmental organizations, including WHO, WTO, NGOs, the private sector and universities.  Following its launch in November 2013, the year 2014 marked the first full year of WIPO GREEN operations.  Through a targeted awareness raising campaign, the profile of WIPO GREEN was raised significantly.  The network of partners grew from 36 to 54 in 2014 to 65 in 2015, and the number of registered users tripled from 160 in 2013 to 490 by the end of</w:t>
      </w:r>
      <w:r w:rsidR="009357E8">
        <w:rPr>
          <w:lang w:val="en"/>
        </w:rPr>
        <w:t> </w:t>
      </w:r>
      <w:r w:rsidRPr="009357E8">
        <w:rPr>
          <w:lang w:val="en"/>
        </w:rPr>
        <w:t xml:space="preserve">2015.  The WIPO GREEN database also more than doubled its content, from 830 entries in 2013 to 2,181 in 2015, as a result of database integration agreements and individual uploads.  </w:t>
      </w:r>
    </w:p>
    <w:p w:rsidR="00DA0522" w:rsidRPr="009357E8" w:rsidRDefault="00DA0522" w:rsidP="009357E8">
      <w:pPr>
        <w:pStyle w:val="ONUME"/>
        <w:numPr>
          <w:ilvl w:val="0"/>
          <w:numId w:val="92"/>
        </w:numPr>
        <w:jc w:val="both"/>
        <w:rPr>
          <w:lang w:val="en"/>
        </w:rPr>
      </w:pPr>
      <w:r w:rsidRPr="009357E8">
        <w:rPr>
          <w:lang w:val="en"/>
        </w:rPr>
        <w:t>WIPO Re:Search – Sharing Innovation in the Fight Against Neglected Tropical Diseases (NTDs) – gained in recognition as a platform to support innovation, knowledge and technology transfer and capacity building related to research for NTDs, tuberculosis and malaria.  The biennium saw 52 additional collaborations between WIPO Re</w:t>
      </w:r>
      <w:proofErr w:type="gramStart"/>
      <w:r w:rsidRPr="009357E8">
        <w:rPr>
          <w:lang w:val="en"/>
        </w:rPr>
        <w:t>:Search</w:t>
      </w:r>
      <w:proofErr w:type="gramEnd"/>
      <w:r w:rsidRPr="009357E8">
        <w:rPr>
          <w:lang w:val="en"/>
        </w:rPr>
        <w:t xml:space="preserve"> Members and 20 new Members, six of which from developing countries, bringing the totals to 96 collaborations and 100 Members, 22 of which from developing countries.  In addition, the platform’s potential for technology transfer from developed to developing countries of IP assets, including know-how and expertise, was further demonstrated by the continued facilitation of research sabbaticals for six African scientists in overseas research institutions. The sabbaticals, which began in the last biennium, were made possible by a Fund-in-Trust from the Government of Australia, four of which were concluded by the end of 2014.</w:t>
      </w:r>
    </w:p>
    <w:p w:rsidR="00DA0522" w:rsidRPr="009357E8" w:rsidRDefault="00DA0522" w:rsidP="009357E8">
      <w:pPr>
        <w:pStyle w:val="ONUME"/>
        <w:numPr>
          <w:ilvl w:val="0"/>
          <w:numId w:val="92"/>
        </w:numPr>
        <w:jc w:val="both"/>
        <w:rPr>
          <w:lang w:val="en"/>
        </w:rPr>
      </w:pPr>
      <w:r w:rsidRPr="009357E8">
        <w:rPr>
          <w:lang w:val="en"/>
        </w:rPr>
        <w:t xml:space="preserve">Providing fora for participants to share ideas, expertise and information relating to the three core areas, in 2014/15, three WIPO Global Challenges Seminars were organized, four Global Challenges Briefs, and three Global Challenges Reports were published. </w:t>
      </w:r>
    </w:p>
    <w:p w:rsidR="00DA0522" w:rsidRPr="009D1164" w:rsidRDefault="00DA0522" w:rsidP="009357E8">
      <w:pPr>
        <w:pStyle w:val="ONUME"/>
        <w:numPr>
          <w:ilvl w:val="0"/>
          <w:numId w:val="92"/>
        </w:numPr>
        <w:jc w:val="both"/>
      </w:pPr>
      <w:r w:rsidRPr="009357E8">
        <w:rPr>
          <w:lang w:val="en"/>
        </w:rPr>
        <w:t>The trilateral cooperation with WHO and WTO continued to focus on enhanced understanding among policymakers for the interplay between health, IP and trade.  In November 2014 and October 2015, the fourth and fifth Trilateral Symposia took place in Geneva, exploring the challenges and opportunities in the health innovation area of middle-income countries, and the public policies necessary to ensure that rapid economic growth</w:t>
      </w:r>
      <w:r w:rsidRPr="00323DD8">
        <w:t xml:space="preserve"> contributes to access and universal health coverage.</w:t>
      </w:r>
      <w:r w:rsidRPr="009D1164">
        <w:t xml:space="preserve"> </w:t>
      </w:r>
    </w:p>
    <w:p w:rsidR="00DA0522" w:rsidRDefault="00DA0522">
      <w:pPr>
        <w:rPr>
          <w:b/>
          <w:iCs/>
        </w:rPr>
      </w:pPr>
    </w:p>
    <w:p w:rsidR="00DA0522" w:rsidRPr="00AE0F7A" w:rsidRDefault="00DA0522" w:rsidP="00547ACE">
      <w:pPr>
        <w:jc w:val="center"/>
        <w:rPr>
          <w:b/>
          <w:iCs/>
        </w:rPr>
      </w:pPr>
      <w:r w:rsidRPr="008869AE">
        <w:rPr>
          <w:b/>
          <w:iCs/>
        </w:rPr>
        <w:t>Strategic Goal VIII:  A Responsive Communications Interface between WIPO, its Member States and All Stakeholders</w:t>
      </w:r>
    </w:p>
    <w:p w:rsidR="00DA0522" w:rsidRDefault="00DA0522" w:rsidP="00547ACE">
      <w:pPr>
        <w:jc w:val="center"/>
        <w:rPr>
          <w:b/>
          <w:sz w:val="18"/>
          <w:szCs w:val="18"/>
        </w:rPr>
      </w:pPr>
      <w:r>
        <w:rPr>
          <w:b/>
          <w:noProof/>
          <w:sz w:val="18"/>
          <w:szCs w:val="18"/>
        </w:rPr>
        <w:drawing>
          <wp:inline distT="0" distB="0" distL="0" distR="0" wp14:anchorId="4583B800" wp14:editId="6936B210">
            <wp:extent cx="5225700" cy="2651760"/>
            <wp:effectExtent l="0" t="0" r="0"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225700" cy="2651760"/>
                    </a:xfrm>
                    <a:prstGeom prst="rect">
                      <a:avLst/>
                    </a:prstGeom>
                    <a:noFill/>
                  </pic:spPr>
                </pic:pic>
              </a:graphicData>
            </a:graphic>
          </wp:inline>
        </w:drawing>
      </w:r>
    </w:p>
    <w:p w:rsidR="00DA0522" w:rsidRDefault="00DA0522" w:rsidP="00547ACE">
      <w:pPr>
        <w:jc w:val="center"/>
        <w:rPr>
          <w:b/>
          <w:sz w:val="18"/>
          <w:szCs w:val="18"/>
        </w:rPr>
      </w:pPr>
    </w:p>
    <w:p w:rsidR="009357E8" w:rsidRDefault="009357E8">
      <w:pPr>
        <w:rPr>
          <w:b/>
          <w:sz w:val="18"/>
          <w:szCs w:val="18"/>
        </w:rPr>
      </w:pPr>
      <w:r>
        <w:rPr>
          <w:b/>
          <w:sz w:val="18"/>
          <w:szCs w:val="18"/>
        </w:rPr>
        <w:br w:type="page"/>
      </w:r>
    </w:p>
    <w:p w:rsidR="00DA0522" w:rsidRPr="0025268B" w:rsidRDefault="00DA0522" w:rsidP="00475AE7">
      <w:pPr>
        <w:spacing w:after="120"/>
        <w:jc w:val="center"/>
        <w:rPr>
          <w:b/>
          <w:iCs/>
        </w:rPr>
      </w:pPr>
      <w:r>
        <w:rPr>
          <w:b/>
          <w:sz w:val="18"/>
          <w:szCs w:val="18"/>
        </w:rPr>
        <w:lastRenderedPageBreak/>
        <w:t>Summary of Achievements by Expected Results</w:t>
      </w:r>
    </w:p>
    <w:p w:rsidR="00DA0522" w:rsidRDefault="00DA0522" w:rsidP="00547ACE">
      <w:pPr>
        <w:keepNext/>
        <w:keepLines/>
        <w:rPr>
          <w:iCs/>
        </w:rPr>
      </w:pPr>
      <w:r>
        <w:rPr>
          <w:iCs/>
          <w:noProof/>
        </w:rPr>
        <w:drawing>
          <wp:inline distT="0" distB="0" distL="0" distR="0" wp14:anchorId="7259F663" wp14:editId="004E275C">
            <wp:extent cx="5785420" cy="2651760"/>
            <wp:effectExtent l="0" t="0" r="6350"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85420" cy="2651760"/>
                    </a:xfrm>
                    <a:prstGeom prst="rect">
                      <a:avLst/>
                    </a:prstGeom>
                    <a:noFill/>
                  </pic:spPr>
                </pic:pic>
              </a:graphicData>
            </a:graphic>
          </wp:inline>
        </w:drawing>
      </w:r>
    </w:p>
    <w:p w:rsidR="00DA0522" w:rsidRPr="0085098C" w:rsidRDefault="00DA0522" w:rsidP="00547ACE">
      <w:pPr>
        <w:keepNext/>
        <w:keepLines/>
        <w:rPr>
          <w:iCs/>
        </w:rPr>
      </w:pPr>
    </w:p>
    <w:p w:rsidR="00DA0522" w:rsidRPr="009357E8" w:rsidRDefault="00DA0522" w:rsidP="009357E8">
      <w:pPr>
        <w:pStyle w:val="ONUME"/>
        <w:numPr>
          <w:ilvl w:val="0"/>
          <w:numId w:val="92"/>
        </w:numPr>
        <w:jc w:val="both"/>
        <w:rPr>
          <w:lang w:val="en"/>
        </w:rPr>
      </w:pPr>
      <w:r w:rsidRPr="009357E8">
        <w:rPr>
          <w:lang w:val="en"/>
        </w:rPr>
        <w:t>Priorities under this goal included a continued focus on creating and delivering relevant, high quality content, on increasing the visibility and public understanding of WIPO’s work, and on strengthening the culture of service within the Organization.</w:t>
      </w:r>
    </w:p>
    <w:p w:rsidR="00DA0522" w:rsidRPr="009357E8" w:rsidRDefault="00DA0522" w:rsidP="009357E8">
      <w:pPr>
        <w:pStyle w:val="ONUME"/>
        <w:numPr>
          <w:ilvl w:val="0"/>
          <w:numId w:val="92"/>
        </w:numPr>
        <w:jc w:val="both"/>
        <w:rPr>
          <w:lang w:val="en"/>
        </w:rPr>
      </w:pPr>
      <w:r w:rsidRPr="009357E8">
        <w:rPr>
          <w:lang w:val="en"/>
        </w:rPr>
        <w:t xml:space="preserve">A more integrated content and media strategy resulted in greater communications impact for WIPO’s major events and product launches.  The Global Innovation Index (GII) achieved Twitter “trending” status in London on the day of its 2015 United Kingdom launch.  Coverage in some of the world’s most influential media helped position WIPO’s flagship IP reports (the GII; the World Intellectual Property Report (WIPR); the PCT, Madrid and the Hague Yearly Reviews; and the World Intellectual Property Indicators) as world reference sources for IP and innovation data.  Promotion of the WIPR resulted in some 200 press articles in the week following its release.  Concerted press and social media outreach to promote the 2014 Dakar Ministerial Conference gained wide coverage on African broadcast and online media, stimulating public interest in IP and development issues.  For all major events, webpages were published in all six languages.  Advocacy efforts in support of the Accessible Books Consortium (ABC) were strengthened by the production of a compelling video on ABC capacity building in India.  </w:t>
      </w:r>
    </w:p>
    <w:p w:rsidR="00DA0522" w:rsidRPr="009357E8" w:rsidRDefault="00DA0522" w:rsidP="009357E8">
      <w:pPr>
        <w:pStyle w:val="ONUME"/>
        <w:numPr>
          <w:ilvl w:val="0"/>
          <w:numId w:val="92"/>
        </w:numPr>
        <w:jc w:val="both"/>
        <w:rPr>
          <w:lang w:val="en"/>
        </w:rPr>
      </w:pPr>
      <w:r w:rsidRPr="009357E8">
        <w:rPr>
          <w:lang w:val="en"/>
        </w:rPr>
        <w:t>Engagement by Member States and the public in the annual World IP Day campaign reached a record level.  The theme Movies – A Global Passion was the focus for over 350 events reported in 105 countries (up from 236 events in 93</w:t>
      </w:r>
      <w:r w:rsidRPr="00BA6F3B">
        <w:rPr>
          <w:vertAlign w:val="superscript"/>
          <w:lang w:val="en"/>
        </w:rPr>
        <w:footnoteReference w:id="6"/>
      </w:r>
      <w:r w:rsidRPr="00BA6F3B">
        <w:rPr>
          <w:vertAlign w:val="superscript"/>
          <w:lang w:val="en"/>
        </w:rPr>
        <w:t xml:space="preserve"> </w:t>
      </w:r>
      <w:r w:rsidRPr="009357E8">
        <w:rPr>
          <w:lang w:val="en"/>
        </w:rPr>
        <w:t>countries in 2013).  WIPO’s 2015 #WorldIPDay tweets gained 5.2 million potential impressions (compared to 1.55 million in 2013) and some 900 retweets.  Participation was truly global with views of the webpage in Chinese exceeding the English version in 2014; while the highest numbers of ’likes’ of the Facebook page came respectively from India, the United States of America, Mexico, Egypt and Brazil.</w:t>
      </w:r>
    </w:p>
    <w:p w:rsidR="00DA0522" w:rsidRPr="009357E8" w:rsidRDefault="00DA0522" w:rsidP="009357E8">
      <w:pPr>
        <w:pStyle w:val="ONUME"/>
        <w:numPr>
          <w:ilvl w:val="0"/>
          <w:numId w:val="92"/>
        </w:numPr>
        <w:jc w:val="both"/>
        <w:rPr>
          <w:lang w:val="en"/>
        </w:rPr>
      </w:pPr>
      <w:r w:rsidRPr="009357E8">
        <w:rPr>
          <w:lang w:val="en"/>
        </w:rPr>
        <w:t>With regard to External Relations, the United Nations (UN) and its Member States concluded a number of major negotiating processes of relevance to WIPO’s work in 2014/15, including the adoption of the Addis Ababa Action Agenda (AAAA) during the Third International Conference on Financing for Development Conference (FFD3);  the adoption of Transforming Our World: the 2030 Agenda for Sustainable Development;  and the adoption of the Paris Agreement under the framework of the UN Framework Convention on Climate Change (UNFCCC).  As a specialized agency of the UN, and in line with its mandate and with WIPO DA Recommendations 30 and 40, WIPO continued to play its role in supporting these processes through its strategic engagement and the provision of balanced and evidence-based information, as well as in timely responses to specific requests for contributions and cooperation.</w:t>
      </w:r>
    </w:p>
    <w:p w:rsidR="00DA0522" w:rsidRPr="009357E8" w:rsidRDefault="00DA0522" w:rsidP="009357E8">
      <w:pPr>
        <w:pStyle w:val="ONUME"/>
        <w:numPr>
          <w:ilvl w:val="0"/>
          <w:numId w:val="92"/>
        </w:numPr>
        <w:jc w:val="both"/>
        <w:rPr>
          <w:lang w:val="en"/>
        </w:rPr>
      </w:pPr>
      <w:r w:rsidRPr="009357E8">
        <w:rPr>
          <w:lang w:val="en"/>
        </w:rPr>
        <w:t xml:space="preserve">WIPO’s network of External Offices formed an integral part of the Organization, designed to bring WIPO’s services and cooperation closer to Member States, stakeholders and partners with a view to enhancing efficiency and effectiveness of program delivery, as well as responding to the specific needs </w:t>
      </w:r>
      <w:r w:rsidRPr="009357E8">
        <w:rPr>
          <w:lang w:val="en"/>
        </w:rPr>
        <w:lastRenderedPageBreak/>
        <w:t>and priorities of the countries and/or regions they serve.  In 2014, the network of Offices grew to five, with the opening of the WIPO Offices in China (WCO) and in the Russian Federation (WRO).  The year 2015 marked the tenth anniversary of the establishment of the WIPO Singapore Office.  The results achieved during the 2014/15 biennium continued to underscore the contribution that External Offices bring to the implementation of the Organization’s mandate.</w:t>
      </w:r>
    </w:p>
    <w:p w:rsidR="00DA0522" w:rsidRDefault="00DA0522">
      <w:pPr>
        <w:rPr>
          <w:b/>
          <w:iCs/>
        </w:rPr>
      </w:pPr>
    </w:p>
    <w:p w:rsidR="00DA0522" w:rsidRPr="00F14F4E" w:rsidRDefault="00DA0522" w:rsidP="00475AE7">
      <w:pPr>
        <w:keepNext/>
        <w:keepLines/>
        <w:jc w:val="center"/>
        <w:rPr>
          <w:b/>
          <w:iCs/>
        </w:rPr>
      </w:pPr>
      <w:r w:rsidRPr="008869AE">
        <w:rPr>
          <w:b/>
          <w:iCs/>
        </w:rPr>
        <w:t xml:space="preserve">Strategic Goal IX:  Efficient Administrative and Financial Support Structure to </w:t>
      </w:r>
      <w:r>
        <w:rPr>
          <w:b/>
          <w:iCs/>
        </w:rPr>
        <w:t>E</w:t>
      </w:r>
      <w:r w:rsidRPr="008869AE">
        <w:rPr>
          <w:b/>
          <w:iCs/>
        </w:rPr>
        <w:t>nable WIPO to Deliver its Programs</w:t>
      </w:r>
    </w:p>
    <w:p w:rsidR="00DA0522" w:rsidRDefault="00DA0522" w:rsidP="00475AE7">
      <w:pPr>
        <w:keepNext/>
        <w:keepLines/>
        <w:jc w:val="center"/>
        <w:rPr>
          <w:noProof/>
        </w:rPr>
      </w:pPr>
      <w:r>
        <w:rPr>
          <w:noProof/>
        </w:rPr>
        <w:drawing>
          <wp:inline distT="0" distB="0" distL="0" distR="0" wp14:anchorId="51489D68" wp14:editId="69CB8655">
            <wp:extent cx="5006141" cy="2651760"/>
            <wp:effectExtent l="0" t="0" r="4445" b="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006141" cy="2651760"/>
                    </a:xfrm>
                    <a:prstGeom prst="rect">
                      <a:avLst/>
                    </a:prstGeom>
                    <a:noFill/>
                  </pic:spPr>
                </pic:pic>
              </a:graphicData>
            </a:graphic>
          </wp:inline>
        </w:drawing>
      </w:r>
    </w:p>
    <w:p w:rsidR="00DA0522" w:rsidRDefault="00DA0522" w:rsidP="00547ACE">
      <w:pPr>
        <w:rPr>
          <w:noProof/>
        </w:rPr>
      </w:pPr>
    </w:p>
    <w:p w:rsidR="00DA0522" w:rsidRPr="0025268B" w:rsidRDefault="00DA0522" w:rsidP="00475AE7">
      <w:pPr>
        <w:spacing w:after="120"/>
        <w:jc w:val="center"/>
        <w:rPr>
          <w:b/>
          <w:iCs/>
        </w:rPr>
      </w:pPr>
      <w:r>
        <w:rPr>
          <w:b/>
          <w:sz w:val="18"/>
          <w:szCs w:val="18"/>
        </w:rPr>
        <w:t>Summary of Achievements by Expected Results</w:t>
      </w:r>
    </w:p>
    <w:p w:rsidR="00DA0522" w:rsidRDefault="00DA0522" w:rsidP="00547ACE">
      <w:r>
        <w:rPr>
          <w:noProof/>
        </w:rPr>
        <w:drawing>
          <wp:inline distT="0" distB="0" distL="0" distR="0" wp14:anchorId="3FED5427" wp14:editId="0EC23DE1">
            <wp:extent cx="5882805" cy="2743200"/>
            <wp:effectExtent l="0" t="0" r="3810"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882805" cy="2743200"/>
                    </a:xfrm>
                    <a:prstGeom prst="rect">
                      <a:avLst/>
                    </a:prstGeom>
                    <a:noFill/>
                  </pic:spPr>
                </pic:pic>
              </a:graphicData>
            </a:graphic>
          </wp:inline>
        </w:drawing>
      </w:r>
    </w:p>
    <w:p w:rsidR="00DA0522" w:rsidRPr="00812B04" w:rsidRDefault="00DA0522" w:rsidP="00547ACE"/>
    <w:p w:rsidR="00DA0522" w:rsidRPr="009357E8" w:rsidRDefault="00DA0522" w:rsidP="009357E8">
      <w:pPr>
        <w:pStyle w:val="ONUME"/>
        <w:numPr>
          <w:ilvl w:val="0"/>
          <w:numId w:val="92"/>
        </w:numPr>
        <w:jc w:val="both"/>
        <w:rPr>
          <w:lang w:val="en"/>
        </w:rPr>
      </w:pPr>
      <w:r w:rsidRPr="009357E8">
        <w:rPr>
          <w:lang w:val="en"/>
        </w:rPr>
        <w:t>WIPO’s program and financial management continued to be strengthened throughout the biennium in order to utilize resources more effectively as well as to establish best practice in an area of administration, which deals with planning, performance management, facilitation and support for various operational activities across the Organization.</w:t>
      </w:r>
    </w:p>
    <w:p w:rsidR="00DA0522" w:rsidRPr="009357E8" w:rsidRDefault="00DA0522" w:rsidP="009357E8">
      <w:pPr>
        <w:pStyle w:val="ONUME"/>
        <w:numPr>
          <w:ilvl w:val="0"/>
          <w:numId w:val="92"/>
        </w:numPr>
        <w:jc w:val="both"/>
        <w:rPr>
          <w:lang w:val="en"/>
        </w:rPr>
      </w:pPr>
      <w:r w:rsidRPr="009357E8">
        <w:rPr>
          <w:lang w:val="en"/>
        </w:rPr>
        <w:t>Despite continuing economic uncertainties, WIPO closed the year with a positive overall result of 70.3</w:t>
      </w:r>
      <w:r w:rsidR="00475AE7" w:rsidRPr="009357E8">
        <w:rPr>
          <w:lang w:val="en"/>
        </w:rPr>
        <w:t> </w:t>
      </w:r>
      <w:r w:rsidRPr="009357E8">
        <w:rPr>
          <w:lang w:val="en"/>
        </w:rPr>
        <w:t xml:space="preserve">million Swiss francs on an IPSAS basis. </w:t>
      </w:r>
      <w:r w:rsidR="00526527">
        <w:rPr>
          <w:lang w:val="en"/>
        </w:rPr>
        <w:t xml:space="preserve"> </w:t>
      </w:r>
      <w:r w:rsidR="0049737C">
        <w:rPr>
          <w:lang w:val="en"/>
        </w:rPr>
        <w:t>I</w:t>
      </w:r>
      <w:r w:rsidR="00526527">
        <w:rPr>
          <w:lang w:val="en"/>
        </w:rPr>
        <w:t xml:space="preserve">ncome </w:t>
      </w:r>
      <w:r w:rsidR="0049737C">
        <w:rPr>
          <w:lang w:val="en"/>
        </w:rPr>
        <w:t xml:space="preserve">before IPSAS adjustment </w:t>
      </w:r>
      <w:r w:rsidR="00526527">
        <w:rPr>
          <w:lang w:val="en"/>
        </w:rPr>
        <w:t xml:space="preserve">in 2014/15 reached 775.7 million Swiss francs, </w:t>
      </w:r>
      <w:r w:rsidR="009D4F31">
        <w:rPr>
          <w:lang w:val="en"/>
        </w:rPr>
        <w:t xml:space="preserve">i.e. </w:t>
      </w:r>
      <w:r w:rsidR="00526527">
        <w:rPr>
          <w:lang w:val="en"/>
        </w:rPr>
        <w:t>62.4 million Swiss francs</w:t>
      </w:r>
      <w:r w:rsidR="009D4F31">
        <w:rPr>
          <w:lang w:val="en"/>
        </w:rPr>
        <w:t xml:space="preserve"> or</w:t>
      </w:r>
      <w:r w:rsidR="00526527">
        <w:rPr>
          <w:lang w:val="en"/>
        </w:rPr>
        <w:t xml:space="preserve"> 8.8 per cent higher than the 2014/15</w:t>
      </w:r>
      <w:r w:rsidR="009D4F31">
        <w:rPr>
          <w:lang w:val="en"/>
        </w:rPr>
        <w:t> </w:t>
      </w:r>
      <w:r w:rsidR="00526527">
        <w:rPr>
          <w:lang w:val="en"/>
        </w:rPr>
        <w:t>budgeted income.  The 2014/15 bienni</w:t>
      </w:r>
      <w:r w:rsidR="009D4F31">
        <w:rPr>
          <w:lang w:val="en"/>
        </w:rPr>
        <w:t>al</w:t>
      </w:r>
      <w:r w:rsidR="00526527">
        <w:rPr>
          <w:lang w:val="en"/>
        </w:rPr>
        <w:t xml:space="preserve"> expenditure amounted to 642.6 million Swiss francs, i.e. 31.4</w:t>
      </w:r>
      <w:r w:rsidR="009D4F31">
        <w:rPr>
          <w:lang w:val="en"/>
        </w:rPr>
        <w:t> </w:t>
      </w:r>
      <w:r w:rsidR="00526527">
        <w:rPr>
          <w:lang w:val="en"/>
        </w:rPr>
        <w:t>million Swiss francs or 4.7 per cent lower than the 2014/15 approved budget.</w:t>
      </w:r>
    </w:p>
    <w:p w:rsidR="00DA0522" w:rsidRPr="009357E8" w:rsidRDefault="00DA0522" w:rsidP="009357E8">
      <w:pPr>
        <w:pStyle w:val="ONUME"/>
        <w:numPr>
          <w:ilvl w:val="0"/>
          <w:numId w:val="92"/>
        </w:numPr>
        <w:jc w:val="both"/>
        <w:rPr>
          <w:lang w:val="en"/>
        </w:rPr>
      </w:pPr>
      <w:r w:rsidRPr="009357E8">
        <w:rPr>
          <w:lang w:val="en"/>
        </w:rPr>
        <w:lastRenderedPageBreak/>
        <w:t>The comprehensive study of WIPO’s treasury practices and risks, launched in 2013, was completed in spring 2014, resulting in a series of recommendations, including with regard to the practice of hedging as a means to reduce exposure to foreign currency fluctuations in the PCT.</w:t>
      </w:r>
      <w:r w:rsidR="00FB6BCD">
        <w:rPr>
          <w:lang w:val="en"/>
        </w:rPr>
        <w:t xml:space="preserve"> </w:t>
      </w:r>
      <w:r w:rsidRPr="009357E8">
        <w:rPr>
          <w:lang w:val="en"/>
        </w:rPr>
        <w:t xml:space="preserve"> A comprehensive review of the proposed hedging strategy was carried out in 2015 with a final decision taken to build a hedging model, which will simulate the effects of hedging on the results of the 2014/15 biennium and those of the year 2016.  Following extensive research amongst various banks and financial institutions and a study of the many investment policies in operation throughout the UN system, a new investment policy for the Organization was prepared and approved by </w:t>
      </w:r>
      <w:r w:rsidR="00547ACE">
        <w:rPr>
          <w:lang w:val="en"/>
        </w:rPr>
        <w:t>M</w:t>
      </w:r>
      <w:r w:rsidRPr="009357E8">
        <w:rPr>
          <w:lang w:val="en"/>
        </w:rPr>
        <w:t xml:space="preserve">ember States in 2015.  </w:t>
      </w:r>
    </w:p>
    <w:p w:rsidR="00DA0522" w:rsidRPr="009357E8" w:rsidRDefault="00DA0522" w:rsidP="009357E8">
      <w:pPr>
        <w:pStyle w:val="ONUME"/>
        <w:numPr>
          <w:ilvl w:val="0"/>
          <w:numId w:val="92"/>
        </w:numPr>
        <w:jc w:val="both"/>
        <w:rPr>
          <w:lang w:val="en"/>
        </w:rPr>
      </w:pPr>
      <w:r w:rsidRPr="009357E8">
        <w:rPr>
          <w:lang w:val="en"/>
        </w:rPr>
        <w:t>Good progress was made during the biennium with respect to further embedding a results-based culture and strengthening WIPO’s performance management cycle.  The biennial and annual workplanning processes continued to be enhanced.  In 2014, position level planning was introduced, driving linkages between the Programs’ expected results and individual staff objectives closer together, leading to increased transparency and accuracy with regard to personnel resource allocation and utilization.</w:t>
      </w:r>
    </w:p>
    <w:p w:rsidR="00DA0522" w:rsidRPr="009357E8" w:rsidRDefault="00DA0522" w:rsidP="009357E8">
      <w:pPr>
        <w:pStyle w:val="ONUME"/>
        <w:numPr>
          <w:ilvl w:val="0"/>
          <w:numId w:val="92"/>
        </w:numPr>
        <w:jc w:val="both"/>
        <w:rPr>
          <w:lang w:val="en"/>
        </w:rPr>
      </w:pPr>
      <w:r w:rsidRPr="009357E8">
        <w:rPr>
          <w:lang w:val="en"/>
        </w:rPr>
        <w:t>Further integration of the ERP components in 2014/15 also enabled improved reporting capabilities and analytical tools.  For the first time in 2014, the Administrative Integrated Management System (AIMS) financial and the EPM planning systems were integrated, allowing for improved reporting on budget versus actual expenditure from EPM.  In addition, the ERP Human Resources (HR)/Payroll system was brought into operation in January of 2014, and integration with the EPM planning system was completed in April, resulting in significantly enhanced position management capabilities.  The Business Intelligence (BI) module evolved during the biennium, with initial management dashboards having been developed and released to core administrative areas (HRMD, Procurement and Travel, and Program Planning and Finance) in 2014 and released organization wide in 2015.  A Risk Management dashboard was also developed and released in 2015.</w:t>
      </w:r>
    </w:p>
    <w:p w:rsidR="00DA0522" w:rsidRPr="009357E8" w:rsidRDefault="00DA0522" w:rsidP="009357E8">
      <w:pPr>
        <w:pStyle w:val="ONUME"/>
        <w:numPr>
          <w:ilvl w:val="0"/>
          <w:numId w:val="92"/>
        </w:numPr>
        <w:jc w:val="both"/>
        <w:rPr>
          <w:lang w:val="en"/>
        </w:rPr>
      </w:pPr>
      <w:r w:rsidRPr="009357E8">
        <w:rPr>
          <w:lang w:val="en"/>
        </w:rPr>
        <w:t xml:space="preserve">In accordance with the Risk Management Roadmap, a formalized and coherent risk management and internal controls framework for the Organization was developed, including WIPO’s Accountability Framework, WIPO’s Risk Appetite Statement, establishment of the Risk Management Group (RMG), issuance of the Risk Management Policy, and the development of a Risk Management and Internal Controls Manual.  </w:t>
      </w:r>
    </w:p>
    <w:p w:rsidR="00DA0522" w:rsidRPr="009357E8" w:rsidRDefault="00DA0522" w:rsidP="009357E8">
      <w:pPr>
        <w:pStyle w:val="ONUME"/>
        <w:numPr>
          <w:ilvl w:val="0"/>
          <w:numId w:val="92"/>
        </w:numPr>
        <w:jc w:val="both"/>
        <w:rPr>
          <w:lang w:val="en"/>
        </w:rPr>
      </w:pPr>
      <w:r w:rsidRPr="009357E8">
        <w:rPr>
          <w:lang w:val="en"/>
        </w:rPr>
        <w:t>In order to facilitate real-time access to risk and control information, to support proactive risk and control management, as well as to render efficient responses to audit bodies, an Enterprise Risk Management (ERM) tool was implemented in the second half of 2014 and used to support the 2015 workplanning process as well as the 2016/17 Program and Budget process.</w:t>
      </w:r>
    </w:p>
    <w:p w:rsidR="00DA0522" w:rsidRPr="009357E8" w:rsidRDefault="00DA0522" w:rsidP="009357E8">
      <w:pPr>
        <w:pStyle w:val="ONUME"/>
        <w:numPr>
          <w:ilvl w:val="0"/>
          <w:numId w:val="92"/>
        </w:numPr>
        <w:jc w:val="both"/>
        <w:rPr>
          <w:lang w:val="en"/>
        </w:rPr>
      </w:pPr>
      <w:r w:rsidRPr="009357E8">
        <w:rPr>
          <w:lang w:val="en"/>
        </w:rPr>
        <w:t xml:space="preserve">The 2014/15 biennium saw the first biennium of implementation of the Human Resource (HR) Strategy, which was approved by Member States in 2013.  Progress also continued to be made on mainstreaming organizational design and workforce planning as fully integrated key business activities.  Achievements for the biennium included:  (i) increased manager engagement in workforce planning through delivery of introductory workshops as well as development of related guidelines; (ii) development of 2014/15 workforce action plans for each organizational unit to capture key HR-related actions to meet business needs;  (iii) an organization-wide exercise to update all job descriptions, ensuring that they accurately reflect business priorities;  and (iv) a more systematic and closer alignment of job descriptions and annual workplans.  As part of the workforce planning exercise mangers were encouraged to consider the optimal mix of resources to efficiently address their business needs.  </w:t>
      </w:r>
    </w:p>
    <w:p w:rsidR="00DA0522" w:rsidRPr="009357E8" w:rsidRDefault="00DA0522" w:rsidP="009357E8">
      <w:pPr>
        <w:pStyle w:val="ONUME"/>
        <w:numPr>
          <w:ilvl w:val="0"/>
          <w:numId w:val="92"/>
        </w:numPr>
        <w:jc w:val="both"/>
        <w:rPr>
          <w:lang w:val="en"/>
        </w:rPr>
      </w:pPr>
      <w:r w:rsidRPr="009357E8">
        <w:rPr>
          <w:lang w:val="en"/>
        </w:rPr>
        <w:t xml:space="preserve">In 2014, WIPO issued its first Gender Equality Policy, with the twin objectives of mainstreaming the gender perspective in WIPO activities, and a time-specific goal for achieving gender balance at all staffing levels.  While the percentage of women at the P4 level (46.1 per cent) represented a 2.7 percentage point increase over the 2013 baseline, fully achieving the target, gender balance targets remained challenging at the more senior management levels.  New appointments of women at P5 and D1 levels succeeded in avoiding any widening of the gender gap following separations of female staff at these </w:t>
      </w:r>
      <w:proofErr w:type="gramStart"/>
      <w:r w:rsidRPr="009357E8">
        <w:rPr>
          <w:lang w:val="en"/>
        </w:rPr>
        <w:t>levels,</w:t>
      </w:r>
      <w:proofErr w:type="gramEnd"/>
      <w:r w:rsidRPr="009357E8">
        <w:rPr>
          <w:lang w:val="en"/>
        </w:rPr>
        <w:t xml:space="preserve"> however women at the D2 level saw a decrease of 11.1 percentage points, as compared to 2013.  Nevertheless, the</w:t>
      </w:r>
      <w:r w:rsidR="00FB6BCD">
        <w:rPr>
          <w:lang w:val="en"/>
        </w:rPr>
        <w:t>se percentages</w:t>
      </w:r>
      <w:r w:rsidRPr="009357E8">
        <w:rPr>
          <w:lang w:val="en"/>
        </w:rPr>
        <w:t xml:space="preserve"> represented the highest ever in WIPO’s history.  Accordingly, a network of gender focal points covering all WIPO Programs was established, and WIPO joined the Geneva Champions network in its collective commitment to promote women in the workplace.</w:t>
      </w:r>
    </w:p>
    <w:p w:rsidR="00DA0522" w:rsidRPr="009357E8" w:rsidRDefault="00DA0522" w:rsidP="009357E8">
      <w:pPr>
        <w:pStyle w:val="ONUME"/>
        <w:numPr>
          <w:ilvl w:val="0"/>
          <w:numId w:val="92"/>
        </w:numPr>
        <w:jc w:val="both"/>
        <w:rPr>
          <w:lang w:val="en"/>
        </w:rPr>
      </w:pPr>
      <w:r w:rsidRPr="009357E8">
        <w:rPr>
          <w:lang w:val="en"/>
        </w:rPr>
        <w:t xml:space="preserve">The regularization process for long-serving temporary employees (LSTEs) was completed in 2014, with 31 LSTEs regularized in 2014 following a competition.  In addition, 40 fixed term posts were </w:t>
      </w:r>
      <w:r w:rsidRPr="009357E8">
        <w:rPr>
          <w:lang w:val="en"/>
        </w:rPr>
        <w:lastRenderedPageBreak/>
        <w:t xml:space="preserve">advertised for the regularization of continuing functions during the biennium (17 in 2014 and 23 in 2015), 30 of which were completed by the end of 2015.  The biennium continued to witness a significant level of recruitment activity, which resulted in a slower average recruitment time for the biennium of 19.77 weeks, as compared to 16.03 weeks for 2012/13.  For the biennium, there were a total of 255 competitions (183 for fixed-term posts, a 29 per cent increase from 2012/13, and 72 for temporary positions).  In total, some 30,320 applications were received.  Modernization of HRMD systems and processes also continued.  Development of a new integrated recruitment platform (using Taleo) was launched in 2015 and is expected to deliver further efficiencies in recruitment.  </w:t>
      </w:r>
    </w:p>
    <w:p w:rsidR="00DA0522" w:rsidRPr="009357E8" w:rsidRDefault="00DA0522" w:rsidP="009357E8">
      <w:pPr>
        <w:pStyle w:val="ONUME"/>
        <w:numPr>
          <w:ilvl w:val="0"/>
          <w:numId w:val="92"/>
        </w:numPr>
        <w:jc w:val="both"/>
        <w:rPr>
          <w:lang w:val="en"/>
        </w:rPr>
      </w:pPr>
      <w:r w:rsidRPr="009357E8">
        <w:rPr>
          <w:lang w:val="en"/>
        </w:rPr>
        <w:t>In 2014/15, procurement and travel made good progress towards achieving targets through a series of measures with a view to optimizing the cost of WIPO procured goods and services and streamlining its processes, resulting in in overall savings of 3.8 million Swiss francs in 2015 and 2.6</w:t>
      </w:r>
      <w:r w:rsidR="00CC4A4E">
        <w:rPr>
          <w:lang w:val="en"/>
        </w:rPr>
        <w:t> </w:t>
      </w:r>
      <w:r w:rsidRPr="009357E8">
        <w:rPr>
          <w:lang w:val="en"/>
        </w:rPr>
        <w:t>million Swiss francs in 2014.  As regards travel expenditure, the average ticket cost was reduced by 14</w:t>
      </w:r>
      <w:r w:rsidR="00CC4A4E">
        <w:rPr>
          <w:lang w:val="en"/>
        </w:rPr>
        <w:t> </w:t>
      </w:r>
      <w:r w:rsidRPr="009357E8">
        <w:rPr>
          <w:lang w:val="en"/>
        </w:rPr>
        <w:t>per cent in 2015 to 1,484 Swiss francs from 1,728 Swiss francs in 2013, a significant savings over the biennium.  Since the implementation of the new O</w:t>
      </w:r>
      <w:r w:rsidR="006F648A">
        <w:rPr>
          <w:lang w:val="en"/>
        </w:rPr>
        <w:t xml:space="preserve">nline </w:t>
      </w:r>
      <w:r w:rsidRPr="009357E8">
        <w:rPr>
          <w:lang w:val="en"/>
        </w:rPr>
        <w:t>B</w:t>
      </w:r>
      <w:r w:rsidR="006F648A">
        <w:rPr>
          <w:lang w:val="en"/>
        </w:rPr>
        <w:t xml:space="preserve">ookng </w:t>
      </w:r>
      <w:r w:rsidRPr="009357E8">
        <w:rPr>
          <w:lang w:val="en"/>
        </w:rPr>
        <w:t>T</w:t>
      </w:r>
      <w:r w:rsidR="006F648A">
        <w:rPr>
          <w:lang w:val="en"/>
        </w:rPr>
        <w:t>ool</w:t>
      </w:r>
      <w:r w:rsidRPr="009357E8">
        <w:rPr>
          <w:lang w:val="en"/>
        </w:rPr>
        <w:t xml:space="preserve"> </w:t>
      </w:r>
      <w:r w:rsidR="006F648A">
        <w:rPr>
          <w:lang w:val="en"/>
        </w:rPr>
        <w:t xml:space="preserve">(OBT) </w:t>
      </w:r>
      <w:r w:rsidRPr="009357E8">
        <w:rPr>
          <w:lang w:val="en"/>
        </w:rPr>
        <w:t xml:space="preserve">in December 2014, the total average transaction fee also decreased by 20 per cent, despite the increase in the agency fee resulting from a change in the supplier.  It should also be noted that a substantial effort was made to reduce travel expenditure during the </w:t>
      </w:r>
      <w:proofErr w:type="gramStart"/>
      <w:r w:rsidRPr="009357E8">
        <w:rPr>
          <w:lang w:val="en"/>
        </w:rPr>
        <w:t>biennium,</w:t>
      </w:r>
      <w:proofErr w:type="gramEnd"/>
      <w:r w:rsidRPr="009357E8">
        <w:rPr>
          <w:lang w:val="en"/>
        </w:rPr>
        <w:t xml:space="preserve"> leading to a decrease in both the number of tickets issued and the number of late travel submissions.  Through close monitoring of the administrative process, the average lead time to process purchase requisitions was reduced by half over the last five years, resulting in greater efficiency and more agility in procuring goods and services.  It should also be noted that the percentage of locally sourced goods and services for development activities increased to 57 per cent in 2015, a </w:t>
      </w:r>
      <w:r w:rsidR="006F648A">
        <w:rPr>
          <w:lang w:val="en"/>
        </w:rPr>
        <w:t>nine</w:t>
      </w:r>
      <w:r w:rsidRPr="009357E8">
        <w:rPr>
          <w:lang w:val="en"/>
        </w:rPr>
        <w:t xml:space="preserve"> per cent increase over 2013 and a 12 per cent increase over 2014.</w:t>
      </w:r>
    </w:p>
    <w:p w:rsidR="00DA0522" w:rsidRPr="009357E8" w:rsidRDefault="00DA0522" w:rsidP="009357E8">
      <w:pPr>
        <w:pStyle w:val="ONUME"/>
        <w:numPr>
          <w:ilvl w:val="0"/>
          <w:numId w:val="92"/>
        </w:numPr>
        <w:jc w:val="both"/>
        <w:rPr>
          <w:lang w:val="en"/>
        </w:rPr>
      </w:pPr>
      <w:r w:rsidRPr="009357E8">
        <w:rPr>
          <w:lang w:val="en"/>
        </w:rPr>
        <w:t>As regards ICT enhancements, specific accomplishments in 2014/15 included:  a review of service contracts and operational processes to ensure more cost-effective operations, which resulted in savings of approximately 460,000 Swiss francs as compared to 2013;  the successful establishment and testing of a high level ICT disaster recovery capability to support the PCT System;  completion of the ICT infrastructure for the new WIPO Conference Hall in time for its opening for the twenty-second session of the PBC and the fifty-fourth series of meetings of the WIPO Assemblies;  a new Global Office Architecture (GOA) solution for WIPO’s EOs to provide secure connectivity to all of WIPO’s administrative IT systems hosted at headquarters, together with centralized and consistent IT services;  the establishment of Service Delivery Agreements (SDAs) to explicitly capture the ICT needs for the specific business areas and also to enable more systematic tracking and monitoring;  and the implementation of an advanced fax system to seamlessly integrate with computer systems for Madrid, as well as internal administrative systems, resulting in greater efficiency and significantly reducing fax error rates.</w:t>
      </w:r>
    </w:p>
    <w:p w:rsidR="00DA0522" w:rsidRPr="009357E8" w:rsidRDefault="00DA0522" w:rsidP="009357E8">
      <w:pPr>
        <w:pStyle w:val="ONUME"/>
        <w:numPr>
          <w:ilvl w:val="0"/>
          <w:numId w:val="92"/>
        </w:numPr>
        <w:jc w:val="both"/>
        <w:rPr>
          <w:lang w:val="en"/>
        </w:rPr>
      </w:pPr>
      <w:r w:rsidRPr="009357E8">
        <w:rPr>
          <w:lang w:val="en"/>
        </w:rPr>
        <w:t xml:space="preserve">In the field of information assurance, as part of the continuous improvement process promoted by the ISO 27001 Standard, in October 2014, the PCT underwent the second round of external surveillance audits for the ISO 27001 certification, and at the same time </w:t>
      </w:r>
      <w:proofErr w:type="gramStart"/>
      <w:r w:rsidRPr="009357E8">
        <w:rPr>
          <w:lang w:val="en"/>
        </w:rPr>
        <w:t>migrated</w:t>
      </w:r>
      <w:proofErr w:type="gramEnd"/>
      <w:r w:rsidRPr="009357E8">
        <w:rPr>
          <w:lang w:val="en"/>
        </w:rPr>
        <w:t xml:space="preserve"> the certification from the 2005 version to the latest ISO 27001:2013.  In October 2015, the certification was expanded to include both the Madrid and </w:t>
      </w:r>
      <w:proofErr w:type="gramStart"/>
      <w:r w:rsidRPr="009357E8">
        <w:rPr>
          <w:lang w:val="en"/>
        </w:rPr>
        <w:t>the</w:t>
      </w:r>
      <w:proofErr w:type="gramEnd"/>
      <w:r w:rsidRPr="009357E8">
        <w:rPr>
          <w:lang w:val="en"/>
        </w:rPr>
        <w:t xml:space="preserve"> Hague operations, in addition to PCT.  Simulated phishing campaigns, first launched in 2014, continued to raise user awareness of information security threats, as evidenced by a sharp increase in users reporting phishing (from one per cent in 2014 to 59 per cent in 2015), as well as a </w:t>
      </w:r>
      <w:r w:rsidR="007E4C83">
        <w:rPr>
          <w:lang w:val="en"/>
        </w:rPr>
        <w:t>10 </w:t>
      </w:r>
      <w:r w:rsidRPr="009357E8">
        <w:rPr>
          <w:lang w:val="en"/>
        </w:rPr>
        <w:t>per cent decline in users that fell for phishing campaigns (from an average of 17 per cent in 2014 to an average of seven per cent in 2015).</w:t>
      </w:r>
    </w:p>
    <w:p w:rsidR="00DA0522" w:rsidRPr="009357E8" w:rsidRDefault="00DA0522" w:rsidP="009357E8">
      <w:pPr>
        <w:pStyle w:val="ONUME"/>
        <w:numPr>
          <w:ilvl w:val="0"/>
          <w:numId w:val="92"/>
        </w:numPr>
        <w:jc w:val="both"/>
        <w:rPr>
          <w:lang w:val="en"/>
        </w:rPr>
      </w:pPr>
      <w:r w:rsidRPr="009357E8">
        <w:rPr>
          <w:lang w:val="en"/>
        </w:rPr>
        <w:t>The WIPO Language Policy continued to be effectively implemented by extending the six language coverage to Working Groups in a phased and cost-effective approach.  According to the timeline set by Member States, coverage was extended in 2014/15 to:  (i) the PCT Working Group</w:t>
      </w:r>
      <w:proofErr w:type="gramStart"/>
      <w:r w:rsidRPr="009357E8">
        <w:rPr>
          <w:lang w:val="en"/>
        </w:rPr>
        <w:t>;  (</w:t>
      </w:r>
      <w:proofErr w:type="gramEnd"/>
      <w:r w:rsidRPr="009357E8">
        <w:rPr>
          <w:lang w:val="en"/>
        </w:rPr>
        <w:t xml:space="preserve">ii) the Working Group on the Legal Development of the Hague System for the International Registration of Industrial Designs;  (iii) the Working Group on the Legal Development of the Madrid System for the International Registration of Marks;  and (iv) the IPC Revision Working Group. </w:t>
      </w:r>
    </w:p>
    <w:p w:rsidR="00DA0522" w:rsidRPr="009357E8" w:rsidRDefault="00DA0522" w:rsidP="009357E8">
      <w:pPr>
        <w:pStyle w:val="ONUME"/>
        <w:numPr>
          <w:ilvl w:val="0"/>
          <w:numId w:val="92"/>
        </w:numPr>
        <w:jc w:val="both"/>
        <w:rPr>
          <w:lang w:val="en"/>
        </w:rPr>
      </w:pPr>
      <w:r w:rsidRPr="009357E8">
        <w:rPr>
          <w:lang w:val="en"/>
        </w:rPr>
        <w:t xml:space="preserve">A key achievement in 2014/15 was the inauguration of the new WIPO Conference Hall.  The New Conference Hall Project was delivered in several stages, with various technical and system tests carried out in parallel, area by area.  The new Access Center was delivered in July 2014; the exterior landscaping between the New Building, the new WIPO Conference Hall and the AB Building was delivered at the end of August 2014; the new WIPO Conference Hall per se was delivered at the end of August and was available for the holding of the PBC session from September 1 to 5, 2014; the entirety of the new and renovated construction was completed in September 2014 in the new WIPO Conference Hall and three floors of the AB Building, and made available for the session of the WIPO Assemblies from September 22 </w:t>
      </w:r>
      <w:r w:rsidRPr="009357E8">
        <w:rPr>
          <w:lang w:val="en"/>
        </w:rPr>
        <w:lastRenderedPageBreak/>
        <w:t>to 30, 2014, which included the inauguration of the new WIPO Conference Hall on the opening day in the presence of WIPO Member States and observers, officials from the Host Country (federal, cantonal and municipal levels), representatives from other UN Agencies, and from the 70-odd companies and firms that had contributed to the construction and completion of the Project.  A number of elements of the exterior landscaping were dealt with in the course of 2015.  The Project was completed on time for the WIPO Assemblies, even though it was delayed from April 2014 to September 2014, in view of the complexity of the worksite, in particular in the last few months.</w:t>
      </w:r>
    </w:p>
    <w:p w:rsidR="00DA0522" w:rsidRDefault="00DA0522" w:rsidP="009357E8">
      <w:pPr>
        <w:pStyle w:val="ONUME"/>
        <w:numPr>
          <w:ilvl w:val="0"/>
          <w:numId w:val="92"/>
        </w:numPr>
        <w:jc w:val="both"/>
        <w:rPr>
          <w:bCs/>
        </w:rPr>
      </w:pPr>
      <w:r w:rsidRPr="009357E8">
        <w:rPr>
          <w:lang w:val="en"/>
        </w:rPr>
        <w:t>The biennium 2014/15 also saw the finalization and advancement of a number of important safety and security achievements, notably the opening of the new WIPO Access Center (AB reception) and the Security Coordination Operations Center (SCOC), in time to successfully support the twenty-second session of the PBC and the WIPO Assemblies in 2014 as well as over 200 conferences and events in 2015 attended by staff, delegates, visitors, and the public.  In addition, the Headquarters Minimum Operating Security Standards (H-MOSS) project was completed in 2015, resulting in enhancements that significantly st</w:t>
      </w:r>
      <w:r w:rsidRPr="006954C4">
        <w:rPr>
          <w:bCs/>
        </w:rPr>
        <w:t>rengthened safety and security management throughout the WIPO campus</w:t>
      </w:r>
      <w:r>
        <w:rPr>
          <w:bCs/>
        </w:rPr>
        <w:t xml:space="preserve">. </w:t>
      </w:r>
    </w:p>
    <w:p w:rsidR="00874089" w:rsidRDefault="00874089" w:rsidP="00CE4C9D">
      <w:pPr>
        <w:jc w:val="both"/>
      </w:pPr>
    </w:p>
    <w:p w:rsidR="006221E7" w:rsidRPr="007343FE" w:rsidRDefault="006221E7" w:rsidP="00E63AD9">
      <w:pPr>
        <w:pStyle w:val="Heading1"/>
        <w:tabs>
          <w:tab w:val="clear" w:pos="284"/>
          <w:tab w:val="left" w:pos="709"/>
        </w:tabs>
        <w:spacing w:before="0" w:after="0"/>
        <w:ind w:left="142" w:firstLine="0"/>
        <w:jc w:val="left"/>
      </w:pPr>
      <w:bookmarkStart w:id="11" w:name="_Toc392610022"/>
      <w:bookmarkStart w:id="12" w:name="_Toc454544457"/>
      <w:r w:rsidRPr="007343FE">
        <w:t>CONSOLIDATED BU</w:t>
      </w:r>
      <w:r>
        <w:t>DGET AND ACTUAL EXPENDITURE 2014</w:t>
      </w:r>
      <w:r w:rsidRPr="007343FE">
        <w:t>/1</w:t>
      </w:r>
      <w:bookmarkEnd w:id="11"/>
      <w:r>
        <w:t>5</w:t>
      </w:r>
      <w:bookmarkEnd w:id="12"/>
    </w:p>
    <w:p w:rsidR="008F457D" w:rsidRDefault="008F457D" w:rsidP="008F457D">
      <w:pPr>
        <w:keepNext/>
        <w:widowControl w:val="0"/>
        <w:rPr>
          <w:rFonts w:cs="Arial"/>
          <w:u w:val="single"/>
        </w:rPr>
      </w:pPr>
    </w:p>
    <w:p w:rsidR="008F457D" w:rsidRPr="00005166" w:rsidRDefault="008F457D" w:rsidP="008F457D">
      <w:pPr>
        <w:keepNext/>
        <w:widowControl w:val="0"/>
        <w:rPr>
          <w:rFonts w:cs="Arial"/>
          <w:u w:val="single"/>
        </w:rPr>
      </w:pPr>
    </w:p>
    <w:p w:rsidR="008F457D" w:rsidRPr="008F457D" w:rsidRDefault="008F457D" w:rsidP="008F457D">
      <w:pPr>
        <w:jc w:val="center"/>
        <w:rPr>
          <w:rFonts w:cs="Arial"/>
          <w:b/>
          <w:sz w:val="18"/>
          <w:szCs w:val="16"/>
        </w:rPr>
      </w:pPr>
      <w:r w:rsidRPr="008F457D">
        <w:rPr>
          <w:rFonts w:cs="Arial"/>
          <w:b/>
          <w:sz w:val="18"/>
          <w:szCs w:val="16"/>
        </w:rPr>
        <w:t xml:space="preserve">Table 1: </w:t>
      </w:r>
      <w:r>
        <w:rPr>
          <w:rFonts w:cs="Arial"/>
          <w:b/>
          <w:sz w:val="18"/>
          <w:szCs w:val="16"/>
        </w:rPr>
        <w:t xml:space="preserve"> </w:t>
      </w:r>
      <w:r w:rsidRPr="008F457D">
        <w:rPr>
          <w:rFonts w:cs="Arial"/>
          <w:b/>
          <w:sz w:val="18"/>
          <w:szCs w:val="16"/>
        </w:rPr>
        <w:t>2014/15 Summary by Program</w:t>
      </w:r>
    </w:p>
    <w:p w:rsidR="008F457D" w:rsidRPr="008F457D" w:rsidRDefault="008F457D" w:rsidP="008F457D">
      <w:pPr>
        <w:jc w:val="center"/>
        <w:rPr>
          <w:rFonts w:cs="Arial"/>
          <w:i/>
          <w:sz w:val="18"/>
          <w:szCs w:val="16"/>
        </w:rPr>
      </w:pPr>
      <w:r w:rsidRPr="008F457D">
        <w:rPr>
          <w:rFonts w:cs="Arial"/>
          <w:i/>
          <w:sz w:val="18"/>
          <w:szCs w:val="16"/>
        </w:rPr>
        <w:t>(</w:t>
      </w:r>
      <w:proofErr w:type="gramStart"/>
      <w:r w:rsidRPr="008F457D">
        <w:rPr>
          <w:rFonts w:cs="Arial"/>
          <w:i/>
          <w:sz w:val="18"/>
          <w:szCs w:val="16"/>
        </w:rPr>
        <w:t>in</w:t>
      </w:r>
      <w:proofErr w:type="gramEnd"/>
      <w:r w:rsidRPr="008F457D">
        <w:rPr>
          <w:rFonts w:cs="Arial"/>
          <w:i/>
          <w:sz w:val="18"/>
          <w:szCs w:val="16"/>
        </w:rPr>
        <w:t xml:space="preserve"> thousands of Swiss francs)</w:t>
      </w:r>
    </w:p>
    <w:p w:rsidR="008F457D" w:rsidRDefault="008F457D" w:rsidP="008F457D">
      <w:pPr>
        <w:jc w:val="center"/>
        <w:rPr>
          <w:rFonts w:cs="Arial"/>
          <w:i/>
          <w:sz w:val="18"/>
          <w:szCs w:val="18"/>
        </w:rPr>
      </w:pPr>
    </w:p>
    <w:p w:rsidR="008F457D" w:rsidRDefault="008F457D" w:rsidP="008F457D">
      <w:pPr>
        <w:jc w:val="center"/>
      </w:pPr>
      <w:r w:rsidRPr="002668E7">
        <w:rPr>
          <w:noProof/>
        </w:rPr>
        <w:drawing>
          <wp:inline distT="0" distB="0" distL="0" distR="0" wp14:anchorId="4CCC8ED2" wp14:editId="5E8FDCF6">
            <wp:extent cx="5761355" cy="5647124"/>
            <wp:effectExtent l="0" t="0" r="0" b="0"/>
            <wp:docPr id="842" name="Picture 8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761355" cy="5647124"/>
                    </a:xfrm>
                    <a:prstGeom prst="rect">
                      <a:avLst/>
                    </a:prstGeom>
                    <a:noFill/>
                    <a:ln>
                      <a:noFill/>
                    </a:ln>
                  </pic:spPr>
                </pic:pic>
              </a:graphicData>
            </a:graphic>
          </wp:inline>
        </w:drawing>
      </w:r>
    </w:p>
    <w:p w:rsidR="008F457D" w:rsidRDefault="008F457D" w:rsidP="008F457D">
      <w:pPr>
        <w:rPr>
          <w:rFonts w:cs="Arial"/>
          <w:b/>
          <w:sz w:val="18"/>
          <w:szCs w:val="18"/>
        </w:rPr>
      </w:pPr>
    </w:p>
    <w:p w:rsidR="008F457D" w:rsidRDefault="008F457D" w:rsidP="008F457D"/>
    <w:p w:rsidR="008F457D" w:rsidRDefault="008F457D" w:rsidP="008F457D"/>
    <w:p w:rsidR="00E63AD9" w:rsidRDefault="00E63AD9" w:rsidP="008F457D">
      <w:pPr>
        <w:jc w:val="center"/>
        <w:rPr>
          <w:rFonts w:cs="Arial"/>
          <w:b/>
          <w:sz w:val="18"/>
          <w:szCs w:val="18"/>
        </w:rPr>
      </w:pPr>
      <w:r>
        <w:rPr>
          <w:rFonts w:cs="Arial"/>
          <w:b/>
          <w:sz w:val="18"/>
          <w:szCs w:val="18"/>
        </w:rPr>
        <w:br w:type="page"/>
      </w:r>
    </w:p>
    <w:p w:rsidR="00E63AD9" w:rsidRPr="008F457D" w:rsidRDefault="008F457D" w:rsidP="00E3403E">
      <w:pPr>
        <w:jc w:val="center"/>
        <w:rPr>
          <w:rFonts w:cs="Arial"/>
          <w:b/>
          <w:sz w:val="18"/>
          <w:szCs w:val="16"/>
        </w:rPr>
      </w:pPr>
      <w:r>
        <w:rPr>
          <w:rFonts w:cs="Arial"/>
          <w:b/>
          <w:sz w:val="18"/>
          <w:szCs w:val="16"/>
        </w:rPr>
        <w:lastRenderedPageBreak/>
        <w:t>Table 2:</w:t>
      </w:r>
      <w:r w:rsidR="00E63AD9" w:rsidRPr="008F457D">
        <w:rPr>
          <w:rFonts w:cs="Arial"/>
          <w:b/>
          <w:sz w:val="18"/>
          <w:szCs w:val="16"/>
        </w:rPr>
        <w:t xml:space="preserve"> </w:t>
      </w:r>
      <w:r>
        <w:rPr>
          <w:rFonts w:cs="Arial"/>
          <w:b/>
          <w:sz w:val="18"/>
          <w:szCs w:val="16"/>
        </w:rPr>
        <w:t xml:space="preserve"> </w:t>
      </w:r>
      <w:r w:rsidR="00E63AD9" w:rsidRPr="008F457D">
        <w:rPr>
          <w:rFonts w:cs="Arial"/>
          <w:b/>
          <w:sz w:val="18"/>
          <w:szCs w:val="16"/>
        </w:rPr>
        <w:t xml:space="preserve">2014/15 Summary by Expected Result </w:t>
      </w:r>
    </w:p>
    <w:p w:rsidR="00E63AD9" w:rsidRDefault="00E63AD9" w:rsidP="00E3403E">
      <w:pPr>
        <w:jc w:val="center"/>
        <w:rPr>
          <w:rFonts w:cs="Arial"/>
          <w:i/>
          <w:sz w:val="18"/>
          <w:szCs w:val="16"/>
        </w:rPr>
      </w:pPr>
      <w:r w:rsidRPr="008F457D">
        <w:rPr>
          <w:rFonts w:cs="Arial"/>
          <w:i/>
          <w:sz w:val="18"/>
          <w:szCs w:val="16"/>
        </w:rPr>
        <w:t>(</w:t>
      </w:r>
      <w:proofErr w:type="gramStart"/>
      <w:r w:rsidRPr="008F457D">
        <w:rPr>
          <w:rFonts w:cs="Arial"/>
          <w:i/>
          <w:sz w:val="18"/>
          <w:szCs w:val="16"/>
        </w:rPr>
        <w:t>in</w:t>
      </w:r>
      <w:proofErr w:type="gramEnd"/>
      <w:r w:rsidRPr="008F457D">
        <w:rPr>
          <w:rFonts w:cs="Arial"/>
          <w:i/>
          <w:sz w:val="18"/>
          <w:szCs w:val="16"/>
        </w:rPr>
        <w:t xml:space="preserve"> thousands of Swiss francs)</w:t>
      </w:r>
    </w:p>
    <w:p w:rsidR="005B23C5" w:rsidRPr="005B23C5" w:rsidRDefault="005B23C5" w:rsidP="00E3403E">
      <w:pPr>
        <w:jc w:val="center"/>
        <w:rPr>
          <w:rFonts w:cs="Arial"/>
          <w:i/>
          <w:sz w:val="16"/>
          <w:szCs w:val="16"/>
        </w:rPr>
      </w:pPr>
    </w:p>
    <w:p w:rsidR="00E63AD9" w:rsidRDefault="00E91DAC" w:rsidP="00BA6F3B">
      <w:pPr>
        <w:jc w:val="center"/>
        <w:rPr>
          <w:rFonts w:cs="Arial"/>
          <w:i/>
          <w:sz w:val="18"/>
          <w:szCs w:val="18"/>
        </w:rPr>
      </w:pPr>
      <w:r w:rsidRPr="00E91DAC">
        <w:rPr>
          <w:noProof/>
        </w:rPr>
        <w:drawing>
          <wp:inline distT="0" distB="0" distL="0" distR="0" wp14:anchorId="501CBEEE" wp14:editId="79D58A12">
            <wp:extent cx="4662792" cy="8543499"/>
            <wp:effectExtent l="0" t="0" r="5080" b="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666288" cy="8549905"/>
                    </a:xfrm>
                    <a:prstGeom prst="rect">
                      <a:avLst/>
                    </a:prstGeom>
                    <a:noFill/>
                    <a:ln>
                      <a:noFill/>
                    </a:ln>
                  </pic:spPr>
                </pic:pic>
              </a:graphicData>
            </a:graphic>
          </wp:inline>
        </w:drawing>
      </w:r>
    </w:p>
    <w:p w:rsidR="008F457D" w:rsidRDefault="008F457D" w:rsidP="00BA6F3B">
      <w:pPr>
        <w:jc w:val="center"/>
        <w:rPr>
          <w:rFonts w:cs="Arial"/>
          <w:i/>
          <w:sz w:val="18"/>
          <w:szCs w:val="18"/>
        </w:rPr>
      </w:pPr>
      <w:r>
        <w:rPr>
          <w:rFonts w:cs="Arial"/>
          <w:i/>
          <w:sz w:val="18"/>
          <w:szCs w:val="18"/>
        </w:rPr>
        <w:br w:type="page"/>
      </w:r>
    </w:p>
    <w:p w:rsidR="0075764F" w:rsidRDefault="006221E7" w:rsidP="008F457D">
      <w:pPr>
        <w:pStyle w:val="Heading1"/>
        <w:tabs>
          <w:tab w:val="clear" w:pos="284"/>
          <w:tab w:val="left" w:pos="709"/>
        </w:tabs>
        <w:spacing w:before="0" w:after="0"/>
        <w:ind w:left="142" w:hanging="142"/>
        <w:jc w:val="left"/>
      </w:pPr>
      <w:bookmarkStart w:id="13" w:name="_Toc392610023"/>
      <w:bookmarkStart w:id="14" w:name="_Toc454544458"/>
      <w:r w:rsidRPr="007343FE">
        <w:lastRenderedPageBreak/>
        <w:t xml:space="preserve">REPORT </w:t>
      </w:r>
      <w:r>
        <w:t>ON DEVELOPMENT EXPENDITURES 2014</w:t>
      </w:r>
      <w:r w:rsidRPr="007343FE">
        <w:t>/1</w:t>
      </w:r>
      <w:bookmarkEnd w:id="13"/>
      <w:r>
        <w:t>5</w:t>
      </w:r>
      <w:bookmarkEnd w:id="14"/>
    </w:p>
    <w:p w:rsidR="0075764F" w:rsidRDefault="0075764F" w:rsidP="006221E7">
      <w:pPr>
        <w:jc w:val="both"/>
      </w:pPr>
    </w:p>
    <w:p w:rsidR="00AF64A5" w:rsidRDefault="00AF64A5" w:rsidP="006221E7">
      <w:pPr>
        <w:jc w:val="both"/>
      </w:pPr>
    </w:p>
    <w:p w:rsidR="00E63AD9" w:rsidRPr="00BD1C68" w:rsidRDefault="00E63AD9" w:rsidP="00E63AD9">
      <w:pPr>
        <w:pStyle w:val="ONUME"/>
        <w:numPr>
          <w:ilvl w:val="0"/>
          <w:numId w:val="92"/>
        </w:numPr>
        <w:jc w:val="both"/>
        <w:rPr>
          <w:rFonts w:eastAsia="MS Mincho"/>
          <w:lang w:eastAsia="ja-JP" w:bidi="th-TH"/>
        </w:rPr>
      </w:pPr>
      <w:r>
        <w:rPr>
          <w:lang w:val="en"/>
        </w:rPr>
        <w:t>The Program and Budget 2014/15</w:t>
      </w:r>
      <w:r w:rsidRPr="00035F86">
        <w:rPr>
          <w:lang w:val="en"/>
        </w:rPr>
        <w:t xml:space="preserve"> </w:t>
      </w:r>
      <w:r w:rsidRPr="00AC1B53">
        <w:rPr>
          <w:lang w:val="en"/>
        </w:rPr>
        <w:t xml:space="preserve">(Table </w:t>
      </w:r>
      <w:r>
        <w:rPr>
          <w:lang w:val="en"/>
        </w:rPr>
        <w:t>6</w:t>
      </w:r>
      <w:r w:rsidRPr="00035F86">
        <w:rPr>
          <w:lang w:val="en"/>
        </w:rPr>
        <w:t>) provided</w:t>
      </w:r>
      <w:r>
        <w:rPr>
          <w:lang w:val="en"/>
        </w:rPr>
        <w:t xml:space="preserve"> an estimate of </w:t>
      </w:r>
      <w:r>
        <w:rPr>
          <w:rFonts w:eastAsia="MS Mincho"/>
          <w:lang w:eastAsia="ja-JP" w:bidi="th-TH"/>
        </w:rPr>
        <w:t>development expenditure for the biennium 2014/15 by Program (Program and Budget 2014/15 Table 6) and by Expected Result (Results Framework table on page 14 (English version) in the Program and Budget 2014/15).  In 2014/15, expenditure is qualified as development expenditure, only where the beneficiary is a developing country and the equivalent expenditure is not available for developed countries.  These amounts exclude foregone revenues resulting from the fee reductions accorded under the international registration systems for applicants from developing countries</w:t>
      </w:r>
      <w:r>
        <w:rPr>
          <w:rStyle w:val="FootnoteReference"/>
          <w:rFonts w:eastAsia="MS Mincho"/>
          <w:lang w:eastAsia="ja-JP" w:bidi="th-TH"/>
        </w:rPr>
        <w:footnoteReference w:id="7"/>
      </w:r>
      <w:r>
        <w:rPr>
          <w:rFonts w:eastAsia="MS Mincho"/>
          <w:lang w:eastAsia="ja-JP" w:bidi="th-TH"/>
        </w:rPr>
        <w:t xml:space="preserve">.  </w:t>
      </w:r>
      <w:r>
        <w:t xml:space="preserve">This Report provides an overview of actual development expenditure in the biennium 2014/15.  </w:t>
      </w:r>
    </w:p>
    <w:p w:rsidR="00E63AD9" w:rsidRDefault="00E63AD9" w:rsidP="00E63AD9">
      <w:pPr>
        <w:pStyle w:val="ONUME"/>
        <w:numPr>
          <w:ilvl w:val="0"/>
          <w:numId w:val="92"/>
        </w:numPr>
        <w:jc w:val="both"/>
      </w:pPr>
      <w:r>
        <w:t xml:space="preserve">It is recalled that a comprehensive estimation of development expenditure was introduced for the first time in the revised Program and Budget 2008/09.  The 2010/11 methodology was, as in 2008/09, based on high level estimations at the Program level.  In 2012/13, the approach was significantly refined using a detailed bottom-up activity-level approach.  This revised approach, complemented by the establishment of development expenditure tracking mechanisms through the ERP, has led to more refined reporting on development expenditure.  </w:t>
      </w:r>
      <w:r w:rsidRPr="00E826B4">
        <w:t>The methodology applied to estimate the development share of the budget for 2014/15</w:t>
      </w:r>
      <w:r>
        <w:t xml:space="preserve"> was</w:t>
      </w:r>
      <w:r w:rsidRPr="00E826B4">
        <w:t xml:space="preserve"> fully in line and consistent with the methodology adopted in 2012/13. </w:t>
      </w:r>
      <w:r>
        <w:t xml:space="preserve"> This mechanism was further refined for the biennium 2014/15 with the introduction of </w:t>
      </w:r>
      <w:r>
        <w:rPr>
          <w:lang w:eastAsia="ko-KR"/>
        </w:rPr>
        <w:t>a more accurate methodology for allocation of personnel resources at the activity level</w:t>
      </w:r>
      <w:r>
        <w:t xml:space="preserve">.  </w:t>
      </w:r>
      <w:r w:rsidRPr="00E826B4">
        <w:t>The estimated development</w:t>
      </w:r>
      <w:r>
        <w:t xml:space="preserve"> </w:t>
      </w:r>
      <w:r w:rsidRPr="00E826B4">
        <w:t>expenditure in 2014/15</w:t>
      </w:r>
      <w:r>
        <w:t> </w:t>
      </w:r>
      <w:r w:rsidRPr="00E826B4">
        <w:t xml:space="preserve">by Program </w:t>
      </w:r>
      <w:r>
        <w:t>was thus</w:t>
      </w:r>
      <w:r w:rsidRPr="00E826B4">
        <w:t xml:space="preserve"> compiled by applying the above development</w:t>
      </w:r>
      <w:r>
        <w:t xml:space="preserve"> </w:t>
      </w:r>
      <w:r w:rsidRPr="00E826B4">
        <w:t>expenditure definition to Program activities in close consultation with Program Managers.</w:t>
      </w:r>
      <w:r>
        <w:t xml:space="preserve">  </w:t>
      </w:r>
    </w:p>
    <w:p w:rsidR="00E63AD9" w:rsidRDefault="00E63AD9" w:rsidP="00E63AD9">
      <w:pPr>
        <w:pStyle w:val="ONUME"/>
        <w:numPr>
          <w:ilvl w:val="0"/>
          <w:numId w:val="92"/>
        </w:numPr>
        <w:jc w:val="both"/>
      </w:pPr>
      <w:r w:rsidRPr="00D82368">
        <w:t>Tables 3 and 4</w:t>
      </w:r>
      <w:r>
        <w:t xml:space="preserve"> below provide an overview of the estimated development expenditure by Program and by Expected Result, based on the Final Budget after Transfers and actual expenditure in 2014/15.  For further information on the development-related results achieved and </w:t>
      </w:r>
      <w:r>
        <w:rPr>
          <w:lang w:val="en"/>
        </w:rPr>
        <w:t>on budget utilization</w:t>
      </w:r>
      <w:r w:rsidRPr="00E00AC2">
        <w:t xml:space="preserve"> </w:t>
      </w:r>
      <w:r>
        <w:t>in the biennium, please refer to the individual Program performance assessments in this report.</w:t>
      </w:r>
    </w:p>
    <w:p w:rsidR="00E63AD9" w:rsidRDefault="00E63AD9" w:rsidP="00E63AD9">
      <w:pPr>
        <w:pStyle w:val="ONUME"/>
        <w:numPr>
          <w:ilvl w:val="0"/>
          <w:numId w:val="92"/>
        </w:numPr>
        <w:jc w:val="both"/>
      </w:pPr>
      <w:r>
        <w:t xml:space="preserve">Explanations of differences between the Approved Budget, the Final Budget after Transfers and actual expenditure in the biennium 2014/15 are contained within the Resource Utilization commentaries under each Program.     </w:t>
      </w:r>
    </w:p>
    <w:p w:rsidR="00E63AD9" w:rsidRDefault="00E63AD9" w:rsidP="00E3403E">
      <w:pPr>
        <w:jc w:val="center"/>
        <w:rPr>
          <w:rFonts w:cs="Arial"/>
          <w:b/>
          <w:sz w:val="18"/>
          <w:szCs w:val="18"/>
        </w:rPr>
      </w:pPr>
      <w:r>
        <w:rPr>
          <w:rFonts w:cs="Arial"/>
          <w:b/>
          <w:sz w:val="18"/>
          <w:szCs w:val="18"/>
        </w:rPr>
        <w:t>Table 3:</w:t>
      </w:r>
      <w:r w:rsidRPr="00F15271">
        <w:rPr>
          <w:rFonts w:cs="Arial"/>
          <w:b/>
          <w:sz w:val="18"/>
          <w:szCs w:val="18"/>
        </w:rPr>
        <w:t xml:space="preserve"> </w:t>
      </w:r>
      <w:r>
        <w:rPr>
          <w:rFonts w:cs="Arial"/>
          <w:b/>
          <w:sz w:val="18"/>
          <w:szCs w:val="18"/>
        </w:rPr>
        <w:t xml:space="preserve"> </w:t>
      </w:r>
      <w:r w:rsidRPr="00F15271">
        <w:rPr>
          <w:rFonts w:cs="Arial"/>
          <w:b/>
          <w:sz w:val="18"/>
          <w:szCs w:val="18"/>
        </w:rPr>
        <w:t>2014/15 Development Expenditure by Program</w:t>
      </w:r>
    </w:p>
    <w:p w:rsidR="00E63AD9" w:rsidRDefault="00E63AD9" w:rsidP="00E3403E">
      <w:pPr>
        <w:jc w:val="center"/>
        <w:rPr>
          <w:rFonts w:cs="Arial"/>
          <w:i/>
          <w:sz w:val="18"/>
          <w:szCs w:val="18"/>
        </w:rPr>
      </w:pPr>
      <w:r w:rsidRPr="00FD13E8">
        <w:rPr>
          <w:rFonts w:cs="Arial"/>
          <w:i/>
          <w:sz w:val="18"/>
          <w:szCs w:val="18"/>
        </w:rPr>
        <w:t>(</w:t>
      </w:r>
      <w:proofErr w:type="gramStart"/>
      <w:r w:rsidRPr="00FD13E8">
        <w:rPr>
          <w:rFonts w:cs="Arial"/>
          <w:i/>
          <w:sz w:val="18"/>
          <w:szCs w:val="18"/>
        </w:rPr>
        <w:t>in</w:t>
      </w:r>
      <w:proofErr w:type="gramEnd"/>
      <w:r w:rsidRPr="00FD13E8">
        <w:rPr>
          <w:rFonts w:cs="Arial"/>
          <w:i/>
          <w:sz w:val="18"/>
          <w:szCs w:val="18"/>
        </w:rPr>
        <w:t xml:space="preserve"> thousands of Swiss francs)</w:t>
      </w:r>
    </w:p>
    <w:p w:rsidR="00E63AD9" w:rsidRDefault="00E63AD9" w:rsidP="00E3403E"/>
    <w:p w:rsidR="00E63AD9" w:rsidRDefault="00E63AD9" w:rsidP="00E3403E">
      <w:pPr>
        <w:jc w:val="center"/>
      </w:pPr>
      <w:r w:rsidRPr="00D82368">
        <w:rPr>
          <w:noProof/>
        </w:rPr>
        <w:drawing>
          <wp:inline distT="0" distB="0" distL="0" distR="0" wp14:anchorId="101EDE09" wp14:editId="0B38BEBD">
            <wp:extent cx="5509260" cy="3077826"/>
            <wp:effectExtent l="0" t="0" r="0" b="8890"/>
            <wp:docPr id="840" name="Picture 8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509867" cy="3078165"/>
                    </a:xfrm>
                    <a:prstGeom prst="rect">
                      <a:avLst/>
                    </a:prstGeom>
                    <a:noFill/>
                    <a:ln>
                      <a:noFill/>
                    </a:ln>
                  </pic:spPr>
                </pic:pic>
              </a:graphicData>
            </a:graphic>
          </wp:inline>
        </w:drawing>
      </w:r>
    </w:p>
    <w:p w:rsidR="00E63AD9" w:rsidRDefault="00E63AD9" w:rsidP="00E3403E">
      <w:pPr>
        <w:rPr>
          <w:rFonts w:cs="Arial"/>
          <w:b/>
          <w:sz w:val="18"/>
          <w:szCs w:val="18"/>
        </w:rPr>
      </w:pPr>
    </w:p>
    <w:p w:rsidR="00E63AD9" w:rsidRPr="00035F86" w:rsidRDefault="00E63AD9" w:rsidP="00E3403E">
      <w:pPr>
        <w:keepNext/>
        <w:keepLines/>
        <w:jc w:val="center"/>
        <w:rPr>
          <w:rFonts w:cs="Arial"/>
          <w:b/>
          <w:sz w:val="18"/>
          <w:szCs w:val="18"/>
        </w:rPr>
      </w:pPr>
      <w:r w:rsidRPr="00035F86">
        <w:rPr>
          <w:rFonts w:cs="Arial"/>
          <w:b/>
          <w:sz w:val="18"/>
          <w:szCs w:val="18"/>
        </w:rPr>
        <w:lastRenderedPageBreak/>
        <w:t>Table 4:  201</w:t>
      </w:r>
      <w:r>
        <w:rPr>
          <w:rFonts w:cs="Arial"/>
          <w:b/>
          <w:sz w:val="18"/>
          <w:szCs w:val="18"/>
        </w:rPr>
        <w:t>4</w:t>
      </w:r>
      <w:r w:rsidRPr="00035F86">
        <w:rPr>
          <w:rFonts w:cs="Arial"/>
          <w:b/>
          <w:sz w:val="18"/>
          <w:szCs w:val="18"/>
        </w:rPr>
        <w:t>/1</w:t>
      </w:r>
      <w:r>
        <w:rPr>
          <w:rFonts w:cs="Arial"/>
          <w:b/>
          <w:sz w:val="18"/>
          <w:szCs w:val="18"/>
        </w:rPr>
        <w:t>5</w:t>
      </w:r>
      <w:r w:rsidRPr="00035F86">
        <w:rPr>
          <w:rFonts w:cs="Arial"/>
          <w:b/>
          <w:sz w:val="18"/>
          <w:szCs w:val="18"/>
        </w:rPr>
        <w:t xml:space="preserve"> Development Expenditure by Expected Result*</w:t>
      </w:r>
    </w:p>
    <w:p w:rsidR="00E63AD9" w:rsidRDefault="00E63AD9" w:rsidP="00E3403E">
      <w:pPr>
        <w:keepNext/>
        <w:keepLines/>
        <w:jc w:val="center"/>
        <w:rPr>
          <w:rFonts w:cs="Arial"/>
          <w:i/>
          <w:sz w:val="18"/>
          <w:szCs w:val="18"/>
        </w:rPr>
      </w:pPr>
      <w:r w:rsidRPr="00FD13E8">
        <w:rPr>
          <w:rFonts w:cs="Arial"/>
          <w:i/>
          <w:sz w:val="18"/>
          <w:szCs w:val="18"/>
        </w:rPr>
        <w:t>(</w:t>
      </w:r>
      <w:proofErr w:type="gramStart"/>
      <w:r w:rsidRPr="00FD13E8">
        <w:rPr>
          <w:rFonts w:cs="Arial"/>
          <w:i/>
          <w:sz w:val="18"/>
          <w:szCs w:val="18"/>
        </w:rPr>
        <w:t>in</w:t>
      </w:r>
      <w:proofErr w:type="gramEnd"/>
      <w:r w:rsidRPr="00FD13E8">
        <w:rPr>
          <w:rFonts w:cs="Arial"/>
          <w:i/>
          <w:sz w:val="18"/>
          <w:szCs w:val="18"/>
        </w:rPr>
        <w:t xml:space="preserve"> thousands of Swiss francs)</w:t>
      </w:r>
    </w:p>
    <w:p w:rsidR="00AF64A5" w:rsidRDefault="00AF64A5" w:rsidP="005B23C5">
      <w:pPr>
        <w:jc w:val="center"/>
        <w:rPr>
          <w:noProof/>
        </w:rPr>
      </w:pPr>
    </w:p>
    <w:p w:rsidR="005B23C5" w:rsidRDefault="00E91DAC" w:rsidP="00BA6F3B">
      <w:pPr>
        <w:jc w:val="center"/>
      </w:pPr>
      <w:r w:rsidRPr="00E91DAC">
        <w:rPr>
          <w:noProof/>
        </w:rPr>
        <w:drawing>
          <wp:inline distT="0" distB="0" distL="0" distR="0" wp14:anchorId="1AFA065E" wp14:editId="04D31659">
            <wp:extent cx="4956842" cy="8482084"/>
            <wp:effectExtent l="0" t="0" r="0" b="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956125" cy="8480858"/>
                    </a:xfrm>
                    <a:prstGeom prst="rect">
                      <a:avLst/>
                    </a:prstGeom>
                    <a:noFill/>
                    <a:ln>
                      <a:noFill/>
                    </a:ln>
                  </pic:spPr>
                </pic:pic>
              </a:graphicData>
            </a:graphic>
          </wp:inline>
        </w:drawing>
      </w:r>
    </w:p>
    <w:p w:rsidR="0075764F" w:rsidRDefault="0075764F" w:rsidP="00BA6F3B">
      <w:pPr>
        <w:jc w:val="center"/>
      </w:pPr>
      <w:r>
        <w:br w:type="page"/>
      </w:r>
    </w:p>
    <w:p w:rsidR="00AF64A5" w:rsidRDefault="00AF64A5"/>
    <w:p w:rsidR="0075764F" w:rsidRPr="00985C27" w:rsidRDefault="0075764F" w:rsidP="0075764F">
      <w:pPr>
        <w:pStyle w:val="Heading1"/>
        <w:tabs>
          <w:tab w:val="clear" w:pos="284"/>
          <w:tab w:val="left" w:pos="709"/>
        </w:tabs>
        <w:spacing w:before="0" w:after="0"/>
        <w:ind w:left="709" w:hanging="709"/>
        <w:jc w:val="left"/>
      </w:pPr>
      <w:bookmarkStart w:id="15" w:name="_Toc454544459"/>
      <w:r>
        <w:rPr>
          <w:rFonts w:eastAsiaTheme="minorHAnsi"/>
        </w:rPr>
        <w:t xml:space="preserve">REPORT ON THE IMPLEMENTATION OF </w:t>
      </w:r>
      <w:r w:rsidRPr="0048186F">
        <w:rPr>
          <w:rFonts w:eastAsiaTheme="minorHAnsi"/>
        </w:rPr>
        <w:t>COST EFFICIENCY MEASURES</w:t>
      </w:r>
      <w:bookmarkStart w:id="16" w:name="_Toc391987560"/>
      <w:r w:rsidRPr="0048186F">
        <w:rPr>
          <w:rFonts w:eastAsiaTheme="minorHAnsi" w:hint="eastAsia"/>
        </w:rPr>
        <w:t> </w:t>
      </w:r>
      <w:r>
        <w:rPr>
          <w:rFonts w:eastAsiaTheme="minorHAnsi"/>
        </w:rPr>
        <w:br/>
      </w:r>
      <w:r w:rsidRPr="0048186F">
        <w:rPr>
          <w:rFonts w:eastAsiaTheme="minorHAnsi"/>
        </w:rPr>
        <w:t>IN</w:t>
      </w:r>
      <w:r w:rsidRPr="0048186F">
        <w:rPr>
          <w:rFonts w:eastAsiaTheme="minorHAnsi" w:hint="eastAsia"/>
        </w:rPr>
        <w:t> </w:t>
      </w:r>
      <w:r w:rsidRPr="0048186F">
        <w:rPr>
          <w:rFonts w:eastAsiaTheme="minorHAnsi"/>
        </w:rPr>
        <w:t xml:space="preserve">THE </w:t>
      </w:r>
      <w:r>
        <w:rPr>
          <w:rFonts w:eastAsiaTheme="minorHAnsi"/>
        </w:rPr>
        <w:t>2014</w:t>
      </w:r>
      <w:r w:rsidRPr="00230F73">
        <w:rPr>
          <w:rFonts w:eastAsiaTheme="minorHAnsi"/>
        </w:rPr>
        <w:t>/1</w:t>
      </w:r>
      <w:r w:rsidR="00A44CCE">
        <w:rPr>
          <w:rFonts w:eastAsiaTheme="minorHAnsi"/>
        </w:rPr>
        <w:t>5</w:t>
      </w:r>
      <w:r w:rsidRPr="00230F73">
        <w:rPr>
          <w:rFonts w:eastAsiaTheme="minorHAnsi"/>
        </w:rPr>
        <w:t xml:space="preserve"> BIENNIUM</w:t>
      </w:r>
      <w:bookmarkEnd w:id="16"/>
      <w:bookmarkEnd w:id="15"/>
      <w:r>
        <w:t xml:space="preserve"> </w:t>
      </w:r>
    </w:p>
    <w:p w:rsidR="0075764F" w:rsidRDefault="0075764F" w:rsidP="0075764F"/>
    <w:p w:rsidR="00A44CCE" w:rsidRDefault="00A44CCE" w:rsidP="00220419">
      <w:pPr>
        <w:jc w:val="center"/>
        <w:rPr>
          <w:b/>
        </w:rPr>
      </w:pPr>
    </w:p>
    <w:p w:rsidR="00A44CCE" w:rsidRPr="002F09A0" w:rsidRDefault="00A44CCE" w:rsidP="00220419">
      <w:pPr>
        <w:jc w:val="center"/>
      </w:pPr>
      <w:r w:rsidRPr="002F09A0">
        <w:t>COST EFFICIENCIES REALIZED IN 2014/15</w:t>
      </w:r>
    </w:p>
    <w:p w:rsidR="00A44CCE" w:rsidRPr="007C1877" w:rsidRDefault="00A44CCE" w:rsidP="00220419"/>
    <w:tbl>
      <w:tblPr>
        <w:tblW w:w="5091" w:type="pct"/>
        <w:tblInd w:w="-176" w:type="dxa"/>
        <w:tblLayout w:type="fixed"/>
        <w:tblCellMar>
          <w:top w:w="85" w:type="dxa"/>
        </w:tblCellMar>
        <w:tblLook w:val="04A0" w:firstRow="1" w:lastRow="0" w:firstColumn="1" w:lastColumn="0" w:noHBand="0" w:noVBand="1"/>
      </w:tblPr>
      <w:tblGrid>
        <w:gridCol w:w="1843"/>
        <w:gridCol w:w="1277"/>
        <w:gridCol w:w="1275"/>
        <w:gridCol w:w="1382"/>
        <w:gridCol w:w="1694"/>
        <w:gridCol w:w="2274"/>
      </w:tblGrid>
      <w:tr w:rsidR="00A44CCE" w:rsidRPr="00F16550" w:rsidTr="00D25F58">
        <w:trPr>
          <w:trHeight w:val="752"/>
          <w:tblHeader/>
        </w:trPr>
        <w:tc>
          <w:tcPr>
            <w:tcW w:w="946" w:type="pct"/>
            <w:tcBorders>
              <w:top w:val="single" w:sz="4" w:space="0" w:color="auto"/>
              <w:left w:val="single" w:sz="4" w:space="0" w:color="auto"/>
              <w:right w:val="single" w:sz="4" w:space="0" w:color="auto"/>
            </w:tcBorders>
            <w:shd w:val="clear" w:color="000000" w:fill="8DB4E2"/>
            <w:hideMark/>
          </w:tcPr>
          <w:p w:rsidR="00A44CCE" w:rsidRPr="002F09A0" w:rsidRDefault="00A44CCE" w:rsidP="00D25F58">
            <w:pPr>
              <w:jc w:val="center"/>
              <w:rPr>
                <w:b/>
                <w:bCs/>
                <w:color w:val="000000"/>
                <w:sz w:val="16"/>
                <w:szCs w:val="16"/>
              </w:rPr>
            </w:pPr>
            <w:r w:rsidRPr="002F09A0">
              <w:rPr>
                <w:b/>
                <w:bCs/>
                <w:color w:val="000000"/>
                <w:sz w:val="16"/>
                <w:szCs w:val="16"/>
              </w:rPr>
              <w:t>Cost efficiency</w:t>
            </w:r>
          </w:p>
          <w:p w:rsidR="00A44CCE" w:rsidRPr="002F09A0" w:rsidRDefault="00A44CCE" w:rsidP="00D25F58">
            <w:pPr>
              <w:jc w:val="center"/>
              <w:rPr>
                <w:b/>
                <w:bCs/>
                <w:color w:val="000000"/>
                <w:sz w:val="16"/>
                <w:szCs w:val="16"/>
              </w:rPr>
            </w:pPr>
          </w:p>
          <w:p w:rsidR="00A44CCE" w:rsidRPr="002F09A0" w:rsidRDefault="00A44CCE" w:rsidP="00D25F58">
            <w:pPr>
              <w:jc w:val="center"/>
              <w:rPr>
                <w:b/>
                <w:bCs/>
                <w:color w:val="000000"/>
                <w:sz w:val="16"/>
                <w:szCs w:val="16"/>
              </w:rPr>
            </w:pPr>
          </w:p>
          <w:p w:rsidR="00A44CCE" w:rsidRPr="002F09A0" w:rsidRDefault="00A44CCE" w:rsidP="00D25F58">
            <w:pPr>
              <w:jc w:val="center"/>
              <w:rPr>
                <w:b/>
                <w:bCs/>
                <w:color w:val="000000"/>
                <w:sz w:val="16"/>
                <w:szCs w:val="16"/>
              </w:rPr>
            </w:pPr>
          </w:p>
        </w:tc>
        <w:tc>
          <w:tcPr>
            <w:tcW w:w="655" w:type="pct"/>
            <w:tcBorders>
              <w:top w:val="single" w:sz="4" w:space="0" w:color="auto"/>
              <w:left w:val="single" w:sz="4" w:space="0" w:color="auto"/>
              <w:right w:val="single" w:sz="4" w:space="0" w:color="auto"/>
            </w:tcBorders>
            <w:shd w:val="clear" w:color="000000" w:fill="8DB4E2"/>
            <w:hideMark/>
          </w:tcPr>
          <w:p w:rsidR="00D25F58" w:rsidRDefault="00A44CCE" w:rsidP="00D25F58">
            <w:pPr>
              <w:jc w:val="center"/>
              <w:rPr>
                <w:b/>
                <w:bCs/>
                <w:color w:val="000000"/>
                <w:sz w:val="16"/>
                <w:szCs w:val="16"/>
              </w:rPr>
            </w:pPr>
            <w:r w:rsidRPr="002F09A0">
              <w:rPr>
                <w:b/>
                <w:bCs/>
                <w:color w:val="000000"/>
                <w:sz w:val="16"/>
                <w:szCs w:val="16"/>
              </w:rPr>
              <w:t xml:space="preserve">2014 </w:t>
            </w:r>
          </w:p>
          <w:p w:rsidR="00D25F58" w:rsidRDefault="00A44CCE" w:rsidP="00D25F58">
            <w:pPr>
              <w:jc w:val="center"/>
              <w:rPr>
                <w:b/>
                <w:bCs/>
                <w:color w:val="000000"/>
                <w:sz w:val="16"/>
                <w:szCs w:val="16"/>
              </w:rPr>
            </w:pPr>
            <w:r w:rsidRPr="002F09A0">
              <w:rPr>
                <w:b/>
                <w:bCs/>
                <w:color w:val="000000"/>
                <w:sz w:val="16"/>
                <w:szCs w:val="16"/>
              </w:rPr>
              <w:t>Annual Savings</w:t>
            </w:r>
          </w:p>
          <w:p w:rsidR="00A44CCE" w:rsidRPr="002F09A0" w:rsidRDefault="00A44CCE" w:rsidP="00D25F58">
            <w:pPr>
              <w:jc w:val="center"/>
              <w:rPr>
                <w:b/>
                <w:bCs/>
                <w:color w:val="000000"/>
                <w:sz w:val="16"/>
                <w:szCs w:val="16"/>
              </w:rPr>
            </w:pPr>
            <w:r w:rsidRPr="002F09A0">
              <w:rPr>
                <w:b/>
                <w:bCs/>
                <w:color w:val="000000"/>
                <w:sz w:val="14"/>
                <w:szCs w:val="16"/>
              </w:rPr>
              <w:t>(Swiss francs)*</w:t>
            </w:r>
          </w:p>
        </w:tc>
        <w:tc>
          <w:tcPr>
            <w:tcW w:w="654" w:type="pct"/>
            <w:tcBorders>
              <w:top w:val="single" w:sz="4" w:space="0" w:color="auto"/>
              <w:left w:val="single" w:sz="4" w:space="0" w:color="auto"/>
              <w:right w:val="single" w:sz="4" w:space="0" w:color="auto"/>
            </w:tcBorders>
            <w:shd w:val="clear" w:color="000000" w:fill="8DB4E2"/>
            <w:hideMark/>
          </w:tcPr>
          <w:p w:rsidR="00D25F58" w:rsidRDefault="00A44CCE" w:rsidP="00D25F58">
            <w:pPr>
              <w:jc w:val="center"/>
              <w:rPr>
                <w:b/>
                <w:bCs/>
                <w:color w:val="000000"/>
                <w:sz w:val="16"/>
                <w:szCs w:val="16"/>
              </w:rPr>
            </w:pPr>
            <w:r w:rsidRPr="002F09A0">
              <w:rPr>
                <w:b/>
                <w:bCs/>
                <w:color w:val="000000"/>
                <w:sz w:val="16"/>
                <w:szCs w:val="16"/>
              </w:rPr>
              <w:t>2015</w:t>
            </w:r>
          </w:p>
          <w:p w:rsidR="00D25F58" w:rsidRDefault="00A44CCE" w:rsidP="00D25F58">
            <w:pPr>
              <w:jc w:val="center"/>
              <w:rPr>
                <w:b/>
                <w:bCs/>
                <w:color w:val="000000"/>
                <w:sz w:val="16"/>
                <w:szCs w:val="16"/>
              </w:rPr>
            </w:pPr>
            <w:r w:rsidRPr="002F09A0">
              <w:rPr>
                <w:b/>
                <w:bCs/>
                <w:color w:val="000000"/>
                <w:sz w:val="16"/>
                <w:szCs w:val="16"/>
              </w:rPr>
              <w:t>Annual Savings</w:t>
            </w:r>
          </w:p>
          <w:p w:rsidR="00A44CCE" w:rsidRPr="002F09A0" w:rsidRDefault="00A44CCE" w:rsidP="00D25F58">
            <w:pPr>
              <w:jc w:val="center"/>
              <w:rPr>
                <w:b/>
                <w:bCs/>
                <w:color w:val="000000"/>
                <w:sz w:val="16"/>
                <w:szCs w:val="16"/>
              </w:rPr>
            </w:pPr>
            <w:r w:rsidRPr="002F09A0">
              <w:rPr>
                <w:b/>
                <w:bCs/>
                <w:color w:val="000000"/>
                <w:sz w:val="14"/>
                <w:szCs w:val="16"/>
              </w:rPr>
              <w:t>(Swiss francs)**</w:t>
            </w:r>
          </w:p>
        </w:tc>
        <w:tc>
          <w:tcPr>
            <w:tcW w:w="709" w:type="pct"/>
            <w:tcBorders>
              <w:top w:val="single" w:sz="4" w:space="0" w:color="auto"/>
              <w:left w:val="single" w:sz="4" w:space="0" w:color="auto"/>
              <w:right w:val="single" w:sz="4" w:space="0" w:color="auto"/>
            </w:tcBorders>
            <w:shd w:val="clear" w:color="000000" w:fill="8DB4E2"/>
            <w:hideMark/>
          </w:tcPr>
          <w:p w:rsidR="00D25F58" w:rsidRDefault="00A44CCE" w:rsidP="00D25F58">
            <w:pPr>
              <w:jc w:val="center"/>
              <w:rPr>
                <w:b/>
                <w:bCs/>
                <w:color w:val="000000"/>
                <w:sz w:val="16"/>
                <w:szCs w:val="16"/>
              </w:rPr>
            </w:pPr>
            <w:r w:rsidRPr="002F09A0">
              <w:rPr>
                <w:b/>
                <w:bCs/>
                <w:color w:val="000000"/>
                <w:sz w:val="16"/>
                <w:szCs w:val="16"/>
              </w:rPr>
              <w:t>Unit cost decrease for 2014*</w:t>
            </w:r>
          </w:p>
          <w:p w:rsidR="00A44CCE" w:rsidRPr="002F09A0" w:rsidRDefault="00A44CCE" w:rsidP="00D25F58">
            <w:pPr>
              <w:jc w:val="center"/>
              <w:rPr>
                <w:b/>
                <w:bCs/>
                <w:color w:val="000000"/>
                <w:sz w:val="16"/>
                <w:szCs w:val="16"/>
              </w:rPr>
            </w:pPr>
            <w:r w:rsidRPr="002F09A0">
              <w:rPr>
                <w:b/>
                <w:bCs/>
                <w:color w:val="000000"/>
                <w:sz w:val="14"/>
                <w:szCs w:val="16"/>
              </w:rPr>
              <w:t>(Swiss francs)</w:t>
            </w:r>
          </w:p>
        </w:tc>
        <w:tc>
          <w:tcPr>
            <w:tcW w:w="869" w:type="pct"/>
            <w:tcBorders>
              <w:top w:val="single" w:sz="4" w:space="0" w:color="auto"/>
              <w:left w:val="single" w:sz="4" w:space="0" w:color="auto"/>
              <w:right w:val="single" w:sz="4" w:space="0" w:color="auto"/>
            </w:tcBorders>
            <w:shd w:val="clear" w:color="000000" w:fill="8DB4E2"/>
            <w:hideMark/>
          </w:tcPr>
          <w:p w:rsidR="00D25F58" w:rsidRDefault="00A44CCE" w:rsidP="00D25F58">
            <w:pPr>
              <w:jc w:val="center"/>
              <w:rPr>
                <w:b/>
                <w:bCs/>
                <w:color w:val="000000"/>
                <w:sz w:val="16"/>
                <w:szCs w:val="16"/>
              </w:rPr>
            </w:pPr>
            <w:r w:rsidRPr="002F09A0">
              <w:rPr>
                <w:b/>
                <w:bCs/>
                <w:color w:val="000000"/>
                <w:sz w:val="16"/>
                <w:szCs w:val="16"/>
              </w:rPr>
              <w:t>Unit cost decrease for 2015</w:t>
            </w:r>
          </w:p>
          <w:p w:rsidR="00A44CCE" w:rsidRPr="002F09A0" w:rsidRDefault="00A44CCE" w:rsidP="00D25F58">
            <w:pPr>
              <w:jc w:val="center"/>
              <w:rPr>
                <w:b/>
                <w:bCs/>
                <w:color w:val="000000"/>
                <w:sz w:val="14"/>
                <w:szCs w:val="16"/>
              </w:rPr>
            </w:pPr>
            <w:r w:rsidRPr="002F09A0">
              <w:rPr>
                <w:b/>
                <w:bCs/>
                <w:color w:val="000000"/>
                <w:sz w:val="14"/>
                <w:szCs w:val="16"/>
              </w:rPr>
              <w:t>(Swiss francs)</w:t>
            </w:r>
          </w:p>
          <w:p w:rsidR="00A44CCE" w:rsidRPr="002F09A0" w:rsidRDefault="00A44CCE" w:rsidP="00D25F58">
            <w:pPr>
              <w:jc w:val="center"/>
              <w:rPr>
                <w:b/>
                <w:bCs/>
                <w:color w:val="000000"/>
                <w:sz w:val="16"/>
                <w:szCs w:val="16"/>
              </w:rPr>
            </w:pPr>
          </w:p>
        </w:tc>
        <w:tc>
          <w:tcPr>
            <w:tcW w:w="1167" w:type="pct"/>
            <w:tcBorders>
              <w:top w:val="single" w:sz="4" w:space="0" w:color="auto"/>
              <w:left w:val="single" w:sz="4" w:space="0" w:color="auto"/>
              <w:right w:val="single" w:sz="4" w:space="0" w:color="auto"/>
            </w:tcBorders>
            <w:shd w:val="clear" w:color="000000" w:fill="8DB4E2"/>
            <w:hideMark/>
          </w:tcPr>
          <w:p w:rsidR="00A44CCE" w:rsidRPr="002F09A0" w:rsidRDefault="00A44CCE" w:rsidP="00D25F58">
            <w:pPr>
              <w:jc w:val="center"/>
              <w:rPr>
                <w:b/>
                <w:bCs/>
                <w:color w:val="000000"/>
                <w:sz w:val="16"/>
                <w:szCs w:val="16"/>
              </w:rPr>
            </w:pPr>
            <w:r w:rsidRPr="002F09A0">
              <w:rPr>
                <w:b/>
                <w:bCs/>
                <w:color w:val="000000"/>
                <w:sz w:val="16"/>
                <w:szCs w:val="16"/>
              </w:rPr>
              <w:t>Notes</w:t>
            </w:r>
          </w:p>
          <w:p w:rsidR="00A44CCE" w:rsidRPr="002F09A0" w:rsidRDefault="00A44CCE" w:rsidP="00D25F58">
            <w:pPr>
              <w:jc w:val="center"/>
              <w:rPr>
                <w:b/>
                <w:bCs/>
                <w:color w:val="000000"/>
                <w:sz w:val="16"/>
                <w:szCs w:val="16"/>
              </w:rPr>
            </w:pPr>
          </w:p>
        </w:tc>
      </w:tr>
      <w:tr w:rsidR="00D25F58" w:rsidRPr="00F16550" w:rsidTr="00D25F58">
        <w:trPr>
          <w:trHeight w:val="41"/>
          <w:tblHeader/>
        </w:trPr>
        <w:tc>
          <w:tcPr>
            <w:tcW w:w="946" w:type="pct"/>
            <w:tcBorders>
              <w:left w:val="single" w:sz="4" w:space="0" w:color="auto"/>
              <w:bottom w:val="single" w:sz="4" w:space="0" w:color="auto"/>
              <w:right w:val="single" w:sz="4" w:space="0" w:color="auto"/>
            </w:tcBorders>
            <w:shd w:val="clear" w:color="000000" w:fill="8DB4E2"/>
          </w:tcPr>
          <w:p w:rsidR="00D25F58" w:rsidRPr="002F09A0" w:rsidRDefault="00D25F58" w:rsidP="00D25F58">
            <w:pPr>
              <w:jc w:val="center"/>
              <w:rPr>
                <w:b/>
                <w:bCs/>
                <w:color w:val="000000"/>
                <w:sz w:val="16"/>
                <w:szCs w:val="16"/>
              </w:rPr>
            </w:pPr>
            <w:r w:rsidRPr="002F09A0">
              <w:rPr>
                <w:b/>
                <w:bCs/>
                <w:color w:val="000000"/>
                <w:sz w:val="16"/>
                <w:szCs w:val="16"/>
              </w:rPr>
              <w:t>A</w:t>
            </w:r>
          </w:p>
        </w:tc>
        <w:tc>
          <w:tcPr>
            <w:tcW w:w="655" w:type="pct"/>
            <w:tcBorders>
              <w:left w:val="single" w:sz="4" w:space="0" w:color="auto"/>
              <w:bottom w:val="single" w:sz="4" w:space="0" w:color="auto"/>
              <w:right w:val="single" w:sz="4" w:space="0" w:color="auto"/>
            </w:tcBorders>
            <w:shd w:val="clear" w:color="000000" w:fill="8DB4E2"/>
          </w:tcPr>
          <w:p w:rsidR="00D25F58" w:rsidRPr="002F09A0" w:rsidRDefault="00D25F58" w:rsidP="00D25F58">
            <w:pPr>
              <w:jc w:val="center"/>
              <w:rPr>
                <w:b/>
                <w:bCs/>
                <w:color w:val="000000"/>
                <w:sz w:val="16"/>
                <w:szCs w:val="16"/>
              </w:rPr>
            </w:pPr>
            <w:r>
              <w:rPr>
                <w:b/>
                <w:bCs/>
                <w:color w:val="000000"/>
                <w:sz w:val="16"/>
                <w:szCs w:val="16"/>
              </w:rPr>
              <w:t>B</w:t>
            </w:r>
          </w:p>
        </w:tc>
        <w:tc>
          <w:tcPr>
            <w:tcW w:w="654" w:type="pct"/>
            <w:tcBorders>
              <w:left w:val="single" w:sz="4" w:space="0" w:color="auto"/>
              <w:bottom w:val="single" w:sz="4" w:space="0" w:color="auto"/>
              <w:right w:val="single" w:sz="4" w:space="0" w:color="auto"/>
            </w:tcBorders>
            <w:shd w:val="clear" w:color="000000" w:fill="8DB4E2"/>
          </w:tcPr>
          <w:p w:rsidR="00D25F58" w:rsidRPr="002F09A0" w:rsidRDefault="00D25F58" w:rsidP="00D25F58">
            <w:pPr>
              <w:jc w:val="center"/>
              <w:rPr>
                <w:b/>
                <w:bCs/>
                <w:color w:val="000000"/>
                <w:sz w:val="16"/>
                <w:szCs w:val="16"/>
              </w:rPr>
            </w:pPr>
            <w:r>
              <w:rPr>
                <w:b/>
                <w:bCs/>
                <w:color w:val="000000"/>
                <w:sz w:val="16"/>
                <w:szCs w:val="16"/>
              </w:rPr>
              <w:t>C</w:t>
            </w:r>
          </w:p>
        </w:tc>
        <w:tc>
          <w:tcPr>
            <w:tcW w:w="709" w:type="pct"/>
            <w:tcBorders>
              <w:left w:val="single" w:sz="4" w:space="0" w:color="auto"/>
              <w:bottom w:val="single" w:sz="4" w:space="0" w:color="auto"/>
              <w:right w:val="single" w:sz="4" w:space="0" w:color="auto"/>
            </w:tcBorders>
            <w:shd w:val="clear" w:color="000000" w:fill="8DB4E2"/>
          </w:tcPr>
          <w:p w:rsidR="00D25F58" w:rsidRPr="002F09A0" w:rsidRDefault="00D25F58" w:rsidP="00D25F58">
            <w:pPr>
              <w:jc w:val="center"/>
              <w:rPr>
                <w:b/>
                <w:bCs/>
                <w:color w:val="000000"/>
                <w:sz w:val="16"/>
                <w:szCs w:val="16"/>
              </w:rPr>
            </w:pPr>
            <w:r>
              <w:rPr>
                <w:b/>
                <w:bCs/>
                <w:color w:val="000000"/>
                <w:sz w:val="16"/>
                <w:szCs w:val="16"/>
              </w:rPr>
              <w:t>D</w:t>
            </w:r>
          </w:p>
        </w:tc>
        <w:tc>
          <w:tcPr>
            <w:tcW w:w="869" w:type="pct"/>
            <w:tcBorders>
              <w:left w:val="single" w:sz="4" w:space="0" w:color="auto"/>
              <w:bottom w:val="single" w:sz="4" w:space="0" w:color="auto"/>
              <w:right w:val="single" w:sz="4" w:space="0" w:color="auto"/>
            </w:tcBorders>
            <w:shd w:val="clear" w:color="000000" w:fill="8DB4E2"/>
          </w:tcPr>
          <w:p w:rsidR="00D25F58" w:rsidRPr="002F09A0" w:rsidRDefault="00D25F58" w:rsidP="00D25F58">
            <w:pPr>
              <w:jc w:val="center"/>
              <w:rPr>
                <w:b/>
                <w:bCs/>
                <w:color w:val="000000"/>
                <w:sz w:val="16"/>
                <w:szCs w:val="16"/>
              </w:rPr>
            </w:pPr>
            <w:r>
              <w:rPr>
                <w:b/>
                <w:bCs/>
                <w:color w:val="000000"/>
                <w:sz w:val="16"/>
                <w:szCs w:val="16"/>
              </w:rPr>
              <w:t>E</w:t>
            </w:r>
          </w:p>
        </w:tc>
        <w:tc>
          <w:tcPr>
            <w:tcW w:w="1167" w:type="pct"/>
            <w:tcBorders>
              <w:left w:val="single" w:sz="4" w:space="0" w:color="auto"/>
              <w:bottom w:val="single" w:sz="4" w:space="0" w:color="auto"/>
              <w:right w:val="single" w:sz="4" w:space="0" w:color="auto"/>
            </w:tcBorders>
            <w:shd w:val="clear" w:color="000000" w:fill="8DB4E2"/>
          </w:tcPr>
          <w:p w:rsidR="00D25F58" w:rsidRPr="002F09A0" w:rsidRDefault="00D25F58" w:rsidP="00D25F58">
            <w:pPr>
              <w:jc w:val="center"/>
              <w:rPr>
                <w:b/>
                <w:bCs/>
                <w:color w:val="000000"/>
                <w:sz w:val="16"/>
                <w:szCs w:val="16"/>
              </w:rPr>
            </w:pPr>
            <w:r>
              <w:rPr>
                <w:b/>
                <w:bCs/>
                <w:color w:val="000000"/>
                <w:sz w:val="16"/>
                <w:szCs w:val="16"/>
              </w:rPr>
              <w:t>F</w:t>
            </w:r>
          </w:p>
        </w:tc>
      </w:tr>
      <w:tr w:rsidR="00A44CCE" w:rsidRPr="00BE62B6" w:rsidTr="00D25F58">
        <w:trPr>
          <w:trHeight w:val="2281"/>
        </w:trPr>
        <w:tc>
          <w:tcPr>
            <w:tcW w:w="946" w:type="pct"/>
            <w:tcBorders>
              <w:top w:val="single" w:sz="4" w:space="0" w:color="auto"/>
              <w:left w:val="single" w:sz="4" w:space="0" w:color="auto"/>
              <w:bottom w:val="single" w:sz="4" w:space="0" w:color="auto"/>
              <w:right w:val="single" w:sz="4" w:space="0" w:color="auto"/>
            </w:tcBorders>
            <w:shd w:val="clear" w:color="auto" w:fill="auto"/>
            <w:hideMark/>
          </w:tcPr>
          <w:p w:rsidR="00A44CCE" w:rsidRPr="00303E4F" w:rsidRDefault="00A44CCE" w:rsidP="00220419">
            <w:pPr>
              <w:rPr>
                <w:color w:val="000000"/>
                <w:sz w:val="17"/>
                <w:szCs w:val="17"/>
              </w:rPr>
            </w:pPr>
            <w:r w:rsidRPr="00303E4F">
              <w:rPr>
                <w:color w:val="000000"/>
                <w:sz w:val="17"/>
                <w:szCs w:val="17"/>
              </w:rPr>
              <w:t>Lower overall costs for the processing of published international PCT applications resulting from enhanced processing of financial commitments for the outsourcing of translation services, and an increase in productivity</w:t>
            </w:r>
          </w:p>
        </w:tc>
        <w:tc>
          <w:tcPr>
            <w:tcW w:w="655" w:type="pct"/>
            <w:tcBorders>
              <w:top w:val="single" w:sz="4" w:space="0" w:color="auto"/>
              <w:left w:val="nil"/>
              <w:bottom w:val="single" w:sz="4" w:space="0" w:color="auto"/>
              <w:right w:val="single" w:sz="4" w:space="0" w:color="auto"/>
            </w:tcBorders>
            <w:shd w:val="clear" w:color="auto" w:fill="auto"/>
            <w:hideMark/>
          </w:tcPr>
          <w:p w:rsidR="00A44CCE" w:rsidRPr="00303E4F" w:rsidRDefault="00A44CCE" w:rsidP="00220419">
            <w:pPr>
              <w:spacing w:after="240"/>
              <w:rPr>
                <w:color w:val="000000"/>
                <w:sz w:val="17"/>
                <w:szCs w:val="17"/>
              </w:rPr>
            </w:pPr>
          </w:p>
        </w:tc>
        <w:tc>
          <w:tcPr>
            <w:tcW w:w="654" w:type="pct"/>
            <w:tcBorders>
              <w:top w:val="single" w:sz="4" w:space="0" w:color="auto"/>
              <w:left w:val="nil"/>
              <w:bottom w:val="single" w:sz="4" w:space="0" w:color="auto"/>
              <w:right w:val="single" w:sz="4" w:space="0" w:color="auto"/>
            </w:tcBorders>
            <w:shd w:val="clear" w:color="auto" w:fill="auto"/>
            <w:hideMark/>
          </w:tcPr>
          <w:p w:rsidR="00A44CCE" w:rsidRPr="00303E4F" w:rsidRDefault="00A44CCE" w:rsidP="00220419">
            <w:pPr>
              <w:rPr>
                <w:color w:val="000000"/>
                <w:sz w:val="17"/>
                <w:szCs w:val="17"/>
              </w:rPr>
            </w:pPr>
            <w:r w:rsidRPr="00303E4F">
              <w:rPr>
                <w:color w:val="000000"/>
                <w:sz w:val="17"/>
                <w:szCs w:val="17"/>
              </w:rPr>
              <w:t> </w:t>
            </w:r>
          </w:p>
        </w:tc>
        <w:tc>
          <w:tcPr>
            <w:tcW w:w="709" w:type="pct"/>
            <w:tcBorders>
              <w:top w:val="single" w:sz="4" w:space="0" w:color="auto"/>
              <w:left w:val="nil"/>
              <w:bottom w:val="single" w:sz="4" w:space="0" w:color="auto"/>
              <w:right w:val="single" w:sz="4" w:space="0" w:color="auto"/>
            </w:tcBorders>
            <w:shd w:val="clear" w:color="auto" w:fill="auto"/>
            <w:hideMark/>
          </w:tcPr>
          <w:p w:rsidR="00A44CCE" w:rsidRPr="00303E4F" w:rsidRDefault="00A44CCE">
            <w:pPr>
              <w:rPr>
                <w:color w:val="000000"/>
                <w:sz w:val="17"/>
                <w:szCs w:val="17"/>
              </w:rPr>
            </w:pPr>
            <w:r w:rsidRPr="00303E4F">
              <w:rPr>
                <w:color w:val="000000"/>
                <w:sz w:val="17"/>
                <w:szCs w:val="17"/>
              </w:rPr>
              <w:t>A reduction from  722 CHF in 2013 to 662 CHF  in 2014  (i.e. 60 CHF or 8.3% decrease)</w:t>
            </w:r>
          </w:p>
        </w:tc>
        <w:tc>
          <w:tcPr>
            <w:tcW w:w="869" w:type="pct"/>
            <w:tcBorders>
              <w:top w:val="single" w:sz="4" w:space="0" w:color="auto"/>
              <w:left w:val="nil"/>
              <w:bottom w:val="single" w:sz="4" w:space="0" w:color="auto"/>
              <w:right w:val="single" w:sz="4" w:space="0" w:color="auto"/>
            </w:tcBorders>
            <w:shd w:val="clear" w:color="auto" w:fill="auto"/>
            <w:hideMark/>
          </w:tcPr>
          <w:p w:rsidR="00A44CCE" w:rsidRPr="00303E4F" w:rsidRDefault="00A44CCE">
            <w:pPr>
              <w:rPr>
                <w:color w:val="000000"/>
                <w:sz w:val="17"/>
                <w:szCs w:val="17"/>
              </w:rPr>
            </w:pPr>
            <w:r w:rsidRPr="00303E4F">
              <w:rPr>
                <w:color w:val="000000"/>
                <w:sz w:val="17"/>
                <w:szCs w:val="17"/>
              </w:rPr>
              <w:t> An increase from 662 CHF in 2014 to 735 CHF in 2015 (i.e. 73 CHF or 11%)</w:t>
            </w:r>
          </w:p>
        </w:tc>
        <w:tc>
          <w:tcPr>
            <w:tcW w:w="1167" w:type="pct"/>
            <w:tcBorders>
              <w:top w:val="single" w:sz="4" w:space="0" w:color="auto"/>
              <w:left w:val="nil"/>
              <w:bottom w:val="single" w:sz="4" w:space="0" w:color="auto"/>
              <w:right w:val="single" w:sz="4" w:space="0" w:color="auto"/>
            </w:tcBorders>
            <w:shd w:val="clear" w:color="auto" w:fill="auto"/>
            <w:hideMark/>
          </w:tcPr>
          <w:p w:rsidR="00A44CCE" w:rsidRPr="00303E4F" w:rsidRDefault="00A44CCE" w:rsidP="00220419">
            <w:pPr>
              <w:rPr>
                <w:color w:val="000000"/>
                <w:sz w:val="17"/>
                <w:szCs w:val="17"/>
              </w:rPr>
            </w:pPr>
            <w:r w:rsidRPr="00303E4F">
              <w:rPr>
                <w:sz w:val="17"/>
                <w:szCs w:val="17"/>
              </w:rPr>
              <w:t xml:space="preserve">The unit cost is defined as the average cost of producing one unit of output.  The unit cost calculation takes into account the total cost of production which comprises expenditure relating exclusively to the PCT System and expenditure of activities supporting the system.  </w:t>
            </w:r>
            <w:r w:rsidRPr="00303E4F">
              <w:rPr>
                <w:color w:val="000000"/>
                <w:sz w:val="17"/>
                <w:szCs w:val="17"/>
              </w:rPr>
              <w:t xml:space="preserve">(For more details, please refer to the PPR 2014/15).  </w:t>
            </w:r>
          </w:p>
          <w:p w:rsidR="00A44CCE" w:rsidRPr="00303E4F" w:rsidRDefault="00A44CCE">
            <w:pPr>
              <w:rPr>
                <w:color w:val="000000"/>
                <w:sz w:val="17"/>
                <w:szCs w:val="17"/>
              </w:rPr>
            </w:pPr>
          </w:p>
        </w:tc>
      </w:tr>
      <w:tr w:rsidR="00A44CCE" w:rsidRPr="00BE62B6" w:rsidTr="00D25F58">
        <w:trPr>
          <w:trHeight w:val="1256"/>
        </w:trPr>
        <w:tc>
          <w:tcPr>
            <w:tcW w:w="946" w:type="pct"/>
            <w:tcBorders>
              <w:top w:val="nil"/>
              <w:left w:val="single" w:sz="4" w:space="0" w:color="auto"/>
              <w:bottom w:val="single" w:sz="4" w:space="0" w:color="auto"/>
              <w:right w:val="single" w:sz="4" w:space="0" w:color="auto"/>
            </w:tcBorders>
            <w:shd w:val="clear" w:color="auto" w:fill="auto"/>
          </w:tcPr>
          <w:p w:rsidR="00A44CCE" w:rsidRPr="00303E4F" w:rsidRDefault="00A44CCE" w:rsidP="00220419">
            <w:pPr>
              <w:rPr>
                <w:color w:val="000000"/>
                <w:sz w:val="17"/>
                <w:szCs w:val="17"/>
              </w:rPr>
            </w:pPr>
            <w:r w:rsidRPr="00303E4F">
              <w:rPr>
                <w:color w:val="000000"/>
                <w:sz w:val="17"/>
                <w:szCs w:val="17"/>
              </w:rPr>
              <w:t>Lower cost of processing a new/renewed international registration under the Madrid System</w:t>
            </w:r>
          </w:p>
        </w:tc>
        <w:tc>
          <w:tcPr>
            <w:tcW w:w="655" w:type="pct"/>
            <w:tcBorders>
              <w:top w:val="nil"/>
              <w:left w:val="nil"/>
              <w:bottom w:val="single" w:sz="4" w:space="0" w:color="auto"/>
              <w:right w:val="single" w:sz="4" w:space="0" w:color="auto"/>
            </w:tcBorders>
            <w:shd w:val="clear" w:color="auto" w:fill="auto"/>
          </w:tcPr>
          <w:p w:rsidR="00A44CCE" w:rsidRPr="00303E4F" w:rsidRDefault="00A44CCE" w:rsidP="00220419">
            <w:pPr>
              <w:rPr>
                <w:color w:val="000000"/>
                <w:sz w:val="17"/>
                <w:szCs w:val="17"/>
              </w:rPr>
            </w:pPr>
          </w:p>
        </w:tc>
        <w:tc>
          <w:tcPr>
            <w:tcW w:w="654" w:type="pct"/>
            <w:tcBorders>
              <w:top w:val="nil"/>
              <w:left w:val="nil"/>
              <w:bottom w:val="single" w:sz="4" w:space="0" w:color="auto"/>
              <w:right w:val="single" w:sz="4" w:space="0" w:color="auto"/>
            </w:tcBorders>
            <w:shd w:val="clear" w:color="auto" w:fill="auto"/>
          </w:tcPr>
          <w:p w:rsidR="00A44CCE" w:rsidRPr="00303E4F" w:rsidRDefault="00A44CCE" w:rsidP="00220419">
            <w:pPr>
              <w:rPr>
                <w:color w:val="000000"/>
                <w:sz w:val="17"/>
                <w:szCs w:val="17"/>
              </w:rPr>
            </w:pPr>
          </w:p>
        </w:tc>
        <w:tc>
          <w:tcPr>
            <w:tcW w:w="709" w:type="pct"/>
            <w:tcBorders>
              <w:top w:val="nil"/>
              <w:left w:val="nil"/>
              <w:bottom w:val="single" w:sz="4" w:space="0" w:color="auto"/>
              <w:right w:val="single" w:sz="4" w:space="0" w:color="auto"/>
            </w:tcBorders>
            <w:shd w:val="clear" w:color="auto" w:fill="auto"/>
          </w:tcPr>
          <w:p w:rsidR="00A44CCE" w:rsidRPr="00303E4F" w:rsidRDefault="00A44CCE" w:rsidP="00220419">
            <w:pPr>
              <w:rPr>
                <w:color w:val="000000"/>
                <w:sz w:val="17"/>
                <w:szCs w:val="17"/>
              </w:rPr>
            </w:pPr>
          </w:p>
        </w:tc>
        <w:tc>
          <w:tcPr>
            <w:tcW w:w="869" w:type="pct"/>
            <w:tcBorders>
              <w:top w:val="nil"/>
              <w:left w:val="nil"/>
              <w:bottom w:val="single" w:sz="4" w:space="0" w:color="auto"/>
              <w:right w:val="single" w:sz="4" w:space="0" w:color="auto"/>
            </w:tcBorders>
            <w:shd w:val="clear" w:color="auto" w:fill="auto"/>
          </w:tcPr>
          <w:p w:rsidR="00A44CCE" w:rsidRPr="00303E4F" w:rsidRDefault="00A44CCE">
            <w:pPr>
              <w:rPr>
                <w:color w:val="000000"/>
                <w:sz w:val="17"/>
                <w:szCs w:val="17"/>
              </w:rPr>
            </w:pPr>
            <w:r w:rsidRPr="00303E4F">
              <w:rPr>
                <w:color w:val="000000"/>
                <w:sz w:val="17"/>
                <w:szCs w:val="17"/>
              </w:rPr>
              <w:t>A decrease from 837 CHF in 2014 to 743 CHF in 2015 (i.e. 94 CHF or 11%)</w:t>
            </w:r>
          </w:p>
        </w:tc>
        <w:tc>
          <w:tcPr>
            <w:tcW w:w="1167" w:type="pct"/>
            <w:tcBorders>
              <w:top w:val="nil"/>
              <w:left w:val="nil"/>
              <w:bottom w:val="single" w:sz="4" w:space="0" w:color="auto"/>
              <w:right w:val="single" w:sz="4" w:space="0" w:color="auto"/>
            </w:tcBorders>
            <w:shd w:val="clear" w:color="auto" w:fill="auto"/>
          </w:tcPr>
          <w:p w:rsidR="00A44CCE" w:rsidRPr="00303E4F" w:rsidRDefault="00A44CCE">
            <w:pPr>
              <w:rPr>
                <w:color w:val="000000"/>
                <w:sz w:val="17"/>
                <w:szCs w:val="17"/>
              </w:rPr>
            </w:pPr>
            <w:r w:rsidRPr="00303E4F">
              <w:rPr>
                <w:color w:val="000000"/>
                <w:sz w:val="17"/>
                <w:szCs w:val="17"/>
              </w:rPr>
              <w:t xml:space="preserve">Please refer to the PPR 2014/15 for more information on the indicators for the Madrid System operations. </w:t>
            </w:r>
          </w:p>
        </w:tc>
      </w:tr>
      <w:tr w:rsidR="00A44CCE" w:rsidRPr="00BE62B6" w:rsidTr="00D25F58">
        <w:trPr>
          <w:trHeight w:val="1020"/>
        </w:trPr>
        <w:tc>
          <w:tcPr>
            <w:tcW w:w="946" w:type="pct"/>
            <w:tcBorders>
              <w:top w:val="single" w:sz="4" w:space="0" w:color="auto"/>
              <w:left w:val="single" w:sz="4" w:space="0" w:color="auto"/>
              <w:bottom w:val="single" w:sz="4" w:space="0" w:color="auto"/>
              <w:right w:val="single" w:sz="4" w:space="0" w:color="auto"/>
            </w:tcBorders>
            <w:shd w:val="clear" w:color="auto" w:fill="auto"/>
            <w:hideMark/>
          </w:tcPr>
          <w:p w:rsidR="00A44CCE" w:rsidRPr="00303E4F" w:rsidRDefault="00A44CCE" w:rsidP="00220419">
            <w:pPr>
              <w:rPr>
                <w:color w:val="000000"/>
                <w:sz w:val="17"/>
                <w:szCs w:val="17"/>
              </w:rPr>
            </w:pPr>
            <w:r w:rsidRPr="00303E4F">
              <w:rPr>
                <w:color w:val="000000"/>
                <w:sz w:val="17"/>
                <w:szCs w:val="17"/>
              </w:rPr>
              <w:t>Reduction in the cost of home leave travel resulting from the implementation of the new home leave travel policy (OI 22/2014)</w:t>
            </w:r>
          </w:p>
        </w:tc>
        <w:tc>
          <w:tcPr>
            <w:tcW w:w="655" w:type="pct"/>
            <w:tcBorders>
              <w:top w:val="single" w:sz="4" w:space="0" w:color="auto"/>
              <w:left w:val="nil"/>
              <w:bottom w:val="single" w:sz="4" w:space="0" w:color="auto"/>
              <w:right w:val="single" w:sz="4" w:space="0" w:color="auto"/>
            </w:tcBorders>
            <w:shd w:val="clear" w:color="auto" w:fill="auto"/>
            <w:hideMark/>
          </w:tcPr>
          <w:p w:rsidR="00A44CCE" w:rsidRPr="00303E4F" w:rsidRDefault="00A44CCE" w:rsidP="00220419">
            <w:pPr>
              <w:rPr>
                <w:color w:val="000000"/>
                <w:sz w:val="17"/>
                <w:szCs w:val="17"/>
              </w:rPr>
            </w:pPr>
            <w:r w:rsidRPr="00303E4F">
              <w:rPr>
                <w:color w:val="000000"/>
                <w:sz w:val="17"/>
                <w:szCs w:val="17"/>
              </w:rPr>
              <w:t>n/a</w:t>
            </w:r>
          </w:p>
        </w:tc>
        <w:tc>
          <w:tcPr>
            <w:tcW w:w="654" w:type="pct"/>
            <w:tcBorders>
              <w:top w:val="single" w:sz="4" w:space="0" w:color="auto"/>
              <w:left w:val="nil"/>
              <w:bottom w:val="single" w:sz="4" w:space="0" w:color="auto"/>
              <w:right w:val="single" w:sz="4" w:space="0" w:color="auto"/>
            </w:tcBorders>
            <w:shd w:val="clear" w:color="auto" w:fill="auto"/>
            <w:hideMark/>
          </w:tcPr>
          <w:p w:rsidR="00A44CCE" w:rsidRPr="00303E4F" w:rsidRDefault="00A44CCE" w:rsidP="00220419">
            <w:pPr>
              <w:rPr>
                <w:color w:val="000000"/>
                <w:sz w:val="17"/>
                <w:szCs w:val="17"/>
              </w:rPr>
            </w:pPr>
            <w:r w:rsidRPr="00303E4F">
              <w:rPr>
                <w:color w:val="000000"/>
                <w:sz w:val="17"/>
                <w:szCs w:val="17"/>
              </w:rPr>
              <w:t> 267,000</w:t>
            </w:r>
          </w:p>
        </w:tc>
        <w:tc>
          <w:tcPr>
            <w:tcW w:w="709" w:type="pct"/>
            <w:tcBorders>
              <w:top w:val="single" w:sz="4" w:space="0" w:color="auto"/>
              <w:left w:val="nil"/>
              <w:bottom w:val="single" w:sz="4" w:space="0" w:color="auto"/>
              <w:right w:val="single" w:sz="4" w:space="0" w:color="auto"/>
            </w:tcBorders>
            <w:shd w:val="clear" w:color="auto" w:fill="auto"/>
            <w:hideMark/>
          </w:tcPr>
          <w:p w:rsidR="00A44CCE" w:rsidRPr="00303E4F" w:rsidRDefault="00A44CCE" w:rsidP="00220419">
            <w:pPr>
              <w:rPr>
                <w:color w:val="000000"/>
                <w:sz w:val="17"/>
                <w:szCs w:val="17"/>
              </w:rPr>
            </w:pPr>
          </w:p>
        </w:tc>
        <w:tc>
          <w:tcPr>
            <w:tcW w:w="869" w:type="pct"/>
            <w:tcBorders>
              <w:top w:val="single" w:sz="4" w:space="0" w:color="auto"/>
              <w:left w:val="nil"/>
              <w:bottom w:val="single" w:sz="4" w:space="0" w:color="auto"/>
              <w:right w:val="single" w:sz="4" w:space="0" w:color="auto"/>
            </w:tcBorders>
            <w:shd w:val="clear" w:color="auto" w:fill="auto"/>
            <w:hideMark/>
          </w:tcPr>
          <w:p w:rsidR="00A44CCE" w:rsidRPr="00303E4F" w:rsidRDefault="00A44CCE" w:rsidP="00220419">
            <w:pPr>
              <w:rPr>
                <w:color w:val="000000"/>
                <w:sz w:val="17"/>
                <w:szCs w:val="17"/>
              </w:rPr>
            </w:pPr>
          </w:p>
        </w:tc>
        <w:tc>
          <w:tcPr>
            <w:tcW w:w="1167" w:type="pct"/>
            <w:tcBorders>
              <w:top w:val="single" w:sz="4" w:space="0" w:color="auto"/>
              <w:left w:val="nil"/>
              <w:bottom w:val="single" w:sz="4" w:space="0" w:color="auto"/>
              <w:right w:val="single" w:sz="4" w:space="0" w:color="auto"/>
            </w:tcBorders>
            <w:shd w:val="clear" w:color="auto" w:fill="auto"/>
            <w:hideMark/>
          </w:tcPr>
          <w:p w:rsidR="00A44CCE" w:rsidRPr="00303E4F" w:rsidRDefault="00A44CCE">
            <w:pPr>
              <w:rPr>
                <w:color w:val="000000"/>
                <w:sz w:val="17"/>
                <w:szCs w:val="17"/>
              </w:rPr>
            </w:pPr>
            <w:r w:rsidRPr="00303E4F">
              <w:rPr>
                <w:color w:val="000000"/>
                <w:sz w:val="17"/>
                <w:szCs w:val="17"/>
              </w:rPr>
              <w:t xml:space="preserve">The implementation of the new home leave travel policy started in 2015.  </w:t>
            </w:r>
          </w:p>
        </w:tc>
      </w:tr>
      <w:tr w:rsidR="00A44CCE" w:rsidRPr="00BE62B6" w:rsidTr="00D25F58">
        <w:trPr>
          <w:trHeight w:val="2040"/>
        </w:trPr>
        <w:tc>
          <w:tcPr>
            <w:tcW w:w="946" w:type="pct"/>
            <w:tcBorders>
              <w:top w:val="nil"/>
              <w:left w:val="single" w:sz="4" w:space="0" w:color="auto"/>
              <w:bottom w:val="single" w:sz="4" w:space="0" w:color="auto"/>
              <w:right w:val="single" w:sz="4" w:space="0" w:color="auto"/>
            </w:tcBorders>
            <w:shd w:val="clear" w:color="auto" w:fill="auto"/>
          </w:tcPr>
          <w:p w:rsidR="00A44CCE" w:rsidRPr="00303E4F" w:rsidRDefault="00A44CCE">
            <w:pPr>
              <w:rPr>
                <w:color w:val="000000"/>
                <w:sz w:val="17"/>
                <w:szCs w:val="17"/>
              </w:rPr>
            </w:pPr>
            <w:r w:rsidRPr="00303E4F">
              <w:rPr>
                <w:color w:val="000000"/>
                <w:sz w:val="17"/>
                <w:szCs w:val="17"/>
              </w:rPr>
              <w:t xml:space="preserve">Lower average air ticket price resulting from the implementation of new technology travel tools offering more economical fares (restrictive or non-refundable fares) configured in full compliance with WIPO travel policy and influencing advance ticketing.  </w:t>
            </w:r>
          </w:p>
        </w:tc>
        <w:tc>
          <w:tcPr>
            <w:tcW w:w="655" w:type="pct"/>
            <w:tcBorders>
              <w:top w:val="nil"/>
              <w:left w:val="nil"/>
              <w:bottom w:val="single" w:sz="4" w:space="0" w:color="auto"/>
              <w:right w:val="single" w:sz="4" w:space="0" w:color="auto"/>
            </w:tcBorders>
            <w:shd w:val="clear" w:color="auto" w:fill="auto"/>
          </w:tcPr>
          <w:p w:rsidR="00A44CCE" w:rsidRPr="00303E4F" w:rsidRDefault="00A44CCE" w:rsidP="00220419">
            <w:pPr>
              <w:rPr>
                <w:color w:val="000000"/>
                <w:sz w:val="17"/>
                <w:szCs w:val="17"/>
              </w:rPr>
            </w:pPr>
          </w:p>
        </w:tc>
        <w:tc>
          <w:tcPr>
            <w:tcW w:w="654" w:type="pct"/>
            <w:tcBorders>
              <w:top w:val="nil"/>
              <w:left w:val="nil"/>
              <w:bottom w:val="single" w:sz="4" w:space="0" w:color="auto"/>
              <w:right w:val="single" w:sz="4" w:space="0" w:color="auto"/>
            </w:tcBorders>
            <w:shd w:val="clear" w:color="auto" w:fill="auto"/>
          </w:tcPr>
          <w:p w:rsidR="00A44CCE" w:rsidRPr="00303E4F" w:rsidRDefault="00A44CCE" w:rsidP="00220419">
            <w:pPr>
              <w:rPr>
                <w:color w:val="000000"/>
                <w:sz w:val="17"/>
                <w:szCs w:val="17"/>
              </w:rPr>
            </w:pPr>
            <w:r w:rsidRPr="00303E4F">
              <w:rPr>
                <w:color w:val="000000"/>
                <w:sz w:val="17"/>
                <w:szCs w:val="17"/>
              </w:rPr>
              <w:t> </w:t>
            </w:r>
          </w:p>
        </w:tc>
        <w:tc>
          <w:tcPr>
            <w:tcW w:w="709" w:type="pct"/>
            <w:tcBorders>
              <w:top w:val="nil"/>
              <w:left w:val="nil"/>
              <w:bottom w:val="single" w:sz="4" w:space="0" w:color="auto"/>
              <w:right w:val="single" w:sz="4" w:space="0" w:color="auto"/>
            </w:tcBorders>
            <w:shd w:val="clear" w:color="auto" w:fill="auto"/>
          </w:tcPr>
          <w:p w:rsidR="00A44CCE" w:rsidRPr="00303E4F" w:rsidRDefault="00A44CCE">
            <w:pPr>
              <w:rPr>
                <w:color w:val="000000"/>
                <w:sz w:val="17"/>
                <w:szCs w:val="17"/>
              </w:rPr>
            </w:pPr>
            <w:r w:rsidRPr="00303E4F">
              <w:rPr>
                <w:color w:val="000000"/>
                <w:sz w:val="17"/>
                <w:szCs w:val="17"/>
              </w:rPr>
              <w:t>A reduction from 1,728 CHF in 2013 to 1,598 CHF in 2014  (7.5% decrease from 2013)</w:t>
            </w:r>
          </w:p>
        </w:tc>
        <w:tc>
          <w:tcPr>
            <w:tcW w:w="869" w:type="pct"/>
            <w:tcBorders>
              <w:top w:val="nil"/>
              <w:left w:val="nil"/>
              <w:bottom w:val="single" w:sz="4" w:space="0" w:color="auto"/>
              <w:right w:val="single" w:sz="4" w:space="0" w:color="auto"/>
            </w:tcBorders>
            <w:shd w:val="clear" w:color="auto" w:fill="auto"/>
          </w:tcPr>
          <w:p w:rsidR="00A44CCE" w:rsidRPr="00303E4F" w:rsidRDefault="00A44CCE">
            <w:pPr>
              <w:rPr>
                <w:color w:val="000000"/>
                <w:sz w:val="17"/>
                <w:szCs w:val="17"/>
              </w:rPr>
            </w:pPr>
            <w:r w:rsidRPr="00303E4F">
              <w:rPr>
                <w:color w:val="000000"/>
                <w:sz w:val="17"/>
                <w:szCs w:val="17"/>
              </w:rPr>
              <w:t xml:space="preserve">A further reduction to 1,481 CHF in 2015 (7.3% decrease from 2014) </w:t>
            </w:r>
          </w:p>
        </w:tc>
        <w:tc>
          <w:tcPr>
            <w:tcW w:w="1167" w:type="pct"/>
            <w:tcBorders>
              <w:top w:val="nil"/>
              <w:left w:val="nil"/>
              <w:bottom w:val="single" w:sz="4" w:space="0" w:color="auto"/>
              <w:right w:val="single" w:sz="4" w:space="0" w:color="auto"/>
            </w:tcBorders>
            <w:shd w:val="clear" w:color="auto" w:fill="auto"/>
          </w:tcPr>
          <w:p w:rsidR="00A44CCE" w:rsidRPr="00303E4F" w:rsidRDefault="00A44CCE" w:rsidP="00220419">
            <w:pPr>
              <w:rPr>
                <w:color w:val="000000"/>
                <w:sz w:val="17"/>
                <w:szCs w:val="17"/>
              </w:rPr>
            </w:pPr>
            <w:r w:rsidRPr="00303E4F">
              <w:rPr>
                <w:color w:val="000000"/>
                <w:sz w:val="17"/>
                <w:szCs w:val="17"/>
              </w:rPr>
              <w:t>2014: A substantial effort was made to reduce travel expenditure leading to a decrease in both the number of tickets issued and the number of late travel submissions.</w:t>
            </w:r>
          </w:p>
          <w:p w:rsidR="00A44CCE" w:rsidRPr="00303E4F" w:rsidRDefault="00A44CCE" w:rsidP="00220419">
            <w:pPr>
              <w:rPr>
                <w:color w:val="000000"/>
                <w:sz w:val="17"/>
                <w:szCs w:val="17"/>
              </w:rPr>
            </w:pPr>
          </w:p>
          <w:p w:rsidR="00A44CCE" w:rsidRPr="00303E4F" w:rsidRDefault="00A44CCE">
            <w:pPr>
              <w:rPr>
                <w:color w:val="000000"/>
                <w:sz w:val="17"/>
                <w:szCs w:val="17"/>
              </w:rPr>
            </w:pPr>
            <w:r w:rsidRPr="00303E4F">
              <w:rPr>
                <w:color w:val="000000"/>
                <w:sz w:val="17"/>
                <w:szCs w:val="17"/>
              </w:rPr>
              <w:t xml:space="preserve">2015: The implementation of an Online Booking Tool (OBT) and the reporting on late travel authorization submissions (i.e. 16 days prior to departure) have improved early booking rates, resulting in cheaper fares available on the market (the average ticket fare includes tickets issued through the Travel agent, UNDP and self-purchased ones).  </w:t>
            </w:r>
          </w:p>
        </w:tc>
      </w:tr>
      <w:tr w:rsidR="00A44CCE" w:rsidRPr="00BE62B6" w:rsidTr="00D25F58">
        <w:trPr>
          <w:trHeight w:val="1711"/>
        </w:trPr>
        <w:tc>
          <w:tcPr>
            <w:tcW w:w="946" w:type="pct"/>
            <w:tcBorders>
              <w:top w:val="nil"/>
              <w:left w:val="single" w:sz="4" w:space="0" w:color="auto"/>
              <w:bottom w:val="single" w:sz="4" w:space="0" w:color="auto"/>
              <w:right w:val="single" w:sz="4" w:space="0" w:color="auto"/>
            </w:tcBorders>
            <w:shd w:val="clear" w:color="auto" w:fill="auto"/>
          </w:tcPr>
          <w:p w:rsidR="00A44CCE" w:rsidRPr="00303E4F" w:rsidRDefault="00A44CCE" w:rsidP="00220419">
            <w:pPr>
              <w:rPr>
                <w:color w:val="000000"/>
                <w:sz w:val="17"/>
                <w:szCs w:val="17"/>
              </w:rPr>
            </w:pPr>
            <w:r w:rsidRPr="00303E4F">
              <w:rPr>
                <w:color w:val="000000"/>
                <w:sz w:val="17"/>
                <w:szCs w:val="17"/>
              </w:rPr>
              <w:lastRenderedPageBreak/>
              <w:t xml:space="preserve">Lower average transaction fee paid overall to the travel agent, UNDP and Online booking tool.  </w:t>
            </w:r>
          </w:p>
        </w:tc>
        <w:tc>
          <w:tcPr>
            <w:tcW w:w="655" w:type="pct"/>
            <w:tcBorders>
              <w:top w:val="nil"/>
              <w:left w:val="nil"/>
              <w:bottom w:val="single" w:sz="4" w:space="0" w:color="auto"/>
              <w:right w:val="single" w:sz="4" w:space="0" w:color="auto"/>
            </w:tcBorders>
            <w:shd w:val="clear" w:color="auto" w:fill="auto"/>
          </w:tcPr>
          <w:p w:rsidR="00A44CCE" w:rsidRPr="00303E4F" w:rsidRDefault="00A44CCE" w:rsidP="00220419">
            <w:pPr>
              <w:rPr>
                <w:color w:val="000000"/>
                <w:sz w:val="17"/>
                <w:szCs w:val="17"/>
              </w:rPr>
            </w:pPr>
          </w:p>
        </w:tc>
        <w:tc>
          <w:tcPr>
            <w:tcW w:w="654" w:type="pct"/>
            <w:tcBorders>
              <w:top w:val="nil"/>
              <w:left w:val="nil"/>
              <w:bottom w:val="single" w:sz="4" w:space="0" w:color="auto"/>
              <w:right w:val="single" w:sz="4" w:space="0" w:color="auto"/>
            </w:tcBorders>
            <w:shd w:val="clear" w:color="auto" w:fill="auto"/>
          </w:tcPr>
          <w:p w:rsidR="00A44CCE" w:rsidRPr="00303E4F" w:rsidRDefault="00A44CCE" w:rsidP="00220419">
            <w:pPr>
              <w:rPr>
                <w:color w:val="000000"/>
                <w:sz w:val="17"/>
                <w:szCs w:val="17"/>
              </w:rPr>
            </w:pPr>
          </w:p>
        </w:tc>
        <w:tc>
          <w:tcPr>
            <w:tcW w:w="709" w:type="pct"/>
            <w:tcBorders>
              <w:top w:val="nil"/>
              <w:left w:val="nil"/>
              <w:bottom w:val="single" w:sz="4" w:space="0" w:color="auto"/>
              <w:right w:val="single" w:sz="4" w:space="0" w:color="auto"/>
            </w:tcBorders>
            <w:shd w:val="clear" w:color="auto" w:fill="auto"/>
          </w:tcPr>
          <w:p w:rsidR="00A44CCE" w:rsidRPr="00303E4F" w:rsidRDefault="00A44CCE" w:rsidP="00220419">
            <w:pPr>
              <w:rPr>
                <w:color w:val="000000"/>
                <w:sz w:val="17"/>
                <w:szCs w:val="17"/>
              </w:rPr>
            </w:pPr>
            <w:r w:rsidRPr="00303E4F">
              <w:rPr>
                <w:color w:val="000000"/>
                <w:sz w:val="17"/>
                <w:szCs w:val="17"/>
              </w:rPr>
              <w:t>119</w:t>
            </w:r>
          </w:p>
        </w:tc>
        <w:tc>
          <w:tcPr>
            <w:tcW w:w="869" w:type="pct"/>
            <w:tcBorders>
              <w:top w:val="nil"/>
              <w:left w:val="nil"/>
              <w:bottom w:val="single" w:sz="4" w:space="0" w:color="auto"/>
              <w:right w:val="single" w:sz="4" w:space="0" w:color="auto"/>
            </w:tcBorders>
            <w:shd w:val="clear" w:color="auto" w:fill="auto"/>
          </w:tcPr>
          <w:p w:rsidR="00A44CCE" w:rsidRPr="00303E4F" w:rsidRDefault="00A44CCE" w:rsidP="00220419">
            <w:pPr>
              <w:rPr>
                <w:color w:val="000000"/>
                <w:sz w:val="17"/>
                <w:szCs w:val="17"/>
              </w:rPr>
            </w:pPr>
            <w:r w:rsidRPr="00303E4F">
              <w:rPr>
                <w:color w:val="000000"/>
                <w:sz w:val="17"/>
                <w:szCs w:val="17"/>
              </w:rPr>
              <w:t>95</w:t>
            </w:r>
          </w:p>
        </w:tc>
        <w:tc>
          <w:tcPr>
            <w:tcW w:w="1167" w:type="pct"/>
            <w:tcBorders>
              <w:top w:val="nil"/>
              <w:left w:val="nil"/>
              <w:bottom w:val="single" w:sz="4" w:space="0" w:color="auto"/>
              <w:right w:val="single" w:sz="4" w:space="0" w:color="auto"/>
            </w:tcBorders>
            <w:shd w:val="clear" w:color="auto" w:fill="auto"/>
          </w:tcPr>
          <w:p w:rsidR="00A44CCE" w:rsidRPr="00303E4F" w:rsidRDefault="00A44CCE">
            <w:pPr>
              <w:rPr>
                <w:color w:val="000000"/>
                <w:sz w:val="17"/>
                <w:szCs w:val="17"/>
              </w:rPr>
            </w:pPr>
            <w:r w:rsidRPr="00303E4F">
              <w:rPr>
                <w:color w:val="000000"/>
                <w:sz w:val="17"/>
                <w:szCs w:val="17"/>
              </w:rPr>
              <w:t xml:space="preserve">Enforcing the use of the OBT for all simple trips (one destination) resulted in 69% of the total number of tickets being issued by the Travel Agent and a decrease in the average transaction fee. </w:t>
            </w:r>
          </w:p>
        </w:tc>
      </w:tr>
      <w:tr w:rsidR="00A44CCE" w:rsidRPr="00BE62B6" w:rsidTr="00D25F58">
        <w:trPr>
          <w:trHeight w:val="2040"/>
        </w:trPr>
        <w:tc>
          <w:tcPr>
            <w:tcW w:w="946" w:type="pct"/>
            <w:tcBorders>
              <w:top w:val="nil"/>
              <w:left w:val="single" w:sz="4" w:space="0" w:color="auto"/>
              <w:bottom w:val="single" w:sz="4" w:space="0" w:color="auto"/>
              <w:right w:val="single" w:sz="4" w:space="0" w:color="auto"/>
            </w:tcBorders>
            <w:shd w:val="clear" w:color="auto" w:fill="auto"/>
          </w:tcPr>
          <w:p w:rsidR="00A44CCE" w:rsidRPr="00303E4F" w:rsidRDefault="00A44CCE" w:rsidP="00220419">
            <w:pPr>
              <w:rPr>
                <w:color w:val="000000"/>
                <w:sz w:val="17"/>
                <w:szCs w:val="17"/>
              </w:rPr>
            </w:pPr>
            <w:r w:rsidRPr="00303E4F">
              <w:rPr>
                <w:color w:val="000000"/>
                <w:sz w:val="17"/>
                <w:szCs w:val="17"/>
              </w:rPr>
              <w:t>Cost savings for goods and services procured by WIPO</w:t>
            </w:r>
          </w:p>
        </w:tc>
        <w:tc>
          <w:tcPr>
            <w:tcW w:w="655" w:type="pct"/>
            <w:tcBorders>
              <w:top w:val="nil"/>
              <w:left w:val="nil"/>
              <w:bottom w:val="single" w:sz="4" w:space="0" w:color="auto"/>
              <w:right w:val="single" w:sz="4" w:space="0" w:color="auto"/>
            </w:tcBorders>
            <w:shd w:val="clear" w:color="auto" w:fill="auto"/>
          </w:tcPr>
          <w:p w:rsidR="00A44CCE" w:rsidRPr="00303E4F" w:rsidRDefault="00A44CCE" w:rsidP="00220419">
            <w:pPr>
              <w:rPr>
                <w:color w:val="000000"/>
                <w:sz w:val="17"/>
                <w:szCs w:val="17"/>
              </w:rPr>
            </w:pPr>
            <w:r w:rsidRPr="00303E4F">
              <w:rPr>
                <w:color w:val="000000"/>
                <w:sz w:val="17"/>
                <w:szCs w:val="17"/>
              </w:rPr>
              <w:t>2,663,000</w:t>
            </w:r>
          </w:p>
        </w:tc>
        <w:tc>
          <w:tcPr>
            <w:tcW w:w="654" w:type="pct"/>
            <w:tcBorders>
              <w:top w:val="nil"/>
              <w:left w:val="nil"/>
              <w:bottom w:val="single" w:sz="4" w:space="0" w:color="auto"/>
              <w:right w:val="single" w:sz="4" w:space="0" w:color="auto"/>
            </w:tcBorders>
            <w:shd w:val="clear" w:color="auto" w:fill="auto"/>
          </w:tcPr>
          <w:p w:rsidR="00A44CCE" w:rsidRPr="00303E4F" w:rsidRDefault="00A44CCE" w:rsidP="00220419">
            <w:pPr>
              <w:rPr>
                <w:color w:val="000000"/>
                <w:sz w:val="17"/>
                <w:szCs w:val="17"/>
              </w:rPr>
            </w:pPr>
            <w:r w:rsidRPr="00303E4F">
              <w:rPr>
                <w:color w:val="000000"/>
                <w:sz w:val="17"/>
                <w:szCs w:val="17"/>
              </w:rPr>
              <w:t xml:space="preserve">3,826,361 </w:t>
            </w:r>
          </w:p>
        </w:tc>
        <w:tc>
          <w:tcPr>
            <w:tcW w:w="709" w:type="pct"/>
            <w:tcBorders>
              <w:top w:val="nil"/>
              <w:left w:val="nil"/>
              <w:bottom w:val="single" w:sz="4" w:space="0" w:color="auto"/>
              <w:right w:val="single" w:sz="4" w:space="0" w:color="auto"/>
            </w:tcBorders>
            <w:shd w:val="clear" w:color="auto" w:fill="auto"/>
          </w:tcPr>
          <w:p w:rsidR="00A44CCE" w:rsidRPr="00303E4F" w:rsidRDefault="00A44CCE" w:rsidP="00220419">
            <w:pPr>
              <w:rPr>
                <w:color w:val="000000"/>
                <w:sz w:val="17"/>
                <w:szCs w:val="17"/>
              </w:rPr>
            </w:pPr>
          </w:p>
        </w:tc>
        <w:tc>
          <w:tcPr>
            <w:tcW w:w="869" w:type="pct"/>
            <w:tcBorders>
              <w:top w:val="nil"/>
              <w:left w:val="nil"/>
              <w:bottom w:val="single" w:sz="4" w:space="0" w:color="auto"/>
              <w:right w:val="single" w:sz="4" w:space="0" w:color="auto"/>
            </w:tcBorders>
            <w:shd w:val="clear" w:color="auto" w:fill="auto"/>
          </w:tcPr>
          <w:p w:rsidR="00A44CCE" w:rsidRPr="00303E4F" w:rsidRDefault="00A44CCE" w:rsidP="00220419">
            <w:pPr>
              <w:rPr>
                <w:color w:val="000000"/>
                <w:sz w:val="17"/>
                <w:szCs w:val="17"/>
              </w:rPr>
            </w:pPr>
          </w:p>
        </w:tc>
        <w:tc>
          <w:tcPr>
            <w:tcW w:w="1167" w:type="pct"/>
            <w:tcBorders>
              <w:top w:val="nil"/>
              <w:left w:val="nil"/>
              <w:bottom w:val="single" w:sz="4" w:space="0" w:color="auto"/>
              <w:right w:val="single" w:sz="4" w:space="0" w:color="auto"/>
            </w:tcBorders>
            <w:shd w:val="clear" w:color="auto" w:fill="auto"/>
          </w:tcPr>
          <w:p w:rsidR="00A44CCE" w:rsidRPr="00303E4F" w:rsidRDefault="00A44CCE">
            <w:pPr>
              <w:rPr>
                <w:color w:val="000000"/>
                <w:sz w:val="17"/>
                <w:szCs w:val="17"/>
              </w:rPr>
            </w:pPr>
            <w:r w:rsidRPr="00303E4F">
              <w:rPr>
                <w:bCs/>
                <w:sz w:val="17"/>
                <w:szCs w:val="17"/>
              </w:rPr>
              <w:t>2014: savings of 1,598,000 CHF have been realized through the Common Procurement Activities Group (CPAG) and 1,064,000 CHF realized from WIPO negotiations after tenders or negotiations with sole suppliers.</w:t>
            </w:r>
          </w:p>
          <w:p w:rsidR="00A44CCE" w:rsidRPr="00303E4F" w:rsidRDefault="00A44CCE">
            <w:pPr>
              <w:rPr>
                <w:color w:val="000000"/>
                <w:sz w:val="17"/>
                <w:szCs w:val="17"/>
              </w:rPr>
            </w:pPr>
          </w:p>
          <w:p w:rsidR="00A44CCE" w:rsidRPr="00303E4F" w:rsidRDefault="00A44CCE" w:rsidP="00220419">
            <w:pPr>
              <w:rPr>
                <w:color w:val="000000"/>
                <w:sz w:val="17"/>
                <w:szCs w:val="17"/>
              </w:rPr>
            </w:pPr>
            <w:r w:rsidRPr="00303E4F">
              <w:rPr>
                <w:color w:val="000000"/>
                <w:sz w:val="17"/>
                <w:szCs w:val="17"/>
              </w:rPr>
              <w:t xml:space="preserve">2015: savings of 1,316,919 CHF </w:t>
            </w:r>
            <w:r w:rsidRPr="00303E4F">
              <w:rPr>
                <w:bCs/>
                <w:sz w:val="17"/>
                <w:szCs w:val="17"/>
              </w:rPr>
              <w:t>have been realized through the Common Procurement Activities Group (CPAG)</w:t>
            </w:r>
            <w:r w:rsidRPr="00303E4F">
              <w:rPr>
                <w:color w:val="000000"/>
                <w:sz w:val="17"/>
                <w:szCs w:val="17"/>
              </w:rPr>
              <w:t xml:space="preserve"> and 2,509,442 CHF </w:t>
            </w:r>
            <w:r w:rsidRPr="00303E4F">
              <w:rPr>
                <w:bCs/>
                <w:sz w:val="17"/>
                <w:szCs w:val="17"/>
              </w:rPr>
              <w:t>realized from WIPO negotiations after tenders or negotiations with sole suppliers.</w:t>
            </w:r>
          </w:p>
        </w:tc>
      </w:tr>
      <w:tr w:rsidR="00A44CCE" w:rsidRPr="00BE62B6" w:rsidTr="00D25F58">
        <w:trPr>
          <w:trHeight w:val="719"/>
        </w:trPr>
        <w:tc>
          <w:tcPr>
            <w:tcW w:w="946" w:type="pct"/>
            <w:tcBorders>
              <w:top w:val="nil"/>
              <w:left w:val="single" w:sz="4" w:space="0" w:color="auto"/>
              <w:bottom w:val="single" w:sz="4" w:space="0" w:color="auto"/>
              <w:right w:val="single" w:sz="4" w:space="0" w:color="auto"/>
            </w:tcBorders>
            <w:shd w:val="clear" w:color="auto" w:fill="auto"/>
            <w:hideMark/>
          </w:tcPr>
          <w:p w:rsidR="00A44CCE" w:rsidRPr="00303E4F" w:rsidRDefault="00A44CCE" w:rsidP="00220419">
            <w:pPr>
              <w:rPr>
                <w:color w:val="000000"/>
                <w:sz w:val="17"/>
                <w:szCs w:val="17"/>
              </w:rPr>
            </w:pPr>
            <w:r w:rsidRPr="00303E4F">
              <w:rPr>
                <w:color w:val="000000"/>
                <w:sz w:val="17"/>
                <w:szCs w:val="17"/>
              </w:rPr>
              <w:t>Reduction in energy consumption for the Cooling System using Geneva Lake water instead of city water that does not require use of machines to decrease water temperature and thus generates savings in electricity and water consumption for the operation of the Cooling System</w:t>
            </w:r>
          </w:p>
        </w:tc>
        <w:tc>
          <w:tcPr>
            <w:tcW w:w="655" w:type="pct"/>
            <w:tcBorders>
              <w:top w:val="nil"/>
              <w:left w:val="nil"/>
              <w:bottom w:val="single" w:sz="4" w:space="0" w:color="auto"/>
              <w:right w:val="single" w:sz="4" w:space="0" w:color="auto"/>
            </w:tcBorders>
            <w:shd w:val="clear" w:color="auto" w:fill="auto"/>
            <w:hideMark/>
          </w:tcPr>
          <w:p w:rsidR="00A44CCE" w:rsidRPr="00303E4F" w:rsidRDefault="00A44CCE" w:rsidP="00220419">
            <w:pPr>
              <w:rPr>
                <w:color w:val="000000"/>
                <w:sz w:val="17"/>
                <w:szCs w:val="17"/>
              </w:rPr>
            </w:pPr>
            <w:r w:rsidRPr="00303E4F">
              <w:rPr>
                <w:color w:val="000000"/>
                <w:sz w:val="17"/>
                <w:szCs w:val="17"/>
              </w:rPr>
              <w:t>35,000</w:t>
            </w:r>
          </w:p>
        </w:tc>
        <w:tc>
          <w:tcPr>
            <w:tcW w:w="654" w:type="pct"/>
            <w:tcBorders>
              <w:top w:val="nil"/>
              <w:left w:val="nil"/>
              <w:bottom w:val="single" w:sz="4" w:space="0" w:color="auto"/>
              <w:right w:val="single" w:sz="4" w:space="0" w:color="auto"/>
            </w:tcBorders>
            <w:shd w:val="clear" w:color="auto" w:fill="auto"/>
            <w:hideMark/>
          </w:tcPr>
          <w:p w:rsidR="00A44CCE" w:rsidRPr="00303E4F" w:rsidRDefault="00A44CCE" w:rsidP="00220419">
            <w:pPr>
              <w:rPr>
                <w:color w:val="000000"/>
                <w:sz w:val="17"/>
                <w:szCs w:val="17"/>
              </w:rPr>
            </w:pPr>
            <w:r w:rsidRPr="00303E4F">
              <w:rPr>
                <w:color w:val="000000"/>
                <w:sz w:val="17"/>
                <w:szCs w:val="17"/>
              </w:rPr>
              <w:t> 75,000</w:t>
            </w:r>
          </w:p>
        </w:tc>
        <w:tc>
          <w:tcPr>
            <w:tcW w:w="709" w:type="pct"/>
            <w:tcBorders>
              <w:top w:val="nil"/>
              <w:left w:val="nil"/>
              <w:bottom w:val="single" w:sz="4" w:space="0" w:color="auto"/>
              <w:right w:val="single" w:sz="4" w:space="0" w:color="auto"/>
            </w:tcBorders>
            <w:shd w:val="clear" w:color="auto" w:fill="auto"/>
            <w:hideMark/>
          </w:tcPr>
          <w:p w:rsidR="00A44CCE" w:rsidRPr="00303E4F" w:rsidRDefault="00A44CCE" w:rsidP="00220419">
            <w:pPr>
              <w:rPr>
                <w:color w:val="000000"/>
                <w:sz w:val="17"/>
                <w:szCs w:val="17"/>
              </w:rPr>
            </w:pPr>
            <w:r w:rsidRPr="00303E4F">
              <w:rPr>
                <w:color w:val="000000"/>
                <w:sz w:val="17"/>
                <w:szCs w:val="17"/>
              </w:rPr>
              <w:t> </w:t>
            </w:r>
          </w:p>
        </w:tc>
        <w:tc>
          <w:tcPr>
            <w:tcW w:w="869" w:type="pct"/>
            <w:tcBorders>
              <w:top w:val="nil"/>
              <w:left w:val="nil"/>
              <w:bottom w:val="single" w:sz="4" w:space="0" w:color="auto"/>
              <w:right w:val="single" w:sz="4" w:space="0" w:color="auto"/>
            </w:tcBorders>
            <w:shd w:val="clear" w:color="auto" w:fill="auto"/>
            <w:hideMark/>
          </w:tcPr>
          <w:p w:rsidR="00A44CCE" w:rsidRPr="00303E4F" w:rsidRDefault="00A44CCE" w:rsidP="00220419">
            <w:pPr>
              <w:rPr>
                <w:color w:val="000000"/>
                <w:sz w:val="17"/>
                <w:szCs w:val="17"/>
              </w:rPr>
            </w:pPr>
            <w:r w:rsidRPr="00303E4F">
              <w:rPr>
                <w:color w:val="000000"/>
                <w:sz w:val="17"/>
                <w:szCs w:val="17"/>
              </w:rPr>
              <w:t> </w:t>
            </w:r>
          </w:p>
        </w:tc>
        <w:tc>
          <w:tcPr>
            <w:tcW w:w="1167" w:type="pct"/>
            <w:tcBorders>
              <w:top w:val="nil"/>
              <w:left w:val="nil"/>
              <w:bottom w:val="single" w:sz="4" w:space="0" w:color="auto"/>
              <w:right w:val="single" w:sz="4" w:space="0" w:color="auto"/>
            </w:tcBorders>
            <w:shd w:val="clear" w:color="auto" w:fill="auto"/>
            <w:hideMark/>
          </w:tcPr>
          <w:p w:rsidR="00A44CCE" w:rsidRPr="00303E4F" w:rsidRDefault="00A44CCE" w:rsidP="00220419">
            <w:pPr>
              <w:rPr>
                <w:color w:val="000000"/>
                <w:sz w:val="17"/>
                <w:szCs w:val="17"/>
              </w:rPr>
            </w:pPr>
            <w:r w:rsidRPr="00303E4F">
              <w:rPr>
                <w:color w:val="000000"/>
                <w:sz w:val="17"/>
                <w:szCs w:val="17"/>
              </w:rPr>
              <w:t>2014: AB Building:  Reduction in electricity and water consumption due to connection of the AB Building to the cooling system.  The connection was completed mid-year; hence savings were only realized in the second semester.</w:t>
            </w:r>
          </w:p>
          <w:p w:rsidR="00A44CCE" w:rsidRPr="00303E4F" w:rsidRDefault="00A44CCE" w:rsidP="00220419">
            <w:pPr>
              <w:rPr>
                <w:color w:val="000000"/>
                <w:sz w:val="17"/>
                <w:szCs w:val="17"/>
              </w:rPr>
            </w:pPr>
          </w:p>
          <w:p w:rsidR="00A44CCE" w:rsidRPr="00303E4F" w:rsidRDefault="00A44CCE" w:rsidP="00220419">
            <w:pPr>
              <w:rPr>
                <w:color w:val="000000"/>
                <w:sz w:val="17"/>
                <w:szCs w:val="17"/>
              </w:rPr>
            </w:pPr>
            <w:r w:rsidRPr="00303E4F">
              <w:rPr>
                <w:color w:val="000000"/>
                <w:sz w:val="17"/>
                <w:szCs w:val="17"/>
              </w:rPr>
              <w:t xml:space="preserve">2015: AB Building:  cost savings for the full year (70,000 CHF).  </w:t>
            </w:r>
          </w:p>
          <w:p w:rsidR="00A44CCE" w:rsidRPr="00303E4F" w:rsidRDefault="00A44CCE" w:rsidP="00220419">
            <w:pPr>
              <w:rPr>
                <w:color w:val="000000"/>
                <w:sz w:val="17"/>
                <w:szCs w:val="17"/>
              </w:rPr>
            </w:pPr>
          </w:p>
          <w:p w:rsidR="00A44CCE" w:rsidRPr="00303E4F" w:rsidRDefault="00A44CCE" w:rsidP="00220419">
            <w:pPr>
              <w:rPr>
                <w:color w:val="000000"/>
                <w:sz w:val="17"/>
                <w:szCs w:val="17"/>
              </w:rPr>
            </w:pPr>
            <w:r w:rsidRPr="00303E4F">
              <w:rPr>
                <w:color w:val="000000"/>
                <w:sz w:val="17"/>
                <w:szCs w:val="17"/>
              </w:rPr>
              <w:t xml:space="preserve">2015: PCT Building:  connection to the Geneva Lake cooling system operational as from November  2015 (hence savings of 5,000 CHF for 2 months) </w:t>
            </w:r>
          </w:p>
        </w:tc>
      </w:tr>
      <w:tr w:rsidR="00A44CCE" w:rsidRPr="00BE62B6" w:rsidTr="00D25F58">
        <w:trPr>
          <w:trHeight w:val="577"/>
        </w:trPr>
        <w:tc>
          <w:tcPr>
            <w:tcW w:w="946" w:type="pct"/>
            <w:tcBorders>
              <w:top w:val="nil"/>
              <w:left w:val="single" w:sz="4" w:space="0" w:color="auto"/>
              <w:bottom w:val="single" w:sz="4" w:space="0" w:color="auto"/>
              <w:right w:val="single" w:sz="4" w:space="0" w:color="auto"/>
            </w:tcBorders>
            <w:shd w:val="clear" w:color="auto" w:fill="auto"/>
            <w:hideMark/>
          </w:tcPr>
          <w:p w:rsidR="00A44CCE" w:rsidRPr="00303E4F" w:rsidRDefault="00A44CCE" w:rsidP="00220419">
            <w:pPr>
              <w:rPr>
                <w:color w:val="000000"/>
                <w:sz w:val="17"/>
                <w:szCs w:val="17"/>
              </w:rPr>
            </w:pPr>
            <w:r w:rsidRPr="00303E4F">
              <w:rPr>
                <w:color w:val="000000"/>
                <w:sz w:val="17"/>
                <w:szCs w:val="17"/>
              </w:rPr>
              <w:t xml:space="preserve">Reduction in electricity consumption in all WIPO buildings resulting from the installation of light presence detectors, energy-efficient light bulbs, light timing service in parking and new more efficient electric closets for the </w:t>
            </w:r>
            <w:r w:rsidRPr="00303E4F">
              <w:rPr>
                <w:color w:val="000000"/>
                <w:sz w:val="17"/>
                <w:szCs w:val="17"/>
              </w:rPr>
              <w:lastRenderedPageBreak/>
              <w:t>operation of electrical installations in all floors of all buildings.</w:t>
            </w:r>
          </w:p>
        </w:tc>
        <w:tc>
          <w:tcPr>
            <w:tcW w:w="655" w:type="pct"/>
            <w:tcBorders>
              <w:top w:val="nil"/>
              <w:left w:val="nil"/>
              <w:bottom w:val="single" w:sz="4" w:space="0" w:color="auto"/>
              <w:right w:val="single" w:sz="4" w:space="0" w:color="auto"/>
            </w:tcBorders>
            <w:shd w:val="clear" w:color="auto" w:fill="auto"/>
            <w:hideMark/>
          </w:tcPr>
          <w:p w:rsidR="00A44CCE" w:rsidRPr="00303E4F" w:rsidRDefault="00A44CCE" w:rsidP="00220419">
            <w:pPr>
              <w:rPr>
                <w:color w:val="000000"/>
                <w:sz w:val="17"/>
                <w:szCs w:val="17"/>
              </w:rPr>
            </w:pPr>
            <w:r w:rsidRPr="00303E4F">
              <w:rPr>
                <w:color w:val="000000"/>
                <w:sz w:val="17"/>
                <w:szCs w:val="17"/>
              </w:rPr>
              <w:lastRenderedPageBreak/>
              <w:t>15,000</w:t>
            </w:r>
          </w:p>
        </w:tc>
        <w:tc>
          <w:tcPr>
            <w:tcW w:w="654" w:type="pct"/>
            <w:tcBorders>
              <w:top w:val="nil"/>
              <w:left w:val="nil"/>
              <w:bottom w:val="single" w:sz="4" w:space="0" w:color="auto"/>
              <w:right w:val="single" w:sz="4" w:space="0" w:color="auto"/>
            </w:tcBorders>
            <w:shd w:val="clear" w:color="auto" w:fill="auto"/>
            <w:hideMark/>
          </w:tcPr>
          <w:p w:rsidR="00A44CCE" w:rsidRPr="00303E4F" w:rsidRDefault="00A44CCE" w:rsidP="00220419">
            <w:pPr>
              <w:rPr>
                <w:color w:val="000000"/>
                <w:sz w:val="17"/>
                <w:szCs w:val="17"/>
              </w:rPr>
            </w:pPr>
            <w:r w:rsidRPr="00303E4F">
              <w:rPr>
                <w:color w:val="000000"/>
                <w:sz w:val="17"/>
                <w:szCs w:val="17"/>
              </w:rPr>
              <w:t> 45,000</w:t>
            </w:r>
          </w:p>
        </w:tc>
        <w:tc>
          <w:tcPr>
            <w:tcW w:w="709" w:type="pct"/>
            <w:tcBorders>
              <w:top w:val="nil"/>
              <w:left w:val="nil"/>
              <w:bottom w:val="single" w:sz="4" w:space="0" w:color="auto"/>
              <w:right w:val="single" w:sz="4" w:space="0" w:color="auto"/>
            </w:tcBorders>
            <w:shd w:val="clear" w:color="auto" w:fill="auto"/>
            <w:hideMark/>
          </w:tcPr>
          <w:p w:rsidR="00A44CCE" w:rsidRPr="00303E4F" w:rsidRDefault="00A44CCE" w:rsidP="00220419">
            <w:pPr>
              <w:rPr>
                <w:color w:val="000000"/>
                <w:sz w:val="17"/>
                <w:szCs w:val="17"/>
              </w:rPr>
            </w:pPr>
            <w:r w:rsidRPr="00303E4F">
              <w:rPr>
                <w:color w:val="000000"/>
                <w:sz w:val="17"/>
                <w:szCs w:val="17"/>
              </w:rPr>
              <w:t> </w:t>
            </w:r>
          </w:p>
        </w:tc>
        <w:tc>
          <w:tcPr>
            <w:tcW w:w="869" w:type="pct"/>
            <w:tcBorders>
              <w:top w:val="nil"/>
              <w:left w:val="nil"/>
              <w:bottom w:val="single" w:sz="4" w:space="0" w:color="auto"/>
              <w:right w:val="single" w:sz="4" w:space="0" w:color="auto"/>
            </w:tcBorders>
            <w:shd w:val="clear" w:color="auto" w:fill="auto"/>
            <w:hideMark/>
          </w:tcPr>
          <w:p w:rsidR="00A44CCE" w:rsidRPr="00303E4F" w:rsidRDefault="00A44CCE" w:rsidP="00220419">
            <w:pPr>
              <w:rPr>
                <w:color w:val="000000"/>
                <w:sz w:val="17"/>
                <w:szCs w:val="17"/>
              </w:rPr>
            </w:pPr>
            <w:r w:rsidRPr="00303E4F">
              <w:rPr>
                <w:color w:val="000000"/>
                <w:sz w:val="17"/>
                <w:szCs w:val="17"/>
              </w:rPr>
              <w:t> </w:t>
            </w:r>
          </w:p>
        </w:tc>
        <w:tc>
          <w:tcPr>
            <w:tcW w:w="1167" w:type="pct"/>
            <w:tcBorders>
              <w:top w:val="nil"/>
              <w:left w:val="nil"/>
              <w:bottom w:val="single" w:sz="4" w:space="0" w:color="auto"/>
              <w:right w:val="single" w:sz="4" w:space="0" w:color="auto"/>
            </w:tcBorders>
            <w:shd w:val="clear" w:color="auto" w:fill="auto"/>
            <w:hideMark/>
          </w:tcPr>
          <w:p w:rsidR="00A44CCE" w:rsidRPr="00303E4F" w:rsidRDefault="00A44CCE" w:rsidP="00220419">
            <w:pPr>
              <w:rPr>
                <w:sz w:val="17"/>
                <w:szCs w:val="17"/>
              </w:rPr>
            </w:pPr>
            <w:r w:rsidRPr="00303E4F">
              <w:rPr>
                <w:sz w:val="17"/>
                <w:szCs w:val="17"/>
              </w:rPr>
              <w:t>Measures implemented during 2014 resulted in savings of 15,000 CHF in 2014 and 30,000 CHF in 2015.</w:t>
            </w:r>
          </w:p>
          <w:p w:rsidR="00A44CCE" w:rsidRPr="00303E4F" w:rsidRDefault="00A44CCE" w:rsidP="00220419">
            <w:pPr>
              <w:rPr>
                <w:sz w:val="17"/>
                <w:szCs w:val="17"/>
              </w:rPr>
            </w:pPr>
          </w:p>
          <w:p w:rsidR="00A44CCE" w:rsidRPr="00303E4F" w:rsidRDefault="00A44CCE" w:rsidP="00220419">
            <w:pPr>
              <w:rPr>
                <w:color w:val="000000"/>
                <w:sz w:val="17"/>
                <w:szCs w:val="17"/>
              </w:rPr>
            </w:pPr>
            <w:r w:rsidRPr="00303E4F">
              <w:rPr>
                <w:sz w:val="17"/>
                <w:szCs w:val="17"/>
              </w:rPr>
              <w:t>Measures continued to be implemented on other floors and other areas of the buildings on the WIPO Campus and produced additional savings of 15,000 CHF in 2015.</w:t>
            </w:r>
          </w:p>
        </w:tc>
      </w:tr>
      <w:tr w:rsidR="00A44CCE" w:rsidRPr="00BE62B6" w:rsidTr="00D25F58">
        <w:trPr>
          <w:trHeight w:val="1154"/>
        </w:trPr>
        <w:tc>
          <w:tcPr>
            <w:tcW w:w="946" w:type="pct"/>
            <w:tcBorders>
              <w:top w:val="nil"/>
              <w:left w:val="single" w:sz="4" w:space="0" w:color="auto"/>
              <w:bottom w:val="single" w:sz="4" w:space="0" w:color="auto"/>
              <w:right w:val="single" w:sz="4" w:space="0" w:color="auto"/>
            </w:tcBorders>
            <w:shd w:val="clear" w:color="auto" w:fill="auto"/>
            <w:hideMark/>
          </w:tcPr>
          <w:p w:rsidR="00A44CCE" w:rsidRPr="00303E4F" w:rsidRDefault="00A44CCE" w:rsidP="00220419">
            <w:pPr>
              <w:rPr>
                <w:color w:val="000000"/>
                <w:sz w:val="17"/>
                <w:szCs w:val="17"/>
              </w:rPr>
            </w:pPr>
            <w:r w:rsidRPr="00303E4F">
              <w:rPr>
                <w:color w:val="000000"/>
                <w:sz w:val="17"/>
                <w:szCs w:val="17"/>
              </w:rPr>
              <w:lastRenderedPageBreak/>
              <w:t xml:space="preserve">Reduction in water consumption resulting, </w:t>
            </w:r>
            <w:r w:rsidRPr="00303E4F">
              <w:rPr>
                <w:i/>
                <w:iCs/>
                <w:color w:val="000000"/>
                <w:sz w:val="17"/>
                <w:szCs w:val="17"/>
              </w:rPr>
              <w:t>inter alia</w:t>
            </w:r>
            <w:r w:rsidRPr="00303E4F">
              <w:rPr>
                <w:color w:val="000000"/>
                <w:sz w:val="17"/>
                <w:szCs w:val="17"/>
              </w:rPr>
              <w:t>, from the use of lake water instead of city water</w:t>
            </w:r>
          </w:p>
        </w:tc>
        <w:tc>
          <w:tcPr>
            <w:tcW w:w="655" w:type="pct"/>
            <w:tcBorders>
              <w:top w:val="nil"/>
              <w:left w:val="nil"/>
              <w:bottom w:val="single" w:sz="4" w:space="0" w:color="auto"/>
              <w:right w:val="single" w:sz="4" w:space="0" w:color="auto"/>
            </w:tcBorders>
            <w:shd w:val="clear" w:color="auto" w:fill="auto"/>
            <w:hideMark/>
          </w:tcPr>
          <w:p w:rsidR="00A44CCE" w:rsidRPr="00303E4F" w:rsidRDefault="00A44CCE" w:rsidP="00220419">
            <w:pPr>
              <w:rPr>
                <w:color w:val="000000"/>
                <w:sz w:val="17"/>
                <w:szCs w:val="17"/>
              </w:rPr>
            </w:pPr>
            <w:r w:rsidRPr="00303E4F">
              <w:rPr>
                <w:color w:val="000000"/>
                <w:sz w:val="17"/>
                <w:szCs w:val="17"/>
              </w:rPr>
              <w:t>19,500</w:t>
            </w:r>
          </w:p>
        </w:tc>
        <w:tc>
          <w:tcPr>
            <w:tcW w:w="654" w:type="pct"/>
            <w:tcBorders>
              <w:top w:val="nil"/>
              <w:left w:val="nil"/>
              <w:bottom w:val="single" w:sz="4" w:space="0" w:color="auto"/>
              <w:right w:val="single" w:sz="4" w:space="0" w:color="auto"/>
            </w:tcBorders>
            <w:shd w:val="clear" w:color="auto" w:fill="auto"/>
            <w:hideMark/>
          </w:tcPr>
          <w:p w:rsidR="00A44CCE" w:rsidRPr="00303E4F" w:rsidRDefault="00A44CCE" w:rsidP="00220419">
            <w:pPr>
              <w:rPr>
                <w:color w:val="000000"/>
                <w:sz w:val="17"/>
                <w:szCs w:val="17"/>
              </w:rPr>
            </w:pPr>
            <w:r w:rsidRPr="00303E4F">
              <w:rPr>
                <w:color w:val="000000"/>
                <w:sz w:val="17"/>
                <w:szCs w:val="17"/>
              </w:rPr>
              <w:t> 125,500</w:t>
            </w:r>
          </w:p>
        </w:tc>
        <w:tc>
          <w:tcPr>
            <w:tcW w:w="709" w:type="pct"/>
            <w:tcBorders>
              <w:top w:val="nil"/>
              <w:left w:val="nil"/>
              <w:bottom w:val="single" w:sz="4" w:space="0" w:color="auto"/>
              <w:right w:val="single" w:sz="4" w:space="0" w:color="auto"/>
            </w:tcBorders>
            <w:shd w:val="clear" w:color="auto" w:fill="auto"/>
            <w:hideMark/>
          </w:tcPr>
          <w:p w:rsidR="00A44CCE" w:rsidRPr="00303E4F" w:rsidRDefault="00A44CCE" w:rsidP="00220419">
            <w:pPr>
              <w:rPr>
                <w:color w:val="000000"/>
                <w:sz w:val="17"/>
                <w:szCs w:val="17"/>
              </w:rPr>
            </w:pPr>
            <w:r w:rsidRPr="00303E4F">
              <w:rPr>
                <w:color w:val="000000"/>
                <w:sz w:val="17"/>
                <w:szCs w:val="17"/>
              </w:rPr>
              <w:t> </w:t>
            </w:r>
          </w:p>
        </w:tc>
        <w:tc>
          <w:tcPr>
            <w:tcW w:w="869" w:type="pct"/>
            <w:tcBorders>
              <w:top w:val="nil"/>
              <w:left w:val="nil"/>
              <w:bottom w:val="single" w:sz="4" w:space="0" w:color="auto"/>
              <w:right w:val="single" w:sz="4" w:space="0" w:color="auto"/>
            </w:tcBorders>
            <w:shd w:val="clear" w:color="auto" w:fill="auto"/>
            <w:hideMark/>
          </w:tcPr>
          <w:p w:rsidR="00A44CCE" w:rsidRPr="00303E4F" w:rsidRDefault="00A44CCE" w:rsidP="00220419">
            <w:pPr>
              <w:rPr>
                <w:color w:val="000000"/>
                <w:sz w:val="17"/>
                <w:szCs w:val="17"/>
              </w:rPr>
            </w:pPr>
            <w:r w:rsidRPr="00303E4F">
              <w:rPr>
                <w:color w:val="000000"/>
                <w:sz w:val="17"/>
                <w:szCs w:val="17"/>
              </w:rPr>
              <w:t> </w:t>
            </w:r>
          </w:p>
        </w:tc>
        <w:tc>
          <w:tcPr>
            <w:tcW w:w="1167" w:type="pct"/>
            <w:tcBorders>
              <w:top w:val="nil"/>
              <w:left w:val="nil"/>
              <w:bottom w:val="single" w:sz="4" w:space="0" w:color="auto"/>
              <w:right w:val="single" w:sz="4" w:space="0" w:color="auto"/>
            </w:tcBorders>
            <w:shd w:val="clear" w:color="auto" w:fill="auto"/>
            <w:hideMark/>
          </w:tcPr>
          <w:p w:rsidR="00A44CCE" w:rsidRPr="00303E4F" w:rsidRDefault="00A44CCE" w:rsidP="00220419">
            <w:pPr>
              <w:rPr>
                <w:color w:val="000000"/>
                <w:sz w:val="17"/>
                <w:szCs w:val="17"/>
              </w:rPr>
            </w:pPr>
          </w:p>
        </w:tc>
      </w:tr>
      <w:tr w:rsidR="00A44CCE" w:rsidRPr="00BE62B6" w:rsidTr="00D25F58">
        <w:trPr>
          <w:trHeight w:val="1020"/>
        </w:trPr>
        <w:tc>
          <w:tcPr>
            <w:tcW w:w="946" w:type="pct"/>
            <w:tcBorders>
              <w:top w:val="single" w:sz="4" w:space="0" w:color="auto"/>
              <w:left w:val="single" w:sz="4" w:space="0" w:color="auto"/>
              <w:bottom w:val="single" w:sz="4" w:space="0" w:color="auto"/>
              <w:right w:val="single" w:sz="4" w:space="0" w:color="auto"/>
            </w:tcBorders>
            <w:shd w:val="clear" w:color="auto" w:fill="auto"/>
          </w:tcPr>
          <w:p w:rsidR="00A44CCE" w:rsidRPr="00303E4F" w:rsidRDefault="00A44CCE">
            <w:pPr>
              <w:rPr>
                <w:color w:val="000000"/>
                <w:sz w:val="17"/>
                <w:szCs w:val="17"/>
              </w:rPr>
            </w:pPr>
            <w:r w:rsidRPr="00303E4F">
              <w:rPr>
                <w:color w:val="000000"/>
                <w:sz w:val="17"/>
                <w:szCs w:val="17"/>
              </w:rPr>
              <w:t>Reduction in electricity tariff due to new provider contracted after tender with other UN agencies in Geneva</w:t>
            </w:r>
          </w:p>
        </w:tc>
        <w:tc>
          <w:tcPr>
            <w:tcW w:w="655" w:type="pct"/>
            <w:tcBorders>
              <w:top w:val="single" w:sz="4" w:space="0" w:color="auto"/>
              <w:left w:val="nil"/>
              <w:bottom w:val="single" w:sz="4" w:space="0" w:color="auto"/>
              <w:right w:val="single" w:sz="4" w:space="0" w:color="auto"/>
            </w:tcBorders>
            <w:shd w:val="clear" w:color="auto" w:fill="auto"/>
          </w:tcPr>
          <w:p w:rsidR="00A44CCE" w:rsidRPr="00303E4F" w:rsidRDefault="00A44CCE" w:rsidP="00220419">
            <w:pPr>
              <w:rPr>
                <w:color w:val="000000"/>
                <w:sz w:val="17"/>
                <w:szCs w:val="17"/>
              </w:rPr>
            </w:pPr>
            <w:r w:rsidRPr="00303E4F">
              <w:rPr>
                <w:color w:val="000000"/>
                <w:sz w:val="17"/>
                <w:szCs w:val="17"/>
              </w:rPr>
              <w:t>n/a</w:t>
            </w:r>
          </w:p>
        </w:tc>
        <w:tc>
          <w:tcPr>
            <w:tcW w:w="654" w:type="pct"/>
            <w:tcBorders>
              <w:top w:val="single" w:sz="4" w:space="0" w:color="auto"/>
              <w:left w:val="nil"/>
              <w:bottom w:val="single" w:sz="4" w:space="0" w:color="auto"/>
              <w:right w:val="single" w:sz="4" w:space="0" w:color="auto"/>
            </w:tcBorders>
            <w:shd w:val="clear" w:color="auto" w:fill="auto"/>
          </w:tcPr>
          <w:p w:rsidR="00A44CCE" w:rsidRPr="00303E4F" w:rsidRDefault="00A44CCE">
            <w:pPr>
              <w:rPr>
                <w:sz w:val="17"/>
                <w:szCs w:val="17"/>
              </w:rPr>
            </w:pPr>
            <w:r w:rsidRPr="00303E4F">
              <w:rPr>
                <w:color w:val="000000"/>
                <w:sz w:val="17"/>
                <w:szCs w:val="17"/>
              </w:rPr>
              <w:t> </w:t>
            </w:r>
            <w:r w:rsidRPr="00303E4F">
              <w:rPr>
                <w:sz w:val="17"/>
                <w:szCs w:val="17"/>
              </w:rPr>
              <w:t>164,000</w:t>
            </w:r>
          </w:p>
          <w:p w:rsidR="00A44CCE" w:rsidRPr="00303E4F" w:rsidRDefault="00A44CCE">
            <w:pPr>
              <w:rPr>
                <w:color w:val="000000"/>
                <w:sz w:val="17"/>
                <w:szCs w:val="17"/>
              </w:rPr>
            </w:pPr>
          </w:p>
        </w:tc>
        <w:tc>
          <w:tcPr>
            <w:tcW w:w="709" w:type="pct"/>
            <w:tcBorders>
              <w:top w:val="single" w:sz="4" w:space="0" w:color="auto"/>
              <w:left w:val="nil"/>
              <w:bottom w:val="single" w:sz="4" w:space="0" w:color="auto"/>
              <w:right w:val="single" w:sz="4" w:space="0" w:color="auto"/>
            </w:tcBorders>
            <w:shd w:val="clear" w:color="auto" w:fill="auto"/>
          </w:tcPr>
          <w:p w:rsidR="00A44CCE" w:rsidRPr="00303E4F" w:rsidRDefault="00A44CCE" w:rsidP="00220419">
            <w:pPr>
              <w:rPr>
                <w:color w:val="000000"/>
                <w:sz w:val="17"/>
                <w:szCs w:val="17"/>
              </w:rPr>
            </w:pPr>
          </w:p>
        </w:tc>
        <w:tc>
          <w:tcPr>
            <w:tcW w:w="869" w:type="pct"/>
            <w:tcBorders>
              <w:top w:val="single" w:sz="4" w:space="0" w:color="auto"/>
              <w:left w:val="nil"/>
              <w:bottom w:val="single" w:sz="4" w:space="0" w:color="auto"/>
              <w:right w:val="single" w:sz="4" w:space="0" w:color="auto"/>
            </w:tcBorders>
            <w:shd w:val="clear" w:color="auto" w:fill="auto"/>
          </w:tcPr>
          <w:p w:rsidR="00A44CCE" w:rsidRPr="00303E4F" w:rsidRDefault="00A44CCE" w:rsidP="00220419">
            <w:pPr>
              <w:rPr>
                <w:color w:val="000000"/>
                <w:sz w:val="17"/>
                <w:szCs w:val="17"/>
              </w:rPr>
            </w:pPr>
          </w:p>
        </w:tc>
        <w:tc>
          <w:tcPr>
            <w:tcW w:w="1167" w:type="pct"/>
            <w:tcBorders>
              <w:top w:val="single" w:sz="4" w:space="0" w:color="auto"/>
              <w:left w:val="nil"/>
              <w:bottom w:val="single" w:sz="4" w:space="0" w:color="auto"/>
              <w:right w:val="single" w:sz="4" w:space="0" w:color="auto"/>
            </w:tcBorders>
            <w:shd w:val="clear" w:color="auto" w:fill="auto"/>
          </w:tcPr>
          <w:p w:rsidR="00A44CCE" w:rsidRPr="00303E4F" w:rsidRDefault="00A44CCE" w:rsidP="00220419">
            <w:pPr>
              <w:rPr>
                <w:color w:val="000000"/>
                <w:sz w:val="17"/>
                <w:szCs w:val="17"/>
              </w:rPr>
            </w:pPr>
            <w:r w:rsidRPr="00303E4F">
              <w:rPr>
                <w:color w:val="000000"/>
                <w:sz w:val="17"/>
                <w:szCs w:val="17"/>
              </w:rPr>
              <w:t>The contract with the new provider came into effect on January 1, 2015.</w:t>
            </w:r>
          </w:p>
        </w:tc>
      </w:tr>
      <w:tr w:rsidR="00A44CCE" w:rsidRPr="00BE62B6" w:rsidTr="00D25F58">
        <w:trPr>
          <w:trHeight w:val="1966"/>
        </w:trPr>
        <w:tc>
          <w:tcPr>
            <w:tcW w:w="946" w:type="pct"/>
            <w:tcBorders>
              <w:top w:val="single" w:sz="4" w:space="0" w:color="auto"/>
              <w:left w:val="single" w:sz="4" w:space="0" w:color="auto"/>
              <w:bottom w:val="single" w:sz="4" w:space="0" w:color="auto"/>
              <w:right w:val="single" w:sz="4" w:space="0" w:color="auto"/>
            </w:tcBorders>
            <w:shd w:val="clear" w:color="auto" w:fill="auto"/>
            <w:hideMark/>
          </w:tcPr>
          <w:p w:rsidR="00A44CCE" w:rsidRPr="00303E4F" w:rsidRDefault="00A44CCE">
            <w:pPr>
              <w:rPr>
                <w:sz w:val="17"/>
                <w:szCs w:val="17"/>
              </w:rPr>
            </w:pPr>
            <w:r w:rsidRPr="00303E4F">
              <w:rPr>
                <w:color w:val="000000"/>
                <w:sz w:val="17"/>
                <w:szCs w:val="17"/>
              </w:rPr>
              <w:t>Termination of the leases of site storage areas</w:t>
            </w:r>
          </w:p>
          <w:p w:rsidR="00A44CCE" w:rsidRPr="00303E4F" w:rsidRDefault="00A44CCE" w:rsidP="00220419">
            <w:pPr>
              <w:rPr>
                <w:color w:val="000000"/>
                <w:sz w:val="17"/>
                <w:szCs w:val="17"/>
              </w:rPr>
            </w:pPr>
          </w:p>
        </w:tc>
        <w:tc>
          <w:tcPr>
            <w:tcW w:w="655" w:type="pct"/>
            <w:tcBorders>
              <w:top w:val="single" w:sz="4" w:space="0" w:color="auto"/>
              <w:left w:val="nil"/>
              <w:bottom w:val="single" w:sz="4" w:space="0" w:color="auto"/>
              <w:right w:val="single" w:sz="4" w:space="0" w:color="auto"/>
            </w:tcBorders>
            <w:shd w:val="clear" w:color="auto" w:fill="auto"/>
            <w:hideMark/>
          </w:tcPr>
          <w:p w:rsidR="00A44CCE" w:rsidRPr="00303E4F" w:rsidRDefault="00A44CCE" w:rsidP="00220419">
            <w:pPr>
              <w:rPr>
                <w:color w:val="000000"/>
                <w:sz w:val="17"/>
                <w:szCs w:val="17"/>
              </w:rPr>
            </w:pPr>
            <w:r w:rsidRPr="00303E4F">
              <w:rPr>
                <w:color w:val="000000"/>
                <w:sz w:val="17"/>
                <w:szCs w:val="17"/>
              </w:rPr>
              <w:t xml:space="preserve">12,178 </w:t>
            </w:r>
          </w:p>
          <w:p w:rsidR="00A44CCE" w:rsidRPr="00303E4F" w:rsidRDefault="00A44CCE" w:rsidP="00220419">
            <w:pPr>
              <w:rPr>
                <w:color w:val="000000"/>
                <w:sz w:val="17"/>
                <w:szCs w:val="17"/>
              </w:rPr>
            </w:pPr>
            <w:r w:rsidRPr="00303E4F">
              <w:rPr>
                <w:color w:val="000000"/>
                <w:sz w:val="17"/>
                <w:szCs w:val="17"/>
              </w:rPr>
              <w:t xml:space="preserve">(7,845 CHF for Meyrin IV and </w:t>
            </w:r>
          </w:p>
          <w:p w:rsidR="00A44CCE" w:rsidRPr="00303E4F" w:rsidRDefault="00A44CCE" w:rsidP="00220419">
            <w:pPr>
              <w:rPr>
                <w:sz w:val="17"/>
                <w:szCs w:val="17"/>
              </w:rPr>
            </w:pPr>
            <w:r w:rsidRPr="00303E4F">
              <w:rPr>
                <w:color w:val="000000"/>
                <w:sz w:val="17"/>
                <w:szCs w:val="17"/>
              </w:rPr>
              <w:t>4,333 CHF for La Praille)</w:t>
            </w:r>
          </w:p>
          <w:p w:rsidR="00A44CCE" w:rsidRPr="00303E4F" w:rsidRDefault="00A44CCE" w:rsidP="00220419">
            <w:pPr>
              <w:rPr>
                <w:color w:val="000000"/>
                <w:sz w:val="17"/>
                <w:szCs w:val="17"/>
              </w:rPr>
            </w:pPr>
          </w:p>
        </w:tc>
        <w:tc>
          <w:tcPr>
            <w:tcW w:w="654" w:type="pct"/>
            <w:tcBorders>
              <w:top w:val="single" w:sz="4" w:space="0" w:color="auto"/>
              <w:left w:val="nil"/>
              <w:bottom w:val="single" w:sz="4" w:space="0" w:color="auto"/>
              <w:right w:val="single" w:sz="4" w:space="0" w:color="auto"/>
            </w:tcBorders>
            <w:shd w:val="clear" w:color="auto" w:fill="auto"/>
            <w:hideMark/>
          </w:tcPr>
          <w:p w:rsidR="00A44CCE" w:rsidRPr="00303E4F" w:rsidRDefault="00A44CCE">
            <w:pPr>
              <w:rPr>
                <w:color w:val="000000"/>
                <w:sz w:val="17"/>
                <w:szCs w:val="17"/>
              </w:rPr>
            </w:pPr>
            <w:r w:rsidRPr="00303E4F">
              <w:rPr>
                <w:color w:val="000000"/>
                <w:sz w:val="17"/>
                <w:szCs w:val="17"/>
              </w:rPr>
              <w:t> 54,150</w:t>
            </w:r>
          </w:p>
          <w:p w:rsidR="00A44CCE" w:rsidRPr="00303E4F" w:rsidRDefault="00A44CCE" w:rsidP="00220419">
            <w:pPr>
              <w:rPr>
                <w:color w:val="000000"/>
                <w:sz w:val="17"/>
                <w:szCs w:val="17"/>
              </w:rPr>
            </w:pPr>
            <w:r w:rsidRPr="00303E4F">
              <w:rPr>
                <w:color w:val="000000"/>
                <w:sz w:val="17"/>
                <w:szCs w:val="17"/>
              </w:rPr>
              <w:t xml:space="preserve">(31,380 CHF for Meyrin IV, </w:t>
            </w:r>
          </w:p>
          <w:p w:rsidR="00A44CCE" w:rsidRPr="00303E4F" w:rsidRDefault="00A44CCE" w:rsidP="00220419">
            <w:pPr>
              <w:rPr>
                <w:color w:val="000000"/>
                <w:sz w:val="17"/>
                <w:szCs w:val="17"/>
              </w:rPr>
            </w:pPr>
            <w:r w:rsidRPr="00303E4F">
              <w:rPr>
                <w:color w:val="000000"/>
                <w:sz w:val="17"/>
                <w:szCs w:val="17"/>
              </w:rPr>
              <w:t xml:space="preserve">15,000 CHF for La Praille and </w:t>
            </w:r>
          </w:p>
          <w:p w:rsidR="00A44CCE" w:rsidRPr="00303E4F" w:rsidRDefault="00A44CCE" w:rsidP="00220419">
            <w:pPr>
              <w:rPr>
                <w:sz w:val="17"/>
                <w:szCs w:val="17"/>
                <w:lang w:val="fr-CH"/>
              </w:rPr>
            </w:pPr>
            <w:r w:rsidRPr="00303E4F">
              <w:rPr>
                <w:color w:val="000000"/>
                <w:sz w:val="17"/>
                <w:szCs w:val="17"/>
                <w:lang w:val="fr-CH"/>
              </w:rPr>
              <w:t>7,770 CHF for Meyrin II)</w:t>
            </w:r>
          </w:p>
          <w:p w:rsidR="00A44CCE" w:rsidRPr="00303E4F" w:rsidRDefault="00A44CCE">
            <w:pPr>
              <w:rPr>
                <w:sz w:val="17"/>
                <w:szCs w:val="17"/>
              </w:rPr>
            </w:pPr>
          </w:p>
          <w:p w:rsidR="00A44CCE" w:rsidRPr="00303E4F" w:rsidRDefault="00A44CCE" w:rsidP="00220419">
            <w:pPr>
              <w:rPr>
                <w:color w:val="000000"/>
                <w:sz w:val="17"/>
                <w:szCs w:val="17"/>
              </w:rPr>
            </w:pPr>
          </w:p>
        </w:tc>
        <w:tc>
          <w:tcPr>
            <w:tcW w:w="709" w:type="pct"/>
            <w:tcBorders>
              <w:top w:val="single" w:sz="4" w:space="0" w:color="auto"/>
              <w:left w:val="nil"/>
              <w:bottom w:val="single" w:sz="4" w:space="0" w:color="auto"/>
              <w:right w:val="single" w:sz="4" w:space="0" w:color="auto"/>
            </w:tcBorders>
            <w:shd w:val="clear" w:color="auto" w:fill="auto"/>
            <w:hideMark/>
          </w:tcPr>
          <w:p w:rsidR="00A44CCE" w:rsidRPr="00303E4F" w:rsidRDefault="00A44CCE">
            <w:pPr>
              <w:rPr>
                <w:color w:val="000000"/>
                <w:sz w:val="17"/>
                <w:szCs w:val="17"/>
              </w:rPr>
            </w:pPr>
          </w:p>
        </w:tc>
        <w:tc>
          <w:tcPr>
            <w:tcW w:w="869" w:type="pct"/>
            <w:tcBorders>
              <w:top w:val="single" w:sz="4" w:space="0" w:color="auto"/>
              <w:left w:val="nil"/>
              <w:bottom w:val="single" w:sz="4" w:space="0" w:color="auto"/>
              <w:right w:val="single" w:sz="4" w:space="0" w:color="auto"/>
            </w:tcBorders>
            <w:shd w:val="clear" w:color="auto" w:fill="auto"/>
            <w:hideMark/>
          </w:tcPr>
          <w:p w:rsidR="00A44CCE" w:rsidRPr="00303E4F" w:rsidRDefault="00A44CCE">
            <w:pPr>
              <w:rPr>
                <w:color w:val="000000"/>
                <w:sz w:val="17"/>
                <w:szCs w:val="17"/>
                <w:lang w:val="fr-CH"/>
              </w:rPr>
            </w:pPr>
          </w:p>
        </w:tc>
        <w:tc>
          <w:tcPr>
            <w:tcW w:w="1167" w:type="pct"/>
            <w:tcBorders>
              <w:top w:val="single" w:sz="4" w:space="0" w:color="auto"/>
              <w:left w:val="nil"/>
              <w:bottom w:val="single" w:sz="4" w:space="0" w:color="auto"/>
              <w:right w:val="single" w:sz="4" w:space="0" w:color="auto"/>
            </w:tcBorders>
            <w:shd w:val="clear" w:color="auto" w:fill="auto"/>
            <w:hideMark/>
          </w:tcPr>
          <w:p w:rsidR="00A44CCE" w:rsidRPr="00303E4F" w:rsidRDefault="00A44CCE" w:rsidP="00220419">
            <w:pPr>
              <w:rPr>
                <w:color w:val="000000"/>
                <w:sz w:val="17"/>
                <w:szCs w:val="17"/>
              </w:rPr>
            </w:pPr>
            <w:r w:rsidRPr="00303E4F">
              <w:rPr>
                <w:color w:val="000000"/>
                <w:sz w:val="17"/>
                <w:szCs w:val="17"/>
              </w:rPr>
              <w:t xml:space="preserve">Meyrin IV storage terminated on September 30, 2014.  </w:t>
            </w:r>
            <w:r w:rsidRPr="00303E4F">
              <w:rPr>
                <w:color w:val="000000"/>
                <w:sz w:val="17"/>
                <w:szCs w:val="17"/>
              </w:rPr>
              <w:br w:type="page"/>
              <w:t>La Praille storage terminated in November 2014.</w:t>
            </w:r>
          </w:p>
          <w:p w:rsidR="00A44CCE" w:rsidRPr="00303E4F" w:rsidRDefault="00A44CCE" w:rsidP="00220419">
            <w:pPr>
              <w:rPr>
                <w:color w:val="000000"/>
                <w:sz w:val="17"/>
                <w:szCs w:val="17"/>
              </w:rPr>
            </w:pPr>
          </w:p>
          <w:p w:rsidR="00A44CCE" w:rsidRPr="00303E4F" w:rsidRDefault="00A44CCE" w:rsidP="00220419">
            <w:pPr>
              <w:rPr>
                <w:sz w:val="17"/>
                <w:szCs w:val="17"/>
              </w:rPr>
            </w:pPr>
            <w:r w:rsidRPr="00303E4F">
              <w:rPr>
                <w:color w:val="000000"/>
                <w:sz w:val="17"/>
                <w:szCs w:val="17"/>
              </w:rPr>
              <w:t>In 2015, advance termination of storage lease for Meyrin II (in advance of contractual date at end January 2016, and due to agreement with subsequent tenant).</w:t>
            </w:r>
          </w:p>
        </w:tc>
      </w:tr>
      <w:tr w:rsidR="00A44CCE" w:rsidRPr="00BE62B6" w:rsidTr="00D25F58">
        <w:trPr>
          <w:trHeight w:val="1020"/>
        </w:trPr>
        <w:tc>
          <w:tcPr>
            <w:tcW w:w="946" w:type="pct"/>
            <w:tcBorders>
              <w:top w:val="nil"/>
              <w:left w:val="single" w:sz="4" w:space="0" w:color="auto"/>
              <w:bottom w:val="single" w:sz="4" w:space="0" w:color="auto"/>
              <w:right w:val="single" w:sz="4" w:space="0" w:color="auto"/>
            </w:tcBorders>
            <w:shd w:val="clear" w:color="auto" w:fill="auto"/>
            <w:hideMark/>
          </w:tcPr>
          <w:p w:rsidR="00A44CCE" w:rsidRPr="00303E4F" w:rsidRDefault="00A44CCE" w:rsidP="00220419">
            <w:pPr>
              <w:rPr>
                <w:color w:val="000000"/>
                <w:sz w:val="17"/>
                <w:szCs w:val="17"/>
              </w:rPr>
            </w:pPr>
            <w:r w:rsidRPr="00303E4F">
              <w:rPr>
                <w:color w:val="000000"/>
                <w:sz w:val="17"/>
                <w:szCs w:val="17"/>
              </w:rPr>
              <w:t>Termination of 32 abonnements in Parking des Nations in several batches between August and December 2014.</w:t>
            </w:r>
          </w:p>
        </w:tc>
        <w:tc>
          <w:tcPr>
            <w:tcW w:w="655" w:type="pct"/>
            <w:tcBorders>
              <w:top w:val="nil"/>
              <w:left w:val="nil"/>
              <w:bottom w:val="single" w:sz="4" w:space="0" w:color="auto"/>
              <w:right w:val="single" w:sz="4" w:space="0" w:color="auto"/>
            </w:tcBorders>
            <w:shd w:val="clear" w:color="auto" w:fill="auto"/>
            <w:hideMark/>
          </w:tcPr>
          <w:p w:rsidR="00A44CCE" w:rsidRPr="00303E4F" w:rsidRDefault="00A44CCE" w:rsidP="00220419">
            <w:pPr>
              <w:rPr>
                <w:color w:val="000000"/>
                <w:sz w:val="17"/>
                <w:szCs w:val="17"/>
              </w:rPr>
            </w:pPr>
            <w:r w:rsidRPr="00303E4F">
              <w:rPr>
                <w:color w:val="000000"/>
                <w:sz w:val="17"/>
                <w:szCs w:val="17"/>
              </w:rPr>
              <w:t>3,404</w:t>
            </w:r>
          </w:p>
        </w:tc>
        <w:tc>
          <w:tcPr>
            <w:tcW w:w="654" w:type="pct"/>
            <w:tcBorders>
              <w:top w:val="nil"/>
              <w:left w:val="nil"/>
              <w:bottom w:val="single" w:sz="4" w:space="0" w:color="auto"/>
              <w:right w:val="single" w:sz="4" w:space="0" w:color="auto"/>
            </w:tcBorders>
            <w:shd w:val="clear" w:color="auto" w:fill="auto"/>
            <w:hideMark/>
          </w:tcPr>
          <w:p w:rsidR="00A44CCE" w:rsidRPr="00303E4F" w:rsidRDefault="00A44CCE">
            <w:pPr>
              <w:rPr>
                <w:sz w:val="17"/>
                <w:szCs w:val="17"/>
              </w:rPr>
            </w:pPr>
            <w:r w:rsidRPr="00303E4F">
              <w:rPr>
                <w:color w:val="000000"/>
                <w:sz w:val="17"/>
                <w:szCs w:val="17"/>
              </w:rPr>
              <w:t>  61,440</w:t>
            </w:r>
          </w:p>
          <w:p w:rsidR="00A44CCE" w:rsidRPr="00303E4F" w:rsidRDefault="00A44CCE" w:rsidP="00220419">
            <w:pPr>
              <w:rPr>
                <w:color w:val="000000"/>
                <w:sz w:val="17"/>
                <w:szCs w:val="17"/>
              </w:rPr>
            </w:pPr>
          </w:p>
        </w:tc>
        <w:tc>
          <w:tcPr>
            <w:tcW w:w="709" w:type="pct"/>
            <w:tcBorders>
              <w:top w:val="nil"/>
              <w:left w:val="nil"/>
              <w:bottom w:val="single" w:sz="4" w:space="0" w:color="auto"/>
              <w:right w:val="single" w:sz="4" w:space="0" w:color="auto"/>
            </w:tcBorders>
            <w:shd w:val="clear" w:color="auto" w:fill="auto"/>
            <w:hideMark/>
          </w:tcPr>
          <w:p w:rsidR="00A44CCE" w:rsidRPr="00303E4F" w:rsidRDefault="00A44CCE" w:rsidP="00220419">
            <w:pPr>
              <w:rPr>
                <w:color w:val="000000"/>
                <w:sz w:val="17"/>
                <w:szCs w:val="17"/>
              </w:rPr>
            </w:pPr>
            <w:r w:rsidRPr="00303E4F">
              <w:rPr>
                <w:color w:val="000000"/>
                <w:sz w:val="17"/>
                <w:szCs w:val="17"/>
              </w:rPr>
              <w:t> </w:t>
            </w:r>
          </w:p>
        </w:tc>
        <w:tc>
          <w:tcPr>
            <w:tcW w:w="869" w:type="pct"/>
            <w:tcBorders>
              <w:top w:val="nil"/>
              <w:left w:val="nil"/>
              <w:bottom w:val="single" w:sz="4" w:space="0" w:color="auto"/>
              <w:right w:val="single" w:sz="4" w:space="0" w:color="auto"/>
            </w:tcBorders>
            <w:shd w:val="clear" w:color="auto" w:fill="auto"/>
            <w:hideMark/>
          </w:tcPr>
          <w:p w:rsidR="00A44CCE" w:rsidRPr="00303E4F" w:rsidRDefault="00A44CCE" w:rsidP="00220419">
            <w:pPr>
              <w:rPr>
                <w:color w:val="000000"/>
                <w:sz w:val="17"/>
                <w:szCs w:val="17"/>
              </w:rPr>
            </w:pPr>
            <w:r w:rsidRPr="00303E4F">
              <w:rPr>
                <w:color w:val="000000"/>
                <w:sz w:val="17"/>
                <w:szCs w:val="17"/>
              </w:rPr>
              <w:t> </w:t>
            </w:r>
          </w:p>
        </w:tc>
        <w:tc>
          <w:tcPr>
            <w:tcW w:w="1167" w:type="pct"/>
            <w:tcBorders>
              <w:top w:val="nil"/>
              <w:left w:val="nil"/>
              <w:bottom w:val="single" w:sz="4" w:space="0" w:color="auto"/>
              <w:right w:val="single" w:sz="4" w:space="0" w:color="auto"/>
            </w:tcBorders>
            <w:shd w:val="clear" w:color="auto" w:fill="auto"/>
            <w:hideMark/>
          </w:tcPr>
          <w:p w:rsidR="00A44CCE" w:rsidRPr="00303E4F" w:rsidRDefault="00A44CCE">
            <w:pPr>
              <w:rPr>
                <w:sz w:val="17"/>
                <w:szCs w:val="17"/>
              </w:rPr>
            </w:pPr>
          </w:p>
          <w:p w:rsidR="00A44CCE" w:rsidRPr="00303E4F" w:rsidRDefault="00A44CCE" w:rsidP="00220419">
            <w:pPr>
              <w:rPr>
                <w:color w:val="000000"/>
                <w:sz w:val="17"/>
                <w:szCs w:val="17"/>
              </w:rPr>
            </w:pPr>
          </w:p>
        </w:tc>
      </w:tr>
      <w:tr w:rsidR="00A44CCE" w:rsidRPr="00BE62B6" w:rsidTr="00D25F58">
        <w:trPr>
          <w:trHeight w:val="1363"/>
        </w:trPr>
        <w:tc>
          <w:tcPr>
            <w:tcW w:w="946" w:type="pct"/>
            <w:tcBorders>
              <w:top w:val="nil"/>
              <w:left w:val="single" w:sz="4" w:space="0" w:color="auto"/>
              <w:bottom w:val="single" w:sz="4" w:space="0" w:color="auto"/>
              <w:right w:val="single" w:sz="4" w:space="0" w:color="auto"/>
            </w:tcBorders>
            <w:shd w:val="clear" w:color="auto" w:fill="auto"/>
          </w:tcPr>
          <w:p w:rsidR="00A44CCE" w:rsidRPr="00303E4F" w:rsidRDefault="00A44CCE">
            <w:pPr>
              <w:rPr>
                <w:sz w:val="17"/>
                <w:szCs w:val="17"/>
              </w:rPr>
            </w:pPr>
            <w:r w:rsidRPr="00303E4F">
              <w:rPr>
                <w:color w:val="000000"/>
                <w:sz w:val="17"/>
                <w:szCs w:val="17"/>
              </w:rPr>
              <w:t>Termination of additional 20 abonnements in Parking des Nations in several batches in 2015</w:t>
            </w:r>
          </w:p>
          <w:p w:rsidR="00A44CCE" w:rsidRPr="00303E4F" w:rsidRDefault="00A44CCE" w:rsidP="00220419">
            <w:pPr>
              <w:rPr>
                <w:color w:val="000000"/>
                <w:sz w:val="17"/>
                <w:szCs w:val="17"/>
              </w:rPr>
            </w:pPr>
          </w:p>
        </w:tc>
        <w:tc>
          <w:tcPr>
            <w:tcW w:w="655" w:type="pct"/>
            <w:tcBorders>
              <w:top w:val="nil"/>
              <w:left w:val="nil"/>
              <w:bottom w:val="single" w:sz="4" w:space="0" w:color="auto"/>
              <w:right w:val="single" w:sz="4" w:space="0" w:color="auto"/>
            </w:tcBorders>
            <w:shd w:val="clear" w:color="auto" w:fill="auto"/>
          </w:tcPr>
          <w:p w:rsidR="00A44CCE" w:rsidRPr="00303E4F" w:rsidRDefault="00A44CCE">
            <w:pPr>
              <w:rPr>
                <w:sz w:val="17"/>
                <w:szCs w:val="17"/>
              </w:rPr>
            </w:pPr>
            <w:r w:rsidRPr="00303E4F">
              <w:rPr>
                <w:color w:val="000000"/>
                <w:sz w:val="17"/>
                <w:szCs w:val="17"/>
              </w:rPr>
              <w:t>n/a</w:t>
            </w:r>
          </w:p>
          <w:p w:rsidR="00A44CCE" w:rsidRPr="00303E4F" w:rsidRDefault="00A44CCE" w:rsidP="00220419">
            <w:pPr>
              <w:rPr>
                <w:color w:val="000000"/>
                <w:sz w:val="17"/>
                <w:szCs w:val="17"/>
              </w:rPr>
            </w:pPr>
          </w:p>
        </w:tc>
        <w:tc>
          <w:tcPr>
            <w:tcW w:w="654" w:type="pct"/>
            <w:tcBorders>
              <w:top w:val="nil"/>
              <w:left w:val="nil"/>
              <w:bottom w:val="single" w:sz="4" w:space="0" w:color="auto"/>
              <w:right w:val="single" w:sz="4" w:space="0" w:color="auto"/>
            </w:tcBorders>
            <w:shd w:val="clear" w:color="auto" w:fill="auto"/>
          </w:tcPr>
          <w:p w:rsidR="00A44CCE" w:rsidRPr="00303E4F" w:rsidRDefault="00A44CCE">
            <w:pPr>
              <w:rPr>
                <w:sz w:val="17"/>
                <w:szCs w:val="17"/>
              </w:rPr>
            </w:pPr>
            <w:r w:rsidRPr="00303E4F">
              <w:rPr>
                <w:color w:val="000000"/>
                <w:sz w:val="17"/>
                <w:szCs w:val="17"/>
              </w:rPr>
              <w:t>62,052</w:t>
            </w:r>
          </w:p>
          <w:p w:rsidR="00A44CCE" w:rsidRPr="00303E4F" w:rsidRDefault="00A44CCE" w:rsidP="00220419">
            <w:pPr>
              <w:rPr>
                <w:color w:val="000000"/>
                <w:sz w:val="17"/>
                <w:szCs w:val="17"/>
              </w:rPr>
            </w:pPr>
          </w:p>
          <w:p w:rsidR="00A44CCE" w:rsidRPr="00303E4F" w:rsidRDefault="00A44CCE" w:rsidP="00220419">
            <w:pPr>
              <w:jc w:val="center"/>
              <w:rPr>
                <w:sz w:val="17"/>
                <w:szCs w:val="17"/>
              </w:rPr>
            </w:pPr>
          </w:p>
        </w:tc>
        <w:tc>
          <w:tcPr>
            <w:tcW w:w="709" w:type="pct"/>
            <w:tcBorders>
              <w:top w:val="nil"/>
              <w:left w:val="nil"/>
              <w:bottom w:val="single" w:sz="4" w:space="0" w:color="auto"/>
              <w:right w:val="single" w:sz="4" w:space="0" w:color="auto"/>
            </w:tcBorders>
            <w:shd w:val="clear" w:color="auto" w:fill="auto"/>
          </w:tcPr>
          <w:p w:rsidR="00A44CCE" w:rsidRPr="00303E4F" w:rsidRDefault="00A44CCE" w:rsidP="00220419">
            <w:pPr>
              <w:rPr>
                <w:color w:val="000000"/>
                <w:sz w:val="17"/>
                <w:szCs w:val="17"/>
              </w:rPr>
            </w:pPr>
          </w:p>
        </w:tc>
        <w:tc>
          <w:tcPr>
            <w:tcW w:w="869" w:type="pct"/>
            <w:tcBorders>
              <w:top w:val="nil"/>
              <w:left w:val="nil"/>
              <w:bottom w:val="single" w:sz="4" w:space="0" w:color="auto"/>
              <w:right w:val="single" w:sz="4" w:space="0" w:color="auto"/>
            </w:tcBorders>
            <w:shd w:val="clear" w:color="auto" w:fill="auto"/>
          </w:tcPr>
          <w:p w:rsidR="00A44CCE" w:rsidRPr="00303E4F" w:rsidRDefault="00A44CCE" w:rsidP="00220419">
            <w:pPr>
              <w:rPr>
                <w:color w:val="000000"/>
                <w:sz w:val="17"/>
                <w:szCs w:val="17"/>
              </w:rPr>
            </w:pPr>
          </w:p>
        </w:tc>
        <w:tc>
          <w:tcPr>
            <w:tcW w:w="1167" w:type="pct"/>
            <w:tcBorders>
              <w:top w:val="nil"/>
              <w:left w:val="nil"/>
              <w:bottom w:val="single" w:sz="4" w:space="0" w:color="auto"/>
              <w:right w:val="single" w:sz="4" w:space="0" w:color="auto"/>
            </w:tcBorders>
            <w:shd w:val="clear" w:color="auto" w:fill="auto"/>
          </w:tcPr>
          <w:p w:rsidR="00A44CCE" w:rsidRPr="00303E4F" w:rsidRDefault="00A44CCE">
            <w:pPr>
              <w:rPr>
                <w:color w:val="000000"/>
                <w:sz w:val="17"/>
                <w:szCs w:val="17"/>
              </w:rPr>
            </w:pPr>
          </w:p>
        </w:tc>
      </w:tr>
      <w:tr w:rsidR="00A44CCE" w:rsidRPr="00BE62B6" w:rsidTr="00D25F58">
        <w:trPr>
          <w:trHeight w:val="1075"/>
        </w:trPr>
        <w:tc>
          <w:tcPr>
            <w:tcW w:w="946" w:type="pct"/>
            <w:tcBorders>
              <w:top w:val="nil"/>
              <w:left w:val="single" w:sz="4" w:space="0" w:color="auto"/>
              <w:bottom w:val="single" w:sz="4" w:space="0" w:color="auto"/>
              <w:right w:val="single" w:sz="4" w:space="0" w:color="auto"/>
            </w:tcBorders>
            <w:shd w:val="clear" w:color="auto" w:fill="auto"/>
          </w:tcPr>
          <w:p w:rsidR="00A44CCE" w:rsidRPr="00303E4F" w:rsidRDefault="00A44CCE">
            <w:pPr>
              <w:rPr>
                <w:sz w:val="17"/>
                <w:szCs w:val="17"/>
              </w:rPr>
            </w:pPr>
            <w:r w:rsidRPr="00303E4F">
              <w:rPr>
                <w:color w:val="000000"/>
                <w:sz w:val="17"/>
                <w:szCs w:val="17"/>
              </w:rPr>
              <w:t>Termination of 5 abonnements in the CAM Building Parking in 2015</w:t>
            </w:r>
          </w:p>
          <w:p w:rsidR="00A44CCE" w:rsidRPr="00303E4F" w:rsidRDefault="00A44CCE" w:rsidP="00220419">
            <w:pPr>
              <w:rPr>
                <w:color w:val="000000"/>
                <w:sz w:val="17"/>
                <w:szCs w:val="17"/>
              </w:rPr>
            </w:pPr>
          </w:p>
        </w:tc>
        <w:tc>
          <w:tcPr>
            <w:tcW w:w="655" w:type="pct"/>
            <w:tcBorders>
              <w:top w:val="nil"/>
              <w:left w:val="nil"/>
              <w:bottom w:val="single" w:sz="4" w:space="0" w:color="auto"/>
              <w:right w:val="single" w:sz="4" w:space="0" w:color="auto"/>
            </w:tcBorders>
            <w:shd w:val="clear" w:color="auto" w:fill="auto"/>
          </w:tcPr>
          <w:p w:rsidR="00A44CCE" w:rsidRPr="00303E4F" w:rsidRDefault="00A44CCE">
            <w:pPr>
              <w:rPr>
                <w:sz w:val="17"/>
                <w:szCs w:val="17"/>
              </w:rPr>
            </w:pPr>
            <w:r w:rsidRPr="00303E4F">
              <w:rPr>
                <w:color w:val="000000"/>
                <w:sz w:val="17"/>
                <w:szCs w:val="17"/>
              </w:rPr>
              <w:t>n/a</w:t>
            </w:r>
          </w:p>
          <w:p w:rsidR="00A44CCE" w:rsidRPr="00303E4F" w:rsidRDefault="00A44CCE" w:rsidP="00220419">
            <w:pPr>
              <w:rPr>
                <w:color w:val="000000"/>
                <w:sz w:val="17"/>
                <w:szCs w:val="17"/>
              </w:rPr>
            </w:pPr>
          </w:p>
        </w:tc>
        <w:tc>
          <w:tcPr>
            <w:tcW w:w="654" w:type="pct"/>
            <w:tcBorders>
              <w:top w:val="nil"/>
              <w:left w:val="nil"/>
              <w:bottom w:val="single" w:sz="4" w:space="0" w:color="auto"/>
              <w:right w:val="single" w:sz="4" w:space="0" w:color="auto"/>
            </w:tcBorders>
            <w:shd w:val="clear" w:color="auto" w:fill="auto"/>
          </w:tcPr>
          <w:p w:rsidR="00A44CCE" w:rsidRPr="00303E4F" w:rsidRDefault="00A44CCE">
            <w:pPr>
              <w:rPr>
                <w:sz w:val="17"/>
                <w:szCs w:val="17"/>
              </w:rPr>
            </w:pPr>
            <w:r w:rsidRPr="00303E4F">
              <w:rPr>
                <w:color w:val="000000"/>
                <w:sz w:val="17"/>
                <w:szCs w:val="17"/>
              </w:rPr>
              <w:t>8,340</w:t>
            </w:r>
          </w:p>
          <w:p w:rsidR="00A44CCE" w:rsidRPr="00303E4F" w:rsidRDefault="00A44CCE" w:rsidP="00220419">
            <w:pPr>
              <w:rPr>
                <w:color w:val="000000"/>
                <w:sz w:val="17"/>
                <w:szCs w:val="17"/>
              </w:rPr>
            </w:pPr>
          </w:p>
        </w:tc>
        <w:tc>
          <w:tcPr>
            <w:tcW w:w="709" w:type="pct"/>
            <w:tcBorders>
              <w:top w:val="nil"/>
              <w:left w:val="nil"/>
              <w:bottom w:val="single" w:sz="4" w:space="0" w:color="auto"/>
              <w:right w:val="single" w:sz="4" w:space="0" w:color="auto"/>
            </w:tcBorders>
            <w:shd w:val="clear" w:color="auto" w:fill="auto"/>
          </w:tcPr>
          <w:p w:rsidR="00A44CCE" w:rsidRPr="00303E4F" w:rsidRDefault="00A44CCE" w:rsidP="00220419">
            <w:pPr>
              <w:rPr>
                <w:color w:val="000000"/>
                <w:sz w:val="17"/>
                <w:szCs w:val="17"/>
              </w:rPr>
            </w:pPr>
          </w:p>
        </w:tc>
        <w:tc>
          <w:tcPr>
            <w:tcW w:w="869" w:type="pct"/>
            <w:tcBorders>
              <w:top w:val="nil"/>
              <w:left w:val="nil"/>
              <w:bottom w:val="single" w:sz="4" w:space="0" w:color="auto"/>
              <w:right w:val="single" w:sz="4" w:space="0" w:color="auto"/>
            </w:tcBorders>
            <w:shd w:val="clear" w:color="auto" w:fill="auto"/>
          </w:tcPr>
          <w:p w:rsidR="00A44CCE" w:rsidRPr="00303E4F" w:rsidRDefault="00A44CCE" w:rsidP="00220419">
            <w:pPr>
              <w:rPr>
                <w:color w:val="000000"/>
                <w:sz w:val="17"/>
                <w:szCs w:val="17"/>
              </w:rPr>
            </w:pPr>
          </w:p>
        </w:tc>
        <w:tc>
          <w:tcPr>
            <w:tcW w:w="1167" w:type="pct"/>
            <w:tcBorders>
              <w:top w:val="nil"/>
              <w:left w:val="nil"/>
              <w:bottom w:val="single" w:sz="4" w:space="0" w:color="auto"/>
              <w:right w:val="single" w:sz="4" w:space="0" w:color="auto"/>
            </w:tcBorders>
            <w:shd w:val="clear" w:color="auto" w:fill="auto"/>
          </w:tcPr>
          <w:p w:rsidR="00A44CCE" w:rsidRPr="00303E4F" w:rsidRDefault="00A44CCE" w:rsidP="00220419">
            <w:pPr>
              <w:rPr>
                <w:color w:val="000000"/>
                <w:sz w:val="17"/>
                <w:szCs w:val="17"/>
              </w:rPr>
            </w:pPr>
          </w:p>
        </w:tc>
      </w:tr>
      <w:tr w:rsidR="00A44CCE" w:rsidRPr="00BE62B6" w:rsidTr="00D25F58">
        <w:trPr>
          <w:trHeight w:val="765"/>
        </w:trPr>
        <w:tc>
          <w:tcPr>
            <w:tcW w:w="946" w:type="pct"/>
            <w:tcBorders>
              <w:top w:val="nil"/>
              <w:left w:val="single" w:sz="4" w:space="0" w:color="auto"/>
              <w:bottom w:val="single" w:sz="4" w:space="0" w:color="auto"/>
              <w:right w:val="single" w:sz="4" w:space="0" w:color="auto"/>
            </w:tcBorders>
            <w:shd w:val="clear" w:color="auto" w:fill="auto"/>
            <w:hideMark/>
          </w:tcPr>
          <w:p w:rsidR="00A44CCE" w:rsidRPr="00303E4F" w:rsidRDefault="00A44CCE">
            <w:pPr>
              <w:rPr>
                <w:color w:val="000000"/>
                <w:sz w:val="17"/>
                <w:szCs w:val="17"/>
              </w:rPr>
            </w:pPr>
            <w:r w:rsidRPr="00303E4F">
              <w:rPr>
                <w:color w:val="000000"/>
                <w:sz w:val="17"/>
                <w:szCs w:val="17"/>
              </w:rPr>
              <w:t>Reduction in the use of office supplies</w:t>
            </w:r>
          </w:p>
        </w:tc>
        <w:tc>
          <w:tcPr>
            <w:tcW w:w="655" w:type="pct"/>
            <w:tcBorders>
              <w:top w:val="nil"/>
              <w:left w:val="nil"/>
              <w:bottom w:val="single" w:sz="4" w:space="0" w:color="auto"/>
              <w:right w:val="single" w:sz="4" w:space="0" w:color="auto"/>
            </w:tcBorders>
            <w:shd w:val="clear" w:color="auto" w:fill="auto"/>
            <w:hideMark/>
          </w:tcPr>
          <w:p w:rsidR="00A44CCE" w:rsidRPr="00303E4F" w:rsidRDefault="00A44CCE" w:rsidP="00220419">
            <w:pPr>
              <w:rPr>
                <w:color w:val="000000"/>
                <w:sz w:val="17"/>
                <w:szCs w:val="17"/>
              </w:rPr>
            </w:pPr>
            <w:r w:rsidRPr="00303E4F">
              <w:rPr>
                <w:color w:val="000000"/>
                <w:sz w:val="17"/>
                <w:szCs w:val="17"/>
              </w:rPr>
              <w:t>8,193</w:t>
            </w:r>
          </w:p>
        </w:tc>
        <w:tc>
          <w:tcPr>
            <w:tcW w:w="654" w:type="pct"/>
            <w:tcBorders>
              <w:top w:val="nil"/>
              <w:left w:val="nil"/>
              <w:bottom w:val="single" w:sz="4" w:space="0" w:color="auto"/>
              <w:right w:val="single" w:sz="4" w:space="0" w:color="auto"/>
            </w:tcBorders>
            <w:shd w:val="clear" w:color="auto" w:fill="auto"/>
            <w:hideMark/>
          </w:tcPr>
          <w:p w:rsidR="00A44CCE" w:rsidRPr="00303E4F" w:rsidRDefault="00A44CCE">
            <w:pPr>
              <w:rPr>
                <w:sz w:val="17"/>
                <w:szCs w:val="17"/>
              </w:rPr>
            </w:pPr>
            <w:r w:rsidRPr="00303E4F">
              <w:rPr>
                <w:color w:val="000000"/>
                <w:sz w:val="17"/>
                <w:szCs w:val="17"/>
              </w:rPr>
              <w:t> 9,269</w:t>
            </w:r>
          </w:p>
          <w:p w:rsidR="00A44CCE" w:rsidRPr="00303E4F" w:rsidRDefault="00A44CCE" w:rsidP="00220419">
            <w:pPr>
              <w:rPr>
                <w:color w:val="000000"/>
                <w:sz w:val="17"/>
                <w:szCs w:val="17"/>
              </w:rPr>
            </w:pPr>
          </w:p>
        </w:tc>
        <w:tc>
          <w:tcPr>
            <w:tcW w:w="709" w:type="pct"/>
            <w:tcBorders>
              <w:top w:val="nil"/>
              <w:left w:val="nil"/>
              <w:bottom w:val="single" w:sz="4" w:space="0" w:color="auto"/>
              <w:right w:val="single" w:sz="4" w:space="0" w:color="auto"/>
            </w:tcBorders>
            <w:shd w:val="clear" w:color="auto" w:fill="auto"/>
            <w:hideMark/>
          </w:tcPr>
          <w:p w:rsidR="00A44CCE" w:rsidRPr="00303E4F" w:rsidRDefault="00A44CCE" w:rsidP="00220419">
            <w:pPr>
              <w:rPr>
                <w:color w:val="000000"/>
                <w:sz w:val="17"/>
                <w:szCs w:val="17"/>
              </w:rPr>
            </w:pPr>
            <w:r w:rsidRPr="00303E4F">
              <w:rPr>
                <w:color w:val="000000"/>
                <w:sz w:val="17"/>
                <w:szCs w:val="17"/>
              </w:rPr>
              <w:t> </w:t>
            </w:r>
          </w:p>
        </w:tc>
        <w:tc>
          <w:tcPr>
            <w:tcW w:w="869" w:type="pct"/>
            <w:tcBorders>
              <w:top w:val="nil"/>
              <w:left w:val="nil"/>
              <w:bottom w:val="single" w:sz="4" w:space="0" w:color="auto"/>
              <w:right w:val="single" w:sz="4" w:space="0" w:color="auto"/>
            </w:tcBorders>
            <w:shd w:val="clear" w:color="auto" w:fill="auto"/>
            <w:hideMark/>
          </w:tcPr>
          <w:p w:rsidR="00A44CCE" w:rsidRPr="00303E4F" w:rsidRDefault="00A44CCE" w:rsidP="00220419">
            <w:pPr>
              <w:rPr>
                <w:color w:val="000000"/>
                <w:sz w:val="17"/>
                <w:szCs w:val="17"/>
              </w:rPr>
            </w:pPr>
            <w:r w:rsidRPr="00303E4F">
              <w:rPr>
                <w:color w:val="000000"/>
                <w:sz w:val="17"/>
                <w:szCs w:val="17"/>
              </w:rPr>
              <w:t> </w:t>
            </w:r>
          </w:p>
        </w:tc>
        <w:tc>
          <w:tcPr>
            <w:tcW w:w="1167" w:type="pct"/>
            <w:tcBorders>
              <w:top w:val="nil"/>
              <w:left w:val="nil"/>
              <w:bottom w:val="single" w:sz="4" w:space="0" w:color="auto"/>
              <w:right w:val="single" w:sz="4" w:space="0" w:color="auto"/>
            </w:tcBorders>
            <w:shd w:val="clear" w:color="auto" w:fill="auto"/>
            <w:hideMark/>
          </w:tcPr>
          <w:p w:rsidR="00A44CCE" w:rsidRPr="00303E4F" w:rsidRDefault="00A44CCE">
            <w:pPr>
              <w:rPr>
                <w:color w:val="000000"/>
                <w:sz w:val="17"/>
                <w:szCs w:val="17"/>
              </w:rPr>
            </w:pPr>
            <w:r w:rsidRPr="00303E4F">
              <w:rPr>
                <w:color w:val="000000"/>
                <w:sz w:val="17"/>
                <w:szCs w:val="17"/>
              </w:rPr>
              <w:t>The savings made in 2014 were slightly increased in 2015.</w:t>
            </w:r>
          </w:p>
        </w:tc>
      </w:tr>
      <w:tr w:rsidR="00A44CCE" w:rsidRPr="00BE62B6" w:rsidTr="00D25F58">
        <w:trPr>
          <w:trHeight w:val="1283"/>
        </w:trPr>
        <w:tc>
          <w:tcPr>
            <w:tcW w:w="946" w:type="pct"/>
            <w:tcBorders>
              <w:top w:val="nil"/>
              <w:left w:val="single" w:sz="4" w:space="0" w:color="auto"/>
              <w:bottom w:val="single" w:sz="4" w:space="0" w:color="auto"/>
              <w:right w:val="single" w:sz="4" w:space="0" w:color="auto"/>
            </w:tcBorders>
            <w:shd w:val="clear" w:color="auto" w:fill="auto"/>
            <w:hideMark/>
          </w:tcPr>
          <w:p w:rsidR="00A44CCE" w:rsidRPr="00303E4F" w:rsidRDefault="00A44CCE" w:rsidP="00220419">
            <w:pPr>
              <w:rPr>
                <w:color w:val="000000"/>
                <w:sz w:val="17"/>
                <w:szCs w:val="17"/>
              </w:rPr>
            </w:pPr>
            <w:r w:rsidRPr="00303E4F">
              <w:rPr>
                <w:color w:val="000000"/>
                <w:sz w:val="17"/>
                <w:szCs w:val="17"/>
              </w:rPr>
              <w:t>Implementation of a Mobile Device Management (MDM) system with more integrated services offered at a lower cost. (OI 17/2014)</w:t>
            </w:r>
          </w:p>
        </w:tc>
        <w:tc>
          <w:tcPr>
            <w:tcW w:w="655" w:type="pct"/>
            <w:tcBorders>
              <w:top w:val="nil"/>
              <w:left w:val="nil"/>
              <w:bottom w:val="single" w:sz="4" w:space="0" w:color="auto"/>
              <w:right w:val="single" w:sz="4" w:space="0" w:color="auto"/>
            </w:tcBorders>
            <w:shd w:val="clear" w:color="auto" w:fill="auto"/>
            <w:hideMark/>
          </w:tcPr>
          <w:p w:rsidR="00A44CCE" w:rsidRPr="00303E4F" w:rsidRDefault="00A44CCE" w:rsidP="00220419">
            <w:pPr>
              <w:rPr>
                <w:color w:val="000000"/>
                <w:sz w:val="17"/>
                <w:szCs w:val="17"/>
              </w:rPr>
            </w:pPr>
            <w:r w:rsidRPr="00303E4F">
              <w:rPr>
                <w:color w:val="000000"/>
                <w:sz w:val="17"/>
                <w:szCs w:val="17"/>
              </w:rPr>
              <w:t>112,691</w:t>
            </w:r>
          </w:p>
        </w:tc>
        <w:tc>
          <w:tcPr>
            <w:tcW w:w="654" w:type="pct"/>
            <w:tcBorders>
              <w:top w:val="nil"/>
              <w:left w:val="nil"/>
              <w:bottom w:val="single" w:sz="4" w:space="0" w:color="auto"/>
              <w:right w:val="single" w:sz="4" w:space="0" w:color="auto"/>
            </w:tcBorders>
            <w:shd w:val="clear" w:color="auto" w:fill="auto"/>
            <w:hideMark/>
          </w:tcPr>
          <w:p w:rsidR="00A44CCE" w:rsidRPr="00303E4F" w:rsidRDefault="00A44CCE" w:rsidP="00220419">
            <w:pPr>
              <w:rPr>
                <w:color w:val="000000"/>
                <w:sz w:val="17"/>
                <w:szCs w:val="17"/>
              </w:rPr>
            </w:pPr>
            <w:r w:rsidRPr="00303E4F">
              <w:rPr>
                <w:color w:val="000000"/>
                <w:sz w:val="17"/>
                <w:szCs w:val="17"/>
              </w:rPr>
              <w:t> 277,540</w:t>
            </w:r>
          </w:p>
        </w:tc>
        <w:tc>
          <w:tcPr>
            <w:tcW w:w="709" w:type="pct"/>
            <w:tcBorders>
              <w:top w:val="nil"/>
              <w:left w:val="nil"/>
              <w:bottom w:val="single" w:sz="4" w:space="0" w:color="auto"/>
              <w:right w:val="single" w:sz="4" w:space="0" w:color="auto"/>
            </w:tcBorders>
            <w:shd w:val="clear" w:color="auto" w:fill="auto"/>
            <w:hideMark/>
          </w:tcPr>
          <w:p w:rsidR="00A44CCE" w:rsidRPr="00303E4F" w:rsidRDefault="00A44CCE">
            <w:pPr>
              <w:rPr>
                <w:color w:val="000000"/>
                <w:sz w:val="17"/>
                <w:szCs w:val="17"/>
              </w:rPr>
            </w:pPr>
            <w:r w:rsidRPr="00303E4F">
              <w:rPr>
                <w:color w:val="000000"/>
                <w:sz w:val="17"/>
                <w:szCs w:val="17"/>
              </w:rPr>
              <w:t>A reduction in average monthly cost of device from 177 CHF in 2013 to 111 CHF in 2014 by 37%</w:t>
            </w:r>
          </w:p>
        </w:tc>
        <w:tc>
          <w:tcPr>
            <w:tcW w:w="869" w:type="pct"/>
            <w:tcBorders>
              <w:top w:val="nil"/>
              <w:left w:val="nil"/>
              <w:bottom w:val="single" w:sz="4" w:space="0" w:color="auto"/>
              <w:right w:val="single" w:sz="4" w:space="0" w:color="auto"/>
            </w:tcBorders>
            <w:shd w:val="clear" w:color="auto" w:fill="auto"/>
            <w:hideMark/>
          </w:tcPr>
          <w:p w:rsidR="00A44CCE" w:rsidRPr="00303E4F" w:rsidRDefault="00A44CCE">
            <w:pPr>
              <w:rPr>
                <w:color w:val="000000"/>
                <w:sz w:val="17"/>
                <w:szCs w:val="17"/>
              </w:rPr>
            </w:pPr>
            <w:r w:rsidRPr="00303E4F">
              <w:rPr>
                <w:color w:val="000000"/>
                <w:sz w:val="17"/>
                <w:szCs w:val="17"/>
              </w:rPr>
              <w:t>An increase in average monthly cost of device from 111 in 2014 to 115 in 2015 by 3.6%.  The average cost in 2015 is still significantly lower than the cost in 2013.</w:t>
            </w:r>
          </w:p>
        </w:tc>
        <w:tc>
          <w:tcPr>
            <w:tcW w:w="1167" w:type="pct"/>
            <w:tcBorders>
              <w:top w:val="nil"/>
              <w:left w:val="nil"/>
              <w:bottom w:val="single" w:sz="4" w:space="0" w:color="auto"/>
              <w:right w:val="single" w:sz="4" w:space="0" w:color="auto"/>
            </w:tcBorders>
            <w:shd w:val="clear" w:color="auto" w:fill="auto"/>
            <w:hideMark/>
          </w:tcPr>
          <w:p w:rsidR="00A44CCE" w:rsidRDefault="00A44CCE">
            <w:pPr>
              <w:rPr>
                <w:color w:val="000000"/>
                <w:sz w:val="17"/>
                <w:szCs w:val="17"/>
              </w:rPr>
            </w:pPr>
            <w:r w:rsidRPr="00303E4F">
              <w:rPr>
                <w:color w:val="000000"/>
                <w:sz w:val="17"/>
                <w:szCs w:val="17"/>
              </w:rPr>
              <w:t xml:space="preserve">Total expenditures related to the Swisscom subscription decreased from 799,815 CHF in 2013 (374 devices at end of year) to 520,430 CHF in 2014 (404 devices at end of year).   A one-time project cost of 166,784 CHF was incurred in 2014 covering a new device renewal, Swisscom Credit </w:t>
            </w:r>
            <w:r w:rsidRPr="00303E4F">
              <w:rPr>
                <w:color w:val="000000"/>
                <w:sz w:val="17"/>
                <w:szCs w:val="17"/>
              </w:rPr>
              <w:lastRenderedPageBreak/>
              <w:t>Note for device purchase, MDM licenses and MDM Infrastructure Setup. In 2015, the total expenditures were 522,276 CHF (364 devices at end of year).</w:t>
            </w:r>
          </w:p>
          <w:p w:rsidR="00A44CCE" w:rsidRPr="00303E4F" w:rsidRDefault="00A44CCE">
            <w:pPr>
              <w:rPr>
                <w:color w:val="000000"/>
                <w:sz w:val="17"/>
                <w:szCs w:val="17"/>
              </w:rPr>
            </w:pPr>
          </w:p>
        </w:tc>
      </w:tr>
      <w:tr w:rsidR="00A44CCE" w:rsidRPr="00BE62B6" w:rsidTr="00D25F58">
        <w:trPr>
          <w:trHeight w:val="1669"/>
        </w:trPr>
        <w:tc>
          <w:tcPr>
            <w:tcW w:w="946" w:type="pct"/>
            <w:tcBorders>
              <w:top w:val="single" w:sz="4" w:space="0" w:color="auto"/>
              <w:left w:val="single" w:sz="4" w:space="0" w:color="auto"/>
              <w:bottom w:val="single" w:sz="4" w:space="0" w:color="auto"/>
              <w:right w:val="single" w:sz="4" w:space="0" w:color="auto"/>
            </w:tcBorders>
            <w:shd w:val="clear" w:color="auto" w:fill="auto"/>
          </w:tcPr>
          <w:p w:rsidR="00A44CCE" w:rsidRPr="00303E4F" w:rsidRDefault="00A44CCE" w:rsidP="00220419">
            <w:pPr>
              <w:rPr>
                <w:color w:val="000000"/>
                <w:sz w:val="17"/>
                <w:szCs w:val="17"/>
              </w:rPr>
            </w:pPr>
            <w:r w:rsidRPr="00303E4F">
              <w:rPr>
                <w:color w:val="000000"/>
                <w:sz w:val="17"/>
                <w:szCs w:val="17"/>
              </w:rPr>
              <w:lastRenderedPageBreak/>
              <w:t>Implementation of new mailbox management policy as of March, 2015</w:t>
            </w:r>
          </w:p>
        </w:tc>
        <w:tc>
          <w:tcPr>
            <w:tcW w:w="655" w:type="pct"/>
            <w:tcBorders>
              <w:top w:val="single" w:sz="4" w:space="0" w:color="auto"/>
              <w:left w:val="nil"/>
              <w:bottom w:val="single" w:sz="4" w:space="0" w:color="auto"/>
              <w:right w:val="single" w:sz="4" w:space="0" w:color="auto"/>
            </w:tcBorders>
            <w:shd w:val="clear" w:color="auto" w:fill="auto"/>
          </w:tcPr>
          <w:p w:rsidR="00A44CCE" w:rsidRPr="00303E4F" w:rsidRDefault="00A44CCE">
            <w:pPr>
              <w:rPr>
                <w:color w:val="000000"/>
                <w:sz w:val="17"/>
                <w:szCs w:val="17"/>
              </w:rPr>
            </w:pPr>
            <w:r w:rsidRPr="00303E4F">
              <w:rPr>
                <w:color w:val="000000"/>
                <w:sz w:val="17"/>
                <w:szCs w:val="17"/>
              </w:rPr>
              <w:t>n/a</w:t>
            </w:r>
          </w:p>
          <w:p w:rsidR="00A44CCE" w:rsidRPr="00303E4F" w:rsidRDefault="00A44CCE">
            <w:pPr>
              <w:rPr>
                <w:color w:val="000000"/>
                <w:sz w:val="17"/>
                <w:szCs w:val="17"/>
              </w:rPr>
            </w:pPr>
          </w:p>
        </w:tc>
        <w:tc>
          <w:tcPr>
            <w:tcW w:w="654" w:type="pct"/>
            <w:tcBorders>
              <w:top w:val="single" w:sz="4" w:space="0" w:color="auto"/>
              <w:left w:val="nil"/>
              <w:bottom w:val="single" w:sz="4" w:space="0" w:color="auto"/>
              <w:right w:val="nil"/>
            </w:tcBorders>
            <w:shd w:val="clear" w:color="auto" w:fill="auto"/>
          </w:tcPr>
          <w:p w:rsidR="00A44CCE" w:rsidRPr="00303E4F" w:rsidRDefault="00A44CCE" w:rsidP="00220419">
            <w:pPr>
              <w:rPr>
                <w:color w:val="000000"/>
                <w:sz w:val="17"/>
                <w:szCs w:val="17"/>
              </w:rPr>
            </w:pPr>
            <w:r w:rsidRPr="00303E4F">
              <w:rPr>
                <w:color w:val="000000"/>
                <w:sz w:val="17"/>
                <w:szCs w:val="17"/>
              </w:rPr>
              <w:t>70,000</w:t>
            </w:r>
          </w:p>
        </w:tc>
        <w:tc>
          <w:tcPr>
            <w:tcW w:w="709" w:type="pct"/>
            <w:tcBorders>
              <w:top w:val="single" w:sz="4" w:space="0" w:color="auto"/>
              <w:left w:val="single" w:sz="4" w:space="0" w:color="auto"/>
              <w:bottom w:val="single" w:sz="4" w:space="0" w:color="auto"/>
              <w:right w:val="single" w:sz="4" w:space="0" w:color="auto"/>
            </w:tcBorders>
            <w:shd w:val="clear" w:color="auto" w:fill="auto"/>
          </w:tcPr>
          <w:p w:rsidR="00A44CCE" w:rsidRPr="00303E4F" w:rsidRDefault="00A44CCE" w:rsidP="00220419">
            <w:pPr>
              <w:rPr>
                <w:color w:val="000000"/>
                <w:sz w:val="17"/>
                <w:szCs w:val="17"/>
              </w:rPr>
            </w:pPr>
          </w:p>
        </w:tc>
        <w:tc>
          <w:tcPr>
            <w:tcW w:w="869" w:type="pct"/>
            <w:tcBorders>
              <w:top w:val="single" w:sz="4" w:space="0" w:color="auto"/>
              <w:left w:val="nil"/>
              <w:bottom w:val="single" w:sz="4" w:space="0" w:color="auto"/>
              <w:right w:val="single" w:sz="4" w:space="0" w:color="auto"/>
            </w:tcBorders>
            <w:shd w:val="clear" w:color="auto" w:fill="auto"/>
          </w:tcPr>
          <w:p w:rsidR="00A44CCE" w:rsidRPr="00303E4F" w:rsidRDefault="00A44CCE" w:rsidP="00220419">
            <w:pPr>
              <w:rPr>
                <w:color w:val="000000"/>
                <w:sz w:val="17"/>
                <w:szCs w:val="17"/>
              </w:rPr>
            </w:pPr>
          </w:p>
        </w:tc>
        <w:tc>
          <w:tcPr>
            <w:tcW w:w="1167" w:type="pct"/>
            <w:tcBorders>
              <w:top w:val="single" w:sz="4" w:space="0" w:color="auto"/>
              <w:left w:val="nil"/>
              <w:bottom w:val="single" w:sz="4" w:space="0" w:color="auto"/>
              <w:right w:val="single" w:sz="4" w:space="0" w:color="auto"/>
            </w:tcBorders>
            <w:shd w:val="clear" w:color="auto" w:fill="auto"/>
          </w:tcPr>
          <w:p w:rsidR="00A44CCE" w:rsidRPr="00303E4F" w:rsidRDefault="00A44CCE">
            <w:pPr>
              <w:rPr>
                <w:color w:val="000000"/>
                <w:sz w:val="17"/>
                <w:szCs w:val="17"/>
              </w:rPr>
            </w:pPr>
            <w:r w:rsidRPr="00303E4F">
              <w:rPr>
                <w:color w:val="000000"/>
                <w:sz w:val="17"/>
                <w:szCs w:val="17"/>
              </w:rPr>
              <w:t>The new policy resulted in the archiving and progressive clean-up of over 1,480 old mailboxes during the course of 2015. The net reduction amounting to approximately 113,000 CHF per year will continue to be realized in the form of cost avoidance during the 2016/17 biennium.</w:t>
            </w:r>
          </w:p>
        </w:tc>
      </w:tr>
      <w:tr w:rsidR="00A44CCE" w:rsidRPr="00BE62B6" w:rsidTr="00D25F58">
        <w:trPr>
          <w:trHeight w:val="1228"/>
        </w:trPr>
        <w:tc>
          <w:tcPr>
            <w:tcW w:w="946" w:type="pct"/>
            <w:tcBorders>
              <w:top w:val="single" w:sz="4" w:space="0" w:color="auto"/>
              <w:left w:val="single" w:sz="4" w:space="0" w:color="auto"/>
              <w:bottom w:val="single" w:sz="4" w:space="0" w:color="auto"/>
              <w:right w:val="single" w:sz="4" w:space="0" w:color="auto"/>
            </w:tcBorders>
            <w:shd w:val="clear" w:color="auto" w:fill="auto"/>
            <w:hideMark/>
          </w:tcPr>
          <w:p w:rsidR="00A44CCE" w:rsidRPr="00303E4F" w:rsidRDefault="00A44CCE" w:rsidP="00220419">
            <w:pPr>
              <w:rPr>
                <w:color w:val="000000"/>
                <w:sz w:val="17"/>
                <w:szCs w:val="17"/>
              </w:rPr>
            </w:pPr>
            <w:r w:rsidRPr="00303E4F">
              <w:rPr>
                <w:color w:val="000000"/>
                <w:sz w:val="17"/>
                <w:szCs w:val="17"/>
              </w:rPr>
              <w:t>Reduction in translation costs due to renegotiated contracts with external translators, launching of additional international tenders to cover Arabic, Chinese and Russian translations based on the experiences gained in outsourcing translation work of French and Spanish and use of Computer-Assisted Translation and Terminological (CATT) tools.</w:t>
            </w:r>
          </w:p>
        </w:tc>
        <w:tc>
          <w:tcPr>
            <w:tcW w:w="655" w:type="pct"/>
            <w:tcBorders>
              <w:top w:val="single" w:sz="4" w:space="0" w:color="auto"/>
              <w:left w:val="nil"/>
              <w:bottom w:val="single" w:sz="4" w:space="0" w:color="auto"/>
              <w:right w:val="single" w:sz="4" w:space="0" w:color="auto"/>
            </w:tcBorders>
            <w:shd w:val="clear" w:color="auto" w:fill="auto"/>
            <w:hideMark/>
          </w:tcPr>
          <w:p w:rsidR="00A44CCE" w:rsidRPr="00303E4F" w:rsidRDefault="00A44CCE">
            <w:pPr>
              <w:rPr>
                <w:color w:val="000000"/>
                <w:sz w:val="17"/>
                <w:szCs w:val="17"/>
              </w:rPr>
            </w:pPr>
            <w:r w:rsidRPr="00303E4F">
              <w:rPr>
                <w:color w:val="000000"/>
                <w:sz w:val="17"/>
                <w:szCs w:val="17"/>
              </w:rPr>
              <w:t>306,375</w:t>
            </w:r>
          </w:p>
          <w:p w:rsidR="00A44CCE" w:rsidRPr="00303E4F" w:rsidRDefault="00A44CCE" w:rsidP="00220419">
            <w:pPr>
              <w:rPr>
                <w:color w:val="000000"/>
                <w:sz w:val="17"/>
                <w:szCs w:val="17"/>
              </w:rPr>
            </w:pPr>
            <w:r w:rsidRPr="00303E4F">
              <w:rPr>
                <w:color w:val="000000"/>
                <w:sz w:val="17"/>
                <w:szCs w:val="17"/>
              </w:rPr>
              <w:t xml:space="preserve"> </w:t>
            </w:r>
          </w:p>
        </w:tc>
        <w:tc>
          <w:tcPr>
            <w:tcW w:w="654" w:type="pct"/>
            <w:tcBorders>
              <w:top w:val="single" w:sz="4" w:space="0" w:color="auto"/>
              <w:left w:val="nil"/>
              <w:bottom w:val="single" w:sz="4" w:space="0" w:color="auto"/>
              <w:right w:val="nil"/>
            </w:tcBorders>
            <w:shd w:val="clear" w:color="auto" w:fill="auto"/>
            <w:hideMark/>
          </w:tcPr>
          <w:p w:rsidR="00A44CCE" w:rsidRPr="00303E4F" w:rsidRDefault="00A44CCE" w:rsidP="00220419">
            <w:pPr>
              <w:rPr>
                <w:color w:val="000000"/>
                <w:sz w:val="17"/>
                <w:szCs w:val="17"/>
              </w:rPr>
            </w:pPr>
            <w:r w:rsidRPr="00303E4F">
              <w:rPr>
                <w:color w:val="000000"/>
                <w:sz w:val="17"/>
                <w:szCs w:val="17"/>
              </w:rPr>
              <w:t>601,084</w:t>
            </w:r>
          </w:p>
        </w:tc>
        <w:tc>
          <w:tcPr>
            <w:tcW w:w="709" w:type="pct"/>
            <w:tcBorders>
              <w:top w:val="single" w:sz="4" w:space="0" w:color="auto"/>
              <w:left w:val="single" w:sz="4" w:space="0" w:color="auto"/>
              <w:bottom w:val="single" w:sz="4" w:space="0" w:color="auto"/>
              <w:right w:val="single" w:sz="4" w:space="0" w:color="auto"/>
            </w:tcBorders>
            <w:shd w:val="clear" w:color="auto" w:fill="auto"/>
            <w:hideMark/>
          </w:tcPr>
          <w:p w:rsidR="00A44CCE" w:rsidRPr="00303E4F" w:rsidRDefault="00A44CCE">
            <w:pPr>
              <w:rPr>
                <w:color w:val="000000"/>
                <w:sz w:val="17"/>
                <w:szCs w:val="17"/>
              </w:rPr>
            </w:pPr>
            <w:r w:rsidRPr="00303E4F">
              <w:rPr>
                <w:color w:val="000000"/>
                <w:sz w:val="17"/>
                <w:szCs w:val="17"/>
              </w:rPr>
              <w:t>A reduction in the per word translation cost from 0.63 CHF in 2013 to 0.59 CHF in 2014 (i.e. decrease by 0.04 CHF per word)</w:t>
            </w:r>
          </w:p>
        </w:tc>
        <w:tc>
          <w:tcPr>
            <w:tcW w:w="869" w:type="pct"/>
            <w:tcBorders>
              <w:top w:val="single" w:sz="4" w:space="0" w:color="auto"/>
              <w:left w:val="nil"/>
              <w:bottom w:val="single" w:sz="4" w:space="0" w:color="auto"/>
              <w:right w:val="single" w:sz="4" w:space="0" w:color="auto"/>
            </w:tcBorders>
            <w:shd w:val="clear" w:color="auto" w:fill="auto"/>
            <w:hideMark/>
          </w:tcPr>
          <w:p w:rsidR="00A44CCE" w:rsidRPr="00303E4F" w:rsidRDefault="00A44CCE">
            <w:pPr>
              <w:rPr>
                <w:color w:val="000000"/>
                <w:sz w:val="17"/>
                <w:szCs w:val="17"/>
              </w:rPr>
            </w:pPr>
            <w:r w:rsidRPr="00303E4F">
              <w:rPr>
                <w:color w:val="000000"/>
                <w:sz w:val="17"/>
                <w:szCs w:val="17"/>
              </w:rPr>
              <w:t>Cost per word further reduced to 0.57 CHF in 2015 (i.e. additional decrease of 0.02 CHF)</w:t>
            </w:r>
          </w:p>
        </w:tc>
        <w:tc>
          <w:tcPr>
            <w:tcW w:w="1167" w:type="pct"/>
            <w:tcBorders>
              <w:top w:val="single" w:sz="4" w:space="0" w:color="auto"/>
              <w:left w:val="nil"/>
              <w:bottom w:val="single" w:sz="4" w:space="0" w:color="auto"/>
              <w:right w:val="single" w:sz="4" w:space="0" w:color="auto"/>
            </w:tcBorders>
            <w:shd w:val="clear" w:color="auto" w:fill="auto"/>
            <w:hideMark/>
          </w:tcPr>
          <w:p w:rsidR="00A44CCE" w:rsidRPr="00303E4F" w:rsidRDefault="00A44CCE" w:rsidP="00220419">
            <w:pPr>
              <w:rPr>
                <w:color w:val="000000"/>
                <w:sz w:val="17"/>
                <w:szCs w:val="17"/>
              </w:rPr>
            </w:pPr>
            <w:r w:rsidRPr="00303E4F">
              <w:rPr>
                <w:color w:val="000000"/>
                <w:sz w:val="17"/>
                <w:szCs w:val="17"/>
              </w:rPr>
              <w:t> </w:t>
            </w:r>
          </w:p>
        </w:tc>
      </w:tr>
      <w:tr w:rsidR="00A44CCE" w:rsidRPr="00BE62B6" w:rsidTr="00D25F58">
        <w:trPr>
          <w:trHeight w:val="1020"/>
        </w:trPr>
        <w:tc>
          <w:tcPr>
            <w:tcW w:w="946" w:type="pct"/>
            <w:tcBorders>
              <w:top w:val="single" w:sz="4" w:space="0" w:color="auto"/>
              <w:left w:val="single" w:sz="4" w:space="0" w:color="auto"/>
              <w:bottom w:val="single" w:sz="4" w:space="0" w:color="auto"/>
              <w:right w:val="single" w:sz="4" w:space="0" w:color="auto"/>
            </w:tcBorders>
            <w:shd w:val="clear" w:color="auto" w:fill="auto"/>
            <w:hideMark/>
          </w:tcPr>
          <w:p w:rsidR="00A44CCE" w:rsidRPr="00303E4F" w:rsidRDefault="00A44CCE" w:rsidP="00220419">
            <w:pPr>
              <w:rPr>
                <w:color w:val="000000"/>
                <w:sz w:val="17"/>
                <w:szCs w:val="17"/>
              </w:rPr>
            </w:pPr>
            <w:r w:rsidRPr="00303E4F">
              <w:rPr>
                <w:color w:val="000000"/>
                <w:sz w:val="17"/>
                <w:szCs w:val="17"/>
              </w:rPr>
              <w:t>Reduction in printing costs following the renegotiation of the base contract for printers.</w:t>
            </w:r>
          </w:p>
        </w:tc>
        <w:tc>
          <w:tcPr>
            <w:tcW w:w="655" w:type="pct"/>
            <w:tcBorders>
              <w:top w:val="single" w:sz="4" w:space="0" w:color="auto"/>
              <w:left w:val="nil"/>
              <w:bottom w:val="single" w:sz="4" w:space="0" w:color="auto"/>
              <w:right w:val="single" w:sz="4" w:space="0" w:color="auto"/>
            </w:tcBorders>
            <w:shd w:val="clear" w:color="auto" w:fill="auto"/>
            <w:hideMark/>
          </w:tcPr>
          <w:p w:rsidR="00A44CCE" w:rsidRPr="00303E4F" w:rsidRDefault="00A44CCE" w:rsidP="00220419">
            <w:pPr>
              <w:rPr>
                <w:color w:val="000000"/>
                <w:sz w:val="17"/>
                <w:szCs w:val="17"/>
              </w:rPr>
            </w:pPr>
            <w:r w:rsidRPr="00303E4F">
              <w:rPr>
                <w:color w:val="000000"/>
                <w:sz w:val="17"/>
                <w:szCs w:val="17"/>
              </w:rPr>
              <w:t>243,000***</w:t>
            </w:r>
          </w:p>
          <w:p w:rsidR="00A44CCE" w:rsidRPr="00303E4F" w:rsidRDefault="00A44CCE" w:rsidP="00220419">
            <w:pPr>
              <w:rPr>
                <w:color w:val="000000"/>
                <w:sz w:val="17"/>
                <w:szCs w:val="17"/>
              </w:rPr>
            </w:pPr>
          </w:p>
        </w:tc>
        <w:tc>
          <w:tcPr>
            <w:tcW w:w="654" w:type="pct"/>
            <w:tcBorders>
              <w:top w:val="single" w:sz="4" w:space="0" w:color="auto"/>
              <w:left w:val="nil"/>
              <w:bottom w:val="single" w:sz="4" w:space="0" w:color="auto"/>
              <w:right w:val="single" w:sz="4" w:space="0" w:color="auto"/>
            </w:tcBorders>
            <w:shd w:val="clear" w:color="auto" w:fill="auto"/>
            <w:hideMark/>
          </w:tcPr>
          <w:p w:rsidR="00A44CCE" w:rsidRPr="00303E4F" w:rsidRDefault="00A44CCE">
            <w:pPr>
              <w:rPr>
                <w:color w:val="000000"/>
                <w:sz w:val="17"/>
                <w:szCs w:val="17"/>
              </w:rPr>
            </w:pPr>
            <w:r w:rsidRPr="00303E4F">
              <w:rPr>
                <w:color w:val="000000"/>
                <w:sz w:val="17"/>
                <w:szCs w:val="17"/>
              </w:rPr>
              <w:t> 399,000</w:t>
            </w:r>
          </w:p>
        </w:tc>
        <w:tc>
          <w:tcPr>
            <w:tcW w:w="709" w:type="pct"/>
            <w:tcBorders>
              <w:top w:val="single" w:sz="4" w:space="0" w:color="auto"/>
              <w:left w:val="nil"/>
              <w:bottom w:val="single" w:sz="4" w:space="0" w:color="auto"/>
              <w:right w:val="single" w:sz="4" w:space="0" w:color="auto"/>
            </w:tcBorders>
            <w:shd w:val="clear" w:color="auto" w:fill="auto"/>
            <w:hideMark/>
          </w:tcPr>
          <w:p w:rsidR="00A44CCE" w:rsidRPr="00303E4F" w:rsidRDefault="00A44CCE">
            <w:pPr>
              <w:rPr>
                <w:color w:val="000000"/>
                <w:sz w:val="17"/>
                <w:szCs w:val="17"/>
              </w:rPr>
            </w:pPr>
            <w:r w:rsidRPr="00303E4F">
              <w:rPr>
                <w:color w:val="000000"/>
                <w:sz w:val="17"/>
                <w:szCs w:val="17"/>
              </w:rPr>
              <w:t xml:space="preserve">A reduction in the cost per page from 0.20 CHF in 2013 to 0.15 CHF in 2014 by 26%*** </w:t>
            </w:r>
          </w:p>
        </w:tc>
        <w:tc>
          <w:tcPr>
            <w:tcW w:w="869" w:type="pct"/>
            <w:tcBorders>
              <w:top w:val="single" w:sz="4" w:space="0" w:color="auto"/>
              <w:left w:val="nil"/>
              <w:bottom w:val="single" w:sz="4" w:space="0" w:color="auto"/>
              <w:right w:val="single" w:sz="4" w:space="0" w:color="auto"/>
            </w:tcBorders>
            <w:shd w:val="clear" w:color="auto" w:fill="auto"/>
            <w:hideMark/>
          </w:tcPr>
          <w:p w:rsidR="00A44CCE" w:rsidRPr="00303E4F" w:rsidRDefault="00A44CCE">
            <w:pPr>
              <w:rPr>
                <w:color w:val="000000"/>
                <w:sz w:val="17"/>
                <w:szCs w:val="17"/>
              </w:rPr>
            </w:pPr>
            <w:r w:rsidRPr="00303E4F">
              <w:rPr>
                <w:color w:val="000000"/>
                <w:sz w:val="17"/>
                <w:szCs w:val="17"/>
              </w:rPr>
              <w:t xml:space="preserve"> The cost per page 0.15 CHF in 2015, the same as in 2014 </w:t>
            </w:r>
          </w:p>
        </w:tc>
        <w:tc>
          <w:tcPr>
            <w:tcW w:w="1167" w:type="pct"/>
            <w:tcBorders>
              <w:top w:val="single" w:sz="4" w:space="0" w:color="auto"/>
              <w:left w:val="nil"/>
              <w:bottom w:val="single" w:sz="4" w:space="0" w:color="auto"/>
              <w:right w:val="single" w:sz="4" w:space="0" w:color="auto"/>
            </w:tcBorders>
            <w:shd w:val="clear" w:color="auto" w:fill="auto"/>
            <w:hideMark/>
          </w:tcPr>
          <w:p w:rsidR="00A44CCE" w:rsidRPr="00303E4F" w:rsidRDefault="00A44CCE" w:rsidP="00220419">
            <w:pPr>
              <w:rPr>
                <w:color w:val="000000"/>
                <w:sz w:val="17"/>
                <w:szCs w:val="17"/>
              </w:rPr>
            </w:pPr>
            <w:r w:rsidRPr="00303E4F">
              <w:rPr>
                <w:color w:val="000000"/>
                <w:sz w:val="17"/>
                <w:szCs w:val="17"/>
              </w:rPr>
              <w:t> </w:t>
            </w:r>
          </w:p>
        </w:tc>
      </w:tr>
      <w:tr w:rsidR="00A44CCE" w:rsidRPr="00BE62B6" w:rsidTr="00D25F58">
        <w:trPr>
          <w:trHeight w:val="1561"/>
        </w:trPr>
        <w:tc>
          <w:tcPr>
            <w:tcW w:w="946" w:type="pct"/>
            <w:tcBorders>
              <w:top w:val="nil"/>
              <w:left w:val="single" w:sz="4" w:space="0" w:color="auto"/>
              <w:bottom w:val="single" w:sz="4" w:space="0" w:color="auto"/>
              <w:right w:val="single" w:sz="4" w:space="0" w:color="auto"/>
            </w:tcBorders>
            <w:shd w:val="clear" w:color="auto" w:fill="auto"/>
            <w:hideMark/>
          </w:tcPr>
          <w:p w:rsidR="00A44CCE" w:rsidRPr="00303E4F" w:rsidRDefault="00A44CCE" w:rsidP="00220419">
            <w:pPr>
              <w:rPr>
                <w:color w:val="000000"/>
                <w:sz w:val="17"/>
                <w:szCs w:val="17"/>
              </w:rPr>
            </w:pPr>
            <w:r w:rsidRPr="00303E4F">
              <w:rPr>
                <w:color w:val="000000"/>
                <w:sz w:val="17"/>
                <w:szCs w:val="17"/>
              </w:rPr>
              <w:t>Reduction in mailing costs due to negotiated lower tariffs with external mail service providers and grouping of addresses</w:t>
            </w:r>
          </w:p>
        </w:tc>
        <w:tc>
          <w:tcPr>
            <w:tcW w:w="655" w:type="pct"/>
            <w:tcBorders>
              <w:top w:val="nil"/>
              <w:left w:val="nil"/>
              <w:bottom w:val="single" w:sz="4" w:space="0" w:color="auto"/>
              <w:right w:val="single" w:sz="4" w:space="0" w:color="auto"/>
            </w:tcBorders>
            <w:shd w:val="clear" w:color="auto" w:fill="auto"/>
            <w:hideMark/>
          </w:tcPr>
          <w:p w:rsidR="00A44CCE" w:rsidRPr="00303E4F" w:rsidRDefault="00A44CCE" w:rsidP="00220419">
            <w:pPr>
              <w:rPr>
                <w:color w:val="000000"/>
                <w:sz w:val="17"/>
                <w:szCs w:val="17"/>
              </w:rPr>
            </w:pPr>
            <w:r w:rsidRPr="00303E4F">
              <w:rPr>
                <w:color w:val="000000"/>
                <w:sz w:val="17"/>
                <w:szCs w:val="17"/>
              </w:rPr>
              <w:t>71,662***</w:t>
            </w:r>
          </w:p>
          <w:p w:rsidR="00A44CCE" w:rsidRPr="00303E4F" w:rsidRDefault="00A44CCE">
            <w:pPr>
              <w:rPr>
                <w:color w:val="000000"/>
                <w:sz w:val="17"/>
                <w:szCs w:val="17"/>
              </w:rPr>
            </w:pPr>
          </w:p>
        </w:tc>
        <w:tc>
          <w:tcPr>
            <w:tcW w:w="654" w:type="pct"/>
            <w:tcBorders>
              <w:top w:val="nil"/>
              <w:left w:val="nil"/>
              <w:bottom w:val="single" w:sz="4" w:space="0" w:color="auto"/>
              <w:right w:val="single" w:sz="4" w:space="0" w:color="auto"/>
            </w:tcBorders>
            <w:shd w:val="clear" w:color="auto" w:fill="auto"/>
            <w:hideMark/>
          </w:tcPr>
          <w:p w:rsidR="00A44CCE" w:rsidRPr="00303E4F" w:rsidRDefault="00A44CCE" w:rsidP="00220419">
            <w:pPr>
              <w:rPr>
                <w:color w:val="000000"/>
                <w:sz w:val="17"/>
                <w:szCs w:val="17"/>
              </w:rPr>
            </w:pPr>
            <w:r w:rsidRPr="00303E4F">
              <w:rPr>
                <w:color w:val="000000"/>
                <w:sz w:val="17"/>
                <w:szCs w:val="17"/>
              </w:rPr>
              <w:t> 189,367</w:t>
            </w:r>
          </w:p>
        </w:tc>
        <w:tc>
          <w:tcPr>
            <w:tcW w:w="709" w:type="pct"/>
            <w:tcBorders>
              <w:top w:val="nil"/>
              <w:left w:val="nil"/>
              <w:bottom w:val="single" w:sz="4" w:space="0" w:color="auto"/>
              <w:right w:val="single" w:sz="4" w:space="0" w:color="auto"/>
            </w:tcBorders>
            <w:shd w:val="clear" w:color="auto" w:fill="auto"/>
            <w:hideMark/>
          </w:tcPr>
          <w:p w:rsidR="00A44CCE" w:rsidRPr="00303E4F" w:rsidRDefault="00A44CCE" w:rsidP="00220419">
            <w:pPr>
              <w:rPr>
                <w:color w:val="000000"/>
                <w:sz w:val="17"/>
                <w:szCs w:val="17"/>
              </w:rPr>
            </w:pPr>
            <w:r w:rsidRPr="00303E4F">
              <w:rPr>
                <w:color w:val="000000"/>
                <w:sz w:val="17"/>
                <w:szCs w:val="17"/>
              </w:rPr>
              <w:t> </w:t>
            </w:r>
          </w:p>
        </w:tc>
        <w:tc>
          <w:tcPr>
            <w:tcW w:w="869" w:type="pct"/>
            <w:tcBorders>
              <w:top w:val="nil"/>
              <w:left w:val="nil"/>
              <w:bottom w:val="single" w:sz="4" w:space="0" w:color="auto"/>
              <w:right w:val="single" w:sz="4" w:space="0" w:color="auto"/>
            </w:tcBorders>
            <w:shd w:val="clear" w:color="auto" w:fill="auto"/>
            <w:hideMark/>
          </w:tcPr>
          <w:p w:rsidR="00A44CCE" w:rsidRPr="00303E4F" w:rsidRDefault="00A44CCE" w:rsidP="00220419">
            <w:pPr>
              <w:rPr>
                <w:color w:val="000000"/>
                <w:sz w:val="17"/>
                <w:szCs w:val="17"/>
              </w:rPr>
            </w:pPr>
            <w:r w:rsidRPr="00303E4F">
              <w:rPr>
                <w:color w:val="000000"/>
                <w:sz w:val="17"/>
                <w:szCs w:val="17"/>
              </w:rPr>
              <w:t> </w:t>
            </w:r>
          </w:p>
        </w:tc>
        <w:tc>
          <w:tcPr>
            <w:tcW w:w="1167" w:type="pct"/>
            <w:tcBorders>
              <w:top w:val="nil"/>
              <w:left w:val="nil"/>
              <w:bottom w:val="single" w:sz="4" w:space="0" w:color="auto"/>
              <w:right w:val="single" w:sz="4" w:space="0" w:color="auto"/>
            </w:tcBorders>
            <w:shd w:val="clear" w:color="auto" w:fill="auto"/>
            <w:hideMark/>
          </w:tcPr>
          <w:p w:rsidR="00A44CCE" w:rsidRPr="00303E4F" w:rsidRDefault="00A44CCE" w:rsidP="00220419">
            <w:pPr>
              <w:rPr>
                <w:color w:val="000000"/>
                <w:sz w:val="17"/>
                <w:szCs w:val="17"/>
              </w:rPr>
            </w:pPr>
            <w:r w:rsidRPr="00303E4F">
              <w:rPr>
                <w:color w:val="000000"/>
                <w:sz w:val="17"/>
                <w:szCs w:val="17"/>
              </w:rPr>
              <w:t>2014: Renegotiations of contracts with mail carriers resulted in an overall decrease in mailing costs by 4% from 2013.</w:t>
            </w:r>
          </w:p>
          <w:p w:rsidR="00A44CCE" w:rsidRPr="00303E4F" w:rsidRDefault="00A44CCE" w:rsidP="00220419">
            <w:pPr>
              <w:rPr>
                <w:color w:val="000000"/>
                <w:sz w:val="17"/>
                <w:szCs w:val="17"/>
              </w:rPr>
            </w:pPr>
          </w:p>
          <w:p w:rsidR="00A44CCE" w:rsidRDefault="00A44CCE">
            <w:pPr>
              <w:rPr>
                <w:color w:val="000000"/>
                <w:sz w:val="17"/>
                <w:szCs w:val="17"/>
              </w:rPr>
            </w:pPr>
            <w:r w:rsidRPr="00303E4F">
              <w:rPr>
                <w:color w:val="000000"/>
                <w:sz w:val="17"/>
                <w:szCs w:val="17"/>
              </w:rPr>
              <w:t>2015: Reduction by 11% in 2015 from 2013.</w:t>
            </w:r>
          </w:p>
          <w:p w:rsidR="00A44CCE" w:rsidRPr="00303E4F" w:rsidRDefault="00A44CCE">
            <w:pPr>
              <w:rPr>
                <w:color w:val="000000"/>
                <w:sz w:val="17"/>
                <w:szCs w:val="17"/>
              </w:rPr>
            </w:pPr>
            <w:r w:rsidRPr="00303E4F">
              <w:rPr>
                <w:color w:val="000000"/>
                <w:sz w:val="17"/>
                <w:szCs w:val="17"/>
              </w:rPr>
              <w:t xml:space="preserve"> </w:t>
            </w:r>
          </w:p>
        </w:tc>
      </w:tr>
      <w:tr w:rsidR="00A44CCE" w:rsidRPr="00BE62B6" w:rsidTr="00D25F58">
        <w:trPr>
          <w:trHeight w:val="859"/>
        </w:trPr>
        <w:tc>
          <w:tcPr>
            <w:tcW w:w="946" w:type="pct"/>
            <w:tcBorders>
              <w:top w:val="single" w:sz="4" w:space="0" w:color="auto"/>
              <w:left w:val="single" w:sz="4" w:space="0" w:color="auto"/>
              <w:bottom w:val="single" w:sz="4" w:space="0" w:color="auto"/>
              <w:right w:val="single" w:sz="4" w:space="0" w:color="auto"/>
            </w:tcBorders>
            <w:shd w:val="clear" w:color="auto" w:fill="auto"/>
            <w:hideMark/>
          </w:tcPr>
          <w:p w:rsidR="00A44CCE" w:rsidRPr="00303E4F" w:rsidRDefault="00A44CCE" w:rsidP="00220419">
            <w:pPr>
              <w:rPr>
                <w:color w:val="000000"/>
                <w:sz w:val="17"/>
                <w:szCs w:val="17"/>
              </w:rPr>
            </w:pPr>
            <w:r w:rsidRPr="00303E4F">
              <w:rPr>
                <w:color w:val="000000"/>
                <w:sz w:val="17"/>
                <w:szCs w:val="17"/>
              </w:rPr>
              <w:t>Reduction in the number of outsourced Security guards and the number of hours of their work.</w:t>
            </w:r>
          </w:p>
        </w:tc>
        <w:tc>
          <w:tcPr>
            <w:tcW w:w="655" w:type="pct"/>
            <w:tcBorders>
              <w:top w:val="single" w:sz="4" w:space="0" w:color="auto"/>
              <w:left w:val="nil"/>
              <w:bottom w:val="single" w:sz="4" w:space="0" w:color="auto"/>
              <w:right w:val="single" w:sz="4" w:space="0" w:color="auto"/>
            </w:tcBorders>
            <w:shd w:val="clear" w:color="auto" w:fill="auto"/>
            <w:hideMark/>
          </w:tcPr>
          <w:p w:rsidR="00A44CCE" w:rsidRPr="00303E4F" w:rsidRDefault="00A44CCE" w:rsidP="00220419">
            <w:pPr>
              <w:rPr>
                <w:color w:val="000000"/>
                <w:sz w:val="17"/>
                <w:szCs w:val="17"/>
              </w:rPr>
            </w:pPr>
            <w:r w:rsidRPr="00303E4F">
              <w:rPr>
                <w:color w:val="000000"/>
                <w:sz w:val="17"/>
                <w:szCs w:val="17"/>
              </w:rPr>
              <w:t xml:space="preserve">331,882*** </w:t>
            </w:r>
          </w:p>
          <w:p w:rsidR="00A44CCE" w:rsidRPr="00303E4F" w:rsidRDefault="00A44CCE" w:rsidP="00220419">
            <w:pPr>
              <w:rPr>
                <w:color w:val="000000"/>
                <w:sz w:val="17"/>
                <w:szCs w:val="17"/>
              </w:rPr>
            </w:pPr>
          </w:p>
          <w:p w:rsidR="00A44CCE" w:rsidRPr="00303E4F" w:rsidRDefault="00A44CCE" w:rsidP="00220419">
            <w:pPr>
              <w:rPr>
                <w:color w:val="000000"/>
                <w:sz w:val="17"/>
                <w:szCs w:val="17"/>
              </w:rPr>
            </w:pPr>
          </w:p>
        </w:tc>
        <w:tc>
          <w:tcPr>
            <w:tcW w:w="654" w:type="pct"/>
            <w:tcBorders>
              <w:top w:val="single" w:sz="4" w:space="0" w:color="auto"/>
              <w:left w:val="nil"/>
              <w:bottom w:val="single" w:sz="4" w:space="0" w:color="auto"/>
              <w:right w:val="single" w:sz="4" w:space="0" w:color="auto"/>
            </w:tcBorders>
            <w:shd w:val="clear" w:color="auto" w:fill="auto"/>
            <w:hideMark/>
          </w:tcPr>
          <w:p w:rsidR="00A44CCE" w:rsidRPr="00303E4F" w:rsidRDefault="00A44CCE">
            <w:pPr>
              <w:rPr>
                <w:color w:val="000000"/>
                <w:sz w:val="17"/>
                <w:szCs w:val="17"/>
              </w:rPr>
            </w:pPr>
            <w:r w:rsidRPr="00303E4F">
              <w:rPr>
                <w:color w:val="000000"/>
                <w:sz w:val="17"/>
                <w:szCs w:val="17"/>
              </w:rPr>
              <w:t> 708,739</w:t>
            </w:r>
          </w:p>
        </w:tc>
        <w:tc>
          <w:tcPr>
            <w:tcW w:w="709" w:type="pct"/>
            <w:tcBorders>
              <w:top w:val="single" w:sz="4" w:space="0" w:color="auto"/>
              <w:left w:val="nil"/>
              <w:bottom w:val="single" w:sz="4" w:space="0" w:color="auto"/>
              <w:right w:val="single" w:sz="4" w:space="0" w:color="auto"/>
            </w:tcBorders>
            <w:shd w:val="clear" w:color="auto" w:fill="auto"/>
            <w:hideMark/>
          </w:tcPr>
          <w:p w:rsidR="00A44CCE" w:rsidRPr="00303E4F" w:rsidRDefault="00A44CCE" w:rsidP="00220419">
            <w:pPr>
              <w:rPr>
                <w:color w:val="000000"/>
                <w:sz w:val="17"/>
                <w:szCs w:val="17"/>
              </w:rPr>
            </w:pPr>
            <w:r w:rsidRPr="00303E4F">
              <w:rPr>
                <w:color w:val="000000"/>
                <w:sz w:val="17"/>
                <w:szCs w:val="17"/>
              </w:rPr>
              <w:t> </w:t>
            </w:r>
          </w:p>
        </w:tc>
        <w:tc>
          <w:tcPr>
            <w:tcW w:w="869" w:type="pct"/>
            <w:tcBorders>
              <w:top w:val="single" w:sz="4" w:space="0" w:color="auto"/>
              <w:left w:val="nil"/>
              <w:bottom w:val="single" w:sz="4" w:space="0" w:color="auto"/>
              <w:right w:val="single" w:sz="4" w:space="0" w:color="auto"/>
            </w:tcBorders>
            <w:shd w:val="clear" w:color="auto" w:fill="auto"/>
            <w:hideMark/>
          </w:tcPr>
          <w:p w:rsidR="00A44CCE" w:rsidRPr="00303E4F" w:rsidRDefault="00A44CCE" w:rsidP="00220419">
            <w:pPr>
              <w:rPr>
                <w:color w:val="000000"/>
                <w:sz w:val="17"/>
                <w:szCs w:val="17"/>
              </w:rPr>
            </w:pPr>
            <w:r w:rsidRPr="00303E4F">
              <w:rPr>
                <w:color w:val="000000"/>
                <w:sz w:val="17"/>
                <w:szCs w:val="17"/>
              </w:rPr>
              <w:t> </w:t>
            </w:r>
          </w:p>
        </w:tc>
        <w:tc>
          <w:tcPr>
            <w:tcW w:w="1167" w:type="pct"/>
            <w:tcBorders>
              <w:top w:val="single" w:sz="4" w:space="0" w:color="auto"/>
              <w:left w:val="nil"/>
              <w:bottom w:val="single" w:sz="4" w:space="0" w:color="auto"/>
              <w:right w:val="single" w:sz="4" w:space="0" w:color="auto"/>
            </w:tcBorders>
            <w:shd w:val="clear" w:color="auto" w:fill="auto"/>
            <w:hideMark/>
          </w:tcPr>
          <w:p w:rsidR="00A44CCE" w:rsidRPr="00303E4F" w:rsidRDefault="00A44CCE" w:rsidP="00220419">
            <w:pPr>
              <w:contextualSpacing/>
              <w:rPr>
                <w:sz w:val="17"/>
                <w:szCs w:val="17"/>
              </w:rPr>
            </w:pPr>
            <w:r w:rsidRPr="00303E4F">
              <w:rPr>
                <w:sz w:val="17"/>
                <w:szCs w:val="17"/>
              </w:rPr>
              <w:t>2014: An overall reduction of 8.4% (331,882 CHF) from 2013 (3,943,837 CHF) to 2014 (3,611,955 CHF) resulting from reduction in the number of ARNDT security guards in</w:t>
            </w:r>
            <w:r>
              <w:rPr>
                <w:sz w:val="17"/>
                <w:szCs w:val="17"/>
              </w:rPr>
              <w:t> </w:t>
            </w:r>
            <w:r w:rsidRPr="00303E4F">
              <w:rPr>
                <w:sz w:val="17"/>
                <w:szCs w:val="17"/>
              </w:rPr>
              <w:t xml:space="preserve">2014, and a reduction in </w:t>
            </w:r>
            <w:r w:rsidRPr="00303E4F">
              <w:rPr>
                <w:sz w:val="17"/>
                <w:szCs w:val="17"/>
              </w:rPr>
              <w:lastRenderedPageBreak/>
              <w:t>guard surge capacity requirements by 25%.</w:t>
            </w:r>
          </w:p>
          <w:p w:rsidR="00A44CCE" w:rsidRPr="00303E4F" w:rsidRDefault="00A44CCE" w:rsidP="00220419">
            <w:pPr>
              <w:contextualSpacing/>
              <w:rPr>
                <w:sz w:val="17"/>
                <w:szCs w:val="17"/>
              </w:rPr>
            </w:pPr>
          </w:p>
          <w:p w:rsidR="00A44CCE" w:rsidRPr="00303E4F" w:rsidRDefault="00A44CCE">
            <w:pPr>
              <w:contextualSpacing/>
              <w:rPr>
                <w:sz w:val="17"/>
                <w:szCs w:val="17"/>
              </w:rPr>
            </w:pPr>
            <w:r w:rsidRPr="00303E4F">
              <w:rPr>
                <w:sz w:val="17"/>
                <w:szCs w:val="17"/>
              </w:rPr>
              <w:t>2015: An overall reduction of 17.9% (708,739 CHF) from 2013 to 2015 (3,235,098 CHF) resulting from smart re-deployment of ARNDT security guards after the implementation of the access speed gates, and the Security Operations Center as part of the H-MOSS project, thereby reducing the total number of hours worked by security guards; and reduction in the guard surge capacity requirements by 29%.</w:t>
            </w:r>
          </w:p>
          <w:p w:rsidR="00A44CCE" w:rsidRPr="00303E4F" w:rsidRDefault="00A44CCE" w:rsidP="00220419">
            <w:pPr>
              <w:rPr>
                <w:color w:val="000000"/>
                <w:sz w:val="17"/>
                <w:szCs w:val="17"/>
              </w:rPr>
            </w:pPr>
          </w:p>
        </w:tc>
      </w:tr>
      <w:tr w:rsidR="00A44CCE" w:rsidRPr="00BE62B6" w:rsidTr="00D25F58">
        <w:trPr>
          <w:trHeight w:val="2550"/>
        </w:trPr>
        <w:tc>
          <w:tcPr>
            <w:tcW w:w="946" w:type="pct"/>
            <w:tcBorders>
              <w:top w:val="single" w:sz="4" w:space="0" w:color="auto"/>
              <w:left w:val="single" w:sz="4" w:space="0" w:color="auto"/>
              <w:bottom w:val="single" w:sz="4" w:space="0" w:color="auto"/>
              <w:right w:val="single" w:sz="4" w:space="0" w:color="auto"/>
            </w:tcBorders>
            <w:shd w:val="clear" w:color="auto" w:fill="auto"/>
            <w:hideMark/>
          </w:tcPr>
          <w:p w:rsidR="00A44CCE" w:rsidRPr="00303E4F" w:rsidRDefault="00A44CCE" w:rsidP="00220419">
            <w:pPr>
              <w:rPr>
                <w:color w:val="000000"/>
                <w:sz w:val="17"/>
                <w:szCs w:val="17"/>
              </w:rPr>
            </w:pPr>
            <w:r w:rsidRPr="00303E4F">
              <w:rPr>
                <w:color w:val="000000"/>
                <w:sz w:val="17"/>
                <w:szCs w:val="17"/>
              </w:rPr>
              <w:lastRenderedPageBreak/>
              <w:t>Lower overall costs for the processing of international applications under the Hague System</w:t>
            </w:r>
          </w:p>
        </w:tc>
        <w:tc>
          <w:tcPr>
            <w:tcW w:w="655" w:type="pct"/>
            <w:tcBorders>
              <w:top w:val="single" w:sz="4" w:space="0" w:color="auto"/>
              <w:left w:val="nil"/>
              <w:bottom w:val="single" w:sz="4" w:space="0" w:color="auto"/>
              <w:right w:val="single" w:sz="4" w:space="0" w:color="auto"/>
            </w:tcBorders>
            <w:shd w:val="clear" w:color="auto" w:fill="auto"/>
            <w:hideMark/>
          </w:tcPr>
          <w:p w:rsidR="00A44CCE" w:rsidRPr="00303E4F" w:rsidRDefault="00A44CCE" w:rsidP="00220419">
            <w:pPr>
              <w:rPr>
                <w:color w:val="000000"/>
                <w:sz w:val="17"/>
                <w:szCs w:val="17"/>
              </w:rPr>
            </w:pPr>
            <w:r w:rsidRPr="00303E4F">
              <w:rPr>
                <w:color w:val="000000"/>
                <w:sz w:val="17"/>
                <w:szCs w:val="17"/>
              </w:rPr>
              <w:t> </w:t>
            </w:r>
          </w:p>
        </w:tc>
        <w:tc>
          <w:tcPr>
            <w:tcW w:w="654" w:type="pct"/>
            <w:tcBorders>
              <w:top w:val="single" w:sz="4" w:space="0" w:color="auto"/>
              <w:left w:val="nil"/>
              <w:bottom w:val="single" w:sz="4" w:space="0" w:color="auto"/>
              <w:right w:val="single" w:sz="4" w:space="0" w:color="auto"/>
            </w:tcBorders>
            <w:shd w:val="clear" w:color="auto" w:fill="auto"/>
            <w:hideMark/>
          </w:tcPr>
          <w:p w:rsidR="00A44CCE" w:rsidRPr="00303E4F" w:rsidRDefault="00A44CCE" w:rsidP="00220419">
            <w:pPr>
              <w:rPr>
                <w:color w:val="000000"/>
                <w:sz w:val="17"/>
                <w:szCs w:val="17"/>
              </w:rPr>
            </w:pPr>
            <w:r w:rsidRPr="00303E4F">
              <w:rPr>
                <w:color w:val="000000"/>
                <w:sz w:val="17"/>
                <w:szCs w:val="17"/>
              </w:rPr>
              <w:t> </w:t>
            </w:r>
          </w:p>
        </w:tc>
        <w:tc>
          <w:tcPr>
            <w:tcW w:w="709" w:type="pct"/>
            <w:tcBorders>
              <w:top w:val="single" w:sz="4" w:space="0" w:color="auto"/>
              <w:left w:val="nil"/>
              <w:bottom w:val="single" w:sz="4" w:space="0" w:color="auto"/>
              <w:right w:val="single" w:sz="4" w:space="0" w:color="auto"/>
            </w:tcBorders>
            <w:shd w:val="clear" w:color="auto" w:fill="auto"/>
            <w:hideMark/>
          </w:tcPr>
          <w:p w:rsidR="00A44CCE" w:rsidRPr="00303E4F" w:rsidRDefault="00A44CCE">
            <w:pPr>
              <w:rPr>
                <w:color w:val="000000"/>
                <w:sz w:val="17"/>
                <w:szCs w:val="17"/>
              </w:rPr>
            </w:pPr>
            <w:r w:rsidRPr="00303E4F">
              <w:rPr>
                <w:color w:val="000000"/>
                <w:sz w:val="17"/>
                <w:szCs w:val="17"/>
              </w:rPr>
              <w:t xml:space="preserve">A reduction in unit cost per new/renewed design from 420 CHF in 2013 to 366 CHF in 2014 (i.e. 54 CHF or 13% decrease). </w:t>
            </w:r>
            <w:r w:rsidRPr="00303E4F">
              <w:rPr>
                <w:color w:val="000000"/>
                <w:sz w:val="17"/>
                <w:szCs w:val="17"/>
              </w:rPr>
              <w:br w:type="page"/>
              <w:t>A reduction in unit cost per recorded document from 1,570 CHF  in 2013 to 1,483 CHF  in 2014 (i.e. 87 CHF or 5.5% decrease)</w:t>
            </w:r>
          </w:p>
        </w:tc>
        <w:tc>
          <w:tcPr>
            <w:tcW w:w="869" w:type="pct"/>
            <w:tcBorders>
              <w:top w:val="single" w:sz="4" w:space="0" w:color="auto"/>
              <w:left w:val="nil"/>
              <w:bottom w:val="single" w:sz="4" w:space="0" w:color="auto"/>
              <w:right w:val="single" w:sz="4" w:space="0" w:color="auto"/>
            </w:tcBorders>
            <w:shd w:val="clear" w:color="auto" w:fill="auto"/>
            <w:hideMark/>
          </w:tcPr>
          <w:p w:rsidR="00A44CCE" w:rsidRPr="00303E4F" w:rsidRDefault="00A44CCE">
            <w:pPr>
              <w:rPr>
                <w:color w:val="000000"/>
                <w:sz w:val="17"/>
                <w:szCs w:val="17"/>
              </w:rPr>
            </w:pPr>
            <w:r w:rsidRPr="00303E4F">
              <w:rPr>
                <w:color w:val="000000"/>
                <w:sz w:val="17"/>
                <w:szCs w:val="17"/>
              </w:rPr>
              <w:t> A further reduction in unit cost per new/renewed design from 366 CHF in 2014 to 337 CHF in 2015 (i.e. 29 CHF or 7.9% decrease)</w:t>
            </w:r>
            <w:r w:rsidRPr="00303E4F">
              <w:rPr>
                <w:color w:val="000000"/>
                <w:sz w:val="17"/>
                <w:szCs w:val="17"/>
              </w:rPr>
              <w:br w:type="page"/>
              <w:t>.  A further reduction in unit cost per recorded document from 1,483 CHF in 2014 to 1,153 in 2015 (i.e. 330 or 22.3% decrease)</w:t>
            </w:r>
          </w:p>
        </w:tc>
        <w:tc>
          <w:tcPr>
            <w:tcW w:w="1167" w:type="pct"/>
            <w:tcBorders>
              <w:top w:val="single" w:sz="4" w:space="0" w:color="auto"/>
              <w:left w:val="nil"/>
              <w:bottom w:val="single" w:sz="4" w:space="0" w:color="auto"/>
              <w:right w:val="single" w:sz="4" w:space="0" w:color="auto"/>
            </w:tcBorders>
            <w:shd w:val="clear" w:color="auto" w:fill="auto"/>
            <w:hideMark/>
          </w:tcPr>
          <w:p w:rsidR="00A44CCE" w:rsidRPr="00303E4F" w:rsidRDefault="00A44CCE" w:rsidP="00220419">
            <w:pPr>
              <w:rPr>
                <w:color w:val="000000"/>
                <w:sz w:val="17"/>
                <w:szCs w:val="17"/>
              </w:rPr>
            </w:pPr>
            <w:r w:rsidRPr="00303E4F">
              <w:rPr>
                <w:color w:val="000000"/>
                <w:sz w:val="17"/>
                <w:szCs w:val="17"/>
              </w:rPr>
              <w:t> Please refer to PPR 2014/15 for more information on the indicators of the Hague System operations.</w:t>
            </w:r>
          </w:p>
        </w:tc>
      </w:tr>
      <w:tr w:rsidR="00A44CCE" w:rsidRPr="00BE62B6" w:rsidTr="00D25F58">
        <w:trPr>
          <w:trHeight w:val="1579"/>
        </w:trPr>
        <w:tc>
          <w:tcPr>
            <w:tcW w:w="946" w:type="pct"/>
            <w:tcBorders>
              <w:top w:val="single" w:sz="4" w:space="0" w:color="auto"/>
              <w:left w:val="single" w:sz="4" w:space="0" w:color="auto"/>
              <w:bottom w:val="single" w:sz="4" w:space="0" w:color="auto"/>
              <w:right w:val="single" w:sz="4" w:space="0" w:color="auto"/>
            </w:tcBorders>
            <w:shd w:val="clear" w:color="auto" w:fill="auto"/>
          </w:tcPr>
          <w:p w:rsidR="00A44CCE" w:rsidRPr="00303E4F" w:rsidRDefault="00A44CCE" w:rsidP="00220419">
            <w:pPr>
              <w:rPr>
                <w:color w:val="000000"/>
                <w:sz w:val="17"/>
                <w:szCs w:val="17"/>
              </w:rPr>
            </w:pPr>
            <w:r w:rsidRPr="00303E4F">
              <w:rPr>
                <w:color w:val="000000"/>
                <w:sz w:val="17"/>
                <w:szCs w:val="17"/>
              </w:rPr>
              <w:t>Lower premiums resulting from renegotiation of the new insurance contract for Professional Accident Insurance (PAI)</w:t>
            </w:r>
          </w:p>
        </w:tc>
        <w:tc>
          <w:tcPr>
            <w:tcW w:w="655" w:type="pct"/>
            <w:tcBorders>
              <w:top w:val="single" w:sz="4" w:space="0" w:color="auto"/>
              <w:left w:val="nil"/>
              <w:bottom w:val="single" w:sz="4" w:space="0" w:color="auto"/>
              <w:right w:val="single" w:sz="4" w:space="0" w:color="auto"/>
            </w:tcBorders>
            <w:shd w:val="clear" w:color="auto" w:fill="auto"/>
          </w:tcPr>
          <w:p w:rsidR="00A44CCE" w:rsidRPr="00303E4F" w:rsidRDefault="00A44CCE" w:rsidP="00220419">
            <w:pPr>
              <w:rPr>
                <w:color w:val="000000"/>
                <w:sz w:val="17"/>
                <w:szCs w:val="17"/>
              </w:rPr>
            </w:pPr>
            <w:r w:rsidRPr="00303E4F">
              <w:rPr>
                <w:color w:val="000000"/>
                <w:sz w:val="17"/>
                <w:szCs w:val="17"/>
              </w:rPr>
              <w:t>n/a</w:t>
            </w:r>
          </w:p>
        </w:tc>
        <w:tc>
          <w:tcPr>
            <w:tcW w:w="654" w:type="pct"/>
            <w:tcBorders>
              <w:top w:val="single" w:sz="4" w:space="0" w:color="auto"/>
              <w:left w:val="nil"/>
              <w:bottom w:val="single" w:sz="4" w:space="0" w:color="auto"/>
              <w:right w:val="single" w:sz="4" w:space="0" w:color="auto"/>
            </w:tcBorders>
            <w:shd w:val="clear" w:color="auto" w:fill="auto"/>
          </w:tcPr>
          <w:p w:rsidR="00A44CCE" w:rsidRPr="00303E4F" w:rsidRDefault="00A44CCE" w:rsidP="00220419">
            <w:pPr>
              <w:rPr>
                <w:color w:val="000000"/>
                <w:sz w:val="17"/>
                <w:szCs w:val="17"/>
              </w:rPr>
            </w:pPr>
            <w:r w:rsidRPr="00303E4F">
              <w:rPr>
                <w:color w:val="000000"/>
                <w:sz w:val="17"/>
                <w:szCs w:val="17"/>
              </w:rPr>
              <w:t>200,000</w:t>
            </w:r>
          </w:p>
        </w:tc>
        <w:tc>
          <w:tcPr>
            <w:tcW w:w="709" w:type="pct"/>
            <w:tcBorders>
              <w:top w:val="single" w:sz="4" w:space="0" w:color="auto"/>
              <w:left w:val="nil"/>
              <w:bottom w:val="single" w:sz="4" w:space="0" w:color="auto"/>
              <w:right w:val="single" w:sz="4" w:space="0" w:color="auto"/>
            </w:tcBorders>
            <w:shd w:val="clear" w:color="auto" w:fill="auto"/>
          </w:tcPr>
          <w:p w:rsidR="00A44CCE" w:rsidRPr="00303E4F" w:rsidRDefault="00A44CCE" w:rsidP="00220419">
            <w:pPr>
              <w:rPr>
                <w:color w:val="000000"/>
                <w:sz w:val="17"/>
                <w:szCs w:val="17"/>
              </w:rPr>
            </w:pPr>
          </w:p>
        </w:tc>
        <w:tc>
          <w:tcPr>
            <w:tcW w:w="869" w:type="pct"/>
            <w:tcBorders>
              <w:top w:val="single" w:sz="4" w:space="0" w:color="auto"/>
              <w:left w:val="nil"/>
              <w:bottom w:val="single" w:sz="4" w:space="0" w:color="auto"/>
              <w:right w:val="single" w:sz="4" w:space="0" w:color="auto"/>
            </w:tcBorders>
            <w:shd w:val="clear" w:color="auto" w:fill="auto"/>
          </w:tcPr>
          <w:p w:rsidR="00A44CCE" w:rsidRPr="00303E4F" w:rsidRDefault="00A44CCE" w:rsidP="00220419">
            <w:pPr>
              <w:rPr>
                <w:color w:val="000000"/>
                <w:sz w:val="17"/>
                <w:szCs w:val="17"/>
              </w:rPr>
            </w:pPr>
          </w:p>
        </w:tc>
        <w:tc>
          <w:tcPr>
            <w:tcW w:w="1167" w:type="pct"/>
            <w:tcBorders>
              <w:top w:val="single" w:sz="4" w:space="0" w:color="auto"/>
              <w:left w:val="nil"/>
              <w:bottom w:val="single" w:sz="4" w:space="0" w:color="auto"/>
              <w:right w:val="single" w:sz="4" w:space="0" w:color="auto"/>
            </w:tcBorders>
            <w:shd w:val="clear" w:color="auto" w:fill="auto"/>
          </w:tcPr>
          <w:p w:rsidR="00A44CCE" w:rsidRPr="00303E4F" w:rsidRDefault="00A44CCE">
            <w:pPr>
              <w:rPr>
                <w:color w:val="000000"/>
                <w:sz w:val="17"/>
                <w:szCs w:val="17"/>
              </w:rPr>
            </w:pPr>
            <w:r w:rsidRPr="00303E4F">
              <w:rPr>
                <w:color w:val="000000"/>
                <w:sz w:val="17"/>
                <w:szCs w:val="17"/>
              </w:rPr>
              <w:t>The renegotiation of the Professional Accident Insurance resulted in an estimated savings of 200,000 Swiss francs in 2015</w:t>
            </w:r>
          </w:p>
        </w:tc>
      </w:tr>
    </w:tbl>
    <w:p w:rsidR="00A44CCE" w:rsidRDefault="00A44CCE" w:rsidP="00220419">
      <w:pPr>
        <w:rPr>
          <w:i/>
          <w:sz w:val="18"/>
          <w:szCs w:val="18"/>
        </w:rPr>
      </w:pPr>
    </w:p>
    <w:p w:rsidR="00A44CCE" w:rsidRPr="00BE62B6" w:rsidRDefault="00A44CCE" w:rsidP="00220419">
      <w:pPr>
        <w:rPr>
          <w:i/>
          <w:sz w:val="18"/>
          <w:szCs w:val="18"/>
        </w:rPr>
      </w:pPr>
      <w:r w:rsidRPr="00BE62B6">
        <w:rPr>
          <w:i/>
          <w:sz w:val="18"/>
          <w:szCs w:val="18"/>
        </w:rPr>
        <w:t>Numbers may not add up due to rounding</w:t>
      </w:r>
    </w:p>
    <w:p w:rsidR="00A44CCE" w:rsidRPr="00BE62B6" w:rsidRDefault="00A44CCE" w:rsidP="00220419">
      <w:pPr>
        <w:rPr>
          <w:i/>
          <w:sz w:val="18"/>
          <w:szCs w:val="18"/>
        </w:rPr>
      </w:pPr>
      <w:r w:rsidRPr="00BE62B6">
        <w:rPr>
          <w:i/>
          <w:sz w:val="18"/>
          <w:szCs w:val="18"/>
        </w:rPr>
        <w:t>*</w:t>
      </w:r>
      <w:r w:rsidR="009D4F31">
        <w:rPr>
          <w:i/>
          <w:sz w:val="18"/>
          <w:szCs w:val="18"/>
        </w:rPr>
        <w:t>I</w:t>
      </w:r>
      <w:r w:rsidRPr="00BE62B6">
        <w:rPr>
          <w:i/>
          <w:sz w:val="18"/>
          <w:szCs w:val="18"/>
        </w:rPr>
        <w:t>nformation as per document WO/PBC/23/COST EFFICIENCIES REALIZED IN 2014, unless otherwise indicated</w:t>
      </w:r>
    </w:p>
    <w:p w:rsidR="00A44CCE" w:rsidRPr="00BE62B6" w:rsidRDefault="00A44CCE" w:rsidP="00220419">
      <w:pPr>
        <w:rPr>
          <w:i/>
          <w:sz w:val="18"/>
          <w:szCs w:val="18"/>
        </w:rPr>
      </w:pPr>
      <w:r w:rsidRPr="00BE62B6">
        <w:rPr>
          <w:i/>
          <w:sz w:val="18"/>
          <w:szCs w:val="18"/>
        </w:rPr>
        <w:t>**Annual savings for 2015 as compared with 2013</w:t>
      </w:r>
    </w:p>
    <w:p w:rsidR="00A44CCE" w:rsidRPr="00BE62B6" w:rsidRDefault="00A44CCE" w:rsidP="00220419">
      <w:pPr>
        <w:rPr>
          <w:i/>
          <w:sz w:val="18"/>
          <w:szCs w:val="18"/>
        </w:rPr>
      </w:pPr>
      <w:r w:rsidRPr="00BE62B6">
        <w:rPr>
          <w:i/>
          <w:sz w:val="18"/>
          <w:szCs w:val="18"/>
        </w:rPr>
        <w:t>***Revised figures as of April 2016</w:t>
      </w:r>
    </w:p>
    <w:p w:rsidR="00A44CCE" w:rsidRPr="00BE62B6" w:rsidRDefault="00A44CCE" w:rsidP="00220419">
      <w:pPr>
        <w:jc w:val="center"/>
        <w:rPr>
          <w:b/>
          <w:sz w:val="18"/>
          <w:szCs w:val="18"/>
        </w:rPr>
      </w:pPr>
    </w:p>
    <w:p w:rsidR="00A44CCE" w:rsidRPr="00BE62B6" w:rsidRDefault="00A44CCE" w:rsidP="00220419">
      <w:pPr>
        <w:jc w:val="center"/>
        <w:rPr>
          <w:b/>
          <w:sz w:val="18"/>
          <w:szCs w:val="18"/>
        </w:rPr>
      </w:pPr>
    </w:p>
    <w:p w:rsidR="00A44CCE" w:rsidRPr="00BE62B6" w:rsidRDefault="00A44CCE" w:rsidP="00220419">
      <w:pPr>
        <w:jc w:val="center"/>
        <w:rPr>
          <w:b/>
          <w:sz w:val="18"/>
          <w:szCs w:val="18"/>
        </w:rPr>
      </w:pPr>
    </w:p>
    <w:p w:rsidR="00A44CCE" w:rsidRPr="00303E4F" w:rsidRDefault="00A44CCE" w:rsidP="00220419">
      <w:pPr>
        <w:keepNext/>
        <w:keepLines/>
        <w:jc w:val="center"/>
        <w:rPr>
          <w:szCs w:val="18"/>
        </w:rPr>
      </w:pPr>
      <w:r w:rsidRPr="00303E4F">
        <w:rPr>
          <w:szCs w:val="18"/>
        </w:rPr>
        <w:lastRenderedPageBreak/>
        <w:t>COST RECOVERIES IN 2014/15</w:t>
      </w:r>
    </w:p>
    <w:p w:rsidR="00A44CCE" w:rsidRPr="00303E4F" w:rsidRDefault="00A44CCE" w:rsidP="00220419">
      <w:pPr>
        <w:keepNext/>
        <w:keepLines/>
        <w:jc w:val="center"/>
        <w:rPr>
          <w:sz w:val="18"/>
          <w:szCs w:val="18"/>
        </w:rPr>
      </w:pPr>
    </w:p>
    <w:p w:rsidR="00A44CCE" w:rsidRPr="00BE62B6" w:rsidRDefault="00A44CCE" w:rsidP="00220419">
      <w:pPr>
        <w:keepNext/>
        <w:keepLines/>
        <w:jc w:val="center"/>
        <w:rPr>
          <w:b/>
          <w:sz w:val="18"/>
          <w:szCs w:val="18"/>
        </w:rPr>
      </w:pPr>
    </w:p>
    <w:tbl>
      <w:tblPr>
        <w:tblW w:w="5086" w:type="pct"/>
        <w:tblInd w:w="-176" w:type="dxa"/>
        <w:tblCellMar>
          <w:top w:w="85" w:type="dxa"/>
        </w:tblCellMar>
        <w:tblLook w:val="04A0" w:firstRow="1" w:lastRow="0" w:firstColumn="1" w:lastColumn="0" w:noHBand="0" w:noVBand="1"/>
      </w:tblPr>
      <w:tblGrid>
        <w:gridCol w:w="1684"/>
        <w:gridCol w:w="1068"/>
        <w:gridCol w:w="1126"/>
        <w:gridCol w:w="1405"/>
        <w:gridCol w:w="1407"/>
        <w:gridCol w:w="1759"/>
        <w:gridCol w:w="1287"/>
      </w:tblGrid>
      <w:tr w:rsidR="00A44CCE" w:rsidRPr="00BE62B6" w:rsidTr="00220419">
        <w:trPr>
          <w:trHeight w:val="765"/>
        </w:trPr>
        <w:tc>
          <w:tcPr>
            <w:tcW w:w="867" w:type="pct"/>
            <w:tcBorders>
              <w:top w:val="single" w:sz="4" w:space="0" w:color="auto"/>
              <w:left w:val="single" w:sz="4" w:space="0" w:color="auto"/>
              <w:bottom w:val="nil"/>
              <w:right w:val="single" w:sz="4" w:space="0" w:color="auto"/>
            </w:tcBorders>
            <w:shd w:val="clear" w:color="000000" w:fill="8DB4E2"/>
            <w:vAlign w:val="center"/>
            <w:hideMark/>
          </w:tcPr>
          <w:p w:rsidR="00A44CCE" w:rsidRDefault="00A44CCE" w:rsidP="00220419">
            <w:pPr>
              <w:keepNext/>
              <w:keepLines/>
              <w:jc w:val="center"/>
              <w:rPr>
                <w:b/>
                <w:bCs/>
                <w:color w:val="000000"/>
                <w:sz w:val="18"/>
                <w:szCs w:val="18"/>
              </w:rPr>
            </w:pPr>
            <w:r w:rsidRPr="00BE62B6">
              <w:rPr>
                <w:b/>
                <w:bCs/>
                <w:color w:val="000000"/>
                <w:sz w:val="18"/>
                <w:szCs w:val="18"/>
              </w:rPr>
              <w:t>Cost recovery</w:t>
            </w:r>
          </w:p>
          <w:p w:rsidR="00A44CCE" w:rsidRDefault="00A44CCE" w:rsidP="00220419">
            <w:pPr>
              <w:keepNext/>
              <w:keepLines/>
              <w:jc w:val="center"/>
              <w:rPr>
                <w:b/>
                <w:bCs/>
                <w:color w:val="000000"/>
                <w:sz w:val="18"/>
                <w:szCs w:val="18"/>
              </w:rPr>
            </w:pPr>
          </w:p>
          <w:p w:rsidR="00A44CCE" w:rsidRDefault="00A44CCE" w:rsidP="00220419">
            <w:pPr>
              <w:keepNext/>
              <w:keepLines/>
              <w:jc w:val="center"/>
              <w:rPr>
                <w:b/>
                <w:bCs/>
                <w:color w:val="000000"/>
                <w:sz w:val="18"/>
                <w:szCs w:val="18"/>
              </w:rPr>
            </w:pPr>
          </w:p>
          <w:p w:rsidR="00A44CCE" w:rsidRDefault="00A44CCE" w:rsidP="00220419">
            <w:pPr>
              <w:keepNext/>
              <w:keepLines/>
              <w:jc w:val="center"/>
              <w:rPr>
                <w:b/>
                <w:bCs/>
                <w:color w:val="000000"/>
                <w:sz w:val="18"/>
                <w:szCs w:val="18"/>
              </w:rPr>
            </w:pPr>
          </w:p>
          <w:p w:rsidR="00A44CCE" w:rsidRDefault="00A44CCE" w:rsidP="00220419">
            <w:pPr>
              <w:keepNext/>
              <w:keepLines/>
              <w:jc w:val="center"/>
              <w:rPr>
                <w:b/>
                <w:bCs/>
                <w:color w:val="000000"/>
                <w:sz w:val="18"/>
                <w:szCs w:val="18"/>
              </w:rPr>
            </w:pPr>
          </w:p>
          <w:p w:rsidR="00A44CCE" w:rsidRDefault="00A44CCE" w:rsidP="00220419">
            <w:pPr>
              <w:keepNext/>
              <w:keepLines/>
              <w:jc w:val="center"/>
              <w:rPr>
                <w:b/>
                <w:bCs/>
                <w:color w:val="000000"/>
                <w:sz w:val="18"/>
                <w:szCs w:val="18"/>
              </w:rPr>
            </w:pPr>
          </w:p>
          <w:p w:rsidR="00A44CCE" w:rsidRPr="00BE62B6" w:rsidRDefault="00A44CCE" w:rsidP="00220419">
            <w:pPr>
              <w:keepNext/>
              <w:keepLines/>
              <w:jc w:val="center"/>
              <w:rPr>
                <w:b/>
                <w:bCs/>
                <w:color w:val="000000"/>
                <w:sz w:val="18"/>
                <w:szCs w:val="18"/>
              </w:rPr>
            </w:pPr>
            <w:r>
              <w:rPr>
                <w:b/>
                <w:bCs/>
                <w:color w:val="000000"/>
                <w:sz w:val="18"/>
                <w:szCs w:val="18"/>
              </w:rPr>
              <w:t>A</w:t>
            </w:r>
          </w:p>
        </w:tc>
        <w:tc>
          <w:tcPr>
            <w:tcW w:w="550" w:type="pct"/>
            <w:tcBorders>
              <w:top w:val="single" w:sz="4" w:space="0" w:color="auto"/>
              <w:left w:val="nil"/>
              <w:bottom w:val="nil"/>
              <w:right w:val="single" w:sz="4" w:space="0" w:color="auto"/>
            </w:tcBorders>
            <w:shd w:val="clear" w:color="000000" w:fill="8DB4E2"/>
            <w:vAlign w:val="center"/>
            <w:hideMark/>
          </w:tcPr>
          <w:p w:rsidR="00A44CCE" w:rsidRDefault="00A44CCE" w:rsidP="00220419">
            <w:pPr>
              <w:keepNext/>
              <w:keepLines/>
              <w:jc w:val="center"/>
              <w:rPr>
                <w:b/>
                <w:bCs/>
                <w:color w:val="000000"/>
                <w:sz w:val="18"/>
                <w:szCs w:val="18"/>
              </w:rPr>
            </w:pPr>
            <w:r w:rsidRPr="00BE62B6">
              <w:rPr>
                <w:b/>
                <w:bCs/>
                <w:color w:val="000000"/>
                <w:sz w:val="18"/>
                <w:szCs w:val="18"/>
              </w:rPr>
              <w:t>2014 Annual Savings*</w:t>
            </w:r>
            <w:r w:rsidRPr="00BE62B6">
              <w:rPr>
                <w:b/>
                <w:bCs/>
                <w:color w:val="000000"/>
                <w:sz w:val="18"/>
                <w:szCs w:val="18"/>
              </w:rPr>
              <w:br/>
              <w:t>(Swiss francs)</w:t>
            </w:r>
          </w:p>
          <w:p w:rsidR="00A44CCE" w:rsidRDefault="00A44CCE" w:rsidP="00220419">
            <w:pPr>
              <w:keepNext/>
              <w:keepLines/>
              <w:jc w:val="center"/>
              <w:rPr>
                <w:b/>
                <w:bCs/>
                <w:color w:val="000000"/>
                <w:sz w:val="18"/>
                <w:szCs w:val="18"/>
              </w:rPr>
            </w:pPr>
          </w:p>
          <w:p w:rsidR="00A44CCE" w:rsidRPr="00BE62B6" w:rsidRDefault="00A44CCE" w:rsidP="00220419">
            <w:pPr>
              <w:keepNext/>
              <w:keepLines/>
              <w:jc w:val="center"/>
              <w:rPr>
                <w:b/>
                <w:bCs/>
                <w:color w:val="000000"/>
                <w:sz w:val="18"/>
                <w:szCs w:val="18"/>
              </w:rPr>
            </w:pPr>
            <w:r>
              <w:rPr>
                <w:b/>
                <w:bCs/>
                <w:color w:val="000000"/>
                <w:sz w:val="18"/>
                <w:szCs w:val="18"/>
              </w:rPr>
              <w:t>B</w:t>
            </w:r>
          </w:p>
        </w:tc>
        <w:tc>
          <w:tcPr>
            <w:tcW w:w="580" w:type="pct"/>
            <w:tcBorders>
              <w:top w:val="single" w:sz="4" w:space="0" w:color="auto"/>
              <w:left w:val="nil"/>
              <w:bottom w:val="nil"/>
              <w:right w:val="single" w:sz="4" w:space="0" w:color="auto"/>
            </w:tcBorders>
            <w:shd w:val="clear" w:color="000000" w:fill="8DB4E2"/>
            <w:vAlign w:val="center"/>
            <w:hideMark/>
          </w:tcPr>
          <w:p w:rsidR="00A44CCE" w:rsidRDefault="00A44CCE" w:rsidP="00220419">
            <w:pPr>
              <w:keepNext/>
              <w:keepLines/>
              <w:jc w:val="center"/>
              <w:rPr>
                <w:b/>
                <w:bCs/>
                <w:color w:val="000000"/>
                <w:sz w:val="18"/>
                <w:szCs w:val="18"/>
              </w:rPr>
            </w:pPr>
            <w:r w:rsidRPr="00BE62B6">
              <w:rPr>
                <w:b/>
                <w:bCs/>
                <w:color w:val="000000"/>
                <w:sz w:val="18"/>
                <w:szCs w:val="18"/>
              </w:rPr>
              <w:t>2015 Annual Savings</w:t>
            </w:r>
            <w:r w:rsidRPr="00BE62B6">
              <w:rPr>
                <w:b/>
                <w:bCs/>
                <w:color w:val="000000"/>
                <w:sz w:val="18"/>
                <w:szCs w:val="18"/>
              </w:rPr>
              <w:br/>
              <w:t>(Swiss francs)</w:t>
            </w:r>
          </w:p>
          <w:p w:rsidR="00A44CCE" w:rsidRDefault="00A44CCE" w:rsidP="00220419">
            <w:pPr>
              <w:keepNext/>
              <w:keepLines/>
              <w:jc w:val="center"/>
              <w:rPr>
                <w:b/>
                <w:bCs/>
                <w:color w:val="000000"/>
                <w:sz w:val="18"/>
                <w:szCs w:val="18"/>
              </w:rPr>
            </w:pPr>
          </w:p>
          <w:p w:rsidR="00A44CCE" w:rsidRPr="00BE62B6" w:rsidRDefault="00A44CCE" w:rsidP="00220419">
            <w:pPr>
              <w:keepNext/>
              <w:keepLines/>
              <w:jc w:val="center"/>
              <w:rPr>
                <w:b/>
                <w:bCs/>
                <w:color w:val="000000"/>
                <w:sz w:val="18"/>
                <w:szCs w:val="18"/>
              </w:rPr>
            </w:pPr>
            <w:r>
              <w:rPr>
                <w:b/>
                <w:bCs/>
                <w:color w:val="000000"/>
                <w:sz w:val="18"/>
                <w:szCs w:val="18"/>
              </w:rPr>
              <w:t>C</w:t>
            </w:r>
          </w:p>
        </w:tc>
        <w:tc>
          <w:tcPr>
            <w:tcW w:w="723" w:type="pct"/>
            <w:tcBorders>
              <w:top w:val="single" w:sz="4" w:space="0" w:color="auto"/>
              <w:left w:val="nil"/>
              <w:bottom w:val="nil"/>
              <w:right w:val="single" w:sz="4" w:space="0" w:color="auto"/>
            </w:tcBorders>
            <w:shd w:val="clear" w:color="000000" w:fill="8DB4E2"/>
            <w:vAlign w:val="center"/>
            <w:hideMark/>
          </w:tcPr>
          <w:p w:rsidR="00A44CCE" w:rsidRDefault="00A44CCE" w:rsidP="00220419">
            <w:pPr>
              <w:keepNext/>
              <w:keepLines/>
              <w:jc w:val="center"/>
              <w:rPr>
                <w:b/>
                <w:bCs/>
                <w:color w:val="000000"/>
                <w:sz w:val="18"/>
                <w:szCs w:val="18"/>
              </w:rPr>
            </w:pPr>
            <w:r w:rsidRPr="00BE62B6">
              <w:rPr>
                <w:b/>
                <w:bCs/>
                <w:color w:val="000000"/>
                <w:sz w:val="18"/>
                <w:szCs w:val="18"/>
              </w:rPr>
              <w:t>Breakdown of costs for 2014*</w:t>
            </w:r>
            <w:r w:rsidRPr="00BE62B6">
              <w:rPr>
                <w:b/>
                <w:bCs/>
                <w:color w:val="000000"/>
                <w:sz w:val="18"/>
                <w:szCs w:val="18"/>
              </w:rPr>
              <w:br/>
              <w:t>(Swiss francs)</w:t>
            </w:r>
          </w:p>
          <w:p w:rsidR="00A44CCE" w:rsidRDefault="00A44CCE" w:rsidP="00220419">
            <w:pPr>
              <w:keepNext/>
              <w:keepLines/>
              <w:jc w:val="center"/>
              <w:rPr>
                <w:b/>
                <w:bCs/>
                <w:color w:val="000000"/>
                <w:sz w:val="18"/>
                <w:szCs w:val="18"/>
              </w:rPr>
            </w:pPr>
          </w:p>
          <w:p w:rsidR="00A44CCE" w:rsidRPr="00BE62B6" w:rsidRDefault="00A44CCE" w:rsidP="00220419">
            <w:pPr>
              <w:keepNext/>
              <w:keepLines/>
              <w:jc w:val="center"/>
              <w:rPr>
                <w:b/>
                <w:bCs/>
                <w:color w:val="000000"/>
                <w:sz w:val="18"/>
                <w:szCs w:val="18"/>
              </w:rPr>
            </w:pPr>
            <w:r>
              <w:rPr>
                <w:b/>
                <w:bCs/>
                <w:color w:val="000000"/>
                <w:sz w:val="18"/>
                <w:szCs w:val="18"/>
              </w:rPr>
              <w:t>D</w:t>
            </w:r>
          </w:p>
        </w:tc>
        <w:tc>
          <w:tcPr>
            <w:tcW w:w="724" w:type="pct"/>
            <w:tcBorders>
              <w:top w:val="single" w:sz="4" w:space="0" w:color="auto"/>
              <w:left w:val="nil"/>
              <w:bottom w:val="nil"/>
              <w:right w:val="single" w:sz="4" w:space="0" w:color="auto"/>
            </w:tcBorders>
            <w:shd w:val="clear" w:color="000000" w:fill="8DB4E2"/>
            <w:vAlign w:val="center"/>
            <w:hideMark/>
          </w:tcPr>
          <w:p w:rsidR="00A44CCE" w:rsidRDefault="00A44CCE" w:rsidP="00220419">
            <w:pPr>
              <w:keepNext/>
              <w:keepLines/>
              <w:jc w:val="center"/>
              <w:rPr>
                <w:b/>
                <w:bCs/>
                <w:color w:val="000000"/>
                <w:sz w:val="18"/>
                <w:szCs w:val="18"/>
              </w:rPr>
            </w:pPr>
            <w:r w:rsidRPr="00BE62B6">
              <w:rPr>
                <w:b/>
                <w:bCs/>
                <w:color w:val="000000"/>
                <w:sz w:val="18"/>
                <w:szCs w:val="18"/>
              </w:rPr>
              <w:t>Breakdown of costs for 2015</w:t>
            </w:r>
            <w:r w:rsidRPr="00BE62B6">
              <w:rPr>
                <w:b/>
                <w:bCs/>
                <w:color w:val="000000"/>
                <w:sz w:val="18"/>
                <w:szCs w:val="18"/>
              </w:rPr>
              <w:br/>
              <w:t>(Swiss francs)</w:t>
            </w:r>
          </w:p>
          <w:p w:rsidR="00A44CCE" w:rsidRDefault="00A44CCE" w:rsidP="00220419">
            <w:pPr>
              <w:keepNext/>
              <w:keepLines/>
              <w:jc w:val="center"/>
              <w:rPr>
                <w:b/>
                <w:bCs/>
                <w:color w:val="000000"/>
                <w:sz w:val="18"/>
                <w:szCs w:val="18"/>
              </w:rPr>
            </w:pPr>
          </w:p>
          <w:p w:rsidR="00A44CCE" w:rsidRPr="00BE62B6" w:rsidRDefault="00A44CCE" w:rsidP="00220419">
            <w:pPr>
              <w:keepNext/>
              <w:keepLines/>
              <w:jc w:val="center"/>
              <w:rPr>
                <w:b/>
                <w:bCs/>
                <w:color w:val="000000"/>
                <w:sz w:val="18"/>
                <w:szCs w:val="18"/>
              </w:rPr>
            </w:pPr>
            <w:r>
              <w:rPr>
                <w:b/>
                <w:bCs/>
                <w:color w:val="000000"/>
                <w:sz w:val="18"/>
                <w:szCs w:val="18"/>
              </w:rPr>
              <w:t>E</w:t>
            </w:r>
          </w:p>
        </w:tc>
        <w:tc>
          <w:tcPr>
            <w:tcW w:w="898" w:type="pct"/>
            <w:tcBorders>
              <w:top w:val="single" w:sz="4" w:space="0" w:color="auto"/>
              <w:left w:val="nil"/>
              <w:bottom w:val="nil"/>
              <w:right w:val="single" w:sz="4" w:space="0" w:color="auto"/>
            </w:tcBorders>
            <w:shd w:val="clear" w:color="000000" w:fill="8DB4E2"/>
            <w:vAlign w:val="center"/>
            <w:hideMark/>
          </w:tcPr>
          <w:p w:rsidR="00A44CCE" w:rsidRDefault="00A44CCE" w:rsidP="00220419">
            <w:pPr>
              <w:keepNext/>
              <w:keepLines/>
              <w:jc w:val="center"/>
              <w:rPr>
                <w:b/>
                <w:bCs/>
                <w:color w:val="000000"/>
                <w:sz w:val="18"/>
                <w:szCs w:val="18"/>
              </w:rPr>
            </w:pPr>
            <w:r w:rsidRPr="00BE62B6">
              <w:rPr>
                <w:b/>
                <w:bCs/>
                <w:color w:val="000000"/>
                <w:sz w:val="18"/>
                <w:szCs w:val="18"/>
              </w:rPr>
              <w:t>Notes</w:t>
            </w:r>
          </w:p>
          <w:p w:rsidR="00A44CCE" w:rsidRDefault="00A44CCE" w:rsidP="00220419">
            <w:pPr>
              <w:keepNext/>
              <w:keepLines/>
              <w:jc w:val="center"/>
              <w:rPr>
                <w:b/>
                <w:bCs/>
                <w:color w:val="000000"/>
                <w:sz w:val="18"/>
                <w:szCs w:val="18"/>
              </w:rPr>
            </w:pPr>
          </w:p>
          <w:p w:rsidR="00A44CCE" w:rsidRDefault="00A44CCE" w:rsidP="00220419">
            <w:pPr>
              <w:keepNext/>
              <w:keepLines/>
              <w:jc w:val="center"/>
              <w:rPr>
                <w:b/>
                <w:bCs/>
                <w:color w:val="000000"/>
                <w:sz w:val="18"/>
                <w:szCs w:val="18"/>
              </w:rPr>
            </w:pPr>
          </w:p>
          <w:p w:rsidR="00A44CCE" w:rsidRDefault="00A44CCE" w:rsidP="00220419">
            <w:pPr>
              <w:keepNext/>
              <w:keepLines/>
              <w:jc w:val="center"/>
              <w:rPr>
                <w:b/>
                <w:bCs/>
                <w:color w:val="000000"/>
                <w:sz w:val="18"/>
                <w:szCs w:val="18"/>
              </w:rPr>
            </w:pPr>
          </w:p>
          <w:p w:rsidR="00A44CCE" w:rsidRDefault="00A44CCE" w:rsidP="00220419">
            <w:pPr>
              <w:keepNext/>
              <w:keepLines/>
              <w:jc w:val="center"/>
              <w:rPr>
                <w:b/>
                <w:bCs/>
                <w:color w:val="000000"/>
                <w:sz w:val="18"/>
                <w:szCs w:val="18"/>
              </w:rPr>
            </w:pPr>
          </w:p>
          <w:p w:rsidR="00A44CCE" w:rsidRDefault="00A44CCE" w:rsidP="00220419">
            <w:pPr>
              <w:keepNext/>
              <w:keepLines/>
              <w:jc w:val="center"/>
              <w:rPr>
                <w:b/>
                <w:bCs/>
                <w:color w:val="000000"/>
                <w:sz w:val="18"/>
                <w:szCs w:val="18"/>
              </w:rPr>
            </w:pPr>
          </w:p>
          <w:p w:rsidR="00A44CCE" w:rsidRPr="00BE62B6" w:rsidRDefault="00A44CCE" w:rsidP="00220419">
            <w:pPr>
              <w:keepNext/>
              <w:keepLines/>
              <w:jc w:val="center"/>
              <w:rPr>
                <w:b/>
                <w:bCs/>
                <w:color w:val="000000"/>
                <w:sz w:val="18"/>
                <w:szCs w:val="18"/>
              </w:rPr>
            </w:pPr>
            <w:r>
              <w:rPr>
                <w:b/>
                <w:bCs/>
                <w:color w:val="000000"/>
                <w:sz w:val="18"/>
                <w:szCs w:val="18"/>
              </w:rPr>
              <w:t>F</w:t>
            </w:r>
          </w:p>
        </w:tc>
        <w:tc>
          <w:tcPr>
            <w:tcW w:w="657" w:type="pct"/>
            <w:tcBorders>
              <w:top w:val="single" w:sz="4" w:space="0" w:color="auto"/>
              <w:left w:val="nil"/>
              <w:bottom w:val="nil"/>
              <w:right w:val="single" w:sz="4" w:space="0" w:color="auto"/>
            </w:tcBorders>
            <w:shd w:val="clear" w:color="000000" w:fill="8DB4E2"/>
            <w:vAlign w:val="center"/>
            <w:hideMark/>
          </w:tcPr>
          <w:p w:rsidR="00A44CCE" w:rsidRDefault="00A44CCE" w:rsidP="00220419">
            <w:pPr>
              <w:keepNext/>
              <w:keepLines/>
              <w:jc w:val="center"/>
              <w:rPr>
                <w:b/>
                <w:bCs/>
                <w:color w:val="000000"/>
                <w:sz w:val="18"/>
                <w:szCs w:val="18"/>
              </w:rPr>
            </w:pPr>
            <w:r w:rsidRPr="00BE62B6">
              <w:rPr>
                <w:b/>
                <w:bCs/>
                <w:color w:val="000000"/>
                <w:sz w:val="18"/>
                <w:szCs w:val="18"/>
              </w:rPr>
              <w:t>Responsible area</w:t>
            </w:r>
          </w:p>
          <w:p w:rsidR="00A44CCE" w:rsidRDefault="00A44CCE" w:rsidP="00220419">
            <w:pPr>
              <w:keepNext/>
              <w:keepLines/>
              <w:jc w:val="center"/>
              <w:rPr>
                <w:b/>
                <w:bCs/>
                <w:color w:val="000000"/>
                <w:sz w:val="18"/>
                <w:szCs w:val="18"/>
              </w:rPr>
            </w:pPr>
          </w:p>
          <w:p w:rsidR="00A44CCE" w:rsidRDefault="00A44CCE" w:rsidP="00220419">
            <w:pPr>
              <w:keepNext/>
              <w:keepLines/>
              <w:jc w:val="center"/>
              <w:rPr>
                <w:b/>
                <w:bCs/>
                <w:color w:val="000000"/>
                <w:sz w:val="18"/>
                <w:szCs w:val="18"/>
              </w:rPr>
            </w:pPr>
          </w:p>
          <w:p w:rsidR="00A44CCE" w:rsidRDefault="00A44CCE" w:rsidP="00220419">
            <w:pPr>
              <w:keepNext/>
              <w:keepLines/>
              <w:jc w:val="center"/>
              <w:rPr>
                <w:b/>
                <w:bCs/>
                <w:color w:val="000000"/>
                <w:sz w:val="18"/>
                <w:szCs w:val="18"/>
              </w:rPr>
            </w:pPr>
          </w:p>
          <w:p w:rsidR="00A44CCE" w:rsidRDefault="00A44CCE" w:rsidP="00220419">
            <w:pPr>
              <w:keepNext/>
              <w:keepLines/>
              <w:jc w:val="center"/>
              <w:rPr>
                <w:b/>
                <w:bCs/>
                <w:color w:val="000000"/>
                <w:sz w:val="18"/>
                <w:szCs w:val="18"/>
              </w:rPr>
            </w:pPr>
          </w:p>
          <w:p w:rsidR="00A44CCE" w:rsidRPr="00BE62B6" w:rsidRDefault="00A44CCE" w:rsidP="00220419">
            <w:pPr>
              <w:keepNext/>
              <w:keepLines/>
              <w:jc w:val="center"/>
              <w:rPr>
                <w:b/>
                <w:bCs/>
                <w:color w:val="000000"/>
                <w:sz w:val="18"/>
                <w:szCs w:val="18"/>
              </w:rPr>
            </w:pPr>
            <w:r>
              <w:rPr>
                <w:b/>
                <w:bCs/>
                <w:color w:val="000000"/>
                <w:sz w:val="18"/>
                <w:szCs w:val="18"/>
              </w:rPr>
              <w:t>G</w:t>
            </w:r>
          </w:p>
        </w:tc>
      </w:tr>
      <w:tr w:rsidR="00A44CCE" w:rsidRPr="00BE62B6" w:rsidTr="00220419">
        <w:trPr>
          <w:trHeight w:val="1785"/>
        </w:trPr>
        <w:tc>
          <w:tcPr>
            <w:tcW w:w="867" w:type="pct"/>
            <w:tcBorders>
              <w:top w:val="single" w:sz="4" w:space="0" w:color="auto"/>
              <w:left w:val="single" w:sz="4" w:space="0" w:color="auto"/>
              <w:bottom w:val="single" w:sz="4" w:space="0" w:color="auto"/>
              <w:right w:val="single" w:sz="4" w:space="0" w:color="auto"/>
            </w:tcBorders>
            <w:shd w:val="clear" w:color="auto" w:fill="auto"/>
            <w:hideMark/>
          </w:tcPr>
          <w:p w:rsidR="00A44CCE" w:rsidRPr="00303E4F" w:rsidRDefault="00A44CCE" w:rsidP="00220419">
            <w:pPr>
              <w:keepNext/>
              <w:keepLines/>
              <w:rPr>
                <w:color w:val="000000"/>
                <w:sz w:val="17"/>
                <w:szCs w:val="17"/>
              </w:rPr>
            </w:pPr>
            <w:r w:rsidRPr="00303E4F">
              <w:rPr>
                <w:color w:val="000000"/>
                <w:sz w:val="17"/>
                <w:szCs w:val="17"/>
              </w:rPr>
              <w:t>Revenue generated by rental of WIPO spaces to other entities**</w:t>
            </w:r>
          </w:p>
        </w:tc>
        <w:tc>
          <w:tcPr>
            <w:tcW w:w="550" w:type="pct"/>
            <w:tcBorders>
              <w:top w:val="single" w:sz="4" w:space="0" w:color="auto"/>
              <w:left w:val="nil"/>
              <w:bottom w:val="single" w:sz="4" w:space="0" w:color="auto"/>
              <w:right w:val="single" w:sz="4" w:space="0" w:color="auto"/>
            </w:tcBorders>
            <w:shd w:val="clear" w:color="auto" w:fill="auto"/>
            <w:hideMark/>
          </w:tcPr>
          <w:p w:rsidR="00A44CCE" w:rsidRPr="00303E4F" w:rsidRDefault="00A44CCE" w:rsidP="00220419">
            <w:pPr>
              <w:keepNext/>
              <w:keepLines/>
              <w:rPr>
                <w:color w:val="000000"/>
                <w:sz w:val="17"/>
                <w:szCs w:val="17"/>
              </w:rPr>
            </w:pPr>
            <w:r w:rsidRPr="00303E4F">
              <w:rPr>
                <w:color w:val="000000"/>
                <w:sz w:val="17"/>
                <w:szCs w:val="17"/>
              </w:rPr>
              <w:t>195,000</w:t>
            </w:r>
          </w:p>
        </w:tc>
        <w:tc>
          <w:tcPr>
            <w:tcW w:w="580" w:type="pct"/>
            <w:tcBorders>
              <w:top w:val="single" w:sz="4" w:space="0" w:color="auto"/>
              <w:left w:val="nil"/>
              <w:bottom w:val="single" w:sz="4" w:space="0" w:color="auto"/>
              <w:right w:val="single" w:sz="4" w:space="0" w:color="auto"/>
            </w:tcBorders>
            <w:shd w:val="clear" w:color="auto" w:fill="auto"/>
            <w:hideMark/>
          </w:tcPr>
          <w:p w:rsidR="00A44CCE" w:rsidRPr="00303E4F" w:rsidRDefault="00A44CCE" w:rsidP="00220419">
            <w:pPr>
              <w:keepNext/>
              <w:keepLines/>
              <w:rPr>
                <w:sz w:val="17"/>
                <w:szCs w:val="17"/>
              </w:rPr>
            </w:pPr>
            <w:r w:rsidRPr="00303E4F">
              <w:rPr>
                <w:color w:val="000000"/>
                <w:sz w:val="17"/>
                <w:szCs w:val="17"/>
              </w:rPr>
              <w:t> 195,000</w:t>
            </w:r>
          </w:p>
          <w:p w:rsidR="00A44CCE" w:rsidRPr="00303E4F" w:rsidRDefault="00A44CCE" w:rsidP="00220419">
            <w:pPr>
              <w:keepNext/>
              <w:keepLines/>
              <w:rPr>
                <w:color w:val="000000"/>
                <w:sz w:val="17"/>
                <w:szCs w:val="17"/>
              </w:rPr>
            </w:pPr>
          </w:p>
        </w:tc>
        <w:tc>
          <w:tcPr>
            <w:tcW w:w="723" w:type="pct"/>
            <w:tcBorders>
              <w:top w:val="single" w:sz="4" w:space="0" w:color="auto"/>
              <w:left w:val="nil"/>
              <w:bottom w:val="single" w:sz="4" w:space="0" w:color="auto"/>
              <w:right w:val="single" w:sz="4" w:space="0" w:color="auto"/>
            </w:tcBorders>
            <w:shd w:val="clear" w:color="auto" w:fill="auto"/>
            <w:hideMark/>
          </w:tcPr>
          <w:p w:rsidR="00A44CCE" w:rsidRPr="00303E4F" w:rsidRDefault="00A44CCE" w:rsidP="00220419">
            <w:pPr>
              <w:keepNext/>
              <w:keepLines/>
              <w:rPr>
                <w:color w:val="000000"/>
                <w:sz w:val="17"/>
                <w:szCs w:val="17"/>
              </w:rPr>
            </w:pPr>
            <w:r w:rsidRPr="00303E4F">
              <w:rPr>
                <w:color w:val="000000"/>
                <w:sz w:val="17"/>
                <w:szCs w:val="17"/>
              </w:rPr>
              <w:t>124,766 ICC</w:t>
            </w:r>
            <w:r w:rsidRPr="00303E4F">
              <w:rPr>
                <w:color w:val="000000"/>
                <w:sz w:val="17"/>
                <w:szCs w:val="17"/>
              </w:rPr>
              <w:br/>
              <w:t>17,500 Swisscom Antenna</w:t>
            </w:r>
            <w:r w:rsidRPr="00303E4F">
              <w:rPr>
                <w:color w:val="000000"/>
                <w:sz w:val="17"/>
                <w:szCs w:val="17"/>
              </w:rPr>
              <w:br/>
              <w:t>32,500 Orange antenna</w:t>
            </w:r>
            <w:r w:rsidRPr="00303E4F">
              <w:rPr>
                <w:color w:val="000000"/>
                <w:sz w:val="17"/>
                <w:szCs w:val="17"/>
              </w:rPr>
              <w:br/>
              <w:t>9,504 AMFIE (one standard office CAM)</w:t>
            </w:r>
            <w:r w:rsidRPr="00303E4F">
              <w:rPr>
                <w:color w:val="000000"/>
                <w:sz w:val="17"/>
                <w:szCs w:val="17"/>
              </w:rPr>
              <w:br/>
              <w:t>9,298 UBS bank teller in GBI</w:t>
            </w:r>
          </w:p>
        </w:tc>
        <w:tc>
          <w:tcPr>
            <w:tcW w:w="724" w:type="pct"/>
            <w:tcBorders>
              <w:top w:val="single" w:sz="4" w:space="0" w:color="auto"/>
              <w:left w:val="nil"/>
              <w:bottom w:val="single" w:sz="4" w:space="0" w:color="auto"/>
              <w:right w:val="single" w:sz="4" w:space="0" w:color="auto"/>
            </w:tcBorders>
            <w:shd w:val="clear" w:color="auto" w:fill="auto"/>
            <w:hideMark/>
          </w:tcPr>
          <w:p w:rsidR="00A44CCE" w:rsidRPr="00303E4F" w:rsidRDefault="00A44CCE" w:rsidP="00220419">
            <w:pPr>
              <w:keepNext/>
              <w:keepLines/>
              <w:rPr>
                <w:sz w:val="17"/>
                <w:szCs w:val="17"/>
              </w:rPr>
            </w:pPr>
            <w:r w:rsidRPr="00303E4F">
              <w:rPr>
                <w:color w:val="000000"/>
                <w:sz w:val="17"/>
                <w:szCs w:val="17"/>
              </w:rPr>
              <w:t>124,766 ICC</w:t>
            </w:r>
            <w:r w:rsidRPr="00303E4F">
              <w:rPr>
                <w:color w:val="000000"/>
                <w:sz w:val="17"/>
                <w:szCs w:val="17"/>
              </w:rPr>
              <w:br/>
              <w:t>17,500 Swisscom Antenna</w:t>
            </w:r>
            <w:r w:rsidRPr="00303E4F">
              <w:rPr>
                <w:color w:val="000000"/>
                <w:sz w:val="17"/>
                <w:szCs w:val="17"/>
              </w:rPr>
              <w:br/>
              <w:t>32,500 Orange antenna</w:t>
            </w:r>
            <w:r w:rsidRPr="00303E4F">
              <w:rPr>
                <w:color w:val="000000"/>
                <w:sz w:val="17"/>
                <w:szCs w:val="17"/>
              </w:rPr>
              <w:br/>
              <w:t>9,504 AMFIE (one standard office CAM)</w:t>
            </w:r>
            <w:r w:rsidRPr="00303E4F">
              <w:rPr>
                <w:color w:val="000000"/>
                <w:sz w:val="17"/>
                <w:szCs w:val="17"/>
              </w:rPr>
              <w:br/>
              <w:t>9,298 UBS bank teller in GBI</w:t>
            </w:r>
          </w:p>
          <w:p w:rsidR="00A44CCE" w:rsidRPr="00303E4F" w:rsidRDefault="00A44CCE" w:rsidP="00220419">
            <w:pPr>
              <w:keepNext/>
              <w:keepLines/>
              <w:rPr>
                <w:color w:val="000000"/>
                <w:sz w:val="17"/>
                <w:szCs w:val="17"/>
              </w:rPr>
            </w:pPr>
          </w:p>
        </w:tc>
        <w:tc>
          <w:tcPr>
            <w:tcW w:w="898" w:type="pct"/>
            <w:tcBorders>
              <w:top w:val="single" w:sz="4" w:space="0" w:color="auto"/>
              <w:left w:val="nil"/>
              <w:bottom w:val="single" w:sz="4" w:space="0" w:color="auto"/>
              <w:right w:val="single" w:sz="4" w:space="0" w:color="auto"/>
            </w:tcBorders>
            <w:shd w:val="clear" w:color="auto" w:fill="auto"/>
            <w:hideMark/>
          </w:tcPr>
          <w:p w:rsidR="00A44CCE" w:rsidRPr="00303E4F" w:rsidRDefault="00A44CCE" w:rsidP="00220419">
            <w:pPr>
              <w:keepNext/>
              <w:keepLines/>
              <w:rPr>
                <w:color w:val="000000"/>
                <w:sz w:val="17"/>
                <w:szCs w:val="17"/>
              </w:rPr>
            </w:pPr>
            <w:r w:rsidRPr="00303E4F">
              <w:rPr>
                <w:color w:val="000000"/>
                <w:sz w:val="17"/>
                <w:szCs w:val="17"/>
              </w:rPr>
              <w:t> </w:t>
            </w:r>
          </w:p>
        </w:tc>
        <w:tc>
          <w:tcPr>
            <w:tcW w:w="657" w:type="pct"/>
            <w:tcBorders>
              <w:top w:val="single" w:sz="4" w:space="0" w:color="auto"/>
              <w:left w:val="nil"/>
              <w:bottom w:val="single" w:sz="4" w:space="0" w:color="auto"/>
              <w:right w:val="single" w:sz="4" w:space="0" w:color="auto"/>
            </w:tcBorders>
            <w:shd w:val="clear" w:color="auto" w:fill="auto"/>
            <w:hideMark/>
          </w:tcPr>
          <w:p w:rsidR="00A44CCE" w:rsidRPr="00303E4F" w:rsidRDefault="00A44CCE" w:rsidP="00220419">
            <w:pPr>
              <w:keepNext/>
              <w:keepLines/>
              <w:rPr>
                <w:color w:val="000000"/>
                <w:sz w:val="17"/>
                <w:szCs w:val="17"/>
              </w:rPr>
            </w:pPr>
            <w:r w:rsidRPr="00303E4F">
              <w:rPr>
                <w:color w:val="000000"/>
                <w:sz w:val="17"/>
                <w:szCs w:val="17"/>
              </w:rPr>
              <w:t>Premises Infrastructure Division</w:t>
            </w:r>
          </w:p>
        </w:tc>
      </w:tr>
      <w:tr w:rsidR="00A44CCE" w:rsidRPr="00BE62B6" w:rsidTr="00220419">
        <w:trPr>
          <w:trHeight w:val="805"/>
        </w:trPr>
        <w:tc>
          <w:tcPr>
            <w:tcW w:w="867" w:type="pct"/>
            <w:tcBorders>
              <w:top w:val="single" w:sz="4" w:space="0" w:color="auto"/>
              <w:left w:val="single" w:sz="4" w:space="0" w:color="auto"/>
              <w:bottom w:val="single" w:sz="4" w:space="0" w:color="auto"/>
              <w:right w:val="single" w:sz="4" w:space="0" w:color="auto"/>
            </w:tcBorders>
            <w:shd w:val="clear" w:color="auto" w:fill="auto"/>
            <w:hideMark/>
          </w:tcPr>
          <w:p w:rsidR="00A44CCE" w:rsidRPr="00303E4F" w:rsidRDefault="00A44CCE" w:rsidP="00220419">
            <w:pPr>
              <w:rPr>
                <w:color w:val="000000"/>
                <w:sz w:val="17"/>
                <w:szCs w:val="17"/>
              </w:rPr>
            </w:pPr>
            <w:r w:rsidRPr="00303E4F">
              <w:rPr>
                <w:color w:val="000000"/>
                <w:sz w:val="17"/>
                <w:szCs w:val="17"/>
              </w:rPr>
              <w:t>Revenue generated by the reimbursement of the difference paid between 2013 and 2014 by the electricity provider for meeting the annual electricity saving target resulting from the implemented electricity saving measures and as an incentive for further reduced electricity consumption.</w:t>
            </w:r>
          </w:p>
        </w:tc>
        <w:tc>
          <w:tcPr>
            <w:tcW w:w="550" w:type="pct"/>
            <w:tcBorders>
              <w:top w:val="single" w:sz="4" w:space="0" w:color="auto"/>
              <w:left w:val="nil"/>
              <w:bottom w:val="single" w:sz="4" w:space="0" w:color="auto"/>
              <w:right w:val="single" w:sz="4" w:space="0" w:color="auto"/>
            </w:tcBorders>
            <w:shd w:val="clear" w:color="auto" w:fill="auto"/>
            <w:hideMark/>
          </w:tcPr>
          <w:p w:rsidR="00A44CCE" w:rsidRPr="00303E4F" w:rsidRDefault="00A44CCE" w:rsidP="00220419">
            <w:pPr>
              <w:rPr>
                <w:color w:val="000000"/>
                <w:sz w:val="17"/>
                <w:szCs w:val="17"/>
              </w:rPr>
            </w:pPr>
            <w:r w:rsidRPr="00303E4F">
              <w:rPr>
                <w:color w:val="000000"/>
                <w:sz w:val="17"/>
                <w:szCs w:val="17"/>
              </w:rPr>
              <w:t>21,300</w:t>
            </w:r>
          </w:p>
        </w:tc>
        <w:tc>
          <w:tcPr>
            <w:tcW w:w="580" w:type="pct"/>
            <w:tcBorders>
              <w:top w:val="single" w:sz="4" w:space="0" w:color="auto"/>
              <w:left w:val="nil"/>
              <w:bottom w:val="single" w:sz="4" w:space="0" w:color="auto"/>
              <w:right w:val="single" w:sz="4" w:space="0" w:color="auto"/>
            </w:tcBorders>
            <w:shd w:val="clear" w:color="auto" w:fill="auto"/>
            <w:hideMark/>
          </w:tcPr>
          <w:p w:rsidR="00A44CCE" w:rsidRPr="00303E4F" w:rsidRDefault="00A44CCE">
            <w:pPr>
              <w:rPr>
                <w:sz w:val="17"/>
                <w:szCs w:val="17"/>
              </w:rPr>
            </w:pPr>
            <w:r w:rsidRPr="00303E4F">
              <w:rPr>
                <w:color w:val="000000"/>
                <w:sz w:val="17"/>
                <w:szCs w:val="17"/>
              </w:rPr>
              <w:t> n/a</w:t>
            </w:r>
          </w:p>
          <w:p w:rsidR="00A44CCE" w:rsidRPr="00303E4F" w:rsidRDefault="00A44CCE" w:rsidP="00220419">
            <w:pPr>
              <w:rPr>
                <w:color w:val="000000"/>
                <w:sz w:val="17"/>
                <w:szCs w:val="17"/>
              </w:rPr>
            </w:pPr>
          </w:p>
        </w:tc>
        <w:tc>
          <w:tcPr>
            <w:tcW w:w="723" w:type="pct"/>
            <w:tcBorders>
              <w:top w:val="single" w:sz="4" w:space="0" w:color="auto"/>
              <w:left w:val="nil"/>
              <w:bottom w:val="single" w:sz="4" w:space="0" w:color="auto"/>
              <w:right w:val="single" w:sz="4" w:space="0" w:color="auto"/>
            </w:tcBorders>
            <w:shd w:val="clear" w:color="auto" w:fill="auto"/>
            <w:hideMark/>
          </w:tcPr>
          <w:p w:rsidR="00A44CCE" w:rsidRPr="00303E4F" w:rsidRDefault="00A44CCE" w:rsidP="00220419">
            <w:pPr>
              <w:rPr>
                <w:color w:val="000000"/>
                <w:sz w:val="17"/>
                <w:szCs w:val="17"/>
              </w:rPr>
            </w:pPr>
            <w:r w:rsidRPr="00303E4F">
              <w:rPr>
                <w:color w:val="000000"/>
                <w:sz w:val="17"/>
                <w:szCs w:val="17"/>
              </w:rPr>
              <w:t>One-off payment made by the electricity provider at the end of the year</w:t>
            </w:r>
          </w:p>
        </w:tc>
        <w:tc>
          <w:tcPr>
            <w:tcW w:w="724" w:type="pct"/>
            <w:tcBorders>
              <w:top w:val="single" w:sz="4" w:space="0" w:color="auto"/>
              <w:left w:val="nil"/>
              <w:bottom w:val="single" w:sz="4" w:space="0" w:color="auto"/>
              <w:right w:val="single" w:sz="4" w:space="0" w:color="auto"/>
            </w:tcBorders>
            <w:shd w:val="clear" w:color="auto" w:fill="auto"/>
            <w:hideMark/>
          </w:tcPr>
          <w:p w:rsidR="00A44CCE" w:rsidRPr="00303E4F" w:rsidRDefault="00A44CCE">
            <w:pPr>
              <w:rPr>
                <w:sz w:val="17"/>
                <w:szCs w:val="17"/>
              </w:rPr>
            </w:pPr>
            <w:r w:rsidRPr="00303E4F">
              <w:rPr>
                <w:color w:val="000000"/>
                <w:sz w:val="17"/>
                <w:szCs w:val="17"/>
              </w:rPr>
              <w:t>n/a</w:t>
            </w:r>
          </w:p>
          <w:p w:rsidR="00A44CCE" w:rsidRPr="00303E4F" w:rsidRDefault="00A44CCE" w:rsidP="00220419">
            <w:pPr>
              <w:rPr>
                <w:color w:val="000000"/>
                <w:sz w:val="17"/>
                <w:szCs w:val="17"/>
              </w:rPr>
            </w:pPr>
          </w:p>
        </w:tc>
        <w:tc>
          <w:tcPr>
            <w:tcW w:w="898" w:type="pct"/>
            <w:tcBorders>
              <w:top w:val="single" w:sz="4" w:space="0" w:color="auto"/>
              <w:left w:val="nil"/>
              <w:bottom w:val="single" w:sz="4" w:space="0" w:color="auto"/>
              <w:right w:val="single" w:sz="4" w:space="0" w:color="auto"/>
            </w:tcBorders>
            <w:shd w:val="clear" w:color="auto" w:fill="auto"/>
            <w:hideMark/>
          </w:tcPr>
          <w:p w:rsidR="00A44CCE" w:rsidRPr="00303E4F" w:rsidRDefault="00A44CCE">
            <w:pPr>
              <w:rPr>
                <w:sz w:val="17"/>
                <w:szCs w:val="17"/>
              </w:rPr>
            </w:pPr>
            <w:r w:rsidRPr="00303E4F">
              <w:rPr>
                <w:color w:val="000000"/>
                <w:sz w:val="17"/>
                <w:szCs w:val="17"/>
              </w:rPr>
              <w:t>Not applicable in 2015 since a new electricity provider, which was selected through a Geneva-based UN agency tender, does not offer this type of incentive.</w:t>
            </w:r>
          </w:p>
          <w:p w:rsidR="00A44CCE" w:rsidRPr="00303E4F" w:rsidRDefault="00A44CCE" w:rsidP="00220419">
            <w:pPr>
              <w:rPr>
                <w:color w:val="000000"/>
                <w:sz w:val="17"/>
                <w:szCs w:val="17"/>
              </w:rPr>
            </w:pPr>
          </w:p>
          <w:p w:rsidR="00A44CCE" w:rsidRPr="00303E4F" w:rsidRDefault="00A44CCE" w:rsidP="00220419">
            <w:pPr>
              <w:tabs>
                <w:tab w:val="left" w:pos="1543"/>
              </w:tabs>
              <w:rPr>
                <w:sz w:val="17"/>
                <w:szCs w:val="17"/>
              </w:rPr>
            </w:pPr>
            <w:r w:rsidRPr="00303E4F">
              <w:rPr>
                <w:sz w:val="17"/>
                <w:szCs w:val="17"/>
              </w:rPr>
              <w:tab/>
            </w:r>
          </w:p>
        </w:tc>
        <w:tc>
          <w:tcPr>
            <w:tcW w:w="657" w:type="pct"/>
            <w:tcBorders>
              <w:top w:val="single" w:sz="4" w:space="0" w:color="auto"/>
              <w:left w:val="nil"/>
              <w:bottom w:val="single" w:sz="4" w:space="0" w:color="auto"/>
              <w:right w:val="single" w:sz="4" w:space="0" w:color="auto"/>
            </w:tcBorders>
            <w:shd w:val="clear" w:color="auto" w:fill="auto"/>
            <w:hideMark/>
          </w:tcPr>
          <w:p w:rsidR="00A44CCE" w:rsidRPr="00303E4F" w:rsidRDefault="00A44CCE" w:rsidP="00220419">
            <w:pPr>
              <w:rPr>
                <w:color w:val="000000"/>
                <w:sz w:val="17"/>
                <w:szCs w:val="17"/>
              </w:rPr>
            </w:pPr>
            <w:r w:rsidRPr="00303E4F">
              <w:rPr>
                <w:color w:val="000000"/>
                <w:sz w:val="17"/>
                <w:szCs w:val="17"/>
              </w:rPr>
              <w:t>Premises Infrastructure Division</w:t>
            </w:r>
          </w:p>
        </w:tc>
      </w:tr>
    </w:tbl>
    <w:p w:rsidR="00A44CCE" w:rsidRDefault="00A44CCE" w:rsidP="00220419">
      <w:pPr>
        <w:rPr>
          <w:i/>
          <w:sz w:val="18"/>
          <w:szCs w:val="18"/>
        </w:rPr>
      </w:pPr>
    </w:p>
    <w:p w:rsidR="00A44CCE" w:rsidRPr="00BE62B6" w:rsidRDefault="00A44CCE" w:rsidP="00220419">
      <w:pPr>
        <w:rPr>
          <w:i/>
          <w:sz w:val="18"/>
          <w:szCs w:val="18"/>
        </w:rPr>
      </w:pPr>
      <w:r w:rsidRPr="00BE62B6">
        <w:rPr>
          <w:i/>
          <w:sz w:val="18"/>
          <w:szCs w:val="18"/>
        </w:rPr>
        <w:t>*information as per document WO/PBC/23/COST EFFICIENCIES REALIZED IN 2014</w:t>
      </w:r>
    </w:p>
    <w:p w:rsidR="00A44CCE" w:rsidRPr="00BE62B6" w:rsidRDefault="00A44CCE" w:rsidP="00220419">
      <w:pPr>
        <w:rPr>
          <w:i/>
          <w:sz w:val="18"/>
          <w:szCs w:val="18"/>
        </w:rPr>
      </w:pPr>
      <w:r w:rsidRPr="00BE62B6">
        <w:rPr>
          <w:i/>
          <w:sz w:val="18"/>
          <w:szCs w:val="18"/>
        </w:rPr>
        <w:t>**Annual revenue figures for ICC are shown as gross figures without offsetting reductions for improvement works implemented during the 2014/15 biennium</w:t>
      </w:r>
    </w:p>
    <w:p w:rsidR="00A44CCE" w:rsidRPr="00BE62B6" w:rsidRDefault="00A44CCE" w:rsidP="00220419">
      <w:pPr>
        <w:rPr>
          <w:b/>
          <w:sz w:val="18"/>
          <w:szCs w:val="18"/>
        </w:rPr>
      </w:pPr>
    </w:p>
    <w:p w:rsidR="0075764F" w:rsidRDefault="0075764F" w:rsidP="0075764F"/>
    <w:p w:rsidR="0075764F" w:rsidRDefault="0075764F" w:rsidP="0075764F"/>
    <w:p w:rsidR="0075764F" w:rsidRDefault="0075764F" w:rsidP="0075764F"/>
    <w:p w:rsidR="0075764F" w:rsidRDefault="0075764F" w:rsidP="0075764F"/>
    <w:p w:rsidR="0075764F" w:rsidRDefault="0075764F" w:rsidP="0075764F"/>
    <w:p w:rsidR="003C6933" w:rsidRDefault="003C6933">
      <w:pPr>
        <w:rPr>
          <w:rFonts w:ascii="Arial Bold" w:hAnsi="Arial Bold"/>
          <w:b/>
          <w:bCs/>
          <w:caps/>
          <w:szCs w:val="28"/>
        </w:rPr>
      </w:pPr>
      <w:r>
        <w:rPr>
          <w:rFonts w:ascii="Arial Bold" w:hAnsi="Arial Bold"/>
          <w:b/>
          <w:bCs/>
          <w:caps/>
          <w:szCs w:val="28"/>
        </w:rPr>
        <w:br w:type="page"/>
      </w:r>
    </w:p>
    <w:p w:rsidR="00CE4C9D" w:rsidRPr="009C0DA2" w:rsidRDefault="00CE4C9D" w:rsidP="00CE4C9D">
      <w:pPr>
        <w:rPr>
          <w:rFonts w:ascii="Arial Bold" w:hAnsi="Arial Bold"/>
          <w:b/>
          <w:bCs/>
          <w:caps/>
          <w:szCs w:val="28"/>
        </w:rPr>
      </w:pPr>
    </w:p>
    <w:p w:rsidR="007F6F24" w:rsidRPr="00985C27" w:rsidRDefault="00D735A1" w:rsidP="00845557">
      <w:pPr>
        <w:pStyle w:val="Heading1"/>
        <w:tabs>
          <w:tab w:val="clear" w:pos="284"/>
        </w:tabs>
        <w:ind w:hanging="578"/>
        <w:jc w:val="left"/>
      </w:pPr>
      <w:bookmarkStart w:id="17" w:name="_Toc421867752"/>
      <w:bookmarkStart w:id="18" w:name="_Toc421868019"/>
      <w:bookmarkStart w:id="19" w:name="_Toc421868069"/>
      <w:bookmarkStart w:id="20" w:name="_Toc422127323"/>
      <w:bookmarkStart w:id="21" w:name="_Toc422134318"/>
      <w:bookmarkStart w:id="22" w:name="_Toc421867753"/>
      <w:bookmarkStart w:id="23" w:name="_Toc421868020"/>
      <w:bookmarkStart w:id="24" w:name="_Toc421868070"/>
      <w:bookmarkStart w:id="25" w:name="_Toc422127324"/>
      <w:bookmarkStart w:id="26" w:name="_Toc422134319"/>
      <w:bookmarkStart w:id="27" w:name="_Toc421867754"/>
      <w:bookmarkStart w:id="28" w:name="_Toc421868021"/>
      <w:bookmarkStart w:id="29" w:name="_Toc421868071"/>
      <w:bookmarkStart w:id="30" w:name="_Toc422127325"/>
      <w:bookmarkStart w:id="31" w:name="_Toc422134320"/>
      <w:bookmarkStart w:id="32" w:name="_Toc421867755"/>
      <w:bookmarkStart w:id="33" w:name="_Toc421868022"/>
      <w:bookmarkStart w:id="34" w:name="_Toc421868072"/>
      <w:bookmarkStart w:id="35" w:name="_Toc422127326"/>
      <w:bookmarkStart w:id="36" w:name="_Toc422134321"/>
      <w:bookmarkStart w:id="37" w:name="_Toc421867756"/>
      <w:bookmarkStart w:id="38" w:name="_Toc421868023"/>
      <w:bookmarkStart w:id="39" w:name="_Toc421868073"/>
      <w:bookmarkStart w:id="40" w:name="_Toc422127327"/>
      <w:bookmarkStart w:id="41" w:name="_Toc422134322"/>
      <w:bookmarkStart w:id="42" w:name="_Toc421867757"/>
      <w:bookmarkStart w:id="43" w:name="_Toc421868024"/>
      <w:bookmarkStart w:id="44" w:name="_Toc421868074"/>
      <w:bookmarkStart w:id="45" w:name="_Toc422127328"/>
      <w:bookmarkStart w:id="46" w:name="_Toc422134323"/>
      <w:bookmarkStart w:id="47" w:name="_Toc294535814"/>
      <w:bookmarkStart w:id="48" w:name="_Toc327875006"/>
      <w:bookmarkStart w:id="49" w:name="_Toc358366918"/>
      <w:bookmarkStart w:id="50" w:name="_Toc454544460"/>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r>
        <w:t>OVERVIEW OF PROGRESS IN 2014</w:t>
      </w:r>
      <w:r w:rsidR="008F2BDD">
        <w:t>/15</w:t>
      </w:r>
      <w:r>
        <w:t xml:space="preserve"> BY </w:t>
      </w:r>
      <w:r w:rsidR="003C6933">
        <w:t>STRATEGIC GOAL</w:t>
      </w:r>
      <w:bookmarkEnd w:id="47"/>
      <w:bookmarkEnd w:id="48"/>
      <w:bookmarkEnd w:id="49"/>
      <w:bookmarkEnd w:id="50"/>
    </w:p>
    <w:p w:rsidR="007F6F24" w:rsidRDefault="007F6F24" w:rsidP="007F6F24">
      <w:pPr>
        <w:jc w:val="both"/>
      </w:pPr>
    </w:p>
    <w:p w:rsidR="00A87689" w:rsidRPr="003A6CAB" w:rsidRDefault="00A87689" w:rsidP="00C1753F">
      <w:pPr>
        <w:pStyle w:val="StyleHeading214ptAuto"/>
        <w:rPr>
          <w:rFonts w:ascii="Arial" w:hAnsi="Arial"/>
          <w:bCs w:val="0"/>
          <w:caps w:val="0"/>
          <w:sz w:val="20"/>
          <w:szCs w:val="24"/>
          <w:lang w:val="en-US" w:eastAsia="en-US"/>
        </w:rPr>
      </w:pPr>
      <w:bookmarkStart w:id="51" w:name="_Toc454544461"/>
      <w:r w:rsidRPr="003A6CAB">
        <w:rPr>
          <w:rFonts w:ascii="Arial" w:hAnsi="Arial"/>
          <w:bCs w:val="0"/>
          <w:caps w:val="0"/>
          <w:sz w:val="20"/>
          <w:szCs w:val="24"/>
          <w:lang w:val="en-US" w:eastAsia="en-US"/>
        </w:rPr>
        <w:t>STRATEGIC GOAL I</w:t>
      </w:r>
      <w:bookmarkEnd w:id="51"/>
    </w:p>
    <w:p w:rsidR="00A87689" w:rsidRDefault="00A87689" w:rsidP="00845557">
      <w:pPr>
        <w:jc w:val="center"/>
      </w:pPr>
    </w:p>
    <w:p w:rsidR="00A87689" w:rsidRPr="00304D88" w:rsidRDefault="00A87689" w:rsidP="00845557">
      <w:pPr>
        <w:jc w:val="center"/>
      </w:pPr>
      <w:r w:rsidRPr="00845557">
        <w:rPr>
          <w:b/>
        </w:rPr>
        <w:t>BALANCED EVOLUTION OF THE INTERNATIONAL</w:t>
      </w:r>
      <w:r w:rsidR="005B2B98">
        <w:rPr>
          <w:b/>
        </w:rPr>
        <w:t xml:space="preserve"> </w:t>
      </w:r>
      <w:r w:rsidRPr="00845557">
        <w:rPr>
          <w:b/>
        </w:rPr>
        <w:t>NORMATIVE FRAMEWORK FOR IP</w:t>
      </w:r>
    </w:p>
    <w:p w:rsidR="005B2B98" w:rsidRDefault="005B2B98"/>
    <w:p w:rsidR="005B2B98" w:rsidRPr="00AF0343" w:rsidRDefault="005B2B98" w:rsidP="005B2B98">
      <w:pPr>
        <w:jc w:val="center"/>
        <w:rPr>
          <w:b/>
        </w:rPr>
      </w:pPr>
    </w:p>
    <w:p w:rsidR="005B2B98" w:rsidRPr="00551736" w:rsidRDefault="005B2B98" w:rsidP="005B2B98">
      <w:pPr>
        <w:jc w:val="center"/>
        <w:rPr>
          <w:b/>
        </w:rPr>
      </w:pPr>
      <w:r>
        <w:rPr>
          <w:b/>
        </w:rPr>
        <w:t>Biennial</w:t>
      </w:r>
      <w:r w:rsidRPr="00551736">
        <w:rPr>
          <w:b/>
        </w:rPr>
        <w:t xml:space="preserve"> Performance Dashboard </w:t>
      </w:r>
    </w:p>
    <w:p w:rsidR="005B2B98" w:rsidRPr="00551736" w:rsidRDefault="005B2B98" w:rsidP="005B2B98">
      <w:pPr>
        <w:jc w:val="both"/>
      </w:pPr>
    </w:p>
    <w:p w:rsidR="005B2B98" w:rsidRDefault="005B2B98" w:rsidP="005B2B98">
      <w:pPr>
        <w:autoSpaceDE w:val="0"/>
        <w:autoSpaceDN w:val="0"/>
        <w:adjustRightInd w:val="0"/>
        <w:jc w:val="both"/>
        <w:rPr>
          <w:rFonts w:cs="Arial"/>
        </w:rPr>
      </w:pPr>
      <w:r>
        <w:rPr>
          <w:rFonts w:cs="Arial"/>
        </w:rPr>
        <w:t xml:space="preserve">The dashboard below provides a summary of the achievements of the expected results in the biennium 2014/15 as measured by the indicators under the Programs contributing to this Strategic Goal.  </w:t>
      </w:r>
    </w:p>
    <w:p w:rsidR="005B2B98" w:rsidRDefault="005B2B98" w:rsidP="005B2B98">
      <w:pPr>
        <w:jc w:val="center"/>
        <w:rPr>
          <w:rFonts w:cs="Arial"/>
        </w:rPr>
      </w:pPr>
      <w:r>
        <w:rPr>
          <w:rFonts w:cs="Arial"/>
          <w:noProof/>
        </w:rPr>
        <w:drawing>
          <wp:inline distT="0" distB="0" distL="0" distR="0" wp14:anchorId="310D11C6" wp14:editId="5D6FB0AB">
            <wp:extent cx="5515308" cy="2651760"/>
            <wp:effectExtent l="0" t="0" r="9525"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515308" cy="2651760"/>
                    </a:xfrm>
                    <a:prstGeom prst="rect">
                      <a:avLst/>
                    </a:prstGeom>
                    <a:noFill/>
                  </pic:spPr>
                </pic:pic>
              </a:graphicData>
            </a:graphic>
          </wp:inline>
        </w:drawing>
      </w:r>
    </w:p>
    <w:p w:rsidR="005B2B98" w:rsidRDefault="005B2B98" w:rsidP="005B2B98">
      <w:pPr>
        <w:jc w:val="center"/>
        <w:rPr>
          <w:rFonts w:cs="Arial"/>
        </w:rPr>
      </w:pPr>
    </w:p>
    <w:tbl>
      <w:tblPr>
        <w:tblW w:w="4884" w:type="pct"/>
        <w:tblInd w:w="108" w:type="dxa"/>
        <w:tblBorders>
          <w:top w:val="single" w:sz="4" w:space="0" w:color="auto"/>
          <w:left w:val="single" w:sz="4" w:space="0" w:color="auto"/>
          <w:bottom w:val="single" w:sz="4" w:space="0" w:color="auto"/>
          <w:right w:val="single" w:sz="4" w:space="0" w:color="auto"/>
        </w:tblBorders>
        <w:tblCellMar>
          <w:left w:w="115" w:type="dxa"/>
          <w:right w:w="115" w:type="dxa"/>
        </w:tblCellMar>
        <w:tblLook w:val="0000" w:firstRow="0" w:lastRow="0" w:firstColumn="0" w:lastColumn="0" w:noHBand="0" w:noVBand="0"/>
      </w:tblPr>
      <w:tblGrid>
        <w:gridCol w:w="3030"/>
        <w:gridCol w:w="4065"/>
        <w:gridCol w:w="1418"/>
        <w:gridCol w:w="850"/>
      </w:tblGrid>
      <w:tr w:rsidR="005B2B98" w:rsidRPr="00AF5E7C" w:rsidTr="005B2B98">
        <w:trPr>
          <w:cantSplit/>
          <w:trHeight w:val="360"/>
          <w:tblHeader/>
        </w:trPr>
        <w:tc>
          <w:tcPr>
            <w:tcW w:w="1618" w:type="pct"/>
            <w:tcBorders>
              <w:top w:val="single" w:sz="4" w:space="0" w:color="auto"/>
              <w:bottom w:val="single" w:sz="4" w:space="0" w:color="auto"/>
            </w:tcBorders>
            <w:shd w:val="clear" w:color="auto" w:fill="DAEEF3" w:themeFill="accent5" w:themeFillTint="33"/>
            <w:tcMar>
              <w:top w:w="113" w:type="dxa"/>
              <w:bottom w:w="113" w:type="dxa"/>
            </w:tcMar>
            <w:vAlign w:val="center"/>
          </w:tcPr>
          <w:p w:rsidR="005B2B98" w:rsidRPr="007B07A4" w:rsidRDefault="005B2B98" w:rsidP="00547ACE">
            <w:pPr>
              <w:spacing w:after="120"/>
              <w:rPr>
                <w:rFonts w:cs="Arial"/>
                <w:b/>
                <w:bCs/>
                <w:sz w:val="18"/>
                <w:szCs w:val="18"/>
              </w:rPr>
            </w:pPr>
            <w:r w:rsidRPr="007B07A4">
              <w:rPr>
                <w:rFonts w:cs="Arial"/>
                <w:b/>
                <w:bCs/>
                <w:sz w:val="18"/>
                <w:szCs w:val="18"/>
              </w:rPr>
              <w:t>Expected Results</w:t>
            </w:r>
          </w:p>
        </w:tc>
        <w:tc>
          <w:tcPr>
            <w:tcW w:w="2171" w:type="pct"/>
            <w:tcBorders>
              <w:top w:val="single" w:sz="4" w:space="0" w:color="auto"/>
              <w:bottom w:val="single" w:sz="4" w:space="0" w:color="auto"/>
            </w:tcBorders>
            <w:shd w:val="clear" w:color="auto" w:fill="DAEEF3" w:themeFill="accent5" w:themeFillTint="33"/>
            <w:tcMar>
              <w:top w:w="113" w:type="dxa"/>
              <w:bottom w:w="113" w:type="dxa"/>
            </w:tcMar>
            <w:vAlign w:val="center"/>
          </w:tcPr>
          <w:p w:rsidR="005B2B98" w:rsidRPr="007B07A4" w:rsidRDefault="005B2B98" w:rsidP="00547ACE">
            <w:pPr>
              <w:spacing w:after="120"/>
              <w:rPr>
                <w:rFonts w:cs="Arial"/>
                <w:b/>
                <w:sz w:val="18"/>
                <w:szCs w:val="18"/>
              </w:rPr>
            </w:pPr>
            <w:r w:rsidRPr="007B07A4">
              <w:rPr>
                <w:rFonts w:cs="Arial"/>
                <w:b/>
                <w:sz w:val="18"/>
                <w:szCs w:val="18"/>
              </w:rPr>
              <w:t>Performance Indicators</w:t>
            </w:r>
          </w:p>
        </w:tc>
        <w:tc>
          <w:tcPr>
            <w:tcW w:w="757" w:type="pct"/>
            <w:tcBorders>
              <w:top w:val="single" w:sz="4" w:space="0" w:color="auto"/>
              <w:bottom w:val="single" w:sz="4" w:space="0" w:color="auto"/>
            </w:tcBorders>
            <w:shd w:val="clear" w:color="auto" w:fill="DAEEF3" w:themeFill="accent5" w:themeFillTint="33"/>
            <w:tcMar>
              <w:top w:w="113" w:type="dxa"/>
              <w:bottom w:w="113" w:type="dxa"/>
            </w:tcMar>
            <w:vAlign w:val="center"/>
          </w:tcPr>
          <w:p w:rsidR="005B2B98" w:rsidRPr="007B07A4" w:rsidRDefault="005B2B98" w:rsidP="00547ACE">
            <w:pPr>
              <w:spacing w:after="120"/>
              <w:ind w:left="85"/>
              <w:jc w:val="center"/>
              <w:rPr>
                <w:rFonts w:cs="Arial"/>
                <w:sz w:val="18"/>
                <w:szCs w:val="18"/>
              </w:rPr>
            </w:pPr>
            <w:r w:rsidRPr="007B07A4">
              <w:rPr>
                <w:rFonts w:cs="Arial"/>
                <w:b/>
                <w:bCs/>
                <w:sz w:val="18"/>
                <w:szCs w:val="18"/>
              </w:rPr>
              <w:t>Responsible Program(s)</w:t>
            </w:r>
          </w:p>
        </w:tc>
        <w:tc>
          <w:tcPr>
            <w:tcW w:w="454" w:type="pct"/>
            <w:tcBorders>
              <w:top w:val="single" w:sz="4" w:space="0" w:color="auto"/>
              <w:bottom w:val="single" w:sz="4" w:space="0" w:color="auto"/>
            </w:tcBorders>
            <w:shd w:val="clear" w:color="auto" w:fill="DAEEF3" w:themeFill="accent5" w:themeFillTint="33"/>
            <w:vAlign w:val="center"/>
          </w:tcPr>
          <w:p w:rsidR="005B2B98" w:rsidRPr="007B07A4" w:rsidRDefault="005B2B98" w:rsidP="00547ACE">
            <w:pPr>
              <w:spacing w:after="120"/>
              <w:ind w:left="85"/>
              <w:jc w:val="center"/>
              <w:rPr>
                <w:rFonts w:cs="Arial"/>
                <w:b/>
                <w:bCs/>
                <w:sz w:val="18"/>
                <w:szCs w:val="18"/>
              </w:rPr>
            </w:pPr>
            <w:r>
              <w:rPr>
                <w:rFonts w:cs="Arial"/>
                <w:b/>
                <w:bCs/>
                <w:sz w:val="18"/>
                <w:szCs w:val="18"/>
              </w:rPr>
              <w:t>TLS</w:t>
            </w:r>
          </w:p>
        </w:tc>
      </w:tr>
      <w:tr w:rsidR="005B2B98" w:rsidRPr="00AF5E7C" w:rsidTr="005B2B98">
        <w:trPr>
          <w:cantSplit/>
          <w:trHeight w:val="360"/>
        </w:trPr>
        <w:tc>
          <w:tcPr>
            <w:tcW w:w="1618" w:type="pct"/>
            <w:vMerge w:val="restart"/>
            <w:tcBorders>
              <w:top w:val="single" w:sz="4" w:space="0" w:color="auto"/>
            </w:tcBorders>
            <w:shd w:val="clear" w:color="auto" w:fill="auto"/>
            <w:tcMar>
              <w:top w:w="113" w:type="dxa"/>
              <w:bottom w:w="113" w:type="dxa"/>
            </w:tcMar>
          </w:tcPr>
          <w:p w:rsidR="005B2B98" w:rsidRPr="00A27611" w:rsidRDefault="005B2B98" w:rsidP="00547ACE">
            <w:pPr>
              <w:rPr>
                <w:rFonts w:cs="Arial"/>
                <w:sz w:val="16"/>
                <w:szCs w:val="16"/>
              </w:rPr>
            </w:pPr>
            <w:r w:rsidRPr="00A27611">
              <w:rPr>
                <w:rFonts w:cs="Arial"/>
                <w:sz w:val="16"/>
                <w:szCs w:val="16"/>
              </w:rPr>
              <w:t xml:space="preserve">I.1 </w:t>
            </w:r>
            <w:r>
              <w:rPr>
                <w:rFonts w:cs="Arial"/>
                <w:sz w:val="16"/>
                <w:szCs w:val="16"/>
              </w:rPr>
              <w:t xml:space="preserve"> </w:t>
            </w:r>
            <w:r w:rsidRPr="00D85DF9">
              <w:rPr>
                <w:rFonts w:cs="Arial"/>
                <w:sz w:val="16"/>
                <w:szCs w:val="16"/>
              </w:rPr>
              <w:t xml:space="preserve">Enhanced cooperation among Member States on development of balanced international normative frameworks for IP and </w:t>
            </w:r>
            <w:r>
              <w:rPr>
                <w:rFonts w:cs="Arial"/>
                <w:sz w:val="16"/>
                <w:szCs w:val="16"/>
              </w:rPr>
              <w:t>agreement</w:t>
            </w:r>
            <w:r w:rsidRPr="00D85DF9">
              <w:rPr>
                <w:rFonts w:cs="Arial"/>
                <w:sz w:val="16"/>
                <w:szCs w:val="16"/>
              </w:rPr>
              <w:t xml:space="preserve"> on specific topics on which international instruments are agreed</w:t>
            </w:r>
          </w:p>
        </w:tc>
        <w:tc>
          <w:tcPr>
            <w:tcW w:w="2171" w:type="pct"/>
            <w:tcBorders>
              <w:top w:val="single" w:sz="4" w:space="0" w:color="auto"/>
            </w:tcBorders>
            <w:shd w:val="clear" w:color="auto" w:fill="auto"/>
            <w:tcMar>
              <w:top w:w="113" w:type="dxa"/>
              <w:bottom w:w="113" w:type="dxa"/>
            </w:tcMar>
          </w:tcPr>
          <w:p w:rsidR="005B2B98" w:rsidRPr="00A27611" w:rsidRDefault="005B2B98" w:rsidP="00547ACE">
            <w:pPr>
              <w:rPr>
                <w:rFonts w:cs="Arial"/>
                <w:sz w:val="16"/>
                <w:szCs w:val="16"/>
              </w:rPr>
            </w:pPr>
            <w:r w:rsidRPr="00A27611">
              <w:rPr>
                <w:rFonts w:cs="Arial"/>
                <w:sz w:val="16"/>
                <w:szCs w:val="16"/>
              </w:rPr>
              <w:t>Progress on the implementation of SCP agreed steps/plans</w:t>
            </w:r>
          </w:p>
        </w:tc>
        <w:tc>
          <w:tcPr>
            <w:tcW w:w="757" w:type="pct"/>
            <w:tcBorders>
              <w:top w:val="single" w:sz="4" w:space="0" w:color="auto"/>
            </w:tcBorders>
            <w:shd w:val="clear" w:color="auto" w:fill="FFFFFF"/>
            <w:tcMar>
              <w:top w:w="113" w:type="dxa"/>
              <w:bottom w:w="113" w:type="dxa"/>
            </w:tcMar>
          </w:tcPr>
          <w:p w:rsidR="005B2B98" w:rsidRPr="00AF5E7C" w:rsidRDefault="005B2B98" w:rsidP="00547ACE">
            <w:pPr>
              <w:jc w:val="center"/>
              <w:rPr>
                <w:rFonts w:cs="Arial"/>
                <w:sz w:val="16"/>
                <w:szCs w:val="16"/>
              </w:rPr>
            </w:pPr>
            <w:r>
              <w:rPr>
                <w:rFonts w:cs="Arial"/>
                <w:sz w:val="16"/>
                <w:szCs w:val="16"/>
                <w:lang w:bidi="th-TH"/>
              </w:rPr>
              <w:t>Program 1</w:t>
            </w:r>
          </w:p>
        </w:tc>
        <w:tc>
          <w:tcPr>
            <w:tcW w:w="454" w:type="pct"/>
            <w:tcBorders>
              <w:top w:val="single" w:sz="4" w:space="0" w:color="auto"/>
            </w:tcBorders>
            <w:shd w:val="clear" w:color="auto" w:fill="FFFFFF"/>
          </w:tcPr>
          <w:p w:rsidR="005B2B98" w:rsidRPr="00CC3F44" w:rsidRDefault="005B2B98" w:rsidP="00547ACE">
            <w:pPr>
              <w:spacing w:before="40"/>
              <w:jc w:val="center"/>
              <w:rPr>
                <w:rFonts w:cs="Arial"/>
                <w:color w:val="008000"/>
                <w:sz w:val="22"/>
                <w:szCs w:val="22"/>
              </w:rPr>
            </w:pPr>
            <w:r w:rsidRPr="00CC3F44">
              <w:rPr>
                <w:rFonts w:cs="Arial"/>
                <w:color w:val="008000"/>
                <w:sz w:val="22"/>
                <w:szCs w:val="22"/>
              </w:rPr>
              <w:sym w:font="Wingdings" w:char="F06C"/>
            </w:r>
          </w:p>
        </w:tc>
      </w:tr>
      <w:tr w:rsidR="005B2B98" w:rsidRPr="00AF5E7C" w:rsidTr="005B2B98">
        <w:trPr>
          <w:cantSplit/>
          <w:trHeight w:val="360"/>
        </w:trPr>
        <w:tc>
          <w:tcPr>
            <w:tcW w:w="1618" w:type="pct"/>
            <w:vMerge/>
            <w:shd w:val="clear" w:color="auto" w:fill="auto"/>
            <w:tcMar>
              <w:top w:w="113" w:type="dxa"/>
              <w:bottom w:w="113" w:type="dxa"/>
            </w:tcMar>
          </w:tcPr>
          <w:p w:rsidR="005B2B98" w:rsidRPr="00AF5E7C" w:rsidRDefault="005B2B98" w:rsidP="00547ACE">
            <w:pPr>
              <w:rPr>
                <w:rFonts w:cs="Arial"/>
                <w:sz w:val="16"/>
                <w:szCs w:val="16"/>
              </w:rPr>
            </w:pPr>
          </w:p>
        </w:tc>
        <w:tc>
          <w:tcPr>
            <w:tcW w:w="2171" w:type="pct"/>
            <w:shd w:val="clear" w:color="auto" w:fill="auto"/>
            <w:tcMar>
              <w:top w:w="113" w:type="dxa"/>
              <w:bottom w:w="113" w:type="dxa"/>
            </w:tcMar>
          </w:tcPr>
          <w:p w:rsidR="005B2B98" w:rsidRPr="00AF5E7C" w:rsidRDefault="005B2B98" w:rsidP="00547ACE">
            <w:pPr>
              <w:rPr>
                <w:rFonts w:cs="Arial"/>
                <w:sz w:val="16"/>
                <w:szCs w:val="16"/>
              </w:rPr>
            </w:pPr>
            <w:r w:rsidRPr="00A45324">
              <w:rPr>
                <w:rFonts w:cs="Arial"/>
                <w:sz w:val="16"/>
                <w:szCs w:val="16"/>
              </w:rPr>
              <w:t>% of satisfied participants in targeted workshops/seminars/conferences held on specific patent-related topics</w:t>
            </w:r>
          </w:p>
        </w:tc>
        <w:tc>
          <w:tcPr>
            <w:tcW w:w="757" w:type="pct"/>
            <w:shd w:val="clear" w:color="auto" w:fill="FFFFFF"/>
            <w:tcMar>
              <w:top w:w="113" w:type="dxa"/>
              <w:bottom w:w="113" w:type="dxa"/>
            </w:tcMar>
          </w:tcPr>
          <w:p w:rsidR="005B2B98" w:rsidRPr="00AF5E7C" w:rsidRDefault="005B2B98" w:rsidP="00547ACE">
            <w:pPr>
              <w:jc w:val="center"/>
              <w:rPr>
                <w:rFonts w:cs="Arial"/>
                <w:sz w:val="16"/>
                <w:szCs w:val="16"/>
                <w:lang w:bidi="th-TH"/>
              </w:rPr>
            </w:pPr>
            <w:r>
              <w:rPr>
                <w:rFonts w:cs="Arial"/>
                <w:sz w:val="16"/>
                <w:szCs w:val="16"/>
                <w:lang w:bidi="th-TH"/>
              </w:rPr>
              <w:t>Program 1</w:t>
            </w:r>
          </w:p>
        </w:tc>
        <w:tc>
          <w:tcPr>
            <w:tcW w:w="454" w:type="pct"/>
            <w:shd w:val="clear" w:color="auto" w:fill="FFFFFF"/>
          </w:tcPr>
          <w:p w:rsidR="005B2B98" w:rsidRPr="00CC3F44" w:rsidRDefault="005B2B98" w:rsidP="00547ACE">
            <w:pPr>
              <w:spacing w:before="40"/>
              <w:jc w:val="center"/>
            </w:pPr>
            <w:r w:rsidRPr="00CC3F44">
              <w:rPr>
                <w:rFonts w:cs="Arial"/>
                <w:color w:val="008000"/>
                <w:sz w:val="22"/>
                <w:szCs w:val="22"/>
              </w:rPr>
              <w:sym w:font="Wingdings" w:char="F06C"/>
            </w:r>
          </w:p>
        </w:tc>
      </w:tr>
      <w:tr w:rsidR="005B2B98" w:rsidRPr="00AF5E7C" w:rsidTr="005B2B98">
        <w:trPr>
          <w:cantSplit/>
          <w:trHeight w:val="360"/>
        </w:trPr>
        <w:tc>
          <w:tcPr>
            <w:tcW w:w="1618" w:type="pct"/>
            <w:shd w:val="clear" w:color="auto" w:fill="auto"/>
            <w:tcMar>
              <w:top w:w="113" w:type="dxa"/>
              <w:bottom w:w="113" w:type="dxa"/>
            </w:tcMar>
          </w:tcPr>
          <w:p w:rsidR="005B2B98" w:rsidRPr="00AF5E7C" w:rsidRDefault="005B2B98" w:rsidP="00547ACE">
            <w:pPr>
              <w:rPr>
                <w:rFonts w:cs="Arial"/>
                <w:sz w:val="16"/>
                <w:szCs w:val="16"/>
              </w:rPr>
            </w:pPr>
          </w:p>
        </w:tc>
        <w:tc>
          <w:tcPr>
            <w:tcW w:w="2171" w:type="pct"/>
            <w:shd w:val="clear" w:color="auto" w:fill="auto"/>
            <w:tcMar>
              <w:top w:w="113" w:type="dxa"/>
              <w:bottom w:w="113" w:type="dxa"/>
            </w:tcMar>
          </w:tcPr>
          <w:p w:rsidR="005B2B98" w:rsidRPr="00AF5E7C" w:rsidRDefault="005B2B98" w:rsidP="00547ACE">
            <w:pPr>
              <w:rPr>
                <w:rFonts w:cs="Arial"/>
                <w:sz w:val="16"/>
                <w:szCs w:val="16"/>
              </w:rPr>
            </w:pPr>
            <w:r w:rsidRPr="00AF5E7C">
              <w:rPr>
                <w:rFonts w:cs="Arial"/>
                <w:sz w:val="16"/>
                <w:szCs w:val="16"/>
              </w:rPr>
              <w:t>Agreement on a normative framework for industrial design registration and maintenance procedures</w:t>
            </w:r>
          </w:p>
        </w:tc>
        <w:tc>
          <w:tcPr>
            <w:tcW w:w="757" w:type="pct"/>
            <w:shd w:val="clear" w:color="auto" w:fill="FFFFFF"/>
            <w:tcMar>
              <w:top w:w="113" w:type="dxa"/>
              <w:bottom w:w="113" w:type="dxa"/>
            </w:tcMar>
          </w:tcPr>
          <w:p w:rsidR="005B2B98" w:rsidRPr="00AF5E7C" w:rsidRDefault="005B2B98" w:rsidP="00547ACE">
            <w:pPr>
              <w:jc w:val="center"/>
              <w:rPr>
                <w:rFonts w:cs="Arial"/>
                <w:sz w:val="16"/>
                <w:szCs w:val="16"/>
                <w:lang w:bidi="th-TH"/>
              </w:rPr>
            </w:pPr>
            <w:r>
              <w:rPr>
                <w:rFonts w:cs="Arial"/>
                <w:sz w:val="16"/>
                <w:szCs w:val="16"/>
                <w:lang w:bidi="th-TH"/>
              </w:rPr>
              <w:t>Program 2</w:t>
            </w:r>
          </w:p>
        </w:tc>
        <w:tc>
          <w:tcPr>
            <w:tcW w:w="454" w:type="pct"/>
            <w:shd w:val="clear" w:color="auto" w:fill="FFFFFF"/>
          </w:tcPr>
          <w:p w:rsidR="005B2B98" w:rsidRPr="00CC3F44" w:rsidRDefault="005B2B98" w:rsidP="00547ACE">
            <w:pPr>
              <w:jc w:val="center"/>
            </w:pPr>
            <w:r w:rsidRPr="00CC3F44">
              <w:rPr>
                <w:bCs/>
                <w:color w:val="FF0000"/>
                <w:sz w:val="22"/>
                <w:szCs w:val="22"/>
              </w:rPr>
              <w:sym w:font="Wingdings" w:char="F06C"/>
            </w:r>
          </w:p>
        </w:tc>
      </w:tr>
      <w:tr w:rsidR="005B2B98" w:rsidRPr="00AF5E7C" w:rsidTr="005B2B98">
        <w:trPr>
          <w:cantSplit/>
          <w:trHeight w:val="360"/>
        </w:trPr>
        <w:tc>
          <w:tcPr>
            <w:tcW w:w="1618" w:type="pct"/>
            <w:shd w:val="clear" w:color="auto" w:fill="auto"/>
            <w:tcMar>
              <w:top w:w="113" w:type="dxa"/>
              <w:bottom w:w="113" w:type="dxa"/>
            </w:tcMar>
          </w:tcPr>
          <w:p w:rsidR="005B2B98" w:rsidRPr="00AF5E7C" w:rsidRDefault="005B2B98" w:rsidP="00547ACE">
            <w:pPr>
              <w:rPr>
                <w:rFonts w:cs="Arial"/>
                <w:sz w:val="16"/>
                <w:szCs w:val="16"/>
              </w:rPr>
            </w:pPr>
          </w:p>
        </w:tc>
        <w:tc>
          <w:tcPr>
            <w:tcW w:w="2171" w:type="pct"/>
            <w:shd w:val="clear" w:color="auto" w:fill="auto"/>
            <w:tcMar>
              <w:top w:w="113" w:type="dxa"/>
              <w:bottom w:w="113" w:type="dxa"/>
            </w:tcMar>
          </w:tcPr>
          <w:p w:rsidR="005B2B98" w:rsidRPr="009245A6" w:rsidRDefault="005B2B98" w:rsidP="00547ACE">
            <w:pPr>
              <w:rPr>
                <w:rFonts w:cs="Arial"/>
                <w:sz w:val="16"/>
                <w:szCs w:val="16"/>
                <w:lang w:bidi="th-TH"/>
              </w:rPr>
            </w:pPr>
            <w:r>
              <w:rPr>
                <w:rFonts w:cs="Arial"/>
                <w:sz w:val="16"/>
                <w:szCs w:val="16"/>
                <w:lang w:bidi="th-TH"/>
              </w:rPr>
              <w:t>Progress towards agreement on current issues on the SCT Agenda</w:t>
            </w:r>
          </w:p>
        </w:tc>
        <w:tc>
          <w:tcPr>
            <w:tcW w:w="757" w:type="pct"/>
            <w:shd w:val="clear" w:color="auto" w:fill="FFFFFF"/>
            <w:tcMar>
              <w:top w:w="113" w:type="dxa"/>
              <w:bottom w:w="113" w:type="dxa"/>
            </w:tcMar>
          </w:tcPr>
          <w:p w:rsidR="005B2B98" w:rsidRPr="00AF5E7C" w:rsidRDefault="005B2B98" w:rsidP="00547ACE">
            <w:pPr>
              <w:jc w:val="center"/>
              <w:rPr>
                <w:rFonts w:cs="Arial"/>
                <w:sz w:val="16"/>
                <w:szCs w:val="16"/>
                <w:lang w:bidi="th-TH"/>
              </w:rPr>
            </w:pPr>
            <w:r>
              <w:rPr>
                <w:rFonts w:cs="Arial"/>
                <w:sz w:val="16"/>
                <w:szCs w:val="16"/>
                <w:lang w:bidi="th-TH"/>
              </w:rPr>
              <w:t>Program 2</w:t>
            </w:r>
          </w:p>
        </w:tc>
        <w:tc>
          <w:tcPr>
            <w:tcW w:w="454" w:type="pct"/>
            <w:shd w:val="clear" w:color="auto" w:fill="FFFFFF"/>
          </w:tcPr>
          <w:p w:rsidR="005B2B98" w:rsidRPr="00CC3F44" w:rsidRDefault="005B2B98" w:rsidP="00547ACE">
            <w:pPr>
              <w:spacing w:before="40"/>
              <w:jc w:val="center"/>
            </w:pPr>
            <w:r w:rsidRPr="00CC3F44">
              <w:rPr>
                <w:rFonts w:cs="Arial"/>
                <w:color w:val="008000"/>
                <w:sz w:val="22"/>
                <w:szCs w:val="22"/>
              </w:rPr>
              <w:sym w:font="Wingdings" w:char="F06C"/>
            </w:r>
          </w:p>
        </w:tc>
      </w:tr>
      <w:tr w:rsidR="005B2B98" w:rsidRPr="00AF5E7C" w:rsidTr="005B2B98">
        <w:trPr>
          <w:cantSplit/>
          <w:trHeight w:val="360"/>
        </w:trPr>
        <w:tc>
          <w:tcPr>
            <w:tcW w:w="1618" w:type="pct"/>
            <w:shd w:val="clear" w:color="auto" w:fill="auto"/>
            <w:tcMar>
              <w:top w:w="113" w:type="dxa"/>
              <w:bottom w:w="113" w:type="dxa"/>
            </w:tcMar>
          </w:tcPr>
          <w:p w:rsidR="005B2B98" w:rsidRPr="00AF5E7C" w:rsidRDefault="005B2B98" w:rsidP="00547ACE">
            <w:pPr>
              <w:rPr>
                <w:rFonts w:cs="Arial"/>
                <w:sz w:val="16"/>
                <w:szCs w:val="16"/>
              </w:rPr>
            </w:pPr>
          </w:p>
        </w:tc>
        <w:tc>
          <w:tcPr>
            <w:tcW w:w="2171" w:type="pct"/>
            <w:shd w:val="clear" w:color="auto" w:fill="auto"/>
            <w:tcMar>
              <w:top w:w="113" w:type="dxa"/>
              <w:bottom w:w="113" w:type="dxa"/>
            </w:tcMar>
          </w:tcPr>
          <w:p w:rsidR="005B2B98" w:rsidRPr="007E3F60" w:rsidRDefault="005B2B98" w:rsidP="00547ACE">
            <w:pPr>
              <w:rPr>
                <w:rFonts w:cs="Arial"/>
                <w:sz w:val="16"/>
                <w:szCs w:val="16"/>
              </w:rPr>
            </w:pPr>
            <w:r w:rsidRPr="007E3F60">
              <w:rPr>
                <w:rFonts w:cs="Arial"/>
                <w:sz w:val="16"/>
                <w:szCs w:val="16"/>
              </w:rPr>
              <w:t>N</w:t>
            </w:r>
            <w:r>
              <w:rPr>
                <w:rFonts w:cs="Arial"/>
                <w:sz w:val="16"/>
                <w:szCs w:val="16"/>
              </w:rPr>
              <w:t>o.</w:t>
            </w:r>
            <w:r w:rsidRPr="007E3F60">
              <w:rPr>
                <w:rFonts w:cs="Arial"/>
                <w:sz w:val="16"/>
                <w:szCs w:val="16"/>
              </w:rPr>
              <w:t xml:space="preserve"> of ratifications/</w:t>
            </w:r>
            <w:r>
              <w:rPr>
                <w:rFonts w:cs="Arial"/>
                <w:sz w:val="16"/>
                <w:szCs w:val="16"/>
              </w:rPr>
              <w:t xml:space="preserve"> </w:t>
            </w:r>
            <w:r w:rsidRPr="007E3F60">
              <w:rPr>
                <w:rFonts w:cs="Arial"/>
                <w:sz w:val="16"/>
                <w:szCs w:val="16"/>
              </w:rPr>
              <w:t>accessions to the Singapore Treaty</w:t>
            </w:r>
          </w:p>
        </w:tc>
        <w:tc>
          <w:tcPr>
            <w:tcW w:w="757" w:type="pct"/>
            <w:shd w:val="clear" w:color="auto" w:fill="FFFFFF"/>
            <w:tcMar>
              <w:top w:w="113" w:type="dxa"/>
              <w:bottom w:w="113" w:type="dxa"/>
            </w:tcMar>
          </w:tcPr>
          <w:p w:rsidR="005B2B98" w:rsidRPr="00AF5E7C" w:rsidRDefault="005B2B98" w:rsidP="00547ACE">
            <w:pPr>
              <w:jc w:val="center"/>
              <w:rPr>
                <w:rFonts w:cs="Arial"/>
                <w:sz w:val="16"/>
                <w:szCs w:val="16"/>
                <w:lang w:bidi="th-TH"/>
              </w:rPr>
            </w:pPr>
            <w:r>
              <w:rPr>
                <w:rFonts w:cs="Arial"/>
                <w:sz w:val="16"/>
                <w:szCs w:val="16"/>
                <w:lang w:bidi="th-TH"/>
              </w:rPr>
              <w:t>Program 2</w:t>
            </w:r>
          </w:p>
        </w:tc>
        <w:tc>
          <w:tcPr>
            <w:tcW w:w="454" w:type="pct"/>
            <w:shd w:val="clear" w:color="auto" w:fill="FFFFFF"/>
          </w:tcPr>
          <w:p w:rsidR="005B2B98" w:rsidRPr="00CC3F44" w:rsidRDefault="005B2B98" w:rsidP="00547ACE">
            <w:pPr>
              <w:spacing w:before="40"/>
              <w:jc w:val="center"/>
            </w:pPr>
            <w:r w:rsidRPr="00CC3F44">
              <w:rPr>
                <w:rFonts w:cs="Arial"/>
                <w:color w:val="008000"/>
                <w:sz w:val="22"/>
                <w:szCs w:val="22"/>
              </w:rPr>
              <w:sym w:font="Wingdings" w:char="F06C"/>
            </w:r>
          </w:p>
        </w:tc>
      </w:tr>
      <w:tr w:rsidR="005B2B98" w:rsidRPr="00AF5E7C" w:rsidTr="005B2B98">
        <w:trPr>
          <w:cantSplit/>
          <w:trHeight w:val="360"/>
        </w:trPr>
        <w:tc>
          <w:tcPr>
            <w:tcW w:w="1618" w:type="pct"/>
            <w:shd w:val="clear" w:color="auto" w:fill="auto"/>
            <w:tcMar>
              <w:top w:w="113" w:type="dxa"/>
              <w:bottom w:w="113" w:type="dxa"/>
            </w:tcMar>
          </w:tcPr>
          <w:p w:rsidR="005B2B98" w:rsidRPr="00AF5E7C" w:rsidRDefault="005B2B98" w:rsidP="00547ACE">
            <w:pPr>
              <w:rPr>
                <w:rFonts w:cs="Arial"/>
                <w:sz w:val="16"/>
                <w:szCs w:val="16"/>
              </w:rPr>
            </w:pPr>
          </w:p>
        </w:tc>
        <w:tc>
          <w:tcPr>
            <w:tcW w:w="2171" w:type="pct"/>
            <w:shd w:val="clear" w:color="auto" w:fill="auto"/>
            <w:tcMar>
              <w:top w:w="113" w:type="dxa"/>
              <w:bottom w:w="113" w:type="dxa"/>
            </w:tcMar>
          </w:tcPr>
          <w:p w:rsidR="005B2B98" w:rsidRPr="007E3F60" w:rsidRDefault="005B2B98" w:rsidP="00547ACE">
            <w:pPr>
              <w:rPr>
                <w:rFonts w:cs="Arial"/>
                <w:sz w:val="16"/>
                <w:szCs w:val="16"/>
              </w:rPr>
            </w:pPr>
            <w:r w:rsidRPr="003E2A85">
              <w:rPr>
                <w:rFonts w:cs="Arial"/>
                <w:sz w:val="16"/>
                <w:szCs w:val="16"/>
              </w:rPr>
              <w:t>Progress towards agreement on current issues on the SCCR agenda</w:t>
            </w:r>
          </w:p>
        </w:tc>
        <w:tc>
          <w:tcPr>
            <w:tcW w:w="757" w:type="pct"/>
            <w:shd w:val="clear" w:color="auto" w:fill="FFFFFF"/>
            <w:tcMar>
              <w:top w:w="113" w:type="dxa"/>
              <w:bottom w:w="113" w:type="dxa"/>
            </w:tcMar>
          </w:tcPr>
          <w:p w:rsidR="005B2B98" w:rsidRPr="00AF5E7C" w:rsidRDefault="005B2B98" w:rsidP="00547ACE">
            <w:pPr>
              <w:jc w:val="center"/>
              <w:rPr>
                <w:rFonts w:cs="Arial"/>
                <w:sz w:val="16"/>
                <w:szCs w:val="16"/>
                <w:lang w:bidi="th-TH"/>
              </w:rPr>
            </w:pPr>
            <w:r>
              <w:rPr>
                <w:rFonts w:cs="Arial"/>
                <w:sz w:val="16"/>
                <w:szCs w:val="16"/>
                <w:lang w:bidi="th-TH"/>
              </w:rPr>
              <w:t>Program 3</w:t>
            </w:r>
          </w:p>
        </w:tc>
        <w:tc>
          <w:tcPr>
            <w:tcW w:w="454" w:type="pct"/>
            <w:shd w:val="clear" w:color="auto" w:fill="FFFFFF"/>
          </w:tcPr>
          <w:p w:rsidR="005B2B98" w:rsidRPr="00CC3F44" w:rsidRDefault="005B2B98" w:rsidP="00547ACE">
            <w:pPr>
              <w:jc w:val="center"/>
            </w:pPr>
            <w:r w:rsidRPr="00CC3F44">
              <w:rPr>
                <w:bCs/>
                <w:color w:val="FF0000"/>
                <w:sz w:val="22"/>
                <w:szCs w:val="22"/>
              </w:rPr>
              <w:sym w:font="Wingdings" w:char="F06C"/>
            </w:r>
          </w:p>
        </w:tc>
      </w:tr>
      <w:tr w:rsidR="005B2B98" w:rsidRPr="00AF5E7C" w:rsidTr="005B2B98">
        <w:trPr>
          <w:cantSplit/>
          <w:trHeight w:val="360"/>
        </w:trPr>
        <w:tc>
          <w:tcPr>
            <w:tcW w:w="1618" w:type="pct"/>
            <w:shd w:val="clear" w:color="auto" w:fill="auto"/>
            <w:tcMar>
              <w:top w:w="113" w:type="dxa"/>
              <w:bottom w:w="113" w:type="dxa"/>
            </w:tcMar>
          </w:tcPr>
          <w:p w:rsidR="005B2B98" w:rsidRPr="00AF5E7C" w:rsidRDefault="005B2B98" w:rsidP="00547ACE">
            <w:pPr>
              <w:rPr>
                <w:rFonts w:cs="Arial"/>
                <w:sz w:val="16"/>
                <w:szCs w:val="16"/>
              </w:rPr>
            </w:pPr>
          </w:p>
        </w:tc>
        <w:tc>
          <w:tcPr>
            <w:tcW w:w="2171" w:type="pct"/>
            <w:shd w:val="clear" w:color="auto" w:fill="auto"/>
            <w:tcMar>
              <w:top w:w="113" w:type="dxa"/>
              <w:bottom w:w="113" w:type="dxa"/>
            </w:tcMar>
          </w:tcPr>
          <w:p w:rsidR="005B2B98" w:rsidRPr="007E3F60" w:rsidRDefault="005B2B98" w:rsidP="00547ACE">
            <w:pPr>
              <w:rPr>
                <w:rFonts w:cs="Arial"/>
                <w:sz w:val="16"/>
                <w:szCs w:val="16"/>
              </w:rPr>
            </w:pPr>
            <w:r>
              <w:rPr>
                <w:rFonts w:cs="Arial"/>
                <w:sz w:val="16"/>
                <w:szCs w:val="16"/>
              </w:rPr>
              <w:t xml:space="preserve">Agreement in the IGC’s negotiations on </w:t>
            </w:r>
            <w:r w:rsidRPr="0089565B">
              <w:rPr>
                <w:rFonts w:cs="Arial"/>
                <w:sz w:val="16"/>
                <w:szCs w:val="16"/>
              </w:rPr>
              <w:t>an international legal instrument(s)</w:t>
            </w:r>
            <w:r>
              <w:rPr>
                <w:rFonts w:cs="Arial"/>
                <w:sz w:val="16"/>
                <w:szCs w:val="16"/>
              </w:rPr>
              <w:t xml:space="preserve"> on TK, TCEs and GRs</w:t>
            </w:r>
          </w:p>
        </w:tc>
        <w:tc>
          <w:tcPr>
            <w:tcW w:w="757" w:type="pct"/>
            <w:shd w:val="clear" w:color="auto" w:fill="FFFFFF"/>
            <w:tcMar>
              <w:top w:w="113" w:type="dxa"/>
              <w:bottom w:w="113" w:type="dxa"/>
            </w:tcMar>
          </w:tcPr>
          <w:p w:rsidR="005B2B98" w:rsidRPr="00AF5E7C" w:rsidRDefault="005B2B98" w:rsidP="00547ACE">
            <w:pPr>
              <w:jc w:val="center"/>
              <w:rPr>
                <w:rFonts w:cs="Arial"/>
                <w:sz w:val="16"/>
                <w:szCs w:val="16"/>
                <w:lang w:bidi="th-TH"/>
              </w:rPr>
            </w:pPr>
            <w:r>
              <w:rPr>
                <w:rFonts w:cs="Arial"/>
                <w:sz w:val="16"/>
                <w:szCs w:val="16"/>
                <w:lang w:bidi="th-TH"/>
              </w:rPr>
              <w:t>Program 4</w:t>
            </w:r>
          </w:p>
        </w:tc>
        <w:tc>
          <w:tcPr>
            <w:tcW w:w="454" w:type="pct"/>
            <w:shd w:val="clear" w:color="auto" w:fill="FFFFFF"/>
          </w:tcPr>
          <w:p w:rsidR="005B2B98" w:rsidRPr="00CC3F44" w:rsidRDefault="005B2B98" w:rsidP="00547ACE">
            <w:pPr>
              <w:jc w:val="center"/>
            </w:pPr>
            <w:r w:rsidRPr="00CC3F44">
              <w:rPr>
                <w:rFonts w:cs="Arial"/>
                <w:color w:val="FF0000"/>
                <w:sz w:val="22"/>
                <w:szCs w:val="22"/>
              </w:rPr>
              <w:sym w:font="Wingdings" w:char="F06C"/>
            </w:r>
          </w:p>
        </w:tc>
      </w:tr>
      <w:tr w:rsidR="005B2B98" w:rsidRPr="00AF5E7C" w:rsidTr="005B2B98">
        <w:trPr>
          <w:cantSplit/>
          <w:trHeight w:val="360"/>
        </w:trPr>
        <w:tc>
          <w:tcPr>
            <w:tcW w:w="1618" w:type="pct"/>
            <w:shd w:val="clear" w:color="auto" w:fill="auto"/>
            <w:tcMar>
              <w:top w:w="113" w:type="dxa"/>
              <w:bottom w:w="113" w:type="dxa"/>
            </w:tcMar>
          </w:tcPr>
          <w:p w:rsidR="005B2B98" w:rsidRPr="00A27611" w:rsidRDefault="005B2B98" w:rsidP="00547ACE">
            <w:pPr>
              <w:rPr>
                <w:rFonts w:cs="Arial"/>
                <w:sz w:val="16"/>
                <w:szCs w:val="16"/>
              </w:rPr>
            </w:pPr>
            <w:r w:rsidRPr="00A27611">
              <w:rPr>
                <w:rFonts w:cs="Arial"/>
                <w:sz w:val="16"/>
                <w:szCs w:val="16"/>
              </w:rPr>
              <w:t>I.2</w:t>
            </w:r>
            <w:r>
              <w:rPr>
                <w:rFonts w:cs="Arial"/>
                <w:sz w:val="16"/>
                <w:szCs w:val="16"/>
              </w:rPr>
              <w:t xml:space="preserve">  </w:t>
            </w:r>
            <w:r w:rsidRPr="00A27611">
              <w:rPr>
                <w:rFonts w:cs="Arial"/>
                <w:sz w:val="16"/>
                <w:szCs w:val="16"/>
              </w:rPr>
              <w:t>Tailored and balanced IP legislative, regulatory and policy frameworks</w:t>
            </w:r>
          </w:p>
        </w:tc>
        <w:tc>
          <w:tcPr>
            <w:tcW w:w="2171" w:type="pct"/>
            <w:shd w:val="clear" w:color="auto" w:fill="auto"/>
            <w:tcMar>
              <w:top w:w="113" w:type="dxa"/>
              <w:bottom w:w="113" w:type="dxa"/>
            </w:tcMar>
          </w:tcPr>
          <w:p w:rsidR="005B2B98" w:rsidRPr="00A27611" w:rsidRDefault="005B2B98" w:rsidP="00547ACE">
            <w:pPr>
              <w:rPr>
                <w:rFonts w:cs="Arial"/>
                <w:sz w:val="16"/>
                <w:szCs w:val="16"/>
              </w:rPr>
            </w:pPr>
            <w:r w:rsidRPr="00A27611">
              <w:rPr>
                <w:rFonts w:cs="Arial"/>
                <w:sz w:val="16"/>
                <w:szCs w:val="16"/>
              </w:rPr>
              <w:t>N</w:t>
            </w:r>
            <w:r>
              <w:rPr>
                <w:rFonts w:cs="Arial"/>
                <w:sz w:val="16"/>
                <w:szCs w:val="16"/>
              </w:rPr>
              <w:t>o.</w:t>
            </w:r>
            <w:r w:rsidRPr="00A27611">
              <w:rPr>
                <w:rFonts w:cs="Arial"/>
                <w:sz w:val="16"/>
                <w:szCs w:val="16"/>
              </w:rPr>
              <w:t xml:space="preserve"> and % of Member States which found the provided information concerning the legal principles and practices of the patent system, including the flexibilities existing in the system and the challenges it faces, useful</w:t>
            </w:r>
          </w:p>
        </w:tc>
        <w:tc>
          <w:tcPr>
            <w:tcW w:w="757" w:type="pct"/>
            <w:shd w:val="clear" w:color="auto" w:fill="FFFFFF"/>
            <w:tcMar>
              <w:top w:w="113" w:type="dxa"/>
              <w:bottom w:w="113" w:type="dxa"/>
            </w:tcMar>
          </w:tcPr>
          <w:p w:rsidR="005B2B98" w:rsidRPr="00AF5E7C" w:rsidRDefault="005B2B98" w:rsidP="00547ACE">
            <w:pPr>
              <w:jc w:val="center"/>
              <w:rPr>
                <w:rFonts w:cs="Arial"/>
                <w:sz w:val="16"/>
                <w:szCs w:val="16"/>
                <w:lang w:bidi="th-TH"/>
              </w:rPr>
            </w:pPr>
            <w:r>
              <w:rPr>
                <w:rFonts w:cs="Arial"/>
                <w:sz w:val="16"/>
                <w:szCs w:val="16"/>
                <w:lang w:bidi="th-TH"/>
              </w:rPr>
              <w:t>Program 1</w:t>
            </w:r>
          </w:p>
        </w:tc>
        <w:tc>
          <w:tcPr>
            <w:tcW w:w="454" w:type="pct"/>
            <w:shd w:val="clear" w:color="auto" w:fill="FFFFFF"/>
          </w:tcPr>
          <w:p w:rsidR="005B2B98" w:rsidRPr="00CC3F44" w:rsidRDefault="005B2B98" w:rsidP="00547ACE">
            <w:pPr>
              <w:spacing w:before="40"/>
              <w:jc w:val="center"/>
            </w:pPr>
            <w:r w:rsidRPr="00CC3F44">
              <w:rPr>
                <w:rFonts w:cs="Arial"/>
                <w:color w:val="008000"/>
                <w:sz w:val="22"/>
                <w:szCs w:val="22"/>
              </w:rPr>
              <w:sym w:font="Wingdings" w:char="F06C"/>
            </w:r>
          </w:p>
        </w:tc>
      </w:tr>
      <w:tr w:rsidR="005B2B98" w:rsidRPr="00AF5E7C" w:rsidTr="005B2B98">
        <w:trPr>
          <w:cantSplit/>
          <w:trHeight w:val="360"/>
        </w:trPr>
        <w:tc>
          <w:tcPr>
            <w:tcW w:w="1618" w:type="pct"/>
            <w:vMerge w:val="restart"/>
            <w:shd w:val="clear" w:color="auto" w:fill="auto"/>
            <w:tcMar>
              <w:top w:w="113" w:type="dxa"/>
              <w:bottom w:w="113" w:type="dxa"/>
            </w:tcMar>
          </w:tcPr>
          <w:p w:rsidR="005B2B98" w:rsidRPr="00AF5E7C" w:rsidRDefault="005B2B98" w:rsidP="00547ACE">
            <w:pPr>
              <w:keepNext/>
              <w:rPr>
                <w:rFonts w:cs="Arial"/>
                <w:sz w:val="16"/>
                <w:szCs w:val="16"/>
              </w:rPr>
            </w:pPr>
          </w:p>
        </w:tc>
        <w:tc>
          <w:tcPr>
            <w:tcW w:w="2171" w:type="pct"/>
            <w:vMerge w:val="restart"/>
            <w:shd w:val="clear" w:color="auto" w:fill="auto"/>
            <w:tcMar>
              <w:top w:w="113" w:type="dxa"/>
              <w:bottom w:w="113" w:type="dxa"/>
            </w:tcMar>
          </w:tcPr>
          <w:p w:rsidR="005B2B98" w:rsidRPr="00A27611" w:rsidRDefault="005B2B98" w:rsidP="00547ACE">
            <w:pPr>
              <w:keepNext/>
              <w:rPr>
                <w:rFonts w:cs="Arial"/>
                <w:sz w:val="16"/>
                <w:szCs w:val="16"/>
              </w:rPr>
            </w:pPr>
            <w:r w:rsidRPr="00A27611">
              <w:rPr>
                <w:rFonts w:cs="Arial"/>
                <w:sz w:val="16"/>
                <w:szCs w:val="16"/>
              </w:rPr>
              <w:t>No</w:t>
            </w:r>
            <w:r>
              <w:rPr>
                <w:rFonts w:cs="Arial"/>
                <w:sz w:val="16"/>
                <w:szCs w:val="16"/>
              </w:rPr>
              <w:t>.</w:t>
            </w:r>
            <w:r w:rsidRPr="00A27611">
              <w:rPr>
                <w:rFonts w:cs="Arial"/>
                <w:sz w:val="16"/>
                <w:szCs w:val="16"/>
              </w:rPr>
              <w:t xml:space="preserve"> and % of Member States which were satisfied with the quality of legal advice related to patents, utility models, trade secrets and integrated circuits</w:t>
            </w:r>
          </w:p>
        </w:tc>
        <w:tc>
          <w:tcPr>
            <w:tcW w:w="757" w:type="pct"/>
            <w:shd w:val="clear" w:color="auto" w:fill="FFFFFF"/>
            <w:tcMar>
              <w:top w:w="113" w:type="dxa"/>
              <w:bottom w:w="113" w:type="dxa"/>
            </w:tcMar>
          </w:tcPr>
          <w:p w:rsidR="005B2B98" w:rsidRPr="00AF5E7C" w:rsidRDefault="005B2B98" w:rsidP="00547ACE">
            <w:pPr>
              <w:keepNext/>
              <w:jc w:val="center"/>
              <w:rPr>
                <w:rFonts w:cs="Arial"/>
                <w:sz w:val="16"/>
                <w:szCs w:val="16"/>
                <w:lang w:bidi="th-TH"/>
              </w:rPr>
            </w:pPr>
            <w:r>
              <w:rPr>
                <w:rFonts w:cs="Arial"/>
                <w:sz w:val="16"/>
                <w:szCs w:val="16"/>
                <w:lang w:bidi="th-TH"/>
              </w:rPr>
              <w:t>Program 1</w:t>
            </w:r>
          </w:p>
        </w:tc>
        <w:tc>
          <w:tcPr>
            <w:tcW w:w="454" w:type="pct"/>
            <w:shd w:val="clear" w:color="auto" w:fill="FFFFFF"/>
          </w:tcPr>
          <w:p w:rsidR="005B2B98" w:rsidRPr="00CC3F44" w:rsidRDefault="005B2B98" w:rsidP="00547ACE">
            <w:pPr>
              <w:keepNext/>
              <w:spacing w:before="40"/>
              <w:jc w:val="center"/>
              <w:rPr>
                <w:rFonts w:cs="Arial"/>
                <w:color w:val="008000"/>
                <w:sz w:val="22"/>
                <w:szCs w:val="22"/>
              </w:rPr>
            </w:pPr>
            <w:r w:rsidRPr="00CC3F44">
              <w:rPr>
                <w:rFonts w:cs="Arial"/>
                <w:color w:val="008000"/>
                <w:sz w:val="22"/>
                <w:szCs w:val="22"/>
              </w:rPr>
              <w:sym w:font="Wingdings" w:char="F06C"/>
            </w:r>
          </w:p>
        </w:tc>
      </w:tr>
      <w:tr w:rsidR="005B2B98" w:rsidRPr="00AF5E7C" w:rsidTr="005B2B98">
        <w:trPr>
          <w:cantSplit/>
          <w:trHeight w:val="360"/>
        </w:trPr>
        <w:tc>
          <w:tcPr>
            <w:tcW w:w="1618" w:type="pct"/>
            <w:vMerge/>
            <w:shd w:val="clear" w:color="auto" w:fill="auto"/>
            <w:tcMar>
              <w:top w:w="113" w:type="dxa"/>
              <w:bottom w:w="113" w:type="dxa"/>
            </w:tcMar>
          </w:tcPr>
          <w:p w:rsidR="005B2B98" w:rsidRPr="00AF5E7C" w:rsidRDefault="005B2B98" w:rsidP="00547ACE">
            <w:pPr>
              <w:rPr>
                <w:rFonts w:cs="Arial"/>
                <w:sz w:val="16"/>
                <w:szCs w:val="16"/>
              </w:rPr>
            </w:pPr>
          </w:p>
        </w:tc>
        <w:tc>
          <w:tcPr>
            <w:tcW w:w="2171" w:type="pct"/>
            <w:vMerge/>
            <w:shd w:val="clear" w:color="auto" w:fill="auto"/>
            <w:tcMar>
              <w:top w:w="113" w:type="dxa"/>
              <w:bottom w:w="113" w:type="dxa"/>
            </w:tcMar>
          </w:tcPr>
          <w:p w:rsidR="005B2B98" w:rsidRPr="00A27611" w:rsidRDefault="005B2B98" w:rsidP="00547ACE">
            <w:pPr>
              <w:rPr>
                <w:rFonts w:cs="Arial"/>
                <w:sz w:val="16"/>
                <w:szCs w:val="16"/>
              </w:rPr>
            </w:pPr>
          </w:p>
        </w:tc>
        <w:tc>
          <w:tcPr>
            <w:tcW w:w="757" w:type="pct"/>
            <w:shd w:val="clear" w:color="auto" w:fill="FFFFFF"/>
            <w:tcMar>
              <w:top w:w="113" w:type="dxa"/>
              <w:bottom w:w="113" w:type="dxa"/>
            </w:tcMar>
          </w:tcPr>
          <w:p w:rsidR="005B2B98" w:rsidRDefault="005B2B98" w:rsidP="00547ACE">
            <w:pPr>
              <w:jc w:val="center"/>
              <w:rPr>
                <w:rFonts w:cs="Arial"/>
                <w:sz w:val="16"/>
                <w:szCs w:val="16"/>
                <w:lang w:bidi="th-TH"/>
              </w:rPr>
            </w:pPr>
            <w:r>
              <w:rPr>
                <w:rFonts w:cs="Arial"/>
                <w:sz w:val="16"/>
                <w:szCs w:val="16"/>
                <w:lang w:bidi="th-TH"/>
              </w:rPr>
              <w:t>Program 9</w:t>
            </w:r>
          </w:p>
        </w:tc>
        <w:tc>
          <w:tcPr>
            <w:tcW w:w="454" w:type="pct"/>
            <w:shd w:val="clear" w:color="auto" w:fill="FFFFFF"/>
          </w:tcPr>
          <w:p w:rsidR="005B2B98" w:rsidRPr="00CC3F44" w:rsidRDefault="005B2B98" w:rsidP="00547ACE">
            <w:pPr>
              <w:spacing w:before="40"/>
              <w:jc w:val="center"/>
              <w:rPr>
                <w:rFonts w:cs="Arial"/>
                <w:color w:val="008000"/>
                <w:sz w:val="22"/>
                <w:szCs w:val="22"/>
              </w:rPr>
            </w:pPr>
            <w:r w:rsidRPr="00CC3F44">
              <w:rPr>
                <w:rFonts w:cs="Arial"/>
                <w:color w:val="008000"/>
                <w:sz w:val="22"/>
                <w:szCs w:val="22"/>
              </w:rPr>
              <w:sym w:font="Wingdings" w:char="F06C"/>
            </w:r>
          </w:p>
        </w:tc>
      </w:tr>
      <w:tr w:rsidR="005B2B98" w:rsidRPr="00AF5E7C" w:rsidTr="005B2B98">
        <w:trPr>
          <w:cantSplit/>
          <w:trHeight w:val="360"/>
        </w:trPr>
        <w:tc>
          <w:tcPr>
            <w:tcW w:w="1618" w:type="pct"/>
            <w:shd w:val="clear" w:color="auto" w:fill="auto"/>
            <w:tcMar>
              <w:top w:w="113" w:type="dxa"/>
              <w:bottom w:w="113" w:type="dxa"/>
            </w:tcMar>
          </w:tcPr>
          <w:p w:rsidR="005B2B98" w:rsidRPr="00AF5E7C" w:rsidRDefault="005B2B98" w:rsidP="00547ACE">
            <w:pPr>
              <w:rPr>
                <w:rFonts w:cs="Arial"/>
                <w:sz w:val="16"/>
                <w:szCs w:val="16"/>
              </w:rPr>
            </w:pPr>
          </w:p>
        </w:tc>
        <w:tc>
          <w:tcPr>
            <w:tcW w:w="2171" w:type="pct"/>
            <w:shd w:val="clear" w:color="auto" w:fill="auto"/>
            <w:tcMar>
              <w:top w:w="113" w:type="dxa"/>
              <w:bottom w:w="113" w:type="dxa"/>
            </w:tcMar>
          </w:tcPr>
          <w:p w:rsidR="005B2B98" w:rsidRPr="00A27611" w:rsidRDefault="005B2B98" w:rsidP="00547ACE">
            <w:pPr>
              <w:rPr>
                <w:rFonts w:cs="Arial"/>
                <w:sz w:val="16"/>
                <w:szCs w:val="16"/>
              </w:rPr>
            </w:pPr>
            <w:r>
              <w:rPr>
                <w:rFonts w:cs="Arial"/>
                <w:sz w:val="16"/>
                <w:szCs w:val="16"/>
              </w:rPr>
              <w:t>Subject to approval by Member States, p</w:t>
            </w:r>
            <w:r w:rsidRPr="00A27611">
              <w:rPr>
                <w:rFonts w:cs="Arial"/>
                <w:sz w:val="16"/>
                <w:szCs w:val="16"/>
              </w:rPr>
              <w:t>rogress on the revision of the Patent Model Law for developing countries and LDCs</w:t>
            </w:r>
          </w:p>
        </w:tc>
        <w:tc>
          <w:tcPr>
            <w:tcW w:w="757" w:type="pct"/>
            <w:shd w:val="clear" w:color="auto" w:fill="FFFFFF"/>
            <w:tcMar>
              <w:top w:w="113" w:type="dxa"/>
              <w:bottom w:w="113" w:type="dxa"/>
            </w:tcMar>
          </w:tcPr>
          <w:p w:rsidR="005B2B98" w:rsidRPr="00AF5E7C" w:rsidRDefault="005B2B98" w:rsidP="00547ACE">
            <w:pPr>
              <w:jc w:val="center"/>
              <w:rPr>
                <w:rFonts w:cs="Arial"/>
                <w:sz w:val="16"/>
                <w:szCs w:val="16"/>
                <w:lang w:bidi="th-TH"/>
              </w:rPr>
            </w:pPr>
            <w:r>
              <w:rPr>
                <w:rFonts w:cs="Arial"/>
                <w:sz w:val="16"/>
                <w:szCs w:val="16"/>
                <w:lang w:bidi="th-TH"/>
              </w:rPr>
              <w:t>Program 1</w:t>
            </w:r>
          </w:p>
        </w:tc>
        <w:tc>
          <w:tcPr>
            <w:tcW w:w="454" w:type="pct"/>
            <w:shd w:val="clear" w:color="auto" w:fill="FFFFFF"/>
          </w:tcPr>
          <w:p w:rsidR="005B2B98" w:rsidRPr="00CC3F44" w:rsidRDefault="005B2B98" w:rsidP="00547ACE">
            <w:pPr>
              <w:jc w:val="center"/>
              <w:rPr>
                <w:sz w:val="22"/>
                <w:szCs w:val="22"/>
              </w:rPr>
            </w:pPr>
            <w:r w:rsidRPr="00CC3F44">
              <w:rPr>
                <w:bCs/>
                <w:color w:val="FF0000"/>
                <w:sz w:val="22"/>
                <w:szCs w:val="22"/>
              </w:rPr>
              <w:sym w:font="Wingdings" w:char="F06C"/>
            </w:r>
          </w:p>
        </w:tc>
      </w:tr>
      <w:tr w:rsidR="005B2B98" w:rsidRPr="00AF5E7C" w:rsidTr="005B2B98">
        <w:trPr>
          <w:cantSplit/>
          <w:trHeight w:val="360"/>
        </w:trPr>
        <w:tc>
          <w:tcPr>
            <w:tcW w:w="1618" w:type="pct"/>
            <w:vMerge w:val="restart"/>
            <w:shd w:val="clear" w:color="auto" w:fill="auto"/>
            <w:tcMar>
              <w:top w:w="113" w:type="dxa"/>
              <w:bottom w:w="113" w:type="dxa"/>
            </w:tcMar>
          </w:tcPr>
          <w:p w:rsidR="005B2B98" w:rsidRPr="00AF5E7C" w:rsidRDefault="005B2B98" w:rsidP="00547ACE">
            <w:pPr>
              <w:rPr>
                <w:rFonts w:cs="Arial"/>
                <w:sz w:val="16"/>
                <w:szCs w:val="16"/>
              </w:rPr>
            </w:pPr>
          </w:p>
        </w:tc>
        <w:tc>
          <w:tcPr>
            <w:tcW w:w="2171" w:type="pct"/>
            <w:vMerge w:val="restart"/>
            <w:shd w:val="clear" w:color="auto" w:fill="auto"/>
            <w:tcMar>
              <w:top w:w="113" w:type="dxa"/>
              <w:bottom w:w="113" w:type="dxa"/>
            </w:tcMar>
          </w:tcPr>
          <w:p w:rsidR="005B2B98" w:rsidRPr="00A27611" w:rsidRDefault="005B2B98" w:rsidP="00547ACE">
            <w:pPr>
              <w:rPr>
                <w:rFonts w:cs="Arial"/>
                <w:sz w:val="16"/>
                <w:szCs w:val="16"/>
              </w:rPr>
            </w:pPr>
            <w:r w:rsidRPr="007E3F60">
              <w:rPr>
                <w:rFonts w:cs="Arial"/>
                <w:sz w:val="16"/>
                <w:szCs w:val="16"/>
              </w:rPr>
              <w:t>N</w:t>
            </w:r>
            <w:r>
              <w:rPr>
                <w:rFonts w:cs="Arial"/>
                <w:sz w:val="16"/>
                <w:szCs w:val="16"/>
              </w:rPr>
              <w:t>o.</w:t>
            </w:r>
            <w:r w:rsidRPr="007E3F60">
              <w:rPr>
                <w:rFonts w:cs="Arial"/>
                <w:sz w:val="16"/>
                <w:szCs w:val="16"/>
              </w:rPr>
              <w:t xml:space="preserve"> and </w:t>
            </w:r>
            <w:r>
              <w:rPr>
                <w:rFonts w:cs="Arial"/>
                <w:sz w:val="16"/>
                <w:szCs w:val="16"/>
              </w:rPr>
              <w:t>%</w:t>
            </w:r>
            <w:r w:rsidRPr="007E3F60">
              <w:rPr>
                <w:rFonts w:cs="Arial"/>
                <w:sz w:val="16"/>
                <w:szCs w:val="16"/>
              </w:rPr>
              <w:t xml:space="preserve"> of Member States/regional organizations providing positive feedback on the legislative advice offered in the area of trademarks, industrial designs and geographical indications</w:t>
            </w:r>
          </w:p>
        </w:tc>
        <w:tc>
          <w:tcPr>
            <w:tcW w:w="757" w:type="pct"/>
            <w:shd w:val="clear" w:color="auto" w:fill="FFFFFF"/>
            <w:tcMar>
              <w:top w:w="113" w:type="dxa"/>
              <w:bottom w:w="113" w:type="dxa"/>
            </w:tcMar>
          </w:tcPr>
          <w:p w:rsidR="005B2B98" w:rsidRPr="00AF5E7C" w:rsidRDefault="005B2B98" w:rsidP="00547ACE">
            <w:pPr>
              <w:jc w:val="center"/>
              <w:rPr>
                <w:rFonts w:cs="Arial"/>
                <w:sz w:val="16"/>
                <w:szCs w:val="16"/>
                <w:lang w:bidi="th-TH"/>
              </w:rPr>
            </w:pPr>
            <w:r>
              <w:rPr>
                <w:rFonts w:cs="Arial"/>
                <w:sz w:val="16"/>
                <w:szCs w:val="16"/>
                <w:lang w:bidi="th-TH"/>
              </w:rPr>
              <w:t>Program 2</w:t>
            </w:r>
          </w:p>
        </w:tc>
        <w:tc>
          <w:tcPr>
            <w:tcW w:w="454" w:type="pct"/>
            <w:shd w:val="clear" w:color="auto" w:fill="FFFFFF"/>
          </w:tcPr>
          <w:p w:rsidR="005B2B98" w:rsidRPr="00CC3F44" w:rsidRDefault="005B2B98" w:rsidP="00547ACE">
            <w:pPr>
              <w:spacing w:before="40"/>
              <w:jc w:val="center"/>
              <w:rPr>
                <w:rFonts w:cs="Arial"/>
                <w:color w:val="008000"/>
                <w:sz w:val="22"/>
                <w:szCs w:val="22"/>
              </w:rPr>
            </w:pPr>
            <w:r w:rsidRPr="00CC3F44">
              <w:rPr>
                <w:rFonts w:cs="Arial"/>
                <w:color w:val="008000"/>
                <w:sz w:val="22"/>
                <w:szCs w:val="22"/>
              </w:rPr>
              <w:sym w:font="Wingdings" w:char="F06C"/>
            </w:r>
            <w:r w:rsidRPr="00CC3F44">
              <w:rPr>
                <w:rFonts w:cs="Arial"/>
                <w:color w:val="008000"/>
                <w:sz w:val="22"/>
                <w:szCs w:val="22"/>
              </w:rPr>
              <w:sym w:font="Wingdings" w:char="F06C"/>
            </w:r>
          </w:p>
        </w:tc>
      </w:tr>
      <w:tr w:rsidR="005B2B98" w:rsidRPr="00AF5E7C" w:rsidTr="005B2B98">
        <w:trPr>
          <w:cantSplit/>
          <w:trHeight w:val="360"/>
        </w:trPr>
        <w:tc>
          <w:tcPr>
            <w:tcW w:w="1618" w:type="pct"/>
            <w:vMerge/>
            <w:shd w:val="clear" w:color="auto" w:fill="auto"/>
            <w:tcMar>
              <w:top w:w="113" w:type="dxa"/>
              <w:bottom w:w="113" w:type="dxa"/>
            </w:tcMar>
          </w:tcPr>
          <w:p w:rsidR="005B2B98" w:rsidRPr="00AF5E7C" w:rsidRDefault="005B2B98" w:rsidP="00547ACE">
            <w:pPr>
              <w:rPr>
                <w:rFonts w:cs="Arial"/>
                <w:sz w:val="16"/>
                <w:szCs w:val="16"/>
              </w:rPr>
            </w:pPr>
          </w:p>
        </w:tc>
        <w:tc>
          <w:tcPr>
            <w:tcW w:w="2171" w:type="pct"/>
            <w:vMerge/>
            <w:shd w:val="clear" w:color="auto" w:fill="auto"/>
            <w:tcMar>
              <w:top w:w="113" w:type="dxa"/>
              <w:bottom w:w="113" w:type="dxa"/>
            </w:tcMar>
          </w:tcPr>
          <w:p w:rsidR="005B2B98" w:rsidRPr="007E3F60" w:rsidRDefault="005B2B98" w:rsidP="00547ACE">
            <w:pPr>
              <w:rPr>
                <w:rFonts w:cs="Arial"/>
                <w:sz w:val="16"/>
                <w:szCs w:val="16"/>
              </w:rPr>
            </w:pPr>
          </w:p>
        </w:tc>
        <w:tc>
          <w:tcPr>
            <w:tcW w:w="757" w:type="pct"/>
            <w:shd w:val="clear" w:color="auto" w:fill="FFFFFF"/>
            <w:tcMar>
              <w:top w:w="113" w:type="dxa"/>
              <w:bottom w:w="113" w:type="dxa"/>
            </w:tcMar>
          </w:tcPr>
          <w:p w:rsidR="005B2B98" w:rsidRDefault="005B2B98" w:rsidP="00547ACE">
            <w:pPr>
              <w:jc w:val="center"/>
              <w:rPr>
                <w:rFonts w:cs="Arial"/>
                <w:sz w:val="16"/>
                <w:szCs w:val="16"/>
                <w:lang w:bidi="th-TH"/>
              </w:rPr>
            </w:pPr>
            <w:r>
              <w:rPr>
                <w:rFonts w:cs="Arial"/>
                <w:sz w:val="16"/>
                <w:szCs w:val="16"/>
                <w:lang w:bidi="th-TH"/>
              </w:rPr>
              <w:t>Program 9</w:t>
            </w:r>
          </w:p>
        </w:tc>
        <w:tc>
          <w:tcPr>
            <w:tcW w:w="454" w:type="pct"/>
            <w:shd w:val="clear" w:color="auto" w:fill="FFFFFF"/>
          </w:tcPr>
          <w:p w:rsidR="005B2B98" w:rsidRPr="00CC3F44" w:rsidRDefault="005B2B98" w:rsidP="00547ACE">
            <w:pPr>
              <w:spacing w:before="40"/>
              <w:jc w:val="center"/>
              <w:rPr>
                <w:rFonts w:cs="Arial"/>
                <w:color w:val="008000"/>
                <w:sz w:val="22"/>
                <w:szCs w:val="22"/>
              </w:rPr>
            </w:pPr>
            <w:r w:rsidRPr="00CC3F44">
              <w:rPr>
                <w:rFonts w:cs="Arial"/>
                <w:color w:val="008000"/>
                <w:sz w:val="22"/>
                <w:szCs w:val="22"/>
              </w:rPr>
              <w:sym w:font="Wingdings" w:char="F06C"/>
            </w:r>
          </w:p>
        </w:tc>
      </w:tr>
      <w:tr w:rsidR="005B2B98" w:rsidRPr="00AF5E7C" w:rsidTr="005B2B98">
        <w:trPr>
          <w:cantSplit/>
          <w:trHeight w:val="360"/>
        </w:trPr>
        <w:tc>
          <w:tcPr>
            <w:tcW w:w="1618" w:type="pct"/>
            <w:shd w:val="clear" w:color="auto" w:fill="auto"/>
            <w:tcMar>
              <w:top w:w="113" w:type="dxa"/>
              <w:bottom w:w="113" w:type="dxa"/>
            </w:tcMar>
          </w:tcPr>
          <w:p w:rsidR="005B2B98" w:rsidRPr="00AF5E7C" w:rsidRDefault="005B2B98" w:rsidP="00547ACE">
            <w:pPr>
              <w:rPr>
                <w:rFonts w:cs="Arial"/>
                <w:sz w:val="16"/>
                <w:szCs w:val="16"/>
              </w:rPr>
            </w:pPr>
          </w:p>
        </w:tc>
        <w:tc>
          <w:tcPr>
            <w:tcW w:w="2171" w:type="pct"/>
            <w:shd w:val="clear" w:color="auto" w:fill="auto"/>
            <w:tcMar>
              <w:top w:w="113" w:type="dxa"/>
              <w:bottom w:w="113" w:type="dxa"/>
            </w:tcMar>
          </w:tcPr>
          <w:p w:rsidR="005B2B98" w:rsidRPr="003E2A85" w:rsidRDefault="005B2B98" w:rsidP="00547ACE">
            <w:pPr>
              <w:rPr>
                <w:rFonts w:cs="Arial"/>
                <w:sz w:val="16"/>
                <w:szCs w:val="16"/>
              </w:rPr>
            </w:pPr>
            <w:r w:rsidRPr="003E2A85">
              <w:rPr>
                <w:rFonts w:cs="Arial"/>
                <w:sz w:val="16"/>
                <w:szCs w:val="16"/>
              </w:rPr>
              <w:t>No. of countries that have ratified the Beijing Treaty</w:t>
            </w:r>
          </w:p>
        </w:tc>
        <w:tc>
          <w:tcPr>
            <w:tcW w:w="757" w:type="pct"/>
            <w:shd w:val="clear" w:color="auto" w:fill="FFFFFF"/>
            <w:tcMar>
              <w:top w:w="113" w:type="dxa"/>
              <w:bottom w:w="113" w:type="dxa"/>
            </w:tcMar>
          </w:tcPr>
          <w:p w:rsidR="005B2B98" w:rsidRDefault="005B2B98" w:rsidP="00547ACE">
            <w:pPr>
              <w:jc w:val="center"/>
              <w:rPr>
                <w:rFonts w:cs="Arial"/>
                <w:sz w:val="16"/>
                <w:szCs w:val="16"/>
                <w:lang w:bidi="th-TH"/>
              </w:rPr>
            </w:pPr>
            <w:r>
              <w:rPr>
                <w:rFonts w:cs="Arial"/>
                <w:sz w:val="16"/>
                <w:szCs w:val="16"/>
                <w:lang w:bidi="th-TH"/>
              </w:rPr>
              <w:t>Program 3</w:t>
            </w:r>
          </w:p>
          <w:p w:rsidR="005B2B98" w:rsidRPr="00AF5E7C" w:rsidRDefault="005B2B98" w:rsidP="00547ACE">
            <w:pPr>
              <w:jc w:val="center"/>
              <w:rPr>
                <w:rFonts w:cs="Arial"/>
                <w:sz w:val="16"/>
                <w:szCs w:val="16"/>
                <w:lang w:bidi="th-TH"/>
              </w:rPr>
            </w:pPr>
          </w:p>
        </w:tc>
        <w:tc>
          <w:tcPr>
            <w:tcW w:w="454" w:type="pct"/>
            <w:shd w:val="clear" w:color="auto" w:fill="FFFFFF"/>
          </w:tcPr>
          <w:p w:rsidR="005B2B98" w:rsidRPr="00CC3F44" w:rsidRDefault="005B2B98" w:rsidP="00547ACE">
            <w:pPr>
              <w:jc w:val="center"/>
              <w:rPr>
                <w:color w:val="E26B0A"/>
              </w:rPr>
            </w:pPr>
            <w:r w:rsidRPr="00CC3F44">
              <w:rPr>
                <w:bCs/>
                <w:color w:val="FF0000"/>
                <w:sz w:val="22"/>
                <w:szCs w:val="22"/>
              </w:rPr>
              <w:sym w:font="Wingdings" w:char="F06C"/>
            </w:r>
          </w:p>
        </w:tc>
      </w:tr>
      <w:tr w:rsidR="005B2B98" w:rsidRPr="00AF5E7C" w:rsidTr="005B2B98">
        <w:trPr>
          <w:cantSplit/>
          <w:trHeight w:val="360"/>
        </w:trPr>
        <w:tc>
          <w:tcPr>
            <w:tcW w:w="1618" w:type="pct"/>
            <w:vMerge w:val="restart"/>
            <w:shd w:val="clear" w:color="auto" w:fill="auto"/>
            <w:tcMar>
              <w:top w:w="113" w:type="dxa"/>
              <w:bottom w:w="113" w:type="dxa"/>
            </w:tcMar>
          </w:tcPr>
          <w:p w:rsidR="005B2B98" w:rsidRPr="00AF5E7C" w:rsidRDefault="005B2B98" w:rsidP="00547ACE">
            <w:pPr>
              <w:rPr>
                <w:rFonts w:cs="Arial"/>
                <w:sz w:val="16"/>
                <w:szCs w:val="16"/>
              </w:rPr>
            </w:pPr>
          </w:p>
        </w:tc>
        <w:tc>
          <w:tcPr>
            <w:tcW w:w="2171" w:type="pct"/>
            <w:vMerge w:val="restart"/>
            <w:shd w:val="clear" w:color="auto" w:fill="auto"/>
            <w:tcMar>
              <w:top w:w="113" w:type="dxa"/>
              <w:bottom w:w="113" w:type="dxa"/>
            </w:tcMar>
          </w:tcPr>
          <w:p w:rsidR="005B2B98" w:rsidRPr="001C4104" w:rsidRDefault="005B2B98" w:rsidP="00547ACE">
            <w:pPr>
              <w:rPr>
                <w:rFonts w:cs="Arial"/>
                <w:sz w:val="16"/>
                <w:szCs w:val="16"/>
              </w:rPr>
            </w:pPr>
            <w:r w:rsidRPr="001C4104">
              <w:rPr>
                <w:rFonts w:cs="Arial"/>
                <w:sz w:val="16"/>
                <w:szCs w:val="16"/>
              </w:rPr>
              <w:t>No. and % of countries that have provided positive feedback about WIPO</w:t>
            </w:r>
            <w:r>
              <w:rPr>
                <w:rFonts w:cs="Arial"/>
                <w:sz w:val="16"/>
                <w:szCs w:val="16"/>
              </w:rPr>
              <w:t>’</w:t>
            </w:r>
            <w:r w:rsidRPr="001C4104">
              <w:rPr>
                <w:rFonts w:cs="Arial"/>
                <w:sz w:val="16"/>
                <w:szCs w:val="16"/>
              </w:rPr>
              <w:t>s legislative advice</w:t>
            </w:r>
          </w:p>
        </w:tc>
        <w:tc>
          <w:tcPr>
            <w:tcW w:w="757" w:type="pct"/>
            <w:shd w:val="clear" w:color="auto" w:fill="FFFFFF"/>
            <w:tcMar>
              <w:top w:w="113" w:type="dxa"/>
              <w:bottom w:w="113" w:type="dxa"/>
            </w:tcMar>
          </w:tcPr>
          <w:p w:rsidR="005B2B98" w:rsidRPr="00AF5E7C" w:rsidRDefault="005B2B98" w:rsidP="00547ACE">
            <w:pPr>
              <w:jc w:val="center"/>
              <w:rPr>
                <w:rFonts w:cs="Arial"/>
                <w:sz w:val="16"/>
                <w:szCs w:val="16"/>
                <w:lang w:bidi="th-TH"/>
              </w:rPr>
            </w:pPr>
            <w:r>
              <w:rPr>
                <w:rFonts w:cs="Arial"/>
                <w:sz w:val="16"/>
                <w:szCs w:val="16"/>
                <w:lang w:bidi="th-TH"/>
              </w:rPr>
              <w:t>Program 3</w:t>
            </w:r>
          </w:p>
        </w:tc>
        <w:tc>
          <w:tcPr>
            <w:tcW w:w="454" w:type="pct"/>
            <w:shd w:val="clear" w:color="auto" w:fill="FFFFFF"/>
          </w:tcPr>
          <w:p w:rsidR="005B2B98" w:rsidRPr="00CC3F44" w:rsidRDefault="005B2B98" w:rsidP="00547ACE">
            <w:pPr>
              <w:spacing w:before="40"/>
              <w:jc w:val="center"/>
              <w:rPr>
                <w:rFonts w:cs="Arial"/>
                <w:color w:val="008000"/>
                <w:sz w:val="22"/>
                <w:szCs w:val="22"/>
              </w:rPr>
            </w:pPr>
            <w:r w:rsidRPr="00CC3F44">
              <w:rPr>
                <w:rFonts w:cs="Arial"/>
                <w:color w:val="008000"/>
                <w:sz w:val="22"/>
                <w:szCs w:val="22"/>
              </w:rPr>
              <w:sym w:font="Wingdings" w:char="F06C"/>
            </w:r>
          </w:p>
        </w:tc>
      </w:tr>
      <w:tr w:rsidR="005B2B98" w:rsidRPr="00AF5E7C" w:rsidTr="005B2B98">
        <w:trPr>
          <w:cantSplit/>
          <w:trHeight w:val="360"/>
        </w:trPr>
        <w:tc>
          <w:tcPr>
            <w:tcW w:w="1618" w:type="pct"/>
            <w:vMerge/>
            <w:shd w:val="clear" w:color="auto" w:fill="auto"/>
            <w:tcMar>
              <w:top w:w="113" w:type="dxa"/>
              <w:bottom w:w="113" w:type="dxa"/>
            </w:tcMar>
          </w:tcPr>
          <w:p w:rsidR="005B2B98" w:rsidRPr="00AF5E7C" w:rsidRDefault="005B2B98" w:rsidP="00547ACE">
            <w:pPr>
              <w:rPr>
                <w:rFonts w:cs="Arial"/>
                <w:sz w:val="16"/>
                <w:szCs w:val="16"/>
              </w:rPr>
            </w:pPr>
          </w:p>
        </w:tc>
        <w:tc>
          <w:tcPr>
            <w:tcW w:w="2171" w:type="pct"/>
            <w:vMerge/>
            <w:shd w:val="clear" w:color="auto" w:fill="auto"/>
            <w:tcMar>
              <w:top w:w="113" w:type="dxa"/>
              <w:bottom w:w="113" w:type="dxa"/>
            </w:tcMar>
          </w:tcPr>
          <w:p w:rsidR="005B2B98" w:rsidRPr="001C4104" w:rsidRDefault="005B2B98" w:rsidP="00547ACE">
            <w:pPr>
              <w:jc w:val="center"/>
              <w:rPr>
                <w:rFonts w:cs="Arial"/>
                <w:sz w:val="16"/>
                <w:szCs w:val="16"/>
              </w:rPr>
            </w:pPr>
          </w:p>
        </w:tc>
        <w:tc>
          <w:tcPr>
            <w:tcW w:w="757" w:type="pct"/>
            <w:shd w:val="clear" w:color="auto" w:fill="FFFFFF"/>
            <w:tcMar>
              <w:top w:w="113" w:type="dxa"/>
              <w:bottom w:w="113" w:type="dxa"/>
            </w:tcMar>
          </w:tcPr>
          <w:p w:rsidR="005B2B98" w:rsidRDefault="005B2B98" w:rsidP="00547ACE">
            <w:pPr>
              <w:jc w:val="center"/>
              <w:rPr>
                <w:rFonts w:cs="Arial"/>
                <w:sz w:val="16"/>
                <w:szCs w:val="16"/>
                <w:lang w:bidi="th-TH"/>
              </w:rPr>
            </w:pPr>
            <w:r>
              <w:rPr>
                <w:rFonts w:cs="Arial"/>
                <w:sz w:val="16"/>
                <w:szCs w:val="16"/>
                <w:lang w:bidi="th-TH"/>
              </w:rPr>
              <w:t>Program 9</w:t>
            </w:r>
          </w:p>
        </w:tc>
        <w:tc>
          <w:tcPr>
            <w:tcW w:w="454" w:type="pct"/>
            <w:shd w:val="clear" w:color="auto" w:fill="FFFFFF"/>
          </w:tcPr>
          <w:p w:rsidR="005B2B98" w:rsidRPr="00CC3F44" w:rsidRDefault="005B2B98" w:rsidP="00547ACE">
            <w:pPr>
              <w:spacing w:before="40"/>
              <w:jc w:val="center"/>
              <w:rPr>
                <w:rFonts w:cs="Arial"/>
                <w:color w:val="008000"/>
                <w:sz w:val="22"/>
                <w:szCs w:val="22"/>
              </w:rPr>
            </w:pPr>
            <w:r w:rsidRPr="00CC3F44">
              <w:rPr>
                <w:rFonts w:cs="Arial"/>
                <w:color w:val="008000"/>
                <w:sz w:val="22"/>
                <w:szCs w:val="22"/>
              </w:rPr>
              <w:sym w:font="Wingdings" w:char="F06C"/>
            </w:r>
          </w:p>
        </w:tc>
      </w:tr>
      <w:tr w:rsidR="005B2B98" w:rsidRPr="00AF5E7C" w:rsidTr="005B2B98">
        <w:trPr>
          <w:cantSplit/>
          <w:trHeight w:val="360"/>
        </w:trPr>
        <w:tc>
          <w:tcPr>
            <w:tcW w:w="1618" w:type="pct"/>
            <w:shd w:val="clear" w:color="auto" w:fill="auto"/>
            <w:tcMar>
              <w:top w:w="113" w:type="dxa"/>
              <w:bottom w:w="113" w:type="dxa"/>
            </w:tcMar>
          </w:tcPr>
          <w:p w:rsidR="005B2B98" w:rsidRPr="00AF5E7C" w:rsidRDefault="005B2B98" w:rsidP="00547ACE">
            <w:pPr>
              <w:rPr>
                <w:rFonts w:cs="Arial"/>
                <w:sz w:val="16"/>
                <w:szCs w:val="16"/>
              </w:rPr>
            </w:pPr>
          </w:p>
        </w:tc>
        <w:tc>
          <w:tcPr>
            <w:tcW w:w="2171" w:type="pct"/>
            <w:shd w:val="clear" w:color="auto" w:fill="auto"/>
            <w:tcMar>
              <w:top w:w="113" w:type="dxa"/>
              <w:bottom w:w="113" w:type="dxa"/>
            </w:tcMar>
          </w:tcPr>
          <w:p w:rsidR="005B2B98" w:rsidRPr="001C4104" w:rsidRDefault="005B2B98" w:rsidP="00547ACE">
            <w:pPr>
              <w:rPr>
                <w:rFonts w:cs="Arial"/>
                <w:sz w:val="16"/>
                <w:szCs w:val="16"/>
              </w:rPr>
            </w:pPr>
            <w:r w:rsidRPr="001C4104">
              <w:rPr>
                <w:rFonts w:cs="Arial"/>
                <w:sz w:val="16"/>
                <w:szCs w:val="16"/>
              </w:rPr>
              <w:t>No</w:t>
            </w:r>
            <w:r>
              <w:rPr>
                <w:rFonts w:cs="Arial"/>
                <w:sz w:val="16"/>
                <w:szCs w:val="16"/>
              </w:rPr>
              <w:t>.</w:t>
            </w:r>
            <w:r w:rsidRPr="001C4104">
              <w:rPr>
                <w:rFonts w:cs="Arial"/>
                <w:sz w:val="16"/>
                <w:szCs w:val="16"/>
              </w:rPr>
              <w:t xml:space="preserve"> of ratifications to the WIPO Internet Treaties</w:t>
            </w:r>
          </w:p>
        </w:tc>
        <w:tc>
          <w:tcPr>
            <w:tcW w:w="757" w:type="pct"/>
            <w:shd w:val="clear" w:color="auto" w:fill="FFFFFF"/>
            <w:tcMar>
              <w:top w:w="113" w:type="dxa"/>
              <w:bottom w:w="113" w:type="dxa"/>
            </w:tcMar>
          </w:tcPr>
          <w:p w:rsidR="005B2B98" w:rsidRDefault="005B2B98" w:rsidP="00547ACE">
            <w:pPr>
              <w:jc w:val="center"/>
              <w:rPr>
                <w:rFonts w:cs="Arial"/>
                <w:sz w:val="16"/>
                <w:szCs w:val="16"/>
                <w:lang w:bidi="th-TH"/>
              </w:rPr>
            </w:pPr>
            <w:r>
              <w:rPr>
                <w:rFonts w:cs="Arial"/>
                <w:sz w:val="16"/>
                <w:szCs w:val="16"/>
                <w:lang w:bidi="th-TH"/>
              </w:rPr>
              <w:t>Program 3</w:t>
            </w:r>
          </w:p>
          <w:p w:rsidR="005B2B98" w:rsidRPr="00AF5E7C" w:rsidRDefault="005B2B98" w:rsidP="00547ACE">
            <w:pPr>
              <w:jc w:val="center"/>
              <w:rPr>
                <w:rFonts w:cs="Arial"/>
                <w:sz w:val="16"/>
                <w:szCs w:val="16"/>
                <w:lang w:bidi="th-TH"/>
              </w:rPr>
            </w:pPr>
          </w:p>
        </w:tc>
        <w:tc>
          <w:tcPr>
            <w:tcW w:w="454" w:type="pct"/>
            <w:shd w:val="clear" w:color="auto" w:fill="FFFFFF"/>
          </w:tcPr>
          <w:p w:rsidR="005B2B98" w:rsidRPr="00CC3F44" w:rsidRDefault="005B2B98" w:rsidP="00547ACE">
            <w:pPr>
              <w:spacing w:before="40"/>
              <w:jc w:val="center"/>
            </w:pPr>
            <w:r w:rsidRPr="00CC3F44">
              <w:rPr>
                <w:rFonts w:cs="Arial"/>
                <w:color w:val="008000"/>
                <w:sz w:val="22"/>
                <w:szCs w:val="22"/>
              </w:rPr>
              <w:sym w:font="Wingdings" w:char="F06C"/>
            </w:r>
          </w:p>
        </w:tc>
      </w:tr>
      <w:tr w:rsidR="005B2B98" w:rsidRPr="00AF5E7C" w:rsidTr="005B2B98">
        <w:trPr>
          <w:cantSplit/>
          <w:trHeight w:val="360"/>
        </w:trPr>
        <w:tc>
          <w:tcPr>
            <w:tcW w:w="1618" w:type="pct"/>
            <w:shd w:val="clear" w:color="auto" w:fill="auto"/>
            <w:tcMar>
              <w:top w:w="113" w:type="dxa"/>
              <w:bottom w:w="113" w:type="dxa"/>
            </w:tcMar>
          </w:tcPr>
          <w:p w:rsidR="005B2B98" w:rsidRPr="00AF5E7C" w:rsidRDefault="005B2B98" w:rsidP="00547ACE">
            <w:pPr>
              <w:rPr>
                <w:rFonts w:cs="Arial"/>
                <w:sz w:val="16"/>
                <w:szCs w:val="16"/>
              </w:rPr>
            </w:pPr>
          </w:p>
        </w:tc>
        <w:tc>
          <w:tcPr>
            <w:tcW w:w="2171" w:type="pct"/>
            <w:shd w:val="clear" w:color="auto" w:fill="auto"/>
            <w:tcMar>
              <w:top w:w="113" w:type="dxa"/>
              <w:bottom w:w="113" w:type="dxa"/>
            </w:tcMar>
          </w:tcPr>
          <w:p w:rsidR="005B2B98" w:rsidRPr="001C4104" w:rsidRDefault="005B2B98" w:rsidP="00547ACE">
            <w:pPr>
              <w:rPr>
                <w:rFonts w:cs="Arial"/>
                <w:sz w:val="16"/>
                <w:szCs w:val="16"/>
              </w:rPr>
            </w:pPr>
            <w:r w:rsidRPr="001C4104">
              <w:rPr>
                <w:rFonts w:cs="Arial"/>
                <w:sz w:val="16"/>
                <w:szCs w:val="16"/>
              </w:rPr>
              <w:t>No</w:t>
            </w:r>
            <w:r>
              <w:rPr>
                <w:rFonts w:cs="Arial"/>
                <w:sz w:val="16"/>
                <w:szCs w:val="16"/>
              </w:rPr>
              <w:t>.</w:t>
            </w:r>
            <w:r w:rsidRPr="001C4104">
              <w:rPr>
                <w:rFonts w:cs="Arial"/>
                <w:sz w:val="16"/>
                <w:szCs w:val="16"/>
              </w:rPr>
              <w:t xml:space="preserve"> of countries that have ratified the Marrakesh Treaty on the VIP</w:t>
            </w:r>
          </w:p>
        </w:tc>
        <w:tc>
          <w:tcPr>
            <w:tcW w:w="757" w:type="pct"/>
            <w:shd w:val="clear" w:color="auto" w:fill="FFFFFF"/>
            <w:tcMar>
              <w:top w:w="113" w:type="dxa"/>
              <w:bottom w:w="113" w:type="dxa"/>
            </w:tcMar>
          </w:tcPr>
          <w:p w:rsidR="005B2B98" w:rsidRDefault="005B2B98" w:rsidP="00547ACE">
            <w:pPr>
              <w:jc w:val="center"/>
              <w:rPr>
                <w:rFonts w:cs="Arial"/>
                <w:sz w:val="16"/>
                <w:szCs w:val="16"/>
                <w:lang w:bidi="th-TH"/>
              </w:rPr>
            </w:pPr>
            <w:r>
              <w:rPr>
                <w:rFonts w:cs="Arial"/>
                <w:sz w:val="16"/>
                <w:szCs w:val="16"/>
                <w:lang w:bidi="th-TH"/>
              </w:rPr>
              <w:t>Program 3</w:t>
            </w:r>
          </w:p>
          <w:p w:rsidR="005B2B98" w:rsidRPr="00AF5E7C" w:rsidRDefault="005B2B98" w:rsidP="00547ACE">
            <w:pPr>
              <w:jc w:val="center"/>
              <w:rPr>
                <w:rFonts w:cs="Arial"/>
                <w:sz w:val="16"/>
                <w:szCs w:val="16"/>
                <w:lang w:bidi="th-TH"/>
              </w:rPr>
            </w:pPr>
          </w:p>
        </w:tc>
        <w:tc>
          <w:tcPr>
            <w:tcW w:w="454" w:type="pct"/>
            <w:shd w:val="clear" w:color="auto" w:fill="FFFFFF"/>
          </w:tcPr>
          <w:p w:rsidR="005B2B98" w:rsidRPr="00001FF8" w:rsidRDefault="005B2B98" w:rsidP="00547ACE">
            <w:pPr>
              <w:jc w:val="center"/>
              <w:rPr>
                <w:color w:val="E26B0A"/>
              </w:rPr>
            </w:pPr>
            <w:r w:rsidRPr="00001FF8">
              <w:rPr>
                <w:rFonts w:cs="Arial"/>
                <w:color w:val="E26B0A"/>
                <w:sz w:val="22"/>
                <w:szCs w:val="22"/>
              </w:rPr>
              <w:sym w:font="Wingdings" w:char="F06C"/>
            </w:r>
          </w:p>
        </w:tc>
      </w:tr>
      <w:tr w:rsidR="005B2B98" w:rsidRPr="00AF5E7C" w:rsidTr="005B2B98">
        <w:trPr>
          <w:cantSplit/>
          <w:trHeight w:val="360"/>
        </w:trPr>
        <w:tc>
          <w:tcPr>
            <w:tcW w:w="1618" w:type="pct"/>
            <w:shd w:val="clear" w:color="auto" w:fill="auto"/>
            <w:tcMar>
              <w:top w:w="113" w:type="dxa"/>
              <w:bottom w:w="113" w:type="dxa"/>
            </w:tcMar>
          </w:tcPr>
          <w:p w:rsidR="005B2B98" w:rsidRPr="00AF5E7C" w:rsidRDefault="005B2B98" w:rsidP="00547ACE">
            <w:pPr>
              <w:rPr>
                <w:rFonts w:cs="Arial"/>
                <w:sz w:val="16"/>
                <w:szCs w:val="16"/>
              </w:rPr>
            </w:pPr>
          </w:p>
        </w:tc>
        <w:tc>
          <w:tcPr>
            <w:tcW w:w="2171" w:type="pct"/>
            <w:shd w:val="clear" w:color="auto" w:fill="auto"/>
            <w:tcMar>
              <w:top w:w="113" w:type="dxa"/>
              <w:bottom w:w="113" w:type="dxa"/>
            </w:tcMar>
          </w:tcPr>
          <w:p w:rsidR="005B2B98" w:rsidRPr="008B3B36" w:rsidRDefault="005B2B98" w:rsidP="00547ACE">
            <w:pPr>
              <w:rPr>
                <w:rFonts w:cs="Arial"/>
                <w:sz w:val="16"/>
                <w:szCs w:val="16"/>
              </w:rPr>
            </w:pPr>
            <w:r w:rsidRPr="008B3B36">
              <w:rPr>
                <w:rFonts w:cs="Arial"/>
                <w:sz w:val="16"/>
                <w:szCs w:val="16"/>
              </w:rPr>
              <w:t>N</w:t>
            </w:r>
            <w:r>
              <w:rPr>
                <w:rFonts w:cs="Arial"/>
                <w:sz w:val="16"/>
                <w:szCs w:val="16"/>
              </w:rPr>
              <w:t>o.</w:t>
            </w:r>
            <w:r w:rsidRPr="008B3B36">
              <w:rPr>
                <w:rFonts w:cs="Arial"/>
                <w:sz w:val="16"/>
                <w:szCs w:val="16"/>
              </w:rPr>
              <w:t xml:space="preserve"> of countries with updated laws and/or regulations</w:t>
            </w:r>
          </w:p>
        </w:tc>
        <w:tc>
          <w:tcPr>
            <w:tcW w:w="757" w:type="pct"/>
            <w:shd w:val="clear" w:color="auto" w:fill="FFFFFF"/>
            <w:tcMar>
              <w:top w:w="113" w:type="dxa"/>
              <w:bottom w:w="113" w:type="dxa"/>
            </w:tcMar>
          </w:tcPr>
          <w:p w:rsidR="005B2B98" w:rsidRPr="00AF5E7C" w:rsidRDefault="005B2B98" w:rsidP="00547ACE">
            <w:pPr>
              <w:jc w:val="center"/>
              <w:rPr>
                <w:rFonts w:cs="Arial"/>
                <w:sz w:val="16"/>
                <w:szCs w:val="16"/>
                <w:lang w:bidi="th-TH"/>
              </w:rPr>
            </w:pPr>
            <w:r>
              <w:rPr>
                <w:rFonts w:cs="Arial"/>
                <w:sz w:val="16"/>
                <w:szCs w:val="16"/>
                <w:lang w:bidi="th-TH"/>
              </w:rPr>
              <w:t>Program 10</w:t>
            </w:r>
          </w:p>
        </w:tc>
        <w:tc>
          <w:tcPr>
            <w:tcW w:w="454" w:type="pct"/>
            <w:shd w:val="clear" w:color="auto" w:fill="FFFFFF"/>
          </w:tcPr>
          <w:p w:rsidR="005B2B98" w:rsidRPr="00CC3F44" w:rsidRDefault="005B2B98" w:rsidP="00547ACE">
            <w:pPr>
              <w:jc w:val="center"/>
            </w:pPr>
            <w:r w:rsidRPr="00CC3F44">
              <w:rPr>
                <w:rFonts w:cs="Arial"/>
                <w:color w:val="008000"/>
                <w:sz w:val="22"/>
                <w:szCs w:val="22"/>
              </w:rPr>
              <w:sym w:font="Wingdings" w:char="F06C"/>
            </w:r>
          </w:p>
        </w:tc>
      </w:tr>
      <w:tr w:rsidR="005B2B98" w:rsidRPr="00AF5E7C" w:rsidTr="005B2B98">
        <w:trPr>
          <w:cantSplit/>
          <w:trHeight w:val="360"/>
        </w:trPr>
        <w:tc>
          <w:tcPr>
            <w:tcW w:w="1618" w:type="pct"/>
            <w:shd w:val="clear" w:color="auto" w:fill="auto"/>
            <w:tcMar>
              <w:top w:w="113" w:type="dxa"/>
              <w:bottom w:w="113" w:type="dxa"/>
            </w:tcMar>
          </w:tcPr>
          <w:p w:rsidR="005B2B98" w:rsidRPr="00AF5E7C" w:rsidRDefault="005B2B98" w:rsidP="00547ACE">
            <w:pPr>
              <w:rPr>
                <w:rFonts w:cs="Arial"/>
                <w:sz w:val="16"/>
                <w:szCs w:val="16"/>
              </w:rPr>
            </w:pPr>
          </w:p>
        </w:tc>
        <w:tc>
          <w:tcPr>
            <w:tcW w:w="2171" w:type="pct"/>
            <w:shd w:val="clear" w:color="auto" w:fill="auto"/>
            <w:tcMar>
              <w:top w:w="113" w:type="dxa"/>
              <w:bottom w:w="113" w:type="dxa"/>
            </w:tcMar>
          </w:tcPr>
          <w:p w:rsidR="005B2B98" w:rsidRPr="001E6152" w:rsidRDefault="005B2B98" w:rsidP="00547ACE">
            <w:pPr>
              <w:rPr>
                <w:rFonts w:cs="Arial"/>
                <w:sz w:val="16"/>
                <w:szCs w:val="16"/>
              </w:rPr>
            </w:pPr>
            <w:r w:rsidRPr="00DC5B92">
              <w:rPr>
                <w:rFonts w:cs="Arial"/>
                <w:sz w:val="16"/>
                <w:szCs w:val="16"/>
              </w:rPr>
              <w:t>No. of countries that have adopted or amended relevant frameworks (or are in the process of doing so) further to WIPO assistance</w:t>
            </w:r>
          </w:p>
        </w:tc>
        <w:tc>
          <w:tcPr>
            <w:tcW w:w="757" w:type="pct"/>
            <w:shd w:val="clear" w:color="auto" w:fill="FFFFFF"/>
            <w:tcMar>
              <w:top w:w="113" w:type="dxa"/>
              <w:bottom w:w="113" w:type="dxa"/>
            </w:tcMar>
          </w:tcPr>
          <w:p w:rsidR="005B2B98" w:rsidRPr="00AF5E7C" w:rsidRDefault="005B2B98" w:rsidP="00547ACE">
            <w:pPr>
              <w:jc w:val="center"/>
              <w:rPr>
                <w:rFonts w:cs="Arial"/>
                <w:sz w:val="16"/>
                <w:szCs w:val="16"/>
                <w:lang w:bidi="th-TH"/>
              </w:rPr>
            </w:pPr>
            <w:r>
              <w:rPr>
                <w:rFonts w:cs="Arial"/>
                <w:sz w:val="16"/>
                <w:szCs w:val="16"/>
                <w:lang w:bidi="th-TH"/>
              </w:rPr>
              <w:t>Program 17</w:t>
            </w:r>
          </w:p>
        </w:tc>
        <w:tc>
          <w:tcPr>
            <w:tcW w:w="454" w:type="pct"/>
            <w:shd w:val="clear" w:color="auto" w:fill="FFFFFF"/>
          </w:tcPr>
          <w:p w:rsidR="005B2B98" w:rsidRPr="00CC3F44" w:rsidRDefault="005B2B98" w:rsidP="00547ACE">
            <w:pPr>
              <w:jc w:val="center"/>
            </w:pPr>
            <w:r w:rsidRPr="00CC3F44">
              <w:rPr>
                <w:rFonts w:cs="Arial"/>
                <w:color w:val="008000"/>
                <w:sz w:val="22"/>
                <w:szCs w:val="22"/>
              </w:rPr>
              <w:sym w:font="Wingdings" w:char="F06C"/>
            </w:r>
          </w:p>
        </w:tc>
      </w:tr>
      <w:tr w:rsidR="005B2B98" w:rsidRPr="00AF5E7C" w:rsidTr="005B2B98">
        <w:trPr>
          <w:cantSplit/>
          <w:trHeight w:val="360"/>
        </w:trPr>
        <w:tc>
          <w:tcPr>
            <w:tcW w:w="1618" w:type="pct"/>
            <w:shd w:val="clear" w:color="auto" w:fill="auto"/>
            <w:tcMar>
              <w:top w:w="113" w:type="dxa"/>
              <w:bottom w:w="113" w:type="dxa"/>
            </w:tcMar>
          </w:tcPr>
          <w:p w:rsidR="005B2B98" w:rsidRPr="00AF5E7C" w:rsidRDefault="005B2B98" w:rsidP="00547ACE">
            <w:pPr>
              <w:rPr>
                <w:rFonts w:cs="Arial"/>
                <w:sz w:val="16"/>
                <w:szCs w:val="16"/>
              </w:rPr>
            </w:pPr>
            <w:r w:rsidRPr="007E3F60">
              <w:rPr>
                <w:rFonts w:cs="Arial"/>
                <w:sz w:val="16"/>
                <w:szCs w:val="16"/>
              </w:rPr>
              <w:t xml:space="preserve">I.3 </w:t>
            </w:r>
            <w:r>
              <w:rPr>
                <w:rFonts w:cs="Arial"/>
                <w:sz w:val="16"/>
                <w:szCs w:val="16"/>
              </w:rPr>
              <w:t xml:space="preserve"> </w:t>
            </w:r>
            <w:r w:rsidRPr="007E3F60">
              <w:rPr>
                <w:rFonts w:cs="Arial"/>
                <w:sz w:val="16"/>
                <w:szCs w:val="16"/>
              </w:rPr>
              <w:t>Increased protection of State emblems and names and emblems of International Intergovernmental Organizations</w:t>
            </w:r>
          </w:p>
        </w:tc>
        <w:tc>
          <w:tcPr>
            <w:tcW w:w="2171" w:type="pct"/>
            <w:shd w:val="clear" w:color="auto" w:fill="auto"/>
            <w:tcMar>
              <w:top w:w="113" w:type="dxa"/>
              <w:bottom w:w="113" w:type="dxa"/>
            </w:tcMar>
          </w:tcPr>
          <w:p w:rsidR="005B2B98" w:rsidRPr="007E3F60" w:rsidRDefault="005B2B98" w:rsidP="00547ACE">
            <w:pPr>
              <w:rPr>
                <w:rFonts w:cs="Arial"/>
                <w:sz w:val="16"/>
                <w:szCs w:val="16"/>
              </w:rPr>
            </w:pPr>
            <w:r w:rsidRPr="007E3F60">
              <w:rPr>
                <w:rFonts w:cs="Arial"/>
                <w:sz w:val="16"/>
                <w:szCs w:val="16"/>
              </w:rPr>
              <w:t>N</w:t>
            </w:r>
            <w:r>
              <w:rPr>
                <w:rFonts w:cs="Arial"/>
                <w:sz w:val="16"/>
                <w:szCs w:val="16"/>
              </w:rPr>
              <w:t>o.</w:t>
            </w:r>
            <w:r w:rsidRPr="007E3F60">
              <w:rPr>
                <w:rFonts w:cs="Arial"/>
                <w:sz w:val="16"/>
                <w:szCs w:val="16"/>
              </w:rPr>
              <w:t xml:space="preserve"> of requests for communication under Article </w:t>
            </w:r>
            <w:r w:rsidRPr="00845557">
              <w:rPr>
                <w:rFonts w:cs="Arial"/>
                <w:i/>
                <w:sz w:val="16"/>
                <w:szCs w:val="16"/>
              </w:rPr>
              <w:t>6ter</w:t>
            </w:r>
            <w:r w:rsidRPr="007E3F60">
              <w:rPr>
                <w:rFonts w:cs="Arial"/>
                <w:sz w:val="16"/>
                <w:szCs w:val="16"/>
              </w:rPr>
              <w:t xml:space="preserve"> dealt with</w:t>
            </w:r>
          </w:p>
        </w:tc>
        <w:tc>
          <w:tcPr>
            <w:tcW w:w="757" w:type="pct"/>
            <w:shd w:val="clear" w:color="auto" w:fill="FFFFFF"/>
            <w:tcMar>
              <w:top w:w="113" w:type="dxa"/>
              <w:bottom w:w="113" w:type="dxa"/>
            </w:tcMar>
          </w:tcPr>
          <w:p w:rsidR="005B2B98" w:rsidRPr="00AF5E7C" w:rsidRDefault="005B2B98" w:rsidP="00547ACE">
            <w:pPr>
              <w:jc w:val="center"/>
              <w:rPr>
                <w:rFonts w:cs="Arial"/>
                <w:sz w:val="16"/>
                <w:szCs w:val="16"/>
                <w:lang w:bidi="th-TH"/>
              </w:rPr>
            </w:pPr>
            <w:r>
              <w:rPr>
                <w:rFonts w:cs="Arial"/>
                <w:sz w:val="16"/>
                <w:szCs w:val="16"/>
                <w:lang w:bidi="th-TH"/>
              </w:rPr>
              <w:t>Program 2</w:t>
            </w:r>
          </w:p>
        </w:tc>
        <w:tc>
          <w:tcPr>
            <w:tcW w:w="454" w:type="pct"/>
            <w:shd w:val="clear" w:color="auto" w:fill="FFFFFF"/>
          </w:tcPr>
          <w:p w:rsidR="005B2B98" w:rsidRPr="00001FF8" w:rsidRDefault="005B2B98" w:rsidP="00547ACE">
            <w:pPr>
              <w:jc w:val="center"/>
              <w:rPr>
                <w:color w:val="E26B0A"/>
              </w:rPr>
            </w:pPr>
            <w:r w:rsidRPr="00001FF8">
              <w:rPr>
                <w:rFonts w:cs="Arial"/>
                <w:color w:val="E26B0A"/>
                <w:sz w:val="22"/>
                <w:szCs w:val="22"/>
              </w:rPr>
              <w:sym w:font="Wingdings" w:char="F06C"/>
            </w:r>
          </w:p>
        </w:tc>
      </w:tr>
      <w:tr w:rsidR="005B2B98" w:rsidRPr="00AF5E7C" w:rsidTr="005B2B98">
        <w:trPr>
          <w:cantSplit/>
          <w:trHeight w:val="360"/>
        </w:trPr>
        <w:tc>
          <w:tcPr>
            <w:tcW w:w="1618" w:type="pct"/>
            <w:tcBorders>
              <w:bottom w:val="single" w:sz="4" w:space="0" w:color="auto"/>
            </w:tcBorders>
            <w:shd w:val="clear" w:color="auto" w:fill="auto"/>
            <w:tcMar>
              <w:top w:w="113" w:type="dxa"/>
              <w:bottom w:w="113" w:type="dxa"/>
            </w:tcMar>
          </w:tcPr>
          <w:p w:rsidR="005B2B98" w:rsidRPr="00AF5E7C" w:rsidRDefault="005B2B98" w:rsidP="00547ACE">
            <w:pPr>
              <w:rPr>
                <w:rFonts w:cs="Arial"/>
                <w:sz w:val="16"/>
                <w:szCs w:val="16"/>
              </w:rPr>
            </w:pPr>
          </w:p>
        </w:tc>
        <w:tc>
          <w:tcPr>
            <w:tcW w:w="2171" w:type="pct"/>
            <w:tcBorders>
              <w:bottom w:val="single" w:sz="4" w:space="0" w:color="auto"/>
            </w:tcBorders>
            <w:shd w:val="clear" w:color="auto" w:fill="auto"/>
            <w:tcMar>
              <w:top w:w="113" w:type="dxa"/>
              <w:bottom w:w="113" w:type="dxa"/>
            </w:tcMar>
          </w:tcPr>
          <w:p w:rsidR="005B2B98" w:rsidRPr="007E3F60" w:rsidRDefault="005B2B98" w:rsidP="00547ACE">
            <w:pPr>
              <w:rPr>
                <w:rFonts w:cs="Arial"/>
                <w:sz w:val="16"/>
                <w:szCs w:val="16"/>
              </w:rPr>
            </w:pPr>
            <w:r w:rsidRPr="007E3F60">
              <w:rPr>
                <w:rFonts w:cs="Arial"/>
                <w:sz w:val="16"/>
                <w:szCs w:val="16"/>
              </w:rPr>
              <w:t>N</w:t>
            </w:r>
            <w:r>
              <w:rPr>
                <w:rFonts w:cs="Arial"/>
                <w:sz w:val="16"/>
                <w:szCs w:val="16"/>
              </w:rPr>
              <w:t>o.</w:t>
            </w:r>
            <w:r w:rsidRPr="007E3F60">
              <w:rPr>
                <w:rFonts w:cs="Arial"/>
                <w:sz w:val="16"/>
                <w:szCs w:val="16"/>
              </w:rPr>
              <w:t xml:space="preserve"> of signs published in Article </w:t>
            </w:r>
            <w:r w:rsidRPr="00845557">
              <w:rPr>
                <w:rFonts w:cs="Arial"/>
                <w:i/>
                <w:sz w:val="16"/>
                <w:szCs w:val="16"/>
              </w:rPr>
              <w:t>6ter</w:t>
            </w:r>
            <w:r w:rsidRPr="007E3F60">
              <w:rPr>
                <w:rFonts w:cs="Arial"/>
                <w:sz w:val="16"/>
                <w:szCs w:val="16"/>
              </w:rPr>
              <w:t xml:space="preserve"> database</w:t>
            </w:r>
          </w:p>
        </w:tc>
        <w:tc>
          <w:tcPr>
            <w:tcW w:w="757" w:type="pct"/>
            <w:tcBorders>
              <w:bottom w:val="single" w:sz="4" w:space="0" w:color="auto"/>
            </w:tcBorders>
            <w:shd w:val="clear" w:color="auto" w:fill="FFFFFF"/>
            <w:tcMar>
              <w:top w:w="113" w:type="dxa"/>
              <w:bottom w:w="113" w:type="dxa"/>
            </w:tcMar>
          </w:tcPr>
          <w:p w:rsidR="005B2B98" w:rsidRPr="00AF5E7C" w:rsidRDefault="005B2B98" w:rsidP="00547ACE">
            <w:pPr>
              <w:jc w:val="center"/>
              <w:rPr>
                <w:rFonts w:cs="Arial"/>
                <w:sz w:val="16"/>
                <w:szCs w:val="16"/>
                <w:lang w:bidi="th-TH"/>
              </w:rPr>
            </w:pPr>
            <w:r>
              <w:rPr>
                <w:rFonts w:cs="Arial"/>
                <w:sz w:val="16"/>
                <w:szCs w:val="16"/>
                <w:lang w:bidi="th-TH"/>
              </w:rPr>
              <w:t>Program 2</w:t>
            </w:r>
          </w:p>
        </w:tc>
        <w:tc>
          <w:tcPr>
            <w:tcW w:w="454" w:type="pct"/>
            <w:tcBorders>
              <w:bottom w:val="single" w:sz="4" w:space="0" w:color="auto"/>
            </w:tcBorders>
            <w:shd w:val="clear" w:color="auto" w:fill="FFFFFF"/>
          </w:tcPr>
          <w:p w:rsidR="005B2B98" w:rsidRPr="00CC3F44" w:rsidRDefault="005B2B98" w:rsidP="00547ACE">
            <w:pPr>
              <w:jc w:val="center"/>
            </w:pPr>
            <w:r w:rsidRPr="00CC3F44">
              <w:rPr>
                <w:rFonts w:cs="Arial"/>
                <w:color w:val="008000"/>
                <w:sz w:val="22"/>
                <w:szCs w:val="22"/>
              </w:rPr>
              <w:sym w:font="Wingdings" w:char="F06C"/>
            </w:r>
          </w:p>
        </w:tc>
      </w:tr>
    </w:tbl>
    <w:p w:rsidR="005B2B98" w:rsidRDefault="005B2B98" w:rsidP="005B2B98">
      <w:pPr>
        <w:jc w:val="both"/>
      </w:pPr>
    </w:p>
    <w:p w:rsidR="005B2B98" w:rsidRDefault="005B2B98" w:rsidP="005B2B98"/>
    <w:p w:rsidR="005B2B98" w:rsidRDefault="005B2B98" w:rsidP="005B2B98"/>
    <w:p w:rsidR="005B2B98" w:rsidRDefault="005B2B98"/>
    <w:p w:rsidR="005B2B98" w:rsidRDefault="005B2B98"/>
    <w:p w:rsidR="003C6933" w:rsidRDefault="003C6933">
      <w:r>
        <w:br w:type="page"/>
      </w:r>
    </w:p>
    <w:p w:rsidR="00F52522" w:rsidRPr="001243AF" w:rsidRDefault="00F52522" w:rsidP="008A4774">
      <w:pPr>
        <w:pStyle w:val="Heading2"/>
        <w:tabs>
          <w:tab w:val="clear" w:pos="567"/>
          <w:tab w:val="left" w:pos="1985"/>
        </w:tabs>
        <w:ind w:left="1985" w:hanging="1985"/>
      </w:pPr>
      <w:bookmarkStart w:id="52" w:name="_Toc422210477"/>
      <w:bookmarkStart w:id="53" w:name="_Toc454544462"/>
      <w:r w:rsidRPr="001243AF">
        <w:lastRenderedPageBreak/>
        <w:t>PROGRAM 1</w:t>
      </w:r>
      <w:r>
        <w:tab/>
      </w:r>
      <w:r w:rsidRPr="001243AF">
        <w:t>PATENT LAW</w:t>
      </w:r>
      <w:bookmarkEnd w:id="52"/>
      <w:bookmarkEnd w:id="53"/>
    </w:p>
    <w:p w:rsidR="00F52522" w:rsidRPr="00383D2D" w:rsidRDefault="00F52522" w:rsidP="008A4774">
      <w:pPr>
        <w:rPr>
          <w:szCs w:val="20"/>
        </w:rPr>
      </w:pPr>
    </w:p>
    <w:p w:rsidR="00F52522" w:rsidRPr="009973F8" w:rsidRDefault="00F52522" w:rsidP="008A4774">
      <w:pPr>
        <w:tabs>
          <w:tab w:val="left" w:pos="1985"/>
        </w:tabs>
        <w:rPr>
          <w:b/>
          <w:szCs w:val="22"/>
        </w:rPr>
      </w:pPr>
      <w:r w:rsidRPr="009973F8">
        <w:rPr>
          <w:b/>
          <w:szCs w:val="22"/>
        </w:rPr>
        <w:t>Program Manager</w:t>
      </w:r>
      <w:r w:rsidRPr="009973F8">
        <w:rPr>
          <w:b/>
          <w:szCs w:val="22"/>
        </w:rPr>
        <w:tab/>
        <w:t>Mr. J. Sandage</w:t>
      </w:r>
    </w:p>
    <w:p w:rsidR="00F52522" w:rsidRDefault="00F52522" w:rsidP="008A4774"/>
    <w:p w:rsidR="00F52522" w:rsidRPr="001C6F4D" w:rsidRDefault="00F52522" w:rsidP="008A4774">
      <w:pPr>
        <w:rPr>
          <w:szCs w:val="20"/>
        </w:rPr>
      </w:pPr>
    </w:p>
    <w:p w:rsidR="00F52522" w:rsidRPr="007F4CF0" w:rsidRDefault="00F52522" w:rsidP="008A4774">
      <w:pPr>
        <w:rPr>
          <w:bCs/>
          <w:szCs w:val="22"/>
        </w:rPr>
      </w:pPr>
      <w:r w:rsidRPr="007F4CF0">
        <w:rPr>
          <w:bCs/>
          <w:szCs w:val="22"/>
        </w:rPr>
        <w:t>ACHIEVEMENTS IN THE 2014/15 BIENNIUM</w:t>
      </w:r>
    </w:p>
    <w:p w:rsidR="00F52522" w:rsidRDefault="00F52522" w:rsidP="008A4774">
      <w:pPr>
        <w:rPr>
          <w:bCs/>
          <w:sz w:val="22"/>
          <w:szCs w:val="22"/>
        </w:rPr>
      </w:pPr>
    </w:p>
    <w:p w:rsidR="00F52522" w:rsidRPr="009F7359" w:rsidRDefault="00F52522" w:rsidP="00E16443">
      <w:pPr>
        <w:pStyle w:val="ListParagraph"/>
        <w:numPr>
          <w:ilvl w:val="0"/>
          <w:numId w:val="10"/>
        </w:numPr>
        <w:tabs>
          <w:tab w:val="left" w:pos="0"/>
          <w:tab w:val="left" w:pos="720"/>
        </w:tabs>
        <w:ind w:left="0" w:firstLine="0"/>
        <w:jc w:val="both"/>
        <w:rPr>
          <w:color w:val="000000"/>
          <w:lang w:eastAsia="zh-CN"/>
        </w:rPr>
      </w:pPr>
      <w:r w:rsidRPr="009F7359">
        <w:rPr>
          <w:color w:val="000000"/>
          <w:lang w:eastAsia="zh-CN"/>
        </w:rPr>
        <w:t>In view of enhancing cooperation among Member States on further developing balanced policy and normative frameworks for the international patent system, the twentieth, twenty-first, twenty-second and twenty-third sessions of the Standing Committee on the Law of Patents (SCP) were held in January and November 2014 and July and December 2015, respectively.  The SCP continued to examine five topics on its agenda, namely:  (i) exceptions and limitations to patent rights; (ii) quality of patents, including opposition systems;  (iii) patents and health;  (iv) confidentiality of communication between clients and their patent advisors;  and (v) transfer of technology.</w:t>
      </w:r>
    </w:p>
    <w:p w:rsidR="00F52522" w:rsidRPr="000B03C1" w:rsidRDefault="00F52522" w:rsidP="008A4774">
      <w:pPr>
        <w:autoSpaceDE w:val="0"/>
        <w:autoSpaceDN w:val="0"/>
        <w:jc w:val="both"/>
        <w:rPr>
          <w:color w:val="000000"/>
          <w:szCs w:val="20"/>
          <w:lang w:eastAsia="zh-CN"/>
        </w:rPr>
      </w:pPr>
    </w:p>
    <w:p w:rsidR="00F52522" w:rsidRPr="000B03C1" w:rsidRDefault="00F52522" w:rsidP="00E16443">
      <w:pPr>
        <w:pStyle w:val="ListParagraph"/>
        <w:numPr>
          <w:ilvl w:val="0"/>
          <w:numId w:val="10"/>
        </w:numPr>
        <w:tabs>
          <w:tab w:val="left" w:pos="0"/>
          <w:tab w:val="left" w:pos="720"/>
        </w:tabs>
        <w:ind w:left="0" w:firstLine="0"/>
        <w:jc w:val="both"/>
        <w:rPr>
          <w:color w:val="000000"/>
          <w:lang w:eastAsia="zh-CN"/>
        </w:rPr>
      </w:pPr>
      <w:r w:rsidRPr="000B03C1">
        <w:rPr>
          <w:color w:val="000000"/>
          <w:lang w:eastAsia="zh-CN"/>
        </w:rPr>
        <w:t>The examination of substantive studies allowed the SCP to review the current international patent system in a holistic manner that took into account different needs and interests of Member States and stakeholders.  A step-by-step approach broadened the common base from which the Committee could develop its discussions.  Further</w:t>
      </w:r>
      <w:r>
        <w:rPr>
          <w:color w:val="000000"/>
          <w:lang w:eastAsia="zh-CN"/>
        </w:rPr>
        <w:t>more</w:t>
      </w:r>
      <w:r w:rsidRPr="000B03C1">
        <w:rPr>
          <w:color w:val="000000"/>
          <w:lang w:eastAsia="zh-CN"/>
        </w:rPr>
        <w:t>, various methodologies employed by the Committee, including preparation of background studies, seminar and sharing sessions on national implementation of patent law</w:t>
      </w:r>
      <w:r>
        <w:rPr>
          <w:color w:val="000000"/>
          <w:lang w:eastAsia="zh-CN"/>
        </w:rPr>
        <w:t>,</w:t>
      </w:r>
      <w:r w:rsidRPr="000B03C1">
        <w:rPr>
          <w:color w:val="000000"/>
          <w:lang w:eastAsia="zh-CN"/>
        </w:rPr>
        <w:t xml:space="preserve"> and exchanging national experiences and challenges, contributed to advancing discussions on issues of common interest at the SCP. </w:t>
      </w:r>
      <w:r>
        <w:rPr>
          <w:color w:val="000000"/>
          <w:lang w:eastAsia="zh-CN"/>
        </w:rPr>
        <w:t xml:space="preserve"> </w:t>
      </w:r>
      <w:r w:rsidRPr="000B03C1">
        <w:rPr>
          <w:color w:val="000000"/>
          <w:lang w:eastAsia="zh-CN"/>
        </w:rPr>
        <w:t xml:space="preserve">During </w:t>
      </w:r>
      <w:r>
        <w:rPr>
          <w:color w:val="000000"/>
          <w:lang w:eastAsia="zh-CN"/>
        </w:rPr>
        <w:t xml:space="preserve">the </w:t>
      </w:r>
      <w:r w:rsidRPr="000B03C1">
        <w:rPr>
          <w:color w:val="000000"/>
          <w:lang w:eastAsia="zh-CN"/>
        </w:rPr>
        <w:t>2014/15 biennium, a number of proposals were put forward by Member States on the above topics, showing commitments by Member States in the SCP process.</w:t>
      </w:r>
    </w:p>
    <w:p w:rsidR="00F52522" w:rsidRPr="000B03C1" w:rsidRDefault="00F52522" w:rsidP="008A4774">
      <w:pPr>
        <w:pStyle w:val="ListParagraph"/>
        <w:tabs>
          <w:tab w:val="left" w:pos="0"/>
          <w:tab w:val="left" w:pos="720"/>
        </w:tabs>
        <w:ind w:left="0"/>
        <w:jc w:val="both"/>
        <w:rPr>
          <w:color w:val="000000"/>
          <w:lang w:eastAsia="zh-CN"/>
        </w:rPr>
      </w:pPr>
    </w:p>
    <w:p w:rsidR="00F52522" w:rsidRPr="000B03C1" w:rsidRDefault="00F52522" w:rsidP="00E16443">
      <w:pPr>
        <w:pStyle w:val="ListParagraph"/>
        <w:numPr>
          <w:ilvl w:val="0"/>
          <w:numId w:val="10"/>
        </w:numPr>
        <w:tabs>
          <w:tab w:val="left" w:pos="0"/>
          <w:tab w:val="left" w:pos="720"/>
        </w:tabs>
        <w:ind w:left="0" w:firstLine="0"/>
        <w:jc w:val="both"/>
        <w:rPr>
          <w:color w:val="000000"/>
          <w:lang w:eastAsia="zh-CN"/>
        </w:rPr>
      </w:pPr>
      <w:r w:rsidRPr="000B03C1">
        <w:rPr>
          <w:color w:val="000000"/>
          <w:lang w:eastAsia="zh-CN"/>
        </w:rPr>
        <w:t xml:space="preserve">With respect to WIPO administered treaties in the field of patents, one State (Kuwait) joined the Paris Convention during the biennium. </w:t>
      </w:r>
    </w:p>
    <w:p w:rsidR="00F52522" w:rsidRPr="000B03C1" w:rsidRDefault="00F52522" w:rsidP="008A4774">
      <w:pPr>
        <w:pStyle w:val="ListParagraph"/>
        <w:tabs>
          <w:tab w:val="left" w:pos="0"/>
          <w:tab w:val="left" w:pos="720"/>
        </w:tabs>
        <w:ind w:left="0"/>
        <w:jc w:val="both"/>
        <w:rPr>
          <w:color w:val="000000"/>
          <w:lang w:eastAsia="zh-CN"/>
        </w:rPr>
      </w:pPr>
    </w:p>
    <w:p w:rsidR="00F52522" w:rsidRPr="000B03C1" w:rsidRDefault="00F52522" w:rsidP="00E16443">
      <w:pPr>
        <w:pStyle w:val="ListParagraph"/>
        <w:numPr>
          <w:ilvl w:val="0"/>
          <w:numId w:val="10"/>
        </w:numPr>
        <w:tabs>
          <w:tab w:val="left" w:pos="0"/>
          <w:tab w:val="left" w:pos="720"/>
        </w:tabs>
        <w:ind w:left="0" w:firstLine="0"/>
        <w:jc w:val="both"/>
        <w:rPr>
          <w:color w:val="000000"/>
          <w:lang w:eastAsia="zh-CN"/>
        </w:rPr>
      </w:pPr>
      <w:r w:rsidRPr="000B03C1">
        <w:rPr>
          <w:color w:val="000000"/>
          <w:lang w:eastAsia="zh-CN"/>
        </w:rPr>
        <w:t>WIPO’s legislative and policy assistance was consistently based on the multilateral legal framework.  Member State legislative activity has grown, particularly due to their participation in regional economic integration processes and preferential trade agreements.  Additionally, a number of Member States are revising their patent laws to accommodate local public policies or because of their accession to multilateral treaties on patents</w:t>
      </w:r>
      <w:r>
        <w:rPr>
          <w:color w:val="000000"/>
          <w:lang w:eastAsia="zh-CN"/>
        </w:rPr>
        <w:t xml:space="preserve"> </w:t>
      </w:r>
      <w:r w:rsidRPr="000B03C1">
        <w:rPr>
          <w:color w:val="000000"/>
          <w:lang w:eastAsia="zh-CN"/>
        </w:rPr>
        <w:t>–</w:t>
      </w:r>
      <w:r w:rsidRPr="009F7359">
        <w:rPr>
          <w:color w:val="000000"/>
          <w:lang w:eastAsia="zh-CN"/>
        </w:rPr>
        <w:t xml:space="preserve"> namely, the Patent Cooperation Treaty (PCT), the Budapest Treaty </w:t>
      </w:r>
      <w:r w:rsidRPr="000B03C1">
        <w:rPr>
          <w:color w:val="000000"/>
          <w:lang w:eastAsia="zh-CN"/>
        </w:rPr>
        <w:t>and the Patent Law Treaty (PLT) – or implementing them for the first time through the adoption of regulations.  Moreover, the countries joining the World Trade Organization (WTO) systematically revise their legal framework</w:t>
      </w:r>
      <w:r>
        <w:rPr>
          <w:color w:val="000000"/>
          <w:lang w:eastAsia="zh-CN"/>
        </w:rPr>
        <w:t>s</w:t>
      </w:r>
      <w:r w:rsidRPr="000B03C1">
        <w:rPr>
          <w:color w:val="000000"/>
          <w:lang w:eastAsia="zh-CN"/>
        </w:rPr>
        <w:t>.  Therefore</w:t>
      </w:r>
      <w:r>
        <w:rPr>
          <w:color w:val="000000"/>
          <w:lang w:eastAsia="zh-CN"/>
        </w:rPr>
        <w:t>,</w:t>
      </w:r>
      <w:r w:rsidRPr="000B03C1">
        <w:rPr>
          <w:color w:val="000000"/>
          <w:lang w:eastAsia="zh-CN"/>
        </w:rPr>
        <w:t xml:space="preserve"> requests for legislative advice follow the same trend.</w:t>
      </w:r>
      <w:r>
        <w:rPr>
          <w:color w:val="000000"/>
          <w:lang w:eastAsia="zh-CN"/>
        </w:rPr>
        <w:t xml:space="preserve"> </w:t>
      </w:r>
    </w:p>
    <w:p w:rsidR="00F52522" w:rsidRPr="000B03C1" w:rsidRDefault="00F52522" w:rsidP="008A4774">
      <w:pPr>
        <w:pStyle w:val="ListParagraph"/>
        <w:tabs>
          <w:tab w:val="left" w:pos="0"/>
          <w:tab w:val="left" w:pos="720"/>
        </w:tabs>
        <w:ind w:left="0"/>
        <w:jc w:val="both"/>
        <w:rPr>
          <w:color w:val="000000"/>
          <w:lang w:eastAsia="zh-CN"/>
        </w:rPr>
      </w:pPr>
    </w:p>
    <w:p w:rsidR="00F52522" w:rsidRPr="000B03C1" w:rsidRDefault="00F52522" w:rsidP="00E16443">
      <w:pPr>
        <w:pStyle w:val="ListParagraph"/>
        <w:numPr>
          <w:ilvl w:val="0"/>
          <w:numId w:val="10"/>
        </w:numPr>
        <w:tabs>
          <w:tab w:val="left" w:pos="0"/>
          <w:tab w:val="left" w:pos="720"/>
        </w:tabs>
        <w:ind w:left="0" w:firstLine="0"/>
        <w:jc w:val="both"/>
        <w:rPr>
          <w:color w:val="000000"/>
          <w:lang w:eastAsia="zh-CN"/>
        </w:rPr>
      </w:pPr>
      <w:r w:rsidRPr="000B03C1">
        <w:rPr>
          <w:color w:val="000000"/>
          <w:lang w:eastAsia="zh-CN"/>
        </w:rPr>
        <w:t>Furthermore, during the 2014/15 biennium, the Secretariat continued to contribute to the promotion of a greater awareness of the legal principles and practices of the patent system through the provision of relevant information to intergovernmental organizations, United Nations bodies, non-governmental organizations and other parties on issues covered by this Program.</w:t>
      </w:r>
    </w:p>
    <w:p w:rsidR="00F52522" w:rsidRPr="000B03C1" w:rsidRDefault="00F52522" w:rsidP="008A4774">
      <w:pPr>
        <w:pStyle w:val="ListParagraph"/>
        <w:tabs>
          <w:tab w:val="left" w:pos="0"/>
          <w:tab w:val="left" w:pos="720"/>
        </w:tabs>
        <w:ind w:left="0"/>
        <w:jc w:val="both"/>
        <w:rPr>
          <w:color w:val="000000"/>
          <w:lang w:eastAsia="zh-CN"/>
        </w:rPr>
      </w:pPr>
    </w:p>
    <w:p w:rsidR="00F52522" w:rsidRPr="000B03C1" w:rsidRDefault="00F52522" w:rsidP="00E16443">
      <w:pPr>
        <w:pStyle w:val="ListParagraph"/>
        <w:numPr>
          <w:ilvl w:val="0"/>
          <w:numId w:val="10"/>
        </w:numPr>
        <w:tabs>
          <w:tab w:val="left" w:pos="0"/>
          <w:tab w:val="left" w:pos="720"/>
        </w:tabs>
        <w:ind w:left="0" w:firstLine="0"/>
        <w:jc w:val="both"/>
        <w:rPr>
          <w:color w:val="000000"/>
          <w:lang w:eastAsia="zh-CN"/>
        </w:rPr>
      </w:pPr>
      <w:r w:rsidRPr="000B03C1">
        <w:rPr>
          <w:color w:val="000000"/>
          <w:lang w:eastAsia="zh-CN"/>
        </w:rPr>
        <w:t>The design, planning and implementation of activities were informed and guided by the relevant DA Recommendations.  Discussions on the progressive development of the international patent system within the SCP continued to be inclusive and member-driven, taking into account different levels of development, representing a participatory process and being in line with the principle of neutrality of the WIPO Secretariat (Recommendation 15).  The discussions also took into account existing flexibilities in international IP agreements (Recommendation 17).  The activities of the SCP were based upon open and balanced consultations (Recommendations 21 and 42), while being supportive of the UN development goals (Recommendation 22).  In particular, in line with Recommendation 22, working documents of the SCP addressed issues such as: (i) patent-related transfer of technology</w:t>
      </w:r>
      <w:proofErr w:type="gramStart"/>
      <w:r w:rsidRPr="000B03C1">
        <w:rPr>
          <w:color w:val="000000"/>
          <w:lang w:eastAsia="zh-CN"/>
        </w:rPr>
        <w:t xml:space="preserve">; </w:t>
      </w:r>
      <w:r>
        <w:rPr>
          <w:color w:val="000000"/>
          <w:lang w:eastAsia="zh-CN"/>
        </w:rPr>
        <w:t xml:space="preserve"> </w:t>
      </w:r>
      <w:r w:rsidRPr="000B03C1">
        <w:rPr>
          <w:color w:val="000000"/>
          <w:lang w:eastAsia="zh-CN"/>
        </w:rPr>
        <w:t>and</w:t>
      </w:r>
      <w:proofErr w:type="gramEnd"/>
      <w:r w:rsidRPr="000B03C1">
        <w:rPr>
          <w:color w:val="000000"/>
          <w:lang w:eastAsia="zh-CN"/>
        </w:rPr>
        <w:t xml:space="preserve"> (ii) potential flexibilities, exceptions and limitations for Member States.</w:t>
      </w:r>
    </w:p>
    <w:p w:rsidR="00F52522" w:rsidRPr="000B03C1" w:rsidRDefault="00F52522" w:rsidP="008A4774">
      <w:pPr>
        <w:pStyle w:val="ListParagraph"/>
        <w:tabs>
          <w:tab w:val="left" w:pos="0"/>
          <w:tab w:val="left" w:pos="720"/>
        </w:tabs>
        <w:ind w:left="0"/>
        <w:jc w:val="both"/>
        <w:rPr>
          <w:color w:val="000000"/>
          <w:lang w:eastAsia="zh-CN"/>
        </w:rPr>
      </w:pPr>
    </w:p>
    <w:p w:rsidR="00F52522" w:rsidRPr="000B03C1" w:rsidRDefault="00F52522" w:rsidP="00E16443">
      <w:pPr>
        <w:pStyle w:val="ListParagraph"/>
        <w:numPr>
          <w:ilvl w:val="0"/>
          <w:numId w:val="10"/>
        </w:numPr>
        <w:tabs>
          <w:tab w:val="left" w:pos="0"/>
          <w:tab w:val="left" w:pos="720"/>
        </w:tabs>
        <w:ind w:left="0" w:firstLine="0"/>
        <w:jc w:val="both"/>
        <w:rPr>
          <w:color w:val="000000"/>
          <w:lang w:eastAsia="zh-CN"/>
        </w:rPr>
      </w:pPr>
      <w:r w:rsidRPr="000B03C1">
        <w:rPr>
          <w:color w:val="000000"/>
          <w:lang w:eastAsia="zh-CN"/>
        </w:rPr>
        <w:t>The Program’s capacity building and legislative and policy assistance activities were development-oriented, demand-driven and carried out within the timeframe planned (Recommendations 1, 13 and 14).  Since March 2015, capacity building activities in the area of patent drafting have been carried out by developing efficient and effective training schemes that create a synergy among various stakeholders.</w:t>
      </w:r>
    </w:p>
    <w:p w:rsidR="00F52522" w:rsidRPr="000B03C1" w:rsidRDefault="00F52522" w:rsidP="008A4774">
      <w:pPr>
        <w:pStyle w:val="ListParagraph"/>
        <w:tabs>
          <w:tab w:val="left" w:pos="0"/>
          <w:tab w:val="left" w:pos="720"/>
        </w:tabs>
        <w:ind w:left="0"/>
        <w:jc w:val="both"/>
        <w:rPr>
          <w:color w:val="000000"/>
          <w:lang w:eastAsia="zh-CN"/>
        </w:rPr>
      </w:pPr>
    </w:p>
    <w:p w:rsidR="00F52522" w:rsidRPr="000B03C1" w:rsidRDefault="00F52522" w:rsidP="00E16443">
      <w:pPr>
        <w:pStyle w:val="ListParagraph"/>
        <w:numPr>
          <w:ilvl w:val="0"/>
          <w:numId w:val="10"/>
        </w:numPr>
        <w:tabs>
          <w:tab w:val="left" w:pos="0"/>
          <w:tab w:val="left" w:pos="720"/>
        </w:tabs>
        <w:ind w:left="0" w:firstLine="0"/>
        <w:jc w:val="both"/>
        <w:rPr>
          <w:color w:val="000000"/>
          <w:lang w:eastAsia="zh-CN"/>
        </w:rPr>
      </w:pPr>
      <w:r w:rsidRPr="000B03C1">
        <w:rPr>
          <w:color w:val="000000"/>
          <w:lang w:eastAsia="zh-CN"/>
        </w:rPr>
        <w:t xml:space="preserve">In addition, in accordance with Recommendations 16 and 20, the Program was engaged in a final assessment of the outputs of the DA Project on Patents and the Public Domain, which was presented and </w:t>
      </w:r>
      <w:r w:rsidRPr="000B03C1">
        <w:rPr>
          <w:color w:val="000000"/>
          <w:lang w:eastAsia="zh-CN"/>
        </w:rPr>
        <w:lastRenderedPageBreak/>
        <w:t>discussed at the thirteenth session of the Committee on Development and Intellectual Property (CDIP), which took place in May 2014.</w:t>
      </w:r>
    </w:p>
    <w:p w:rsidR="00F52522" w:rsidRPr="000B03C1" w:rsidRDefault="00F52522" w:rsidP="008A4774">
      <w:pPr>
        <w:pStyle w:val="ListParagraph"/>
        <w:tabs>
          <w:tab w:val="left" w:pos="0"/>
          <w:tab w:val="left" w:pos="720"/>
        </w:tabs>
        <w:ind w:left="0"/>
        <w:jc w:val="both"/>
        <w:rPr>
          <w:color w:val="000000"/>
          <w:lang w:eastAsia="zh-CN"/>
        </w:rPr>
      </w:pPr>
    </w:p>
    <w:p w:rsidR="00F52522" w:rsidRPr="000B03C1" w:rsidRDefault="00F52522" w:rsidP="00E16443">
      <w:pPr>
        <w:pStyle w:val="ListParagraph"/>
        <w:numPr>
          <w:ilvl w:val="0"/>
          <w:numId w:val="10"/>
        </w:numPr>
        <w:tabs>
          <w:tab w:val="left" w:pos="0"/>
          <w:tab w:val="left" w:pos="720"/>
        </w:tabs>
        <w:ind w:left="0" w:firstLine="0"/>
        <w:jc w:val="both"/>
        <w:rPr>
          <w:color w:val="000000"/>
          <w:lang w:eastAsia="zh-CN"/>
        </w:rPr>
      </w:pPr>
      <w:r w:rsidRPr="000B03C1">
        <w:rPr>
          <w:color w:val="000000"/>
          <w:lang w:eastAsia="zh-CN"/>
        </w:rPr>
        <w:t>The Program also prepared documents CDIP/13/10 and CDIP/15/6, which cover four new patent-related flexibilities</w:t>
      </w:r>
      <w:r>
        <w:rPr>
          <w:color w:val="000000"/>
          <w:lang w:eastAsia="zh-CN"/>
        </w:rPr>
        <w:t xml:space="preserve"> and which </w:t>
      </w:r>
      <w:r w:rsidRPr="000B03C1">
        <w:rPr>
          <w:color w:val="000000"/>
          <w:lang w:eastAsia="zh-CN"/>
        </w:rPr>
        <w:t>were discussed respectively in sessions thirteen and fifteen of the CDIP</w:t>
      </w:r>
      <w:r>
        <w:rPr>
          <w:color w:val="000000"/>
          <w:lang w:eastAsia="zh-CN"/>
        </w:rPr>
        <w:t>.</w:t>
      </w:r>
      <w:r w:rsidRPr="000B03C1" w:rsidDel="00DE435A">
        <w:rPr>
          <w:color w:val="000000"/>
          <w:lang w:eastAsia="zh-CN"/>
        </w:rPr>
        <w:t xml:space="preserve"> </w:t>
      </w:r>
      <w:r>
        <w:rPr>
          <w:color w:val="000000"/>
          <w:lang w:eastAsia="zh-CN"/>
        </w:rPr>
        <w:t xml:space="preserve"> In addition, </w:t>
      </w:r>
      <w:r w:rsidRPr="000B03C1">
        <w:rPr>
          <w:color w:val="000000"/>
          <w:lang w:eastAsia="zh-CN"/>
        </w:rPr>
        <w:t>activities aimed at raising awareness on the practical implementation of flexibilities at the national level</w:t>
      </w:r>
      <w:r>
        <w:rPr>
          <w:color w:val="000000"/>
          <w:lang w:eastAsia="zh-CN"/>
        </w:rPr>
        <w:t xml:space="preserve"> were undertaken</w:t>
      </w:r>
      <w:r w:rsidR="009D4F31">
        <w:rPr>
          <w:color w:val="000000"/>
          <w:lang w:eastAsia="zh-CN"/>
        </w:rPr>
        <w:t>,</w:t>
      </w:r>
      <w:r>
        <w:rPr>
          <w:color w:val="000000"/>
          <w:lang w:eastAsia="zh-CN"/>
        </w:rPr>
        <w:t xml:space="preserve"> including </w:t>
      </w:r>
      <w:r w:rsidRPr="000B03C1">
        <w:rPr>
          <w:color w:val="000000"/>
          <w:lang w:eastAsia="zh-CN"/>
        </w:rPr>
        <w:t>14 national and regional seminars or workshops on the patent multilateral legal framework</w:t>
      </w:r>
      <w:r w:rsidR="009D4F31">
        <w:rPr>
          <w:color w:val="000000"/>
          <w:lang w:eastAsia="zh-CN"/>
        </w:rPr>
        <w:t>,</w:t>
      </w:r>
      <w:r w:rsidRPr="000B03C1">
        <w:rPr>
          <w:color w:val="000000"/>
          <w:lang w:eastAsia="zh-CN"/>
        </w:rPr>
        <w:t xml:space="preserve"> and public policy issues, including available flexibilities.  </w:t>
      </w:r>
    </w:p>
    <w:p w:rsidR="00F52522" w:rsidRPr="00785CE1" w:rsidRDefault="00F52522" w:rsidP="008A4774">
      <w:pPr>
        <w:rPr>
          <w:rFonts w:cs="Arial"/>
          <w:color w:val="000000"/>
          <w:lang w:eastAsia="zh-CN"/>
        </w:rPr>
      </w:pPr>
    </w:p>
    <w:p w:rsidR="00F52522" w:rsidRDefault="00F52522" w:rsidP="008A4774">
      <w:pPr>
        <w:rPr>
          <w:rFonts w:cs="Arial"/>
        </w:rPr>
      </w:pPr>
    </w:p>
    <w:p w:rsidR="00F52522" w:rsidRPr="007F4CF0" w:rsidRDefault="00F52522" w:rsidP="008A4774">
      <w:pPr>
        <w:jc w:val="both"/>
        <w:rPr>
          <w:rFonts w:cs="Arial"/>
          <w:szCs w:val="22"/>
        </w:rPr>
      </w:pPr>
      <w:r w:rsidRPr="007F4CF0">
        <w:rPr>
          <w:rFonts w:cs="Arial"/>
          <w:szCs w:val="22"/>
        </w:rPr>
        <w:t>PERFORMANCE DATA</w:t>
      </w:r>
    </w:p>
    <w:p w:rsidR="00F52522" w:rsidRPr="00035B75" w:rsidRDefault="00F52522" w:rsidP="008A4774">
      <w:pPr>
        <w:rPr>
          <w:b/>
          <w:szCs w:val="20"/>
        </w:rPr>
      </w:pPr>
    </w:p>
    <w:tbl>
      <w:tblPr>
        <w:tblW w:w="4888"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409"/>
        <w:gridCol w:w="2268"/>
        <w:gridCol w:w="1278"/>
        <w:gridCol w:w="2412"/>
        <w:gridCol w:w="990"/>
      </w:tblGrid>
      <w:tr w:rsidR="00F52522" w:rsidRPr="00B36F18" w:rsidTr="00CB438D">
        <w:trPr>
          <w:trHeight w:val="565"/>
        </w:trPr>
        <w:tc>
          <w:tcPr>
            <w:tcW w:w="5000" w:type="pct"/>
            <w:gridSpan w:val="5"/>
            <w:tcBorders>
              <w:top w:val="single" w:sz="4" w:space="0" w:color="auto"/>
              <w:bottom w:val="single" w:sz="4" w:space="0" w:color="auto"/>
            </w:tcBorders>
            <w:shd w:val="clear" w:color="auto" w:fill="C6D9F1" w:themeFill="text2" w:themeFillTint="33"/>
            <w:vAlign w:val="center"/>
          </w:tcPr>
          <w:p w:rsidR="00F52522" w:rsidRPr="00B36F18" w:rsidRDefault="00F52522" w:rsidP="008A4774">
            <w:pPr>
              <w:keepNext/>
              <w:keepLines/>
              <w:tabs>
                <w:tab w:val="left" w:pos="1452"/>
              </w:tabs>
              <w:ind w:left="1452" w:hanging="1452"/>
              <w:rPr>
                <w:rFonts w:cs="Arial"/>
                <w:b/>
                <w:bCs/>
                <w:sz w:val="16"/>
                <w:szCs w:val="16"/>
              </w:rPr>
            </w:pPr>
            <w:r w:rsidRPr="00B36F18">
              <w:rPr>
                <w:rFonts w:cs="Arial"/>
                <w:b/>
                <w:bCs/>
                <w:sz w:val="16"/>
                <w:szCs w:val="16"/>
              </w:rPr>
              <w:t>Expected Result:</w:t>
            </w:r>
            <w:r w:rsidRPr="00B36F18">
              <w:rPr>
                <w:rFonts w:cs="Arial"/>
                <w:b/>
                <w:bCs/>
                <w:sz w:val="16"/>
                <w:szCs w:val="16"/>
              </w:rPr>
              <w:tab/>
            </w:r>
            <w:r w:rsidRPr="00C83728">
              <w:rPr>
                <w:rFonts w:cs="Arial"/>
                <w:bCs/>
                <w:sz w:val="16"/>
                <w:szCs w:val="16"/>
              </w:rPr>
              <w:t>I.1</w:t>
            </w:r>
            <w:r>
              <w:rPr>
                <w:rFonts w:cs="Arial"/>
                <w:b/>
                <w:bCs/>
                <w:sz w:val="16"/>
                <w:szCs w:val="16"/>
              </w:rPr>
              <w:t xml:space="preserve"> </w:t>
            </w:r>
            <w:r w:rsidRPr="000E46A7">
              <w:rPr>
                <w:rFonts w:cs="Arial"/>
                <w:sz w:val="16"/>
                <w:szCs w:val="16"/>
                <w:lang w:bidi="th-TH"/>
              </w:rPr>
              <w:t>Enhanced cooperation among Member States on development of balanced international normative frameworks for IP and agreement on specific topics on which international instruments are agreed</w:t>
            </w:r>
          </w:p>
        </w:tc>
      </w:tr>
      <w:tr w:rsidR="00F52522" w:rsidRPr="00B36F18" w:rsidTr="00BA6F3B">
        <w:tc>
          <w:tcPr>
            <w:tcW w:w="1287" w:type="pct"/>
            <w:tcBorders>
              <w:top w:val="single" w:sz="4" w:space="0" w:color="auto"/>
              <w:left w:val="single" w:sz="4" w:space="0" w:color="auto"/>
              <w:bottom w:val="nil"/>
              <w:right w:val="nil"/>
            </w:tcBorders>
            <w:shd w:val="clear" w:color="auto" w:fill="auto"/>
            <w:vAlign w:val="center"/>
          </w:tcPr>
          <w:p w:rsidR="00F52522" w:rsidRPr="00B36F18" w:rsidRDefault="00F52522" w:rsidP="008A4774">
            <w:pPr>
              <w:rPr>
                <w:rFonts w:cs="Arial"/>
                <w:sz w:val="16"/>
                <w:szCs w:val="16"/>
              </w:rPr>
            </w:pPr>
            <w:r w:rsidRPr="00B36F18">
              <w:rPr>
                <w:rFonts w:cs="Arial"/>
                <w:b/>
                <w:bCs/>
                <w:sz w:val="16"/>
                <w:szCs w:val="16"/>
              </w:rPr>
              <w:t>Performance Indicators</w:t>
            </w:r>
          </w:p>
        </w:tc>
        <w:tc>
          <w:tcPr>
            <w:tcW w:w="1212" w:type="pct"/>
            <w:tcBorders>
              <w:top w:val="single" w:sz="4" w:space="0" w:color="auto"/>
              <w:left w:val="nil"/>
              <w:bottom w:val="nil"/>
              <w:right w:val="nil"/>
            </w:tcBorders>
            <w:shd w:val="clear" w:color="auto" w:fill="auto"/>
            <w:vAlign w:val="center"/>
          </w:tcPr>
          <w:p w:rsidR="00F52522" w:rsidRPr="00B36F18" w:rsidRDefault="00F52522" w:rsidP="008A4774">
            <w:pPr>
              <w:rPr>
                <w:rFonts w:cs="Arial"/>
                <w:b/>
                <w:bCs/>
                <w:sz w:val="16"/>
                <w:szCs w:val="16"/>
              </w:rPr>
            </w:pPr>
            <w:r w:rsidRPr="00B36F18">
              <w:rPr>
                <w:rFonts w:cs="Arial"/>
                <w:b/>
                <w:bCs/>
                <w:sz w:val="16"/>
                <w:szCs w:val="16"/>
              </w:rPr>
              <w:t>Baselines</w:t>
            </w:r>
          </w:p>
        </w:tc>
        <w:tc>
          <w:tcPr>
            <w:tcW w:w="682" w:type="pct"/>
            <w:tcBorders>
              <w:top w:val="single" w:sz="4" w:space="0" w:color="auto"/>
              <w:left w:val="nil"/>
              <w:bottom w:val="nil"/>
              <w:right w:val="nil"/>
            </w:tcBorders>
            <w:shd w:val="clear" w:color="auto" w:fill="auto"/>
            <w:tcMar>
              <w:top w:w="110" w:type="dxa"/>
            </w:tcMar>
            <w:vAlign w:val="center"/>
          </w:tcPr>
          <w:p w:rsidR="00F52522" w:rsidRPr="00B36F18" w:rsidRDefault="00F52522" w:rsidP="008A4774">
            <w:pPr>
              <w:rPr>
                <w:rFonts w:cs="Arial"/>
                <w:b/>
                <w:sz w:val="16"/>
                <w:szCs w:val="16"/>
              </w:rPr>
            </w:pPr>
            <w:r w:rsidRPr="00B36F18">
              <w:rPr>
                <w:rFonts w:cs="Arial"/>
                <w:b/>
                <w:sz w:val="16"/>
                <w:szCs w:val="16"/>
              </w:rPr>
              <w:t>Targets</w:t>
            </w:r>
          </w:p>
        </w:tc>
        <w:tc>
          <w:tcPr>
            <w:tcW w:w="1289" w:type="pct"/>
            <w:tcBorders>
              <w:top w:val="single" w:sz="4" w:space="0" w:color="auto"/>
              <w:left w:val="nil"/>
              <w:bottom w:val="nil"/>
              <w:right w:val="nil"/>
            </w:tcBorders>
            <w:shd w:val="clear" w:color="auto" w:fill="FFFFFF"/>
            <w:tcMar>
              <w:top w:w="110" w:type="dxa"/>
            </w:tcMar>
            <w:vAlign w:val="center"/>
          </w:tcPr>
          <w:p w:rsidR="00F52522" w:rsidRPr="00B36F18" w:rsidRDefault="00F52522" w:rsidP="008A4774">
            <w:pPr>
              <w:rPr>
                <w:rFonts w:cs="Arial"/>
                <w:sz w:val="16"/>
                <w:szCs w:val="16"/>
              </w:rPr>
            </w:pPr>
            <w:r w:rsidRPr="00B36F18">
              <w:rPr>
                <w:rFonts w:cs="Arial"/>
                <w:b/>
                <w:bCs/>
                <w:sz w:val="16"/>
                <w:szCs w:val="16"/>
              </w:rPr>
              <w:t>Performance Data</w:t>
            </w:r>
          </w:p>
        </w:tc>
        <w:tc>
          <w:tcPr>
            <w:tcW w:w="529" w:type="pct"/>
            <w:tcBorders>
              <w:top w:val="single" w:sz="4" w:space="0" w:color="auto"/>
              <w:left w:val="nil"/>
              <w:bottom w:val="nil"/>
              <w:right w:val="single" w:sz="4" w:space="0" w:color="auto"/>
            </w:tcBorders>
            <w:shd w:val="clear" w:color="auto" w:fill="auto"/>
            <w:tcMar>
              <w:top w:w="110" w:type="dxa"/>
            </w:tcMar>
            <w:vAlign w:val="center"/>
          </w:tcPr>
          <w:p w:rsidR="00F52522" w:rsidRPr="00B36F18" w:rsidRDefault="00F52522" w:rsidP="008A4774">
            <w:pPr>
              <w:keepNext/>
              <w:keepLines/>
              <w:jc w:val="center"/>
              <w:rPr>
                <w:rFonts w:cs="Arial"/>
                <w:b/>
                <w:sz w:val="16"/>
                <w:szCs w:val="16"/>
              </w:rPr>
            </w:pPr>
            <w:r w:rsidRPr="00044F6D">
              <w:rPr>
                <w:rFonts w:cs="Arial"/>
                <w:b/>
                <w:bCs/>
                <w:sz w:val="16"/>
                <w:szCs w:val="16"/>
              </w:rPr>
              <w:t>TLS</w:t>
            </w:r>
          </w:p>
        </w:tc>
      </w:tr>
      <w:tr w:rsidR="00F52522" w:rsidRPr="00B36F18" w:rsidTr="00BA6F3B">
        <w:tc>
          <w:tcPr>
            <w:tcW w:w="1287" w:type="pct"/>
            <w:tcBorders>
              <w:top w:val="nil"/>
              <w:left w:val="single" w:sz="4" w:space="0" w:color="auto"/>
              <w:bottom w:val="nil"/>
              <w:right w:val="nil"/>
            </w:tcBorders>
            <w:shd w:val="clear" w:color="auto" w:fill="auto"/>
          </w:tcPr>
          <w:p w:rsidR="00F52522" w:rsidRPr="00B36F18" w:rsidRDefault="00F52522" w:rsidP="008A4774">
            <w:pPr>
              <w:rPr>
                <w:rFonts w:cs="Arial"/>
                <w:sz w:val="16"/>
                <w:szCs w:val="16"/>
              </w:rPr>
            </w:pPr>
            <w:r w:rsidRPr="003A49C7">
              <w:rPr>
                <w:rFonts w:cs="Arial"/>
                <w:sz w:val="16"/>
                <w:szCs w:val="16"/>
              </w:rPr>
              <w:t>Progress on the implementation of SCP agreed steps/plans</w:t>
            </w:r>
          </w:p>
        </w:tc>
        <w:tc>
          <w:tcPr>
            <w:tcW w:w="1212" w:type="pct"/>
            <w:tcBorders>
              <w:top w:val="nil"/>
              <w:left w:val="nil"/>
              <w:bottom w:val="nil"/>
              <w:right w:val="nil"/>
            </w:tcBorders>
            <w:shd w:val="clear" w:color="auto" w:fill="auto"/>
          </w:tcPr>
          <w:p w:rsidR="00F52522" w:rsidRPr="002D16FB" w:rsidRDefault="00F52522" w:rsidP="008A4774">
            <w:pPr>
              <w:rPr>
                <w:rFonts w:cs="Arial"/>
                <w:i/>
                <w:color w:val="002060"/>
                <w:sz w:val="16"/>
                <w:szCs w:val="16"/>
              </w:rPr>
            </w:pPr>
            <w:r w:rsidRPr="002D16FB">
              <w:rPr>
                <w:rFonts w:cs="Arial"/>
                <w:i/>
                <w:color w:val="002060"/>
                <w:sz w:val="16"/>
                <w:szCs w:val="16"/>
              </w:rPr>
              <w:t>Updated Baseline</w:t>
            </w:r>
            <w:r w:rsidRPr="002D16FB">
              <w:rPr>
                <w:rFonts w:cs="Arial"/>
                <w:i/>
                <w:color w:val="002060"/>
                <w:sz w:val="16"/>
                <w:szCs w:val="16"/>
              </w:rPr>
              <w:br/>
              <w:t xml:space="preserve">end 2013:  </w:t>
            </w:r>
            <w:r w:rsidRPr="002D16FB">
              <w:rPr>
                <w:rFonts w:cs="Arial"/>
                <w:color w:val="002060"/>
                <w:sz w:val="16"/>
                <w:szCs w:val="16"/>
                <w:lang w:bidi="th-TH"/>
              </w:rPr>
              <w:t>The SCP concentrated its efforts on progressing the five topics on its agenda, and advanced its discussions through, for example, collecting information through a questionnaire, preparing studies and exchanging national practices and experiences among Member States.</w:t>
            </w:r>
          </w:p>
          <w:p w:rsidR="00F52522" w:rsidRPr="00F97C8F" w:rsidRDefault="00F52522" w:rsidP="008A4774">
            <w:pPr>
              <w:rPr>
                <w:rFonts w:cs="Arial"/>
                <w:i/>
                <w:sz w:val="8"/>
                <w:szCs w:val="8"/>
              </w:rPr>
            </w:pPr>
          </w:p>
          <w:p w:rsidR="00F52522" w:rsidRPr="00F97C8F" w:rsidRDefault="00F52522" w:rsidP="008A4774">
            <w:pPr>
              <w:rPr>
                <w:rFonts w:cs="Arial"/>
                <w:sz w:val="16"/>
                <w:szCs w:val="16"/>
              </w:rPr>
            </w:pPr>
            <w:r w:rsidRPr="00F97C8F">
              <w:rPr>
                <w:rFonts w:cs="Arial"/>
                <w:i/>
                <w:sz w:val="16"/>
                <w:szCs w:val="16"/>
                <w:lang w:bidi="th-TH"/>
              </w:rPr>
              <w:t xml:space="preserve">Original Baseline </w:t>
            </w:r>
            <w:r w:rsidRPr="00F97C8F">
              <w:rPr>
                <w:rFonts w:cs="Arial"/>
                <w:i/>
                <w:sz w:val="16"/>
                <w:szCs w:val="16"/>
                <w:lang w:bidi="th-TH"/>
              </w:rPr>
              <w:br/>
              <w:t xml:space="preserve">P&amp;B 2014/15: </w:t>
            </w:r>
            <w:r w:rsidRPr="00F97C8F">
              <w:rPr>
                <w:rFonts w:cs="Arial"/>
                <w:sz w:val="16"/>
                <w:szCs w:val="16"/>
                <w:lang w:bidi="th-TH"/>
              </w:rPr>
              <w:t>To be determined</w:t>
            </w:r>
          </w:p>
        </w:tc>
        <w:tc>
          <w:tcPr>
            <w:tcW w:w="682" w:type="pct"/>
            <w:tcBorders>
              <w:top w:val="nil"/>
              <w:left w:val="nil"/>
              <w:bottom w:val="nil"/>
              <w:right w:val="nil"/>
            </w:tcBorders>
            <w:shd w:val="clear" w:color="auto" w:fill="auto"/>
            <w:tcMar>
              <w:top w:w="110" w:type="dxa"/>
            </w:tcMar>
          </w:tcPr>
          <w:p w:rsidR="00F52522" w:rsidRPr="00F97C8F" w:rsidRDefault="00F52522" w:rsidP="008A4774">
            <w:pPr>
              <w:rPr>
                <w:rFonts w:cs="Arial"/>
                <w:sz w:val="16"/>
                <w:szCs w:val="16"/>
              </w:rPr>
            </w:pPr>
            <w:r w:rsidRPr="00F97C8F">
              <w:rPr>
                <w:rFonts w:cs="Arial"/>
                <w:sz w:val="16"/>
                <w:szCs w:val="16"/>
              </w:rPr>
              <w:t>Advancement on issues of common interest at the SCP</w:t>
            </w:r>
          </w:p>
        </w:tc>
        <w:tc>
          <w:tcPr>
            <w:tcW w:w="1289" w:type="pct"/>
            <w:tcBorders>
              <w:top w:val="nil"/>
              <w:left w:val="nil"/>
              <w:bottom w:val="nil"/>
              <w:right w:val="nil"/>
            </w:tcBorders>
            <w:shd w:val="clear" w:color="auto" w:fill="FFFFFF"/>
            <w:tcMar>
              <w:top w:w="110" w:type="dxa"/>
            </w:tcMar>
          </w:tcPr>
          <w:p w:rsidR="00F52522" w:rsidRPr="00785CE1" w:rsidRDefault="00F52522">
            <w:pPr>
              <w:rPr>
                <w:rFonts w:cs="Arial"/>
                <w:sz w:val="16"/>
                <w:szCs w:val="16"/>
              </w:rPr>
            </w:pPr>
            <w:r w:rsidRPr="00785CE1">
              <w:rPr>
                <w:rFonts w:cs="Arial"/>
                <w:sz w:val="16"/>
                <w:szCs w:val="16"/>
              </w:rPr>
              <w:t xml:space="preserve">The SCP concentrated its efforts on the progress of the five topics </w:t>
            </w:r>
            <w:r>
              <w:rPr>
                <w:rFonts w:cs="Arial"/>
                <w:sz w:val="16"/>
                <w:szCs w:val="16"/>
              </w:rPr>
              <w:t>o</w:t>
            </w:r>
            <w:r w:rsidRPr="00785CE1">
              <w:rPr>
                <w:rFonts w:cs="Arial"/>
                <w:sz w:val="16"/>
                <w:szCs w:val="16"/>
              </w:rPr>
              <w:t>n its agenda, and advanced its discussions through, for example, preparing studies, collecting information on national laws and practices and exchanging national experiences among Member States.   Discussions were based on delegations’ proposals (12) and documents prepared by the Secretariat (27</w:t>
            </w:r>
            <w:r>
              <w:rPr>
                <w:rFonts w:cs="Arial"/>
                <w:sz w:val="16"/>
                <w:szCs w:val="16"/>
              </w:rPr>
              <w:t>) during the biennium</w:t>
            </w:r>
          </w:p>
        </w:tc>
        <w:tc>
          <w:tcPr>
            <w:tcW w:w="529" w:type="pct"/>
            <w:tcBorders>
              <w:top w:val="nil"/>
              <w:left w:val="nil"/>
              <w:bottom w:val="nil"/>
              <w:right w:val="single" w:sz="4" w:space="0" w:color="auto"/>
            </w:tcBorders>
            <w:shd w:val="clear" w:color="auto" w:fill="auto"/>
            <w:tcMar>
              <w:top w:w="110" w:type="dxa"/>
            </w:tcMar>
          </w:tcPr>
          <w:p w:rsidR="00F52522" w:rsidRPr="00AB5747" w:rsidRDefault="00F52522" w:rsidP="008A4774">
            <w:pPr>
              <w:keepNext/>
              <w:keepLines/>
              <w:jc w:val="center"/>
              <w:rPr>
                <w:rFonts w:cs="Arial"/>
                <w:color w:val="00B050"/>
                <w:sz w:val="16"/>
                <w:szCs w:val="16"/>
              </w:rPr>
            </w:pPr>
            <w:r>
              <w:rPr>
                <w:b/>
                <w:bCs/>
                <w:color w:val="00B050"/>
                <w:sz w:val="16"/>
                <w:szCs w:val="16"/>
              </w:rPr>
              <w:t xml:space="preserve">Fully </w:t>
            </w:r>
            <w:r w:rsidR="003770BC">
              <w:rPr>
                <w:b/>
                <w:bCs/>
                <w:color w:val="00B050"/>
                <w:sz w:val="16"/>
                <w:szCs w:val="16"/>
              </w:rPr>
              <w:t>A</w:t>
            </w:r>
            <w:r>
              <w:rPr>
                <w:b/>
                <w:bCs/>
                <w:color w:val="00B050"/>
                <w:sz w:val="16"/>
                <w:szCs w:val="16"/>
              </w:rPr>
              <w:t>chieved</w:t>
            </w:r>
          </w:p>
        </w:tc>
      </w:tr>
      <w:tr w:rsidR="00F52522" w:rsidRPr="00B36F18" w:rsidTr="00BA6F3B">
        <w:tc>
          <w:tcPr>
            <w:tcW w:w="1287" w:type="pct"/>
            <w:tcBorders>
              <w:top w:val="nil"/>
              <w:left w:val="single" w:sz="4" w:space="0" w:color="auto"/>
              <w:bottom w:val="single" w:sz="4" w:space="0" w:color="auto"/>
              <w:right w:val="nil"/>
            </w:tcBorders>
            <w:shd w:val="clear" w:color="auto" w:fill="auto"/>
          </w:tcPr>
          <w:p w:rsidR="00F52522" w:rsidRPr="00B36F18" w:rsidRDefault="00F52522" w:rsidP="008A4774">
            <w:pPr>
              <w:rPr>
                <w:rFonts w:cs="Arial"/>
                <w:sz w:val="16"/>
                <w:szCs w:val="16"/>
              </w:rPr>
            </w:pPr>
            <w:r w:rsidRPr="003A49C7">
              <w:rPr>
                <w:rFonts w:cs="Arial"/>
                <w:sz w:val="16"/>
                <w:szCs w:val="16"/>
              </w:rPr>
              <w:t>% of satisfied participants in targeted workshops/</w:t>
            </w:r>
            <w:r>
              <w:rPr>
                <w:rFonts w:cs="Arial"/>
                <w:sz w:val="16"/>
                <w:szCs w:val="16"/>
              </w:rPr>
              <w:t xml:space="preserve"> </w:t>
            </w:r>
            <w:r w:rsidRPr="003A49C7">
              <w:rPr>
                <w:rFonts w:cs="Arial"/>
                <w:sz w:val="16"/>
                <w:szCs w:val="16"/>
              </w:rPr>
              <w:t>seminars/</w:t>
            </w:r>
            <w:r>
              <w:rPr>
                <w:rFonts w:cs="Arial"/>
                <w:sz w:val="16"/>
                <w:szCs w:val="16"/>
              </w:rPr>
              <w:t xml:space="preserve"> </w:t>
            </w:r>
            <w:r w:rsidRPr="003A49C7">
              <w:rPr>
                <w:rFonts w:cs="Arial"/>
                <w:sz w:val="16"/>
                <w:szCs w:val="16"/>
              </w:rPr>
              <w:t>conferences held on specific patent-related topics</w:t>
            </w:r>
          </w:p>
        </w:tc>
        <w:tc>
          <w:tcPr>
            <w:tcW w:w="1212" w:type="pct"/>
            <w:tcBorders>
              <w:top w:val="nil"/>
              <w:left w:val="nil"/>
              <w:bottom w:val="single" w:sz="4" w:space="0" w:color="auto"/>
              <w:right w:val="nil"/>
            </w:tcBorders>
            <w:shd w:val="clear" w:color="auto" w:fill="auto"/>
          </w:tcPr>
          <w:p w:rsidR="00F52522" w:rsidRPr="002D16FB" w:rsidRDefault="00F52522" w:rsidP="008A4774">
            <w:pPr>
              <w:rPr>
                <w:rFonts w:cs="Arial"/>
                <w:color w:val="002060"/>
                <w:sz w:val="16"/>
                <w:szCs w:val="16"/>
                <w:lang w:bidi="th-TH"/>
              </w:rPr>
            </w:pPr>
            <w:r w:rsidRPr="002D16FB">
              <w:rPr>
                <w:rFonts w:cs="Arial"/>
                <w:i/>
                <w:color w:val="002060"/>
                <w:sz w:val="16"/>
                <w:szCs w:val="16"/>
              </w:rPr>
              <w:t>Updated Baseline</w:t>
            </w:r>
            <w:r w:rsidRPr="002D16FB">
              <w:rPr>
                <w:rFonts w:cs="Arial"/>
                <w:i/>
                <w:color w:val="002060"/>
                <w:sz w:val="16"/>
                <w:szCs w:val="16"/>
              </w:rPr>
              <w:br/>
              <w:t xml:space="preserve">end 2013:  </w:t>
            </w:r>
            <w:r w:rsidRPr="002D16FB">
              <w:rPr>
                <w:rFonts w:cs="Arial"/>
                <w:color w:val="002060"/>
                <w:sz w:val="16"/>
                <w:szCs w:val="16"/>
                <w:lang w:bidi="th-TH"/>
              </w:rPr>
              <w:t>92.5%, based on 2012/13 survey</w:t>
            </w:r>
          </w:p>
          <w:p w:rsidR="00F52522" w:rsidRPr="00F97C8F" w:rsidRDefault="00F52522" w:rsidP="008A4774">
            <w:pPr>
              <w:rPr>
                <w:rFonts w:cs="Arial"/>
                <w:i/>
                <w:sz w:val="8"/>
                <w:szCs w:val="8"/>
              </w:rPr>
            </w:pPr>
          </w:p>
          <w:p w:rsidR="00F52522" w:rsidRPr="00F97C8F" w:rsidRDefault="00F52522" w:rsidP="008A4774">
            <w:pPr>
              <w:rPr>
                <w:rFonts w:cs="Arial"/>
                <w:i/>
                <w:sz w:val="16"/>
                <w:szCs w:val="16"/>
                <w:lang w:bidi="th-TH"/>
              </w:rPr>
            </w:pPr>
            <w:r w:rsidRPr="00F97C8F">
              <w:rPr>
                <w:rFonts w:cs="Arial"/>
                <w:i/>
                <w:sz w:val="16"/>
                <w:szCs w:val="16"/>
                <w:lang w:bidi="th-TH"/>
              </w:rPr>
              <w:t xml:space="preserve">Original Baseline </w:t>
            </w:r>
            <w:r w:rsidRPr="00F97C8F">
              <w:rPr>
                <w:rFonts w:cs="Arial"/>
                <w:i/>
                <w:sz w:val="16"/>
                <w:szCs w:val="16"/>
                <w:lang w:bidi="th-TH"/>
              </w:rPr>
              <w:br/>
              <w:t xml:space="preserve">P&amp;B 2014/15: </w:t>
            </w:r>
            <w:r w:rsidRPr="00F97C8F">
              <w:rPr>
                <w:rFonts w:cs="Arial"/>
                <w:sz w:val="16"/>
                <w:szCs w:val="16"/>
                <w:lang w:bidi="th-TH"/>
              </w:rPr>
              <w:t>Surveys 2012</w:t>
            </w:r>
          </w:p>
          <w:p w:rsidR="00F52522" w:rsidRPr="00F97C8F" w:rsidRDefault="00F52522" w:rsidP="008A4774">
            <w:pPr>
              <w:rPr>
                <w:rFonts w:cs="Arial"/>
                <w:sz w:val="16"/>
                <w:szCs w:val="16"/>
              </w:rPr>
            </w:pPr>
          </w:p>
        </w:tc>
        <w:tc>
          <w:tcPr>
            <w:tcW w:w="682" w:type="pct"/>
            <w:tcBorders>
              <w:top w:val="nil"/>
              <w:left w:val="nil"/>
              <w:bottom w:val="single" w:sz="4" w:space="0" w:color="auto"/>
              <w:right w:val="nil"/>
            </w:tcBorders>
            <w:shd w:val="clear" w:color="auto" w:fill="auto"/>
            <w:tcMar>
              <w:top w:w="110" w:type="dxa"/>
            </w:tcMar>
          </w:tcPr>
          <w:p w:rsidR="00F52522" w:rsidRPr="00F97C8F" w:rsidRDefault="00F52522" w:rsidP="008A4774">
            <w:pPr>
              <w:rPr>
                <w:rFonts w:cs="Arial"/>
                <w:sz w:val="16"/>
                <w:szCs w:val="16"/>
              </w:rPr>
            </w:pPr>
            <w:r w:rsidRPr="00F97C8F">
              <w:rPr>
                <w:rFonts w:cs="Arial"/>
                <w:sz w:val="16"/>
                <w:szCs w:val="16"/>
              </w:rPr>
              <w:t>90%</w:t>
            </w:r>
          </w:p>
        </w:tc>
        <w:tc>
          <w:tcPr>
            <w:tcW w:w="1289" w:type="pct"/>
            <w:tcBorders>
              <w:top w:val="nil"/>
              <w:left w:val="nil"/>
              <w:bottom w:val="single" w:sz="4" w:space="0" w:color="auto"/>
              <w:right w:val="nil"/>
            </w:tcBorders>
            <w:shd w:val="clear" w:color="auto" w:fill="FFFFFF"/>
            <w:tcMar>
              <w:top w:w="110" w:type="dxa"/>
            </w:tcMar>
          </w:tcPr>
          <w:p w:rsidR="00F52522" w:rsidRPr="00785CE1" w:rsidRDefault="00F52522" w:rsidP="008A4774">
            <w:pPr>
              <w:rPr>
                <w:rFonts w:cs="Arial"/>
                <w:sz w:val="16"/>
                <w:szCs w:val="16"/>
              </w:rPr>
            </w:pPr>
            <w:r w:rsidRPr="00785CE1">
              <w:rPr>
                <w:rFonts w:cs="Arial"/>
                <w:sz w:val="16"/>
                <w:szCs w:val="16"/>
              </w:rPr>
              <w:t>96</w:t>
            </w:r>
            <w:r>
              <w:rPr>
                <w:rFonts w:cs="Arial"/>
                <w:sz w:val="16"/>
                <w:szCs w:val="16"/>
              </w:rPr>
              <w:t>.</w:t>
            </w:r>
            <w:r w:rsidRPr="00785CE1">
              <w:rPr>
                <w:rFonts w:cs="Arial"/>
                <w:sz w:val="16"/>
                <w:szCs w:val="16"/>
              </w:rPr>
              <w:t>85% based on questionnaires fil</w:t>
            </w:r>
            <w:r>
              <w:rPr>
                <w:rFonts w:cs="Arial"/>
                <w:sz w:val="16"/>
                <w:szCs w:val="16"/>
              </w:rPr>
              <w:t>l</w:t>
            </w:r>
            <w:r w:rsidRPr="00785CE1">
              <w:rPr>
                <w:rFonts w:cs="Arial"/>
                <w:sz w:val="16"/>
                <w:szCs w:val="16"/>
              </w:rPr>
              <w:t>e</w:t>
            </w:r>
            <w:r>
              <w:rPr>
                <w:rFonts w:cs="Arial"/>
                <w:sz w:val="16"/>
                <w:szCs w:val="16"/>
              </w:rPr>
              <w:t>d</w:t>
            </w:r>
            <w:r w:rsidRPr="00785CE1">
              <w:rPr>
                <w:rFonts w:cs="Arial"/>
                <w:sz w:val="16"/>
                <w:szCs w:val="16"/>
              </w:rPr>
              <w:t xml:space="preserve"> out by participants</w:t>
            </w:r>
          </w:p>
        </w:tc>
        <w:tc>
          <w:tcPr>
            <w:tcW w:w="529" w:type="pct"/>
            <w:tcBorders>
              <w:top w:val="nil"/>
              <w:left w:val="nil"/>
              <w:bottom w:val="single" w:sz="4" w:space="0" w:color="auto"/>
              <w:right w:val="single" w:sz="4" w:space="0" w:color="auto"/>
            </w:tcBorders>
            <w:shd w:val="clear" w:color="auto" w:fill="auto"/>
            <w:tcMar>
              <w:top w:w="110" w:type="dxa"/>
            </w:tcMar>
          </w:tcPr>
          <w:p w:rsidR="00F52522" w:rsidRDefault="00F52522" w:rsidP="008A4774">
            <w:pPr>
              <w:keepNext/>
              <w:keepLines/>
              <w:jc w:val="center"/>
              <w:rPr>
                <w:rFonts w:cs="Arial"/>
                <w:color w:val="10862C"/>
                <w:sz w:val="16"/>
                <w:szCs w:val="16"/>
              </w:rPr>
            </w:pPr>
            <w:r>
              <w:rPr>
                <w:b/>
                <w:bCs/>
                <w:color w:val="00B050"/>
                <w:sz w:val="16"/>
                <w:szCs w:val="16"/>
              </w:rPr>
              <w:t xml:space="preserve">Fully </w:t>
            </w:r>
            <w:r w:rsidR="003770BC">
              <w:rPr>
                <w:b/>
                <w:bCs/>
                <w:color w:val="00B050"/>
                <w:sz w:val="16"/>
                <w:szCs w:val="16"/>
              </w:rPr>
              <w:t>A</w:t>
            </w:r>
            <w:r>
              <w:rPr>
                <w:b/>
                <w:bCs/>
                <w:color w:val="00B050"/>
                <w:sz w:val="16"/>
                <w:szCs w:val="16"/>
              </w:rPr>
              <w:t>chieved</w:t>
            </w:r>
          </w:p>
        </w:tc>
      </w:tr>
      <w:tr w:rsidR="00F52522" w:rsidRPr="00B36F18" w:rsidTr="00CB438D">
        <w:trPr>
          <w:trHeight w:val="431"/>
        </w:trPr>
        <w:tc>
          <w:tcPr>
            <w:tcW w:w="5000" w:type="pct"/>
            <w:gridSpan w:val="5"/>
            <w:tcBorders>
              <w:top w:val="nil"/>
              <w:bottom w:val="single" w:sz="4" w:space="0" w:color="auto"/>
            </w:tcBorders>
            <w:shd w:val="clear" w:color="auto" w:fill="C6D9F1" w:themeFill="text2" w:themeFillTint="33"/>
            <w:vAlign w:val="center"/>
          </w:tcPr>
          <w:p w:rsidR="00F52522" w:rsidRPr="00F97C8F" w:rsidRDefault="00F52522" w:rsidP="008A4774">
            <w:pPr>
              <w:keepNext/>
              <w:keepLines/>
              <w:tabs>
                <w:tab w:val="left" w:pos="1452"/>
              </w:tabs>
              <w:ind w:left="1452" w:hanging="1452"/>
              <w:rPr>
                <w:rFonts w:cs="Arial"/>
                <w:b/>
                <w:bCs/>
                <w:sz w:val="16"/>
                <w:szCs w:val="16"/>
              </w:rPr>
            </w:pPr>
            <w:r w:rsidRPr="00F97C8F">
              <w:rPr>
                <w:rFonts w:cs="Arial"/>
                <w:b/>
                <w:bCs/>
                <w:sz w:val="16"/>
                <w:szCs w:val="16"/>
              </w:rPr>
              <w:t>Expected Result:</w:t>
            </w:r>
            <w:r w:rsidRPr="00F97C8F">
              <w:rPr>
                <w:rFonts w:cs="Arial"/>
                <w:b/>
                <w:bCs/>
                <w:sz w:val="16"/>
                <w:szCs w:val="16"/>
              </w:rPr>
              <w:tab/>
            </w:r>
            <w:r w:rsidRPr="00F97C8F">
              <w:rPr>
                <w:rFonts w:cs="Arial"/>
                <w:bCs/>
                <w:sz w:val="16"/>
                <w:szCs w:val="16"/>
              </w:rPr>
              <w:t>I.2</w:t>
            </w:r>
            <w:r w:rsidRPr="00F97C8F">
              <w:rPr>
                <w:rFonts w:cs="Arial"/>
                <w:b/>
                <w:bCs/>
                <w:sz w:val="16"/>
                <w:szCs w:val="16"/>
              </w:rPr>
              <w:t xml:space="preserve"> </w:t>
            </w:r>
            <w:r w:rsidRPr="00F97C8F">
              <w:rPr>
                <w:rFonts w:cs="Arial"/>
                <w:sz w:val="16"/>
                <w:szCs w:val="16"/>
                <w:lang w:bidi="th-TH"/>
              </w:rPr>
              <w:t>Tailored and balanced IP legislative, regulatory and policy frameworks</w:t>
            </w:r>
          </w:p>
        </w:tc>
      </w:tr>
      <w:tr w:rsidR="00F52522" w:rsidRPr="00B36F18" w:rsidTr="00E37059">
        <w:trPr>
          <w:trHeight w:val="280"/>
        </w:trPr>
        <w:tc>
          <w:tcPr>
            <w:tcW w:w="1287" w:type="pct"/>
            <w:tcBorders>
              <w:top w:val="single" w:sz="4" w:space="0" w:color="auto"/>
            </w:tcBorders>
            <w:shd w:val="clear" w:color="auto" w:fill="auto"/>
            <w:vAlign w:val="center"/>
          </w:tcPr>
          <w:p w:rsidR="00F52522" w:rsidRPr="00B36F18" w:rsidRDefault="00F52522" w:rsidP="008A4774">
            <w:pPr>
              <w:rPr>
                <w:rFonts w:cs="Arial"/>
                <w:sz w:val="16"/>
                <w:szCs w:val="16"/>
              </w:rPr>
            </w:pPr>
            <w:r w:rsidRPr="00B36F18">
              <w:rPr>
                <w:rFonts w:cs="Arial"/>
                <w:b/>
                <w:bCs/>
                <w:sz w:val="16"/>
                <w:szCs w:val="16"/>
              </w:rPr>
              <w:t>Performance Indicators</w:t>
            </w:r>
          </w:p>
        </w:tc>
        <w:tc>
          <w:tcPr>
            <w:tcW w:w="1212" w:type="pct"/>
            <w:tcBorders>
              <w:top w:val="single" w:sz="4" w:space="0" w:color="auto"/>
            </w:tcBorders>
            <w:shd w:val="clear" w:color="auto" w:fill="auto"/>
            <w:vAlign w:val="center"/>
          </w:tcPr>
          <w:p w:rsidR="00F52522" w:rsidRPr="00F97C8F" w:rsidRDefault="00F52522" w:rsidP="008A4774">
            <w:pPr>
              <w:rPr>
                <w:rFonts w:cs="Arial"/>
                <w:b/>
                <w:bCs/>
                <w:sz w:val="16"/>
                <w:szCs w:val="16"/>
              </w:rPr>
            </w:pPr>
            <w:r w:rsidRPr="00F97C8F">
              <w:rPr>
                <w:rFonts w:cs="Arial"/>
                <w:b/>
                <w:bCs/>
                <w:sz w:val="16"/>
                <w:szCs w:val="16"/>
              </w:rPr>
              <w:t>Baselines</w:t>
            </w:r>
          </w:p>
        </w:tc>
        <w:tc>
          <w:tcPr>
            <w:tcW w:w="683" w:type="pct"/>
            <w:tcBorders>
              <w:top w:val="single" w:sz="4" w:space="0" w:color="auto"/>
            </w:tcBorders>
            <w:shd w:val="clear" w:color="auto" w:fill="auto"/>
            <w:tcMar>
              <w:top w:w="110" w:type="dxa"/>
            </w:tcMar>
            <w:vAlign w:val="center"/>
          </w:tcPr>
          <w:p w:rsidR="00F52522" w:rsidRPr="00F97C8F" w:rsidRDefault="00F52522" w:rsidP="008A4774">
            <w:pPr>
              <w:rPr>
                <w:rFonts w:cs="Arial"/>
                <w:b/>
                <w:sz w:val="16"/>
                <w:szCs w:val="16"/>
              </w:rPr>
            </w:pPr>
            <w:r w:rsidRPr="00F97C8F">
              <w:rPr>
                <w:rFonts w:cs="Arial"/>
                <w:b/>
                <w:sz w:val="16"/>
                <w:szCs w:val="16"/>
              </w:rPr>
              <w:t>Targets</w:t>
            </w:r>
          </w:p>
        </w:tc>
        <w:tc>
          <w:tcPr>
            <w:tcW w:w="1289" w:type="pct"/>
            <w:tcBorders>
              <w:top w:val="single" w:sz="4" w:space="0" w:color="auto"/>
            </w:tcBorders>
            <w:shd w:val="clear" w:color="auto" w:fill="auto"/>
            <w:tcMar>
              <w:top w:w="110" w:type="dxa"/>
            </w:tcMar>
            <w:vAlign w:val="center"/>
          </w:tcPr>
          <w:p w:rsidR="00F52522" w:rsidRPr="00F97C8F" w:rsidRDefault="00F52522" w:rsidP="008A4774">
            <w:pPr>
              <w:rPr>
                <w:rFonts w:cs="Arial"/>
                <w:sz w:val="16"/>
                <w:szCs w:val="16"/>
              </w:rPr>
            </w:pPr>
            <w:r w:rsidRPr="00F97C8F">
              <w:rPr>
                <w:rFonts w:cs="Arial"/>
                <w:b/>
                <w:bCs/>
                <w:sz w:val="16"/>
                <w:szCs w:val="16"/>
              </w:rPr>
              <w:t>Performance Data</w:t>
            </w:r>
          </w:p>
        </w:tc>
        <w:tc>
          <w:tcPr>
            <w:tcW w:w="529" w:type="pct"/>
            <w:tcBorders>
              <w:top w:val="single" w:sz="4" w:space="0" w:color="auto"/>
            </w:tcBorders>
            <w:shd w:val="clear" w:color="auto" w:fill="auto"/>
            <w:tcMar>
              <w:top w:w="110" w:type="dxa"/>
            </w:tcMar>
            <w:vAlign w:val="center"/>
          </w:tcPr>
          <w:p w:rsidR="00F52522" w:rsidRPr="00B36F18" w:rsidRDefault="00F52522" w:rsidP="008A4774">
            <w:pPr>
              <w:keepNext/>
              <w:keepLines/>
              <w:jc w:val="center"/>
              <w:rPr>
                <w:rFonts w:cs="Arial"/>
                <w:b/>
                <w:sz w:val="16"/>
                <w:szCs w:val="16"/>
              </w:rPr>
            </w:pPr>
            <w:r w:rsidRPr="00B36F18">
              <w:rPr>
                <w:rFonts w:cs="Arial"/>
                <w:b/>
                <w:bCs/>
                <w:sz w:val="16"/>
                <w:szCs w:val="16"/>
              </w:rPr>
              <w:t>TLS</w:t>
            </w:r>
          </w:p>
        </w:tc>
      </w:tr>
      <w:tr w:rsidR="00F52522" w:rsidRPr="00B36F18" w:rsidTr="00E37059">
        <w:tc>
          <w:tcPr>
            <w:tcW w:w="1287" w:type="pct"/>
            <w:shd w:val="clear" w:color="auto" w:fill="FFFFFF"/>
          </w:tcPr>
          <w:p w:rsidR="00F52522" w:rsidRPr="007A411D" w:rsidRDefault="00F52522" w:rsidP="008A4774">
            <w:pPr>
              <w:rPr>
                <w:rFonts w:cs="Arial"/>
                <w:sz w:val="16"/>
                <w:szCs w:val="16"/>
                <w:lang w:bidi="th-TH"/>
              </w:rPr>
            </w:pPr>
            <w:r w:rsidRPr="007A411D">
              <w:rPr>
                <w:rFonts w:cs="Arial"/>
                <w:sz w:val="16"/>
                <w:szCs w:val="16"/>
                <w:lang w:bidi="th-TH"/>
              </w:rPr>
              <w:t>N</w:t>
            </w:r>
            <w:r>
              <w:rPr>
                <w:rFonts w:cs="Arial"/>
                <w:sz w:val="16"/>
                <w:szCs w:val="16"/>
                <w:lang w:bidi="th-TH"/>
              </w:rPr>
              <w:t xml:space="preserve">o. </w:t>
            </w:r>
            <w:r w:rsidRPr="007A411D">
              <w:rPr>
                <w:rFonts w:cs="Arial"/>
                <w:sz w:val="16"/>
                <w:szCs w:val="16"/>
                <w:lang w:bidi="th-TH"/>
              </w:rPr>
              <w:t>and % of Member States which found the provided information concerning the legal principles and practices of the patent system, including the flexibilities existing in the system and the challenges it faces, useful</w:t>
            </w:r>
          </w:p>
        </w:tc>
        <w:tc>
          <w:tcPr>
            <w:tcW w:w="1212" w:type="pct"/>
            <w:shd w:val="clear" w:color="auto" w:fill="auto"/>
          </w:tcPr>
          <w:p w:rsidR="00F52522" w:rsidRPr="002D16FB" w:rsidRDefault="00F52522" w:rsidP="008A4774">
            <w:pPr>
              <w:rPr>
                <w:rFonts w:cs="Arial"/>
                <w:color w:val="002060"/>
                <w:sz w:val="16"/>
                <w:szCs w:val="16"/>
                <w:lang w:bidi="th-TH"/>
              </w:rPr>
            </w:pPr>
            <w:r w:rsidRPr="002D16FB">
              <w:rPr>
                <w:rFonts w:cs="Arial"/>
                <w:i/>
                <w:color w:val="002060"/>
                <w:sz w:val="16"/>
                <w:szCs w:val="16"/>
              </w:rPr>
              <w:t>Updated Baseline</w:t>
            </w:r>
            <w:r w:rsidRPr="002D16FB">
              <w:rPr>
                <w:rFonts w:cs="Arial"/>
                <w:i/>
                <w:color w:val="002060"/>
                <w:sz w:val="16"/>
                <w:szCs w:val="16"/>
              </w:rPr>
              <w:br/>
              <w:t xml:space="preserve">end 2013:  </w:t>
            </w:r>
            <w:r w:rsidRPr="002D16FB">
              <w:rPr>
                <w:rFonts w:cs="Arial"/>
                <w:color w:val="002060"/>
                <w:sz w:val="16"/>
                <w:szCs w:val="16"/>
                <w:lang w:bidi="th-TH"/>
              </w:rPr>
              <w:t>90% based on survey conducted by IOD in 2013 among 47 Member States</w:t>
            </w:r>
          </w:p>
          <w:p w:rsidR="00F52522" w:rsidRPr="00F97C8F" w:rsidRDefault="00F52522" w:rsidP="008A4774">
            <w:pPr>
              <w:rPr>
                <w:rFonts w:cs="Arial"/>
                <w:i/>
                <w:sz w:val="8"/>
                <w:szCs w:val="8"/>
                <w:lang w:bidi="th-TH"/>
              </w:rPr>
            </w:pPr>
          </w:p>
          <w:p w:rsidR="00F52522" w:rsidRPr="00F97C8F" w:rsidRDefault="00F52522" w:rsidP="008A4774">
            <w:pPr>
              <w:rPr>
                <w:rFonts w:cs="Arial"/>
                <w:i/>
                <w:sz w:val="16"/>
                <w:szCs w:val="16"/>
                <w:lang w:bidi="th-TH"/>
              </w:rPr>
            </w:pPr>
            <w:r w:rsidRPr="00F97C8F">
              <w:rPr>
                <w:rFonts w:cs="Arial"/>
                <w:i/>
                <w:sz w:val="16"/>
                <w:szCs w:val="16"/>
                <w:lang w:bidi="th-TH"/>
              </w:rPr>
              <w:t xml:space="preserve">Original Baseline </w:t>
            </w:r>
            <w:r w:rsidRPr="00F97C8F">
              <w:rPr>
                <w:rFonts w:cs="Arial"/>
                <w:i/>
                <w:sz w:val="16"/>
                <w:szCs w:val="16"/>
                <w:lang w:bidi="th-TH"/>
              </w:rPr>
              <w:br/>
              <w:t xml:space="preserve">P&amp;B 2014/15: </w:t>
            </w:r>
            <w:r w:rsidRPr="00F97C8F">
              <w:rPr>
                <w:rFonts w:cs="Arial"/>
                <w:sz w:val="16"/>
                <w:szCs w:val="16"/>
                <w:lang w:bidi="th-TH"/>
              </w:rPr>
              <w:t>To be determined</w:t>
            </w:r>
          </w:p>
          <w:p w:rsidR="00F52522" w:rsidRPr="00F97C8F" w:rsidRDefault="00F52522" w:rsidP="008A4774">
            <w:pPr>
              <w:rPr>
                <w:rFonts w:cs="Arial"/>
                <w:i/>
                <w:sz w:val="16"/>
                <w:szCs w:val="16"/>
              </w:rPr>
            </w:pPr>
          </w:p>
        </w:tc>
        <w:tc>
          <w:tcPr>
            <w:tcW w:w="683" w:type="pct"/>
            <w:shd w:val="clear" w:color="auto" w:fill="auto"/>
            <w:tcMar>
              <w:top w:w="110" w:type="dxa"/>
            </w:tcMar>
          </w:tcPr>
          <w:p w:rsidR="00F52522" w:rsidRPr="00F97C8F" w:rsidRDefault="00F52522" w:rsidP="008A4774">
            <w:pPr>
              <w:autoSpaceDE w:val="0"/>
              <w:autoSpaceDN w:val="0"/>
              <w:adjustRightInd w:val="0"/>
              <w:rPr>
                <w:rFonts w:cs="Arial"/>
                <w:sz w:val="16"/>
                <w:szCs w:val="16"/>
              </w:rPr>
            </w:pPr>
            <w:r w:rsidRPr="00F97C8F">
              <w:rPr>
                <w:rFonts w:cs="Arial"/>
                <w:sz w:val="16"/>
                <w:szCs w:val="16"/>
              </w:rPr>
              <w:t>90%</w:t>
            </w:r>
          </w:p>
        </w:tc>
        <w:tc>
          <w:tcPr>
            <w:tcW w:w="1289" w:type="pct"/>
            <w:shd w:val="clear" w:color="auto" w:fill="FFFFFF"/>
            <w:tcMar>
              <w:top w:w="110" w:type="dxa"/>
            </w:tcMar>
          </w:tcPr>
          <w:p w:rsidR="00F52522" w:rsidRPr="00F97C8F" w:rsidRDefault="00F52522" w:rsidP="008A4774">
            <w:pPr>
              <w:rPr>
                <w:rFonts w:cs="Arial"/>
                <w:sz w:val="16"/>
                <w:szCs w:val="16"/>
                <w:lang w:bidi="th-TH"/>
              </w:rPr>
            </w:pPr>
            <w:r w:rsidRPr="00785CE1">
              <w:rPr>
                <w:rFonts w:cs="Arial"/>
                <w:sz w:val="16"/>
                <w:szCs w:val="16"/>
                <w:lang w:bidi="th-TH"/>
              </w:rPr>
              <w:t>95</w:t>
            </w:r>
            <w:r>
              <w:rPr>
                <w:rFonts w:cs="Arial"/>
                <w:sz w:val="16"/>
                <w:szCs w:val="16"/>
                <w:lang w:bidi="th-TH"/>
              </w:rPr>
              <w:t>.</w:t>
            </w:r>
            <w:r w:rsidRPr="00785CE1">
              <w:rPr>
                <w:rFonts w:cs="Arial"/>
                <w:sz w:val="16"/>
                <w:szCs w:val="16"/>
                <w:lang w:bidi="th-TH"/>
              </w:rPr>
              <w:t xml:space="preserve">24% based on </w:t>
            </w:r>
            <w:r>
              <w:rPr>
                <w:rFonts w:cs="Arial"/>
                <w:sz w:val="16"/>
                <w:szCs w:val="16"/>
                <w:lang w:bidi="th-TH"/>
              </w:rPr>
              <w:t>24</w:t>
            </w:r>
            <w:r w:rsidRPr="00785CE1">
              <w:rPr>
                <w:rFonts w:cs="Arial"/>
                <w:sz w:val="16"/>
                <w:szCs w:val="16"/>
                <w:lang w:bidi="th-TH"/>
              </w:rPr>
              <w:t xml:space="preserve"> responses to a survey</w:t>
            </w:r>
          </w:p>
        </w:tc>
        <w:tc>
          <w:tcPr>
            <w:tcW w:w="529" w:type="pct"/>
            <w:shd w:val="clear" w:color="auto" w:fill="auto"/>
            <w:tcMar>
              <w:top w:w="110" w:type="dxa"/>
            </w:tcMar>
          </w:tcPr>
          <w:p w:rsidR="00F52522" w:rsidRPr="00DD4B4E" w:rsidRDefault="00F52522" w:rsidP="008A4774">
            <w:pPr>
              <w:keepNext/>
              <w:keepLines/>
              <w:jc w:val="center"/>
              <w:rPr>
                <w:b/>
                <w:bCs/>
                <w:color w:val="00B050"/>
                <w:sz w:val="16"/>
                <w:szCs w:val="16"/>
              </w:rPr>
            </w:pPr>
            <w:r>
              <w:rPr>
                <w:b/>
                <w:bCs/>
                <w:color w:val="00B050"/>
                <w:sz w:val="16"/>
                <w:szCs w:val="16"/>
              </w:rPr>
              <w:t xml:space="preserve">Fully </w:t>
            </w:r>
            <w:r w:rsidR="003770BC">
              <w:rPr>
                <w:b/>
                <w:bCs/>
                <w:color w:val="00B050"/>
                <w:sz w:val="16"/>
                <w:szCs w:val="16"/>
              </w:rPr>
              <w:t>A</w:t>
            </w:r>
            <w:r>
              <w:rPr>
                <w:b/>
                <w:bCs/>
                <w:color w:val="00B050"/>
                <w:sz w:val="16"/>
                <w:szCs w:val="16"/>
              </w:rPr>
              <w:t>chieved</w:t>
            </w:r>
          </w:p>
        </w:tc>
      </w:tr>
      <w:tr w:rsidR="00F52522" w:rsidRPr="00B36F18" w:rsidTr="00E37059">
        <w:tc>
          <w:tcPr>
            <w:tcW w:w="1287" w:type="pct"/>
            <w:shd w:val="clear" w:color="auto" w:fill="FFFFFF"/>
          </w:tcPr>
          <w:p w:rsidR="00F52522" w:rsidRPr="00B36F18" w:rsidRDefault="00F52522" w:rsidP="008A4774">
            <w:pPr>
              <w:rPr>
                <w:rFonts w:cs="Arial"/>
                <w:sz w:val="16"/>
                <w:szCs w:val="16"/>
                <w:lang w:bidi="th-TH"/>
              </w:rPr>
            </w:pPr>
            <w:r w:rsidRPr="007A411D">
              <w:rPr>
                <w:rFonts w:cs="Arial"/>
                <w:sz w:val="16"/>
                <w:szCs w:val="16"/>
                <w:lang w:bidi="th-TH"/>
              </w:rPr>
              <w:t>No and % of Member States which were satisfied with the quality of legal advice related to patents, utility models, trade secrets and integrated circuits</w:t>
            </w:r>
          </w:p>
        </w:tc>
        <w:tc>
          <w:tcPr>
            <w:tcW w:w="1212" w:type="pct"/>
            <w:shd w:val="clear" w:color="auto" w:fill="auto"/>
          </w:tcPr>
          <w:p w:rsidR="00F52522" w:rsidRPr="002D16FB" w:rsidRDefault="00F52522" w:rsidP="008A4774">
            <w:pPr>
              <w:rPr>
                <w:rFonts w:cs="Arial"/>
                <w:color w:val="002060"/>
                <w:sz w:val="16"/>
                <w:szCs w:val="16"/>
                <w:lang w:bidi="th-TH"/>
              </w:rPr>
            </w:pPr>
            <w:r w:rsidRPr="002D16FB">
              <w:rPr>
                <w:rFonts w:cs="Arial"/>
                <w:i/>
                <w:color w:val="002060"/>
                <w:sz w:val="16"/>
                <w:szCs w:val="16"/>
              </w:rPr>
              <w:t>Updated Baseline</w:t>
            </w:r>
            <w:r w:rsidRPr="002D16FB">
              <w:rPr>
                <w:rFonts w:cs="Arial"/>
                <w:i/>
                <w:color w:val="002060"/>
                <w:sz w:val="16"/>
                <w:szCs w:val="16"/>
              </w:rPr>
              <w:br/>
              <w:t xml:space="preserve">end 2013:  </w:t>
            </w:r>
            <w:r w:rsidRPr="002D16FB">
              <w:rPr>
                <w:rFonts w:cs="Arial"/>
                <w:color w:val="002060"/>
                <w:sz w:val="16"/>
                <w:szCs w:val="16"/>
                <w:lang w:bidi="th-TH"/>
              </w:rPr>
              <w:t>9 respondents (90%), based on survey conducted by IOD in 2013</w:t>
            </w:r>
          </w:p>
          <w:p w:rsidR="00F52522" w:rsidRPr="00F97C8F" w:rsidRDefault="00F52522" w:rsidP="008A4774">
            <w:pPr>
              <w:rPr>
                <w:rFonts w:cs="Arial"/>
                <w:i/>
                <w:sz w:val="8"/>
                <w:szCs w:val="8"/>
                <w:lang w:bidi="th-TH"/>
              </w:rPr>
            </w:pPr>
          </w:p>
          <w:p w:rsidR="00F52522" w:rsidRPr="00F97C8F" w:rsidRDefault="00F52522" w:rsidP="008A4774">
            <w:pPr>
              <w:rPr>
                <w:rFonts w:cs="Arial"/>
                <w:i/>
                <w:sz w:val="16"/>
                <w:szCs w:val="16"/>
                <w:lang w:bidi="th-TH"/>
              </w:rPr>
            </w:pPr>
            <w:r w:rsidRPr="00F97C8F">
              <w:rPr>
                <w:rFonts w:cs="Arial"/>
                <w:i/>
                <w:sz w:val="16"/>
                <w:szCs w:val="16"/>
                <w:lang w:bidi="th-TH"/>
              </w:rPr>
              <w:t xml:space="preserve">Original Baseline </w:t>
            </w:r>
            <w:r w:rsidRPr="00F97C8F">
              <w:rPr>
                <w:rFonts w:cs="Arial"/>
                <w:i/>
                <w:sz w:val="16"/>
                <w:szCs w:val="16"/>
                <w:lang w:bidi="th-TH"/>
              </w:rPr>
              <w:br/>
              <w:t xml:space="preserve">P&amp;B 2014/15: </w:t>
            </w:r>
            <w:r w:rsidRPr="00F97C8F">
              <w:rPr>
                <w:rFonts w:cs="Arial"/>
                <w:sz w:val="16"/>
                <w:szCs w:val="16"/>
                <w:lang w:bidi="th-TH"/>
              </w:rPr>
              <w:t>Surveys 2012</w:t>
            </w:r>
          </w:p>
          <w:p w:rsidR="00F52522" w:rsidRPr="00F97C8F" w:rsidRDefault="00F52522" w:rsidP="008A4774">
            <w:pPr>
              <w:keepNext/>
              <w:keepLines/>
              <w:rPr>
                <w:rFonts w:cs="Arial"/>
                <w:sz w:val="16"/>
                <w:szCs w:val="16"/>
                <w:lang w:bidi="th-TH"/>
              </w:rPr>
            </w:pPr>
          </w:p>
        </w:tc>
        <w:tc>
          <w:tcPr>
            <w:tcW w:w="683" w:type="pct"/>
            <w:shd w:val="clear" w:color="auto" w:fill="auto"/>
            <w:tcMar>
              <w:top w:w="110" w:type="dxa"/>
            </w:tcMar>
          </w:tcPr>
          <w:p w:rsidR="00F52522" w:rsidRPr="00F97C8F" w:rsidRDefault="00F52522" w:rsidP="008A4774">
            <w:pPr>
              <w:autoSpaceDE w:val="0"/>
              <w:autoSpaceDN w:val="0"/>
              <w:adjustRightInd w:val="0"/>
              <w:rPr>
                <w:rFonts w:cs="Arial"/>
                <w:sz w:val="16"/>
                <w:szCs w:val="16"/>
              </w:rPr>
            </w:pPr>
            <w:r w:rsidRPr="00F97C8F">
              <w:rPr>
                <w:rFonts w:cs="Arial"/>
                <w:sz w:val="16"/>
                <w:szCs w:val="16"/>
              </w:rPr>
              <w:t>90%</w:t>
            </w:r>
          </w:p>
        </w:tc>
        <w:tc>
          <w:tcPr>
            <w:tcW w:w="1289" w:type="pct"/>
            <w:shd w:val="clear" w:color="auto" w:fill="FFFFFF"/>
            <w:tcMar>
              <w:top w:w="110" w:type="dxa"/>
            </w:tcMar>
          </w:tcPr>
          <w:p w:rsidR="00F52522" w:rsidRPr="00F97C8F" w:rsidRDefault="00F56F17" w:rsidP="008A4774">
            <w:pPr>
              <w:rPr>
                <w:rFonts w:cs="Arial"/>
                <w:sz w:val="16"/>
                <w:szCs w:val="16"/>
                <w:lang w:bidi="th-TH"/>
              </w:rPr>
            </w:pPr>
            <w:r w:rsidRPr="00854B75">
              <w:rPr>
                <w:rFonts w:cs="Arial"/>
                <w:sz w:val="16"/>
                <w:szCs w:val="16"/>
                <w:lang w:bidi="th-TH"/>
              </w:rPr>
              <w:t>In 2014/15, 9 respondents reported on average a 94% satisfaction rate (Africa-3;  Arab-1;  Asia and the Pacific-2;  Certain Countries in Europe and Asia-2;  Latin America and the Caribbean-1</w:t>
            </w:r>
            <w:r w:rsidRPr="00854B75">
              <w:rPr>
                <w:rStyle w:val="FootnoteReference"/>
                <w:rFonts w:cs="Arial"/>
                <w:sz w:val="16"/>
                <w:szCs w:val="16"/>
                <w:lang w:bidi="th-TH"/>
              </w:rPr>
              <w:footnoteReference w:id="8"/>
            </w:r>
            <w:r w:rsidRPr="00854B75">
              <w:rPr>
                <w:rFonts w:cs="Arial"/>
                <w:sz w:val="16"/>
                <w:szCs w:val="16"/>
                <w:lang w:bidi="th-TH"/>
              </w:rPr>
              <w:t xml:space="preserve"> </w:t>
            </w:r>
          </w:p>
        </w:tc>
        <w:tc>
          <w:tcPr>
            <w:tcW w:w="529" w:type="pct"/>
            <w:shd w:val="clear" w:color="auto" w:fill="auto"/>
            <w:tcMar>
              <w:top w:w="110" w:type="dxa"/>
            </w:tcMar>
          </w:tcPr>
          <w:p w:rsidR="00F52522" w:rsidRPr="00AB5747" w:rsidRDefault="00F52522" w:rsidP="008A4774">
            <w:pPr>
              <w:keepNext/>
              <w:keepLines/>
              <w:jc w:val="center"/>
              <w:rPr>
                <w:b/>
                <w:bCs/>
                <w:color w:val="00B050"/>
                <w:sz w:val="16"/>
                <w:szCs w:val="16"/>
              </w:rPr>
            </w:pPr>
            <w:r>
              <w:rPr>
                <w:b/>
                <w:bCs/>
                <w:color w:val="00B050"/>
                <w:sz w:val="16"/>
                <w:szCs w:val="16"/>
              </w:rPr>
              <w:t xml:space="preserve">Fully </w:t>
            </w:r>
            <w:r w:rsidR="003770BC">
              <w:rPr>
                <w:b/>
                <w:bCs/>
                <w:color w:val="00B050"/>
                <w:sz w:val="16"/>
                <w:szCs w:val="16"/>
              </w:rPr>
              <w:t>A</w:t>
            </w:r>
            <w:r>
              <w:rPr>
                <w:b/>
                <w:bCs/>
                <w:color w:val="00B050"/>
                <w:sz w:val="16"/>
                <w:szCs w:val="16"/>
              </w:rPr>
              <w:t>chieved</w:t>
            </w:r>
          </w:p>
        </w:tc>
      </w:tr>
      <w:tr w:rsidR="00F52522" w:rsidRPr="00B36F18" w:rsidTr="00E37059">
        <w:tc>
          <w:tcPr>
            <w:tcW w:w="1287" w:type="pct"/>
            <w:shd w:val="clear" w:color="auto" w:fill="FFFFFF"/>
          </w:tcPr>
          <w:p w:rsidR="00F52522" w:rsidRPr="007A411D" w:rsidRDefault="00F52522" w:rsidP="008A4774">
            <w:pPr>
              <w:rPr>
                <w:rFonts w:cs="Arial"/>
                <w:sz w:val="16"/>
                <w:szCs w:val="16"/>
                <w:lang w:bidi="th-TH"/>
              </w:rPr>
            </w:pPr>
            <w:r w:rsidRPr="007A411D">
              <w:rPr>
                <w:rFonts w:cs="Arial"/>
                <w:sz w:val="16"/>
                <w:szCs w:val="16"/>
                <w:lang w:bidi="th-TH"/>
              </w:rPr>
              <w:t>Subject to approval by Member States, progress on the revision of the Patent Model Law for developing countries and LDCs</w:t>
            </w:r>
          </w:p>
        </w:tc>
        <w:tc>
          <w:tcPr>
            <w:tcW w:w="1212" w:type="pct"/>
            <w:shd w:val="clear" w:color="auto" w:fill="auto"/>
          </w:tcPr>
          <w:p w:rsidR="00F52522" w:rsidRPr="002D16FB" w:rsidRDefault="00F52522" w:rsidP="008A4774">
            <w:pPr>
              <w:rPr>
                <w:rFonts w:cs="Arial"/>
                <w:color w:val="002060"/>
                <w:sz w:val="16"/>
                <w:szCs w:val="16"/>
                <w:lang w:bidi="th-TH"/>
              </w:rPr>
            </w:pPr>
            <w:r w:rsidRPr="002D16FB">
              <w:rPr>
                <w:rFonts w:cs="Arial"/>
                <w:i/>
                <w:color w:val="002060"/>
                <w:sz w:val="16"/>
                <w:szCs w:val="16"/>
              </w:rPr>
              <w:t>Updated Baseline</w:t>
            </w:r>
            <w:r w:rsidRPr="002D16FB">
              <w:rPr>
                <w:rFonts w:cs="Arial"/>
                <w:i/>
                <w:color w:val="002060"/>
                <w:sz w:val="16"/>
                <w:szCs w:val="16"/>
              </w:rPr>
              <w:br/>
              <w:t xml:space="preserve">end 2013:  </w:t>
            </w:r>
            <w:r w:rsidRPr="002D16FB">
              <w:rPr>
                <w:rFonts w:cs="Arial"/>
                <w:color w:val="002060"/>
                <w:sz w:val="16"/>
                <w:szCs w:val="16"/>
                <w:lang w:bidi="th-TH"/>
              </w:rPr>
              <w:t>One meeting of experts</w:t>
            </w:r>
          </w:p>
          <w:p w:rsidR="00F52522" w:rsidRPr="00F97C8F" w:rsidRDefault="00F52522" w:rsidP="008A4774">
            <w:pPr>
              <w:rPr>
                <w:rFonts w:cs="Arial"/>
                <w:i/>
                <w:sz w:val="8"/>
                <w:szCs w:val="8"/>
                <w:lang w:bidi="th-TH"/>
              </w:rPr>
            </w:pPr>
          </w:p>
          <w:p w:rsidR="00F52522" w:rsidRPr="00F97C8F" w:rsidRDefault="00F52522" w:rsidP="008A4774">
            <w:pPr>
              <w:rPr>
                <w:rFonts w:cs="Arial"/>
                <w:sz w:val="16"/>
                <w:szCs w:val="16"/>
                <w:lang w:bidi="th-TH"/>
              </w:rPr>
            </w:pPr>
            <w:r w:rsidRPr="00F97C8F">
              <w:rPr>
                <w:rFonts w:cs="Arial"/>
                <w:i/>
                <w:sz w:val="16"/>
                <w:szCs w:val="16"/>
                <w:lang w:bidi="th-TH"/>
              </w:rPr>
              <w:t xml:space="preserve">Original Baseline </w:t>
            </w:r>
            <w:r w:rsidRPr="00F97C8F">
              <w:rPr>
                <w:rFonts w:cs="Arial"/>
                <w:i/>
                <w:sz w:val="16"/>
                <w:szCs w:val="16"/>
                <w:lang w:bidi="th-TH"/>
              </w:rPr>
              <w:br/>
              <w:t xml:space="preserve">P&amp;B 2014/15: </w:t>
            </w:r>
            <w:r w:rsidRPr="00F97C8F">
              <w:rPr>
                <w:rFonts w:cs="Arial"/>
                <w:sz w:val="16"/>
                <w:szCs w:val="16"/>
                <w:lang w:bidi="th-TH"/>
              </w:rPr>
              <w:t>To be determined</w:t>
            </w:r>
          </w:p>
          <w:p w:rsidR="00F52522" w:rsidRPr="00F97C8F" w:rsidRDefault="00F52522" w:rsidP="008A4774">
            <w:pPr>
              <w:rPr>
                <w:rFonts w:cs="Arial"/>
                <w:i/>
                <w:sz w:val="16"/>
                <w:szCs w:val="16"/>
                <w:lang w:bidi="th-TH"/>
              </w:rPr>
            </w:pPr>
          </w:p>
        </w:tc>
        <w:tc>
          <w:tcPr>
            <w:tcW w:w="683" w:type="pct"/>
            <w:shd w:val="clear" w:color="auto" w:fill="auto"/>
            <w:tcMar>
              <w:top w:w="110" w:type="dxa"/>
            </w:tcMar>
          </w:tcPr>
          <w:p w:rsidR="00F52522" w:rsidRPr="00F97C8F" w:rsidRDefault="00F52522" w:rsidP="008A4774">
            <w:pPr>
              <w:autoSpaceDE w:val="0"/>
              <w:autoSpaceDN w:val="0"/>
              <w:adjustRightInd w:val="0"/>
              <w:rPr>
                <w:rFonts w:cs="Arial"/>
                <w:sz w:val="16"/>
                <w:szCs w:val="16"/>
              </w:rPr>
            </w:pPr>
            <w:r w:rsidRPr="00F97C8F">
              <w:rPr>
                <w:rFonts w:cs="Arial"/>
                <w:sz w:val="16"/>
                <w:szCs w:val="16"/>
              </w:rPr>
              <w:t>Advancement in the preparatory work for updating the WIPO Patent Model Law</w:t>
            </w:r>
          </w:p>
        </w:tc>
        <w:tc>
          <w:tcPr>
            <w:tcW w:w="1289" w:type="pct"/>
            <w:shd w:val="clear" w:color="auto" w:fill="FFFFFF"/>
            <w:tcMar>
              <w:top w:w="110" w:type="dxa"/>
            </w:tcMar>
          </w:tcPr>
          <w:p w:rsidR="00F52522" w:rsidRPr="00F97C8F" w:rsidRDefault="00F52522" w:rsidP="008A4774">
            <w:pPr>
              <w:rPr>
                <w:rFonts w:cs="Arial"/>
                <w:sz w:val="16"/>
                <w:szCs w:val="16"/>
                <w:lang w:bidi="th-TH"/>
              </w:rPr>
            </w:pPr>
            <w:r w:rsidRPr="007D48A0">
              <w:rPr>
                <w:rFonts w:cs="Arial"/>
                <w:sz w:val="16"/>
                <w:szCs w:val="16"/>
                <w:lang w:bidi="th-TH"/>
              </w:rPr>
              <w:t>The SCP continue</w:t>
            </w:r>
            <w:r>
              <w:rPr>
                <w:rFonts w:cs="Arial"/>
                <w:sz w:val="16"/>
                <w:szCs w:val="16"/>
                <w:lang w:bidi="th-TH"/>
              </w:rPr>
              <w:t>d</w:t>
            </w:r>
            <w:r w:rsidRPr="007D48A0">
              <w:rPr>
                <w:rFonts w:cs="Arial"/>
                <w:sz w:val="16"/>
                <w:szCs w:val="16"/>
                <w:lang w:bidi="th-TH"/>
              </w:rPr>
              <w:t xml:space="preserve"> to discuss a proposal by GRULAC.</w:t>
            </w:r>
          </w:p>
        </w:tc>
        <w:tc>
          <w:tcPr>
            <w:tcW w:w="529" w:type="pct"/>
            <w:shd w:val="clear" w:color="auto" w:fill="auto"/>
            <w:tcMar>
              <w:top w:w="110" w:type="dxa"/>
            </w:tcMar>
          </w:tcPr>
          <w:p w:rsidR="00F52522" w:rsidRPr="00AB5747" w:rsidRDefault="00F52522" w:rsidP="008A4774">
            <w:pPr>
              <w:keepNext/>
              <w:keepLines/>
              <w:jc w:val="center"/>
              <w:rPr>
                <w:rFonts w:cs="Arial"/>
                <w:color w:val="FF0000"/>
                <w:sz w:val="16"/>
                <w:szCs w:val="16"/>
              </w:rPr>
            </w:pPr>
            <w:r w:rsidRPr="00AB5747">
              <w:rPr>
                <w:b/>
                <w:bCs/>
                <w:color w:val="FF0000"/>
                <w:sz w:val="16"/>
                <w:szCs w:val="16"/>
              </w:rPr>
              <w:t xml:space="preserve">Not </w:t>
            </w:r>
            <w:r>
              <w:rPr>
                <w:b/>
                <w:bCs/>
                <w:color w:val="FF0000"/>
                <w:sz w:val="16"/>
                <w:szCs w:val="16"/>
              </w:rPr>
              <w:br/>
            </w:r>
            <w:r w:rsidR="003770BC">
              <w:rPr>
                <w:b/>
                <w:bCs/>
                <w:color w:val="FF0000"/>
                <w:sz w:val="16"/>
                <w:szCs w:val="16"/>
              </w:rPr>
              <w:t>A</w:t>
            </w:r>
            <w:r>
              <w:rPr>
                <w:b/>
                <w:bCs/>
                <w:color w:val="FF0000"/>
                <w:sz w:val="16"/>
                <w:szCs w:val="16"/>
              </w:rPr>
              <w:t>chieved</w:t>
            </w:r>
          </w:p>
        </w:tc>
      </w:tr>
    </w:tbl>
    <w:p w:rsidR="00F52522" w:rsidRDefault="00F52522" w:rsidP="008A4774">
      <w:pPr>
        <w:rPr>
          <w:rFonts w:cs="Arial"/>
        </w:rPr>
      </w:pPr>
    </w:p>
    <w:p w:rsidR="00F52522" w:rsidRDefault="00F52522" w:rsidP="008A4774">
      <w:pPr>
        <w:rPr>
          <w:rFonts w:cs="Arial"/>
        </w:rPr>
      </w:pPr>
    </w:p>
    <w:p w:rsidR="00F52522" w:rsidRPr="007F4CF0" w:rsidRDefault="00F52522" w:rsidP="008A4774">
      <w:pPr>
        <w:keepNext/>
        <w:keepLines/>
        <w:rPr>
          <w:rFonts w:cs="Arial"/>
          <w:color w:val="000000"/>
          <w:szCs w:val="22"/>
        </w:rPr>
      </w:pPr>
      <w:r w:rsidRPr="007F4CF0">
        <w:rPr>
          <w:rFonts w:cs="Arial"/>
          <w:color w:val="000000"/>
          <w:szCs w:val="22"/>
        </w:rPr>
        <w:t xml:space="preserve">RISK REPORTING FOR THE BIENNIUM </w:t>
      </w:r>
    </w:p>
    <w:p w:rsidR="00F52522" w:rsidRDefault="00F52522" w:rsidP="008A4774">
      <w:pPr>
        <w:keepNext/>
        <w:keepLines/>
        <w:rPr>
          <w:rFonts w:cs="Arial"/>
          <w:color w:val="000000"/>
          <w:sz w:val="22"/>
          <w:szCs w:val="22"/>
        </w:rPr>
      </w:pPr>
    </w:p>
    <w:tbl>
      <w:tblPr>
        <w:tblW w:w="0" w:type="auto"/>
        <w:tblInd w:w="108" w:type="dxa"/>
        <w:tblLook w:val="01E0" w:firstRow="1" w:lastRow="1" w:firstColumn="1" w:lastColumn="1" w:noHBand="0" w:noVBand="0"/>
      </w:tblPr>
      <w:tblGrid>
        <w:gridCol w:w="2420"/>
        <w:gridCol w:w="2200"/>
        <w:gridCol w:w="2310"/>
        <w:gridCol w:w="2306"/>
      </w:tblGrid>
      <w:tr w:rsidR="00F52522" w:rsidTr="008A4774">
        <w:trPr>
          <w:trHeight w:val="577"/>
        </w:trPr>
        <w:tc>
          <w:tcPr>
            <w:tcW w:w="2420" w:type="dxa"/>
            <w:tcBorders>
              <w:top w:val="single" w:sz="4" w:space="0" w:color="auto"/>
              <w:left w:val="single" w:sz="4" w:space="0" w:color="auto"/>
              <w:bottom w:val="single" w:sz="4" w:space="0" w:color="auto"/>
            </w:tcBorders>
            <w:shd w:val="clear" w:color="auto" w:fill="C6D9F1" w:themeFill="text2" w:themeFillTint="33"/>
            <w:vAlign w:val="center"/>
          </w:tcPr>
          <w:p w:rsidR="00F52522" w:rsidRPr="00F40ED0" w:rsidRDefault="00F52522" w:rsidP="008A4774">
            <w:pPr>
              <w:autoSpaceDE w:val="0"/>
              <w:autoSpaceDN w:val="0"/>
              <w:adjustRightInd w:val="0"/>
              <w:ind w:right="-59"/>
              <w:jc w:val="center"/>
              <w:rPr>
                <w:b/>
                <w:bCs/>
                <w:iCs/>
                <w:sz w:val="18"/>
                <w:szCs w:val="18"/>
              </w:rPr>
            </w:pPr>
            <w:r w:rsidRPr="00F40ED0">
              <w:rPr>
                <w:b/>
                <w:bCs/>
                <w:iCs/>
                <w:sz w:val="18"/>
                <w:szCs w:val="18"/>
              </w:rPr>
              <w:t>Risk(s) to the Program achieving its Results</w:t>
            </w:r>
          </w:p>
        </w:tc>
        <w:tc>
          <w:tcPr>
            <w:tcW w:w="2200" w:type="dxa"/>
            <w:tcBorders>
              <w:top w:val="single" w:sz="4" w:space="0" w:color="auto"/>
              <w:bottom w:val="single" w:sz="4" w:space="0" w:color="auto"/>
            </w:tcBorders>
            <w:shd w:val="clear" w:color="auto" w:fill="C6D9F1" w:themeFill="text2" w:themeFillTint="33"/>
            <w:vAlign w:val="center"/>
          </w:tcPr>
          <w:p w:rsidR="00F52522" w:rsidRPr="00F40ED0" w:rsidRDefault="00F52522" w:rsidP="008A4774">
            <w:pPr>
              <w:autoSpaceDE w:val="0"/>
              <w:autoSpaceDN w:val="0"/>
              <w:adjustRightInd w:val="0"/>
              <w:ind w:right="-59"/>
              <w:jc w:val="center"/>
              <w:rPr>
                <w:b/>
                <w:bCs/>
                <w:iCs/>
                <w:sz w:val="18"/>
                <w:szCs w:val="18"/>
              </w:rPr>
            </w:pPr>
            <w:r w:rsidRPr="00F40ED0">
              <w:rPr>
                <w:b/>
                <w:bCs/>
                <w:iCs/>
                <w:sz w:val="18"/>
                <w:szCs w:val="18"/>
              </w:rPr>
              <w:t>Mitigation plans in place or under implementation</w:t>
            </w:r>
          </w:p>
        </w:tc>
        <w:tc>
          <w:tcPr>
            <w:tcW w:w="2310" w:type="dxa"/>
            <w:tcBorders>
              <w:top w:val="single" w:sz="4" w:space="0" w:color="auto"/>
              <w:bottom w:val="single" w:sz="4" w:space="0" w:color="auto"/>
            </w:tcBorders>
            <w:shd w:val="clear" w:color="auto" w:fill="C6D9F1" w:themeFill="text2" w:themeFillTint="33"/>
          </w:tcPr>
          <w:p w:rsidR="00F52522" w:rsidRPr="00F40ED0" w:rsidRDefault="00F52522" w:rsidP="008A4774">
            <w:pPr>
              <w:autoSpaceDE w:val="0"/>
              <w:autoSpaceDN w:val="0"/>
              <w:adjustRightInd w:val="0"/>
              <w:ind w:right="-59"/>
              <w:jc w:val="center"/>
              <w:rPr>
                <w:b/>
                <w:bCs/>
                <w:iCs/>
                <w:sz w:val="18"/>
                <w:szCs w:val="18"/>
              </w:rPr>
            </w:pPr>
            <w:r w:rsidRPr="00F40ED0">
              <w:rPr>
                <w:b/>
                <w:bCs/>
                <w:iCs/>
                <w:sz w:val="18"/>
                <w:szCs w:val="18"/>
              </w:rPr>
              <w:t>Evolution of Risk(s) and Mitigation Strategies Over the Biennium</w:t>
            </w:r>
          </w:p>
        </w:tc>
        <w:tc>
          <w:tcPr>
            <w:tcW w:w="2306" w:type="dxa"/>
            <w:tcBorders>
              <w:top w:val="single" w:sz="4" w:space="0" w:color="auto"/>
              <w:bottom w:val="single" w:sz="4" w:space="0" w:color="auto"/>
              <w:right w:val="single" w:sz="4" w:space="0" w:color="auto"/>
            </w:tcBorders>
            <w:shd w:val="clear" w:color="auto" w:fill="C6D9F1" w:themeFill="text2" w:themeFillTint="33"/>
          </w:tcPr>
          <w:p w:rsidR="00F52522" w:rsidRPr="00F40ED0" w:rsidRDefault="00F52522" w:rsidP="008A4774">
            <w:pPr>
              <w:autoSpaceDE w:val="0"/>
              <w:autoSpaceDN w:val="0"/>
              <w:adjustRightInd w:val="0"/>
              <w:ind w:right="-59"/>
              <w:jc w:val="center"/>
              <w:rPr>
                <w:b/>
                <w:bCs/>
                <w:iCs/>
                <w:sz w:val="18"/>
                <w:szCs w:val="18"/>
              </w:rPr>
            </w:pPr>
            <w:r w:rsidRPr="00F40ED0">
              <w:rPr>
                <w:b/>
                <w:bCs/>
                <w:iCs/>
                <w:sz w:val="18"/>
                <w:szCs w:val="18"/>
              </w:rPr>
              <w:t>Impact on the Program’s Performance</w:t>
            </w:r>
          </w:p>
        </w:tc>
      </w:tr>
      <w:tr w:rsidR="00F52522" w:rsidTr="008A4774">
        <w:trPr>
          <w:trHeight w:val="1332"/>
        </w:trPr>
        <w:tc>
          <w:tcPr>
            <w:tcW w:w="2420" w:type="dxa"/>
            <w:tcBorders>
              <w:top w:val="single" w:sz="4" w:space="0" w:color="auto"/>
              <w:left w:val="single" w:sz="4" w:space="0" w:color="auto"/>
              <w:bottom w:val="single" w:sz="4" w:space="0" w:color="auto"/>
            </w:tcBorders>
            <w:shd w:val="clear" w:color="auto" w:fill="auto"/>
            <w:tcMar>
              <w:top w:w="113" w:type="dxa"/>
              <w:bottom w:w="113" w:type="dxa"/>
            </w:tcMar>
          </w:tcPr>
          <w:p w:rsidR="00F52522" w:rsidRPr="003C527B" w:rsidRDefault="00F52522" w:rsidP="008A4774">
            <w:pPr>
              <w:rPr>
                <w:sz w:val="16"/>
                <w:szCs w:val="16"/>
                <w:lang w:eastAsia="zh-CN"/>
              </w:rPr>
            </w:pPr>
            <w:r>
              <w:rPr>
                <w:sz w:val="16"/>
                <w:szCs w:val="16"/>
                <w:lang w:eastAsia="zh-CN"/>
              </w:rPr>
              <w:t>R</w:t>
            </w:r>
            <w:r w:rsidRPr="003C527B">
              <w:rPr>
                <w:sz w:val="16"/>
                <w:szCs w:val="16"/>
                <w:lang w:eastAsia="zh-CN"/>
              </w:rPr>
              <w:t>educe</w:t>
            </w:r>
            <w:r>
              <w:rPr>
                <w:sz w:val="16"/>
                <w:szCs w:val="16"/>
                <w:lang w:eastAsia="zh-CN"/>
              </w:rPr>
              <w:t>d</w:t>
            </w:r>
            <w:r w:rsidRPr="003C527B">
              <w:rPr>
                <w:sz w:val="16"/>
                <w:szCs w:val="16"/>
                <w:lang w:eastAsia="zh-CN"/>
              </w:rPr>
              <w:t xml:space="preserve"> relevance of the </w:t>
            </w:r>
            <w:r>
              <w:rPr>
                <w:sz w:val="16"/>
                <w:szCs w:val="16"/>
                <w:lang w:eastAsia="zh-CN"/>
              </w:rPr>
              <w:t>Standing C</w:t>
            </w:r>
            <w:r w:rsidRPr="003C527B">
              <w:rPr>
                <w:sz w:val="16"/>
                <w:szCs w:val="16"/>
                <w:lang w:eastAsia="zh-CN"/>
              </w:rPr>
              <w:t xml:space="preserve">ommittee </w:t>
            </w:r>
            <w:r>
              <w:rPr>
                <w:sz w:val="16"/>
                <w:szCs w:val="16"/>
                <w:lang w:eastAsia="zh-CN"/>
              </w:rPr>
              <w:t xml:space="preserve">on the Law of Patents </w:t>
            </w:r>
            <w:r w:rsidRPr="003C527B">
              <w:rPr>
                <w:sz w:val="16"/>
                <w:szCs w:val="16"/>
                <w:lang w:eastAsia="zh-CN"/>
              </w:rPr>
              <w:t>as a multilateral forum.</w:t>
            </w:r>
          </w:p>
          <w:p w:rsidR="00F52522" w:rsidRPr="003C527B" w:rsidRDefault="00F52522" w:rsidP="008A4774">
            <w:pPr>
              <w:autoSpaceDE w:val="0"/>
              <w:autoSpaceDN w:val="0"/>
              <w:adjustRightInd w:val="0"/>
              <w:ind w:right="-59"/>
              <w:jc w:val="both"/>
              <w:rPr>
                <w:sz w:val="16"/>
                <w:szCs w:val="16"/>
              </w:rPr>
            </w:pPr>
          </w:p>
        </w:tc>
        <w:tc>
          <w:tcPr>
            <w:tcW w:w="2200" w:type="dxa"/>
            <w:tcBorders>
              <w:top w:val="single" w:sz="4" w:space="0" w:color="auto"/>
              <w:bottom w:val="single" w:sz="4" w:space="0" w:color="auto"/>
            </w:tcBorders>
            <w:shd w:val="clear" w:color="auto" w:fill="auto"/>
            <w:tcMar>
              <w:top w:w="113" w:type="dxa"/>
              <w:bottom w:w="113" w:type="dxa"/>
            </w:tcMar>
          </w:tcPr>
          <w:p w:rsidR="00F52522" w:rsidRPr="003C527B" w:rsidRDefault="00F52522" w:rsidP="008A4774">
            <w:pPr>
              <w:rPr>
                <w:sz w:val="16"/>
                <w:szCs w:val="16"/>
                <w:lang w:eastAsia="zh-CN"/>
              </w:rPr>
            </w:pPr>
            <w:r w:rsidRPr="003C527B">
              <w:rPr>
                <w:sz w:val="16"/>
                <w:szCs w:val="16"/>
                <w:lang w:eastAsia="zh-CN"/>
              </w:rPr>
              <w:t>Provision of impartial and professional guidance.</w:t>
            </w:r>
          </w:p>
          <w:p w:rsidR="00F52522" w:rsidRPr="003C527B" w:rsidRDefault="00F52522" w:rsidP="008A4774">
            <w:pPr>
              <w:rPr>
                <w:sz w:val="16"/>
                <w:szCs w:val="16"/>
                <w:lang w:eastAsia="zh-CN"/>
              </w:rPr>
            </w:pPr>
          </w:p>
          <w:p w:rsidR="00F52522" w:rsidRPr="003C527B" w:rsidRDefault="00F52522" w:rsidP="008A4774">
            <w:pPr>
              <w:rPr>
                <w:sz w:val="16"/>
                <w:szCs w:val="16"/>
                <w:lang w:eastAsia="zh-CN"/>
              </w:rPr>
            </w:pPr>
            <w:r w:rsidRPr="003C527B">
              <w:rPr>
                <w:sz w:val="16"/>
                <w:szCs w:val="16"/>
                <w:lang w:eastAsia="zh-CN"/>
              </w:rPr>
              <w:t>Provision of an inclusive and neutral environment for dialogue amongst Member States.</w:t>
            </w:r>
          </w:p>
          <w:p w:rsidR="00F52522" w:rsidRPr="003C527B" w:rsidRDefault="00F52522" w:rsidP="008A4774">
            <w:pPr>
              <w:rPr>
                <w:sz w:val="16"/>
                <w:szCs w:val="16"/>
                <w:lang w:eastAsia="zh-CN"/>
              </w:rPr>
            </w:pPr>
          </w:p>
          <w:p w:rsidR="00F52522" w:rsidRPr="003C527B" w:rsidRDefault="00F52522" w:rsidP="008A4774">
            <w:pPr>
              <w:autoSpaceDE w:val="0"/>
              <w:autoSpaceDN w:val="0"/>
              <w:adjustRightInd w:val="0"/>
              <w:ind w:right="-59"/>
              <w:rPr>
                <w:sz w:val="16"/>
                <w:szCs w:val="16"/>
              </w:rPr>
            </w:pPr>
            <w:r w:rsidRPr="003C527B">
              <w:rPr>
                <w:sz w:val="16"/>
                <w:szCs w:val="16"/>
                <w:lang w:eastAsia="zh-CN"/>
              </w:rPr>
              <w:t>Provision of timely, accurate and relevant information needed by Member States.</w:t>
            </w:r>
          </w:p>
        </w:tc>
        <w:tc>
          <w:tcPr>
            <w:tcW w:w="2310" w:type="dxa"/>
            <w:tcBorders>
              <w:top w:val="single" w:sz="4" w:space="0" w:color="auto"/>
              <w:bottom w:val="single" w:sz="4" w:space="0" w:color="auto"/>
            </w:tcBorders>
          </w:tcPr>
          <w:p w:rsidR="00F52522" w:rsidRPr="00096BD8" w:rsidRDefault="00F52522" w:rsidP="008A4774">
            <w:pPr>
              <w:rPr>
                <w:sz w:val="16"/>
                <w:szCs w:val="16"/>
                <w:lang w:eastAsia="zh-CN"/>
              </w:rPr>
            </w:pPr>
            <w:r w:rsidRPr="00096BD8">
              <w:rPr>
                <w:sz w:val="16"/>
                <w:szCs w:val="16"/>
                <w:lang w:eastAsia="zh-CN"/>
              </w:rPr>
              <w:t>Th</w:t>
            </w:r>
            <w:r>
              <w:rPr>
                <w:sz w:val="16"/>
                <w:szCs w:val="16"/>
                <w:lang w:eastAsia="zh-CN"/>
              </w:rPr>
              <w:t>is is a continuing</w:t>
            </w:r>
            <w:r w:rsidRPr="00096BD8">
              <w:rPr>
                <w:sz w:val="16"/>
                <w:szCs w:val="16"/>
                <w:lang w:eastAsia="zh-CN"/>
              </w:rPr>
              <w:t xml:space="preserve"> risk </w:t>
            </w:r>
            <w:r>
              <w:rPr>
                <w:sz w:val="16"/>
                <w:szCs w:val="16"/>
                <w:lang w:eastAsia="zh-CN"/>
              </w:rPr>
              <w:t>for the Program, which remained present throughout the biennium</w:t>
            </w:r>
            <w:r w:rsidRPr="00096BD8">
              <w:rPr>
                <w:sz w:val="16"/>
                <w:szCs w:val="16"/>
                <w:lang w:eastAsia="zh-CN"/>
              </w:rPr>
              <w:t xml:space="preserve">, </w:t>
            </w:r>
            <w:r>
              <w:rPr>
                <w:sz w:val="16"/>
                <w:szCs w:val="16"/>
                <w:lang w:eastAsia="zh-CN"/>
              </w:rPr>
              <w:t xml:space="preserve">and has also been reflected as a key risk to the Program’s Expected Results for the following biennium. </w:t>
            </w:r>
          </w:p>
          <w:p w:rsidR="00F52522" w:rsidRPr="003C527B" w:rsidRDefault="00F52522" w:rsidP="008A4774">
            <w:pPr>
              <w:rPr>
                <w:sz w:val="16"/>
                <w:szCs w:val="16"/>
                <w:lang w:eastAsia="zh-CN"/>
              </w:rPr>
            </w:pPr>
          </w:p>
        </w:tc>
        <w:tc>
          <w:tcPr>
            <w:tcW w:w="2306" w:type="dxa"/>
            <w:tcBorders>
              <w:top w:val="single" w:sz="4" w:space="0" w:color="auto"/>
              <w:bottom w:val="single" w:sz="4" w:space="0" w:color="auto"/>
              <w:right w:val="single" w:sz="4" w:space="0" w:color="auto"/>
            </w:tcBorders>
          </w:tcPr>
          <w:p w:rsidR="00F52522" w:rsidRPr="003C527B" w:rsidRDefault="00F52522" w:rsidP="008A4774">
            <w:pPr>
              <w:rPr>
                <w:sz w:val="16"/>
                <w:szCs w:val="16"/>
                <w:lang w:eastAsia="zh-CN"/>
              </w:rPr>
            </w:pPr>
            <w:r>
              <w:rPr>
                <w:sz w:val="16"/>
                <w:szCs w:val="16"/>
                <w:lang w:eastAsia="zh-CN"/>
              </w:rPr>
              <w:t xml:space="preserve">The source of the risk is primarily attributed to differences in Member States’ views on the way forward for the SCP discussions, which has thus resulted in slow </w:t>
            </w:r>
            <w:r w:rsidRPr="00096BD8">
              <w:rPr>
                <w:sz w:val="16"/>
                <w:szCs w:val="16"/>
                <w:lang w:eastAsia="zh-CN"/>
              </w:rPr>
              <w:t>progress</w:t>
            </w:r>
            <w:r>
              <w:rPr>
                <w:sz w:val="16"/>
                <w:szCs w:val="16"/>
                <w:lang w:eastAsia="zh-CN"/>
              </w:rPr>
              <w:t>.</w:t>
            </w:r>
          </w:p>
        </w:tc>
      </w:tr>
    </w:tbl>
    <w:p w:rsidR="00F52522" w:rsidRDefault="00F52522" w:rsidP="008A4774">
      <w:pPr>
        <w:keepNext/>
        <w:keepLines/>
        <w:rPr>
          <w:rFonts w:cs="Arial"/>
          <w:color w:val="000000"/>
          <w:sz w:val="22"/>
          <w:szCs w:val="22"/>
        </w:rPr>
      </w:pPr>
    </w:p>
    <w:p w:rsidR="00F52522" w:rsidRDefault="00F52522" w:rsidP="008A4774">
      <w:pPr>
        <w:keepNext/>
        <w:keepLines/>
        <w:rPr>
          <w:rFonts w:cs="Arial"/>
          <w:color w:val="000000"/>
          <w:sz w:val="22"/>
          <w:szCs w:val="22"/>
        </w:rPr>
      </w:pPr>
    </w:p>
    <w:p w:rsidR="00F52522" w:rsidRPr="007F4CF0" w:rsidRDefault="00F52522" w:rsidP="008A4774">
      <w:pPr>
        <w:keepNext/>
        <w:keepLines/>
        <w:rPr>
          <w:b/>
          <w:sz w:val="16"/>
          <w:szCs w:val="18"/>
        </w:rPr>
      </w:pPr>
      <w:r w:rsidRPr="007F4CF0">
        <w:rPr>
          <w:rFonts w:cs="Arial"/>
          <w:color w:val="000000"/>
          <w:szCs w:val="22"/>
        </w:rPr>
        <w:t>RESOURCE UTILIZATION</w:t>
      </w:r>
      <w:r w:rsidRPr="007F4CF0">
        <w:rPr>
          <w:rFonts w:cs="Arial"/>
          <w:color w:val="000000"/>
          <w:szCs w:val="22"/>
        </w:rPr>
        <w:tab/>
      </w:r>
    </w:p>
    <w:p w:rsidR="00F52522" w:rsidRPr="007F4CF0" w:rsidRDefault="00F52522" w:rsidP="008A4774">
      <w:pPr>
        <w:keepNext/>
        <w:keepLines/>
        <w:rPr>
          <w:sz w:val="18"/>
          <w:szCs w:val="20"/>
        </w:rPr>
      </w:pPr>
    </w:p>
    <w:p w:rsidR="00F52522" w:rsidRPr="00383D2D" w:rsidRDefault="00F52522" w:rsidP="008A4774">
      <w:pPr>
        <w:pStyle w:val="NormalWeb"/>
        <w:keepNext/>
        <w:keepLines/>
        <w:spacing w:before="0" w:beforeAutospacing="0" w:after="0" w:afterAutospacing="0"/>
        <w:jc w:val="center"/>
        <w:rPr>
          <w:sz w:val="20"/>
          <w:szCs w:val="20"/>
        </w:rPr>
      </w:pPr>
      <w:r w:rsidRPr="00383D2D">
        <w:rPr>
          <w:color w:val="000000"/>
          <w:sz w:val="20"/>
          <w:szCs w:val="20"/>
        </w:rPr>
        <w:t xml:space="preserve">Budget and Actual Expenditure (by result) </w:t>
      </w:r>
    </w:p>
    <w:p w:rsidR="00F52522" w:rsidRDefault="00F52522" w:rsidP="008A4774">
      <w:pPr>
        <w:pStyle w:val="NormalWeb"/>
        <w:keepNext/>
        <w:keepLines/>
        <w:spacing w:before="0" w:beforeAutospacing="0" w:after="0" w:afterAutospacing="0"/>
        <w:jc w:val="center"/>
        <w:rPr>
          <w:i/>
          <w:iCs/>
          <w:color w:val="000000"/>
          <w:sz w:val="20"/>
          <w:szCs w:val="20"/>
        </w:rPr>
      </w:pPr>
      <w:r w:rsidRPr="00383D2D">
        <w:rPr>
          <w:i/>
          <w:iCs/>
          <w:color w:val="000000"/>
          <w:sz w:val="20"/>
          <w:szCs w:val="20"/>
        </w:rPr>
        <w:t>(</w:t>
      </w:r>
      <w:proofErr w:type="gramStart"/>
      <w:r w:rsidRPr="00383D2D">
        <w:rPr>
          <w:i/>
          <w:iCs/>
          <w:color w:val="000000"/>
          <w:sz w:val="20"/>
          <w:szCs w:val="20"/>
        </w:rPr>
        <w:t>in</w:t>
      </w:r>
      <w:proofErr w:type="gramEnd"/>
      <w:r w:rsidRPr="00383D2D">
        <w:rPr>
          <w:i/>
          <w:iCs/>
          <w:color w:val="000000"/>
          <w:sz w:val="20"/>
          <w:szCs w:val="20"/>
        </w:rPr>
        <w:t xml:space="preserve"> thousands of Swiss francs)</w:t>
      </w:r>
    </w:p>
    <w:p w:rsidR="00F52522" w:rsidRPr="00E525EE" w:rsidRDefault="00F52522" w:rsidP="008A4774">
      <w:pPr>
        <w:pStyle w:val="NormalWeb"/>
        <w:keepNext/>
        <w:keepLines/>
        <w:spacing w:before="0" w:beforeAutospacing="0" w:after="0" w:afterAutospacing="0"/>
        <w:jc w:val="center"/>
        <w:rPr>
          <w:szCs w:val="20"/>
        </w:rPr>
      </w:pPr>
    </w:p>
    <w:p w:rsidR="00F52522" w:rsidRDefault="00F52522" w:rsidP="008A4774">
      <w:pPr>
        <w:jc w:val="center"/>
      </w:pPr>
      <w:r w:rsidRPr="0026026B">
        <w:rPr>
          <w:noProof/>
        </w:rPr>
        <w:drawing>
          <wp:inline distT="0" distB="0" distL="0" distR="0" wp14:anchorId="20D984DD" wp14:editId="53CAC59C">
            <wp:extent cx="5213444" cy="1539109"/>
            <wp:effectExtent l="0" t="0" r="635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234295" cy="1545265"/>
                    </a:xfrm>
                    <a:prstGeom prst="rect">
                      <a:avLst/>
                    </a:prstGeom>
                    <a:noFill/>
                    <a:ln>
                      <a:noFill/>
                    </a:ln>
                  </pic:spPr>
                </pic:pic>
              </a:graphicData>
            </a:graphic>
          </wp:inline>
        </w:drawing>
      </w:r>
    </w:p>
    <w:p w:rsidR="00F52522" w:rsidRPr="00E525EE" w:rsidRDefault="00F52522" w:rsidP="008A4774">
      <w:pPr>
        <w:rPr>
          <w:sz w:val="18"/>
        </w:rPr>
      </w:pPr>
    </w:p>
    <w:p w:rsidR="00F52522" w:rsidRPr="00E525EE" w:rsidRDefault="00F52522" w:rsidP="008A4774">
      <w:pPr>
        <w:rPr>
          <w:sz w:val="18"/>
        </w:rPr>
      </w:pPr>
    </w:p>
    <w:p w:rsidR="00F52522" w:rsidRPr="00383D2D" w:rsidRDefault="00F52522" w:rsidP="008A4774">
      <w:pPr>
        <w:pStyle w:val="NormalWeb"/>
        <w:keepNext/>
        <w:keepLines/>
        <w:spacing w:before="0" w:beforeAutospacing="0" w:after="0" w:afterAutospacing="0"/>
        <w:jc w:val="center"/>
        <w:rPr>
          <w:sz w:val="20"/>
          <w:szCs w:val="20"/>
        </w:rPr>
      </w:pPr>
      <w:r w:rsidRPr="00383D2D">
        <w:rPr>
          <w:color w:val="000000"/>
          <w:sz w:val="20"/>
          <w:szCs w:val="20"/>
        </w:rPr>
        <w:t xml:space="preserve">Budget and Actual Expenditure (personnel and non-personnel) </w:t>
      </w:r>
    </w:p>
    <w:p w:rsidR="00F52522" w:rsidRPr="00383D2D" w:rsidRDefault="00F52522" w:rsidP="008A4774">
      <w:pPr>
        <w:pStyle w:val="NormalWeb"/>
        <w:keepNext/>
        <w:keepLines/>
        <w:spacing w:before="0" w:beforeAutospacing="0" w:after="0" w:afterAutospacing="0"/>
        <w:jc w:val="center"/>
        <w:rPr>
          <w:i/>
          <w:iCs/>
          <w:color w:val="000000"/>
          <w:sz w:val="20"/>
          <w:szCs w:val="20"/>
        </w:rPr>
      </w:pPr>
      <w:r w:rsidRPr="00383D2D">
        <w:rPr>
          <w:i/>
          <w:iCs/>
          <w:color w:val="000000"/>
          <w:sz w:val="20"/>
          <w:szCs w:val="20"/>
        </w:rPr>
        <w:t>(</w:t>
      </w:r>
      <w:proofErr w:type="gramStart"/>
      <w:r w:rsidRPr="00383D2D">
        <w:rPr>
          <w:i/>
          <w:iCs/>
          <w:color w:val="000000"/>
          <w:sz w:val="20"/>
          <w:szCs w:val="20"/>
        </w:rPr>
        <w:t>in</w:t>
      </w:r>
      <w:proofErr w:type="gramEnd"/>
      <w:r w:rsidRPr="00383D2D">
        <w:rPr>
          <w:i/>
          <w:iCs/>
          <w:color w:val="000000"/>
          <w:sz w:val="20"/>
          <w:szCs w:val="20"/>
        </w:rPr>
        <w:t xml:space="preserve"> thousands of Swiss francs)</w:t>
      </w:r>
    </w:p>
    <w:p w:rsidR="00F52522" w:rsidRDefault="00F52522" w:rsidP="008A4774">
      <w:pPr>
        <w:pStyle w:val="NormalWeb"/>
        <w:keepNext/>
        <w:keepLines/>
        <w:spacing w:before="0" w:beforeAutospacing="0" w:after="0" w:afterAutospacing="0"/>
        <w:jc w:val="center"/>
      </w:pPr>
    </w:p>
    <w:p w:rsidR="00F52522" w:rsidRPr="008F4A6D" w:rsidRDefault="00F52522" w:rsidP="008A4774">
      <w:pPr>
        <w:widowControl w:val="0"/>
        <w:autoSpaceDE w:val="0"/>
        <w:autoSpaceDN w:val="0"/>
        <w:adjustRightInd w:val="0"/>
        <w:jc w:val="center"/>
        <w:rPr>
          <w:rFonts w:cs="Arial"/>
          <w:szCs w:val="20"/>
        </w:rPr>
      </w:pPr>
      <w:r w:rsidRPr="0084236C">
        <w:rPr>
          <w:noProof/>
        </w:rPr>
        <w:drawing>
          <wp:inline distT="0" distB="0" distL="0" distR="0" wp14:anchorId="250BDBC6" wp14:editId="52FAF632">
            <wp:extent cx="5349923" cy="1109010"/>
            <wp:effectExtent l="0" t="0" r="317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353930" cy="1109841"/>
                    </a:xfrm>
                    <a:prstGeom prst="rect">
                      <a:avLst/>
                    </a:prstGeom>
                    <a:noFill/>
                    <a:ln>
                      <a:noFill/>
                    </a:ln>
                  </pic:spPr>
                </pic:pic>
              </a:graphicData>
            </a:graphic>
          </wp:inline>
        </w:drawing>
      </w:r>
    </w:p>
    <w:p w:rsidR="00F52522" w:rsidRDefault="00F52522" w:rsidP="008A4774">
      <w:pPr>
        <w:rPr>
          <w:rFonts w:cs="Arial"/>
          <w:szCs w:val="20"/>
        </w:rPr>
      </w:pPr>
    </w:p>
    <w:p w:rsidR="00F52522" w:rsidRDefault="00F52522" w:rsidP="008A4774">
      <w:pPr>
        <w:rPr>
          <w:rFonts w:cs="Arial"/>
          <w:szCs w:val="20"/>
        </w:rPr>
      </w:pPr>
    </w:p>
    <w:p w:rsidR="00F52522" w:rsidRDefault="00F52522" w:rsidP="008A4774">
      <w:pPr>
        <w:keepNext/>
        <w:keepLines/>
        <w:rPr>
          <w:rFonts w:cs="Arial"/>
          <w:u w:val="single"/>
        </w:rPr>
      </w:pPr>
      <w:r w:rsidRPr="00420F90">
        <w:rPr>
          <w:rFonts w:cs="Arial"/>
          <w:szCs w:val="20"/>
        </w:rPr>
        <w:t>A.</w:t>
      </w:r>
      <w:r w:rsidRPr="00420F90">
        <w:rPr>
          <w:rFonts w:cs="Arial"/>
        </w:rPr>
        <w:tab/>
      </w:r>
      <w:r w:rsidRPr="00420F90">
        <w:rPr>
          <w:rFonts w:cs="Arial"/>
          <w:u w:val="single"/>
        </w:rPr>
        <w:t>201</w:t>
      </w:r>
      <w:r>
        <w:rPr>
          <w:rFonts w:cs="Arial"/>
          <w:u w:val="single"/>
        </w:rPr>
        <w:t xml:space="preserve">4/15 Final </w:t>
      </w:r>
      <w:r w:rsidRPr="00420F90">
        <w:rPr>
          <w:rFonts w:cs="Arial"/>
          <w:u w:val="single"/>
        </w:rPr>
        <w:t xml:space="preserve">Budget after Transfers </w:t>
      </w:r>
    </w:p>
    <w:p w:rsidR="00F52522" w:rsidRDefault="00F52522" w:rsidP="008A4774">
      <w:pPr>
        <w:keepNext/>
        <w:keepLines/>
        <w:autoSpaceDE w:val="0"/>
        <w:autoSpaceDN w:val="0"/>
        <w:jc w:val="both"/>
        <w:rPr>
          <w:rFonts w:cs="Arial"/>
          <w:szCs w:val="20"/>
          <w:lang w:eastAsia="ko-KR"/>
        </w:rPr>
      </w:pPr>
    </w:p>
    <w:p w:rsidR="00F52522" w:rsidRPr="00A36494" w:rsidRDefault="00F52522" w:rsidP="00E16443">
      <w:pPr>
        <w:pStyle w:val="ListParagraph"/>
        <w:keepNext/>
        <w:keepLines/>
        <w:numPr>
          <w:ilvl w:val="0"/>
          <w:numId w:val="10"/>
        </w:numPr>
        <w:tabs>
          <w:tab w:val="left" w:pos="0"/>
          <w:tab w:val="left" w:pos="709"/>
        </w:tabs>
        <w:ind w:left="0" w:firstLine="0"/>
        <w:jc w:val="both"/>
        <w:rPr>
          <w:rFonts w:cs="Arial"/>
          <w:lang w:eastAsia="ko-KR"/>
        </w:rPr>
      </w:pPr>
      <w:r w:rsidRPr="00A36494">
        <w:rPr>
          <w:color w:val="000000"/>
          <w:lang w:eastAsia="zh-CN"/>
        </w:rPr>
        <w:t>The</w:t>
      </w:r>
      <w:r w:rsidRPr="00A36494">
        <w:rPr>
          <w:lang w:eastAsia="ko-KR"/>
        </w:rPr>
        <w:t xml:space="preserve"> overall increase in the 2014/15 </w:t>
      </w:r>
      <w:r>
        <w:rPr>
          <w:lang w:eastAsia="ko-KR"/>
        </w:rPr>
        <w:t xml:space="preserve">Final </w:t>
      </w:r>
      <w:r w:rsidRPr="00A36494">
        <w:rPr>
          <w:lang w:eastAsia="ko-KR"/>
        </w:rPr>
        <w:t xml:space="preserve">Budget after Transfers resulted primarily from: </w:t>
      </w:r>
      <w:r>
        <w:rPr>
          <w:lang w:eastAsia="ko-KR"/>
        </w:rPr>
        <w:t xml:space="preserve"> </w:t>
      </w:r>
      <w:r w:rsidRPr="00A36494">
        <w:rPr>
          <w:lang w:eastAsia="ko-KR"/>
        </w:rPr>
        <w:t>(i) the allocation of additional personnel resources to Result I.2 (Legislative advice) in order to more efficiently respond to an increase of requests for legislative advice</w:t>
      </w:r>
      <w:r>
        <w:rPr>
          <w:lang w:eastAsia="ko-KR"/>
        </w:rPr>
        <w:t xml:space="preserve">; </w:t>
      </w:r>
      <w:r w:rsidRPr="00A36494">
        <w:rPr>
          <w:lang w:eastAsia="ko-KR"/>
        </w:rPr>
        <w:t xml:space="preserve"> and (ii) the transfer of patent drafting activities from Program 30 to Program 1. </w:t>
      </w:r>
    </w:p>
    <w:p w:rsidR="00F52522" w:rsidRDefault="00F52522" w:rsidP="008A4774">
      <w:pPr>
        <w:autoSpaceDE w:val="0"/>
        <w:autoSpaceDN w:val="0"/>
        <w:jc w:val="both"/>
        <w:rPr>
          <w:rFonts w:cs="Arial"/>
          <w:szCs w:val="20"/>
          <w:lang w:eastAsia="ko-KR"/>
        </w:rPr>
      </w:pPr>
    </w:p>
    <w:p w:rsidR="00F52522" w:rsidRDefault="00F52522" w:rsidP="008A4774">
      <w:pPr>
        <w:jc w:val="both"/>
        <w:rPr>
          <w:rFonts w:cs="Arial"/>
          <w:szCs w:val="20"/>
          <w:u w:val="single"/>
          <w:lang w:eastAsia="ko-KR"/>
        </w:rPr>
      </w:pPr>
      <w:r>
        <w:rPr>
          <w:rFonts w:cs="Arial"/>
          <w:szCs w:val="20"/>
          <w:lang w:eastAsia="ko-KR"/>
        </w:rPr>
        <w:t>B.</w:t>
      </w:r>
      <w:r>
        <w:rPr>
          <w:rFonts w:cs="Arial"/>
          <w:szCs w:val="20"/>
          <w:lang w:eastAsia="ko-KR"/>
        </w:rPr>
        <w:tab/>
      </w:r>
      <w:r w:rsidRPr="00420F90">
        <w:rPr>
          <w:rFonts w:cs="Arial"/>
          <w:u w:val="single"/>
        </w:rPr>
        <w:t>201</w:t>
      </w:r>
      <w:r>
        <w:rPr>
          <w:rFonts w:cs="Arial"/>
          <w:u w:val="single"/>
        </w:rPr>
        <w:t xml:space="preserve">4/15 </w:t>
      </w:r>
      <w:r>
        <w:rPr>
          <w:rFonts w:cs="Arial"/>
          <w:szCs w:val="20"/>
          <w:u w:val="single"/>
          <w:lang w:eastAsia="ko-KR"/>
        </w:rPr>
        <w:t xml:space="preserve">Budget Utilization </w:t>
      </w:r>
    </w:p>
    <w:p w:rsidR="00F52522" w:rsidRDefault="00F52522" w:rsidP="008A4774">
      <w:pPr>
        <w:jc w:val="both"/>
        <w:rPr>
          <w:rFonts w:cs="Arial"/>
          <w:szCs w:val="20"/>
          <w:u w:val="single"/>
          <w:lang w:eastAsia="ko-KR"/>
        </w:rPr>
      </w:pPr>
    </w:p>
    <w:p w:rsidR="00F52522" w:rsidRDefault="00F52522" w:rsidP="00E16443">
      <w:pPr>
        <w:pStyle w:val="ListParagraph"/>
        <w:numPr>
          <w:ilvl w:val="0"/>
          <w:numId w:val="10"/>
        </w:numPr>
        <w:tabs>
          <w:tab w:val="left" w:pos="0"/>
          <w:tab w:val="left" w:pos="709"/>
        </w:tabs>
        <w:ind w:left="0" w:firstLine="0"/>
        <w:jc w:val="both"/>
        <w:rPr>
          <w:color w:val="000000"/>
          <w:lang w:eastAsia="zh-CN"/>
        </w:rPr>
      </w:pPr>
      <w:r w:rsidRPr="000B03C1">
        <w:rPr>
          <w:color w:val="000000"/>
          <w:lang w:eastAsia="zh-CN"/>
        </w:rPr>
        <w:t xml:space="preserve">Overall budget utilization for the biennium 2014/15 amounted to 97 per </w:t>
      </w:r>
      <w:proofErr w:type="gramStart"/>
      <w:r w:rsidRPr="000B03C1">
        <w:rPr>
          <w:color w:val="000000"/>
          <w:lang w:eastAsia="zh-CN"/>
        </w:rPr>
        <w:t>cent,</w:t>
      </w:r>
      <w:proofErr w:type="gramEnd"/>
      <w:r w:rsidRPr="000B03C1">
        <w:rPr>
          <w:color w:val="000000"/>
          <w:lang w:eastAsia="zh-CN"/>
        </w:rPr>
        <w:t xml:space="preserve"> however </w:t>
      </w:r>
      <w:r>
        <w:rPr>
          <w:color w:val="000000"/>
          <w:lang w:eastAsia="zh-CN"/>
        </w:rPr>
        <w:t xml:space="preserve">a </w:t>
      </w:r>
      <w:r w:rsidRPr="000B03C1">
        <w:rPr>
          <w:color w:val="000000"/>
          <w:lang w:eastAsia="zh-CN"/>
        </w:rPr>
        <w:t>few activities related to the revision of the Patent Model Law on Inventions for Developing Countries were not undertaken due to the absence of an agreement among Members States at the SCP.</w:t>
      </w:r>
    </w:p>
    <w:p w:rsidR="00F52522" w:rsidRDefault="00F52522">
      <w:pPr>
        <w:rPr>
          <w:color w:val="000000"/>
          <w:szCs w:val="20"/>
          <w:lang w:eastAsia="zh-CN"/>
        </w:rPr>
      </w:pPr>
      <w:r>
        <w:rPr>
          <w:color w:val="000000"/>
          <w:lang w:eastAsia="zh-CN"/>
        </w:rPr>
        <w:br w:type="page"/>
      </w:r>
    </w:p>
    <w:p w:rsidR="00F52522" w:rsidRPr="00727833" w:rsidRDefault="00F52522" w:rsidP="008A4774">
      <w:pPr>
        <w:pStyle w:val="Heading2"/>
        <w:tabs>
          <w:tab w:val="clear" w:pos="567"/>
          <w:tab w:val="left" w:pos="1985"/>
        </w:tabs>
        <w:ind w:left="1985" w:hanging="1985"/>
        <w:rPr>
          <w:sz w:val="20"/>
          <w:szCs w:val="20"/>
        </w:rPr>
      </w:pPr>
      <w:bookmarkStart w:id="54" w:name="_Toc422210478"/>
      <w:bookmarkStart w:id="55" w:name="_Toc454544463"/>
      <w:r w:rsidRPr="00727833">
        <w:rPr>
          <w:sz w:val="20"/>
          <w:szCs w:val="20"/>
        </w:rPr>
        <w:lastRenderedPageBreak/>
        <w:t>PROGRAM 2</w:t>
      </w:r>
      <w:r w:rsidRPr="00727833">
        <w:rPr>
          <w:sz w:val="20"/>
          <w:szCs w:val="20"/>
        </w:rPr>
        <w:tab/>
        <w:t>TRADEMARKS, INDUSTRIAL DESIGNS AND GEOGRAPHICAL INDICATIONS</w:t>
      </w:r>
      <w:bookmarkEnd w:id="54"/>
      <w:bookmarkEnd w:id="55"/>
    </w:p>
    <w:p w:rsidR="00F52522" w:rsidRPr="00727833" w:rsidRDefault="00F52522" w:rsidP="008A4774">
      <w:pPr>
        <w:rPr>
          <w:szCs w:val="20"/>
        </w:rPr>
      </w:pPr>
    </w:p>
    <w:p w:rsidR="00F52522" w:rsidRPr="00727833" w:rsidRDefault="00F52522" w:rsidP="008A4774">
      <w:pPr>
        <w:tabs>
          <w:tab w:val="left" w:pos="1985"/>
        </w:tabs>
        <w:rPr>
          <w:b/>
          <w:szCs w:val="20"/>
        </w:rPr>
      </w:pPr>
      <w:r w:rsidRPr="00727833">
        <w:rPr>
          <w:b/>
          <w:szCs w:val="20"/>
        </w:rPr>
        <w:t>Program Manager</w:t>
      </w:r>
      <w:r w:rsidRPr="00727833">
        <w:rPr>
          <w:b/>
          <w:szCs w:val="20"/>
        </w:rPr>
        <w:tab/>
        <w:t>Ms. B. Wang</w:t>
      </w:r>
    </w:p>
    <w:p w:rsidR="00F52522" w:rsidRPr="00727833" w:rsidRDefault="00F52522" w:rsidP="008A4774">
      <w:pPr>
        <w:tabs>
          <w:tab w:val="left" w:pos="2268"/>
        </w:tabs>
        <w:rPr>
          <w:szCs w:val="20"/>
        </w:rPr>
      </w:pPr>
    </w:p>
    <w:p w:rsidR="00F52522" w:rsidRPr="00727833" w:rsidRDefault="00F52522" w:rsidP="008A4774">
      <w:pPr>
        <w:tabs>
          <w:tab w:val="left" w:pos="2268"/>
        </w:tabs>
        <w:rPr>
          <w:bCs/>
          <w:szCs w:val="20"/>
        </w:rPr>
      </w:pPr>
    </w:p>
    <w:p w:rsidR="00F52522" w:rsidRPr="00727833" w:rsidRDefault="00F52522" w:rsidP="008A4774">
      <w:pPr>
        <w:rPr>
          <w:bCs/>
          <w:szCs w:val="20"/>
        </w:rPr>
      </w:pPr>
      <w:r w:rsidRPr="00727833">
        <w:rPr>
          <w:bCs/>
          <w:szCs w:val="20"/>
        </w:rPr>
        <w:t>ACHIEVEMENTS IN THE 2014/15 BIENNIUM</w:t>
      </w:r>
    </w:p>
    <w:p w:rsidR="00F52522" w:rsidRPr="00727833" w:rsidRDefault="00F52522" w:rsidP="008A4774">
      <w:pPr>
        <w:rPr>
          <w:bCs/>
          <w:szCs w:val="20"/>
        </w:rPr>
      </w:pPr>
    </w:p>
    <w:p w:rsidR="00F52522" w:rsidRPr="00727833" w:rsidRDefault="00F52522" w:rsidP="00F6573D">
      <w:pPr>
        <w:tabs>
          <w:tab w:val="left" w:pos="709"/>
        </w:tabs>
        <w:jc w:val="both"/>
        <w:rPr>
          <w:bCs/>
          <w:szCs w:val="20"/>
        </w:rPr>
      </w:pPr>
      <w:r w:rsidRPr="00727833">
        <w:rPr>
          <w:bCs/>
          <w:szCs w:val="20"/>
        </w:rPr>
        <w:t>2.1.</w:t>
      </w:r>
      <w:r w:rsidRPr="00727833">
        <w:rPr>
          <w:bCs/>
          <w:szCs w:val="20"/>
        </w:rPr>
        <w:tab/>
        <w:t xml:space="preserve">During the biennium, the Standing Committee on the Law of Trademarks, Industrial Designs and Geographical Indications (SCT) continued from its thirty-first through to its thirty-fourth sessions work on a draft Design Law Treaty to be adopted at a Diplomatic Conference. </w:t>
      </w:r>
      <w:r>
        <w:rPr>
          <w:bCs/>
          <w:szCs w:val="20"/>
        </w:rPr>
        <w:t xml:space="preserve"> </w:t>
      </w:r>
      <w:r w:rsidRPr="00727833">
        <w:rPr>
          <w:bCs/>
          <w:szCs w:val="20"/>
        </w:rPr>
        <w:t>The question of convening such a Diplomatic Conference was dealt with by the WIPO General Assembly at its forty-seventh (22</w:t>
      </w:r>
      <w:r w:rsidRPr="00727833">
        <w:rPr>
          <w:bCs/>
          <w:szCs w:val="20"/>
          <w:vertAlign w:val="superscript"/>
        </w:rPr>
        <w:t>nd</w:t>
      </w:r>
      <w:r w:rsidRPr="00727833">
        <w:rPr>
          <w:bCs/>
          <w:szCs w:val="20"/>
        </w:rPr>
        <w:t xml:space="preserve"> ordinary) session in October 2015, where the General Assembly agreed</w:t>
      </w:r>
      <w:r w:rsidRPr="00727833">
        <w:rPr>
          <w:szCs w:val="20"/>
        </w:rPr>
        <w:t xml:space="preserve"> “t</w:t>
      </w:r>
      <w:r w:rsidRPr="00727833">
        <w:rPr>
          <w:bCs/>
          <w:szCs w:val="20"/>
        </w:rPr>
        <w:t>o convene a diplomatic conference for the adoption of a Design Law Treaty at the end of the first half of 2017, only if the discussions on technical assistance and disclosure have been completed during the thirty-fourth and thirty-fifth sessions of the SCT.”</w:t>
      </w:r>
      <w:r>
        <w:rPr>
          <w:bCs/>
          <w:szCs w:val="20"/>
        </w:rPr>
        <w:t xml:space="preserve"> </w:t>
      </w:r>
      <w:r w:rsidRPr="00727833">
        <w:rPr>
          <w:bCs/>
          <w:szCs w:val="20"/>
        </w:rPr>
        <w:t xml:space="preserve"> The SCT continued its work on the protection of country names and adopted a Reference Document on the Protection of Country Names </w:t>
      </w:r>
      <w:r w:rsidR="00CE5B6D">
        <w:rPr>
          <w:bCs/>
          <w:szCs w:val="20"/>
        </w:rPr>
        <w:t>a</w:t>
      </w:r>
      <w:r w:rsidRPr="00727833">
        <w:rPr>
          <w:bCs/>
          <w:szCs w:val="20"/>
        </w:rPr>
        <w:t>gainst Registration and Use as Trademarks</w:t>
      </w:r>
      <w:r>
        <w:rPr>
          <w:bCs/>
          <w:szCs w:val="20"/>
        </w:rPr>
        <w:t xml:space="preserve"> ((</w:t>
      </w:r>
      <w:r w:rsidRPr="00727833">
        <w:rPr>
          <w:bCs/>
          <w:szCs w:val="20"/>
        </w:rPr>
        <w:t>document WIPO/Strad/INF/7</w:t>
      </w:r>
      <w:r>
        <w:rPr>
          <w:bCs/>
          <w:szCs w:val="20"/>
        </w:rPr>
        <w:t>)</w:t>
      </w:r>
      <w:r w:rsidRPr="00727833">
        <w:rPr>
          <w:bCs/>
          <w:szCs w:val="20"/>
        </w:rPr>
        <w:t xml:space="preserve">.  Furthermore, a number of delegations presented proposals for work by the SCT on geographical indications.  The Program’s norm-setting activities within the SCT continued to be inclusive and member-driven in line with DA Recommendation 15, and the SCT negotiations were based upon open and balanced consultations in line with DA Recommendations 21 and 42.  </w:t>
      </w:r>
    </w:p>
    <w:p w:rsidR="00F52522" w:rsidRPr="00727833" w:rsidRDefault="00F52522" w:rsidP="00F6573D">
      <w:pPr>
        <w:tabs>
          <w:tab w:val="left" w:pos="709"/>
        </w:tabs>
        <w:jc w:val="both"/>
        <w:rPr>
          <w:bCs/>
          <w:szCs w:val="20"/>
        </w:rPr>
      </w:pPr>
    </w:p>
    <w:p w:rsidR="00F52522" w:rsidRPr="00727833" w:rsidRDefault="00F52522" w:rsidP="00F6573D">
      <w:pPr>
        <w:tabs>
          <w:tab w:val="left" w:pos="709"/>
        </w:tabs>
        <w:jc w:val="both"/>
        <w:rPr>
          <w:bCs/>
          <w:szCs w:val="20"/>
        </w:rPr>
      </w:pPr>
      <w:r w:rsidRPr="00727833">
        <w:rPr>
          <w:bCs/>
          <w:szCs w:val="20"/>
        </w:rPr>
        <w:t>2.2.</w:t>
      </w:r>
      <w:r w:rsidRPr="00727833">
        <w:rPr>
          <w:bCs/>
          <w:szCs w:val="20"/>
        </w:rPr>
        <w:tab/>
        <w:t xml:space="preserve">The biennium 2014/15 also saw ratification of and/or accession to the Singapore Treaty on the Law of Trademarks by seven new Contracting Parties (Belarus, Belgium, Benelux Organization for Intellectual Property (BOIP), Iraq, Luxembourg, the Netherlands and Tajikistan), bringing the total number of Contracting Parties to 38 at the end of 2015.  </w:t>
      </w:r>
    </w:p>
    <w:p w:rsidR="00F52522" w:rsidRPr="00727833" w:rsidRDefault="00F52522" w:rsidP="00F6573D">
      <w:pPr>
        <w:tabs>
          <w:tab w:val="left" w:pos="709"/>
        </w:tabs>
        <w:jc w:val="both"/>
        <w:rPr>
          <w:bCs/>
          <w:szCs w:val="20"/>
        </w:rPr>
      </w:pPr>
    </w:p>
    <w:p w:rsidR="00F52522" w:rsidRPr="00727833" w:rsidRDefault="00F52522" w:rsidP="00F6573D">
      <w:pPr>
        <w:tabs>
          <w:tab w:val="left" w:pos="709"/>
        </w:tabs>
        <w:jc w:val="both"/>
        <w:rPr>
          <w:bCs/>
          <w:szCs w:val="20"/>
        </w:rPr>
      </w:pPr>
      <w:r w:rsidRPr="00727833">
        <w:rPr>
          <w:bCs/>
          <w:szCs w:val="20"/>
        </w:rPr>
        <w:t>2.3.</w:t>
      </w:r>
      <w:r w:rsidRPr="00727833">
        <w:rPr>
          <w:bCs/>
          <w:szCs w:val="20"/>
        </w:rPr>
        <w:tab/>
        <w:t>As regards increased protection of State emblems and names and emblems of international intergovernmental organizations under Article 6</w:t>
      </w:r>
      <w:r w:rsidRPr="00727833">
        <w:rPr>
          <w:bCs/>
          <w:i/>
          <w:szCs w:val="20"/>
        </w:rPr>
        <w:t>ter</w:t>
      </w:r>
      <w:r w:rsidRPr="00727833">
        <w:rPr>
          <w:bCs/>
          <w:szCs w:val="20"/>
        </w:rPr>
        <w:t xml:space="preserve"> Paris Convention, communications and responses to requests were dealt with in a timely and efficient manner during the period under review.  The discrepancy between the target for requests to be dealt with and the actual number of requests is due to the fluctuation of requests and the fact that the estimated target was based on a biennial average.  At the end of 2015, a total of 3,157 signs were contained in the Article 6</w:t>
      </w:r>
      <w:r w:rsidRPr="00727833">
        <w:rPr>
          <w:bCs/>
          <w:i/>
          <w:szCs w:val="20"/>
        </w:rPr>
        <w:t>ter</w:t>
      </w:r>
      <w:r w:rsidRPr="00727833">
        <w:rPr>
          <w:bCs/>
          <w:szCs w:val="20"/>
        </w:rPr>
        <w:t xml:space="preserve"> database.</w:t>
      </w:r>
    </w:p>
    <w:p w:rsidR="00F52522" w:rsidRPr="00727833" w:rsidRDefault="00F52522" w:rsidP="00F6573D">
      <w:pPr>
        <w:tabs>
          <w:tab w:val="left" w:pos="709"/>
        </w:tabs>
        <w:jc w:val="both"/>
        <w:rPr>
          <w:bCs/>
          <w:szCs w:val="20"/>
        </w:rPr>
      </w:pPr>
    </w:p>
    <w:p w:rsidR="00F52522" w:rsidRPr="00727833" w:rsidRDefault="00F52522" w:rsidP="00F6573D">
      <w:pPr>
        <w:tabs>
          <w:tab w:val="left" w:pos="709"/>
        </w:tabs>
        <w:jc w:val="both"/>
        <w:rPr>
          <w:bCs/>
          <w:szCs w:val="20"/>
        </w:rPr>
      </w:pPr>
      <w:r w:rsidRPr="00727833">
        <w:rPr>
          <w:bCs/>
          <w:szCs w:val="20"/>
        </w:rPr>
        <w:t>2.4.</w:t>
      </w:r>
      <w:r w:rsidRPr="00727833">
        <w:rPr>
          <w:bCs/>
          <w:szCs w:val="20"/>
        </w:rPr>
        <w:tab/>
        <w:t xml:space="preserve">Concerning the work on tailored and balanced IP legislative, regulatory and policy frameworks, the Program provided advice to 31 Member States/intergovernmental organizations in the area of trademark, industrial design and geographical indications law.  The Program’s technical assistance, capacity-building and legislative assistance activities were development-oriented, demand-driven and reported on during the year in line with DA Recommendations 1 and 13.  </w:t>
      </w:r>
    </w:p>
    <w:p w:rsidR="00F52522" w:rsidRPr="00727833" w:rsidRDefault="00F52522" w:rsidP="00F6573D">
      <w:pPr>
        <w:tabs>
          <w:tab w:val="left" w:pos="709"/>
        </w:tabs>
        <w:jc w:val="both"/>
        <w:rPr>
          <w:bCs/>
          <w:szCs w:val="20"/>
        </w:rPr>
      </w:pPr>
    </w:p>
    <w:p w:rsidR="00F52522" w:rsidRPr="00E93449" w:rsidRDefault="00F52522" w:rsidP="00F6573D">
      <w:pPr>
        <w:tabs>
          <w:tab w:val="left" w:pos="709"/>
        </w:tabs>
        <w:jc w:val="both"/>
        <w:rPr>
          <w:bCs/>
          <w:szCs w:val="20"/>
        </w:rPr>
      </w:pPr>
      <w:r w:rsidRPr="00727833">
        <w:rPr>
          <w:bCs/>
          <w:szCs w:val="20"/>
        </w:rPr>
        <w:t>2.5.</w:t>
      </w:r>
      <w:r w:rsidRPr="00727833">
        <w:rPr>
          <w:bCs/>
          <w:szCs w:val="20"/>
        </w:rPr>
        <w:tab/>
      </w:r>
      <w:r w:rsidRPr="00E93449">
        <w:rPr>
          <w:bCs/>
          <w:szCs w:val="20"/>
        </w:rPr>
        <w:t xml:space="preserve">In addition, the Program implemented the DA Pilot Project on IP and Design Management for Business Development in Developing and Least Developed Countries (DA_4_10_02) in Argentina and Morocco.  Following formal agreement on the project scope, national design protection strategies in 2014, outreach plans and exit strategies were drafted for both Pilot Countries, and a dedicated national program (i.e. </w:t>
      </w:r>
      <w:r w:rsidRPr="00E93449">
        <w:rPr>
          <w:bCs/>
          <w:i/>
          <w:szCs w:val="20"/>
        </w:rPr>
        <w:t>Diseñar</w:t>
      </w:r>
      <w:r w:rsidRPr="00E93449">
        <w:rPr>
          <w:bCs/>
          <w:szCs w:val="20"/>
        </w:rPr>
        <w:t xml:space="preserve"> in Argentina and </w:t>
      </w:r>
      <w:r w:rsidRPr="00E93449">
        <w:rPr>
          <w:bCs/>
          <w:i/>
          <w:szCs w:val="20"/>
        </w:rPr>
        <w:t>Nama</w:t>
      </w:r>
      <w:r w:rsidRPr="00E93449">
        <w:rPr>
          <w:bCs/>
          <w:szCs w:val="20"/>
        </w:rPr>
        <w:t xml:space="preserve">dij in Morocco) was set up.  Feasibility studies were then carried out in both countries, resulting in the selection of originally 70 beneficiary SMEs, of which 68 were eventually retained (42 in Argentina and 26 in Morocco).   To support the beneficiary SMEs in developing tailor-made design protection strategies and to provide them with assistance for IP applications, national project teams consisting of project steering committees, country project coordinators and eight experts (five for Argentina and three for Morocco) were created. </w:t>
      </w:r>
    </w:p>
    <w:p w:rsidR="00F52522" w:rsidRPr="00E93449" w:rsidRDefault="00F52522" w:rsidP="00F6573D">
      <w:pPr>
        <w:tabs>
          <w:tab w:val="left" w:pos="709"/>
        </w:tabs>
        <w:jc w:val="both"/>
        <w:rPr>
          <w:bCs/>
          <w:szCs w:val="20"/>
        </w:rPr>
      </w:pPr>
    </w:p>
    <w:p w:rsidR="00F52522" w:rsidRPr="00E93449" w:rsidRDefault="00F52522" w:rsidP="00F6573D">
      <w:pPr>
        <w:tabs>
          <w:tab w:val="left" w:pos="709"/>
        </w:tabs>
        <w:jc w:val="both"/>
        <w:rPr>
          <w:bCs/>
          <w:szCs w:val="20"/>
        </w:rPr>
      </w:pPr>
      <w:r>
        <w:rPr>
          <w:bCs/>
          <w:szCs w:val="20"/>
        </w:rPr>
        <w:t>2.6</w:t>
      </w:r>
      <w:r w:rsidRPr="00727833">
        <w:rPr>
          <w:bCs/>
          <w:szCs w:val="20"/>
        </w:rPr>
        <w:t>.</w:t>
      </w:r>
      <w:r>
        <w:rPr>
          <w:bCs/>
          <w:szCs w:val="20"/>
        </w:rPr>
        <w:tab/>
      </w:r>
      <w:r w:rsidRPr="00E93449">
        <w:rPr>
          <w:bCs/>
          <w:szCs w:val="20"/>
        </w:rPr>
        <w:t xml:space="preserve">Progress continued in 2015 with the creation of promotional materials and the development of a set of tools </w:t>
      </w:r>
      <w:r>
        <w:rPr>
          <w:bCs/>
          <w:szCs w:val="20"/>
        </w:rPr>
        <w:t xml:space="preserve">to </w:t>
      </w:r>
      <w:r w:rsidRPr="00E93449">
        <w:rPr>
          <w:bCs/>
          <w:szCs w:val="20"/>
        </w:rPr>
        <w:t xml:space="preserve">further support beneficiary SMEs in strategically protecting their designs for their business development on the local and international markets.  By November 2015, participating SMEs had filed or were in the process of filing applications for a total of 32 industrial designs and 29 trademarks in Argentina, and for 77 industrial designs in Morocco.  Other key deliverables of the Project during the biennium included the establishment of a national steering committee in each country, including ministries, associations, chambers of commerce, schools and universities.  To further reinforce institutional partners’ engagement to contribute to each country’s program’s objectives, project charters were signed on April 7, 2015, in Argentina, in presence of the Minister of Industry, and between April 1, 2015, and October 27, 2015 in Morocco by the project’s national key partners.  The Secretariat and both countries’ delegations presented the results of the project to Member States at a side event to the thirty-fourth session of the SCT.  Surveys to date indicate an overall very high rate of Lead Agencies’ and </w:t>
      </w:r>
      <w:r w:rsidRPr="00E93449">
        <w:rPr>
          <w:bCs/>
          <w:szCs w:val="20"/>
        </w:rPr>
        <w:lastRenderedPageBreak/>
        <w:t xml:space="preserve">SMEs’ satisfaction with regards to the technical assistance received and to the value added of the project to local business development of design-intensive SMEs through the strategic use of IP.  Exit strategies are being reviewed for implementation in each country in 2016, and a final evaluation of the project will also be conducted.  </w:t>
      </w:r>
    </w:p>
    <w:p w:rsidR="00F52522" w:rsidRDefault="00F52522" w:rsidP="00F6573D">
      <w:pPr>
        <w:tabs>
          <w:tab w:val="left" w:pos="709"/>
        </w:tabs>
        <w:jc w:val="both"/>
        <w:rPr>
          <w:szCs w:val="20"/>
        </w:rPr>
      </w:pPr>
    </w:p>
    <w:p w:rsidR="00F52522" w:rsidRDefault="00F52522" w:rsidP="008A4774">
      <w:pPr>
        <w:jc w:val="both"/>
        <w:rPr>
          <w:szCs w:val="20"/>
        </w:rPr>
      </w:pPr>
    </w:p>
    <w:p w:rsidR="00F52522" w:rsidRPr="00E41E2D" w:rsidRDefault="00F52522" w:rsidP="008A4774">
      <w:pPr>
        <w:tabs>
          <w:tab w:val="left" w:pos="2268"/>
        </w:tabs>
        <w:rPr>
          <w:szCs w:val="22"/>
        </w:rPr>
      </w:pPr>
      <w:r w:rsidRPr="00E41E2D">
        <w:rPr>
          <w:szCs w:val="22"/>
        </w:rPr>
        <w:t>PERFORMANCE DATA</w:t>
      </w:r>
    </w:p>
    <w:p w:rsidR="00F52522" w:rsidRPr="007C62B7" w:rsidRDefault="00F52522" w:rsidP="008A4774">
      <w:pPr>
        <w:tabs>
          <w:tab w:val="left" w:pos="2268"/>
        </w:tabs>
        <w:rPr>
          <w:b/>
          <w:szCs w:val="22"/>
        </w:rPr>
      </w:pPr>
    </w:p>
    <w:tbl>
      <w:tblPr>
        <w:tblW w:w="5000"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174"/>
        <w:gridCol w:w="2726"/>
        <w:gridCol w:w="31"/>
        <w:gridCol w:w="1307"/>
        <w:gridCol w:w="21"/>
        <w:gridCol w:w="2286"/>
        <w:gridCol w:w="15"/>
        <w:gridCol w:w="1011"/>
      </w:tblGrid>
      <w:tr w:rsidR="00F52522" w:rsidRPr="001A1334" w:rsidTr="008A4774">
        <w:trPr>
          <w:cantSplit/>
          <w:trHeight w:val="534"/>
        </w:trPr>
        <w:tc>
          <w:tcPr>
            <w:tcW w:w="5000" w:type="pct"/>
            <w:gridSpan w:val="8"/>
            <w:tcBorders>
              <w:top w:val="single" w:sz="4" w:space="0" w:color="auto"/>
              <w:bottom w:val="single" w:sz="4" w:space="0" w:color="auto"/>
            </w:tcBorders>
            <w:shd w:val="clear" w:color="auto" w:fill="C6D9F1" w:themeFill="text2" w:themeFillTint="33"/>
            <w:vAlign w:val="center"/>
          </w:tcPr>
          <w:p w:rsidR="00F52522" w:rsidRPr="001A1334" w:rsidRDefault="00F52522" w:rsidP="008A4774">
            <w:pPr>
              <w:tabs>
                <w:tab w:val="left" w:pos="1452"/>
              </w:tabs>
              <w:ind w:left="1452" w:hanging="1452"/>
              <w:rPr>
                <w:rFonts w:cs="Arial"/>
                <w:b/>
                <w:bCs/>
                <w:sz w:val="16"/>
                <w:szCs w:val="16"/>
              </w:rPr>
            </w:pPr>
            <w:r w:rsidRPr="001A1334">
              <w:rPr>
                <w:rFonts w:cs="Arial"/>
                <w:b/>
                <w:bCs/>
                <w:sz w:val="16"/>
                <w:szCs w:val="16"/>
              </w:rPr>
              <w:t>Expected Result:</w:t>
            </w:r>
            <w:r w:rsidRPr="001A1334">
              <w:rPr>
                <w:rFonts w:cs="Arial"/>
                <w:b/>
                <w:bCs/>
                <w:sz w:val="16"/>
                <w:szCs w:val="16"/>
              </w:rPr>
              <w:tab/>
            </w:r>
            <w:r w:rsidRPr="00D92815">
              <w:rPr>
                <w:rFonts w:cs="Arial"/>
                <w:bCs/>
                <w:sz w:val="16"/>
                <w:szCs w:val="16"/>
              </w:rPr>
              <w:t>I.1</w:t>
            </w:r>
            <w:r>
              <w:rPr>
                <w:rFonts w:cs="Arial"/>
                <w:b/>
                <w:bCs/>
                <w:sz w:val="16"/>
                <w:szCs w:val="16"/>
              </w:rPr>
              <w:t xml:space="preserve"> </w:t>
            </w:r>
            <w:r w:rsidRPr="00170242">
              <w:rPr>
                <w:rFonts w:cs="Arial"/>
                <w:sz w:val="16"/>
                <w:szCs w:val="16"/>
                <w:lang w:bidi="th-TH"/>
              </w:rPr>
              <w:t xml:space="preserve">Enhanced cooperation among Member States on development of balanced international normative </w:t>
            </w:r>
            <w:r>
              <w:rPr>
                <w:rFonts w:cs="Arial"/>
                <w:sz w:val="16"/>
                <w:szCs w:val="16"/>
                <w:lang w:bidi="th-TH"/>
              </w:rPr>
              <w:t xml:space="preserve">  </w:t>
            </w:r>
            <w:r w:rsidRPr="00170242">
              <w:rPr>
                <w:rFonts w:cs="Arial"/>
                <w:sz w:val="16"/>
                <w:szCs w:val="16"/>
                <w:lang w:bidi="th-TH"/>
              </w:rPr>
              <w:t>frameworks for IP and agreement on specific topics on which international instruments are agreed</w:t>
            </w:r>
          </w:p>
        </w:tc>
      </w:tr>
      <w:tr w:rsidR="00F52522" w:rsidRPr="001A1334" w:rsidTr="008A4774">
        <w:trPr>
          <w:cantSplit/>
        </w:trPr>
        <w:tc>
          <w:tcPr>
            <w:tcW w:w="1136" w:type="pct"/>
            <w:tcBorders>
              <w:top w:val="single" w:sz="4" w:space="0" w:color="auto"/>
            </w:tcBorders>
            <w:shd w:val="clear" w:color="auto" w:fill="auto"/>
            <w:vAlign w:val="center"/>
          </w:tcPr>
          <w:p w:rsidR="00F52522" w:rsidRPr="001A1334" w:rsidRDefault="00F52522" w:rsidP="008A4774">
            <w:pPr>
              <w:rPr>
                <w:rFonts w:cs="Arial"/>
                <w:sz w:val="16"/>
                <w:szCs w:val="16"/>
              </w:rPr>
            </w:pPr>
            <w:r w:rsidRPr="001A1334">
              <w:rPr>
                <w:rFonts w:cs="Arial"/>
                <w:b/>
                <w:bCs/>
                <w:sz w:val="16"/>
                <w:szCs w:val="16"/>
              </w:rPr>
              <w:t>Performance Indicators</w:t>
            </w:r>
          </w:p>
        </w:tc>
        <w:tc>
          <w:tcPr>
            <w:tcW w:w="1440" w:type="pct"/>
            <w:gridSpan w:val="2"/>
            <w:tcBorders>
              <w:top w:val="single" w:sz="4" w:space="0" w:color="auto"/>
            </w:tcBorders>
            <w:shd w:val="clear" w:color="auto" w:fill="auto"/>
            <w:vAlign w:val="center"/>
          </w:tcPr>
          <w:p w:rsidR="00F52522" w:rsidRPr="001A1334" w:rsidRDefault="00F52522" w:rsidP="008A4774">
            <w:pPr>
              <w:rPr>
                <w:rFonts w:cs="Arial"/>
                <w:b/>
                <w:bCs/>
                <w:sz w:val="16"/>
                <w:szCs w:val="16"/>
              </w:rPr>
            </w:pPr>
            <w:r w:rsidRPr="001A1334">
              <w:rPr>
                <w:rFonts w:cs="Arial"/>
                <w:b/>
                <w:bCs/>
                <w:sz w:val="16"/>
                <w:szCs w:val="16"/>
              </w:rPr>
              <w:t>Baselines</w:t>
            </w:r>
          </w:p>
        </w:tc>
        <w:tc>
          <w:tcPr>
            <w:tcW w:w="694" w:type="pct"/>
            <w:gridSpan w:val="2"/>
            <w:tcBorders>
              <w:top w:val="single" w:sz="4" w:space="0" w:color="auto"/>
            </w:tcBorders>
            <w:shd w:val="clear" w:color="auto" w:fill="auto"/>
            <w:tcMar>
              <w:top w:w="110" w:type="dxa"/>
            </w:tcMar>
            <w:vAlign w:val="center"/>
          </w:tcPr>
          <w:p w:rsidR="00F52522" w:rsidRPr="001A1334" w:rsidRDefault="00F52522" w:rsidP="008A4774">
            <w:pPr>
              <w:rPr>
                <w:rFonts w:cs="Arial"/>
                <w:b/>
                <w:sz w:val="16"/>
                <w:szCs w:val="16"/>
              </w:rPr>
            </w:pPr>
            <w:r w:rsidRPr="001A1334">
              <w:rPr>
                <w:rFonts w:cs="Arial"/>
                <w:b/>
                <w:sz w:val="16"/>
                <w:szCs w:val="16"/>
              </w:rPr>
              <w:t>Targets</w:t>
            </w:r>
          </w:p>
        </w:tc>
        <w:tc>
          <w:tcPr>
            <w:tcW w:w="1194" w:type="pct"/>
            <w:tcBorders>
              <w:top w:val="single" w:sz="4" w:space="0" w:color="auto"/>
            </w:tcBorders>
            <w:shd w:val="clear" w:color="auto" w:fill="auto"/>
            <w:tcMar>
              <w:top w:w="110" w:type="dxa"/>
            </w:tcMar>
            <w:vAlign w:val="center"/>
          </w:tcPr>
          <w:p w:rsidR="00F52522" w:rsidRPr="001A1334" w:rsidRDefault="00F52522" w:rsidP="008A4774">
            <w:pPr>
              <w:rPr>
                <w:rFonts w:cs="Arial"/>
                <w:sz w:val="16"/>
                <w:szCs w:val="16"/>
              </w:rPr>
            </w:pPr>
            <w:r w:rsidRPr="001A1334">
              <w:rPr>
                <w:rFonts w:cs="Arial"/>
                <w:b/>
                <w:bCs/>
                <w:sz w:val="16"/>
                <w:szCs w:val="16"/>
              </w:rPr>
              <w:t>Performance Data</w:t>
            </w:r>
          </w:p>
        </w:tc>
        <w:tc>
          <w:tcPr>
            <w:tcW w:w="536" w:type="pct"/>
            <w:gridSpan w:val="2"/>
            <w:tcBorders>
              <w:top w:val="single" w:sz="4" w:space="0" w:color="auto"/>
            </w:tcBorders>
            <w:shd w:val="clear" w:color="auto" w:fill="auto"/>
            <w:tcMar>
              <w:top w:w="110" w:type="dxa"/>
            </w:tcMar>
            <w:vAlign w:val="center"/>
          </w:tcPr>
          <w:p w:rsidR="00F52522" w:rsidRPr="001A1334" w:rsidRDefault="00F52522" w:rsidP="008A4774">
            <w:pPr>
              <w:keepNext/>
              <w:keepLines/>
              <w:jc w:val="center"/>
              <w:rPr>
                <w:rFonts w:cs="Arial"/>
                <w:b/>
                <w:bCs/>
                <w:sz w:val="16"/>
                <w:szCs w:val="16"/>
              </w:rPr>
            </w:pPr>
            <w:r w:rsidRPr="001A1334">
              <w:rPr>
                <w:rFonts w:cs="Arial"/>
                <w:b/>
                <w:bCs/>
                <w:sz w:val="16"/>
                <w:szCs w:val="16"/>
              </w:rPr>
              <w:t>TLS</w:t>
            </w:r>
          </w:p>
        </w:tc>
      </w:tr>
      <w:tr w:rsidR="00F52522" w:rsidRPr="001A1334" w:rsidTr="008A4774">
        <w:trPr>
          <w:cantSplit/>
        </w:trPr>
        <w:tc>
          <w:tcPr>
            <w:tcW w:w="1136" w:type="pct"/>
            <w:shd w:val="clear" w:color="auto" w:fill="auto"/>
          </w:tcPr>
          <w:p w:rsidR="00F52522" w:rsidRPr="001A1334" w:rsidRDefault="00F52522" w:rsidP="008A4774">
            <w:pPr>
              <w:rPr>
                <w:rFonts w:cs="Arial"/>
                <w:sz w:val="16"/>
                <w:szCs w:val="16"/>
              </w:rPr>
            </w:pPr>
            <w:r w:rsidRPr="00170242">
              <w:rPr>
                <w:rFonts w:cs="Arial"/>
                <w:sz w:val="16"/>
                <w:szCs w:val="16"/>
              </w:rPr>
              <w:t>Agreement on a normative framework for industrial design registration and maintenance procedures</w:t>
            </w:r>
          </w:p>
        </w:tc>
        <w:tc>
          <w:tcPr>
            <w:tcW w:w="1440" w:type="pct"/>
            <w:gridSpan w:val="2"/>
            <w:shd w:val="clear" w:color="auto" w:fill="auto"/>
          </w:tcPr>
          <w:p w:rsidR="00F52522" w:rsidRPr="001A1334" w:rsidRDefault="00F52522" w:rsidP="008A4774">
            <w:pPr>
              <w:rPr>
                <w:rFonts w:cs="Arial"/>
                <w:i/>
                <w:color w:val="002060"/>
                <w:sz w:val="16"/>
                <w:szCs w:val="16"/>
              </w:rPr>
            </w:pPr>
            <w:r>
              <w:rPr>
                <w:rFonts w:cs="Arial"/>
                <w:i/>
                <w:color w:val="002060"/>
                <w:sz w:val="16"/>
                <w:szCs w:val="16"/>
              </w:rPr>
              <w:t>Updated Baseline end 2013</w:t>
            </w:r>
            <w:r w:rsidRPr="001A1334">
              <w:rPr>
                <w:rFonts w:cs="Arial"/>
                <w:i/>
                <w:color w:val="002060"/>
                <w:sz w:val="16"/>
                <w:szCs w:val="16"/>
              </w:rPr>
              <w:t>:</w:t>
            </w:r>
            <w:r>
              <w:rPr>
                <w:rFonts w:cs="Arial"/>
                <w:color w:val="002060"/>
                <w:sz w:val="16"/>
                <w:szCs w:val="16"/>
              </w:rPr>
              <w:t xml:space="preserve">  </w:t>
            </w:r>
            <w:r w:rsidRPr="00170242">
              <w:rPr>
                <w:rFonts w:cs="Arial"/>
                <w:color w:val="002060"/>
                <w:sz w:val="16"/>
                <w:szCs w:val="16"/>
                <w:lang w:bidi="th-TH"/>
              </w:rPr>
              <w:t>No normative framework for industrial design registration procedures</w:t>
            </w:r>
          </w:p>
          <w:p w:rsidR="00F52522" w:rsidRPr="001A1334" w:rsidRDefault="00F52522" w:rsidP="008A4774">
            <w:pPr>
              <w:rPr>
                <w:rFonts w:cs="Arial"/>
                <w:i/>
                <w:sz w:val="8"/>
                <w:szCs w:val="8"/>
              </w:rPr>
            </w:pPr>
          </w:p>
          <w:p w:rsidR="00F52522" w:rsidRPr="001A1334" w:rsidRDefault="00F52522" w:rsidP="008A4774">
            <w:pPr>
              <w:rPr>
                <w:rFonts w:cs="Arial"/>
                <w:sz w:val="16"/>
                <w:szCs w:val="16"/>
              </w:rPr>
            </w:pPr>
            <w:r>
              <w:rPr>
                <w:rFonts w:cs="Arial"/>
                <w:i/>
                <w:sz w:val="16"/>
                <w:szCs w:val="16"/>
              </w:rPr>
              <w:t>Original Baseline P&amp;B 2014/15</w:t>
            </w:r>
            <w:r w:rsidRPr="001A1334">
              <w:rPr>
                <w:rFonts w:cs="Arial"/>
                <w:i/>
                <w:sz w:val="16"/>
                <w:szCs w:val="16"/>
              </w:rPr>
              <w:t>:</w:t>
            </w:r>
          </w:p>
          <w:p w:rsidR="00F52522" w:rsidRPr="001A1334" w:rsidRDefault="00F52522" w:rsidP="008A4774">
            <w:pPr>
              <w:rPr>
                <w:rFonts w:cs="Arial"/>
                <w:sz w:val="16"/>
                <w:szCs w:val="16"/>
              </w:rPr>
            </w:pPr>
            <w:r w:rsidRPr="00170242">
              <w:rPr>
                <w:rFonts w:cs="Arial"/>
                <w:sz w:val="16"/>
                <w:szCs w:val="16"/>
              </w:rPr>
              <w:t>No normative framework for industrial design registration and maintenance procedures</w:t>
            </w:r>
          </w:p>
        </w:tc>
        <w:tc>
          <w:tcPr>
            <w:tcW w:w="694" w:type="pct"/>
            <w:gridSpan w:val="2"/>
            <w:shd w:val="clear" w:color="auto" w:fill="auto"/>
            <w:tcMar>
              <w:top w:w="110" w:type="dxa"/>
            </w:tcMar>
          </w:tcPr>
          <w:p w:rsidR="00F52522" w:rsidRPr="001A1334" w:rsidRDefault="00F52522" w:rsidP="008A4774">
            <w:pPr>
              <w:autoSpaceDE w:val="0"/>
              <w:autoSpaceDN w:val="0"/>
              <w:adjustRightInd w:val="0"/>
              <w:rPr>
                <w:rFonts w:cs="Arial"/>
                <w:sz w:val="16"/>
                <w:szCs w:val="16"/>
              </w:rPr>
            </w:pPr>
            <w:r w:rsidRPr="00170242">
              <w:rPr>
                <w:rFonts w:cs="Arial"/>
                <w:sz w:val="16"/>
                <w:szCs w:val="16"/>
              </w:rPr>
              <w:t xml:space="preserve">Adoption of a Design Law Treaty by </w:t>
            </w:r>
            <w:r>
              <w:rPr>
                <w:rFonts w:cs="Arial"/>
                <w:sz w:val="16"/>
                <w:szCs w:val="16"/>
              </w:rPr>
              <w:t xml:space="preserve">a possible </w:t>
            </w:r>
            <w:r w:rsidRPr="00170242">
              <w:rPr>
                <w:rFonts w:cs="Arial"/>
                <w:sz w:val="16"/>
                <w:szCs w:val="16"/>
              </w:rPr>
              <w:t>Diplomatic Conference</w:t>
            </w:r>
          </w:p>
        </w:tc>
        <w:tc>
          <w:tcPr>
            <w:tcW w:w="1194" w:type="pct"/>
            <w:shd w:val="clear" w:color="auto" w:fill="auto"/>
            <w:tcMar>
              <w:top w:w="110" w:type="dxa"/>
            </w:tcMar>
          </w:tcPr>
          <w:p w:rsidR="00F52522" w:rsidRPr="002F0AC5" w:rsidRDefault="00F52522">
            <w:pPr>
              <w:rPr>
                <w:rFonts w:cs="Arial"/>
                <w:sz w:val="16"/>
                <w:szCs w:val="16"/>
              </w:rPr>
            </w:pPr>
            <w:r w:rsidRPr="002F0AC5">
              <w:rPr>
                <w:rFonts w:cs="Arial"/>
                <w:sz w:val="16"/>
                <w:szCs w:val="16"/>
              </w:rPr>
              <w:t>Decision by the WIPO General A</w:t>
            </w:r>
            <w:r w:rsidRPr="00DD743B">
              <w:rPr>
                <w:rFonts w:cs="Arial"/>
                <w:sz w:val="16"/>
                <w:szCs w:val="16"/>
              </w:rPr>
              <w:t xml:space="preserve">ssembly to convene a </w:t>
            </w:r>
            <w:r>
              <w:rPr>
                <w:rFonts w:cs="Arial"/>
                <w:sz w:val="16"/>
                <w:szCs w:val="16"/>
              </w:rPr>
              <w:t>D</w:t>
            </w:r>
            <w:r w:rsidRPr="00DD743B">
              <w:rPr>
                <w:rFonts w:cs="Arial"/>
                <w:sz w:val="16"/>
                <w:szCs w:val="16"/>
              </w:rPr>
              <w:t xml:space="preserve">iplomatic </w:t>
            </w:r>
            <w:r>
              <w:rPr>
                <w:rFonts w:cs="Arial"/>
                <w:sz w:val="16"/>
                <w:szCs w:val="16"/>
              </w:rPr>
              <w:t>C</w:t>
            </w:r>
            <w:r w:rsidRPr="00DD743B">
              <w:rPr>
                <w:rFonts w:cs="Arial"/>
                <w:sz w:val="16"/>
                <w:szCs w:val="16"/>
              </w:rPr>
              <w:t xml:space="preserve">onference for the adoption of a Design Law Treaty at the end of the first half of 2017, only if the discussions on technical assistance and disclosure have been completed during the </w:t>
            </w:r>
            <w:r w:rsidRPr="002F0AC5">
              <w:rPr>
                <w:rFonts w:cs="Arial"/>
                <w:sz w:val="16"/>
                <w:szCs w:val="16"/>
              </w:rPr>
              <w:t>thirty-fourth and thirty-fifth sessions of the SCT</w:t>
            </w:r>
            <w:r w:rsidR="00547ACE">
              <w:rPr>
                <w:rStyle w:val="FootnoteReference"/>
                <w:rFonts w:cs="Arial"/>
                <w:sz w:val="16"/>
                <w:szCs w:val="16"/>
              </w:rPr>
              <w:t xml:space="preserve"> </w:t>
            </w:r>
            <w:r w:rsidR="00547ACE">
              <w:rPr>
                <w:rStyle w:val="FootnoteReference"/>
                <w:rFonts w:cs="Arial"/>
                <w:sz w:val="16"/>
                <w:szCs w:val="16"/>
              </w:rPr>
              <w:footnoteReference w:id="9"/>
            </w:r>
            <w:r w:rsidRPr="002F0AC5">
              <w:rPr>
                <w:rFonts w:cs="Arial"/>
                <w:sz w:val="16"/>
                <w:szCs w:val="16"/>
              </w:rPr>
              <w:t>.</w:t>
            </w:r>
          </w:p>
        </w:tc>
        <w:tc>
          <w:tcPr>
            <w:tcW w:w="536" w:type="pct"/>
            <w:gridSpan w:val="2"/>
            <w:shd w:val="clear" w:color="auto" w:fill="auto"/>
            <w:tcMar>
              <w:top w:w="110" w:type="dxa"/>
            </w:tcMar>
          </w:tcPr>
          <w:p w:rsidR="00F52522" w:rsidRPr="00727833" w:rsidRDefault="00F52522" w:rsidP="008A4774">
            <w:pPr>
              <w:keepNext/>
              <w:keepLines/>
              <w:jc w:val="center"/>
              <w:rPr>
                <w:rFonts w:cs="Arial"/>
                <w:b/>
                <w:bCs/>
                <w:color w:val="808080"/>
                <w:sz w:val="16"/>
                <w:szCs w:val="16"/>
              </w:rPr>
            </w:pPr>
            <w:r w:rsidRPr="00727833">
              <w:rPr>
                <w:rFonts w:cs="Arial"/>
                <w:b/>
                <w:bCs/>
                <w:color w:val="FF0000"/>
                <w:sz w:val="16"/>
                <w:szCs w:val="16"/>
              </w:rPr>
              <w:t>Not Achieved</w:t>
            </w:r>
          </w:p>
        </w:tc>
      </w:tr>
      <w:tr w:rsidR="00F52522" w:rsidRPr="001A1334" w:rsidTr="008A4774">
        <w:trPr>
          <w:cantSplit/>
        </w:trPr>
        <w:tc>
          <w:tcPr>
            <w:tcW w:w="1136" w:type="pct"/>
            <w:shd w:val="clear" w:color="auto" w:fill="auto"/>
          </w:tcPr>
          <w:p w:rsidR="00F52522" w:rsidRPr="00170242" w:rsidRDefault="00F52522" w:rsidP="008A4774">
            <w:pPr>
              <w:rPr>
                <w:rFonts w:cs="Arial"/>
                <w:sz w:val="16"/>
                <w:szCs w:val="16"/>
              </w:rPr>
            </w:pPr>
            <w:r>
              <w:rPr>
                <w:rFonts w:cs="Arial"/>
                <w:sz w:val="16"/>
                <w:szCs w:val="16"/>
              </w:rPr>
              <w:t xml:space="preserve">Progress towards agreement on </w:t>
            </w:r>
            <w:r w:rsidRPr="00170242">
              <w:rPr>
                <w:rFonts w:cs="Arial"/>
                <w:sz w:val="16"/>
                <w:szCs w:val="16"/>
              </w:rPr>
              <w:t>current issues on the SCT Agenda</w:t>
            </w:r>
          </w:p>
        </w:tc>
        <w:tc>
          <w:tcPr>
            <w:tcW w:w="1440" w:type="pct"/>
            <w:gridSpan w:val="2"/>
            <w:shd w:val="clear" w:color="auto" w:fill="auto"/>
          </w:tcPr>
          <w:p w:rsidR="00F52522" w:rsidRPr="003117FA" w:rsidRDefault="00F52522" w:rsidP="008A4774">
            <w:pPr>
              <w:rPr>
                <w:rFonts w:cs="Arial"/>
                <w:color w:val="002060"/>
                <w:sz w:val="16"/>
                <w:szCs w:val="16"/>
                <w:lang w:bidi="th-TH"/>
              </w:rPr>
            </w:pPr>
            <w:r>
              <w:rPr>
                <w:rFonts w:cs="Arial"/>
                <w:i/>
                <w:color w:val="002060"/>
                <w:sz w:val="16"/>
                <w:szCs w:val="16"/>
              </w:rPr>
              <w:t>Updated Baseline end 2013</w:t>
            </w:r>
            <w:r w:rsidRPr="001A1334">
              <w:rPr>
                <w:rFonts w:cs="Arial"/>
                <w:i/>
                <w:color w:val="002060"/>
                <w:sz w:val="16"/>
                <w:szCs w:val="16"/>
              </w:rPr>
              <w:t>:</w:t>
            </w:r>
            <w:r>
              <w:rPr>
                <w:rFonts w:cs="Arial"/>
                <w:color w:val="002060"/>
                <w:sz w:val="16"/>
                <w:szCs w:val="16"/>
              </w:rPr>
              <w:t xml:space="preserve">  </w:t>
            </w:r>
            <w:r w:rsidRPr="003117FA">
              <w:rPr>
                <w:rFonts w:cs="Arial"/>
                <w:color w:val="002060"/>
                <w:sz w:val="16"/>
                <w:szCs w:val="16"/>
                <w:lang w:bidi="th-TH"/>
              </w:rPr>
              <w:t xml:space="preserve">Agreement by the SCT on a substantive number of draft Articles and Rules for a Design Law Treaty. </w:t>
            </w:r>
          </w:p>
          <w:p w:rsidR="00F52522" w:rsidRPr="003117FA" w:rsidRDefault="00F52522" w:rsidP="008A4774">
            <w:pPr>
              <w:rPr>
                <w:rFonts w:cs="Arial"/>
                <w:color w:val="002060"/>
                <w:sz w:val="16"/>
                <w:szCs w:val="16"/>
                <w:lang w:bidi="th-TH"/>
              </w:rPr>
            </w:pPr>
          </w:p>
          <w:p w:rsidR="00F52522" w:rsidRPr="001A1334" w:rsidRDefault="00F52522" w:rsidP="008A4774">
            <w:pPr>
              <w:rPr>
                <w:rFonts w:cs="Arial"/>
                <w:i/>
                <w:color w:val="002060"/>
                <w:sz w:val="16"/>
                <w:szCs w:val="16"/>
              </w:rPr>
            </w:pPr>
            <w:r w:rsidRPr="003117FA">
              <w:rPr>
                <w:rFonts w:cs="Arial"/>
                <w:color w:val="002060"/>
                <w:sz w:val="16"/>
                <w:szCs w:val="16"/>
                <w:lang w:bidi="th-TH"/>
              </w:rPr>
              <w:t>SCT agreement on the continuation of work on the protection of country names.</w:t>
            </w:r>
          </w:p>
          <w:p w:rsidR="00F52522" w:rsidRPr="001A1334" w:rsidRDefault="00F52522" w:rsidP="008A4774">
            <w:pPr>
              <w:rPr>
                <w:rFonts w:cs="Arial"/>
                <w:i/>
                <w:sz w:val="8"/>
                <w:szCs w:val="8"/>
              </w:rPr>
            </w:pPr>
          </w:p>
          <w:p w:rsidR="00F52522" w:rsidRPr="001A1334" w:rsidRDefault="00F52522" w:rsidP="008A4774">
            <w:pPr>
              <w:rPr>
                <w:rFonts w:cs="Arial"/>
                <w:sz w:val="16"/>
                <w:szCs w:val="16"/>
              </w:rPr>
            </w:pPr>
            <w:r>
              <w:rPr>
                <w:rFonts w:cs="Arial"/>
                <w:i/>
                <w:sz w:val="16"/>
                <w:szCs w:val="16"/>
              </w:rPr>
              <w:t>Original Baseline P&amp;B 2014/15</w:t>
            </w:r>
            <w:r w:rsidRPr="001A1334">
              <w:rPr>
                <w:rFonts w:cs="Arial"/>
                <w:i/>
                <w:sz w:val="16"/>
                <w:szCs w:val="16"/>
              </w:rPr>
              <w:t>:</w:t>
            </w:r>
          </w:p>
          <w:p w:rsidR="00F52522" w:rsidRDefault="00F52522" w:rsidP="008A4774">
            <w:pPr>
              <w:rPr>
                <w:rFonts w:cs="Arial"/>
                <w:i/>
                <w:color w:val="002060"/>
                <w:sz w:val="16"/>
                <w:szCs w:val="16"/>
              </w:rPr>
            </w:pPr>
            <w:r w:rsidRPr="00170242">
              <w:rPr>
                <w:rFonts w:cs="Arial"/>
                <w:sz w:val="16"/>
                <w:szCs w:val="16"/>
              </w:rPr>
              <w:t>Draft Reference Document on the Protection of Country Names Against Registration and Use of Trademarks</w:t>
            </w:r>
          </w:p>
        </w:tc>
        <w:tc>
          <w:tcPr>
            <w:tcW w:w="694" w:type="pct"/>
            <w:gridSpan w:val="2"/>
            <w:shd w:val="clear" w:color="auto" w:fill="auto"/>
            <w:tcMar>
              <w:top w:w="110" w:type="dxa"/>
            </w:tcMar>
          </w:tcPr>
          <w:p w:rsidR="00F52522" w:rsidRPr="00170242" w:rsidRDefault="00F52522" w:rsidP="008A4774">
            <w:pPr>
              <w:autoSpaceDE w:val="0"/>
              <w:autoSpaceDN w:val="0"/>
              <w:adjustRightInd w:val="0"/>
              <w:rPr>
                <w:rFonts w:cs="Arial"/>
                <w:sz w:val="16"/>
                <w:szCs w:val="16"/>
              </w:rPr>
            </w:pPr>
            <w:r w:rsidRPr="00170242">
              <w:rPr>
                <w:rFonts w:cs="Arial"/>
                <w:sz w:val="16"/>
                <w:szCs w:val="16"/>
              </w:rPr>
              <w:t>SCT agreed outcomes</w:t>
            </w:r>
          </w:p>
        </w:tc>
        <w:tc>
          <w:tcPr>
            <w:tcW w:w="1194" w:type="pct"/>
            <w:shd w:val="clear" w:color="auto" w:fill="auto"/>
            <w:tcMar>
              <w:top w:w="110" w:type="dxa"/>
            </w:tcMar>
          </w:tcPr>
          <w:p w:rsidR="00F52522" w:rsidRPr="009F3358" w:rsidRDefault="00F52522" w:rsidP="008A4774">
            <w:pPr>
              <w:rPr>
                <w:rFonts w:cs="Arial"/>
                <w:sz w:val="16"/>
                <w:szCs w:val="16"/>
              </w:rPr>
            </w:pPr>
            <w:r w:rsidRPr="002F0AC5">
              <w:rPr>
                <w:rFonts w:cs="Arial"/>
                <w:sz w:val="16"/>
                <w:szCs w:val="16"/>
              </w:rPr>
              <w:t xml:space="preserve">The thirty-fourth session of the SCT adopted a Reference Document on the Protection of Country Names Against Registration and Use as Trademarks </w:t>
            </w:r>
            <w:r>
              <w:rPr>
                <w:rFonts w:cs="Arial"/>
                <w:sz w:val="16"/>
                <w:szCs w:val="16"/>
              </w:rPr>
              <w:t>(</w:t>
            </w:r>
            <w:r w:rsidRPr="002F0AC5">
              <w:rPr>
                <w:rFonts w:cs="Arial"/>
                <w:sz w:val="16"/>
                <w:szCs w:val="16"/>
              </w:rPr>
              <w:t>publish</w:t>
            </w:r>
            <w:r>
              <w:rPr>
                <w:rFonts w:cs="Arial"/>
                <w:sz w:val="16"/>
                <w:szCs w:val="16"/>
              </w:rPr>
              <w:t>ed</w:t>
            </w:r>
            <w:r w:rsidRPr="002F0AC5">
              <w:rPr>
                <w:rFonts w:cs="Arial"/>
                <w:sz w:val="16"/>
                <w:szCs w:val="16"/>
              </w:rPr>
              <w:t xml:space="preserve"> </w:t>
            </w:r>
            <w:r>
              <w:rPr>
                <w:rFonts w:cs="Arial"/>
                <w:sz w:val="16"/>
                <w:szCs w:val="16"/>
              </w:rPr>
              <w:t xml:space="preserve">in document </w:t>
            </w:r>
            <w:r w:rsidRPr="002F0AC5">
              <w:rPr>
                <w:rFonts w:cs="Arial"/>
                <w:sz w:val="16"/>
                <w:szCs w:val="16"/>
              </w:rPr>
              <w:t>WIPO/Strad/INF/7</w:t>
            </w:r>
            <w:r>
              <w:rPr>
                <w:rFonts w:cs="Arial"/>
                <w:sz w:val="16"/>
                <w:szCs w:val="16"/>
              </w:rPr>
              <w:t>)</w:t>
            </w:r>
            <w:r w:rsidRPr="002F0AC5">
              <w:rPr>
                <w:rFonts w:cs="Arial"/>
                <w:sz w:val="16"/>
                <w:szCs w:val="16"/>
              </w:rPr>
              <w:t>.</w:t>
            </w:r>
          </w:p>
        </w:tc>
        <w:tc>
          <w:tcPr>
            <w:tcW w:w="536" w:type="pct"/>
            <w:gridSpan w:val="2"/>
            <w:shd w:val="clear" w:color="auto" w:fill="auto"/>
            <w:tcMar>
              <w:top w:w="110" w:type="dxa"/>
            </w:tcMar>
          </w:tcPr>
          <w:p w:rsidR="00F52522" w:rsidRPr="00727833" w:rsidRDefault="00F52522" w:rsidP="008A4774">
            <w:pPr>
              <w:keepNext/>
              <w:keepLines/>
              <w:jc w:val="center"/>
              <w:rPr>
                <w:rFonts w:cs="Arial"/>
                <w:b/>
                <w:bCs/>
                <w:color w:val="808080"/>
                <w:sz w:val="16"/>
                <w:szCs w:val="16"/>
              </w:rPr>
            </w:pPr>
            <w:r w:rsidRPr="00727833">
              <w:rPr>
                <w:rFonts w:cs="Arial"/>
                <w:b/>
                <w:bCs/>
                <w:color w:val="00B050"/>
                <w:sz w:val="16"/>
                <w:szCs w:val="16"/>
              </w:rPr>
              <w:t>Fully Achieved</w:t>
            </w:r>
          </w:p>
        </w:tc>
      </w:tr>
      <w:tr w:rsidR="00F52522" w:rsidRPr="001A1334" w:rsidTr="008A4774">
        <w:trPr>
          <w:cantSplit/>
        </w:trPr>
        <w:tc>
          <w:tcPr>
            <w:tcW w:w="1136" w:type="pct"/>
            <w:shd w:val="clear" w:color="auto" w:fill="auto"/>
          </w:tcPr>
          <w:p w:rsidR="00F52522" w:rsidRPr="00170242" w:rsidRDefault="00F52522" w:rsidP="008A4774">
            <w:pPr>
              <w:rPr>
                <w:rFonts w:cs="Arial"/>
                <w:sz w:val="16"/>
                <w:szCs w:val="16"/>
              </w:rPr>
            </w:pPr>
            <w:r w:rsidRPr="00170242">
              <w:rPr>
                <w:rFonts w:cs="Arial"/>
                <w:sz w:val="16"/>
                <w:szCs w:val="16"/>
              </w:rPr>
              <w:t>No. of ratifications/accessions to the Singapore Treaty</w:t>
            </w:r>
          </w:p>
        </w:tc>
        <w:tc>
          <w:tcPr>
            <w:tcW w:w="1440" w:type="pct"/>
            <w:gridSpan w:val="2"/>
            <w:shd w:val="clear" w:color="auto" w:fill="auto"/>
          </w:tcPr>
          <w:p w:rsidR="00F52522" w:rsidRPr="001A1334" w:rsidRDefault="00F52522" w:rsidP="008A4774">
            <w:pPr>
              <w:rPr>
                <w:rFonts w:cs="Arial"/>
                <w:i/>
                <w:color w:val="002060"/>
                <w:sz w:val="16"/>
                <w:szCs w:val="16"/>
              </w:rPr>
            </w:pPr>
            <w:r>
              <w:rPr>
                <w:rFonts w:cs="Arial"/>
                <w:i/>
                <w:color w:val="002060"/>
                <w:sz w:val="16"/>
                <w:szCs w:val="16"/>
              </w:rPr>
              <w:t>Updated Baseline end 2013</w:t>
            </w:r>
            <w:r w:rsidRPr="001A1334">
              <w:rPr>
                <w:rFonts w:cs="Arial"/>
                <w:i/>
                <w:color w:val="002060"/>
                <w:sz w:val="16"/>
                <w:szCs w:val="16"/>
              </w:rPr>
              <w:t>:</w:t>
            </w:r>
            <w:r>
              <w:rPr>
                <w:rFonts w:cs="Arial"/>
                <w:color w:val="002060"/>
                <w:sz w:val="16"/>
                <w:szCs w:val="16"/>
              </w:rPr>
              <w:t xml:space="preserve">  </w:t>
            </w:r>
            <w:r w:rsidRPr="0052430B">
              <w:rPr>
                <w:rFonts w:cs="Arial"/>
                <w:color w:val="002060"/>
                <w:sz w:val="16"/>
                <w:szCs w:val="16"/>
                <w:lang w:bidi="th-TH"/>
              </w:rPr>
              <w:t>31 Contracting Parties (end 2013</w:t>
            </w:r>
          </w:p>
          <w:p w:rsidR="00F52522" w:rsidRPr="001A1334" w:rsidRDefault="00F52522" w:rsidP="008A4774">
            <w:pPr>
              <w:rPr>
                <w:rFonts w:cs="Arial"/>
                <w:i/>
                <w:sz w:val="8"/>
                <w:szCs w:val="8"/>
              </w:rPr>
            </w:pPr>
          </w:p>
          <w:p w:rsidR="00F52522" w:rsidRPr="001A1334" w:rsidRDefault="00F52522" w:rsidP="008A4774">
            <w:pPr>
              <w:rPr>
                <w:rFonts w:cs="Arial"/>
                <w:sz w:val="16"/>
                <w:szCs w:val="16"/>
              </w:rPr>
            </w:pPr>
            <w:r>
              <w:rPr>
                <w:rFonts w:cs="Arial"/>
                <w:i/>
                <w:sz w:val="16"/>
                <w:szCs w:val="16"/>
              </w:rPr>
              <w:t>Original Baseline P&amp;B 2014/15</w:t>
            </w:r>
            <w:r w:rsidRPr="001A1334">
              <w:rPr>
                <w:rFonts w:cs="Arial"/>
                <w:i/>
                <w:sz w:val="16"/>
                <w:szCs w:val="16"/>
              </w:rPr>
              <w:t>:</w:t>
            </w:r>
          </w:p>
          <w:p w:rsidR="00F52522" w:rsidRDefault="00F52522" w:rsidP="008A4774">
            <w:pPr>
              <w:rPr>
                <w:rFonts w:cs="Arial"/>
                <w:sz w:val="16"/>
                <w:szCs w:val="16"/>
              </w:rPr>
            </w:pPr>
            <w:r w:rsidRPr="0052430B">
              <w:rPr>
                <w:rFonts w:cs="Arial"/>
                <w:sz w:val="16"/>
                <w:szCs w:val="16"/>
              </w:rPr>
              <w:t>29 Contracting Parties (end 2012)</w:t>
            </w:r>
          </w:p>
          <w:p w:rsidR="00F52522" w:rsidRDefault="00F52522" w:rsidP="008A4774">
            <w:pPr>
              <w:rPr>
                <w:rFonts w:cs="Arial"/>
                <w:i/>
                <w:color w:val="002060"/>
                <w:sz w:val="16"/>
                <w:szCs w:val="16"/>
              </w:rPr>
            </w:pPr>
          </w:p>
        </w:tc>
        <w:tc>
          <w:tcPr>
            <w:tcW w:w="694" w:type="pct"/>
            <w:gridSpan w:val="2"/>
            <w:shd w:val="clear" w:color="auto" w:fill="auto"/>
            <w:tcMar>
              <w:top w:w="110" w:type="dxa"/>
            </w:tcMar>
          </w:tcPr>
          <w:p w:rsidR="00F52522" w:rsidRPr="00170242" w:rsidRDefault="00F52522" w:rsidP="008A4774">
            <w:pPr>
              <w:autoSpaceDE w:val="0"/>
              <w:autoSpaceDN w:val="0"/>
              <w:adjustRightInd w:val="0"/>
              <w:rPr>
                <w:rFonts w:cs="Arial"/>
                <w:sz w:val="16"/>
                <w:szCs w:val="16"/>
              </w:rPr>
            </w:pPr>
            <w:r w:rsidRPr="0052430B">
              <w:rPr>
                <w:rFonts w:cs="Arial"/>
                <w:sz w:val="16"/>
                <w:szCs w:val="16"/>
              </w:rPr>
              <w:t>Eight new ratifications/accessions</w:t>
            </w:r>
          </w:p>
        </w:tc>
        <w:tc>
          <w:tcPr>
            <w:tcW w:w="1194" w:type="pct"/>
            <w:shd w:val="clear" w:color="auto" w:fill="auto"/>
            <w:tcMar>
              <w:top w:w="110" w:type="dxa"/>
            </w:tcMar>
          </w:tcPr>
          <w:p w:rsidR="00F52522" w:rsidRPr="00170242" w:rsidRDefault="00F52522" w:rsidP="008A4774">
            <w:pPr>
              <w:rPr>
                <w:rFonts w:cs="Arial"/>
                <w:sz w:val="16"/>
                <w:szCs w:val="16"/>
              </w:rPr>
            </w:pPr>
            <w:r>
              <w:rPr>
                <w:rFonts w:cs="Arial"/>
                <w:sz w:val="16"/>
                <w:szCs w:val="16"/>
              </w:rPr>
              <w:t>Seven new Contracting Parties during the biennium:  Belarus, Belgium, Benelux Organization for Intellectual Property (BOIP), Iraq, Luxembourg, Netherlands and Tajikistan, which brings the total number of Contracting Parties to 38 at the end of 2015.</w:t>
            </w:r>
          </w:p>
        </w:tc>
        <w:tc>
          <w:tcPr>
            <w:tcW w:w="536" w:type="pct"/>
            <w:gridSpan w:val="2"/>
            <w:shd w:val="clear" w:color="auto" w:fill="auto"/>
            <w:tcMar>
              <w:top w:w="110" w:type="dxa"/>
            </w:tcMar>
          </w:tcPr>
          <w:p w:rsidR="00F52522" w:rsidRPr="00727833" w:rsidRDefault="00F52522" w:rsidP="008A4774">
            <w:pPr>
              <w:keepNext/>
              <w:keepLines/>
              <w:jc w:val="center"/>
              <w:rPr>
                <w:rFonts w:cs="Arial"/>
                <w:b/>
                <w:bCs/>
                <w:color w:val="00B050"/>
                <w:sz w:val="16"/>
                <w:szCs w:val="16"/>
              </w:rPr>
            </w:pPr>
            <w:r w:rsidRPr="00727833">
              <w:rPr>
                <w:rFonts w:cs="Arial"/>
                <w:b/>
                <w:bCs/>
                <w:color w:val="00B050"/>
                <w:sz w:val="16"/>
                <w:szCs w:val="16"/>
              </w:rPr>
              <w:t>Fully Achieved</w:t>
            </w:r>
          </w:p>
        </w:tc>
      </w:tr>
      <w:tr w:rsidR="00F52522" w:rsidRPr="001A1334" w:rsidTr="008A4774">
        <w:trPr>
          <w:cantSplit/>
          <w:trHeight w:val="423"/>
        </w:trPr>
        <w:tc>
          <w:tcPr>
            <w:tcW w:w="5000" w:type="pct"/>
            <w:gridSpan w:val="8"/>
            <w:tcBorders>
              <w:top w:val="single" w:sz="4" w:space="0" w:color="auto"/>
              <w:bottom w:val="single" w:sz="4" w:space="0" w:color="auto"/>
            </w:tcBorders>
            <w:shd w:val="clear" w:color="auto" w:fill="C6D9F1" w:themeFill="text2" w:themeFillTint="33"/>
            <w:vAlign w:val="center"/>
          </w:tcPr>
          <w:p w:rsidR="00F52522" w:rsidRPr="001A1334" w:rsidRDefault="00F52522" w:rsidP="008A4774">
            <w:pPr>
              <w:keepNext/>
              <w:keepLines/>
              <w:tabs>
                <w:tab w:val="left" w:pos="1452"/>
              </w:tabs>
              <w:ind w:left="1452" w:hanging="1452"/>
              <w:rPr>
                <w:rFonts w:cs="Arial"/>
                <w:b/>
                <w:bCs/>
                <w:sz w:val="16"/>
                <w:szCs w:val="16"/>
              </w:rPr>
            </w:pPr>
            <w:r w:rsidRPr="001A1334">
              <w:rPr>
                <w:rFonts w:cs="Arial"/>
                <w:b/>
                <w:bCs/>
                <w:sz w:val="16"/>
                <w:szCs w:val="16"/>
              </w:rPr>
              <w:lastRenderedPageBreak/>
              <w:t>Expected Result:</w:t>
            </w:r>
            <w:r w:rsidRPr="001A1334">
              <w:rPr>
                <w:rFonts w:cs="Arial"/>
                <w:b/>
                <w:bCs/>
                <w:sz w:val="16"/>
                <w:szCs w:val="16"/>
              </w:rPr>
              <w:tab/>
            </w:r>
            <w:r w:rsidRPr="00D92815">
              <w:rPr>
                <w:rFonts w:cs="Arial"/>
                <w:bCs/>
                <w:sz w:val="16"/>
                <w:szCs w:val="16"/>
              </w:rPr>
              <w:t xml:space="preserve">I.2 </w:t>
            </w:r>
            <w:r w:rsidRPr="00ED1F4E">
              <w:rPr>
                <w:rFonts w:cs="Arial"/>
                <w:color w:val="000000"/>
                <w:sz w:val="16"/>
                <w:szCs w:val="16"/>
              </w:rPr>
              <w:t>Tailored</w:t>
            </w:r>
            <w:r w:rsidRPr="0052430B">
              <w:rPr>
                <w:rFonts w:cs="Arial"/>
                <w:color w:val="000000"/>
                <w:sz w:val="16"/>
                <w:szCs w:val="16"/>
              </w:rPr>
              <w:t xml:space="preserve"> and balanced IP legislative, regulatory and policy frameworks</w:t>
            </w:r>
          </w:p>
        </w:tc>
      </w:tr>
      <w:tr w:rsidR="00F52522" w:rsidRPr="001A1334" w:rsidTr="008A4774">
        <w:trPr>
          <w:cantSplit/>
        </w:trPr>
        <w:tc>
          <w:tcPr>
            <w:tcW w:w="1136" w:type="pct"/>
            <w:tcBorders>
              <w:top w:val="single" w:sz="4" w:space="0" w:color="auto"/>
            </w:tcBorders>
            <w:shd w:val="clear" w:color="auto" w:fill="auto"/>
            <w:vAlign w:val="center"/>
          </w:tcPr>
          <w:p w:rsidR="00F52522" w:rsidRPr="001A1334" w:rsidRDefault="00F52522" w:rsidP="008A4774">
            <w:pPr>
              <w:keepNext/>
              <w:keepLines/>
              <w:rPr>
                <w:rFonts w:cs="Arial"/>
                <w:sz w:val="16"/>
                <w:szCs w:val="16"/>
              </w:rPr>
            </w:pPr>
            <w:r w:rsidRPr="001A1334">
              <w:rPr>
                <w:rFonts w:cs="Arial"/>
                <w:b/>
                <w:bCs/>
                <w:sz w:val="16"/>
                <w:szCs w:val="16"/>
              </w:rPr>
              <w:t>Performance Indicators</w:t>
            </w:r>
          </w:p>
        </w:tc>
        <w:tc>
          <w:tcPr>
            <w:tcW w:w="1440" w:type="pct"/>
            <w:gridSpan w:val="2"/>
            <w:tcBorders>
              <w:top w:val="single" w:sz="4" w:space="0" w:color="auto"/>
            </w:tcBorders>
            <w:shd w:val="clear" w:color="auto" w:fill="auto"/>
            <w:vAlign w:val="center"/>
          </w:tcPr>
          <w:p w:rsidR="00F52522" w:rsidRPr="001A1334" w:rsidRDefault="00F52522" w:rsidP="008A4774">
            <w:pPr>
              <w:keepNext/>
              <w:keepLines/>
              <w:rPr>
                <w:rFonts w:cs="Arial"/>
                <w:b/>
                <w:bCs/>
                <w:sz w:val="16"/>
                <w:szCs w:val="16"/>
              </w:rPr>
            </w:pPr>
            <w:r w:rsidRPr="001A1334">
              <w:rPr>
                <w:rFonts w:cs="Arial"/>
                <w:b/>
                <w:bCs/>
                <w:sz w:val="16"/>
                <w:szCs w:val="16"/>
              </w:rPr>
              <w:t>Baselines</w:t>
            </w:r>
          </w:p>
        </w:tc>
        <w:tc>
          <w:tcPr>
            <w:tcW w:w="683" w:type="pct"/>
            <w:tcBorders>
              <w:top w:val="single" w:sz="4" w:space="0" w:color="auto"/>
            </w:tcBorders>
            <w:shd w:val="clear" w:color="auto" w:fill="auto"/>
            <w:tcMar>
              <w:top w:w="110" w:type="dxa"/>
            </w:tcMar>
            <w:vAlign w:val="center"/>
          </w:tcPr>
          <w:p w:rsidR="00F52522" w:rsidRPr="001A1334" w:rsidRDefault="00F52522" w:rsidP="008A4774">
            <w:pPr>
              <w:keepNext/>
              <w:keepLines/>
              <w:rPr>
                <w:rFonts w:cs="Arial"/>
                <w:b/>
                <w:sz w:val="16"/>
                <w:szCs w:val="16"/>
              </w:rPr>
            </w:pPr>
            <w:r w:rsidRPr="001A1334">
              <w:rPr>
                <w:rFonts w:cs="Arial"/>
                <w:b/>
                <w:sz w:val="16"/>
                <w:szCs w:val="16"/>
              </w:rPr>
              <w:t>Targets</w:t>
            </w:r>
          </w:p>
        </w:tc>
        <w:tc>
          <w:tcPr>
            <w:tcW w:w="1205" w:type="pct"/>
            <w:gridSpan w:val="2"/>
            <w:tcBorders>
              <w:top w:val="single" w:sz="4" w:space="0" w:color="auto"/>
            </w:tcBorders>
            <w:shd w:val="clear" w:color="auto" w:fill="auto"/>
            <w:tcMar>
              <w:top w:w="110" w:type="dxa"/>
            </w:tcMar>
            <w:vAlign w:val="center"/>
          </w:tcPr>
          <w:p w:rsidR="00F52522" w:rsidRPr="001A1334" w:rsidRDefault="00F52522" w:rsidP="008A4774">
            <w:pPr>
              <w:keepNext/>
              <w:keepLines/>
              <w:rPr>
                <w:rFonts w:cs="Arial"/>
                <w:sz w:val="16"/>
                <w:szCs w:val="16"/>
              </w:rPr>
            </w:pPr>
            <w:r w:rsidRPr="001A1334">
              <w:rPr>
                <w:rFonts w:cs="Arial"/>
                <w:b/>
                <w:bCs/>
                <w:sz w:val="16"/>
                <w:szCs w:val="16"/>
              </w:rPr>
              <w:t>Performance Data</w:t>
            </w:r>
          </w:p>
        </w:tc>
        <w:tc>
          <w:tcPr>
            <w:tcW w:w="536" w:type="pct"/>
            <w:gridSpan w:val="2"/>
            <w:tcBorders>
              <w:top w:val="single" w:sz="4" w:space="0" w:color="auto"/>
            </w:tcBorders>
            <w:shd w:val="clear" w:color="auto" w:fill="auto"/>
            <w:tcMar>
              <w:top w:w="110" w:type="dxa"/>
            </w:tcMar>
            <w:vAlign w:val="center"/>
          </w:tcPr>
          <w:p w:rsidR="00F52522" w:rsidRPr="001A1334" w:rsidRDefault="00F52522" w:rsidP="008A4774">
            <w:pPr>
              <w:keepNext/>
              <w:keepLines/>
              <w:jc w:val="center"/>
              <w:rPr>
                <w:rFonts w:cs="Arial"/>
                <w:b/>
                <w:bCs/>
                <w:sz w:val="16"/>
                <w:szCs w:val="16"/>
              </w:rPr>
            </w:pPr>
            <w:r w:rsidRPr="001A1334">
              <w:rPr>
                <w:rFonts w:cs="Arial"/>
                <w:b/>
                <w:bCs/>
                <w:sz w:val="16"/>
                <w:szCs w:val="16"/>
              </w:rPr>
              <w:t>TLS</w:t>
            </w:r>
          </w:p>
        </w:tc>
      </w:tr>
      <w:tr w:rsidR="00F52522" w:rsidRPr="001A1334" w:rsidTr="008A4774">
        <w:trPr>
          <w:cantSplit/>
        </w:trPr>
        <w:tc>
          <w:tcPr>
            <w:tcW w:w="1136" w:type="pct"/>
            <w:shd w:val="clear" w:color="auto" w:fill="auto"/>
          </w:tcPr>
          <w:p w:rsidR="00F52522" w:rsidRPr="001A1334" w:rsidRDefault="00F52522" w:rsidP="008A4774">
            <w:pPr>
              <w:keepNext/>
              <w:keepLines/>
              <w:rPr>
                <w:rFonts w:cs="Arial"/>
                <w:sz w:val="16"/>
                <w:szCs w:val="16"/>
                <w:lang w:bidi="th-TH"/>
              </w:rPr>
            </w:pPr>
            <w:r w:rsidRPr="0052430B">
              <w:rPr>
                <w:rFonts w:cs="Arial"/>
                <w:sz w:val="16"/>
                <w:szCs w:val="16"/>
                <w:lang w:bidi="th-TH"/>
              </w:rPr>
              <w:t>No. and % of Member States/regional organizations providing positive feedback on the legislative advice offered in the area of trademarks, industrial designs and geographical indications</w:t>
            </w:r>
          </w:p>
        </w:tc>
        <w:tc>
          <w:tcPr>
            <w:tcW w:w="1440" w:type="pct"/>
            <w:gridSpan w:val="2"/>
            <w:shd w:val="clear" w:color="auto" w:fill="auto"/>
          </w:tcPr>
          <w:p w:rsidR="00F52522" w:rsidRPr="00C94F44" w:rsidRDefault="00F52522" w:rsidP="008A4774">
            <w:pPr>
              <w:keepNext/>
              <w:keepLines/>
              <w:rPr>
                <w:rFonts w:cs="Arial"/>
                <w:color w:val="002060"/>
                <w:sz w:val="16"/>
                <w:szCs w:val="16"/>
                <w:lang w:bidi="th-TH"/>
              </w:rPr>
            </w:pPr>
            <w:r>
              <w:rPr>
                <w:rFonts w:cs="Arial"/>
                <w:i/>
                <w:color w:val="002060"/>
                <w:sz w:val="16"/>
                <w:szCs w:val="16"/>
              </w:rPr>
              <w:t>Updated Baseline end 2013</w:t>
            </w:r>
            <w:r w:rsidRPr="001A1334">
              <w:rPr>
                <w:rFonts w:cs="Arial"/>
                <w:i/>
                <w:color w:val="002060"/>
                <w:sz w:val="16"/>
                <w:szCs w:val="16"/>
              </w:rPr>
              <w:t>:</w:t>
            </w:r>
            <w:r>
              <w:rPr>
                <w:rFonts w:cs="Arial"/>
                <w:color w:val="002060"/>
                <w:sz w:val="16"/>
                <w:szCs w:val="16"/>
              </w:rPr>
              <w:t xml:space="preserve">  </w:t>
            </w:r>
          </w:p>
          <w:p w:rsidR="00F52522" w:rsidRPr="00C94F44" w:rsidRDefault="00F52522" w:rsidP="008A4774">
            <w:pPr>
              <w:keepNext/>
              <w:keepLines/>
              <w:rPr>
                <w:rFonts w:cs="Arial"/>
                <w:color w:val="002060"/>
                <w:sz w:val="16"/>
                <w:szCs w:val="16"/>
                <w:lang w:bidi="th-TH"/>
              </w:rPr>
            </w:pPr>
          </w:p>
          <w:p w:rsidR="00F52522" w:rsidRDefault="00F52522" w:rsidP="008A4774">
            <w:pPr>
              <w:keepNext/>
              <w:keepLines/>
              <w:rPr>
                <w:rFonts w:cs="Arial"/>
                <w:color w:val="002060"/>
                <w:sz w:val="16"/>
                <w:szCs w:val="16"/>
                <w:lang w:bidi="th-TH"/>
              </w:rPr>
            </w:pPr>
            <w:r w:rsidRPr="00C94F44">
              <w:rPr>
                <w:rFonts w:cs="Arial"/>
                <w:color w:val="002060"/>
                <w:sz w:val="16"/>
                <w:szCs w:val="16"/>
                <w:lang w:bidi="th-TH"/>
              </w:rPr>
              <w:t xml:space="preserve">2013:  Advice was provided to 13 Member States on 18 individual pieces of draft legislation </w:t>
            </w:r>
          </w:p>
          <w:p w:rsidR="00F52522" w:rsidRPr="00C94F44" w:rsidRDefault="00F52522" w:rsidP="008A4774">
            <w:pPr>
              <w:keepNext/>
              <w:keepLines/>
              <w:rPr>
                <w:rFonts w:cs="Arial"/>
                <w:color w:val="002060"/>
                <w:sz w:val="16"/>
                <w:szCs w:val="16"/>
                <w:lang w:bidi="th-TH"/>
              </w:rPr>
            </w:pPr>
          </w:p>
          <w:p w:rsidR="00F52522" w:rsidRPr="001A1334" w:rsidRDefault="00F52522" w:rsidP="008A4774">
            <w:pPr>
              <w:keepNext/>
              <w:keepLines/>
              <w:rPr>
                <w:rFonts w:cs="Arial"/>
                <w:i/>
                <w:color w:val="002060"/>
                <w:sz w:val="16"/>
                <w:szCs w:val="16"/>
              </w:rPr>
            </w:pPr>
            <w:r w:rsidRPr="00C94F44">
              <w:rPr>
                <w:rFonts w:cs="Arial"/>
                <w:color w:val="002060"/>
                <w:sz w:val="16"/>
                <w:szCs w:val="16"/>
                <w:lang w:bidi="th-TH"/>
              </w:rPr>
              <w:t>Positive feedback received from nine out of 13 countries.  Four countries did not reply.</w:t>
            </w:r>
            <w:r w:rsidRPr="00C94F44" w:rsidDel="00C94F44">
              <w:rPr>
                <w:rFonts w:cs="Arial"/>
                <w:color w:val="002060"/>
                <w:sz w:val="16"/>
                <w:szCs w:val="16"/>
                <w:lang w:bidi="th-TH"/>
              </w:rPr>
              <w:t xml:space="preserve"> </w:t>
            </w:r>
          </w:p>
          <w:p w:rsidR="00F52522" w:rsidRPr="001A1334" w:rsidRDefault="00F52522" w:rsidP="008A4774">
            <w:pPr>
              <w:keepNext/>
              <w:keepLines/>
              <w:rPr>
                <w:rFonts w:cs="Arial"/>
                <w:i/>
                <w:sz w:val="8"/>
                <w:szCs w:val="8"/>
              </w:rPr>
            </w:pPr>
          </w:p>
          <w:p w:rsidR="00F52522" w:rsidRPr="001A1334" w:rsidRDefault="00F52522" w:rsidP="008A4774">
            <w:pPr>
              <w:keepNext/>
              <w:keepLines/>
              <w:rPr>
                <w:rFonts w:cs="Arial"/>
                <w:sz w:val="16"/>
                <w:szCs w:val="16"/>
              </w:rPr>
            </w:pPr>
            <w:r>
              <w:rPr>
                <w:rFonts w:cs="Arial"/>
                <w:i/>
                <w:sz w:val="16"/>
                <w:szCs w:val="16"/>
              </w:rPr>
              <w:t>Original Baseline P&amp;B 2014/15</w:t>
            </w:r>
            <w:r w:rsidRPr="001A1334">
              <w:rPr>
                <w:rFonts w:cs="Arial"/>
                <w:i/>
                <w:sz w:val="16"/>
                <w:szCs w:val="16"/>
              </w:rPr>
              <w:t>:</w:t>
            </w:r>
          </w:p>
          <w:p w:rsidR="00F52522" w:rsidRDefault="00F52522" w:rsidP="008A4774">
            <w:pPr>
              <w:keepNext/>
              <w:keepLines/>
              <w:rPr>
                <w:rFonts w:cs="Arial"/>
                <w:sz w:val="16"/>
                <w:szCs w:val="16"/>
              </w:rPr>
            </w:pPr>
            <w:r w:rsidRPr="0052430B">
              <w:rPr>
                <w:rFonts w:cs="Arial"/>
                <w:sz w:val="16"/>
                <w:szCs w:val="16"/>
              </w:rPr>
              <w:t>11 Member States/regional organizations received legislative advice out of which three provided positive feedback on legislative advice received in 2012</w:t>
            </w:r>
          </w:p>
          <w:p w:rsidR="00F52522" w:rsidRPr="001A1334" w:rsidRDefault="00F52522" w:rsidP="008A4774">
            <w:pPr>
              <w:keepNext/>
              <w:keepLines/>
              <w:rPr>
                <w:rFonts w:cs="Arial"/>
                <w:sz w:val="16"/>
                <w:szCs w:val="16"/>
              </w:rPr>
            </w:pPr>
          </w:p>
        </w:tc>
        <w:tc>
          <w:tcPr>
            <w:tcW w:w="683" w:type="pct"/>
            <w:shd w:val="clear" w:color="auto" w:fill="auto"/>
            <w:tcMar>
              <w:top w:w="110" w:type="dxa"/>
            </w:tcMar>
          </w:tcPr>
          <w:p w:rsidR="00F52522" w:rsidRPr="00483CBD" w:rsidRDefault="00F52522" w:rsidP="008A4774">
            <w:pPr>
              <w:keepNext/>
              <w:keepLines/>
              <w:autoSpaceDE w:val="0"/>
              <w:autoSpaceDN w:val="0"/>
              <w:adjustRightInd w:val="0"/>
              <w:rPr>
                <w:rFonts w:cs="Arial"/>
                <w:sz w:val="16"/>
                <w:szCs w:val="16"/>
              </w:rPr>
            </w:pPr>
            <w:r w:rsidRPr="0052430B">
              <w:rPr>
                <w:rFonts w:cs="Arial"/>
                <w:sz w:val="16"/>
                <w:szCs w:val="16"/>
              </w:rPr>
              <w:t>Legislative advice provided to 10 Member States/regional organizations. 90% of respondents satisfied with the advice offered</w:t>
            </w:r>
          </w:p>
        </w:tc>
        <w:tc>
          <w:tcPr>
            <w:tcW w:w="1205" w:type="pct"/>
            <w:gridSpan w:val="2"/>
            <w:shd w:val="clear" w:color="auto" w:fill="auto"/>
            <w:tcMar>
              <w:top w:w="110" w:type="dxa"/>
            </w:tcMar>
          </w:tcPr>
          <w:p w:rsidR="00F52522" w:rsidRPr="00E87BB9" w:rsidRDefault="00F52522" w:rsidP="008A4774">
            <w:pPr>
              <w:keepNext/>
              <w:keepLines/>
              <w:rPr>
                <w:rFonts w:cs="Arial"/>
                <w:sz w:val="16"/>
                <w:szCs w:val="16"/>
                <w:lang w:bidi="th-TH"/>
              </w:rPr>
            </w:pPr>
            <w:r>
              <w:rPr>
                <w:rFonts w:cs="Arial"/>
                <w:sz w:val="16"/>
                <w:szCs w:val="16"/>
                <w:lang w:bidi="th-TH"/>
              </w:rPr>
              <w:t>Advice was provided to 31</w:t>
            </w:r>
            <w:r w:rsidRPr="00E87BB9">
              <w:rPr>
                <w:rFonts w:cs="Arial"/>
                <w:sz w:val="16"/>
                <w:szCs w:val="16"/>
                <w:lang w:bidi="th-TH"/>
              </w:rPr>
              <w:t xml:space="preserve"> Member States/</w:t>
            </w:r>
            <w:r>
              <w:rPr>
                <w:rFonts w:cs="Arial"/>
                <w:sz w:val="16"/>
                <w:szCs w:val="16"/>
                <w:lang w:bidi="th-TH"/>
              </w:rPr>
              <w:t>Regional Organizations (Africa 8</w:t>
            </w:r>
            <w:r w:rsidRPr="00E87BB9">
              <w:rPr>
                <w:rFonts w:cs="Arial"/>
                <w:sz w:val="16"/>
                <w:szCs w:val="16"/>
                <w:lang w:bidi="th-TH"/>
              </w:rPr>
              <w:t>;</w:t>
            </w:r>
            <w:r>
              <w:rPr>
                <w:rFonts w:cs="Arial"/>
                <w:sz w:val="16"/>
                <w:szCs w:val="16"/>
                <w:lang w:bidi="th-TH"/>
              </w:rPr>
              <w:t xml:space="preserve"> Arab 1; Asia and the Pacific 14</w:t>
            </w:r>
            <w:r w:rsidRPr="00E87BB9">
              <w:rPr>
                <w:rFonts w:cs="Arial"/>
                <w:sz w:val="16"/>
                <w:szCs w:val="16"/>
                <w:lang w:bidi="th-TH"/>
              </w:rPr>
              <w:t>; L</w:t>
            </w:r>
            <w:r>
              <w:rPr>
                <w:rFonts w:cs="Arial"/>
                <w:sz w:val="16"/>
                <w:szCs w:val="16"/>
                <w:lang w:bidi="th-TH"/>
              </w:rPr>
              <w:t>atin America and the Caribbean 6;  Certain Countries in Europe and Asia 1</w:t>
            </w:r>
            <w:r w:rsidRPr="00E87BB9">
              <w:rPr>
                <w:rFonts w:cs="Arial"/>
                <w:sz w:val="16"/>
                <w:szCs w:val="16"/>
                <w:lang w:bidi="th-TH"/>
              </w:rPr>
              <w:t>)</w:t>
            </w:r>
          </w:p>
          <w:p w:rsidR="00F52522" w:rsidRPr="00E87BB9" w:rsidRDefault="00F52522" w:rsidP="008A4774">
            <w:pPr>
              <w:keepNext/>
              <w:keepLines/>
              <w:rPr>
                <w:rFonts w:cs="Arial"/>
                <w:sz w:val="16"/>
                <w:szCs w:val="16"/>
                <w:lang w:bidi="th-TH"/>
              </w:rPr>
            </w:pPr>
          </w:p>
          <w:p w:rsidR="00F52522" w:rsidRPr="00483CBD" w:rsidRDefault="00F52522" w:rsidP="008A4774">
            <w:pPr>
              <w:keepNext/>
              <w:keepLines/>
              <w:rPr>
                <w:rFonts w:cs="Arial"/>
                <w:sz w:val="16"/>
                <w:szCs w:val="16"/>
                <w:lang w:bidi="th-TH"/>
              </w:rPr>
            </w:pPr>
            <w:r>
              <w:rPr>
                <w:rFonts w:cs="Arial"/>
                <w:sz w:val="16"/>
                <w:szCs w:val="16"/>
                <w:lang w:bidi="th-TH"/>
              </w:rPr>
              <w:t>Feedback was received from 10</w:t>
            </w:r>
            <w:r w:rsidRPr="00E87BB9">
              <w:rPr>
                <w:rFonts w:cs="Arial"/>
                <w:sz w:val="16"/>
                <w:szCs w:val="16"/>
                <w:lang w:bidi="th-TH"/>
              </w:rPr>
              <w:t xml:space="preserve"> respondents, all of whom (100%) reported satisfaction with the advice offered.</w:t>
            </w:r>
            <w:r w:rsidRPr="00E87BB9">
              <w:rPr>
                <w:rFonts w:cs="Arial"/>
                <w:sz w:val="16"/>
                <w:szCs w:val="16"/>
                <w:lang w:bidi="th-TH"/>
              </w:rPr>
              <w:tab/>
            </w:r>
          </w:p>
        </w:tc>
        <w:tc>
          <w:tcPr>
            <w:tcW w:w="536" w:type="pct"/>
            <w:gridSpan w:val="2"/>
            <w:shd w:val="clear" w:color="auto" w:fill="auto"/>
            <w:tcMar>
              <w:top w:w="110" w:type="dxa"/>
            </w:tcMar>
          </w:tcPr>
          <w:p w:rsidR="00F52522" w:rsidRPr="00727833" w:rsidRDefault="00F52522" w:rsidP="008A4774">
            <w:pPr>
              <w:keepNext/>
              <w:keepLines/>
              <w:jc w:val="center"/>
              <w:rPr>
                <w:rFonts w:cs="Arial"/>
                <w:b/>
                <w:bCs/>
                <w:color w:val="008000"/>
                <w:sz w:val="16"/>
                <w:szCs w:val="16"/>
              </w:rPr>
            </w:pPr>
            <w:r w:rsidRPr="00727833">
              <w:rPr>
                <w:rFonts w:cs="Arial"/>
                <w:b/>
                <w:bCs/>
                <w:color w:val="008000"/>
                <w:sz w:val="16"/>
                <w:szCs w:val="16"/>
              </w:rPr>
              <w:t>Fully Achieved</w:t>
            </w:r>
          </w:p>
          <w:p w:rsidR="00F52522" w:rsidRDefault="00F52522" w:rsidP="008A4774">
            <w:pPr>
              <w:keepNext/>
              <w:keepLines/>
              <w:jc w:val="center"/>
              <w:rPr>
                <w:rFonts w:cs="Arial"/>
                <w:bCs/>
                <w:color w:val="008000"/>
                <w:sz w:val="16"/>
                <w:szCs w:val="16"/>
              </w:rPr>
            </w:pPr>
          </w:p>
          <w:p w:rsidR="00F52522" w:rsidRDefault="00F52522" w:rsidP="008A4774">
            <w:pPr>
              <w:keepNext/>
              <w:keepLines/>
              <w:jc w:val="center"/>
              <w:rPr>
                <w:rFonts w:cs="Arial"/>
                <w:bCs/>
                <w:color w:val="008000"/>
                <w:sz w:val="16"/>
                <w:szCs w:val="16"/>
              </w:rPr>
            </w:pPr>
          </w:p>
          <w:p w:rsidR="00F52522" w:rsidRDefault="00F52522" w:rsidP="008A4774">
            <w:pPr>
              <w:keepNext/>
              <w:keepLines/>
              <w:rPr>
                <w:rFonts w:cs="Arial"/>
                <w:bCs/>
                <w:color w:val="008000"/>
                <w:sz w:val="16"/>
                <w:szCs w:val="16"/>
              </w:rPr>
            </w:pPr>
            <w:r>
              <w:rPr>
                <w:rFonts w:cs="Arial"/>
                <w:bCs/>
                <w:color w:val="008000"/>
                <w:sz w:val="16"/>
                <w:szCs w:val="16"/>
              </w:rPr>
              <w:br/>
            </w:r>
            <w:r>
              <w:rPr>
                <w:rFonts w:cs="Arial"/>
                <w:bCs/>
                <w:color w:val="008000"/>
                <w:sz w:val="16"/>
                <w:szCs w:val="16"/>
              </w:rPr>
              <w:br/>
            </w:r>
            <w:r>
              <w:rPr>
                <w:rFonts w:cs="Arial"/>
                <w:bCs/>
                <w:color w:val="008000"/>
                <w:sz w:val="16"/>
                <w:szCs w:val="16"/>
              </w:rPr>
              <w:br/>
            </w:r>
          </w:p>
          <w:p w:rsidR="00F52522" w:rsidRDefault="00F52522" w:rsidP="008A4774">
            <w:pPr>
              <w:keepNext/>
              <w:keepLines/>
              <w:rPr>
                <w:rFonts w:cs="Arial"/>
                <w:bCs/>
                <w:color w:val="008000"/>
                <w:sz w:val="16"/>
                <w:szCs w:val="16"/>
              </w:rPr>
            </w:pPr>
          </w:p>
          <w:p w:rsidR="00F52522" w:rsidRPr="00727833" w:rsidRDefault="00F52522" w:rsidP="008A4774">
            <w:pPr>
              <w:keepNext/>
              <w:keepLines/>
              <w:jc w:val="center"/>
              <w:rPr>
                <w:rFonts w:cs="Arial"/>
                <w:b/>
                <w:bCs/>
                <w:color w:val="008000"/>
                <w:sz w:val="16"/>
                <w:szCs w:val="16"/>
              </w:rPr>
            </w:pPr>
            <w:r w:rsidRPr="00727833">
              <w:rPr>
                <w:rFonts w:cs="Arial"/>
                <w:b/>
                <w:bCs/>
                <w:color w:val="008000"/>
                <w:sz w:val="16"/>
                <w:szCs w:val="16"/>
              </w:rPr>
              <w:t>Fully Achieved</w:t>
            </w:r>
          </w:p>
        </w:tc>
      </w:tr>
      <w:tr w:rsidR="00F52522" w:rsidRPr="001A1334" w:rsidTr="008A4774">
        <w:trPr>
          <w:cantSplit/>
          <w:trHeight w:val="485"/>
        </w:trPr>
        <w:tc>
          <w:tcPr>
            <w:tcW w:w="5000" w:type="pct"/>
            <w:gridSpan w:val="8"/>
            <w:tcBorders>
              <w:top w:val="single" w:sz="4" w:space="0" w:color="auto"/>
              <w:bottom w:val="single" w:sz="4" w:space="0" w:color="auto"/>
            </w:tcBorders>
            <w:shd w:val="clear" w:color="auto" w:fill="C6D9F1" w:themeFill="text2" w:themeFillTint="33"/>
            <w:vAlign w:val="center"/>
          </w:tcPr>
          <w:p w:rsidR="00F52522" w:rsidRPr="001A1334" w:rsidRDefault="00F52522" w:rsidP="008A4774">
            <w:pPr>
              <w:keepNext/>
              <w:keepLines/>
              <w:tabs>
                <w:tab w:val="left" w:pos="1452"/>
              </w:tabs>
              <w:ind w:left="1452" w:hanging="1452"/>
              <w:rPr>
                <w:rFonts w:cs="Arial"/>
                <w:b/>
                <w:bCs/>
                <w:sz w:val="16"/>
                <w:szCs w:val="16"/>
              </w:rPr>
            </w:pPr>
            <w:r w:rsidRPr="001A1334">
              <w:rPr>
                <w:rFonts w:cs="Arial"/>
                <w:b/>
                <w:bCs/>
                <w:sz w:val="16"/>
                <w:szCs w:val="16"/>
              </w:rPr>
              <w:t>Expected Result:</w:t>
            </w:r>
            <w:r w:rsidRPr="001A1334">
              <w:rPr>
                <w:rFonts w:cs="Arial"/>
                <w:b/>
                <w:bCs/>
                <w:sz w:val="16"/>
                <w:szCs w:val="16"/>
              </w:rPr>
              <w:tab/>
            </w:r>
            <w:r w:rsidRPr="00ED1F4E">
              <w:rPr>
                <w:rFonts w:cs="Arial"/>
                <w:bCs/>
                <w:sz w:val="16"/>
                <w:szCs w:val="16"/>
              </w:rPr>
              <w:t>I.3</w:t>
            </w:r>
            <w:r>
              <w:rPr>
                <w:rFonts w:cs="Arial"/>
                <w:b/>
                <w:bCs/>
                <w:sz w:val="16"/>
                <w:szCs w:val="16"/>
              </w:rPr>
              <w:t xml:space="preserve"> </w:t>
            </w:r>
            <w:r w:rsidRPr="0052430B">
              <w:rPr>
                <w:rFonts w:cs="Arial"/>
                <w:sz w:val="16"/>
                <w:szCs w:val="16"/>
              </w:rPr>
              <w:t xml:space="preserve">Increased protection of State emblems and names and emblems of International Intergovernmental </w:t>
            </w:r>
            <w:r>
              <w:rPr>
                <w:rFonts w:cs="Arial"/>
                <w:sz w:val="16"/>
                <w:szCs w:val="16"/>
              </w:rPr>
              <w:t xml:space="preserve">     </w:t>
            </w:r>
            <w:r w:rsidRPr="0052430B">
              <w:rPr>
                <w:rFonts w:cs="Arial"/>
                <w:sz w:val="16"/>
                <w:szCs w:val="16"/>
              </w:rPr>
              <w:t>Organizations</w:t>
            </w:r>
          </w:p>
        </w:tc>
      </w:tr>
      <w:tr w:rsidR="00F52522" w:rsidRPr="001A1334" w:rsidTr="008A4774">
        <w:trPr>
          <w:cantSplit/>
        </w:trPr>
        <w:tc>
          <w:tcPr>
            <w:tcW w:w="1136" w:type="pct"/>
            <w:tcBorders>
              <w:top w:val="single" w:sz="4" w:space="0" w:color="auto"/>
              <w:bottom w:val="nil"/>
            </w:tcBorders>
            <w:shd w:val="clear" w:color="auto" w:fill="auto"/>
            <w:vAlign w:val="center"/>
          </w:tcPr>
          <w:p w:rsidR="00F52522" w:rsidRPr="001A1334" w:rsidRDefault="00F52522" w:rsidP="008A4774">
            <w:pPr>
              <w:keepNext/>
              <w:keepLines/>
              <w:rPr>
                <w:rFonts w:cs="Arial"/>
                <w:sz w:val="16"/>
                <w:szCs w:val="16"/>
              </w:rPr>
            </w:pPr>
            <w:r w:rsidRPr="001A1334">
              <w:rPr>
                <w:rFonts w:cs="Arial"/>
                <w:b/>
                <w:bCs/>
                <w:sz w:val="16"/>
                <w:szCs w:val="16"/>
              </w:rPr>
              <w:t>Performance Indicators</w:t>
            </w:r>
          </w:p>
        </w:tc>
        <w:tc>
          <w:tcPr>
            <w:tcW w:w="1424" w:type="pct"/>
            <w:tcBorders>
              <w:top w:val="single" w:sz="4" w:space="0" w:color="auto"/>
              <w:bottom w:val="nil"/>
            </w:tcBorders>
            <w:shd w:val="clear" w:color="auto" w:fill="auto"/>
            <w:vAlign w:val="center"/>
          </w:tcPr>
          <w:p w:rsidR="00F52522" w:rsidRPr="001A1334" w:rsidRDefault="00F52522" w:rsidP="008A4774">
            <w:pPr>
              <w:keepNext/>
              <w:keepLines/>
              <w:rPr>
                <w:rFonts w:cs="Arial"/>
                <w:b/>
                <w:bCs/>
                <w:sz w:val="16"/>
                <w:szCs w:val="16"/>
              </w:rPr>
            </w:pPr>
            <w:r w:rsidRPr="001A1334">
              <w:rPr>
                <w:rFonts w:cs="Arial"/>
                <w:b/>
                <w:bCs/>
                <w:sz w:val="16"/>
                <w:szCs w:val="16"/>
              </w:rPr>
              <w:t>Baselines</w:t>
            </w:r>
          </w:p>
        </w:tc>
        <w:tc>
          <w:tcPr>
            <w:tcW w:w="699" w:type="pct"/>
            <w:gridSpan w:val="2"/>
            <w:tcBorders>
              <w:top w:val="single" w:sz="4" w:space="0" w:color="auto"/>
              <w:bottom w:val="nil"/>
            </w:tcBorders>
            <w:shd w:val="clear" w:color="auto" w:fill="auto"/>
            <w:tcMar>
              <w:top w:w="110" w:type="dxa"/>
            </w:tcMar>
            <w:vAlign w:val="center"/>
          </w:tcPr>
          <w:p w:rsidR="00F52522" w:rsidRPr="001A1334" w:rsidRDefault="00F52522" w:rsidP="008A4774">
            <w:pPr>
              <w:keepNext/>
              <w:keepLines/>
              <w:rPr>
                <w:rFonts w:cs="Arial"/>
                <w:b/>
                <w:sz w:val="16"/>
                <w:szCs w:val="16"/>
              </w:rPr>
            </w:pPr>
            <w:r w:rsidRPr="001A1334">
              <w:rPr>
                <w:rFonts w:cs="Arial"/>
                <w:b/>
                <w:sz w:val="16"/>
                <w:szCs w:val="16"/>
              </w:rPr>
              <w:t>Targets</w:t>
            </w:r>
          </w:p>
        </w:tc>
        <w:tc>
          <w:tcPr>
            <w:tcW w:w="1213" w:type="pct"/>
            <w:gridSpan w:val="3"/>
            <w:tcBorders>
              <w:top w:val="single" w:sz="4" w:space="0" w:color="auto"/>
              <w:bottom w:val="nil"/>
            </w:tcBorders>
            <w:shd w:val="clear" w:color="auto" w:fill="auto"/>
            <w:tcMar>
              <w:top w:w="110" w:type="dxa"/>
            </w:tcMar>
            <w:vAlign w:val="center"/>
          </w:tcPr>
          <w:p w:rsidR="00F52522" w:rsidRPr="001A1334" w:rsidRDefault="00F52522" w:rsidP="008A4774">
            <w:pPr>
              <w:keepNext/>
              <w:keepLines/>
              <w:rPr>
                <w:rFonts w:cs="Arial"/>
                <w:sz w:val="16"/>
                <w:szCs w:val="16"/>
              </w:rPr>
            </w:pPr>
            <w:r w:rsidRPr="001A1334">
              <w:rPr>
                <w:rFonts w:cs="Arial"/>
                <w:b/>
                <w:bCs/>
                <w:sz w:val="16"/>
                <w:szCs w:val="16"/>
              </w:rPr>
              <w:t>Performance Data</w:t>
            </w:r>
          </w:p>
        </w:tc>
        <w:tc>
          <w:tcPr>
            <w:tcW w:w="528" w:type="pct"/>
            <w:tcBorders>
              <w:top w:val="single" w:sz="4" w:space="0" w:color="auto"/>
              <w:bottom w:val="nil"/>
            </w:tcBorders>
            <w:shd w:val="clear" w:color="auto" w:fill="auto"/>
            <w:tcMar>
              <w:top w:w="110" w:type="dxa"/>
            </w:tcMar>
            <w:vAlign w:val="center"/>
          </w:tcPr>
          <w:p w:rsidR="00F52522" w:rsidRPr="001A1334" w:rsidRDefault="00F52522" w:rsidP="008A4774">
            <w:pPr>
              <w:keepNext/>
              <w:keepLines/>
              <w:jc w:val="center"/>
              <w:rPr>
                <w:rFonts w:cs="Arial"/>
                <w:b/>
                <w:bCs/>
                <w:sz w:val="16"/>
                <w:szCs w:val="16"/>
              </w:rPr>
            </w:pPr>
            <w:r w:rsidRPr="001A1334">
              <w:rPr>
                <w:rFonts w:cs="Arial"/>
                <w:b/>
                <w:bCs/>
                <w:sz w:val="16"/>
                <w:szCs w:val="16"/>
              </w:rPr>
              <w:t>TLS</w:t>
            </w:r>
          </w:p>
        </w:tc>
      </w:tr>
      <w:tr w:rsidR="00F52522" w:rsidRPr="001A1334" w:rsidTr="008A4774">
        <w:trPr>
          <w:cantSplit/>
        </w:trPr>
        <w:tc>
          <w:tcPr>
            <w:tcW w:w="1136" w:type="pct"/>
            <w:tcBorders>
              <w:top w:val="nil"/>
              <w:bottom w:val="nil"/>
            </w:tcBorders>
            <w:shd w:val="clear" w:color="auto" w:fill="auto"/>
          </w:tcPr>
          <w:p w:rsidR="00F52522" w:rsidRPr="001A1334" w:rsidRDefault="00F52522" w:rsidP="008A4774">
            <w:pPr>
              <w:keepNext/>
              <w:keepLines/>
              <w:rPr>
                <w:rFonts w:cs="Arial"/>
                <w:sz w:val="16"/>
                <w:szCs w:val="16"/>
                <w:lang w:bidi="th-TH"/>
              </w:rPr>
            </w:pPr>
            <w:r w:rsidRPr="0052430B">
              <w:rPr>
                <w:rFonts w:cs="Arial"/>
                <w:sz w:val="16"/>
                <w:szCs w:val="16"/>
                <w:lang w:bidi="th-TH"/>
              </w:rPr>
              <w:t xml:space="preserve">No. of requests for communication under Article </w:t>
            </w:r>
            <w:r w:rsidRPr="00845557">
              <w:rPr>
                <w:rFonts w:cs="Arial"/>
                <w:i/>
                <w:sz w:val="16"/>
                <w:szCs w:val="16"/>
                <w:lang w:bidi="th-TH"/>
              </w:rPr>
              <w:t>6</w:t>
            </w:r>
            <w:r w:rsidRPr="00304D88">
              <w:rPr>
                <w:rFonts w:cs="Arial"/>
                <w:i/>
                <w:sz w:val="16"/>
                <w:szCs w:val="16"/>
                <w:lang w:bidi="th-TH"/>
              </w:rPr>
              <w:t>ter</w:t>
            </w:r>
            <w:r w:rsidRPr="0052430B">
              <w:rPr>
                <w:rFonts w:cs="Arial"/>
                <w:sz w:val="16"/>
                <w:szCs w:val="16"/>
                <w:lang w:bidi="th-TH"/>
              </w:rPr>
              <w:t xml:space="preserve"> dealt with</w:t>
            </w:r>
          </w:p>
        </w:tc>
        <w:tc>
          <w:tcPr>
            <w:tcW w:w="1424" w:type="pct"/>
            <w:tcBorders>
              <w:top w:val="nil"/>
              <w:bottom w:val="nil"/>
            </w:tcBorders>
            <w:shd w:val="clear" w:color="auto" w:fill="auto"/>
          </w:tcPr>
          <w:p w:rsidR="00F52522" w:rsidRPr="001A1334" w:rsidRDefault="00F52522" w:rsidP="008A4774">
            <w:pPr>
              <w:keepNext/>
              <w:keepLines/>
              <w:rPr>
                <w:rFonts w:cs="Arial"/>
                <w:i/>
                <w:color w:val="002060"/>
                <w:sz w:val="16"/>
                <w:szCs w:val="16"/>
              </w:rPr>
            </w:pPr>
            <w:r>
              <w:rPr>
                <w:rFonts w:cs="Arial"/>
                <w:i/>
                <w:color w:val="002060"/>
                <w:sz w:val="16"/>
                <w:szCs w:val="16"/>
              </w:rPr>
              <w:t>Updated Baseline end 2013</w:t>
            </w:r>
            <w:r w:rsidRPr="001A1334">
              <w:rPr>
                <w:rFonts w:cs="Arial"/>
                <w:i/>
                <w:color w:val="002060"/>
                <w:sz w:val="16"/>
                <w:szCs w:val="16"/>
              </w:rPr>
              <w:t>:</w:t>
            </w:r>
            <w:r>
              <w:rPr>
                <w:rFonts w:cs="Arial"/>
                <w:color w:val="002060"/>
                <w:sz w:val="16"/>
                <w:szCs w:val="16"/>
              </w:rPr>
              <w:t xml:space="preserve">  </w:t>
            </w:r>
            <w:r w:rsidRPr="0052430B">
              <w:rPr>
                <w:rFonts w:cs="Arial"/>
                <w:color w:val="002060"/>
                <w:sz w:val="16"/>
                <w:szCs w:val="16"/>
                <w:lang w:bidi="th-TH"/>
              </w:rPr>
              <w:t>126 requests for publication under Article 6</w:t>
            </w:r>
            <w:r w:rsidRPr="00D92815">
              <w:rPr>
                <w:rFonts w:cs="Arial"/>
                <w:i/>
                <w:color w:val="002060"/>
                <w:sz w:val="16"/>
                <w:szCs w:val="16"/>
                <w:lang w:bidi="th-TH"/>
              </w:rPr>
              <w:t>ter</w:t>
            </w:r>
            <w:r w:rsidRPr="0052430B">
              <w:rPr>
                <w:rFonts w:cs="Arial"/>
                <w:color w:val="002060"/>
                <w:sz w:val="16"/>
                <w:szCs w:val="16"/>
                <w:lang w:bidi="th-TH"/>
              </w:rPr>
              <w:t xml:space="preserve"> dealt with by the end of 2013</w:t>
            </w:r>
            <w:r>
              <w:rPr>
                <w:rFonts w:cs="Arial"/>
                <w:color w:val="002060"/>
                <w:sz w:val="16"/>
                <w:szCs w:val="16"/>
                <w:lang w:bidi="th-TH"/>
              </w:rPr>
              <w:t xml:space="preserve"> </w:t>
            </w:r>
          </w:p>
          <w:p w:rsidR="00F52522" w:rsidRPr="001A1334" w:rsidRDefault="00F52522" w:rsidP="008A4774">
            <w:pPr>
              <w:keepNext/>
              <w:keepLines/>
              <w:rPr>
                <w:rFonts w:cs="Arial"/>
                <w:i/>
                <w:sz w:val="8"/>
                <w:szCs w:val="8"/>
              </w:rPr>
            </w:pPr>
          </w:p>
          <w:p w:rsidR="00F52522" w:rsidRPr="001A1334" w:rsidRDefault="00F52522" w:rsidP="008A4774">
            <w:pPr>
              <w:keepNext/>
              <w:keepLines/>
              <w:rPr>
                <w:rFonts w:cs="Arial"/>
                <w:sz w:val="16"/>
                <w:szCs w:val="16"/>
              </w:rPr>
            </w:pPr>
            <w:r>
              <w:rPr>
                <w:rFonts w:cs="Arial"/>
                <w:i/>
                <w:sz w:val="16"/>
                <w:szCs w:val="16"/>
              </w:rPr>
              <w:t>Original Baseline P&amp;B 2014/15</w:t>
            </w:r>
            <w:r w:rsidRPr="001A1334">
              <w:rPr>
                <w:rFonts w:cs="Arial"/>
                <w:i/>
                <w:sz w:val="16"/>
                <w:szCs w:val="16"/>
              </w:rPr>
              <w:t>:</w:t>
            </w:r>
          </w:p>
          <w:p w:rsidR="00F52522" w:rsidRPr="001A1334" w:rsidRDefault="00F52522" w:rsidP="008A4774">
            <w:pPr>
              <w:keepNext/>
              <w:keepLines/>
              <w:rPr>
                <w:rFonts w:cs="Arial"/>
                <w:sz w:val="16"/>
                <w:szCs w:val="16"/>
                <w:lang w:bidi="th-TH"/>
              </w:rPr>
            </w:pPr>
            <w:r w:rsidRPr="00FE6CAD">
              <w:rPr>
                <w:rFonts w:cs="Arial"/>
                <w:sz w:val="16"/>
                <w:szCs w:val="16"/>
              </w:rPr>
              <w:t>70 requests</w:t>
            </w:r>
            <w:r w:rsidRPr="00FE6CAD">
              <w:rPr>
                <w:rStyle w:val="FootnoteReference"/>
                <w:rFonts w:cs="Arial"/>
                <w:sz w:val="16"/>
                <w:szCs w:val="16"/>
              </w:rPr>
              <w:footnoteReference w:id="10"/>
            </w:r>
            <w:r w:rsidRPr="0052430B">
              <w:rPr>
                <w:rFonts w:cs="Arial"/>
                <w:sz w:val="16"/>
                <w:szCs w:val="16"/>
              </w:rPr>
              <w:t xml:space="preserve"> for communication under Article 6</w:t>
            </w:r>
            <w:r w:rsidRPr="00D92815">
              <w:rPr>
                <w:rFonts w:cs="Arial"/>
                <w:i/>
                <w:sz w:val="16"/>
                <w:szCs w:val="16"/>
              </w:rPr>
              <w:t xml:space="preserve">ter </w:t>
            </w:r>
            <w:r w:rsidRPr="0052430B">
              <w:rPr>
                <w:rFonts w:cs="Arial"/>
                <w:sz w:val="16"/>
                <w:szCs w:val="16"/>
              </w:rPr>
              <w:t>dealt with in 2012</w:t>
            </w:r>
          </w:p>
        </w:tc>
        <w:tc>
          <w:tcPr>
            <w:tcW w:w="699" w:type="pct"/>
            <w:gridSpan w:val="2"/>
            <w:tcBorders>
              <w:top w:val="nil"/>
              <w:bottom w:val="nil"/>
            </w:tcBorders>
            <w:shd w:val="clear" w:color="auto" w:fill="auto"/>
            <w:tcMar>
              <w:top w:w="110" w:type="dxa"/>
            </w:tcMar>
          </w:tcPr>
          <w:p w:rsidR="00F52522" w:rsidRPr="001A1334" w:rsidRDefault="00F52522" w:rsidP="008A4774">
            <w:pPr>
              <w:keepNext/>
              <w:keepLines/>
              <w:rPr>
                <w:rFonts w:cs="Arial"/>
                <w:sz w:val="16"/>
                <w:szCs w:val="16"/>
                <w:lang w:bidi="th-TH"/>
              </w:rPr>
            </w:pPr>
            <w:r w:rsidRPr="0052430B">
              <w:rPr>
                <w:rFonts w:cs="Arial"/>
                <w:sz w:val="16"/>
                <w:szCs w:val="16"/>
                <w:lang w:bidi="th-TH"/>
              </w:rPr>
              <w:t>140 requests for communication under Article</w:t>
            </w:r>
            <w:r>
              <w:rPr>
                <w:rFonts w:cs="Arial"/>
                <w:sz w:val="16"/>
                <w:szCs w:val="16"/>
                <w:lang w:bidi="th-TH"/>
              </w:rPr>
              <w:t> </w:t>
            </w:r>
            <w:r w:rsidRPr="00845557">
              <w:rPr>
                <w:rFonts w:cs="Arial"/>
                <w:i/>
                <w:sz w:val="16"/>
                <w:szCs w:val="16"/>
                <w:lang w:bidi="th-TH"/>
              </w:rPr>
              <w:t>6</w:t>
            </w:r>
            <w:r w:rsidRPr="00304D88">
              <w:rPr>
                <w:rFonts w:cs="Arial"/>
                <w:i/>
                <w:sz w:val="16"/>
                <w:szCs w:val="16"/>
                <w:lang w:bidi="th-TH"/>
              </w:rPr>
              <w:t>ter</w:t>
            </w:r>
            <w:r w:rsidRPr="0052430B">
              <w:rPr>
                <w:rFonts w:cs="Arial"/>
                <w:sz w:val="16"/>
                <w:szCs w:val="16"/>
                <w:lang w:bidi="th-TH"/>
              </w:rPr>
              <w:t xml:space="preserve"> dealt with</w:t>
            </w:r>
          </w:p>
        </w:tc>
        <w:tc>
          <w:tcPr>
            <w:tcW w:w="1213" w:type="pct"/>
            <w:gridSpan w:val="3"/>
            <w:tcBorders>
              <w:top w:val="nil"/>
              <w:bottom w:val="nil"/>
            </w:tcBorders>
            <w:shd w:val="clear" w:color="auto" w:fill="auto"/>
            <w:tcMar>
              <w:top w:w="110" w:type="dxa"/>
            </w:tcMar>
          </w:tcPr>
          <w:p w:rsidR="00F52522" w:rsidRPr="001A1334" w:rsidRDefault="00F52522" w:rsidP="008A4774">
            <w:pPr>
              <w:keepNext/>
              <w:keepLines/>
              <w:rPr>
                <w:rFonts w:cs="Arial"/>
                <w:sz w:val="16"/>
                <w:szCs w:val="16"/>
                <w:lang w:bidi="th-TH"/>
              </w:rPr>
            </w:pPr>
            <w:r>
              <w:rPr>
                <w:rFonts w:cs="Arial"/>
                <w:sz w:val="16"/>
                <w:szCs w:val="16"/>
                <w:lang w:bidi="th-TH"/>
              </w:rPr>
              <w:t>109</w:t>
            </w:r>
            <w:r w:rsidRPr="005D3879">
              <w:rPr>
                <w:rFonts w:cs="Arial"/>
                <w:sz w:val="16"/>
                <w:szCs w:val="16"/>
                <w:lang w:bidi="th-TH"/>
              </w:rPr>
              <w:t xml:space="preserve"> requests for communication rec</w:t>
            </w:r>
            <w:r>
              <w:rPr>
                <w:rFonts w:cs="Arial"/>
                <w:sz w:val="16"/>
                <w:szCs w:val="16"/>
                <w:lang w:bidi="th-TH"/>
              </w:rPr>
              <w:t>eived and dealt with, of which 4</w:t>
            </w:r>
            <w:r w:rsidRPr="005D3879">
              <w:rPr>
                <w:rFonts w:cs="Arial"/>
                <w:sz w:val="16"/>
                <w:szCs w:val="16"/>
                <w:lang w:bidi="th-TH"/>
              </w:rPr>
              <w:t>1 resulted in publication</w:t>
            </w:r>
            <w:r>
              <w:rPr>
                <w:rFonts w:cs="Arial"/>
                <w:sz w:val="16"/>
                <w:szCs w:val="16"/>
                <w:lang w:bidi="th-TH"/>
              </w:rPr>
              <w:t>.</w:t>
            </w:r>
          </w:p>
        </w:tc>
        <w:tc>
          <w:tcPr>
            <w:tcW w:w="528" w:type="pct"/>
            <w:tcBorders>
              <w:top w:val="nil"/>
              <w:bottom w:val="nil"/>
            </w:tcBorders>
            <w:shd w:val="clear" w:color="auto" w:fill="auto"/>
            <w:tcMar>
              <w:top w:w="110" w:type="dxa"/>
            </w:tcMar>
          </w:tcPr>
          <w:p w:rsidR="00F52522" w:rsidRPr="00552C90" w:rsidRDefault="00F52522" w:rsidP="008A4774">
            <w:pPr>
              <w:keepNext/>
              <w:keepLines/>
              <w:jc w:val="center"/>
              <w:rPr>
                <w:rFonts w:cs="Arial"/>
                <w:b/>
                <w:color w:val="E26B0A"/>
                <w:sz w:val="16"/>
                <w:szCs w:val="16"/>
              </w:rPr>
            </w:pPr>
            <w:r w:rsidRPr="00552C90">
              <w:rPr>
                <w:rFonts w:cs="Arial"/>
                <w:b/>
                <w:bCs/>
                <w:color w:val="E26B0A"/>
                <w:sz w:val="16"/>
                <w:szCs w:val="16"/>
              </w:rPr>
              <w:t>Partially Achieved</w:t>
            </w:r>
          </w:p>
        </w:tc>
      </w:tr>
      <w:tr w:rsidR="00F52522" w:rsidRPr="001A1334" w:rsidTr="008A4774">
        <w:trPr>
          <w:cantSplit/>
        </w:trPr>
        <w:tc>
          <w:tcPr>
            <w:tcW w:w="1136" w:type="pct"/>
            <w:tcBorders>
              <w:top w:val="nil"/>
              <w:left w:val="single" w:sz="4" w:space="0" w:color="auto"/>
              <w:bottom w:val="single" w:sz="4" w:space="0" w:color="auto"/>
              <w:right w:val="nil"/>
            </w:tcBorders>
            <w:shd w:val="clear" w:color="auto" w:fill="auto"/>
          </w:tcPr>
          <w:p w:rsidR="00F52522" w:rsidRPr="0052430B" w:rsidRDefault="00F52522" w:rsidP="008A4774">
            <w:pPr>
              <w:rPr>
                <w:rFonts w:cs="Arial"/>
                <w:sz w:val="16"/>
                <w:szCs w:val="16"/>
                <w:lang w:bidi="th-TH"/>
              </w:rPr>
            </w:pPr>
            <w:r w:rsidRPr="0052430B">
              <w:rPr>
                <w:rFonts w:cs="Arial"/>
                <w:sz w:val="16"/>
                <w:szCs w:val="16"/>
                <w:lang w:bidi="th-TH"/>
              </w:rPr>
              <w:t xml:space="preserve">No. of signs published in Article </w:t>
            </w:r>
            <w:r w:rsidRPr="00845557">
              <w:rPr>
                <w:rFonts w:cs="Arial"/>
                <w:i/>
                <w:sz w:val="16"/>
                <w:szCs w:val="16"/>
                <w:lang w:bidi="th-TH"/>
              </w:rPr>
              <w:t xml:space="preserve">6ter </w:t>
            </w:r>
            <w:r w:rsidRPr="0052430B">
              <w:rPr>
                <w:rFonts w:cs="Arial"/>
                <w:sz w:val="16"/>
                <w:szCs w:val="16"/>
                <w:lang w:bidi="th-TH"/>
              </w:rPr>
              <w:t>database</w:t>
            </w:r>
          </w:p>
        </w:tc>
        <w:tc>
          <w:tcPr>
            <w:tcW w:w="1424" w:type="pct"/>
            <w:tcBorders>
              <w:top w:val="nil"/>
              <w:left w:val="nil"/>
              <w:bottom w:val="single" w:sz="4" w:space="0" w:color="auto"/>
              <w:right w:val="nil"/>
            </w:tcBorders>
            <w:shd w:val="clear" w:color="auto" w:fill="auto"/>
          </w:tcPr>
          <w:p w:rsidR="00F52522" w:rsidRPr="001A1334" w:rsidRDefault="00F52522" w:rsidP="008A4774">
            <w:pPr>
              <w:rPr>
                <w:rFonts w:cs="Arial"/>
                <w:i/>
                <w:color w:val="002060"/>
                <w:sz w:val="16"/>
                <w:szCs w:val="16"/>
              </w:rPr>
            </w:pPr>
            <w:r>
              <w:rPr>
                <w:rFonts w:cs="Arial"/>
                <w:i/>
                <w:color w:val="002060"/>
                <w:sz w:val="16"/>
                <w:szCs w:val="16"/>
              </w:rPr>
              <w:t>Updated Baseline end 2013</w:t>
            </w:r>
            <w:r w:rsidRPr="001A1334">
              <w:rPr>
                <w:rFonts w:cs="Arial"/>
                <w:i/>
                <w:color w:val="002060"/>
                <w:sz w:val="16"/>
                <w:szCs w:val="16"/>
              </w:rPr>
              <w:t>:</w:t>
            </w:r>
            <w:r>
              <w:rPr>
                <w:rFonts w:cs="Arial"/>
                <w:color w:val="002060"/>
                <w:sz w:val="16"/>
                <w:szCs w:val="16"/>
              </w:rPr>
              <w:t xml:space="preserve">  </w:t>
            </w:r>
            <w:r w:rsidRPr="00EC3E80">
              <w:rPr>
                <w:rFonts w:cs="Arial"/>
                <w:color w:val="002060"/>
                <w:sz w:val="16"/>
                <w:szCs w:val="16"/>
                <w:lang w:bidi="th-TH"/>
              </w:rPr>
              <w:t>132 signs published</w:t>
            </w:r>
            <w:r>
              <w:rPr>
                <w:rFonts w:cs="Arial"/>
                <w:color w:val="002060"/>
                <w:sz w:val="16"/>
                <w:szCs w:val="16"/>
                <w:lang w:bidi="th-TH"/>
              </w:rPr>
              <w:t xml:space="preserve"> in </w:t>
            </w:r>
            <w:r w:rsidRPr="00EC3E80">
              <w:rPr>
                <w:rFonts w:cs="Arial"/>
                <w:sz w:val="16"/>
                <w:szCs w:val="16"/>
              </w:rPr>
              <w:t>Article 6</w:t>
            </w:r>
            <w:r w:rsidRPr="00FF3918">
              <w:rPr>
                <w:rFonts w:cs="Arial"/>
                <w:i/>
                <w:sz w:val="16"/>
                <w:szCs w:val="16"/>
              </w:rPr>
              <w:t>ter</w:t>
            </w:r>
            <w:r w:rsidRPr="00EC3E80">
              <w:rPr>
                <w:rFonts w:cs="Arial"/>
                <w:sz w:val="16"/>
                <w:szCs w:val="16"/>
              </w:rPr>
              <w:t xml:space="preserve"> database</w:t>
            </w:r>
            <w:r w:rsidRPr="00EC3E80">
              <w:rPr>
                <w:rFonts w:cs="Arial"/>
                <w:color w:val="002060"/>
                <w:sz w:val="16"/>
                <w:szCs w:val="16"/>
                <w:lang w:bidi="th-TH"/>
              </w:rPr>
              <w:t xml:space="preserve"> </w:t>
            </w:r>
            <w:r>
              <w:rPr>
                <w:rFonts w:cs="Arial"/>
                <w:color w:val="002060"/>
                <w:sz w:val="16"/>
                <w:szCs w:val="16"/>
                <w:lang w:bidi="th-TH"/>
              </w:rPr>
              <w:t>in 2012/</w:t>
            </w:r>
            <w:r w:rsidRPr="00EC3E80">
              <w:rPr>
                <w:rFonts w:cs="Arial"/>
                <w:color w:val="002060"/>
                <w:sz w:val="16"/>
                <w:szCs w:val="16"/>
                <w:lang w:bidi="th-TH"/>
              </w:rPr>
              <w:t>13</w:t>
            </w:r>
            <w:r>
              <w:rPr>
                <w:rFonts w:cs="Arial"/>
                <w:color w:val="002060"/>
                <w:sz w:val="16"/>
                <w:szCs w:val="16"/>
                <w:lang w:bidi="th-TH"/>
              </w:rPr>
              <w:t xml:space="preserve"> </w:t>
            </w:r>
          </w:p>
          <w:p w:rsidR="00F52522" w:rsidRPr="001A1334" w:rsidRDefault="00F52522" w:rsidP="008A4774">
            <w:pPr>
              <w:rPr>
                <w:rFonts w:cs="Arial"/>
                <w:i/>
                <w:sz w:val="8"/>
                <w:szCs w:val="8"/>
              </w:rPr>
            </w:pPr>
          </w:p>
          <w:p w:rsidR="00F52522" w:rsidRPr="001A1334" w:rsidRDefault="00F52522" w:rsidP="008A4774">
            <w:pPr>
              <w:rPr>
                <w:rFonts w:cs="Arial"/>
                <w:sz w:val="16"/>
                <w:szCs w:val="16"/>
              </w:rPr>
            </w:pPr>
            <w:r>
              <w:rPr>
                <w:rFonts w:cs="Arial"/>
                <w:i/>
                <w:sz w:val="16"/>
                <w:szCs w:val="16"/>
              </w:rPr>
              <w:t>Original Baseline P&amp;B 2014/15</w:t>
            </w:r>
            <w:r w:rsidRPr="001A1334">
              <w:rPr>
                <w:rFonts w:cs="Arial"/>
                <w:i/>
                <w:sz w:val="16"/>
                <w:szCs w:val="16"/>
              </w:rPr>
              <w:t>:</w:t>
            </w:r>
          </w:p>
          <w:p w:rsidR="00F52522" w:rsidRDefault="00F52522" w:rsidP="008A4774">
            <w:pPr>
              <w:rPr>
                <w:rFonts w:cs="Arial"/>
                <w:i/>
                <w:color w:val="002060"/>
                <w:sz w:val="16"/>
                <w:szCs w:val="16"/>
              </w:rPr>
            </w:pPr>
            <w:r w:rsidRPr="00EC3E80">
              <w:rPr>
                <w:rFonts w:cs="Arial"/>
                <w:sz w:val="16"/>
                <w:szCs w:val="16"/>
              </w:rPr>
              <w:t>75 signs</w:t>
            </w:r>
            <w:r>
              <w:rPr>
                <w:rStyle w:val="FootnoteReference"/>
                <w:rFonts w:cs="Arial"/>
                <w:sz w:val="16"/>
                <w:szCs w:val="16"/>
              </w:rPr>
              <w:footnoteReference w:id="11"/>
            </w:r>
            <w:r w:rsidRPr="00EC3E80">
              <w:rPr>
                <w:rFonts w:cs="Arial"/>
                <w:sz w:val="16"/>
                <w:szCs w:val="16"/>
              </w:rPr>
              <w:t xml:space="preserve"> published in Article 6</w:t>
            </w:r>
            <w:r w:rsidRPr="00D92815">
              <w:rPr>
                <w:rFonts w:cs="Arial"/>
                <w:i/>
                <w:sz w:val="16"/>
                <w:szCs w:val="16"/>
              </w:rPr>
              <w:t>ter</w:t>
            </w:r>
            <w:r w:rsidRPr="00EC3E80">
              <w:rPr>
                <w:rFonts w:cs="Arial"/>
                <w:sz w:val="16"/>
                <w:szCs w:val="16"/>
              </w:rPr>
              <w:t xml:space="preserve"> database in 2012</w:t>
            </w:r>
          </w:p>
        </w:tc>
        <w:tc>
          <w:tcPr>
            <w:tcW w:w="699" w:type="pct"/>
            <w:gridSpan w:val="2"/>
            <w:tcBorders>
              <w:top w:val="nil"/>
              <w:left w:val="nil"/>
              <w:bottom w:val="single" w:sz="4" w:space="0" w:color="auto"/>
              <w:right w:val="nil"/>
            </w:tcBorders>
            <w:shd w:val="clear" w:color="auto" w:fill="auto"/>
            <w:tcMar>
              <w:top w:w="110" w:type="dxa"/>
            </w:tcMar>
          </w:tcPr>
          <w:p w:rsidR="00F52522" w:rsidRPr="0052430B" w:rsidRDefault="00F52522" w:rsidP="008A4774">
            <w:pPr>
              <w:rPr>
                <w:rFonts w:cs="Arial"/>
                <w:sz w:val="16"/>
                <w:szCs w:val="16"/>
                <w:lang w:bidi="th-TH"/>
              </w:rPr>
            </w:pPr>
            <w:r w:rsidRPr="00EC3E80">
              <w:rPr>
                <w:rFonts w:cs="Arial"/>
                <w:sz w:val="16"/>
                <w:szCs w:val="16"/>
                <w:lang w:bidi="th-TH"/>
              </w:rPr>
              <w:t xml:space="preserve">150 signs published in Article </w:t>
            </w:r>
            <w:r w:rsidRPr="00845557">
              <w:rPr>
                <w:rFonts w:cs="Arial"/>
                <w:i/>
                <w:sz w:val="16"/>
                <w:szCs w:val="16"/>
                <w:lang w:bidi="th-TH"/>
              </w:rPr>
              <w:t>6t</w:t>
            </w:r>
            <w:r w:rsidRPr="00304D88">
              <w:rPr>
                <w:rFonts w:cs="Arial"/>
                <w:i/>
                <w:sz w:val="16"/>
                <w:szCs w:val="16"/>
                <w:lang w:bidi="th-TH"/>
              </w:rPr>
              <w:t>er</w:t>
            </w:r>
            <w:r w:rsidRPr="00EC3E80">
              <w:rPr>
                <w:rFonts w:cs="Arial"/>
                <w:sz w:val="16"/>
                <w:szCs w:val="16"/>
                <w:lang w:bidi="th-TH"/>
              </w:rPr>
              <w:t xml:space="preserve"> database</w:t>
            </w:r>
            <w:r>
              <w:rPr>
                <w:rStyle w:val="FootnoteReference"/>
                <w:rFonts w:cs="Arial"/>
                <w:sz w:val="16"/>
                <w:szCs w:val="16"/>
                <w:lang w:bidi="th-TH"/>
              </w:rPr>
              <w:footnoteReference w:id="12"/>
            </w:r>
          </w:p>
        </w:tc>
        <w:tc>
          <w:tcPr>
            <w:tcW w:w="1213" w:type="pct"/>
            <w:gridSpan w:val="3"/>
            <w:tcBorders>
              <w:top w:val="nil"/>
              <w:left w:val="nil"/>
              <w:bottom w:val="single" w:sz="4" w:space="0" w:color="auto"/>
              <w:right w:val="nil"/>
            </w:tcBorders>
            <w:shd w:val="clear" w:color="auto" w:fill="auto"/>
            <w:tcMar>
              <w:top w:w="110" w:type="dxa"/>
            </w:tcMar>
          </w:tcPr>
          <w:p w:rsidR="00F52522" w:rsidRDefault="00F52522" w:rsidP="008A4774">
            <w:pPr>
              <w:rPr>
                <w:rFonts w:cs="Arial"/>
                <w:sz w:val="16"/>
                <w:szCs w:val="16"/>
                <w:lang w:bidi="th-TH"/>
              </w:rPr>
            </w:pPr>
            <w:r>
              <w:rPr>
                <w:rFonts w:cs="Arial"/>
                <w:sz w:val="16"/>
                <w:szCs w:val="16"/>
                <w:lang w:bidi="th-TH"/>
              </w:rPr>
              <w:t>149 new signs published.</w:t>
            </w:r>
          </w:p>
          <w:p w:rsidR="00F52522" w:rsidRDefault="00F52522" w:rsidP="008A4774">
            <w:pPr>
              <w:rPr>
                <w:rFonts w:cs="Arial"/>
                <w:sz w:val="16"/>
                <w:szCs w:val="16"/>
                <w:lang w:bidi="th-TH"/>
              </w:rPr>
            </w:pPr>
          </w:p>
          <w:p w:rsidR="00F52522" w:rsidRPr="0052430B" w:rsidRDefault="00F52522" w:rsidP="008A4774">
            <w:pPr>
              <w:rPr>
                <w:rFonts w:cs="Arial"/>
                <w:sz w:val="16"/>
                <w:szCs w:val="16"/>
                <w:lang w:bidi="th-TH"/>
              </w:rPr>
            </w:pPr>
            <w:r>
              <w:rPr>
                <w:rFonts w:cs="Arial"/>
                <w:sz w:val="16"/>
                <w:szCs w:val="16"/>
                <w:lang w:bidi="th-TH"/>
              </w:rPr>
              <w:t>A total of 3,1</w:t>
            </w:r>
            <w:r w:rsidRPr="00AE5530">
              <w:rPr>
                <w:rFonts w:cs="Arial"/>
                <w:sz w:val="16"/>
                <w:szCs w:val="16"/>
                <w:lang w:bidi="th-TH"/>
              </w:rPr>
              <w:t xml:space="preserve">57 signs contained in the Article </w:t>
            </w:r>
            <w:r>
              <w:rPr>
                <w:rFonts w:cs="Arial"/>
                <w:sz w:val="16"/>
                <w:szCs w:val="16"/>
                <w:lang w:bidi="th-TH"/>
              </w:rPr>
              <w:t>6</w:t>
            </w:r>
            <w:r w:rsidRPr="00A474B4">
              <w:rPr>
                <w:rFonts w:cs="Arial"/>
                <w:i/>
                <w:sz w:val="16"/>
                <w:szCs w:val="16"/>
                <w:lang w:bidi="th-TH"/>
              </w:rPr>
              <w:t>ter</w:t>
            </w:r>
            <w:r>
              <w:rPr>
                <w:rFonts w:cs="Arial"/>
                <w:sz w:val="16"/>
                <w:szCs w:val="16"/>
                <w:lang w:bidi="th-TH"/>
              </w:rPr>
              <w:t xml:space="preserve"> database at the end of 2015</w:t>
            </w:r>
            <w:r w:rsidRPr="00AE5530">
              <w:rPr>
                <w:rFonts w:cs="Arial"/>
                <w:sz w:val="16"/>
                <w:szCs w:val="16"/>
                <w:lang w:bidi="th-TH"/>
              </w:rPr>
              <w:t>.</w:t>
            </w:r>
          </w:p>
        </w:tc>
        <w:tc>
          <w:tcPr>
            <w:tcW w:w="528" w:type="pct"/>
            <w:tcBorders>
              <w:top w:val="nil"/>
              <w:left w:val="nil"/>
              <w:bottom w:val="single" w:sz="4" w:space="0" w:color="auto"/>
              <w:right w:val="single" w:sz="4" w:space="0" w:color="auto"/>
            </w:tcBorders>
            <w:shd w:val="clear" w:color="auto" w:fill="auto"/>
          </w:tcPr>
          <w:p w:rsidR="00F52522" w:rsidRPr="00552C90" w:rsidRDefault="00F52522" w:rsidP="008A4774">
            <w:pPr>
              <w:jc w:val="center"/>
              <w:rPr>
                <w:rFonts w:cs="Arial"/>
                <w:b/>
                <w:color w:val="00B050"/>
                <w:sz w:val="16"/>
                <w:szCs w:val="16"/>
              </w:rPr>
            </w:pPr>
            <w:r>
              <w:rPr>
                <w:rFonts w:cs="Arial"/>
                <w:b/>
                <w:bCs/>
                <w:color w:val="FF0000"/>
                <w:sz w:val="16"/>
                <w:szCs w:val="16"/>
              </w:rPr>
              <w:br/>
            </w:r>
            <w:r w:rsidRPr="00552C90">
              <w:rPr>
                <w:rFonts w:cs="Arial"/>
                <w:b/>
                <w:color w:val="00B050"/>
                <w:sz w:val="16"/>
                <w:szCs w:val="16"/>
              </w:rPr>
              <w:t>Fully Achieved</w:t>
            </w:r>
          </w:p>
        </w:tc>
      </w:tr>
    </w:tbl>
    <w:p w:rsidR="00F52522" w:rsidRDefault="00F52522" w:rsidP="008A4774">
      <w:pPr>
        <w:jc w:val="both"/>
        <w:rPr>
          <w:sz w:val="18"/>
        </w:rPr>
      </w:pPr>
    </w:p>
    <w:p w:rsidR="00F52522" w:rsidRPr="00CE5351" w:rsidRDefault="00F52522" w:rsidP="008A4774">
      <w:pPr>
        <w:jc w:val="both"/>
        <w:rPr>
          <w:sz w:val="18"/>
        </w:rPr>
      </w:pPr>
    </w:p>
    <w:p w:rsidR="00F52522" w:rsidRPr="00E41E2D" w:rsidRDefault="00F52522" w:rsidP="008A4774">
      <w:pPr>
        <w:keepNext/>
        <w:keepLines/>
        <w:rPr>
          <w:rFonts w:cs="Arial"/>
          <w:color w:val="000000"/>
          <w:szCs w:val="22"/>
        </w:rPr>
      </w:pPr>
      <w:r w:rsidRPr="00E41E2D">
        <w:rPr>
          <w:rFonts w:cs="Arial"/>
          <w:color w:val="000000"/>
          <w:szCs w:val="22"/>
        </w:rPr>
        <w:t>RISK REPORTING FOR THE BIENNIUM</w:t>
      </w:r>
    </w:p>
    <w:p w:rsidR="00F52522" w:rsidRDefault="00F52522" w:rsidP="008A4774">
      <w:pPr>
        <w:keepNext/>
        <w:keepLines/>
        <w:rPr>
          <w:rFonts w:cs="Arial"/>
          <w:color w:val="000000"/>
          <w:sz w:val="22"/>
          <w:szCs w:val="22"/>
        </w:rPr>
      </w:pPr>
    </w:p>
    <w:tbl>
      <w:tblPr>
        <w:tblW w:w="9498" w:type="dxa"/>
        <w:tblInd w:w="108" w:type="dxa"/>
        <w:tblLook w:val="01E0" w:firstRow="1" w:lastRow="1" w:firstColumn="1" w:lastColumn="1" w:noHBand="0" w:noVBand="0"/>
      </w:tblPr>
      <w:tblGrid>
        <w:gridCol w:w="2420"/>
        <w:gridCol w:w="2200"/>
        <w:gridCol w:w="2310"/>
        <w:gridCol w:w="2568"/>
      </w:tblGrid>
      <w:tr w:rsidR="00F52522" w:rsidRPr="000059C7" w:rsidTr="00F52522">
        <w:trPr>
          <w:trHeight w:val="314"/>
        </w:trPr>
        <w:tc>
          <w:tcPr>
            <w:tcW w:w="2420" w:type="dxa"/>
            <w:tcBorders>
              <w:top w:val="single" w:sz="4" w:space="0" w:color="auto"/>
              <w:left w:val="single" w:sz="4" w:space="0" w:color="auto"/>
              <w:bottom w:val="single" w:sz="4" w:space="0" w:color="auto"/>
            </w:tcBorders>
            <w:shd w:val="clear" w:color="auto" w:fill="C6D9F1" w:themeFill="text2" w:themeFillTint="33"/>
            <w:tcMar>
              <w:top w:w="113" w:type="dxa"/>
              <w:bottom w:w="113" w:type="dxa"/>
            </w:tcMar>
            <w:vAlign w:val="center"/>
          </w:tcPr>
          <w:p w:rsidR="00F52522" w:rsidRPr="000059C7" w:rsidRDefault="00F52522" w:rsidP="008A4774">
            <w:pPr>
              <w:autoSpaceDE w:val="0"/>
              <w:autoSpaceDN w:val="0"/>
              <w:adjustRightInd w:val="0"/>
              <w:ind w:right="-59"/>
              <w:jc w:val="center"/>
              <w:rPr>
                <w:rFonts w:cs="Arial"/>
                <w:b/>
                <w:bCs/>
                <w:iCs/>
                <w:sz w:val="18"/>
                <w:szCs w:val="18"/>
              </w:rPr>
            </w:pPr>
            <w:r w:rsidRPr="000059C7">
              <w:rPr>
                <w:rFonts w:cs="Arial"/>
                <w:b/>
                <w:bCs/>
                <w:iCs/>
                <w:sz w:val="18"/>
                <w:szCs w:val="18"/>
              </w:rPr>
              <w:t>Risk(s) to the Program achieving its Results</w:t>
            </w:r>
          </w:p>
        </w:tc>
        <w:tc>
          <w:tcPr>
            <w:tcW w:w="2200" w:type="dxa"/>
            <w:tcBorders>
              <w:top w:val="single" w:sz="4" w:space="0" w:color="auto"/>
              <w:bottom w:val="single" w:sz="4" w:space="0" w:color="auto"/>
            </w:tcBorders>
            <w:shd w:val="clear" w:color="auto" w:fill="C6D9F1" w:themeFill="text2" w:themeFillTint="33"/>
            <w:tcMar>
              <w:top w:w="113" w:type="dxa"/>
              <w:bottom w:w="113" w:type="dxa"/>
            </w:tcMar>
            <w:vAlign w:val="center"/>
          </w:tcPr>
          <w:p w:rsidR="00F52522" w:rsidRPr="000059C7" w:rsidRDefault="00F52522" w:rsidP="008A4774">
            <w:pPr>
              <w:autoSpaceDE w:val="0"/>
              <w:autoSpaceDN w:val="0"/>
              <w:adjustRightInd w:val="0"/>
              <w:ind w:right="-59"/>
              <w:jc w:val="center"/>
              <w:rPr>
                <w:rFonts w:cs="Arial"/>
                <w:b/>
                <w:bCs/>
                <w:iCs/>
                <w:sz w:val="18"/>
                <w:szCs w:val="18"/>
              </w:rPr>
            </w:pPr>
            <w:r w:rsidRPr="000059C7">
              <w:rPr>
                <w:rFonts w:cs="Arial"/>
                <w:b/>
                <w:bCs/>
                <w:iCs/>
                <w:sz w:val="18"/>
                <w:szCs w:val="18"/>
              </w:rPr>
              <w:t xml:space="preserve">Mitigation plans in place or under implementation </w:t>
            </w:r>
          </w:p>
        </w:tc>
        <w:tc>
          <w:tcPr>
            <w:tcW w:w="2310" w:type="dxa"/>
            <w:tcBorders>
              <w:top w:val="single" w:sz="4" w:space="0" w:color="auto"/>
              <w:bottom w:val="single" w:sz="4" w:space="0" w:color="auto"/>
            </w:tcBorders>
            <w:shd w:val="clear" w:color="auto" w:fill="C6D9F1" w:themeFill="text2" w:themeFillTint="33"/>
          </w:tcPr>
          <w:p w:rsidR="00F52522" w:rsidRPr="000059C7" w:rsidRDefault="00F52522" w:rsidP="008A4774">
            <w:pPr>
              <w:jc w:val="center"/>
              <w:rPr>
                <w:rFonts w:cs="Arial"/>
                <w:b/>
                <w:bCs/>
                <w:sz w:val="18"/>
                <w:szCs w:val="18"/>
              </w:rPr>
            </w:pPr>
            <w:r w:rsidRPr="000059C7">
              <w:rPr>
                <w:rFonts w:cs="Arial"/>
                <w:b/>
                <w:bCs/>
                <w:sz w:val="18"/>
                <w:szCs w:val="18"/>
              </w:rPr>
              <w:t>Evolution of Risk(s) and Mitigation Strategies Over the Biennium</w:t>
            </w:r>
          </w:p>
        </w:tc>
        <w:tc>
          <w:tcPr>
            <w:tcW w:w="2568" w:type="dxa"/>
            <w:tcBorders>
              <w:top w:val="single" w:sz="4" w:space="0" w:color="auto"/>
              <w:bottom w:val="single" w:sz="4" w:space="0" w:color="auto"/>
              <w:right w:val="single" w:sz="4" w:space="0" w:color="auto"/>
            </w:tcBorders>
            <w:shd w:val="clear" w:color="auto" w:fill="C6D9F1" w:themeFill="text2" w:themeFillTint="33"/>
          </w:tcPr>
          <w:p w:rsidR="00F52522" w:rsidRPr="000059C7" w:rsidRDefault="00F52522" w:rsidP="008A4774">
            <w:pPr>
              <w:jc w:val="center"/>
              <w:rPr>
                <w:rFonts w:cs="Arial"/>
                <w:b/>
                <w:bCs/>
                <w:sz w:val="18"/>
                <w:szCs w:val="18"/>
              </w:rPr>
            </w:pPr>
            <w:r w:rsidRPr="000059C7">
              <w:rPr>
                <w:rFonts w:cs="Arial"/>
                <w:b/>
                <w:bCs/>
                <w:sz w:val="18"/>
                <w:szCs w:val="18"/>
              </w:rPr>
              <w:t>Impact on the Program’s Performance</w:t>
            </w:r>
          </w:p>
        </w:tc>
      </w:tr>
      <w:tr w:rsidR="00F52522" w:rsidRPr="000059C7" w:rsidTr="00F52522">
        <w:trPr>
          <w:trHeight w:val="1219"/>
        </w:trPr>
        <w:tc>
          <w:tcPr>
            <w:tcW w:w="2420" w:type="dxa"/>
            <w:tcBorders>
              <w:top w:val="single" w:sz="4" w:space="0" w:color="auto"/>
              <w:left w:val="single" w:sz="4" w:space="0" w:color="auto"/>
              <w:bottom w:val="single" w:sz="4" w:space="0" w:color="auto"/>
            </w:tcBorders>
            <w:shd w:val="clear" w:color="auto" w:fill="auto"/>
            <w:tcMar>
              <w:top w:w="113" w:type="dxa"/>
              <w:bottom w:w="113" w:type="dxa"/>
            </w:tcMar>
          </w:tcPr>
          <w:p w:rsidR="00F52522" w:rsidRPr="000059C7" w:rsidRDefault="00F52522" w:rsidP="008A4774">
            <w:pPr>
              <w:rPr>
                <w:rFonts w:cs="Arial"/>
                <w:sz w:val="16"/>
                <w:szCs w:val="16"/>
              </w:rPr>
            </w:pPr>
            <w:r w:rsidRPr="000059C7">
              <w:rPr>
                <w:rFonts w:cs="Arial"/>
                <w:sz w:val="16"/>
                <w:szCs w:val="16"/>
              </w:rPr>
              <w:t>Agreements at the multilateral level remain challenging and the successful conclusion of normative activities under Program</w:t>
            </w:r>
            <w:r>
              <w:rPr>
                <w:rFonts w:cs="Arial"/>
                <w:sz w:val="16"/>
                <w:szCs w:val="16"/>
              </w:rPr>
              <w:t xml:space="preserve"> </w:t>
            </w:r>
            <w:r w:rsidRPr="000059C7">
              <w:rPr>
                <w:rFonts w:cs="Arial"/>
                <w:sz w:val="16"/>
                <w:szCs w:val="16"/>
              </w:rPr>
              <w:t xml:space="preserve">2 will depend to a large degree on Member States’ commitment to define mutually agreed outcomes.  </w:t>
            </w:r>
          </w:p>
        </w:tc>
        <w:tc>
          <w:tcPr>
            <w:tcW w:w="2200" w:type="dxa"/>
            <w:tcBorders>
              <w:top w:val="single" w:sz="4" w:space="0" w:color="auto"/>
              <w:bottom w:val="single" w:sz="4" w:space="0" w:color="auto"/>
            </w:tcBorders>
            <w:shd w:val="clear" w:color="auto" w:fill="auto"/>
            <w:tcMar>
              <w:top w:w="113" w:type="dxa"/>
              <w:bottom w:w="113" w:type="dxa"/>
            </w:tcMar>
          </w:tcPr>
          <w:p w:rsidR="00F52522" w:rsidRPr="000059C7" w:rsidRDefault="00F52522" w:rsidP="008A4774">
            <w:pPr>
              <w:autoSpaceDE w:val="0"/>
              <w:autoSpaceDN w:val="0"/>
              <w:adjustRightInd w:val="0"/>
              <w:ind w:right="-59"/>
              <w:rPr>
                <w:rFonts w:cs="Arial"/>
                <w:sz w:val="16"/>
                <w:szCs w:val="16"/>
              </w:rPr>
            </w:pPr>
            <w:r w:rsidRPr="000059C7">
              <w:rPr>
                <w:rFonts w:cs="Arial"/>
                <w:sz w:val="16"/>
                <w:szCs w:val="16"/>
              </w:rPr>
              <w:t>This is an inherent risk of every norm developing activity which, by its nature, will have to be retained by the Program.  Nevertheless, specific program activities, in particular sessions of the SCT, will allow ongoing dialogue and exchange of views with a view to identifying areas of common understanding and potential agreed outcomes.</w:t>
            </w:r>
          </w:p>
        </w:tc>
        <w:tc>
          <w:tcPr>
            <w:tcW w:w="2310" w:type="dxa"/>
            <w:tcBorders>
              <w:top w:val="single" w:sz="4" w:space="0" w:color="auto"/>
              <w:bottom w:val="single" w:sz="4" w:space="0" w:color="auto"/>
            </w:tcBorders>
          </w:tcPr>
          <w:p w:rsidR="00F52522" w:rsidRPr="000059C7" w:rsidRDefault="00F52522" w:rsidP="008A4774">
            <w:pPr>
              <w:autoSpaceDE w:val="0"/>
              <w:autoSpaceDN w:val="0"/>
              <w:adjustRightInd w:val="0"/>
              <w:ind w:right="-59"/>
              <w:rPr>
                <w:rFonts w:cs="Arial"/>
                <w:sz w:val="16"/>
                <w:szCs w:val="16"/>
              </w:rPr>
            </w:pPr>
            <w:r>
              <w:rPr>
                <w:rFonts w:cs="Arial"/>
                <w:sz w:val="16"/>
                <w:szCs w:val="16"/>
              </w:rPr>
              <w:t>The overall risk for the Program as described has not changed materially during the period under consideration and must be considered a constant.  The same applies to the mitigation plans in place, which will continue to be relevant for the 2016/17 biennium.</w:t>
            </w:r>
          </w:p>
        </w:tc>
        <w:tc>
          <w:tcPr>
            <w:tcW w:w="2568" w:type="dxa"/>
            <w:tcBorders>
              <w:top w:val="single" w:sz="4" w:space="0" w:color="auto"/>
              <w:bottom w:val="single" w:sz="4" w:space="0" w:color="auto"/>
              <w:right w:val="single" w:sz="4" w:space="0" w:color="auto"/>
            </w:tcBorders>
          </w:tcPr>
          <w:p w:rsidR="00F52522" w:rsidRPr="000059C7" w:rsidRDefault="00F52522" w:rsidP="008A4774">
            <w:pPr>
              <w:autoSpaceDE w:val="0"/>
              <w:autoSpaceDN w:val="0"/>
              <w:adjustRightInd w:val="0"/>
              <w:ind w:right="-59"/>
              <w:rPr>
                <w:rFonts w:cs="Arial"/>
                <w:sz w:val="16"/>
                <w:szCs w:val="16"/>
              </w:rPr>
            </w:pPr>
            <w:r>
              <w:rPr>
                <w:rFonts w:cs="Arial"/>
                <w:sz w:val="16"/>
                <w:szCs w:val="16"/>
              </w:rPr>
              <w:t xml:space="preserve">The risks that are inherent to the normative activities in this Program are constantly mitigated through the dialogue and exchange of views facilitated through the sessions of the SCT and the WIPO General Assembly.  Thus, while the main target (i.e. the conclusion of a Design Law Treaty) for the normative activity under Program 2 was not </w:t>
            </w:r>
            <w:proofErr w:type="gramStart"/>
            <w:r>
              <w:rPr>
                <w:rFonts w:cs="Arial"/>
                <w:sz w:val="16"/>
                <w:szCs w:val="16"/>
              </w:rPr>
              <w:t>reached,</w:t>
            </w:r>
            <w:proofErr w:type="gramEnd"/>
            <w:r>
              <w:rPr>
                <w:rFonts w:cs="Arial"/>
                <w:sz w:val="16"/>
                <w:szCs w:val="16"/>
              </w:rPr>
              <w:t xml:space="preserve"> important progress was made, in particular at the forty-seventh session of the WIPO General Assembly. </w:t>
            </w:r>
          </w:p>
        </w:tc>
      </w:tr>
    </w:tbl>
    <w:p w:rsidR="00F52522" w:rsidRPr="00E41E2D" w:rsidRDefault="00F52522" w:rsidP="008A4774">
      <w:pPr>
        <w:keepNext/>
        <w:keepLines/>
        <w:rPr>
          <w:b/>
          <w:sz w:val="16"/>
          <w:szCs w:val="18"/>
        </w:rPr>
      </w:pPr>
      <w:r w:rsidRPr="00E41E2D">
        <w:rPr>
          <w:rFonts w:cs="Arial"/>
          <w:color w:val="000000"/>
          <w:szCs w:val="22"/>
        </w:rPr>
        <w:lastRenderedPageBreak/>
        <w:t>RESOURCE UTILIZATION</w:t>
      </w:r>
      <w:r w:rsidRPr="00E41E2D">
        <w:rPr>
          <w:rFonts w:cs="Arial"/>
          <w:color w:val="000000"/>
          <w:szCs w:val="22"/>
        </w:rPr>
        <w:tab/>
      </w:r>
    </w:p>
    <w:p w:rsidR="00F52522" w:rsidRPr="00E41E2D" w:rsidRDefault="00F52522" w:rsidP="008A4774">
      <w:pPr>
        <w:keepNext/>
        <w:keepLines/>
        <w:rPr>
          <w:sz w:val="18"/>
          <w:szCs w:val="20"/>
        </w:rPr>
      </w:pPr>
    </w:p>
    <w:p w:rsidR="00F52522" w:rsidRPr="00383D2D" w:rsidRDefault="00F52522" w:rsidP="008A4774">
      <w:pPr>
        <w:pStyle w:val="NormalWeb"/>
        <w:keepNext/>
        <w:keepLines/>
        <w:spacing w:before="0" w:beforeAutospacing="0" w:after="0" w:afterAutospacing="0"/>
        <w:jc w:val="center"/>
        <w:rPr>
          <w:sz w:val="20"/>
          <w:szCs w:val="20"/>
        </w:rPr>
      </w:pPr>
      <w:r w:rsidRPr="00383D2D">
        <w:rPr>
          <w:color w:val="000000"/>
          <w:sz w:val="20"/>
          <w:szCs w:val="20"/>
        </w:rPr>
        <w:t xml:space="preserve">Budget and Actual Expenditure (by result) </w:t>
      </w:r>
    </w:p>
    <w:p w:rsidR="00F52522" w:rsidRDefault="00F52522" w:rsidP="008A4774">
      <w:pPr>
        <w:pStyle w:val="NormalWeb"/>
        <w:keepNext/>
        <w:keepLines/>
        <w:spacing w:before="0" w:beforeAutospacing="0" w:after="0" w:afterAutospacing="0"/>
        <w:jc w:val="center"/>
        <w:rPr>
          <w:i/>
          <w:iCs/>
          <w:color w:val="000000"/>
          <w:sz w:val="20"/>
          <w:szCs w:val="20"/>
        </w:rPr>
      </w:pPr>
      <w:r w:rsidRPr="00383D2D">
        <w:rPr>
          <w:i/>
          <w:iCs/>
          <w:color w:val="000000"/>
          <w:sz w:val="20"/>
          <w:szCs w:val="20"/>
        </w:rPr>
        <w:t>(</w:t>
      </w:r>
      <w:proofErr w:type="gramStart"/>
      <w:r w:rsidRPr="00383D2D">
        <w:rPr>
          <w:i/>
          <w:iCs/>
          <w:color w:val="000000"/>
          <w:sz w:val="20"/>
          <w:szCs w:val="20"/>
        </w:rPr>
        <w:t>in</w:t>
      </w:r>
      <w:proofErr w:type="gramEnd"/>
      <w:r w:rsidRPr="00383D2D">
        <w:rPr>
          <w:i/>
          <w:iCs/>
          <w:color w:val="000000"/>
          <w:sz w:val="20"/>
          <w:szCs w:val="20"/>
        </w:rPr>
        <w:t xml:space="preserve"> thousands of Swiss francs)</w:t>
      </w:r>
    </w:p>
    <w:p w:rsidR="00F52522" w:rsidRPr="00CE5351" w:rsidRDefault="00F52522" w:rsidP="008A4774">
      <w:pPr>
        <w:pStyle w:val="NormalWeb"/>
        <w:keepNext/>
        <w:keepLines/>
        <w:spacing w:before="0" w:beforeAutospacing="0" w:after="0" w:afterAutospacing="0"/>
        <w:jc w:val="center"/>
        <w:rPr>
          <w:i/>
          <w:iCs/>
          <w:color w:val="000000"/>
          <w:sz w:val="16"/>
          <w:szCs w:val="20"/>
        </w:rPr>
      </w:pPr>
    </w:p>
    <w:p w:rsidR="00F52522" w:rsidRDefault="00F52522" w:rsidP="008A4774">
      <w:pPr>
        <w:jc w:val="center"/>
      </w:pPr>
      <w:r w:rsidRPr="00200B39">
        <w:rPr>
          <w:noProof/>
        </w:rPr>
        <w:drawing>
          <wp:inline distT="0" distB="0" distL="0" distR="0" wp14:anchorId="00C3D002" wp14:editId="730F8928">
            <wp:extent cx="4925051" cy="2231409"/>
            <wp:effectExtent l="0" t="0" r="952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923943" cy="2230907"/>
                    </a:xfrm>
                    <a:prstGeom prst="rect">
                      <a:avLst/>
                    </a:prstGeom>
                    <a:noFill/>
                    <a:ln>
                      <a:noFill/>
                    </a:ln>
                  </pic:spPr>
                </pic:pic>
              </a:graphicData>
            </a:graphic>
          </wp:inline>
        </w:drawing>
      </w:r>
    </w:p>
    <w:p w:rsidR="00F52522" w:rsidRDefault="00F52522" w:rsidP="008A4774"/>
    <w:p w:rsidR="00E525EE" w:rsidRDefault="00E525EE" w:rsidP="008A4774"/>
    <w:p w:rsidR="00F52522" w:rsidRPr="00383D2D" w:rsidRDefault="00F52522" w:rsidP="008A4774">
      <w:pPr>
        <w:pStyle w:val="NormalWeb"/>
        <w:keepNext/>
        <w:keepLines/>
        <w:spacing w:before="0" w:beforeAutospacing="0" w:after="0" w:afterAutospacing="0"/>
        <w:jc w:val="center"/>
        <w:rPr>
          <w:sz w:val="20"/>
          <w:szCs w:val="20"/>
        </w:rPr>
      </w:pPr>
      <w:r w:rsidRPr="00383D2D">
        <w:rPr>
          <w:color w:val="000000"/>
          <w:sz w:val="20"/>
          <w:szCs w:val="20"/>
        </w:rPr>
        <w:t xml:space="preserve">Budget and Actual Expenditure (personnel and non-personnel) </w:t>
      </w:r>
    </w:p>
    <w:p w:rsidR="00F52522" w:rsidRDefault="00F52522" w:rsidP="008A4774">
      <w:pPr>
        <w:pStyle w:val="NormalWeb"/>
        <w:keepNext/>
        <w:keepLines/>
        <w:spacing w:before="0" w:beforeAutospacing="0" w:after="0" w:afterAutospacing="0"/>
        <w:jc w:val="center"/>
        <w:rPr>
          <w:i/>
          <w:iCs/>
          <w:color w:val="000000"/>
          <w:sz w:val="20"/>
          <w:szCs w:val="20"/>
        </w:rPr>
      </w:pPr>
      <w:r w:rsidRPr="00383D2D">
        <w:rPr>
          <w:i/>
          <w:iCs/>
          <w:color w:val="000000"/>
          <w:sz w:val="20"/>
          <w:szCs w:val="20"/>
        </w:rPr>
        <w:t>(</w:t>
      </w:r>
      <w:proofErr w:type="gramStart"/>
      <w:r w:rsidRPr="00383D2D">
        <w:rPr>
          <w:i/>
          <w:iCs/>
          <w:color w:val="000000"/>
          <w:sz w:val="20"/>
          <w:szCs w:val="20"/>
        </w:rPr>
        <w:t>in</w:t>
      </w:r>
      <w:proofErr w:type="gramEnd"/>
      <w:r w:rsidRPr="00383D2D">
        <w:rPr>
          <w:i/>
          <w:iCs/>
          <w:color w:val="000000"/>
          <w:sz w:val="20"/>
          <w:szCs w:val="20"/>
        </w:rPr>
        <w:t xml:space="preserve"> thousands of Swiss francs)</w:t>
      </w:r>
    </w:p>
    <w:p w:rsidR="00F52522" w:rsidRPr="00CE5351" w:rsidRDefault="00F52522" w:rsidP="008A4774">
      <w:pPr>
        <w:pStyle w:val="NormalWeb"/>
        <w:keepNext/>
        <w:keepLines/>
        <w:spacing w:before="0" w:beforeAutospacing="0" w:after="0" w:afterAutospacing="0"/>
        <w:jc w:val="center"/>
        <w:rPr>
          <w:i/>
          <w:iCs/>
          <w:color w:val="000000"/>
          <w:sz w:val="16"/>
          <w:szCs w:val="20"/>
        </w:rPr>
      </w:pPr>
    </w:p>
    <w:p w:rsidR="00F52522" w:rsidRDefault="00F52522" w:rsidP="008A4774">
      <w:pPr>
        <w:jc w:val="center"/>
        <w:rPr>
          <w:i/>
          <w:sz w:val="16"/>
          <w:szCs w:val="16"/>
        </w:rPr>
      </w:pPr>
      <w:r w:rsidRPr="00C03BEF">
        <w:rPr>
          <w:noProof/>
        </w:rPr>
        <w:drawing>
          <wp:inline distT="0" distB="0" distL="0" distR="0" wp14:anchorId="360DB8B9" wp14:editId="47745385">
            <wp:extent cx="5103178" cy="941696"/>
            <wp:effectExtent l="0" t="0" r="254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119169" cy="944647"/>
                    </a:xfrm>
                    <a:prstGeom prst="rect">
                      <a:avLst/>
                    </a:prstGeom>
                    <a:noFill/>
                    <a:ln>
                      <a:noFill/>
                    </a:ln>
                  </pic:spPr>
                </pic:pic>
              </a:graphicData>
            </a:graphic>
          </wp:inline>
        </w:drawing>
      </w:r>
    </w:p>
    <w:p w:rsidR="00F52522" w:rsidRDefault="00F52522" w:rsidP="008A4774">
      <w:pPr>
        <w:rPr>
          <w:sz w:val="16"/>
          <w:szCs w:val="20"/>
        </w:rPr>
      </w:pPr>
    </w:p>
    <w:p w:rsidR="00F52522" w:rsidRPr="0004128C" w:rsidRDefault="00F52522" w:rsidP="008A4774">
      <w:pPr>
        <w:rPr>
          <w:sz w:val="16"/>
          <w:szCs w:val="20"/>
        </w:rPr>
      </w:pPr>
    </w:p>
    <w:p w:rsidR="00F52522" w:rsidRDefault="00F52522" w:rsidP="008A4774">
      <w:pPr>
        <w:rPr>
          <w:rFonts w:cs="Arial"/>
          <w:u w:val="single"/>
        </w:rPr>
      </w:pPr>
      <w:r w:rsidRPr="00420F90">
        <w:rPr>
          <w:rFonts w:cs="Arial"/>
          <w:szCs w:val="20"/>
        </w:rPr>
        <w:t>A.</w:t>
      </w:r>
      <w:r w:rsidRPr="00420F90">
        <w:rPr>
          <w:rFonts w:cs="Arial"/>
        </w:rPr>
        <w:tab/>
      </w:r>
      <w:r w:rsidRPr="00420F90">
        <w:rPr>
          <w:rFonts w:cs="Arial"/>
          <w:u w:val="single"/>
        </w:rPr>
        <w:t>201</w:t>
      </w:r>
      <w:r>
        <w:rPr>
          <w:rFonts w:cs="Arial"/>
          <w:u w:val="single"/>
        </w:rPr>
        <w:t>4/15 Final Budget after Transfers</w:t>
      </w:r>
    </w:p>
    <w:p w:rsidR="00F52522" w:rsidRDefault="00F52522" w:rsidP="008A4774">
      <w:pPr>
        <w:autoSpaceDE w:val="0"/>
        <w:autoSpaceDN w:val="0"/>
        <w:jc w:val="both"/>
        <w:rPr>
          <w:rFonts w:cs="Arial"/>
          <w:szCs w:val="20"/>
          <w:lang w:eastAsia="ko-KR"/>
        </w:rPr>
      </w:pPr>
    </w:p>
    <w:p w:rsidR="00F52522" w:rsidRDefault="00F52522" w:rsidP="00F6573D">
      <w:pPr>
        <w:pStyle w:val="ListParagraph"/>
        <w:tabs>
          <w:tab w:val="left" w:pos="709"/>
        </w:tabs>
        <w:autoSpaceDE w:val="0"/>
        <w:autoSpaceDN w:val="0"/>
        <w:ind w:left="0"/>
        <w:jc w:val="both"/>
        <w:rPr>
          <w:rFonts w:eastAsia="Batang"/>
          <w:lang w:eastAsia="ko-KR"/>
        </w:rPr>
      </w:pPr>
      <w:r>
        <w:rPr>
          <w:rFonts w:cs="Arial"/>
          <w:lang w:eastAsia="ko-KR"/>
        </w:rPr>
        <w:t>2.7</w:t>
      </w:r>
      <w:r>
        <w:rPr>
          <w:rFonts w:cs="Arial"/>
          <w:lang w:eastAsia="ko-KR"/>
        </w:rPr>
        <w:tab/>
      </w:r>
      <w:r w:rsidRPr="00B072A8">
        <w:rPr>
          <w:rFonts w:cs="Arial"/>
          <w:lang w:eastAsia="ko-KR"/>
        </w:rPr>
        <w:t xml:space="preserve">The </w:t>
      </w:r>
      <w:r>
        <w:rPr>
          <w:rFonts w:cs="Arial"/>
          <w:lang w:eastAsia="ko-KR"/>
        </w:rPr>
        <w:t xml:space="preserve">2014/15 Final </w:t>
      </w:r>
      <w:r w:rsidRPr="00B072A8">
        <w:rPr>
          <w:rFonts w:cs="Arial"/>
          <w:lang w:eastAsia="ko-KR"/>
        </w:rPr>
        <w:t>Budget after Transfer</w:t>
      </w:r>
      <w:r>
        <w:rPr>
          <w:rFonts w:cs="Arial"/>
          <w:lang w:eastAsia="ko-KR"/>
        </w:rPr>
        <w:t>s</w:t>
      </w:r>
      <w:r w:rsidRPr="00B072A8">
        <w:rPr>
          <w:rFonts w:cs="Arial"/>
          <w:lang w:eastAsia="ko-KR"/>
        </w:rPr>
        <w:t xml:space="preserve"> reflects a downward adjustment </w:t>
      </w:r>
      <w:r w:rsidRPr="00B072A8">
        <w:rPr>
          <w:rFonts w:eastAsia="Batang"/>
          <w:lang w:eastAsia="ko-KR"/>
        </w:rPr>
        <w:t xml:space="preserve">under Result I.1 (Development of balanced international normative frameworks for IP) </w:t>
      </w:r>
      <w:r w:rsidRPr="00775DAD">
        <w:rPr>
          <w:rFonts w:cs="Arial"/>
          <w:lang w:eastAsia="ko-KR"/>
        </w:rPr>
        <w:t xml:space="preserve">due to </w:t>
      </w:r>
      <w:r w:rsidRPr="00775DAD">
        <w:rPr>
          <w:rFonts w:eastAsia="Batang"/>
          <w:lang w:eastAsia="ko-KR"/>
        </w:rPr>
        <w:t xml:space="preserve">the </w:t>
      </w:r>
      <w:r>
        <w:rPr>
          <w:rFonts w:eastAsia="Batang"/>
          <w:lang w:eastAsia="ko-KR"/>
        </w:rPr>
        <w:t xml:space="preserve">transfer out of the Program </w:t>
      </w:r>
      <w:r w:rsidRPr="00775DAD">
        <w:rPr>
          <w:rFonts w:eastAsia="Batang"/>
          <w:lang w:eastAsia="ko-KR"/>
        </w:rPr>
        <w:t xml:space="preserve">of </w:t>
      </w:r>
      <w:r>
        <w:rPr>
          <w:rFonts w:eastAsia="Batang"/>
          <w:lang w:eastAsia="ko-KR"/>
        </w:rPr>
        <w:t xml:space="preserve">non-personnel </w:t>
      </w:r>
      <w:r w:rsidRPr="00775DAD">
        <w:rPr>
          <w:rFonts w:eastAsia="Batang"/>
          <w:lang w:eastAsia="ko-KR"/>
        </w:rPr>
        <w:t xml:space="preserve">resources initially budgeted for </w:t>
      </w:r>
      <w:r>
        <w:rPr>
          <w:rFonts w:eastAsia="Batang"/>
          <w:lang w:eastAsia="ko-KR"/>
        </w:rPr>
        <w:t>a</w:t>
      </w:r>
      <w:r w:rsidRPr="00775DAD">
        <w:rPr>
          <w:rFonts w:eastAsia="Batang"/>
          <w:lang w:eastAsia="ko-KR"/>
        </w:rPr>
        <w:t xml:space="preserve"> possible Diplomatic Conference</w:t>
      </w:r>
      <w:r>
        <w:rPr>
          <w:rFonts w:eastAsia="Batang"/>
          <w:lang w:eastAsia="ko-KR"/>
        </w:rPr>
        <w:t>.</w:t>
      </w:r>
    </w:p>
    <w:p w:rsidR="00F52522" w:rsidRDefault="00F52522" w:rsidP="00F6573D">
      <w:pPr>
        <w:pStyle w:val="ListParagraph"/>
        <w:tabs>
          <w:tab w:val="left" w:pos="709"/>
        </w:tabs>
        <w:autoSpaceDE w:val="0"/>
        <w:autoSpaceDN w:val="0"/>
        <w:ind w:left="0"/>
        <w:jc w:val="both"/>
        <w:rPr>
          <w:rFonts w:eastAsia="Batang"/>
          <w:lang w:eastAsia="ko-KR"/>
        </w:rPr>
      </w:pPr>
    </w:p>
    <w:p w:rsidR="00F52522" w:rsidRDefault="00F52522" w:rsidP="00F6573D">
      <w:pPr>
        <w:pStyle w:val="ListParagraph"/>
        <w:tabs>
          <w:tab w:val="left" w:pos="709"/>
        </w:tabs>
        <w:autoSpaceDE w:val="0"/>
        <w:autoSpaceDN w:val="0"/>
        <w:ind w:left="0"/>
        <w:jc w:val="both"/>
        <w:rPr>
          <w:rFonts w:eastAsia="Batang"/>
          <w:lang w:eastAsia="ko-KR"/>
        </w:rPr>
      </w:pPr>
      <w:r>
        <w:rPr>
          <w:rFonts w:eastAsia="Batang"/>
          <w:lang w:eastAsia="ko-KR"/>
        </w:rPr>
        <w:t>2.8</w:t>
      </w:r>
      <w:r>
        <w:rPr>
          <w:rFonts w:eastAsia="Batang"/>
          <w:lang w:eastAsia="ko-KR"/>
        </w:rPr>
        <w:tab/>
        <w:t xml:space="preserve">The slight increase in personnel resources </w:t>
      </w:r>
      <w:r>
        <w:rPr>
          <w:sz w:val="18"/>
        </w:rPr>
        <w:t xml:space="preserve">in the 2014/15 Final Budget after Transfers </w:t>
      </w:r>
      <w:r>
        <w:rPr>
          <w:rFonts w:eastAsia="Batang"/>
          <w:lang w:eastAsia="ko-KR"/>
        </w:rPr>
        <w:t>is due to the reclassification upwards of one post.</w:t>
      </w:r>
    </w:p>
    <w:p w:rsidR="00F52522" w:rsidRDefault="00F52522" w:rsidP="00F6573D">
      <w:pPr>
        <w:pStyle w:val="ListParagraph"/>
        <w:tabs>
          <w:tab w:val="left" w:pos="709"/>
        </w:tabs>
        <w:autoSpaceDE w:val="0"/>
        <w:autoSpaceDN w:val="0"/>
        <w:ind w:left="0"/>
        <w:jc w:val="both"/>
        <w:rPr>
          <w:rFonts w:eastAsia="Batang"/>
          <w:lang w:eastAsia="ko-KR"/>
        </w:rPr>
      </w:pPr>
    </w:p>
    <w:p w:rsidR="00F52522" w:rsidRDefault="00F52522" w:rsidP="00F6573D">
      <w:pPr>
        <w:pStyle w:val="ListParagraph"/>
        <w:tabs>
          <w:tab w:val="left" w:pos="709"/>
        </w:tabs>
        <w:ind w:left="0"/>
        <w:jc w:val="both"/>
        <w:rPr>
          <w:rFonts w:cs="Arial"/>
          <w:lang w:eastAsia="ko-KR"/>
        </w:rPr>
      </w:pPr>
      <w:r>
        <w:rPr>
          <w:rFonts w:cs="Arial"/>
          <w:lang w:eastAsia="ko-KR"/>
        </w:rPr>
        <w:t>2.9</w:t>
      </w:r>
      <w:r>
        <w:rPr>
          <w:rFonts w:cs="Arial"/>
          <w:lang w:eastAsia="ko-KR"/>
        </w:rPr>
        <w:tab/>
        <w:t>The adjustments across Results in the Budget after Transfers 2014/15, particularly between Results </w:t>
      </w:r>
      <w:r>
        <w:t>I.2 (L</w:t>
      </w:r>
      <w:r w:rsidRPr="00E106DA">
        <w:t>egislative</w:t>
      </w:r>
      <w:r>
        <w:t xml:space="preserve"> advice)</w:t>
      </w:r>
      <w:r>
        <w:rPr>
          <w:rFonts w:cs="Arial"/>
          <w:lang w:eastAsia="ko-KR"/>
        </w:rPr>
        <w:t xml:space="preserve"> I.3 (Increased protection of State Emblems) reflects the new and more accurate methodology for allocation of personnel resources resulting from enhancements made to the EPM planning system for the 2014 and 2015 annual work planning exercises. </w:t>
      </w:r>
    </w:p>
    <w:p w:rsidR="00F52522" w:rsidRDefault="00F52522" w:rsidP="008A4774">
      <w:pPr>
        <w:autoSpaceDE w:val="0"/>
        <w:autoSpaceDN w:val="0"/>
        <w:jc w:val="both"/>
        <w:rPr>
          <w:rFonts w:cs="Arial"/>
          <w:szCs w:val="20"/>
          <w:lang w:eastAsia="ko-KR"/>
        </w:rPr>
      </w:pPr>
    </w:p>
    <w:p w:rsidR="00F52522" w:rsidRDefault="00F52522" w:rsidP="008A4774">
      <w:pPr>
        <w:keepNext/>
        <w:keepLines/>
        <w:jc w:val="both"/>
        <w:rPr>
          <w:rFonts w:cs="Arial"/>
          <w:szCs w:val="20"/>
          <w:u w:val="single"/>
          <w:lang w:eastAsia="ko-KR"/>
        </w:rPr>
      </w:pPr>
      <w:r>
        <w:rPr>
          <w:rFonts w:cs="Arial"/>
          <w:szCs w:val="20"/>
          <w:lang w:eastAsia="ko-KR"/>
        </w:rPr>
        <w:t>B.</w:t>
      </w:r>
      <w:r>
        <w:rPr>
          <w:rFonts w:cs="Arial"/>
          <w:szCs w:val="20"/>
          <w:lang w:eastAsia="ko-KR"/>
        </w:rPr>
        <w:tab/>
      </w:r>
      <w:r w:rsidRPr="00420F90">
        <w:rPr>
          <w:rFonts w:cs="Arial"/>
          <w:u w:val="single"/>
        </w:rPr>
        <w:t>201</w:t>
      </w:r>
      <w:r>
        <w:rPr>
          <w:rFonts w:cs="Arial"/>
          <w:u w:val="single"/>
        </w:rPr>
        <w:t xml:space="preserve">4/15 </w:t>
      </w:r>
      <w:r>
        <w:rPr>
          <w:rFonts w:cs="Arial"/>
          <w:szCs w:val="20"/>
          <w:u w:val="single"/>
          <w:lang w:eastAsia="ko-KR"/>
        </w:rPr>
        <w:t>Budget Utilization</w:t>
      </w:r>
    </w:p>
    <w:p w:rsidR="00F52522" w:rsidRDefault="00F52522" w:rsidP="008A4774">
      <w:pPr>
        <w:keepNext/>
        <w:keepLines/>
        <w:tabs>
          <w:tab w:val="left" w:pos="709"/>
        </w:tabs>
        <w:jc w:val="both"/>
        <w:rPr>
          <w:rFonts w:cs="Arial"/>
          <w:szCs w:val="20"/>
          <w:u w:val="single"/>
          <w:lang w:eastAsia="ko-KR"/>
        </w:rPr>
      </w:pPr>
    </w:p>
    <w:p w:rsidR="00F52522" w:rsidRDefault="00F52522" w:rsidP="00F6573D">
      <w:pPr>
        <w:pStyle w:val="ListParagraph"/>
        <w:keepNext/>
        <w:keepLines/>
        <w:tabs>
          <w:tab w:val="left" w:pos="709"/>
        </w:tabs>
        <w:autoSpaceDE w:val="0"/>
        <w:autoSpaceDN w:val="0"/>
        <w:ind w:left="0"/>
        <w:jc w:val="both"/>
        <w:rPr>
          <w:rFonts w:eastAsia="Batang" w:cs="Arial"/>
          <w:lang w:eastAsia="ko-KR"/>
        </w:rPr>
      </w:pPr>
      <w:r>
        <w:rPr>
          <w:rFonts w:eastAsia="Batang" w:cs="Arial"/>
          <w:lang w:eastAsia="ko-KR"/>
        </w:rPr>
        <w:t>2.10</w:t>
      </w:r>
      <w:r>
        <w:rPr>
          <w:rFonts w:eastAsia="Batang" w:cs="Arial"/>
          <w:lang w:eastAsia="ko-KR"/>
        </w:rPr>
        <w:tab/>
      </w:r>
      <w:r w:rsidRPr="00B072A8">
        <w:rPr>
          <w:rFonts w:eastAsia="Batang" w:cs="Arial"/>
          <w:lang w:eastAsia="ko-KR"/>
        </w:rPr>
        <w:t xml:space="preserve">The </w:t>
      </w:r>
      <w:r>
        <w:rPr>
          <w:rFonts w:eastAsia="Batang" w:cs="Arial"/>
          <w:lang w:eastAsia="ko-KR"/>
        </w:rPr>
        <w:t xml:space="preserve">slight </w:t>
      </w:r>
      <w:r w:rsidRPr="00B072A8">
        <w:rPr>
          <w:rFonts w:eastAsia="Batang" w:cs="Arial"/>
          <w:lang w:eastAsia="ko-KR"/>
        </w:rPr>
        <w:t>under</w:t>
      </w:r>
      <w:r w:rsidRPr="00775DAD">
        <w:rPr>
          <w:rFonts w:eastAsia="Batang" w:cs="Arial"/>
          <w:lang w:eastAsia="ko-KR"/>
        </w:rPr>
        <w:t>-utilization of non-personnel resources resulted primarily from</w:t>
      </w:r>
      <w:r>
        <w:rPr>
          <w:rFonts w:eastAsia="Batang" w:cs="Arial"/>
          <w:lang w:eastAsia="ko-KR"/>
        </w:rPr>
        <w:t>:</w:t>
      </w:r>
    </w:p>
    <w:p w:rsidR="00F52522" w:rsidRDefault="00F52522" w:rsidP="008A4774">
      <w:pPr>
        <w:pStyle w:val="ListParagraph"/>
        <w:keepNext/>
        <w:keepLines/>
        <w:tabs>
          <w:tab w:val="left" w:pos="709"/>
        </w:tabs>
        <w:autoSpaceDE w:val="0"/>
        <w:autoSpaceDN w:val="0"/>
        <w:ind w:left="0"/>
        <w:jc w:val="both"/>
        <w:rPr>
          <w:rFonts w:eastAsia="Batang" w:cs="Arial"/>
          <w:lang w:eastAsia="ko-KR"/>
        </w:rPr>
      </w:pPr>
    </w:p>
    <w:p w:rsidR="00F52522" w:rsidRPr="00D92815" w:rsidRDefault="00F52522" w:rsidP="00E16443">
      <w:pPr>
        <w:pStyle w:val="ListParagraph"/>
        <w:keepNext/>
        <w:keepLines/>
        <w:numPr>
          <w:ilvl w:val="0"/>
          <w:numId w:val="6"/>
        </w:numPr>
        <w:spacing w:after="120"/>
        <w:ind w:left="1134" w:hanging="567"/>
        <w:jc w:val="both"/>
      </w:pPr>
      <w:r>
        <w:rPr>
          <w:rFonts w:eastAsia="Batang" w:cs="Arial"/>
          <w:lang w:eastAsia="ko-KR"/>
        </w:rPr>
        <w:t xml:space="preserve">the postponement of the Diplomatic Conference under I.1 </w:t>
      </w:r>
      <w:r w:rsidRPr="00CD17D0">
        <w:rPr>
          <w:rFonts w:eastAsia="Batang" w:cs="Arial"/>
          <w:lang w:eastAsia="ko-KR"/>
        </w:rPr>
        <w:t>(Development of balanced internation</w:t>
      </w:r>
      <w:r>
        <w:rPr>
          <w:rFonts w:eastAsia="Batang" w:cs="Arial"/>
          <w:lang w:eastAsia="ko-KR"/>
        </w:rPr>
        <w:t>al normative frameworks for IP);</w:t>
      </w:r>
    </w:p>
    <w:p w:rsidR="00F52522" w:rsidRDefault="00F52522" w:rsidP="00E16443">
      <w:pPr>
        <w:pStyle w:val="ListParagraph"/>
        <w:numPr>
          <w:ilvl w:val="0"/>
          <w:numId w:val="6"/>
        </w:numPr>
        <w:spacing w:after="120"/>
        <w:ind w:left="1134" w:hanging="567"/>
        <w:jc w:val="both"/>
      </w:pPr>
      <w:r w:rsidRPr="002C501E">
        <w:rPr>
          <w:rFonts w:eastAsia="Batang" w:cs="Arial"/>
          <w:lang w:eastAsia="ko-KR"/>
        </w:rPr>
        <w:t xml:space="preserve">cost savings due to a reduction in </w:t>
      </w:r>
      <w:r>
        <w:rPr>
          <w:rFonts w:eastAsia="Batang" w:cs="Arial"/>
          <w:lang w:eastAsia="ko-KR"/>
        </w:rPr>
        <w:t xml:space="preserve">the number of </w:t>
      </w:r>
      <w:r w:rsidRPr="002C501E">
        <w:rPr>
          <w:rFonts w:eastAsia="Batang" w:cs="Arial"/>
          <w:lang w:eastAsia="ko-KR"/>
        </w:rPr>
        <w:t xml:space="preserve">staff missions under </w:t>
      </w:r>
      <w:r>
        <w:t>Result I.2 (L</w:t>
      </w:r>
      <w:r w:rsidRPr="00E106DA">
        <w:t>egislative</w:t>
      </w:r>
      <w:r>
        <w:t xml:space="preserve"> advice); and</w:t>
      </w:r>
    </w:p>
    <w:p w:rsidR="00F52522" w:rsidRDefault="00F52522" w:rsidP="00E16443">
      <w:pPr>
        <w:pStyle w:val="ListParagraph"/>
        <w:numPr>
          <w:ilvl w:val="0"/>
          <w:numId w:val="6"/>
        </w:numPr>
        <w:ind w:left="1134" w:hanging="567"/>
        <w:jc w:val="both"/>
      </w:pPr>
      <w:proofErr w:type="gramStart"/>
      <w:r>
        <w:t>a</w:t>
      </w:r>
      <w:proofErr w:type="gramEnd"/>
      <w:r>
        <w:t xml:space="preserve"> delay in the recruitment of a project manager for the </w:t>
      </w:r>
      <w:r w:rsidRPr="00CD17D0">
        <w:t>DA Pilot Project on IP and Design Management for Business Development in Developing and Least Developed Countries</w:t>
      </w:r>
      <w:r>
        <w:t>, ultimately resulting in a slight delay in the implementation of the project,</w:t>
      </w:r>
      <w:r w:rsidRPr="00CD17D0">
        <w:t xml:space="preserve"> </w:t>
      </w:r>
      <w:r>
        <w:t>reflected under III.4 (S</w:t>
      </w:r>
      <w:r w:rsidRPr="00CD17D0">
        <w:t>tre</w:t>
      </w:r>
      <w:r>
        <w:t>ngthened cooperation mechanisms and programs tailored to the needs of developing countries and</w:t>
      </w:r>
      <w:r w:rsidRPr="00CD17D0">
        <w:t xml:space="preserve"> LDCs)</w:t>
      </w:r>
      <w:r>
        <w:t>.  The project is expected to be completed in the first half of 2016.</w:t>
      </w:r>
    </w:p>
    <w:p w:rsidR="00F838C5" w:rsidRPr="001243AF" w:rsidRDefault="00F52522" w:rsidP="001363EE">
      <w:pPr>
        <w:pStyle w:val="Heading2"/>
        <w:tabs>
          <w:tab w:val="clear" w:pos="567"/>
          <w:tab w:val="left" w:pos="1985"/>
        </w:tabs>
      </w:pPr>
      <w:r>
        <w:br w:type="page"/>
      </w:r>
      <w:bookmarkStart w:id="56" w:name="_Toc454544464"/>
      <w:r w:rsidR="00F838C5" w:rsidRPr="001243AF">
        <w:lastRenderedPageBreak/>
        <w:t xml:space="preserve">PROGRAM </w:t>
      </w:r>
      <w:r w:rsidR="007854A1">
        <w:t>3</w:t>
      </w:r>
      <w:r w:rsidR="007854A1">
        <w:tab/>
      </w:r>
      <w:r w:rsidR="00F838C5">
        <w:t>COPYRIGHT AND RELATED RIGHTS</w:t>
      </w:r>
      <w:bookmarkEnd w:id="56"/>
    </w:p>
    <w:p w:rsidR="00F838C5" w:rsidRPr="00383D2D" w:rsidRDefault="00F838C5" w:rsidP="000E148D">
      <w:pPr>
        <w:rPr>
          <w:szCs w:val="20"/>
        </w:rPr>
      </w:pPr>
    </w:p>
    <w:p w:rsidR="00F838C5" w:rsidRPr="00757BD0" w:rsidRDefault="00F838C5" w:rsidP="001363EE">
      <w:pPr>
        <w:tabs>
          <w:tab w:val="left" w:pos="1985"/>
        </w:tabs>
        <w:rPr>
          <w:b/>
          <w:szCs w:val="22"/>
        </w:rPr>
      </w:pPr>
      <w:r w:rsidRPr="00757BD0">
        <w:rPr>
          <w:b/>
          <w:szCs w:val="22"/>
        </w:rPr>
        <w:t>Program Manager</w:t>
      </w:r>
      <w:r w:rsidRPr="00757BD0">
        <w:rPr>
          <w:b/>
          <w:szCs w:val="22"/>
        </w:rPr>
        <w:tab/>
        <w:t xml:space="preserve">Ms. </w:t>
      </w:r>
      <w:r>
        <w:rPr>
          <w:b/>
          <w:szCs w:val="22"/>
        </w:rPr>
        <w:t>M</w:t>
      </w:r>
      <w:r w:rsidRPr="00757BD0">
        <w:rPr>
          <w:b/>
          <w:szCs w:val="22"/>
        </w:rPr>
        <w:t xml:space="preserve">. </w:t>
      </w:r>
      <w:r>
        <w:rPr>
          <w:b/>
          <w:szCs w:val="22"/>
        </w:rPr>
        <w:t>Woods</w:t>
      </w:r>
      <w:r w:rsidR="00946D33">
        <w:rPr>
          <w:b/>
          <w:szCs w:val="22"/>
        </w:rPr>
        <w:t xml:space="preserve"> (Officer in Charge)</w:t>
      </w:r>
    </w:p>
    <w:p w:rsidR="00F838C5" w:rsidRPr="008F4A6D" w:rsidRDefault="00F838C5" w:rsidP="000E148D">
      <w:pPr>
        <w:rPr>
          <w:szCs w:val="20"/>
        </w:rPr>
      </w:pPr>
    </w:p>
    <w:p w:rsidR="00F838C5" w:rsidRPr="001C6F4D" w:rsidRDefault="00F838C5" w:rsidP="000E148D">
      <w:pPr>
        <w:rPr>
          <w:szCs w:val="20"/>
        </w:rPr>
      </w:pPr>
    </w:p>
    <w:p w:rsidR="00F838C5" w:rsidRPr="00AF7B5A" w:rsidRDefault="00F838C5" w:rsidP="000E148D">
      <w:pPr>
        <w:rPr>
          <w:bCs/>
          <w:szCs w:val="22"/>
        </w:rPr>
      </w:pPr>
      <w:r w:rsidRPr="00AF7B5A">
        <w:rPr>
          <w:bCs/>
          <w:szCs w:val="22"/>
        </w:rPr>
        <w:t>ACHIEVEMENTS IN THE 2014/15 BIENNIUM</w:t>
      </w:r>
    </w:p>
    <w:p w:rsidR="00F838C5" w:rsidRPr="00FC60BC" w:rsidRDefault="00F838C5" w:rsidP="000E148D">
      <w:pPr>
        <w:rPr>
          <w:szCs w:val="20"/>
        </w:rPr>
      </w:pPr>
    </w:p>
    <w:p w:rsidR="00F838C5" w:rsidRPr="00CF2880" w:rsidRDefault="00F838C5" w:rsidP="00F838C5">
      <w:pPr>
        <w:pStyle w:val="ListParagraph"/>
        <w:numPr>
          <w:ilvl w:val="0"/>
          <w:numId w:val="58"/>
        </w:numPr>
        <w:tabs>
          <w:tab w:val="left" w:pos="0"/>
          <w:tab w:val="left" w:pos="709"/>
        </w:tabs>
        <w:ind w:left="0" w:firstLine="0"/>
        <w:jc w:val="both"/>
        <w:rPr>
          <w:rFonts w:cs="Arial"/>
        </w:rPr>
      </w:pPr>
      <w:r w:rsidRPr="00CF2880">
        <w:rPr>
          <w:rFonts w:eastAsia="SimSun" w:cs="Arial"/>
          <w:bCs/>
          <w:lang w:eastAsia="zh-CN"/>
        </w:rPr>
        <w:t xml:space="preserve">The work of </w:t>
      </w:r>
      <w:r>
        <w:rPr>
          <w:rFonts w:eastAsia="SimSun" w:cs="Arial"/>
          <w:bCs/>
          <w:lang w:eastAsia="zh-CN"/>
        </w:rPr>
        <w:t xml:space="preserve">the </w:t>
      </w:r>
      <w:r w:rsidRPr="00CF2880">
        <w:rPr>
          <w:rFonts w:eastAsia="SimSun" w:cs="Arial"/>
          <w:bCs/>
          <w:lang w:eastAsia="zh-CN"/>
        </w:rPr>
        <w:t>Program</w:t>
      </w:r>
      <w:r w:rsidRPr="00CF2880">
        <w:rPr>
          <w:rFonts w:eastAsia="SimSun" w:cs="Arial"/>
          <w:b/>
          <w:bCs/>
          <w:lang w:eastAsia="zh-CN"/>
        </w:rPr>
        <w:t xml:space="preserve"> </w:t>
      </w:r>
      <w:r w:rsidRPr="00CF2880">
        <w:rPr>
          <w:rFonts w:eastAsia="SimSun" w:cs="Arial"/>
          <w:bCs/>
          <w:lang w:eastAsia="zh-CN"/>
        </w:rPr>
        <w:t>in 2014</w:t>
      </w:r>
      <w:r>
        <w:rPr>
          <w:rFonts w:eastAsia="SimSun" w:cs="Arial"/>
          <w:bCs/>
          <w:lang w:eastAsia="zh-CN"/>
        </w:rPr>
        <w:t xml:space="preserve">/15 </w:t>
      </w:r>
      <w:r w:rsidRPr="00CF2880">
        <w:rPr>
          <w:rFonts w:eastAsia="SimSun" w:cs="Arial"/>
          <w:bCs/>
          <w:lang w:eastAsia="zh-CN"/>
        </w:rPr>
        <w:t xml:space="preserve">focused on achieving the Expected Results in three broad areas:  </w:t>
      </w:r>
      <w:r>
        <w:rPr>
          <w:rFonts w:eastAsia="SimSun" w:cs="Arial"/>
          <w:bCs/>
          <w:lang w:eastAsia="zh-CN"/>
        </w:rPr>
        <w:t xml:space="preserve">(i) </w:t>
      </w:r>
      <w:r w:rsidRPr="00CF2880">
        <w:rPr>
          <w:rFonts w:eastAsia="SimSun" w:cs="Arial"/>
          <w:bCs/>
          <w:lang w:eastAsia="zh-CN"/>
        </w:rPr>
        <w:t xml:space="preserve">advancing the normative work </w:t>
      </w:r>
      <w:r>
        <w:rPr>
          <w:rFonts w:eastAsia="SimSun" w:cs="Arial"/>
          <w:bCs/>
          <w:lang w:eastAsia="zh-CN"/>
        </w:rPr>
        <w:t xml:space="preserve">through supporting Member States in joining WIPO copyright treaties and </w:t>
      </w:r>
      <w:r w:rsidRPr="00CF2880">
        <w:rPr>
          <w:rFonts w:eastAsia="SimSun" w:cs="Arial"/>
          <w:bCs/>
          <w:lang w:eastAsia="zh-CN"/>
        </w:rPr>
        <w:t xml:space="preserve">in the </w:t>
      </w:r>
      <w:r w:rsidRPr="00CF2880">
        <w:rPr>
          <w:rFonts w:eastAsia="SimSun" w:cs="Arial"/>
          <w:lang w:eastAsia="zh-CN"/>
        </w:rPr>
        <w:t>Standing Committee on Copyright and Related Rights (</w:t>
      </w:r>
      <w:r w:rsidRPr="00CF2880">
        <w:rPr>
          <w:rFonts w:eastAsia="SimSun" w:cs="Arial"/>
          <w:bCs/>
          <w:lang w:eastAsia="zh-CN"/>
        </w:rPr>
        <w:t xml:space="preserve">SCCR), </w:t>
      </w:r>
      <w:r>
        <w:rPr>
          <w:rFonts w:eastAsia="SimSun" w:cs="Arial"/>
          <w:bCs/>
          <w:lang w:eastAsia="zh-CN"/>
        </w:rPr>
        <w:t>(ii)</w:t>
      </w:r>
      <w:r>
        <w:t> </w:t>
      </w:r>
      <w:r w:rsidRPr="00CF2880">
        <w:rPr>
          <w:rFonts w:eastAsia="SimSun" w:cs="Arial"/>
          <w:bCs/>
          <w:lang w:eastAsia="zh-CN"/>
        </w:rPr>
        <w:t>strengthening the development of copyright in</w:t>
      </w:r>
      <w:r>
        <w:rPr>
          <w:rFonts w:eastAsia="SimSun" w:cs="Arial"/>
          <w:bCs/>
          <w:lang w:eastAsia="zh-CN"/>
        </w:rPr>
        <w:t xml:space="preserve">frastructure, and (iii) enhancing </w:t>
      </w:r>
      <w:r w:rsidRPr="00CF2880">
        <w:rPr>
          <w:rFonts w:eastAsia="SimSun" w:cs="Arial"/>
          <w:bCs/>
          <w:lang w:eastAsia="zh-CN"/>
        </w:rPr>
        <w:t>institutional and human capacity in developing countries and LDCs, with a view to using the copyright system to exploit the economic potential in their cultures.  Significant progress has been made in each of these areas, as demonstrated by the performance indicators discussed below.</w:t>
      </w:r>
    </w:p>
    <w:p w:rsidR="00F838C5" w:rsidRPr="00A70846" w:rsidRDefault="00F838C5" w:rsidP="001363EE">
      <w:pPr>
        <w:jc w:val="both"/>
        <w:rPr>
          <w:rFonts w:cs="Arial"/>
          <w:sz w:val="16"/>
          <w:szCs w:val="16"/>
          <w:u w:val="single"/>
        </w:rPr>
      </w:pPr>
    </w:p>
    <w:p w:rsidR="00F838C5" w:rsidRPr="00A70846" w:rsidRDefault="00F838C5" w:rsidP="001363EE">
      <w:pPr>
        <w:keepNext/>
        <w:keepLines/>
        <w:jc w:val="both"/>
        <w:rPr>
          <w:rFonts w:eastAsia="SimSun" w:cs="Arial"/>
          <w:bCs/>
          <w:szCs w:val="20"/>
          <w:u w:val="single"/>
          <w:lang w:eastAsia="zh-CN"/>
        </w:rPr>
      </w:pPr>
      <w:r w:rsidRPr="00A70846">
        <w:rPr>
          <w:rFonts w:eastAsia="SimSun" w:cs="Arial"/>
          <w:bCs/>
          <w:szCs w:val="20"/>
          <w:u w:val="single"/>
          <w:lang w:eastAsia="zh-CN"/>
        </w:rPr>
        <w:t>Normative and Policy Related Work</w:t>
      </w:r>
    </w:p>
    <w:p w:rsidR="00F838C5" w:rsidRPr="00FC60BC" w:rsidRDefault="00F838C5" w:rsidP="001363EE">
      <w:pPr>
        <w:keepNext/>
        <w:keepLines/>
        <w:jc w:val="both"/>
        <w:rPr>
          <w:rFonts w:eastAsia="SimSun" w:cs="Arial"/>
          <w:bCs/>
          <w:sz w:val="16"/>
          <w:szCs w:val="16"/>
          <w:lang w:eastAsia="zh-CN"/>
        </w:rPr>
      </w:pPr>
    </w:p>
    <w:p w:rsidR="00F838C5" w:rsidRDefault="00F838C5" w:rsidP="00F838C5">
      <w:pPr>
        <w:pStyle w:val="ListParagraph"/>
        <w:numPr>
          <w:ilvl w:val="0"/>
          <w:numId w:val="58"/>
        </w:numPr>
        <w:tabs>
          <w:tab w:val="left" w:pos="0"/>
          <w:tab w:val="left" w:pos="709"/>
        </w:tabs>
        <w:ind w:left="0" w:firstLine="0"/>
        <w:jc w:val="both"/>
        <w:rPr>
          <w:rFonts w:eastAsia="SimSun" w:cs="Arial"/>
          <w:bCs/>
          <w:lang w:eastAsia="zh-CN"/>
        </w:rPr>
      </w:pPr>
      <w:r>
        <w:rPr>
          <w:rFonts w:eastAsia="SimSun" w:cs="Arial"/>
          <w:bCs/>
          <w:lang w:eastAsia="zh-CN"/>
        </w:rPr>
        <w:t xml:space="preserve">In accordance with DA recommendations, the Program’s </w:t>
      </w:r>
      <w:r w:rsidRPr="00CF2880">
        <w:rPr>
          <w:rFonts w:eastAsia="SimSun" w:cs="Arial"/>
          <w:bCs/>
          <w:lang w:eastAsia="zh-CN"/>
        </w:rPr>
        <w:t xml:space="preserve">norm-setting activities were inclusive and member-driven (Recommendation 15), duly considering the boundaries, role and contours of the public domain (Recommendations 16 and 20) and taking into account flexibilities in international IP agreements (Recommendation 17).  </w:t>
      </w:r>
      <w:r>
        <w:rPr>
          <w:rFonts w:eastAsia="SimSun" w:cs="Arial"/>
          <w:bCs/>
          <w:lang w:eastAsia="zh-CN"/>
        </w:rPr>
        <w:t xml:space="preserve">The </w:t>
      </w:r>
      <w:r w:rsidRPr="002469D3">
        <w:rPr>
          <w:rFonts w:eastAsia="SimSun"/>
          <w:lang w:eastAsia="zh-CN"/>
        </w:rPr>
        <w:t>SCCR negotiations were based upon open and balanced consultations (Recommendations 21 and 42) while being supportive of UN development goals (Recommendation 22).</w:t>
      </w:r>
      <w:r w:rsidRPr="00836ED1">
        <w:rPr>
          <w:rFonts w:eastAsia="SimSun" w:cs="Arial"/>
          <w:bCs/>
          <w:lang w:eastAsia="zh-CN"/>
        </w:rPr>
        <w:t xml:space="preserve"> </w:t>
      </w:r>
      <w:r>
        <w:rPr>
          <w:rFonts w:eastAsia="SimSun" w:cs="Arial"/>
          <w:bCs/>
          <w:lang w:eastAsia="zh-CN"/>
        </w:rPr>
        <w:t xml:space="preserve"> </w:t>
      </w:r>
      <w:r w:rsidRPr="00642203">
        <w:rPr>
          <w:rFonts w:eastAsia="SimSun" w:cs="Arial"/>
          <w:bCs/>
          <w:lang w:eastAsia="zh-CN"/>
        </w:rPr>
        <w:t>Legislative advice on copyright and related rights issues provided to Member States, at their request, was development-oriented, balanced and tailored to unique Member State situations, in accordance with DA principles (Recommendation 13), and bore in mind the applicable flexibilities relevant to countries at differing levels of development (Recommendations 14 and 17).</w:t>
      </w:r>
      <w:r>
        <w:rPr>
          <w:rFonts w:eastAsia="SimSun" w:cs="Arial"/>
          <w:bCs/>
          <w:lang w:eastAsia="zh-CN"/>
        </w:rPr>
        <w:t xml:space="preserve"> </w:t>
      </w:r>
    </w:p>
    <w:p w:rsidR="00F838C5" w:rsidRPr="00FC60BC" w:rsidRDefault="00F838C5" w:rsidP="001363EE">
      <w:pPr>
        <w:pStyle w:val="ListParagraph"/>
        <w:tabs>
          <w:tab w:val="left" w:pos="0"/>
          <w:tab w:val="left" w:pos="709"/>
        </w:tabs>
        <w:ind w:left="0"/>
        <w:jc w:val="both"/>
        <w:rPr>
          <w:rFonts w:eastAsia="SimSun" w:cs="Arial"/>
          <w:bCs/>
          <w:sz w:val="16"/>
          <w:szCs w:val="16"/>
          <w:lang w:eastAsia="zh-CN"/>
        </w:rPr>
      </w:pPr>
    </w:p>
    <w:p w:rsidR="00F838C5" w:rsidRPr="00F70686" w:rsidRDefault="00F838C5" w:rsidP="00F838C5">
      <w:pPr>
        <w:pStyle w:val="ListParagraph"/>
        <w:numPr>
          <w:ilvl w:val="0"/>
          <w:numId w:val="58"/>
        </w:numPr>
        <w:tabs>
          <w:tab w:val="left" w:pos="0"/>
          <w:tab w:val="left" w:pos="709"/>
        </w:tabs>
        <w:ind w:left="0" w:firstLine="0"/>
        <w:jc w:val="both"/>
        <w:rPr>
          <w:rFonts w:eastAsia="SimSun" w:cs="Arial"/>
          <w:bCs/>
          <w:lang w:eastAsia="zh-CN"/>
        </w:rPr>
      </w:pPr>
      <w:r w:rsidRPr="00F70686">
        <w:rPr>
          <w:rFonts w:eastAsia="SimSun" w:cs="Arial"/>
          <w:bCs/>
          <w:lang w:eastAsia="zh-CN"/>
        </w:rPr>
        <w:t>The progress of the two new copyright treaties toward entry into force continued in 2014 and</w:t>
      </w:r>
      <w:r>
        <w:rPr>
          <w:rFonts w:eastAsia="SimSun" w:cs="Arial"/>
          <w:bCs/>
          <w:lang w:eastAsia="zh-CN"/>
        </w:rPr>
        <w:t> </w:t>
      </w:r>
      <w:r w:rsidRPr="00F70686">
        <w:rPr>
          <w:rFonts w:eastAsia="SimSun" w:cs="Arial"/>
          <w:bCs/>
          <w:lang w:eastAsia="zh-CN"/>
        </w:rPr>
        <w:t xml:space="preserve">2015.  The Beijing Treaty on Audiovisual Performances (Beijing Treaty) obtained eight additional ratifications and accessions (Chile, China, Japan, Qatar, Republic of Moldova, Russian Federation, </w:t>
      </w:r>
      <w:r>
        <w:rPr>
          <w:rFonts w:eastAsia="SimSun" w:cs="Arial"/>
          <w:bCs/>
          <w:lang w:eastAsia="zh-CN"/>
        </w:rPr>
        <w:t>Slovakia</w:t>
      </w:r>
      <w:r w:rsidRPr="00F70686">
        <w:rPr>
          <w:rFonts w:eastAsia="SimSun" w:cs="Arial"/>
          <w:bCs/>
          <w:lang w:eastAsia="zh-CN"/>
        </w:rPr>
        <w:t xml:space="preserve"> </w:t>
      </w:r>
      <w:r>
        <w:rPr>
          <w:rFonts w:eastAsia="SimSun" w:cs="Arial"/>
          <w:bCs/>
          <w:lang w:eastAsia="zh-CN"/>
        </w:rPr>
        <w:t xml:space="preserve">and </w:t>
      </w:r>
      <w:r w:rsidRPr="00F70686">
        <w:rPr>
          <w:rFonts w:eastAsia="SimSun" w:cs="Arial"/>
          <w:bCs/>
          <w:lang w:eastAsia="zh-CN"/>
        </w:rPr>
        <w:t xml:space="preserve">United Arab Emirates) for a total of </w:t>
      </w:r>
      <w:r>
        <w:rPr>
          <w:rFonts w:eastAsia="SimSun" w:cs="Arial"/>
          <w:bCs/>
          <w:lang w:eastAsia="zh-CN"/>
        </w:rPr>
        <w:t>10</w:t>
      </w:r>
      <w:r w:rsidRPr="00F70686">
        <w:rPr>
          <w:rFonts w:eastAsia="SimSun" w:cs="Arial"/>
          <w:bCs/>
          <w:lang w:eastAsia="zh-CN"/>
        </w:rPr>
        <w:t xml:space="preserve"> of the </w:t>
      </w:r>
      <w:r>
        <w:rPr>
          <w:rFonts w:eastAsia="SimSun" w:cs="Arial"/>
          <w:bCs/>
          <w:lang w:eastAsia="zh-CN"/>
        </w:rPr>
        <w:t>30</w:t>
      </w:r>
      <w:r w:rsidRPr="00F70686">
        <w:rPr>
          <w:rFonts w:eastAsia="SimSun" w:cs="Arial"/>
          <w:bCs/>
          <w:lang w:eastAsia="zh-CN"/>
        </w:rPr>
        <w:t xml:space="preserve"> needed to bring it into force.  The Marrakesh Treaty to Facilitate Access to Published Works for Persons Who Are Blind, Visually Impaired or Otherwise Print Disabled (Marrakesh VIP Treaty) obtained a total of 80 signatures by the June 2014 deadline. </w:t>
      </w:r>
      <w:r>
        <w:rPr>
          <w:rFonts w:eastAsia="SimSun" w:cs="Arial"/>
          <w:bCs/>
          <w:lang w:eastAsia="zh-CN"/>
        </w:rPr>
        <w:t xml:space="preserve"> </w:t>
      </w:r>
      <w:r w:rsidRPr="00F70686">
        <w:rPr>
          <w:rFonts w:eastAsia="SimSun" w:cs="Arial"/>
          <w:bCs/>
          <w:lang w:eastAsia="zh-CN"/>
        </w:rPr>
        <w:t xml:space="preserve">The Marrakesh VIP Treaty obtained </w:t>
      </w:r>
      <w:r>
        <w:rPr>
          <w:rFonts w:eastAsia="SimSun" w:cs="Arial"/>
          <w:bCs/>
          <w:lang w:eastAsia="zh-CN"/>
        </w:rPr>
        <w:t>13</w:t>
      </w:r>
      <w:r w:rsidRPr="00F70686">
        <w:rPr>
          <w:rFonts w:eastAsia="SimSun" w:cs="Arial"/>
          <w:bCs/>
          <w:lang w:eastAsia="zh-CN"/>
        </w:rPr>
        <w:t xml:space="preserve"> ratifications and accessions (Argentina, Australia, Brazil, El Salvador, India, Mali, Mexico, Mongolia, Paraguay, Republic of Korea, Singapore, </w:t>
      </w:r>
      <w:r>
        <w:rPr>
          <w:rFonts w:eastAsia="SimSun" w:cs="Arial"/>
          <w:bCs/>
          <w:lang w:eastAsia="zh-CN"/>
        </w:rPr>
        <w:t xml:space="preserve">United Arab Emirates and </w:t>
      </w:r>
      <w:r w:rsidRPr="00F70686">
        <w:rPr>
          <w:rFonts w:eastAsia="SimSun" w:cs="Arial"/>
          <w:bCs/>
          <w:lang w:eastAsia="zh-CN"/>
        </w:rPr>
        <w:t xml:space="preserve">Uruguay) toward the </w:t>
      </w:r>
      <w:r>
        <w:rPr>
          <w:rFonts w:eastAsia="SimSun" w:cs="Arial"/>
          <w:bCs/>
          <w:lang w:eastAsia="zh-CN"/>
        </w:rPr>
        <w:t>20</w:t>
      </w:r>
      <w:r w:rsidRPr="00F70686">
        <w:rPr>
          <w:rFonts w:eastAsia="SimSun" w:cs="Arial"/>
          <w:bCs/>
          <w:lang w:eastAsia="zh-CN"/>
        </w:rPr>
        <w:t xml:space="preserve"> needed to bring it into force.  Although the ratification/accession targets requested for the 2014/15 biennium for these treaties at the twentieth session of the Program and Budget Committee were quite ambitious given the need to hold resource allocations to their proposed levels, the Program partially achieved them </w:t>
      </w:r>
      <w:r>
        <w:rPr>
          <w:rFonts w:eastAsia="SimSun" w:cs="Arial"/>
          <w:bCs/>
          <w:lang w:eastAsia="zh-CN"/>
        </w:rPr>
        <w:t>by making it a</w:t>
      </w:r>
      <w:r w:rsidRPr="00F70686">
        <w:rPr>
          <w:rFonts w:eastAsia="SimSun" w:cs="Arial"/>
          <w:bCs/>
          <w:lang w:eastAsia="zh-CN"/>
        </w:rPr>
        <w:t xml:space="preserve"> priority to </w:t>
      </w:r>
      <w:r>
        <w:rPr>
          <w:rFonts w:eastAsia="SimSun" w:cs="Arial"/>
          <w:bCs/>
          <w:lang w:eastAsia="zh-CN"/>
        </w:rPr>
        <w:t>provide</w:t>
      </w:r>
      <w:r w:rsidRPr="00F70686">
        <w:rPr>
          <w:rFonts w:eastAsia="SimSun" w:cs="Arial"/>
          <w:bCs/>
          <w:lang w:eastAsia="zh-CN"/>
        </w:rPr>
        <w:t xml:space="preserve"> assistance </w:t>
      </w:r>
      <w:r>
        <w:rPr>
          <w:rFonts w:eastAsia="SimSun" w:cs="Arial"/>
          <w:bCs/>
          <w:lang w:eastAsia="zh-CN"/>
        </w:rPr>
        <w:t>to</w:t>
      </w:r>
      <w:r w:rsidRPr="00F70686">
        <w:rPr>
          <w:rFonts w:eastAsia="SimSun" w:cs="Arial"/>
          <w:bCs/>
          <w:lang w:eastAsia="zh-CN"/>
        </w:rPr>
        <w:t xml:space="preserve"> Member States with regard to </w:t>
      </w:r>
      <w:r>
        <w:rPr>
          <w:rFonts w:eastAsia="SimSun" w:cs="Arial"/>
          <w:bCs/>
          <w:lang w:eastAsia="zh-CN"/>
        </w:rPr>
        <w:t xml:space="preserve">joining </w:t>
      </w:r>
      <w:r w:rsidRPr="00F70686">
        <w:rPr>
          <w:rFonts w:eastAsia="SimSun" w:cs="Arial"/>
          <w:bCs/>
          <w:lang w:eastAsia="zh-CN"/>
        </w:rPr>
        <w:t>treat</w:t>
      </w:r>
      <w:r>
        <w:rPr>
          <w:rFonts w:eastAsia="SimSun" w:cs="Arial"/>
          <w:bCs/>
          <w:lang w:eastAsia="zh-CN"/>
        </w:rPr>
        <w:t>ies</w:t>
      </w:r>
      <w:r w:rsidRPr="00F70686">
        <w:rPr>
          <w:rFonts w:eastAsia="SimSun" w:cs="Arial"/>
          <w:bCs/>
          <w:lang w:eastAsia="zh-CN"/>
        </w:rPr>
        <w:t xml:space="preserve">.  The Program will </w:t>
      </w:r>
      <w:r>
        <w:rPr>
          <w:rFonts w:eastAsia="SimSun" w:cs="Arial"/>
          <w:bCs/>
          <w:lang w:eastAsia="zh-CN"/>
        </w:rPr>
        <w:t xml:space="preserve">continue </w:t>
      </w:r>
      <w:r w:rsidRPr="00F70686">
        <w:rPr>
          <w:rFonts w:eastAsia="SimSun" w:cs="Arial"/>
          <w:bCs/>
          <w:lang w:eastAsia="zh-CN"/>
        </w:rPr>
        <w:t>this approach in the 2016/17 biennium</w:t>
      </w:r>
      <w:r>
        <w:rPr>
          <w:rFonts w:eastAsia="SimSun" w:cs="Arial"/>
          <w:bCs/>
          <w:lang w:eastAsia="zh-CN"/>
        </w:rPr>
        <w:t xml:space="preserve">. </w:t>
      </w:r>
      <w:r w:rsidRPr="00F70686">
        <w:rPr>
          <w:rFonts w:eastAsia="SimSun" w:cs="Arial"/>
          <w:bCs/>
          <w:lang w:eastAsia="zh-CN"/>
        </w:rPr>
        <w:t xml:space="preserve">    </w:t>
      </w:r>
    </w:p>
    <w:p w:rsidR="00F838C5" w:rsidRPr="00FC60BC" w:rsidRDefault="00F838C5" w:rsidP="001363EE">
      <w:pPr>
        <w:pStyle w:val="ListParagraph"/>
        <w:tabs>
          <w:tab w:val="left" w:pos="0"/>
          <w:tab w:val="left" w:pos="709"/>
        </w:tabs>
        <w:ind w:left="0"/>
        <w:jc w:val="both"/>
        <w:rPr>
          <w:rFonts w:eastAsia="SimSun" w:cs="Arial"/>
          <w:bCs/>
          <w:sz w:val="16"/>
          <w:szCs w:val="16"/>
          <w:lang w:eastAsia="zh-CN"/>
        </w:rPr>
      </w:pPr>
    </w:p>
    <w:p w:rsidR="00F838C5" w:rsidRDefault="00F838C5" w:rsidP="00F838C5">
      <w:pPr>
        <w:pStyle w:val="ListParagraph"/>
        <w:numPr>
          <w:ilvl w:val="0"/>
          <w:numId w:val="58"/>
        </w:numPr>
        <w:tabs>
          <w:tab w:val="left" w:pos="0"/>
          <w:tab w:val="left" w:pos="709"/>
        </w:tabs>
        <w:ind w:left="0" w:firstLine="0"/>
        <w:jc w:val="both"/>
        <w:rPr>
          <w:rFonts w:eastAsia="SimSun"/>
          <w:lang w:eastAsia="zh-CN"/>
        </w:rPr>
      </w:pPr>
      <w:r w:rsidRPr="002469D3">
        <w:rPr>
          <w:rFonts w:eastAsia="SimSun"/>
          <w:lang w:eastAsia="zh-CN"/>
        </w:rPr>
        <w:t xml:space="preserve">Further discussions were held on the </w:t>
      </w:r>
      <w:r w:rsidR="00220419">
        <w:rPr>
          <w:rFonts w:eastAsia="SimSun"/>
          <w:lang w:eastAsia="zh-CN"/>
        </w:rPr>
        <w:t>topics</w:t>
      </w:r>
      <w:r w:rsidRPr="002469D3">
        <w:rPr>
          <w:rFonts w:eastAsia="SimSun"/>
          <w:lang w:eastAsia="zh-CN"/>
        </w:rPr>
        <w:t xml:space="preserve"> </w:t>
      </w:r>
      <w:r w:rsidR="00220419">
        <w:rPr>
          <w:rFonts w:eastAsia="SimSun"/>
          <w:lang w:eastAsia="zh-CN"/>
        </w:rPr>
        <w:t>on</w:t>
      </w:r>
      <w:r w:rsidRPr="002469D3">
        <w:rPr>
          <w:rFonts w:eastAsia="SimSun"/>
          <w:lang w:eastAsia="zh-CN"/>
        </w:rPr>
        <w:t xml:space="preserve"> the SCCR </w:t>
      </w:r>
      <w:r w:rsidR="00220419">
        <w:rPr>
          <w:rFonts w:eastAsia="SimSun"/>
          <w:lang w:eastAsia="zh-CN"/>
        </w:rPr>
        <w:t xml:space="preserve">agenda </w:t>
      </w:r>
      <w:r w:rsidRPr="002469D3">
        <w:rPr>
          <w:rFonts w:eastAsia="SimSun"/>
          <w:lang w:eastAsia="zh-CN"/>
        </w:rPr>
        <w:t>during the five meetings held in April/May 2014, June/July 2014, December 2014, June/July 2015 and December 2015.</w:t>
      </w:r>
      <w:r>
        <w:rPr>
          <w:rFonts w:eastAsia="SimSun"/>
          <w:lang w:eastAsia="zh-CN"/>
        </w:rPr>
        <w:t xml:space="preserve"> </w:t>
      </w:r>
      <w:r w:rsidRPr="002469D3">
        <w:rPr>
          <w:rFonts w:eastAsia="SimSun"/>
          <w:lang w:eastAsia="zh-CN"/>
        </w:rPr>
        <w:t>  The SCCR discussions addressed a proposed treaty for broadcasting organizations and limitations and exceptions related to libraries and archives, educational and research institutions, and persons with other disabilities</w:t>
      </w:r>
      <w:r w:rsidR="00220419">
        <w:rPr>
          <w:rFonts w:eastAsia="SimSun"/>
          <w:lang w:eastAsia="zh-CN"/>
        </w:rPr>
        <w:t xml:space="preserve"> (than those covered by the Marrakesh VIP Treaty)</w:t>
      </w:r>
      <w:r w:rsidRPr="002469D3">
        <w:rPr>
          <w:rFonts w:eastAsia="SimSun"/>
          <w:lang w:eastAsia="zh-CN"/>
        </w:rPr>
        <w:t>.</w:t>
      </w:r>
      <w:r>
        <w:rPr>
          <w:rFonts w:eastAsia="SimSun"/>
          <w:lang w:eastAsia="zh-CN"/>
        </w:rPr>
        <w:t xml:space="preserve"> </w:t>
      </w:r>
      <w:r w:rsidRPr="002469D3">
        <w:rPr>
          <w:rFonts w:eastAsia="SimSun"/>
          <w:lang w:eastAsia="zh-CN"/>
        </w:rPr>
        <w:t xml:space="preserve">  </w:t>
      </w:r>
      <w:r>
        <w:rPr>
          <w:rFonts w:eastAsia="SimSun"/>
          <w:lang w:eastAsia="zh-CN"/>
        </w:rPr>
        <w:t>In addition, a</w:t>
      </w:r>
      <w:r w:rsidRPr="002469D3">
        <w:rPr>
          <w:rFonts w:eastAsia="SimSun"/>
          <w:lang w:eastAsia="zh-CN"/>
        </w:rPr>
        <w:t xml:space="preserve">t the session </w:t>
      </w:r>
      <w:r>
        <w:rPr>
          <w:rFonts w:eastAsia="SimSun"/>
          <w:lang w:eastAsia="zh-CN"/>
        </w:rPr>
        <w:t xml:space="preserve">held </w:t>
      </w:r>
      <w:r w:rsidRPr="002469D3">
        <w:rPr>
          <w:rFonts w:eastAsia="SimSun"/>
          <w:lang w:eastAsia="zh-CN"/>
        </w:rPr>
        <w:t xml:space="preserve">in December 2015, the SCCR also received two proposals </w:t>
      </w:r>
      <w:r>
        <w:rPr>
          <w:rFonts w:eastAsia="SimSun"/>
          <w:lang w:eastAsia="zh-CN"/>
        </w:rPr>
        <w:t>for new agenda items - one with regard to</w:t>
      </w:r>
      <w:r w:rsidRPr="00C03ED0">
        <w:rPr>
          <w:rFonts w:eastAsia="SimSun"/>
          <w:lang w:eastAsia="zh-CN"/>
        </w:rPr>
        <w:t xml:space="preserve"> analysis of copyright related to the digital </w:t>
      </w:r>
      <w:r w:rsidRPr="002469D3">
        <w:rPr>
          <w:rFonts w:eastAsia="SimSun"/>
          <w:lang w:eastAsia="zh-CN"/>
        </w:rPr>
        <w:t xml:space="preserve">environment and </w:t>
      </w:r>
      <w:r>
        <w:rPr>
          <w:rFonts w:eastAsia="SimSun"/>
          <w:lang w:eastAsia="zh-CN"/>
        </w:rPr>
        <w:t xml:space="preserve">the other concerning the </w:t>
      </w:r>
      <w:r w:rsidRPr="002469D3">
        <w:rPr>
          <w:rFonts w:eastAsia="SimSun"/>
          <w:lang w:eastAsia="zh-CN"/>
        </w:rPr>
        <w:t xml:space="preserve">resale </w:t>
      </w:r>
      <w:r>
        <w:rPr>
          <w:rFonts w:eastAsia="SimSun"/>
          <w:lang w:eastAsia="zh-CN"/>
        </w:rPr>
        <w:t>royalty right.  The target of having a diplomatic conference and a new treaty was not achieved</w:t>
      </w:r>
      <w:proofErr w:type="gramStart"/>
      <w:r>
        <w:rPr>
          <w:rFonts w:eastAsia="SimSun"/>
          <w:lang w:eastAsia="zh-CN"/>
        </w:rPr>
        <w:t>;  Member</w:t>
      </w:r>
      <w:proofErr w:type="gramEnd"/>
      <w:r>
        <w:rPr>
          <w:rFonts w:eastAsia="SimSun"/>
          <w:lang w:eastAsia="zh-CN"/>
        </w:rPr>
        <w:t xml:space="preserve"> States requested to remove this target for the 2016/17 biennium.</w:t>
      </w:r>
    </w:p>
    <w:p w:rsidR="00F838C5" w:rsidRPr="00FC60BC" w:rsidRDefault="00F838C5" w:rsidP="001363EE">
      <w:pPr>
        <w:pStyle w:val="ListParagraph"/>
        <w:tabs>
          <w:tab w:val="left" w:pos="0"/>
          <w:tab w:val="left" w:pos="709"/>
        </w:tabs>
        <w:ind w:left="0"/>
        <w:jc w:val="both"/>
        <w:rPr>
          <w:rFonts w:eastAsia="SimSun"/>
          <w:sz w:val="16"/>
          <w:szCs w:val="16"/>
          <w:lang w:eastAsia="zh-CN"/>
        </w:rPr>
      </w:pPr>
    </w:p>
    <w:p w:rsidR="00F838C5" w:rsidRPr="00F95C6D" w:rsidRDefault="00F838C5" w:rsidP="00F838C5">
      <w:pPr>
        <w:pStyle w:val="ListParagraph"/>
        <w:numPr>
          <w:ilvl w:val="0"/>
          <w:numId w:val="58"/>
        </w:numPr>
        <w:tabs>
          <w:tab w:val="left" w:pos="0"/>
          <w:tab w:val="left" w:pos="709"/>
        </w:tabs>
        <w:ind w:left="0" w:firstLine="0"/>
        <w:jc w:val="both"/>
        <w:rPr>
          <w:rFonts w:eastAsia="SimSun" w:cs="Arial"/>
          <w:bCs/>
          <w:lang w:eastAsia="zh-CN"/>
        </w:rPr>
      </w:pPr>
      <w:r w:rsidRPr="00642203">
        <w:rPr>
          <w:rFonts w:eastAsia="SimSun" w:cs="Arial"/>
          <w:bCs/>
          <w:lang w:eastAsia="zh-CN"/>
        </w:rPr>
        <w:t xml:space="preserve">In 2014/15, </w:t>
      </w:r>
      <w:r>
        <w:rPr>
          <w:rFonts w:eastAsia="SimSun" w:cs="Arial"/>
          <w:bCs/>
          <w:lang w:eastAsia="zh-CN"/>
        </w:rPr>
        <w:t xml:space="preserve">legislative </w:t>
      </w:r>
      <w:r w:rsidRPr="00642203">
        <w:rPr>
          <w:rFonts w:eastAsia="SimSun" w:cs="Arial"/>
          <w:bCs/>
          <w:lang w:eastAsia="zh-CN"/>
        </w:rPr>
        <w:t xml:space="preserve">advice was provided to </w:t>
      </w:r>
      <w:r>
        <w:rPr>
          <w:rFonts w:eastAsia="SimSun" w:cs="Arial"/>
          <w:bCs/>
          <w:lang w:eastAsia="zh-CN"/>
        </w:rPr>
        <w:t>25</w:t>
      </w:r>
      <w:r w:rsidRPr="00642203">
        <w:rPr>
          <w:rFonts w:eastAsia="SimSun" w:cs="Arial"/>
          <w:bCs/>
          <w:lang w:eastAsia="zh-CN"/>
        </w:rPr>
        <w:t xml:space="preserve"> Member States in various regions.</w:t>
      </w:r>
      <w:r>
        <w:rPr>
          <w:rFonts w:eastAsia="SimSun" w:cs="Arial"/>
          <w:bCs/>
          <w:lang w:eastAsia="zh-CN"/>
        </w:rPr>
        <w:t xml:space="preserve"> </w:t>
      </w:r>
      <w:r w:rsidRPr="00642203">
        <w:rPr>
          <w:rFonts w:eastAsia="SimSun" w:cs="Arial"/>
          <w:bCs/>
          <w:lang w:eastAsia="zh-CN"/>
        </w:rPr>
        <w:t xml:space="preserve"> </w:t>
      </w:r>
      <w:r w:rsidRPr="00F95C6D">
        <w:rPr>
          <w:rFonts w:eastAsia="SimSun" w:cs="Arial"/>
          <w:bCs/>
          <w:lang w:eastAsia="zh-CN"/>
        </w:rPr>
        <w:t>Requests for such advice increased in 2014</w:t>
      </w:r>
      <w:r>
        <w:rPr>
          <w:rFonts w:eastAsia="SimSun" w:cs="Arial"/>
          <w:bCs/>
          <w:lang w:eastAsia="zh-CN"/>
        </w:rPr>
        <w:t>/15</w:t>
      </w:r>
      <w:r w:rsidRPr="00F95C6D">
        <w:rPr>
          <w:rFonts w:eastAsia="SimSun" w:cs="Arial"/>
          <w:bCs/>
          <w:lang w:eastAsia="zh-CN"/>
        </w:rPr>
        <w:t>, in part due to the interest of Member States in joining the Beijing Treaty and the Marrakesh VIP Treaty.  Advice on the new ten-year regime of the Berne Appendix was also provided to developing countries and LDCs upon request.</w:t>
      </w:r>
      <w:r>
        <w:rPr>
          <w:rFonts w:eastAsia="SimSun" w:cs="Arial"/>
          <w:bCs/>
          <w:lang w:eastAsia="zh-CN"/>
        </w:rPr>
        <w:t xml:space="preserve">  A survey conducted in 2015 indicated that the legislative advice service was viewed positively by the Member States. </w:t>
      </w:r>
    </w:p>
    <w:p w:rsidR="00F838C5" w:rsidRPr="00FC60BC" w:rsidRDefault="00F838C5" w:rsidP="001363EE">
      <w:pPr>
        <w:pStyle w:val="ListParagraph"/>
        <w:tabs>
          <w:tab w:val="left" w:pos="0"/>
          <w:tab w:val="left" w:pos="709"/>
        </w:tabs>
        <w:ind w:left="0"/>
        <w:jc w:val="both"/>
        <w:rPr>
          <w:rFonts w:eastAsia="SimSun" w:cs="Arial"/>
          <w:bCs/>
          <w:sz w:val="16"/>
          <w:szCs w:val="16"/>
          <w:lang w:eastAsia="zh-CN"/>
        </w:rPr>
      </w:pPr>
    </w:p>
    <w:p w:rsidR="00F838C5" w:rsidRDefault="00F838C5" w:rsidP="00F838C5">
      <w:pPr>
        <w:pStyle w:val="ListParagraph"/>
        <w:numPr>
          <w:ilvl w:val="0"/>
          <w:numId w:val="58"/>
        </w:numPr>
        <w:tabs>
          <w:tab w:val="left" w:pos="0"/>
          <w:tab w:val="left" w:pos="709"/>
        </w:tabs>
        <w:ind w:left="0" w:firstLine="0"/>
        <w:jc w:val="both"/>
        <w:rPr>
          <w:rFonts w:eastAsia="SimSun" w:cs="Arial"/>
          <w:bCs/>
          <w:sz w:val="16"/>
          <w:szCs w:val="16"/>
          <w:lang w:eastAsia="zh-CN"/>
        </w:rPr>
      </w:pPr>
      <w:r>
        <w:rPr>
          <w:rFonts w:eastAsia="SimSun" w:cs="Arial"/>
          <w:bCs/>
          <w:lang w:eastAsia="zh-CN"/>
        </w:rPr>
        <w:t xml:space="preserve">Positive </w:t>
      </w:r>
      <w:r w:rsidRPr="00CF2880">
        <w:rPr>
          <w:rFonts w:eastAsia="SimSun" w:cs="Arial"/>
          <w:bCs/>
          <w:lang w:eastAsia="zh-CN"/>
        </w:rPr>
        <w:t xml:space="preserve">progress was also made on a variety of projects aimed at enhancing WIPO’s role in copyright in the digital environment.  The Program was engaged in a number of activities in different fora, such </w:t>
      </w:r>
      <w:r>
        <w:rPr>
          <w:rFonts w:eastAsia="SimSun" w:cs="Arial"/>
          <w:bCs/>
          <w:lang w:eastAsia="zh-CN"/>
        </w:rPr>
        <w:t xml:space="preserve">as </w:t>
      </w:r>
      <w:r w:rsidRPr="00CF2880">
        <w:rPr>
          <w:rFonts w:eastAsia="SimSun" w:cs="Arial"/>
          <w:bCs/>
          <w:lang w:eastAsia="zh-CN"/>
        </w:rPr>
        <w:t xml:space="preserve">the World Summit on the Information Society, the Internet Governance Forum and the World Economic Forum, aimed at raising awareness of relevant copyright-related topics, </w:t>
      </w:r>
      <w:r w:rsidRPr="000501E8">
        <w:rPr>
          <w:rFonts w:eastAsia="SimSun" w:cs="Arial"/>
          <w:bCs/>
          <w:lang w:eastAsia="zh-CN"/>
        </w:rPr>
        <w:t>including user</w:t>
      </w:r>
      <w:r>
        <w:rPr>
          <w:rFonts w:eastAsia="SimSun" w:cs="Arial"/>
          <w:bCs/>
          <w:lang w:eastAsia="zh-CN"/>
        </w:rPr>
        <w:noBreakHyphen/>
      </w:r>
      <w:r w:rsidRPr="000501E8">
        <w:rPr>
          <w:rFonts w:eastAsia="SimSun" w:cs="Arial"/>
          <w:bCs/>
          <w:lang w:eastAsia="zh-CN"/>
        </w:rPr>
        <w:t>generated content, open source, legal protection of video games, and emerging licensing modalities.</w:t>
      </w:r>
      <w:r>
        <w:rPr>
          <w:rFonts w:eastAsia="SimSun" w:cs="Arial"/>
          <w:bCs/>
          <w:lang w:eastAsia="zh-CN"/>
        </w:rPr>
        <w:t xml:space="preserve">  </w:t>
      </w:r>
    </w:p>
    <w:p w:rsidR="00220419" w:rsidRDefault="00220419" w:rsidP="00E37059">
      <w:pPr>
        <w:pStyle w:val="ListParagraph"/>
        <w:tabs>
          <w:tab w:val="left" w:pos="0"/>
          <w:tab w:val="left" w:pos="709"/>
        </w:tabs>
        <w:ind w:left="0"/>
        <w:jc w:val="both"/>
        <w:rPr>
          <w:rFonts w:eastAsia="SimSun" w:cs="Arial"/>
          <w:bCs/>
          <w:sz w:val="16"/>
          <w:szCs w:val="16"/>
          <w:lang w:eastAsia="zh-CN"/>
        </w:rPr>
      </w:pPr>
    </w:p>
    <w:p w:rsidR="00220419" w:rsidRDefault="006E4DA1" w:rsidP="00F838C5">
      <w:pPr>
        <w:pStyle w:val="ListParagraph"/>
        <w:numPr>
          <w:ilvl w:val="0"/>
          <w:numId w:val="58"/>
        </w:numPr>
        <w:tabs>
          <w:tab w:val="left" w:pos="0"/>
          <w:tab w:val="left" w:pos="709"/>
        </w:tabs>
        <w:ind w:left="0" w:firstLine="0"/>
        <w:jc w:val="both"/>
        <w:rPr>
          <w:rFonts w:eastAsia="SimSun" w:cs="Arial"/>
          <w:bCs/>
          <w:sz w:val="16"/>
          <w:szCs w:val="16"/>
          <w:lang w:eastAsia="zh-CN"/>
        </w:rPr>
      </w:pPr>
      <w:r>
        <w:rPr>
          <w:color w:val="000000"/>
        </w:rPr>
        <w:lastRenderedPageBreak/>
        <w:t>I</w:t>
      </w:r>
      <w:r w:rsidR="00220419">
        <w:rPr>
          <w:color w:val="000000"/>
        </w:rPr>
        <w:t xml:space="preserve">mportant work </w:t>
      </w:r>
      <w:r>
        <w:rPr>
          <w:color w:val="000000"/>
        </w:rPr>
        <w:t xml:space="preserve">also continued </w:t>
      </w:r>
      <w:r w:rsidR="00220419">
        <w:rPr>
          <w:color w:val="000000"/>
        </w:rPr>
        <w:t>on several projects related to the Development Agenda:  T</w:t>
      </w:r>
      <w:r w:rsidR="00220419" w:rsidRPr="0008666B">
        <w:rPr>
          <w:color w:val="000000"/>
        </w:rPr>
        <w:t xml:space="preserve">he </w:t>
      </w:r>
      <w:r w:rsidR="00220419">
        <w:rPr>
          <w:color w:val="000000"/>
        </w:rPr>
        <w:t xml:space="preserve">pilot </w:t>
      </w:r>
      <w:r w:rsidR="00220419" w:rsidRPr="0008666B">
        <w:rPr>
          <w:color w:val="000000"/>
        </w:rPr>
        <w:t>Project on Strengthening and Development of the Audiovisual Sector in Burkina Fas</w:t>
      </w:r>
      <w:r w:rsidR="00220419">
        <w:rPr>
          <w:color w:val="000000"/>
        </w:rPr>
        <w:t>o and Certain African Countries, which also included Kenya and Senegal, was successfully completed and evaluated during the biennium</w:t>
      </w:r>
      <w:r w:rsidR="00220419" w:rsidRPr="0008666B">
        <w:rPr>
          <w:color w:val="000000"/>
        </w:rPr>
        <w:t>.</w:t>
      </w:r>
      <w:r w:rsidR="00220419" w:rsidRPr="00995D84">
        <w:t xml:space="preserve"> </w:t>
      </w:r>
      <w:r w:rsidR="00220419">
        <w:t xml:space="preserve"> In addition, based on the discussions held in the twelfth session of the CDIP, a Revised Implementation Proposal on Possible New WIPO Activities Related to Using Copyright to Promote Access to Information and Creative Content was presented and approved by the thirteenth session of the CDIP.  As the eighteen-month implementation project was approved relatively late in the biennium, implementation will begin in 2016/17.  </w:t>
      </w:r>
      <w:r w:rsidR="00220419" w:rsidRPr="00F46671">
        <w:rPr>
          <w:rFonts w:cs="Arial"/>
        </w:rPr>
        <w:t>The Comparative Analysis of National Approaches on Voluntary Copyright Relinquishment (Document CDIP/13/INF/6) was presented and received positively by the CDIP as part of the implementation of Recommendations 1c, 1f and 2a of the Scoping Study on Copyright and Related Rights and the Public Domain.</w:t>
      </w:r>
    </w:p>
    <w:p w:rsidR="00F838C5" w:rsidRPr="00E37059" w:rsidRDefault="00F838C5" w:rsidP="00F838C5">
      <w:pPr>
        <w:pStyle w:val="ListParagraph"/>
        <w:rPr>
          <w:rFonts w:eastAsia="SimSun" w:cs="Arial"/>
          <w:bCs/>
          <w:szCs w:val="16"/>
          <w:lang w:eastAsia="zh-CN"/>
        </w:rPr>
      </w:pPr>
    </w:p>
    <w:p w:rsidR="00F838C5" w:rsidRPr="00A70846" w:rsidRDefault="00F838C5" w:rsidP="001363EE">
      <w:pPr>
        <w:jc w:val="both"/>
        <w:rPr>
          <w:rFonts w:cs="Arial"/>
          <w:szCs w:val="20"/>
          <w:u w:val="single"/>
        </w:rPr>
      </w:pPr>
      <w:r w:rsidRPr="00A70846">
        <w:rPr>
          <w:rFonts w:cs="Arial"/>
          <w:szCs w:val="20"/>
          <w:u w:val="single"/>
        </w:rPr>
        <w:t>Copyright Infrastructure</w:t>
      </w:r>
    </w:p>
    <w:p w:rsidR="00F838C5" w:rsidRDefault="00F838C5" w:rsidP="001363EE">
      <w:pPr>
        <w:pStyle w:val="ListParagraph"/>
        <w:tabs>
          <w:tab w:val="left" w:pos="0"/>
          <w:tab w:val="left" w:pos="709"/>
        </w:tabs>
        <w:ind w:left="0"/>
        <w:jc w:val="both"/>
        <w:rPr>
          <w:rFonts w:eastAsia="SimSun" w:cs="Arial"/>
          <w:bCs/>
          <w:lang w:eastAsia="zh-CN"/>
        </w:rPr>
      </w:pPr>
    </w:p>
    <w:p w:rsidR="00F838C5" w:rsidRDefault="00F838C5" w:rsidP="00F838C5">
      <w:pPr>
        <w:pStyle w:val="ListParagraph"/>
        <w:numPr>
          <w:ilvl w:val="0"/>
          <w:numId w:val="58"/>
        </w:numPr>
        <w:tabs>
          <w:tab w:val="left" w:pos="0"/>
          <w:tab w:val="left" w:pos="709"/>
        </w:tabs>
        <w:ind w:left="0" w:firstLine="0"/>
        <w:jc w:val="both"/>
        <w:rPr>
          <w:rFonts w:eastAsia="SimSun" w:cs="Arial"/>
          <w:bCs/>
          <w:lang w:eastAsia="zh-CN"/>
        </w:rPr>
      </w:pPr>
      <w:r w:rsidRPr="001B4AE2">
        <w:rPr>
          <w:rFonts w:eastAsia="SimSun" w:cs="Arial"/>
          <w:bCs/>
          <w:lang w:eastAsia="zh-CN"/>
        </w:rPr>
        <w:t>Work in this area was in line with DA Recommendations</w:t>
      </w:r>
      <w:r>
        <w:rPr>
          <w:rFonts w:eastAsia="SimSun" w:cs="Arial"/>
          <w:bCs/>
          <w:lang w:eastAsia="zh-CN"/>
        </w:rPr>
        <w:t>,</w:t>
      </w:r>
      <w:r w:rsidRPr="001B4AE2">
        <w:rPr>
          <w:rFonts w:eastAsia="SimSun" w:cs="Arial"/>
          <w:bCs/>
          <w:lang w:eastAsia="zh-CN"/>
        </w:rPr>
        <w:t xml:space="preserve"> </w:t>
      </w:r>
      <w:r>
        <w:rPr>
          <w:rFonts w:eastAsia="SimSun" w:cs="Arial"/>
          <w:bCs/>
          <w:lang w:eastAsia="zh-CN"/>
        </w:rPr>
        <w:t xml:space="preserve">in particular Recommendations </w:t>
      </w:r>
      <w:r w:rsidRPr="001B4AE2">
        <w:rPr>
          <w:rFonts w:eastAsia="SimSun" w:cs="Arial"/>
          <w:bCs/>
          <w:lang w:eastAsia="zh-CN"/>
        </w:rPr>
        <w:t>10</w:t>
      </w:r>
      <w:r>
        <w:rPr>
          <w:rFonts w:eastAsia="SimSun" w:cs="Arial"/>
          <w:bCs/>
          <w:lang w:eastAsia="zh-CN"/>
        </w:rPr>
        <w:t> </w:t>
      </w:r>
      <w:r w:rsidRPr="001B4AE2">
        <w:rPr>
          <w:rFonts w:eastAsia="SimSun" w:cs="Arial"/>
          <w:bCs/>
          <w:lang w:eastAsia="zh-CN"/>
        </w:rPr>
        <w:t>(improving national IP institutions</w:t>
      </w:r>
      <w:r>
        <w:rPr>
          <w:rFonts w:eastAsia="SimSun" w:cs="Arial"/>
          <w:bCs/>
          <w:lang w:eastAsia="zh-CN"/>
        </w:rPr>
        <w:t>’</w:t>
      </w:r>
      <w:r w:rsidRPr="001B4AE2">
        <w:rPr>
          <w:rFonts w:eastAsia="SimSun" w:cs="Arial"/>
          <w:bCs/>
          <w:lang w:eastAsia="zh-CN"/>
        </w:rPr>
        <w:t xml:space="preserve"> capacity through further development of infrastructure and other facilities), </w:t>
      </w:r>
      <w:r>
        <w:rPr>
          <w:rFonts w:eastAsia="SimSun" w:cs="Arial"/>
          <w:bCs/>
          <w:lang w:eastAsia="zh-CN"/>
        </w:rPr>
        <w:t>11 (strengthening national capacity for protection of domestic creations) and</w:t>
      </w:r>
      <w:r w:rsidRPr="001B4AE2">
        <w:rPr>
          <w:rFonts w:eastAsia="SimSun" w:cs="Arial"/>
          <w:bCs/>
          <w:lang w:eastAsia="zh-CN"/>
        </w:rPr>
        <w:t xml:space="preserve"> 35 (undertake studies on the economic, social and cultural impact of the IP system)</w:t>
      </w:r>
      <w:r>
        <w:rPr>
          <w:rFonts w:eastAsia="SimSun" w:cs="Arial"/>
          <w:bCs/>
          <w:lang w:eastAsia="zh-CN"/>
        </w:rPr>
        <w:t>.</w:t>
      </w:r>
    </w:p>
    <w:p w:rsidR="00F838C5" w:rsidRPr="00836ED1" w:rsidRDefault="00F838C5" w:rsidP="001363EE">
      <w:pPr>
        <w:tabs>
          <w:tab w:val="left" w:pos="0"/>
          <w:tab w:val="left" w:pos="709"/>
        </w:tabs>
        <w:jc w:val="both"/>
        <w:rPr>
          <w:rFonts w:eastAsia="SimSun" w:cs="Arial"/>
          <w:bCs/>
          <w:lang w:eastAsia="zh-CN"/>
        </w:rPr>
      </w:pPr>
    </w:p>
    <w:p w:rsidR="00F838C5" w:rsidRPr="00C83D6B" w:rsidRDefault="00F838C5" w:rsidP="00F838C5">
      <w:pPr>
        <w:pStyle w:val="ListParagraph"/>
        <w:numPr>
          <w:ilvl w:val="0"/>
          <w:numId w:val="58"/>
        </w:numPr>
        <w:tabs>
          <w:tab w:val="left" w:pos="0"/>
          <w:tab w:val="left" w:pos="709"/>
        </w:tabs>
        <w:ind w:left="0" w:firstLine="0"/>
        <w:jc w:val="both"/>
        <w:rPr>
          <w:rFonts w:eastAsia="SimSun" w:cs="Arial"/>
          <w:bCs/>
          <w:lang w:eastAsia="zh-CN"/>
        </w:rPr>
      </w:pPr>
      <w:r w:rsidRPr="00C83D6B">
        <w:rPr>
          <w:rFonts w:cs="Arial"/>
          <w:szCs w:val="24"/>
        </w:rPr>
        <w:t xml:space="preserve">Progress was made on advancing the </w:t>
      </w:r>
      <w:r w:rsidRPr="00C83D6B">
        <w:rPr>
          <w:rFonts w:cs="Arial"/>
          <w:i/>
          <w:iCs/>
          <w:szCs w:val="24"/>
        </w:rPr>
        <w:t xml:space="preserve">TAG of Excellence </w:t>
      </w:r>
      <w:r w:rsidRPr="00C83D6B">
        <w:rPr>
          <w:rFonts w:cs="Arial"/>
          <w:szCs w:val="24"/>
        </w:rPr>
        <w:t>initiative (</w:t>
      </w:r>
      <w:r w:rsidRPr="00C83D6B">
        <w:rPr>
          <w:rFonts w:cs="Arial"/>
          <w:i/>
          <w:szCs w:val="24"/>
        </w:rPr>
        <w:t>TAG</w:t>
      </w:r>
      <w:r w:rsidRPr="00C83D6B">
        <w:rPr>
          <w:rFonts w:cs="Arial"/>
          <w:szCs w:val="24"/>
        </w:rPr>
        <w:t xml:space="preserve">), </w:t>
      </w:r>
      <w:r w:rsidRPr="00C83D6B">
        <w:rPr>
          <w:szCs w:val="24"/>
        </w:rPr>
        <w:t xml:space="preserve">which promotes excellence in the transparency, accountability and governance of collective management organizations (CMOs).  Several international trade associations joined with WIPO to form a Consortium, which agreed on a Compendium of best practices in collective management of copyright and related rights, and consultations were started on the Compendium.  </w:t>
      </w:r>
      <w:r w:rsidRPr="00C83D6B">
        <w:rPr>
          <w:i/>
          <w:szCs w:val="24"/>
        </w:rPr>
        <w:t>TAG</w:t>
      </w:r>
      <w:r w:rsidRPr="00C83D6B">
        <w:rPr>
          <w:szCs w:val="24"/>
        </w:rPr>
        <w:t xml:space="preserve"> attracted considerable support from individual CMOs and governments in both the developing and developed world</w:t>
      </w:r>
      <w:r w:rsidRPr="00C83D6B">
        <w:rPr>
          <w:szCs w:val="24"/>
          <w:lang w:val="en-GB" w:eastAsia="fr-FR"/>
        </w:rPr>
        <w:t xml:space="preserve"> </w:t>
      </w:r>
      <w:r w:rsidRPr="00C83D6B">
        <w:rPr>
          <w:szCs w:val="24"/>
        </w:rPr>
        <w:t>(a total of 14 governments and 63</w:t>
      </w:r>
      <w:r>
        <w:rPr>
          <w:szCs w:val="24"/>
        </w:rPr>
        <w:t> </w:t>
      </w:r>
      <w:r w:rsidRPr="00C83D6B">
        <w:rPr>
          <w:szCs w:val="24"/>
        </w:rPr>
        <w:t xml:space="preserve">CMOs have signed an expression of interest in </w:t>
      </w:r>
      <w:r w:rsidRPr="00C83D6B">
        <w:rPr>
          <w:i/>
          <w:szCs w:val="24"/>
        </w:rPr>
        <w:t>TAG</w:t>
      </w:r>
      <w:r w:rsidRPr="00C83D6B">
        <w:rPr>
          <w:szCs w:val="24"/>
        </w:rPr>
        <w:t>)</w:t>
      </w:r>
      <w:r>
        <w:rPr>
          <w:szCs w:val="24"/>
        </w:rPr>
        <w:t>.</w:t>
      </w:r>
      <w:r w:rsidRPr="00C83D6B">
        <w:rPr>
          <w:szCs w:val="24"/>
        </w:rPr>
        <w:t xml:space="preserve">  </w:t>
      </w:r>
    </w:p>
    <w:p w:rsidR="00F838C5" w:rsidRPr="00C83D6B" w:rsidRDefault="00F838C5" w:rsidP="001363EE">
      <w:pPr>
        <w:pStyle w:val="ListParagraph"/>
        <w:tabs>
          <w:tab w:val="left" w:pos="0"/>
          <w:tab w:val="left" w:pos="709"/>
        </w:tabs>
        <w:ind w:left="0"/>
        <w:jc w:val="both"/>
        <w:rPr>
          <w:rFonts w:eastAsia="SimSun" w:cs="Arial"/>
          <w:bCs/>
          <w:lang w:eastAsia="zh-CN"/>
        </w:rPr>
      </w:pPr>
    </w:p>
    <w:p w:rsidR="00F838C5" w:rsidRPr="0091028D" w:rsidRDefault="00F838C5" w:rsidP="00F838C5">
      <w:pPr>
        <w:pStyle w:val="ListParagraph"/>
        <w:numPr>
          <w:ilvl w:val="0"/>
          <w:numId w:val="58"/>
        </w:numPr>
        <w:tabs>
          <w:tab w:val="left" w:pos="0"/>
          <w:tab w:val="left" w:pos="709"/>
        </w:tabs>
        <w:ind w:left="0" w:firstLine="0"/>
        <w:jc w:val="both"/>
        <w:rPr>
          <w:rFonts w:eastAsia="SimSun" w:cs="Arial"/>
          <w:bCs/>
          <w:lang w:eastAsia="zh-CN"/>
        </w:rPr>
      </w:pPr>
      <w:r w:rsidRPr="00CC0B0B">
        <w:rPr>
          <w:rFonts w:eastAsia="SimSun" w:cs="Arial"/>
          <w:bCs/>
          <w:szCs w:val="24"/>
          <w:lang w:eastAsia="zh-CN"/>
        </w:rPr>
        <w:t xml:space="preserve">WIPO developed and launched a distance learning course that uses the full range of 21st century communications techniques to create a practical collective management tool for staff of CMOs, policy makers and legal practitioners. </w:t>
      </w:r>
      <w:r>
        <w:rPr>
          <w:rFonts w:eastAsia="SimSun" w:cs="Arial"/>
          <w:bCs/>
          <w:szCs w:val="24"/>
          <w:lang w:eastAsia="zh-CN"/>
        </w:rPr>
        <w:t xml:space="preserve"> </w:t>
      </w:r>
      <w:r w:rsidRPr="00CC0B0B">
        <w:rPr>
          <w:rFonts w:eastAsia="SimSun" w:cs="Arial"/>
          <w:bCs/>
          <w:szCs w:val="24"/>
          <w:lang w:eastAsia="zh-CN"/>
        </w:rPr>
        <w:t>The course was piloted in 2014</w:t>
      </w:r>
      <w:r>
        <w:rPr>
          <w:rFonts w:eastAsia="SimSun" w:cs="Arial"/>
          <w:bCs/>
          <w:szCs w:val="24"/>
          <w:lang w:eastAsia="zh-CN"/>
        </w:rPr>
        <w:t xml:space="preserve"> </w:t>
      </w:r>
      <w:r w:rsidRPr="004927C5">
        <w:rPr>
          <w:rFonts w:eastAsia="SimSun" w:cs="Arial"/>
          <w:bCs/>
          <w:szCs w:val="24"/>
          <w:lang w:eastAsia="zh-CN"/>
        </w:rPr>
        <w:t xml:space="preserve">and positively received by </w:t>
      </w:r>
      <w:r>
        <w:rPr>
          <w:rFonts w:eastAsia="SimSun" w:cs="Arial"/>
          <w:bCs/>
          <w:szCs w:val="24"/>
          <w:lang w:eastAsia="zh-CN"/>
        </w:rPr>
        <w:t>participants</w:t>
      </w:r>
      <w:r w:rsidRPr="004927C5">
        <w:rPr>
          <w:rFonts w:eastAsia="SimSun" w:cs="Arial"/>
          <w:bCs/>
          <w:szCs w:val="24"/>
          <w:lang w:eastAsia="zh-CN"/>
        </w:rPr>
        <w:t>.  The course, in its finalized version, will be officially launched in 2016</w:t>
      </w:r>
      <w:r w:rsidRPr="00CC0B0B">
        <w:rPr>
          <w:rFonts w:eastAsia="SimSun" w:cs="Arial"/>
          <w:bCs/>
          <w:szCs w:val="24"/>
          <w:lang w:eastAsia="zh-CN"/>
        </w:rPr>
        <w:t xml:space="preserve">. </w:t>
      </w:r>
      <w:r>
        <w:rPr>
          <w:rFonts w:eastAsia="SimSun" w:cs="Arial"/>
          <w:bCs/>
          <w:szCs w:val="24"/>
          <w:lang w:eastAsia="zh-CN"/>
        </w:rPr>
        <w:t xml:space="preserve"> </w:t>
      </w:r>
      <w:r w:rsidRPr="00CC0B0B">
        <w:rPr>
          <w:rFonts w:eastAsia="SimSun" w:cs="Arial"/>
          <w:bCs/>
          <w:szCs w:val="24"/>
          <w:lang w:eastAsia="zh-CN"/>
        </w:rPr>
        <w:t xml:space="preserve">WIPO also </w:t>
      </w:r>
      <w:r>
        <w:rPr>
          <w:rFonts w:eastAsia="SimSun" w:cs="Arial"/>
          <w:bCs/>
          <w:szCs w:val="24"/>
          <w:lang w:eastAsia="zh-CN"/>
        </w:rPr>
        <w:t xml:space="preserve">signed MoUs and </w:t>
      </w:r>
      <w:r w:rsidRPr="00CC0B0B">
        <w:rPr>
          <w:rFonts w:eastAsia="SimSun" w:cs="Arial"/>
          <w:bCs/>
          <w:szCs w:val="24"/>
          <w:lang w:eastAsia="zh-CN"/>
        </w:rPr>
        <w:t xml:space="preserve">organized a series of capacity-building programs and events with NGOs such as </w:t>
      </w:r>
      <w:r>
        <w:rPr>
          <w:rFonts w:eastAsia="SimSun" w:cs="Arial"/>
          <w:bCs/>
          <w:szCs w:val="24"/>
          <w:lang w:eastAsia="zh-CN"/>
        </w:rPr>
        <w:t xml:space="preserve">the </w:t>
      </w:r>
      <w:r>
        <w:rPr>
          <w:rStyle w:val="st"/>
        </w:rPr>
        <w:t xml:space="preserve">International </w:t>
      </w:r>
      <w:r w:rsidRPr="0091028D">
        <w:rPr>
          <w:rStyle w:val="st"/>
        </w:rPr>
        <w:t>Federation of Reproduction Rights Organisations (</w:t>
      </w:r>
      <w:r w:rsidRPr="0091028D">
        <w:rPr>
          <w:rFonts w:eastAsia="SimSun" w:cs="Arial"/>
          <w:bCs/>
          <w:szCs w:val="24"/>
          <w:lang w:eastAsia="zh-CN"/>
        </w:rPr>
        <w:t xml:space="preserve">IFRRO), the International Federation of Phonographic Industries (IFPI), the Norwegian Copyright Development Association (NORCODE), the </w:t>
      </w:r>
      <w:r w:rsidRPr="0091028D">
        <w:rPr>
          <w:rStyle w:val="st"/>
        </w:rPr>
        <w:t>Societies' Council for the Collective Management of Performers' Rights (</w:t>
      </w:r>
      <w:r w:rsidRPr="0091028D">
        <w:rPr>
          <w:rFonts w:eastAsia="SimSun" w:cs="Arial"/>
          <w:bCs/>
          <w:szCs w:val="24"/>
          <w:lang w:eastAsia="zh-CN"/>
        </w:rPr>
        <w:t xml:space="preserve">SCAPR), the </w:t>
      </w:r>
      <w:r w:rsidRPr="0091028D">
        <w:rPr>
          <w:rFonts w:eastAsia="SimSun" w:cs="Arial"/>
          <w:bCs/>
          <w:i/>
          <w:szCs w:val="24"/>
          <w:lang w:eastAsia="zh-CN"/>
        </w:rPr>
        <w:t xml:space="preserve">Insituto de Derecho de Autor </w:t>
      </w:r>
      <w:r w:rsidRPr="0091028D">
        <w:rPr>
          <w:rFonts w:eastAsia="SimSun" w:cs="Arial"/>
          <w:bCs/>
          <w:szCs w:val="24"/>
          <w:lang w:eastAsia="zh-CN"/>
        </w:rPr>
        <w:t xml:space="preserve">(IA) and </w:t>
      </w:r>
      <w:r w:rsidRPr="0091028D">
        <w:rPr>
          <w:rFonts w:eastAsia="SimSun" w:cs="Arial"/>
          <w:bCs/>
          <w:i/>
          <w:szCs w:val="24"/>
          <w:lang w:eastAsia="zh-CN"/>
        </w:rPr>
        <w:t>Sociedad Portuguesa de Autores (</w:t>
      </w:r>
      <w:r w:rsidRPr="0091028D">
        <w:rPr>
          <w:rFonts w:eastAsia="SimSun" w:cs="Arial"/>
          <w:bCs/>
          <w:szCs w:val="24"/>
          <w:lang w:eastAsia="zh-CN"/>
        </w:rPr>
        <w:t xml:space="preserve">SPA), as well as governments, including that of the United States of America.  As part of this capacity building work, WIPO’s mentoring program to facilitate knowledge transfer in collective management continued, pairing well-established CMOs with developing CMOs.  In addition, six CMO educational modules were made available to Member States in 2014/15. </w:t>
      </w:r>
    </w:p>
    <w:p w:rsidR="00F838C5" w:rsidRPr="0091028D" w:rsidRDefault="00F838C5" w:rsidP="001363EE">
      <w:pPr>
        <w:pStyle w:val="ListParagraph"/>
        <w:tabs>
          <w:tab w:val="left" w:pos="0"/>
          <w:tab w:val="left" w:pos="709"/>
        </w:tabs>
        <w:ind w:left="0"/>
        <w:jc w:val="both"/>
        <w:rPr>
          <w:rFonts w:eastAsia="SimSun" w:cs="Arial"/>
          <w:bCs/>
          <w:lang w:eastAsia="zh-CN"/>
        </w:rPr>
      </w:pPr>
    </w:p>
    <w:p w:rsidR="00F838C5" w:rsidRPr="0091028D" w:rsidRDefault="00F838C5" w:rsidP="00F838C5">
      <w:pPr>
        <w:pStyle w:val="ListParagraph"/>
        <w:numPr>
          <w:ilvl w:val="0"/>
          <w:numId w:val="58"/>
        </w:numPr>
        <w:tabs>
          <w:tab w:val="left" w:pos="0"/>
          <w:tab w:val="left" w:pos="709"/>
        </w:tabs>
        <w:ind w:left="0" w:firstLine="0"/>
        <w:jc w:val="both"/>
        <w:rPr>
          <w:rFonts w:eastAsia="SimSun" w:cs="Arial"/>
          <w:bCs/>
          <w:lang w:eastAsia="zh-CN"/>
        </w:rPr>
      </w:pPr>
      <w:r w:rsidRPr="0091028D">
        <w:rPr>
          <w:rFonts w:eastAsia="SimSun" w:cs="Arial"/>
          <w:bCs/>
          <w:szCs w:val="24"/>
          <w:lang w:eastAsia="zh-CN"/>
        </w:rPr>
        <w:t xml:space="preserve">The </w:t>
      </w:r>
      <w:r w:rsidRPr="0091028D">
        <w:rPr>
          <w:i/>
          <w:iCs/>
          <w:szCs w:val="24"/>
        </w:rPr>
        <w:t>2014 Collecting Societies Handbook</w:t>
      </w:r>
      <w:r w:rsidRPr="0091028D">
        <w:rPr>
          <w:rStyle w:val="FootnoteReference"/>
          <w:i/>
          <w:iCs/>
          <w:szCs w:val="24"/>
        </w:rPr>
        <w:footnoteReference w:id="13"/>
      </w:r>
      <w:r w:rsidRPr="0091028D">
        <w:rPr>
          <w:i/>
          <w:iCs/>
          <w:szCs w:val="24"/>
        </w:rPr>
        <w:t xml:space="preserve">, </w:t>
      </w:r>
      <w:r w:rsidRPr="0091028D">
        <w:rPr>
          <w:rFonts w:eastAsia="SimSun" w:cs="Arial"/>
          <w:bCs/>
          <w:szCs w:val="24"/>
          <w:lang w:eastAsia="zh-CN"/>
        </w:rPr>
        <w:t>an online guide containing key facts and figures on CMOs around the world, was developed in collaboration with the law firm Baker &amp; McKenzie and launched in October 2014.  Since its launch, the handbook has seen an average of over 2,300</w:t>
      </w:r>
      <w:r w:rsidRPr="0091028D">
        <w:rPr>
          <w:rFonts w:cs="Arial"/>
        </w:rPr>
        <w:t xml:space="preserve"> unique visits per month.   </w:t>
      </w:r>
    </w:p>
    <w:p w:rsidR="00F838C5" w:rsidRPr="0091028D" w:rsidRDefault="00F838C5" w:rsidP="001363EE">
      <w:pPr>
        <w:pStyle w:val="ListParagraph"/>
        <w:tabs>
          <w:tab w:val="left" w:pos="0"/>
          <w:tab w:val="left" w:pos="709"/>
        </w:tabs>
        <w:ind w:left="0"/>
        <w:jc w:val="both"/>
        <w:rPr>
          <w:rFonts w:eastAsia="SimSun" w:cs="Arial"/>
          <w:bCs/>
          <w:lang w:eastAsia="zh-CN"/>
        </w:rPr>
      </w:pPr>
    </w:p>
    <w:p w:rsidR="00F838C5" w:rsidRPr="0091028D" w:rsidRDefault="00F838C5" w:rsidP="00F838C5">
      <w:pPr>
        <w:pStyle w:val="ListParagraph"/>
        <w:numPr>
          <w:ilvl w:val="0"/>
          <w:numId w:val="58"/>
        </w:numPr>
        <w:tabs>
          <w:tab w:val="left" w:pos="0"/>
          <w:tab w:val="left" w:pos="709"/>
        </w:tabs>
        <w:ind w:left="0" w:firstLine="0"/>
        <w:jc w:val="both"/>
        <w:rPr>
          <w:rFonts w:eastAsia="SimSun" w:cs="Arial"/>
          <w:bCs/>
          <w:lang w:eastAsia="zh-CN"/>
        </w:rPr>
      </w:pPr>
      <w:r w:rsidRPr="0091028D">
        <w:rPr>
          <w:rFonts w:eastAsia="SimSun" w:cs="Arial"/>
          <w:bCs/>
          <w:lang w:eastAsia="zh-CN"/>
        </w:rPr>
        <w:t xml:space="preserve">In 2014/15, WIPO published four national economic </w:t>
      </w:r>
      <w:proofErr w:type="gramStart"/>
      <w:r w:rsidRPr="0091028D">
        <w:rPr>
          <w:rFonts w:eastAsia="SimSun" w:cs="Arial"/>
          <w:bCs/>
          <w:lang w:eastAsia="zh-CN"/>
        </w:rPr>
        <w:t>studies  on</w:t>
      </w:r>
      <w:proofErr w:type="gramEnd"/>
      <w:r w:rsidRPr="0091028D">
        <w:rPr>
          <w:rFonts w:eastAsia="SimSun" w:cs="Arial"/>
          <w:bCs/>
          <w:lang w:eastAsia="zh-CN"/>
        </w:rPr>
        <w:t xml:space="preserve"> the economic contribution of copyright industries in Argentina, Indonesia, Serbia and Turkey and one study in the Member States of the Organization of the East Caribbean States (OECS) and finalized studies for Ethiopia, France and Republic of Moldova </w:t>
      </w:r>
      <w:r w:rsidRPr="0091028D">
        <w:rPr>
          <w:iCs/>
          <w:lang w:eastAsia="zh-CN"/>
        </w:rPr>
        <w:t>which will be published in early 2016</w:t>
      </w:r>
      <w:r w:rsidRPr="0091028D">
        <w:rPr>
          <w:i/>
          <w:iCs/>
          <w:lang w:eastAsia="zh-CN"/>
        </w:rPr>
        <w:t xml:space="preserve"> </w:t>
      </w:r>
      <w:r w:rsidRPr="0091028D">
        <w:rPr>
          <w:rFonts w:eastAsia="SimSun" w:cs="Arial"/>
          <w:bCs/>
          <w:lang w:eastAsia="zh-CN"/>
        </w:rPr>
        <w:t xml:space="preserve">(for a cumulative total of 49 such studies).  The studies are based on the </w:t>
      </w:r>
      <w:r w:rsidRPr="0091028D">
        <w:rPr>
          <w:rFonts w:eastAsia="SimSun" w:cs="Arial"/>
          <w:bCs/>
          <w:i/>
          <w:lang w:eastAsia="zh-CN"/>
        </w:rPr>
        <w:t>WIPO Guide on Surveying the Economic Contribution of the Copyright Based Industries,</w:t>
      </w:r>
      <w:r w:rsidRPr="0091028D">
        <w:rPr>
          <w:rFonts w:eastAsia="SimSun" w:cs="Arial"/>
          <w:bCs/>
          <w:lang w:eastAsia="zh-CN"/>
        </w:rPr>
        <w:t xml:space="preserve"> which entered its second edition in 2015.  The studies indicate that, on average, the creative industries account for 5.16 per cent of GDP and 5.36 per cent of total employment.  WIPO also (i)</w:t>
      </w:r>
      <w:r>
        <w:rPr>
          <w:rFonts w:eastAsia="SimSun" w:cs="Arial"/>
          <w:bCs/>
          <w:lang w:eastAsia="zh-CN"/>
        </w:rPr>
        <w:t> </w:t>
      </w:r>
      <w:r w:rsidRPr="0091028D">
        <w:rPr>
          <w:rFonts w:eastAsia="SimSun" w:cs="Arial"/>
          <w:bCs/>
          <w:lang w:eastAsia="zh-CN"/>
        </w:rPr>
        <w:t>published (with external partners) two annual surveys on copyright levies;  (ii) launched a pilot study on the broader impact of copyright in the creative industries;  and (iii) finalized a study on piracy.</w:t>
      </w:r>
    </w:p>
    <w:p w:rsidR="00F838C5" w:rsidRDefault="00F838C5" w:rsidP="001363EE">
      <w:pPr>
        <w:pStyle w:val="ListParagraph"/>
        <w:tabs>
          <w:tab w:val="left" w:pos="0"/>
          <w:tab w:val="left" w:pos="709"/>
        </w:tabs>
        <w:ind w:left="0"/>
        <w:jc w:val="both"/>
        <w:rPr>
          <w:rFonts w:eastAsia="SimSun" w:cs="Arial"/>
          <w:bCs/>
          <w:lang w:eastAsia="zh-CN"/>
        </w:rPr>
      </w:pPr>
    </w:p>
    <w:p w:rsidR="00F838C5" w:rsidRPr="00CC0B0B" w:rsidRDefault="00F838C5" w:rsidP="00F838C5">
      <w:pPr>
        <w:pStyle w:val="ListParagraph"/>
        <w:numPr>
          <w:ilvl w:val="0"/>
          <w:numId w:val="58"/>
        </w:numPr>
        <w:tabs>
          <w:tab w:val="left" w:pos="0"/>
          <w:tab w:val="left" w:pos="709"/>
        </w:tabs>
        <w:ind w:left="0" w:firstLine="0"/>
        <w:jc w:val="both"/>
        <w:rPr>
          <w:rFonts w:eastAsia="SimSun" w:cs="Arial"/>
          <w:bCs/>
          <w:lang w:eastAsia="zh-CN"/>
        </w:rPr>
      </w:pPr>
      <w:r w:rsidRPr="00CC0B0B">
        <w:rPr>
          <w:rFonts w:eastAsia="SimSun" w:cs="Arial"/>
          <w:bCs/>
          <w:szCs w:val="24"/>
          <w:lang w:eastAsia="zh-CN"/>
        </w:rPr>
        <w:t>As for its work with creators, WIPO published two new additional tools</w:t>
      </w:r>
      <w:r>
        <w:rPr>
          <w:rFonts w:eastAsia="SimSun" w:cs="Arial"/>
          <w:bCs/>
          <w:szCs w:val="24"/>
          <w:lang w:eastAsia="zh-CN"/>
        </w:rPr>
        <w:t xml:space="preserve"> in 2014</w:t>
      </w:r>
      <w:r w:rsidRPr="00CC0B0B">
        <w:rPr>
          <w:rFonts w:eastAsia="SimSun" w:cs="Arial"/>
          <w:bCs/>
          <w:szCs w:val="24"/>
          <w:lang w:eastAsia="zh-CN"/>
        </w:rPr>
        <w:t xml:space="preserve"> - </w:t>
      </w:r>
      <w:r w:rsidRPr="00CF2880">
        <w:rPr>
          <w:rFonts w:eastAsia="SimSun" w:cs="Arial"/>
          <w:bCs/>
          <w:lang w:eastAsia="zh-CN"/>
        </w:rPr>
        <w:t xml:space="preserve">Mastering the Game - Business and Legal Issues for Video Game Developers, and Monetization of Copyright Assets by Creative Enterprises.  The second edition of the WIPO publication </w:t>
      </w:r>
      <w:r w:rsidRPr="0044036F">
        <w:rPr>
          <w:rFonts w:eastAsia="SimSun" w:cs="Arial"/>
          <w:bCs/>
          <w:i/>
          <w:lang w:eastAsia="zh-CN"/>
        </w:rPr>
        <w:t>How to Make a Living from Music</w:t>
      </w:r>
      <w:r w:rsidRPr="00CF2880">
        <w:rPr>
          <w:rFonts w:eastAsia="SimSun" w:cs="Arial"/>
          <w:bCs/>
          <w:lang w:eastAsia="zh-CN"/>
        </w:rPr>
        <w:t xml:space="preserve"> was released in July 2014.  </w:t>
      </w:r>
      <w:r w:rsidRPr="00CC0B0B">
        <w:rPr>
          <w:rFonts w:eastAsia="SimSun" w:cs="Arial"/>
          <w:bCs/>
          <w:szCs w:val="24"/>
          <w:lang w:eastAsia="zh-CN"/>
        </w:rPr>
        <w:t xml:space="preserve">These tools </w:t>
      </w:r>
      <w:r>
        <w:rPr>
          <w:rFonts w:eastAsia="SimSun" w:cs="Arial"/>
          <w:bCs/>
          <w:szCs w:val="24"/>
          <w:lang w:eastAsia="zh-CN"/>
        </w:rPr>
        <w:t>were</w:t>
      </w:r>
      <w:r w:rsidRPr="00CC0B0B">
        <w:rPr>
          <w:rFonts w:eastAsia="SimSun" w:cs="Arial"/>
          <w:bCs/>
          <w:szCs w:val="24"/>
          <w:lang w:eastAsia="zh-CN"/>
        </w:rPr>
        <w:t xml:space="preserve"> widely used in capacity-building programs and were downloade</w:t>
      </w:r>
      <w:r>
        <w:rPr>
          <w:rFonts w:eastAsia="SimSun" w:cs="Arial"/>
          <w:bCs/>
          <w:szCs w:val="24"/>
          <w:lang w:eastAsia="zh-CN"/>
        </w:rPr>
        <w:t>d over 100,000 times annually in 2014 and 2015.</w:t>
      </w:r>
    </w:p>
    <w:p w:rsidR="00F838C5" w:rsidRPr="00CC0B0B" w:rsidRDefault="00F838C5" w:rsidP="001363EE">
      <w:pPr>
        <w:pStyle w:val="ListParagraph"/>
        <w:tabs>
          <w:tab w:val="left" w:pos="0"/>
          <w:tab w:val="left" w:pos="709"/>
        </w:tabs>
        <w:ind w:left="0"/>
        <w:jc w:val="both"/>
        <w:rPr>
          <w:rFonts w:eastAsia="SimSun" w:cs="Arial"/>
          <w:bCs/>
          <w:lang w:eastAsia="zh-CN"/>
        </w:rPr>
      </w:pPr>
    </w:p>
    <w:p w:rsidR="00F838C5" w:rsidRPr="0091028D" w:rsidRDefault="00F838C5" w:rsidP="00F838C5">
      <w:pPr>
        <w:pStyle w:val="ListParagraph"/>
        <w:numPr>
          <w:ilvl w:val="0"/>
          <w:numId w:val="58"/>
        </w:numPr>
        <w:tabs>
          <w:tab w:val="left" w:pos="0"/>
          <w:tab w:val="left" w:pos="709"/>
        </w:tabs>
        <w:ind w:left="0" w:firstLine="0"/>
        <w:jc w:val="both"/>
        <w:rPr>
          <w:rFonts w:eastAsia="SimSun" w:cs="Arial"/>
          <w:bCs/>
          <w:lang w:eastAsia="zh-CN"/>
        </w:rPr>
      </w:pPr>
      <w:r w:rsidRPr="00CC0B0B">
        <w:rPr>
          <w:rFonts w:cs="Arial"/>
          <w:color w:val="000000"/>
        </w:rPr>
        <w:t>In June 2014, a new multi-stakeholder entity, the Accessible Books Consortium (ABC)</w:t>
      </w:r>
      <w:r>
        <w:rPr>
          <w:rFonts w:cs="Arial"/>
          <w:color w:val="000000"/>
        </w:rPr>
        <w:t>,</w:t>
      </w:r>
      <w:r w:rsidRPr="00CC0B0B">
        <w:rPr>
          <w:rFonts w:cs="Arial"/>
          <w:color w:val="000000"/>
        </w:rPr>
        <w:t xml:space="preserve"> was established to increase the number of books available in accessible formats to people with print disabilities worldwide. </w:t>
      </w:r>
      <w:r>
        <w:rPr>
          <w:rFonts w:cs="Arial"/>
          <w:color w:val="000000"/>
        </w:rPr>
        <w:t xml:space="preserve"> </w:t>
      </w:r>
      <w:r w:rsidRPr="00CC0B0B">
        <w:rPr>
          <w:rFonts w:cs="Arial"/>
          <w:color w:val="000000"/>
        </w:rPr>
        <w:t xml:space="preserve">The ABC carried out three main activities: </w:t>
      </w:r>
      <w:r>
        <w:rPr>
          <w:rFonts w:cs="Arial"/>
          <w:color w:val="000000"/>
        </w:rPr>
        <w:t xml:space="preserve"> </w:t>
      </w:r>
      <w:r w:rsidRPr="00CC0B0B">
        <w:rPr>
          <w:rFonts w:cs="Arial"/>
          <w:color w:val="000000"/>
        </w:rPr>
        <w:t>(</w:t>
      </w:r>
      <w:r>
        <w:rPr>
          <w:rFonts w:cs="Arial"/>
          <w:color w:val="000000"/>
        </w:rPr>
        <w:t>i</w:t>
      </w:r>
      <w:r w:rsidRPr="00CC0B0B">
        <w:rPr>
          <w:rFonts w:cs="Arial"/>
          <w:color w:val="000000"/>
        </w:rPr>
        <w:t>) technical assistance in accessible book production</w:t>
      </w:r>
      <w:r>
        <w:rPr>
          <w:rFonts w:cs="Arial"/>
          <w:color w:val="000000"/>
        </w:rPr>
        <w:t xml:space="preserve"> (funded by the Governments of Australia and the Republic of Korea)</w:t>
      </w:r>
      <w:proofErr w:type="gramStart"/>
      <w:r w:rsidRPr="00CC0B0B">
        <w:rPr>
          <w:rFonts w:cs="Arial"/>
          <w:color w:val="000000"/>
        </w:rPr>
        <w:t xml:space="preserve">; </w:t>
      </w:r>
      <w:r>
        <w:rPr>
          <w:rFonts w:cs="Arial"/>
          <w:color w:val="000000"/>
        </w:rPr>
        <w:t xml:space="preserve"> </w:t>
      </w:r>
      <w:r w:rsidRPr="00CC0B0B">
        <w:rPr>
          <w:rFonts w:cs="Arial"/>
          <w:color w:val="000000"/>
        </w:rPr>
        <w:t>(</w:t>
      </w:r>
      <w:proofErr w:type="gramEnd"/>
      <w:r>
        <w:rPr>
          <w:rFonts w:cs="Arial"/>
          <w:color w:val="000000"/>
        </w:rPr>
        <w:t>ii</w:t>
      </w:r>
      <w:r w:rsidRPr="00CC0B0B">
        <w:rPr>
          <w:rFonts w:cs="Arial"/>
          <w:color w:val="000000"/>
        </w:rPr>
        <w:t xml:space="preserve">) inclusive publishing, which promotes technologies that allow for “born accessible” publishing so that new books are usable from the start by both sighted people and people with print disabilities; </w:t>
      </w:r>
      <w:r>
        <w:rPr>
          <w:rFonts w:cs="Arial"/>
          <w:color w:val="000000"/>
        </w:rPr>
        <w:t xml:space="preserve"> </w:t>
      </w:r>
      <w:r w:rsidRPr="00CC0B0B">
        <w:rPr>
          <w:rFonts w:cs="Arial"/>
          <w:color w:val="000000"/>
        </w:rPr>
        <w:t>and (</w:t>
      </w:r>
      <w:r>
        <w:rPr>
          <w:rFonts w:cs="Arial"/>
          <w:color w:val="000000"/>
        </w:rPr>
        <w:t>iii</w:t>
      </w:r>
      <w:r w:rsidRPr="00CC0B0B">
        <w:rPr>
          <w:rFonts w:cs="Arial"/>
          <w:color w:val="000000"/>
        </w:rPr>
        <w:t>) the ABC Book Service, also known as TIGAR, an international database of accessible titles in 55 languages</w:t>
      </w:r>
      <w:r>
        <w:rPr>
          <w:rFonts w:cs="Arial"/>
          <w:color w:val="000000"/>
        </w:rPr>
        <w:t xml:space="preserve">.  </w:t>
      </w:r>
      <w:r w:rsidRPr="006A2430">
        <w:rPr>
          <w:rFonts w:cs="Arial"/>
          <w:color w:val="000000"/>
        </w:rPr>
        <w:t xml:space="preserve"> </w:t>
      </w:r>
      <w:r>
        <w:rPr>
          <w:rFonts w:cs="Arial"/>
          <w:color w:val="000000"/>
        </w:rPr>
        <w:t xml:space="preserve">Under the first activity, the </w:t>
      </w:r>
      <w:r w:rsidRPr="0091028D">
        <w:rPr>
          <w:rFonts w:cs="Arial"/>
          <w:color w:val="000000"/>
        </w:rPr>
        <w:t xml:space="preserve">ABC produced </w:t>
      </w:r>
      <w:r w:rsidRPr="0091028D">
        <w:rPr>
          <w:color w:val="000000"/>
        </w:rPr>
        <w:t>1,580 educational books benefiting 23,500 print-disabled students in Bangladesh, India, Nepal, and Sri Lanka.  Under the second activity,</w:t>
      </w:r>
      <w:r w:rsidRPr="0091028D">
        <w:rPr>
          <w:rFonts w:cs="Arial"/>
          <w:color w:val="000000"/>
        </w:rPr>
        <w:t xml:space="preserve"> the ABC sponsored the </w:t>
      </w:r>
      <w:r w:rsidRPr="0091028D">
        <w:rPr>
          <w:rFonts w:cs="Arial"/>
          <w:bCs/>
          <w:i/>
          <w:color w:val="000000"/>
        </w:rPr>
        <w:t>Charter for Accessible Publishing</w:t>
      </w:r>
      <w:r w:rsidRPr="0091028D">
        <w:rPr>
          <w:rFonts w:cs="Arial"/>
          <w:color w:val="000000"/>
        </w:rPr>
        <w:t xml:space="preserve"> and the </w:t>
      </w:r>
      <w:r w:rsidRPr="0091028D">
        <w:rPr>
          <w:rFonts w:cs="Arial"/>
          <w:bCs/>
          <w:i/>
          <w:color w:val="000000"/>
        </w:rPr>
        <w:t xml:space="preserve">ABC International Excellence Award for Accessible Publishing.  </w:t>
      </w:r>
      <w:r w:rsidR="00220419" w:rsidRPr="00E37059">
        <w:rPr>
          <w:rFonts w:cs="Arial"/>
          <w:bCs/>
          <w:color w:val="000000"/>
        </w:rPr>
        <w:t>With respect to the third activity,</w:t>
      </w:r>
      <w:r w:rsidR="00220419">
        <w:rPr>
          <w:rFonts w:cs="Arial"/>
          <w:bCs/>
          <w:i/>
          <w:color w:val="000000"/>
        </w:rPr>
        <w:t xml:space="preserve"> </w:t>
      </w:r>
      <w:r w:rsidR="00220419">
        <w:rPr>
          <w:rFonts w:cs="Arial"/>
          <w:color w:val="000000"/>
        </w:rPr>
        <w:t>a</w:t>
      </w:r>
      <w:r w:rsidRPr="0091028D">
        <w:rPr>
          <w:rFonts w:cs="Arial"/>
          <w:color w:val="000000"/>
        </w:rPr>
        <w:t>s of the end of 2015, there were 4,208 downloads of accessible titles by 15</w:t>
      </w:r>
      <w:r w:rsidR="0084413C">
        <w:rPr>
          <w:rFonts w:cs="Arial"/>
          <w:color w:val="000000"/>
        </w:rPr>
        <w:t> </w:t>
      </w:r>
      <w:r w:rsidRPr="0091028D">
        <w:rPr>
          <w:rFonts w:cs="Arial"/>
          <w:color w:val="000000"/>
        </w:rPr>
        <w:t>participating libraries</w:t>
      </w:r>
      <w:r>
        <w:rPr>
          <w:rFonts w:cs="Arial"/>
          <w:color w:val="000000"/>
        </w:rPr>
        <w:t xml:space="preserve"> and</w:t>
      </w:r>
      <w:r w:rsidRPr="0091028D">
        <w:rPr>
          <w:rFonts w:cs="Arial"/>
          <w:color w:val="000000"/>
        </w:rPr>
        <w:t xml:space="preserve"> over 58,000</w:t>
      </w:r>
      <w:r>
        <w:rPr>
          <w:rFonts w:cs="Arial"/>
          <w:color w:val="000000"/>
        </w:rPr>
        <w:t> </w:t>
      </w:r>
      <w:r w:rsidRPr="0091028D">
        <w:rPr>
          <w:rFonts w:cs="Arial"/>
          <w:color w:val="000000"/>
        </w:rPr>
        <w:t>loans of accessible books to persons who are print-disabled</w:t>
      </w:r>
      <w:r w:rsidR="00220419">
        <w:rPr>
          <w:rFonts w:cs="Arial"/>
          <w:color w:val="000000"/>
        </w:rPr>
        <w:t>.</w:t>
      </w:r>
    </w:p>
    <w:p w:rsidR="00F838C5" w:rsidRPr="0091028D" w:rsidRDefault="00F838C5" w:rsidP="001363EE">
      <w:pPr>
        <w:pStyle w:val="ListParagraph"/>
        <w:tabs>
          <w:tab w:val="left" w:pos="0"/>
          <w:tab w:val="left" w:pos="709"/>
        </w:tabs>
        <w:ind w:left="0"/>
        <w:jc w:val="both"/>
        <w:rPr>
          <w:rFonts w:cs="Arial"/>
          <w:color w:val="000000"/>
        </w:rPr>
      </w:pPr>
    </w:p>
    <w:p w:rsidR="00F838C5" w:rsidRPr="00E43E7F" w:rsidRDefault="00F838C5" w:rsidP="00F838C5">
      <w:pPr>
        <w:pStyle w:val="ListParagraph"/>
        <w:numPr>
          <w:ilvl w:val="0"/>
          <w:numId w:val="58"/>
        </w:numPr>
        <w:tabs>
          <w:tab w:val="left" w:pos="0"/>
          <w:tab w:val="left" w:pos="709"/>
        </w:tabs>
        <w:ind w:left="0" w:firstLine="0"/>
        <w:jc w:val="both"/>
        <w:rPr>
          <w:rFonts w:cs="Arial"/>
          <w:color w:val="000000"/>
        </w:rPr>
      </w:pPr>
      <w:r w:rsidRPr="0091028D">
        <w:rPr>
          <w:rFonts w:cs="Arial"/>
          <w:color w:val="000000"/>
        </w:rPr>
        <w:t>The Program continued</w:t>
      </w:r>
      <w:r w:rsidRPr="00E43E7F">
        <w:rPr>
          <w:rFonts w:cs="Arial"/>
          <w:color w:val="000000"/>
        </w:rPr>
        <w:t xml:space="preserve"> successfully to support</w:t>
      </w:r>
      <w:r>
        <w:rPr>
          <w:rFonts w:cs="Arial"/>
          <w:color w:val="000000"/>
        </w:rPr>
        <w:t xml:space="preserve"> </w:t>
      </w:r>
      <w:r w:rsidRPr="00E43E7F">
        <w:rPr>
          <w:rFonts w:cs="Arial"/>
          <w:color w:val="000000"/>
        </w:rPr>
        <w:t>WIPO’s current copyright data management tool WIPOCOS until September 2015</w:t>
      </w:r>
      <w:r>
        <w:rPr>
          <w:rFonts w:cs="Arial"/>
          <w:color w:val="000000"/>
        </w:rPr>
        <w:t>, when responsibility was transferred to Program 15 (Business Solutions for IP Offices)</w:t>
      </w:r>
      <w:r w:rsidRPr="00E43E7F">
        <w:rPr>
          <w:rFonts w:cs="Arial"/>
          <w:color w:val="000000"/>
        </w:rPr>
        <w:t xml:space="preserve">. </w:t>
      </w:r>
      <w:r>
        <w:rPr>
          <w:rFonts w:cs="Arial"/>
          <w:color w:val="000000"/>
        </w:rPr>
        <w:t xml:space="preserve"> </w:t>
      </w:r>
      <w:r w:rsidRPr="00E43E7F">
        <w:rPr>
          <w:rFonts w:cs="Arial"/>
          <w:color w:val="000000"/>
        </w:rPr>
        <w:t>WIPO’s objective is to continue support for WIPOCOS until the WIPO Copyright Connection (WCC), the new data management system to enhance global data and rights flows in beneficiary CMOs, is ready for deployment.</w:t>
      </w:r>
      <w:r>
        <w:rPr>
          <w:rFonts w:cs="Arial"/>
          <w:color w:val="000000"/>
        </w:rPr>
        <w:t xml:space="preserve">  </w:t>
      </w:r>
    </w:p>
    <w:p w:rsidR="00F838C5" w:rsidRPr="00CF2880" w:rsidRDefault="00F838C5" w:rsidP="001363EE">
      <w:pPr>
        <w:pStyle w:val="ListParagraph"/>
        <w:tabs>
          <w:tab w:val="left" w:pos="0"/>
          <w:tab w:val="left" w:pos="709"/>
        </w:tabs>
        <w:ind w:left="0"/>
        <w:jc w:val="both"/>
        <w:rPr>
          <w:rFonts w:eastAsia="SimSun" w:cs="Arial"/>
          <w:bCs/>
          <w:lang w:eastAsia="zh-CN"/>
        </w:rPr>
      </w:pPr>
    </w:p>
    <w:p w:rsidR="00F838C5" w:rsidRPr="001B669C" w:rsidRDefault="00F838C5" w:rsidP="001363EE">
      <w:pPr>
        <w:tabs>
          <w:tab w:val="left" w:pos="0"/>
          <w:tab w:val="left" w:pos="709"/>
        </w:tabs>
        <w:jc w:val="both"/>
        <w:rPr>
          <w:rFonts w:eastAsia="SimSun" w:cs="Arial"/>
          <w:bCs/>
          <w:szCs w:val="20"/>
          <w:u w:val="single"/>
          <w:lang w:eastAsia="zh-CN"/>
        </w:rPr>
      </w:pPr>
      <w:r w:rsidRPr="001B669C">
        <w:rPr>
          <w:rFonts w:eastAsia="SimSun" w:cs="Arial"/>
          <w:bCs/>
          <w:szCs w:val="20"/>
          <w:u w:val="single"/>
          <w:lang w:eastAsia="zh-CN"/>
        </w:rPr>
        <w:t xml:space="preserve">Technical Assistance </w:t>
      </w:r>
      <w:r>
        <w:rPr>
          <w:rFonts w:eastAsia="SimSun" w:cs="Arial"/>
          <w:bCs/>
          <w:szCs w:val="20"/>
          <w:u w:val="single"/>
          <w:lang w:eastAsia="zh-CN"/>
        </w:rPr>
        <w:t>t</w:t>
      </w:r>
      <w:r w:rsidRPr="001B669C">
        <w:rPr>
          <w:rFonts w:eastAsia="SimSun" w:cs="Arial"/>
          <w:bCs/>
          <w:szCs w:val="20"/>
          <w:u w:val="single"/>
          <w:lang w:eastAsia="zh-CN"/>
        </w:rPr>
        <w:t xml:space="preserve">o Developing Countries and LDCs </w:t>
      </w:r>
    </w:p>
    <w:p w:rsidR="00F838C5" w:rsidRPr="00FC60BC" w:rsidRDefault="00F838C5" w:rsidP="001363EE">
      <w:pPr>
        <w:tabs>
          <w:tab w:val="left" w:pos="0"/>
          <w:tab w:val="left" w:pos="709"/>
        </w:tabs>
        <w:jc w:val="both"/>
        <w:rPr>
          <w:rFonts w:eastAsia="SimSun" w:cs="Arial"/>
          <w:bCs/>
          <w:szCs w:val="20"/>
          <w:lang w:val="en" w:eastAsia="zh-CN"/>
        </w:rPr>
      </w:pPr>
    </w:p>
    <w:p w:rsidR="00F838C5" w:rsidRDefault="00F838C5" w:rsidP="00F838C5">
      <w:pPr>
        <w:numPr>
          <w:ilvl w:val="0"/>
          <w:numId w:val="58"/>
        </w:numPr>
        <w:tabs>
          <w:tab w:val="left" w:pos="0"/>
          <w:tab w:val="left" w:pos="709"/>
        </w:tabs>
        <w:ind w:left="0" w:firstLine="0"/>
        <w:jc w:val="both"/>
        <w:rPr>
          <w:rFonts w:eastAsia="SimSun" w:cs="Arial"/>
          <w:bCs/>
          <w:szCs w:val="20"/>
          <w:lang w:eastAsia="zh-CN"/>
        </w:rPr>
      </w:pPr>
      <w:r w:rsidRPr="00FC60BC">
        <w:rPr>
          <w:rFonts w:eastAsia="SimSun" w:cs="Arial"/>
          <w:bCs/>
          <w:szCs w:val="20"/>
          <w:lang w:eastAsia="zh-CN"/>
        </w:rPr>
        <w:t>During the 2014</w:t>
      </w:r>
      <w:r>
        <w:rPr>
          <w:rFonts w:eastAsia="SimSun" w:cs="Arial"/>
          <w:bCs/>
          <w:szCs w:val="20"/>
          <w:lang w:eastAsia="zh-CN"/>
        </w:rPr>
        <w:t>/</w:t>
      </w:r>
      <w:r w:rsidRPr="00FC60BC">
        <w:rPr>
          <w:rFonts w:eastAsia="SimSun" w:cs="Arial"/>
          <w:bCs/>
          <w:szCs w:val="20"/>
          <w:lang w:eastAsia="zh-CN"/>
        </w:rPr>
        <w:t xml:space="preserve">15 </w:t>
      </w:r>
      <w:r>
        <w:rPr>
          <w:rFonts w:eastAsia="SimSun" w:cs="Arial"/>
          <w:bCs/>
          <w:szCs w:val="20"/>
          <w:lang w:eastAsia="zh-CN"/>
        </w:rPr>
        <w:t>b</w:t>
      </w:r>
      <w:r w:rsidRPr="00FC60BC">
        <w:rPr>
          <w:rFonts w:eastAsia="SimSun" w:cs="Arial"/>
          <w:bCs/>
          <w:szCs w:val="20"/>
          <w:lang w:eastAsia="zh-CN"/>
        </w:rPr>
        <w:t>iennium, technical assistance provided to developing countries and LDCs in the field of copyright and related right</w:t>
      </w:r>
      <w:r>
        <w:rPr>
          <w:rFonts w:eastAsia="SimSun" w:cs="Arial"/>
          <w:bCs/>
          <w:szCs w:val="20"/>
          <w:lang w:eastAsia="zh-CN"/>
        </w:rPr>
        <w:t>s</w:t>
      </w:r>
      <w:r w:rsidRPr="00FC60BC">
        <w:rPr>
          <w:rFonts w:eastAsia="SimSun" w:cs="Arial"/>
          <w:bCs/>
          <w:szCs w:val="20"/>
          <w:lang w:eastAsia="zh-CN"/>
        </w:rPr>
        <w:t xml:space="preserve"> continued to be guided by the DA </w:t>
      </w:r>
      <w:r>
        <w:rPr>
          <w:rFonts w:eastAsia="SimSun" w:cs="Arial"/>
          <w:bCs/>
          <w:szCs w:val="20"/>
          <w:lang w:eastAsia="zh-CN"/>
        </w:rPr>
        <w:t>R</w:t>
      </w:r>
      <w:r w:rsidRPr="00FC60BC">
        <w:rPr>
          <w:rFonts w:eastAsia="SimSun" w:cs="Arial"/>
          <w:bCs/>
          <w:szCs w:val="20"/>
          <w:lang w:eastAsia="zh-CN"/>
        </w:rPr>
        <w:t xml:space="preserve">ecommendations and principles, particularly by DA </w:t>
      </w:r>
      <w:r>
        <w:rPr>
          <w:rFonts w:eastAsia="SimSun" w:cs="Arial"/>
          <w:bCs/>
          <w:szCs w:val="20"/>
          <w:lang w:eastAsia="zh-CN"/>
        </w:rPr>
        <w:t>R</w:t>
      </w:r>
      <w:r w:rsidRPr="00FC60BC">
        <w:rPr>
          <w:rFonts w:eastAsia="SimSun" w:cs="Arial"/>
          <w:bCs/>
          <w:szCs w:val="20"/>
          <w:lang w:eastAsia="zh-CN"/>
        </w:rPr>
        <w:t>eco</w:t>
      </w:r>
      <w:r>
        <w:rPr>
          <w:rFonts w:eastAsia="SimSun" w:cs="Arial"/>
          <w:bCs/>
          <w:szCs w:val="20"/>
          <w:lang w:eastAsia="zh-CN"/>
        </w:rPr>
        <w:t xml:space="preserve">mmendations 1, 5, 6, 10 and 11.  </w:t>
      </w:r>
      <w:r w:rsidRPr="00FC60BC">
        <w:rPr>
          <w:rFonts w:eastAsia="SimSun" w:cs="Arial"/>
          <w:bCs/>
          <w:szCs w:val="20"/>
          <w:lang w:eastAsia="zh-CN"/>
        </w:rPr>
        <w:t>Accordingly, technical assistance programs were demand-based, designed in close consultation with beneficiary countr</w:t>
      </w:r>
      <w:r>
        <w:rPr>
          <w:rFonts w:eastAsia="SimSun" w:cs="Arial"/>
          <w:bCs/>
          <w:szCs w:val="20"/>
          <w:lang w:eastAsia="zh-CN"/>
        </w:rPr>
        <w:t>ies, and delivered in a tailor</w:t>
      </w:r>
      <w:r w:rsidRPr="00FC60BC">
        <w:rPr>
          <w:rFonts w:eastAsia="SimSun" w:cs="Arial"/>
          <w:bCs/>
          <w:szCs w:val="20"/>
          <w:lang w:eastAsia="zh-CN"/>
        </w:rPr>
        <w:t>-made manner to meet identified national developmental priorities and needs</w:t>
      </w:r>
      <w:r>
        <w:rPr>
          <w:rFonts w:eastAsia="SimSun" w:cs="Arial"/>
          <w:bCs/>
          <w:szCs w:val="20"/>
          <w:lang w:eastAsia="zh-CN"/>
        </w:rPr>
        <w:t>.</w:t>
      </w:r>
    </w:p>
    <w:p w:rsidR="00F838C5" w:rsidRDefault="00F838C5" w:rsidP="001363EE">
      <w:pPr>
        <w:tabs>
          <w:tab w:val="left" w:pos="0"/>
          <w:tab w:val="left" w:pos="709"/>
        </w:tabs>
        <w:jc w:val="both"/>
        <w:rPr>
          <w:rFonts w:eastAsia="SimSun" w:cs="Arial"/>
          <w:bCs/>
          <w:szCs w:val="20"/>
          <w:lang w:eastAsia="zh-CN"/>
        </w:rPr>
      </w:pPr>
    </w:p>
    <w:p w:rsidR="00F838C5" w:rsidRPr="00FC60BC" w:rsidRDefault="00F838C5" w:rsidP="00F838C5">
      <w:pPr>
        <w:numPr>
          <w:ilvl w:val="0"/>
          <w:numId w:val="58"/>
        </w:numPr>
        <w:tabs>
          <w:tab w:val="left" w:pos="0"/>
          <w:tab w:val="left" w:pos="709"/>
        </w:tabs>
        <w:ind w:left="0" w:firstLine="0"/>
        <w:jc w:val="both"/>
        <w:rPr>
          <w:rFonts w:eastAsia="SimSun" w:cs="Arial"/>
          <w:bCs/>
          <w:szCs w:val="20"/>
          <w:lang w:eastAsia="zh-CN"/>
        </w:rPr>
      </w:pPr>
      <w:r w:rsidRPr="00FC60BC">
        <w:rPr>
          <w:rFonts w:eastAsia="SimSun" w:cs="Arial"/>
          <w:bCs/>
          <w:szCs w:val="20"/>
          <w:lang w:eastAsia="zh-CN"/>
        </w:rPr>
        <w:t>Effor</w:t>
      </w:r>
      <w:r>
        <w:rPr>
          <w:rFonts w:eastAsia="SimSun" w:cs="Arial"/>
          <w:bCs/>
          <w:szCs w:val="20"/>
          <w:lang w:eastAsia="zh-CN"/>
        </w:rPr>
        <w:t xml:space="preserve">ts were made </w:t>
      </w:r>
      <w:r w:rsidRPr="00FC60BC">
        <w:rPr>
          <w:rFonts w:eastAsia="SimSun" w:cs="Arial"/>
          <w:bCs/>
          <w:szCs w:val="20"/>
          <w:lang w:eastAsia="zh-CN"/>
        </w:rPr>
        <w:t xml:space="preserve">to respond to the increasing demand from developing countries and LDCs for technical assistance in the field of copyright and related rights.  During the period under review, </w:t>
      </w:r>
      <w:r>
        <w:rPr>
          <w:rFonts w:eastAsia="SimSun" w:cs="Arial"/>
          <w:bCs/>
          <w:szCs w:val="20"/>
          <w:lang w:eastAsia="zh-CN"/>
        </w:rPr>
        <w:t>95 </w:t>
      </w:r>
      <w:r w:rsidRPr="00FC60BC">
        <w:rPr>
          <w:rFonts w:eastAsia="SimSun" w:cs="Arial"/>
          <w:bCs/>
          <w:szCs w:val="20"/>
          <w:lang w:eastAsia="zh-CN"/>
        </w:rPr>
        <w:t>different technical assistance and capacity building programs were implemented at national, regional and inter-regional levels</w:t>
      </w:r>
      <w:r>
        <w:rPr>
          <w:rFonts w:eastAsia="SimSun" w:cs="Arial"/>
          <w:bCs/>
          <w:szCs w:val="20"/>
          <w:lang w:eastAsia="zh-CN"/>
        </w:rPr>
        <w:t>,</w:t>
      </w:r>
      <w:r w:rsidRPr="00FC60BC">
        <w:rPr>
          <w:rFonts w:eastAsia="SimSun" w:cs="Arial"/>
          <w:bCs/>
          <w:szCs w:val="20"/>
          <w:lang w:eastAsia="zh-CN"/>
        </w:rPr>
        <w:t xml:space="preserve"> reaching 116</w:t>
      </w:r>
      <w:r>
        <w:rPr>
          <w:rFonts w:eastAsia="SimSun" w:cs="Arial"/>
          <w:bCs/>
          <w:szCs w:val="20"/>
          <w:lang w:eastAsia="zh-CN"/>
        </w:rPr>
        <w:t> </w:t>
      </w:r>
      <w:r w:rsidRPr="00FC60BC">
        <w:rPr>
          <w:rFonts w:eastAsia="SimSun" w:cs="Arial"/>
          <w:bCs/>
          <w:szCs w:val="20"/>
          <w:lang w:eastAsia="zh-CN"/>
        </w:rPr>
        <w:t xml:space="preserve">countries and five regional intergovernmental organizations (the African Regional Industrial Property Organization (ARIPO), </w:t>
      </w:r>
      <w:r w:rsidRPr="00FC60BC">
        <w:rPr>
          <w:rFonts w:eastAsia="SimSun" w:cs="Arial"/>
          <w:bCs/>
          <w:i/>
          <w:szCs w:val="20"/>
          <w:lang w:eastAsia="zh-CN"/>
        </w:rPr>
        <w:t>Centro Regional para el Fomento del Libro en América Latina y el Caribe</w:t>
      </w:r>
      <w:r w:rsidRPr="00FC60BC">
        <w:rPr>
          <w:rFonts w:eastAsia="SimSun" w:cs="Arial"/>
          <w:bCs/>
          <w:szCs w:val="20"/>
          <w:lang w:eastAsia="zh-CN"/>
        </w:rPr>
        <w:t xml:space="preserve"> (CERLALC),</w:t>
      </w:r>
      <w:r w:rsidRPr="00FC60BC">
        <w:rPr>
          <w:rFonts w:eastAsia="SimSun" w:cs="Arial"/>
          <w:bCs/>
          <w:i/>
          <w:szCs w:val="20"/>
          <w:lang w:eastAsia="zh-CN"/>
        </w:rPr>
        <w:t xml:space="preserve"> </w:t>
      </w:r>
      <w:r w:rsidRPr="00FC60BC">
        <w:rPr>
          <w:rFonts w:eastAsia="SimSun"/>
          <w:i/>
          <w:szCs w:val="20"/>
          <w:lang w:eastAsia="zh-CN"/>
        </w:rPr>
        <w:t>Organisation Africaine de la Propriété Intellectuelle</w:t>
      </w:r>
      <w:r w:rsidRPr="00FC60BC">
        <w:rPr>
          <w:rFonts w:eastAsia="SimSun"/>
          <w:bCs/>
          <w:szCs w:val="20"/>
          <w:lang w:eastAsia="zh-CN"/>
        </w:rPr>
        <w:t xml:space="preserve"> </w:t>
      </w:r>
      <w:r>
        <w:rPr>
          <w:rFonts w:eastAsia="SimSun"/>
          <w:bCs/>
          <w:szCs w:val="20"/>
          <w:lang w:eastAsia="zh-CN"/>
        </w:rPr>
        <w:t>(</w:t>
      </w:r>
      <w:r w:rsidRPr="00FC60BC">
        <w:rPr>
          <w:rFonts w:eastAsia="SimSun" w:cs="Arial"/>
          <w:bCs/>
          <w:szCs w:val="20"/>
          <w:lang w:eastAsia="zh-CN"/>
        </w:rPr>
        <w:t>OAPI</w:t>
      </w:r>
      <w:r>
        <w:rPr>
          <w:rFonts w:eastAsia="SimSun" w:cs="Arial"/>
          <w:bCs/>
          <w:szCs w:val="20"/>
          <w:lang w:eastAsia="zh-CN"/>
        </w:rPr>
        <w:t>)</w:t>
      </w:r>
      <w:r w:rsidRPr="00FC60BC">
        <w:rPr>
          <w:rFonts w:eastAsia="SimSun" w:cs="Arial"/>
          <w:bCs/>
          <w:szCs w:val="20"/>
          <w:lang w:eastAsia="zh-CN"/>
        </w:rPr>
        <w:t>, the League of Arab States</w:t>
      </w:r>
      <w:r w:rsidR="009D4F31">
        <w:rPr>
          <w:rFonts w:eastAsia="SimSun" w:cs="Arial"/>
          <w:bCs/>
          <w:szCs w:val="20"/>
          <w:lang w:eastAsia="zh-CN"/>
        </w:rPr>
        <w:t>,</w:t>
      </w:r>
      <w:r w:rsidRPr="00FC60BC">
        <w:rPr>
          <w:rFonts w:eastAsia="SimSun" w:cs="Arial"/>
          <w:bCs/>
          <w:szCs w:val="20"/>
          <w:lang w:eastAsia="zh-CN"/>
        </w:rPr>
        <w:t xml:space="preserve"> and the Pacific Islands Secretariat (PIFS).  </w:t>
      </w:r>
    </w:p>
    <w:p w:rsidR="00F838C5" w:rsidRPr="00FC60BC" w:rsidRDefault="00F838C5" w:rsidP="001363EE">
      <w:pPr>
        <w:ind w:left="720"/>
        <w:rPr>
          <w:rFonts w:eastAsia="SimSun" w:cs="Arial"/>
          <w:bCs/>
          <w:sz w:val="16"/>
          <w:szCs w:val="16"/>
          <w:lang w:eastAsia="zh-CN"/>
        </w:rPr>
      </w:pPr>
    </w:p>
    <w:p w:rsidR="00F838C5" w:rsidRDefault="00F838C5" w:rsidP="00F838C5">
      <w:pPr>
        <w:numPr>
          <w:ilvl w:val="0"/>
          <w:numId w:val="58"/>
        </w:numPr>
        <w:tabs>
          <w:tab w:val="left" w:pos="0"/>
          <w:tab w:val="left" w:pos="709"/>
        </w:tabs>
        <w:ind w:left="0" w:firstLine="0"/>
        <w:jc w:val="both"/>
        <w:rPr>
          <w:rFonts w:eastAsia="SimSun" w:cs="Arial"/>
          <w:bCs/>
          <w:szCs w:val="20"/>
          <w:lang w:eastAsia="zh-CN"/>
        </w:rPr>
      </w:pPr>
      <w:r w:rsidRPr="00FC60BC">
        <w:rPr>
          <w:rFonts w:eastAsia="SimSun" w:cs="Arial"/>
          <w:bCs/>
          <w:szCs w:val="20"/>
          <w:lang w:eastAsia="zh-CN"/>
        </w:rPr>
        <w:t>These activities encompassed awareness raising and capacity building of copyright and related rights among heads of national copyright offices, decision makers and key stakeholders.  The capacity building programs addressed both basic principles of copyright and</w:t>
      </w:r>
      <w:r>
        <w:rPr>
          <w:rFonts w:eastAsia="SimSun" w:cs="Arial"/>
          <w:bCs/>
          <w:szCs w:val="20"/>
          <w:lang w:eastAsia="zh-CN"/>
        </w:rPr>
        <w:t xml:space="preserve"> </w:t>
      </w:r>
      <w:r w:rsidRPr="00FC60BC">
        <w:rPr>
          <w:rFonts w:eastAsia="SimSun" w:cs="Arial"/>
          <w:bCs/>
          <w:szCs w:val="20"/>
          <w:lang w:eastAsia="zh-CN"/>
        </w:rPr>
        <w:t xml:space="preserve">related rights and emerging issues of particular relevance and importance to developing countries and LDCs, including new developments at the national and international level, and contributed to: </w:t>
      </w:r>
      <w:r>
        <w:rPr>
          <w:rFonts w:eastAsia="SimSun" w:cs="Arial"/>
          <w:bCs/>
          <w:szCs w:val="20"/>
          <w:lang w:eastAsia="zh-CN"/>
        </w:rPr>
        <w:t xml:space="preserve"> </w:t>
      </w:r>
      <w:r w:rsidRPr="00FC60BC">
        <w:rPr>
          <w:rFonts w:eastAsia="SimSun" w:cs="Arial"/>
          <w:bCs/>
          <w:szCs w:val="20"/>
          <w:lang w:eastAsia="zh-CN"/>
        </w:rPr>
        <w:t xml:space="preserve">(i) the enhancement of capacity to formulate and implement national copyright policies and strategic frameworks for coherent and effective use of IP for sustainable development;  (ii) </w:t>
      </w:r>
      <w:r>
        <w:rPr>
          <w:rFonts w:eastAsia="SimSun" w:cs="Arial"/>
          <w:bCs/>
          <w:szCs w:val="20"/>
          <w:lang w:eastAsia="zh-CN"/>
        </w:rPr>
        <w:t xml:space="preserve">the </w:t>
      </w:r>
      <w:r w:rsidRPr="00FC60BC">
        <w:rPr>
          <w:rFonts w:eastAsia="SimSun" w:cs="Arial"/>
          <w:bCs/>
          <w:szCs w:val="20"/>
          <w:lang w:val="en" w:eastAsia="zh-CN"/>
        </w:rPr>
        <w:t>strengthening</w:t>
      </w:r>
      <w:r>
        <w:rPr>
          <w:rFonts w:eastAsia="SimSun" w:cs="Arial"/>
          <w:bCs/>
          <w:szCs w:val="20"/>
          <w:lang w:val="en" w:eastAsia="zh-CN"/>
        </w:rPr>
        <w:t xml:space="preserve"> of</w:t>
      </w:r>
      <w:r w:rsidRPr="00FC60BC">
        <w:rPr>
          <w:rFonts w:eastAsia="SimSun" w:cs="Arial"/>
          <w:bCs/>
          <w:szCs w:val="20"/>
          <w:lang w:val="en" w:eastAsia="zh-CN"/>
        </w:rPr>
        <w:t xml:space="preserve"> human resources capacity and institutional development</w:t>
      </w:r>
      <w:r w:rsidRPr="00FC60BC" w:rsidDel="00196A85">
        <w:rPr>
          <w:rFonts w:eastAsia="SimSun" w:cs="Arial"/>
          <w:bCs/>
          <w:szCs w:val="20"/>
          <w:lang w:eastAsia="zh-CN"/>
        </w:rPr>
        <w:t xml:space="preserve"> </w:t>
      </w:r>
      <w:r w:rsidRPr="00FC60BC">
        <w:rPr>
          <w:rFonts w:eastAsia="SimSun" w:cs="Arial"/>
          <w:bCs/>
          <w:szCs w:val="20"/>
          <w:lang w:eastAsia="zh-CN"/>
        </w:rPr>
        <w:t xml:space="preserve">to deliver better services </w:t>
      </w:r>
      <w:r>
        <w:rPr>
          <w:rFonts w:eastAsia="SimSun" w:cs="Arial"/>
          <w:bCs/>
          <w:szCs w:val="20"/>
          <w:lang w:eastAsia="zh-CN"/>
        </w:rPr>
        <w:t>to the stakeholders;  and (iii)</w:t>
      </w:r>
      <w:r w:rsidRPr="00FC60BC">
        <w:rPr>
          <w:rFonts w:eastAsia="SimSun" w:cs="Arial"/>
          <w:bCs/>
          <w:szCs w:val="20"/>
          <w:lang w:eastAsia="zh-CN"/>
        </w:rPr>
        <w:t xml:space="preserve"> promoting and exploiting their national creativity. </w:t>
      </w:r>
    </w:p>
    <w:p w:rsidR="00F838C5" w:rsidRPr="00FC60BC" w:rsidRDefault="00F838C5" w:rsidP="001363EE">
      <w:pPr>
        <w:tabs>
          <w:tab w:val="left" w:pos="0"/>
          <w:tab w:val="left" w:pos="709"/>
        </w:tabs>
        <w:jc w:val="both"/>
        <w:rPr>
          <w:rFonts w:eastAsia="SimSun" w:cs="Arial"/>
          <w:bCs/>
          <w:sz w:val="16"/>
          <w:szCs w:val="16"/>
          <w:lang w:eastAsia="zh-CN"/>
        </w:rPr>
      </w:pPr>
    </w:p>
    <w:p w:rsidR="00F838C5" w:rsidRPr="00695AC0" w:rsidRDefault="00F838C5" w:rsidP="00F838C5">
      <w:pPr>
        <w:numPr>
          <w:ilvl w:val="0"/>
          <w:numId w:val="58"/>
        </w:numPr>
        <w:tabs>
          <w:tab w:val="left" w:pos="0"/>
          <w:tab w:val="left" w:pos="709"/>
        </w:tabs>
        <w:ind w:left="0" w:firstLine="0"/>
        <w:jc w:val="both"/>
        <w:rPr>
          <w:rFonts w:eastAsia="SimSun" w:cs="Arial"/>
          <w:bCs/>
          <w:szCs w:val="20"/>
          <w:lang w:eastAsia="zh-CN"/>
        </w:rPr>
      </w:pPr>
      <w:r w:rsidRPr="00FC60BC">
        <w:rPr>
          <w:rFonts w:eastAsia="SimSun" w:cs="Arial"/>
          <w:bCs/>
          <w:lang w:eastAsia="zh-CN"/>
        </w:rPr>
        <w:t>Efforts were also made to improve the cost-efficiency and sustainability of these technical assistance activities through, among others,</w:t>
      </w:r>
      <w:r w:rsidRPr="00FC60BC">
        <w:rPr>
          <w:rFonts w:asciiTheme="minorHAnsi" w:hAnsiTheme="minorHAnsi" w:cstheme="minorBidi"/>
          <w:sz w:val="22"/>
          <w:szCs w:val="22"/>
          <w:lang w:eastAsia="zh-CN"/>
        </w:rPr>
        <w:t xml:space="preserve"> </w:t>
      </w:r>
      <w:r w:rsidRPr="00FC60BC">
        <w:rPr>
          <w:rFonts w:eastAsia="SimSun" w:cs="Arial"/>
          <w:bCs/>
          <w:lang w:eastAsia="zh-CN"/>
        </w:rPr>
        <w:t xml:space="preserve">promoting and strengthening cooperation among developing countries through the exchange of knowledge, skills, expertise and resources to meet their development goals. </w:t>
      </w:r>
      <w:r>
        <w:rPr>
          <w:rFonts w:eastAsia="SimSun" w:cs="Arial"/>
          <w:bCs/>
          <w:lang w:eastAsia="zh-CN"/>
        </w:rPr>
        <w:t xml:space="preserve"> </w:t>
      </w:r>
      <w:r w:rsidRPr="00FC60BC">
        <w:rPr>
          <w:rFonts w:eastAsia="SimSun" w:cs="Arial"/>
          <w:bCs/>
          <w:lang w:val="en" w:eastAsia="zh-CN"/>
        </w:rPr>
        <w:t xml:space="preserve">Country specific evaluation processes were also conducted with a view to </w:t>
      </w:r>
      <w:r>
        <w:t>improving</w:t>
      </w:r>
      <w:r w:rsidRPr="00FC60BC">
        <w:t xml:space="preserve"> </w:t>
      </w:r>
      <w:r w:rsidRPr="00FC60BC">
        <w:rPr>
          <w:rFonts w:eastAsia="SimSun" w:cs="Arial"/>
          <w:bCs/>
          <w:lang w:val="en" w:eastAsia="zh-CN"/>
        </w:rPr>
        <w:t xml:space="preserve">accountability for results.  </w:t>
      </w:r>
      <w:r w:rsidRPr="00FC60BC">
        <w:rPr>
          <w:rFonts w:eastAsia="SimSun" w:cs="Arial"/>
          <w:bCs/>
          <w:lang w:eastAsia="zh-CN"/>
        </w:rPr>
        <w:t xml:space="preserve">According to these evaluations, more than 80 per cent of the participants considered the content of the </w:t>
      </w:r>
      <w:r w:rsidR="00220419">
        <w:rPr>
          <w:rFonts w:eastAsia="SimSun" w:cs="Arial"/>
          <w:bCs/>
          <w:lang w:eastAsia="zh-CN"/>
        </w:rPr>
        <w:t xml:space="preserve">capacity building meetings and </w:t>
      </w:r>
      <w:r w:rsidRPr="00FC60BC">
        <w:rPr>
          <w:rFonts w:eastAsia="SimSun" w:cs="Arial"/>
          <w:bCs/>
          <w:lang w:eastAsia="zh-CN"/>
        </w:rPr>
        <w:t xml:space="preserve">workshops relevant to their jobs and thought they would be able to use the information and knowledge from the </w:t>
      </w:r>
      <w:r w:rsidR="00220419">
        <w:rPr>
          <w:rFonts w:eastAsia="SimSun" w:cs="Arial"/>
          <w:bCs/>
          <w:lang w:eastAsia="zh-CN"/>
        </w:rPr>
        <w:t xml:space="preserve">meetings and </w:t>
      </w:r>
      <w:r w:rsidRPr="00FC60BC">
        <w:rPr>
          <w:rFonts w:eastAsia="SimSun" w:cs="Arial"/>
          <w:bCs/>
          <w:lang w:eastAsia="zh-CN"/>
        </w:rPr>
        <w:t>workshops in their work.</w:t>
      </w:r>
    </w:p>
    <w:p w:rsidR="00F838C5" w:rsidRDefault="00F838C5" w:rsidP="001363EE">
      <w:pPr>
        <w:tabs>
          <w:tab w:val="left" w:pos="0"/>
          <w:tab w:val="left" w:pos="709"/>
        </w:tabs>
        <w:jc w:val="both"/>
        <w:rPr>
          <w:rFonts w:eastAsia="SimSun" w:cs="Arial"/>
          <w:bCs/>
          <w:szCs w:val="20"/>
          <w:lang w:eastAsia="zh-CN"/>
        </w:rPr>
      </w:pPr>
    </w:p>
    <w:p w:rsidR="00F838C5" w:rsidRDefault="00F838C5" w:rsidP="001363EE">
      <w:pPr>
        <w:rPr>
          <w:rFonts w:cs="Arial"/>
          <w:sz w:val="22"/>
          <w:szCs w:val="22"/>
        </w:rPr>
      </w:pPr>
    </w:p>
    <w:p w:rsidR="00F838C5" w:rsidRDefault="00F838C5">
      <w:pPr>
        <w:rPr>
          <w:rFonts w:cs="Arial"/>
          <w:sz w:val="22"/>
          <w:szCs w:val="22"/>
        </w:rPr>
      </w:pPr>
    </w:p>
    <w:p w:rsidR="00F838C5" w:rsidRPr="00AF7B5A" w:rsidRDefault="00F838C5" w:rsidP="001363EE">
      <w:pPr>
        <w:keepNext/>
        <w:keepLines/>
        <w:rPr>
          <w:rFonts w:cs="Arial"/>
          <w:szCs w:val="22"/>
        </w:rPr>
      </w:pPr>
      <w:r w:rsidRPr="00AF7B5A">
        <w:rPr>
          <w:rFonts w:cs="Arial"/>
          <w:szCs w:val="22"/>
        </w:rPr>
        <w:lastRenderedPageBreak/>
        <w:t>PERFORMANCE DATA</w:t>
      </w:r>
    </w:p>
    <w:p w:rsidR="00F838C5" w:rsidRPr="00FC60BC" w:rsidRDefault="00F838C5" w:rsidP="001363EE">
      <w:pPr>
        <w:keepNext/>
        <w:keepLines/>
        <w:rPr>
          <w:sz w:val="16"/>
          <w:szCs w:val="16"/>
        </w:rPr>
      </w:pPr>
    </w:p>
    <w:tbl>
      <w:tblPr>
        <w:tblW w:w="4924" w:type="pct"/>
        <w:tblInd w:w="108" w:type="dxa"/>
        <w:tblBorders>
          <w:top w:val="single" w:sz="4" w:space="0" w:color="auto"/>
          <w:left w:val="single" w:sz="4" w:space="0" w:color="auto"/>
          <w:bottom w:val="single" w:sz="4" w:space="0" w:color="auto"/>
          <w:right w:val="single" w:sz="4" w:space="0" w:color="auto"/>
        </w:tblBorders>
        <w:tblLayout w:type="fixed"/>
        <w:tblCellMar>
          <w:left w:w="72" w:type="dxa"/>
          <w:right w:w="72" w:type="dxa"/>
        </w:tblCellMar>
        <w:tblLook w:val="0000" w:firstRow="0" w:lastRow="0" w:firstColumn="0" w:lastColumn="0" w:noHBand="0" w:noVBand="0"/>
      </w:tblPr>
      <w:tblGrid>
        <w:gridCol w:w="2054"/>
        <w:gridCol w:w="2676"/>
        <w:gridCol w:w="6"/>
        <w:gridCol w:w="1577"/>
        <w:gridCol w:w="9"/>
        <w:gridCol w:w="137"/>
        <w:gridCol w:w="1899"/>
        <w:gridCol w:w="13"/>
        <w:gridCol w:w="969"/>
        <w:gridCol w:w="15"/>
      </w:tblGrid>
      <w:tr w:rsidR="00F838C5" w:rsidRPr="005C50ED" w:rsidTr="00BA6F3B">
        <w:tc>
          <w:tcPr>
            <w:tcW w:w="5000" w:type="pct"/>
            <w:gridSpan w:val="10"/>
            <w:tcBorders>
              <w:top w:val="single" w:sz="4" w:space="0" w:color="auto"/>
              <w:bottom w:val="single" w:sz="4" w:space="0" w:color="auto"/>
            </w:tcBorders>
            <w:shd w:val="clear" w:color="auto" w:fill="C6D9F1" w:themeFill="text2" w:themeFillTint="33"/>
            <w:vAlign w:val="center"/>
          </w:tcPr>
          <w:p w:rsidR="00F838C5" w:rsidRPr="005C50ED" w:rsidRDefault="00F838C5" w:rsidP="001363EE">
            <w:pPr>
              <w:keepNext/>
              <w:keepLines/>
              <w:tabs>
                <w:tab w:val="left" w:pos="1452"/>
              </w:tabs>
              <w:spacing w:before="60" w:after="60"/>
              <w:ind w:left="1452" w:hanging="1452"/>
              <w:rPr>
                <w:rFonts w:cs="Arial"/>
                <w:b/>
                <w:bCs/>
                <w:sz w:val="16"/>
                <w:szCs w:val="16"/>
              </w:rPr>
            </w:pPr>
            <w:r w:rsidRPr="005C50ED">
              <w:rPr>
                <w:rFonts w:cs="Arial"/>
                <w:b/>
                <w:bCs/>
                <w:sz w:val="16"/>
                <w:szCs w:val="16"/>
              </w:rPr>
              <w:t>Expected Result:</w:t>
            </w:r>
            <w:r w:rsidRPr="005C50ED">
              <w:rPr>
                <w:rFonts w:cs="Arial"/>
                <w:b/>
                <w:bCs/>
                <w:sz w:val="16"/>
                <w:szCs w:val="16"/>
              </w:rPr>
              <w:tab/>
            </w:r>
            <w:r w:rsidRPr="00325F45">
              <w:rPr>
                <w:rFonts w:cs="Arial"/>
                <w:sz w:val="16"/>
                <w:szCs w:val="16"/>
                <w:lang w:bidi="th-TH"/>
              </w:rPr>
              <w:t>I.1 Enhanced cooperation among Member States on development of balanced international normative frameworks for IP and agreement on specific topics on which international instruments are agreed</w:t>
            </w:r>
          </w:p>
        </w:tc>
      </w:tr>
      <w:tr w:rsidR="00F838C5" w:rsidRPr="005C50ED" w:rsidTr="001363EE">
        <w:tc>
          <w:tcPr>
            <w:tcW w:w="1098" w:type="pct"/>
            <w:tcBorders>
              <w:top w:val="single" w:sz="4" w:space="0" w:color="auto"/>
            </w:tcBorders>
            <w:shd w:val="clear" w:color="auto" w:fill="auto"/>
            <w:vAlign w:val="center"/>
          </w:tcPr>
          <w:p w:rsidR="00F838C5" w:rsidRPr="005C50ED" w:rsidRDefault="00F838C5" w:rsidP="001363EE">
            <w:pPr>
              <w:keepNext/>
              <w:keepLines/>
              <w:rPr>
                <w:rFonts w:cs="Arial"/>
                <w:sz w:val="16"/>
                <w:szCs w:val="16"/>
              </w:rPr>
            </w:pPr>
            <w:r w:rsidRPr="005C50ED">
              <w:rPr>
                <w:rFonts w:cs="Arial"/>
                <w:b/>
                <w:bCs/>
                <w:sz w:val="16"/>
                <w:szCs w:val="16"/>
              </w:rPr>
              <w:t>Performance Indicators</w:t>
            </w:r>
          </w:p>
        </w:tc>
        <w:tc>
          <w:tcPr>
            <w:tcW w:w="1433" w:type="pct"/>
            <w:gridSpan w:val="2"/>
            <w:tcBorders>
              <w:top w:val="single" w:sz="4" w:space="0" w:color="auto"/>
            </w:tcBorders>
            <w:shd w:val="clear" w:color="auto" w:fill="auto"/>
            <w:vAlign w:val="center"/>
          </w:tcPr>
          <w:p w:rsidR="00F838C5" w:rsidRPr="005C50ED" w:rsidRDefault="00F838C5" w:rsidP="001363EE">
            <w:pPr>
              <w:keepNext/>
              <w:keepLines/>
              <w:rPr>
                <w:rFonts w:cs="Arial"/>
                <w:b/>
                <w:bCs/>
                <w:sz w:val="16"/>
                <w:szCs w:val="16"/>
              </w:rPr>
            </w:pPr>
            <w:r w:rsidRPr="005C50ED">
              <w:rPr>
                <w:rFonts w:cs="Arial"/>
                <w:b/>
                <w:bCs/>
                <w:sz w:val="16"/>
                <w:szCs w:val="16"/>
              </w:rPr>
              <w:t>Baselines</w:t>
            </w:r>
          </w:p>
        </w:tc>
        <w:tc>
          <w:tcPr>
            <w:tcW w:w="848" w:type="pct"/>
            <w:gridSpan w:val="2"/>
            <w:tcBorders>
              <w:top w:val="single" w:sz="4" w:space="0" w:color="auto"/>
            </w:tcBorders>
            <w:shd w:val="clear" w:color="auto" w:fill="auto"/>
            <w:tcMar>
              <w:top w:w="110" w:type="dxa"/>
            </w:tcMar>
            <w:vAlign w:val="center"/>
          </w:tcPr>
          <w:p w:rsidR="00F838C5" w:rsidRPr="005C50ED" w:rsidRDefault="00F838C5" w:rsidP="001363EE">
            <w:pPr>
              <w:keepNext/>
              <w:keepLines/>
              <w:rPr>
                <w:rFonts w:cs="Arial"/>
                <w:b/>
                <w:sz w:val="16"/>
                <w:szCs w:val="16"/>
              </w:rPr>
            </w:pPr>
            <w:r w:rsidRPr="005C50ED">
              <w:rPr>
                <w:rFonts w:cs="Arial"/>
                <w:b/>
                <w:sz w:val="16"/>
                <w:szCs w:val="16"/>
              </w:rPr>
              <w:t>Targets</w:t>
            </w:r>
          </w:p>
        </w:tc>
        <w:tc>
          <w:tcPr>
            <w:tcW w:w="1095" w:type="pct"/>
            <w:gridSpan w:val="3"/>
            <w:tcBorders>
              <w:top w:val="single" w:sz="4" w:space="0" w:color="auto"/>
            </w:tcBorders>
            <w:shd w:val="clear" w:color="auto" w:fill="FFFFFF"/>
            <w:tcMar>
              <w:top w:w="110" w:type="dxa"/>
            </w:tcMar>
            <w:vAlign w:val="center"/>
          </w:tcPr>
          <w:p w:rsidR="00F838C5" w:rsidRPr="005C50ED" w:rsidRDefault="00F838C5" w:rsidP="001363EE">
            <w:pPr>
              <w:keepNext/>
              <w:keepLines/>
              <w:rPr>
                <w:rFonts w:cs="Arial"/>
                <w:sz w:val="16"/>
                <w:szCs w:val="16"/>
              </w:rPr>
            </w:pPr>
            <w:r w:rsidRPr="005C50ED">
              <w:rPr>
                <w:rFonts w:cs="Arial"/>
                <w:b/>
                <w:bCs/>
                <w:sz w:val="16"/>
                <w:szCs w:val="16"/>
              </w:rPr>
              <w:t>Performance Data</w:t>
            </w:r>
          </w:p>
        </w:tc>
        <w:tc>
          <w:tcPr>
            <w:tcW w:w="526" w:type="pct"/>
            <w:gridSpan w:val="2"/>
            <w:tcBorders>
              <w:top w:val="single" w:sz="4" w:space="0" w:color="auto"/>
            </w:tcBorders>
            <w:shd w:val="clear" w:color="auto" w:fill="auto"/>
            <w:tcMar>
              <w:top w:w="110" w:type="dxa"/>
            </w:tcMar>
            <w:vAlign w:val="center"/>
          </w:tcPr>
          <w:p w:rsidR="00F838C5" w:rsidRPr="005C50ED" w:rsidRDefault="00F838C5" w:rsidP="001363EE">
            <w:pPr>
              <w:keepNext/>
              <w:keepLines/>
              <w:jc w:val="center"/>
              <w:rPr>
                <w:rFonts w:cs="Arial"/>
                <w:b/>
                <w:bCs/>
                <w:sz w:val="16"/>
                <w:szCs w:val="16"/>
              </w:rPr>
            </w:pPr>
            <w:r w:rsidRPr="005C50ED">
              <w:rPr>
                <w:rFonts w:cs="Arial"/>
                <w:b/>
                <w:bCs/>
                <w:sz w:val="16"/>
                <w:szCs w:val="16"/>
              </w:rPr>
              <w:t>TLS</w:t>
            </w:r>
          </w:p>
        </w:tc>
      </w:tr>
      <w:tr w:rsidR="00F838C5" w:rsidRPr="005C50ED" w:rsidTr="001363EE">
        <w:tc>
          <w:tcPr>
            <w:tcW w:w="1098" w:type="pct"/>
            <w:shd w:val="clear" w:color="auto" w:fill="auto"/>
          </w:tcPr>
          <w:p w:rsidR="00F838C5" w:rsidRPr="005C50ED" w:rsidRDefault="00F838C5" w:rsidP="001363EE">
            <w:pPr>
              <w:keepNext/>
              <w:keepLines/>
              <w:rPr>
                <w:rFonts w:cs="Arial"/>
                <w:sz w:val="16"/>
                <w:szCs w:val="16"/>
              </w:rPr>
            </w:pPr>
            <w:r w:rsidRPr="00325F45">
              <w:rPr>
                <w:rFonts w:cs="Arial"/>
                <w:sz w:val="16"/>
                <w:szCs w:val="16"/>
                <w:lang w:bidi="th-TH"/>
              </w:rPr>
              <w:t>Progress towards agreement on current issues on the SCCR agenda</w:t>
            </w:r>
          </w:p>
        </w:tc>
        <w:tc>
          <w:tcPr>
            <w:tcW w:w="1433" w:type="pct"/>
            <w:gridSpan w:val="2"/>
            <w:shd w:val="clear" w:color="auto" w:fill="auto"/>
          </w:tcPr>
          <w:p w:rsidR="00F838C5" w:rsidRPr="005C50ED" w:rsidRDefault="00F838C5" w:rsidP="001363EE">
            <w:pPr>
              <w:keepNext/>
              <w:keepLines/>
              <w:rPr>
                <w:rFonts w:cs="Arial"/>
                <w:i/>
                <w:color w:val="002060"/>
                <w:sz w:val="16"/>
                <w:szCs w:val="16"/>
              </w:rPr>
            </w:pPr>
            <w:r>
              <w:rPr>
                <w:rFonts w:cs="Arial"/>
                <w:i/>
                <w:color w:val="002060"/>
                <w:sz w:val="16"/>
                <w:szCs w:val="16"/>
              </w:rPr>
              <w:t>Updated Baseline end 2013</w:t>
            </w:r>
            <w:r w:rsidRPr="005C50ED">
              <w:rPr>
                <w:rFonts w:cs="Arial"/>
                <w:i/>
                <w:color w:val="002060"/>
                <w:sz w:val="16"/>
                <w:szCs w:val="16"/>
              </w:rPr>
              <w:t xml:space="preserve">:  </w:t>
            </w:r>
            <w:r w:rsidRPr="005C50ED">
              <w:rPr>
                <w:rFonts w:eastAsia="SimSun" w:cs="Arial"/>
                <w:sz w:val="16"/>
                <w:szCs w:val="16"/>
                <w:lang w:eastAsia="zh-CN"/>
              </w:rPr>
              <w:t xml:space="preserve">Beijing Treaty text adopted in June 2012. </w:t>
            </w:r>
            <w:r>
              <w:rPr>
                <w:rFonts w:eastAsia="SimSun" w:cs="Arial"/>
                <w:sz w:val="16"/>
                <w:szCs w:val="16"/>
                <w:lang w:eastAsia="zh-CN"/>
              </w:rPr>
              <w:t xml:space="preserve"> </w:t>
            </w:r>
            <w:r w:rsidRPr="005C50ED">
              <w:rPr>
                <w:rFonts w:eastAsia="SimSun" w:cs="Arial"/>
                <w:sz w:val="16"/>
                <w:szCs w:val="16"/>
                <w:lang w:eastAsia="zh-CN"/>
              </w:rPr>
              <w:t>Marrakesh VIP Treaty text adopted in June 2013.  Progress consistent with SCCR work plan on all issues on the agenda.</w:t>
            </w:r>
          </w:p>
          <w:p w:rsidR="00F838C5" w:rsidRPr="005C50ED" w:rsidRDefault="00F838C5" w:rsidP="001363EE">
            <w:pPr>
              <w:keepNext/>
              <w:keepLines/>
              <w:rPr>
                <w:rFonts w:cs="Arial"/>
                <w:color w:val="002060"/>
                <w:sz w:val="8"/>
                <w:szCs w:val="8"/>
              </w:rPr>
            </w:pPr>
          </w:p>
          <w:p w:rsidR="00F838C5" w:rsidRDefault="00F838C5" w:rsidP="001363EE">
            <w:pPr>
              <w:keepNext/>
              <w:keepLines/>
              <w:rPr>
                <w:rFonts w:cs="Arial"/>
                <w:sz w:val="16"/>
                <w:szCs w:val="16"/>
                <w:lang w:bidi="th-TH"/>
              </w:rPr>
            </w:pPr>
            <w:r w:rsidRPr="005C50ED">
              <w:rPr>
                <w:rFonts w:cs="Arial"/>
                <w:i/>
                <w:sz w:val="16"/>
                <w:szCs w:val="16"/>
                <w:lang w:bidi="th-TH"/>
              </w:rPr>
              <w:t xml:space="preserve">Original Baseline P&amp;B </w:t>
            </w:r>
            <w:r>
              <w:rPr>
                <w:rFonts w:cs="Arial"/>
                <w:i/>
                <w:sz w:val="16"/>
                <w:szCs w:val="16"/>
                <w:lang w:bidi="th-TH"/>
              </w:rPr>
              <w:t>2014/15</w:t>
            </w:r>
            <w:r w:rsidRPr="005C50ED">
              <w:rPr>
                <w:rFonts w:cs="Arial"/>
                <w:i/>
                <w:sz w:val="16"/>
                <w:szCs w:val="16"/>
                <w:lang w:bidi="th-TH"/>
              </w:rPr>
              <w:t>:</w:t>
            </w:r>
            <w:r w:rsidRPr="005C50ED">
              <w:rPr>
                <w:rFonts w:cs="Arial"/>
                <w:sz w:val="16"/>
                <w:szCs w:val="16"/>
                <w:lang w:bidi="th-TH"/>
              </w:rPr>
              <w:t xml:space="preserve">  </w:t>
            </w:r>
            <w:r w:rsidRPr="00325F45">
              <w:rPr>
                <w:rFonts w:cs="Arial"/>
                <w:sz w:val="16"/>
                <w:szCs w:val="16"/>
                <w:lang w:bidi="th-TH"/>
              </w:rPr>
              <w:t>Two Treaties adopted in biennium 2012/13 (as to date). Two Diplomatic Conferences convened during the biennium 2012/13</w:t>
            </w:r>
            <w:r>
              <w:rPr>
                <w:rFonts w:cs="Arial"/>
                <w:sz w:val="16"/>
                <w:szCs w:val="16"/>
                <w:lang w:bidi="th-TH"/>
              </w:rPr>
              <w:t>.</w:t>
            </w:r>
          </w:p>
          <w:p w:rsidR="00F838C5" w:rsidRPr="005C50ED" w:rsidRDefault="00F838C5" w:rsidP="001363EE">
            <w:pPr>
              <w:keepNext/>
              <w:keepLines/>
              <w:rPr>
                <w:rFonts w:cs="Arial"/>
                <w:sz w:val="16"/>
                <w:szCs w:val="16"/>
                <w:lang w:bidi="th-TH"/>
              </w:rPr>
            </w:pPr>
          </w:p>
        </w:tc>
        <w:tc>
          <w:tcPr>
            <w:tcW w:w="848" w:type="pct"/>
            <w:gridSpan w:val="2"/>
            <w:shd w:val="clear" w:color="auto" w:fill="auto"/>
            <w:tcMar>
              <w:top w:w="110" w:type="dxa"/>
            </w:tcMar>
          </w:tcPr>
          <w:p w:rsidR="00F838C5" w:rsidRPr="00325F45" w:rsidRDefault="00F838C5" w:rsidP="001363EE">
            <w:pPr>
              <w:keepNext/>
              <w:keepLines/>
              <w:rPr>
                <w:rFonts w:cs="Arial"/>
                <w:sz w:val="16"/>
                <w:szCs w:val="16"/>
                <w:lang w:bidi="th-TH"/>
              </w:rPr>
            </w:pPr>
            <w:r w:rsidRPr="00325F45">
              <w:rPr>
                <w:rFonts w:cs="Arial"/>
                <w:sz w:val="16"/>
                <w:szCs w:val="16"/>
              </w:rPr>
              <w:t>One Diplomatic Conference convened and one Treaty adopted in the biennium 2014</w:t>
            </w:r>
            <w:r>
              <w:rPr>
                <w:rFonts w:cs="Arial"/>
                <w:sz w:val="16"/>
                <w:szCs w:val="16"/>
              </w:rPr>
              <w:t>/</w:t>
            </w:r>
            <w:r w:rsidRPr="00325F45">
              <w:rPr>
                <w:rFonts w:cs="Arial"/>
                <w:sz w:val="16"/>
                <w:szCs w:val="16"/>
              </w:rPr>
              <w:t>15</w:t>
            </w:r>
          </w:p>
        </w:tc>
        <w:tc>
          <w:tcPr>
            <w:tcW w:w="1095" w:type="pct"/>
            <w:gridSpan w:val="3"/>
            <w:shd w:val="clear" w:color="auto" w:fill="FFFFFF"/>
            <w:tcMar>
              <w:top w:w="110" w:type="dxa"/>
            </w:tcMar>
          </w:tcPr>
          <w:p w:rsidR="00F838C5" w:rsidRPr="005C50ED" w:rsidRDefault="00F838C5" w:rsidP="001363EE">
            <w:pPr>
              <w:keepNext/>
              <w:keepLines/>
              <w:rPr>
                <w:rFonts w:cs="Arial"/>
                <w:sz w:val="16"/>
                <w:szCs w:val="16"/>
              </w:rPr>
            </w:pPr>
            <w:r w:rsidRPr="00325F45">
              <w:rPr>
                <w:rFonts w:eastAsia="SimSun" w:cs="Arial"/>
                <w:sz w:val="16"/>
                <w:szCs w:val="16"/>
                <w:lang w:eastAsia="zh-CN" w:bidi="th-TH"/>
              </w:rPr>
              <w:t>The SCCR and the WIPO General Assembly did not reach agreement on steps toward the convening of a diplomatic conference for a treaty on the protection of broadcasting organizations.</w:t>
            </w:r>
          </w:p>
        </w:tc>
        <w:tc>
          <w:tcPr>
            <w:tcW w:w="526" w:type="pct"/>
            <w:gridSpan w:val="2"/>
            <w:shd w:val="clear" w:color="auto" w:fill="auto"/>
            <w:tcMar>
              <w:top w:w="110" w:type="dxa"/>
            </w:tcMar>
          </w:tcPr>
          <w:p w:rsidR="00F838C5" w:rsidRPr="00325F45" w:rsidRDefault="00F838C5" w:rsidP="001363EE">
            <w:pPr>
              <w:keepNext/>
              <w:keepLines/>
              <w:jc w:val="center"/>
              <w:rPr>
                <w:rFonts w:cs="Arial"/>
                <w:b/>
                <w:bCs/>
                <w:color w:val="FF0000"/>
                <w:sz w:val="16"/>
                <w:szCs w:val="16"/>
              </w:rPr>
            </w:pPr>
            <w:r>
              <w:rPr>
                <w:rFonts w:cs="Arial"/>
                <w:b/>
                <w:bCs/>
                <w:color w:val="FF0000"/>
                <w:sz w:val="16"/>
                <w:szCs w:val="16"/>
              </w:rPr>
              <w:t>Not Achieved</w:t>
            </w:r>
          </w:p>
        </w:tc>
      </w:tr>
      <w:tr w:rsidR="00F838C5" w:rsidRPr="005C50ED" w:rsidTr="00BA6F3B">
        <w:trPr>
          <w:trHeight w:val="475"/>
        </w:trPr>
        <w:tc>
          <w:tcPr>
            <w:tcW w:w="5000" w:type="pct"/>
            <w:gridSpan w:val="10"/>
            <w:tcBorders>
              <w:top w:val="single" w:sz="4" w:space="0" w:color="auto"/>
              <w:bottom w:val="single" w:sz="4" w:space="0" w:color="auto"/>
            </w:tcBorders>
            <w:shd w:val="clear" w:color="auto" w:fill="C6D9F1" w:themeFill="text2" w:themeFillTint="33"/>
            <w:vAlign w:val="center"/>
          </w:tcPr>
          <w:p w:rsidR="00F838C5" w:rsidRPr="005C50ED" w:rsidRDefault="00F838C5" w:rsidP="001363EE">
            <w:pPr>
              <w:keepNext/>
              <w:keepLines/>
              <w:tabs>
                <w:tab w:val="left" w:pos="1452"/>
              </w:tabs>
              <w:ind w:left="1452" w:hanging="1452"/>
              <w:rPr>
                <w:rFonts w:cs="Arial"/>
                <w:b/>
                <w:bCs/>
                <w:sz w:val="16"/>
                <w:szCs w:val="16"/>
              </w:rPr>
            </w:pPr>
            <w:r w:rsidRPr="00BA6F3B">
              <w:rPr>
                <w:rFonts w:cs="Arial"/>
                <w:b/>
                <w:bCs/>
                <w:sz w:val="16"/>
                <w:szCs w:val="16"/>
                <w:shd w:val="clear" w:color="auto" w:fill="C6D9F1" w:themeFill="text2" w:themeFillTint="33"/>
              </w:rPr>
              <w:t>Expected Result:</w:t>
            </w:r>
            <w:r w:rsidRPr="00BA6F3B">
              <w:rPr>
                <w:rFonts w:cs="Arial"/>
                <w:b/>
                <w:bCs/>
                <w:sz w:val="16"/>
                <w:szCs w:val="16"/>
                <w:shd w:val="clear" w:color="auto" w:fill="C6D9F1" w:themeFill="text2" w:themeFillTint="33"/>
              </w:rPr>
              <w:tab/>
            </w:r>
            <w:r w:rsidRPr="00BA6F3B">
              <w:rPr>
                <w:rFonts w:cs="Arial"/>
                <w:bCs/>
                <w:sz w:val="16"/>
                <w:szCs w:val="16"/>
                <w:shd w:val="clear" w:color="auto" w:fill="C6D9F1" w:themeFill="text2" w:themeFillTint="33"/>
              </w:rPr>
              <w:t>I.2 Tailored</w:t>
            </w:r>
            <w:r w:rsidRPr="003152BA">
              <w:rPr>
                <w:rFonts w:cs="Arial"/>
                <w:bCs/>
                <w:sz w:val="16"/>
                <w:szCs w:val="16"/>
              </w:rPr>
              <w:t xml:space="preserve"> and balanced IP legislative, regulatory and policy frameworks</w:t>
            </w:r>
          </w:p>
        </w:tc>
      </w:tr>
      <w:tr w:rsidR="00F838C5" w:rsidRPr="005C50ED" w:rsidTr="001363EE">
        <w:tc>
          <w:tcPr>
            <w:tcW w:w="1098" w:type="pct"/>
            <w:tcBorders>
              <w:top w:val="single" w:sz="4" w:space="0" w:color="auto"/>
              <w:left w:val="single" w:sz="4" w:space="0" w:color="auto"/>
              <w:bottom w:val="nil"/>
            </w:tcBorders>
            <w:shd w:val="clear" w:color="auto" w:fill="auto"/>
            <w:vAlign w:val="center"/>
          </w:tcPr>
          <w:p w:rsidR="00F838C5" w:rsidRPr="005C50ED" w:rsidRDefault="00F838C5" w:rsidP="001363EE">
            <w:pPr>
              <w:keepNext/>
              <w:keepLines/>
              <w:rPr>
                <w:rFonts w:cs="Arial"/>
                <w:sz w:val="16"/>
                <w:szCs w:val="16"/>
              </w:rPr>
            </w:pPr>
            <w:r w:rsidRPr="005C50ED">
              <w:rPr>
                <w:rFonts w:cs="Arial"/>
                <w:b/>
                <w:bCs/>
                <w:sz w:val="16"/>
                <w:szCs w:val="16"/>
              </w:rPr>
              <w:t>Performance Indicators</w:t>
            </w:r>
          </w:p>
        </w:tc>
        <w:tc>
          <w:tcPr>
            <w:tcW w:w="1433" w:type="pct"/>
            <w:gridSpan w:val="2"/>
            <w:tcBorders>
              <w:top w:val="single" w:sz="4" w:space="0" w:color="auto"/>
              <w:bottom w:val="nil"/>
            </w:tcBorders>
            <w:shd w:val="clear" w:color="auto" w:fill="auto"/>
            <w:vAlign w:val="center"/>
          </w:tcPr>
          <w:p w:rsidR="00F838C5" w:rsidRPr="005C50ED" w:rsidRDefault="00F838C5" w:rsidP="001363EE">
            <w:pPr>
              <w:keepNext/>
              <w:keepLines/>
              <w:rPr>
                <w:rFonts w:cs="Arial"/>
                <w:b/>
                <w:bCs/>
                <w:sz w:val="16"/>
                <w:szCs w:val="16"/>
              </w:rPr>
            </w:pPr>
            <w:r w:rsidRPr="005C50ED">
              <w:rPr>
                <w:rFonts w:cs="Arial"/>
                <w:b/>
                <w:bCs/>
                <w:sz w:val="16"/>
                <w:szCs w:val="16"/>
              </w:rPr>
              <w:t>Baselines</w:t>
            </w:r>
          </w:p>
        </w:tc>
        <w:tc>
          <w:tcPr>
            <w:tcW w:w="848" w:type="pct"/>
            <w:gridSpan w:val="2"/>
            <w:tcBorders>
              <w:top w:val="single" w:sz="4" w:space="0" w:color="auto"/>
              <w:bottom w:val="nil"/>
            </w:tcBorders>
            <w:shd w:val="clear" w:color="auto" w:fill="auto"/>
            <w:tcMar>
              <w:top w:w="110" w:type="dxa"/>
            </w:tcMar>
            <w:vAlign w:val="center"/>
          </w:tcPr>
          <w:p w:rsidR="00F838C5" w:rsidRPr="005C50ED" w:rsidRDefault="00F838C5" w:rsidP="001363EE">
            <w:pPr>
              <w:keepNext/>
              <w:keepLines/>
              <w:rPr>
                <w:rFonts w:cs="Arial"/>
                <w:b/>
                <w:sz w:val="16"/>
                <w:szCs w:val="16"/>
              </w:rPr>
            </w:pPr>
            <w:r w:rsidRPr="005C50ED">
              <w:rPr>
                <w:rFonts w:cs="Arial"/>
                <w:b/>
                <w:sz w:val="16"/>
                <w:szCs w:val="16"/>
              </w:rPr>
              <w:t>Targets</w:t>
            </w:r>
          </w:p>
        </w:tc>
        <w:tc>
          <w:tcPr>
            <w:tcW w:w="1095" w:type="pct"/>
            <w:gridSpan w:val="3"/>
            <w:tcBorders>
              <w:top w:val="single" w:sz="4" w:space="0" w:color="auto"/>
              <w:bottom w:val="nil"/>
            </w:tcBorders>
            <w:shd w:val="clear" w:color="auto" w:fill="FFFFFF"/>
            <w:tcMar>
              <w:top w:w="110" w:type="dxa"/>
            </w:tcMar>
            <w:vAlign w:val="center"/>
          </w:tcPr>
          <w:p w:rsidR="00F838C5" w:rsidRPr="005C50ED" w:rsidRDefault="00F838C5" w:rsidP="001363EE">
            <w:pPr>
              <w:keepNext/>
              <w:keepLines/>
              <w:rPr>
                <w:rFonts w:cs="Arial"/>
                <w:sz w:val="16"/>
                <w:szCs w:val="16"/>
              </w:rPr>
            </w:pPr>
            <w:r w:rsidRPr="005C50ED">
              <w:rPr>
                <w:rFonts w:cs="Arial"/>
                <w:b/>
                <w:bCs/>
                <w:sz w:val="16"/>
                <w:szCs w:val="16"/>
              </w:rPr>
              <w:t>Performance Data</w:t>
            </w:r>
          </w:p>
        </w:tc>
        <w:tc>
          <w:tcPr>
            <w:tcW w:w="526" w:type="pct"/>
            <w:gridSpan w:val="2"/>
            <w:tcBorders>
              <w:top w:val="single" w:sz="4" w:space="0" w:color="auto"/>
              <w:bottom w:val="nil"/>
              <w:right w:val="single" w:sz="4" w:space="0" w:color="auto"/>
            </w:tcBorders>
            <w:shd w:val="clear" w:color="auto" w:fill="auto"/>
            <w:tcMar>
              <w:top w:w="110" w:type="dxa"/>
            </w:tcMar>
            <w:vAlign w:val="center"/>
          </w:tcPr>
          <w:p w:rsidR="00F838C5" w:rsidRPr="005C50ED" w:rsidRDefault="00F838C5" w:rsidP="001363EE">
            <w:pPr>
              <w:keepNext/>
              <w:keepLines/>
              <w:jc w:val="center"/>
              <w:rPr>
                <w:rFonts w:cs="Arial"/>
                <w:b/>
                <w:bCs/>
                <w:sz w:val="16"/>
                <w:szCs w:val="16"/>
              </w:rPr>
            </w:pPr>
            <w:r w:rsidRPr="005C50ED">
              <w:rPr>
                <w:rFonts w:cs="Arial"/>
                <w:b/>
                <w:bCs/>
                <w:sz w:val="16"/>
                <w:szCs w:val="16"/>
              </w:rPr>
              <w:t>TLS</w:t>
            </w:r>
          </w:p>
        </w:tc>
      </w:tr>
      <w:tr w:rsidR="00F838C5" w:rsidRPr="005C50ED" w:rsidTr="001363EE">
        <w:tc>
          <w:tcPr>
            <w:tcW w:w="1098" w:type="pct"/>
            <w:tcBorders>
              <w:top w:val="nil"/>
              <w:left w:val="single" w:sz="4" w:space="0" w:color="auto"/>
              <w:bottom w:val="nil"/>
            </w:tcBorders>
            <w:shd w:val="clear" w:color="auto" w:fill="FFFFFF"/>
          </w:tcPr>
          <w:p w:rsidR="00F838C5" w:rsidRPr="005C50ED" w:rsidRDefault="00F838C5" w:rsidP="001363EE">
            <w:pPr>
              <w:keepNext/>
              <w:keepLines/>
              <w:rPr>
                <w:rFonts w:cs="Arial"/>
                <w:sz w:val="16"/>
                <w:szCs w:val="16"/>
              </w:rPr>
            </w:pPr>
            <w:r w:rsidRPr="00325F45">
              <w:rPr>
                <w:rFonts w:cs="Arial"/>
                <w:sz w:val="16"/>
                <w:szCs w:val="16"/>
                <w:lang w:bidi="th-TH"/>
              </w:rPr>
              <w:t>No. of countries that have ratified the Beijing Treaty</w:t>
            </w:r>
          </w:p>
        </w:tc>
        <w:tc>
          <w:tcPr>
            <w:tcW w:w="1433" w:type="pct"/>
            <w:gridSpan w:val="2"/>
            <w:tcBorders>
              <w:top w:val="nil"/>
              <w:bottom w:val="nil"/>
            </w:tcBorders>
            <w:shd w:val="clear" w:color="auto" w:fill="auto"/>
          </w:tcPr>
          <w:p w:rsidR="00F838C5" w:rsidRPr="005C50ED" w:rsidRDefault="00F838C5" w:rsidP="001363EE">
            <w:pPr>
              <w:keepNext/>
              <w:keepLines/>
              <w:rPr>
                <w:rFonts w:cs="Arial"/>
                <w:i/>
                <w:color w:val="002060"/>
                <w:sz w:val="16"/>
                <w:szCs w:val="16"/>
              </w:rPr>
            </w:pPr>
            <w:r>
              <w:rPr>
                <w:rFonts w:cs="Arial"/>
                <w:i/>
                <w:color w:val="002060"/>
                <w:sz w:val="16"/>
                <w:szCs w:val="16"/>
              </w:rPr>
              <w:t>Updated Baseline end 2013</w:t>
            </w:r>
            <w:r w:rsidRPr="005C50ED">
              <w:rPr>
                <w:rFonts w:cs="Arial"/>
                <w:i/>
                <w:color w:val="002060"/>
                <w:sz w:val="16"/>
                <w:szCs w:val="16"/>
              </w:rPr>
              <w:t xml:space="preserve">:  </w:t>
            </w:r>
            <w:r w:rsidRPr="006832CF">
              <w:rPr>
                <w:rFonts w:cs="Arial"/>
                <w:color w:val="002060"/>
                <w:sz w:val="16"/>
                <w:szCs w:val="16"/>
              </w:rPr>
              <w:t>2 (Botswana, Syrian Arab Republic)</w:t>
            </w:r>
          </w:p>
          <w:p w:rsidR="00F838C5" w:rsidRPr="005C50ED" w:rsidRDefault="00F838C5" w:rsidP="001363EE">
            <w:pPr>
              <w:keepNext/>
              <w:keepLines/>
              <w:rPr>
                <w:rFonts w:cs="Arial"/>
                <w:i/>
                <w:sz w:val="8"/>
                <w:szCs w:val="8"/>
                <w:lang w:bidi="th-TH"/>
              </w:rPr>
            </w:pPr>
          </w:p>
          <w:p w:rsidR="00F838C5" w:rsidRPr="005C50ED" w:rsidRDefault="00F838C5" w:rsidP="001363EE">
            <w:pPr>
              <w:keepNext/>
              <w:keepLines/>
              <w:rPr>
                <w:rFonts w:cs="Arial"/>
                <w:sz w:val="16"/>
                <w:szCs w:val="16"/>
                <w:lang w:bidi="th-TH"/>
              </w:rPr>
            </w:pPr>
            <w:r>
              <w:rPr>
                <w:rFonts w:cs="Arial"/>
                <w:i/>
                <w:sz w:val="16"/>
                <w:szCs w:val="16"/>
                <w:lang w:bidi="th-TH"/>
              </w:rPr>
              <w:t>Original Baseline P&amp;B 2014/15</w:t>
            </w:r>
            <w:r w:rsidRPr="005C50ED">
              <w:rPr>
                <w:rFonts w:cs="Arial"/>
                <w:i/>
                <w:sz w:val="16"/>
                <w:szCs w:val="16"/>
                <w:lang w:bidi="th-TH"/>
              </w:rPr>
              <w:t xml:space="preserve">: </w:t>
            </w:r>
            <w:r w:rsidRPr="005C50ED">
              <w:rPr>
                <w:rFonts w:cs="Arial"/>
                <w:sz w:val="16"/>
                <w:szCs w:val="16"/>
                <w:lang w:bidi="th-TH"/>
              </w:rPr>
              <w:t xml:space="preserve"> </w:t>
            </w:r>
            <w:r w:rsidRPr="00325F45">
              <w:rPr>
                <w:rFonts w:cs="Arial"/>
                <w:sz w:val="16"/>
                <w:szCs w:val="16"/>
                <w:lang w:bidi="th-TH"/>
              </w:rPr>
              <w:t>None</w:t>
            </w:r>
          </w:p>
          <w:p w:rsidR="00F838C5" w:rsidRPr="005C50ED" w:rsidRDefault="00F838C5" w:rsidP="001363EE">
            <w:pPr>
              <w:keepNext/>
              <w:keepLines/>
              <w:rPr>
                <w:rFonts w:cs="Arial"/>
                <w:sz w:val="16"/>
                <w:szCs w:val="16"/>
              </w:rPr>
            </w:pPr>
          </w:p>
        </w:tc>
        <w:tc>
          <w:tcPr>
            <w:tcW w:w="848" w:type="pct"/>
            <w:gridSpan w:val="2"/>
            <w:tcBorders>
              <w:top w:val="nil"/>
              <w:bottom w:val="nil"/>
            </w:tcBorders>
            <w:shd w:val="clear" w:color="auto" w:fill="auto"/>
            <w:tcMar>
              <w:top w:w="110" w:type="dxa"/>
            </w:tcMar>
          </w:tcPr>
          <w:p w:rsidR="00F838C5" w:rsidRPr="002C52FB" w:rsidRDefault="00F838C5" w:rsidP="001363EE">
            <w:pPr>
              <w:keepNext/>
              <w:keepLines/>
              <w:rPr>
                <w:rFonts w:cs="Arial"/>
                <w:sz w:val="16"/>
                <w:szCs w:val="16"/>
              </w:rPr>
            </w:pPr>
            <w:r w:rsidRPr="00325F45">
              <w:rPr>
                <w:rFonts w:cs="Arial"/>
                <w:sz w:val="16"/>
                <w:szCs w:val="16"/>
              </w:rPr>
              <w:t>30 countries</w:t>
            </w:r>
            <w:r>
              <w:rPr>
                <w:rFonts w:cs="Arial"/>
                <w:sz w:val="16"/>
                <w:szCs w:val="16"/>
              </w:rPr>
              <w:t xml:space="preserve"> cumulative</w:t>
            </w:r>
          </w:p>
        </w:tc>
        <w:tc>
          <w:tcPr>
            <w:tcW w:w="1095" w:type="pct"/>
            <w:gridSpan w:val="3"/>
            <w:tcBorders>
              <w:top w:val="nil"/>
              <w:bottom w:val="nil"/>
            </w:tcBorders>
            <w:shd w:val="clear" w:color="auto" w:fill="FFFFFF"/>
            <w:tcMar>
              <w:top w:w="110" w:type="dxa"/>
            </w:tcMar>
          </w:tcPr>
          <w:p w:rsidR="00F838C5" w:rsidRPr="005C50ED" w:rsidRDefault="00F838C5" w:rsidP="001363EE">
            <w:pPr>
              <w:keepNext/>
              <w:keepLines/>
              <w:rPr>
                <w:rFonts w:cs="Arial"/>
                <w:sz w:val="16"/>
                <w:szCs w:val="16"/>
              </w:rPr>
            </w:pPr>
            <w:r>
              <w:rPr>
                <w:rFonts w:eastAsia="SimSun" w:cs="Arial"/>
                <w:sz w:val="16"/>
                <w:szCs w:val="16"/>
                <w:lang w:eastAsia="zh-CN"/>
              </w:rPr>
              <w:t>Eight additional</w:t>
            </w:r>
            <w:r w:rsidRPr="00325F45">
              <w:rPr>
                <w:rFonts w:eastAsia="SimSun" w:cs="Arial"/>
                <w:sz w:val="16"/>
                <w:szCs w:val="16"/>
                <w:lang w:eastAsia="zh-CN"/>
              </w:rPr>
              <w:t xml:space="preserve"> </w:t>
            </w:r>
            <w:r>
              <w:rPr>
                <w:rFonts w:eastAsia="SimSun" w:cs="Arial"/>
                <w:sz w:val="16"/>
                <w:szCs w:val="16"/>
                <w:lang w:eastAsia="zh-CN"/>
              </w:rPr>
              <w:t>countries</w:t>
            </w:r>
            <w:r w:rsidRPr="00325F45">
              <w:rPr>
                <w:rFonts w:eastAsia="SimSun" w:cs="Arial"/>
                <w:sz w:val="16"/>
                <w:szCs w:val="16"/>
                <w:lang w:eastAsia="zh-CN"/>
              </w:rPr>
              <w:t xml:space="preserve"> deposited instruments of ratification</w:t>
            </w:r>
            <w:r>
              <w:rPr>
                <w:rFonts w:eastAsia="SimSun" w:cs="Arial"/>
                <w:sz w:val="16"/>
                <w:szCs w:val="16"/>
                <w:lang w:eastAsia="zh-CN"/>
              </w:rPr>
              <w:t xml:space="preserve"> or accession </w:t>
            </w:r>
            <w:r w:rsidRPr="00325F45">
              <w:rPr>
                <w:rFonts w:eastAsia="SimSun" w:cs="Arial"/>
                <w:sz w:val="16"/>
                <w:szCs w:val="16"/>
                <w:lang w:eastAsia="zh-CN"/>
              </w:rPr>
              <w:t>for the Beijing Treaty</w:t>
            </w:r>
            <w:r>
              <w:rPr>
                <w:rFonts w:eastAsia="SimSun" w:cs="Arial"/>
                <w:sz w:val="16"/>
                <w:szCs w:val="16"/>
                <w:lang w:eastAsia="zh-CN"/>
              </w:rPr>
              <w:t xml:space="preserve"> (Chile, China, Japan, </w:t>
            </w:r>
            <w:r w:rsidRPr="000734C2">
              <w:rPr>
                <w:rFonts w:eastAsia="SimSun" w:cs="Arial"/>
                <w:sz w:val="16"/>
                <w:szCs w:val="16"/>
                <w:lang w:eastAsia="zh-CN"/>
              </w:rPr>
              <w:t xml:space="preserve">Qatar, Republic of Moldova, Russian Federation, </w:t>
            </w:r>
            <w:r>
              <w:rPr>
                <w:rFonts w:eastAsia="SimSun" w:cs="Arial"/>
                <w:sz w:val="16"/>
                <w:szCs w:val="16"/>
                <w:lang w:eastAsia="zh-CN"/>
              </w:rPr>
              <w:t>Slovakia, United Arab Emirates) (10 countries in total)</w:t>
            </w:r>
          </w:p>
        </w:tc>
        <w:tc>
          <w:tcPr>
            <w:tcW w:w="526" w:type="pct"/>
            <w:gridSpan w:val="2"/>
            <w:tcBorders>
              <w:top w:val="nil"/>
              <w:bottom w:val="nil"/>
              <w:right w:val="single" w:sz="4" w:space="0" w:color="auto"/>
            </w:tcBorders>
            <w:shd w:val="clear" w:color="auto" w:fill="auto"/>
            <w:tcMar>
              <w:top w:w="110" w:type="dxa"/>
            </w:tcMar>
          </w:tcPr>
          <w:p w:rsidR="00F838C5" w:rsidRPr="00325F45" w:rsidRDefault="00F838C5" w:rsidP="001363EE">
            <w:pPr>
              <w:keepNext/>
              <w:keepLines/>
              <w:jc w:val="center"/>
              <w:rPr>
                <w:rFonts w:cs="Arial"/>
                <w:b/>
                <w:bCs/>
                <w:color w:val="808080"/>
                <w:sz w:val="16"/>
                <w:szCs w:val="16"/>
              </w:rPr>
            </w:pPr>
            <w:r>
              <w:rPr>
                <w:rFonts w:cs="Arial"/>
                <w:b/>
                <w:bCs/>
                <w:color w:val="FF0000"/>
                <w:sz w:val="16"/>
                <w:szCs w:val="16"/>
              </w:rPr>
              <w:t>Not Achieved</w:t>
            </w:r>
          </w:p>
        </w:tc>
      </w:tr>
      <w:tr w:rsidR="00F838C5" w:rsidRPr="005C50ED" w:rsidTr="001363EE">
        <w:tc>
          <w:tcPr>
            <w:tcW w:w="1098" w:type="pct"/>
            <w:tcBorders>
              <w:top w:val="nil"/>
              <w:left w:val="single" w:sz="4" w:space="0" w:color="auto"/>
              <w:bottom w:val="nil"/>
            </w:tcBorders>
            <w:shd w:val="clear" w:color="auto" w:fill="auto"/>
          </w:tcPr>
          <w:p w:rsidR="00F838C5" w:rsidRPr="005C50ED" w:rsidRDefault="00F838C5" w:rsidP="001363EE">
            <w:pPr>
              <w:rPr>
                <w:rFonts w:cs="Arial"/>
                <w:sz w:val="16"/>
                <w:szCs w:val="16"/>
                <w:lang w:bidi="th-TH"/>
              </w:rPr>
            </w:pPr>
            <w:r w:rsidRPr="0062421A">
              <w:rPr>
                <w:rFonts w:cs="Arial"/>
                <w:color w:val="000000"/>
                <w:sz w:val="16"/>
                <w:szCs w:val="16"/>
                <w:lang w:bidi="th-TH"/>
              </w:rPr>
              <w:t>No. and % of countries that have provided positive feedback about WIPO´s  legislative advice</w:t>
            </w:r>
          </w:p>
        </w:tc>
        <w:tc>
          <w:tcPr>
            <w:tcW w:w="1433" w:type="pct"/>
            <w:gridSpan w:val="2"/>
            <w:tcBorders>
              <w:top w:val="nil"/>
              <w:bottom w:val="nil"/>
            </w:tcBorders>
            <w:shd w:val="clear" w:color="auto" w:fill="auto"/>
          </w:tcPr>
          <w:p w:rsidR="00F838C5" w:rsidRPr="00DE59D9" w:rsidRDefault="00F838C5" w:rsidP="001363EE">
            <w:pPr>
              <w:keepNext/>
              <w:rPr>
                <w:rFonts w:cs="Arial"/>
                <w:sz w:val="16"/>
                <w:szCs w:val="16"/>
                <w:lang w:bidi="th-TH"/>
              </w:rPr>
            </w:pPr>
            <w:r w:rsidRPr="00DE59D9">
              <w:rPr>
                <w:rFonts w:cs="Arial"/>
                <w:sz w:val="16"/>
                <w:szCs w:val="16"/>
                <w:lang w:bidi="th-TH"/>
              </w:rPr>
              <w:t>Data not available</w:t>
            </w:r>
          </w:p>
          <w:p w:rsidR="00F838C5" w:rsidRPr="0067453C" w:rsidRDefault="00F838C5" w:rsidP="001363EE">
            <w:pPr>
              <w:rPr>
                <w:rFonts w:cs="Arial"/>
                <w:sz w:val="16"/>
                <w:szCs w:val="16"/>
                <w:lang w:bidi="th-TH"/>
              </w:rPr>
            </w:pPr>
          </w:p>
        </w:tc>
        <w:tc>
          <w:tcPr>
            <w:tcW w:w="848" w:type="pct"/>
            <w:gridSpan w:val="2"/>
            <w:tcBorders>
              <w:top w:val="nil"/>
              <w:bottom w:val="nil"/>
            </w:tcBorders>
            <w:shd w:val="clear" w:color="auto" w:fill="auto"/>
            <w:tcMar>
              <w:top w:w="110" w:type="dxa"/>
            </w:tcMar>
          </w:tcPr>
          <w:p w:rsidR="00F838C5" w:rsidRPr="008E44C2" w:rsidRDefault="00F838C5" w:rsidP="001363EE">
            <w:pPr>
              <w:rPr>
                <w:rFonts w:cs="Arial"/>
                <w:sz w:val="16"/>
                <w:szCs w:val="16"/>
                <w:highlight w:val="yellow"/>
                <w:lang w:bidi="th-TH"/>
              </w:rPr>
            </w:pPr>
            <w:r w:rsidRPr="00642203">
              <w:rPr>
                <w:rFonts w:cs="Arial"/>
                <w:sz w:val="16"/>
                <w:szCs w:val="16"/>
                <w:lang w:bidi="th-TH"/>
              </w:rPr>
              <w:t>15 countries</w:t>
            </w:r>
            <w:r>
              <w:rPr>
                <w:rFonts w:cs="Arial"/>
                <w:sz w:val="16"/>
                <w:szCs w:val="16"/>
                <w:lang w:bidi="th-TH"/>
              </w:rPr>
              <w:t xml:space="preserve"> </w:t>
            </w:r>
          </w:p>
        </w:tc>
        <w:tc>
          <w:tcPr>
            <w:tcW w:w="1095" w:type="pct"/>
            <w:gridSpan w:val="3"/>
            <w:tcBorders>
              <w:top w:val="nil"/>
              <w:bottom w:val="nil"/>
            </w:tcBorders>
            <w:shd w:val="clear" w:color="auto" w:fill="FFFFFF"/>
            <w:tcMar>
              <w:top w:w="110" w:type="dxa"/>
            </w:tcMar>
          </w:tcPr>
          <w:p w:rsidR="00F838C5" w:rsidRDefault="00F838C5" w:rsidP="001363EE">
            <w:pPr>
              <w:rPr>
                <w:rFonts w:cs="Arial"/>
                <w:sz w:val="16"/>
                <w:szCs w:val="16"/>
                <w:lang w:bidi="th-TH"/>
              </w:rPr>
            </w:pPr>
            <w:r w:rsidRPr="003852A5">
              <w:rPr>
                <w:rFonts w:cs="Arial"/>
                <w:sz w:val="16"/>
                <w:szCs w:val="16"/>
                <w:lang w:bidi="th-TH"/>
              </w:rPr>
              <w:t>2</w:t>
            </w:r>
            <w:r>
              <w:rPr>
                <w:rFonts w:cs="Arial"/>
                <w:sz w:val="16"/>
                <w:szCs w:val="16"/>
                <w:lang w:bidi="th-TH"/>
              </w:rPr>
              <w:t>5</w:t>
            </w:r>
            <w:r w:rsidRPr="00F95C6D">
              <w:rPr>
                <w:rFonts w:cs="Arial"/>
                <w:sz w:val="16"/>
                <w:szCs w:val="16"/>
                <w:lang w:bidi="th-TH"/>
              </w:rPr>
              <w:t xml:space="preserve"> countries received legislative advice in 2014</w:t>
            </w:r>
            <w:r w:rsidRPr="003852A5">
              <w:rPr>
                <w:rFonts w:cs="Arial"/>
                <w:sz w:val="16"/>
                <w:szCs w:val="16"/>
                <w:lang w:bidi="th-TH"/>
              </w:rPr>
              <w:t>/15</w:t>
            </w:r>
            <w:r w:rsidRPr="00F95C6D">
              <w:rPr>
                <w:rFonts w:cs="Arial"/>
                <w:sz w:val="16"/>
                <w:szCs w:val="16"/>
                <w:lang w:bidi="th-TH"/>
              </w:rPr>
              <w:t xml:space="preserve">. (Africa </w:t>
            </w:r>
            <w:r w:rsidRPr="003852A5">
              <w:rPr>
                <w:rFonts w:cs="Arial"/>
                <w:sz w:val="16"/>
                <w:szCs w:val="16"/>
                <w:lang w:bidi="th-TH"/>
              </w:rPr>
              <w:t>9</w:t>
            </w:r>
            <w:r w:rsidRPr="00F95C6D">
              <w:rPr>
                <w:rFonts w:cs="Arial"/>
                <w:sz w:val="16"/>
                <w:szCs w:val="16"/>
                <w:lang w:bidi="th-TH"/>
              </w:rPr>
              <w:t xml:space="preserve">; </w:t>
            </w:r>
            <w:r>
              <w:rPr>
                <w:rFonts w:cs="Arial"/>
                <w:sz w:val="16"/>
                <w:szCs w:val="16"/>
                <w:lang w:bidi="th-TH"/>
              </w:rPr>
              <w:t xml:space="preserve"> Arab 3;  </w:t>
            </w:r>
            <w:r w:rsidRPr="00F95C6D">
              <w:rPr>
                <w:rFonts w:cs="Arial"/>
                <w:sz w:val="16"/>
                <w:szCs w:val="16"/>
                <w:lang w:bidi="th-TH"/>
              </w:rPr>
              <w:t xml:space="preserve">Asia and the Pacific </w:t>
            </w:r>
            <w:r w:rsidRPr="003852A5">
              <w:rPr>
                <w:rFonts w:cs="Arial"/>
                <w:sz w:val="16"/>
                <w:szCs w:val="16"/>
                <w:lang w:bidi="th-TH"/>
              </w:rPr>
              <w:t>5</w:t>
            </w:r>
            <w:r w:rsidRPr="00F95C6D">
              <w:rPr>
                <w:rFonts w:cs="Arial"/>
                <w:sz w:val="16"/>
                <w:szCs w:val="16"/>
                <w:lang w:bidi="th-TH"/>
              </w:rPr>
              <w:t xml:space="preserve">; </w:t>
            </w:r>
            <w:r>
              <w:rPr>
                <w:rFonts w:cs="Arial"/>
                <w:sz w:val="16"/>
                <w:szCs w:val="16"/>
                <w:lang w:bidi="th-TH"/>
              </w:rPr>
              <w:t xml:space="preserve"> </w:t>
            </w:r>
            <w:r w:rsidRPr="00F95C6D">
              <w:rPr>
                <w:rFonts w:cs="Arial"/>
                <w:sz w:val="16"/>
                <w:szCs w:val="16"/>
                <w:lang w:bidi="th-TH"/>
              </w:rPr>
              <w:t xml:space="preserve">Latin America and the Caribbean </w:t>
            </w:r>
            <w:r>
              <w:rPr>
                <w:rFonts w:cs="Arial"/>
                <w:sz w:val="16"/>
                <w:szCs w:val="16"/>
                <w:lang w:bidi="th-TH"/>
              </w:rPr>
              <w:t>6</w:t>
            </w:r>
            <w:r w:rsidRPr="00F95C6D">
              <w:rPr>
                <w:rFonts w:cs="Arial"/>
                <w:sz w:val="16"/>
                <w:szCs w:val="16"/>
                <w:lang w:bidi="th-TH"/>
              </w:rPr>
              <w:t xml:space="preserve">; Other 2). </w:t>
            </w:r>
          </w:p>
          <w:p w:rsidR="00F838C5" w:rsidRDefault="00F838C5" w:rsidP="001363EE">
            <w:pPr>
              <w:rPr>
                <w:rFonts w:cs="Arial"/>
                <w:sz w:val="16"/>
                <w:szCs w:val="16"/>
                <w:lang w:bidi="th-TH"/>
              </w:rPr>
            </w:pPr>
          </w:p>
          <w:p w:rsidR="00F838C5" w:rsidRPr="003852A5" w:rsidRDefault="00F838C5" w:rsidP="001363EE">
            <w:pPr>
              <w:rPr>
                <w:rFonts w:cs="Arial"/>
                <w:sz w:val="16"/>
                <w:szCs w:val="16"/>
                <w:lang w:bidi="th-TH"/>
              </w:rPr>
            </w:pPr>
            <w:r>
              <w:rPr>
                <w:rFonts w:cs="Arial"/>
                <w:sz w:val="16"/>
                <w:szCs w:val="16"/>
                <w:lang w:bidi="th-TH"/>
              </w:rPr>
              <w:t>100% of the valid survey responses provided positive feedback (5 or 6 on a scale of 1-6) about WIPO</w:t>
            </w:r>
            <w:r w:rsidRPr="004D6285">
              <w:rPr>
                <w:rFonts w:cs="Arial"/>
                <w:sz w:val="16"/>
                <w:szCs w:val="16"/>
                <w:lang w:eastAsia="ja-JP" w:bidi="th-TH"/>
              </w:rPr>
              <w:t xml:space="preserve">’s </w:t>
            </w:r>
            <w:r>
              <w:rPr>
                <w:rFonts w:cs="Arial"/>
                <w:sz w:val="16"/>
                <w:szCs w:val="16"/>
                <w:lang w:eastAsia="ja-JP" w:bidi="th-TH"/>
              </w:rPr>
              <w:t xml:space="preserve">copyright </w:t>
            </w:r>
            <w:r w:rsidRPr="004D6285">
              <w:rPr>
                <w:rFonts w:cs="Arial"/>
                <w:sz w:val="16"/>
                <w:szCs w:val="16"/>
                <w:lang w:eastAsia="ja-JP" w:bidi="th-TH"/>
              </w:rPr>
              <w:t>legislative advice service</w:t>
            </w:r>
            <w:r>
              <w:rPr>
                <w:rFonts w:cs="Arial"/>
                <w:sz w:val="16"/>
                <w:szCs w:val="16"/>
                <w:lang w:bidi="th-TH"/>
              </w:rPr>
              <w:t xml:space="preserve">. </w:t>
            </w:r>
          </w:p>
        </w:tc>
        <w:tc>
          <w:tcPr>
            <w:tcW w:w="526" w:type="pct"/>
            <w:gridSpan w:val="2"/>
            <w:tcBorders>
              <w:top w:val="nil"/>
              <w:bottom w:val="nil"/>
              <w:right w:val="single" w:sz="4" w:space="0" w:color="auto"/>
            </w:tcBorders>
            <w:shd w:val="clear" w:color="auto" w:fill="auto"/>
          </w:tcPr>
          <w:p w:rsidR="00F838C5" w:rsidRPr="003852A5" w:rsidRDefault="00F838C5" w:rsidP="001363EE">
            <w:pPr>
              <w:keepNext/>
              <w:keepLines/>
              <w:jc w:val="center"/>
              <w:rPr>
                <w:rFonts w:cs="Arial"/>
                <w:bCs/>
                <w:color w:val="333333"/>
                <w:sz w:val="16"/>
                <w:szCs w:val="16"/>
              </w:rPr>
            </w:pPr>
            <w:r w:rsidRPr="006B1A4E">
              <w:rPr>
                <w:rFonts w:cs="Arial"/>
                <w:b/>
                <w:bCs/>
                <w:color w:val="00B050"/>
                <w:sz w:val="16"/>
                <w:szCs w:val="16"/>
              </w:rPr>
              <w:t xml:space="preserve">Fully </w:t>
            </w:r>
            <w:r>
              <w:rPr>
                <w:rFonts w:cs="Arial"/>
                <w:b/>
                <w:bCs/>
                <w:color w:val="00B050"/>
                <w:sz w:val="16"/>
                <w:szCs w:val="16"/>
              </w:rPr>
              <w:t>A</w:t>
            </w:r>
            <w:r w:rsidRPr="006B1A4E">
              <w:rPr>
                <w:rFonts w:cs="Arial"/>
                <w:b/>
                <w:bCs/>
                <w:color w:val="00B050"/>
                <w:sz w:val="16"/>
                <w:szCs w:val="16"/>
              </w:rPr>
              <w:t>chieved</w:t>
            </w:r>
          </w:p>
        </w:tc>
      </w:tr>
      <w:tr w:rsidR="00F838C5" w:rsidRPr="005C50ED" w:rsidTr="001363EE">
        <w:tc>
          <w:tcPr>
            <w:tcW w:w="1098" w:type="pct"/>
            <w:tcBorders>
              <w:top w:val="nil"/>
              <w:left w:val="single" w:sz="4" w:space="0" w:color="auto"/>
              <w:bottom w:val="nil"/>
            </w:tcBorders>
            <w:shd w:val="clear" w:color="auto" w:fill="auto"/>
          </w:tcPr>
          <w:p w:rsidR="00F838C5" w:rsidRPr="005C50ED" w:rsidRDefault="00F838C5" w:rsidP="001363EE">
            <w:pPr>
              <w:keepNext/>
              <w:keepLines/>
              <w:rPr>
                <w:rFonts w:cs="Arial"/>
                <w:color w:val="000000"/>
                <w:sz w:val="16"/>
                <w:szCs w:val="16"/>
                <w:lang w:bidi="th-TH"/>
              </w:rPr>
            </w:pPr>
            <w:r w:rsidRPr="003152BA">
              <w:rPr>
                <w:rFonts w:cs="Arial"/>
                <w:color w:val="000000"/>
                <w:sz w:val="16"/>
                <w:szCs w:val="16"/>
                <w:lang w:bidi="th-TH"/>
              </w:rPr>
              <w:t>No</w:t>
            </w:r>
            <w:r>
              <w:rPr>
                <w:rFonts w:cs="Arial"/>
                <w:color w:val="000000"/>
                <w:sz w:val="16"/>
                <w:szCs w:val="16"/>
                <w:lang w:bidi="th-TH"/>
              </w:rPr>
              <w:t>.</w:t>
            </w:r>
            <w:r w:rsidRPr="003152BA">
              <w:rPr>
                <w:rFonts w:cs="Arial"/>
                <w:color w:val="000000"/>
                <w:sz w:val="16"/>
                <w:szCs w:val="16"/>
                <w:lang w:bidi="th-TH"/>
              </w:rPr>
              <w:t xml:space="preserve"> of ratifications to the WIPO Internet Treaties</w:t>
            </w:r>
          </w:p>
        </w:tc>
        <w:tc>
          <w:tcPr>
            <w:tcW w:w="1433" w:type="pct"/>
            <w:gridSpan w:val="2"/>
            <w:tcBorders>
              <w:top w:val="nil"/>
              <w:bottom w:val="nil"/>
            </w:tcBorders>
            <w:shd w:val="clear" w:color="auto" w:fill="auto"/>
          </w:tcPr>
          <w:p w:rsidR="00F838C5" w:rsidRPr="00757BD0" w:rsidRDefault="00F838C5" w:rsidP="001363EE">
            <w:pPr>
              <w:keepNext/>
              <w:keepLines/>
              <w:rPr>
                <w:rFonts w:cs="Arial"/>
                <w:color w:val="002060"/>
                <w:sz w:val="16"/>
                <w:szCs w:val="16"/>
              </w:rPr>
            </w:pPr>
            <w:r>
              <w:rPr>
                <w:rFonts w:cs="Arial"/>
                <w:i/>
                <w:color w:val="002060"/>
                <w:sz w:val="16"/>
                <w:szCs w:val="16"/>
              </w:rPr>
              <w:t>Updated Baseline end 2013</w:t>
            </w:r>
            <w:r w:rsidRPr="005C50ED">
              <w:rPr>
                <w:rFonts w:cs="Arial"/>
                <w:i/>
                <w:color w:val="002060"/>
                <w:sz w:val="16"/>
                <w:szCs w:val="16"/>
              </w:rPr>
              <w:t xml:space="preserve">:  </w:t>
            </w:r>
            <w:r>
              <w:rPr>
                <w:rFonts w:cs="Arial"/>
                <w:color w:val="002060"/>
                <w:sz w:val="16"/>
                <w:szCs w:val="16"/>
              </w:rPr>
              <w:t xml:space="preserve">184 </w:t>
            </w:r>
          </w:p>
          <w:p w:rsidR="00F838C5" w:rsidRPr="005C50ED" w:rsidRDefault="00F838C5" w:rsidP="001363EE">
            <w:pPr>
              <w:keepNext/>
              <w:keepLines/>
              <w:rPr>
                <w:rFonts w:cs="Arial"/>
                <w:i/>
                <w:sz w:val="8"/>
                <w:szCs w:val="8"/>
                <w:lang w:bidi="th-TH"/>
              </w:rPr>
            </w:pPr>
          </w:p>
          <w:p w:rsidR="00F838C5" w:rsidRPr="003152BA" w:rsidRDefault="00F838C5" w:rsidP="001363EE">
            <w:pPr>
              <w:keepNext/>
              <w:keepLines/>
              <w:rPr>
                <w:rFonts w:cs="Arial"/>
                <w:sz w:val="16"/>
                <w:szCs w:val="16"/>
                <w:lang w:bidi="th-TH"/>
              </w:rPr>
            </w:pPr>
            <w:r>
              <w:rPr>
                <w:rFonts w:cs="Arial"/>
                <w:i/>
                <w:sz w:val="16"/>
                <w:szCs w:val="16"/>
                <w:lang w:bidi="th-TH"/>
              </w:rPr>
              <w:t>Original Baseline P&amp;B 2014/15</w:t>
            </w:r>
            <w:r w:rsidRPr="005C50ED">
              <w:rPr>
                <w:rFonts w:cs="Arial"/>
                <w:i/>
                <w:sz w:val="16"/>
                <w:szCs w:val="16"/>
                <w:lang w:bidi="th-TH"/>
              </w:rPr>
              <w:t xml:space="preserve">: </w:t>
            </w:r>
            <w:r w:rsidRPr="005C50ED">
              <w:rPr>
                <w:rFonts w:cs="Arial"/>
                <w:sz w:val="16"/>
                <w:szCs w:val="16"/>
                <w:lang w:bidi="th-TH"/>
              </w:rPr>
              <w:t xml:space="preserve"> </w:t>
            </w:r>
            <w:r w:rsidRPr="003152BA">
              <w:rPr>
                <w:rFonts w:cs="Arial"/>
                <w:sz w:val="16"/>
                <w:szCs w:val="16"/>
                <w:lang w:bidi="th-TH"/>
              </w:rPr>
              <w:t>181</w:t>
            </w:r>
            <w:r>
              <w:rPr>
                <w:rFonts w:cs="Arial"/>
                <w:sz w:val="16"/>
                <w:szCs w:val="16"/>
                <w:lang w:bidi="th-TH"/>
              </w:rPr>
              <w:t xml:space="preserve"> (end 2012)</w:t>
            </w:r>
          </w:p>
        </w:tc>
        <w:tc>
          <w:tcPr>
            <w:tcW w:w="848" w:type="pct"/>
            <w:gridSpan w:val="2"/>
            <w:tcBorders>
              <w:top w:val="nil"/>
              <w:bottom w:val="nil"/>
            </w:tcBorders>
            <w:shd w:val="clear" w:color="auto" w:fill="auto"/>
            <w:tcMar>
              <w:top w:w="110" w:type="dxa"/>
            </w:tcMar>
          </w:tcPr>
          <w:p w:rsidR="00F838C5" w:rsidRPr="005C50ED" w:rsidRDefault="00F838C5" w:rsidP="001363EE">
            <w:pPr>
              <w:keepNext/>
              <w:keepLines/>
              <w:rPr>
                <w:rFonts w:cs="Arial"/>
                <w:sz w:val="16"/>
                <w:szCs w:val="16"/>
                <w:lang w:bidi="th-TH"/>
              </w:rPr>
            </w:pPr>
            <w:r w:rsidRPr="003152BA">
              <w:rPr>
                <w:rFonts w:cs="Arial"/>
                <w:sz w:val="16"/>
                <w:szCs w:val="16"/>
                <w:lang w:bidi="th-TH"/>
              </w:rPr>
              <w:t>190</w:t>
            </w:r>
            <w:r>
              <w:rPr>
                <w:rFonts w:cs="Arial"/>
                <w:sz w:val="16"/>
                <w:szCs w:val="16"/>
                <w:lang w:bidi="th-TH"/>
              </w:rPr>
              <w:t xml:space="preserve"> cumulative</w:t>
            </w:r>
          </w:p>
        </w:tc>
        <w:tc>
          <w:tcPr>
            <w:tcW w:w="1095" w:type="pct"/>
            <w:gridSpan w:val="3"/>
            <w:tcBorders>
              <w:top w:val="nil"/>
              <w:bottom w:val="nil"/>
            </w:tcBorders>
            <w:shd w:val="clear" w:color="auto" w:fill="FFFFFF"/>
            <w:tcMar>
              <w:top w:w="110" w:type="dxa"/>
            </w:tcMar>
          </w:tcPr>
          <w:p w:rsidR="00F838C5" w:rsidRDefault="00F838C5" w:rsidP="001363EE">
            <w:pPr>
              <w:keepNext/>
              <w:keepLines/>
              <w:rPr>
                <w:rFonts w:cs="Arial"/>
                <w:sz w:val="16"/>
                <w:szCs w:val="16"/>
                <w:lang w:bidi="th-TH"/>
              </w:rPr>
            </w:pPr>
            <w:r>
              <w:rPr>
                <w:rFonts w:cs="Arial"/>
                <w:sz w:val="16"/>
                <w:szCs w:val="16"/>
                <w:lang w:bidi="th-TH"/>
              </w:rPr>
              <w:t xml:space="preserve">Four </w:t>
            </w:r>
            <w:r w:rsidRPr="003152BA">
              <w:rPr>
                <w:rFonts w:cs="Arial"/>
                <w:sz w:val="16"/>
                <w:szCs w:val="16"/>
                <w:lang w:bidi="th-TH"/>
              </w:rPr>
              <w:t xml:space="preserve">instruments </w:t>
            </w:r>
            <w:r>
              <w:rPr>
                <w:rFonts w:cs="Arial"/>
                <w:sz w:val="16"/>
                <w:szCs w:val="16"/>
                <w:lang w:bidi="th-TH"/>
              </w:rPr>
              <w:t xml:space="preserve">of ratification or accessions </w:t>
            </w:r>
            <w:r w:rsidRPr="003152BA">
              <w:rPr>
                <w:rFonts w:cs="Arial"/>
                <w:sz w:val="16"/>
                <w:szCs w:val="16"/>
                <w:lang w:bidi="th-TH"/>
              </w:rPr>
              <w:t>were deposited</w:t>
            </w:r>
            <w:r>
              <w:rPr>
                <w:rFonts w:cs="Arial"/>
                <w:sz w:val="16"/>
                <w:szCs w:val="16"/>
                <w:lang w:bidi="th-TH"/>
              </w:rPr>
              <w:t xml:space="preserve"> in 2014/15</w:t>
            </w:r>
            <w:r w:rsidRPr="003152BA">
              <w:rPr>
                <w:rFonts w:cs="Arial"/>
                <w:sz w:val="16"/>
                <w:szCs w:val="16"/>
                <w:lang w:bidi="th-TH"/>
              </w:rPr>
              <w:t>, for a total of 18</w:t>
            </w:r>
            <w:r>
              <w:rPr>
                <w:rFonts w:cs="Arial"/>
                <w:sz w:val="16"/>
                <w:szCs w:val="16"/>
                <w:lang w:bidi="th-TH"/>
              </w:rPr>
              <w:t>8:</w:t>
            </w:r>
          </w:p>
          <w:p w:rsidR="00F838C5" w:rsidRPr="00FF616A" w:rsidRDefault="00F838C5" w:rsidP="00F838C5">
            <w:pPr>
              <w:pStyle w:val="ListParagraph"/>
              <w:keepNext/>
              <w:keepLines/>
              <w:numPr>
                <w:ilvl w:val="0"/>
                <w:numId w:val="57"/>
              </w:numPr>
              <w:rPr>
                <w:rFonts w:cs="Arial"/>
                <w:sz w:val="16"/>
                <w:szCs w:val="16"/>
                <w:lang w:val="es-ES" w:bidi="th-TH"/>
              </w:rPr>
            </w:pPr>
            <w:r w:rsidRPr="00FF616A">
              <w:rPr>
                <w:rFonts w:cs="Arial"/>
                <w:sz w:val="16"/>
                <w:szCs w:val="16"/>
                <w:lang w:val="es-ES" w:bidi="th-TH"/>
              </w:rPr>
              <w:t>WIPO Copyright Treaty (Canada, Madagascar)</w:t>
            </w:r>
          </w:p>
          <w:p w:rsidR="00F838C5" w:rsidRPr="00757BD0" w:rsidRDefault="00F838C5" w:rsidP="00F838C5">
            <w:pPr>
              <w:pStyle w:val="ListParagraph"/>
              <w:keepNext/>
              <w:keepLines/>
              <w:numPr>
                <w:ilvl w:val="0"/>
                <w:numId w:val="57"/>
              </w:numPr>
              <w:rPr>
                <w:rFonts w:cs="Arial"/>
                <w:sz w:val="16"/>
                <w:szCs w:val="16"/>
                <w:lang w:bidi="th-TH"/>
              </w:rPr>
            </w:pPr>
            <w:r>
              <w:rPr>
                <w:rFonts w:cs="Arial"/>
                <w:sz w:val="16"/>
                <w:szCs w:val="16"/>
                <w:lang w:bidi="th-TH"/>
              </w:rPr>
              <w:t>WIPO Performances and Phonogram treaty (Canada, Madagascar)</w:t>
            </w:r>
          </w:p>
        </w:tc>
        <w:tc>
          <w:tcPr>
            <w:tcW w:w="526" w:type="pct"/>
            <w:gridSpan w:val="2"/>
            <w:tcBorders>
              <w:top w:val="nil"/>
              <w:bottom w:val="nil"/>
              <w:right w:val="single" w:sz="4" w:space="0" w:color="auto"/>
            </w:tcBorders>
            <w:shd w:val="clear" w:color="auto" w:fill="auto"/>
          </w:tcPr>
          <w:p w:rsidR="00F838C5" w:rsidRPr="0062421A" w:rsidRDefault="00F838C5" w:rsidP="001363EE">
            <w:pPr>
              <w:keepNext/>
              <w:keepLines/>
              <w:jc w:val="center"/>
              <w:rPr>
                <w:rFonts w:cs="Arial"/>
                <w:b/>
                <w:bCs/>
                <w:color w:val="00B050"/>
                <w:sz w:val="16"/>
                <w:szCs w:val="16"/>
              </w:rPr>
            </w:pPr>
            <w:r w:rsidRPr="00F95C6D">
              <w:rPr>
                <w:rFonts w:cs="Arial"/>
                <w:b/>
                <w:bCs/>
                <w:color w:val="00B050"/>
                <w:sz w:val="16"/>
                <w:szCs w:val="16"/>
              </w:rPr>
              <w:t xml:space="preserve"> </w:t>
            </w:r>
            <w:r w:rsidRPr="006B1A4E">
              <w:rPr>
                <w:rFonts w:cs="Arial"/>
                <w:b/>
                <w:bCs/>
                <w:color w:val="00B050"/>
                <w:sz w:val="16"/>
                <w:szCs w:val="16"/>
              </w:rPr>
              <w:t xml:space="preserve">Fully </w:t>
            </w:r>
            <w:r>
              <w:rPr>
                <w:rFonts w:cs="Arial"/>
                <w:b/>
                <w:bCs/>
                <w:color w:val="00B050"/>
                <w:sz w:val="16"/>
                <w:szCs w:val="16"/>
              </w:rPr>
              <w:t>A</w:t>
            </w:r>
            <w:r w:rsidRPr="00F95C6D">
              <w:rPr>
                <w:rFonts w:cs="Arial"/>
                <w:b/>
                <w:bCs/>
                <w:color w:val="00B050"/>
                <w:sz w:val="16"/>
                <w:szCs w:val="16"/>
              </w:rPr>
              <w:t>chieved</w:t>
            </w:r>
          </w:p>
        </w:tc>
      </w:tr>
      <w:tr w:rsidR="00F838C5" w:rsidRPr="005C50ED" w:rsidTr="001363EE">
        <w:tc>
          <w:tcPr>
            <w:tcW w:w="1098" w:type="pct"/>
            <w:tcBorders>
              <w:top w:val="nil"/>
              <w:left w:val="single" w:sz="4" w:space="0" w:color="auto"/>
              <w:bottom w:val="single" w:sz="4" w:space="0" w:color="auto"/>
            </w:tcBorders>
            <w:shd w:val="clear" w:color="auto" w:fill="auto"/>
          </w:tcPr>
          <w:p w:rsidR="00F838C5" w:rsidRPr="005C50ED" w:rsidRDefault="00F838C5" w:rsidP="001363EE">
            <w:pPr>
              <w:rPr>
                <w:rFonts w:cs="Arial"/>
                <w:color w:val="000000"/>
                <w:sz w:val="16"/>
                <w:szCs w:val="16"/>
                <w:lang w:bidi="th-TH"/>
              </w:rPr>
            </w:pPr>
            <w:r w:rsidRPr="0062421A">
              <w:rPr>
                <w:rFonts w:cs="Arial"/>
                <w:color w:val="000000"/>
                <w:sz w:val="16"/>
                <w:szCs w:val="16"/>
                <w:lang w:bidi="th-TH"/>
              </w:rPr>
              <w:t>No</w:t>
            </w:r>
            <w:r>
              <w:rPr>
                <w:rFonts w:cs="Arial"/>
                <w:color w:val="000000"/>
                <w:sz w:val="16"/>
                <w:szCs w:val="16"/>
                <w:lang w:bidi="th-TH"/>
              </w:rPr>
              <w:t>.</w:t>
            </w:r>
            <w:r w:rsidRPr="0062421A">
              <w:rPr>
                <w:rFonts w:cs="Arial"/>
                <w:color w:val="000000"/>
                <w:sz w:val="16"/>
                <w:szCs w:val="16"/>
                <w:lang w:bidi="th-TH"/>
              </w:rPr>
              <w:t xml:space="preserve"> of countries that have ratified the Marrakesh </w:t>
            </w:r>
            <w:r>
              <w:rPr>
                <w:rFonts w:cs="Arial"/>
                <w:color w:val="000000"/>
                <w:sz w:val="16"/>
                <w:szCs w:val="16"/>
                <w:lang w:bidi="th-TH"/>
              </w:rPr>
              <w:t xml:space="preserve">VIP </w:t>
            </w:r>
            <w:r w:rsidRPr="0062421A">
              <w:rPr>
                <w:rFonts w:cs="Arial"/>
                <w:color w:val="000000"/>
                <w:sz w:val="16"/>
                <w:szCs w:val="16"/>
                <w:lang w:bidi="th-TH"/>
              </w:rPr>
              <w:t xml:space="preserve">Treaty </w:t>
            </w:r>
          </w:p>
        </w:tc>
        <w:tc>
          <w:tcPr>
            <w:tcW w:w="1433" w:type="pct"/>
            <w:gridSpan w:val="2"/>
            <w:tcBorders>
              <w:top w:val="nil"/>
              <w:bottom w:val="single" w:sz="4" w:space="0" w:color="auto"/>
            </w:tcBorders>
            <w:shd w:val="clear" w:color="auto" w:fill="auto"/>
          </w:tcPr>
          <w:p w:rsidR="00F838C5" w:rsidRPr="005C50ED" w:rsidRDefault="00F838C5" w:rsidP="001363EE">
            <w:pPr>
              <w:keepNext/>
              <w:rPr>
                <w:rFonts w:cs="Arial"/>
                <w:sz w:val="16"/>
                <w:szCs w:val="16"/>
                <w:lang w:bidi="th-TH"/>
              </w:rPr>
            </w:pPr>
            <w:r w:rsidRPr="0062421A">
              <w:rPr>
                <w:rFonts w:cs="Arial"/>
                <w:sz w:val="16"/>
                <w:szCs w:val="16"/>
                <w:lang w:bidi="th-TH"/>
              </w:rPr>
              <w:t>None</w:t>
            </w:r>
          </w:p>
          <w:p w:rsidR="00F838C5" w:rsidRPr="005C50ED" w:rsidRDefault="00F838C5" w:rsidP="001363EE">
            <w:pPr>
              <w:rPr>
                <w:rFonts w:cs="Arial"/>
                <w:i/>
                <w:color w:val="000000"/>
                <w:sz w:val="16"/>
                <w:szCs w:val="16"/>
                <w:lang w:bidi="th-TH"/>
              </w:rPr>
            </w:pPr>
          </w:p>
        </w:tc>
        <w:tc>
          <w:tcPr>
            <w:tcW w:w="848" w:type="pct"/>
            <w:gridSpan w:val="2"/>
            <w:tcBorders>
              <w:top w:val="nil"/>
              <w:bottom w:val="single" w:sz="4" w:space="0" w:color="auto"/>
            </w:tcBorders>
            <w:shd w:val="clear" w:color="auto" w:fill="auto"/>
            <w:tcMar>
              <w:top w:w="110" w:type="dxa"/>
            </w:tcMar>
          </w:tcPr>
          <w:p w:rsidR="00F838C5" w:rsidRPr="005C50ED" w:rsidRDefault="00F838C5" w:rsidP="001363EE">
            <w:pPr>
              <w:rPr>
                <w:rFonts w:cs="Arial"/>
                <w:sz w:val="16"/>
                <w:szCs w:val="16"/>
                <w:lang w:bidi="th-TH"/>
              </w:rPr>
            </w:pPr>
            <w:r w:rsidRPr="0062421A">
              <w:rPr>
                <w:rFonts w:cs="Arial"/>
                <w:sz w:val="16"/>
                <w:szCs w:val="16"/>
                <w:lang w:bidi="th-TH"/>
              </w:rPr>
              <w:t>20 countries</w:t>
            </w:r>
            <w:r>
              <w:rPr>
                <w:rFonts w:cs="Arial"/>
                <w:sz w:val="16"/>
                <w:szCs w:val="16"/>
                <w:lang w:bidi="th-TH"/>
              </w:rPr>
              <w:t xml:space="preserve"> cumulative</w:t>
            </w:r>
          </w:p>
        </w:tc>
        <w:tc>
          <w:tcPr>
            <w:tcW w:w="1095" w:type="pct"/>
            <w:gridSpan w:val="3"/>
            <w:tcBorders>
              <w:top w:val="nil"/>
              <w:bottom w:val="single" w:sz="4" w:space="0" w:color="auto"/>
            </w:tcBorders>
            <w:shd w:val="clear" w:color="auto" w:fill="FFFFFF"/>
            <w:tcMar>
              <w:top w:w="110" w:type="dxa"/>
            </w:tcMar>
          </w:tcPr>
          <w:p w:rsidR="00F838C5" w:rsidRDefault="00F838C5" w:rsidP="001363EE">
            <w:pPr>
              <w:rPr>
                <w:rFonts w:cs="Arial"/>
                <w:sz w:val="16"/>
                <w:szCs w:val="16"/>
                <w:lang w:bidi="th-TH"/>
              </w:rPr>
            </w:pPr>
            <w:r>
              <w:rPr>
                <w:rFonts w:cs="Arial"/>
                <w:sz w:val="16"/>
                <w:szCs w:val="16"/>
                <w:lang w:bidi="th-TH"/>
              </w:rPr>
              <w:t>13</w:t>
            </w:r>
            <w:r w:rsidRPr="0062421A">
              <w:rPr>
                <w:rFonts w:cs="Arial"/>
                <w:sz w:val="16"/>
                <w:szCs w:val="16"/>
                <w:lang w:bidi="th-TH"/>
              </w:rPr>
              <w:t xml:space="preserve"> instruments of ratification or accession were deposited in 2014</w:t>
            </w:r>
            <w:r>
              <w:rPr>
                <w:rFonts w:cs="Arial"/>
                <w:sz w:val="16"/>
                <w:szCs w:val="16"/>
                <w:lang w:bidi="th-TH"/>
              </w:rPr>
              <w:t>/15 (</w:t>
            </w:r>
            <w:r w:rsidRPr="00525F1F">
              <w:rPr>
                <w:rFonts w:cs="Arial"/>
                <w:sz w:val="16"/>
                <w:szCs w:val="16"/>
                <w:lang w:bidi="th-TH"/>
              </w:rPr>
              <w:t xml:space="preserve">Argentina, Australia, Brazil, </w:t>
            </w:r>
            <w:r>
              <w:rPr>
                <w:rFonts w:cs="Arial"/>
                <w:sz w:val="16"/>
                <w:szCs w:val="16"/>
                <w:lang w:bidi="th-TH"/>
              </w:rPr>
              <w:t xml:space="preserve">El Salvador, India, Mali, </w:t>
            </w:r>
            <w:r w:rsidRPr="00525F1F">
              <w:rPr>
                <w:rFonts w:cs="Arial"/>
                <w:sz w:val="16"/>
                <w:szCs w:val="16"/>
                <w:lang w:bidi="th-TH"/>
              </w:rPr>
              <w:t xml:space="preserve">Mexico, Mongolia, Paraguay, Republic of Korea, Singapore, </w:t>
            </w:r>
            <w:r>
              <w:rPr>
                <w:rFonts w:cs="Arial"/>
                <w:sz w:val="16"/>
                <w:szCs w:val="16"/>
                <w:lang w:bidi="th-TH"/>
              </w:rPr>
              <w:t>United Arab Emirates, Uruguay)</w:t>
            </w:r>
          </w:p>
          <w:p w:rsidR="00F838C5" w:rsidRDefault="00F838C5" w:rsidP="001363EE">
            <w:pPr>
              <w:rPr>
                <w:rFonts w:cs="Arial"/>
                <w:sz w:val="16"/>
                <w:szCs w:val="16"/>
                <w:lang w:bidi="th-TH"/>
              </w:rPr>
            </w:pPr>
          </w:p>
          <w:p w:rsidR="00F838C5" w:rsidRDefault="00F838C5" w:rsidP="001363EE">
            <w:pPr>
              <w:rPr>
                <w:rFonts w:cs="Arial"/>
                <w:sz w:val="16"/>
                <w:szCs w:val="16"/>
                <w:lang w:bidi="th-TH"/>
              </w:rPr>
            </w:pPr>
          </w:p>
          <w:p w:rsidR="00F838C5" w:rsidRPr="005C50ED" w:rsidRDefault="00F838C5" w:rsidP="001363EE">
            <w:pPr>
              <w:rPr>
                <w:rFonts w:cs="Arial"/>
                <w:sz w:val="16"/>
                <w:szCs w:val="16"/>
                <w:lang w:bidi="th-TH"/>
              </w:rPr>
            </w:pPr>
          </w:p>
        </w:tc>
        <w:tc>
          <w:tcPr>
            <w:tcW w:w="526" w:type="pct"/>
            <w:gridSpan w:val="2"/>
            <w:tcBorders>
              <w:top w:val="nil"/>
              <w:bottom w:val="single" w:sz="4" w:space="0" w:color="auto"/>
              <w:right w:val="single" w:sz="4" w:space="0" w:color="auto"/>
            </w:tcBorders>
            <w:shd w:val="clear" w:color="auto" w:fill="auto"/>
          </w:tcPr>
          <w:p w:rsidR="00F838C5" w:rsidRPr="0062421A" w:rsidRDefault="00F838C5" w:rsidP="001363EE">
            <w:pPr>
              <w:keepNext/>
              <w:keepLines/>
              <w:jc w:val="center"/>
              <w:rPr>
                <w:rFonts w:cs="Arial"/>
                <w:b/>
                <w:bCs/>
                <w:color w:val="00B050"/>
                <w:sz w:val="16"/>
                <w:szCs w:val="16"/>
              </w:rPr>
            </w:pPr>
            <w:r w:rsidRPr="00DD7DCF">
              <w:rPr>
                <w:rFonts w:cs="Arial"/>
                <w:b/>
                <w:bCs/>
                <w:color w:val="E36C0A" w:themeColor="accent6" w:themeShade="BF"/>
                <w:sz w:val="16"/>
                <w:szCs w:val="16"/>
              </w:rPr>
              <w:t xml:space="preserve">Partially </w:t>
            </w:r>
            <w:r>
              <w:rPr>
                <w:rFonts w:cs="Arial"/>
                <w:b/>
                <w:bCs/>
                <w:color w:val="E36C0A" w:themeColor="accent6" w:themeShade="BF"/>
                <w:sz w:val="16"/>
                <w:szCs w:val="16"/>
              </w:rPr>
              <w:t>A</w:t>
            </w:r>
            <w:r w:rsidRPr="00DD7DCF">
              <w:rPr>
                <w:rFonts w:cs="Arial"/>
                <w:b/>
                <w:bCs/>
                <w:color w:val="E36C0A" w:themeColor="accent6" w:themeShade="BF"/>
                <w:sz w:val="16"/>
                <w:szCs w:val="16"/>
              </w:rPr>
              <w:t>chieved</w:t>
            </w:r>
          </w:p>
        </w:tc>
      </w:tr>
      <w:tr w:rsidR="00F838C5" w:rsidRPr="005C50ED" w:rsidTr="001363EE">
        <w:trPr>
          <w:trHeight w:val="472"/>
        </w:trPr>
        <w:tc>
          <w:tcPr>
            <w:tcW w:w="5000" w:type="pct"/>
            <w:gridSpan w:val="10"/>
            <w:tcBorders>
              <w:top w:val="single" w:sz="4" w:space="0" w:color="auto"/>
              <w:bottom w:val="single" w:sz="4" w:space="0" w:color="auto"/>
            </w:tcBorders>
            <w:shd w:val="clear" w:color="auto" w:fill="CCFFFF"/>
            <w:vAlign w:val="center"/>
          </w:tcPr>
          <w:p w:rsidR="00F838C5" w:rsidRPr="005C50ED" w:rsidRDefault="00F838C5" w:rsidP="001363EE">
            <w:pPr>
              <w:keepNext/>
              <w:tabs>
                <w:tab w:val="left" w:pos="1452"/>
              </w:tabs>
              <w:ind w:left="1454" w:hanging="1454"/>
              <w:rPr>
                <w:rFonts w:cs="Arial"/>
                <w:b/>
                <w:bCs/>
                <w:sz w:val="16"/>
                <w:szCs w:val="16"/>
              </w:rPr>
            </w:pPr>
            <w:r w:rsidRPr="00BA6F3B">
              <w:rPr>
                <w:rFonts w:cs="Arial"/>
                <w:b/>
                <w:bCs/>
                <w:sz w:val="16"/>
                <w:szCs w:val="16"/>
                <w:shd w:val="clear" w:color="auto" w:fill="C6D9F1" w:themeFill="text2" w:themeFillTint="33"/>
              </w:rPr>
              <w:lastRenderedPageBreak/>
              <w:t>Expected Result:</w:t>
            </w:r>
            <w:r w:rsidRPr="00BA6F3B">
              <w:rPr>
                <w:rFonts w:cs="Arial"/>
                <w:b/>
                <w:bCs/>
                <w:sz w:val="16"/>
                <w:szCs w:val="16"/>
                <w:shd w:val="clear" w:color="auto" w:fill="C6D9F1" w:themeFill="text2" w:themeFillTint="33"/>
              </w:rPr>
              <w:tab/>
            </w:r>
            <w:r w:rsidRPr="00BA6F3B">
              <w:rPr>
                <w:rFonts w:cs="Arial"/>
                <w:sz w:val="16"/>
                <w:szCs w:val="16"/>
                <w:shd w:val="clear" w:color="auto" w:fill="C6D9F1" w:themeFill="text2" w:themeFillTint="33"/>
                <w:lang w:bidi="th-TH"/>
              </w:rPr>
              <w:t>III.2 Enhanced human resource capacities able to deal with the broad range of requirements for the effective use of IP for development</w:t>
            </w:r>
            <w:r w:rsidRPr="003152BA">
              <w:rPr>
                <w:rFonts w:cs="Arial"/>
                <w:sz w:val="16"/>
                <w:szCs w:val="16"/>
                <w:lang w:bidi="th-TH"/>
              </w:rPr>
              <w:t xml:space="preserve"> in developing countries, LDCs and countries with economies in transition</w:t>
            </w:r>
          </w:p>
        </w:tc>
      </w:tr>
      <w:tr w:rsidR="00F838C5" w:rsidRPr="005C50ED" w:rsidTr="001363EE">
        <w:tc>
          <w:tcPr>
            <w:tcW w:w="1098" w:type="pct"/>
            <w:tcBorders>
              <w:top w:val="single" w:sz="4" w:space="0" w:color="auto"/>
              <w:left w:val="single" w:sz="4" w:space="0" w:color="auto"/>
              <w:bottom w:val="nil"/>
            </w:tcBorders>
            <w:shd w:val="clear" w:color="auto" w:fill="auto"/>
            <w:vAlign w:val="center"/>
          </w:tcPr>
          <w:p w:rsidR="00F838C5" w:rsidRPr="005C50ED" w:rsidRDefault="00F838C5" w:rsidP="001363EE">
            <w:pPr>
              <w:keepNext/>
              <w:rPr>
                <w:rFonts w:cs="Arial"/>
                <w:sz w:val="16"/>
                <w:szCs w:val="16"/>
                <w:lang w:val="en-GB"/>
              </w:rPr>
            </w:pPr>
            <w:r w:rsidRPr="005C50ED">
              <w:rPr>
                <w:rFonts w:cs="Arial"/>
                <w:b/>
                <w:bCs/>
                <w:sz w:val="16"/>
                <w:szCs w:val="16"/>
              </w:rPr>
              <w:t>Performance Indicators</w:t>
            </w:r>
          </w:p>
        </w:tc>
        <w:tc>
          <w:tcPr>
            <w:tcW w:w="1433" w:type="pct"/>
            <w:gridSpan w:val="2"/>
            <w:tcBorders>
              <w:top w:val="single" w:sz="4" w:space="0" w:color="auto"/>
              <w:bottom w:val="nil"/>
            </w:tcBorders>
            <w:shd w:val="clear" w:color="auto" w:fill="auto"/>
            <w:vAlign w:val="center"/>
          </w:tcPr>
          <w:p w:rsidR="00F838C5" w:rsidRPr="005C50ED" w:rsidRDefault="00F838C5" w:rsidP="001363EE">
            <w:pPr>
              <w:keepNext/>
              <w:rPr>
                <w:rFonts w:cs="Arial"/>
                <w:b/>
                <w:bCs/>
                <w:sz w:val="16"/>
                <w:szCs w:val="16"/>
                <w:lang w:val="en-GB"/>
              </w:rPr>
            </w:pPr>
            <w:r w:rsidRPr="005C50ED">
              <w:rPr>
                <w:rFonts w:cs="Arial"/>
                <w:b/>
                <w:bCs/>
                <w:sz w:val="16"/>
                <w:szCs w:val="16"/>
              </w:rPr>
              <w:t>Baselines</w:t>
            </w:r>
          </w:p>
        </w:tc>
        <w:tc>
          <w:tcPr>
            <w:tcW w:w="848" w:type="pct"/>
            <w:gridSpan w:val="2"/>
            <w:tcBorders>
              <w:top w:val="single" w:sz="4" w:space="0" w:color="auto"/>
              <w:bottom w:val="nil"/>
            </w:tcBorders>
            <w:shd w:val="clear" w:color="auto" w:fill="auto"/>
            <w:tcMar>
              <w:top w:w="110" w:type="dxa"/>
            </w:tcMar>
            <w:vAlign w:val="center"/>
          </w:tcPr>
          <w:p w:rsidR="00F838C5" w:rsidRPr="005C50ED" w:rsidRDefault="00F838C5" w:rsidP="001363EE">
            <w:pPr>
              <w:keepNext/>
              <w:rPr>
                <w:rFonts w:cs="Arial"/>
                <w:b/>
                <w:sz w:val="16"/>
                <w:szCs w:val="16"/>
                <w:lang w:val="en-GB"/>
              </w:rPr>
            </w:pPr>
            <w:r w:rsidRPr="005C50ED">
              <w:rPr>
                <w:rFonts w:cs="Arial"/>
                <w:b/>
                <w:sz w:val="16"/>
                <w:szCs w:val="16"/>
              </w:rPr>
              <w:t>Targets</w:t>
            </w:r>
          </w:p>
        </w:tc>
        <w:tc>
          <w:tcPr>
            <w:tcW w:w="1095" w:type="pct"/>
            <w:gridSpan w:val="3"/>
            <w:tcBorders>
              <w:top w:val="single" w:sz="4" w:space="0" w:color="auto"/>
              <w:bottom w:val="nil"/>
            </w:tcBorders>
            <w:shd w:val="clear" w:color="auto" w:fill="FFFFFF"/>
            <w:tcMar>
              <w:top w:w="110" w:type="dxa"/>
            </w:tcMar>
            <w:vAlign w:val="center"/>
          </w:tcPr>
          <w:p w:rsidR="00F838C5" w:rsidRPr="005C50ED" w:rsidRDefault="00F838C5" w:rsidP="001363EE">
            <w:pPr>
              <w:keepNext/>
              <w:rPr>
                <w:rFonts w:cs="Arial"/>
                <w:sz w:val="16"/>
                <w:szCs w:val="16"/>
                <w:lang w:val="en-GB"/>
              </w:rPr>
            </w:pPr>
            <w:r w:rsidRPr="005C50ED">
              <w:rPr>
                <w:rFonts w:cs="Arial"/>
                <w:b/>
                <w:bCs/>
                <w:sz w:val="16"/>
                <w:szCs w:val="16"/>
              </w:rPr>
              <w:t>Performance Data</w:t>
            </w:r>
          </w:p>
        </w:tc>
        <w:tc>
          <w:tcPr>
            <w:tcW w:w="526" w:type="pct"/>
            <w:gridSpan w:val="2"/>
            <w:tcBorders>
              <w:top w:val="single" w:sz="4" w:space="0" w:color="auto"/>
              <w:bottom w:val="nil"/>
              <w:right w:val="single" w:sz="4" w:space="0" w:color="auto"/>
            </w:tcBorders>
            <w:shd w:val="clear" w:color="auto" w:fill="auto"/>
            <w:tcMar>
              <w:top w:w="110" w:type="dxa"/>
            </w:tcMar>
            <w:vAlign w:val="center"/>
          </w:tcPr>
          <w:p w:rsidR="00F838C5" w:rsidRPr="005C50ED" w:rsidRDefault="00F838C5" w:rsidP="001363EE">
            <w:pPr>
              <w:keepNext/>
              <w:keepLines/>
              <w:jc w:val="center"/>
              <w:rPr>
                <w:rFonts w:cs="Arial"/>
                <w:b/>
                <w:bCs/>
                <w:sz w:val="16"/>
                <w:szCs w:val="16"/>
              </w:rPr>
            </w:pPr>
            <w:r w:rsidRPr="005C50ED">
              <w:rPr>
                <w:rFonts w:cs="Arial"/>
                <w:b/>
                <w:bCs/>
                <w:sz w:val="16"/>
                <w:szCs w:val="16"/>
              </w:rPr>
              <w:t>TLS</w:t>
            </w:r>
          </w:p>
        </w:tc>
      </w:tr>
      <w:tr w:rsidR="00F838C5" w:rsidRPr="005C50ED" w:rsidTr="001363EE">
        <w:tc>
          <w:tcPr>
            <w:tcW w:w="1098" w:type="pct"/>
            <w:tcBorders>
              <w:top w:val="nil"/>
              <w:left w:val="single" w:sz="4" w:space="0" w:color="auto"/>
              <w:bottom w:val="nil"/>
            </w:tcBorders>
            <w:shd w:val="clear" w:color="auto" w:fill="auto"/>
          </w:tcPr>
          <w:p w:rsidR="00F838C5" w:rsidRPr="005A1E0E" w:rsidRDefault="00F838C5" w:rsidP="001363EE">
            <w:pPr>
              <w:rPr>
                <w:rFonts w:cs="Arial"/>
                <w:sz w:val="16"/>
                <w:szCs w:val="16"/>
                <w:lang w:bidi="th-TH"/>
              </w:rPr>
            </w:pPr>
            <w:r w:rsidRPr="005A1E0E">
              <w:rPr>
                <w:rFonts w:cs="Arial"/>
                <w:sz w:val="16"/>
                <w:szCs w:val="16"/>
                <w:lang w:bidi="th-TH"/>
              </w:rPr>
              <w:t>No. of governments and CMOs signing an agreement with WIPO to develop a new transparency, accountability and governance quality assurance standard</w:t>
            </w:r>
          </w:p>
        </w:tc>
        <w:tc>
          <w:tcPr>
            <w:tcW w:w="1433" w:type="pct"/>
            <w:gridSpan w:val="2"/>
            <w:tcBorders>
              <w:top w:val="nil"/>
              <w:bottom w:val="nil"/>
            </w:tcBorders>
            <w:shd w:val="clear" w:color="auto" w:fill="auto"/>
          </w:tcPr>
          <w:p w:rsidR="00F838C5" w:rsidRPr="005A1E0E" w:rsidRDefault="00F838C5" w:rsidP="001363EE">
            <w:pPr>
              <w:keepNext/>
              <w:rPr>
                <w:rFonts w:cs="Arial"/>
                <w:sz w:val="16"/>
                <w:szCs w:val="16"/>
                <w:lang w:bidi="th-TH"/>
              </w:rPr>
            </w:pPr>
            <w:r w:rsidRPr="005A1E0E">
              <w:rPr>
                <w:rFonts w:cs="Arial"/>
                <w:sz w:val="16"/>
                <w:szCs w:val="16"/>
                <w:lang w:bidi="th-TH"/>
              </w:rPr>
              <w:t>n/a</w:t>
            </w:r>
          </w:p>
          <w:p w:rsidR="00F838C5" w:rsidRPr="005A1E0E" w:rsidRDefault="00F838C5" w:rsidP="001363EE">
            <w:pPr>
              <w:rPr>
                <w:rFonts w:cs="Arial"/>
                <w:sz w:val="16"/>
                <w:szCs w:val="16"/>
                <w:lang w:bidi="th-TH"/>
              </w:rPr>
            </w:pPr>
          </w:p>
        </w:tc>
        <w:tc>
          <w:tcPr>
            <w:tcW w:w="848" w:type="pct"/>
            <w:gridSpan w:val="2"/>
            <w:tcBorders>
              <w:top w:val="nil"/>
              <w:bottom w:val="nil"/>
            </w:tcBorders>
            <w:shd w:val="clear" w:color="auto" w:fill="auto"/>
            <w:tcMar>
              <w:top w:w="110" w:type="dxa"/>
            </w:tcMar>
          </w:tcPr>
          <w:p w:rsidR="00F838C5" w:rsidRPr="005A1E0E" w:rsidRDefault="00F838C5" w:rsidP="001363EE">
            <w:pPr>
              <w:rPr>
                <w:rFonts w:cs="Arial"/>
                <w:sz w:val="16"/>
                <w:szCs w:val="16"/>
                <w:lang w:bidi="th-TH"/>
              </w:rPr>
            </w:pPr>
            <w:r w:rsidRPr="005A1E0E">
              <w:rPr>
                <w:rFonts w:cs="Arial"/>
                <w:sz w:val="16"/>
                <w:szCs w:val="16"/>
                <w:lang w:bidi="th-TH"/>
              </w:rPr>
              <w:t>Four governments and six CMOs</w:t>
            </w:r>
          </w:p>
        </w:tc>
        <w:tc>
          <w:tcPr>
            <w:tcW w:w="1095" w:type="pct"/>
            <w:gridSpan w:val="3"/>
            <w:tcBorders>
              <w:top w:val="nil"/>
              <w:bottom w:val="nil"/>
            </w:tcBorders>
            <w:shd w:val="clear" w:color="auto" w:fill="FFFFFF"/>
            <w:tcMar>
              <w:top w:w="110" w:type="dxa"/>
            </w:tcMar>
          </w:tcPr>
          <w:p w:rsidR="00F838C5" w:rsidRPr="005A1E0E" w:rsidRDefault="00F838C5" w:rsidP="00BA6F3B">
            <w:pPr>
              <w:rPr>
                <w:rFonts w:eastAsia="SimSun" w:cs="Arial"/>
                <w:sz w:val="16"/>
                <w:szCs w:val="16"/>
                <w:lang w:eastAsia="zh-CN" w:bidi="th-TH"/>
              </w:rPr>
            </w:pPr>
            <w:r>
              <w:rPr>
                <w:rFonts w:eastAsia="SimSun" w:cs="Arial"/>
                <w:sz w:val="16"/>
                <w:szCs w:val="16"/>
                <w:lang w:eastAsia="zh-CN" w:bidi="th-TH"/>
              </w:rPr>
              <w:t xml:space="preserve">14 </w:t>
            </w:r>
            <w:r w:rsidRPr="005A1E0E">
              <w:rPr>
                <w:rFonts w:eastAsia="SimSun" w:cs="Arial"/>
                <w:sz w:val="16"/>
                <w:szCs w:val="16"/>
                <w:lang w:eastAsia="zh-CN" w:bidi="th-TH"/>
              </w:rPr>
              <w:t>nation</w:t>
            </w:r>
            <w:r>
              <w:rPr>
                <w:rFonts w:eastAsia="SimSun" w:cs="Arial"/>
                <w:sz w:val="16"/>
                <w:szCs w:val="16"/>
                <w:lang w:eastAsia="zh-CN" w:bidi="th-TH"/>
              </w:rPr>
              <w:t xml:space="preserve">al governments (Bangladesh, Cambodia, </w:t>
            </w:r>
            <w:r w:rsidRPr="00527E98">
              <w:rPr>
                <w:rFonts w:eastAsia="SimSun" w:cs="Arial"/>
                <w:sz w:val="16"/>
                <w:szCs w:val="16"/>
                <w:lang w:eastAsia="zh-CN" w:bidi="th-TH"/>
              </w:rPr>
              <w:t>the Gambia</w:t>
            </w:r>
            <w:r>
              <w:rPr>
                <w:rFonts w:eastAsia="SimSun" w:cs="Arial"/>
                <w:sz w:val="16"/>
                <w:szCs w:val="16"/>
                <w:lang w:eastAsia="zh-CN" w:bidi="th-TH"/>
              </w:rPr>
              <w:t xml:space="preserve">, </w:t>
            </w:r>
            <w:r w:rsidRPr="00527E98">
              <w:rPr>
                <w:rFonts w:eastAsia="SimSun" w:cs="Arial"/>
                <w:sz w:val="16"/>
                <w:szCs w:val="16"/>
                <w:lang w:eastAsia="zh-CN" w:bidi="th-TH"/>
              </w:rPr>
              <w:t>Indonesia</w:t>
            </w:r>
            <w:r>
              <w:rPr>
                <w:rFonts w:eastAsia="SimSun" w:cs="Arial"/>
                <w:sz w:val="16"/>
                <w:szCs w:val="16"/>
                <w:lang w:eastAsia="zh-CN" w:bidi="th-TH"/>
              </w:rPr>
              <w:t xml:space="preserve">, Jordan, </w:t>
            </w:r>
            <w:r w:rsidRPr="0091028D">
              <w:rPr>
                <w:rFonts w:eastAsia="SimSun" w:cs="Arial"/>
                <w:sz w:val="16"/>
                <w:szCs w:val="16"/>
                <w:lang w:eastAsia="zh-CN" w:bidi="th-TH"/>
              </w:rPr>
              <w:t xml:space="preserve">Liberia, Malaysia, </w:t>
            </w:r>
            <w:r w:rsidRPr="002E5788">
              <w:rPr>
                <w:rFonts w:eastAsia="SimSun" w:cs="Arial"/>
                <w:sz w:val="16"/>
                <w:szCs w:val="16"/>
                <w:lang w:eastAsia="zh-CN" w:bidi="th-TH"/>
              </w:rPr>
              <w:t>Mauritius</w:t>
            </w:r>
            <w:r w:rsidRPr="0091028D">
              <w:rPr>
                <w:rFonts w:eastAsia="SimSun" w:cs="Arial"/>
                <w:sz w:val="16"/>
                <w:szCs w:val="16"/>
                <w:lang w:eastAsia="zh-CN" w:bidi="th-TH"/>
              </w:rPr>
              <w:t>, Namibia, Nepal, Nigeria, Philippines, Sri Lanka, Trinidad and Tobago)</w:t>
            </w:r>
            <w:r w:rsidRPr="0091028D">
              <w:rPr>
                <w:rStyle w:val="FootnoteReference"/>
                <w:rFonts w:eastAsia="SimSun" w:cs="Arial"/>
                <w:sz w:val="16"/>
                <w:szCs w:val="16"/>
                <w:lang w:eastAsia="zh-CN" w:bidi="th-TH"/>
              </w:rPr>
              <w:footnoteReference w:id="14"/>
            </w:r>
            <w:r w:rsidR="003927FD">
              <w:rPr>
                <w:rFonts w:eastAsia="SimSun" w:cs="Arial"/>
                <w:sz w:val="16"/>
                <w:szCs w:val="16"/>
                <w:lang w:eastAsia="zh-CN" w:bidi="th-TH"/>
              </w:rPr>
              <w:t>,</w:t>
            </w:r>
            <w:r w:rsidRPr="0091028D">
              <w:rPr>
                <w:rFonts w:eastAsia="SimSun" w:cs="Arial"/>
                <w:sz w:val="16"/>
                <w:szCs w:val="16"/>
                <w:lang w:eastAsia="zh-CN" w:bidi="th-TH"/>
              </w:rPr>
              <w:t xml:space="preserve"> and 63 CMOs </w:t>
            </w:r>
            <w:r w:rsidRPr="002E5788">
              <w:rPr>
                <w:rFonts w:eastAsia="SimSun" w:cs="Arial"/>
                <w:sz w:val="16"/>
                <w:szCs w:val="16"/>
                <w:lang w:eastAsia="zh-CN" w:bidi="th-TH"/>
              </w:rPr>
              <w:t>s</w:t>
            </w:r>
            <w:r w:rsidRPr="0091028D">
              <w:rPr>
                <w:rFonts w:eastAsia="SimSun" w:cs="Arial"/>
                <w:sz w:val="16"/>
                <w:szCs w:val="16"/>
                <w:lang w:eastAsia="zh-CN" w:bidi="th-TH"/>
              </w:rPr>
              <w:t xml:space="preserve">igned an expression of interest in the TAG </w:t>
            </w:r>
            <w:r>
              <w:rPr>
                <w:rFonts w:eastAsia="SimSun" w:cs="Arial"/>
                <w:sz w:val="16"/>
                <w:szCs w:val="16"/>
                <w:lang w:eastAsia="zh-CN" w:bidi="th-TH"/>
              </w:rPr>
              <w:t>project</w:t>
            </w:r>
            <w:r w:rsidR="003927FD">
              <w:rPr>
                <w:rFonts w:eastAsia="SimSun" w:cs="Arial"/>
                <w:sz w:val="16"/>
                <w:szCs w:val="16"/>
                <w:lang w:eastAsia="zh-CN" w:bidi="th-TH"/>
              </w:rPr>
              <w:t>.</w:t>
            </w:r>
          </w:p>
        </w:tc>
        <w:tc>
          <w:tcPr>
            <w:tcW w:w="526" w:type="pct"/>
            <w:gridSpan w:val="2"/>
            <w:tcBorders>
              <w:top w:val="nil"/>
              <w:bottom w:val="nil"/>
              <w:right w:val="single" w:sz="4" w:space="0" w:color="auto"/>
            </w:tcBorders>
            <w:shd w:val="clear" w:color="auto" w:fill="auto"/>
            <w:tcMar>
              <w:top w:w="110" w:type="dxa"/>
            </w:tcMar>
          </w:tcPr>
          <w:p w:rsidR="00F838C5" w:rsidRPr="005A1E0E" w:rsidRDefault="00F838C5" w:rsidP="001363EE">
            <w:pPr>
              <w:jc w:val="center"/>
              <w:rPr>
                <w:rFonts w:cs="Arial"/>
                <w:bCs/>
                <w:color w:val="008000"/>
                <w:sz w:val="16"/>
                <w:szCs w:val="16"/>
              </w:rPr>
            </w:pPr>
            <w:r w:rsidRPr="005A1E0E">
              <w:rPr>
                <w:rFonts w:cs="Arial"/>
                <w:b/>
                <w:bCs/>
                <w:color w:val="00B050"/>
                <w:sz w:val="16"/>
                <w:szCs w:val="16"/>
              </w:rPr>
              <w:t>Fully Achieved</w:t>
            </w:r>
          </w:p>
        </w:tc>
      </w:tr>
      <w:tr w:rsidR="00F838C5" w:rsidRPr="005C50ED" w:rsidTr="001363EE">
        <w:tc>
          <w:tcPr>
            <w:tcW w:w="1098" w:type="pct"/>
            <w:tcBorders>
              <w:top w:val="nil"/>
              <w:left w:val="single" w:sz="4" w:space="0" w:color="auto"/>
              <w:bottom w:val="nil"/>
            </w:tcBorders>
            <w:shd w:val="clear" w:color="auto" w:fill="auto"/>
          </w:tcPr>
          <w:p w:rsidR="00F838C5" w:rsidRPr="005A1E0E" w:rsidRDefault="00F838C5" w:rsidP="001363EE">
            <w:pPr>
              <w:rPr>
                <w:rFonts w:cs="Arial"/>
                <w:sz w:val="16"/>
                <w:szCs w:val="16"/>
                <w:lang w:bidi="th-TH"/>
              </w:rPr>
            </w:pPr>
            <w:r w:rsidRPr="005A1E0E">
              <w:rPr>
                <w:rFonts w:cs="Arial"/>
                <w:sz w:val="16"/>
                <w:szCs w:val="16"/>
                <w:lang w:bidi="th-TH"/>
              </w:rPr>
              <w:t>% of creators satisfied with the training provided on using copyright data and information for the efficient management of their copyright</w:t>
            </w:r>
          </w:p>
        </w:tc>
        <w:tc>
          <w:tcPr>
            <w:tcW w:w="1433" w:type="pct"/>
            <w:gridSpan w:val="2"/>
            <w:tcBorders>
              <w:top w:val="nil"/>
              <w:bottom w:val="nil"/>
            </w:tcBorders>
            <w:shd w:val="clear" w:color="auto" w:fill="auto"/>
          </w:tcPr>
          <w:p w:rsidR="00F838C5" w:rsidRPr="005A1E0E" w:rsidRDefault="00F838C5" w:rsidP="001363EE">
            <w:pPr>
              <w:keepNext/>
              <w:rPr>
                <w:rFonts w:cs="Arial"/>
                <w:i/>
                <w:color w:val="002060"/>
                <w:sz w:val="16"/>
                <w:szCs w:val="16"/>
              </w:rPr>
            </w:pPr>
            <w:r w:rsidRPr="005A1E0E">
              <w:rPr>
                <w:rFonts w:cs="Arial"/>
                <w:i/>
                <w:color w:val="002060"/>
                <w:sz w:val="16"/>
                <w:szCs w:val="16"/>
              </w:rPr>
              <w:t xml:space="preserve">Updated Baseline end 2013:  </w:t>
            </w:r>
          </w:p>
          <w:p w:rsidR="00F838C5" w:rsidRPr="005A1E0E" w:rsidRDefault="00F838C5" w:rsidP="001363EE">
            <w:pPr>
              <w:keepNext/>
              <w:rPr>
                <w:rFonts w:cs="Arial"/>
                <w:i/>
                <w:sz w:val="8"/>
                <w:szCs w:val="8"/>
                <w:lang w:bidi="th-TH"/>
              </w:rPr>
            </w:pPr>
          </w:p>
          <w:p w:rsidR="00F838C5" w:rsidRPr="005A1E0E" w:rsidRDefault="00F838C5" w:rsidP="001363EE">
            <w:pPr>
              <w:keepNext/>
              <w:rPr>
                <w:rFonts w:cs="Arial"/>
                <w:sz w:val="16"/>
                <w:szCs w:val="16"/>
                <w:lang w:bidi="th-TH"/>
              </w:rPr>
            </w:pPr>
            <w:r w:rsidRPr="005A1E0E">
              <w:rPr>
                <w:rFonts w:cs="Arial"/>
                <w:i/>
                <w:sz w:val="16"/>
                <w:szCs w:val="16"/>
                <w:lang w:bidi="th-TH"/>
              </w:rPr>
              <w:t xml:space="preserve">Original Baseline P&amp;B 2014/15: </w:t>
            </w:r>
            <w:r w:rsidRPr="005A1E0E">
              <w:rPr>
                <w:rFonts w:cs="Arial"/>
                <w:sz w:val="16"/>
                <w:szCs w:val="16"/>
                <w:lang w:bidi="th-TH"/>
              </w:rPr>
              <w:t xml:space="preserve"> Not yet started</w:t>
            </w:r>
          </w:p>
          <w:p w:rsidR="00F838C5" w:rsidRPr="005A1E0E" w:rsidRDefault="00F838C5" w:rsidP="001363EE">
            <w:pPr>
              <w:keepNext/>
              <w:rPr>
                <w:rFonts w:cs="Arial"/>
                <w:i/>
                <w:color w:val="002060"/>
                <w:sz w:val="16"/>
                <w:szCs w:val="16"/>
              </w:rPr>
            </w:pPr>
          </w:p>
        </w:tc>
        <w:tc>
          <w:tcPr>
            <w:tcW w:w="848" w:type="pct"/>
            <w:gridSpan w:val="2"/>
            <w:tcBorders>
              <w:top w:val="nil"/>
              <w:bottom w:val="nil"/>
            </w:tcBorders>
            <w:shd w:val="clear" w:color="auto" w:fill="auto"/>
            <w:tcMar>
              <w:top w:w="110" w:type="dxa"/>
            </w:tcMar>
          </w:tcPr>
          <w:p w:rsidR="00F838C5" w:rsidRPr="005A1E0E" w:rsidRDefault="00F838C5" w:rsidP="001363EE">
            <w:pPr>
              <w:rPr>
                <w:rFonts w:cs="Arial"/>
                <w:sz w:val="16"/>
                <w:szCs w:val="16"/>
                <w:lang w:bidi="th-TH"/>
              </w:rPr>
            </w:pPr>
            <w:r w:rsidRPr="005A1E0E">
              <w:rPr>
                <w:rFonts w:cs="Arial"/>
                <w:sz w:val="16"/>
                <w:szCs w:val="16"/>
                <w:lang w:bidi="th-TH"/>
              </w:rPr>
              <w:t>60%</w:t>
            </w:r>
          </w:p>
        </w:tc>
        <w:tc>
          <w:tcPr>
            <w:tcW w:w="1095" w:type="pct"/>
            <w:gridSpan w:val="3"/>
            <w:tcBorders>
              <w:top w:val="nil"/>
              <w:bottom w:val="nil"/>
            </w:tcBorders>
            <w:shd w:val="clear" w:color="auto" w:fill="FFFFFF"/>
            <w:tcMar>
              <w:top w:w="110" w:type="dxa"/>
            </w:tcMar>
          </w:tcPr>
          <w:p w:rsidR="00F838C5" w:rsidRPr="005A1E0E" w:rsidRDefault="00F838C5" w:rsidP="001363EE">
            <w:pPr>
              <w:rPr>
                <w:rFonts w:eastAsia="SimSun" w:cs="Arial"/>
                <w:sz w:val="16"/>
                <w:szCs w:val="16"/>
                <w:lang w:eastAsia="zh-CN" w:bidi="th-TH"/>
              </w:rPr>
            </w:pPr>
            <w:r w:rsidRPr="005A1E0E">
              <w:rPr>
                <w:rFonts w:eastAsia="SimSun" w:cs="Arial"/>
                <w:sz w:val="16"/>
                <w:szCs w:val="16"/>
                <w:lang w:eastAsia="zh-CN" w:bidi="th-TH"/>
              </w:rPr>
              <w:t>90%</w:t>
            </w:r>
          </w:p>
        </w:tc>
        <w:tc>
          <w:tcPr>
            <w:tcW w:w="526" w:type="pct"/>
            <w:gridSpan w:val="2"/>
            <w:tcBorders>
              <w:top w:val="nil"/>
              <w:bottom w:val="nil"/>
              <w:right w:val="single" w:sz="4" w:space="0" w:color="auto"/>
            </w:tcBorders>
            <w:shd w:val="clear" w:color="auto" w:fill="auto"/>
            <w:tcMar>
              <w:top w:w="110" w:type="dxa"/>
            </w:tcMar>
          </w:tcPr>
          <w:p w:rsidR="00F838C5" w:rsidRPr="005A1E0E" w:rsidRDefault="00F838C5" w:rsidP="001363EE">
            <w:pPr>
              <w:jc w:val="center"/>
              <w:rPr>
                <w:rFonts w:cs="Arial"/>
                <w:b/>
                <w:bCs/>
                <w:color w:val="00B050"/>
                <w:sz w:val="16"/>
                <w:szCs w:val="16"/>
              </w:rPr>
            </w:pPr>
            <w:r w:rsidRPr="005A1E0E">
              <w:rPr>
                <w:rFonts w:cs="Arial"/>
                <w:b/>
                <w:bCs/>
                <w:color w:val="00B050"/>
                <w:sz w:val="16"/>
                <w:szCs w:val="16"/>
              </w:rPr>
              <w:t>Fully Achieved</w:t>
            </w:r>
          </w:p>
        </w:tc>
      </w:tr>
      <w:tr w:rsidR="00F838C5" w:rsidRPr="005C50ED" w:rsidTr="001363EE">
        <w:tc>
          <w:tcPr>
            <w:tcW w:w="1098" w:type="pct"/>
            <w:tcBorders>
              <w:top w:val="nil"/>
              <w:left w:val="single" w:sz="4" w:space="0" w:color="auto"/>
              <w:bottom w:val="nil"/>
            </w:tcBorders>
            <w:shd w:val="clear" w:color="auto" w:fill="auto"/>
          </w:tcPr>
          <w:p w:rsidR="00F838C5" w:rsidRPr="002726C1" w:rsidRDefault="00F838C5" w:rsidP="001363EE">
            <w:pPr>
              <w:rPr>
                <w:rFonts w:cs="Arial"/>
                <w:sz w:val="16"/>
                <w:szCs w:val="16"/>
                <w:lang w:bidi="th-TH"/>
              </w:rPr>
            </w:pPr>
            <w:r w:rsidRPr="002726C1">
              <w:rPr>
                <w:rFonts w:cs="Arial"/>
                <w:sz w:val="16"/>
                <w:szCs w:val="16"/>
                <w:lang w:bidi="th-TH"/>
              </w:rPr>
              <w:t>% of participants’ positive rating of the usefulness of copyright related capacity building meetings and workshops</w:t>
            </w:r>
          </w:p>
        </w:tc>
        <w:tc>
          <w:tcPr>
            <w:tcW w:w="1433" w:type="pct"/>
            <w:gridSpan w:val="2"/>
            <w:tcBorders>
              <w:top w:val="nil"/>
              <w:bottom w:val="nil"/>
            </w:tcBorders>
            <w:shd w:val="clear" w:color="auto" w:fill="auto"/>
          </w:tcPr>
          <w:p w:rsidR="00F838C5" w:rsidRPr="002726C1" w:rsidRDefault="00F838C5" w:rsidP="001363EE">
            <w:pPr>
              <w:keepNext/>
              <w:rPr>
                <w:rFonts w:cs="Arial"/>
                <w:i/>
                <w:color w:val="002060"/>
                <w:sz w:val="16"/>
                <w:szCs w:val="16"/>
              </w:rPr>
            </w:pPr>
            <w:r w:rsidRPr="002726C1">
              <w:rPr>
                <w:rFonts w:cs="Arial"/>
                <w:i/>
                <w:color w:val="002060"/>
                <w:sz w:val="16"/>
                <w:szCs w:val="16"/>
              </w:rPr>
              <w:t xml:space="preserve">Updated Baseline end 2013:  </w:t>
            </w:r>
            <w:r w:rsidRPr="002726C1">
              <w:rPr>
                <w:rFonts w:cs="Arial"/>
                <w:color w:val="002060"/>
                <w:sz w:val="16"/>
                <w:szCs w:val="16"/>
              </w:rPr>
              <w:t>Over 80% of the participants in the copyright and related rights capacity building programs rated the received training as being useful.</w:t>
            </w:r>
          </w:p>
          <w:p w:rsidR="00F838C5" w:rsidRPr="002726C1" w:rsidRDefault="00F838C5" w:rsidP="001363EE">
            <w:pPr>
              <w:keepNext/>
              <w:rPr>
                <w:rFonts w:cs="Arial"/>
                <w:i/>
                <w:sz w:val="8"/>
                <w:szCs w:val="8"/>
                <w:lang w:bidi="th-TH"/>
              </w:rPr>
            </w:pPr>
          </w:p>
          <w:p w:rsidR="00F838C5" w:rsidRPr="002726C1" w:rsidRDefault="00F838C5" w:rsidP="001363EE">
            <w:pPr>
              <w:keepNext/>
              <w:rPr>
                <w:rFonts w:cs="Arial"/>
                <w:i/>
                <w:color w:val="002060"/>
                <w:sz w:val="16"/>
                <w:szCs w:val="16"/>
              </w:rPr>
            </w:pPr>
            <w:r w:rsidRPr="002726C1">
              <w:rPr>
                <w:rFonts w:cs="Arial"/>
                <w:i/>
                <w:sz w:val="16"/>
                <w:szCs w:val="16"/>
                <w:lang w:bidi="th-TH"/>
              </w:rPr>
              <w:t xml:space="preserve">Original Baseline P&amp;B 2014/15: </w:t>
            </w:r>
            <w:r w:rsidRPr="002726C1">
              <w:rPr>
                <w:rFonts w:cs="Arial"/>
                <w:sz w:val="16"/>
                <w:szCs w:val="16"/>
                <w:lang w:bidi="th-TH"/>
              </w:rPr>
              <w:t xml:space="preserve"> 70% of satisfactory rate</w:t>
            </w:r>
          </w:p>
        </w:tc>
        <w:tc>
          <w:tcPr>
            <w:tcW w:w="848" w:type="pct"/>
            <w:gridSpan w:val="2"/>
            <w:tcBorders>
              <w:top w:val="nil"/>
              <w:bottom w:val="nil"/>
            </w:tcBorders>
            <w:shd w:val="clear" w:color="auto" w:fill="auto"/>
            <w:tcMar>
              <w:top w:w="110" w:type="dxa"/>
            </w:tcMar>
          </w:tcPr>
          <w:p w:rsidR="00F838C5" w:rsidRPr="002726C1" w:rsidRDefault="00F838C5" w:rsidP="001363EE">
            <w:pPr>
              <w:rPr>
                <w:rFonts w:cs="Arial"/>
                <w:sz w:val="16"/>
                <w:szCs w:val="16"/>
                <w:lang w:bidi="th-TH"/>
              </w:rPr>
            </w:pPr>
            <w:r w:rsidRPr="002726C1">
              <w:rPr>
                <w:rFonts w:cs="Arial"/>
                <w:sz w:val="16"/>
                <w:szCs w:val="16"/>
                <w:lang w:bidi="th-TH"/>
              </w:rPr>
              <w:t>70% agree or strongly agree</w:t>
            </w:r>
          </w:p>
        </w:tc>
        <w:tc>
          <w:tcPr>
            <w:tcW w:w="1095" w:type="pct"/>
            <w:gridSpan w:val="3"/>
            <w:tcBorders>
              <w:top w:val="nil"/>
              <w:bottom w:val="nil"/>
            </w:tcBorders>
            <w:shd w:val="clear" w:color="auto" w:fill="FFFFFF"/>
            <w:tcMar>
              <w:top w:w="110" w:type="dxa"/>
            </w:tcMar>
          </w:tcPr>
          <w:p w:rsidR="00F838C5" w:rsidRPr="002726C1" w:rsidRDefault="00F838C5" w:rsidP="001363EE">
            <w:pPr>
              <w:rPr>
                <w:rFonts w:eastAsia="SimSun" w:cs="Arial"/>
                <w:sz w:val="16"/>
                <w:szCs w:val="16"/>
                <w:lang w:eastAsia="zh-CN" w:bidi="th-TH"/>
              </w:rPr>
            </w:pPr>
            <w:r w:rsidRPr="002726C1">
              <w:rPr>
                <w:rFonts w:eastAsia="SimSun" w:cs="Arial"/>
                <w:sz w:val="16"/>
                <w:szCs w:val="16"/>
                <w:lang w:eastAsia="zh-CN" w:bidi="th-TH"/>
              </w:rPr>
              <w:t>Over 80% of the participants</w:t>
            </w:r>
            <w:r>
              <w:rPr>
                <w:rFonts w:eastAsia="SimSun" w:cs="Arial"/>
                <w:sz w:val="16"/>
                <w:szCs w:val="16"/>
                <w:lang w:eastAsia="zh-CN" w:bidi="th-TH"/>
              </w:rPr>
              <w:t xml:space="preserve"> </w:t>
            </w:r>
            <w:r w:rsidRPr="00A51AE0">
              <w:rPr>
                <w:rFonts w:eastAsia="SimSun" w:cs="Arial"/>
                <w:sz w:val="16"/>
                <w:szCs w:val="16"/>
                <w:lang w:eastAsia="zh-CN" w:bidi="th-TH"/>
              </w:rPr>
              <w:t>agree or strongly agree</w:t>
            </w:r>
          </w:p>
        </w:tc>
        <w:tc>
          <w:tcPr>
            <w:tcW w:w="526" w:type="pct"/>
            <w:gridSpan w:val="2"/>
            <w:tcBorders>
              <w:top w:val="nil"/>
              <w:bottom w:val="nil"/>
              <w:right w:val="single" w:sz="4" w:space="0" w:color="auto"/>
            </w:tcBorders>
            <w:shd w:val="clear" w:color="auto" w:fill="auto"/>
            <w:tcMar>
              <w:top w:w="110" w:type="dxa"/>
            </w:tcMar>
          </w:tcPr>
          <w:p w:rsidR="00F838C5" w:rsidRPr="002726C1" w:rsidRDefault="00F838C5" w:rsidP="001363EE">
            <w:pPr>
              <w:jc w:val="center"/>
              <w:rPr>
                <w:rFonts w:cs="Arial"/>
                <w:b/>
                <w:bCs/>
                <w:color w:val="00B050"/>
                <w:sz w:val="16"/>
                <w:szCs w:val="16"/>
              </w:rPr>
            </w:pPr>
            <w:r w:rsidRPr="002726C1">
              <w:rPr>
                <w:rFonts w:cs="Arial"/>
                <w:b/>
                <w:bCs/>
                <w:color w:val="00B050"/>
                <w:sz w:val="16"/>
                <w:szCs w:val="16"/>
              </w:rPr>
              <w:t>Fully Achieved</w:t>
            </w:r>
          </w:p>
        </w:tc>
      </w:tr>
      <w:tr w:rsidR="00F838C5" w:rsidRPr="005C50ED" w:rsidTr="001363EE">
        <w:tc>
          <w:tcPr>
            <w:tcW w:w="1098" w:type="pct"/>
            <w:tcBorders>
              <w:top w:val="nil"/>
              <w:left w:val="single" w:sz="4" w:space="0" w:color="auto"/>
              <w:bottom w:val="single" w:sz="4" w:space="0" w:color="auto"/>
            </w:tcBorders>
            <w:shd w:val="clear" w:color="auto" w:fill="auto"/>
          </w:tcPr>
          <w:p w:rsidR="00F838C5" w:rsidRDefault="00F838C5" w:rsidP="001363EE">
            <w:pPr>
              <w:rPr>
                <w:rFonts w:cs="Arial"/>
                <w:sz w:val="16"/>
                <w:szCs w:val="16"/>
                <w:lang w:bidi="th-TH"/>
              </w:rPr>
            </w:pPr>
            <w:r w:rsidRPr="002726C1">
              <w:rPr>
                <w:rFonts w:cs="Arial"/>
                <w:sz w:val="16"/>
                <w:szCs w:val="16"/>
                <w:lang w:bidi="th-TH"/>
              </w:rPr>
              <w:t>No. of Member States that take initiatives to improve their use of the copyright system to exploit the economic potentials of their cultural works and products</w:t>
            </w:r>
          </w:p>
          <w:p w:rsidR="00F838C5" w:rsidRPr="002726C1" w:rsidRDefault="00F838C5" w:rsidP="001363EE">
            <w:pPr>
              <w:rPr>
                <w:rFonts w:cs="Arial"/>
                <w:sz w:val="16"/>
                <w:szCs w:val="16"/>
                <w:lang w:bidi="th-TH"/>
              </w:rPr>
            </w:pPr>
          </w:p>
        </w:tc>
        <w:tc>
          <w:tcPr>
            <w:tcW w:w="1433" w:type="pct"/>
            <w:gridSpan w:val="2"/>
            <w:tcBorders>
              <w:top w:val="nil"/>
              <w:bottom w:val="single" w:sz="4" w:space="0" w:color="auto"/>
            </w:tcBorders>
            <w:shd w:val="clear" w:color="auto" w:fill="auto"/>
          </w:tcPr>
          <w:p w:rsidR="00F838C5" w:rsidRPr="002726C1" w:rsidRDefault="00F838C5" w:rsidP="001363EE">
            <w:pPr>
              <w:keepNext/>
              <w:rPr>
                <w:rFonts w:cs="Arial"/>
                <w:i/>
                <w:color w:val="002060"/>
                <w:sz w:val="16"/>
                <w:szCs w:val="16"/>
              </w:rPr>
            </w:pPr>
            <w:r w:rsidRPr="002726C1">
              <w:rPr>
                <w:rFonts w:cs="Arial"/>
                <w:i/>
                <w:color w:val="002060"/>
                <w:sz w:val="16"/>
                <w:szCs w:val="16"/>
              </w:rPr>
              <w:t xml:space="preserve">Updated Baseline end 2013: </w:t>
            </w:r>
            <w:r w:rsidRPr="002726C1">
              <w:rPr>
                <w:rFonts w:cs="Arial"/>
                <w:color w:val="002060"/>
                <w:sz w:val="16"/>
                <w:szCs w:val="16"/>
              </w:rPr>
              <w:t>60% of countries received assistance</w:t>
            </w:r>
            <w:r w:rsidRPr="002726C1">
              <w:rPr>
                <w:rFonts w:cs="Arial"/>
                <w:i/>
                <w:color w:val="002060"/>
                <w:sz w:val="16"/>
                <w:szCs w:val="16"/>
              </w:rPr>
              <w:t xml:space="preserve"> </w:t>
            </w:r>
          </w:p>
          <w:p w:rsidR="00F838C5" w:rsidRPr="002726C1" w:rsidRDefault="00F838C5" w:rsidP="001363EE">
            <w:pPr>
              <w:keepNext/>
              <w:rPr>
                <w:rFonts w:cs="Arial"/>
                <w:i/>
                <w:sz w:val="8"/>
                <w:szCs w:val="8"/>
                <w:lang w:bidi="th-TH"/>
              </w:rPr>
            </w:pPr>
          </w:p>
          <w:p w:rsidR="00F838C5" w:rsidRPr="002726C1" w:rsidRDefault="00F838C5" w:rsidP="001363EE">
            <w:pPr>
              <w:keepNext/>
              <w:rPr>
                <w:rFonts w:cs="Arial"/>
                <w:sz w:val="16"/>
                <w:szCs w:val="16"/>
                <w:lang w:bidi="th-TH"/>
              </w:rPr>
            </w:pPr>
            <w:r w:rsidRPr="002726C1">
              <w:rPr>
                <w:rFonts w:cs="Arial"/>
                <w:i/>
                <w:sz w:val="16"/>
                <w:szCs w:val="16"/>
                <w:lang w:bidi="th-TH"/>
              </w:rPr>
              <w:t xml:space="preserve">Original Baseline P&amp;B 2014/15: </w:t>
            </w:r>
            <w:r w:rsidRPr="002726C1">
              <w:rPr>
                <w:rFonts w:cs="Arial"/>
                <w:sz w:val="16"/>
                <w:szCs w:val="16"/>
                <w:lang w:bidi="th-TH"/>
              </w:rPr>
              <w:t xml:space="preserve"> 60% of countries  that requested for technical  assistance</w:t>
            </w:r>
          </w:p>
          <w:p w:rsidR="00F838C5" w:rsidRPr="002726C1" w:rsidRDefault="00F838C5" w:rsidP="001363EE">
            <w:pPr>
              <w:keepNext/>
              <w:rPr>
                <w:rFonts w:cs="Arial"/>
                <w:i/>
                <w:color w:val="002060"/>
                <w:sz w:val="16"/>
                <w:szCs w:val="16"/>
              </w:rPr>
            </w:pPr>
          </w:p>
        </w:tc>
        <w:tc>
          <w:tcPr>
            <w:tcW w:w="848" w:type="pct"/>
            <w:gridSpan w:val="2"/>
            <w:tcBorders>
              <w:top w:val="nil"/>
              <w:bottom w:val="single" w:sz="4" w:space="0" w:color="auto"/>
            </w:tcBorders>
            <w:shd w:val="clear" w:color="auto" w:fill="auto"/>
            <w:tcMar>
              <w:top w:w="110" w:type="dxa"/>
            </w:tcMar>
          </w:tcPr>
          <w:p w:rsidR="00F838C5" w:rsidRPr="002726C1" w:rsidRDefault="00F838C5" w:rsidP="001363EE">
            <w:pPr>
              <w:rPr>
                <w:rFonts w:cs="Arial"/>
                <w:sz w:val="16"/>
                <w:szCs w:val="16"/>
                <w:lang w:bidi="th-TH"/>
              </w:rPr>
            </w:pPr>
            <w:r w:rsidRPr="002726C1">
              <w:rPr>
                <w:rFonts w:cs="Arial"/>
                <w:sz w:val="16"/>
                <w:szCs w:val="16"/>
                <w:lang w:bidi="th-TH"/>
              </w:rPr>
              <w:t>60% of countries  that received assistance</w:t>
            </w:r>
          </w:p>
        </w:tc>
        <w:tc>
          <w:tcPr>
            <w:tcW w:w="1095" w:type="pct"/>
            <w:gridSpan w:val="3"/>
            <w:tcBorders>
              <w:top w:val="nil"/>
              <w:bottom w:val="single" w:sz="4" w:space="0" w:color="auto"/>
            </w:tcBorders>
            <w:shd w:val="clear" w:color="auto" w:fill="FFFFFF"/>
            <w:tcMar>
              <w:top w:w="110" w:type="dxa"/>
            </w:tcMar>
          </w:tcPr>
          <w:p w:rsidR="00F838C5" w:rsidRPr="00836ED1" w:rsidRDefault="00F838C5" w:rsidP="00BA6F3B">
            <w:pPr>
              <w:rPr>
                <w:rFonts w:eastAsia="SimSun" w:cs="Arial"/>
                <w:sz w:val="16"/>
                <w:szCs w:val="16"/>
                <w:lang w:eastAsia="zh-CN" w:bidi="th-TH"/>
              </w:rPr>
            </w:pPr>
            <w:r w:rsidRPr="00317883">
              <w:rPr>
                <w:rFonts w:eastAsia="SimSun" w:cs="Arial"/>
                <w:sz w:val="16"/>
                <w:szCs w:val="16"/>
                <w:lang w:eastAsia="zh-CN" w:bidi="th-TH"/>
              </w:rPr>
              <w:t>Over 60%</w:t>
            </w:r>
          </w:p>
        </w:tc>
        <w:tc>
          <w:tcPr>
            <w:tcW w:w="526" w:type="pct"/>
            <w:gridSpan w:val="2"/>
            <w:tcBorders>
              <w:top w:val="nil"/>
              <w:bottom w:val="single" w:sz="4" w:space="0" w:color="auto"/>
              <w:right w:val="single" w:sz="4" w:space="0" w:color="auto"/>
            </w:tcBorders>
            <w:shd w:val="clear" w:color="auto" w:fill="auto"/>
            <w:tcMar>
              <w:top w:w="110" w:type="dxa"/>
            </w:tcMar>
          </w:tcPr>
          <w:p w:rsidR="00F838C5" w:rsidRPr="002726C1" w:rsidRDefault="00F838C5" w:rsidP="001363EE">
            <w:pPr>
              <w:jc w:val="center"/>
              <w:rPr>
                <w:rFonts w:cs="Arial"/>
                <w:b/>
                <w:bCs/>
                <w:color w:val="00B050"/>
                <w:sz w:val="16"/>
                <w:szCs w:val="16"/>
              </w:rPr>
            </w:pPr>
            <w:r w:rsidRPr="002726C1">
              <w:rPr>
                <w:rFonts w:cs="Arial"/>
                <w:b/>
                <w:bCs/>
                <w:color w:val="00B050"/>
                <w:sz w:val="16"/>
                <w:szCs w:val="16"/>
              </w:rPr>
              <w:t>Fully Achieved</w:t>
            </w:r>
          </w:p>
        </w:tc>
      </w:tr>
      <w:tr w:rsidR="00F838C5" w:rsidRPr="005C50ED" w:rsidTr="00BA6F3B">
        <w:trPr>
          <w:trHeight w:val="526"/>
        </w:trPr>
        <w:tc>
          <w:tcPr>
            <w:tcW w:w="5000" w:type="pct"/>
            <w:gridSpan w:val="10"/>
            <w:tcBorders>
              <w:top w:val="single" w:sz="4" w:space="0" w:color="auto"/>
              <w:bottom w:val="single" w:sz="4" w:space="0" w:color="auto"/>
            </w:tcBorders>
            <w:shd w:val="clear" w:color="auto" w:fill="C6D9F1" w:themeFill="text2" w:themeFillTint="33"/>
            <w:vAlign w:val="center"/>
          </w:tcPr>
          <w:p w:rsidR="00F838C5" w:rsidRPr="005C50ED" w:rsidRDefault="00F838C5" w:rsidP="001363EE">
            <w:pPr>
              <w:keepNext/>
              <w:keepLines/>
              <w:tabs>
                <w:tab w:val="left" w:pos="1452"/>
              </w:tabs>
              <w:ind w:left="1452" w:hanging="1452"/>
              <w:rPr>
                <w:rFonts w:cs="Arial"/>
                <w:b/>
                <w:bCs/>
                <w:sz w:val="16"/>
                <w:szCs w:val="16"/>
              </w:rPr>
            </w:pPr>
            <w:r w:rsidRPr="005C50ED">
              <w:rPr>
                <w:rFonts w:cs="Arial"/>
                <w:b/>
                <w:bCs/>
                <w:sz w:val="16"/>
                <w:szCs w:val="16"/>
              </w:rPr>
              <w:t>Expected Result:</w:t>
            </w:r>
            <w:r w:rsidRPr="005C50ED">
              <w:rPr>
                <w:rFonts w:cs="Arial"/>
                <w:b/>
                <w:bCs/>
                <w:sz w:val="16"/>
                <w:szCs w:val="16"/>
              </w:rPr>
              <w:tab/>
            </w:r>
            <w:r w:rsidRPr="00A776CE">
              <w:rPr>
                <w:rFonts w:cs="Arial"/>
                <w:sz w:val="16"/>
                <w:szCs w:val="16"/>
                <w:lang w:bidi="th-TH"/>
              </w:rPr>
              <w:t>IV.2 Enhanced access to, and use of, IP information by IP institutions and the public to promote innovation and creativity</w:t>
            </w:r>
          </w:p>
        </w:tc>
      </w:tr>
      <w:tr w:rsidR="00F838C5" w:rsidRPr="005C50ED" w:rsidTr="001363EE">
        <w:tc>
          <w:tcPr>
            <w:tcW w:w="1098" w:type="pct"/>
            <w:tcBorders>
              <w:top w:val="single" w:sz="4" w:space="0" w:color="auto"/>
              <w:left w:val="single" w:sz="4" w:space="0" w:color="auto"/>
              <w:bottom w:val="nil"/>
            </w:tcBorders>
            <w:shd w:val="clear" w:color="auto" w:fill="auto"/>
            <w:vAlign w:val="center"/>
          </w:tcPr>
          <w:p w:rsidR="00F838C5" w:rsidRPr="005C50ED" w:rsidRDefault="00F838C5" w:rsidP="001363EE">
            <w:pPr>
              <w:keepNext/>
              <w:keepLines/>
              <w:rPr>
                <w:rFonts w:cs="Arial"/>
                <w:sz w:val="16"/>
                <w:szCs w:val="16"/>
              </w:rPr>
            </w:pPr>
            <w:r w:rsidRPr="005C50ED">
              <w:rPr>
                <w:rFonts w:cs="Arial"/>
                <w:b/>
                <w:bCs/>
                <w:sz w:val="16"/>
                <w:szCs w:val="16"/>
              </w:rPr>
              <w:t>Performance Indicators</w:t>
            </w:r>
          </w:p>
        </w:tc>
        <w:tc>
          <w:tcPr>
            <w:tcW w:w="1433" w:type="pct"/>
            <w:gridSpan w:val="2"/>
            <w:tcBorders>
              <w:top w:val="single" w:sz="4" w:space="0" w:color="auto"/>
              <w:bottom w:val="nil"/>
            </w:tcBorders>
            <w:shd w:val="clear" w:color="auto" w:fill="auto"/>
            <w:vAlign w:val="center"/>
          </w:tcPr>
          <w:p w:rsidR="00F838C5" w:rsidRPr="005C50ED" w:rsidRDefault="00F838C5" w:rsidP="001363EE">
            <w:pPr>
              <w:keepNext/>
              <w:keepLines/>
              <w:rPr>
                <w:rFonts w:cs="Arial"/>
                <w:b/>
                <w:bCs/>
                <w:sz w:val="16"/>
                <w:szCs w:val="16"/>
              </w:rPr>
            </w:pPr>
            <w:r w:rsidRPr="005C50ED">
              <w:rPr>
                <w:rFonts w:cs="Arial"/>
                <w:b/>
                <w:bCs/>
                <w:sz w:val="16"/>
                <w:szCs w:val="16"/>
              </w:rPr>
              <w:t>Baselines</w:t>
            </w:r>
          </w:p>
        </w:tc>
        <w:tc>
          <w:tcPr>
            <w:tcW w:w="848" w:type="pct"/>
            <w:gridSpan w:val="2"/>
            <w:tcBorders>
              <w:top w:val="single" w:sz="4" w:space="0" w:color="auto"/>
              <w:bottom w:val="nil"/>
            </w:tcBorders>
            <w:shd w:val="clear" w:color="auto" w:fill="auto"/>
            <w:tcMar>
              <w:top w:w="110" w:type="dxa"/>
            </w:tcMar>
            <w:vAlign w:val="center"/>
          </w:tcPr>
          <w:p w:rsidR="00F838C5" w:rsidRPr="005C50ED" w:rsidRDefault="00F838C5" w:rsidP="001363EE">
            <w:pPr>
              <w:keepNext/>
              <w:keepLines/>
              <w:rPr>
                <w:rFonts w:cs="Arial"/>
                <w:b/>
                <w:sz w:val="16"/>
                <w:szCs w:val="16"/>
              </w:rPr>
            </w:pPr>
            <w:r w:rsidRPr="005C50ED">
              <w:rPr>
                <w:rFonts w:cs="Arial"/>
                <w:b/>
                <w:sz w:val="16"/>
                <w:szCs w:val="16"/>
              </w:rPr>
              <w:t>Targets</w:t>
            </w:r>
          </w:p>
        </w:tc>
        <w:tc>
          <w:tcPr>
            <w:tcW w:w="1095" w:type="pct"/>
            <w:gridSpan w:val="3"/>
            <w:tcBorders>
              <w:top w:val="single" w:sz="4" w:space="0" w:color="auto"/>
              <w:bottom w:val="nil"/>
            </w:tcBorders>
            <w:shd w:val="clear" w:color="auto" w:fill="FFFFFF"/>
            <w:tcMar>
              <w:top w:w="110" w:type="dxa"/>
            </w:tcMar>
            <w:vAlign w:val="center"/>
          </w:tcPr>
          <w:p w:rsidR="00F838C5" w:rsidRPr="005C50ED" w:rsidRDefault="00F838C5" w:rsidP="001363EE">
            <w:pPr>
              <w:keepNext/>
              <w:keepLines/>
              <w:rPr>
                <w:rFonts w:cs="Arial"/>
                <w:sz w:val="16"/>
                <w:szCs w:val="16"/>
              </w:rPr>
            </w:pPr>
            <w:r w:rsidRPr="005C50ED">
              <w:rPr>
                <w:rFonts w:cs="Arial"/>
                <w:b/>
                <w:bCs/>
                <w:sz w:val="16"/>
                <w:szCs w:val="16"/>
              </w:rPr>
              <w:t>Performance Data</w:t>
            </w:r>
          </w:p>
        </w:tc>
        <w:tc>
          <w:tcPr>
            <w:tcW w:w="526" w:type="pct"/>
            <w:gridSpan w:val="2"/>
            <w:tcBorders>
              <w:top w:val="single" w:sz="4" w:space="0" w:color="auto"/>
              <w:bottom w:val="nil"/>
              <w:right w:val="single" w:sz="4" w:space="0" w:color="auto"/>
            </w:tcBorders>
            <w:shd w:val="clear" w:color="auto" w:fill="auto"/>
            <w:tcMar>
              <w:top w:w="110" w:type="dxa"/>
            </w:tcMar>
            <w:vAlign w:val="center"/>
          </w:tcPr>
          <w:p w:rsidR="00F838C5" w:rsidRPr="005C50ED" w:rsidRDefault="00F838C5" w:rsidP="001363EE">
            <w:pPr>
              <w:keepNext/>
              <w:keepLines/>
              <w:jc w:val="center"/>
              <w:rPr>
                <w:rFonts w:cs="Arial"/>
                <w:b/>
                <w:bCs/>
                <w:sz w:val="16"/>
                <w:szCs w:val="16"/>
              </w:rPr>
            </w:pPr>
            <w:r w:rsidRPr="005C50ED">
              <w:rPr>
                <w:rFonts w:cs="Arial"/>
                <w:b/>
                <w:bCs/>
                <w:sz w:val="16"/>
                <w:szCs w:val="16"/>
              </w:rPr>
              <w:t>TLS</w:t>
            </w:r>
          </w:p>
        </w:tc>
      </w:tr>
      <w:tr w:rsidR="00F838C5" w:rsidRPr="005C50ED" w:rsidTr="001363EE">
        <w:trPr>
          <w:gridAfter w:val="1"/>
          <w:wAfter w:w="8" w:type="pct"/>
          <w:trHeight w:val="2266"/>
        </w:trPr>
        <w:tc>
          <w:tcPr>
            <w:tcW w:w="1098" w:type="pct"/>
            <w:tcBorders>
              <w:top w:val="nil"/>
              <w:left w:val="single" w:sz="4" w:space="0" w:color="auto"/>
              <w:bottom w:val="single" w:sz="4" w:space="0" w:color="auto"/>
            </w:tcBorders>
            <w:shd w:val="clear" w:color="auto" w:fill="auto"/>
          </w:tcPr>
          <w:p w:rsidR="00F838C5" w:rsidRPr="005A1E0E" w:rsidRDefault="00F838C5" w:rsidP="001363EE">
            <w:pPr>
              <w:rPr>
                <w:rFonts w:cs="Arial"/>
                <w:color w:val="000000"/>
                <w:sz w:val="16"/>
                <w:szCs w:val="16"/>
                <w:lang w:bidi="th-TH"/>
              </w:rPr>
            </w:pPr>
            <w:r w:rsidRPr="005A1E0E">
              <w:rPr>
                <w:rFonts w:cs="Arial"/>
                <w:color w:val="000000"/>
                <w:sz w:val="16"/>
                <w:szCs w:val="16"/>
                <w:lang w:bidi="th-TH"/>
              </w:rPr>
              <w:t>No. of trusted intermediaries (TIs) and rights holders (RHs) having joined the TIGAR system network, including from developing countries and LDCs</w:t>
            </w:r>
          </w:p>
        </w:tc>
        <w:tc>
          <w:tcPr>
            <w:tcW w:w="1430" w:type="pct"/>
            <w:tcBorders>
              <w:top w:val="nil"/>
              <w:bottom w:val="single" w:sz="4" w:space="0" w:color="auto"/>
            </w:tcBorders>
            <w:shd w:val="clear" w:color="auto" w:fill="auto"/>
          </w:tcPr>
          <w:p w:rsidR="00F838C5" w:rsidRPr="005A1E0E" w:rsidRDefault="00F838C5" w:rsidP="001363EE">
            <w:pPr>
              <w:keepNext/>
              <w:rPr>
                <w:rFonts w:cs="Arial"/>
                <w:i/>
                <w:color w:val="002060"/>
                <w:sz w:val="16"/>
                <w:szCs w:val="16"/>
              </w:rPr>
            </w:pPr>
            <w:r w:rsidRPr="005A1E0E">
              <w:rPr>
                <w:rFonts w:cs="Arial"/>
                <w:i/>
                <w:color w:val="002060"/>
                <w:sz w:val="16"/>
                <w:szCs w:val="16"/>
              </w:rPr>
              <w:t xml:space="preserve">Updated Baseline end 2013:  </w:t>
            </w:r>
            <w:r w:rsidRPr="005A1E0E">
              <w:t xml:space="preserve"> </w:t>
            </w:r>
            <w:r w:rsidRPr="005A1E0E">
              <w:rPr>
                <w:rFonts w:cs="Arial"/>
                <w:color w:val="002060"/>
                <w:sz w:val="16"/>
                <w:szCs w:val="16"/>
              </w:rPr>
              <w:t>By the end of 2013, 25 TIs and 45 RHs had signed the TIGAR Memorandum of Understanding, including TIs from developing and least developed countries.  Eleven TIs had uploaded their accessible format titles to the TIGAR database by the end of 2013.</w:t>
            </w:r>
          </w:p>
          <w:p w:rsidR="00F838C5" w:rsidRPr="005A1E0E" w:rsidRDefault="00F838C5" w:rsidP="001363EE">
            <w:pPr>
              <w:keepNext/>
              <w:rPr>
                <w:rFonts w:cs="Arial"/>
                <w:i/>
                <w:sz w:val="8"/>
                <w:szCs w:val="8"/>
                <w:lang w:bidi="th-TH"/>
              </w:rPr>
            </w:pPr>
          </w:p>
          <w:p w:rsidR="00F838C5" w:rsidRPr="005A1E0E" w:rsidRDefault="00F838C5" w:rsidP="001363EE">
            <w:pPr>
              <w:rPr>
                <w:rFonts w:cs="Arial"/>
                <w:sz w:val="16"/>
                <w:szCs w:val="16"/>
                <w:lang w:bidi="th-TH"/>
              </w:rPr>
            </w:pPr>
            <w:r w:rsidRPr="005A1E0E">
              <w:rPr>
                <w:rFonts w:cs="Arial"/>
                <w:i/>
                <w:sz w:val="16"/>
                <w:szCs w:val="16"/>
                <w:lang w:bidi="th-TH"/>
              </w:rPr>
              <w:t xml:space="preserve">Original Baseline P&amp;B 2014/15: </w:t>
            </w:r>
            <w:r w:rsidRPr="005A1E0E">
              <w:rPr>
                <w:rFonts w:cs="Arial"/>
                <w:sz w:val="16"/>
                <w:szCs w:val="16"/>
                <w:lang w:bidi="th-TH"/>
              </w:rPr>
              <w:t xml:space="preserve"> 19 TIs and 40 RHs</w:t>
            </w:r>
          </w:p>
        </w:tc>
        <w:tc>
          <w:tcPr>
            <w:tcW w:w="846" w:type="pct"/>
            <w:gridSpan w:val="2"/>
            <w:tcBorders>
              <w:top w:val="nil"/>
              <w:bottom w:val="single" w:sz="4" w:space="0" w:color="auto"/>
            </w:tcBorders>
            <w:shd w:val="clear" w:color="auto" w:fill="auto"/>
            <w:tcMar>
              <w:top w:w="110" w:type="dxa"/>
            </w:tcMar>
          </w:tcPr>
          <w:p w:rsidR="00F838C5" w:rsidRPr="005A1E0E" w:rsidRDefault="00F838C5" w:rsidP="001363EE">
            <w:pPr>
              <w:autoSpaceDE w:val="0"/>
              <w:autoSpaceDN w:val="0"/>
              <w:adjustRightInd w:val="0"/>
              <w:rPr>
                <w:rFonts w:cs="Arial"/>
                <w:sz w:val="16"/>
                <w:szCs w:val="16"/>
              </w:rPr>
            </w:pPr>
            <w:r w:rsidRPr="005A1E0E">
              <w:rPr>
                <w:rFonts w:cs="Arial"/>
                <w:sz w:val="16"/>
                <w:szCs w:val="16"/>
              </w:rPr>
              <w:t>24 TIs and 46 RHs (cumulative)</w:t>
            </w:r>
          </w:p>
        </w:tc>
        <w:tc>
          <w:tcPr>
            <w:tcW w:w="1093" w:type="pct"/>
            <w:gridSpan w:val="3"/>
            <w:tcBorders>
              <w:top w:val="nil"/>
              <w:bottom w:val="single" w:sz="4" w:space="0" w:color="auto"/>
            </w:tcBorders>
            <w:shd w:val="clear" w:color="auto" w:fill="FFFFFF"/>
            <w:tcMar>
              <w:top w:w="110" w:type="dxa"/>
            </w:tcMar>
          </w:tcPr>
          <w:p w:rsidR="00F838C5" w:rsidRPr="005A1E0E" w:rsidRDefault="00F838C5" w:rsidP="001363EE">
            <w:pPr>
              <w:rPr>
                <w:rFonts w:cs="Arial"/>
                <w:sz w:val="16"/>
                <w:szCs w:val="16"/>
                <w:lang w:bidi="th-TH"/>
              </w:rPr>
            </w:pPr>
            <w:r w:rsidRPr="005A1E0E">
              <w:rPr>
                <w:rFonts w:cs="Arial"/>
                <w:sz w:val="16"/>
                <w:szCs w:val="16"/>
                <w:lang w:bidi="th-TH"/>
              </w:rPr>
              <w:t xml:space="preserve">The Stakeholders’ Platform has now been moved to the Accessible Books Consortium (ABC).  </w:t>
            </w:r>
          </w:p>
        </w:tc>
        <w:tc>
          <w:tcPr>
            <w:tcW w:w="525" w:type="pct"/>
            <w:gridSpan w:val="2"/>
            <w:tcBorders>
              <w:top w:val="nil"/>
              <w:bottom w:val="single" w:sz="4" w:space="0" w:color="auto"/>
              <w:right w:val="single" w:sz="4" w:space="0" w:color="auto"/>
            </w:tcBorders>
            <w:shd w:val="clear" w:color="auto" w:fill="auto"/>
            <w:tcMar>
              <w:top w:w="110" w:type="dxa"/>
            </w:tcMar>
          </w:tcPr>
          <w:p w:rsidR="00F838C5" w:rsidRPr="005A1E0E" w:rsidRDefault="00F838C5" w:rsidP="001363EE">
            <w:pPr>
              <w:jc w:val="center"/>
              <w:rPr>
                <w:rFonts w:cs="Arial"/>
                <w:b/>
                <w:bCs/>
                <w:color w:val="808080"/>
                <w:sz w:val="13"/>
                <w:szCs w:val="13"/>
              </w:rPr>
            </w:pPr>
            <w:r w:rsidRPr="005A1E0E">
              <w:rPr>
                <w:rFonts w:cs="Arial"/>
                <w:b/>
                <w:bCs/>
                <w:sz w:val="13"/>
                <w:szCs w:val="13"/>
              </w:rPr>
              <w:t>Dis-continued</w:t>
            </w:r>
          </w:p>
          <w:p w:rsidR="00F838C5" w:rsidRPr="005A1E0E" w:rsidRDefault="00F838C5" w:rsidP="001363EE">
            <w:pPr>
              <w:rPr>
                <w:rFonts w:cs="Arial"/>
                <w:b/>
                <w:bCs/>
                <w:color w:val="808080"/>
                <w:sz w:val="16"/>
                <w:szCs w:val="16"/>
              </w:rPr>
            </w:pPr>
          </w:p>
        </w:tc>
      </w:tr>
      <w:tr w:rsidR="00F838C5" w:rsidRPr="005C50ED" w:rsidTr="001363EE">
        <w:trPr>
          <w:trHeight w:val="2113"/>
        </w:trPr>
        <w:tc>
          <w:tcPr>
            <w:tcW w:w="1097" w:type="pct"/>
            <w:tcBorders>
              <w:top w:val="single" w:sz="4" w:space="0" w:color="auto"/>
              <w:left w:val="single" w:sz="4" w:space="0" w:color="auto"/>
              <w:bottom w:val="nil"/>
            </w:tcBorders>
            <w:shd w:val="clear" w:color="auto" w:fill="auto"/>
          </w:tcPr>
          <w:p w:rsidR="00F838C5" w:rsidRPr="005A1E0E" w:rsidRDefault="00F838C5" w:rsidP="001363EE">
            <w:pPr>
              <w:keepNext/>
              <w:keepLines/>
              <w:rPr>
                <w:rFonts w:cs="Arial"/>
                <w:sz w:val="16"/>
                <w:szCs w:val="16"/>
                <w:lang w:bidi="th-TH"/>
              </w:rPr>
            </w:pPr>
            <w:r w:rsidRPr="005A1E0E">
              <w:rPr>
                <w:rFonts w:cs="Arial"/>
                <w:color w:val="000000"/>
                <w:sz w:val="16"/>
                <w:szCs w:val="16"/>
                <w:lang w:bidi="th-TH"/>
              </w:rPr>
              <w:lastRenderedPageBreak/>
              <w:t xml:space="preserve">No. of copyright protected works distributed among TIs and made accessible to VIPs across borders through the TIGAR system network </w:t>
            </w:r>
          </w:p>
        </w:tc>
        <w:tc>
          <w:tcPr>
            <w:tcW w:w="1433" w:type="pct"/>
            <w:gridSpan w:val="2"/>
            <w:tcBorders>
              <w:top w:val="single" w:sz="4" w:space="0" w:color="auto"/>
              <w:bottom w:val="nil"/>
            </w:tcBorders>
            <w:shd w:val="clear" w:color="auto" w:fill="auto"/>
          </w:tcPr>
          <w:p w:rsidR="00F838C5" w:rsidRPr="005A1E0E" w:rsidRDefault="00F838C5" w:rsidP="001363EE">
            <w:pPr>
              <w:pStyle w:val="Default"/>
              <w:keepNext/>
              <w:keepLines/>
              <w:rPr>
                <w:color w:val="002060"/>
                <w:sz w:val="16"/>
                <w:szCs w:val="16"/>
                <w:lang w:bidi="th-TH"/>
              </w:rPr>
            </w:pPr>
            <w:r w:rsidRPr="005A1E0E">
              <w:rPr>
                <w:i/>
                <w:color w:val="002060"/>
                <w:sz w:val="16"/>
                <w:szCs w:val="16"/>
              </w:rPr>
              <w:t>Updated Baseline end 2013:</w:t>
            </w:r>
            <w:r w:rsidRPr="005A1E0E">
              <w:rPr>
                <w:color w:val="002060"/>
                <w:sz w:val="16"/>
                <w:szCs w:val="16"/>
                <w:lang w:bidi="th-TH"/>
              </w:rPr>
              <w:t xml:space="preserve">  By the end of 2013, approximately 600 books in accessible formats had been downloaded from the TIGAR database in various countries.</w:t>
            </w:r>
          </w:p>
          <w:p w:rsidR="00F838C5" w:rsidRPr="005A1E0E" w:rsidRDefault="00F838C5" w:rsidP="001363EE">
            <w:pPr>
              <w:keepNext/>
              <w:keepLines/>
              <w:rPr>
                <w:rFonts w:cs="Arial"/>
                <w:color w:val="002060"/>
                <w:sz w:val="8"/>
                <w:szCs w:val="8"/>
                <w:lang w:bidi="th-TH"/>
              </w:rPr>
            </w:pPr>
          </w:p>
          <w:p w:rsidR="00F838C5" w:rsidRPr="005A1E0E" w:rsidRDefault="00F838C5" w:rsidP="001363EE">
            <w:pPr>
              <w:keepNext/>
              <w:keepLines/>
              <w:rPr>
                <w:rFonts w:cs="Arial"/>
                <w:sz w:val="16"/>
                <w:szCs w:val="16"/>
                <w:lang w:bidi="th-TH"/>
              </w:rPr>
            </w:pPr>
            <w:r w:rsidRPr="005A1E0E">
              <w:rPr>
                <w:rFonts w:cs="Arial"/>
                <w:i/>
                <w:sz w:val="16"/>
                <w:szCs w:val="16"/>
                <w:lang w:bidi="th-TH"/>
              </w:rPr>
              <w:t xml:space="preserve">Original Baseline P&amp;B 2014/15: </w:t>
            </w:r>
            <w:r w:rsidRPr="005A1E0E">
              <w:rPr>
                <w:rFonts w:cs="Arial"/>
                <w:sz w:val="16"/>
                <w:szCs w:val="16"/>
                <w:lang w:bidi="th-TH"/>
              </w:rPr>
              <w:t xml:space="preserve"> 400</w:t>
            </w:r>
          </w:p>
        </w:tc>
        <w:tc>
          <w:tcPr>
            <w:tcW w:w="848" w:type="pct"/>
            <w:gridSpan w:val="2"/>
            <w:tcBorders>
              <w:top w:val="single" w:sz="4" w:space="0" w:color="auto"/>
              <w:bottom w:val="nil"/>
            </w:tcBorders>
            <w:shd w:val="clear" w:color="auto" w:fill="auto"/>
            <w:tcMar>
              <w:top w:w="110" w:type="dxa"/>
            </w:tcMar>
          </w:tcPr>
          <w:p w:rsidR="00F838C5" w:rsidRPr="005A1E0E" w:rsidRDefault="00F838C5" w:rsidP="001363EE">
            <w:pPr>
              <w:keepNext/>
              <w:keepLines/>
              <w:rPr>
                <w:rFonts w:cs="Arial"/>
                <w:sz w:val="16"/>
                <w:szCs w:val="16"/>
                <w:lang w:bidi="th-TH"/>
              </w:rPr>
            </w:pPr>
            <w:r w:rsidRPr="005A1E0E">
              <w:rPr>
                <w:rFonts w:eastAsia="Batang" w:cs="Arial"/>
                <w:sz w:val="16"/>
                <w:szCs w:val="16"/>
                <w:lang w:eastAsia="ja-JP" w:bidi="th-TH"/>
              </w:rPr>
              <w:t>1,000 cumulative</w:t>
            </w:r>
          </w:p>
        </w:tc>
        <w:tc>
          <w:tcPr>
            <w:tcW w:w="1095" w:type="pct"/>
            <w:gridSpan w:val="3"/>
            <w:tcBorders>
              <w:top w:val="single" w:sz="4" w:space="0" w:color="auto"/>
              <w:bottom w:val="nil"/>
            </w:tcBorders>
            <w:shd w:val="clear" w:color="auto" w:fill="FFFFFF"/>
            <w:tcMar>
              <w:top w:w="110" w:type="dxa"/>
            </w:tcMar>
          </w:tcPr>
          <w:p w:rsidR="00F838C5" w:rsidRPr="005A1E0E" w:rsidRDefault="00F838C5" w:rsidP="001363EE">
            <w:pPr>
              <w:keepNext/>
              <w:keepLines/>
              <w:rPr>
                <w:rFonts w:cs="Arial"/>
                <w:sz w:val="16"/>
                <w:szCs w:val="16"/>
                <w:lang w:bidi="th-TH"/>
              </w:rPr>
            </w:pPr>
            <w:r w:rsidRPr="005A1E0E">
              <w:rPr>
                <w:rFonts w:cs="Arial"/>
                <w:sz w:val="16"/>
                <w:szCs w:val="16"/>
                <w:lang w:bidi="th-TH"/>
              </w:rPr>
              <w:t xml:space="preserve">4,208 downloaded accessible versions of books by 15 participating libraries by the end of 2015 </w:t>
            </w:r>
            <w:r>
              <w:rPr>
                <w:rFonts w:cs="Arial"/>
                <w:sz w:val="16"/>
                <w:szCs w:val="16"/>
                <w:lang w:bidi="th-TH"/>
              </w:rPr>
              <w:t>(cumulative)</w:t>
            </w:r>
          </w:p>
          <w:p w:rsidR="00F838C5" w:rsidRPr="005A1E0E" w:rsidRDefault="00F838C5" w:rsidP="001363EE">
            <w:pPr>
              <w:keepNext/>
              <w:keepLines/>
              <w:rPr>
                <w:rFonts w:cs="Arial"/>
                <w:sz w:val="16"/>
                <w:szCs w:val="16"/>
                <w:lang w:bidi="th-TH"/>
              </w:rPr>
            </w:pPr>
          </w:p>
          <w:p w:rsidR="00F838C5" w:rsidRPr="005A1E0E" w:rsidRDefault="00F838C5" w:rsidP="00BA6F3B">
            <w:pPr>
              <w:keepNext/>
              <w:keepLines/>
              <w:rPr>
                <w:rFonts w:cs="Arial"/>
                <w:sz w:val="16"/>
                <w:szCs w:val="16"/>
                <w:lang w:bidi="th-TH"/>
              </w:rPr>
            </w:pPr>
            <w:r w:rsidRPr="005A1E0E">
              <w:rPr>
                <w:rFonts w:cs="Arial"/>
                <w:sz w:val="16"/>
                <w:szCs w:val="16"/>
                <w:lang w:bidi="th-TH"/>
              </w:rPr>
              <w:t>Over 58,000 loans of accessible books to persons with print disabilities by the end of 2015</w:t>
            </w:r>
          </w:p>
        </w:tc>
        <w:tc>
          <w:tcPr>
            <w:tcW w:w="526" w:type="pct"/>
            <w:gridSpan w:val="2"/>
            <w:tcBorders>
              <w:top w:val="single" w:sz="4" w:space="0" w:color="auto"/>
              <w:bottom w:val="nil"/>
              <w:right w:val="single" w:sz="4" w:space="0" w:color="auto"/>
            </w:tcBorders>
            <w:shd w:val="clear" w:color="auto" w:fill="auto"/>
          </w:tcPr>
          <w:p w:rsidR="00F838C5" w:rsidRPr="005A1E0E" w:rsidRDefault="00F838C5" w:rsidP="001363EE">
            <w:pPr>
              <w:keepNext/>
              <w:keepLines/>
              <w:jc w:val="center"/>
              <w:rPr>
                <w:rFonts w:cs="Arial"/>
                <w:bCs/>
                <w:color w:val="333333"/>
                <w:sz w:val="16"/>
                <w:szCs w:val="16"/>
              </w:rPr>
            </w:pPr>
            <w:r w:rsidRPr="005A1E0E">
              <w:rPr>
                <w:rFonts w:cs="Arial"/>
                <w:b/>
                <w:bCs/>
                <w:color w:val="00B050"/>
                <w:sz w:val="16"/>
                <w:szCs w:val="16"/>
              </w:rPr>
              <w:t>Fully Achieved</w:t>
            </w:r>
          </w:p>
        </w:tc>
      </w:tr>
      <w:tr w:rsidR="00F838C5" w:rsidRPr="005C50ED" w:rsidTr="001363EE">
        <w:tc>
          <w:tcPr>
            <w:tcW w:w="1097" w:type="pct"/>
            <w:tcBorders>
              <w:top w:val="nil"/>
              <w:left w:val="single" w:sz="4" w:space="0" w:color="auto"/>
              <w:bottom w:val="nil"/>
            </w:tcBorders>
            <w:shd w:val="clear" w:color="auto" w:fill="auto"/>
          </w:tcPr>
          <w:p w:rsidR="00F838C5" w:rsidRPr="005A1E0E" w:rsidRDefault="00F838C5" w:rsidP="001363EE">
            <w:pPr>
              <w:keepNext/>
              <w:keepLines/>
              <w:rPr>
                <w:rFonts w:cs="Arial"/>
                <w:color w:val="000000"/>
                <w:sz w:val="16"/>
                <w:szCs w:val="16"/>
                <w:lang w:bidi="th-TH"/>
              </w:rPr>
            </w:pPr>
            <w:r w:rsidRPr="005A1E0E">
              <w:rPr>
                <w:rFonts w:cs="Arial"/>
                <w:color w:val="000000"/>
                <w:sz w:val="16"/>
                <w:szCs w:val="16"/>
                <w:lang w:bidi="th-TH"/>
              </w:rPr>
              <w:t xml:space="preserve"> % of individuals satisfied with the capacity building support on copyright infrastructure </w:t>
            </w:r>
          </w:p>
        </w:tc>
        <w:tc>
          <w:tcPr>
            <w:tcW w:w="1433" w:type="pct"/>
            <w:gridSpan w:val="2"/>
            <w:tcBorders>
              <w:top w:val="nil"/>
              <w:bottom w:val="nil"/>
            </w:tcBorders>
            <w:shd w:val="clear" w:color="auto" w:fill="auto"/>
          </w:tcPr>
          <w:p w:rsidR="00F838C5" w:rsidRPr="005A1E0E" w:rsidRDefault="00F838C5" w:rsidP="001363EE">
            <w:pPr>
              <w:keepNext/>
              <w:keepLines/>
              <w:rPr>
                <w:rFonts w:cs="Arial"/>
                <w:sz w:val="16"/>
                <w:szCs w:val="16"/>
                <w:lang w:val="pt-BR" w:bidi="th-TH"/>
              </w:rPr>
            </w:pPr>
            <w:r w:rsidRPr="005A1E0E">
              <w:rPr>
                <w:rFonts w:cs="Arial"/>
                <w:sz w:val="16"/>
                <w:szCs w:val="16"/>
                <w:lang w:val="pt-BR" w:bidi="th-TH"/>
              </w:rPr>
              <w:t>Not yet started</w:t>
            </w:r>
          </w:p>
        </w:tc>
        <w:tc>
          <w:tcPr>
            <w:tcW w:w="848" w:type="pct"/>
            <w:gridSpan w:val="2"/>
            <w:tcBorders>
              <w:top w:val="nil"/>
              <w:bottom w:val="nil"/>
            </w:tcBorders>
            <w:shd w:val="clear" w:color="auto" w:fill="auto"/>
            <w:tcMar>
              <w:top w:w="110" w:type="dxa"/>
            </w:tcMar>
          </w:tcPr>
          <w:p w:rsidR="00F838C5" w:rsidRPr="005A1E0E" w:rsidRDefault="00F838C5" w:rsidP="001363EE">
            <w:pPr>
              <w:keepNext/>
              <w:keepLines/>
              <w:rPr>
                <w:rFonts w:cs="Arial"/>
                <w:sz w:val="16"/>
                <w:szCs w:val="16"/>
                <w:lang w:bidi="th-TH"/>
              </w:rPr>
            </w:pPr>
            <w:r w:rsidRPr="005A1E0E">
              <w:rPr>
                <w:rFonts w:cs="Arial"/>
                <w:sz w:val="16"/>
                <w:szCs w:val="16"/>
                <w:lang w:bidi="th-TH"/>
              </w:rPr>
              <w:t>60%</w:t>
            </w:r>
          </w:p>
        </w:tc>
        <w:tc>
          <w:tcPr>
            <w:tcW w:w="1095" w:type="pct"/>
            <w:gridSpan w:val="3"/>
            <w:tcBorders>
              <w:top w:val="nil"/>
              <w:bottom w:val="nil"/>
            </w:tcBorders>
            <w:shd w:val="clear" w:color="auto" w:fill="FFFFFF"/>
            <w:tcMar>
              <w:top w:w="110" w:type="dxa"/>
            </w:tcMar>
          </w:tcPr>
          <w:p w:rsidR="00F838C5" w:rsidRPr="005A1E0E" w:rsidRDefault="00F838C5" w:rsidP="001363EE">
            <w:pPr>
              <w:keepNext/>
              <w:keepLines/>
              <w:rPr>
                <w:rFonts w:cs="Arial"/>
                <w:sz w:val="16"/>
                <w:szCs w:val="16"/>
                <w:lang w:bidi="th-TH"/>
              </w:rPr>
            </w:pPr>
            <w:r w:rsidRPr="005A1E0E">
              <w:rPr>
                <w:rFonts w:cs="Arial"/>
                <w:sz w:val="16"/>
                <w:szCs w:val="16"/>
                <w:lang w:bidi="th-TH"/>
              </w:rPr>
              <w:t>90%</w:t>
            </w:r>
          </w:p>
        </w:tc>
        <w:tc>
          <w:tcPr>
            <w:tcW w:w="526" w:type="pct"/>
            <w:gridSpan w:val="2"/>
            <w:tcBorders>
              <w:top w:val="nil"/>
              <w:bottom w:val="nil"/>
              <w:right w:val="single" w:sz="4" w:space="0" w:color="auto"/>
            </w:tcBorders>
            <w:shd w:val="clear" w:color="auto" w:fill="auto"/>
          </w:tcPr>
          <w:p w:rsidR="00F838C5" w:rsidRPr="005A1E0E" w:rsidRDefault="00F838C5" w:rsidP="001363EE">
            <w:pPr>
              <w:keepNext/>
              <w:keepLines/>
              <w:jc w:val="center"/>
              <w:rPr>
                <w:rFonts w:cs="Arial"/>
                <w:bCs/>
                <w:color w:val="008000"/>
                <w:sz w:val="16"/>
                <w:szCs w:val="16"/>
              </w:rPr>
            </w:pPr>
            <w:r w:rsidRPr="005A1E0E">
              <w:rPr>
                <w:rFonts w:cs="Arial"/>
                <w:b/>
                <w:bCs/>
                <w:color w:val="00B050"/>
                <w:sz w:val="16"/>
                <w:szCs w:val="16"/>
              </w:rPr>
              <w:t>Fully Achieved</w:t>
            </w:r>
          </w:p>
        </w:tc>
      </w:tr>
      <w:tr w:rsidR="00F838C5" w:rsidRPr="005C50ED" w:rsidTr="001363EE">
        <w:tc>
          <w:tcPr>
            <w:tcW w:w="1097" w:type="pct"/>
            <w:tcBorders>
              <w:top w:val="nil"/>
              <w:left w:val="single" w:sz="4" w:space="0" w:color="auto"/>
              <w:bottom w:val="nil"/>
            </w:tcBorders>
            <w:shd w:val="clear" w:color="auto" w:fill="auto"/>
          </w:tcPr>
          <w:p w:rsidR="00F838C5" w:rsidRPr="005A1E0E" w:rsidRDefault="00F838C5" w:rsidP="001363EE">
            <w:pPr>
              <w:keepNext/>
              <w:keepLines/>
              <w:rPr>
                <w:rFonts w:cs="Arial"/>
                <w:color w:val="000000"/>
                <w:sz w:val="16"/>
                <w:szCs w:val="16"/>
                <w:lang w:bidi="th-TH"/>
              </w:rPr>
            </w:pPr>
            <w:r w:rsidRPr="005A1E0E">
              <w:rPr>
                <w:rFonts w:cs="Arial"/>
                <w:color w:val="000000"/>
                <w:sz w:val="16"/>
                <w:szCs w:val="16"/>
                <w:lang w:bidi="th-TH"/>
              </w:rPr>
              <w:t>No. of institutions using GDA</w:t>
            </w:r>
          </w:p>
        </w:tc>
        <w:tc>
          <w:tcPr>
            <w:tcW w:w="1433" w:type="pct"/>
            <w:gridSpan w:val="2"/>
            <w:tcBorders>
              <w:top w:val="nil"/>
              <w:bottom w:val="nil"/>
            </w:tcBorders>
            <w:shd w:val="clear" w:color="auto" w:fill="auto"/>
          </w:tcPr>
          <w:p w:rsidR="00F838C5" w:rsidRPr="005A1E0E" w:rsidRDefault="00F838C5" w:rsidP="001363EE">
            <w:pPr>
              <w:keepNext/>
              <w:keepLines/>
              <w:rPr>
                <w:rFonts w:cs="Arial"/>
                <w:color w:val="002060"/>
                <w:sz w:val="16"/>
                <w:szCs w:val="16"/>
                <w:lang w:bidi="th-TH"/>
              </w:rPr>
            </w:pPr>
            <w:r w:rsidRPr="005A1E0E">
              <w:rPr>
                <w:rFonts w:cs="Arial"/>
                <w:i/>
                <w:color w:val="002060"/>
                <w:sz w:val="16"/>
                <w:szCs w:val="16"/>
              </w:rPr>
              <w:t>Updated Baseline end 2013:</w:t>
            </w:r>
            <w:r w:rsidRPr="005A1E0E">
              <w:rPr>
                <w:rFonts w:cs="Arial"/>
                <w:color w:val="002060"/>
                <w:sz w:val="16"/>
                <w:szCs w:val="16"/>
                <w:lang w:bidi="th-TH"/>
              </w:rPr>
              <w:t xml:space="preserve">  15</w:t>
            </w:r>
            <w:r w:rsidRPr="005A1E0E">
              <w:rPr>
                <w:rStyle w:val="FootnoteReference"/>
                <w:rFonts w:cs="Arial"/>
                <w:color w:val="002060"/>
                <w:sz w:val="16"/>
                <w:szCs w:val="16"/>
                <w:lang w:bidi="th-TH"/>
              </w:rPr>
              <w:footnoteReference w:id="15"/>
            </w:r>
            <w:r w:rsidRPr="005A1E0E">
              <w:rPr>
                <w:rFonts w:cs="Arial"/>
                <w:color w:val="002060"/>
                <w:sz w:val="16"/>
                <w:szCs w:val="16"/>
                <w:lang w:bidi="th-TH"/>
              </w:rPr>
              <w:t xml:space="preserve"> Copyright Offices using GDA (cumulative)</w:t>
            </w:r>
          </w:p>
          <w:p w:rsidR="00F838C5" w:rsidRPr="005A1E0E" w:rsidRDefault="00F838C5" w:rsidP="001363EE">
            <w:pPr>
              <w:keepNext/>
              <w:keepLines/>
              <w:rPr>
                <w:rFonts w:cs="Arial"/>
                <w:sz w:val="8"/>
                <w:szCs w:val="8"/>
                <w:lang w:bidi="th-TH"/>
              </w:rPr>
            </w:pPr>
          </w:p>
          <w:p w:rsidR="00F838C5" w:rsidRPr="005A1E0E" w:rsidRDefault="00F838C5" w:rsidP="001363EE">
            <w:pPr>
              <w:keepNext/>
              <w:keepLines/>
              <w:rPr>
                <w:rFonts w:cs="Arial"/>
                <w:i/>
                <w:color w:val="002060"/>
                <w:sz w:val="16"/>
                <w:szCs w:val="16"/>
              </w:rPr>
            </w:pPr>
            <w:r w:rsidRPr="005A1E0E">
              <w:rPr>
                <w:rFonts w:cs="Arial"/>
                <w:i/>
                <w:sz w:val="16"/>
                <w:szCs w:val="16"/>
                <w:lang w:val="pt-BR" w:bidi="th-TH"/>
              </w:rPr>
              <w:t xml:space="preserve">Original Baseline P&amp;B 2014/15:  </w:t>
            </w:r>
            <w:r w:rsidRPr="005A1E0E">
              <w:rPr>
                <w:rFonts w:cs="Arial"/>
                <w:sz w:val="16"/>
                <w:szCs w:val="16"/>
                <w:lang w:val="pt-BR" w:bidi="th-TH"/>
              </w:rPr>
              <w:t>15</w:t>
            </w:r>
          </w:p>
        </w:tc>
        <w:tc>
          <w:tcPr>
            <w:tcW w:w="848" w:type="pct"/>
            <w:gridSpan w:val="2"/>
            <w:tcBorders>
              <w:top w:val="nil"/>
              <w:bottom w:val="nil"/>
            </w:tcBorders>
            <w:shd w:val="clear" w:color="auto" w:fill="auto"/>
            <w:tcMar>
              <w:top w:w="110" w:type="dxa"/>
            </w:tcMar>
          </w:tcPr>
          <w:p w:rsidR="00F838C5" w:rsidRPr="00E760E7" w:rsidRDefault="00F838C5" w:rsidP="001363EE">
            <w:pPr>
              <w:keepNext/>
              <w:keepLines/>
              <w:rPr>
                <w:rFonts w:cs="Arial"/>
                <w:sz w:val="16"/>
                <w:szCs w:val="16"/>
                <w:highlight w:val="yellow"/>
                <w:lang w:bidi="th-TH"/>
              </w:rPr>
            </w:pPr>
            <w:r w:rsidRPr="005A1E0E">
              <w:rPr>
                <w:rFonts w:cs="Arial"/>
                <w:sz w:val="16"/>
                <w:szCs w:val="16"/>
                <w:lang w:bidi="th-TH"/>
              </w:rPr>
              <w:t>15</w:t>
            </w:r>
          </w:p>
        </w:tc>
        <w:tc>
          <w:tcPr>
            <w:tcW w:w="1095" w:type="pct"/>
            <w:gridSpan w:val="3"/>
            <w:tcBorders>
              <w:top w:val="nil"/>
              <w:bottom w:val="nil"/>
            </w:tcBorders>
            <w:shd w:val="clear" w:color="auto" w:fill="FFFFFF"/>
            <w:tcMar>
              <w:top w:w="110" w:type="dxa"/>
            </w:tcMar>
          </w:tcPr>
          <w:p w:rsidR="00F838C5" w:rsidRPr="00464887" w:rsidRDefault="00F838C5" w:rsidP="001363EE">
            <w:pPr>
              <w:keepNext/>
              <w:keepLines/>
              <w:rPr>
                <w:rFonts w:cs="Arial"/>
                <w:sz w:val="16"/>
                <w:szCs w:val="16"/>
                <w:lang w:bidi="th-TH"/>
              </w:rPr>
            </w:pPr>
            <w:r w:rsidRPr="00464887">
              <w:rPr>
                <w:rFonts w:cs="Arial"/>
                <w:sz w:val="16"/>
                <w:szCs w:val="16"/>
                <w:lang w:bidi="th-TH"/>
              </w:rPr>
              <w:t>16 Copyright Offices using GDA (cumulative)</w:t>
            </w:r>
          </w:p>
          <w:p w:rsidR="00F838C5" w:rsidRPr="005A1E0E" w:rsidRDefault="00F838C5" w:rsidP="001363EE">
            <w:pPr>
              <w:keepNext/>
              <w:keepLines/>
              <w:rPr>
                <w:rFonts w:cs="Arial"/>
                <w:sz w:val="16"/>
                <w:szCs w:val="16"/>
                <w:lang w:bidi="th-TH"/>
              </w:rPr>
            </w:pPr>
          </w:p>
          <w:p w:rsidR="00F838C5" w:rsidRPr="00E760E7" w:rsidRDefault="00F838C5" w:rsidP="001363EE">
            <w:pPr>
              <w:keepNext/>
              <w:keepLines/>
              <w:rPr>
                <w:rFonts w:cs="Arial"/>
                <w:sz w:val="16"/>
                <w:szCs w:val="16"/>
                <w:highlight w:val="yellow"/>
                <w:lang w:bidi="th-TH"/>
              </w:rPr>
            </w:pPr>
            <w:r w:rsidRPr="005A1E0E">
              <w:rPr>
                <w:rFonts w:cs="Arial"/>
                <w:sz w:val="16"/>
                <w:szCs w:val="16"/>
                <w:lang w:bidi="th-TH"/>
              </w:rPr>
              <w:t xml:space="preserve">WIPO’s support of the GDA system </w:t>
            </w:r>
            <w:r>
              <w:rPr>
                <w:rFonts w:cs="Arial"/>
                <w:sz w:val="16"/>
                <w:szCs w:val="16"/>
                <w:lang w:bidi="th-TH"/>
              </w:rPr>
              <w:t xml:space="preserve">was </w:t>
            </w:r>
            <w:r w:rsidRPr="005A1E0E">
              <w:rPr>
                <w:rFonts w:cs="Arial"/>
                <w:sz w:val="16"/>
                <w:szCs w:val="16"/>
                <w:lang w:bidi="th-TH"/>
              </w:rPr>
              <w:t xml:space="preserve">phased out by the end of 2015.  </w:t>
            </w:r>
          </w:p>
        </w:tc>
        <w:tc>
          <w:tcPr>
            <w:tcW w:w="526" w:type="pct"/>
            <w:gridSpan w:val="2"/>
            <w:tcBorders>
              <w:top w:val="nil"/>
              <w:bottom w:val="nil"/>
              <w:right w:val="single" w:sz="4" w:space="0" w:color="auto"/>
            </w:tcBorders>
            <w:shd w:val="clear" w:color="auto" w:fill="auto"/>
          </w:tcPr>
          <w:p w:rsidR="00F838C5" w:rsidRPr="005A1E0E" w:rsidRDefault="00F838C5" w:rsidP="001363EE">
            <w:pPr>
              <w:jc w:val="center"/>
              <w:rPr>
                <w:rFonts w:cs="Arial"/>
                <w:b/>
                <w:bCs/>
                <w:color w:val="808080"/>
                <w:sz w:val="13"/>
                <w:szCs w:val="13"/>
              </w:rPr>
            </w:pPr>
            <w:r w:rsidRPr="005A1E0E">
              <w:rPr>
                <w:rFonts w:cs="Arial"/>
                <w:b/>
                <w:bCs/>
                <w:sz w:val="13"/>
                <w:szCs w:val="13"/>
              </w:rPr>
              <w:t>Dis-continued</w:t>
            </w:r>
          </w:p>
        </w:tc>
      </w:tr>
      <w:tr w:rsidR="00F838C5" w:rsidRPr="005C50ED" w:rsidTr="001363EE">
        <w:tc>
          <w:tcPr>
            <w:tcW w:w="1097" w:type="pct"/>
            <w:tcBorders>
              <w:top w:val="nil"/>
              <w:left w:val="single" w:sz="4" w:space="0" w:color="auto"/>
              <w:bottom w:val="nil"/>
            </w:tcBorders>
            <w:shd w:val="clear" w:color="auto" w:fill="auto"/>
          </w:tcPr>
          <w:p w:rsidR="00F838C5" w:rsidRPr="005A1E0E" w:rsidRDefault="00F838C5" w:rsidP="001363EE">
            <w:pPr>
              <w:keepNext/>
              <w:keepLines/>
              <w:rPr>
                <w:rFonts w:cs="Arial"/>
                <w:color w:val="000000"/>
                <w:sz w:val="16"/>
                <w:szCs w:val="16"/>
                <w:lang w:bidi="th-TH"/>
              </w:rPr>
            </w:pPr>
            <w:r w:rsidRPr="005A1E0E">
              <w:rPr>
                <w:rFonts w:cs="Arial"/>
                <w:color w:val="000000"/>
                <w:sz w:val="16"/>
                <w:szCs w:val="16"/>
                <w:lang w:bidi="th-TH"/>
              </w:rPr>
              <w:t>Use of the WIPO Collective Management Reference Database</w:t>
            </w:r>
          </w:p>
        </w:tc>
        <w:tc>
          <w:tcPr>
            <w:tcW w:w="1433" w:type="pct"/>
            <w:gridSpan w:val="2"/>
            <w:tcBorders>
              <w:top w:val="nil"/>
              <w:bottom w:val="nil"/>
            </w:tcBorders>
            <w:shd w:val="clear" w:color="auto" w:fill="auto"/>
          </w:tcPr>
          <w:p w:rsidR="00F838C5" w:rsidRPr="005A1E0E" w:rsidRDefault="00F838C5" w:rsidP="001363EE">
            <w:pPr>
              <w:keepNext/>
              <w:keepLines/>
              <w:rPr>
                <w:rFonts w:cs="Arial"/>
                <w:i/>
                <w:color w:val="002060"/>
                <w:sz w:val="16"/>
                <w:szCs w:val="16"/>
              </w:rPr>
            </w:pPr>
            <w:r w:rsidRPr="005A1E0E">
              <w:rPr>
                <w:rFonts w:cs="Arial"/>
                <w:sz w:val="16"/>
                <w:szCs w:val="16"/>
                <w:lang w:val="pt-BR" w:bidi="th-TH"/>
              </w:rPr>
              <w:t>Not yet started</w:t>
            </w:r>
          </w:p>
        </w:tc>
        <w:tc>
          <w:tcPr>
            <w:tcW w:w="848" w:type="pct"/>
            <w:gridSpan w:val="2"/>
            <w:tcBorders>
              <w:top w:val="nil"/>
              <w:bottom w:val="nil"/>
            </w:tcBorders>
            <w:shd w:val="clear" w:color="auto" w:fill="auto"/>
            <w:tcMar>
              <w:top w:w="110" w:type="dxa"/>
            </w:tcMar>
          </w:tcPr>
          <w:p w:rsidR="00F838C5" w:rsidRPr="005A1E0E" w:rsidRDefault="00F838C5" w:rsidP="001363EE">
            <w:pPr>
              <w:keepNext/>
              <w:keepLines/>
              <w:rPr>
                <w:rFonts w:cs="Arial"/>
                <w:sz w:val="16"/>
                <w:szCs w:val="16"/>
                <w:lang w:bidi="th-TH"/>
              </w:rPr>
            </w:pPr>
            <w:r w:rsidRPr="005A1E0E">
              <w:rPr>
                <w:rFonts w:cs="Arial"/>
                <w:sz w:val="16"/>
                <w:szCs w:val="16"/>
                <w:lang w:bidi="th-TH"/>
              </w:rPr>
              <w:t>100 users</w:t>
            </w:r>
          </w:p>
        </w:tc>
        <w:tc>
          <w:tcPr>
            <w:tcW w:w="1095" w:type="pct"/>
            <w:gridSpan w:val="3"/>
            <w:tcBorders>
              <w:top w:val="nil"/>
              <w:bottom w:val="nil"/>
            </w:tcBorders>
            <w:shd w:val="clear" w:color="auto" w:fill="FFFFFF"/>
            <w:tcMar>
              <w:top w:w="110" w:type="dxa"/>
            </w:tcMar>
          </w:tcPr>
          <w:p w:rsidR="00F838C5" w:rsidRPr="00E760E7" w:rsidRDefault="00F838C5" w:rsidP="001363EE">
            <w:pPr>
              <w:keepNext/>
              <w:keepLines/>
              <w:rPr>
                <w:rFonts w:cs="Arial"/>
                <w:sz w:val="16"/>
                <w:szCs w:val="16"/>
                <w:highlight w:val="yellow"/>
                <w:lang w:bidi="th-TH"/>
              </w:rPr>
            </w:pPr>
            <w:r>
              <w:rPr>
                <w:rFonts w:cs="Arial"/>
                <w:sz w:val="16"/>
                <w:szCs w:val="16"/>
                <w:lang w:bidi="th-TH"/>
              </w:rPr>
              <w:t>Since its launch in October 2014, t</w:t>
            </w:r>
            <w:r w:rsidRPr="007E0D89">
              <w:rPr>
                <w:rFonts w:cs="Arial"/>
                <w:sz w:val="16"/>
                <w:szCs w:val="16"/>
                <w:lang w:bidi="th-TH"/>
              </w:rPr>
              <w:t xml:space="preserve">he </w:t>
            </w:r>
            <w:r w:rsidRPr="007E0D89">
              <w:rPr>
                <w:rFonts w:cs="Arial"/>
                <w:i/>
                <w:sz w:val="16"/>
                <w:szCs w:val="16"/>
                <w:lang w:bidi="th-TH"/>
              </w:rPr>
              <w:t>Collecting Societies Handbook 2014</w:t>
            </w:r>
            <w:r>
              <w:rPr>
                <w:rFonts w:cs="Arial"/>
                <w:i/>
                <w:sz w:val="16"/>
                <w:szCs w:val="16"/>
                <w:lang w:bidi="th-TH"/>
              </w:rPr>
              <w:t xml:space="preserve"> </w:t>
            </w:r>
            <w:r>
              <w:rPr>
                <w:rFonts w:cs="Arial"/>
                <w:sz w:val="16"/>
                <w:szCs w:val="16"/>
                <w:lang w:bidi="th-TH"/>
              </w:rPr>
              <w:t xml:space="preserve">received an average of </w:t>
            </w:r>
            <w:r w:rsidRPr="005A1E0E">
              <w:rPr>
                <w:rFonts w:cs="Arial"/>
                <w:sz w:val="16"/>
                <w:szCs w:val="16"/>
                <w:lang w:bidi="th-TH"/>
              </w:rPr>
              <w:t xml:space="preserve">2,300 </w:t>
            </w:r>
            <w:r>
              <w:rPr>
                <w:rFonts w:cs="Arial"/>
                <w:sz w:val="16"/>
                <w:szCs w:val="16"/>
                <w:lang w:bidi="th-TH"/>
              </w:rPr>
              <w:t xml:space="preserve">unique </w:t>
            </w:r>
            <w:r w:rsidRPr="005A1E0E">
              <w:rPr>
                <w:rFonts w:cs="Arial"/>
                <w:sz w:val="16"/>
                <w:szCs w:val="16"/>
                <w:lang w:bidi="th-TH"/>
              </w:rPr>
              <w:t>visits per month</w:t>
            </w:r>
            <w:r>
              <w:rPr>
                <w:rFonts w:cs="Arial"/>
                <w:sz w:val="16"/>
                <w:szCs w:val="16"/>
                <w:lang w:bidi="th-TH"/>
              </w:rPr>
              <w:t xml:space="preserve">.  </w:t>
            </w:r>
          </w:p>
        </w:tc>
        <w:tc>
          <w:tcPr>
            <w:tcW w:w="526" w:type="pct"/>
            <w:gridSpan w:val="2"/>
            <w:tcBorders>
              <w:top w:val="nil"/>
              <w:bottom w:val="nil"/>
              <w:right w:val="single" w:sz="4" w:space="0" w:color="auto"/>
            </w:tcBorders>
            <w:shd w:val="clear" w:color="auto" w:fill="auto"/>
          </w:tcPr>
          <w:p w:rsidR="00F838C5" w:rsidRPr="00E760E7" w:rsidRDefault="00F838C5" w:rsidP="001363EE">
            <w:pPr>
              <w:keepNext/>
              <w:keepLines/>
              <w:jc w:val="center"/>
              <w:rPr>
                <w:rFonts w:cs="Arial"/>
                <w:b/>
                <w:bCs/>
                <w:color w:val="00B050"/>
                <w:sz w:val="16"/>
                <w:szCs w:val="16"/>
                <w:highlight w:val="yellow"/>
              </w:rPr>
            </w:pPr>
            <w:r w:rsidRPr="005A1E0E">
              <w:rPr>
                <w:rFonts w:cs="Arial"/>
                <w:b/>
                <w:bCs/>
                <w:color w:val="00B050"/>
                <w:sz w:val="16"/>
                <w:szCs w:val="16"/>
              </w:rPr>
              <w:t>Fully Achieved</w:t>
            </w:r>
          </w:p>
        </w:tc>
      </w:tr>
      <w:tr w:rsidR="00F838C5" w:rsidRPr="005C50ED" w:rsidTr="001363EE">
        <w:tc>
          <w:tcPr>
            <w:tcW w:w="1097" w:type="pct"/>
            <w:tcBorders>
              <w:top w:val="nil"/>
              <w:left w:val="single" w:sz="4" w:space="0" w:color="auto"/>
              <w:bottom w:val="single" w:sz="4" w:space="0" w:color="auto"/>
            </w:tcBorders>
            <w:shd w:val="clear" w:color="auto" w:fill="auto"/>
          </w:tcPr>
          <w:p w:rsidR="00F838C5" w:rsidRPr="005A1E0E" w:rsidRDefault="00F838C5" w:rsidP="001363EE">
            <w:pPr>
              <w:keepNext/>
              <w:keepLines/>
              <w:rPr>
                <w:rFonts w:cs="Arial"/>
                <w:color w:val="000000"/>
                <w:sz w:val="16"/>
                <w:szCs w:val="16"/>
                <w:lang w:bidi="th-TH"/>
              </w:rPr>
            </w:pPr>
            <w:r w:rsidRPr="005A1E0E">
              <w:rPr>
                <w:rFonts w:cs="Arial"/>
                <w:color w:val="000000"/>
                <w:sz w:val="16"/>
                <w:szCs w:val="16"/>
                <w:lang w:bidi="th-TH"/>
              </w:rPr>
              <w:t>No. of legal instruments, guidelines, statements of principles other than Treaties agreed to or endorsed by the stakeholders concerned in areas such as IP and Sports and  Copyright in the Digital Environment</w:t>
            </w:r>
          </w:p>
          <w:p w:rsidR="00F838C5" w:rsidRPr="005A1E0E" w:rsidRDefault="00F838C5" w:rsidP="001363EE">
            <w:pPr>
              <w:keepNext/>
              <w:keepLines/>
              <w:rPr>
                <w:rFonts w:cs="Arial"/>
                <w:color w:val="000000"/>
                <w:sz w:val="16"/>
                <w:szCs w:val="16"/>
                <w:lang w:bidi="th-TH"/>
              </w:rPr>
            </w:pPr>
          </w:p>
        </w:tc>
        <w:tc>
          <w:tcPr>
            <w:tcW w:w="1433" w:type="pct"/>
            <w:gridSpan w:val="2"/>
            <w:tcBorders>
              <w:top w:val="nil"/>
              <w:bottom w:val="single" w:sz="4" w:space="0" w:color="auto"/>
            </w:tcBorders>
            <w:shd w:val="clear" w:color="auto" w:fill="auto"/>
          </w:tcPr>
          <w:p w:rsidR="00F838C5" w:rsidRPr="005A1E0E" w:rsidRDefault="00F838C5" w:rsidP="001363EE">
            <w:pPr>
              <w:keepNext/>
              <w:keepLines/>
              <w:rPr>
                <w:rFonts w:cs="Arial"/>
                <w:color w:val="002060"/>
                <w:sz w:val="16"/>
                <w:szCs w:val="16"/>
                <w:lang w:bidi="th-TH"/>
              </w:rPr>
            </w:pPr>
            <w:r w:rsidRPr="005A1E0E">
              <w:rPr>
                <w:rFonts w:cs="Arial"/>
                <w:i/>
                <w:color w:val="002060"/>
                <w:sz w:val="16"/>
                <w:szCs w:val="16"/>
              </w:rPr>
              <w:t>Updated Baseline end 2013:</w:t>
            </w:r>
            <w:r w:rsidRPr="005A1E0E">
              <w:rPr>
                <w:rFonts w:cs="Arial"/>
                <w:color w:val="002060"/>
                <w:sz w:val="16"/>
                <w:szCs w:val="16"/>
                <w:lang w:bidi="th-TH"/>
              </w:rPr>
              <w:t xml:space="preserve">  </w:t>
            </w:r>
          </w:p>
          <w:p w:rsidR="00F838C5" w:rsidRPr="005A1E0E" w:rsidRDefault="00F838C5" w:rsidP="001363EE">
            <w:pPr>
              <w:keepNext/>
              <w:keepLines/>
              <w:rPr>
                <w:rFonts w:cs="Arial"/>
                <w:sz w:val="8"/>
                <w:szCs w:val="8"/>
                <w:lang w:bidi="th-TH"/>
              </w:rPr>
            </w:pPr>
          </w:p>
          <w:p w:rsidR="00F838C5" w:rsidRPr="005A1E0E" w:rsidRDefault="00F838C5" w:rsidP="001363EE">
            <w:pPr>
              <w:keepNext/>
              <w:keepLines/>
              <w:rPr>
                <w:rFonts w:cs="Arial"/>
                <w:i/>
                <w:color w:val="002060"/>
                <w:sz w:val="16"/>
                <w:szCs w:val="16"/>
              </w:rPr>
            </w:pPr>
            <w:r w:rsidRPr="005A1E0E">
              <w:rPr>
                <w:rFonts w:cs="Arial"/>
                <w:i/>
                <w:sz w:val="16"/>
                <w:szCs w:val="16"/>
                <w:lang w:val="pt-BR" w:bidi="th-TH"/>
              </w:rPr>
              <w:t xml:space="preserve">Original Baseline P&amp;B 2014/15:  </w:t>
            </w:r>
            <w:r w:rsidRPr="005A1E0E">
              <w:rPr>
                <w:rFonts w:cs="Arial"/>
                <w:sz w:val="16"/>
                <w:szCs w:val="16"/>
                <w:lang w:val="pt-BR" w:bidi="th-TH"/>
              </w:rPr>
              <w:t>One (WIPO Review of Contractual Considerations in the Audiovisual Sector)</w:t>
            </w:r>
          </w:p>
        </w:tc>
        <w:tc>
          <w:tcPr>
            <w:tcW w:w="848" w:type="pct"/>
            <w:gridSpan w:val="2"/>
            <w:tcBorders>
              <w:top w:val="nil"/>
              <w:bottom w:val="single" w:sz="4" w:space="0" w:color="auto"/>
            </w:tcBorders>
            <w:shd w:val="clear" w:color="auto" w:fill="auto"/>
            <w:tcMar>
              <w:top w:w="110" w:type="dxa"/>
            </w:tcMar>
          </w:tcPr>
          <w:p w:rsidR="00F838C5" w:rsidRPr="005A1E0E" w:rsidRDefault="00F838C5" w:rsidP="001363EE">
            <w:pPr>
              <w:keepNext/>
              <w:keepLines/>
              <w:rPr>
                <w:rFonts w:cs="Arial"/>
                <w:sz w:val="16"/>
                <w:szCs w:val="16"/>
                <w:lang w:bidi="th-TH"/>
              </w:rPr>
            </w:pPr>
            <w:r w:rsidRPr="005A1E0E">
              <w:rPr>
                <w:rFonts w:cs="Arial"/>
                <w:sz w:val="16"/>
                <w:szCs w:val="16"/>
                <w:lang w:bidi="th-TH"/>
              </w:rPr>
              <w:t>1</w:t>
            </w:r>
          </w:p>
        </w:tc>
        <w:tc>
          <w:tcPr>
            <w:tcW w:w="1095" w:type="pct"/>
            <w:gridSpan w:val="3"/>
            <w:tcBorders>
              <w:top w:val="nil"/>
              <w:bottom w:val="single" w:sz="4" w:space="0" w:color="auto"/>
            </w:tcBorders>
            <w:shd w:val="clear" w:color="auto" w:fill="FFFFFF"/>
            <w:tcMar>
              <w:top w:w="110" w:type="dxa"/>
            </w:tcMar>
          </w:tcPr>
          <w:p w:rsidR="00F838C5" w:rsidRPr="00E760E7" w:rsidRDefault="00F838C5" w:rsidP="00BA6F3B">
            <w:pPr>
              <w:keepNext/>
              <w:keepLines/>
              <w:rPr>
                <w:rFonts w:cs="Arial"/>
                <w:sz w:val="16"/>
                <w:szCs w:val="16"/>
                <w:highlight w:val="yellow"/>
                <w:lang w:bidi="th-TH"/>
              </w:rPr>
            </w:pPr>
            <w:r w:rsidRPr="002F0852">
              <w:rPr>
                <w:rFonts w:cs="Arial"/>
                <w:sz w:val="16"/>
                <w:szCs w:val="16"/>
                <w:lang w:bidi="th-TH"/>
              </w:rPr>
              <w:t xml:space="preserve">The WIPO Draft Guidelines on Assessing the Economic, Social and </w:t>
            </w:r>
            <w:r w:rsidRPr="0091028D">
              <w:rPr>
                <w:rFonts w:cs="Arial"/>
                <w:sz w:val="16"/>
                <w:szCs w:val="16"/>
                <w:lang w:bidi="th-TH"/>
              </w:rPr>
              <w:t>Cultural Impact of Copyright on the Economy (ESCIA Guidelines) were finalized in 2014 and entered into a pilot phase of implementation, which will be completed by June</w:t>
            </w:r>
            <w:r w:rsidR="00965C8C">
              <w:rPr>
                <w:rFonts w:cs="Arial"/>
                <w:sz w:val="16"/>
                <w:szCs w:val="16"/>
                <w:lang w:bidi="th-TH"/>
              </w:rPr>
              <w:t> </w:t>
            </w:r>
            <w:r w:rsidRPr="0091028D">
              <w:rPr>
                <w:rFonts w:cs="Arial"/>
                <w:sz w:val="16"/>
                <w:szCs w:val="16"/>
                <w:lang w:bidi="th-TH"/>
              </w:rPr>
              <w:t>2016.</w:t>
            </w:r>
          </w:p>
        </w:tc>
        <w:tc>
          <w:tcPr>
            <w:tcW w:w="526" w:type="pct"/>
            <w:gridSpan w:val="2"/>
            <w:tcBorders>
              <w:top w:val="nil"/>
              <w:bottom w:val="single" w:sz="4" w:space="0" w:color="auto"/>
              <w:right w:val="single" w:sz="4" w:space="0" w:color="auto"/>
            </w:tcBorders>
            <w:shd w:val="clear" w:color="auto" w:fill="auto"/>
          </w:tcPr>
          <w:p w:rsidR="00F838C5" w:rsidRPr="00E760E7" w:rsidRDefault="00F838C5" w:rsidP="001363EE">
            <w:pPr>
              <w:keepNext/>
              <w:keepLines/>
              <w:jc w:val="center"/>
              <w:rPr>
                <w:rFonts w:cs="Arial"/>
                <w:b/>
                <w:bCs/>
                <w:color w:val="00B050"/>
                <w:sz w:val="16"/>
                <w:szCs w:val="16"/>
                <w:highlight w:val="yellow"/>
              </w:rPr>
            </w:pPr>
            <w:r w:rsidRPr="005A1E0E">
              <w:rPr>
                <w:rFonts w:cs="Arial"/>
                <w:b/>
                <w:bCs/>
                <w:color w:val="00B050"/>
                <w:sz w:val="16"/>
                <w:szCs w:val="16"/>
              </w:rPr>
              <w:t>Fully Achieved</w:t>
            </w:r>
          </w:p>
        </w:tc>
      </w:tr>
      <w:tr w:rsidR="00F838C5" w:rsidRPr="005C50ED" w:rsidTr="00BA6F3B">
        <w:trPr>
          <w:trHeight w:val="629"/>
        </w:trPr>
        <w:tc>
          <w:tcPr>
            <w:tcW w:w="4999" w:type="pct"/>
            <w:gridSpan w:val="10"/>
            <w:tcBorders>
              <w:top w:val="single" w:sz="4" w:space="0" w:color="auto"/>
              <w:bottom w:val="single" w:sz="4" w:space="0" w:color="auto"/>
            </w:tcBorders>
            <w:shd w:val="clear" w:color="auto" w:fill="C6D9F1" w:themeFill="text2" w:themeFillTint="33"/>
            <w:vAlign w:val="center"/>
          </w:tcPr>
          <w:p w:rsidR="00F838C5" w:rsidRPr="005C50ED" w:rsidRDefault="00F838C5" w:rsidP="001363EE">
            <w:pPr>
              <w:tabs>
                <w:tab w:val="left" w:pos="1452"/>
              </w:tabs>
              <w:ind w:left="1452" w:hanging="1452"/>
              <w:rPr>
                <w:rFonts w:cs="Arial"/>
                <w:b/>
                <w:bCs/>
                <w:sz w:val="16"/>
                <w:szCs w:val="16"/>
              </w:rPr>
            </w:pPr>
            <w:r w:rsidRPr="005C50ED">
              <w:rPr>
                <w:rFonts w:cs="Arial"/>
                <w:b/>
                <w:bCs/>
                <w:sz w:val="16"/>
                <w:szCs w:val="16"/>
              </w:rPr>
              <w:t>Expected Result:</w:t>
            </w:r>
            <w:r w:rsidRPr="005C50ED">
              <w:rPr>
                <w:rFonts w:cs="Arial"/>
                <w:b/>
                <w:bCs/>
                <w:sz w:val="16"/>
                <w:szCs w:val="16"/>
              </w:rPr>
              <w:tab/>
            </w:r>
            <w:r w:rsidRPr="007873A2">
              <w:rPr>
                <w:rFonts w:cs="Arial"/>
                <w:sz w:val="16"/>
                <w:szCs w:val="16"/>
                <w:lang w:bidi="th-TH"/>
              </w:rPr>
              <w:t>IV.4 Enhanced technical and knowledge infrastructure for IP Offices and other IP institutions leading to better services (cheaper, faster, higher quality) to their stakeholders</w:t>
            </w:r>
          </w:p>
        </w:tc>
      </w:tr>
      <w:tr w:rsidR="00F838C5" w:rsidRPr="005C50ED" w:rsidTr="001363EE">
        <w:tc>
          <w:tcPr>
            <w:tcW w:w="1097" w:type="pct"/>
            <w:tcBorders>
              <w:top w:val="single" w:sz="4" w:space="0" w:color="auto"/>
            </w:tcBorders>
            <w:shd w:val="clear" w:color="auto" w:fill="auto"/>
            <w:vAlign w:val="center"/>
          </w:tcPr>
          <w:p w:rsidR="00F838C5" w:rsidRPr="005C50ED" w:rsidRDefault="00F838C5" w:rsidP="001363EE">
            <w:pPr>
              <w:rPr>
                <w:rFonts w:cs="Arial"/>
                <w:sz w:val="16"/>
                <w:szCs w:val="16"/>
              </w:rPr>
            </w:pPr>
            <w:r w:rsidRPr="005C50ED">
              <w:rPr>
                <w:rFonts w:cs="Arial"/>
                <w:b/>
                <w:bCs/>
                <w:sz w:val="16"/>
                <w:szCs w:val="16"/>
              </w:rPr>
              <w:t>Performance Indicators</w:t>
            </w:r>
          </w:p>
        </w:tc>
        <w:tc>
          <w:tcPr>
            <w:tcW w:w="1433" w:type="pct"/>
            <w:gridSpan w:val="2"/>
            <w:tcBorders>
              <w:top w:val="single" w:sz="4" w:space="0" w:color="auto"/>
            </w:tcBorders>
            <w:shd w:val="clear" w:color="auto" w:fill="auto"/>
            <w:vAlign w:val="center"/>
          </w:tcPr>
          <w:p w:rsidR="00F838C5" w:rsidRPr="005C50ED" w:rsidRDefault="00F838C5" w:rsidP="001363EE">
            <w:pPr>
              <w:rPr>
                <w:rFonts w:cs="Arial"/>
                <w:b/>
                <w:bCs/>
                <w:sz w:val="16"/>
                <w:szCs w:val="16"/>
              </w:rPr>
            </w:pPr>
            <w:r w:rsidRPr="005C50ED">
              <w:rPr>
                <w:rFonts w:cs="Arial"/>
                <w:b/>
                <w:bCs/>
                <w:sz w:val="16"/>
                <w:szCs w:val="16"/>
              </w:rPr>
              <w:t>Baselines</w:t>
            </w:r>
          </w:p>
        </w:tc>
        <w:tc>
          <w:tcPr>
            <w:tcW w:w="848" w:type="pct"/>
            <w:gridSpan w:val="2"/>
            <w:tcBorders>
              <w:top w:val="single" w:sz="4" w:space="0" w:color="auto"/>
            </w:tcBorders>
            <w:shd w:val="clear" w:color="auto" w:fill="auto"/>
            <w:tcMar>
              <w:top w:w="110" w:type="dxa"/>
            </w:tcMar>
            <w:vAlign w:val="center"/>
          </w:tcPr>
          <w:p w:rsidR="00F838C5" w:rsidRPr="005C50ED" w:rsidRDefault="00F838C5" w:rsidP="001363EE">
            <w:pPr>
              <w:rPr>
                <w:rFonts w:cs="Arial"/>
                <w:b/>
                <w:sz w:val="16"/>
                <w:szCs w:val="16"/>
              </w:rPr>
            </w:pPr>
            <w:r w:rsidRPr="005C50ED">
              <w:rPr>
                <w:rFonts w:cs="Arial"/>
                <w:b/>
                <w:sz w:val="16"/>
                <w:szCs w:val="16"/>
              </w:rPr>
              <w:t>Targets</w:t>
            </w:r>
          </w:p>
        </w:tc>
        <w:tc>
          <w:tcPr>
            <w:tcW w:w="1095" w:type="pct"/>
            <w:gridSpan w:val="3"/>
            <w:tcBorders>
              <w:top w:val="single" w:sz="4" w:space="0" w:color="auto"/>
            </w:tcBorders>
            <w:shd w:val="clear" w:color="auto" w:fill="FFFFFF"/>
            <w:tcMar>
              <w:top w:w="110" w:type="dxa"/>
            </w:tcMar>
            <w:vAlign w:val="center"/>
          </w:tcPr>
          <w:p w:rsidR="00F838C5" w:rsidRPr="005C50ED" w:rsidRDefault="00F838C5" w:rsidP="001363EE">
            <w:pPr>
              <w:rPr>
                <w:rFonts w:cs="Arial"/>
                <w:sz w:val="16"/>
                <w:szCs w:val="16"/>
              </w:rPr>
            </w:pPr>
            <w:r w:rsidRPr="005C50ED">
              <w:rPr>
                <w:rFonts w:cs="Arial"/>
                <w:b/>
                <w:bCs/>
                <w:sz w:val="16"/>
                <w:szCs w:val="16"/>
              </w:rPr>
              <w:t>Performance Data</w:t>
            </w:r>
          </w:p>
        </w:tc>
        <w:tc>
          <w:tcPr>
            <w:tcW w:w="526" w:type="pct"/>
            <w:gridSpan w:val="2"/>
            <w:tcBorders>
              <w:top w:val="single" w:sz="4" w:space="0" w:color="auto"/>
            </w:tcBorders>
            <w:shd w:val="clear" w:color="auto" w:fill="auto"/>
            <w:tcMar>
              <w:top w:w="110" w:type="dxa"/>
            </w:tcMar>
            <w:vAlign w:val="center"/>
          </w:tcPr>
          <w:p w:rsidR="00F838C5" w:rsidRPr="005C50ED" w:rsidRDefault="00F838C5" w:rsidP="001363EE">
            <w:pPr>
              <w:keepNext/>
              <w:keepLines/>
              <w:jc w:val="center"/>
              <w:rPr>
                <w:rFonts w:cs="Arial"/>
                <w:b/>
                <w:bCs/>
                <w:sz w:val="16"/>
                <w:szCs w:val="16"/>
              </w:rPr>
            </w:pPr>
            <w:r w:rsidRPr="005C50ED">
              <w:rPr>
                <w:rFonts w:cs="Arial"/>
                <w:b/>
                <w:bCs/>
                <w:sz w:val="16"/>
                <w:szCs w:val="16"/>
              </w:rPr>
              <w:t>TLS</w:t>
            </w:r>
          </w:p>
        </w:tc>
      </w:tr>
      <w:tr w:rsidR="00F838C5" w:rsidRPr="005C50ED" w:rsidTr="001363EE">
        <w:tc>
          <w:tcPr>
            <w:tcW w:w="1097" w:type="pct"/>
            <w:shd w:val="clear" w:color="auto" w:fill="auto"/>
          </w:tcPr>
          <w:p w:rsidR="00F838C5" w:rsidRPr="005A1E0E" w:rsidRDefault="00F838C5" w:rsidP="001363EE">
            <w:pPr>
              <w:rPr>
                <w:rFonts w:cs="Arial"/>
                <w:sz w:val="16"/>
                <w:szCs w:val="16"/>
                <w:lang w:bidi="th-TH"/>
              </w:rPr>
            </w:pPr>
            <w:r w:rsidRPr="005A1E0E">
              <w:rPr>
                <w:rFonts w:cs="Arial"/>
                <w:sz w:val="16"/>
                <w:szCs w:val="16"/>
                <w:lang w:bidi="th-TH"/>
              </w:rPr>
              <w:t>No. of governments and CMOs signing an agreement with WIPO to re-engineer WIPOCOS</w:t>
            </w:r>
          </w:p>
        </w:tc>
        <w:tc>
          <w:tcPr>
            <w:tcW w:w="1433" w:type="pct"/>
            <w:gridSpan w:val="2"/>
            <w:shd w:val="clear" w:color="auto" w:fill="auto"/>
          </w:tcPr>
          <w:p w:rsidR="00F838C5" w:rsidRPr="005A1E0E" w:rsidRDefault="00F838C5" w:rsidP="001363EE">
            <w:pPr>
              <w:rPr>
                <w:rFonts w:cs="Arial"/>
                <w:sz w:val="16"/>
                <w:szCs w:val="16"/>
                <w:lang w:bidi="th-TH"/>
              </w:rPr>
            </w:pPr>
            <w:r w:rsidRPr="005A1E0E">
              <w:rPr>
                <w:rFonts w:cs="Arial"/>
                <w:sz w:val="16"/>
                <w:szCs w:val="16"/>
                <w:lang w:val="pt-BR" w:bidi="th-TH"/>
              </w:rPr>
              <w:t>Not yet started</w:t>
            </w:r>
          </w:p>
        </w:tc>
        <w:tc>
          <w:tcPr>
            <w:tcW w:w="848" w:type="pct"/>
            <w:gridSpan w:val="2"/>
            <w:shd w:val="clear" w:color="auto" w:fill="auto"/>
            <w:tcMar>
              <w:top w:w="110" w:type="dxa"/>
            </w:tcMar>
          </w:tcPr>
          <w:p w:rsidR="00F838C5" w:rsidRPr="005A1E0E" w:rsidRDefault="00F838C5" w:rsidP="001363EE">
            <w:pPr>
              <w:pStyle w:val="Default"/>
              <w:rPr>
                <w:color w:val="auto"/>
                <w:sz w:val="16"/>
                <w:szCs w:val="16"/>
                <w:lang w:bidi="th-TH"/>
              </w:rPr>
            </w:pPr>
            <w:r w:rsidRPr="005A1E0E">
              <w:rPr>
                <w:rFonts w:eastAsia="Times New Roman"/>
                <w:color w:val="auto"/>
                <w:sz w:val="16"/>
                <w:szCs w:val="16"/>
                <w:lang w:eastAsia="en-US"/>
              </w:rPr>
              <w:t>Four governments and Five NGOs</w:t>
            </w:r>
          </w:p>
        </w:tc>
        <w:tc>
          <w:tcPr>
            <w:tcW w:w="1095" w:type="pct"/>
            <w:gridSpan w:val="3"/>
            <w:shd w:val="clear" w:color="auto" w:fill="auto"/>
            <w:tcMar>
              <w:top w:w="110" w:type="dxa"/>
            </w:tcMar>
          </w:tcPr>
          <w:p w:rsidR="00F838C5" w:rsidRPr="005A1E0E" w:rsidRDefault="00F838C5" w:rsidP="001363EE">
            <w:pPr>
              <w:rPr>
                <w:rFonts w:cs="Arial"/>
                <w:sz w:val="16"/>
                <w:szCs w:val="16"/>
                <w:lang w:bidi="th-TH"/>
              </w:rPr>
            </w:pPr>
            <w:r w:rsidRPr="005A1E0E">
              <w:rPr>
                <w:rFonts w:cs="Arial"/>
                <w:sz w:val="16"/>
                <w:szCs w:val="16"/>
                <w:lang w:bidi="th-TH"/>
              </w:rPr>
              <w:t>Seven governments (Chad, Democratic Republic of the Congo, Malaysia, Mali, Nepal, Philippines, Uganda) and 43 CMOs</w:t>
            </w:r>
          </w:p>
        </w:tc>
        <w:tc>
          <w:tcPr>
            <w:tcW w:w="526" w:type="pct"/>
            <w:gridSpan w:val="2"/>
            <w:shd w:val="clear" w:color="auto" w:fill="auto"/>
            <w:tcMar>
              <w:top w:w="110" w:type="dxa"/>
            </w:tcMar>
          </w:tcPr>
          <w:p w:rsidR="00F838C5" w:rsidRPr="00E760E7" w:rsidRDefault="00F838C5" w:rsidP="001363EE">
            <w:pPr>
              <w:jc w:val="center"/>
              <w:rPr>
                <w:rFonts w:cs="Arial"/>
                <w:bCs/>
                <w:color w:val="008000"/>
                <w:sz w:val="16"/>
                <w:szCs w:val="16"/>
                <w:highlight w:val="yellow"/>
              </w:rPr>
            </w:pPr>
            <w:r w:rsidRPr="005A1E0E">
              <w:rPr>
                <w:rFonts w:cs="Arial"/>
                <w:b/>
                <w:bCs/>
                <w:color w:val="00B050"/>
                <w:sz w:val="16"/>
                <w:szCs w:val="16"/>
              </w:rPr>
              <w:t>Fully Achieved</w:t>
            </w:r>
          </w:p>
        </w:tc>
      </w:tr>
      <w:tr w:rsidR="00F838C5" w:rsidRPr="005C50ED" w:rsidTr="001363EE">
        <w:tc>
          <w:tcPr>
            <w:tcW w:w="1097" w:type="pct"/>
            <w:tcBorders>
              <w:bottom w:val="nil"/>
            </w:tcBorders>
            <w:shd w:val="clear" w:color="auto" w:fill="auto"/>
          </w:tcPr>
          <w:p w:rsidR="00F838C5" w:rsidRPr="005A1E0E" w:rsidRDefault="00F838C5" w:rsidP="001363EE">
            <w:pPr>
              <w:rPr>
                <w:rFonts w:cs="Arial"/>
                <w:sz w:val="16"/>
                <w:szCs w:val="16"/>
                <w:lang w:bidi="th-TH"/>
              </w:rPr>
            </w:pPr>
            <w:r w:rsidRPr="005A1E0E">
              <w:rPr>
                <w:rFonts w:cs="Arial"/>
                <w:sz w:val="16"/>
                <w:szCs w:val="16"/>
                <w:lang w:bidi="th-TH"/>
              </w:rPr>
              <w:t>No. of CMOs in developing countries and LDCs participating in regional and global networks facilitated by WIPO</w:t>
            </w:r>
          </w:p>
        </w:tc>
        <w:tc>
          <w:tcPr>
            <w:tcW w:w="1433" w:type="pct"/>
            <w:gridSpan w:val="2"/>
            <w:tcBorders>
              <w:bottom w:val="nil"/>
            </w:tcBorders>
            <w:shd w:val="clear" w:color="auto" w:fill="auto"/>
          </w:tcPr>
          <w:p w:rsidR="00F838C5" w:rsidRPr="005A1E0E" w:rsidRDefault="00F838C5" w:rsidP="001363EE">
            <w:pPr>
              <w:autoSpaceDE w:val="0"/>
              <w:autoSpaceDN w:val="0"/>
              <w:adjustRightInd w:val="0"/>
              <w:rPr>
                <w:rFonts w:cs="Arial"/>
                <w:sz w:val="16"/>
                <w:szCs w:val="16"/>
              </w:rPr>
            </w:pPr>
            <w:r w:rsidRPr="005A1E0E">
              <w:rPr>
                <w:rFonts w:cs="Arial"/>
                <w:sz w:val="16"/>
                <w:szCs w:val="16"/>
                <w:lang w:bidi="th-TH"/>
              </w:rPr>
              <w:t xml:space="preserve">0 (zero) </w:t>
            </w:r>
          </w:p>
        </w:tc>
        <w:tc>
          <w:tcPr>
            <w:tcW w:w="848" w:type="pct"/>
            <w:gridSpan w:val="2"/>
            <w:tcBorders>
              <w:bottom w:val="nil"/>
            </w:tcBorders>
            <w:shd w:val="clear" w:color="auto" w:fill="auto"/>
            <w:tcMar>
              <w:top w:w="110" w:type="dxa"/>
            </w:tcMar>
          </w:tcPr>
          <w:p w:rsidR="00F838C5" w:rsidRPr="005A1E0E" w:rsidRDefault="00F838C5" w:rsidP="001363EE">
            <w:pPr>
              <w:rPr>
                <w:rFonts w:cs="Arial"/>
                <w:sz w:val="16"/>
                <w:szCs w:val="16"/>
                <w:lang w:bidi="th-TH"/>
              </w:rPr>
            </w:pPr>
            <w:r w:rsidRPr="005A1E0E">
              <w:rPr>
                <w:rFonts w:eastAsia="Batang" w:cs="Arial"/>
                <w:sz w:val="16"/>
                <w:szCs w:val="16"/>
                <w:lang w:eastAsia="ja-JP"/>
              </w:rPr>
              <w:t>10</w:t>
            </w:r>
          </w:p>
        </w:tc>
        <w:tc>
          <w:tcPr>
            <w:tcW w:w="1095" w:type="pct"/>
            <w:gridSpan w:val="3"/>
            <w:tcBorders>
              <w:bottom w:val="nil"/>
            </w:tcBorders>
            <w:shd w:val="clear" w:color="auto" w:fill="auto"/>
            <w:tcMar>
              <w:top w:w="110" w:type="dxa"/>
            </w:tcMar>
          </w:tcPr>
          <w:p w:rsidR="00F838C5" w:rsidRPr="005A1E0E" w:rsidRDefault="00F838C5" w:rsidP="001363EE">
            <w:pPr>
              <w:rPr>
                <w:rFonts w:cs="Arial"/>
                <w:sz w:val="16"/>
                <w:szCs w:val="16"/>
                <w:lang w:bidi="th-TH"/>
              </w:rPr>
            </w:pPr>
            <w:r w:rsidRPr="005A1E0E">
              <w:rPr>
                <w:rFonts w:cs="Arial"/>
                <w:sz w:val="16"/>
                <w:szCs w:val="16"/>
                <w:lang w:bidi="th-TH"/>
              </w:rPr>
              <w:t>1</w:t>
            </w:r>
            <w:r>
              <w:rPr>
                <w:rFonts w:cs="Arial"/>
                <w:sz w:val="16"/>
                <w:szCs w:val="16"/>
                <w:lang w:bidi="th-TH"/>
              </w:rPr>
              <w:t>3</w:t>
            </w:r>
          </w:p>
        </w:tc>
        <w:tc>
          <w:tcPr>
            <w:tcW w:w="526" w:type="pct"/>
            <w:gridSpan w:val="2"/>
            <w:tcBorders>
              <w:bottom w:val="nil"/>
            </w:tcBorders>
            <w:shd w:val="clear" w:color="auto" w:fill="auto"/>
          </w:tcPr>
          <w:p w:rsidR="00F838C5" w:rsidRPr="00E760E7" w:rsidRDefault="00F838C5" w:rsidP="001363EE">
            <w:pPr>
              <w:jc w:val="center"/>
              <w:rPr>
                <w:rFonts w:cs="Arial"/>
                <w:bCs/>
                <w:color w:val="333333"/>
                <w:sz w:val="16"/>
                <w:szCs w:val="16"/>
                <w:highlight w:val="yellow"/>
              </w:rPr>
            </w:pPr>
            <w:r w:rsidRPr="005A1E0E">
              <w:rPr>
                <w:rFonts w:cs="Arial"/>
                <w:b/>
                <w:bCs/>
                <w:color w:val="00B050"/>
                <w:sz w:val="16"/>
                <w:szCs w:val="16"/>
              </w:rPr>
              <w:t>Fully Achieved</w:t>
            </w:r>
          </w:p>
        </w:tc>
      </w:tr>
      <w:tr w:rsidR="00F838C5" w:rsidRPr="005C50ED" w:rsidTr="001363EE">
        <w:tc>
          <w:tcPr>
            <w:tcW w:w="1097" w:type="pct"/>
            <w:tcBorders>
              <w:top w:val="nil"/>
              <w:bottom w:val="single" w:sz="4" w:space="0" w:color="auto"/>
            </w:tcBorders>
            <w:shd w:val="clear" w:color="auto" w:fill="auto"/>
          </w:tcPr>
          <w:p w:rsidR="00F838C5" w:rsidRPr="000A1DBE" w:rsidRDefault="00F838C5" w:rsidP="001363EE">
            <w:pPr>
              <w:rPr>
                <w:rFonts w:cs="Arial"/>
                <w:sz w:val="16"/>
                <w:szCs w:val="16"/>
                <w:lang w:bidi="th-TH"/>
              </w:rPr>
            </w:pPr>
            <w:r w:rsidRPr="000A1DBE">
              <w:rPr>
                <w:rFonts w:cs="Arial"/>
                <w:sz w:val="16"/>
                <w:szCs w:val="16"/>
                <w:lang w:bidi="th-TH"/>
              </w:rPr>
              <w:t>% of governments that report positively on the improved effectiveness (and governance) of copyright offices and other institutions in the country</w:t>
            </w:r>
          </w:p>
        </w:tc>
        <w:tc>
          <w:tcPr>
            <w:tcW w:w="1433" w:type="pct"/>
            <w:gridSpan w:val="2"/>
            <w:tcBorders>
              <w:top w:val="nil"/>
              <w:bottom w:val="single" w:sz="4" w:space="0" w:color="auto"/>
            </w:tcBorders>
            <w:shd w:val="clear" w:color="auto" w:fill="auto"/>
          </w:tcPr>
          <w:p w:rsidR="00F838C5" w:rsidRPr="000A1DBE" w:rsidRDefault="00F838C5" w:rsidP="001363EE">
            <w:pPr>
              <w:rPr>
                <w:rFonts w:cs="Arial"/>
                <w:i/>
                <w:sz w:val="16"/>
                <w:szCs w:val="16"/>
                <w:lang w:bidi="th-TH"/>
              </w:rPr>
            </w:pPr>
            <w:r w:rsidRPr="000A1DBE">
              <w:rPr>
                <w:i/>
                <w:color w:val="002060"/>
                <w:sz w:val="16"/>
                <w:szCs w:val="16"/>
              </w:rPr>
              <w:t>Updated Baseline end 2013:</w:t>
            </w:r>
            <w:r w:rsidRPr="000A1DBE">
              <w:rPr>
                <w:color w:val="002060"/>
                <w:sz w:val="16"/>
                <w:szCs w:val="16"/>
                <w:lang w:bidi="th-TH"/>
              </w:rPr>
              <w:t xml:space="preserve">  Over 70% of Governments that received assistance reported positively on the improved effectiveness and governance of related institutions in the country after training.</w:t>
            </w:r>
          </w:p>
          <w:p w:rsidR="00F838C5" w:rsidRPr="000A1DBE" w:rsidRDefault="00F838C5" w:rsidP="001363EE">
            <w:pPr>
              <w:rPr>
                <w:rFonts w:cs="Arial"/>
                <w:i/>
                <w:sz w:val="16"/>
                <w:szCs w:val="16"/>
                <w:lang w:bidi="th-TH"/>
              </w:rPr>
            </w:pPr>
          </w:p>
          <w:p w:rsidR="00F838C5" w:rsidRDefault="00F838C5" w:rsidP="001363EE">
            <w:pPr>
              <w:pStyle w:val="Default"/>
              <w:rPr>
                <w:sz w:val="16"/>
                <w:szCs w:val="16"/>
                <w:lang w:bidi="th-TH"/>
              </w:rPr>
            </w:pPr>
            <w:r w:rsidRPr="000A1DBE">
              <w:rPr>
                <w:i/>
                <w:sz w:val="16"/>
                <w:szCs w:val="16"/>
                <w:lang w:bidi="th-TH"/>
              </w:rPr>
              <w:t xml:space="preserve">Original Baseline P&amp;B 2014/15: </w:t>
            </w:r>
            <w:r w:rsidRPr="000A1DBE">
              <w:rPr>
                <w:sz w:val="16"/>
                <w:szCs w:val="16"/>
                <w:lang w:bidi="th-TH"/>
              </w:rPr>
              <w:t>80% satisfactory rate</w:t>
            </w:r>
          </w:p>
          <w:p w:rsidR="00F838C5" w:rsidRPr="000A1DBE" w:rsidRDefault="00F838C5" w:rsidP="001363EE">
            <w:pPr>
              <w:pStyle w:val="Default"/>
              <w:rPr>
                <w:i/>
                <w:color w:val="002060"/>
                <w:sz w:val="16"/>
                <w:szCs w:val="16"/>
              </w:rPr>
            </w:pPr>
          </w:p>
        </w:tc>
        <w:tc>
          <w:tcPr>
            <w:tcW w:w="848" w:type="pct"/>
            <w:gridSpan w:val="2"/>
            <w:tcBorders>
              <w:top w:val="nil"/>
              <w:bottom w:val="single" w:sz="4" w:space="0" w:color="auto"/>
            </w:tcBorders>
            <w:shd w:val="clear" w:color="auto" w:fill="auto"/>
            <w:tcMar>
              <w:top w:w="110" w:type="dxa"/>
            </w:tcMar>
          </w:tcPr>
          <w:p w:rsidR="00F838C5" w:rsidRPr="000A1DBE" w:rsidRDefault="00F838C5" w:rsidP="001363EE">
            <w:pPr>
              <w:rPr>
                <w:rFonts w:eastAsia="Batang" w:cs="Arial"/>
                <w:sz w:val="16"/>
                <w:szCs w:val="16"/>
                <w:lang w:eastAsia="ja-JP"/>
              </w:rPr>
            </w:pPr>
            <w:r w:rsidRPr="000A1DBE">
              <w:rPr>
                <w:rFonts w:eastAsia="Batang" w:cs="Arial"/>
                <w:sz w:val="16"/>
                <w:szCs w:val="16"/>
                <w:lang w:eastAsia="ja-JP"/>
              </w:rPr>
              <w:t>80% of countries that received technical assistance</w:t>
            </w:r>
          </w:p>
        </w:tc>
        <w:tc>
          <w:tcPr>
            <w:tcW w:w="1095" w:type="pct"/>
            <w:gridSpan w:val="3"/>
            <w:tcBorders>
              <w:top w:val="nil"/>
              <w:bottom w:val="single" w:sz="4" w:space="0" w:color="auto"/>
            </w:tcBorders>
            <w:shd w:val="clear" w:color="auto" w:fill="FFFFFF"/>
            <w:tcMar>
              <w:top w:w="110" w:type="dxa"/>
            </w:tcMar>
          </w:tcPr>
          <w:p w:rsidR="00F838C5" w:rsidRPr="000A1DBE" w:rsidRDefault="00F838C5" w:rsidP="001363EE">
            <w:pPr>
              <w:rPr>
                <w:rFonts w:cs="Arial"/>
                <w:sz w:val="16"/>
                <w:szCs w:val="16"/>
                <w:lang w:bidi="th-TH"/>
              </w:rPr>
            </w:pPr>
            <w:r>
              <w:rPr>
                <w:rFonts w:cs="Arial"/>
                <w:sz w:val="16"/>
                <w:szCs w:val="16"/>
                <w:lang w:bidi="th-TH"/>
              </w:rPr>
              <w:t>80% of countries that received technical assistance</w:t>
            </w:r>
          </w:p>
        </w:tc>
        <w:tc>
          <w:tcPr>
            <w:tcW w:w="526" w:type="pct"/>
            <w:gridSpan w:val="2"/>
            <w:tcBorders>
              <w:top w:val="nil"/>
              <w:bottom w:val="single" w:sz="4" w:space="0" w:color="auto"/>
            </w:tcBorders>
            <w:shd w:val="clear" w:color="auto" w:fill="auto"/>
          </w:tcPr>
          <w:p w:rsidR="00F838C5" w:rsidRPr="000A1DBE" w:rsidRDefault="00F838C5" w:rsidP="001363EE">
            <w:pPr>
              <w:jc w:val="center"/>
              <w:rPr>
                <w:rFonts w:cs="Arial"/>
                <w:b/>
                <w:bCs/>
                <w:color w:val="00B050"/>
                <w:sz w:val="16"/>
                <w:szCs w:val="16"/>
              </w:rPr>
            </w:pPr>
            <w:r>
              <w:rPr>
                <w:rFonts w:cs="Arial"/>
                <w:b/>
                <w:bCs/>
                <w:color w:val="00B050"/>
                <w:sz w:val="16"/>
                <w:szCs w:val="16"/>
              </w:rPr>
              <w:t>Fully Achieved</w:t>
            </w:r>
          </w:p>
        </w:tc>
      </w:tr>
      <w:tr w:rsidR="00F838C5" w:rsidRPr="005C50ED" w:rsidTr="00BA6F3B">
        <w:trPr>
          <w:trHeight w:val="430"/>
        </w:trPr>
        <w:tc>
          <w:tcPr>
            <w:tcW w:w="4999" w:type="pct"/>
            <w:gridSpan w:val="10"/>
            <w:tcBorders>
              <w:top w:val="single" w:sz="4" w:space="0" w:color="auto"/>
              <w:bottom w:val="single" w:sz="4" w:space="0" w:color="auto"/>
            </w:tcBorders>
            <w:shd w:val="clear" w:color="auto" w:fill="C6D9F1" w:themeFill="text2" w:themeFillTint="33"/>
            <w:vAlign w:val="center"/>
          </w:tcPr>
          <w:p w:rsidR="00F838C5" w:rsidRPr="005C50ED" w:rsidRDefault="00F838C5" w:rsidP="001363EE">
            <w:pPr>
              <w:keepNext/>
              <w:keepLines/>
              <w:tabs>
                <w:tab w:val="left" w:pos="1452"/>
              </w:tabs>
              <w:ind w:left="1452" w:hanging="1452"/>
              <w:rPr>
                <w:rFonts w:cs="Arial"/>
                <w:b/>
                <w:bCs/>
                <w:sz w:val="16"/>
                <w:szCs w:val="16"/>
              </w:rPr>
            </w:pPr>
            <w:r w:rsidRPr="005C50ED">
              <w:rPr>
                <w:rFonts w:cs="Arial"/>
                <w:b/>
                <w:bCs/>
                <w:sz w:val="16"/>
                <w:szCs w:val="16"/>
              </w:rPr>
              <w:lastRenderedPageBreak/>
              <w:t>Expected Result:</w:t>
            </w:r>
            <w:r w:rsidRPr="005C50ED">
              <w:rPr>
                <w:rFonts w:cs="Arial"/>
                <w:b/>
                <w:bCs/>
                <w:sz w:val="16"/>
                <w:szCs w:val="16"/>
              </w:rPr>
              <w:tab/>
            </w:r>
            <w:r w:rsidRPr="00496B18">
              <w:rPr>
                <w:rFonts w:cs="Arial"/>
                <w:color w:val="000000"/>
                <w:sz w:val="16"/>
                <w:szCs w:val="16"/>
                <w:lang w:bidi="th-TH"/>
              </w:rPr>
              <w:t>V.2 Wider and better use of WIPO economic analysis in policy formulation</w:t>
            </w:r>
          </w:p>
        </w:tc>
      </w:tr>
      <w:tr w:rsidR="00F838C5" w:rsidRPr="005C50ED" w:rsidTr="001363EE">
        <w:tc>
          <w:tcPr>
            <w:tcW w:w="1097" w:type="pct"/>
            <w:tcBorders>
              <w:top w:val="single" w:sz="4" w:space="0" w:color="auto"/>
            </w:tcBorders>
            <w:shd w:val="clear" w:color="auto" w:fill="auto"/>
            <w:vAlign w:val="center"/>
          </w:tcPr>
          <w:p w:rsidR="00F838C5" w:rsidRPr="007727C2" w:rsidRDefault="00F838C5" w:rsidP="001363EE">
            <w:pPr>
              <w:keepNext/>
              <w:keepLines/>
              <w:rPr>
                <w:rFonts w:cs="Arial"/>
                <w:sz w:val="16"/>
                <w:szCs w:val="16"/>
              </w:rPr>
            </w:pPr>
            <w:r w:rsidRPr="0067453C">
              <w:rPr>
                <w:rFonts w:cs="Arial"/>
                <w:b/>
                <w:bCs/>
                <w:sz w:val="16"/>
                <w:szCs w:val="16"/>
              </w:rPr>
              <w:t>Performance Indicators</w:t>
            </w:r>
          </w:p>
        </w:tc>
        <w:tc>
          <w:tcPr>
            <w:tcW w:w="1433" w:type="pct"/>
            <w:gridSpan w:val="2"/>
            <w:tcBorders>
              <w:top w:val="single" w:sz="4" w:space="0" w:color="auto"/>
            </w:tcBorders>
            <w:shd w:val="clear" w:color="auto" w:fill="auto"/>
            <w:vAlign w:val="center"/>
          </w:tcPr>
          <w:p w:rsidR="00F838C5" w:rsidRPr="00434B01" w:rsidRDefault="00F838C5" w:rsidP="001363EE">
            <w:pPr>
              <w:keepNext/>
              <w:keepLines/>
              <w:rPr>
                <w:rFonts w:cs="Arial"/>
                <w:b/>
                <w:bCs/>
                <w:sz w:val="16"/>
                <w:szCs w:val="16"/>
              </w:rPr>
            </w:pPr>
            <w:r w:rsidRPr="007727C2">
              <w:rPr>
                <w:rFonts w:cs="Arial"/>
                <w:b/>
                <w:bCs/>
                <w:sz w:val="16"/>
                <w:szCs w:val="16"/>
              </w:rPr>
              <w:t>Baselines</w:t>
            </w:r>
          </w:p>
        </w:tc>
        <w:tc>
          <w:tcPr>
            <w:tcW w:w="921" w:type="pct"/>
            <w:gridSpan w:val="3"/>
            <w:tcBorders>
              <w:top w:val="single" w:sz="4" w:space="0" w:color="auto"/>
            </w:tcBorders>
            <w:shd w:val="clear" w:color="auto" w:fill="auto"/>
            <w:tcMar>
              <w:top w:w="110" w:type="dxa"/>
            </w:tcMar>
            <w:vAlign w:val="center"/>
          </w:tcPr>
          <w:p w:rsidR="00F838C5" w:rsidRPr="00434B01" w:rsidRDefault="00F838C5" w:rsidP="001363EE">
            <w:pPr>
              <w:keepNext/>
              <w:keepLines/>
              <w:rPr>
                <w:rFonts w:cs="Arial"/>
                <w:b/>
                <w:sz w:val="16"/>
                <w:szCs w:val="16"/>
              </w:rPr>
            </w:pPr>
            <w:r w:rsidRPr="00434B01">
              <w:rPr>
                <w:rFonts w:cs="Arial"/>
                <w:b/>
                <w:sz w:val="16"/>
                <w:szCs w:val="16"/>
              </w:rPr>
              <w:t>Targets</w:t>
            </w:r>
          </w:p>
        </w:tc>
        <w:tc>
          <w:tcPr>
            <w:tcW w:w="1022" w:type="pct"/>
            <w:gridSpan w:val="2"/>
            <w:tcBorders>
              <w:top w:val="single" w:sz="4" w:space="0" w:color="auto"/>
            </w:tcBorders>
            <w:shd w:val="clear" w:color="auto" w:fill="FFFFFF"/>
            <w:tcMar>
              <w:top w:w="110" w:type="dxa"/>
            </w:tcMar>
            <w:vAlign w:val="center"/>
          </w:tcPr>
          <w:p w:rsidR="00F838C5" w:rsidRPr="003B065A" w:rsidRDefault="00F838C5" w:rsidP="001363EE">
            <w:pPr>
              <w:keepNext/>
              <w:keepLines/>
              <w:rPr>
                <w:rFonts w:cs="Arial"/>
                <w:sz w:val="16"/>
                <w:szCs w:val="16"/>
              </w:rPr>
            </w:pPr>
            <w:r w:rsidRPr="00434B01">
              <w:rPr>
                <w:rFonts w:cs="Arial"/>
                <w:b/>
                <w:bCs/>
                <w:sz w:val="16"/>
                <w:szCs w:val="16"/>
              </w:rPr>
              <w:t>Performance Data</w:t>
            </w:r>
          </w:p>
        </w:tc>
        <w:tc>
          <w:tcPr>
            <w:tcW w:w="526" w:type="pct"/>
            <w:gridSpan w:val="2"/>
            <w:tcBorders>
              <w:top w:val="single" w:sz="4" w:space="0" w:color="auto"/>
            </w:tcBorders>
            <w:shd w:val="clear" w:color="auto" w:fill="auto"/>
            <w:tcMar>
              <w:top w:w="110" w:type="dxa"/>
            </w:tcMar>
            <w:vAlign w:val="center"/>
          </w:tcPr>
          <w:p w:rsidR="00F838C5" w:rsidRPr="003B065A" w:rsidRDefault="00F838C5" w:rsidP="001363EE">
            <w:pPr>
              <w:keepNext/>
              <w:keepLines/>
              <w:jc w:val="center"/>
              <w:rPr>
                <w:rFonts w:cs="Arial"/>
                <w:b/>
                <w:bCs/>
                <w:sz w:val="16"/>
                <w:szCs w:val="16"/>
              </w:rPr>
            </w:pPr>
            <w:r w:rsidRPr="003B065A">
              <w:rPr>
                <w:rFonts w:cs="Arial"/>
                <w:b/>
                <w:bCs/>
                <w:sz w:val="16"/>
                <w:szCs w:val="16"/>
              </w:rPr>
              <w:t>TLS</w:t>
            </w:r>
          </w:p>
        </w:tc>
      </w:tr>
      <w:tr w:rsidR="00F838C5" w:rsidRPr="005C50ED" w:rsidTr="001363EE">
        <w:tc>
          <w:tcPr>
            <w:tcW w:w="1097" w:type="pct"/>
            <w:shd w:val="clear" w:color="auto" w:fill="auto"/>
          </w:tcPr>
          <w:p w:rsidR="00F838C5" w:rsidRPr="005A1E0E" w:rsidRDefault="00F838C5" w:rsidP="001363EE">
            <w:pPr>
              <w:keepNext/>
              <w:keepLines/>
              <w:rPr>
                <w:rFonts w:cs="Arial"/>
                <w:sz w:val="16"/>
                <w:szCs w:val="16"/>
                <w:lang w:bidi="th-TH"/>
              </w:rPr>
            </w:pPr>
            <w:r w:rsidRPr="005A1E0E">
              <w:rPr>
                <w:rFonts w:cs="Arial"/>
                <w:sz w:val="16"/>
                <w:szCs w:val="16"/>
                <w:lang w:bidi="th-TH"/>
              </w:rPr>
              <w:t>Use of WIPO economic studies on copyright by governments and NGOs in decision-making</w:t>
            </w:r>
          </w:p>
        </w:tc>
        <w:tc>
          <w:tcPr>
            <w:tcW w:w="1433" w:type="pct"/>
            <w:gridSpan w:val="2"/>
            <w:shd w:val="clear" w:color="auto" w:fill="auto"/>
          </w:tcPr>
          <w:p w:rsidR="00F838C5" w:rsidRPr="005A1E0E" w:rsidRDefault="00F838C5" w:rsidP="001363EE">
            <w:pPr>
              <w:keepNext/>
              <w:keepLines/>
              <w:rPr>
                <w:rFonts w:cs="Arial"/>
                <w:color w:val="002060"/>
                <w:sz w:val="16"/>
                <w:szCs w:val="16"/>
                <w:lang w:bidi="th-TH"/>
              </w:rPr>
            </w:pPr>
            <w:r w:rsidRPr="005A1E0E">
              <w:rPr>
                <w:rFonts w:cs="Arial"/>
                <w:i/>
                <w:color w:val="002060"/>
                <w:sz w:val="16"/>
                <w:szCs w:val="16"/>
              </w:rPr>
              <w:t>Updated Baseline end 2013:</w:t>
            </w:r>
          </w:p>
          <w:p w:rsidR="00F838C5" w:rsidRPr="005A1E0E" w:rsidRDefault="00F838C5" w:rsidP="001363EE">
            <w:pPr>
              <w:keepNext/>
              <w:keepLines/>
              <w:rPr>
                <w:rFonts w:cs="Arial"/>
                <w:color w:val="002060"/>
                <w:sz w:val="16"/>
                <w:szCs w:val="16"/>
                <w:lang w:bidi="th-TH"/>
              </w:rPr>
            </w:pPr>
            <w:r w:rsidRPr="005A1E0E">
              <w:rPr>
                <w:rFonts w:cs="Arial"/>
                <w:color w:val="002060"/>
                <w:sz w:val="16"/>
                <w:szCs w:val="16"/>
                <w:lang w:bidi="th-TH"/>
              </w:rPr>
              <w:t xml:space="preserve">10 countries in 2012/13:  Bulgaria, China, Colombia, Croatia, Jamaica, Kenya, Malaysia, the United Republic of Tanzania, Thailand and Trinidad and Tobago </w:t>
            </w:r>
            <w:r w:rsidRPr="005A1E0E">
              <w:rPr>
                <w:rFonts w:cs="Arial"/>
                <w:i/>
                <w:color w:val="002060"/>
                <w:sz w:val="16"/>
                <w:szCs w:val="16"/>
              </w:rPr>
              <w:t xml:space="preserve"> </w:t>
            </w:r>
            <w:r w:rsidRPr="005A1E0E">
              <w:rPr>
                <w:rFonts w:cs="Arial"/>
                <w:color w:val="002060"/>
                <w:sz w:val="16"/>
                <w:szCs w:val="16"/>
                <w:lang w:bidi="th-TH"/>
              </w:rPr>
              <w:t xml:space="preserve"> </w:t>
            </w:r>
          </w:p>
          <w:p w:rsidR="00F838C5" w:rsidRPr="005A1E0E" w:rsidRDefault="00F838C5" w:rsidP="001363EE">
            <w:pPr>
              <w:keepNext/>
              <w:keepLines/>
              <w:rPr>
                <w:rFonts w:cs="Arial"/>
                <w:sz w:val="8"/>
                <w:szCs w:val="8"/>
                <w:lang w:bidi="th-TH"/>
              </w:rPr>
            </w:pPr>
          </w:p>
          <w:p w:rsidR="00F838C5" w:rsidRPr="005A1E0E" w:rsidRDefault="00F838C5" w:rsidP="001363EE">
            <w:pPr>
              <w:keepNext/>
              <w:keepLines/>
              <w:rPr>
                <w:rFonts w:cs="Arial"/>
                <w:sz w:val="16"/>
                <w:szCs w:val="16"/>
                <w:lang w:bidi="th-TH"/>
              </w:rPr>
            </w:pPr>
            <w:r w:rsidRPr="005A1E0E">
              <w:rPr>
                <w:rFonts w:cs="Arial"/>
                <w:i/>
                <w:sz w:val="16"/>
                <w:szCs w:val="16"/>
                <w:lang w:bidi="th-TH"/>
              </w:rPr>
              <w:t>Original Baseline P&amp;B 2014/15</w:t>
            </w:r>
            <w:r w:rsidRPr="005A1E0E">
              <w:rPr>
                <w:rFonts w:cs="Arial"/>
                <w:sz w:val="16"/>
                <w:szCs w:val="16"/>
                <w:lang w:bidi="th-TH"/>
              </w:rPr>
              <w:t>:  Eight governments or NGOs using WIPO studies</w:t>
            </w:r>
          </w:p>
          <w:p w:rsidR="00F838C5" w:rsidRPr="005A1E0E" w:rsidRDefault="00F838C5" w:rsidP="001363EE">
            <w:pPr>
              <w:keepNext/>
              <w:keepLines/>
              <w:rPr>
                <w:rFonts w:cs="Arial"/>
                <w:sz w:val="16"/>
                <w:szCs w:val="16"/>
                <w:lang w:bidi="th-TH"/>
              </w:rPr>
            </w:pPr>
          </w:p>
        </w:tc>
        <w:tc>
          <w:tcPr>
            <w:tcW w:w="921" w:type="pct"/>
            <w:gridSpan w:val="3"/>
            <w:shd w:val="clear" w:color="auto" w:fill="auto"/>
            <w:tcMar>
              <w:top w:w="110" w:type="dxa"/>
            </w:tcMar>
          </w:tcPr>
          <w:p w:rsidR="00F838C5" w:rsidRPr="005A1E0E" w:rsidRDefault="00F838C5" w:rsidP="001363EE">
            <w:pPr>
              <w:keepNext/>
              <w:keepLines/>
              <w:rPr>
                <w:rFonts w:cs="Arial"/>
                <w:sz w:val="16"/>
                <w:szCs w:val="16"/>
                <w:lang w:bidi="th-TH"/>
              </w:rPr>
            </w:pPr>
            <w:r w:rsidRPr="005A1E0E">
              <w:rPr>
                <w:rFonts w:cs="Arial"/>
                <w:sz w:val="16"/>
                <w:szCs w:val="16"/>
                <w:lang w:bidi="th-TH"/>
              </w:rPr>
              <w:t>12 governments or NGOS using WIPO studies (cumulative)</w:t>
            </w:r>
          </w:p>
        </w:tc>
        <w:tc>
          <w:tcPr>
            <w:tcW w:w="1022" w:type="pct"/>
            <w:gridSpan w:val="2"/>
            <w:shd w:val="clear" w:color="auto" w:fill="FFFFFF"/>
            <w:tcMar>
              <w:top w:w="110" w:type="dxa"/>
            </w:tcMar>
          </w:tcPr>
          <w:p w:rsidR="00F838C5" w:rsidRPr="005A1E0E" w:rsidRDefault="00F838C5" w:rsidP="001363EE">
            <w:pPr>
              <w:keepNext/>
              <w:keepLines/>
              <w:rPr>
                <w:rFonts w:cs="Arial"/>
                <w:sz w:val="16"/>
                <w:szCs w:val="16"/>
                <w:lang w:bidi="th-TH"/>
              </w:rPr>
            </w:pPr>
            <w:r w:rsidRPr="005A1E0E">
              <w:rPr>
                <w:rFonts w:cs="Arial"/>
                <w:sz w:val="16"/>
                <w:szCs w:val="16"/>
                <w:lang w:bidi="th-TH"/>
              </w:rPr>
              <w:t>13 additional countries and NGOs (Finland, Indonesia, Latvia, Lithuania, Malawi, Moldova, Netherlands, Philippines, Republic of Korea, Serbia, United States of America, CERLALC and SERCI</w:t>
            </w:r>
            <w:r>
              <w:rPr>
                <w:rFonts w:cs="Arial"/>
                <w:sz w:val="16"/>
                <w:szCs w:val="16"/>
                <w:lang w:bidi="th-TH"/>
              </w:rPr>
              <w:t>) using WIPO studies</w:t>
            </w:r>
          </w:p>
          <w:p w:rsidR="00F838C5" w:rsidRPr="005A1E0E" w:rsidRDefault="00F838C5" w:rsidP="001363EE">
            <w:pPr>
              <w:keepNext/>
              <w:keepLines/>
              <w:rPr>
                <w:rFonts w:cs="Arial"/>
                <w:sz w:val="16"/>
                <w:szCs w:val="16"/>
                <w:lang w:bidi="th-TH"/>
              </w:rPr>
            </w:pPr>
          </w:p>
          <w:p w:rsidR="00F838C5" w:rsidRPr="005A1E0E" w:rsidRDefault="00F838C5" w:rsidP="001363EE">
            <w:pPr>
              <w:keepNext/>
              <w:keepLines/>
              <w:rPr>
                <w:rFonts w:cs="Arial"/>
                <w:sz w:val="16"/>
                <w:szCs w:val="16"/>
                <w:lang w:bidi="th-TH"/>
              </w:rPr>
            </w:pPr>
            <w:r w:rsidRPr="005A1E0E">
              <w:rPr>
                <w:rFonts w:cs="Arial"/>
                <w:sz w:val="16"/>
                <w:szCs w:val="16"/>
                <w:lang w:bidi="th-TH"/>
              </w:rPr>
              <w:t>23 countries and NGOs (cumulative)</w:t>
            </w:r>
          </w:p>
        </w:tc>
        <w:tc>
          <w:tcPr>
            <w:tcW w:w="526" w:type="pct"/>
            <w:gridSpan w:val="2"/>
            <w:shd w:val="clear" w:color="auto" w:fill="auto"/>
            <w:tcMar>
              <w:top w:w="110" w:type="dxa"/>
            </w:tcMar>
          </w:tcPr>
          <w:p w:rsidR="00F838C5" w:rsidRPr="005A1E0E" w:rsidRDefault="00F838C5" w:rsidP="001363EE">
            <w:pPr>
              <w:keepNext/>
              <w:keepLines/>
              <w:jc w:val="center"/>
              <w:rPr>
                <w:rFonts w:cs="Arial"/>
                <w:sz w:val="16"/>
                <w:szCs w:val="16"/>
              </w:rPr>
            </w:pPr>
            <w:r w:rsidRPr="005A1E0E">
              <w:rPr>
                <w:rFonts w:cs="Arial"/>
                <w:b/>
                <w:bCs/>
                <w:color w:val="00B050"/>
                <w:sz w:val="16"/>
                <w:szCs w:val="16"/>
              </w:rPr>
              <w:t>Fully Achieved</w:t>
            </w:r>
          </w:p>
        </w:tc>
      </w:tr>
      <w:tr w:rsidR="00F838C5" w:rsidRPr="005C50ED" w:rsidTr="001363EE">
        <w:tc>
          <w:tcPr>
            <w:tcW w:w="1097" w:type="pct"/>
            <w:shd w:val="clear" w:color="auto" w:fill="auto"/>
          </w:tcPr>
          <w:p w:rsidR="00F838C5" w:rsidRPr="005A1E0E" w:rsidRDefault="00F838C5" w:rsidP="001363EE">
            <w:pPr>
              <w:rPr>
                <w:rFonts w:cs="Arial"/>
                <w:sz w:val="16"/>
                <w:szCs w:val="16"/>
                <w:lang w:bidi="th-TH"/>
              </w:rPr>
            </w:pPr>
            <w:r w:rsidRPr="005A1E0E">
              <w:rPr>
                <w:rFonts w:cs="Arial"/>
                <w:sz w:val="16"/>
                <w:szCs w:val="16"/>
                <w:lang w:bidi="th-TH"/>
              </w:rPr>
              <w:t xml:space="preserve">National initiatives to develop further statistics on the creative industries based upon WIPO’s work in the field </w:t>
            </w:r>
          </w:p>
        </w:tc>
        <w:tc>
          <w:tcPr>
            <w:tcW w:w="1433" w:type="pct"/>
            <w:gridSpan w:val="2"/>
            <w:shd w:val="clear" w:color="auto" w:fill="auto"/>
          </w:tcPr>
          <w:p w:rsidR="00F838C5" w:rsidRPr="005A1E0E" w:rsidRDefault="00F838C5" w:rsidP="001363EE">
            <w:pPr>
              <w:rPr>
                <w:rFonts w:cs="Arial"/>
                <w:sz w:val="16"/>
                <w:szCs w:val="16"/>
                <w:lang w:bidi="th-TH"/>
              </w:rPr>
            </w:pPr>
            <w:r w:rsidRPr="005A1E0E">
              <w:rPr>
                <w:rFonts w:cs="Arial"/>
                <w:sz w:val="16"/>
                <w:szCs w:val="16"/>
                <w:lang w:bidi="th-TH"/>
              </w:rPr>
              <w:t>10 national initiatives (Bulgaria, China, Colombia, Croatia, Jamaica, Kenya, Malaysia, Thailand, Trinidad and Tobago, the United Republic of Tanzania).</w:t>
            </w:r>
          </w:p>
          <w:p w:rsidR="00F838C5" w:rsidRPr="005A1E0E" w:rsidRDefault="00F838C5" w:rsidP="001363EE">
            <w:pPr>
              <w:rPr>
                <w:rFonts w:cs="Arial"/>
                <w:sz w:val="16"/>
                <w:szCs w:val="16"/>
                <w:lang w:bidi="th-TH"/>
              </w:rPr>
            </w:pPr>
          </w:p>
        </w:tc>
        <w:tc>
          <w:tcPr>
            <w:tcW w:w="921" w:type="pct"/>
            <w:gridSpan w:val="3"/>
            <w:shd w:val="clear" w:color="auto" w:fill="auto"/>
            <w:tcMar>
              <w:top w:w="110" w:type="dxa"/>
            </w:tcMar>
          </w:tcPr>
          <w:p w:rsidR="00F838C5" w:rsidRPr="005A1E0E" w:rsidRDefault="00F838C5" w:rsidP="001363EE">
            <w:pPr>
              <w:pStyle w:val="Default"/>
              <w:rPr>
                <w:color w:val="auto"/>
                <w:sz w:val="16"/>
                <w:szCs w:val="16"/>
              </w:rPr>
            </w:pPr>
            <w:r w:rsidRPr="005A1E0E">
              <w:rPr>
                <w:color w:val="auto"/>
                <w:sz w:val="16"/>
                <w:szCs w:val="16"/>
              </w:rPr>
              <w:t>15 national initiatives (cumulative)</w:t>
            </w:r>
          </w:p>
        </w:tc>
        <w:tc>
          <w:tcPr>
            <w:tcW w:w="1022" w:type="pct"/>
            <w:gridSpan w:val="2"/>
            <w:shd w:val="clear" w:color="auto" w:fill="FFFFFF"/>
            <w:tcMar>
              <w:top w:w="110" w:type="dxa"/>
            </w:tcMar>
          </w:tcPr>
          <w:p w:rsidR="00F838C5" w:rsidRPr="002F0852" w:rsidRDefault="00F838C5" w:rsidP="001363EE">
            <w:pPr>
              <w:rPr>
                <w:rFonts w:cs="Arial"/>
                <w:sz w:val="16"/>
                <w:szCs w:val="16"/>
                <w:lang w:bidi="th-TH"/>
              </w:rPr>
            </w:pPr>
            <w:r w:rsidRPr="002F0852">
              <w:rPr>
                <w:rFonts w:cs="Arial"/>
                <w:sz w:val="16"/>
                <w:szCs w:val="16"/>
                <w:lang w:bidi="th-TH"/>
              </w:rPr>
              <w:t>1 additional national initiative (Finland) in 2014, work in this area was discontinued in 2015</w:t>
            </w:r>
          </w:p>
          <w:p w:rsidR="00F838C5" w:rsidRPr="002F0852" w:rsidRDefault="00F838C5" w:rsidP="001363EE">
            <w:pPr>
              <w:rPr>
                <w:rFonts w:cs="Arial"/>
                <w:sz w:val="16"/>
                <w:szCs w:val="16"/>
                <w:lang w:bidi="th-TH"/>
              </w:rPr>
            </w:pPr>
          </w:p>
          <w:p w:rsidR="00F838C5" w:rsidRDefault="00F838C5" w:rsidP="001363EE">
            <w:pPr>
              <w:rPr>
                <w:rFonts w:cs="Arial"/>
                <w:sz w:val="16"/>
                <w:szCs w:val="16"/>
                <w:lang w:bidi="th-TH"/>
              </w:rPr>
            </w:pPr>
            <w:r w:rsidRPr="002F0852">
              <w:rPr>
                <w:rFonts w:cs="Arial"/>
                <w:sz w:val="16"/>
                <w:szCs w:val="16"/>
                <w:lang w:bidi="th-TH"/>
              </w:rPr>
              <w:t>11 national initiatives (cumulative)</w:t>
            </w:r>
          </w:p>
          <w:p w:rsidR="00F838C5" w:rsidRPr="002F0852" w:rsidRDefault="00F838C5" w:rsidP="001363EE">
            <w:pPr>
              <w:rPr>
                <w:rFonts w:cs="Arial"/>
                <w:sz w:val="16"/>
                <w:szCs w:val="16"/>
                <w:lang w:bidi="th-TH"/>
              </w:rPr>
            </w:pPr>
          </w:p>
        </w:tc>
        <w:tc>
          <w:tcPr>
            <w:tcW w:w="526" w:type="pct"/>
            <w:gridSpan w:val="2"/>
            <w:shd w:val="clear" w:color="auto" w:fill="auto"/>
          </w:tcPr>
          <w:p w:rsidR="00F838C5" w:rsidRPr="005A1E0E" w:rsidRDefault="00F838C5" w:rsidP="001363EE">
            <w:pPr>
              <w:jc w:val="center"/>
              <w:rPr>
                <w:rFonts w:cs="Arial"/>
                <w:b/>
                <w:bCs/>
                <w:color w:val="808080"/>
                <w:sz w:val="13"/>
                <w:szCs w:val="13"/>
              </w:rPr>
            </w:pPr>
            <w:r w:rsidRPr="005A1E0E">
              <w:rPr>
                <w:rFonts w:cs="Arial"/>
                <w:b/>
                <w:bCs/>
                <w:sz w:val="13"/>
                <w:szCs w:val="13"/>
              </w:rPr>
              <w:t>Dis-continued</w:t>
            </w:r>
          </w:p>
          <w:p w:rsidR="00F838C5" w:rsidRPr="00157CF9" w:rsidRDefault="00F838C5" w:rsidP="001363EE">
            <w:pPr>
              <w:tabs>
                <w:tab w:val="center" w:pos="4536"/>
                <w:tab w:val="right" w:pos="9072"/>
              </w:tabs>
              <w:jc w:val="center"/>
              <w:rPr>
                <w:rFonts w:cs="Arial"/>
                <w:sz w:val="13"/>
                <w:szCs w:val="13"/>
              </w:rPr>
            </w:pPr>
          </w:p>
        </w:tc>
      </w:tr>
    </w:tbl>
    <w:p w:rsidR="00F838C5" w:rsidRPr="00383D2D" w:rsidRDefault="00F838C5" w:rsidP="00A8525E">
      <w:pPr>
        <w:rPr>
          <w:szCs w:val="20"/>
        </w:rPr>
      </w:pPr>
    </w:p>
    <w:p w:rsidR="00F838C5" w:rsidRDefault="00F838C5" w:rsidP="001363EE">
      <w:pPr>
        <w:keepNext/>
        <w:keepLines/>
        <w:rPr>
          <w:rFonts w:cs="Arial"/>
          <w:color w:val="000000"/>
          <w:sz w:val="22"/>
          <w:szCs w:val="22"/>
        </w:rPr>
      </w:pPr>
    </w:p>
    <w:p w:rsidR="00F838C5" w:rsidRPr="00AF7B5A" w:rsidRDefault="00F838C5" w:rsidP="001363EE">
      <w:pPr>
        <w:keepNext/>
        <w:keepLines/>
        <w:rPr>
          <w:rFonts w:cs="Arial"/>
          <w:color w:val="000000"/>
          <w:szCs w:val="22"/>
        </w:rPr>
      </w:pPr>
      <w:r w:rsidRPr="00AF7B5A">
        <w:rPr>
          <w:rFonts w:cs="Arial"/>
          <w:color w:val="000000"/>
          <w:szCs w:val="22"/>
        </w:rPr>
        <w:t>RISK REPORTING FOR THE BIENNIUM</w:t>
      </w:r>
    </w:p>
    <w:p w:rsidR="00F838C5" w:rsidRDefault="00F838C5" w:rsidP="001363EE">
      <w:pPr>
        <w:rPr>
          <w:rFonts w:cs="Arial"/>
          <w:color w:val="000000"/>
          <w:sz w:val="22"/>
          <w:szCs w:val="22"/>
        </w:rPr>
      </w:pPr>
    </w:p>
    <w:tbl>
      <w:tblPr>
        <w:tblW w:w="0" w:type="auto"/>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2420"/>
        <w:gridCol w:w="2200"/>
        <w:gridCol w:w="2310"/>
        <w:gridCol w:w="2426"/>
      </w:tblGrid>
      <w:tr w:rsidR="00F838C5" w:rsidTr="001363EE">
        <w:trPr>
          <w:trHeight w:val="417"/>
        </w:trPr>
        <w:tc>
          <w:tcPr>
            <w:tcW w:w="2420" w:type="dxa"/>
            <w:tcBorders>
              <w:top w:val="single" w:sz="4" w:space="0" w:color="auto"/>
              <w:left w:val="single" w:sz="4" w:space="0" w:color="auto"/>
              <w:bottom w:val="single" w:sz="4" w:space="0" w:color="auto"/>
              <w:right w:val="nil"/>
            </w:tcBorders>
            <w:shd w:val="clear" w:color="auto" w:fill="C6D9F1" w:themeFill="text2" w:themeFillTint="33"/>
            <w:tcMar>
              <w:top w:w="113" w:type="dxa"/>
              <w:left w:w="108" w:type="dxa"/>
              <w:bottom w:w="113" w:type="dxa"/>
              <w:right w:w="108" w:type="dxa"/>
            </w:tcMar>
            <w:vAlign w:val="center"/>
            <w:hideMark/>
          </w:tcPr>
          <w:p w:rsidR="00F838C5" w:rsidRDefault="00F838C5">
            <w:pPr>
              <w:autoSpaceDE w:val="0"/>
              <w:autoSpaceDN w:val="0"/>
              <w:adjustRightInd w:val="0"/>
              <w:spacing w:line="276" w:lineRule="auto"/>
              <w:ind w:right="-59"/>
              <w:jc w:val="center"/>
              <w:rPr>
                <w:b/>
                <w:sz w:val="18"/>
                <w:szCs w:val="18"/>
              </w:rPr>
            </w:pPr>
            <w:r>
              <w:rPr>
                <w:b/>
                <w:sz w:val="18"/>
                <w:szCs w:val="18"/>
              </w:rPr>
              <w:t>Risk(s) to the Program achieving its Results</w:t>
            </w:r>
          </w:p>
        </w:tc>
        <w:tc>
          <w:tcPr>
            <w:tcW w:w="2200" w:type="dxa"/>
            <w:tcBorders>
              <w:top w:val="single" w:sz="4" w:space="0" w:color="auto"/>
              <w:left w:val="nil"/>
              <w:bottom w:val="single" w:sz="4" w:space="0" w:color="auto"/>
              <w:right w:val="nil"/>
            </w:tcBorders>
            <w:shd w:val="clear" w:color="auto" w:fill="C6D9F1" w:themeFill="text2" w:themeFillTint="33"/>
            <w:tcMar>
              <w:top w:w="113" w:type="dxa"/>
              <w:left w:w="108" w:type="dxa"/>
              <w:bottom w:w="113" w:type="dxa"/>
              <w:right w:w="108" w:type="dxa"/>
            </w:tcMar>
            <w:vAlign w:val="center"/>
            <w:hideMark/>
          </w:tcPr>
          <w:p w:rsidR="00F838C5" w:rsidRDefault="00F838C5">
            <w:pPr>
              <w:autoSpaceDE w:val="0"/>
              <w:autoSpaceDN w:val="0"/>
              <w:adjustRightInd w:val="0"/>
              <w:spacing w:line="276" w:lineRule="auto"/>
              <w:ind w:right="-59"/>
              <w:jc w:val="center"/>
              <w:rPr>
                <w:b/>
                <w:sz w:val="18"/>
                <w:szCs w:val="18"/>
              </w:rPr>
            </w:pPr>
            <w:r>
              <w:rPr>
                <w:b/>
                <w:sz w:val="18"/>
                <w:szCs w:val="18"/>
              </w:rPr>
              <w:t xml:space="preserve">Mitigation plans in place or under implementation </w:t>
            </w:r>
          </w:p>
        </w:tc>
        <w:tc>
          <w:tcPr>
            <w:tcW w:w="2310" w:type="dxa"/>
            <w:tcBorders>
              <w:top w:val="single" w:sz="4" w:space="0" w:color="auto"/>
              <w:left w:val="nil"/>
              <w:bottom w:val="single" w:sz="4" w:space="0" w:color="auto"/>
              <w:right w:val="nil"/>
            </w:tcBorders>
            <w:shd w:val="clear" w:color="auto" w:fill="C6D9F1" w:themeFill="text2" w:themeFillTint="33"/>
            <w:hideMark/>
          </w:tcPr>
          <w:p w:rsidR="00F838C5" w:rsidRDefault="00F838C5">
            <w:pPr>
              <w:spacing w:line="276" w:lineRule="auto"/>
              <w:jc w:val="center"/>
              <w:rPr>
                <w:b/>
                <w:bCs/>
                <w:sz w:val="18"/>
                <w:szCs w:val="18"/>
              </w:rPr>
            </w:pPr>
            <w:r>
              <w:rPr>
                <w:b/>
                <w:bCs/>
                <w:sz w:val="18"/>
                <w:szCs w:val="18"/>
              </w:rPr>
              <w:t>Evolution of Risk(s) and Mitigation Strategies Over the Biennium</w:t>
            </w:r>
          </w:p>
        </w:tc>
        <w:tc>
          <w:tcPr>
            <w:tcW w:w="2426" w:type="dxa"/>
            <w:tcBorders>
              <w:top w:val="single" w:sz="4" w:space="0" w:color="auto"/>
              <w:left w:val="nil"/>
              <w:bottom w:val="single" w:sz="4" w:space="0" w:color="auto"/>
              <w:right w:val="single" w:sz="4" w:space="0" w:color="auto"/>
            </w:tcBorders>
            <w:shd w:val="clear" w:color="auto" w:fill="C6D9F1" w:themeFill="text2" w:themeFillTint="33"/>
            <w:hideMark/>
          </w:tcPr>
          <w:p w:rsidR="00F838C5" w:rsidRDefault="00F838C5">
            <w:pPr>
              <w:spacing w:line="276" w:lineRule="auto"/>
              <w:jc w:val="center"/>
              <w:rPr>
                <w:b/>
                <w:bCs/>
                <w:sz w:val="18"/>
                <w:szCs w:val="18"/>
              </w:rPr>
            </w:pPr>
            <w:r>
              <w:rPr>
                <w:b/>
                <w:bCs/>
                <w:sz w:val="18"/>
                <w:szCs w:val="18"/>
              </w:rPr>
              <w:t>Impact on the Program’s Performance</w:t>
            </w:r>
          </w:p>
        </w:tc>
      </w:tr>
      <w:tr w:rsidR="00F838C5" w:rsidTr="001363EE">
        <w:trPr>
          <w:trHeight w:val="744"/>
        </w:trPr>
        <w:tc>
          <w:tcPr>
            <w:tcW w:w="2420" w:type="dxa"/>
            <w:tcBorders>
              <w:top w:val="single" w:sz="4" w:space="0" w:color="auto"/>
              <w:left w:val="single" w:sz="4" w:space="0" w:color="auto"/>
              <w:bottom w:val="single" w:sz="4" w:space="0" w:color="auto"/>
              <w:right w:val="nil"/>
            </w:tcBorders>
            <w:tcMar>
              <w:top w:w="113" w:type="dxa"/>
              <w:left w:w="108" w:type="dxa"/>
              <w:bottom w:w="113" w:type="dxa"/>
              <w:right w:w="108" w:type="dxa"/>
            </w:tcMar>
            <w:hideMark/>
          </w:tcPr>
          <w:p w:rsidR="00F838C5" w:rsidRDefault="00F838C5">
            <w:pPr>
              <w:tabs>
                <w:tab w:val="left" w:pos="1170"/>
              </w:tabs>
              <w:spacing w:line="276" w:lineRule="auto"/>
              <w:rPr>
                <w:sz w:val="16"/>
                <w:szCs w:val="16"/>
              </w:rPr>
            </w:pPr>
            <w:r>
              <w:rPr>
                <w:sz w:val="16"/>
                <w:szCs w:val="16"/>
              </w:rPr>
              <w:t>Technology and Innovation: Inability of the copyright system to adapt to rapid technological and media changes threatens to undermine the relevance of the copyright system.</w:t>
            </w:r>
          </w:p>
        </w:tc>
        <w:tc>
          <w:tcPr>
            <w:tcW w:w="2200" w:type="dxa"/>
            <w:tcBorders>
              <w:top w:val="single" w:sz="4" w:space="0" w:color="auto"/>
              <w:left w:val="nil"/>
              <w:bottom w:val="single" w:sz="4" w:space="0" w:color="auto"/>
              <w:right w:val="nil"/>
            </w:tcBorders>
            <w:tcMar>
              <w:top w:w="113" w:type="dxa"/>
              <w:left w:w="108" w:type="dxa"/>
              <w:bottom w:w="113" w:type="dxa"/>
              <w:right w:w="108" w:type="dxa"/>
            </w:tcMar>
            <w:hideMark/>
          </w:tcPr>
          <w:p w:rsidR="00F838C5" w:rsidRDefault="00F838C5">
            <w:pPr>
              <w:autoSpaceDE w:val="0"/>
              <w:autoSpaceDN w:val="0"/>
              <w:adjustRightInd w:val="0"/>
              <w:spacing w:line="276" w:lineRule="auto"/>
              <w:ind w:right="-59"/>
              <w:rPr>
                <w:sz w:val="16"/>
                <w:szCs w:val="16"/>
              </w:rPr>
            </w:pPr>
            <w:r>
              <w:rPr>
                <w:sz w:val="16"/>
                <w:szCs w:val="16"/>
              </w:rPr>
              <w:t>Continuation of awareness-raising activities and initiatives to demonstrate the importance of copyright and to confirm its value and 'fit' in the evolving technological landscape.</w:t>
            </w:r>
          </w:p>
        </w:tc>
        <w:tc>
          <w:tcPr>
            <w:tcW w:w="2310" w:type="dxa"/>
            <w:tcBorders>
              <w:top w:val="single" w:sz="4" w:space="0" w:color="auto"/>
              <w:left w:val="nil"/>
              <w:bottom w:val="single" w:sz="4" w:space="0" w:color="auto"/>
              <w:right w:val="nil"/>
            </w:tcBorders>
          </w:tcPr>
          <w:p w:rsidR="00F838C5" w:rsidRPr="00704B94" w:rsidRDefault="00F838C5" w:rsidP="001363EE">
            <w:pPr>
              <w:autoSpaceDE w:val="0"/>
              <w:autoSpaceDN w:val="0"/>
              <w:adjustRightInd w:val="0"/>
              <w:spacing w:line="276" w:lineRule="auto"/>
              <w:ind w:right="-59"/>
              <w:rPr>
                <w:rFonts w:cs="Arial"/>
                <w:sz w:val="16"/>
                <w:szCs w:val="16"/>
              </w:rPr>
            </w:pPr>
            <w:r w:rsidRPr="00423BF2">
              <w:rPr>
                <w:rFonts w:cs="Arial"/>
                <w:sz w:val="16"/>
                <w:szCs w:val="16"/>
              </w:rPr>
              <w:t>The rapid technological evolution continue</w:t>
            </w:r>
            <w:r>
              <w:rPr>
                <w:rFonts w:cs="Arial"/>
                <w:sz w:val="16"/>
                <w:szCs w:val="16"/>
              </w:rPr>
              <w:t>d as</w:t>
            </w:r>
            <w:r w:rsidRPr="00423BF2">
              <w:rPr>
                <w:rFonts w:cs="Arial"/>
                <w:sz w:val="16"/>
                <w:szCs w:val="16"/>
              </w:rPr>
              <w:t xml:space="preserve"> technologies evolve</w:t>
            </w:r>
            <w:r>
              <w:rPr>
                <w:rFonts w:cs="Arial"/>
                <w:sz w:val="16"/>
                <w:szCs w:val="16"/>
              </w:rPr>
              <w:t>d</w:t>
            </w:r>
            <w:r w:rsidRPr="00423BF2">
              <w:rPr>
                <w:rFonts w:cs="Arial"/>
                <w:sz w:val="16"/>
                <w:szCs w:val="16"/>
              </w:rPr>
              <w:t xml:space="preserve"> and change</w:t>
            </w:r>
            <w:r>
              <w:rPr>
                <w:rFonts w:cs="Arial"/>
                <w:sz w:val="16"/>
                <w:szCs w:val="16"/>
              </w:rPr>
              <w:t>d</w:t>
            </w:r>
            <w:r w:rsidRPr="00423BF2">
              <w:rPr>
                <w:rFonts w:cs="Arial"/>
                <w:sz w:val="16"/>
                <w:szCs w:val="16"/>
              </w:rPr>
              <w:t xml:space="preserve">; thus the risk and mitigation strategies </w:t>
            </w:r>
            <w:r>
              <w:rPr>
                <w:rFonts w:cs="Arial"/>
                <w:sz w:val="16"/>
                <w:szCs w:val="16"/>
              </w:rPr>
              <w:t>did not</w:t>
            </w:r>
            <w:r w:rsidRPr="00423BF2">
              <w:rPr>
                <w:rFonts w:cs="Arial"/>
                <w:sz w:val="16"/>
                <w:szCs w:val="16"/>
              </w:rPr>
              <w:t xml:space="preserve"> change to any marked extent over the biennium.</w:t>
            </w:r>
            <w:r>
              <w:rPr>
                <w:rFonts w:cs="Arial"/>
                <w:sz w:val="16"/>
                <w:szCs w:val="16"/>
              </w:rPr>
              <w:t xml:space="preserve"> </w:t>
            </w:r>
          </w:p>
        </w:tc>
        <w:tc>
          <w:tcPr>
            <w:tcW w:w="2426" w:type="dxa"/>
            <w:tcBorders>
              <w:top w:val="single" w:sz="4" w:space="0" w:color="auto"/>
              <w:left w:val="nil"/>
              <w:bottom w:val="single" w:sz="4" w:space="0" w:color="auto"/>
              <w:right w:val="single" w:sz="4" w:space="0" w:color="auto"/>
            </w:tcBorders>
          </w:tcPr>
          <w:p w:rsidR="00F838C5" w:rsidRDefault="00F838C5" w:rsidP="001363EE">
            <w:pPr>
              <w:autoSpaceDE w:val="0"/>
              <w:autoSpaceDN w:val="0"/>
              <w:adjustRightInd w:val="0"/>
              <w:spacing w:line="276" w:lineRule="auto"/>
              <w:ind w:right="-59"/>
              <w:rPr>
                <w:sz w:val="16"/>
                <w:szCs w:val="16"/>
              </w:rPr>
            </w:pPr>
            <w:r>
              <w:rPr>
                <w:rFonts w:cs="Arial"/>
                <w:sz w:val="16"/>
                <w:szCs w:val="16"/>
              </w:rPr>
              <w:t>The mitigation strategy was successful to the extent that during the biennium, many WIPO Member States requested assistance with demonstrating the importance of the copyright system, especially to national economies.  The Program met these requests to the extent possible, given practical resource limitations. There was no material impact on the Program’s performance in the biennium.</w:t>
            </w:r>
          </w:p>
        </w:tc>
      </w:tr>
    </w:tbl>
    <w:p w:rsidR="00F838C5" w:rsidRDefault="00F838C5" w:rsidP="00A8525E">
      <w:pPr>
        <w:rPr>
          <w:rFonts w:cs="Arial"/>
          <w:color w:val="000000"/>
          <w:sz w:val="22"/>
          <w:szCs w:val="22"/>
        </w:rPr>
      </w:pPr>
    </w:p>
    <w:p w:rsidR="00F838C5" w:rsidRDefault="00F838C5" w:rsidP="00A8525E">
      <w:pPr>
        <w:rPr>
          <w:rFonts w:cs="Arial"/>
          <w:color w:val="000000"/>
          <w:sz w:val="22"/>
          <w:szCs w:val="22"/>
        </w:rPr>
      </w:pPr>
    </w:p>
    <w:p w:rsidR="00F838C5" w:rsidRDefault="00F838C5" w:rsidP="00A8525E">
      <w:pPr>
        <w:rPr>
          <w:rFonts w:cs="Arial"/>
          <w:color w:val="000000"/>
          <w:sz w:val="22"/>
          <w:szCs w:val="22"/>
        </w:rPr>
      </w:pPr>
    </w:p>
    <w:p w:rsidR="00F838C5" w:rsidRPr="00AF7B5A" w:rsidRDefault="00F838C5" w:rsidP="001363EE">
      <w:pPr>
        <w:keepNext/>
        <w:keepLines/>
        <w:rPr>
          <w:b/>
          <w:sz w:val="16"/>
          <w:szCs w:val="18"/>
        </w:rPr>
      </w:pPr>
      <w:r w:rsidRPr="00AF7B5A">
        <w:rPr>
          <w:rFonts w:cs="Arial"/>
          <w:color w:val="000000"/>
          <w:szCs w:val="22"/>
        </w:rPr>
        <w:lastRenderedPageBreak/>
        <w:t>RESOURCE UTILIZATION</w:t>
      </w:r>
    </w:p>
    <w:p w:rsidR="00F838C5" w:rsidRPr="00AF7B5A" w:rsidRDefault="00F838C5" w:rsidP="001363EE">
      <w:pPr>
        <w:keepNext/>
        <w:keepLines/>
        <w:rPr>
          <w:sz w:val="18"/>
          <w:szCs w:val="20"/>
        </w:rPr>
      </w:pPr>
    </w:p>
    <w:p w:rsidR="00F838C5" w:rsidRPr="00383D2D" w:rsidRDefault="00F838C5" w:rsidP="001363EE">
      <w:pPr>
        <w:pStyle w:val="NormalWeb"/>
        <w:keepNext/>
        <w:keepLines/>
        <w:spacing w:before="0" w:beforeAutospacing="0" w:after="0" w:afterAutospacing="0"/>
        <w:jc w:val="center"/>
        <w:rPr>
          <w:sz w:val="20"/>
          <w:szCs w:val="20"/>
        </w:rPr>
      </w:pPr>
      <w:r w:rsidRPr="00383D2D">
        <w:rPr>
          <w:color w:val="000000"/>
          <w:sz w:val="20"/>
          <w:szCs w:val="20"/>
        </w:rPr>
        <w:t xml:space="preserve">Budget and Actual Expenditure (by result) </w:t>
      </w:r>
    </w:p>
    <w:p w:rsidR="00F838C5" w:rsidRDefault="00F838C5" w:rsidP="001363EE">
      <w:pPr>
        <w:pStyle w:val="NormalWeb"/>
        <w:keepNext/>
        <w:keepLines/>
        <w:spacing w:before="0" w:beforeAutospacing="0" w:after="0" w:afterAutospacing="0"/>
        <w:jc w:val="center"/>
        <w:rPr>
          <w:i/>
          <w:iCs/>
          <w:color w:val="000000"/>
          <w:sz w:val="20"/>
          <w:szCs w:val="20"/>
        </w:rPr>
      </w:pPr>
      <w:r w:rsidRPr="00383D2D">
        <w:rPr>
          <w:i/>
          <w:iCs/>
          <w:color w:val="000000"/>
          <w:sz w:val="20"/>
          <w:szCs w:val="20"/>
        </w:rPr>
        <w:t>(</w:t>
      </w:r>
      <w:proofErr w:type="gramStart"/>
      <w:r w:rsidRPr="00383D2D">
        <w:rPr>
          <w:i/>
          <w:iCs/>
          <w:color w:val="000000"/>
          <w:sz w:val="20"/>
          <w:szCs w:val="20"/>
        </w:rPr>
        <w:t>in</w:t>
      </w:r>
      <w:proofErr w:type="gramEnd"/>
      <w:r w:rsidRPr="00383D2D">
        <w:rPr>
          <w:i/>
          <w:iCs/>
          <w:color w:val="000000"/>
          <w:sz w:val="20"/>
          <w:szCs w:val="20"/>
        </w:rPr>
        <w:t xml:space="preserve"> thousands of Swiss francs)</w:t>
      </w:r>
    </w:p>
    <w:p w:rsidR="00F838C5" w:rsidRPr="00AF7B5A" w:rsidRDefault="00F838C5" w:rsidP="001363EE">
      <w:pPr>
        <w:pStyle w:val="NormalWeb"/>
        <w:keepNext/>
        <w:keepLines/>
        <w:spacing w:before="0" w:beforeAutospacing="0" w:after="0" w:afterAutospacing="0"/>
        <w:jc w:val="center"/>
        <w:rPr>
          <w:szCs w:val="20"/>
        </w:rPr>
      </w:pPr>
    </w:p>
    <w:p w:rsidR="00F838C5" w:rsidRDefault="00F838C5" w:rsidP="001363EE">
      <w:pPr>
        <w:keepNext/>
        <w:keepLines/>
        <w:jc w:val="center"/>
      </w:pPr>
      <w:r w:rsidRPr="003750A1">
        <w:rPr>
          <w:noProof/>
        </w:rPr>
        <w:drawing>
          <wp:inline distT="0" distB="0" distL="0" distR="0" wp14:anchorId="54B4E5A3" wp14:editId="3ADA93A1">
            <wp:extent cx="4816834" cy="3160800"/>
            <wp:effectExtent l="0" t="0" r="3175" b="1905"/>
            <wp:docPr id="130"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822944" cy="3164810"/>
                    </a:xfrm>
                    <a:prstGeom prst="rect">
                      <a:avLst/>
                    </a:prstGeom>
                    <a:noFill/>
                    <a:ln>
                      <a:noFill/>
                    </a:ln>
                  </pic:spPr>
                </pic:pic>
              </a:graphicData>
            </a:graphic>
          </wp:inline>
        </w:drawing>
      </w:r>
    </w:p>
    <w:p w:rsidR="00F838C5" w:rsidRPr="00AF7B5A" w:rsidRDefault="00F838C5" w:rsidP="001363EE">
      <w:pPr>
        <w:jc w:val="center"/>
        <w:rPr>
          <w:sz w:val="18"/>
        </w:rPr>
      </w:pPr>
    </w:p>
    <w:p w:rsidR="00F838C5" w:rsidRPr="00AF7B5A" w:rsidRDefault="00F838C5">
      <w:pPr>
        <w:rPr>
          <w:sz w:val="18"/>
        </w:rPr>
      </w:pPr>
    </w:p>
    <w:p w:rsidR="00F838C5" w:rsidRPr="00383D2D" w:rsidRDefault="00F838C5" w:rsidP="00383D2D">
      <w:pPr>
        <w:pStyle w:val="NormalWeb"/>
        <w:keepNext/>
        <w:keepLines/>
        <w:spacing w:before="0" w:beforeAutospacing="0" w:after="0" w:afterAutospacing="0"/>
        <w:jc w:val="center"/>
        <w:rPr>
          <w:sz w:val="20"/>
          <w:szCs w:val="20"/>
        </w:rPr>
      </w:pPr>
      <w:r w:rsidRPr="00383D2D">
        <w:rPr>
          <w:color w:val="000000"/>
          <w:sz w:val="20"/>
          <w:szCs w:val="20"/>
        </w:rPr>
        <w:t xml:space="preserve">Budget and Actual Expenditure (personnel and non-personnel) </w:t>
      </w:r>
    </w:p>
    <w:p w:rsidR="00F838C5" w:rsidRPr="00383D2D" w:rsidRDefault="00F838C5" w:rsidP="00383D2D">
      <w:pPr>
        <w:pStyle w:val="NormalWeb"/>
        <w:keepNext/>
        <w:keepLines/>
        <w:spacing w:before="0" w:beforeAutospacing="0" w:after="0" w:afterAutospacing="0"/>
        <w:jc w:val="center"/>
        <w:rPr>
          <w:i/>
          <w:iCs/>
          <w:color w:val="000000"/>
          <w:sz w:val="20"/>
          <w:szCs w:val="20"/>
        </w:rPr>
      </w:pPr>
      <w:r w:rsidRPr="00383D2D">
        <w:rPr>
          <w:i/>
          <w:iCs/>
          <w:color w:val="000000"/>
          <w:sz w:val="20"/>
          <w:szCs w:val="20"/>
        </w:rPr>
        <w:t>(</w:t>
      </w:r>
      <w:proofErr w:type="gramStart"/>
      <w:r w:rsidRPr="00383D2D">
        <w:rPr>
          <w:i/>
          <w:iCs/>
          <w:color w:val="000000"/>
          <w:sz w:val="20"/>
          <w:szCs w:val="20"/>
        </w:rPr>
        <w:t>in</w:t>
      </w:r>
      <w:proofErr w:type="gramEnd"/>
      <w:r w:rsidRPr="00383D2D">
        <w:rPr>
          <w:i/>
          <w:iCs/>
          <w:color w:val="000000"/>
          <w:sz w:val="20"/>
          <w:szCs w:val="20"/>
        </w:rPr>
        <w:t xml:space="preserve"> thousands of Swiss francs)</w:t>
      </w:r>
    </w:p>
    <w:p w:rsidR="00F838C5" w:rsidRPr="00AF7B5A" w:rsidRDefault="00F838C5" w:rsidP="00383D2D">
      <w:pPr>
        <w:pStyle w:val="NormalWeb"/>
        <w:keepNext/>
        <w:keepLines/>
        <w:spacing w:before="0" w:beforeAutospacing="0" w:after="0" w:afterAutospacing="0"/>
        <w:jc w:val="center"/>
        <w:rPr>
          <w:sz w:val="16"/>
        </w:rPr>
      </w:pPr>
    </w:p>
    <w:p w:rsidR="00F838C5" w:rsidRDefault="00F838C5" w:rsidP="001363EE">
      <w:pPr>
        <w:jc w:val="center"/>
        <w:rPr>
          <w:noProof/>
        </w:rPr>
      </w:pPr>
      <w:r w:rsidRPr="00D14F7B">
        <w:rPr>
          <w:noProof/>
        </w:rPr>
        <w:drawing>
          <wp:inline distT="0" distB="0" distL="0" distR="0" wp14:anchorId="6E5E532A" wp14:editId="33A95DA2">
            <wp:extent cx="4780800" cy="900067"/>
            <wp:effectExtent l="0" t="0" r="1270" b="0"/>
            <wp:docPr id="131"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805187" cy="904658"/>
                    </a:xfrm>
                    <a:prstGeom prst="rect">
                      <a:avLst/>
                    </a:prstGeom>
                    <a:noFill/>
                    <a:ln>
                      <a:noFill/>
                    </a:ln>
                  </pic:spPr>
                </pic:pic>
              </a:graphicData>
            </a:graphic>
          </wp:inline>
        </w:drawing>
      </w:r>
    </w:p>
    <w:p w:rsidR="00F838C5" w:rsidRPr="00AF7B5A" w:rsidRDefault="00F838C5" w:rsidP="001363EE">
      <w:pPr>
        <w:jc w:val="center"/>
        <w:rPr>
          <w:noProof/>
          <w:sz w:val="18"/>
        </w:rPr>
      </w:pPr>
    </w:p>
    <w:p w:rsidR="00F838C5" w:rsidRPr="00AF7B5A" w:rsidRDefault="00F838C5" w:rsidP="001363EE">
      <w:pPr>
        <w:jc w:val="both"/>
        <w:rPr>
          <w:sz w:val="18"/>
        </w:rPr>
      </w:pPr>
    </w:p>
    <w:p w:rsidR="00F838C5" w:rsidRPr="003F0532" w:rsidRDefault="00F838C5" w:rsidP="00F838C5">
      <w:pPr>
        <w:pStyle w:val="ListParagraph"/>
        <w:numPr>
          <w:ilvl w:val="0"/>
          <w:numId w:val="59"/>
        </w:numPr>
        <w:jc w:val="both"/>
        <w:rPr>
          <w:u w:val="single"/>
        </w:rPr>
      </w:pPr>
      <w:r w:rsidRPr="003F0532">
        <w:rPr>
          <w:u w:val="single"/>
        </w:rPr>
        <w:t xml:space="preserve">2014/15 Final Budget after Transfers </w:t>
      </w:r>
    </w:p>
    <w:p w:rsidR="00F838C5" w:rsidRPr="00AF7B5A" w:rsidRDefault="00F838C5" w:rsidP="001363EE">
      <w:pPr>
        <w:jc w:val="both"/>
        <w:rPr>
          <w:sz w:val="18"/>
          <w:u w:val="single"/>
        </w:rPr>
      </w:pPr>
    </w:p>
    <w:p w:rsidR="00F838C5" w:rsidRPr="007140D2" w:rsidRDefault="00F838C5" w:rsidP="00F838C5">
      <w:pPr>
        <w:numPr>
          <w:ilvl w:val="0"/>
          <w:numId w:val="58"/>
        </w:numPr>
        <w:tabs>
          <w:tab w:val="left" w:pos="0"/>
          <w:tab w:val="left" w:pos="709"/>
        </w:tabs>
        <w:ind w:left="0" w:firstLine="0"/>
        <w:jc w:val="both"/>
        <w:rPr>
          <w:rFonts w:eastAsia="SimSun" w:cs="Arial"/>
          <w:bCs/>
          <w:szCs w:val="20"/>
          <w:lang w:eastAsia="zh-CN"/>
        </w:rPr>
      </w:pPr>
      <w:r w:rsidRPr="007140D2">
        <w:rPr>
          <w:rFonts w:eastAsia="SimSun" w:cs="Arial"/>
          <w:bCs/>
          <w:szCs w:val="20"/>
          <w:lang w:eastAsia="zh-CN"/>
        </w:rPr>
        <w:t xml:space="preserve">The shift of resources from Expected Result I.1 (Enhanced cooperation among Member States) to Expected Result I.2 (Tailored and balanced IP legislative, regulatory and policy frameworks) in the Final Budget after Transfers 2014/15 was due to the allocation of additional personnel and non-personnel resources to activities related to assistance for the ratification and implementation of the Marrakesh and Beijing Treaties. </w:t>
      </w:r>
    </w:p>
    <w:p w:rsidR="00F838C5" w:rsidRPr="00AF7B5A" w:rsidRDefault="00F838C5" w:rsidP="001363EE">
      <w:pPr>
        <w:tabs>
          <w:tab w:val="left" w:pos="0"/>
          <w:tab w:val="left" w:pos="709"/>
        </w:tabs>
        <w:jc w:val="both"/>
        <w:rPr>
          <w:rFonts w:eastAsia="SimSun" w:cs="Arial"/>
          <w:bCs/>
          <w:sz w:val="18"/>
          <w:szCs w:val="20"/>
          <w:lang w:eastAsia="zh-CN"/>
        </w:rPr>
      </w:pPr>
    </w:p>
    <w:p w:rsidR="00F838C5" w:rsidRPr="007140D2" w:rsidRDefault="00F838C5" w:rsidP="00F838C5">
      <w:pPr>
        <w:numPr>
          <w:ilvl w:val="0"/>
          <w:numId w:val="58"/>
        </w:numPr>
        <w:tabs>
          <w:tab w:val="left" w:pos="0"/>
          <w:tab w:val="left" w:pos="709"/>
        </w:tabs>
        <w:ind w:left="0" w:firstLine="0"/>
        <w:jc w:val="both"/>
        <w:rPr>
          <w:rFonts w:eastAsia="SimSun" w:cs="Arial"/>
          <w:bCs/>
          <w:szCs w:val="20"/>
          <w:lang w:eastAsia="zh-CN"/>
        </w:rPr>
      </w:pPr>
      <w:r w:rsidRPr="007140D2">
        <w:rPr>
          <w:rFonts w:eastAsia="SimSun" w:cs="Arial"/>
          <w:bCs/>
          <w:szCs w:val="20"/>
          <w:lang w:eastAsia="zh-CN"/>
        </w:rPr>
        <w:t xml:space="preserve">The increase in resources under Expected Result IV.2 (Enhanced access to, and use of, IP information) was primarily due to the increased emphasis on ABC-related activities. </w:t>
      </w:r>
    </w:p>
    <w:p w:rsidR="00F838C5" w:rsidRPr="00AF7B5A" w:rsidRDefault="00F838C5" w:rsidP="001363EE">
      <w:pPr>
        <w:tabs>
          <w:tab w:val="left" w:pos="0"/>
          <w:tab w:val="left" w:pos="709"/>
        </w:tabs>
        <w:jc w:val="both"/>
        <w:rPr>
          <w:rFonts w:eastAsia="SimSun" w:cs="Arial"/>
          <w:bCs/>
          <w:sz w:val="18"/>
          <w:szCs w:val="20"/>
          <w:lang w:eastAsia="zh-CN"/>
        </w:rPr>
      </w:pPr>
    </w:p>
    <w:p w:rsidR="00F838C5" w:rsidRPr="007140D2" w:rsidRDefault="00F838C5" w:rsidP="00F838C5">
      <w:pPr>
        <w:numPr>
          <w:ilvl w:val="0"/>
          <w:numId w:val="58"/>
        </w:numPr>
        <w:tabs>
          <w:tab w:val="left" w:pos="0"/>
          <w:tab w:val="left" w:pos="709"/>
        </w:tabs>
        <w:ind w:left="0" w:firstLine="0"/>
        <w:jc w:val="both"/>
        <w:rPr>
          <w:rFonts w:eastAsia="SimSun" w:cs="Arial"/>
          <w:bCs/>
          <w:szCs w:val="20"/>
          <w:lang w:eastAsia="zh-CN"/>
        </w:rPr>
      </w:pPr>
      <w:r w:rsidRPr="007140D2">
        <w:rPr>
          <w:rFonts w:eastAsia="SimSun" w:cs="Arial"/>
          <w:bCs/>
          <w:szCs w:val="20"/>
          <w:lang w:eastAsia="zh-CN"/>
        </w:rPr>
        <w:t xml:space="preserve">The decrease of resources under Expected Result IV.4 (Wider and better use of WIPO economic analysis) was due to </w:t>
      </w:r>
      <w:r>
        <w:rPr>
          <w:rFonts w:eastAsia="SimSun" w:cs="Arial"/>
          <w:bCs/>
          <w:szCs w:val="20"/>
          <w:lang w:eastAsia="zh-CN"/>
        </w:rPr>
        <w:t xml:space="preserve">the </w:t>
      </w:r>
      <w:r w:rsidRPr="007140D2">
        <w:rPr>
          <w:rFonts w:eastAsia="SimSun" w:cs="Arial"/>
          <w:bCs/>
          <w:szCs w:val="20"/>
          <w:lang w:eastAsia="zh-CN"/>
        </w:rPr>
        <w:t>transfer of certain WIPOCOS-related activities to Program 15 (Business Solutions for IP Offices) to consolidate the data management systems related to CMOs</w:t>
      </w:r>
      <w:r>
        <w:rPr>
          <w:rFonts w:eastAsia="SimSun" w:cs="Arial"/>
          <w:bCs/>
          <w:szCs w:val="20"/>
          <w:lang w:eastAsia="zh-CN"/>
        </w:rPr>
        <w:t xml:space="preserve"> in that Program</w:t>
      </w:r>
      <w:r w:rsidRPr="007140D2">
        <w:rPr>
          <w:rFonts w:eastAsia="SimSun" w:cs="Arial"/>
          <w:bCs/>
          <w:szCs w:val="20"/>
          <w:lang w:eastAsia="zh-CN"/>
        </w:rPr>
        <w:t>.</w:t>
      </w:r>
    </w:p>
    <w:p w:rsidR="00F838C5" w:rsidRPr="00AF7B5A" w:rsidRDefault="00F838C5" w:rsidP="001363EE">
      <w:pPr>
        <w:jc w:val="both"/>
        <w:rPr>
          <w:sz w:val="18"/>
          <w:u w:val="single"/>
        </w:rPr>
      </w:pPr>
    </w:p>
    <w:p w:rsidR="00F838C5" w:rsidRDefault="00F838C5" w:rsidP="001363EE">
      <w:pPr>
        <w:jc w:val="both"/>
        <w:rPr>
          <w:u w:val="single"/>
        </w:rPr>
      </w:pPr>
      <w:r w:rsidRPr="003F0532">
        <w:t>B.</w:t>
      </w:r>
      <w:r w:rsidRPr="003F0532">
        <w:tab/>
      </w:r>
      <w:r>
        <w:rPr>
          <w:u w:val="single"/>
        </w:rPr>
        <w:t xml:space="preserve">2014/15 Budget Utilization </w:t>
      </w:r>
    </w:p>
    <w:p w:rsidR="00F838C5" w:rsidRPr="00AF7B5A" w:rsidRDefault="00F838C5" w:rsidP="001363EE">
      <w:pPr>
        <w:jc w:val="both"/>
        <w:rPr>
          <w:sz w:val="18"/>
          <w:u w:val="single"/>
        </w:rPr>
      </w:pPr>
    </w:p>
    <w:p w:rsidR="00F838C5" w:rsidRPr="007140D2" w:rsidRDefault="00F838C5" w:rsidP="00F838C5">
      <w:pPr>
        <w:numPr>
          <w:ilvl w:val="0"/>
          <w:numId w:val="58"/>
        </w:numPr>
        <w:tabs>
          <w:tab w:val="left" w:pos="0"/>
          <w:tab w:val="left" w:pos="709"/>
        </w:tabs>
        <w:ind w:left="0" w:firstLine="0"/>
        <w:jc w:val="both"/>
        <w:rPr>
          <w:rFonts w:eastAsia="SimSun" w:cs="Arial"/>
          <w:bCs/>
          <w:szCs w:val="20"/>
          <w:lang w:eastAsia="zh-CN"/>
        </w:rPr>
      </w:pPr>
      <w:r w:rsidRPr="007140D2">
        <w:rPr>
          <w:rFonts w:eastAsia="SimSun" w:cs="Arial"/>
          <w:bCs/>
          <w:szCs w:val="20"/>
          <w:lang w:eastAsia="zh-CN"/>
        </w:rPr>
        <w:t xml:space="preserve">Lower expenditure under Expected Result IV.2 (Enhanced access to, and use of, IP information) was mainly due to the postponement of some activities under the Development Agenda project related to the use of copyright to promote access to information and creative content.  Slightly lower expenditure under Expected Result I.2 (Tailored and balanced IP legislative, regulatory and policy frameworks) </w:t>
      </w:r>
      <w:r>
        <w:rPr>
          <w:rFonts w:eastAsia="SimSun" w:cs="Arial"/>
          <w:bCs/>
          <w:szCs w:val="20"/>
          <w:lang w:eastAsia="zh-CN"/>
        </w:rPr>
        <w:t>was</w:t>
      </w:r>
      <w:r w:rsidRPr="007140D2">
        <w:rPr>
          <w:rFonts w:eastAsia="SimSun" w:cs="Arial"/>
          <w:bCs/>
          <w:szCs w:val="20"/>
          <w:lang w:eastAsia="zh-CN"/>
        </w:rPr>
        <w:t xml:space="preserve"> due to the postponement of some activities </w:t>
      </w:r>
      <w:r>
        <w:rPr>
          <w:rFonts w:eastAsia="SimSun" w:cs="Arial"/>
          <w:bCs/>
          <w:szCs w:val="20"/>
          <w:lang w:eastAsia="zh-CN"/>
        </w:rPr>
        <w:t>related the</w:t>
      </w:r>
      <w:r w:rsidRPr="007140D2">
        <w:rPr>
          <w:rFonts w:eastAsia="SimSun" w:cs="Arial"/>
          <w:bCs/>
          <w:szCs w:val="20"/>
          <w:lang w:eastAsia="zh-CN"/>
        </w:rPr>
        <w:t xml:space="preserve"> </w:t>
      </w:r>
      <w:r>
        <w:rPr>
          <w:rFonts w:eastAsia="SimSun" w:cs="Arial"/>
          <w:bCs/>
          <w:szCs w:val="20"/>
          <w:lang w:eastAsia="zh-CN"/>
        </w:rPr>
        <w:t xml:space="preserve">promotion of the </w:t>
      </w:r>
      <w:r w:rsidRPr="007140D2">
        <w:rPr>
          <w:rFonts w:eastAsia="SimSun" w:cs="Arial"/>
          <w:bCs/>
          <w:szCs w:val="20"/>
          <w:lang w:eastAsia="zh-CN"/>
        </w:rPr>
        <w:t xml:space="preserve">Marrakesh and Beijing </w:t>
      </w:r>
      <w:r>
        <w:rPr>
          <w:rFonts w:eastAsia="SimSun" w:cs="Arial"/>
          <w:bCs/>
          <w:szCs w:val="20"/>
          <w:lang w:eastAsia="zh-CN"/>
        </w:rPr>
        <w:t>T</w:t>
      </w:r>
      <w:r w:rsidRPr="007140D2">
        <w:rPr>
          <w:rFonts w:eastAsia="SimSun" w:cs="Arial"/>
          <w:bCs/>
          <w:szCs w:val="20"/>
          <w:lang w:eastAsia="zh-CN"/>
        </w:rPr>
        <w:t>reaties</w:t>
      </w:r>
      <w:r>
        <w:rPr>
          <w:rFonts w:eastAsia="SimSun" w:cs="Arial"/>
          <w:bCs/>
          <w:szCs w:val="20"/>
          <w:lang w:eastAsia="zh-CN"/>
        </w:rPr>
        <w:t>,</w:t>
      </w:r>
      <w:r w:rsidRPr="007140D2">
        <w:rPr>
          <w:rFonts w:eastAsia="SimSun" w:cs="Arial"/>
          <w:bCs/>
          <w:szCs w:val="20"/>
          <w:lang w:eastAsia="zh-CN"/>
        </w:rPr>
        <w:t xml:space="preserve"> specifically in the African and Latin American regions. </w:t>
      </w:r>
    </w:p>
    <w:p w:rsidR="000E6F6E" w:rsidRPr="001C5F4D" w:rsidRDefault="000E6F6E" w:rsidP="008A4774">
      <w:pPr>
        <w:pStyle w:val="Heading2"/>
        <w:tabs>
          <w:tab w:val="clear" w:pos="567"/>
        </w:tabs>
        <w:ind w:left="1985" w:hanging="1985"/>
        <w:rPr>
          <w:color w:val="000000" w:themeColor="text1"/>
        </w:rPr>
      </w:pPr>
      <w:bookmarkStart w:id="57" w:name="_Toc422210480"/>
      <w:bookmarkStart w:id="58" w:name="_Toc454544465"/>
      <w:r w:rsidRPr="001C5F4D">
        <w:rPr>
          <w:color w:val="000000" w:themeColor="text1"/>
        </w:rPr>
        <w:lastRenderedPageBreak/>
        <w:t>PROGRAM 4</w:t>
      </w:r>
      <w:r w:rsidRPr="001C5F4D">
        <w:rPr>
          <w:color w:val="000000" w:themeColor="text1"/>
        </w:rPr>
        <w:tab/>
        <w:t>TRADITIONAL KNOWLEDGE, TRADITIONAL CULTURAL EXPRESSIONS AND GENETIC RESOURCES</w:t>
      </w:r>
      <w:bookmarkEnd w:id="57"/>
      <w:bookmarkEnd w:id="58"/>
    </w:p>
    <w:p w:rsidR="000E6F6E" w:rsidRPr="001C5F4D" w:rsidRDefault="000E6F6E" w:rsidP="008A4774">
      <w:pPr>
        <w:rPr>
          <w:rFonts w:cs="Arial"/>
          <w:color w:val="000000" w:themeColor="text1"/>
          <w:szCs w:val="20"/>
        </w:rPr>
      </w:pPr>
    </w:p>
    <w:p w:rsidR="000E6F6E" w:rsidRPr="001C5F4D" w:rsidRDefault="000E6F6E" w:rsidP="008A4774">
      <w:pPr>
        <w:tabs>
          <w:tab w:val="left" w:pos="1985"/>
        </w:tabs>
        <w:rPr>
          <w:rFonts w:cs="Arial"/>
          <w:b/>
          <w:color w:val="000000" w:themeColor="text1"/>
          <w:szCs w:val="22"/>
        </w:rPr>
      </w:pPr>
      <w:r w:rsidRPr="001C5F4D">
        <w:rPr>
          <w:rFonts w:cs="Arial"/>
          <w:b/>
          <w:color w:val="000000" w:themeColor="text1"/>
          <w:szCs w:val="22"/>
        </w:rPr>
        <w:t>Program Manager</w:t>
      </w:r>
      <w:r w:rsidRPr="001C5F4D">
        <w:rPr>
          <w:rFonts w:cs="Arial"/>
          <w:b/>
          <w:color w:val="000000" w:themeColor="text1"/>
          <w:szCs w:val="22"/>
        </w:rPr>
        <w:tab/>
        <w:t>Mr. M. A. Getahun</w:t>
      </w:r>
    </w:p>
    <w:p w:rsidR="000E6F6E" w:rsidRPr="001C5F4D" w:rsidRDefault="000E6F6E" w:rsidP="008A4774">
      <w:pPr>
        <w:rPr>
          <w:rFonts w:cs="Arial"/>
          <w:color w:val="000000" w:themeColor="text1"/>
          <w:szCs w:val="20"/>
        </w:rPr>
      </w:pPr>
    </w:p>
    <w:p w:rsidR="000E6F6E" w:rsidRPr="001C5F4D" w:rsidRDefault="000E6F6E" w:rsidP="008A4774">
      <w:pPr>
        <w:rPr>
          <w:rFonts w:cs="Arial"/>
          <w:color w:val="000000" w:themeColor="text1"/>
          <w:szCs w:val="20"/>
        </w:rPr>
      </w:pPr>
    </w:p>
    <w:p w:rsidR="000E6F6E" w:rsidRPr="00F66926" w:rsidRDefault="000E6F6E" w:rsidP="008A4774">
      <w:pPr>
        <w:rPr>
          <w:rFonts w:cs="Arial"/>
          <w:bCs/>
          <w:color w:val="000000" w:themeColor="text1"/>
          <w:szCs w:val="20"/>
        </w:rPr>
      </w:pPr>
      <w:r w:rsidRPr="00F66926">
        <w:rPr>
          <w:rFonts w:cs="Arial"/>
          <w:bCs/>
          <w:color w:val="000000" w:themeColor="text1"/>
          <w:szCs w:val="20"/>
        </w:rPr>
        <w:t>ACHIEVEMENTS IN THE 2014/15 BIENNIUM</w:t>
      </w:r>
    </w:p>
    <w:p w:rsidR="000E6F6E" w:rsidRPr="001C5F4D" w:rsidRDefault="000E6F6E" w:rsidP="008A4774">
      <w:pPr>
        <w:rPr>
          <w:rFonts w:cs="Arial"/>
          <w:color w:val="000000" w:themeColor="text1"/>
          <w:szCs w:val="20"/>
        </w:rPr>
      </w:pPr>
    </w:p>
    <w:p w:rsidR="000E6F6E" w:rsidRPr="00D6292F" w:rsidRDefault="000E6F6E" w:rsidP="00F6573D">
      <w:pPr>
        <w:pStyle w:val="ListParagraph"/>
        <w:numPr>
          <w:ilvl w:val="0"/>
          <w:numId w:val="11"/>
        </w:numPr>
        <w:tabs>
          <w:tab w:val="left" w:pos="709"/>
        </w:tabs>
        <w:ind w:left="0" w:firstLine="0"/>
        <w:jc w:val="both"/>
        <w:rPr>
          <w:rFonts w:cs="Arial"/>
          <w:color w:val="000000" w:themeColor="text1"/>
        </w:rPr>
      </w:pPr>
      <w:r w:rsidRPr="00D6292F">
        <w:rPr>
          <w:rFonts w:cs="Arial"/>
          <w:color w:val="000000" w:themeColor="text1"/>
        </w:rPr>
        <w:t xml:space="preserve">The </w:t>
      </w:r>
      <w:r>
        <w:t>WIPO Intergovernmental Committee on Intellectual Property and Genetic Resources, Traditional Knowledge and Folklore (the IGC)</w:t>
      </w:r>
      <w:r w:rsidRPr="00D6292F">
        <w:rPr>
          <w:rFonts w:cs="Arial"/>
          <w:color w:val="000000" w:themeColor="text1"/>
        </w:rPr>
        <w:t xml:space="preserve"> met three times in 2014 (IGCs 26, 27 and  28) in accordance with the renewed mandate of the IGC for the biennium adopted by the WIPO General Assembly in October 2013 and an agreed-upon work program for 2014.  IGC 26 included an </w:t>
      </w:r>
      <w:r w:rsidRPr="00D6292F">
        <w:rPr>
          <w:rFonts w:cs="Arial"/>
          <w:color w:val="000000"/>
          <w:lang w:val="en-GB"/>
        </w:rPr>
        <w:t xml:space="preserve">Ambassadorial/Senior Capital-based officials meeting.  </w:t>
      </w:r>
      <w:r w:rsidRPr="00D6292F">
        <w:rPr>
          <w:rFonts w:cs="Arial"/>
          <w:color w:val="000000" w:themeColor="text1"/>
        </w:rPr>
        <w:t>By the end of IGC 28, the IGC had further streamlined a consolidated text on genetic resources (GRs) and made further progress on the texts on traditional knowledge (TK) and traditional cultural expressions (TCEs).  A Member State-organized inter-sessional meeting held outside Geneva in 2014 gave further impetus to the process.  The Secretariat continued to endeavor to play a neutral, professional and efficient facilitatory role in support of the process and to further improve the services provided to IGC participants as a follow up to the evaluation conducted by WIPO’s Internal Oversight Division (IOD) in 2013, which found a high rate (96 per cent) of satisfaction among IGC participants. Although the Secretariat continued to facilitate the participation in the IGC process of indigenous peoples and local communities as far as possible, the WIPO Voluntary Fund for Accredited Indigenous and Local Communities remained depleted.  The WIPO General Assembly in October 2014, while considering the texts and the progress made, was not in a position to agree on an IGC work program for 2015.  The WIPO General Assembly in October 2015 agreed upon a renewed mandate for the IGC for the 2016/17 biennium.</w:t>
      </w:r>
    </w:p>
    <w:p w:rsidR="000E6F6E" w:rsidRPr="001C5F4D" w:rsidRDefault="000E6F6E" w:rsidP="00F6573D">
      <w:pPr>
        <w:tabs>
          <w:tab w:val="left" w:pos="709"/>
        </w:tabs>
        <w:jc w:val="both"/>
        <w:rPr>
          <w:rFonts w:cs="Arial"/>
          <w:color w:val="000000" w:themeColor="text1"/>
          <w:lang w:val="en"/>
        </w:rPr>
      </w:pPr>
    </w:p>
    <w:p w:rsidR="000E6F6E" w:rsidRPr="001C5F4D" w:rsidRDefault="000E6F6E" w:rsidP="00F6573D">
      <w:pPr>
        <w:pStyle w:val="ListParagraph"/>
        <w:numPr>
          <w:ilvl w:val="0"/>
          <w:numId w:val="11"/>
        </w:numPr>
        <w:tabs>
          <w:tab w:val="left" w:pos="709"/>
        </w:tabs>
        <w:ind w:left="0" w:firstLine="0"/>
        <w:jc w:val="both"/>
        <w:rPr>
          <w:rFonts w:cs="Arial"/>
          <w:color w:val="000000" w:themeColor="text1"/>
          <w:lang w:val="en"/>
        </w:rPr>
      </w:pPr>
      <w:r w:rsidRPr="001C5F4D">
        <w:rPr>
          <w:rFonts w:eastAsia="MS Mincho" w:cs="Arial"/>
          <w:bCs/>
          <w:color w:val="000000" w:themeColor="text1"/>
          <w:lang w:eastAsia="ja-JP" w:bidi="th-TH"/>
        </w:rPr>
        <w:t xml:space="preserve">The successful conclusion of the IGC’s negotiations is the subject of DA Recommendation 18, which urges the IGC “to accelerate the process on the protection of GRs, TK and folklore, without prejudice to any outcome, including the possible development of an international instrument or instruments”.  The Program’s </w:t>
      </w:r>
      <w:r>
        <w:rPr>
          <w:rFonts w:eastAsia="MS Mincho" w:cs="Arial"/>
          <w:bCs/>
          <w:color w:val="000000" w:themeColor="text1"/>
          <w:lang w:eastAsia="ja-JP" w:bidi="th-TH"/>
        </w:rPr>
        <w:t>normative</w:t>
      </w:r>
      <w:r w:rsidRPr="001C5F4D">
        <w:rPr>
          <w:rFonts w:eastAsia="MS Mincho" w:cs="Arial"/>
          <w:bCs/>
          <w:color w:val="000000" w:themeColor="text1"/>
          <w:lang w:eastAsia="ja-JP" w:bidi="th-TH"/>
        </w:rPr>
        <w:t xml:space="preserve"> activities within the IGC continued to be inclusive, member-driven and based upon open and balanced consultations, involving civil society at large (Recommendations 15, 21 and 42), taking into account the public domain (Recommendations 16 and 20) and flexibilities in international IP agreements (Recommendations 14 and 17).</w:t>
      </w:r>
      <w:r>
        <w:rPr>
          <w:rFonts w:eastAsia="MS Mincho" w:cs="Arial"/>
          <w:bCs/>
          <w:color w:val="000000" w:themeColor="text1"/>
          <w:lang w:eastAsia="ja-JP" w:bidi="th-TH"/>
        </w:rPr>
        <w:t xml:space="preserve">  </w:t>
      </w:r>
      <w:r w:rsidRPr="001C5F4D">
        <w:rPr>
          <w:rFonts w:eastAsia="MS Mincho" w:cs="Arial"/>
          <w:bCs/>
          <w:color w:val="000000" w:themeColor="text1"/>
          <w:lang w:eastAsia="ja-JP" w:bidi="th-TH"/>
        </w:rPr>
        <w:t>The IGC’s negotiations contributed to the mainstreaming of development considerations and were supportive of the UN development goals (Recommendations 12 and 22)</w:t>
      </w:r>
      <w:r>
        <w:rPr>
          <w:rFonts w:eastAsia="MS Mincho" w:cs="Arial"/>
          <w:bCs/>
          <w:color w:val="000000" w:themeColor="text1"/>
          <w:lang w:eastAsia="ja-JP" w:bidi="th-TH"/>
        </w:rPr>
        <w:t>.</w:t>
      </w:r>
    </w:p>
    <w:p w:rsidR="000E6F6E" w:rsidRPr="001C5F4D" w:rsidRDefault="000E6F6E" w:rsidP="00F6573D">
      <w:pPr>
        <w:tabs>
          <w:tab w:val="left" w:pos="709"/>
        </w:tabs>
        <w:jc w:val="both"/>
        <w:rPr>
          <w:rFonts w:cs="Arial"/>
          <w:color w:val="000000" w:themeColor="text1"/>
          <w:lang w:val="en"/>
        </w:rPr>
      </w:pPr>
    </w:p>
    <w:p w:rsidR="000E6F6E" w:rsidRPr="001C5F4D" w:rsidRDefault="000E6F6E" w:rsidP="00F6573D">
      <w:pPr>
        <w:pStyle w:val="ListParagraph"/>
        <w:numPr>
          <w:ilvl w:val="0"/>
          <w:numId w:val="11"/>
        </w:numPr>
        <w:tabs>
          <w:tab w:val="left" w:pos="709"/>
        </w:tabs>
        <w:ind w:left="0" w:firstLine="0"/>
        <w:jc w:val="both"/>
        <w:rPr>
          <w:rFonts w:cs="Arial"/>
          <w:color w:val="000000" w:themeColor="text1"/>
        </w:rPr>
      </w:pPr>
      <w:r w:rsidRPr="001C5F4D">
        <w:rPr>
          <w:rFonts w:cs="Arial"/>
          <w:color w:val="000000" w:themeColor="text1"/>
        </w:rPr>
        <w:t xml:space="preserve">In terms of capacity building and awareness raising, work continued on outreach to indigenous peoples and local communities with a view to enhancing their familiarity with IP and facilitating their effective participation in the IGC process; supporting, upon request, the development of national and regional legislation and policies; and forging practical solutions at all levels through increasing understanding of the issues and options.  In 2015, the Secretariat organized two </w:t>
      </w:r>
      <w:r>
        <w:rPr>
          <w:rFonts w:cs="Arial"/>
          <w:color w:val="000000" w:themeColor="text1"/>
        </w:rPr>
        <w:t xml:space="preserve">international </w:t>
      </w:r>
      <w:r w:rsidRPr="001C5F4D">
        <w:rPr>
          <w:rFonts w:cs="Arial"/>
          <w:color w:val="000000" w:themeColor="text1"/>
        </w:rPr>
        <w:t>seminars on IP, GRs, TK and TCE</w:t>
      </w:r>
      <w:r>
        <w:rPr>
          <w:rFonts w:cs="Arial"/>
          <w:color w:val="000000" w:themeColor="text1"/>
        </w:rPr>
        <w:t>s</w:t>
      </w:r>
      <w:r w:rsidRPr="001C5F4D">
        <w:rPr>
          <w:rFonts w:cs="Arial"/>
          <w:color w:val="000000" w:themeColor="text1"/>
        </w:rPr>
        <w:t xml:space="preserve"> </w:t>
      </w:r>
      <w:r>
        <w:rPr>
          <w:rFonts w:cs="Arial"/>
          <w:color w:val="000000" w:themeColor="text1"/>
        </w:rPr>
        <w:t>in Geneva that were open to all Member States and observers</w:t>
      </w:r>
      <w:r w:rsidRPr="001C5F4D">
        <w:rPr>
          <w:rFonts w:cs="Arial"/>
          <w:color w:val="000000" w:themeColor="text1"/>
        </w:rPr>
        <w:t xml:space="preserve">. </w:t>
      </w:r>
      <w:r>
        <w:rPr>
          <w:rFonts w:cs="Arial"/>
          <w:color w:val="000000" w:themeColor="text1"/>
        </w:rPr>
        <w:t xml:space="preserve"> </w:t>
      </w:r>
      <w:r w:rsidRPr="001C5F4D">
        <w:rPr>
          <w:rFonts w:cs="Arial"/>
          <w:color w:val="000000" w:themeColor="text1"/>
          <w:lang w:val="en"/>
        </w:rPr>
        <w:t>The seminar</w:t>
      </w:r>
      <w:r>
        <w:rPr>
          <w:rFonts w:cs="Arial"/>
          <w:color w:val="000000" w:themeColor="text1"/>
          <w:lang w:val="en"/>
        </w:rPr>
        <w:t>s</w:t>
      </w:r>
      <w:r w:rsidRPr="001C5F4D">
        <w:rPr>
          <w:rFonts w:cs="Arial"/>
          <w:color w:val="000000" w:themeColor="text1"/>
          <w:lang w:val="en"/>
        </w:rPr>
        <w:t xml:space="preserve"> shared regional, national and local experiences and </w:t>
      </w:r>
      <w:r>
        <w:rPr>
          <w:rFonts w:cs="Arial"/>
          <w:color w:val="000000" w:themeColor="text1"/>
          <w:lang w:val="en"/>
        </w:rPr>
        <w:t xml:space="preserve">enabled countries and other stakeholders to discuss policy issues in a less formal setting.  </w:t>
      </w:r>
      <w:r>
        <w:rPr>
          <w:rFonts w:cs="Arial"/>
          <w:color w:val="000000" w:themeColor="text1"/>
        </w:rPr>
        <w:t>During the biennium</w:t>
      </w:r>
      <w:r w:rsidRPr="001C5F4D">
        <w:rPr>
          <w:rFonts w:cs="Arial"/>
          <w:color w:val="000000" w:themeColor="text1"/>
        </w:rPr>
        <w:t xml:space="preserve">, the Secretariat responded positively to </w:t>
      </w:r>
      <w:r>
        <w:rPr>
          <w:rFonts w:cs="Arial"/>
          <w:color w:val="000000" w:themeColor="text1"/>
        </w:rPr>
        <w:t>slightly less than 80</w:t>
      </w:r>
      <w:r w:rsidRPr="001C5F4D">
        <w:rPr>
          <w:rFonts w:cs="Arial"/>
          <w:color w:val="000000" w:themeColor="text1"/>
        </w:rPr>
        <w:t xml:space="preserve"> requests from Member States, NGOs, indigenous peoples and local communities, industry associations</w:t>
      </w:r>
      <w:r>
        <w:rPr>
          <w:rFonts w:cs="Arial"/>
          <w:color w:val="000000" w:themeColor="text1"/>
        </w:rPr>
        <w:t>,</w:t>
      </w:r>
      <w:r w:rsidRPr="001C5F4D">
        <w:rPr>
          <w:rFonts w:cs="Arial"/>
          <w:color w:val="000000" w:themeColor="text1"/>
        </w:rPr>
        <w:t xml:space="preserve"> and universities for</w:t>
      </w:r>
      <w:r>
        <w:rPr>
          <w:rFonts w:cs="Arial"/>
          <w:color w:val="000000" w:themeColor="text1"/>
        </w:rPr>
        <w:t xml:space="preserve"> workshops,</w:t>
      </w:r>
      <w:r w:rsidRPr="001C5F4D">
        <w:rPr>
          <w:rFonts w:cs="Arial"/>
          <w:color w:val="000000" w:themeColor="text1"/>
        </w:rPr>
        <w:t xml:space="preserve"> briefings and other presentations, whether in Geneva or abroad.  Six countries received legislative and policy assistance at their request.  A </w:t>
      </w:r>
      <w:r>
        <w:rPr>
          <w:rFonts w:cs="Arial"/>
          <w:color w:val="000000" w:themeColor="text1"/>
        </w:rPr>
        <w:t>series of practical workshops – to share knowledge, build understanding and foster cooperation – was also organized in 2014 and 2015. The series included workshops in Geneva (</w:t>
      </w:r>
      <w:r w:rsidRPr="001C5F4D">
        <w:rPr>
          <w:rFonts w:cs="Arial"/>
          <w:color w:val="000000" w:themeColor="text1"/>
        </w:rPr>
        <w:t>December 2014</w:t>
      </w:r>
      <w:r>
        <w:rPr>
          <w:rFonts w:cs="Arial"/>
          <w:color w:val="000000" w:themeColor="text1"/>
        </w:rPr>
        <w:t>), Windhoek, Namibia (</w:t>
      </w:r>
      <w:r w:rsidRPr="001C5F4D">
        <w:rPr>
          <w:rFonts w:cs="Arial"/>
          <w:color w:val="000000" w:themeColor="text1"/>
        </w:rPr>
        <w:t>August 2015</w:t>
      </w:r>
      <w:r>
        <w:rPr>
          <w:rFonts w:cs="Arial"/>
          <w:color w:val="000000" w:themeColor="text1"/>
        </w:rPr>
        <w:t>)</w:t>
      </w:r>
      <w:r w:rsidRPr="001C5F4D">
        <w:rPr>
          <w:rFonts w:cs="Arial"/>
          <w:color w:val="000000" w:themeColor="text1"/>
        </w:rPr>
        <w:t xml:space="preserve">, </w:t>
      </w:r>
      <w:r>
        <w:rPr>
          <w:rFonts w:cs="Arial"/>
          <w:color w:val="000000" w:themeColor="text1"/>
        </w:rPr>
        <w:t>Panama City, Panama (</w:t>
      </w:r>
      <w:r w:rsidRPr="001C5F4D">
        <w:rPr>
          <w:rFonts w:cs="Arial"/>
          <w:color w:val="000000" w:themeColor="text1"/>
        </w:rPr>
        <w:t>November 2015</w:t>
      </w:r>
      <w:r>
        <w:rPr>
          <w:rFonts w:cs="Arial"/>
          <w:color w:val="000000" w:themeColor="text1"/>
        </w:rPr>
        <w:t>)</w:t>
      </w:r>
      <w:r w:rsidRPr="001C5F4D">
        <w:rPr>
          <w:rFonts w:cs="Arial"/>
          <w:color w:val="000000" w:themeColor="text1"/>
        </w:rPr>
        <w:t xml:space="preserve"> and </w:t>
      </w:r>
      <w:r>
        <w:rPr>
          <w:rFonts w:cs="Arial"/>
          <w:color w:val="000000" w:themeColor="text1"/>
        </w:rPr>
        <w:t>Apia, Samoa (</w:t>
      </w:r>
      <w:r w:rsidRPr="001C5F4D">
        <w:rPr>
          <w:rFonts w:cs="Arial"/>
          <w:color w:val="000000" w:themeColor="text1"/>
        </w:rPr>
        <w:t>December 2015</w:t>
      </w:r>
      <w:r>
        <w:rPr>
          <w:rFonts w:cs="Arial"/>
          <w:color w:val="000000" w:themeColor="text1"/>
        </w:rPr>
        <w:t>)</w:t>
      </w:r>
      <w:r w:rsidRPr="001C5F4D">
        <w:rPr>
          <w:rFonts w:cs="Arial"/>
          <w:color w:val="000000" w:themeColor="text1"/>
        </w:rPr>
        <w:t>.  WIPO continued to contribute as a technical partner to regional projects in Africa, Asia and the Pacific, and Latin America and the Caribbean.  WIPO also continued to make available a series of short, accessible publications on the key issues, and</w:t>
      </w:r>
      <w:r>
        <w:rPr>
          <w:rFonts w:cs="Arial"/>
          <w:color w:val="000000" w:themeColor="text1"/>
        </w:rPr>
        <w:t>, in 2014,</w:t>
      </w:r>
      <w:r w:rsidRPr="001C5F4D">
        <w:rPr>
          <w:rFonts w:cs="Arial"/>
          <w:color w:val="000000" w:themeColor="text1"/>
        </w:rPr>
        <w:t xml:space="preserve"> published </w:t>
      </w:r>
      <w:r w:rsidRPr="001C5F4D">
        <w:rPr>
          <w:rFonts w:cs="Arial"/>
          <w:color w:val="000000" w:themeColor="text1"/>
          <w:lang w:val="en-GB"/>
        </w:rPr>
        <w:t>a practical guide regarding Intellectual Property and Folks, Arts and Cultural Festivals.</w:t>
      </w:r>
      <w:r>
        <w:rPr>
          <w:rStyle w:val="FootnoteReference"/>
          <w:rFonts w:cs="Arial"/>
          <w:color w:val="000000" w:themeColor="text1"/>
          <w:lang w:val="en-GB"/>
        </w:rPr>
        <w:footnoteReference w:id="16"/>
      </w:r>
      <w:r w:rsidRPr="001C5F4D">
        <w:rPr>
          <w:rFonts w:cs="Arial"/>
          <w:color w:val="000000" w:themeColor="text1"/>
          <w:lang w:val="en-GB"/>
        </w:rPr>
        <w:t xml:space="preserve"> </w:t>
      </w:r>
      <w:r>
        <w:rPr>
          <w:rFonts w:cs="Arial"/>
          <w:color w:val="000000" w:themeColor="text1"/>
          <w:lang w:val="en-GB"/>
        </w:rPr>
        <w:t xml:space="preserve"> In cooperation with the WIPO Academy,</w:t>
      </w:r>
      <w:r w:rsidRPr="001C5F4D">
        <w:rPr>
          <w:rFonts w:cs="Arial"/>
          <w:color w:val="000000" w:themeColor="text1"/>
          <w:lang w:val="en-GB"/>
        </w:rPr>
        <w:t xml:space="preserve"> a Distance Learning Course on IP, TK and TCEs </w:t>
      </w:r>
      <w:r>
        <w:rPr>
          <w:rFonts w:cs="Arial"/>
          <w:color w:val="000000" w:themeColor="text1"/>
          <w:lang w:val="en-GB"/>
        </w:rPr>
        <w:t xml:space="preserve">was launched </w:t>
      </w:r>
      <w:r w:rsidRPr="001C5F4D">
        <w:rPr>
          <w:rFonts w:cs="Arial"/>
          <w:color w:val="000000" w:themeColor="text1"/>
          <w:lang w:val="en-GB"/>
        </w:rPr>
        <w:t>in April 2015.</w:t>
      </w:r>
    </w:p>
    <w:p w:rsidR="000E6F6E" w:rsidRPr="001C5F4D" w:rsidRDefault="000E6F6E" w:rsidP="00F6573D">
      <w:pPr>
        <w:tabs>
          <w:tab w:val="left" w:pos="709"/>
        </w:tabs>
        <w:jc w:val="both"/>
        <w:rPr>
          <w:rFonts w:cs="Arial"/>
          <w:color w:val="000000" w:themeColor="text1"/>
        </w:rPr>
      </w:pPr>
    </w:p>
    <w:p w:rsidR="000E6F6E" w:rsidRPr="001C5F4D" w:rsidRDefault="000E6F6E" w:rsidP="00F6573D">
      <w:pPr>
        <w:pStyle w:val="ListParagraph"/>
        <w:numPr>
          <w:ilvl w:val="0"/>
          <w:numId w:val="11"/>
        </w:numPr>
        <w:tabs>
          <w:tab w:val="left" w:pos="709"/>
        </w:tabs>
        <w:ind w:left="0" w:firstLine="0"/>
        <w:jc w:val="both"/>
        <w:rPr>
          <w:rFonts w:cs="Arial"/>
          <w:color w:val="000000" w:themeColor="text1"/>
        </w:rPr>
      </w:pPr>
      <w:r w:rsidRPr="001C5F4D">
        <w:rPr>
          <w:rFonts w:cs="Arial"/>
          <w:color w:val="000000" w:themeColor="text1"/>
        </w:rPr>
        <w:t xml:space="preserve">In fostering cooperation with other relevant intergovernmental organizations and fora, the Secretariat cooperated even more closely with the Secretariat of the Convention on Biological Diversity (CBD) and </w:t>
      </w:r>
      <w:r w:rsidRPr="001C5F4D">
        <w:rPr>
          <w:rFonts w:cs="Arial"/>
          <w:iCs/>
          <w:color w:val="000000" w:themeColor="text1"/>
        </w:rPr>
        <w:t xml:space="preserve">the </w:t>
      </w:r>
      <w:r w:rsidRPr="001C5F4D">
        <w:rPr>
          <w:rFonts w:cs="Arial"/>
          <w:color w:val="000000" w:themeColor="text1"/>
        </w:rPr>
        <w:t xml:space="preserve">Nagoya Protocol on </w:t>
      </w:r>
      <w:r w:rsidRPr="001C5F4D">
        <w:rPr>
          <w:rFonts w:cs="Arial"/>
          <w:iCs/>
          <w:color w:val="000000" w:themeColor="text1"/>
        </w:rPr>
        <w:t xml:space="preserve">Access to Genetic Resources and the Fair and Equitable Sharing of Benefits Arising from their Utilization, including through co-organizing workshops for officials and </w:t>
      </w:r>
      <w:r w:rsidRPr="001C5F4D">
        <w:rPr>
          <w:rFonts w:cs="Arial"/>
          <w:iCs/>
          <w:color w:val="000000" w:themeColor="text1"/>
        </w:rPr>
        <w:lastRenderedPageBreak/>
        <w:t>indigenous and local communities. The Secretariat</w:t>
      </w:r>
      <w:r w:rsidRPr="001C5F4D">
        <w:rPr>
          <w:rFonts w:cs="Arial"/>
          <w:color w:val="000000" w:themeColor="text1"/>
        </w:rPr>
        <w:t xml:space="preserve"> worked with the United Nations Permanent Forum on Indigenous Issues (UNPFII) and participated in its 13</w:t>
      </w:r>
      <w:r w:rsidRPr="001C5F4D">
        <w:rPr>
          <w:rFonts w:cs="Arial"/>
          <w:color w:val="000000" w:themeColor="text1"/>
          <w:vertAlign w:val="superscript"/>
        </w:rPr>
        <w:t>th</w:t>
      </w:r>
      <w:r w:rsidRPr="001C5F4D">
        <w:rPr>
          <w:rFonts w:cs="Arial"/>
          <w:color w:val="000000" w:themeColor="text1"/>
        </w:rPr>
        <w:t xml:space="preserve"> and 14</w:t>
      </w:r>
      <w:r w:rsidRPr="001C5F4D">
        <w:rPr>
          <w:rFonts w:cs="Arial"/>
          <w:color w:val="000000" w:themeColor="text1"/>
          <w:vertAlign w:val="superscript"/>
        </w:rPr>
        <w:t>th</w:t>
      </w:r>
      <w:r w:rsidRPr="001C5F4D">
        <w:rPr>
          <w:rFonts w:cs="Arial"/>
          <w:color w:val="000000" w:themeColor="text1"/>
        </w:rPr>
        <w:t xml:space="preserve"> session</w:t>
      </w:r>
      <w:r>
        <w:rPr>
          <w:rFonts w:cs="Arial"/>
          <w:color w:val="000000" w:themeColor="text1"/>
        </w:rPr>
        <w:t>s</w:t>
      </w:r>
      <w:r w:rsidRPr="001C5F4D">
        <w:rPr>
          <w:rFonts w:cs="Arial"/>
          <w:color w:val="000000" w:themeColor="text1"/>
        </w:rPr>
        <w:t xml:space="preserve"> in 2014 and 2015</w:t>
      </w:r>
      <w:r>
        <w:rPr>
          <w:rFonts w:cs="Arial"/>
          <w:color w:val="000000" w:themeColor="text1"/>
        </w:rPr>
        <w:t xml:space="preserve"> respectively</w:t>
      </w:r>
      <w:r w:rsidRPr="001C5F4D">
        <w:rPr>
          <w:rFonts w:cs="Arial"/>
          <w:color w:val="000000" w:themeColor="text1"/>
        </w:rPr>
        <w:t>, as well as in the World Conference on Indigenous Peoples in September 2014, in order to further engage with indigenous and local community organizations and other UN organizations</w:t>
      </w:r>
      <w:r>
        <w:rPr>
          <w:rFonts w:cs="Arial"/>
          <w:color w:val="000000" w:themeColor="text1"/>
        </w:rPr>
        <w:t xml:space="preserve">. </w:t>
      </w:r>
      <w:r w:rsidRPr="001C5F4D">
        <w:rPr>
          <w:rFonts w:cs="Arial"/>
          <w:color w:val="000000" w:themeColor="text1"/>
        </w:rPr>
        <w:t xml:space="preserve"> At the request of the Secretariat of the UNPFII, the WIPO Secretariat provided financial support for the drafting, by an indigenous expert, of a technical review for the UNPFII of the draft IGC texts from a human rights perspective.</w:t>
      </w:r>
    </w:p>
    <w:p w:rsidR="000E6F6E" w:rsidRPr="001C5F4D" w:rsidRDefault="000E6F6E" w:rsidP="00F6573D">
      <w:pPr>
        <w:tabs>
          <w:tab w:val="left" w:pos="709"/>
        </w:tabs>
        <w:jc w:val="both"/>
        <w:rPr>
          <w:rFonts w:cs="Arial"/>
          <w:color w:val="000000" w:themeColor="text1"/>
        </w:rPr>
      </w:pPr>
    </w:p>
    <w:p w:rsidR="000E6F6E" w:rsidRDefault="000E6F6E" w:rsidP="00F6573D">
      <w:pPr>
        <w:pStyle w:val="ListParagraph"/>
        <w:numPr>
          <w:ilvl w:val="0"/>
          <w:numId w:val="11"/>
        </w:numPr>
        <w:tabs>
          <w:tab w:val="left" w:pos="709"/>
        </w:tabs>
        <w:ind w:left="0" w:firstLine="0"/>
        <w:jc w:val="both"/>
      </w:pPr>
      <w:r w:rsidRPr="001C5F4D">
        <w:rPr>
          <w:rFonts w:eastAsia="MS Mincho" w:cs="Arial"/>
          <w:bCs/>
          <w:color w:val="000000" w:themeColor="text1"/>
          <w:lang w:eastAsia="ja-JP" w:bidi="th-TH"/>
        </w:rPr>
        <w:t xml:space="preserve">The </w:t>
      </w:r>
      <w:r w:rsidRPr="00D6292F">
        <w:rPr>
          <w:rFonts w:cs="Arial"/>
          <w:color w:val="000000" w:themeColor="text1"/>
        </w:rPr>
        <w:t>Program’s</w:t>
      </w:r>
      <w:r w:rsidRPr="001C5F4D">
        <w:rPr>
          <w:rFonts w:eastAsia="MS Mincho" w:cs="Arial"/>
          <w:bCs/>
          <w:color w:val="000000" w:themeColor="text1"/>
          <w:lang w:eastAsia="ja-JP" w:bidi="th-TH"/>
        </w:rPr>
        <w:t xml:space="preserve"> technical assistance, capacity building and legislative assistance activities contributed directly to development and the fulfillment of other DA Recommendations, notably ensuring development-oriented, demand-driven technical assistance (Recommendations 1 and 12), providing legislative and policy advice on national legislation (Recommendations 11, 13 and 14), raising awareness on TK, TCEs and GRs related IP issues (Recommendation 3), and cooperating on IP related issues with UN agencies (Recommendation 40).</w:t>
      </w:r>
    </w:p>
    <w:p w:rsidR="000E6F6E" w:rsidRDefault="000E6F6E" w:rsidP="008A4774">
      <w:pPr>
        <w:jc w:val="both"/>
        <w:rPr>
          <w:rFonts w:cs="Arial"/>
          <w:bCs/>
          <w:sz w:val="22"/>
          <w:szCs w:val="22"/>
        </w:rPr>
      </w:pPr>
    </w:p>
    <w:p w:rsidR="000E6F6E" w:rsidRDefault="000E6F6E" w:rsidP="008A4774">
      <w:pPr>
        <w:rPr>
          <w:rFonts w:cs="Arial"/>
          <w:bCs/>
          <w:sz w:val="22"/>
          <w:szCs w:val="22"/>
        </w:rPr>
      </w:pPr>
    </w:p>
    <w:p w:rsidR="000E6F6E" w:rsidRDefault="000E6F6E" w:rsidP="008A4774">
      <w:pPr>
        <w:rPr>
          <w:rFonts w:eastAsia="MS Mincho"/>
          <w:lang w:eastAsia="ja-JP" w:bidi="th-TH"/>
        </w:rPr>
      </w:pPr>
      <w:r>
        <w:rPr>
          <w:rFonts w:eastAsia="MS Mincho"/>
          <w:lang w:eastAsia="ja-JP" w:bidi="th-TH"/>
        </w:rPr>
        <w:t>PERFORMANCE DATA</w:t>
      </w:r>
    </w:p>
    <w:p w:rsidR="000E6F6E" w:rsidRPr="00A8525E" w:rsidRDefault="000E6F6E" w:rsidP="008A4774"/>
    <w:tbl>
      <w:tblPr>
        <w:tblW w:w="4888"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130"/>
        <w:gridCol w:w="2691"/>
        <w:gridCol w:w="1278"/>
        <w:gridCol w:w="2268"/>
        <w:gridCol w:w="990"/>
      </w:tblGrid>
      <w:tr w:rsidR="000E6F6E" w:rsidRPr="00806461" w:rsidTr="008A4774">
        <w:trPr>
          <w:cantSplit/>
          <w:trHeight w:val="480"/>
        </w:trPr>
        <w:tc>
          <w:tcPr>
            <w:tcW w:w="5000" w:type="pct"/>
            <w:gridSpan w:val="5"/>
            <w:tcBorders>
              <w:top w:val="single" w:sz="4" w:space="0" w:color="auto"/>
              <w:bottom w:val="nil"/>
            </w:tcBorders>
            <w:shd w:val="clear" w:color="auto" w:fill="C6D9F1" w:themeFill="text2" w:themeFillTint="33"/>
            <w:vAlign w:val="center"/>
          </w:tcPr>
          <w:p w:rsidR="000E6F6E" w:rsidRPr="00806461" w:rsidRDefault="000E6F6E" w:rsidP="008A4774">
            <w:pPr>
              <w:keepNext/>
              <w:keepLines/>
              <w:tabs>
                <w:tab w:val="left" w:pos="1452"/>
              </w:tabs>
              <w:ind w:left="1452" w:hanging="1452"/>
              <w:rPr>
                <w:rFonts w:cs="Arial"/>
                <w:b/>
                <w:bCs/>
                <w:sz w:val="16"/>
                <w:szCs w:val="16"/>
              </w:rPr>
            </w:pPr>
            <w:r w:rsidRPr="00806461">
              <w:rPr>
                <w:rFonts w:cs="Arial"/>
                <w:b/>
                <w:bCs/>
                <w:sz w:val="16"/>
                <w:szCs w:val="16"/>
              </w:rPr>
              <w:t>Expected Result:</w:t>
            </w:r>
            <w:r w:rsidRPr="00806461">
              <w:rPr>
                <w:rFonts w:cs="Arial"/>
                <w:b/>
                <w:bCs/>
                <w:sz w:val="16"/>
                <w:szCs w:val="16"/>
              </w:rPr>
              <w:tab/>
            </w:r>
            <w:r w:rsidRPr="00D11840">
              <w:rPr>
                <w:rFonts w:cs="Arial"/>
                <w:bCs/>
                <w:sz w:val="16"/>
                <w:szCs w:val="16"/>
              </w:rPr>
              <w:t>I.1</w:t>
            </w:r>
            <w:r>
              <w:rPr>
                <w:rFonts w:cs="Arial"/>
                <w:b/>
                <w:bCs/>
                <w:sz w:val="16"/>
                <w:szCs w:val="16"/>
              </w:rPr>
              <w:t xml:space="preserve"> </w:t>
            </w:r>
            <w:r w:rsidRPr="007C7648">
              <w:rPr>
                <w:rFonts w:cs="Arial"/>
                <w:sz w:val="16"/>
                <w:szCs w:val="16"/>
              </w:rPr>
              <w:t>Enhanced cooperation among Member States on development of balanced international normative frameworks for IP and agreement on specific topics on which international instruments are agreed</w:t>
            </w:r>
          </w:p>
        </w:tc>
      </w:tr>
      <w:tr w:rsidR="000E6F6E" w:rsidRPr="00806461" w:rsidTr="008A4774">
        <w:trPr>
          <w:cantSplit/>
        </w:trPr>
        <w:tc>
          <w:tcPr>
            <w:tcW w:w="1138" w:type="pct"/>
            <w:tcBorders>
              <w:top w:val="single" w:sz="4" w:space="0" w:color="auto"/>
              <w:bottom w:val="nil"/>
            </w:tcBorders>
            <w:vAlign w:val="center"/>
          </w:tcPr>
          <w:p w:rsidR="000E6F6E" w:rsidRPr="00806461" w:rsidRDefault="000E6F6E" w:rsidP="008A4774">
            <w:pPr>
              <w:rPr>
                <w:rFonts w:cs="Arial"/>
                <w:sz w:val="16"/>
                <w:szCs w:val="16"/>
              </w:rPr>
            </w:pPr>
            <w:r w:rsidRPr="00806461">
              <w:rPr>
                <w:rFonts w:cs="Arial"/>
                <w:b/>
                <w:bCs/>
                <w:sz w:val="16"/>
                <w:szCs w:val="16"/>
              </w:rPr>
              <w:t>Performance Indicators</w:t>
            </w:r>
          </w:p>
        </w:tc>
        <w:tc>
          <w:tcPr>
            <w:tcW w:w="1438" w:type="pct"/>
            <w:tcBorders>
              <w:top w:val="single" w:sz="4" w:space="0" w:color="auto"/>
              <w:bottom w:val="nil"/>
            </w:tcBorders>
            <w:shd w:val="clear" w:color="auto" w:fill="auto"/>
            <w:vAlign w:val="center"/>
          </w:tcPr>
          <w:p w:rsidR="000E6F6E" w:rsidRPr="00806461" w:rsidRDefault="000E6F6E" w:rsidP="008A4774">
            <w:pPr>
              <w:rPr>
                <w:rFonts w:cs="Arial"/>
                <w:b/>
                <w:bCs/>
                <w:sz w:val="16"/>
                <w:szCs w:val="16"/>
              </w:rPr>
            </w:pPr>
            <w:r w:rsidRPr="00806461">
              <w:rPr>
                <w:rFonts w:cs="Arial"/>
                <w:b/>
                <w:bCs/>
                <w:sz w:val="16"/>
                <w:szCs w:val="16"/>
              </w:rPr>
              <w:t>Baselines</w:t>
            </w:r>
          </w:p>
        </w:tc>
        <w:tc>
          <w:tcPr>
            <w:tcW w:w="683" w:type="pct"/>
            <w:tcBorders>
              <w:top w:val="single" w:sz="4" w:space="0" w:color="auto"/>
              <w:bottom w:val="nil"/>
            </w:tcBorders>
            <w:tcMar>
              <w:top w:w="110" w:type="dxa"/>
            </w:tcMar>
            <w:vAlign w:val="center"/>
          </w:tcPr>
          <w:p w:rsidR="000E6F6E" w:rsidRPr="00806461" w:rsidRDefault="000E6F6E" w:rsidP="008A4774">
            <w:pPr>
              <w:rPr>
                <w:rFonts w:cs="Arial"/>
                <w:b/>
                <w:sz w:val="16"/>
                <w:szCs w:val="16"/>
              </w:rPr>
            </w:pPr>
            <w:r w:rsidRPr="00806461">
              <w:rPr>
                <w:rFonts w:cs="Arial"/>
                <w:b/>
                <w:sz w:val="16"/>
                <w:szCs w:val="16"/>
              </w:rPr>
              <w:t>Targets</w:t>
            </w:r>
          </w:p>
        </w:tc>
        <w:tc>
          <w:tcPr>
            <w:tcW w:w="1212" w:type="pct"/>
            <w:tcBorders>
              <w:top w:val="single" w:sz="4" w:space="0" w:color="auto"/>
              <w:bottom w:val="nil"/>
            </w:tcBorders>
            <w:shd w:val="clear" w:color="auto" w:fill="FFFFFF"/>
            <w:tcMar>
              <w:top w:w="110" w:type="dxa"/>
            </w:tcMar>
            <w:vAlign w:val="center"/>
          </w:tcPr>
          <w:p w:rsidR="000E6F6E" w:rsidRPr="00806461" w:rsidRDefault="000E6F6E" w:rsidP="008A4774">
            <w:pPr>
              <w:rPr>
                <w:rFonts w:cs="Arial"/>
                <w:sz w:val="16"/>
                <w:szCs w:val="16"/>
              </w:rPr>
            </w:pPr>
            <w:r w:rsidRPr="00806461">
              <w:rPr>
                <w:rFonts w:cs="Arial"/>
                <w:b/>
                <w:bCs/>
                <w:sz w:val="16"/>
                <w:szCs w:val="16"/>
              </w:rPr>
              <w:t>Performance Data</w:t>
            </w:r>
          </w:p>
        </w:tc>
        <w:tc>
          <w:tcPr>
            <w:tcW w:w="529" w:type="pct"/>
            <w:tcBorders>
              <w:top w:val="single" w:sz="4" w:space="0" w:color="auto"/>
              <w:bottom w:val="nil"/>
            </w:tcBorders>
            <w:tcMar>
              <w:top w:w="110" w:type="dxa"/>
            </w:tcMar>
            <w:vAlign w:val="center"/>
          </w:tcPr>
          <w:p w:rsidR="000E6F6E" w:rsidRPr="00F654CF" w:rsidRDefault="000E6F6E" w:rsidP="008A4774">
            <w:pPr>
              <w:keepNext/>
              <w:keepLines/>
              <w:jc w:val="center"/>
              <w:rPr>
                <w:rFonts w:cs="Arial"/>
                <w:b/>
                <w:bCs/>
                <w:sz w:val="16"/>
                <w:szCs w:val="16"/>
              </w:rPr>
            </w:pPr>
            <w:r w:rsidRPr="00F654CF">
              <w:rPr>
                <w:rFonts w:cs="Arial"/>
                <w:b/>
                <w:bCs/>
                <w:sz w:val="16"/>
                <w:szCs w:val="16"/>
              </w:rPr>
              <w:t>TLS</w:t>
            </w:r>
          </w:p>
        </w:tc>
      </w:tr>
      <w:tr w:rsidR="000E6F6E" w:rsidRPr="00806461" w:rsidTr="008A4774">
        <w:trPr>
          <w:cantSplit/>
        </w:trPr>
        <w:tc>
          <w:tcPr>
            <w:tcW w:w="1138" w:type="pct"/>
            <w:tcBorders>
              <w:top w:val="nil"/>
              <w:bottom w:val="single" w:sz="4" w:space="0" w:color="auto"/>
            </w:tcBorders>
          </w:tcPr>
          <w:p w:rsidR="000E6F6E" w:rsidRPr="00806461" w:rsidRDefault="000E6F6E" w:rsidP="008A4774">
            <w:pPr>
              <w:rPr>
                <w:rFonts w:cs="Arial"/>
                <w:sz w:val="16"/>
                <w:szCs w:val="16"/>
              </w:rPr>
            </w:pPr>
            <w:r w:rsidRPr="007C7648">
              <w:rPr>
                <w:rFonts w:cs="Arial"/>
                <w:sz w:val="16"/>
                <w:szCs w:val="16"/>
              </w:rPr>
              <w:t>Agreement in the IGC’s negotiations on an international legal instrument(s) on TK, TCEs and GRs</w:t>
            </w:r>
          </w:p>
        </w:tc>
        <w:tc>
          <w:tcPr>
            <w:tcW w:w="1438" w:type="pct"/>
            <w:tcBorders>
              <w:top w:val="nil"/>
              <w:bottom w:val="single" w:sz="4" w:space="0" w:color="auto"/>
            </w:tcBorders>
            <w:shd w:val="clear" w:color="auto" w:fill="auto"/>
          </w:tcPr>
          <w:p w:rsidR="000E6F6E" w:rsidRPr="006138A4" w:rsidRDefault="000E6F6E" w:rsidP="008A4774">
            <w:pPr>
              <w:rPr>
                <w:rFonts w:cs="Arial"/>
                <w:i/>
                <w:color w:val="002060"/>
                <w:sz w:val="16"/>
                <w:szCs w:val="16"/>
                <w:highlight w:val="yellow"/>
              </w:rPr>
            </w:pPr>
            <w:r w:rsidRPr="00BE1D0E">
              <w:rPr>
                <w:rFonts w:cs="Arial"/>
                <w:i/>
                <w:color w:val="002060"/>
                <w:sz w:val="16"/>
                <w:szCs w:val="16"/>
              </w:rPr>
              <w:t xml:space="preserve">Updated Baseline end 2013:  </w:t>
            </w:r>
            <w:r w:rsidRPr="00BE1D0E">
              <w:rPr>
                <w:rFonts w:cs="Arial"/>
                <w:color w:val="002060"/>
                <w:sz w:val="16"/>
                <w:szCs w:val="16"/>
              </w:rPr>
              <w:t>The WIPO General Assembly in October 2013 agreed on a renewed mandate of the IGC for 2014/15 and a work program for 2014</w:t>
            </w:r>
          </w:p>
          <w:p w:rsidR="000E6F6E" w:rsidRPr="006138A4" w:rsidRDefault="000E6F6E" w:rsidP="008A4774">
            <w:pPr>
              <w:rPr>
                <w:rFonts w:cs="Arial"/>
                <w:i/>
                <w:color w:val="002060"/>
                <w:sz w:val="8"/>
                <w:szCs w:val="8"/>
                <w:highlight w:val="yellow"/>
              </w:rPr>
            </w:pPr>
          </w:p>
          <w:p w:rsidR="000E6F6E" w:rsidRDefault="000E6F6E" w:rsidP="008A4774">
            <w:pPr>
              <w:rPr>
                <w:rFonts w:cs="Arial"/>
                <w:sz w:val="16"/>
                <w:szCs w:val="16"/>
              </w:rPr>
            </w:pPr>
          </w:p>
          <w:p w:rsidR="000E6F6E" w:rsidRPr="00806461" w:rsidRDefault="000E6F6E" w:rsidP="008A4774">
            <w:pPr>
              <w:rPr>
                <w:rFonts w:cs="Arial"/>
                <w:sz w:val="16"/>
                <w:szCs w:val="16"/>
              </w:rPr>
            </w:pPr>
            <w:r>
              <w:rPr>
                <w:rFonts w:cs="Arial"/>
                <w:i/>
                <w:sz w:val="16"/>
                <w:szCs w:val="16"/>
              </w:rPr>
              <w:t>Original Baseline P&amp;B 2014/15</w:t>
            </w:r>
            <w:r w:rsidRPr="00806461">
              <w:rPr>
                <w:rFonts w:cs="Arial"/>
                <w:i/>
                <w:sz w:val="16"/>
                <w:szCs w:val="16"/>
              </w:rPr>
              <w:t>:</w:t>
            </w:r>
          </w:p>
          <w:p w:rsidR="000E6F6E" w:rsidRDefault="000E6F6E" w:rsidP="008A4774">
            <w:pPr>
              <w:rPr>
                <w:rFonts w:cs="Arial"/>
                <w:sz w:val="16"/>
                <w:szCs w:val="16"/>
              </w:rPr>
            </w:pPr>
            <w:r w:rsidRPr="007C7648">
              <w:rPr>
                <w:rFonts w:cs="Arial"/>
                <w:sz w:val="16"/>
                <w:szCs w:val="16"/>
              </w:rPr>
              <w:t>Negotiations underway under IGC mandate for 2012-2013 and work program for 2013</w:t>
            </w:r>
          </w:p>
          <w:p w:rsidR="000E6F6E" w:rsidRPr="00806461" w:rsidRDefault="000E6F6E" w:rsidP="008A4774">
            <w:pPr>
              <w:rPr>
                <w:rFonts w:cs="Arial"/>
                <w:sz w:val="16"/>
                <w:szCs w:val="16"/>
              </w:rPr>
            </w:pPr>
          </w:p>
        </w:tc>
        <w:tc>
          <w:tcPr>
            <w:tcW w:w="683" w:type="pct"/>
            <w:tcBorders>
              <w:top w:val="nil"/>
              <w:bottom w:val="single" w:sz="4" w:space="0" w:color="auto"/>
            </w:tcBorders>
            <w:tcMar>
              <w:top w:w="110" w:type="dxa"/>
            </w:tcMar>
          </w:tcPr>
          <w:p w:rsidR="000E6F6E" w:rsidRPr="00575621" w:rsidRDefault="000E6F6E" w:rsidP="008A4774">
            <w:pPr>
              <w:autoSpaceDE w:val="0"/>
              <w:autoSpaceDN w:val="0"/>
              <w:adjustRightInd w:val="0"/>
              <w:rPr>
                <w:rFonts w:cs="Arial"/>
                <w:sz w:val="16"/>
                <w:szCs w:val="16"/>
              </w:rPr>
            </w:pPr>
            <w:r w:rsidRPr="007C7648">
              <w:rPr>
                <w:rFonts w:cs="Arial"/>
                <w:sz w:val="16"/>
                <w:szCs w:val="16"/>
              </w:rPr>
              <w:t>Adoption of an  international legal instrument(s) by a</w:t>
            </w:r>
            <w:r>
              <w:rPr>
                <w:rFonts w:cs="Arial"/>
                <w:sz w:val="16"/>
                <w:szCs w:val="16"/>
              </w:rPr>
              <w:t xml:space="preserve"> possible</w:t>
            </w:r>
            <w:r w:rsidRPr="007C7648">
              <w:rPr>
                <w:rFonts w:cs="Arial"/>
                <w:sz w:val="16"/>
                <w:szCs w:val="16"/>
              </w:rPr>
              <w:t xml:space="preserve"> Diplomatic Conference</w:t>
            </w:r>
          </w:p>
        </w:tc>
        <w:tc>
          <w:tcPr>
            <w:tcW w:w="1212" w:type="pct"/>
            <w:tcBorders>
              <w:top w:val="nil"/>
              <w:bottom w:val="single" w:sz="4" w:space="0" w:color="auto"/>
            </w:tcBorders>
            <w:shd w:val="clear" w:color="auto" w:fill="FFFFFF"/>
            <w:tcMar>
              <w:top w:w="110" w:type="dxa"/>
            </w:tcMar>
          </w:tcPr>
          <w:p w:rsidR="000E6F6E" w:rsidRPr="00806461" w:rsidRDefault="000E6F6E" w:rsidP="008A4774">
            <w:pPr>
              <w:rPr>
                <w:rFonts w:cs="Arial"/>
                <w:sz w:val="16"/>
                <w:szCs w:val="16"/>
              </w:rPr>
            </w:pPr>
            <w:r>
              <w:rPr>
                <w:sz w:val="16"/>
                <w:szCs w:val="16"/>
              </w:rPr>
              <w:t>After three further sessions in 2014, t</w:t>
            </w:r>
            <w:r w:rsidRPr="000064E6">
              <w:rPr>
                <w:sz w:val="16"/>
                <w:szCs w:val="16"/>
              </w:rPr>
              <w:t>he IGC made progress in</w:t>
            </w:r>
            <w:r>
              <w:rPr>
                <w:sz w:val="16"/>
                <w:szCs w:val="16"/>
              </w:rPr>
              <w:t xml:space="preserve"> its</w:t>
            </w:r>
            <w:r w:rsidRPr="000064E6">
              <w:rPr>
                <w:sz w:val="16"/>
                <w:szCs w:val="16"/>
              </w:rPr>
              <w:t xml:space="preserve"> text-based negotiations</w:t>
            </w:r>
            <w:r w:rsidRPr="005C654A">
              <w:rPr>
                <w:sz w:val="16"/>
                <w:szCs w:val="16"/>
              </w:rPr>
              <w:t xml:space="preserve"> pursuant to its mandate.</w:t>
            </w:r>
            <w:r>
              <w:rPr>
                <w:rFonts w:cs="Arial"/>
                <w:sz w:val="16"/>
                <w:szCs w:val="16"/>
                <w:lang w:bidi="th-TH"/>
              </w:rPr>
              <w:t xml:space="preserve">  </w:t>
            </w:r>
            <w:r w:rsidRPr="007C7648">
              <w:rPr>
                <w:rFonts w:cs="Arial"/>
                <w:sz w:val="16"/>
                <w:szCs w:val="16"/>
                <w:lang w:bidi="th-TH"/>
              </w:rPr>
              <w:t>The WIPO General Assembly in October 2014 did not agree on a work program for the IGC in 2015</w:t>
            </w:r>
            <w:r w:rsidRPr="006138A4">
              <w:rPr>
                <w:rFonts w:cs="Arial"/>
                <w:sz w:val="16"/>
                <w:szCs w:val="16"/>
                <w:lang w:bidi="th-TH"/>
              </w:rPr>
              <w:t>.</w:t>
            </w:r>
            <w:r w:rsidRPr="006138A4">
              <w:rPr>
                <w:rFonts w:cs="Arial"/>
                <w:color w:val="000000" w:themeColor="text1"/>
                <w:sz w:val="16"/>
                <w:szCs w:val="16"/>
              </w:rPr>
              <w:t xml:space="preserve"> </w:t>
            </w:r>
            <w:r>
              <w:rPr>
                <w:rFonts w:cs="Arial"/>
                <w:color w:val="000000" w:themeColor="text1"/>
                <w:sz w:val="16"/>
                <w:szCs w:val="16"/>
              </w:rPr>
              <w:t xml:space="preserve"> </w:t>
            </w:r>
            <w:r w:rsidRPr="006138A4">
              <w:rPr>
                <w:rFonts w:cs="Arial"/>
                <w:color w:val="000000" w:themeColor="text1"/>
                <w:sz w:val="16"/>
                <w:szCs w:val="16"/>
              </w:rPr>
              <w:t>The WIPO General Assembly in October 2015 agreed upon a renewed mandate for the IGC for the 2016/17 biennium</w:t>
            </w:r>
            <w:r>
              <w:rPr>
                <w:rFonts w:cs="Arial"/>
                <w:color w:val="000000" w:themeColor="text1"/>
                <w:sz w:val="16"/>
                <w:szCs w:val="16"/>
              </w:rPr>
              <w:t>.</w:t>
            </w:r>
          </w:p>
        </w:tc>
        <w:tc>
          <w:tcPr>
            <w:tcW w:w="529" w:type="pct"/>
            <w:tcBorders>
              <w:top w:val="nil"/>
              <w:bottom w:val="single" w:sz="4" w:space="0" w:color="auto"/>
            </w:tcBorders>
            <w:tcMar>
              <w:top w:w="110" w:type="dxa"/>
            </w:tcMar>
          </w:tcPr>
          <w:p w:rsidR="000E6F6E" w:rsidRPr="006C543C" w:rsidRDefault="000E6F6E" w:rsidP="008A4774">
            <w:pPr>
              <w:keepNext/>
              <w:keepLines/>
              <w:jc w:val="center"/>
              <w:rPr>
                <w:b/>
                <w:bCs/>
                <w:color w:val="FF0000"/>
                <w:sz w:val="16"/>
                <w:szCs w:val="16"/>
              </w:rPr>
            </w:pPr>
            <w:r w:rsidRPr="006C543C">
              <w:rPr>
                <w:b/>
                <w:bCs/>
                <w:color w:val="FF0000"/>
                <w:sz w:val="16"/>
                <w:szCs w:val="16"/>
              </w:rPr>
              <w:t xml:space="preserve">Not </w:t>
            </w:r>
            <w:r>
              <w:rPr>
                <w:b/>
                <w:bCs/>
                <w:color w:val="FF0000"/>
                <w:sz w:val="16"/>
                <w:szCs w:val="16"/>
              </w:rPr>
              <w:br/>
              <w:t>achieved</w:t>
            </w:r>
          </w:p>
        </w:tc>
      </w:tr>
      <w:tr w:rsidR="000E6F6E" w:rsidRPr="00806461" w:rsidTr="008A4774">
        <w:trPr>
          <w:cantSplit/>
          <w:trHeight w:val="563"/>
        </w:trPr>
        <w:tc>
          <w:tcPr>
            <w:tcW w:w="5000" w:type="pct"/>
            <w:gridSpan w:val="5"/>
            <w:tcBorders>
              <w:top w:val="single" w:sz="4" w:space="0" w:color="auto"/>
              <w:bottom w:val="single" w:sz="4" w:space="0" w:color="auto"/>
            </w:tcBorders>
            <w:shd w:val="clear" w:color="auto" w:fill="C6D9F1" w:themeFill="text2" w:themeFillTint="33"/>
            <w:vAlign w:val="center"/>
          </w:tcPr>
          <w:p w:rsidR="000E6F6E" w:rsidRPr="00806461" w:rsidRDefault="000E6F6E" w:rsidP="008A4774">
            <w:pPr>
              <w:keepNext/>
              <w:keepLines/>
              <w:tabs>
                <w:tab w:val="left" w:pos="1452"/>
              </w:tabs>
              <w:ind w:left="1452" w:hanging="1452"/>
              <w:rPr>
                <w:rFonts w:cs="Arial"/>
                <w:b/>
                <w:bCs/>
                <w:sz w:val="16"/>
                <w:szCs w:val="16"/>
              </w:rPr>
            </w:pPr>
            <w:r w:rsidRPr="00806461">
              <w:rPr>
                <w:rFonts w:cs="Arial"/>
                <w:b/>
                <w:bCs/>
                <w:sz w:val="16"/>
                <w:szCs w:val="16"/>
              </w:rPr>
              <w:t>Expected Result:</w:t>
            </w:r>
            <w:r w:rsidRPr="00806461">
              <w:rPr>
                <w:rFonts w:cs="Arial"/>
                <w:b/>
                <w:bCs/>
                <w:sz w:val="16"/>
                <w:szCs w:val="16"/>
              </w:rPr>
              <w:tab/>
            </w:r>
            <w:r w:rsidRPr="00D11840">
              <w:rPr>
                <w:rFonts w:cs="Arial"/>
                <w:bCs/>
                <w:sz w:val="16"/>
                <w:szCs w:val="16"/>
              </w:rPr>
              <w:t>III.2</w:t>
            </w:r>
            <w:r>
              <w:rPr>
                <w:rFonts w:cs="Arial"/>
                <w:b/>
                <w:bCs/>
                <w:sz w:val="16"/>
                <w:szCs w:val="16"/>
              </w:rPr>
              <w:t xml:space="preserve"> </w:t>
            </w:r>
            <w:r w:rsidRPr="007C7648">
              <w:rPr>
                <w:rFonts w:cs="Arial"/>
                <w:sz w:val="16"/>
                <w:szCs w:val="16"/>
              </w:rPr>
              <w:t>Enhanced human resource capacities able to deal with the broad range of requirements for the effective use of IP for development in developing countries, LDCs and countries with economies in transition</w:t>
            </w:r>
          </w:p>
        </w:tc>
      </w:tr>
      <w:tr w:rsidR="000E6F6E" w:rsidRPr="00806461" w:rsidTr="008A4774">
        <w:trPr>
          <w:cantSplit/>
        </w:trPr>
        <w:tc>
          <w:tcPr>
            <w:tcW w:w="1138" w:type="pct"/>
            <w:tcBorders>
              <w:top w:val="single" w:sz="4" w:space="0" w:color="auto"/>
              <w:bottom w:val="nil"/>
            </w:tcBorders>
            <w:vAlign w:val="center"/>
          </w:tcPr>
          <w:p w:rsidR="000E6F6E" w:rsidRPr="00806461" w:rsidRDefault="000E6F6E" w:rsidP="008A4774">
            <w:pPr>
              <w:keepNext/>
              <w:keepLines/>
              <w:rPr>
                <w:rFonts w:cs="Arial"/>
                <w:sz w:val="16"/>
                <w:szCs w:val="16"/>
              </w:rPr>
            </w:pPr>
            <w:r w:rsidRPr="00806461">
              <w:rPr>
                <w:rFonts w:cs="Arial"/>
                <w:b/>
                <w:bCs/>
                <w:sz w:val="16"/>
                <w:szCs w:val="16"/>
              </w:rPr>
              <w:t>Performance Indicators</w:t>
            </w:r>
          </w:p>
        </w:tc>
        <w:tc>
          <w:tcPr>
            <w:tcW w:w="1438" w:type="pct"/>
            <w:tcBorders>
              <w:top w:val="single" w:sz="4" w:space="0" w:color="auto"/>
              <w:bottom w:val="nil"/>
            </w:tcBorders>
            <w:shd w:val="clear" w:color="auto" w:fill="auto"/>
            <w:vAlign w:val="center"/>
          </w:tcPr>
          <w:p w:rsidR="000E6F6E" w:rsidRPr="00806461" w:rsidRDefault="000E6F6E" w:rsidP="008A4774">
            <w:pPr>
              <w:keepNext/>
              <w:keepLines/>
              <w:rPr>
                <w:rFonts w:cs="Arial"/>
                <w:b/>
                <w:bCs/>
                <w:sz w:val="16"/>
                <w:szCs w:val="16"/>
              </w:rPr>
            </w:pPr>
            <w:r w:rsidRPr="00806461">
              <w:rPr>
                <w:rFonts w:cs="Arial"/>
                <w:b/>
                <w:bCs/>
                <w:sz w:val="16"/>
                <w:szCs w:val="16"/>
              </w:rPr>
              <w:t>Baselines</w:t>
            </w:r>
          </w:p>
        </w:tc>
        <w:tc>
          <w:tcPr>
            <w:tcW w:w="683" w:type="pct"/>
            <w:tcBorders>
              <w:top w:val="single" w:sz="4" w:space="0" w:color="auto"/>
              <w:bottom w:val="nil"/>
            </w:tcBorders>
            <w:tcMar>
              <w:top w:w="110" w:type="dxa"/>
            </w:tcMar>
            <w:vAlign w:val="center"/>
          </w:tcPr>
          <w:p w:rsidR="000E6F6E" w:rsidRPr="00806461" w:rsidRDefault="000E6F6E" w:rsidP="008A4774">
            <w:pPr>
              <w:keepNext/>
              <w:keepLines/>
              <w:rPr>
                <w:rFonts w:cs="Arial"/>
                <w:b/>
                <w:sz w:val="16"/>
                <w:szCs w:val="16"/>
              </w:rPr>
            </w:pPr>
            <w:r w:rsidRPr="00806461">
              <w:rPr>
                <w:rFonts w:cs="Arial"/>
                <w:b/>
                <w:sz w:val="16"/>
                <w:szCs w:val="16"/>
              </w:rPr>
              <w:t>Targets</w:t>
            </w:r>
          </w:p>
        </w:tc>
        <w:tc>
          <w:tcPr>
            <w:tcW w:w="1211" w:type="pct"/>
            <w:tcBorders>
              <w:top w:val="single" w:sz="4" w:space="0" w:color="auto"/>
              <w:bottom w:val="nil"/>
            </w:tcBorders>
            <w:shd w:val="clear" w:color="auto" w:fill="FFFFFF"/>
            <w:tcMar>
              <w:top w:w="110" w:type="dxa"/>
            </w:tcMar>
            <w:vAlign w:val="center"/>
          </w:tcPr>
          <w:p w:rsidR="000E6F6E" w:rsidRPr="00806461" w:rsidRDefault="000E6F6E" w:rsidP="008A4774">
            <w:pPr>
              <w:keepNext/>
              <w:keepLines/>
              <w:rPr>
                <w:rFonts w:cs="Arial"/>
                <w:sz w:val="16"/>
                <w:szCs w:val="16"/>
              </w:rPr>
            </w:pPr>
            <w:r w:rsidRPr="00806461">
              <w:rPr>
                <w:rFonts w:cs="Arial"/>
                <w:b/>
                <w:bCs/>
                <w:sz w:val="16"/>
                <w:szCs w:val="16"/>
              </w:rPr>
              <w:t>Performance Data</w:t>
            </w:r>
          </w:p>
        </w:tc>
        <w:tc>
          <w:tcPr>
            <w:tcW w:w="529" w:type="pct"/>
            <w:tcBorders>
              <w:top w:val="single" w:sz="4" w:space="0" w:color="auto"/>
              <w:bottom w:val="nil"/>
            </w:tcBorders>
            <w:tcMar>
              <w:top w:w="110" w:type="dxa"/>
            </w:tcMar>
            <w:vAlign w:val="center"/>
          </w:tcPr>
          <w:p w:rsidR="000E6F6E" w:rsidRPr="00806461" w:rsidRDefault="000E6F6E" w:rsidP="008A4774">
            <w:pPr>
              <w:keepNext/>
              <w:keepLines/>
              <w:jc w:val="center"/>
              <w:rPr>
                <w:rFonts w:cs="Arial"/>
                <w:b/>
                <w:bCs/>
                <w:sz w:val="16"/>
                <w:szCs w:val="16"/>
              </w:rPr>
            </w:pPr>
            <w:r w:rsidRPr="00806461">
              <w:rPr>
                <w:rFonts w:cs="Arial"/>
                <w:b/>
                <w:bCs/>
                <w:sz w:val="16"/>
                <w:szCs w:val="16"/>
              </w:rPr>
              <w:t>TLS</w:t>
            </w:r>
          </w:p>
        </w:tc>
      </w:tr>
      <w:tr w:rsidR="000E6F6E" w:rsidRPr="00806461" w:rsidTr="008A4774">
        <w:trPr>
          <w:cantSplit/>
        </w:trPr>
        <w:tc>
          <w:tcPr>
            <w:tcW w:w="1138" w:type="pct"/>
            <w:tcBorders>
              <w:top w:val="nil"/>
              <w:bottom w:val="single" w:sz="4" w:space="0" w:color="auto"/>
            </w:tcBorders>
            <w:shd w:val="clear" w:color="auto" w:fill="FFFFFF"/>
          </w:tcPr>
          <w:p w:rsidR="000E6F6E" w:rsidRPr="00806461" w:rsidRDefault="000E6F6E" w:rsidP="008A4774">
            <w:pPr>
              <w:rPr>
                <w:rFonts w:cs="Arial"/>
                <w:sz w:val="16"/>
                <w:szCs w:val="16"/>
                <w:lang w:bidi="th-TH"/>
              </w:rPr>
            </w:pPr>
            <w:r>
              <w:rPr>
                <w:rFonts w:cs="Arial"/>
                <w:sz w:val="16"/>
                <w:szCs w:val="16"/>
              </w:rPr>
              <w:t>%</w:t>
            </w:r>
            <w:r w:rsidRPr="007C7648">
              <w:rPr>
                <w:rFonts w:cs="Arial"/>
                <w:sz w:val="16"/>
                <w:szCs w:val="16"/>
              </w:rPr>
              <w:t xml:space="preserve"> of participants in WIPO activities </w:t>
            </w:r>
            <w:r>
              <w:rPr>
                <w:rFonts w:cs="Arial"/>
                <w:sz w:val="16"/>
                <w:szCs w:val="16"/>
              </w:rPr>
              <w:t>who</w:t>
            </w:r>
            <w:r w:rsidRPr="007C7648">
              <w:rPr>
                <w:rFonts w:cs="Arial"/>
                <w:sz w:val="16"/>
                <w:szCs w:val="16"/>
              </w:rPr>
              <w:t xml:space="preserve"> report enhanced capacity to understand and use IP principles, systems and tools for the protection of TK and TCEs, and for management of the interface between IP and GRs</w:t>
            </w:r>
          </w:p>
        </w:tc>
        <w:tc>
          <w:tcPr>
            <w:tcW w:w="1438" w:type="pct"/>
            <w:tcBorders>
              <w:top w:val="nil"/>
              <w:bottom w:val="single" w:sz="4" w:space="0" w:color="auto"/>
            </w:tcBorders>
            <w:shd w:val="clear" w:color="auto" w:fill="auto"/>
          </w:tcPr>
          <w:p w:rsidR="000E6F6E" w:rsidRDefault="000E6F6E" w:rsidP="008A4774">
            <w:pPr>
              <w:rPr>
                <w:rFonts w:cs="Arial"/>
                <w:i/>
                <w:color w:val="002060"/>
                <w:sz w:val="16"/>
                <w:szCs w:val="16"/>
              </w:rPr>
            </w:pPr>
            <w:r w:rsidRPr="00CC0FC9">
              <w:rPr>
                <w:rFonts w:cs="Arial"/>
                <w:i/>
                <w:color w:val="002060"/>
                <w:sz w:val="16"/>
                <w:szCs w:val="16"/>
              </w:rPr>
              <w:t xml:space="preserve">Updated Baseline end 2013:  </w:t>
            </w:r>
          </w:p>
          <w:p w:rsidR="000E6F6E" w:rsidRPr="00CC0FC9" w:rsidRDefault="000E6F6E" w:rsidP="008A4774">
            <w:pPr>
              <w:rPr>
                <w:rFonts w:cs="Arial"/>
                <w:color w:val="002060"/>
                <w:sz w:val="16"/>
                <w:szCs w:val="16"/>
              </w:rPr>
            </w:pPr>
            <w:r w:rsidRPr="00CC0FC9">
              <w:rPr>
                <w:rFonts w:cs="Arial"/>
                <w:color w:val="002060"/>
                <w:sz w:val="16"/>
                <w:szCs w:val="16"/>
              </w:rPr>
              <w:t xml:space="preserve">95% (79 out of 83)  </w:t>
            </w:r>
            <w:r>
              <w:rPr>
                <w:rFonts w:cs="Arial"/>
                <w:color w:val="002060"/>
                <w:sz w:val="16"/>
                <w:szCs w:val="16"/>
              </w:rPr>
              <w:t xml:space="preserve">of </w:t>
            </w:r>
            <w:r w:rsidRPr="00CC0FC9">
              <w:rPr>
                <w:rFonts w:cs="Arial"/>
                <w:color w:val="002060"/>
                <w:sz w:val="16"/>
                <w:szCs w:val="16"/>
              </w:rPr>
              <w:t>participants reported positively (feedback questionnaire used in five activities organized by the TK Division in 2012/13)</w:t>
            </w:r>
          </w:p>
          <w:p w:rsidR="000E6F6E" w:rsidRPr="006138A4" w:rsidRDefault="000E6F6E" w:rsidP="008A4774">
            <w:pPr>
              <w:rPr>
                <w:rFonts w:cs="Arial"/>
                <w:i/>
                <w:color w:val="002060"/>
                <w:sz w:val="8"/>
                <w:szCs w:val="8"/>
                <w:highlight w:val="yellow"/>
              </w:rPr>
            </w:pPr>
          </w:p>
          <w:p w:rsidR="000E6F6E" w:rsidRPr="003356E3" w:rsidRDefault="000E6F6E" w:rsidP="008A4774">
            <w:pPr>
              <w:rPr>
                <w:rFonts w:cs="Arial"/>
                <w:sz w:val="16"/>
                <w:szCs w:val="16"/>
              </w:rPr>
            </w:pPr>
            <w:r w:rsidRPr="003356E3">
              <w:rPr>
                <w:rFonts w:cs="Arial"/>
                <w:i/>
                <w:sz w:val="16"/>
                <w:szCs w:val="16"/>
              </w:rPr>
              <w:t>Original Baseline P&amp;B 2014/15:</w:t>
            </w:r>
          </w:p>
          <w:p w:rsidR="000E6F6E" w:rsidRPr="00806461" w:rsidRDefault="000E6F6E" w:rsidP="008A4774">
            <w:pPr>
              <w:rPr>
                <w:rFonts w:cs="Arial"/>
                <w:sz w:val="16"/>
                <w:szCs w:val="16"/>
                <w:lang w:bidi="th-TH"/>
              </w:rPr>
            </w:pPr>
            <w:r w:rsidRPr="003356E3">
              <w:rPr>
                <w:rFonts w:cs="Arial"/>
                <w:sz w:val="16"/>
                <w:szCs w:val="16"/>
              </w:rPr>
              <w:t>Not yet available</w:t>
            </w:r>
          </w:p>
        </w:tc>
        <w:tc>
          <w:tcPr>
            <w:tcW w:w="683" w:type="pct"/>
            <w:tcBorders>
              <w:top w:val="nil"/>
              <w:bottom w:val="single" w:sz="4" w:space="0" w:color="auto"/>
            </w:tcBorders>
            <w:tcMar>
              <w:top w:w="110" w:type="dxa"/>
            </w:tcMar>
          </w:tcPr>
          <w:p w:rsidR="000E6F6E" w:rsidRPr="00806461" w:rsidRDefault="000E6F6E" w:rsidP="008A4774">
            <w:pPr>
              <w:rPr>
                <w:rFonts w:cs="Arial"/>
                <w:sz w:val="16"/>
                <w:szCs w:val="16"/>
                <w:lang w:bidi="th-TH"/>
              </w:rPr>
            </w:pPr>
            <w:r w:rsidRPr="007C7648">
              <w:rPr>
                <w:rFonts w:cs="Arial"/>
                <w:sz w:val="16"/>
                <w:szCs w:val="16"/>
              </w:rPr>
              <w:t>80%</w:t>
            </w:r>
          </w:p>
        </w:tc>
        <w:tc>
          <w:tcPr>
            <w:tcW w:w="1211" w:type="pct"/>
            <w:tcBorders>
              <w:top w:val="nil"/>
              <w:bottom w:val="single" w:sz="4" w:space="0" w:color="auto"/>
            </w:tcBorders>
            <w:shd w:val="clear" w:color="auto" w:fill="FFFFFF"/>
            <w:tcMar>
              <w:top w:w="110" w:type="dxa"/>
            </w:tcMar>
          </w:tcPr>
          <w:p w:rsidR="000E6F6E" w:rsidRPr="00806461" w:rsidRDefault="000E6F6E" w:rsidP="008A4774">
            <w:pPr>
              <w:rPr>
                <w:rFonts w:cs="Arial"/>
                <w:sz w:val="16"/>
                <w:szCs w:val="16"/>
                <w:lang w:bidi="th-TH"/>
              </w:rPr>
            </w:pPr>
            <w:r w:rsidRPr="00CC0FC9">
              <w:rPr>
                <w:rFonts w:cs="Arial"/>
                <w:sz w:val="16"/>
                <w:szCs w:val="16"/>
                <w:lang w:bidi="th-TH"/>
              </w:rPr>
              <w:t xml:space="preserve">92% (370 out of 398) </w:t>
            </w:r>
            <w:r>
              <w:rPr>
                <w:rFonts w:cs="Arial"/>
                <w:sz w:val="16"/>
                <w:szCs w:val="16"/>
                <w:lang w:bidi="th-TH"/>
              </w:rPr>
              <w:t xml:space="preserve">of </w:t>
            </w:r>
            <w:r w:rsidRPr="00CC0FC9">
              <w:rPr>
                <w:rFonts w:cs="Arial"/>
                <w:sz w:val="16"/>
                <w:szCs w:val="16"/>
                <w:lang w:bidi="th-TH"/>
              </w:rPr>
              <w:t>participants reported positively (fee</w:t>
            </w:r>
            <w:r>
              <w:rPr>
                <w:rFonts w:cs="Arial"/>
                <w:sz w:val="16"/>
                <w:szCs w:val="16"/>
                <w:lang w:bidi="th-TH"/>
              </w:rPr>
              <w:t>dback questionnaire used in fifteen</w:t>
            </w:r>
            <w:r w:rsidRPr="00CC0FC9">
              <w:rPr>
                <w:rFonts w:cs="Arial"/>
                <w:sz w:val="16"/>
                <w:szCs w:val="16"/>
                <w:lang w:bidi="th-TH"/>
              </w:rPr>
              <w:t xml:space="preserve"> activities organized by the TK Division in 2014</w:t>
            </w:r>
            <w:r>
              <w:rPr>
                <w:rFonts w:cs="Arial"/>
                <w:sz w:val="16"/>
                <w:szCs w:val="16"/>
                <w:lang w:bidi="th-TH"/>
              </w:rPr>
              <w:t>/</w:t>
            </w:r>
            <w:r w:rsidRPr="00CC0FC9">
              <w:rPr>
                <w:rFonts w:cs="Arial"/>
                <w:sz w:val="16"/>
                <w:szCs w:val="16"/>
                <w:lang w:bidi="th-TH"/>
              </w:rPr>
              <w:t>15)</w:t>
            </w:r>
          </w:p>
        </w:tc>
        <w:tc>
          <w:tcPr>
            <w:tcW w:w="529" w:type="pct"/>
            <w:tcBorders>
              <w:top w:val="nil"/>
              <w:bottom w:val="single" w:sz="4" w:space="0" w:color="auto"/>
            </w:tcBorders>
            <w:tcMar>
              <w:top w:w="110" w:type="dxa"/>
            </w:tcMar>
          </w:tcPr>
          <w:p w:rsidR="000E6F6E" w:rsidRPr="006C543C" w:rsidRDefault="000E6F6E" w:rsidP="008A4774">
            <w:pPr>
              <w:keepNext/>
              <w:keepLines/>
              <w:jc w:val="center"/>
              <w:rPr>
                <w:rFonts w:cs="Arial"/>
                <w:b/>
                <w:bCs/>
                <w:color w:val="00B050"/>
                <w:sz w:val="16"/>
                <w:szCs w:val="16"/>
              </w:rPr>
            </w:pPr>
            <w:r>
              <w:rPr>
                <w:b/>
                <w:bCs/>
                <w:color w:val="00B050"/>
                <w:sz w:val="16"/>
                <w:szCs w:val="16"/>
              </w:rPr>
              <w:t>Fully Achieved</w:t>
            </w:r>
          </w:p>
        </w:tc>
      </w:tr>
    </w:tbl>
    <w:p w:rsidR="000E6F6E" w:rsidRDefault="000E6F6E" w:rsidP="008A4774">
      <w:pPr>
        <w:rPr>
          <w:rFonts w:cs="Arial"/>
          <w:color w:val="000000"/>
          <w:sz w:val="22"/>
          <w:szCs w:val="22"/>
        </w:rPr>
      </w:pPr>
    </w:p>
    <w:p w:rsidR="000E6F6E" w:rsidRDefault="000E6F6E" w:rsidP="008A4774">
      <w:pPr>
        <w:rPr>
          <w:rFonts w:cs="Arial"/>
          <w:color w:val="000000"/>
          <w:sz w:val="22"/>
          <w:szCs w:val="22"/>
        </w:rPr>
      </w:pPr>
    </w:p>
    <w:p w:rsidR="000E6F6E" w:rsidRPr="002A6BE0" w:rsidRDefault="000E6F6E" w:rsidP="00091E0D">
      <w:pPr>
        <w:keepNext/>
        <w:keepLines/>
        <w:rPr>
          <w:rFonts w:cs="Arial"/>
          <w:color w:val="000000"/>
          <w:szCs w:val="22"/>
        </w:rPr>
      </w:pPr>
      <w:r w:rsidRPr="002A6BE0">
        <w:rPr>
          <w:rFonts w:cs="Arial"/>
          <w:color w:val="000000"/>
          <w:szCs w:val="22"/>
        </w:rPr>
        <w:lastRenderedPageBreak/>
        <w:t>RISK REPORTING FOR THE BIENNIUM</w:t>
      </w:r>
    </w:p>
    <w:p w:rsidR="000E6F6E" w:rsidRDefault="000E6F6E" w:rsidP="00091E0D">
      <w:pPr>
        <w:keepNext/>
        <w:keepLines/>
        <w:rPr>
          <w:rFonts w:cs="Arial"/>
          <w:color w:val="000000"/>
          <w:sz w:val="22"/>
          <w:szCs w:val="22"/>
        </w:rPr>
      </w:pPr>
    </w:p>
    <w:tbl>
      <w:tblPr>
        <w:tblW w:w="9498"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2420"/>
        <w:gridCol w:w="2200"/>
        <w:gridCol w:w="2310"/>
        <w:gridCol w:w="2568"/>
      </w:tblGrid>
      <w:tr w:rsidR="000E6F6E" w:rsidRPr="003C527B" w:rsidTr="008A4774">
        <w:trPr>
          <w:trHeight w:val="458"/>
        </w:trPr>
        <w:tc>
          <w:tcPr>
            <w:tcW w:w="2420" w:type="dxa"/>
            <w:tcBorders>
              <w:top w:val="single" w:sz="4" w:space="0" w:color="auto"/>
              <w:bottom w:val="single" w:sz="4" w:space="0" w:color="auto"/>
            </w:tcBorders>
            <w:shd w:val="clear" w:color="auto" w:fill="C6D9F1" w:themeFill="text2" w:themeFillTint="33"/>
            <w:tcMar>
              <w:top w:w="113" w:type="dxa"/>
            </w:tcMar>
            <w:vAlign w:val="center"/>
          </w:tcPr>
          <w:p w:rsidR="000E6F6E" w:rsidRPr="003C527B" w:rsidRDefault="000E6F6E" w:rsidP="00091E0D">
            <w:pPr>
              <w:keepNext/>
              <w:keepLines/>
              <w:autoSpaceDE w:val="0"/>
              <w:autoSpaceDN w:val="0"/>
              <w:adjustRightInd w:val="0"/>
              <w:ind w:right="-59"/>
              <w:jc w:val="center"/>
              <w:rPr>
                <w:b/>
                <w:bCs/>
                <w:iCs/>
                <w:sz w:val="18"/>
                <w:szCs w:val="18"/>
              </w:rPr>
            </w:pPr>
            <w:r w:rsidRPr="003C527B">
              <w:rPr>
                <w:b/>
                <w:bCs/>
                <w:iCs/>
                <w:sz w:val="18"/>
                <w:szCs w:val="18"/>
              </w:rPr>
              <w:t>Risk(s) to the Program achieving its Results</w:t>
            </w:r>
          </w:p>
        </w:tc>
        <w:tc>
          <w:tcPr>
            <w:tcW w:w="2200" w:type="dxa"/>
            <w:tcBorders>
              <w:top w:val="single" w:sz="4" w:space="0" w:color="auto"/>
              <w:bottom w:val="single" w:sz="4" w:space="0" w:color="auto"/>
            </w:tcBorders>
            <w:shd w:val="clear" w:color="auto" w:fill="C6D9F1" w:themeFill="text2" w:themeFillTint="33"/>
            <w:tcMar>
              <w:top w:w="113" w:type="dxa"/>
            </w:tcMar>
            <w:vAlign w:val="center"/>
          </w:tcPr>
          <w:p w:rsidR="000E6F6E" w:rsidRPr="003C527B" w:rsidRDefault="000E6F6E" w:rsidP="00091E0D">
            <w:pPr>
              <w:keepNext/>
              <w:keepLines/>
              <w:autoSpaceDE w:val="0"/>
              <w:autoSpaceDN w:val="0"/>
              <w:adjustRightInd w:val="0"/>
              <w:ind w:right="-59"/>
              <w:jc w:val="center"/>
              <w:rPr>
                <w:b/>
                <w:bCs/>
                <w:iCs/>
                <w:sz w:val="18"/>
                <w:szCs w:val="18"/>
              </w:rPr>
            </w:pPr>
            <w:r w:rsidRPr="003C527B">
              <w:rPr>
                <w:b/>
                <w:bCs/>
                <w:iCs/>
                <w:sz w:val="18"/>
                <w:szCs w:val="18"/>
              </w:rPr>
              <w:t>Mitigation plans in place or under implementation</w:t>
            </w:r>
          </w:p>
        </w:tc>
        <w:tc>
          <w:tcPr>
            <w:tcW w:w="2310" w:type="dxa"/>
            <w:tcBorders>
              <w:top w:val="single" w:sz="4" w:space="0" w:color="auto"/>
              <w:bottom w:val="single" w:sz="4" w:space="0" w:color="auto"/>
            </w:tcBorders>
            <w:shd w:val="clear" w:color="auto" w:fill="C6D9F1" w:themeFill="text2" w:themeFillTint="33"/>
          </w:tcPr>
          <w:p w:rsidR="000E6F6E" w:rsidRPr="003C527B" w:rsidRDefault="000E6F6E" w:rsidP="00091E0D">
            <w:pPr>
              <w:keepNext/>
              <w:keepLines/>
              <w:jc w:val="center"/>
              <w:rPr>
                <w:b/>
                <w:bCs/>
                <w:sz w:val="18"/>
                <w:szCs w:val="18"/>
              </w:rPr>
            </w:pPr>
            <w:r>
              <w:rPr>
                <w:b/>
                <w:bCs/>
                <w:sz w:val="18"/>
                <w:szCs w:val="18"/>
              </w:rPr>
              <w:t>Evolution of Risk(s) and Mitigation Strategies Over the Biennium</w:t>
            </w:r>
          </w:p>
        </w:tc>
        <w:tc>
          <w:tcPr>
            <w:tcW w:w="2568" w:type="dxa"/>
            <w:tcBorders>
              <w:top w:val="single" w:sz="4" w:space="0" w:color="auto"/>
              <w:bottom w:val="single" w:sz="4" w:space="0" w:color="auto"/>
            </w:tcBorders>
            <w:shd w:val="clear" w:color="auto" w:fill="C6D9F1" w:themeFill="text2" w:themeFillTint="33"/>
          </w:tcPr>
          <w:p w:rsidR="000E6F6E" w:rsidRPr="003C527B" w:rsidRDefault="000E6F6E" w:rsidP="00091E0D">
            <w:pPr>
              <w:keepNext/>
              <w:keepLines/>
              <w:jc w:val="center"/>
              <w:rPr>
                <w:b/>
                <w:bCs/>
                <w:sz w:val="18"/>
                <w:szCs w:val="18"/>
              </w:rPr>
            </w:pPr>
            <w:r>
              <w:rPr>
                <w:b/>
                <w:bCs/>
                <w:sz w:val="18"/>
                <w:szCs w:val="18"/>
              </w:rPr>
              <w:t>Impact on the Program’s Performance</w:t>
            </w:r>
          </w:p>
        </w:tc>
      </w:tr>
      <w:tr w:rsidR="000E6F6E" w:rsidRPr="003C527B" w:rsidTr="008A4774">
        <w:trPr>
          <w:trHeight w:val="1129"/>
        </w:trPr>
        <w:tc>
          <w:tcPr>
            <w:tcW w:w="2420" w:type="dxa"/>
            <w:tcBorders>
              <w:top w:val="single" w:sz="4" w:space="0" w:color="auto"/>
            </w:tcBorders>
            <w:shd w:val="clear" w:color="auto" w:fill="auto"/>
            <w:tcMar>
              <w:top w:w="113" w:type="dxa"/>
            </w:tcMar>
          </w:tcPr>
          <w:p w:rsidR="000E6F6E" w:rsidRPr="003C527B" w:rsidRDefault="000E6F6E" w:rsidP="00091E0D">
            <w:pPr>
              <w:keepNext/>
              <w:keepLines/>
              <w:autoSpaceDE w:val="0"/>
              <w:autoSpaceDN w:val="0"/>
              <w:adjustRightInd w:val="0"/>
              <w:ind w:right="-59"/>
              <w:rPr>
                <w:sz w:val="16"/>
                <w:szCs w:val="16"/>
              </w:rPr>
            </w:pPr>
            <w:r>
              <w:rPr>
                <w:bCs/>
                <w:sz w:val="16"/>
                <w:szCs w:val="16"/>
              </w:rPr>
              <w:t xml:space="preserve">The IGC </w:t>
            </w:r>
            <w:r w:rsidRPr="003C527B">
              <w:rPr>
                <w:bCs/>
                <w:sz w:val="16"/>
                <w:szCs w:val="16"/>
              </w:rPr>
              <w:t xml:space="preserve">unable to reach </w:t>
            </w:r>
            <w:r>
              <w:rPr>
                <w:bCs/>
                <w:sz w:val="16"/>
                <w:szCs w:val="16"/>
              </w:rPr>
              <w:t>agreement</w:t>
            </w:r>
            <w:r w:rsidRPr="003C527B">
              <w:rPr>
                <w:bCs/>
                <w:sz w:val="16"/>
                <w:szCs w:val="16"/>
              </w:rPr>
              <w:t xml:space="preserve"> on</w:t>
            </w:r>
            <w:r>
              <w:rPr>
                <w:bCs/>
                <w:sz w:val="16"/>
                <w:szCs w:val="16"/>
              </w:rPr>
              <w:t xml:space="preserve"> an </w:t>
            </w:r>
            <w:r w:rsidRPr="003C527B">
              <w:rPr>
                <w:bCs/>
                <w:sz w:val="16"/>
                <w:szCs w:val="16"/>
              </w:rPr>
              <w:t>international legal instrument(s).</w:t>
            </w:r>
          </w:p>
        </w:tc>
        <w:tc>
          <w:tcPr>
            <w:tcW w:w="2200" w:type="dxa"/>
            <w:tcBorders>
              <w:top w:val="single" w:sz="4" w:space="0" w:color="auto"/>
            </w:tcBorders>
            <w:shd w:val="clear" w:color="auto" w:fill="auto"/>
            <w:tcMar>
              <w:top w:w="113" w:type="dxa"/>
            </w:tcMar>
          </w:tcPr>
          <w:p w:rsidR="000E6F6E" w:rsidRPr="003C527B" w:rsidRDefault="000E6F6E" w:rsidP="00091E0D">
            <w:pPr>
              <w:keepNext/>
              <w:keepLines/>
              <w:autoSpaceDE w:val="0"/>
              <w:autoSpaceDN w:val="0"/>
              <w:adjustRightInd w:val="0"/>
              <w:ind w:right="-59"/>
              <w:rPr>
                <w:sz w:val="16"/>
                <w:szCs w:val="16"/>
              </w:rPr>
            </w:pPr>
            <w:r w:rsidRPr="003C527B">
              <w:rPr>
                <w:bCs/>
                <w:sz w:val="16"/>
                <w:szCs w:val="16"/>
              </w:rPr>
              <w:t xml:space="preserve">The Secretariat is committed, within the scope of its resources, to facilitate and create </w:t>
            </w:r>
            <w:r>
              <w:rPr>
                <w:bCs/>
                <w:sz w:val="16"/>
                <w:szCs w:val="16"/>
              </w:rPr>
              <w:t xml:space="preserve">a </w:t>
            </w:r>
            <w:proofErr w:type="gramStart"/>
            <w:r w:rsidRPr="003C527B">
              <w:rPr>
                <w:bCs/>
                <w:sz w:val="16"/>
                <w:szCs w:val="16"/>
              </w:rPr>
              <w:t>conducive</w:t>
            </w:r>
            <w:proofErr w:type="gramEnd"/>
            <w:r w:rsidRPr="003C527B">
              <w:rPr>
                <w:bCs/>
                <w:sz w:val="16"/>
                <w:szCs w:val="16"/>
              </w:rPr>
              <w:t xml:space="preserve"> environment for the negotiations, for example, through providing clear and objective information about the issues being discussed at the IGC, providing an efficient and neutral Secretariat service and providing efficient and neutral support to the IGC Chair.</w:t>
            </w:r>
          </w:p>
        </w:tc>
        <w:tc>
          <w:tcPr>
            <w:tcW w:w="2310" w:type="dxa"/>
            <w:tcBorders>
              <w:top w:val="single" w:sz="4" w:space="0" w:color="auto"/>
            </w:tcBorders>
          </w:tcPr>
          <w:p w:rsidR="000E6F6E" w:rsidRPr="000B7D2F" w:rsidRDefault="000E6F6E" w:rsidP="00091E0D">
            <w:pPr>
              <w:keepNext/>
              <w:keepLines/>
              <w:autoSpaceDE w:val="0"/>
              <w:autoSpaceDN w:val="0"/>
              <w:adjustRightInd w:val="0"/>
              <w:ind w:right="-59"/>
              <w:rPr>
                <w:bCs/>
                <w:sz w:val="16"/>
                <w:szCs w:val="16"/>
              </w:rPr>
            </w:pPr>
            <w:r>
              <w:rPr>
                <w:bCs/>
                <w:sz w:val="16"/>
                <w:szCs w:val="16"/>
              </w:rPr>
              <w:t xml:space="preserve">Noting the lack of decision by Member States on a workplan for 2015 and despite the renewal of the mandate of the IGC in September 2015, the risk that the Member States will be unable to reach an international legal instrument(s) will remain for the following biennium as well.  The mitigation strategy will also </w:t>
            </w:r>
            <w:proofErr w:type="gramStart"/>
            <w:r>
              <w:rPr>
                <w:bCs/>
                <w:sz w:val="16"/>
                <w:szCs w:val="16"/>
              </w:rPr>
              <w:t>remain  the</w:t>
            </w:r>
            <w:proofErr w:type="gramEnd"/>
            <w:r>
              <w:rPr>
                <w:bCs/>
                <w:sz w:val="16"/>
                <w:szCs w:val="16"/>
              </w:rPr>
              <w:t xml:space="preserve"> same, i.e. to provide an efficient and neutral support to the process and the IGC Chair in particular.</w:t>
            </w:r>
          </w:p>
        </w:tc>
        <w:tc>
          <w:tcPr>
            <w:tcW w:w="2568" w:type="dxa"/>
            <w:tcBorders>
              <w:top w:val="single" w:sz="4" w:space="0" w:color="auto"/>
            </w:tcBorders>
          </w:tcPr>
          <w:p w:rsidR="000E6F6E" w:rsidRPr="000B7D2F" w:rsidRDefault="000E6F6E" w:rsidP="00091E0D">
            <w:pPr>
              <w:keepNext/>
              <w:keepLines/>
              <w:autoSpaceDE w:val="0"/>
              <w:autoSpaceDN w:val="0"/>
              <w:adjustRightInd w:val="0"/>
              <w:ind w:right="-59"/>
              <w:rPr>
                <w:bCs/>
                <w:sz w:val="16"/>
                <w:szCs w:val="16"/>
              </w:rPr>
            </w:pPr>
            <w:r>
              <w:rPr>
                <w:bCs/>
                <w:sz w:val="16"/>
                <w:szCs w:val="16"/>
              </w:rPr>
              <w:t>The evolution of this risk had a direct impact on the conclusion by Member States of an international legal instrument(s).</w:t>
            </w:r>
          </w:p>
        </w:tc>
      </w:tr>
      <w:tr w:rsidR="000E6F6E" w:rsidRPr="003C527B" w:rsidTr="008A4774">
        <w:trPr>
          <w:trHeight w:val="3113"/>
        </w:trPr>
        <w:tc>
          <w:tcPr>
            <w:tcW w:w="2420" w:type="dxa"/>
            <w:shd w:val="clear" w:color="auto" w:fill="auto"/>
            <w:tcMar>
              <w:top w:w="113" w:type="dxa"/>
            </w:tcMar>
          </w:tcPr>
          <w:p w:rsidR="000E6F6E" w:rsidRPr="003C527B" w:rsidRDefault="000E6F6E" w:rsidP="008A4774">
            <w:pPr>
              <w:keepNext/>
              <w:keepLines/>
              <w:autoSpaceDE w:val="0"/>
              <w:autoSpaceDN w:val="0"/>
              <w:adjustRightInd w:val="0"/>
              <w:ind w:right="-59"/>
              <w:rPr>
                <w:bCs/>
                <w:sz w:val="16"/>
                <w:szCs w:val="16"/>
              </w:rPr>
            </w:pPr>
            <w:r w:rsidRPr="003C527B">
              <w:rPr>
                <w:sz w:val="16"/>
                <w:szCs w:val="16"/>
              </w:rPr>
              <w:t>Loss of relevance of the IGC if Member States de-prioritize TK, TCEs and GRs as IP issues and/or believe other fora are more likely to deliver desirable outcomes.</w:t>
            </w:r>
          </w:p>
        </w:tc>
        <w:tc>
          <w:tcPr>
            <w:tcW w:w="2200" w:type="dxa"/>
            <w:shd w:val="clear" w:color="auto" w:fill="auto"/>
            <w:tcMar>
              <w:top w:w="113" w:type="dxa"/>
            </w:tcMar>
          </w:tcPr>
          <w:p w:rsidR="000E6F6E" w:rsidRPr="003C527B" w:rsidRDefault="000E6F6E" w:rsidP="008A4774">
            <w:pPr>
              <w:keepNext/>
              <w:keepLines/>
              <w:autoSpaceDE w:val="0"/>
              <w:autoSpaceDN w:val="0"/>
              <w:adjustRightInd w:val="0"/>
              <w:ind w:right="-59"/>
              <w:rPr>
                <w:bCs/>
                <w:sz w:val="16"/>
                <w:szCs w:val="16"/>
              </w:rPr>
            </w:pPr>
            <w:r w:rsidRPr="003C527B">
              <w:rPr>
                <w:sz w:val="16"/>
                <w:szCs w:val="16"/>
              </w:rPr>
              <w:t>The Secretariat raises awareness of the importance for IP policy of TK, TCEs and GRs issues.  The Secretariat follows closely the negotiations in other fora, in order to be able to provide neutral information about the IGC to Member States in those other fora, and coordinates with other Secretariats to try to avoid duplication of efforts among Secretariats which can cause confusion among the Member States.</w:t>
            </w:r>
          </w:p>
        </w:tc>
        <w:tc>
          <w:tcPr>
            <w:tcW w:w="2310" w:type="dxa"/>
          </w:tcPr>
          <w:p w:rsidR="000E6F6E" w:rsidRPr="000B7D2F" w:rsidRDefault="000E6F6E" w:rsidP="008A4774">
            <w:pPr>
              <w:keepNext/>
              <w:keepLines/>
              <w:autoSpaceDE w:val="0"/>
              <w:autoSpaceDN w:val="0"/>
              <w:adjustRightInd w:val="0"/>
              <w:ind w:right="-59"/>
              <w:rPr>
                <w:sz w:val="16"/>
                <w:szCs w:val="16"/>
              </w:rPr>
            </w:pPr>
            <w:r>
              <w:rPr>
                <w:sz w:val="16"/>
                <w:szCs w:val="16"/>
              </w:rPr>
              <w:t>During the 2015 General Assembly, considerable support for the IGC process and Program 4 as a whole was expressed by Member States despite the IGC recess in 2015.  Coupled with the renewal of the IGC mandate, such support suggests that the risk of loss of relevance has reduced to some extent.  The Secretariat continued to raise awareness of the relevance and importance of GR, TK and TCEs issues for IP policy making.</w:t>
            </w:r>
          </w:p>
        </w:tc>
        <w:tc>
          <w:tcPr>
            <w:tcW w:w="2568" w:type="dxa"/>
          </w:tcPr>
          <w:p w:rsidR="000E6F6E" w:rsidRPr="000B7D2F" w:rsidRDefault="000E6F6E">
            <w:pPr>
              <w:keepNext/>
              <w:keepLines/>
              <w:autoSpaceDE w:val="0"/>
              <w:autoSpaceDN w:val="0"/>
              <w:adjustRightInd w:val="0"/>
              <w:ind w:right="-59"/>
              <w:rPr>
                <w:sz w:val="16"/>
                <w:szCs w:val="16"/>
              </w:rPr>
            </w:pPr>
            <w:r>
              <w:rPr>
                <w:sz w:val="16"/>
                <w:szCs w:val="16"/>
              </w:rPr>
              <w:t>Program performance was not materially impacted by the evolution of the risk</w:t>
            </w:r>
            <w:r>
              <w:rPr>
                <w:bCs/>
                <w:sz w:val="16"/>
                <w:szCs w:val="16"/>
              </w:rPr>
              <w:t xml:space="preserve">.  </w:t>
            </w:r>
          </w:p>
        </w:tc>
      </w:tr>
    </w:tbl>
    <w:p w:rsidR="000E6F6E" w:rsidRDefault="000E6F6E" w:rsidP="008A4774">
      <w:pPr>
        <w:rPr>
          <w:rFonts w:cs="Arial"/>
          <w:color w:val="000000"/>
          <w:sz w:val="22"/>
          <w:szCs w:val="22"/>
        </w:rPr>
      </w:pPr>
    </w:p>
    <w:p w:rsidR="000E6F6E" w:rsidRDefault="000E6F6E" w:rsidP="008A4774">
      <w:pPr>
        <w:rPr>
          <w:rFonts w:cs="Arial"/>
          <w:color w:val="000000"/>
          <w:sz w:val="22"/>
          <w:szCs w:val="22"/>
        </w:rPr>
      </w:pPr>
    </w:p>
    <w:p w:rsidR="000E6F6E" w:rsidRPr="002A6BE0" w:rsidRDefault="000E6F6E" w:rsidP="008A4774">
      <w:pPr>
        <w:keepNext/>
        <w:keepLines/>
        <w:rPr>
          <w:rFonts w:cs="Arial"/>
          <w:color w:val="000000"/>
          <w:szCs w:val="22"/>
        </w:rPr>
      </w:pPr>
      <w:r w:rsidRPr="002A6BE0">
        <w:rPr>
          <w:rFonts w:cs="Arial"/>
          <w:color w:val="000000"/>
          <w:szCs w:val="22"/>
        </w:rPr>
        <w:t>RESOURCE UTILIZATION</w:t>
      </w:r>
      <w:r w:rsidRPr="002A6BE0">
        <w:rPr>
          <w:rFonts w:cs="Arial"/>
          <w:color w:val="000000"/>
          <w:szCs w:val="22"/>
        </w:rPr>
        <w:tab/>
      </w:r>
    </w:p>
    <w:p w:rsidR="000E6F6E" w:rsidRPr="008F4A6D" w:rsidRDefault="000E6F6E" w:rsidP="008A4774">
      <w:pPr>
        <w:keepNext/>
        <w:keepLines/>
        <w:rPr>
          <w:szCs w:val="20"/>
        </w:rPr>
      </w:pPr>
    </w:p>
    <w:p w:rsidR="000E6F6E" w:rsidRPr="00383D2D" w:rsidRDefault="000E6F6E" w:rsidP="008A4774">
      <w:pPr>
        <w:pStyle w:val="NormalWeb"/>
        <w:keepNext/>
        <w:keepLines/>
        <w:spacing w:before="0" w:beforeAutospacing="0" w:after="0" w:afterAutospacing="0"/>
        <w:jc w:val="center"/>
        <w:rPr>
          <w:sz w:val="20"/>
          <w:szCs w:val="20"/>
        </w:rPr>
      </w:pPr>
      <w:r w:rsidRPr="00383D2D">
        <w:rPr>
          <w:color w:val="000000"/>
          <w:sz w:val="20"/>
          <w:szCs w:val="20"/>
        </w:rPr>
        <w:t xml:space="preserve">Budget and Actual Expenditure (by result) </w:t>
      </w:r>
    </w:p>
    <w:p w:rsidR="000E6F6E" w:rsidRDefault="000E6F6E" w:rsidP="008A4774">
      <w:pPr>
        <w:pStyle w:val="NormalWeb"/>
        <w:keepNext/>
        <w:keepLines/>
        <w:spacing w:before="0" w:beforeAutospacing="0" w:after="0" w:afterAutospacing="0"/>
        <w:jc w:val="center"/>
        <w:rPr>
          <w:i/>
          <w:iCs/>
          <w:color w:val="000000"/>
          <w:sz w:val="20"/>
          <w:szCs w:val="20"/>
        </w:rPr>
      </w:pPr>
      <w:r w:rsidRPr="00383D2D">
        <w:rPr>
          <w:i/>
          <w:iCs/>
          <w:color w:val="000000"/>
          <w:sz w:val="20"/>
          <w:szCs w:val="20"/>
        </w:rPr>
        <w:t>(</w:t>
      </w:r>
      <w:proofErr w:type="gramStart"/>
      <w:r w:rsidRPr="00383D2D">
        <w:rPr>
          <w:i/>
          <w:iCs/>
          <w:color w:val="000000"/>
          <w:sz w:val="20"/>
          <w:szCs w:val="20"/>
        </w:rPr>
        <w:t>in</w:t>
      </w:r>
      <w:proofErr w:type="gramEnd"/>
      <w:r w:rsidRPr="00383D2D">
        <w:rPr>
          <w:i/>
          <w:iCs/>
          <w:color w:val="000000"/>
          <w:sz w:val="20"/>
          <w:szCs w:val="20"/>
        </w:rPr>
        <w:t xml:space="preserve"> thousands of Swiss francs)</w:t>
      </w:r>
    </w:p>
    <w:p w:rsidR="000E6F6E" w:rsidRPr="00383D2D" w:rsidRDefault="000E6F6E" w:rsidP="008A4774">
      <w:pPr>
        <w:pStyle w:val="NormalWeb"/>
        <w:keepNext/>
        <w:keepLines/>
        <w:spacing w:before="0" w:beforeAutospacing="0" w:after="0" w:afterAutospacing="0"/>
        <w:jc w:val="center"/>
        <w:rPr>
          <w:sz w:val="20"/>
          <w:szCs w:val="20"/>
        </w:rPr>
      </w:pPr>
    </w:p>
    <w:p w:rsidR="000E6F6E" w:rsidRDefault="000E6F6E" w:rsidP="008A4774">
      <w:pPr>
        <w:keepNext/>
        <w:keepLines/>
        <w:jc w:val="center"/>
      </w:pPr>
      <w:r w:rsidRPr="00AB1B89">
        <w:rPr>
          <w:noProof/>
        </w:rPr>
        <w:drawing>
          <wp:inline distT="0" distB="0" distL="0" distR="0" wp14:anchorId="0379CE92" wp14:editId="72F66BC9">
            <wp:extent cx="4995080" cy="2369566"/>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998210" cy="2371051"/>
                    </a:xfrm>
                    <a:prstGeom prst="rect">
                      <a:avLst/>
                    </a:prstGeom>
                    <a:noFill/>
                    <a:ln>
                      <a:noFill/>
                    </a:ln>
                  </pic:spPr>
                </pic:pic>
              </a:graphicData>
            </a:graphic>
          </wp:inline>
        </w:drawing>
      </w:r>
    </w:p>
    <w:p w:rsidR="000E6F6E" w:rsidRDefault="000E6F6E" w:rsidP="008A4774">
      <w:pPr>
        <w:keepNext/>
        <w:keepLines/>
      </w:pPr>
    </w:p>
    <w:p w:rsidR="000E6F6E" w:rsidRDefault="000E6F6E" w:rsidP="008A4774"/>
    <w:p w:rsidR="000E6F6E" w:rsidRPr="00383D2D" w:rsidRDefault="000E6F6E" w:rsidP="008A4774">
      <w:pPr>
        <w:pStyle w:val="NormalWeb"/>
        <w:keepNext/>
        <w:keepLines/>
        <w:spacing w:before="0" w:beforeAutospacing="0" w:after="0" w:afterAutospacing="0"/>
        <w:jc w:val="center"/>
        <w:rPr>
          <w:sz w:val="20"/>
          <w:szCs w:val="20"/>
        </w:rPr>
      </w:pPr>
      <w:r w:rsidRPr="00383D2D">
        <w:rPr>
          <w:color w:val="000000"/>
          <w:sz w:val="20"/>
          <w:szCs w:val="20"/>
        </w:rPr>
        <w:lastRenderedPageBreak/>
        <w:t xml:space="preserve">Budget and Actual Expenditure (personnel and non-personnel) </w:t>
      </w:r>
    </w:p>
    <w:p w:rsidR="000E6F6E" w:rsidRDefault="000E6F6E" w:rsidP="008A4774">
      <w:pPr>
        <w:pStyle w:val="NormalWeb"/>
        <w:keepNext/>
        <w:keepLines/>
        <w:spacing w:before="0" w:beforeAutospacing="0" w:after="0" w:afterAutospacing="0"/>
        <w:jc w:val="center"/>
        <w:rPr>
          <w:i/>
          <w:iCs/>
          <w:color w:val="000000"/>
          <w:sz w:val="20"/>
          <w:szCs w:val="20"/>
        </w:rPr>
      </w:pPr>
      <w:r w:rsidRPr="00383D2D">
        <w:rPr>
          <w:i/>
          <w:iCs/>
          <w:color w:val="000000"/>
          <w:sz w:val="20"/>
          <w:szCs w:val="20"/>
        </w:rPr>
        <w:t>(</w:t>
      </w:r>
      <w:proofErr w:type="gramStart"/>
      <w:r w:rsidRPr="00383D2D">
        <w:rPr>
          <w:i/>
          <w:iCs/>
          <w:color w:val="000000"/>
          <w:sz w:val="20"/>
          <w:szCs w:val="20"/>
        </w:rPr>
        <w:t>in</w:t>
      </w:r>
      <w:proofErr w:type="gramEnd"/>
      <w:r w:rsidRPr="00383D2D">
        <w:rPr>
          <w:i/>
          <w:iCs/>
          <w:color w:val="000000"/>
          <w:sz w:val="20"/>
          <w:szCs w:val="20"/>
        </w:rPr>
        <w:t xml:space="preserve"> thousands of Swiss francs)</w:t>
      </w:r>
    </w:p>
    <w:p w:rsidR="000E6F6E" w:rsidRPr="00383D2D" w:rsidRDefault="000E6F6E" w:rsidP="008A4774">
      <w:pPr>
        <w:pStyle w:val="NormalWeb"/>
        <w:keepNext/>
        <w:keepLines/>
        <w:spacing w:before="0" w:beforeAutospacing="0" w:after="0" w:afterAutospacing="0"/>
        <w:jc w:val="center"/>
        <w:rPr>
          <w:i/>
          <w:iCs/>
          <w:color w:val="000000"/>
          <w:sz w:val="20"/>
          <w:szCs w:val="20"/>
        </w:rPr>
      </w:pPr>
    </w:p>
    <w:p w:rsidR="000E6F6E" w:rsidRDefault="000E6F6E" w:rsidP="008A4774">
      <w:pPr>
        <w:pStyle w:val="NormalWeb"/>
        <w:keepNext/>
        <w:keepLines/>
        <w:spacing w:before="0" w:beforeAutospacing="0" w:after="0" w:afterAutospacing="0"/>
        <w:jc w:val="center"/>
      </w:pPr>
      <w:r w:rsidRPr="009835AD">
        <w:rPr>
          <w:noProof/>
        </w:rPr>
        <w:drawing>
          <wp:inline distT="0" distB="0" distL="0" distR="0" wp14:anchorId="7291F96C" wp14:editId="651AAABB">
            <wp:extent cx="5015552" cy="962162"/>
            <wp:effectExtent l="0" t="0" r="0" b="9525"/>
            <wp:docPr id="888" name="Picture 8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022954" cy="963582"/>
                    </a:xfrm>
                    <a:prstGeom prst="rect">
                      <a:avLst/>
                    </a:prstGeom>
                    <a:noFill/>
                    <a:ln>
                      <a:noFill/>
                    </a:ln>
                  </pic:spPr>
                </pic:pic>
              </a:graphicData>
            </a:graphic>
          </wp:inline>
        </w:drawing>
      </w:r>
    </w:p>
    <w:p w:rsidR="000E6F6E" w:rsidRDefault="000E6F6E" w:rsidP="008A4774">
      <w:pPr>
        <w:widowControl w:val="0"/>
        <w:autoSpaceDE w:val="0"/>
        <w:autoSpaceDN w:val="0"/>
        <w:adjustRightInd w:val="0"/>
        <w:rPr>
          <w:rFonts w:cs="Arial"/>
          <w:szCs w:val="20"/>
        </w:rPr>
      </w:pPr>
    </w:p>
    <w:p w:rsidR="000E6F6E" w:rsidRPr="001C6F4D" w:rsidRDefault="000E6F6E" w:rsidP="008A4774">
      <w:pPr>
        <w:widowControl w:val="0"/>
        <w:autoSpaceDE w:val="0"/>
        <w:autoSpaceDN w:val="0"/>
        <w:adjustRightInd w:val="0"/>
        <w:rPr>
          <w:rFonts w:cs="Arial"/>
          <w:szCs w:val="20"/>
        </w:rPr>
      </w:pPr>
    </w:p>
    <w:p w:rsidR="000E6F6E" w:rsidRPr="00420F90" w:rsidRDefault="000E6F6E" w:rsidP="008A4774">
      <w:pPr>
        <w:rPr>
          <w:rFonts w:cs="Arial"/>
          <w:u w:val="single"/>
        </w:rPr>
      </w:pPr>
      <w:r w:rsidRPr="00420F90">
        <w:rPr>
          <w:rFonts w:cs="Arial"/>
          <w:szCs w:val="20"/>
        </w:rPr>
        <w:t>A.</w:t>
      </w:r>
      <w:r w:rsidRPr="00420F90">
        <w:rPr>
          <w:rFonts w:cs="Arial"/>
        </w:rPr>
        <w:tab/>
      </w:r>
      <w:r w:rsidRPr="00420F90">
        <w:rPr>
          <w:rFonts w:cs="Arial"/>
          <w:u w:val="single"/>
        </w:rPr>
        <w:t>201</w:t>
      </w:r>
      <w:r>
        <w:rPr>
          <w:rFonts w:cs="Arial"/>
          <w:u w:val="single"/>
        </w:rPr>
        <w:t xml:space="preserve">4/15 Final </w:t>
      </w:r>
      <w:r w:rsidRPr="00420F90">
        <w:rPr>
          <w:rFonts w:cs="Arial"/>
          <w:u w:val="single"/>
        </w:rPr>
        <w:t xml:space="preserve">Budget after Transfers </w:t>
      </w:r>
    </w:p>
    <w:p w:rsidR="000E6F6E" w:rsidRDefault="000E6F6E" w:rsidP="008A4774">
      <w:pPr>
        <w:autoSpaceDE w:val="0"/>
        <w:autoSpaceDN w:val="0"/>
        <w:rPr>
          <w:lang w:eastAsia="ko-KR"/>
        </w:rPr>
      </w:pPr>
    </w:p>
    <w:p w:rsidR="000E6F6E" w:rsidRDefault="000E6F6E" w:rsidP="00F6573D">
      <w:pPr>
        <w:pStyle w:val="ListParagraph"/>
        <w:numPr>
          <w:ilvl w:val="0"/>
          <w:numId w:val="11"/>
        </w:numPr>
        <w:tabs>
          <w:tab w:val="left" w:pos="709"/>
        </w:tabs>
        <w:ind w:left="0" w:firstLine="0"/>
        <w:jc w:val="both"/>
        <w:rPr>
          <w:lang w:eastAsia="ko-KR"/>
        </w:rPr>
      </w:pPr>
      <w:r w:rsidRPr="00D6292F">
        <w:rPr>
          <w:rFonts w:cs="Arial"/>
          <w:color w:val="000000" w:themeColor="text1"/>
        </w:rPr>
        <w:t>The</w:t>
      </w:r>
      <w:r>
        <w:rPr>
          <w:lang w:eastAsia="ko-KR"/>
        </w:rPr>
        <w:t xml:space="preserve"> decrease in the 2014/15 Final Budget after Transfers under Result I.1 (Development of balanced international normative frameworks for IP) reflects a reduction in respect of the initially planned resource allocation for a Diplomatic Conference in the area of IP and Genetic Resources, Traditional Knowledge and Folklore (IGC).</w:t>
      </w:r>
    </w:p>
    <w:p w:rsidR="000E6F6E" w:rsidRDefault="000E6F6E" w:rsidP="00F6573D">
      <w:pPr>
        <w:tabs>
          <w:tab w:val="left" w:pos="709"/>
        </w:tabs>
        <w:autoSpaceDE w:val="0"/>
        <w:autoSpaceDN w:val="0"/>
        <w:jc w:val="both"/>
        <w:rPr>
          <w:lang w:eastAsia="ko-KR"/>
        </w:rPr>
      </w:pPr>
    </w:p>
    <w:p w:rsidR="000E6F6E" w:rsidRPr="001E68F6" w:rsidRDefault="000E6F6E" w:rsidP="00F6573D">
      <w:pPr>
        <w:pStyle w:val="ListParagraph"/>
        <w:numPr>
          <w:ilvl w:val="0"/>
          <w:numId w:val="11"/>
        </w:numPr>
        <w:tabs>
          <w:tab w:val="left" w:pos="709"/>
        </w:tabs>
        <w:ind w:left="0" w:firstLine="0"/>
        <w:jc w:val="both"/>
        <w:rPr>
          <w:color w:val="000000"/>
        </w:rPr>
      </w:pPr>
      <w:r w:rsidRPr="00D6292F">
        <w:rPr>
          <w:rFonts w:cs="Arial"/>
          <w:color w:val="000000" w:themeColor="text1"/>
        </w:rPr>
        <w:t>Program</w:t>
      </w:r>
      <w:r w:rsidRPr="001E68F6">
        <w:rPr>
          <w:color w:val="000000"/>
        </w:rPr>
        <w:t xml:space="preserve"> 4 include</w:t>
      </w:r>
      <w:r>
        <w:rPr>
          <w:color w:val="000000"/>
        </w:rPr>
        <w:t>s</w:t>
      </w:r>
      <w:r w:rsidRPr="00845557">
        <w:rPr>
          <w:color w:val="000000"/>
        </w:rPr>
        <w:t xml:space="preserve"> resources </w:t>
      </w:r>
      <w:r>
        <w:rPr>
          <w:color w:val="000000"/>
        </w:rPr>
        <w:t xml:space="preserve">allocated </w:t>
      </w:r>
      <w:r w:rsidRPr="001E68F6">
        <w:rPr>
          <w:color w:val="000000"/>
        </w:rPr>
        <w:t>to</w:t>
      </w:r>
      <w:r w:rsidRPr="00845557">
        <w:rPr>
          <w:color w:val="000000"/>
        </w:rPr>
        <w:t xml:space="preserve"> the Department of Traditional Knowledge and Global Challenges </w:t>
      </w:r>
      <w:r w:rsidRPr="001E68F6">
        <w:rPr>
          <w:color w:val="000000"/>
        </w:rPr>
        <w:t>relevant to Expected Result VII.2.</w:t>
      </w:r>
    </w:p>
    <w:p w:rsidR="000E6F6E" w:rsidRDefault="000E6F6E" w:rsidP="00F6573D">
      <w:pPr>
        <w:tabs>
          <w:tab w:val="left" w:pos="709"/>
        </w:tabs>
        <w:autoSpaceDE w:val="0"/>
        <w:autoSpaceDN w:val="0"/>
        <w:jc w:val="both"/>
        <w:rPr>
          <w:lang w:eastAsia="ko-KR"/>
        </w:rPr>
      </w:pPr>
    </w:p>
    <w:p w:rsidR="000E6F6E" w:rsidRDefault="000E6F6E" w:rsidP="00F6573D">
      <w:pPr>
        <w:tabs>
          <w:tab w:val="left" w:pos="709"/>
        </w:tabs>
        <w:jc w:val="both"/>
        <w:rPr>
          <w:rFonts w:cs="Arial"/>
          <w:szCs w:val="20"/>
          <w:u w:val="single"/>
          <w:lang w:eastAsia="ko-KR"/>
        </w:rPr>
      </w:pPr>
      <w:r>
        <w:rPr>
          <w:rFonts w:cs="Arial"/>
          <w:szCs w:val="20"/>
          <w:lang w:eastAsia="ko-KR"/>
        </w:rPr>
        <w:t>B.</w:t>
      </w:r>
      <w:r>
        <w:rPr>
          <w:rFonts w:cs="Arial"/>
          <w:szCs w:val="20"/>
          <w:lang w:eastAsia="ko-KR"/>
        </w:rPr>
        <w:tab/>
      </w:r>
      <w:r w:rsidRPr="00420F90">
        <w:rPr>
          <w:rFonts w:cs="Arial"/>
          <w:u w:val="single"/>
        </w:rPr>
        <w:t>201</w:t>
      </w:r>
      <w:r>
        <w:rPr>
          <w:rFonts w:cs="Arial"/>
          <w:u w:val="single"/>
        </w:rPr>
        <w:t xml:space="preserve">4/15 </w:t>
      </w:r>
      <w:r>
        <w:rPr>
          <w:rFonts w:cs="Arial"/>
          <w:szCs w:val="20"/>
          <w:u w:val="single"/>
          <w:lang w:eastAsia="ko-KR"/>
        </w:rPr>
        <w:t xml:space="preserve">Budget Utilization </w:t>
      </w:r>
    </w:p>
    <w:p w:rsidR="000E6F6E" w:rsidRDefault="000E6F6E" w:rsidP="00F6573D">
      <w:pPr>
        <w:tabs>
          <w:tab w:val="left" w:pos="709"/>
        </w:tabs>
        <w:jc w:val="both"/>
        <w:rPr>
          <w:rFonts w:cs="Arial"/>
          <w:szCs w:val="20"/>
          <w:u w:val="single"/>
          <w:lang w:eastAsia="ko-KR"/>
        </w:rPr>
      </w:pPr>
    </w:p>
    <w:p w:rsidR="000E6F6E" w:rsidRDefault="000E6F6E" w:rsidP="00F6573D">
      <w:pPr>
        <w:pStyle w:val="ListParagraph"/>
        <w:numPr>
          <w:ilvl w:val="0"/>
          <w:numId w:val="11"/>
        </w:numPr>
        <w:tabs>
          <w:tab w:val="left" w:pos="709"/>
        </w:tabs>
        <w:ind w:left="0" w:firstLine="0"/>
        <w:jc w:val="both"/>
      </w:pPr>
      <w:r>
        <w:t xml:space="preserve">The non-personnel budget utilization rate for the Program amounted to 67 per cent of the Final Budget </w:t>
      </w:r>
      <w:r w:rsidRPr="00D6292F">
        <w:rPr>
          <w:rFonts w:cs="Arial"/>
          <w:color w:val="000000" w:themeColor="text1"/>
        </w:rPr>
        <w:t>after</w:t>
      </w:r>
      <w:r>
        <w:t xml:space="preserve"> Transfers.  The under-utilization of non-personnel resources resulted primarily from the non-agreement </w:t>
      </w:r>
      <w:r>
        <w:rPr>
          <w:rFonts w:cs="Arial"/>
          <w:color w:val="000000" w:themeColor="text1"/>
        </w:rPr>
        <w:t xml:space="preserve">at the </w:t>
      </w:r>
      <w:r w:rsidRPr="001C5F4D">
        <w:rPr>
          <w:rFonts w:cs="Arial"/>
          <w:color w:val="000000" w:themeColor="text1"/>
        </w:rPr>
        <w:t>WIPO G</w:t>
      </w:r>
      <w:r>
        <w:rPr>
          <w:rFonts w:cs="Arial"/>
          <w:color w:val="000000" w:themeColor="text1"/>
        </w:rPr>
        <w:t xml:space="preserve">eneral Assembly in October 2014 </w:t>
      </w:r>
      <w:r w:rsidRPr="001C5F4D">
        <w:rPr>
          <w:rFonts w:cs="Arial"/>
          <w:color w:val="000000" w:themeColor="text1"/>
        </w:rPr>
        <w:t>on an IGC work program for 2015</w:t>
      </w:r>
      <w:r>
        <w:rPr>
          <w:rFonts w:cs="Arial"/>
          <w:color w:val="000000" w:themeColor="text1"/>
        </w:rPr>
        <w:t>, resulting in no IGC sessions being held in 2015.  Since the IGC accounts for a significant portion of the Program’s budget, the Program utilized a portion of the IGC budget to increase its capacity building and technical assistance activities in 2015.</w:t>
      </w:r>
    </w:p>
    <w:p w:rsidR="00F52522" w:rsidRDefault="00F52522"/>
    <w:p w:rsidR="00FA1FCD" w:rsidRDefault="00FA1FCD">
      <w:r>
        <w:br w:type="page"/>
      </w:r>
    </w:p>
    <w:p w:rsidR="00FA1FCD" w:rsidRDefault="00FA1FCD" w:rsidP="00C1753F">
      <w:pPr>
        <w:pStyle w:val="StyleHeading214ptAuto"/>
        <w:rPr>
          <w:rFonts w:ascii="Arial" w:hAnsi="Arial"/>
          <w:bCs w:val="0"/>
          <w:caps w:val="0"/>
          <w:sz w:val="20"/>
          <w:szCs w:val="24"/>
          <w:lang w:val="en-US" w:eastAsia="en-US"/>
        </w:rPr>
      </w:pPr>
      <w:bookmarkStart w:id="59" w:name="_Toc454544466"/>
      <w:bookmarkStart w:id="60" w:name="_Toc367350576"/>
      <w:r w:rsidRPr="00E07FBB">
        <w:rPr>
          <w:rFonts w:ascii="Arial" w:hAnsi="Arial"/>
          <w:bCs w:val="0"/>
          <w:caps w:val="0"/>
          <w:sz w:val="20"/>
          <w:szCs w:val="24"/>
          <w:lang w:val="en-US" w:eastAsia="en-US"/>
        </w:rPr>
        <w:lastRenderedPageBreak/>
        <w:t>STRATEGIC GOAL II</w:t>
      </w:r>
      <w:bookmarkEnd w:id="59"/>
    </w:p>
    <w:p w:rsidR="00FA1FCD" w:rsidRPr="003E2D93" w:rsidRDefault="00FA1FCD" w:rsidP="003E2D93">
      <w:pPr>
        <w:jc w:val="center"/>
        <w:rPr>
          <w:bCs/>
          <w:caps/>
        </w:rPr>
      </w:pPr>
    </w:p>
    <w:p w:rsidR="00FA1FCD" w:rsidRPr="003E2D93" w:rsidRDefault="0096152C" w:rsidP="003E2D93">
      <w:pPr>
        <w:jc w:val="center"/>
        <w:rPr>
          <w:bCs/>
          <w:caps/>
        </w:rPr>
      </w:pPr>
      <w:r w:rsidRPr="003E2D93">
        <w:rPr>
          <w:b/>
        </w:rPr>
        <w:t>PROVISION OF PREMIER GLOBAL IP SERVICES</w:t>
      </w:r>
      <w:bookmarkEnd w:id="60"/>
    </w:p>
    <w:p w:rsidR="00FA1FCD" w:rsidRPr="003E2D93" w:rsidRDefault="00FA1FCD" w:rsidP="003E2D93">
      <w:pPr>
        <w:jc w:val="center"/>
        <w:rPr>
          <w:bCs/>
          <w:caps/>
        </w:rPr>
      </w:pPr>
    </w:p>
    <w:p w:rsidR="0096152C" w:rsidRPr="003E2D93" w:rsidRDefault="0096152C" w:rsidP="0096152C">
      <w:pPr>
        <w:jc w:val="center"/>
        <w:rPr>
          <w:bCs/>
          <w:caps/>
        </w:rPr>
      </w:pPr>
    </w:p>
    <w:p w:rsidR="0096152C" w:rsidRPr="00551736" w:rsidRDefault="0096152C" w:rsidP="0096152C">
      <w:pPr>
        <w:jc w:val="center"/>
        <w:rPr>
          <w:b/>
        </w:rPr>
      </w:pPr>
      <w:r>
        <w:rPr>
          <w:b/>
        </w:rPr>
        <w:t>Biennial</w:t>
      </w:r>
      <w:r w:rsidRPr="00551736">
        <w:rPr>
          <w:b/>
        </w:rPr>
        <w:t xml:space="preserve"> Performance Dashboard </w:t>
      </w:r>
    </w:p>
    <w:p w:rsidR="0096152C" w:rsidRPr="003E2D93" w:rsidRDefault="0096152C" w:rsidP="0096152C">
      <w:pPr>
        <w:jc w:val="center"/>
        <w:rPr>
          <w:b/>
        </w:rPr>
      </w:pPr>
    </w:p>
    <w:p w:rsidR="0096152C" w:rsidRDefault="0096152C" w:rsidP="0096152C">
      <w:pPr>
        <w:autoSpaceDE w:val="0"/>
        <w:autoSpaceDN w:val="0"/>
        <w:adjustRightInd w:val="0"/>
        <w:jc w:val="both"/>
        <w:rPr>
          <w:rFonts w:cs="Arial"/>
        </w:rPr>
      </w:pPr>
      <w:r>
        <w:rPr>
          <w:rFonts w:cs="Arial"/>
        </w:rPr>
        <w:t xml:space="preserve">The dashboard below provides a summary of the achievements of the expected results in the biennium 2014/15 as measured by the indicators under the Programs contributing to this Strategic Goal.  </w:t>
      </w:r>
    </w:p>
    <w:p w:rsidR="0096152C" w:rsidRDefault="0096152C" w:rsidP="0096152C"/>
    <w:p w:rsidR="0096152C" w:rsidRDefault="0096152C" w:rsidP="0096152C">
      <w:pPr>
        <w:jc w:val="center"/>
      </w:pPr>
      <w:r>
        <w:rPr>
          <w:noProof/>
        </w:rPr>
        <w:drawing>
          <wp:inline distT="0" distB="0" distL="0" distR="0" wp14:anchorId="4B14A392" wp14:editId="71D3F77F">
            <wp:extent cx="5295417" cy="2651760"/>
            <wp:effectExtent l="0" t="0" r="635"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5295417" cy="2651760"/>
                    </a:xfrm>
                    <a:prstGeom prst="rect">
                      <a:avLst/>
                    </a:prstGeom>
                    <a:noFill/>
                  </pic:spPr>
                </pic:pic>
              </a:graphicData>
            </a:graphic>
          </wp:inline>
        </w:drawing>
      </w:r>
    </w:p>
    <w:p w:rsidR="0096152C" w:rsidRPr="003A6CAB" w:rsidRDefault="0096152C" w:rsidP="0096152C"/>
    <w:tbl>
      <w:tblPr>
        <w:tblW w:w="4942"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2694"/>
        <w:gridCol w:w="4251"/>
        <w:gridCol w:w="1616"/>
        <w:gridCol w:w="899"/>
      </w:tblGrid>
      <w:tr w:rsidR="0096152C" w:rsidRPr="0096319C" w:rsidTr="00547ACE">
        <w:trPr>
          <w:cantSplit/>
          <w:tblHeader/>
        </w:trPr>
        <w:tc>
          <w:tcPr>
            <w:tcW w:w="1424" w:type="pct"/>
            <w:tcBorders>
              <w:top w:val="single" w:sz="4" w:space="0" w:color="auto"/>
              <w:bottom w:val="single" w:sz="4" w:space="0" w:color="auto"/>
            </w:tcBorders>
            <w:shd w:val="clear" w:color="auto" w:fill="DAEEF3" w:themeFill="accent5" w:themeFillTint="33"/>
            <w:tcMar>
              <w:top w:w="113" w:type="dxa"/>
              <w:bottom w:w="113" w:type="dxa"/>
            </w:tcMar>
            <w:vAlign w:val="center"/>
          </w:tcPr>
          <w:p w:rsidR="0096152C" w:rsidRPr="0040645B" w:rsidRDefault="0096152C" w:rsidP="00547ACE">
            <w:pPr>
              <w:spacing w:after="120"/>
              <w:rPr>
                <w:rFonts w:cs="Arial"/>
                <w:b/>
                <w:bCs/>
                <w:sz w:val="18"/>
                <w:szCs w:val="18"/>
              </w:rPr>
            </w:pPr>
            <w:r w:rsidRPr="0040645B">
              <w:rPr>
                <w:rFonts w:cs="Arial"/>
                <w:b/>
                <w:bCs/>
                <w:sz w:val="18"/>
                <w:szCs w:val="18"/>
              </w:rPr>
              <w:t>Expected Results</w:t>
            </w:r>
          </w:p>
        </w:tc>
        <w:tc>
          <w:tcPr>
            <w:tcW w:w="2247" w:type="pct"/>
            <w:tcBorders>
              <w:top w:val="single" w:sz="4" w:space="0" w:color="auto"/>
              <w:bottom w:val="single" w:sz="4" w:space="0" w:color="auto"/>
            </w:tcBorders>
            <w:shd w:val="clear" w:color="auto" w:fill="DAEEF3" w:themeFill="accent5" w:themeFillTint="33"/>
            <w:tcMar>
              <w:top w:w="113" w:type="dxa"/>
              <w:bottom w:w="113" w:type="dxa"/>
            </w:tcMar>
            <w:vAlign w:val="center"/>
          </w:tcPr>
          <w:p w:rsidR="0096152C" w:rsidRPr="0040645B" w:rsidRDefault="0096152C" w:rsidP="00547ACE">
            <w:pPr>
              <w:spacing w:after="120"/>
              <w:rPr>
                <w:rFonts w:cs="Arial"/>
                <w:b/>
                <w:sz w:val="18"/>
                <w:szCs w:val="18"/>
              </w:rPr>
            </w:pPr>
            <w:r w:rsidRPr="0040645B">
              <w:rPr>
                <w:rFonts w:cs="Arial"/>
                <w:b/>
                <w:sz w:val="18"/>
                <w:szCs w:val="18"/>
              </w:rPr>
              <w:t>Performance Indicators</w:t>
            </w:r>
          </w:p>
        </w:tc>
        <w:tc>
          <w:tcPr>
            <w:tcW w:w="854" w:type="pct"/>
            <w:tcBorders>
              <w:top w:val="single" w:sz="4" w:space="0" w:color="auto"/>
              <w:bottom w:val="single" w:sz="4" w:space="0" w:color="auto"/>
            </w:tcBorders>
            <w:shd w:val="clear" w:color="auto" w:fill="DAEEF3" w:themeFill="accent5" w:themeFillTint="33"/>
            <w:tcMar>
              <w:top w:w="113" w:type="dxa"/>
              <w:bottom w:w="113" w:type="dxa"/>
            </w:tcMar>
            <w:vAlign w:val="center"/>
          </w:tcPr>
          <w:p w:rsidR="0096152C" w:rsidRPr="0040645B" w:rsidRDefault="0096152C" w:rsidP="00547ACE">
            <w:pPr>
              <w:spacing w:after="120"/>
              <w:ind w:left="85"/>
              <w:jc w:val="center"/>
              <w:rPr>
                <w:rFonts w:cs="Arial"/>
                <w:sz w:val="18"/>
                <w:szCs w:val="18"/>
              </w:rPr>
            </w:pPr>
            <w:r w:rsidRPr="0040645B">
              <w:rPr>
                <w:rFonts w:cs="Arial"/>
                <w:b/>
                <w:bCs/>
                <w:sz w:val="18"/>
                <w:szCs w:val="18"/>
              </w:rPr>
              <w:t>Responsible Program(s)</w:t>
            </w:r>
          </w:p>
        </w:tc>
        <w:tc>
          <w:tcPr>
            <w:tcW w:w="475" w:type="pct"/>
            <w:tcBorders>
              <w:top w:val="single" w:sz="4" w:space="0" w:color="auto"/>
              <w:bottom w:val="single" w:sz="4" w:space="0" w:color="auto"/>
            </w:tcBorders>
            <w:shd w:val="clear" w:color="auto" w:fill="DAEEF3" w:themeFill="accent5" w:themeFillTint="33"/>
            <w:vAlign w:val="center"/>
          </w:tcPr>
          <w:p w:rsidR="0096152C" w:rsidRPr="007B07A4" w:rsidRDefault="0096152C" w:rsidP="00547ACE">
            <w:pPr>
              <w:spacing w:after="120"/>
              <w:ind w:left="85"/>
              <w:jc w:val="center"/>
              <w:rPr>
                <w:rFonts w:cs="Arial"/>
                <w:b/>
                <w:bCs/>
                <w:sz w:val="18"/>
                <w:szCs w:val="18"/>
              </w:rPr>
            </w:pPr>
            <w:r>
              <w:rPr>
                <w:rFonts w:cs="Arial"/>
                <w:b/>
                <w:bCs/>
                <w:sz w:val="18"/>
                <w:szCs w:val="18"/>
              </w:rPr>
              <w:t>TLS</w:t>
            </w:r>
          </w:p>
        </w:tc>
      </w:tr>
      <w:tr w:rsidR="0096152C" w:rsidRPr="00811500" w:rsidTr="00547ACE">
        <w:trPr>
          <w:cantSplit/>
        </w:trPr>
        <w:tc>
          <w:tcPr>
            <w:tcW w:w="1424" w:type="pct"/>
            <w:shd w:val="clear" w:color="auto" w:fill="auto"/>
            <w:tcMar>
              <w:top w:w="113" w:type="dxa"/>
              <w:bottom w:w="113" w:type="dxa"/>
            </w:tcMar>
          </w:tcPr>
          <w:p w:rsidR="0096152C" w:rsidRPr="00811500" w:rsidRDefault="0096152C" w:rsidP="00547ACE">
            <w:pPr>
              <w:rPr>
                <w:rFonts w:cs="Arial"/>
                <w:sz w:val="16"/>
                <w:szCs w:val="16"/>
              </w:rPr>
            </w:pPr>
            <w:r w:rsidRPr="00811500">
              <w:rPr>
                <w:rFonts w:cs="Arial"/>
                <w:sz w:val="16"/>
                <w:szCs w:val="16"/>
              </w:rPr>
              <w:t>II.1</w:t>
            </w:r>
            <w:r>
              <w:rPr>
                <w:rFonts w:cs="Arial"/>
                <w:sz w:val="16"/>
                <w:szCs w:val="16"/>
              </w:rPr>
              <w:t xml:space="preserve"> </w:t>
            </w:r>
            <w:r w:rsidRPr="00811500">
              <w:rPr>
                <w:rFonts w:cs="Arial"/>
                <w:sz w:val="16"/>
                <w:szCs w:val="16"/>
              </w:rPr>
              <w:t xml:space="preserve"> Increased use of the PCT route for filing international patent applications</w:t>
            </w:r>
          </w:p>
        </w:tc>
        <w:tc>
          <w:tcPr>
            <w:tcW w:w="2247" w:type="pct"/>
            <w:shd w:val="clear" w:color="auto" w:fill="auto"/>
            <w:tcMar>
              <w:top w:w="113" w:type="dxa"/>
              <w:bottom w:w="113" w:type="dxa"/>
            </w:tcMar>
          </w:tcPr>
          <w:p w:rsidR="0096152C" w:rsidRDefault="0096152C" w:rsidP="00547ACE">
            <w:pPr>
              <w:rPr>
                <w:rFonts w:cs="Arial"/>
                <w:sz w:val="16"/>
                <w:szCs w:val="16"/>
              </w:rPr>
            </w:pPr>
            <w:r w:rsidRPr="00811500">
              <w:rPr>
                <w:rFonts w:cs="Arial"/>
                <w:sz w:val="16"/>
                <w:szCs w:val="16"/>
              </w:rPr>
              <w:t xml:space="preserve">Level of satisfaction of PCT users with </w:t>
            </w:r>
          </w:p>
          <w:p w:rsidR="0096152C" w:rsidRPr="00811500" w:rsidRDefault="0096152C" w:rsidP="00547ACE">
            <w:pPr>
              <w:rPr>
                <w:rFonts w:cs="Arial"/>
                <w:sz w:val="16"/>
                <w:szCs w:val="16"/>
              </w:rPr>
            </w:pPr>
            <w:r w:rsidRPr="00811500">
              <w:rPr>
                <w:rFonts w:cs="Arial"/>
                <w:sz w:val="16"/>
                <w:szCs w:val="16"/>
              </w:rPr>
              <w:t>user-focused information and training services</w:t>
            </w:r>
          </w:p>
        </w:tc>
        <w:tc>
          <w:tcPr>
            <w:tcW w:w="854" w:type="pct"/>
            <w:shd w:val="clear" w:color="auto" w:fill="FFFFFF"/>
            <w:tcMar>
              <w:top w:w="113" w:type="dxa"/>
              <w:bottom w:w="113" w:type="dxa"/>
            </w:tcMar>
          </w:tcPr>
          <w:p w:rsidR="0096152C" w:rsidRPr="00811500" w:rsidRDefault="0096152C" w:rsidP="00547ACE">
            <w:pPr>
              <w:ind w:left="441" w:hanging="413"/>
              <w:jc w:val="center"/>
              <w:rPr>
                <w:rFonts w:cs="Arial"/>
                <w:sz w:val="16"/>
                <w:szCs w:val="16"/>
              </w:rPr>
            </w:pPr>
            <w:r w:rsidRPr="00811500">
              <w:rPr>
                <w:rFonts w:cs="Arial"/>
                <w:sz w:val="16"/>
                <w:szCs w:val="16"/>
                <w:lang w:bidi="th-TH"/>
              </w:rPr>
              <w:t>Program 5</w:t>
            </w:r>
          </w:p>
        </w:tc>
        <w:tc>
          <w:tcPr>
            <w:tcW w:w="475" w:type="pct"/>
            <w:shd w:val="clear" w:color="auto" w:fill="FFFFFF"/>
          </w:tcPr>
          <w:p w:rsidR="0096152C" w:rsidRPr="00CC3F44" w:rsidRDefault="0096152C" w:rsidP="00547ACE">
            <w:pPr>
              <w:jc w:val="center"/>
              <w:rPr>
                <w:rFonts w:cs="Arial"/>
                <w:color w:val="008000"/>
                <w:sz w:val="22"/>
                <w:szCs w:val="22"/>
              </w:rPr>
            </w:pPr>
            <w:r w:rsidRPr="00CC3F44">
              <w:rPr>
                <w:rFonts w:cs="Arial"/>
                <w:color w:val="008000"/>
                <w:sz w:val="22"/>
                <w:szCs w:val="22"/>
              </w:rPr>
              <w:sym w:font="Wingdings" w:char="F06C"/>
            </w:r>
          </w:p>
        </w:tc>
      </w:tr>
      <w:tr w:rsidR="0096152C" w:rsidRPr="00811500" w:rsidTr="00547ACE">
        <w:trPr>
          <w:cantSplit/>
          <w:trHeight w:val="112"/>
        </w:trPr>
        <w:tc>
          <w:tcPr>
            <w:tcW w:w="1424" w:type="pct"/>
            <w:shd w:val="clear" w:color="auto" w:fill="auto"/>
            <w:tcMar>
              <w:top w:w="113" w:type="dxa"/>
              <w:bottom w:w="113" w:type="dxa"/>
            </w:tcMar>
          </w:tcPr>
          <w:p w:rsidR="0096152C" w:rsidRPr="00811500" w:rsidRDefault="0096152C" w:rsidP="00547ACE">
            <w:pPr>
              <w:rPr>
                <w:rFonts w:cs="Arial"/>
                <w:sz w:val="16"/>
                <w:szCs w:val="16"/>
              </w:rPr>
            </w:pPr>
          </w:p>
        </w:tc>
        <w:tc>
          <w:tcPr>
            <w:tcW w:w="2247" w:type="pct"/>
            <w:shd w:val="clear" w:color="auto" w:fill="auto"/>
            <w:tcMar>
              <w:top w:w="113" w:type="dxa"/>
              <w:bottom w:w="113" w:type="dxa"/>
            </w:tcMar>
          </w:tcPr>
          <w:p w:rsidR="0096152C" w:rsidRPr="00811500" w:rsidRDefault="0096152C" w:rsidP="00547ACE">
            <w:pPr>
              <w:rPr>
                <w:rFonts w:cs="Arial"/>
                <w:sz w:val="16"/>
                <w:szCs w:val="16"/>
              </w:rPr>
            </w:pPr>
            <w:r w:rsidRPr="00811500">
              <w:rPr>
                <w:rFonts w:cs="Arial"/>
                <w:sz w:val="16"/>
                <w:szCs w:val="16"/>
              </w:rPr>
              <w:t>Satisfaction of Offices and International Authorities with PCT cooperative activities</w:t>
            </w:r>
          </w:p>
        </w:tc>
        <w:tc>
          <w:tcPr>
            <w:tcW w:w="854" w:type="pct"/>
            <w:shd w:val="clear" w:color="auto" w:fill="FFFFFF"/>
            <w:tcMar>
              <w:top w:w="113" w:type="dxa"/>
              <w:bottom w:w="113" w:type="dxa"/>
            </w:tcMar>
          </w:tcPr>
          <w:p w:rsidR="0096152C" w:rsidRPr="00811500" w:rsidRDefault="0096152C" w:rsidP="00547ACE">
            <w:pPr>
              <w:ind w:left="441" w:hanging="413"/>
              <w:jc w:val="center"/>
              <w:rPr>
                <w:rFonts w:cs="Arial"/>
                <w:sz w:val="16"/>
                <w:szCs w:val="16"/>
                <w:lang w:bidi="th-TH"/>
              </w:rPr>
            </w:pPr>
            <w:r w:rsidRPr="00811500">
              <w:rPr>
                <w:rFonts w:cs="Arial"/>
                <w:sz w:val="16"/>
                <w:szCs w:val="16"/>
                <w:lang w:bidi="th-TH"/>
              </w:rPr>
              <w:t>Program 5</w:t>
            </w:r>
          </w:p>
        </w:tc>
        <w:tc>
          <w:tcPr>
            <w:tcW w:w="475" w:type="pct"/>
            <w:shd w:val="clear" w:color="auto" w:fill="FFFFFF"/>
          </w:tcPr>
          <w:p w:rsidR="0096152C" w:rsidRPr="00CC3F44" w:rsidRDefault="0096152C" w:rsidP="00547ACE">
            <w:pPr>
              <w:jc w:val="center"/>
              <w:rPr>
                <w:rFonts w:cs="Arial"/>
                <w:color w:val="008000"/>
                <w:sz w:val="22"/>
                <w:szCs w:val="22"/>
              </w:rPr>
            </w:pPr>
            <w:r w:rsidRPr="00CC3F44">
              <w:rPr>
                <w:rFonts w:cs="Arial"/>
                <w:color w:val="008000"/>
                <w:sz w:val="22"/>
                <w:szCs w:val="22"/>
              </w:rPr>
              <w:sym w:font="Wingdings" w:char="F06C"/>
            </w:r>
          </w:p>
        </w:tc>
      </w:tr>
      <w:tr w:rsidR="0096152C" w:rsidRPr="00811500" w:rsidTr="00547ACE">
        <w:trPr>
          <w:cantSplit/>
          <w:trHeight w:val="311"/>
        </w:trPr>
        <w:tc>
          <w:tcPr>
            <w:tcW w:w="1424" w:type="pct"/>
            <w:shd w:val="clear" w:color="auto" w:fill="auto"/>
            <w:tcMar>
              <w:top w:w="113" w:type="dxa"/>
              <w:bottom w:w="113" w:type="dxa"/>
            </w:tcMar>
          </w:tcPr>
          <w:p w:rsidR="0096152C" w:rsidRPr="00811500" w:rsidRDefault="0096152C" w:rsidP="00547ACE">
            <w:pPr>
              <w:rPr>
                <w:rFonts w:cs="Arial"/>
                <w:sz w:val="16"/>
                <w:szCs w:val="16"/>
              </w:rPr>
            </w:pPr>
          </w:p>
        </w:tc>
        <w:tc>
          <w:tcPr>
            <w:tcW w:w="2247" w:type="pct"/>
            <w:shd w:val="clear" w:color="auto" w:fill="auto"/>
            <w:tcMar>
              <w:top w:w="113" w:type="dxa"/>
              <w:bottom w:w="113" w:type="dxa"/>
            </w:tcMar>
          </w:tcPr>
          <w:p w:rsidR="0096152C" w:rsidRPr="00811500" w:rsidRDefault="0096152C" w:rsidP="00547ACE">
            <w:pPr>
              <w:rPr>
                <w:rFonts w:cs="Arial"/>
                <w:sz w:val="16"/>
                <w:szCs w:val="16"/>
              </w:rPr>
            </w:pPr>
            <w:r w:rsidRPr="00811500">
              <w:rPr>
                <w:rFonts w:cs="Arial"/>
                <w:sz w:val="16"/>
                <w:szCs w:val="16"/>
              </w:rPr>
              <w:t>N</w:t>
            </w:r>
            <w:r>
              <w:rPr>
                <w:rFonts w:cs="Arial"/>
                <w:sz w:val="16"/>
                <w:szCs w:val="16"/>
              </w:rPr>
              <w:t>o.</w:t>
            </w:r>
            <w:r w:rsidRPr="00811500">
              <w:rPr>
                <w:rFonts w:cs="Arial"/>
                <w:sz w:val="16"/>
                <w:szCs w:val="16"/>
              </w:rPr>
              <w:t xml:space="preserve"> of PCT applicat</w:t>
            </w:r>
            <w:r>
              <w:rPr>
                <w:rFonts w:cs="Arial"/>
                <w:sz w:val="16"/>
                <w:szCs w:val="16"/>
              </w:rPr>
              <w:t>ions</w:t>
            </w:r>
            <w:r w:rsidRPr="00811500">
              <w:rPr>
                <w:rFonts w:cs="Arial"/>
                <w:sz w:val="16"/>
                <w:szCs w:val="16"/>
              </w:rPr>
              <w:t xml:space="preserve"> originating from transition and developed countries</w:t>
            </w:r>
          </w:p>
        </w:tc>
        <w:tc>
          <w:tcPr>
            <w:tcW w:w="854" w:type="pct"/>
            <w:shd w:val="clear" w:color="auto" w:fill="FFFFFF"/>
            <w:tcMar>
              <w:top w:w="113" w:type="dxa"/>
              <w:bottom w:w="113" w:type="dxa"/>
            </w:tcMar>
          </w:tcPr>
          <w:p w:rsidR="0096152C" w:rsidRPr="00811500" w:rsidRDefault="0096152C" w:rsidP="00547ACE">
            <w:pPr>
              <w:ind w:left="441" w:hanging="413"/>
              <w:jc w:val="center"/>
              <w:rPr>
                <w:rFonts w:cs="Arial"/>
                <w:sz w:val="16"/>
                <w:szCs w:val="16"/>
                <w:lang w:bidi="th-TH"/>
              </w:rPr>
            </w:pPr>
            <w:r w:rsidRPr="00811500">
              <w:rPr>
                <w:rFonts w:cs="Arial"/>
                <w:sz w:val="16"/>
                <w:szCs w:val="16"/>
                <w:lang w:bidi="th-TH"/>
              </w:rPr>
              <w:t>Program 10</w:t>
            </w:r>
          </w:p>
        </w:tc>
        <w:tc>
          <w:tcPr>
            <w:tcW w:w="475" w:type="pct"/>
            <w:shd w:val="clear" w:color="auto" w:fill="FFFFFF"/>
          </w:tcPr>
          <w:p w:rsidR="0096152C" w:rsidRPr="00CC3F44" w:rsidRDefault="0096152C" w:rsidP="00547ACE">
            <w:pPr>
              <w:jc w:val="center"/>
            </w:pPr>
            <w:r w:rsidRPr="00CC3F44">
              <w:rPr>
                <w:rFonts w:cs="Arial"/>
                <w:color w:val="008000"/>
                <w:sz w:val="22"/>
                <w:szCs w:val="22"/>
              </w:rPr>
              <w:sym w:font="Wingdings" w:char="F06C"/>
            </w:r>
          </w:p>
        </w:tc>
      </w:tr>
      <w:tr w:rsidR="0096152C" w:rsidRPr="00811500" w:rsidTr="00547ACE">
        <w:trPr>
          <w:cantSplit/>
          <w:trHeight w:val="22"/>
        </w:trPr>
        <w:tc>
          <w:tcPr>
            <w:tcW w:w="1424" w:type="pct"/>
            <w:shd w:val="clear" w:color="auto" w:fill="auto"/>
            <w:tcMar>
              <w:top w:w="113" w:type="dxa"/>
              <w:bottom w:w="113" w:type="dxa"/>
            </w:tcMar>
          </w:tcPr>
          <w:p w:rsidR="0096152C" w:rsidRPr="00811500" w:rsidRDefault="0096152C" w:rsidP="00547ACE">
            <w:pPr>
              <w:rPr>
                <w:rFonts w:cs="Arial"/>
                <w:sz w:val="16"/>
                <w:szCs w:val="16"/>
              </w:rPr>
            </w:pPr>
          </w:p>
        </w:tc>
        <w:tc>
          <w:tcPr>
            <w:tcW w:w="2247" w:type="pct"/>
            <w:shd w:val="clear" w:color="auto" w:fill="auto"/>
            <w:tcMar>
              <w:top w:w="113" w:type="dxa"/>
              <w:bottom w:w="113" w:type="dxa"/>
            </w:tcMar>
          </w:tcPr>
          <w:p w:rsidR="0096152C" w:rsidRPr="00811500" w:rsidRDefault="0096152C" w:rsidP="00547ACE">
            <w:pPr>
              <w:rPr>
                <w:rFonts w:cs="Arial"/>
                <w:sz w:val="16"/>
                <w:szCs w:val="16"/>
              </w:rPr>
            </w:pPr>
            <w:r w:rsidRPr="00811500">
              <w:rPr>
                <w:rFonts w:cs="Arial"/>
                <w:sz w:val="16"/>
                <w:szCs w:val="16"/>
              </w:rPr>
              <w:t>% of PCT filings</w:t>
            </w:r>
          </w:p>
        </w:tc>
        <w:tc>
          <w:tcPr>
            <w:tcW w:w="854" w:type="pct"/>
            <w:shd w:val="clear" w:color="auto" w:fill="FFFFFF"/>
            <w:tcMar>
              <w:top w:w="113" w:type="dxa"/>
              <w:bottom w:w="113" w:type="dxa"/>
            </w:tcMar>
          </w:tcPr>
          <w:p w:rsidR="0096152C" w:rsidRPr="00811500" w:rsidRDefault="0096152C" w:rsidP="00547ACE">
            <w:pPr>
              <w:ind w:left="441" w:hanging="413"/>
              <w:jc w:val="center"/>
              <w:rPr>
                <w:rFonts w:cs="Arial"/>
                <w:sz w:val="16"/>
                <w:szCs w:val="16"/>
                <w:lang w:bidi="th-TH"/>
              </w:rPr>
            </w:pPr>
            <w:r w:rsidRPr="00811500">
              <w:rPr>
                <w:rFonts w:cs="Arial"/>
                <w:sz w:val="16"/>
                <w:szCs w:val="16"/>
                <w:lang w:bidi="th-TH"/>
              </w:rPr>
              <w:t>Program 20</w:t>
            </w:r>
          </w:p>
        </w:tc>
        <w:tc>
          <w:tcPr>
            <w:tcW w:w="475" w:type="pct"/>
            <w:shd w:val="clear" w:color="auto" w:fill="FFFFFF"/>
          </w:tcPr>
          <w:p w:rsidR="0096152C" w:rsidRPr="00CC3F44" w:rsidRDefault="0096152C" w:rsidP="00547ACE">
            <w:pPr>
              <w:jc w:val="center"/>
            </w:pPr>
            <w:r w:rsidRPr="00CC3F44">
              <w:rPr>
                <w:rFonts w:cs="Arial"/>
                <w:color w:val="FF0000"/>
                <w:sz w:val="22"/>
                <w:szCs w:val="22"/>
              </w:rPr>
              <w:sym w:font="Wingdings" w:char="F06C"/>
            </w:r>
            <w:r w:rsidRPr="00CC3F44">
              <w:rPr>
                <w:rFonts w:cs="Arial"/>
                <w:color w:val="FF0000"/>
                <w:sz w:val="22"/>
                <w:szCs w:val="22"/>
              </w:rPr>
              <w:sym w:font="Wingdings" w:char="F06C"/>
            </w:r>
            <w:r w:rsidRPr="00CC3F44">
              <w:rPr>
                <w:rFonts w:cs="Arial"/>
                <w:color w:val="008000"/>
                <w:sz w:val="22"/>
                <w:szCs w:val="22"/>
              </w:rPr>
              <w:sym w:font="Wingdings" w:char="F06C"/>
            </w:r>
          </w:p>
        </w:tc>
      </w:tr>
      <w:tr w:rsidR="0096152C" w:rsidRPr="00811500" w:rsidTr="00547ACE">
        <w:trPr>
          <w:cantSplit/>
          <w:trHeight w:val="672"/>
        </w:trPr>
        <w:tc>
          <w:tcPr>
            <w:tcW w:w="1424" w:type="pct"/>
            <w:shd w:val="clear" w:color="auto" w:fill="auto"/>
            <w:tcMar>
              <w:top w:w="113" w:type="dxa"/>
              <w:bottom w:w="113" w:type="dxa"/>
            </w:tcMar>
          </w:tcPr>
          <w:p w:rsidR="0096152C" w:rsidRPr="00811500" w:rsidRDefault="0096152C" w:rsidP="00547ACE">
            <w:pPr>
              <w:rPr>
                <w:rFonts w:cs="Arial"/>
                <w:sz w:val="16"/>
                <w:szCs w:val="16"/>
              </w:rPr>
            </w:pPr>
          </w:p>
        </w:tc>
        <w:tc>
          <w:tcPr>
            <w:tcW w:w="2247" w:type="pct"/>
            <w:shd w:val="clear" w:color="auto" w:fill="auto"/>
            <w:tcMar>
              <w:top w:w="113" w:type="dxa"/>
              <w:bottom w:w="113" w:type="dxa"/>
            </w:tcMar>
          </w:tcPr>
          <w:p w:rsidR="0096152C" w:rsidRPr="00811500" w:rsidRDefault="0096152C" w:rsidP="00547ACE">
            <w:pPr>
              <w:rPr>
                <w:rFonts w:cs="Arial"/>
                <w:sz w:val="16"/>
                <w:szCs w:val="16"/>
              </w:rPr>
            </w:pPr>
            <w:r w:rsidRPr="00811500">
              <w:rPr>
                <w:rFonts w:cs="Arial"/>
                <w:sz w:val="16"/>
                <w:szCs w:val="16"/>
              </w:rPr>
              <w:t>% of policy makers, government officials, and IP Practitioners and participants in targeted workshops with enhanced understanding of the PCT and related topics</w:t>
            </w:r>
          </w:p>
        </w:tc>
        <w:tc>
          <w:tcPr>
            <w:tcW w:w="854" w:type="pct"/>
            <w:shd w:val="clear" w:color="auto" w:fill="FFFFFF"/>
            <w:tcMar>
              <w:top w:w="113" w:type="dxa"/>
              <w:bottom w:w="113" w:type="dxa"/>
            </w:tcMar>
          </w:tcPr>
          <w:p w:rsidR="0096152C" w:rsidRPr="00811500" w:rsidRDefault="0096152C" w:rsidP="00547ACE">
            <w:pPr>
              <w:ind w:left="441" w:hanging="413"/>
              <w:jc w:val="center"/>
              <w:rPr>
                <w:rFonts w:cs="Arial"/>
                <w:sz w:val="16"/>
                <w:szCs w:val="16"/>
                <w:lang w:bidi="th-TH"/>
              </w:rPr>
            </w:pPr>
            <w:r w:rsidRPr="00811500">
              <w:rPr>
                <w:rFonts w:cs="Arial"/>
                <w:sz w:val="16"/>
                <w:szCs w:val="16"/>
                <w:lang w:bidi="th-TH"/>
              </w:rPr>
              <w:t>Program 20</w:t>
            </w:r>
          </w:p>
        </w:tc>
        <w:tc>
          <w:tcPr>
            <w:tcW w:w="475" w:type="pct"/>
            <w:shd w:val="clear" w:color="auto" w:fill="FFFFFF"/>
          </w:tcPr>
          <w:p w:rsidR="0096152C" w:rsidRPr="00CC3F44" w:rsidRDefault="0096152C" w:rsidP="00547ACE">
            <w:pPr>
              <w:jc w:val="center"/>
            </w:pPr>
            <w:r w:rsidRPr="00CC3F44">
              <w:rPr>
                <w:rFonts w:cs="Arial"/>
                <w:color w:val="008000"/>
                <w:sz w:val="22"/>
                <w:szCs w:val="22"/>
              </w:rPr>
              <w:sym w:font="Wingdings" w:char="F06C"/>
            </w:r>
            <w:r w:rsidRPr="00CC3F44">
              <w:rPr>
                <w:rFonts w:cs="Arial"/>
                <w:color w:val="008000"/>
                <w:sz w:val="22"/>
                <w:szCs w:val="22"/>
              </w:rPr>
              <w:sym w:font="Wingdings" w:char="F06C"/>
            </w:r>
            <w:r w:rsidRPr="00CC3F44">
              <w:rPr>
                <w:rFonts w:cs="Arial"/>
                <w:color w:val="008000"/>
                <w:sz w:val="22"/>
                <w:szCs w:val="22"/>
              </w:rPr>
              <w:sym w:font="Wingdings" w:char="F06C"/>
            </w:r>
          </w:p>
        </w:tc>
      </w:tr>
      <w:tr w:rsidR="0096152C" w:rsidRPr="00811500" w:rsidTr="00547ACE">
        <w:trPr>
          <w:cantSplit/>
          <w:trHeight w:val="518"/>
        </w:trPr>
        <w:tc>
          <w:tcPr>
            <w:tcW w:w="1424" w:type="pct"/>
            <w:shd w:val="clear" w:color="auto" w:fill="auto"/>
            <w:tcMar>
              <w:top w:w="113" w:type="dxa"/>
              <w:bottom w:w="113" w:type="dxa"/>
            </w:tcMar>
          </w:tcPr>
          <w:p w:rsidR="0096152C" w:rsidRPr="00811500" w:rsidRDefault="0096152C" w:rsidP="00547ACE">
            <w:pPr>
              <w:autoSpaceDE w:val="0"/>
              <w:autoSpaceDN w:val="0"/>
              <w:adjustRightInd w:val="0"/>
              <w:rPr>
                <w:rFonts w:cs="Arial"/>
                <w:sz w:val="16"/>
                <w:szCs w:val="16"/>
                <w:lang w:eastAsia="zh-CN" w:bidi="th-TH"/>
              </w:rPr>
            </w:pPr>
            <w:r w:rsidRPr="00811500">
              <w:rPr>
                <w:rFonts w:cs="Arial"/>
                <w:sz w:val="16"/>
                <w:szCs w:val="16"/>
              </w:rPr>
              <w:t xml:space="preserve">II.2 </w:t>
            </w:r>
            <w:r w:rsidRPr="00811500">
              <w:rPr>
                <w:rFonts w:cs="Arial"/>
                <w:sz w:val="16"/>
                <w:szCs w:val="16"/>
                <w:lang w:eastAsia="zh-CN" w:bidi="th-TH"/>
              </w:rPr>
              <w:t xml:space="preserve">Improvement of the PCT system </w:t>
            </w:r>
          </w:p>
          <w:p w:rsidR="0096152C" w:rsidRPr="00811500" w:rsidRDefault="0096152C" w:rsidP="00547ACE">
            <w:pPr>
              <w:rPr>
                <w:rFonts w:cs="Arial"/>
                <w:sz w:val="16"/>
                <w:szCs w:val="16"/>
              </w:rPr>
            </w:pPr>
          </w:p>
        </w:tc>
        <w:tc>
          <w:tcPr>
            <w:tcW w:w="2247" w:type="pct"/>
            <w:shd w:val="clear" w:color="auto" w:fill="auto"/>
            <w:tcMar>
              <w:top w:w="113" w:type="dxa"/>
              <w:bottom w:w="113" w:type="dxa"/>
            </w:tcMar>
          </w:tcPr>
          <w:p w:rsidR="0096152C" w:rsidRPr="00811500" w:rsidRDefault="0096152C" w:rsidP="00547ACE">
            <w:pPr>
              <w:rPr>
                <w:rFonts w:cs="Arial"/>
                <w:sz w:val="16"/>
                <w:szCs w:val="16"/>
              </w:rPr>
            </w:pPr>
            <w:r w:rsidRPr="00811500">
              <w:rPr>
                <w:rFonts w:cs="Arial"/>
                <w:sz w:val="16"/>
                <w:szCs w:val="16"/>
              </w:rPr>
              <w:t>Further development of the PCT system, notably implementation of the PCT roadmap recommendations endorsed by PCT Member States</w:t>
            </w:r>
          </w:p>
        </w:tc>
        <w:tc>
          <w:tcPr>
            <w:tcW w:w="854" w:type="pct"/>
            <w:shd w:val="clear" w:color="auto" w:fill="FFFFFF"/>
            <w:tcMar>
              <w:top w:w="113" w:type="dxa"/>
              <w:bottom w:w="113" w:type="dxa"/>
            </w:tcMar>
          </w:tcPr>
          <w:p w:rsidR="0096152C" w:rsidRPr="00811500" w:rsidRDefault="0096152C" w:rsidP="00547ACE">
            <w:pPr>
              <w:ind w:left="441" w:hanging="413"/>
              <w:jc w:val="center"/>
              <w:rPr>
                <w:rFonts w:cs="Arial"/>
                <w:sz w:val="16"/>
                <w:szCs w:val="16"/>
                <w:lang w:bidi="th-TH"/>
              </w:rPr>
            </w:pPr>
            <w:r w:rsidRPr="00811500">
              <w:rPr>
                <w:rFonts w:cs="Arial"/>
                <w:sz w:val="16"/>
                <w:szCs w:val="16"/>
                <w:lang w:bidi="th-TH"/>
              </w:rPr>
              <w:t>Program 5</w:t>
            </w:r>
          </w:p>
        </w:tc>
        <w:tc>
          <w:tcPr>
            <w:tcW w:w="475" w:type="pct"/>
            <w:shd w:val="clear" w:color="auto" w:fill="FFFFFF"/>
          </w:tcPr>
          <w:p w:rsidR="0096152C" w:rsidRPr="00CC3F44" w:rsidRDefault="0096152C" w:rsidP="00547ACE">
            <w:pPr>
              <w:spacing w:before="40"/>
              <w:jc w:val="center"/>
            </w:pPr>
            <w:r w:rsidRPr="00CC3F44">
              <w:rPr>
                <w:rFonts w:cs="Arial"/>
                <w:color w:val="008000"/>
                <w:sz w:val="22"/>
                <w:szCs w:val="22"/>
              </w:rPr>
              <w:sym w:font="Wingdings" w:char="F06C"/>
            </w:r>
          </w:p>
        </w:tc>
      </w:tr>
      <w:tr w:rsidR="0096152C" w:rsidRPr="00811500" w:rsidTr="00547ACE">
        <w:trPr>
          <w:cantSplit/>
          <w:trHeight w:val="221"/>
        </w:trPr>
        <w:tc>
          <w:tcPr>
            <w:tcW w:w="1424" w:type="pct"/>
            <w:shd w:val="clear" w:color="auto" w:fill="auto"/>
            <w:tcMar>
              <w:top w:w="113" w:type="dxa"/>
              <w:bottom w:w="113" w:type="dxa"/>
            </w:tcMar>
          </w:tcPr>
          <w:p w:rsidR="0096152C" w:rsidRPr="00811500" w:rsidRDefault="0096152C" w:rsidP="00547ACE">
            <w:pPr>
              <w:rPr>
                <w:rFonts w:cs="Arial"/>
                <w:sz w:val="16"/>
                <w:szCs w:val="16"/>
              </w:rPr>
            </w:pPr>
          </w:p>
        </w:tc>
        <w:tc>
          <w:tcPr>
            <w:tcW w:w="2247" w:type="pct"/>
            <w:shd w:val="clear" w:color="auto" w:fill="auto"/>
            <w:tcMar>
              <w:top w:w="113" w:type="dxa"/>
              <w:bottom w:w="113" w:type="dxa"/>
            </w:tcMar>
          </w:tcPr>
          <w:p w:rsidR="0096152C" w:rsidRPr="00811500" w:rsidRDefault="0096152C" w:rsidP="00547ACE">
            <w:pPr>
              <w:rPr>
                <w:rFonts w:cs="Arial"/>
                <w:sz w:val="16"/>
                <w:szCs w:val="16"/>
              </w:rPr>
            </w:pPr>
            <w:r w:rsidRPr="00811500">
              <w:rPr>
                <w:rFonts w:cs="Arial"/>
                <w:sz w:val="16"/>
                <w:szCs w:val="16"/>
              </w:rPr>
              <w:t>Improved electronic services for applicants, third parties, Offices and Authorities</w:t>
            </w:r>
          </w:p>
        </w:tc>
        <w:tc>
          <w:tcPr>
            <w:tcW w:w="854" w:type="pct"/>
            <w:shd w:val="clear" w:color="auto" w:fill="FFFFFF"/>
            <w:tcMar>
              <w:top w:w="113" w:type="dxa"/>
              <w:bottom w:w="113" w:type="dxa"/>
            </w:tcMar>
          </w:tcPr>
          <w:p w:rsidR="0096152C" w:rsidRPr="00811500" w:rsidRDefault="0096152C" w:rsidP="00547ACE">
            <w:pPr>
              <w:ind w:left="441" w:hanging="413"/>
              <w:jc w:val="center"/>
              <w:rPr>
                <w:rFonts w:cs="Arial"/>
                <w:sz w:val="16"/>
                <w:szCs w:val="16"/>
                <w:lang w:bidi="th-TH"/>
              </w:rPr>
            </w:pPr>
            <w:r w:rsidRPr="00811500">
              <w:rPr>
                <w:rFonts w:cs="Arial"/>
                <w:sz w:val="16"/>
                <w:szCs w:val="16"/>
                <w:lang w:bidi="th-TH"/>
              </w:rPr>
              <w:t>Program 5</w:t>
            </w:r>
          </w:p>
        </w:tc>
        <w:tc>
          <w:tcPr>
            <w:tcW w:w="475" w:type="pct"/>
            <w:shd w:val="clear" w:color="auto" w:fill="FFFFFF"/>
          </w:tcPr>
          <w:p w:rsidR="0096152C" w:rsidRPr="00CC3F44" w:rsidRDefault="0096152C" w:rsidP="00547ACE">
            <w:pPr>
              <w:spacing w:before="40"/>
              <w:jc w:val="center"/>
            </w:pPr>
            <w:r w:rsidRPr="00CC3F44">
              <w:rPr>
                <w:rFonts w:cs="Arial"/>
                <w:color w:val="008000"/>
                <w:sz w:val="22"/>
                <w:szCs w:val="22"/>
              </w:rPr>
              <w:sym w:font="Wingdings" w:char="F06C"/>
            </w:r>
          </w:p>
        </w:tc>
      </w:tr>
      <w:tr w:rsidR="0096152C" w:rsidRPr="00811500" w:rsidTr="00547ACE">
        <w:trPr>
          <w:cantSplit/>
          <w:trHeight w:val="45"/>
        </w:trPr>
        <w:tc>
          <w:tcPr>
            <w:tcW w:w="1424" w:type="pct"/>
            <w:shd w:val="clear" w:color="auto" w:fill="auto"/>
            <w:tcMar>
              <w:top w:w="113" w:type="dxa"/>
              <w:bottom w:w="113" w:type="dxa"/>
            </w:tcMar>
          </w:tcPr>
          <w:p w:rsidR="0096152C" w:rsidRPr="00811500" w:rsidRDefault="0096152C" w:rsidP="00547ACE">
            <w:pPr>
              <w:rPr>
                <w:rFonts w:cs="Arial"/>
                <w:sz w:val="16"/>
                <w:szCs w:val="16"/>
              </w:rPr>
            </w:pPr>
            <w:r w:rsidRPr="00811500">
              <w:rPr>
                <w:rFonts w:cs="Arial"/>
                <w:sz w:val="16"/>
                <w:szCs w:val="16"/>
              </w:rPr>
              <w:t>II.3</w:t>
            </w:r>
            <w:r w:rsidRPr="00811500">
              <w:rPr>
                <w:rFonts w:cs="Arial"/>
                <w:sz w:val="16"/>
                <w:szCs w:val="16"/>
                <w:lang w:eastAsia="zh-CN" w:bidi="th-TH"/>
              </w:rPr>
              <w:t xml:space="preserve"> </w:t>
            </w:r>
            <w:r>
              <w:rPr>
                <w:rFonts w:cs="Arial"/>
                <w:sz w:val="16"/>
                <w:szCs w:val="16"/>
                <w:lang w:eastAsia="zh-CN" w:bidi="th-TH"/>
              </w:rPr>
              <w:t xml:space="preserve"> </w:t>
            </w:r>
            <w:r w:rsidRPr="00811500">
              <w:rPr>
                <w:rFonts w:cs="Arial"/>
                <w:sz w:val="16"/>
                <w:szCs w:val="16"/>
                <w:lang w:eastAsia="zh-CN" w:bidi="th-TH"/>
              </w:rPr>
              <w:t>Improved productivity and service quality of PCT operations</w:t>
            </w:r>
          </w:p>
        </w:tc>
        <w:tc>
          <w:tcPr>
            <w:tcW w:w="2247" w:type="pct"/>
            <w:shd w:val="clear" w:color="auto" w:fill="auto"/>
            <w:tcMar>
              <w:top w:w="113" w:type="dxa"/>
              <w:bottom w:w="113" w:type="dxa"/>
            </w:tcMar>
          </w:tcPr>
          <w:p w:rsidR="0096152C" w:rsidRDefault="0096152C" w:rsidP="00547ACE">
            <w:pPr>
              <w:rPr>
                <w:rFonts w:cs="Arial"/>
                <w:sz w:val="16"/>
                <w:szCs w:val="16"/>
              </w:rPr>
            </w:pPr>
            <w:r w:rsidRPr="007D0BFF">
              <w:rPr>
                <w:rFonts w:cs="Arial"/>
                <w:sz w:val="16"/>
                <w:szCs w:val="16"/>
              </w:rPr>
              <w:t>Application unit cost</w:t>
            </w:r>
            <w:r w:rsidRPr="00811500">
              <w:rPr>
                <w:rFonts w:cs="Arial"/>
                <w:sz w:val="16"/>
                <w:szCs w:val="16"/>
              </w:rPr>
              <w:t xml:space="preserve"> </w:t>
            </w:r>
          </w:p>
          <w:p w:rsidR="0096152C" w:rsidRDefault="0096152C" w:rsidP="00547ACE">
            <w:pPr>
              <w:rPr>
                <w:rFonts w:cs="Arial"/>
                <w:sz w:val="16"/>
                <w:szCs w:val="16"/>
              </w:rPr>
            </w:pPr>
          </w:p>
          <w:p w:rsidR="0096152C" w:rsidRPr="00811500" w:rsidRDefault="0096152C" w:rsidP="00547ACE">
            <w:pPr>
              <w:rPr>
                <w:rFonts w:cs="Arial"/>
                <w:sz w:val="16"/>
                <w:szCs w:val="16"/>
              </w:rPr>
            </w:pPr>
            <w:r w:rsidRPr="00811500">
              <w:rPr>
                <w:rFonts w:cs="Arial"/>
                <w:sz w:val="16"/>
                <w:szCs w:val="16"/>
              </w:rPr>
              <w:t>Aggregate quality of formalities examination (including timelines)</w:t>
            </w:r>
          </w:p>
        </w:tc>
        <w:tc>
          <w:tcPr>
            <w:tcW w:w="854" w:type="pct"/>
            <w:shd w:val="clear" w:color="auto" w:fill="FFFFFF"/>
            <w:tcMar>
              <w:top w:w="113" w:type="dxa"/>
              <w:bottom w:w="113" w:type="dxa"/>
            </w:tcMar>
          </w:tcPr>
          <w:p w:rsidR="0096152C" w:rsidRDefault="0096152C" w:rsidP="00547ACE">
            <w:pPr>
              <w:ind w:left="441" w:hanging="413"/>
              <w:jc w:val="center"/>
              <w:rPr>
                <w:rFonts w:cs="Arial"/>
                <w:sz w:val="16"/>
                <w:szCs w:val="16"/>
                <w:lang w:bidi="th-TH"/>
              </w:rPr>
            </w:pPr>
            <w:r w:rsidRPr="00811500">
              <w:rPr>
                <w:rFonts w:cs="Arial"/>
                <w:sz w:val="16"/>
                <w:szCs w:val="16"/>
                <w:lang w:bidi="th-TH"/>
              </w:rPr>
              <w:t>Program 5</w:t>
            </w:r>
          </w:p>
          <w:p w:rsidR="0096152C" w:rsidRDefault="0096152C" w:rsidP="00547ACE">
            <w:pPr>
              <w:ind w:left="441" w:hanging="413"/>
              <w:jc w:val="center"/>
              <w:rPr>
                <w:rFonts w:cs="Arial"/>
                <w:sz w:val="16"/>
                <w:szCs w:val="16"/>
                <w:lang w:bidi="th-TH"/>
              </w:rPr>
            </w:pPr>
          </w:p>
          <w:p w:rsidR="0096152C" w:rsidRPr="00811500" w:rsidRDefault="0096152C" w:rsidP="00547ACE">
            <w:pPr>
              <w:ind w:left="441" w:hanging="413"/>
              <w:jc w:val="center"/>
              <w:rPr>
                <w:rFonts w:cs="Arial"/>
                <w:sz w:val="16"/>
                <w:szCs w:val="16"/>
                <w:lang w:bidi="th-TH"/>
              </w:rPr>
            </w:pPr>
            <w:r w:rsidRPr="00811500">
              <w:rPr>
                <w:rFonts w:cs="Arial"/>
                <w:sz w:val="16"/>
                <w:szCs w:val="16"/>
                <w:lang w:bidi="th-TH"/>
              </w:rPr>
              <w:t>Program 5</w:t>
            </w:r>
          </w:p>
        </w:tc>
        <w:tc>
          <w:tcPr>
            <w:tcW w:w="475" w:type="pct"/>
            <w:shd w:val="clear" w:color="auto" w:fill="FFFFFF"/>
          </w:tcPr>
          <w:p w:rsidR="0096152C" w:rsidRPr="00CC3F44" w:rsidRDefault="0096152C" w:rsidP="00547ACE">
            <w:pPr>
              <w:spacing w:before="40"/>
              <w:jc w:val="center"/>
              <w:rPr>
                <w:rFonts w:cs="Arial"/>
                <w:color w:val="008000"/>
                <w:sz w:val="22"/>
                <w:szCs w:val="22"/>
              </w:rPr>
            </w:pPr>
            <w:r w:rsidRPr="00CC3F44">
              <w:rPr>
                <w:rFonts w:cs="Arial"/>
                <w:color w:val="008000"/>
                <w:sz w:val="22"/>
                <w:szCs w:val="22"/>
              </w:rPr>
              <w:sym w:font="Wingdings" w:char="F06C"/>
            </w:r>
            <w:r w:rsidRPr="00CC3F44">
              <w:rPr>
                <w:rFonts w:cs="Arial"/>
                <w:color w:val="FF0000"/>
                <w:sz w:val="22"/>
                <w:szCs w:val="22"/>
              </w:rPr>
              <w:sym w:font="Wingdings" w:char="F06C"/>
            </w:r>
            <w:r w:rsidRPr="00CC3F44">
              <w:rPr>
                <w:rFonts w:cs="Arial"/>
                <w:color w:val="008000"/>
                <w:sz w:val="22"/>
                <w:szCs w:val="22"/>
              </w:rPr>
              <w:sym w:font="Wingdings" w:char="F06C"/>
            </w:r>
          </w:p>
          <w:p w:rsidR="0096152C" w:rsidRPr="00CC3F44" w:rsidRDefault="0096152C" w:rsidP="00547ACE">
            <w:pPr>
              <w:spacing w:before="40"/>
              <w:jc w:val="center"/>
            </w:pPr>
            <w:r w:rsidRPr="00CC3F44">
              <w:rPr>
                <w:rFonts w:cs="Arial"/>
                <w:color w:val="008000"/>
                <w:sz w:val="22"/>
                <w:szCs w:val="22"/>
              </w:rPr>
              <w:sym w:font="Wingdings" w:char="F06C"/>
            </w:r>
          </w:p>
        </w:tc>
      </w:tr>
      <w:tr w:rsidR="0096152C" w:rsidRPr="00811500" w:rsidTr="00547ACE">
        <w:trPr>
          <w:cantSplit/>
          <w:trHeight w:val="201"/>
        </w:trPr>
        <w:tc>
          <w:tcPr>
            <w:tcW w:w="1424" w:type="pct"/>
            <w:shd w:val="clear" w:color="auto" w:fill="auto"/>
            <w:tcMar>
              <w:top w:w="113" w:type="dxa"/>
              <w:bottom w:w="113" w:type="dxa"/>
            </w:tcMar>
          </w:tcPr>
          <w:p w:rsidR="0096152C" w:rsidRPr="00811500" w:rsidRDefault="0096152C" w:rsidP="00547ACE">
            <w:pPr>
              <w:rPr>
                <w:rFonts w:cs="Arial"/>
                <w:sz w:val="16"/>
                <w:szCs w:val="16"/>
              </w:rPr>
            </w:pPr>
          </w:p>
        </w:tc>
        <w:tc>
          <w:tcPr>
            <w:tcW w:w="2247" w:type="pct"/>
            <w:shd w:val="clear" w:color="auto" w:fill="auto"/>
            <w:tcMar>
              <w:top w:w="113" w:type="dxa"/>
              <w:bottom w:w="113" w:type="dxa"/>
            </w:tcMar>
          </w:tcPr>
          <w:p w:rsidR="0096152C" w:rsidRPr="00811500" w:rsidRDefault="0096152C" w:rsidP="00547ACE">
            <w:pPr>
              <w:rPr>
                <w:rFonts w:cs="Arial"/>
                <w:sz w:val="16"/>
                <w:szCs w:val="16"/>
              </w:rPr>
            </w:pPr>
            <w:r w:rsidRPr="00811500">
              <w:rPr>
                <w:rFonts w:cs="Arial"/>
                <w:sz w:val="16"/>
                <w:szCs w:val="16"/>
              </w:rPr>
              <w:t>Quality of translation</w:t>
            </w:r>
          </w:p>
        </w:tc>
        <w:tc>
          <w:tcPr>
            <w:tcW w:w="854" w:type="pct"/>
            <w:shd w:val="clear" w:color="auto" w:fill="FFFFFF"/>
            <w:tcMar>
              <w:top w:w="113" w:type="dxa"/>
              <w:bottom w:w="113" w:type="dxa"/>
            </w:tcMar>
          </w:tcPr>
          <w:p w:rsidR="0096152C" w:rsidRPr="00811500" w:rsidRDefault="0096152C" w:rsidP="00547ACE">
            <w:pPr>
              <w:ind w:left="441" w:hanging="413"/>
              <w:jc w:val="center"/>
              <w:rPr>
                <w:rFonts w:cs="Arial"/>
                <w:sz w:val="16"/>
                <w:szCs w:val="16"/>
                <w:lang w:bidi="th-TH"/>
              </w:rPr>
            </w:pPr>
            <w:r w:rsidRPr="00811500">
              <w:rPr>
                <w:rFonts w:cs="Arial"/>
                <w:sz w:val="16"/>
                <w:szCs w:val="16"/>
                <w:lang w:bidi="th-TH"/>
              </w:rPr>
              <w:t>Program 5</w:t>
            </w:r>
          </w:p>
        </w:tc>
        <w:tc>
          <w:tcPr>
            <w:tcW w:w="475" w:type="pct"/>
            <w:shd w:val="clear" w:color="auto" w:fill="FFFFFF"/>
          </w:tcPr>
          <w:p w:rsidR="0096152C" w:rsidRPr="00CC3F44" w:rsidRDefault="0096152C" w:rsidP="00547ACE">
            <w:pPr>
              <w:spacing w:before="40"/>
              <w:jc w:val="center"/>
            </w:pPr>
            <w:r w:rsidRPr="00CC3F44">
              <w:rPr>
                <w:rFonts w:cs="Arial"/>
                <w:color w:val="008000"/>
                <w:sz w:val="22"/>
                <w:szCs w:val="22"/>
              </w:rPr>
              <w:sym w:font="Wingdings" w:char="F06C"/>
            </w:r>
          </w:p>
        </w:tc>
      </w:tr>
      <w:tr w:rsidR="0096152C" w:rsidRPr="00811500" w:rsidTr="00547ACE">
        <w:trPr>
          <w:cantSplit/>
          <w:trHeight w:val="225"/>
        </w:trPr>
        <w:tc>
          <w:tcPr>
            <w:tcW w:w="1424" w:type="pct"/>
            <w:shd w:val="clear" w:color="auto" w:fill="auto"/>
            <w:tcMar>
              <w:top w:w="113" w:type="dxa"/>
              <w:bottom w:w="113" w:type="dxa"/>
            </w:tcMar>
          </w:tcPr>
          <w:p w:rsidR="0096152C" w:rsidRPr="00811500" w:rsidRDefault="0096152C" w:rsidP="00547ACE">
            <w:pPr>
              <w:rPr>
                <w:rFonts w:cs="Arial"/>
                <w:sz w:val="16"/>
                <w:szCs w:val="16"/>
              </w:rPr>
            </w:pPr>
          </w:p>
        </w:tc>
        <w:tc>
          <w:tcPr>
            <w:tcW w:w="2247" w:type="pct"/>
            <w:shd w:val="clear" w:color="auto" w:fill="auto"/>
            <w:tcMar>
              <w:top w:w="57" w:type="dxa"/>
              <w:bottom w:w="57" w:type="dxa"/>
            </w:tcMar>
          </w:tcPr>
          <w:p w:rsidR="0096152C" w:rsidRPr="00811500" w:rsidRDefault="0096152C" w:rsidP="00547ACE">
            <w:pPr>
              <w:tabs>
                <w:tab w:val="left" w:pos="1860"/>
              </w:tabs>
              <w:rPr>
                <w:rFonts w:cs="Arial"/>
                <w:sz w:val="16"/>
                <w:szCs w:val="16"/>
              </w:rPr>
            </w:pPr>
            <w:r w:rsidRPr="00811500">
              <w:rPr>
                <w:rFonts w:cs="Arial"/>
                <w:sz w:val="16"/>
                <w:szCs w:val="16"/>
              </w:rPr>
              <w:t>Timelines of report translation</w:t>
            </w:r>
          </w:p>
        </w:tc>
        <w:tc>
          <w:tcPr>
            <w:tcW w:w="854" w:type="pct"/>
            <w:shd w:val="clear" w:color="auto" w:fill="FFFFFF"/>
            <w:tcMar>
              <w:top w:w="113" w:type="dxa"/>
              <w:bottom w:w="113" w:type="dxa"/>
            </w:tcMar>
          </w:tcPr>
          <w:p w:rsidR="0096152C" w:rsidRPr="00811500" w:rsidRDefault="0096152C" w:rsidP="00547ACE">
            <w:pPr>
              <w:ind w:left="441" w:hanging="413"/>
              <w:jc w:val="center"/>
              <w:rPr>
                <w:rFonts w:cs="Arial"/>
                <w:sz w:val="16"/>
                <w:szCs w:val="16"/>
                <w:lang w:bidi="th-TH"/>
              </w:rPr>
            </w:pPr>
            <w:r w:rsidRPr="00811500">
              <w:rPr>
                <w:rFonts w:cs="Arial"/>
                <w:sz w:val="16"/>
                <w:szCs w:val="16"/>
                <w:lang w:bidi="th-TH"/>
              </w:rPr>
              <w:t>Program 5</w:t>
            </w:r>
          </w:p>
        </w:tc>
        <w:tc>
          <w:tcPr>
            <w:tcW w:w="475" w:type="pct"/>
            <w:shd w:val="clear" w:color="auto" w:fill="FFFFFF"/>
          </w:tcPr>
          <w:p w:rsidR="0096152C" w:rsidRPr="00CC3F44" w:rsidRDefault="0096152C" w:rsidP="00547ACE">
            <w:pPr>
              <w:spacing w:before="40"/>
              <w:jc w:val="center"/>
            </w:pPr>
            <w:r w:rsidRPr="00CC3F44">
              <w:rPr>
                <w:rFonts w:cs="Arial"/>
                <w:color w:val="008000"/>
                <w:sz w:val="22"/>
                <w:szCs w:val="22"/>
              </w:rPr>
              <w:sym w:font="Wingdings" w:char="F06C"/>
            </w:r>
          </w:p>
        </w:tc>
      </w:tr>
      <w:tr w:rsidR="0096152C" w:rsidRPr="00811500" w:rsidTr="00547ACE">
        <w:trPr>
          <w:cantSplit/>
          <w:trHeight w:val="133"/>
        </w:trPr>
        <w:tc>
          <w:tcPr>
            <w:tcW w:w="1424" w:type="pct"/>
            <w:shd w:val="clear" w:color="auto" w:fill="auto"/>
            <w:tcMar>
              <w:top w:w="113" w:type="dxa"/>
              <w:bottom w:w="113" w:type="dxa"/>
            </w:tcMar>
          </w:tcPr>
          <w:p w:rsidR="0096152C" w:rsidRPr="00811500" w:rsidRDefault="0096152C" w:rsidP="00547ACE">
            <w:pPr>
              <w:rPr>
                <w:rFonts w:cs="Arial"/>
                <w:sz w:val="16"/>
                <w:szCs w:val="16"/>
              </w:rPr>
            </w:pPr>
          </w:p>
        </w:tc>
        <w:tc>
          <w:tcPr>
            <w:tcW w:w="2247" w:type="pct"/>
            <w:shd w:val="clear" w:color="auto" w:fill="auto"/>
            <w:tcMar>
              <w:top w:w="57" w:type="dxa"/>
              <w:bottom w:w="57" w:type="dxa"/>
            </w:tcMar>
          </w:tcPr>
          <w:p w:rsidR="0096152C" w:rsidRPr="00811500" w:rsidRDefault="0096152C" w:rsidP="00547ACE">
            <w:pPr>
              <w:rPr>
                <w:rFonts w:cs="Arial"/>
                <w:sz w:val="16"/>
                <w:szCs w:val="16"/>
              </w:rPr>
            </w:pPr>
            <w:r w:rsidRPr="00811500">
              <w:rPr>
                <w:rFonts w:cs="Arial"/>
                <w:sz w:val="16"/>
                <w:szCs w:val="16"/>
              </w:rPr>
              <w:t>Quality of software development (QSD)</w:t>
            </w:r>
          </w:p>
        </w:tc>
        <w:tc>
          <w:tcPr>
            <w:tcW w:w="854" w:type="pct"/>
            <w:shd w:val="clear" w:color="auto" w:fill="FFFFFF"/>
            <w:tcMar>
              <w:top w:w="113" w:type="dxa"/>
              <w:bottom w:w="113" w:type="dxa"/>
            </w:tcMar>
          </w:tcPr>
          <w:p w:rsidR="0096152C" w:rsidRPr="00811500" w:rsidRDefault="0096152C" w:rsidP="00547ACE">
            <w:pPr>
              <w:ind w:left="441" w:hanging="413"/>
              <w:jc w:val="center"/>
              <w:rPr>
                <w:rFonts w:cs="Arial"/>
                <w:sz w:val="16"/>
                <w:szCs w:val="16"/>
                <w:lang w:bidi="th-TH"/>
              </w:rPr>
            </w:pPr>
            <w:r w:rsidRPr="00811500">
              <w:rPr>
                <w:rFonts w:cs="Arial"/>
                <w:sz w:val="16"/>
                <w:szCs w:val="16"/>
                <w:lang w:bidi="th-TH"/>
              </w:rPr>
              <w:t>Program 5</w:t>
            </w:r>
          </w:p>
        </w:tc>
        <w:tc>
          <w:tcPr>
            <w:tcW w:w="475" w:type="pct"/>
            <w:shd w:val="clear" w:color="auto" w:fill="FFFFFF"/>
          </w:tcPr>
          <w:p w:rsidR="0096152C" w:rsidRPr="00CC3F44" w:rsidRDefault="0096152C" w:rsidP="00547ACE">
            <w:pPr>
              <w:spacing w:before="40"/>
              <w:jc w:val="center"/>
            </w:pPr>
            <w:r w:rsidRPr="00CC3F44">
              <w:rPr>
                <w:rFonts w:cs="Arial"/>
                <w:color w:val="008000"/>
                <w:sz w:val="22"/>
                <w:szCs w:val="22"/>
              </w:rPr>
              <w:sym w:font="Wingdings" w:char="F06C"/>
            </w:r>
          </w:p>
        </w:tc>
      </w:tr>
      <w:tr w:rsidR="0096152C" w:rsidRPr="00811500" w:rsidTr="00547ACE">
        <w:trPr>
          <w:cantSplit/>
          <w:trHeight w:val="40"/>
        </w:trPr>
        <w:tc>
          <w:tcPr>
            <w:tcW w:w="1424" w:type="pct"/>
            <w:shd w:val="clear" w:color="auto" w:fill="auto"/>
            <w:tcMar>
              <w:top w:w="113" w:type="dxa"/>
              <w:bottom w:w="113" w:type="dxa"/>
            </w:tcMar>
          </w:tcPr>
          <w:p w:rsidR="0096152C" w:rsidRPr="00811500" w:rsidRDefault="0096152C" w:rsidP="00547ACE">
            <w:pPr>
              <w:rPr>
                <w:rFonts w:cs="Arial"/>
                <w:sz w:val="16"/>
                <w:szCs w:val="16"/>
              </w:rPr>
            </w:pPr>
          </w:p>
        </w:tc>
        <w:tc>
          <w:tcPr>
            <w:tcW w:w="2247" w:type="pct"/>
            <w:shd w:val="clear" w:color="auto" w:fill="auto"/>
            <w:tcMar>
              <w:top w:w="57" w:type="dxa"/>
              <w:bottom w:w="57" w:type="dxa"/>
            </w:tcMar>
          </w:tcPr>
          <w:p w:rsidR="0096152C" w:rsidRPr="00811500" w:rsidRDefault="0096152C" w:rsidP="00547ACE">
            <w:pPr>
              <w:rPr>
                <w:rFonts w:cs="Arial"/>
                <w:sz w:val="16"/>
                <w:szCs w:val="16"/>
              </w:rPr>
            </w:pPr>
            <w:r w:rsidRPr="00811500">
              <w:rPr>
                <w:rFonts w:cs="Arial"/>
                <w:sz w:val="16"/>
                <w:szCs w:val="16"/>
              </w:rPr>
              <w:t>Information systems service levels</w:t>
            </w:r>
          </w:p>
        </w:tc>
        <w:tc>
          <w:tcPr>
            <w:tcW w:w="854" w:type="pct"/>
            <w:shd w:val="clear" w:color="auto" w:fill="FFFFFF"/>
            <w:tcMar>
              <w:top w:w="113" w:type="dxa"/>
              <w:bottom w:w="113" w:type="dxa"/>
            </w:tcMar>
          </w:tcPr>
          <w:p w:rsidR="0096152C" w:rsidRPr="00811500" w:rsidRDefault="0096152C" w:rsidP="00547ACE">
            <w:pPr>
              <w:ind w:left="441" w:hanging="413"/>
              <w:jc w:val="center"/>
              <w:rPr>
                <w:rFonts w:cs="Arial"/>
                <w:sz w:val="16"/>
                <w:szCs w:val="16"/>
                <w:lang w:bidi="th-TH"/>
              </w:rPr>
            </w:pPr>
            <w:r w:rsidRPr="00811500">
              <w:rPr>
                <w:rFonts w:cs="Arial"/>
                <w:sz w:val="16"/>
                <w:szCs w:val="16"/>
                <w:lang w:bidi="th-TH"/>
              </w:rPr>
              <w:t>Program 5</w:t>
            </w:r>
          </w:p>
        </w:tc>
        <w:tc>
          <w:tcPr>
            <w:tcW w:w="475" w:type="pct"/>
            <w:shd w:val="clear" w:color="auto" w:fill="FFFFFF"/>
          </w:tcPr>
          <w:p w:rsidR="0096152C" w:rsidRPr="00CC3F44" w:rsidRDefault="0096152C" w:rsidP="00547ACE">
            <w:pPr>
              <w:spacing w:before="40"/>
              <w:jc w:val="center"/>
            </w:pPr>
            <w:r w:rsidRPr="00CC3F44">
              <w:rPr>
                <w:rFonts w:cs="Arial"/>
                <w:color w:val="008000"/>
                <w:sz w:val="22"/>
                <w:szCs w:val="22"/>
              </w:rPr>
              <w:sym w:font="Wingdings" w:char="F06C"/>
            </w:r>
          </w:p>
        </w:tc>
      </w:tr>
      <w:tr w:rsidR="0096152C" w:rsidRPr="00811500" w:rsidTr="00547ACE">
        <w:trPr>
          <w:cantSplit/>
          <w:trHeight w:val="180"/>
        </w:trPr>
        <w:tc>
          <w:tcPr>
            <w:tcW w:w="1424" w:type="pct"/>
            <w:shd w:val="clear" w:color="auto" w:fill="auto"/>
            <w:tcMar>
              <w:top w:w="113" w:type="dxa"/>
              <w:bottom w:w="113" w:type="dxa"/>
            </w:tcMar>
          </w:tcPr>
          <w:p w:rsidR="0096152C" w:rsidRPr="00811500" w:rsidRDefault="0096152C" w:rsidP="00547ACE">
            <w:pPr>
              <w:rPr>
                <w:rFonts w:cs="Arial"/>
                <w:sz w:val="16"/>
                <w:szCs w:val="16"/>
              </w:rPr>
            </w:pPr>
            <w:r w:rsidRPr="00811500">
              <w:rPr>
                <w:rFonts w:cs="Arial"/>
                <w:sz w:val="16"/>
                <w:szCs w:val="16"/>
              </w:rPr>
              <w:t xml:space="preserve">II.4 </w:t>
            </w:r>
            <w:r>
              <w:rPr>
                <w:rFonts w:cs="Arial"/>
                <w:sz w:val="16"/>
                <w:szCs w:val="16"/>
              </w:rPr>
              <w:t xml:space="preserve"> </w:t>
            </w:r>
            <w:r w:rsidRPr="00811500">
              <w:rPr>
                <w:rFonts w:cs="Arial"/>
                <w:sz w:val="16"/>
                <w:szCs w:val="16"/>
              </w:rPr>
              <w:t>Wider and better use of the Hague system, including by developing countries and LDCs</w:t>
            </w:r>
          </w:p>
        </w:tc>
        <w:tc>
          <w:tcPr>
            <w:tcW w:w="2247" w:type="pct"/>
            <w:shd w:val="clear" w:color="auto" w:fill="auto"/>
            <w:tcMar>
              <w:top w:w="57" w:type="dxa"/>
              <w:bottom w:w="57" w:type="dxa"/>
            </w:tcMar>
          </w:tcPr>
          <w:p w:rsidR="0096152C" w:rsidRDefault="0096152C" w:rsidP="00547ACE">
            <w:pPr>
              <w:rPr>
                <w:rFonts w:cs="Arial"/>
                <w:sz w:val="16"/>
                <w:szCs w:val="16"/>
              </w:rPr>
            </w:pPr>
            <w:r w:rsidRPr="00811500">
              <w:rPr>
                <w:rFonts w:cs="Arial"/>
                <w:sz w:val="16"/>
                <w:szCs w:val="16"/>
              </w:rPr>
              <w:t>No. of Hague system applica</w:t>
            </w:r>
            <w:r>
              <w:rPr>
                <w:rFonts w:cs="Arial"/>
                <w:sz w:val="16"/>
                <w:szCs w:val="16"/>
              </w:rPr>
              <w:t>tions</w:t>
            </w:r>
            <w:r w:rsidRPr="00811500">
              <w:rPr>
                <w:rFonts w:cs="Arial"/>
                <w:sz w:val="16"/>
                <w:szCs w:val="16"/>
              </w:rPr>
              <w:t xml:space="preserve"> originating from transition and developed countries </w:t>
            </w:r>
          </w:p>
          <w:p w:rsidR="0096152C" w:rsidRDefault="0096152C" w:rsidP="00547ACE">
            <w:pPr>
              <w:rPr>
                <w:rFonts w:cs="Arial"/>
                <w:sz w:val="16"/>
                <w:szCs w:val="16"/>
              </w:rPr>
            </w:pPr>
          </w:p>
          <w:p w:rsidR="0096152C" w:rsidRPr="00811500" w:rsidRDefault="0096152C" w:rsidP="00547ACE">
            <w:pPr>
              <w:rPr>
                <w:rFonts w:cs="Arial"/>
                <w:sz w:val="16"/>
                <w:szCs w:val="16"/>
              </w:rPr>
            </w:pPr>
            <w:r w:rsidRPr="00811500">
              <w:rPr>
                <w:rFonts w:cs="Arial"/>
                <w:sz w:val="16"/>
                <w:szCs w:val="16"/>
              </w:rPr>
              <w:t>No. of countries that have formulated and/or are engaged in policies outlining their accession to the Hague Agreement</w:t>
            </w:r>
          </w:p>
        </w:tc>
        <w:tc>
          <w:tcPr>
            <w:tcW w:w="854" w:type="pct"/>
            <w:shd w:val="clear" w:color="auto" w:fill="FFFFFF"/>
            <w:tcMar>
              <w:top w:w="113" w:type="dxa"/>
              <w:bottom w:w="113" w:type="dxa"/>
            </w:tcMar>
          </w:tcPr>
          <w:p w:rsidR="0096152C" w:rsidRDefault="0096152C" w:rsidP="00547ACE">
            <w:pPr>
              <w:ind w:left="441" w:hanging="413"/>
              <w:jc w:val="center"/>
              <w:rPr>
                <w:rFonts w:cs="Arial"/>
                <w:sz w:val="16"/>
                <w:szCs w:val="16"/>
                <w:lang w:bidi="th-TH"/>
              </w:rPr>
            </w:pPr>
            <w:r w:rsidRPr="00811500">
              <w:rPr>
                <w:rFonts w:cs="Arial"/>
                <w:sz w:val="16"/>
                <w:szCs w:val="16"/>
                <w:lang w:bidi="th-TH"/>
              </w:rPr>
              <w:t>Program 10</w:t>
            </w:r>
          </w:p>
          <w:p w:rsidR="0096152C" w:rsidRDefault="0096152C" w:rsidP="00547ACE">
            <w:pPr>
              <w:ind w:left="441" w:hanging="413"/>
              <w:jc w:val="center"/>
              <w:rPr>
                <w:rFonts w:cs="Arial"/>
                <w:sz w:val="16"/>
                <w:szCs w:val="16"/>
                <w:lang w:bidi="th-TH"/>
              </w:rPr>
            </w:pPr>
          </w:p>
          <w:p w:rsidR="0096152C" w:rsidRDefault="0096152C" w:rsidP="00547ACE">
            <w:pPr>
              <w:ind w:left="441" w:hanging="413"/>
              <w:jc w:val="center"/>
              <w:rPr>
                <w:rFonts w:cs="Arial"/>
                <w:sz w:val="16"/>
                <w:szCs w:val="16"/>
                <w:lang w:bidi="th-TH"/>
              </w:rPr>
            </w:pPr>
          </w:p>
          <w:p w:rsidR="0096152C" w:rsidRPr="00811500" w:rsidRDefault="0096152C" w:rsidP="00547ACE">
            <w:pPr>
              <w:ind w:left="441" w:hanging="413"/>
              <w:jc w:val="center"/>
              <w:rPr>
                <w:rFonts w:cs="Arial"/>
                <w:sz w:val="16"/>
                <w:szCs w:val="16"/>
                <w:lang w:bidi="th-TH"/>
              </w:rPr>
            </w:pPr>
            <w:r w:rsidRPr="00811500">
              <w:rPr>
                <w:rFonts w:cs="Arial"/>
                <w:sz w:val="16"/>
                <w:szCs w:val="16"/>
                <w:lang w:bidi="th-TH"/>
              </w:rPr>
              <w:t>Program 20</w:t>
            </w:r>
          </w:p>
        </w:tc>
        <w:tc>
          <w:tcPr>
            <w:tcW w:w="475" w:type="pct"/>
            <w:shd w:val="clear" w:color="auto" w:fill="FFFFFF"/>
          </w:tcPr>
          <w:p w:rsidR="0096152C" w:rsidRPr="00CC3F44" w:rsidRDefault="0096152C" w:rsidP="00547ACE">
            <w:pPr>
              <w:jc w:val="center"/>
              <w:rPr>
                <w:rFonts w:cs="Arial"/>
                <w:color w:val="008000"/>
                <w:sz w:val="22"/>
                <w:szCs w:val="22"/>
              </w:rPr>
            </w:pPr>
            <w:r w:rsidRPr="00CC3F44">
              <w:rPr>
                <w:rFonts w:cs="Arial"/>
                <w:color w:val="008000"/>
                <w:sz w:val="22"/>
                <w:szCs w:val="22"/>
              </w:rPr>
              <w:sym w:font="Wingdings" w:char="F06C"/>
            </w:r>
          </w:p>
          <w:p w:rsidR="0096152C" w:rsidRPr="00CC3F44" w:rsidRDefault="0096152C" w:rsidP="00547ACE">
            <w:pPr>
              <w:jc w:val="center"/>
              <w:rPr>
                <w:rFonts w:cs="Arial"/>
                <w:color w:val="A6A6A6" w:themeColor="background1" w:themeShade="A6"/>
                <w:sz w:val="22"/>
                <w:szCs w:val="22"/>
              </w:rPr>
            </w:pPr>
          </w:p>
          <w:p w:rsidR="0096152C" w:rsidRPr="00CC3F44" w:rsidRDefault="0096152C" w:rsidP="00547ACE">
            <w:pPr>
              <w:jc w:val="center"/>
            </w:pPr>
            <w:r w:rsidRPr="00CC3F44">
              <w:rPr>
                <w:rFonts w:cs="Arial"/>
                <w:color w:val="008000"/>
                <w:sz w:val="22"/>
                <w:szCs w:val="22"/>
              </w:rPr>
              <w:sym w:font="Wingdings" w:char="F06C"/>
            </w:r>
          </w:p>
        </w:tc>
      </w:tr>
      <w:tr w:rsidR="0096152C" w:rsidRPr="00811500" w:rsidTr="00547ACE">
        <w:trPr>
          <w:cantSplit/>
          <w:trHeight w:val="696"/>
        </w:trPr>
        <w:tc>
          <w:tcPr>
            <w:tcW w:w="1424" w:type="pct"/>
            <w:shd w:val="clear" w:color="auto" w:fill="auto"/>
            <w:tcMar>
              <w:top w:w="113" w:type="dxa"/>
              <w:bottom w:w="113" w:type="dxa"/>
            </w:tcMar>
          </w:tcPr>
          <w:p w:rsidR="0096152C" w:rsidRPr="00811500" w:rsidRDefault="0096152C" w:rsidP="00547ACE">
            <w:pPr>
              <w:rPr>
                <w:rFonts w:cs="Arial"/>
                <w:sz w:val="16"/>
                <w:szCs w:val="16"/>
              </w:rPr>
            </w:pPr>
          </w:p>
        </w:tc>
        <w:tc>
          <w:tcPr>
            <w:tcW w:w="2247" w:type="pct"/>
            <w:shd w:val="clear" w:color="auto" w:fill="auto"/>
            <w:tcMar>
              <w:top w:w="57" w:type="dxa"/>
              <w:bottom w:w="57" w:type="dxa"/>
            </w:tcMar>
          </w:tcPr>
          <w:p w:rsidR="0096152C" w:rsidRPr="00811500" w:rsidRDefault="0096152C" w:rsidP="00547ACE">
            <w:pPr>
              <w:rPr>
                <w:rFonts w:cs="Arial"/>
                <w:sz w:val="16"/>
                <w:szCs w:val="16"/>
              </w:rPr>
            </w:pPr>
            <w:r w:rsidRPr="00811500">
              <w:rPr>
                <w:rFonts w:cs="Arial"/>
                <w:sz w:val="16"/>
                <w:szCs w:val="16"/>
              </w:rPr>
              <w:t>% of policy makers, government officials, and IP Practitioners and participants in targeted workshops with enhanced understanding of the Hague System</w:t>
            </w:r>
          </w:p>
        </w:tc>
        <w:tc>
          <w:tcPr>
            <w:tcW w:w="854" w:type="pct"/>
            <w:shd w:val="clear" w:color="auto" w:fill="FFFFFF"/>
            <w:tcMar>
              <w:top w:w="113" w:type="dxa"/>
              <w:bottom w:w="113" w:type="dxa"/>
            </w:tcMar>
          </w:tcPr>
          <w:p w:rsidR="0096152C" w:rsidRPr="00811500" w:rsidRDefault="0096152C" w:rsidP="00547ACE">
            <w:pPr>
              <w:ind w:left="441" w:hanging="413"/>
              <w:jc w:val="center"/>
              <w:rPr>
                <w:rFonts w:cs="Arial"/>
                <w:sz w:val="16"/>
                <w:szCs w:val="16"/>
                <w:lang w:bidi="th-TH"/>
              </w:rPr>
            </w:pPr>
            <w:r w:rsidRPr="00811500">
              <w:rPr>
                <w:rFonts w:cs="Arial"/>
                <w:sz w:val="16"/>
                <w:szCs w:val="16"/>
                <w:lang w:bidi="th-TH"/>
              </w:rPr>
              <w:t>Program 20</w:t>
            </w:r>
          </w:p>
        </w:tc>
        <w:tc>
          <w:tcPr>
            <w:tcW w:w="475" w:type="pct"/>
            <w:shd w:val="clear" w:color="auto" w:fill="FFFFFF"/>
          </w:tcPr>
          <w:p w:rsidR="0096152C" w:rsidRPr="00CC3F44" w:rsidRDefault="0096152C" w:rsidP="00547ACE">
            <w:pPr>
              <w:jc w:val="center"/>
            </w:pPr>
            <w:r w:rsidRPr="00CC3F44">
              <w:rPr>
                <w:rFonts w:cs="Arial"/>
                <w:color w:val="008000"/>
                <w:sz w:val="22"/>
                <w:szCs w:val="22"/>
              </w:rPr>
              <w:sym w:font="Wingdings" w:char="F06C"/>
            </w:r>
            <w:r w:rsidRPr="00CC3F44">
              <w:rPr>
                <w:rFonts w:cs="Arial"/>
                <w:color w:val="008000"/>
                <w:sz w:val="22"/>
                <w:szCs w:val="22"/>
              </w:rPr>
              <w:sym w:font="Wingdings" w:char="F06C"/>
            </w:r>
            <w:r w:rsidRPr="00CC3F44">
              <w:rPr>
                <w:rFonts w:cs="Arial"/>
                <w:color w:val="008000"/>
                <w:sz w:val="22"/>
                <w:szCs w:val="22"/>
              </w:rPr>
              <w:sym w:font="Wingdings" w:char="F06C"/>
            </w:r>
          </w:p>
        </w:tc>
      </w:tr>
      <w:tr w:rsidR="0096152C" w:rsidRPr="00811500" w:rsidTr="00547ACE">
        <w:trPr>
          <w:cantSplit/>
          <w:trHeight w:val="156"/>
        </w:trPr>
        <w:tc>
          <w:tcPr>
            <w:tcW w:w="1424" w:type="pct"/>
            <w:shd w:val="clear" w:color="auto" w:fill="auto"/>
            <w:tcMar>
              <w:top w:w="113" w:type="dxa"/>
              <w:bottom w:w="113" w:type="dxa"/>
            </w:tcMar>
          </w:tcPr>
          <w:p w:rsidR="0096152C" w:rsidRPr="00811500" w:rsidRDefault="0096152C" w:rsidP="00547ACE">
            <w:pPr>
              <w:rPr>
                <w:rFonts w:cs="Arial"/>
                <w:sz w:val="16"/>
                <w:szCs w:val="16"/>
              </w:rPr>
            </w:pPr>
          </w:p>
        </w:tc>
        <w:tc>
          <w:tcPr>
            <w:tcW w:w="2247" w:type="pct"/>
            <w:shd w:val="clear" w:color="auto" w:fill="auto"/>
            <w:tcMar>
              <w:top w:w="57" w:type="dxa"/>
              <w:bottom w:w="57" w:type="dxa"/>
            </w:tcMar>
          </w:tcPr>
          <w:p w:rsidR="0096152C" w:rsidRPr="00811500" w:rsidRDefault="0096152C" w:rsidP="00547ACE">
            <w:pPr>
              <w:rPr>
                <w:rFonts w:cs="Arial"/>
                <w:sz w:val="16"/>
                <w:szCs w:val="16"/>
              </w:rPr>
            </w:pPr>
            <w:r w:rsidRPr="00811500">
              <w:rPr>
                <w:rFonts w:cs="Arial"/>
                <w:sz w:val="16"/>
                <w:szCs w:val="16"/>
              </w:rPr>
              <w:t xml:space="preserve">No. of </w:t>
            </w:r>
            <w:r>
              <w:rPr>
                <w:rFonts w:cs="Arial"/>
                <w:sz w:val="16"/>
                <w:szCs w:val="16"/>
              </w:rPr>
              <w:t>C</w:t>
            </w:r>
            <w:r w:rsidRPr="00811500">
              <w:rPr>
                <w:rFonts w:cs="Arial"/>
                <w:sz w:val="16"/>
                <w:szCs w:val="16"/>
              </w:rPr>
              <w:t xml:space="preserve">ontracting </w:t>
            </w:r>
            <w:r>
              <w:rPr>
                <w:rFonts w:cs="Arial"/>
                <w:sz w:val="16"/>
                <w:szCs w:val="16"/>
              </w:rPr>
              <w:t>P</w:t>
            </w:r>
            <w:r w:rsidRPr="00811500">
              <w:rPr>
                <w:rFonts w:cs="Arial"/>
                <w:sz w:val="16"/>
                <w:szCs w:val="16"/>
              </w:rPr>
              <w:t xml:space="preserve">arties to the Hague in the Asia </w:t>
            </w:r>
            <w:r>
              <w:rPr>
                <w:rFonts w:cs="Arial"/>
                <w:sz w:val="16"/>
                <w:szCs w:val="16"/>
              </w:rPr>
              <w:t>and P</w:t>
            </w:r>
            <w:r w:rsidRPr="00811500">
              <w:rPr>
                <w:rFonts w:cs="Arial"/>
                <w:sz w:val="16"/>
                <w:szCs w:val="16"/>
              </w:rPr>
              <w:t>acific Region</w:t>
            </w:r>
          </w:p>
        </w:tc>
        <w:tc>
          <w:tcPr>
            <w:tcW w:w="854" w:type="pct"/>
            <w:shd w:val="clear" w:color="auto" w:fill="FFFFFF"/>
            <w:tcMar>
              <w:top w:w="113" w:type="dxa"/>
              <w:bottom w:w="113" w:type="dxa"/>
            </w:tcMar>
          </w:tcPr>
          <w:p w:rsidR="0096152C" w:rsidRPr="00811500" w:rsidRDefault="0096152C" w:rsidP="00547ACE">
            <w:pPr>
              <w:ind w:left="441" w:hanging="413"/>
              <w:jc w:val="center"/>
              <w:rPr>
                <w:rFonts w:cs="Arial"/>
                <w:sz w:val="16"/>
                <w:szCs w:val="16"/>
                <w:lang w:bidi="th-TH"/>
              </w:rPr>
            </w:pPr>
            <w:r w:rsidRPr="00811500">
              <w:rPr>
                <w:rFonts w:cs="Arial"/>
                <w:sz w:val="16"/>
                <w:szCs w:val="16"/>
                <w:lang w:bidi="th-TH"/>
              </w:rPr>
              <w:t>Program 20</w:t>
            </w:r>
          </w:p>
        </w:tc>
        <w:tc>
          <w:tcPr>
            <w:tcW w:w="475" w:type="pct"/>
            <w:shd w:val="clear" w:color="auto" w:fill="FFFFFF"/>
          </w:tcPr>
          <w:p w:rsidR="0096152C" w:rsidRPr="00CC3F44" w:rsidRDefault="0096152C" w:rsidP="00547ACE">
            <w:pPr>
              <w:jc w:val="center"/>
              <w:rPr>
                <w:rFonts w:cs="Arial"/>
                <w:color w:val="FF0000"/>
                <w:sz w:val="22"/>
                <w:szCs w:val="22"/>
              </w:rPr>
            </w:pPr>
            <w:r w:rsidRPr="00CC3F44">
              <w:rPr>
                <w:rFonts w:cs="Arial"/>
                <w:color w:val="008000"/>
                <w:sz w:val="22"/>
                <w:szCs w:val="22"/>
              </w:rPr>
              <w:sym w:font="Wingdings" w:char="F06C"/>
            </w:r>
            <w:r w:rsidRPr="00CC3F44">
              <w:rPr>
                <w:rFonts w:cs="Arial"/>
                <w:color w:val="FF0000"/>
                <w:sz w:val="22"/>
                <w:szCs w:val="22"/>
              </w:rPr>
              <w:sym w:font="Wingdings" w:char="F06C"/>
            </w:r>
          </w:p>
        </w:tc>
      </w:tr>
      <w:tr w:rsidR="0096152C" w:rsidRPr="00811500" w:rsidTr="00547ACE">
        <w:trPr>
          <w:cantSplit/>
          <w:trHeight w:val="332"/>
        </w:trPr>
        <w:tc>
          <w:tcPr>
            <w:tcW w:w="1424" w:type="pct"/>
            <w:shd w:val="clear" w:color="auto" w:fill="auto"/>
            <w:tcMar>
              <w:top w:w="113" w:type="dxa"/>
              <w:bottom w:w="113" w:type="dxa"/>
            </w:tcMar>
          </w:tcPr>
          <w:p w:rsidR="0096152C" w:rsidRPr="00811500" w:rsidRDefault="0096152C" w:rsidP="00547ACE">
            <w:pPr>
              <w:rPr>
                <w:rFonts w:cs="Arial"/>
                <w:sz w:val="16"/>
                <w:szCs w:val="16"/>
              </w:rPr>
            </w:pPr>
          </w:p>
        </w:tc>
        <w:tc>
          <w:tcPr>
            <w:tcW w:w="2247" w:type="pct"/>
            <w:shd w:val="clear" w:color="auto" w:fill="auto"/>
            <w:tcMar>
              <w:top w:w="57" w:type="dxa"/>
              <w:bottom w:w="57" w:type="dxa"/>
            </w:tcMar>
          </w:tcPr>
          <w:p w:rsidR="0096152C" w:rsidRPr="00811500" w:rsidRDefault="0096152C" w:rsidP="00547ACE">
            <w:pPr>
              <w:rPr>
                <w:rFonts w:cs="Arial"/>
                <w:sz w:val="16"/>
                <w:szCs w:val="16"/>
              </w:rPr>
            </w:pPr>
            <w:r w:rsidRPr="00811500">
              <w:rPr>
                <w:rFonts w:cs="Arial"/>
                <w:sz w:val="16"/>
                <w:szCs w:val="16"/>
              </w:rPr>
              <w:t>Membership of the Geneva (1999) Act</w:t>
            </w:r>
          </w:p>
        </w:tc>
        <w:tc>
          <w:tcPr>
            <w:tcW w:w="854" w:type="pct"/>
            <w:shd w:val="clear" w:color="auto" w:fill="FFFFFF"/>
            <w:tcMar>
              <w:top w:w="113" w:type="dxa"/>
              <w:bottom w:w="113" w:type="dxa"/>
            </w:tcMar>
          </w:tcPr>
          <w:p w:rsidR="0096152C" w:rsidRPr="00811500" w:rsidRDefault="0096152C" w:rsidP="00547ACE">
            <w:pPr>
              <w:ind w:left="441" w:hanging="413"/>
              <w:jc w:val="center"/>
              <w:rPr>
                <w:rFonts w:cs="Arial"/>
                <w:sz w:val="16"/>
                <w:szCs w:val="16"/>
                <w:lang w:bidi="th-TH"/>
              </w:rPr>
            </w:pPr>
            <w:r w:rsidRPr="00811500">
              <w:rPr>
                <w:rFonts w:cs="Arial"/>
                <w:sz w:val="16"/>
                <w:szCs w:val="16"/>
                <w:lang w:bidi="th-TH"/>
              </w:rPr>
              <w:t>Program 31</w:t>
            </w:r>
          </w:p>
        </w:tc>
        <w:tc>
          <w:tcPr>
            <w:tcW w:w="475" w:type="pct"/>
            <w:shd w:val="clear" w:color="auto" w:fill="FFFFFF"/>
          </w:tcPr>
          <w:p w:rsidR="0096152C" w:rsidRPr="00CC3F44" w:rsidRDefault="0096152C" w:rsidP="00547ACE">
            <w:pPr>
              <w:jc w:val="center"/>
            </w:pPr>
            <w:r w:rsidRPr="00CC3F44">
              <w:rPr>
                <w:rFonts w:cs="Arial"/>
                <w:color w:val="E26B0A"/>
                <w:sz w:val="22"/>
                <w:szCs w:val="22"/>
              </w:rPr>
              <w:sym w:font="Wingdings" w:char="F06C"/>
            </w:r>
          </w:p>
        </w:tc>
      </w:tr>
      <w:tr w:rsidR="0096152C" w:rsidRPr="00811500" w:rsidTr="00547ACE">
        <w:trPr>
          <w:cantSplit/>
          <w:trHeight w:val="178"/>
        </w:trPr>
        <w:tc>
          <w:tcPr>
            <w:tcW w:w="1424" w:type="pct"/>
            <w:shd w:val="clear" w:color="auto" w:fill="auto"/>
            <w:tcMar>
              <w:top w:w="113" w:type="dxa"/>
              <w:bottom w:w="113" w:type="dxa"/>
            </w:tcMar>
          </w:tcPr>
          <w:p w:rsidR="0096152C" w:rsidRPr="00811500" w:rsidRDefault="0096152C" w:rsidP="00547ACE">
            <w:pPr>
              <w:rPr>
                <w:rFonts w:cs="Arial"/>
                <w:sz w:val="16"/>
                <w:szCs w:val="16"/>
              </w:rPr>
            </w:pPr>
          </w:p>
        </w:tc>
        <w:tc>
          <w:tcPr>
            <w:tcW w:w="2247" w:type="pct"/>
            <w:shd w:val="clear" w:color="auto" w:fill="auto"/>
            <w:tcMar>
              <w:top w:w="113" w:type="dxa"/>
              <w:bottom w:w="113" w:type="dxa"/>
            </w:tcMar>
          </w:tcPr>
          <w:p w:rsidR="0096152C" w:rsidRPr="00811500" w:rsidRDefault="0096152C" w:rsidP="00547ACE">
            <w:pPr>
              <w:rPr>
                <w:rFonts w:cs="Arial"/>
                <w:sz w:val="16"/>
                <w:szCs w:val="16"/>
              </w:rPr>
            </w:pPr>
            <w:r w:rsidRPr="00811500">
              <w:rPr>
                <w:rFonts w:cs="Arial"/>
                <w:sz w:val="16"/>
                <w:szCs w:val="16"/>
              </w:rPr>
              <w:t xml:space="preserve">Share of Offices concerned providing information on the Hague system </w:t>
            </w:r>
          </w:p>
        </w:tc>
        <w:tc>
          <w:tcPr>
            <w:tcW w:w="854" w:type="pct"/>
            <w:shd w:val="clear" w:color="auto" w:fill="FFFFFF"/>
            <w:tcMar>
              <w:top w:w="113" w:type="dxa"/>
              <w:bottom w:w="113" w:type="dxa"/>
            </w:tcMar>
          </w:tcPr>
          <w:p w:rsidR="0096152C" w:rsidRPr="00811500" w:rsidRDefault="0096152C" w:rsidP="00547ACE">
            <w:pPr>
              <w:ind w:left="441" w:hanging="413"/>
              <w:jc w:val="center"/>
              <w:rPr>
                <w:rFonts w:cs="Arial"/>
                <w:sz w:val="16"/>
                <w:szCs w:val="16"/>
                <w:lang w:bidi="th-TH"/>
              </w:rPr>
            </w:pPr>
            <w:r w:rsidRPr="00811500">
              <w:rPr>
                <w:rFonts w:cs="Arial"/>
                <w:sz w:val="16"/>
                <w:szCs w:val="16"/>
                <w:lang w:bidi="th-TH"/>
              </w:rPr>
              <w:t>Program 31</w:t>
            </w:r>
          </w:p>
        </w:tc>
        <w:tc>
          <w:tcPr>
            <w:tcW w:w="475" w:type="pct"/>
            <w:shd w:val="clear" w:color="auto" w:fill="FFFFFF"/>
          </w:tcPr>
          <w:p w:rsidR="0096152C" w:rsidRPr="00CC3F44" w:rsidRDefault="0096152C" w:rsidP="00547ACE">
            <w:pPr>
              <w:jc w:val="center"/>
            </w:pPr>
            <w:r w:rsidRPr="00CC3F44">
              <w:rPr>
                <w:rFonts w:cs="Arial"/>
                <w:color w:val="008000"/>
                <w:sz w:val="22"/>
                <w:szCs w:val="22"/>
              </w:rPr>
              <w:sym w:font="Wingdings" w:char="F06C"/>
            </w:r>
          </w:p>
        </w:tc>
      </w:tr>
      <w:tr w:rsidR="0096152C" w:rsidRPr="00811500" w:rsidTr="00547ACE">
        <w:trPr>
          <w:cantSplit/>
          <w:trHeight w:val="22"/>
        </w:trPr>
        <w:tc>
          <w:tcPr>
            <w:tcW w:w="1424" w:type="pct"/>
            <w:shd w:val="clear" w:color="auto" w:fill="auto"/>
            <w:tcMar>
              <w:top w:w="113" w:type="dxa"/>
              <w:bottom w:w="113" w:type="dxa"/>
            </w:tcMar>
          </w:tcPr>
          <w:p w:rsidR="0096152C" w:rsidRPr="00811500" w:rsidRDefault="0096152C" w:rsidP="00547ACE">
            <w:pPr>
              <w:rPr>
                <w:rFonts w:cs="Arial"/>
                <w:sz w:val="16"/>
                <w:szCs w:val="16"/>
              </w:rPr>
            </w:pPr>
          </w:p>
        </w:tc>
        <w:tc>
          <w:tcPr>
            <w:tcW w:w="2247" w:type="pct"/>
            <w:shd w:val="clear" w:color="auto" w:fill="auto"/>
            <w:tcMar>
              <w:top w:w="113" w:type="dxa"/>
              <w:bottom w:w="113" w:type="dxa"/>
            </w:tcMar>
          </w:tcPr>
          <w:p w:rsidR="0096152C" w:rsidRPr="00811500" w:rsidRDefault="0096152C" w:rsidP="00547ACE">
            <w:pPr>
              <w:rPr>
                <w:rFonts w:cs="Arial"/>
                <w:sz w:val="16"/>
                <w:szCs w:val="16"/>
              </w:rPr>
            </w:pPr>
            <w:r w:rsidRPr="00811500">
              <w:rPr>
                <w:rFonts w:cs="Arial"/>
                <w:sz w:val="16"/>
                <w:szCs w:val="16"/>
              </w:rPr>
              <w:t>Hague filings and renewals</w:t>
            </w:r>
          </w:p>
        </w:tc>
        <w:tc>
          <w:tcPr>
            <w:tcW w:w="854" w:type="pct"/>
            <w:shd w:val="clear" w:color="auto" w:fill="FFFFFF"/>
            <w:tcMar>
              <w:top w:w="113" w:type="dxa"/>
              <w:bottom w:w="113" w:type="dxa"/>
            </w:tcMar>
          </w:tcPr>
          <w:p w:rsidR="0096152C" w:rsidRPr="00811500" w:rsidRDefault="0096152C" w:rsidP="00547ACE">
            <w:pPr>
              <w:ind w:left="441" w:hanging="413"/>
              <w:jc w:val="center"/>
              <w:rPr>
                <w:rFonts w:cs="Arial"/>
                <w:sz w:val="16"/>
                <w:szCs w:val="16"/>
                <w:lang w:bidi="th-TH"/>
              </w:rPr>
            </w:pPr>
            <w:r w:rsidRPr="00811500">
              <w:rPr>
                <w:rFonts w:cs="Arial"/>
                <w:sz w:val="16"/>
                <w:szCs w:val="16"/>
                <w:lang w:bidi="th-TH"/>
              </w:rPr>
              <w:t>Program 31</w:t>
            </w:r>
          </w:p>
        </w:tc>
        <w:tc>
          <w:tcPr>
            <w:tcW w:w="475" w:type="pct"/>
            <w:shd w:val="clear" w:color="auto" w:fill="FFFFFF"/>
          </w:tcPr>
          <w:p w:rsidR="0096152C" w:rsidRPr="00CC3F44" w:rsidRDefault="0096152C" w:rsidP="00547ACE">
            <w:pPr>
              <w:jc w:val="center"/>
              <w:rPr>
                <w:bCs/>
                <w:color w:val="E26B0A"/>
                <w:sz w:val="22"/>
                <w:szCs w:val="22"/>
              </w:rPr>
            </w:pPr>
            <w:r w:rsidRPr="00CC3F44">
              <w:rPr>
                <w:rFonts w:cs="Arial"/>
                <w:color w:val="FF0000"/>
                <w:sz w:val="22"/>
                <w:szCs w:val="22"/>
              </w:rPr>
              <w:sym w:font="Wingdings" w:char="F06C"/>
            </w:r>
            <w:r w:rsidRPr="00CC3F44">
              <w:rPr>
                <w:rFonts w:cs="Arial"/>
                <w:color w:val="FF0000"/>
                <w:sz w:val="22"/>
                <w:szCs w:val="22"/>
              </w:rPr>
              <w:sym w:font="Wingdings" w:char="F06C"/>
            </w:r>
            <w:r w:rsidRPr="00CC3F44">
              <w:rPr>
                <w:rFonts w:cs="Arial"/>
                <w:color w:val="E26B0A"/>
                <w:sz w:val="22"/>
                <w:szCs w:val="22"/>
              </w:rPr>
              <w:sym w:font="Wingdings" w:char="F06C"/>
            </w:r>
          </w:p>
          <w:p w:rsidR="0096152C" w:rsidRPr="00CC3F44" w:rsidRDefault="0096152C" w:rsidP="00547ACE">
            <w:pPr>
              <w:jc w:val="center"/>
            </w:pPr>
            <w:r w:rsidRPr="00CC3F44">
              <w:rPr>
                <w:rFonts w:cs="Arial"/>
                <w:color w:val="FF0000"/>
                <w:sz w:val="22"/>
                <w:szCs w:val="22"/>
              </w:rPr>
              <w:sym w:font="Wingdings" w:char="F06C"/>
            </w:r>
            <w:r w:rsidRPr="00CC3F44">
              <w:rPr>
                <w:rFonts w:cs="Arial"/>
                <w:color w:val="FF0000"/>
                <w:sz w:val="22"/>
                <w:szCs w:val="22"/>
              </w:rPr>
              <w:sym w:font="Wingdings" w:char="F06C"/>
            </w:r>
            <w:r w:rsidRPr="00CC3F44">
              <w:rPr>
                <w:rFonts w:cs="Arial"/>
                <w:color w:val="008000"/>
                <w:sz w:val="22"/>
                <w:szCs w:val="22"/>
              </w:rPr>
              <w:sym w:font="Wingdings" w:char="F06C"/>
            </w:r>
          </w:p>
        </w:tc>
      </w:tr>
      <w:tr w:rsidR="0096152C" w:rsidRPr="00811500" w:rsidTr="00547ACE">
        <w:trPr>
          <w:cantSplit/>
          <w:trHeight w:val="495"/>
        </w:trPr>
        <w:tc>
          <w:tcPr>
            <w:tcW w:w="1424" w:type="pct"/>
            <w:shd w:val="clear" w:color="auto" w:fill="auto"/>
            <w:tcMar>
              <w:top w:w="113" w:type="dxa"/>
              <w:bottom w:w="113" w:type="dxa"/>
            </w:tcMar>
          </w:tcPr>
          <w:p w:rsidR="0096152C" w:rsidRPr="00811500" w:rsidRDefault="0096152C" w:rsidP="00547ACE">
            <w:pPr>
              <w:tabs>
                <w:tab w:val="right" w:pos="2835"/>
              </w:tabs>
              <w:spacing w:after="60"/>
              <w:rPr>
                <w:rFonts w:cs="Arial"/>
                <w:sz w:val="16"/>
                <w:szCs w:val="16"/>
              </w:rPr>
            </w:pPr>
            <w:r w:rsidRPr="00811500">
              <w:rPr>
                <w:rFonts w:cs="Arial"/>
                <w:sz w:val="16"/>
                <w:szCs w:val="16"/>
              </w:rPr>
              <w:t>II.5</w:t>
            </w:r>
            <w:r w:rsidRPr="00811500">
              <w:rPr>
                <w:rFonts w:cs="Arial"/>
                <w:sz w:val="16"/>
                <w:szCs w:val="16"/>
                <w:lang w:eastAsia="zh-CN" w:bidi="th-TH"/>
              </w:rPr>
              <w:t xml:space="preserve"> </w:t>
            </w:r>
            <w:r>
              <w:rPr>
                <w:rFonts w:cs="Arial"/>
                <w:sz w:val="16"/>
                <w:szCs w:val="16"/>
                <w:lang w:eastAsia="zh-CN" w:bidi="th-TH"/>
              </w:rPr>
              <w:t xml:space="preserve"> </w:t>
            </w:r>
            <w:r w:rsidRPr="00811500">
              <w:rPr>
                <w:rFonts w:cs="Arial"/>
                <w:sz w:val="16"/>
                <w:szCs w:val="16"/>
                <w:lang w:eastAsia="zh-CN" w:bidi="th-TH"/>
              </w:rPr>
              <w:t>Improved productivity and service quality of</w:t>
            </w:r>
            <w:r w:rsidRPr="00811500">
              <w:rPr>
                <w:rFonts w:cs="Arial"/>
                <w:sz w:val="16"/>
                <w:szCs w:val="16"/>
              </w:rPr>
              <w:t xml:space="preserve"> the Hague operations</w:t>
            </w:r>
          </w:p>
        </w:tc>
        <w:tc>
          <w:tcPr>
            <w:tcW w:w="2247" w:type="pct"/>
            <w:shd w:val="clear" w:color="auto" w:fill="auto"/>
            <w:tcMar>
              <w:top w:w="113" w:type="dxa"/>
              <w:bottom w:w="113" w:type="dxa"/>
            </w:tcMar>
          </w:tcPr>
          <w:p w:rsidR="0096152C" w:rsidRPr="00811500" w:rsidRDefault="0096152C" w:rsidP="00547ACE">
            <w:pPr>
              <w:rPr>
                <w:rFonts w:cs="Arial"/>
                <w:sz w:val="16"/>
                <w:szCs w:val="16"/>
              </w:rPr>
            </w:pPr>
            <w:r w:rsidRPr="00811500">
              <w:rPr>
                <w:rFonts w:cs="Arial"/>
                <w:sz w:val="16"/>
                <w:szCs w:val="16"/>
              </w:rPr>
              <w:t>Predominance of the Geneva (1999) Act in the Hague system</w:t>
            </w:r>
          </w:p>
        </w:tc>
        <w:tc>
          <w:tcPr>
            <w:tcW w:w="854" w:type="pct"/>
            <w:shd w:val="clear" w:color="auto" w:fill="FFFFFF"/>
            <w:tcMar>
              <w:top w:w="113" w:type="dxa"/>
              <w:bottom w:w="113" w:type="dxa"/>
            </w:tcMar>
          </w:tcPr>
          <w:p w:rsidR="0096152C" w:rsidRPr="00811500" w:rsidRDefault="0096152C" w:rsidP="00547ACE">
            <w:pPr>
              <w:ind w:left="441" w:hanging="413"/>
              <w:jc w:val="center"/>
              <w:rPr>
                <w:rFonts w:cs="Arial"/>
                <w:sz w:val="16"/>
                <w:szCs w:val="16"/>
                <w:lang w:bidi="th-TH"/>
              </w:rPr>
            </w:pPr>
            <w:r w:rsidRPr="00811500">
              <w:rPr>
                <w:rFonts w:cs="Arial"/>
                <w:sz w:val="16"/>
                <w:szCs w:val="16"/>
                <w:lang w:bidi="th-TH"/>
              </w:rPr>
              <w:t>Program 31</w:t>
            </w:r>
          </w:p>
        </w:tc>
        <w:tc>
          <w:tcPr>
            <w:tcW w:w="475" w:type="pct"/>
            <w:shd w:val="clear" w:color="auto" w:fill="FFFFFF"/>
          </w:tcPr>
          <w:p w:rsidR="0096152C" w:rsidRPr="00CC3F44" w:rsidRDefault="0096152C" w:rsidP="00547ACE">
            <w:pPr>
              <w:jc w:val="center"/>
            </w:pPr>
            <w:r w:rsidRPr="00CC3F44">
              <w:rPr>
                <w:rFonts w:cs="Arial"/>
                <w:color w:val="FF0000"/>
                <w:sz w:val="22"/>
                <w:szCs w:val="22"/>
              </w:rPr>
              <w:sym w:font="Wingdings" w:char="F06C"/>
            </w:r>
          </w:p>
        </w:tc>
      </w:tr>
      <w:tr w:rsidR="0096152C" w:rsidRPr="00811500" w:rsidTr="00547ACE">
        <w:trPr>
          <w:cantSplit/>
          <w:trHeight w:val="344"/>
        </w:trPr>
        <w:tc>
          <w:tcPr>
            <w:tcW w:w="1424" w:type="pct"/>
            <w:shd w:val="clear" w:color="auto" w:fill="auto"/>
            <w:tcMar>
              <w:top w:w="113" w:type="dxa"/>
              <w:bottom w:w="113" w:type="dxa"/>
            </w:tcMar>
          </w:tcPr>
          <w:p w:rsidR="0096152C" w:rsidRPr="00811500" w:rsidRDefault="0096152C" w:rsidP="00547ACE">
            <w:pPr>
              <w:rPr>
                <w:rFonts w:cs="Arial"/>
                <w:sz w:val="16"/>
                <w:szCs w:val="16"/>
              </w:rPr>
            </w:pPr>
          </w:p>
        </w:tc>
        <w:tc>
          <w:tcPr>
            <w:tcW w:w="2247" w:type="pct"/>
            <w:shd w:val="clear" w:color="auto" w:fill="auto"/>
            <w:tcMar>
              <w:top w:w="113" w:type="dxa"/>
              <w:bottom w:w="113" w:type="dxa"/>
            </w:tcMar>
          </w:tcPr>
          <w:p w:rsidR="0096152C" w:rsidRPr="00811500" w:rsidRDefault="0096152C" w:rsidP="00547ACE">
            <w:pPr>
              <w:rPr>
                <w:rFonts w:cs="Arial"/>
                <w:sz w:val="16"/>
                <w:szCs w:val="16"/>
              </w:rPr>
            </w:pPr>
            <w:r w:rsidRPr="00811500">
              <w:rPr>
                <w:rFonts w:cs="Arial"/>
                <w:sz w:val="16"/>
                <w:szCs w:val="16"/>
              </w:rPr>
              <w:t>Progress towards the enhancement of the legal framework</w:t>
            </w:r>
          </w:p>
        </w:tc>
        <w:tc>
          <w:tcPr>
            <w:tcW w:w="854" w:type="pct"/>
            <w:shd w:val="clear" w:color="auto" w:fill="FFFFFF"/>
            <w:tcMar>
              <w:top w:w="113" w:type="dxa"/>
              <w:bottom w:w="113" w:type="dxa"/>
            </w:tcMar>
          </w:tcPr>
          <w:p w:rsidR="0096152C" w:rsidRPr="00811500" w:rsidRDefault="0096152C" w:rsidP="00547ACE">
            <w:pPr>
              <w:ind w:left="441" w:hanging="413"/>
              <w:jc w:val="center"/>
              <w:rPr>
                <w:rFonts w:cs="Arial"/>
                <w:sz w:val="16"/>
                <w:szCs w:val="16"/>
                <w:lang w:bidi="th-TH"/>
              </w:rPr>
            </w:pPr>
            <w:r w:rsidRPr="00811500">
              <w:rPr>
                <w:rFonts w:cs="Arial"/>
                <w:sz w:val="16"/>
                <w:szCs w:val="16"/>
                <w:lang w:bidi="th-TH"/>
              </w:rPr>
              <w:t>Program 31</w:t>
            </w:r>
          </w:p>
        </w:tc>
        <w:tc>
          <w:tcPr>
            <w:tcW w:w="475" w:type="pct"/>
            <w:shd w:val="clear" w:color="auto" w:fill="FFFFFF"/>
          </w:tcPr>
          <w:p w:rsidR="0096152C" w:rsidRPr="00CC3F44" w:rsidRDefault="0096152C" w:rsidP="00547ACE">
            <w:pPr>
              <w:jc w:val="center"/>
            </w:pPr>
            <w:r w:rsidRPr="00CC3F44">
              <w:rPr>
                <w:rFonts w:cs="Arial"/>
                <w:color w:val="008000"/>
                <w:sz w:val="22"/>
                <w:szCs w:val="22"/>
              </w:rPr>
              <w:sym w:font="Wingdings" w:char="F06C"/>
            </w:r>
          </w:p>
        </w:tc>
      </w:tr>
      <w:tr w:rsidR="0096152C" w:rsidRPr="00811500" w:rsidTr="00547ACE">
        <w:trPr>
          <w:cantSplit/>
          <w:trHeight w:val="324"/>
        </w:trPr>
        <w:tc>
          <w:tcPr>
            <w:tcW w:w="1424" w:type="pct"/>
            <w:shd w:val="clear" w:color="auto" w:fill="auto"/>
            <w:tcMar>
              <w:top w:w="113" w:type="dxa"/>
              <w:bottom w:w="113" w:type="dxa"/>
            </w:tcMar>
          </w:tcPr>
          <w:p w:rsidR="0096152C" w:rsidRPr="00811500" w:rsidRDefault="0096152C" w:rsidP="00547ACE">
            <w:pPr>
              <w:rPr>
                <w:rFonts w:cs="Arial"/>
                <w:sz w:val="16"/>
                <w:szCs w:val="16"/>
              </w:rPr>
            </w:pPr>
          </w:p>
        </w:tc>
        <w:tc>
          <w:tcPr>
            <w:tcW w:w="2247" w:type="pct"/>
            <w:shd w:val="clear" w:color="auto" w:fill="auto"/>
            <w:tcMar>
              <w:top w:w="113" w:type="dxa"/>
              <w:bottom w:w="113" w:type="dxa"/>
            </w:tcMar>
          </w:tcPr>
          <w:p w:rsidR="0096152C" w:rsidRPr="00811500" w:rsidRDefault="0096152C" w:rsidP="00547ACE">
            <w:pPr>
              <w:rPr>
                <w:rFonts w:cs="Arial"/>
                <w:sz w:val="16"/>
                <w:szCs w:val="16"/>
              </w:rPr>
            </w:pPr>
            <w:r w:rsidRPr="00811500">
              <w:rPr>
                <w:rFonts w:cs="Arial"/>
                <w:sz w:val="16"/>
                <w:szCs w:val="16"/>
              </w:rPr>
              <w:t>Flexibility of data recorded in the International Register</w:t>
            </w:r>
          </w:p>
        </w:tc>
        <w:tc>
          <w:tcPr>
            <w:tcW w:w="854" w:type="pct"/>
            <w:shd w:val="clear" w:color="auto" w:fill="FFFFFF"/>
            <w:tcMar>
              <w:top w:w="113" w:type="dxa"/>
              <w:bottom w:w="113" w:type="dxa"/>
            </w:tcMar>
          </w:tcPr>
          <w:p w:rsidR="0096152C" w:rsidRPr="00811500" w:rsidRDefault="0096152C" w:rsidP="00547ACE">
            <w:pPr>
              <w:ind w:left="441" w:hanging="413"/>
              <w:jc w:val="center"/>
              <w:rPr>
                <w:rFonts w:cs="Arial"/>
                <w:sz w:val="16"/>
                <w:szCs w:val="16"/>
                <w:lang w:bidi="th-TH"/>
              </w:rPr>
            </w:pPr>
            <w:r w:rsidRPr="00811500">
              <w:rPr>
                <w:rFonts w:cs="Arial"/>
                <w:sz w:val="16"/>
                <w:szCs w:val="16"/>
                <w:lang w:bidi="th-TH"/>
              </w:rPr>
              <w:t>Program 31</w:t>
            </w:r>
          </w:p>
        </w:tc>
        <w:tc>
          <w:tcPr>
            <w:tcW w:w="475" w:type="pct"/>
            <w:shd w:val="clear" w:color="auto" w:fill="FFFFFF"/>
          </w:tcPr>
          <w:p w:rsidR="0096152C" w:rsidRPr="00CC3F44" w:rsidRDefault="0096152C" w:rsidP="00547ACE">
            <w:pPr>
              <w:jc w:val="center"/>
            </w:pPr>
            <w:r w:rsidRPr="00CC3F44">
              <w:rPr>
                <w:rFonts w:cs="Arial"/>
                <w:color w:val="FF0000"/>
                <w:sz w:val="22"/>
                <w:szCs w:val="22"/>
              </w:rPr>
              <w:sym w:font="Wingdings" w:char="F06C"/>
            </w:r>
          </w:p>
        </w:tc>
      </w:tr>
      <w:tr w:rsidR="0096152C" w:rsidRPr="00811500" w:rsidTr="00547ACE">
        <w:trPr>
          <w:cantSplit/>
          <w:trHeight w:val="149"/>
        </w:trPr>
        <w:tc>
          <w:tcPr>
            <w:tcW w:w="1424" w:type="pct"/>
            <w:shd w:val="clear" w:color="auto" w:fill="auto"/>
            <w:tcMar>
              <w:top w:w="113" w:type="dxa"/>
              <w:bottom w:w="113" w:type="dxa"/>
            </w:tcMar>
          </w:tcPr>
          <w:p w:rsidR="0096152C" w:rsidRPr="00811500" w:rsidRDefault="0096152C" w:rsidP="00547ACE">
            <w:pPr>
              <w:rPr>
                <w:rFonts w:cs="Arial"/>
                <w:sz w:val="16"/>
                <w:szCs w:val="16"/>
              </w:rPr>
            </w:pPr>
          </w:p>
        </w:tc>
        <w:tc>
          <w:tcPr>
            <w:tcW w:w="2247" w:type="pct"/>
            <w:shd w:val="clear" w:color="auto" w:fill="auto"/>
            <w:tcMar>
              <w:top w:w="113" w:type="dxa"/>
              <w:bottom w:w="113" w:type="dxa"/>
            </w:tcMar>
          </w:tcPr>
          <w:p w:rsidR="0096152C" w:rsidRPr="00811500" w:rsidRDefault="0096152C" w:rsidP="00547ACE">
            <w:pPr>
              <w:rPr>
                <w:rFonts w:cs="Arial"/>
                <w:sz w:val="16"/>
                <w:szCs w:val="16"/>
              </w:rPr>
            </w:pPr>
            <w:r w:rsidRPr="00811500">
              <w:rPr>
                <w:rFonts w:cs="Arial"/>
                <w:sz w:val="16"/>
                <w:szCs w:val="16"/>
              </w:rPr>
              <w:t>No. of automated processes</w:t>
            </w:r>
          </w:p>
        </w:tc>
        <w:tc>
          <w:tcPr>
            <w:tcW w:w="854" w:type="pct"/>
            <w:shd w:val="clear" w:color="auto" w:fill="FFFFFF"/>
            <w:tcMar>
              <w:top w:w="113" w:type="dxa"/>
              <w:bottom w:w="113" w:type="dxa"/>
            </w:tcMar>
          </w:tcPr>
          <w:p w:rsidR="0096152C" w:rsidRPr="00811500" w:rsidRDefault="0096152C" w:rsidP="00547ACE">
            <w:pPr>
              <w:ind w:left="441" w:hanging="413"/>
              <w:jc w:val="center"/>
              <w:rPr>
                <w:rFonts w:cs="Arial"/>
                <w:sz w:val="16"/>
                <w:szCs w:val="16"/>
                <w:lang w:bidi="th-TH"/>
              </w:rPr>
            </w:pPr>
            <w:r w:rsidRPr="00811500">
              <w:rPr>
                <w:rFonts w:cs="Arial"/>
                <w:sz w:val="16"/>
                <w:szCs w:val="16"/>
                <w:lang w:bidi="th-TH"/>
              </w:rPr>
              <w:t>Program 31</w:t>
            </w:r>
          </w:p>
        </w:tc>
        <w:tc>
          <w:tcPr>
            <w:tcW w:w="475" w:type="pct"/>
            <w:shd w:val="clear" w:color="auto" w:fill="FFFFFF"/>
          </w:tcPr>
          <w:p w:rsidR="0096152C" w:rsidRPr="00CC3F44" w:rsidRDefault="0096152C" w:rsidP="00547ACE">
            <w:pPr>
              <w:jc w:val="center"/>
            </w:pPr>
            <w:r w:rsidRPr="00CC3F44">
              <w:rPr>
                <w:rFonts w:cs="Arial"/>
                <w:color w:val="008000"/>
                <w:sz w:val="22"/>
                <w:szCs w:val="22"/>
              </w:rPr>
              <w:sym w:font="Wingdings" w:char="F06C"/>
            </w:r>
          </w:p>
        </w:tc>
      </w:tr>
      <w:tr w:rsidR="0096152C" w:rsidRPr="00811500" w:rsidTr="00547ACE">
        <w:trPr>
          <w:cantSplit/>
          <w:trHeight w:val="283"/>
        </w:trPr>
        <w:tc>
          <w:tcPr>
            <w:tcW w:w="1424" w:type="pct"/>
            <w:vMerge w:val="restart"/>
            <w:shd w:val="clear" w:color="auto" w:fill="auto"/>
            <w:tcMar>
              <w:top w:w="113" w:type="dxa"/>
              <w:bottom w:w="113" w:type="dxa"/>
            </w:tcMar>
          </w:tcPr>
          <w:p w:rsidR="0096152C" w:rsidRPr="00811500" w:rsidRDefault="0096152C" w:rsidP="00547ACE">
            <w:pPr>
              <w:rPr>
                <w:rFonts w:cs="Arial"/>
                <w:sz w:val="16"/>
                <w:szCs w:val="16"/>
              </w:rPr>
            </w:pPr>
            <w:r w:rsidRPr="00811500">
              <w:rPr>
                <w:rFonts w:cs="Arial"/>
                <w:sz w:val="16"/>
                <w:szCs w:val="16"/>
              </w:rPr>
              <w:t xml:space="preserve">II.6 </w:t>
            </w:r>
            <w:r>
              <w:rPr>
                <w:rFonts w:cs="Arial"/>
                <w:sz w:val="16"/>
                <w:szCs w:val="16"/>
              </w:rPr>
              <w:t xml:space="preserve"> </w:t>
            </w:r>
            <w:r w:rsidRPr="00811500">
              <w:rPr>
                <w:rFonts w:cs="Arial"/>
                <w:sz w:val="16"/>
                <w:szCs w:val="16"/>
              </w:rPr>
              <w:t>Wider and better use of the Madrid &amp; Lisbon systems, including by developing countries and LDCs</w:t>
            </w:r>
          </w:p>
        </w:tc>
        <w:tc>
          <w:tcPr>
            <w:tcW w:w="2247" w:type="pct"/>
            <w:shd w:val="clear" w:color="auto" w:fill="auto"/>
            <w:tcMar>
              <w:top w:w="113" w:type="dxa"/>
              <w:bottom w:w="113" w:type="dxa"/>
            </w:tcMar>
          </w:tcPr>
          <w:p w:rsidR="0096152C" w:rsidRPr="00811500" w:rsidRDefault="0096152C" w:rsidP="00547ACE">
            <w:pPr>
              <w:rPr>
                <w:rFonts w:cs="Arial"/>
                <w:sz w:val="16"/>
                <w:szCs w:val="16"/>
              </w:rPr>
            </w:pPr>
            <w:r w:rsidRPr="00811500">
              <w:rPr>
                <w:rFonts w:cs="Arial"/>
                <w:sz w:val="16"/>
                <w:szCs w:val="16"/>
              </w:rPr>
              <w:t>Expansion of geographical coverage (Madrid)</w:t>
            </w:r>
          </w:p>
        </w:tc>
        <w:tc>
          <w:tcPr>
            <w:tcW w:w="854" w:type="pct"/>
            <w:shd w:val="clear" w:color="auto" w:fill="FFFFFF"/>
            <w:tcMar>
              <w:top w:w="113" w:type="dxa"/>
              <w:bottom w:w="113" w:type="dxa"/>
            </w:tcMar>
          </w:tcPr>
          <w:p w:rsidR="0096152C" w:rsidRPr="00811500" w:rsidRDefault="0096152C" w:rsidP="00547ACE">
            <w:pPr>
              <w:ind w:left="441" w:hanging="413"/>
              <w:jc w:val="center"/>
              <w:rPr>
                <w:rFonts w:cs="Arial"/>
                <w:sz w:val="16"/>
                <w:szCs w:val="16"/>
                <w:lang w:bidi="th-TH"/>
              </w:rPr>
            </w:pPr>
            <w:r w:rsidRPr="00811500">
              <w:rPr>
                <w:rFonts w:cs="Arial"/>
                <w:sz w:val="16"/>
                <w:szCs w:val="16"/>
                <w:lang w:bidi="th-TH"/>
              </w:rPr>
              <w:t>Program 6</w:t>
            </w:r>
          </w:p>
        </w:tc>
        <w:tc>
          <w:tcPr>
            <w:tcW w:w="475" w:type="pct"/>
            <w:shd w:val="clear" w:color="auto" w:fill="FFFFFF"/>
          </w:tcPr>
          <w:p w:rsidR="0096152C" w:rsidRPr="00CC3F44" w:rsidRDefault="0096152C" w:rsidP="00547ACE">
            <w:pPr>
              <w:jc w:val="center"/>
              <w:rPr>
                <w:rFonts w:cs="Arial"/>
                <w:color w:val="008000"/>
                <w:sz w:val="22"/>
                <w:szCs w:val="22"/>
              </w:rPr>
            </w:pPr>
            <w:r w:rsidRPr="00CC3F44">
              <w:rPr>
                <w:rFonts w:cs="Arial"/>
                <w:color w:val="008000"/>
                <w:sz w:val="22"/>
                <w:szCs w:val="22"/>
              </w:rPr>
              <w:sym w:font="Wingdings" w:char="F06C"/>
            </w:r>
          </w:p>
        </w:tc>
      </w:tr>
      <w:tr w:rsidR="0096152C" w:rsidRPr="00811500" w:rsidTr="00547ACE">
        <w:trPr>
          <w:cantSplit/>
          <w:trHeight w:val="231"/>
        </w:trPr>
        <w:tc>
          <w:tcPr>
            <w:tcW w:w="1424" w:type="pct"/>
            <w:vMerge/>
            <w:shd w:val="clear" w:color="auto" w:fill="auto"/>
            <w:tcMar>
              <w:top w:w="113" w:type="dxa"/>
              <w:bottom w:w="113" w:type="dxa"/>
            </w:tcMar>
          </w:tcPr>
          <w:p w:rsidR="0096152C" w:rsidRPr="00811500" w:rsidRDefault="0096152C" w:rsidP="00547ACE">
            <w:pPr>
              <w:rPr>
                <w:rFonts w:cs="Arial"/>
                <w:sz w:val="16"/>
                <w:szCs w:val="16"/>
              </w:rPr>
            </w:pPr>
          </w:p>
        </w:tc>
        <w:tc>
          <w:tcPr>
            <w:tcW w:w="2247" w:type="pct"/>
            <w:shd w:val="clear" w:color="auto" w:fill="auto"/>
            <w:tcMar>
              <w:top w:w="113" w:type="dxa"/>
              <w:bottom w:w="113" w:type="dxa"/>
            </w:tcMar>
          </w:tcPr>
          <w:p w:rsidR="0096152C" w:rsidRPr="00811500" w:rsidRDefault="0096152C" w:rsidP="00547ACE">
            <w:pPr>
              <w:rPr>
                <w:rFonts w:cs="Arial"/>
                <w:sz w:val="16"/>
                <w:szCs w:val="16"/>
              </w:rPr>
            </w:pPr>
            <w:r w:rsidRPr="00811500">
              <w:rPr>
                <w:rFonts w:cs="Arial"/>
                <w:sz w:val="16"/>
                <w:szCs w:val="16"/>
              </w:rPr>
              <w:t>Expansion</w:t>
            </w:r>
            <w:r>
              <w:rPr>
                <w:rFonts w:cs="Arial"/>
                <w:sz w:val="16"/>
                <w:szCs w:val="16"/>
              </w:rPr>
              <w:t xml:space="preserve"> of </w:t>
            </w:r>
            <w:r w:rsidRPr="00811500">
              <w:rPr>
                <w:rFonts w:cs="Arial"/>
                <w:sz w:val="16"/>
                <w:szCs w:val="16"/>
              </w:rPr>
              <w:t xml:space="preserve"> geographical coverage (Lisbon)</w:t>
            </w:r>
          </w:p>
        </w:tc>
        <w:tc>
          <w:tcPr>
            <w:tcW w:w="854" w:type="pct"/>
            <w:shd w:val="clear" w:color="auto" w:fill="FFFFFF"/>
            <w:tcMar>
              <w:top w:w="113" w:type="dxa"/>
              <w:bottom w:w="113" w:type="dxa"/>
            </w:tcMar>
          </w:tcPr>
          <w:p w:rsidR="0096152C" w:rsidRPr="00811500" w:rsidRDefault="0096152C" w:rsidP="00547ACE">
            <w:pPr>
              <w:ind w:left="441" w:hanging="413"/>
              <w:jc w:val="center"/>
              <w:rPr>
                <w:rFonts w:cs="Arial"/>
                <w:sz w:val="16"/>
                <w:szCs w:val="16"/>
                <w:lang w:bidi="th-TH"/>
              </w:rPr>
            </w:pPr>
            <w:r w:rsidRPr="00811500">
              <w:rPr>
                <w:rFonts w:cs="Arial"/>
                <w:sz w:val="16"/>
                <w:szCs w:val="16"/>
                <w:lang w:bidi="th-TH"/>
              </w:rPr>
              <w:t>Program 6</w:t>
            </w:r>
          </w:p>
        </w:tc>
        <w:tc>
          <w:tcPr>
            <w:tcW w:w="475" w:type="pct"/>
            <w:shd w:val="clear" w:color="auto" w:fill="FFFFFF"/>
          </w:tcPr>
          <w:p w:rsidR="0096152C" w:rsidRPr="00CC3F44" w:rsidRDefault="0096152C" w:rsidP="00547ACE">
            <w:pPr>
              <w:jc w:val="center"/>
              <w:rPr>
                <w:rFonts w:cs="Arial"/>
                <w:color w:val="008000"/>
                <w:sz w:val="22"/>
                <w:szCs w:val="22"/>
              </w:rPr>
            </w:pPr>
            <w:r w:rsidRPr="00CC3F44">
              <w:rPr>
                <w:rFonts w:cs="Arial"/>
                <w:color w:val="FF0000"/>
                <w:sz w:val="22"/>
                <w:szCs w:val="22"/>
              </w:rPr>
              <w:sym w:font="Wingdings" w:char="F06C"/>
            </w:r>
          </w:p>
        </w:tc>
      </w:tr>
      <w:tr w:rsidR="0096152C" w:rsidRPr="00811500" w:rsidTr="00547ACE">
        <w:trPr>
          <w:cantSplit/>
          <w:trHeight w:val="95"/>
        </w:trPr>
        <w:tc>
          <w:tcPr>
            <w:tcW w:w="1424" w:type="pct"/>
            <w:shd w:val="clear" w:color="auto" w:fill="auto"/>
            <w:tcMar>
              <w:top w:w="113" w:type="dxa"/>
              <w:bottom w:w="113" w:type="dxa"/>
            </w:tcMar>
          </w:tcPr>
          <w:p w:rsidR="0096152C" w:rsidRPr="00811500" w:rsidRDefault="0096152C" w:rsidP="00547ACE">
            <w:pPr>
              <w:rPr>
                <w:rFonts w:cs="Arial"/>
                <w:sz w:val="16"/>
                <w:szCs w:val="16"/>
              </w:rPr>
            </w:pPr>
          </w:p>
        </w:tc>
        <w:tc>
          <w:tcPr>
            <w:tcW w:w="2247" w:type="pct"/>
            <w:shd w:val="clear" w:color="auto" w:fill="auto"/>
            <w:tcMar>
              <w:top w:w="113" w:type="dxa"/>
              <w:bottom w:w="113" w:type="dxa"/>
            </w:tcMar>
          </w:tcPr>
          <w:p w:rsidR="0096152C" w:rsidRPr="00811500" w:rsidRDefault="0096152C" w:rsidP="00547ACE">
            <w:pPr>
              <w:rPr>
                <w:rFonts w:cs="Arial"/>
                <w:sz w:val="16"/>
                <w:szCs w:val="16"/>
              </w:rPr>
            </w:pPr>
            <w:r w:rsidRPr="00811500">
              <w:rPr>
                <w:rFonts w:cs="Arial"/>
                <w:sz w:val="16"/>
                <w:szCs w:val="16"/>
              </w:rPr>
              <w:t>Adoption of provisions streamlining or modernizing the Lisbon system legal framework</w:t>
            </w:r>
          </w:p>
        </w:tc>
        <w:tc>
          <w:tcPr>
            <w:tcW w:w="854" w:type="pct"/>
            <w:shd w:val="clear" w:color="auto" w:fill="FFFFFF"/>
            <w:tcMar>
              <w:top w:w="113" w:type="dxa"/>
              <w:bottom w:w="113" w:type="dxa"/>
            </w:tcMar>
          </w:tcPr>
          <w:p w:rsidR="0096152C" w:rsidRPr="00811500" w:rsidRDefault="0096152C" w:rsidP="00547ACE">
            <w:pPr>
              <w:ind w:left="441" w:hanging="413"/>
              <w:jc w:val="center"/>
              <w:rPr>
                <w:rFonts w:cs="Arial"/>
                <w:sz w:val="16"/>
                <w:szCs w:val="16"/>
                <w:lang w:bidi="th-TH"/>
              </w:rPr>
            </w:pPr>
            <w:r w:rsidRPr="00811500">
              <w:rPr>
                <w:rFonts w:cs="Arial"/>
                <w:sz w:val="16"/>
                <w:szCs w:val="16"/>
                <w:lang w:bidi="th-TH"/>
              </w:rPr>
              <w:t>Program 6</w:t>
            </w:r>
          </w:p>
        </w:tc>
        <w:tc>
          <w:tcPr>
            <w:tcW w:w="475" w:type="pct"/>
            <w:shd w:val="clear" w:color="auto" w:fill="FFFFFF"/>
          </w:tcPr>
          <w:p w:rsidR="0096152C" w:rsidRPr="00CC3F44" w:rsidRDefault="0096152C" w:rsidP="00547ACE">
            <w:pPr>
              <w:jc w:val="center"/>
            </w:pPr>
            <w:r w:rsidRPr="00CC3F44">
              <w:rPr>
                <w:rFonts w:cs="Arial"/>
                <w:color w:val="008000"/>
                <w:sz w:val="22"/>
                <w:szCs w:val="22"/>
              </w:rPr>
              <w:sym w:font="Wingdings" w:char="F06C"/>
            </w:r>
          </w:p>
        </w:tc>
      </w:tr>
      <w:tr w:rsidR="0096152C" w:rsidRPr="00811500" w:rsidTr="00547ACE">
        <w:trPr>
          <w:cantSplit/>
          <w:trHeight w:val="121"/>
        </w:trPr>
        <w:tc>
          <w:tcPr>
            <w:tcW w:w="1424" w:type="pct"/>
            <w:shd w:val="clear" w:color="auto" w:fill="auto"/>
            <w:tcMar>
              <w:top w:w="113" w:type="dxa"/>
              <w:bottom w:w="113" w:type="dxa"/>
            </w:tcMar>
          </w:tcPr>
          <w:p w:rsidR="0096152C" w:rsidRPr="00811500" w:rsidRDefault="0096152C" w:rsidP="00547ACE">
            <w:pPr>
              <w:rPr>
                <w:rFonts w:cs="Arial"/>
                <w:sz w:val="16"/>
                <w:szCs w:val="16"/>
              </w:rPr>
            </w:pPr>
          </w:p>
        </w:tc>
        <w:tc>
          <w:tcPr>
            <w:tcW w:w="2247" w:type="pct"/>
            <w:shd w:val="clear" w:color="auto" w:fill="auto"/>
            <w:tcMar>
              <w:top w:w="113" w:type="dxa"/>
              <w:bottom w:w="113" w:type="dxa"/>
            </w:tcMar>
          </w:tcPr>
          <w:p w:rsidR="0096152C" w:rsidRPr="00811500" w:rsidRDefault="0096152C" w:rsidP="00547ACE">
            <w:pPr>
              <w:rPr>
                <w:rFonts w:cs="Arial"/>
                <w:sz w:val="16"/>
                <w:szCs w:val="16"/>
              </w:rPr>
            </w:pPr>
            <w:r w:rsidRPr="00811500">
              <w:rPr>
                <w:rFonts w:cs="Arial"/>
                <w:sz w:val="16"/>
                <w:szCs w:val="16"/>
              </w:rPr>
              <w:t>No. of International Applications (Madrid)</w:t>
            </w:r>
          </w:p>
        </w:tc>
        <w:tc>
          <w:tcPr>
            <w:tcW w:w="854" w:type="pct"/>
            <w:shd w:val="clear" w:color="auto" w:fill="FFFFFF"/>
            <w:tcMar>
              <w:top w:w="113" w:type="dxa"/>
              <w:bottom w:w="113" w:type="dxa"/>
            </w:tcMar>
          </w:tcPr>
          <w:p w:rsidR="0096152C" w:rsidRPr="00811500" w:rsidRDefault="0096152C" w:rsidP="00547ACE">
            <w:pPr>
              <w:ind w:left="441" w:hanging="413"/>
              <w:jc w:val="center"/>
              <w:rPr>
                <w:rFonts w:cs="Arial"/>
                <w:sz w:val="16"/>
                <w:szCs w:val="16"/>
                <w:lang w:bidi="th-TH"/>
              </w:rPr>
            </w:pPr>
            <w:r w:rsidRPr="00811500">
              <w:rPr>
                <w:rFonts w:cs="Arial"/>
                <w:sz w:val="16"/>
                <w:szCs w:val="16"/>
                <w:lang w:bidi="th-TH"/>
              </w:rPr>
              <w:t>Program 6</w:t>
            </w:r>
          </w:p>
        </w:tc>
        <w:tc>
          <w:tcPr>
            <w:tcW w:w="475" w:type="pct"/>
            <w:shd w:val="clear" w:color="auto" w:fill="FFFFFF"/>
          </w:tcPr>
          <w:p w:rsidR="0096152C" w:rsidRPr="00CC3F44" w:rsidRDefault="0096152C" w:rsidP="00547ACE">
            <w:pPr>
              <w:jc w:val="center"/>
            </w:pPr>
            <w:r w:rsidRPr="00CC3F44">
              <w:rPr>
                <w:rFonts w:cs="Arial"/>
                <w:color w:val="008000"/>
                <w:sz w:val="22"/>
                <w:szCs w:val="22"/>
              </w:rPr>
              <w:sym w:font="Wingdings" w:char="F06C"/>
            </w:r>
          </w:p>
        </w:tc>
      </w:tr>
      <w:tr w:rsidR="0096152C" w:rsidRPr="00811500" w:rsidTr="00547ACE">
        <w:trPr>
          <w:cantSplit/>
          <w:trHeight w:val="325"/>
        </w:trPr>
        <w:tc>
          <w:tcPr>
            <w:tcW w:w="1424" w:type="pct"/>
            <w:shd w:val="clear" w:color="auto" w:fill="auto"/>
            <w:tcMar>
              <w:top w:w="113" w:type="dxa"/>
              <w:bottom w:w="113" w:type="dxa"/>
            </w:tcMar>
          </w:tcPr>
          <w:p w:rsidR="0096152C" w:rsidRPr="00811500" w:rsidRDefault="0096152C" w:rsidP="00547ACE">
            <w:pPr>
              <w:rPr>
                <w:rFonts w:cs="Arial"/>
                <w:sz w:val="16"/>
                <w:szCs w:val="16"/>
              </w:rPr>
            </w:pPr>
          </w:p>
        </w:tc>
        <w:tc>
          <w:tcPr>
            <w:tcW w:w="2247" w:type="pct"/>
            <w:shd w:val="clear" w:color="auto" w:fill="auto"/>
            <w:tcMar>
              <w:top w:w="113" w:type="dxa"/>
              <w:bottom w:w="113" w:type="dxa"/>
            </w:tcMar>
          </w:tcPr>
          <w:p w:rsidR="0096152C" w:rsidRPr="00811500" w:rsidRDefault="0096152C" w:rsidP="00547ACE">
            <w:pPr>
              <w:rPr>
                <w:rFonts w:cs="Arial"/>
                <w:sz w:val="16"/>
                <w:szCs w:val="16"/>
              </w:rPr>
            </w:pPr>
            <w:r w:rsidRPr="00811500">
              <w:rPr>
                <w:rFonts w:cs="Arial"/>
                <w:sz w:val="16"/>
                <w:szCs w:val="16"/>
              </w:rPr>
              <w:t>Share of Offices concerned providing updated information on the Madrid System</w:t>
            </w:r>
          </w:p>
        </w:tc>
        <w:tc>
          <w:tcPr>
            <w:tcW w:w="854" w:type="pct"/>
            <w:shd w:val="clear" w:color="auto" w:fill="FFFFFF"/>
            <w:tcMar>
              <w:top w:w="113" w:type="dxa"/>
              <w:bottom w:w="113" w:type="dxa"/>
            </w:tcMar>
          </w:tcPr>
          <w:p w:rsidR="0096152C" w:rsidRPr="00811500" w:rsidRDefault="0096152C" w:rsidP="00547ACE">
            <w:pPr>
              <w:ind w:left="441" w:hanging="413"/>
              <w:jc w:val="center"/>
              <w:rPr>
                <w:rFonts w:cs="Arial"/>
                <w:sz w:val="16"/>
                <w:szCs w:val="16"/>
                <w:lang w:bidi="th-TH"/>
              </w:rPr>
            </w:pPr>
            <w:r w:rsidRPr="00811500">
              <w:rPr>
                <w:rFonts w:cs="Arial"/>
                <w:sz w:val="16"/>
                <w:szCs w:val="16"/>
                <w:lang w:bidi="th-TH"/>
              </w:rPr>
              <w:t>Program 6</w:t>
            </w:r>
          </w:p>
        </w:tc>
        <w:tc>
          <w:tcPr>
            <w:tcW w:w="475" w:type="pct"/>
            <w:shd w:val="clear" w:color="auto" w:fill="FFFFFF"/>
          </w:tcPr>
          <w:p w:rsidR="0096152C" w:rsidRPr="00CC3F44" w:rsidRDefault="0096152C" w:rsidP="00547ACE">
            <w:pPr>
              <w:jc w:val="center"/>
            </w:pPr>
            <w:r w:rsidRPr="00CC3F44">
              <w:rPr>
                <w:rFonts w:cs="Arial"/>
                <w:sz w:val="22"/>
                <w:szCs w:val="22"/>
              </w:rPr>
              <w:sym w:font="Wingdings" w:char="F06C"/>
            </w:r>
          </w:p>
        </w:tc>
      </w:tr>
      <w:tr w:rsidR="0096152C" w:rsidRPr="00811500" w:rsidTr="00547ACE">
        <w:trPr>
          <w:cantSplit/>
          <w:trHeight w:val="432"/>
        </w:trPr>
        <w:tc>
          <w:tcPr>
            <w:tcW w:w="1424" w:type="pct"/>
            <w:shd w:val="clear" w:color="auto" w:fill="auto"/>
            <w:tcMar>
              <w:top w:w="113" w:type="dxa"/>
              <w:bottom w:w="113" w:type="dxa"/>
            </w:tcMar>
          </w:tcPr>
          <w:p w:rsidR="0096152C" w:rsidRPr="00811500" w:rsidRDefault="0096152C" w:rsidP="00547ACE">
            <w:pPr>
              <w:rPr>
                <w:rFonts w:cs="Arial"/>
                <w:sz w:val="16"/>
                <w:szCs w:val="16"/>
              </w:rPr>
            </w:pPr>
          </w:p>
        </w:tc>
        <w:tc>
          <w:tcPr>
            <w:tcW w:w="2247" w:type="pct"/>
            <w:shd w:val="clear" w:color="auto" w:fill="auto"/>
            <w:tcMar>
              <w:top w:w="113" w:type="dxa"/>
              <w:bottom w:w="113" w:type="dxa"/>
            </w:tcMar>
          </w:tcPr>
          <w:p w:rsidR="0096152C" w:rsidRPr="00811500" w:rsidRDefault="0096152C" w:rsidP="00547ACE">
            <w:pPr>
              <w:rPr>
                <w:rFonts w:cs="Arial"/>
                <w:sz w:val="16"/>
                <w:szCs w:val="16"/>
              </w:rPr>
            </w:pPr>
            <w:r w:rsidRPr="00811500">
              <w:rPr>
                <w:rFonts w:cs="Arial"/>
                <w:sz w:val="16"/>
                <w:szCs w:val="16"/>
              </w:rPr>
              <w:t>% of participants in Lisbon system events satisfied and reporting enhanced awareness post an event</w:t>
            </w:r>
          </w:p>
        </w:tc>
        <w:tc>
          <w:tcPr>
            <w:tcW w:w="854" w:type="pct"/>
            <w:shd w:val="clear" w:color="auto" w:fill="FFFFFF"/>
            <w:tcMar>
              <w:top w:w="113" w:type="dxa"/>
              <w:bottom w:w="113" w:type="dxa"/>
            </w:tcMar>
          </w:tcPr>
          <w:p w:rsidR="0096152C" w:rsidRPr="00811500" w:rsidRDefault="0096152C" w:rsidP="00547ACE">
            <w:pPr>
              <w:ind w:left="441" w:hanging="413"/>
              <w:jc w:val="center"/>
              <w:rPr>
                <w:rFonts w:cs="Arial"/>
                <w:sz w:val="16"/>
                <w:szCs w:val="16"/>
                <w:lang w:bidi="th-TH"/>
              </w:rPr>
            </w:pPr>
            <w:r w:rsidRPr="00811500">
              <w:rPr>
                <w:rFonts w:cs="Arial"/>
                <w:sz w:val="16"/>
                <w:szCs w:val="16"/>
                <w:lang w:bidi="th-TH"/>
              </w:rPr>
              <w:t>Program 6</w:t>
            </w:r>
          </w:p>
        </w:tc>
        <w:tc>
          <w:tcPr>
            <w:tcW w:w="475" w:type="pct"/>
            <w:shd w:val="clear" w:color="auto" w:fill="FFFFFF"/>
          </w:tcPr>
          <w:p w:rsidR="0096152C" w:rsidRPr="00CC3F44" w:rsidRDefault="0096152C" w:rsidP="00547ACE">
            <w:pPr>
              <w:jc w:val="center"/>
            </w:pPr>
            <w:r w:rsidRPr="00CC3F44">
              <w:rPr>
                <w:rFonts w:cs="Arial"/>
                <w:color w:val="008000"/>
                <w:sz w:val="22"/>
                <w:szCs w:val="22"/>
              </w:rPr>
              <w:sym w:font="Wingdings" w:char="F06C"/>
            </w:r>
          </w:p>
        </w:tc>
      </w:tr>
      <w:tr w:rsidR="0096152C" w:rsidRPr="00811500" w:rsidTr="00547ACE">
        <w:trPr>
          <w:cantSplit/>
          <w:trHeight w:val="372"/>
        </w:trPr>
        <w:tc>
          <w:tcPr>
            <w:tcW w:w="1424" w:type="pct"/>
            <w:shd w:val="clear" w:color="auto" w:fill="auto"/>
            <w:tcMar>
              <w:top w:w="113" w:type="dxa"/>
              <w:bottom w:w="113" w:type="dxa"/>
            </w:tcMar>
          </w:tcPr>
          <w:p w:rsidR="0096152C" w:rsidRPr="00811500" w:rsidRDefault="0096152C" w:rsidP="00547ACE">
            <w:pPr>
              <w:rPr>
                <w:rFonts w:cs="Arial"/>
                <w:sz w:val="16"/>
                <w:szCs w:val="16"/>
              </w:rPr>
            </w:pPr>
          </w:p>
        </w:tc>
        <w:tc>
          <w:tcPr>
            <w:tcW w:w="2247" w:type="pct"/>
            <w:shd w:val="clear" w:color="auto" w:fill="auto"/>
            <w:tcMar>
              <w:top w:w="113" w:type="dxa"/>
              <w:bottom w:w="113" w:type="dxa"/>
            </w:tcMar>
          </w:tcPr>
          <w:p w:rsidR="0096152C" w:rsidRPr="00811500" w:rsidRDefault="0096152C" w:rsidP="00547ACE">
            <w:pPr>
              <w:rPr>
                <w:rFonts w:cs="Arial"/>
                <w:sz w:val="16"/>
                <w:szCs w:val="16"/>
              </w:rPr>
            </w:pPr>
            <w:r w:rsidRPr="00811500">
              <w:rPr>
                <w:rFonts w:cs="Arial"/>
                <w:sz w:val="16"/>
                <w:szCs w:val="16"/>
              </w:rPr>
              <w:t>No. and proportion of Lisbon registrations in force from developing countries and LDCs</w:t>
            </w:r>
          </w:p>
        </w:tc>
        <w:tc>
          <w:tcPr>
            <w:tcW w:w="854" w:type="pct"/>
            <w:shd w:val="clear" w:color="auto" w:fill="FFFFFF"/>
            <w:tcMar>
              <w:top w:w="113" w:type="dxa"/>
              <w:bottom w:w="113" w:type="dxa"/>
            </w:tcMar>
          </w:tcPr>
          <w:p w:rsidR="0096152C" w:rsidRPr="00811500" w:rsidRDefault="0096152C" w:rsidP="00547ACE">
            <w:pPr>
              <w:ind w:left="441" w:hanging="413"/>
              <w:jc w:val="center"/>
              <w:rPr>
                <w:rFonts w:cs="Arial"/>
                <w:sz w:val="16"/>
                <w:szCs w:val="16"/>
                <w:lang w:bidi="th-TH"/>
              </w:rPr>
            </w:pPr>
            <w:r w:rsidRPr="00811500">
              <w:rPr>
                <w:rFonts w:cs="Arial"/>
                <w:sz w:val="16"/>
                <w:szCs w:val="16"/>
                <w:lang w:bidi="th-TH"/>
              </w:rPr>
              <w:t>Program 6</w:t>
            </w:r>
          </w:p>
        </w:tc>
        <w:tc>
          <w:tcPr>
            <w:tcW w:w="475" w:type="pct"/>
            <w:shd w:val="clear" w:color="auto" w:fill="FFFFFF"/>
          </w:tcPr>
          <w:p w:rsidR="0096152C" w:rsidRPr="00CC3F44" w:rsidRDefault="0096152C" w:rsidP="00547ACE">
            <w:pPr>
              <w:jc w:val="center"/>
            </w:pPr>
            <w:r w:rsidRPr="00CC3F44">
              <w:rPr>
                <w:rFonts w:cs="Arial"/>
                <w:color w:val="008000"/>
                <w:sz w:val="22"/>
                <w:szCs w:val="22"/>
              </w:rPr>
              <w:sym w:font="Wingdings" w:char="F06C"/>
            </w:r>
          </w:p>
        </w:tc>
      </w:tr>
      <w:tr w:rsidR="0096152C" w:rsidRPr="00811500" w:rsidTr="00547ACE">
        <w:trPr>
          <w:cantSplit/>
          <w:trHeight w:val="283"/>
        </w:trPr>
        <w:tc>
          <w:tcPr>
            <w:tcW w:w="1424" w:type="pct"/>
            <w:shd w:val="clear" w:color="auto" w:fill="auto"/>
            <w:tcMar>
              <w:top w:w="113" w:type="dxa"/>
              <w:bottom w:w="113" w:type="dxa"/>
            </w:tcMar>
          </w:tcPr>
          <w:p w:rsidR="0096152C" w:rsidRPr="00811500" w:rsidRDefault="0096152C" w:rsidP="00547ACE">
            <w:pPr>
              <w:rPr>
                <w:rFonts w:cs="Arial"/>
                <w:sz w:val="16"/>
                <w:szCs w:val="16"/>
              </w:rPr>
            </w:pPr>
          </w:p>
        </w:tc>
        <w:tc>
          <w:tcPr>
            <w:tcW w:w="2247" w:type="pct"/>
            <w:shd w:val="clear" w:color="auto" w:fill="auto"/>
            <w:tcMar>
              <w:top w:w="113" w:type="dxa"/>
              <w:bottom w:w="113" w:type="dxa"/>
            </w:tcMar>
          </w:tcPr>
          <w:p w:rsidR="0096152C" w:rsidRPr="00811500" w:rsidRDefault="0096152C" w:rsidP="00547ACE">
            <w:pPr>
              <w:rPr>
                <w:rFonts w:cs="Arial"/>
                <w:sz w:val="16"/>
                <w:szCs w:val="16"/>
              </w:rPr>
            </w:pPr>
            <w:r w:rsidRPr="00811500">
              <w:rPr>
                <w:rFonts w:cs="Arial"/>
                <w:sz w:val="16"/>
                <w:szCs w:val="16"/>
              </w:rPr>
              <w:t>Decrease in the number of irregularities (Madrid)</w:t>
            </w:r>
          </w:p>
        </w:tc>
        <w:tc>
          <w:tcPr>
            <w:tcW w:w="854" w:type="pct"/>
            <w:shd w:val="clear" w:color="auto" w:fill="FFFFFF"/>
            <w:tcMar>
              <w:top w:w="113" w:type="dxa"/>
              <w:bottom w:w="113" w:type="dxa"/>
            </w:tcMar>
          </w:tcPr>
          <w:p w:rsidR="0096152C" w:rsidRPr="00811500" w:rsidRDefault="0096152C" w:rsidP="00547ACE">
            <w:pPr>
              <w:ind w:left="441" w:hanging="413"/>
              <w:jc w:val="center"/>
              <w:rPr>
                <w:rFonts w:cs="Arial"/>
                <w:sz w:val="16"/>
                <w:szCs w:val="16"/>
                <w:lang w:bidi="th-TH"/>
              </w:rPr>
            </w:pPr>
            <w:r w:rsidRPr="00811500">
              <w:rPr>
                <w:rFonts w:cs="Arial"/>
                <w:sz w:val="16"/>
                <w:szCs w:val="16"/>
                <w:lang w:bidi="th-TH"/>
              </w:rPr>
              <w:t>Program 6</w:t>
            </w:r>
          </w:p>
        </w:tc>
        <w:tc>
          <w:tcPr>
            <w:tcW w:w="475" w:type="pct"/>
            <w:shd w:val="clear" w:color="auto" w:fill="FFFFFF"/>
          </w:tcPr>
          <w:p w:rsidR="0096152C" w:rsidRPr="00CC3F44" w:rsidRDefault="0096152C" w:rsidP="00547ACE">
            <w:pPr>
              <w:jc w:val="center"/>
            </w:pPr>
            <w:r w:rsidRPr="00CC3F44">
              <w:rPr>
                <w:rFonts w:cs="Arial"/>
                <w:color w:val="FF0000"/>
                <w:sz w:val="22"/>
                <w:szCs w:val="22"/>
              </w:rPr>
              <w:sym w:font="Wingdings" w:char="F06C"/>
            </w:r>
          </w:p>
        </w:tc>
      </w:tr>
      <w:tr w:rsidR="0096152C" w:rsidRPr="00811500" w:rsidTr="00547ACE">
        <w:trPr>
          <w:cantSplit/>
          <w:trHeight w:val="480"/>
        </w:trPr>
        <w:tc>
          <w:tcPr>
            <w:tcW w:w="1424" w:type="pct"/>
            <w:shd w:val="clear" w:color="auto" w:fill="auto"/>
            <w:tcMar>
              <w:top w:w="113" w:type="dxa"/>
              <w:bottom w:w="113" w:type="dxa"/>
            </w:tcMar>
          </w:tcPr>
          <w:p w:rsidR="0096152C" w:rsidRPr="00811500" w:rsidRDefault="0096152C" w:rsidP="00547ACE">
            <w:pPr>
              <w:rPr>
                <w:rFonts w:cs="Arial"/>
                <w:sz w:val="16"/>
                <w:szCs w:val="16"/>
              </w:rPr>
            </w:pPr>
          </w:p>
        </w:tc>
        <w:tc>
          <w:tcPr>
            <w:tcW w:w="2247" w:type="pct"/>
            <w:shd w:val="clear" w:color="auto" w:fill="auto"/>
            <w:tcMar>
              <w:top w:w="113" w:type="dxa"/>
              <w:bottom w:w="113" w:type="dxa"/>
            </w:tcMar>
          </w:tcPr>
          <w:p w:rsidR="0096152C" w:rsidRPr="00811500" w:rsidRDefault="0096152C" w:rsidP="00547ACE">
            <w:pPr>
              <w:rPr>
                <w:rFonts w:cs="Arial"/>
                <w:sz w:val="16"/>
                <w:szCs w:val="16"/>
              </w:rPr>
            </w:pPr>
            <w:r w:rsidRPr="00811500">
              <w:rPr>
                <w:rFonts w:cs="Arial"/>
                <w:sz w:val="16"/>
                <w:szCs w:val="16"/>
              </w:rPr>
              <w:t>No. of Madrid &amp; Lisbon system applica</w:t>
            </w:r>
            <w:r>
              <w:rPr>
                <w:rFonts w:cs="Arial"/>
                <w:sz w:val="16"/>
                <w:szCs w:val="16"/>
              </w:rPr>
              <w:t>tions</w:t>
            </w:r>
            <w:r w:rsidRPr="00811500">
              <w:rPr>
                <w:rFonts w:cs="Arial"/>
                <w:sz w:val="16"/>
                <w:szCs w:val="16"/>
              </w:rPr>
              <w:t xml:space="preserve"> originating from transition and developed countries</w:t>
            </w:r>
          </w:p>
        </w:tc>
        <w:tc>
          <w:tcPr>
            <w:tcW w:w="854" w:type="pct"/>
            <w:shd w:val="clear" w:color="auto" w:fill="FFFFFF"/>
            <w:tcMar>
              <w:top w:w="113" w:type="dxa"/>
              <w:bottom w:w="113" w:type="dxa"/>
            </w:tcMar>
          </w:tcPr>
          <w:p w:rsidR="0096152C" w:rsidRPr="00811500" w:rsidRDefault="0096152C" w:rsidP="00547ACE">
            <w:pPr>
              <w:ind w:left="441" w:hanging="413"/>
              <w:jc w:val="center"/>
              <w:rPr>
                <w:rFonts w:cs="Arial"/>
                <w:sz w:val="16"/>
                <w:szCs w:val="16"/>
                <w:lang w:bidi="th-TH"/>
              </w:rPr>
            </w:pPr>
            <w:r w:rsidRPr="00811500">
              <w:rPr>
                <w:rFonts w:cs="Arial"/>
                <w:sz w:val="16"/>
                <w:szCs w:val="16"/>
                <w:lang w:bidi="th-TH"/>
              </w:rPr>
              <w:t>Program 10</w:t>
            </w:r>
          </w:p>
        </w:tc>
        <w:tc>
          <w:tcPr>
            <w:tcW w:w="475" w:type="pct"/>
            <w:shd w:val="clear" w:color="auto" w:fill="FFFFFF"/>
          </w:tcPr>
          <w:p w:rsidR="0096152C" w:rsidRPr="00CC3F44" w:rsidRDefault="0096152C" w:rsidP="00547ACE">
            <w:pPr>
              <w:jc w:val="center"/>
            </w:pPr>
            <w:r w:rsidRPr="00CC3F44">
              <w:rPr>
                <w:rFonts w:cs="Arial"/>
                <w:color w:val="008000"/>
                <w:sz w:val="22"/>
                <w:szCs w:val="22"/>
              </w:rPr>
              <w:sym w:font="Wingdings" w:char="F06C"/>
            </w:r>
            <w:r w:rsidRPr="00CC3F44">
              <w:rPr>
                <w:rFonts w:cs="Arial"/>
                <w:color w:val="008000"/>
                <w:sz w:val="22"/>
                <w:szCs w:val="22"/>
              </w:rPr>
              <w:sym w:font="Wingdings" w:char="F06C"/>
            </w:r>
          </w:p>
        </w:tc>
      </w:tr>
      <w:tr w:rsidR="0096152C" w:rsidRPr="00811500" w:rsidTr="00547ACE">
        <w:trPr>
          <w:cantSplit/>
          <w:trHeight w:val="589"/>
        </w:trPr>
        <w:tc>
          <w:tcPr>
            <w:tcW w:w="1424" w:type="pct"/>
            <w:shd w:val="clear" w:color="auto" w:fill="auto"/>
            <w:tcMar>
              <w:top w:w="113" w:type="dxa"/>
              <w:bottom w:w="113" w:type="dxa"/>
            </w:tcMar>
          </w:tcPr>
          <w:p w:rsidR="0096152C" w:rsidRPr="00811500" w:rsidRDefault="0096152C" w:rsidP="00547ACE">
            <w:pPr>
              <w:rPr>
                <w:rFonts w:cs="Arial"/>
                <w:sz w:val="16"/>
                <w:szCs w:val="16"/>
              </w:rPr>
            </w:pPr>
          </w:p>
        </w:tc>
        <w:tc>
          <w:tcPr>
            <w:tcW w:w="2247" w:type="pct"/>
            <w:shd w:val="clear" w:color="auto" w:fill="auto"/>
            <w:tcMar>
              <w:top w:w="113" w:type="dxa"/>
              <w:bottom w:w="113" w:type="dxa"/>
            </w:tcMar>
          </w:tcPr>
          <w:p w:rsidR="0096152C" w:rsidRPr="00811500" w:rsidRDefault="0096152C" w:rsidP="00547ACE">
            <w:pPr>
              <w:rPr>
                <w:rFonts w:cs="Arial"/>
                <w:sz w:val="16"/>
                <w:szCs w:val="16"/>
              </w:rPr>
            </w:pPr>
            <w:r w:rsidRPr="00811500">
              <w:rPr>
                <w:rFonts w:cs="Arial"/>
                <w:sz w:val="16"/>
                <w:szCs w:val="16"/>
              </w:rPr>
              <w:t>No. of countries that have formulated and/or are engaged in policies outlining their accession to the Madrid Protocol</w:t>
            </w:r>
          </w:p>
        </w:tc>
        <w:tc>
          <w:tcPr>
            <w:tcW w:w="854" w:type="pct"/>
            <w:shd w:val="clear" w:color="auto" w:fill="FFFFFF"/>
            <w:tcMar>
              <w:top w:w="113" w:type="dxa"/>
              <w:bottom w:w="113" w:type="dxa"/>
            </w:tcMar>
          </w:tcPr>
          <w:p w:rsidR="0096152C" w:rsidRPr="00811500" w:rsidRDefault="0096152C" w:rsidP="00547ACE">
            <w:pPr>
              <w:ind w:left="441" w:hanging="413"/>
              <w:jc w:val="center"/>
              <w:rPr>
                <w:rFonts w:cs="Arial"/>
                <w:sz w:val="16"/>
                <w:szCs w:val="16"/>
                <w:lang w:bidi="th-TH"/>
              </w:rPr>
            </w:pPr>
            <w:r w:rsidRPr="00811500">
              <w:rPr>
                <w:rFonts w:cs="Arial"/>
                <w:sz w:val="16"/>
                <w:szCs w:val="16"/>
                <w:lang w:bidi="th-TH"/>
              </w:rPr>
              <w:t>Program 20</w:t>
            </w:r>
          </w:p>
        </w:tc>
        <w:tc>
          <w:tcPr>
            <w:tcW w:w="475" w:type="pct"/>
            <w:shd w:val="clear" w:color="auto" w:fill="FFFFFF"/>
          </w:tcPr>
          <w:p w:rsidR="0096152C" w:rsidRPr="00CC3F44" w:rsidRDefault="0096152C" w:rsidP="00547ACE">
            <w:pPr>
              <w:jc w:val="center"/>
            </w:pPr>
            <w:r w:rsidRPr="00CC3F44">
              <w:rPr>
                <w:rFonts w:cs="Arial"/>
                <w:color w:val="008000"/>
                <w:sz w:val="22"/>
                <w:szCs w:val="22"/>
              </w:rPr>
              <w:sym w:font="Wingdings" w:char="F06C"/>
            </w:r>
          </w:p>
        </w:tc>
      </w:tr>
      <w:tr w:rsidR="0096152C" w:rsidRPr="00811500" w:rsidTr="00547ACE">
        <w:trPr>
          <w:cantSplit/>
          <w:trHeight w:val="374"/>
        </w:trPr>
        <w:tc>
          <w:tcPr>
            <w:tcW w:w="1424" w:type="pct"/>
            <w:shd w:val="clear" w:color="auto" w:fill="auto"/>
            <w:tcMar>
              <w:top w:w="113" w:type="dxa"/>
              <w:bottom w:w="113" w:type="dxa"/>
            </w:tcMar>
          </w:tcPr>
          <w:p w:rsidR="0096152C" w:rsidRPr="00811500" w:rsidRDefault="0096152C" w:rsidP="00547ACE">
            <w:pPr>
              <w:rPr>
                <w:rFonts w:cs="Arial"/>
                <w:sz w:val="16"/>
                <w:szCs w:val="16"/>
              </w:rPr>
            </w:pPr>
          </w:p>
        </w:tc>
        <w:tc>
          <w:tcPr>
            <w:tcW w:w="2247" w:type="pct"/>
            <w:shd w:val="clear" w:color="auto" w:fill="auto"/>
            <w:tcMar>
              <w:top w:w="113" w:type="dxa"/>
              <w:bottom w:w="113" w:type="dxa"/>
            </w:tcMar>
          </w:tcPr>
          <w:p w:rsidR="0096152C" w:rsidRPr="00811500" w:rsidRDefault="0096152C" w:rsidP="00547ACE">
            <w:pPr>
              <w:rPr>
                <w:rFonts w:cs="Arial"/>
                <w:sz w:val="16"/>
                <w:szCs w:val="16"/>
              </w:rPr>
            </w:pPr>
            <w:r w:rsidRPr="00811500">
              <w:rPr>
                <w:rFonts w:cs="Arial"/>
                <w:sz w:val="16"/>
                <w:szCs w:val="16"/>
              </w:rPr>
              <w:t>% of satisfied participants in targeted workshops/seminars held on Madrid related topics</w:t>
            </w:r>
          </w:p>
        </w:tc>
        <w:tc>
          <w:tcPr>
            <w:tcW w:w="854" w:type="pct"/>
            <w:shd w:val="clear" w:color="auto" w:fill="FFFFFF"/>
            <w:tcMar>
              <w:top w:w="113" w:type="dxa"/>
              <w:bottom w:w="113" w:type="dxa"/>
            </w:tcMar>
          </w:tcPr>
          <w:p w:rsidR="0096152C" w:rsidRPr="00811500" w:rsidRDefault="0096152C" w:rsidP="00547ACE">
            <w:pPr>
              <w:ind w:left="441" w:hanging="413"/>
              <w:jc w:val="center"/>
              <w:rPr>
                <w:rFonts w:cs="Arial"/>
                <w:sz w:val="16"/>
                <w:szCs w:val="16"/>
                <w:lang w:bidi="th-TH"/>
              </w:rPr>
            </w:pPr>
            <w:r w:rsidRPr="00811500">
              <w:rPr>
                <w:rFonts w:cs="Arial"/>
                <w:sz w:val="16"/>
                <w:szCs w:val="16"/>
                <w:lang w:bidi="th-TH"/>
              </w:rPr>
              <w:t>Program 20</w:t>
            </w:r>
          </w:p>
        </w:tc>
        <w:tc>
          <w:tcPr>
            <w:tcW w:w="475" w:type="pct"/>
            <w:shd w:val="clear" w:color="auto" w:fill="FFFFFF"/>
          </w:tcPr>
          <w:p w:rsidR="0096152C" w:rsidRPr="00CC3F44" w:rsidRDefault="0096152C" w:rsidP="00547ACE">
            <w:pPr>
              <w:jc w:val="center"/>
            </w:pPr>
            <w:r w:rsidRPr="00CC3F44">
              <w:rPr>
                <w:rFonts w:cs="Arial"/>
                <w:color w:val="FF0000"/>
                <w:sz w:val="22"/>
                <w:szCs w:val="22"/>
              </w:rPr>
              <w:sym w:font="Wingdings" w:char="F06C"/>
            </w:r>
            <w:r w:rsidRPr="00CC3F44">
              <w:rPr>
                <w:rFonts w:cs="Arial"/>
                <w:color w:val="008000"/>
                <w:sz w:val="22"/>
                <w:szCs w:val="22"/>
              </w:rPr>
              <w:sym w:font="Wingdings" w:char="F06C"/>
            </w:r>
          </w:p>
        </w:tc>
      </w:tr>
      <w:tr w:rsidR="0096152C" w:rsidRPr="00811500" w:rsidTr="00547ACE">
        <w:trPr>
          <w:cantSplit/>
          <w:trHeight w:val="341"/>
        </w:trPr>
        <w:tc>
          <w:tcPr>
            <w:tcW w:w="1424" w:type="pct"/>
            <w:shd w:val="clear" w:color="auto" w:fill="auto"/>
            <w:tcMar>
              <w:top w:w="113" w:type="dxa"/>
              <w:bottom w:w="113" w:type="dxa"/>
            </w:tcMar>
          </w:tcPr>
          <w:p w:rsidR="0096152C" w:rsidRPr="00811500" w:rsidRDefault="0096152C" w:rsidP="00547ACE">
            <w:pPr>
              <w:rPr>
                <w:rFonts w:cs="Arial"/>
                <w:sz w:val="16"/>
                <w:szCs w:val="16"/>
              </w:rPr>
            </w:pPr>
          </w:p>
        </w:tc>
        <w:tc>
          <w:tcPr>
            <w:tcW w:w="2247" w:type="pct"/>
            <w:shd w:val="clear" w:color="auto" w:fill="auto"/>
            <w:tcMar>
              <w:top w:w="113" w:type="dxa"/>
              <w:bottom w:w="113" w:type="dxa"/>
            </w:tcMar>
          </w:tcPr>
          <w:p w:rsidR="0096152C" w:rsidRPr="00811500" w:rsidRDefault="0096152C" w:rsidP="00547ACE">
            <w:pPr>
              <w:rPr>
                <w:rFonts w:cs="Arial"/>
                <w:sz w:val="16"/>
                <w:szCs w:val="16"/>
              </w:rPr>
            </w:pPr>
            <w:r w:rsidRPr="00811500">
              <w:rPr>
                <w:rFonts w:cs="Arial"/>
                <w:sz w:val="16"/>
                <w:szCs w:val="16"/>
              </w:rPr>
              <w:t>No. of Contracting Parties to the Madrid Protocol</w:t>
            </w:r>
          </w:p>
        </w:tc>
        <w:tc>
          <w:tcPr>
            <w:tcW w:w="854" w:type="pct"/>
            <w:shd w:val="clear" w:color="auto" w:fill="FFFFFF"/>
            <w:tcMar>
              <w:top w:w="113" w:type="dxa"/>
              <w:bottom w:w="113" w:type="dxa"/>
            </w:tcMar>
          </w:tcPr>
          <w:p w:rsidR="0096152C" w:rsidRPr="00811500" w:rsidRDefault="0096152C" w:rsidP="00547ACE">
            <w:pPr>
              <w:ind w:left="441" w:hanging="413"/>
              <w:jc w:val="center"/>
              <w:rPr>
                <w:rFonts w:cs="Arial"/>
                <w:sz w:val="16"/>
                <w:szCs w:val="16"/>
                <w:lang w:bidi="th-TH"/>
              </w:rPr>
            </w:pPr>
            <w:r w:rsidRPr="00811500">
              <w:rPr>
                <w:rFonts w:cs="Arial"/>
                <w:sz w:val="16"/>
                <w:szCs w:val="16"/>
                <w:lang w:bidi="th-TH"/>
              </w:rPr>
              <w:t>Program 20</w:t>
            </w:r>
          </w:p>
        </w:tc>
        <w:tc>
          <w:tcPr>
            <w:tcW w:w="475" w:type="pct"/>
            <w:shd w:val="clear" w:color="auto" w:fill="FFFFFF"/>
          </w:tcPr>
          <w:p w:rsidR="0096152C" w:rsidRPr="00CC3F44" w:rsidRDefault="0096152C" w:rsidP="00547ACE">
            <w:pPr>
              <w:jc w:val="center"/>
              <w:rPr>
                <w:color w:val="E26B0A"/>
              </w:rPr>
            </w:pPr>
            <w:r w:rsidRPr="00CC3F44">
              <w:rPr>
                <w:rFonts w:cs="Arial"/>
                <w:color w:val="E26B0A"/>
                <w:sz w:val="22"/>
                <w:szCs w:val="22"/>
              </w:rPr>
              <w:sym w:font="Wingdings" w:char="F06C"/>
            </w:r>
          </w:p>
        </w:tc>
      </w:tr>
      <w:tr w:rsidR="0096152C" w:rsidRPr="00811500" w:rsidTr="00547ACE">
        <w:trPr>
          <w:cantSplit/>
          <w:trHeight w:val="149"/>
        </w:trPr>
        <w:tc>
          <w:tcPr>
            <w:tcW w:w="1424" w:type="pct"/>
            <w:shd w:val="clear" w:color="auto" w:fill="auto"/>
            <w:tcMar>
              <w:top w:w="113" w:type="dxa"/>
              <w:bottom w:w="113" w:type="dxa"/>
            </w:tcMar>
          </w:tcPr>
          <w:p w:rsidR="0096152C" w:rsidRPr="00811500" w:rsidRDefault="0096152C" w:rsidP="00547ACE">
            <w:pPr>
              <w:rPr>
                <w:rFonts w:cs="Arial"/>
                <w:sz w:val="16"/>
                <w:szCs w:val="16"/>
              </w:rPr>
            </w:pPr>
          </w:p>
        </w:tc>
        <w:tc>
          <w:tcPr>
            <w:tcW w:w="2247" w:type="pct"/>
            <w:shd w:val="clear" w:color="auto" w:fill="auto"/>
            <w:tcMar>
              <w:top w:w="113" w:type="dxa"/>
              <w:bottom w:w="113" w:type="dxa"/>
            </w:tcMar>
          </w:tcPr>
          <w:p w:rsidR="0096152C" w:rsidRPr="00811500" w:rsidRDefault="0096152C" w:rsidP="00547ACE">
            <w:pPr>
              <w:rPr>
                <w:rFonts w:cs="Arial"/>
                <w:sz w:val="16"/>
                <w:szCs w:val="16"/>
              </w:rPr>
            </w:pPr>
            <w:r w:rsidRPr="00811500">
              <w:rPr>
                <w:rFonts w:cs="Arial"/>
                <w:sz w:val="16"/>
                <w:szCs w:val="16"/>
              </w:rPr>
              <w:t>No. of new registrations (Madrid System)</w:t>
            </w:r>
          </w:p>
        </w:tc>
        <w:tc>
          <w:tcPr>
            <w:tcW w:w="854" w:type="pct"/>
            <w:shd w:val="clear" w:color="auto" w:fill="FFFFFF"/>
            <w:tcMar>
              <w:top w:w="113" w:type="dxa"/>
              <w:bottom w:w="113" w:type="dxa"/>
            </w:tcMar>
          </w:tcPr>
          <w:p w:rsidR="0096152C" w:rsidRPr="00811500" w:rsidRDefault="0096152C" w:rsidP="00547ACE">
            <w:pPr>
              <w:ind w:left="441" w:hanging="413"/>
              <w:jc w:val="center"/>
              <w:rPr>
                <w:rFonts w:cs="Arial"/>
                <w:sz w:val="16"/>
                <w:szCs w:val="16"/>
                <w:lang w:bidi="th-TH"/>
              </w:rPr>
            </w:pPr>
            <w:r w:rsidRPr="00811500">
              <w:rPr>
                <w:rFonts w:cs="Arial"/>
                <w:sz w:val="16"/>
                <w:szCs w:val="16"/>
                <w:lang w:bidi="th-TH"/>
              </w:rPr>
              <w:t>Program 20</w:t>
            </w:r>
          </w:p>
        </w:tc>
        <w:tc>
          <w:tcPr>
            <w:tcW w:w="475" w:type="pct"/>
            <w:shd w:val="clear" w:color="auto" w:fill="FFFFFF"/>
          </w:tcPr>
          <w:p w:rsidR="0096152C" w:rsidRPr="00CC3F44" w:rsidRDefault="0096152C" w:rsidP="00547ACE">
            <w:pPr>
              <w:jc w:val="center"/>
            </w:pPr>
            <w:r w:rsidRPr="00CC3F44">
              <w:rPr>
                <w:rFonts w:cs="Arial"/>
                <w:color w:val="008000"/>
                <w:sz w:val="22"/>
                <w:szCs w:val="22"/>
              </w:rPr>
              <w:sym w:font="Wingdings" w:char="F06C"/>
            </w:r>
            <w:r w:rsidRPr="00CC3F44">
              <w:rPr>
                <w:rFonts w:cs="Arial"/>
                <w:color w:val="008000"/>
                <w:sz w:val="22"/>
                <w:szCs w:val="22"/>
              </w:rPr>
              <w:sym w:font="Wingdings" w:char="F06C"/>
            </w:r>
          </w:p>
        </w:tc>
      </w:tr>
      <w:tr w:rsidR="0096152C" w:rsidRPr="00811500" w:rsidTr="00547ACE">
        <w:trPr>
          <w:cantSplit/>
          <w:trHeight w:val="134"/>
        </w:trPr>
        <w:tc>
          <w:tcPr>
            <w:tcW w:w="1424" w:type="pct"/>
            <w:shd w:val="clear" w:color="auto" w:fill="auto"/>
            <w:tcMar>
              <w:top w:w="113" w:type="dxa"/>
              <w:bottom w:w="113" w:type="dxa"/>
            </w:tcMar>
          </w:tcPr>
          <w:p w:rsidR="0096152C" w:rsidRPr="00811500" w:rsidRDefault="0096152C" w:rsidP="00547ACE">
            <w:pPr>
              <w:rPr>
                <w:rFonts w:cs="Arial"/>
                <w:sz w:val="16"/>
                <w:szCs w:val="16"/>
              </w:rPr>
            </w:pPr>
          </w:p>
        </w:tc>
        <w:tc>
          <w:tcPr>
            <w:tcW w:w="2247" w:type="pct"/>
            <w:shd w:val="clear" w:color="auto" w:fill="auto"/>
            <w:tcMar>
              <w:top w:w="113" w:type="dxa"/>
              <w:bottom w:w="113" w:type="dxa"/>
            </w:tcMar>
          </w:tcPr>
          <w:p w:rsidR="0096152C" w:rsidRPr="00811500" w:rsidRDefault="0096152C" w:rsidP="00547ACE">
            <w:pPr>
              <w:rPr>
                <w:rFonts w:cs="Arial"/>
                <w:sz w:val="16"/>
                <w:szCs w:val="16"/>
              </w:rPr>
            </w:pPr>
            <w:r w:rsidRPr="00811500">
              <w:rPr>
                <w:rFonts w:cs="Arial"/>
                <w:sz w:val="16"/>
                <w:szCs w:val="16"/>
              </w:rPr>
              <w:t>No. of renewals (Madrid System)</w:t>
            </w:r>
          </w:p>
        </w:tc>
        <w:tc>
          <w:tcPr>
            <w:tcW w:w="854" w:type="pct"/>
            <w:shd w:val="clear" w:color="auto" w:fill="FFFFFF"/>
            <w:tcMar>
              <w:top w:w="113" w:type="dxa"/>
              <w:bottom w:w="113" w:type="dxa"/>
            </w:tcMar>
          </w:tcPr>
          <w:p w:rsidR="0096152C" w:rsidRPr="00811500" w:rsidRDefault="0096152C" w:rsidP="00547ACE">
            <w:pPr>
              <w:ind w:left="441" w:hanging="413"/>
              <w:jc w:val="center"/>
              <w:rPr>
                <w:rFonts w:cs="Arial"/>
                <w:sz w:val="16"/>
                <w:szCs w:val="16"/>
                <w:lang w:bidi="th-TH"/>
              </w:rPr>
            </w:pPr>
            <w:r w:rsidRPr="00811500">
              <w:rPr>
                <w:rFonts w:cs="Arial"/>
                <w:sz w:val="16"/>
                <w:szCs w:val="16"/>
                <w:lang w:bidi="th-TH"/>
              </w:rPr>
              <w:t>Program 20</w:t>
            </w:r>
          </w:p>
        </w:tc>
        <w:tc>
          <w:tcPr>
            <w:tcW w:w="475" w:type="pct"/>
            <w:shd w:val="clear" w:color="auto" w:fill="FFFFFF"/>
          </w:tcPr>
          <w:p w:rsidR="0096152C" w:rsidRPr="00CC3F44" w:rsidRDefault="0096152C" w:rsidP="00547ACE">
            <w:pPr>
              <w:jc w:val="center"/>
            </w:pPr>
            <w:r w:rsidRPr="00CC3F44">
              <w:rPr>
                <w:rFonts w:cs="Arial"/>
                <w:color w:val="A6A6A6" w:themeColor="background1" w:themeShade="A6"/>
                <w:sz w:val="22"/>
                <w:szCs w:val="22"/>
              </w:rPr>
              <w:sym w:font="Wingdings" w:char="F06C"/>
            </w:r>
            <w:r w:rsidRPr="00CC3F44">
              <w:rPr>
                <w:rFonts w:cs="Arial"/>
                <w:color w:val="A6A6A6" w:themeColor="background1" w:themeShade="A6"/>
                <w:sz w:val="22"/>
                <w:szCs w:val="22"/>
              </w:rPr>
              <w:sym w:font="Wingdings" w:char="F06C"/>
            </w:r>
          </w:p>
        </w:tc>
      </w:tr>
      <w:tr w:rsidR="0096152C" w:rsidRPr="00811500" w:rsidTr="00547ACE">
        <w:trPr>
          <w:cantSplit/>
          <w:trHeight w:val="546"/>
        </w:trPr>
        <w:tc>
          <w:tcPr>
            <w:tcW w:w="1424" w:type="pct"/>
            <w:shd w:val="clear" w:color="auto" w:fill="auto"/>
            <w:tcMar>
              <w:top w:w="113" w:type="dxa"/>
              <w:bottom w:w="113" w:type="dxa"/>
            </w:tcMar>
          </w:tcPr>
          <w:p w:rsidR="0096152C" w:rsidRPr="00811500" w:rsidRDefault="0096152C" w:rsidP="00547ACE">
            <w:pPr>
              <w:rPr>
                <w:rFonts w:cs="Arial"/>
                <w:sz w:val="16"/>
                <w:szCs w:val="16"/>
              </w:rPr>
            </w:pPr>
            <w:r w:rsidRPr="00811500">
              <w:rPr>
                <w:rFonts w:cs="Arial"/>
                <w:sz w:val="16"/>
                <w:szCs w:val="16"/>
              </w:rPr>
              <w:t xml:space="preserve">II.7 </w:t>
            </w:r>
            <w:r>
              <w:rPr>
                <w:rFonts w:cs="Arial"/>
                <w:sz w:val="16"/>
                <w:szCs w:val="16"/>
              </w:rPr>
              <w:t xml:space="preserve"> </w:t>
            </w:r>
            <w:r w:rsidRPr="00811500">
              <w:rPr>
                <w:rFonts w:cs="Arial"/>
                <w:sz w:val="16"/>
                <w:szCs w:val="16"/>
                <w:lang w:eastAsia="zh-CN" w:bidi="th-TH"/>
              </w:rPr>
              <w:t>Improved productivity and service quality of</w:t>
            </w:r>
            <w:r w:rsidRPr="00811500">
              <w:rPr>
                <w:rFonts w:cs="Arial"/>
                <w:sz w:val="16"/>
                <w:szCs w:val="16"/>
              </w:rPr>
              <w:t xml:space="preserve"> Madrid &amp; Lisbon operations</w:t>
            </w:r>
          </w:p>
        </w:tc>
        <w:tc>
          <w:tcPr>
            <w:tcW w:w="2247" w:type="pct"/>
            <w:shd w:val="clear" w:color="auto" w:fill="auto"/>
            <w:tcMar>
              <w:top w:w="113" w:type="dxa"/>
              <w:bottom w:w="113" w:type="dxa"/>
            </w:tcMar>
          </w:tcPr>
          <w:p w:rsidR="0096152C" w:rsidRPr="00811500" w:rsidRDefault="0096152C" w:rsidP="00547ACE">
            <w:pPr>
              <w:rPr>
                <w:rFonts w:cs="Arial"/>
                <w:sz w:val="16"/>
                <w:szCs w:val="16"/>
              </w:rPr>
            </w:pPr>
            <w:r w:rsidRPr="00811500">
              <w:rPr>
                <w:rFonts w:cs="Arial"/>
                <w:sz w:val="16"/>
                <w:szCs w:val="16"/>
              </w:rPr>
              <w:t>Progress towards streamlining and simplification of the Madrid system legal framework</w:t>
            </w:r>
          </w:p>
        </w:tc>
        <w:tc>
          <w:tcPr>
            <w:tcW w:w="854" w:type="pct"/>
            <w:shd w:val="clear" w:color="auto" w:fill="FFFFFF"/>
            <w:tcMar>
              <w:top w:w="113" w:type="dxa"/>
              <w:bottom w:w="113" w:type="dxa"/>
            </w:tcMar>
          </w:tcPr>
          <w:p w:rsidR="0096152C" w:rsidRPr="00811500" w:rsidRDefault="0096152C" w:rsidP="00547ACE">
            <w:pPr>
              <w:ind w:left="441" w:hanging="413"/>
              <w:jc w:val="center"/>
              <w:rPr>
                <w:rFonts w:cs="Arial"/>
                <w:sz w:val="16"/>
                <w:szCs w:val="16"/>
                <w:lang w:bidi="th-TH"/>
              </w:rPr>
            </w:pPr>
            <w:r w:rsidRPr="00811500">
              <w:rPr>
                <w:rFonts w:cs="Arial"/>
                <w:sz w:val="16"/>
                <w:szCs w:val="16"/>
                <w:lang w:bidi="th-TH"/>
              </w:rPr>
              <w:t>Program 6</w:t>
            </w:r>
          </w:p>
        </w:tc>
        <w:tc>
          <w:tcPr>
            <w:tcW w:w="475" w:type="pct"/>
            <w:shd w:val="clear" w:color="auto" w:fill="FFFFFF"/>
          </w:tcPr>
          <w:p w:rsidR="0096152C" w:rsidRPr="00CC3F44" w:rsidRDefault="0096152C" w:rsidP="00547ACE">
            <w:pPr>
              <w:jc w:val="center"/>
            </w:pPr>
            <w:r w:rsidRPr="00CC3F44">
              <w:rPr>
                <w:rFonts w:cs="Arial"/>
                <w:color w:val="008000"/>
                <w:sz w:val="22"/>
                <w:szCs w:val="22"/>
              </w:rPr>
              <w:sym w:font="Wingdings" w:char="F06C"/>
            </w:r>
          </w:p>
        </w:tc>
      </w:tr>
      <w:tr w:rsidR="0096152C" w:rsidRPr="00811500" w:rsidTr="00547ACE">
        <w:trPr>
          <w:cantSplit/>
          <w:trHeight w:val="742"/>
        </w:trPr>
        <w:tc>
          <w:tcPr>
            <w:tcW w:w="1424" w:type="pct"/>
            <w:shd w:val="clear" w:color="auto" w:fill="auto"/>
            <w:tcMar>
              <w:top w:w="113" w:type="dxa"/>
              <w:bottom w:w="113" w:type="dxa"/>
            </w:tcMar>
          </w:tcPr>
          <w:p w:rsidR="0096152C" w:rsidRPr="00811500" w:rsidRDefault="0096152C" w:rsidP="00547ACE">
            <w:pPr>
              <w:rPr>
                <w:rFonts w:cs="Arial"/>
                <w:sz w:val="16"/>
                <w:szCs w:val="16"/>
              </w:rPr>
            </w:pPr>
          </w:p>
        </w:tc>
        <w:tc>
          <w:tcPr>
            <w:tcW w:w="2247" w:type="pct"/>
            <w:shd w:val="clear" w:color="auto" w:fill="auto"/>
            <w:tcMar>
              <w:top w:w="113" w:type="dxa"/>
              <w:bottom w:w="113" w:type="dxa"/>
            </w:tcMar>
          </w:tcPr>
          <w:p w:rsidR="0096152C" w:rsidRPr="00811500" w:rsidRDefault="0096152C" w:rsidP="00547ACE">
            <w:pPr>
              <w:rPr>
                <w:rFonts w:cs="Arial"/>
                <w:sz w:val="16"/>
                <w:szCs w:val="16"/>
              </w:rPr>
            </w:pPr>
            <w:r w:rsidRPr="00811500">
              <w:rPr>
                <w:rFonts w:cs="Arial"/>
                <w:sz w:val="16"/>
                <w:szCs w:val="16"/>
              </w:rPr>
              <w:t>N</w:t>
            </w:r>
            <w:r>
              <w:rPr>
                <w:rFonts w:cs="Arial"/>
                <w:sz w:val="16"/>
                <w:szCs w:val="16"/>
              </w:rPr>
              <w:t>o.</w:t>
            </w:r>
            <w:r w:rsidRPr="00811500">
              <w:rPr>
                <w:rFonts w:cs="Arial"/>
                <w:sz w:val="16"/>
                <w:szCs w:val="16"/>
              </w:rPr>
              <w:t xml:space="preserve"> of registrations </w:t>
            </w:r>
          </w:p>
          <w:p w:rsidR="0096152C" w:rsidRPr="00811500" w:rsidRDefault="0096152C" w:rsidP="00547ACE">
            <w:pPr>
              <w:rPr>
                <w:rFonts w:cs="Arial"/>
                <w:sz w:val="16"/>
                <w:szCs w:val="16"/>
              </w:rPr>
            </w:pPr>
            <w:r w:rsidRPr="00811500">
              <w:rPr>
                <w:rFonts w:cs="Arial"/>
                <w:sz w:val="16"/>
                <w:szCs w:val="16"/>
              </w:rPr>
              <w:t>N</w:t>
            </w:r>
            <w:r>
              <w:rPr>
                <w:rFonts w:cs="Arial"/>
                <w:sz w:val="16"/>
                <w:szCs w:val="16"/>
              </w:rPr>
              <w:t>o.</w:t>
            </w:r>
            <w:r w:rsidRPr="00811500">
              <w:rPr>
                <w:rFonts w:cs="Arial"/>
                <w:sz w:val="16"/>
                <w:szCs w:val="16"/>
              </w:rPr>
              <w:t xml:space="preserve"> of renewals processed </w:t>
            </w:r>
          </w:p>
          <w:p w:rsidR="0096152C" w:rsidRPr="00811500" w:rsidRDefault="0096152C" w:rsidP="00547ACE">
            <w:pPr>
              <w:rPr>
                <w:rFonts w:cs="Arial"/>
                <w:sz w:val="16"/>
                <w:szCs w:val="16"/>
              </w:rPr>
            </w:pPr>
            <w:r w:rsidRPr="00811500">
              <w:rPr>
                <w:rFonts w:cs="Arial"/>
                <w:sz w:val="16"/>
                <w:szCs w:val="16"/>
              </w:rPr>
              <w:t>N</w:t>
            </w:r>
            <w:r>
              <w:rPr>
                <w:rFonts w:cs="Arial"/>
                <w:sz w:val="16"/>
                <w:szCs w:val="16"/>
              </w:rPr>
              <w:t>o.</w:t>
            </w:r>
            <w:r w:rsidRPr="00811500">
              <w:rPr>
                <w:rFonts w:cs="Arial"/>
                <w:sz w:val="16"/>
                <w:szCs w:val="16"/>
              </w:rPr>
              <w:t xml:space="preserve"> of modifications, including subsequent designations</w:t>
            </w:r>
            <w:r>
              <w:rPr>
                <w:rFonts w:cs="Arial"/>
                <w:sz w:val="16"/>
                <w:szCs w:val="16"/>
              </w:rPr>
              <w:t xml:space="preserve"> </w:t>
            </w:r>
            <w:r w:rsidRPr="00811500">
              <w:rPr>
                <w:rFonts w:cs="Arial"/>
                <w:sz w:val="16"/>
                <w:szCs w:val="16"/>
              </w:rPr>
              <w:t>(Madrid)</w:t>
            </w:r>
          </w:p>
        </w:tc>
        <w:tc>
          <w:tcPr>
            <w:tcW w:w="854" w:type="pct"/>
            <w:shd w:val="clear" w:color="auto" w:fill="FFFFFF"/>
            <w:tcMar>
              <w:top w:w="113" w:type="dxa"/>
              <w:bottom w:w="113" w:type="dxa"/>
            </w:tcMar>
          </w:tcPr>
          <w:p w:rsidR="0096152C" w:rsidRPr="00811500" w:rsidRDefault="0096152C" w:rsidP="00547ACE">
            <w:pPr>
              <w:ind w:left="441" w:hanging="413"/>
              <w:jc w:val="center"/>
              <w:rPr>
                <w:rFonts w:cs="Arial"/>
                <w:sz w:val="16"/>
                <w:szCs w:val="16"/>
                <w:lang w:bidi="th-TH"/>
              </w:rPr>
            </w:pPr>
            <w:r w:rsidRPr="00811500">
              <w:rPr>
                <w:rFonts w:cs="Arial"/>
                <w:sz w:val="16"/>
                <w:szCs w:val="16"/>
                <w:lang w:bidi="th-TH"/>
              </w:rPr>
              <w:t>Program 6</w:t>
            </w:r>
          </w:p>
        </w:tc>
        <w:tc>
          <w:tcPr>
            <w:tcW w:w="475" w:type="pct"/>
            <w:shd w:val="clear" w:color="auto" w:fill="FFFFFF"/>
          </w:tcPr>
          <w:p w:rsidR="0096152C" w:rsidRPr="00CC3F44" w:rsidRDefault="0096152C" w:rsidP="00547ACE">
            <w:pPr>
              <w:jc w:val="center"/>
              <w:rPr>
                <w:rFonts w:cs="Arial"/>
                <w:color w:val="008000"/>
                <w:sz w:val="22"/>
                <w:szCs w:val="22"/>
              </w:rPr>
            </w:pPr>
            <w:r w:rsidRPr="00CC3F44">
              <w:rPr>
                <w:rFonts w:cs="Arial"/>
                <w:color w:val="FF0000"/>
                <w:sz w:val="22"/>
                <w:szCs w:val="22"/>
              </w:rPr>
              <w:sym w:font="Wingdings" w:char="F06C"/>
            </w:r>
            <w:r w:rsidRPr="00CC3F44">
              <w:rPr>
                <w:rFonts w:cs="Arial"/>
                <w:color w:val="008000"/>
                <w:sz w:val="22"/>
                <w:szCs w:val="22"/>
              </w:rPr>
              <w:sym w:font="Wingdings" w:char="F06C"/>
            </w:r>
            <w:r w:rsidRPr="00CC3F44">
              <w:rPr>
                <w:rFonts w:cs="Arial"/>
                <w:color w:val="008000"/>
                <w:sz w:val="22"/>
                <w:szCs w:val="22"/>
              </w:rPr>
              <w:sym w:font="Wingdings" w:char="F06C"/>
            </w:r>
          </w:p>
          <w:p w:rsidR="0096152C" w:rsidRPr="00CC3F44" w:rsidRDefault="0096152C" w:rsidP="00547ACE">
            <w:pPr>
              <w:jc w:val="center"/>
            </w:pPr>
            <w:r w:rsidRPr="00CC3F44">
              <w:rPr>
                <w:rFonts w:cs="Arial"/>
                <w:color w:val="008000"/>
                <w:sz w:val="22"/>
                <w:szCs w:val="22"/>
              </w:rPr>
              <w:sym w:font="Wingdings" w:char="F06C"/>
            </w:r>
            <w:r w:rsidRPr="00CC3F44">
              <w:rPr>
                <w:rFonts w:cs="Arial"/>
                <w:color w:val="008000"/>
                <w:sz w:val="22"/>
                <w:szCs w:val="22"/>
              </w:rPr>
              <w:sym w:font="Wingdings" w:char="F06C"/>
            </w:r>
          </w:p>
        </w:tc>
      </w:tr>
      <w:tr w:rsidR="0096152C" w:rsidRPr="00811500" w:rsidTr="00547ACE">
        <w:trPr>
          <w:cantSplit/>
          <w:trHeight w:val="315"/>
        </w:trPr>
        <w:tc>
          <w:tcPr>
            <w:tcW w:w="1424" w:type="pct"/>
            <w:shd w:val="clear" w:color="auto" w:fill="auto"/>
            <w:tcMar>
              <w:top w:w="113" w:type="dxa"/>
              <w:bottom w:w="113" w:type="dxa"/>
            </w:tcMar>
          </w:tcPr>
          <w:p w:rsidR="0096152C" w:rsidRPr="00811500" w:rsidRDefault="0096152C" w:rsidP="00547ACE">
            <w:pPr>
              <w:rPr>
                <w:rFonts w:cs="Arial"/>
                <w:sz w:val="16"/>
                <w:szCs w:val="16"/>
              </w:rPr>
            </w:pPr>
          </w:p>
        </w:tc>
        <w:tc>
          <w:tcPr>
            <w:tcW w:w="2247" w:type="pct"/>
            <w:shd w:val="clear" w:color="auto" w:fill="auto"/>
            <w:tcMar>
              <w:top w:w="113" w:type="dxa"/>
              <w:bottom w:w="113" w:type="dxa"/>
            </w:tcMar>
          </w:tcPr>
          <w:p w:rsidR="0096152C" w:rsidRPr="00811500" w:rsidRDefault="0096152C" w:rsidP="00547ACE">
            <w:pPr>
              <w:rPr>
                <w:rFonts w:cs="Arial"/>
                <w:sz w:val="16"/>
                <w:szCs w:val="16"/>
              </w:rPr>
            </w:pPr>
            <w:r w:rsidRPr="00811500">
              <w:rPr>
                <w:rFonts w:cs="Arial"/>
                <w:sz w:val="16"/>
                <w:szCs w:val="16"/>
              </w:rPr>
              <w:t>Translation of applications in a timely manner (Madrid)</w:t>
            </w:r>
          </w:p>
        </w:tc>
        <w:tc>
          <w:tcPr>
            <w:tcW w:w="854" w:type="pct"/>
            <w:shd w:val="clear" w:color="auto" w:fill="FFFFFF"/>
            <w:tcMar>
              <w:top w:w="113" w:type="dxa"/>
              <w:bottom w:w="113" w:type="dxa"/>
            </w:tcMar>
          </w:tcPr>
          <w:p w:rsidR="0096152C" w:rsidRPr="00811500" w:rsidRDefault="0096152C" w:rsidP="00547ACE">
            <w:pPr>
              <w:ind w:left="441" w:hanging="413"/>
              <w:jc w:val="center"/>
              <w:rPr>
                <w:rFonts w:cs="Arial"/>
                <w:sz w:val="16"/>
                <w:szCs w:val="16"/>
                <w:lang w:bidi="th-TH"/>
              </w:rPr>
            </w:pPr>
            <w:r w:rsidRPr="00811500">
              <w:rPr>
                <w:rFonts w:cs="Arial"/>
                <w:sz w:val="16"/>
                <w:szCs w:val="16"/>
                <w:lang w:bidi="th-TH"/>
              </w:rPr>
              <w:t>Program 6</w:t>
            </w:r>
          </w:p>
        </w:tc>
        <w:tc>
          <w:tcPr>
            <w:tcW w:w="475" w:type="pct"/>
            <w:shd w:val="clear" w:color="auto" w:fill="FFFFFF"/>
          </w:tcPr>
          <w:p w:rsidR="0096152C" w:rsidRPr="00CC3F44" w:rsidRDefault="0096152C" w:rsidP="00547ACE">
            <w:pPr>
              <w:jc w:val="center"/>
            </w:pPr>
            <w:r w:rsidRPr="00CC3F44">
              <w:rPr>
                <w:rFonts w:cs="Arial"/>
                <w:color w:val="008000"/>
                <w:sz w:val="22"/>
                <w:szCs w:val="22"/>
              </w:rPr>
              <w:sym w:font="Wingdings" w:char="F06C"/>
            </w:r>
          </w:p>
        </w:tc>
      </w:tr>
      <w:tr w:rsidR="0096152C" w:rsidRPr="00811500" w:rsidTr="00547ACE">
        <w:trPr>
          <w:cantSplit/>
          <w:trHeight w:val="228"/>
        </w:trPr>
        <w:tc>
          <w:tcPr>
            <w:tcW w:w="1424" w:type="pct"/>
            <w:shd w:val="clear" w:color="auto" w:fill="auto"/>
            <w:tcMar>
              <w:top w:w="57" w:type="dxa"/>
              <w:bottom w:w="57" w:type="dxa"/>
            </w:tcMar>
          </w:tcPr>
          <w:p w:rsidR="0096152C" w:rsidRPr="00811500" w:rsidRDefault="0096152C" w:rsidP="00547ACE">
            <w:pPr>
              <w:rPr>
                <w:rFonts w:cs="Arial"/>
                <w:sz w:val="16"/>
                <w:szCs w:val="16"/>
              </w:rPr>
            </w:pPr>
          </w:p>
        </w:tc>
        <w:tc>
          <w:tcPr>
            <w:tcW w:w="2247" w:type="pct"/>
            <w:shd w:val="clear" w:color="auto" w:fill="auto"/>
            <w:tcMar>
              <w:top w:w="57" w:type="dxa"/>
              <w:bottom w:w="57" w:type="dxa"/>
            </w:tcMar>
          </w:tcPr>
          <w:p w:rsidR="0096152C" w:rsidRPr="00811500" w:rsidRDefault="0096152C" w:rsidP="00547ACE">
            <w:pPr>
              <w:rPr>
                <w:rFonts w:cs="Arial"/>
                <w:sz w:val="16"/>
                <w:szCs w:val="16"/>
              </w:rPr>
            </w:pPr>
            <w:r w:rsidRPr="00811500">
              <w:rPr>
                <w:rFonts w:cs="Arial"/>
                <w:sz w:val="16"/>
                <w:szCs w:val="16"/>
              </w:rPr>
              <w:t>Decrease in the number of corrections (Madrid)</w:t>
            </w:r>
          </w:p>
        </w:tc>
        <w:tc>
          <w:tcPr>
            <w:tcW w:w="854" w:type="pct"/>
            <w:shd w:val="clear" w:color="auto" w:fill="FFFFFF"/>
            <w:tcMar>
              <w:top w:w="57" w:type="dxa"/>
              <w:bottom w:w="57" w:type="dxa"/>
            </w:tcMar>
          </w:tcPr>
          <w:p w:rsidR="0096152C" w:rsidRPr="00811500" w:rsidRDefault="0096152C" w:rsidP="00547ACE">
            <w:pPr>
              <w:ind w:left="441" w:hanging="413"/>
              <w:jc w:val="center"/>
              <w:rPr>
                <w:rFonts w:cs="Arial"/>
                <w:sz w:val="16"/>
                <w:szCs w:val="16"/>
                <w:lang w:bidi="th-TH"/>
              </w:rPr>
            </w:pPr>
            <w:r w:rsidRPr="00811500">
              <w:rPr>
                <w:rFonts w:cs="Arial"/>
                <w:sz w:val="16"/>
                <w:szCs w:val="16"/>
                <w:lang w:bidi="th-TH"/>
              </w:rPr>
              <w:t>Program 6</w:t>
            </w:r>
          </w:p>
        </w:tc>
        <w:tc>
          <w:tcPr>
            <w:tcW w:w="475" w:type="pct"/>
            <w:shd w:val="clear" w:color="auto" w:fill="FFFFFF"/>
            <w:tcMar>
              <w:top w:w="57" w:type="dxa"/>
              <w:bottom w:w="57" w:type="dxa"/>
            </w:tcMar>
          </w:tcPr>
          <w:p w:rsidR="0096152C" w:rsidRPr="00CC3F44" w:rsidRDefault="0096152C" w:rsidP="00547ACE">
            <w:pPr>
              <w:jc w:val="center"/>
            </w:pPr>
            <w:r w:rsidRPr="00CC3F44">
              <w:rPr>
                <w:rFonts w:cs="Arial"/>
                <w:color w:val="FF0000"/>
                <w:sz w:val="22"/>
                <w:szCs w:val="22"/>
              </w:rPr>
              <w:sym w:font="Wingdings" w:char="F06C"/>
            </w:r>
          </w:p>
        </w:tc>
      </w:tr>
      <w:tr w:rsidR="0096152C" w:rsidRPr="00811500" w:rsidTr="00547ACE">
        <w:trPr>
          <w:cantSplit/>
          <w:trHeight w:val="205"/>
        </w:trPr>
        <w:tc>
          <w:tcPr>
            <w:tcW w:w="1424" w:type="pct"/>
            <w:shd w:val="clear" w:color="auto" w:fill="auto"/>
            <w:tcMar>
              <w:top w:w="57" w:type="dxa"/>
              <w:bottom w:w="57" w:type="dxa"/>
            </w:tcMar>
          </w:tcPr>
          <w:p w:rsidR="0096152C" w:rsidRPr="00811500" w:rsidRDefault="0096152C" w:rsidP="00547ACE">
            <w:pPr>
              <w:rPr>
                <w:rFonts w:cs="Arial"/>
                <w:sz w:val="16"/>
                <w:szCs w:val="16"/>
              </w:rPr>
            </w:pPr>
          </w:p>
        </w:tc>
        <w:tc>
          <w:tcPr>
            <w:tcW w:w="2247" w:type="pct"/>
            <w:shd w:val="clear" w:color="auto" w:fill="auto"/>
            <w:tcMar>
              <w:top w:w="57" w:type="dxa"/>
              <w:bottom w:w="57" w:type="dxa"/>
            </w:tcMar>
          </w:tcPr>
          <w:p w:rsidR="0096152C" w:rsidRPr="00811500" w:rsidRDefault="0096152C" w:rsidP="00547ACE">
            <w:pPr>
              <w:rPr>
                <w:rFonts w:cs="Arial"/>
                <w:sz w:val="16"/>
                <w:szCs w:val="16"/>
              </w:rPr>
            </w:pPr>
            <w:r w:rsidRPr="00811500">
              <w:rPr>
                <w:rFonts w:cs="Arial"/>
                <w:sz w:val="16"/>
                <w:szCs w:val="16"/>
              </w:rPr>
              <w:t>Improved client satisfaction (Madrid)</w:t>
            </w:r>
          </w:p>
        </w:tc>
        <w:tc>
          <w:tcPr>
            <w:tcW w:w="854" w:type="pct"/>
            <w:shd w:val="clear" w:color="auto" w:fill="FFFFFF"/>
            <w:tcMar>
              <w:top w:w="57" w:type="dxa"/>
              <w:bottom w:w="57" w:type="dxa"/>
            </w:tcMar>
          </w:tcPr>
          <w:p w:rsidR="0096152C" w:rsidRPr="00811500" w:rsidRDefault="0096152C" w:rsidP="00547ACE">
            <w:pPr>
              <w:ind w:left="441" w:hanging="413"/>
              <w:jc w:val="center"/>
              <w:rPr>
                <w:rFonts w:cs="Arial"/>
                <w:sz w:val="16"/>
                <w:szCs w:val="16"/>
                <w:lang w:bidi="th-TH"/>
              </w:rPr>
            </w:pPr>
            <w:r w:rsidRPr="00811500">
              <w:rPr>
                <w:rFonts w:cs="Arial"/>
                <w:sz w:val="16"/>
                <w:szCs w:val="16"/>
                <w:lang w:bidi="th-TH"/>
              </w:rPr>
              <w:t>Program 6</w:t>
            </w:r>
          </w:p>
        </w:tc>
        <w:tc>
          <w:tcPr>
            <w:tcW w:w="475" w:type="pct"/>
            <w:shd w:val="clear" w:color="auto" w:fill="FFFFFF"/>
            <w:tcMar>
              <w:top w:w="57" w:type="dxa"/>
              <w:bottom w:w="57" w:type="dxa"/>
            </w:tcMar>
          </w:tcPr>
          <w:p w:rsidR="0096152C" w:rsidRPr="00CC3F44" w:rsidRDefault="0096152C" w:rsidP="00547ACE">
            <w:pPr>
              <w:jc w:val="center"/>
            </w:pPr>
            <w:r w:rsidRPr="00CC3F44">
              <w:rPr>
                <w:rFonts w:cs="Arial"/>
                <w:color w:val="008000"/>
                <w:sz w:val="22"/>
                <w:szCs w:val="22"/>
              </w:rPr>
              <w:sym w:font="Wingdings" w:char="F06C"/>
            </w:r>
            <w:r w:rsidRPr="00CC3F44">
              <w:rPr>
                <w:rFonts w:cs="Arial"/>
                <w:color w:val="A6A6A6" w:themeColor="background1" w:themeShade="A6"/>
                <w:sz w:val="22"/>
                <w:szCs w:val="22"/>
              </w:rPr>
              <w:sym w:font="Wingdings" w:char="F06C"/>
            </w:r>
          </w:p>
        </w:tc>
      </w:tr>
      <w:tr w:rsidR="0096152C" w:rsidRPr="00811500" w:rsidTr="00547ACE">
        <w:trPr>
          <w:cantSplit/>
          <w:trHeight w:val="131"/>
        </w:trPr>
        <w:tc>
          <w:tcPr>
            <w:tcW w:w="1424" w:type="pct"/>
            <w:shd w:val="clear" w:color="auto" w:fill="auto"/>
            <w:tcMar>
              <w:top w:w="113" w:type="dxa"/>
              <w:bottom w:w="113" w:type="dxa"/>
            </w:tcMar>
          </w:tcPr>
          <w:p w:rsidR="0096152C" w:rsidRPr="00811500" w:rsidRDefault="0096152C" w:rsidP="00547ACE">
            <w:pPr>
              <w:rPr>
                <w:rFonts w:cs="Arial"/>
                <w:sz w:val="16"/>
                <w:szCs w:val="16"/>
              </w:rPr>
            </w:pPr>
          </w:p>
        </w:tc>
        <w:tc>
          <w:tcPr>
            <w:tcW w:w="2247" w:type="pct"/>
            <w:shd w:val="clear" w:color="auto" w:fill="auto"/>
            <w:tcMar>
              <w:top w:w="113" w:type="dxa"/>
              <w:bottom w:w="113" w:type="dxa"/>
            </w:tcMar>
          </w:tcPr>
          <w:p w:rsidR="0096152C" w:rsidRPr="00811500" w:rsidRDefault="0096152C" w:rsidP="00547ACE">
            <w:pPr>
              <w:rPr>
                <w:rFonts w:cs="Arial"/>
                <w:sz w:val="16"/>
                <w:szCs w:val="16"/>
              </w:rPr>
            </w:pPr>
            <w:r w:rsidRPr="00811500">
              <w:rPr>
                <w:rFonts w:cs="Arial"/>
                <w:sz w:val="16"/>
                <w:szCs w:val="16"/>
              </w:rPr>
              <w:t>Increased use of electronic exchange (Madrid)</w:t>
            </w:r>
          </w:p>
        </w:tc>
        <w:tc>
          <w:tcPr>
            <w:tcW w:w="854" w:type="pct"/>
            <w:shd w:val="clear" w:color="auto" w:fill="FFFFFF"/>
            <w:tcMar>
              <w:top w:w="113" w:type="dxa"/>
              <w:bottom w:w="113" w:type="dxa"/>
            </w:tcMar>
          </w:tcPr>
          <w:p w:rsidR="0096152C" w:rsidRPr="00811500" w:rsidRDefault="0096152C" w:rsidP="00547ACE">
            <w:pPr>
              <w:ind w:left="441" w:hanging="413"/>
              <w:jc w:val="center"/>
              <w:rPr>
                <w:rFonts w:cs="Arial"/>
                <w:sz w:val="16"/>
                <w:szCs w:val="16"/>
                <w:lang w:bidi="th-TH"/>
              </w:rPr>
            </w:pPr>
            <w:r w:rsidRPr="00811500">
              <w:rPr>
                <w:rFonts w:cs="Arial"/>
                <w:sz w:val="16"/>
                <w:szCs w:val="16"/>
                <w:lang w:bidi="th-TH"/>
              </w:rPr>
              <w:t>Program 6</w:t>
            </w:r>
          </w:p>
        </w:tc>
        <w:tc>
          <w:tcPr>
            <w:tcW w:w="475" w:type="pct"/>
            <w:shd w:val="clear" w:color="auto" w:fill="FFFFFF"/>
          </w:tcPr>
          <w:p w:rsidR="0096152C" w:rsidRPr="00CC3F44" w:rsidRDefault="0096152C" w:rsidP="00547ACE">
            <w:pPr>
              <w:jc w:val="center"/>
            </w:pPr>
            <w:r w:rsidRPr="00CC3F44">
              <w:rPr>
                <w:rFonts w:cs="Arial"/>
                <w:color w:val="008000"/>
                <w:sz w:val="22"/>
                <w:szCs w:val="22"/>
              </w:rPr>
              <w:sym w:font="Wingdings" w:char="F06C"/>
            </w:r>
            <w:r w:rsidRPr="00CC3F44">
              <w:rPr>
                <w:rFonts w:cs="Arial"/>
                <w:color w:val="008000"/>
                <w:sz w:val="22"/>
                <w:szCs w:val="22"/>
              </w:rPr>
              <w:sym w:font="Wingdings" w:char="F06C"/>
            </w:r>
            <w:r w:rsidRPr="00CC3F44">
              <w:rPr>
                <w:rFonts w:cs="Arial"/>
                <w:color w:val="008000"/>
                <w:sz w:val="22"/>
                <w:szCs w:val="22"/>
              </w:rPr>
              <w:sym w:font="Wingdings" w:char="F06C"/>
            </w:r>
            <w:r w:rsidRPr="00CC3F44">
              <w:rPr>
                <w:rFonts w:cs="Arial"/>
                <w:color w:val="008000"/>
                <w:sz w:val="22"/>
                <w:szCs w:val="22"/>
              </w:rPr>
              <w:sym w:font="Wingdings" w:char="F06C"/>
            </w:r>
          </w:p>
        </w:tc>
      </w:tr>
      <w:tr w:rsidR="0096152C" w:rsidRPr="00811500" w:rsidTr="00547ACE">
        <w:trPr>
          <w:cantSplit/>
          <w:trHeight w:val="264"/>
        </w:trPr>
        <w:tc>
          <w:tcPr>
            <w:tcW w:w="1424" w:type="pct"/>
            <w:shd w:val="clear" w:color="auto" w:fill="auto"/>
            <w:tcMar>
              <w:top w:w="113" w:type="dxa"/>
              <w:bottom w:w="113" w:type="dxa"/>
            </w:tcMar>
          </w:tcPr>
          <w:p w:rsidR="0096152C" w:rsidRPr="00811500" w:rsidRDefault="0096152C" w:rsidP="00547ACE">
            <w:pPr>
              <w:rPr>
                <w:rFonts w:cs="Arial"/>
                <w:sz w:val="16"/>
                <w:szCs w:val="16"/>
              </w:rPr>
            </w:pPr>
          </w:p>
        </w:tc>
        <w:tc>
          <w:tcPr>
            <w:tcW w:w="2247" w:type="pct"/>
            <w:shd w:val="clear" w:color="auto" w:fill="auto"/>
            <w:tcMar>
              <w:top w:w="113" w:type="dxa"/>
              <w:bottom w:w="113" w:type="dxa"/>
            </w:tcMar>
          </w:tcPr>
          <w:p w:rsidR="0096152C" w:rsidRPr="00811500" w:rsidRDefault="0096152C" w:rsidP="00547ACE">
            <w:pPr>
              <w:rPr>
                <w:rFonts w:cs="Arial"/>
                <w:sz w:val="16"/>
                <w:szCs w:val="16"/>
              </w:rPr>
            </w:pPr>
            <w:r w:rsidRPr="00811500">
              <w:rPr>
                <w:rFonts w:cs="Arial"/>
                <w:sz w:val="16"/>
                <w:szCs w:val="16"/>
              </w:rPr>
              <w:t>Refinement of the electronic International Register of the Lisbon system</w:t>
            </w:r>
          </w:p>
        </w:tc>
        <w:tc>
          <w:tcPr>
            <w:tcW w:w="854" w:type="pct"/>
            <w:shd w:val="clear" w:color="auto" w:fill="FFFFFF"/>
            <w:tcMar>
              <w:top w:w="113" w:type="dxa"/>
              <w:bottom w:w="113" w:type="dxa"/>
            </w:tcMar>
          </w:tcPr>
          <w:p w:rsidR="0096152C" w:rsidRPr="00811500" w:rsidRDefault="0096152C" w:rsidP="00547ACE">
            <w:pPr>
              <w:ind w:left="441" w:hanging="413"/>
              <w:jc w:val="center"/>
              <w:rPr>
                <w:rFonts w:cs="Arial"/>
                <w:sz w:val="16"/>
                <w:szCs w:val="16"/>
                <w:lang w:bidi="th-TH"/>
              </w:rPr>
            </w:pPr>
            <w:r w:rsidRPr="00811500">
              <w:rPr>
                <w:rFonts w:cs="Arial"/>
                <w:sz w:val="16"/>
                <w:szCs w:val="16"/>
                <w:lang w:bidi="th-TH"/>
              </w:rPr>
              <w:t>Program 6</w:t>
            </w:r>
          </w:p>
        </w:tc>
        <w:tc>
          <w:tcPr>
            <w:tcW w:w="475" w:type="pct"/>
            <w:shd w:val="clear" w:color="auto" w:fill="FFFFFF"/>
          </w:tcPr>
          <w:p w:rsidR="0096152C" w:rsidRPr="00CC3F44" w:rsidRDefault="0096152C" w:rsidP="00547ACE">
            <w:pPr>
              <w:jc w:val="center"/>
              <w:rPr>
                <w:color w:val="E26B0A"/>
              </w:rPr>
            </w:pPr>
            <w:r w:rsidRPr="00CC3F44">
              <w:rPr>
                <w:rFonts w:cs="Arial"/>
                <w:color w:val="E26B0A"/>
                <w:sz w:val="22"/>
                <w:szCs w:val="22"/>
              </w:rPr>
              <w:sym w:font="Wingdings" w:char="F06C"/>
            </w:r>
          </w:p>
        </w:tc>
      </w:tr>
      <w:tr w:rsidR="0096152C" w:rsidRPr="00811500" w:rsidTr="00547ACE">
        <w:trPr>
          <w:cantSplit/>
          <w:trHeight w:val="383"/>
        </w:trPr>
        <w:tc>
          <w:tcPr>
            <w:tcW w:w="1424" w:type="pct"/>
            <w:shd w:val="clear" w:color="auto" w:fill="auto"/>
            <w:tcMar>
              <w:top w:w="113" w:type="dxa"/>
              <w:bottom w:w="113" w:type="dxa"/>
            </w:tcMar>
          </w:tcPr>
          <w:p w:rsidR="0096152C" w:rsidRPr="00811500" w:rsidRDefault="0096152C" w:rsidP="00547ACE">
            <w:pPr>
              <w:rPr>
                <w:rFonts w:cs="Arial"/>
                <w:sz w:val="16"/>
                <w:szCs w:val="16"/>
              </w:rPr>
            </w:pPr>
          </w:p>
        </w:tc>
        <w:tc>
          <w:tcPr>
            <w:tcW w:w="2247" w:type="pct"/>
            <w:shd w:val="clear" w:color="auto" w:fill="auto"/>
            <w:tcMar>
              <w:top w:w="113" w:type="dxa"/>
              <w:bottom w:w="113" w:type="dxa"/>
            </w:tcMar>
          </w:tcPr>
          <w:p w:rsidR="0096152C" w:rsidRPr="00811500" w:rsidRDefault="0096152C" w:rsidP="00547ACE">
            <w:pPr>
              <w:rPr>
                <w:rFonts w:cs="Arial"/>
                <w:sz w:val="16"/>
                <w:szCs w:val="16"/>
              </w:rPr>
            </w:pPr>
            <w:r w:rsidRPr="00811500">
              <w:rPr>
                <w:rFonts w:cs="Arial"/>
                <w:sz w:val="16"/>
                <w:szCs w:val="16"/>
              </w:rPr>
              <w:t>Refinement of the electronic means of communication and publication under the Lisbon procedures</w:t>
            </w:r>
          </w:p>
        </w:tc>
        <w:tc>
          <w:tcPr>
            <w:tcW w:w="854" w:type="pct"/>
            <w:shd w:val="clear" w:color="auto" w:fill="FFFFFF"/>
            <w:tcMar>
              <w:top w:w="113" w:type="dxa"/>
              <w:bottom w:w="113" w:type="dxa"/>
            </w:tcMar>
          </w:tcPr>
          <w:p w:rsidR="0096152C" w:rsidRPr="00811500" w:rsidRDefault="0096152C" w:rsidP="00547ACE">
            <w:pPr>
              <w:ind w:left="441" w:hanging="413"/>
              <w:jc w:val="center"/>
              <w:rPr>
                <w:rFonts w:cs="Arial"/>
                <w:sz w:val="16"/>
                <w:szCs w:val="16"/>
                <w:lang w:bidi="th-TH"/>
              </w:rPr>
            </w:pPr>
            <w:r w:rsidRPr="00811500">
              <w:rPr>
                <w:rFonts w:cs="Arial"/>
                <w:sz w:val="16"/>
                <w:szCs w:val="16"/>
                <w:lang w:bidi="th-TH"/>
              </w:rPr>
              <w:t>Program 6</w:t>
            </w:r>
          </w:p>
        </w:tc>
        <w:tc>
          <w:tcPr>
            <w:tcW w:w="475" w:type="pct"/>
            <w:shd w:val="clear" w:color="auto" w:fill="FFFFFF"/>
          </w:tcPr>
          <w:p w:rsidR="0096152C" w:rsidRPr="00CC3F44" w:rsidRDefault="0096152C" w:rsidP="00547ACE">
            <w:pPr>
              <w:jc w:val="center"/>
            </w:pPr>
            <w:r w:rsidRPr="00CC3F44">
              <w:rPr>
                <w:rFonts w:cs="Arial"/>
                <w:color w:val="008000"/>
                <w:sz w:val="22"/>
                <w:szCs w:val="22"/>
              </w:rPr>
              <w:sym w:font="Wingdings" w:char="F06C"/>
            </w:r>
          </w:p>
        </w:tc>
      </w:tr>
      <w:tr w:rsidR="0096152C" w:rsidRPr="00811500" w:rsidTr="00547ACE">
        <w:trPr>
          <w:cantSplit/>
          <w:trHeight w:val="307"/>
        </w:trPr>
        <w:tc>
          <w:tcPr>
            <w:tcW w:w="1424" w:type="pct"/>
            <w:vMerge w:val="restart"/>
            <w:shd w:val="clear" w:color="auto" w:fill="auto"/>
            <w:tcMar>
              <w:top w:w="113" w:type="dxa"/>
              <w:bottom w:w="113" w:type="dxa"/>
            </w:tcMar>
          </w:tcPr>
          <w:p w:rsidR="0096152C" w:rsidRPr="00811500" w:rsidRDefault="0096152C" w:rsidP="00547ACE">
            <w:pPr>
              <w:rPr>
                <w:rFonts w:cs="Arial"/>
                <w:sz w:val="16"/>
                <w:szCs w:val="16"/>
              </w:rPr>
            </w:pPr>
            <w:r w:rsidRPr="00811500">
              <w:rPr>
                <w:rFonts w:cs="Arial"/>
                <w:sz w:val="16"/>
                <w:szCs w:val="16"/>
              </w:rPr>
              <w:t>II.8</w:t>
            </w:r>
            <w:r>
              <w:rPr>
                <w:rFonts w:cs="Arial"/>
                <w:sz w:val="16"/>
                <w:szCs w:val="16"/>
              </w:rPr>
              <w:t xml:space="preserve"> </w:t>
            </w:r>
            <w:r w:rsidRPr="00811500">
              <w:rPr>
                <w:rFonts w:cs="Arial"/>
                <w:sz w:val="16"/>
                <w:szCs w:val="16"/>
              </w:rPr>
              <w:t xml:space="preserve"> International and domestic intellectual property disputes are increasingly prevented or resolved through WIPO mediation, arbitration and other alternative dispute resolution methods</w:t>
            </w:r>
          </w:p>
        </w:tc>
        <w:tc>
          <w:tcPr>
            <w:tcW w:w="2247" w:type="pct"/>
            <w:vMerge w:val="restart"/>
            <w:shd w:val="clear" w:color="auto" w:fill="auto"/>
            <w:tcMar>
              <w:top w:w="57" w:type="dxa"/>
              <w:bottom w:w="57" w:type="dxa"/>
            </w:tcMar>
          </w:tcPr>
          <w:p w:rsidR="0096152C" w:rsidRPr="00811500" w:rsidRDefault="0096152C" w:rsidP="00547ACE">
            <w:pPr>
              <w:rPr>
                <w:rFonts w:cs="Arial"/>
                <w:sz w:val="16"/>
                <w:szCs w:val="16"/>
              </w:rPr>
            </w:pPr>
            <w:r w:rsidRPr="00811500">
              <w:rPr>
                <w:rFonts w:cs="Arial"/>
                <w:sz w:val="16"/>
                <w:szCs w:val="16"/>
              </w:rPr>
              <w:t xml:space="preserve">Increased consideration of the use of alternative dispute resolution services in intellectual property transactions, including through the use of WIPO procedures </w:t>
            </w:r>
          </w:p>
        </w:tc>
        <w:tc>
          <w:tcPr>
            <w:tcW w:w="854" w:type="pct"/>
            <w:shd w:val="clear" w:color="auto" w:fill="FFFFFF"/>
            <w:tcMar>
              <w:top w:w="57" w:type="dxa"/>
              <w:bottom w:w="57" w:type="dxa"/>
            </w:tcMar>
          </w:tcPr>
          <w:p w:rsidR="0096152C" w:rsidRPr="00811500" w:rsidRDefault="0096152C" w:rsidP="00547ACE">
            <w:pPr>
              <w:ind w:left="441" w:hanging="413"/>
              <w:jc w:val="center"/>
              <w:rPr>
                <w:rFonts w:cs="Arial"/>
                <w:sz w:val="16"/>
                <w:szCs w:val="16"/>
                <w:lang w:bidi="th-TH"/>
              </w:rPr>
            </w:pPr>
            <w:r w:rsidRPr="00811500">
              <w:rPr>
                <w:rFonts w:cs="Arial"/>
                <w:sz w:val="16"/>
                <w:szCs w:val="16"/>
                <w:lang w:bidi="th-TH"/>
              </w:rPr>
              <w:t>Program 7</w:t>
            </w:r>
          </w:p>
        </w:tc>
        <w:tc>
          <w:tcPr>
            <w:tcW w:w="475" w:type="pct"/>
            <w:shd w:val="clear" w:color="auto" w:fill="FFFFFF"/>
            <w:tcMar>
              <w:top w:w="57" w:type="dxa"/>
              <w:bottom w:w="57" w:type="dxa"/>
            </w:tcMar>
          </w:tcPr>
          <w:p w:rsidR="0096152C" w:rsidRPr="00CC3F44" w:rsidRDefault="0096152C" w:rsidP="00547ACE">
            <w:pPr>
              <w:jc w:val="center"/>
              <w:rPr>
                <w:rFonts w:cs="Arial"/>
                <w:color w:val="008000"/>
                <w:sz w:val="22"/>
                <w:szCs w:val="22"/>
              </w:rPr>
            </w:pPr>
            <w:r w:rsidRPr="00CC3F44">
              <w:rPr>
                <w:rFonts w:cs="Arial"/>
                <w:color w:val="008000"/>
                <w:sz w:val="22"/>
                <w:szCs w:val="22"/>
              </w:rPr>
              <w:sym w:font="Wingdings" w:char="F06C"/>
            </w:r>
            <w:r w:rsidRPr="00CC3F44">
              <w:rPr>
                <w:rFonts w:cs="Arial"/>
                <w:color w:val="008000"/>
                <w:sz w:val="22"/>
                <w:szCs w:val="22"/>
              </w:rPr>
              <w:sym w:font="Wingdings" w:char="F06C"/>
            </w:r>
            <w:r w:rsidRPr="00CC3F44">
              <w:rPr>
                <w:rFonts w:cs="Arial"/>
                <w:color w:val="008000"/>
                <w:sz w:val="22"/>
                <w:szCs w:val="22"/>
              </w:rPr>
              <w:sym w:font="Wingdings" w:char="F06C"/>
            </w:r>
          </w:p>
          <w:p w:rsidR="0096152C" w:rsidRPr="00CC3F44" w:rsidRDefault="0096152C" w:rsidP="00547ACE">
            <w:pPr>
              <w:jc w:val="center"/>
              <w:rPr>
                <w:rFonts w:cs="Arial"/>
                <w:color w:val="008000"/>
                <w:sz w:val="22"/>
                <w:szCs w:val="22"/>
              </w:rPr>
            </w:pPr>
            <w:r w:rsidRPr="00CC3F44">
              <w:rPr>
                <w:rFonts w:cs="Arial"/>
                <w:color w:val="008000"/>
                <w:sz w:val="22"/>
                <w:szCs w:val="22"/>
              </w:rPr>
              <w:sym w:font="Wingdings" w:char="F06C"/>
            </w:r>
            <w:r w:rsidRPr="00CC3F44">
              <w:rPr>
                <w:rFonts w:cs="Arial"/>
                <w:color w:val="008000"/>
                <w:sz w:val="22"/>
                <w:szCs w:val="22"/>
              </w:rPr>
              <w:sym w:font="Wingdings" w:char="F06C"/>
            </w:r>
          </w:p>
        </w:tc>
      </w:tr>
      <w:tr w:rsidR="0096152C" w:rsidRPr="00811500" w:rsidTr="00547ACE">
        <w:trPr>
          <w:cantSplit/>
          <w:trHeight w:val="244"/>
        </w:trPr>
        <w:tc>
          <w:tcPr>
            <w:tcW w:w="1424" w:type="pct"/>
            <w:vMerge/>
            <w:shd w:val="clear" w:color="auto" w:fill="auto"/>
            <w:tcMar>
              <w:top w:w="113" w:type="dxa"/>
              <w:bottom w:w="113" w:type="dxa"/>
            </w:tcMar>
          </w:tcPr>
          <w:p w:rsidR="0096152C" w:rsidRPr="00811500" w:rsidRDefault="0096152C" w:rsidP="00547ACE">
            <w:pPr>
              <w:rPr>
                <w:rFonts w:cs="Arial"/>
                <w:sz w:val="16"/>
                <w:szCs w:val="16"/>
              </w:rPr>
            </w:pPr>
          </w:p>
        </w:tc>
        <w:tc>
          <w:tcPr>
            <w:tcW w:w="2247" w:type="pct"/>
            <w:vMerge/>
            <w:shd w:val="clear" w:color="auto" w:fill="auto"/>
            <w:tcMar>
              <w:top w:w="57" w:type="dxa"/>
              <w:bottom w:w="57" w:type="dxa"/>
            </w:tcMar>
          </w:tcPr>
          <w:p w:rsidR="0096152C" w:rsidRPr="00811500" w:rsidRDefault="0096152C" w:rsidP="00547ACE">
            <w:pPr>
              <w:rPr>
                <w:rFonts w:cs="Arial"/>
                <w:sz w:val="16"/>
                <w:szCs w:val="16"/>
              </w:rPr>
            </w:pPr>
          </w:p>
        </w:tc>
        <w:tc>
          <w:tcPr>
            <w:tcW w:w="854" w:type="pct"/>
            <w:shd w:val="clear" w:color="auto" w:fill="FFFFFF"/>
            <w:tcMar>
              <w:top w:w="57" w:type="dxa"/>
              <w:bottom w:w="57" w:type="dxa"/>
            </w:tcMar>
          </w:tcPr>
          <w:p w:rsidR="0096152C" w:rsidRPr="00811500" w:rsidRDefault="0096152C" w:rsidP="00547ACE">
            <w:pPr>
              <w:ind w:left="441" w:hanging="413"/>
              <w:jc w:val="center"/>
              <w:rPr>
                <w:rFonts w:cs="Arial"/>
                <w:sz w:val="16"/>
                <w:szCs w:val="16"/>
                <w:lang w:bidi="th-TH"/>
              </w:rPr>
            </w:pPr>
            <w:r w:rsidRPr="00811500">
              <w:rPr>
                <w:rFonts w:cs="Arial"/>
                <w:sz w:val="16"/>
                <w:szCs w:val="16"/>
                <w:lang w:bidi="th-TH"/>
              </w:rPr>
              <w:t>Program 20</w:t>
            </w:r>
          </w:p>
        </w:tc>
        <w:tc>
          <w:tcPr>
            <w:tcW w:w="475" w:type="pct"/>
            <w:shd w:val="clear" w:color="auto" w:fill="FFFFFF"/>
            <w:tcMar>
              <w:top w:w="57" w:type="dxa"/>
              <w:bottom w:w="57" w:type="dxa"/>
            </w:tcMar>
          </w:tcPr>
          <w:p w:rsidR="0096152C" w:rsidRPr="00CC3F44" w:rsidRDefault="0096152C" w:rsidP="00547ACE">
            <w:pPr>
              <w:jc w:val="center"/>
              <w:rPr>
                <w:rFonts w:cs="Arial"/>
                <w:color w:val="008000"/>
                <w:sz w:val="22"/>
                <w:szCs w:val="22"/>
              </w:rPr>
            </w:pPr>
            <w:r w:rsidRPr="00CC3F44">
              <w:rPr>
                <w:rFonts w:cs="Arial"/>
                <w:color w:val="FF0000"/>
                <w:sz w:val="22"/>
                <w:szCs w:val="22"/>
              </w:rPr>
              <w:sym w:font="Wingdings" w:char="F06C"/>
            </w:r>
          </w:p>
        </w:tc>
      </w:tr>
      <w:tr w:rsidR="0096152C" w:rsidRPr="00811500" w:rsidTr="00547ACE">
        <w:trPr>
          <w:cantSplit/>
          <w:trHeight w:val="564"/>
        </w:trPr>
        <w:tc>
          <w:tcPr>
            <w:tcW w:w="1424" w:type="pct"/>
            <w:vMerge/>
            <w:shd w:val="clear" w:color="auto" w:fill="auto"/>
            <w:tcMar>
              <w:top w:w="113" w:type="dxa"/>
              <w:bottom w:w="113" w:type="dxa"/>
            </w:tcMar>
          </w:tcPr>
          <w:p w:rsidR="0096152C" w:rsidRPr="00811500" w:rsidRDefault="0096152C" w:rsidP="00547ACE">
            <w:pPr>
              <w:rPr>
                <w:rFonts w:cs="Arial"/>
                <w:sz w:val="16"/>
                <w:szCs w:val="16"/>
              </w:rPr>
            </w:pPr>
          </w:p>
        </w:tc>
        <w:tc>
          <w:tcPr>
            <w:tcW w:w="2247" w:type="pct"/>
            <w:shd w:val="clear" w:color="auto" w:fill="auto"/>
            <w:tcMar>
              <w:top w:w="57" w:type="dxa"/>
              <w:bottom w:w="57" w:type="dxa"/>
            </w:tcMar>
          </w:tcPr>
          <w:p w:rsidR="0096152C" w:rsidRPr="00811500" w:rsidRDefault="0096152C" w:rsidP="00547ACE">
            <w:pPr>
              <w:rPr>
                <w:rFonts w:cs="Arial"/>
                <w:sz w:val="16"/>
                <w:szCs w:val="16"/>
              </w:rPr>
            </w:pPr>
            <w:r w:rsidRPr="00811500">
              <w:rPr>
                <w:rFonts w:cs="Arial"/>
                <w:sz w:val="16"/>
                <w:szCs w:val="16"/>
              </w:rPr>
              <w:t>Alternative dispute resolution policies to the development and implementation of which policies the Center has contributed</w:t>
            </w:r>
          </w:p>
        </w:tc>
        <w:tc>
          <w:tcPr>
            <w:tcW w:w="854" w:type="pct"/>
            <w:shd w:val="clear" w:color="auto" w:fill="FFFFFF"/>
            <w:tcMar>
              <w:top w:w="57" w:type="dxa"/>
              <w:bottom w:w="57" w:type="dxa"/>
            </w:tcMar>
          </w:tcPr>
          <w:p w:rsidR="0096152C" w:rsidRPr="00811500" w:rsidRDefault="0096152C" w:rsidP="00547ACE">
            <w:pPr>
              <w:ind w:left="441" w:hanging="413"/>
              <w:jc w:val="center"/>
              <w:rPr>
                <w:rFonts w:cs="Arial"/>
                <w:sz w:val="16"/>
                <w:szCs w:val="16"/>
                <w:lang w:bidi="th-TH"/>
              </w:rPr>
            </w:pPr>
            <w:r w:rsidRPr="00811500">
              <w:rPr>
                <w:rFonts w:cs="Arial"/>
                <w:sz w:val="16"/>
                <w:szCs w:val="16"/>
                <w:lang w:bidi="th-TH"/>
              </w:rPr>
              <w:t>Program 7</w:t>
            </w:r>
          </w:p>
        </w:tc>
        <w:tc>
          <w:tcPr>
            <w:tcW w:w="475" w:type="pct"/>
            <w:shd w:val="clear" w:color="auto" w:fill="FFFFFF"/>
          </w:tcPr>
          <w:p w:rsidR="0096152C" w:rsidRPr="00CC3F44" w:rsidRDefault="0096152C" w:rsidP="00547ACE">
            <w:pPr>
              <w:jc w:val="center"/>
              <w:rPr>
                <w:rFonts w:cs="Arial"/>
                <w:color w:val="A6A6A6" w:themeColor="background1" w:themeShade="A6"/>
                <w:sz w:val="22"/>
                <w:szCs w:val="22"/>
              </w:rPr>
            </w:pPr>
            <w:r w:rsidRPr="00CC3F44">
              <w:rPr>
                <w:rFonts w:cs="Arial"/>
                <w:color w:val="008000"/>
                <w:sz w:val="22"/>
                <w:szCs w:val="22"/>
              </w:rPr>
              <w:sym w:font="Wingdings" w:char="F06C"/>
            </w:r>
          </w:p>
        </w:tc>
      </w:tr>
      <w:tr w:rsidR="0096152C" w:rsidRPr="00811500" w:rsidTr="00547ACE">
        <w:trPr>
          <w:cantSplit/>
          <w:trHeight w:val="379"/>
        </w:trPr>
        <w:tc>
          <w:tcPr>
            <w:tcW w:w="1424" w:type="pct"/>
            <w:shd w:val="clear" w:color="auto" w:fill="auto"/>
            <w:tcMar>
              <w:top w:w="113" w:type="dxa"/>
              <w:bottom w:w="113" w:type="dxa"/>
            </w:tcMar>
          </w:tcPr>
          <w:p w:rsidR="0096152C" w:rsidRPr="00811500" w:rsidRDefault="0096152C" w:rsidP="00547ACE">
            <w:pPr>
              <w:rPr>
                <w:rFonts w:cs="Arial"/>
                <w:sz w:val="16"/>
                <w:szCs w:val="16"/>
              </w:rPr>
            </w:pPr>
          </w:p>
        </w:tc>
        <w:tc>
          <w:tcPr>
            <w:tcW w:w="2247" w:type="pct"/>
            <w:shd w:val="clear" w:color="auto" w:fill="auto"/>
            <w:tcMar>
              <w:top w:w="113" w:type="dxa"/>
              <w:bottom w:w="113" w:type="dxa"/>
            </w:tcMar>
          </w:tcPr>
          <w:p w:rsidR="0096152C" w:rsidRPr="00811500" w:rsidRDefault="0096152C" w:rsidP="00547ACE">
            <w:pPr>
              <w:rPr>
                <w:rFonts w:cs="Arial"/>
                <w:sz w:val="16"/>
                <w:szCs w:val="16"/>
              </w:rPr>
            </w:pPr>
            <w:r w:rsidRPr="00811500">
              <w:rPr>
                <w:rFonts w:cs="Arial"/>
                <w:sz w:val="16"/>
                <w:szCs w:val="16"/>
              </w:rPr>
              <w:t>No. of users in transition and developed countries using the AMC services</w:t>
            </w:r>
          </w:p>
        </w:tc>
        <w:tc>
          <w:tcPr>
            <w:tcW w:w="854" w:type="pct"/>
            <w:shd w:val="clear" w:color="auto" w:fill="FFFFFF"/>
            <w:tcMar>
              <w:top w:w="113" w:type="dxa"/>
              <w:bottom w:w="113" w:type="dxa"/>
            </w:tcMar>
          </w:tcPr>
          <w:p w:rsidR="0096152C" w:rsidRPr="00811500" w:rsidRDefault="0096152C" w:rsidP="00547ACE">
            <w:pPr>
              <w:ind w:left="441" w:hanging="413"/>
              <w:jc w:val="center"/>
              <w:rPr>
                <w:rFonts w:cs="Arial"/>
                <w:sz w:val="16"/>
                <w:szCs w:val="16"/>
                <w:lang w:bidi="th-TH"/>
              </w:rPr>
            </w:pPr>
            <w:r w:rsidRPr="00811500">
              <w:rPr>
                <w:rFonts w:cs="Arial"/>
                <w:sz w:val="16"/>
                <w:szCs w:val="16"/>
                <w:lang w:bidi="th-TH"/>
              </w:rPr>
              <w:t>Program 10</w:t>
            </w:r>
          </w:p>
        </w:tc>
        <w:tc>
          <w:tcPr>
            <w:tcW w:w="475" w:type="pct"/>
            <w:shd w:val="clear" w:color="auto" w:fill="FFFFFF"/>
          </w:tcPr>
          <w:p w:rsidR="0096152C" w:rsidRPr="00CC3F44" w:rsidRDefault="0096152C" w:rsidP="00547ACE">
            <w:pPr>
              <w:jc w:val="center"/>
            </w:pPr>
            <w:r w:rsidRPr="00CC3F44">
              <w:rPr>
                <w:rFonts w:cs="Arial"/>
                <w:color w:val="008000"/>
                <w:sz w:val="22"/>
                <w:szCs w:val="22"/>
              </w:rPr>
              <w:sym w:font="Wingdings" w:char="F06C"/>
            </w:r>
          </w:p>
        </w:tc>
      </w:tr>
      <w:tr w:rsidR="0096152C" w:rsidRPr="00811500" w:rsidTr="00547ACE">
        <w:trPr>
          <w:cantSplit/>
          <w:trHeight w:val="289"/>
        </w:trPr>
        <w:tc>
          <w:tcPr>
            <w:tcW w:w="1424" w:type="pct"/>
            <w:shd w:val="clear" w:color="auto" w:fill="auto"/>
            <w:tcMar>
              <w:top w:w="113" w:type="dxa"/>
              <w:bottom w:w="113" w:type="dxa"/>
            </w:tcMar>
          </w:tcPr>
          <w:p w:rsidR="0096152C" w:rsidRPr="00811500" w:rsidRDefault="0096152C" w:rsidP="00547ACE">
            <w:pPr>
              <w:rPr>
                <w:rFonts w:cs="Arial"/>
                <w:sz w:val="16"/>
                <w:szCs w:val="16"/>
              </w:rPr>
            </w:pPr>
            <w:r w:rsidRPr="00811500">
              <w:rPr>
                <w:rFonts w:cs="Arial"/>
                <w:sz w:val="16"/>
                <w:szCs w:val="16"/>
              </w:rPr>
              <w:t>II.9 Effective intellectual property protection in the gTLDs and the ccTLDs</w:t>
            </w:r>
          </w:p>
        </w:tc>
        <w:tc>
          <w:tcPr>
            <w:tcW w:w="2247" w:type="pct"/>
            <w:shd w:val="clear" w:color="auto" w:fill="auto"/>
            <w:tcMar>
              <w:top w:w="113" w:type="dxa"/>
              <w:bottom w:w="113" w:type="dxa"/>
            </w:tcMar>
          </w:tcPr>
          <w:p w:rsidR="0096152C" w:rsidRPr="00811500" w:rsidRDefault="0096152C" w:rsidP="00547ACE">
            <w:pPr>
              <w:rPr>
                <w:rFonts w:cs="Arial"/>
                <w:sz w:val="16"/>
                <w:szCs w:val="16"/>
              </w:rPr>
            </w:pPr>
            <w:r w:rsidRPr="00811500">
              <w:rPr>
                <w:rFonts w:cs="Arial"/>
                <w:sz w:val="16"/>
                <w:szCs w:val="16"/>
              </w:rPr>
              <w:t>No. of gTLD UDRP cases administered</w:t>
            </w:r>
          </w:p>
        </w:tc>
        <w:tc>
          <w:tcPr>
            <w:tcW w:w="854" w:type="pct"/>
            <w:shd w:val="clear" w:color="auto" w:fill="FFFFFF"/>
            <w:tcMar>
              <w:top w:w="113" w:type="dxa"/>
              <w:bottom w:w="113" w:type="dxa"/>
            </w:tcMar>
          </w:tcPr>
          <w:p w:rsidR="0096152C" w:rsidRPr="00811500" w:rsidRDefault="0096152C" w:rsidP="00547ACE">
            <w:pPr>
              <w:ind w:left="441" w:hanging="413"/>
              <w:jc w:val="center"/>
              <w:rPr>
                <w:rFonts w:cs="Arial"/>
                <w:sz w:val="16"/>
                <w:szCs w:val="16"/>
                <w:lang w:bidi="th-TH"/>
              </w:rPr>
            </w:pPr>
            <w:r w:rsidRPr="00811500">
              <w:rPr>
                <w:rFonts w:cs="Arial"/>
                <w:sz w:val="16"/>
                <w:szCs w:val="16"/>
                <w:lang w:bidi="th-TH"/>
              </w:rPr>
              <w:t>Program 7</w:t>
            </w:r>
          </w:p>
        </w:tc>
        <w:tc>
          <w:tcPr>
            <w:tcW w:w="475" w:type="pct"/>
            <w:shd w:val="clear" w:color="auto" w:fill="FFFFFF"/>
          </w:tcPr>
          <w:p w:rsidR="0096152C" w:rsidRPr="00CC3F44" w:rsidRDefault="0096152C" w:rsidP="00547ACE">
            <w:pPr>
              <w:jc w:val="center"/>
            </w:pPr>
            <w:r w:rsidRPr="00CC3F44">
              <w:rPr>
                <w:rFonts w:cs="Arial"/>
                <w:color w:val="008000"/>
                <w:sz w:val="22"/>
                <w:szCs w:val="22"/>
              </w:rPr>
              <w:sym w:font="Wingdings" w:char="F06C"/>
            </w:r>
          </w:p>
        </w:tc>
      </w:tr>
      <w:tr w:rsidR="0096152C" w:rsidRPr="00811500" w:rsidTr="00547ACE">
        <w:trPr>
          <w:cantSplit/>
          <w:trHeight w:val="226"/>
        </w:trPr>
        <w:tc>
          <w:tcPr>
            <w:tcW w:w="1424" w:type="pct"/>
            <w:shd w:val="clear" w:color="auto" w:fill="auto"/>
            <w:tcMar>
              <w:top w:w="113" w:type="dxa"/>
              <w:bottom w:w="113" w:type="dxa"/>
            </w:tcMar>
          </w:tcPr>
          <w:p w:rsidR="0096152C" w:rsidRPr="00811500" w:rsidRDefault="0096152C" w:rsidP="00547ACE">
            <w:pPr>
              <w:rPr>
                <w:rFonts w:cs="Arial"/>
                <w:sz w:val="16"/>
                <w:szCs w:val="16"/>
              </w:rPr>
            </w:pPr>
          </w:p>
        </w:tc>
        <w:tc>
          <w:tcPr>
            <w:tcW w:w="2247" w:type="pct"/>
            <w:shd w:val="clear" w:color="auto" w:fill="auto"/>
            <w:tcMar>
              <w:top w:w="113" w:type="dxa"/>
              <w:bottom w:w="113" w:type="dxa"/>
            </w:tcMar>
          </w:tcPr>
          <w:p w:rsidR="0096152C" w:rsidRPr="00811500" w:rsidRDefault="0096152C" w:rsidP="00547ACE">
            <w:pPr>
              <w:rPr>
                <w:rFonts w:cs="Arial"/>
                <w:sz w:val="16"/>
                <w:szCs w:val="16"/>
              </w:rPr>
            </w:pPr>
            <w:r w:rsidRPr="00811500">
              <w:rPr>
                <w:rFonts w:cs="Arial"/>
                <w:sz w:val="16"/>
                <w:szCs w:val="16"/>
              </w:rPr>
              <w:t>No. of ccTLD UDRP based cases administered</w:t>
            </w:r>
          </w:p>
        </w:tc>
        <w:tc>
          <w:tcPr>
            <w:tcW w:w="854" w:type="pct"/>
            <w:shd w:val="clear" w:color="auto" w:fill="FFFFFF"/>
            <w:tcMar>
              <w:top w:w="113" w:type="dxa"/>
              <w:bottom w:w="113" w:type="dxa"/>
            </w:tcMar>
          </w:tcPr>
          <w:p w:rsidR="0096152C" w:rsidRPr="00811500" w:rsidRDefault="0096152C" w:rsidP="00547ACE">
            <w:pPr>
              <w:ind w:left="441" w:hanging="413"/>
              <w:jc w:val="center"/>
              <w:rPr>
                <w:rFonts w:cs="Arial"/>
                <w:sz w:val="16"/>
                <w:szCs w:val="16"/>
                <w:lang w:bidi="th-TH"/>
              </w:rPr>
            </w:pPr>
            <w:r w:rsidRPr="00811500">
              <w:rPr>
                <w:rFonts w:cs="Arial"/>
                <w:sz w:val="16"/>
                <w:szCs w:val="16"/>
                <w:lang w:bidi="th-TH"/>
              </w:rPr>
              <w:t>Program 7</w:t>
            </w:r>
          </w:p>
        </w:tc>
        <w:tc>
          <w:tcPr>
            <w:tcW w:w="475" w:type="pct"/>
            <w:shd w:val="clear" w:color="auto" w:fill="FFFFFF"/>
          </w:tcPr>
          <w:p w:rsidR="0096152C" w:rsidRPr="00CC3F44" w:rsidRDefault="0096152C" w:rsidP="00547ACE">
            <w:pPr>
              <w:jc w:val="center"/>
            </w:pPr>
            <w:r w:rsidRPr="00CC3F44">
              <w:rPr>
                <w:rFonts w:cs="Arial"/>
                <w:color w:val="008000"/>
                <w:sz w:val="22"/>
                <w:szCs w:val="22"/>
              </w:rPr>
              <w:sym w:font="Wingdings" w:char="F06C"/>
            </w:r>
          </w:p>
        </w:tc>
      </w:tr>
      <w:tr w:rsidR="0096152C" w:rsidRPr="00811500" w:rsidTr="00547ACE">
        <w:trPr>
          <w:cantSplit/>
          <w:trHeight w:val="566"/>
        </w:trPr>
        <w:tc>
          <w:tcPr>
            <w:tcW w:w="1424" w:type="pct"/>
            <w:shd w:val="clear" w:color="auto" w:fill="auto"/>
            <w:tcMar>
              <w:top w:w="113" w:type="dxa"/>
              <w:bottom w:w="113" w:type="dxa"/>
            </w:tcMar>
          </w:tcPr>
          <w:p w:rsidR="0096152C" w:rsidRPr="00811500" w:rsidRDefault="0096152C" w:rsidP="00547ACE">
            <w:pPr>
              <w:rPr>
                <w:rFonts w:cs="Arial"/>
                <w:sz w:val="16"/>
                <w:szCs w:val="16"/>
              </w:rPr>
            </w:pPr>
          </w:p>
        </w:tc>
        <w:tc>
          <w:tcPr>
            <w:tcW w:w="2247" w:type="pct"/>
            <w:shd w:val="clear" w:color="auto" w:fill="auto"/>
            <w:tcMar>
              <w:top w:w="113" w:type="dxa"/>
              <w:bottom w:w="113" w:type="dxa"/>
            </w:tcMar>
          </w:tcPr>
          <w:p w:rsidR="0096152C" w:rsidRPr="00811500" w:rsidRDefault="0096152C" w:rsidP="00547ACE">
            <w:pPr>
              <w:rPr>
                <w:rFonts w:cs="Arial"/>
                <w:sz w:val="16"/>
                <w:szCs w:val="16"/>
              </w:rPr>
            </w:pPr>
            <w:r w:rsidRPr="00811500">
              <w:rPr>
                <w:rFonts w:cs="Arial"/>
                <w:sz w:val="16"/>
                <w:szCs w:val="16"/>
              </w:rPr>
              <w:t>Dispute resolution policies in the Domain Name System to the development and implementation of which policies the Center has contributed</w:t>
            </w:r>
          </w:p>
        </w:tc>
        <w:tc>
          <w:tcPr>
            <w:tcW w:w="854" w:type="pct"/>
            <w:shd w:val="clear" w:color="auto" w:fill="FFFFFF"/>
            <w:tcMar>
              <w:top w:w="113" w:type="dxa"/>
              <w:bottom w:w="113" w:type="dxa"/>
            </w:tcMar>
          </w:tcPr>
          <w:p w:rsidR="0096152C" w:rsidRPr="00811500" w:rsidRDefault="0096152C" w:rsidP="00547ACE">
            <w:pPr>
              <w:ind w:left="441" w:hanging="413"/>
              <w:jc w:val="center"/>
              <w:rPr>
                <w:rFonts w:cs="Arial"/>
                <w:sz w:val="16"/>
                <w:szCs w:val="16"/>
                <w:lang w:bidi="th-TH"/>
              </w:rPr>
            </w:pPr>
            <w:r w:rsidRPr="00811500">
              <w:rPr>
                <w:rFonts w:cs="Arial"/>
                <w:sz w:val="16"/>
                <w:szCs w:val="16"/>
                <w:lang w:bidi="th-TH"/>
              </w:rPr>
              <w:t>Program 7</w:t>
            </w:r>
          </w:p>
        </w:tc>
        <w:tc>
          <w:tcPr>
            <w:tcW w:w="475" w:type="pct"/>
            <w:shd w:val="clear" w:color="auto" w:fill="FFFFFF"/>
          </w:tcPr>
          <w:p w:rsidR="0096152C" w:rsidRPr="00CC3F44" w:rsidRDefault="0096152C" w:rsidP="00547ACE">
            <w:pPr>
              <w:jc w:val="center"/>
            </w:pPr>
            <w:r w:rsidRPr="00CC3F44">
              <w:rPr>
                <w:rFonts w:cs="Arial"/>
                <w:color w:val="008000"/>
                <w:sz w:val="22"/>
                <w:szCs w:val="22"/>
              </w:rPr>
              <w:sym w:font="Wingdings" w:char="F06C"/>
            </w:r>
          </w:p>
        </w:tc>
      </w:tr>
      <w:tr w:rsidR="0096152C" w:rsidRPr="00811500" w:rsidTr="00547ACE">
        <w:trPr>
          <w:cantSplit/>
          <w:trHeight w:val="500"/>
        </w:trPr>
        <w:tc>
          <w:tcPr>
            <w:tcW w:w="1424" w:type="pct"/>
            <w:shd w:val="clear" w:color="auto" w:fill="auto"/>
            <w:tcMar>
              <w:top w:w="113" w:type="dxa"/>
              <w:bottom w:w="113" w:type="dxa"/>
            </w:tcMar>
          </w:tcPr>
          <w:p w:rsidR="0096152C" w:rsidRPr="00811500" w:rsidRDefault="0096152C" w:rsidP="00547ACE">
            <w:pPr>
              <w:rPr>
                <w:rFonts w:cs="Arial"/>
                <w:sz w:val="16"/>
                <w:szCs w:val="16"/>
              </w:rPr>
            </w:pPr>
          </w:p>
        </w:tc>
        <w:tc>
          <w:tcPr>
            <w:tcW w:w="2247" w:type="pct"/>
            <w:shd w:val="clear" w:color="auto" w:fill="auto"/>
            <w:tcMar>
              <w:top w:w="113" w:type="dxa"/>
              <w:bottom w:w="113" w:type="dxa"/>
            </w:tcMar>
          </w:tcPr>
          <w:p w:rsidR="0096152C" w:rsidRPr="00811500" w:rsidRDefault="0096152C" w:rsidP="00547ACE">
            <w:pPr>
              <w:rPr>
                <w:rFonts w:cs="Arial"/>
                <w:sz w:val="16"/>
                <w:szCs w:val="16"/>
              </w:rPr>
            </w:pPr>
            <w:r w:rsidRPr="00811500">
              <w:rPr>
                <w:rFonts w:cs="Arial"/>
                <w:sz w:val="16"/>
                <w:szCs w:val="16"/>
              </w:rPr>
              <w:t>No. of ccTLD administrators with WIPO assisted design or administration of intellectual property protection mechanisms in accordance with international standards</w:t>
            </w:r>
          </w:p>
        </w:tc>
        <w:tc>
          <w:tcPr>
            <w:tcW w:w="854" w:type="pct"/>
            <w:shd w:val="clear" w:color="auto" w:fill="FFFFFF"/>
            <w:tcMar>
              <w:top w:w="113" w:type="dxa"/>
              <w:bottom w:w="113" w:type="dxa"/>
            </w:tcMar>
          </w:tcPr>
          <w:p w:rsidR="0096152C" w:rsidRPr="00811500" w:rsidRDefault="0096152C" w:rsidP="00547ACE">
            <w:pPr>
              <w:ind w:left="441" w:hanging="413"/>
              <w:jc w:val="center"/>
              <w:rPr>
                <w:rFonts w:cs="Arial"/>
                <w:sz w:val="16"/>
                <w:szCs w:val="16"/>
                <w:lang w:bidi="th-TH"/>
              </w:rPr>
            </w:pPr>
            <w:r w:rsidRPr="00811500">
              <w:rPr>
                <w:rFonts w:cs="Arial"/>
                <w:sz w:val="16"/>
                <w:szCs w:val="16"/>
                <w:lang w:bidi="th-TH"/>
              </w:rPr>
              <w:t>Program 7</w:t>
            </w:r>
          </w:p>
        </w:tc>
        <w:tc>
          <w:tcPr>
            <w:tcW w:w="475" w:type="pct"/>
            <w:shd w:val="clear" w:color="auto" w:fill="FFFFFF"/>
          </w:tcPr>
          <w:p w:rsidR="0096152C" w:rsidRPr="00CC3F44" w:rsidRDefault="0096152C" w:rsidP="00547ACE">
            <w:pPr>
              <w:jc w:val="center"/>
              <w:rPr>
                <w:color w:val="E26B0A"/>
              </w:rPr>
            </w:pPr>
            <w:r w:rsidRPr="00CC3F44">
              <w:rPr>
                <w:rFonts w:cs="Arial"/>
                <w:color w:val="E26B0A"/>
                <w:sz w:val="22"/>
                <w:szCs w:val="22"/>
              </w:rPr>
              <w:sym w:font="Wingdings" w:char="F06C"/>
            </w:r>
          </w:p>
        </w:tc>
      </w:tr>
    </w:tbl>
    <w:p w:rsidR="0096152C" w:rsidRPr="00C15CF2" w:rsidRDefault="0096152C" w:rsidP="0096152C"/>
    <w:p w:rsidR="000C2991" w:rsidRDefault="000C2991">
      <w:r>
        <w:br w:type="page"/>
      </w:r>
    </w:p>
    <w:p w:rsidR="009613E8" w:rsidRPr="00DB6380" w:rsidRDefault="009613E8" w:rsidP="00F11DB9">
      <w:pPr>
        <w:pStyle w:val="Heading2"/>
        <w:tabs>
          <w:tab w:val="clear" w:pos="567"/>
          <w:tab w:val="clear" w:pos="9072"/>
        </w:tabs>
        <w:spacing w:before="240" w:after="60"/>
        <w:ind w:left="1985" w:hanging="1985"/>
        <w:rPr>
          <w:rFonts w:eastAsia="SimSun"/>
          <w:bCs w:val="0"/>
          <w:caps/>
          <w:szCs w:val="22"/>
          <w:lang w:eastAsia="zh-CN"/>
        </w:rPr>
      </w:pPr>
      <w:bookmarkStart w:id="61" w:name="_Toc422210482"/>
      <w:bookmarkStart w:id="62" w:name="_Toc454544467"/>
      <w:r w:rsidRPr="00DB6380">
        <w:rPr>
          <w:rFonts w:eastAsia="SimSun"/>
          <w:bCs w:val="0"/>
          <w:caps/>
          <w:szCs w:val="22"/>
          <w:lang w:eastAsia="zh-CN"/>
        </w:rPr>
        <w:lastRenderedPageBreak/>
        <w:t>PROGRAM 5</w:t>
      </w:r>
      <w:r w:rsidRPr="00DB6380">
        <w:rPr>
          <w:rFonts w:eastAsia="SimSun"/>
          <w:bCs w:val="0"/>
          <w:caps/>
          <w:szCs w:val="22"/>
          <w:lang w:eastAsia="zh-CN"/>
        </w:rPr>
        <w:tab/>
        <w:t>THE PCT SYSTEM</w:t>
      </w:r>
      <w:bookmarkEnd w:id="61"/>
      <w:bookmarkEnd w:id="62"/>
    </w:p>
    <w:p w:rsidR="009613E8" w:rsidRPr="00DB6380" w:rsidRDefault="009613E8" w:rsidP="00F11DB9">
      <w:pPr>
        <w:rPr>
          <w:szCs w:val="20"/>
        </w:rPr>
      </w:pPr>
    </w:p>
    <w:p w:rsidR="009613E8" w:rsidRPr="00DB6380" w:rsidRDefault="009613E8" w:rsidP="00F11DB9">
      <w:pPr>
        <w:tabs>
          <w:tab w:val="left" w:pos="1985"/>
        </w:tabs>
        <w:rPr>
          <w:b/>
          <w:szCs w:val="22"/>
        </w:rPr>
      </w:pPr>
      <w:r w:rsidRPr="00DB6380">
        <w:rPr>
          <w:b/>
          <w:szCs w:val="22"/>
        </w:rPr>
        <w:t>Program Manager</w:t>
      </w:r>
      <w:r w:rsidRPr="00DB6380">
        <w:rPr>
          <w:b/>
          <w:szCs w:val="22"/>
        </w:rPr>
        <w:tab/>
        <w:t>Mr. J. Sandage</w:t>
      </w:r>
    </w:p>
    <w:p w:rsidR="009613E8" w:rsidRPr="00DB6380" w:rsidRDefault="009613E8" w:rsidP="00F11DB9">
      <w:pPr>
        <w:rPr>
          <w:sz w:val="18"/>
          <w:szCs w:val="20"/>
        </w:rPr>
      </w:pPr>
    </w:p>
    <w:p w:rsidR="009613E8" w:rsidRPr="00DB6380" w:rsidRDefault="009613E8" w:rsidP="00F11DB9"/>
    <w:p w:rsidR="009613E8" w:rsidRPr="00D14507" w:rsidRDefault="009613E8" w:rsidP="00F11DB9">
      <w:pPr>
        <w:rPr>
          <w:bCs/>
          <w:szCs w:val="22"/>
        </w:rPr>
      </w:pPr>
      <w:r w:rsidRPr="00D14507">
        <w:rPr>
          <w:bCs/>
          <w:szCs w:val="22"/>
        </w:rPr>
        <w:t>ACHIEVEMENTS IN THE 2014/15 BIENNIUM</w:t>
      </w:r>
    </w:p>
    <w:p w:rsidR="009613E8" w:rsidRPr="00DB6380" w:rsidRDefault="009613E8" w:rsidP="00F11DB9">
      <w:pPr>
        <w:rPr>
          <w:bCs/>
          <w:sz w:val="22"/>
          <w:szCs w:val="22"/>
        </w:rPr>
      </w:pPr>
    </w:p>
    <w:p w:rsidR="009613E8" w:rsidRPr="00DB6380" w:rsidRDefault="009613E8" w:rsidP="009613E8">
      <w:pPr>
        <w:pStyle w:val="ListParagraph"/>
        <w:numPr>
          <w:ilvl w:val="0"/>
          <w:numId w:val="24"/>
        </w:numPr>
        <w:tabs>
          <w:tab w:val="left" w:pos="0"/>
          <w:tab w:val="left" w:pos="567"/>
        </w:tabs>
        <w:ind w:left="0" w:firstLine="0"/>
        <w:jc w:val="both"/>
        <w:rPr>
          <w:rFonts w:cs="Arial"/>
          <w:lang w:val="en-GB"/>
        </w:rPr>
      </w:pPr>
      <w:r w:rsidRPr="00DB6380">
        <w:rPr>
          <w:rFonts w:cs="Arial"/>
        </w:rPr>
        <w:t>The International Bureau</w:t>
      </w:r>
      <w:r>
        <w:rPr>
          <w:rFonts w:cs="Arial"/>
        </w:rPr>
        <w:t xml:space="preserve"> (IB)</w:t>
      </w:r>
      <w:r w:rsidRPr="00DB6380">
        <w:rPr>
          <w:rFonts w:cs="Arial"/>
        </w:rPr>
        <w:t xml:space="preserve"> received </w:t>
      </w:r>
      <w:r w:rsidRPr="00DB6380">
        <w:rPr>
          <w:rFonts w:cs="Arial"/>
          <w:lang w:eastAsia="zh-CN"/>
        </w:rPr>
        <w:t>approximately</w:t>
      </w:r>
      <w:r w:rsidRPr="00DB6380">
        <w:rPr>
          <w:rFonts w:cs="Arial"/>
        </w:rPr>
        <w:t xml:space="preserve"> 217,000 record copies in 2015, representing a decrease of 0.3 per cent compared to 2014.</w:t>
      </w:r>
      <w:r>
        <w:rPr>
          <w:rFonts w:cs="Arial"/>
        </w:rPr>
        <w:t xml:space="preserve"> </w:t>
      </w:r>
      <w:r w:rsidRPr="00DB6380">
        <w:rPr>
          <w:rFonts w:cs="Arial"/>
        </w:rPr>
        <w:t xml:space="preserve"> One of the main reasons for the decrease </w:t>
      </w:r>
      <w:r>
        <w:rPr>
          <w:rFonts w:cs="Arial"/>
        </w:rPr>
        <w:t>was</w:t>
      </w:r>
      <w:r w:rsidRPr="00DB6380">
        <w:rPr>
          <w:rFonts w:cs="Arial"/>
        </w:rPr>
        <w:t xml:space="preserve"> the spike in filings</w:t>
      </w:r>
      <w:r>
        <w:rPr>
          <w:rFonts w:cs="Arial"/>
        </w:rPr>
        <w:t xml:space="preserve"> from the United States of America</w:t>
      </w:r>
      <w:r w:rsidRPr="00DB6380">
        <w:rPr>
          <w:rFonts w:cs="Arial"/>
        </w:rPr>
        <w:t xml:space="preserve"> in March 2014 that was due to </w:t>
      </w:r>
      <w:r>
        <w:rPr>
          <w:rFonts w:cs="Arial"/>
        </w:rPr>
        <w:t xml:space="preserve">the entering into force of the </w:t>
      </w:r>
      <w:r w:rsidRPr="00DB6380">
        <w:rPr>
          <w:rFonts w:cs="Arial"/>
        </w:rPr>
        <w:t>Leahy-Smith America Invents Act one year earlier.  A total of approximately 435,000 record copies have been received in the 2014/15 biennium, which represents an increase of nine per cent compared to the 2012/13 biennium</w:t>
      </w:r>
      <w:r>
        <w:rPr>
          <w:rFonts w:cs="Arial"/>
        </w:rPr>
        <w:t>,</w:t>
      </w:r>
      <w:r w:rsidRPr="00DB6380">
        <w:rPr>
          <w:rFonts w:cs="Arial"/>
        </w:rPr>
        <w:t xml:space="preserve"> approximately 399,000 record copies in total. </w:t>
      </w:r>
      <w:r>
        <w:rPr>
          <w:rFonts w:cs="Arial"/>
        </w:rPr>
        <w:t xml:space="preserve"> </w:t>
      </w:r>
      <w:r w:rsidRPr="00DB6380">
        <w:rPr>
          <w:rFonts w:cs="Arial"/>
        </w:rPr>
        <w:t>The share of fully electronic filings continued to increase in 2015 and now represents 94 per cent of total filings.  While English accounted for the largest proportion of filings</w:t>
      </w:r>
      <w:r>
        <w:rPr>
          <w:rFonts w:cs="Arial"/>
        </w:rPr>
        <w:t>,</w:t>
      </w:r>
      <w:r w:rsidRPr="00DB6380">
        <w:rPr>
          <w:rFonts w:cs="Arial"/>
        </w:rPr>
        <w:t xml:space="preserve"> with 48.6 per cent in 2014/15, the share of Asian languages has increased over the past decade. </w:t>
      </w:r>
      <w:r>
        <w:rPr>
          <w:rFonts w:cs="Arial"/>
        </w:rPr>
        <w:t xml:space="preserve"> </w:t>
      </w:r>
      <w:r w:rsidRPr="00DB6380">
        <w:rPr>
          <w:rFonts w:cs="Arial"/>
          <w:lang w:val="en-GB"/>
        </w:rPr>
        <w:t>The combined share of the PCT applications filed in Japanese, Chinese and Korean has increased from 29.5</w:t>
      </w:r>
      <w:r>
        <w:rPr>
          <w:rFonts w:cs="Arial"/>
          <w:lang w:val="en-GB"/>
        </w:rPr>
        <w:t xml:space="preserve"> </w:t>
      </w:r>
      <w:r w:rsidRPr="00DB6380">
        <w:rPr>
          <w:rFonts w:cs="Arial"/>
          <w:lang w:val="en-GB"/>
        </w:rPr>
        <w:t xml:space="preserve">per cent in 2009 to 37.6 per cent in 2015. </w:t>
      </w:r>
    </w:p>
    <w:p w:rsidR="009613E8" w:rsidRPr="00DB6380" w:rsidRDefault="009613E8" w:rsidP="00F11DB9">
      <w:pPr>
        <w:tabs>
          <w:tab w:val="left" w:pos="709"/>
        </w:tabs>
        <w:autoSpaceDE w:val="0"/>
        <w:autoSpaceDN w:val="0"/>
        <w:adjustRightInd w:val="0"/>
        <w:jc w:val="both"/>
        <w:rPr>
          <w:rFonts w:cs="Arial"/>
          <w:szCs w:val="20"/>
          <w:lang w:val="en-GB"/>
        </w:rPr>
      </w:pPr>
    </w:p>
    <w:p w:rsidR="009613E8" w:rsidRPr="00DB6380" w:rsidRDefault="009613E8" w:rsidP="009613E8">
      <w:pPr>
        <w:pStyle w:val="ListParagraph"/>
        <w:numPr>
          <w:ilvl w:val="0"/>
          <w:numId w:val="24"/>
        </w:numPr>
        <w:tabs>
          <w:tab w:val="left" w:pos="0"/>
          <w:tab w:val="left" w:pos="567"/>
        </w:tabs>
        <w:ind w:left="0" w:firstLine="0"/>
        <w:jc w:val="both"/>
      </w:pPr>
      <w:r w:rsidRPr="00DB6380">
        <w:rPr>
          <w:rFonts w:cs="Arial"/>
        </w:rPr>
        <w:t>Use of the ePCT system increased significantly in 2014/15</w:t>
      </w:r>
      <w:r>
        <w:rPr>
          <w:rFonts w:cs="Arial"/>
        </w:rPr>
        <w:t>,</w:t>
      </w:r>
      <w:r w:rsidRPr="00DB6380">
        <w:rPr>
          <w:rFonts w:cs="Arial"/>
        </w:rPr>
        <w:t xml:space="preserve"> with the interface becoming available in all 10 languages of publication </w:t>
      </w:r>
      <w:r>
        <w:rPr>
          <w:rFonts w:cs="Arial"/>
        </w:rPr>
        <w:t>in</w:t>
      </w:r>
      <w:r w:rsidRPr="00DB6380">
        <w:rPr>
          <w:rFonts w:cs="Arial"/>
        </w:rPr>
        <w:t xml:space="preserve"> April 2015, </w:t>
      </w:r>
      <w:r>
        <w:rPr>
          <w:rFonts w:cs="Arial"/>
        </w:rPr>
        <w:t xml:space="preserve">thus </w:t>
      </w:r>
      <w:r w:rsidRPr="00DB6380">
        <w:rPr>
          <w:rFonts w:cs="Arial"/>
        </w:rPr>
        <w:t xml:space="preserve">offering easier access for applicants and Offices from around the world.  The ePCT-filing functionality, which in 2013 was only available to the </w:t>
      </w:r>
      <w:r w:rsidRPr="008A6C3D">
        <w:rPr>
          <w:rFonts w:cs="Arial"/>
        </w:rPr>
        <w:t xml:space="preserve">IB receiving Office B, was made accessible in 2014/15 to all receiving Offices willing to receive and process international applications.  By the end of 2015, 29 receiving Offices had, with the assistance of the IB, begun to accept </w:t>
      </w:r>
      <w:r w:rsidRPr="009B345B">
        <w:rPr>
          <w:rFonts w:cs="Arial"/>
        </w:rPr>
        <w:t xml:space="preserve">applications filed via ePCT filing, including from developing countries such as Algeria, </w:t>
      </w:r>
      <w:r w:rsidRPr="009B345B">
        <w:t xml:space="preserve">Azerbaijan, Brazil, Chile, Colombia, </w:t>
      </w:r>
      <w:r w:rsidRPr="008A6C3D">
        <w:t>India, Malaysia, Mexico, Saudi Arabia and South Africa</w:t>
      </w:r>
      <w:r w:rsidRPr="008A6C3D">
        <w:rPr>
          <w:rFonts w:cs="Arial"/>
        </w:rPr>
        <w:t xml:space="preserve"> – which had not previously offered their applicants the possibility of online filing of international applications – in line with DA Recommendations under Cluster A on technical assistance and capacity building.  Other countries were in various stages of testing, while 34 receiving Offices and eight International Authorities allowed for submission of post-filing documents via ePCT.  Moreover, a new service,</w:t>
      </w:r>
      <w:r w:rsidRPr="00DB6380">
        <w:rPr>
          <w:rFonts w:cs="Arial"/>
        </w:rPr>
        <w:t xml:space="preserve"> eSearchCopy, began as a trial in 2014, where the IB prepares and transmits search copies to the International Searching Authority</w:t>
      </w:r>
      <w:r>
        <w:rPr>
          <w:rFonts w:cs="Arial"/>
        </w:rPr>
        <w:t xml:space="preserve"> (ISA)</w:t>
      </w:r>
      <w:r w:rsidRPr="00DB6380">
        <w:rPr>
          <w:rFonts w:cs="Arial"/>
        </w:rPr>
        <w:t xml:space="preserve"> on behalf of the receiving Office to improve timeliness and efficiencies in international search.  By the end of 2015, the service was in use between 28 pairs of Offices, including six ISAs and 15 receiving Offices.</w:t>
      </w:r>
    </w:p>
    <w:p w:rsidR="009613E8" w:rsidRPr="00DB6380" w:rsidRDefault="009613E8" w:rsidP="00F11DB9">
      <w:pPr>
        <w:tabs>
          <w:tab w:val="left" w:pos="709"/>
        </w:tabs>
        <w:autoSpaceDE w:val="0"/>
        <w:autoSpaceDN w:val="0"/>
        <w:adjustRightInd w:val="0"/>
        <w:jc w:val="both"/>
        <w:rPr>
          <w:rFonts w:cs="Arial"/>
          <w:szCs w:val="20"/>
        </w:rPr>
      </w:pPr>
    </w:p>
    <w:p w:rsidR="009613E8" w:rsidRPr="00DB6380" w:rsidRDefault="009613E8" w:rsidP="009613E8">
      <w:pPr>
        <w:pStyle w:val="ListParagraph"/>
        <w:numPr>
          <w:ilvl w:val="0"/>
          <w:numId w:val="24"/>
        </w:numPr>
        <w:tabs>
          <w:tab w:val="left" w:pos="0"/>
          <w:tab w:val="left" w:pos="567"/>
        </w:tabs>
        <w:ind w:left="0" w:firstLine="0"/>
        <w:jc w:val="both"/>
      </w:pPr>
      <w:r w:rsidRPr="00DB6380">
        <w:t xml:space="preserve">At its </w:t>
      </w:r>
      <w:r w:rsidRPr="00D14507">
        <w:rPr>
          <w:rFonts w:cs="Arial"/>
        </w:rPr>
        <w:t>seventh</w:t>
      </w:r>
      <w:r w:rsidRPr="00DB6380">
        <w:t xml:space="preserve"> and eighth sessions, held in 2014 and 2015, the PCT Working Group continued its discussions on a number of proposals aimed at improving the functioning of the PCT system</w:t>
      </w:r>
      <w:r>
        <w:t>.  Discussions were</w:t>
      </w:r>
      <w:r w:rsidRPr="00DB6380">
        <w:t xml:space="preserve"> in line with recommendations endorsed by the Working Group at its third session, which include recommendations as to how the future development of the PCT can be matched with applicable DA </w:t>
      </w:r>
      <w:r>
        <w:t>R</w:t>
      </w:r>
      <w:r w:rsidRPr="00DB6380">
        <w:t>ecommendations</w:t>
      </w:r>
      <w:r>
        <w:t xml:space="preserve"> –</w:t>
      </w:r>
      <w:r w:rsidRPr="00DB6380">
        <w:t xml:space="preserve"> notably from Clusters A and C.  Particular achievements in 2014 included</w:t>
      </w:r>
      <w:r>
        <w:t xml:space="preserve">: </w:t>
      </w:r>
      <w:r w:rsidRPr="00DB6380">
        <w:t xml:space="preserve"> </w:t>
      </w:r>
      <w:r>
        <w:t xml:space="preserve">(i) </w:t>
      </w:r>
      <w:r w:rsidRPr="00DB6380">
        <w:t>agreement on new eligibility criteria for fee reductions for applicants from certain countries, which expanded the number of developing countries and LDCs benefitting from such fee reductions</w:t>
      </w:r>
      <w:r>
        <w:t>;</w:t>
      </w:r>
      <w:r w:rsidRPr="00DB6380">
        <w:t xml:space="preserve"> and </w:t>
      </w:r>
      <w:r>
        <w:t xml:space="preserve">(ii) </w:t>
      </w:r>
      <w:r w:rsidRPr="00DB6380">
        <w:t>a revised procedure for the appointment of new International Searching and Preliminary Examining Authorities to help ensure that prospective Authorities have the infrastructure and resources to perform this role.  Notable achievements in 2015 included</w:t>
      </w:r>
      <w:r>
        <w:t xml:space="preserve">: </w:t>
      </w:r>
      <w:r w:rsidRPr="00DB6380">
        <w:t xml:space="preserve"> </w:t>
      </w:r>
      <w:r>
        <w:t xml:space="preserve">(i) </w:t>
      </w:r>
      <w:r w:rsidRPr="00DB6380">
        <w:t>agreement to forward search and classification results from earlier applications to International Searching Authorities to bring about further efficiencies and contribute to raising quality in international search</w:t>
      </w:r>
      <w:proofErr w:type="gramStart"/>
      <w:r>
        <w:t xml:space="preserve">; </w:t>
      </w:r>
      <w:r w:rsidRPr="00DB6380">
        <w:t xml:space="preserve"> and</w:t>
      </w:r>
      <w:proofErr w:type="gramEnd"/>
      <w:r w:rsidRPr="00DB6380">
        <w:t xml:space="preserve"> </w:t>
      </w:r>
      <w:r>
        <w:t xml:space="preserve">(ii) </w:t>
      </w:r>
      <w:r w:rsidRPr="00DB6380">
        <w:t xml:space="preserve">agreement to require designated Offices to send timely information to the IB on applications in the national phase, which will significantly improve information on pending and granted national patent rights.  The IB also presented estimations on how responsive PCT filings are to changes in the international filing fee, showing simulations on the effect of possible fee reductions for universities and public research organizations in both developed and developing countries. </w:t>
      </w:r>
    </w:p>
    <w:p w:rsidR="009613E8" w:rsidRPr="00DB6380" w:rsidRDefault="009613E8" w:rsidP="00F11DB9">
      <w:pPr>
        <w:tabs>
          <w:tab w:val="left" w:pos="709"/>
        </w:tabs>
        <w:autoSpaceDE w:val="0"/>
        <w:autoSpaceDN w:val="0"/>
        <w:adjustRightInd w:val="0"/>
        <w:jc w:val="both"/>
        <w:rPr>
          <w:rFonts w:cs="Arial"/>
          <w:szCs w:val="20"/>
        </w:rPr>
      </w:pPr>
    </w:p>
    <w:p w:rsidR="009613E8" w:rsidRPr="00DB6380" w:rsidRDefault="009613E8" w:rsidP="009613E8">
      <w:pPr>
        <w:pStyle w:val="ListParagraph"/>
        <w:numPr>
          <w:ilvl w:val="0"/>
          <w:numId w:val="24"/>
        </w:numPr>
        <w:tabs>
          <w:tab w:val="left" w:pos="0"/>
          <w:tab w:val="left" w:pos="567"/>
        </w:tabs>
        <w:ind w:left="0" w:firstLine="0"/>
        <w:jc w:val="both"/>
      </w:pPr>
      <w:r w:rsidRPr="00DB6380">
        <w:t xml:space="preserve">The </w:t>
      </w:r>
      <w:r w:rsidRPr="00D14507">
        <w:rPr>
          <w:rFonts w:cs="Arial"/>
        </w:rPr>
        <w:t>Program</w:t>
      </w:r>
      <w:r w:rsidRPr="00DB6380">
        <w:t xml:space="preserve"> continued to devote an important part of its work and resources to technical cooperation and assistance to developing countries and LDCs.  Training and capacity building activities were conducted with the goal of assisting both PCT Member States and States considering accession to the PCT to strengthen national capacity for protection of national creativity and innovati</w:t>
      </w:r>
      <w:r>
        <w:t xml:space="preserve">on, in accordance with DA Recommendation 1.  </w:t>
      </w:r>
      <w:r w:rsidRPr="00DB6380">
        <w:t>The activities were demand-driven, develop</w:t>
      </w:r>
      <w:r>
        <w:t xml:space="preserve">ment-oriented and transparent.  </w:t>
      </w:r>
      <w:r w:rsidRPr="00DB6380">
        <w:t xml:space="preserve">They were developed in coordination with the local organizers, taking into account the level of PCT awareness, technical knowledge, and PCT-related skills of the participants and covered </w:t>
      </w:r>
      <w:r>
        <w:t xml:space="preserve">a </w:t>
      </w:r>
      <w:r w:rsidRPr="00DB6380">
        <w:t>wide range of PCT aspects</w:t>
      </w:r>
      <w:r>
        <w:t>,</w:t>
      </w:r>
      <w:r w:rsidRPr="00DB6380">
        <w:t xml:space="preserve"> including ePCT and examination af</w:t>
      </w:r>
      <w:r>
        <w:t xml:space="preserve">ter entry into the national phase.  </w:t>
      </w:r>
      <w:r w:rsidRPr="00DB6380">
        <w:t xml:space="preserve">These activities </w:t>
      </w:r>
      <w:r w:rsidRPr="00DB6380">
        <w:lastRenderedPageBreak/>
        <w:t>contributed to strengthening the capacities of PCT Member States and States considering accession to the PCT by enhancing local knowledge of and skills in utilizing the PCT System.</w:t>
      </w:r>
    </w:p>
    <w:p w:rsidR="009613E8" w:rsidRPr="00DB6380" w:rsidRDefault="009613E8" w:rsidP="00F11DB9">
      <w:pPr>
        <w:tabs>
          <w:tab w:val="left" w:pos="709"/>
        </w:tabs>
        <w:autoSpaceDE w:val="0"/>
        <w:autoSpaceDN w:val="0"/>
        <w:adjustRightInd w:val="0"/>
        <w:jc w:val="both"/>
        <w:rPr>
          <w:rFonts w:cs="Arial"/>
          <w:szCs w:val="20"/>
        </w:rPr>
      </w:pPr>
    </w:p>
    <w:p w:rsidR="009613E8" w:rsidRPr="00DB6380" w:rsidRDefault="009613E8" w:rsidP="009613E8">
      <w:pPr>
        <w:pStyle w:val="ListParagraph"/>
        <w:numPr>
          <w:ilvl w:val="0"/>
          <w:numId w:val="24"/>
        </w:numPr>
        <w:tabs>
          <w:tab w:val="left" w:pos="0"/>
          <w:tab w:val="left" w:pos="567"/>
        </w:tabs>
        <w:ind w:left="0" w:firstLine="0"/>
        <w:jc w:val="both"/>
        <w:rPr>
          <w:rFonts w:cs="Arial"/>
          <w:color w:val="000000"/>
        </w:rPr>
      </w:pPr>
      <w:r w:rsidRPr="00DB6380">
        <w:rPr>
          <w:rFonts w:cs="Arial"/>
        </w:rPr>
        <w:t>Awareness of the PCT among users and potential users was enhanced in 2014/15 through a variety of training and outreach activities, including 111 seminars, 101 presentations, 25 webinars and 67</w:t>
      </w:r>
      <w:r>
        <w:rPr>
          <w:rFonts w:cs="Arial"/>
        </w:rPr>
        <w:t> </w:t>
      </w:r>
      <w:r w:rsidRPr="00DB6380">
        <w:rPr>
          <w:rFonts w:cs="Arial"/>
        </w:rPr>
        <w:t xml:space="preserve">user visits.  In addition, the PCT </w:t>
      </w:r>
      <w:r>
        <w:rPr>
          <w:rFonts w:cs="Arial"/>
        </w:rPr>
        <w:t>I</w:t>
      </w:r>
      <w:r w:rsidRPr="00DB6380">
        <w:rPr>
          <w:rFonts w:cs="Arial"/>
        </w:rPr>
        <w:t xml:space="preserve">nformation </w:t>
      </w:r>
      <w:r>
        <w:rPr>
          <w:rFonts w:cs="Arial"/>
        </w:rPr>
        <w:t>S</w:t>
      </w:r>
      <w:r w:rsidRPr="00DB6380">
        <w:rPr>
          <w:rFonts w:cs="Arial"/>
        </w:rPr>
        <w:t>ervice responded to 23,618 PCT-related inquiries from PCT users and potential users (an average of 49 inquiries per day)</w:t>
      </w:r>
      <w:r>
        <w:rPr>
          <w:rFonts w:cs="Arial"/>
        </w:rPr>
        <w:t>,</w:t>
      </w:r>
      <w:r w:rsidRPr="00DB6380">
        <w:rPr>
          <w:rFonts w:cs="Arial"/>
        </w:rPr>
        <w:t xml:space="preserve"> and the PCT Legal Division resolved 2,408 “special handling” cases during the year. </w:t>
      </w:r>
    </w:p>
    <w:p w:rsidR="009613E8" w:rsidRPr="00DB6380" w:rsidRDefault="009613E8" w:rsidP="00F11DB9">
      <w:pPr>
        <w:pStyle w:val="ListParagraph"/>
        <w:rPr>
          <w:rFonts w:cs="Arial"/>
        </w:rPr>
      </w:pPr>
    </w:p>
    <w:p w:rsidR="009613E8" w:rsidRPr="00DB6380" w:rsidRDefault="009613E8" w:rsidP="009613E8">
      <w:pPr>
        <w:pStyle w:val="ListParagraph"/>
        <w:numPr>
          <w:ilvl w:val="0"/>
          <w:numId w:val="24"/>
        </w:numPr>
        <w:tabs>
          <w:tab w:val="left" w:pos="0"/>
          <w:tab w:val="left" w:pos="567"/>
        </w:tabs>
        <w:ind w:left="0" w:firstLine="0"/>
        <w:jc w:val="both"/>
        <w:rPr>
          <w:rFonts w:cs="Arial"/>
        </w:rPr>
      </w:pPr>
      <w:r w:rsidRPr="00DB6380">
        <w:rPr>
          <w:rFonts w:cs="Arial"/>
        </w:rPr>
        <w:t xml:space="preserve">The </w:t>
      </w:r>
      <w:r>
        <w:rPr>
          <w:rFonts w:cs="Arial"/>
        </w:rPr>
        <w:t>IB</w:t>
      </w:r>
      <w:r w:rsidRPr="00DB6380">
        <w:rPr>
          <w:rFonts w:cs="Arial"/>
        </w:rPr>
        <w:t xml:space="preserve"> continued to improve and expand automation of certain processes relating to formalities examination of PCT international applications.  In addition to the applications filed electronical</w:t>
      </w:r>
      <w:r>
        <w:rPr>
          <w:rFonts w:cs="Arial"/>
        </w:rPr>
        <w:t>ly in XML and PDF format, the IB</w:t>
      </w:r>
      <w:r w:rsidRPr="00DB6380">
        <w:rPr>
          <w:rFonts w:cs="Arial"/>
        </w:rPr>
        <w:t xml:space="preserve"> made significant progress in automatically processing the </w:t>
      </w:r>
      <w:r>
        <w:rPr>
          <w:rFonts w:cs="Arial"/>
        </w:rPr>
        <w:t>i</w:t>
      </w:r>
      <w:r w:rsidRPr="00DB6380">
        <w:rPr>
          <w:rFonts w:cs="Arial"/>
        </w:rPr>
        <w:t xml:space="preserve">nternational </w:t>
      </w:r>
      <w:r>
        <w:rPr>
          <w:rFonts w:cs="Arial"/>
        </w:rPr>
        <w:t>s</w:t>
      </w:r>
      <w:r w:rsidRPr="00DB6380">
        <w:rPr>
          <w:rFonts w:cs="Arial"/>
        </w:rPr>
        <w:t xml:space="preserve">earch </w:t>
      </w:r>
      <w:r>
        <w:rPr>
          <w:rFonts w:cs="Arial"/>
        </w:rPr>
        <w:t>r</w:t>
      </w:r>
      <w:r w:rsidRPr="00DB6380">
        <w:rPr>
          <w:rFonts w:cs="Arial"/>
        </w:rPr>
        <w:t xml:space="preserve">eports and </w:t>
      </w:r>
      <w:r>
        <w:rPr>
          <w:rFonts w:cs="Arial"/>
        </w:rPr>
        <w:t>w</w:t>
      </w:r>
      <w:r w:rsidRPr="00DB6380">
        <w:rPr>
          <w:rFonts w:cs="Arial"/>
        </w:rPr>
        <w:t xml:space="preserve">ritten </w:t>
      </w:r>
      <w:r>
        <w:rPr>
          <w:rFonts w:cs="Arial"/>
        </w:rPr>
        <w:t>o</w:t>
      </w:r>
      <w:r w:rsidRPr="00DB6380">
        <w:rPr>
          <w:rFonts w:cs="Arial"/>
        </w:rPr>
        <w:t xml:space="preserve">pinions received from China, Japan, the Republic of Korea and the European Patent Office in XML and PDF format.  This improved the productivity and the quality of the formalities examination of PCT international applications in the biennium, which enabled the </w:t>
      </w:r>
      <w:r>
        <w:rPr>
          <w:rFonts w:cs="Arial"/>
        </w:rPr>
        <w:t xml:space="preserve">IB </w:t>
      </w:r>
      <w:r w:rsidRPr="00DB6380">
        <w:rPr>
          <w:rFonts w:cs="Arial"/>
        </w:rPr>
        <w:t xml:space="preserve">to absorb the continued workload increase with fewer staff, while maintaining a high quality of service. </w:t>
      </w:r>
      <w:r>
        <w:rPr>
          <w:rFonts w:cs="Arial"/>
        </w:rPr>
        <w:t xml:space="preserve"> </w:t>
      </w:r>
      <w:r w:rsidRPr="00DB6380">
        <w:rPr>
          <w:rFonts w:cs="Arial"/>
        </w:rPr>
        <w:t xml:space="preserve">Productivity, </w:t>
      </w:r>
      <w:r>
        <w:rPr>
          <w:rFonts w:cs="Arial"/>
        </w:rPr>
        <w:t xml:space="preserve">as </w:t>
      </w:r>
      <w:r w:rsidRPr="00DB6380">
        <w:rPr>
          <w:rFonts w:cs="Arial"/>
        </w:rPr>
        <w:t>measured by the number of</w:t>
      </w:r>
      <w:r>
        <w:rPr>
          <w:rFonts w:cs="Arial"/>
        </w:rPr>
        <w:t xml:space="preserve"> </w:t>
      </w:r>
      <w:r w:rsidRPr="00DB6380">
        <w:rPr>
          <w:rFonts w:cs="Arial"/>
        </w:rPr>
        <w:t>PCT publications divided by the number of staff, increased significantly by 22</w:t>
      </w:r>
      <w:r>
        <w:rPr>
          <w:rFonts w:cs="Arial"/>
        </w:rPr>
        <w:t> </w:t>
      </w:r>
      <w:r w:rsidRPr="00DB6380">
        <w:rPr>
          <w:rFonts w:cs="Arial"/>
        </w:rPr>
        <w:t xml:space="preserve">per cent in the 2014/15 </w:t>
      </w:r>
      <w:r>
        <w:rPr>
          <w:rFonts w:cs="Arial"/>
        </w:rPr>
        <w:t>biennium compared to 2012/13.</w:t>
      </w:r>
      <w:r w:rsidRPr="00DB6380">
        <w:rPr>
          <w:rFonts w:cs="Arial"/>
        </w:rPr>
        <w:t xml:space="preserve"> </w:t>
      </w:r>
      <w:r>
        <w:rPr>
          <w:rFonts w:cs="Arial"/>
        </w:rPr>
        <w:t xml:space="preserve"> </w:t>
      </w:r>
      <w:r w:rsidRPr="00DB6380">
        <w:rPr>
          <w:rFonts w:cs="Arial"/>
        </w:rPr>
        <w:t xml:space="preserve">The overall quality, as measured by the aggregate index, improved markedly by 5.8 per cent in the 2014/15 biennium compared to 2012/13. </w:t>
      </w:r>
    </w:p>
    <w:p w:rsidR="009613E8" w:rsidRPr="00DB6380" w:rsidRDefault="009613E8" w:rsidP="00F11DB9">
      <w:pPr>
        <w:tabs>
          <w:tab w:val="left" w:pos="8145"/>
        </w:tabs>
        <w:rPr>
          <w:szCs w:val="20"/>
        </w:rPr>
      </w:pPr>
      <w:r w:rsidRPr="00DB6380">
        <w:rPr>
          <w:szCs w:val="20"/>
        </w:rPr>
        <w:tab/>
      </w:r>
    </w:p>
    <w:p w:rsidR="009613E8" w:rsidRPr="00DB6380" w:rsidRDefault="009613E8" w:rsidP="00F11DB9">
      <w:pPr>
        <w:tabs>
          <w:tab w:val="left" w:pos="8145"/>
        </w:tabs>
        <w:rPr>
          <w:rFonts w:cs="Arial"/>
          <w:szCs w:val="20"/>
        </w:rPr>
      </w:pPr>
    </w:p>
    <w:p w:rsidR="009613E8" w:rsidRPr="00D14507" w:rsidRDefault="009613E8" w:rsidP="00F11DB9">
      <w:pPr>
        <w:rPr>
          <w:rFonts w:cs="Arial"/>
          <w:szCs w:val="22"/>
        </w:rPr>
      </w:pPr>
      <w:r w:rsidRPr="00D14507">
        <w:rPr>
          <w:rFonts w:cs="Arial"/>
          <w:szCs w:val="22"/>
        </w:rPr>
        <w:t xml:space="preserve">PERFORMANCE DATA </w:t>
      </w:r>
    </w:p>
    <w:p w:rsidR="009613E8" w:rsidRPr="00DB6380" w:rsidRDefault="009613E8" w:rsidP="00F11DB9">
      <w:pPr>
        <w:rPr>
          <w:b/>
          <w:sz w:val="22"/>
          <w:szCs w:val="22"/>
        </w:rPr>
      </w:pPr>
    </w:p>
    <w:tbl>
      <w:tblPr>
        <w:tblW w:w="4962"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097"/>
        <w:gridCol w:w="30"/>
        <w:gridCol w:w="2344"/>
        <w:gridCol w:w="65"/>
        <w:gridCol w:w="1474"/>
        <w:gridCol w:w="87"/>
        <w:gridCol w:w="2409"/>
        <w:gridCol w:w="21"/>
        <w:gridCol w:w="971"/>
      </w:tblGrid>
      <w:tr w:rsidR="009613E8" w:rsidRPr="00DB6380" w:rsidTr="00F11DB9">
        <w:trPr>
          <w:trHeight w:val="336"/>
        </w:trPr>
        <w:tc>
          <w:tcPr>
            <w:tcW w:w="5000" w:type="pct"/>
            <w:gridSpan w:val="9"/>
            <w:tcBorders>
              <w:top w:val="single" w:sz="4" w:space="0" w:color="auto"/>
              <w:bottom w:val="single" w:sz="4" w:space="0" w:color="auto"/>
            </w:tcBorders>
            <w:shd w:val="clear" w:color="auto" w:fill="C6D9F1" w:themeFill="text2" w:themeFillTint="33"/>
            <w:vAlign w:val="center"/>
          </w:tcPr>
          <w:p w:rsidR="009613E8" w:rsidRPr="00DB6380" w:rsidRDefault="009613E8" w:rsidP="00F11DB9">
            <w:pPr>
              <w:tabs>
                <w:tab w:val="left" w:pos="1452"/>
              </w:tabs>
              <w:ind w:left="1452" w:hanging="1452"/>
              <w:rPr>
                <w:rFonts w:cs="Arial"/>
                <w:b/>
                <w:bCs/>
                <w:sz w:val="16"/>
                <w:szCs w:val="16"/>
              </w:rPr>
            </w:pPr>
            <w:r w:rsidRPr="00DB6380">
              <w:rPr>
                <w:rFonts w:cs="Arial"/>
                <w:b/>
                <w:bCs/>
                <w:sz w:val="16"/>
                <w:szCs w:val="16"/>
              </w:rPr>
              <w:t>Expected Result:</w:t>
            </w:r>
            <w:r w:rsidRPr="00DB6380">
              <w:rPr>
                <w:rFonts w:cs="Arial"/>
                <w:b/>
                <w:bCs/>
                <w:sz w:val="16"/>
                <w:szCs w:val="16"/>
              </w:rPr>
              <w:tab/>
            </w:r>
            <w:r w:rsidR="00876ED8">
              <w:rPr>
                <w:rFonts w:cs="Arial"/>
                <w:b/>
                <w:bCs/>
                <w:sz w:val="16"/>
                <w:szCs w:val="16"/>
              </w:rPr>
              <w:t xml:space="preserve">   </w:t>
            </w:r>
            <w:r w:rsidR="00876ED8" w:rsidRPr="00BA6F3B">
              <w:rPr>
                <w:rFonts w:cs="Arial"/>
                <w:bCs/>
                <w:sz w:val="16"/>
                <w:szCs w:val="16"/>
              </w:rPr>
              <w:t>II.1</w:t>
            </w:r>
            <w:r w:rsidR="00876ED8" w:rsidRPr="00DB6380">
              <w:rPr>
                <w:rFonts w:cs="Arial"/>
                <w:b/>
                <w:bCs/>
                <w:sz w:val="16"/>
                <w:szCs w:val="16"/>
              </w:rPr>
              <w:t xml:space="preserve"> </w:t>
            </w:r>
            <w:r w:rsidRPr="00DB6380">
              <w:rPr>
                <w:rFonts w:cs="Arial"/>
                <w:sz w:val="16"/>
                <w:szCs w:val="16"/>
              </w:rPr>
              <w:t>Increased use of the PCT route for filing international patent applications</w:t>
            </w:r>
          </w:p>
        </w:tc>
      </w:tr>
      <w:tr w:rsidR="009613E8" w:rsidRPr="00DB6380" w:rsidTr="00F11DB9">
        <w:tc>
          <w:tcPr>
            <w:tcW w:w="1120" w:type="pct"/>
            <w:gridSpan w:val="2"/>
            <w:tcBorders>
              <w:top w:val="single" w:sz="4" w:space="0" w:color="auto"/>
            </w:tcBorders>
            <w:shd w:val="clear" w:color="auto" w:fill="auto"/>
            <w:vAlign w:val="center"/>
          </w:tcPr>
          <w:p w:rsidR="009613E8" w:rsidRPr="00DB6380" w:rsidRDefault="009613E8" w:rsidP="00F11DB9">
            <w:pPr>
              <w:rPr>
                <w:rFonts w:cs="Arial"/>
                <w:sz w:val="16"/>
                <w:szCs w:val="16"/>
              </w:rPr>
            </w:pPr>
            <w:r w:rsidRPr="00DB6380">
              <w:rPr>
                <w:rFonts w:cs="Arial"/>
                <w:b/>
                <w:bCs/>
                <w:sz w:val="16"/>
                <w:szCs w:val="16"/>
              </w:rPr>
              <w:t>Performance Indicators</w:t>
            </w:r>
          </w:p>
        </w:tc>
        <w:tc>
          <w:tcPr>
            <w:tcW w:w="1268" w:type="pct"/>
            <w:gridSpan w:val="2"/>
            <w:tcBorders>
              <w:top w:val="single" w:sz="4" w:space="0" w:color="auto"/>
            </w:tcBorders>
            <w:shd w:val="clear" w:color="auto" w:fill="auto"/>
            <w:vAlign w:val="center"/>
          </w:tcPr>
          <w:p w:rsidR="009613E8" w:rsidRPr="00DB6380" w:rsidRDefault="009613E8" w:rsidP="00F11DB9">
            <w:pPr>
              <w:rPr>
                <w:rFonts w:cs="Arial"/>
                <w:b/>
                <w:bCs/>
                <w:sz w:val="16"/>
                <w:szCs w:val="16"/>
              </w:rPr>
            </w:pPr>
            <w:r w:rsidRPr="00DB6380">
              <w:rPr>
                <w:rFonts w:cs="Arial"/>
                <w:b/>
                <w:bCs/>
                <w:sz w:val="16"/>
                <w:szCs w:val="16"/>
              </w:rPr>
              <w:t>Baselines</w:t>
            </w:r>
          </w:p>
        </w:tc>
        <w:tc>
          <w:tcPr>
            <w:tcW w:w="822" w:type="pct"/>
            <w:gridSpan w:val="2"/>
            <w:tcBorders>
              <w:top w:val="single" w:sz="4" w:space="0" w:color="auto"/>
            </w:tcBorders>
            <w:shd w:val="clear" w:color="auto" w:fill="auto"/>
            <w:tcMar>
              <w:top w:w="110" w:type="dxa"/>
            </w:tcMar>
            <w:vAlign w:val="center"/>
          </w:tcPr>
          <w:p w:rsidR="009613E8" w:rsidRPr="00DB6380" w:rsidRDefault="009613E8" w:rsidP="00F11DB9">
            <w:pPr>
              <w:rPr>
                <w:rFonts w:cs="Arial"/>
                <w:b/>
                <w:sz w:val="16"/>
                <w:szCs w:val="16"/>
              </w:rPr>
            </w:pPr>
            <w:r w:rsidRPr="00DB6380">
              <w:rPr>
                <w:rFonts w:cs="Arial"/>
                <w:b/>
                <w:sz w:val="16"/>
                <w:szCs w:val="16"/>
              </w:rPr>
              <w:t>Targets</w:t>
            </w:r>
          </w:p>
        </w:tc>
        <w:tc>
          <w:tcPr>
            <w:tcW w:w="1268" w:type="pct"/>
            <w:tcBorders>
              <w:top w:val="single" w:sz="4" w:space="0" w:color="auto"/>
            </w:tcBorders>
            <w:shd w:val="clear" w:color="auto" w:fill="FFFFFF"/>
            <w:tcMar>
              <w:top w:w="110" w:type="dxa"/>
            </w:tcMar>
            <w:vAlign w:val="center"/>
          </w:tcPr>
          <w:p w:rsidR="009613E8" w:rsidRPr="00DB6380" w:rsidRDefault="009613E8" w:rsidP="00F11DB9">
            <w:pPr>
              <w:rPr>
                <w:rFonts w:cs="Arial"/>
                <w:sz w:val="16"/>
                <w:szCs w:val="16"/>
              </w:rPr>
            </w:pPr>
            <w:r w:rsidRPr="00DB6380">
              <w:rPr>
                <w:rFonts w:cs="Arial"/>
                <w:b/>
                <w:bCs/>
                <w:sz w:val="16"/>
                <w:szCs w:val="16"/>
              </w:rPr>
              <w:t>Performance Data</w:t>
            </w:r>
          </w:p>
        </w:tc>
        <w:tc>
          <w:tcPr>
            <w:tcW w:w="522" w:type="pct"/>
            <w:gridSpan w:val="2"/>
            <w:tcBorders>
              <w:top w:val="single" w:sz="4" w:space="0" w:color="auto"/>
            </w:tcBorders>
            <w:shd w:val="clear" w:color="auto" w:fill="auto"/>
            <w:tcMar>
              <w:top w:w="110" w:type="dxa"/>
            </w:tcMar>
            <w:vAlign w:val="center"/>
          </w:tcPr>
          <w:p w:rsidR="009613E8" w:rsidRPr="00DB6380" w:rsidRDefault="009613E8" w:rsidP="00F11DB9">
            <w:pPr>
              <w:jc w:val="center"/>
              <w:rPr>
                <w:rFonts w:cs="Arial"/>
                <w:b/>
                <w:bCs/>
                <w:sz w:val="16"/>
                <w:szCs w:val="16"/>
              </w:rPr>
            </w:pPr>
            <w:r w:rsidRPr="00DB6380">
              <w:rPr>
                <w:rFonts w:cs="Arial"/>
                <w:b/>
                <w:bCs/>
                <w:sz w:val="16"/>
                <w:szCs w:val="16"/>
              </w:rPr>
              <w:t>TLS</w:t>
            </w:r>
          </w:p>
        </w:tc>
      </w:tr>
      <w:tr w:rsidR="009613E8" w:rsidRPr="00DB6380" w:rsidTr="00F11DB9">
        <w:tc>
          <w:tcPr>
            <w:tcW w:w="1120" w:type="pct"/>
            <w:gridSpan w:val="2"/>
            <w:shd w:val="clear" w:color="auto" w:fill="auto"/>
          </w:tcPr>
          <w:p w:rsidR="009613E8" w:rsidRPr="00DB6380" w:rsidRDefault="009613E8" w:rsidP="00F11DB9">
            <w:pPr>
              <w:rPr>
                <w:rFonts w:cs="Arial"/>
                <w:sz w:val="16"/>
                <w:szCs w:val="16"/>
              </w:rPr>
            </w:pPr>
            <w:r w:rsidRPr="00DB6380">
              <w:rPr>
                <w:rFonts w:cs="Arial"/>
                <w:sz w:val="16"/>
                <w:szCs w:val="16"/>
              </w:rPr>
              <w:t>Level of satisfaction of PCT users with user-focused information and training services</w:t>
            </w:r>
          </w:p>
        </w:tc>
        <w:tc>
          <w:tcPr>
            <w:tcW w:w="1268" w:type="pct"/>
            <w:gridSpan w:val="2"/>
            <w:shd w:val="clear" w:color="auto" w:fill="auto"/>
          </w:tcPr>
          <w:p w:rsidR="009613E8" w:rsidRPr="00DB6380" w:rsidRDefault="009613E8" w:rsidP="00F11DB9">
            <w:pPr>
              <w:rPr>
                <w:rFonts w:cs="Arial"/>
                <w:sz w:val="16"/>
                <w:szCs w:val="16"/>
              </w:rPr>
            </w:pPr>
            <w:r w:rsidRPr="00DB6380">
              <w:rPr>
                <w:rFonts w:cs="Arial"/>
                <w:sz w:val="16"/>
                <w:szCs w:val="16"/>
              </w:rPr>
              <w:t>2009 level of user PCT satisfaction with PCT user information and training services</w:t>
            </w:r>
          </w:p>
          <w:p w:rsidR="009613E8" w:rsidRPr="00DB6380" w:rsidRDefault="009613E8" w:rsidP="00F11DB9">
            <w:pPr>
              <w:rPr>
                <w:rFonts w:cs="Arial"/>
                <w:sz w:val="16"/>
                <w:szCs w:val="16"/>
              </w:rPr>
            </w:pPr>
          </w:p>
        </w:tc>
        <w:tc>
          <w:tcPr>
            <w:tcW w:w="822" w:type="pct"/>
            <w:gridSpan w:val="2"/>
            <w:shd w:val="clear" w:color="auto" w:fill="auto"/>
            <w:tcMar>
              <w:top w:w="110" w:type="dxa"/>
            </w:tcMar>
          </w:tcPr>
          <w:p w:rsidR="009613E8" w:rsidRPr="00DB6380" w:rsidRDefault="009613E8" w:rsidP="00F11DB9">
            <w:pPr>
              <w:rPr>
                <w:rFonts w:cs="Arial"/>
                <w:sz w:val="16"/>
                <w:szCs w:val="16"/>
              </w:rPr>
            </w:pPr>
            <w:r w:rsidRPr="00DB6380">
              <w:rPr>
                <w:rFonts w:cs="Arial"/>
                <w:sz w:val="16"/>
                <w:szCs w:val="16"/>
              </w:rPr>
              <w:t>Maintain or increase 2009 level of PCT user satisfaction</w:t>
            </w:r>
          </w:p>
        </w:tc>
        <w:tc>
          <w:tcPr>
            <w:tcW w:w="1268" w:type="pct"/>
            <w:shd w:val="clear" w:color="auto" w:fill="FFFFFF"/>
            <w:tcMar>
              <w:top w:w="110" w:type="dxa"/>
            </w:tcMar>
          </w:tcPr>
          <w:p w:rsidR="009613E8" w:rsidRPr="00DB6380" w:rsidRDefault="009613E8" w:rsidP="00F11DB9">
            <w:pPr>
              <w:rPr>
                <w:rFonts w:cs="Arial"/>
                <w:sz w:val="16"/>
                <w:szCs w:val="16"/>
              </w:rPr>
            </w:pPr>
            <w:r w:rsidRPr="00DB6380">
              <w:rPr>
                <w:rFonts w:cs="Arial"/>
                <w:sz w:val="16"/>
                <w:szCs w:val="16"/>
              </w:rPr>
              <w:t>Overall PCT user satisfaction with WIPO-provided PCT services increased 11% since 2009 to 89%</w:t>
            </w:r>
            <w:r>
              <w:rPr>
                <w:rFonts w:cs="Arial"/>
                <w:sz w:val="16"/>
                <w:szCs w:val="16"/>
              </w:rPr>
              <w:t>.</w:t>
            </w:r>
          </w:p>
        </w:tc>
        <w:tc>
          <w:tcPr>
            <w:tcW w:w="522" w:type="pct"/>
            <w:gridSpan w:val="2"/>
            <w:shd w:val="clear" w:color="auto" w:fill="auto"/>
            <w:tcMar>
              <w:top w:w="110" w:type="dxa"/>
            </w:tcMar>
          </w:tcPr>
          <w:p w:rsidR="009613E8" w:rsidRPr="00DB6380" w:rsidRDefault="009613E8" w:rsidP="00F11DB9">
            <w:pPr>
              <w:keepNext/>
              <w:keepLines/>
              <w:jc w:val="center"/>
              <w:rPr>
                <w:rFonts w:cs="Arial"/>
                <w:bCs/>
                <w:color w:val="808080"/>
                <w:sz w:val="16"/>
                <w:szCs w:val="16"/>
              </w:rPr>
            </w:pPr>
            <w:r w:rsidRPr="003E7622">
              <w:rPr>
                <w:rFonts w:cs="Arial"/>
                <w:b/>
                <w:bCs/>
                <w:color w:val="00B050"/>
                <w:sz w:val="16"/>
                <w:szCs w:val="16"/>
              </w:rPr>
              <w:t>Fully Achieved</w:t>
            </w:r>
          </w:p>
        </w:tc>
      </w:tr>
      <w:tr w:rsidR="009613E8" w:rsidRPr="00DB6380" w:rsidTr="00F11DB9">
        <w:tc>
          <w:tcPr>
            <w:tcW w:w="1120" w:type="pct"/>
            <w:gridSpan w:val="2"/>
            <w:shd w:val="clear" w:color="auto" w:fill="auto"/>
          </w:tcPr>
          <w:p w:rsidR="009613E8" w:rsidRPr="00DB6380" w:rsidRDefault="009613E8" w:rsidP="00F11DB9">
            <w:pPr>
              <w:rPr>
                <w:rFonts w:cs="Arial"/>
                <w:sz w:val="16"/>
                <w:szCs w:val="16"/>
              </w:rPr>
            </w:pPr>
            <w:r w:rsidRPr="00DB6380">
              <w:rPr>
                <w:rFonts w:cs="Arial"/>
                <w:sz w:val="16"/>
                <w:szCs w:val="16"/>
              </w:rPr>
              <w:t>Satisfaction of Offices and International Authorities with PCT cooperative activities</w:t>
            </w:r>
          </w:p>
        </w:tc>
        <w:tc>
          <w:tcPr>
            <w:tcW w:w="1268" w:type="pct"/>
            <w:gridSpan w:val="2"/>
            <w:shd w:val="clear" w:color="auto" w:fill="auto"/>
          </w:tcPr>
          <w:p w:rsidR="009613E8" w:rsidRPr="00DB6380" w:rsidRDefault="009613E8" w:rsidP="00F11DB9">
            <w:pPr>
              <w:rPr>
                <w:rFonts w:cs="Arial"/>
                <w:i/>
                <w:color w:val="002060"/>
                <w:sz w:val="16"/>
                <w:szCs w:val="16"/>
              </w:rPr>
            </w:pPr>
            <w:r w:rsidRPr="00DB6380">
              <w:rPr>
                <w:rFonts w:cs="Arial"/>
                <w:i/>
                <w:color w:val="002060"/>
                <w:sz w:val="16"/>
                <w:szCs w:val="16"/>
              </w:rPr>
              <w:t xml:space="preserve">Updated Baseline end 2013:  </w:t>
            </w:r>
            <w:r w:rsidRPr="00DB6380">
              <w:rPr>
                <w:rFonts w:cs="Arial"/>
                <w:color w:val="002060"/>
                <w:sz w:val="16"/>
                <w:szCs w:val="16"/>
                <w:lang w:bidi="th-TH"/>
              </w:rPr>
              <w:t>56 (95 % out of 59 beneficiaries of PCT cooperative activities;  85% out of the 66 survey respondents) (2012 survey)</w:t>
            </w:r>
          </w:p>
          <w:p w:rsidR="009613E8" w:rsidRPr="00DB6380" w:rsidRDefault="009613E8" w:rsidP="00F11DB9">
            <w:pPr>
              <w:rPr>
                <w:rFonts w:cs="Arial"/>
                <w:i/>
                <w:sz w:val="8"/>
                <w:szCs w:val="8"/>
              </w:rPr>
            </w:pPr>
          </w:p>
          <w:p w:rsidR="009613E8" w:rsidRPr="00DB6380" w:rsidRDefault="009613E8" w:rsidP="00F11DB9">
            <w:pPr>
              <w:rPr>
                <w:rFonts w:cs="Arial"/>
                <w:sz w:val="16"/>
                <w:szCs w:val="16"/>
              </w:rPr>
            </w:pPr>
            <w:r w:rsidRPr="00DB6380">
              <w:rPr>
                <w:rFonts w:cs="Arial"/>
                <w:i/>
                <w:sz w:val="16"/>
                <w:szCs w:val="16"/>
              </w:rPr>
              <w:t>Original Baseline P&amp;B 2014/15:</w:t>
            </w:r>
            <w:r w:rsidRPr="00DB6380">
              <w:rPr>
                <w:rFonts w:cs="Arial"/>
                <w:sz w:val="16"/>
                <w:szCs w:val="16"/>
              </w:rPr>
              <w:t xml:space="preserve">  59 respondents expressed satisfaction with the activities in 2011 (95% out of 62  involved in the activities/ 86% out of all 69 respondents)</w:t>
            </w:r>
          </w:p>
          <w:p w:rsidR="009613E8" w:rsidRPr="00DB6380" w:rsidRDefault="009613E8" w:rsidP="00F11DB9">
            <w:pPr>
              <w:rPr>
                <w:rFonts w:cs="Arial"/>
                <w:sz w:val="16"/>
                <w:szCs w:val="16"/>
              </w:rPr>
            </w:pPr>
          </w:p>
        </w:tc>
        <w:tc>
          <w:tcPr>
            <w:tcW w:w="822" w:type="pct"/>
            <w:gridSpan w:val="2"/>
            <w:shd w:val="clear" w:color="auto" w:fill="auto"/>
            <w:tcMar>
              <w:top w:w="110" w:type="dxa"/>
            </w:tcMar>
          </w:tcPr>
          <w:p w:rsidR="009613E8" w:rsidRPr="00DB6380" w:rsidRDefault="009613E8" w:rsidP="00F11DB9">
            <w:pPr>
              <w:rPr>
                <w:rFonts w:cs="Arial"/>
                <w:sz w:val="16"/>
                <w:szCs w:val="16"/>
                <w:lang w:bidi="th-TH"/>
              </w:rPr>
            </w:pPr>
            <w:r w:rsidRPr="00DB6380">
              <w:rPr>
                <w:rFonts w:cs="Arial"/>
                <w:sz w:val="16"/>
                <w:szCs w:val="16"/>
              </w:rPr>
              <w:t>Maintain the 2011 level of satisfaction of Offices and International Authorities</w:t>
            </w:r>
          </w:p>
        </w:tc>
        <w:tc>
          <w:tcPr>
            <w:tcW w:w="1268" w:type="pct"/>
            <w:shd w:val="clear" w:color="auto" w:fill="FFFFFF"/>
            <w:tcMar>
              <w:top w:w="110" w:type="dxa"/>
            </w:tcMar>
          </w:tcPr>
          <w:p w:rsidR="009613E8" w:rsidRPr="00681FEE" w:rsidRDefault="009613E8" w:rsidP="00F11DB9">
            <w:pPr>
              <w:rPr>
                <w:rFonts w:cs="Arial"/>
                <w:sz w:val="16"/>
                <w:szCs w:val="16"/>
                <w:highlight w:val="yellow"/>
              </w:rPr>
            </w:pPr>
            <w:r w:rsidRPr="00B37E71">
              <w:rPr>
                <w:rFonts w:cs="Arial"/>
                <w:sz w:val="16"/>
                <w:szCs w:val="16"/>
              </w:rPr>
              <w:t>58 (96% out of 60 beneficiaries of PCT cooperative activities; 95</w:t>
            </w:r>
            <w:r w:rsidRPr="00DB6380">
              <w:rPr>
                <w:rFonts w:cs="Arial"/>
                <w:sz w:val="16"/>
                <w:szCs w:val="16"/>
              </w:rPr>
              <w:t xml:space="preserve">% out </w:t>
            </w:r>
            <w:r>
              <w:rPr>
                <w:rFonts w:cs="Arial"/>
                <w:sz w:val="16"/>
                <w:szCs w:val="16"/>
              </w:rPr>
              <w:t>of 61</w:t>
            </w:r>
            <w:r w:rsidRPr="00DB6380">
              <w:rPr>
                <w:rFonts w:cs="Arial"/>
                <w:sz w:val="16"/>
                <w:szCs w:val="16"/>
              </w:rPr>
              <w:t xml:space="preserve"> survey respondents) (2016 survey)</w:t>
            </w:r>
          </w:p>
        </w:tc>
        <w:tc>
          <w:tcPr>
            <w:tcW w:w="522" w:type="pct"/>
            <w:gridSpan w:val="2"/>
            <w:shd w:val="clear" w:color="auto" w:fill="auto"/>
            <w:tcMar>
              <w:top w:w="110" w:type="dxa"/>
            </w:tcMar>
          </w:tcPr>
          <w:p w:rsidR="009613E8" w:rsidRPr="00681FEE" w:rsidRDefault="009613E8" w:rsidP="00F11DB9">
            <w:pPr>
              <w:jc w:val="center"/>
              <w:rPr>
                <w:rFonts w:cs="Arial"/>
                <w:bCs/>
                <w:color w:val="808080"/>
                <w:sz w:val="16"/>
                <w:szCs w:val="16"/>
                <w:highlight w:val="yellow"/>
              </w:rPr>
            </w:pPr>
            <w:r w:rsidRPr="00DB6380">
              <w:rPr>
                <w:rFonts w:cs="Arial"/>
                <w:b/>
                <w:bCs/>
                <w:color w:val="00B050"/>
                <w:sz w:val="16"/>
                <w:szCs w:val="16"/>
              </w:rPr>
              <w:t>Fully Achieved</w:t>
            </w:r>
          </w:p>
        </w:tc>
      </w:tr>
      <w:tr w:rsidR="009613E8" w:rsidRPr="00DB6380" w:rsidTr="00F11DB9">
        <w:trPr>
          <w:trHeight w:val="374"/>
        </w:trPr>
        <w:tc>
          <w:tcPr>
            <w:tcW w:w="5000" w:type="pct"/>
            <w:gridSpan w:val="9"/>
            <w:tcBorders>
              <w:top w:val="single" w:sz="4" w:space="0" w:color="auto"/>
              <w:bottom w:val="single" w:sz="4" w:space="0" w:color="auto"/>
            </w:tcBorders>
            <w:shd w:val="clear" w:color="auto" w:fill="C6D9F1" w:themeFill="text2" w:themeFillTint="33"/>
            <w:vAlign w:val="center"/>
          </w:tcPr>
          <w:p w:rsidR="009613E8" w:rsidRPr="00DB6380" w:rsidRDefault="009613E8" w:rsidP="00F11DB9">
            <w:pPr>
              <w:keepNext/>
              <w:keepLines/>
              <w:tabs>
                <w:tab w:val="left" w:pos="1452"/>
              </w:tabs>
              <w:ind w:left="1452" w:hanging="1452"/>
              <w:rPr>
                <w:rFonts w:cs="Arial"/>
                <w:b/>
                <w:bCs/>
                <w:sz w:val="16"/>
                <w:szCs w:val="16"/>
              </w:rPr>
            </w:pPr>
            <w:r w:rsidRPr="00DB6380">
              <w:rPr>
                <w:rFonts w:cs="Arial"/>
                <w:b/>
                <w:bCs/>
                <w:sz w:val="16"/>
                <w:szCs w:val="16"/>
              </w:rPr>
              <w:lastRenderedPageBreak/>
              <w:t>Expected Result:</w:t>
            </w:r>
            <w:r w:rsidRPr="00DB6380">
              <w:rPr>
                <w:rFonts w:cs="Arial"/>
                <w:b/>
                <w:bCs/>
                <w:sz w:val="16"/>
                <w:szCs w:val="16"/>
              </w:rPr>
              <w:tab/>
            </w:r>
            <w:r w:rsidR="00876ED8">
              <w:rPr>
                <w:rFonts w:cs="Arial"/>
                <w:b/>
                <w:bCs/>
                <w:sz w:val="16"/>
                <w:szCs w:val="16"/>
              </w:rPr>
              <w:t xml:space="preserve">  </w:t>
            </w:r>
            <w:r w:rsidR="00876ED8" w:rsidRPr="00BA6F3B">
              <w:rPr>
                <w:rFonts w:cs="Arial"/>
                <w:bCs/>
                <w:sz w:val="16"/>
                <w:szCs w:val="16"/>
              </w:rPr>
              <w:t>II.2</w:t>
            </w:r>
            <w:r w:rsidR="00876ED8">
              <w:rPr>
                <w:rFonts w:cs="Arial"/>
                <w:bCs/>
                <w:sz w:val="16"/>
                <w:szCs w:val="16"/>
              </w:rPr>
              <w:t xml:space="preserve"> </w:t>
            </w:r>
            <w:r w:rsidRPr="00BA6F3B">
              <w:rPr>
                <w:rFonts w:cs="Arial"/>
                <w:bCs/>
                <w:sz w:val="16"/>
                <w:szCs w:val="16"/>
              </w:rPr>
              <w:t>Improvement</w:t>
            </w:r>
            <w:r w:rsidRPr="00DB6380">
              <w:rPr>
                <w:rFonts w:cs="Arial"/>
                <w:bCs/>
                <w:sz w:val="16"/>
                <w:szCs w:val="16"/>
              </w:rPr>
              <w:t xml:space="preserve"> of the PCT system</w:t>
            </w:r>
          </w:p>
        </w:tc>
      </w:tr>
      <w:tr w:rsidR="009613E8" w:rsidRPr="00DB6380" w:rsidTr="00F11DB9">
        <w:tc>
          <w:tcPr>
            <w:tcW w:w="1120" w:type="pct"/>
            <w:gridSpan w:val="2"/>
            <w:tcBorders>
              <w:top w:val="single" w:sz="4" w:space="0" w:color="auto"/>
              <w:left w:val="single" w:sz="4" w:space="0" w:color="auto"/>
              <w:bottom w:val="nil"/>
            </w:tcBorders>
            <w:shd w:val="clear" w:color="auto" w:fill="auto"/>
            <w:vAlign w:val="center"/>
          </w:tcPr>
          <w:p w:rsidR="009613E8" w:rsidRPr="00DB6380" w:rsidRDefault="009613E8" w:rsidP="00F11DB9">
            <w:pPr>
              <w:keepNext/>
              <w:keepLines/>
              <w:rPr>
                <w:rFonts w:cs="Arial"/>
                <w:sz w:val="16"/>
                <w:szCs w:val="16"/>
              </w:rPr>
            </w:pPr>
            <w:r w:rsidRPr="00DB6380">
              <w:rPr>
                <w:rFonts w:cs="Arial"/>
                <w:b/>
                <w:bCs/>
                <w:sz w:val="16"/>
                <w:szCs w:val="16"/>
              </w:rPr>
              <w:t>Performance Indicators</w:t>
            </w:r>
          </w:p>
        </w:tc>
        <w:tc>
          <w:tcPr>
            <w:tcW w:w="1268" w:type="pct"/>
            <w:gridSpan w:val="2"/>
            <w:tcBorders>
              <w:top w:val="single" w:sz="4" w:space="0" w:color="auto"/>
              <w:bottom w:val="nil"/>
            </w:tcBorders>
            <w:shd w:val="clear" w:color="auto" w:fill="auto"/>
            <w:vAlign w:val="center"/>
          </w:tcPr>
          <w:p w:rsidR="009613E8" w:rsidRPr="00DB6380" w:rsidRDefault="009613E8" w:rsidP="00F11DB9">
            <w:pPr>
              <w:keepNext/>
              <w:keepLines/>
              <w:rPr>
                <w:rFonts w:cs="Arial"/>
                <w:b/>
                <w:bCs/>
                <w:sz w:val="16"/>
                <w:szCs w:val="16"/>
              </w:rPr>
            </w:pPr>
            <w:r w:rsidRPr="00DB6380">
              <w:rPr>
                <w:rFonts w:cs="Arial"/>
                <w:b/>
                <w:bCs/>
                <w:sz w:val="16"/>
                <w:szCs w:val="16"/>
              </w:rPr>
              <w:t>Baselines</w:t>
            </w:r>
          </w:p>
        </w:tc>
        <w:tc>
          <w:tcPr>
            <w:tcW w:w="822" w:type="pct"/>
            <w:gridSpan w:val="2"/>
            <w:tcBorders>
              <w:top w:val="single" w:sz="4" w:space="0" w:color="auto"/>
              <w:bottom w:val="nil"/>
            </w:tcBorders>
            <w:shd w:val="clear" w:color="auto" w:fill="auto"/>
            <w:tcMar>
              <w:top w:w="110" w:type="dxa"/>
            </w:tcMar>
            <w:vAlign w:val="center"/>
          </w:tcPr>
          <w:p w:rsidR="009613E8" w:rsidRPr="00DB6380" w:rsidRDefault="009613E8" w:rsidP="00F11DB9">
            <w:pPr>
              <w:keepNext/>
              <w:keepLines/>
              <w:rPr>
                <w:rFonts w:cs="Arial"/>
                <w:b/>
                <w:sz w:val="16"/>
                <w:szCs w:val="16"/>
              </w:rPr>
            </w:pPr>
            <w:r w:rsidRPr="00DB6380">
              <w:rPr>
                <w:rFonts w:cs="Arial"/>
                <w:b/>
                <w:sz w:val="16"/>
                <w:szCs w:val="16"/>
              </w:rPr>
              <w:t>Targets</w:t>
            </w:r>
          </w:p>
        </w:tc>
        <w:tc>
          <w:tcPr>
            <w:tcW w:w="1268" w:type="pct"/>
            <w:tcBorders>
              <w:top w:val="single" w:sz="4" w:space="0" w:color="auto"/>
              <w:bottom w:val="nil"/>
            </w:tcBorders>
            <w:shd w:val="clear" w:color="auto" w:fill="FFFFFF"/>
            <w:tcMar>
              <w:top w:w="110" w:type="dxa"/>
            </w:tcMar>
            <w:vAlign w:val="center"/>
          </w:tcPr>
          <w:p w:rsidR="009613E8" w:rsidRPr="00DB6380" w:rsidRDefault="009613E8" w:rsidP="00F11DB9">
            <w:pPr>
              <w:keepNext/>
              <w:keepLines/>
              <w:rPr>
                <w:rFonts w:cs="Arial"/>
                <w:sz w:val="16"/>
                <w:szCs w:val="16"/>
              </w:rPr>
            </w:pPr>
            <w:r w:rsidRPr="00DB6380">
              <w:rPr>
                <w:rFonts w:cs="Arial"/>
                <w:b/>
                <w:bCs/>
                <w:sz w:val="16"/>
                <w:szCs w:val="16"/>
              </w:rPr>
              <w:t>Performance Data</w:t>
            </w:r>
          </w:p>
        </w:tc>
        <w:tc>
          <w:tcPr>
            <w:tcW w:w="522" w:type="pct"/>
            <w:gridSpan w:val="2"/>
            <w:tcBorders>
              <w:top w:val="single" w:sz="4" w:space="0" w:color="auto"/>
              <w:bottom w:val="nil"/>
              <w:right w:val="single" w:sz="4" w:space="0" w:color="auto"/>
            </w:tcBorders>
            <w:shd w:val="clear" w:color="auto" w:fill="auto"/>
            <w:tcMar>
              <w:top w:w="110" w:type="dxa"/>
            </w:tcMar>
            <w:vAlign w:val="center"/>
          </w:tcPr>
          <w:p w:rsidR="009613E8" w:rsidRPr="00DB6380" w:rsidRDefault="009613E8" w:rsidP="00F11DB9">
            <w:pPr>
              <w:keepNext/>
              <w:keepLines/>
              <w:jc w:val="center"/>
              <w:rPr>
                <w:rFonts w:cs="Arial"/>
                <w:b/>
                <w:bCs/>
                <w:sz w:val="16"/>
                <w:szCs w:val="16"/>
              </w:rPr>
            </w:pPr>
            <w:r w:rsidRPr="00DB6380">
              <w:rPr>
                <w:rFonts w:cs="Arial"/>
                <w:b/>
                <w:bCs/>
                <w:sz w:val="16"/>
                <w:szCs w:val="16"/>
              </w:rPr>
              <w:t>TLS</w:t>
            </w:r>
          </w:p>
        </w:tc>
      </w:tr>
      <w:tr w:rsidR="009613E8" w:rsidRPr="00DB6380" w:rsidTr="008A04AB">
        <w:trPr>
          <w:cantSplit/>
        </w:trPr>
        <w:tc>
          <w:tcPr>
            <w:tcW w:w="1120" w:type="pct"/>
            <w:gridSpan w:val="2"/>
            <w:tcBorders>
              <w:top w:val="nil"/>
              <w:left w:val="single" w:sz="4" w:space="0" w:color="auto"/>
              <w:bottom w:val="nil"/>
            </w:tcBorders>
            <w:shd w:val="clear" w:color="auto" w:fill="FFFFFF"/>
          </w:tcPr>
          <w:p w:rsidR="009613E8" w:rsidRPr="00DB6380" w:rsidRDefault="009613E8" w:rsidP="00F11DB9">
            <w:pPr>
              <w:rPr>
                <w:rFonts w:cs="Arial"/>
                <w:sz w:val="16"/>
                <w:szCs w:val="16"/>
              </w:rPr>
            </w:pPr>
            <w:r w:rsidRPr="00DB6380">
              <w:rPr>
                <w:rFonts w:cs="Arial"/>
                <w:sz w:val="16"/>
                <w:szCs w:val="16"/>
              </w:rPr>
              <w:t>Further development of the PCT system, notably implementation of the PCT roadmap recommendations endorsed by PCT Member States</w:t>
            </w:r>
          </w:p>
        </w:tc>
        <w:tc>
          <w:tcPr>
            <w:tcW w:w="1268" w:type="pct"/>
            <w:gridSpan w:val="2"/>
            <w:tcBorders>
              <w:top w:val="nil"/>
              <w:bottom w:val="nil"/>
            </w:tcBorders>
            <w:shd w:val="clear" w:color="auto" w:fill="auto"/>
          </w:tcPr>
          <w:p w:rsidR="009613E8" w:rsidRPr="00DB6380" w:rsidRDefault="009613E8" w:rsidP="00F11DB9">
            <w:pPr>
              <w:rPr>
                <w:rFonts w:cs="Arial"/>
                <w:i/>
                <w:color w:val="002060"/>
                <w:sz w:val="16"/>
                <w:szCs w:val="16"/>
              </w:rPr>
            </w:pPr>
            <w:r w:rsidRPr="00DB6380">
              <w:rPr>
                <w:rFonts w:cs="Arial"/>
                <w:i/>
                <w:color w:val="002060"/>
                <w:sz w:val="16"/>
                <w:szCs w:val="16"/>
              </w:rPr>
              <w:t xml:space="preserve">Updated Baseline end 2013:  </w:t>
            </w:r>
            <w:r w:rsidRPr="00DB6380">
              <w:rPr>
                <w:rFonts w:cs="Arial"/>
                <w:color w:val="002060"/>
                <w:sz w:val="16"/>
                <w:szCs w:val="16"/>
              </w:rPr>
              <w:t>State of the PCT system at the end of 2013</w:t>
            </w:r>
          </w:p>
          <w:p w:rsidR="009613E8" w:rsidRPr="00DB6380" w:rsidRDefault="009613E8" w:rsidP="00F11DB9">
            <w:pPr>
              <w:rPr>
                <w:rFonts w:cs="Arial"/>
                <w:i/>
                <w:sz w:val="8"/>
                <w:szCs w:val="8"/>
              </w:rPr>
            </w:pPr>
          </w:p>
          <w:p w:rsidR="009613E8" w:rsidRPr="00DB6380" w:rsidRDefault="009613E8" w:rsidP="00F11DB9">
            <w:pPr>
              <w:rPr>
                <w:rFonts w:cs="Arial"/>
                <w:sz w:val="16"/>
                <w:szCs w:val="16"/>
              </w:rPr>
            </w:pPr>
            <w:r w:rsidRPr="00DB6380">
              <w:rPr>
                <w:rFonts w:cs="Arial"/>
                <w:i/>
                <w:sz w:val="16"/>
                <w:szCs w:val="16"/>
              </w:rPr>
              <w:t>Original Baseline P&amp;B 2014/15:</w:t>
            </w:r>
            <w:r w:rsidRPr="00DB6380">
              <w:rPr>
                <w:rFonts w:cs="Arial"/>
                <w:sz w:val="16"/>
                <w:szCs w:val="16"/>
              </w:rPr>
              <w:t xml:space="preserve">  Decisions by appropriate PCT bodies up to the end of 2013</w:t>
            </w:r>
          </w:p>
        </w:tc>
        <w:tc>
          <w:tcPr>
            <w:tcW w:w="822" w:type="pct"/>
            <w:gridSpan w:val="2"/>
            <w:tcBorders>
              <w:top w:val="nil"/>
              <w:bottom w:val="nil"/>
            </w:tcBorders>
            <w:shd w:val="clear" w:color="auto" w:fill="auto"/>
            <w:tcMar>
              <w:top w:w="110" w:type="dxa"/>
            </w:tcMar>
          </w:tcPr>
          <w:p w:rsidR="009613E8" w:rsidRPr="00EE4AB6" w:rsidRDefault="009613E8" w:rsidP="00F11DB9">
            <w:pPr>
              <w:autoSpaceDE w:val="0"/>
              <w:autoSpaceDN w:val="0"/>
              <w:adjustRightInd w:val="0"/>
              <w:rPr>
                <w:rFonts w:cs="Arial"/>
                <w:sz w:val="16"/>
                <w:szCs w:val="16"/>
              </w:rPr>
            </w:pPr>
            <w:r w:rsidRPr="00EE4AB6">
              <w:rPr>
                <w:sz w:val="16"/>
              </w:rPr>
              <w:t>Progress</w:t>
            </w:r>
          </w:p>
          <w:p w:rsidR="009613E8" w:rsidRPr="00EE4AB6" w:rsidRDefault="009613E8" w:rsidP="00F11DB9">
            <w:pPr>
              <w:autoSpaceDE w:val="0"/>
              <w:autoSpaceDN w:val="0"/>
              <w:adjustRightInd w:val="0"/>
              <w:rPr>
                <w:rFonts w:cs="Arial"/>
                <w:sz w:val="16"/>
                <w:szCs w:val="16"/>
              </w:rPr>
            </w:pPr>
            <w:r w:rsidRPr="00EE4AB6">
              <w:rPr>
                <w:rFonts w:cs="Arial"/>
                <w:sz w:val="16"/>
                <w:szCs w:val="16"/>
              </w:rPr>
              <w:t>towards furthering the aims of the</w:t>
            </w:r>
          </w:p>
          <w:p w:rsidR="009613E8" w:rsidRPr="00EE4AB6" w:rsidRDefault="009613E8" w:rsidP="00F11DB9">
            <w:pPr>
              <w:autoSpaceDE w:val="0"/>
              <w:autoSpaceDN w:val="0"/>
              <w:adjustRightInd w:val="0"/>
              <w:rPr>
                <w:rFonts w:cs="Arial"/>
                <w:sz w:val="16"/>
                <w:szCs w:val="16"/>
              </w:rPr>
            </w:pPr>
            <w:r w:rsidRPr="00EE4AB6">
              <w:rPr>
                <w:rFonts w:cs="Arial"/>
                <w:sz w:val="16"/>
                <w:szCs w:val="16"/>
              </w:rPr>
              <w:t>Treaty, for the benefit of all</w:t>
            </w:r>
          </w:p>
          <w:p w:rsidR="009613E8" w:rsidRPr="00EE4AB6" w:rsidRDefault="009613E8" w:rsidP="00F11DB9">
            <w:pPr>
              <w:autoSpaceDE w:val="0"/>
              <w:autoSpaceDN w:val="0"/>
              <w:adjustRightInd w:val="0"/>
              <w:rPr>
                <w:rFonts w:cs="Arial"/>
                <w:sz w:val="16"/>
                <w:szCs w:val="16"/>
              </w:rPr>
            </w:pPr>
            <w:r w:rsidRPr="00EE4AB6">
              <w:rPr>
                <w:rFonts w:cs="Arial"/>
                <w:sz w:val="16"/>
                <w:szCs w:val="16"/>
              </w:rPr>
              <w:t>stakeholders, in line with the PCT</w:t>
            </w:r>
          </w:p>
          <w:p w:rsidR="009613E8" w:rsidRPr="00DB6380" w:rsidRDefault="009613E8" w:rsidP="00F11DB9">
            <w:pPr>
              <w:autoSpaceDE w:val="0"/>
              <w:autoSpaceDN w:val="0"/>
              <w:adjustRightInd w:val="0"/>
              <w:rPr>
                <w:rFonts w:cs="Arial"/>
                <w:sz w:val="16"/>
                <w:szCs w:val="16"/>
              </w:rPr>
            </w:pPr>
            <w:r w:rsidRPr="00EE4AB6">
              <w:rPr>
                <w:rFonts w:cs="Arial"/>
                <w:sz w:val="16"/>
                <w:szCs w:val="16"/>
              </w:rPr>
              <w:t>roadmap</w:t>
            </w:r>
            <w:r w:rsidRPr="00DB6380">
              <w:rPr>
                <w:rFonts w:cs="Arial"/>
                <w:sz w:val="16"/>
                <w:szCs w:val="16"/>
              </w:rPr>
              <w:t xml:space="preserve"> recommendations</w:t>
            </w:r>
          </w:p>
          <w:p w:rsidR="009613E8" w:rsidRPr="00DB6380" w:rsidRDefault="009613E8" w:rsidP="00F11DB9">
            <w:pPr>
              <w:autoSpaceDE w:val="0"/>
              <w:autoSpaceDN w:val="0"/>
              <w:adjustRightInd w:val="0"/>
              <w:rPr>
                <w:rFonts w:cs="Arial"/>
                <w:sz w:val="16"/>
                <w:szCs w:val="16"/>
              </w:rPr>
            </w:pPr>
            <w:r w:rsidRPr="00DB6380">
              <w:rPr>
                <w:rFonts w:cs="Arial"/>
                <w:sz w:val="16"/>
                <w:szCs w:val="16"/>
              </w:rPr>
              <w:t>endorsed by Member States</w:t>
            </w:r>
            <w:r w:rsidRPr="00DB6380">
              <w:rPr>
                <w:rStyle w:val="FootnoteReference"/>
                <w:rFonts w:cs="Arial"/>
                <w:sz w:val="16"/>
                <w:szCs w:val="16"/>
              </w:rPr>
              <w:footnoteReference w:id="17"/>
            </w:r>
          </w:p>
          <w:p w:rsidR="009613E8" w:rsidRPr="00DB6380" w:rsidRDefault="009613E8" w:rsidP="00F11DB9">
            <w:pPr>
              <w:autoSpaceDE w:val="0"/>
              <w:autoSpaceDN w:val="0"/>
              <w:adjustRightInd w:val="0"/>
              <w:rPr>
                <w:rFonts w:cs="Arial"/>
                <w:sz w:val="16"/>
                <w:szCs w:val="16"/>
              </w:rPr>
            </w:pPr>
          </w:p>
          <w:p w:rsidR="009613E8" w:rsidRPr="00DB6380" w:rsidRDefault="009613E8" w:rsidP="00F11DB9">
            <w:pPr>
              <w:autoSpaceDE w:val="0"/>
              <w:autoSpaceDN w:val="0"/>
              <w:adjustRightInd w:val="0"/>
              <w:rPr>
                <w:rFonts w:cs="Arial"/>
                <w:sz w:val="16"/>
                <w:szCs w:val="16"/>
              </w:rPr>
            </w:pPr>
          </w:p>
          <w:p w:rsidR="009613E8" w:rsidRPr="00DB6380" w:rsidRDefault="009613E8" w:rsidP="00F11DB9">
            <w:pPr>
              <w:autoSpaceDE w:val="0"/>
              <w:autoSpaceDN w:val="0"/>
              <w:adjustRightInd w:val="0"/>
              <w:rPr>
                <w:rFonts w:cs="Arial"/>
                <w:sz w:val="16"/>
                <w:szCs w:val="16"/>
              </w:rPr>
            </w:pPr>
          </w:p>
          <w:p w:rsidR="009613E8" w:rsidRPr="00DB6380" w:rsidRDefault="009613E8" w:rsidP="00F11DB9">
            <w:pPr>
              <w:autoSpaceDE w:val="0"/>
              <w:autoSpaceDN w:val="0"/>
              <w:adjustRightInd w:val="0"/>
              <w:rPr>
                <w:rFonts w:cs="Arial"/>
                <w:sz w:val="16"/>
                <w:szCs w:val="16"/>
              </w:rPr>
            </w:pPr>
          </w:p>
        </w:tc>
        <w:tc>
          <w:tcPr>
            <w:tcW w:w="1268" w:type="pct"/>
            <w:tcBorders>
              <w:top w:val="nil"/>
              <w:bottom w:val="nil"/>
            </w:tcBorders>
            <w:shd w:val="clear" w:color="auto" w:fill="FFFFFF"/>
            <w:tcMar>
              <w:top w:w="110" w:type="dxa"/>
            </w:tcMar>
          </w:tcPr>
          <w:p w:rsidR="009613E8" w:rsidRPr="00DB6380" w:rsidRDefault="009613E8" w:rsidP="00F11DB9">
            <w:pPr>
              <w:rPr>
                <w:rFonts w:cs="Arial"/>
                <w:sz w:val="16"/>
                <w:szCs w:val="16"/>
                <w:lang w:bidi="th-TH"/>
              </w:rPr>
            </w:pPr>
            <w:r w:rsidRPr="00DB6380">
              <w:rPr>
                <w:rFonts w:cs="Arial"/>
                <w:sz w:val="16"/>
                <w:szCs w:val="16"/>
                <w:lang w:bidi="th-TH"/>
              </w:rPr>
              <w:t xml:space="preserve">In 2014/5, progress towards furthering the aims of the Treaty, for the benefit of all stakeholders, in line with the PCT roadmap recommendations endorsed by Member States, was made in the following respects:  (a) Agreement by Member States on eligibility criteria for fee reductions;  </w:t>
            </w:r>
            <w:r w:rsidRPr="00DB6380">
              <w:rPr>
                <w:rFonts w:cs="Arial"/>
                <w:sz w:val="16"/>
                <w:szCs w:val="16"/>
                <w:lang w:bidi="th-TH"/>
              </w:rPr>
              <w:br/>
              <w:t>(b) Agreement by Member States on a revised procedure for appointment of International Searching and Preliminary Examining</w:t>
            </w:r>
            <w:r w:rsidRPr="00DB6380">
              <w:rPr>
                <w:szCs w:val="20"/>
              </w:rPr>
              <w:t xml:space="preserve"> </w:t>
            </w:r>
            <w:r w:rsidRPr="00DB6380">
              <w:rPr>
                <w:rFonts w:cs="Arial"/>
                <w:sz w:val="16"/>
                <w:szCs w:val="16"/>
                <w:lang w:bidi="th-TH"/>
              </w:rPr>
              <w:t xml:space="preserve">Authorities; </w:t>
            </w:r>
            <w:r w:rsidRPr="00DB6380">
              <w:rPr>
                <w:rFonts w:cs="Arial"/>
                <w:sz w:val="16"/>
                <w:szCs w:val="16"/>
                <w:lang w:bidi="th-TH"/>
              </w:rPr>
              <w:br/>
              <w:t>(c) Agreement by Member States on sharing of results of search work on earlier applications to improve quality and timeliness of PCT work products</w:t>
            </w:r>
            <w:r>
              <w:rPr>
                <w:rFonts w:cs="Arial"/>
                <w:sz w:val="16"/>
                <w:szCs w:val="16"/>
                <w:lang w:bidi="th-TH"/>
              </w:rPr>
              <w:t>;</w:t>
            </w:r>
            <w:r w:rsidRPr="00DB6380">
              <w:rPr>
                <w:rFonts w:cs="Arial"/>
                <w:sz w:val="16"/>
                <w:szCs w:val="16"/>
                <w:lang w:bidi="th-TH"/>
              </w:rPr>
              <w:br/>
              <w:t>(d) Implementation of a new eSearchCopy service for quicker and more efficient transmission of applications for international search</w:t>
            </w:r>
            <w:r>
              <w:rPr>
                <w:rFonts w:cs="Arial"/>
                <w:sz w:val="16"/>
                <w:szCs w:val="16"/>
                <w:lang w:bidi="th-TH"/>
              </w:rPr>
              <w:t xml:space="preserve">; </w:t>
            </w:r>
            <w:r w:rsidRPr="00DB6380">
              <w:rPr>
                <w:rFonts w:cs="Arial"/>
                <w:sz w:val="16"/>
                <w:szCs w:val="16"/>
                <w:lang w:bidi="th-TH"/>
              </w:rPr>
              <w:t xml:space="preserve"> and </w:t>
            </w:r>
            <w:r w:rsidRPr="00DB6380">
              <w:rPr>
                <w:rFonts w:cs="Arial"/>
                <w:sz w:val="16"/>
                <w:szCs w:val="16"/>
                <w:lang w:bidi="th-TH"/>
              </w:rPr>
              <w:br/>
              <w:t>(e) Agreement for Offices to send timely data to the IB on applications in the national phase to improve patent status information.</w:t>
            </w:r>
          </w:p>
        </w:tc>
        <w:tc>
          <w:tcPr>
            <w:tcW w:w="522" w:type="pct"/>
            <w:gridSpan w:val="2"/>
            <w:tcBorders>
              <w:top w:val="nil"/>
              <w:bottom w:val="nil"/>
              <w:right w:val="single" w:sz="4" w:space="0" w:color="auto"/>
            </w:tcBorders>
            <w:shd w:val="clear" w:color="auto" w:fill="auto"/>
            <w:tcMar>
              <w:top w:w="110" w:type="dxa"/>
            </w:tcMar>
          </w:tcPr>
          <w:p w:rsidR="009613E8" w:rsidRPr="00DB6380" w:rsidRDefault="009613E8" w:rsidP="00F11DB9">
            <w:pPr>
              <w:keepNext/>
              <w:keepLines/>
              <w:jc w:val="center"/>
              <w:rPr>
                <w:rFonts w:cs="Arial"/>
                <w:bCs/>
                <w:color w:val="008000"/>
                <w:sz w:val="16"/>
                <w:szCs w:val="16"/>
              </w:rPr>
            </w:pPr>
            <w:r w:rsidRPr="00DB6380">
              <w:rPr>
                <w:rFonts w:cs="Arial"/>
                <w:b/>
                <w:bCs/>
                <w:color w:val="00B050"/>
                <w:sz w:val="16"/>
                <w:szCs w:val="16"/>
              </w:rPr>
              <w:t>Fully Achieved</w:t>
            </w:r>
          </w:p>
        </w:tc>
      </w:tr>
      <w:tr w:rsidR="009613E8" w:rsidRPr="00DB6380" w:rsidTr="008A04AB">
        <w:tc>
          <w:tcPr>
            <w:tcW w:w="1104" w:type="pct"/>
            <w:tcBorders>
              <w:top w:val="nil"/>
              <w:left w:val="single" w:sz="4" w:space="0" w:color="auto"/>
              <w:bottom w:val="single" w:sz="4" w:space="0" w:color="auto"/>
            </w:tcBorders>
            <w:shd w:val="clear" w:color="auto" w:fill="auto"/>
          </w:tcPr>
          <w:p w:rsidR="009613E8" w:rsidRPr="00DB6380" w:rsidRDefault="009613E8" w:rsidP="00F11DB9">
            <w:pPr>
              <w:rPr>
                <w:rFonts w:cs="Arial"/>
                <w:sz w:val="16"/>
                <w:szCs w:val="16"/>
              </w:rPr>
            </w:pPr>
            <w:r w:rsidRPr="00DB6380">
              <w:rPr>
                <w:rFonts w:cs="Arial"/>
                <w:sz w:val="16"/>
                <w:szCs w:val="16"/>
              </w:rPr>
              <w:t>Improved electronic services for applicants, third parties, Offices and Authorities</w:t>
            </w:r>
          </w:p>
        </w:tc>
        <w:tc>
          <w:tcPr>
            <w:tcW w:w="1250" w:type="pct"/>
            <w:gridSpan w:val="2"/>
            <w:tcBorders>
              <w:top w:val="nil"/>
              <w:bottom w:val="single" w:sz="4" w:space="0" w:color="auto"/>
            </w:tcBorders>
            <w:shd w:val="clear" w:color="auto" w:fill="auto"/>
          </w:tcPr>
          <w:p w:rsidR="009613E8" w:rsidRPr="00DB6380" w:rsidRDefault="009613E8" w:rsidP="00F11DB9">
            <w:pPr>
              <w:pStyle w:val="Default"/>
              <w:rPr>
                <w:color w:val="002060"/>
                <w:sz w:val="16"/>
                <w:szCs w:val="16"/>
              </w:rPr>
            </w:pPr>
            <w:r w:rsidRPr="00DB6380">
              <w:rPr>
                <w:i/>
                <w:color w:val="002060"/>
                <w:sz w:val="16"/>
                <w:szCs w:val="16"/>
              </w:rPr>
              <w:t>Updated Baseline end 2013:</w:t>
            </w:r>
            <w:r w:rsidRPr="00DB6380">
              <w:rPr>
                <w:color w:val="943634" w:themeColor="accent2" w:themeShade="BF"/>
                <w:sz w:val="16"/>
                <w:szCs w:val="16"/>
              </w:rPr>
              <w:t xml:space="preserve">  </w:t>
            </w:r>
            <w:r w:rsidRPr="00DB6380">
              <w:rPr>
                <w:color w:val="002060"/>
                <w:sz w:val="16"/>
                <w:szCs w:val="16"/>
              </w:rPr>
              <w:t xml:space="preserve">No. of transactions carried out using ePCT services at the end of 2013 for:  </w:t>
            </w:r>
          </w:p>
          <w:p w:rsidR="009613E8" w:rsidRPr="00DB6380" w:rsidRDefault="009613E8" w:rsidP="00F11DB9">
            <w:pPr>
              <w:pStyle w:val="Default"/>
              <w:rPr>
                <w:color w:val="002060"/>
                <w:sz w:val="16"/>
                <w:szCs w:val="16"/>
              </w:rPr>
            </w:pPr>
            <w:r w:rsidRPr="00DB6380">
              <w:rPr>
                <w:color w:val="002060"/>
                <w:sz w:val="16"/>
                <w:szCs w:val="16"/>
              </w:rPr>
              <w:t xml:space="preserve">-- 8,005 public applicants;  </w:t>
            </w:r>
          </w:p>
          <w:p w:rsidR="009613E8" w:rsidRPr="00DB6380" w:rsidRDefault="009613E8" w:rsidP="00F11DB9">
            <w:pPr>
              <w:pStyle w:val="Default"/>
              <w:rPr>
                <w:color w:val="002060"/>
                <w:sz w:val="16"/>
                <w:szCs w:val="16"/>
              </w:rPr>
            </w:pPr>
            <w:r w:rsidRPr="00DB6380">
              <w:rPr>
                <w:color w:val="002060"/>
                <w:sz w:val="16"/>
                <w:szCs w:val="16"/>
              </w:rPr>
              <w:t>-- 4,754 private applicants;</w:t>
            </w:r>
          </w:p>
          <w:p w:rsidR="009613E8" w:rsidRPr="00DB6380" w:rsidRDefault="009613E8" w:rsidP="00F11DB9">
            <w:pPr>
              <w:pStyle w:val="Default"/>
              <w:rPr>
                <w:color w:val="002060"/>
                <w:sz w:val="16"/>
                <w:szCs w:val="16"/>
              </w:rPr>
            </w:pPr>
            <w:r w:rsidRPr="00DB6380">
              <w:rPr>
                <w:color w:val="002060"/>
                <w:sz w:val="16"/>
                <w:szCs w:val="16"/>
              </w:rPr>
              <w:t xml:space="preserve">-- 74 third parties;  </w:t>
            </w:r>
          </w:p>
          <w:p w:rsidR="009613E8" w:rsidRPr="00DB6380" w:rsidRDefault="009613E8" w:rsidP="00F11DB9">
            <w:pPr>
              <w:pStyle w:val="Default"/>
              <w:rPr>
                <w:color w:val="002060"/>
                <w:sz w:val="16"/>
                <w:szCs w:val="16"/>
              </w:rPr>
            </w:pPr>
            <w:r w:rsidRPr="00DB6380">
              <w:rPr>
                <w:color w:val="002060"/>
                <w:sz w:val="16"/>
                <w:szCs w:val="16"/>
              </w:rPr>
              <w:t>-- 2,474 Offices;  and</w:t>
            </w:r>
          </w:p>
          <w:p w:rsidR="009613E8" w:rsidRDefault="009613E8" w:rsidP="00F11DB9">
            <w:pPr>
              <w:pStyle w:val="Default"/>
              <w:rPr>
                <w:color w:val="002060"/>
                <w:sz w:val="16"/>
                <w:szCs w:val="16"/>
              </w:rPr>
            </w:pPr>
            <w:r w:rsidRPr="00DB6380">
              <w:rPr>
                <w:color w:val="002060"/>
                <w:sz w:val="16"/>
                <w:szCs w:val="16"/>
              </w:rPr>
              <w:t>-- 2,398 Authorities</w:t>
            </w:r>
          </w:p>
          <w:p w:rsidR="009613E8" w:rsidRPr="00DB6380" w:rsidRDefault="009613E8" w:rsidP="00F11DB9">
            <w:pPr>
              <w:pStyle w:val="Default"/>
              <w:rPr>
                <w:color w:val="002060"/>
                <w:sz w:val="16"/>
                <w:szCs w:val="16"/>
              </w:rPr>
            </w:pPr>
            <w:r>
              <w:rPr>
                <w:color w:val="002060"/>
                <w:sz w:val="16"/>
                <w:szCs w:val="16"/>
              </w:rPr>
              <w:t>(cumulative)</w:t>
            </w:r>
          </w:p>
          <w:p w:rsidR="009613E8" w:rsidRPr="00DB6380" w:rsidRDefault="009613E8" w:rsidP="00F11DB9">
            <w:pPr>
              <w:rPr>
                <w:rFonts w:cs="Arial"/>
                <w:i/>
                <w:sz w:val="8"/>
                <w:szCs w:val="8"/>
              </w:rPr>
            </w:pPr>
          </w:p>
          <w:p w:rsidR="009613E8" w:rsidRPr="00DB6380" w:rsidRDefault="009613E8" w:rsidP="00F11DB9">
            <w:pPr>
              <w:rPr>
                <w:rFonts w:cs="Arial"/>
                <w:sz w:val="16"/>
                <w:szCs w:val="16"/>
              </w:rPr>
            </w:pPr>
            <w:r w:rsidRPr="00DB6380">
              <w:rPr>
                <w:rFonts w:cs="Arial"/>
                <w:i/>
                <w:sz w:val="16"/>
                <w:szCs w:val="16"/>
              </w:rPr>
              <w:t>Original Baseline P&amp;B 2014/15:</w:t>
            </w:r>
            <w:r w:rsidRPr="00DB6380">
              <w:rPr>
                <w:rFonts w:cs="Arial"/>
                <w:sz w:val="16"/>
                <w:szCs w:val="16"/>
              </w:rPr>
              <w:t xml:space="preserve">  No. of transactions carried out using ePCT services at the end of 2013 for:  </w:t>
            </w:r>
          </w:p>
          <w:p w:rsidR="009613E8" w:rsidRPr="00DB6380" w:rsidRDefault="009613E8" w:rsidP="00F11DB9">
            <w:pPr>
              <w:rPr>
                <w:rFonts w:cs="Arial"/>
                <w:sz w:val="16"/>
                <w:szCs w:val="16"/>
              </w:rPr>
            </w:pPr>
            <w:r w:rsidRPr="00DB6380">
              <w:rPr>
                <w:rFonts w:cs="Arial"/>
                <w:sz w:val="16"/>
                <w:szCs w:val="16"/>
              </w:rPr>
              <w:t xml:space="preserve">--  applicants;   </w:t>
            </w:r>
          </w:p>
          <w:p w:rsidR="009613E8" w:rsidRPr="00DB6380" w:rsidRDefault="009613E8" w:rsidP="00F11DB9">
            <w:pPr>
              <w:rPr>
                <w:rFonts w:cs="Arial"/>
                <w:sz w:val="16"/>
                <w:szCs w:val="16"/>
              </w:rPr>
            </w:pPr>
            <w:r w:rsidRPr="00DB6380">
              <w:rPr>
                <w:rFonts w:cs="Arial"/>
                <w:sz w:val="16"/>
                <w:szCs w:val="16"/>
              </w:rPr>
              <w:t xml:space="preserve">--  third parties;  </w:t>
            </w:r>
          </w:p>
          <w:p w:rsidR="009613E8" w:rsidRPr="00DB6380" w:rsidRDefault="009613E8" w:rsidP="00F11DB9">
            <w:pPr>
              <w:rPr>
                <w:rFonts w:cs="Arial"/>
                <w:sz w:val="16"/>
                <w:szCs w:val="16"/>
              </w:rPr>
            </w:pPr>
            <w:r w:rsidRPr="00DB6380">
              <w:rPr>
                <w:rFonts w:cs="Arial"/>
                <w:sz w:val="16"/>
                <w:szCs w:val="16"/>
              </w:rPr>
              <w:t xml:space="preserve">--  Offices;  and   </w:t>
            </w:r>
          </w:p>
          <w:p w:rsidR="009613E8" w:rsidRPr="00DB6380" w:rsidRDefault="009613E8" w:rsidP="00F11DB9">
            <w:pPr>
              <w:rPr>
                <w:rFonts w:cs="Arial"/>
                <w:sz w:val="16"/>
                <w:szCs w:val="16"/>
              </w:rPr>
            </w:pPr>
            <w:r w:rsidRPr="00DB6380">
              <w:rPr>
                <w:rFonts w:cs="Arial"/>
                <w:sz w:val="16"/>
                <w:szCs w:val="16"/>
              </w:rPr>
              <w:t>--  Authorities</w:t>
            </w:r>
          </w:p>
        </w:tc>
        <w:tc>
          <w:tcPr>
            <w:tcW w:w="855" w:type="pct"/>
            <w:gridSpan w:val="3"/>
            <w:tcBorders>
              <w:top w:val="nil"/>
              <w:bottom w:val="single" w:sz="4" w:space="0" w:color="auto"/>
            </w:tcBorders>
            <w:shd w:val="clear" w:color="auto" w:fill="auto"/>
            <w:tcMar>
              <w:top w:w="110" w:type="dxa"/>
            </w:tcMar>
          </w:tcPr>
          <w:p w:rsidR="009613E8" w:rsidRPr="00DB6380" w:rsidRDefault="009613E8" w:rsidP="00F11DB9">
            <w:pPr>
              <w:rPr>
                <w:rFonts w:cs="Arial"/>
                <w:sz w:val="16"/>
                <w:szCs w:val="16"/>
              </w:rPr>
            </w:pPr>
            <w:r w:rsidRPr="00DB6380">
              <w:rPr>
                <w:rFonts w:cs="Arial"/>
                <w:sz w:val="16"/>
                <w:szCs w:val="16"/>
              </w:rPr>
              <w:t xml:space="preserve">Increased no. of transactions carried out using ePCT services for:   </w:t>
            </w:r>
          </w:p>
          <w:p w:rsidR="009613E8" w:rsidRPr="00DB6380" w:rsidRDefault="009613E8" w:rsidP="00F11DB9">
            <w:pPr>
              <w:rPr>
                <w:rFonts w:cs="Arial"/>
                <w:sz w:val="16"/>
                <w:szCs w:val="16"/>
              </w:rPr>
            </w:pPr>
            <w:r w:rsidRPr="00DB6380">
              <w:rPr>
                <w:rFonts w:cs="Arial"/>
                <w:sz w:val="16"/>
                <w:szCs w:val="16"/>
              </w:rPr>
              <w:t xml:space="preserve">-- applicants;  </w:t>
            </w:r>
          </w:p>
          <w:p w:rsidR="009613E8" w:rsidRPr="00DB6380" w:rsidRDefault="009613E8" w:rsidP="00F11DB9">
            <w:pPr>
              <w:rPr>
                <w:rFonts w:cs="Arial"/>
                <w:sz w:val="16"/>
                <w:szCs w:val="16"/>
              </w:rPr>
            </w:pPr>
            <w:r w:rsidRPr="00DB6380">
              <w:rPr>
                <w:rFonts w:cs="Arial"/>
                <w:sz w:val="16"/>
                <w:szCs w:val="16"/>
              </w:rPr>
              <w:t xml:space="preserve">-- third parties;    </w:t>
            </w:r>
          </w:p>
          <w:p w:rsidR="009613E8" w:rsidRPr="00DB6380" w:rsidRDefault="009613E8" w:rsidP="00F11DB9">
            <w:pPr>
              <w:rPr>
                <w:rFonts w:cs="Arial"/>
                <w:sz w:val="16"/>
                <w:szCs w:val="16"/>
              </w:rPr>
            </w:pPr>
            <w:r w:rsidRPr="00DB6380">
              <w:rPr>
                <w:rFonts w:cs="Arial"/>
                <w:sz w:val="16"/>
                <w:szCs w:val="16"/>
              </w:rPr>
              <w:t xml:space="preserve">-- Offices;  and   </w:t>
            </w:r>
          </w:p>
          <w:p w:rsidR="009613E8" w:rsidRPr="00DB6380" w:rsidRDefault="009613E8" w:rsidP="00F11DB9">
            <w:pPr>
              <w:rPr>
                <w:rFonts w:cs="Arial"/>
                <w:sz w:val="16"/>
                <w:szCs w:val="16"/>
                <w:lang w:bidi="th-TH"/>
              </w:rPr>
            </w:pPr>
            <w:r w:rsidRPr="00DB6380">
              <w:rPr>
                <w:rFonts w:cs="Arial"/>
                <w:sz w:val="16"/>
                <w:szCs w:val="16"/>
              </w:rPr>
              <w:t>-- Authorities</w:t>
            </w:r>
          </w:p>
        </w:tc>
        <w:tc>
          <w:tcPr>
            <w:tcW w:w="1279" w:type="pct"/>
            <w:gridSpan w:val="2"/>
            <w:tcBorders>
              <w:top w:val="nil"/>
              <w:bottom w:val="single" w:sz="4" w:space="0" w:color="auto"/>
            </w:tcBorders>
            <w:shd w:val="clear" w:color="auto" w:fill="FFFFFF"/>
            <w:tcMar>
              <w:top w:w="110" w:type="dxa"/>
            </w:tcMar>
          </w:tcPr>
          <w:p w:rsidR="009613E8" w:rsidRDefault="009613E8" w:rsidP="00F11DB9">
            <w:pPr>
              <w:pStyle w:val="ListParagraph"/>
              <w:ind w:left="0"/>
              <w:rPr>
                <w:rFonts w:cs="Arial"/>
                <w:sz w:val="16"/>
                <w:szCs w:val="16"/>
                <w:lang w:bidi="th-TH"/>
              </w:rPr>
            </w:pPr>
            <w:r w:rsidRPr="00DB6380">
              <w:rPr>
                <w:rFonts w:cs="Arial"/>
                <w:sz w:val="16"/>
                <w:szCs w:val="16"/>
                <w:lang w:bidi="th-TH"/>
              </w:rPr>
              <w:t>At the end of 2015, compared to the end of 2013:</w:t>
            </w:r>
          </w:p>
          <w:p w:rsidR="009613E8" w:rsidRPr="00DB6380" w:rsidRDefault="009613E8" w:rsidP="00F11DB9">
            <w:pPr>
              <w:pStyle w:val="ListParagraph"/>
              <w:ind w:left="0"/>
              <w:rPr>
                <w:rFonts w:cs="Arial"/>
                <w:sz w:val="16"/>
                <w:szCs w:val="16"/>
                <w:lang w:bidi="th-TH"/>
              </w:rPr>
            </w:pPr>
          </w:p>
          <w:p w:rsidR="009613E8" w:rsidRPr="00DB6380" w:rsidRDefault="009613E8" w:rsidP="00F11DB9">
            <w:pPr>
              <w:pStyle w:val="ListParagraph"/>
              <w:ind w:left="0"/>
              <w:rPr>
                <w:rFonts w:cs="Arial"/>
                <w:sz w:val="16"/>
                <w:szCs w:val="16"/>
                <w:lang w:bidi="th-TH"/>
              </w:rPr>
            </w:pPr>
            <w:r w:rsidRPr="00DB6380">
              <w:rPr>
                <w:rFonts w:cs="Arial"/>
                <w:sz w:val="16"/>
                <w:szCs w:val="16"/>
              </w:rPr>
              <w:t xml:space="preserve">-- </w:t>
            </w:r>
            <w:r w:rsidRPr="00DB6380">
              <w:rPr>
                <w:rFonts w:cs="Arial"/>
                <w:sz w:val="16"/>
                <w:szCs w:val="16"/>
                <w:lang w:bidi="th-TH"/>
              </w:rPr>
              <w:t>11,242 public applicants (+40%)</w:t>
            </w:r>
          </w:p>
          <w:p w:rsidR="009613E8" w:rsidRPr="00DB6380" w:rsidRDefault="009613E8" w:rsidP="00F11DB9">
            <w:pPr>
              <w:pStyle w:val="ListParagraph"/>
              <w:spacing w:before="60" w:after="60"/>
              <w:ind w:left="0"/>
              <w:rPr>
                <w:rFonts w:cs="Arial"/>
                <w:sz w:val="16"/>
                <w:szCs w:val="16"/>
                <w:lang w:bidi="th-TH"/>
              </w:rPr>
            </w:pPr>
            <w:r w:rsidRPr="00DB6380">
              <w:rPr>
                <w:rFonts w:cs="Arial"/>
                <w:sz w:val="16"/>
                <w:szCs w:val="16"/>
              </w:rPr>
              <w:t>--</w:t>
            </w:r>
            <w:r w:rsidRPr="00DB6380">
              <w:rPr>
                <w:rFonts w:cs="Arial"/>
                <w:sz w:val="16"/>
                <w:szCs w:val="16"/>
                <w:lang w:bidi="th-TH"/>
              </w:rPr>
              <w:t xml:space="preserve"> 29,590 private applicants (+522%) </w:t>
            </w:r>
          </w:p>
          <w:p w:rsidR="009613E8" w:rsidRDefault="009613E8" w:rsidP="00F11DB9">
            <w:pPr>
              <w:pStyle w:val="ListParagraph"/>
              <w:ind w:left="0"/>
              <w:rPr>
                <w:rFonts w:cs="Arial"/>
                <w:sz w:val="16"/>
                <w:szCs w:val="16"/>
                <w:lang w:bidi="th-TH"/>
              </w:rPr>
            </w:pPr>
            <w:r w:rsidRPr="00DB6380">
              <w:rPr>
                <w:rFonts w:cs="Arial"/>
                <w:sz w:val="16"/>
                <w:szCs w:val="16"/>
              </w:rPr>
              <w:t>--</w:t>
            </w:r>
            <w:r w:rsidRPr="00DB6380">
              <w:rPr>
                <w:rFonts w:cs="Arial"/>
                <w:sz w:val="16"/>
                <w:szCs w:val="16"/>
                <w:lang w:bidi="th-TH"/>
              </w:rPr>
              <w:t xml:space="preserve"> 70 third party observers  </w:t>
            </w:r>
          </w:p>
          <w:p w:rsidR="009613E8" w:rsidRPr="00DB6380" w:rsidRDefault="009613E8" w:rsidP="00F11DB9">
            <w:pPr>
              <w:pStyle w:val="ListParagraph"/>
              <w:ind w:left="0"/>
              <w:rPr>
                <w:rFonts w:cs="Arial"/>
                <w:sz w:val="16"/>
                <w:szCs w:val="16"/>
                <w:lang w:bidi="th-TH"/>
              </w:rPr>
            </w:pPr>
            <w:r w:rsidRPr="00DB6380">
              <w:rPr>
                <w:rFonts w:cs="Arial"/>
                <w:sz w:val="16"/>
                <w:szCs w:val="16"/>
                <w:lang w:bidi="th-TH"/>
              </w:rPr>
              <w:t xml:space="preserve">(-5%); </w:t>
            </w:r>
          </w:p>
          <w:p w:rsidR="009613E8" w:rsidRPr="00DB6380" w:rsidRDefault="009613E8" w:rsidP="00F11DB9">
            <w:pPr>
              <w:pStyle w:val="ListParagraph"/>
              <w:spacing w:before="60" w:after="60"/>
              <w:ind w:left="0"/>
              <w:rPr>
                <w:rFonts w:cs="Arial"/>
                <w:sz w:val="16"/>
                <w:szCs w:val="16"/>
              </w:rPr>
            </w:pPr>
            <w:r w:rsidRPr="00DB6380">
              <w:rPr>
                <w:rFonts w:cs="Arial"/>
                <w:sz w:val="16"/>
                <w:szCs w:val="16"/>
              </w:rPr>
              <w:t>-- 9,085 receiving Offices- (+267%);  and</w:t>
            </w:r>
          </w:p>
          <w:p w:rsidR="009613E8" w:rsidRDefault="009613E8" w:rsidP="00F11DB9">
            <w:pPr>
              <w:pStyle w:val="ListParagraph"/>
              <w:ind w:left="0"/>
              <w:rPr>
                <w:rFonts w:cs="Arial"/>
                <w:sz w:val="16"/>
                <w:szCs w:val="16"/>
                <w:lang w:bidi="th-TH"/>
              </w:rPr>
            </w:pPr>
            <w:r w:rsidRPr="00DB6380">
              <w:rPr>
                <w:rFonts w:cs="Arial"/>
                <w:sz w:val="16"/>
                <w:szCs w:val="16"/>
              </w:rPr>
              <w:t xml:space="preserve">-- </w:t>
            </w:r>
            <w:r w:rsidRPr="00DB6380">
              <w:rPr>
                <w:rFonts w:cs="Arial"/>
                <w:sz w:val="16"/>
                <w:szCs w:val="16"/>
                <w:lang w:bidi="th-TH"/>
              </w:rPr>
              <w:t>2,596 International Authorities (+8%).</w:t>
            </w:r>
          </w:p>
          <w:p w:rsidR="009613E8" w:rsidRPr="00DB6380" w:rsidRDefault="009613E8" w:rsidP="00F11DB9">
            <w:pPr>
              <w:pStyle w:val="ListParagraph"/>
              <w:ind w:left="0"/>
              <w:rPr>
                <w:rFonts w:cs="Arial"/>
                <w:sz w:val="16"/>
                <w:szCs w:val="16"/>
                <w:lang w:bidi="th-TH"/>
              </w:rPr>
            </w:pPr>
            <w:r>
              <w:rPr>
                <w:rFonts w:cs="Arial"/>
                <w:sz w:val="16"/>
                <w:szCs w:val="16"/>
                <w:lang w:bidi="th-TH"/>
              </w:rPr>
              <w:t>(cumulative)</w:t>
            </w:r>
          </w:p>
        </w:tc>
        <w:tc>
          <w:tcPr>
            <w:tcW w:w="512" w:type="pct"/>
            <w:tcBorders>
              <w:top w:val="nil"/>
              <w:bottom w:val="single" w:sz="4" w:space="0" w:color="auto"/>
              <w:right w:val="single" w:sz="4" w:space="0" w:color="auto"/>
            </w:tcBorders>
            <w:shd w:val="clear" w:color="auto" w:fill="auto"/>
          </w:tcPr>
          <w:p w:rsidR="009613E8" w:rsidRPr="00DB6380" w:rsidRDefault="009613E8" w:rsidP="00F11DB9">
            <w:pPr>
              <w:jc w:val="center"/>
              <w:rPr>
                <w:rFonts w:cs="Arial"/>
                <w:b/>
                <w:bCs/>
                <w:color w:val="00B050"/>
                <w:sz w:val="16"/>
                <w:szCs w:val="16"/>
              </w:rPr>
            </w:pPr>
            <w:r w:rsidRPr="00DB6380">
              <w:rPr>
                <w:rFonts w:cs="Arial"/>
                <w:b/>
                <w:bCs/>
                <w:color w:val="00B050"/>
                <w:sz w:val="16"/>
                <w:szCs w:val="16"/>
              </w:rPr>
              <w:t>Fully</w:t>
            </w:r>
          </w:p>
          <w:p w:rsidR="009613E8" w:rsidRPr="00DB6380" w:rsidRDefault="009613E8" w:rsidP="00F11DB9">
            <w:pPr>
              <w:jc w:val="center"/>
              <w:rPr>
                <w:rFonts w:cs="Arial"/>
                <w:b/>
                <w:bCs/>
                <w:color w:val="00B050"/>
                <w:sz w:val="16"/>
                <w:szCs w:val="16"/>
              </w:rPr>
            </w:pPr>
            <w:r w:rsidRPr="00DB6380">
              <w:rPr>
                <w:rFonts w:cs="Arial"/>
                <w:b/>
                <w:bCs/>
                <w:color w:val="00B050"/>
                <w:sz w:val="16"/>
                <w:szCs w:val="16"/>
              </w:rPr>
              <w:t>achieved</w:t>
            </w:r>
          </w:p>
        </w:tc>
      </w:tr>
      <w:tr w:rsidR="009613E8" w:rsidRPr="00DB6380" w:rsidTr="00F11DB9">
        <w:trPr>
          <w:trHeight w:val="423"/>
        </w:trPr>
        <w:tc>
          <w:tcPr>
            <w:tcW w:w="5000" w:type="pct"/>
            <w:gridSpan w:val="9"/>
            <w:tcBorders>
              <w:top w:val="single" w:sz="4" w:space="0" w:color="auto"/>
              <w:bottom w:val="single" w:sz="4" w:space="0" w:color="auto"/>
            </w:tcBorders>
            <w:shd w:val="clear" w:color="auto" w:fill="C6D9F1" w:themeFill="text2" w:themeFillTint="33"/>
            <w:vAlign w:val="center"/>
          </w:tcPr>
          <w:p w:rsidR="009613E8" w:rsidRPr="00DB6380" w:rsidRDefault="009613E8" w:rsidP="00BA6F3B">
            <w:pPr>
              <w:keepNext/>
              <w:keepLines/>
              <w:tabs>
                <w:tab w:val="left" w:pos="1452"/>
              </w:tabs>
              <w:ind w:left="1452" w:hanging="1452"/>
              <w:rPr>
                <w:rFonts w:cs="Arial"/>
                <w:b/>
                <w:bCs/>
                <w:sz w:val="16"/>
                <w:szCs w:val="16"/>
              </w:rPr>
            </w:pPr>
            <w:r w:rsidRPr="00DB6380">
              <w:rPr>
                <w:rFonts w:cs="Arial"/>
                <w:b/>
                <w:bCs/>
                <w:sz w:val="16"/>
                <w:szCs w:val="16"/>
              </w:rPr>
              <w:lastRenderedPageBreak/>
              <w:t>Expected Result:</w:t>
            </w:r>
            <w:r w:rsidRPr="00DB6380">
              <w:rPr>
                <w:rFonts w:cs="Arial"/>
                <w:b/>
                <w:bCs/>
                <w:sz w:val="16"/>
                <w:szCs w:val="16"/>
              </w:rPr>
              <w:tab/>
            </w:r>
            <w:r w:rsidR="00876ED8">
              <w:rPr>
                <w:rFonts w:cs="Arial"/>
                <w:b/>
                <w:bCs/>
                <w:sz w:val="16"/>
                <w:szCs w:val="16"/>
              </w:rPr>
              <w:t xml:space="preserve">  </w:t>
            </w:r>
            <w:r w:rsidR="00876ED8" w:rsidRPr="00BA6F3B">
              <w:rPr>
                <w:rFonts w:cs="Arial"/>
                <w:bCs/>
                <w:sz w:val="16"/>
                <w:szCs w:val="16"/>
              </w:rPr>
              <w:t xml:space="preserve">II.3 </w:t>
            </w:r>
            <w:r w:rsidRPr="00DB6380">
              <w:rPr>
                <w:rFonts w:cs="Arial"/>
                <w:sz w:val="16"/>
                <w:szCs w:val="16"/>
              </w:rPr>
              <w:t>Improved productivity and service quality of PCT operations</w:t>
            </w:r>
          </w:p>
        </w:tc>
      </w:tr>
      <w:tr w:rsidR="009613E8" w:rsidRPr="00DB6380" w:rsidTr="00F11DB9">
        <w:tc>
          <w:tcPr>
            <w:tcW w:w="1104" w:type="pct"/>
            <w:tcBorders>
              <w:top w:val="single" w:sz="4" w:space="0" w:color="auto"/>
              <w:left w:val="single" w:sz="4" w:space="0" w:color="auto"/>
              <w:bottom w:val="nil"/>
            </w:tcBorders>
            <w:shd w:val="clear" w:color="auto" w:fill="auto"/>
          </w:tcPr>
          <w:p w:rsidR="009613E8" w:rsidRPr="00DB6380" w:rsidRDefault="009613E8" w:rsidP="00F11DB9">
            <w:pPr>
              <w:keepNext/>
              <w:keepLines/>
              <w:rPr>
                <w:rFonts w:cs="Arial"/>
                <w:sz w:val="16"/>
                <w:szCs w:val="16"/>
              </w:rPr>
            </w:pPr>
            <w:r w:rsidRPr="00DB6380">
              <w:rPr>
                <w:rFonts w:cs="Arial"/>
                <w:b/>
                <w:bCs/>
                <w:sz w:val="16"/>
                <w:szCs w:val="16"/>
              </w:rPr>
              <w:t>Performance Indicators</w:t>
            </w:r>
          </w:p>
        </w:tc>
        <w:tc>
          <w:tcPr>
            <w:tcW w:w="1250" w:type="pct"/>
            <w:gridSpan w:val="2"/>
            <w:tcBorders>
              <w:top w:val="single" w:sz="4" w:space="0" w:color="auto"/>
              <w:bottom w:val="nil"/>
            </w:tcBorders>
            <w:shd w:val="clear" w:color="auto" w:fill="auto"/>
          </w:tcPr>
          <w:p w:rsidR="009613E8" w:rsidRPr="00DB6380" w:rsidRDefault="009613E8" w:rsidP="00F11DB9">
            <w:pPr>
              <w:keepNext/>
              <w:keepLines/>
              <w:rPr>
                <w:rFonts w:cs="Arial"/>
                <w:b/>
                <w:bCs/>
                <w:sz w:val="16"/>
                <w:szCs w:val="16"/>
              </w:rPr>
            </w:pPr>
            <w:r w:rsidRPr="00DB6380">
              <w:rPr>
                <w:rFonts w:cs="Arial"/>
                <w:b/>
                <w:bCs/>
                <w:sz w:val="16"/>
                <w:szCs w:val="16"/>
              </w:rPr>
              <w:t>Baselines</w:t>
            </w:r>
          </w:p>
        </w:tc>
        <w:tc>
          <w:tcPr>
            <w:tcW w:w="810" w:type="pct"/>
            <w:gridSpan w:val="2"/>
            <w:tcBorders>
              <w:top w:val="single" w:sz="4" w:space="0" w:color="auto"/>
              <w:bottom w:val="nil"/>
            </w:tcBorders>
            <w:shd w:val="clear" w:color="auto" w:fill="auto"/>
            <w:tcMar>
              <w:top w:w="110" w:type="dxa"/>
            </w:tcMar>
          </w:tcPr>
          <w:p w:rsidR="009613E8" w:rsidRPr="00DB6380" w:rsidRDefault="009613E8" w:rsidP="00F11DB9">
            <w:pPr>
              <w:keepNext/>
              <w:keepLines/>
              <w:rPr>
                <w:rFonts w:cs="Arial"/>
                <w:b/>
                <w:sz w:val="16"/>
                <w:szCs w:val="16"/>
              </w:rPr>
            </w:pPr>
            <w:r w:rsidRPr="00DB6380">
              <w:rPr>
                <w:rFonts w:cs="Arial"/>
                <w:b/>
                <w:sz w:val="16"/>
                <w:szCs w:val="16"/>
              </w:rPr>
              <w:t>Targets</w:t>
            </w:r>
          </w:p>
        </w:tc>
        <w:tc>
          <w:tcPr>
            <w:tcW w:w="1324" w:type="pct"/>
            <w:gridSpan w:val="3"/>
            <w:tcBorders>
              <w:top w:val="single" w:sz="4" w:space="0" w:color="auto"/>
              <w:bottom w:val="nil"/>
            </w:tcBorders>
            <w:shd w:val="clear" w:color="auto" w:fill="FFFFFF"/>
            <w:tcMar>
              <w:top w:w="110" w:type="dxa"/>
            </w:tcMar>
          </w:tcPr>
          <w:p w:rsidR="009613E8" w:rsidRPr="00DB6380" w:rsidRDefault="009613E8" w:rsidP="00F11DB9">
            <w:pPr>
              <w:keepNext/>
              <w:keepLines/>
              <w:rPr>
                <w:rFonts w:cs="Arial"/>
                <w:sz w:val="16"/>
                <w:szCs w:val="16"/>
              </w:rPr>
            </w:pPr>
            <w:r w:rsidRPr="00DB6380">
              <w:rPr>
                <w:rFonts w:cs="Arial"/>
                <w:b/>
                <w:bCs/>
                <w:sz w:val="16"/>
                <w:szCs w:val="16"/>
              </w:rPr>
              <w:t>Performance Data</w:t>
            </w:r>
          </w:p>
        </w:tc>
        <w:tc>
          <w:tcPr>
            <w:tcW w:w="512" w:type="pct"/>
            <w:tcBorders>
              <w:top w:val="single" w:sz="4" w:space="0" w:color="auto"/>
              <w:bottom w:val="nil"/>
              <w:right w:val="single" w:sz="4" w:space="0" w:color="auto"/>
            </w:tcBorders>
            <w:shd w:val="clear" w:color="auto" w:fill="auto"/>
            <w:tcMar>
              <w:top w:w="110" w:type="dxa"/>
            </w:tcMar>
            <w:vAlign w:val="center"/>
          </w:tcPr>
          <w:p w:rsidR="009613E8" w:rsidRPr="00DB6380" w:rsidRDefault="009613E8" w:rsidP="00F11DB9">
            <w:pPr>
              <w:keepNext/>
              <w:keepLines/>
              <w:jc w:val="center"/>
              <w:rPr>
                <w:rFonts w:cs="Arial"/>
                <w:b/>
                <w:bCs/>
                <w:sz w:val="16"/>
                <w:szCs w:val="16"/>
              </w:rPr>
            </w:pPr>
            <w:r w:rsidRPr="00DB6380">
              <w:rPr>
                <w:rFonts w:cs="Arial"/>
                <w:b/>
                <w:bCs/>
                <w:sz w:val="16"/>
                <w:szCs w:val="16"/>
              </w:rPr>
              <w:t>TLS</w:t>
            </w:r>
          </w:p>
        </w:tc>
      </w:tr>
      <w:tr w:rsidR="009613E8" w:rsidRPr="00DB6380" w:rsidTr="00F11DB9">
        <w:tc>
          <w:tcPr>
            <w:tcW w:w="1104" w:type="pct"/>
            <w:tcBorders>
              <w:top w:val="nil"/>
              <w:left w:val="single" w:sz="4" w:space="0" w:color="auto"/>
              <w:bottom w:val="nil"/>
            </w:tcBorders>
            <w:shd w:val="clear" w:color="auto" w:fill="FFFFFF"/>
          </w:tcPr>
          <w:p w:rsidR="009613E8" w:rsidRPr="00DB6380" w:rsidRDefault="009613E8" w:rsidP="00F11DB9">
            <w:pPr>
              <w:keepNext/>
              <w:keepLines/>
              <w:rPr>
                <w:rFonts w:cs="Arial"/>
                <w:sz w:val="16"/>
                <w:szCs w:val="16"/>
              </w:rPr>
            </w:pPr>
            <w:r w:rsidRPr="00DB6380">
              <w:rPr>
                <w:rFonts w:cs="Arial"/>
                <w:sz w:val="16"/>
                <w:szCs w:val="16"/>
              </w:rPr>
              <w:t xml:space="preserve">Application unit cost </w:t>
            </w:r>
          </w:p>
        </w:tc>
        <w:tc>
          <w:tcPr>
            <w:tcW w:w="1250" w:type="pct"/>
            <w:gridSpan w:val="2"/>
            <w:tcBorders>
              <w:top w:val="nil"/>
              <w:bottom w:val="nil"/>
            </w:tcBorders>
            <w:shd w:val="clear" w:color="auto" w:fill="auto"/>
          </w:tcPr>
          <w:p w:rsidR="009613E8" w:rsidRPr="00DB6380" w:rsidRDefault="009613E8" w:rsidP="00F11DB9">
            <w:pPr>
              <w:pStyle w:val="Default"/>
              <w:rPr>
                <w:color w:val="002060"/>
                <w:sz w:val="16"/>
                <w:szCs w:val="16"/>
              </w:rPr>
            </w:pPr>
            <w:r w:rsidRPr="00DB6380">
              <w:rPr>
                <w:i/>
                <w:color w:val="002060"/>
                <w:sz w:val="16"/>
                <w:szCs w:val="16"/>
              </w:rPr>
              <w:t>Updated Baseline end 2013:</w:t>
            </w:r>
            <w:r w:rsidRPr="00DB6380">
              <w:rPr>
                <w:color w:val="943634" w:themeColor="accent2" w:themeShade="BF"/>
                <w:sz w:val="16"/>
                <w:szCs w:val="16"/>
              </w:rPr>
              <w:t xml:space="preserve">  </w:t>
            </w:r>
            <w:r w:rsidRPr="00DB6380">
              <w:rPr>
                <w:color w:val="002060"/>
                <w:sz w:val="16"/>
                <w:szCs w:val="16"/>
              </w:rPr>
              <w:t>722 Swiss francs (2013)</w:t>
            </w:r>
          </w:p>
          <w:p w:rsidR="009613E8" w:rsidRPr="00DB6380" w:rsidRDefault="009613E8" w:rsidP="00F11DB9">
            <w:pPr>
              <w:rPr>
                <w:rFonts w:cs="Arial"/>
                <w:i/>
                <w:sz w:val="8"/>
                <w:szCs w:val="8"/>
              </w:rPr>
            </w:pPr>
          </w:p>
          <w:p w:rsidR="009613E8" w:rsidRPr="00DB6380" w:rsidRDefault="009613E8" w:rsidP="00F11DB9">
            <w:pPr>
              <w:rPr>
                <w:rFonts w:cs="Arial"/>
                <w:sz w:val="16"/>
                <w:szCs w:val="16"/>
              </w:rPr>
            </w:pPr>
            <w:r w:rsidRPr="00DB6380">
              <w:rPr>
                <w:rFonts w:cs="Arial"/>
                <w:i/>
                <w:sz w:val="16"/>
                <w:szCs w:val="16"/>
              </w:rPr>
              <w:t>Original Baseline P&amp;B 2014/15:</w:t>
            </w:r>
            <w:r w:rsidRPr="00DB6380">
              <w:rPr>
                <w:rFonts w:cs="Arial"/>
                <w:sz w:val="16"/>
                <w:szCs w:val="16"/>
              </w:rPr>
              <w:t xml:space="preserve">  Unit cost in 2013</w:t>
            </w:r>
          </w:p>
          <w:p w:rsidR="009613E8" w:rsidRPr="00DB6380" w:rsidRDefault="009613E8" w:rsidP="00F11DB9">
            <w:pPr>
              <w:keepNext/>
              <w:keepLines/>
              <w:rPr>
                <w:rFonts w:cs="Arial"/>
                <w:sz w:val="16"/>
                <w:szCs w:val="16"/>
              </w:rPr>
            </w:pPr>
          </w:p>
        </w:tc>
        <w:tc>
          <w:tcPr>
            <w:tcW w:w="810" w:type="pct"/>
            <w:gridSpan w:val="2"/>
            <w:tcBorders>
              <w:top w:val="nil"/>
              <w:bottom w:val="nil"/>
            </w:tcBorders>
            <w:shd w:val="clear" w:color="auto" w:fill="auto"/>
            <w:tcMar>
              <w:top w:w="110" w:type="dxa"/>
            </w:tcMar>
          </w:tcPr>
          <w:p w:rsidR="009613E8" w:rsidRPr="00DB6380" w:rsidRDefault="009613E8" w:rsidP="00F11DB9">
            <w:pPr>
              <w:keepNext/>
              <w:keepLines/>
              <w:autoSpaceDE w:val="0"/>
              <w:autoSpaceDN w:val="0"/>
              <w:adjustRightInd w:val="0"/>
              <w:rPr>
                <w:rFonts w:cs="Arial"/>
                <w:sz w:val="16"/>
                <w:szCs w:val="16"/>
              </w:rPr>
            </w:pPr>
            <w:r w:rsidRPr="00DB6380">
              <w:rPr>
                <w:rFonts w:cs="Arial"/>
                <w:sz w:val="16"/>
                <w:szCs w:val="16"/>
              </w:rPr>
              <w:t>Lower unit cost</w:t>
            </w:r>
          </w:p>
        </w:tc>
        <w:tc>
          <w:tcPr>
            <w:tcW w:w="1324" w:type="pct"/>
            <w:gridSpan w:val="3"/>
            <w:tcBorders>
              <w:top w:val="nil"/>
              <w:bottom w:val="nil"/>
            </w:tcBorders>
            <w:shd w:val="clear" w:color="auto" w:fill="FFFFFF"/>
            <w:tcMar>
              <w:top w:w="110" w:type="dxa"/>
            </w:tcMar>
          </w:tcPr>
          <w:p w:rsidR="009613E8" w:rsidRDefault="009613E8" w:rsidP="00F11DB9">
            <w:pPr>
              <w:keepNext/>
              <w:keepLines/>
              <w:rPr>
                <w:rFonts w:cs="Arial"/>
                <w:sz w:val="16"/>
                <w:szCs w:val="16"/>
              </w:rPr>
            </w:pPr>
            <w:r>
              <w:rPr>
                <w:rFonts w:cs="Arial"/>
                <w:sz w:val="16"/>
                <w:szCs w:val="16"/>
              </w:rPr>
              <w:t>662 Swiss francs (2014)</w:t>
            </w:r>
          </w:p>
          <w:p w:rsidR="009613E8" w:rsidRDefault="009613E8" w:rsidP="00F11DB9">
            <w:pPr>
              <w:keepNext/>
              <w:keepLines/>
              <w:rPr>
                <w:rFonts w:cs="Arial"/>
                <w:sz w:val="16"/>
                <w:szCs w:val="16"/>
              </w:rPr>
            </w:pPr>
          </w:p>
          <w:p w:rsidR="00260A06" w:rsidRDefault="00260A06" w:rsidP="00F11DB9">
            <w:pPr>
              <w:keepNext/>
              <w:keepLines/>
              <w:rPr>
                <w:rFonts w:cs="Arial"/>
                <w:sz w:val="16"/>
                <w:szCs w:val="16"/>
              </w:rPr>
            </w:pPr>
          </w:p>
          <w:p w:rsidR="009613E8" w:rsidRDefault="009613E8" w:rsidP="00F11DB9">
            <w:pPr>
              <w:keepNext/>
              <w:keepLines/>
              <w:rPr>
                <w:rFonts w:cs="Arial"/>
                <w:sz w:val="16"/>
                <w:szCs w:val="16"/>
                <w:vertAlign w:val="superscript"/>
              </w:rPr>
            </w:pPr>
            <w:r>
              <w:rPr>
                <w:rFonts w:cs="Arial"/>
                <w:sz w:val="16"/>
                <w:szCs w:val="16"/>
              </w:rPr>
              <w:t>735 Swiss francs(2015)</w:t>
            </w:r>
            <w:r>
              <w:rPr>
                <w:rStyle w:val="FootnoteReference"/>
                <w:rFonts w:cs="Arial"/>
                <w:sz w:val="16"/>
                <w:szCs w:val="16"/>
              </w:rPr>
              <w:footnoteReference w:id="18"/>
            </w:r>
          </w:p>
          <w:p w:rsidR="009613E8" w:rsidRDefault="009613E8" w:rsidP="00F11DB9">
            <w:pPr>
              <w:keepNext/>
              <w:keepLines/>
              <w:rPr>
                <w:rFonts w:cs="Arial"/>
                <w:sz w:val="16"/>
                <w:szCs w:val="16"/>
              </w:rPr>
            </w:pPr>
          </w:p>
          <w:p w:rsidR="00260A06" w:rsidRDefault="00260A06" w:rsidP="00F11DB9">
            <w:pPr>
              <w:keepNext/>
              <w:keepLines/>
              <w:rPr>
                <w:rFonts w:cs="Arial"/>
                <w:sz w:val="16"/>
                <w:szCs w:val="16"/>
              </w:rPr>
            </w:pPr>
          </w:p>
          <w:p w:rsidR="009613E8" w:rsidRDefault="009613E8" w:rsidP="00F11DB9">
            <w:pPr>
              <w:keepNext/>
              <w:keepLines/>
              <w:rPr>
                <w:rFonts w:cs="Arial"/>
                <w:sz w:val="16"/>
                <w:szCs w:val="16"/>
              </w:rPr>
            </w:pPr>
            <w:r>
              <w:rPr>
                <w:rFonts w:cs="Arial"/>
                <w:sz w:val="16"/>
                <w:szCs w:val="16"/>
              </w:rPr>
              <w:t>Average 698 Swiss francs in the 2014/15 biennium, 2.7% lower than average 717 Swiss francs in the 2012/13 biennium</w:t>
            </w:r>
          </w:p>
          <w:p w:rsidR="009613E8" w:rsidRPr="00DB6380" w:rsidRDefault="009613E8" w:rsidP="00F11DB9">
            <w:pPr>
              <w:keepNext/>
              <w:keepLines/>
              <w:rPr>
                <w:rFonts w:cs="Arial"/>
                <w:sz w:val="16"/>
                <w:szCs w:val="16"/>
                <w:lang w:bidi="th-TH"/>
              </w:rPr>
            </w:pPr>
          </w:p>
        </w:tc>
        <w:tc>
          <w:tcPr>
            <w:tcW w:w="512" w:type="pct"/>
            <w:tcBorders>
              <w:top w:val="nil"/>
              <w:bottom w:val="nil"/>
              <w:right w:val="single" w:sz="4" w:space="0" w:color="auto"/>
            </w:tcBorders>
            <w:shd w:val="clear" w:color="auto" w:fill="auto"/>
            <w:tcMar>
              <w:top w:w="110" w:type="dxa"/>
            </w:tcMar>
          </w:tcPr>
          <w:p w:rsidR="009613E8" w:rsidRPr="009B345B" w:rsidRDefault="009613E8" w:rsidP="00F11DB9">
            <w:pPr>
              <w:jc w:val="center"/>
              <w:rPr>
                <w:rFonts w:cs="Arial"/>
                <w:b/>
                <w:color w:val="00B050"/>
                <w:sz w:val="16"/>
                <w:szCs w:val="16"/>
                <w:lang w:val="en-GB" w:eastAsia="en-GB"/>
              </w:rPr>
            </w:pPr>
            <w:r w:rsidRPr="009B345B">
              <w:rPr>
                <w:rFonts w:cs="Arial"/>
                <w:b/>
                <w:color w:val="00B050"/>
                <w:sz w:val="16"/>
                <w:szCs w:val="16"/>
                <w:lang w:val="en-GB" w:eastAsia="en-GB"/>
              </w:rPr>
              <w:t>Fully</w:t>
            </w:r>
          </w:p>
          <w:p w:rsidR="00260A06" w:rsidRDefault="009613E8" w:rsidP="00F11DB9">
            <w:pPr>
              <w:jc w:val="center"/>
              <w:rPr>
                <w:rFonts w:cs="Arial"/>
                <w:b/>
                <w:color w:val="00B050"/>
                <w:sz w:val="16"/>
                <w:szCs w:val="16"/>
                <w:lang w:val="en-GB" w:eastAsia="en-GB"/>
              </w:rPr>
            </w:pPr>
            <w:r w:rsidRPr="009B345B">
              <w:rPr>
                <w:rFonts w:cs="Arial"/>
                <w:b/>
                <w:color w:val="00B050"/>
                <w:sz w:val="16"/>
                <w:szCs w:val="16"/>
                <w:lang w:val="en-GB" w:eastAsia="en-GB"/>
              </w:rPr>
              <w:t>Achieved</w:t>
            </w:r>
          </w:p>
          <w:p w:rsidR="00260A06" w:rsidRDefault="00260A06" w:rsidP="00F11DB9">
            <w:pPr>
              <w:jc w:val="center"/>
              <w:rPr>
                <w:rFonts w:cs="Arial"/>
                <w:b/>
                <w:color w:val="00B050"/>
                <w:sz w:val="16"/>
                <w:szCs w:val="16"/>
                <w:lang w:val="en-GB" w:eastAsia="en-GB"/>
              </w:rPr>
            </w:pPr>
          </w:p>
          <w:p w:rsidR="009613E8" w:rsidRPr="00E15E4D" w:rsidRDefault="009613E8" w:rsidP="00F11DB9">
            <w:pPr>
              <w:jc w:val="center"/>
              <w:rPr>
                <w:rFonts w:cs="Arial"/>
                <w:b/>
                <w:color w:val="FF0000"/>
                <w:sz w:val="16"/>
                <w:szCs w:val="16"/>
                <w:lang w:val="en-GB" w:eastAsia="en-GB"/>
              </w:rPr>
            </w:pPr>
            <w:r w:rsidRPr="00E15E4D">
              <w:rPr>
                <w:rFonts w:cs="Arial"/>
                <w:b/>
                <w:color w:val="FF0000"/>
                <w:sz w:val="16"/>
                <w:szCs w:val="16"/>
                <w:lang w:val="en-GB" w:eastAsia="en-GB"/>
              </w:rPr>
              <w:t>Not Achieved</w:t>
            </w:r>
          </w:p>
          <w:p w:rsidR="009613E8" w:rsidRDefault="009613E8" w:rsidP="00F11DB9">
            <w:pPr>
              <w:keepNext/>
              <w:keepLines/>
              <w:jc w:val="center"/>
              <w:rPr>
                <w:rFonts w:cs="Arial"/>
                <w:b/>
                <w:bCs/>
                <w:color w:val="00B050"/>
                <w:sz w:val="16"/>
                <w:szCs w:val="16"/>
              </w:rPr>
            </w:pPr>
          </w:p>
          <w:p w:rsidR="00260A06" w:rsidRDefault="00260A06" w:rsidP="00F11DB9">
            <w:pPr>
              <w:keepNext/>
              <w:keepLines/>
              <w:jc w:val="center"/>
              <w:rPr>
                <w:rFonts w:cs="Arial"/>
                <w:b/>
                <w:bCs/>
                <w:color w:val="00B050"/>
                <w:sz w:val="16"/>
                <w:szCs w:val="16"/>
              </w:rPr>
            </w:pPr>
          </w:p>
          <w:p w:rsidR="009613E8" w:rsidRPr="009B345B" w:rsidRDefault="009613E8" w:rsidP="00F11DB9">
            <w:pPr>
              <w:jc w:val="center"/>
              <w:rPr>
                <w:rFonts w:cs="Arial"/>
                <w:b/>
                <w:color w:val="00B050"/>
                <w:sz w:val="16"/>
                <w:szCs w:val="16"/>
                <w:lang w:val="en-GB" w:eastAsia="en-GB"/>
              </w:rPr>
            </w:pPr>
            <w:r w:rsidRPr="009B345B">
              <w:rPr>
                <w:rFonts w:cs="Arial"/>
                <w:b/>
                <w:color w:val="00B050"/>
                <w:sz w:val="16"/>
                <w:szCs w:val="16"/>
                <w:lang w:val="en-GB" w:eastAsia="en-GB"/>
              </w:rPr>
              <w:t>Fully</w:t>
            </w:r>
          </w:p>
          <w:p w:rsidR="009613E8" w:rsidRDefault="009613E8" w:rsidP="00F11DB9">
            <w:pPr>
              <w:keepNext/>
              <w:keepLines/>
              <w:jc w:val="center"/>
              <w:rPr>
                <w:rFonts w:cs="Arial"/>
                <w:b/>
                <w:bCs/>
                <w:color w:val="00B050"/>
                <w:sz w:val="16"/>
                <w:szCs w:val="16"/>
              </w:rPr>
            </w:pPr>
            <w:r w:rsidRPr="009B345B">
              <w:rPr>
                <w:rFonts w:cs="Arial"/>
                <w:b/>
                <w:color w:val="00B050"/>
                <w:sz w:val="16"/>
                <w:szCs w:val="16"/>
                <w:lang w:val="en-GB" w:eastAsia="en-GB"/>
              </w:rPr>
              <w:t>Achieved</w:t>
            </w:r>
          </w:p>
          <w:p w:rsidR="009613E8" w:rsidRPr="00DB6380" w:rsidRDefault="009613E8" w:rsidP="00F11DB9">
            <w:pPr>
              <w:keepNext/>
              <w:keepLines/>
              <w:jc w:val="center"/>
              <w:rPr>
                <w:rFonts w:cs="Arial"/>
                <w:b/>
                <w:bCs/>
                <w:color w:val="00B050"/>
                <w:sz w:val="16"/>
                <w:szCs w:val="16"/>
              </w:rPr>
            </w:pPr>
          </w:p>
        </w:tc>
      </w:tr>
      <w:tr w:rsidR="009613E8" w:rsidRPr="00DB6380" w:rsidTr="00F11DB9">
        <w:tc>
          <w:tcPr>
            <w:tcW w:w="1104" w:type="pct"/>
            <w:tcBorders>
              <w:top w:val="nil"/>
              <w:left w:val="single" w:sz="4" w:space="0" w:color="auto"/>
              <w:bottom w:val="nil"/>
            </w:tcBorders>
            <w:shd w:val="clear" w:color="auto" w:fill="FFFFFF"/>
          </w:tcPr>
          <w:p w:rsidR="009613E8" w:rsidRPr="00DB6380" w:rsidRDefault="009613E8" w:rsidP="00F11DB9">
            <w:pPr>
              <w:rPr>
                <w:rFonts w:cs="Arial"/>
                <w:sz w:val="16"/>
                <w:szCs w:val="16"/>
              </w:rPr>
            </w:pPr>
            <w:r w:rsidRPr="00DB6380">
              <w:rPr>
                <w:rFonts w:cs="Arial"/>
                <w:sz w:val="16"/>
                <w:szCs w:val="16"/>
              </w:rPr>
              <w:t>Aggregate quality of formalities examination (including timeliness)</w:t>
            </w:r>
          </w:p>
        </w:tc>
        <w:tc>
          <w:tcPr>
            <w:tcW w:w="1250" w:type="pct"/>
            <w:gridSpan w:val="2"/>
            <w:tcBorders>
              <w:top w:val="nil"/>
              <w:bottom w:val="nil"/>
            </w:tcBorders>
            <w:shd w:val="clear" w:color="auto" w:fill="auto"/>
          </w:tcPr>
          <w:p w:rsidR="009613E8" w:rsidRPr="00DB6380" w:rsidRDefault="009613E8" w:rsidP="00F11DB9">
            <w:pPr>
              <w:pStyle w:val="Default"/>
              <w:rPr>
                <w:color w:val="002060"/>
                <w:sz w:val="16"/>
                <w:szCs w:val="16"/>
              </w:rPr>
            </w:pPr>
            <w:r w:rsidRPr="00DB6380">
              <w:rPr>
                <w:i/>
                <w:color w:val="002060"/>
                <w:sz w:val="16"/>
                <w:szCs w:val="16"/>
              </w:rPr>
              <w:t>Updated Baseline end 2013:</w:t>
            </w:r>
            <w:r w:rsidRPr="00DB6380">
              <w:rPr>
                <w:color w:val="943634" w:themeColor="accent2" w:themeShade="BF"/>
                <w:sz w:val="16"/>
                <w:szCs w:val="16"/>
              </w:rPr>
              <w:t xml:space="preserve">  </w:t>
            </w:r>
            <w:r w:rsidRPr="00DB6380">
              <w:rPr>
                <w:color w:val="002060"/>
                <w:sz w:val="16"/>
                <w:szCs w:val="16"/>
              </w:rPr>
              <w:t>88.74% (average 2011-13)</w:t>
            </w:r>
          </w:p>
          <w:p w:rsidR="009613E8" w:rsidRPr="00DB6380" w:rsidRDefault="009613E8" w:rsidP="00F11DB9">
            <w:pPr>
              <w:jc w:val="center"/>
              <w:rPr>
                <w:rFonts w:cs="Arial"/>
                <w:i/>
                <w:sz w:val="8"/>
                <w:szCs w:val="8"/>
              </w:rPr>
            </w:pPr>
          </w:p>
          <w:p w:rsidR="009613E8" w:rsidRPr="00DB6380" w:rsidRDefault="009613E8" w:rsidP="00F11DB9">
            <w:pPr>
              <w:pStyle w:val="Default"/>
              <w:rPr>
                <w:i/>
                <w:color w:val="002060"/>
                <w:sz w:val="16"/>
                <w:szCs w:val="16"/>
              </w:rPr>
            </w:pPr>
            <w:r w:rsidRPr="00DB6380">
              <w:rPr>
                <w:i/>
                <w:sz w:val="16"/>
                <w:szCs w:val="16"/>
              </w:rPr>
              <w:t>Original Baseline P&amp;B 2014/15:</w:t>
            </w:r>
            <w:r w:rsidRPr="00DB6380">
              <w:rPr>
                <w:sz w:val="16"/>
                <w:szCs w:val="16"/>
              </w:rPr>
              <w:t xml:space="preserve">  </w:t>
            </w:r>
            <w:r w:rsidRPr="00DB6380">
              <w:rPr>
                <w:rFonts w:eastAsia="Times New Roman"/>
                <w:color w:val="auto"/>
                <w:sz w:val="16"/>
                <w:szCs w:val="16"/>
                <w:lang w:eastAsia="en-US"/>
              </w:rPr>
              <w:t>Average of last three years</w:t>
            </w:r>
          </w:p>
        </w:tc>
        <w:tc>
          <w:tcPr>
            <w:tcW w:w="810" w:type="pct"/>
            <w:gridSpan w:val="2"/>
            <w:tcBorders>
              <w:top w:val="nil"/>
              <w:bottom w:val="nil"/>
            </w:tcBorders>
            <w:shd w:val="clear" w:color="auto" w:fill="auto"/>
            <w:tcMar>
              <w:top w:w="110" w:type="dxa"/>
            </w:tcMar>
          </w:tcPr>
          <w:p w:rsidR="009613E8" w:rsidRPr="00DB6380" w:rsidRDefault="009613E8" w:rsidP="00F11DB9">
            <w:pPr>
              <w:autoSpaceDE w:val="0"/>
              <w:autoSpaceDN w:val="0"/>
              <w:adjustRightInd w:val="0"/>
              <w:rPr>
                <w:rFonts w:cs="Arial"/>
                <w:sz w:val="16"/>
                <w:szCs w:val="16"/>
              </w:rPr>
            </w:pPr>
            <w:r w:rsidRPr="00DB6380">
              <w:rPr>
                <w:rFonts w:cs="Arial"/>
                <w:sz w:val="16"/>
                <w:szCs w:val="16"/>
              </w:rPr>
              <w:t>Higher Quality</w:t>
            </w:r>
          </w:p>
        </w:tc>
        <w:tc>
          <w:tcPr>
            <w:tcW w:w="1324" w:type="pct"/>
            <w:gridSpan w:val="3"/>
            <w:tcBorders>
              <w:top w:val="nil"/>
              <w:bottom w:val="nil"/>
            </w:tcBorders>
            <w:shd w:val="clear" w:color="auto" w:fill="FFFFFF"/>
            <w:tcMar>
              <w:top w:w="110" w:type="dxa"/>
            </w:tcMar>
          </w:tcPr>
          <w:p w:rsidR="009613E8" w:rsidRPr="00DB6380" w:rsidRDefault="009613E8" w:rsidP="00F11DB9">
            <w:pPr>
              <w:rPr>
                <w:rFonts w:cs="Arial"/>
                <w:sz w:val="16"/>
                <w:szCs w:val="16"/>
              </w:rPr>
            </w:pPr>
            <w:r w:rsidRPr="00DB6380">
              <w:rPr>
                <w:rFonts w:cs="Arial"/>
                <w:sz w:val="16"/>
                <w:szCs w:val="16"/>
              </w:rPr>
              <w:t>89.60% (2012-2014)</w:t>
            </w:r>
          </w:p>
          <w:p w:rsidR="009613E8" w:rsidRPr="00DB6380" w:rsidRDefault="009613E8" w:rsidP="00F11DB9">
            <w:pPr>
              <w:rPr>
                <w:rFonts w:cs="Arial"/>
                <w:sz w:val="16"/>
                <w:szCs w:val="16"/>
              </w:rPr>
            </w:pPr>
            <w:r w:rsidRPr="00DB6380">
              <w:rPr>
                <w:rFonts w:cs="Arial"/>
                <w:sz w:val="16"/>
                <w:szCs w:val="16"/>
              </w:rPr>
              <w:t>91.13% (2013-2015)</w:t>
            </w:r>
          </w:p>
        </w:tc>
        <w:tc>
          <w:tcPr>
            <w:tcW w:w="512" w:type="pct"/>
            <w:tcBorders>
              <w:top w:val="nil"/>
              <w:bottom w:val="nil"/>
              <w:right w:val="single" w:sz="4" w:space="0" w:color="auto"/>
            </w:tcBorders>
            <w:shd w:val="clear" w:color="auto" w:fill="auto"/>
            <w:tcMar>
              <w:top w:w="110" w:type="dxa"/>
            </w:tcMar>
          </w:tcPr>
          <w:p w:rsidR="009613E8" w:rsidRPr="00DB6380" w:rsidRDefault="009613E8" w:rsidP="00F11DB9">
            <w:pPr>
              <w:jc w:val="center"/>
              <w:rPr>
                <w:rFonts w:cs="Arial"/>
                <w:b/>
                <w:color w:val="00B050"/>
                <w:sz w:val="16"/>
                <w:szCs w:val="16"/>
                <w:lang w:val="en-GB" w:eastAsia="en-GB"/>
              </w:rPr>
            </w:pPr>
            <w:r w:rsidRPr="00DB6380">
              <w:rPr>
                <w:rFonts w:cs="Arial"/>
                <w:b/>
                <w:color w:val="00B050"/>
                <w:sz w:val="16"/>
                <w:szCs w:val="16"/>
                <w:lang w:val="en-GB" w:eastAsia="en-GB"/>
              </w:rPr>
              <w:t>Fully</w:t>
            </w:r>
          </w:p>
          <w:p w:rsidR="009613E8" w:rsidRPr="00DB6380" w:rsidRDefault="009613E8" w:rsidP="00F11DB9">
            <w:pPr>
              <w:jc w:val="center"/>
              <w:rPr>
                <w:rFonts w:cs="Arial"/>
                <w:b/>
                <w:color w:val="00B050"/>
                <w:sz w:val="16"/>
                <w:szCs w:val="16"/>
                <w:lang w:val="en-GB" w:eastAsia="en-GB"/>
              </w:rPr>
            </w:pPr>
            <w:r w:rsidRPr="00DB6380">
              <w:rPr>
                <w:rFonts w:cs="Arial"/>
                <w:b/>
                <w:color w:val="00B050"/>
                <w:sz w:val="16"/>
                <w:szCs w:val="16"/>
                <w:lang w:val="en-GB" w:eastAsia="en-GB"/>
              </w:rPr>
              <w:t>Achieved</w:t>
            </w:r>
          </w:p>
          <w:p w:rsidR="009613E8" w:rsidRPr="00DB6380" w:rsidRDefault="009613E8" w:rsidP="00F11DB9">
            <w:pPr>
              <w:jc w:val="center"/>
              <w:rPr>
                <w:rFonts w:cs="Arial"/>
                <w:b/>
                <w:bCs/>
                <w:color w:val="00B050"/>
                <w:sz w:val="16"/>
                <w:szCs w:val="16"/>
              </w:rPr>
            </w:pPr>
          </w:p>
        </w:tc>
      </w:tr>
      <w:tr w:rsidR="009613E8" w:rsidRPr="00DB6380" w:rsidTr="00F11DB9">
        <w:tc>
          <w:tcPr>
            <w:tcW w:w="1104" w:type="pct"/>
            <w:tcBorders>
              <w:top w:val="nil"/>
              <w:left w:val="single" w:sz="4" w:space="0" w:color="auto"/>
              <w:bottom w:val="nil"/>
            </w:tcBorders>
            <w:shd w:val="clear" w:color="auto" w:fill="FFFFFF"/>
          </w:tcPr>
          <w:p w:rsidR="009613E8" w:rsidRPr="00DB6380" w:rsidRDefault="009613E8" w:rsidP="00F11DB9">
            <w:pPr>
              <w:rPr>
                <w:rFonts w:cs="Arial"/>
                <w:sz w:val="16"/>
                <w:szCs w:val="16"/>
              </w:rPr>
            </w:pPr>
            <w:r w:rsidRPr="00DB6380">
              <w:rPr>
                <w:rFonts w:cs="Arial"/>
                <w:sz w:val="16"/>
                <w:szCs w:val="16"/>
              </w:rPr>
              <w:t>Quality of translation</w:t>
            </w:r>
          </w:p>
        </w:tc>
        <w:tc>
          <w:tcPr>
            <w:tcW w:w="1250" w:type="pct"/>
            <w:gridSpan w:val="2"/>
            <w:tcBorders>
              <w:top w:val="nil"/>
              <w:bottom w:val="nil"/>
            </w:tcBorders>
            <w:shd w:val="clear" w:color="auto" w:fill="auto"/>
          </w:tcPr>
          <w:p w:rsidR="009613E8" w:rsidRPr="00DB6380" w:rsidRDefault="009613E8" w:rsidP="00F11DB9">
            <w:pPr>
              <w:rPr>
                <w:rFonts w:eastAsia="Batang" w:cs="Arial"/>
                <w:color w:val="002060"/>
                <w:sz w:val="16"/>
                <w:szCs w:val="16"/>
                <w:lang w:eastAsia="ja-JP"/>
              </w:rPr>
            </w:pPr>
            <w:r w:rsidRPr="00DB6380">
              <w:rPr>
                <w:i/>
                <w:color w:val="002060"/>
                <w:sz w:val="16"/>
                <w:szCs w:val="16"/>
              </w:rPr>
              <w:t>Updated Baseline end 2013:</w:t>
            </w:r>
            <w:r w:rsidRPr="00DB6380">
              <w:rPr>
                <w:color w:val="943634" w:themeColor="accent2" w:themeShade="BF"/>
                <w:sz w:val="16"/>
                <w:szCs w:val="16"/>
              </w:rPr>
              <w:t xml:space="preserve">  </w:t>
            </w:r>
            <w:r w:rsidRPr="00DB6380">
              <w:rPr>
                <w:rFonts w:eastAsia="Batang" w:cs="Arial"/>
                <w:color w:val="002060"/>
                <w:sz w:val="16"/>
                <w:szCs w:val="16"/>
                <w:lang w:eastAsia="ja-JP"/>
              </w:rPr>
              <w:t>86.23% (2011-2013)</w:t>
            </w:r>
          </w:p>
          <w:p w:rsidR="009613E8" w:rsidRPr="00DB6380" w:rsidRDefault="009613E8" w:rsidP="00F11DB9">
            <w:pPr>
              <w:rPr>
                <w:rFonts w:cs="Arial"/>
                <w:i/>
                <w:sz w:val="8"/>
                <w:szCs w:val="8"/>
              </w:rPr>
            </w:pPr>
          </w:p>
          <w:p w:rsidR="009613E8" w:rsidRPr="00DB6380" w:rsidRDefault="009613E8" w:rsidP="00F11DB9">
            <w:pPr>
              <w:pStyle w:val="Default"/>
              <w:rPr>
                <w:i/>
                <w:color w:val="002060"/>
                <w:sz w:val="16"/>
                <w:szCs w:val="16"/>
              </w:rPr>
            </w:pPr>
            <w:r w:rsidRPr="00DB6380">
              <w:rPr>
                <w:i/>
                <w:sz w:val="16"/>
                <w:szCs w:val="16"/>
              </w:rPr>
              <w:t>Original Baseline P&amp;B 2014/15:</w:t>
            </w:r>
            <w:r w:rsidRPr="00DB6380">
              <w:rPr>
                <w:sz w:val="16"/>
                <w:szCs w:val="16"/>
              </w:rPr>
              <w:t xml:space="preserve">  </w:t>
            </w:r>
            <w:r w:rsidRPr="00DB6380">
              <w:rPr>
                <w:rFonts w:eastAsia="Times New Roman"/>
                <w:color w:val="auto"/>
                <w:sz w:val="16"/>
                <w:szCs w:val="16"/>
                <w:lang w:eastAsia="en-US"/>
              </w:rPr>
              <w:t>Average of last three years</w:t>
            </w:r>
          </w:p>
        </w:tc>
        <w:tc>
          <w:tcPr>
            <w:tcW w:w="810" w:type="pct"/>
            <w:gridSpan w:val="2"/>
            <w:tcBorders>
              <w:top w:val="nil"/>
              <w:bottom w:val="nil"/>
            </w:tcBorders>
            <w:shd w:val="clear" w:color="auto" w:fill="auto"/>
            <w:tcMar>
              <w:top w:w="110" w:type="dxa"/>
            </w:tcMar>
          </w:tcPr>
          <w:p w:rsidR="009613E8" w:rsidRPr="00DB6380" w:rsidRDefault="009613E8" w:rsidP="00F11DB9">
            <w:pPr>
              <w:autoSpaceDE w:val="0"/>
              <w:autoSpaceDN w:val="0"/>
              <w:adjustRightInd w:val="0"/>
              <w:rPr>
                <w:rFonts w:cs="Arial"/>
                <w:sz w:val="16"/>
                <w:szCs w:val="16"/>
              </w:rPr>
            </w:pPr>
            <w:r w:rsidRPr="00DB6380">
              <w:rPr>
                <w:rFonts w:cs="Arial"/>
                <w:sz w:val="16"/>
                <w:szCs w:val="16"/>
              </w:rPr>
              <w:t>Higher quality</w:t>
            </w:r>
          </w:p>
        </w:tc>
        <w:tc>
          <w:tcPr>
            <w:tcW w:w="1324" w:type="pct"/>
            <w:gridSpan w:val="3"/>
            <w:tcBorders>
              <w:top w:val="nil"/>
              <w:bottom w:val="nil"/>
            </w:tcBorders>
            <w:shd w:val="clear" w:color="auto" w:fill="FFFFFF"/>
            <w:tcMar>
              <w:top w:w="110" w:type="dxa"/>
            </w:tcMar>
          </w:tcPr>
          <w:p w:rsidR="009613E8" w:rsidRPr="00D73BDC" w:rsidRDefault="009613E8" w:rsidP="00F11DB9">
            <w:pPr>
              <w:rPr>
                <w:rFonts w:cs="Arial"/>
                <w:sz w:val="16"/>
                <w:szCs w:val="16"/>
              </w:rPr>
            </w:pPr>
            <w:r w:rsidRPr="00D73BDC">
              <w:rPr>
                <w:rFonts w:eastAsia="Batang" w:cs="Arial"/>
                <w:sz w:val="16"/>
                <w:szCs w:val="16"/>
                <w:lang w:eastAsia="ja-JP"/>
              </w:rPr>
              <w:t>86.77% (2012-2014)</w:t>
            </w:r>
          </w:p>
          <w:p w:rsidR="009613E8" w:rsidRPr="00E15E4D" w:rsidRDefault="009613E8" w:rsidP="00F11DB9">
            <w:pPr>
              <w:rPr>
                <w:rFonts w:cs="Arial"/>
                <w:sz w:val="16"/>
                <w:szCs w:val="16"/>
              </w:rPr>
            </w:pPr>
            <w:r w:rsidRPr="00580FAD">
              <w:rPr>
                <w:rFonts w:cs="Arial"/>
                <w:sz w:val="16"/>
                <w:szCs w:val="16"/>
              </w:rPr>
              <w:t>86.90% (2013-2015)</w:t>
            </w:r>
          </w:p>
        </w:tc>
        <w:tc>
          <w:tcPr>
            <w:tcW w:w="512" w:type="pct"/>
            <w:tcBorders>
              <w:top w:val="nil"/>
              <w:bottom w:val="nil"/>
              <w:right w:val="single" w:sz="4" w:space="0" w:color="auto"/>
            </w:tcBorders>
            <w:shd w:val="clear" w:color="auto" w:fill="auto"/>
            <w:tcMar>
              <w:top w:w="110" w:type="dxa"/>
            </w:tcMar>
          </w:tcPr>
          <w:p w:rsidR="009613E8" w:rsidRPr="00DB6380" w:rsidRDefault="009613E8" w:rsidP="00F11DB9">
            <w:pPr>
              <w:jc w:val="center"/>
              <w:rPr>
                <w:rFonts w:cs="Arial"/>
                <w:b/>
                <w:bCs/>
                <w:color w:val="00B050"/>
                <w:sz w:val="16"/>
                <w:szCs w:val="16"/>
              </w:rPr>
            </w:pPr>
            <w:r w:rsidRPr="00DB6380">
              <w:rPr>
                <w:rFonts w:cs="Arial"/>
                <w:b/>
                <w:bCs/>
                <w:color w:val="00B050"/>
                <w:sz w:val="16"/>
                <w:szCs w:val="16"/>
              </w:rPr>
              <w:t>Fully</w:t>
            </w:r>
          </w:p>
          <w:p w:rsidR="009613E8" w:rsidRPr="00DB6380" w:rsidRDefault="009613E8" w:rsidP="00F11DB9">
            <w:pPr>
              <w:jc w:val="center"/>
              <w:rPr>
                <w:rFonts w:cs="Arial"/>
                <w:b/>
                <w:bCs/>
                <w:color w:val="00B050"/>
                <w:sz w:val="16"/>
                <w:szCs w:val="16"/>
              </w:rPr>
            </w:pPr>
            <w:r w:rsidRPr="00DB6380">
              <w:rPr>
                <w:rFonts w:cs="Arial"/>
                <w:b/>
                <w:bCs/>
                <w:color w:val="00B050"/>
                <w:sz w:val="16"/>
                <w:szCs w:val="16"/>
              </w:rPr>
              <w:t>Achieved</w:t>
            </w:r>
          </w:p>
        </w:tc>
      </w:tr>
      <w:tr w:rsidR="009613E8" w:rsidRPr="00DB6380" w:rsidTr="00F11DB9">
        <w:tc>
          <w:tcPr>
            <w:tcW w:w="1104" w:type="pct"/>
            <w:tcBorders>
              <w:top w:val="nil"/>
              <w:left w:val="single" w:sz="4" w:space="0" w:color="auto"/>
              <w:bottom w:val="nil"/>
            </w:tcBorders>
            <w:shd w:val="clear" w:color="auto" w:fill="FFFFFF"/>
          </w:tcPr>
          <w:p w:rsidR="009613E8" w:rsidRPr="00DB6380" w:rsidRDefault="009613E8" w:rsidP="00F11DB9">
            <w:pPr>
              <w:rPr>
                <w:rFonts w:cs="Arial"/>
                <w:sz w:val="16"/>
                <w:szCs w:val="16"/>
              </w:rPr>
            </w:pPr>
            <w:r w:rsidRPr="00DB6380">
              <w:rPr>
                <w:rFonts w:cs="Arial"/>
                <w:sz w:val="16"/>
                <w:szCs w:val="16"/>
              </w:rPr>
              <w:t>Timeliness of report translation</w:t>
            </w:r>
          </w:p>
        </w:tc>
        <w:tc>
          <w:tcPr>
            <w:tcW w:w="1250" w:type="pct"/>
            <w:gridSpan w:val="2"/>
            <w:tcBorders>
              <w:top w:val="nil"/>
              <w:bottom w:val="nil"/>
            </w:tcBorders>
            <w:shd w:val="clear" w:color="auto" w:fill="auto"/>
          </w:tcPr>
          <w:p w:rsidR="009613E8" w:rsidRPr="00DB6380" w:rsidRDefault="009613E8" w:rsidP="00F11DB9">
            <w:pPr>
              <w:pStyle w:val="Default"/>
              <w:rPr>
                <w:color w:val="002060"/>
                <w:sz w:val="16"/>
                <w:szCs w:val="16"/>
              </w:rPr>
            </w:pPr>
            <w:r w:rsidRPr="00DB6380">
              <w:rPr>
                <w:i/>
                <w:color w:val="002060"/>
                <w:sz w:val="16"/>
                <w:szCs w:val="16"/>
              </w:rPr>
              <w:t>Updated Baseline end 2013:</w:t>
            </w:r>
            <w:r w:rsidRPr="00DB6380">
              <w:rPr>
                <w:color w:val="943634" w:themeColor="accent2" w:themeShade="BF"/>
                <w:sz w:val="16"/>
                <w:szCs w:val="16"/>
              </w:rPr>
              <w:t xml:space="preserve">  </w:t>
            </w:r>
            <w:r w:rsidRPr="00DB6380">
              <w:rPr>
                <w:color w:val="002060"/>
                <w:sz w:val="16"/>
                <w:szCs w:val="16"/>
              </w:rPr>
              <w:t>64% on time (2013)</w:t>
            </w:r>
          </w:p>
          <w:p w:rsidR="009613E8" w:rsidRPr="00DB6380" w:rsidRDefault="009613E8" w:rsidP="00F11DB9">
            <w:pPr>
              <w:rPr>
                <w:rFonts w:cs="Arial"/>
                <w:i/>
                <w:sz w:val="8"/>
                <w:szCs w:val="8"/>
              </w:rPr>
            </w:pPr>
          </w:p>
          <w:p w:rsidR="009613E8" w:rsidRPr="00DB6380" w:rsidRDefault="009613E8" w:rsidP="00F11DB9">
            <w:pPr>
              <w:rPr>
                <w:rFonts w:cs="Arial"/>
                <w:sz w:val="16"/>
                <w:szCs w:val="16"/>
              </w:rPr>
            </w:pPr>
            <w:r w:rsidRPr="00DB6380">
              <w:rPr>
                <w:rFonts w:cs="Arial"/>
                <w:i/>
                <w:sz w:val="16"/>
                <w:szCs w:val="16"/>
              </w:rPr>
              <w:t>Original Baseline P&amp;B 2014/15:</w:t>
            </w:r>
            <w:r w:rsidRPr="00DB6380">
              <w:rPr>
                <w:rFonts w:cs="Arial"/>
                <w:sz w:val="16"/>
                <w:szCs w:val="16"/>
              </w:rPr>
              <w:t xml:space="preserve">  Timelines in 2013</w:t>
            </w:r>
          </w:p>
          <w:p w:rsidR="009613E8" w:rsidRPr="00DB6380" w:rsidRDefault="009613E8" w:rsidP="00F11DB9">
            <w:pPr>
              <w:pStyle w:val="Default"/>
              <w:rPr>
                <w:i/>
                <w:color w:val="002060"/>
                <w:sz w:val="16"/>
                <w:szCs w:val="16"/>
              </w:rPr>
            </w:pPr>
          </w:p>
        </w:tc>
        <w:tc>
          <w:tcPr>
            <w:tcW w:w="810" w:type="pct"/>
            <w:gridSpan w:val="2"/>
            <w:tcBorders>
              <w:top w:val="nil"/>
              <w:bottom w:val="nil"/>
            </w:tcBorders>
            <w:shd w:val="clear" w:color="auto" w:fill="auto"/>
            <w:tcMar>
              <w:top w:w="110" w:type="dxa"/>
            </w:tcMar>
          </w:tcPr>
          <w:p w:rsidR="009613E8" w:rsidRPr="00DB6380" w:rsidRDefault="009613E8" w:rsidP="00F11DB9">
            <w:pPr>
              <w:autoSpaceDE w:val="0"/>
              <w:autoSpaceDN w:val="0"/>
              <w:adjustRightInd w:val="0"/>
              <w:rPr>
                <w:rFonts w:cs="Arial"/>
                <w:sz w:val="16"/>
                <w:szCs w:val="16"/>
              </w:rPr>
            </w:pPr>
            <w:r w:rsidRPr="00DB6380">
              <w:rPr>
                <w:rFonts w:cs="Arial"/>
                <w:sz w:val="16"/>
                <w:szCs w:val="16"/>
              </w:rPr>
              <w:t>Improvement</w:t>
            </w:r>
          </w:p>
        </w:tc>
        <w:tc>
          <w:tcPr>
            <w:tcW w:w="1324" w:type="pct"/>
            <w:gridSpan w:val="3"/>
            <w:tcBorders>
              <w:top w:val="nil"/>
              <w:bottom w:val="nil"/>
            </w:tcBorders>
            <w:shd w:val="clear" w:color="auto" w:fill="FFFFFF"/>
            <w:tcMar>
              <w:top w:w="110" w:type="dxa"/>
            </w:tcMar>
          </w:tcPr>
          <w:p w:rsidR="009613E8" w:rsidRPr="00D73BDC" w:rsidRDefault="009613E8" w:rsidP="00F11DB9">
            <w:pPr>
              <w:rPr>
                <w:rFonts w:cs="Arial"/>
                <w:sz w:val="16"/>
                <w:szCs w:val="16"/>
              </w:rPr>
            </w:pPr>
            <w:r w:rsidRPr="00D73BDC">
              <w:rPr>
                <w:sz w:val="16"/>
                <w:szCs w:val="16"/>
              </w:rPr>
              <w:t>82.5% (2014)</w:t>
            </w:r>
          </w:p>
          <w:p w:rsidR="009613E8" w:rsidRPr="00E15E4D" w:rsidRDefault="009613E8" w:rsidP="00F11DB9">
            <w:pPr>
              <w:rPr>
                <w:rFonts w:cs="Arial"/>
                <w:sz w:val="16"/>
                <w:szCs w:val="16"/>
              </w:rPr>
            </w:pPr>
            <w:r w:rsidRPr="00580FAD">
              <w:rPr>
                <w:rFonts w:cs="Arial"/>
                <w:sz w:val="16"/>
                <w:szCs w:val="16"/>
              </w:rPr>
              <w:t>90.0% (2015)</w:t>
            </w:r>
          </w:p>
        </w:tc>
        <w:tc>
          <w:tcPr>
            <w:tcW w:w="512" w:type="pct"/>
            <w:tcBorders>
              <w:top w:val="nil"/>
              <w:bottom w:val="nil"/>
              <w:right w:val="single" w:sz="4" w:space="0" w:color="auto"/>
            </w:tcBorders>
            <w:shd w:val="clear" w:color="auto" w:fill="auto"/>
            <w:tcMar>
              <w:top w:w="110" w:type="dxa"/>
            </w:tcMar>
          </w:tcPr>
          <w:p w:rsidR="009613E8" w:rsidRPr="00DB6380" w:rsidRDefault="009613E8" w:rsidP="00F11DB9">
            <w:pPr>
              <w:jc w:val="center"/>
              <w:rPr>
                <w:rFonts w:cs="Arial"/>
                <w:b/>
                <w:bCs/>
                <w:color w:val="00B050"/>
                <w:sz w:val="16"/>
                <w:szCs w:val="16"/>
              </w:rPr>
            </w:pPr>
            <w:r w:rsidRPr="00DB6380">
              <w:rPr>
                <w:rFonts w:cs="Arial"/>
                <w:b/>
                <w:bCs/>
                <w:color w:val="00B050"/>
                <w:sz w:val="16"/>
                <w:szCs w:val="16"/>
              </w:rPr>
              <w:t>Fully</w:t>
            </w:r>
          </w:p>
          <w:p w:rsidR="009613E8" w:rsidRPr="00DB6380" w:rsidRDefault="009613E8" w:rsidP="00F11DB9">
            <w:pPr>
              <w:jc w:val="center"/>
              <w:rPr>
                <w:rFonts w:cs="Arial"/>
                <w:b/>
                <w:bCs/>
                <w:color w:val="00B050"/>
                <w:sz w:val="16"/>
                <w:szCs w:val="16"/>
              </w:rPr>
            </w:pPr>
            <w:r w:rsidRPr="00DB6380">
              <w:rPr>
                <w:rFonts w:cs="Arial"/>
                <w:b/>
                <w:bCs/>
                <w:color w:val="00B050"/>
                <w:sz w:val="16"/>
                <w:szCs w:val="16"/>
              </w:rPr>
              <w:t>Achieved</w:t>
            </w:r>
          </w:p>
        </w:tc>
      </w:tr>
      <w:tr w:rsidR="009613E8" w:rsidRPr="00DB6380" w:rsidTr="00F11DB9">
        <w:tc>
          <w:tcPr>
            <w:tcW w:w="1104" w:type="pct"/>
            <w:tcBorders>
              <w:top w:val="nil"/>
              <w:left w:val="single" w:sz="4" w:space="0" w:color="auto"/>
              <w:bottom w:val="nil"/>
            </w:tcBorders>
            <w:shd w:val="clear" w:color="auto" w:fill="FFFFFF"/>
          </w:tcPr>
          <w:p w:rsidR="009613E8" w:rsidRPr="00DB6380" w:rsidRDefault="009613E8" w:rsidP="00F11DB9">
            <w:pPr>
              <w:rPr>
                <w:rFonts w:cs="Arial"/>
                <w:sz w:val="16"/>
                <w:szCs w:val="16"/>
              </w:rPr>
            </w:pPr>
            <w:r w:rsidRPr="00DB6380">
              <w:rPr>
                <w:rFonts w:cs="Arial"/>
                <w:sz w:val="16"/>
                <w:szCs w:val="16"/>
              </w:rPr>
              <w:t>Quality of software development (QSD)</w:t>
            </w:r>
          </w:p>
        </w:tc>
        <w:tc>
          <w:tcPr>
            <w:tcW w:w="1250" w:type="pct"/>
            <w:gridSpan w:val="2"/>
            <w:tcBorders>
              <w:top w:val="nil"/>
              <w:bottom w:val="nil"/>
            </w:tcBorders>
            <w:shd w:val="clear" w:color="auto" w:fill="auto"/>
          </w:tcPr>
          <w:p w:rsidR="009613E8" w:rsidRPr="00DB6380" w:rsidRDefault="009613E8" w:rsidP="00F11DB9">
            <w:pPr>
              <w:pStyle w:val="Default"/>
              <w:rPr>
                <w:color w:val="002060"/>
                <w:sz w:val="16"/>
                <w:szCs w:val="16"/>
              </w:rPr>
            </w:pPr>
            <w:r w:rsidRPr="00DB6380">
              <w:rPr>
                <w:i/>
                <w:color w:val="002060"/>
                <w:sz w:val="16"/>
                <w:szCs w:val="16"/>
              </w:rPr>
              <w:t>Updated Baseline end 2013:</w:t>
            </w:r>
            <w:r w:rsidRPr="00DB6380">
              <w:rPr>
                <w:color w:val="943634" w:themeColor="accent2" w:themeShade="BF"/>
                <w:sz w:val="16"/>
                <w:szCs w:val="16"/>
              </w:rPr>
              <w:t xml:space="preserve">  </w:t>
            </w:r>
            <w:r w:rsidRPr="00DB6380">
              <w:rPr>
                <w:color w:val="002060"/>
                <w:sz w:val="16"/>
                <w:szCs w:val="16"/>
              </w:rPr>
              <w:t>89.4% (2013)</w:t>
            </w:r>
          </w:p>
          <w:p w:rsidR="009613E8" w:rsidRPr="00DB6380" w:rsidRDefault="009613E8" w:rsidP="00F11DB9">
            <w:pPr>
              <w:rPr>
                <w:rFonts w:cs="Arial"/>
                <w:i/>
                <w:sz w:val="8"/>
                <w:szCs w:val="8"/>
              </w:rPr>
            </w:pPr>
          </w:p>
          <w:p w:rsidR="009613E8" w:rsidRPr="00DB6380" w:rsidRDefault="009613E8" w:rsidP="00F11DB9">
            <w:pPr>
              <w:rPr>
                <w:rFonts w:cs="Arial"/>
                <w:sz w:val="16"/>
                <w:szCs w:val="16"/>
              </w:rPr>
            </w:pPr>
            <w:r w:rsidRPr="00DB6380">
              <w:rPr>
                <w:rFonts w:cs="Arial"/>
                <w:i/>
                <w:sz w:val="16"/>
                <w:szCs w:val="16"/>
              </w:rPr>
              <w:t>Original Baseline P&amp;B 2014/15:</w:t>
            </w:r>
            <w:r w:rsidRPr="00DB6380">
              <w:rPr>
                <w:rFonts w:cs="Arial"/>
                <w:sz w:val="16"/>
                <w:szCs w:val="16"/>
              </w:rPr>
              <w:t xml:space="preserve">  QSD for latest build of</w:t>
            </w:r>
          </w:p>
          <w:p w:rsidR="009613E8" w:rsidRPr="00DB6380" w:rsidRDefault="009613E8" w:rsidP="00F11DB9">
            <w:pPr>
              <w:rPr>
                <w:rFonts w:cs="Arial"/>
                <w:sz w:val="16"/>
                <w:szCs w:val="16"/>
              </w:rPr>
            </w:pPr>
            <w:r w:rsidRPr="00DB6380">
              <w:rPr>
                <w:rFonts w:cs="Arial"/>
                <w:sz w:val="16"/>
                <w:szCs w:val="16"/>
              </w:rPr>
              <w:t>ePCT and eDossier in 2013</w:t>
            </w:r>
          </w:p>
          <w:p w:rsidR="009613E8" w:rsidRPr="00DB6380" w:rsidRDefault="009613E8" w:rsidP="00F11DB9">
            <w:pPr>
              <w:pStyle w:val="Default"/>
              <w:rPr>
                <w:i/>
                <w:color w:val="002060"/>
                <w:sz w:val="16"/>
                <w:szCs w:val="16"/>
              </w:rPr>
            </w:pPr>
          </w:p>
        </w:tc>
        <w:tc>
          <w:tcPr>
            <w:tcW w:w="810" w:type="pct"/>
            <w:gridSpan w:val="2"/>
            <w:tcBorders>
              <w:top w:val="nil"/>
              <w:bottom w:val="nil"/>
            </w:tcBorders>
            <w:shd w:val="clear" w:color="auto" w:fill="auto"/>
            <w:tcMar>
              <w:top w:w="110" w:type="dxa"/>
            </w:tcMar>
          </w:tcPr>
          <w:p w:rsidR="009613E8" w:rsidRPr="00DB6380" w:rsidRDefault="009613E8" w:rsidP="00F11DB9">
            <w:pPr>
              <w:autoSpaceDE w:val="0"/>
              <w:autoSpaceDN w:val="0"/>
              <w:adjustRightInd w:val="0"/>
              <w:rPr>
                <w:rFonts w:cs="Arial"/>
                <w:sz w:val="16"/>
                <w:szCs w:val="16"/>
              </w:rPr>
            </w:pPr>
            <w:r w:rsidRPr="00DB6380">
              <w:rPr>
                <w:rFonts w:cs="Arial"/>
                <w:sz w:val="16"/>
                <w:szCs w:val="16"/>
              </w:rPr>
              <w:t>Higher QSD</w:t>
            </w:r>
          </w:p>
        </w:tc>
        <w:tc>
          <w:tcPr>
            <w:tcW w:w="1324" w:type="pct"/>
            <w:gridSpan w:val="3"/>
            <w:tcBorders>
              <w:top w:val="nil"/>
              <w:bottom w:val="nil"/>
            </w:tcBorders>
            <w:shd w:val="clear" w:color="auto" w:fill="FFFFFF"/>
            <w:tcMar>
              <w:top w:w="110" w:type="dxa"/>
            </w:tcMar>
          </w:tcPr>
          <w:p w:rsidR="009613E8" w:rsidRPr="00DB6380" w:rsidRDefault="009613E8" w:rsidP="00F11DB9">
            <w:pPr>
              <w:rPr>
                <w:rFonts w:cs="Arial"/>
                <w:sz w:val="16"/>
                <w:szCs w:val="16"/>
              </w:rPr>
            </w:pPr>
            <w:r w:rsidRPr="00DB6380">
              <w:rPr>
                <w:rFonts w:cs="Arial"/>
                <w:sz w:val="16"/>
                <w:szCs w:val="16"/>
              </w:rPr>
              <w:t>94.5% (2014)</w:t>
            </w:r>
          </w:p>
          <w:p w:rsidR="009613E8" w:rsidRPr="00DB6380" w:rsidRDefault="009613E8" w:rsidP="00F11DB9">
            <w:pPr>
              <w:rPr>
                <w:rFonts w:cs="Arial"/>
                <w:sz w:val="16"/>
                <w:szCs w:val="16"/>
              </w:rPr>
            </w:pPr>
            <w:r w:rsidRPr="00DB6380">
              <w:rPr>
                <w:rFonts w:cs="Arial"/>
                <w:sz w:val="16"/>
                <w:szCs w:val="16"/>
              </w:rPr>
              <w:t>91.9% (2015)</w:t>
            </w:r>
          </w:p>
        </w:tc>
        <w:tc>
          <w:tcPr>
            <w:tcW w:w="512" w:type="pct"/>
            <w:tcBorders>
              <w:top w:val="nil"/>
              <w:bottom w:val="nil"/>
              <w:right w:val="single" w:sz="4" w:space="0" w:color="auto"/>
            </w:tcBorders>
            <w:shd w:val="clear" w:color="auto" w:fill="auto"/>
            <w:tcMar>
              <w:top w:w="110" w:type="dxa"/>
            </w:tcMar>
          </w:tcPr>
          <w:p w:rsidR="009613E8" w:rsidRPr="00DB6380" w:rsidRDefault="009613E8" w:rsidP="00F11DB9">
            <w:pPr>
              <w:jc w:val="center"/>
              <w:rPr>
                <w:rFonts w:cs="Arial"/>
                <w:b/>
                <w:color w:val="00B050"/>
                <w:sz w:val="16"/>
                <w:szCs w:val="16"/>
                <w:lang w:val="en-GB" w:eastAsia="en-GB"/>
              </w:rPr>
            </w:pPr>
            <w:r w:rsidRPr="00DB6380">
              <w:rPr>
                <w:rFonts w:cs="Arial"/>
                <w:b/>
                <w:color w:val="00B050"/>
                <w:sz w:val="16"/>
                <w:szCs w:val="16"/>
                <w:lang w:val="en-GB" w:eastAsia="en-GB"/>
              </w:rPr>
              <w:t>Fully</w:t>
            </w:r>
          </w:p>
          <w:p w:rsidR="009613E8" w:rsidRPr="00DB6380" w:rsidRDefault="009613E8" w:rsidP="00F11DB9">
            <w:pPr>
              <w:jc w:val="center"/>
              <w:rPr>
                <w:rFonts w:cs="Arial"/>
                <w:b/>
                <w:color w:val="00B050"/>
                <w:sz w:val="16"/>
                <w:szCs w:val="16"/>
                <w:lang w:val="en-GB" w:eastAsia="en-GB"/>
              </w:rPr>
            </w:pPr>
            <w:r w:rsidRPr="00DB6380">
              <w:rPr>
                <w:rFonts w:cs="Arial"/>
                <w:b/>
                <w:color w:val="00B050"/>
                <w:sz w:val="16"/>
                <w:szCs w:val="16"/>
                <w:lang w:val="en-GB" w:eastAsia="en-GB"/>
              </w:rPr>
              <w:t>Achieved</w:t>
            </w:r>
          </w:p>
          <w:p w:rsidR="009613E8" w:rsidRPr="00DB6380" w:rsidRDefault="009613E8" w:rsidP="00F11DB9">
            <w:pPr>
              <w:jc w:val="center"/>
              <w:rPr>
                <w:rFonts w:cs="Arial"/>
                <w:b/>
                <w:bCs/>
                <w:color w:val="00B050"/>
                <w:sz w:val="16"/>
                <w:szCs w:val="16"/>
              </w:rPr>
            </w:pPr>
          </w:p>
        </w:tc>
      </w:tr>
      <w:tr w:rsidR="009613E8" w:rsidRPr="00DB6380" w:rsidTr="00F11DB9">
        <w:tc>
          <w:tcPr>
            <w:tcW w:w="1104" w:type="pct"/>
            <w:tcBorders>
              <w:top w:val="nil"/>
              <w:left w:val="single" w:sz="4" w:space="0" w:color="auto"/>
              <w:bottom w:val="single" w:sz="4" w:space="0" w:color="auto"/>
            </w:tcBorders>
            <w:shd w:val="clear" w:color="auto" w:fill="FFFFFF"/>
          </w:tcPr>
          <w:p w:rsidR="009613E8" w:rsidRPr="00DB6380" w:rsidRDefault="009613E8" w:rsidP="00F11DB9">
            <w:pPr>
              <w:rPr>
                <w:rFonts w:cs="Arial"/>
                <w:sz w:val="16"/>
                <w:szCs w:val="16"/>
              </w:rPr>
            </w:pPr>
            <w:r w:rsidRPr="00DB6380">
              <w:rPr>
                <w:rFonts w:cs="Arial"/>
                <w:sz w:val="16"/>
                <w:szCs w:val="16"/>
              </w:rPr>
              <w:t xml:space="preserve">Information systems service levels   </w:t>
            </w:r>
          </w:p>
        </w:tc>
        <w:tc>
          <w:tcPr>
            <w:tcW w:w="1250" w:type="pct"/>
            <w:gridSpan w:val="2"/>
            <w:tcBorders>
              <w:top w:val="nil"/>
              <w:bottom w:val="single" w:sz="4" w:space="0" w:color="auto"/>
            </w:tcBorders>
            <w:shd w:val="clear" w:color="auto" w:fill="auto"/>
          </w:tcPr>
          <w:p w:rsidR="009613E8" w:rsidRPr="00DB6380" w:rsidRDefault="009613E8" w:rsidP="00F11DB9">
            <w:pPr>
              <w:rPr>
                <w:rFonts w:eastAsia="Batang" w:cs="Arial"/>
                <w:color w:val="002060"/>
                <w:sz w:val="16"/>
                <w:szCs w:val="16"/>
                <w:lang w:eastAsia="ja-JP"/>
              </w:rPr>
            </w:pPr>
            <w:r w:rsidRPr="00DB6380">
              <w:rPr>
                <w:i/>
                <w:color w:val="002060"/>
                <w:sz w:val="16"/>
                <w:szCs w:val="16"/>
              </w:rPr>
              <w:t>Updated Baseline end 2013:</w:t>
            </w:r>
            <w:r w:rsidRPr="00DB6380">
              <w:rPr>
                <w:color w:val="943634" w:themeColor="accent2" w:themeShade="BF"/>
                <w:sz w:val="16"/>
                <w:szCs w:val="16"/>
              </w:rPr>
              <w:t xml:space="preserve">  </w:t>
            </w:r>
            <w:r w:rsidRPr="00DB6380">
              <w:rPr>
                <w:rFonts w:eastAsia="Batang" w:cs="Arial"/>
                <w:color w:val="002060"/>
                <w:sz w:val="16"/>
                <w:szCs w:val="16"/>
                <w:lang w:eastAsia="ja-JP"/>
              </w:rPr>
              <w:t>93.0% (2013)</w:t>
            </w:r>
          </w:p>
          <w:p w:rsidR="009613E8" w:rsidRPr="00DB6380" w:rsidRDefault="009613E8" w:rsidP="00F11DB9">
            <w:pPr>
              <w:rPr>
                <w:rFonts w:cs="Arial"/>
                <w:i/>
                <w:sz w:val="8"/>
                <w:szCs w:val="8"/>
              </w:rPr>
            </w:pPr>
          </w:p>
          <w:p w:rsidR="009613E8" w:rsidRPr="00DB6380" w:rsidRDefault="009613E8" w:rsidP="00F11DB9">
            <w:pPr>
              <w:rPr>
                <w:sz w:val="16"/>
                <w:szCs w:val="16"/>
              </w:rPr>
            </w:pPr>
            <w:r w:rsidRPr="00DB6380">
              <w:rPr>
                <w:rFonts w:cs="Arial"/>
                <w:i/>
                <w:sz w:val="16"/>
                <w:szCs w:val="16"/>
              </w:rPr>
              <w:t>Original Baseline P&amp;B 2014/15:</w:t>
            </w:r>
            <w:r w:rsidRPr="00DB6380">
              <w:rPr>
                <w:rFonts w:cs="Arial"/>
                <w:sz w:val="16"/>
                <w:szCs w:val="16"/>
              </w:rPr>
              <w:t xml:space="preserve">  </w:t>
            </w:r>
            <w:r w:rsidRPr="00DB6380">
              <w:rPr>
                <w:sz w:val="16"/>
                <w:szCs w:val="16"/>
              </w:rPr>
              <w:t>Information systems</w:t>
            </w:r>
          </w:p>
          <w:p w:rsidR="009613E8" w:rsidRPr="00DB6380" w:rsidRDefault="009613E8" w:rsidP="00F11DB9">
            <w:pPr>
              <w:rPr>
                <w:sz w:val="16"/>
                <w:szCs w:val="16"/>
              </w:rPr>
            </w:pPr>
            <w:r w:rsidRPr="00DB6380">
              <w:rPr>
                <w:sz w:val="16"/>
                <w:szCs w:val="16"/>
              </w:rPr>
              <w:t>service levels for 2013</w:t>
            </w:r>
          </w:p>
          <w:p w:rsidR="009613E8" w:rsidRPr="00DB6380" w:rsidRDefault="009613E8" w:rsidP="00F11DB9">
            <w:pPr>
              <w:rPr>
                <w:i/>
                <w:color w:val="002060"/>
                <w:sz w:val="16"/>
                <w:szCs w:val="16"/>
              </w:rPr>
            </w:pPr>
          </w:p>
        </w:tc>
        <w:tc>
          <w:tcPr>
            <w:tcW w:w="810" w:type="pct"/>
            <w:gridSpan w:val="2"/>
            <w:tcBorders>
              <w:top w:val="nil"/>
              <w:bottom w:val="single" w:sz="4" w:space="0" w:color="auto"/>
            </w:tcBorders>
            <w:shd w:val="clear" w:color="auto" w:fill="auto"/>
            <w:tcMar>
              <w:top w:w="110" w:type="dxa"/>
            </w:tcMar>
          </w:tcPr>
          <w:p w:rsidR="009613E8" w:rsidRPr="00DB6380" w:rsidRDefault="009613E8" w:rsidP="00F11DB9">
            <w:pPr>
              <w:autoSpaceDE w:val="0"/>
              <w:autoSpaceDN w:val="0"/>
              <w:adjustRightInd w:val="0"/>
              <w:rPr>
                <w:rFonts w:cs="Arial"/>
                <w:sz w:val="16"/>
                <w:szCs w:val="16"/>
              </w:rPr>
            </w:pPr>
            <w:r w:rsidRPr="00DB6380">
              <w:rPr>
                <w:rFonts w:cs="Arial"/>
                <w:sz w:val="16"/>
                <w:szCs w:val="16"/>
              </w:rPr>
              <w:t>Higher information systems service levels.</w:t>
            </w:r>
          </w:p>
        </w:tc>
        <w:tc>
          <w:tcPr>
            <w:tcW w:w="1324" w:type="pct"/>
            <w:gridSpan w:val="3"/>
            <w:tcBorders>
              <w:top w:val="nil"/>
              <w:bottom w:val="single" w:sz="4" w:space="0" w:color="auto"/>
            </w:tcBorders>
            <w:shd w:val="clear" w:color="auto" w:fill="FFFFFF"/>
            <w:tcMar>
              <w:top w:w="110" w:type="dxa"/>
            </w:tcMar>
          </w:tcPr>
          <w:p w:rsidR="009613E8" w:rsidRPr="00DB6380" w:rsidRDefault="009613E8" w:rsidP="00F11DB9">
            <w:pPr>
              <w:rPr>
                <w:rFonts w:cs="Arial"/>
                <w:sz w:val="16"/>
                <w:szCs w:val="16"/>
              </w:rPr>
            </w:pPr>
            <w:r w:rsidRPr="00DB6380">
              <w:rPr>
                <w:rFonts w:cs="Arial"/>
                <w:sz w:val="16"/>
                <w:szCs w:val="16"/>
              </w:rPr>
              <w:t>95.1%</w:t>
            </w:r>
            <w:r>
              <w:rPr>
                <w:rStyle w:val="FootnoteReference"/>
                <w:rFonts w:cs="Arial"/>
                <w:sz w:val="16"/>
                <w:szCs w:val="16"/>
              </w:rPr>
              <w:footnoteReference w:id="19"/>
            </w:r>
            <w:r w:rsidRPr="00DB6380">
              <w:rPr>
                <w:rFonts w:cs="Arial"/>
                <w:sz w:val="16"/>
                <w:szCs w:val="16"/>
              </w:rPr>
              <w:t xml:space="preserve"> (2014)</w:t>
            </w:r>
          </w:p>
          <w:p w:rsidR="009613E8" w:rsidRPr="00DB6380" w:rsidRDefault="009613E8" w:rsidP="00F11DB9">
            <w:pPr>
              <w:rPr>
                <w:rFonts w:cs="Arial"/>
                <w:sz w:val="16"/>
                <w:szCs w:val="16"/>
              </w:rPr>
            </w:pPr>
            <w:r w:rsidRPr="00DB6380">
              <w:rPr>
                <w:rFonts w:cs="Arial"/>
                <w:sz w:val="16"/>
                <w:szCs w:val="16"/>
              </w:rPr>
              <w:t>96.5% (2015)</w:t>
            </w:r>
          </w:p>
        </w:tc>
        <w:tc>
          <w:tcPr>
            <w:tcW w:w="512" w:type="pct"/>
            <w:tcBorders>
              <w:top w:val="nil"/>
              <w:bottom w:val="single" w:sz="4" w:space="0" w:color="auto"/>
              <w:right w:val="single" w:sz="4" w:space="0" w:color="auto"/>
            </w:tcBorders>
            <w:shd w:val="clear" w:color="auto" w:fill="auto"/>
            <w:tcMar>
              <w:top w:w="110" w:type="dxa"/>
            </w:tcMar>
          </w:tcPr>
          <w:p w:rsidR="009613E8" w:rsidRPr="00DB6380" w:rsidRDefault="009613E8" w:rsidP="00F11DB9">
            <w:pPr>
              <w:jc w:val="center"/>
              <w:rPr>
                <w:rFonts w:cs="Arial"/>
                <w:b/>
                <w:color w:val="00B050"/>
                <w:sz w:val="16"/>
                <w:szCs w:val="16"/>
                <w:lang w:val="en-GB" w:eastAsia="en-GB"/>
              </w:rPr>
            </w:pPr>
            <w:r w:rsidRPr="00DB6380">
              <w:rPr>
                <w:rFonts w:cs="Arial"/>
                <w:b/>
                <w:color w:val="00B050"/>
                <w:sz w:val="16"/>
                <w:szCs w:val="16"/>
                <w:lang w:val="en-GB" w:eastAsia="en-GB"/>
              </w:rPr>
              <w:t>Fully</w:t>
            </w:r>
          </w:p>
          <w:p w:rsidR="009613E8" w:rsidRPr="00DB6380" w:rsidRDefault="009613E8" w:rsidP="00F11DB9">
            <w:pPr>
              <w:jc w:val="center"/>
              <w:rPr>
                <w:rFonts w:cs="Arial"/>
                <w:b/>
                <w:color w:val="00B050"/>
                <w:sz w:val="16"/>
                <w:szCs w:val="16"/>
                <w:lang w:val="en-GB" w:eastAsia="en-GB"/>
              </w:rPr>
            </w:pPr>
            <w:r w:rsidRPr="00DB6380">
              <w:rPr>
                <w:rFonts w:cs="Arial"/>
                <w:b/>
                <w:color w:val="00B050"/>
                <w:sz w:val="16"/>
                <w:szCs w:val="16"/>
                <w:lang w:val="en-GB" w:eastAsia="en-GB"/>
              </w:rPr>
              <w:t>Achieved</w:t>
            </w:r>
          </w:p>
          <w:p w:rsidR="009613E8" w:rsidRPr="00DB6380" w:rsidRDefault="009613E8" w:rsidP="00F11DB9">
            <w:pPr>
              <w:jc w:val="center"/>
              <w:rPr>
                <w:rFonts w:cs="Arial"/>
                <w:b/>
                <w:bCs/>
                <w:color w:val="00B050"/>
                <w:sz w:val="16"/>
                <w:szCs w:val="16"/>
              </w:rPr>
            </w:pPr>
          </w:p>
        </w:tc>
      </w:tr>
    </w:tbl>
    <w:p w:rsidR="009613E8" w:rsidRDefault="009613E8" w:rsidP="00F11DB9">
      <w:pPr>
        <w:rPr>
          <w:rFonts w:cs="Arial"/>
          <w:color w:val="000000"/>
          <w:szCs w:val="22"/>
        </w:rPr>
      </w:pPr>
    </w:p>
    <w:p w:rsidR="009613E8" w:rsidRDefault="009613E8" w:rsidP="00F11DB9">
      <w:pPr>
        <w:rPr>
          <w:rFonts w:cs="Arial"/>
          <w:color w:val="000000"/>
          <w:szCs w:val="22"/>
        </w:rPr>
      </w:pPr>
    </w:p>
    <w:p w:rsidR="009613E8" w:rsidRPr="00D14507" w:rsidRDefault="009613E8" w:rsidP="00F11DB9">
      <w:pPr>
        <w:rPr>
          <w:rFonts w:cs="Arial"/>
          <w:color w:val="000000"/>
          <w:szCs w:val="22"/>
        </w:rPr>
      </w:pPr>
      <w:r w:rsidRPr="00D14507">
        <w:rPr>
          <w:rFonts w:cs="Arial"/>
          <w:color w:val="000000"/>
          <w:szCs w:val="22"/>
        </w:rPr>
        <w:t>RISK REPORTING FOR THE BIENNIUM</w:t>
      </w:r>
    </w:p>
    <w:p w:rsidR="009613E8" w:rsidRPr="00DB6380" w:rsidRDefault="009613E8" w:rsidP="00F11DB9"/>
    <w:p w:rsidR="009613E8" w:rsidRPr="00DB6380" w:rsidRDefault="009613E8" w:rsidP="00F11DB9"/>
    <w:tbl>
      <w:tblPr>
        <w:tblW w:w="0" w:type="auto"/>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2420"/>
        <w:gridCol w:w="2200"/>
        <w:gridCol w:w="2468"/>
        <w:gridCol w:w="2268"/>
      </w:tblGrid>
      <w:tr w:rsidR="009613E8" w:rsidRPr="00DB6380" w:rsidTr="007854A1">
        <w:trPr>
          <w:trHeight w:val="514"/>
          <w:tblHeader/>
        </w:trPr>
        <w:tc>
          <w:tcPr>
            <w:tcW w:w="2420" w:type="dxa"/>
            <w:tcBorders>
              <w:top w:val="single" w:sz="4" w:space="0" w:color="auto"/>
              <w:bottom w:val="single" w:sz="4" w:space="0" w:color="auto"/>
            </w:tcBorders>
            <w:shd w:val="clear" w:color="auto" w:fill="C6D9F1" w:themeFill="text2" w:themeFillTint="33"/>
            <w:tcMar>
              <w:top w:w="113" w:type="dxa"/>
            </w:tcMar>
            <w:vAlign w:val="center"/>
          </w:tcPr>
          <w:p w:rsidR="009613E8" w:rsidRPr="00DB6380" w:rsidRDefault="009613E8" w:rsidP="00F11DB9">
            <w:pPr>
              <w:autoSpaceDE w:val="0"/>
              <w:autoSpaceDN w:val="0"/>
              <w:adjustRightInd w:val="0"/>
              <w:ind w:right="-59"/>
              <w:jc w:val="center"/>
              <w:rPr>
                <w:b/>
                <w:sz w:val="18"/>
                <w:szCs w:val="18"/>
              </w:rPr>
            </w:pPr>
            <w:r w:rsidRPr="00DB6380">
              <w:rPr>
                <w:b/>
                <w:sz w:val="18"/>
                <w:szCs w:val="18"/>
              </w:rPr>
              <w:t>Risk(s) to the Program achieving its Results</w:t>
            </w:r>
          </w:p>
        </w:tc>
        <w:tc>
          <w:tcPr>
            <w:tcW w:w="2200" w:type="dxa"/>
            <w:tcBorders>
              <w:top w:val="single" w:sz="4" w:space="0" w:color="auto"/>
              <w:bottom w:val="single" w:sz="4" w:space="0" w:color="auto"/>
            </w:tcBorders>
            <w:shd w:val="clear" w:color="auto" w:fill="C6D9F1" w:themeFill="text2" w:themeFillTint="33"/>
            <w:tcMar>
              <w:top w:w="113" w:type="dxa"/>
            </w:tcMar>
            <w:vAlign w:val="center"/>
          </w:tcPr>
          <w:p w:rsidR="009613E8" w:rsidRPr="00DB6380" w:rsidRDefault="009613E8" w:rsidP="00F11DB9">
            <w:pPr>
              <w:autoSpaceDE w:val="0"/>
              <w:autoSpaceDN w:val="0"/>
              <w:adjustRightInd w:val="0"/>
              <w:ind w:right="-59"/>
              <w:jc w:val="center"/>
              <w:rPr>
                <w:b/>
                <w:sz w:val="18"/>
                <w:szCs w:val="18"/>
              </w:rPr>
            </w:pPr>
            <w:r w:rsidRPr="00DB6380">
              <w:rPr>
                <w:b/>
                <w:sz w:val="18"/>
                <w:szCs w:val="18"/>
              </w:rPr>
              <w:t xml:space="preserve">Mitigation plans in place or under implementation </w:t>
            </w:r>
          </w:p>
        </w:tc>
        <w:tc>
          <w:tcPr>
            <w:tcW w:w="2468" w:type="dxa"/>
            <w:tcBorders>
              <w:top w:val="single" w:sz="4" w:space="0" w:color="auto"/>
              <w:bottom w:val="single" w:sz="4" w:space="0" w:color="auto"/>
            </w:tcBorders>
            <w:shd w:val="clear" w:color="auto" w:fill="C6D9F1" w:themeFill="text2" w:themeFillTint="33"/>
          </w:tcPr>
          <w:p w:rsidR="009613E8" w:rsidRPr="00DB6380" w:rsidRDefault="009613E8" w:rsidP="00F11DB9">
            <w:pPr>
              <w:jc w:val="center"/>
              <w:rPr>
                <w:b/>
                <w:bCs/>
                <w:sz w:val="18"/>
                <w:szCs w:val="18"/>
              </w:rPr>
            </w:pPr>
            <w:r w:rsidRPr="00DB6380">
              <w:rPr>
                <w:b/>
                <w:bCs/>
                <w:sz w:val="18"/>
                <w:szCs w:val="18"/>
              </w:rPr>
              <w:t>Evolution of Risk(s) and Mitigation Strategies Over the Biennium</w:t>
            </w:r>
          </w:p>
        </w:tc>
        <w:tc>
          <w:tcPr>
            <w:tcW w:w="2268" w:type="dxa"/>
            <w:tcBorders>
              <w:top w:val="single" w:sz="4" w:space="0" w:color="auto"/>
              <w:bottom w:val="single" w:sz="4" w:space="0" w:color="auto"/>
            </w:tcBorders>
            <w:shd w:val="clear" w:color="auto" w:fill="C6D9F1" w:themeFill="text2" w:themeFillTint="33"/>
          </w:tcPr>
          <w:p w:rsidR="009613E8" w:rsidRPr="00DB6380" w:rsidRDefault="009613E8" w:rsidP="00F11DB9">
            <w:pPr>
              <w:jc w:val="center"/>
              <w:rPr>
                <w:b/>
                <w:bCs/>
                <w:sz w:val="18"/>
                <w:szCs w:val="18"/>
              </w:rPr>
            </w:pPr>
            <w:r w:rsidRPr="00DB6380">
              <w:rPr>
                <w:b/>
                <w:bCs/>
                <w:sz w:val="18"/>
                <w:szCs w:val="18"/>
              </w:rPr>
              <w:t>Impact on the Program’s Performance</w:t>
            </w:r>
          </w:p>
        </w:tc>
      </w:tr>
      <w:tr w:rsidR="009613E8" w:rsidRPr="00DB6380" w:rsidTr="007854A1">
        <w:trPr>
          <w:trHeight w:val="668"/>
        </w:trPr>
        <w:tc>
          <w:tcPr>
            <w:tcW w:w="2420" w:type="dxa"/>
            <w:tcBorders>
              <w:top w:val="single" w:sz="4" w:space="0" w:color="auto"/>
              <w:bottom w:val="single" w:sz="4" w:space="0" w:color="auto"/>
            </w:tcBorders>
            <w:shd w:val="clear" w:color="auto" w:fill="auto"/>
            <w:tcMar>
              <w:top w:w="113" w:type="dxa"/>
            </w:tcMar>
          </w:tcPr>
          <w:p w:rsidR="009613E8" w:rsidRPr="00DB6380" w:rsidRDefault="009613E8" w:rsidP="00F11DB9">
            <w:pPr>
              <w:rPr>
                <w:sz w:val="16"/>
                <w:szCs w:val="16"/>
                <w:lang w:eastAsia="zh-CN"/>
              </w:rPr>
            </w:pPr>
            <w:r w:rsidRPr="00DB6380">
              <w:rPr>
                <w:sz w:val="16"/>
                <w:szCs w:val="16"/>
              </w:rPr>
              <w:t xml:space="preserve">Decrease in PCT filings, in absolute terms or relative to </w:t>
            </w:r>
            <w:smartTag w:uri="urn:schemas-microsoft-com:office:smarttags" w:element="place">
              <w:smartTag w:uri="urn:schemas-microsoft-com:office:smarttags" w:element="City">
                <w:r w:rsidRPr="00DB6380">
                  <w:rPr>
                    <w:sz w:val="16"/>
                    <w:szCs w:val="16"/>
                  </w:rPr>
                  <w:t>Paris</w:t>
                </w:r>
              </w:smartTag>
            </w:smartTag>
            <w:r w:rsidRPr="00DB6380">
              <w:rPr>
                <w:sz w:val="16"/>
                <w:szCs w:val="16"/>
              </w:rPr>
              <w:t xml:space="preserve"> route filings</w:t>
            </w:r>
          </w:p>
        </w:tc>
        <w:tc>
          <w:tcPr>
            <w:tcW w:w="2200" w:type="dxa"/>
            <w:tcBorders>
              <w:top w:val="single" w:sz="4" w:space="0" w:color="auto"/>
              <w:bottom w:val="single" w:sz="4" w:space="0" w:color="auto"/>
            </w:tcBorders>
            <w:shd w:val="clear" w:color="auto" w:fill="auto"/>
            <w:tcMar>
              <w:top w:w="113" w:type="dxa"/>
            </w:tcMar>
          </w:tcPr>
          <w:p w:rsidR="009613E8" w:rsidRPr="00DB6380" w:rsidRDefault="009613E8" w:rsidP="00F11DB9">
            <w:pPr>
              <w:rPr>
                <w:sz w:val="16"/>
                <w:szCs w:val="16"/>
                <w:lang w:eastAsia="zh-CN"/>
              </w:rPr>
            </w:pPr>
            <w:r w:rsidRPr="00DB6380">
              <w:rPr>
                <w:sz w:val="16"/>
                <w:szCs w:val="16"/>
              </w:rPr>
              <w:t>Continued promotion of the PCT to all users as the most valuable and efficient way to protect innovation in international markets</w:t>
            </w:r>
          </w:p>
        </w:tc>
        <w:tc>
          <w:tcPr>
            <w:tcW w:w="2468" w:type="dxa"/>
            <w:tcBorders>
              <w:top w:val="single" w:sz="4" w:space="0" w:color="auto"/>
              <w:bottom w:val="single" w:sz="4" w:space="0" w:color="auto"/>
            </w:tcBorders>
          </w:tcPr>
          <w:p w:rsidR="009613E8" w:rsidRPr="00DB6380" w:rsidRDefault="00876ED8" w:rsidP="00BA6F3B">
            <w:pPr>
              <w:rPr>
                <w:sz w:val="16"/>
                <w:szCs w:val="16"/>
              </w:rPr>
            </w:pPr>
            <w:r>
              <w:rPr>
                <w:sz w:val="16"/>
                <w:szCs w:val="16"/>
              </w:rPr>
              <w:t>This is a continuing r</w:t>
            </w:r>
            <w:r w:rsidR="009613E8" w:rsidRPr="00DB6380">
              <w:rPr>
                <w:sz w:val="16"/>
                <w:szCs w:val="16"/>
              </w:rPr>
              <w:t xml:space="preserve">isk </w:t>
            </w:r>
            <w:r>
              <w:rPr>
                <w:sz w:val="16"/>
                <w:szCs w:val="16"/>
              </w:rPr>
              <w:t xml:space="preserve">for the Program, </w:t>
            </w:r>
            <w:r w:rsidR="009613E8" w:rsidRPr="00DB6380">
              <w:rPr>
                <w:sz w:val="16"/>
                <w:szCs w:val="16"/>
              </w:rPr>
              <w:t>but</w:t>
            </w:r>
            <w:r>
              <w:rPr>
                <w:sz w:val="16"/>
                <w:szCs w:val="16"/>
              </w:rPr>
              <w:t xml:space="preserve"> it</w:t>
            </w:r>
            <w:r w:rsidR="009613E8" w:rsidRPr="00DB6380">
              <w:rPr>
                <w:sz w:val="16"/>
                <w:szCs w:val="16"/>
              </w:rPr>
              <w:t xml:space="preserve"> did not evolve to the detriment of the PCT in 2014/15. </w:t>
            </w:r>
            <w:r w:rsidR="009613E8">
              <w:rPr>
                <w:sz w:val="16"/>
                <w:szCs w:val="16"/>
              </w:rPr>
              <w:t xml:space="preserve"> </w:t>
            </w:r>
            <w:r w:rsidR="009613E8" w:rsidRPr="00DB6380">
              <w:rPr>
                <w:sz w:val="16"/>
                <w:szCs w:val="16"/>
              </w:rPr>
              <w:t>Mitigation strategies continued.</w:t>
            </w:r>
          </w:p>
        </w:tc>
        <w:tc>
          <w:tcPr>
            <w:tcW w:w="2268" w:type="dxa"/>
            <w:tcBorders>
              <w:top w:val="single" w:sz="4" w:space="0" w:color="auto"/>
              <w:bottom w:val="single" w:sz="4" w:space="0" w:color="auto"/>
            </w:tcBorders>
          </w:tcPr>
          <w:p w:rsidR="009613E8" w:rsidRPr="00DB6380" w:rsidRDefault="009613E8" w:rsidP="00F11DB9">
            <w:pPr>
              <w:rPr>
                <w:sz w:val="16"/>
                <w:szCs w:val="16"/>
              </w:rPr>
            </w:pPr>
            <w:r w:rsidRPr="00DB6380">
              <w:rPr>
                <w:sz w:val="16"/>
                <w:szCs w:val="16"/>
              </w:rPr>
              <w:t>No measurable impact</w:t>
            </w:r>
          </w:p>
        </w:tc>
      </w:tr>
      <w:tr w:rsidR="009613E8" w:rsidRPr="00DB6380" w:rsidTr="007854A1">
        <w:trPr>
          <w:trHeight w:val="1574"/>
        </w:trPr>
        <w:tc>
          <w:tcPr>
            <w:tcW w:w="2420" w:type="dxa"/>
            <w:tcBorders>
              <w:top w:val="single" w:sz="4" w:space="0" w:color="auto"/>
              <w:bottom w:val="nil"/>
            </w:tcBorders>
            <w:shd w:val="clear" w:color="auto" w:fill="auto"/>
            <w:tcMar>
              <w:top w:w="113" w:type="dxa"/>
            </w:tcMar>
          </w:tcPr>
          <w:p w:rsidR="009613E8" w:rsidRPr="00DB6380" w:rsidRDefault="009613E8" w:rsidP="00F11DB9">
            <w:pPr>
              <w:rPr>
                <w:sz w:val="16"/>
                <w:szCs w:val="16"/>
                <w:lang w:eastAsia="zh-CN"/>
              </w:rPr>
            </w:pPr>
            <w:r w:rsidRPr="00DB6380">
              <w:rPr>
                <w:sz w:val="16"/>
                <w:szCs w:val="16"/>
                <w:lang w:eastAsia="zh-CN"/>
              </w:rPr>
              <w:lastRenderedPageBreak/>
              <w:t>Prolonged Breakdown of PCT Operations</w:t>
            </w:r>
          </w:p>
          <w:p w:rsidR="009613E8" w:rsidRPr="00DB6380" w:rsidRDefault="009613E8" w:rsidP="00F11DB9">
            <w:pPr>
              <w:rPr>
                <w:sz w:val="16"/>
                <w:szCs w:val="16"/>
                <w:lang w:eastAsia="zh-CN"/>
              </w:rPr>
            </w:pPr>
          </w:p>
          <w:p w:rsidR="009613E8" w:rsidRPr="00DB6380" w:rsidRDefault="009613E8" w:rsidP="00F11DB9">
            <w:pPr>
              <w:rPr>
                <w:sz w:val="16"/>
                <w:szCs w:val="16"/>
                <w:lang w:eastAsia="zh-CN"/>
              </w:rPr>
            </w:pPr>
          </w:p>
          <w:p w:rsidR="009613E8" w:rsidRDefault="009613E8" w:rsidP="00F11DB9">
            <w:pPr>
              <w:rPr>
                <w:sz w:val="16"/>
                <w:szCs w:val="16"/>
                <w:lang w:eastAsia="zh-CN"/>
              </w:rPr>
            </w:pPr>
          </w:p>
          <w:p w:rsidR="009613E8" w:rsidRDefault="009613E8" w:rsidP="00F11DB9">
            <w:pPr>
              <w:rPr>
                <w:sz w:val="16"/>
                <w:szCs w:val="16"/>
                <w:lang w:eastAsia="zh-CN"/>
              </w:rPr>
            </w:pPr>
          </w:p>
          <w:p w:rsidR="009613E8" w:rsidRDefault="009613E8" w:rsidP="00F11DB9">
            <w:pPr>
              <w:rPr>
                <w:sz w:val="16"/>
                <w:szCs w:val="16"/>
                <w:lang w:eastAsia="zh-CN"/>
              </w:rPr>
            </w:pPr>
          </w:p>
          <w:p w:rsidR="009613E8" w:rsidRPr="00DB6380" w:rsidRDefault="009613E8" w:rsidP="00F11DB9">
            <w:pPr>
              <w:rPr>
                <w:sz w:val="16"/>
                <w:szCs w:val="16"/>
              </w:rPr>
            </w:pPr>
            <w:r w:rsidRPr="00DB6380">
              <w:rPr>
                <w:sz w:val="16"/>
                <w:szCs w:val="16"/>
                <w:lang w:eastAsia="zh-CN"/>
              </w:rPr>
              <w:t>If the International Bureau is unable to process documents, even for a short period of time, backlogs grow extremely quickly.  A few days of business disruption can lead to many weeks of backlog</w:t>
            </w:r>
          </w:p>
        </w:tc>
        <w:tc>
          <w:tcPr>
            <w:tcW w:w="2200" w:type="dxa"/>
            <w:tcBorders>
              <w:top w:val="single" w:sz="4" w:space="0" w:color="auto"/>
              <w:bottom w:val="nil"/>
            </w:tcBorders>
            <w:shd w:val="clear" w:color="auto" w:fill="auto"/>
            <w:tcMar>
              <w:top w:w="113" w:type="dxa"/>
            </w:tcMar>
          </w:tcPr>
          <w:p w:rsidR="009613E8" w:rsidRPr="00DB6380" w:rsidRDefault="009613E8" w:rsidP="00F11DB9">
            <w:pPr>
              <w:rPr>
                <w:sz w:val="16"/>
                <w:szCs w:val="16"/>
                <w:lang w:eastAsia="zh-CN"/>
              </w:rPr>
            </w:pPr>
            <w:r w:rsidRPr="00DB6380">
              <w:rPr>
                <w:sz w:val="16"/>
                <w:szCs w:val="16"/>
                <w:lang w:eastAsia="zh-CN"/>
              </w:rPr>
              <w:t>Implementation and regular testing of Business Continuity Management (BCM) plan</w:t>
            </w:r>
          </w:p>
          <w:p w:rsidR="009613E8" w:rsidRPr="00DB6380" w:rsidRDefault="009613E8" w:rsidP="00F11DB9">
            <w:pPr>
              <w:rPr>
                <w:sz w:val="16"/>
                <w:szCs w:val="16"/>
                <w:lang w:eastAsia="zh-CN"/>
              </w:rPr>
            </w:pPr>
          </w:p>
          <w:p w:rsidR="009613E8" w:rsidRDefault="009613E8" w:rsidP="00F11DB9">
            <w:pPr>
              <w:autoSpaceDE w:val="0"/>
              <w:autoSpaceDN w:val="0"/>
              <w:adjustRightInd w:val="0"/>
              <w:ind w:right="-59"/>
              <w:rPr>
                <w:sz w:val="16"/>
                <w:szCs w:val="16"/>
                <w:lang w:eastAsia="zh-CN"/>
              </w:rPr>
            </w:pPr>
          </w:p>
          <w:p w:rsidR="009613E8" w:rsidRDefault="009613E8" w:rsidP="00F11DB9">
            <w:pPr>
              <w:autoSpaceDE w:val="0"/>
              <w:autoSpaceDN w:val="0"/>
              <w:adjustRightInd w:val="0"/>
              <w:ind w:right="-59"/>
              <w:rPr>
                <w:sz w:val="16"/>
                <w:szCs w:val="16"/>
                <w:lang w:eastAsia="zh-CN"/>
              </w:rPr>
            </w:pPr>
          </w:p>
          <w:p w:rsidR="009613E8" w:rsidRPr="00DB6380" w:rsidRDefault="009613E8" w:rsidP="00F11DB9">
            <w:pPr>
              <w:autoSpaceDE w:val="0"/>
              <w:autoSpaceDN w:val="0"/>
              <w:adjustRightInd w:val="0"/>
              <w:ind w:right="-59"/>
              <w:rPr>
                <w:sz w:val="16"/>
                <w:szCs w:val="16"/>
              </w:rPr>
            </w:pPr>
            <w:r w:rsidRPr="00DB6380">
              <w:rPr>
                <w:sz w:val="16"/>
                <w:szCs w:val="16"/>
                <w:lang w:eastAsia="zh-CN"/>
              </w:rPr>
              <w:t>The objective of the Business Continuity Management plan is to ensure that the International Bureau’s work can proceed sufficiently during periods of disruption so as to avoid unacceptable degradation in quality of service provided to PCT applicants and offices</w:t>
            </w:r>
          </w:p>
        </w:tc>
        <w:tc>
          <w:tcPr>
            <w:tcW w:w="2468" w:type="dxa"/>
            <w:tcBorders>
              <w:top w:val="single" w:sz="4" w:space="0" w:color="auto"/>
              <w:bottom w:val="nil"/>
            </w:tcBorders>
          </w:tcPr>
          <w:p w:rsidR="009613E8" w:rsidRPr="00DB6380" w:rsidRDefault="009613E8" w:rsidP="00F11DB9">
            <w:pPr>
              <w:rPr>
                <w:sz w:val="16"/>
                <w:szCs w:val="16"/>
                <w:lang w:eastAsia="zh-CN"/>
              </w:rPr>
            </w:pPr>
            <w:r w:rsidRPr="00DB6380">
              <w:rPr>
                <w:sz w:val="16"/>
                <w:szCs w:val="16"/>
                <w:lang w:eastAsia="zh-CN"/>
              </w:rPr>
              <w:t xml:space="preserve">The risk </w:t>
            </w:r>
            <w:r>
              <w:rPr>
                <w:sz w:val="16"/>
                <w:szCs w:val="16"/>
                <w:lang w:eastAsia="zh-CN"/>
              </w:rPr>
              <w:t>did</w:t>
            </w:r>
            <w:r w:rsidRPr="00DB6380">
              <w:rPr>
                <w:sz w:val="16"/>
                <w:szCs w:val="16"/>
                <w:lang w:eastAsia="zh-CN"/>
              </w:rPr>
              <w:t xml:space="preserve"> not materialize. </w:t>
            </w:r>
            <w:r>
              <w:rPr>
                <w:sz w:val="16"/>
                <w:szCs w:val="16"/>
                <w:lang w:eastAsia="zh-CN"/>
              </w:rPr>
              <w:t xml:space="preserve"> P</w:t>
            </w:r>
            <w:r w:rsidRPr="00DB6380">
              <w:rPr>
                <w:sz w:val="16"/>
                <w:szCs w:val="16"/>
                <w:lang w:eastAsia="zh-CN"/>
              </w:rPr>
              <w:t xml:space="preserve">reparations </w:t>
            </w:r>
            <w:r>
              <w:rPr>
                <w:sz w:val="16"/>
                <w:szCs w:val="16"/>
                <w:lang w:eastAsia="zh-CN"/>
              </w:rPr>
              <w:t xml:space="preserve">were initiated </w:t>
            </w:r>
            <w:r w:rsidRPr="00DB6380">
              <w:rPr>
                <w:sz w:val="16"/>
                <w:szCs w:val="16"/>
                <w:lang w:eastAsia="zh-CN"/>
              </w:rPr>
              <w:t xml:space="preserve">for the design of a resilient </w:t>
            </w:r>
            <w:r>
              <w:rPr>
                <w:sz w:val="16"/>
                <w:szCs w:val="16"/>
                <w:lang w:eastAsia="zh-CN"/>
              </w:rPr>
              <w:t xml:space="preserve">and </w:t>
            </w:r>
            <w:r w:rsidRPr="00DB6380">
              <w:rPr>
                <w:sz w:val="16"/>
                <w:szCs w:val="16"/>
                <w:lang w:eastAsia="zh-CN"/>
              </w:rPr>
              <w:t xml:space="preserve">secure platform architecture </w:t>
            </w:r>
            <w:r>
              <w:rPr>
                <w:sz w:val="16"/>
                <w:szCs w:val="16"/>
                <w:lang w:eastAsia="zh-CN"/>
              </w:rPr>
              <w:t xml:space="preserve">for </w:t>
            </w:r>
            <w:r w:rsidRPr="00DB6380">
              <w:rPr>
                <w:sz w:val="16"/>
                <w:szCs w:val="16"/>
                <w:lang w:eastAsia="zh-CN"/>
              </w:rPr>
              <w:t xml:space="preserve">PCT information systems </w:t>
            </w:r>
            <w:r>
              <w:rPr>
                <w:sz w:val="16"/>
                <w:szCs w:val="16"/>
                <w:lang w:eastAsia="zh-CN"/>
              </w:rPr>
              <w:t>as a</w:t>
            </w:r>
            <w:r w:rsidRPr="00DB6380">
              <w:rPr>
                <w:sz w:val="16"/>
                <w:szCs w:val="16"/>
                <w:lang w:eastAsia="zh-CN"/>
              </w:rPr>
              <w:t xml:space="preserve"> mitigation measure</w:t>
            </w:r>
            <w:r>
              <w:rPr>
                <w:sz w:val="16"/>
                <w:szCs w:val="16"/>
                <w:lang w:eastAsia="zh-CN"/>
              </w:rPr>
              <w:t>.</w:t>
            </w:r>
          </w:p>
          <w:p w:rsidR="009613E8" w:rsidRDefault="009613E8" w:rsidP="00F11DB9">
            <w:pPr>
              <w:rPr>
                <w:sz w:val="16"/>
                <w:szCs w:val="16"/>
                <w:lang w:eastAsia="zh-CN"/>
              </w:rPr>
            </w:pPr>
          </w:p>
          <w:p w:rsidR="009613E8" w:rsidRPr="00DB6380" w:rsidRDefault="009613E8" w:rsidP="00F11DB9">
            <w:pPr>
              <w:rPr>
                <w:sz w:val="16"/>
                <w:szCs w:val="16"/>
                <w:lang w:eastAsia="zh-CN"/>
              </w:rPr>
            </w:pPr>
            <w:r w:rsidRPr="00DB6380">
              <w:rPr>
                <w:sz w:val="16"/>
                <w:szCs w:val="16"/>
                <w:lang w:eastAsia="zh-CN"/>
              </w:rPr>
              <w:t xml:space="preserve">The risk has not materialized. </w:t>
            </w:r>
            <w:r>
              <w:rPr>
                <w:sz w:val="16"/>
                <w:szCs w:val="16"/>
                <w:lang w:eastAsia="zh-CN"/>
              </w:rPr>
              <w:t xml:space="preserve"> N</w:t>
            </w:r>
            <w:r w:rsidRPr="00DB6380">
              <w:rPr>
                <w:sz w:val="16"/>
                <w:szCs w:val="16"/>
                <w:lang w:eastAsia="zh-CN"/>
              </w:rPr>
              <w:t>ew workload indicators to improve quality control procedures in mitigation measures</w:t>
            </w:r>
            <w:r>
              <w:rPr>
                <w:sz w:val="16"/>
                <w:szCs w:val="16"/>
                <w:lang w:eastAsia="zh-CN"/>
              </w:rPr>
              <w:t xml:space="preserve"> were created.</w:t>
            </w:r>
          </w:p>
        </w:tc>
        <w:tc>
          <w:tcPr>
            <w:tcW w:w="2268" w:type="dxa"/>
            <w:tcBorders>
              <w:top w:val="single" w:sz="4" w:space="0" w:color="auto"/>
              <w:bottom w:val="nil"/>
            </w:tcBorders>
          </w:tcPr>
          <w:p w:rsidR="009613E8" w:rsidRDefault="009613E8" w:rsidP="00F11DB9">
            <w:pPr>
              <w:autoSpaceDE w:val="0"/>
              <w:autoSpaceDN w:val="0"/>
              <w:adjustRightInd w:val="0"/>
              <w:ind w:right="-59"/>
              <w:rPr>
                <w:sz w:val="16"/>
                <w:szCs w:val="16"/>
                <w:lang w:eastAsia="zh-CN"/>
              </w:rPr>
            </w:pPr>
            <w:r>
              <w:rPr>
                <w:sz w:val="16"/>
                <w:szCs w:val="16"/>
                <w:lang w:eastAsia="zh-CN"/>
              </w:rPr>
              <w:t>This risk and its evolution did not have any material impact on the Program’s performance in 2014/15.</w:t>
            </w:r>
          </w:p>
          <w:p w:rsidR="009613E8" w:rsidRPr="00DB6380" w:rsidRDefault="009613E8" w:rsidP="00F11DB9">
            <w:pPr>
              <w:rPr>
                <w:sz w:val="16"/>
                <w:szCs w:val="16"/>
                <w:lang w:eastAsia="zh-CN"/>
              </w:rPr>
            </w:pPr>
            <w:r>
              <w:rPr>
                <w:sz w:val="16"/>
                <w:szCs w:val="16"/>
                <w:lang w:eastAsia="zh-CN"/>
              </w:rPr>
              <w:t>.</w:t>
            </w:r>
          </w:p>
          <w:p w:rsidR="009613E8" w:rsidRPr="00DB6380" w:rsidRDefault="009613E8" w:rsidP="00F11DB9">
            <w:pPr>
              <w:rPr>
                <w:sz w:val="16"/>
                <w:szCs w:val="16"/>
                <w:lang w:eastAsia="zh-CN"/>
              </w:rPr>
            </w:pPr>
          </w:p>
          <w:p w:rsidR="009613E8" w:rsidRPr="00DB6380" w:rsidRDefault="009613E8" w:rsidP="00F11DB9">
            <w:pPr>
              <w:rPr>
                <w:sz w:val="16"/>
                <w:szCs w:val="16"/>
                <w:lang w:eastAsia="zh-CN"/>
              </w:rPr>
            </w:pPr>
          </w:p>
          <w:p w:rsidR="009613E8" w:rsidRPr="00DB6380" w:rsidRDefault="009613E8" w:rsidP="00F11DB9">
            <w:pPr>
              <w:rPr>
                <w:sz w:val="16"/>
                <w:szCs w:val="16"/>
                <w:lang w:eastAsia="zh-CN"/>
              </w:rPr>
            </w:pPr>
          </w:p>
          <w:p w:rsidR="009613E8" w:rsidRPr="00DB6380" w:rsidRDefault="009613E8" w:rsidP="00F11DB9">
            <w:pPr>
              <w:rPr>
                <w:sz w:val="16"/>
                <w:szCs w:val="16"/>
                <w:lang w:eastAsia="zh-CN"/>
              </w:rPr>
            </w:pPr>
          </w:p>
          <w:p w:rsidR="009613E8" w:rsidRDefault="009613E8" w:rsidP="00F11DB9">
            <w:pPr>
              <w:rPr>
                <w:sz w:val="16"/>
                <w:szCs w:val="16"/>
                <w:lang w:eastAsia="zh-CN"/>
              </w:rPr>
            </w:pPr>
          </w:p>
          <w:p w:rsidR="009613E8" w:rsidRPr="00DB6380" w:rsidRDefault="009613E8" w:rsidP="00F11DB9">
            <w:pPr>
              <w:rPr>
                <w:sz w:val="16"/>
                <w:szCs w:val="16"/>
                <w:lang w:eastAsia="zh-CN"/>
              </w:rPr>
            </w:pPr>
            <w:r w:rsidRPr="00DB6380">
              <w:rPr>
                <w:sz w:val="16"/>
                <w:szCs w:val="16"/>
                <w:lang w:eastAsia="zh-CN"/>
              </w:rPr>
              <w:t>Quality of formalities examination improved</w:t>
            </w:r>
            <w:r>
              <w:rPr>
                <w:sz w:val="16"/>
                <w:szCs w:val="16"/>
                <w:lang w:eastAsia="zh-CN"/>
              </w:rPr>
              <w:t>.</w:t>
            </w:r>
          </w:p>
        </w:tc>
      </w:tr>
      <w:tr w:rsidR="009613E8" w:rsidTr="007854A1">
        <w:trPr>
          <w:trHeight w:val="1031"/>
        </w:trPr>
        <w:tc>
          <w:tcPr>
            <w:tcW w:w="2420" w:type="dxa"/>
            <w:tcBorders>
              <w:top w:val="nil"/>
              <w:bottom w:val="single" w:sz="4" w:space="0" w:color="auto"/>
            </w:tcBorders>
            <w:shd w:val="clear" w:color="auto" w:fill="auto"/>
            <w:tcMar>
              <w:top w:w="113" w:type="dxa"/>
            </w:tcMar>
          </w:tcPr>
          <w:p w:rsidR="009613E8" w:rsidRPr="00DB6380" w:rsidRDefault="009613E8" w:rsidP="00F11DB9">
            <w:pPr>
              <w:rPr>
                <w:sz w:val="16"/>
                <w:szCs w:val="16"/>
                <w:lang w:eastAsia="zh-CN"/>
              </w:rPr>
            </w:pPr>
            <w:r w:rsidRPr="00DB6380">
              <w:rPr>
                <w:sz w:val="16"/>
                <w:szCs w:val="16"/>
                <w:lang w:eastAsia="zh-CN"/>
              </w:rPr>
              <w:t>Malicious or unintentional disclosure of confidential information</w:t>
            </w:r>
          </w:p>
        </w:tc>
        <w:tc>
          <w:tcPr>
            <w:tcW w:w="2200" w:type="dxa"/>
            <w:tcBorders>
              <w:top w:val="nil"/>
              <w:bottom w:val="single" w:sz="4" w:space="0" w:color="auto"/>
            </w:tcBorders>
            <w:shd w:val="clear" w:color="auto" w:fill="auto"/>
            <w:tcMar>
              <w:top w:w="113" w:type="dxa"/>
            </w:tcMar>
          </w:tcPr>
          <w:p w:rsidR="009613E8" w:rsidRPr="00DB6380" w:rsidDel="00C266CB" w:rsidRDefault="009613E8" w:rsidP="00F11DB9">
            <w:pPr>
              <w:rPr>
                <w:sz w:val="16"/>
                <w:szCs w:val="16"/>
                <w:lang w:eastAsia="zh-CN"/>
              </w:rPr>
            </w:pPr>
            <w:r w:rsidRPr="00DB6380">
              <w:rPr>
                <w:sz w:val="16"/>
                <w:szCs w:val="16"/>
                <w:lang w:eastAsia="zh-CN"/>
              </w:rPr>
              <w:t xml:space="preserve">Continued awareness program for staff concerned: continue to implement cutting-edge controls in the physical and electronic environment; continue to improve strategic surveillance;  maintain high level of oversight with outsourced </w:t>
            </w:r>
            <w:smartTag w:uri="urn:schemas-microsoft-com:office:smarttags" w:element="PersonName">
              <w:r w:rsidRPr="00DB6380">
                <w:rPr>
                  <w:sz w:val="16"/>
                  <w:szCs w:val="16"/>
                  <w:lang w:eastAsia="zh-CN"/>
                </w:rPr>
                <w:t>translation</w:t>
              </w:r>
            </w:smartTag>
            <w:r w:rsidRPr="00DB6380">
              <w:rPr>
                <w:sz w:val="16"/>
                <w:szCs w:val="16"/>
                <w:lang w:eastAsia="zh-CN"/>
              </w:rPr>
              <w:t xml:space="preserve"> service providers</w:t>
            </w:r>
          </w:p>
        </w:tc>
        <w:tc>
          <w:tcPr>
            <w:tcW w:w="2468" w:type="dxa"/>
            <w:tcBorders>
              <w:top w:val="nil"/>
              <w:bottom w:val="single" w:sz="4" w:space="0" w:color="auto"/>
            </w:tcBorders>
          </w:tcPr>
          <w:p w:rsidR="009613E8" w:rsidRPr="00DB6380" w:rsidRDefault="009613E8" w:rsidP="00F11DB9">
            <w:pPr>
              <w:rPr>
                <w:sz w:val="16"/>
                <w:szCs w:val="16"/>
                <w:lang w:eastAsia="zh-CN"/>
              </w:rPr>
            </w:pPr>
            <w:r w:rsidRPr="00DB6380">
              <w:rPr>
                <w:sz w:val="16"/>
                <w:szCs w:val="16"/>
                <w:lang w:eastAsia="zh-CN"/>
              </w:rPr>
              <w:t xml:space="preserve">The risk </w:t>
            </w:r>
            <w:r>
              <w:rPr>
                <w:sz w:val="16"/>
                <w:szCs w:val="16"/>
                <w:lang w:eastAsia="zh-CN"/>
              </w:rPr>
              <w:t>did</w:t>
            </w:r>
            <w:r w:rsidRPr="00DB6380">
              <w:rPr>
                <w:sz w:val="16"/>
                <w:szCs w:val="16"/>
                <w:lang w:eastAsia="zh-CN"/>
              </w:rPr>
              <w:t xml:space="preserve"> not materialize. </w:t>
            </w:r>
            <w:r>
              <w:rPr>
                <w:sz w:val="16"/>
                <w:szCs w:val="16"/>
                <w:lang w:eastAsia="zh-CN"/>
              </w:rPr>
              <w:t>P</w:t>
            </w:r>
            <w:r w:rsidRPr="00DB6380">
              <w:rPr>
                <w:sz w:val="16"/>
                <w:szCs w:val="16"/>
                <w:lang w:eastAsia="zh-CN"/>
              </w:rPr>
              <w:t xml:space="preserve">reparations </w:t>
            </w:r>
            <w:r>
              <w:rPr>
                <w:sz w:val="16"/>
                <w:szCs w:val="16"/>
                <w:lang w:eastAsia="zh-CN"/>
              </w:rPr>
              <w:t xml:space="preserve">were initiated </w:t>
            </w:r>
            <w:r w:rsidRPr="00DB6380">
              <w:rPr>
                <w:sz w:val="16"/>
                <w:szCs w:val="16"/>
                <w:lang w:eastAsia="zh-CN"/>
              </w:rPr>
              <w:t xml:space="preserve">for the design of a resilient </w:t>
            </w:r>
            <w:r>
              <w:rPr>
                <w:sz w:val="16"/>
                <w:szCs w:val="16"/>
                <w:lang w:eastAsia="zh-CN"/>
              </w:rPr>
              <w:t xml:space="preserve">and </w:t>
            </w:r>
            <w:r w:rsidRPr="00DB6380">
              <w:rPr>
                <w:sz w:val="16"/>
                <w:szCs w:val="16"/>
                <w:lang w:eastAsia="zh-CN"/>
              </w:rPr>
              <w:t xml:space="preserve">secure platform architecture </w:t>
            </w:r>
            <w:r>
              <w:rPr>
                <w:sz w:val="16"/>
                <w:szCs w:val="16"/>
                <w:lang w:eastAsia="zh-CN"/>
              </w:rPr>
              <w:t xml:space="preserve">for </w:t>
            </w:r>
            <w:r w:rsidRPr="00DB6380">
              <w:rPr>
                <w:sz w:val="16"/>
                <w:szCs w:val="16"/>
                <w:lang w:eastAsia="zh-CN"/>
              </w:rPr>
              <w:t xml:space="preserve">PCT information systems </w:t>
            </w:r>
            <w:r>
              <w:rPr>
                <w:sz w:val="16"/>
                <w:szCs w:val="16"/>
                <w:lang w:eastAsia="zh-CN"/>
              </w:rPr>
              <w:t>as a</w:t>
            </w:r>
            <w:r w:rsidRPr="00DB6380">
              <w:rPr>
                <w:sz w:val="16"/>
                <w:szCs w:val="16"/>
                <w:lang w:eastAsia="zh-CN"/>
              </w:rPr>
              <w:t xml:space="preserve"> mitigation measure</w:t>
            </w:r>
            <w:r>
              <w:rPr>
                <w:sz w:val="16"/>
                <w:szCs w:val="16"/>
                <w:lang w:eastAsia="zh-CN"/>
              </w:rPr>
              <w:t>.</w:t>
            </w:r>
          </w:p>
        </w:tc>
        <w:tc>
          <w:tcPr>
            <w:tcW w:w="2268" w:type="dxa"/>
            <w:tcBorders>
              <w:top w:val="nil"/>
              <w:bottom w:val="single" w:sz="4" w:space="0" w:color="auto"/>
            </w:tcBorders>
          </w:tcPr>
          <w:p w:rsidR="009613E8" w:rsidRDefault="009613E8" w:rsidP="00F11DB9">
            <w:pPr>
              <w:autoSpaceDE w:val="0"/>
              <w:autoSpaceDN w:val="0"/>
              <w:adjustRightInd w:val="0"/>
              <w:ind w:right="-59"/>
              <w:rPr>
                <w:sz w:val="16"/>
                <w:szCs w:val="16"/>
                <w:lang w:eastAsia="zh-CN"/>
              </w:rPr>
            </w:pPr>
            <w:r>
              <w:rPr>
                <w:sz w:val="16"/>
                <w:szCs w:val="16"/>
                <w:lang w:eastAsia="zh-CN"/>
              </w:rPr>
              <w:t>This risk and its evolution did not have any material impact on the Program’s performance in 2014/15.</w:t>
            </w:r>
          </w:p>
          <w:p w:rsidR="009613E8" w:rsidRPr="003C527B" w:rsidRDefault="009613E8" w:rsidP="00F11DB9">
            <w:pPr>
              <w:rPr>
                <w:sz w:val="16"/>
                <w:szCs w:val="16"/>
                <w:lang w:eastAsia="zh-CN"/>
              </w:rPr>
            </w:pPr>
          </w:p>
        </w:tc>
      </w:tr>
    </w:tbl>
    <w:p w:rsidR="009613E8" w:rsidRPr="00D14507" w:rsidRDefault="009613E8" w:rsidP="00F11DB9">
      <w:pPr>
        <w:rPr>
          <w:rFonts w:cs="Arial"/>
          <w:color w:val="000000"/>
          <w:szCs w:val="22"/>
        </w:rPr>
      </w:pPr>
    </w:p>
    <w:p w:rsidR="009613E8" w:rsidRPr="00D14507" w:rsidRDefault="009613E8" w:rsidP="00F11DB9">
      <w:pPr>
        <w:rPr>
          <w:rFonts w:cs="Arial"/>
          <w:color w:val="000000"/>
          <w:szCs w:val="22"/>
        </w:rPr>
      </w:pPr>
    </w:p>
    <w:p w:rsidR="009613E8" w:rsidRPr="00D14507" w:rsidRDefault="009613E8" w:rsidP="00F11DB9">
      <w:pPr>
        <w:keepNext/>
        <w:keepLines/>
        <w:rPr>
          <w:rFonts w:cs="Arial"/>
          <w:color w:val="000000"/>
          <w:szCs w:val="22"/>
        </w:rPr>
      </w:pPr>
      <w:r w:rsidRPr="00D14507">
        <w:rPr>
          <w:rFonts w:cs="Arial"/>
          <w:color w:val="000000"/>
          <w:szCs w:val="22"/>
        </w:rPr>
        <w:t>RESOURCE UTILIZATION</w:t>
      </w:r>
      <w:r w:rsidRPr="00D14507">
        <w:rPr>
          <w:rFonts w:cs="Arial"/>
          <w:color w:val="000000"/>
          <w:szCs w:val="22"/>
        </w:rPr>
        <w:tab/>
      </w:r>
    </w:p>
    <w:p w:rsidR="009613E8" w:rsidRPr="00D14507" w:rsidRDefault="009613E8" w:rsidP="00F11DB9">
      <w:pPr>
        <w:keepNext/>
        <w:keepLines/>
        <w:rPr>
          <w:sz w:val="18"/>
          <w:szCs w:val="20"/>
        </w:rPr>
      </w:pPr>
    </w:p>
    <w:p w:rsidR="009613E8" w:rsidRPr="00383D2D" w:rsidRDefault="009613E8" w:rsidP="00F11DB9">
      <w:pPr>
        <w:pStyle w:val="NormalWeb"/>
        <w:keepNext/>
        <w:keepLines/>
        <w:spacing w:before="0" w:beforeAutospacing="0" w:after="0" w:afterAutospacing="0"/>
        <w:jc w:val="center"/>
        <w:rPr>
          <w:sz w:val="20"/>
          <w:szCs w:val="20"/>
        </w:rPr>
      </w:pPr>
      <w:r w:rsidRPr="00383D2D">
        <w:rPr>
          <w:color w:val="000000"/>
          <w:sz w:val="20"/>
          <w:szCs w:val="20"/>
        </w:rPr>
        <w:t xml:space="preserve">Budget and Actual Expenditure (by result) </w:t>
      </w:r>
    </w:p>
    <w:p w:rsidR="009613E8" w:rsidRDefault="009613E8" w:rsidP="00F11DB9">
      <w:pPr>
        <w:pStyle w:val="NormalWeb"/>
        <w:keepNext/>
        <w:keepLines/>
        <w:spacing w:before="0" w:beforeAutospacing="0" w:after="0" w:afterAutospacing="0"/>
        <w:jc w:val="center"/>
        <w:rPr>
          <w:i/>
          <w:iCs/>
          <w:color w:val="000000"/>
          <w:sz w:val="20"/>
          <w:szCs w:val="20"/>
        </w:rPr>
      </w:pPr>
      <w:r w:rsidRPr="00383D2D">
        <w:rPr>
          <w:i/>
          <w:iCs/>
          <w:color w:val="000000"/>
          <w:sz w:val="20"/>
          <w:szCs w:val="20"/>
        </w:rPr>
        <w:t>(in thousands of Swiss francs)</w:t>
      </w:r>
    </w:p>
    <w:p w:rsidR="009613E8" w:rsidRDefault="009613E8" w:rsidP="00F11DB9">
      <w:pPr>
        <w:pStyle w:val="NormalWeb"/>
        <w:keepNext/>
        <w:keepLines/>
        <w:spacing w:before="0" w:beforeAutospacing="0" w:after="0" w:afterAutospacing="0"/>
        <w:jc w:val="center"/>
        <w:rPr>
          <w:i/>
          <w:iCs/>
          <w:color w:val="000000"/>
          <w:sz w:val="20"/>
          <w:szCs w:val="20"/>
        </w:rPr>
      </w:pPr>
    </w:p>
    <w:p w:rsidR="009613E8" w:rsidRDefault="009613E8" w:rsidP="00F11DB9">
      <w:pPr>
        <w:keepNext/>
        <w:keepLines/>
        <w:jc w:val="center"/>
      </w:pPr>
      <w:r w:rsidRPr="00364937">
        <w:rPr>
          <w:noProof/>
        </w:rPr>
        <w:drawing>
          <wp:inline distT="0" distB="0" distL="0" distR="0" wp14:anchorId="6BCAACB5" wp14:editId="59509968">
            <wp:extent cx="5442509" cy="2265163"/>
            <wp:effectExtent l="0" t="0" r="6350" b="190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444684" cy="2266068"/>
                    </a:xfrm>
                    <a:prstGeom prst="rect">
                      <a:avLst/>
                    </a:prstGeom>
                    <a:noFill/>
                    <a:ln>
                      <a:noFill/>
                    </a:ln>
                  </pic:spPr>
                </pic:pic>
              </a:graphicData>
            </a:graphic>
          </wp:inline>
        </w:drawing>
      </w:r>
    </w:p>
    <w:p w:rsidR="009613E8" w:rsidRDefault="009613E8" w:rsidP="00F11DB9"/>
    <w:p w:rsidR="009613E8" w:rsidRPr="00383D2D" w:rsidRDefault="009613E8" w:rsidP="00F11DB9">
      <w:pPr>
        <w:pStyle w:val="NormalWeb"/>
        <w:keepNext/>
        <w:keepLines/>
        <w:spacing w:before="0" w:beforeAutospacing="0" w:after="0" w:afterAutospacing="0"/>
        <w:jc w:val="center"/>
        <w:rPr>
          <w:sz w:val="20"/>
          <w:szCs w:val="20"/>
        </w:rPr>
      </w:pPr>
      <w:r w:rsidRPr="00383D2D">
        <w:rPr>
          <w:color w:val="000000"/>
          <w:sz w:val="20"/>
          <w:szCs w:val="20"/>
        </w:rPr>
        <w:lastRenderedPageBreak/>
        <w:t xml:space="preserve">Budget and Actual Expenditure (personnel and non-personnel) </w:t>
      </w:r>
    </w:p>
    <w:p w:rsidR="009613E8" w:rsidRPr="00383D2D" w:rsidRDefault="009613E8" w:rsidP="00F11DB9">
      <w:pPr>
        <w:pStyle w:val="NormalWeb"/>
        <w:keepNext/>
        <w:keepLines/>
        <w:spacing w:before="0" w:beforeAutospacing="0" w:after="0" w:afterAutospacing="0"/>
        <w:jc w:val="center"/>
        <w:rPr>
          <w:i/>
          <w:iCs/>
          <w:color w:val="000000"/>
          <w:sz w:val="20"/>
          <w:szCs w:val="20"/>
        </w:rPr>
      </w:pPr>
      <w:r w:rsidRPr="00383D2D">
        <w:rPr>
          <w:i/>
          <w:iCs/>
          <w:color w:val="000000"/>
          <w:sz w:val="20"/>
          <w:szCs w:val="20"/>
        </w:rPr>
        <w:t>(in thousands of Swiss francs)</w:t>
      </w:r>
    </w:p>
    <w:p w:rsidR="009613E8" w:rsidRDefault="009613E8" w:rsidP="00F11DB9">
      <w:pPr>
        <w:pStyle w:val="NormalWeb"/>
        <w:keepNext/>
        <w:keepLines/>
        <w:spacing w:before="0" w:beforeAutospacing="0" w:after="0" w:afterAutospacing="0"/>
        <w:jc w:val="center"/>
      </w:pPr>
    </w:p>
    <w:p w:rsidR="009613E8" w:rsidRPr="008F4A6D" w:rsidRDefault="009613E8" w:rsidP="00F11DB9">
      <w:pPr>
        <w:keepNext/>
        <w:keepLines/>
        <w:autoSpaceDE w:val="0"/>
        <w:autoSpaceDN w:val="0"/>
        <w:adjustRightInd w:val="0"/>
        <w:jc w:val="center"/>
        <w:rPr>
          <w:rFonts w:cs="Arial"/>
          <w:szCs w:val="20"/>
        </w:rPr>
      </w:pPr>
      <w:r w:rsidRPr="00E97849">
        <w:rPr>
          <w:noProof/>
        </w:rPr>
        <w:drawing>
          <wp:inline distT="0" distB="0" distL="0" distR="0" wp14:anchorId="041A1C27" wp14:editId="78B6B0D2">
            <wp:extent cx="5501030" cy="971212"/>
            <wp:effectExtent l="0" t="0" r="4445" b="63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514746" cy="973634"/>
                    </a:xfrm>
                    <a:prstGeom prst="rect">
                      <a:avLst/>
                    </a:prstGeom>
                    <a:noFill/>
                    <a:ln>
                      <a:noFill/>
                    </a:ln>
                  </pic:spPr>
                </pic:pic>
              </a:graphicData>
            </a:graphic>
          </wp:inline>
        </w:drawing>
      </w:r>
    </w:p>
    <w:p w:rsidR="009613E8" w:rsidRDefault="009613E8" w:rsidP="00F11DB9">
      <w:pPr>
        <w:keepNext/>
        <w:keepLines/>
        <w:autoSpaceDE w:val="0"/>
        <w:autoSpaceDN w:val="0"/>
        <w:adjustRightInd w:val="0"/>
        <w:rPr>
          <w:rFonts w:cs="Arial"/>
          <w:szCs w:val="20"/>
        </w:rPr>
      </w:pPr>
    </w:p>
    <w:p w:rsidR="009613E8" w:rsidRPr="00257BEE" w:rsidRDefault="009613E8" w:rsidP="00F11DB9">
      <w:pPr>
        <w:keepNext/>
        <w:keepLines/>
        <w:autoSpaceDE w:val="0"/>
        <w:autoSpaceDN w:val="0"/>
        <w:adjustRightInd w:val="0"/>
        <w:rPr>
          <w:rFonts w:cs="Arial"/>
          <w:sz w:val="16"/>
          <w:szCs w:val="16"/>
        </w:rPr>
      </w:pPr>
      <w:r>
        <w:rPr>
          <w:rFonts w:cs="Arial"/>
          <w:i/>
          <w:iCs/>
          <w:sz w:val="16"/>
          <w:szCs w:val="16"/>
        </w:rPr>
        <w:t>“NOTE</w:t>
      </w:r>
      <w:r w:rsidRPr="00257BEE">
        <w:rPr>
          <w:rFonts w:cs="Arial"/>
          <w:i/>
          <w:iCs/>
          <w:sz w:val="16"/>
          <w:szCs w:val="16"/>
        </w:rPr>
        <w:t>: The resources for the DA projects “IP and Technological Transfer” and “Open Collaborative Projects” (280</w:t>
      </w:r>
      <w:r>
        <w:rPr>
          <w:rFonts w:cs="Arial"/>
          <w:i/>
          <w:iCs/>
          <w:sz w:val="16"/>
          <w:szCs w:val="16"/>
        </w:rPr>
        <w:t>,000</w:t>
      </w:r>
      <w:r w:rsidRPr="00257BEE">
        <w:rPr>
          <w:rFonts w:cs="Arial"/>
          <w:i/>
          <w:iCs/>
          <w:sz w:val="16"/>
          <w:szCs w:val="16"/>
        </w:rPr>
        <w:t xml:space="preserve"> Swiss francs and 153</w:t>
      </w:r>
      <w:r>
        <w:rPr>
          <w:rFonts w:cs="Arial"/>
          <w:i/>
          <w:iCs/>
          <w:sz w:val="16"/>
          <w:szCs w:val="16"/>
        </w:rPr>
        <w:t>,000</w:t>
      </w:r>
      <w:r w:rsidRPr="00257BEE">
        <w:rPr>
          <w:rFonts w:cs="Arial"/>
          <w:i/>
          <w:iCs/>
          <w:sz w:val="16"/>
          <w:szCs w:val="16"/>
        </w:rPr>
        <w:t xml:space="preserve"> Swiss francs, respectively) are reflected under Ex</w:t>
      </w:r>
      <w:r>
        <w:rPr>
          <w:rFonts w:cs="Arial"/>
          <w:i/>
          <w:iCs/>
          <w:sz w:val="16"/>
          <w:szCs w:val="16"/>
        </w:rPr>
        <w:t xml:space="preserve">pected Results IV.2 and VII.3. </w:t>
      </w:r>
      <w:r w:rsidRPr="00257BEE">
        <w:rPr>
          <w:rFonts w:cs="Arial"/>
          <w:i/>
          <w:iCs/>
          <w:sz w:val="16"/>
          <w:szCs w:val="16"/>
        </w:rPr>
        <w:t>The pr</w:t>
      </w:r>
      <w:r>
        <w:rPr>
          <w:rFonts w:cs="Arial"/>
          <w:i/>
          <w:iCs/>
          <w:sz w:val="16"/>
          <w:szCs w:val="16"/>
        </w:rPr>
        <w:t>ojects were completed in 2015; </w:t>
      </w:r>
      <w:r w:rsidRPr="00257BEE">
        <w:rPr>
          <w:rFonts w:cs="Arial"/>
          <w:i/>
          <w:iCs/>
          <w:sz w:val="16"/>
          <w:szCs w:val="16"/>
        </w:rPr>
        <w:t>a substantive report on both Projects is provided under Program 30.”</w:t>
      </w:r>
    </w:p>
    <w:p w:rsidR="009613E8" w:rsidRDefault="009613E8" w:rsidP="00F11DB9">
      <w:pPr>
        <w:widowControl w:val="0"/>
        <w:autoSpaceDE w:val="0"/>
        <w:autoSpaceDN w:val="0"/>
        <w:adjustRightInd w:val="0"/>
        <w:rPr>
          <w:rFonts w:cs="Arial"/>
          <w:szCs w:val="20"/>
        </w:rPr>
      </w:pPr>
    </w:p>
    <w:p w:rsidR="009613E8" w:rsidRDefault="009613E8" w:rsidP="00F11DB9">
      <w:pPr>
        <w:widowControl w:val="0"/>
        <w:autoSpaceDE w:val="0"/>
        <w:autoSpaceDN w:val="0"/>
        <w:adjustRightInd w:val="0"/>
        <w:rPr>
          <w:rFonts w:cs="Arial"/>
          <w:szCs w:val="20"/>
        </w:rPr>
      </w:pPr>
    </w:p>
    <w:p w:rsidR="009613E8" w:rsidRDefault="009613E8" w:rsidP="00F11DB9">
      <w:pPr>
        <w:rPr>
          <w:rFonts w:cs="Arial"/>
          <w:u w:val="single"/>
        </w:rPr>
      </w:pPr>
      <w:r w:rsidRPr="00420F90">
        <w:rPr>
          <w:rFonts w:cs="Arial"/>
          <w:szCs w:val="20"/>
        </w:rPr>
        <w:t>A.</w:t>
      </w:r>
      <w:r w:rsidRPr="00420F90">
        <w:rPr>
          <w:rFonts w:cs="Arial"/>
        </w:rPr>
        <w:tab/>
      </w:r>
      <w:r w:rsidRPr="00420F90">
        <w:rPr>
          <w:rFonts w:cs="Arial"/>
          <w:u w:val="single"/>
        </w:rPr>
        <w:t>201</w:t>
      </w:r>
      <w:r>
        <w:rPr>
          <w:rFonts w:cs="Arial"/>
          <w:u w:val="single"/>
        </w:rPr>
        <w:t xml:space="preserve">4/15 Final </w:t>
      </w:r>
      <w:r w:rsidRPr="00420F90">
        <w:rPr>
          <w:rFonts w:cs="Arial"/>
          <w:u w:val="single"/>
        </w:rPr>
        <w:t xml:space="preserve">Budget after Transfers </w:t>
      </w:r>
    </w:p>
    <w:p w:rsidR="009613E8" w:rsidRDefault="009613E8" w:rsidP="00F11DB9">
      <w:pPr>
        <w:autoSpaceDE w:val="0"/>
        <w:autoSpaceDN w:val="0"/>
        <w:jc w:val="both"/>
        <w:rPr>
          <w:rFonts w:cs="Arial"/>
          <w:szCs w:val="20"/>
          <w:lang w:eastAsia="ko-KR"/>
        </w:rPr>
      </w:pPr>
    </w:p>
    <w:p w:rsidR="009613E8" w:rsidRPr="00257BEE" w:rsidRDefault="009613E8" w:rsidP="009613E8">
      <w:pPr>
        <w:pStyle w:val="ListParagraph"/>
        <w:numPr>
          <w:ilvl w:val="0"/>
          <w:numId w:val="24"/>
        </w:numPr>
        <w:tabs>
          <w:tab w:val="left" w:pos="0"/>
          <w:tab w:val="left" w:pos="567"/>
        </w:tabs>
        <w:ind w:left="0" w:firstLine="0"/>
        <w:jc w:val="both"/>
        <w:rPr>
          <w:lang w:eastAsia="ko-KR"/>
        </w:rPr>
      </w:pPr>
      <w:r w:rsidRPr="00257BEE">
        <w:rPr>
          <w:rFonts w:cs="Arial"/>
        </w:rPr>
        <w:t>The</w:t>
      </w:r>
      <w:r w:rsidRPr="00257BEE">
        <w:rPr>
          <w:rFonts w:cs="Arial"/>
          <w:lang w:eastAsia="ko-KR"/>
        </w:rPr>
        <w:t xml:space="preserve"> </w:t>
      </w:r>
      <w:r w:rsidRPr="00257BEE">
        <w:rPr>
          <w:rFonts w:cs="Arial"/>
        </w:rPr>
        <w:t>overall</w:t>
      </w:r>
      <w:r w:rsidRPr="00257BEE">
        <w:rPr>
          <w:rFonts w:cs="Arial"/>
          <w:lang w:eastAsia="ko-KR"/>
        </w:rPr>
        <w:t xml:space="preserve"> decrease in the </w:t>
      </w:r>
      <w:r>
        <w:rPr>
          <w:rFonts w:cs="Arial"/>
          <w:lang w:eastAsia="ko-KR"/>
        </w:rPr>
        <w:t xml:space="preserve">Final </w:t>
      </w:r>
      <w:r w:rsidRPr="00257BEE">
        <w:rPr>
          <w:rFonts w:cs="Arial"/>
          <w:lang w:eastAsia="ko-KR"/>
        </w:rPr>
        <w:t>Budget after Transfers is primarily due to increased</w:t>
      </w:r>
      <w:r w:rsidRPr="00257BEE">
        <w:rPr>
          <w:lang w:eastAsia="ko-KR"/>
        </w:rPr>
        <w:t xml:space="preserve"> productivity in the processing of international applications over the biennium. </w:t>
      </w:r>
      <w:r>
        <w:rPr>
          <w:lang w:eastAsia="ko-KR"/>
        </w:rPr>
        <w:t xml:space="preserve"> </w:t>
      </w:r>
      <w:r w:rsidRPr="00257BEE">
        <w:rPr>
          <w:lang w:eastAsia="ko-KR"/>
        </w:rPr>
        <w:t xml:space="preserve">In addition, the improved workflows and </w:t>
      </w:r>
      <w:r w:rsidRPr="00257BEE">
        <w:t>processing of financial commitments for the translation services</w:t>
      </w:r>
      <w:r w:rsidRPr="00257BEE">
        <w:rPr>
          <w:lang w:eastAsia="ko-KR"/>
        </w:rPr>
        <w:t xml:space="preserve"> contributed to </w:t>
      </w:r>
      <w:r>
        <w:rPr>
          <w:lang w:eastAsia="ko-KR"/>
        </w:rPr>
        <w:t xml:space="preserve">a </w:t>
      </w:r>
      <w:r w:rsidRPr="00257BEE">
        <w:rPr>
          <w:lang w:eastAsia="ko-KR"/>
        </w:rPr>
        <w:t xml:space="preserve">more efficient use of resources. </w:t>
      </w:r>
    </w:p>
    <w:p w:rsidR="009613E8" w:rsidRPr="00257BEE" w:rsidRDefault="009613E8" w:rsidP="00F11DB9">
      <w:pPr>
        <w:tabs>
          <w:tab w:val="left" w:pos="709"/>
        </w:tabs>
        <w:autoSpaceDE w:val="0"/>
        <w:autoSpaceDN w:val="0"/>
        <w:adjustRightInd w:val="0"/>
        <w:jc w:val="both"/>
        <w:rPr>
          <w:lang w:eastAsia="ko-KR"/>
        </w:rPr>
      </w:pPr>
    </w:p>
    <w:p w:rsidR="009613E8" w:rsidRPr="00257BEE" w:rsidRDefault="009613E8" w:rsidP="009613E8">
      <w:pPr>
        <w:pStyle w:val="ListParagraph"/>
        <w:numPr>
          <w:ilvl w:val="0"/>
          <w:numId w:val="24"/>
        </w:numPr>
        <w:tabs>
          <w:tab w:val="left" w:pos="0"/>
          <w:tab w:val="left" w:pos="567"/>
        </w:tabs>
        <w:ind w:left="0" w:firstLine="0"/>
        <w:jc w:val="both"/>
        <w:rPr>
          <w:lang w:eastAsia="ko-KR"/>
        </w:rPr>
      </w:pPr>
      <w:r w:rsidRPr="00257BEE">
        <w:rPr>
          <w:lang w:eastAsia="ko-KR"/>
        </w:rPr>
        <w:t xml:space="preserve">This </w:t>
      </w:r>
      <w:r w:rsidRPr="00D14507">
        <w:rPr>
          <w:rFonts w:cs="Arial"/>
        </w:rPr>
        <w:t>overall</w:t>
      </w:r>
      <w:r w:rsidRPr="00257BEE">
        <w:rPr>
          <w:lang w:eastAsia="ko-KR"/>
        </w:rPr>
        <w:t xml:space="preserve"> decrease was partially offset by a net increase in the budget allocated to support further enhancements of the PCT information systems. </w:t>
      </w:r>
    </w:p>
    <w:p w:rsidR="009613E8" w:rsidRPr="00257BEE" w:rsidRDefault="009613E8" w:rsidP="00F11DB9">
      <w:pPr>
        <w:tabs>
          <w:tab w:val="left" w:pos="709"/>
        </w:tabs>
        <w:autoSpaceDE w:val="0"/>
        <w:autoSpaceDN w:val="0"/>
        <w:adjustRightInd w:val="0"/>
        <w:jc w:val="both"/>
        <w:rPr>
          <w:lang w:eastAsia="ko-KR"/>
        </w:rPr>
      </w:pPr>
    </w:p>
    <w:p w:rsidR="009613E8" w:rsidRPr="00257BEE" w:rsidRDefault="009613E8" w:rsidP="009613E8">
      <w:pPr>
        <w:pStyle w:val="ListParagraph"/>
        <w:numPr>
          <w:ilvl w:val="0"/>
          <w:numId w:val="24"/>
        </w:numPr>
        <w:tabs>
          <w:tab w:val="left" w:pos="0"/>
          <w:tab w:val="left" w:pos="567"/>
        </w:tabs>
        <w:ind w:left="0" w:firstLine="0"/>
        <w:jc w:val="both"/>
        <w:rPr>
          <w:rFonts w:cs="Arial"/>
          <w:lang w:eastAsia="ko-KR"/>
        </w:rPr>
      </w:pPr>
      <w:r w:rsidRPr="00257BEE">
        <w:rPr>
          <w:rFonts w:cs="Arial"/>
          <w:lang w:eastAsia="ko-KR"/>
        </w:rPr>
        <w:t xml:space="preserve">The </w:t>
      </w:r>
      <w:r w:rsidRPr="00257BEE">
        <w:rPr>
          <w:rFonts w:cs="Arial"/>
        </w:rPr>
        <w:t>adjustments</w:t>
      </w:r>
      <w:r w:rsidRPr="00257BEE">
        <w:rPr>
          <w:rFonts w:cs="Arial"/>
          <w:lang w:eastAsia="ko-KR"/>
        </w:rPr>
        <w:t xml:space="preserve"> in the </w:t>
      </w:r>
      <w:r>
        <w:rPr>
          <w:rFonts w:cs="Arial"/>
          <w:lang w:eastAsia="ko-KR"/>
        </w:rPr>
        <w:t xml:space="preserve">Final </w:t>
      </w:r>
      <w:r w:rsidRPr="00257BEE">
        <w:rPr>
          <w:rFonts w:cs="Arial"/>
          <w:lang w:eastAsia="ko-KR"/>
        </w:rPr>
        <w:t>Budget after Transfers between Results are mainly due to reallocation of personnel resources.</w:t>
      </w:r>
    </w:p>
    <w:p w:rsidR="009613E8" w:rsidRDefault="009613E8" w:rsidP="00F11DB9">
      <w:pPr>
        <w:autoSpaceDE w:val="0"/>
        <w:autoSpaceDN w:val="0"/>
        <w:jc w:val="both"/>
        <w:rPr>
          <w:rFonts w:cs="Arial"/>
          <w:szCs w:val="20"/>
          <w:lang w:eastAsia="ko-KR"/>
        </w:rPr>
      </w:pPr>
    </w:p>
    <w:p w:rsidR="009613E8" w:rsidRPr="00257BEE" w:rsidRDefault="009613E8" w:rsidP="00F11DB9">
      <w:pPr>
        <w:jc w:val="both"/>
        <w:rPr>
          <w:rFonts w:cs="Arial"/>
          <w:szCs w:val="20"/>
          <w:u w:val="single"/>
          <w:lang w:eastAsia="ko-KR"/>
        </w:rPr>
      </w:pPr>
      <w:r w:rsidRPr="00257BEE">
        <w:rPr>
          <w:rFonts w:cs="Arial"/>
          <w:szCs w:val="20"/>
          <w:lang w:eastAsia="ko-KR"/>
        </w:rPr>
        <w:t>B.</w:t>
      </w:r>
      <w:r w:rsidRPr="00257BEE">
        <w:rPr>
          <w:rFonts w:cs="Arial"/>
          <w:szCs w:val="20"/>
          <w:lang w:eastAsia="ko-KR"/>
        </w:rPr>
        <w:tab/>
      </w:r>
      <w:r w:rsidRPr="00420F90">
        <w:rPr>
          <w:rFonts w:cs="Arial"/>
          <w:u w:val="single"/>
        </w:rPr>
        <w:t>201</w:t>
      </w:r>
      <w:r>
        <w:rPr>
          <w:rFonts w:cs="Arial"/>
          <w:u w:val="single"/>
        </w:rPr>
        <w:t xml:space="preserve">4/15 </w:t>
      </w:r>
      <w:r w:rsidRPr="00257BEE">
        <w:rPr>
          <w:rFonts w:cs="Arial"/>
          <w:szCs w:val="20"/>
          <w:u w:val="single"/>
          <w:lang w:eastAsia="ko-KR"/>
        </w:rPr>
        <w:t xml:space="preserve">Budget </w:t>
      </w:r>
      <w:r>
        <w:rPr>
          <w:rFonts w:cs="Arial"/>
          <w:szCs w:val="20"/>
          <w:u w:val="single"/>
          <w:lang w:eastAsia="ko-KR"/>
        </w:rPr>
        <w:t>U</w:t>
      </w:r>
      <w:r w:rsidRPr="00257BEE">
        <w:rPr>
          <w:rFonts w:cs="Arial"/>
          <w:szCs w:val="20"/>
          <w:u w:val="single"/>
          <w:lang w:eastAsia="ko-KR"/>
        </w:rPr>
        <w:t xml:space="preserve">tilization </w:t>
      </w:r>
    </w:p>
    <w:p w:rsidR="009613E8" w:rsidRPr="00257BEE" w:rsidRDefault="009613E8" w:rsidP="00F11DB9">
      <w:pPr>
        <w:jc w:val="both"/>
        <w:rPr>
          <w:rFonts w:cs="Arial"/>
          <w:szCs w:val="20"/>
          <w:u w:val="single"/>
          <w:lang w:eastAsia="ko-KR"/>
        </w:rPr>
      </w:pPr>
    </w:p>
    <w:p w:rsidR="009613E8" w:rsidRPr="00257BEE" w:rsidRDefault="009613E8" w:rsidP="009613E8">
      <w:pPr>
        <w:pStyle w:val="ListParagraph"/>
        <w:numPr>
          <w:ilvl w:val="0"/>
          <w:numId w:val="24"/>
        </w:numPr>
        <w:tabs>
          <w:tab w:val="left" w:pos="0"/>
          <w:tab w:val="left" w:pos="567"/>
        </w:tabs>
        <w:ind w:left="0" w:firstLine="0"/>
        <w:jc w:val="both"/>
        <w:rPr>
          <w:rFonts w:cs="Arial"/>
          <w:lang w:eastAsia="ko-KR"/>
        </w:rPr>
      </w:pPr>
      <w:r w:rsidRPr="00257BEE">
        <w:rPr>
          <w:rFonts w:cs="Arial"/>
          <w:lang w:eastAsia="ko-KR"/>
        </w:rPr>
        <w:t>Overall bud</w:t>
      </w:r>
      <w:r w:rsidRPr="00257BEE">
        <w:rPr>
          <w:rFonts w:cs="Arial"/>
        </w:rPr>
        <w:t>g</w:t>
      </w:r>
      <w:r w:rsidRPr="00257BEE">
        <w:rPr>
          <w:rFonts w:cs="Arial"/>
          <w:lang w:eastAsia="ko-KR"/>
        </w:rPr>
        <w:t>et utilization for the biennium 2014/15 amounted to 9</w:t>
      </w:r>
      <w:r>
        <w:rPr>
          <w:rFonts w:cs="Arial"/>
          <w:lang w:eastAsia="ko-KR"/>
        </w:rPr>
        <w:t>5 per cent</w:t>
      </w:r>
      <w:r w:rsidRPr="00257BEE">
        <w:rPr>
          <w:rFonts w:cs="Arial"/>
          <w:lang w:eastAsia="ko-KR"/>
        </w:rPr>
        <w:t xml:space="preserve"> due to the following: </w:t>
      </w:r>
    </w:p>
    <w:p w:rsidR="009613E8" w:rsidRPr="00257BEE" w:rsidRDefault="009613E8" w:rsidP="00F11DB9">
      <w:pPr>
        <w:autoSpaceDE w:val="0"/>
        <w:autoSpaceDN w:val="0"/>
        <w:jc w:val="both"/>
        <w:rPr>
          <w:rFonts w:cs="Arial"/>
          <w:szCs w:val="20"/>
          <w:lang w:eastAsia="ko-KR"/>
        </w:rPr>
      </w:pPr>
    </w:p>
    <w:p w:rsidR="009613E8" w:rsidRDefault="009613E8" w:rsidP="009613E8">
      <w:pPr>
        <w:pStyle w:val="ListParagraph"/>
        <w:numPr>
          <w:ilvl w:val="0"/>
          <w:numId w:val="23"/>
        </w:numPr>
        <w:autoSpaceDE w:val="0"/>
        <w:autoSpaceDN w:val="0"/>
        <w:ind w:left="1134" w:hanging="567"/>
        <w:jc w:val="both"/>
      </w:pPr>
      <w:r w:rsidRPr="00D14507">
        <w:rPr>
          <w:rFonts w:cs="Arial"/>
          <w:lang w:eastAsia="ko-KR"/>
        </w:rPr>
        <w:t xml:space="preserve">the increase in productivity achieved in the processing of international applications over the biennium and lower translation costs that resulted in </w:t>
      </w:r>
      <w:r w:rsidRPr="00257BEE">
        <w:rPr>
          <w:lang w:eastAsia="ko-KR"/>
        </w:rPr>
        <w:t>efficiency gains in PCT Operations</w:t>
      </w:r>
      <w:r>
        <w:rPr>
          <w:lang w:eastAsia="ko-KR"/>
        </w:rPr>
        <w:t>; and</w:t>
      </w:r>
      <w:r w:rsidRPr="00257BEE">
        <w:rPr>
          <w:lang w:eastAsia="ko-KR"/>
        </w:rPr>
        <w:t xml:space="preserve"> </w:t>
      </w:r>
      <w:r>
        <w:rPr>
          <w:lang w:eastAsia="ko-KR"/>
        </w:rPr>
        <w:t>o</w:t>
      </w:r>
      <w:r w:rsidRPr="00D14507">
        <w:rPr>
          <w:rFonts w:cs="Arial"/>
          <w:lang w:eastAsia="ko-KR"/>
        </w:rPr>
        <w:t xml:space="preserve">ngoing implementation of certain PCT information system projects that started and were not completed in 2015, to be continued in the next biennium. </w:t>
      </w:r>
    </w:p>
    <w:p w:rsidR="009613E8" w:rsidRDefault="009613E8"/>
    <w:p w:rsidR="009613E8" w:rsidRDefault="009613E8"/>
    <w:p w:rsidR="009613E8" w:rsidRDefault="009613E8"/>
    <w:p w:rsidR="00E023E5" w:rsidRDefault="00E023E5">
      <w:r>
        <w:br w:type="page"/>
      </w:r>
    </w:p>
    <w:p w:rsidR="00E023E5" w:rsidRPr="00FA0C5A" w:rsidRDefault="00E023E5" w:rsidP="00FA0C5A">
      <w:pPr>
        <w:pStyle w:val="StyleHeading3BoldNounderline"/>
        <w:rPr>
          <w:b/>
        </w:rPr>
      </w:pPr>
      <w:bookmarkStart w:id="63" w:name="_Toc454544468"/>
      <w:r w:rsidRPr="00FA0C5A">
        <w:rPr>
          <w:b/>
        </w:rPr>
        <w:lastRenderedPageBreak/>
        <w:t>Program 5 Annex:</w:t>
      </w:r>
      <w:r w:rsidR="004B5923" w:rsidRPr="00FA0C5A">
        <w:rPr>
          <w:b/>
        </w:rPr>
        <w:t xml:space="preserve">  </w:t>
      </w:r>
      <w:r w:rsidRPr="00FA0C5A">
        <w:rPr>
          <w:b/>
        </w:rPr>
        <w:t xml:space="preserve">  Indicators of PCT Operations</w:t>
      </w:r>
      <w:bookmarkEnd w:id="63"/>
    </w:p>
    <w:p w:rsidR="00E023E5" w:rsidRDefault="00E023E5"/>
    <w:p w:rsidR="00E023E5" w:rsidRPr="000E46C3" w:rsidRDefault="00E023E5" w:rsidP="00E023E5"/>
    <w:p w:rsidR="00F838C5" w:rsidRPr="000E46C3" w:rsidRDefault="00F838C5" w:rsidP="00E023E5">
      <w:r w:rsidRPr="000E46C3">
        <w:t>PERFORMANCE INDICATORS FOR THE EXPECTED RESULT</w:t>
      </w:r>
      <w:r>
        <w:t xml:space="preserve"> </w:t>
      </w:r>
    </w:p>
    <w:p w:rsidR="00F838C5" w:rsidRPr="000E46C3" w:rsidRDefault="00F838C5" w:rsidP="00E023E5">
      <w:r w:rsidRPr="000E46C3">
        <w:t>“IMPROVED PRODUCTIVITY AND SERVICE QUALITY OF PCT OPERATIONS”</w:t>
      </w:r>
    </w:p>
    <w:p w:rsidR="00F838C5" w:rsidRPr="00592020" w:rsidRDefault="00F838C5" w:rsidP="00E023E5">
      <w:pPr>
        <w:jc w:val="center"/>
        <w:rPr>
          <w:bCs/>
          <w:sz w:val="22"/>
          <w:szCs w:val="28"/>
        </w:rPr>
      </w:pPr>
    </w:p>
    <w:p w:rsidR="00F838C5" w:rsidRPr="000E46C3" w:rsidRDefault="00F838C5" w:rsidP="00E023E5">
      <w:pPr>
        <w:rPr>
          <w:b/>
        </w:rPr>
      </w:pPr>
      <w:r w:rsidRPr="000E46C3">
        <w:rPr>
          <w:b/>
        </w:rPr>
        <w:t>General</w:t>
      </w:r>
    </w:p>
    <w:p w:rsidR="00F838C5" w:rsidRPr="000E46C3" w:rsidRDefault="00F838C5" w:rsidP="00E023E5">
      <w:pPr>
        <w:rPr>
          <w:b/>
        </w:rPr>
      </w:pPr>
    </w:p>
    <w:p w:rsidR="00F838C5" w:rsidRPr="000E46C3" w:rsidRDefault="00F838C5" w:rsidP="00F838C5">
      <w:pPr>
        <w:numPr>
          <w:ilvl w:val="0"/>
          <w:numId w:val="55"/>
        </w:numPr>
        <w:jc w:val="both"/>
        <w:rPr>
          <w:lang w:val="en-GB"/>
        </w:rPr>
      </w:pPr>
      <w:r w:rsidRPr="000E46C3">
        <w:rPr>
          <w:lang w:val="en-GB"/>
        </w:rPr>
        <w:t>As background for the performance indicators for the expected result “</w:t>
      </w:r>
      <w:r w:rsidRPr="000E46C3">
        <w:t>improved productivity and service quality of PCT operations</w:t>
      </w:r>
      <w:r w:rsidRPr="000E46C3">
        <w:rPr>
          <w:lang w:val="en-GB"/>
        </w:rPr>
        <w:t>”, the evolution of</w:t>
      </w:r>
      <w:r>
        <w:rPr>
          <w:lang w:val="en-GB"/>
        </w:rPr>
        <w:t xml:space="preserve"> the following factors need to be considered</w:t>
      </w:r>
      <w:r w:rsidRPr="000E46C3">
        <w:rPr>
          <w:lang w:val="en-GB"/>
        </w:rPr>
        <w:t xml:space="preserve">:  </w:t>
      </w:r>
    </w:p>
    <w:p w:rsidR="00F838C5" w:rsidRPr="000E46C3" w:rsidRDefault="00F838C5" w:rsidP="00E023E5">
      <w:pPr>
        <w:rPr>
          <w:lang w:val="en-GB"/>
        </w:rPr>
      </w:pPr>
    </w:p>
    <w:p w:rsidR="00F838C5" w:rsidRPr="000E46C3" w:rsidRDefault="00F838C5" w:rsidP="00F838C5">
      <w:pPr>
        <w:numPr>
          <w:ilvl w:val="0"/>
          <w:numId w:val="54"/>
        </w:numPr>
        <w:tabs>
          <w:tab w:val="clear" w:pos="720"/>
          <w:tab w:val="num" w:pos="1100"/>
        </w:tabs>
        <w:spacing w:after="60"/>
        <w:ind w:left="1208" w:hanging="658"/>
        <w:rPr>
          <w:lang w:val="en-GB"/>
        </w:rPr>
      </w:pPr>
      <w:r w:rsidRPr="000E46C3">
        <w:rPr>
          <w:lang w:val="en-GB"/>
        </w:rPr>
        <w:t>The PCT workloads;</w:t>
      </w:r>
    </w:p>
    <w:p w:rsidR="00F838C5" w:rsidRPr="000E46C3" w:rsidRDefault="00F838C5" w:rsidP="00F838C5">
      <w:pPr>
        <w:numPr>
          <w:ilvl w:val="0"/>
          <w:numId w:val="54"/>
        </w:numPr>
        <w:tabs>
          <w:tab w:val="clear" w:pos="720"/>
          <w:tab w:val="num" w:pos="1100"/>
        </w:tabs>
        <w:spacing w:after="60"/>
        <w:ind w:left="1208" w:hanging="658"/>
        <w:rPr>
          <w:lang w:val="en-GB"/>
        </w:rPr>
      </w:pPr>
      <w:r w:rsidRPr="000E46C3">
        <w:rPr>
          <w:lang w:val="en-GB"/>
        </w:rPr>
        <w:t>The language distribution of those workloads;</w:t>
      </w:r>
    </w:p>
    <w:p w:rsidR="00F838C5" w:rsidRDefault="00F838C5" w:rsidP="00F838C5">
      <w:pPr>
        <w:numPr>
          <w:ilvl w:val="0"/>
          <w:numId w:val="54"/>
        </w:numPr>
        <w:tabs>
          <w:tab w:val="clear" w:pos="720"/>
          <w:tab w:val="num" w:pos="1100"/>
        </w:tabs>
        <w:spacing w:after="60"/>
        <w:ind w:left="1208" w:hanging="658"/>
        <w:rPr>
          <w:lang w:val="en-GB"/>
        </w:rPr>
      </w:pPr>
      <w:r w:rsidRPr="000E46C3">
        <w:rPr>
          <w:lang w:val="en-GB"/>
        </w:rPr>
        <w:t>The number of staff assigned to process those workloads</w:t>
      </w:r>
      <w:r>
        <w:rPr>
          <w:lang w:val="en-GB"/>
        </w:rPr>
        <w:t>; and</w:t>
      </w:r>
    </w:p>
    <w:p w:rsidR="00F838C5" w:rsidRPr="000E46C3" w:rsidRDefault="00F838C5" w:rsidP="00F838C5">
      <w:pPr>
        <w:numPr>
          <w:ilvl w:val="0"/>
          <w:numId w:val="54"/>
        </w:numPr>
        <w:tabs>
          <w:tab w:val="clear" w:pos="720"/>
          <w:tab w:val="num" w:pos="1100"/>
        </w:tabs>
        <w:ind w:left="1210" w:hanging="660"/>
        <w:rPr>
          <w:lang w:val="en-GB"/>
        </w:rPr>
      </w:pPr>
      <w:r>
        <w:rPr>
          <w:lang w:val="en-GB"/>
        </w:rPr>
        <w:t>The level of automation.</w:t>
      </w:r>
    </w:p>
    <w:p w:rsidR="00F838C5" w:rsidRDefault="00F838C5" w:rsidP="00E023E5">
      <w:pPr>
        <w:tabs>
          <w:tab w:val="num" w:pos="1100"/>
        </w:tabs>
        <w:ind w:left="1210" w:hanging="660"/>
        <w:rPr>
          <w:lang w:val="en-GB"/>
        </w:rPr>
      </w:pPr>
    </w:p>
    <w:p w:rsidR="00F838C5" w:rsidRPr="000E46C3" w:rsidRDefault="00F838C5" w:rsidP="00E023E5">
      <w:pPr>
        <w:rPr>
          <w:i/>
          <w:lang w:val="en-GB"/>
        </w:rPr>
      </w:pPr>
      <w:r w:rsidRPr="000E46C3">
        <w:rPr>
          <w:i/>
          <w:lang w:val="en-GB"/>
        </w:rPr>
        <w:t>Workloads</w:t>
      </w:r>
    </w:p>
    <w:p w:rsidR="00F838C5" w:rsidRPr="000E46C3" w:rsidRDefault="00F838C5" w:rsidP="00E023E5">
      <w:pPr>
        <w:rPr>
          <w:lang w:val="en-GB"/>
        </w:rPr>
      </w:pPr>
    </w:p>
    <w:p w:rsidR="00F838C5" w:rsidRPr="000E46C3" w:rsidRDefault="00F838C5" w:rsidP="00F838C5">
      <w:pPr>
        <w:numPr>
          <w:ilvl w:val="0"/>
          <w:numId w:val="55"/>
        </w:numPr>
        <w:rPr>
          <w:lang w:val="en-GB"/>
        </w:rPr>
      </w:pPr>
      <w:r w:rsidRPr="000E46C3">
        <w:rPr>
          <w:lang w:val="en-GB"/>
        </w:rPr>
        <w:t>The workloads are tracked on the basis of the yearly number of record copies received by the</w:t>
      </w:r>
      <w:r>
        <w:rPr>
          <w:lang w:val="en-GB"/>
        </w:rPr>
        <w:t xml:space="preserve"> International Bureau (</w:t>
      </w:r>
      <w:r w:rsidRPr="000E46C3">
        <w:rPr>
          <w:lang w:val="en-GB"/>
        </w:rPr>
        <w:t>IB</w:t>
      </w:r>
      <w:r>
        <w:rPr>
          <w:lang w:val="en-GB"/>
        </w:rPr>
        <w:t>).</w:t>
      </w:r>
      <w:r w:rsidRPr="000E46C3">
        <w:rPr>
          <w:rStyle w:val="FootnoteReference"/>
          <w:lang w:val="en-GB"/>
        </w:rPr>
        <w:footnoteReference w:id="20"/>
      </w:r>
      <w:r w:rsidRPr="000E46C3">
        <w:rPr>
          <w:lang w:val="en-GB"/>
        </w:rPr>
        <w:t xml:space="preserve"> </w:t>
      </w:r>
    </w:p>
    <w:p w:rsidR="00F838C5" w:rsidRDefault="00F838C5" w:rsidP="00E023E5">
      <w:pPr>
        <w:jc w:val="center"/>
        <w:rPr>
          <w:b/>
          <w:bCs/>
          <w:sz w:val="18"/>
          <w:szCs w:val="18"/>
          <w:lang w:val="en-GB"/>
        </w:rPr>
      </w:pPr>
    </w:p>
    <w:p w:rsidR="00F838C5" w:rsidRDefault="00F838C5" w:rsidP="00E023E5">
      <w:pPr>
        <w:jc w:val="center"/>
        <w:rPr>
          <w:b/>
          <w:bCs/>
          <w:sz w:val="18"/>
          <w:szCs w:val="18"/>
          <w:lang w:val="en-GB"/>
        </w:rPr>
      </w:pPr>
      <w:r w:rsidRPr="00B4173C">
        <w:rPr>
          <w:b/>
          <w:bCs/>
          <w:sz w:val="18"/>
          <w:szCs w:val="18"/>
          <w:lang w:val="en-GB"/>
        </w:rPr>
        <w:t>Evolution of Record Copies by Medium of Filing</w:t>
      </w:r>
    </w:p>
    <w:p w:rsidR="00F838C5" w:rsidRPr="00B4173C" w:rsidRDefault="00F838C5" w:rsidP="00E023E5">
      <w:pPr>
        <w:jc w:val="center"/>
        <w:rPr>
          <w:b/>
          <w:bCs/>
          <w:sz w:val="18"/>
          <w:szCs w:val="18"/>
          <w:lang w:val="en-GB"/>
        </w:rPr>
      </w:pPr>
      <w:r>
        <w:rPr>
          <w:b/>
          <w:bCs/>
          <w:noProof/>
          <w:sz w:val="18"/>
          <w:szCs w:val="18"/>
        </w:rPr>
        <w:drawing>
          <wp:inline distT="0" distB="0" distL="0" distR="0" wp14:anchorId="13AA7263" wp14:editId="0CF2EA74">
            <wp:extent cx="5641676" cy="2422731"/>
            <wp:effectExtent l="0" t="0" r="0" b="0"/>
            <wp:docPr id="913" name="Picture 9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5643568" cy="2423543"/>
                    </a:xfrm>
                    <a:prstGeom prst="rect">
                      <a:avLst/>
                    </a:prstGeom>
                    <a:noFill/>
                  </pic:spPr>
                </pic:pic>
              </a:graphicData>
            </a:graphic>
          </wp:inline>
        </w:drawing>
      </w:r>
    </w:p>
    <w:p w:rsidR="00F838C5" w:rsidRPr="00B4173C" w:rsidRDefault="00F838C5" w:rsidP="00E023E5">
      <w:pPr>
        <w:jc w:val="center"/>
        <w:rPr>
          <w:b/>
          <w:bCs/>
          <w:sz w:val="18"/>
          <w:szCs w:val="18"/>
          <w:lang w:val="en-GB"/>
        </w:rPr>
      </w:pPr>
    </w:p>
    <w:p w:rsidR="00F838C5" w:rsidRPr="00241C08" w:rsidRDefault="00F838C5" w:rsidP="00F838C5">
      <w:pPr>
        <w:pStyle w:val="BodyText2"/>
        <w:numPr>
          <w:ilvl w:val="0"/>
          <w:numId w:val="43"/>
        </w:numPr>
        <w:spacing w:after="60" w:line="240" w:lineRule="auto"/>
        <w:jc w:val="both"/>
        <w:rPr>
          <w:rFonts w:cs="Arial"/>
          <w:szCs w:val="20"/>
        </w:rPr>
      </w:pPr>
      <w:r w:rsidRPr="00241C08">
        <w:rPr>
          <w:rFonts w:cs="Arial"/>
          <w:szCs w:val="20"/>
        </w:rPr>
        <w:t xml:space="preserve">The IB received </w:t>
      </w:r>
      <w:r w:rsidRPr="00241C08">
        <w:rPr>
          <w:rFonts w:cs="Arial"/>
          <w:szCs w:val="20"/>
          <w:lang w:eastAsia="zh-CN"/>
        </w:rPr>
        <w:t>approximately</w:t>
      </w:r>
      <w:r w:rsidRPr="00241C08">
        <w:rPr>
          <w:rFonts w:cs="Arial"/>
          <w:szCs w:val="20"/>
        </w:rPr>
        <w:t xml:space="preserve"> 217,</w:t>
      </w:r>
      <w:r>
        <w:rPr>
          <w:rFonts w:cs="Arial"/>
          <w:szCs w:val="20"/>
        </w:rPr>
        <w:t>0</w:t>
      </w:r>
      <w:r w:rsidRPr="00241C08">
        <w:rPr>
          <w:rFonts w:cs="Arial"/>
          <w:szCs w:val="20"/>
        </w:rPr>
        <w:t>00 record copies in 201</w:t>
      </w:r>
      <w:r>
        <w:rPr>
          <w:rFonts w:cs="Arial"/>
          <w:szCs w:val="20"/>
        </w:rPr>
        <w:t>5</w:t>
      </w:r>
      <w:r w:rsidRPr="00241C08">
        <w:rPr>
          <w:rFonts w:cs="Arial"/>
          <w:szCs w:val="20"/>
        </w:rPr>
        <w:t>, representing a</w:t>
      </w:r>
      <w:r>
        <w:rPr>
          <w:rFonts w:cs="Arial"/>
          <w:szCs w:val="20"/>
        </w:rPr>
        <w:t xml:space="preserve"> small decrease</w:t>
      </w:r>
      <w:r w:rsidRPr="00241C08">
        <w:rPr>
          <w:rFonts w:cs="Arial"/>
          <w:szCs w:val="20"/>
        </w:rPr>
        <w:t xml:space="preserve"> of </w:t>
      </w:r>
      <w:r>
        <w:rPr>
          <w:rFonts w:cs="Arial"/>
          <w:szCs w:val="20"/>
        </w:rPr>
        <w:t>0.3</w:t>
      </w:r>
      <w:r w:rsidRPr="00241C08">
        <w:rPr>
          <w:rFonts w:cs="Arial"/>
          <w:szCs w:val="20"/>
        </w:rPr>
        <w:t xml:space="preserve"> per cent compared to 201</w:t>
      </w:r>
      <w:r>
        <w:rPr>
          <w:rFonts w:cs="Arial"/>
          <w:szCs w:val="20"/>
        </w:rPr>
        <w:t>4</w:t>
      </w:r>
      <w:r w:rsidRPr="00241C08">
        <w:rPr>
          <w:rFonts w:cs="Arial"/>
          <w:szCs w:val="20"/>
        </w:rPr>
        <w:t>.</w:t>
      </w:r>
      <w:r>
        <w:rPr>
          <w:rFonts w:cs="Arial"/>
          <w:szCs w:val="20"/>
        </w:rPr>
        <w:t xml:space="preserve"> </w:t>
      </w:r>
      <w:r w:rsidRPr="00241C08">
        <w:rPr>
          <w:rFonts w:cs="Arial"/>
          <w:szCs w:val="20"/>
        </w:rPr>
        <w:t xml:space="preserve"> </w:t>
      </w:r>
      <w:r>
        <w:rPr>
          <w:rFonts w:cs="Arial"/>
          <w:szCs w:val="20"/>
        </w:rPr>
        <w:t xml:space="preserve">One of the main reasons for this decrease is the spike in filings from the </w:t>
      </w:r>
      <w:r>
        <w:rPr>
          <w:rFonts w:cs="Arial"/>
        </w:rPr>
        <w:t>United States of America (U.S.)</w:t>
      </w:r>
      <w:r>
        <w:rPr>
          <w:rFonts w:cs="Arial"/>
          <w:szCs w:val="20"/>
        </w:rPr>
        <w:t xml:space="preserve"> in March 2014 that was due to the entering into force of the Leahy-Smith America Invents Act one year earlier.</w:t>
      </w:r>
      <w:r w:rsidRPr="00241C08">
        <w:rPr>
          <w:rFonts w:cs="Arial"/>
          <w:szCs w:val="20"/>
        </w:rPr>
        <w:t xml:space="preserve"> </w:t>
      </w:r>
      <w:r>
        <w:rPr>
          <w:rFonts w:cs="Arial"/>
          <w:szCs w:val="20"/>
        </w:rPr>
        <w:t xml:space="preserve"> Nevertheless, the total record copies received in the 2014/15 biennium increased by nine</w:t>
      </w:r>
      <w:r w:rsidRPr="00647386">
        <w:rPr>
          <w:rFonts w:cs="Arial"/>
          <w:szCs w:val="20"/>
        </w:rPr>
        <w:t xml:space="preserve"> per cent compared to </w:t>
      </w:r>
      <w:r>
        <w:rPr>
          <w:rFonts w:cs="Arial"/>
          <w:szCs w:val="20"/>
        </w:rPr>
        <w:t>the 2012/13 biennium.</w:t>
      </w:r>
    </w:p>
    <w:p w:rsidR="00F838C5" w:rsidRPr="00241C08" w:rsidRDefault="00F838C5" w:rsidP="00F838C5">
      <w:pPr>
        <w:pStyle w:val="BodyText2"/>
        <w:numPr>
          <w:ilvl w:val="0"/>
          <w:numId w:val="43"/>
        </w:numPr>
        <w:tabs>
          <w:tab w:val="clear" w:pos="720"/>
        </w:tabs>
        <w:spacing w:after="0" w:line="240" w:lineRule="auto"/>
        <w:ind w:left="709" w:hanging="425"/>
        <w:jc w:val="both"/>
        <w:rPr>
          <w:rFonts w:cs="Arial"/>
          <w:szCs w:val="20"/>
        </w:rPr>
      </w:pPr>
      <w:r w:rsidRPr="00241C08">
        <w:rPr>
          <w:rFonts w:cs="Arial"/>
          <w:szCs w:val="20"/>
        </w:rPr>
        <w:t xml:space="preserve">The share of fully electronic filing methods </w:t>
      </w:r>
      <w:r>
        <w:rPr>
          <w:rFonts w:cs="Arial"/>
          <w:szCs w:val="20"/>
        </w:rPr>
        <w:t>continued to</w:t>
      </w:r>
      <w:r w:rsidRPr="00241C08">
        <w:rPr>
          <w:rFonts w:cs="Arial"/>
          <w:szCs w:val="20"/>
        </w:rPr>
        <w:t xml:space="preserve"> increas</w:t>
      </w:r>
      <w:r>
        <w:rPr>
          <w:rFonts w:cs="Arial"/>
          <w:szCs w:val="20"/>
        </w:rPr>
        <w:t>e</w:t>
      </w:r>
      <w:r w:rsidRPr="00241C08">
        <w:rPr>
          <w:rFonts w:cs="Arial"/>
          <w:szCs w:val="20"/>
        </w:rPr>
        <w:t xml:space="preserve"> in 201</w:t>
      </w:r>
      <w:r>
        <w:rPr>
          <w:rFonts w:cs="Arial"/>
          <w:szCs w:val="20"/>
        </w:rPr>
        <w:t>5</w:t>
      </w:r>
      <w:r w:rsidRPr="00241C08">
        <w:rPr>
          <w:rFonts w:cs="Arial"/>
          <w:szCs w:val="20"/>
        </w:rPr>
        <w:t xml:space="preserve"> and now represents 9</w:t>
      </w:r>
      <w:r>
        <w:rPr>
          <w:rFonts w:cs="Arial"/>
          <w:szCs w:val="20"/>
        </w:rPr>
        <w:t>4</w:t>
      </w:r>
      <w:r w:rsidRPr="00241C08">
        <w:rPr>
          <w:rFonts w:cs="Arial"/>
          <w:szCs w:val="20"/>
        </w:rPr>
        <w:t> per cent of total filings.</w:t>
      </w:r>
    </w:p>
    <w:p w:rsidR="00F838C5" w:rsidRDefault="00F838C5" w:rsidP="00E023E5">
      <w:pPr>
        <w:pStyle w:val="BodyText2"/>
        <w:spacing w:after="0" w:line="240" w:lineRule="auto"/>
        <w:ind w:left="1100"/>
        <w:jc w:val="both"/>
        <w:rPr>
          <w:rFonts w:cs="Arial"/>
          <w:szCs w:val="20"/>
        </w:rPr>
      </w:pPr>
    </w:p>
    <w:p w:rsidR="00F838C5" w:rsidRPr="00B4173C" w:rsidRDefault="00F838C5" w:rsidP="00E023E5">
      <w:pPr>
        <w:pStyle w:val="BodyText2"/>
        <w:spacing w:after="0" w:line="240" w:lineRule="auto"/>
        <w:ind w:left="1100"/>
        <w:jc w:val="both"/>
        <w:rPr>
          <w:rFonts w:cs="Arial"/>
          <w:sz w:val="18"/>
          <w:szCs w:val="18"/>
        </w:rPr>
      </w:pPr>
    </w:p>
    <w:p w:rsidR="00F838C5" w:rsidRPr="00EE0539" w:rsidRDefault="00F838C5" w:rsidP="001363EE">
      <w:pPr>
        <w:pStyle w:val="BodyText2"/>
        <w:keepNext/>
        <w:keepLines/>
        <w:spacing w:after="0" w:line="240" w:lineRule="auto"/>
        <w:rPr>
          <w:rFonts w:cs="Arial"/>
          <w:i/>
          <w:szCs w:val="20"/>
        </w:rPr>
      </w:pPr>
      <w:r w:rsidRPr="00EE0539">
        <w:rPr>
          <w:rFonts w:cs="Arial"/>
          <w:i/>
          <w:szCs w:val="20"/>
        </w:rPr>
        <w:lastRenderedPageBreak/>
        <w:t>Language distribution</w:t>
      </w:r>
    </w:p>
    <w:p w:rsidR="00F838C5" w:rsidRDefault="00F838C5" w:rsidP="001363EE">
      <w:pPr>
        <w:pStyle w:val="BodyText2"/>
        <w:keepNext/>
        <w:keepLines/>
        <w:spacing w:after="0" w:line="240" w:lineRule="auto"/>
        <w:rPr>
          <w:rFonts w:cs="Arial"/>
          <w:szCs w:val="20"/>
        </w:rPr>
      </w:pPr>
    </w:p>
    <w:p w:rsidR="00F838C5" w:rsidRPr="00EE0539" w:rsidRDefault="00F838C5" w:rsidP="00F838C5">
      <w:pPr>
        <w:keepNext/>
        <w:keepLines/>
        <w:numPr>
          <w:ilvl w:val="0"/>
          <w:numId w:val="55"/>
        </w:numPr>
        <w:jc w:val="both"/>
      </w:pPr>
      <w:r w:rsidRPr="00EE0539">
        <w:t xml:space="preserve">One fundamental development driving change in the IB is the increasing language diversity of filings, resulting, in particular, from continued increased usage of the PCT System in East Asian countries. </w:t>
      </w:r>
    </w:p>
    <w:p w:rsidR="00F838C5" w:rsidRPr="000E46C3" w:rsidRDefault="00F838C5" w:rsidP="00E023E5">
      <w:pPr>
        <w:keepNext/>
        <w:keepLines/>
        <w:jc w:val="both"/>
        <w:rPr>
          <w:highlight w:val="yellow"/>
        </w:rPr>
      </w:pPr>
    </w:p>
    <w:p w:rsidR="00F838C5" w:rsidRPr="00EE0539" w:rsidRDefault="00F838C5" w:rsidP="00E023E5">
      <w:pPr>
        <w:keepNext/>
        <w:keepLines/>
        <w:spacing w:after="120"/>
        <w:jc w:val="center"/>
        <w:rPr>
          <w:i/>
        </w:rPr>
      </w:pPr>
      <w:r w:rsidRPr="00564AC5">
        <w:rPr>
          <w:b/>
          <w:bCs/>
          <w:sz w:val="18"/>
          <w:szCs w:val="18"/>
        </w:rPr>
        <w:t>Languages of Filing</w:t>
      </w:r>
      <w:r>
        <w:t xml:space="preserve"> </w:t>
      </w:r>
      <w:r w:rsidRPr="00EE0539">
        <w:rPr>
          <w:i/>
        </w:rPr>
        <w:t>(all languages)</w:t>
      </w:r>
    </w:p>
    <w:p w:rsidR="00F838C5" w:rsidRPr="00EE0539" w:rsidRDefault="00F838C5" w:rsidP="001363EE">
      <w:pPr>
        <w:keepNext/>
        <w:keepLines/>
        <w:spacing w:after="120"/>
        <w:jc w:val="center"/>
        <w:rPr>
          <w:highlight w:val="yellow"/>
        </w:rPr>
      </w:pPr>
      <w:r>
        <w:rPr>
          <w:noProof/>
        </w:rPr>
        <w:drawing>
          <wp:inline distT="0" distB="0" distL="0" distR="0" wp14:anchorId="5E19173D" wp14:editId="039D7AB9">
            <wp:extent cx="5779698" cy="3001376"/>
            <wp:effectExtent l="0" t="0" r="0" b="8890"/>
            <wp:docPr id="914" name="Picture 9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5778954" cy="3000990"/>
                    </a:xfrm>
                    <a:prstGeom prst="rect">
                      <a:avLst/>
                    </a:prstGeom>
                    <a:noFill/>
                  </pic:spPr>
                </pic:pic>
              </a:graphicData>
            </a:graphic>
          </wp:inline>
        </w:drawing>
      </w:r>
    </w:p>
    <w:p w:rsidR="00F838C5" w:rsidRPr="00EE0539" w:rsidRDefault="00F838C5" w:rsidP="00F838C5">
      <w:pPr>
        <w:numPr>
          <w:ilvl w:val="0"/>
          <w:numId w:val="55"/>
        </w:numPr>
        <w:jc w:val="both"/>
      </w:pPr>
      <w:r w:rsidRPr="00EE0539">
        <w:t xml:space="preserve">As can be observed, while English accounts for the </w:t>
      </w:r>
      <w:r>
        <w:t>largest proportion</w:t>
      </w:r>
      <w:r w:rsidRPr="00EE0539">
        <w:t xml:space="preserve"> of filing</w:t>
      </w:r>
      <w:r>
        <w:t>s</w:t>
      </w:r>
      <w:r w:rsidRPr="00EE0539">
        <w:t xml:space="preserve">, with </w:t>
      </w:r>
      <w:r>
        <w:t>48</w:t>
      </w:r>
      <w:r w:rsidRPr="00EE0539">
        <w:t>.6</w:t>
      </w:r>
      <w:r>
        <w:t xml:space="preserve"> per cent</w:t>
      </w:r>
      <w:r w:rsidRPr="00EE0539">
        <w:t xml:space="preserve"> of filings in 201</w:t>
      </w:r>
      <w:r>
        <w:t>5</w:t>
      </w:r>
      <w:r w:rsidRPr="00EE0539">
        <w:t xml:space="preserve">, the shares of Asian languages have increased over the past decade.  </w:t>
      </w:r>
      <w:r w:rsidRPr="00EE0539">
        <w:rPr>
          <w:lang w:val="en-GB"/>
        </w:rPr>
        <w:t>The combined share of the PCT applications filed in Japanese, Chinese and Korean increased from 29.5</w:t>
      </w:r>
      <w:r>
        <w:rPr>
          <w:lang w:val="en-GB"/>
        </w:rPr>
        <w:t xml:space="preserve"> per cent</w:t>
      </w:r>
      <w:r w:rsidRPr="00EE0539">
        <w:rPr>
          <w:lang w:val="en-GB"/>
        </w:rPr>
        <w:t xml:space="preserve"> in 2009 to 3</w:t>
      </w:r>
      <w:r>
        <w:rPr>
          <w:lang w:val="en-GB"/>
        </w:rPr>
        <w:t>7.6 per cent</w:t>
      </w:r>
      <w:r w:rsidRPr="00EE0539">
        <w:rPr>
          <w:lang w:val="en-GB"/>
        </w:rPr>
        <w:t xml:space="preserve"> in 201</w:t>
      </w:r>
      <w:r>
        <w:rPr>
          <w:lang w:val="en-GB"/>
        </w:rPr>
        <w:t>5</w:t>
      </w:r>
      <w:r w:rsidRPr="00EE0539">
        <w:rPr>
          <w:lang w:val="en-GB"/>
        </w:rPr>
        <w:t>.</w:t>
      </w:r>
      <w:r>
        <w:rPr>
          <w:lang w:val="en-GB"/>
        </w:rPr>
        <w:t xml:space="preserve">  </w:t>
      </w:r>
      <w:r w:rsidRPr="00EE0539">
        <w:t>Zooming in on languages other than English provides the following picture:</w:t>
      </w:r>
    </w:p>
    <w:p w:rsidR="00F838C5" w:rsidRPr="004005D3" w:rsidRDefault="00F838C5" w:rsidP="001363EE">
      <w:pPr>
        <w:pStyle w:val="BodyText2"/>
        <w:spacing w:after="0" w:line="240" w:lineRule="auto"/>
        <w:ind w:left="142"/>
        <w:jc w:val="both"/>
        <w:rPr>
          <w:rFonts w:cs="Arial"/>
        </w:rPr>
      </w:pPr>
    </w:p>
    <w:p w:rsidR="00F838C5" w:rsidRPr="004005D3" w:rsidRDefault="00F838C5" w:rsidP="001363EE">
      <w:pPr>
        <w:spacing w:after="120"/>
        <w:ind w:left="142"/>
        <w:rPr>
          <w:sz w:val="18"/>
          <w:szCs w:val="18"/>
        </w:rPr>
      </w:pPr>
    </w:p>
    <w:p w:rsidR="00F838C5" w:rsidRPr="00EE0539" w:rsidRDefault="00F838C5" w:rsidP="00E023E5">
      <w:pPr>
        <w:spacing w:after="120"/>
        <w:jc w:val="center"/>
      </w:pPr>
      <w:r w:rsidRPr="004005D3">
        <w:rPr>
          <w:b/>
          <w:bCs/>
          <w:sz w:val="18"/>
          <w:szCs w:val="18"/>
        </w:rPr>
        <w:t>Languages of Filing</w:t>
      </w:r>
      <w:r>
        <w:rPr>
          <w:b/>
          <w:bCs/>
          <w:sz w:val="18"/>
          <w:szCs w:val="18"/>
        </w:rPr>
        <w:t xml:space="preserve"> </w:t>
      </w:r>
      <w:r w:rsidRPr="000D2666">
        <w:rPr>
          <w:sz w:val="18"/>
        </w:rPr>
        <w:t>(all languages except English)</w:t>
      </w:r>
    </w:p>
    <w:p w:rsidR="00F838C5" w:rsidRPr="004005D3" w:rsidRDefault="00F838C5" w:rsidP="001363EE">
      <w:pPr>
        <w:spacing w:after="120"/>
        <w:jc w:val="center"/>
      </w:pPr>
      <w:r>
        <w:rPr>
          <w:noProof/>
        </w:rPr>
        <w:drawing>
          <wp:inline distT="0" distB="0" distL="0" distR="0" wp14:anchorId="4B79AC7A" wp14:editId="15DA90AD">
            <wp:extent cx="5719313" cy="3195304"/>
            <wp:effectExtent l="0" t="0" r="0" b="5715"/>
            <wp:docPr id="915" name="Picture 9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5716354" cy="3193651"/>
                    </a:xfrm>
                    <a:prstGeom prst="rect">
                      <a:avLst/>
                    </a:prstGeom>
                    <a:noFill/>
                  </pic:spPr>
                </pic:pic>
              </a:graphicData>
            </a:graphic>
          </wp:inline>
        </w:drawing>
      </w:r>
    </w:p>
    <w:p w:rsidR="00F838C5" w:rsidRPr="00EE0539" w:rsidRDefault="00F838C5" w:rsidP="00F838C5">
      <w:pPr>
        <w:numPr>
          <w:ilvl w:val="0"/>
          <w:numId w:val="55"/>
        </w:numPr>
        <w:jc w:val="both"/>
        <w:rPr>
          <w:lang w:val="en-GB"/>
        </w:rPr>
      </w:pPr>
      <w:r w:rsidRPr="00EE0539">
        <w:rPr>
          <w:lang w:val="en-GB"/>
        </w:rPr>
        <w:lastRenderedPageBreak/>
        <w:t>The</w:t>
      </w:r>
      <w:r w:rsidRPr="00EE0539">
        <w:t xml:space="preserve"> sharp increase of applications filed in Asian languages in the last </w:t>
      </w:r>
      <w:r>
        <w:t>five</w:t>
      </w:r>
      <w:r w:rsidRPr="00EE0539">
        <w:t xml:space="preserve"> years put a considerable strain on the IB due to the limited number of staff resources able to work in these languages. </w:t>
      </w:r>
      <w:r>
        <w:t xml:space="preserve"> </w:t>
      </w:r>
      <w:r w:rsidRPr="00EE0539">
        <w:t>Mitigation for this issue is automation of certain tasks and recruitment of staff able to work in these languages</w:t>
      </w:r>
      <w:r w:rsidRPr="00EE0539">
        <w:rPr>
          <w:lang w:val="en-GB"/>
        </w:rPr>
        <w:t>.</w:t>
      </w:r>
    </w:p>
    <w:p w:rsidR="00F838C5" w:rsidRDefault="00F838C5">
      <w:pPr>
        <w:rPr>
          <w:i/>
          <w:lang w:val="en-GB"/>
        </w:rPr>
      </w:pPr>
    </w:p>
    <w:p w:rsidR="00F838C5" w:rsidRPr="00D77A7B" w:rsidRDefault="00F838C5" w:rsidP="00E023E5">
      <w:pPr>
        <w:keepNext/>
        <w:keepLines/>
        <w:spacing w:after="120"/>
        <w:rPr>
          <w:i/>
          <w:lang w:val="en-GB"/>
        </w:rPr>
      </w:pPr>
      <w:r w:rsidRPr="00D77A7B">
        <w:rPr>
          <w:i/>
          <w:lang w:val="en-GB"/>
        </w:rPr>
        <w:t>Staff</w:t>
      </w:r>
    </w:p>
    <w:p w:rsidR="00F838C5" w:rsidRDefault="00F838C5" w:rsidP="00F838C5">
      <w:pPr>
        <w:keepNext/>
        <w:keepLines/>
        <w:numPr>
          <w:ilvl w:val="0"/>
          <w:numId w:val="55"/>
        </w:numPr>
        <w:jc w:val="both"/>
      </w:pPr>
      <w:r w:rsidRPr="00EE0539">
        <w:t xml:space="preserve">The chart below shows the number of PCT Operations staff since 2001, in Full Time Staff Equivalent (FTSE </w:t>
      </w:r>
      <w:r w:rsidRPr="00EE0539">
        <w:noBreakHyphen/>
        <w:t xml:space="preserve"> total number of full-time staff plus the full-time equivalent of part-time staff).</w:t>
      </w:r>
    </w:p>
    <w:p w:rsidR="00F838C5" w:rsidRDefault="00F838C5" w:rsidP="00E023E5"/>
    <w:p w:rsidR="00F838C5" w:rsidRDefault="00F838C5" w:rsidP="00E023E5">
      <w:pPr>
        <w:jc w:val="center"/>
        <w:rPr>
          <w:b/>
          <w:sz w:val="18"/>
        </w:rPr>
      </w:pPr>
      <w:r w:rsidRPr="000D2666">
        <w:rPr>
          <w:b/>
          <w:sz w:val="18"/>
        </w:rPr>
        <w:t>Number of Personnel in PCT Operations</w:t>
      </w:r>
    </w:p>
    <w:p w:rsidR="00F838C5" w:rsidRPr="000D2666" w:rsidRDefault="00F838C5" w:rsidP="00E023E5">
      <w:pPr>
        <w:jc w:val="center"/>
        <w:rPr>
          <w:b/>
          <w:sz w:val="18"/>
        </w:rPr>
      </w:pPr>
    </w:p>
    <w:p w:rsidR="00F838C5" w:rsidRPr="00A744DD" w:rsidRDefault="00F838C5" w:rsidP="001363EE">
      <w:pPr>
        <w:jc w:val="center"/>
        <w:rPr>
          <w:lang w:val="en-GB"/>
        </w:rPr>
      </w:pPr>
      <w:r>
        <w:rPr>
          <w:noProof/>
        </w:rPr>
        <w:drawing>
          <wp:inline distT="0" distB="0" distL="0" distR="0" wp14:anchorId="7CECF3D7" wp14:editId="29538BBF">
            <wp:extent cx="5940425" cy="3242482"/>
            <wp:effectExtent l="0" t="0" r="0" b="0"/>
            <wp:docPr id="916" name="Chart 916"/>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inline>
        </w:drawing>
      </w:r>
    </w:p>
    <w:p w:rsidR="00F838C5" w:rsidRPr="00A744DD" w:rsidRDefault="00F838C5" w:rsidP="00E023E5">
      <w:pPr>
        <w:rPr>
          <w:lang w:val="en-GB"/>
        </w:rPr>
      </w:pPr>
    </w:p>
    <w:p w:rsidR="00F838C5" w:rsidRPr="00A744DD" w:rsidRDefault="00F838C5" w:rsidP="00F838C5">
      <w:pPr>
        <w:numPr>
          <w:ilvl w:val="0"/>
          <w:numId w:val="53"/>
        </w:numPr>
        <w:tabs>
          <w:tab w:val="clear" w:pos="720"/>
          <w:tab w:val="num" w:pos="1100"/>
        </w:tabs>
        <w:ind w:left="1100" w:hanging="550"/>
        <w:rPr>
          <w:lang w:val="en-GB"/>
        </w:rPr>
      </w:pPr>
      <w:r w:rsidRPr="00A744DD">
        <w:rPr>
          <w:lang w:val="en-GB"/>
        </w:rPr>
        <w:t xml:space="preserve">The PCT Operations Division’s personnel </w:t>
      </w:r>
      <w:r>
        <w:rPr>
          <w:lang w:val="en-GB"/>
        </w:rPr>
        <w:t>further decreased in 2015.</w:t>
      </w:r>
    </w:p>
    <w:p w:rsidR="00F838C5" w:rsidRPr="00A744DD" w:rsidRDefault="00F838C5" w:rsidP="00E023E5">
      <w:pPr>
        <w:spacing w:after="120"/>
        <w:rPr>
          <w:u w:val="single"/>
          <w:lang w:val="en-GB"/>
        </w:rPr>
      </w:pPr>
    </w:p>
    <w:p w:rsidR="00F838C5" w:rsidRPr="00CC023D" w:rsidRDefault="00F838C5" w:rsidP="001363EE">
      <w:pPr>
        <w:jc w:val="both"/>
        <w:rPr>
          <w:i/>
        </w:rPr>
      </w:pPr>
      <w:r w:rsidRPr="00CC023D">
        <w:rPr>
          <w:i/>
        </w:rPr>
        <w:t>Unit cost of processing an application</w:t>
      </w:r>
    </w:p>
    <w:p w:rsidR="00F838C5" w:rsidRPr="00CC023D" w:rsidRDefault="00F838C5" w:rsidP="001363EE">
      <w:pPr>
        <w:jc w:val="both"/>
      </w:pPr>
    </w:p>
    <w:p w:rsidR="00F838C5" w:rsidRPr="00806585" w:rsidRDefault="00F838C5" w:rsidP="00F838C5">
      <w:pPr>
        <w:pStyle w:val="ListParagraph"/>
        <w:numPr>
          <w:ilvl w:val="0"/>
          <w:numId w:val="55"/>
        </w:numPr>
        <w:jc w:val="both"/>
      </w:pPr>
      <w:r w:rsidRPr="00806585">
        <w:rPr>
          <w:szCs w:val="24"/>
        </w:rPr>
        <w:t xml:space="preserve">The IB’s efficiency in processing </w:t>
      </w:r>
      <w:r>
        <w:rPr>
          <w:szCs w:val="24"/>
        </w:rPr>
        <w:t>PCT applications</w:t>
      </w:r>
      <w:r w:rsidRPr="00806585">
        <w:rPr>
          <w:szCs w:val="24"/>
        </w:rPr>
        <w:t xml:space="preserve"> can be measured by the unit cost, defined as the average cost of producing one unit of output.</w:t>
      </w:r>
      <w:r>
        <w:rPr>
          <w:szCs w:val="24"/>
        </w:rPr>
        <w:t xml:space="preserve"> </w:t>
      </w:r>
      <w:r>
        <w:t xml:space="preserve">The total cost of production comprises expenditure relating exclusively  to the PCT System and expenditure of activities supporting the System. </w:t>
      </w:r>
    </w:p>
    <w:p w:rsidR="00F838C5" w:rsidRDefault="00F838C5" w:rsidP="001363EE">
      <w:pPr>
        <w:jc w:val="both"/>
      </w:pPr>
    </w:p>
    <w:p w:rsidR="00F838C5" w:rsidRDefault="00F838C5" w:rsidP="00F838C5">
      <w:pPr>
        <w:numPr>
          <w:ilvl w:val="0"/>
          <w:numId w:val="55"/>
        </w:numPr>
        <w:jc w:val="both"/>
      </w:pPr>
      <w:r>
        <w:t>The expenditure relating  exclusively to the PCT System includes those of Program 5 (the PCT System).</w:t>
      </w:r>
    </w:p>
    <w:p w:rsidR="00F838C5" w:rsidRDefault="00F838C5" w:rsidP="001363EE">
      <w:pPr>
        <w:jc w:val="both"/>
      </w:pPr>
    </w:p>
    <w:p w:rsidR="00F838C5" w:rsidRDefault="00F838C5" w:rsidP="00F838C5">
      <w:pPr>
        <w:numPr>
          <w:ilvl w:val="0"/>
          <w:numId w:val="55"/>
        </w:numPr>
        <w:jc w:val="both"/>
      </w:pPr>
      <w:r>
        <w:t xml:space="preserve">Expenditure of activities supporting the PCT System comprises the expenditure of the following services: conference and language services, construction, executive management, finance and budget, general support services,  human resources management, internal oversight, IT and safety and security.  A small proportion of these expenses (cost of server hosting at UNICC, estimated cost of the </w:t>
      </w:r>
      <w:r w:rsidRPr="003B1E81">
        <w:t>authentic publication source of PCT applications</w:t>
      </w:r>
      <w:r>
        <w:t xml:space="preserve"> (PATENTSCOPE) and share of cost of the Income Section in Finance) are directly attributed to the PCT System whereas the remaining of such expenses attributable to the PCT System are calculated based on headcount (including fixed term staff, temporary staff and fellows).</w:t>
      </w:r>
    </w:p>
    <w:p w:rsidR="00F838C5" w:rsidRPr="00CC023D" w:rsidRDefault="00F838C5" w:rsidP="001363EE">
      <w:pPr>
        <w:jc w:val="both"/>
      </w:pPr>
    </w:p>
    <w:p w:rsidR="00F838C5" w:rsidRPr="00CC023D" w:rsidRDefault="00F838C5" w:rsidP="00F838C5">
      <w:pPr>
        <w:numPr>
          <w:ilvl w:val="0"/>
          <w:numId w:val="55"/>
        </w:numPr>
        <w:jc w:val="both"/>
      </w:pPr>
      <w:r w:rsidRPr="00CC023D">
        <w:rPr>
          <w:lang w:val="en-GB"/>
        </w:rPr>
        <w:t>The</w:t>
      </w:r>
      <w:r w:rsidRPr="00CC023D">
        <w:t xml:space="preserve"> methodology to compute the unit cost was revised in 2013 in order to align it with other WIPO unit/union cost calculations and to better capture a fast changing environment. </w:t>
      </w:r>
      <w:r>
        <w:t xml:space="preserve"> </w:t>
      </w:r>
      <w:r w:rsidRPr="00CC023D">
        <w:t xml:space="preserve">For example, the old method, which was designed in 2007, included a cost of storage (over 30 years) in warehouses, whereas paper filings (including PCT EASY filings) accounted for less than 10 per cent of filings in 2013.  The 2012 PCT unit cost has been calculated using both methods.  The 2012 unit cost amounted to 680 Swiss francs using the old method and to 712 Swiss francs using the new method. </w:t>
      </w:r>
      <w:r>
        <w:t xml:space="preserve"> </w:t>
      </w:r>
      <w:r w:rsidRPr="00CC023D">
        <w:t>The</w:t>
      </w:r>
      <w:r>
        <w:t xml:space="preserve"> </w:t>
      </w:r>
      <w:r w:rsidRPr="00CC023D">
        <w:t>32 Swiss francs difference is due to the new method for allocating indirect costs.</w:t>
      </w:r>
    </w:p>
    <w:p w:rsidR="00F838C5" w:rsidRPr="00CC023D" w:rsidRDefault="00F838C5" w:rsidP="001363EE">
      <w:pPr>
        <w:jc w:val="both"/>
      </w:pPr>
    </w:p>
    <w:p w:rsidR="00F838C5" w:rsidRPr="00CC023D" w:rsidRDefault="00F838C5" w:rsidP="00F838C5">
      <w:pPr>
        <w:numPr>
          <w:ilvl w:val="0"/>
          <w:numId w:val="55"/>
        </w:numPr>
        <w:jc w:val="both"/>
      </w:pPr>
      <w:r w:rsidRPr="00CC023D">
        <w:t>Formally, unit cost is defined as:</w:t>
      </w:r>
    </w:p>
    <w:p w:rsidR="00F838C5" w:rsidRPr="00CC023D" w:rsidRDefault="00F838C5" w:rsidP="001363EE">
      <w:pPr>
        <w:jc w:val="both"/>
      </w:pPr>
    </w:p>
    <w:p w:rsidR="00F838C5" w:rsidRPr="00CC023D" w:rsidRDefault="00F838C5" w:rsidP="00E023E5">
      <w:pPr>
        <w:jc w:val="center"/>
      </w:pPr>
      <w:r w:rsidRPr="000A2F89">
        <w:rPr>
          <w:noProof/>
        </w:rPr>
        <w:drawing>
          <wp:inline distT="0" distB="0" distL="0" distR="0" wp14:anchorId="0524F5FB" wp14:editId="75FD5E9E">
            <wp:extent cx="2047875" cy="342900"/>
            <wp:effectExtent l="0" t="0" r="9525" b="0"/>
            <wp:docPr id="134"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2047875" cy="342900"/>
                    </a:xfrm>
                    <a:prstGeom prst="rect">
                      <a:avLst/>
                    </a:prstGeom>
                    <a:noFill/>
                    <a:ln>
                      <a:noFill/>
                    </a:ln>
                  </pic:spPr>
                </pic:pic>
              </a:graphicData>
            </a:graphic>
          </wp:inline>
        </w:drawing>
      </w:r>
    </w:p>
    <w:p w:rsidR="00F838C5" w:rsidRPr="00CC023D" w:rsidRDefault="00F838C5" w:rsidP="00E023E5">
      <w:pPr>
        <w:rPr>
          <w:lang w:val="en-GB"/>
        </w:rPr>
      </w:pPr>
    </w:p>
    <w:p w:rsidR="00F838C5" w:rsidRPr="00CC023D" w:rsidRDefault="00F838C5" w:rsidP="00F838C5">
      <w:pPr>
        <w:numPr>
          <w:ilvl w:val="0"/>
          <w:numId w:val="55"/>
        </w:numPr>
        <w:jc w:val="both"/>
        <w:rPr>
          <w:lang w:val="en-GB"/>
        </w:rPr>
      </w:pPr>
      <w:r w:rsidRPr="00CC023D">
        <w:rPr>
          <w:lang w:val="en-GB"/>
        </w:rPr>
        <w:t>The graphs below depict the evolution of the unit cost of processing from 2004 to 2012 using the old method and from 2012 to 2015 using the new method, including a breakdown of the contribution of direct and indirect costs.</w:t>
      </w:r>
    </w:p>
    <w:p w:rsidR="00F838C5" w:rsidRPr="009D0F85" w:rsidRDefault="00F838C5" w:rsidP="00E023E5">
      <w:pPr>
        <w:rPr>
          <w:highlight w:val="lightGray"/>
          <w:lang w:val="en-GB"/>
        </w:rPr>
      </w:pPr>
    </w:p>
    <w:p w:rsidR="00F838C5" w:rsidRPr="00BA7C57" w:rsidRDefault="00F838C5" w:rsidP="00E023E5">
      <w:pPr>
        <w:keepNext/>
        <w:keepLines/>
        <w:jc w:val="center"/>
        <w:rPr>
          <w:b/>
          <w:sz w:val="18"/>
          <w:lang w:val="en-GB"/>
        </w:rPr>
      </w:pPr>
      <w:r w:rsidRPr="00BA7C57">
        <w:rPr>
          <w:b/>
          <w:sz w:val="18"/>
          <w:lang w:val="en-GB"/>
        </w:rPr>
        <w:t>Unit Cost of Processing a Published PCT Application</w:t>
      </w:r>
    </w:p>
    <w:p w:rsidR="00F838C5" w:rsidRPr="009D0F85" w:rsidRDefault="00F838C5" w:rsidP="00E023E5">
      <w:pPr>
        <w:keepNext/>
        <w:keepLines/>
        <w:jc w:val="center"/>
        <w:rPr>
          <w:b/>
          <w:sz w:val="18"/>
          <w:highlight w:val="lightGray"/>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99"/>
        <w:gridCol w:w="4672"/>
      </w:tblGrid>
      <w:tr w:rsidR="00F838C5" w:rsidRPr="001D0D8B" w:rsidTr="001363EE">
        <w:tc>
          <w:tcPr>
            <w:tcW w:w="4899" w:type="dxa"/>
            <w:shd w:val="clear" w:color="auto" w:fill="auto"/>
          </w:tcPr>
          <w:p w:rsidR="00F838C5" w:rsidRPr="002A72BB" w:rsidRDefault="00F838C5" w:rsidP="001363EE">
            <w:pPr>
              <w:keepNext/>
              <w:keepLines/>
              <w:jc w:val="center"/>
            </w:pPr>
            <w:r w:rsidRPr="002A72BB">
              <w:t>Old method</w:t>
            </w:r>
          </w:p>
        </w:tc>
        <w:tc>
          <w:tcPr>
            <w:tcW w:w="4672" w:type="dxa"/>
            <w:shd w:val="clear" w:color="auto" w:fill="auto"/>
          </w:tcPr>
          <w:p w:rsidR="00F838C5" w:rsidRPr="002A72BB" w:rsidRDefault="00F838C5" w:rsidP="001363EE">
            <w:pPr>
              <w:keepNext/>
              <w:keepLines/>
              <w:jc w:val="center"/>
            </w:pPr>
            <w:r w:rsidRPr="002A72BB">
              <w:t>New method</w:t>
            </w:r>
          </w:p>
        </w:tc>
      </w:tr>
      <w:tr w:rsidR="00F838C5" w:rsidRPr="001D0D8B" w:rsidTr="001363EE">
        <w:tc>
          <w:tcPr>
            <w:tcW w:w="4899" w:type="dxa"/>
            <w:shd w:val="clear" w:color="auto" w:fill="auto"/>
          </w:tcPr>
          <w:p w:rsidR="00F838C5" w:rsidRPr="002A72BB" w:rsidRDefault="00F838C5" w:rsidP="001363EE">
            <w:pPr>
              <w:keepNext/>
              <w:keepLines/>
              <w:rPr>
                <w:lang w:val="fr-CH"/>
              </w:rPr>
            </w:pPr>
            <w:r w:rsidRPr="002A72BB">
              <w:rPr>
                <w:noProof/>
              </w:rPr>
              <w:drawing>
                <wp:inline distT="0" distB="0" distL="0" distR="0" wp14:anchorId="1423DBB2" wp14:editId="3EAFFEBA">
                  <wp:extent cx="3057525" cy="2038350"/>
                  <wp:effectExtent l="0" t="0" r="9525" b="0"/>
                  <wp:docPr id="917"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3057525" cy="2038350"/>
                          </a:xfrm>
                          <a:prstGeom prst="rect">
                            <a:avLst/>
                          </a:prstGeom>
                          <a:noFill/>
                          <a:ln>
                            <a:noFill/>
                          </a:ln>
                        </pic:spPr>
                      </pic:pic>
                    </a:graphicData>
                  </a:graphic>
                </wp:inline>
              </w:drawing>
            </w:r>
          </w:p>
        </w:tc>
        <w:tc>
          <w:tcPr>
            <w:tcW w:w="4672" w:type="dxa"/>
            <w:shd w:val="clear" w:color="auto" w:fill="auto"/>
          </w:tcPr>
          <w:p w:rsidR="00F838C5" w:rsidRPr="002A72BB" w:rsidRDefault="00F838C5" w:rsidP="001363EE">
            <w:pPr>
              <w:keepNext/>
              <w:keepLines/>
              <w:rPr>
                <w:lang w:val="fr-CH"/>
              </w:rPr>
            </w:pPr>
            <w:r>
              <w:rPr>
                <w:noProof/>
              </w:rPr>
              <w:drawing>
                <wp:inline distT="0" distB="0" distL="0" distR="0" wp14:anchorId="00CBEEDB" wp14:editId="2A96ED66">
                  <wp:extent cx="2918128" cy="1821782"/>
                  <wp:effectExtent l="0" t="0" r="0" b="7620"/>
                  <wp:docPr id="918" name="Picture 9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2910940" cy="1817294"/>
                          </a:xfrm>
                          <a:prstGeom prst="rect">
                            <a:avLst/>
                          </a:prstGeom>
                          <a:noFill/>
                        </pic:spPr>
                      </pic:pic>
                    </a:graphicData>
                  </a:graphic>
                </wp:inline>
              </w:drawing>
            </w:r>
          </w:p>
        </w:tc>
      </w:tr>
    </w:tbl>
    <w:p w:rsidR="00F838C5" w:rsidRPr="009D0F85" w:rsidRDefault="00F838C5" w:rsidP="00E023E5">
      <w:pPr>
        <w:rPr>
          <w:highlight w:val="lightGray"/>
        </w:rPr>
      </w:pPr>
    </w:p>
    <w:p w:rsidR="00F838C5" w:rsidRPr="006A3C56" w:rsidRDefault="00F838C5" w:rsidP="00F838C5">
      <w:pPr>
        <w:numPr>
          <w:ilvl w:val="0"/>
          <w:numId w:val="53"/>
        </w:numPr>
        <w:tabs>
          <w:tab w:val="clear" w:pos="720"/>
          <w:tab w:val="num" w:pos="1134"/>
        </w:tabs>
        <w:ind w:left="1134" w:hanging="567"/>
        <w:jc w:val="both"/>
      </w:pPr>
      <w:r w:rsidRPr="006A3C56">
        <w:t xml:space="preserve">The average cost of processing a published PCT application was </w:t>
      </w:r>
      <w:r>
        <w:t xml:space="preserve">735 </w:t>
      </w:r>
      <w:r w:rsidRPr="006A3C56">
        <w:t>Swiss francs in 201</w:t>
      </w:r>
      <w:r>
        <w:t>5</w:t>
      </w:r>
      <w:r w:rsidRPr="006A3C56">
        <w:t>, representing a</w:t>
      </w:r>
      <w:r>
        <w:t>n</w:t>
      </w:r>
      <w:r w:rsidRPr="006A3C56">
        <w:t xml:space="preserve"> </w:t>
      </w:r>
      <w:r>
        <w:t>in</w:t>
      </w:r>
      <w:r w:rsidRPr="006A3C56">
        <w:t xml:space="preserve">crease of </w:t>
      </w:r>
      <w:r>
        <w:t>11</w:t>
      </w:r>
      <w:r w:rsidRPr="006A3C56">
        <w:t xml:space="preserve"> per cent compared to 201</w:t>
      </w:r>
      <w:r>
        <w:t>4</w:t>
      </w:r>
      <w:r w:rsidRPr="006A3C56">
        <w:t xml:space="preserve">. </w:t>
      </w:r>
      <w:r w:rsidRPr="00763959">
        <w:rPr>
          <w:rFonts w:cs="Arial"/>
        </w:rPr>
        <w:t xml:space="preserve"> This increase </w:t>
      </w:r>
      <w:r>
        <w:rPr>
          <w:rFonts w:cs="Arial"/>
        </w:rPr>
        <w:t>was</w:t>
      </w:r>
      <w:r w:rsidRPr="00763959">
        <w:rPr>
          <w:rFonts w:cs="Arial"/>
        </w:rPr>
        <w:t xml:space="preserve"> due to higher direct and indirect expenditures</w:t>
      </w:r>
      <w:r>
        <w:rPr>
          <w:rFonts w:cs="Arial"/>
        </w:rPr>
        <w:t>,</w:t>
      </w:r>
      <w:r w:rsidRPr="00763959">
        <w:rPr>
          <w:rFonts w:cs="Arial"/>
        </w:rPr>
        <w:t xml:space="preserve"> combined with </w:t>
      </w:r>
      <w:r>
        <w:rPr>
          <w:rFonts w:cs="Arial"/>
        </w:rPr>
        <w:t xml:space="preserve">a </w:t>
      </w:r>
      <w:r w:rsidRPr="00763959">
        <w:rPr>
          <w:rFonts w:cs="Arial"/>
        </w:rPr>
        <w:t xml:space="preserve">lower number of </w:t>
      </w:r>
      <w:r>
        <w:rPr>
          <w:rFonts w:cs="Arial"/>
        </w:rPr>
        <w:t>applications published in 2015 compared to 2014</w:t>
      </w:r>
      <w:r w:rsidRPr="00763959">
        <w:rPr>
          <w:rFonts w:cs="Arial"/>
        </w:rPr>
        <w:t xml:space="preserve">. </w:t>
      </w:r>
      <w:r>
        <w:rPr>
          <w:rFonts w:cs="Arial"/>
        </w:rPr>
        <w:t xml:space="preserve"> </w:t>
      </w:r>
      <w:r w:rsidRPr="00763959">
        <w:rPr>
          <w:rFonts w:cs="Arial"/>
        </w:rPr>
        <w:t xml:space="preserve">This increase </w:t>
      </w:r>
      <w:r>
        <w:rPr>
          <w:rFonts w:cs="Arial"/>
        </w:rPr>
        <w:t xml:space="preserve">in 2015 over 2014 is mainly due to an exceptionally low unit cost and an outstanding efficiency rise in 2014, which were due to: </w:t>
      </w:r>
      <w:r w:rsidRPr="00A77F10">
        <w:rPr>
          <w:rFonts w:cs="Arial"/>
        </w:rPr>
        <w:t xml:space="preserve"> (</w:t>
      </w:r>
      <w:r>
        <w:rPr>
          <w:rFonts w:cs="Arial"/>
        </w:rPr>
        <w:t>i</w:t>
      </w:r>
      <w:r w:rsidRPr="00A77F10">
        <w:rPr>
          <w:rFonts w:cs="Arial"/>
        </w:rPr>
        <w:t>) the spike in U</w:t>
      </w:r>
      <w:r>
        <w:rPr>
          <w:rFonts w:cs="Arial"/>
        </w:rPr>
        <w:t>.</w:t>
      </w:r>
      <w:r w:rsidRPr="00A77F10">
        <w:rPr>
          <w:rFonts w:cs="Arial"/>
        </w:rPr>
        <w:t>S</w:t>
      </w:r>
      <w:r>
        <w:rPr>
          <w:rFonts w:cs="Arial"/>
        </w:rPr>
        <w:t>.</w:t>
      </w:r>
      <w:r w:rsidRPr="00A77F10">
        <w:rPr>
          <w:rFonts w:cs="Arial"/>
        </w:rPr>
        <w:t xml:space="preserve"> filings in March 2014 due to the entering into force of the Leahy-Smith America Invents Act one year earlier</w:t>
      </w:r>
      <w:r>
        <w:rPr>
          <w:rFonts w:cs="Arial"/>
        </w:rPr>
        <w:t>;</w:t>
      </w:r>
      <w:r w:rsidRPr="00A77F10">
        <w:rPr>
          <w:rFonts w:cs="Arial"/>
        </w:rPr>
        <w:t xml:space="preserve"> and (</w:t>
      </w:r>
      <w:r>
        <w:rPr>
          <w:rFonts w:cs="Arial"/>
        </w:rPr>
        <w:t>ii</w:t>
      </w:r>
      <w:r w:rsidRPr="00A77F10">
        <w:rPr>
          <w:rFonts w:cs="Arial"/>
        </w:rPr>
        <w:t xml:space="preserve">) the fact that in 2014, </w:t>
      </w:r>
      <w:r>
        <w:rPr>
          <w:rFonts w:cs="Arial"/>
        </w:rPr>
        <w:t xml:space="preserve">as with </w:t>
      </w:r>
      <w:r w:rsidRPr="00A77F10">
        <w:rPr>
          <w:rFonts w:cs="Arial"/>
        </w:rPr>
        <w:t>every five to six year</w:t>
      </w:r>
      <w:r>
        <w:rPr>
          <w:rFonts w:cs="Arial"/>
        </w:rPr>
        <w:t xml:space="preserve"> period</w:t>
      </w:r>
      <w:r w:rsidRPr="00A77F10">
        <w:rPr>
          <w:rFonts w:cs="Arial"/>
        </w:rPr>
        <w:t xml:space="preserve">, the number of weeks of publication was 53 instead of 52, thus increasing the number of publications performed during 2014. </w:t>
      </w:r>
      <w:r>
        <w:rPr>
          <w:rFonts w:cs="Arial"/>
        </w:rPr>
        <w:t xml:space="preserve"> Furthermore</w:t>
      </w:r>
      <w:r w:rsidRPr="00763959">
        <w:rPr>
          <w:rFonts w:cs="Arial"/>
        </w:rPr>
        <w:t xml:space="preserve">, expenses are </w:t>
      </w:r>
      <w:r>
        <w:rPr>
          <w:rFonts w:cs="Arial"/>
        </w:rPr>
        <w:t xml:space="preserve">generally </w:t>
      </w:r>
      <w:r w:rsidRPr="00763959">
        <w:rPr>
          <w:rFonts w:cs="Arial"/>
        </w:rPr>
        <w:t xml:space="preserve">higher </w:t>
      </w:r>
      <w:r>
        <w:rPr>
          <w:rFonts w:cs="Arial"/>
        </w:rPr>
        <w:t xml:space="preserve">in </w:t>
      </w:r>
      <w:r w:rsidRPr="00763959">
        <w:rPr>
          <w:rFonts w:cs="Arial"/>
        </w:rPr>
        <w:t>the second year of a biennium.</w:t>
      </w:r>
      <w:r>
        <w:rPr>
          <w:rFonts w:cs="Arial"/>
        </w:rPr>
        <w:t xml:space="preserve"> </w:t>
      </w:r>
      <w:r w:rsidRPr="00763959">
        <w:rPr>
          <w:rFonts w:cs="Arial"/>
        </w:rPr>
        <w:t xml:space="preserve"> </w:t>
      </w:r>
      <w:r>
        <w:rPr>
          <w:rFonts w:cs="Arial"/>
        </w:rPr>
        <w:t xml:space="preserve">In addition, the PCT translation cost increased by 7.3 per cent in 2015 compared to 2014, due to the increase of the shares of Asian languages, as well as the increase of the length of the reports to be translated.  In terms of the breakdown of the increase, 44 per cent is attributable to the mentioned decrease in publications, 18.7 per cent to increased translation costs, 4.4 per cent to PCT information services cost, 5.5 per cent to the processing of applications itself, while the rest is attributable to indirect cost.  </w:t>
      </w:r>
      <w:r w:rsidRPr="003E38C7">
        <w:rPr>
          <w:rFonts w:cs="Arial"/>
        </w:rPr>
        <w:t>Nevertheless</w:t>
      </w:r>
      <w:r w:rsidRPr="00763959">
        <w:rPr>
          <w:rFonts w:cs="Arial"/>
        </w:rPr>
        <w:t xml:space="preserve">, </w:t>
      </w:r>
      <w:r>
        <w:rPr>
          <w:rFonts w:cs="Arial"/>
        </w:rPr>
        <w:t xml:space="preserve">in </w:t>
      </w:r>
      <w:r w:rsidRPr="00763959">
        <w:rPr>
          <w:rFonts w:cs="Arial"/>
        </w:rPr>
        <w:t>compari</w:t>
      </w:r>
      <w:r>
        <w:rPr>
          <w:rFonts w:cs="Arial"/>
        </w:rPr>
        <w:t>son to</w:t>
      </w:r>
      <w:r w:rsidRPr="00763959">
        <w:rPr>
          <w:rFonts w:cs="Arial"/>
        </w:rPr>
        <w:t xml:space="preserve"> the two last bienni</w:t>
      </w:r>
      <w:r>
        <w:rPr>
          <w:rFonts w:cs="Arial"/>
        </w:rPr>
        <w:t>a</w:t>
      </w:r>
      <w:r w:rsidRPr="00763959">
        <w:rPr>
          <w:rFonts w:cs="Arial"/>
        </w:rPr>
        <w:t xml:space="preserve">, the </w:t>
      </w:r>
      <w:r>
        <w:rPr>
          <w:rFonts w:cs="Arial"/>
        </w:rPr>
        <w:t xml:space="preserve">average unit cost of processing a published PCT application </w:t>
      </w:r>
      <w:r w:rsidRPr="00763959">
        <w:rPr>
          <w:rFonts w:cs="Arial"/>
        </w:rPr>
        <w:t xml:space="preserve">in </w:t>
      </w:r>
      <w:r>
        <w:rPr>
          <w:rFonts w:cs="Arial"/>
        </w:rPr>
        <w:t>2014/15 (698 Swiss francs) decreased by 2.7</w:t>
      </w:r>
      <w:r w:rsidRPr="00763959">
        <w:rPr>
          <w:rFonts w:cs="Arial"/>
        </w:rPr>
        <w:t xml:space="preserve"> per cent compared to 2012/13 </w:t>
      </w:r>
      <w:r>
        <w:rPr>
          <w:rFonts w:cs="Arial"/>
        </w:rPr>
        <w:t>(717 Swiss francs)</w:t>
      </w:r>
      <w:r w:rsidRPr="00763959">
        <w:rPr>
          <w:rFonts w:cs="Arial"/>
        </w:rPr>
        <w:t>.</w:t>
      </w:r>
    </w:p>
    <w:p w:rsidR="00F838C5" w:rsidRPr="000A2F89" w:rsidRDefault="00F838C5" w:rsidP="00E023E5">
      <w:pPr>
        <w:pStyle w:val="ListParagraph"/>
        <w:tabs>
          <w:tab w:val="num" w:pos="1134"/>
        </w:tabs>
        <w:ind w:left="1134" w:hanging="567"/>
      </w:pPr>
    </w:p>
    <w:p w:rsidR="00F838C5" w:rsidRPr="000A2F89" w:rsidRDefault="00F838C5" w:rsidP="00F838C5">
      <w:pPr>
        <w:pStyle w:val="ListParagraph"/>
        <w:numPr>
          <w:ilvl w:val="0"/>
          <w:numId w:val="53"/>
        </w:numPr>
        <w:tabs>
          <w:tab w:val="clear" w:pos="720"/>
          <w:tab w:val="num" w:pos="1134"/>
        </w:tabs>
        <w:spacing w:after="200"/>
        <w:ind w:left="1134" w:hanging="567"/>
        <w:contextualSpacing/>
        <w:jc w:val="both"/>
      </w:pPr>
      <w:r w:rsidRPr="000A2F89">
        <w:t>The average cost of processing a published PCT application calculated by the old method decreased by an average of 5 per cent per year from 1,042 Swiss francs in 2004 to</w:t>
      </w:r>
      <w:r>
        <w:t xml:space="preserve"> </w:t>
      </w:r>
      <w:r w:rsidRPr="000A2F89">
        <w:t>680</w:t>
      </w:r>
      <w:r>
        <w:t> </w:t>
      </w:r>
      <w:r w:rsidRPr="000A2F89">
        <w:t xml:space="preserve">Swiss francs in 2012. </w:t>
      </w:r>
    </w:p>
    <w:p w:rsidR="00F838C5" w:rsidRPr="000E46C3" w:rsidRDefault="00F838C5" w:rsidP="00E023E5">
      <w:pPr>
        <w:rPr>
          <w:i/>
          <w:highlight w:val="yellow"/>
        </w:rPr>
      </w:pPr>
    </w:p>
    <w:p w:rsidR="00F838C5" w:rsidRPr="00EE19F7" w:rsidRDefault="00F838C5" w:rsidP="00E023E5">
      <w:pPr>
        <w:rPr>
          <w:i/>
          <w:lang w:val="en-GB"/>
        </w:rPr>
      </w:pPr>
      <w:r w:rsidRPr="00EE19F7">
        <w:rPr>
          <w:i/>
        </w:rPr>
        <w:t>Productivity of formalities examination</w:t>
      </w:r>
    </w:p>
    <w:p w:rsidR="00F838C5" w:rsidRPr="00EE19F7" w:rsidRDefault="00F838C5" w:rsidP="001363EE">
      <w:pPr>
        <w:jc w:val="both"/>
        <w:rPr>
          <w:lang w:val="en-GB"/>
        </w:rPr>
      </w:pPr>
    </w:p>
    <w:p w:rsidR="00F838C5" w:rsidRPr="00EE0539" w:rsidRDefault="00F838C5" w:rsidP="00F838C5">
      <w:pPr>
        <w:numPr>
          <w:ilvl w:val="0"/>
          <w:numId w:val="55"/>
        </w:numPr>
        <w:jc w:val="both"/>
        <w:rPr>
          <w:lang w:val="en-GB"/>
        </w:rPr>
      </w:pPr>
      <w:r w:rsidRPr="00EE0539">
        <w:rPr>
          <w:lang w:val="en-GB"/>
        </w:rPr>
        <w:t>The definition of staff productivity is output (i.e. the number of PCT publications) divided by the number of staff for formalities examination.</w:t>
      </w:r>
    </w:p>
    <w:p w:rsidR="00F838C5" w:rsidRDefault="00F838C5" w:rsidP="00E023E5">
      <w:pPr>
        <w:rPr>
          <w:lang w:val="en-GB"/>
        </w:rPr>
      </w:pPr>
    </w:p>
    <w:p w:rsidR="00F838C5" w:rsidRDefault="00F838C5" w:rsidP="00E023E5">
      <w:pPr>
        <w:jc w:val="center"/>
        <w:rPr>
          <w:b/>
          <w:sz w:val="18"/>
          <w:lang w:val="en-GB"/>
        </w:rPr>
      </w:pPr>
    </w:p>
    <w:p w:rsidR="00F838C5" w:rsidRPr="000D2666" w:rsidRDefault="00F838C5" w:rsidP="001363EE">
      <w:pPr>
        <w:keepNext/>
        <w:keepLines/>
        <w:jc w:val="center"/>
        <w:rPr>
          <w:b/>
          <w:sz w:val="18"/>
          <w:lang w:val="en-GB"/>
        </w:rPr>
      </w:pPr>
      <w:r w:rsidRPr="000D2666">
        <w:rPr>
          <w:b/>
          <w:sz w:val="18"/>
          <w:lang w:val="en-GB"/>
        </w:rPr>
        <w:lastRenderedPageBreak/>
        <w:t>Productivity of Formality Examination</w:t>
      </w:r>
    </w:p>
    <w:p w:rsidR="00F838C5" w:rsidRPr="00EE19F7" w:rsidRDefault="00F838C5" w:rsidP="001363EE">
      <w:pPr>
        <w:keepNext/>
        <w:keepLines/>
        <w:jc w:val="center"/>
        <w:rPr>
          <w:b/>
          <w:bCs/>
          <w:sz w:val="18"/>
          <w:szCs w:val="18"/>
          <w:lang w:val="en-GB"/>
        </w:rPr>
      </w:pPr>
      <w:r>
        <w:rPr>
          <w:b/>
          <w:bCs/>
          <w:noProof/>
          <w:sz w:val="18"/>
          <w:szCs w:val="18"/>
        </w:rPr>
        <w:drawing>
          <wp:inline distT="0" distB="0" distL="0" distR="0" wp14:anchorId="7B1E317A" wp14:editId="505D0F57">
            <wp:extent cx="5607050" cy="2607603"/>
            <wp:effectExtent l="0" t="0" r="0" b="2540"/>
            <wp:docPr id="919" name="Picture 9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5607050" cy="2607603"/>
                    </a:xfrm>
                    <a:prstGeom prst="rect">
                      <a:avLst/>
                    </a:prstGeom>
                    <a:noFill/>
                  </pic:spPr>
                </pic:pic>
              </a:graphicData>
            </a:graphic>
          </wp:inline>
        </w:drawing>
      </w:r>
    </w:p>
    <w:p w:rsidR="00F838C5" w:rsidRDefault="00F838C5" w:rsidP="001363EE">
      <w:pPr>
        <w:pStyle w:val="ListParagraph"/>
        <w:keepNext/>
        <w:keepLines/>
        <w:spacing w:after="200"/>
        <w:ind w:left="1134"/>
        <w:contextualSpacing/>
        <w:jc w:val="both"/>
      </w:pPr>
    </w:p>
    <w:p w:rsidR="00F838C5" w:rsidRDefault="00F838C5" w:rsidP="00F838C5">
      <w:pPr>
        <w:pStyle w:val="ListParagraph"/>
        <w:numPr>
          <w:ilvl w:val="0"/>
          <w:numId w:val="53"/>
        </w:numPr>
        <w:tabs>
          <w:tab w:val="clear" w:pos="720"/>
          <w:tab w:val="num" w:pos="1134"/>
        </w:tabs>
        <w:spacing w:after="200"/>
        <w:ind w:left="1134" w:hanging="567"/>
        <w:contextualSpacing/>
        <w:jc w:val="both"/>
      </w:pPr>
      <w:r w:rsidRPr="00EE0539">
        <w:t>Historically, productivity of formalities examination has increased, mainly due to automation</w:t>
      </w:r>
      <w:r>
        <w:t>,</w:t>
      </w:r>
      <w:r w:rsidRPr="00EE0539">
        <w:t xml:space="preserve"> which has permitted the processing of much larger workloads with less or equal staff.</w:t>
      </w:r>
    </w:p>
    <w:p w:rsidR="00F838C5" w:rsidRDefault="00F838C5" w:rsidP="001363EE">
      <w:pPr>
        <w:pStyle w:val="ListParagraph"/>
        <w:spacing w:after="200"/>
        <w:ind w:left="1134"/>
        <w:contextualSpacing/>
        <w:jc w:val="both"/>
      </w:pPr>
    </w:p>
    <w:p w:rsidR="00F838C5" w:rsidRPr="00104D6C" w:rsidRDefault="00F838C5" w:rsidP="00F838C5">
      <w:pPr>
        <w:pStyle w:val="ListParagraph"/>
        <w:numPr>
          <w:ilvl w:val="0"/>
          <w:numId w:val="53"/>
        </w:numPr>
        <w:tabs>
          <w:tab w:val="clear" w:pos="720"/>
          <w:tab w:val="num" w:pos="1134"/>
        </w:tabs>
        <w:spacing w:after="200"/>
        <w:ind w:left="1134" w:hanging="567"/>
        <w:contextualSpacing/>
        <w:jc w:val="both"/>
      </w:pPr>
      <w:r>
        <w:t xml:space="preserve">In 2015, despite a decrease of four per cent in the number of staff working in the </w:t>
      </w:r>
      <w:r w:rsidRPr="00EE0539">
        <w:rPr>
          <w:lang w:val="en-GB"/>
        </w:rPr>
        <w:t>formalities examination</w:t>
      </w:r>
      <w:r>
        <w:t xml:space="preserve">, the </w:t>
      </w:r>
      <w:r w:rsidRPr="00EE0539">
        <w:t>productivity of formalities examination</w:t>
      </w:r>
      <w:r>
        <w:t xml:space="preserve"> dropped by one per cent compared to 2014 due to a decrease of five per cent in the number of PCT applications to be prepared for publication.</w:t>
      </w:r>
      <w:r w:rsidRPr="00104D6C">
        <w:rPr>
          <w:rFonts w:cs="Arial"/>
        </w:rPr>
        <w:t xml:space="preserve"> </w:t>
      </w:r>
      <w:r>
        <w:rPr>
          <w:rFonts w:cs="Arial"/>
        </w:rPr>
        <w:t xml:space="preserve"> The main reasons for the decrease were</w:t>
      </w:r>
      <w:r w:rsidR="00016B6B">
        <w:rPr>
          <w:rFonts w:cs="Arial"/>
        </w:rPr>
        <w:t xml:space="preserve">: </w:t>
      </w:r>
      <w:r>
        <w:rPr>
          <w:rFonts w:cs="Arial"/>
        </w:rPr>
        <w:t xml:space="preserve"> (i) the spike in U.S. filings in  March 2014 that was due to the entering into force of the Leahy-Smith America Invents Act one year earlier</w:t>
      </w:r>
      <w:r w:rsidR="00016B6B">
        <w:rPr>
          <w:rFonts w:cs="Arial"/>
        </w:rPr>
        <w:t xml:space="preserve">; </w:t>
      </w:r>
      <w:r>
        <w:rPr>
          <w:rFonts w:cs="Arial"/>
        </w:rPr>
        <w:t xml:space="preserve"> and (ii) the fact that in 2014, as is the case every five to six years, the number of weeks of publication was 53 instead of 52, thus increasing the number of publications performed during that year.  Nevertheless, when comparing the two last biennia, the total productivity of formalities examination in 2014/15 increased by 22 per cent </w:t>
      </w:r>
      <w:r w:rsidRPr="00647386">
        <w:rPr>
          <w:rFonts w:cs="Arial"/>
        </w:rPr>
        <w:t>compared to</w:t>
      </w:r>
      <w:r w:rsidR="003B10D0">
        <w:rPr>
          <w:rFonts w:cs="Arial"/>
        </w:rPr>
        <w:t> </w:t>
      </w:r>
      <w:r w:rsidRPr="00647386">
        <w:rPr>
          <w:rFonts w:cs="Arial"/>
        </w:rPr>
        <w:t>2012/13</w:t>
      </w:r>
      <w:r>
        <w:rPr>
          <w:rFonts w:cs="Arial"/>
        </w:rPr>
        <w:t>.</w:t>
      </w:r>
    </w:p>
    <w:p w:rsidR="00F838C5" w:rsidRDefault="00F838C5" w:rsidP="001363EE">
      <w:pPr>
        <w:pStyle w:val="ListParagraph"/>
        <w:spacing w:after="200"/>
        <w:ind w:left="1134"/>
        <w:contextualSpacing/>
        <w:jc w:val="both"/>
      </w:pPr>
    </w:p>
    <w:p w:rsidR="00F838C5" w:rsidRPr="008823D0" w:rsidRDefault="00F838C5" w:rsidP="00E023E5">
      <w:pPr>
        <w:keepNext/>
        <w:keepLines/>
        <w:rPr>
          <w:i/>
          <w:lang w:val="en-GB"/>
        </w:rPr>
      </w:pPr>
      <w:r w:rsidRPr="008823D0">
        <w:rPr>
          <w:i/>
          <w:lang w:val="en-GB"/>
        </w:rPr>
        <w:t>Aggregate quality of formalities examination</w:t>
      </w:r>
    </w:p>
    <w:p w:rsidR="00F838C5" w:rsidRPr="008823D0" w:rsidRDefault="00F838C5" w:rsidP="00E023E5">
      <w:pPr>
        <w:keepNext/>
        <w:keepLines/>
        <w:rPr>
          <w:lang w:val="en-GB"/>
        </w:rPr>
      </w:pPr>
    </w:p>
    <w:p w:rsidR="00F838C5" w:rsidRPr="0054556A" w:rsidRDefault="00F838C5" w:rsidP="00F838C5">
      <w:pPr>
        <w:numPr>
          <w:ilvl w:val="0"/>
          <w:numId w:val="55"/>
        </w:numPr>
        <w:jc w:val="both"/>
        <w:rPr>
          <w:lang w:val="en-GB"/>
        </w:rPr>
      </w:pPr>
      <w:r w:rsidRPr="00EE0539">
        <w:rPr>
          <w:lang w:val="en-GB"/>
        </w:rPr>
        <w:t>In order to measure the quality of the work performed by the IB in a simple and comprehensive manner, the IB has developed an aggregate quality index, calculated as the average of four lead quality indicators.  Three</w:t>
      </w:r>
      <w:r w:rsidRPr="00EE0539">
        <w:t xml:space="preserve"> of these indicators are based on the timeliness of key transactions: </w:t>
      </w:r>
      <w:r>
        <w:t xml:space="preserve"> </w:t>
      </w:r>
      <w:r w:rsidRPr="00EE0539">
        <w:t>acknowledgement of receipt of the PCT application, publication and republication.  The fourth indicator reflects errors made during the processing of PCT applications.</w:t>
      </w:r>
    </w:p>
    <w:p w:rsidR="00F838C5" w:rsidRPr="00EE0539" w:rsidRDefault="00F838C5" w:rsidP="00E023E5">
      <w:pPr>
        <w:rPr>
          <w:lang w:val="en-GB"/>
        </w:rPr>
      </w:pPr>
    </w:p>
    <w:p w:rsidR="00F838C5" w:rsidRDefault="00F838C5" w:rsidP="001363EE">
      <w:pPr>
        <w:pStyle w:val="BodyText2"/>
        <w:keepNext/>
        <w:keepLines/>
        <w:spacing w:line="240" w:lineRule="auto"/>
        <w:jc w:val="center"/>
        <w:rPr>
          <w:rFonts w:cs="Arial"/>
          <w:b/>
          <w:bCs/>
          <w:sz w:val="18"/>
          <w:szCs w:val="18"/>
          <w:lang w:val="en-GB"/>
        </w:rPr>
      </w:pPr>
      <w:r w:rsidRPr="000D2666">
        <w:rPr>
          <w:rFonts w:cs="Arial"/>
          <w:b/>
          <w:bCs/>
          <w:sz w:val="18"/>
          <w:szCs w:val="18"/>
          <w:lang w:val="en-GB"/>
        </w:rPr>
        <w:lastRenderedPageBreak/>
        <w:t>Quality Index of Formalities Examination</w:t>
      </w:r>
    </w:p>
    <w:p w:rsidR="00F838C5" w:rsidRPr="000D2666" w:rsidRDefault="00F838C5" w:rsidP="001363EE">
      <w:pPr>
        <w:pStyle w:val="BodyText2"/>
        <w:keepNext/>
        <w:keepLines/>
        <w:spacing w:line="240" w:lineRule="auto"/>
        <w:jc w:val="center"/>
        <w:rPr>
          <w:rFonts w:cs="Arial"/>
          <w:b/>
          <w:bCs/>
          <w:sz w:val="16"/>
          <w:szCs w:val="18"/>
          <w:lang w:val="en-GB"/>
        </w:rPr>
      </w:pPr>
    </w:p>
    <w:p w:rsidR="00F838C5" w:rsidRPr="008823D0" w:rsidRDefault="00F838C5" w:rsidP="001363EE">
      <w:pPr>
        <w:pStyle w:val="BodyText2"/>
        <w:keepNext/>
        <w:keepLines/>
        <w:spacing w:line="240" w:lineRule="auto"/>
        <w:jc w:val="center"/>
        <w:rPr>
          <w:rFonts w:cs="Arial"/>
          <w:b/>
          <w:bCs/>
          <w:sz w:val="18"/>
          <w:szCs w:val="18"/>
          <w:lang w:val="en-GB"/>
        </w:rPr>
      </w:pPr>
      <w:r>
        <w:rPr>
          <w:rFonts w:cs="Arial"/>
          <w:b/>
          <w:bCs/>
          <w:noProof/>
          <w:sz w:val="18"/>
          <w:szCs w:val="18"/>
        </w:rPr>
        <w:drawing>
          <wp:inline distT="0" distB="0" distL="0" distR="0" wp14:anchorId="1D2261FC" wp14:editId="4B15D12B">
            <wp:extent cx="5288802" cy="2401294"/>
            <wp:effectExtent l="0" t="0" r="7620" b="0"/>
            <wp:docPr id="920" name="Picture 9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5301502" cy="2407060"/>
                    </a:xfrm>
                    <a:prstGeom prst="rect">
                      <a:avLst/>
                    </a:prstGeom>
                    <a:noFill/>
                  </pic:spPr>
                </pic:pic>
              </a:graphicData>
            </a:graphic>
          </wp:inline>
        </w:drawing>
      </w:r>
    </w:p>
    <w:p w:rsidR="00F838C5" w:rsidRDefault="00F838C5" w:rsidP="00F838C5">
      <w:pPr>
        <w:numPr>
          <w:ilvl w:val="0"/>
          <w:numId w:val="56"/>
        </w:numPr>
        <w:ind w:left="1134" w:hanging="584"/>
        <w:jc w:val="both"/>
      </w:pPr>
      <w:r w:rsidRPr="008823D0">
        <w:t>The overall quality, as measured by the aggregate index, improved markedly from</w:t>
      </w:r>
      <w:r>
        <w:t xml:space="preserve"> an average of 81 per cent in</w:t>
      </w:r>
      <w:r w:rsidRPr="008823D0">
        <w:t xml:space="preserve"> 2007 to</w:t>
      </w:r>
      <w:r>
        <w:t xml:space="preserve"> 92.8 per cent in</w:t>
      </w:r>
      <w:r w:rsidRPr="008823D0">
        <w:t xml:space="preserve"> 201</w:t>
      </w:r>
      <w:r>
        <w:t>5</w:t>
      </w:r>
      <w:r w:rsidRPr="008823D0">
        <w:t>.</w:t>
      </w:r>
    </w:p>
    <w:p w:rsidR="00F838C5" w:rsidRDefault="00F838C5" w:rsidP="001363EE">
      <w:pPr>
        <w:ind w:left="1134" w:hanging="584"/>
        <w:jc w:val="both"/>
      </w:pPr>
    </w:p>
    <w:p w:rsidR="00F838C5" w:rsidRPr="00104D6C" w:rsidRDefault="00F838C5" w:rsidP="00F838C5">
      <w:pPr>
        <w:pStyle w:val="ListParagraph"/>
        <w:numPr>
          <w:ilvl w:val="0"/>
          <w:numId w:val="53"/>
        </w:numPr>
        <w:tabs>
          <w:tab w:val="clear" w:pos="720"/>
          <w:tab w:val="num" w:pos="1134"/>
        </w:tabs>
        <w:spacing w:after="200"/>
        <w:ind w:left="1134" w:hanging="567"/>
        <w:contextualSpacing/>
        <w:jc w:val="both"/>
      </w:pPr>
      <w:r>
        <w:t xml:space="preserve">The small decrease in the quality index of 0.3 per cent in 2015, compared to 2014, is </w:t>
      </w:r>
      <w:r w:rsidRPr="009304E8">
        <w:t xml:space="preserve">due to </w:t>
      </w:r>
      <w:r>
        <w:t xml:space="preserve">delays in </w:t>
      </w:r>
      <w:r w:rsidRPr="000856B5">
        <w:t xml:space="preserve">republishing PCT applications with </w:t>
      </w:r>
      <w:r>
        <w:t>International Search Reports (</w:t>
      </w:r>
      <w:r w:rsidRPr="000856B5">
        <w:t>ISRs</w:t>
      </w:r>
      <w:r>
        <w:t>)</w:t>
      </w:r>
      <w:r w:rsidRPr="000856B5">
        <w:t xml:space="preserve"> </w:t>
      </w:r>
      <w:r>
        <w:t>within two months, which decreased from 77 per cent in 2014 to 74 per cent in 2015</w:t>
      </w:r>
      <w:r w:rsidRPr="009304E8">
        <w:t xml:space="preserve">. </w:t>
      </w:r>
      <w:r>
        <w:t xml:space="preserve"> The</w:t>
      </w:r>
      <w:r w:rsidRPr="009304E8">
        <w:t xml:space="preserve"> three other key transactions</w:t>
      </w:r>
      <w:r>
        <w:t xml:space="preserve"> used to compute this </w:t>
      </w:r>
      <w:r w:rsidRPr="00552459">
        <w:rPr>
          <w:lang w:val="en-GB"/>
        </w:rPr>
        <w:t>aggregate quality index</w:t>
      </w:r>
      <w:r w:rsidRPr="009304E8">
        <w:t xml:space="preserve"> improved in 2015, </w:t>
      </w:r>
      <w:r>
        <w:t xml:space="preserve">as </w:t>
      </w:r>
      <w:r w:rsidRPr="009304E8">
        <w:t>compared to 2014.</w:t>
      </w:r>
      <w:r>
        <w:t xml:space="preserve">  </w:t>
      </w:r>
      <w:r>
        <w:rPr>
          <w:rFonts w:cs="Arial"/>
        </w:rPr>
        <w:t>The quality index in the 2014/15 biennium (93 per cent) improved by nearly five percentage points</w:t>
      </w:r>
      <w:r w:rsidRPr="00204D84">
        <w:rPr>
          <w:rFonts w:cs="Arial"/>
        </w:rPr>
        <w:t xml:space="preserve"> </w:t>
      </w:r>
      <w:r w:rsidRPr="00647386">
        <w:rPr>
          <w:rFonts w:cs="Arial"/>
        </w:rPr>
        <w:t xml:space="preserve">compared to </w:t>
      </w:r>
      <w:r>
        <w:rPr>
          <w:rFonts w:cs="Arial"/>
        </w:rPr>
        <w:t xml:space="preserve">the </w:t>
      </w:r>
      <w:r w:rsidRPr="00647386">
        <w:rPr>
          <w:rFonts w:cs="Arial"/>
        </w:rPr>
        <w:t xml:space="preserve">2012/13 </w:t>
      </w:r>
      <w:r>
        <w:rPr>
          <w:rFonts w:cs="Arial"/>
        </w:rPr>
        <w:t>biennium (88.1 per cent).</w:t>
      </w:r>
    </w:p>
    <w:p w:rsidR="00F838C5" w:rsidRPr="00541138" w:rsidRDefault="00F838C5" w:rsidP="001363EE">
      <w:pPr>
        <w:rPr>
          <w:rFonts w:cs="Arial"/>
        </w:rPr>
      </w:pPr>
    </w:p>
    <w:p w:rsidR="00F838C5" w:rsidRPr="005F6BFD" w:rsidRDefault="00F838C5" w:rsidP="00E023E5">
      <w:pPr>
        <w:rPr>
          <w:i/>
        </w:rPr>
      </w:pPr>
      <w:r w:rsidRPr="005F6BFD">
        <w:rPr>
          <w:i/>
        </w:rPr>
        <w:t>Timeliness of formalities examination</w:t>
      </w:r>
    </w:p>
    <w:p w:rsidR="00F838C5" w:rsidRPr="005F6BFD" w:rsidRDefault="00F838C5" w:rsidP="00E023E5">
      <w:pPr>
        <w:rPr>
          <w:b/>
        </w:rPr>
      </w:pPr>
    </w:p>
    <w:p w:rsidR="00F838C5" w:rsidRPr="00EE0539" w:rsidRDefault="00F838C5" w:rsidP="00F838C5">
      <w:pPr>
        <w:numPr>
          <w:ilvl w:val="0"/>
          <w:numId w:val="55"/>
        </w:numPr>
        <w:jc w:val="both"/>
        <w:rPr>
          <w:b/>
        </w:rPr>
      </w:pPr>
      <w:r w:rsidRPr="00EE0539">
        <w:t xml:space="preserve">This indicator reflects in more detail one of the components of the aggregate quality indicator, namely the time required by the IB to issue Form 301.  This form is issued after the formality examination of the application has been completed. </w:t>
      </w:r>
      <w:r>
        <w:t xml:space="preserve"> </w:t>
      </w:r>
      <w:r w:rsidRPr="00EE0539">
        <w:t xml:space="preserve">Applicants appreciate receiving this </w:t>
      </w:r>
      <w:r>
        <w:t>f</w:t>
      </w:r>
      <w:r w:rsidRPr="00EE0539">
        <w:t>orm as soon as possible because it acknowledges receipt of the application at the IB and allows them to know whether their application has any formal defects.</w:t>
      </w:r>
    </w:p>
    <w:p w:rsidR="00F838C5" w:rsidRPr="00D37EBA" w:rsidRDefault="00F838C5" w:rsidP="00E023E5">
      <w:pPr>
        <w:rPr>
          <w:b/>
        </w:rPr>
      </w:pPr>
    </w:p>
    <w:p w:rsidR="00F838C5" w:rsidRPr="005F6BFD" w:rsidRDefault="00F838C5" w:rsidP="00E023E5">
      <w:r>
        <w:rPr>
          <w:noProof/>
        </w:rPr>
        <w:drawing>
          <wp:inline distT="0" distB="0" distL="0" distR="0" wp14:anchorId="1F06498C" wp14:editId="4F403B0D">
            <wp:extent cx="5745193" cy="2489913"/>
            <wp:effectExtent l="0" t="0" r="8255" b="5715"/>
            <wp:docPr id="921" name="Picture 9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5743940" cy="2489370"/>
                    </a:xfrm>
                    <a:prstGeom prst="rect">
                      <a:avLst/>
                    </a:prstGeom>
                    <a:noFill/>
                  </pic:spPr>
                </pic:pic>
              </a:graphicData>
            </a:graphic>
          </wp:inline>
        </w:drawing>
      </w:r>
    </w:p>
    <w:p w:rsidR="00F838C5" w:rsidRDefault="00F838C5" w:rsidP="00E023E5">
      <w:pPr>
        <w:rPr>
          <w:i/>
        </w:rPr>
      </w:pPr>
    </w:p>
    <w:p w:rsidR="00F838C5" w:rsidRPr="005F6BFD" w:rsidRDefault="00F838C5" w:rsidP="00E023E5">
      <w:pPr>
        <w:rPr>
          <w:i/>
        </w:rPr>
      </w:pPr>
      <w:r w:rsidRPr="005F6BFD">
        <w:rPr>
          <w:i/>
        </w:rPr>
        <w:t>Timeliness of publication</w:t>
      </w:r>
    </w:p>
    <w:p w:rsidR="00F838C5" w:rsidRPr="005F6BFD" w:rsidRDefault="00F838C5" w:rsidP="00E023E5">
      <w:pPr>
        <w:rPr>
          <w:sz w:val="18"/>
          <w:szCs w:val="18"/>
        </w:rPr>
      </w:pPr>
    </w:p>
    <w:p w:rsidR="00F838C5" w:rsidRPr="00EE0539" w:rsidRDefault="00F838C5" w:rsidP="00F838C5">
      <w:pPr>
        <w:numPr>
          <w:ilvl w:val="0"/>
          <w:numId w:val="55"/>
        </w:numPr>
        <w:jc w:val="both"/>
      </w:pPr>
      <w:r w:rsidRPr="00EE0539">
        <w:t>This indicator reflects in more detail one of the components of the aggregate quality indicator, namely</w:t>
      </w:r>
      <w:r>
        <w:t>,</w:t>
      </w:r>
      <w:r w:rsidRPr="00EE0539">
        <w:t xml:space="preserve"> the time required by the IB to publish the application.  Article 21 (2) (a) of the PCT states that the</w:t>
      </w:r>
      <w:r>
        <w:t xml:space="preserve"> </w:t>
      </w:r>
      <w:r w:rsidRPr="00EE0539">
        <w:lastRenderedPageBreak/>
        <w:t>“… international publication of the international application shall be effected promptly after the expiration of 18 months from the priority date of that application.”</w:t>
      </w:r>
    </w:p>
    <w:p w:rsidR="00F838C5" w:rsidRPr="005F6BFD" w:rsidRDefault="00F838C5" w:rsidP="00E023E5">
      <w:pPr>
        <w:pStyle w:val="BodyText2"/>
        <w:spacing w:line="240" w:lineRule="auto"/>
        <w:rPr>
          <w:rFonts w:cs="Arial"/>
        </w:rPr>
      </w:pPr>
    </w:p>
    <w:p w:rsidR="00F838C5" w:rsidRPr="000E46C3" w:rsidRDefault="00F838C5" w:rsidP="00E023E5">
      <w:pPr>
        <w:pStyle w:val="BodyText2"/>
        <w:spacing w:line="240" w:lineRule="auto"/>
        <w:jc w:val="center"/>
        <w:rPr>
          <w:rFonts w:cs="Arial"/>
          <w:b/>
          <w:bCs/>
          <w:sz w:val="16"/>
          <w:szCs w:val="16"/>
          <w:highlight w:val="yellow"/>
        </w:rPr>
      </w:pPr>
      <w:r>
        <w:rPr>
          <w:rFonts w:cs="Arial"/>
          <w:b/>
          <w:bCs/>
          <w:noProof/>
          <w:sz w:val="16"/>
          <w:szCs w:val="16"/>
        </w:rPr>
        <w:drawing>
          <wp:inline distT="0" distB="0" distL="0" distR="0" wp14:anchorId="6E264E97" wp14:editId="4EA1F423">
            <wp:extent cx="5524808" cy="2536166"/>
            <wp:effectExtent l="0" t="0" r="0" b="0"/>
            <wp:docPr id="922" name="Picture 9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5522687" cy="2535192"/>
                    </a:xfrm>
                    <a:prstGeom prst="rect">
                      <a:avLst/>
                    </a:prstGeom>
                    <a:noFill/>
                  </pic:spPr>
                </pic:pic>
              </a:graphicData>
            </a:graphic>
          </wp:inline>
        </w:drawing>
      </w:r>
    </w:p>
    <w:p w:rsidR="00F838C5" w:rsidRPr="00D65AC8" w:rsidRDefault="00F838C5" w:rsidP="00E023E5">
      <w:pPr>
        <w:rPr>
          <w:i/>
        </w:rPr>
      </w:pPr>
      <w:r w:rsidRPr="00D65AC8">
        <w:rPr>
          <w:i/>
        </w:rPr>
        <w:t>Timeliness of republication</w:t>
      </w:r>
    </w:p>
    <w:p w:rsidR="00F838C5" w:rsidRPr="00D65AC8" w:rsidRDefault="00F838C5" w:rsidP="00E023E5">
      <w:pPr>
        <w:rPr>
          <w:sz w:val="18"/>
          <w:szCs w:val="18"/>
        </w:rPr>
      </w:pPr>
    </w:p>
    <w:p w:rsidR="00F838C5" w:rsidRPr="00EE0539" w:rsidRDefault="00F838C5" w:rsidP="00F838C5">
      <w:pPr>
        <w:numPr>
          <w:ilvl w:val="0"/>
          <w:numId w:val="55"/>
        </w:numPr>
        <w:jc w:val="both"/>
      </w:pPr>
      <w:r w:rsidRPr="00EE0539">
        <w:t xml:space="preserve">This indicator reflects in more detail one of the components of the aggregate quality indicator, namely the time required by the IB to republish the application with the ISR.  Due to delays in the communication of ISRs by </w:t>
      </w:r>
      <w:r>
        <w:t>International Searching Authorities (</w:t>
      </w:r>
      <w:r w:rsidRPr="00EE0539">
        <w:t>ISAs</w:t>
      </w:r>
      <w:r>
        <w:t>)</w:t>
      </w:r>
      <w:r w:rsidRPr="00EE0539">
        <w:t>, a number of international applications are published without the ISR.  When the ISR becomes available, the international application needs to be republished with the ISR as soon as possible, so as to complete the international publication.</w:t>
      </w:r>
    </w:p>
    <w:p w:rsidR="00F838C5" w:rsidRPr="00EE0539" w:rsidRDefault="00F838C5" w:rsidP="00E023E5"/>
    <w:p w:rsidR="00F838C5" w:rsidRPr="00D65AC8" w:rsidRDefault="00F838C5" w:rsidP="00E023E5">
      <w:pPr>
        <w:rPr>
          <w:b/>
          <w:szCs w:val="18"/>
        </w:rPr>
      </w:pPr>
      <w:r>
        <w:rPr>
          <w:b/>
          <w:noProof/>
          <w:szCs w:val="18"/>
        </w:rPr>
        <w:drawing>
          <wp:inline distT="0" distB="0" distL="0" distR="0" wp14:anchorId="361FB12A" wp14:editId="78DC78EA">
            <wp:extent cx="5771072" cy="2647143"/>
            <wp:effectExtent l="0" t="0" r="1270" b="1270"/>
            <wp:docPr id="923" name="Picture 9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5773371" cy="2648198"/>
                    </a:xfrm>
                    <a:prstGeom prst="rect">
                      <a:avLst/>
                    </a:prstGeom>
                    <a:noFill/>
                  </pic:spPr>
                </pic:pic>
              </a:graphicData>
            </a:graphic>
          </wp:inline>
        </w:drawing>
      </w:r>
    </w:p>
    <w:p w:rsidR="00F838C5" w:rsidRDefault="00F838C5" w:rsidP="00E023E5">
      <w:pPr>
        <w:rPr>
          <w:i/>
        </w:rPr>
      </w:pPr>
    </w:p>
    <w:p w:rsidR="00F838C5" w:rsidRPr="00E34675" w:rsidRDefault="00F838C5" w:rsidP="00E023E5">
      <w:pPr>
        <w:rPr>
          <w:i/>
        </w:rPr>
      </w:pPr>
      <w:r w:rsidRPr="00E34675">
        <w:rPr>
          <w:i/>
        </w:rPr>
        <w:t xml:space="preserve">Quality of translation </w:t>
      </w:r>
    </w:p>
    <w:p w:rsidR="00F838C5" w:rsidRPr="00E34675" w:rsidRDefault="00F838C5" w:rsidP="00E023E5">
      <w:pPr>
        <w:rPr>
          <w:b/>
          <w:szCs w:val="18"/>
        </w:rPr>
      </w:pPr>
    </w:p>
    <w:p w:rsidR="00F838C5" w:rsidRPr="00EE0539" w:rsidRDefault="00F838C5" w:rsidP="00F838C5">
      <w:pPr>
        <w:numPr>
          <w:ilvl w:val="0"/>
          <w:numId w:val="55"/>
        </w:numPr>
        <w:jc w:val="both"/>
      </w:pPr>
      <w:r w:rsidRPr="00EE0539">
        <w:t>Statistically calculated numbers of documents are selected at random from translations of abstracts and patentability reports prepared under the responsibility of the IB for quality control.  The evaluation determines whether a translation is “acceptable” or “not acceptable”.  This indicator aggregates the results of such quality control performed by the IB across all language combinations and document types.  Relationships with any agencies that consistently have less than 80 per</w:t>
      </w:r>
      <w:r>
        <w:t xml:space="preserve"> </w:t>
      </w:r>
      <w:r w:rsidRPr="00EE0539">
        <w:t xml:space="preserve">cent of their translations deemed “acceptable” are discontinued. </w:t>
      </w:r>
      <w:r>
        <w:t xml:space="preserve"> The share of 87.6 per cent acceptable obtained in 2015 was the highest that has ever been obtained and was a full 1.6 percentage points higher than the 2014 share. </w:t>
      </w:r>
    </w:p>
    <w:p w:rsidR="00F838C5" w:rsidRDefault="00F838C5" w:rsidP="00E023E5">
      <w:pPr>
        <w:jc w:val="center"/>
        <w:rPr>
          <w:highlight w:val="yellow"/>
        </w:rPr>
      </w:pPr>
    </w:p>
    <w:p w:rsidR="00F838C5" w:rsidRPr="000D2666" w:rsidRDefault="00F838C5" w:rsidP="00E023E5">
      <w:pPr>
        <w:keepNext/>
        <w:keepLines/>
        <w:jc w:val="center"/>
        <w:rPr>
          <w:b/>
          <w:sz w:val="18"/>
        </w:rPr>
      </w:pPr>
      <w:r w:rsidRPr="000D2666">
        <w:rPr>
          <w:b/>
          <w:sz w:val="18"/>
        </w:rPr>
        <w:lastRenderedPageBreak/>
        <w:t>Quality of PCT Translation</w:t>
      </w:r>
    </w:p>
    <w:p w:rsidR="00F838C5" w:rsidRDefault="00F838C5" w:rsidP="001363EE">
      <w:pPr>
        <w:keepNext/>
        <w:keepLines/>
      </w:pPr>
    </w:p>
    <w:p w:rsidR="00F838C5" w:rsidRPr="004005D3" w:rsidRDefault="00F838C5" w:rsidP="001363EE">
      <w:pPr>
        <w:keepNext/>
        <w:keepLines/>
      </w:pPr>
      <w:r>
        <w:rPr>
          <w:noProof/>
        </w:rPr>
        <w:drawing>
          <wp:inline distT="0" distB="0" distL="0" distR="0" wp14:anchorId="3D178EFC" wp14:editId="4BD53BA1">
            <wp:extent cx="5520298" cy="3116911"/>
            <wp:effectExtent l="0" t="0" r="4445" b="7620"/>
            <wp:docPr id="924" name="Picture 9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528644" cy="3121623"/>
                    </a:xfrm>
                    <a:prstGeom prst="rect">
                      <a:avLst/>
                    </a:prstGeom>
                    <a:noFill/>
                  </pic:spPr>
                </pic:pic>
              </a:graphicData>
            </a:graphic>
          </wp:inline>
        </w:drawing>
      </w:r>
    </w:p>
    <w:p w:rsidR="00F838C5" w:rsidRDefault="00F838C5" w:rsidP="00E023E5">
      <w:pPr>
        <w:rPr>
          <w:i/>
        </w:rPr>
      </w:pPr>
    </w:p>
    <w:p w:rsidR="00F838C5" w:rsidRPr="00EE0539" w:rsidRDefault="00F838C5" w:rsidP="00E023E5">
      <w:pPr>
        <w:keepNext/>
        <w:keepLines/>
        <w:rPr>
          <w:i/>
        </w:rPr>
      </w:pPr>
      <w:r w:rsidRPr="00EE0539">
        <w:rPr>
          <w:i/>
        </w:rPr>
        <w:t>Timeliness of report translation</w:t>
      </w:r>
    </w:p>
    <w:p w:rsidR="00F838C5" w:rsidRPr="00EE0539" w:rsidRDefault="00F838C5" w:rsidP="00E023E5"/>
    <w:p w:rsidR="00F838C5" w:rsidRPr="00EE0539" w:rsidRDefault="00F838C5" w:rsidP="00F838C5">
      <w:pPr>
        <w:numPr>
          <w:ilvl w:val="0"/>
          <w:numId w:val="55"/>
        </w:numPr>
        <w:jc w:val="both"/>
      </w:pPr>
      <w:r w:rsidRPr="00EE0539">
        <w:t xml:space="preserve">This indicator provides information on the timeliness with which patentability report translations are made available by the IB to applicants and Offices.  The share of patentability report translations delivered at 30 months from the priority date of the international application has steadily increased since 2010. </w:t>
      </w:r>
      <w:r>
        <w:t xml:space="preserve"> </w:t>
      </w:r>
      <w:r w:rsidRPr="00EE0539">
        <w:t>In 2014, 82.5</w:t>
      </w:r>
      <w:r>
        <w:t xml:space="preserve"> per cent</w:t>
      </w:r>
      <w:r w:rsidRPr="00EE0539">
        <w:t xml:space="preserve"> of patentability report translations were delivered at 30 months from the priority date.</w:t>
      </w:r>
      <w:r>
        <w:t xml:space="preserve">  In 2015, this improved to 90 per cent of patentability report translations being delivered at 30 months, with 99 per cent being delivered by 31 months. </w:t>
      </w:r>
    </w:p>
    <w:p w:rsidR="00F838C5" w:rsidRDefault="00F838C5" w:rsidP="00E023E5">
      <w:pPr>
        <w:ind w:left="142"/>
        <w:jc w:val="both"/>
      </w:pPr>
    </w:p>
    <w:p w:rsidR="00F838C5" w:rsidRPr="000D2666" w:rsidRDefault="00F838C5" w:rsidP="00E023E5">
      <w:pPr>
        <w:ind w:left="142"/>
        <w:jc w:val="center"/>
        <w:rPr>
          <w:b/>
          <w:sz w:val="18"/>
        </w:rPr>
      </w:pPr>
      <w:r w:rsidRPr="000D2666">
        <w:rPr>
          <w:b/>
          <w:sz w:val="18"/>
        </w:rPr>
        <w:t>Timeliness of Report Translation</w:t>
      </w:r>
    </w:p>
    <w:p w:rsidR="00F838C5" w:rsidRPr="004005D3" w:rsidRDefault="00F838C5" w:rsidP="00E023E5">
      <w:pPr>
        <w:pStyle w:val="BodyText2"/>
        <w:keepNext/>
        <w:keepLines/>
        <w:spacing w:after="0" w:line="240" w:lineRule="auto"/>
        <w:ind w:left="142"/>
        <w:jc w:val="both"/>
      </w:pPr>
      <w:r>
        <w:rPr>
          <w:noProof/>
        </w:rPr>
        <w:drawing>
          <wp:inline distT="0" distB="0" distL="0" distR="0" wp14:anchorId="4E5D6069" wp14:editId="6F487C93">
            <wp:extent cx="5487725" cy="2441051"/>
            <wp:effectExtent l="0" t="0" r="0" b="0"/>
            <wp:docPr id="925" name="Picture 9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5508134" cy="2450129"/>
                    </a:xfrm>
                    <a:prstGeom prst="rect">
                      <a:avLst/>
                    </a:prstGeom>
                    <a:noFill/>
                  </pic:spPr>
                </pic:pic>
              </a:graphicData>
            </a:graphic>
          </wp:inline>
        </w:drawing>
      </w:r>
    </w:p>
    <w:p w:rsidR="00F838C5" w:rsidRDefault="00F838C5" w:rsidP="00E023E5">
      <w:pPr>
        <w:rPr>
          <w:i/>
        </w:rPr>
      </w:pPr>
    </w:p>
    <w:p w:rsidR="00F838C5" w:rsidRPr="009915C4" w:rsidRDefault="00F838C5" w:rsidP="00E023E5">
      <w:pPr>
        <w:rPr>
          <w:i/>
        </w:rPr>
      </w:pPr>
      <w:r w:rsidRPr="00F6583F">
        <w:rPr>
          <w:i/>
        </w:rPr>
        <w:t xml:space="preserve">Quality of software </w:t>
      </w:r>
      <w:r w:rsidRPr="009915C4">
        <w:rPr>
          <w:i/>
        </w:rPr>
        <w:t>development</w:t>
      </w:r>
    </w:p>
    <w:p w:rsidR="00F838C5" w:rsidRPr="00EE0539" w:rsidRDefault="00F838C5" w:rsidP="00E023E5">
      <w:pPr>
        <w:jc w:val="both"/>
        <w:rPr>
          <w:b/>
        </w:rPr>
      </w:pPr>
    </w:p>
    <w:p w:rsidR="00F838C5" w:rsidRPr="00EE0539" w:rsidRDefault="00F838C5" w:rsidP="00F838C5">
      <w:pPr>
        <w:numPr>
          <w:ilvl w:val="0"/>
          <w:numId w:val="55"/>
        </w:numPr>
        <w:jc w:val="both"/>
      </w:pPr>
      <w:r w:rsidRPr="00EE0539">
        <w:rPr>
          <w:lang w:val="en-GB"/>
        </w:rPr>
        <w:t>The</w:t>
      </w:r>
      <w:r w:rsidRPr="00EE0539">
        <w:t xml:space="preserve"> quality of software development (QSD) indicator provides a measure of the quality of major software releases for eDossier and ePCT projects. </w:t>
      </w:r>
      <w:r w:rsidRPr="00F6583F">
        <w:t xml:space="preserve"> </w:t>
      </w:r>
      <w:r w:rsidRPr="00EE0539">
        <w:t xml:space="preserve">The QSD reflects the share of the time spent delivering new functionality in the release (i.e. work) out of the total time spent (i.e. work + rework). Rework is the time spent correcting defective work that was detected in the production environment.  </w:t>
      </w:r>
    </w:p>
    <w:p w:rsidR="00F838C5" w:rsidRPr="00EE0539" w:rsidRDefault="00F838C5" w:rsidP="001363EE">
      <w:pPr>
        <w:jc w:val="both"/>
      </w:pPr>
    </w:p>
    <w:p w:rsidR="00F838C5" w:rsidRPr="00EE0539" w:rsidRDefault="00F838C5" w:rsidP="00F838C5">
      <w:pPr>
        <w:numPr>
          <w:ilvl w:val="0"/>
          <w:numId w:val="55"/>
        </w:numPr>
        <w:jc w:val="both"/>
      </w:pPr>
      <w:r w:rsidRPr="00EE0539">
        <w:rPr>
          <w:lang w:val="en-GB"/>
        </w:rPr>
        <w:t>Under</w:t>
      </w:r>
      <w:r w:rsidRPr="00EE0539">
        <w:t xml:space="preserve"> this approach, development outputs that contain low levels of rework are deemed high quality as it reflects the extent of value added to the product through the delivery of new features. </w:t>
      </w:r>
    </w:p>
    <w:p w:rsidR="00F838C5" w:rsidRPr="00EE0539" w:rsidRDefault="00F838C5" w:rsidP="001363EE">
      <w:pPr>
        <w:jc w:val="both"/>
      </w:pPr>
    </w:p>
    <w:p w:rsidR="00F838C5" w:rsidRPr="00EE0539" w:rsidRDefault="00F838C5" w:rsidP="00F838C5">
      <w:pPr>
        <w:numPr>
          <w:ilvl w:val="0"/>
          <w:numId w:val="55"/>
        </w:numPr>
        <w:jc w:val="both"/>
      </w:pPr>
      <w:r w:rsidRPr="00EE0539">
        <w:rPr>
          <w:lang w:val="en-GB"/>
        </w:rPr>
        <w:lastRenderedPageBreak/>
        <w:t>The</w:t>
      </w:r>
      <w:r w:rsidRPr="00EE0539">
        <w:t xml:space="preserve"> QSD is defined as:</w:t>
      </w:r>
    </w:p>
    <w:p w:rsidR="00F838C5" w:rsidRDefault="00F838C5" w:rsidP="00E023E5">
      <w:pPr>
        <w:pStyle w:val="BodyText2"/>
        <w:spacing w:after="0" w:line="240" w:lineRule="auto"/>
        <w:jc w:val="both"/>
        <w:rPr>
          <w:rFonts w:cs="Arial"/>
          <w:szCs w:val="20"/>
        </w:rPr>
      </w:pPr>
    </w:p>
    <w:p w:rsidR="00F838C5" w:rsidRDefault="00F838C5" w:rsidP="00E023E5">
      <w:pPr>
        <w:pStyle w:val="BodyText2"/>
        <w:spacing w:after="0" w:line="240" w:lineRule="auto"/>
        <w:jc w:val="center"/>
        <w:rPr>
          <w:rFonts w:cs="Arial"/>
          <w:szCs w:val="20"/>
        </w:rPr>
      </w:pPr>
      <w:r>
        <w:rPr>
          <w:noProof/>
        </w:rPr>
        <w:drawing>
          <wp:inline distT="0" distB="0" distL="0" distR="0" wp14:anchorId="4AE00AD6" wp14:editId="100CA21D">
            <wp:extent cx="3267075" cy="352425"/>
            <wp:effectExtent l="0" t="0" r="0" b="0"/>
            <wp:docPr id="136" name="Pictur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3267075" cy="352425"/>
                    </a:xfrm>
                    <a:prstGeom prst="rect">
                      <a:avLst/>
                    </a:prstGeom>
                    <a:noFill/>
                    <a:ln>
                      <a:noFill/>
                    </a:ln>
                  </pic:spPr>
                </pic:pic>
              </a:graphicData>
            </a:graphic>
          </wp:inline>
        </w:drawing>
      </w:r>
    </w:p>
    <w:p w:rsidR="00F838C5" w:rsidRPr="00EE0539" w:rsidRDefault="00F838C5" w:rsidP="00E023E5">
      <w:pPr>
        <w:pStyle w:val="BodyText2"/>
        <w:spacing w:after="0" w:line="240" w:lineRule="auto"/>
        <w:jc w:val="both"/>
        <w:rPr>
          <w:rFonts w:cs="Arial"/>
          <w:szCs w:val="20"/>
        </w:rPr>
      </w:pPr>
    </w:p>
    <w:p w:rsidR="00F838C5" w:rsidRPr="00EE0539" w:rsidRDefault="00F838C5" w:rsidP="00F838C5">
      <w:pPr>
        <w:numPr>
          <w:ilvl w:val="0"/>
          <w:numId w:val="55"/>
        </w:numPr>
        <w:jc w:val="both"/>
      </w:pPr>
      <w:r w:rsidRPr="00EE0539">
        <w:t>In 2014, the quality of major releases, as defined by the QSD, was 94.</w:t>
      </w:r>
      <w:r>
        <w:t xml:space="preserve">5 per cent, </w:t>
      </w:r>
      <w:r w:rsidRPr="00EE0539">
        <w:t xml:space="preserve">nearly five percentage points higher than </w:t>
      </w:r>
      <w:r>
        <w:t>in</w:t>
      </w:r>
      <w:r w:rsidRPr="00EE0539">
        <w:t xml:space="preserve"> 2013.</w:t>
      </w:r>
      <w:r>
        <w:t xml:space="preserve">  The year 2015 saw a slight reduction to 91.9 per cent as compared to 2014.  Nevertheless, the performance targets were met in both years, as both improved on the baseline of 89.4 per cent.</w:t>
      </w:r>
    </w:p>
    <w:p w:rsidR="00F838C5" w:rsidRDefault="00F838C5" w:rsidP="00E023E5"/>
    <w:p w:rsidR="00F838C5" w:rsidRDefault="00F838C5" w:rsidP="00E023E5">
      <w:pPr>
        <w:jc w:val="center"/>
        <w:rPr>
          <w:b/>
        </w:rPr>
      </w:pPr>
    </w:p>
    <w:p w:rsidR="00F838C5" w:rsidRPr="000D2666" w:rsidRDefault="00F838C5" w:rsidP="00E023E5">
      <w:pPr>
        <w:keepNext/>
        <w:keepLines/>
        <w:jc w:val="center"/>
        <w:rPr>
          <w:b/>
          <w:sz w:val="18"/>
        </w:rPr>
      </w:pPr>
      <w:r w:rsidRPr="000D2666">
        <w:rPr>
          <w:b/>
          <w:sz w:val="18"/>
        </w:rPr>
        <w:t>Quality of Software Development</w:t>
      </w:r>
    </w:p>
    <w:p w:rsidR="00F838C5" w:rsidRDefault="00F838C5" w:rsidP="001363EE">
      <w:pPr>
        <w:keepNext/>
        <w:keepLines/>
        <w:jc w:val="center"/>
      </w:pPr>
      <w:r>
        <w:rPr>
          <w:noProof/>
        </w:rPr>
        <w:drawing>
          <wp:inline distT="0" distB="0" distL="0" distR="0" wp14:anchorId="4FB3FB5D" wp14:editId="46BF0DE7">
            <wp:extent cx="4866198" cy="3028056"/>
            <wp:effectExtent l="0" t="0" r="0" b="1270"/>
            <wp:docPr id="926" name="Picture 9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4871327" cy="3031247"/>
                    </a:xfrm>
                    <a:prstGeom prst="rect">
                      <a:avLst/>
                    </a:prstGeom>
                    <a:noFill/>
                  </pic:spPr>
                </pic:pic>
              </a:graphicData>
            </a:graphic>
          </wp:inline>
        </w:drawing>
      </w:r>
    </w:p>
    <w:p w:rsidR="00F838C5" w:rsidRDefault="00F838C5" w:rsidP="00E023E5">
      <w:pPr>
        <w:rPr>
          <w:i/>
        </w:rPr>
      </w:pPr>
    </w:p>
    <w:p w:rsidR="00F838C5" w:rsidRPr="004853B3" w:rsidRDefault="00F838C5" w:rsidP="00E023E5">
      <w:pPr>
        <w:rPr>
          <w:i/>
        </w:rPr>
      </w:pPr>
      <w:r w:rsidRPr="004853B3">
        <w:rPr>
          <w:i/>
        </w:rPr>
        <w:t>Information systems service levels</w:t>
      </w:r>
    </w:p>
    <w:p w:rsidR="00F838C5" w:rsidRDefault="00F838C5" w:rsidP="00E023E5">
      <w:pPr>
        <w:pStyle w:val="BodyText2"/>
        <w:spacing w:after="0" w:line="240" w:lineRule="auto"/>
        <w:jc w:val="both"/>
        <w:rPr>
          <w:rFonts w:cs="Arial"/>
        </w:rPr>
      </w:pPr>
    </w:p>
    <w:p w:rsidR="00F838C5" w:rsidRPr="00EE0539" w:rsidRDefault="00F838C5" w:rsidP="00F838C5">
      <w:pPr>
        <w:numPr>
          <w:ilvl w:val="0"/>
          <w:numId w:val="55"/>
        </w:numPr>
        <w:rPr>
          <w:color w:val="000000"/>
          <w:lang w:val="en-GB" w:eastAsia="en-GB"/>
        </w:rPr>
      </w:pPr>
      <w:r w:rsidRPr="00EE0539">
        <w:rPr>
          <w:lang w:val="en-GB"/>
        </w:rPr>
        <w:t>The</w:t>
      </w:r>
      <w:r w:rsidRPr="00EE0539">
        <w:t xml:space="preserve"> performance indicator entitled information systems service levels (ISSL) </w:t>
      </w:r>
      <w:r w:rsidRPr="00EE0539">
        <w:rPr>
          <w:color w:val="000000"/>
          <w:lang w:val="en-GB" w:eastAsia="en-GB"/>
        </w:rPr>
        <w:t>reflects the performance of the service provided by the PCT information systems service to users, based on its ability to meet agreed targets.</w:t>
      </w:r>
    </w:p>
    <w:p w:rsidR="00F838C5" w:rsidRPr="00EE0539" w:rsidRDefault="00F838C5" w:rsidP="00E023E5">
      <w:pPr>
        <w:pStyle w:val="BodyText2"/>
        <w:spacing w:after="0" w:line="240" w:lineRule="auto"/>
        <w:jc w:val="both"/>
        <w:rPr>
          <w:rFonts w:cs="Arial"/>
          <w:szCs w:val="20"/>
        </w:rPr>
      </w:pPr>
    </w:p>
    <w:p w:rsidR="00F838C5" w:rsidRPr="00EE0539" w:rsidRDefault="00F838C5" w:rsidP="00F838C5">
      <w:pPr>
        <w:numPr>
          <w:ilvl w:val="0"/>
          <w:numId w:val="55"/>
        </w:numPr>
        <w:rPr>
          <w:color w:val="000000"/>
          <w:lang w:val="en-GB" w:eastAsia="en-GB"/>
        </w:rPr>
      </w:pPr>
      <w:r w:rsidRPr="00EE0539">
        <w:rPr>
          <w:lang w:val="en-GB"/>
        </w:rPr>
        <w:t>This</w:t>
      </w:r>
      <w:r w:rsidRPr="00EE0539">
        <w:rPr>
          <w:color w:val="000000"/>
          <w:lang w:val="en-GB" w:eastAsia="en-GB"/>
        </w:rPr>
        <w:t xml:space="preserve"> composite indicator is calculated using the weighted average of five target-based performance indicators</w:t>
      </w:r>
      <w:r w:rsidRPr="00EE0539">
        <w:rPr>
          <w:rStyle w:val="FootnoteReference"/>
        </w:rPr>
        <w:footnoteReference w:id="21"/>
      </w:r>
      <w:r w:rsidRPr="00EE0539">
        <w:rPr>
          <w:color w:val="000000"/>
          <w:lang w:val="en-GB" w:eastAsia="en-GB"/>
        </w:rPr>
        <w:t xml:space="preserve">.  Each indicator is expressed as the percentage of the target actually attained.  </w:t>
      </w:r>
    </w:p>
    <w:p w:rsidR="00F838C5" w:rsidRPr="00EE0539" w:rsidRDefault="00F838C5" w:rsidP="00E023E5">
      <w:pPr>
        <w:autoSpaceDE w:val="0"/>
        <w:autoSpaceDN w:val="0"/>
        <w:adjustRightInd w:val="0"/>
        <w:jc w:val="both"/>
        <w:rPr>
          <w:color w:val="000000"/>
          <w:lang w:val="en-GB" w:eastAsia="en-GB"/>
        </w:rPr>
      </w:pPr>
      <w:r w:rsidRPr="00EE0539">
        <w:rPr>
          <w:color w:val="000000"/>
          <w:lang w:val="en-GB" w:eastAsia="en-GB"/>
        </w:rPr>
        <w:t xml:space="preserve"> </w:t>
      </w:r>
    </w:p>
    <w:p w:rsidR="00F838C5" w:rsidRPr="00EE0539" w:rsidRDefault="00F838C5" w:rsidP="00F838C5">
      <w:pPr>
        <w:numPr>
          <w:ilvl w:val="0"/>
          <w:numId w:val="55"/>
        </w:numPr>
      </w:pPr>
      <w:r w:rsidRPr="00EE0539">
        <w:t xml:space="preserve">In 2014, </w:t>
      </w:r>
      <w:r>
        <w:t xml:space="preserve">the </w:t>
      </w:r>
      <w:r w:rsidRPr="00EE0539">
        <w:t>overall service level was 95.</w:t>
      </w:r>
      <w:r>
        <w:t>1 per cent</w:t>
      </w:r>
      <w:r w:rsidRPr="00EE0539">
        <w:t xml:space="preserve"> towards meeting the target performance levels.</w:t>
      </w:r>
      <w:r>
        <w:t xml:space="preserve"> The year </w:t>
      </w:r>
      <w:r w:rsidRPr="00844F24">
        <w:t xml:space="preserve">2015 </w:t>
      </w:r>
      <w:r>
        <w:t xml:space="preserve">also </w:t>
      </w:r>
      <w:r w:rsidRPr="00844F24">
        <w:t>saw improvement</w:t>
      </w:r>
      <w:r>
        <w:t xml:space="preserve">, with the the overall service level reaching </w:t>
      </w:r>
      <w:r w:rsidRPr="00844F24">
        <w:t>96.5 per</w:t>
      </w:r>
      <w:r>
        <w:t xml:space="preserve"> </w:t>
      </w:r>
      <w:r w:rsidRPr="00844F24">
        <w:t xml:space="preserve">cent, </w:t>
      </w:r>
      <w:r>
        <w:t xml:space="preserve">resulting in </w:t>
      </w:r>
      <w:r w:rsidRPr="00844F24">
        <w:t xml:space="preserve"> the </w:t>
      </w:r>
      <w:r>
        <w:t xml:space="preserve">biennial </w:t>
      </w:r>
      <w:r w:rsidRPr="00844F24">
        <w:t xml:space="preserve">target </w:t>
      </w:r>
      <w:r>
        <w:t xml:space="preserve">of exceeding the 2013 baseline of 93 per cent being </w:t>
      </w:r>
      <w:r w:rsidRPr="00844F24">
        <w:t>met in both years.</w:t>
      </w:r>
      <w:r w:rsidRPr="00EE0539">
        <w:t xml:space="preserve"> </w:t>
      </w:r>
    </w:p>
    <w:p w:rsidR="00F838C5" w:rsidRDefault="00F838C5" w:rsidP="00E023E5">
      <w:pPr>
        <w:autoSpaceDE w:val="0"/>
        <w:autoSpaceDN w:val="0"/>
        <w:adjustRightInd w:val="0"/>
        <w:jc w:val="both"/>
      </w:pPr>
    </w:p>
    <w:p w:rsidR="00F838C5" w:rsidRDefault="00F838C5" w:rsidP="00E023E5">
      <w:pPr>
        <w:jc w:val="center"/>
        <w:rPr>
          <w:b/>
        </w:rPr>
      </w:pPr>
    </w:p>
    <w:p w:rsidR="00F838C5" w:rsidRPr="000E0146" w:rsidRDefault="00F838C5" w:rsidP="001363EE">
      <w:pPr>
        <w:keepNext/>
        <w:keepLines/>
        <w:jc w:val="center"/>
        <w:rPr>
          <w:b/>
        </w:rPr>
      </w:pPr>
      <w:r w:rsidRPr="000E0146">
        <w:rPr>
          <w:b/>
        </w:rPr>
        <w:lastRenderedPageBreak/>
        <w:t xml:space="preserve">Information </w:t>
      </w:r>
      <w:r>
        <w:rPr>
          <w:b/>
        </w:rPr>
        <w:t>S</w:t>
      </w:r>
      <w:r w:rsidRPr="000E0146">
        <w:rPr>
          <w:b/>
        </w:rPr>
        <w:t xml:space="preserve">ystems </w:t>
      </w:r>
      <w:r>
        <w:rPr>
          <w:b/>
        </w:rPr>
        <w:t>S</w:t>
      </w:r>
      <w:r w:rsidRPr="000E0146">
        <w:rPr>
          <w:b/>
        </w:rPr>
        <w:t xml:space="preserve">ervice </w:t>
      </w:r>
      <w:r>
        <w:rPr>
          <w:b/>
        </w:rPr>
        <w:t>Le</w:t>
      </w:r>
      <w:r w:rsidRPr="000E0146">
        <w:rPr>
          <w:b/>
        </w:rPr>
        <w:t>vels</w:t>
      </w:r>
    </w:p>
    <w:p w:rsidR="00F838C5" w:rsidRDefault="00F838C5" w:rsidP="001363EE">
      <w:pPr>
        <w:keepNext/>
        <w:keepLines/>
        <w:rPr>
          <w:b/>
          <w:szCs w:val="16"/>
          <w:highlight w:val="yellow"/>
        </w:rPr>
      </w:pPr>
    </w:p>
    <w:tbl>
      <w:tblPr>
        <w:tblW w:w="9080" w:type="dxa"/>
        <w:tblInd w:w="103" w:type="dxa"/>
        <w:tblLook w:val="04A0" w:firstRow="1" w:lastRow="0" w:firstColumn="1" w:lastColumn="0" w:noHBand="0" w:noVBand="1"/>
      </w:tblPr>
      <w:tblGrid>
        <w:gridCol w:w="400"/>
        <w:gridCol w:w="2920"/>
        <w:gridCol w:w="1707"/>
        <w:gridCol w:w="1773"/>
        <w:gridCol w:w="760"/>
        <w:gridCol w:w="781"/>
        <w:gridCol w:w="760"/>
      </w:tblGrid>
      <w:tr w:rsidR="00F838C5" w:rsidRPr="00174057" w:rsidTr="001363EE">
        <w:trPr>
          <w:trHeight w:val="255"/>
        </w:trPr>
        <w:tc>
          <w:tcPr>
            <w:tcW w:w="400" w:type="dxa"/>
            <w:vMerge w:val="restart"/>
            <w:tcBorders>
              <w:top w:val="single" w:sz="4" w:space="0" w:color="auto"/>
              <w:left w:val="single" w:sz="4" w:space="0" w:color="auto"/>
              <w:bottom w:val="nil"/>
              <w:right w:val="nil"/>
            </w:tcBorders>
            <w:shd w:val="clear" w:color="000000" w:fill="FABF8F"/>
            <w:vAlign w:val="center"/>
            <w:hideMark/>
          </w:tcPr>
          <w:p w:rsidR="00F838C5" w:rsidRPr="00592020" w:rsidRDefault="00F838C5" w:rsidP="001363EE">
            <w:pPr>
              <w:keepNext/>
              <w:keepLines/>
              <w:jc w:val="center"/>
              <w:rPr>
                <w:rFonts w:cs="Arial"/>
                <w:b/>
                <w:bCs/>
                <w:color w:val="000000"/>
                <w:sz w:val="18"/>
                <w:szCs w:val="20"/>
              </w:rPr>
            </w:pPr>
            <w:r w:rsidRPr="00592020">
              <w:rPr>
                <w:rFonts w:cs="Arial"/>
                <w:b/>
                <w:bCs/>
                <w:color w:val="000000"/>
                <w:sz w:val="18"/>
                <w:szCs w:val="20"/>
              </w:rPr>
              <w:t>Id</w:t>
            </w:r>
          </w:p>
        </w:tc>
        <w:tc>
          <w:tcPr>
            <w:tcW w:w="2920" w:type="dxa"/>
            <w:tcBorders>
              <w:top w:val="single" w:sz="4" w:space="0" w:color="auto"/>
              <w:left w:val="single" w:sz="4" w:space="0" w:color="auto"/>
              <w:bottom w:val="nil"/>
              <w:right w:val="single" w:sz="4" w:space="0" w:color="auto"/>
            </w:tcBorders>
            <w:shd w:val="clear" w:color="000000" w:fill="FABF8F"/>
            <w:vAlign w:val="center"/>
            <w:hideMark/>
          </w:tcPr>
          <w:p w:rsidR="00F838C5" w:rsidRPr="00592020" w:rsidRDefault="00F838C5" w:rsidP="001363EE">
            <w:pPr>
              <w:keepNext/>
              <w:keepLines/>
              <w:jc w:val="center"/>
              <w:rPr>
                <w:rFonts w:cs="Arial"/>
                <w:b/>
                <w:bCs/>
                <w:color w:val="000000"/>
                <w:sz w:val="18"/>
                <w:szCs w:val="20"/>
              </w:rPr>
            </w:pPr>
            <w:r w:rsidRPr="00592020">
              <w:rPr>
                <w:rFonts w:cs="Arial"/>
                <w:b/>
                <w:bCs/>
                <w:color w:val="000000"/>
                <w:sz w:val="18"/>
                <w:szCs w:val="20"/>
              </w:rPr>
              <w:t xml:space="preserve">Performance Indicator </w:t>
            </w:r>
          </w:p>
        </w:tc>
        <w:tc>
          <w:tcPr>
            <w:tcW w:w="1707" w:type="dxa"/>
            <w:vMerge w:val="restart"/>
            <w:tcBorders>
              <w:top w:val="single" w:sz="4" w:space="0" w:color="auto"/>
              <w:left w:val="single" w:sz="4" w:space="0" w:color="auto"/>
              <w:bottom w:val="single" w:sz="4" w:space="0" w:color="000000"/>
              <w:right w:val="single" w:sz="4" w:space="0" w:color="auto"/>
            </w:tcBorders>
            <w:shd w:val="clear" w:color="000000" w:fill="FABF8F"/>
            <w:vAlign w:val="center"/>
            <w:hideMark/>
          </w:tcPr>
          <w:p w:rsidR="00F838C5" w:rsidRPr="00592020" w:rsidRDefault="00F838C5" w:rsidP="001363EE">
            <w:pPr>
              <w:keepNext/>
              <w:keepLines/>
              <w:jc w:val="center"/>
              <w:rPr>
                <w:rFonts w:cs="Arial"/>
                <w:b/>
                <w:bCs/>
                <w:color w:val="000000"/>
                <w:sz w:val="18"/>
                <w:szCs w:val="20"/>
              </w:rPr>
            </w:pPr>
            <w:r w:rsidRPr="00592020">
              <w:rPr>
                <w:rFonts w:cs="Arial"/>
                <w:b/>
                <w:bCs/>
                <w:color w:val="000000"/>
                <w:sz w:val="18"/>
                <w:szCs w:val="20"/>
              </w:rPr>
              <w:t>Target</w:t>
            </w:r>
          </w:p>
        </w:tc>
        <w:tc>
          <w:tcPr>
            <w:tcW w:w="1773" w:type="dxa"/>
            <w:vMerge w:val="restart"/>
            <w:tcBorders>
              <w:top w:val="single" w:sz="4" w:space="0" w:color="auto"/>
              <w:left w:val="single" w:sz="4" w:space="0" w:color="auto"/>
              <w:bottom w:val="single" w:sz="4" w:space="0" w:color="000000"/>
              <w:right w:val="single" w:sz="4" w:space="0" w:color="auto"/>
            </w:tcBorders>
            <w:shd w:val="clear" w:color="000000" w:fill="FABF8F"/>
            <w:vAlign w:val="center"/>
            <w:hideMark/>
          </w:tcPr>
          <w:p w:rsidR="00F838C5" w:rsidRPr="00592020" w:rsidRDefault="00F838C5" w:rsidP="001363EE">
            <w:pPr>
              <w:keepNext/>
              <w:keepLines/>
              <w:jc w:val="center"/>
              <w:rPr>
                <w:rFonts w:cs="Arial"/>
                <w:b/>
                <w:bCs/>
                <w:color w:val="000000"/>
                <w:sz w:val="18"/>
                <w:szCs w:val="20"/>
              </w:rPr>
            </w:pPr>
            <w:r w:rsidRPr="00592020">
              <w:rPr>
                <w:rFonts w:cs="Arial"/>
                <w:b/>
                <w:bCs/>
                <w:color w:val="000000"/>
                <w:sz w:val="18"/>
                <w:szCs w:val="20"/>
              </w:rPr>
              <w:t>Conditions</w:t>
            </w:r>
          </w:p>
        </w:tc>
        <w:tc>
          <w:tcPr>
            <w:tcW w:w="2280" w:type="dxa"/>
            <w:gridSpan w:val="3"/>
            <w:tcBorders>
              <w:top w:val="single" w:sz="4" w:space="0" w:color="auto"/>
              <w:left w:val="nil"/>
              <w:bottom w:val="single" w:sz="4" w:space="0" w:color="auto"/>
              <w:right w:val="single" w:sz="4" w:space="0" w:color="000000"/>
            </w:tcBorders>
            <w:shd w:val="clear" w:color="000000" w:fill="FABF8F"/>
            <w:vAlign w:val="center"/>
            <w:hideMark/>
          </w:tcPr>
          <w:p w:rsidR="00F838C5" w:rsidRPr="00592020" w:rsidRDefault="00F838C5" w:rsidP="001363EE">
            <w:pPr>
              <w:keepNext/>
              <w:keepLines/>
              <w:jc w:val="center"/>
              <w:rPr>
                <w:rFonts w:cs="Arial"/>
                <w:b/>
                <w:bCs/>
                <w:sz w:val="18"/>
                <w:szCs w:val="20"/>
              </w:rPr>
            </w:pPr>
            <w:r w:rsidRPr="00592020">
              <w:rPr>
                <w:rFonts w:cs="Arial"/>
                <w:b/>
                <w:bCs/>
                <w:sz w:val="18"/>
                <w:szCs w:val="20"/>
              </w:rPr>
              <w:t>Results</w:t>
            </w:r>
          </w:p>
        </w:tc>
      </w:tr>
      <w:tr w:rsidR="00F838C5" w:rsidRPr="00174057" w:rsidTr="001363EE">
        <w:trPr>
          <w:trHeight w:val="255"/>
        </w:trPr>
        <w:tc>
          <w:tcPr>
            <w:tcW w:w="400" w:type="dxa"/>
            <w:vMerge/>
            <w:tcBorders>
              <w:top w:val="single" w:sz="4" w:space="0" w:color="auto"/>
              <w:left w:val="single" w:sz="4" w:space="0" w:color="auto"/>
              <w:bottom w:val="nil"/>
              <w:right w:val="nil"/>
            </w:tcBorders>
            <w:vAlign w:val="center"/>
            <w:hideMark/>
          </w:tcPr>
          <w:p w:rsidR="00F838C5" w:rsidRPr="00592020" w:rsidRDefault="00F838C5" w:rsidP="001363EE">
            <w:pPr>
              <w:keepNext/>
              <w:keepLines/>
              <w:rPr>
                <w:rFonts w:cs="Arial"/>
                <w:b/>
                <w:bCs/>
                <w:color w:val="000000"/>
                <w:sz w:val="18"/>
                <w:szCs w:val="20"/>
              </w:rPr>
            </w:pPr>
          </w:p>
        </w:tc>
        <w:tc>
          <w:tcPr>
            <w:tcW w:w="2920" w:type="dxa"/>
            <w:tcBorders>
              <w:top w:val="nil"/>
              <w:left w:val="single" w:sz="4" w:space="0" w:color="auto"/>
              <w:bottom w:val="single" w:sz="4" w:space="0" w:color="auto"/>
              <w:right w:val="single" w:sz="4" w:space="0" w:color="auto"/>
            </w:tcBorders>
            <w:shd w:val="clear" w:color="000000" w:fill="FABF8F"/>
            <w:vAlign w:val="center"/>
            <w:hideMark/>
          </w:tcPr>
          <w:p w:rsidR="00F838C5" w:rsidRPr="00592020" w:rsidRDefault="00F838C5" w:rsidP="001363EE">
            <w:pPr>
              <w:keepNext/>
              <w:keepLines/>
              <w:jc w:val="center"/>
              <w:rPr>
                <w:rFonts w:cs="Arial"/>
                <w:b/>
                <w:bCs/>
                <w:i/>
                <w:iCs/>
                <w:color w:val="000000"/>
                <w:sz w:val="18"/>
                <w:szCs w:val="20"/>
              </w:rPr>
            </w:pPr>
            <w:r w:rsidRPr="00592020">
              <w:rPr>
                <w:rFonts w:cs="Arial"/>
                <w:b/>
                <w:bCs/>
                <w:i/>
                <w:iCs/>
                <w:color w:val="000000"/>
                <w:sz w:val="18"/>
                <w:szCs w:val="20"/>
              </w:rPr>
              <w:t>Short description</w:t>
            </w:r>
          </w:p>
        </w:tc>
        <w:tc>
          <w:tcPr>
            <w:tcW w:w="1707" w:type="dxa"/>
            <w:vMerge/>
            <w:tcBorders>
              <w:top w:val="single" w:sz="4" w:space="0" w:color="auto"/>
              <w:left w:val="single" w:sz="4" w:space="0" w:color="auto"/>
              <w:bottom w:val="single" w:sz="4" w:space="0" w:color="000000"/>
              <w:right w:val="single" w:sz="4" w:space="0" w:color="auto"/>
            </w:tcBorders>
            <w:vAlign w:val="center"/>
            <w:hideMark/>
          </w:tcPr>
          <w:p w:rsidR="00F838C5" w:rsidRPr="00592020" w:rsidRDefault="00F838C5" w:rsidP="001363EE">
            <w:pPr>
              <w:keepNext/>
              <w:keepLines/>
              <w:rPr>
                <w:rFonts w:cs="Arial"/>
                <w:b/>
                <w:bCs/>
                <w:color w:val="000000"/>
                <w:sz w:val="18"/>
                <w:szCs w:val="20"/>
              </w:rPr>
            </w:pPr>
          </w:p>
        </w:tc>
        <w:tc>
          <w:tcPr>
            <w:tcW w:w="1773" w:type="dxa"/>
            <w:vMerge/>
            <w:tcBorders>
              <w:top w:val="single" w:sz="4" w:space="0" w:color="auto"/>
              <w:left w:val="single" w:sz="4" w:space="0" w:color="auto"/>
              <w:bottom w:val="single" w:sz="4" w:space="0" w:color="000000"/>
              <w:right w:val="single" w:sz="4" w:space="0" w:color="auto"/>
            </w:tcBorders>
            <w:vAlign w:val="center"/>
            <w:hideMark/>
          </w:tcPr>
          <w:p w:rsidR="00F838C5" w:rsidRPr="00592020" w:rsidRDefault="00F838C5" w:rsidP="001363EE">
            <w:pPr>
              <w:keepNext/>
              <w:keepLines/>
              <w:rPr>
                <w:rFonts w:cs="Arial"/>
                <w:b/>
                <w:bCs/>
                <w:color w:val="000000"/>
                <w:sz w:val="18"/>
                <w:szCs w:val="20"/>
              </w:rPr>
            </w:pPr>
          </w:p>
        </w:tc>
        <w:tc>
          <w:tcPr>
            <w:tcW w:w="760" w:type="dxa"/>
            <w:tcBorders>
              <w:top w:val="nil"/>
              <w:left w:val="nil"/>
              <w:bottom w:val="nil"/>
              <w:right w:val="nil"/>
            </w:tcBorders>
            <w:shd w:val="clear" w:color="000000" w:fill="FABF8F"/>
            <w:vAlign w:val="center"/>
            <w:hideMark/>
          </w:tcPr>
          <w:p w:rsidR="00F838C5" w:rsidRPr="00592020" w:rsidRDefault="00F838C5" w:rsidP="001363EE">
            <w:pPr>
              <w:keepNext/>
              <w:keepLines/>
              <w:jc w:val="center"/>
              <w:rPr>
                <w:rFonts w:cs="Arial"/>
                <w:b/>
                <w:bCs/>
                <w:sz w:val="18"/>
                <w:szCs w:val="20"/>
              </w:rPr>
            </w:pPr>
            <w:r w:rsidRPr="00592020">
              <w:rPr>
                <w:rFonts w:cs="Arial"/>
                <w:b/>
                <w:bCs/>
                <w:sz w:val="18"/>
                <w:szCs w:val="20"/>
              </w:rPr>
              <w:t>2013</w:t>
            </w:r>
          </w:p>
        </w:tc>
        <w:tc>
          <w:tcPr>
            <w:tcW w:w="760" w:type="dxa"/>
            <w:tcBorders>
              <w:top w:val="nil"/>
              <w:left w:val="single" w:sz="4" w:space="0" w:color="auto"/>
              <w:bottom w:val="single" w:sz="4" w:space="0" w:color="auto"/>
              <w:right w:val="single" w:sz="4" w:space="0" w:color="auto"/>
            </w:tcBorders>
            <w:shd w:val="clear" w:color="000000" w:fill="FABF8F"/>
            <w:vAlign w:val="center"/>
            <w:hideMark/>
          </w:tcPr>
          <w:p w:rsidR="00F838C5" w:rsidRPr="00592020" w:rsidRDefault="00F838C5" w:rsidP="001363EE">
            <w:pPr>
              <w:keepNext/>
              <w:keepLines/>
              <w:jc w:val="center"/>
              <w:rPr>
                <w:rFonts w:cs="Arial"/>
                <w:b/>
                <w:bCs/>
                <w:sz w:val="18"/>
                <w:szCs w:val="20"/>
              </w:rPr>
            </w:pPr>
            <w:r w:rsidRPr="00592020">
              <w:rPr>
                <w:rFonts w:cs="Arial"/>
                <w:b/>
                <w:bCs/>
                <w:sz w:val="18"/>
                <w:szCs w:val="20"/>
              </w:rPr>
              <w:t>2014</w:t>
            </w:r>
          </w:p>
        </w:tc>
        <w:tc>
          <w:tcPr>
            <w:tcW w:w="760" w:type="dxa"/>
            <w:tcBorders>
              <w:top w:val="nil"/>
              <w:left w:val="nil"/>
              <w:bottom w:val="nil"/>
              <w:right w:val="single" w:sz="4" w:space="0" w:color="auto"/>
            </w:tcBorders>
            <w:shd w:val="clear" w:color="000000" w:fill="FABF8F"/>
            <w:vAlign w:val="center"/>
            <w:hideMark/>
          </w:tcPr>
          <w:p w:rsidR="00F838C5" w:rsidRPr="00174057" w:rsidRDefault="00F838C5" w:rsidP="001363EE">
            <w:pPr>
              <w:keepNext/>
              <w:keepLines/>
              <w:jc w:val="center"/>
              <w:rPr>
                <w:rFonts w:cs="Arial"/>
                <w:b/>
                <w:bCs/>
                <w:szCs w:val="20"/>
              </w:rPr>
            </w:pPr>
            <w:r w:rsidRPr="00174057">
              <w:rPr>
                <w:rFonts w:cs="Arial"/>
                <w:b/>
                <w:bCs/>
                <w:szCs w:val="20"/>
              </w:rPr>
              <w:t>2015</w:t>
            </w:r>
          </w:p>
        </w:tc>
      </w:tr>
      <w:tr w:rsidR="00F838C5" w:rsidRPr="00174057" w:rsidTr="001363EE">
        <w:trPr>
          <w:trHeight w:val="255"/>
        </w:trPr>
        <w:tc>
          <w:tcPr>
            <w:tcW w:w="40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838C5" w:rsidRPr="00174057" w:rsidRDefault="00F838C5" w:rsidP="001363EE">
            <w:pPr>
              <w:keepNext/>
              <w:keepLines/>
              <w:jc w:val="center"/>
              <w:rPr>
                <w:rFonts w:cs="Arial"/>
                <w:sz w:val="16"/>
                <w:szCs w:val="16"/>
              </w:rPr>
            </w:pPr>
            <w:r w:rsidRPr="00174057">
              <w:rPr>
                <w:rFonts w:cs="Arial"/>
                <w:sz w:val="16"/>
                <w:szCs w:val="16"/>
              </w:rPr>
              <w:t>1</w:t>
            </w:r>
          </w:p>
        </w:tc>
        <w:tc>
          <w:tcPr>
            <w:tcW w:w="2920" w:type="dxa"/>
            <w:tcBorders>
              <w:top w:val="nil"/>
              <w:left w:val="nil"/>
              <w:bottom w:val="nil"/>
              <w:right w:val="single" w:sz="4" w:space="0" w:color="auto"/>
            </w:tcBorders>
            <w:shd w:val="clear" w:color="auto" w:fill="auto"/>
            <w:vAlign w:val="center"/>
            <w:hideMark/>
          </w:tcPr>
          <w:p w:rsidR="00F838C5" w:rsidRPr="00174057" w:rsidRDefault="00F838C5" w:rsidP="001363EE">
            <w:pPr>
              <w:keepNext/>
              <w:keepLines/>
              <w:rPr>
                <w:rFonts w:cs="Arial"/>
                <w:sz w:val="16"/>
                <w:szCs w:val="16"/>
              </w:rPr>
            </w:pPr>
            <w:r w:rsidRPr="00174057">
              <w:rPr>
                <w:rFonts w:cs="Arial"/>
                <w:sz w:val="16"/>
                <w:szCs w:val="16"/>
              </w:rPr>
              <w:t>Incident resolution time</w:t>
            </w:r>
          </w:p>
        </w:tc>
        <w:tc>
          <w:tcPr>
            <w:tcW w:w="1707" w:type="dxa"/>
            <w:tcBorders>
              <w:top w:val="nil"/>
              <w:left w:val="nil"/>
              <w:bottom w:val="nil"/>
              <w:right w:val="single" w:sz="4" w:space="0" w:color="auto"/>
            </w:tcBorders>
            <w:shd w:val="clear" w:color="auto" w:fill="auto"/>
            <w:vAlign w:val="center"/>
            <w:hideMark/>
          </w:tcPr>
          <w:p w:rsidR="00F838C5" w:rsidRPr="00174057" w:rsidRDefault="00F838C5" w:rsidP="001363EE">
            <w:pPr>
              <w:keepNext/>
              <w:keepLines/>
              <w:rPr>
                <w:rFonts w:cs="Arial"/>
                <w:color w:val="000000"/>
                <w:sz w:val="16"/>
                <w:szCs w:val="16"/>
              </w:rPr>
            </w:pPr>
            <w:r w:rsidRPr="00174057">
              <w:rPr>
                <w:rFonts w:cs="Arial"/>
                <w:color w:val="000000"/>
                <w:sz w:val="16"/>
                <w:szCs w:val="16"/>
              </w:rPr>
              <w:t>Severity 1:</w:t>
            </w:r>
            <w:r>
              <w:rPr>
                <w:rFonts w:cs="Arial"/>
                <w:color w:val="000000"/>
                <w:sz w:val="16"/>
                <w:szCs w:val="16"/>
              </w:rPr>
              <w:t xml:space="preserve"> </w:t>
            </w:r>
            <w:r w:rsidRPr="00174057">
              <w:rPr>
                <w:rFonts w:cs="Arial"/>
                <w:color w:val="000000"/>
                <w:sz w:val="16"/>
                <w:szCs w:val="16"/>
              </w:rPr>
              <w:t xml:space="preserve"> 4 hours</w:t>
            </w:r>
          </w:p>
        </w:tc>
        <w:tc>
          <w:tcPr>
            <w:tcW w:w="1773" w:type="dxa"/>
            <w:vMerge w:val="restart"/>
            <w:tcBorders>
              <w:top w:val="nil"/>
              <w:left w:val="single" w:sz="4" w:space="0" w:color="auto"/>
              <w:bottom w:val="single" w:sz="4" w:space="0" w:color="auto"/>
              <w:right w:val="single" w:sz="4" w:space="0" w:color="auto"/>
            </w:tcBorders>
            <w:shd w:val="clear" w:color="auto" w:fill="auto"/>
            <w:vAlign w:val="center"/>
            <w:hideMark/>
          </w:tcPr>
          <w:p w:rsidR="00F838C5" w:rsidRPr="00174057" w:rsidRDefault="00F838C5" w:rsidP="001363EE">
            <w:pPr>
              <w:keepNext/>
              <w:keepLines/>
              <w:rPr>
                <w:rFonts w:cs="Arial"/>
                <w:color w:val="000000"/>
                <w:sz w:val="16"/>
                <w:szCs w:val="16"/>
              </w:rPr>
            </w:pPr>
            <w:r w:rsidRPr="00174057">
              <w:rPr>
                <w:rFonts w:cs="Arial"/>
                <w:color w:val="000000"/>
                <w:sz w:val="16"/>
                <w:szCs w:val="16"/>
              </w:rPr>
              <w:t>Production and Support tickets resolved by the support team</w:t>
            </w:r>
          </w:p>
        </w:tc>
        <w:tc>
          <w:tcPr>
            <w:tcW w:w="76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838C5" w:rsidRPr="00174057" w:rsidRDefault="00F838C5" w:rsidP="001363EE">
            <w:pPr>
              <w:keepNext/>
              <w:keepLines/>
              <w:jc w:val="center"/>
              <w:rPr>
                <w:rFonts w:cs="Arial"/>
                <w:sz w:val="16"/>
                <w:szCs w:val="16"/>
              </w:rPr>
            </w:pPr>
            <w:r w:rsidRPr="00174057">
              <w:rPr>
                <w:rFonts w:cs="Arial"/>
                <w:sz w:val="16"/>
                <w:szCs w:val="16"/>
              </w:rPr>
              <w:t>85.5%</w:t>
            </w:r>
          </w:p>
        </w:tc>
        <w:tc>
          <w:tcPr>
            <w:tcW w:w="760" w:type="dxa"/>
            <w:vMerge w:val="restart"/>
            <w:tcBorders>
              <w:top w:val="nil"/>
              <w:left w:val="single" w:sz="4" w:space="0" w:color="auto"/>
              <w:bottom w:val="single" w:sz="4" w:space="0" w:color="auto"/>
              <w:right w:val="single" w:sz="4" w:space="0" w:color="auto"/>
            </w:tcBorders>
            <w:shd w:val="clear" w:color="auto" w:fill="auto"/>
            <w:vAlign w:val="center"/>
            <w:hideMark/>
          </w:tcPr>
          <w:p w:rsidR="00F838C5" w:rsidRPr="00174057" w:rsidRDefault="00F838C5" w:rsidP="001363EE">
            <w:pPr>
              <w:keepNext/>
              <w:keepLines/>
              <w:jc w:val="center"/>
              <w:rPr>
                <w:rFonts w:cs="Arial"/>
                <w:sz w:val="16"/>
                <w:szCs w:val="16"/>
              </w:rPr>
            </w:pPr>
            <w:r w:rsidRPr="00174057">
              <w:rPr>
                <w:rFonts w:cs="Arial"/>
                <w:sz w:val="16"/>
                <w:szCs w:val="16"/>
              </w:rPr>
              <w:t>87.6%</w:t>
            </w:r>
            <w:r>
              <w:rPr>
                <w:rStyle w:val="FootnoteReference"/>
                <w:rFonts w:cs="Arial"/>
                <w:sz w:val="16"/>
                <w:szCs w:val="16"/>
              </w:rPr>
              <w:footnoteReference w:id="22"/>
            </w:r>
          </w:p>
        </w:tc>
        <w:tc>
          <w:tcPr>
            <w:tcW w:w="76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838C5" w:rsidRPr="00174057" w:rsidRDefault="00F838C5" w:rsidP="001363EE">
            <w:pPr>
              <w:keepNext/>
              <w:keepLines/>
              <w:jc w:val="center"/>
              <w:rPr>
                <w:rFonts w:cs="Arial"/>
                <w:sz w:val="16"/>
                <w:szCs w:val="16"/>
              </w:rPr>
            </w:pPr>
            <w:r w:rsidRPr="00174057">
              <w:rPr>
                <w:rFonts w:cs="Arial"/>
                <w:sz w:val="16"/>
                <w:szCs w:val="16"/>
              </w:rPr>
              <w:t>93.6%</w:t>
            </w:r>
          </w:p>
        </w:tc>
      </w:tr>
      <w:tr w:rsidR="00F838C5" w:rsidRPr="00174057" w:rsidTr="001363EE">
        <w:trPr>
          <w:trHeight w:val="255"/>
        </w:trPr>
        <w:tc>
          <w:tcPr>
            <w:tcW w:w="400" w:type="dxa"/>
            <w:vMerge/>
            <w:tcBorders>
              <w:top w:val="single" w:sz="4" w:space="0" w:color="auto"/>
              <w:left w:val="single" w:sz="4" w:space="0" w:color="auto"/>
              <w:bottom w:val="single" w:sz="4" w:space="0" w:color="auto"/>
              <w:right w:val="single" w:sz="4" w:space="0" w:color="auto"/>
            </w:tcBorders>
            <w:vAlign w:val="center"/>
            <w:hideMark/>
          </w:tcPr>
          <w:p w:rsidR="00F838C5" w:rsidRPr="00174057" w:rsidRDefault="00F838C5" w:rsidP="001363EE">
            <w:pPr>
              <w:keepNext/>
              <w:keepLines/>
              <w:rPr>
                <w:rFonts w:cs="Arial"/>
                <w:sz w:val="16"/>
                <w:szCs w:val="16"/>
              </w:rPr>
            </w:pPr>
          </w:p>
        </w:tc>
        <w:tc>
          <w:tcPr>
            <w:tcW w:w="2920" w:type="dxa"/>
            <w:vMerge w:val="restart"/>
            <w:tcBorders>
              <w:top w:val="nil"/>
              <w:left w:val="single" w:sz="4" w:space="0" w:color="auto"/>
              <w:bottom w:val="nil"/>
              <w:right w:val="single" w:sz="4" w:space="0" w:color="auto"/>
            </w:tcBorders>
            <w:shd w:val="clear" w:color="auto" w:fill="auto"/>
            <w:vAlign w:val="center"/>
            <w:hideMark/>
          </w:tcPr>
          <w:p w:rsidR="00F838C5" w:rsidRPr="00174057" w:rsidRDefault="00F838C5" w:rsidP="001363EE">
            <w:pPr>
              <w:keepNext/>
              <w:keepLines/>
              <w:rPr>
                <w:rFonts w:cs="Arial"/>
                <w:i/>
                <w:iCs/>
                <w:sz w:val="16"/>
                <w:szCs w:val="16"/>
              </w:rPr>
            </w:pPr>
            <w:r w:rsidRPr="00174057">
              <w:rPr>
                <w:rFonts w:cs="Arial"/>
                <w:i/>
                <w:iCs/>
                <w:sz w:val="16"/>
                <w:szCs w:val="16"/>
              </w:rPr>
              <w:t xml:space="preserve">Working time (7am-7pm on WIPO working days) between a ticket being created and resolved. </w:t>
            </w:r>
          </w:p>
        </w:tc>
        <w:tc>
          <w:tcPr>
            <w:tcW w:w="1707" w:type="dxa"/>
            <w:tcBorders>
              <w:top w:val="nil"/>
              <w:left w:val="nil"/>
              <w:bottom w:val="nil"/>
              <w:right w:val="single" w:sz="4" w:space="0" w:color="auto"/>
            </w:tcBorders>
            <w:shd w:val="clear" w:color="auto" w:fill="auto"/>
            <w:vAlign w:val="center"/>
            <w:hideMark/>
          </w:tcPr>
          <w:p w:rsidR="00F838C5" w:rsidRPr="00174057" w:rsidRDefault="00F838C5" w:rsidP="001363EE">
            <w:pPr>
              <w:keepNext/>
              <w:keepLines/>
              <w:rPr>
                <w:rFonts w:cs="Arial"/>
                <w:color w:val="000000"/>
                <w:sz w:val="16"/>
                <w:szCs w:val="16"/>
              </w:rPr>
            </w:pPr>
            <w:r w:rsidRPr="00174057">
              <w:rPr>
                <w:rFonts w:cs="Arial"/>
                <w:color w:val="000000"/>
                <w:sz w:val="16"/>
                <w:szCs w:val="16"/>
              </w:rPr>
              <w:t>Severity 2:</w:t>
            </w:r>
            <w:r>
              <w:rPr>
                <w:rFonts w:cs="Arial"/>
                <w:color w:val="000000"/>
                <w:sz w:val="16"/>
                <w:szCs w:val="16"/>
              </w:rPr>
              <w:t xml:space="preserve"> </w:t>
            </w:r>
            <w:r w:rsidRPr="00174057">
              <w:rPr>
                <w:rFonts w:cs="Arial"/>
                <w:color w:val="000000"/>
                <w:sz w:val="16"/>
                <w:szCs w:val="16"/>
              </w:rPr>
              <w:t xml:space="preserve"> 2 days</w:t>
            </w:r>
          </w:p>
        </w:tc>
        <w:tc>
          <w:tcPr>
            <w:tcW w:w="1773" w:type="dxa"/>
            <w:vMerge/>
            <w:tcBorders>
              <w:top w:val="nil"/>
              <w:left w:val="single" w:sz="4" w:space="0" w:color="auto"/>
              <w:bottom w:val="single" w:sz="4" w:space="0" w:color="auto"/>
              <w:right w:val="single" w:sz="4" w:space="0" w:color="auto"/>
            </w:tcBorders>
            <w:vAlign w:val="center"/>
            <w:hideMark/>
          </w:tcPr>
          <w:p w:rsidR="00F838C5" w:rsidRPr="00174057" w:rsidRDefault="00F838C5" w:rsidP="001363EE">
            <w:pPr>
              <w:keepNext/>
              <w:keepLines/>
              <w:rPr>
                <w:rFonts w:cs="Arial"/>
                <w:color w:val="000000"/>
                <w:sz w:val="16"/>
                <w:szCs w:val="16"/>
              </w:rPr>
            </w:pPr>
          </w:p>
        </w:tc>
        <w:tc>
          <w:tcPr>
            <w:tcW w:w="760" w:type="dxa"/>
            <w:vMerge/>
            <w:tcBorders>
              <w:top w:val="single" w:sz="4" w:space="0" w:color="auto"/>
              <w:left w:val="single" w:sz="4" w:space="0" w:color="auto"/>
              <w:bottom w:val="single" w:sz="4" w:space="0" w:color="auto"/>
              <w:right w:val="single" w:sz="4" w:space="0" w:color="auto"/>
            </w:tcBorders>
            <w:vAlign w:val="center"/>
            <w:hideMark/>
          </w:tcPr>
          <w:p w:rsidR="00F838C5" w:rsidRPr="00174057" w:rsidRDefault="00F838C5" w:rsidP="001363EE">
            <w:pPr>
              <w:keepNext/>
              <w:keepLines/>
              <w:rPr>
                <w:rFonts w:cs="Arial"/>
                <w:sz w:val="16"/>
                <w:szCs w:val="16"/>
              </w:rPr>
            </w:pPr>
          </w:p>
        </w:tc>
        <w:tc>
          <w:tcPr>
            <w:tcW w:w="760" w:type="dxa"/>
            <w:vMerge/>
            <w:tcBorders>
              <w:top w:val="nil"/>
              <w:left w:val="single" w:sz="4" w:space="0" w:color="auto"/>
              <w:bottom w:val="single" w:sz="4" w:space="0" w:color="auto"/>
              <w:right w:val="single" w:sz="4" w:space="0" w:color="auto"/>
            </w:tcBorders>
            <w:vAlign w:val="center"/>
            <w:hideMark/>
          </w:tcPr>
          <w:p w:rsidR="00F838C5" w:rsidRPr="00174057" w:rsidRDefault="00F838C5" w:rsidP="001363EE">
            <w:pPr>
              <w:keepNext/>
              <w:keepLines/>
              <w:rPr>
                <w:rFonts w:cs="Arial"/>
                <w:sz w:val="16"/>
                <w:szCs w:val="16"/>
              </w:rPr>
            </w:pPr>
          </w:p>
        </w:tc>
        <w:tc>
          <w:tcPr>
            <w:tcW w:w="760" w:type="dxa"/>
            <w:vMerge/>
            <w:tcBorders>
              <w:top w:val="single" w:sz="4" w:space="0" w:color="auto"/>
              <w:left w:val="single" w:sz="4" w:space="0" w:color="auto"/>
              <w:bottom w:val="single" w:sz="4" w:space="0" w:color="auto"/>
              <w:right w:val="single" w:sz="4" w:space="0" w:color="auto"/>
            </w:tcBorders>
            <w:vAlign w:val="center"/>
            <w:hideMark/>
          </w:tcPr>
          <w:p w:rsidR="00F838C5" w:rsidRPr="00174057" w:rsidRDefault="00F838C5" w:rsidP="001363EE">
            <w:pPr>
              <w:keepNext/>
              <w:keepLines/>
              <w:rPr>
                <w:rFonts w:cs="Arial"/>
                <w:sz w:val="16"/>
                <w:szCs w:val="16"/>
              </w:rPr>
            </w:pPr>
          </w:p>
        </w:tc>
      </w:tr>
      <w:tr w:rsidR="00F838C5" w:rsidRPr="00174057" w:rsidTr="001363EE">
        <w:trPr>
          <w:trHeight w:val="255"/>
        </w:trPr>
        <w:tc>
          <w:tcPr>
            <w:tcW w:w="400" w:type="dxa"/>
            <w:vMerge/>
            <w:tcBorders>
              <w:top w:val="single" w:sz="4" w:space="0" w:color="auto"/>
              <w:left w:val="single" w:sz="4" w:space="0" w:color="auto"/>
              <w:bottom w:val="single" w:sz="4" w:space="0" w:color="auto"/>
              <w:right w:val="single" w:sz="4" w:space="0" w:color="auto"/>
            </w:tcBorders>
            <w:vAlign w:val="center"/>
            <w:hideMark/>
          </w:tcPr>
          <w:p w:rsidR="00F838C5" w:rsidRPr="00174057" w:rsidRDefault="00F838C5" w:rsidP="001363EE">
            <w:pPr>
              <w:keepNext/>
              <w:keepLines/>
              <w:rPr>
                <w:rFonts w:cs="Arial"/>
                <w:sz w:val="16"/>
                <w:szCs w:val="16"/>
              </w:rPr>
            </w:pPr>
          </w:p>
        </w:tc>
        <w:tc>
          <w:tcPr>
            <w:tcW w:w="2920" w:type="dxa"/>
            <w:vMerge/>
            <w:tcBorders>
              <w:top w:val="nil"/>
              <w:left w:val="single" w:sz="4" w:space="0" w:color="auto"/>
              <w:bottom w:val="nil"/>
              <w:right w:val="single" w:sz="4" w:space="0" w:color="auto"/>
            </w:tcBorders>
            <w:vAlign w:val="center"/>
            <w:hideMark/>
          </w:tcPr>
          <w:p w:rsidR="00F838C5" w:rsidRPr="00174057" w:rsidRDefault="00F838C5" w:rsidP="001363EE">
            <w:pPr>
              <w:keepNext/>
              <w:keepLines/>
              <w:rPr>
                <w:rFonts w:cs="Arial"/>
                <w:i/>
                <w:iCs/>
                <w:sz w:val="16"/>
                <w:szCs w:val="16"/>
              </w:rPr>
            </w:pPr>
          </w:p>
        </w:tc>
        <w:tc>
          <w:tcPr>
            <w:tcW w:w="1707" w:type="dxa"/>
            <w:tcBorders>
              <w:top w:val="nil"/>
              <w:left w:val="nil"/>
              <w:bottom w:val="nil"/>
              <w:right w:val="single" w:sz="4" w:space="0" w:color="auto"/>
            </w:tcBorders>
            <w:shd w:val="clear" w:color="auto" w:fill="auto"/>
            <w:vAlign w:val="center"/>
            <w:hideMark/>
          </w:tcPr>
          <w:p w:rsidR="00F838C5" w:rsidRPr="00174057" w:rsidRDefault="00F838C5" w:rsidP="001363EE">
            <w:pPr>
              <w:keepNext/>
              <w:keepLines/>
              <w:rPr>
                <w:rFonts w:cs="Arial"/>
                <w:color w:val="000000"/>
                <w:sz w:val="16"/>
                <w:szCs w:val="16"/>
              </w:rPr>
            </w:pPr>
            <w:r w:rsidRPr="00174057">
              <w:rPr>
                <w:rFonts w:cs="Arial"/>
                <w:color w:val="000000"/>
                <w:sz w:val="16"/>
                <w:szCs w:val="16"/>
              </w:rPr>
              <w:t>Severity 3:</w:t>
            </w:r>
            <w:r>
              <w:rPr>
                <w:rFonts w:cs="Arial"/>
                <w:color w:val="000000"/>
                <w:sz w:val="16"/>
                <w:szCs w:val="16"/>
              </w:rPr>
              <w:t xml:space="preserve"> </w:t>
            </w:r>
            <w:r w:rsidRPr="00174057">
              <w:rPr>
                <w:rFonts w:cs="Arial"/>
                <w:color w:val="000000"/>
                <w:sz w:val="16"/>
                <w:szCs w:val="16"/>
              </w:rPr>
              <w:t xml:space="preserve"> 5 days</w:t>
            </w:r>
          </w:p>
        </w:tc>
        <w:tc>
          <w:tcPr>
            <w:tcW w:w="1773" w:type="dxa"/>
            <w:vMerge/>
            <w:tcBorders>
              <w:top w:val="nil"/>
              <w:left w:val="single" w:sz="4" w:space="0" w:color="auto"/>
              <w:bottom w:val="single" w:sz="4" w:space="0" w:color="auto"/>
              <w:right w:val="single" w:sz="4" w:space="0" w:color="auto"/>
            </w:tcBorders>
            <w:vAlign w:val="center"/>
            <w:hideMark/>
          </w:tcPr>
          <w:p w:rsidR="00F838C5" w:rsidRPr="00174057" w:rsidRDefault="00F838C5" w:rsidP="001363EE">
            <w:pPr>
              <w:keepNext/>
              <w:keepLines/>
              <w:rPr>
                <w:rFonts w:cs="Arial"/>
                <w:color w:val="000000"/>
                <w:sz w:val="16"/>
                <w:szCs w:val="16"/>
              </w:rPr>
            </w:pPr>
          </w:p>
        </w:tc>
        <w:tc>
          <w:tcPr>
            <w:tcW w:w="760" w:type="dxa"/>
            <w:vMerge/>
            <w:tcBorders>
              <w:top w:val="single" w:sz="4" w:space="0" w:color="auto"/>
              <w:left w:val="single" w:sz="4" w:space="0" w:color="auto"/>
              <w:bottom w:val="single" w:sz="4" w:space="0" w:color="auto"/>
              <w:right w:val="single" w:sz="4" w:space="0" w:color="auto"/>
            </w:tcBorders>
            <w:vAlign w:val="center"/>
            <w:hideMark/>
          </w:tcPr>
          <w:p w:rsidR="00F838C5" w:rsidRPr="00174057" w:rsidRDefault="00F838C5" w:rsidP="001363EE">
            <w:pPr>
              <w:keepNext/>
              <w:keepLines/>
              <w:rPr>
                <w:rFonts w:cs="Arial"/>
                <w:sz w:val="16"/>
                <w:szCs w:val="16"/>
              </w:rPr>
            </w:pPr>
          </w:p>
        </w:tc>
        <w:tc>
          <w:tcPr>
            <w:tcW w:w="760" w:type="dxa"/>
            <w:vMerge/>
            <w:tcBorders>
              <w:top w:val="nil"/>
              <w:left w:val="single" w:sz="4" w:space="0" w:color="auto"/>
              <w:bottom w:val="single" w:sz="4" w:space="0" w:color="auto"/>
              <w:right w:val="single" w:sz="4" w:space="0" w:color="auto"/>
            </w:tcBorders>
            <w:vAlign w:val="center"/>
            <w:hideMark/>
          </w:tcPr>
          <w:p w:rsidR="00F838C5" w:rsidRPr="00174057" w:rsidRDefault="00F838C5" w:rsidP="001363EE">
            <w:pPr>
              <w:keepNext/>
              <w:keepLines/>
              <w:rPr>
                <w:rFonts w:cs="Arial"/>
                <w:sz w:val="16"/>
                <w:szCs w:val="16"/>
              </w:rPr>
            </w:pPr>
          </w:p>
        </w:tc>
        <w:tc>
          <w:tcPr>
            <w:tcW w:w="760" w:type="dxa"/>
            <w:vMerge/>
            <w:tcBorders>
              <w:top w:val="single" w:sz="4" w:space="0" w:color="auto"/>
              <w:left w:val="single" w:sz="4" w:space="0" w:color="auto"/>
              <w:bottom w:val="single" w:sz="4" w:space="0" w:color="auto"/>
              <w:right w:val="single" w:sz="4" w:space="0" w:color="auto"/>
            </w:tcBorders>
            <w:vAlign w:val="center"/>
            <w:hideMark/>
          </w:tcPr>
          <w:p w:rsidR="00F838C5" w:rsidRPr="00174057" w:rsidRDefault="00F838C5" w:rsidP="001363EE">
            <w:pPr>
              <w:keepNext/>
              <w:keepLines/>
              <w:rPr>
                <w:rFonts w:cs="Arial"/>
                <w:sz w:val="16"/>
                <w:szCs w:val="16"/>
              </w:rPr>
            </w:pPr>
          </w:p>
        </w:tc>
      </w:tr>
      <w:tr w:rsidR="00F838C5" w:rsidRPr="00174057" w:rsidTr="001363EE">
        <w:trPr>
          <w:trHeight w:val="255"/>
        </w:trPr>
        <w:tc>
          <w:tcPr>
            <w:tcW w:w="400" w:type="dxa"/>
            <w:vMerge/>
            <w:tcBorders>
              <w:top w:val="single" w:sz="4" w:space="0" w:color="auto"/>
              <w:left w:val="single" w:sz="4" w:space="0" w:color="auto"/>
              <w:bottom w:val="single" w:sz="4" w:space="0" w:color="auto"/>
              <w:right w:val="single" w:sz="4" w:space="0" w:color="auto"/>
            </w:tcBorders>
            <w:vAlign w:val="center"/>
            <w:hideMark/>
          </w:tcPr>
          <w:p w:rsidR="00F838C5" w:rsidRPr="00174057" w:rsidRDefault="00F838C5" w:rsidP="001363EE">
            <w:pPr>
              <w:keepNext/>
              <w:keepLines/>
              <w:rPr>
                <w:rFonts w:cs="Arial"/>
                <w:sz w:val="16"/>
                <w:szCs w:val="16"/>
              </w:rPr>
            </w:pPr>
          </w:p>
        </w:tc>
        <w:tc>
          <w:tcPr>
            <w:tcW w:w="2920" w:type="dxa"/>
            <w:vMerge/>
            <w:tcBorders>
              <w:top w:val="nil"/>
              <w:left w:val="single" w:sz="4" w:space="0" w:color="auto"/>
              <w:bottom w:val="nil"/>
              <w:right w:val="single" w:sz="4" w:space="0" w:color="auto"/>
            </w:tcBorders>
            <w:vAlign w:val="center"/>
            <w:hideMark/>
          </w:tcPr>
          <w:p w:rsidR="00F838C5" w:rsidRPr="00174057" w:rsidRDefault="00F838C5" w:rsidP="001363EE">
            <w:pPr>
              <w:keepNext/>
              <w:keepLines/>
              <w:rPr>
                <w:rFonts w:cs="Arial"/>
                <w:i/>
                <w:iCs/>
                <w:sz w:val="16"/>
                <w:szCs w:val="16"/>
              </w:rPr>
            </w:pPr>
          </w:p>
        </w:tc>
        <w:tc>
          <w:tcPr>
            <w:tcW w:w="1707" w:type="dxa"/>
            <w:tcBorders>
              <w:top w:val="nil"/>
              <w:left w:val="nil"/>
              <w:bottom w:val="nil"/>
              <w:right w:val="single" w:sz="4" w:space="0" w:color="auto"/>
            </w:tcBorders>
            <w:shd w:val="clear" w:color="auto" w:fill="auto"/>
            <w:vAlign w:val="center"/>
            <w:hideMark/>
          </w:tcPr>
          <w:p w:rsidR="00F838C5" w:rsidRPr="00174057" w:rsidRDefault="00F838C5" w:rsidP="001363EE">
            <w:pPr>
              <w:keepNext/>
              <w:keepLines/>
              <w:rPr>
                <w:rFonts w:cs="Arial"/>
                <w:color w:val="000000"/>
                <w:sz w:val="16"/>
                <w:szCs w:val="16"/>
              </w:rPr>
            </w:pPr>
            <w:r w:rsidRPr="00174057">
              <w:rPr>
                <w:rFonts w:cs="Arial"/>
                <w:color w:val="000000"/>
                <w:sz w:val="16"/>
                <w:szCs w:val="16"/>
              </w:rPr>
              <w:t>Severity 4:</w:t>
            </w:r>
            <w:r>
              <w:rPr>
                <w:rFonts w:cs="Arial"/>
                <w:color w:val="000000"/>
                <w:sz w:val="16"/>
                <w:szCs w:val="16"/>
              </w:rPr>
              <w:t xml:space="preserve"> </w:t>
            </w:r>
            <w:r w:rsidRPr="00174057">
              <w:rPr>
                <w:rFonts w:cs="Arial"/>
                <w:color w:val="000000"/>
                <w:sz w:val="16"/>
                <w:szCs w:val="16"/>
              </w:rPr>
              <w:t xml:space="preserve"> 10 days</w:t>
            </w:r>
          </w:p>
        </w:tc>
        <w:tc>
          <w:tcPr>
            <w:tcW w:w="1773" w:type="dxa"/>
            <w:vMerge/>
            <w:tcBorders>
              <w:top w:val="nil"/>
              <w:left w:val="single" w:sz="4" w:space="0" w:color="auto"/>
              <w:bottom w:val="single" w:sz="4" w:space="0" w:color="auto"/>
              <w:right w:val="single" w:sz="4" w:space="0" w:color="auto"/>
            </w:tcBorders>
            <w:vAlign w:val="center"/>
            <w:hideMark/>
          </w:tcPr>
          <w:p w:rsidR="00F838C5" w:rsidRPr="00174057" w:rsidRDefault="00F838C5" w:rsidP="001363EE">
            <w:pPr>
              <w:keepNext/>
              <w:keepLines/>
              <w:rPr>
                <w:rFonts w:cs="Arial"/>
                <w:color w:val="000000"/>
                <w:sz w:val="16"/>
                <w:szCs w:val="16"/>
              </w:rPr>
            </w:pPr>
          </w:p>
        </w:tc>
        <w:tc>
          <w:tcPr>
            <w:tcW w:w="760" w:type="dxa"/>
            <w:vMerge/>
            <w:tcBorders>
              <w:top w:val="single" w:sz="4" w:space="0" w:color="auto"/>
              <w:left w:val="single" w:sz="4" w:space="0" w:color="auto"/>
              <w:bottom w:val="single" w:sz="4" w:space="0" w:color="auto"/>
              <w:right w:val="single" w:sz="4" w:space="0" w:color="auto"/>
            </w:tcBorders>
            <w:vAlign w:val="center"/>
            <w:hideMark/>
          </w:tcPr>
          <w:p w:rsidR="00F838C5" w:rsidRPr="00174057" w:rsidRDefault="00F838C5" w:rsidP="001363EE">
            <w:pPr>
              <w:keepNext/>
              <w:keepLines/>
              <w:rPr>
                <w:rFonts w:cs="Arial"/>
                <w:sz w:val="16"/>
                <w:szCs w:val="16"/>
              </w:rPr>
            </w:pPr>
          </w:p>
        </w:tc>
        <w:tc>
          <w:tcPr>
            <w:tcW w:w="760" w:type="dxa"/>
            <w:vMerge/>
            <w:tcBorders>
              <w:top w:val="nil"/>
              <w:left w:val="single" w:sz="4" w:space="0" w:color="auto"/>
              <w:bottom w:val="single" w:sz="4" w:space="0" w:color="auto"/>
              <w:right w:val="single" w:sz="4" w:space="0" w:color="auto"/>
            </w:tcBorders>
            <w:vAlign w:val="center"/>
            <w:hideMark/>
          </w:tcPr>
          <w:p w:rsidR="00F838C5" w:rsidRPr="00174057" w:rsidRDefault="00F838C5" w:rsidP="001363EE">
            <w:pPr>
              <w:keepNext/>
              <w:keepLines/>
              <w:rPr>
                <w:rFonts w:cs="Arial"/>
                <w:sz w:val="16"/>
                <w:szCs w:val="16"/>
              </w:rPr>
            </w:pPr>
          </w:p>
        </w:tc>
        <w:tc>
          <w:tcPr>
            <w:tcW w:w="760" w:type="dxa"/>
            <w:vMerge/>
            <w:tcBorders>
              <w:top w:val="single" w:sz="4" w:space="0" w:color="auto"/>
              <w:left w:val="single" w:sz="4" w:space="0" w:color="auto"/>
              <w:bottom w:val="single" w:sz="4" w:space="0" w:color="auto"/>
              <w:right w:val="single" w:sz="4" w:space="0" w:color="auto"/>
            </w:tcBorders>
            <w:vAlign w:val="center"/>
            <w:hideMark/>
          </w:tcPr>
          <w:p w:rsidR="00F838C5" w:rsidRPr="00174057" w:rsidRDefault="00F838C5" w:rsidP="001363EE">
            <w:pPr>
              <w:keepNext/>
              <w:keepLines/>
              <w:rPr>
                <w:rFonts w:cs="Arial"/>
                <w:sz w:val="16"/>
                <w:szCs w:val="16"/>
              </w:rPr>
            </w:pPr>
          </w:p>
        </w:tc>
      </w:tr>
      <w:tr w:rsidR="00F838C5" w:rsidRPr="00174057" w:rsidTr="001363EE">
        <w:trPr>
          <w:trHeight w:val="255"/>
        </w:trPr>
        <w:tc>
          <w:tcPr>
            <w:tcW w:w="40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838C5" w:rsidRPr="00174057" w:rsidRDefault="00F838C5" w:rsidP="001363EE">
            <w:pPr>
              <w:keepNext/>
              <w:keepLines/>
              <w:jc w:val="center"/>
              <w:rPr>
                <w:rFonts w:cs="Arial"/>
                <w:sz w:val="16"/>
                <w:szCs w:val="16"/>
              </w:rPr>
            </w:pPr>
            <w:r w:rsidRPr="00174057">
              <w:rPr>
                <w:rFonts w:cs="Arial"/>
                <w:sz w:val="16"/>
                <w:szCs w:val="16"/>
              </w:rPr>
              <w:t>2</w:t>
            </w:r>
          </w:p>
        </w:tc>
        <w:tc>
          <w:tcPr>
            <w:tcW w:w="2920" w:type="dxa"/>
            <w:tcBorders>
              <w:top w:val="single" w:sz="4" w:space="0" w:color="auto"/>
              <w:left w:val="nil"/>
              <w:bottom w:val="nil"/>
              <w:right w:val="single" w:sz="4" w:space="0" w:color="auto"/>
            </w:tcBorders>
            <w:shd w:val="clear" w:color="auto" w:fill="auto"/>
            <w:vAlign w:val="center"/>
            <w:hideMark/>
          </w:tcPr>
          <w:p w:rsidR="00F838C5" w:rsidRPr="00174057" w:rsidRDefault="00F838C5" w:rsidP="001363EE">
            <w:pPr>
              <w:keepNext/>
              <w:keepLines/>
              <w:rPr>
                <w:rFonts w:cs="Arial"/>
                <w:sz w:val="16"/>
                <w:szCs w:val="16"/>
              </w:rPr>
            </w:pPr>
            <w:r w:rsidRPr="00174057">
              <w:rPr>
                <w:rFonts w:cs="Arial"/>
                <w:sz w:val="16"/>
                <w:szCs w:val="16"/>
              </w:rPr>
              <w:t>Document load time</w:t>
            </w:r>
          </w:p>
        </w:tc>
        <w:tc>
          <w:tcPr>
            <w:tcW w:w="170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838C5" w:rsidRPr="00174057" w:rsidRDefault="00F838C5" w:rsidP="001363EE">
            <w:pPr>
              <w:keepNext/>
              <w:keepLines/>
              <w:rPr>
                <w:rFonts w:cs="Arial"/>
                <w:color w:val="000000"/>
                <w:sz w:val="16"/>
                <w:szCs w:val="16"/>
              </w:rPr>
            </w:pPr>
            <w:r w:rsidRPr="00174057">
              <w:rPr>
                <w:rFonts w:cs="Arial"/>
                <w:color w:val="000000"/>
                <w:sz w:val="16"/>
                <w:szCs w:val="16"/>
              </w:rPr>
              <w:t>8 hours</w:t>
            </w:r>
          </w:p>
        </w:tc>
        <w:tc>
          <w:tcPr>
            <w:tcW w:w="177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838C5" w:rsidRPr="00174057" w:rsidRDefault="00F838C5" w:rsidP="001363EE">
            <w:pPr>
              <w:keepNext/>
              <w:keepLines/>
              <w:rPr>
                <w:rFonts w:cs="Arial"/>
                <w:color w:val="000000"/>
                <w:sz w:val="16"/>
                <w:szCs w:val="16"/>
              </w:rPr>
            </w:pPr>
            <w:r w:rsidRPr="00174057">
              <w:rPr>
                <w:rFonts w:cs="Arial"/>
                <w:color w:val="000000"/>
                <w:sz w:val="16"/>
                <w:szCs w:val="16"/>
              </w:rPr>
              <w:t>Documents loaded by a semi or fully automated process</w:t>
            </w:r>
          </w:p>
        </w:tc>
        <w:tc>
          <w:tcPr>
            <w:tcW w:w="76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838C5" w:rsidRPr="00174057" w:rsidRDefault="00F838C5" w:rsidP="001363EE">
            <w:pPr>
              <w:keepNext/>
              <w:keepLines/>
              <w:jc w:val="center"/>
              <w:rPr>
                <w:rFonts w:cs="Arial"/>
                <w:sz w:val="16"/>
                <w:szCs w:val="16"/>
              </w:rPr>
            </w:pPr>
            <w:r w:rsidRPr="00174057">
              <w:rPr>
                <w:rFonts w:cs="Arial"/>
                <w:sz w:val="16"/>
                <w:szCs w:val="16"/>
              </w:rPr>
              <w:t>80.0%</w:t>
            </w:r>
          </w:p>
        </w:tc>
        <w:tc>
          <w:tcPr>
            <w:tcW w:w="76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838C5" w:rsidRPr="00174057" w:rsidRDefault="00F838C5" w:rsidP="001363EE">
            <w:pPr>
              <w:keepNext/>
              <w:keepLines/>
              <w:jc w:val="center"/>
              <w:rPr>
                <w:rFonts w:cs="Arial"/>
                <w:sz w:val="16"/>
                <w:szCs w:val="16"/>
              </w:rPr>
            </w:pPr>
            <w:r w:rsidRPr="00174057">
              <w:rPr>
                <w:rFonts w:cs="Arial"/>
                <w:sz w:val="16"/>
                <w:szCs w:val="16"/>
              </w:rPr>
              <w:t>88.2%</w:t>
            </w:r>
          </w:p>
        </w:tc>
        <w:tc>
          <w:tcPr>
            <w:tcW w:w="76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838C5" w:rsidRPr="00174057" w:rsidRDefault="00F838C5" w:rsidP="001363EE">
            <w:pPr>
              <w:keepNext/>
              <w:keepLines/>
              <w:jc w:val="center"/>
              <w:rPr>
                <w:rFonts w:cs="Arial"/>
                <w:sz w:val="16"/>
                <w:szCs w:val="16"/>
              </w:rPr>
            </w:pPr>
            <w:r w:rsidRPr="00174057">
              <w:rPr>
                <w:rFonts w:cs="Arial"/>
                <w:sz w:val="16"/>
                <w:szCs w:val="16"/>
              </w:rPr>
              <w:t>89.5%</w:t>
            </w:r>
          </w:p>
        </w:tc>
      </w:tr>
      <w:tr w:rsidR="00F838C5" w:rsidRPr="00174057" w:rsidTr="001363EE">
        <w:trPr>
          <w:trHeight w:val="675"/>
        </w:trPr>
        <w:tc>
          <w:tcPr>
            <w:tcW w:w="400" w:type="dxa"/>
            <w:vMerge/>
            <w:tcBorders>
              <w:top w:val="single" w:sz="4" w:space="0" w:color="auto"/>
              <w:left w:val="single" w:sz="4" w:space="0" w:color="auto"/>
              <w:bottom w:val="single" w:sz="4" w:space="0" w:color="auto"/>
              <w:right w:val="single" w:sz="4" w:space="0" w:color="auto"/>
            </w:tcBorders>
            <w:vAlign w:val="center"/>
            <w:hideMark/>
          </w:tcPr>
          <w:p w:rsidR="00F838C5" w:rsidRPr="00174057" w:rsidRDefault="00F838C5" w:rsidP="001363EE">
            <w:pPr>
              <w:keepNext/>
              <w:keepLines/>
              <w:rPr>
                <w:rFonts w:cs="Arial"/>
                <w:sz w:val="16"/>
                <w:szCs w:val="16"/>
              </w:rPr>
            </w:pPr>
          </w:p>
        </w:tc>
        <w:tc>
          <w:tcPr>
            <w:tcW w:w="2920" w:type="dxa"/>
            <w:tcBorders>
              <w:top w:val="nil"/>
              <w:left w:val="nil"/>
              <w:bottom w:val="single" w:sz="4" w:space="0" w:color="auto"/>
              <w:right w:val="single" w:sz="4" w:space="0" w:color="auto"/>
            </w:tcBorders>
            <w:shd w:val="clear" w:color="auto" w:fill="auto"/>
            <w:vAlign w:val="center"/>
            <w:hideMark/>
          </w:tcPr>
          <w:p w:rsidR="00F838C5" w:rsidRPr="00174057" w:rsidRDefault="00F838C5" w:rsidP="001363EE">
            <w:pPr>
              <w:keepNext/>
              <w:keepLines/>
              <w:rPr>
                <w:rFonts w:cs="Arial"/>
                <w:i/>
                <w:iCs/>
                <w:sz w:val="16"/>
                <w:szCs w:val="16"/>
              </w:rPr>
            </w:pPr>
            <w:r w:rsidRPr="00174057">
              <w:rPr>
                <w:rFonts w:cs="Arial"/>
                <w:i/>
                <w:iCs/>
                <w:sz w:val="16"/>
                <w:szCs w:val="16"/>
              </w:rPr>
              <w:t>elapsed time between receipt of document at IB and its availability in eDossier</w:t>
            </w:r>
          </w:p>
        </w:tc>
        <w:tc>
          <w:tcPr>
            <w:tcW w:w="1707" w:type="dxa"/>
            <w:vMerge/>
            <w:tcBorders>
              <w:top w:val="single" w:sz="4" w:space="0" w:color="auto"/>
              <w:left w:val="single" w:sz="4" w:space="0" w:color="auto"/>
              <w:bottom w:val="single" w:sz="4" w:space="0" w:color="auto"/>
              <w:right w:val="single" w:sz="4" w:space="0" w:color="auto"/>
            </w:tcBorders>
            <w:vAlign w:val="center"/>
            <w:hideMark/>
          </w:tcPr>
          <w:p w:rsidR="00F838C5" w:rsidRPr="00174057" w:rsidRDefault="00F838C5" w:rsidP="001363EE">
            <w:pPr>
              <w:keepNext/>
              <w:keepLines/>
              <w:rPr>
                <w:rFonts w:cs="Arial"/>
                <w:color w:val="000000"/>
                <w:sz w:val="16"/>
                <w:szCs w:val="16"/>
              </w:rPr>
            </w:pPr>
          </w:p>
        </w:tc>
        <w:tc>
          <w:tcPr>
            <w:tcW w:w="1773" w:type="dxa"/>
            <w:vMerge/>
            <w:tcBorders>
              <w:top w:val="single" w:sz="4" w:space="0" w:color="auto"/>
              <w:left w:val="single" w:sz="4" w:space="0" w:color="auto"/>
              <w:bottom w:val="single" w:sz="4" w:space="0" w:color="auto"/>
              <w:right w:val="single" w:sz="4" w:space="0" w:color="auto"/>
            </w:tcBorders>
            <w:vAlign w:val="center"/>
            <w:hideMark/>
          </w:tcPr>
          <w:p w:rsidR="00F838C5" w:rsidRPr="00174057" w:rsidRDefault="00F838C5" w:rsidP="001363EE">
            <w:pPr>
              <w:keepNext/>
              <w:keepLines/>
              <w:rPr>
                <w:rFonts w:cs="Arial"/>
                <w:color w:val="000000"/>
                <w:sz w:val="16"/>
                <w:szCs w:val="16"/>
              </w:rPr>
            </w:pPr>
          </w:p>
        </w:tc>
        <w:tc>
          <w:tcPr>
            <w:tcW w:w="760" w:type="dxa"/>
            <w:vMerge/>
            <w:tcBorders>
              <w:top w:val="single" w:sz="4" w:space="0" w:color="auto"/>
              <w:left w:val="single" w:sz="4" w:space="0" w:color="auto"/>
              <w:bottom w:val="single" w:sz="4" w:space="0" w:color="auto"/>
              <w:right w:val="single" w:sz="4" w:space="0" w:color="auto"/>
            </w:tcBorders>
            <w:vAlign w:val="center"/>
            <w:hideMark/>
          </w:tcPr>
          <w:p w:rsidR="00F838C5" w:rsidRPr="00174057" w:rsidRDefault="00F838C5" w:rsidP="001363EE">
            <w:pPr>
              <w:keepNext/>
              <w:keepLines/>
              <w:rPr>
                <w:rFonts w:cs="Arial"/>
                <w:sz w:val="16"/>
                <w:szCs w:val="16"/>
              </w:rPr>
            </w:pPr>
          </w:p>
        </w:tc>
        <w:tc>
          <w:tcPr>
            <w:tcW w:w="760" w:type="dxa"/>
            <w:vMerge/>
            <w:tcBorders>
              <w:top w:val="single" w:sz="4" w:space="0" w:color="auto"/>
              <w:left w:val="single" w:sz="4" w:space="0" w:color="auto"/>
              <w:bottom w:val="single" w:sz="4" w:space="0" w:color="auto"/>
              <w:right w:val="single" w:sz="4" w:space="0" w:color="auto"/>
            </w:tcBorders>
            <w:vAlign w:val="center"/>
            <w:hideMark/>
          </w:tcPr>
          <w:p w:rsidR="00F838C5" w:rsidRPr="00174057" w:rsidRDefault="00F838C5" w:rsidP="001363EE">
            <w:pPr>
              <w:keepNext/>
              <w:keepLines/>
              <w:rPr>
                <w:rFonts w:cs="Arial"/>
                <w:sz w:val="16"/>
                <w:szCs w:val="16"/>
              </w:rPr>
            </w:pPr>
          </w:p>
        </w:tc>
        <w:tc>
          <w:tcPr>
            <w:tcW w:w="760" w:type="dxa"/>
            <w:vMerge/>
            <w:tcBorders>
              <w:top w:val="single" w:sz="4" w:space="0" w:color="auto"/>
              <w:left w:val="single" w:sz="4" w:space="0" w:color="auto"/>
              <w:bottom w:val="single" w:sz="4" w:space="0" w:color="auto"/>
              <w:right w:val="single" w:sz="4" w:space="0" w:color="auto"/>
            </w:tcBorders>
            <w:vAlign w:val="center"/>
            <w:hideMark/>
          </w:tcPr>
          <w:p w:rsidR="00F838C5" w:rsidRPr="00174057" w:rsidRDefault="00F838C5" w:rsidP="001363EE">
            <w:pPr>
              <w:keepNext/>
              <w:keepLines/>
              <w:rPr>
                <w:rFonts w:cs="Arial"/>
                <w:sz w:val="16"/>
                <w:szCs w:val="16"/>
              </w:rPr>
            </w:pPr>
          </w:p>
        </w:tc>
      </w:tr>
      <w:tr w:rsidR="00F838C5" w:rsidRPr="00174057" w:rsidTr="001363EE">
        <w:trPr>
          <w:trHeight w:val="9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F838C5" w:rsidRPr="00174057" w:rsidRDefault="00F838C5" w:rsidP="001363EE">
            <w:pPr>
              <w:keepNext/>
              <w:keepLines/>
              <w:jc w:val="center"/>
              <w:rPr>
                <w:rFonts w:cs="Arial"/>
                <w:color w:val="000000"/>
                <w:sz w:val="16"/>
                <w:szCs w:val="16"/>
              </w:rPr>
            </w:pPr>
            <w:r w:rsidRPr="00174057">
              <w:rPr>
                <w:rFonts w:cs="Arial"/>
                <w:color w:val="000000"/>
                <w:sz w:val="16"/>
                <w:szCs w:val="16"/>
              </w:rPr>
              <w:t>3</w:t>
            </w:r>
          </w:p>
        </w:tc>
        <w:tc>
          <w:tcPr>
            <w:tcW w:w="2920" w:type="dxa"/>
            <w:tcBorders>
              <w:top w:val="nil"/>
              <w:left w:val="nil"/>
              <w:bottom w:val="single" w:sz="4" w:space="0" w:color="auto"/>
              <w:right w:val="single" w:sz="4" w:space="0" w:color="auto"/>
            </w:tcBorders>
            <w:shd w:val="clear" w:color="auto" w:fill="auto"/>
            <w:vAlign w:val="center"/>
            <w:hideMark/>
          </w:tcPr>
          <w:p w:rsidR="00F838C5" w:rsidRPr="00174057" w:rsidRDefault="00F838C5" w:rsidP="001363EE">
            <w:pPr>
              <w:keepNext/>
              <w:keepLines/>
              <w:rPr>
                <w:rFonts w:cs="Arial"/>
                <w:color w:val="000000"/>
                <w:sz w:val="16"/>
                <w:szCs w:val="16"/>
              </w:rPr>
            </w:pPr>
            <w:r w:rsidRPr="00174057">
              <w:rPr>
                <w:rFonts w:cs="Arial"/>
                <w:color w:val="000000"/>
                <w:sz w:val="16"/>
                <w:szCs w:val="16"/>
              </w:rPr>
              <w:t>Batch job processing success rate</w:t>
            </w:r>
          </w:p>
        </w:tc>
        <w:tc>
          <w:tcPr>
            <w:tcW w:w="1707" w:type="dxa"/>
            <w:tcBorders>
              <w:top w:val="nil"/>
              <w:left w:val="nil"/>
              <w:bottom w:val="single" w:sz="4" w:space="0" w:color="auto"/>
              <w:right w:val="single" w:sz="4" w:space="0" w:color="auto"/>
            </w:tcBorders>
            <w:shd w:val="clear" w:color="auto" w:fill="auto"/>
            <w:vAlign w:val="center"/>
            <w:hideMark/>
          </w:tcPr>
          <w:p w:rsidR="00F838C5" w:rsidRPr="00174057" w:rsidRDefault="00F838C5" w:rsidP="001363EE">
            <w:pPr>
              <w:keepNext/>
              <w:keepLines/>
              <w:rPr>
                <w:rFonts w:cs="Arial"/>
                <w:color w:val="000000"/>
                <w:sz w:val="16"/>
                <w:szCs w:val="16"/>
              </w:rPr>
            </w:pPr>
            <w:r w:rsidRPr="00174057">
              <w:rPr>
                <w:rFonts w:cs="Arial"/>
                <w:color w:val="000000"/>
                <w:sz w:val="16"/>
                <w:szCs w:val="16"/>
              </w:rPr>
              <w:t>100%</w:t>
            </w:r>
          </w:p>
        </w:tc>
        <w:tc>
          <w:tcPr>
            <w:tcW w:w="1773" w:type="dxa"/>
            <w:tcBorders>
              <w:top w:val="nil"/>
              <w:left w:val="nil"/>
              <w:bottom w:val="single" w:sz="4" w:space="0" w:color="auto"/>
              <w:right w:val="single" w:sz="4" w:space="0" w:color="auto"/>
            </w:tcBorders>
            <w:shd w:val="clear" w:color="auto" w:fill="auto"/>
            <w:vAlign w:val="center"/>
            <w:hideMark/>
          </w:tcPr>
          <w:p w:rsidR="00F838C5" w:rsidRPr="00174057" w:rsidRDefault="00F838C5" w:rsidP="001363EE">
            <w:pPr>
              <w:keepNext/>
              <w:keepLines/>
              <w:rPr>
                <w:rFonts w:cs="Arial"/>
                <w:color w:val="000000"/>
                <w:sz w:val="16"/>
                <w:szCs w:val="16"/>
              </w:rPr>
            </w:pPr>
            <w:r w:rsidRPr="00174057">
              <w:rPr>
                <w:rFonts w:cs="Arial"/>
                <w:color w:val="000000"/>
                <w:sz w:val="16"/>
                <w:szCs w:val="16"/>
              </w:rPr>
              <w:t>Batch jobs to be completed successfully by the close of business on the scheduled date</w:t>
            </w:r>
          </w:p>
        </w:tc>
        <w:tc>
          <w:tcPr>
            <w:tcW w:w="760" w:type="dxa"/>
            <w:tcBorders>
              <w:top w:val="nil"/>
              <w:left w:val="nil"/>
              <w:bottom w:val="single" w:sz="4" w:space="0" w:color="auto"/>
              <w:right w:val="single" w:sz="4" w:space="0" w:color="auto"/>
            </w:tcBorders>
            <w:shd w:val="clear" w:color="auto" w:fill="auto"/>
            <w:vAlign w:val="center"/>
            <w:hideMark/>
          </w:tcPr>
          <w:p w:rsidR="00F838C5" w:rsidRPr="00174057" w:rsidRDefault="00F838C5" w:rsidP="001363EE">
            <w:pPr>
              <w:keepNext/>
              <w:keepLines/>
              <w:jc w:val="center"/>
              <w:rPr>
                <w:rFonts w:cs="Arial"/>
                <w:sz w:val="16"/>
                <w:szCs w:val="16"/>
              </w:rPr>
            </w:pPr>
            <w:r w:rsidRPr="00174057">
              <w:rPr>
                <w:rFonts w:cs="Arial"/>
                <w:sz w:val="16"/>
                <w:szCs w:val="16"/>
              </w:rPr>
              <w:t>99.6%</w:t>
            </w:r>
          </w:p>
        </w:tc>
        <w:tc>
          <w:tcPr>
            <w:tcW w:w="760" w:type="dxa"/>
            <w:tcBorders>
              <w:top w:val="nil"/>
              <w:left w:val="nil"/>
              <w:bottom w:val="single" w:sz="4" w:space="0" w:color="auto"/>
              <w:right w:val="single" w:sz="4" w:space="0" w:color="auto"/>
            </w:tcBorders>
            <w:shd w:val="clear" w:color="auto" w:fill="auto"/>
            <w:vAlign w:val="center"/>
            <w:hideMark/>
          </w:tcPr>
          <w:p w:rsidR="00F838C5" w:rsidRPr="00174057" w:rsidRDefault="00F838C5" w:rsidP="001363EE">
            <w:pPr>
              <w:keepNext/>
              <w:keepLines/>
              <w:jc w:val="center"/>
              <w:rPr>
                <w:rFonts w:cs="Arial"/>
                <w:sz w:val="16"/>
                <w:szCs w:val="16"/>
              </w:rPr>
            </w:pPr>
            <w:r w:rsidRPr="00174057">
              <w:rPr>
                <w:rFonts w:cs="Arial"/>
                <w:sz w:val="16"/>
                <w:szCs w:val="16"/>
              </w:rPr>
              <w:t>99.5%</w:t>
            </w:r>
          </w:p>
        </w:tc>
        <w:tc>
          <w:tcPr>
            <w:tcW w:w="760" w:type="dxa"/>
            <w:tcBorders>
              <w:top w:val="nil"/>
              <w:left w:val="nil"/>
              <w:bottom w:val="single" w:sz="4" w:space="0" w:color="auto"/>
              <w:right w:val="single" w:sz="4" w:space="0" w:color="auto"/>
            </w:tcBorders>
            <w:shd w:val="clear" w:color="auto" w:fill="auto"/>
            <w:vAlign w:val="center"/>
            <w:hideMark/>
          </w:tcPr>
          <w:p w:rsidR="00F838C5" w:rsidRPr="00174057" w:rsidRDefault="00F838C5" w:rsidP="001363EE">
            <w:pPr>
              <w:keepNext/>
              <w:keepLines/>
              <w:jc w:val="center"/>
              <w:rPr>
                <w:rFonts w:cs="Arial"/>
                <w:sz w:val="16"/>
                <w:szCs w:val="16"/>
              </w:rPr>
            </w:pPr>
            <w:r w:rsidRPr="00174057">
              <w:rPr>
                <w:rFonts w:cs="Arial"/>
                <w:sz w:val="16"/>
                <w:szCs w:val="16"/>
              </w:rPr>
              <w:t>99.6%</w:t>
            </w:r>
          </w:p>
        </w:tc>
      </w:tr>
      <w:tr w:rsidR="00F838C5" w:rsidRPr="00174057" w:rsidTr="001363EE">
        <w:trPr>
          <w:trHeight w:val="45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F838C5" w:rsidRPr="00174057" w:rsidRDefault="00F838C5" w:rsidP="001363EE">
            <w:pPr>
              <w:keepNext/>
              <w:keepLines/>
              <w:jc w:val="center"/>
              <w:rPr>
                <w:rFonts w:cs="Arial"/>
                <w:color w:val="000000"/>
                <w:sz w:val="16"/>
                <w:szCs w:val="16"/>
              </w:rPr>
            </w:pPr>
            <w:r w:rsidRPr="00174057">
              <w:rPr>
                <w:rFonts w:cs="Arial"/>
                <w:color w:val="000000"/>
                <w:sz w:val="16"/>
                <w:szCs w:val="16"/>
              </w:rPr>
              <w:t>4</w:t>
            </w:r>
          </w:p>
        </w:tc>
        <w:tc>
          <w:tcPr>
            <w:tcW w:w="2920" w:type="dxa"/>
            <w:tcBorders>
              <w:top w:val="nil"/>
              <w:left w:val="nil"/>
              <w:bottom w:val="single" w:sz="4" w:space="0" w:color="auto"/>
              <w:right w:val="single" w:sz="4" w:space="0" w:color="auto"/>
            </w:tcBorders>
            <w:shd w:val="clear" w:color="auto" w:fill="auto"/>
            <w:vAlign w:val="center"/>
            <w:hideMark/>
          </w:tcPr>
          <w:p w:rsidR="00F838C5" w:rsidRPr="00174057" w:rsidRDefault="00F838C5" w:rsidP="001363EE">
            <w:pPr>
              <w:keepNext/>
              <w:keepLines/>
              <w:rPr>
                <w:rFonts w:cs="Arial"/>
                <w:color w:val="000000"/>
                <w:sz w:val="16"/>
                <w:szCs w:val="16"/>
              </w:rPr>
            </w:pPr>
            <w:r w:rsidRPr="00174057">
              <w:rPr>
                <w:rFonts w:cs="Arial"/>
                <w:color w:val="000000"/>
                <w:sz w:val="16"/>
                <w:szCs w:val="16"/>
              </w:rPr>
              <w:t>eDossier system availability</w:t>
            </w:r>
          </w:p>
        </w:tc>
        <w:tc>
          <w:tcPr>
            <w:tcW w:w="1707" w:type="dxa"/>
            <w:tcBorders>
              <w:top w:val="nil"/>
              <w:left w:val="nil"/>
              <w:bottom w:val="single" w:sz="4" w:space="0" w:color="auto"/>
              <w:right w:val="single" w:sz="4" w:space="0" w:color="auto"/>
            </w:tcBorders>
            <w:shd w:val="clear" w:color="auto" w:fill="auto"/>
            <w:vAlign w:val="center"/>
            <w:hideMark/>
          </w:tcPr>
          <w:p w:rsidR="00F838C5" w:rsidRPr="00174057" w:rsidRDefault="00F838C5" w:rsidP="001363EE">
            <w:pPr>
              <w:keepNext/>
              <w:keepLines/>
              <w:rPr>
                <w:rFonts w:cs="Arial"/>
                <w:color w:val="000000"/>
                <w:sz w:val="16"/>
                <w:szCs w:val="16"/>
              </w:rPr>
            </w:pPr>
            <w:r w:rsidRPr="00174057">
              <w:rPr>
                <w:rFonts w:cs="Arial"/>
                <w:color w:val="000000"/>
                <w:sz w:val="16"/>
                <w:szCs w:val="16"/>
              </w:rPr>
              <w:t>99%</w:t>
            </w:r>
          </w:p>
        </w:tc>
        <w:tc>
          <w:tcPr>
            <w:tcW w:w="1773" w:type="dxa"/>
            <w:tcBorders>
              <w:top w:val="nil"/>
              <w:left w:val="nil"/>
              <w:bottom w:val="single" w:sz="4" w:space="0" w:color="auto"/>
              <w:right w:val="single" w:sz="4" w:space="0" w:color="auto"/>
            </w:tcBorders>
            <w:shd w:val="clear" w:color="auto" w:fill="auto"/>
            <w:vAlign w:val="center"/>
            <w:hideMark/>
          </w:tcPr>
          <w:p w:rsidR="00F838C5" w:rsidRPr="00174057" w:rsidRDefault="00F838C5" w:rsidP="001363EE">
            <w:pPr>
              <w:keepNext/>
              <w:keepLines/>
              <w:rPr>
                <w:rFonts w:cs="Arial"/>
                <w:color w:val="000000"/>
                <w:sz w:val="16"/>
                <w:szCs w:val="16"/>
              </w:rPr>
            </w:pPr>
            <w:r w:rsidRPr="00174057">
              <w:rPr>
                <w:rFonts w:cs="Arial"/>
                <w:color w:val="000000"/>
                <w:sz w:val="16"/>
                <w:szCs w:val="16"/>
              </w:rPr>
              <w:t>7am-7pm on working days</w:t>
            </w:r>
          </w:p>
        </w:tc>
        <w:tc>
          <w:tcPr>
            <w:tcW w:w="760" w:type="dxa"/>
            <w:tcBorders>
              <w:top w:val="nil"/>
              <w:left w:val="nil"/>
              <w:bottom w:val="single" w:sz="4" w:space="0" w:color="auto"/>
              <w:right w:val="single" w:sz="4" w:space="0" w:color="auto"/>
            </w:tcBorders>
            <w:shd w:val="clear" w:color="auto" w:fill="auto"/>
            <w:vAlign w:val="center"/>
            <w:hideMark/>
          </w:tcPr>
          <w:p w:rsidR="00F838C5" w:rsidRPr="00174057" w:rsidRDefault="00F838C5" w:rsidP="001363EE">
            <w:pPr>
              <w:keepNext/>
              <w:keepLines/>
              <w:jc w:val="center"/>
              <w:rPr>
                <w:rFonts w:cs="Arial"/>
                <w:sz w:val="16"/>
                <w:szCs w:val="16"/>
              </w:rPr>
            </w:pPr>
            <w:r w:rsidRPr="00174057">
              <w:rPr>
                <w:rFonts w:cs="Arial"/>
                <w:sz w:val="16"/>
                <w:szCs w:val="16"/>
              </w:rPr>
              <w:t>100.0%</w:t>
            </w:r>
          </w:p>
        </w:tc>
        <w:tc>
          <w:tcPr>
            <w:tcW w:w="760" w:type="dxa"/>
            <w:tcBorders>
              <w:top w:val="nil"/>
              <w:left w:val="nil"/>
              <w:bottom w:val="single" w:sz="4" w:space="0" w:color="auto"/>
              <w:right w:val="single" w:sz="4" w:space="0" w:color="auto"/>
            </w:tcBorders>
            <w:shd w:val="clear" w:color="auto" w:fill="auto"/>
            <w:vAlign w:val="center"/>
            <w:hideMark/>
          </w:tcPr>
          <w:p w:rsidR="00F838C5" w:rsidRPr="00174057" w:rsidRDefault="00F838C5" w:rsidP="001363EE">
            <w:pPr>
              <w:keepNext/>
              <w:keepLines/>
              <w:jc w:val="center"/>
              <w:rPr>
                <w:rFonts w:cs="Arial"/>
                <w:sz w:val="16"/>
                <w:szCs w:val="16"/>
              </w:rPr>
            </w:pPr>
            <w:r w:rsidRPr="00174057">
              <w:rPr>
                <w:rFonts w:cs="Arial"/>
                <w:sz w:val="16"/>
                <w:szCs w:val="16"/>
              </w:rPr>
              <w:t>100.0%</w:t>
            </w:r>
          </w:p>
        </w:tc>
        <w:tc>
          <w:tcPr>
            <w:tcW w:w="760" w:type="dxa"/>
            <w:tcBorders>
              <w:top w:val="nil"/>
              <w:left w:val="nil"/>
              <w:bottom w:val="single" w:sz="4" w:space="0" w:color="auto"/>
              <w:right w:val="single" w:sz="4" w:space="0" w:color="auto"/>
            </w:tcBorders>
            <w:shd w:val="clear" w:color="auto" w:fill="auto"/>
            <w:vAlign w:val="center"/>
            <w:hideMark/>
          </w:tcPr>
          <w:p w:rsidR="00F838C5" w:rsidRPr="00174057" w:rsidRDefault="00F838C5" w:rsidP="001363EE">
            <w:pPr>
              <w:keepNext/>
              <w:keepLines/>
              <w:jc w:val="center"/>
              <w:rPr>
                <w:rFonts w:cs="Arial"/>
                <w:sz w:val="16"/>
                <w:szCs w:val="16"/>
              </w:rPr>
            </w:pPr>
            <w:r w:rsidRPr="00174057">
              <w:rPr>
                <w:rFonts w:cs="Arial"/>
                <w:sz w:val="16"/>
                <w:szCs w:val="16"/>
              </w:rPr>
              <w:t>100.0%</w:t>
            </w:r>
          </w:p>
        </w:tc>
      </w:tr>
      <w:tr w:rsidR="00F838C5" w:rsidRPr="00174057" w:rsidTr="001363EE">
        <w:trPr>
          <w:trHeight w:val="255"/>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F838C5" w:rsidRPr="00174057" w:rsidRDefault="00F838C5" w:rsidP="001363EE">
            <w:pPr>
              <w:keepNext/>
              <w:keepLines/>
              <w:jc w:val="center"/>
              <w:rPr>
                <w:rFonts w:cs="Arial"/>
                <w:color w:val="000000"/>
                <w:sz w:val="16"/>
                <w:szCs w:val="16"/>
              </w:rPr>
            </w:pPr>
            <w:r w:rsidRPr="00174057">
              <w:rPr>
                <w:rFonts w:cs="Arial"/>
                <w:color w:val="000000"/>
                <w:sz w:val="16"/>
                <w:szCs w:val="16"/>
              </w:rPr>
              <w:t>5</w:t>
            </w:r>
          </w:p>
        </w:tc>
        <w:tc>
          <w:tcPr>
            <w:tcW w:w="2920" w:type="dxa"/>
            <w:tcBorders>
              <w:top w:val="nil"/>
              <w:left w:val="nil"/>
              <w:bottom w:val="single" w:sz="4" w:space="0" w:color="auto"/>
              <w:right w:val="single" w:sz="4" w:space="0" w:color="auto"/>
            </w:tcBorders>
            <w:shd w:val="clear" w:color="auto" w:fill="auto"/>
            <w:vAlign w:val="center"/>
            <w:hideMark/>
          </w:tcPr>
          <w:p w:rsidR="00F838C5" w:rsidRPr="00174057" w:rsidRDefault="00F838C5" w:rsidP="001363EE">
            <w:pPr>
              <w:keepNext/>
              <w:keepLines/>
              <w:rPr>
                <w:rFonts w:cs="Arial"/>
                <w:color w:val="000000"/>
                <w:sz w:val="16"/>
                <w:szCs w:val="16"/>
              </w:rPr>
            </w:pPr>
            <w:r w:rsidRPr="00174057">
              <w:rPr>
                <w:rFonts w:cs="Arial"/>
                <w:color w:val="000000"/>
                <w:sz w:val="16"/>
                <w:szCs w:val="16"/>
              </w:rPr>
              <w:t>ePCT system availability</w:t>
            </w:r>
          </w:p>
        </w:tc>
        <w:tc>
          <w:tcPr>
            <w:tcW w:w="1707" w:type="dxa"/>
            <w:tcBorders>
              <w:top w:val="nil"/>
              <w:left w:val="nil"/>
              <w:bottom w:val="single" w:sz="4" w:space="0" w:color="auto"/>
              <w:right w:val="single" w:sz="4" w:space="0" w:color="auto"/>
            </w:tcBorders>
            <w:shd w:val="clear" w:color="auto" w:fill="auto"/>
            <w:vAlign w:val="center"/>
            <w:hideMark/>
          </w:tcPr>
          <w:p w:rsidR="00F838C5" w:rsidRPr="00174057" w:rsidRDefault="00F838C5" w:rsidP="001363EE">
            <w:pPr>
              <w:keepNext/>
              <w:keepLines/>
              <w:rPr>
                <w:rFonts w:cs="Arial"/>
                <w:color w:val="000000"/>
                <w:sz w:val="16"/>
                <w:szCs w:val="16"/>
              </w:rPr>
            </w:pPr>
            <w:r w:rsidRPr="00174057">
              <w:rPr>
                <w:rFonts w:cs="Arial"/>
                <w:color w:val="000000"/>
                <w:sz w:val="16"/>
                <w:szCs w:val="16"/>
              </w:rPr>
              <w:t>99%</w:t>
            </w:r>
          </w:p>
        </w:tc>
        <w:tc>
          <w:tcPr>
            <w:tcW w:w="1773" w:type="dxa"/>
            <w:tcBorders>
              <w:top w:val="nil"/>
              <w:left w:val="nil"/>
              <w:bottom w:val="single" w:sz="4" w:space="0" w:color="auto"/>
              <w:right w:val="single" w:sz="4" w:space="0" w:color="auto"/>
            </w:tcBorders>
            <w:shd w:val="clear" w:color="auto" w:fill="auto"/>
            <w:vAlign w:val="center"/>
            <w:hideMark/>
          </w:tcPr>
          <w:p w:rsidR="00F838C5" w:rsidRPr="00174057" w:rsidRDefault="00F838C5" w:rsidP="001363EE">
            <w:pPr>
              <w:keepNext/>
              <w:keepLines/>
              <w:rPr>
                <w:rFonts w:cs="Arial"/>
                <w:color w:val="000000"/>
                <w:sz w:val="16"/>
                <w:szCs w:val="16"/>
              </w:rPr>
            </w:pPr>
            <w:r w:rsidRPr="00174057">
              <w:rPr>
                <w:rFonts w:cs="Arial"/>
                <w:color w:val="000000"/>
                <w:sz w:val="16"/>
                <w:szCs w:val="16"/>
              </w:rPr>
              <w:t>24 hours</w:t>
            </w:r>
          </w:p>
        </w:tc>
        <w:tc>
          <w:tcPr>
            <w:tcW w:w="760" w:type="dxa"/>
            <w:tcBorders>
              <w:top w:val="nil"/>
              <w:left w:val="nil"/>
              <w:bottom w:val="single" w:sz="4" w:space="0" w:color="auto"/>
              <w:right w:val="single" w:sz="4" w:space="0" w:color="auto"/>
            </w:tcBorders>
            <w:shd w:val="clear" w:color="auto" w:fill="auto"/>
            <w:vAlign w:val="center"/>
            <w:hideMark/>
          </w:tcPr>
          <w:p w:rsidR="00F838C5" w:rsidRPr="00174057" w:rsidRDefault="00F838C5" w:rsidP="001363EE">
            <w:pPr>
              <w:keepNext/>
              <w:keepLines/>
              <w:jc w:val="center"/>
              <w:rPr>
                <w:rFonts w:cs="Arial"/>
                <w:sz w:val="16"/>
                <w:szCs w:val="16"/>
              </w:rPr>
            </w:pPr>
            <w:r w:rsidRPr="00174057">
              <w:rPr>
                <w:rFonts w:cs="Arial"/>
                <w:sz w:val="16"/>
                <w:szCs w:val="16"/>
              </w:rPr>
              <w:t>100.0%</w:t>
            </w:r>
          </w:p>
        </w:tc>
        <w:tc>
          <w:tcPr>
            <w:tcW w:w="760" w:type="dxa"/>
            <w:tcBorders>
              <w:top w:val="nil"/>
              <w:left w:val="nil"/>
              <w:bottom w:val="single" w:sz="4" w:space="0" w:color="auto"/>
              <w:right w:val="single" w:sz="4" w:space="0" w:color="auto"/>
            </w:tcBorders>
            <w:shd w:val="clear" w:color="auto" w:fill="auto"/>
            <w:vAlign w:val="center"/>
            <w:hideMark/>
          </w:tcPr>
          <w:p w:rsidR="00F838C5" w:rsidRPr="00174057" w:rsidRDefault="00F838C5" w:rsidP="001363EE">
            <w:pPr>
              <w:keepNext/>
              <w:keepLines/>
              <w:jc w:val="center"/>
              <w:rPr>
                <w:rFonts w:cs="Arial"/>
                <w:sz w:val="16"/>
                <w:szCs w:val="16"/>
              </w:rPr>
            </w:pPr>
            <w:r w:rsidRPr="00174057">
              <w:rPr>
                <w:rFonts w:cs="Arial"/>
                <w:sz w:val="16"/>
                <w:szCs w:val="16"/>
              </w:rPr>
              <w:t>100.0%</w:t>
            </w:r>
          </w:p>
        </w:tc>
        <w:tc>
          <w:tcPr>
            <w:tcW w:w="760" w:type="dxa"/>
            <w:tcBorders>
              <w:top w:val="nil"/>
              <w:left w:val="nil"/>
              <w:bottom w:val="single" w:sz="4" w:space="0" w:color="auto"/>
              <w:right w:val="single" w:sz="4" w:space="0" w:color="auto"/>
            </w:tcBorders>
            <w:shd w:val="clear" w:color="auto" w:fill="auto"/>
            <w:vAlign w:val="center"/>
            <w:hideMark/>
          </w:tcPr>
          <w:p w:rsidR="00F838C5" w:rsidRPr="00174057" w:rsidRDefault="00F838C5" w:rsidP="001363EE">
            <w:pPr>
              <w:keepNext/>
              <w:keepLines/>
              <w:jc w:val="center"/>
              <w:rPr>
                <w:rFonts w:cs="Arial"/>
                <w:sz w:val="16"/>
                <w:szCs w:val="16"/>
              </w:rPr>
            </w:pPr>
            <w:r w:rsidRPr="00174057">
              <w:rPr>
                <w:rFonts w:cs="Arial"/>
                <w:sz w:val="16"/>
                <w:szCs w:val="16"/>
              </w:rPr>
              <w:t>100.0%</w:t>
            </w:r>
          </w:p>
        </w:tc>
      </w:tr>
      <w:tr w:rsidR="00F838C5" w:rsidRPr="00174057" w:rsidTr="001363EE">
        <w:trPr>
          <w:trHeight w:val="450"/>
        </w:trPr>
        <w:tc>
          <w:tcPr>
            <w:tcW w:w="400" w:type="dxa"/>
            <w:vMerge w:val="restart"/>
            <w:tcBorders>
              <w:top w:val="nil"/>
              <w:left w:val="single" w:sz="4" w:space="0" w:color="auto"/>
              <w:bottom w:val="single" w:sz="4" w:space="0" w:color="auto"/>
              <w:right w:val="single" w:sz="4" w:space="0" w:color="auto"/>
            </w:tcBorders>
            <w:shd w:val="clear" w:color="auto" w:fill="auto"/>
            <w:vAlign w:val="center"/>
            <w:hideMark/>
          </w:tcPr>
          <w:p w:rsidR="00F838C5" w:rsidRPr="00174057" w:rsidRDefault="00F838C5" w:rsidP="001363EE">
            <w:pPr>
              <w:keepNext/>
              <w:keepLines/>
              <w:jc w:val="center"/>
              <w:rPr>
                <w:rFonts w:cs="Arial"/>
                <w:b/>
                <w:bCs/>
                <w:color w:val="000000"/>
                <w:sz w:val="16"/>
                <w:szCs w:val="16"/>
              </w:rPr>
            </w:pPr>
            <w:r w:rsidRPr="00174057">
              <w:rPr>
                <w:rFonts w:cs="Arial"/>
                <w:b/>
                <w:bCs/>
                <w:color w:val="000000"/>
                <w:sz w:val="16"/>
                <w:szCs w:val="16"/>
              </w:rPr>
              <w:t> </w:t>
            </w:r>
          </w:p>
        </w:tc>
        <w:tc>
          <w:tcPr>
            <w:tcW w:w="2920" w:type="dxa"/>
            <w:tcBorders>
              <w:top w:val="nil"/>
              <w:left w:val="nil"/>
              <w:bottom w:val="nil"/>
              <w:right w:val="single" w:sz="4" w:space="0" w:color="auto"/>
            </w:tcBorders>
            <w:shd w:val="clear" w:color="auto" w:fill="auto"/>
            <w:vAlign w:val="center"/>
            <w:hideMark/>
          </w:tcPr>
          <w:p w:rsidR="00F838C5" w:rsidRPr="00174057" w:rsidRDefault="00F838C5" w:rsidP="001363EE">
            <w:pPr>
              <w:keepNext/>
              <w:keepLines/>
              <w:rPr>
                <w:rFonts w:cs="Arial"/>
                <w:b/>
                <w:bCs/>
                <w:color w:val="000000"/>
                <w:sz w:val="16"/>
                <w:szCs w:val="16"/>
              </w:rPr>
            </w:pPr>
            <w:r w:rsidRPr="00174057">
              <w:rPr>
                <w:rFonts w:cs="Arial"/>
                <w:b/>
                <w:bCs/>
                <w:color w:val="000000"/>
                <w:sz w:val="16"/>
                <w:szCs w:val="16"/>
              </w:rPr>
              <w:t>Information systems service levels (ISSL)</w:t>
            </w:r>
          </w:p>
        </w:tc>
        <w:tc>
          <w:tcPr>
            <w:tcW w:w="1707" w:type="dxa"/>
            <w:vMerge w:val="restart"/>
            <w:tcBorders>
              <w:top w:val="nil"/>
              <w:left w:val="single" w:sz="4" w:space="0" w:color="auto"/>
              <w:bottom w:val="single" w:sz="4" w:space="0" w:color="auto"/>
              <w:right w:val="single" w:sz="4" w:space="0" w:color="auto"/>
            </w:tcBorders>
            <w:shd w:val="clear" w:color="auto" w:fill="auto"/>
            <w:vAlign w:val="center"/>
            <w:hideMark/>
          </w:tcPr>
          <w:p w:rsidR="00F838C5" w:rsidRPr="00174057" w:rsidRDefault="00F838C5" w:rsidP="001363EE">
            <w:pPr>
              <w:keepNext/>
              <w:keepLines/>
              <w:rPr>
                <w:rFonts w:cs="Arial"/>
                <w:b/>
                <w:bCs/>
                <w:color w:val="000000"/>
                <w:sz w:val="16"/>
                <w:szCs w:val="16"/>
              </w:rPr>
            </w:pPr>
            <w:r w:rsidRPr="00174057">
              <w:rPr>
                <w:rFonts w:cs="Arial"/>
                <w:b/>
                <w:bCs/>
                <w:color w:val="000000"/>
                <w:sz w:val="16"/>
                <w:szCs w:val="16"/>
              </w:rPr>
              <w:t> </w:t>
            </w:r>
          </w:p>
        </w:tc>
        <w:tc>
          <w:tcPr>
            <w:tcW w:w="1773" w:type="dxa"/>
            <w:vMerge w:val="restart"/>
            <w:tcBorders>
              <w:top w:val="nil"/>
              <w:left w:val="single" w:sz="4" w:space="0" w:color="auto"/>
              <w:bottom w:val="single" w:sz="4" w:space="0" w:color="auto"/>
              <w:right w:val="single" w:sz="4" w:space="0" w:color="auto"/>
            </w:tcBorders>
            <w:shd w:val="clear" w:color="auto" w:fill="auto"/>
            <w:vAlign w:val="center"/>
            <w:hideMark/>
          </w:tcPr>
          <w:p w:rsidR="00F838C5" w:rsidRPr="00174057" w:rsidRDefault="00F838C5" w:rsidP="001363EE">
            <w:pPr>
              <w:keepNext/>
              <w:keepLines/>
              <w:rPr>
                <w:rFonts w:cs="Arial"/>
                <w:b/>
                <w:bCs/>
                <w:color w:val="000000"/>
                <w:sz w:val="16"/>
                <w:szCs w:val="16"/>
              </w:rPr>
            </w:pPr>
            <w:r w:rsidRPr="00174057">
              <w:rPr>
                <w:rFonts w:cs="Arial"/>
                <w:b/>
                <w:bCs/>
                <w:color w:val="000000"/>
                <w:sz w:val="16"/>
                <w:szCs w:val="16"/>
              </w:rPr>
              <w:t> </w:t>
            </w:r>
          </w:p>
        </w:tc>
        <w:tc>
          <w:tcPr>
            <w:tcW w:w="760" w:type="dxa"/>
            <w:vMerge w:val="restart"/>
            <w:tcBorders>
              <w:top w:val="nil"/>
              <w:left w:val="single" w:sz="4" w:space="0" w:color="auto"/>
              <w:bottom w:val="single" w:sz="4" w:space="0" w:color="auto"/>
              <w:right w:val="single" w:sz="4" w:space="0" w:color="auto"/>
            </w:tcBorders>
            <w:shd w:val="clear" w:color="auto" w:fill="auto"/>
            <w:vAlign w:val="center"/>
            <w:hideMark/>
          </w:tcPr>
          <w:p w:rsidR="00F838C5" w:rsidRPr="00174057" w:rsidRDefault="00F838C5" w:rsidP="001363EE">
            <w:pPr>
              <w:keepNext/>
              <w:keepLines/>
              <w:jc w:val="center"/>
              <w:rPr>
                <w:rFonts w:cs="Arial"/>
                <w:b/>
                <w:bCs/>
                <w:sz w:val="16"/>
                <w:szCs w:val="16"/>
              </w:rPr>
            </w:pPr>
            <w:r w:rsidRPr="00174057">
              <w:rPr>
                <w:rFonts w:cs="Arial"/>
                <w:b/>
                <w:bCs/>
                <w:sz w:val="16"/>
                <w:szCs w:val="16"/>
              </w:rPr>
              <w:t>93.0%</w:t>
            </w:r>
          </w:p>
        </w:tc>
        <w:tc>
          <w:tcPr>
            <w:tcW w:w="760" w:type="dxa"/>
            <w:vMerge w:val="restart"/>
            <w:tcBorders>
              <w:top w:val="nil"/>
              <w:left w:val="single" w:sz="4" w:space="0" w:color="auto"/>
              <w:bottom w:val="single" w:sz="4" w:space="0" w:color="auto"/>
              <w:right w:val="single" w:sz="4" w:space="0" w:color="auto"/>
            </w:tcBorders>
            <w:shd w:val="clear" w:color="auto" w:fill="auto"/>
            <w:vAlign w:val="center"/>
            <w:hideMark/>
          </w:tcPr>
          <w:p w:rsidR="00F838C5" w:rsidRPr="00174057" w:rsidRDefault="00F838C5" w:rsidP="001363EE">
            <w:pPr>
              <w:keepNext/>
              <w:keepLines/>
              <w:jc w:val="center"/>
              <w:rPr>
                <w:rFonts w:cs="Arial"/>
                <w:b/>
                <w:bCs/>
                <w:sz w:val="16"/>
                <w:szCs w:val="16"/>
              </w:rPr>
            </w:pPr>
            <w:r w:rsidRPr="00174057">
              <w:rPr>
                <w:rFonts w:cs="Arial"/>
                <w:b/>
                <w:bCs/>
                <w:sz w:val="16"/>
                <w:szCs w:val="16"/>
              </w:rPr>
              <w:t>95.1%</w:t>
            </w:r>
            <w:r>
              <w:rPr>
                <w:rStyle w:val="FootnoteReference"/>
                <w:rFonts w:cs="Arial"/>
                <w:b/>
                <w:bCs/>
                <w:sz w:val="16"/>
                <w:szCs w:val="16"/>
              </w:rPr>
              <w:footnoteReference w:id="23"/>
            </w:r>
          </w:p>
        </w:tc>
        <w:tc>
          <w:tcPr>
            <w:tcW w:w="760" w:type="dxa"/>
            <w:vMerge w:val="restart"/>
            <w:tcBorders>
              <w:top w:val="nil"/>
              <w:left w:val="single" w:sz="4" w:space="0" w:color="auto"/>
              <w:bottom w:val="single" w:sz="4" w:space="0" w:color="auto"/>
              <w:right w:val="single" w:sz="4" w:space="0" w:color="auto"/>
            </w:tcBorders>
            <w:shd w:val="clear" w:color="auto" w:fill="auto"/>
            <w:vAlign w:val="center"/>
            <w:hideMark/>
          </w:tcPr>
          <w:p w:rsidR="00F838C5" w:rsidRPr="00174057" w:rsidRDefault="00F838C5" w:rsidP="001363EE">
            <w:pPr>
              <w:keepNext/>
              <w:keepLines/>
              <w:jc w:val="center"/>
              <w:rPr>
                <w:rFonts w:cs="Arial"/>
                <w:b/>
                <w:bCs/>
                <w:sz w:val="16"/>
                <w:szCs w:val="16"/>
              </w:rPr>
            </w:pPr>
            <w:r w:rsidRPr="00174057">
              <w:rPr>
                <w:rFonts w:cs="Arial"/>
                <w:b/>
                <w:bCs/>
                <w:sz w:val="16"/>
                <w:szCs w:val="16"/>
              </w:rPr>
              <w:t>96.5%</w:t>
            </w:r>
          </w:p>
        </w:tc>
      </w:tr>
      <w:tr w:rsidR="00F838C5" w:rsidRPr="00174057" w:rsidTr="001363EE">
        <w:trPr>
          <w:trHeight w:val="690"/>
        </w:trPr>
        <w:tc>
          <w:tcPr>
            <w:tcW w:w="400" w:type="dxa"/>
            <w:vMerge/>
            <w:tcBorders>
              <w:top w:val="nil"/>
              <w:left w:val="single" w:sz="4" w:space="0" w:color="auto"/>
              <w:bottom w:val="single" w:sz="4" w:space="0" w:color="auto"/>
              <w:right w:val="single" w:sz="4" w:space="0" w:color="auto"/>
            </w:tcBorders>
            <w:vAlign w:val="center"/>
            <w:hideMark/>
          </w:tcPr>
          <w:p w:rsidR="00F838C5" w:rsidRPr="00174057" w:rsidRDefault="00F838C5" w:rsidP="001363EE">
            <w:pPr>
              <w:keepNext/>
              <w:keepLines/>
              <w:rPr>
                <w:rFonts w:cs="Arial"/>
                <w:b/>
                <w:bCs/>
                <w:color w:val="000000"/>
                <w:sz w:val="16"/>
                <w:szCs w:val="16"/>
              </w:rPr>
            </w:pPr>
          </w:p>
        </w:tc>
        <w:tc>
          <w:tcPr>
            <w:tcW w:w="2920" w:type="dxa"/>
            <w:tcBorders>
              <w:top w:val="nil"/>
              <w:left w:val="nil"/>
              <w:bottom w:val="single" w:sz="4" w:space="0" w:color="auto"/>
              <w:right w:val="single" w:sz="4" w:space="0" w:color="auto"/>
            </w:tcBorders>
            <w:shd w:val="clear" w:color="auto" w:fill="auto"/>
            <w:vAlign w:val="center"/>
            <w:hideMark/>
          </w:tcPr>
          <w:p w:rsidR="00F838C5" w:rsidRPr="00174057" w:rsidRDefault="00F838C5" w:rsidP="001363EE">
            <w:pPr>
              <w:keepNext/>
              <w:keepLines/>
              <w:rPr>
                <w:rFonts w:cs="Arial"/>
                <w:b/>
                <w:bCs/>
                <w:i/>
                <w:iCs/>
                <w:color w:val="000000"/>
                <w:sz w:val="16"/>
                <w:szCs w:val="16"/>
              </w:rPr>
            </w:pPr>
            <w:r w:rsidRPr="00174057">
              <w:rPr>
                <w:rFonts w:cs="Arial"/>
                <w:b/>
                <w:bCs/>
                <w:i/>
                <w:iCs/>
                <w:color w:val="000000"/>
                <w:sz w:val="16"/>
                <w:szCs w:val="16"/>
              </w:rPr>
              <w:t>Weighted average of the above indicators:</w:t>
            </w:r>
            <w:r>
              <w:rPr>
                <w:rFonts w:cs="Arial"/>
                <w:b/>
                <w:bCs/>
                <w:i/>
                <w:iCs/>
                <w:color w:val="000000"/>
                <w:sz w:val="16"/>
                <w:szCs w:val="16"/>
              </w:rPr>
              <w:t xml:space="preserve"> </w:t>
            </w:r>
            <w:r w:rsidRPr="00174057">
              <w:rPr>
                <w:rFonts w:cs="Arial"/>
                <w:b/>
                <w:bCs/>
                <w:i/>
                <w:iCs/>
                <w:color w:val="000000"/>
                <w:sz w:val="16"/>
                <w:szCs w:val="16"/>
              </w:rPr>
              <w:t xml:space="preserve"> (1) 20% (2) 20% (3) 20% (4) 20% (5) 20%.</w:t>
            </w:r>
          </w:p>
        </w:tc>
        <w:tc>
          <w:tcPr>
            <w:tcW w:w="1707" w:type="dxa"/>
            <w:vMerge/>
            <w:tcBorders>
              <w:top w:val="nil"/>
              <w:left w:val="single" w:sz="4" w:space="0" w:color="auto"/>
              <w:bottom w:val="single" w:sz="4" w:space="0" w:color="auto"/>
              <w:right w:val="single" w:sz="4" w:space="0" w:color="auto"/>
            </w:tcBorders>
            <w:vAlign w:val="center"/>
            <w:hideMark/>
          </w:tcPr>
          <w:p w:rsidR="00F838C5" w:rsidRPr="00174057" w:rsidRDefault="00F838C5" w:rsidP="001363EE">
            <w:pPr>
              <w:keepNext/>
              <w:keepLines/>
              <w:rPr>
                <w:rFonts w:cs="Arial"/>
                <w:b/>
                <w:bCs/>
                <w:color w:val="000000"/>
                <w:sz w:val="16"/>
                <w:szCs w:val="16"/>
              </w:rPr>
            </w:pPr>
          </w:p>
        </w:tc>
        <w:tc>
          <w:tcPr>
            <w:tcW w:w="1773" w:type="dxa"/>
            <w:vMerge/>
            <w:tcBorders>
              <w:top w:val="nil"/>
              <w:left w:val="single" w:sz="4" w:space="0" w:color="auto"/>
              <w:bottom w:val="single" w:sz="4" w:space="0" w:color="auto"/>
              <w:right w:val="single" w:sz="4" w:space="0" w:color="auto"/>
            </w:tcBorders>
            <w:vAlign w:val="center"/>
            <w:hideMark/>
          </w:tcPr>
          <w:p w:rsidR="00F838C5" w:rsidRPr="00174057" w:rsidRDefault="00F838C5" w:rsidP="001363EE">
            <w:pPr>
              <w:keepNext/>
              <w:keepLines/>
              <w:rPr>
                <w:rFonts w:cs="Arial"/>
                <w:b/>
                <w:bCs/>
                <w:color w:val="000000"/>
                <w:sz w:val="16"/>
                <w:szCs w:val="16"/>
              </w:rPr>
            </w:pPr>
          </w:p>
        </w:tc>
        <w:tc>
          <w:tcPr>
            <w:tcW w:w="760" w:type="dxa"/>
            <w:vMerge/>
            <w:tcBorders>
              <w:top w:val="nil"/>
              <w:left w:val="single" w:sz="4" w:space="0" w:color="auto"/>
              <w:bottom w:val="single" w:sz="4" w:space="0" w:color="auto"/>
              <w:right w:val="single" w:sz="4" w:space="0" w:color="auto"/>
            </w:tcBorders>
            <w:vAlign w:val="center"/>
            <w:hideMark/>
          </w:tcPr>
          <w:p w:rsidR="00F838C5" w:rsidRPr="00174057" w:rsidRDefault="00F838C5" w:rsidP="001363EE">
            <w:pPr>
              <w:keepNext/>
              <w:keepLines/>
              <w:rPr>
                <w:rFonts w:cs="Arial"/>
                <w:b/>
                <w:bCs/>
                <w:sz w:val="16"/>
                <w:szCs w:val="16"/>
              </w:rPr>
            </w:pPr>
          </w:p>
        </w:tc>
        <w:tc>
          <w:tcPr>
            <w:tcW w:w="760" w:type="dxa"/>
            <w:vMerge/>
            <w:tcBorders>
              <w:top w:val="nil"/>
              <w:left w:val="single" w:sz="4" w:space="0" w:color="auto"/>
              <w:bottom w:val="single" w:sz="4" w:space="0" w:color="auto"/>
              <w:right w:val="single" w:sz="4" w:space="0" w:color="auto"/>
            </w:tcBorders>
            <w:vAlign w:val="center"/>
            <w:hideMark/>
          </w:tcPr>
          <w:p w:rsidR="00F838C5" w:rsidRPr="00174057" w:rsidRDefault="00F838C5" w:rsidP="001363EE">
            <w:pPr>
              <w:keepNext/>
              <w:keepLines/>
              <w:rPr>
                <w:rFonts w:cs="Arial"/>
                <w:b/>
                <w:bCs/>
                <w:sz w:val="16"/>
                <w:szCs w:val="16"/>
              </w:rPr>
            </w:pPr>
          </w:p>
        </w:tc>
        <w:tc>
          <w:tcPr>
            <w:tcW w:w="760" w:type="dxa"/>
            <w:vMerge/>
            <w:tcBorders>
              <w:top w:val="nil"/>
              <w:left w:val="single" w:sz="4" w:space="0" w:color="auto"/>
              <w:bottom w:val="single" w:sz="4" w:space="0" w:color="auto"/>
              <w:right w:val="single" w:sz="4" w:space="0" w:color="auto"/>
            </w:tcBorders>
            <w:vAlign w:val="center"/>
            <w:hideMark/>
          </w:tcPr>
          <w:p w:rsidR="00F838C5" w:rsidRPr="00174057" w:rsidRDefault="00F838C5" w:rsidP="001363EE">
            <w:pPr>
              <w:keepNext/>
              <w:keepLines/>
              <w:rPr>
                <w:rFonts w:cs="Arial"/>
                <w:b/>
                <w:bCs/>
                <w:sz w:val="16"/>
                <w:szCs w:val="16"/>
              </w:rPr>
            </w:pPr>
          </w:p>
        </w:tc>
      </w:tr>
      <w:tr w:rsidR="00F838C5" w:rsidRPr="00174057" w:rsidTr="001363EE">
        <w:trPr>
          <w:trHeight w:val="255"/>
        </w:trPr>
        <w:tc>
          <w:tcPr>
            <w:tcW w:w="3320" w:type="dxa"/>
            <w:gridSpan w:val="2"/>
            <w:tcBorders>
              <w:top w:val="nil"/>
              <w:left w:val="nil"/>
              <w:bottom w:val="nil"/>
              <w:right w:val="nil"/>
            </w:tcBorders>
            <w:shd w:val="clear" w:color="auto" w:fill="auto"/>
            <w:noWrap/>
            <w:vAlign w:val="center"/>
            <w:hideMark/>
          </w:tcPr>
          <w:p w:rsidR="00F838C5" w:rsidRPr="00174057" w:rsidRDefault="00F838C5" w:rsidP="001363EE">
            <w:pPr>
              <w:keepNext/>
              <w:keepLines/>
              <w:rPr>
                <w:rFonts w:cs="Arial"/>
                <w:color w:val="000000"/>
                <w:sz w:val="16"/>
                <w:szCs w:val="16"/>
              </w:rPr>
            </w:pPr>
            <w:r w:rsidRPr="00174057">
              <w:rPr>
                <w:rFonts w:cs="Arial"/>
                <w:color w:val="000000"/>
                <w:sz w:val="16"/>
                <w:szCs w:val="16"/>
              </w:rPr>
              <w:t>Source:</w:t>
            </w:r>
            <w:r>
              <w:rPr>
                <w:rFonts w:cs="Arial"/>
                <w:color w:val="000000"/>
                <w:sz w:val="16"/>
                <w:szCs w:val="16"/>
              </w:rPr>
              <w:t xml:space="preserve"> </w:t>
            </w:r>
            <w:r w:rsidRPr="00174057">
              <w:rPr>
                <w:rFonts w:cs="Arial"/>
                <w:color w:val="000000"/>
                <w:sz w:val="16"/>
                <w:szCs w:val="16"/>
              </w:rPr>
              <w:t xml:space="preserve"> PCT Operations, February 2016</w:t>
            </w:r>
          </w:p>
        </w:tc>
        <w:tc>
          <w:tcPr>
            <w:tcW w:w="1707" w:type="dxa"/>
            <w:tcBorders>
              <w:top w:val="nil"/>
              <w:left w:val="nil"/>
              <w:bottom w:val="nil"/>
              <w:right w:val="nil"/>
            </w:tcBorders>
            <w:shd w:val="clear" w:color="auto" w:fill="auto"/>
            <w:noWrap/>
            <w:vAlign w:val="bottom"/>
            <w:hideMark/>
          </w:tcPr>
          <w:p w:rsidR="00F838C5" w:rsidRPr="00174057" w:rsidRDefault="00F838C5" w:rsidP="001363EE">
            <w:pPr>
              <w:keepNext/>
              <w:keepLines/>
              <w:rPr>
                <w:rFonts w:cs="Arial"/>
                <w:szCs w:val="20"/>
              </w:rPr>
            </w:pPr>
          </w:p>
        </w:tc>
        <w:tc>
          <w:tcPr>
            <w:tcW w:w="1773" w:type="dxa"/>
            <w:tcBorders>
              <w:top w:val="nil"/>
              <w:left w:val="nil"/>
              <w:bottom w:val="nil"/>
              <w:right w:val="nil"/>
            </w:tcBorders>
            <w:shd w:val="clear" w:color="auto" w:fill="auto"/>
            <w:noWrap/>
            <w:vAlign w:val="bottom"/>
            <w:hideMark/>
          </w:tcPr>
          <w:p w:rsidR="00F838C5" w:rsidRPr="00174057" w:rsidRDefault="00F838C5" w:rsidP="001363EE">
            <w:pPr>
              <w:keepNext/>
              <w:keepLines/>
              <w:rPr>
                <w:rFonts w:cs="Arial"/>
                <w:szCs w:val="20"/>
              </w:rPr>
            </w:pPr>
          </w:p>
        </w:tc>
        <w:tc>
          <w:tcPr>
            <w:tcW w:w="760" w:type="dxa"/>
            <w:tcBorders>
              <w:top w:val="nil"/>
              <w:left w:val="nil"/>
              <w:bottom w:val="nil"/>
              <w:right w:val="nil"/>
            </w:tcBorders>
            <w:shd w:val="clear" w:color="auto" w:fill="auto"/>
            <w:noWrap/>
            <w:vAlign w:val="bottom"/>
            <w:hideMark/>
          </w:tcPr>
          <w:p w:rsidR="00F838C5" w:rsidRPr="00174057" w:rsidRDefault="00F838C5" w:rsidP="001363EE">
            <w:pPr>
              <w:keepNext/>
              <w:keepLines/>
              <w:rPr>
                <w:rFonts w:cs="Arial"/>
                <w:szCs w:val="20"/>
              </w:rPr>
            </w:pPr>
          </w:p>
        </w:tc>
        <w:tc>
          <w:tcPr>
            <w:tcW w:w="760" w:type="dxa"/>
            <w:tcBorders>
              <w:top w:val="nil"/>
              <w:left w:val="nil"/>
              <w:bottom w:val="nil"/>
              <w:right w:val="nil"/>
            </w:tcBorders>
            <w:shd w:val="clear" w:color="auto" w:fill="auto"/>
            <w:noWrap/>
            <w:vAlign w:val="bottom"/>
            <w:hideMark/>
          </w:tcPr>
          <w:p w:rsidR="00F838C5" w:rsidRPr="00174057" w:rsidRDefault="00F838C5" w:rsidP="001363EE">
            <w:pPr>
              <w:keepNext/>
              <w:keepLines/>
              <w:rPr>
                <w:rFonts w:cs="Arial"/>
                <w:szCs w:val="20"/>
              </w:rPr>
            </w:pPr>
          </w:p>
        </w:tc>
        <w:tc>
          <w:tcPr>
            <w:tcW w:w="760" w:type="dxa"/>
            <w:tcBorders>
              <w:top w:val="nil"/>
              <w:left w:val="nil"/>
              <w:bottom w:val="nil"/>
              <w:right w:val="nil"/>
            </w:tcBorders>
            <w:shd w:val="clear" w:color="auto" w:fill="auto"/>
            <w:noWrap/>
            <w:vAlign w:val="bottom"/>
            <w:hideMark/>
          </w:tcPr>
          <w:p w:rsidR="00F838C5" w:rsidRPr="00174057" w:rsidRDefault="00F838C5" w:rsidP="001363EE">
            <w:pPr>
              <w:keepNext/>
              <w:keepLines/>
              <w:rPr>
                <w:rFonts w:cs="Arial"/>
                <w:szCs w:val="20"/>
              </w:rPr>
            </w:pPr>
          </w:p>
        </w:tc>
      </w:tr>
    </w:tbl>
    <w:p w:rsidR="00F838C5" w:rsidRDefault="00F838C5" w:rsidP="00E023E5">
      <w:pPr>
        <w:rPr>
          <w:b/>
          <w:szCs w:val="16"/>
          <w:highlight w:val="yellow"/>
        </w:rPr>
      </w:pPr>
    </w:p>
    <w:p w:rsidR="00F838C5" w:rsidRPr="000E46C3" w:rsidRDefault="00F838C5" w:rsidP="00E023E5">
      <w:pPr>
        <w:rPr>
          <w:b/>
          <w:szCs w:val="16"/>
          <w:highlight w:val="yellow"/>
        </w:rPr>
      </w:pPr>
    </w:p>
    <w:p w:rsidR="00F838C5" w:rsidRPr="00E34675" w:rsidRDefault="00F838C5" w:rsidP="00E023E5">
      <w:pPr>
        <w:rPr>
          <w:b/>
          <w:szCs w:val="16"/>
        </w:rPr>
      </w:pPr>
      <w:r w:rsidRPr="00E34675">
        <w:rPr>
          <w:b/>
          <w:szCs w:val="16"/>
        </w:rPr>
        <w:t>Receiving Office at the International Bureau (RO/IB)</w:t>
      </w:r>
    </w:p>
    <w:p w:rsidR="00F838C5" w:rsidRPr="00E34675" w:rsidRDefault="00F838C5" w:rsidP="00E023E5">
      <w:pPr>
        <w:rPr>
          <w:b/>
          <w:szCs w:val="16"/>
        </w:rPr>
      </w:pPr>
    </w:p>
    <w:p w:rsidR="00F838C5" w:rsidRPr="00E34675" w:rsidRDefault="00F838C5" w:rsidP="00E023E5">
      <w:pPr>
        <w:rPr>
          <w:i/>
        </w:rPr>
      </w:pPr>
      <w:r w:rsidRPr="00E34675">
        <w:rPr>
          <w:i/>
        </w:rPr>
        <w:t xml:space="preserve">Filings </w:t>
      </w:r>
    </w:p>
    <w:p w:rsidR="00F838C5" w:rsidRPr="00E34675" w:rsidRDefault="00F838C5" w:rsidP="00E023E5">
      <w:pPr>
        <w:rPr>
          <w:b/>
          <w:szCs w:val="18"/>
        </w:rPr>
      </w:pPr>
    </w:p>
    <w:p w:rsidR="00F838C5" w:rsidRPr="00EE0539" w:rsidRDefault="00F838C5" w:rsidP="00F838C5">
      <w:pPr>
        <w:numPr>
          <w:ilvl w:val="0"/>
          <w:numId w:val="55"/>
        </w:numPr>
        <w:jc w:val="both"/>
      </w:pPr>
      <w:r w:rsidRPr="00EE0539">
        <w:rPr>
          <w:lang w:val="en-GB"/>
        </w:rPr>
        <w:t>This</w:t>
      </w:r>
      <w:r w:rsidRPr="00EE0539">
        <w:t xml:space="preserve"> table presents PCT filings by the top </w:t>
      </w:r>
      <w:r>
        <w:t>10</w:t>
      </w:r>
      <w:r w:rsidRPr="00EE0539">
        <w:t xml:space="preserve"> receiving </w:t>
      </w:r>
      <w:r>
        <w:t>O</w:t>
      </w:r>
      <w:r w:rsidRPr="00EE0539">
        <w:t>ffices over the past five years to 201</w:t>
      </w:r>
      <w:r>
        <w:t>5</w:t>
      </w:r>
      <w:r w:rsidRPr="00EE0539">
        <w:t xml:space="preserve">.  In principle, a PCT application is filed at the national patent office of the applicant’s home country or at a regional patent office acting for the applicant’s home jurisdiction.  The IB is a competent receiving </w:t>
      </w:r>
      <w:r>
        <w:t>O</w:t>
      </w:r>
      <w:r w:rsidRPr="00EE0539">
        <w:t xml:space="preserve">ffice (RO/IB) for applicants from all PCT contracting </w:t>
      </w:r>
      <w:r>
        <w:t>S</w:t>
      </w:r>
      <w:r w:rsidRPr="00EE0539">
        <w:t xml:space="preserve">tates.  The evolution of the filings at the RO/IB, its ranking in terms of the number of filings among other receiving </w:t>
      </w:r>
      <w:r>
        <w:t>O</w:t>
      </w:r>
      <w:r w:rsidRPr="00EE0539">
        <w:t>ffices, as well as its market share can be observed in this table.</w:t>
      </w:r>
    </w:p>
    <w:p w:rsidR="00F838C5" w:rsidRDefault="00F838C5" w:rsidP="00E023E5">
      <w:pPr>
        <w:jc w:val="both"/>
        <w:rPr>
          <w:sz w:val="18"/>
          <w:highlight w:val="yellow"/>
        </w:rPr>
      </w:pPr>
    </w:p>
    <w:p w:rsidR="00F838C5" w:rsidRDefault="00F838C5" w:rsidP="00E023E5">
      <w:pPr>
        <w:jc w:val="both"/>
        <w:rPr>
          <w:sz w:val="18"/>
        </w:rPr>
      </w:pPr>
    </w:p>
    <w:p w:rsidR="00F838C5" w:rsidRDefault="00F838C5" w:rsidP="00E145EE">
      <w:pPr>
        <w:jc w:val="center"/>
        <w:rPr>
          <w:sz w:val="18"/>
        </w:rPr>
      </w:pPr>
      <w:r w:rsidRPr="00174057">
        <w:rPr>
          <w:noProof/>
        </w:rPr>
        <w:drawing>
          <wp:inline distT="0" distB="0" distL="0" distR="0" wp14:anchorId="2A853F12" wp14:editId="54D15B72">
            <wp:extent cx="5372100" cy="2627045"/>
            <wp:effectExtent l="0" t="0" r="0" b="0"/>
            <wp:docPr id="927" name="Picture 9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5385161" cy="2633432"/>
                    </a:xfrm>
                    <a:prstGeom prst="rect">
                      <a:avLst/>
                    </a:prstGeom>
                    <a:noFill/>
                    <a:ln>
                      <a:noFill/>
                    </a:ln>
                  </pic:spPr>
                </pic:pic>
              </a:graphicData>
            </a:graphic>
          </wp:inline>
        </w:drawing>
      </w:r>
    </w:p>
    <w:p w:rsidR="00F838C5" w:rsidRPr="00E34675" w:rsidRDefault="00F838C5" w:rsidP="00E023E5">
      <w:pPr>
        <w:jc w:val="both"/>
        <w:rPr>
          <w:sz w:val="18"/>
        </w:rPr>
      </w:pPr>
    </w:p>
    <w:p w:rsidR="00F838C5" w:rsidRPr="00EE0539" w:rsidRDefault="00F838C5" w:rsidP="00F838C5">
      <w:pPr>
        <w:numPr>
          <w:ilvl w:val="0"/>
          <w:numId w:val="55"/>
        </w:numPr>
        <w:jc w:val="both"/>
      </w:pPr>
      <w:r>
        <w:t>I</w:t>
      </w:r>
      <w:r w:rsidRPr="00EE0539">
        <w:t xml:space="preserve">n the </w:t>
      </w:r>
      <w:r>
        <w:t xml:space="preserve">Program and Budget </w:t>
      </w:r>
      <w:r w:rsidRPr="00EE0539">
        <w:t xml:space="preserve">2014/15, the following two performance indicators were added for the RO/IB:  </w:t>
      </w:r>
    </w:p>
    <w:p w:rsidR="00F838C5" w:rsidRPr="0054556A" w:rsidRDefault="00F838C5" w:rsidP="00E023E5">
      <w:pPr>
        <w:pStyle w:val="PlainText"/>
        <w:rPr>
          <w:rFonts w:ascii="Arial" w:hAnsi="Arial" w:cs="Arial"/>
          <w:color w:val="auto"/>
        </w:rPr>
      </w:pPr>
    </w:p>
    <w:p w:rsidR="00F838C5" w:rsidRPr="0054556A" w:rsidRDefault="00F838C5" w:rsidP="00E023E5">
      <w:pPr>
        <w:pStyle w:val="PlainText"/>
        <w:rPr>
          <w:rFonts w:ascii="Arial" w:hAnsi="Arial" w:cs="Arial"/>
          <w:color w:val="auto"/>
        </w:rPr>
      </w:pPr>
      <w:r w:rsidRPr="0054556A">
        <w:rPr>
          <w:rFonts w:ascii="Arial" w:hAnsi="Arial" w:cs="Arial"/>
          <w:i/>
          <w:color w:val="auto"/>
        </w:rPr>
        <w:t>Timeliness of notification of international filing date</w:t>
      </w:r>
    </w:p>
    <w:p w:rsidR="00F838C5" w:rsidRPr="0054556A" w:rsidRDefault="00F838C5" w:rsidP="00E023E5">
      <w:pPr>
        <w:pStyle w:val="PlainText"/>
        <w:rPr>
          <w:rFonts w:ascii="Arial" w:hAnsi="Arial" w:cs="Arial"/>
          <w:color w:val="auto"/>
        </w:rPr>
      </w:pPr>
    </w:p>
    <w:p w:rsidR="00F838C5" w:rsidRPr="00EE0539" w:rsidRDefault="00F838C5" w:rsidP="00F838C5">
      <w:pPr>
        <w:numPr>
          <w:ilvl w:val="0"/>
          <w:numId w:val="55"/>
        </w:numPr>
        <w:jc w:val="both"/>
      </w:pPr>
      <w:r w:rsidRPr="00EE0539">
        <w:rPr>
          <w:lang w:val="en-GB"/>
        </w:rPr>
        <w:t>This</w:t>
      </w:r>
      <w:r w:rsidRPr="00EE0539">
        <w:t xml:space="preserve"> indicator reflects the time required by the RO/IB to issue Form 105.  This form is issued after the international filing date has been accorded.  Applicants appreciate receiving this form as soon as possible, because an international application has the effect of a regular national application in each designated State as of the international filing date, which date shall be considered to be the actual filing date in each designated State.</w:t>
      </w:r>
    </w:p>
    <w:p w:rsidR="00F838C5" w:rsidRPr="00EE0539" w:rsidRDefault="00F838C5" w:rsidP="00E023E5">
      <w:pPr>
        <w:pStyle w:val="BodyText2"/>
        <w:spacing w:after="0" w:line="240" w:lineRule="auto"/>
        <w:jc w:val="both"/>
        <w:rPr>
          <w:rFonts w:cs="Arial"/>
          <w:szCs w:val="20"/>
        </w:rPr>
      </w:pPr>
    </w:p>
    <w:p w:rsidR="00F838C5" w:rsidRDefault="00F838C5" w:rsidP="00E023E5">
      <w:pPr>
        <w:pStyle w:val="PlainText"/>
        <w:jc w:val="center"/>
        <w:rPr>
          <w:rFonts w:ascii="Arial" w:hAnsi="Arial" w:cs="Arial"/>
          <w:b/>
          <w:color w:val="auto"/>
          <w:sz w:val="18"/>
        </w:rPr>
      </w:pPr>
      <w:r w:rsidRPr="000D2666">
        <w:rPr>
          <w:rFonts w:ascii="Arial" w:hAnsi="Arial" w:cs="Arial"/>
          <w:b/>
          <w:color w:val="auto"/>
          <w:sz w:val="18"/>
        </w:rPr>
        <w:t>Timeliness of Notification of International Filing Date</w:t>
      </w:r>
    </w:p>
    <w:p w:rsidR="00F838C5" w:rsidRPr="000D2666" w:rsidRDefault="00F838C5" w:rsidP="00E023E5">
      <w:pPr>
        <w:pStyle w:val="PlainText"/>
        <w:jc w:val="center"/>
        <w:rPr>
          <w:rFonts w:ascii="Arial" w:hAnsi="Arial" w:cs="Arial"/>
          <w:b/>
          <w:color w:val="auto"/>
          <w:sz w:val="18"/>
        </w:rPr>
      </w:pPr>
    </w:p>
    <w:p w:rsidR="00F838C5" w:rsidRDefault="00F838C5" w:rsidP="001363EE">
      <w:pPr>
        <w:pStyle w:val="PlainText"/>
        <w:jc w:val="center"/>
        <w:rPr>
          <w:rFonts w:ascii="Arial" w:hAnsi="Arial" w:cs="Arial"/>
          <w:color w:val="auto"/>
        </w:rPr>
      </w:pPr>
      <w:r>
        <w:rPr>
          <w:noProof/>
          <w:lang w:eastAsia="en-US"/>
        </w:rPr>
        <w:drawing>
          <wp:inline distT="0" distB="0" distL="0" distR="0" wp14:anchorId="7EAE104F" wp14:editId="76B4961D">
            <wp:extent cx="5940425" cy="2617341"/>
            <wp:effectExtent l="0" t="0" r="0" b="0"/>
            <wp:docPr id="128" name="Chart 128"/>
            <wp:cNvGraphicFramePr/>
            <a:graphic xmlns:a="http://schemas.openxmlformats.org/drawingml/2006/main">
              <a:graphicData uri="http://schemas.openxmlformats.org/drawingml/2006/chart">
                <c:chart xmlns:c="http://schemas.openxmlformats.org/drawingml/2006/chart" xmlns:r="http://schemas.openxmlformats.org/officeDocument/2006/relationships" r:id="rId67"/>
              </a:graphicData>
            </a:graphic>
          </wp:inline>
        </w:drawing>
      </w:r>
    </w:p>
    <w:p w:rsidR="00F838C5" w:rsidRPr="0054556A" w:rsidRDefault="00F838C5" w:rsidP="00E023E5">
      <w:pPr>
        <w:pStyle w:val="PlainText"/>
        <w:ind w:left="567"/>
        <w:rPr>
          <w:rFonts w:ascii="Arial" w:hAnsi="Arial" w:cs="Arial"/>
          <w:color w:val="auto"/>
        </w:rPr>
      </w:pPr>
    </w:p>
    <w:p w:rsidR="00F838C5" w:rsidRPr="0054556A" w:rsidRDefault="00F838C5" w:rsidP="00E023E5">
      <w:pPr>
        <w:pStyle w:val="PlainText"/>
        <w:ind w:left="567"/>
        <w:rPr>
          <w:rFonts w:ascii="Arial" w:hAnsi="Arial" w:cs="Arial"/>
          <w:i/>
          <w:color w:val="auto"/>
        </w:rPr>
      </w:pPr>
    </w:p>
    <w:p w:rsidR="00F838C5" w:rsidRPr="0054556A" w:rsidRDefault="00F838C5" w:rsidP="00E023E5">
      <w:pPr>
        <w:pStyle w:val="PlainText"/>
        <w:rPr>
          <w:rFonts w:ascii="Arial" w:hAnsi="Arial" w:cs="Arial"/>
          <w:i/>
          <w:color w:val="auto"/>
        </w:rPr>
      </w:pPr>
      <w:r w:rsidRPr="0054556A">
        <w:rPr>
          <w:rFonts w:ascii="Arial" w:hAnsi="Arial" w:cs="Arial"/>
          <w:i/>
          <w:color w:val="auto"/>
        </w:rPr>
        <w:t>Timeliness of transmittal of search copy</w:t>
      </w:r>
    </w:p>
    <w:p w:rsidR="00F838C5" w:rsidRPr="0054556A" w:rsidRDefault="00F838C5" w:rsidP="00E023E5">
      <w:pPr>
        <w:pStyle w:val="PlainText"/>
        <w:rPr>
          <w:rFonts w:ascii="Arial" w:hAnsi="Arial" w:cs="Arial"/>
          <w:color w:val="auto"/>
        </w:rPr>
      </w:pPr>
    </w:p>
    <w:p w:rsidR="00F838C5" w:rsidRPr="00EE0539" w:rsidRDefault="00F838C5" w:rsidP="00F838C5">
      <w:pPr>
        <w:numPr>
          <w:ilvl w:val="0"/>
          <w:numId w:val="55"/>
        </w:numPr>
        <w:jc w:val="both"/>
      </w:pPr>
      <w:r w:rsidRPr="0054556A">
        <w:rPr>
          <w:lang w:val="en-GB"/>
        </w:rPr>
        <w:t>This</w:t>
      </w:r>
      <w:r w:rsidRPr="0054556A">
        <w:t xml:space="preserve"> indicator reflects the time required by the RO/IB to transmit the search copies to the ISAs.</w:t>
      </w:r>
      <w:r w:rsidRPr="00EE0539">
        <w:t xml:space="preserve"> </w:t>
      </w:r>
      <w:r>
        <w:t xml:space="preserve"> </w:t>
      </w:r>
      <w:r w:rsidRPr="00EE0539">
        <w:t>The search copy is to be transmitted promptly after payment of the search fee, so that the ISA can establish the ISR within the deadlines stipulated by the PCT regulatory framework.  Delays in paying the fee will delay the transmission of the search copies to the ISAs and therefore negatively impact upon the ability of ISAs to meet these deadlines.</w:t>
      </w:r>
    </w:p>
    <w:p w:rsidR="00F838C5" w:rsidRPr="00245747" w:rsidRDefault="00F838C5" w:rsidP="00E023E5"/>
    <w:p w:rsidR="00F838C5" w:rsidRPr="000D2666" w:rsidRDefault="00F838C5" w:rsidP="00F838C5">
      <w:pPr>
        <w:pStyle w:val="PlainText"/>
        <w:keepNext/>
        <w:keepLines/>
        <w:jc w:val="center"/>
        <w:rPr>
          <w:rFonts w:ascii="Arial" w:hAnsi="Arial" w:cs="Arial"/>
          <w:b/>
          <w:color w:val="auto"/>
          <w:sz w:val="18"/>
        </w:rPr>
      </w:pPr>
      <w:r w:rsidRPr="000D2666">
        <w:rPr>
          <w:rFonts w:ascii="Arial" w:hAnsi="Arial" w:cs="Arial"/>
          <w:b/>
          <w:color w:val="auto"/>
          <w:sz w:val="18"/>
        </w:rPr>
        <w:t>Timeliness of Transmittal of Search Copy</w:t>
      </w:r>
    </w:p>
    <w:p w:rsidR="00F838C5" w:rsidRDefault="00F838C5" w:rsidP="00F838C5">
      <w:pPr>
        <w:keepNext/>
        <w:keepLines/>
      </w:pPr>
      <w:r>
        <w:rPr>
          <w:b/>
          <w:noProof/>
        </w:rPr>
        <w:drawing>
          <wp:inline distT="0" distB="0" distL="0" distR="0" wp14:anchorId="08EFDAA3" wp14:editId="74A35BAE">
            <wp:extent cx="5417389" cy="2489617"/>
            <wp:effectExtent l="0" t="0" r="0" b="6350"/>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5419547" cy="2490609"/>
                    </a:xfrm>
                    <a:prstGeom prst="rect">
                      <a:avLst/>
                    </a:prstGeom>
                    <a:noFill/>
                  </pic:spPr>
                </pic:pic>
              </a:graphicData>
            </a:graphic>
          </wp:inline>
        </w:drawing>
      </w:r>
    </w:p>
    <w:p w:rsidR="005D264A" w:rsidRDefault="005D264A" w:rsidP="00E37059">
      <w:pPr>
        <w:ind w:left="6804" w:firstLine="567"/>
        <w:rPr>
          <w:rFonts w:cs="Arial"/>
        </w:rPr>
      </w:pPr>
      <w:r>
        <w:rPr>
          <w:rFonts w:cs="Arial"/>
        </w:rPr>
        <w:t>[End of Annex]</w:t>
      </w:r>
    </w:p>
    <w:p w:rsidR="009F72A7" w:rsidRDefault="009F72A7">
      <w:r>
        <w:br w:type="page"/>
      </w:r>
    </w:p>
    <w:p w:rsidR="009F72A7" w:rsidRPr="001243AF" w:rsidRDefault="009F72A7" w:rsidP="009F72A7">
      <w:pPr>
        <w:pStyle w:val="Heading2"/>
        <w:tabs>
          <w:tab w:val="clear" w:pos="567"/>
          <w:tab w:val="left" w:pos="1985"/>
        </w:tabs>
      </w:pPr>
      <w:bookmarkStart w:id="64" w:name="_Toc454544469"/>
      <w:r w:rsidRPr="001243AF">
        <w:lastRenderedPageBreak/>
        <w:t xml:space="preserve">PROGRAM </w:t>
      </w:r>
      <w:r>
        <w:t>6</w:t>
      </w:r>
      <w:r>
        <w:tab/>
      </w:r>
      <w:r>
        <w:tab/>
        <w:t>MADRID AND LISBON SYSTEMS</w:t>
      </w:r>
      <w:bookmarkEnd w:id="64"/>
    </w:p>
    <w:p w:rsidR="009F72A7" w:rsidRPr="00383D2D" w:rsidRDefault="009F72A7" w:rsidP="009F72A7">
      <w:pPr>
        <w:rPr>
          <w:szCs w:val="20"/>
        </w:rPr>
      </w:pPr>
    </w:p>
    <w:p w:rsidR="009F72A7" w:rsidRPr="002A7D4D" w:rsidRDefault="009F72A7" w:rsidP="009F72A7">
      <w:pPr>
        <w:tabs>
          <w:tab w:val="left" w:pos="1985"/>
        </w:tabs>
        <w:rPr>
          <w:b/>
          <w:szCs w:val="22"/>
        </w:rPr>
      </w:pPr>
      <w:r w:rsidRPr="002A7D4D">
        <w:rPr>
          <w:b/>
          <w:szCs w:val="22"/>
        </w:rPr>
        <w:t>Program Manager</w:t>
      </w:r>
      <w:r w:rsidRPr="002A7D4D">
        <w:rPr>
          <w:b/>
          <w:szCs w:val="22"/>
        </w:rPr>
        <w:tab/>
        <w:t>Ms. B. Wang</w:t>
      </w:r>
    </w:p>
    <w:p w:rsidR="009F72A7" w:rsidRDefault="009F72A7" w:rsidP="00E023E5"/>
    <w:p w:rsidR="00F15382" w:rsidRDefault="00F15382" w:rsidP="00E3403E"/>
    <w:p w:rsidR="00F15382" w:rsidRPr="00082989" w:rsidRDefault="00F15382" w:rsidP="00E3403E">
      <w:pPr>
        <w:rPr>
          <w:bCs/>
          <w:szCs w:val="22"/>
        </w:rPr>
      </w:pPr>
      <w:r w:rsidRPr="00082989">
        <w:rPr>
          <w:bCs/>
          <w:szCs w:val="22"/>
        </w:rPr>
        <w:t>ACHIEVEMENTS IN THE 2014/15 BIENNIUM</w:t>
      </w:r>
    </w:p>
    <w:p w:rsidR="00F15382" w:rsidRDefault="00F15382" w:rsidP="00E3403E">
      <w:pPr>
        <w:rPr>
          <w:szCs w:val="20"/>
        </w:rPr>
      </w:pPr>
    </w:p>
    <w:p w:rsidR="00F15382" w:rsidRPr="00476712" w:rsidRDefault="00F15382" w:rsidP="00E3403E">
      <w:pPr>
        <w:spacing w:after="200" w:line="276" w:lineRule="auto"/>
        <w:rPr>
          <w:rFonts w:eastAsiaTheme="minorHAnsi" w:cs="Arial"/>
          <w:szCs w:val="20"/>
        </w:rPr>
      </w:pPr>
      <w:r w:rsidRPr="00476712">
        <w:rPr>
          <w:rFonts w:eastAsiaTheme="minorHAnsi" w:cs="Arial"/>
          <w:szCs w:val="20"/>
        </w:rPr>
        <w:t>A.</w:t>
      </w:r>
      <w:r w:rsidRPr="00476712">
        <w:rPr>
          <w:rFonts w:eastAsiaTheme="minorHAnsi" w:cs="Arial"/>
          <w:szCs w:val="20"/>
        </w:rPr>
        <w:tab/>
        <w:t>THE MADRID SYSTEM</w:t>
      </w:r>
    </w:p>
    <w:p w:rsidR="00F15382" w:rsidRDefault="00F15382" w:rsidP="00F15382">
      <w:pPr>
        <w:pStyle w:val="ListParagraph"/>
        <w:numPr>
          <w:ilvl w:val="0"/>
          <w:numId w:val="94"/>
        </w:numPr>
        <w:tabs>
          <w:tab w:val="left" w:pos="709"/>
        </w:tabs>
        <w:ind w:left="0" w:firstLine="0"/>
        <w:jc w:val="both"/>
        <w:rPr>
          <w:rFonts w:cs="Arial"/>
          <w:lang w:eastAsia="ko-KR"/>
        </w:rPr>
      </w:pPr>
      <w:r w:rsidRPr="00A83C39">
        <w:rPr>
          <w:rFonts w:cs="Arial"/>
          <w:lang w:eastAsia="ko-KR"/>
        </w:rPr>
        <w:t xml:space="preserve">The geographical expansion of the System saw important positive developments in the biennium.  In 2014, Zimbabwe and the </w:t>
      </w:r>
      <w:r w:rsidRPr="00600346">
        <w:rPr>
          <w:rFonts w:cs="Arial"/>
          <w:i/>
          <w:lang w:eastAsia="ko-KR"/>
        </w:rPr>
        <w:t>Organisation Africaine de la Propriété Intellectuelle</w:t>
      </w:r>
      <w:r w:rsidRPr="00A83C39">
        <w:rPr>
          <w:rFonts w:cs="Arial"/>
          <w:lang w:eastAsia="ko-KR"/>
        </w:rPr>
        <w:t xml:space="preserve"> (OAPI) acceded to the Madrid Protocol.  With OAPI being a 17-country intergovernmental organization, these two accessions alone increased the number of countries in which users can protect and manage their trademarks centrally through the Madrid System from 94 to 110 in 2014 alone.  In 2015, Algeria, Cambodia</w:t>
      </w:r>
      <w:r w:rsidR="00375281">
        <w:rPr>
          <w:rFonts w:cs="Arial"/>
          <w:lang w:eastAsia="ko-KR"/>
        </w:rPr>
        <w:t>,</w:t>
      </w:r>
      <w:r w:rsidRPr="00A83C39">
        <w:rPr>
          <w:rFonts w:cs="Arial"/>
          <w:lang w:eastAsia="ko-KR"/>
        </w:rPr>
        <w:t xml:space="preserve"> the Gambia and Lao People’s Democratic Republic also acceded to the Protocol, bringing the total number of Contracting Parties at the end of the biennium </w:t>
      </w:r>
      <w:r>
        <w:rPr>
          <w:rFonts w:cs="Arial"/>
          <w:lang w:eastAsia="ko-KR"/>
        </w:rPr>
        <w:t>to</w:t>
      </w:r>
      <w:r w:rsidRPr="00A83C39">
        <w:rPr>
          <w:rFonts w:cs="Arial"/>
          <w:lang w:eastAsia="ko-KR"/>
        </w:rPr>
        <w:t xml:space="preserve"> 97, covering 113 countries.  As Algeria was the last remaining Contracting Party of the Madrid Union to be a member of the Madrid Agreement only, the Madrid System, for practical purposes, now operates as a single treaty system.</w:t>
      </w:r>
    </w:p>
    <w:p w:rsidR="00F15382" w:rsidRPr="00A83C39" w:rsidRDefault="00F15382" w:rsidP="00E3403E">
      <w:pPr>
        <w:pStyle w:val="ListParagraph"/>
        <w:tabs>
          <w:tab w:val="left" w:pos="709"/>
        </w:tabs>
        <w:ind w:left="0"/>
        <w:jc w:val="both"/>
        <w:rPr>
          <w:rFonts w:cs="Arial"/>
          <w:lang w:eastAsia="ko-KR"/>
        </w:rPr>
      </w:pPr>
    </w:p>
    <w:p w:rsidR="00F15382" w:rsidRDefault="00F15382" w:rsidP="00F15382">
      <w:pPr>
        <w:pStyle w:val="ListParagraph"/>
        <w:numPr>
          <w:ilvl w:val="0"/>
          <w:numId w:val="94"/>
        </w:numPr>
        <w:tabs>
          <w:tab w:val="left" w:pos="709"/>
        </w:tabs>
        <w:ind w:left="0" w:firstLine="0"/>
        <w:jc w:val="both"/>
        <w:rPr>
          <w:rFonts w:cs="Arial"/>
          <w:lang w:eastAsia="ko-KR"/>
        </w:rPr>
      </w:pPr>
      <w:r w:rsidRPr="00A83C39">
        <w:rPr>
          <w:rFonts w:cs="Arial"/>
          <w:lang w:eastAsia="ko-KR"/>
        </w:rPr>
        <w:t>Use of the Madrid System increased by 2.3 per cent in 2014</w:t>
      </w:r>
      <w:r>
        <w:rPr>
          <w:rFonts w:cs="Arial"/>
          <w:lang w:eastAsia="ko-KR"/>
        </w:rPr>
        <w:t xml:space="preserve"> as compared to 2013</w:t>
      </w:r>
      <w:r w:rsidRPr="00A83C39">
        <w:rPr>
          <w:rFonts w:cs="Arial"/>
          <w:lang w:eastAsia="ko-KR"/>
        </w:rPr>
        <w:t>, with a total of 47,885 applications received.  In 2014, the United States of America surpassed Germany as the biggest user of the Madrid System, illustrating the geographical transformation of the System.  In 2015, a total of 49,273</w:t>
      </w:r>
      <w:r>
        <w:rPr>
          <w:rFonts w:cs="Arial"/>
          <w:lang w:eastAsia="ko-KR"/>
        </w:rPr>
        <w:t> </w:t>
      </w:r>
      <w:r w:rsidRPr="00A83C39">
        <w:rPr>
          <w:rFonts w:cs="Arial"/>
          <w:lang w:eastAsia="ko-KR"/>
        </w:rPr>
        <w:t xml:space="preserve">applications were received representing </w:t>
      </w:r>
      <w:r>
        <w:rPr>
          <w:rFonts w:cs="Arial"/>
          <w:lang w:eastAsia="ko-KR"/>
        </w:rPr>
        <w:t xml:space="preserve">a </w:t>
      </w:r>
      <w:r w:rsidRPr="00A83C39">
        <w:rPr>
          <w:rFonts w:cs="Arial"/>
          <w:lang w:eastAsia="ko-KR"/>
        </w:rPr>
        <w:t>2.9 per cent growth over 2014.  This represents healthy growth in the biennium, in particular taking into account that the Madrid System became more expensive for applicants from a number of important filing countries following the sharp appreciation of the Swiss franc in</w:t>
      </w:r>
      <w:r>
        <w:rPr>
          <w:rFonts w:cs="Arial"/>
          <w:lang w:eastAsia="ko-KR"/>
        </w:rPr>
        <w:t> </w:t>
      </w:r>
      <w:r w:rsidRPr="00A83C39">
        <w:rPr>
          <w:rFonts w:cs="Arial"/>
          <w:lang w:eastAsia="ko-KR"/>
        </w:rPr>
        <w:t>2015.</w:t>
      </w:r>
    </w:p>
    <w:p w:rsidR="00F15382" w:rsidRPr="00A83C39" w:rsidRDefault="00F15382" w:rsidP="00E3403E">
      <w:pPr>
        <w:pStyle w:val="ListParagraph"/>
        <w:tabs>
          <w:tab w:val="left" w:pos="709"/>
        </w:tabs>
        <w:ind w:left="0"/>
        <w:jc w:val="both"/>
        <w:rPr>
          <w:rFonts w:cs="Arial"/>
          <w:lang w:eastAsia="ko-KR"/>
        </w:rPr>
      </w:pPr>
    </w:p>
    <w:p w:rsidR="00F15382" w:rsidRDefault="00F15382" w:rsidP="00F15382">
      <w:pPr>
        <w:pStyle w:val="ListParagraph"/>
        <w:numPr>
          <w:ilvl w:val="0"/>
          <w:numId w:val="94"/>
        </w:numPr>
        <w:tabs>
          <w:tab w:val="left" w:pos="709"/>
        </w:tabs>
        <w:ind w:left="0" w:firstLine="0"/>
        <w:jc w:val="both"/>
        <w:rPr>
          <w:rFonts w:cs="Arial"/>
          <w:lang w:eastAsia="ko-KR"/>
        </w:rPr>
      </w:pPr>
      <w:r w:rsidRPr="00A83C39">
        <w:rPr>
          <w:rFonts w:cs="Arial"/>
          <w:lang w:eastAsia="ko-KR"/>
        </w:rPr>
        <w:t xml:space="preserve">The discussions in the Working Group on the Legal Development of the Madrid System led to the adoption by the Assembly of the Madrid Union of a number of important changes to the Common Regulations, as follows: (i) “continued processing” is now available to applicants or holders who fail to meet given time limits in specific procedures before the International Bureau </w:t>
      </w:r>
      <w:r>
        <w:rPr>
          <w:rFonts w:cs="Arial"/>
          <w:lang w:eastAsia="ko-KR"/>
        </w:rPr>
        <w:t>(</w:t>
      </w:r>
      <w:r w:rsidRPr="00A83C39">
        <w:rPr>
          <w:rFonts w:cs="Arial"/>
          <w:lang w:eastAsia="ko-KR"/>
        </w:rPr>
        <w:t>IB</w:t>
      </w:r>
      <w:r>
        <w:rPr>
          <w:rFonts w:cs="Arial"/>
          <w:lang w:eastAsia="ko-KR"/>
        </w:rPr>
        <w:t>)</w:t>
      </w:r>
      <w:r w:rsidRPr="00A83C39">
        <w:rPr>
          <w:rFonts w:cs="Arial"/>
          <w:lang w:eastAsia="ko-KR"/>
        </w:rPr>
        <w:t xml:space="preserve">;  (ii) the renewal procedure has been </w:t>
      </w:r>
      <w:r>
        <w:rPr>
          <w:rFonts w:cs="Arial"/>
          <w:lang w:eastAsia="ko-KR"/>
        </w:rPr>
        <w:t>legally</w:t>
      </w:r>
      <w:r w:rsidRPr="00A83C39">
        <w:rPr>
          <w:rFonts w:cs="Arial"/>
          <w:lang w:eastAsia="ko-KR"/>
        </w:rPr>
        <w:t xml:space="preserve"> simplified through the introduction of an option to renew an international registration only for a reduced list of goods and services, rather than having to request the recording of a limitation prior to the renewal, as was previously the case;  (iii) failure to meet a time limit for a communication addressed to the IB that was sent electronically will be excused where the party submits satisfactory evidence showing that this was due to failure in the electronic communication with the IB or a failure that affects the locality of the party due to extraordinary circumstances;  (iv) changes to address for correspondence, e-mail address or any other means of communication </w:t>
      </w:r>
      <w:r>
        <w:rPr>
          <w:rFonts w:cs="Arial"/>
          <w:lang w:eastAsia="ko-KR"/>
        </w:rPr>
        <w:t>where</w:t>
      </w:r>
      <w:r w:rsidRPr="00A83C39">
        <w:rPr>
          <w:rFonts w:cs="Arial"/>
          <w:lang w:eastAsia="ko-KR"/>
        </w:rPr>
        <w:t xml:space="preserve"> the applicant or holder are exempt from fees;  (v) applicants will be allowed to provide a voluntary description of the mark, which would be useful to prevent provisional refusals;  (vi) the level of examination by the IB of the list of goods and services in subsequent designations has been clarified, and  (vii) where the United States of America and other Contracting Parties have been subsequently designated and the declaration of intent for use in the United States of America has not been provided or corrected, this failure will no longer affect the rest of the designated Contracting Parties.  Some changes entered into force in January 2015, while others will enter into force </w:t>
      </w:r>
      <w:r>
        <w:rPr>
          <w:rFonts w:cs="Arial"/>
          <w:lang w:eastAsia="ko-KR"/>
        </w:rPr>
        <w:t xml:space="preserve">on </w:t>
      </w:r>
      <w:r w:rsidRPr="00A83C39">
        <w:rPr>
          <w:rFonts w:cs="Arial"/>
          <w:lang w:eastAsia="ko-KR"/>
        </w:rPr>
        <w:t xml:space="preserve">April 1, 2016 and November 1, 2017. </w:t>
      </w:r>
    </w:p>
    <w:p w:rsidR="00F15382" w:rsidRPr="00A83C39" w:rsidRDefault="00F15382" w:rsidP="00E3403E">
      <w:pPr>
        <w:pStyle w:val="ListParagraph"/>
        <w:tabs>
          <w:tab w:val="left" w:pos="709"/>
        </w:tabs>
        <w:ind w:left="0"/>
        <w:jc w:val="both"/>
        <w:rPr>
          <w:rFonts w:cs="Arial"/>
          <w:lang w:eastAsia="ko-KR"/>
        </w:rPr>
      </w:pPr>
    </w:p>
    <w:p w:rsidR="00F15382" w:rsidRDefault="00F15382" w:rsidP="00F15382">
      <w:pPr>
        <w:pStyle w:val="ListParagraph"/>
        <w:numPr>
          <w:ilvl w:val="0"/>
          <w:numId w:val="94"/>
        </w:numPr>
        <w:tabs>
          <w:tab w:val="left" w:pos="709"/>
        </w:tabs>
        <w:ind w:left="0" w:firstLine="0"/>
        <w:jc w:val="both"/>
        <w:rPr>
          <w:rFonts w:cs="Arial"/>
          <w:lang w:eastAsia="ko-KR"/>
        </w:rPr>
      </w:pPr>
      <w:r w:rsidRPr="00A83C39">
        <w:rPr>
          <w:rFonts w:cs="Arial"/>
          <w:lang w:eastAsia="ko-KR"/>
        </w:rPr>
        <w:t>In early 2014, a major long-term reform initiative aimed at improving the maturity level of the operational environment was launched.  The principal areas covered by this initiative included</w:t>
      </w:r>
      <w:r w:rsidR="00016B6B">
        <w:rPr>
          <w:rFonts w:cs="Arial"/>
          <w:lang w:eastAsia="ko-KR"/>
        </w:rPr>
        <w:t xml:space="preserve">: </w:t>
      </w:r>
      <w:r w:rsidRPr="00A83C39">
        <w:rPr>
          <w:rFonts w:cs="Arial"/>
          <w:lang w:eastAsia="ko-KR"/>
        </w:rPr>
        <w:t xml:space="preserve"> (i) work planning and </w:t>
      </w:r>
      <w:r>
        <w:rPr>
          <w:rFonts w:cs="Arial"/>
          <w:lang w:eastAsia="ko-KR"/>
        </w:rPr>
        <w:t xml:space="preserve">related </w:t>
      </w:r>
      <w:r w:rsidRPr="00A83C39">
        <w:rPr>
          <w:rFonts w:cs="Arial"/>
          <w:lang w:eastAsia="ko-KR"/>
        </w:rPr>
        <w:t>processes</w:t>
      </w:r>
      <w:r w:rsidR="00016B6B">
        <w:rPr>
          <w:rFonts w:cs="Arial"/>
          <w:lang w:eastAsia="ko-KR"/>
        </w:rPr>
        <w:t>;</w:t>
      </w:r>
      <w:r w:rsidRPr="00A83C39">
        <w:rPr>
          <w:rFonts w:cs="Arial"/>
          <w:lang w:eastAsia="ko-KR"/>
        </w:rPr>
        <w:t xml:space="preserve">  (ii) IT;  (iii) customer support;  (iv) examination documentation;  (v) fee process</w:t>
      </w:r>
      <w:r>
        <w:rPr>
          <w:rFonts w:cs="Arial"/>
          <w:lang w:eastAsia="ko-KR"/>
        </w:rPr>
        <w:t>ing</w:t>
      </w:r>
      <w:r w:rsidRPr="00A83C39">
        <w:rPr>
          <w:rFonts w:cs="Arial"/>
          <w:lang w:eastAsia="ko-KR"/>
        </w:rPr>
        <w:t xml:space="preserve">; </w:t>
      </w:r>
      <w:r w:rsidR="00016B6B">
        <w:rPr>
          <w:rFonts w:cs="Arial"/>
          <w:lang w:eastAsia="ko-KR"/>
        </w:rPr>
        <w:t xml:space="preserve"> </w:t>
      </w:r>
      <w:r w:rsidRPr="00A83C39">
        <w:rPr>
          <w:rFonts w:cs="Arial"/>
          <w:lang w:eastAsia="ko-KR"/>
        </w:rPr>
        <w:t xml:space="preserve">and (vi) business continuity.  These new projects required the diversion of certain resources previously dedicated to examination to other activities.  As a result, backlogs accumulated in various examination transactions and other operational delays were incurred in 2014.  However, mitigation measures were put in place, including the retention of a number of additional flexible resources, which allowed the IB to reverse the situation in 2015.  At the end of the biennium, pendency rates for all examination transactions were either at or better than the five-year historical average.  In addition, the high level of registrations achieved in 2015 (as a consequence of the elimination of backlogs) resulted in a biennial income level, which exceeded the budgeted target by </w:t>
      </w:r>
      <w:r>
        <w:rPr>
          <w:rFonts w:cs="Arial"/>
          <w:lang w:eastAsia="ko-KR"/>
        </w:rPr>
        <w:t>six</w:t>
      </w:r>
      <w:r w:rsidRPr="00A83C39">
        <w:rPr>
          <w:rFonts w:cs="Arial"/>
          <w:lang w:eastAsia="ko-KR"/>
        </w:rPr>
        <w:t xml:space="preserve"> per cent.  In parallel with these activities, important foundational progress was made in the other reform areas mentioned above, in particular in customer support, examination quality control and business continuity, the benefits of which are expected to materialize in the coming years.  As the operational environment gradually stabilized in 2015, it was also possible to shift some of the management focus to marketing and promotion, as well as the strategic evolution of the Madrid System itself.</w:t>
      </w:r>
    </w:p>
    <w:p w:rsidR="00F15382" w:rsidRPr="00A83C39" w:rsidRDefault="00F15382" w:rsidP="00E3403E">
      <w:pPr>
        <w:pStyle w:val="ListParagraph"/>
        <w:tabs>
          <w:tab w:val="left" w:pos="709"/>
        </w:tabs>
        <w:ind w:left="0"/>
        <w:jc w:val="both"/>
        <w:rPr>
          <w:rFonts w:cs="Arial"/>
          <w:lang w:eastAsia="ko-KR"/>
        </w:rPr>
      </w:pPr>
    </w:p>
    <w:p w:rsidR="00F15382" w:rsidRPr="00587781" w:rsidRDefault="00F15382" w:rsidP="00F15382">
      <w:pPr>
        <w:pStyle w:val="ListParagraph"/>
        <w:numPr>
          <w:ilvl w:val="0"/>
          <w:numId w:val="94"/>
        </w:numPr>
        <w:tabs>
          <w:tab w:val="left" w:pos="709"/>
        </w:tabs>
        <w:ind w:left="0" w:firstLine="0"/>
        <w:jc w:val="both"/>
        <w:rPr>
          <w:rFonts w:cs="Arial"/>
          <w:lang w:eastAsia="ko-KR"/>
        </w:rPr>
      </w:pPr>
      <w:r w:rsidRPr="00587781">
        <w:rPr>
          <w:rFonts w:cs="Arial"/>
          <w:lang w:eastAsia="ko-KR"/>
        </w:rPr>
        <w:t>Following the implementation of recommendations included in the independent review of the preparations necessary for the deployment of the modernized back office ICT systems supporting the Madrid Registry, and in particular, the initiation of appropriate business and IC</w:t>
      </w:r>
      <w:r w:rsidRPr="00C4106B">
        <w:rPr>
          <w:rFonts w:cs="Arial"/>
          <w:lang w:eastAsia="ko-KR"/>
        </w:rPr>
        <w:t xml:space="preserve">T transformation programs, the modernized back office systems were scheduled for comprehensive user acceptance testing, and, subject to the successful conclusion of final system and user testing, subsequent deployment in March 2016. </w:t>
      </w:r>
      <w:r>
        <w:rPr>
          <w:rFonts w:cs="Arial"/>
          <w:lang w:eastAsia="ko-KR"/>
        </w:rPr>
        <w:t xml:space="preserve"> </w:t>
      </w:r>
      <w:r w:rsidRPr="00C4106B">
        <w:rPr>
          <w:rFonts w:cs="Arial"/>
          <w:lang w:eastAsia="ko-KR"/>
        </w:rPr>
        <w:t>As regards the front office ICT systems, work continue</w:t>
      </w:r>
      <w:r>
        <w:rPr>
          <w:rFonts w:cs="Arial"/>
          <w:lang w:eastAsia="ko-KR"/>
        </w:rPr>
        <w:t>d</w:t>
      </w:r>
      <w:r w:rsidRPr="00C4106B">
        <w:rPr>
          <w:rFonts w:cs="Arial"/>
          <w:lang w:eastAsia="ko-KR"/>
        </w:rPr>
        <w:t xml:space="preserve"> as planned.  </w:t>
      </w:r>
      <w:r>
        <w:rPr>
          <w:rFonts w:cs="Arial"/>
          <w:lang w:eastAsia="ko-KR"/>
        </w:rPr>
        <w:t xml:space="preserve"> </w:t>
      </w:r>
      <w:r w:rsidRPr="00C4106B">
        <w:rPr>
          <w:rFonts w:cs="Arial"/>
          <w:lang w:eastAsia="ko-KR"/>
        </w:rPr>
        <w:t>Progress was noted with the development of an enhanced search system, Madrid Monitor, which is scheduled for deploym</w:t>
      </w:r>
      <w:r>
        <w:rPr>
          <w:rFonts w:cs="Arial"/>
          <w:lang w:eastAsia="ko-KR"/>
        </w:rPr>
        <w:t>ent in beta test mode in the second</w:t>
      </w:r>
      <w:r w:rsidRPr="00587781">
        <w:rPr>
          <w:rFonts w:cs="Arial"/>
          <w:lang w:eastAsia="ko-KR"/>
        </w:rPr>
        <w:t xml:space="preserve"> quarter of 2016</w:t>
      </w:r>
      <w:r>
        <w:rPr>
          <w:rFonts w:cs="Arial"/>
          <w:lang w:eastAsia="ko-KR"/>
        </w:rPr>
        <w:t>.</w:t>
      </w:r>
      <w:r w:rsidRPr="00587781">
        <w:rPr>
          <w:rFonts w:cs="Arial"/>
          <w:lang w:eastAsia="ko-KR"/>
        </w:rPr>
        <w:t xml:space="preserve"> </w:t>
      </w:r>
      <w:r>
        <w:rPr>
          <w:rFonts w:cs="Arial"/>
          <w:lang w:eastAsia="ko-KR"/>
        </w:rPr>
        <w:t xml:space="preserve"> </w:t>
      </w:r>
      <w:r w:rsidRPr="00587781">
        <w:rPr>
          <w:rFonts w:cs="Arial"/>
          <w:lang w:eastAsia="ko-KR"/>
        </w:rPr>
        <w:t xml:space="preserve">Progress was also noted in the ongoing evolution of Madrid System online presence, in particular revisions to the functionality of the eRenewal form as a result </w:t>
      </w:r>
      <w:r>
        <w:rPr>
          <w:rFonts w:cs="Arial"/>
          <w:lang w:eastAsia="ko-KR"/>
        </w:rPr>
        <w:t>of</w:t>
      </w:r>
      <w:r w:rsidRPr="00587781">
        <w:rPr>
          <w:rFonts w:cs="Arial"/>
          <w:lang w:eastAsia="ko-KR"/>
        </w:rPr>
        <w:t xml:space="preserve"> new legal framework provisions.</w:t>
      </w:r>
    </w:p>
    <w:p w:rsidR="00F15382" w:rsidRDefault="00F15382" w:rsidP="00E3403E">
      <w:pPr>
        <w:rPr>
          <w:szCs w:val="20"/>
        </w:rPr>
      </w:pPr>
    </w:p>
    <w:p w:rsidR="00F15382" w:rsidRPr="00245B72" w:rsidRDefault="00F15382" w:rsidP="00E3403E">
      <w:pPr>
        <w:rPr>
          <w:szCs w:val="20"/>
        </w:rPr>
      </w:pPr>
      <w:r>
        <w:rPr>
          <w:szCs w:val="20"/>
        </w:rPr>
        <w:t>B.</w:t>
      </w:r>
      <w:r>
        <w:rPr>
          <w:szCs w:val="20"/>
        </w:rPr>
        <w:tab/>
      </w:r>
      <w:r w:rsidRPr="00245B72">
        <w:rPr>
          <w:szCs w:val="20"/>
        </w:rPr>
        <w:t>THE LISBON SYSTEM</w:t>
      </w:r>
    </w:p>
    <w:p w:rsidR="00F15382" w:rsidRPr="00245B72" w:rsidRDefault="00F15382" w:rsidP="00E3403E">
      <w:pPr>
        <w:jc w:val="both"/>
        <w:rPr>
          <w:szCs w:val="20"/>
        </w:rPr>
      </w:pPr>
    </w:p>
    <w:p w:rsidR="00F15382" w:rsidRPr="00A83C39" w:rsidRDefault="00F15382" w:rsidP="00F15382">
      <w:pPr>
        <w:pStyle w:val="ListParagraph"/>
        <w:numPr>
          <w:ilvl w:val="0"/>
          <w:numId w:val="94"/>
        </w:numPr>
        <w:tabs>
          <w:tab w:val="left" w:pos="709"/>
        </w:tabs>
        <w:ind w:left="0" w:firstLine="0"/>
        <w:jc w:val="both"/>
        <w:rPr>
          <w:rFonts w:cs="Arial"/>
          <w:lang w:eastAsia="ko-KR"/>
        </w:rPr>
      </w:pPr>
      <w:r w:rsidRPr="00A83C39">
        <w:rPr>
          <w:rFonts w:cs="Arial"/>
          <w:lang w:eastAsia="ko-KR"/>
        </w:rPr>
        <w:t xml:space="preserve">The Assembly of the Lisbon Union mandated the Working Group on the Development of </w:t>
      </w:r>
      <w:r>
        <w:rPr>
          <w:rFonts w:cs="Arial"/>
          <w:lang w:eastAsia="ko-KR"/>
        </w:rPr>
        <w:t>the</w:t>
      </w:r>
      <w:r w:rsidRPr="00A83C39">
        <w:rPr>
          <w:rFonts w:cs="Arial"/>
          <w:lang w:eastAsia="ko-KR"/>
        </w:rPr>
        <w:t xml:space="preserve"> </w:t>
      </w:r>
      <w:r>
        <w:rPr>
          <w:rFonts w:cs="Arial"/>
          <w:lang w:eastAsia="ko-KR"/>
        </w:rPr>
        <w:t xml:space="preserve">Lisbon </w:t>
      </w:r>
      <w:r w:rsidRPr="00A83C39">
        <w:rPr>
          <w:rFonts w:cs="Arial"/>
          <w:lang w:eastAsia="ko-KR"/>
        </w:rPr>
        <w:t>System, in 2009, to engage in a full review of the Lisbon System aimed at making the system more attractive for users and prospective new Members, while preserving its principles and objectives.  In view of the progress made by the Working Group, the Lisbon Union Assembly approved in 2013 the convening of a Diplomatic Conference for the Adoption of a Revised Lisbon Agreement on Appellations of Origin and Geographical Indications in 2015.  In October 2014, the Working Group finished its preparatory work.  From May 11 to 21, 2015, the Diplomatic Conference for the Adoption of a new Act of the Lisbon Agreement took place in Geneva and adopted, on May 20, 2015, the Geneva Act of the Lisbon Agreement on Appellations of Origin and Geographical Indications.</w:t>
      </w:r>
    </w:p>
    <w:p w:rsidR="00F15382" w:rsidRPr="00A83C39" w:rsidRDefault="00F15382" w:rsidP="00E3403E">
      <w:pPr>
        <w:pStyle w:val="ListParagraph"/>
        <w:tabs>
          <w:tab w:val="left" w:pos="709"/>
        </w:tabs>
        <w:ind w:left="0"/>
        <w:jc w:val="both"/>
        <w:rPr>
          <w:rFonts w:cs="Arial"/>
          <w:lang w:eastAsia="ko-KR"/>
        </w:rPr>
      </w:pPr>
    </w:p>
    <w:p w:rsidR="00F15382" w:rsidRPr="00A83C39" w:rsidRDefault="00F15382" w:rsidP="00F15382">
      <w:pPr>
        <w:pStyle w:val="ListParagraph"/>
        <w:numPr>
          <w:ilvl w:val="0"/>
          <w:numId w:val="94"/>
        </w:numPr>
        <w:tabs>
          <w:tab w:val="left" w:pos="709"/>
        </w:tabs>
        <w:ind w:left="0" w:firstLine="0"/>
        <w:jc w:val="both"/>
        <w:rPr>
          <w:rFonts w:cs="Arial"/>
          <w:lang w:eastAsia="ko-KR"/>
        </w:rPr>
      </w:pPr>
      <w:r w:rsidRPr="00A83C39">
        <w:rPr>
          <w:rFonts w:cs="Arial"/>
          <w:lang w:eastAsia="ko-KR"/>
        </w:rPr>
        <w:t>The Lisbon Registry received 115 new applications for the registration of appellations of origin, 105</w:t>
      </w:r>
      <w:r>
        <w:rPr>
          <w:rFonts w:cs="Arial"/>
          <w:lang w:eastAsia="ko-KR"/>
        </w:rPr>
        <w:t> </w:t>
      </w:r>
      <w:r w:rsidRPr="00A83C39">
        <w:rPr>
          <w:rFonts w:cs="Arial"/>
          <w:lang w:eastAsia="ko-KR"/>
        </w:rPr>
        <w:t xml:space="preserve">statements of grant of protection and </w:t>
      </w:r>
      <w:r w:rsidR="0063022B">
        <w:rPr>
          <w:rFonts w:cs="Arial"/>
          <w:lang w:eastAsia="ko-KR"/>
        </w:rPr>
        <w:t>39</w:t>
      </w:r>
      <w:r w:rsidR="0063022B" w:rsidRPr="00A83C39">
        <w:rPr>
          <w:rFonts w:cs="Arial"/>
          <w:lang w:eastAsia="ko-KR"/>
        </w:rPr>
        <w:t xml:space="preserve"> </w:t>
      </w:r>
      <w:r w:rsidRPr="00A83C39">
        <w:rPr>
          <w:rFonts w:cs="Arial"/>
          <w:lang w:eastAsia="ko-KR"/>
        </w:rPr>
        <w:t>refusal declarations, which amounts to an overall total of</w:t>
      </w:r>
      <w:r w:rsidR="00844511">
        <w:rPr>
          <w:rFonts w:cs="Arial"/>
          <w:lang w:eastAsia="ko-KR"/>
        </w:rPr>
        <w:t> </w:t>
      </w:r>
      <w:r w:rsidR="0063022B" w:rsidRPr="00A83C39">
        <w:rPr>
          <w:rFonts w:cs="Arial"/>
          <w:lang w:eastAsia="ko-KR"/>
        </w:rPr>
        <w:t>26</w:t>
      </w:r>
      <w:r w:rsidR="0063022B">
        <w:rPr>
          <w:rFonts w:cs="Arial"/>
          <w:lang w:eastAsia="ko-KR"/>
        </w:rPr>
        <w:t>7 </w:t>
      </w:r>
      <w:r w:rsidRPr="00A83C39">
        <w:rPr>
          <w:rFonts w:cs="Arial"/>
          <w:lang w:eastAsia="ko-KR"/>
        </w:rPr>
        <w:t xml:space="preserve">transactions (including </w:t>
      </w:r>
      <w:r w:rsidR="0063022B">
        <w:rPr>
          <w:rFonts w:cs="Arial"/>
          <w:lang w:eastAsia="ko-KR"/>
        </w:rPr>
        <w:t>two</w:t>
      </w:r>
      <w:r w:rsidR="0063022B" w:rsidRPr="00A83C39">
        <w:rPr>
          <w:rFonts w:cs="Arial"/>
          <w:lang w:eastAsia="ko-KR"/>
        </w:rPr>
        <w:t xml:space="preserve"> </w:t>
      </w:r>
      <w:r w:rsidRPr="00A83C39">
        <w:rPr>
          <w:rFonts w:cs="Arial"/>
          <w:lang w:eastAsia="ko-KR"/>
        </w:rPr>
        <w:t>withdrawal</w:t>
      </w:r>
      <w:r w:rsidR="0063022B">
        <w:rPr>
          <w:rFonts w:cs="Arial"/>
          <w:lang w:eastAsia="ko-KR"/>
        </w:rPr>
        <w:t>s</w:t>
      </w:r>
      <w:r w:rsidRPr="00A83C39">
        <w:rPr>
          <w:rFonts w:cs="Arial"/>
          <w:lang w:eastAsia="ko-KR"/>
        </w:rPr>
        <w:t xml:space="preserve"> of refusal and </w:t>
      </w:r>
      <w:r w:rsidR="0063022B">
        <w:rPr>
          <w:rFonts w:cs="Arial"/>
          <w:lang w:eastAsia="ko-KR"/>
        </w:rPr>
        <w:t>six</w:t>
      </w:r>
      <w:r w:rsidR="0063022B" w:rsidRPr="00A83C39">
        <w:rPr>
          <w:rFonts w:cs="Arial"/>
          <w:lang w:eastAsia="ko-KR"/>
        </w:rPr>
        <w:t xml:space="preserve"> </w:t>
      </w:r>
      <w:r w:rsidRPr="00A83C39">
        <w:rPr>
          <w:rFonts w:cs="Arial"/>
          <w:lang w:eastAsia="ko-KR"/>
        </w:rPr>
        <w:t>corrections).  The total number of registrations in force increased in the biennium to 931 from 816 in 2013.  Of these, 95 originate from developing countries or LDCs (14 in the Arab region</w:t>
      </w:r>
      <w:proofErr w:type="gramStart"/>
      <w:r w:rsidRPr="00A83C39">
        <w:rPr>
          <w:rFonts w:cs="Arial"/>
          <w:lang w:eastAsia="ko-KR"/>
        </w:rPr>
        <w:t xml:space="preserve">; </w:t>
      </w:r>
      <w:r w:rsidR="00844511">
        <w:rPr>
          <w:rFonts w:cs="Arial"/>
          <w:lang w:eastAsia="ko-KR"/>
        </w:rPr>
        <w:t xml:space="preserve"> </w:t>
      </w:r>
      <w:r w:rsidRPr="00A83C39">
        <w:rPr>
          <w:rFonts w:cs="Arial"/>
          <w:lang w:eastAsia="ko-KR"/>
        </w:rPr>
        <w:t>38</w:t>
      </w:r>
      <w:proofErr w:type="gramEnd"/>
      <w:r w:rsidRPr="00A83C39">
        <w:rPr>
          <w:rFonts w:cs="Arial"/>
          <w:lang w:eastAsia="ko-KR"/>
        </w:rPr>
        <w:t xml:space="preserve"> in Asia and the Pacific; and 43 in Latin America and the Caribbean).  </w:t>
      </w:r>
    </w:p>
    <w:p w:rsidR="00F15382" w:rsidRPr="00A83C39" w:rsidRDefault="00F15382" w:rsidP="00E3403E">
      <w:pPr>
        <w:pStyle w:val="ListParagraph"/>
        <w:tabs>
          <w:tab w:val="left" w:pos="709"/>
        </w:tabs>
        <w:ind w:left="0"/>
        <w:jc w:val="both"/>
        <w:rPr>
          <w:rFonts w:cs="Arial"/>
          <w:lang w:eastAsia="ko-KR"/>
        </w:rPr>
      </w:pPr>
    </w:p>
    <w:p w:rsidR="00F15382" w:rsidRPr="00A83C39" w:rsidRDefault="00F15382" w:rsidP="00F15382">
      <w:pPr>
        <w:pStyle w:val="ListParagraph"/>
        <w:numPr>
          <w:ilvl w:val="0"/>
          <w:numId w:val="94"/>
        </w:numPr>
        <w:tabs>
          <w:tab w:val="left" w:pos="709"/>
        </w:tabs>
        <w:ind w:left="0" w:firstLine="0"/>
        <w:jc w:val="both"/>
        <w:rPr>
          <w:rFonts w:cs="Arial"/>
          <w:lang w:eastAsia="ko-KR"/>
        </w:rPr>
      </w:pPr>
      <w:r w:rsidRPr="00A83C39">
        <w:rPr>
          <w:rFonts w:cs="Arial"/>
          <w:lang w:eastAsia="ko-KR"/>
        </w:rPr>
        <w:t xml:space="preserve">The number of competent authorities that had given their consent to the use of electronic means for communications under the procedures of the Lisbon System increased to 26 by the end of 2015 from 23 in 2013.  The electronic interface linking the International Register and the Lisbon Express database on the WIPO website was completed and deployed in 2014.  The notifications procedure was further streamlined through the use of the WIPO Inquiry Notification System (WINS).  Further development towards an electronic system for the generation of notification letters in 2015 was followed by the initiation of a testing phase.  </w:t>
      </w:r>
    </w:p>
    <w:p w:rsidR="00F15382" w:rsidRPr="00A83C39" w:rsidRDefault="00F15382" w:rsidP="00E3403E">
      <w:pPr>
        <w:pStyle w:val="ListParagraph"/>
        <w:tabs>
          <w:tab w:val="left" w:pos="709"/>
        </w:tabs>
        <w:ind w:left="0"/>
        <w:jc w:val="both"/>
        <w:rPr>
          <w:rFonts w:cs="Arial"/>
          <w:lang w:eastAsia="ko-KR"/>
        </w:rPr>
      </w:pPr>
    </w:p>
    <w:p w:rsidR="00F15382" w:rsidRPr="00A83C39" w:rsidRDefault="00F15382" w:rsidP="00F15382">
      <w:pPr>
        <w:pStyle w:val="ListParagraph"/>
        <w:numPr>
          <w:ilvl w:val="0"/>
          <w:numId w:val="94"/>
        </w:numPr>
        <w:tabs>
          <w:tab w:val="left" w:pos="709"/>
        </w:tabs>
        <w:ind w:left="0" w:firstLine="0"/>
        <w:jc w:val="both"/>
        <w:rPr>
          <w:rFonts w:cs="Arial"/>
          <w:lang w:eastAsia="ko-KR"/>
        </w:rPr>
      </w:pPr>
      <w:r w:rsidRPr="00A83C39">
        <w:rPr>
          <w:rFonts w:cs="Arial"/>
          <w:lang w:eastAsia="ko-KR"/>
        </w:rPr>
        <w:t xml:space="preserve">As regards raising awareness of the Lisbon System, the IB organized and/or participated in seven information and promotion events with a specific focus on the Lisbon System, including its planned revision, in all regions.  </w:t>
      </w:r>
    </w:p>
    <w:p w:rsidR="00F15382" w:rsidRPr="00A83C39" w:rsidRDefault="00F15382" w:rsidP="00E3403E">
      <w:pPr>
        <w:pStyle w:val="ListParagraph"/>
        <w:tabs>
          <w:tab w:val="left" w:pos="709"/>
        </w:tabs>
        <w:ind w:left="0"/>
        <w:jc w:val="both"/>
        <w:rPr>
          <w:rFonts w:cs="Arial"/>
          <w:lang w:eastAsia="ko-KR"/>
        </w:rPr>
      </w:pPr>
    </w:p>
    <w:p w:rsidR="00F15382" w:rsidRPr="00A83C39" w:rsidRDefault="00F15382" w:rsidP="00F15382">
      <w:pPr>
        <w:pStyle w:val="ListParagraph"/>
        <w:numPr>
          <w:ilvl w:val="0"/>
          <w:numId w:val="94"/>
        </w:numPr>
        <w:tabs>
          <w:tab w:val="left" w:pos="709"/>
        </w:tabs>
        <w:ind w:left="0" w:firstLine="0"/>
        <w:jc w:val="both"/>
        <w:rPr>
          <w:rFonts w:cs="Arial"/>
          <w:lang w:eastAsia="ko-KR"/>
        </w:rPr>
      </w:pPr>
      <w:r w:rsidRPr="00A83C39">
        <w:rPr>
          <w:rFonts w:cs="Arial"/>
          <w:lang w:eastAsia="ko-KR"/>
        </w:rPr>
        <w:t>The design, planning and implementation of activities by Program 6 were informed and guided by the relevant DA Recommendations, in particular Recommendations 1 and 6.  In addition, the legislative assistance provided to Member States was development-oriented, balanced and tailored to unique Member State requests, in accordance with the DA principles (Recommendation 13), and bearing in mind the applicable flexibilities relevant to countries at differing levels of development (Recommendations 14 and 17).</w:t>
      </w:r>
    </w:p>
    <w:p w:rsidR="00F15382" w:rsidRPr="00383D2D" w:rsidRDefault="00F15382" w:rsidP="00E3403E">
      <w:pPr>
        <w:rPr>
          <w:szCs w:val="20"/>
        </w:rPr>
      </w:pPr>
    </w:p>
    <w:p w:rsidR="00F15382" w:rsidRDefault="00F15382" w:rsidP="00E3403E">
      <w:pPr>
        <w:rPr>
          <w:rFonts w:cs="Arial"/>
          <w:sz w:val="22"/>
          <w:szCs w:val="22"/>
        </w:rPr>
      </w:pPr>
    </w:p>
    <w:p w:rsidR="00F15382" w:rsidRPr="00082989" w:rsidRDefault="00F15382" w:rsidP="00E3403E">
      <w:pPr>
        <w:keepNext/>
        <w:keepLines/>
        <w:rPr>
          <w:rFonts w:cs="Arial"/>
          <w:szCs w:val="22"/>
        </w:rPr>
      </w:pPr>
      <w:r w:rsidRPr="00082989">
        <w:rPr>
          <w:rFonts w:cs="Arial"/>
          <w:szCs w:val="22"/>
        </w:rPr>
        <w:t>PERFORMANCE DATA</w:t>
      </w:r>
    </w:p>
    <w:p w:rsidR="00F15382" w:rsidRPr="00100231" w:rsidRDefault="00F15382" w:rsidP="00E3403E">
      <w:pPr>
        <w:keepNext/>
        <w:keepLines/>
        <w:rPr>
          <w:szCs w:val="18"/>
        </w:rPr>
      </w:pPr>
    </w:p>
    <w:tbl>
      <w:tblPr>
        <w:tblW w:w="4888"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058"/>
        <w:gridCol w:w="2603"/>
        <w:gridCol w:w="1508"/>
        <w:gridCol w:w="2191"/>
        <w:gridCol w:w="997"/>
      </w:tblGrid>
      <w:tr w:rsidR="00F15382" w:rsidRPr="0005539E" w:rsidTr="003B10D0">
        <w:trPr>
          <w:cantSplit/>
          <w:trHeight w:val="392"/>
        </w:trPr>
        <w:tc>
          <w:tcPr>
            <w:tcW w:w="5000" w:type="pct"/>
            <w:gridSpan w:val="5"/>
            <w:tcBorders>
              <w:top w:val="single" w:sz="4" w:space="0" w:color="auto"/>
              <w:bottom w:val="single" w:sz="4" w:space="0" w:color="auto"/>
            </w:tcBorders>
            <w:shd w:val="clear" w:color="auto" w:fill="C6D9F1" w:themeFill="text2" w:themeFillTint="33"/>
            <w:vAlign w:val="center"/>
          </w:tcPr>
          <w:p w:rsidR="00F15382" w:rsidRPr="0005539E" w:rsidRDefault="00F15382" w:rsidP="00E3403E">
            <w:pPr>
              <w:keepNext/>
              <w:keepLines/>
              <w:tabs>
                <w:tab w:val="left" w:pos="1452"/>
              </w:tabs>
              <w:ind w:left="1452" w:hanging="1452"/>
              <w:rPr>
                <w:rFonts w:cs="Arial"/>
                <w:b/>
                <w:bCs/>
                <w:sz w:val="16"/>
                <w:szCs w:val="16"/>
              </w:rPr>
            </w:pPr>
            <w:r w:rsidRPr="0005539E">
              <w:rPr>
                <w:rFonts w:cs="Arial"/>
                <w:b/>
                <w:bCs/>
                <w:sz w:val="16"/>
                <w:szCs w:val="16"/>
              </w:rPr>
              <w:t>Expected Result:</w:t>
            </w:r>
            <w:r w:rsidRPr="0005539E">
              <w:rPr>
                <w:rFonts w:cs="Arial"/>
                <w:b/>
                <w:bCs/>
                <w:sz w:val="16"/>
                <w:szCs w:val="16"/>
              </w:rPr>
              <w:tab/>
            </w:r>
            <w:r w:rsidRPr="00E33D5E">
              <w:rPr>
                <w:rFonts w:cs="Arial"/>
                <w:bCs/>
                <w:sz w:val="16"/>
                <w:szCs w:val="16"/>
              </w:rPr>
              <w:t>II.6</w:t>
            </w:r>
            <w:r>
              <w:rPr>
                <w:rFonts w:cs="Arial"/>
                <w:b/>
                <w:bCs/>
                <w:sz w:val="16"/>
                <w:szCs w:val="16"/>
              </w:rPr>
              <w:t xml:space="preserve"> </w:t>
            </w:r>
            <w:r w:rsidRPr="00A539FB">
              <w:rPr>
                <w:rFonts w:cs="Arial"/>
                <w:sz w:val="16"/>
                <w:szCs w:val="16"/>
              </w:rPr>
              <w:t xml:space="preserve">Wider and better use of the Madrid &amp; Lisbon </w:t>
            </w:r>
            <w:r>
              <w:rPr>
                <w:rFonts w:cs="Arial"/>
                <w:sz w:val="16"/>
                <w:szCs w:val="16"/>
              </w:rPr>
              <w:t>S</w:t>
            </w:r>
            <w:r w:rsidRPr="00A539FB">
              <w:rPr>
                <w:rFonts w:cs="Arial"/>
                <w:sz w:val="16"/>
                <w:szCs w:val="16"/>
              </w:rPr>
              <w:t>ystems, including by developing countries and LDCs</w:t>
            </w:r>
          </w:p>
        </w:tc>
      </w:tr>
      <w:tr w:rsidR="00F15382" w:rsidRPr="0005539E" w:rsidTr="003B10D0">
        <w:trPr>
          <w:cantSplit/>
        </w:trPr>
        <w:tc>
          <w:tcPr>
            <w:tcW w:w="1099" w:type="pct"/>
            <w:tcBorders>
              <w:top w:val="single" w:sz="4" w:space="0" w:color="auto"/>
              <w:left w:val="single" w:sz="4" w:space="0" w:color="auto"/>
              <w:bottom w:val="nil"/>
            </w:tcBorders>
            <w:shd w:val="clear" w:color="auto" w:fill="auto"/>
            <w:vAlign w:val="center"/>
          </w:tcPr>
          <w:p w:rsidR="00F15382" w:rsidRPr="0005539E" w:rsidRDefault="00F15382" w:rsidP="00E3403E">
            <w:pPr>
              <w:keepNext/>
              <w:keepLines/>
              <w:rPr>
                <w:rFonts w:cs="Arial"/>
                <w:sz w:val="16"/>
                <w:szCs w:val="16"/>
              </w:rPr>
            </w:pPr>
            <w:r w:rsidRPr="0005539E">
              <w:rPr>
                <w:rFonts w:cs="Arial"/>
                <w:b/>
                <w:bCs/>
                <w:sz w:val="16"/>
                <w:szCs w:val="16"/>
              </w:rPr>
              <w:t>Performance Indicators</w:t>
            </w:r>
          </w:p>
        </w:tc>
        <w:tc>
          <w:tcPr>
            <w:tcW w:w="1391" w:type="pct"/>
            <w:tcBorders>
              <w:top w:val="single" w:sz="4" w:space="0" w:color="auto"/>
              <w:bottom w:val="nil"/>
            </w:tcBorders>
            <w:shd w:val="clear" w:color="auto" w:fill="auto"/>
            <w:vAlign w:val="center"/>
          </w:tcPr>
          <w:p w:rsidR="00F15382" w:rsidRPr="0005539E" w:rsidRDefault="00F15382" w:rsidP="00E3403E">
            <w:pPr>
              <w:keepNext/>
              <w:keepLines/>
              <w:rPr>
                <w:rFonts w:cs="Arial"/>
                <w:b/>
                <w:bCs/>
                <w:sz w:val="16"/>
                <w:szCs w:val="16"/>
              </w:rPr>
            </w:pPr>
            <w:r w:rsidRPr="0005539E">
              <w:rPr>
                <w:rFonts w:cs="Arial"/>
                <w:b/>
                <w:bCs/>
                <w:sz w:val="16"/>
                <w:szCs w:val="16"/>
              </w:rPr>
              <w:t>Baselines</w:t>
            </w:r>
          </w:p>
        </w:tc>
        <w:tc>
          <w:tcPr>
            <w:tcW w:w="806" w:type="pct"/>
            <w:tcBorders>
              <w:top w:val="single" w:sz="4" w:space="0" w:color="auto"/>
              <w:bottom w:val="nil"/>
            </w:tcBorders>
            <w:shd w:val="clear" w:color="auto" w:fill="auto"/>
            <w:tcMar>
              <w:top w:w="110" w:type="dxa"/>
            </w:tcMar>
            <w:vAlign w:val="center"/>
          </w:tcPr>
          <w:p w:rsidR="00F15382" w:rsidRPr="0005539E" w:rsidRDefault="00F15382" w:rsidP="00E3403E">
            <w:pPr>
              <w:keepNext/>
              <w:keepLines/>
              <w:rPr>
                <w:rFonts w:cs="Arial"/>
                <w:b/>
                <w:sz w:val="16"/>
                <w:szCs w:val="16"/>
              </w:rPr>
            </w:pPr>
            <w:r w:rsidRPr="0005539E">
              <w:rPr>
                <w:rFonts w:cs="Arial"/>
                <w:b/>
                <w:sz w:val="16"/>
                <w:szCs w:val="16"/>
              </w:rPr>
              <w:t>Targets</w:t>
            </w:r>
          </w:p>
        </w:tc>
        <w:tc>
          <w:tcPr>
            <w:tcW w:w="1171" w:type="pct"/>
            <w:tcBorders>
              <w:top w:val="single" w:sz="4" w:space="0" w:color="auto"/>
              <w:bottom w:val="nil"/>
            </w:tcBorders>
            <w:shd w:val="clear" w:color="auto" w:fill="FFFFFF"/>
            <w:tcMar>
              <w:top w:w="110" w:type="dxa"/>
            </w:tcMar>
            <w:vAlign w:val="center"/>
          </w:tcPr>
          <w:p w:rsidR="00F15382" w:rsidRPr="0005539E" w:rsidRDefault="00F15382" w:rsidP="00E3403E">
            <w:pPr>
              <w:keepNext/>
              <w:keepLines/>
              <w:rPr>
                <w:rFonts w:cs="Arial"/>
                <w:sz w:val="16"/>
                <w:szCs w:val="16"/>
              </w:rPr>
            </w:pPr>
            <w:r w:rsidRPr="0005539E">
              <w:rPr>
                <w:rFonts w:cs="Arial"/>
                <w:b/>
                <w:bCs/>
                <w:sz w:val="16"/>
                <w:szCs w:val="16"/>
              </w:rPr>
              <w:t>Performance Data</w:t>
            </w:r>
          </w:p>
        </w:tc>
        <w:tc>
          <w:tcPr>
            <w:tcW w:w="533" w:type="pct"/>
            <w:tcBorders>
              <w:top w:val="single" w:sz="4" w:space="0" w:color="auto"/>
              <w:bottom w:val="nil"/>
              <w:right w:val="single" w:sz="4" w:space="0" w:color="auto"/>
            </w:tcBorders>
            <w:shd w:val="clear" w:color="auto" w:fill="auto"/>
            <w:tcMar>
              <w:top w:w="110" w:type="dxa"/>
            </w:tcMar>
            <w:vAlign w:val="center"/>
          </w:tcPr>
          <w:p w:rsidR="00F15382" w:rsidRPr="0005539E" w:rsidRDefault="00F15382" w:rsidP="00E3403E">
            <w:pPr>
              <w:keepNext/>
              <w:keepLines/>
              <w:jc w:val="center"/>
              <w:rPr>
                <w:rFonts w:cs="Arial"/>
                <w:b/>
                <w:bCs/>
                <w:sz w:val="16"/>
                <w:szCs w:val="16"/>
              </w:rPr>
            </w:pPr>
            <w:r w:rsidRPr="0005539E">
              <w:rPr>
                <w:rFonts w:cs="Arial"/>
                <w:b/>
                <w:bCs/>
                <w:sz w:val="16"/>
                <w:szCs w:val="16"/>
              </w:rPr>
              <w:t>TLS</w:t>
            </w:r>
          </w:p>
        </w:tc>
      </w:tr>
      <w:tr w:rsidR="00F15382" w:rsidRPr="0005539E" w:rsidTr="003B10D0">
        <w:trPr>
          <w:cantSplit/>
        </w:trPr>
        <w:tc>
          <w:tcPr>
            <w:tcW w:w="1099" w:type="pct"/>
            <w:tcBorders>
              <w:top w:val="nil"/>
              <w:left w:val="single" w:sz="4" w:space="0" w:color="auto"/>
              <w:bottom w:val="single" w:sz="4" w:space="0" w:color="auto"/>
            </w:tcBorders>
            <w:shd w:val="clear" w:color="auto" w:fill="auto"/>
          </w:tcPr>
          <w:p w:rsidR="00F15382" w:rsidRPr="0005539E" w:rsidRDefault="00F15382" w:rsidP="00E3403E">
            <w:pPr>
              <w:rPr>
                <w:rFonts w:cs="Arial"/>
                <w:sz w:val="16"/>
                <w:szCs w:val="16"/>
              </w:rPr>
            </w:pPr>
            <w:r w:rsidRPr="00A539FB">
              <w:rPr>
                <w:rFonts w:cs="Arial"/>
                <w:sz w:val="16"/>
                <w:szCs w:val="16"/>
              </w:rPr>
              <w:t>Expansion of geographical coverage (Madrid)</w:t>
            </w:r>
          </w:p>
        </w:tc>
        <w:tc>
          <w:tcPr>
            <w:tcW w:w="1391" w:type="pct"/>
            <w:tcBorders>
              <w:top w:val="nil"/>
              <w:bottom w:val="single" w:sz="4" w:space="0" w:color="auto"/>
            </w:tcBorders>
            <w:shd w:val="clear" w:color="auto" w:fill="auto"/>
          </w:tcPr>
          <w:p w:rsidR="00F15382" w:rsidRPr="0005539E" w:rsidRDefault="00F15382" w:rsidP="00E3403E">
            <w:pPr>
              <w:rPr>
                <w:rFonts w:cs="Arial"/>
                <w:i/>
                <w:color w:val="002060"/>
                <w:sz w:val="16"/>
                <w:szCs w:val="16"/>
              </w:rPr>
            </w:pPr>
            <w:r>
              <w:rPr>
                <w:rFonts w:cs="Arial"/>
                <w:i/>
                <w:color w:val="002060"/>
                <w:sz w:val="16"/>
                <w:szCs w:val="16"/>
              </w:rPr>
              <w:t>Updated Baseline end 2013</w:t>
            </w:r>
            <w:r w:rsidRPr="0005539E">
              <w:rPr>
                <w:rFonts w:cs="Arial"/>
                <w:i/>
                <w:color w:val="002060"/>
                <w:sz w:val="16"/>
                <w:szCs w:val="16"/>
              </w:rPr>
              <w:t>:</w:t>
            </w:r>
          </w:p>
          <w:p w:rsidR="00F15382" w:rsidRDefault="00F15382" w:rsidP="00E3403E">
            <w:pPr>
              <w:rPr>
                <w:rFonts w:cs="Arial"/>
                <w:color w:val="002060"/>
                <w:sz w:val="16"/>
                <w:szCs w:val="16"/>
              </w:rPr>
            </w:pPr>
            <w:r w:rsidRPr="00A539FB">
              <w:rPr>
                <w:rFonts w:cs="Arial"/>
                <w:color w:val="002060"/>
                <w:sz w:val="16"/>
                <w:szCs w:val="16"/>
              </w:rPr>
              <w:t>92 Contracting Parties  to the Madrid System(end 2013)</w:t>
            </w:r>
          </w:p>
          <w:p w:rsidR="00F15382" w:rsidRPr="0005539E" w:rsidRDefault="00F15382" w:rsidP="00E3403E">
            <w:pPr>
              <w:rPr>
                <w:rFonts w:cs="Arial"/>
                <w:color w:val="002060"/>
                <w:sz w:val="8"/>
                <w:szCs w:val="8"/>
              </w:rPr>
            </w:pPr>
          </w:p>
          <w:p w:rsidR="00F15382" w:rsidRPr="0005539E" w:rsidRDefault="00F15382" w:rsidP="00E3403E">
            <w:pPr>
              <w:rPr>
                <w:rFonts w:cs="Arial"/>
                <w:sz w:val="16"/>
                <w:szCs w:val="16"/>
              </w:rPr>
            </w:pPr>
            <w:r>
              <w:rPr>
                <w:rFonts w:cs="Arial"/>
                <w:i/>
                <w:sz w:val="16"/>
                <w:szCs w:val="16"/>
              </w:rPr>
              <w:t>Original Baseline P&amp;B 2014/15</w:t>
            </w:r>
            <w:r w:rsidRPr="0005539E">
              <w:rPr>
                <w:rFonts w:cs="Arial"/>
                <w:i/>
                <w:sz w:val="16"/>
                <w:szCs w:val="16"/>
              </w:rPr>
              <w:t>:</w:t>
            </w:r>
          </w:p>
          <w:p w:rsidR="00F15382" w:rsidRPr="0005539E" w:rsidRDefault="00F15382" w:rsidP="00E3403E">
            <w:pPr>
              <w:rPr>
                <w:rFonts w:cs="Arial"/>
                <w:sz w:val="16"/>
                <w:szCs w:val="16"/>
              </w:rPr>
            </w:pPr>
            <w:r w:rsidRPr="00A539FB">
              <w:rPr>
                <w:rFonts w:cs="Arial"/>
                <w:sz w:val="16"/>
                <w:szCs w:val="16"/>
              </w:rPr>
              <w:t>The number of Contracting Parties at the end of 2013</w:t>
            </w:r>
          </w:p>
        </w:tc>
        <w:tc>
          <w:tcPr>
            <w:tcW w:w="806" w:type="pct"/>
            <w:tcBorders>
              <w:top w:val="nil"/>
              <w:bottom w:val="single" w:sz="4" w:space="0" w:color="auto"/>
            </w:tcBorders>
            <w:shd w:val="clear" w:color="auto" w:fill="auto"/>
            <w:tcMar>
              <w:top w:w="110" w:type="dxa"/>
            </w:tcMar>
          </w:tcPr>
          <w:p w:rsidR="00F15382" w:rsidRPr="0005539E" w:rsidRDefault="00F15382" w:rsidP="00E3403E">
            <w:pPr>
              <w:rPr>
                <w:rFonts w:cs="Arial"/>
                <w:b/>
                <w:sz w:val="16"/>
                <w:szCs w:val="16"/>
              </w:rPr>
            </w:pPr>
            <w:r w:rsidRPr="00A539FB">
              <w:rPr>
                <w:rFonts w:cs="Arial"/>
                <w:sz w:val="16"/>
                <w:szCs w:val="16"/>
              </w:rPr>
              <w:t>A total of 100 Contracting Parties by end of</w:t>
            </w:r>
            <w:r>
              <w:rPr>
                <w:rFonts w:cs="Arial"/>
                <w:sz w:val="16"/>
                <w:szCs w:val="16"/>
              </w:rPr>
              <w:t> </w:t>
            </w:r>
            <w:r w:rsidRPr="00A539FB">
              <w:rPr>
                <w:rFonts w:cs="Arial"/>
                <w:sz w:val="16"/>
                <w:szCs w:val="16"/>
              </w:rPr>
              <w:t>2015</w:t>
            </w:r>
          </w:p>
        </w:tc>
        <w:tc>
          <w:tcPr>
            <w:tcW w:w="1171" w:type="pct"/>
            <w:tcBorders>
              <w:top w:val="nil"/>
              <w:bottom w:val="single" w:sz="4" w:space="0" w:color="auto"/>
            </w:tcBorders>
            <w:shd w:val="clear" w:color="auto" w:fill="FFFFFF"/>
            <w:tcMar>
              <w:top w:w="110" w:type="dxa"/>
            </w:tcMar>
          </w:tcPr>
          <w:p w:rsidR="00F15382" w:rsidRPr="00C55E7F" w:rsidRDefault="00F15382" w:rsidP="00E3403E">
            <w:pPr>
              <w:rPr>
                <w:rFonts w:cs="Arial"/>
                <w:color w:val="000000" w:themeColor="text1"/>
                <w:sz w:val="16"/>
                <w:szCs w:val="16"/>
              </w:rPr>
            </w:pPr>
            <w:r>
              <w:rPr>
                <w:rFonts w:cs="Arial"/>
                <w:color w:val="000000" w:themeColor="text1"/>
                <w:sz w:val="16"/>
                <w:szCs w:val="16"/>
              </w:rPr>
              <w:t>97 Contracting Parties</w:t>
            </w:r>
            <w:r w:rsidRPr="00C55E7F">
              <w:rPr>
                <w:rFonts w:cs="Arial"/>
                <w:color w:val="000000" w:themeColor="text1"/>
                <w:sz w:val="16"/>
                <w:szCs w:val="16"/>
              </w:rPr>
              <w:t xml:space="preserve"> by end of 2015 covering 113 countries</w:t>
            </w:r>
          </w:p>
        </w:tc>
        <w:tc>
          <w:tcPr>
            <w:tcW w:w="533" w:type="pct"/>
            <w:tcBorders>
              <w:top w:val="nil"/>
              <w:bottom w:val="single" w:sz="4" w:space="0" w:color="auto"/>
              <w:right w:val="single" w:sz="4" w:space="0" w:color="auto"/>
            </w:tcBorders>
            <w:shd w:val="clear" w:color="auto" w:fill="auto"/>
            <w:tcMar>
              <w:top w:w="110" w:type="dxa"/>
            </w:tcMar>
          </w:tcPr>
          <w:p w:rsidR="00F15382" w:rsidRPr="00F43373" w:rsidRDefault="00F15382" w:rsidP="00E3403E">
            <w:pPr>
              <w:keepNext/>
              <w:keepLines/>
              <w:jc w:val="center"/>
              <w:rPr>
                <w:rFonts w:cs="Arial"/>
                <w:b/>
                <w:bCs/>
                <w:color w:val="00B050"/>
                <w:sz w:val="16"/>
                <w:szCs w:val="16"/>
              </w:rPr>
            </w:pPr>
            <w:r>
              <w:rPr>
                <w:rFonts w:cs="Arial"/>
                <w:b/>
                <w:color w:val="00B050"/>
                <w:sz w:val="16"/>
                <w:szCs w:val="16"/>
              </w:rPr>
              <w:t>Fully Achieved</w:t>
            </w:r>
          </w:p>
        </w:tc>
      </w:tr>
      <w:tr w:rsidR="00F15382" w:rsidRPr="0005539E" w:rsidTr="003B10D0">
        <w:trPr>
          <w:cantSplit/>
        </w:trPr>
        <w:tc>
          <w:tcPr>
            <w:tcW w:w="1099" w:type="pct"/>
            <w:tcBorders>
              <w:top w:val="single" w:sz="4" w:space="0" w:color="auto"/>
              <w:left w:val="single" w:sz="4" w:space="0" w:color="auto"/>
              <w:bottom w:val="nil"/>
            </w:tcBorders>
            <w:shd w:val="clear" w:color="auto" w:fill="auto"/>
          </w:tcPr>
          <w:p w:rsidR="00F15382" w:rsidRPr="00A539FB" w:rsidRDefault="00F15382" w:rsidP="00E3403E">
            <w:pPr>
              <w:rPr>
                <w:rFonts w:cs="Arial"/>
                <w:sz w:val="16"/>
                <w:szCs w:val="16"/>
              </w:rPr>
            </w:pPr>
            <w:r w:rsidRPr="00365C4F">
              <w:rPr>
                <w:rFonts w:cs="Arial"/>
                <w:sz w:val="16"/>
                <w:szCs w:val="16"/>
              </w:rPr>
              <w:lastRenderedPageBreak/>
              <w:t>Expansion</w:t>
            </w:r>
            <w:r>
              <w:rPr>
                <w:rFonts w:cs="Arial"/>
                <w:sz w:val="16"/>
                <w:szCs w:val="16"/>
              </w:rPr>
              <w:t xml:space="preserve"> of</w:t>
            </w:r>
            <w:r w:rsidRPr="00365C4F">
              <w:rPr>
                <w:rFonts w:cs="Arial"/>
                <w:sz w:val="16"/>
                <w:szCs w:val="16"/>
              </w:rPr>
              <w:t xml:space="preserve"> geographical coverage (Lisbon)</w:t>
            </w:r>
          </w:p>
        </w:tc>
        <w:tc>
          <w:tcPr>
            <w:tcW w:w="1391" w:type="pct"/>
            <w:tcBorders>
              <w:top w:val="single" w:sz="4" w:space="0" w:color="auto"/>
              <w:bottom w:val="nil"/>
            </w:tcBorders>
            <w:shd w:val="clear" w:color="auto" w:fill="auto"/>
          </w:tcPr>
          <w:p w:rsidR="00F15382" w:rsidRPr="0005539E" w:rsidRDefault="00F15382" w:rsidP="00E3403E">
            <w:pPr>
              <w:keepNext/>
              <w:keepLines/>
              <w:rPr>
                <w:rFonts w:cs="Arial"/>
                <w:color w:val="002060"/>
                <w:sz w:val="16"/>
                <w:szCs w:val="16"/>
              </w:rPr>
            </w:pPr>
            <w:r>
              <w:rPr>
                <w:rFonts w:cs="Arial"/>
                <w:i/>
                <w:color w:val="002060"/>
                <w:sz w:val="16"/>
                <w:szCs w:val="16"/>
              </w:rPr>
              <w:t>Updated Baseline end 2013</w:t>
            </w:r>
            <w:r w:rsidRPr="0005539E">
              <w:rPr>
                <w:rFonts w:cs="Arial"/>
                <w:i/>
                <w:color w:val="002060"/>
                <w:sz w:val="16"/>
                <w:szCs w:val="16"/>
              </w:rPr>
              <w:t>:</w:t>
            </w:r>
            <w:r>
              <w:rPr>
                <w:rFonts w:cs="Arial"/>
                <w:color w:val="002060"/>
                <w:sz w:val="16"/>
                <w:szCs w:val="16"/>
              </w:rPr>
              <w:t xml:space="preserve">  </w:t>
            </w:r>
            <w:r w:rsidRPr="00365C4F">
              <w:rPr>
                <w:rFonts w:cs="Arial"/>
                <w:color w:val="002060"/>
                <w:sz w:val="16"/>
                <w:szCs w:val="16"/>
              </w:rPr>
              <w:t>28 (end 2013)</w:t>
            </w:r>
          </w:p>
          <w:p w:rsidR="00F15382" w:rsidRPr="0005539E" w:rsidRDefault="00F15382" w:rsidP="00E3403E">
            <w:pPr>
              <w:keepNext/>
              <w:keepLines/>
              <w:rPr>
                <w:rFonts w:cs="Arial"/>
                <w:color w:val="002060"/>
                <w:sz w:val="16"/>
                <w:szCs w:val="16"/>
              </w:rPr>
            </w:pPr>
          </w:p>
          <w:p w:rsidR="00F15382" w:rsidRPr="0005539E" w:rsidRDefault="00F15382" w:rsidP="00E3403E">
            <w:pPr>
              <w:keepNext/>
              <w:keepLines/>
              <w:rPr>
                <w:rFonts w:cs="Arial"/>
                <w:sz w:val="16"/>
                <w:szCs w:val="16"/>
              </w:rPr>
            </w:pPr>
            <w:r>
              <w:rPr>
                <w:rFonts w:cs="Arial"/>
                <w:i/>
                <w:sz w:val="16"/>
                <w:szCs w:val="16"/>
              </w:rPr>
              <w:t>Original Baseline P&amp;B 2013/14</w:t>
            </w:r>
            <w:r w:rsidRPr="0005539E">
              <w:rPr>
                <w:rFonts w:cs="Arial"/>
                <w:i/>
                <w:sz w:val="16"/>
                <w:szCs w:val="16"/>
              </w:rPr>
              <w:t>:</w:t>
            </w:r>
          </w:p>
          <w:p w:rsidR="00F15382" w:rsidRDefault="00F15382" w:rsidP="00E3403E">
            <w:pPr>
              <w:rPr>
                <w:rFonts w:cs="Arial"/>
                <w:i/>
                <w:color w:val="002060"/>
                <w:sz w:val="16"/>
                <w:szCs w:val="16"/>
              </w:rPr>
            </w:pPr>
            <w:r w:rsidRPr="00365C4F">
              <w:rPr>
                <w:rFonts w:cs="Arial"/>
                <w:sz w:val="16"/>
                <w:szCs w:val="16"/>
              </w:rPr>
              <w:t>28 (April 2013)</w:t>
            </w:r>
          </w:p>
        </w:tc>
        <w:tc>
          <w:tcPr>
            <w:tcW w:w="806" w:type="pct"/>
            <w:tcBorders>
              <w:top w:val="single" w:sz="4" w:space="0" w:color="auto"/>
              <w:bottom w:val="nil"/>
            </w:tcBorders>
            <w:shd w:val="clear" w:color="auto" w:fill="auto"/>
            <w:tcMar>
              <w:top w:w="110" w:type="dxa"/>
            </w:tcMar>
          </w:tcPr>
          <w:p w:rsidR="00F15382" w:rsidRPr="00A539FB" w:rsidRDefault="00F15382" w:rsidP="00E3403E">
            <w:pPr>
              <w:rPr>
                <w:rFonts w:cs="Arial"/>
                <w:sz w:val="16"/>
                <w:szCs w:val="16"/>
              </w:rPr>
            </w:pPr>
            <w:r w:rsidRPr="00365C4F">
              <w:rPr>
                <w:rFonts w:cs="Arial"/>
                <w:sz w:val="16"/>
                <w:szCs w:val="16"/>
              </w:rPr>
              <w:t>32</w:t>
            </w:r>
          </w:p>
        </w:tc>
        <w:tc>
          <w:tcPr>
            <w:tcW w:w="1171" w:type="pct"/>
            <w:tcBorders>
              <w:top w:val="single" w:sz="4" w:space="0" w:color="auto"/>
              <w:bottom w:val="nil"/>
            </w:tcBorders>
            <w:shd w:val="clear" w:color="auto" w:fill="FFFFFF"/>
            <w:tcMar>
              <w:top w:w="110" w:type="dxa"/>
            </w:tcMar>
          </w:tcPr>
          <w:p w:rsidR="00F15382" w:rsidRPr="000F32F9" w:rsidRDefault="00F15382" w:rsidP="00E3403E">
            <w:pPr>
              <w:rPr>
                <w:rFonts w:cs="Arial"/>
                <w:sz w:val="16"/>
                <w:szCs w:val="16"/>
                <w:lang w:bidi="th-TH"/>
              </w:rPr>
            </w:pPr>
            <w:r>
              <w:rPr>
                <w:rFonts w:cs="Arial"/>
                <w:sz w:val="16"/>
                <w:szCs w:val="16"/>
              </w:rPr>
              <w:t>No new Contracting Parties</w:t>
            </w:r>
          </w:p>
        </w:tc>
        <w:tc>
          <w:tcPr>
            <w:tcW w:w="533" w:type="pct"/>
            <w:tcBorders>
              <w:top w:val="single" w:sz="4" w:space="0" w:color="auto"/>
              <w:bottom w:val="nil"/>
              <w:right w:val="single" w:sz="4" w:space="0" w:color="auto"/>
            </w:tcBorders>
            <w:shd w:val="clear" w:color="auto" w:fill="auto"/>
            <w:tcMar>
              <w:top w:w="110" w:type="dxa"/>
            </w:tcMar>
          </w:tcPr>
          <w:p w:rsidR="00F15382" w:rsidRPr="00F43373" w:rsidRDefault="00F15382" w:rsidP="00E3403E">
            <w:pPr>
              <w:keepNext/>
              <w:keepLines/>
              <w:jc w:val="center"/>
              <w:rPr>
                <w:rStyle w:val="Style5"/>
              </w:rPr>
            </w:pPr>
            <w:r>
              <w:rPr>
                <w:rFonts w:cs="Arial"/>
                <w:b/>
                <w:color w:val="FF0000"/>
                <w:sz w:val="16"/>
                <w:szCs w:val="16"/>
              </w:rPr>
              <w:t xml:space="preserve">Not </w:t>
            </w:r>
            <w:r>
              <w:rPr>
                <w:rFonts w:cs="Arial"/>
                <w:b/>
                <w:color w:val="FF0000"/>
                <w:sz w:val="16"/>
                <w:szCs w:val="16"/>
              </w:rPr>
              <w:br/>
              <w:t>Achieved</w:t>
            </w:r>
          </w:p>
        </w:tc>
      </w:tr>
      <w:tr w:rsidR="00F15382" w:rsidRPr="0005539E" w:rsidTr="003B10D0">
        <w:trPr>
          <w:cantSplit/>
        </w:trPr>
        <w:tc>
          <w:tcPr>
            <w:tcW w:w="1099" w:type="pct"/>
            <w:tcBorders>
              <w:top w:val="nil"/>
              <w:left w:val="single" w:sz="4" w:space="0" w:color="auto"/>
              <w:bottom w:val="nil"/>
            </w:tcBorders>
            <w:shd w:val="clear" w:color="auto" w:fill="auto"/>
          </w:tcPr>
          <w:p w:rsidR="00F15382" w:rsidRPr="00232B7E" w:rsidRDefault="00F15382" w:rsidP="00E3403E">
            <w:pPr>
              <w:rPr>
                <w:rFonts w:cs="Arial"/>
                <w:sz w:val="16"/>
                <w:szCs w:val="16"/>
              </w:rPr>
            </w:pPr>
            <w:r w:rsidRPr="00F657D4">
              <w:rPr>
                <w:rFonts w:cs="Arial"/>
                <w:sz w:val="16"/>
                <w:szCs w:val="16"/>
              </w:rPr>
              <w:t xml:space="preserve">Adoption of provisions streamlining or modernizing the Lisbon </w:t>
            </w:r>
            <w:r>
              <w:rPr>
                <w:rFonts w:cs="Arial"/>
                <w:sz w:val="16"/>
                <w:szCs w:val="16"/>
              </w:rPr>
              <w:t>S</w:t>
            </w:r>
            <w:r w:rsidRPr="00F657D4">
              <w:rPr>
                <w:rFonts w:cs="Arial"/>
                <w:sz w:val="16"/>
                <w:szCs w:val="16"/>
              </w:rPr>
              <w:t>ystem legal framework</w:t>
            </w:r>
          </w:p>
        </w:tc>
        <w:tc>
          <w:tcPr>
            <w:tcW w:w="1391" w:type="pct"/>
            <w:tcBorders>
              <w:top w:val="nil"/>
              <w:bottom w:val="nil"/>
            </w:tcBorders>
            <w:shd w:val="clear" w:color="auto" w:fill="auto"/>
          </w:tcPr>
          <w:p w:rsidR="00F15382" w:rsidRPr="0005539E" w:rsidRDefault="00F15382" w:rsidP="00E3403E">
            <w:pPr>
              <w:keepNext/>
              <w:keepLines/>
              <w:rPr>
                <w:rFonts w:cs="Arial"/>
                <w:color w:val="002060"/>
                <w:sz w:val="16"/>
                <w:szCs w:val="16"/>
              </w:rPr>
            </w:pPr>
            <w:r>
              <w:rPr>
                <w:rFonts w:cs="Arial"/>
                <w:i/>
                <w:color w:val="002060"/>
                <w:sz w:val="16"/>
                <w:szCs w:val="16"/>
              </w:rPr>
              <w:t>Updated Baseline end 2013</w:t>
            </w:r>
            <w:r w:rsidRPr="0005539E">
              <w:rPr>
                <w:rFonts w:cs="Arial"/>
                <w:i/>
                <w:color w:val="002060"/>
                <w:sz w:val="16"/>
                <w:szCs w:val="16"/>
              </w:rPr>
              <w:t>:</w:t>
            </w:r>
            <w:r>
              <w:rPr>
                <w:rFonts w:cs="Arial"/>
                <w:color w:val="002060"/>
                <w:sz w:val="16"/>
                <w:szCs w:val="16"/>
              </w:rPr>
              <w:t xml:space="preserve">  A revision of the Lisbon Agreement and amendments to the Lisbon Regulations are in preparation in the Working Group on the Development of the Lisbon System.</w:t>
            </w:r>
          </w:p>
          <w:p w:rsidR="00F15382" w:rsidRPr="0005539E" w:rsidRDefault="00F15382" w:rsidP="00E3403E">
            <w:pPr>
              <w:keepNext/>
              <w:keepLines/>
              <w:rPr>
                <w:rFonts w:cs="Arial"/>
                <w:color w:val="002060"/>
                <w:sz w:val="16"/>
                <w:szCs w:val="16"/>
              </w:rPr>
            </w:pPr>
          </w:p>
          <w:p w:rsidR="00F15382" w:rsidRPr="0005539E" w:rsidRDefault="00F15382" w:rsidP="00E3403E">
            <w:pPr>
              <w:keepNext/>
              <w:keepLines/>
              <w:rPr>
                <w:rFonts w:cs="Arial"/>
                <w:sz w:val="16"/>
                <w:szCs w:val="16"/>
              </w:rPr>
            </w:pPr>
            <w:r>
              <w:rPr>
                <w:rFonts w:cs="Arial"/>
                <w:i/>
                <w:sz w:val="16"/>
                <w:szCs w:val="16"/>
              </w:rPr>
              <w:t>Original Baseline P&amp;B 2013/14</w:t>
            </w:r>
            <w:r w:rsidRPr="0005539E">
              <w:rPr>
                <w:rFonts w:cs="Arial"/>
                <w:i/>
                <w:sz w:val="16"/>
                <w:szCs w:val="16"/>
              </w:rPr>
              <w:t>:</w:t>
            </w:r>
          </w:p>
          <w:p w:rsidR="00F15382" w:rsidRPr="00845557" w:rsidRDefault="00F15382" w:rsidP="00E3403E">
            <w:pPr>
              <w:rPr>
                <w:i/>
                <w:color w:val="002060"/>
                <w:sz w:val="16"/>
              </w:rPr>
            </w:pPr>
            <w:r w:rsidRPr="00F657D4">
              <w:rPr>
                <w:rFonts w:cs="Arial"/>
                <w:sz w:val="16"/>
                <w:szCs w:val="16"/>
              </w:rPr>
              <w:t>Lisbon Agreement, Regulations and Administrative Instructions in force at the end of 2013</w:t>
            </w:r>
          </w:p>
        </w:tc>
        <w:tc>
          <w:tcPr>
            <w:tcW w:w="806" w:type="pct"/>
            <w:tcBorders>
              <w:top w:val="nil"/>
              <w:bottom w:val="nil"/>
            </w:tcBorders>
            <w:shd w:val="clear" w:color="auto" w:fill="auto"/>
            <w:tcMar>
              <w:top w:w="110" w:type="dxa"/>
            </w:tcMar>
          </w:tcPr>
          <w:p w:rsidR="00F15382" w:rsidRPr="00845557" w:rsidRDefault="00F15382" w:rsidP="00E3403E">
            <w:pPr>
              <w:rPr>
                <w:sz w:val="16"/>
              </w:rPr>
            </w:pPr>
            <w:r w:rsidRPr="00F657D4">
              <w:rPr>
                <w:rFonts w:cs="Arial"/>
                <w:sz w:val="16"/>
                <w:szCs w:val="16"/>
              </w:rPr>
              <w:t>Revision of the Lisbon Agreement and amendments to the Regulations and Administrative Instructions</w:t>
            </w:r>
          </w:p>
        </w:tc>
        <w:tc>
          <w:tcPr>
            <w:tcW w:w="1171" w:type="pct"/>
            <w:tcBorders>
              <w:top w:val="nil"/>
              <w:bottom w:val="nil"/>
            </w:tcBorders>
            <w:shd w:val="clear" w:color="auto" w:fill="FFFFFF"/>
            <w:tcMar>
              <w:top w:w="110" w:type="dxa"/>
            </w:tcMar>
          </w:tcPr>
          <w:p w:rsidR="00F15382" w:rsidRPr="00087284" w:rsidRDefault="00F15382" w:rsidP="00E3403E">
            <w:pPr>
              <w:rPr>
                <w:rFonts w:cs="Arial"/>
                <w:sz w:val="16"/>
                <w:szCs w:val="16"/>
                <w:lang w:bidi="th-TH"/>
              </w:rPr>
            </w:pPr>
            <w:r>
              <w:rPr>
                <w:rFonts w:cs="Arial"/>
                <w:sz w:val="16"/>
                <w:szCs w:val="16"/>
              </w:rPr>
              <w:t>Geneva Act of the Lisbon Agreement on Appellations of Origin and Geographical Indications adopted in May 2015</w:t>
            </w:r>
          </w:p>
        </w:tc>
        <w:tc>
          <w:tcPr>
            <w:tcW w:w="533" w:type="pct"/>
            <w:tcBorders>
              <w:top w:val="nil"/>
              <w:bottom w:val="nil"/>
              <w:right w:val="single" w:sz="4" w:space="0" w:color="auto"/>
            </w:tcBorders>
            <w:shd w:val="clear" w:color="auto" w:fill="auto"/>
            <w:tcMar>
              <w:top w:w="110" w:type="dxa"/>
            </w:tcMar>
          </w:tcPr>
          <w:p w:rsidR="00F15382" w:rsidRPr="00845557" w:rsidRDefault="00F15382" w:rsidP="00E3403E">
            <w:pPr>
              <w:keepNext/>
              <w:keepLines/>
              <w:jc w:val="center"/>
              <w:rPr>
                <w:rStyle w:val="Style5"/>
              </w:rPr>
            </w:pPr>
            <w:r>
              <w:rPr>
                <w:rFonts w:cs="Arial"/>
                <w:b/>
                <w:color w:val="00B050"/>
                <w:sz w:val="16"/>
                <w:szCs w:val="16"/>
              </w:rPr>
              <w:t>Fully Achieved</w:t>
            </w:r>
          </w:p>
        </w:tc>
      </w:tr>
      <w:tr w:rsidR="00F15382" w:rsidRPr="0005539E" w:rsidTr="003B10D0">
        <w:trPr>
          <w:cantSplit/>
        </w:trPr>
        <w:tc>
          <w:tcPr>
            <w:tcW w:w="1099" w:type="pct"/>
            <w:tcBorders>
              <w:top w:val="nil"/>
              <w:left w:val="single" w:sz="4" w:space="0" w:color="auto"/>
              <w:bottom w:val="nil"/>
            </w:tcBorders>
            <w:shd w:val="clear" w:color="auto" w:fill="auto"/>
          </w:tcPr>
          <w:p w:rsidR="00F15382" w:rsidRPr="0005539E" w:rsidRDefault="00F15382" w:rsidP="00E3403E">
            <w:pPr>
              <w:rPr>
                <w:rFonts w:cs="Arial"/>
                <w:sz w:val="16"/>
                <w:szCs w:val="16"/>
              </w:rPr>
            </w:pPr>
            <w:r w:rsidRPr="00232B7E">
              <w:rPr>
                <w:rFonts w:cs="Arial"/>
                <w:sz w:val="16"/>
                <w:szCs w:val="16"/>
              </w:rPr>
              <w:t>No. of International Applications (Madrid)</w:t>
            </w:r>
          </w:p>
        </w:tc>
        <w:tc>
          <w:tcPr>
            <w:tcW w:w="1391" w:type="pct"/>
            <w:tcBorders>
              <w:top w:val="nil"/>
              <w:bottom w:val="nil"/>
            </w:tcBorders>
            <w:shd w:val="clear" w:color="auto" w:fill="auto"/>
          </w:tcPr>
          <w:p w:rsidR="00F15382" w:rsidRDefault="00F15382" w:rsidP="00E3403E">
            <w:pPr>
              <w:rPr>
                <w:rFonts w:cs="Arial"/>
                <w:color w:val="002060"/>
                <w:sz w:val="16"/>
                <w:szCs w:val="16"/>
              </w:rPr>
            </w:pPr>
            <w:r>
              <w:rPr>
                <w:rFonts w:cs="Arial"/>
                <w:i/>
                <w:color w:val="002060"/>
                <w:sz w:val="16"/>
                <w:szCs w:val="16"/>
              </w:rPr>
              <w:t>Updated Baseline end 2013</w:t>
            </w:r>
            <w:r w:rsidRPr="0005539E">
              <w:rPr>
                <w:rFonts w:cs="Arial"/>
                <w:i/>
                <w:color w:val="002060"/>
                <w:sz w:val="16"/>
                <w:szCs w:val="16"/>
              </w:rPr>
              <w:t>:</w:t>
            </w:r>
            <w:r>
              <w:rPr>
                <w:rFonts w:cs="Arial"/>
                <w:color w:val="002060"/>
                <w:sz w:val="16"/>
                <w:szCs w:val="16"/>
              </w:rPr>
              <w:t xml:space="preserve">  </w:t>
            </w:r>
          </w:p>
          <w:p w:rsidR="00F15382" w:rsidRDefault="00F15382" w:rsidP="00E3403E">
            <w:pPr>
              <w:rPr>
                <w:rFonts w:cs="Arial"/>
                <w:color w:val="002060"/>
                <w:sz w:val="16"/>
                <w:szCs w:val="16"/>
              </w:rPr>
            </w:pPr>
            <w:r>
              <w:rPr>
                <w:rFonts w:cs="Arial"/>
                <w:color w:val="002060"/>
                <w:sz w:val="16"/>
                <w:szCs w:val="16"/>
              </w:rPr>
              <w:t>44,018 (2012)</w:t>
            </w:r>
          </w:p>
          <w:p w:rsidR="00F15382" w:rsidRPr="0005539E" w:rsidRDefault="00F15382" w:rsidP="00E3403E">
            <w:pPr>
              <w:rPr>
                <w:rFonts w:cs="Arial"/>
                <w:color w:val="002060"/>
                <w:sz w:val="16"/>
                <w:szCs w:val="16"/>
              </w:rPr>
            </w:pPr>
            <w:r>
              <w:rPr>
                <w:rFonts w:cs="Arial"/>
                <w:color w:val="002060"/>
                <w:sz w:val="16"/>
                <w:szCs w:val="16"/>
              </w:rPr>
              <w:t>46,829 (2013)</w:t>
            </w:r>
          </w:p>
          <w:p w:rsidR="00F15382" w:rsidRPr="0005539E" w:rsidRDefault="00F15382" w:rsidP="00E3403E">
            <w:pPr>
              <w:rPr>
                <w:rFonts w:cs="Arial"/>
                <w:color w:val="002060"/>
                <w:sz w:val="16"/>
                <w:szCs w:val="16"/>
              </w:rPr>
            </w:pPr>
          </w:p>
          <w:p w:rsidR="00F15382" w:rsidRPr="0005539E" w:rsidRDefault="00F15382" w:rsidP="00E3403E">
            <w:pPr>
              <w:rPr>
                <w:rFonts w:cs="Arial"/>
                <w:sz w:val="16"/>
                <w:szCs w:val="16"/>
              </w:rPr>
            </w:pPr>
            <w:r>
              <w:rPr>
                <w:rFonts w:cs="Arial"/>
                <w:i/>
                <w:sz w:val="16"/>
                <w:szCs w:val="16"/>
              </w:rPr>
              <w:t>Original Baseline P&amp;B 2014/15</w:t>
            </w:r>
            <w:r w:rsidRPr="0005539E">
              <w:rPr>
                <w:rFonts w:cs="Arial"/>
                <w:i/>
                <w:sz w:val="16"/>
                <w:szCs w:val="16"/>
              </w:rPr>
              <w:t>:</w:t>
            </w:r>
          </w:p>
          <w:p w:rsidR="00F15382" w:rsidRPr="0005539E" w:rsidRDefault="00F15382" w:rsidP="00E3403E">
            <w:pPr>
              <w:rPr>
                <w:rFonts w:cs="Arial"/>
                <w:sz w:val="16"/>
                <w:szCs w:val="16"/>
              </w:rPr>
            </w:pPr>
            <w:r w:rsidRPr="00232B7E">
              <w:rPr>
                <w:rFonts w:cs="Arial"/>
                <w:sz w:val="16"/>
                <w:szCs w:val="16"/>
              </w:rPr>
              <w:t>The number of International Applications at the end of 2013</w:t>
            </w:r>
          </w:p>
        </w:tc>
        <w:tc>
          <w:tcPr>
            <w:tcW w:w="806" w:type="pct"/>
            <w:tcBorders>
              <w:top w:val="nil"/>
              <w:bottom w:val="nil"/>
            </w:tcBorders>
            <w:shd w:val="clear" w:color="auto" w:fill="auto"/>
            <w:tcMar>
              <w:top w:w="110" w:type="dxa"/>
            </w:tcMar>
          </w:tcPr>
          <w:p w:rsidR="00F15382" w:rsidRPr="0005539E" w:rsidRDefault="00F15382" w:rsidP="00E3403E">
            <w:pPr>
              <w:rPr>
                <w:rFonts w:cs="Arial"/>
                <w:i/>
                <w:sz w:val="16"/>
                <w:szCs w:val="16"/>
              </w:rPr>
            </w:pPr>
            <w:r w:rsidRPr="00232B7E">
              <w:rPr>
                <w:rFonts w:cs="Arial"/>
                <w:sz w:val="16"/>
                <w:szCs w:val="16"/>
              </w:rPr>
              <w:t>8.1% increase by end of 2015</w:t>
            </w:r>
          </w:p>
        </w:tc>
        <w:tc>
          <w:tcPr>
            <w:tcW w:w="1171" w:type="pct"/>
            <w:tcBorders>
              <w:top w:val="nil"/>
              <w:bottom w:val="nil"/>
            </w:tcBorders>
            <w:shd w:val="clear" w:color="auto" w:fill="FFFFFF"/>
            <w:tcMar>
              <w:top w:w="110" w:type="dxa"/>
            </w:tcMar>
          </w:tcPr>
          <w:p w:rsidR="00F15382" w:rsidRDefault="00F15382" w:rsidP="00E3403E">
            <w:pPr>
              <w:rPr>
                <w:rFonts w:cs="Arial"/>
                <w:sz w:val="16"/>
                <w:szCs w:val="16"/>
              </w:rPr>
            </w:pPr>
            <w:r>
              <w:rPr>
                <w:rFonts w:cs="Arial"/>
                <w:sz w:val="16"/>
                <w:szCs w:val="16"/>
              </w:rPr>
              <w:t>A total of 97,158 International Applications received in 2014/15:</w:t>
            </w:r>
            <w:r w:rsidDel="00495417">
              <w:rPr>
                <w:rFonts w:cs="Arial"/>
                <w:sz w:val="16"/>
                <w:szCs w:val="16"/>
              </w:rPr>
              <w:t xml:space="preserve"> </w:t>
            </w:r>
          </w:p>
          <w:p w:rsidR="00F15382" w:rsidRDefault="00F15382" w:rsidP="00E3403E">
            <w:pPr>
              <w:rPr>
                <w:rFonts w:cs="Arial"/>
                <w:sz w:val="16"/>
                <w:szCs w:val="16"/>
              </w:rPr>
            </w:pPr>
            <w:r>
              <w:rPr>
                <w:rFonts w:cs="Arial"/>
                <w:sz w:val="16"/>
                <w:szCs w:val="16"/>
              </w:rPr>
              <w:t>47,885 (2014)</w:t>
            </w:r>
          </w:p>
          <w:p w:rsidR="00F15382" w:rsidRDefault="00F15382" w:rsidP="00E3403E">
            <w:pPr>
              <w:rPr>
                <w:rFonts w:cs="Arial"/>
                <w:sz w:val="16"/>
                <w:szCs w:val="16"/>
              </w:rPr>
            </w:pPr>
            <w:r>
              <w:rPr>
                <w:rFonts w:cs="Arial"/>
                <w:sz w:val="16"/>
                <w:szCs w:val="16"/>
              </w:rPr>
              <w:t>49,273 (2015</w:t>
            </w:r>
          </w:p>
          <w:p w:rsidR="00F15382" w:rsidRDefault="00F15382" w:rsidP="00E3403E">
            <w:pPr>
              <w:rPr>
                <w:rFonts w:cs="Arial"/>
                <w:sz w:val="16"/>
                <w:szCs w:val="16"/>
              </w:rPr>
            </w:pPr>
          </w:p>
          <w:p w:rsidR="00F15382" w:rsidRPr="00B1084C" w:rsidRDefault="00F15382" w:rsidP="00E3403E">
            <w:pPr>
              <w:rPr>
                <w:rFonts w:cs="Arial"/>
                <w:sz w:val="16"/>
                <w:szCs w:val="16"/>
              </w:rPr>
            </w:pPr>
            <w:r>
              <w:rPr>
                <w:rFonts w:cs="Arial"/>
                <w:sz w:val="16"/>
                <w:szCs w:val="16"/>
              </w:rPr>
              <w:t>This represents a 6.9% increase compared to the 2012/13 biennium.</w:t>
            </w:r>
          </w:p>
        </w:tc>
        <w:tc>
          <w:tcPr>
            <w:tcW w:w="533" w:type="pct"/>
            <w:tcBorders>
              <w:top w:val="nil"/>
              <w:bottom w:val="nil"/>
              <w:right w:val="single" w:sz="4" w:space="0" w:color="auto"/>
            </w:tcBorders>
            <w:shd w:val="clear" w:color="auto" w:fill="auto"/>
            <w:tcMar>
              <w:top w:w="110" w:type="dxa"/>
            </w:tcMar>
          </w:tcPr>
          <w:p w:rsidR="00F15382" w:rsidRPr="00ED2AA7" w:rsidRDefault="00F15382" w:rsidP="00E3403E">
            <w:pPr>
              <w:keepNext/>
              <w:keepLines/>
              <w:jc w:val="center"/>
              <w:rPr>
                <w:rFonts w:cs="Arial"/>
                <w:bCs/>
                <w:color w:val="808080"/>
                <w:sz w:val="16"/>
                <w:szCs w:val="16"/>
              </w:rPr>
            </w:pPr>
            <w:r>
              <w:rPr>
                <w:rFonts w:cs="Arial"/>
                <w:b/>
                <w:color w:val="00B050"/>
                <w:sz w:val="16"/>
                <w:szCs w:val="16"/>
              </w:rPr>
              <w:t>Fully</w:t>
            </w:r>
            <w:r w:rsidRPr="00C25ED0">
              <w:rPr>
                <w:rFonts w:cs="Arial"/>
                <w:b/>
                <w:color w:val="E36C0A" w:themeColor="accent6" w:themeShade="BF"/>
                <w:sz w:val="16"/>
                <w:szCs w:val="16"/>
              </w:rPr>
              <w:t xml:space="preserve"> </w:t>
            </w:r>
            <w:r w:rsidRPr="00B1084C">
              <w:rPr>
                <w:rFonts w:cs="Arial"/>
                <w:b/>
                <w:color w:val="00B050"/>
                <w:sz w:val="16"/>
                <w:szCs w:val="16"/>
              </w:rPr>
              <w:t>Achieved</w:t>
            </w:r>
          </w:p>
        </w:tc>
      </w:tr>
      <w:tr w:rsidR="00F15382" w:rsidRPr="0005539E" w:rsidTr="003B10D0">
        <w:trPr>
          <w:cantSplit/>
        </w:trPr>
        <w:tc>
          <w:tcPr>
            <w:tcW w:w="1099" w:type="pct"/>
            <w:tcBorders>
              <w:top w:val="nil"/>
              <w:left w:val="single" w:sz="4" w:space="0" w:color="auto"/>
              <w:bottom w:val="single" w:sz="4" w:space="0" w:color="auto"/>
            </w:tcBorders>
            <w:shd w:val="clear" w:color="auto" w:fill="auto"/>
          </w:tcPr>
          <w:p w:rsidR="00F15382" w:rsidRDefault="00F15382" w:rsidP="00E3403E">
            <w:pPr>
              <w:rPr>
                <w:rFonts w:cs="Arial"/>
                <w:sz w:val="16"/>
                <w:szCs w:val="16"/>
              </w:rPr>
            </w:pPr>
            <w:r w:rsidRPr="00232B7E">
              <w:rPr>
                <w:rFonts w:cs="Arial"/>
                <w:sz w:val="16"/>
                <w:szCs w:val="16"/>
              </w:rPr>
              <w:t>Share of Offices concerned providing updated information on the Madrid System</w:t>
            </w:r>
          </w:p>
          <w:p w:rsidR="008E0AD7" w:rsidRPr="0005539E" w:rsidRDefault="008E0AD7" w:rsidP="00E3403E">
            <w:pPr>
              <w:rPr>
                <w:rFonts w:cs="Arial"/>
                <w:sz w:val="16"/>
                <w:szCs w:val="16"/>
              </w:rPr>
            </w:pPr>
          </w:p>
        </w:tc>
        <w:tc>
          <w:tcPr>
            <w:tcW w:w="1391" w:type="pct"/>
            <w:tcBorders>
              <w:top w:val="nil"/>
              <w:bottom w:val="single" w:sz="4" w:space="0" w:color="auto"/>
            </w:tcBorders>
            <w:shd w:val="clear" w:color="auto" w:fill="auto"/>
          </w:tcPr>
          <w:p w:rsidR="00F15382" w:rsidRPr="0005539E" w:rsidRDefault="00F15382" w:rsidP="00E3403E">
            <w:pPr>
              <w:rPr>
                <w:rFonts w:cs="Arial"/>
                <w:sz w:val="16"/>
                <w:szCs w:val="16"/>
              </w:rPr>
            </w:pPr>
            <w:r w:rsidRPr="00232B7E">
              <w:rPr>
                <w:rFonts w:cs="Arial"/>
                <w:sz w:val="16"/>
                <w:szCs w:val="16"/>
              </w:rPr>
              <w:t>Share of such Offices providing such information</w:t>
            </w:r>
          </w:p>
        </w:tc>
        <w:tc>
          <w:tcPr>
            <w:tcW w:w="806" w:type="pct"/>
            <w:tcBorders>
              <w:top w:val="nil"/>
              <w:bottom w:val="single" w:sz="4" w:space="0" w:color="auto"/>
            </w:tcBorders>
            <w:shd w:val="clear" w:color="auto" w:fill="auto"/>
            <w:tcMar>
              <w:top w:w="110" w:type="dxa"/>
            </w:tcMar>
          </w:tcPr>
          <w:p w:rsidR="00F15382" w:rsidRPr="0005539E" w:rsidRDefault="00F15382" w:rsidP="00E3403E">
            <w:pPr>
              <w:rPr>
                <w:rFonts w:cs="Arial"/>
                <w:sz w:val="16"/>
                <w:szCs w:val="16"/>
              </w:rPr>
            </w:pPr>
            <w:r w:rsidRPr="00232B7E">
              <w:rPr>
                <w:rFonts w:cs="Arial"/>
                <w:sz w:val="16"/>
                <w:szCs w:val="16"/>
              </w:rPr>
              <w:t>Increased share</w:t>
            </w:r>
          </w:p>
        </w:tc>
        <w:tc>
          <w:tcPr>
            <w:tcW w:w="1171" w:type="pct"/>
            <w:tcBorders>
              <w:top w:val="nil"/>
              <w:bottom w:val="single" w:sz="4" w:space="0" w:color="auto"/>
            </w:tcBorders>
            <w:shd w:val="clear" w:color="auto" w:fill="FFFFFF"/>
            <w:tcMar>
              <w:top w:w="110" w:type="dxa"/>
            </w:tcMar>
          </w:tcPr>
          <w:p w:rsidR="00F15382" w:rsidRPr="00777328" w:rsidRDefault="00F15382" w:rsidP="00E3403E">
            <w:pPr>
              <w:rPr>
                <w:rFonts w:cs="Arial"/>
                <w:b/>
                <w:sz w:val="16"/>
                <w:szCs w:val="16"/>
              </w:rPr>
            </w:pPr>
          </w:p>
        </w:tc>
        <w:tc>
          <w:tcPr>
            <w:tcW w:w="533" w:type="pct"/>
            <w:tcBorders>
              <w:top w:val="nil"/>
              <w:bottom w:val="single" w:sz="4" w:space="0" w:color="auto"/>
              <w:right w:val="single" w:sz="4" w:space="0" w:color="auto"/>
            </w:tcBorders>
            <w:shd w:val="clear" w:color="auto" w:fill="auto"/>
            <w:tcMar>
              <w:top w:w="110" w:type="dxa"/>
            </w:tcMar>
          </w:tcPr>
          <w:p w:rsidR="00F15382" w:rsidRPr="003B10D0" w:rsidRDefault="00F15382" w:rsidP="00E3403E">
            <w:pPr>
              <w:keepNext/>
              <w:keepLines/>
              <w:jc w:val="center"/>
              <w:rPr>
                <w:rFonts w:cs="Arial"/>
                <w:b/>
                <w:bCs/>
                <w:sz w:val="15"/>
                <w:szCs w:val="15"/>
              </w:rPr>
            </w:pPr>
            <w:r w:rsidRPr="003B10D0">
              <w:rPr>
                <w:rFonts w:cs="Arial"/>
                <w:b/>
                <w:bCs/>
                <w:sz w:val="15"/>
                <w:szCs w:val="15"/>
              </w:rPr>
              <w:t>Dis-continued</w:t>
            </w:r>
          </w:p>
        </w:tc>
      </w:tr>
      <w:tr w:rsidR="00F15382" w:rsidRPr="0005539E" w:rsidTr="003B10D0">
        <w:trPr>
          <w:cantSplit/>
          <w:trHeight w:val="502"/>
        </w:trPr>
        <w:tc>
          <w:tcPr>
            <w:tcW w:w="5000" w:type="pct"/>
            <w:gridSpan w:val="5"/>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F15382" w:rsidRPr="00E33D5E" w:rsidRDefault="00F15382" w:rsidP="00E3403E">
            <w:pPr>
              <w:tabs>
                <w:tab w:val="left" w:pos="1452"/>
              </w:tabs>
              <w:ind w:left="1452" w:hanging="1452"/>
              <w:rPr>
                <w:rFonts w:cs="Arial"/>
                <w:b/>
                <w:bCs/>
                <w:sz w:val="16"/>
                <w:szCs w:val="16"/>
              </w:rPr>
            </w:pPr>
            <w:r w:rsidRPr="0005539E">
              <w:rPr>
                <w:rFonts w:cs="Arial"/>
                <w:b/>
                <w:bCs/>
                <w:sz w:val="16"/>
                <w:szCs w:val="16"/>
              </w:rPr>
              <w:t>Expected Result:</w:t>
            </w:r>
            <w:r w:rsidRPr="0005539E">
              <w:rPr>
                <w:rFonts w:cs="Arial"/>
                <w:b/>
                <w:bCs/>
                <w:sz w:val="16"/>
                <w:szCs w:val="16"/>
              </w:rPr>
              <w:tab/>
            </w:r>
            <w:r w:rsidRPr="00E33D5E">
              <w:rPr>
                <w:rFonts w:cs="Arial"/>
                <w:bCs/>
                <w:sz w:val="16"/>
                <w:szCs w:val="16"/>
              </w:rPr>
              <w:t xml:space="preserve">II.6 Wider and better use of the Madrid &amp; Lisbon </w:t>
            </w:r>
            <w:r>
              <w:rPr>
                <w:rFonts w:cs="Arial"/>
                <w:bCs/>
                <w:sz w:val="16"/>
                <w:szCs w:val="16"/>
              </w:rPr>
              <w:t>S</w:t>
            </w:r>
            <w:r w:rsidRPr="00E33D5E">
              <w:rPr>
                <w:rFonts w:cs="Arial"/>
                <w:bCs/>
                <w:sz w:val="16"/>
                <w:szCs w:val="16"/>
              </w:rPr>
              <w:t>ystems, including by developing countries and LDCs</w:t>
            </w:r>
          </w:p>
        </w:tc>
      </w:tr>
      <w:tr w:rsidR="00F15382" w:rsidRPr="0005539E" w:rsidTr="003B10D0">
        <w:trPr>
          <w:cantSplit/>
        </w:trPr>
        <w:tc>
          <w:tcPr>
            <w:tcW w:w="1099" w:type="pct"/>
            <w:tcBorders>
              <w:top w:val="single" w:sz="4" w:space="0" w:color="auto"/>
              <w:left w:val="single" w:sz="4" w:space="0" w:color="auto"/>
              <w:bottom w:val="nil"/>
            </w:tcBorders>
            <w:shd w:val="clear" w:color="auto" w:fill="auto"/>
            <w:vAlign w:val="center"/>
          </w:tcPr>
          <w:p w:rsidR="00F15382" w:rsidRPr="00232B7E" w:rsidRDefault="00F15382" w:rsidP="00E3403E">
            <w:pPr>
              <w:rPr>
                <w:rFonts w:cs="Arial"/>
                <w:sz w:val="16"/>
                <w:szCs w:val="16"/>
              </w:rPr>
            </w:pPr>
            <w:r w:rsidRPr="004C7D99">
              <w:rPr>
                <w:rFonts w:cs="Arial"/>
                <w:b/>
                <w:bCs/>
                <w:sz w:val="16"/>
                <w:szCs w:val="16"/>
              </w:rPr>
              <w:t>Performance Indicators</w:t>
            </w:r>
          </w:p>
        </w:tc>
        <w:tc>
          <w:tcPr>
            <w:tcW w:w="1391" w:type="pct"/>
            <w:tcBorders>
              <w:top w:val="single" w:sz="4" w:space="0" w:color="auto"/>
              <w:bottom w:val="nil"/>
            </w:tcBorders>
            <w:shd w:val="clear" w:color="auto" w:fill="auto"/>
            <w:vAlign w:val="center"/>
          </w:tcPr>
          <w:p w:rsidR="00F15382" w:rsidRDefault="00F15382" w:rsidP="00E3403E">
            <w:pPr>
              <w:rPr>
                <w:rFonts w:cs="Arial"/>
                <w:i/>
                <w:color w:val="002060"/>
                <w:sz w:val="16"/>
                <w:szCs w:val="16"/>
              </w:rPr>
            </w:pPr>
            <w:r w:rsidRPr="004C7D99">
              <w:rPr>
                <w:rFonts w:cs="Arial"/>
                <w:b/>
                <w:bCs/>
                <w:sz w:val="16"/>
                <w:szCs w:val="16"/>
              </w:rPr>
              <w:t>Baselines</w:t>
            </w:r>
          </w:p>
        </w:tc>
        <w:tc>
          <w:tcPr>
            <w:tcW w:w="806" w:type="pct"/>
            <w:tcBorders>
              <w:top w:val="single" w:sz="4" w:space="0" w:color="auto"/>
              <w:bottom w:val="nil"/>
            </w:tcBorders>
            <w:shd w:val="clear" w:color="auto" w:fill="auto"/>
            <w:tcMar>
              <w:top w:w="110" w:type="dxa"/>
            </w:tcMar>
            <w:vAlign w:val="center"/>
          </w:tcPr>
          <w:p w:rsidR="00F15382" w:rsidRPr="00232B7E" w:rsidRDefault="00F15382" w:rsidP="00E3403E">
            <w:pPr>
              <w:rPr>
                <w:rFonts w:cs="Arial"/>
                <w:sz w:val="16"/>
                <w:szCs w:val="16"/>
              </w:rPr>
            </w:pPr>
            <w:r w:rsidRPr="004C7D99">
              <w:rPr>
                <w:rFonts w:cs="Arial"/>
                <w:b/>
                <w:sz w:val="16"/>
                <w:szCs w:val="16"/>
              </w:rPr>
              <w:t>Targets</w:t>
            </w:r>
          </w:p>
        </w:tc>
        <w:tc>
          <w:tcPr>
            <w:tcW w:w="1171" w:type="pct"/>
            <w:tcBorders>
              <w:top w:val="single" w:sz="4" w:space="0" w:color="auto"/>
              <w:bottom w:val="nil"/>
            </w:tcBorders>
            <w:shd w:val="clear" w:color="auto" w:fill="FFFFFF"/>
            <w:tcMar>
              <w:top w:w="110" w:type="dxa"/>
            </w:tcMar>
            <w:vAlign w:val="center"/>
          </w:tcPr>
          <w:p w:rsidR="00F15382" w:rsidRPr="0005539E" w:rsidRDefault="00F15382" w:rsidP="00E3403E">
            <w:pPr>
              <w:rPr>
                <w:rFonts w:cs="Arial"/>
                <w:sz w:val="16"/>
                <w:szCs w:val="16"/>
              </w:rPr>
            </w:pPr>
            <w:r w:rsidRPr="004C7D99">
              <w:rPr>
                <w:rFonts w:cs="Arial"/>
                <w:b/>
                <w:bCs/>
                <w:sz w:val="16"/>
                <w:szCs w:val="16"/>
              </w:rPr>
              <w:t>Performance Data</w:t>
            </w:r>
          </w:p>
        </w:tc>
        <w:tc>
          <w:tcPr>
            <w:tcW w:w="533" w:type="pct"/>
            <w:tcBorders>
              <w:top w:val="single" w:sz="4" w:space="0" w:color="auto"/>
              <w:bottom w:val="nil"/>
              <w:right w:val="single" w:sz="4" w:space="0" w:color="auto"/>
            </w:tcBorders>
            <w:shd w:val="clear" w:color="auto" w:fill="auto"/>
            <w:tcMar>
              <w:top w:w="110" w:type="dxa"/>
            </w:tcMar>
            <w:vAlign w:val="center"/>
          </w:tcPr>
          <w:p w:rsidR="00F15382" w:rsidRPr="00EA4470" w:rsidRDefault="00F15382" w:rsidP="00E3403E">
            <w:pPr>
              <w:keepNext/>
              <w:keepLines/>
              <w:jc w:val="center"/>
              <w:rPr>
                <w:rStyle w:val="Style5"/>
              </w:rPr>
            </w:pPr>
            <w:r w:rsidRPr="00EA4470">
              <w:rPr>
                <w:rFonts w:cs="Arial"/>
                <w:b/>
                <w:bCs/>
                <w:sz w:val="16"/>
                <w:szCs w:val="16"/>
              </w:rPr>
              <w:t>TLS</w:t>
            </w:r>
          </w:p>
        </w:tc>
      </w:tr>
      <w:tr w:rsidR="00F15382" w:rsidRPr="0005539E" w:rsidTr="003B10D0">
        <w:trPr>
          <w:cantSplit/>
        </w:trPr>
        <w:tc>
          <w:tcPr>
            <w:tcW w:w="1099" w:type="pct"/>
            <w:tcBorders>
              <w:top w:val="nil"/>
              <w:left w:val="single" w:sz="4" w:space="0" w:color="auto"/>
              <w:bottom w:val="nil"/>
            </w:tcBorders>
            <w:shd w:val="clear" w:color="auto" w:fill="auto"/>
          </w:tcPr>
          <w:p w:rsidR="00F15382" w:rsidRPr="00365C4F" w:rsidRDefault="00F15382" w:rsidP="00E3403E">
            <w:pPr>
              <w:rPr>
                <w:rFonts w:cs="Arial"/>
                <w:sz w:val="16"/>
                <w:szCs w:val="16"/>
              </w:rPr>
            </w:pPr>
            <w:r w:rsidRPr="00EE5861">
              <w:rPr>
                <w:rFonts w:cs="Arial"/>
                <w:sz w:val="16"/>
                <w:szCs w:val="16"/>
              </w:rPr>
              <w:t xml:space="preserve">% of participants in Lisbon </w:t>
            </w:r>
            <w:r>
              <w:rPr>
                <w:rFonts w:cs="Arial"/>
                <w:sz w:val="16"/>
                <w:szCs w:val="16"/>
              </w:rPr>
              <w:t>S</w:t>
            </w:r>
            <w:r w:rsidRPr="00EE5861">
              <w:rPr>
                <w:rFonts w:cs="Arial"/>
                <w:sz w:val="16"/>
                <w:szCs w:val="16"/>
              </w:rPr>
              <w:t>ystem events satisfied and reporting enhanced awareness post an event</w:t>
            </w:r>
          </w:p>
        </w:tc>
        <w:tc>
          <w:tcPr>
            <w:tcW w:w="1391" w:type="pct"/>
            <w:tcBorders>
              <w:top w:val="nil"/>
              <w:bottom w:val="nil"/>
            </w:tcBorders>
            <w:shd w:val="clear" w:color="auto" w:fill="auto"/>
          </w:tcPr>
          <w:p w:rsidR="00F15382" w:rsidRPr="0005539E" w:rsidRDefault="00F15382" w:rsidP="00E3403E">
            <w:pPr>
              <w:rPr>
                <w:rFonts w:cs="Arial"/>
                <w:color w:val="002060"/>
                <w:sz w:val="16"/>
                <w:szCs w:val="16"/>
              </w:rPr>
            </w:pPr>
            <w:r>
              <w:rPr>
                <w:rFonts w:cs="Arial"/>
                <w:i/>
                <w:color w:val="002060"/>
                <w:sz w:val="16"/>
                <w:szCs w:val="16"/>
              </w:rPr>
              <w:t>Updated Baseline end 2013</w:t>
            </w:r>
            <w:r w:rsidRPr="0005539E">
              <w:rPr>
                <w:rFonts w:cs="Arial"/>
                <w:i/>
                <w:color w:val="002060"/>
                <w:sz w:val="16"/>
                <w:szCs w:val="16"/>
              </w:rPr>
              <w:t>:</w:t>
            </w:r>
            <w:r>
              <w:rPr>
                <w:rFonts w:cs="Arial"/>
                <w:color w:val="002060"/>
                <w:sz w:val="16"/>
                <w:szCs w:val="16"/>
              </w:rPr>
              <w:t xml:space="preserve">  Evaluation questionnaires showed a satisfaction rate of more than 90%</w:t>
            </w:r>
          </w:p>
          <w:p w:rsidR="00F15382" w:rsidRPr="0005539E" w:rsidRDefault="00F15382" w:rsidP="00E3403E">
            <w:pPr>
              <w:rPr>
                <w:rFonts w:cs="Arial"/>
                <w:color w:val="002060"/>
                <w:sz w:val="16"/>
                <w:szCs w:val="16"/>
              </w:rPr>
            </w:pPr>
          </w:p>
          <w:p w:rsidR="00F15382" w:rsidRPr="0005539E" w:rsidRDefault="00F15382" w:rsidP="00E3403E">
            <w:pPr>
              <w:rPr>
                <w:rFonts w:cs="Arial"/>
                <w:sz w:val="16"/>
                <w:szCs w:val="16"/>
              </w:rPr>
            </w:pPr>
            <w:r>
              <w:rPr>
                <w:rFonts w:cs="Arial"/>
                <w:i/>
                <w:sz w:val="16"/>
                <w:szCs w:val="16"/>
              </w:rPr>
              <w:t>Original Baseline P&amp;B 2013/14</w:t>
            </w:r>
            <w:r w:rsidRPr="0005539E">
              <w:rPr>
                <w:rFonts w:cs="Arial"/>
                <w:i/>
                <w:sz w:val="16"/>
                <w:szCs w:val="16"/>
              </w:rPr>
              <w:t>:</w:t>
            </w:r>
          </w:p>
          <w:p w:rsidR="00F15382" w:rsidRDefault="00F15382" w:rsidP="00E3403E">
            <w:pPr>
              <w:rPr>
                <w:rFonts w:cs="Arial"/>
                <w:i/>
                <w:color w:val="002060"/>
                <w:sz w:val="16"/>
                <w:szCs w:val="16"/>
              </w:rPr>
            </w:pPr>
            <w:r w:rsidRPr="00EE5861">
              <w:rPr>
                <w:rFonts w:cs="Arial"/>
                <w:sz w:val="16"/>
                <w:szCs w:val="16"/>
              </w:rPr>
              <w:t>No. of events and % of satisfied participants in 2013</w:t>
            </w:r>
          </w:p>
        </w:tc>
        <w:tc>
          <w:tcPr>
            <w:tcW w:w="806" w:type="pct"/>
            <w:tcBorders>
              <w:top w:val="nil"/>
              <w:bottom w:val="nil"/>
            </w:tcBorders>
            <w:shd w:val="clear" w:color="auto" w:fill="auto"/>
            <w:tcMar>
              <w:top w:w="110" w:type="dxa"/>
            </w:tcMar>
          </w:tcPr>
          <w:p w:rsidR="00F15382" w:rsidRPr="00365C4F" w:rsidRDefault="00F15382" w:rsidP="00E3403E">
            <w:pPr>
              <w:rPr>
                <w:rFonts w:cs="Arial"/>
                <w:sz w:val="16"/>
                <w:szCs w:val="16"/>
              </w:rPr>
            </w:pPr>
            <w:r w:rsidRPr="00EE5861">
              <w:rPr>
                <w:rFonts w:cs="Arial"/>
                <w:sz w:val="16"/>
                <w:szCs w:val="16"/>
              </w:rPr>
              <w:t>At least eight events with 85% of participants satisfied</w:t>
            </w:r>
          </w:p>
        </w:tc>
        <w:tc>
          <w:tcPr>
            <w:tcW w:w="1171" w:type="pct"/>
            <w:tcBorders>
              <w:top w:val="nil"/>
              <w:bottom w:val="nil"/>
            </w:tcBorders>
            <w:shd w:val="clear" w:color="auto" w:fill="FFFFFF"/>
            <w:tcMar>
              <w:top w:w="110" w:type="dxa"/>
            </w:tcMar>
          </w:tcPr>
          <w:p w:rsidR="00F15382" w:rsidRPr="00365C4F" w:rsidRDefault="00F15382" w:rsidP="00E3403E">
            <w:pPr>
              <w:rPr>
                <w:rFonts w:cs="Arial"/>
                <w:sz w:val="16"/>
                <w:szCs w:val="16"/>
              </w:rPr>
            </w:pPr>
            <w:r>
              <w:rPr>
                <w:rFonts w:cs="Arial"/>
                <w:sz w:val="16"/>
                <w:szCs w:val="16"/>
              </w:rPr>
              <w:t>Seven information and promotion events with a specific focus on the Lisbon System, including its planned revision, in all regions with 84% of participants satisfied</w:t>
            </w:r>
          </w:p>
        </w:tc>
        <w:tc>
          <w:tcPr>
            <w:tcW w:w="533" w:type="pct"/>
            <w:tcBorders>
              <w:top w:val="nil"/>
              <w:bottom w:val="nil"/>
              <w:right w:val="single" w:sz="4" w:space="0" w:color="auto"/>
            </w:tcBorders>
            <w:shd w:val="clear" w:color="auto" w:fill="auto"/>
            <w:tcMar>
              <w:top w:w="110" w:type="dxa"/>
            </w:tcMar>
          </w:tcPr>
          <w:p w:rsidR="00F15382" w:rsidRPr="00EA4470" w:rsidRDefault="00F15382" w:rsidP="00E3403E">
            <w:pPr>
              <w:keepNext/>
              <w:keepLines/>
              <w:jc w:val="center"/>
              <w:rPr>
                <w:rStyle w:val="Style5"/>
              </w:rPr>
            </w:pPr>
            <w:r>
              <w:rPr>
                <w:rFonts w:cs="Arial"/>
                <w:b/>
                <w:color w:val="00B050"/>
                <w:sz w:val="16"/>
                <w:szCs w:val="16"/>
              </w:rPr>
              <w:t>Fully Achieved</w:t>
            </w:r>
          </w:p>
        </w:tc>
      </w:tr>
      <w:tr w:rsidR="00F15382" w:rsidRPr="0005539E" w:rsidTr="003B10D0">
        <w:trPr>
          <w:cantSplit/>
        </w:trPr>
        <w:tc>
          <w:tcPr>
            <w:tcW w:w="1099" w:type="pct"/>
            <w:tcBorders>
              <w:top w:val="nil"/>
              <w:left w:val="single" w:sz="4" w:space="0" w:color="auto"/>
              <w:bottom w:val="nil"/>
            </w:tcBorders>
            <w:shd w:val="clear" w:color="auto" w:fill="auto"/>
          </w:tcPr>
          <w:p w:rsidR="00F15382" w:rsidRPr="00F657D4" w:rsidRDefault="00F15382" w:rsidP="00E3403E">
            <w:pPr>
              <w:rPr>
                <w:rFonts w:cs="Arial"/>
                <w:sz w:val="16"/>
                <w:szCs w:val="16"/>
              </w:rPr>
            </w:pPr>
            <w:r w:rsidRPr="00F657D4">
              <w:rPr>
                <w:rFonts w:cs="Arial"/>
                <w:sz w:val="16"/>
                <w:szCs w:val="16"/>
              </w:rPr>
              <w:t>No. and proportion of Lisbon registrations in force from developing countries and LDCs</w:t>
            </w:r>
          </w:p>
        </w:tc>
        <w:tc>
          <w:tcPr>
            <w:tcW w:w="1391" w:type="pct"/>
            <w:tcBorders>
              <w:top w:val="nil"/>
              <w:bottom w:val="nil"/>
            </w:tcBorders>
            <w:shd w:val="clear" w:color="auto" w:fill="auto"/>
          </w:tcPr>
          <w:p w:rsidR="00F15382" w:rsidRPr="0005539E" w:rsidRDefault="00F15382" w:rsidP="00E3403E">
            <w:pPr>
              <w:rPr>
                <w:rFonts w:cs="Arial"/>
                <w:color w:val="002060"/>
                <w:sz w:val="16"/>
                <w:szCs w:val="16"/>
              </w:rPr>
            </w:pPr>
            <w:r>
              <w:rPr>
                <w:rFonts w:cs="Arial"/>
                <w:i/>
                <w:color w:val="002060"/>
                <w:sz w:val="16"/>
                <w:szCs w:val="16"/>
              </w:rPr>
              <w:t>Updated Baseline end 2013</w:t>
            </w:r>
            <w:r w:rsidRPr="0005539E">
              <w:rPr>
                <w:rFonts w:cs="Arial"/>
                <w:i/>
                <w:color w:val="002060"/>
                <w:sz w:val="16"/>
                <w:szCs w:val="16"/>
              </w:rPr>
              <w:t>:</w:t>
            </w:r>
            <w:r>
              <w:rPr>
                <w:rFonts w:cs="Arial"/>
                <w:color w:val="002060"/>
                <w:sz w:val="16"/>
                <w:szCs w:val="16"/>
              </w:rPr>
              <w:t xml:space="preserve">  </w:t>
            </w:r>
            <w:r w:rsidRPr="00F657D4">
              <w:rPr>
                <w:rFonts w:cs="Arial"/>
                <w:color w:val="002060"/>
                <w:sz w:val="16"/>
                <w:szCs w:val="16"/>
              </w:rPr>
              <w:t>67 out of 816</w:t>
            </w:r>
          </w:p>
          <w:p w:rsidR="00F15382" w:rsidRPr="0005539E" w:rsidRDefault="00F15382" w:rsidP="00E3403E">
            <w:pPr>
              <w:rPr>
                <w:rFonts w:cs="Arial"/>
                <w:color w:val="002060"/>
                <w:sz w:val="16"/>
                <w:szCs w:val="16"/>
              </w:rPr>
            </w:pPr>
          </w:p>
          <w:p w:rsidR="00F15382" w:rsidRPr="0005539E" w:rsidRDefault="00F15382" w:rsidP="00E3403E">
            <w:pPr>
              <w:rPr>
                <w:rFonts w:cs="Arial"/>
                <w:sz w:val="16"/>
                <w:szCs w:val="16"/>
              </w:rPr>
            </w:pPr>
            <w:r>
              <w:rPr>
                <w:rFonts w:cs="Arial"/>
                <w:i/>
                <w:sz w:val="16"/>
                <w:szCs w:val="16"/>
              </w:rPr>
              <w:t>Original Baseline P&amp;B 2013/14</w:t>
            </w:r>
            <w:r w:rsidRPr="0005539E">
              <w:rPr>
                <w:rFonts w:cs="Arial"/>
                <w:i/>
                <w:sz w:val="16"/>
                <w:szCs w:val="16"/>
              </w:rPr>
              <w:t>:</w:t>
            </w:r>
          </w:p>
          <w:p w:rsidR="00F15382" w:rsidRDefault="00F15382" w:rsidP="00E3403E">
            <w:pPr>
              <w:rPr>
                <w:rFonts w:cs="Arial"/>
                <w:i/>
                <w:color w:val="002060"/>
                <w:sz w:val="16"/>
                <w:szCs w:val="16"/>
              </w:rPr>
            </w:pPr>
            <w:r w:rsidRPr="00F657D4">
              <w:rPr>
                <w:rFonts w:cs="Arial"/>
                <w:sz w:val="16"/>
                <w:szCs w:val="16"/>
              </w:rPr>
              <w:t>67 (out of 8</w:t>
            </w:r>
            <w:r>
              <w:rPr>
                <w:rFonts w:cs="Arial"/>
                <w:sz w:val="16"/>
                <w:szCs w:val="16"/>
              </w:rPr>
              <w:t>09</w:t>
            </w:r>
            <w:r w:rsidRPr="00F657D4">
              <w:rPr>
                <w:rFonts w:cs="Arial"/>
                <w:sz w:val="16"/>
                <w:szCs w:val="16"/>
              </w:rPr>
              <w:t>)</w:t>
            </w:r>
            <w:r>
              <w:rPr>
                <w:rFonts w:cs="Arial"/>
                <w:sz w:val="16"/>
                <w:szCs w:val="16"/>
              </w:rPr>
              <w:t xml:space="preserve"> (April 2013)</w:t>
            </w:r>
          </w:p>
        </w:tc>
        <w:tc>
          <w:tcPr>
            <w:tcW w:w="806" w:type="pct"/>
            <w:tcBorders>
              <w:top w:val="nil"/>
              <w:bottom w:val="nil"/>
            </w:tcBorders>
            <w:shd w:val="clear" w:color="auto" w:fill="auto"/>
            <w:tcMar>
              <w:top w:w="110" w:type="dxa"/>
            </w:tcMar>
          </w:tcPr>
          <w:p w:rsidR="00F15382" w:rsidRPr="00F657D4" w:rsidRDefault="00F15382" w:rsidP="00E3403E">
            <w:pPr>
              <w:rPr>
                <w:rFonts w:cs="Arial"/>
                <w:sz w:val="16"/>
                <w:szCs w:val="16"/>
              </w:rPr>
            </w:pPr>
            <w:r w:rsidRPr="00F657D4">
              <w:rPr>
                <w:rFonts w:cs="Arial"/>
                <w:sz w:val="16"/>
                <w:szCs w:val="16"/>
              </w:rPr>
              <w:t>80 (out of 825)</w:t>
            </w:r>
          </w:p>
        </w:tc>
        <w:tc>
          <w:tcPr>
            <w:tcW w:w="1171" w:type="pct"/>
            <w:tcBorders>
              <w:top w:val="nil"/>
              <w:bottom w:val="nil"/>
            </w:tcBorders>
            <w:shd w:val="clear" w:color="auto" w:fill="FFFFFF"/>
            <w:tcMar>
              <w:top w:w="110" w:type="dxa"/>
            </w:tcMar>
          </w:tcPr>
          <w:p w:rsidR="00F15382" w:rsidRDefault="00F15382" w:rsidP="00E3403E">
            <w:pPr>
              <w:rPr>
                <w:rFonts w:cs="Arial"/>
                <w:sz w:val="16"/>
                <w:szCs w:val="16"/>
              </w:rPr>
            </w:pPr>
            <w:r>
              <w:rPr>
                <w:rFonts w:cs="Arial"/>
                <w:sz w:val="16"/>
                <w:szCs w:val="16"/>
              </w:rPr>
              <w:t>95 (out of 931):</w:t>
            </w:r>
          </w:p>
          <w:p w:rsidR="00F15382" w:rsidRDefault="00F15382" w:rsidP="00F15382">
            <w:pPr>
              <w:numPr>
                <w:ilvl w:val="0"/>
                <w:numId w:val="95"/>
              </w:numPr>
              <w:rPr>
                <w:rFonts w:cs="Arial"/>
                <w:sz w:val="16"/>
                <w:szCs w:val="16"/>
              </w:rPr>
            </w:pPr>
            <w:r>
              <w:rPr>
                <w:rFonts w:cs="Arial"/>
                <w:sz w:val="16"/>
                <w:szCs w:val="16"/>
              </w:rPr>
              <w:t>Arab (14)</w:t>
            </w:r>
          </w:p>
          <w:p w:rsidR="00F15382" w:rsidRDefault="00F15382" w:rsidP="00F15382">
            <w:pPr>
              <w:numPr>
                <w:ilvl w:val="0"/>
                <w:numId w:val="95"/>
              </w:numPr>
              <w:rPr>
                <w:rFonts w:cs="Arial"/>
                <w:sz w:val="16"/>
                <w:szCs w:val="16"/>
              </w:rPr>
            </w:pPr>
            <w:r>
              <w:rPr>
                <w:rFonts w:cs="Arial"/>
                <w:sz w:val="16"/>
                <w:szCs w:val="16"/>
              </w:rPr>
              <w:t>Asia and the Pacific (38)</w:t>
            </w:r>
          </w:p>
          <w:p w:rsidR="00F15382" w:rsidRPr="00F657D4" w:rsidRDefault="00F15382" w:rsidP="00E3403E">
            <w:pPr>
              <w:pStyle w:val="ListParagraph"/>
              <w:ind w:left="360"/>
              <w:rPr>
                <w:rFonts w:cs="Arial"/>
                <w:sz w:val="16"/>
                <w:szCs w:val="16"/>
              </w:rPr>
            </w:pPr>
            <w:r>
              <w:rPr>
                <w:rFonts w:cs="Arial"/>
                <w:sz w:val="16"/>
                <w:szCs w:val="16"/>
              </w:rPr>
              <w:t>Latin America and the Caribbean (43)</w:t>
            </w:r>
          </w:p>
        </w:tc>
        <w:tc>
          <w:tcPr>
            <w:tcW w:w="533" w:type="pct"/>
            <w:tcBorders>
              <w:top w:val="nil"/>
              <w:bottom w:val="nil"/>
              <w:right w:val="single" w:sz="4" w:space="0" w:color="auto"/>
            </w:tcBorders>
            <w:shd w:val="clear" w:color="auto" w:fill="auto"/>
            <w:tcMar>
              <w:top w:w="110" w:type="dxa"/>
            </w:tcMar>
          </w:tcPr>
          <w:p w:rsidR="00F15382" w:rsidRPr="00EA4470" w:rsidRDefault="00F15382" w:rsidP="00E3403E">
            <w:pPr>
              <w:keepNext/>
              <w:keepLines/>
              <w:jc w:val="center"/>
              <w:rPr>
                <w:rStyle w:val="Style5"/>
                <w:szCs w:val="20"/>
              </w:rPr>
            </w:pPr>
            <w:r>
              <w:rPr>
                <w:rFonts w:cs="Arial"/>
                <w:b/>
                <w:color w:val="00B050"/>
                <w:sz w:val="16"/>
                <w:szCs w:val="16"/>
              </w:rPr>
              <w:t>Fully Achieved</w:t>
            </w:r>
          </w:p>
        </w:tc>
      </w:tr>
      <w:tr w:rsidR="00F15382" w:rsidRPr="0005539E" w:rsidTr="003B10D0">
        <w:trPr>
          <w:cantSplit/>
        </w:trPr>
        <w:tc>
          <w:tcPr>
            <w:tcW w:w="1099" w:type="pct"/>
            <w:tcBorders>
              <w:top w:val="nil"/>
              <w:left w:val="single" w:sz="4" w:space="0" w:color="auto"/>
              <w:bottom w:val="single" w:sz="4" w:space="0" w:color="auto"/>
            </w:tcBorders>
            <w:shd w:val="clear" w:color="auto" w:fill="auto"/>
          </w:tcPr>
          <w:p w:rsidR="00F15382" w:rsidRPr="00F657D4" w:rsidRDefault="00F15382" w:rsidP="00E3403E">
            <w:pPr>
              <w:rPr>
                <w:rFonts w:cs="Arial"/>
                <w:sz w:val="16"/>
                <w:szCs w:val="16"/>
              </w:rPr>
            </w:pPr>
            <w:r w:rsidRPr="00A61167">
              <w:rPr>
                <w:rFonts w:cs="Arial"/>
                <w:sz w:val="16"/>
                <w:szCs w:val="16"/>
              </w:rPr>
              <w:t>Decrease in the number of irregularities (Madrid)</w:t>
            </w:r>
          </w:p>
        </w:tc>
        <w:tc>
          <w:tcPr>
            <w:tcW w:w="1391" w:type="pct"/>
            <w:tcBorders>
              <w:top w:val="nil"/>
              <w:bottom w:val="single" w:sz="4" w:space="0" w:color="auto"/>
            </w:tcBorders>
            <w:shd w:val="clear" w:color="auto" w:fill="auto"/>
          </w:tcPr>
          <w:p w:rsidR="00F15382" w:rsidRPr="0005539E" w:rsidRDefault="00F15382" w:rsidP="00E3403E">
            <w:pPr>
              <w:rPr>
                <w:rFonts w:cs="Arial"/>
                <w:i/>
                <w:color w:val="002060"/>
                <w:sz w:val="16"/>
                <w:szCs w:val="16"/>
              </w:rPr>
            </w:pPr>
            <w:r>
              <w:rPr>
                <w:rFonts w:cs="Arial"/>
                <w:i/>
                <w:color w:val="002060"/>
                <w:sz w:val="16"/>
                <w:szCs w:val="16"/>
              </w:rPr>
              <w:t>Updated Baseline end 2013</w:t>
            </w:r>
            <w:r w:rsidRPr="0005539E">
              <w:rPr>
                <w:rFonts w:cs="Arial"/>
                <w:i/>
                <w:color w:val="002060"/>
                <w:sz w:val="16"/>
                <w:szCs w:val="16"/>
              </w:rPr>
              <w:t>:</w:t>
            </w:r>
          </w:p>
          <w:p w:rsidR="00F15382" w:rsidRDefault="00F15382" w:rsidP="00E3403E">
            <w:pPr>
              <w:rPr>
                <w:rFonts w:cs="Arial"/>
                <w:color w:val="002060"/>
                <w:sz w:val="16"/>
                <w:szCs w:val="16"/>
              </w:rPr>
            </w:pPr>
            <w:r w:rsidRPr="00A61167">
              <w:rPr>
                <w:rFonts w:cs="Arial"/>
                <w:color w:val="002060"/>
                <w:sz w:val="16"/>
                <w:szCs w:val="16"/>
              </w:rPr>
              <w:t>2013: 3</w:t>
            </w:r>
            <w:r>
              <w:rPr>
                <w:rFonts w:cs="Arial"/>
                <w:color w:val="002060"/>
                <w:sz w:val="16"/>
                <w:szCs w:val="16"/>
              </w:rPr>
              <w:t>2</w:t>
            </w:r>
            <w:r w:rsidRPr="00A61167">
              <w:rPr>
                <w:rFonts w:cs="Arial"/>
                <w:color w:val="002060"/>
                <w:sz w:val="16"/>
                <w:szCs w:val="16"/>
              </w:rPr>
              <w:t>%</w:t>
            </w:r>
            <w:r>
              <w:rPr>
                <w:rStyle w:val="FootnoteReference"/>
                <w:rFonts w:cs="Arial"/>
                <w:color w:val="002060"/>
                <w:sz w:val="16"/>
                <w:szCs w:val="16"/>
              </w:rPr>
              <w:footnoteReference w:id="24"/>
            </w:r>
            <w:r>
              <w:rPr>
                <w:rFonts w:cs="Arial"/>
                <w:color w:val="002060"/>
                <w:sz w:val="16"/>
                <w:szCs w:val="16"/>
              </w:rPr>
              <w:t xml:space="preserve"> (14,985 irregular applications)</w:t>
            </w:r>
          </w:p>
          <w:p w:rsidR="00F15382" w:rsidRPr="0005539E" w:rsidRDefault="00F15382" w:rsidP="00E3403E">
            <w:pPr>
              <w:rPr>
                <w:rFonts w:cs="Arial"/>
                <w:i/>
                <w:sz w:val="8"/>
                <w:szCs w:val="8"/>
              </w:rPr>
            </w:pPr>
          </w:p>
          <w:p w:rsidR="00F15382" w:rsidRPr="0005539E" w:rsidRDefault="00F15382" w:rsidP="00E3403E">
            <w:pPr>
              <w:rPr>
                <w:rFonts w:cs="Arial"/>
                <w:sz w:val="16"/>
                <w:szCs w:val="16"/>
              </w:rPr>
            </w:pPr>
            <w:r>
              <w:rPr>
                <w:rFonts w:cs="Arial"/>
                <w:i/>
                <w:sz w:val="16"/>
                <w:szCs w:val="16"/>
              </w:rPr>
              <w:t>Original Baseline P&amp;B 2014/15</w:t>
            </w:r>
            <w:r w:rsidRPr="0005539E">
              <w:rPr>
                <w:rFonts w:cs="Arial"/>
                <w:i/>
                <w:sz w:val="16"/>
                <w:szCs w:val="16"/>
              </w:rPr>
              <w:t>:</w:t>
            </w:r>
          </w:p>
          <w:p w:rsidR="00F15382" w:rsidRDefault="00F15382" w:rsidP="00E3403E">
            <w:pPr>
              <w:rPr>
                <w:rFonts w:cs="Arial"/>
                <w:i/>
                <w:color w:val="002060"/>
                <w:sz w:val="16"/>
                <w:szCs w:val="16"/>
              </w:rPr>
            </w:pPr>
            <w:r w:rsidRPr="00A61167">
              <w:rPr>
                <w:rFonts w:cs="Arial"/>
                <w:sz w:val="16"/>
                <w:szCs w:val="16"/>
              </w:rPr>
              <w:t>Irregular applications 3</w:t>
            </w:r>
            <w:r>
              <w:rPr>
                <w:rFonts w:cs="Arial"/>
                <w:sz w:val="16"/>
                <w:szCs w:val="16"/>
              </w:rPr>
              <w:t>2</w:t>
            </w:r>
            <w:r w:rsidRPr="00A61167">
              <w:rPr>
                <w:rFonts w:cs="Arial"/>
                <w:sz w:val="16"/>
                <w:szCs w:val="16"/>
              </w:rPr>
              <w:t>%</w:t>
            </w:r>
            <w:r>
              <w:rPr>
                <w:rStyle w:val="FootnoteReference"/>
                <w:rFonts w:cs="Arial"/>
                <w:sz w:val="16"/>
                <w:szCs w:val="16"/>
              </w:rPr>
              <w:footnoteReference w:id="25"/>
            </w:r>
            <w:r w:rsidRPr="00A61167">
              <w:rPr>
                <w:rFonts w:cs="Arial"/>
                <w:sz w:val="16"/>
                <w:szCs w:val="16"/>
              </w:rPr>
              <w:t xml:space="preserve"> </w:t>
            </w:r>
            <w:r>
              <w:rPr>
                <w:rFonts w:cs="Arial"/>
                <w:sz w:val="16"/>
                <w:szCs w:val="16"/>
              </w:rPr>
              <w:t>(</w:t>
            </w:r>
            <w:r w:rsidRPr="00A61167">
              <w:rPr>
                <w:rFonts w:cs="Arial"/>
                <w:sz w:val="16"/>
                <w:szCs w:val="16"/>
              </w:rPr>
              <w:t>in 2012)</w:t>
            </w:r>
            <w:r>
              <w:rPr>
                <w:rFonts w:cs="Arial"/>
                <w:sz w:val="16"/>
                <w:szCs w:val="16"/>
              </w:rPr>
              <w:t xml:space="preserve"> </w:t>
            </w:r>
          </w:p>
        </w:tc>
        <w:tc>
          <w:tcPr>
            <w:tcW w:w="806" w:type="pct"/>
            <w:tcBorders>
              <w:top w:val="nil"/>
              <w:bottom w:val="single" w:sz="4" w:space="0" w:color="auto"/>
            </w:tcBorders>
            <w:shd w:val="clear" w:color="auto" w:fill="auto"/>
            <w:tcMar>
              <w:top w:w="110" w:type="dxa"/>
            </w:tcMar>
          </w:tcPr>
          <w:p w:rsidR="00F15382" w:rsidRPr="00F657D4" w:rsidRDefault="00F15382" w:rsidP="00E3403E">
            <w:pPr>
              <w:rPr>
                <w:rFonts w:cs="Arial"/>
                <w:sz w:val="16"/>
                <w:szCs w:val="16"/>
              </w:rPr>
            </w:pPr>
            <w:r w:rsidRPr="00A61167">
              <w:rPr>
                <w:rFonts w:cs="Arial"/>
                <w:sz w:val="16"/>
                <w:szCs w:val="16"/>
              </w:rPr>
              <w:t>Decreas</w:t>
            </w:r>
            <w:r>
              <w:rPr>
                <w:rFonts w:cs="Arial"/>
                <w:sz w:val="16"/>
                <w:szCs w:val="16"/>
              </w:rPr>
              <w:t>e in</w:t>
            </w:r>
            <w:r w:rsidRPr="00A61167">
              <w:rPr>
                <w:rFonts w:cs="Arial"/>
                <w:sz w:val="16"/>
                <w:szCs w:val="16"/>
              </w:rPr>
              <w:t xml:space="preserve"> the number of irregularities by</w:t>
            </w:r>
            <w:r>
              <w:rPr>
                <w:rFonts w:cs="Arial"/>
                <w:sz w:val="16"/>
                <w:szCs w:val="16"/>
              </w:rPr>
              <w:t xml:space="preserve"> </w:t>
            </w:r>
            <w:r w:rsidRPr="00A61167">
              <w:rPr>
                <w:rFonts w:cs="Arial"/>
                <w:sz w:val="16"/>
                <w:szCs w:val="16"/>
              </w:rPr>
              <w:t>10%</w:t>
            </w:r>
          </w:p>
        </w:tc>
        <w:tc>
          <w:tcPr>
            <w:tcW w:w="1171" w:type="pct"/>
            <w:tcBorders>
              <w:top w:val="nil"/>
              <w:bottom w:val="single" w:sz="4" w:space="0" w:color="auto"/>
            </w:tcBorders>
            <w:shd w:val="clear" w:color="auto" w:fill="FFFFFF"/>
            <w:tcMar>
              <w:top w:w="110" w:type="dxa"/>
            </w:tcMar>
          </w:tcPr>
          <w:p w:rsidR="00F15382" w:rsidRPr="003F630F" w:rsidRDefault="00F15382" w:rsidP="00F15382">
            <w:pPr>
              <w:pStyle w:val="ListParagraph"/>
              <w:numPr>
                <w:ilvl w:val="0"/>
                <w:numId w:val="98"/>
              </w:numPr>
              <w:rPr>
                <w:rFonts w:cs="Arial"/>
                <w:sz w:val="16"/>
                <w:szCs w:val="16"/>
              </w:rPr>
            </w:pPr>
            <w:r>
              <w:rPr>
                <w:rFonts w:cs="Arial"/>
                <w:sz w:val="16"/>
                <w:szCs w:val="16"/>
              </w:rPr>
              <w:t>2014: 34%</w:t>
            </w:r>
            <w:r>
              <w:rPr>
                <w:rStyle w:val="FootnoteReference"/>
                <w:rFonts w:cs="Arial"/>
                <w:sz w:val="16"/>
                <w:szCs w:val="16"/>
              </w:rPr>
              <w:footnoteReference w:id="26"/>
            </w:r>
            <w:r>
              <w:rPr>
                <w:rFonts w:cs="Arial"/>
                <w:sz w:val="16"/>
                <w:szCs w:val="16"/>
              </w:rPr>
              <w:t xml:space="preserve"> or 16,281 irregular applications (+9</w:t>
            </w:r>
            <w:r w:rsidRPr="003F630F">
              <w:rPr>
                <w:rFonts w:cs="Arial"/>
                <w:sz w:val="16"/>
                <w:szCs w:val="16"/>
              </w:rPr>
              <w:t>%</w:t>
            </w:r>
            <w:r>
              <w:rPr>
                <w:rFonts w:cs="Arial"/>
                <w:sz w:val="16"/>
                <w:szCs w:val="16"/>
              </w:rPr>
              <w:t xml:space="preserve"> </w:t>
            </w:r>
            <w:r w:rsidRPr="003F630F">
              <w:rPr>
                <w:rFonts w:cs="Arial"/>
                <w:sz w:val="16"/>
                <w:szCs w:val="16"/>
              </w:rPr>
              <w:t>as compared to 2013)</w:t>
            </w:r>
          </w:p>
          <w:p w:rsidR="00F15382" w:rsidRPr="00BA6F3B" w:rsidRDefault="00F15382" w:rsidP="00F15382">
            <w:pPr>
              <w:pStyle w:val="ListParagraph"/>
              <w:numPr>
                <w:ilvl w:val="0"/>
                <w:numId w:val="98"/>
              </w:numPr>
              <w:spacing w:before="60"/>
              <w:rPr>
                <w:rFonts w:cs="Arial"/>
                <w:b/>
                <w:sz w:val="16"/>
                <w:szCs w:val="16"/>
              </w:rPr>
            </w:pPr>
            <w:r>
              <w:rPr>
                <w:rFonts w:cs="Arial"/>
                <w:sz w:val="16"/>
                <w:szCs w:val="16"/>
              </w:rPr>
              <w:t xml:space="preserve">2015: </w:t>
            </w:r>
            <w:r w:rsidRPr="003F630F">
              <w:rPr>
                <w:rFonts w:cs="Arial"/>
                <w:sz w:val="16"/>
                <w:szCs w:val="16"/>
              </w:rPr>
              <w:t>39%</w:t>
            </w:r>
            <w:r>
              <w:rPr>
                <w:rFonts w:cs="Arial"/>
                <w:sz w:val="16"/>
                <w:szCs w:val="16"/>
              </w:rPr>
              <w:t xml:space="preserve"> or 19,216 irregular applications </w:t>
            </w:r>
            <w:r w:rsidRPr="003F630F">
              <w:rPr>
                <w:rFonts w:cs="Arial"/>
                <w:sz w:val="16"/>
                <w:szCs w:val="16"/>
              </w:rPr>
              <w:t xml:space="preserve"> (</w:t>
            </w:r>
            <w:r>
              <w:rPr>
                <w:rFonts w:cs="Arial"/>
                <w:sz w:val="16"/>
                <w:szCs w:val="16"/>
              </w:rPr>
              <w:t>+18% as compared to 2014)</w:t>
            </w:r>
            <w:r w:rsidRPr="003F630F">
              <w:rPr>
                <w:rFonts w:cs="Arial"/>
                <w:sz w:val="16"/>
                <w:szCs w:val="16"/>
              </w:rPr>
              <w:t xml:space="preserve"> </w:t>
            </w:r>
          </w:p>
          <w:p w:rsidR="008E0AD7" w:rsidRPr="003F630F" w:rsidRDefault="008E0AD7" w:rsidP="00BA6F3B">
            <w:pPr>
              <w:pStyle w:val="ListParagraph"/>
              <w:spacing w:before="60"/>
              <w:ind w:left="360"/>
              <w:rPr>
                <w:rFonts w:cs="Arial"/>
                <w:b/>
                <w:sz w:val="16"/>
                <w:szCs w:val="16"/>
              </w:rPr>
            </w:pPr>
          </w:p>
        </w:tc>
        <w:tc>
          <w:tcPr>
            <w:tcW w:w="533" w:type="pct"/>
            <w:tcBorders>
              <w:top w:val="nil"/>
              <w:bottom w:val="single" w:sz="4" w:space="0" w:color="auto"/>
              <w:right w:val="single" w:sz="4" w:space="0" w:color="auto"/>
            </w:tcBorders>
            <w:shd w:val="clear" w:color="auto" w:fill="auto"/>
            <w:tcMar>
              <w:top w:w="110" w:type="dxa"/>
            </w:tcMar>
          </w:tcPr>
          <w:p w:rsidR="00F15382" w:rsidRPr="00EA4470" w:rsidRDefault="00F15382" w:rsidP="00E3403E">
            <w:pPr>
              <w:keepNext/>
              <w:keepLines/>
              <w:jc w:val="center"/>
              <w:rPr>
                <w:rStyle w:val="Style5"/>
              </w:rPr>
            </w:pPr>
            <w:r>
              <w:rPr>
                <w:rFonts w:cs="Arial"/>
                <w:b/>
                <w:color w:val="FF0000"/>
                <w:sz w:val="16"/>
                <w:szCs w:val="16"/>
              </w:rPr>
              <w:t xml:space="preserve">Not </w:t>
            </w:r>
            <w:r>
              <w:rPr>
                <w:rFonts w:cs="Arial"/>
                <w:b/>
                <w:color w:val="FF0000"/>
                <w:sz w:val="16"/>
                <w:szCs w:val="16"/>
              </w:rPr>
              <w:br/>
              <w:t>Achieved</w:t>
            </w:r>
          </w:p>
        </w:tc>
      </w:tr>
      <w:tr w:rsidR="00F15382" w:rsidRPr="0005539E" w:rsidTr="003B10D0">
        <w:trPr>
          <w:cantSplit/>
          <w:trHeight w:val="367"/>
        </w:trPr>
        <w:tc>
          <w:tcPr>
            <w:tcW w:w="5000" w:type="pct"/>
            <w:gridSpan w:val="5"/>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F15382" w:rsidRPr="00EA4470" w:rsidRDefault="00F15382" w:rsidP="00F15382">
            <w:pPr>
              <w:keepNext/>
              <w:keepLines/>
              <w:tabs>
                <w:tab w:val="left" w:pos="1452"/>
              </w:tabs>
              <w:ind w:left="1452" w:hanging="1452"/>
              <w:rPr>
                <w:rFonts w:cs="Arial"/>
                <w:b/>
                <w:bCs/>
                <w:sz w:val="16"/>
                <w:szCs w:val="16"/>
              </w:rPr>
            </w:pPr>
            <w:r w:rsidRPr="00EA4470">
              <w:rPr>
                <w:rFonts w:cs="Arial"/>
                <w:b/>
                <w:bCs/>
                <w:sz w:val="16"/>
                <w:szCs w:val="16"/>
              </w:rPr>
              <w:lastRenderedPageBreak/>
              <w:t>Expected Result:</w:t>
            </w:r>
            <w:r w:rsidRPr="00EA4470">
              <w:rPr>
                <w:rFonts w:cs="Arial"/>
                <w:b/>
                <w:bCs/>
                <w:sz w:val="16"/>
                <w:szCs w:val="16"/>
              </w:rPr>
              <w:tab/>
            </w:r>
            <w:r w:rsidRPr="00EA4470">
              <w:rPr>
                <w:rFonts w:cs="Arial"/>
                <w:bCs/>
                <w:sz w:val="16"/>
                <w:szCs w:val="16"/>
              </w:rPr>
              <w:t>II.7</w:t>
            </w:r>
            <w:r w:rsidRPr="00EA4470">
              <w:rPr>
                <w:rFonts w:cs="Arial"/>
                <w:b/>
                <w:bCs/>
                <w:sz w:val="16"/>
                <w:szCs w:val="16"/>
              </w:rPr>
              <w:t xml:space="preserve"> </w:t>
            </w:r>
            <w:r w:rsidRPr="00EA4470">
              <w:rPr>
                <w:rFonts w:cs="Arial"/>
                <w:sz w:val="16"/>
                <w:szCs w:val="16"/>
              </w:rPr>
              <w:t>Improved productivity and service quality of Madrid &amp; Lisbon operations</w:t>
            </w:r>
          </w:p>
        </w:tc>
      </w:tr>
      <w:tr w:rsidR="00F15382" w:rsidRPr="004C7D99" w:rsidTr="003B10D0">
        <w:trPr>
          <w:cantSplit/>
        </w:trPr>
        <w:tc>
          <w:tcPr>
            <w:tcW w:w="1099" w:type="pct"/>
            <w:tcBorders>
              <w:top w:val="single" w:sz="4" w:space="0" w:color="auto"/>
              <w:left w:val="single" w:sz="4" w:space="0" w:color="auto"/>
              <w:bottom w:val="nil"/>
            </w:tcBorders>
            <w:shd w:val="clear" w:color="auto" w:fill="auto"/>
            <w:vAlign w:val="center"/>
          </w:tcPr>
          <w:p w:rsidR="00F15382" w:rsidRPr="004C7D99" w:rsidRDefault="00F15382" w:rsidP="00F15382">
            <w:pPr>
              <w:keepNext/>
              <w:keepLines/>
              <w:rPr>
                <w:rFonts w:cs="Arial"/>
                <w:sz w:val="16"/>
                <w:szCs w:val="16"/>
              </w:rPr>
            </w:pPr>
            <w:r w:rsidRPr="004C7D99">
              <w:rPr>
                <w:rFonts w:cs="Arial"/>
                <w:b/>
                <w:bCs/>
                <w:sz w:val="16"/>
                <w:szCs w:val="16"/>
              </w:rPr>
              <w:t>Performance Indicators</w:t>
            </w:r>
          </w:p>
        </w:tc>
        <w:tc>
          <w:tcPr>
            <w:tcW w:w="1391" w:type="pct"/>
            <w:tcBorders>
              <w:top w:val="single" w:sz="4" w:space="0" w:color="auto"/>
              <w:bottom w:val="nil"/>
            </w:tcBorders>
            <w:shd w:val="clear" w:color="auto" w:fill="auto"/>
            <w:vAlign w:val="center"/>
          </w:tcPr>
          <w:p w:rsidR="00F15382" w:rsidRPr="004C7D99" w:rsidRDefault="00F15382" w:rsidP="00F15382">
            <w:pPr>
              <w:keepNext/>
              <w:keepLines/>
              <w:rPr>
                <w:rFonts w:cs="Arial"/>
                <w:b/>
                <w:bCs/>
                <w:sz w:val="16"/>
                <w:szCs w:val="16"/>
              </w:rPr>
            </w:pPr>
            <w:r w:rsidRPr="004C7D99">
              <w:rPr>
                <w:rFonts w:cs="Arial"/>
                <w:b/>
                <w:bCs/>
                <w:sz w:val="16"/>
                <w:szCs w:val="16"/>
              </w:rPr>
              <w:t>Baselines</w:t>
            </w:r>
          </w:p>
        </w:tc>
        <w:tc>
          <w:tcPr>
            <w:tcW w:w="806" w:type="pct"/>
            <w:tcBorders>
              <w:top w:val="single" w:sz="4" w:space="0" w:color="auto"/>
              <w:bottom w:val="nil"/>
            </w:tcBorders>
            <w:shd w:val="clear" w:color="auto" w:fill="auto"/>
            <w:tcMar>
              <w:top w:w="110" w:type="dxa"/>
            </w:tcMar>
            <w:vAlign w:val="center"/>
          </w:tcPr>
          <w:p w:rsidR="00F15382" w:rsidRPr="004C7D99" w:rsidRDefault="00F15382" w:rsidP="00F15382">
            <w:pPr>
              <w:keepNext/>
              <w:keepLines/>
              <w:rPr>
                <w:rFonts w:cs="Arial"/>
                <w:b/>
                <w:sz w:val="16"/>
                <w:szCs w:val="16"/>
              </w:rPr>
            </w:pPr>
            <w:r w:rsidRPr="004C7D99">
              <w:rPr>
                <w:rFonts w:cs="Arial"/>
                <w:b/>
                <w:sz w:val="16"/>
                <w:szCs w:val="16"/>
              </w:rPr>
              <w:t>Targets</w:t>
            </w:r>
          </w:p>
        </w:tc>
        <w:tc>
          <w:tcPr>
            <w:tcW w:w="1171" w:type="pct"/>
            <w:tcBorders>
              <w:top w:val="single" w:sz="4" w:space="0" w:color="auto"/>
              <w:bottom w:val="nil"/>
            </w:tcBorders>
            <w:shd w:val="clear" w:color="auto" w:fill="FFFFFF"/>
            <w:tcMar>
              <w:top w:w="110" w:type="dxa"/>
            </w:tcMar>
            <w:vAlign w:val="center"/>
          </w:tcPr>
          <w:p w:rsidR="00F15382" w:rsidRPr="004C7D99" w:rsidRDefault="00F15382" w:rsidP="00F15382">
            <w:pPr>
              <w:keepNext/>
              <w:keepLines/>
              <w:rPr>
                <w:rFonts w:cs="Arial"/>
                <w:sz w:val="16"/>
                <w:szCs w:val="16"/>
              </w:rPr>
            </w:pPr>
            <w:r w:rsidRPr="004C7D99">
              <w:rPr>
                <w:rFonts w:cs="Arial"/>
                <w:b/>
                <w:bCs/>
                <w:sz w:val="16"/>
                <w:szCs w:val="16"/>
              </w:rPr>
              <w:t>Performance Data</w:t>
            </w:r>
          </w:p>
        </w:tc>
        <w:tc>
          <w:tcPr>
            <w:tcW w:w="533" w:type="pct"/>
            <w:tcBorders>
              <w:top w:val="single" w:sz="4" w:space="0" w:color="auto"/>
              <w:bottom w:val="nil"/>
              <w:right w:val="single" w:sz="4" w:space="0" w:color="auto"/>
            </w:tcBorders>
            <w:shd w:val="clear" w:color="auto" w:fill="auto"/>
            <w:tcMar>
              <w:top w:w="110" w:type="dxa"/>
            </w:tcMar>
            <w:vAlign w:val="center"/>
          </w:tcPr>
          <w:p w:rsidR="00F15382" w:rsidRPr="00EA4470" w:rsidRDefault="00F15382" w:rsidP="00F15382">
            <w:pPr>
              <w:keepNext/>
              <w:keepLines/>
              <w:jc w:val="center"/>
              <w:rPr>
                <w:rFonts w:cs="Arial"/>
                <w:b/>
                <w:bCs/>
                <w:sz w:val="16"/>
                <w:szCs w:val="16"/>
              </w:rPr>
            </w:pPr>
            <w:r w:rsidRPr="00EA4470">
              <w:rPr>
                <w:rFonts w:cs="Arial"/>
                <w:b/>
                <w:bCs/>
                <w:sz w:val="16"/>
                <w:szCs w:val="16"/>
              </w:rPr>
              <w:t>TLS</w:t>
            </w:r>
          </w:p>
        </w:tc>
      </w:tr>
      <w:tr w:rsidR="00F15382" w:rsidRPr="0005539E" w:rsidTr="003B10D0">
        <w:trPr>
          <w:cantSplit/>
        </w:trPr>
        <w:tc>
          <w:tcPr>
            <w:tcW w:w="1099" w:type="pct"/>
            <w:tcBorders>
              <w:top w:val="nil"/>
              <w:left w:val="single" w:sz="4" w:space="0" w:color="auto"/>
              <w:bottom w:val="nil"/>
            </w:tcBorders>
            <w:shd w:val="clear" w:color="auto" w:fill="FFFFFF"/>
          </w:tcPr>
          <w:p w:rsidR="00F15382" w:rsidRPr="0005539E" w:rsidRDefault="00F15382" w:rsidP="00F15382">
            <w:pPr>
              <w:keepNext/>
              <w:keepLines/>
              <w:rPr>
                <w:rFonts w:cs="Arial"/>
                <w:sz w:val="16"/>
                <w:szCs w:val="16"/>
              </w:rPr>
            </w:pPr>
            <w:r w:rsidRPr="00F657D4">
              <w:rPr>
                <w:rFonts w:cs="Arial"/>
                <w:sz w:val="16"/>
                <w:szCs w:val="16"/>
              </w:rPr>
              <w:t xml:space="preserve">Progress towards streamlining and simplification of the Madrid </w:t>
            </w:r>
            <w:r>
              <w:rPr>
                <w:rFonts w:cs="Arial"/>
                <w:sz w:val="16"/>
                <w:szCs w:val="16"/>
              </w:rPr>
              <w:t>S</w:t>
            </w:r>
            <w:r w:rsidRPr="00F657D4">
              <w:rPr>
                <w:rFonts w:cs="Arial"/>
                <w:sz w:val="16"/>
                <w:szCs w:val="16"/>
              </w:rPr>
              <w:t>ystem legal framework</w:t>
            </w:r>
          </w:p>
        </w:tc>
        <w:tc>
          <w:tcPr>
            <w:tcW w:w="1391" w:type="pct"/>
            <w:tcBorders>
              <w:top w:val="nil"/>
              <w:bottom w:val="nil"/>
            </w:tcBorders>
            <w:shd w:val="clear" w:color="auto" w:fill="auto"/>
          </w:tcPr>
          <w:p w:rsidR="00F15382" w:rsidRPr="0005539E" w:rsidRDefault="00F15382" w:rsidP="00F15382">
            <w:pPr>
              <w:keepNext/>
              <w:keepLines/>
              <w:rPr>
                <w:rFonts w:cs="Arial"/>
                <w:sz w:val="16"/>
                <w:szCs w:val="16"/>
              </w:rPr>
            </w:pPr>
            <w:r w:rsidRPr="00F657D4">
              <w:rPr>
                <w:rFonts w:cs="Arial"/>
                <w:sz w:val="16"/>
                <w:szCs w:val="16"/>
              </w:rPr>
              <w:t xml:space="preserve">Madrid </w:t>
            </w:r>
            <w:r>
              <w:rPr>
                <w:rFonts w:cs="Arial"/>
                <w:sz w:val="16"/>
                <w:szCs w:val="16"/>
              </w:rPr>
              <w:t>S</w:t>
            </w:r>
            <w:r w:rsidRPr="00F657D4">
              <w:rPr>
                <w:rFonts w:cs="Arial"/>
                <w:sz w:val="16"/>
                <w:szCs w:val="16"/>
              </w:rPr>
              <w:t>ystem Common Regulations and Administrative Instructions in force at the end of 2013</w:t>
            </w:r>
          </w:p>
        </w:tc>
        <w:tc>
          <w:tcPr>
            <w:tcW w:w="806" w:type="pct"/>
            <w:tcBorders>
              <w:top w:val="nil"/>
              <w:bottom w:val="nil"/>
            </w:tcBorders>
            <w:shd w:val="clear" w:color="auto" w:fill="auto"/>
            <w:tcMar>
              <w:top w:w="110" w:type="dxa"/>
            </w:tcMar>
          </w:tcPr>
          <w:p w:rsidR="00F15382" w:rsidRPr="00F657D4" w:rsidRDefault="00F15382" w:rsidP="00F15382">
            <w:pPr>
              <w:keepNext/>
              <w:keepLines/>
              <w:rPr>
                <w:rFonts w:cs="Arial"/>
                <w:sz w:val="16"/>
                <w:szCs w:val="16"/>
              </w:rPr>
            </w:pPr>
            <w:r w:rsidRPr="00F657D4">
              <w:rPr>
                <w:rFonts w:cs="Arial"/>
                <w:sz w:val="16"/>
                <w:szCs w:val="16"/>
              </w:rPr>
              <w:t xml:space="preserve">Amendments to the Madrid </w:t>
            </w:r>
            <w:r>
              <w:rPr>
                <w:rFonts w:cs="Arial"/>
                <w:sz w:val="16"/>
                <w:szCs w:val="16"/>
              </w:rPr>
              <w:t>S</w:t>
            </w:r>
            <w:r w:rsidRPr="00F657D4">
              <w:rPr>
                <w:rFonts w:cs="Arial"/>
                <w:sz w:val="16"/>
                <w:szCs w:val="16"/>
              </w:rPr>
              <w:t>ystem Common Regulations and Administrative Instructions</w:t>
            </w:r>
          </w:p>
        </w:tc>
        <w:tc>
          <w:tcPr>
            <w:tcW w:w="1171" w:type="pct"/>
            <w:tcBorders>
              <w:top w:val="nil"/>
              <w:bottom w:val="nil"/>
            </w:tcBorders>
            <w:shd w:val="clear" w:color="auto" w:fill="FFFFFF"/>
            <w:tcMar>
              <w:top w:w="110" w:type="dxa"/>
            </w:tcMar>
          </w:tcPr>
          <w:p w:rsidR="00F15382" w:rsidRPr="0005539E" w:rsidRDefault="00F15382" w:rsidP="00F15382">
            <w:pPr>
              <w:keepNext/>
              <w:keepLines/>
              <w:rPr>
                <w:rFonts w:cs="Arial"/>
                <w:sz w:val="16"/>
                <w:szCs w:val="16"/>
                <w:lang w:bidi="th-TH"/>
              </w:rPr>
            </w:pPr>
            <w:r w:rsidRPr="00DB66EC">
              <w:rPr>
                <w:rFonts w:cs="Arial"/>
                <w:color w:val="000000" w:themeColor="text1"/>
                <w:sz w:val="16"/>
                <w:szCs w:val="16"/>
                <w:lang w:bidi="th-TH"/>
              </w:rPr>
              <w:t xml:space="preserve">Amendments </w:t>
            </w:r>
            <w:r>
              <w:rPr>
                <w:rFonts w:cs="Arial"/>
                <w:color w:val="000000" w:themeColor="text1"/>
                <w:sz w:val="16"/>
                <w:szCs w:val="16"/>
                <w:lang w:bidi="th-TH"/>
              </w:rPr>
              <w:t xml:space="preserve">were </w:t>
            </w:r>
            <w:r w:rsidRPr="00DB66EC">
              <w:rPr>
                <w:rFonts w:cs="Arial"/>
                <w:color w:val="000000" w:themeColor="text1"/>
                <w:sz w:val="16"/>
                <w:szCs w:val="16"/>
                <w:lang w:bidi="th-TH"/>
              </w:rPr>
              <w:t xml:space="preserve">adopted by the Madrid Union Assembly (Rules 5, 5bis, 9, 20bis, 24, 27, 30, 31, 36 and Schedule of Fees. </w:t>
            </w:r>
            <w:r>
              <w:rPr>
                <w:rFonts w:cs="Arial"/>
                <w:color w:val="000000" w:themeColor="text1"/>
                <w:sz w:val="16"/>
                <w:szCs w:val="16"/>
                <w:lang w:bidi="th-TH"/>
              </w:rPr>
              <w:t xml:space="preserve"> </w:t>
            </w:r>
            <w:r w:rsidRPr="00DB66EC">
              <w:rPr>
                <w:rFonts w:cs="Arial"/>
                <w:color w:val="000000" w:themeColor="text1"/>
                <w:sz w:val="16"/>
                <w:szCs w:val="16"/>
                <w:lang w:bidi="th-TH"/>
              </w:rPr>
              <w:t>Some entered into force (April 1, 2015), others will enter into force in 2016 (April 1) or in 2017 (July 1 and November</w:t>
            </w:r>
            <w:r>
              <w:rPr>
                <w:rFonts w:cs="Arial"/>
                <w:color w:val="000000" w:themeColor="text1"/>
                <w:sz w:val="16"/>
                <w:szCs w:val="16"/>
                <w:lang w:bidi="th-TH"/>
              </w:rPr>
              <w:t> </w:t>
            </w:r>
            <w:r w:rsidRPr="00DB66EC">
              <w:rPr>
                <w:rFonts w:cs="Arial"/>
                <w:color w:val="000000" w:themeColor="text1"/>
                <w:sz w:val="16"/>
                <w:szCs w:val="16"/>
                <w:lang w:bidi="th-TH"/>
              </w:rPr>
              <w:t>1).</w:t>
            </w:r>
          </w:p>
        </w:tc>
        <w:tc>
          <w:tcPr>
            <w:tcW w:w="533" w:type="pct"/>
            <w:tcBorders>
              <w:top w:val="nil"/>
              <w:bottom w:val="nil"/>
              <w:right w:val="single" w:sz="4" w:space="0" w:color="auto"/>
            </w:tcBorders>
            <w:shd w:val="clear" w:color="auto" w:fill="auto"/>
            <w:tcMar>
              <w:top w:w="110" w:type="dxa"/>
            </w:tcMar>
          </w:tcPr>
          <w:p w:rsidR="00F15382" w:rsidRPr="00777328" w:rsidRDefault="00F15382" w:rsidP="00F15382">
            <w:pPr>
              <w:keepNext/>
              <w:keepLines/>
              <w:jc w:val="center"/>
              <w:rPr>
                <w:rStyle w:val="Style5"/>
              </w:rPr>
            </w:pPr>
            <w:r>
              <w:rPr>
                <w:rFonts w:cs="Arial"/>
                <w:b/>
                <w:color w:val="00B050"/>
                <w:sz w:val="16"/>
                <w:szCs w:val="16"/>
              </w:rPr>
              <w:t>Fully Achieved</w:t>
            </w:r>
          </w:p>
        </w:tc>
      </w:tr>
      <w:tr w:rsidR="00F15382" w:rsidRPr="0005539E" w:rsidTr="003B10D0">
        <w:trPr>
          <w:cantSplit/>
        </w:trPr>
        <w:tc>
          <w:tcPr>
            <w:tcW w:w="1099" w:type="pct"/>
            <w:tcBorders>
              <w:top w:val="nil"/>
              <w:left w:val="single" w:sz="4" w:space="0" w:color="auto"/>
              <w:bottom w:val="nil"/>
            </w:tcBorders>
            <w:shd w:val="clear" w:color="auto" w:fill="FFFFFF"/>
          </w:tcPr>
          <w:p w:rsidR="00F15382" w:rsidRPr="00F657D4" w:rsidRDefault="00F15382" w:rsidP="00E3403E">
            <w:pPr>
              <w:rPr>
                <w:rFonts w:cs="Arial"/>
                <w:sz w:val="16"/>
                <w:szCs w:val="16"/>
              </w:rPr>
            </w:pPr>
            <w:r w:rsidRPr="00F657D4">
              <w:rPr>
                <w:rFonts w:cs="Arial"/>
                <w:sz w:val="16"/>
                <w:szCs w:val="16"/>
              </w:rPr>
              <w:t>N</w:t>
            </w:r>
            <w:r>
              <w:rPr>
                <w:rFonts w:cs="Arial"/>
                <w:sz w:val="16"/>
                <w:szCs w:val="16"/>
              </w:rPr>
              <w:t>o.</w:t>
            </w:r>
            <w:r w:rsidRPr="00F657D4">
              <w:rPr>
                <w:rFonts w:cs="Arial"/>
                <w:sz w:val="16"/>
                <w:szCs w:val="16"/>
              </w:rPr>
              <w:t xml:space="preserve"> of registrations</w:t>
            </w:r>
          </w:p>
          <w:p w:rsidR="00F15382" w:rsidRPr="00F657D4" w:rsidRDefault="00F15382" w:rsidP="00E3403E">
            <w:pPr>
              <w:rPr>
                <w:rFonts w:cs="Arial"/>
                <w:sz w:val="16"/>
                <w:szCs w:val="16"/>
              </w:rPr>
            </w:pPr>
            <w:r w:rsidRPr="00F657D4">
              <w:rPr>
                <w:rFonts w:cs="Arial"/>
                <w:sz w:val="16"/>
                <w:szCs w:val="16"/>
              </w:rPr>
              <w:t>N</w:t>
            </w:r>
            <w:r>
              <w:rPr>
                <w:rFonts w:cs="Arial"/>
                <w:sz w:val="16"/>
                <w:szCs w:val="16"/>
              </w:rPr>
              <w:t>o.</w:t>
            </w:r>
            <w:r w:rsidRPr="00F657D4">
              <w:rPr>
                <w:rFonts w:cs="Arial"/>
                <w:sz w:val="16"/>
                <w:szCs w:val="16"/>
              </w:rPr>
              <w:t xml:space="preserve"> of renewals processed</w:t>
            </w:r>
          </w:p>
          <w:p w:rsidR="00F15382" w:rsidRPr="0005539E" w:rsidRDefault="00F15382" w:rsidP="00E3403E">
            <w:pPr>
              <w:rPr>
                <w:rFonts w:cs="Arial"/>
                <w:sz w:val="16"/>
                <w:szCs w:val="16"/>
              </w:rPr>
            </w:pPr>
            <w:r w:rsidRPr="00F657D4">
              <w:rPr>
                <w:rFonts w:cs="Arial"/>
                <w:sz w:val="16"/>
                <w:szCs w:val="16"/>
              </w:rPr>
              <w:t>N</w:t>
            </w:r>
            <w:r>
              <w:rPr>
                <w:rFonts w:cs="Arial"/>
                <w:sz w:val="16"/>
                <w:szCs w:val="16"/>
              </w:rPr>
              <w:t>o.</w:t>
            </w:r>
            <w:r w:rsidRPr="00F657D4">
              <w:rPr>
                <w:rFonts w:cs="Arial"/>
                <w:sz w:val="16"/>
                <w:szCs w:val="16"/>
              </w:rPr>
              <w:t xml:space="preserve"> of modifications, including subsequent designations (Madrid)</w:t>
            </w:r>
          </w:p>
        </w:tc>
        <w:tc>
          <w:tcPr>
            <w:tcW w:w="1391" w:type="pct"/>
            <w:tcBorders>
              <w:top w:val="nil"/>
              <w:bottom w:val="nil"/>
            </w:tcBorders>
            <w:shd w:val="clear" w:color="auto" w:fill="auto"/>
          </w:tcPr>
          <w:p w:rsidR="00F15382" w:rsidRDefault="00F15382" w:rsidP="00E3403E">
            <w:pPr>
              <w:rPr>
                <w:rFonts w:cs="Arial"/>
                <w:color w:val="002060"/>
                <w:sz w:val="16"/>
                <w:szCs w:val="16"/>
              </w:rPr>
            </w:pPr>
            <w:r>
              <w:rPr>
                <w:rFonts w:cs="Arial"/>
                <w:i/>
                <w:color w:val="002060"/>
                <w:sz w:val="16"/>
                <w:szCs w:val="16"/>
              </w:rPr>
              <w:t>Updated Baseline end 2013</w:t>
            </w:r>
            <w:r w:rsidRPr="0005539E">
              <w:rPr>
                <w:rFonts w:cs="Arial"/>
                <w:i/>
                <w:color w:val="002060"/>
                <w:sz w:val="16"/>
                <w:szCs w:val="16"/>
              </w:rPr>
              <w:t>:</w:t>
            </w:r>
            <w:r>
              <w:rPr>
                <w:rFonts w:cs="Arial"/>
                <w:color w:val="002060"/>
                <w:sz w:val="16"/>
                <w:szCs w:val="16"/>
              </w:rPr>
              <w:t xml:space="preserve"> </w:t>
            </w:r>
          </w:p>
          <w:p w:rsidR="00F15382" w:rsidRDefault="00F15382" w:rsidP="00E3403E">
            <w:pPr>
              <w:rPr>
                <w:rFonts w:cs="Arial"/>
                <w:color w:val="002060"/>
                <w:sz w:val="16"/>
                <w:szCs w:val="16"/>
              </w:rPr>
            </w:pPr>
          </w:p>
          <w:p w:rsidR="00F15382" w:rsidRPr="004C6D5E" w:rsidRDefault="00F15382" w:rsidP="00E3403E">
            <w:pPr>
              <w:rPr>
                <w:rFonts w:cs="Arial"/>
                <w:color w:val="002060"/>
                <w:sz w:val="16"/>
                <w:szCs w:val="16"/>
              </w:rPr>
            </w:pPr>
            <w:r w:rsidRPr="004C6D5E">
              <w:rPr>
                <w:rFonts w:cs="Arial"/>
                <w:color w:val="002060"/>
                <w:sz w:val="16"/>
                <w:szCs w:val="16"/>
              </w:rPr>
              <w:t>2013: 44,414 registrations</w:t>
            </w:r>
            <w:r>
              <w:rPr>
                <w:rFonts w:cs="Arial"/>
                <w:color w:val="002060"/>
                <w:sz w:val="16"/>
                <w:szCs w:val="16"/>
              </w:rPr>
              <w:t>;</w:t>
            </w:r>
          </w:p>
          <w:p w:rsidR="00F15382" w:rsidRPr="004C6D5E" w:rsidRDefault="00F15382" w:rsidP="00E3403E">
            <w:pPr>
              <w:rPr>
                <w:rFonts w:cs="Arial"/>
                <w:color w:val="002060"/>
                <w:sz w:val="16"/>
                <w:szCs w:val="16"/>
              </w:rPr>
            </w:pPr>
            <w:r w:rsidRPr="004C6D5E">
              <w:rPr>
                <w:rFonts w:cs="Arial"/>
                <w:color w:val="002060"/>
                <w:sz w:val="16"/>
                <w:szCs w:val="16"/>
              </w:rPr>
              <w:t>23,014 renewals</w:t>
            </w:r>
            <w:r>
              <w:rPr>
                <w:rFonts w:cs="Arial"/>
                <w:color w:val="002060"/>
                <w:sz w:val="16"/>
                <w:szCs w:val="16"/>
              </w:rPr>
              <w:t>;</w:t>
            </w:r>
          </w:p>
          <w:p w:rsidR="00F15382" w:rsidRPr="004C6D5E" w:rsidRDefault="00F15382" w:rsidP="00E3403E">
            <w:pPr>
              <w:rPr>
                <w:rFonts w:cs="Arial"/>
                <w:color w:val="002060"/>
                <w:sz w:val="16"/>
                <w:szCs w:val="16"/>
              </w:rPr>
            </w:pPr>
            <w:r w:rsidRPr="004C6D5E">
              <w:rPr>
                <w:rFonts w:cs="Arial"/>
                <w:color w:val="002060"/>
                <w:sz w:val="16"/>
                <w:szCs w:val="16"/>
              </w:rPr>
              <w:t>117,673 modifications including 14,373 subsequent designations</w:t>
            </w:r>
          </w:p>
          <w:p w:rsidR="00F15382" w:rsidRPr="0005539E" w:rsidRDefault="00F15382" w:rsidP="00E3403E">
            <w:pPr>
              <w:rPr>
                <w:rFonts w:cs="Arial"/>
                <w:color w:val="002060"/>
                <w:sz w:val="16"/>
                <w:szCs w:val="16"/>
              </w:rPr>
            </w:pPr>
          </w:p>
          <w:p w:rsidR="00F15382" w:rsidRPr="0005539E" w:rsidRDefault="00F15382" w:rsidP="00E3403E">
            <w:pPr>
              <w:rPr>
                <w:rFonts w:cs="Arial"/>
                <w:sz w:val="16"/>
                <w:szCs w:val="16"/>
              </w:rPr>
            </w:pPr>
            <w:r>
              <w:rPr>
                <w:rFonts w:cs="Arial"/>
                <w:i/>
                <w:sz w:val="16"/>
                <w:szCs w:val="16"/>
              </w:rPr>
              <w:t>Original Baseline P&amp;B 2013/14</w:t>
            </w:r>
            <w:r w:rsidRPr="0005539E">
              <w:rPr>
                <w:rFonts w:cs="Arial"/>
                <w:i/>
                <w:sz w:val="16"/>
                <w:szCs w:val="16"/>
              </w:rPr>
              <w:t>:</w:t>
            </w:r>
          </w:p>
          <w:p w:rsidR="00F15382" w:rsidRPr="00111222" w:rsidRDefault="00F15382" w:rsidP="00E3403E">
            <w:pPr>
              <w:rPr>
                <w:rFonts w:cs="Arial"/>
                <w:sz w:val="16"/>
                <w:szCs w:val="16"/>
              </w:rPr>
            </w:pPr>
            <w:r w:rsidRPr="00111222">
              <w:rPr>
                <w:rFonts w:cs="Arial"/>
                <w:sz w:val="16"/>
                <w:szCs w:val="16"/>
              </w:rPr>
              <w:t>Registrations, renewals (See Annex V</w:t>
            </w:r>
            <w:r>
              <w:rPr>
                <w:rFonts w:cs="Arial"/>
                <w:sz w:val="16"/>
                <w:szCs w:val="16"/>
              </w:rPr>
              <w:t>II</w:t>
            </w:r>
            <w:r w:rsidRPr="00111222">
              <w:rPr>
                <w:rFonts w:cs="Arial"/>
                <w:sz w:val="16"/>
                <w:szCs w:val="16"/>
              </w:rPr>
              <w:t>).</w:t>
            </w:r>
          </w:p>
          <w:p w:rsidR="00F15382" w:rsidRPr="0005539E" w:rsidRDefault="00F15382" w:rsidP="00E3403E">
            <w:pPr>
              <w:rPr>
                <w:rFonts w:cs="Arial"/>
                <w:sz w:val="16"/>
                <w:szCs w:val="16"/>
              </w:rPr>
            </w:pPr>
            <w:r w:rsidRPr="00111222">
              <w:rPr>
                <w:rFonts w:cs="Arial"/>
                <w:sz w:val="16"/>
                <w:szCs w:val="16"/>
              </w:rPr>
              <w:t>97,500 modifications were inscribed in the Registry (2012)</w:t>
            </w:r>
          </w:p>
        </w:tc>
        <w:tc>
          <w:tcPr>
            <w:tcW w:w="806" w:type="pct"/>
            <w:tcBorders>
              <w:top w:val="nil"/>
              <w:bottom w:val="nil"/>
            </w:tcBorders>
            <w:shd w:val="clear" w:color="auto" w:fill="auto"/>
            <w:tcMar>
              <w:top w:w="110" w:type="dxa"/>
            </w:tcMar>
          </w:tcPr>
          <w:p w:rsidR="00F15382" w:rsidRDefault="00F15382" w:rsidP="00E3403E">
            <w:pPr>
              <w:rPr>
                <w:rFonts w:cs="Arial"/>
                <w:sz w:val="16"/>
                <w:szCs w:val="16"/>
                <w:lang w:bidi="th-TH"/>
              </w:rPr>
            </w:pPr>
            <w:r w:rsidRPr="00111222">
              <w:rPr>
                <w:rFonts w:cs="Arial"/>
                <w:sz w:val="16"/>
                <w:szCs w:val="16"/>
                <w:lang w:bidi="th-TH"/>
              </w:rPr>
              <w:t>2014: 6.3% increase in registrations and renewals</w:t>
            </w:r>
            <w:r>
              <w:rPr>
                <w:rStyle w:val="FootnoteReference"/>
                <w:rFonts w:cs="Arial"/>
                <w:sz w:val="16"/>
                <w:szCs w:val="16"/>
                <w:lang w:bidi="th-TH"/>
              </w:rPr>
              <w:footnoteReference w:id="27"/>
            </w:r>
            <w:r w:rsidRPr="00111222">
              <w:rPr>
                <w:rFonts w:cs="Arial"/>
                <w:sz w:val="16"/>
                <w:szCs w:val="16"/>
                <w:lang w:bidi="th-TH"/>
              </w:rPr>
              <w:t xml:space="preserve"> </w:t>
            </w:r>
          </w:p>
          <w:p w:rsidR="00F15382" w:rsidRDefault="00F15382" w:rsidP="00E3403E">
            <w:pPr>
              <w:rPr>
                <w:rFonts w:cs="Arial"/>
                <w:sz w:val="16"/>
                <w:szCs w:val="16"/>
                <w:lang w:bidi="th-TH"/>
              </w:rPr>
            </w:pPr>
          </w:p>
          <w:p w:rsidR="00F15382" w:rsidRDefault="00F15382" w:rsidP="00E3403E">
            <w:pPr>
              <w:rPr>
                <w:rFonts w:cs="Arial"/>
                <w:sz w:val="16"/>
                <w:szCs w:val="16"/>
                <w:lang w:bidi="th-TH"/>
              </w:rPr>
            </w:pPr>
          </w:p>
          <w:p w:rsidR="00F15382" w:rsidRDefault="00F15382" w:rsidP="00E3403E">
            <w:pPr>
              <w:rPr>
                <w:rFonts w:cs="Arial"/>
                <w:sz w:val="16"/>
                <w:szCs w:val="16"/>
                <w:lang w:bidi="th-TH"/>
              </w:rPr>
            </w:pPr>
            <w:r w:rsidRPr="00111222">
              <w:rPr>
                <w:rFonts w:cs="Arial"/>
                <w:sz w:val="16"/>
                <w:szCs w:val="16"/>
                <w:lang w:bidi="th-TH"/>
              </w:rPr>
              <w:t xml:space="preserve">2015: 3.3% increase in registrations and renewals  </w:t>
            </w:r>
          </w:p>
          <w:p w:rsidR="00F15382" w:rsidRDefault="00F15382" w:rsidP="00E3403E">
            <w:pPr>
              <w:rPr>
                <w:rFonts w:cs="Arial"/>
                <w:sz w:val="16"/>
                <w:szCs w:val="16"/>
                <w:lang w:bidi="th-TH"/>
              </w:rPr>
            </w:pPr>
          </w:p>
          <w:p w:rsidR="00F15382" w:rsidRPr="00883814" w:rsidRDefault="00F15382" w:rsidP="00E3403E">
            <w:pPr>
              <w:rPr>
                <w:rFonts w:cs="Arial"/>
                <w:szCs w:val="20"/>
                <w:lang w:bidi="th-TH"/>
              </w:rPr>
            </w:pPr>
          </w:p>
          <w:p w:rsidR="00F15382" w:rsidRPr="00111222" w:rsidRDefault="00F15382" w:rsidP="00E3403E">
            <w:pPr>
              <w:rPr>
                <w:rFonts w:cs="Arial"/>
                <w:sz w:val="16"/>
                <w:szCs w:val="16"/>
                <w:lang w:bidi="th-TH"/>
              </w:rPr>
            </w:pPr>
            <w:r w:rsidRPr="00111222">
              <w:rPr>
                <w:rFonts w:cs="Arial"/>
                <w:sz w:val="16"/>
                <w:szCs w:val="16"/>
                <w:lang w:bidi="th-TH"/>
              </w:rPr>
              <w:t xml:space="preserve">Total registrations 92,500. </w:t>
            </w:r>
          </w:p>
          <w:p w:rsidR="00F15382" w:rsidRDefault="00F15382" w:rsidP="00E3403E">
            <w:pPr>
              <w:rPr>
                <w:rFonts w:cs="Arial"/>
                <w:sz w:val="16"/>
                <w:szCs w:val="16"/>
                <w:lang w:bidi="th-TH"/>
              </w:rPr>
            </w:pPr>
          </w:p>
          <w:p w:rsidR="00F15382" w:rsidRPr="00111222" w:rsidRDefault="00F15382" w:rsidP="00E3403E">
            <w:pPr>
              <w:rPr>
                <w:rFonts w:cs="Arial"/>
                <w:sz w:val="16"/>
                <w:szCs w:val="16"/>
                <w:lang w:bidi="th-TH"/>
              </w:rPr>
            </w:pPr>
            <w:r w:rsidRPr="00111222">
              <w:rPr>
                <w:rFonts w:cs="Arial"/>
                <w:sz w:val="16"/>
                <w:szCs w:val="16"/>
                <w:lang w:bidi="th-TH"/>
              </w:rPr>
              <w:t>Total renewals 49</w:t>
            </w:r>
            <w:r>
              <w:rPr>
                <w:rFonts w:cs="Arial"/>
                <w:sz w:val="16"/>
                <w:szCs w:val="16"/>
                <w:lang w:bidi="th-TH"/>
              </w:rPr>
              <w:t>,</w:t>
            </w:r>
            <w:r w:rsidRPr="00111222">
              <w:rPr>
                <w:rFonts w:cs="Arial"/>
                <w:sz w:val="16"/>
                <w:szCs w:val="16"/>
                <w:lang w:bidi="th-TH"/>
              </w:rPr>
              <w:t xml:space="preserve">000 </w:t>
            </w:r>
          </w:p>
          <w:p w:rsidR="00F15382" w:rsidRDefault="00F15382" w:rsidP="00E3403E">
            <w:pPr>
              <w:rPr>
                <w:rFonts w:cs="Arial"/>
                <w:sz w:val="16"/>
                <w:szCs w:val="16"/>
                <w:lang w:bidi="th-TH"/>
              </w:rPr>
            </w:pPr>
          </w:p>
          <w:p w:rsidR="00F15382" w:rsidRPr="0005539E" w:rsidRDefault="00F15382" w:rsidP="00E3403E">
            <w:pPr>
              <w:rPr>
                <w:rFonts w:cs="Arial"/>
                <w:sz w:val="16"/>
                <w:szCs w:val="16"/>
              </w:rPr>
            </w:pPr>
            <w:r w:rsidRPr="00111222">
              <w:rPr>
                <w:rFonts w:cs="Arial"/>
                <w:sz w:val="16"/>
                <w:szCs w:val="16"/>
                <w:lang w:bidi="th-TH"/>
              </w:rPr>
              <w:t>Total modifications 200</w:t>
            </w:r>
            <w:r>
              <w:rPr>
                <w:rFonts w:cs="Arial"/>
                <w:sz w:val="16"/>
                <w:szCs w:val="16"/>
                <w:lang w:bidi="th-TH"/>
              </w:rPr>
              <w:t>,</w:t>
            </w:r>
            <w:r w:rsidRPr="00111222">
              <w:rPr>
                <w:rFonts w:cs="Arial"/>
                <w:sz w:val="16"/>
                <w:szCs w:val="16"/>
                <w:lang w:bidi="th-TH"/>
              </w:rPr>
              <w:t>000, including 35</w:t>
            </w:r>
            <w:r>
              <w:rPr>
                <w:rFonts w:cs="Arial"/>
                <w:sz w:val="16"/>
                <w:szCs w:val="16"/>
                <w:lang w:bidi="th-TH"/>
              </w:rPr>
              <w:t>,</w:t>
            </w:r>
            <w:r w:rsidRPr="00111222">
              <w:rPr>
                <w:rFonts w:cs="Arial"/>
                <w:sz w:val="16"/>
                <w:szCs w:val="16"/>
                <w:lang w:bidi="th-TH"/>
              </w:rPr>
              <w:t>000 subsequent designations</w:t>
            </w:r>
          </w:p>
        </w:tc>
        <w:tc>
          <w:tcPr>
            <w:tcW w:w="1171" w:type="pct"/>
            <w:tcBorders>
              <w:top w:val="nil"/>
              <w:bottom w:val="nil"/>
            </w:tcBorders>
            <w:shd w:val="clear" w:color="auto" w:fill="FFFFFF"/>
            <w:tcMar>
              <w:top w:w="110" w:type="dxa"/>
            </w:tcMar>
          </w:tcPr>
          <w:p w:rsidR="00F15382" w:rsidRDefault="00F15382" w:rsidP="00E3403E">
            <w:pPr>
              <w:rPr>
                <w:rFonts w:cs="Arial"/>
                <w:sz w:val="16"/>
                <w:szCs w:val="16"/>
                <w:lang w:bidi="th-TH"/>
              </w:rPr>
            </w:pPr>
            <w:r w:rsidRPr="004B30AC">
              <w:rPr>
                <w:rFonts w:cs="Arial"/>
                <w:sz w:val="16"/>
                <w:szCs w:val="16"/>
                <w:lang w:bidi="th-TH"/>
              </w:rPr>
              <w:t>2014</w:t>
            </w:r>
            <w:r>
              <w:rPr>
                <w:rFonts w:cs="Arial"/>
                <w:sz w:val="16"/>
                <w:szCs w:val="16"/>
                <w:lang w:bidi="th-TH"/>
              </w:rPr>
              <w:t>: 1.1% increase over 2013 in registrations and renewals</w:t>
            </w:r>
            <w:r w:rsidRPr="004B30AC">
              <w:rPr>
                <w:rFonts w:cs="Arial"/>
                <w:sz w:val="16"/>
                <w:szCs w:val="16"/>
                <w:lang w:bidi="th-TH"/>
              </w:rPr>
              <w:t xml:space="preserve"> </w:t>
            </w:r>
          </w:p>
          <w:p w:rsidR="00F15382" w:rsidRDefault="00F15382" w:rsidP="00F15382">
            <w:pPr>
              <w:pStyle w:val="ListParagraph"/>
              <w:numPr>
                <w:ilvl w:val="0"/>
                <w:numId w:val="96"/>
              </w:numPr>
              <w:rPr>
                <w:rFonts w:cs="Arial"/>
                <w:sz w:val="16"/>
                <w:szCs w:val="16"/>
                <w:lang w:bidi="th-TH"/>
              </w:rPr>
            </w:pPr>
            <w:r>
              <w:rPr>
                <w:rFonts w:cs="Arial"/>
                <w:sz w:val="16"/>
                <w:szCs w:val="16"/>
                <w:lang w:bidi="th-TH"/>
              </w:rPr>
              <w:t>42,430 registrations</w:t>
            </w:r>
          </w:p>
          <w:p w:rsidR="00F15382" w:rsidRPr="00B91517" w:rsidRDefault="00F15382" w:rsidP="00F15382">
            <w:pPr>
              <w:pStyle w:val="ListParagraph"/>
              <w:numPr>
                <w:ilvl w:val="0"/>
                <w:numId w:val="96"/>
              </w:numPr>
              <w:rPr>
                <w:rFonts w:cs="Arial"/>
                <w:sz w:val="16"/>
                <w:szCs w:val="16"/>
                <w:lang w:bidi="th-TH"/>
              </w:rPr>
            </w:pPr>
            <w:r>
              <w:rPr>
                <w:rFonts w:cs="Arial"/>
                <w:sz w:val="16"/>
                <w:szCs w:val="16"/>
                <w:lang w:bidi="th-TH"/>
              </w:rPr>
              <w:t>25,729 renewals</w:t>
            </w:r>
          </w:p>
          <w:p w:rsidR="00F15382" w:rsidRDefault="00F15382" w:rsidP="00E3403E">
            <w:pPr>
              <w:rPr>
                <w:rFonts w:cs="Arial"/>
                <w:sz w:val="16"/>
                <w:szCs w:val="16"/>
                <w:lang w:bidi="th-TH"/>
              </w:rPr>
            </w:pPr>
          </w:p>
          <w:p w:rsidR="00F15382" w:rsidRDefault="00F15382" w:rsidP="00E3403E">
            <w:pPr>
              <w:rPr>
                <w:rFonts w:cs="Arial"/>
                <w:sz w:val="16"/>
                <w:szCs w:val="16"/>
                <w:lang w:bidi="th-TH"/>
              </w:rPr>
            </w:pPr>
            <w:r>
              <w:rPr>
                <w:rFonts w:cs="Arial"/>
                <w:sz w:val="16"/>
                <w:szCs w:val="16"/>
                <w:lang w:bidi="th-TH"/>
              </w:rPr>
              <w:t>2015: 12.2% increase over the 2014 target in registrations and renewals</w:t>
            </w:r>
            <w:r>
              <w:rPr>
                <w:rStyle w:val="FootnoteReference"/>
                <w:rFonts w:cs="Arial"/>
                <w:sz w:val="16"/>
                <w:szCs w:val="16"/>
                <w:lang w:bidi="th-TH"/>
              </w:rPr>
              <w:footnoteReference w:id="28"/>
            </w:r>
          </w:p>
          <w:p w:rsidR="00F15382" w:rsidRDefault="00F15382" w:rsidP="00F15382">
            <w:pPr>
              <w:pStyle w:val="ListParagraph"/>
              <w:numPr>
                <w:ilvl w:val="0"/>
                <w:numId w:val="96"/>
              </w:numPr>
              <w:rPr>
                <w:rFonts w:cs="Arial"/>
                <w:sz w:val="16"/>
                <w:szCs w:val="16"/>
                <w:lang w:bidi="th-TH"/>
              </w:rPr>
            </w:pPr>
            <w:r>
              <w:rPr>
                <w:rFonts w:cs="Arial"/>
                <w:sz w:val="16"/>
                <w:szCs w:val="16"/>
                <w:lang w:bidi="th-TH"/>
              </w:rPr>
              <w:t>51,938 registrations</w:t>
            </w:r>
          </w:p>
          <w:p w:rsidR="00F15382" w:rsidRPr="00B91517" w:rsidRDefault="00F15382" w:rsidP="00F15382">
            <w:pPr>
              <w:pStyle w:val="ListParagraph"/>
              <w:numPr>
                <w:ilvl w:val="0"/>
                <w:numId w:val="96"/>
              </w:numPr>
              <w:rPr>
                <w:rFonts w:cs="Arial"/>
                <w:sz w:val="16"/>
                <w:szCs w:val="16"/>
                <w:lang w:bidi="th-TH"/>
              </w:rPr>
            </w:pPr>
            <w:r>
              <w:rPr>
                <w:rFonts w:cs="Arial"/>
                <w:sz w:val="16"/>
                <w:szCs w:val="16"/>
                <w:lang w:bidi="th-TH"/>
              </w:rPr>
              <w:t>28,502 renewals</w:t>
            </w:r>
          </w:p>
          <w:p w:rsidR="00F15382" w:rsidRPr="004B30AC" w:rsidRDefault="00F15382">
            <w:pPr>
              <w:rPr>
                <w:rFonts w:cs="Arial"/>
                <w:sz w:val="16"/>
                <w:szCs w:val="16"/>
                <w:lang w:bidi="th-TH"/>
              </w:rPr>
            </w:pPr>
          </w:p>
          <w:p w:rsidR="00F15382" w:rsidRDefault="00F15382" w:rsidP="00E3403E">
            <w:pPr>
              <w:rPr>
                <w:rFonts w:cs="Arial"/>
                <w:sz w:val="16"/>
                <w:szCs w:val="16"/>
                <w:lang w:bidi="th-TH"/>
              </w:rPr>
            </w:pPr>
            <w:r w:rsidRPr="004B30AC">
              <w:rPr>
                <w:rFonts w:cs="Arial"/>
                <w:sz w:val="16"/>
                <w:szCs w:val="16"/>
                <w:lang w:bidi="th-TH"/>
              </w:rPr>
              <w:t>Total registrations for 2014/15</w:t>
            </w:r>
            <w:r>
              <w:rPr>
                <w:rFonts w:cs="Arial"/>
                <w:sz w:val="16"/>
                <w:szCs w:val="16"/>
                <w:lang w:bidi="th-TH"/>
              </w:rPr>
              <w:t xml:space="preserve">: </w:t>
            </w:r>
            <w:r w:rsidRPr="004B30AC">
              <w:rPr>
                <w:rFonts w:cs="Arial"/>
                <w:sz w:val="16"/>
                <w:szCs w:val="16"/>
                <w:lang w:bidi="th-TH"/>
              </w:rPr>
              <w:t xml:space="preserve"> 94,368.</w:t>
            </w:r>
          </w:p>
          <w:p w:rsidR="00F15382" w:rsidRDefault="00F15382" w:rsidP="00E3403E">
            <w:pPr>
              <w:rPr>
                <w:rFonts w:cs="Arial"/>
                <w:sz w:val="16"/>
                <w:szCs w:val="16"/>
                <w:lang w:bidi="th-TH"/>
              </w:rPr>
            </w:pPr>
          </w:p>
          <w:p w:rsidR="00F15382" w:rsidRPr="004B30AC" w:rsidRDefault="00F15382" w:rsidP="00E3403E">
            <w:pPr>
              <w:rPr>
                <w:rFonts w:cs="Arial"/>
                <w:sz w:val="16"/>
                <w:szCs w:val="16"/>
                <w:lang w:bidi="th-TH"/>
              </w:rPr>
            </w:pPr>
            <w:r w:rsidRPr="004B30AC">
              <w:rPr>
                <w:rFonts w:cs="Arial"/>
                <w:sz w:val="16"/>
                <w:szCs w:val="16"/>
                <w:lang w:bidi="th-TH"/>
              </w:rPr>
              <w:t>Total renewals</w:t>
            </w:r>
            <w:r>
              <w:rPr>
                <w:rFonts w:cs="Arial"/>
                <w:sz w:val="16"/>
                <w:szCs w:val="16"/>
                <w:lang w:bidi="th-TH"/>
              </w:rPr>
              <w:t xml:space="preserve"> for 2014/15: </w:t>
            </w:r>
            <w:r w:rsidRPr="004B30AC">
              <w:rPr>
                <w:rFonts w:cs="Arial"/>
                <w:sz w:val="16"/>
                <w:szCs w:val="16"/>
                <w:lang w:bidi="th-TH"/>
              </w:rPr>
              <w:t xml:space="preserve"> 54,</w:t>
            </w:r>
            <w:r>
              <w:rPr>
                <w:rFonts w:cs="Arial"/>
                <w:sz w:val="16"/>
                <w:szCs w:val="16"/>
                <w:lang w:bidi="th-TH"/>
              </w:rPr>
              <w:t>230</w:t>
            </w:r>
            <w:r w:rsidRPr="004B30AC">
              <w:rPr>
                <w:rFonts w:cs="Arial"/>
                <w:sz w:val="16"/>
                <w:szCs w:val="16"/>
                <w:lang w:bidi="th-TH"/>
              </w:rPr>
              <w:t>.</w:t>
            </w:r>
          </w:p>
          <w:p w:rsidR="00F15382" w:rsidRDefault="00F15382" w:rsidP="00E3403E">
            <w:pPr>
              <w:rPr>
                <w:rFonts w:cs="Arial"/>
                <w:sz w:val="16"/>
                <w:szCs w:val="16"/>
                <w:lang w:bidi="th-TH"/>
              </w:rPr>
            </w:pPr>
          </w:p>
          <w:p w:rsidR="00F15382" w:rsidRPr="0005539E" w:rsidRDefault="00F15382" w:rsidP="00E3403E">
            <w:pPr>
              <w:rPr>
                <w:rFonts w:cs="Arial"/>
                <w:sz w:val="16"/>
                <w:szCs w:val="16"/>
                <w:lang w:bidi="th-TH"/>
              </w:rPr>
            </w:pPr>
            <w:r w:rsidRPr="004B30AC">
              <w:rPr>
                <w:rFonts w:cs="Arial"/>
                <w:sz w:val="16"/>
                <w:szCs w:val="16"/>
                <w:lang w:bidi="th-TH"/>
              </w:rPr>
              <w:t>Total modifications</w:t>
            </w:r>
            <w:r>
              <w:rPr>
                <w:rFonts w:cs="Arial"/>
                <w:sz w:val="16"/>
                <w:szCs w:val="16"/>
                <w:lang w:bidi="th-TH"/>
              </w:rPr>
              <w:t xml:space="preserve"> for 2014/15: </w:t>
            </w:r>
            <w:r w:rsidRPr="004B30AC">
              <w:rPr>
                <w:rFonts w:cs="Arial"/>
                <w:sz w:val="16"/>
                <w:szCs w:val="16"/>
                <w:lang w:bidi="th-TH"/>
              </w:rPr>
              <w:t>220,469, including 35,</w:t>
            </w:r>
            <w:r>
              <w:rPr>
                <w:rFonts w:cs="Arial"/>
                <w:sz w:val="16"/>
                <w:szCs w:val="16"/>
                <w:lang w:bidi="th-TH"/>
              </w:rPr>
              <w:t>937</w:t>
            </w:r>
            <w:r w:rsidRPr="004B30AC">
              <w:rPr>
                <w:rFonts w:cs="Arial"/>
                <w:sz w:val="16"/>
                <w:szCs w:val="16"/>
                <w:lang w:bidi="th-TH"/>
              </w:rPr>
              <w:t xml:space="preserve"> subsequent designations</w:t>
            </w:r>
          </w:p>
        </w:tc>
        <w:tc>
          <w:tcPr>
            <w:tcW w:w="533" w:type="pct"/>
            <w:tcBorders>
              <w:top w:val="nil"/>
              <w:bottom w:val="nil"/>
              <w:right w:val="single" w:sz="4" w:space="0" w:color="auto"/>
            </w:tcBorders>
            <w:shd w:val="clear" w:color="auto" w:fill="auto"/>
            <w:tcMar>
              <w:top w:w="110" w:type="dxa"/>
            </w:tcMar>
          </w:tcPr>
          <w:p w:rsidR="00F15382" w:rsidRDefault="00F15382" w:rsidP="00E3403E">
            <w:pPr>
              <w:keepNext/>
              <w:keepLines/>
              <w:jc w:val="center"/>
              <w:rPr>
                <w:rStyle w:val="Style5"/>
                <w:rFonts w:cs="Arial"/>
                <w:b/>
                <w:color w:val="FF0000"/>
                <w:sz w:val="16"/>
              </w:rPr>
            </w:pPr>
            <w:r w:rsidRPr="00B91517">
              <w:rPr>
                <w:rStyle w:val="Style5"/>
                <w:rFonts w:cs="Arial"/>
                <w:b/>
                <w:color w:val="FF0000"/>
                <w:sz w:val="16"/>
              </w:rPr>
              <w:t>Not Achieved</w:t>
            </w:r>
          </w:p>
          <w:p w:rsidR="00F15382" w:rsidRDefault="00F15382" w:rsidP="00E3403E">
            <w:pPr>
              <w:keepNext/>
              <w:keepLines/>
              <w:jc w:val="center"/>
              <w:rPr>
                <w:rStyle w:val="Style5"/>
                <w:rFonts w:cs="Arial"/>
                <w:b/>
                <w:color w:val="FF0000"/>
                <w:sz w:val="16"/>
              </w:rPr>
            </w:pPr>
          </w:p>
          <w:p w:rsidR="00F15382" w:rsidRDefault="00F15382" w:rsidP="00E3403E">
            <w:pPr>
              <w:keepNext/>
              <w:keepLines/>
              <w:jc w:val="center"/>
              <w:rPr>
                <w:rStyle w:val="Style5"/>
                <w:rFonts w:cs="Arial"/>
                <w:b/>
                <w:color w:val="FF0000"/>
                <w:sz w:val="16"/>
              </w:rPr>
            </w:pPr>
          </w:p>
          <w:p w:rsidR="00F15382" w:rsidRDefault="00F15382" w:rsidP="00E3403E">
            <w:pPr>
              <w:keepNext/>
              <w:keepLines/>
              <w:jc w:val="center"/>
              <w:rPr>
                <w:rFonts w:cs="Arial"/>
                <w:b/>
                <w:color w:val="00B050"/>
                <w:sz w:val="16"/>
                <w:szCs w:val="16"/>
              </w:rPr>
            </w:pPr>
          </w:p>
          <w:p w:rsidR="00F15382" w:rsidRDefault="00F15382" w:rsidP="00E3403E">
            <w:pPr>
              <w:keepNext/>
              <w:keepLines/>
              <w:jc w:val="center"/>
              <w:rPr>
                <w:rFonts w:cs="Arial"/>
                <w:b/>
                <w:color w:val="00B050"/>
                <w:sz w:val="16"/>
                <w:szCs w:val="16"/>
              </w:rPr>
            </w:pPr>
          </w:p>
          <w:p w:rsidR="00F15382" w:rsidRDefault="00F15382" w:rsidP="00E3403E">
            <w:pPr>
              <w:keepNext/>
              <w:keepLines/>
              <w:jc w:val="center"/>
              <w:rPr>
                <w:rFonts w:cs="Arial"/>
                <w:b/>
                <w:color w:val="00B050"/>
                <w:sz w:val="16"/>
                <w:szCs w:val="16"/>
              </w:rPr>
            </w:pPr>
            <w:r>
              <w:rPr>
                <w:rFonts w:cs="Arial"/>
                <w:b/>
                <w:color w:val="00B050"/>
                <w:sz w:val="16"/>
                <w:szCs w:val="16"/>
              </w:rPr>
              <w:t>Fully Achieved</w:t>
            </w:r>
          </w:p>
          <w:p w:rsidR="00F15382" w:rsidRDefault="00F15382" w:rsidP="00E3403E">
            <w:pPr>
              <w:keepNext/>
              <w:keepLines/>
              <w:jc w:val="center"/>
              <w:rPr>
                <w:rStyle w:val="Style5"/>
                <w:rFonts w:cs="Arial"/>
                <w:b/>
                <w:color w:val="FF0000"/>
                <w:sz w:val="16"/>
              </w:rPr>
            </w:pPr>
          </w:p>
          <w:p w:rsidR="00F15382" w:rsidRDefault="00F15382" w:rsidP="00E3403E">
            <w:pPr>
              <w:keepNext/>
              <w:keepLines/>
              <w:jc w:val="center"/>
              <w:rPr>
                <w:rStyle w:val="Style5"/>
                <w:rFonts w:cs="Arial"/>
                <w:b/>
                <w:color w:val="FF0000"/>
                <w:sz w:val="16"/>
              </w:rPr>
            </w:pPr>
          </w:p>
          <w:p w:rsidR="00F15382" w:rsidRDefault="00F15382" w:rsidP="00E3403E">
            <w:pPr>
              <w:keepNext/>
              <w:keepLines/>
              <w:jc w:val="center"/>
              <w:rPr>
                <w:rFonts w:cs="Arial"/>
                <w:b/>
                <w:color w:val="00B050"/>
                <w:sz w:val="16"/>
                <w:szCs w:val="16"/>
              </w:rPr>
            </w:pPr>
          </w:p>
          <w:p w:rsidR="00F15382" w:rsidRDefault="00F15382" w:rsidP="00E3403E">
            <w:pPr>
              <w:keepNext/>
              <w:keepLines/>
              <w:jc w:val="center"/>
              <w:rPr>
                <w:rFonts w:cs="Arial"/>
                <w:b/>
                <w:color w:val="00B050"/>
                <w:sz w:val="16"/>
                <w:szCs w:val="16"/>
              </w:rPr>
            </w:pPr>
          </w:p>
          <w:p w:rsidR="00F15382" w:rsidRDefault="00F15382">
            <w:pPr>
              <w:keepNext/>
              <w:keepLines/>
              <w:jc w:val="center"/>
              <w:rPr>
                <w:rFonts w:cs="Arial"/>
                <w:b/>
                <w:color w:val="00B050"/>
                <w:sz w:val="16"/>
                <w:szCs w:val="16"/>
              </w:rPr>
            </w:pPr>
            <w:r>
              <w:rPr>
                <w:rFonts w:cs="Arial"/>
                <w:b/>
                <w:color w:val="00B050"/>
                <w:sz w:val="16"/>
                <w:szCs w:val="16"/>
              </w:rPr>
              <w:t>Fully Achieved</w:t>
            </w:r>
          </w:p>
          <w:p w:rsidR="00F15382" w:rsidRDefault="00F15382">
            <w:pPr>
              <w:keepNext/>
              <w:keepLines/>
              <w:jc w:val="center"/>
              <w:rPr>
                <w:rFonts w:cs="Arial"/>
                <w:b/>
                <w:color w:val="00B050"/>
                <w:sz w:val="16"/>
                <w:szCs w:val="16"/>
              </w:rPr>
            </w:pPr>
          </w:p>
          <w:p w:rsidR="00F15382" w:rsidRDefault="00F15382">
            <w:pPr>
              <w:keepNext/>
              <w:keepLines/>
              <w:jc w:val="center"/>
              <w:rPr>
                <w:rFonts w:cs="Arial"/>
                <w:b/>
                <w:color w:val="00B050"/>
                <w:sz w:val="16"/>
                <w:szCs w:val="16"/>
              </w:rPr>
            </w:pPr>
            <w:r>
              <w:rPr>
                <w:rFonts w:cs="Arial"/>
                <w:b/>
                <w:color w:val="00B050"/>
                <w:sz w:val="16"/>
                <w:szCs w:val="16"/>
              </w:rPr>
              <w:t>Fully Achieved</w:t>
            </w:r>
          </w:p>
          <w:p w:rsidR="00F15382" w:rsidRDefault="00F15382">
            <w:pPr>
              <w:keepNext/>
              <w:keepLines/>
              <w:jc w:val="center"/>
              <w:rPr>
                <w:rFonts w:cs="Arial"/>
                <w:b/>
                <w:color w:val="00B050"/>
                <w:sz w:val="16"/>
                <w:szCs w:val="16"/>
              </w:rPr>
            </w:pPr>
          </w:p>
          <w:p w:rsidR="00F15382" w:rsidRPr="00EA4470" w:rsidRDefault="00F15382">
            <w:pPr>
              <w:keepNext/>
              <w:keepLines/>
              <w:jc w:val="center"/>
              <w:rPr>
                <w:rStyle w:val="Style5"/>
              </w:rPr>
            </w:pPr>
            <w:r>
              <w:rPr>
                <w:rFonts w:cs="Arial"/>
                <w:b/>
                <w:color w:val="00B050"/>
                <w:sz w:val="16"/>
                <w:szCs w:val="16"/>
              </w:rPr>
              <w:t>Fully Achieved</w:t>
            </w:r>
          </w:p>
        </w:tc>
      </w:tr>
      <w:tr w:rsidR="00F15382" w:rsidRPr="0005539E" w:rsidTr="003B10D0">
        <w:trPr>
          <w:cantSplit/>
          <w:trHeight w:val="322"/>
        </w:trPr>
        <w:tc>
          <w:tcPr>
            <w:tcW w:w="1099" w:type="pct"/>
            <w:tcBorders>
              <w:top w:val="nil"/>
              <w:left w:val="single" w:sz="4" w:space="0" w:color="auto"/>
              <w:bottom w:val="nil"/>
            </w:tcBorders>
            <w:shd w:val="clear" w:color="auto" w:fill="auto"/>
          </w:tcPr>
          <w:p w:rsidR="00F15382" w:rsidRDefault="00F15382" w:rsidP="00E3403E">
            <w:pPr>
              <w:rPr>
                <w:rFonts w:cs="Arial"/>
                <w:sz w:val="16"/>
                <w:szCs w:val="16"/>
              </w:rPr>
            </w:pPr>
            <w:r w:rsidRPr="007C742A">
              <w:rPr>
                <w:rFonts w:cs="Arial"/>
                <w:sz w:val="16"/>
                <w:szCs w:val="16"/>
              </w:rPr>
              <w:t>Translation of applications  in a timely manner (Madrid)</w:t>
            </w:r>
          </w:p>
          <w:p w:rsidR="00F15382" w:rsidRPr="004C7D99" w:rsidRDefault="00F15382" w:rsidP="00E3403E">
            <w:pPr>
              <w:rPr>
                <w:rFonts w:cs="Arial"/>
                <w:b/>
                <w:bCs/>
                <w:sz w:val="16"/>
                <w:szCs w:val="16"/>
              </w:rPr>
            </w:pPr>
          </w:p>
        </w:tc>
        <w:tc>
          <w:tcPr>
            <w:tcW w:w="1391" w:type="pct"/>
            <w:tcBorders>
              <w:top w:val="nil"/>
              <w:bottom w:val="nil"/>
            </w:tcBorders>
            <w:shd w:val="clear" w:color="auto" w:fill="auto"/>
          </w:tcPr>
          <w:p w:rsidR="00F15382" w:rsidRPr="004C7D99" w:rsidRDefault="00F15382" w:rsidP="00E3403E">
            <w:pPr>
              <w:rPr>
                <w:rFonts w:cs="Arial"/>
                <w:b/>
                <w:bCs/>
                <w:sz w:val="16"/>
                <w:szCs w:val="16"/>
              </w:rPr>
            </w:pPr>
            <w:r w:rsidRPr="007C742A">
              <w:rPr>
                <w:rFonts w:cs="Arial"/>
                <w:sz w:val="16"/>
                <w:szCs w:val="16"/>
              </w:rPr>
              <w:t>data not available</w:t>
            </w:r>
          </w:p>
        </w:tc>
        <w:tc>
          <w:tcPr>
            <w:tcW w:w="806" w:type="pct"/>
            <w:tcBorders>
              <w:top w:val="nil"/>
              <w:bottom w:val="nil"/>
            </w:tcBorders>
            <w:shd w:val="clear" w:color="auto" w:fill="auto"/>
            <w:tcMar>
              <w:top w:w="110" w:type="dxa"/>
            </w:tcMar>
          </w:tcPr>
          <w:p w:rsidR="00F15382" w:rsidRPr="004C7D99" w:rsidRDefault="00F15382" w:rsidP="00E3403E">
            <w:pPr>
              <w:rPr>
                <w:rFonts w:cs="Arial"/>
                <w:b/>
                <w:sz w:val="16"/>
                <w:szCs w:val="16"/>
              </w:rPr>
            </w:pPr>
            <w:r>
              <w:rPr>
                <w:rFonts w:cs="Arial"/>
                <w:sz w:val="16"/>
                <w:szCs w:val="16"/>
              </w:rPr>
              <w:t>Four weeks</w:t>
            </w:r>
          </w:p>
        </w:tc>
        <w:tc>
          <w:tcPr>
            <w:tcW w:w="1171" w:type="pct"/>
            <w:tcBorders>
              <w:top w:val="nil"/>
              <w:bottom w:val="nil"/>
            </w:tcBorders>
            <w:shd w:val="clear" w:color="auto" w:fill="FFFFFF"/>
            <w:tcMar>
              <w:top w:w="110" w:type="dxa"/>
            </w:tcMar>
          </w:tcPr>
          <w:p w:rsidR="00F15382" w:rsidRPr="002E2794" w:rsidRDefault="00F15382" w:rsidP="00E3403E">
            <w:pPr>
              <w:rPr>
                <w:rFonts w:cs="Arial"/>
                <w:bCs/>
                <w:sz w:val="16"/>
                <w:szCs w:val="16"/>
              </w:rPr>
            </w:pPr>
            <w:r>
              <w:rPr>
                <w:rFonts w:cs="Arial"/>
                <w:bCs/>
                <w:sz w:val="16"/>
                <w:szCs w:val="16"/>
              </w:rPr>
              <w:t>Average processing time is two</w:t>
            </w:r>
            <w:r w:rsidRPr="002E2794">
              <w:rPr>
                <w:rFonts w:cs="Arial"/>
                <w:bCs/>
                <w:sz w:val="16"/>
                <w:szCs w:val="16"/>
              </w:rPr>
              <w:t xml:space="preserve"> weeks</w:t>
            </w:r>
            <w:r>
              <w:rPr>
                <w:rFonts w:cs="Arial"/>
                <w:bCs/>
                <w:sz w:val="16"/>
                <w:szCs w:val="16"/>
              </w:rPr>
              <w:t>.</w:t>
            </w:r>
          </w:p>
        </w:tc>
        <w:tc>
          <w:tcPr>
            <w:tcW w:w="533" w:type="pct"/>
            <w:tcBorders>
              <w:top w:val="nil"/>
              <w:bottom w:val="nil"/>
              <w:right w:val="single" w:sz="4" w:space="0" w:color="auto"/>
            </w:tcBorders>
            <w:shd w:val="clear" w:color="auto" w:fill="auto"/>
          </w:tcPr>
          <w:p w:rsidR="00F15382" w:rsidRPr="00EA4470" w:rsidRDefault="00F15382" w:rsidP="00E3403E">
            <w:pPr>
              <w:jc w:val="center"/>
              <w:rPr>
                <w:rFonts w:cs="Arial"/>
                <w:b/>
                <w:bCs/>
                <w:sz w:val="16"/>
                <w:szCs w:val="16"/>
              </w:rPr>
            </w:pPr>
            <w:r w:rsidRPr="00F76E3A">
              <w:rPr>
                <w:rFonts w:cs="Arial"/>
                <w:b/>
                <w:bCs/>
                <w:color w:val="00B050"/>
                <w:sz w:val="16"/>
                <w:szCs w:val="16"/>
              </w:rPr>
              <w:t xml:space="preserve">Fully </w:t>
            </w:r>
            <w:r>
              <w:rPr>
                <w:rFonts w:cs="Arial"/>
                <w:b/>
                <w:bCs/>
                <w:color w:val="00B050"/>
                <w:sz w:val="16"/>
                <w:szCs w:val="16"/>
              </w:rPr>
              <w:t>A</w:t>
            </w:r>
            <w:r w:rsidRPr="00F76E3A">
              <w:rPr>
                <w:rFonts w:cs="Arial"/>
                <w:b/>
                <w:bCs/>
                <w:color w:val="00B050"/>
                <w:sz w:val="16"/>
                <w:szCs w:val="16"/>
              </w:rPr>
              <w:t>chieved</w:t>
            </w:r>
          </w:p>
        </w:tc>
      </w:tr>
      <w:tr w:rsidR="00F15382" w:rsidRPr="0005539E" w:rsidTr="003B10D0">
        <w:trPr>
          <w:cantSplit/>
        </w:trPr>
        <w:tc>
          <w:tcPr>
            <w:tcW w:w="1099" w:type="pct"/>
            <w:tcBorders>
              <w:top w:val="nil"/>
              <w:left w:val="single" w:sz="4" w:space="0" w:color="auto"/>
              <w:bottom w:val="nil"/>
            </w:tcBorders>
            <w:shd w:val="clear" w:color="auto" w:fill="auto"/>
          </w:tcPr>
          <w:p w:rsidR="00F15382" w:rsidRPr="007C742A" w:rsidRDefault="00F15382" w:rsidP="00E3403E">
            <w:pPr>
              <w:rPr>
                <w:rFonts w:cs="Arial"/>
                <w:sz w:val="16"/>
                <w:szCs w:val="16"/>
              </w:rPr>
            </w:pPr>
            <w:r w:rsidRPr="00350D51">
              <w:rPr>
                <w:rFonts w:cs="Arial"/>
                <w:sz w:val="16"/>
                <w:szCs w:val="16"/>
              </w:rPr>
              <w:t>Decrease in the number of corrections (Madrid)</w:t>
            </w:r>
          </w:p>
        </w:tc>
        <w:tc>
          <w:tcPr>
            <w:tcW w:w="1391" w:type="pct"/>
            <w:tcBorders>
              <w:top w:val="nil"/>
              <w:bottom w:val="nil"/>
            </w:tcBorders>
            <w:shd w:val="clear" w:color="auto" w:fill="auto"/>
          </w:tcPr>
          <w:p w:rsidR="00F15382" w:rsidRPr="003E03CE" w:rsidRDefault="00F15382" w:rsidP="00E3403E">
            <w:pPr>
              <w:rPr>
                <w:rFonts w:cs="Arial"/>
                <w:color w:val="002060"/>
                <w:sz w:val="16"/>
                <w:szCs w:val="16"/>
              </w:rPr>
            </w:pPr>
            <w:r>
              <w:rPr>
                <w:rFonts w:cs="Arial"/>
                <w:i/>
                <w:color w:val="002060"/>
                <w:sz w:val="16"/>
                <w:szCs w:val="16"/>
              </w:rPr>
              <w:t>Updated Baseline end 2013</w:t>
            </w:r>
            <w:r w:rsidRPr="0005539E">
              <w:rPr>
                <w:rFonts w:cs="Arial"/>
                <w:i/>
                <w:color w:val="002060"/>
                <w:sz w:val="16"/>
                <w:szCs w:val="16"/>
              </w:rPr>
              <w:t>:</w:t>
            </w:r>
            <w:r>
              <w:rPr>
                <w:rFonts w:cs="Arial"/>
                <w:color w:val="002060"/>
                <w:sz w:val="16"/>
                <w:szCs w:val="16"/>
              </w:rPr>
              <w:t xml:space="preserve">  </w:t>
            </w:r>
            <w:r w:rsidRPr="003E03CE">
              <w:rPr>
                <w:rFonts w:cs="Arial"/>
                <w:color w:val="002060"/>
                <w:sz w:val="16"/>
                <w:szCs w:val="16"/>
              </w:rPr>
              <w:t>2013: 5,197 corrections received and</w:t>
            </w:r>
          </w:p>
          <w:p w:rsidR="00F15382" w:rsidRPr="00111222" w:rsidRDefault="00F15382" w:rsidP="00E3403E">
            <w:pPr>
              <w:rPr>
                <w:rFonts w:cs="Arial"/>
                <w:i/>
                <w:color w:val="002060"/>
                <w:sz w:val="16"/>
                <w:szCs w:val="16"/>
              </w:rPr>
            </w:pPr>
            <w:r w:rsidRPr="003E03CE">
              <w:rPr>
                <w:rFonts w:cs="Arial"/>
                <w:color w:val="002060"/>
                <w:sz w:val="16"/>
                <w:szCs w:val="16"/>
              </w:rPr>
              <w:t>4,499 processed</w:t>
            </w:r>
          </w:p>
          <w:p w:rsidR="00F15382" w:rsidRPr="0005539E" w:rsidRDefault="00F15382" w:rsidP="00E3403E">
            <w:pPr>
              <w:rPr>
                <w:rFonts w:cs="Arial"/>
                <w:color w:val="002060"/>
                <w:sz w:val="16"/>
                <w:szCs w:val="16"/>
              </w:rPr>
            </w:pPr>
          </w:p>
          <w:p w:rsidR="00F15382" w:rsidRPr="003E03CE" w:rsidRDefault="00F15382" w:rsidP="00E3403E">
            <w:pPr>
              <w:rPr>
                <w:rFonts w:cs="Arial"/>
                <w:sz w:val="16"/>
                <w:szCs w:val="16"/>
              </w:rPr>
            </w:pPr>
            <w:r>
              <w:rPr>
                <w:rFonts w:cs="Arial"/>
                <w:i/>
                <w:sz w:val="16"/>
                <w:szCs w:val="16"/>
              </w:rPr>
              <w:t>Original Baseline P&amp;B 2013/14</w:t>
            </w:r>
            <w:r w:rsidRPr="0005539E">
              <w:rPr>
                <w:rFonts w:cs="Arial"/>
                <w:i/>
                <w:sz w:val="16"/>
                <w:szCs w:val="16"/>
              </w:rPr>
              <w:t>:</w:t>
            </w:r>
            <w:r>
              <w:rPr>
                <w:rFonts w:cs="Arial"/>
                <w:i/>
                <w:sz w:val="16"/>
                <w:szCs w:val="16"/>
              </w:rPr>
              <w:t xml:space="preserve"> </w:t>
            </w:r>
            <w:r w:rsidRPr="003E03CE">
              <w:rPr>
                <w:rFonts w:cs="Arial"/>
                <w:sz w:val="16"/>
                <w:szCs w:val="16"/>
              </w:rPr>
              <w:t>Corrections figures in 2012 ( 5</w:t>
            </w:r>
            <w:r>
              <w:rPr>
                <w:rFonts w:cs="Arial"/>
                <w:sz w:val="16"/>
                <w:szCs w:val="16"/>
              </w:rPr>
              <w:t>,</w:t>
            </w:r>
            <w:r w:rsidRPr="003E03CE">
              <w:rPr>
                <w:rFonts w:cs="Arial"/>
                <w:sz w:val="16"/>
                <w:szCs w:val="16"/>
              </w:rPr>
              <w:t>000 requests)</w:t>
            </w:r>
          </w:p>
          <w:p w:rsidR="00F15382" w:rsidRPr="007C742A" w:rsidRDefault="00F15382" w:rsidP="00E3403E">
            <w:pPr>
              <w:rPr>
                <w:rFonts w:cs="Arial"/>
                <w:sz w:val="16"/>
                <w:szCs w:val="16"/>
              </w:rPr>
            </w:pPr>
          </w:p>
        </w:tc>
        <w:tc>
          <w:tcPr>
            <w:tcW w:w="806" w:type="pct"/>
            <w:tcBorders>
              <w:top w:val="nil"/>
              <w:bottom w:val="nil"/>
            </w:tcBorders>
            <w:shd w:val="clear" w:color="auto" w:fill="auto"/>
            <w:tcMar>
              <w:top w:w="110" w:type="dxa"/>
            </w:tcMar>
          </w:tcPr>
          <w:p w:rsidR="00F15382" w:rsidRDefault="00F15382" w:rsidP="00E3403E">
            <w:pPr>
              <w:rPr>
                <w:rFonts w:cs="Arial"/>
                <w:sz w:val="16"/>
                <w:szCs w:val="16"/>
              </w:rPr>
            </w:pPr>
            <w:r w:rsidRPr="003E03CE">
              <w:rPr>
                <w:rFonts w:cs="Arial"/>
                <w:sz w:val="16"/>
                <w:szCs w:val="16"/>
              </w:rPr>
              <w:t>Decrease corrections by 10%</w:t>
            </w:r>
          </w:p>
        </w:tc>
        <w:tc>
          <w:tcPr>
            <w:tcW w:w="1171" w:type="pct"/>
            <w:tcBorders>
              <w:top w:val="nil"/>
              <w:bottom w:val="nil"/>
            </w:tcBorders>
            <w:shd w:val="clear" w:color="auto" w:fill="FFFFFF"/>
            <w:tcMar>
              <w:top w:w="110" w:type="dxa"/>
            </w:tcMar>
          </w:tcPr>
          <w:p w:rsidR="00F15382" w:rsidRDefault="00F15382" w:rsidP="00E3403E">
            <w:pPr>
              <w:rPr>
                <w:rFonts w:cs="Arial"/>
                <w:sz w:val="16"/>
                <w:szCs w:val="16"/>
                <w:lang w:bidi="th-TH"/>
              </w:rPr>
            </w:pPr>
            <w:r w:rsidRPr="005A72A4">
              <w:rPr>
                <w:rFonts w:cs="Arial"/>
                <w:sz w:val="16"/>
                <w:szCs w:val="16"/>
                <w:lang w:bidi="th-TH"/>
              </w:rPr>
              <w:t>The number of corrections increased</w:t>
            </w:r>
            <w:r>
              <w:rPr>
                <w:rFonts w:cs="Arial"/>
                <w:sz w:val="16"/>
                <w:szCs w:val="16"/>
                <w:lang w:bidi="th-TH"/>
              </w:rPr>
              <w:t xml:space="preserve"> in 2014/15</w:t>
            </w:r>
            <w:r w:rsidRPr="005A72A4">
              <w:rPr>
                <w:rFonts w:cs="Arial"/>
                <w:sz w:val="16"/>
                <w:szCs w:val="16"/>
                <w:lang w:bidi="th-TH"/>
              </w:rPr>
              <w:t xml:space="preserve">. </w:t>
            </w:r>
          </w:p>
          <w:p w:rsidR="00F15382" w:rsidRPr="005A72A4" w:rsidRDefault="00F15382" w:rsidP="00F15382">
            <w:pPr>
              <w:pStyle w:val="ListParagraph"/>
              <w:numPr>
                <w:ilvl w:val="0"/>
                <w:numId w:val="97"/>
              </w:numPr>
              <w:rPr>
                <w:rFonts w:cs="Arial"/>
                <w:sz w:val="16"/>
                <w:szCs w:val="16"/>
                <w:lang w:bidi="th-TH"/>
              </w:rPr>
            </w:pPr>
            <w:r w:rsidRPr="005A72A4">
              <w:rPr>
                <w:rFonts w:cs="Arial"/>
                <w:sz w:val="16"/>
                <w:szCs w:val="16"/>
                <w:lang w:bidi="th-TH"/>
              </w:rPr>
              <w:t xml:space="preserve">2014: 6,073 corrections received and 5,737 processed </w:t>
            </w:r>
            <w:r>
              <w:rPr>
                <w:rFonts w:cs="Arial"/>
                <w:sz w:val="16"/>
                <w:szCs w:val="16"/>
                <w:lang w:bidi="th-TH"/>
              </w:rPr>
              <w:t>(+17% as compared to 2013)</w:t>
            </w:r>
          </w:p>
          <w:p w:rsidR="00F15382" w:rsidRPr="005A72A4" w:rsidRDefault="00F15382" w:rsidP="00F15382">
            <w:pPr>
              <w:pStyle w:val="ListParagraph"/>
              <w:numPr>
                <w:ilvl w:val="0"/>
                <w:numId w:val="97"/>
              </w:numPr>
              <w:rPr>
                <w:rFonts w:cs="Arial"/>
                <w:sz w:val="16"/>
                <w:szCs w:val="16"/>
                <w:lang w:bidi="th-TH"/>
              </w:rPr>
            </w:pPr>
            <w:r w:rsidRPr="005A72A4">
              <w:rPr>
                <w:rFonts w:cs="Arial"/>
                <w:sz w:val="16"/>
                <w:szCs w:val="16"/>
                <w:lang w:bidi="th-TH"/>
              </w:rPr>
              <w:t xml:space="preserve">2015: 6,127 corrections received and 5,294 processed </w:t>
            </w:r>
            <w:r>
              <w:rPr>
                <w:rFonts w:cs="Arial"/>
                <w:sz w:val="16"/>
                <w:szCs w:val="16"/>
                <w:lang w:bidi="th-TH"/>
              </w:rPr>
              <w:t>(+31% as compared to the 2014 target)</w:t>
            </w:r>
            <w:r>
              <w:rPr>
                <w:rStyle w:val="FootnoteReference"/>
                <w:rFonts w:cs="Arial"/>
                <w:sz w:val="16"/>
                <w:szCs w:val="16"/>
                <w:lang w:bidi="th-TH"/>
              </w:rPr>
              <w:footnoteReference w:id="29"/>
            </w:r>
          </w:p>
          <w:p w:rsidR="00F15382" w:rsidRPr="005A72A4" w:rsidRDefault="00F15382" w:rsidP="00E3403E">
            <w:pPr>
              <w:rPr>
                <w:rFonts w:cs="Arial"/>
                <w:sz w:val="16"/>
                <w:szCs w:val="16"/>
                <w:lang w:bidi="th-TH"/>
              </w:rPr>
            </w:pPr>
          </w:p>
        </w:tc>
        <w:tc>
          <w:tcPr>
            <w:tcW w:w="533" w:type="pct"/>
            <w:tcBorders>
              <w:top w:val="nil"/>
              <w:bottom w:val="nil"/>
              <w:right w:val="single" w:sz="4" w:space="0" w:color="auto"/>
            </w:tcBorders>
            <w:shd w:val="clear" w:color="auto" w:fill="auto"/>
          </w:tcPr>
          <w:p w:rsidR="00F15382" w:rsidRPr="00BA6F3B" w:rsidRDefault="00F15382" w:rsidP="00E3403E">
            <w:pPr>
              <w:jc w:val="center"/>
              <w:rPr>
                <w:rStyle w:val="Style5"/>
                <w:rFonts w:ascii="Arial" w:hAnsi="Arial" w:cs="Arial"/>
              </w:rPr>
            </w:pPr>
            <w:r w:rsidRPr="00BA6F3B">
              <w:rPr>
                <w:rStyle w:val="Style5"/>
                <w:rFonts w:ascii="Arial" w:hAnsi="Arial" w:cs="Arial"/>
                <w:b/>
                <w:color w:val="FF0000"/>
                <w:sz w:val="16"/>
                <w:szCs w:val="16"/>
              </w:rPr>
              <w:t>Not Achieved</w:t>
            </w:r>
          </w:p>
        </w:tc>
      </w:tr>
      <w:tr w:rsidR="00F15382" w:rsidRPr="0005539E" w:rsidTr="003B10D0">
        <w:trPr>
          <w:cantSplit/>
        </w:trPr>
        <w:tc>
          <w:tcPr>
            <w:tcW w:w="1099" w:type="pct"/>
            <w:tcBorders>
              <w:top w:val="nil"/>
              <w:left w:val="single" w:sz="4" w:space="0" w:color="auto"/>
              <w:bottom w:val="single" w:sz="4" w:space="0" w:color="auto"/>
            </w:tcBorders>
            <w:shd w:val="clear" w:color="auto" w:fill="auto"/>
          </w:tcPr>
          <w:p w:rsidR="00F15382" w:rsidRPr="00350D51" w:rsidRDefault="00F15382" w:rsidP="00E3403E">
            <w:pPr>
              <w:rPr>
                <w:rFonts w:cs="Arial"/>
                <w:sz w:val="16"/>
                <w:szCs w:val="16"/>
              </w:rPr>
            </w:pPr>
            <w:r w:rsidRPr="003E03CE">
              <w:rPr>
                <w:rFonts w:cs="Arial"/>
                <w:sz w:val="16"/>
                <w:szCs w:val="16"/>
              </w:rPr>
              <w:t>Improved client satisfaction (Madrid)</w:t>
            </w:r>
          </w:p>
        </w:tc>
        <w:tc>
          <w:tcPr>
            <w:tcW w:w="1391" w:type="pct"/>
            <w:tcBorders>
              <w:top w:val="nil"/>
              <w:bottom w:val="single" w:sz="4" w:space="0" w:color="auto"/>
            </w:tcBorders>
            <w:shd w:val="clear" w:color="auto" w:fill="auto"/>
          </w:tcPr>
          <w:p w:rsidR="00F15382" w:rsidRDefault="00F15382" w:rsidP="00E3403E">
            <w:pPr>
              <w:rPr>
                <w:rFonts w:cs="Arial"/>
                <w:color w:val="002060"/>
                <w:sz w:val="16"/>
                <w:szCs w:val="16"/>
              </w:rPr>
            </w:pPr>
            <w:r>
              <w:rPr>
                <w:rFonts w:cs="Arial"/>
                <w:i/>
                <w:color w:val="002060"/>
                <w:sz w:val="16"/>
                <w:szCs w:val="16"/>
              </w:rPr>
              <w:t>Updated Baseline end 2013</w:t>
            </w:r>
            <w:r w:rsidRPr="0005539E">
              <w:rPr>
                <w:rFonts w:cs="Arial"/>
                <w:i/>
                <w:color w:val="002060"/>
                <w:sz w:val="16"/>
                <w:szCs w:val="16"/>
              </w:rPr>
              <w:t>:</w:t>
            </w:r>
            <w:r>
              <w:rPr>
                <w:rFonts w:cs="Arial"/>
                <w:color w:val="002060"/>
                <w:sz w:val="16"/>
                <w:szCs w:val="16"/>
              </w:rPr>
              <w:t xml:space="preserve">  </w:t>
            </w:r>
          </w:p>
          <w:p w:rsidR="00F15382" w:rsidRDefault="00F15382" w:rsidP="00E3403E">
            <w:pPr>
              <w:rPr>
                <w:rFonts w:cs="Arial"/>
                <w:color w:val="002060"/>
                <w:sz w:val="16"/>
                <w:szCs w:val="16"/>
              </w:rPr>
            </w:pPr>
            <w:r w:rsidRPr="003E03CE">
              <w:rPr>
                <w:rFonts w:cs="Arial"/>
                <w:color w:val="002060"/>
                <w:sz w:val="16"/>
                <w:szCs w:val="16"/>
              </w:rPr>
              <w:t xml:space="preserve">Service </w:t>
            </w:r>
            <w:r>
              <w:rPr>
                <w:rFonts w:cs="Arial"/>
                <w:color w:val="002060"/>
                <w:sz w:val="16"/>
                <w:szCs w:val="16"/>
              </w:rPr>
              <w:t>O</w:t>
            </w:r>
            <w:r w:rsidRPr="003E03CE">
              <w:rPr>
                <w:rFonts w:cs="Arial"/>
                <w:color w:val="002060"/>
                <w:sz w:val="16"/>
                <w:szCs w:val="16"/>
              </w:rPr>
              <w:t>rientation Index 38</w:t>
            </w:r>
          </w:p>
          <w:p w:rsidR="00F15382" w:rsidRPr="0005539E" w:rsidRDefault="00F15382" w:rsidP="00E3403E">
            <w:pPr>
              <w:rPr>
                <w:rFonts w:cs="Arial"/>
                <w:color w:val="002060"/>
                <w:sz w:val="16"/>
                <w:szCs w:val="16"/>
              </w:rPr>
            </w:pPr>
          </w:p>
          <w:p w:rsidR="00F15382" w:rsidRPr="003E03CE" w:rsidRDefault="00F15382" w:rsidP="00E3403E">
            <w:pPr>
              <w:rPr>
                <w:rFonts w:cs="Arial"/>
                <w:sz w:val="16"/>
                <w:szCs w:val="16"/>
              </w:rPr>
            </w:pPr>
            <w:r>
              <w:rPr>
                <w:rFonts w:cs="Arial"/>
                <w:i/>
                <w:sz w:val="16"/>
                <w:szCs w:val="16"/>
              </w:rPr>
              <w:t>Original Baseline P&amp;B 2013/14</w:t>
            </w:r>
            <w:r w:rsidRPr="0005539E">
              <w:rPr>
                <w:rFonts w:cs="Arial"/>
                <w:i/>
                <w:sz w:val="16"/>
                <w:szCs w:val="16"/>
              </w:rPr>
              <w:t>:</w:t>
            </w:r>
            <w:r>
              <w:rPr>
                <w:rFonts w:cs="Arial"/>
                <w:i/>
                <w:sz w:val="16"/>
                <w:szCs w:val="16"/>
              </w:rPr>
              <w:t xml:space="preserve"> </w:t>
            </w:r>
            <w:r w:rsidRPr="003E03CE">
              <w:rPr>
                <w:rFonts w:cs="Arial"/>
                <w:sz w:val="16"/>
                <w:szCs w:val="16"/>
              </w:rPr>
              <w:t>Customer Service Orientation Survey 2012. Service Orientation Index 79</w:t>
            </w:r>
            <w:r>
              <w:rPr>
                <w:rStyle w:val="FootnoteReference"/>
                <w:rFonts w:cs="Arial"/>
                <w:sz w:val="16"/>
                <w:szCs w:val="16"/>
              </w:rPr>
              <w:footnoteReference w:id="30"/>
            </w:r>
            <w:r w:rsidRPr="003E03CE">
              <w:rPr>
                <w:rFonts w:cs="Arial"/>
                <w:sz w:val="16"/>
                <w:szCs w:val="16"/>
              </w:rPr>
              <w:t>.</w:t>
            </w:r>
          </w:p>
          <w:p w:rsidR="00F15382" w:rsidRDefault="00F15382" w:rsidP="00E3403E">
            <w:pPr>
              <w:rPr>
                <w:rFonts w:cs="Arial"/>
                <w:i/>
                <w:color w:val="002060"/>
                <w:sz w:val="16"/>
                <w:szCs w:val="16"/>
              </w:rPr>
            </w:pPr>
          </w:p>
        </w:tc>
        <w:tc>
          <w:tcPr>
            <w:tcW w:w="806" w:type="pct"/>
            <w:tcBorders>
              <w:top w:val="nil"/>
              <w:bottom w:val="single" w:sz="4" w:space="0" w:color="auto"/>
            </w:tcBorders>
            <w:shd w:val="clear" w:color="auto" w:fill="auto"/>
            <w:tcMar>
              <w:top w:w="110" w:type="dxa"/>
            </w:tcMar>
          </w:tcPr>
          <w:p w:rsidR="00F15382" w:rsidRPr="003E03CE" w:rsidRDefault="00F15382" w:rsidP="00E3403E">
            <w:pPr>
              <w:rPr>
                <w:rFonts w:cs="Arial"/>
                <w:sz w:val="16"/>
                <w:szCs w:val="16"/>
              </w:rPr>
            </w:pPr>
            <w:r w:rsidRPr="003E03CE">
              <w:rPr>
                <w:rFonts w:cs="Arial"/>
                <w:sz w:val="16"/>
                <w:szCs w:val="16"/>
              </w:rPr>
              <w:t>Higher satisfaction rate in the next Survey, focusing on responsiveness and timeliness</w:t>
            </w:r>
          </w:p>
        </w:tc>
        <w:tc>
          <w:tcPr>
            <w:tcW w:w="1171" w:type="pct"/>
            <w:tcBorders>
              <w:top w:val="nil"/>
              <w:bottom w:val="single" w:sz="4" w:space="0" w:color="auto"/>
            </w:tcBorders>
            <w:shd w:val="clear" w:color="auto" w:fill="FFFFFF"/>
            <w:tcMar>
              <w:top w:w="110" w:type="dxa"/>
            </w:tcMar>
          </w:tcPr>
          <w:p w:rsidR="00F15382" w:rsidRDefault="00F15382" w:rsidP="00E3403E">
            <w:pPr>
              <w:rPr>
                <w:rFonts w:cs="Arial"/>
                <w:sz w:val="16"/>
                <w:szCs w:val="16"/>
                <w:lang w:bidi="th-TH"/>
              </w:rPr>
            </w:pPr>
            <w:r>
              <w:rPr>
                <w:rFonts w:cs="Arial"/>
                <w:sz w:val="16"/>
                <w:szCs w:val="16"/>
                <w:lang w:bidi="th-TH"/>
              </w:rPr>
              <w:t>2014: Service Orientation Index 39</w:t>
            </w:r>
          </w:p>
          <w:p w:rsidR="00F15382" w:rsidRDefault="00F15382" w:rsidP="00E3403E">
            <w:pPr>
              <w:rPr>
                <w:rFonts w:cs="Arial"/>
                <w:sz w:val="16"/>
                <w:szCs w:val="16"/>
                <w:lang w:bidi="th-TH"/>
              </w:rPr>
            </w:pPr>
          </w:p>
          <w:p w:rsidR="00F15382" w:rsidRPr="003E03CE" w:rsidRDefault="00F15382" w:rsidP="00E3403E">
            <w:pPr>
              <w:rPr>
                <w:rFonts w:cs="Arial"/>
                <w:sz w:val="16"/>
                <w:szCs w:val="16"/>
                <w:lang w:bidi="th-TH"/>
              </w:rPr>
            </w:pPr>
            <w:r>
              <w:rPr>
                <w:rFonts w:cs="Arial"/>
                <w:sz w:val="16"/>
                <w:szCs w:val="16"/>
                <w:lang w:bidi="th-TH"/>
              </w:rPr>
              <w:t>2015: No Survey was held covering this year</w:t>
            </w:r>
          </w:p>
        </w:tc>
        <w:tc>
          <w:tcPr>
            <w:tcW w:w="533" w:type="pct"/>
            <w:tcBorders>
              <w:top w:val="nil"/>
              <w:bottom w:val="single" w:sz="4" w:space="0" w:color="auto"/>
              <w:right w:val="single" w:sz="4" w:space="0" w:color="auto"/>
            </w:tcBorders>
            <w:shd w:val="clear" w:color="auto" w:fill="auto"/>
          </w:tcPr>
          <w:p w:rsidR="00F15382" w:rsidRDefault="00F15382" w:rsidP="00E3403E">
            <w:pPr>
              <w:jc w:val="center"/>
              <w:rPr>
                <w:rFonts w:cs="Arial"/>
                <w:b/>
                <w:bCs/>
                <w:color w:val="00B050"/>
                <w:sz w:val="16"/>
                <w:szCs w:val="16"/>
              </w:rPr>
            </w:pPr>
            <w:r>
              <w:rPr>
                <w:rFonts w:cs="Arial"/>
                <w:b/>
                <w:bCs/>
                <w:color w:val="00B050"/>
                <w:sz w:val="16"/>
                <w:szCs w:val="16"/>
              </w:rPr>
              <w:t>Fully A</w:t>
            </w:r>
            <w:r w:rsidRPr="00F76E3A">
              <w:rPr>
                <w:rFonts w:cs="Arial"/>
                <w:b/>
                <w:bCs/>
                <w:color w:val="00B050"/>
                <w:sz w:val="16"/>
                <w:szCs w:val="16"/>
              </w:rPr>
              <w:t>chieved</w:t>
            </w:r>
          </w:p>
          <w:p w:rsidR="00F15382" w:rsidRDefault="00F15382" w:rsidP="00E3403E">
            <w:pPr>
              <w:jc w:val="center"/>
              <w:rPr>
                <w:rFonts w:cs="Arial"/>
                <w:b/>
                <w:bCs/>
                <w:color w:val="00B050"/>
                <w:sz w:val="16"/>
                <w:szCs w:val="16"/>
              </w:rPr>
            </w:pPr>
          </w:p>
          <w:p w:rsidR="00F15382" w:rsidRPr="005A72A4" w:rsidRDefault="00F15382" w:rsidP="00E3403E">
            <w:pPr>
              <w:jc w:val="center"/>
              <w:rPr>
                <w:rStyle w:val="Style5"/>
                <w:sz w:val="14"/>
                <w:szCs w:val="14"/>
              </w:rPr>
            </w:pPr>
            <w:r w:rsidRPr="005A72A4">
              <w:rPr>
                <w:rFonts w:cs="Arial"/>
                <w:b/>
                <w:bCs/>
                <w:color w:val="808080" w:themeColor="background1" w:themeShade="80"/>
                <w:sz w:val="14"/>
                <w:szCs w:val="14"/>
              </w:rPr>
              <w:t>Not Assessable</w:t>
            </w:r>
          </w:p>
        </w:tc>
      </w:tr>
      <w:tr w:rsidR="00F15382" w:rsidRPr="0005539E" w:rsidTr="003B10D0">
        <w:trPr>
          <w:cantSplit/>
        </w:trPr>
        <w:tc>
          <w:tcPr>
            <w:tcW w:w="1099" w:type="pct"/>
            <w:tcBorders>
              <w:top w:val="single" w:sz="4" w:space="0" w:color="auto"/>
              <w:left w:val="single" w:sz="4" w:space="0" w:color="auto"/>
              <w:bottom w:val="nil"/>
              <w:right w:val="nil"/>
            </w:tcBorders>
            <w:shd w:val="clear" w:color="auto" w:fill="auto"/>
          </w:tcPr>
          <w:p w:rsidR="00F15382" w:rsidRPr="0005539E" w:rsidRDefault="00F15382" w:rsidP="00E3403E">
            <w:pPr>
              <w:rPr>
                <w:rFonts w:cs="Arial"/>
                <w:sz w:val="16"/>
                <w:szCs w:val="16"/>
              </w:rPr>
            </w:pPr>
            <w:r w:rsidRPr="00111222">
              <w:rPr>
                <w:rFonts w:cs="Arial"/>
                <w:sz w:val="16"/>
                <w:szCs w:val="16"/>
              </w:rPr>
              <w:lastRenderedPageBreak/>
              <w:t>Increased use of electronic exchange (Madrid)</w:t>
            </w:r>
          </w:p>
        </w:tc>
        <w:tc>
          <w:tcPr>
            <w:tcW w:w="1391" w:type="pct"/>
            <w:tcBorders>
              <w:top w:val="single" w:sz="4" w:space="0" w:color="auto"/>
              <w:left w:val="nil"/>
              <w:bottom w:val="nil"/>
              <w:right w:val="nil"/>
            </w:tcBorders>
            <w:shd w:val="clear" w:color="auto" w:fill="auto"/>
          </w:tcPr>
          <w:p w:rsidR="00F15382" w:rsidRDefault="00F15382" w:rsidP="00E3403E">
            <w:pPr>
              <w:rPr>
                <w:rFonts w:cs="Arial"/>
                <w:color w:val="002060"/>
                <w:sz w:val="16"/>
                <w:szCs w:val="16"/>
              </w:rPr>
            </w:pPr>
            <w:r>
              <w:rPr>
                <w:rFonts w:cs="Arial"/>
                <w:i/>
                <w:color w:val="002060"/>
                <w:sz w:val="16"/>
                <w:szCs w:val="16"/>
              </w:rPr>
              <w:t>Updated Baseline end 2013</w:t>
            </w:r>
            <w:r w:rsidRPr="0005539E">
              <w:rPr>
                <w:rFonts w:cs="Arial"/>
                <w:i/>
                <w:color w:val="002060"/>
                <w:sz w:val="16"/>
                <w:szCs w:val="16"/>
              </w:rPr>
              <w:t>:</w:t>
            </w:r>
            <w:r>
              <w:rPr>
                <w:rFonts w:cs="Arial"/>
                <w:color w:val="002060"/>
                <w:sz w:val="16"/>
                <w:szCs w:val="16"/>
              </w:rPr>
              <w:t xml:space="preserve"> </w:t>
            </w:r>
          </w:p>
          <w:p w:rsidR="00F15382" w:rsidRPr="00DD5354" w:rsidRDefault="00F15382" w:rsidP="00E3403E">
            <w:pPr>
              <w:rPr>
                <w:rFonts w:cs="Arial"/>
                <w:color w:val="002060"/>
                <w:sz w:val="16"/>
                <w:szCs w:val="16"/>
              </w:rPr>
            </w:pPr>
            <w:r>
              <w:rPr>
                <w:rFonts w:cs="Arial"/>
                <w:color w:val="002060"/>
                <w:sz w:val="16"/>
                <w:szCs w:val="16"/>
              </w:rPr>
              <w:t>67</w:t>
            </w:r>
            <w:r w:rsidRPr="00DD5354">
              <w:rPr>
                <w:rFonts w:cs="Arial"/>
                <w:color w:val="002060"/>
                <w:sz w:val="16"/>
                <w:szCs w:val="16"/>
              </w:rPr>
              <w:t>% of documents received electronically</w:t>
            </w:r>
          </w:p>
          <w:p w:rsidR="00F15382" w:rsidRPr="00DD5354" w:rsidRDefault="00F15382" w:rsidP="00E3403E">
            <w:pPr>
              <w:rPr>
                <w:rFonts w:cs="Arial"/>
                <w:color w:val="002060"/>
                <w:sz w:val="16"/>
                <w:szCs w:val="16"/>
              </w:rPr>
            </w:pPr>
          </w:p>
          <w:p w:rsidR="00F15382" w:rsidRPr="00DD5354" w:rsidRDefault="00F15382" w:rsidP="00E3403E">
            <w:pPr>
              <w:rPr>
                <w:rFonts w:cs="Arial"/>
                <w:color w:val="002060"/>
                <w:sz w:val="16"/>
                <w:szCs w:val="16"/>
              </w:rPr>
            </w:pPr>
            <w:r>
              <w:rPr>
                <w:rFonts w:cs="Arial"/>
                <w:color w:val="002060"/>
                <w:sz w:val="16"/>
                <w:szCs w:val="16"/>
              </w:rPr>
              <w:t>158,717</w:t>
            </w:r>
            <w:r w:rsidRPr="00DD5354">
              <w:rPr>
                <w:rFonts w:cs="Arial"/>
                <w:color w:val="002060"/>
                <w:sz w:val="16"/>
                <w:szCs w:val="16"/>
              </w:rPr>
              <w:t xml:space="preserve"> email notifications</w:t>
            </w:r>
          </w:p>
          <w:p w:rsidR="00F15382" w:rsidRPr="00DD5354" w:rsidRDefault="00F15382" w:rsidP="00E3403E">
            <w:pPr>
              <w:rPr>
                <w:rFonts w:cs="Arial"/>
                <w:color w:val="002060"/>
                <w:sz w:val="16"/>
                <w:szCs w:val="16"/>
              </w:rPr>
            </w:pPr>
          </w:p>
          <w:p w:rsidR="00F15382" w:rsidRPr="00DD5354" w:rsidRDefault="00F15382" w:rsidP="00E3403E">
            <w:pPr>
              <w:rPr>
                <w:rFonts w:cs="Arial"/>
                <w:color w:val="002060"/>
                <w:sz w:val="16"/>
                <w:szCs w:val="16"/>
              </w:rPr>
            </w:pPr>
            <w:r>
              <w:rPr>
                <w:rFonts w:cs="Arial"/>
                <w:color w:val="002060"/>
                <w:sz w:val="16"/>
                <w:szCs w:val="16"/>
              </w:rPr>
              <w:t xml:space="preserve">714 </w:t>
            </w:r>
            <w:r w:rsidRPr="00DD5354">
              <w:rPr>
                <w:rFonts w:cs="Arial"/>
                <w:color w:val="002060"/>
                <w:sz w:val="16"/>
                <w:szCs w:val="16"/>
              </w:rPr>
              <w:t xml:space="preserve"> MPM Clients</w:t>
            </w:r>
          </w:p>
          <w:p w:rsidR="00F15382" w:rsidRPr="00DD5354" w:rsidRDefault="00F15382" w:rsidP="00E3403E">
            <w:pPr>
              <w:rPr>
                <w:rFonts w:cs="Arial"/>
                <w:color w:val="002060"/>
                <w:sz w:val="16"/>
                <w:szCs w:val="16"/>
              </w:rPr>
            </w:pPr>
          </w:p>
          <w:p w:rsidR="00F15382" w:rsidRPr="00111222" w:rsidRDefault="00F15382" w:rsidP="00E3403E">
            <w:pPr>
              <w:rPr>
                <w:rFonts w:cs="Arial"/>
                <w:i/>
                <w:color w:val="002060"/>
                <w:sz w:val="16"/>
                <w:szCs w:val="16"/>
              </w:rPr>
            </w:pPr>
            <w:r>
              <w:rPr>
                <w:rFonts w:cs="Arial"/>
                <w:color w:val="002060"/>
                <w:sz w:val="16"/>
                <w:szCs w:val="16"/>
              </w:rPr>
              <w:t>16</w:t>
            </w:r>
            <w:r w:rsidRPr="00DD5354">
              <w:rPr>
                <w:rFonts w:cs="Arial"/>
                <w:color w:val="002060"/>
                <w:sz w:val="16"/>
                <w:szCs w:val="16"/>
              </w:rPr>
              <w:t xml:space="preserve"> Offices sending XML</w:t>
            </w:r>
            <w:r>
              <w:rPr>
                <w:rFonts w:cs="Arial"/>
                <w:color w:val="002060"/>
                <w:sz w:val="16"/>
                <w:szCs w:val="16"/>
              </w:rPr>
              <w:t xml:space="preserve"> </w:t>
            </w:r>
          </w:p>
          <w:p w:rsidR="00F15382" w:rsidRPr="0005539E" w:rsidRDefault="00F15382" w:rsidP="00E3403E">
            <w:pPr>
              <w:rPr>
                <w:rFonts w:cs="Arial"/>
                <w:color w:val="002060"/>
                <w:sz w:val="16"/>
                <w:szCs w:val="16"/>
              </w:rPr>
            </w:pPr>
          </w:p>
          <w:p w:rsidR="00F15382" w:rsidRPr="0005539E" w:rsidRDefault="00F15382" w:rsidP="00E3403E">
            <w:pPr>
              <w:rPr>
                <w:rFonts w:cs="Arial"/>
                <w:sz w:val="16"/>
                <w:szCs w:val="16"/>
              </w:rPr>
            </w:pPr>
            <w:r>
              <w:rPr>
                <w:rFonts w:cs="Arial"/>
                <w:i/>
                <w:sz w:val="16"/>
                <w:szCs w:val="16"/>
              </w:rPr>
              <w:t>Original Baseline P&amp;B 2013/14</w:t>
            </w:r>
            <w:r w:rsidRPr="0005539E">
              <w:rPr>
                <w:rFonts w:cs="Arial"/>
                <w:i/>
                <w:sz w:val="16"/>
                <w:szCs w:val="16"/>
              </w:rPr>
              <w:t>:</w:t>
            </w:r>
          </w:p>
          <w:p w:rsidR="00F15382" w:rsidRPr="0005539E" w:rsidRDefault="00F15382" w:rsidP="00E3403E">
            <w:pPr>
              <w:rPr>
                <w:rFonts w:cs="Arial"/>
                <w:sz w:val="16"/>
                <w:szCs w:val="16"/>
              </w:rPr>
            </w:pPr>
            <w:r w:rsidRPr="007C742A">
              <w:rPr>
                <w:rFonts w:cs="Arial"/>
                <w:sz w:val="16"/>
                <w:szCs w:val="16"/>
              </w:rPr>
              <w:t xml:space="preserve">60% of documents received electronically; 85,000 marks notified by email; 200 clients using the MPM; 17 </w:t>
            </w:r>
            <w:r>
              <w:rPr>
                <w:rFonts w:cs="Arial"/>
                <w:sz w:val="16"/>
                <w:szCs w:val="16"/>
              </w:rPr>
              <w:t>O</w:t>
            </w:r>
            <w:r w:rsidRPr="007C742A">
              <w:rPr>
                <w:rFonts w:cs="Arial"/>
                <w:sz w:val="16"/>
                <w:szCs w:val="16"/>
              </w:rPr>
              <w:t>ffices sending applications in XML</w:t>
            </w:r>
          </w:p>
        </w:tc>
        <w:tc>
          <w:tcPr>
            <w:tcW w:w="806" w:type="pct"/>
            <w:tcBorders>
              <w:top w:val="single" w:sz="4" w:space="0" w:color="auto"/>
              <w:left w:val="nil"/>
              <w:bottom w:val="nil"/>
              <w:right w:val="nil"/>
            </w:tcBorders>
            <w:shd w:val="clear" w:color="auto" w:fill="auto"/>
            <w:tcMar>
              <w:top w:w="110" w:type="dxa"/>
            </w:tcMar>
          </w:tcPr>
          <w:p w:rsidR="00F15382" w:rsidRPr="0005539E" w:rsidRDefault="00F15382" w:rsidP="00E3403E">
            <w:pPr>
              <w:rPr>
                <w:rFonts w:cs="Arial"/>
                <w:sz w:val="16"/>
                <w:szCs w:val="16"/>
              </w:rPr>
            </w:pPr>
            <w:r w:rsidRPr="007C742A">
              <w:rPr>
                <w:rFonts w:cs="Arial"/>
                <w:sz w:val="16"/>
                <w:szCs w:val="16"/>
                <w:lang w:bidi="th-TH"/>
              </w:rPr>
              <w:t>70% of documents received electronically; 110,000 marks notified by email; 1</w:t>
            </w:r>
            <w:r>
              <w:rPr>
                <w:rFonts w:cs="Arial"/>
                <w:sz w:val="16"/>
                <w:szCs w:val="16"/>
                <w:lang w:bidi="th-TH"/>
              </w:rPr>
              <w:t>,</w:t>
            </w:r>
            <w:r w:rsidRPr="007C742A">
              <w:rPr>
                <w:rFonts w:cs="Arial"/>
                <w:sz w:val="16"/>
                <w:szCs w:val="16"/>
                <w:lang w:bidi="th-TH"/>
              </w:rPr>
              <w:t xml:space="preserve">000 clients using the MPM; 23 </w:t>
            </w:r>
            <w:r>
              <w:rPr>
                <w:rFonts w:cs="Arial"/>
                <w:sz w:val="16"/>
                <w:szCs w:val="16"/>
                <w:lang w:bidi="th-TH"/>
              </w:rPr>
              <w:t>O</w:t>
            </w:r>
            <w:r w:rsidRPr="007C742A">
              <w:rPr>
                <w:rFonts w:cs="Arial"/>
                <w:sz w:val="16"/>
                <w:szCs w:val="16"/>
                <w:lang w:bidi="th-TH"/>
              </w:rPr>
              <w:t>ffices sending applications in XML</w:t>
            </w:r>
          </w:p>
        </w:tc>
        <w:tc>
          <w:tcPr>
            <w:tcW w:w="1171" w:type="pct"/>
            <w:tcBorders>
              <w:top w:val="single" w:sz="4" w:space="0" w:color="auto"/>
              <w:left w:val="nil"/>
              <w:bottom w:val="nil"/>
              <w:right w:val="nil"/>
            </w:tcBorders>
            <w:shd w:val="clear" w:color="auto" w:fill="FFFFFF"/>
            <w:tcMar>
              <w:top w:w="110" w:type="dxa"/>
            </w:tcMar>
          </w:tcPr>
          <w:p w:rsidR="00F15382" w:rsidRPr="00FC1E06" w:rsidRDefault="00F15382" w:rsidP="00E3403E">
            <w:pPr>
              <w:rPr>
                <w:rFonts w:cs="Arial"/>
                <w:color w:val="000000" w:themeColor="text1"/>
                <w:sz w:val="16"/>
                <w:szCs w:val="16"/>
                <w:lang w:bidi="th-TH"/>
              </w:rPr>
            </w:pPr>
            <w:r w:rsidRPr="00FC1E06">
              <w:rPr>
                <w:rFonts w:cs="Arial"/>
                <w:color w:val="000000" w:themeColor="text1"/>
                <w:sz w:val="16"/>
                <w:szCs w:val="16"/>
                <w:lang w:bidi="th-TH"/>
              </w:rPr>
              <w:t>79% of documents received electronically in 2015. (7</w:t>
            </w:r>
            <w:r>
              <w:rPr>
                <w:rFonts w:cs="Arial"/>
                <w:color w:val="000000" w:themeColor="text1"/>
                <w:sz w:val="16"/>
                <w:szCs w:val="16"/>
                <w:lang w:bidi="th-TH"/>
              </w:rPr>
              <w:t>0</w:t>
            </w:r>
            <w:r w:rsidRPr="00FC1E06">
              <w:rPr>
                <w:rFonts w:cs="Arial"/>
                <w:color w:val="000000" w:themeColor="text1"/>
                <w:sz w:val="16"/>
                <w:szCs w:val="16"/>
                <w:lang w:bidi="th-TH"/>
              </w:rPr>
              <w:t>% in 2014)</w:t>
            </w:r>
          </w:p>
          <w:p w:rsidR="00F15382" w:rsidRPr="00FC1E06" w:rsidRDefault="00F15382" w:rsidP="00E3403E">
            <w:pPr>
              <w:rPr>
                <w:rFonts w:cs="Arial"/>
                <w:color w:val="000000" w:themeColor="text1"/>
                <w:sz w:val="16"/>
                <w:szCs w:val="16"/>
                <w:lang w:bidi="th-TH"/>
              </w:rPr>
            </w:pPr>
          </w:p>
          <w:p w:rsidR="00F15382" w:rsidRPr="00FC1E06" w:rsidRDefault="00F15382" w:rsidP="00E3403E">
            <w:pPr>
              <w:rPr>
                <w:rFonts w:cs="Arial"/>
                <w:color w:val="000000" w:themeColor="text1"/>
                <w:sz w:val="16"/>
                <w:szCs w:val="16"/>
                <w:lang w:bidi="th-TH"/>
              </w:rPr>
            </w:pPr>
            <w:r w:rsidRPr="008261D6">
              <w:rPr>
                <w:rFonts w:cs="Arial"/>
                <w:color w:val="000000" w:themeColor="text1"/>
                <w:sz w:val="16"/>
                <w:szCs w:val="16"/>
                <w:lang w:bidi="th-TH"/>
              </w:rPr>
              <w:t xml:space="preserve">Emails (RSD) </w:t>
            </w:r>
            <w:r>
              <w:rPr>
                <w:rFonts w:cs="Arial"/>
                <w:color w:val="000000" w:themeColor="text1"/>
                <w:sz w:val="16"/>
                <w:szCs w:val="16"/>
                <w:lang w:bidi="th-TH"/>
              </w:rPr>
              <w:t xml:space="preserve"> 325,000 email notifications in 2015 (220,000 in 2014)</w:t>
            </w:r>
          </w:p>
          <w:p w:rsidR="00F15382" w:rsidRPr="00FC1E06" w:rsidRDefault="00F15382" w:rsidP="00E3403E">
            <w:pPr>
              <w:rPr>
                <w:rFonts w:cs="Arial"/>
                <w:color w:val="000000" w:themeColor="text1"/>
                <w:sz w:val="16"/>
                <w:szCs w:val="16"/>
                <w:lang w:bidi="th-TH"/>
              </w:rPr>
            </w:pPr>
          </w:p>
          <w:p w:rsidR="00F15382" w:rsidRPr="00FC1E06" w:rsidRDefault="00F15382" w:rsidP="00E3403E">
            <w:pPr>
              <w:rPr>
                <w:rFonts w:cs="Arial"/>
                <w:color w:val="000000" w:themeColor="text1"/>
                <w:sz w:val="16"/>
                <w:szCs w:val="16"/>
                <w:lang w:bidi="th-TH"/>
              </w:rPr>
            </w:pPr>
            <w:r w:rsidRPr="00FC1E06">
              <w:rPr>
                <w:rFonts w:cs="Arial"/>
                <w:color w:val="000000" w:themeColor="text1"/>
                <w:sz w:val="16"/>
                <w:szCs w:val="16"/>
                <w:lang w:bidi="th-TH"/>
              </w:rPr>
              <w:t>2</w:t>
            </w:r>
            <w:r>
              <w:rPr>
                <w:rFonts w:cs="Arial"/>
                <w:color w:val="000000" w:themeColor="text1"/>
                <w:sz w:val="16"/>
                <w:szCs w:val="16"/>
                <w:lang w:bidi="th-TH"/>
              </w:rPr>
              <w:t>,</w:t>
            </w:r>
            <w:r w:rsidRPr="00FC1E06">
              <w:rPr>
                <w:rFonts w:cs="Arial"/>
                <w:color w:val="000000" w:themeColor="text1"/>
                <w:sz w:val="16"/>
                <w:szCs w:val="16"/>
                <w:lang w:bidi="th-TH"/>
              </w:rPr>
              <w:t>752 clients using the MPM in 2015</w:t>
            </w:r>
            <w:r>
              <w:rPr>
                <w:rFonts w:cs="Arial"/>
                <w:color w:val="000000" w:themeColor="text1"/>
                <w:sz w:val="16"/>
                <w:szCs w:val="16"/>
                <w:lang w:bidi="th-TH"/>
              </w:rPr>
              <w:t xml:space="preserve"> (1,800 in 2014)</w:t>
            </w:r>
          </w:p>
          <w:p w:rsidR="00F15382" w:rsidRPr="00FC1E06" w:rsidRDefault="00F15382" w:rsidP="00E3403E">
            <w:pPr>
              <w:rPr>
                <w:rFonts w:cs="Arial"/>
                <w:color w:val="000000" w:themeColor="text1"/>
                <w:sz w:val="16"/>
                <w:szCs w:val="16"/>
                <w:lang w:bidi="th-TH"/>
              </w:rPr>
            </w:pPr>
          </w:p>
          <w:p w:rsidR="00F15382" w:rsidRPr="0005539E" w:rsidRDefault="00F15382" w:rsidP="00E3403E">
            <w:pPr>
              <w:rPr>
                <w:rFonts w:cs="Arial"/>
                <w:sz w:val="16"/>
                <w:szCs w:val="16"/>
                <w:lang w:bidi="th-TH"/>
              </w:rPr>
            </w:pPr>
            <w:r w:rsidRPr="00FC1E06">
              <w:rPr>
                <w:rFonts w:cs="Arial"/>
                <w:color w:val="000000" w:themeColor="text1"/>
                <w:sz w:val="16"/>
                <w:szCs w:val="16"/>
                <w:lang w:bidi="th-TH"/>
              </w:rPr>
              <w:t>27 Offices sending applications in XML in 2015 (24 in 2014</w:t>
            </w:r>
            <w:r>
              <w:rPr>
                <w:rFonts w:cs="Arial"/>
                <w:color w:val="000000" w:themeColor="text1"/>
                <w:sz w:val="16"/>
                <w:szCs w:val="16"/>
                <w:lang w:bidi="th-TH"/>
              </w:rPr>
              <w:t>)</w:t>
            </w:r>
          </w:p>
        </w:tc>
        <w:tc>
          <w:tcPr>
            <w:tcW w:w="533" w:type="pct"/>
            <w:tcBorders>
              <w:top w:val="single" w:sz="4" w:space="0" w:color="auto"/>
              <w:left w:val="nil"/>
              <w:bottom w:val="nil"/>
              <w:right w:val="single" w:sz="4" w:space="0" w:color="auto"/>
            </w:tcBorders>
            <w:shd w:val="clear" w:color="auto" w:fill="auto"/>
            <w:tcMar>
              <w:top w:w="110" w:type="dxa"/>
            </w:tcMar>
          </w:tcPr>
          <w:p w:rsidR="00F15382" w:rsidRDefault="00F15382" w:rsidP="00E3403E">
            <w:pPr>
              <w:jc w:val="center"/>
              <w:rPr>
                <w:rFonts w:cs="Arial"/>
                <w:b/>
                <w:bCs/>
                <w:color w:val="00B050"/>
                <w:sz w:val="16"/>
                <w:szCs w:val="16"/>
              </w:rPr>
            </w:pPr>
            <w:r>
              <w:rPr>
                <w:rFonts w:cs="Arial"/>
                <w:b/>
                <w:bCs/>
                <w:color w:val="00B050"/>
                <w:sz w:val="16"/>
                <w:szCs w:val="16"/>
              </w:rPr>
              <w:t>Fully A</w:t>
            </w:r>
            <w:r w:rsidRPr="00F76E3A">
              <w:rPr>
                <w:rFonts w:cs="Arial"/>
                <w:b/>
                <w:bCs/>
                <w:color w:val="00B050"/>
                <w:sz w:val="16"/>
                <w:szCs w:val="16"/>
              </w:rPr>
              <w:t>chieved</w:t>
            </w:r>
          </w:p>
          <w:p w:rsidR="00F15382" w:rsidRDefault="00F15382" w:rsidP="00E3403E">
            <w:pPr>
              <w:jc w:val="center"/>
              <w:rPr>
                <w:rFonts w:cs="Arial"/>
                <w:b/>
                <w:bCs/>
                <w:color w:val="00B050"/>
                <w:sz w:val="16"/>
                <w:szCs w:val="16"/>
              </w:rPr>
            </w:pPr>
          </w:p>
          <w:p w:rsidR="00F15382" w:rsidRDefault="00F15382" w:rsidP="00E3403E">
            <w:pPr>
              <w:jc w:val="center"/>
              <w:rPr>
                <w:rFonts w:cs="Arial"/>
                <w:b/>
                <w:bCs/>
                <w:color w:val="00B050"/>
                <w:sz w:val="16"/>
                <w:szCs w:val="16"/>
              </w:rPr>
            </w:pPr>
          </w:p>
          <w:p w:rsidR="00F15382" w:rsidRDefault="00F15382" w:rsidP="00E3403E">
            <w:pPr>
              <w:jc w:val="center"/>
              <w:rPr>
                <w:rFonts w:cs="Arial"/>
                <w:b/>
                <w:bCs/>
                <w:color w:val="00B050"/>
                <w:sz w:val="16"/>
                <w:szCs w:val="16"/>
              </w:rPr>
            </w:pPr>
            <w:r w:rsidRPr="00F76E3A">
              <w:rPr>
                <w:rFonts w:cs="Arial"/>
                <w:b/>
                <w:bCs/>
                <w:color w:val="00B050"/>
                <w:sz w:val="16"/>
                <w:szCs w:val="16"/>
              </w:rPr>
              <w:t xml:space="preserve">Fully </w:t>
            </w:r>
            <w:r>
              <w:rPr>
                <w:rFonts w:cs="Arial"/>
                <w:b/>
                <w:bCs/>
                <w:color w:val="00B050"/>
                <w:sz w:val="16"/>
                <w:szCs w:val="16"/>
              </w:rPr>
              <w:t>A</w:t>
            </w:r>
            <w:r w:rsidRPr="00F76E3A">
              <w:rPr>
                <w:rFonts w:cs="Arial"/>
                <w:b/>
                <w:bCs/>
                <w:color w:val="00B050"/>
                <w:sz w:val="16"/>
                <w:szCs w:val="16"/>
              </w:rPr>
              <w:t>chieved</w:t>
            </w:r>
          </w:p>
          <w:p w:rsidR="00F15382" w:rsidRDefault="00F15382" w:rsidP="00E3403E">
            <w:pPr>
              <w:jc w:val="center"/>
              <w:rPr>
                <w:rFonts w:cs="Arial"/>
                <w:b/>
                <w:bCs/>
                <w:color w:val="00B050"/>
                <w:sz w:val="16"/>
                <w:szCs w:val="16"/>
              </w:rPr>
            </w:pPr>
          </w:p>
          <w:p w:rsidR="00F15382" w:rsidRDefault="00F15382" w:rsidP="00E3403E">
            <w:pPr>
              <w:jc w:val="center"/>
              <w:rPr>
                <w:rFonts w:cs="Arial"/>
                <w:b/>
                <w:bCs/>
                <w:color w:val="00B050"/>
                <w:sz w:val="16"/>
                <w:szCs w:val="16"/>
              </w:rPr>
            </w:pPr>
          </w:p>
          <w:p w:rsidR="00F15382" w:rsidRDefault="00F15382" w:rsidP="00E3403E">
            <w:pPr>
              <w:jc w:val="center"/>
              <w:rPr>
                <w:rFonts w:cs="Arial"/>
                <w:b/>
                <w:bCs/>
                <w:color w:val="00B050"/>
                <w:sz w:val="16"/>
                <w:szCs w:val="16"/>
              </w:rPr>
            </w:pPr>
            <w:r w:rsidRPr="00F76E3A">
              <w:rPr>
                <w:rFonts w:cs="Arial"/>
                <w:b/>
                <w:bCs/>
                <w:color w:val="00B050"/>
                <w:sz w:val="16"/>
                <w:szCs w:val="16"/>
              </w:rPr>
              <w:t xml:space="preserve">Fully </w:t>
            </w:r>
            <w:r>
              <w:rPr>
                <w:rFonts w:cs="Arial"/>
                <w:b/>
                <w:bCs/>
                <w:color w:val="00B050"/>
                <w:sz w:val="16"/>
                <w:szCs w:val="16"/>
              </w:rPr>
              <w:t>A</w:t>
            </w:r>
            <w:r w:rsidRPr="00F76E3A">
              <w:rPr>
                <w:rFonts w:cs="Arial"/>
                <w:b/>
                <w:bCs/>
                <w:color w:val="00B050"/>
                <w:sz w:val="16"/>
                <w:szCs w:val="16"/>
              </w:rPr>
              <w:t>chieved</w:t>
            </w:r>
          </w:p>
          <w:p w:rsidR="00F15382" w:rsidRDefault="00F15382" w:rsidP="00E3403E">
            <w:pPr>
              <w:jc w:val="center"/>
              <w:rPr>
                <w:rFonts w:cs="Arial"/>
                <w:b/>
                <w:bCs/>
                <w:color w:val="00B050"/>
                <w:sz w:val="16"/>
                <w:szCs w:val="16"/>
              </w:rPr>
            </w:pPr>
          </w:p>
          <w:p w:rsidR="00F15382" w:rsidRDefault="00F15382" w:rsidP="00E3403E">
            <w:pPr>
              <w:jc w:val="center"/>
              <w:rPr>
                <w:rFonts w:cs="Arial"/>
                <w:b/>
                <w:bCs/>
                <w:color w:val="00B050"/>
                <w:sz w:val="16"/>
                <w:szCs w:val="16"/>
              </w:rPr>
            </w:pPr>
          </w:p>
          <w:p w:rsidR="00F15382" w:rsidRPr="00EA4470" w:rsidRDefault="00F15382" w:rsidP="00E3403E">
            <w:pPr>
              <w:jc w:val="center"/>
              <w:rPr>
                <w:rFonts w:cs="Arial"/>
                <w:bCs/>
                <w:color w:val="008000"/>
                <w:sz w:val="16"/>
                <w:szCs w:val="16"/>
              </w:rPr>
            </w:pPr>
            <w:r w:rsidRPr="00F76E3A">
              <w:rPr>
                <w:rFonts w:cs="Arial"/>
                <w:b/>
                <w:bCs/>
                <w:color w:val="00B050"/>
                <w:sz w:val="16"/>
                <w:szCs w:val="16"/>
              </w:rPr>
              <w:t xml:space="preserve">Fully </w:t>
            </w:r>
            <w:r>
              <w:rPr>
                <w:rFonts w:cs="Arial"/>
                <w:b/>
                <w:bCs/>
                <w:color w:val="00B050"/>
                <w:sz w:val="16"/>
                <w:szCs w:val="16"/>
              </w:rPr>
              <w:t>A</w:t>
            </w:r>
            <w:r w:rsidRPr="00F76E3A">
              <w:rPr>
                <w:rFonts w:cs="Arial"/>
                <w:b/>
                <w:bCs/>
                <w:color w:val="00B050"/>
                <w:sz w:val="16"/>
                <w:szCs w:val="16"/>
              </w:rPr>
              <w:t>chieved</w:t>
            </w:r>
          </w:p>
        </w:tc>
      </w:tr>
      <w:tr w:rsidR="00F15382" w:rsidRPr="0005539E" w:rsidTr="003B10D0">
        <w:trPr>
          <w:cantSplit/>
        </w:trPr>
        <w:tc>
          <w:tcPr>
            <w:tcW w:w="1099" w:type="pct"/>
            <w:tcBorders>
              <w:top w:val="nil"/>
              <w:left w:val="single" w:sz="4" w:space="0" w:color="auto"/>
              <w:bottom w:val="nil"/>
            </w:tcBorders>
            <w:shd w:val="clear" w:color="auto" w:fill="auto"/>
          </w:tcPr>
          <w:p w:rsidR="00F15382" w:rsidRPr="0005539E" w:rsidRDefault="00F15382" w:rsidP="00E3403E">
            <w:pPr>
              <w:keepNext/>
              <w:keepLines/>
              <w:rPr>
                <w:rFonts w:cs="Arial"/>
                <w:sz w:val="16"/>
                <w:szCs w:val="16"/>
              </w:rPr>
            </w:pPr>
            <w:r w:rsidRPr="007C742A">
              <w:rPr>
                <w:rFonts w:cs="Arial"/>
                <w:sz w:val="16"/>
                <w:szCs w:val="16"/>
              </w:rPr>
              <w:t>Refinement of the electronic means of communication and publication under the Lisbon procedures</w:t>
            </w:r>
          </w:p>
        </w:tc>
        <w:tc>
          <w:tcPr>
            <w:tcW w:w="1391" w:type="pct"/>
            <w:tcBorders>
              <w:top w:val="nil"/>
              <w:bottom w:val="nil"/>
            </w:tcBorders>
            <w:shd w:val="clear" w:color="auto" w:fill="auto"/>
          </w:tcPr>
          <w:p w:rsidR="00F15382" w:rsidRPr="0005539E" w:rsidRDefault="00F15382" w:rsidP="00E3403E">
            <w:pPr>
              <w:keepNext/>
              <w:keepLines/>
              <w:rPr>
                <w:rFonts w:cs="Arial"/>
                <w:sz w:val="16"/>
                <w:szCs w:val="16"/>
              </w:rPr>
            </w:pPr>
            <w:r w:rsidRPr="007C742A">
              <w:rPr>
                <w:rFonts w:cs="Arial"/>
                <w:sz w:val="16"/>
                <w:szCs w:val="16"/>
              </w:rPr>
              <w:t>The electronic means in place at the end of 2013</w:t>
            </w:r>
          </w:p>
        </w:tc>
        <w:tc>
          <w:tcPr>
            <w:tcW w:w="806" w:type="pct"/>
            <w:tcBorders>
              <w:top w:val="nil"/>
              <w:bottom w:val="nil"/>
            </w:tcBorders>
            <w:shd w:val="clear" w:color="auto" w:fill="auto"/>
            <w:tcMar>
              <w:top w:w="110" w:type="dxa"/>
            </w:tcMar>
          </w:tcPr>
          <w:p w:rsidR="00F15382" w:rsidRPr="004C7D99" w:rsidRDefault="00F15382" w:rsidP="00E3403E">
            <w:pPr>
              <w:keepNext/>
              <w:keepLines/>
              <w:rPr>
                <w:rFonts w:cs="Arial"/>
                <w:sz w:val="16"/>
                <w:szCs w:val="16"/>
              </w:rPr>
            </w:pPr>
            <w:r w:rsidRPr="007C742A">
              <w:rPr>
                <w:rFonts w:cs="Arial"/>
                <w:sz w:val="16"/>
                <w:szCs w:val="16"/>
              </w:rPr>
              <w:t>Electronic filing system and incorporation of the Lisbon Bulletin into the Lisbon Express database</w:t>
            </w:r>
          </w:p>
        </w:tc>
        <w:tc>
          <w:tcPr>
            <w:tcW w:w="1171" w:type="pct"/>
            <w:tcBorders>
              <w:top w:val="nil"/>
              <w:bottom w:val="nil"/>
            </w:tcBorders>
            <w:shd w:val="clear" w:color="auto" w:fill="FFFFFF"/>
            <w:tcMar>
              <w:top w:w="110" w:type="dxa"/>
            </w:tcMar>
          </w:tcPr>
          <w:p w:rsidR="00F15382" w:rsidRDefault="00F15382" w:rsidP="00E3403E">
            <w:pPr>
              <w:keepNext/>
              <w:keepLines/>
              <w:rPr>
                <w:rFonts w:cs="Arial"/>
                <w:sz w:val="16"/>
                <w:szCs w:val="16"/>
              </w:rPr>
            </w:pPr>
            <w:r>
              <w:rPr>
                <w:rFonts w:cs="Arial"/>
                <w:sz w:val="16"/>
                <w:szCs w:val="16"/>
              </w:rPr>
              <w:t>Streamlined procedure for notifications implemented via the WIPO Inquiry Notification System (WINS)</w:t>
            </w:r>
          </w:p>
          <w:p w:rsidR="00F15382" w:rsidRPr="0005539E" w:rsidRDefault="00F15382" w:rsidP="00E3403E">
            <w:pPr>
              <w:keepNext/>
              <w:keepLines/>
              <w:rPr>
                <w:rFonts w:cs="Arial"/>
                <w:sz w:val="16"/>
                <w:szCs w:val="16"/>
              </w:rPr>
            </w:pPr>
          </w:p>
        </w:tc>
        <w:tc>
          <w:tcPr>
            <w:tcW w:w="533" w:type="pct"/>
            <w:tcBorders>
              <w:top w:val="nil"/>
              <w:bottom w:val="nil"/>
              <w:right w:val="single" w:sz="4" w:space="0" w:color="auto"/>
            </w:tcBorders>
            <w:shd w:val="clear" w:color="auto" w:fill="auto"/>
          </w:tcPr>
          <w:p w:rsidR="00F15382" w:rsidRPr="00EA4470" w:rsidRDefault="00F15382" w:rsidP="00E3403E">
            <w:pPr>
              <w:keepNext/>
              <w:keepLines/>
              <w:jc w:val="center"/>
              <w:rPr>
                <w:rStyle w:val="Style5"/>
              </w:rPr>
            </w:pPr>
            <w:r w:rsidRPr="00C25ED0">
              <w:rPr>
                <w:rFonts w:cs="Arial"/>
                <w:b/>
                <w:color w:val="E36C0A" w:themeColor="accent6" w:themeShade="BF"/>
                <w:sz w:val="16"/>
                <w:szCs w:val="16"/>
              </w:rPr>
              <w:t>Partially Achieved</w:t>
            </w:r>
          </w:p>
        </w:tc>
      </w:tr>
      <w:tr w:rsidR="00F15382" w:rsidRPr="0005539E" w:rsidTr="003B10D0">
        <w:trPr>
          <w:cantSplit/>
        </w:trPr>
        <w:tc>
          <w:tcPr>
            <w:tcW w:w="1099" w:type="pct"/>
            <w:tcBorders>
              <w:top w:val="nil"/>
              <w:left w:val="single" w:sz="4" w:space="0" w:color="auto"/>
              <w:bottom w:val="single" w:sz="4" w:space="0" w:color="auto"/>
            </w:tcBorders>
            <w:shd w:val="clear" w:color="auto" w:fill="auto"/>
          </w:tcPr>
          <w:p w:rsidR="00F15382" w:rsidRPr="0005539E" w:rsidRDefault="00F15382" w:rsidP="00E3403E">
            <w:pPr>
              <w:keepNext/>
              <w:keepLines/>
              <w:rPr>
                <w:rFonts w:cs="Arial"/>
                <w:sz w:val="16"/>
                <w:szCs w:val="16"/>
              </w:rPr>
            </w:pPr>
            <w:r w:rsidRPr="00350D51">
              <w:rPr>
                <w:rFonts w:cs="Arial"/>
                <w:sz w:val="16"/>
                <w:szCs w:val="16"/>
              </w:rPr>
              <w:t>Refinement of the electronic Intern</w:t>
            </w:r>
            <w:r>
              <w:rPr>
                <w:rFonts w:cs="Arial"/>
                <w:sz w:val="16"/>
                <w:szCs w:val="16"/>
              </w:rPr>
              <w:t>ational Register of the Lisbon S</w:t>
            </w:r>
            <w:r w:rsidRPr="00350D51">
              <w:rPr>
                <w:rFonts w:cs="Arial"/>
                <w:sz w:val="16"/>
                <w:szCs w:val="16"/>
              </w:rPr>
              <w:t>ystem</w:t>
            </w:r>
          </w:p>
        </w:tc>
        <w:tc>
          <w:tcPr>
            <w:tcW w:w="1391" w:type="pct"/>
            <w:tcBorders>
              <w:top w:val="nil"/>
              <w:bottom w:val="single" w:sz="4" w:space="0" w:color="auto"/>
            </w:tcBorders>
            <w:shd w:val="clear" w:color="auto" w:fill="auto"/>
          </w:tcPr>
          <w:p w:rsidR="00F15382" w:rsidRPr="00111222" w:rsidRDefault="00F15382" w:rsidP="00E3403E">
            <w:pPr>
              <w:keepNext/>
              <w:keepLines/>
              <w:rPr>
                <w:rFonts w:cs="Arial"/>
                <w:i/>
                <w:color w:val="002060"/>
                <w:sz w:val="16"/>
                <w:szCs w:val="16"/>
              </w:rPr>
            </w:pPr>
            <w:r>
              <w:rPr>
                <w:rFonts w:cs="Arial"/>
                <w:i/>
                <w:color w:val="002060"/>
                <w:sz w:val="16"/>
                <w:szCs w:val="16"/>
              </w:rPr>
              <w:t>Updated Baseline end 2013</w:t>
            </w:r>
            <w:r w:rsidRPr="0005539E">
              <w:rPr>
                <w:rFonts w:cs="Arial"/>
                <w:i/>
                <w:color w:val="002060"/>
                <w:sz w:val="16"/>
                <w:szCs w:val="16"/>
              </w:rPr>
              <w:t>:</w:t>
            </w:r>
            <w:r>
              <w:rPr>
                <w:rFonts w:cs="Arial"/>
                <w:color w:val="002060"/>
                <w:sz w:val="16"/>
                <w:szCs w:val="16"/>
              </w:rPr>
              <w:t xml:space="preserve">  IT applications for an electronic International Register in use since the Summer 2013</w:t>
            </w:r>
          </w:p>
          <w:p w:rsidR="00F15382" w:rsidRPr="0005539E" w:rsidRDefault="00F15382" w:rsidP="00E3403E">
            <w:pPr>
              <w:keepNext/>
              <w:keepLines/>
              <w:rPr>
                <w:rFonts w:cs="Arial"/>
                <w:color w:val="002060"/>
                <w:sz w:val="16"/>
                <w:szCs w:val="16"/>
              </w:rPr>
            </w:pPr>
          </w:p>
          <w:p w:rsidR="00F15382" w:rsidRPr="0005539E" w:rsidRDefault="00F15382" w:rsidP="00E3403E">
            <w:pPr>
              <w:keepNext/>
              <w:keepLines/>
              <w:rPr>
                <w:rFonts w:cs="Arial"/>
                <w:sz w:val="16"/>
                <w:szCs w:val="16"/>
              </w:rPr>
            </w:pPr>
            <w:r>
              <w:rPr>
                <w:rFonts w:cs="Arial"/>
                <w:i/>
                <w:sz w:val="16"/>
                <w:szCs w:val="16"/>
              </w:rPr>
              <w:t>Original Baseline P&amp;B 2013/14</w:t>
            </w:r>
            <w:r w:rsidRPr="0005539E">
              <w:rPr>
                <w:rFonts w:cs="Arial"/>
                <w:i/>
                <w:sz w:val="16"/>
                <w:szCs w:val="16"/>
              </w:rPr>
              <w:t>:</w:t>
            </w:r>
          </w:p>
          <w:p w:rsidR="00F15382" w:rsidRPr="0005539E" w:rsidRDefault="00F15382" w:rsidP="00E3403E">
            <w:pPr>
              <w:keepNext/>
              <w:keepLines/>
              <w:rPr>
                <w:rFonts w:cs="Arial"/>
                <w:sz w:val="16"/>
                <w:szCs w:val="16"/>
              </w:rPr>
            </w:pPr>
            <w:r w:rsidRPr="00350D51">
              <w:rPr>
                <w:rFonts w:cs="Arial"/>
                <w:sz w:val="16"/>
                <w:szCs w:val="16"/>
              </w:rPr>
              <w:t xml:space="preserve">The electronic International Register (to be) established in </w:t>
            </w:r>
            <w:r>
              <w:rPr>
                <w:rFonts w:cs="Arial"/>
                <w:sz w:val="16"/>
                <w:szCs w:val="16"/>
              </w:rPr>
              <w:t> 2</w:t>
            </w:r>
            <w:r w:rsidRPr="00350D51">
              <w:rPr>
                <w:rFonts w:cs="Arial"/>
                <w:sz w:val="16"/>
                <w:szCs w:val="16"/>
              </w:rPr>
              <w:t>013</w:t>
            </w:r>
          </w:p>
        </w:tc>
        <w:tc>
          <w:tcPr>
            <w:tcW w:w="806" w:type="pct"/>
            <w:tcBorders>
              <w:top w:val="nil"/>
              <w:bottom w:val="single" w:sz="4" w:space="0" w:color="auto"/>
            </w:tcBorders>
            <w:shd w:val="clear" w:color="auto" w:fill="auto"/>
            <w:tcMar>
              <w:top w:w="110" w:type="dxa"/>
            </w:tcMar>
          </w:tcPr>
          <w:p w:rsidR="00F15382" w:rsidRPr="008539B9" w:rsidRDefault="00F15382" w:rsidP="00E3403E">
            <w:pPr>
              <w:keepNext/>
              <w:keepLines/>
              <w:rPr>
                <w:rFonts w:cs="Arial"/>
                <w:sz w:val="16"/>
                <w:szCs w:val="16"/>
                <w:lang w:bidi="th-TH"/>
              </w:rPr>
            </w:pPr>
            <w:r w:rsidRPr="00350D51">
              <w:rPr>
                <w:rFonts w:cs="Arial"/>
                <w:sz w:val="16"/>
                <w:szCs w:val="16"/>
                <w:lang w:bidi="th-TH"/>
              </w:rPr>
              <w:t>Electronic system linking International Register and Lisbon Express database on the WIPO website</w:t>
            </w:r>
          </w:p>
        </w:tc>
        <w:tc>
          <w:tcPr>
            <w:tcW w:w="1171" w:type="pct"/>
            <w:tcBorders>
              <w:top w:val="nil"/>
              <w:bottom w:val="single" w:sz="4" w:space="0" w:color="auto"/>
            </w:tcBorders>
            <w:shd w:val="clear" w:color="auto" w:fill="FFFFFF"/>
            <w:tcMar>
              <w:top w:w="110" w:type="dxa"/>
            </w:tcMar>
          </w:tcPr>
          <w:p w:rsidR="00F15382" w:rsidRPr="008539B9" w:rsidRDefault="00F15382" w:rsidP="00E3403E">
            <w:pPr>
              <w:keepNext/>
              <w:keepLines/>
              <w:rPr>
                <w:rFonts w:cs="Arial"/>
                <w:sz w:val="16"/>
                <w:szCs w:val="16"/>
                <w:lang w:bidi="th-TH"/>
              </w:rPr>
            </w:pPr>
            <w:r>
              <w:rPr>
                <w:rFonts w:cs="Arial"/>
                <w:sz w:val="16"/>
                <w:szCs w:val="16"/>
                <w:lang w:bidi="th-TH"/>
              </w:rPr>
              <w:t>Electronic interface linking the International Register and Lisbon Express database on the WIPO website was completed and deployed in 2014</w:t>
            </w:r>
          </w:p>
        </w:tc>
        <w:tc>
          <w:tcPr>
            <w:tcW w:w="533" w:type="pct"/>
            <w:tcBorders>
              <w:top w:val="nil"/>
              <w:bottom w:val="single" w:sz="4" w:space="0" w:color="auto"/>
              <w:right w:val="single" w:sz="4" w:space="0" w:color="auto"/>
            </w:tcBorders>
            <w:shd w:val="clear" w:color="auto" w:fill="auto"/>
            <w:tcMar>
              <w:top w:w="110" w:type="dxa"/>
            </w:tcMar>
          </w:tcPr>
          <w:p w:rsidR="00F15382" w:rsidRPr="00EA4470" w:rsidRDefault="00F15382" w:rsidP="00E3403E">
            <w:pPr>
              <w:keepNext/>
              <w:keepLines/>
              <w:jc w:val="center"/>
              <w:rPr>
                <w:rStyle w:val="Style5"/>
              </w:rPr>
            </w:pPr>
            <w:r>
              <w:rPr>
                <w:rFonts w:cs="Arial"/>
                <w:b/>
                <w:color w:val="00B050"/>
                <w:sz w:val="16"/>
                <w:szCs w:val="16"/>
              </w:rPr>
              <w:t>Fully Achieved</w:t>
            </w:r>
          </w:p>
        </w:tc>
      </w:tr>
    </w:tbl>
    <w:p w:rsidR="00F15382" w:rsidRDefault="00F15382" w:rsidP="00E3403E">
      <w:pPr>
        <w:rPr>
          <w:rFonts w:cs="Arial"/>
          <w:color w:val="000000"/>
          <w:sz w:val="22"/>
          <w:szCs w:val="22"/>
        </w:rPr>
      </w:pPr>
    </w:p>
    <w:p w:rsidR="00F15382" w:rsidRDefault="00F15382" w:rsidP="00E3403E">
      <w:pPr>
        <w:rPr>
          <w:rFonts w:cs="Arial"/>
          <w:color w:val="000000"/>
          <w:sz w:val="22"/>
          <w:szCs w:val="22"/>
        </w:rPr>
      </w:pPr>
    </w:p>
    <w:p w:rsidR="00F15382" w:rsidRPr="00082989" w:rsidRDefault="00F15382" w:rsidP="00F15382">
      <w:pPr>
        <w:rPr>
          <w:rFonts w:cs="Arial"/>
          <w:color w:val="000000"/>
          <w:szCs w:val="22"/>
        </w:rPr>
      </w:pPr>
      <w:r w:rsidRPr="00082989">
        <w:rPr>
          <w:rFonts w:cs="Arial"/>
          <w:color w:val="000000"/>
          <w:szCs w:val="22"/>
        </w:rPr>
        <w:t>RISK REPORTING FOR THE BIENNIUM</w:t>
      </w:r>
    </w:p>
    <w:p w:rsidR="00F15382" w:rsidRDefault="00F15382" w:rsidP="00F15382"/>
    <w:tbl>
      <w:tblPr>
        <w:tblW w:w="0" w:type="auto"/>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2420"/>
        <w:gridCol w:w="2200"/>
        <w:gridCol w:w="2310"/>
        <w:gridCol w:w="2426"/>
      </w:tblGrid>
      <w:tr w:rsidR="00F15382" w:rsidRPr="003C527B" w:rsidTr="00E3403E">
        <w:trPr>
          <w:trHeight w:val="639"/>
          <w:tblHeader/>
        </w:trPr>
        <w:tc>
          <w:tcPr>
            <w:tcW w:w="2420" w:type="dxa"/>
            <w:tcBorders>
              <w:top w:val="single" w:sz="4" w:space="0" w:color="auto"/>
              <w:bottom w:val="single" w:sz="4" w:space="0" w:color="auto"/>
            </w:tcBorders>
            <w:shd w:val="clear" w:color="auto" w:fill="C6D9F1" w:themeFill="text2" w:themeFillTint="33"/>
            <w:vAlign w:val="center"/>
          </w:tcPr>
          <w:p w:rsidR="00F15382" w:rsidRPr="003C527B" w:rsidRDefault="00F15382" w:rsidP="00F15382">
            <w:pPr>
              <w:autoSpaceDE w:val="0"/>
              <w:autoSpaceDN w:val="0"/>
              <w:adjustRightInd w:val="0"/>
              <w:ind w:right="-59"/>
              <w:jc w:val="center"/>
              <w:rPr>
                <w:b/>
                <w:bCs/>
                <w:iCs/>
                <w:sz w:val="18"/>
                <w:szCs w:val="18"/>
              </w:rPr>
            </w:pPr>
            <w:r w:rsidRPr="003C527B">
              <w:rPr>
                <w:b/>
                <w:bCs/>
                <w:iCs/>
                <w:sz w:val="18"/>
                <w:szCs w:val="18"/>
              </w:rPr>
              <w:t>Risk(s) to the Program achieving its Results</w:t>
            </w:r>
          </w:p>
        </w:tc>
        <w:tc>
          <w:tcPr>
            <w:tcW w:w="2200" w:type="dxa"/>
            <w:tcBorders>
              <w:top w:val="single" w:sz="4" w:space="0" w:color="auto"/>
              <w:bottom w:val="single" w:sz="4" w:space="0" w:color="auto"/>
            </w:tcBorders>
            <w:shd w:val="clear" w:color="auto" w:fill="C6D9F1" w:themeFill="text2" w:themeFillTint="33"/>
            <w:vAlign w:val="center"/>
          </w:tcPr>
          <w:p w:rsidR="00F15382" w:rsidRPr="003C527B" w:rsidRDefault="00F15382" w:rsidP="00F15382">
            <w:pPr>
              <w:autoSpaceDE w:val="0"/>
              <w:autoSpaceDN w:val="0"/>
              <w:adjustRightInd w:val="0"/>
              <w:ind w:right="-59"/>
              <w:jc w:val="center"/>
              <w:rPr>
                <w:b/>
                <w:bCs/>
                <w:iCs/>
                <w:sz w:val="18"/>
                <w:szCs w:val="18"/>
              </w:rPr>
            </w:pPr>
            <w:r w:rsidRPr="003C527B">
              <w:rPr>
                <w:b/>
                <w:bCs/>
                <w:iCs/>
                <w:sz w:val="18"/>
                <w:szCs w:val="18"/>
              </w:rPr>
              <w:t xml:space="preserve">Mitigation plans in place or under implementation </w:t>
            </w:r>
          </w:p>
        </w:tc>
        <w:tc>
          <w:tcPr>
            <w:tcW w:w="2310" w:type="dxa"/>
            <w:tcBorders>
              <w:top w:val="single" w:sz="4" w:space="0" w:color="auto"/>
              <w:bottom w:val="single" w:sz="4" w:space="0" w:color="auto"/>
            </w:tcBorders>
            <w:shd w:val="clear" w:color="auto" w:fill="C6D9F1" w:themeFill="text2" w:themeFillTint="33"/>
          </w:tcPr>
          <w:p w:rsidR="00F15382" w:rsidRPr="003C527B" w:rsidRDefault="00F15382" w:rsidP="00F15382">
            <w:pPr>
              <w:jc w:val="center"/>
              <w:rPr>
                <w:b/>
                <w:bCs/>
                <w:sz w:val="18"/>
                <w:szCs w:val="18"/>
              </w:rPr>
            </w:pPr>
            <w:r>
              <w:rPr>
                <w:b/>
                <w:bCs/>
                <w:sz w:val="18"/>
                <w:szCs w:val="18"/>
              </w:rPr>
              <w:t>Evolution of Risk(s) and Mitigation Strategies Over the Biennium</w:t>
            </w:r>
          </w:p>
        </w:tc>
        <w:tc>
          <w:tcPr>
            <w:tcW w:w="2426" w:type="dxa"/>
            <w:tcBorders>
              <w:top w:val="single" w:sz="4" w:space="0" w:color="auto"/>
              <w:bottom w:val="single" w:sz="4" w:space="0" w:color="auto"/>
            </w:tcBorders>
            <w:shd w:val="clear" w:color="auto" w:fill="C6D9F1" w:themeFill="text2" w:themeFillTint="33"/>
          </w:tcPr>
          <w:p w:rsidR="00F15382" w:rsidRPr="003C527B" w:rsidRDefault="00F15382" w:rsidP="00F15382">
            <w:pPr>
              <w:jc w:val="center"/>
              <w:rPr>
                <w:b/>
                <w:bCs/>
                <w:sz w:val="18"/>
                <w:szCs w:val="18"/>
              </w:rPr>
            </w:pPr>
            <w:r>
              <w:rPr>
                <w:b/>
                <w:bCs/>
                <w:sz w:val="18"/>
                <w:szCs w:val="18"/>
              </w:rPr>
              <w:t>Impact on the Program’s Performance</w:t>
            </w:r>
          </w:p>
        </w:tc>
      </w:tr>
      <w:tr w:rsidR="00F15382" w:rsidRPr="003C527B" w:rsidTr="00E3403E">
        <w:trPr>
          <w:trHeight w:val="1496"/>
        </w:trPr>
        <w:tc>
          <w:tcPr>
            <w:tcW w:w="2420" w:type="dxa"/>
            <w:tcBorders>
              <w:top w:val="single" w:sz="4" w:space="0" w:color="auto"/>
            </w:tcBorders>
            <w:shd w:val="clear" w:color="auto" w:fill="auto"/>
            <w:tcMar>
              <w:top w:w="113" w:type="dxa"/>
              <w:bottom w:w="113" w:type="dxa"/>
            </w:tcMar>
          </w:tcPr>
          <w:p w:rsidR="00F15382" w:rsidRPr="003C527B" w:rsidRDefault="00F15382" w:rsidP="00F15382">
            <w:pPr>
              <w:rPr>
                <w:sz w:val="16"/>
                <w:szCs w:val="16"/>
              </w:rPr>
            </w:pPr>
            <w:r w:rsidRPr="003C527B">
              <w:rPr>
                <w:sz w:val="16"/>
                <w:szCs w:val="16"/>
              </w:rPr>
              <w:t>The use of the Madrid system decreased in 2009 and since then has increased.  However, a second ‘dip’ is a possibility that would result in underutilization of the Madrid system and a lower income for WIPO.  Other factors could also contribute to underutilization of the Madrid system, such as political or social instability or lack of the appropriate legal infrastructure.</w:t>
            </w:r>
          </w:p>
        </w:tc>
        <w:tc>
          <w:tcPr>
            <w:tcW w:w="2200" w:type="dxa"/>
            <w:tcBorders>
              <w:top w:val="single" w:sz="4" w:space="0" w:color="auto"/>
            </w:tcBorders>
            <w:shd w:val="clear" w:color="auto" w:fill="auto"/>
            <w:tcMar>
              <w:top w:w="113" w:type="dxa"/>
              <w:bottom w:w="113" w:type="dxa"/>
            </w:tcMar>
          </w:tcPr>
          <w:p w:rsidR="00F15382" w:rsidRPr="003C527B" w:rsidRDefault="00F15382" w:rsidP="00F15382">
            <w:pPr>
              <w:autoSpaceDE w:val="0"/>
              <w:autoSpaceDN w:val="0"/>
              <w:adjustRightInd w:val="0"/>
              <w:ind w:right="-59"/>
              <w:rPr>
                <w:sz w:val="16"/>
                <w:szCs w:val="16"/>
              </w:rPr>
            </w:pPr>
            <w:r w:rsidRPr="003C527B">
              <w:rPr>
                <w:sz w:val="16"/>
                <w:szCs w:val="16"/>
              </w:rPr>
              <w:t>The risks may be mitigated by intensive promotional activities to maximize the potential use of the Madrid system by users – and thereby reducing the underutilization – to take advantage of the increased efficiency and cost-effectiveness of the system. However, where a change in trademark policy or law at the national, regional or even international level would be required, this may take considerable time to be resolved, if at all.</w:t>
            </w:r>
          </w:p>
        </w:tc>
        <w:tc>
          <w:tcPr>
            <w:tcW w:w="2310" w:type="dxa"/>
            <w:tcBorders>
              <w:top w:val="single" w:sz="4" w:space="0" w:color="auto"/>
            </w:tcBorders>
          </w:tcPr>
          <w:p w:rsidR="00F15382" w:rsidRDefault="00F15382" w:rsidP="00F15382">
            <w:pPr>
              <w:autoSpaceDE w:val="0"/>
              <w:autoSpaceDN w:val="0"/>
              <w:adjustRightInd w:val="0"/>
              <w:ind w:right="-59"/>
              <w:rPr>
                <w:sz w:val="16"/>
                <w:szCs w:val="16"/>
              </w:rPr>
            </w:pPr>
            <w:r>
              <w:rPr>
                <w:sz w:val="16"/>
                <w:szCs w:val="16"/>
              </w:rPr>
              <w:t xml:space="preserve">Over the biennium, mitigation strategies were extended to also include emphasis on improving service and performance for the users of the system, including through the modernization of the IT platform used.  An analysis of user filing strategies was also undertaken in close cooperation with the Economics and Statistics Division.  </w:t>
            </w:r>
          </w:p>
          <w:p w:rsidR="00F15382" w:rsidRDefault="00F15382" w:rsidP="00F15382">
            <w:pPr>
              <w:autoSpaceDE w:val="0"/>
              <w:autoSpaceDN w:val="0"/>
              <w:adjustRightInd w:val="0"/>
              <w:ind w:right="-59"/>
              <w:rPr>
                <w:sz w:val="16"/>
                <w:szCs w:val="16"/>
              </w:rPr>
            </w:pPr>
          </w:p>
          <w:p w:rsidR="00F15382" w:rsidRPr="003C527B" w:rsidRDefault="00F15382" w:rsidP="00F15382">
            <w:pPr>
              <w:autoSpaceDE w:val="0"/>
              <w:autoSpaceDN w:val="0"/>
              <w:adjustRightInd w:val="0"/>
              <w:ind w:right="-59"/>
              <w:rPr>
                <w:sz w:val="16"/>
                <w:szCs w:val="16"/>
              </w:rPr>
            </w:pPr>
            <w:r>
              <w:rPr>
                <w:sz w:val="16"/>
                <w:szCs w:val="16"/>
              </w:rPr>
              <w:t>Significant efforts were made to establish good communication with Contracting Parties about how the legal framework of the system should evolve, but it was observed that regardless of the efforts made, there are limits to the changes which certain Contracting Parties are prepared to accept at this stage.</w:t>
            </w:r>
          </w:p>
        </w:tc>
        <w:tc>
          <w:tcPr>
            <w:tcW w:w="2426" w:type="dxa"/>
            <w:tcBorders>
              <w:top w:val="single" w:sz="4" w:space="0" w:color="auto"/>
            </w:tcBorders>
          </w:tcPr>
          <w:p w:rsidR="00F15382" w:rsidRDefault="00F15382" w:rsidP="00F15382">
            <w:pPr>
              <w:autoSpaceDE w:val="0"/>
              <w:autoSpaceDN w:val="0"/>
              <w:adjustRightInd w:val="0"/>
              <w:ind w:right="-59"/>
              <w:rPr>
                <w:sz w:val="16"/>
                <w:szCs w:val="16"/>
              </w:rPr>
            </w:pPr>
            <w:r>
              <w:rPr>
                <w:sz w:val="16"/>
                <w:szCs w:val="16"/>
              </w:rPr>
              <w:t xml:space="preserve">While the number of Contracting Parties was slightly less than projected, the number of countries covered was far above what was anticipated (due to the accession of the OAPI regional system).  Filing rates were lower than projected, but nonetheless reasonably healthy considering the state of the economy and the value of the Swiss franc. </w:t>
            </w:r>
          </w:p>
          <w:p w:rsidR="00F15382" w:rsidRDefault="00F15382" w:rsidP="00F15382">
            <w:pPr>
              <w:autoSpaceDE w:val="0"/>
              <w:autoSpaceDN w:val="0"/>
              <w:adjustRightInd w:val="0"/>
              <w:ind w:right="-59"/>
              <w:rPr>
                <w:sz w:val="16"/>
                <w:szCs w:val="16"/>
              </w:rPr>
            </w:pPr>
          </w:p>
          <w:p w:rsidR="00F15382" w:rsidRDefault="00F15382" w:rsidP="00F15382">
            <w:pPr>
              <w:autoSpaceDE w:val="0"/>
              <w:autoSpaceDN w:val="0"/>
              <w:adjustRightInd w:val="0"/>
              <w:ind w:right="-59"/>
              <w:rPr>
                <w:sz w:val="16"/>
                <w:szCs w:val="16"/>
              </w:rPr>
            </w:pPr>
            <w:r>
              <w:rPr>
                <w:sz w:val="16"/>
                <w:szCs w:val="16"/>
              </w:rPr>
              <w:t>Operational performance improved considerably in terms of examination pendency and the number of registrations exceeded the biennial target.  Overall customer satisfaction appears to evolve in the right direction. The number of irregularities and corrections, however, remained above the target.</w:t>
            </w:r>
          </w:p>
          <w:p w:rsidR="00F15382" w:rsidRDefault="00F15382" w:rsidP="00F15382">
            <w:pPr>
              <w:autoSpaceDE w:val="0"/>
              <w:autoSpaceDN w:val="0"/>
              <w:adjustRightInd w:val="0"/>
              <w:ind w:right="-59"/>
              <w:rPr>
                <w:sz w:val="16"/>
                <w:szCs w:val="16"/>
              </w:rPr>
            </w:pPr>
          </w:p>
          <w:p w:rsidR="00F15382" w:rsidRPr="003C527B" w:rsidRDefault="00F15382" w:rsidP="00F15382">
            <w:pPr>
              <w:autoSpaceDE w:val="0"/>
              <w:autoSpaceDN w:val="0"/>
              <w:adjustRightInd w:val="0"/>
              <w:ind w:right="-59"/>
              <w:rPr>
                <w:sz w:val="16"/>
                <w:szCs w:val="16"/>
              </w:rPr>
            </w:pPr>
            <w:r>
              <w:rPr>
                <w:sz w:val="16"/>
                <w:szCs w:val="16"/>
              </w:rPr>
              <w:t xml:space="preserve">While most of the changes to the legal framework proposed by the IB were adopted, some of the more fundamental ones ran into political resistance. </w:t>
            </w:r>
          </w:p>
        </w:tc>
      </w:tr>
      <w:tr w:rsidR="00F15382" w:rsidRPr="003C527B" w:rsidTr="00E3403E">
        <w:trPr>
          <w:trHeight w:val="1575"/>
        </w:trPr>
        <w:tc>
          <w:tcPr>
            <w:tcW w:w="2420" w:type="dxa"/>
            <w:shd w:val="clear" w:color="auto" w:fill="auto"/>
            <w:tcMar>
              <w:top w:w="113" w:type="dxa"/>
              <w:bottom w:w="113" w:type="dxa"/>
            </w:tcMar>
          </w:tcPr>
          <w:p w:rsidR="00F15382" w:rsidRPr="003C527B" w:rsidRDefault="00F15382" w:rsidP="00E3403E">
            <w:pPr>
              <w:keepNext/>
              <w:keepLines/>
              <w:rPr>
                <w:sz w:val="16"/>
                <w:szCs w:val="16"/>
              </w:rPr>
            </w:pPr>
            <w:r w:rsidRPr="003C527B">
              <w:rPr>
                <w:color w:val="000000"/>
                <w:sz w:val="16"/>
                <w:szCs w:val="16"/>
              </w:rPr>
              <w:lastRenderedPageBreak/>
              <w:t>A number of challenges may hinder the transformation of the Lisbon system into a system that enjoys wide international participation.  In particular, doubts may continue to exist among stakeholders on the benefits of the system.</w:t>
            </w:r>
          </w:p>
        </w:tc>
        <w:tc>
          <w:tcPr>
            <w:tcW w:w="2200" w:type="dxa"/>
            <w:shd w:val="clear" w:color="auto" w:fill="auto"/>
            <w:tcMar>
              <w:top w:w="113" w:type="dxa"/>
              <w:bottom w:w="113" w:type="dxa"/>
            </w:tcMar>
          </w:tcPr>
          <w:p w:rsidR="00F15382" w:rsidRDefault="00F15382" w:rsidP="00E3403E">
            <w:pPr>
              <w:keepNext/>
              <w:keepLines/>
              <w:autoSpaceDE w:val="0"/>
              <w:autoSpaceDN w:val="0"/>
              <w:adjustRightInd w:val="0"/>
              <w:ind w:right="-59"/>
              <w:rPr>
                <w:sz w:val="16"/>
                <w:szCs w:val="16"/>
              </w:rPr>
            </w:pPr>
            <w:r w:rsidRPr="003C527B">
              <w:rPr>
                <w:sz w:val="16"/>
                <w:szCs w:val="16"/>
              </w:rPr>
              <w:t>The review takes account of how appellations of origin and geographical indications are protected in various jurisdictions, without losing sight of the principles and objectives of the Lisbon system.</w:t>
            </w:r>
            <w:r w:rsidRPr="003C527B">
              <w:rPr>
                <w:sz w:val="16"/>
                <w:szCs w:val="16"/>
              </w:rPr>
              <w:br/>
            </w:r>
          </w:p>
          <w:p w:rsidR="00F15382" w:rsidRPr="003C527B" w:rsidRDefault="00F15382" w:rsidP="00E3403E">
            <w:pPr>
              <w:keepNext/>
              <w:keepLines/>
              <w:autoSpaceDE w:val="0"/>
              <w:autoSpaceDN w:val="0"/>
              <w:adjustRightInd w:val="0"/>
              <w:ind w:right="-59"/>
              <w:rPr>
                <w:sz w:val="16"/>
                <w:szCs w:val="16"/>
                <w:lang w:eastAsia="zh-CN"/>
              </w:rPr>
            </w:pPr>
            <w:r w:rsidRPr="003C527B">
              <w:rPr>
                <w:sz w:val="16"/>
                <w:szCs w:val="16"/>
              </w:rPr>
              <w:t>The information and promotion activities have the same focus, while underlining the benefits of the Lisbon system and the available flexibilities to be specified in the Revised Lisbon Agreement.</w:t>
            </w:r>
          </w:p>
        </w:tc>
        <w:tc>
          <w:tcPr>
            <w:tcW w:w="2310" w:type="dxa"/>
          </w:tcPr>
          <w:p w:rsidR="00F15382" w:rsidRPr="003C527B" w:rsidRDefault="00F15382" w:rsidP="00E3403E">
            <w:pPr>
              <w:keepNext/>
              <w:keepLines/>
              <w:autoSpaceDE w:val="0"/>
              <w:autoSpaceDN w:val="0"/>
              <w:adjustRightInd w:val="0"/>
              <w:ind w:right="-59"/>
              <w:rPr>
                <w:sz w:val="16"/>
                <w:szCs w:val="16"/>
              </w:rPr>
            </w:pPr>
            <w:r w:rsidRPr="004801FF">
              <w:rPr>
                <w:sz w:val="16"/>
                <w:szCs w:val="16"/>
              </w:rPr>
              <w:t>The risk materialized over the biennium</w:t>
            </w:r>
            <w:r>
              <w:rPr>
                <w:sz w:val="16"/>
                <w:szCs w:val="16"/>
              </w:rPr>
              <w:t xml:space="preserve"> despite</w:t>
            </w:r>
            <w:r w:rsidRPr="004801FF">
              <w:rPr>
                <w:sz w:val="16"/>
                <w:szCs w:val="16"/>
              </w:rPr>
              <w:t xml:space="preserve"> </w:t>
            </w:r>
            <w:r>
              <w:rPr>
                <w:sz w:val="16"/>
                <w:szCs w:val="16"/>
              </w:rPr>
              <w:t>the</w:t>
            </w:r>
            <w:r w:rsidRPr="004801FF">
              <w:rPr>
                <w:sz w:val="16"/>
                <w:szCs w:val="16"/>
              </w:rPr>
              <w:t xml:space="preserve"> </w:t>
            </w:r>
            <w:r>
              <w:rPr>
                <w:sz w:val="16"/>
                <w:szCs w:val="16"/>
              </w:rPr>
              <w:t>mitigation</w:t>
            </w:r>
            <w:r w:rsidRPr="004801FF">
              <w:rPr>
                <w:sz w:val="16"/>
                <w:szCs w:val="16"/>
              </w:rPr>
              <w:t xml:space="preserve"> </w:t>
            </w:r>
            <w:r>
              <w:rPr>
                <w:sz w:val="16"/>
                <w:szCs w:val="16"/>
              </w:rPr>
              <w:t>strategies implemented, which focused on particular attention being paid to continuing to provide the various stakeholders an enabling and neutral international forum where their various interests could be presented and discussed...</w:t>
            </w:r>
          </w:p>
        </w:tc>
        <w:tc>
          <w:tcPr>
            <w:tcW w:w="2426" w:type="dxa"/>
          </w:tcPr>
          <w:p w:rsidR="00F15382" w:rsidRDefault="00F15382" w:rsidP="00E3403E">
            <w:pPr>
              <w:keepNext/>
              <w:keepLines/>
              <w:autoSpaceDE w:val="0"/>
              <w:autoSpaceDN w:val="0"/>
              <w:adjustRightInd w:val="0"/>
              <w:ind w:right="-59"/>
              <w:rPr>
                <w:color w:val="000000"/>
                <w:sz w:val="16"/>
                <w:szCs w:val="16"/>
              </w:rPr>
            </w:pPr>
            <w:r>
              <w:rPr>
                <w:color w:val="000000"/>
                <w:sz w:val="16"/>
                <w:szCs w:val="16"/>
              </w:rPr>
              <w:t>The impact on the Program’s Performance was limited.  The risk identified for the biennium may, however, continue to be present over the next biennium.</w:t>
            </w:r>
          </w:p>
          <w:p w:rsidR="00F15382" w:rsidRPr="003C527B" w:rsidRDefault="00F15382" w:rsidP="00E3403E">
            <w:pPr>
              <w:keepNext/>
              <w:autoSpaceDE w:val="0"/>
              <w:autoSpaceDN w:val="0"/>
              <w:spacing w:line="276" w:lineRule="auto"/>
              <w:ind w:right="-59"/>
              <w:rPr>
                <w:sz w:val="16"/>
                <w:szCs w:val="16"/>
              </w:rPr>
            </w:pPr>
          </w:p>
        </w:tc>
      </w:tr>
    </w:tbl>
    <w:p w:rsidR="00F15382" w:rsidRPr="00F15382" w:rsidRDefault="00F15382" w:rsidP="00E3403E">
      <w:pPr>
        <w:keepNext/>
        <w:keepLines/>
        <w:rPr>
          <w:rFonts w:cs="Arial"/>
          <w:color w:val="000000"/>
          <w:sz w:val="28"/>
          <w:szCs w:val="22"/>
        </w:rPr>
      </w:pPr>
    </w:p>
    <w:p w:rsidR="00F15382" w:rsidRDefault="00F15382" w:rsidP="00E3403E">
      <w:pPr>
        <w:keepNext/>
        <w:keepLines/>
        <w:spacing w:line="276" w:lineRule="auto"/>
        <w:rPr>
          <w:rFonts w:cs="Arial"/>
          <w:color w:val="000000"/>
          <w:szCs w:val="22"/>
        </w:rPr>
      </w:pPr>
      <w:r w:rsidRPr="00082989">
        <w:rPr>
          <w:rFonts w:cs="Arial"/>
          <w:color w:val="000000"/>
          <w:szCs w:val="22"/>
        </w:rPr>
        <w:t>RESOURCE UTILIZATION</w:t>
      </w:r>
      <w:r w:rsidRPr="00082989">
        <w:rPr>
          <w:rFonts w:cs="Arial"/>
          <w:color w:val="000000"/>
          <w:szCs w:val="22"/>
        </w:rPr>
        <w:tab/>
      </w:r>
    </w:p>
    <w:p w:rsidR="00F15382" w:rsidRPr="00082989" w:rsidRDefault="00F15382" w:rsidP="00E3403E">
      <w:pPr>
        <w:keepNext/>
        <w:keepLines/>
        <w:spacing w:line="276" w:lineRule="auto"/>
        <w:rPr>
          <w:b/>
          <w:sz w:val="16"/>
          <w:szCs w:val="18"/>
        </w:rPr>
      </w:pPr>
    </w:p>
    <w:p w:rsidR="00F15382" w:rsidRPr="00383D2D" w:rsidRDefault="00F15382" w:rsidP="00E3403E">
      <w:pPr>
        <w:pStyle w:val="NormalWeb"/>
        <w:keepNext/>
        <w:keepLines/>
        <w:spacing w:before="0" w:beforeAutospacing="0" w:after="0" w:afterAutospacing="0"/>
        <w:jc w:val="center"/>
        <w:rPr>
          <w:sz w:val="20"/>
          <w:szCs w:val="20"/>
        </w:rPr>
      </w:pPr>
      <w:r w:rsidRPr="00383D2D">
        <w:rPr>
          <w:color w:val="000000"/>
          <w:sz w:val="20"/>
          <w:szCs w:val="20"/>
        </w:rPr>
        <w:t xml:space="preserve">Budget and Actual Expenditure (by result) </w:t>
      </w:r>
    </w:p>
    <w:p w:rsidR="00F15382" w:rsidRDefault="00F15382" w:rsidP="00E3403E">
      <w:pPr>
        <w:pStyle w:val="NormalWeb"/>
        <w:keepNext/>
        <w:keepLines/>
        <w:spacing w:before="0" w:beforeAutospacing="0" w:after="0" w:afterAutospacing="0"/>
        <w:jc w:val="center"/>
        <w:rPr>
          <w:i/>
          <w:iCs/>
          <w:color w:val="000000"/>
          <w:sz w:val="20"/>
          <w:szCs w:val="20"/>
        </w:rPr>
      </w:pPr>
      <w:r w:rsidRPr="00383D2D">
        <w:rPr>
          <w:i/>
          <w:iCs/>
          <w:color w:val="000000"/>
          <w:sz w:val="20"/>
          <w:szCs w:val="20"/>
        </w:rPr>
        <w:t>(in thousands of Swiss francs)</w:t>
      </w:r>
    </w:p>
    <w:p w:rsidR="00F15382" w:rsidRPr="00F15382" w:rsidRDefault="00F15382" w:rsidP="00E3403E">
      <w:pPr>
        <w:pStyle w:val="NormalWeb"/>
        <w:keepNext/>
        <w:keepLines/>
        <w:spacing w:before="0" w:beforeAutospacing="0" w:after="0" w:afterAutospacing="0"/>
        <w:jc w:val="center"/>
        <w:rPr>
          <w:sz w:val="16"/>
          <w:szCs w:val="20"/>
        </w:rPr>
      </w:pPr>
    </w:p>
    <w:p w:rsidR="00F15382" w:rsidRDefault="00F15382" w:rsidP="00E3403E">
      <w:pPr>
        <w:keepNext/>
        <w:keepLines/>
        <w:jc w:val="center"/>
      </w:pPr>
      <w:r w:rsidRPr="00902C49">
        <w:rPr>
          <w:noProof/>
        </w:rPr>
        <w:drawing>
          <wp:inline distT="0" distB="0" distL="0" distR="0" wp14:anchorId="3A011274" wp14:editId="562DC9BA">
            <wp:extent cx="4731027" cy="1048386"/>
            <wp:effectExtent l="0" t="0" r="0" b="0"/>
            <wp:docPr id="838" name="Picture 8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4751719" cy="1052971"/>
                    </a:xfrm>
                    <a:prstGeom prst="rect">
                      <a:avLst/>
                    </a:prstGeom>
                    <a:noFill/>
                    <a:ln>
                      <a:noFill/>
                    </a:ln>
                  </pic:spPr>
                </pic:pic>
              </a:graphicData>
            </a:graphic>
          </wp:inline>
        </w:drawing>
      </w:r>
    </w:p>
    <w:p w:rsidR="00F15382" w:rsidRPr="00F15382" w:rsidRDefault="00F15382" w:rsidP="00E3403E">
      <w:pPr>
        <w:keepNext/>
        <w:keepLines/>
        <w:jc w:val="center"/>
        <w:rPr>
          <w:sz w:val="16"/>
        </w:rPr>
      </w:pPr>
    </w:p>
    <w:p w:rsidR="00F15382" w:rsidRPr="00F15382" w:rsidRDefault="00F15382" w:rsidP="00E3403E">
      <w:pPr>
        <w:pStyle w:val="NormalWeb"/>
        <w:keepNext/>
        <w:keepLines/>
        <w:spacing w:before="0" w:beforeAutospacing="0" w:after="0" w:afterAutospacing="0"/>
        <w:jc w:val="center"/>
        <w:rPr>
          <w:color w:val="000000"/>
          <w:sz w:val="16"/>
          <w:szCs w:val="20"/>
        </w:rPr>
      </w:pPr>
    </w:p>
    <w:p w:rsidR="00F15382" w:rsidRPr="00383D2D" w:rsidRDefault="00F15382" w:rsidP="00E3403E">
      <w:pPr>
        <w:pStyle w:val="NormalWeb"/>
        <w:keepNext/>
        <w:keepLines/>
        <w:spacing w:before="0" w:beforeAutospacing="0" w:after="0" w:afterAutospacing="0"/>
        <w:jc w:val="center"/>
        <w:rPr>
          <w:sz w:val="20"/>
          <w:szCs w:val="20"/>
        </w:rPr>
      </w:pPr>
      <w:r w:rsidRPr="00383D2D">
        <w:rPr>
          <w:color w:val="000000"/>
          <w:sz w:val="20"/>
          <w:szCs w:val="20"/>
        </w:rPr>
        <w:t xml:space="preserve">Budget and Actual Expenditure (personnel and non-personnel) </w:t>
      </w:r>
    </w:p>
    <w:p w:rsidR="00F15382" w:rsidRPr="00383D2D" w:rsidRDefault="00F15382" w:rsidP="00E3403E">
      <w:pPr>
        <w:pStyle w:val="NormalWeb"/>
        <w:keepNext/>
        <w:keepLines/>
        <w:spacing w:before="0" w:beforeAutospacing="0" w:after="0" w:afterAutospacing="0"/>
        <w:jc w:val="center"/>
        <w:rPr>
          <w:i/>
          <w:iCs/>
          <w:color w:val="000000"/>
          <w:sz w:val="20"/>
          <w:szCs w:val="20"/>
        </w:rPr>
      </w:pPr>
      <w:r w:rsidRPr="00383D2D">
        <w:rPr>
          <w:i/>
          <w:iCs/>
          <w:color w:val="000000"/>
          <w:sz w:val="20"/>
          <w:szCs w:val="20"/>
        </w:rPr>
        <w:t>(in thousands of Swiss francs)</w:t>
      </w:r>
    </w:p>
    <w:p w:rsidR="00F15382" w:rsidRDefault="00F15382" w:rsidP="00E3403E">
      <w:pPr>
        <w:pStyle w:val="NormalWeb"/>
        <w:keepNext/>
        <w:keepLines/>
        <w:spacing w:before="0" w:beforeAutospacing="0" w:after="0" w:afterAutospacing="0"/>
        <w:jc w:val="center"/>
      </w:pPr>
    </w:p>
    <w:p w:rsidR="00F15382" w:rsidRPr="008F4A6D" w:rsidRDefault="00F15382" w:rsidP="00E3403E">
      <w:pPr>
        <w:widowControl w:val="0"/>
        <w:autoSpaceDE w:val="0"/>
        <w:autoSpaceDN w:val="0"/>
        <w:adjustRightInd w:val="0"/>
        <w:jc w:val="center"/>
        <w:rPr>
          <w:rFonts w:cs="Arial"/>
          <w:szCs w:val="20"/>
        </w:rPr>
      </w:pPr>
      <w:r w:rsidRPr="00F3056F">
        <w:rPr>
          <w:noProof/>
        </w:rPr>
        <w:drawing>
          <wp:inline distT="0" distB="0" distL="0" distR="0" wp14:anchorId="35A0B964" wp14:editId="71F4FC7A">
            <wp:extent cx="4782457" cy="920473"/>
            <wp:effectExtent l="0" t="0" r="0" b="0"/>
            <wp:docPr id="843" name="Picture 8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4782457" cy="920473"/>
                    </a:xfrm>
                    <a:prstGeom prst="rect">
                      <a:avLst/>
                    </a:prstGeom>
                    <a:noFill/>
                    <a:ln>
                      <a:noFill/>
                    </a:ln>
                  </pic:spPr>
                </pic:pic>
              </a:graphicData>
            </a:graphic>
          </wp:inline>
        </w:drawing>
      </w:r>
    </w:p>
    <w:p w:rsidR="00F15382" w:rsidRDefault="00F15382" w:rsidP="00E3403E">
      <w:pPr>
        <w:widowControl w:val="0"/>
        <w:autoSpaceDE w:val="0"/>
        <w:autoSpaceDN w:val="0"/>
        <w:adjustRightInd w:val="0"/>
        <w:rPr>
          <w:rFonts w:cs="Arial"/>
          <w:szCs w:val="20"/>
        </w:rPr>
      </w:pPr>
    </w:p>
    <w:p w:rsidR="00F15382" w:rsidRDefault="00F15382" w:rsidP="00E3403E">
      <w:pPr>
        <w:widowControl w:val="0"/>
        <w:autoSpaceDE w:val="0"/>
        <w:autoSpaceDN w:val="0"/>
        <w:adjustRightInd w:val="0"/>
        <w:rPr>
          <w:rFonts w:cs="Arial"/>
          <w:szCs w:val="20"/>
        </w:rPr>
      </w:pPr>
    </w:p>
    <w:p w:rsidR="00F15382" w:rsidRDefault="00F15382" w:rsidP="00E3403E">
      <w:pPr>
        <w:rPr>
          <w:rFonts w:cs="Arial"/>
          <w:u w:val="single"/>
        </w:rPr>
      </w:pPr>
      <w:r w:rsidRPr="00420F90">
        <w:rPr>
          <w:rFonts w:cs="Arial"/>
          <w:szCs w:val="20"/>
        </w:rPr>
        <w:t>A.</w:t>
      </w:r>
      <w:r w:rsidRPr="00420F90">
        <w:rPr>
          <w:rFonts w:cs="Arial"/>
        </w:rPr>
        <w:tab/>
      </w:r>
      <w:r w:rsidRPr="00420F90">
        <w:rPr>
          <w:rFonts w:cs="Arial"/>
          <w:u w:val="single"/>
        </w:rPr>
        <w:t>201</w:t>
      </w:r>
      <w:r>
        <w:rPr>
          <w:rFonts w:cs="Arial"/>
          <w:u w:val="single"/>
        </w:rPr>
        <w:t xml:space="preserve">4/15 Final </w:t>
      </w:r>
      <w:r w:rsidRPr="00420F90">
        <w:rPr>
          <w:rFonts w:cs="Arial"/>
          <w:u w:val="single"/>
        </w:rPr>
        <w:t xml:space="preserve">Budget after Transfers </w:t>
      </w:r>
    </w:p>
    <w:p w:rsidR="00F15382" w:rsidRDefault="00F15382" w:rsidP="00E3403E">
      <w:pPr>
        <w:rPr>
          <w:rFonts w:cs="Arial"/>
          <w:u w:val="single"/>
        </w:rPr>
      </w:pPr>
    </w:p>
    <w:p w:rsidR="00F15382" w:rsidRDefault="00F15382" w:rsidP="00F15382">
      <w:pPr>
        <w:pStyle w:val="ListParagraph"/>
        <w:numPr>
          <w:ilvl w:val="0"/>
          <w:numId w:val="94"/>
        </w:numPr>
        <w:tabs>
          <w:tab w:val="left" w:pos="709"/>
        </w:tabs>
        <w:ind w:left="0" w:firstLine="0"/>
        <w:jc w:val="both"/>
        <w:rPr>
          <w:rFonts w:cs="Arial"/>
          <w:lang w:eastAsia="ko-KR"/>
        </w:rPr>
      </w:pPr>
      <w:r>
        <w:rPr>
          <w:rFonts w:cs="Arial"/>
          <w:lang w:eastAsia="ko-KR"/>
        </w:rPr>
        <w:t xml:space="preserve">The Final Budget after Transfers under Result II.6 (Wider and better use of the Madrid and Lisbon Systems) reflects an upward adjustment primarily due to:  (i) the transfer of additional funds to support the Madrid Reform Initiative, including the expansion of the Madrid Fellowship Program;  (ii) transfer of funds for the convening of a Diplomatic Conference </w:t>
      </w:r>
      <w:r w:rsidRPr="000D3E26">
        <w:t>for the Adoption of a Revised Lisbon Agreement on Appellations of Origin and Geographical Indications</w:t>
      </w:r>
      <w:r>
        <w:rPr>
          <w:rFonts w:cs="Arial"/>
          <w:lang w:eastAsia="ko-KR"/>
        </w:rPr>
        <w:t>;  and (iii)</w:t>
      </w:r>
      <w:r w:rsidRPr="000E1C84">
        <w:rPr>
          <w:rFonts w:cs="Arial"/>
          <w:lang w:eastAsia="ko-KR"/>
        </w:rPr>
        <w:t xml:space="preserve"> </w:t>
      </w:r>
      <w:r>
        <w:rPr>
          <w:rFonts w:cs="Arial"/>
          <w:lang w:eastAsia="ko-KR"/>
        </w:rPr>
        <w:t>the transfer of funds from Program 31 to Program 6 for IT</w:t>
      </w:r>
      <w:r>
        <w:rPr>
          <w:rFonts w:cs="Arial"/>
          <w:lang w:eastAsia="ko-KR"/>
        </w:rPr>
        <w:noBreakHyphen/>
        <w:t>related work, as well as to cover the cost of additional delegates to the Assemblies of the Madrid, Hague and Lisbon Unions as a result of the growth of the Systems.</w:t>
      </w:r>
    </w:p>
    <w:p w:rsidR="00F15382" w:rsidRDefault="00F15382" w:rsidP="00E3403E">
      <w:pPr>
        <w:autoSpaceDE w:val="0"/>
        <w:autoSpaceDN w:val="0"/>
        <w:jc w:val="both"/>
        <w:rPr>
          <w:rFonts w:cs="Arial"/>
          <w:szCs w:val="20"/>
          <w:lang w:eastAsia="ko-KR"/>
        </w:rPr>
      </w:pPr>
    </w:p>
    <w:p w:rsidR="00F15382" w:rsidRDefault="00F15382" w:rsidP="00F15382">
      <w:pPr>
        <w:pStyle w:val="ListParagraph"/>
        <w:numPr>
          <w:ilvl w:val="0"/>
          <w:numId w:val="94"/>
        </w:numPr>
        <w:tabs>
          <w:tab w:val="left" w:pos="709"/>
        </w:tabs>
        <w:ind w:left="0" w:firstLine="0"/>
        <w:jc w:val="both"/>
        <w:rPr>
          <w:rFonts w:cs="Arial"/>
          <w:lang w:eastAsia="ko-KR"/>
        </w:rPr>
      </w:pPr>
      <w:r>
        <w:rPr>
          <w:rFonts w:cs="Arial"/>
        </w:rPr>
        <w:t>The</w:t>
      </w:r>
      <w:r>
        <w:rPr>
          <w:rFonts w:cs="Arial"/>
          <w:lang w:eastAsia="ko-KR"/>
        </w:rPr>
        <w:t xml:space="preserve"> net decrease in personnel resources in the 2014/15 Final Budget after Transfers reflects a shift from personnel to non-personnel resources as a means for more flexible and agile resourcing of Madrid Operations as part of the Madrid Reform initiative.  </w:t>
      </w:r>
    </w:p>
    <w:p w:rsidR="00F15382" w:rsidRDefault="00F15382" w:rsidP="00E3403E">
      <w:pPr>
        <w:rPr>
          <w:rFonts w:cs="Arial"/>
          <w:u w:val="single"/>
        </w:rPr>
      </w:pPr>
    </w:p>
    <w:p w:rsidR="00F15382" w:rsidRDefault="00F15382" w:rsidP="00E3403E">
      <w:pPr>
        <w:jc w:val="both"/>
        <w:rPr>
          <w:rFonts w:cs="Arial"/>
          <w:szCs w:val="20"/>
          <w:u w:val="single"/>
          <w:lang w:eastAsia="ko-KR"/>
        </w:rPr>
      </w:pPr>
      <w:r>
        <w:rPr>
          <w:rFonts w:cs="Arial"/>
          <w:szCs w:val="20"/>
          <w:lang w:eastAsia="ko-KR"/>
        </w:rPr>
        <w:t>B.</w:t>
      </w:r>
      <w:r>
        <w:rPr>
          <w:rFonts w:cs="Arial"/>
          <w:szCs w:val="20"/>
          <w:lang w:eastAsia="ko-KR"/>
        </w:rPr>
        <w:tab/>
      </w:r>
      <w:r w:rsidRPr="00420F90">
        <w:rPr>
          <w:rFonts w:cs="Arial"/>
          <w:u w:val="single"/>
        </w:rPr>
        <w:t>201</w:t>
      </w:r>
      <w:r>
        <w:rPr>
          <w:rFonts w:cs="Arial"/>
          <w:u w:val="single"/>
        </w:rPr>
        <w:t xml:space="preserve">4/15 </w:t>
      </w:r>
      <w:r>
        <w:rPr>
          <w:rFonts w:cs="Arial"/>
          <w:szCs w:val="20"/>
          <w:u w:val="single"/>
          <w:lang w:eastAsia="ko-KR"/>
        </w:rPr>
        <w:t xml:space="preserve">Budget Utilization </w:t>
      </w:r>
    </w:p>
    <w:p w:rsidR="00F15382" w:rsidRDefault="00F15382" w:rsidP="00E3403E">
      <w:pPr>
        <w:tabs>
          <w:tab w:val="left" w:pos="709"/>
        </w:tabs>
        <w:jc w:val="both"/>
        <w:rPr>
          <w:rFonts w:cs="Arial"/>
          <w:szCs w:val="20"/>
          <w:u w:val="single"/>
          <w:lang w:eastAsia="ko-KR"/>
        </w:rPr>
      </w:pPr>
    </w:p>
    <w:p w:rsidR="009F72A7" w:rsidRPr="0054556A" w:rsidRDefault="00F15382" w:rsidP="00E023E5">
      <w:pPr>
        <w:pStyle w:val="ListParagraph"/>
        <w:numPr>
          <w:ilvl w:val="0"/>
          <w:numId w:val="94"/>
        </w:numPr>
        <w:tabs>
          <w:tab w:val="left" w:pos="709"/>
        </w:tabs>
        <w:ind w:left="0" w:firstLine="0"/>
        <w:jc w:val="both"/>
      </w:pPr>
      <w:r w:rsidRPr="00F15382">
        <w:rPr>
          <w:rFonts w:cs="Arial"/>
          <w:lang w:eastAsia="ko-KR"/>
        </w:rPr>
        <w:t xml:space="preserve">Budget utilization is within the expected range for the biennium.    </w:t>
      </w:r>
    </w:p>
    <w:p w:rsidR="009F72A7" w:rsidRDefault="009F72A7">
      <w:r>
        <w:br w:type="page"/>
      </w:r>
    </w:p>
    <w:p w:rsidR="009F72A7" w:rsidRPr="00FA0C5A" w:rsidRDefault="009F72A7" w:rsidP="00FA0C5A">
      <w:pPr>
        <w:pStyle w:val="StyleHeading3BoldNounderline"/>
        <w:rPr>
          <w:b/>
        </w:rPr>
      </w:pPr>
      <w:bookmarkStart w:id="65" w:name="_Toc454544470"/>
      <w:r w:rsidRPr="00FA0C5A">
        <w:rPr>
          <w:b/>
        </w:rPr>
        <w:lastRenderedPageBreak/>
        <w:t>Program 6 Annex:    Indicators of Madrid Operations</w:t>
      </w:r>
      <w:bookmarkEnd w:id="65"/>
    </w:p>
    <w:p w:rsidR="00E023E5" w:rsidRDefault="00E023E5"/>
    <w:p w:rsidR="009F72A7" w:rsidRDefault="009F72A7"/>
    <w:p w:rsidR="009F72A7" w:rsidRPr="00990B8A" w:rsidRDefault="009F72A7" w:rsidP="009F72A7">
      <w:pPr>
        <w:rPr>
          <w:lang w:bidi="th-TH"/>
        </w:rPr>
      </w:pPr>
      <w:r w:rsidRPr="00990B8A">
        <w:rPr>
          <w:lang w:bidi="th-TH"/>
        </w:rPr>
        <w:t>PERFORMANCE INDICATORS FOR THE EXPECTED RESULT</w:t>
      </w:r>
    </w:p>
    <w:p w:rsidR="009F72A7" w:rsidRPr="00990B8A" w:rsidRDefault="009F72A7" w:rsidP="009F72A7">
      <w:pPr>
        <w:tabs>
          <w:tab w:val="left" w:pos="1525"/>
          <w:tab w:val="right" w:pos="2835"/>
        </w:tabs>
        <w:spacing w:after="60"/>
      </w:pPr>
      <w:r w:rsidRPr="00990B8A">
        <w:t>“</w:t>
      </w:r>
      <w:r w:rsidRPr="00990B8A">
        <w:rPr>
          <w:lang w:bidi="th-TH"/>
        </w:rPr>
        <w:t>IMPROVED PRODUCTIVITY AND SERVICE QUALITY OF</w:t>
      </w:r>
      <w:r w:rsidRPr="00990B8A">
        <w:t xml:space="preserve"> MADRID OPERATIONS”</w:t>
      </w:r>
    </w:p>
    <w:p w:rsidR="0038701B" w:rsidRPr="00990B8A" w:rsidRDefault="0038701B" w:rsidP="00E3403E">
      <w:pPr>
        <w:rPr>
          <w:rFonts w:cs="Arial"/>
          <w:b/>
        </w:rPr>
      </w:pPr>
    </w:p>
    <w:p w:rsidR="0038701B" w:rsidRPr="00990B8A" w:rsidRDefault="0038701B" w:rsidP="0038701B">
      <w:pPr>
        <w:pStyle w:val="ListParagraph"/>
        <w:numPr>
          <w:ilvl w:val="0"/>
          <w:numId w:val="104"/>
        </w:numPr>
        <w:tabs>
          <w:tab w:val="left" w:pos="567"/>
        </w:tabs>
        <w:ind w:left="0" w:firstLine="0"/>
        <w:contextualSpacing/>
        <w:jc w:val="both"/>
        <w:rPr>
          <w:rFonts w:cs="Arial"/>
        </w:rPr>
      </w:pPr>
      <w:r>
        <w:rPr>
          <w:rFonts w:cs="Arial"/>
        </w:rPr>
        <w:t>When assessing</w:t>
      </w:r>
      <w:r w:rsidRPr="00990B8A">
        <w:rPr>
          <w:rFonts w:cs="Arial"/>
        </w:rPr>
        <w:t xml:space="preserve"> performance indicators </w:t>
      </w:r>
      <w:r>
        <w:rPr>
          <w:rFonts w:cs="Arial"/>
        </w:rPr>
        <w:t xml:space="preserve">to determine the </w:t>
      </w:r>
      <w:r w:rsidRPr="00990B8A">
        <w:rPr>
          <w:rFonts w:cs="Arial"/>
        </w:rPr>
        <w:t>expected result “</w:t>
      </w:r>
      <w:r w:rsidRPr="00990B8A">
        <w:rPr>
          <w:rFonts w:cs="Arial"/>
          <w:lang w:eastAsia="zh-CN" w:bidi="th-TH"/>
        </w:rPr>
        <w:t>improved productivity and service quality of</w:t>
      </w:r>
      <w:r w:rsidRPr="00990B8A">
        <w:rPr>
          <w:rFonts w:cs="Arial"/>
        </w:rPr>
        <w:t xml:space="preserve"> Madrid operations”, the following factors </w:t>
      </w:r>
      <w:r>
        <w:rPr>
          <w:rFonts w:cs="Arial"/>
        </w:rPr>
        <w:t xml:space="preserve">should </w:t>
      </w:r>
      <w:r w:rsidRPr="00990B8A">
        <w:rPr>
          <w:rFonts w:cs="Arial"/>
        </w:rPr>
        <w:t>be considered:</w:t>
      </w:r>
    </w:p>
    <w:p w:rsidR="0038701B" w:rsidRPr="00990B8A" w:rsidRDefault="0038701B" w:rsidP="00E3403E">
      <w:pPr>
        <w:jc w:val="both"/>
        <w:rPr>
          <w:rFonts w:cs="Arial"/>
          <w:szCs w:val="20"/>
        </w:rPr>
      </w:pPr>
    </w:p>
    <w:p w:rsidR="0038701B" w:rsidRPr="00990B8A" w:rsidRDefault="0038701B" w:rsidP="0038701B">
      <w:pPr>
        <w:numPr>
          <w:ilvl w:val="0"/>
          <w:numId w:val="39"/>
        </w:numPr>
        <w:tabs>
          <w:tab w:val="clear" w:pos="720"/>
          <w:tab w:val="num" w:pos="1701"/>
        </w:tabs>
        <w:spacing w:after="120"/>
        <w:ind w:left="1701" w:hanging="567"/>
        <w:jc w:val="both"/>
        <w:rPr>
          <w:rFonts w:cs="Arial"/>
          <w:szCs w:val="20"/>
        </w:rPr>
      </w:pPr>
      <w:r w:rsidRPr="00990B8A">
        <w:rPr>
          <w:rFonts w:cs="Arial"/>
          <w:szCs w:val="20"/>
        </w:rPr>
        <w:t>Madrid workload;</w:t>
      </w:r>
    </w:p>
    <w:p w:rsidR="0038701B" w:rsidRPr="00990B8A" w:rsidRDefault="0038701B" w:rsidP="0038701B">
      <w:pPr>
        <w:numPr>
          <w:ilvl w:val="0"/>
          <w:numId w:val="39"/>
        </w:numPr>
        <w:tabs>
          <w:tab w:val="clear" w:pos="720"/>
          <w:tab w:val="num" w:pos="1701"/>
        </w:tabs>
        <w:spacing w:after="120"/>
        <w:ind w:left="1701" w:hanging="567"/>
        <w:jc w:val="both"/>
        <w:rPr>
          <w:rFonts w:cs="Arial"/>
          <w:szCs w:val="20"/>
        </w:rPr>
      </w:pPr>
      <w:r w:rsidRPr="00990B8A">
        <w:rPr>
          <w:rFonts w:cs="Arial"/>
          <w:szCs w:val="20"/>
        </w:rPr>
        <w:t>Composition of th</w:t>
      </w:r>
      <w:r>
        <w:rPr>
          <w:rFonts w:cs="Arial"/>
          <w:szCs w:val="20"/>
        </w:rPr>
        <w:t>e</w:t>
      </w:r>
      <w:r w:rsidRPr="00990B8A">
        <w:rPr>
          <w:rFonts w:cs="Arial"/>
          <w:szCs w:val="20"/>
        </w:rPr>
        <w:t xml:space="preserve"> workload;</w:t>
      </w:r>
    </w:p>
    <w:p w:rsidR="0038701B" w:rsidRPr="00990B8A" w:rsidRDefault="0038701B" w:rsidP="0038701B">
      <w:pPr>
        <w:numPr>
          <w:ilvl w:val="0"/>
          <w:numId w:val="39"/>
        </w:numPr>
        <w:tabs>
          <w:tab w:val="clear" w:pos="720"/>
          <w:tab w:val="num" w:pos="1701"/>
        </w:tabs>
        <w:spacing w:after="120"/>
        <w:ind w:left="1701" w:hanging="567"/>
        <w:jc w:val="both"/>
        <w:rPr>
          <w:rFonts w:cs="Arial"/>
          <w:szCs w:val="20"/>
        </w:rPr>
      </w:pPr>
      <w:r w:rsidRPr="00990B8A">
        <w:rPr>
          <w:rFonts w:cs="Arial"/>
          <w:szCs w:val="20"/>
        </w:rPr>
        <w:t>Number of staff assigned to process th</w:t>
      </w:r>
      <w:r>
        <w:rPr>
          <w:rFonts w:cs="Arial"/>
          <w:szCs w:val="20"/>
        </w:rPr>
        <w:t>e</w:t>
      </w:r>
      <w:r w:rsidRPr="00990B8A">
        <w:rPr>
          <w:rFonts w:cs="Arial"/>
          <w:szCs w:val="20"/>
        </w:rPr>
        <w:t xml:space="preserve"> workload;</w:t>
      </w:r>
    </w:p>
    <w:p w:rsidR="0038701B" w:rsidRPr="00990B8A" w:rsidRDefault="0038701B" w:rsidP="0038701B">
      <w:pPr>
        <w:numPr>
          <w:ilvl w:val="0"/>
          <w:numId w:val="39"/>
        </w:numPr>
        <w:tabs>
          <w:tab w:val="clear" w:pos="720"/>
          <w:tab w:val="num" w:pos="1701"/>
        </w:tabs>
        <w:spacing w:after="120"/>
        <w:ind w:left="1701" w:hanging="567"/>
        <w:jc w:val="both"/>
        <w:rPr>
          <w:rFonts w:cs="Arial"/>
          <w:szCs w:val="20"/>
        </w:rPr>
      </w:pPr>
      <w:r w:rsidRPr="00990B8A">
        <w:rPr>
          <w:rFonts w:cs="Arial"/>
          <w:szCs w:val="20"/>
        </w:rPr>
        <w:t>Level of automation;  and</w:t>
      </w:r>
      <w:r>
        <w:rPr>
          <w:rFonts w:cs="Arial"/>
          <w:szCs w:val="20"/>
        </w:rPr>
        <w:t>,</w:t>
      </w:r>
    </w:p>
    <w:p w:rsidR="0038701B" w:rsidRPr="00990B8A" w:rsidRDefault="0038701B" w:rsidP="0038701B">
      <w:pPr>
        <w:numPr>
          <w:ilvl w:val="0"/>
          <w:numId w:val="39"/>
        </w:numPr>
        <w:tabs>
          <w:tab w:val="clear" w:pos="720"/>
          <w:tab w:val="num" w:pos="1701"/>
        </w:tabs>
        <w:ind w:left="1701" w:hanging="567"/>
        <w:jc w:val="both"/>
        <w:rPr>
          <w:rFonts w:cs="Arial"/>
          <w:szCs w:val="20"/>
        </w:rPr>
      </w:pPr>
      <w:r w:rsidRPr="00990B8A">
        <w:rPr>
          <w:rFonts w:cs="Arial"/>
          <w:szCs w:val="20"/>
        </w:rPr>
        <w:t>Total cost of production.</w:t>
      </w:r>
    </w:p>
    <w:p w:rsidR="0038701B" w:rsidRPr="00990B8A" w:rsidRDefault="0038701B" w:rsidP="00E3403E">
      <w:pPr>
        <w:ind w:left="360"/>
        <w:jc w:val="both"/>
        <w:rPr>
          <w:rFonts w:cs="Arial"/>
          <w:szCs w:val="20"/>
        </w:rPr>
      </w:pPr>
    </w:p>
    <w:p w:rsidR="0038701B" w:rsidRPr="00990B8A" w:rsidRDefault="0038701B" w:rsidP="0038701B">
      <w:pPr>
        <w:pStyle w:val="ListParagraph"/>
        <w:numPr>
          <w:ilvl w:val="0"/>
          <w:numId w:val="99"/>
        </w:numPr>
        <w:ind w:left="360" w:hanging="360"/>
        <w:contextualSpacing/>
        <w:jc w:val="both"/>
        <w:rPr>
          <w:rFonts w:cs="Arial"/>
          <w:b/>
        </w:rPr>
      </w:pPr>
      <w:r w:rsidRPr="00990B8A">
        <w:rPr>
          <w:rFonts w:cs="Arial"/>
          <w:b/>
        </w:rPr>
        <w:t>Incoming documents</w:t>
      </w:r>
    </w:p>
    <w:p w:rsidR="0038701B" w:rsidRPr="00990B8A" w:rsidRDefault="0038701B" w:rsidP="00E3403E">
      <w:pPr>
        <w:pStyle w:val="ListParagraph"/>
        <w:ind w:left="1080"/>
        <w:jc w:val="both"/>
        <w:rPr>
          <w:rFonts w:cs="Arial"/>
        </w:rPr>
      </w:pPr>
    </w:p>
    <w:p w:rsidR="0038701B" w:rsidRPr="00990B8A" w:rsidRDefault="0038701B" w:rsidP="0038701B">
      <w:pPr>
        <w:pStyle w:val="ListParagraph"/>
        <w:numPr>
          <w:ilvl w:val="0"/>
          <w:numId w:val="104"/>
        </w:numPr>
        <w:tabs>
          <w:tab w:val="left" w:pos="567"/>
        </w:tabs>
        <w:ind w:left="0" w:firstLine="0"/>
        <w:contextualSpacing/>
        <w:jc w:val="both"/>
        <w:rPr>
          <w:rFonts w:cs="Arial"/>
        </w:rPr>
      </w:pPr>
      <w:r w:rsidRPr="00990B8A">
        <w:rPr>
          <w:rFonts w:cs="Arial"/>
        </w:rPr>
        <w:t xml:space="preserve">The International Bureau (IB) receives six different categories of documents, namely international applications, renewals, subsequent designations, modifications, decisions and corrections. The latest trend for </w:t>
      </w:r>
      <w:r>
        <w:rPr>
          <w:rFonts w:cs="Arial"/>
        </w:rPr>
        <w:t xml:space="preserve">the number of documents received by the IB in relation to </w:t>
      </w:r>
      <w:r w:rsidRPr="00990B8A">
        <w:rPr>
          <w:rFonts w:cs="Arial"/>
        </w:rPr>
        <w:t xml:space="preserve">each of these </w:t>
      </w:r>
      <w:r>
        <w:rPr>
          <w:rFonts w:cs="Arial"/>
        </w:rPr>
        <w:t>categories</w:t>
      </w:r>
      <w:r w:rsidRPr="00990B8A">
        <w:rPr>
          <w:rFonts w:cs="Arial"/>
        </w:rPr>
        <w:t xml:space="preserve"> is presented below. </w:t>
      </w:r>
      <w:r>
        <w:rPr>
          <w:rFonts w:cs="Arial"/>
        </w:rPr>
        <w:t>With respect to international applications, a</w:t>
      </w:r>
      <w:r w:rsidRPr="00990B8A">
        <w:rPr>
          <w:rFonts w:cs="Arial"/>
        </w:rPr>
        <w:t xml:space="preserve">dditional information, such as </w:t>
      </w:r>
      <w:r>
        <w:rPr>
          <w:rFonts w:cs="Arial"/>
        </w:rPr>
        <w:t>the</w:t>
      </w:r>
      <w:r w:rsidRPr="00990B8A">
        <w:rPr>
          <w:rFonts w:cs="Arial"/>
        </w:rPr>
        <w:t xml:space="preserve"> average number of classes and average </w:t>
      </w:r>
      <w:r>
        <w:rPr>
          <w:rFonts w:cs="Arial"/>
        </w:rPr>
        <w:t>length of the application,</w:t>
      </w:r>
      <w:r w:rsidRPr="00990B8A">
        <w:rPr>
          <w:rFonts w:cs="Arial"/>
        </w:rPr>
        <w:t xml:space="preserve"> is also provided. For technical reasons, some indicators show data based on processed documents rather than on incoming documents. Backlogs in processing may therefore affect some indicators.</w:t>
      </w:r>
      <w:r>
        <w:rPr>
          <w:rFonts w:cs="Arial"/>
        </w:rPr>
        <w:t xml:space="preserve">  This is particularly true for 2015 as a large part of the backlog was eliminated by the IB in this year.</w:t>
      </w:r>
    </w:p>
    <w:p w:rsidR="0038701B" w:rsidRPr="00990B8A" w:rsidRDefault="0038701B" w:rsidP="00E3403E">
      <w:pPr>
        <w:pStyle w:val="ListParagraph"/>
        <w:ind w:left="0"/>
        <w:jc w:val="both"/>
        <w:rPr>
          <w:rFonts w:cs="Arial"/>
        </w:rPr>
      </w:pPr>
    </w:p>
    <w:p w:rsidR="0038701B" w:rsidRPr="009049DD" w:rsidRDefault="0038701B" w:rsidP="00E3403E">
      <w:pPr>
        <w:pStyle w:val="ListParagraph"/>
        <w:ind w:left="0"/>
        <w:jc w:val="both"/>
        <w:rPr>
          <w:rFonts w:cs="Arial"/>
          <w:u w:val="single"/>
        </w:rPr>
      </w:pPr>
      <w:r w:rsidRPr="009049DD">
        <w:rPr>
          <w:rFonts w:cs="Arial"/>
          <w:u w:val="single"/>
        </w:rPr>
        <w:t xml:space="preserve">International applications </w:t>
      </w:r>
    </w:p>
    <w:p w:rsidR="0038701B" w:rsidRPr="00990B8A" w:rsidRDefault="0038701B" w:rsidP="00E3403E">
      <w:pPr>
        <w:jc w:val="center"/>
        <w:rPr>
          <w:rFonts w:cs="Arial"/>
        </w:rPr>
      </w:pPr>
      <w:r>
        <w:rPr>
          <w:rFonts w:cs="Arial"/>
          <w:noProof/>
        </w:rPr>
        <w:drawing>
          <wp:inline distT="0" distB="0" distL="0" distR="0" wp14:anchorId="5E86DBA4" wp14:editId="76A4FE10">
            <wp:extent cx="5002351" cy="2333625"/>
            <wp:effectExtent l="0" t="0" r="8255" b="0"/>
            <wp:docPr id="845" name="Picture 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4996573" cy="2330930"/>
                    </a:xfrm>
                    <a:prstGeom prst="rect">
                      <a:avLst/>
                    </a:prstGeom>
                    <a:noFill/>
                  </pic:spPr>
                </pic:pic>
              </a:graphicData>
            </a:graphic>
          </wp:inline>
        </w:drawing>
      </w:r>
    </w:p>
    <w:p w:rsidR="0038701B" w:rsidRPr="00990B8A" w:rsidRDefault="0038701B" w:rsidP="00E3403E">
      <w:pPr>
        <w:pStyle w:val="ListParagraph"/>
        <w:tabs>
          <w:tab w:val="left" w:pos="993"/>
        </w:tabs>
        <w:ind w:left="567"/>
        <w:jc w:val="both"/>
        <w:rPr>
          <w:rFonts w:cs="Arial"/>
        </w:rPr>
      </w:pPr>
    </w:p>
    <w:p w:rsidR="0038701B" w:rsidRPr="00990B8A" w:rsidRDefault="0038701B" w:rsidP="0038701B">
      <w:pPr>
        <w:numPr>
          <w:ilvl w:val="0"/>
          <w:numId w:val="39"/>
        </w:numPr>
        <w:tabs>
          <w:tab w:val="clear" w:pos="720"/>
          <w:tab w:val="num" w:pos="1560"/>
        </w:tabs>
        <w:spacing w:after="120"/>
        <w:ind w:left="993" w:hanging="426"/>
        <w:jc w:val="both"/>
        <w:rPr>
          <w:rFonts w:cs="Arial"/>
          <w:szCs w:val="20"/>
        </w:rPr>
      </w:pPr>
      <w:r w:rsidRPr="00990B8A">
        <w:rPr>
          <w:rFonts w:cs="Arial"/>
          <w:szCs w:val="20"/>
        </w:rPr>
        <w:t xml:space="preserve">The IB received </w:t>
      </w:r>
      <w:r>
        <w:rPr>
          <w:rFonts w:cs="Arial"/>
          <w:szCs w:val="20"/>
        </w:rPr>
        <w:t>49,273</w:t>
      </w:r>
      <w:r w:rsidRPr="00990B8A">
        <w:rPr>
          <w:rFonts w:cs="Arial"/>
          <w:szCs w:val="20"/>
        </w:rPr>
        <w:t xml:space="preserve"> applications in 201</w:t>
      </w:r>
      <w:r>
        <w:rPr>
          <w:rFonts w:cs="Arial"/>
          <w:szCs w:val="20"/>
        </w:rPr>
        <w:t>5</w:t>
      </w:r>
      <w:r w:rsidRPr="00990B8A">
        <w:rPr>
          <w:rFonts w:cs="Arial"/>
          <w:szCs w:val="20"/>
        </w:rPr>
        <w:t>, representing an increase of 2.</w:t>
      </w:r>
      <w:r>
        <w:rPr>
          <w:rFonts w:cs="Arial"/>
          <w:szCs w:val="20"/>
        </w:rPr>
        <w:t>9</w:t>
      </w:r>
      <w:r w:rsidRPr="00990B8A">
        <w:rPr>
          <w:rFonts w:cs="Arial"/>
          <w:szCs w:val="20"/>
        </w:rPr>
        <w:t xml:space="preserve"> per cent compared to 201</w:t>
      </w:r>
      <w:r>
        <w:rPr>
          <w:rFonts w:cs="Arial"/>
          <w:szCs w:val="20"/>
        </w:rPr>
        <w:t>4</w:t>
      </w:r>
      <w:r w:rsidRPr="00990B8A">
        <w:rPr>
          <w:rFonts w:cs="Arial"/>
          <w:szCs w:val="20"/>
        </w:rPr>
        <w:t xml:space="preserve">. </w:t>
      </w:r>
      <w:r>
        <w:rPr>
          <w:rFonts w:cs="Arial"/>
          <w:szCs w:val="20"/>
        </w:rPr>
        <w:t xml:space="preserve"> </w:t>
      </w:r>
      <w:r w:rsidRPr="00A412BD">
        <w:rPr>
          <w:rFonts w:cs="Arial"/>
          <w:szCs w:val="20"/>
        </w:rPr>
        <w:t xml:space="preserve">The total number of applications received in the 2014/15 biennium increased by </w:t>
      </w:r>
      <w:r>
        <w:rPr>
          <w:rFonts w:cs="Arial"/>
          <w:szCs w:val="20"/>
        </w:rPr>
        <w:t>seven</w:t>
      </w:r>
      <w:r w:rsidRPr="00A412BD">
        <w:rPr>
          <w:rFonts w:cs="Arial"/>
          <w:szCs w:val="20"/>
        </w:rPr>
        <w:t>per cent compared to the 2012/13 biennium.</w:t>
      </w:r>
    </w:p>
    <w:p w:rsidR="0038701B" w:rsidRPr="00990B8A" w:rsidRDefault="0038701B" w:rsidP="0038701B">
      <w:pPr>
        <w:numPr>
          <w:ilvl w:val="0"/>
          <w:numId w:val="39"/>
        </w:numPr>
        <w:tabs>
          <w:tab w:val="clear" w:pos="720"/>
          <w:tab w:val="num" w:pos="1560"/>
        </w:tabs>
        <w:spacing w:after="120"/>
        <w:ind w:left="993" w:hanging="426"/>
        <w:jc w:val="both"/>
        <w:rPr>
          <w:rFonts w:cs="Arial"/>
          <w:szCs w:val="20"/>
        </w:rPr>
      </w:pPr>
      <w:r w:rsidRPr="00990B8A">
        <w:rPr>
          <w:rFonts w:cs="Arial"/>
          <w:szCs w:val="20"/>
        </w:rPr>
        <w:t>The numbers of applications received have increased continuously since 2010.</w:t>
      </w:r>
    </w:p>
    <w:p w:rsidR="0038701B" w:rsidRPr="00990B8A" w:rsidRDefault="0038701B" w:rsidP="00E3403E">
      <w:pPr>
        <w:pStyle w:val="ListParagraph"/>
        <w:ind w:left="1418"/>
        <w:jc w:val="both"/>
        <w:rPr>
          <w:rFonts w:cs="Arial"/>
        </w:rPr>
      </w:pPr>
    </w:p>
    <w:p w:rsidR="0038701B" w:rsidRPr="009049DD" w:rsidRDefault="0038701B" w:rsidP="00E3403E">
      <w:pPr>
        <w:pStyle w:val="ListParagraph"/>
        <w:keepNext/>
        <w:keepLines/>
        <w:tabs>
          <w:tab w:val="left" w:pos="1701"/>
        </w:tabs>
        <w:ind w:left="567"/>
        <w:jc w:val="both"/>
        <w:rPr>
          <w:rFonts w:cs="Arial"/>
          <w:i/>
        </w:rPr>
      </w:pPr>
      <w:r w:rsidRPr="009049DD">
        <w:rPr>
          <w:rFonts w:cs="Arial"/>
          <w:i/>
        </w:rPr>
        <w:lastRenderedPageBreak/>
        <w:t>Distribution of applications by language of filing</w:t>
      </w:r>
    </w:p>
    <w:p w:rsidR="0038701B" w:rsidRPr="00990B8A" w:rsidRDefault="0038701B" w:rsidP="00E3403E">
      <w:pPr>
        <w:pStyle w:val="ListParagraph"/>
        <w:keepNext/>
        <w:keepLines/>
        <w:tabs>
          <w:tab w:val="left" w:pos="1701"/>
        </w:tabs>
        <w:ind w:left="1134"/>
        <w:jc w:val="both"/>
        <w:rPr>
          <w:rFonts w:cs="Arial"/>
        </w:rPr>
      </w:pPr>
    </w:p>
    <w:p w:rsidR="0038701B" w:rsidRPr="00990B8A" w:rsidRDefault="0038701B" w:rsidP="00E3403E">
      <w:pPr>
        <w:keepNext/>
        <w:keepLines/>
        <w:jc w:val="center"/>
        <w:rPr>
          <w:rFonts w:cs="Arial"/>
        </w:rPr>
      </w:pPr>
      <w:r>
        <w:rPr>
          <w:rFonts w:cs="Arial"/>
          <w:noProof/>
        </w:rPr>
        <w:drawing>
          <wp:inline distT="0" distB="0" distL="0" distR="0" wp14:anchorId="32B3A3B3" wp14:editId="309BD57B">
            <wp:extent cx="5695950" cy="2813973"/>
            <wp:effectExtent l="0" t="0" r="0" b="5715"/>
            <wp:docPr id="846" name="Picture 8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693606" cy="2812815"/>
                    </a:xfrm>
                    <a:prstGeom prst="rect">
                      <a:avLst/>
                    </a:prstGeom>
                    <a:noFill/>
                  </pic:spPr>
                </pic:pic>
              </a:graphicData>
            </a:graphic>
          </wp:inline>
        </w:drawing>
      </w:r>
    </w:p>
    <w:p w:rsidR="0038701B" w:rsidRPr="00990B8A" w:rsidRDefault="0038701B" w:rsidP="0038701B">
      <w:pPr>
        <w:keepNext/>
        <w:keepLines/>
        <w:numPr>
          <w:ilvl w:val="0"/>
          <w:numId w:val="39"/>
        </w:numPr>
        <w:tabs>
          <w:tab w:val="clear" w:pos="720"/>
          <w:tab w:val="num" w:pos="993"/>
        </w:tabs>
        <w:spacing w:after="120"/>
        <w:ind w:left="993" w:hanging="426"/>
        <w:jc w:val="both"/>
        <w:rPr>
          <w:rFonts w:cs="Arial"/>
          <w:szCs w:val="20"/>
        </w:rPr>
      </w:pPr>
      <w:r w:rsidRPr="00990B8A">
        <w:rPr>
          <w:rFonts w:cs="Arial"/>
          <w:szCs w:val="20"/>
        </w:rPr>
        <w:t>In 201</w:t>
      </w:r>
      <w:r>
        <w:rPr>
          <w:rFonts w:cs="Arial"/>
          <w:szCs w:val="20"/>
        </w:rPr>
        <w:t>5</w:t>
      </w:r>
      <w:r w:rsidRPr="00990B8A">
        <w:rPr>
          <w:rFonts w:cs="Arial"/>
          <w:szCs w:val="20"/>
        </w:rPr>
        <w:t xml:space="preserve">, 80 per cent of all applications were filed in English. </w:t>
      </w:r>
      <w:r>
        <w:rPr>
          <w:rFonts w:cs="Arial"/>
          <w:szCs w:val="20"/>
        </w:rPr>
        <w:t xml:space="preserve"> </w:t>
      </w:r>
      <w:r w:rsidRPr="00990B8A">
        <w:rPr>
          <w:rFonts w:cs="Arial"/>
          <w:szCs w:val="20"/>
        </w:rPr>
        <w:t xml:space="preserve">This share </w:t>
      </w:r>
      <w:r>
        <w:rPr>
          <w:rFonts w:cs="Arial"/>
          <w:szCs w:val="20"/>
        </w:rPr>
        <w:t xml:space="preserve">remained unchanged compared to 2014 but </w:t>
      </w:r>
      <w:r w:rsidRPr="00990B8A">
        <w:rPr>
          <w:rFonts w:cs="Arial"/>
          <w:szCs w:val="20"/>
        </w:rPr>
        <w:t>grew by 15</w:t>
      </w:r>
      <w:r>
        <w:rPr>
          <w:rFonts w:cs="Arial"/>
          <w:szCs w:val="20"/>
        </w:rPr>
        <w:t> </w:t>
      </w:r>
      <w:r w:rsidRPr="00990B8A">
        <w:rPr>
          <w:rFonts w:cs="Arial"/>
          <w:szCs w:val="20"/>
        </w:rPr>
        <w:t>percentage points</w:t>
      </w:r>
      <w:r>
        <w:rPr>
          <w:rFonts w:cs="Arial"/>
          <w:szCs w:val="20"/>
        </w:rPr>
        <w:t xml:space="preserve"> since 2008,</w:t>
      </w:r>
      <w:r w:rsidRPr="00990B8A">
        <w:rPr>
          <w:rFonts w:cs="Arial"/>
          <w:szCs w:val="20"/>
        </w:rPr>
        <w:t xml:space="preserve"> </w:t>
      </w:r>
      <w:r>
        <w:rPr>
          <w:rFonts w:cs="Arial"/>
          <w:szCs w:val="20"/>
        </w:rPr>
        <w:t>when English applications comprised</w:t>
      </w:r>
      <w:r w:rsidRPr="00990B8A">
        <w:rPr>
          <w:rFonts w:cs="Arial"/>
          <w:szCs w:val="20"/>
        </w:rPr>
        <w:t xml:space="preserve"> 65 per cent </w:t>
      </w:r>
      <w:r>
        <w:rPr>
          <w:rFonts w:cs="Arial"/>
          <w:szCs w:val="20"/>
        </w:rPr>
        <w:t>of all applications filed</w:t>
      </w:r>
      <w:r w:rsidRPr="00990B8A">
        <w:rPr>
          <w:rFonts w:cs="Arial"/>
          <w:szCs w:val="20"/>
        </w:rPr>
        <w:t>.</w:t>
      </w:r>
    </w:p>
    <w:p w:rsidR="0038701B" w:rsidRDefault="0038701B" w:rsidP="00E3403E">
      <w:pPr>
        <w:jc w:val="both"/>
        <w:rPr>
          <w:rFonts w:cs="Arial"/>
          <w:szCs w:val="20"/>
        </w:rPr>
      </w:pPr>
    </w:p>
    <w:p w:rsidR="0038701B" w:rsidRPr="00990B8A" w:rsidRDefault="0038701B" w:rsidP="00E3403E">
      <w:pPr>
        <w:jc w:val="both"/>
        <w:rPr>
          <w:rFonts w:cs="Arial"/>
          <w:szCs w:val="20"/>
        </w:rPr>
      </w:pPr>
    </w:p>
    <w:p w:rsidR="0038701B" w:rsidRPr="009049DD" w:rsidRDefault="0038701B" w:rsidP="00E3403E">
      <w:pPr>
        <w:pStyle w:val="ListParagraph"/>
        <w:keepNext/>
        <w:keepLines/>
        <w:tabs>
          <w:tab w:val="left" w:pos="1701"/>
        </w:tabs>
        <w:ind w:left="567"/>
        <w:jc w:val="both"/>
        <w:rPr>
          <w:rFonts w:cs="Arial"/>
          <w:i/>
        </w:rPr>
      </w:pPr>
      <w:r w:rsidRPr="009049DD">
        <w:rPr>
          <w:rFonts w:cs="Arial"/>
          <w:i/>
        </w:rPr>
        <w:t>Average</w:t>
      </w:r>
      <w:r w:rsidRPr="00990B8A">
        <w:rPr>
          <w:rFonts w:cs="Arial"/>
        </w:rPr>
        <w:t xml:space="preserve"> </w:t>
      </w:r>
      <w:r w:rsidRPr="009049DD">
        <w:rPr>
          <w:rFonts w:cs="Arial"/>
          <w:i/>
        </w:rPr>
        <w:t>number of designations per registration</w:t>
      </w:r>
    </w:p>
    <w:p w:rsidR="0038701B" w:rsidRPr="00990B8A" w:rsidRDefault="0038701B" w:rsidP="00E3403E">
      <w:pPr>
        <w:jc w:val="center"/>
        <w:rPr>
          <w:rFonts w:cs="Arial"/>
        </w:rPr>
      </w:pPr>
      <w:r>
        <w:rPr>
          <w:rFonts w:cs="Arial"/>
          <w:noProof/>
        </w:rPr>
        <w:drawing>
          <wp:inline distT="0" distB="0" distL="0" distR="0" wp14:anchorId="6559A626" wp14:editId="3B47F12C">
            <wp:extent cx="5753100" cy="2850047"/>
            <wp:effectExtent l="0" t="0" r="0" b="7620"/>
            <wp:docPr id="847" name="Picture 8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756450" cy="2851706"/>
                    </a:xfrm>
                    <a:prstGeom prst="rect">
                      <a:avLst/>
                    </a:prstGeom>
                    <a:noFill/>
                  </pic:spPr>
                </pic:pic>
              </a:graphicData>
            </a:graphic>
          </wp:inline>
        </w:drawing>
      </w:r>
    </w:p>
    <w:p w:rsidR="0038701B" w:rsidRPr="00990B8A" w:rsidRDefault="0038701B" w:rsidP="0038701B">
      <w:pPr>
        <w:numPr>
          <w:ilvl w:val="0"/>
          <w:numId w:val="39"/>
        </w:numPr>
        <w:tabs>
          <w:tab w:val="clear" w:pos="720"/>
          <w:tab w:val="num" w:pos="1134"/>
        </w:tabs>
        <w:spacing w:after="120"/>
        <w:ind w:left="993" w:hanging="426"/>
        <w:jc w:val="both"/>
        <w:rPr>
          <w:rFonts w:cs="Arial"/>
          <w:szCs w:val="20"/>
        </w:rPr>
      </w:pPr>
      <w:r w:rsidRPr="00990B8A">
        <w:rPr>
          <w:rFonts w:cs="Arial"/>
          <w:szCs w:val="20"/>
        </w:rPr>
        <w:t xml:space="preserve">An average </w:t>
      </w:r>
      <w:r>
        <w:rPr>
          <w:rFonts w:cs="Arial"/>
          <w:szCs w:val="20"/>
        </w:rPr>
        <w:t>7.7</w:t>
      </w:r>
      <w:r w:rsidRPr="00990B8A">
        <w:rPr>
          <w:rFonts w:cs="Arial"/>
          <w:szCs w:val="20"/>
        </w:rPr>
        <w:t xml:space="preserve"> designations were made in applications registered in 201</w:t>
      </w:r>
      <w:r>
        <w:rPr>
          <w:rFonts w:cs="Arial"/>
          <w:szCs w:val="20"/>
        </w:rPr>
        <w:t>5, nearly one more designation than the average for 2014</w:t>
      </w:r>
      <w:r w:rsidRPr="00990B8A">
        <w:rPr>
          <w:rFonts w:cs="Arial"/>
          <w:szCs w:val="20"/>
        </w:rPr>
        <w:t>.</w:t>
      </w:r>
    </w:p>
    <w:p w:rsidR="0038701B" w:rsidRPr="00990B8A" w:rsidRDefault="0038701B" w:rsidP="00E3403E">
      <w:pPr>
        <w:tabs>
          <w:tab w:val="num" w:pos="1134"/>
        </w:tabs>
        <w:spacing w:after="120"/>
        <w:ind w:left="993" w:hanging="426"/>
        <w:jc w:val="both"/>
        <w:rPr>
          <w:rFonts w:cs="Arial"/>
          <w:szCs w:val="20"/>
        </w:rPr>
      </w:pPr>
    </w:p>
    <w:p w:rsidR="0038701B" w:rsidRPr="009049DD" w:rsidRDefault="0038701B" w:rsidP="00E3403E">
      <w:pPr>
        <w:pStyle w:val="ListParagraph"/>
        <w:keepNext/>
        <w:keepLines/>
        <w:tabs>
          <w:tab w:val="left" w:pos="1701"/>
        </w:tabs>
        <w:ind w:left="567"/>
        <w:jc w:val="both"/>
        <w:rPr>
          <w:rFonts w:cs="Arial"/>
          <w:i/>
        </w:rPr>
      </w:pPr>
      <w:r w:rsidRPr="009049DD">
        <w:rPr>
          <w:rFonts w:cs="Arial"/>
          <w:i/>
        </w:rPr>
        <w:lastRenderedPageBreak/>
        <w:t>Average number of classes per registration</w:t>
      </w:r>
    </w:p>
    <w:p w:rsidR="0038701B" w:rsidRPr="00990B8A" w:rsidRDefault="0038701B" w:rsidP="00E3403E">
      <w:pPr>
        <w:keepNext/>
        <w:keepLines/>
        <w:jc w:val="center"/>
        <w:rPr>
          <w:rFonts w:cs="Arial"/>
        </w:rPr>
      </w:pPr>
      <w:r>
        <w:rPr>
          <w:rFonts w:cs="Arial"/>
          <w:noProof/>
        </w:rPr>
        <w:drawing>
          <wp:inline distT="0" distB="0" distL="0" distR="0" wp14:anchorId="51FBF801" wp14:editId="4A662218">
            <wp:extent cx="5699943" cy="2695575"/>
            <wp:effectExtent l="0" t="0" r="0" b="0"/>
            <wp:docPr id="848" name="Picture 8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5704971" cy="2697953"/>
                    </a:xfrm>
                    <a:prstGeom prst="rect">
                      <a:avLst/>
                    </a:prstGeom>
                    <a:noFill/>
                  </pic:spPr>
                </pic:pic>
              </a:graphicData>
            </a:graphic>
          </wp:inline>
        </w:drawing>
      </w:r>
    </w:p>
    <w:p w:rsidR="0038701B" w:rsidRPr="00990B8A" w:rsidRDefault="0038701B" w:rsidP="0038701B">
      <w:pPr>
        <w:keepNext/>
        <w:keepLines/>
        <w:numPr>
          <w:ilvl w:val="0"/>
          <w:numId w:val="39"/>
        </w:numPr>
        <w:tabs>
          <w:tab w:val="clear" w:pos="720"/>
          <w:tab w:val="num" w:pos="993"/>
        </w:tabs>
        <w:spacing w:after="120"/>
        <w:ind w:left="993" w:hanging="426"/>
        <w:jc w:val="both"/>
        <w:rPr>
          <w:rFonts w:cs="Arial"/>
          <w:szCs w:val="20"/>
        </w:rPr>
      </w:pPr>
      <w:r>
        <w:rPr>
          <w:rFonts w:cs="Arial"/>
          <w:szCs w:val="20"/>
        </w:rPr>
        <w:t>As was the case in 2014, o</w:t>
      </w:r>
      <w:r w:rsidRPr="00990B8A">
        <w:rPr>
          <w:rFonts w:cs="Arial"/>
          <w:szCs w:val="20"/>
        </w:rPr>
        <w:t>n average, 2.5 classes were specified in applications registered in 201</w:t>
      </w:r>
      <w:r>
        <w:rPr>
          <w:rFonts w:cs="Arial"/>
          <w:szCs w:val="20"/>
        </w:rPr>
        <w:t>5</w:t>
      </w:r>
      <w:r w:rsidRPr="00990B8A">
        <w:rPr>
          <w:rFonts w:cs="Arial"/>
          <w:szCs w:val="20"/>
        </w:rPr>
        <w:t xml:space="preserve">. </w:t>
      </w:r>
    </w:p>
    <w:p w:rsidR="0038701B" w:rsidRPr="00990B8A" w:rsidRDefault="0038701B" w:rsidP="00E3403E">
      <w:pPr>
        <w:jc w:val="both"/>
        <w:rPr>
          <w:rFonts w:cs="Arial"/>
          <w:szCs w:val="20"/>
        </w:rPr>
      </w:pPr>
    </w:p>
    <w:p w:rsidR="0038701B" w:rsidRPr="009049DD" w:rsidRDefault="0038701B" w:rsidP="00E3403E">
      <w:pPr>
        <w:pStyle w:val="ListParagraph"/>
        <w:tabs>
          <w:tab w:val="left" w:pos="1701"/>
        </w:tabs>
        <w:ind w:left="567"/>
        <w:jc w:val="both"/>
        <w:rPr>
          <w:rFonts w:cs="Arial"/>
          <w:i/>
        </w:rPr>
      </w:pPr>
      <w:r w:rsidRPr="009049DD">
        <w:rPr>
          <w:rFonts w:cs="Arial"/>
          <w:i/>
        </w:rPr>
        <w:t xml:space="preserve">Average length of applications </w:t>
      </w:r>
    </w:p>
    <w:p w:rsidR="0038701B" w:rsidRPr="00990B8A" w:rsidRDefault="0038701B" w:rsidP="00E3403E">
      <w:pPr>
        <w:pStyle w:val="ListParagraph"/>
        <w:ind w:left="1980"/>
        <w:jc w:val="both"/>
        <w:rPr>
          <w:rFonts w:cs="Arial"/>
        </w:rPr>
      </w:pPr>
    </w:p>
    <w:p w:rsidR="0038701B" w:rsidRPr="00BC5451" w:rsidRDefault="0038701B" w:rsidP="0038701B">
      <w:pPr>
        <w:pStyle w:val="ListParagraph"/>
        <w:numPr>
          <w:ilvl w:val="0"/>
          <w:numId w:val="104"/>
        </w:numPr>
        <w:tabs>
          <w:tab w:val="left" w:pos="567"/>
        </w:tabs>
        <w:ind w:left="0" w:firstLine="0"/>
        <w:contextualSpacing/>
        <w:jc w:val="both"/>
        <w:rPr>
          <w:rFonts w:cs="Arial"/>
        </w:rPr>
      </w:pPr>
      <w:r w:rsidRPr="00990B8A">
        <w:rPr>
          <w:rFonts w:cs="Arial"/>
        </w:rPr>
        <w:t xml:space="preserve">The length of an application is determined by the total number of words used by applicants </w:t>
      </w:r>
      <w:r>
        <w:rPr>
          <w:rFonts w:cs="Arial"/>
        </w:rPr>
        <w:t>in (a)</w:t>
      </w:r>
      <w:r w:rsidR="003D343A">
        <w:rPr>
          <w:rFonts w:cs="Arial"/>
        </w:rPr>
        <w:t> </w:t>
      </w:r>
      <w:r>
        <w:rPr>
          <w:rFonts w:cs="Arial"/>
        </w:rPr>
        <w:t xml:space="preserve">the description of </w:t>
      </w:r>
      <w:r w:rsidRPr="00990B8A">
        <w:rPr>
          <w:rFonts w:cs="Arial"/>
        </w:rPr>
        <w:t xml:space="preserve">the mark, </w:t>
      </w:r>
      <w:r>
        <w:rPr>
          <w:rFonts w:cs="Arial"/>
        </w:rPr>
        <w:t xml:space="preserve">(b) </w:t>
      </w:r>
      <w:r w:rsidRPr="00990B8A">
        <w:rPr>
          <w:rFonts w:cs="Arial"/>
        </w:rPr>
        <w:t>the list of goods and services and</w:t>
      </w:r>
      <w:r>
        <w:rPr>
          <w:rFonts w:cs="Arial"/>
        </w:rPr>
        <w:t xml:space="preserve"> (c)</w:t>
      </w:r>
      <w:r w:rsidRPr="00990B8A">
        <w:rPr>
          <w:rFonts w:cs="Arial"/>
        </w:rPr>
        <w:t xml:space="preserve"> any accompanying limitations. </w:t>
      </w:r>
      <w:r>
        <w:rPr>
          <w:rFonts w:cs="Arial"/>
        </w:rPr>
        <w:t xml:space="preserve"> To make the application available in all three Madrid System languages, t</w:t>
      </w:r>
      <w:r w:rsidRPr="00990B8A">
        <w:rPr>
          <w:rFonts w:cs="Arial"/>
        </w:rPr>
        <w:t>hese three elements are translated by the IB into English, French or Spanish</w:t>
      </w:r>
      <w:r>
        <w:rPr>
          <w:rFonts w:cs="Arial"/>
        </w:rPr>
        <w:t>, depending on the original language of the application</w:t>
      </w:r>
      <w:r w:rsidRPr="00990B8A">
        <w:rPr>
          <w:rFonts w:cs="Arial"/>
        </w:rPr>
        <w:t xml:space="preserve">. </w:t>
      </w:r>
    </w:p>
    <w:p w:rsidR="0038701B" w:rsidRPr="00990B8A" w:rsidRDefault="0038701B" w:rsidP="00E3403E">
      <w:pPr>
        <w:jc w:val="both"/>
        <w:rPr>
          <w:rFonts w:cs="Arial"/>
          <w:szCs w:val="20"/>
        </w:rPr>
      </w:pPr>
    </w:p>
    <w:p w:rsidR="0038701B" w:rsidRPr="00990B8A" w:rsidRDefault="0038701B" w:rsidP="00E3403E">
      <w:pPr>
        <w:jc w:val="center"/>
        <w:rPr>
          <w:rFonts w:cs="Arial"/>
          <w:szCs w:val="20"/>
        </w:rPr>
      </w:pPr>
      <w:r>
        <w:rPr>
          <w:rFonts w:cs="Arial"/>
          <w:noProof/>
          <w:szCs w:val="20"/>
        </w:rPr>
        <w:drawing>
          <wp:inline distT="0" distB="0" distL="0" distR="0" wp14:anchorId="4B36C37E" wp14:editId="0EF68B46">
            <wp:extent cx="5848350" cy="2891402"/>
            <wp:effectExtent l="0" t="0" r="0" b="4445"/>
            <wp:docPr id="849" name="Picture 8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5848350" cy="2891402"/>
                    </a:xfrm>
                    <a:prstGeom prst="rect">
                      <a:avLst/>
                    </a:prstGeom>
                    <a:noFill/>
                  </pic:spPr>
                </pic:pic>
              </a:graphicData>
            </a:graphic>
          </wp:inline>
        </w:drawing>
      </w:r>
    </w:p>
    <w:p w:rsidR="0038701B" w:rsidRPr="00990B8A" w:rsidRDefault="0038701B" w:rsidP="00E3403E">
      <w:pPr>
        <w:jc w:val="both"/>
        <w:rPr>
          <w:rFonts w:cs="Arial"/>
          <w:szCs w:val="20"/>
        </w:rPr>
      </w:pPr>
    </w:p>
    <w:p w:rsidR="0038701B" w:rsidRPr="00990B8A" w:rsidRDefault="0038701B" w:rsidP="0038701B">
      <w:pPr>
        <w:numPr>
          <w:ilvl w:val="0"/>
          <w:numId w:val="39"/>
        </w:numPr>
        <w:tabs>
          <w:tab w:val="clear" w:pos="720"/>
          <w:tab w:val="num" w:pos="993"/>
        </w:tabs>
        <w:spacing w:after="120"/>
        <w:ind w:left="993" w:hanging="426"/>
        <w:jc w:val="both"/>
        <w:rPr>
          <w:rFonts w:cs="Arial"/>
          <w:szCs w:val="20"/>
        </w:rPr>
      </w:pPr>
      <w:r w:rsidRPr="00990B8A">
        <w:rPr>
          <w:rFonts w:cs="Arial"/>
          <w:szCs w:val="20"/>
        </w:rPr>
        <w:t>In 201</w:t>
      </w:r>
      <w:r>
        <w:rPr>
          <w:rFonts w:cs="Arial"/>
          <w:szCs w:val="20"/>
        </w:rPr>
        <w:t>5</w:t>
      </w:r>
      <w:r w:rsidRPr="00990B8A">
        <w:rPr>
          <w:rFonts w:cs="Arial"/>
          <w:szCs w:val="20"/>
        </w:rPr>
        <w:t>, the average length of an application was 2</w:t>
      </w:r>
      <w:r>
        <w:rPr>
          <w:rFonts w:cs="Arial"/>
          <w:szCs w:val="20"/>
        </w:rPr>
        <w:t>09</w:t>
      </w:r>
      <w:r w:rsidRPr="00990B8A">
        <w:rPr>
          <w:rFonts w:cs="Arial"/>
          <w:szCs w:val="20"/>
        </w:rPr>
        <w:t xml:space="preserve"> words</w:t>
      </w:r>
      <w:r>
        <w:rPr>
          <w:rFonts w:cs="Arial"/>
          <w:szCs w:val="20"/>
        </w:rPr>
        <w:t>, as compared to 239 words in 2014.</w:t>
      </w:r>
      <w:r w:rsidRPr="00990B8A">
        <w:rPr>
          <w:rFonts w:cs="Arial"/>
          <w:szCs w:val="20"/>
        </w:rPr>
        <w:t xml:space="preserve"> </w:t>
      </w:r>
      <w:r>
        <w:rPr>
          <w:rFonts w:cs="Arial"/>
          <w:szCs w:val="20"/>
        </w:rPr>
        <w:t xml:space="preserve"> </w:t>
      </w:r>
      <w:r w:rsidRPr="00990B8A">
        <w:rPr>
          <w:rFonts w:cs="Arial"/>
          <w:szCs w:val="20"/>
        </w:rPr>
        <w:t>This represents a</w:t>
      </w:r>
      <w:r>
        <w:rPr>
          <w:rFonts w:cs="Arial"/>
          <w:szCs w:val="20"/>
        </w:rPr>
        <w:t xml:space="preserve"> de</w:t>
      </w:r>
      <w:r w:rsidRPr="00990B8A">
        <w:rPr>
          <w:rFonts w:cs="Arial"/>
          <w:szCs w:val="20"/>
        </w:rPr>
        <w:t>crease of 12</w:t>
      </w:r>
      <w:r>
        <w:rPr>
          <w:rFonts w:cs="Arial"/>
          <w:szCs w:val="20"/>
        </w:rPr>
        <w:t>.4</w:t>
      </w:r>
      <w:r w:rsidRPr="00990B8A">
        <w:rPr>
          <w:rFonts w:cs="Arial"/>
          <w:szCs w:val="20"/>
        </w:rPr>
        <w:t xml:space="preserve"> per cent compared to 201</w:t>
      </w:r>
      <w:r>
        <w:rPr>
          <w:rFonts w:cs="Arial"/>
          <w:szCs w:val="20"/>
        </w:rPr>
        <w:t>4</w:t>
      </w:r>
      <w:r w:rsidRPr="00990B8A">
        <w:rPr>
          <w:rFonts w:cs="Arial"/>
          <w:szCs w:val="20"/>
        </w:rPr>
        <w:t>.</w:t>
      </w:r>
    </w:p>
    <w:p w:rsidR="0038701B" w:rsidRPr="00990B8A" w:rsidRDefault="0038701B" w:rsidP="0038701B">
      <w:pPr>
        <w:numPr>
          <w:ilvl w:val="0"/>
          <w:numId w:val="39"/>
        </w:numPr>
        <w:tabs>
          <w:tab w:val="clear" w:pos="720"/>
          <w:tab w:val="num" w:pos="993"/>
        </w:tabs>
        <w:spacing w:after="120"/>
        <w:ind w:left="993" w:hanging="426"/>
        <w:jc w:val="both"/>
        <w:rPr>
          <w:rFonts w:cs="Arial"/>
          <w:szCs w:val="20"/>
        </w:rPr>
      </w:pPr>
      <w:r w:rsidRPr="00990B8A">
        <w:rPr>
          <w:rFonts w:cs="Arial"/>
          <w:szCs w:val="20"/>
        </w:rPr>
        <w:t>While certain aspects of the translation and classification work are automated, increases in the length of applications</w:t>
      </w:r>
      <w:r>
        <w:rPr>
          <w:rFonts w:cs="Arial"/>
          <w:szCs w:val="20"/>
        </w:rPr>
        <w:t>, such as those observed during the period 2011-2014,</w:t>
      </w:r>
      <w:r w:rsidRPr="00990B8A">
        <w:rPr>
          <w:rFonts w:cs="Arial"/>
          <w:szCs w:val="20"/>
        </w:rPr>
        <w:t xml:space="preserve"> </w:t>
      </w:r>
      <w:r>
        <w:rPr>
          <w:rFonts w:cs="Arial"/>
          <w:szCs w:val="20"/>
        </w:rPr>
        <w:t>had</w:t>
      </w:r>
      <w:r w:rsidRPr="00990B8A">
        <w:rPr>
          <w:rFonts w:cs="Arial"/>
          <w:szCs w:val="20"/>
        </w:rPr>
        <w:t xml:space="preserve"> a </w:t>
      </w:r>
      <w:r>
        <w:rPr>
          <w:rFonts w:cs="Arial"/>
          <w:szCs w:val="20"/>
        </w:rPr>
        <w:t>significant</w:t>
      </w:r>
      <w:r w:rsidRPr="00990B8A">
        <w:rPr>
          <w:rFonts w:cs="Arial"/>
          <w:szCs w:val="20"/>
        </w:rPr>
        <w:t xml:space="preserve"> impact on the workload of the IB.</w:t>
      </w:r>
    </w:p>
    <w:p w:rsidR="0038701B" w:rsidRPr="00990B8A" w:rsidRDefault="0038701B" w:rsidP="00E3403E">
      <w:pPr>
        <w:pStyle w:val="ListParagraph"/>
        <w:jc w:val="both"/>
        <w:rPr>
          <w:rFonts w:cs="Arial"/>
        </w:rPr>
      </w:pPr>
    </w:p>
    <w:p w:rsidR="0038701B" w:rsidRPr="00990B8A" w:rsidRDefault="0038701B" w:rsidP="00E3403E">
      <w:pPr>
        <w:pStyle w:val="ListParagraph"/>
        <w:jc w:val="both"/>
        <w:rPr>
          <w:rFonts w:cs="Arial"/>
        </w:rPr>
      </w:pPr>
    </w:p>
    <w:p w:rsidR="0038701B" w:rsidRPr="009049DD" w:rsidRDefault="0038701B" w:rsidP="00E3403E">
      <w:pPr>
        <w:pStyle w:val="ListParagraph"/>
        <w:keepNext/>
        <w:keepLines/>
        <w:tabs>
          <w:tab w:val="left" w:pos="1701"/>
        </w:tabs>
        <w:ind w:left="567"/>
        <w:jc w:val="both"/>
        <w:rPr>
          <w:rFonts w:cs="Arial"/>
          <w:i/>
        </w:rPr>
      </w:pPr>
      <w:r w:rsidRPr="009049DD">
        <w:rPr>
          <w:rFonts w:cs="Arial"/>
          <w:i/>
        </w:rPr>
        <w:lastRenderedPageBreak/>
        <w:t xml:space="preserve">Distribution of regular and irregular applications </w:t>
      </w:r>
    </w:p>
    <w:p w:rsidR="0038701B" w:rsidRPr="00990B8A" w:rsidRDefault="0038701B" w:rsidP="00E3403E">
      <w:pPr>
        <w:jc w:val="center"/>
        <w:rPr>
          <w:rFonts w:cs="Arial"/>
          <w:szCs w:val="20"/>
        </w:rPr>
      </w:pPr>
      <w:r>
        <w:rPr>
          <w:rFonts w:cs="Arial"/>
          <w:noProof/>
          <w:szCs w:val="20"/>
        </w:rPr>
        <w:drawing>
          <wp:inline distT="0" distB="0" distL="0" distR="0" wp14:anchorId="2349AF62" wp14:editId="5CDA09DB">
            <wp:extent cx="5764696" cy="3033774"/>
            <wp:effectExtent l="0" t="0" r="762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762045" cy="3032379"/>
                    </a:xfrm>
                    <a:prstGeom prst="rect">
                      <a:avLst/>
                    </a:prstGeom>
                    <a:noFill/>
                  </pic:spPr>
                </pic:pic>
              </a:graphicData>
            </a:graphic>
          </wp:inline>
        </w:drawing>
      </w:r>
    </w:p>
    <w:p w:rsidR="0038701B" w:rsidRDefault="0038701B" w:rsidP="00E3403E">
      <w:pPr>
        <w:jc w:val="both"/>
        <w:rPr>
          <w:rFonts w:cs="Arial"/>
          <w:szCs w:val="20"/>
        </w:rPr>
      </w:pPr>
      <w:r w:rsidRPr="00711C44">
        <w:rPr>
          <w:rFonts w:cs="Arial"/>
          <w:szCs w:val="20"/>
        </w:rPr>
        <w:t xml:space="preserve">While the share of regular applications remained </w:t>
      </w:r>
      <w:r>
        <w:rPr>
          <w:rFonts w:cs="Arial"/>
          <w:szCs w:val="20"/>
        </w:rPr>
        <w:t>stable</w:t>
      </w:r>
      <w:r w:rsidRPr="00711C44">
        <w:rPr>
          <w:rFonts w:cs="Arial"/>
          <w:szCs w:val="20"/>
        </w:rPr>
        <w:t xml:space="preserve"> between 2011 and 2014, </w:t>
      </w:r>
      <w:r>
        <w:rPr>
          <w:rFonts w:cs="Arial"/>
          <w:szCs w:val="20"/>
        </w:rPr>
        <w:t>a decrease of</w:t>
      </w:r>
      <w:r w:rsidRPr="00711C44">
        <w:rPr>
          <w:rFonts w:cs="Arial"/>
          <w:szCs w:val="20"/>
        </w:rPr>
        <w:t xml:space="preserve"> </w:t>
      </w:r>
      <w:r>
        <w:rPr>
          <w:rFonts w:cs="Arial"/>
          <w:szCs w:val="20"/>
        </w:rPr>
        <w:t>five</w:t>
      </w:r>
      <w:r w:rsidRPr="00711C44">
        <w:rPr>
          <w:rFonts w:cs="Arial"/>
          <w:szCs w:val="20"/>
        </w:rPr>
        <w:t xml:space="preserve"> percentage points </w:t>
      </w:r>
      <w:r>
        <w:rPr>
          <w:rFonts w:cs="Arial"/>
          <w:szCs w:val="20"/>
        </w:rPr>
        <w:t xml:space="preserve">was recorded </w:t>
      </w:r>
      <w:r w:rsidRPr="00711C44">
        <w:rPr>
          <w:rFonts w:cs="Arial"/>
          <w:szCs w:val="20"/>
        </w:rPr>
        <w:t>in 2015</w:t>
      </w:r>
      <w:r>
        <w:rPr>
          <w:rFonts w:cs="Arial"/>
          <w:szCs w:val="20"/>
        </w:rPr>
        <w:t>.</w:t>
      </w:r>
    </w:p>
    <w:p w:rsidR="0038701B" w:rsidRPr="00990B8A" w:rsidRDefault="0038701B" w:rsidP="00E3403E">
      <w:pPr>
        <w:jc w:val="both"/>
        <w:rPr>
          <w:rFonts w:cs="Arial"/>
          <w:szCs w:val="20"/>
        </w:rPr>
      </w:pPr>
    </w:p>
    <w:p w:rsidR="0038701B" w:rsidRPr="009049DD" w:rsidRDefault="0038701B" w:rsidP="00E3403E">
      <w:pPr>
        <w:pStyle w:val="ListParagraph"/>
        <w:ind w:left="0"/>
        <w:jc w:val="both"/>
        <w:rPr>
          <w:rFonts w:cs="Arial"/>
          <w:u w:val="single"/>
        </w:rPr>
      </w:pPr>
      <w:r w:rsidRPr="009049DD">
        <w:rPr>
          <w:rFonts w:cs="Arial"/>
          <w:u w:val="single"/>
        </w:rPr>
        <w:t xml:space="preserve">Renewals </w:t>
      </w:r>
    </w:p>
    <w:p w:rsidR="0038701B" w:rsidRPr="00990B8A" w:rsidRDefault="0038701B" w:rsidP="00E3403E">
      <w:pPr>
        <w:jc w:val="center"/>
        <w:rPr>
          <w:rFonts w:cs="Arial"/>
          <w:szCs w:val="20"/>
        </w:rPr>
      </w:pPr>
      <w:r>
        <w:rPr>
          <w:rFonts w:cs="Arial"/>
          <w:noProof/>
          <w:szCs w:val="20"/>
        </w:rPr>
        <w:drawing>
          <wp:inline distT="0" distB="0" distL="0" distR="0" wp14:anchorId="33B90CCC" wp14:editId="5D2CB9B6">
            <wp:extent cx="5400675" cy="2691060"/>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5399828" cy="2690638"/>
                    </a:xfrm>
                    <a:prstGeom prst="rect">
                      <a:avLst/>
                    </a:prstGeom>
                    <a:noFill/>
                  </pic:spPr>
                </pic:pic>
              </a:graphicData>
            </a:graphic>
          </wp:inline>
        </w:drawing>
      </w:r>
    </w:p>
    <w:p w:rsidR="0038701B" w:rsidRPr="00990B8A" w:rsidRDefault="0038701B" w:rsidP="0038701B">
      <w:pPr>
        <w:numPr>
          <w:ilvl w:val="0"/>
          <w:numId w:val="39"/>
        </w:numPr>
        <w:tabs>
          <w:tab w:val="clear" w:pos="720"/>
          <w:tab w:val="num" w:pos="1560"/>
        </w:tabs>
        <w:spacing w:after="120"/>
        <w:ind w:left="993" w:hanging="426"/>
        <w:jc w:val="both"/>
        <w:rPr>
          <w:rFonts w:cs="Arial"/>
          <w:szCs w:val="20"/>
        </w:rPr>
      </w:pPr>
      <w:r w:rsidRPr="00990B8A">
        <w:rPr>
          <w:rFonts w:cs="Arial"/>
          <w:szCs w:val="20"/>
        </w:rPr>
        <w:t>In 201</w:t>
      </w:r>
      <w:r>
        <w:rPr>
          <w:rFonts w:cs="Arial"/>
          <w:szCs w:val="20"/>
        </w:rPr>
        <w:t>5</w:t>
      </w:r>
      <w:r w:rsidRPr="00990B8A">
        <w:rPr>
          <w:rFonts w:cs="Arial"/>
          <w:szCs w:val="20"/>
        </w:rPr>
        <w:t xml:space="preserve">, the IB registered </w:t>
      </w:r>
      <w:r>
        <w:rPr>
          <w:rFonts w:cs="Arial"/>
          <w:szCs w:val="20"/>
        </w:rPr>
        <w:t>28,502</w:t>
      </w:r>
      <w:r w:rsidRPr="00990B8A">
        <w:rPr>
          <w:rFonts w:cs="Arial"/>
          <w:szCs w:val="20"/>
        </w:rPr>
        <w:t xml:space="preserve"> renewals, up 1</w:t>
      </w:r>
      <w:r>
        <w:rPr>
          <w:rFonts w:cs="Arial"/>
          <w:szCs w:val="20"/>
        </w:rPr>
        <w:t>1</w:t>
      </w:r>
      <w:r w:rsidRPr="00990B8A">
        <w:rPr>
          <w:rFonts w:cs="Arial"/>
          <w:szCs w:val="20"/>
        </w:rPr>
        <w:t xml:space="preserve"> per cent from 201</w:t>
      </w:r>
      <w:r>
        <w:rPr>
          <w:rFonts w:cs="Arial"/>
          <w:szCs w:val="20"/>
        </w:rPr>
        <w:t>4</w:t>
      </w:r>
      <w:r w:rsidRPr="00990B8A">
        <w:rPr>
          <w:rFonts w:cs="Arial"/>
          <w:szCs w:val="20"/>
        </w:rPr>
        <w:t xml:space="preserve">. </w:t>
      </w:r>
      <w:r>
        <w:rPr>
          <w:rFonts w:cs="Arial"/>
          <w:szCs w:val="20"/>
        </w:rPr>
        <w:t xml:space="preserve"> </w:t>
      </w:r>
      <w:r w:rsidRPr="00A412BD">
        <w:rPr>
          <w:rFonts w:cs="Arial"/>
          <w:szCs w:val="20"/>
        </w:rPr>
        <w:t>The total number of renewals processed during the 2014/15 biennium increased by 21 per cent compared to the 2012/13 biennium.</w:t>
      </w:r>
    </w:p>
    <w:p w:rsidR="0038701B" w:rsidRPr="00990B8A" w:rsidRDefault="0038701B" w:rsidP="00E3403E">
      <w:pPr>
        <w:spacing w:after="120"/>
        <w:ind w:left="993" w:hanging="426"/>
        <w:jc w:val="both"/>
        <w:rPr>
          <w:rFonts w:cs="Arial"/>
          <w:szCs w:val="20"/>
        </w:rPr>
      </w:pPr>
    </w:p>
    <w:p w:rsidR="0038701B" w:rsidRPr="009049DD" w:rsidRDefault="0038701B" w:rsidP="00E3403E">
      <w:pPr>
        <w:pStyle w:val="ListParagraph"/>
        <w:keepNext/>
        <w:keepLines/>
        <w:ind w:left="0"/>
        <w:jc w:val="both"/>
        <w:rPr>
          <w:rFonts w:cs="Arial"/>
          <w:u w:val="single"/>
        </w:rPr>
      </w:pPr>
      <w:r w:rsidRPr="009049DD">
        <w:rPr>
          <w:rFonts w:cs="Arial"/>
          <w:u w:val="single"/>
        </w:rPr>
        <w:lastRenderedPageBreak/>
        <w:t xml:space="preserve">Subsequent Designations </w:t>
      </w:r>
    </w:p>
    <w:p w:rsidR="0038701B" w:rsidRPr="00BF43CC" w:rsidRDefault="0038701B" w:rsidP="00E3403E">
      <w:pPr>
        <w:keepNext/>
        <w:keepLines/>
        <w:jc w:val="center"/>
        <w:rPr>
          <w:rFonts w:cs="Arial"/>
          <w:szCs w:val="20"/>
          <w:highlight w:val="yellow"/>
        </w:rPr>
      </w:pPr>
      <w:r>
        <w:rPr>
          <w:rFonts w:cs="Arial"/>
          <w:noProof/>
          <w:szCs w:val="20"/>
        </w:rPr>
        <w:drawing>
          <wp:inline distT="0" distB="0" distL="0" distR="0" wp14:anchorId="17DD5F86" wp14:editId="22A65A71">
            <wp:extent cx="5629275" cy="3102746"/>
            <wp:effectExtent l="0" t="0" r="0" b="254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5629275" cy="3102746"/>
                    </a:xfrm>
                    <a:prstGeom prst="rect">
                      <a:avLst/>
                    </a:prstGeom>
                    <a:noFill/>
                  </pic:spPr>
                </pic:pic>
              </a:graphicData>
            </a:graphic>
          </wp:inline>
        </w:drawing>
      </w:r>
    </w:p>
    <w:p w:rsidR="0038701B" w:rsidRPr="00460795" w:rsidRDefault="0038701B" w:rsidP="00E3403E">
      <w:pPr>
        <w:keepNext/>
        <w:keepLines/>
        <w:jc w:val="both"/>
        <w:rPr>
          <w:rFonts w:cs="Arial"/>
          <w:szCs w:val="20"/>
          <w:highlight w:val="yellow"/>
        </w:rPr>
      </w:pPr>
    </w:p>
    <w:p w:rsidR="0038701B" w:rsidRPr="0043175E" w:rsidRDefault="0038701B" w:rsidP="0038701B">
      <w:pPr>
        <w:keepNext/>
        <w:keepLines/>
        <w:numPr>
          <w:ilvl w:val="0"/>
          <w:numId w:val="39"/>
        </w:numPr>
        <w:tabs>
          <w:tab w:val="clear" w:pos="720"/>
          <w:tab w:val="num" w:pos="993"/>
        </w:tabs>
        <w:spacing w:after="120"/>
        <w:ind w:left="993" w:hanging="426"/>
        <w:jc w:val="both"/>
        <w:rPr>
          <w:rFonts w:cs="Arial"/>
          <w:szCs w:val="20"/>
        </w:rPr>
      </w:pPr>
      <w:r w:rsidRPr="0043175E">
        <w:rPr>
          <w:rFonts w:cs="Arial"/>
          <w:szCs w:val="20"/>
        </w:rPr>
        <w:t>In 201</w:t>
      </w:r>
      <w:r>
        <w:rPr>
          <w:rFonts w:cs="Arial"/>
          <w:szCs w:val="20"/>
        </w:rPr>
        <w:t>5</w:t>
      </w:r>
      <w:r w:rsidRPr="0043175E">
        <w:rPr>
          <w:rFonts w:cs="Arial"/>
          <w:szCs w:val="20"/>
        </w:rPr>
        <w:t>, the IB recorded 17,</w:t>
      </w:r>
      <w:r>
        <w:rPr>
          <w:rFonts w:cs="Arial"/>
          <w:szCs w:val="20"/>
        </w:rPr>
        <w:t>937</w:t>
      </w:r>
      <w:r w:rsidRPr="0043175E">
        <w:rPr>
          <w:rFonts w:cs="Arial"/>
          <w:szCs w:val="20"/>
        </w:rPr>
        <w:t xml:space="preserve"> subsequent designations, </w:t>
      </w:r>
      <w:r>
        <w:rPr>
          <w:rFonts w:cs="Arial"/>
          <w:szCs w:val="20"/>
        </w:rPr>
        <w:t xml:space="preserve">up 3.6 </w:t>
      </w:r>
      <w:r w:rsidRPr="0043175E">
        <w:rPr>
          <w:rFonts w:cs="Arial"/>
          <w:szCs w:val="20"/>
        </w:rPr>
        <w:t>per cent from 201</w:t>
      </w:r>
      <w:r>
        <w:rPr>
          <w:rFonts w:cs="Arial"/>
          <w:szCs w:val="20"/>
        </w:rPr>
        <w:t>4</w:t>
      </w:r>
      <w:r w:rsidRPr="0043175E">
        <w:rPr>
          <w:rFonts w:cs="Arial"/>
          <w:szCs w:val="20"/>
        </w:rPr>
        <w:t xml:space="preserve">. </w:t>
      </w:r>
    </w:p>
    <w:p w:rsidR="0038701B" w:rsidRDefault="0038701B" w:rsidP="00E3403E">
      <w:pPr>
        <w:pStyle w:val="ListParagraph"/>
        <w:ind w:left="1418"/>
        <w:jc w:val="both"/>
        <w:rPr>
          <w:rFonts w:cs="Arial"/>
          <w:b/>
        </w:rPr>
      </w:pPr>
    </w:p>
    <w:p w:rsidR="0038701B" w:rsidRPr="0043175E" w:rsidRDefault="0038701B" w:rsidP="00E3403E">
      <w:pPr>
        <w:pStyle w:val="ListParagraph"/>
        <w:ind w:left="1418"/>
        <w:jc w:val="both"/>
        <w:rPr>
          <w:rFonts w:cs="Arial"/>
          <w:b/>
        </w:rPr>
      </w:pPr>
    </w:p>
    <w:p w:rsidR="0038701B" w:rsidRPr="009049DD" w:rsidRDefault="0038701B" w:rsidP="00E3403E">
      <w:pPr>
        <w:pStyle w:val="ListParagraph"/>
        <w:ind w:left="0"/>
        <w:jc w:val="both"/>
        <w:rPr>
          <w:rFonts w:cs="Arial"/>
          <w:u w:val="single"/>
        </w:rPr>
      </w:pPr>
      <w:r w:rsidRPr="009049DD">
        <w:rPr>
          <w:rFonts w:cs="Arial"/>
          <w:u w:val="single"/>
        </w:rPr>
        <w:t>Modifications</w:t>
      </w:r>
    </w:p>
    <w:p w:rsidR="0038701B" w:rsidRPr="00990B8A" w:rsidRDefault="0038701B" w:rsidP="00E3403E">
      <w:pPr>
        <w:ind w:left="360"/>
        <w:jc w:val="center"/>
        <w:rPr>
          <w:rFonts w:cs="Arial"/>
        </w:rPr>
      </w:pPr>
      <w:r>
        <w:rPr>
          <w:rFonts w:cs="Arial"/>
          <w:noProof/>
        </w:rPr>
        <w:drawing>
          <wp:inline distT="0" distB="0" distL="0" distR="0" wp14:anchorId="62E874D2" wp14:editId="0AD678FB">
            <wp:extent cx="5438775" cy="2870727"/>
            <wp:effectExtent l="0" t="0" r="0" b="635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5438775" cy="2870727"/>
                    </a:xfrm>
                    <a:prstGeom prst="rect">
                      <a:avLst/>
                    </a:prstGeom>
                    <a:noFill/>
                  </pic:spPr>
                </pic:pic>
              </a:graphicData>
            </a:graphic>
          </wp:inline>
        </w:drawing>
      </w:r>
    </w:p>
    <w:p w:rsidR="0038701B" w:rsidRDefault="0038701B" w:rsidP="0038701B">
      <w:pPr>
        <w:numPr>
          <w:ilvl w:val="0"/>
          <w:numId w:val="39"/>
        </w:numPr>
        <w:tabs>
          <w:tab w:val="clear" w:pos="720"/>
          <w:tab w:val="num" w:pos="993"/>
        </w:tabs>
        <w:spacing w:after="120"/>
        <w:ind w:left="993" w:hanging="426"/>
        <w:jc w:val="both"/>
        <w:rPr>
          <w:rFonts w:cs="Arial"/>
          <w:szCs w:val="20"/>
        </w:rPr>
      </w:pPr>
      <w:r w:rsidRPr="00990B8A">
        <w:rPr>
          <w:rFonts w:cs="Arial"/>
          <w:szCs w:val="20"/>
        </w:rPr>
        <w:t>In 201</w:t>
      </w:r>
      <w:r>
        <w:rPr>
          <w:rFonts w:cs="Arial"/>
          <w:szCs w:val="20"/>
        </w:rPr>
        <w:t>5</w:t>
      </w:r>
      <w:r w:rsidRPr="00990B8A">
        <w:rPr>
          <w:rFonts w:cs="Arial"/>
          <w:szCs w:val="20"/>
        </w:rPr>
        <w:t xml:space="preserve">, the IB received </w:t>
      </w:r>
      <w:r>
        <w:rPr>
          <w:rFonts w:cs="Arial"/>
          <w:szCs w:val="20"/>
        </w:rPr>
        <w:t>41,363</w:t>
      </w:r>
      <w:r w:rsidRPr="00990B8A">
        <w:rPr>
          <w:rFonts w:cs="Arial"/>
          <w:szCs w:val="20"/>
        </w:rPr>
        <w:t xml:space="preserve"> requests for modification, up </w:t>
      </w:r>
      <w:r>
        <w:rPr>
          <w:rFonts w:cs="Arial"/>
          <w:szCs w:val="20"/>
        </w:rPr>
        <w:t>6.6</w:t>
      </w:r>
      <w:r w:rsidRPr="00990B8A">
        <w:rPr>
          <w:rFonts w:cs="Arial"/>
          <w:szCs w:val="20"/>
        </w:rPr>
        <w:t xml:space="preserve"> per cent from 201</w:t>
      </w:r>
      <w:r>
        <w:rPr>
          <w:rFonts w:cs="Arial"/>
          <w:szCs w:val="20"/>
        </w:rPr>
        <w:t>4</w:t>
      </w:r>
      <w:r w:rsidRPr="00990B8A">
        <w:rPr>
          <w:rFonts w:cs="Arial"/>
          <w:szCs w:val="20"/>
        </w:rPr>
        <w:t xml:space="preserve">. </w:t>
      </w:r>
    </w:p>
    <w:p w:rsidR="0038701B" w:rsidRPr="00990B8A" w:rsidRDefault="0038701B" w:rsidP="00E3403E">
      <w:pPr>
        <w:spacing w:after="120"/>
        <w:ind w:left="1560"/>
        <w:jc w:val="both"/>
        <w:rPr>
          <w:rFonts w:cs="Arial"/>
          <w:szCs w:val="20"/>
        </w:rPr>
      </w:pPr>
    </w:p>
    <w:p w:rsidR="0038701B" w:rsidRPr="009049DD" w:rsidRDefault="0038701B" w:rsidP="00E3403E">
      <w:pPr>
        <w:pStyle w:val="ListParagraph"/>
        <w:keepNext/>
        <w:keepLines/>
        <w:ind w:left="0"/>
        <w:jc w:val="both"/>
        <w:rPr>
          <w:rFonts w:cs="Arial"/>
          <w:u w:val="single"/>
        </w:rPr>
      </w:pPr>
      <w:r w:rsidRPr="009049DD">
        <w:rPr>
          <w:rFonts w:cs="Arial"/>
          <w:u w:val="single"/>
        </w:rPr>
        <w:lastRenderedPageBreak/>
        <w:t>Decisions</w:t>
      </w:r>
    </w:p>
    <w:p w:rsidR="0038701B" w:rsidRPr="00990B8A" w:rsidRDefault="0038701B" w:rsidP="00E3403E">
      <w:pPr>
        <w:keepNext/>
        <w:keepLines/>
        <w:jc w:val="center"/>
        <w:rPr>
          <w:rFonts w:cs="Arial"/>
        </w:rPr>
      </w:pPr>
      <w:r>
        <w:rPr>
          <w:rFonts w:cs="Arial"/>
          <w:noProof/>
        </w:rPr>
        <w:drawing>
          <wp:inline distT="0" distB="0" distL="0" distR="0" wp14:anchorId="60EBDCBE" wp14:editId="538061A1">
            <wp:extent cx="5743575" cy="3091353"/>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5741941" cy="3090474"/>
                    </a:xfrm>
                    <a:prstGeom prst="rect">
                      <a:avLst/>
                    </a:prstGeom>
                    <a:noFill/>
                  </pic:spPr>
                </pic:pic>
              </a:graphicData>
            </a:graphic>
          </wp:inline>
        </w:drawing>
      </w:r>
    </w:p>
    <w:p w:rsidR="0038701B" w:rsidRPr="00990B8A" w:rsidRDefault="0038701B" w:rsidP="0038701B">
      <w:pPr>
        <w:keepNext/>
        <w:keepLines/>
        <w:numPr>
          <w:ilvl w:val="0"/>
          <w:numId w:val="39"/>
        </w:numPr>
        <w:tabs>
          <w:tab w:val="clear" w:pos="720"/>
          <w:tab w:val="num" w:pos="993"/>
        </w:tabs>
        <w:spacing w:after="120"/>
        <w:ind w:left="993" w:hanging="426"/>
        <w:jc w:val="both"/>
        <w:rPr>
          <w:rFonts w:cs="Arial"/>
          <w:szCs w:val="20"/>
        </w:rPr>
      </w:pPr>
      <w:r w:rsidRPr="00990B8A">
        <w:rPr>
          <w:rFonts w:cs="Arial"/>
          <w:szCs w:val="20"/>
        </w:rPr>
        <w:t>In 201</w:t>
      </w:r>
      <w:r>
        <w:rPr>
          <w:rFonts w:cs="Arial"/>
          <w:szCs w:val="20"/>
        </w:rPr>
        <w:t>5</w:t>
      </w:r>
      <w:r w:rsidRPr="00990B8A">
        <w:rPr>
          <w:rFonts w:cs="Arial"/>
          <w:szCs w:val="20"/>
        </w:rPr>
        <w:t xml:space="preserve">, the number of decisions registered </w:t>
      </w:r>
      <w:r>
        <w:rPr>
          <w:rFonts w:cs="Arial"/>
          <w:szCs w:val="20"/>
        </w:rPr>
        <w:t>in</w:t>
      </w:r>
      <w:r w:rsidRPr="00990B8A">
        <w:rPr>
          <w:rFonts w:cs="Arial"/>
          <w:szCs w:val="20"/>
        </w:rPr>
        <w:t xml:space="preserve">creased by </w:t>
      </w:r>
      <w:r>
        <w:rPr>
          <w:rFonts w:cs="Arial"/>
          <w:szCs w:val="20"/>
        </w:rPr>
        <w:t>four</w:t>
      </w:r>
      <w:r w:rsidRPr="00990B8A">
        <w:rPr>
          <w:rFonts w:cs="Arial"/>
          <w:szCs w:val="20"/>
        </w:rPr>
        <w:t xml:space="preserve"> per cent compared to 201</w:t>
      </w:r>
      <w:r>
        <w:rPr>
          <w:rFonts w:cs="Arial"/>
          <w:szCs w:val="20"/>
        </w:rPr>
        <w:t>4</w:t>
      </w:r>
      <w:r w:rsidRPr="00990B8A">
        <w:rPr>
          <w:rFonts w:cs="Arial"/>
          <w:szCs w:val="20"/>
        </w:rPr>
        <w:t xml:space="preserve">, totaling </w:t>
      </w:r>
      <w:r>
        <w:rPr>
          <w:rFonts w:cs="Arial"/>
          <w:szCs w:val="20"/>
        </w:rPr>
        <w:t>541,964</w:t>
      </w:r>
      <w:r w:rsidRPr="00990B8A">
        <w:rPr>
          <w:rFonts w:cs="Arial"/>
          <w:szCs w:val="20"/>
        </w:rPr>
        <w:t xml:space="preserve">. </w:t>
      </w:r>
      <w:r>
        <w:rPr>
          <w:rFonts w:cs="Arial"/>
          <w:szCs w:val="20"/>
        </w:rPr>
        <w:t xml:space="preserve"> </w:t>
      </w:r>
      <w:r w:rsidRPr="00990B8A">
        <w:rPr>
          <w:rFonts w:cs="Arial"/>
          <w:szCs w:val="20"/>
        </w:rPr>
        <w:t xml:space="preserve">The number of decisions processed has </w:t>
      </w:r>
      <w:r>
        <w:rPr>
          <w:rFonts w:cs="Arial"/>
          <w:szCs w:val="20"/>
        </w:rPr>
        <w:t>significantly</w:t>
      </w:r>
      <w:r w:rsidRPr="00990B8A">
        <w:rPr>
          <w:rFonts w:cs="Arial"/>
          <w:szCs w:val="20"/>
        </w:rPr>
        <w:t xml:space="preserve"> increased since 2010.</w:t>
      </w:r>
    </w:p>
    <w:p w:rsidR="0038701B" w:rsidRPr="00990B8A" w:rsidRDefault="0038701B" w:rsidP="0038701B">
      <w:pPr>
        <w:numPr>
          <w:ilvl w:val="0"/>
          <w:numId w:val="39"/>
        </w:numPr>
        <w:tabs>
          <w:tab w:val="clear" w:pos="720"/>
          <w:tab w:val="num" w:pos="993"/>
        </w:tabs>
        <w:spacing w:after="120"/>
        <w:ind w:left="993" w:hanging="426"/>
        <w:jc w:val="both"/>
        <w:rPr>
          <w:rFonts w:cs="Arial"/>
          <w:szCs w:val="20"/>
        </w:rPr>
      </w:pPr>
      <w:r w:rsidRPr="00990B8A">
        <w:rPr>
          <w:rFonts w:cs="Arial"/>
          <w:szCs w:val="20"/>
        </w:rPr>
        <w:t>In 201</w:t>
      </w:r>
      <w:r>
        <w:rPr>
          <w:rFonts w:cs="Arial"/>
          <w:szCs w:val="20"/>
        </w:rPr>
        <w:t>5</w:t>
      </w:r>
      <w:r w:rsidRPr="00990B8A">
        <w:rPr>
          <w:rFonts w:cs="Arial"/>
          <w:szCs w:val="20"/>
        </w:rPr>
        <w:t>, 6</w:t>
      </w:r>
      <w:r>
        <w:rPr>
          <w:rFonts w:cs="Arial"/>
          <w:szCs w:val="20"/>
        </w:rPr>
        <w:t>8</w:t>
      </w:r>
      <w:r w:rsidRPr="00990B8A">
        <w:rPr>
          <w:rFonts w:cs="Arial"/>
          <w:szCs w:val="20"/>
        </w:rPr>
        <w:t xml:space="preserve"> per cent of decisions were processed automatically</w:t>
      </w:r>
      <w:r>
        <w:rPr>
          <w:rFonts w:cs="Arial"/>
          <w:szCs w:val="20"/>
        </w:rPr>
        <w:t>, a proportion which has consistently increased since 2011, when a</w:t>
      </w:r>
      <w:r w:rsidRPr="00990B8A">
        <w:rPr>
          <w:rFonts w:cs="Arial"/>
          <w:szCs w:val="20"/>
        </w:rPr>
        <w:t xml:space="preserve"> majority of decisions </w:t>
      </w:r>
      <w:r>
        <w:rPr>
          <w:rFonts w:cs="Arial"/>
          <w:szCs w:val="20"/>
        </w:rPr>
        <w:t>began being</w:t>
      </w:r>
      <w:r w:rsidRPr="00990B8A">
        <w:rPr>
          <w:rFonts w:cs="Arial"/>
          <w:szCs w:val="20"/>
        </w:rPr>
        <w:t xml:space="preserve"> processed automatically.</w:t>
      </w:r>
    </w:p>
    <w:p w:rsidR="0038701B" w:rsidRPr="00990B8A" w:rsidRDefault="0038701B" w:rsidP="00E3403E">
      <w:pPr>
        <w:jc w:val="both"/>
        <w:rPr>
          <w:rFonts w:cs="Arial"/>
        </w:rPr>
      </w:pPr>
    </w:p>
    <w:p w:rsidR="0038701B" w:rsidRPr="009049DD" w:rsidRDefault="0038701B" w:rsidP="00E3403E">
      <w:pPr>
        <w:pStyle w:val="ListParagraph"/>
        <w:ind w:left="0"/>
        <w:jc w:val="both"/>
        <w:rPr>
          <w:rFonts w:cs="Arial"/>
          <w:u w:val="single"/>
        </w:rPr>
      </w:pPr>
      <w:r w:rsidRPr="009049DD">
        <w:rPr>
          <w:rFonts w:cs="Arial"/>
          <w:u w:val="single"/>
        </w:rPr>
        <w:t>Corrections</w:t>
      </w:r>
    </w:p>
    <w:p w:rsidR="0038701B" w:rsidRPr="00990B8A" w:rsidRDefault="0038701B" w:rsidP="00E3403E">
      <w:pPr>
        <w:jc w:val="center"/>
        <w:rPr>
          <w:rFonts w:cs="Arial"/>
        </w:rPr>
      </w:pPr>
      <w:r>
        <w:rPr>
          <w:rFonts w:cs="Arial"/>
          <w:noProof/>
        </w:rPr>
        <w:drawing>
          <wp:inline distT="0" distB="0" distL="0" distR="0" wp14:anchorId="7F2E39F2" wp14:editId="2B71FEAA">
            <wp:extent cx="5753100" cy="2833709"/>
            <wp:effectExtent l="0" t="0" r="0" b="508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5751980" cy="2833157"/>
                    </a:xfrm>
                    <a:prstGeom prst="rect">
                      <a:avLst/>
                    </a:prstGeom>
                    <a:noFill/>
                  </pic:spPr>
                </pic:pic>
              </a:graphicData>
            </a:graphic>
          </wp:inline>
        </w:drawing>
      </w:r>
    </w:p>
    <w:p w:rsidR="0038701B" w:rsidRDefault="0038701B" w:rsidP="0038701B">
      <w:pPr>
        <w:numPr>
          <w:ilvl w:val="0"/>
          <w:numId w:val="39"/>
        </w:numPr>
        <w:tabs>
          <w:tab w:val="clear" w:pos="720"/>
          <w:tab w:val="num" w:pos="993"/>
        </w:tabs>
        <w:spacing w:after="120"/>
        <w:ind w:left="993" w:hanging="426"/>
        <w:jc w:val="both"/>
        <w:rPr>
          <w:rFonts w:cs="Arial"/>
          <w:szCs w:val="20"/>
        </w:rPr>
      </w:pPr>
      <w:r w:rsidRPr="00990B8A">
        <w:rPr>
          <w:rFonts w:cs="Arial"/>
          <w:szCs w:val="20"/>
        </w:rPr>
        <w:t>In 2014, the IB recorded</w:t>
      </w:r>
      <w:r>
        <w:rPr>
          <w:rFonts w:cs="Arial"/>
          <w:szCs w:val="20"/>
        </w:rPr>
        <w:t xml:space="preserve"> 6,127 </w:t>
      </w:r>
      <w:r w:rsidRPr="00990B8A">
        <w:rPr>
          <w:rFonts w:cs="Arial"/>
          <w:szCs w:val="20"/>
        </w:rPr>
        <w:t xml:space="preserve">corrections. </w:t>
      </w:r>
      <w:r>
        <w:rPr>
          <w:rFonts w:cs="Arial"/>
          <w:szCs w:val="20"/>
        </w:rPr>
        <w:t xml:space="preserve"> </w:t>
      </w:r>
      <w:r w:rsidRPr="00990B8A">
        <w:rPr>
          <w:rFonts w:cs="Arial"/>
          <w:szCs w:val="20"/>
        </w:rPr>
        <w:t xml:space="preserve">This represents an increase of </w:t>
      </w:r>
      <w:r>
        <w:rPr>
          <w:rFonts w:cs="Arial"/>
          <w:szCs w:val="20"/>
        </w:rPr>
        <w:t>0.9</w:t>
      </w:r>
      <w:r w:rsidRPr="00990B8A">
        <w:rPr>
          <w:rFonts w:cs="Arial"/>
          <w:szCs w:val="20"/>
        </w:rPr>
        <w:t xml:space="preserve"> per cent compared to 201</w:t>
      </w:r>
      <w:r>
        <w:rPr>
          <w:rFonts w:cs="Arial"/>
          <w:szCs w:val="20"/>
        </w:rPr>
        <w:t>4</w:t>
      </w:r>
      <w:r w:rsidRPr="00990B8A">
        <w:rPr>
          <w:rFonts w:cs="Arial"/>
          <w:szCs w:val="20"/>
        </w:rPr>
        <w:t>.</w:t>
      </w:r>
    </w:p>
    <w:p w:rsidR="0038701B" w:rsidRPr="00990B8A" w:rsidRDefault="0038701B" w:rsidP="00E3403E">
      <w:pPr>
        <w:spacing w:after="120"/>
        <w:ind w:left="993"/>
        <w:jc w:val="both"/>
        <w:rPr>
          <w:rFonts w:cs="Arial"/>
          <w:szCs w:val="20"/>
        </w:rPr>
      </w:pPr>
    </w:p>
    <w:p w:rsidR="0038701B" w:rsidRPr="00460795" w:rsidRDefault="0038701B" w:rsidP="0038701B">
      <w:pPr>
        <w:pStyle w:val="ListParagraph"/>
        <w:keepNext/>
        <w:keepLines/>
        <w:numPr>
          <w:ilvl w:val="0"/>
          <w:numId w:val="99"/>
        </w:numPr>
        <w:ind w:left="540" w:hanging="540"/>
        <w:contextualSpacing/>
        <w:jc w:val="both"/>
        <w:rPr>
          <w:rFonts w:cs="Arial"/>
          <w:b/>
        </w:rPr>
      </w:pPr>
      <w:r w:rsidRPr="00460795">
        <w:rPr>
          <w:rFonts w:cs="Arial"/>
          <w:b/>
        </w:rPr>
        <w:lastRenderedPageBreak/>
        <w:t>Total workload</w:t>
      </w:r>
    </w:p>
    <w:p w:rsidR="0038701B" w:rsidRPr="00990B8A" w:rsidRDefault="0038701B" w:rsidP="00E3403E">
      <w:pPr>
        <w:keepNext/>
        <w:keepLines/>
        <w:jc w:val="both"/>
        <w:rPr>
          <w:rFonts w:cs="Arial"/>
          <w:szCs w:val="20"/>
        </w:rPr>
      </w:pPr>
    </w:p>
    <w:p w:rsidR="0038701B" w:rsidRPr="00990B8A" w:rsidRDefault="0038701B" w:rsidP="0038701B">
      <w:pPr>
        <w:pStyle w:val="ListParagraph"/>
        <w:keepNext/>
        <w:keepLines/>
        <w:numPr>
          <w:ilvl w:val="0"/>
          <w:numId w:val="104"/>
        </w:numPr>
        <w:tabs>
          <w:tab w:val="left" w:pos="567"/>
        </w:tabs>
        <w:ind w:left="0" w:firstLine="0"/>
        <w:contextualSpacing/>
        <w:jc w:val="both"/>
        <w:rPr>
          <w:rFonts w:cs="Arial"/>
        </w:rPr>
      </w:pPr>
      <w:r w:rsidRPr="00990B8A">
        <w:rPr>
          <w:rFonts w:cs="Arial"/>
        </w:rPr>
        <w:t xml:space="preserve">The total workload represents the weighted total number of documents processed by the IB. </w:t>
      </w:r>
      <w:r>
        <w:rPr>
          <w:rFonts w:cs="Arial"/>
        </w:rPr>
        <w:t xml:space="preserve"> </w:t>
      </w:r>
      <w:r w:rsidRPr="00990B8A">
        <w:rPr>
          <w:rFonts w:cs="Arial"/>
        </w:rPr>
        <w:t>All six categories of documents are included (applications, renewals, subsequent designations, modifications, decisions and corrections).</w:t>
      </w:r>
    </w:p>
    <w:p w:rsidR="0038701B" w:rsidRPr="00990B8A" w:rsidRDefault="0038701B" w:rsidP="00E3403E">
      <w:pPr>
        <w:keepNext/>
        <w:keepLines/>
        <w:jc w:val="both"/>
        <w:rPr>
          <w:rFonts w:cs="Arial"/>
          <w:szCs w:val="20"/>
        </w:rPr>
      </w:pPr>
    </w:p>
    <w:p w:rsidR="0038701B" w:rsidRPr="00990B8A" w:rsidRDefault="0038701B" w:rsidP="0038701B">
      <w:pPr>
        <w:pStyle w:val="ListParagraph"/>
        <w:keepNext/>
        <w:keepLines/>
        <w:numPr>
          <w:ilvl w:val="0"/>
          <w:numId w:val="104"/>
        </w:numPr>
        <w:tabs>
          <w:tab w:val="left" w:pos="567"/>
        </w:tabs>
        <w:ind w:left="0" w:firstLine="0"/>
        <w:contextualSpacing/>
        <w:jc w:val="both"/>
        <w:rPr>
          <w:rFonts w:cs="Arial"/>
        </w:rPr>
      </w:pPr>
      <w:r w:rsidRPr="00990B8A">
        <w:rPr>
          <w:rFonts w:cs="Arial"/>
        </w:rPr>
        <w:t xml:space="preserve">As </w:t>
      </w:r>
      <w:r>
        <w:rPr>
          <w:rFonts w:cs="Arial"/>
        </w:rPr>
        <w:t xml:space="preserve">different levels of </w:t>
      </w:r>
      <w:r w:rsidRPr="00990B8A">
        <w:rPr>
          <w:rFonts w:cs="Arial"/>
        </w:rPr>
        <w:t>resources</w:t>
      </w:r>
      <w:r>
        <w:rPr>
          <w:rFonts w:cs="Arial"/>
        </w:rPr>
        <w:t xml:space="preserve"> are required to process each document type</w:t>
      </w:r>
      <w:r w:rsidRPr="00990B8A">
        <w:rPr>
          <w:rFonts w:cs="Arial"/>
        </w:rPr>
        <w:t xml:space="preserve">, they are weighted differently.  According to this weighted system, during the time required to process an international application, an examiner </w:t>
      </w:r>
      <w:r>
        <w:rPr>
          <w:rFonts w:cs="Arial"/>
        </w:rPr>
        <w:t xml:space="preserve">is deemed capable of </w:t>
      </w:r>
      <w:r w:rsidRPr="00990B8A">
        <w:rPr>
          <w:rFonts w:cs="Arial"/>
        </w:rPr>
        <w:t>process</w:t>
      </w:r>
      <w:r>
        <w:rPr>
          <w:rFonts w:cs="Arial"/>
        </w:rPr>
        <w:t>ing</w:t>
      </w:r>
      <w:r w:rsidRPr="00990B8A">
        <w:rPr>
          <w:rFonts w:cs="Arial"/>
        </w:rPr>
        <w:t xml:space="preserve"> 1.6 renewals, 1.8 subsequent designat</w:t>
      </w:r>
      <w:r>
        <w:rPr>
          <w:rFonts w:cs="Arial"/>
        </w:rPr>
        <w:t>ions, 1.8 </w:t>
      </w:r>
      <w:r w:rsidRPr="00990B8A">
        <w:rPr>
          <w:rFonts w:cs="Arial"/>
        </w:rPr>
        <w:t xml:space="preserve">modifications or 10 decisions. Similarly, during the time required to process an international application, an employee </w:t>
      </w:r>
      <w:r>
        <w:rPr>
          <w:rFonts w:cs="Arial"/>
        </w:rPr>
        <w:t xml:space="preserve">contributing to the </w:t>
      </w:r>
      <w:r w:rsidRPr="00990B8A">
        <w:rPr>
          <w:rFonts w:cs="Arial"/>
        </w:rPr>
        <w:t xml:space="preserve">automation process </w:t>
      </w:r>
      <w:r>
        <w:rPr>
          <w:rFonts w:cs="Arial"/>
        </w:rPr>
        <w:t xml:space="preserve">is </w:t>
      </w:r>
      <w:r w:rsidRPr="00990B8A">
        <w:rPr>
          <w:rFonts w:cs="Arial"/>
        </w:rPr>
        <w:t>deemed to process 17</w:t>
      </w:r>
      <w:r>
        <w:rPr>
          <w:rFonts w:cs="Arial"/>
        </w:rPr>
        <w:t> </w:t>
      </w:r>
      <w:r w:rsidRPr="00990B8A">
        <w:rPr>
          <w:rFonts w:cs="Arial"/>
        </w:rPr>
        <w:t xml:space="preserve">documents. </w:t>
      </w:r>
    </w:p>
    <w:p w:rsidR="0038701B" w:rsidRPr="00990B8A" w:rsidRDefault="0038701B" w:rsidP="00E3403E">
      <w:pPr>
        <w:jc w:val="both"/>
        <w:rPr>
          <w:rFonts w:cs="Arial"/>
          <w:sz w:val="16"/>
          <w:szCs w:val="16"/>
        </w:rPr>
      </w:pPr>
    </w:p>
    <w:p w:rsidR="0038701B" w:rsidRDefault="0038701B" w:rsidP="00E3403E">
      <w:pPr>
        <w:jc w:val="center"/>
        <w:rPr>
          <w:rFonts w:cs="Arial"/>
          <w:noProof/>
        </w:rPr>
      </w:pPr>
      <w:r>
        <w:rPr>
          <w:rFonts w:cs="Arial"/>
          <w:noProof/>
        </w:rPr>
        <w:drawing>
          <wp:inline distT="0" distB="0" distL="0" distR="0" wp14:anchorId="4F437C13" wp14:editId="6AFBC735">
            <wp:extent cx="5276850" cy="2945184"/>
            <wp:effectExtent l="0" t="0" r="0" b="7620"/>
            <wp:docPr id="850" name="Picture 8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5282140" cy="2948137"/>
                    </a:xfrm>
                    <a:prstGeom prst="rect">
                      <a:avLst/>
                    </a:prstGeom>
                    <a:noFill/>
                  </pic:spPr>
                </pic:pic>
              </a:graphicData>
            </a:graphic>
          </wp:inline>
        </w:drawing>
      </w:r>
    </w:p>
    <w:p w:rsidR="0038701B" w:rsidRPr="00990B8A" w:rsidRDefault="0038701B" w:rsidP="00E3403E">
      <w:pPr>
        <w:jc w:val="center"/>
        <w:rPr>
          <w:rFonts w:cs="Arial"/>
        </w:rPr>
      </w:pPr>
    </w:p>
    <w:p w:rsidR="0038701B" w:rsidRPr="00990B8A" w:rsidRDefault="0038701B" w:rsidP="0038701B">
      <w:pPr>
        <w:numPr>
          <w:ilvl w:val="0"/>
          <w:numId w:val="39"/>
        </w:numPr>
        <w:tabs>
          <w:tab w:val="clear" w:pos="720"/>
          <w:tab w:val="num" w:pos="993"/>
        </w:tabs>
        <w:spacing w:after="120"/>
        <w:ind w:left="993" w:hanging="426"/>
        <w:jc w:val="both"/>
        <w:rPr>
          <w:rFonts w:cs="Arial"/>
          <w:szCs w:val="20"/>
        </w:rPr>
      </w:pPr>
      <w:r w:rsidRPr="00990B8A">
        <w:rPr>
          <w:rFonts w:cs="Arial"/>
          <w:szCs w:val="20"/>
        </w:rPr>
        <w:t>In 201</w:t>
      </w:r>
      <w:r>
        <w:rPr>
          <w:rFonts w:cs="Arial"/>
          <w:szCs w:val="20"/>
        </w:rPr>
        <w:t>5</w:t>
      </w:r>
      <w:r w:rsidRPr="00990B8A">
        <w:rPr>
          <w:rFonts w:cs="Arial"/>
          <w:szCs w:val="20"/>
        </w:rPr>
        <w:t xml:space="preserve">, the total workload </w:t>
      </w:r>
      <w:r>
        <w:rPr>
          <w:rFonts w:cs="Arial"/>
          <w:szCs w:val="20"/>
        </w:rPr>
        <w:t>increased by 11 per cent</w:t>
      </w:r>
      <w:r w:rsidRPr="00990B8A">
        <w:rPr>
          <w:rFonts w:cs="Arial"/>
          <w:szCs w:val="20"/>
        </w:rPr>
        <w:t xml:space="preserve"> compared to 201</w:t>
      </w:r>
      <w:r>
        <w:rPr>
          <w:rFonts w:cs="Arial"/>
          <w:szCs w:val="20"/>
        </w:rPr>
        <w:t>4</w:t>
      </w:r>
      <w:r w:rsidRPr="00990B8A">
        <w:rPr>
          <w:rFonts w:cs="Arial"/>
          <w:szCs w:val="20"/>
        </w:rPr>
        <w:t xml:space="preserve">. </w:t>
      </w:r>
      <w:r>
        <w:rPr>
          <w:rFonts w:cs="Arial"/>
          <w:szCs w:val="20"/>
        </w:rPr>
        <w:t xml:space="preserve"> </w:t>
      </w:r>
      <w:r w:rsidRPr="00990B8A">
        <w:rPr>
          <w:rFonts w:cs="Arial"/>
          <w:szCs w:val="20"/>
        </w:rPr>
        <w:t>Applications, decisions and modifications represented nearly 80 per cent of the total workload.</w:t>
      </w:r>
      <w:r w:rsidRPr="00A412BD">
        <w:rPr>
          <w:rFonts w:cs="Arial"/>
          <w:szCs w:val="20"/>
        </w:rPr>
        <w:t xml:space="preserve"> </w:t>
      </w:r>
      <w:r>
        <w:rPr>
          <w:rFonts w:cs="Arial"/>
          <w:szCs w:val="20"/>
        </w:rPr>
        <w:t xml:space="preserve"> </w:t>
      </w:r>
      <w:r w:rsidRPr="00A412BD">
        <w:rPr>
          <w:rFonts w:cs="Arial"/>
          <w:szCs w:val="20"/>
        </w:rPr>
        <w:t>The total workload during the 2014/15 biennium increased by 10 per cent compared to the 2012/13 biennium.</w:t>
      </w:r>
    </w:p>
    <w:p w:rsidR="0038701B" w:rsidRPr="00990B8A" w:rsidRDefault="0038701B" w:rsidP="0038701B">
      <w:pPr>
        <w:numPr>
          <w:ilvl w:val="0"/>
          <w:numId w:val="39"/>
        </w:numPr>
        <w:tabs>
          <w:tab w:val="clear" w:pos="720"/>
          <w:tab w:val="num" w:pos="993"/>
        </w:tabs>
        <w:spacing w:after="120"/>
        <w:ind w:left="993" w:hanging="426"/>
        <w:jc w:val="both"/>
        <w:rPr>
          <w:rFonts w:cs="Arial"/>
        </w:rPr>
      </w:pPr>
      <w:r>
        <w:rPr>
          <w:rFonts w:cs="Arial"/>
          <w:szCs w:val="20"/>
        </w:rPr>
        <w:t>The growth observed in 2015 was mostly attributable to the increase in the number of applications and renewals, whereas the sharp increase in the workload b</w:t>
      </w:r>
      <w:r w:rsidRPr="00990B8A">
        <w:rPr>
          <w:rFonts w:cs="Arial"/>
          <w:szCs w:val="20"/>
        </w:rPr>
        <w:t>etween 2011 and 2013</w:t>
      </w:r>
      <w:r>
        <w:rPr>
          <w:rFonts w:cs="Arial"/>
          <w:szCs w:val="20"/>
        </w:rPr>
        <w:t xml:space="preserve"> was</w:t>
      </w:r>
      <w:r w:rsidRPr="00990B8A">
        <w:rPr>
          <w:rFonts w:cs="Arial"/>
          <w:szCs w:val="20"/>
        </w:rPr>
        <w:t xml:space="preserve"> mainly due to the growing number of decisions.</w:t>
      </w:r>
    </w:p>
    <w:p w:rsidR="0038701B" w:rsidRPr="00990B8A" w:rsidRDefault="0038701B" w:rsidP="00E3403E">
      <w:pPr>
        <w:pStyle w:val="ListParagraph"/>
        <w:ind w:left="1080"/>
        <w:jc w:val="both"/>
        <w:rPr>
          <w:rFonts w:cs="Arial"/>
          <w:sz w:val="16"/>
          <w:szCs w:val="16"/>
        </w:rPr>
      </w:pPr>
    </w:p>
    <w:p w:rsidR="0038701B" w:rsidRDefault="0038701B">
      <w:pPr>
        <w:rPr>
          <w:rFonts w:cs="Arial"/>
          <w:sz w:val="16"/>
          <w:szCs w:val="16"/>
        </w:rPr>
      </w:pPr>
      <w:r>
        <w:rPr>
          <w:rFonts w:cs="Arial"/>
          <w:sz w:val="16"/>
          <w:szCs w:val="16"/>
        </w:rPr>
        <w:br w:type="page"/>
      </w:r>
    </w:p>
    <w:p w:rsidR="0038701B" w:rsidRPr="00990B8A" w:rsidRDefault="0038701B" w:rsidP="00E3403E">
      <w:pPr>
        <w:pStyle w:val="ListParagraph"/>
        <w:ind w:left="1080"/>
        <w:jc w:val="both"/>
        <w:rPr>
          <w:rFonts w:cs="Arial"/>
          <w:sz w:val="16"/>
          <w:szCs w:val="16"/>
        </w:rPr>
      </w:pPr>
    </w:p>
    <w:p w:rsidR="0038701B" w:rsidRDefault="0038701B" w:rsidP="0038701B">
      <w:pPr>
        <w:pStyle w:val="ListParagraph"/>
        <w:numPr>
          <w:ilvl w:val="0"/>
          <w:numId w:val="99"/>
        </w:numPr>
        <w:ind w:left="567" w:hanging="567"/>
        <w:contextualSpacing/>
        <w:jc w:val="both"/>
        <w:rPr>
          <w:rFonts w:cs="Arial"/>
          <w:b/>
        </w:rPr>
      </w:pPr>
      <w:r w:rsidRPr="00460795">
        <w:rPr>
          <w:rFonts w:cs="Arial"/>
          <w:b/>
        </w:rPr>
        <w:t xml:space="preserve">Medium of Transmission of Incoming Documents </w:t>
      </w:r>
    </w:p>
    <w:p w:rsidR="0038701B" w:rsidRPr="00460795" w:rsidRDefault="0038701B" w:rsidP="00E3403E">
      <w:pPr>
        <w:pStyle w:val="ListParagraph"/>
        <w:ind w:left="1080"/>
        <w:jc w:val="both"/>
        <w:rPr>
          <w:rFonts w:cs="Arial"/>
          <w:b/>
        </w:rPr>
      </w:pPr>
    </w:p>
    <w:p w:rsidR="0038701B" w:rsidRPr="00990B8A" w:rsidRDefault="0038701B" w:rsidP="00E3403E">
      <w:pPr>
        <w:jc w:val="center"/>
        <w:rPr>
          <w:rFonts w:cs="Arial"/>
          <w:noProof/>
        </w:rPr>
      </w:pPr>
      <w:r>
        <w:rPr>
          <w:rFonts w:cs="Arial"/>
          <w:noProof/>
        </w:rPr>
        <w:drawing>
          <wp:inline distT="0" distB="0" distL="0" distR="0" wp14:anchorId="58162215" wp14:editId="642653C6">
            <wp:extent cx="5667375" cy="2728057"/>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5665279" cy="2727048"/>
                    </a:xfrm>
                    <a:prstGeom prst="rect">
                      <a:avLst/>
                    </a:prstGeom>
                    <a:noFill/>
                  </pic:spPr>
                </pic:pic>
              </a:graphicData>
            </a:graphic>
          </wp:inline>
        </w:drawing>
      </w:r>
    </w:p>
    <w:p w:rsidR="0038701B" w:rsidRPr="002711C2" w:rsidRDefault="0038701B" w:rsidP="0038701B">
      <w:pPr>
        <w:numPr>
          <w:ilvl w:val="0"/>
          <w:numId w:val="39"/>
        </w:numPr>
        <w:tabs>
          <w:tab w:val="clear" w:pos="720"/>
          <w:tab w:val="num" w:pos="993"/>
        </w:tabs>
        <w:spacing w:after="120"/>
        <w:ind w:left="993" w:hanging="426"/>
        <w:jc w:val="both"/>
        <w:rPr>
          <w:rFonts w:cs="Arial"/>
          <w:szCs w:val="20"/>
        </w:rPr>
      </w:pPr>
      <w:r w:rsidRPr="00990B8A">
        <w:rPr>
          <w:rFonts w:cs="Arial"/>
          <w:szCs w:val="20"/>
        </w:rPr>
        <w:t>In 201</w:t>
      </w:r>
      <w:r>
        <w:rPr>
          <w:rFonts w:cs="Arial"/>
          <w:szCs w:val="20"/>
        </w:rPr>
        <w:t>5</w:t>
      </w:r>
      <w:r w:rsidRPr="00990B8A">
        <w:rPr>
          <w:rFonts w:cs="Arial"/>
          <w:szCs w:val="20"/>
        </w:rPr>
        <w:t xml:space="preserve">, </w:t>
      </w:r>
      <w:r>
        <w:rPr>
          <w:rFonts w:cs="Arial"/>
          <w:szCs w:val="20"/>
        </w:rPr>
        <w:t>79</w:t>
      </w:r>
      <w:r w:rsidRPr="00990B8A">
        <w:rPr>
          <w:rFonts w:cs="Arial"/>
          <w:szCs w:val="20"/>
        </w:rPr>
        <w:t xml:space="preserve"> per cent of all incoming documents were transmitted electronically to the IB</w:t>
      </w:r>
      <w:r>
        <w:rPr>
          <w:rFonts w:cs="Arial"/>
          <w:szCs w:val="20"/>
        </w:rPr>
        <w:t xml:space="preserve">, which represents a five </w:t>
      </w:r>
      <w:r w:rsidRPr="002711C2">
        <w:rPr>
          <w:rFonts w:cs="Arial"/>
          <w:szCs w:val="20"/>
        </w:rPr>
        <w:t xml:space="preserve">percentage point </w:t>
      </w:r>
      <w:r>
        <w:rPr>
          <w:rFonts w:cs="Arial"/>
          <w:szCs w:val="20"/>
        </w:rPr>
        <w:t xml:space="preserve">increase </w:t>
      </w:r>
      <w:r w:rsidRPr="002711C2">
        <w:rPr>
          <w:rFonts w:cs="Arial"/>
          <w:szCs w:val="20"/>
        </w:rPr>
        <w:t>compared to 2014.</w:t>
      </w:r>
    </w:p>
    <w:p w:rsidR="0038701B" w:rsidRPr="00372816" w:rsidRDefault="0038701B" w:rsidP="00E3403E">
      <w:pPr>
        <w:tabs>
          <w:tab w:val="num" w:pos="993"/>
        </w:tabs>
        <w:jc w:val="both"/>
        <w:rPr>
          <w:rFonts w:cs="Arial"/>
          <w:szCs w:val="20"/>
        </w:rPr>
      </w:pPr>
    </w:p>
    <w:p w:rsidR="0038701B" w:rsidRPr="0006197C" w:rsidRDefault="0038701B" w:rsidP="0038701B">
      <w:pPr>
        <w:pStyle w:val="ListParagraph"/>
        <w:keepNext/>
        <w:keepLines/>
        <w:numPr>
          <w:ilvl w:val="0"/>
          <w:numId w:val="99"/>
        </w:numPr>
        <w:ind w:left="567" w:hanging="567"/>
        <w:contextualSpacing/>
        <w:jc w:val="both"/>
        <w:rPr>
          <w:rFonts w:cs="Arial"/>
          <w:b/>
        </w:rPr>
      </w:pPr>
      <w:r w:rsidRPr="0006197C">
        <w:rPr>
          <w:rFonts w:cs="Arial"/>
          <w:b/>
        </w:rPr>
        <w:t>Processing</w:t>
      </w:r>
    </w:p>
    <w:p w:rsidR="0038701B" w:rsidRPr="00990B8A" w:rsidRDefault="0038701B" w:rsidP="00E3403E">
      <w:pPr>
        <w:keepNext/>
        <w:keepLines/>
        <w:jc w:val="both"/>
        <w:rPr>
          <w:rFonts w:cs="Arial"/>
          <w:szCs w:val="20"/>
        </w:rPr>
      </w:pPr>
    </w:p>
    <w:p w:rsidR="0038701B" w:rsidRPr="009049DD" w:rsidRDefault="0038701B" w:rsidP="00E3403E">
      <w:pPr>
        <w:pStyle w:val="ListParagraph"/>
        <w:ind w:left="0"/>
        <w:jc w:val="both"/>
        <w:rPr>
          <w:rFonts w:cs="Arial"/>
          <w:u w:val="single"/>
        </w:rPr>
      </w:pPr>
      <w:r w:rsidRPr="009049DD">
        <w:rPr>
          <w:rFonts w:cs="Arial"/>
          <w:u w:val="single"/>
        </w:rPr>
        <w:t>Total cost of production</w:t>
      </w:r>
    </w:p>
    <w:p w:rsidR="0038701B" w:rsidRPr="0043175E" w:rsidRDefault="0038701B" w:rsidP="00E3403E">
      <w:pPr>
        <w:pStyle w:val="ListParagraph"/>
        <w:keepNext/>
        <w:keepLines/>
        <w:ind w:left="1440"/>
        <w:jc w:val="both"/>
        <w:rPr>
          <w:rFonts w:cs="Arial"/>
          <w:b/>
          <w:i/>
        </w:rPr>
      </w:pPr>
    </w:p>
    <w:p w:rsidR="0038701B" w:rsidRPr="00FC30D5" w:rsidRDefault="0038701B" w:rsidP="0038701B">
      <w:pPr>
        <w:pStyle w:val="ListParagraph"/>
        <w:keepNext/>
        <w:keepLines/>
        <w:numPr>
          <w:ilvl w:val="0"/>
          <w:numId w:val="104"/>
        </w:numPr>
        <w:tabs>
          <w:tab w:val="left" w:pos="567"/>
        </w:tabs>
        <w:ind w:left="0" w:firstLine="0"/>
        <w:contextualSpacing/>
        <w:jc w:val="both"/>
        <w:rPr>
          <w:rFonts w:cs="Arial"/>
        </w:rPr>
      </w:pPr>
      <w:r w:rsidRPr="00FC30D5">
        <w:rPr>
          <w:rFonts w:cs="Arial"/>
        </w:rPr>
        <w:t xml:space="preserve">The total cost of production comprises expenditure relating </w:t>
      </w:r>
      <w:r>
        <w:rPr>
          <w:rFonts w:cs="Arial"/>
        </w:rPr>
        <w:t>exclusively</w:t>
      </w:r>
      <w:r w:rsidRPr="00FC30D5">
        <w:rPr>
          <w:rFonts w:cs="Arial"/>
        </w:rPr>
        <w:t xml:space="preserve"> to the </w:t>
      </w:r>
      <w:r>
        <w:rPr>
          <w:rFonts w:cs="Arial"/>
        </w:rPr>
        <w:t>Madrid</w:t>
      </w:r>
      <w:r w:rsidRPr="00FC30D5">
        <w:rPr>
          <w:rFonts w:cs="Arial"/>
        </w:rPr>
        <w:t xml:space="preserve"> System and expenditure of activities supporting the System. </w:t>
      </w:r>
    </w:p>
    <w:p w:rsidR="0038701B" w:rsidRPr="00FC30D5" w:rsidRDefault="0038701B" w:rsidP="00E3403E">
      <w:pPr>
        <w:pStyle w:val="ListParagraph"/>
        <w:keepNext/>
        <w:keepLines/>
        <w:tabs>
          <w:tab w:val="left" w:pos="567"/>
        </w:tabs>
        <w:jc w:val="both"/>
        <w:rPr>
          <w:rFonts w:cs="Arial"/>
        </w:rPr>
      </w:pPr>
    </w:p>
    <w:p w:rsidR="0038701B" w:rsidRPr="00FC30D5" w:rsidRDefault="0038701B" w:rsidP="0038701B">
      <w:pPr>
        <w:pStyle w:val="ListParagraph"/>
        <w:keepNext/>
        <w:keepLines/>
        <w:numPr>
          <w:ilvl w:val="0"/>
          <w:numId w:val="104"/>
        </w:numPr>
        <w:tabs>
          <w:tab w:val="left" w:pos="567"/>
        </w:tabs>
        <w:ind w:left="0" w:firstLine="0"/>
        <w:contextualSpacing/>
        <w:jc w:val="both"/>
        <w:rPr>
          <w:rFonts w:cs="Arial"/>
        </w:rPr>
      </w:pPr>
      <w:r w:rsidRPr="00FC30D5">
        <w:rPr>
          <w:rFonts w:cs="Arial"/>
        </w:rPr>
        <w:t xml:space="preserve">The expenditure relating </w:t>
      </w:r>
      <w:r>
        <w:rPr>
          <w:rFonts w:cs="Arial"/>
        </w:rPr>
        <w:t>exclusively</w:t>
      </w:r>
      <w:r w:rsidRPr="00FC30D5">
        <w:rPr>
          <w:rFonts w:cs="Arial"/>
        </w:rPr>
        <w:t xml:space="preserve"> to the </w:t>
      </w:r>
      <w:r>
        <w:rPr>
          <w:rFonts w:cs="Arial"/>
        </w:rPr>
        <w:t>Madrid System represents about 96 per cent of the expenditures of Program 6</w:t>
      </w:r>
      <w:r w:rsidRPr="009362DA">
        <w:rPr>
          <w:rFonts w:cs="Arial"/>
        </w:rPr>
        <w:t xml:space="preserve"> (the Madrid and Lisbon Systems)</w:t>
      </w:r>
      <w:r>
        <w:rPr>
          <w:rStyle w:val="FootnoteReference"/>
          <w:rFonts w:cs="Arial"/>
        </w:rPr>
        <w:footnoteReference w:id="31"/>
      </w:r>
      <w:r>
        <w:rPr>
          <w:rFonts w:cs="Arial"/>
        </w:rPr>
        <w:t xml:space="preserve">. </w:t>
      </w:r>
      <w:r w:rsidRPr="00FC30D5">
        <w:rPr>
          <w:rFonts w:cs="Arial"/>
        </w:rPr>
        <w:t xml:space="preserve"> </w:t>
      </w:r>
      <w:r w:rsidRPr="003E43C7">
        <w:rPr>
          <w:rFonts w:cs="Arial"/>
        </w:rPr>
        <w:t xml:space="preserve">The expenditures of </w:t>
      </w:r>
      <w:r>
        <w:rPr>
          <w:rFonts w:cs="Arial"/>
        </w:rPr>
        <w:t>t</w:t>
      </w:r>
      <w:r w:rsidRPr="003E43C7">
        <w:rPr>
          <w:rFonts w:cs="Arial"/>
        </w:rPr>
        <w:t xml:space="preserve">he Lisbon Registry </w:t>
      </w:r>
      <w:r>
        <w:rPr>
          <w:rFonts w:cs="Arial"/>
        </w:rPr>
        <w:t xml:space="preserve">in 2015 </w:t>
      </w:r>
      <w:r w:rsidRPr="003E43C7">
        <w:rPr>
          <w:rFonts w:cs="Arial"/>
        </w:rPr>
        <w:t>are excluded from the total cost of production of the Madrid System.</w:t>
      </w:r>
      <w:r>
        <w:rPr>
          <w:rStyle w:val="FootnoteReference"/>
          <w:rFonts w:cs="Arial"/>
        </w:rPr>
        <w:footnoteReference w:id="32"/>
      </w:r>
    </w:p>
    <w:p w:rsidR="0038701B" w:rsidRPr="00FC30D5" w:rsidRDefault="0038701B" w:rsidP="00E3403E">
      <w:pPr>
        <w:pStyle w:val="ListParagraph"/>
        <w:keepNext/>
        <w:keepLines/>
        <w:tabs>
          <w:tab w:val="left" w:pos="567"/>
        </w:tabs>
        <w:jc w:val="both"/>
        <w:rPr>
          <w:rFonts w:cs="Arial"/>
        </w:rPr>
      </w:pPr>
    </w:p>
    <w:p w:rsidR="0038701B" w:rsidRDefault="0038701B" w:rsidP="0038701B">
      <w:pPr>
        <w:pStyle w:val="ListParagraph"/>
        <w:keepNext/>
        <w:keepLines/>
        <w:numPr>
          <w:ilvl w:val="0"/>
          <w:numId w:val="104"/>
        </w:numPr>
        <w:tabs>
          <w:tab w:val="left" w:pos="567"/>
        </w:tabs>
        <w:ind w:left="0" w:firstLine="0"/>
        <w:contextualSpacing/>
        <w:jc w:val="both"/>
        <w:rPr>
          <w:rFonts w:cs="Arial"/>
        </w:rPr>
      </w:pPr>
      <w:r w:rsidRPr="00FC30D5">
        <w:rPr>
          <w:rFonts w:cs="Arial"/>
        </w:rPr>
        <w:t xml:space="preserve">Expenditure </w:t>
      </w:r>
      <w:r>
        <w:rPr>
          <w:rFonts w:cs="Arial"/>
        </w:rPr>
        <w:t xml:space="preserve">of </w:t>
      </w:r>
      <w:r w:rsidRPr="00FC30D5">
        <w:rPr>
          <w:rFonts w:cs="Arial"/>
        </w:rPr>
        <w:t xml:space="preserve">activities supporting the </w:t>
      </w:r>
      <w:r>
        <w:rPr>
          <w:rFonts w:cs="Arial"/>
        </w:rPr>
        <w:t>Madrid</w:t>
      </w:r>
      <w:r w:rsidRPr="00FC30D5">
        <w:rPr>
          <w:rFonts w:cs="Arial"/>
        </w:rPr>
        <w:t xml:space="preserve"> System comprises the expenditure of the following </w:t>
      </w:r>
      <w:r>
        <w:rPr>
          <w:rFonts w:cs="Arial"/>
        </w:rPr>
        <w:t>general</w:t>
      </w:r>
      <w:r w:rsidRPr="00FC30D5">
        <w:rPr>
          <w:rFonts w:cs="Arial"/>
        </w:rPr>
        <w:t xml:space="preserve"> services: conference and language services, construction, executive management, finance and budget, general support services, human resources management, internal oversight, IT and safety and security.  </w:t>
      </w:r>
      <w:r>
        <w:rPr>
          <w:rFonts w:cs="Arial"/>
        </w:rPr>
        <w:t xml:space="preserve">A small proportion of these expenses </w:t>
      </w:r>
      <w:r w:rsidRPr="00FC30D5">
        <w:rPr>
          <w:rFonts w:cs="Arial"/>
        </w:rPr>
        <w:t>(cost of server hosting at UNICC and share of cost of the Income Section in Finance)</w:t>
      </w:r>
      <w:r>
        <w:rPr>
          <w:rFonts w:cs="Arial"/>
        </w:rPr>
        <w:t xml:space="preserve"> are directly attributed to the Madrid System whereas the remaining such expenses</w:t>
      </w:r>
      <w:r w:rsidRPr="00FC30D5">
        <w:rPr>
          <w:rFonts w:cs="Arial"/>
        </w:rPr>
        <w:t xml:space="preserve"> attributable to the </w:t>
      </w:r>
      <w:r>
        <w:rPr>
          <w:rFonts w:cs="Arial"/>
        </w:rPr>
        <w:t>Madrid</w:t>
      </w:r>
      <w:r w:rsidRPr="00FC30D5">
        <w:rPr>
          <w:rFonts w:cs="Arial"/>
        </w:rPr>
        <w:t xml:space="preserve"> System are </w:t>
      </w:r>
      <w:r>
        <w:rPr>
          <w:rFonts w:cs="Arial"/>
        </w:rPr>
        <w:t>calculated</w:t>
      </w:r>
      <w:r w:rsidRPr="00FC30D5">
        <w:rPr>
          <w:rFonts w:cs="Arial"/>
        </w:rPr>
        <w:t xml:space="preserve"> based on headcount</w:t>
      </w:r>
      <w:r>
        <w:rPr>
          <w:rFonts w:cs="Arial"/>
        </w:rPr>
        <w:t xml:space="preserve">  (including fixed term staff, temporary staff and fellows)</w:t>
      </w:r>
      <w:r w:rsidRPr="00FC30D5">
        <w:rPr>
          <w:rFonts w:cs="Arial"/>
        </w:rPr>
        <w:t>.</w:t>
      </w:r>
    </w:p>
    <w:p w:rsidR="0038701B" w:rsidRPr="003E43C7" w:rsidRDefault="0038701B" w:rsidP="00E3403E">
      <w:pPr>
        <w:pStyle w:val="ListParagraph"/>
        <w:rPr>
          <w:rFonts w:cs="Arial"/>
        </w:rPr>
      </w:pPr>
    </w:p>
    <w:p w:rsidR="0038701B" w:rsidRDefault="0038701B" w:rsidP="00E3403E">
      <w:pPr>
        <w:rPr>
          <w:rFonts w:cs="Arial"/>
        </w:rPr>
      </w:pPr>
    </w:p>
    <w:p w:rsidR="0038701B" w:rsidRDefault="0038701B" w:rsidP="00E3403E">
      <w:pPr>
        <w:jc w:val="center"/>
        <w:rPr>
          <w:rFonts w:cs="Arial"/>
        </w:rPr>
      </w:pPr>
    </w:p>
    <w:p w:rsidR="0038701B" w:rsidRDefault="0038701B" w:rsidP="00E3403E">
      <w:pPr>
        <w:jc w:val="center"/>
        <w:rPr>
          <w:rFonts w:cs="Arial"/>
        </w:rPr>
      </w:pPr>
    </w:p>
    <w:p w:rsidR="0038701B" w:rsidRDefault="0038701B" w:rsidP="00E3403E">
      <w:pPr>
        <w:jc w:val="center"/>
        <w:rPr>
          <w:rFonts w:cs="Arial"/>
        </w:rPr>
      </w:pPr>
      <w:r>
        <w:rPr>
          <w:rFonts w:cs="Arial"/>
          <w:noProof/>
        </w:rPr>
        <w:lastRenderedPageBreak/>
        <w:drawing>
          <wp:inline distT="0" distB="0" distL="0" distR="0" wp14:anchorId="2D68AC19" wp14:editId="239EF467">
            <wp:extent cx="5303520" cy="2997121"/>
            <wp:effectExtent l="0" t="0" r="0" b="0"/>
            <wp:docPr id="851" name="Picture 8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5303802" cy="2997280"/>
                    </a:xfrm>
                    <a:prstGeom prst="rect">
                      <a:avLst/>
                    </a:prstGeom>
                    <a:noFill/>
                  </pic:spPr>
                </pic:pic>
              </a:graphicData>
            </a:graphic>
          </wp:inline>
        </w:drawing>
      </w:r>
    </w:p>
    <w:p w:rsidR="0038701B" w:rsidRPr="00990B8A" w:rsidRDefault="0038701B" w:rsidP="00E3403E">
      <w:pPr>
        <w:jc w:val="center"/>
        <w:rPr>
          <w:rFonts w:cs="Arial"/>
        </w:rPr>
      </w:pPr>
    </w:p>
    <w:p w:rsidR="0038701B" w:rsidRPr="00990B8A" w:rsidRDefault="0038701B" w:rsidP="0038701B">
      <w:pPr>
        <w:pStyle w:val="ListParagraph"/>
        <w:numPr>
          <w:ilvl w:val="0"/>
          <w:numId w:val="101"/>
        </w:numPr>
        <w:spacing w:after="200"/>
        <w:ind w:left="1134" w:hanging="567"/>
        <w:contextualSpacing/>
        <w:jc w:val="both"/>
        <w:rPr>
          <w:rFonts w:cs="Arial"/>
        </w:rPr>
      </w:pPr>
      <w:r w:rsidRPr="00990B8A">
        <w:rPr>
          <w:rFonts w:cs="Arial"/>
        </w:rPr>
        <w:t xml:space="preserve">The total cost of production is estimated at </w:t>
      </w:r>
      <w:r>
        <w:rPr>
          <w:rFonts w:cs="Arial"/>
        </w:rPr>
        <w:t>46.3</w:t>
      </w:r>
      <w:r w:rsidRPr="00990B8A">
        <w:rPr>
          <w:rFonts w:cs="Arial"/>
        </w:rPr>
        <w:t xml:space="preserve"> million Swiss </w:t>
      </w:r>
      <w:r>
        <w:rPr>
          <w:rFonts w:cs="Arial"/>
        </w:rPr>
        <w:t>f</w:t>
      </w:r>
      <w:r w:rsidRPr="00990B8A">
        <w:rPr>
          <w:rFonts w:cs="Arial"/>
        </w:rPr>
        <w:t>rancs in 201</w:t>
      </w:r>
      <w:r>
        <w:rPr>
          <w:rFonts w:cs="Arial"/>
        </w:rPr>
        <w:t>5</w:t>
      </w:r>
      <w:r w:rsidRPr="00990B8A">
        <w:rPr>
          <w:rFonts w:cs="Arial"/>
        </w:rPr>
        <w:t>.</w:t>
      </w:r>
      <w:r>
        <w:rPr>
          <w:rFonts w:cs="Arial"/>
        </w:rPr>
        <w:t xml:space="preserve"> </w:t>
      </w:r>
      <w:r w:rsidRPr="00990B8A">
        <w:rPr>
          <w:rFonts w:cs="Arial"/>
        </w:rPr>
        <w:t xml:space="preserve"> This represents a</w:t>
      </w:r>
      <w:r>
        <w:rPr>
          <w:rFonts w:cs="Arial"/>
        </w:rPr>
        <w:t>n</w:t>
      </w:r>
      <w:r w:rsidRPr="00990B8A">
        <w:rPr>
          <w:rFonts w:cs="Arial"/>
        </w:rPr>
        <w:t xml:space="preserve"> increase of </w:t>
      </w:r>
      <w:r>
        <w:rPr>
          <w:rFonts w:cs="Arial"/>
        </w:rPr>
        <w:t>11</w:t>
      </w:r>
      <w:r w:rsidRPr="00990B8A">
        <w:rPr>
          <w:rFonts w:cs="Arial"/>
        </w:rPr>
        <w:t xml:space="preserve"> per cent compared to 201</w:t>
      </w:r>
      <w:r>
        <w:rPr>
          <w:rFonts w:cs="Arial"/>
        </w:rPr>
        <w:t>4</w:t>
      </w:r>
      <w:r w:rsidRPr="00990B8A">
        <w:rPr>
          <w:rFonts w:cs="Arial"/>
        </w:rPr>
        <w:t xml:space="preserve">. </w:t>
      </w:r>
      <w:r>
        <w:rPr>
          <w:rFonts w:cs="Arial"/>
        </w:rPr>
        <w:t xml:space="preserve"> </w:t>
      </w:r>
      <w:r w:rsidRPr="00A412BD">
        <w:rPr>
          <w:rFonts w:cs="Arial"/>
        </w:rPr>
        <w:t>The total cost of production in the 2014/15 biennium increased by 10 per cent compared to the 2012/13 biennium.</w:t>
      </w:r>
    </w:p>
    <w:p w:rsidR="0038701B" w:rsidRPr="00990B8A" w:rsidRDefault="0038701B" w:rsidP="00E3403E">
      <w:pPr>
        <w:pStyle w:val="ListParagraph"/>
        <w:ind w:left="1134" w:hanging="567"/>
        <w:jc w:val="both"/>
        <w:rPr>
          <w:rFonts w:cs="Arial"/>
        </w:rPr>
      </w:pPr>
    </w:p>
    <w:p w:rsidR="0038701B" w:rsidRPr="00990B8A" w:rsidRDefault="0038701B" w:rsidP="0038701B">
      <w:pPr>
        <w:pStyle w:val="ListParagraph"/>
        <w:numPr>
          <w:ilvl w:val="0"/>
          <w:numId w:val="101"/>
        </w:numPr>
        <w:ind w:left="1134" w:hanging="567"/>
        <w:contextualSpacing/>
        <w:jc w:val="both"/>
        <w:rPr>
          <w:rFonts w:cs="Arial"/>
        </w:rPr>
      </w:pPr>
      <w:r w:rsidRPr="00990B8A">
        <w:rPr>
          <w:rFonts w:cs="Arial"/>
        </w:rPr>
        <w:t>In 201</w:t>
      </w:r>
      <w:r>
        <w:rPr>
          <w:rFonts w:cs="Arial"/>
        </w:rPr>
        <w:t>5</w:t>
      </w:r>
      <w:r w:rsidRPr="00990B8A">
        <w:rPr>
          <w:rFonts w:cs="Arial"/>
        </w:rPr>
        <w:t xml:space="preserve">, the direct costs accounted for 61 per cent of total costs. </w:t>
      </w:r>
    </w:p>
    <w:p w:rsidR="0038701B" w:rsidRPr="00990B8A" w:rsidRDefault="0038701B" w:rsidP="00E3403E">
      <w:pPr>
        <w:ind w:left="1134" w:hanging="567"/>
        <w:jc w:val="both"/>
        <w:rPr>
          <w:rFonts w:cs="Arial"/>
          <w:szCs w:val="20"/>
        </w:rPr>
      </w:pPr>
    </w:p>
    <w:p w:rsidR="0038701B" w:rsidRPr="00990B8A" w:rsidRDefault="0038701B" w:rsidP="00E3403E">
      <w:pPr>
        <w:ind w:left="1080"/>
        <w:jc w:val="both"/>
        <w:rPr>
          <w:rFonts w:cs="Arial"/>
          <w:szCs w:val="20"/>
        </w:rPr>
      </w:pPr>
    </w:p>
    <w:p w:rsidR="0038701B" w:rsidRDefault="0038701B" w:rsidP="00E3403E">
      <w:pPr>
        <w:pStyle w:val="ListParagraph"/>
        <w:ind w:left="0"/>
        <w:jc w:val="both"/>
        <w:rPr>
          <w:rFonts w:cs="Arial"/>
          <w:u w:val="single"/>
        </w:rPr>
      </w:pPr>
      <w:r w:rsidRPr="009049DD">
        <w:rPr>
          <w:rFonts w:cs="Arial"/>
          <w:u w:val="single"/>
        </w:rPr>
        <w:t xml:space="preserve">Unit cost </w:t>
      </w:r>
      <w:r>
        <w:rPr>
          <w:rFonts w:cs="Arial"/>
          <w:u w:val="single"/>
        </w:rPr>
        <w:t xml:space="preserve"> </w:t>
      </w:r>
    </w:p>
    <w:p w:rsidR="0038701B" w:rsidRPr="00990B8A" w:rsidRDefault="0038701B" w:rsidP="00E3403E">
      <w:pPr>
        <w:jc w:val="both"/>
        <w:rPr>
          <w:rFonts w:cs="Arial"/>
          <w:szCs w:val="20"/>
        </w:rPr>
      </w:pPr>
    </w:p>
    <w:p w:rsidR="0038701B" w:rsidRPr="00990B8A" w:rsidRDefault="0038701B" w:rsidP="0038701B">
      <w:pPr>
        <w:pStyle w:val="ListParagraph"/>
        <w:numPr>
          <w:ilvl w:val="0"/>
          <w:numId w:val="104"/>
        </w:numPr>
        <w:tabs>
          <w:tab w:val="left" w:pos="567"/>
        </w:tabs>
        <w:ind w:left="0" w:firstLine="0"/>
        <w:contextualSpacing/>
        <w:jc w:val="both"/>
        <w:rPr>
          <w:rFonts w:cs="Arial"/>
        </w:rPr>
      </w:pPr>
      <w:r w:rsidRPr="00990B8A">
        <w:rPr>
          <w:rFonts w:cs="Arial"/>
        </w:rPr>
        <w:t>The IB’s efficiency in processing transactions can be measured by the unit cost, defined as the average cost of producing one unit of output.</w:t>
      </w:r>
    </w:p>
    <w:p w:rsidR="0038701B" w:rsidRPr="00990B8A" w:rsidRDefault="0038701B" w:rsidP="00E3403E">
      <w:pPr>
        <w:contextualSpacing/>
        <w:jc w:val="both"/>
        <w:rPr>
          <w:rFonts w:cs="Arial"/>
          <w:szCs w:val="20"/>
        </w:rPr>
      </w:pPr>
    </w:p>
    <w:p w:rsidR="0038701B" w:rsidRDefault="0038701B" w:rsidP="0038701B">
      <w:pPr>
        <w:pStyle w:val="ListParagraph"/>
        <w:numPr>
          <w:ilvl w:val="0"/>
          <w:numId w:val="104"/>
        </w:numPr>
        <w:tabs>
          <w:tab w:val="left" w:pos="567"/>
        </w:tabs>
        <w:ind w:left="0" w:firstLine="0"/>
        <w:contextualSpacing/>
        <w:jc w:val="both"/>
        <w:rPr>
          <w:rFonts w:cs="Arial"/>
        </w:rPr>
      </w:pPr>
      <w:r w:rsidRPr="00990B8A">
        <w:rPr>
          <w:rFonts w:cs="Arial"/>
        </w:rPr>
        <w:t>As the IB registers new applications and maintains existing registrations, it is relevant to have a unit of output which includes a set of transactions.</w:t>
      </w:r>
      <w:r>
        <w:rPr>
          <w:rFonts w:cs="Arial"/>
        </w:rPr>
        <w:t xml:space="preserve"> </w:t>
      </w:r>
      <w:r w:rsidRPr="00990B8A">
        <w:rPr>
          <w:rFonts w:cs="Arial"/>
        </w:rPr>
        <w:t xml:space="preserve"> Two unit cost indicators are presented below using two different units of output.</w:t>
      </w:r>
    </w:p>
    <w:p w:rsidR="0038701B" w:rsidRPr="00990B8A" w:rsidRDefault="0038701B" w:rsidP="00E3403E">
      <w:pPr>
        <w:pStyle w:val="ListParagraph"/>
        <w:tabs>
          <w:tab w:val="left" w:pos="567"/>
        </w:tabs>
        <w:ind w:left="0"/>
        <w:jc w:val="both"/>
        <w:rPr>
          <w:rFonts w:cs="Arial"/>
        </w:rPr>
      </w:pPr>
    </w:p>
    <w:p w:rsidR="0038701B" w:rsidRDefault="0038701B" w:rsidP="0038701B">
      <w:pPr>
        <w:pStyle w:val="ListParagraph"/>
        <w:numPr>
          <w:ilvl w:val="0"/>
          <w:numId w:val="104"/>
        </w:numPr>
        <w:tabs>
          <w:tab w:val="left" w:pos="567"/>
        </w:tabs>
        <w:ind w:left="0" w:firstLine="0"/>
        <w:contextualSpacing/>
        <w:jc w:val="both"/>
        <w:rPr>
          <w:rFonts w:cs="Arial"/>
        </w:rPr>
      </w:pPr>
      <w:r w:rsidRPr="00990B8A">
        <w:rPr>
          <w:rFonts w:cs="Arial"/>
        </w:rPr>
        <w:t xml:space="preserve">As part of the IB’s efforts to continuously refine </w:t>
      </w:r>
      <w:r>
        <w:rPr>
          <w:rFonts w:cs="Arial"/>
        </w:rPr>
        <w:t>its approach to</w:t>
      </w:r>
      <w:r w:rsidRPr="00990B8A">
        <w:rPr>
          <w:rFonts w:cs="Arial"/>
        </w:rPr>
        <w:t xml:space="preserve"> calculating unit costs, the methodology has been revised in the Program and Budget 2016/17 to reflect more accurately the cost of processing Madrid workloads at the IB:</w:t>
      </w:r>
    </w:p>
    <w:p w:rsidR="0038701B" w:rsidRPr="00990B8A" w:rsidRDefault="0038701B" w:rsidP="00E3403E">
      <w:pPr>
        <w:pStyle w:val="ListParagraph"/>
        <w:tabs>
          <w:tab w:val="left" w:pos="567"/>
        </w:tabs>
        <w:ind w:left="0"/>
        <w:jc w:val="both"/>
        <w:rPr>
          <w:rFonts w:cs="Arial"/>
        </w:rPr>
      </w:pPr>
    </w:p>
    <w:p w:rsidR="0038701B" w:rsidRPr="00990B8A" w:rsidRDefault="0038701B" w:rsidP="0038701B">
      <w:pPr>
        <w:pStyle w:val="ListParagraph"/>
        <w:numPr>
          <w:ilvl w:val="0"/>
          <w:numId w:val="100"/>
        </w:numPr>
        <w:spacing w:after="200"/>
        <w:ind w:left="1134" w:hanging="567"/>
        <w:contextualSpacing/>
        <w:jc w:val="both"/>
        <w:rPr>
          <w:rFonts w:cs="Arial"/>
        </w:rPr>
      </w:pPr>
      <w:r w:rsidRPr="00990B8A">
        <w:rPr>
          <w:rFonts w:cs="Arial"/>
        </w:rPr>
        <w:t xml:space="preserve">The methodology for calculating direct and indirect Madrid costs </w:t>
      </w:r>
      <w:r>
        <w:rPr>
          <w:rFonts w:cs="Arial"/>
        </w:rPr>
        <w:t>has</w:t>
      </w:r>
      <w:r w:rsidRPr="00990B8A">
        <w:rPr>
          <w:rFonts w:cs="Arial"/>
        </w:rPr>
        <w:t xml:space="preserve"> been aligned with the methodologies for calculating PCT and the Hague unit costs.</w:t>
      </w:r>
    </w:p>
    <w:p w:rsidR="0038701B" w:rsidRPr="00990B8A" w:rsidRDefault="0038701B" w:rsidP="00E3403E">
      <w:pPr>
        <w:pStyle w:val="ListParagraph"/>
        <w:ind w:left="1134" w:hanging="567"/>
        <w:jc w:val="both"/>
        <w:rPr>
          <w:rFonts w:cs="Arial"/>
        </w:rPr>
      </w:pPr>
    </w:p>
    <w:p w:rsidR="0038701B" w:rsidRPr="00990B8A" w:rsidRDefault="0038701B" w:rsidP="0038701B">
      <w:pPr>
        <w:pStyle w:val="ListParagraph"/>
        <w:numPr>
          <w:ilvl w:val="0"/>
          <w:numId w:val="100"/>
        </w:numPr>
        <w:spacing w:after="200"/>
        <w:ind w:left="1134" w:hanging="567"/>
        <w:contextualSpacing/>
        <w:jc w:val="both"/>
        <w:rPr>
          <w:rFonts w:cs="Arial"/>
        </w:rPr>
      </w:pPr>
      <w:r w:rsidRPr="00990B8A">
        <w:rPr>
          <w:rFonts w:cs="Arial"/>
        </w:rPr>
        <w:t xml:space="preserve">A weighted system has been introduced to better approximate the actual work required to process the six categories of documents, taking into account that </w:t>
      </w:r>
      <w:r>
        <w:rPr>
          <w:rFonts w:cs="Arial"/>
        </w:rPr>
        <w:t>some</w:t>
      </w:r>
      <w:r w:rsidRPr="00990B8A">
        <w:rPr>
          <w:rFonts w:cs="Arial"/>
        </w:rPr>
        <w:t xml:space="preserve"> of these documents are more labor-intensive than others.</w:t>
      </w:r>
      <w:r w:rsidRPr="00990B8A">
        <w:rPr>
          <w:rStyle w:val="FootnoteReference"/>
          <w:rFonts w:cs="Arial"/>
        </w:rPr>
        <w:footnoteReference w:id="33"/>
      </w:r>
    </w:p>
    <w:p w:rsidR="0038701B" w:rsidRPr="00990B8A" w:rsidRDefault="0038701B" w:rsidP="00E3403E">
      <w:pPr>
        <w:pStyle w:val="ListParagraph"/>
        <w:ind w:left="1134" w:hanging="567"/>
        <w:jc w:val="both"/>
        <w:rPr>
          <w:rFonts w:cs="Arial"/>
        </w:rPr>
      </w:pPr>
    </w:p>
    <w:p w:rsidR="0038701B" w:rsidRPr="00990B8A" w:rsidRDefault="0038701B" w:rsidP="0038701B">
      <w:pPr>
        <w:pStyle w:val="ListParagraph"/>
        <w:numPr>
          <w:ilvl w:val="0"/>
          <w:numId w:val="100"/>
        </w:numPr>
        <w:spacing w:after="200"/>
        <w:ind w:left="1134" w:hanging="567"/>
        <w:contextualSpacing/>
        <w:jc w:val="both"/>
        <w:rPr>
          <w:rFonts w:cs="Arial"/>
        </w:rPr>
      </w:pPr>
      <w:r w:rsidRPr="00990B8A">
        <w:rPr>
          <w:rFonts w:cs="Arial"/>
        </w:rPr>
        <w:t xml:space="preserve">The first unit cost has been redefined to include only new international registrations and renewals (the unit cost in the Program and Budget 2014/15 also included subsequent designations). </w:t>
      </w:r>
      <w:r>
        <w:rPr>
          <w:rFonts w:cs="Arial"/>
        </w:rPr>
        <w:t xml:space="preserve"> </w:t>
      </w:r>
      <w:r w:rsidRPr="00990B8A">
        <w:rPr>
          <w:rFonts w:cs="Arial"/>
        </w:rPr>
        <w:t xml:space="preserve">The rationale for removing subsequent designations as a component of this unit cost is a sharper focus on the core Madrid outputs, namely the international registration and its renewal. </w:t>
      </w:r>
      <w:r>
        <w:rPr>
          <w:rFonts w:cs="Arial"/>
        </w:rPr>
        <w:t xml:space="preserve"> </w:t>
      </w:r>
      <w:r w:rsidRPr="00990B8A">
        <w:rPr>
          <w:rFonts w:cs="Arial"/>
        </w:rPr>
        <w:t xml:space="preserve">All other Madrid transactions (subsequent designations, modifications, decisions and corrections) can be considered secondary to these two core transactions.  Furthermore, </w:t>
      </w:r>
      <w:r>
        <w:rPr>
          <w:rFonts w:cs="Arial"/>
        </w:rPr>
        <w:t>it is difficult to justify</w:t>
      </w:r>
      <w:r w:rsidRPr="00990B8A">
        <w:rPr>
          <w:rFonts w:cs="Arial"/>
        </w:rPr>
        <w:t xml:space="preserve"> including one of these secondary transactions as a component of</w:t>
      </w:r>
      <w:r>
        <w:rPr>
          <w:rFonts w:cs="Arial"/>
        </w:rPr>
        <w:t xml:space="preserve"> the first</w:t>
      </w:r>
      <w:r w:rsidRPr="00990B8A">
        <w:rPr>
          <w:rFonts w:cs="Arial"/>
        </w:rPr>
        <w:t xml:space="preserve"> unit cost, while </w:t>
      </w:r>
      <w:r>
        <w:rPr>
          <w:rFonts w:cs="Arial"/>
        </w:rPr>
        <w:t>excluding</w:t>
      </w:r>
      <w:r w:rsidRPr="00990B8A">
        <w:rPr>
          <w:rFonts w:cs="Arial"/>
        </w:rPr>
        <w:t xml:space="preserve"> the others.</w:t>
      </w:r>
    </w:p>
    <w:p w:rsidR="0038701B" w:rsidRPr="00990B8A" w:rsidRDefault="0038701B" w:rsidP="00E3403E">
      <w:pPr>
        <w:pStyle w:val="ListParagraph"/>
        <w:ind w:left="1134" w:hanging="567"/>
        <w:rPr>
          <w:rFonts w:cs="Arial"/>
        </w:rPr>
      </w:pPr>
    </w:p>
    <w:p w:rsidR="0038701B" w:rsidRDefault="0038701B" w:rsidP="0038701B">
      <w:pPr>
        <w:pStyle w:val="ListParagraph"/>
        <w:numPr>
          <w:ilvl w:val="0"/>
          <w:numId w:val="100"/>
        </w:numPr>
        <w:ind w:left="1134" w:hanging="567"/>
        <w:contextualSpacing/>
        <w:jc w:val="both"/>
        <w:rPr>
          <w:rFonts w:cs="Arial"/>
        </w:rPr>
      </w:pPr>
      <w:r w:rsidRPr="00990B8A">
        <w:rPr>
          <w:rFonts w:cs="Arial"/>
        </w:rPr>
        <w:t xml:space="preserve">The second unit cost is based </w:t>
      </w:r>
      <w:r>
        <w:rPr>
          <w:rFonts w:cs="Arial"/>
        </w:rPr>
        <w:t xml:space="preserve">strictly </w:t>
      </w:r>
      <w:r w:rsidRPr="00990B8A">
        <w:rPr>
          <w:rFonts w:cs="Arial"/>
        </w:rPr>
        <w:t>on the number of documents inscribed in the register</w:t>
      </w:r>
      <w:r>
        <w:rPr>
          <w:rFonts w:cs="Arial"/>
        </w:rPr>
        <w:t>, irrespective of the varying</w:t>
      </w:r>
      <w:r w:rsidRPr="00990B8A">
        <w:rPr>
          <w:rFonts w:cs="Arial"/>
        </w:rPr>
        <w:t xml:space="preserve"> levels of </w:t>
      </w:r>
      <w:r>
        <w:rPr>
          <w:rFonts w:cs="Arial"/>
        </w:rPr>
        <w:t>resources</w:t>
      </w:r>
      <w:r w:rsidRPr="00990B8A">
        <w:rPr>
          <w:rFonts w:cs="Arial"/>
        </w:rPr>
        <w:t xml:space="preserve"> </w:t>
      </w:r>
      <w:r>
        <w:rPr>
          <w:rFonts w:cs="Arial"/>
        </w:rPr>
        <w:t>required to process them</w:t>
      </w:r>
      <w:r w:rsidRPr="00990B8A">
        <w:rPr>
          <w:rFonts w:cs="Arial"/>
        </w:rPr>
        <w:t>.</w:t>
      </w:r>
    </w:p>
    <w:p w:rsidR="0038701B" w:rsidRPr="0043175E" w:rsidRDefault="0038701B" w:rsidP="00E3403E">
      <w:pPr>
        <w:jc w:val="both"/>
        <w:rPr>
          <w:rFonts w:cs="Arial"/>
          <w:szCs w:val="20"/>
        </w:rPr>
      </w:pPr>
    </w:p>
    <w:p w:rsidR="0038701B" w:rsidRPr="00990B8A" w:rsidRDefault="0038701B" w:rsidP="0038701B">
      <w:pPr>
        <w:pStyle w:val="ListParagraph"/>
        <w:numPr>
          <w:ilvl w:val="0"/>
          <w:numId w:val="104"/>
        </w:numPr>
        <w:tabs>
          <w:tab w:val="left" w:pos="567"/>
        </w:tabs>
        <w:ind w:left="0" w:firstLine="0"/>
        <w:contextualSpacing/>
        <w:jc w:val="both"/>
        <w:rPr>
          <w:rFonts w:cs="Arial"/>
        </w:rPr>
      </w:pPr>
      <w:r w:rsidRPr="00990B8A">
        <w:rPr>
          <w:rFonts w:cs="Arial"/>
        </w:rPr>
        <w:t>For ease of comparison, the graphs below depict the evolution of the two unit costs from 2008 to 2014 using the old methodology</w:t>
      </w:r>
      <w:r>
        <w:rPr>
          <w:rFonts w:cs="Arial"/>
        </w:rPr>
        <w:t>,</w:t>
      </w:r>
      <w:r w:rsidRPr="00990B8A">
        <w:rPr>
          <w:rFonts w:cs="Arial"/>
        </w:rPr>
        <w:t xml:space="preserve"> and from 2012 to 201</w:t>
      </w:r>
      <w:r>
        <w:rPr>
          <w:rFonts w:cs="Arial"/>
        </w:rPr>
        <w:t>5</w:t>
      </w:r>
      <w:r w:rsidRPr="00990B8A">
        <w:rPr>
          <w:rFonts w:cs="Arial"/>
        </w:rPr>
        <w:t xml:space="preserve"> using the new methodology, including a breakdown of the contribution of direct and indirect costs.</w:t>
      </w:r>
    </w:p>
    <w:p w:rsidR="0038701B" w:rsidRPr="00990B8A" w:rsidRDefault="0038701B" w:rsidP="00E3403E">
      <w:pPr>
        <w:jc w:val="both"/>
        <w:rPr>
          <w:rFonts w:cs="Arial"/>
          <w:szCs w:val="20"/>
        </w:rPr>
      </w:pPr>
    </w:p>
    <w:p w:rsidR="0038701B" w:rsidRPr="009049DD" w:rsidRDefault="0038701B" w:rsidP="00E3403E">
      <w:pPr>
        <w:pStyle w:val="ListParagraph"/>
        <w:keepNext/>
        <w:keepLines/>
        <w:tabs>
          <w:tab w:val="left" w:pos="1701"/>
        </w:tabs>
        <w:ind w:left="567"/>
        <w:jc w:val="both"/>
        <w:rPr>
          <w:rFonts w:cs="Arial"/>
          <w:i/>
        </w:rPr>
      </w:pPr>
      <w:r w:rsidRPr="009049DD">
        <w:rPr>
          <w:rFonts w:cs="Arial"/>
          <w:i/>
        </w:rPr>
        <w:t>Unit cost per new/renewed international registration</w:t>
      </w:r>
    </w:p>
    <w:p w:rsidR="0038701B" w:rsidRPr="00990B8A" w:rsidRDefault="0038701B" w:rsidP="00E3403E">
      <w:pPr>
        <w:jc w:val="both"/>
        <w:rPr>
          <w:rFonts w:cs="Arial"/>
          <w:szCs w:val="20"/>
        </w:rPr>
      </w:pPr>
    </w:p>
    <w:p w:rsidR="0038701B" w:rsidRPr="00990B8A" w:rsidRDefault="0038701B" w:rsidP="0038701B">
      <w:pPr>
        <w:pStyle w:val="ListParagraph"/>
        <w:numPr>
          <w:ilvl w:val="0"/>
          <w:numId w:val="104"/>
        </w:numPr>
        <w:tabs>
          <w:tab w:val="left" w:pos="567"/>
        </w:tabs>
        <w:ind w:left="0" w:firstLine="0"/>
        <w:contextualSpacing/>
        <w:jc w:val="both"/>
        <w:rPr>
          <w:rFonts w:cs="Arial"/>
        </w:rPr>
      </w:pPr>
      <w:r w:rsidRPr="00990B8A">
        <w:rPr>
          <w:rFonts w:cs="Arial"/>
        </w:rPr>
        <w:t xml:space="preserve">New international registrations consist of applications that are registered within a given year, and renewed international registrations consist of existing registrations that are renewed within a given year. </w:t>
      </w:r>
      <w:r>
        <w:rPr>
          <w:rFonts w:cs="Arial"/>
        </w:rPr>
        <w:t xml:space="preserve"> </w:t>
      </w:r>
      <w:r w:rsidRPr="00990B8A">
        <w:rPr>
          <w:rFonts w:cs="Arial"/>
        </w:rPr>
        <w:t>Combined, these two types of transactions reflect the core business of the IB.</w:t>
      </w:r>
    </w:p>
    <w:p w:rsidR="0038701B" w:rsidRPr="00990B8A" w:rsidRDefault="0038701B" w:rsidP="00E3403E">
      <w:pPr>
        <w:jc w:val="both"/>
        <w:rPr>
          <w:rFonts w:cs="Arial"/>
          <w:szCs w:val="20"/>
        </w:rPr>
      </w:pPr>
    </w:p>
    <w:p w:rsidR="0038701B" w:rsidRPr="00990B8A" w:rsidRDefault="0038701B" w:rsidP="0038701B">
      <w:pPr>
        <w:pStyle w:val="ListParagraph"/>
        <w:numPr>
          <w:ilvl w:val="0"/>
          <w:numId w:val="104"/>
        </w:numPr>
        <w:tabs>
          <w:tab w:val="left" w:pos="567"/>
        </w:tabs>
        <w:ind w:left="0" w:firstLine="0"/>
        <w:contextualSpacing/>
        <w:jc w:val="both"/>
        <w:rPr>
          <w:rFonts w:cs="Arial"/>
        </w:rPr>
      </w:pPr>
      <w:r w:rsidRPr="00990B8A">
        <w:rPr>
          <w:rFonts w:cs="Arial"/>
        </w:rPr>
        <w:t xml:space="preserve">As processing these two types of transactions do not require </w:t>
      </w:r>
      <w:r>
        <w:rPr>
          <w:rFonts w:cs="Arial"/>
        </w:rPr>
        <w:t xml:space="preserve">equal </w:t>
      </w:r>
      <w:r w:rsidRPr="00990B8A">
        <w:rPr>
          <w:rFonts w:cs="Arial"/>
        </w:rPr>
        <w:t>resources, they are each weighted differently.</w:t>
      </w:r>
      <w:r w:rsidRPr="00990B8A">
        <w:rPr>
          <w:rStyle w:val="FootnoteReference"/>
          <w:rFonts w:cs="Arial"/>
        </w:rPr>
        <w:t xml:space="preserve"> </w:t>
      </w:r>
      <w:r w:rsidRPr="00990B8A">
        <w:rPr>
          <w:rStyle w:val="FootnoteReference"/>
          <w:rFonts w:cs="Arial"/>
        </w:rPr>
        <w:footnoteReference w:id="34"/>
      </w:r>
      <w:r w:rsidRPr="00990B8A">
        <w:rPr>
          <w:rFonts w:cs="Arial"/>
        </w:rPr>
        <w:t xml:space="preserve"> </w:t>
      </w:r>
      <w:r>
        <w:rPr>
          <w:rFonts w:cs="Arial"/>
        </w:rPr>
        <w:t xml:space="preserve"> </w:t>
      </w:r>
      <w:r w:rsidRPr="00990B8A">
        <w:rPr>
          <w:rFonts w:cs="Arial"/>
        </w:rPr>
        <w:t xml:space="preserve">The unit cost is calculated by dividing the total cost of production by the number of new/renewed international registrations.  </w:t>
      </w:r>
    </w:p>
    <w:p w:rsidR="0038701B" w:rsidRPr="00990B8A" w:rsidRDefault="0038701B" w:rsidP="00E3403E">
      <w:pPr>
        <w:rPr>
          <w:rFonts w:cs="Ari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7"/>
        <w:gridCol w:w="4784"/>
      </w:tblGrid>
      <w:tr w:rsidR="0038701B" w:rsidRPr="00990B8A" w:rsidTr="00E3403E">
        <w:trPr>
          <w:cantSplit/>
        </w:trPr>
        <w:tc>
          <w:tcPr>
            <w:tcW w:w="4788" w:type="dxa"/>
          </w:tcPr>
          <w:p w:rsidR="0038701B" w:rsidRPr="00990B8A" w:rsidRDefault="0038701B" w:rsidP="00E3403E">
            <w:pPr>
              <w:jc w:val="center"/>
              <w:rPr>
                <w:rFonts w:cs="Arial"/>
              </w:rPr>
            </w:pPr>
            <w:r w:rsidRPr="00990B8A">
              <w:rPr>
                <w:rFonts w:cs="Arial"/>
              </w:rPr>
              <w:t>Old method</w:t>
            </w:r>
          </w:p>
        </w:tc>
        <w:tc>
          <w:tcPr>
            <w:tcW w:w="4788" w:type="dxa"/>
          </w:tcPr>
          <w:p w:rsidR="0038701B" w:rsidRPr="00990B8A" w:rsidRDefault="0038701B" w:rsidP="00E3403E">
            <w:pPr>
              <w:jc w:val="center"/>
              <w:rPr>
                <w:rFonts w:cs="Arial"/>
              </w:rPr>
            </w:pPr>
            <w:r w:rsidRPr="00990B8A">
              <w:rPr>
                <w:rFonts w:cs="Arial"/>
              </w:rPr>
              <w:t>New method</w:t>
            </w:r>
          </w:p>
        </w:tc>
      </w:tr>
      <w:tr w:rsidR="0038701B" w:rsidRPr="00990B8A" w:rsidTr="00E3403E">
        <w:trPr>
          <w:cantSplit/>
        </w:trPr>
        <w:tc>
          <w:tcPr>
            <w:tcW w:w="4788" w:type="dxa"/>
          </w:tcPr>
          <w:p w:rsidR="0038701B" w:rsidRPr="00990B8A" w:rsidRDefault="0038701B" w:rsidP="00E3403E">
            <w:pPr>
              <w:jc w:val="center"/>
              <w:rPr>
                <w:rFonts w:cs="Arial"/>
              </w:rPr>
            </w:pPr>
            <w:r>
              <w:rPr>
                <w:rFonts w:cs="Arial"/>
                <w:noProof/>
              </w:rPr>
              <w:drawing>
                <wp:inline distT="0" distB="0" distL="0" distR="0" wp14:anchorId="2412EB89" wp14:editId="04E2B1A0">
                  <wp:extent cx="2814762" cy="1852279"/>
                  <wp:effectExtent l="0" t="0" r="508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5" cstate="print">
                            <a:extLst>
                              <a:ext uri="{28A0092B-C50C-407E-A947-70E740481C1C}">
                                <a14:useLocalDpi xmlns:a14="http://schemas.microsoft.com/office/drawing/2010/main" val="0"/>
                              </a:ext>
                            </a:extLst>
                          </a:blip>
                          <a:srcRect/>
                          <a:stretch>
                            <a:fillRect/>
                          </a:stretch>
                        </pic:blipFill>
                        <pic:spPr bwMode="auto">
                          <a:xfrm>
                            <a:off x="0" y="0"/>
                            <a:ext cx="2813467" cy="1851427"/>
                          </a:xfrm>
                          <a:prstGeom prst="rect">
                            <a:avLst/>
                          </a:prstGeom>
                          <a:noFill/>
                        </pic:spPr>
                      </pic:pic>
                    </a:graphicData>
                  </a:graphic>
                </wp:inline>
              </w:drawing>
            </w:r>
          </w:p>
        </w:tc>
        <w:tc>
          <w:tcPr>
            <w:tcW w:w="4788" w:type="dxa"/>
          </w:tcPr>
          <w:p w:rsidR="0038701B" w:rsidRPr="00990B8A" w:rsidRDefault="0038701B" w:rsidP="00E3403E">
            <w:pPr>
              <w:jc w:val="center"/>
              <w:rPr>
                <w:rFonts w:cs="Arial"/>
              </w:rPr>
            </w:pPr>
            <w:r>
              <w:rPr>
                <w:rFonts w:cs="Arial"/>
                <w:noProof/>
              </w:rPr>
              <w:drawing>
                <wp:inline distT="0" distB="0" distL="0" distR="0" wp14:anchorId="07C50C36" wp14:editId="2D72393A">
                  <wp:extent cx="2615979" cy="1943203"/>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6" cstate="print">
                            <a:extLst>
                              <a:ext uri="{28A0092B-C50C-407E-A947-70E740481C1C}">
                                <a14:useLocalDpi xmlns:a14="http://schemas.microsoft.com/office/drawing/2010/main" val="0"/>
                              </a:ext>
                            </a:extLst>
                          </a:blip>
                          <a:srcRect/>
                          <a:stretch>
                            <a:fillRect/>
                          </a:stretch>
                        </pic:blipFill>
                        <pic:spPr bwMode="auto">
                          <a:xfrm>
                            <a:off x="0" y="0"/>
                            <a:ext cx="2613417" cy="1941300"/>
                          </a:xfrm>
                          <a:prstGeom prst="rect">
                            <a:avLst/>
                          </a:prstGeom>
                          <a:noFill/>
                        </pic:spPr>
                      </pic:pic>
                    </a:graphicData>
                  </a:graphic>
                </wp:inline>
              </w:drawing>
            </w:r>
          </w:p>
        </w:tc>
      </w:tr>
    </w:tbl>
    <w:p w:rsidR="0038701B" w:rsidRPr="00990B8A" w:rsidRDefault="0038701B" w:rsidP="00E3403E">
      <w:pPr>
        <w:rPr>
          <w:rFonts w:cs="Arial"/>
        </w:rPr>
      </w:pPr>
    </w:p>
    <w:p w:rsidR="0038701B" w:rsidRPr="00990B8A" w:rsidRDefault="0038701B" w:rsidP="0038701B">
      <w:pPr>
        <w:pStyle w:val="ListParagraph"/>
        <w:numPr>
          <w:ilvl w:val="0"/>
          <w:numId w:val="102"/>
        </w:numPr>
        <w:contextualSpacing/>
        <w:jc w:val="both"/>
        <w:rPr>
          <w:rFonts w:cs="Arial"/>
        </w:rPr>
      </w:pPr>
      <w:r w:rsidRPr="00990B8A">
        <w:rPr>
          <w:rFonts w:cs="Arial"/>
        </w:rPr>
        <w:t xml:space="preserve">The average cost of processing a new/renewed international registration was </w:t>
      </w:r>
      <w:r>
        <w:rPr>
          <w:rFonts w:cs="Arial"/>
        </w:rPr>
        <w:t xml:space="preserve">743 </w:t>
      </w:r>
      <w:r w:rsidRPr="00990B8A">
        <w:rPr>
          <w:rFonts w:cs="Arial"/>
        </w:rPr>
        <w:t xml:space="preserve">Swiss </w:t>
      </w:r>
      <w:r>
        <w:rPr>
          <w:rFonts w:cs="Arial"/>
        </w:rPr>
        <w:t>f</w:t>
      </w:r>
      <w:r w:rsidRPr="00990B8A">
        <w:rPr>
          <w:rFonts w:cs="Arial"/>
        </w:rPr>
        <w:t>rancs in</w:t>
      </w:r>
      <w:r>
        <w:rPr>
          <w:rFonts w:cs="Arial"/>
        </w:rPr>
        <w:t> </w:t>
      </w:r>
      <w:r w:rsidRPr="00990B8A">
        <w:rPr>
          <w:rFonts w:cs="Arial"/>
        </w:rPr>
        <w:t>201</w:t>
      </w:r>
      <w:r>
        <w:rPr>
          <w:rFonts w:cs="Arial"/>
        </w:rPr>
        <w:t>5</w:t>
      </w:r>
      <w:r w:rsidRPr="00990B8A">
        <w:rPr>
          <w:rFonts w:cs="Arial"/>
        </w:rPr>
        <w:t xml:space="preserve">. </w:t>
      </w:r>
      <w:r>
        <w:rPr>
          <w:rFonts w:cs="Arial"/>
        </w:rPr>
        <w:t xml:space="preserve"> </w:t>
      </w:r>
      <w:r w:rsidRPr="00990B8A">
        <w:rPr>
          <w:rFonts w:cs="Arial"/>
        </w:rPr>
        <w:t>This represents a</w:t>
      </w:r>
      <w:r>
        <w:rPr>
          <w:rFonts w:cs="Arial"/>
        </w:rPr>
        <w:t xml:space="preserve"> de</w:t>
      </w:r>
      <w:r w:rsidRPr="00990B8A">
        <w:rPr>
          <w:rFonts w:cs="Arial"/>
        </w:rPr>
        <w:t xml:space="preserve">crease of </w:t>
      </w:r>
      <w:r>
        <w:rPr>
          <w:rFonts w:cs="Arial"/>
        </w:rPr>
        <w:t>11</w:t>
      </w:r>
      <w:r w:rsidRPr="00990B8A">
        <w:rPr>
          <w:rFonts w:cs="Arial"/>
        </w:rPr>
        <w:t xml:space="preserve"> per cent compared to 201</w:t>
      </w:r>
      <w:r>
        <w:rPr>
          <w:rFonts w:cs="Arial"/>
        </w:rPr>
        <w:t>4</w:t>
      </w:r>
      <w:r w:rsidRPr="00990B8A">
        <w:rPr>
          <w:rFonts w:cs="Arial"/>
        </w:rPr>
        <w:t xml:space="preserve">. </w:t>
      </w:r>
      <w:r>
        <w:rPr>
          <w:rFonts w:cs="Arial"/>
        </w:rPr>
        <w:t xml:space="preserve"> </w:t>
      </w:r>
      <w:r w:rsidRPr="001E641A">
        <w:rPr>
          <w:rFonts w:cs="Arial"/>
        </w:rPr>
        <w:t>The unit cost per new/renewed international registration in the 2014/15 biennium decreased by one per cent compared to the 2012/2013 biennium.</w:t>
      </w:r>
    </w:p>
    <w:p w:rsidR="0038701B" w:rsidRPr="00990B8A" w:rsidRDefault="0038701B" w:rsidP="00E3403E">
      <w:pPr>
        <w:keepNext/>
        <w:keepLines/>
        <w:jc w:val="center"/>
        <w:rPr>
          <w:rFonts w:cs="Arial"/>
          <w:szCs w:val="20"/>
        </w:rPr>
      </w:pPr>
    </w:p>
    <w:p w:rsidR="0038701B" w:rsidRPr="009049DD" w:rsidRDefault="0038701B" w:rsidP="00E3403E">
      <w:pPr>
        <w:pStyle w:val="ListParagraph"/>
        <w:keepNext/>
        <w:keepLines/>
        <w:tabs>
          <w:tab w:val="left" w:pos="1701"/>
        </w:tabs>
        <w:ind w:left="567"/>
        <w:jc w:val="both"/>
        <w:rPr>
          <w:rFonts w:cs="Arial"/>
          <w:i/>
        </w:rPr>
      </w:pPr>
      <w:r w:rsidRPr="009049DD">
        <w:rPr>
          <w:rFonts w:cs="Arial"/>
          <w:i/>
        </w:rPr>
        <w:t>Unit cost per document inscribed in the register</w:t>
      </w:r>
    </w:p>
    <w:p w:rsidR="0038701B" w:rsidRPr="00990B8A" w:rsidRDefault="0038701B" w:rsidP="00E3403E">
      <w:pPr>
        <w:keepNext/>
        <w:keepLines/>
        <w:jc w:val="both"/>
        <w:rPr>
          <w:rFonts w:cs="Arial"/>
          <w:szCs w:val="20"/>
        </w:rPr>
      </w:pPr>
    </w:p>
    <w:p w:rsidR="0038701B" w:rsidRPr="00990B8A" w:rsidRDefault="0038701B" w:rsidP="0038701B">
      <w:pPr>
        <w:pStyle w:val="ListParagraph"/>
        <w:keepNext/>
        <w:keepLines/>
        <w:numPr>
          <w:ilvl w:val="0"/>
          <w:numId w:val="104"/>
        </w:numPr>
        <w:tabs>
          <w:tab w:val="left" w:pos="567"/>
        </w:tabs>
        <w:ind w:left="0" w:firstLine="0"/>
        <w:contextualSpacing/>
        <w:jc w:val="both"/>
        <w:rPr>
          <w:rFonts w:cs="Arial"/>
        </w:rPr>
      </w:pPr>
      <w:r w:rsidRPr="00990B8A">
        <w:rPr>
          <w:rFonts w:cs="Arial"/>
        </w:rPr>
        <w:t xml:space="preserve">The documents inscribed in the register correspond to the total volume of workload (see “Total volume of workload” above). </w:t>
      </w:r>
    </w:p>
    <w:p w:rsidR="0038701B" w:rsidRPr="00990B8A" w:rsidRDefault="0038701B" w:rsidP="00E3403E">
      <w:pPr>
        <w:keepNext/>
        <w:keepLines/>
        <w:jc w:val="center"/>
        <w:rPr>
          <w:rFonts w:cs="Arial"/>
        </w:rPr>
      </w:pPr>
    </w:p>
    <w:tbl>
      <w:tblPr>
        <w:tblStyle w:val="TableGrid"/>
        <w:tblW w:w="93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86"/>
        <w:gridCol w:w="4536"/>
      </w:tblGrid>
      <w:tr w:rsidR="0038701B" w:rsidRPr="00990B8A" w:rsidTr="00E3403E">
        <w:trPr>
          <w:cantSplit/>
          <w:trHeight w:val="273"/>
        </w:trPr>
        <w:tc>
          <w:tcPr>
            <w:tcW w:w="4786" w:type="dxa"/>
          </w:tcPr>
          <w:p w:rsidR="0038701B" w:rsidRPr="00990B8A" w:rsidRDefault="0038701B" w:rsidP="00E3403E">
            <w:pPr>
              <w:keepNext/>
              <w:keepLines/>
              <w:jc w:val="center"/>
              <w:rPr>
                <w:rFonts w:cs="Arial"/>
              </w:rPr>
            </w:pPr>
            <w:r w:rsidRPr="00990B8A">
              <w:rPr>
                <w:rFonts w:cs="Arial"/>
              </w:rPr>
              <w:t>Old method</w:t>
            </w:r>
          </w:p>
        </w:tc>
        <w:tc>
          <w:tcPr>
            <w:tcW w:w="4536" w:type="dxa"/>
          </w:tcPr>
          <w:p w:rsidR="0038701B" w:rsidRPr="00990B8A" w:rsidRDefault="0038701B" w:rsidP="00E3403E">
            <w:pPr>
              <w:keepNext/>
              <w:keepLines/>
              <w:jc w:val="center"/>
              <w:rPr>
                <w:rFonts w:cs="Arial"/>
              </w:rPr>
            </w:pPr>
            <w:r w:rsidRPr="00990B8A">
              <w:rPr>
                <w:rFonts w:cs="Arial"/>
              </w:rPr>
              <w:t>New method</w:t>
            </w:r>
          </w:p>
        </w:tc>
      </w:tr>
      <w:tr w:rsidR="0038701B" w:rsidRPr="00990B8A" w:rsidTr="00E3403E">
        <w:trPr>
          <w:cantSplit/>
          <w:trHeight w:val="3013"/>
        </w:trPr>
        <w:tc>
          <w:tcPr>
            <w:tcW w:w="4786" w:type="dxa"/>
          </w:tcPr>
          <w:p w:rsidR="0038701B" w:rsidRPr="00990B8A" w:rsidRDefault="0038701B" w:rsidP="00E3403E">
            <w:pPr>
              <w:keepNext/>
              <w:keepLines/>
              <w:jc w:val="center"/>
              <w:rPr>
                <w:rFonts w:cs="Arial"/>
              </w:rPr>
            </w:pPr>
            <w:r>
              <w:rPr>
                <w:rFonts w:cs="Arial"/>
                <w:noProof/>
              </w:rPr>
              <w:drawing>
                <wp:inline distT="0" distB="0" distL="0" distR="0" wp14:anchorId="120A3619" wp14:editId="2CCA1042">
                  <wp:extent cx="2695493" cy="1808473"/>
                  <wp:effectExtent l="0" t="0" r="0" b="190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7" cstate="print">
                            <a:extLst>
                              <a:ext uri="{28A0092B-C50C-407E-A947-70E740481C1C}">
                                <a14:useLocalDpi xmlns:a14="http://schemas.microsoft.com/office/drawing/2010/main" val="0"/>
                              </a:ext>
                            </a:extLst>
                          </a:blip>
                          <a:srcRect/>
                          <a:stretch>
                            <a:fillRect/>
                          </a:stretch>
                        </pic:blipFill>
                        <pic:spPr bwMode="auto">
                          <a:xfrm>
                            <a:off x="0" y="0"/>
                            <a:ext cx="2696802" cy="1809351"/>
                          </a:xfrm>
                          <a:prstGeom prst="rect">
                            <a:avLst/>
                          </a:prstGeom>
                          <a:noFill/>
                        </pic:spPr>
                      </pic:pic>
                    </a:graphicData>
                  </a:graphic>
                </wp:inline>
              </w:drawing>
            </w:r>
          </w:p>
        </w:tc>
        <w:tc>
          <w:tcPr>
            <w:tcW w:w="4536" w:type="dxa"/>
          </w:tcPr>
          <w:p w:rsidR="0038701B" w:rsidRPr="00990B8A" w:rsidRDefault="0038701B" w:rsidP="00E3403E">
            <w:pPr>
              <w:keepNext/>
              <w:keepLines/>
              <w:jc w:val="center"/>
              <w:rPr>
                <w:rFonts w:cs="Arial"/>
              </w:rPr>
            </w:pPr>
            <w:r>
              <w:rPr>
                <w:rFonts w:cs="Arial"/>
                <w:noProof/>
              </w:rPr>
              <w:drawing>
                <wp:inline distT="0" distB="0" distL="0" distR="0" wp14:anchorId="5EDE9023" wp14:editId="1B4C7897">
                  <wp:extent cx="2743755" cy="2051436"/>
                  <wp:effectExtent l="0" t="0" r="0" b="635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8" cstate="print">
                            <a:extLst>
                              <a:ext uri="{28A0092B-C50C-407E-A947-70E740481C1C}">
                                <a14:useLocalDpi xmlns:a14="http://schemas.microsoft.com/office/drawing/2010/main" val="0"/>
                              </a:ext>
                            </a:extLst>
                          </a:blip>
                          <a:srcRect/>
                          <a:stretch>
                            <a:fillRect/>
                          </a:stretch>
                        </pic:blipFill>
                        <pic:spPr bwMode="auto">
                          <a:xfrm>
                            <a:off x="0" y="0"/>
                            <a:ext cx="2744183" cy="2051756"/>
                          </a:xfrm>
                          <a:prstGeom prst="rect">
                            <a:avLst/>
                          </a:prstGeom>
                          <a:noFill/>
                        </pic:spPr>
                      </pic:pic>
                    </a:graphicData>
                  </a:graphic>
                </wp:inline>
              </w:drawing>
            </w:r>
          </w:p>
        </w:tc>
      </w:tr>
    </w:tbl>
    <w:p w:rsidR="0038701B" w:rsidRPr="00990B8A" w:rsidRDefault="0038701B" w:rsidP="00E3403E">
      <w:pPr>
        <w:keepNext/>
        <w:keepLines/>
        <w:jc w:val="center"/>
        <w:rPr>
          <w:rFonts w:cs="Arial"/>
        </w:rPr>
      </w:pPr>
    </w:p>
    <w:p w:rsidR="0038701B" w:rsidRPr="00990B8A" w:rsidRDefault="0038701B" w:rsidP="0038701B">
      <w:pPr>
        <w:pStyle w:val="ListParagraph"/>
        <w:keepNext/>
        <w:keepLines/>
        <w:numPr>
          <w:ilvl w:val="0"/>
          <w:numId w:val="102"/>
        </w:numPr>
        <w:contextualSpacing/>
        <w:jc w:val="both"/>
        <w:rPr>
          <w:rFonts w:cs="Arial"/>
        </w:rPr>
      </w:pPr>
      <w:r w:rsidRPr="00990B8A">
        <w:rPr>
          <w:rFonts w:cs="Arial"/>
        </w:rPr>
        <w:t xml:space="preserve">The average cost of inscribing a document in the register increased slightly from 320 </w:t>
      </w:r>
      <w:r>
        <w:rPr>
          <w:rFonts w:cs="Arial"/>
        </w:rPr>
        <w:t>Swiss francs</w:t>
      </w:r>
      <w:r w:rsidRPr="00990B8A">
        <w:rPr>
          <w:rFonts w:cs="Arial"/>
        </w:rPr>
        <w:t xml:space="preserve"> in 2012 to 32</w:t>
      </w:r>
      <w:r>
        <w:rPr>
          <w:rFonts w:cs="Arial"/>
        </w:rPr>
        <w:t>3</w:t>
      </w:r>
      <w:r w:rsidRPr="00990B8A">
        <w:rPr>
          <w:rFonts w:cs="Arial"/>
        </w:rPr>
        <w:t xml:space="preserve"> </w:t>
      </w:r>
      <w:r>
        <w:rPr>
          <w:rFonts w:cs="Arial"/>
        </w:rPr>
        <w:t>Swiss francs</w:t>
      </w:r>
      <w:r w:rsidRPr="00990B8A">
        <w:rPr>
          <w:rFonts w:cs="Arial"/>
        </w:rPr>
        <w:t xml:space="preserve"> in 201</w:t>
      </w:r>
      <w:r>
        <w:rPr>
          <w:rFonts w:cs="Arial"/>
        </w:rPr>
        <w:t>5</w:t>
      </w:r>
      <w:r w:rsidRPr="00990B8A">
        <w:rPr>
          <w:rFonts w:cs="Arial"/>
        </w:rPr>
        <w:t xml:space="preserve">. </w:t>
      </w:r>
      <w:r>
        <w:rPr>
          <w:rFonts w:cs="Arial"/>
        </w:rPr>
        <w:t xml:space="preserve"> </w:t>
      </w:r>
      <w:r w:rsidRPr="001E641A">
        <w:rPr>
          <w:rFonts w:cs="Arial"/>
        </w:rPr>
        <w:t>The unit cost per document inscribed in the register in the 2014/15 biennium increased by one per cent compared to the 2012/13 biennium.</w:t>
      </w:r>
    </w:p>
    <w:p w:rsidR="0038701B" w:rsidRPr="00990B8A" w:rsidRDefault="0038701B" w:rsidP="00E3403E">
      <w:pPr>
        <w:pStyle w:val="ListParagraph"/>
        <w:ind w:left="1417"/>
        <w:jc w:val="both"/>
        <w:rPr>
          <w:rFonts w:cs="Arial"/>
        </w:rPr>
      </w:pPr>
    </w:p>
    <w:p w:rsidR="0038701B" w:rsidRPr="00990B8A" w:rsidRDefault="0038701B" w:rsidP="00E3403E">
      <w:pPr>
        <w:jc w:val="both"/>
        <w:rPr>
          <w:rFonts w:cs="Arial"/>
          <w:szCs w:val="20"/>
        </w:rPr>
      </w:pPr>
    </w:p>
    <w:p w:rsidR="0038701B" w:rsidRPr="007F399A" w:rsidRDefault="0038701B" w:rsidP="0038701B">
      <w:pPr>
        <w:pStyle w:val="ListParagraph"/>
        <w:numPr>
          <w:ilvl w:val="0"/>
          <w:numId w:val="99"/>
        </w:numPr>
        <w:ind w:left="567" w:hanging="567"/>
        <w:contextualSpacing/>
        <w:jc w:val="both"/>
        <w:rPr>
          <w:rFonts w:cs="Arial"/>
          <w:b/>
        </w:rPr>
      </w:pPr>
      <w:r w:rsidRPr="007F399A">
        <w:rPr>
          <w:rFonts w:cs="Arial"/>
          <w:b/>
        </w:rPr>
        <w:t>Productivity of examination</w:t>
      </w:r>
    </w:p>
    <w:p w:rsidR="0038701B" w:rsidRPr="001D3300" w:rsidRDefault="0038701B" w:rsidP="00E3403E">
      <w:pPr>
        <w:jc w:val="both"/>
        <w:rPr>
          <w:rFonts w:cs="Arial"/>
          <w:szCs w:val="20"/>
        </w:rPr>
      </w:pPr>
    </w:p>
    <w:p w:rsidR="0038701B" w:rsidRPr="007F399A" w:rsidRDefault="0038701B" w:rsidP="0038701B">
      <w:pPr>
        <w:pStyle w:val="ListParagraph"/>
        <w:numPr>
          <w:ilvl w:val="0"/>
          <w:numId w:val="104"/>
        </w:numPr>
        <w:tabs>
          <w:tab w:val="left" w:pos="567"/>
        </w:tabs>
        <w:ind w:left="0" w:firstLine="0"/>
        <w:contextualSpacing/>
        <w:jc w:val="both"/>
        <w:rPr>
          <w:rFonts w:cs="Arial"/>
        </w:rPr>
      </w:pPr>
      <w:r w:rsidRPr="007F399A">
        <w:rPr>
          <w:rFonts w:cs="Arial"/>
        </w:rPr>
        <w:t>The definition of examination productivity is the number of new/renewed international registrations processed by examiners</w:t>
      </w:r>
      <w:r>
        <w:rPr>
          <w:rFonts w:cs="Arial"/>
        </w:rPr>
        <w:t>,</w:t>
      </w:r>
      <w:r w:rsidRPr="007F399A">
        <w:rPr>
          <w:rFonts w:cs="Arial"/>
        </w:rPr>
        <w:t xml:space="preserve"> divided by the number of personnel involved in examination.</w:t>
      </w:r>
      <w:r w:rsidRPr="007F399A">
        <w:rPr>
          <w:rStyle w:val="FootnoteReference"/>
          <w:rFonts w:cs="Arial"/>
        </w:rPr>
        <w:t xml:space="preserve"> </w:t>
      </w:r>
      <w:r w:rsidRPr="007F399A">
        <w:rPr>
          <w:rFonts w:cs="Arial"/>
        </w:rPr>
        <w:t xml:space="preserve"> The number of personnel includes fellows, interns and external contractors. </w:t>
      </w:r>
    </w:p>
    <w:p w:rsidR="0038701B" w:rsidRPr="007F399A" w:rsidRDefault="0038701B" w:rsidP="00E3403E">
      <w:pPr>
        <w:jc w:val="both"/>
        <w:rPr>
          <w:rFonts w:cs="Arial"/>
          <w:noProof/>
        </w:rPr>
      </w:pPr>
    </w:p>
    <w:p w:rsidR="0038701B" w:rsidRPr="00990B8A" w:rsidRDefault="0038701B" w:rsidP="00E3403E">
      <w:pPr>
        <w:jc w:val="center"/>
        <w:rPr>
          <w:rFonts w:cs="Arial"/>
        </w:rPr>
      </w:pPr>
      <w:r>
        <w:rPr>
          <w:rFonts w:cs="Arial"/>
          <w:noProof/>
        </w:rPr>
        <w:drawing>
          <wp:inline distT="0" distB="0" distL="0" distR="0" wp14:anchorId="5FBB0595" wp14:editId="24D1FEF8">
            <wp:extent cx="5562600" cy="2695902"/>
            <wp:effectExtent l="0" t="0" r="0" b="9525"/>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5570334" cy="2699651"/>
                    </a:xfrm>
                    <a:prstGeom prst="rect">
                      <a:avLst/>
                    </a:prstGeom>
                    <a:noFill/>
                  </pic:spPr>
                </pic:pic>
              </a:graphicData>
            </a:graphic>
          </wp:inline>
        </w:drawing>
      </w:r>
    </w:p>
    <w:p w:rsidR="0038701B" w:rsidRPr="00990B8A" w:rsidRDefault="0038701B" w:rsidP="0038701B">
      <w:pPr>
        <w:pStyle w:val="ListParagraph"/>
        <w:numPr>
          <w:ilvl w:val="0"/>
          <w:numId w:val="102"/>
        </w:numPr>
        <w:ind w:left="1134" w:hanging="567"/>
        <w:contextualSpacing/>
        <w:jc w:val="both"/>
        <w:rPr>
          <w:rFonts w:cs="Arial"/>
        </w:rPr>
      </w:pPr>
      <w:r w:rsidRPr="00990B8A">
        <w:rPr>
          <w:rFonts w:cs="Arial"/>
        </w:rPr>
        <w:t xml:space="preserve">The productivity of examination </w:t>
      </w:r>
      <w:r>
        <w:rPr>
          <w:rFonts w:cs="Arial"/>
        </w:rPr>
        <w:t xml:space="preserve">increased by 17 per cent compared to the 2014 level.  The 2015 level of 1,039 new and renewed international registrations per personnel was the highest for the period 2008 to 2015. </w:t>
      </w:r>
    </w:p>
    <w:p w:rsidR="0038701B" w:rsidRPr="00990B8A" w:rsidRDefault="0038701B" w:rsidP="00E3403E">
      <w:pPr>
        <w:pStyle w:val="ListParagraph"/>
        <w:jc w:val="both"/>
        <w:rPr>
          <w:rFonts w:cs="Arial"/>
        </w:rPr>
      </w:pPr>
    </w:p>
    <w:p w:rsidR="0038701B" w:rsidRPr="00641133" w:rsidRDefault="0038701B" w:rsidP="0038701B">
      <w:pPr>
        <w:pStyle w:val="ListParagraph"/>
        <w:keepNext/>
        <w:keepLines/>
        <w:numPr>
          <w:ilvl w:val="0"/>
          <w:numId w:val="99"/>
        </w:numPr>
        <w:ind w:left="567" w:hanging="567"/>
        <w:contextualSpacing/>
        <w:jc w:val="both"/>
        <w:rPr>
          <w:rFonts w:cs="Arial"/>
          <w:b/>
        </w:rPr>
      </w:pPr>
      <w:r w:rsidRPr="00641133">
        <w:rPr>
          <w:rFonts w:cs="Arial"/>
          <w:b/>
        </w:rPr>
        <w:lastRenderedPageBreak/>
        <w:t>Personnel</w:t>
      </w:r>
    </w:p>
    <w:p w:rsidR="0038701B" w:rsidRDefault="0038701B" w:rsidP="00E3403E">
      <w:pPr>
        <w:keepNext/>
        <w:keepLines/>
        <w:jc w:val="center"/>
        <w:rPr>
          <w:rFonts w:cs="Arial"/>
        </w:rPr>
      </w:pPr>
      <w:r>
        <w:rPr>
          <w:rFonts w:cs="Arial"/>
          <w:noProof/>
        </w:rPr>
        <w:drawing>
          <wp:inline distT="0" distB="0" distL="0" distR="0" wp14:anchorId="272F41C4" wp14:editId="5AFAD597">
            <wp:extent cx="5429250" cy="2612185"/>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0">
                      <a:extLst>
                        <a:ext uri="{28A0092B-C50C-407E-A947-70E740481C1C}">
                          <a14:useLocalDpi xmlns:a14="http://schemas.microsoft.com/office/drawing/2010/main" val="0"/>
                        </a:ext>
                      </a:extLst>
                    </a:blip>
                    <a:stretch>
                      <a:fillRect/>
                    </a:stretch>
                  </pic:blipFill>
                  <pic:spPr bwMode="auto">
                    <a:xfrm>
                      <a:off x="0" y="0"/>
                      <a:ext cx="5427341" cy="2611267"/>
                    </a:xfrm>
                    <a:prstGeom prst="rect">
                      <a:avLst/>
                    </a:prstGeom>
                    <a:noFill/>
                  </pic:spPr>
                </pic:pic>
              </a:graphicData>
            </a:graphic>
          </wp:inline>
        </w:drawing>
      </w:r>
    </w:p>
    <w:p w:rsidR="0038701B" w:rsidRPr="00206CCE" w:rsidRDefault="0038701B" w:rsidP="00E3403E">
      <w:pPr>
        <w:keepNext/>
        <w:keepLines/>
        <w:rPr>
          <w:rFonts w:cs="Arial"/>
          <w:sz w:val="16"/>
        </w:rPr>
      </w:pPr>
      <w:r w:rsidRPr="00206CCE">
        <w:rPr>
          <w:rFonts w:cs="Arial"/>
          <w:sz w:val="16"/>
        </w:rPr>
        <w:t xml:space="preserve">Note: </w:t>
      </w:r>
      <w:r>
        <w:rPr>
          <w:rFonts w:cs="Arial"/>
          <w:sz w:val="16"/>
        </w:rPr>
        <w:t xml:space="preserve"> </w:t>
      </w:r>
      <w:r w:rsidRPr="008477B4">
        <w:rPr>
          <w:rFonts w:cs="Arial"/>
          <w:sz w:val="16"/>
        </w:rPr>
        <w:t xml:space="preserve">The </w:t>
      </w:r>
      <w:r>
        <w:rPr>
          <w:rFonts w:cs="Arial"/>
          <w:sz w:val="16"/>
        </w:rPr>
        <w:t xml:space="preserve">ability to distinguish the personnel of the </w:t>
      </w:r>
      <w:r w:rsidRPr="008477B4">
        <w:rPr>
          <w:rFonts w:cs="Arial"/>
          <w:sz w:val="16"/>
        </w:rPr>
        <w:t xml:space="preserve">Lisbon Registry was </w:t>
      </w:r>
      <w:r>
        <w:rPr>
          <w:rFonts w:cs="Arial"/>
          <w:sz w:val="16"/>
        </w:rPr>
        <w:t>only feasible beginning with the 2014/15 biennium</w:t>
      </w:r>
      <w:r w:rsidRPr="008477B4">
        <w:rPr>
          <w:rFonts w:cs="Arial"/>
          <w:sz w:val="16"/>
        </w:rPr>
        <w:t>.  For the years prior to 201</w:t>
      </w:r>
      <w:r>
        <w:rPr>
          <w:rFonts w:cs="Arial"/>
          <w:sz w:val="16"/>
        </w:rPr>
        <w:t>4</w:t>
      </w:r>
      <w:r w:rsidRPr="008477B4">
        <w:rPr>
          <w:rFonts w:cs="Arial"/>
          <w:sz w:val="16"/>
        </w:rPr>
        <w:t xml:space="preserve">, the </w:t>
      </w:r>
      <w:r>
        <w:rPr>
          <w:rFonts w:cs="Arial"/>
          <w:sz w:val="16"/>
        </w:rPr>
        <w:t>personnel</w:t>
      </w:r>
      <w:r w:rsidRPr="008477B4">
        <w:rPr>
          <w:rFonts w:cs="Arial"/>
          <w:sz w:val="16"/>
        </w:rPr>
        <w:t xml:space="preserve"> of the Lisbon System are included in the </w:t>
      </w:r>
      <w:r>
        <w:rPr>
          <w:rFonts w:cs="Arial"/>
          <w:sz w:val="16"/>
        </w:rPr>
        <w:t xml:space="preserve">overall number of personnel </w:t>
      </w:r>
      <w:r w:rsidRPr="008477B4">
        <w:rPr>
          <w:rFonts w:cs="Arial"/>
          <w:sz w:val="16"/>
        </w:rPr>
        <w:t>of the Madrid System.</w:t>
      </w:r>
    </w:p>
    <w:p w:rsidR="0038701B" w:rsidRPr="00990B8A" w:rsidRDefault="0038701B" w:rsidP="00E3403E">
      <w:pPr>
        <w:keepNext/>
        <w:keepLines/>
        <w:jc w:val="both"/>
        <w:rPr>
          <w:rFonts w:cs="Arial"/>
        </w:rPr>
      </w:pPr>
    </w:p>
    <w:p w:rsidR="0038701B" w:rsidRPr="00990B8A" w:rsidRDefault="0038701B" w:rsidP="0038701B">
      <w:pPr>
        <w:pStyle w:val="ListParagraph"/>
        <w:numPr>
          <w:ilvl w:val="0"/>
          <w:numId w:val="102"/>
        </w:numPr>
        <w:spacing w:after="120"/>
        <w:ind w:left="993" w:hanging="426"/>
        <w:jc w:val="both"/>
        <w:rPr>
          <w:rFonts w:cs="Arial"/>
        </w:rPr>
      </w:pPr>
      <w:r>
        <w:rPr>
          <w:rFonts w:cs="Arial"/>
        </w:rPr>
        <w:t>In 2015, t</w:t>
      </w:r>
      <w:r w:rsidRPr="00990B8A">
        <w:rPr>
          <w:rFonts w:cs="Arial"/>
        </w:rPr>
        <w:t xml:space="preserve">he number of staff remained </w:t>
      </w:r>
      <w:r>
        <w:rPr>
          <w:rFonts w:cs="Arial"/>
        </w:rPr>
        <w:t>largely unchanged</w:t>
      </w:r>
      <w:r w:rsidRPr="00990B8A">
        <w:rPr>
          <w:rFonts w:cs="Arial"/>
        </w:rPr>
        <w:t xml:space="preserve"> </w:t>
      </w:r>
      <w:r>
        <w:rPr>
          <w:rFonts w:cs="Arial"/>
        </w:rPr>
        <w:t>compared to 2014</w:t>
      </w:r>
      <w:r w:rsidRPr="00990B8A">
        <w:rPr>
          <w:rFonts w:cs="Arial"/>
        </w:rPr>
        <w:t xml:space="preserve">, while the number of flexible resources </w:t>
      </w:r>
      <w:r>
        <w:rPr>
          <w:rFonts w:cs="Arial"/>
        </w:rPr>
        <w:t>doubled, from eight in 2014 to 16 in 2015.</w:t>
      </w:r>
    </w:p>
    <w:p w:rsidR="0038701B" w:rsidRDefault="0038701B" w:rsidP="0038701B">
      <w:pPr>
        <w:pStyle w:val="ListParagraph"/>
        <w:numPr>
          <w:ilvl w:val="0"/>
          <w:numId w:val="102"/>
        </w:numPr>
        <w:spacing w:after="120"/>
        <w:ind w:left="993" w:hanging="426"/>
        <w:jc w:val="both"/>
        <w:rPr>
          <w:rFonts w:cs="Arial"/>
        </w:rPr>
      </w:pPr>
      <w:r>
        <w:rPr>
          <w:rFonts w:cs="Arial"/>
        </w:rPr>
        <w:t>Agency workers</w:t>
      </w:r>
      <w:r w:rsidRPr="00990B8A">
        <w:rPr>
          <w:rFonts w:cs="Arial"/>
        </w:rPr>
        <w:t xml:space="preserve"> not working on WIPO premises are not included in this indicator.</w:t>
      </w:r>
    </w:p>
    <w:p w:rsidR="0038701B" w:rsidRPr="003D70CA" w:rsidRDefault="0038701B" w:rsidP="00E3403E">
      <w:pPr>
        <w:pStyle w:val="ListParagraph"/>
        <w:ind w:left="992"/>
        <w:jc w:val="both"/>
        <w:rPr>
          <w:rFonts w:cs="Arial"/>
          <w:sz w:val="16"/>
        </w:rPr>
      </w:pPr>
    </w:p>
    <w:p w:rsidR="0038701B" w:rsidRPr="009565B7" w:rsidRDefault="0038701B" w:rsidP="0038701B">
      <w:pPr>
        <w:pStyle w:val="ListParagraph"/>
        <w:numPr>
          <w:ilvl w:val="0"/>
          <w:numId w:val="99"/>
        </w:numPr>
        <w:ind w:left="567" w:hanging="567"/>
        <w:contextualSpacing/>
        <w:jc w:val="both"/>
        <w:rPr>
          <w:rFonts w:cs="Arial"/>
          <w:b/>
        </w:rPr>
      </w:pPr>
      <w:r w:rsidRPr="009565B7">
        <w:rPr>
          <w:rFonts w:cs="Arial"/>
          <w:b/>
        </w:rPr>
        <w:t>Pendency</w:t>
      </w:r>
    </w:p>
    <w:p w:rsidR="0038701B" w:rsidRPr="00990B8A" w:rsidRDefault="0038701B" w:rsidP="00E3403E">
      <w:pPr>
        <w:pStyle w:val="ListParagraph"/>
        <w:ind w:left="567" w:hanging="567"/>
        <w:jc w:val="both"/>
        <w:rPr>
          <w:rFonts w:cs="Arial"/>
        </w:rPr>
      </w:pPr>
    </w:p>
    <w:p w:rsidR="0038701B" w:rsidRPr="00AB7B28" w:rsidRDefault="0038701B" w:rsidP="0038701B">
      <w:pPr>
        <w:pStyle w:val="ListParagraph"/>
        <w:numPr>
          <w:ilvl w:val="0"/>
          <w:numId w:val="104"/>
        </w:numPr>
        <w:tabs>
          <w:tab w:val="left" w:pos="567"/>
        </w:tabs>
        <w:ind w:left="0" w:firstLine="0"/>
        <w:contextualSpacing/>
        <w:jc w:val="both"/>
        <w:rPr>
          <w:rFonts w:cs="Arial"/>
        </w:rPr>
      </w:pPr>
      <w:r w:rsidRPr="00990B8A">
        <w:rPr>
          <w:rFonts w:cs="Arial"/>
        </w:rPr>
        <w:t xml:space="preserve">The average pendency for each of the six transactions performed by the IB is shown below. </w:t>
      </w:r>
      <w:r>
        <w:rPr>
          <w:rFonts w:cs="Arial"/>
        </w:rPr>
        <w:t xml:space="preserve"> </w:t>
      </w:r>
      <w:r w:rsidRPr="00990B8A">
        <w:rPr>
          <w:rFonts w:cs="Arial"/>
        </w:rPr>
        <w:t>The pendency is calculated from the date a document is received to the date it is inscribed.</w:t>
      </w:r>
    </w:p>
    <w:p w:rsidR="0038701B" w:rsidRPr="00990B8A" w:rsidRDefault="0038701B" w:rsidP="00E3403E">
      <w:pPr>
        <w:pStyle w:val="ListParagraph"/>
        <w:ind w:left="0"/>
        <w:jc w:val="both"/>
        <w:rPr>
          <w:rFonts w:cs="Arial"/>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29"/>
        <w:gridCol w:w="4726"/>
      </w:tblGrid>
      <w:tr w:rsidR="0038701B" w:rsidRPr="00990B8A" w:rsidTr="00E3403E">
        <w:trPr>
          <w:trHeight w:val="3298"/>
          <w:jc w:val="center"/>
        </w:trPr>
        <w:tc>
          <w:tcPr>
            <w:tcW w:w="4560" w:type="dxa"/>
          </w:tcPr>
          <w:p w:rsidR="0038701B" w:rsidRPr="00990B8A" w:rsidRDefault="0038701B" w:rsidP="00E3403E">
            <w:pPr>
              <w:jc w:val="both"/>
              <w:rPr>
                <w:rFonts w:cs="Arial"/>
              </w:rPr>
            </w:pPr>
            <w:r>
              <w:rPr>
                <w:rFonts w:cs="Arial"/>
                <w:noProof/>
              </w:rPr>
              <w:drawing>
                <wp:inline distT="0" distB="0" distL="0" distR="0" wp14:anchorId="63E0F671" wp14:editId="485B3F2B">
                  <wp:extent cx="2780647" cy="2113472"/>
                  <wp:effectExtent l="0" t="0" r="1270"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91" cstate="print">
                            <a:extLst>
                              <a:ext uri="{28A0092B-C50C-407E-A947-70E740481C1C}">
                                <a14:useLocalDpi xmlns:a14="http://schemas.microsoft.com/office/drawing/2010/main" val="0"/>
                              </a:ext>
                            </a:extLst>
                          </a:blip>
                          <a:srcRect/>
                          <a:stretch>
                            <a:fillRect/>
                          </a:stretch>
                        </pic:blipFill>
                        <pic:spPr bwMode="auto">
                          <a:xfrm>
                            <a:off x="0" y="0"/>
                            <a:ext cx="2781561" cy="2114167"/>
                          </a:xfrm>
                          <a:prstGeom prst="rect">
                            <a:avLst/>
                          </a:prstGeom>
                          <a:noFill/>
                        </pic:spPr>
                      </pic:pic>
                    </a:graphicData>
                  </a:graphic>
                </wp:inline>
              </w:drawing>
            </w:r>
          </w:p>
        </w:tc>
        <w:tc>
          <w:tcPr>
            <w:tcW w:w="4591" w:type="dxa"/>
          </w:tcPr>
          <w:p w:rsidR="0038701B" w:rsidRPr="00990B8A" w:rsidRDefault="0038701B" w:rsidP="00E3403E">
            <w:pPr>
              <w:jc w:val="both"/>
              <w:rPr>
                <w:rFonts w:cs="Arial"/>
              </w:rPr>
            </w:pPr>
            <w:r>
              <w:rPr>
                <w:rFonts w:cs="Arial"/>
                <w:noProof/>
              </w:rPr>
              <w:drawing>
                <wp:inline distT="0" distB="0" distL="0" distR="0" wp14:anchorId="6F932099" wp14:editId="7A566E76">
                  <wp:extent cx="2863969" cy="2116308"/>
                  <wp:effectExtent l="0" t="0" r="0"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2865059" cy="2117113"/>
                          </a:xfrm>
                          <a:prstGeom prst="rect">
                            <a:avLst/>
                          </a:prstGeom>
                          <a:noFill/>
                        </pic:spPr>
                      </pic:pic>
                    </a:graphicData>
                  </a:graphic>
                </wp:inline>
              </w:drawing>
            </w:r>
          </w:p>
        </w:tc>
      </w:tr>
      <w:tr w:rsidR="0038701B" w:rsidRPr="00990B8A" w:rsidTr="00E3403E">
        <w:trPr>
          <w:trHeight w:val="3418"/>
          <w:jc w:val="center"/>
        </w:trPr>
        <w:tc>
          <w:tcPr>
            <w:tcW w:w="4560" w:type="dxa"/>
          </w:tcPr>
          <w:p w:rsidR="0038701B" w:rsidRPr="00990B8A" w:rsidRDefault="0038701B" w:rsidP="00E3403E">
            <w:pPr>
              <w:jc w:val="both"/>
              <w:rPr>
                <w:rFonts w:cs="Arial"/>
              </w:rPr>
            </w:pPr>
            <w:r>
              <w:rPr>
                <w:rFonts w:cs="Arial"/>
                <w:noProof/>
              </w:rPr>
              <w:drawing>
                <wp:inline distT="0" distB="0" distL="0" distR="0" wp14:anchorId="60D89FD3" wp14:editId="71783E56">
                  <wp:extent cx="2929849" cy="2147977"/>
                  <wp:effectExtent l="0" t="0" r="0" b="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2933505" cy="2150657"/>
                          </a:xfrm>
                          <a:prstGeom prst="rect">
                            <a:avLst/>
                          </a:prstGeom>
                          <a:noFill/>
                        </pic:spPr>
                      </pic:pic>
                    </a:graphicData>
                  </a:graphic>
                </wp:inline>
              </w:drawing>
            </w:r>
          </w:p>
        </w:tc>
        <w:tc>
          <w:tcPr>
            <w:tcW w:w="4591" w:type="dxa"/>
          </w:tcPr>
          <w:p w:rsidR="0038701B" w:rsidRPr="00990B8A" w:rsidRDefault="0038701B" w:rsidP="00E3403E">
            <w:pPr>
              <w:jc w:val="both"/>
              <w:rPr>
                <w:rFonts w:cs="Arial"/>
                <w:color w:val="FF0000"/>
              </w:rPr>
            </w:pPr>
            <w:r>
              <w:rPr>
                <w:rFonts w:cs="Arial"/>
                <w:noProof/>
                <w:color w:val="FF0000"/>
              </w:rPr>
              <w:drawing>
                <wp:inline distT="0" distB="0" distL="0" distR="0" wp14:anchorId="2CFC5D88" wp14:editId="689D00A6">
                  <wp:extent cx="2820838" cy="2169553"/>
                  <wp:effectExtent l="0" t="0" r="0"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94" cstate="print">
                            <a:extLst>
                              <a:ext uri="{28A0092B-C50C-407E-A947-70E740481C1C}">
                                <a14:useLocalDpi xmlns:a14="http://schemas.microsoft.com/office/drawing/2010/main" val="0"/>
                              </a:ext>
                            </a:extLst>
                          </a:blip>
                          <a:srcRect/>
                          <a:stretch>
                            <a:fillRect/>
                          </a:stretch>
                        </pic:blipFill>
                        <pic:spPr bwMode="auto">
                          <a:xfrm>
                            <a:off x="0" y="0"/>
                            <a:ext cx="2821296" cy="2169905"/>
                          </a:xfrm>
                          <a:prstGeom prst="rect">
                            <a:avLst/>
                          </a:prstGeom>
                          <a:noFill/>
                        </pic:spPr>
                      </pic:pic>
                    </a:graphicData>
                  </a:graphic>
                </wp:inline>
              </w:drawing>
            </w:r>
          </w:p>
        </w:tc>
      </w:tr>
      <w:tr w:rsidR="0038701B" w:rsidRPr="00990B8A" w:rsidTr="00E3403E">
        <w:trPr>
          <w:trHeight w:val="3194"/>
          <w:jc w:val="center"/>
        </w:trPr>
        <w:tc>
          <w:tcPr>
            <w:tcW w:w="4560" w:type="dxa"/>
          </w:tcPr>
          <w:p w:rsidR="0038701B" w:rsidRPr="00990B8A" w:rsidRDefault="0038701B" w:rsidP="00E3403E">
            <w:pPr>
              <w:jc w:val="both"/>
              <w:rPr>
                <w:rFonts w:cs="Arial"/>
              </w:rPr>
            </w:pPr>
            <w:r>
              <w:rPr>
                <w:rFonts w:cs="Arial"/>
                <w:noProof/>
              </w:rPr>
              <w:lastRenderedPageBreak/>
              <w:drawing>
                <wp:inline distT="0" distB="0" distL="0" distR="0" wp14:anchorId="6A2EBCC4" wp14:editId="1E0C8A97">
                  <wp:extent cx="2872596" cy="2127094"/>
                  <wp:effectExtent l="0" t="0" r="4445" b="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95" cstate="print">
                            <a:extLst>
                              <a:ext uri="{28A0092B-C50C-407E-A947-70E740481C1C}">
                                <a14:useLocalDpi xmlns:a14="http://schemas.microsoft.com/office/drawing/2010/main" val="0"/>
                              </a:ext>
                            </a:extLst>
                          </a:blip>
                          <a:srcRect/>
                          <a:stretch>
                            <a:fillRect/>
                          </a:stretch>
                        </pic:blipFill>
                        <pic:spPr bwMode="auto">
                          <a:xfrm>
                            <a:off x="0" y="0"/>
                            <a:ext cx="2876632" cy="2130082"/>
                          </a:xfrm>
                          <a:prstGeom prst="rect">
                            <a:avLst/>
                          </a:prstGeom>
                          <a:noFill/>
                        </pic:spPr>
                      </pic:pic>
                    </a:graphicData>
                  </a:graphic>
                </wp:inline>
              </w:drawing>
            </w:r>
          </w:p>
        </w:tc>
        <w:tc>
          <w:tcPr>
            <w:tcW w:w="4591" w:type="dxa"/>
          </w:tcPr>
          <w:p w:rsidR="0038701B" w:rsidRPr="00990B8A" w:rsidRDefault="0038701B" w:rsidP="00E3403E">
            <w:pPr>
              <w:jc w:val="both"/>
              <w:rPr>
                <w:rFonts w:cs="Arial"/>
              </w:rPr>
            </w:pPr>
            <w:r>
              <w:rPr>
                <w:rFonts w:cs="Arial"/>
                <w:noProof/>
              </w:rPr>
              <w:drawing>
                <wp:inline distT="0" distB="0" distL="0" distR="0" wp14:anchorId="622D7F19" wp14:editId="0671BD6C">
                  <wp:extent cx="2820838" cy="2156795"/>
                  <wp:effectExtent l="0" t="0" r="0"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2828518" cy="2162667"/>
                          </a:xfrm>
                          <a:prstGeom prst="rect">
                            <a:avLst/>
                          </a:prstGeom>
                          <a:noFill/>
                        </pic:spPr>
                      </pic:pic>
                    </a:graphicData>
                  </a:graphic>
                </wp:inline>
              </w:drawing>
            </w:r>
          </w:p>
        </w:tc>
      </w:tr>
    </w:tbl>
    <w:p w:rsidR="0038701B" w:rsidRPr="00990B8A" w:rsidRDefault="0038701B" w:rsidP="00E3403E">
      <w:pPr>
        <w:jc w:val="both"/>
        <w:rPr>
          <w:rFonts w:cs="Arial"/>
        </w:rPr>
      </w:pPr>
    </w:p>
    <w:p w:rsidR="0038701B" w:rsidRPr="00DC11FE" w:rsidRDefault="0038701B" w:rsidP="0038701B">
      <w:pPr>
        <w:pStyle w:val="ListParagraph"/>
        <w:numPr>
          <w:ilvl w:val="0"/>
          <w:numId w:val="103"/>
        </w:numPr>
        <w:spacing w:after="240"/>
        <w:ind w:left="992" w:hanging="425"/>
        <w:jc w:val="both"/>
        <w:rPr>
          <w:rFonts w:cs="Arial"/>
        </w:rPr>
      </w:pPr>
      <w:r w:rsidRPr="00990B8A">
        <w:rPr>
          <w:rFonts w:cs="Arial"/>
        </w:rPr>
        <w:t>Compared to 201</w:t>
      </w:r>
      <w:r>
        <w:rPr>
          <w:rFonts w:cs="Arial"/>
        </w:rPr>
        <w:t>4</w:t>
      </w:r>
      <w:r w:rsidRPr="00990B8A">
        <w:rPr>
          <w:rFonts w:cs="Arial"/>
        </w:rPr>
        <w:t>, the average pendency in 201</w:t>
      </w:r>
      <w:r>
        <w:rPr>
          <w:rFonts w:cs="Arial"/>
        </w:rPr>
        <w:t>5</w:t>
      </w:r>
      <w:r w:rsidRPr="00990B8A">
        <w:rPr>
          <w:rFonts w:cs="Arial"/>
        </w:rPr>
        <w:t xml:space="preserve"> </w:t>
      </w:r>
      <w:r>
        <w:rPr>
          <w:rFonts w:cs="Arial"/>
        </w:rPr>
        <w:t>de</w:t>
      </w:r>
      <w:r w:rsidRPr="00990B8A">
        <w:rPr>
          <w:rFonts w:cs="Arial"/>
        </w:rPr>
        <w:t>creased for</w:t>
      </w:r>
      <w:r>
        <w:rPr>
          <w:rFonts w:cs="Arial"/>
        </w:rPr>
        <w:t xml:space="preserve"> the </w:t>
      </w:r>
      <w:r w:rsidRPr="00990B8A">
        <w:rPr>
          <w:rFonts w:cs="Arial"/>
        </w:rPr>
        <w:t xml:space="preserve">six transactions performed by the IB. </w:t>
      </w:r>
      <w:r>
        <w:rPr>
          <w:rFonts w:cs="Arial"/>
        </w:rPr>
        <w:t xml:space="preserve"> </w:t>
      </w:r>
      <w:r w:rsidRPr="00990B8A">
        <w:rPr>
          <w:rFonts w:cs="Arial"/>
        </w:rPr>
        <w:t xml:space="preserve">The </w:t>
      </w:r>
      <w:r>
        <w:rPr>
          <w:rFonts w:cs="Arial"/>
        </w:rPr>
        <w:t xml:space="preserve">most significant decreases in </w:t>
      </w:r>
      <w:r w:rsidRPr="00990B8A">
        <w:rPr>
          <w:rFonts w:cs="Arial"/>
        </w:rPr>
        <w:t xml:space="preserve">average pendency time </w:t>
      </w:r>
      <w:r>
        <w:rPr>
          <w:rFonts w:cs="Arial"/>
        </w:rPr>
        <w:t>were recorded for corrections, modifications and subsequent designations.</w:t>
      </w:r>
    </w:p>
    <w:p w:rsidR="0038701B" w:rsidRPr="009565B7" w:rsidRDefault="0038701B" w:rsidP="0038701B">
      <w:pPr>
        <w:pStyle w:val="ListParagraph"/>
        <w:numPr>
          <w:ilvl w:val="0"/>
          <w:numId w:val="99"/>
        </w:numPr>
        <w:ind w:left="567" w:hanging="567"/>
        <w:contextualSpacing/>
        <w:jc w:val="both"/>
        <w:rPr>
          <w:rFonts w:cs="Arial"/>
          <w:b/>
        </w:rPr>
      </w:pPr>
      <w:r>
        <w:rPr>
          <w:rFonts w:cs="Arial"/>
          <w:b/>
        </w:rPr>
        <w:t>Quality of examination</w:t>
      </w:r>
    </w:p>
    <w:p w:rsidR="0038701B" w:rsidRDefault="0038701B" w:rsidP="00E3403E">
      <w:pPr>
        <w:jc w:val="both"/>
        <w:rPr>
          <w:rFonts w:cs="Arial"/>
          <w:szCs w:val="20"/>
        </w:rPr>
      </w:pPr>
    </w:p>
    <w:p w:rsidR="0038701B" w:rsidRPr="007220D0" w:rsidRDefault="0038701B" w:rsidP="0038701B">
      <w:pPr>
        <w:pStyle w:val="ListParagraph"/>
        <w:numPr>
          <w:ilvl w:val="0"/>
          <w:numId w:val="104"/>
        </w:numPr>
        <w:tabs>
          <w:tab w:val="left" w:pos="567"/>
        </w:tabs>
        <w:ind w:left="0" w:firstLine="0"/>
        <w:contextualSpacing/>
        <w:jc w:val="both"/>
        <w:rPr>
          <w:rFonts w:cs="Arial"/>
        </w:rPr>
      </w:pPr>
      <w:r>
        <w:rPr>
          <w:rFonts w:cs="Arial"/>
        </w:rPr>
        <w:t xml:space="preserve">The following </w:t>
      </w:r>
      <w:r w:rsidRPr="006F26F3">
        <w:rPr>
          <w:rFonts w:cs="Arial"/>
        </w:rPr>
        <w:t xml:space="preserve">key </w:t>
      </w:r>
      <w:r>
        <w:rPr>
          <w:rFonts w:cs="Arial"/>
        </w:rPr>
        <w:t xml:space="preserve">indicators </w:t>
      </w:r>
      <w:r w:rsidRPr="006F26F3">
        <w:rPr>
          <w:rFonts w:cs="Arial"/>
        </w:rPr>
        <w:t xml:space="preserve">on the overall quality of trademark examination produced by the </w:t>
      </w:r>
      <w:r>
        <w:rPr>
          <w:rFonts w:cs="Arial"/>
        </w:rPr>
        <w:t>IB are the</w:t>
      </w:r>
      <w:r w:rsidRPr="006F26F3">
        <w:rPr>
          <w:rFonts w:cs="Arial"/>
        </w:rPr>
        <w:t xml:space="preserve"> result of </w:t>
      </w:r>
      <w:r>
        <w:rPr>
          <w:rFonts w:cs="Arial"/>
        </w:rPr>
        <w:t xml:space="preserve">the </w:t>
      </w:r>
      <w:r w:rsidRPr="006F26F3">
        <w:rPr>
          <w:rFonts w:cs="Arial"/>
        </w:rPr>
        <w:t>quality control</w:t>
      </w:r>
      <w:r>
        <w:rPr>
          <w:rFonts w:cs="Arial"/>
        </w:rPr>
        <w:t xml:space="preserve"> undertaken following the implementation of</w:t>
      </w:r>
      <w:r w:rsidRPr="000F1507">
        <w:rPr>
          <w:rFonts w:cs="Arial"/>
        </w:rPr>
        <w:t xml:space="preserve"> the Madrid </w:t>
      </w:r>
      <w:r>
        <w:rPr>
          <w:rFonts w:cs="Arial"/>
        </w:rPr>
        <w:t>R</w:t>
      </w:r>
      <w:r w:rsidRPr="00BC5451">
        <w:rPr>
          <w:rFonts w:cs="Arial"/>
        </w:rPr>
        <w:t xml:space="preserve">egistry </w:t>
      </w:r>
      <w:r>
        <w:rPr>
          <w:rFonts w:cs="Arial"/>
        </w:rPr>
        <w:t>Q</w:t>
      </w:r>
      <w:r w:rsidRPr="00BC5451">
        <w:rPr>
          <w:rFonts w:cs="Arial"/>
        </w:rPr>
        <w:t xml:space="preserve">uality </w:t>
      </w:r>
      <w:r>
        <w:rPr>
          <w:rFonts w:cs="Arial"/>
        </w:rPr>
        <w:t>M</w:t>
      </w:r>
      <w:r w:rsidRPr="00BC5451">
        <w:rPr>
          <w:rFonts w:cs="Arial"/>
        </w:rPr>
        <w:t xml:space="preserve">anagement </w:t>
      </w:r>
      <w:r>
        <w:rPr>
          <w:rFonts w:cs="Arial"/>
        </w:rPr>
        <w:t>F</w:t>
      </w:r>
      <w:r w:rsidRPr="00BC5451">
        <w:rPr>
          <w:rFonts w:cs="Arial"/>
        </w:rPr>
        <w:t>ramework (QMF) in 2015</w:t>
      </w:r>
      <w:r>
        <w:rPr>
          <w:rFonts w:cs="Arial"/>
        </w:rPr>
        <w:t>,</w:t>
      </w:r>
      <w:r w:rsidRPr="00BC5451">
        <w:rPr>
          <w:rFonts w:cs="Arial"/>
        </w:rPr>
        <w:t xml:space="preserve"> in compliance with ISO </w:t>
      </w:r>
      <w:r w:rsidRPr="007220D0">
        <w:rPr>
          <w:rFonts w:cs="Arial"/>
        </w:rPr>
        <w:t>9001:2008 guidance.</w:t>
      </w:r>
      <w:r w:rsidRPr="007220D0">
        <w:rPr>
          <w:rStyle w:val="FootnoteReference"/>
          <w:rFonts w:cs="Arial"/>
        </w:rPr>
        <w:footnoteReference w:id="35"/>
      </w:r>
    </w:p>
    <w:p w:rsidR="0038701B" w:rsidRPr="007220D0" w:rsidRDefault="0038701B" w:rsidP="00E3403E">
      <w:pPr>
        <w:pStyle w:val="ListParagraph"/>
        <w:tabs>
          <w:tab w:val="left" w:pos="567"/>
        </w:tabs>
        <w:ind w:left="0"/>
        <w:jc w:val="both"/>
        <w:rPr>
          <w:rFonts w:cs="Arial"/>
        </w:rPr>
      </w:pPr>
    </w:p>
    <w:p w:rsidR="0038701B" w:rsidRPr="007220D0" w:rsidRDefault="0038701B" w:rsidP="0038701B">
      <w:pPr>
        <w:pStyle w:val="ListParagraph"/>
        <w:numPr>
          <w:ilvl w:val="0"/>
          <w:numId w:val="104"/>
        </w:numPr>
        <w:tabs>
          <w:tab w:val="left" w:pos="567"/>
        </w:tabs>
        <w:ind w:left="0" w:firstLine="0"/>
        <w:contextualSpacing/>
        <w:jc w:val="both"/>
        <w:rPr>
          <w:rFonts w:cs="Arial"/>
        </w:rPr>
      </w:pPr>
      <w:r w:rsidRPr="007220D0">
        <w:rPr>
          <w:rFonts w:cs="Arial"/>
        </w:rPr>
        <w:t>Two sources of information on the quality of the examination work produced by the IB are presented:</w:t>
      </w:r>
    </w:p>
    <w:p w:rsidR="0038701B" w:rsidRPr="007220D0" w:rsidRDefault="0038701B" w:rsidP="00E3403E">
      <w:pPr>
        <w:pStyle w:val="ListParagraph"/>
        <w:rPr>
          <w:rFonts w:cs="Arial"/>
        </w:rPr>
      </w:pPr>
    </w:p>
    <w:p w:rsidR="0038701B" w:rsidRPr="007220D0" w:rsidRDefault="0038701B" w:rsidP="0038701B">
      <w:pPr>
        <w:pStyle w:val="ListParagraph"/>
        <w:numPr>
          <w:ilvl w:val="1"/>
          <w:numId w:val="104"/>
        </w:numPr>
        <w:tabs>
          <w:tab w:val="left" w:pos="567"/>
          <w:tab w:val="left" w:pos="1134"/>
        </w:tabs>
        <w:ind w:left="567" w:firstLine="0"/>
        <w:contextualSpacing/>
        <w:jc w:val="both"/>
        <w:rPr>
          <w:rFonts w:cs="Arial"/>
        </w:rPr>
      </w:pPr>
      <w:r w:rsidRPr="007220D0">
        <w:rPr>
          <w:rFonts w:cs="Arial"/>
        </w:rPr>
        <w:t xml:space="preserve">The results of the internal review of examination transaction samples; </w:t>
      </w:r>
      <w:r>
        <w:rPr>
          <w:rFonts w:cs="Arial"/>
        </w:rPr>
        <w:t xml:space="preserve"> </w:t>
      </w:r>
      <w:r w:rsidRPr="007220D0">
        <w:rPr>
          <w:rFonts w:cs="Arial"/>
        </w:rPr>
        <w:t>and</w:t>
      </w:r>
    </w:p>
    <w:p w:rsidR="0038701B" w:rsidRPr="007220D0" w:rsidRDefault="0038701B" w:rsidP="00E3403E">
      <w:pPr>
        <w:pStyle w:val="ListParagraph"/>
        <w:tabs>
          <w:tab w:val="left" w:pos="567"/>
          <w:tab w:val="left" w:pos="1134"/>
        </w:tabs>
        <w:ind w:left="567"/>
        <w:jc w:val="both"/>
        <w:rPr>
          <w:rFonts w:cs="Arial"/>
        </w:rPr>
      </w:pPr>
    </w:p>
    <w:p w:rsidR="0038701B" w:rsidRPr="007220D0" w:rsidRDefault="0038701B" w:rsidP="0038701B">
      <w:pPr>
        <w:pStyle w:val="ListParagraph"/>
        <w:numPr>
          <w:ilvl w:val="1"/>
          <w:numId w:val="104"/>
        </w:numPr>
        <w:tabs>
          <w:tab w:val="left" w:pos="567"/>
          <w:tab w:val="left" w:pos="1134"/>
        </w:tabs>
        <w:ind w:left="567" w:firstLine="0"/>
        <w:contextualSpacing/>
        <w:jc w:val="both"/>
        <w:rPr>
          <w:rFonts w:cs="Arial"/>
        </w:rPr>
      </w:pPr>
      <w:r w:rsidRPr="007220D0">
        <w:rPr>
          <w:rFonts w:cs="Arial"/>
        </w:rPr>
        <w:t>Errors confirmed to have been made by the IB following the receipt of correction requests under Rule 28 of the Common Regulations.</w:t>
      </w:r>
    </w:p>
    <w:p w:rsidR="0038701B" w:rsidRPr="007220D0" w:rsidRDefault="0038701B" w:rsidP="00E3403E">
      <w:pPr>
        <w:pStyle w:val="ListParagraph"/>
        <w:tabs>
          <w:tab w:val="left" w:pos="1134"/>
        </w:tabs>
        <w:ind w:left="567"/>
        <w:rPr>
          <w:rFonts w:cs="Arial"/>
        </w:rPr>
      </w:pPr>
    </w:p>
    <w:p w:rsidR="0038701B" w:rsidRPr="007220D0" w:rsidRDefault="0038701B" w:rsidP="00E3403E">
      <w:pPr>
        <w:pStyle w:val="ListParagraph"/>
        <w:tabs>
          <w:tab w:val="left" w:pos="567"/>
        </w:tabs>
        <w:ind w:left="567"/>
        <w:jc w:val="both"/>
        <w:rPr>
          <w:rFonts w:cs="Arial"/>
          <w:i/>
        </w:rPr>
      </w:pPr>
      <w:r w:rsidRPr="007220D0">
        <w:rPr>
          <w:rFonts w:cs="Arial"/>
          <w:i/>
        </w:rPr>
        <w:t>Review of examination transaction samples</w:t>
      </w:r>
    </w:p>
    <w:p w:rsidR="0038701B" w:rsidRPr="007220D0" w:rsidRDefault="0038701B" w:rsidP="00E3403E">
      <w:pPr>
        <w:tabs>
          <w:tab w:val="left" w:pos="567"/>
        </w:tabs>
        <w:jc w:val="both"/>
        <w:rPr>
          <w:rFonts w:cs="Arial"/>
          <w:szCs w:val="20"/>
        </w:rPr>
      </w:pPr>
    </w:p>
    <w:p w:rsidR="0038701B" w:rsidRPr="007220D0" w:rsidRDefault="0038701B" w:rsidP="0038701B">
      <w:pPr>
        <w:pStyle w:val="ListParagraph"/>
        <w:numPr>
          <w:ilvl w:val="0"/>
          <w:numId w:val="104"/>
        </w:numPr>
        <w:tabs>
          <w:tab w:val="left" w:pos="567"/>
        </w:tabs>
        <w:ind w:left="0" w:firstLine="0"/>
        <w:contextualSpacing/>
        <w:jc w:val="both"/>
        <w:rPr>
          <w:rFonts w:cs="Arial"/>
        </w:rPr>
      </w:pPr>
      <w:r w:rsidRPr="007220D0">
        <w:rPr>
          <w:rFonts w:cs="Arial"/>
        </w:rPr>
        <w:t xml:space="preserve">An </w:t>
      </w:r>
      <w:r>
        <w:rPr>
          <w:rFonts w:cs="Arial"/>
        </w:rPr>
        <w:t>A</w:t>
      </w:r>
      <w:r w:rsidRPr="007220D0">
        <w:rPr>
          <w:rFonts w:cs="Arial"/>
        </w:rPr>
        <w:t xml:space="preserve">cceptable </w:t>
      </w:r>
      <w:r>
        <w:rPr>
          <w:rFonts w:cs="Arial"/>
        </w:rPr>
        <w:t>Q</w:t>
      </w:r>
      <w:r w:rsidRPr="007220D0">
        <w:rPr>
          <w:rFonts w:cs="Arial"/>
        </w:rPr>
        <w:t xml:space="preserve">uality </w:t>
      </w:r>
      <w:r>
        <w:rPr>
          <w:rFonts w:cs="Arial"/>
        </w:rPr>
        <w:t>L</w:t>
      </w:r>
      <w:r w:rsidRPr="007220D0">
        <w:rPr>
          <w:rFonts w:cs="Arial"/>
        </w:rPr>
        <w:t>evel (AQL) is set for each transaction and is the criteria against which quality of trademark examination is measured.</w:t>
      </w:r>
    </w:p>
    <w:p w:rsidR="0038701B" w:rsidRPr="007220D0" w:rsidRDefault="0038701B" w:rsidP="00E3403E">
      <w:pPr>
        <w:pStyle w:val="ListParagraph"/>
        <w:tabs>
          <w:tab w:val="left" w:pos="567"/>
        </w:tabs>
        <w:jc w:val="both"/>
        <w:rPr>
          <w:rFonts w:cs="Arial"/>
        </w:rPr>
      </w:pPr>
    </w:p>
    <w:p w:rsidR="0038701B" w:rsidRPr="007220D0" w:rsidRDefault="0038701B" w:rsidP="00E3403E">
      <w:pPr>
        <w:tabs>
          <w:tab w:val="left" w:pos="567"/>
        </w:tabs>
        <w:ind w:left="360"/>
        <w:jc w:val="center"/>
        <w:rPr>
          <w:rFonts w:cs="Arial"/>
          <w:szCs w:val="20"/>
        </w:rPr>
      </w:pPr>
      <w:r w:rsidRPr="007220D0">
        <w:rPr>
          <w:rFonts w:cs="Arial"/>
          <w:noProof/>
          <w:szCs w:val="20"/>
        </w:rPr>
        <w:drawing>
          <wp:inline distT="0" distB="0" distL="0" distR="0" wp14:anchorId="547C9BD2" wp14:editId="4B729AFC">
            <wp:extent cx="4673002" cy="3000375"/>
            <wp:effectExtent l="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4669692" cy="2998250"/>
                    </a:xfrm>
                    <a:prstGeom prst="rect">
                      <a:avLst/>
                    </a:prstGeom>
                    <a:noFill/>
                  </pic:spPr>
                </pic:pic>
              </a:graphicData>
            </a:graphic>
          </wp:inline>
        </w:drawing>
      </w:r>
    </w:p>
    <w:p w:rsidR="0038701B" w:rsidRPr="007220D0" w:rsidRDefault="0038701B" w:rsidP="00E3403E">
      <w:pPr>
        <w:tabs>
          <w:tab w:val="left" w:pos="567"/>
        </w:tabs>
        <w:ind w:left="360"/>
        <w:jc w:val="both"/>
        <w:rPr>
          <w:rFonts w:cs="Arial"/>
          <w:szCs w:val="20"/>
        </w:rPr>
      </w:pPr>
    </w:p>
    <w:p w:rsidR="0038701B" w:rsidRPr="007220D0" w:rsidRDefault="0038701B" w:rsidP="0038701B">
      <w:pPr>
        <w:pStyle w:val="ListParagraph"/>
        <w:numPr>
          <w:ilvl w:val="0"/>
          <w:numId w:val="106"/>
        </w:numPr>
        <w:tabs>
          <w:tab w:val="left" w:pos="567"/>
        </w:tabs>
        <w:contextualSpacing/>
        <w:jc w:val="both"/>
        <w:rPr>
          <w:rFonts w:cs="Arial"/>
        </w:rPr>
      </w:pPr>
      <w:r w:rsidRPr="007220D0">
        <w:rPr>
          <w:rFonts w:cs="Arial"/>
        </w:rPr>
        <w:t xml:space="preserve">The overall quality performance in 2015 </w:t>
      </w:r>
      <w:r>
        <w:rPr>
          <w:rFonts w:cs="Arial"/>
        </w:rPr>
        <w:t>was</w:t>
      </w:r>
      <w:r w:rsidRPr="007220D0">
        <w:rPr>
          <w:rFonts w:cs="Arial"/>
        </w:rPr>
        <w:t xml:space="preserve"> one percentage point below the acceptable quality level.</w:t>
      </w:r>
    </w:p>
    <w:p w:rsidR="0038701B" w:rsidRPr="007220D0" w:rsidRDefault="0038701B" w:rsidP="00E3403E">
      <w:pPr>
        <w:tabs>
          <w:tab w:val="left" w:pos="567"/>
        </w:tabs>
        <w:jc w:val="both"/>
        <w:rPr>
          <w:rFonts w:cs="Arial"/>
          <w:szCs w:val="20"/>
        </w:rPr>
      </w:pPr>
    </w:p>
    <w:p w:rsidR="0038701B" w:rsidRPr="007220D0" w:rsidRDefault="0038701B" w:rsidP="00E3403E">
      <w:pPr>
        <w:tabs>
          <w:tab w:val="left" w:pos="567"/>
        </w:tabs>
        <w:ind w:left="360"/>
        <w:jc w:val="center"/>
        <w:rPr>
          <w:rFonts w:cs="Arial"/>
          <w:szCs w:val="20"/>
        </w:rPr>
      </w:pPr>
      <w:r w:rsidRPr="007220D0">
        <w:rPr>
          <w:rFonts w:cs="Arial"/>
          <w:noProof/>
          <w:szCs w:val="20"/>
        </w:rPr>
        <w:drawing>
          <wp:inline distT="0" distB="0" distL="0" distR="0" wp14:anchorId="06B08B45" wp14:editId="3DDB81C0">
            <wp:extent cx="4880690" cy="3133725"/>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4878300" cy="3132190"/>
                    </a:xfrm>
                    <a:prstGeom prst="rect">
                      <a:avLst/>
                    </a:prstGeom>
                    <a:noFill/>
                  </pic:spPr>
                </pic:pic>
              </a:graphicData>
            </a:graphic>
          </wp:inline>
        </w:drawing>
      </w:r>
    </w:p>
    <w:p w:rsidR="0038701B" w:rsidRPr="007220D0" w:rsidRDefault="0038701B" w:rsidP="00E3403E">
      <w:pPr>
        <w:tabs>
          <w:tab w:val="left" w:pos="567"/>
        </w:tabs>
        <w:ind w:left="360"/>
        <w:jc w:val="both"/>
        <w:rPr>
          <w:rFonts w:cs="Arial"/>
          <w:szCs w:val="20"/>
        </w:rPr>
      </w:pPr>
    </w:p>
    <w:p w:rsidR="0038701B" w:rsidRPr="007220D0" w:rsidRDefault="0038701B" w:rsidP="0038701B">
      <w:pPr>
        <w:pStyle w:val="ListParagraph"/>
        <w:numPr>
          <w:ilvl w:val="0"/>
          <w:numId w:val="106"/>
        </w:numPr>
        <w:tabs>
          <w:tab w:val="left" w:pos="567"/>
        </w:tabs>
        <w:contextualSpacing/>
        <w:jc w:val="both"/>
        <w:rPr>
          <w:rFonts w:cs="Arial"/>
        </w:rPr>
      </w:pPr>
      <w:r w:rsidRPr="007220D0">
        <w:rPr>
          <w:rFonts w:cs="Arial"/>
        </w:rPr>
        <w:t>The overall quality performance met the set quality level for 2015.</w:t>
      </w:r>
      <w:r>
        <w:rPr>
          <w:rFonts w:cs="Arial"/>
        </w:rPr>
        <w:t xml:space="preserve"> </w:t>
      </w:r>
      <w:r w:rsidRPr="007220D0">
        <w:rPr>
          <w:rFonts w:cs="Arial"/>
        </w:rPr>
        <w:t xml:space="preserve"> However, there </w:t>
      </w:r>
      <w:r>
        <w:rPr>
          <w:rFonts w:cs="Arial"/>
        </w:rPr>
        <w:t>was</w:t>
      </w:r>
      <w:r w:rsidRPr="007220D0">
        <w:rPr>
          <w:rFonts w:cs="Arial"/>
        </w:rPr>
        <w:t xml:space="preserve"> a critical issue regarding incorrect recording of applicants’ and representatives’ </w:t>
      </w:r>
      <w:r>
        <w:rPr>
          <w:rFonts w:cs="Arial"/>
        </w:rPr>
        <w:t>details</w:t>
      </w:r>
      <w:r w:rsidRPr="007220D0">
        <w:rPr>
          <w:rFonts w:cs="Arial"/>
        </w:rPr>
        <w:t>.</w:t>
      </w:r>
    </w:p>
    <w:p w:rsidR="0038701B" w:rsidRPr="007220D0" w:rsidRDefault="0038701B" w:rsidP="00E3403E">
      <w:pPr>
        <w:tabs>
          <w:tab w:val="left" w:pos="567"/>
        </w:tabs>
        <w:jc w:val="both"/>
        <w:rPr>
          <w:rFonts w:cs="Arial"/>
          <w:szCs w:val="20"/>
        </w:rPr>
      </w:pPr>
    </w:p>
    <w:p w:rsidR="0038701B" w:rsidRPr="007220D0" w:rsidRDefault="0038701B" w:rsidP="00E3403E">
      <w:pPr>
        <w:tabs>
          <w:tab w:val="left" w:pos="567"/>
        </w:tabs>
        <w:jc w:val="center"/>
        <w:rPr>
          <w:rFonts w:cs="Arial"/>
          <w:szCs w:val="20"/>
        </w:rPr>
      </w:pPr>
      <w:r w:rsidRPr="007220D0">
        <w:rPr>
          <w:rFonts w:cs="Arial"/>
          <w:noProof/>
          <w:szCs w:val="20"/>
        </w:rPr>
        <w:drawing>
          <wp:inline distT="0" distB="0" distL="0" distR="0" wp14:anchorId="290D789F" wp14:editId="04D92563">
            <wp:extent cx="5091380" cy="3269003"/>
            <wp:effectExtent l="0" t="0" r="0" b="762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5092031" cy="3269421"/>
                    </a:xfrm>
                    <a:prstGeom prst="rect">
                      <a:avLst/>
                    </a:prstGeom>
                    <a:noFill/>
                  </pic:spPr>
                </pic:pic>
              </a:graphicData>
            </a:graphic>
          </wp:inline>
        </w:drawing>
      </w:r>
    </w:p>
    <w:p w:rsidR="0038701B" w:rsidRPr="007220D0" w:rsidRDefault="0038701B" w:rsidP="00E3403E">
      <w:pPr>
        <w:tabs>
          <w:tab w:val="left" w:pos="567"/>
        </w:tabs>
        <w:jc w:val="both"/>
        <w:rPr>
          <w:rFonts w:cs="Arial"/>
          <w:szCs w:val="20"/>
        </w:rPr>
      </w:pPr>
    </w:p>
    <w:p w:rsidR="0038701B" w:rsidRPr="007220D0" w:rsidRDefault="0038701B" w:rsidP="0038701B">
      <w:pPr>
        <w:pStyle w:val="ListParagraph"/>
        <w:numPr>
          <w:ilvl w:val="0"/>
          <w:numId w:val="106"/>
        </w:numPr>
        <w:tabs>
          <w:tab w:val="left" w:pos="567"/>
        </w:tabs>
        <w:contextualSpacing/>
        <w:jc w:val="both"/>
        <w:rPr>
          <w:rFonts w:cs="Arial"/>
        </w:rPr>
      </w:pPr>
      <w:r w:rsidRPr="007220D0">
        <w:rPr>
          <w:rFonts w:cs="Arial"/>
        </w:rPr>
        <w:t xml:space="preserve">The overall quality performance for the processing of decisions </w:t>
      </w:r>
      <w:r>
        <w:rPr>
          <w:rFonts w:cs="Arial"/>
        </w:rPr>
        <w:t>was</w:t>
      </w:r>
      <w:r w:rsidRPr="007220D0">
        <w:rPr>
          <w:rFonts w:cs="Arial"/>
        </w:rPr>
        <w:t xml:space="preserve"> two percentage points above the set target in 2015.</w:t>
      </w:r>
    </w:p>
    <w:p w:rsidR="0038701B" w:rsidRPr="007220D0" w:rsidRDefault="0038701B" w:rsidP="00E3403E">
      <w:pPr>
        <w:tabs>
          <w:tab w:val="left" w:pos="567"/>
        </w:tabs>
        <w:jc w:val="both"/>
        <w:rPr>
          <w:rFonts w:cs="Arial"/>
          <w:szCs w:val="20"/>
        </w:rPr>
      </w:pPr>
    </w:p>
    <w:p w:rsidR="0038701B" w:rsidRPr="007220D0" w:rsidRDefault="0038701B" w:rsidP="00E3403E">
      <w:pPr>
        <w:tabs>
          <w:tab w:val="left" w:pos="567"/>
        </w:tabs>
        <w:jc w:val="center"/>
        <w:rPr>
          <w:rFonts w:cs="Arial"/>
          <w:szCs w:val="20"/>
        </w:rPr>
      </w:pPr>
      <w:r w:rsidRPr="007220D0">
        <w:rPr>
          <w:rFonts w:cs="Arial"/>
          <w:noProof/>
          <w:szCs w:val="20"/>
        </w:rPr>
        <w:lastRenderedPageBreak/>
        <w:drawing>
          <wp:inline distT="0" distB="0" distL="0" distR="0" wp14:anchorId="197BEE3B" wp14:editId="426F07CE">
            <wp:extent cx="5186477" cy="3330061"/>
            <wp:effectExtent l="0" t="0" r="0" b="381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5187139" cy="3330486"/>
                    </a:xfrm>
                    <a:prstGeom prst="rect">
                      <a:avLst/>
                    </a:prstGeom>
                    <a:noFill/>
                  </pic:spPr>
                </pic:pic>
              </a:graphicData>
            </a:graphic>
          </wp:inline>
        </w:drawing>
      </w:r>
    </w:p>
    <w:p w:rsidR="0038701B" w:rsidRPr="007220D0" w:rsidRDefault="0038701B" w:rsidP="00E3403E">
      <w:pPr>
        <w:tabs>
          <w:tab w:val="left" w:pos="567"/>
        </w:tabs>
        <w:jc w:val="center"/>
        <w:rPr>
          <w:rFonts w:cs="Arial"/>
          <w:szCs w:val="20"/>
        </w:rPr>
      </w:pPr>
    </w:p>
    <w:p w:rsidR="0038701B" w:rsidRPr="007220D0" w:rsidRDefault="0038701B" w:rsidP="0038701B">
      <w:pPr>
        <w:pStyle w:val="ListParagraph"/>
        <w:numPr>
          <w:ilvl w:val="0"/>
          <w:numId w:val="106"/>
        </w:numPr>
        <w:tabs>
          <w:tab w:val="left" w:pos="567"/>
        </w:tabs>
        <w:contextualSpacing/>
        <w:jc w:val="both"/>
        <w:rPr>
          <w:rFonts w:cs="Arial"/>
        </w:rPr>
      </w:pPr>
      <w:r w:rsidRPr="007220D0">
        <w:rPr>
          <w:rFonts w:cs="Arial"/>
        </w:rPr>
        <w:t>The overall quality performance met the target quality level of 95</w:t>
      </w:r>
      <w:r>
        <w:rPr>
          <w:rFonts w:cs="Arial"/>
        </w:rPr>
        <w:t xml:space="preserve"> per cent</w:t>
      </w:r>
      <w:r w:rsidRPr="007220D0">
        <w:rPr>
          <w:rFonts w:cs="Arial"/>
        </w:rPr>
        <w:t>.</w:t>
      </w:r>
      <w:r>
        <w:rPr>
          <w:rFonts w:cs="Arial"/>
        </w:rPr>
        <w:t xml:space="preserve"> </w:t>
      </w:r>
      <w:r w:rsidRPr="007220D0">
        <w:rPr>
          <w:rFonts w:cs="Arial"/>
        </w:rPr>
        <w:t xml:space="preserve"> However, the same issue as for formalities examination </w:t>
      </w:r>
      <w:r>
        <w:rPr>
          <w:rFonts w:cs="Arial"/>
        </w:rPr>
        <w:t>was</w:t>
      </w:r>
      <w:r w:rsidRPr="007220D0">
        <w:rPr>
          <w:rFonts w:cs="Arial"/>
        </w:rPr>
        <w:t xml:space="preserve"> observed.</w:t>
      </w:r>
    </w:p>
    <w:p w:rsidR="0038701B" w:rsidRPr="007220D0" w:rsidRDefault="0038701B" w:rsidP="00E3403E">
      <w:pPr>
        <w:pStyle w:val="ListParagraph"/>
        <w:tabs>
          <w:tab w:val="left" w:pos="567"/>
        </w:tabs>
        <w:ind w:left="1080"/>
        <w:jc w:val="both"/>
        <w:rPr>
          <w:rFonts w:cs="Arial"/>
        </w:rPr>
      </w:pPr>
    </w:p>
    <w:p w:rsidR="0038701B" w:rsidRPr="007220D0" w:rsidRDefault="0038701B" w:rsidP="00E3403E">
      <w:pPr>
        <w:jc w:val="center"/>
        <w:rPr>
          <w:rFonts w:cs="Arial"/>
          <w:szCs w:val="20"/>
        </w:rPr>
      </w:pPr>
      <w:r w:rsidRPr="007220D0">
        <w:rPr>
          <w:rFonts w:cs="Arial"/>
          <w:noProof/>
          <w:szCs w:val="20"/>
        </w:rPr>
        <w:drawing>
          <wp:inline distT="0" distB="0" distL="0" distR="0" wp14:anchorId="388B306B" wp14:editId="4ECD56C1">
            <wp:extent cx="5208422" cy="3344151"/>
            <wp:effectExtent l="0" t="0" r="0" b="889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5209088" cy="3344578"/>
                    </a:xfrm>
                    <a:prstGeom prst="rect">
                      <a:avLst/>
                    </a:prstGeom>
                    <a:noFill/>
                  </pic:spPr>
                </pic:pic>
              </a:graphicData>
            </a:graphic>
          </wp:inline>
        </w:drawing>
      </w:r>
    </w:p>
    <w:p w:rsidR="0038701B" w:rsidRPr="007220D0" w:rsidRDefault="0038701B" w:rsidP="00E3403E">
      <w:pPr>
        <w:jc w:val="center"/>
        <w:rPr>
          <w:rFonts w:cs="Arial"/>
          <w:szCs w:val="20"/>
        </w:rPr>
      </w:pPr>
    </w:p>
    <w:p w:rsidR="0038701B" w:rsidRPr="007220D0" w:rsidRDefault="0038701B" w:rsidP="0038701B">
      <w:pPr>
        <w:pStyle w:val="ListParagraph"/>
        <w:numPr>
          <w:ilvl w:val="0"/>
          <w:numId w:val="105"/>
        </w:numPr>
        <w:spacing w:after="200"/>
        <w:contextualSpacing/>
        <w:rPr>
          <w:rFonts w:cs="Arial"/>
        </w:rPr>
      </w:pPr>
      <w:r w:rsidRPr="007220D0">
        <w:rPr>
          <w:rFonts w:cs="Arial"/>
        </w:rPr>
        <w:t xml:space="preserve">The overall quality performance for the processing of renewals </w:t>
      </w:r>
      <w:r>
        <w:rPr>
          <w:rFonts w:cs="Arial"/>
        </w:rPr>
        <w:t>was</w:t>
      </w:r>
      <w:r w:rsidRPr="007220D0">
        <w:rPr>
          <w:rFonts w:cs="Arial"/>
        </w:rPr>
        <w:t xml:space="preserve"> three percentage points below the target in 2015. </w:t>
      </w:r>
      <w:r>
        <w:rPr>
          <w:rFonts w:cs="Arial"/>
        </w:rPr>
        <w:t xml:space="preserve"> </w:t>
      </w:r>
      <w:r w:rsidRPr="007220D0">
        <w:rPr>
          <w:rFonts w:cs="Arial"/>
        </w:rPr>
        <w:t xml:space="preserve">The main issue </w:t>
      </w:r>
      <w:r>
        <w:rPr>
          <w:rFonts w:cs="Arial"/>
        </w:rPr>
        <w:t>lay</w:t>
      </w:r>
      <w:r w:rsidRPr="007220D0">
        <w:rPr>
          <w:rFonts w:cs="Arial"/>
        </w:rPr>
        <w:t xml:space="preserve"> with </w:t>
      </w:r>
      <w:r>
        <w:rPr>
          <w:rFonts w:cs="Arial"/>
        </w:rPr>
        <w:t xml:space="preserve">the </w:t>
      </w:r>
      <w:r w:rsidRPr="007220D0">
        <w:rPr>
          <w:rFonts w:cs="Arial"/>
        </w:rPr>
        <w:t>fee calculation</w:t>
      </w:r>
      <w:r>
        <w:rPr>
          <w:rFonts w:cs="Arial"/>
        </w:rPr>
        <w:t>,</w:t>
      </w:r>
      <w:r w:rsidRPr="007220D0">
        <w:rPr>
          <w:rFonts w:cs="Arial"/>
        </w:rPr>
        <w:t xml:space="preserve"> owing to the incorrect recording of the number of classes of goods and services.</w:t>
      </w:r>
    </w:p>
    <w:p w:rsidR="0038701B" w:rsidRDefault="0038701B">
      <w:pPr>
        <w:rPr>
          <w:rFonts w:cs="Arial"/>
          <w:i/>
          <w:szCs w:val="20"/>
        </w:rPr>
      </w:pPr>
      <w:r>
        <w:rPr>
          <w:rFonts w:cs="Arial"/>
          <w:i/>
          <w:szCs w:val="20"/>
        </w:rPr>
        <w:br w:type="page"/>
      </w:r>
    </w:p>
    <w:p w:rsidR="0038701B" w:rsidRPr="00E560DA" w:rsidRDefault="0038701B" w:rsidP="00E3403E">
      <w:pPr>
        <w:ind w:left="720"/>
        <w:rPr>
          <w:rFonts w:cs="Arial"/>
          <w:i/>
          <w:szCs w:val="20"/>
        </w:rPr>
      </w:pPr>
      <w:r w:rsidRPr="007220D0">
        <w:rPr>
          <w:rFonts w:cs="Arial"/>
          <w:i/>
          <w:szCs w:val="20"/>
        </w:rPr>
        <w:lastRenderedPageBreak/>
        <w:t>Errors made by the IB</w:t>
      </w:r>
    </w:p>
    <w:p w:rsidR="0038701B" w:rsidRPr="00BC5451" w:rsidRDefault="0038701B" w:rsidP="00E3403E">
      <w:pPr>
        <w:pStyle w:val="ListParagraph"/>
        <w:rPr>
          <w:rFonts w:cs="Arial"/>
        </w:rPr>
      </w:pPr>
      <w:r>
        <w:rPr>
          <w:rFonts w:cs="Arial"/>
          <w:noProof/>
        </w:rPr>
        <w:drawing>
          <wp:inline distT="0" distB="0" distL="0" distR="0" wp14:anchorId="36861ACE" wp14:editId="51BF31DE">
            <wp:extent cx="4981575" cy="3676826"/>
            <wp:effectExtent l="0" t="0" r="0" b="0"/>
            <wp:docPr id="852" name="Picture 8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4985217" cy="3679514"/>
                    </a:xfrm>
                    <a:prstGeom prst="rect">
                      <a:avLst/>
                    </a:prstGeom>
                    <a:noFill/>
                  </pic:spPr>
                </pic:pic>
              </a:graphicData>
            </a:graphic>
          </wp:inline>
        </w:drawing>
      </w:r>
    </w:p>
    <w:p w:rsidR="0038701B" w:rsidRDefault="0038701B" w:rsidP="00E3403E">
      <w:pPr>
        <w:jc w:val="center"/>
        <w:rPr>
          <w:rFonts w:cs="Arial"/>
          <w:szCs w:val="20"/>
        </w:rPr>
      </w:pPr>
    </w:p>
    <w:p w:rsidR="0038701B" w:rsidRDefault="0038701B" w:rsidP="00E3403E">
      <w:pPr>
        <w:jc w:val="center"/>
        <w:rPr>
          <w:rFonts w:cs="Arial"/>
          <w:szCs w:val="20"/>
        </w:rPr>
      </w:pPr>
    </w:p>
    <w:p w:rsidR="0038701B" w:rsidRDefault="0038701B" w:rsidP="0038701B">
      <w:pPr>
        <w:pStyle w:val="ListParagraph"/>
        <w:numPr>
          <w:ilvl w:val="0"/>
          <w:numId w:val="107"/>
        </w:numPr>
        <w:ind w:left="714" w:hanging="357"/>
        <w:contextualSpacing/>
        <w:rPr>
          <w:rFonts w:cs="Arial"/>
        </w:rPr>
      </w:pPr>
      <w:r>
        <w:rPr>
          <w:rFonts w:cs="Arial"/>
        </w:rPr>
        <w:t>Misclassification accounted for nearly a third of all errors made in relation to classifications in 2015</w:t>
      </w:r>
      <w:r w:rsidRPr="00501D4D">
        <w:rPr>
          <w:rFonts w:cs="Arial"/>
        </w:rPr>
        <w:t>.</w:t>
      </w:r>
    </w:p>
    <w:p w:rsidR="0038701B" w:rsidRDefault="0038701B" w:rsidP="00E3403E">
      <w:pPr>
        <w:jc w:val="center"/>
        <w:rPr>
          <w:rFonts w:cs="Arial"/>
          <w:szCs w:val="20"/>
        </w:rPr>
      </w:pPr>
    </w:p>
    <w:p w:rsidR="0038701B" w:rsidRDefault="0038701B" w:rsidP="00E3403E">
      <w:pPr>
        <w:jc w:val="center"/>
        <w:rPr>
          <w:rFonts w:cs="Arial"/>
          <w:szCs w:val="20"/>
        </w:rPr>
      </w:pPr>
      <w:r>
        <w:rPr>
          <w:rFonts w:cs="Arial"/>
          <w:noProof/>
          <w:szCs w:val="20"/>
        </w:rPr>
        <w:drawing>
          <wp:inline distT="0" distB="0" distL="0" distR="0" wp14:anchorId="2EE8F41B" wp14:editId="39E97D36">
            <wp:extent cx="5176697" cy="3819525"/>
            <wp:effectExtent l="0" t="0" r="5080" b="0"/>
            <wp:docPr id="853" name="Picture 8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5176223" cy="3819175"/>
                    </a:xfrm>
                    <a:prstGeom prst="rect">
                      <a:avLst/>
                    </a:prstGeom>
                    <a:noFill/>
                  </pic:spPr>
                </pic:pic>
              </a:graphicData>
            </a:graphic>
          </wp:inline>
        </w:drawing>
      </w:r>
    </w:p>
    <w:p w:rsidR="0038701B" w:rsidRDefault="0038701B" w:rsidP="00E3403E">
      <w:pPr>
        <w:jc w:val="center"/>
        <w:rPr>
          <w:rFonts w:cs="Arial"/>
          <w:szCs w:val="20"/>
        </w:rPr>
      </w:pPr>
    </w:p>
    <w:p w:rsidR="0038701B" w:rsidRDefault="0038701B" w:rsidP="0038701B">
      <w:pPr>
        <w:pStyle w:val="ListParagraph"/>
        <w:numPr>
          <w:ilvl w:val="0"/>
          <w:numId w:val="107"/>
        </w:numPr>
        <w:contextualSpacing/>
        <w:rPr>
          <w:rFonts w:cs="Arial"/>
        </w:rPr>
      </w:pPr>
      <w:r>
        <w:rPr>
          <w:rFonts w:cs="Arial"/>
        </w:rPr>
        <w:t>In 2015, the majority of</w:t>
      </w:r>
      <w:r w:rsidRPr="00501D4D">
        <w:rPr>
          <w:rFonts w:cs="Arial"/>
        </w:rPr>
        <w:t xml:space="preserve"> the corrections</w:t>
      </w:r>
      <w:r>
        <w:rPr>
          <w:rFonts w:cs="Arial"/>
        </w:rPr>
        <w:t xml:space="preserve"> in formalities examination</w:t>
      </w:r>
      <w:r w:rsidRPr="00501D4D">
        <w:rPr>
          <w:rFonts w:cs="Arial"/>
        </w:rPr>
        <w:t xml:space="preserve"> </w:t>
      </w:r>
      <w:r>
        <w:rPr>
          <w:rFonts w:cs="Arial"/>
        </w:rPr>
        <w:t>were</w:t>
      </w:r>
      <w:r w:rsidRPr="00501D4D">
        <w:rPr>
          <w:rFonts w:cs="Arial"/>
        </w:rPr>
        <w:t xml:space="preserve"> due to errors in inputting </w:t>
      </w:r>
      <w:r>
        <w:rPr>
          <w:rFonts w:cs="Arial"/>
        </w:rPr>
        <w:t>the applicants’ (45.3 per cent) and representatives’ (8.3 per cent) details.</w:t>
      </w:r>
    </w:p>
    <w:p w:rsidR="0038701B" w:rsidRDefault="0038701B" w:rsidP="00E3403E">
      <w:pPr>
        <w:pStyle w:val="ListParagraph"/>
        <w:rPr>
          <w:rFonts w:cs="Arial"/>
        </w:rPr>
      </w:pPr>
    </w:p>
    <w:p w:rsidR="0038701B" w:rsidRDefault="0038701B" w:rsidP="00E3403E">
      <w:pPr>
        <w:jc w:val="center"/>
        <w:rPr>
          <w:rFonts w:cs="Arial"/>
          <w:szCs w:val="20"/>
        </w:rPr>
      </w:pPr>
      <w:r>
        <w:rPr>
          <w:rFonts w:cs="Arial"/>
          <w:noProof/>
          <w:szCs w:val="20"/>
        </w:rPr>
        <w:lastRenderedPageBreak/>
        <w:drawing>
          <wp:inline distT="0" distB="0" distL="0" distR="0" wp14:anchorId="4D754C72" wp14:editId="2802845D">
            <wp:extent cx="5071672" cy="3743325"/>
            <wp:effectExtent l="0" t="0" r="0" b="0"/>
            <wp:docPr id="854" name="Picture 8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5081939" cy="3750903"/>
                    </a:xfrm>
                    <a:prstGeom prst="rect">
                      <a:avLst/>
                    </a:prstGeom>
                    <a:noFill/>
                  </pic:spPr>
                </pic:pic>
              </a:graphicData>
            </a:graphic>
          </wp:inline>
        </w:drawing>
      </w:r>
    </w:p>
    <w:p w:rsidR="0038701B" w:rsidRDefault="0038701B" w:rsidP="00E3403E">
      <w:pPr>
        <w:jc w:val="center"/>
        <w:rPr>
          <w:rFonts w:cs="Arial"/>
          <w:szCs w:val="20"/>
        </w:rPr>
      </w:pPr>
    </w:p>
    <w:p w:rsidR="0038701B" w:rsidRPr="00BC5451" w:rsidRDefault="0038701B" w:rsidP="0038701B">
      <w:pPr>
        <w:pStyle w:val="ListParagraph"/>
        <w:numPr>
          <w:ilvl w:val="0"/>
          <w:numId w:val="107"/>
        </w:numPr>
        <w:contextualSpacing/>
        <w:rPr>
          <w:rFonts w:cs="Arial"/>
        </w:rPr>
      </w:pPr>
      <w:r>
        <w:rPr>
          <w:rFonts w:cs="Arial"/>
        </w:rPr>
        <w:t>About 83 per cent</w:t>
      </w:r>
      <w:r w:rsidRPr="0050613A">
        <w:rPr>
          <w:rFonts w:cs="Arial"/>
        </w:rPr>
        <w:t xml:space="preserve"> of </w:t>
      </w:r>
      <w:r>
        <w:rPr>
          <w:rFonts w:cs="Arial"/>
        </w:rPr>
        <w:t xml:space="preserve">all </w:t>
      </w:r>
      <w:r w:rsidRPr="0050613A">
        <w:rPr>
          <w:rFonts w:cs="Arial"/>
        </w:rPr>
        <w:t xml:space="preserve">corrections </w:t>
      </w:r>
      <w:r>
        <w:rPr>
          <w:rFonts w:cs="Arial"/>
        </w:rPr>
        <w:t>regarding modifications in 2015 concern four</w:t>
      </w:r>
      <w:r w:rsidRPr="0050613A">
        <w:rPr>
          <w:rFonts w:cs="Arial"/>
        </w:rPr>
        <w:t xml:space="preserve"> transactions, </w:t>
      </w:r>
      <w:r>
        <w:rPr>
          <w:rFonts w:cs="Arial"/>
        </w:rPr>
        <w:t xml:space="preserve">namely </w:t>
      </w:r>
      <w:r w:rsidRPr="0050613A">
        <w:rPr>
          <w:rFonts w:cs="Arial"/>
        </w:rPr>
        <w:t>subsequent designation</w:t>
      </w:r>
      <w:r>
        <w:rPr>
          <w:rFonts w:cs="Arial"/>
        </w:rPr>
        <w:t>s (24.8 per cent)</w:t>
      </w:r>
      <w:r w:rsidRPr="0050613A">
        <w:rPr>
          <w:rFonts w:cs="Arial"/>
        </w:rPr>
        <w:t>, change</w:t>
      </w:r>
      <w:r>
        <w:rPr>
          <w:rFonts w:cs="Arial"/>
        </w:rPr>
        <w:t>s</w:t>
      </w:r>
      <w:r w:rsidRPr="0050613A">
        <w:rPr>
          <w:rFonts w:cs="Arial"/>
        </w:rPr>
        <w:t xml:space="preserve"> in </w:t>
      </w:r>
      <w:r>
        <w:rPr>
          <w:rFonts w:cs="Arial"/>
        </w:rPr>
        <w:t>ownership (21.7 per cent)</w:t>
      </w:r>
      <w:r w:rsidRPr="0050613A">
        <w:rPr>
          <w:rFonts w:cs="Arial"/>
        </w:rPr>
        <w:t>, change</w:t>
      </w:r>
      <w:r>
        <w:rPr>
          <w:rFonts w:cs="Arial"/>
        </w:rPr>
        <w:t>s</w:t>
      </w:r>
      <w:r w:rsidRPr="0050613A">
        <w:rPr>
          <w:rFonts w:cs="Arial"/>
        </w:rPr>
        <w:t xml:space="preserve"> of holder’s name and/or address</w:t>
      </w:r>
      <w:r>
        <w:rPr>
          <w:rFonts w:cs="Arial"/>
        </w:rPr>
        <w:t xml:space="preserve"> (19.3 per cent) and limitations (16.9 per cent)</w:t>
      </w:r>
      <w:r w:rsidRPr="0050613A">
        <w:rPr>
          <w:rFonts w:cs="Arial"/>
        </w:rPr>
        <w:t>.</w:t>
      </w:r>
    </w:p>
    <w:p w:rsidR="0038701B" w:rsidRPr="00BC5451" w:rsidRDefault="0038701B" w:rsidP="00E3403E">
      <w:pPr>
        <w:jc w:val="center"/>
        <w:rPr>
          <w:rFonts w:cs="Arial"/>
          <w:szCs w:val="20"/>
        </w:rPr>
      </w:pPr>
    </w:p>
    <w:p w:rsidR="0038701B" w:rsidRDefault="0038701B" w:rsidP="00E3403E">
      <w:pPr>
        <w:jc w:val="center"/>
        <w:rPr>
          <w:rFonts w:cs="Arial"/>
          <w:szCs w:val="20"/>
        </w:rPr>
      </w:pPr>
      <w:r>
        <w:rPr>
          <w:rFonts w:cs="Arial"/>
          <w:noProof/>
          <w:szCs w:val="20"/>
        </w:rPr>
        <w:drawing>
          <wp:inline distT="0" distB="0" distL="0" distR="0" wp14:anchorId="039C9A30" wp14:editId="29D3D1F8">
            <wp:extent cx="4829175" cy="3567804"/>
            <wp:effectExtent l="0" t="0" r="0" b="0"/>
            <wp:docPr id="855" name="Picture 8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4837332" cy="3573831"/>
                    </a:xfrm>
                    <a:prstGeom prst="rect">
                      <a:avLst/>
                    </a:prstGeom>
                    <a:noFill/>
                  </pic:spPr>
                </pic:pic>
              </a:graphicData>
            </a:graphic>
          </wp:inline>
        </w:drawing>
      </w:r>
    </w:p>
    <w:p w:rsidR="0038701B" w:rsidRDefault="0038701B" w:rsidP="00E3403E">
      <w:pPr>
        <w:jc w:val="center"/>
        <w:rPr>
          <w:rFonts w:cs="Arial"/>
          <w:szCs w:val="20"/>
        </w:rPr>
      </w:pPr>
    </w:p>
    <w:p w:rsidR="0038701B" w:rsidRDefault="0038701B" w:rsidP="0038701B">
      <w:pPr>
        <w:pStyle w:val="ListParagraph"/>
        <w:numPr>
          <w:ilvl w:val="0"/>
          <w:numId w:val="107"/>
        </w:numPr>
        <w:contextualSpacing/>
        <w:rPr>
          <w:rFonts w:cs="Arial"/>
        </w:rPr>
      </w:pPr>
      <w:r>
        <w:rPr>
          <w:rFonts w:cs="Arial"/>
        </w:rPr>
        <w:t xml:space="preserve">Incorrect </w:t>
      </w:r>
      <w:r w:rsidRPr="00F44714">
        <w:rPr>
          <w:rFonts w:cs="Arial"/>
        </w:rPr>
        <w:t>calculation</w:t>
      </w:r>
      <w:r>
        <w:rPr>
          <w:rFonts w:cs="Arial"/>
        </w:rPr>
        <w:t xml:space="preserve"> of fees (33.8 per cent) and</w:t>
      </w:r>
      <w:r w:rsidRPr="00F44714">
        <w:rPr>
          <w:rFonts w:cs="Arial"/>
        </w:rPr>
        <w:t xml:space="preserve"> errors in the recording of designations </w:t>
      </w:r>
      <w:r>
        <w:rPr>
          <w:rFonts w:cs="Arial"/>
        </w:rPr>
        <w:t>(32.5 per cent), combined, accounted for two-thirds of corrections made in relation to renewals in 2015.</w:t>
      </w:r>
    </w:p>
    <w:p w:rsidR="0038701B" w:rsidRDefault="0038701B" w:rsidP="00E3403E">
      <w:pPr>
        <w:pStyle w:val="ListParagraph"/>
        <w:rPr>
          <w:rFonts w:cs="Arial"/>
        </w:rPr>
      </w:pPr>
    </w:p>
    <w:p w:rsidR="0038701B" w:rsidRDefault="005D264A" w:rsidP="005D264A">
      <w:pPr>
        <w:pStyle w:val="ListParagraph"/>
        <w:ind w:left="5823" w:firstLine="414"/>
        <w:rPr>
          <w:rFonts w:cs="Arial"/>
        </w:rPr>
      </w:pPr>
      <w:r>
        <w:rPr>
          <w:rFonts w:cs="Arial"/>
        </w:rPr>
        <w:t>[End of Annex]</w:t>
      </w:r>
    </w:p>
    <w:p w:rsidR="00DB4599" w:rsidRDefault="00DB4599">
      <w:r>
        <w:br w:type="page"/>
      </w:r>
    </w:p>
    <w:p w:rsidR="00DB4599" w:rsidRPr="001243AF" w:rsidRDefault="00DB4599" w:rsidP="00DB4599">
      <w:pPr>
        <w:pStyle w:val="Heading2"/>
        <w:tabs>
          <w:tab w:val="clear" w:pos="567"/>
          <w:tab w:val="left" w:pos="1985"/>
        </w:tabs>
        <w:ind w:left="1985" w:hanging="1985"/>
      </w:pPr>
      <w:bookmarkStart w:id="66" w:name="_Toc454544471"/>
      <w:r w:rsidRPr="001243AF">
        <w:lastRenderedPageBreak/>
        <w:t xml:space="preserve">PROGRAM </w:t>
      </w:r>
      <w:r>
        <w:t>31</w:t>
      </w:r>
      <w:r>
        <w:tab/>
        <w:t>THE HAGUE SYSTEM</w:t>
      </w:r>
      <w:bookmarkEnd w:id="66"/>
    </w:p>
    <w:p w:rsidR="00DB4599" w:rsidRPr="00383D2D" w:rsidRDefault="00DB4599" w:rsidP="00DB4599">
      <w:pPr>
        <w:rPr>
          <w:szCs w:val="20"/>
        </w:rPr>
      </w:pPr>
    </w:p>
    <w:p w:rsidR="00DB4599" w:rsidRPr="00DB4599" w:rsidRDefault="00DB4599" w:rsidP="00DB4599">
      <w:pPr>
        <w:tabs>
          <w:tab w:val="left" w:pos="1985"/>
        </w:tabs>
        <w:rPr>
          <w:b/>
          <w:szCs w:val="22"/>
        </w:rPr>
      </w:pPr>
      <w:r w:rsidRPr="00DB4599">
        <w:rPr>
          <w:b/>
          <w:szCs w:val="22"/>
        </w:rPr>
        <w:t>Program Manager</w:t>
      </w:r>
      <w:r w:rsidRPr="00DB4599">
        <w:rPr>
          <w:b/>
          <w:szCs w:val="22"/>
        </w:rPr>
        <w:tab/>
        <w:t>Ms. B. Wang</w:t>
      </w:r>
    </w:p>
    <w:p w:rsidR="00DB4599" w:rsidRDefault="00DB4599" w:rsidP="009F72A7">
      <w:pPr>
        <w:autoSpaceDE w:val="0"/>
        <w:autoSpaceDN w:val="0"/>
        <w:adjustRightInd w:val="0"/>
      </w:pPr>
    </w:p>
    <w:p w:rsidR="00C739A5" w:rsidRPr="001C6F4D" w:rsidRDefault="00C739A5" w:rsidP="001363EE">
      <w:pPr>
        <w:rPr>
          <w:szCs w:val="20"/>
        </w:rPr>
      </w:pPr>
    </w:p>
    <w:p w:rsidR="00C739A5" w:rsidRPr="00A71D71" w:rsidRDefault="00C739A5" w:rsidP="001363EE">
      <w:pPr>
        <w:rPr>
          <w:bCs/>
          <w:szCs w:val="22"/>
        </w:rPr>
      </w:pPr>
      <w:r w:rsidRPr="00A71D71">
        <w:rPr>
          <w:bCs/>
          <w:szCs w:val="22"/>
        </w:rPr>
        <w:t>ACHIEVEMENTS IN THE 2014/15 BIENNIUM</w:t>
      </w:r>
    </w:p>
    <w:p w:rsidR="00C739A5" w:rsidRPr="00383D2D" w:rsidRDefault="00C739A5" w:rsidP="001363EE">
      <w:pPr>
        <w:jc w:val="both"/>
        <w:rPr>
          <w:rFonts w:cs="Arial"/>
          <w:szCs w:val="20"/>
        </w:rPr>
      </w:pPr>
    </w:p>
    <w:p w:rsidR="00C739A5" w:rsidRPr="00537671" w:rsidRDefault="00C739A5" w:rsidP="00C739A5">
      <w:pPr>
        <w:pStyle w:val="ListParagraph"/>
        <w:numPr>
          <w:ilvl w:val="0"/>
          <w:numId w:val="38"/>
        </w:numPr>
        <w:tabs>
          <w:tab w:val="left" w:pos="709"/>
        </w:tabs>
        <w:spacing w:after="200"/>
        <w:ind w:left="0" w:firstLine="0"/>
        <w:jc w:val="both"/>
        <w:rPr>
          <w:rFonts w:cs="Arial"/>
        </w:rPr>
      </w:pPr>
      <w:r w:rsidRPr="00537671">
        <w:rPr>
          <w:rFonts w:cs="Arial"/>
        </w:rPr>
        <w:t>The Hague System experienced good growth in 2014/15.  In 2014, the Republic of Korea, and in</w:t>
      </w:r>
      <w:r w:rsidR="0038701B">
        <w:rPr>
          <w:rFonts w:cs="Arial"/>
        </w:rPr>
        <w:t> </w:t>
      </w:r>
      <w:r w:rsidRPr="00537671">
        <w:rPr>
          <w:rFonts w:cs="Arial"/>
        </w:rPr>
        <w:t>2015, Japan, Turkmenistan and the United States of America became party to the Geneva (1999) Act of the Hague Agreement Concerning the International Registration of Industrial Designs (hereinafter referred to as “the 1999 Act”).  Those accessions brought the number of Contracting Parties to that Act to 50.  Although this number remained lower than the target, accession</w:t>
      </w:r>
      <w:r w:rsidR="001B5378">
        <w:rPr>
          <w:rFonts w:cs="Arial"/>
        </w:rPr>
        <w:t>s</w:t>
      </w:r>
      <w:r w:rsidRPr="00537671">
        <w:rPr>
          <w:rFonts w:cs="Arial"/>
        </w:rPr>
        <w:t xml:space="preserve"> in particular by the Republic of Korea, the United States of America and of Japan, which respectively rank as the third, fourth and fifth jurisdictions worldwide in terms of design filings, significantly raised the attractiveness of the Hague System.  Consequently, international applications increased by over 40 per cent in 2015, a figure well above the expected increase on 2014.  Also as a result of this expansion, by the end of the biennium, there were already strong indications of interest to join amongst other prospective Contracting Parties, including from countries bound by the older Acts.  In that respect, at the end of 2015, only two consents were still required for the termination of the 1934 Act, whilst four Contracting Parties outside the European Union (EU) and </w:t>
      </w:r>
      <w:r w:rsidRPr="00537671">
        <w:rPr>
          <w:rFonts w:cs="Arial"/>
          <w:i/>
        </w:rPr>
        <w:t>Organisation Africaine de la Propriété Intellectuelle</w:t>
      </w:r>
      <w:r w:rsidRPr="00537671">
        <w:rPr>
          <w:rFonts w:cs="Arial"/>
        </w:rPr>
        <w:t xml:space="preserve"> (OAPI) remained bound only by the 1960 Act.</w:t>
      </w:r>
    </w:p>
    <w:p w:rsidR="00C739A5" w:rsidRPr="00067F96" w:rsidRDefault="00C739A5" w:rsidP="00C739A5">
      <w:pPr>
        <w:pStyle w:val="ListParagraph"/>
        <w:numPr>
          <w:ilvl w:val="0"/>
          <w:numId w:val="38"/>
        </w:numPr>
        <w:tabs>
          <w:tab w:val="left" w:pos="709"/>
        </w:tabs>
        <w:spacing w:after="200"/>
        <w:ind w:left="0" w:firstLine="0"/>
        <w:jc w:val="both"/>
        <w:rPr>
          <w:rFonts w:cs="Arial"/>
        </w:rPr>
      </w:pPr>
      <w:r w:rsidRPr="00AA14AE">
        <w:rPr>
          <w:rFonts w:cs="Arial"/>
        </w:rPr>
        <w:t xml:space="preserve">Expansion to the aforementioned jurisdictions came at a cost however, as it </w:t>
      </w:r>
      <w:r>
        <w:rPr>
          <w:rFonts w:cs="Arial"/>
        </w:rPr>
        <w:t>triggered the application of</w:t>
      </w:r>
      <w:r w:rsidRPr="00AA14AE">
        <w:rPr>
          <w:rFonts w:cs="Arial"/>
        </w:rPr>
        <w:t xml:space="preserve"> some of the most complex features of the </w:t>
      </w:r>
      <w:r>
        <w:rPr>
          <w:rFonts w:cs="Arial"/>
        </w:rPr>
        <w:t>S</w:t>
      </w:r>
      <w:r w:rsidRPr="00AA14AE">
        <w:rPr>
          <w:rFonts w:cs="Arial"/>
        </w:rPr>
        <w:t>ystem, such as those relating to the requirement of an oath of the creator or the payment in two parts of an individual fee, and further necessitated the development of new features</w:t>
      </w:r>
      <w:r>
        <w:rPr>
          <w:rFonts w:cs="Arial"/>
        </w:rPr>
        <w:t>,</w:t>
      </w:r>
      <w:r w:rsidRPr="00AA14AE">
        <w:rPr>
          <w:rFonts w:cs="Arial"/>
        </w:rPr>
        <w:t xml:space="preserve"> such as those relating to the notion of related designs. </w:t>
      </w:r>
      <w:r>
        <w:rPr>
          <w:rFonts w:cs="Arial"/>
        </w:rPr>
        <w:t xml:space="preserve"> </w:t>
      </w:r>
      <w:r w:rsidRPr="00AA14AE">
        <w:rPr>
          <w:rFonts w:cs="Arial"/>
        </w:rPr>
        <w:t xml:space="preserve">To cope with this, the examination system, the electronic filing system and the forms have gone through a succession of updates and additions to accommodate smoothly the new requirements. </w:t>
      </w:r>
      <w:r>
        <w:rPr>
          <w:rFonts w:cs="Arial"/>
        </w:rPr>
        <w:t xml:space="preserve"> </w:t>
      </w:r>
      <w:r w:rsidRPr="00AA14AE">
        <w:rPr>
          <w:rFonts w:cs="Arial"/>
        </w:rPr>
        <w:t xml:space="preserve">With regard to information to users, a completely revamped version of Hague Express and integration of Hague data in the Global Designs Database increased the quality of display of information for end-users, Offices and third-parties. </w:t>
      </w:r>
      <w:r>
        <w:rPr>
          <w:rFonts w:cs="Arial"/>
        </w:rPr>
        <w:t xml:space="preserve"> </w:t>
      </w:r>
      <w:r w:rsidRPr="00AA14AE">
        <w:rPr>
          <w:rFonts w:cs="Arial"/>
        </w:rPr>
        <w:t xml:space="preserve">The Hague </w:t>
      </w:r>
      <w:r>
        <w:rPr>
          <w:rFonts w:cs="Arial"/>
        </w:rPr>
        <w:t>G</w:t>
      </w:r>
      <w:r w:rsidRPr="00AA14AE">
        <w:rPr>
          <w:rFonts w:cs="Arial"/>
        </w:rPr>
        <w:t xml:space="preserve">uide has been fully converted to a web format to allow easier access, including direct access from the electronic filing interface. </w:t>
      </w:r>
      <w:r>
        <w:rPr>
          <w:rFonts w:cs="Arial"/>
        </w:rPr>
        <w:t xml:space="preserve"> </w:t>
      </w:r>
      <w:r w:rsidRPr="00AA14AE">
        <w:rPr>
          <w:rFonts w:cs="Arial"/>
        </w:rPr>
        <w:t xml:space="preserve">Despite the sudden growth in applications in 2015 and the increase in complexity, the Hague Operations absorbed the growth and managed to maintain a timeliness level in line with the average of the past </w:t>
      </w:r>
      <w:r>
        <w:rPr>
          <w:rFonts w:cs="Arial"/>
        </w:rPr>
        <w:t>five</w:t>
      </w:r>
      <w:r w:rsidRPr="00AA14AE">
        <w:rPr>
          <w:rFonts w:cs="Arial"/>
        </w:rPr>
        <w:t xml:space="preserve"> years. </w:t>
      </w:r>
      <w:r>
        <w:rPr>
          <w:rFonts w:cs="Arial"/>
        </w:rPr>
        <w:t xml:space="preserve"> </w:t>
      </w:r>
      <w:r w:rsidRPr="00AA14AE">
        <w:rPr>
          <w:rFonts w:cs="Arial"/>
        </w:rPr>
        <w:t>This resulted in a</w:t>
      </w:r>
      <w:r>
        <w:rPr>
          <w:rFonts w:cs="Arial"/>
        </w:rPr>
        <w:t>n eight per cent</w:t>
      </w:r>
      <w:r w:rsidRPr="00AA14AE">
        <w:rPr>
          <w:rFonts w:cs="Arial"/>
        </w:rPr>
        <w:t xml:space="preserve"> </w:t>
      </w:r>
      <w:r>
        <w:rPr>
          <w:rFonts w:cs="Arial"/>
        </w:rPr>
        <w:t>decrease in</w:t>
      </w:r>
      <w:r w:rsidRPr="00AA14AE">
        <w:rPr>
          <w:rFonts w:cs="Arial"/>
        </w:rPr>
        <w:t xml:space="preserve"> the unit cost per design </w:t>
      </w:r>
      <w:r>
        <w:rPr>
          <w:rFonts w:cs="Arial"/>
        </w:rPr>
        <w:t>from 2014 to 2015</w:t>
      </w:r>
      <w:r w:rsidRPr="00AA14AE">
        <w:rPr>
          <w:rFonts w:cs="Arial"/>
        </w:rPr>
        <w:t xml:space="preserve"> and </w:t>
      </w:r>
      <w:r>
        <w:rPr>
          <w:rFonts w:cs="Arial"/>
        </w:rPr>
        <w:t>a 22 per cent decrease in</w:t>
      </w:r>
      <w:r w:rsidRPr="00AA14AE">
        <w:rPr>
          <w:rFonts w:cs="Arial"/>
        </w:rPr>
        <w:t xml:space="preserve"> the unit cost per document </w:t>
      </w:r>
      <w:r>
        <w:rPr>
          <w:rFonts w:cs="Arial"/>
        </w:rPr>
        <w:t>from 2014 to 2015.</w:t>
      </w:r>
      <w:r w:rsidRPr="00AA14AE">
        <w:rPr>
          <w:rFonts w:cs="Arial"/>
        </w:rPr>
        <w:t xml:space="preserve"> </w:t>
      </w:r>
      <w:r>
        <w:rPr>
          <w:rFonts w:cs="Arial"/>
        </w:rPr>
        <w:t xml:space="preserve"> </w:t>
      </w:r>
      <w:r w:rsidRPr="00067F96">
        <w:rPr>
          <w:rFonts w:cs="Arial"/>
        </w:rPr>
        <w:t>Two new processes have been automated</w:t>
      </w:r>
      <w:r>
        <w:rPr>
          <w:rFonts w:cs="Arial"/>
        </w:rPr>
        <w:t xml:space="preserve">, namely </w:t>
      </w:r>
      <w:r w:rsidRPr="00067F96">
        <w:rPr>
          <w:rFonts w:cs="Arial"/>
        </w:rPr>
        <w:t xml:space="preserve">the reception and handling of indirect filings by the Office of the Republic of Korea (KIPO) and the examination of Statements of </w:t>
      </w:r>
      <w:r>
        <w:rPr>
          <w:rFonts w:cs="Arial"/>
        </w:rPr>
        <w:t>G</w:t>
      </w:r>
      <w:r w:rsidRPr="00067F96">
        <w:rPr>
          <w:rFonts w:cs="Arial"/>
        </w:rPr>
        <w:t xml:space="preserve">rant of </w:t>
      </w:r>
      <w:r>
        <w:rPr>
          <w:rFonts w:cs="Arial"/>
        </w:rPr>
        <w:t>P</w:t>
      </w:r>
      <w:r w:rsidRPr="00067F96">
        <w:rPr>
          <w:rFonts w:cs="Arial"/>
        </w:rPr>
        <w:t xml:space="preserve">rotection sent by the Office </w:t>
      </w:r>
      <w:r>
        <w:rPr>
          <w:rFonts w:cs="Arial"/>
        </w:rPr>
        <w:t xml:space="preserve">for Harmonization in the Internal Market (OHIM) </w:t>
      </w:r>
      <w:r w:rsidRPr="00067F96">
        <w:rPr>
          <w:rFonts w:cs="Arial"/>
        </w:rPr>
        <w:t>of the European Union</w:t>
      </w:r>
      <w:r>
        <w:rPr>
          <w:rFonts w:cs="Arial"/>
        </w:rPr>
        <w:t>, for a total of four automated processes</w:t>
      </w:r>
      <w:r w:rsidRPr="00067F96">
        <w:rPr>
          <w:rFonts w:cs="Arial"/>
        </w:rPr>
        <w:t>.</w:t>
      </w:r>
    </w:p>
    <w:p w:rsidR="00C739A5" w:rsidRPr="00067F96" w:rsidRDefault="00C739A5" w:rsidP="00C739A5">
      <w:pPr>
        <w:pStyle w:val="ListParagraph"/>
        <w:numPr>
          <w:ilvl w:val="0"/>
          <w:numId w:val="38"/>
        </w:numPr>
        <w:tabs>
          <w:tab w:val="left" w:pos="709"/>
        </w:tabs>
        <w:spacing w:after="200"/>
        <w:ind w:left="0" w:firstLine="0"/>
        <w:jc w:val="both"/>
        <w:rPr>
          <w:rFonts w:cs="Arial"/>
        </w:rPr>
      </w:pPr>
      <w:r w:rsidRPr="00067F96">
        <w:rPr>
          <w:rFonts w:cs="Arial"/>
        </w:rPr>
        <w:t>Significant progress towards the enhancement of the legal framework of the Hague System was achieved in the 2014/15 biennium.  Notably, following the fourth session of the Working Group on the Legal Development of the Hague System for the International Registration of Industrial Designs, the Hague Union Assembly adopted provisions</w:t>
      </w:r>
      <w:r>
        <w:rPr>
          <w:rFonts w:cs="Arial"/>
        </w:rPr>
        <w:t xml:space="preserve">, which </w:t>
      </w:r>
      <w:r w:rsidRPr="00067F96">
        <w:rPr>
          <w:rFonts w:cs="Arial"/>
        </w:rPr>
        <w:t>came into force on January 1, 2015</w:t>
      </w:r>
      <w:r>
        <w:rPr>
          <w:rFonts w:cs="Arial"/>
        </w:rPr>
        <w:t>,</w:t>
      </w:r>
      <w:r w:rsidRPr="00067F96">
        <w:rPr>
          <w:rFonts w:cs="Arial"/>
        </w:rPr>
        <w:t xml:space="preserve"> that introduced a “feedback mechanism”, to ensure the public availability of information on amendments to an industrial design that is the subject of an international registration following a procedure before the Office of a designated Contracting Party.  In addition, amendments to the Administrative Instructions were introduced with a view to giving users more flexibility in respect of the disclosure of their industrial designs</w:t>
      </w:r>
      <w:r>
        <w:rPr>
          <w:rFonts w:cs="Arial"/>
        </w:rPr>
        <w:t xml:space="preserve">, which </w:t>
      </w:r>
      <w:r w:rsidRPr="00067F96">
        <w:rPr>
          <w:rFonts w:cs="Arial"/>
        </w:rPr>
        <w:t>came into force on July 1, 2014.  These two developments provided the foundation for moving forward with the long</w:t>
      </w:r>
      <w:r>
        <w:rPr>
          <w:rFonts w:cs="Arial"/>
        </w:rPr>
        <w:t>-</w:t>
      </w:r>
      <w:r w:rsidRPr="00067F96">
        <w:rPr>
          <w:rFonts w:cs="Arial"/>
        </w:rPr>
        <w:t xml:space="preserve">awaited expansion to jurisdictions where substantive examination is undertaken.  Together with the changes made to the e-filing interface, the Hague System became better equipped to cope with the additional complexities and enabled the accessions by </w:t>
      </w:r>
      <w:r>
        <w:rPr>
          <w:rFonts w:cs="Arial"/>
        </w:rPr>
        <w:t xml:space="preserve">Japan, </w:t>
      </w:r>
      <w:r w:rsidRPr="00067F96">
        <w:rPr>
          <w:rFonts w:cs="Arial"/>
        </w:rPr>
        <w:t>the Republic of Korea, and the United States of America.</w:t>
      </w:r>
    </w:p>
    <w:p w:rsidR="00C739A5" w:rsidRPr="00E641BB" w:rsidRDefault="00C739A5" w:rsidP="00C739A5">
      <w:pPr>
        <w:pStyle w:val="ListParagraph"/>
        <w:numPr>
          <w:ilvl w:val="0"/>
          <w:numId w:val="38"/>
        </w:numPr>
        <w:tabs>
          <w:tab w:val="left" w:pos="709"/>
        </w:tabs>
        <w:spacing w:after="200"/>
        <w:ind w:left="0" w:firstLine="0"/>
        <w:jc w:val="both"/>
      </w:pPr>
      <w:r w:rsidRPr="00E641BB">
        <w:rPr>
          <w:rFonts w:cs="Arial"/>
          <w:bCs/>
        </w:rPr>
        <w:t xml:space="preserve">The design, </w:t>
      </w:r>
      <w:r w:rsidRPr="00537671">
        <w:rPr>
          <w:rFonts w:cs="Arial"/>
        </w:rPr>
        <w:t>planning</w:t>
      </w:r>
      <w:r w:rsidRPr="00E641BB">
        <w:rPr>
          <w:rFonts w:cs="Arial"/>
          <w:bCs/>
        </w:rPr>
        <w:t xml:space="preserve"> and implementation of activities by Program 31 were informed and guided by the relevant Recommendations, in particular Recommendations 1 and 6.</w:t>
      </w:r>
    </w:p>
    <w:p w:rsidR="00C739A5" w:rsidRDefault="00C739A5" w:rsidP="001363EE">
      <w:pPr>
        <w:spacing w:after="200"/>
        <w:jc w:val="both"/>
        <w:rPr>
          <w:rFonts w:cs="Arial"/>
          <w:sz w:val="22"/>
          <w:szCs w:val="22"/>
        </w:rPr>
      </w:pPr>
    </w:p>
    <w:p w:rsidR="00C739A5" w:rsidRPr="00191037" w:rsidRDefault="00C739A5" w:rsidP="001363EE">
      <w:pPr>
        <w:keepNext/>
        <w:keepLines/>
        <w:rPr>
          <w:rFonts w:cs="Arial"/>
          <w:sz w:val="22"/>
          <w:szCs w:val="22"/>
        </w:rPr>
      </w:pPr>
      <w:r w:rsidRPr="00191037">
        <w:rPr>
          <w:rFonts w:cs="Arial"/>
          <w:sz w:val="22"/>
          <w:szCs w:val="22"/>
        </w:rPr>
        <w:lastRenderedPageBreak/>
        <w:t>PERFORMANCE DATA</w:t>
      </w:r>
    </w:p>
    <w:p w:rsidR="00C739A5" w:rsidRDefault="00C739A5" w:rsidP="001363EE">
      <w:pPr>
        <w:keepNext/>
        <w:keepLines/>
        <w:rPr>
          <w:bCs/>
          <w:sz w:val="22"/>
          <w:szCs w:val="22"/>
        </w:rPr>
      </w:pPr>
    </w:p>
    <w:tbl>
      <w:tblPr>
        <w:tblW w:w="4919"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054"/>
        <w:gridCol w:w="2467"/>
        <w:gridCol w:w="1780"/>
        <w:gridCol w:w="2156"/>
        <w:gridCol w:w="959"/>
      </w:tblGrid>
      <w:tr w:rsidR="00C739A5" w:rsidRPr="008539B9" w:rsidTr="001363EE">
        <w:trPr>
          <w:cantSplit/>
        </w:trPr>
        <w:tc>
          <w:tcPr>
            <w:tcW w:w="5000" w:type="pct"/>
            <w:gridSpan w:val="5"/>
            <w:tcBorders>
              <w:top w:val="single" w:sz="4" w:space="0" w:color="auto"/>
              <w:bottom w:val="single" w:sz="4" w:space="0" w:color="auto"/>
            </w:tcBorders>
            <w:shd w:val="clear" w:color="auto" w:fill="C6D9F1" w:themeFill="text2" w:themeFillTint="33"/>
            <w:vAlign w:val="center"/>
          </w:tcPr>
          <w:p w:rsidR="00C739A5" w:rsidRPr="008539B9" w:rsidRDefault="00C739A5" w:rsidP="001363EE">
            <w:pPr>
              <w:keepNext/>
              <w:keepLines/>
              <w:tabs>
                <w:tab w:val="left" w:pos="1452"/>
              </w:tabs>
              <w:spacing w:before="120" w:after="120"/>
              <w:ind w:left="1452" w:hanging="1452"/>
              <w:rPr>
                <w:rFonts w:cs="Arial"/>
                <w:b/>
                <w:bCs/>
                <w:sz w:val="16"/>
                <w:szCs w:val="16"/>
              </w:rPr>
            </w:pPr>
            <w:r w:rsidRPr="008539B9">
              <w:rPr>
                <w:rFonts w:cs="Arial"/>
                <w:b/>
                <w:bCs/>
                <w:sz w:val="16"/>
                <w:szCs w:val="16"/>
              </w:rPr>
              <w:t>Expected Result:</w:t>
            </w:r>
            <w:r w:rsidRPr="008539B9">
              <w:rPr>
                <w:rFonts w:cs="Arial"/>
                <w:b/>
                <w:bCs/>
                <w:sz w:val="16"/>
                <w:szCs w:val="16"/>
              </w:rPr>
              <w:tab/>
            </w:r>
            <w:r w:rsidRPr="00D93226">
              <w:rPr>
                <w:rFonts w:cs="Arial"/>
                <w:color w:val="000000"/>
                <w:sz w:val="16"/>
                <w:szCs w:val="16"/>
              </w:rPr>
              <w:t>II.4 Wider and better use of the Hague system, including by developing countries and LDCs</w:t>
            </w:r>
          </w:p>
        </w:tc>
      </w:tr>
      <w:tr w:rsidR="00C739A5" w:rsidRPr="008539B9" w:rsidTr="001363EE">
        <w:trPr>
          <w:cantSplit/>
        </w:trPr>
        <w:tc>
          <w:tcPr>
            <w:tcW w:w="1091" w:type="pct"/>
            <w:tcBorders>
              <w:top w:val="single" w:sz="4" w:space="0" w:color="auto"/>
            </w:tcBorders>
            <w:shd w:val="clear" w:color="auto" w:fill="auto"/>
            <w:vAlign w:val="center"/>
          </w:tcPr>
          <w:p w:rsidR="00C739A5" w:rsidRPr="008539B9" w:rsidRDefault="00C739A5" w:rsidP="001363EE">
            <w:pPr>
              <w:keepNext/>
              <w:keepLines/>
              <w:rPr>
                <w:rFonts w:cs="Arial"/>
                <w:sz w:val="16"/>
                <w:szCs w:val="16"/>
              </w:rPr>
            </w:pPr>
            <w:r w:rsidRPr="008539B9">
              <w:rPr>
                <w:rFonts w:cs="Arial"/>
                <w:b/>
                <w:bCs/>
                <w:sz w:val="16"/>
                <w:szCs w:val="16"/>
              </w:rPr>
              <w:t>Performance Indicators</w:t>
            </w:r>
          </w:p>
        </w:tc>
        <w:tc>
          <w:tcPr>
            <w:tcW w:w="1310" w:type="pct"/>
            <w:tcBorders>
              <w:top w:val="single" w:sz="4" w:space="0" w:color="auto"/>
            </w:tcBorders>
            <w:shd w:val="clear" w:color="auto" w:fill="auto"/>
            <w:vAlign w:val="center"/>
          </w:tcPr>
          <w:p w:rsidR="00C739A5" w:rsidRPr="008539B9" w:rsidRDefault="00C739A5" w:rsidP="001363EE">
            <w:pPr>
              <w:keepNext/>
              <w:keepLines/>
              <w:rPr>
                <w:rFonts w:cs="Arial"/>
                <w:b/>
                <w:bCs/>
                <w:sz w:val="16"/>
                <w:szCs w:val="16"/>
              </w:rPr>
            </w:pPr>
            <w:r w:rsidRPr="008539B9">
              <w:rPr>
                <w:rFonts w:cs="Arial"/>
                <w:b/>
                <w:bCs/>
                <w:sz w:val="16"/>
                <w:szCs w:val="16"/>
              </w:rPr>
              <w:t>Baselines</w:t>
            </w:r>
          </w:p>
        </w:tc>
        <w:tc>
          <w:tcPr>
            <w:tcW w:w="945" w:type="pct"/>
            <w:tcBorders>
              <w:top w:val="single" w:sz="4" w:space="0" w:color="auto"/>
            </w:tcBorders>
            <w:shd w:val="clear" w:color="auto" w:fill="auto"/>
            <w:tcMar>
              <w:top w:w="110" w:type="dxa"/>
            </w:tcMar>
            <w:vAlign w:val="center"/>
          </w:tcPr>
          <w:p w:rsidR="00C739A5" w:rsidRPr="008539B9" w:rsidRDefault="00C739A5" w:rsidP="001363EE">
            <w:pPr>
              <w:keepNext/>
              <w:keepLines/>
              <w:rPr>
                <w:rFonts w:cs="Arial"/>
                <w:b/>
                <w:sz w:val="16"/>
                <w:szCs w:val="16"/>
              </w:rPr>
            </w:pPr>
            <w:r w:rsidRPr="008539B9">
              <w:rPr>
                <w:rFonts w:cs="Arial"/>
                <w:b/>
                <w:sz w:val="16"/>
                <w:szCs w:val="16"/>
              </w:rPr>
              <w:t>Targets</w:t>
            </w:r>
          </w:p>
        </w:tc>
        <w:tc>
          <w:tcPr>
            <w:tcW w:w="1145" w:type="pct"/>
            <w:tcBorders>
              <w:top w:val="single" w:sz="4" w:space="0" w:color="auto"/>
            </w:tcBorders>
            <w:shd w:val="clear" w:color="auto" w:fill="FFFFFF"/>
            <w:tcMar>
              <w:top w:w="110" w:type="dxa"/>
            </w:tcMar>
            <w:vAlign w:val="center"/>
          </w:tcPr>
          <w:p w:rsidR="00C739A5" w:rsidRPr="008539B9" w:rsidRDefault="00C739A5" w:rsidP="001363EE">
            <w:pPr>
              <w:keepNext/>
              <w:keepLines/>
              <w:rPr>
                <w:rFonts w:cs="Arial"/>
                <w:sz w:val="16"/>
                <w:szCs w:val="16"/>
              </w:rPr>
            </w:pPr>
            <w:r w:rsidRPr="008539B9">
              <w:rPr>
                <w:rFonts w:cs="Arial"/>
                <w:b/>
                <w:bCs/>
                <w:sz w:val="16"/>
                <w:szCs w:val="16"/>
              </w:rPr>
              <w:t>Performance Data</w:t>
            </w:r>
          </w:p>
        </w:tc>
        <w:tc>
          <w:tcPr>
            <w:tcW w:w="509" w:type="pct"/>
            <w:tcBorders>
              <w:top w:val="single" w:sz="4" w:space="0" w:color="auto"/>
            </w:tcBorders>
            <w:shd w:val="clear" w:color="auto" w:fill="auto"/>
            <w:tcMar>
              <w:top w:w="110" w:type="dxa"/>
            </w:tcMar>
            <w:vAlign w:val="center"/>
          </w:tcPr>
          <w:p w:rsidR="00C739A5" w:rsidRPr="008539B9" w:rsidRDefault="00C739A5" w:rsidP="001363EE">
            <w:pPr>
              <w:keepNext/>
              <w:keepLines/>
              <w:jc w:val="center"/>
              <w:rPr>
                <w:rFonts w:cs="Arial"/>
                <w:b/>
                <w:bCs/>
                <w:sz w:val="16"/>
                <w:szCs w:val="16"/>
              </w:rPr>
            </w:pPr>
            <w:r w:rsidRPr="008539B9">
              <w:rPr>
                <w:rFonts w:cs="Arial"/>
                <w:b/>
                <w:bCs/>
                <w:sz w:val="16"/>
                <w:szCs w:val="16"/>
              </w:rPr>
              <w:t>TLS</w:t>
            </w:r>
          </w:p>
        </w:tc>
      </w:tr>
      <w:tr w:rsidR="00C739A5" w:rsidRPr="008539B9" w:rsidTr="001363EE">
        <w:trPr>
          <w:cantSplit/>
          <w:trHeight w:val="1492"/>
        </w:trPr>
        <w:tc>
          <w:tcPr>
            <w:tcW w:w="1091" w:type="pct"/>
            <w:tcBorders>
              <w:bottom w:val="nil"/>
            </w:tcBorders>
            <w:shd w:val="clear" w:color="auto" w:fill="auto"/>
          </w:tcPr>
          <w:p w:rsidR="00C739A5" w:rsidRPr="008539B9" w:rsidRDefault="00C739A5" w:rsidP="001363EE">
            <w:pPr>
              <w:keepNext/>
              <w:keepLines/>
              <w:rPr>
                <w:rFonts w:cs="Arial"/>
                <w:color w:val="000000"/>
                <w:sz w:val="16"/>
                <w:szCs w:val="16"/>
              </w:rPr>
            </w:pPr>
            <w:r w:rsidRPr="00D93226">
              <w:rPr>
                <w:rFonts w:cs="Arial"/>
                <w:color w:val="000000"/>
                <w:sz w:val="16"/>
                <w:szCs w:val="16"/>
              </w:rPr>
              <w:t>Membership of the Geneva (1999) Act</w:t>
            </w:r>
          </w:p>
        </w:tc>
        <w:tc>
          <w:tcPr>
            <w:tcW w:w="1310" w:type="pct"/>
            <w:tcBorders>
              <w:bottom w:val="nil"/>
            </w:tcBorders>
            <w:shd w:val="clear" w:color="auto" w:fill="auto"/>
          </w:tcPr>
          <w:p w:rsidR="00C739A5" w:rsidRPr="00733128" w:rsidRDefault="00C739A5" w:rsidP="001363EE">
            <w:pPr>
              <w:keepNext/>
              <w:keepLines/>
              <w:rPr>
                <w:rFonts w:cs="Arial"/>
                <w:color w:val="002060"/>
                <w:sz w:val="16"/>
                <w:szCs w:val="16"/>
              </w:rPr>
            </w:pPr>
            <w:r w:rsidRPr="008539B9">
              <w:rPr>
                <w:rFonts w:cs="Arial"/>
                <w:i/>
                <w:color w:val="002060"/>
                <w:sz w:val="16"/>
                <w:szCs w:val="16"/>
              </w:rPr>
              <w:t>Updated Baseline end 201</w:t>
            </w:r>
            <w:r>
              <w:rPr>
                <w:rFonts w:cs="Arial"/>
                <w:i/>
                <w:color w:val="002060"/>
                <w:sz w:val="16"/>
                <w:szCs w:val="16"/>
              </w:rPr>
              <w:t>3</w:t>
            </w:r>
            <w:r w:rsidRPr="008539B9">
              <w:rPr>
                <w:rFonts w:cs="Arial"/>
                <w:i/>
                <w:color w:val="002060"/>
                <w:sz w:val="16"/>
                <w:szCs w:val="16"/>
              </w:rPr>
              <w:t xml:space="preserve">:  </w:t>
            </w:r>
            <w:r w:rsidRPr="00733128">
              <w:rPr>
                <w:rFonts w:cs="Arial"/>
                <w:i/>
                <w:color w:val="002060"/>
                <w:sz w:val="16"/>
                <w:szCs w:val="16"/>
              </w:rPr>
              <w:t>46 Contracting Parties (end 2013)</w:t>
            </w:r>
          </w:p>
          <w:p w:rsidR="00C739A5" w:rsidRDefault="00C739A5" w:rsidP="001363EE">
            <w:pPr>
              <w:keepNext/>
              <w:keepLines/>
              <w:rPr>
                <w:rFonts w:cs="Arial"/>
                <w:color w:val="000000"/>
                <w:sz w:val="16"/>
                <w:szCs w:val="16"/>
              </w:rPr>
            </w:pPr>
          </w:p>
          <w:p w:rsidR="00C739A5" w:rsidRPr="008539B9" w:rsidRDefault="00C739A5" w:rsidP="001363EE">
            <w:pPr>
              <w:keepNext/>
              <w:keepLines/>
              <w:rPr>
                <w:rFonts w:cs="Arial"/>
                <w:i/>
                <w:color w:val="002060"/>
                <w:sz w:val="8"/>
                <w:szCs w:val="8"/>
              </w:rPr>
            </w:pPr>
          </w:p>
          <w:p w:rsidR="00C739A5" w:rsidRPr="008539B9" w:rsidRDefault="00C739A5" w:rsidP="001363EE">
            <w:pPr>
              <w:keepNext/>
              <w:keepLines/>
              <w:rPr>
                <w:rFonts w:cs="Arial"/>
                <w:color w:val="000000"/>
                <w:sz w:val="16"/>
                <w:szCs w:val="16"/>
              </w:rPr>
            </w:pPr>
            <w:r w:rsidRPr="008539B9">
              <w:rPr>
                <w:rFonts w:cs="Arial"/>
                <w:i/>
                <w:sz w:val="16"/>
                <w:szCs w:val="16"/>
              </w:rPr>
              <w:t>Original Baseline P&amp;B 201</w:t>
            </w:r>
            <w:r>
              <w:rPr>
                <w:rFonts w:cs="Arial"/>
                <w:i/>
                <w:sz w:val="16"/>
                <w:szCs w:val="16"/>
              </w:rPr>
              <w:t>4</w:t>
            </w:r>
            <w:r w:rsidRPr="008539B9">
              <w:rPr>
                <w:rFonts w:cs="Arial"/>
                <w:i/>
                <w:sz w:val="16"/>
                <w:szCs w:val="16"/>
              </w:rPr>
              <w:t>/1</w:t>
            </w:r>
            <w:r>
              <w:rPr>
                <w:rFonts w:cs="Arial"/>
                <w:i/>
                <w:sz w:val="16"/>
                <w:szCs w:val="16"/>
              </w:rPr>
              <w:t>5</w:t>
            </w:r>
            <w:r w:rsidRPr="008539B9">
              <w:rPr>
                <w:rFonts w:cs="Arial"/>
                <w:i/>
                <w:sz w:val="16"/>
                <w:szCs w:val="16"/>
              </w:rPr>
              <w:t>:</w:t>
            </w:r>
            <w:r>
              <w:rPr>
                <w:rFonts w:cs="Arial"/>
                <w:i/>
                <w:sz w:val="16"/>
                <w:szCs w:val="16"/>
              </w:rPr>
              <w:t xml:space="preserve"> </w:t>
            </w:r>
            <w:r w:rsidRPr="00D93226">
              <w:rPr>
                <w:rFonts w:cs="Arial"/>
                <w:color w:val="000000"/>
                <w:sz w:val="16"/>
                <w:szCs w:val="16"/>
              </w:rPr>
              <w:t>45 Contracting Parties</w:t>
            </w:r>
          </w:p>
        </w:tc>
        <w:tc>
          <w:tcPr>
            <w:tcW w:w="945" w:type="pct"/>
            <w:tcBorders>
              <w:bottom w:val="nil"/>
            </w:tcBorders>
            <w:shd w:val="clear" w:color="auto" w:fill="auto"/>
            <w:tcMar>
              <w:top w:w="110" w:type="dxa"/>
            </w:tcMar>
          </w:tcPr>
          <w:p w:rsidR="00C739A5" w:rsidRPr="008539B9" w:rsidRDefault="00C739A5" w:rsidP="001363EE">
            <w:pPr>
              <w:keepNext/>
              <w:keepLines/>
              <w:rPr>
                <w:rFonts w:cs="Arial"/>
                <w:color w:val="000000"/>
                <w:sz w:val="16"/>
                <w:szCs w:val="16"/>
              </w:rPr>
            </w:pPr>
            <w:r w:rsidRPr="00904E35">
              <w:rPr>
                <w:rFonts w:cs="Arial"/>
                <w:sz w:val="16"/>
                <w:szCs w:val="16"/>
              </w:rPr>
              <w:t>58 Contracting Parties</w:t>
            </w:r>
          </w:p>
        </w:tc>
        <w:tc>
          <w:tcPr>
            <w:tcW w:w="1145" w:type="pct"/>
            <w:tcBorders>
              <w:bottom w:val="nil"/>
            </w:tcBorders>
            <w:shd w:val="clear" w:color="auto" w:fill="FFFFFF"/>
            <w:tcMar>
              <w:top w:w="110" w:type="dxa"/>
            </w:tcMar>
          </w:tcPr>
          <w:p w:rsidR="00C739A5" w:rsidRPr="008539B9" w:rsidRDefault="00C739A5" w:rsidP="001363EE">
            <w:pPr>
              <w:keepNext/>
              <w:keepLines/>
              <w:rPr>
                <w:rFonts w:cs="Arial"/>
                <w:sz w:val="16"/>
                <w:szCs w:val="16"/>
              </w:rPr>
            </w:pPr>
            <w:r>
              <w:rPr>
                <w:rFonts w:cs="Arial"/>
                <w:sz w:val="16"/>
                <w:szCs w:val="16"/>
              </w:rPr>
              <w:t>50 Contracting Parties to the Geneva Act (end 2015)</w:t>
            </w:r>
          </w:p>
        </w:tc>
        <w:tc>
          <w:tcPr>
            <w:tcW w:w="509" w:type="pct"/>
            <w:tcBorders>
              <w:bottom w:val="nil"/>
            </w:tcBorders>
            <w:shd w:val="clear" w:color="auto" w:fill="auto"/>
            <w:tcMar>
              <w:top w:w="110" w:type="dxa"/>
            </w:tcMar>
          </w:tcPr>
          <w:p w:rsidR="00C739A5" w:rsidRPr="004636B2" w:rsidRDefault="00C739A5" w:rsidP="001363EE">
            <w:pPr>
              <w:keepNext/>
              <w:keepLines/>
              <w:jc w:val="center"/>
              <w:rPr>
                <w:rFonts w:cs="Arial"/>
                <w:b/>
                <w:bCs/>
                <w:color w:val="E26B0A"/>
                <w:sz w:val="16"/>
                <w:szCs w:val="16"/>
              </w:rPr>
            </w:pPr>
            <w:r w:rsidRPr="004636B2">
              <w:rPr>
                <w:rFonts w:cs="Arial"/>
                <w:b/>
                <w:bCs/>
                <w:color w:val="E26B0A"/>
                <w:sz w:val="16"/>
                <w:szCs w:val="16"/>
              </w:rPr>
              <w:t>Partially Achieved</w:t>
            </w:r>
          </w:p>
          <w:p w:rsidR="00C739A5" w:rsidRPr="000C1926" w:rsidRDefault="00C739A5" w:rsidP="001363EE">
            <w:pPr>
              <w:keepNext/>
              <w:keepLines/>
              <w:jc w:val="center"/>
              <w:rPr>
                <w:rFonts w:cs="Arial"/>
                <w:b/>
                <w:bCs/>
                <w:color w:val="808080"/>
                <w:sz w:val="16"/>
                <w:szCs w:val="16"/>
              </w:rPr>
            </w:pPr>
          </w:p>
        </w:tc>
      </w:tr>
      <w:tr w:rsidR="00C739A5" w:rsidRPr="008539B9" w:rsidTr="001363EE">
        <w:trPr>
          <w:cantSplit/>
        </w:trPr>
        <w:tc>
          <w:tcPr>
            <w:tcW w:w="1091" w:type="pct"/>
            <w:tcBorders>
              <w:top w:val="nil"/>
              <w:left w:val="single" w:sz="4" w:space="0" w:color="auto"/>
              <w:bottom w:val="nil"/>
            </w:tcBorders>
            <w:shd w:val="clear" w:color="auto" w:fill="auto"/>
          </w:tcPr>
          <w:p w:rsidR="00C739A5" w:rsidRPr="008539B9" w:rsidRDefault="00C739A5" w:rsidP="001363EE">
            <w:pPr>
              <w:rPr>
                <w:rFonts w:cs="Arial"/>
                <w:sz w:val="16"/>
                <w:szCs w:val="16"/>
              </w:rPr>
            </w:pPr>
            <w:r w:rsidRPr="00B41908">
              <w:rPr>
                <w:rFonts w:cs="Arial"/>
                <w:sz w:val="16"/>
                <w:szCs w:val="16"/>
              </w:rPr>
              <w:t>Share of Offices concerned prov</w:t>
            </w:r>
            <w:r>
              <w:rPr>
                <w:rFonts w:cs="Arial"/>
                <w:sz w:val="16"/>
                <w:szCs w:val="16"/>
              </w:rPr>
              <w:t>iding information on the Hague S</w:t>
            </w:r>
            <w:r w:rsidRPr="00B41908">
              <w:rPr>
                <w:rFonts w:cs="Arial"/>
                <w:sz w:val="16"/>
                <w:szCs w:val="16"/>
              </w:rPr>
              <w:t xml:space="preserve">ystem </w:t>
            </w:r>
          </w:p>
        </w:tc>
        <w:tc>
          <w:tcPr>
            <w:tcW w:w="1310" w:type="pct"/>
            <w:tcBorders>
              <w:top w:val="nil"/>
              <w:bottom w:val="nil"/>
            </w:tcBorders>
            <w:shd w:val="clear" w:color="auto" w:fill="auto"/>
          </w:tcPr>
          <w:p w:rsidR="00C739A5" w:rsidRDefault="00C739A5" w:rsidP="001363EE">
            <w:pPr>
              <w:rPr>
                <w:rFonts w:cs="Arial"/>
                <w:i/>
                <w:sz w:val="16"/>
                <w:szCs w:val="16"/>
              </w:rPr>
            </w:pPr>
            <w:r w:rsidRPr="008539B9">
              <w:rPr>
                <w:rFonts w:cs="Arial"/>
                <w:i/>
                <w:color w:val="002060"/>
                <w:sz w:val="16"/>
                <w:szCs w:val="16"/>
              </w:rPr>
              <w:t>Updated Baseline end 201</w:t>
            </w:r>
            <w:r>
              <w:rPr>
                <w:rFonts w:cs="Arial"/>
                <w:i/>
                <w:color w:val="002060"/>
                <w:sz w:val="16"/>
                <w:szCs w:val="16"/>
              </w:rPr>
              <w:t>3</w:t>
            </w:r>
            <w:r w:rsidRPr="008539B9">
              <w:rPr>
                <w:rFonts w:cs="Arial"/>
                <w:i/>
                <w:color w:val="002060"/>
                <w:sz w:val="16"/>
                <w:szCs w:val="16"/>
              </w:rPr>
              <w:t xml:space="preserve">:  </w:t>
            </w:r>
            <w:r w:rsidRPr="00B41908">
              <w:rPr>
                <w:rFonts w:cs="Arial"/>
                <w:i/>
                <w:color w:val="002060"/>
                <w:sz w:val="16"/>
                <w:szCs w:val="16"/>
              </w:rPr>
              <w:t>42 national or regional Offices were providing adequate information on the Hague System.  Nine Offices h</w:t>
            </w:r>
            <w:r>
              <w:rPr>
                <w:rFonts w:cs="Arial"/>
                <w:i/>
                <w:color w:val="002060"/>
                <w:sz w:val="16"/>
                <w:szCs w:val="16"/>
              </w:rPr>
              <w:t>ad</w:t>
            </w:r>
            <w:r w:rsidRPr="00B41908">
              <w:rPr>
                <w:rFonts w:cs="Arial"/>
                <w:i/>
                <w:color w:val="002060"/>
                <w:sz w:val="16"/>
                <w:szCs w:val="16"/>
              </w:rPr>
              <w:t xml:space="preserve"> no web site.</w:t>
            </w:r>
          </w:p>
          <w:p w:rsidR="00C739A5" w:rsidRDefault="00C739A5" w:rsidP="001363EE">
            <w:pPr>
              <w:rPr>
                <w:rFonts w:cs="Arial"/>
                <w:i/>
                <w:sz w:val="16"/>
                <w:szCs w:val="16"/>
              </w:rPr>
            </w:pPr>
          </w:p>
          <w:p w:rsidR="00C739A5" w:rsidRDefault="00C739A5" w:rsidP="001363EE">
            <w:pPr>
              <w:rPr>
                <w:rFonts w:cs="Arial"/>
                <w:i/>
                <w:sz w:val="16"/>
                <w:szCs w:val="16"/>
              </w:rPr>
            </w:pPr>
            <w:r w:rsidRPr="008539B9">
              <w:rPr>
                <w:rFonts w:cs="Arial"/>
                <w:i/>
                <w:sz w:val="16"/>
                <w:szCs w:val="16"/>
              </w:rPr>
              <w:t xml:space="preserve">Original Baseline P&amp;B </w:t>
            </w:r>
            <w:r w:rsidRPr="000A2F32">
              <w:rPr>
                <w:rFonts w:cs="Arial"/>
                <w:i/>
                <w:sz w:val="16"/>
                <w:szCs w:val="16"/>
              </w:rPr>
              <w:t>2014/15: Share of Offices providing such information</w:t>
            </w:r>
          </w:p>
          <w:p w:rsidR="00C739A5" w:rsidRPr="008539B9" w:rsidRDefault="00C739A5" w:rsidP="001363EE">
            <w:pPr>
              <w:rPr>
                <w:rFonts w:cs="Arial"/>
                <w:sz w:val="16"/>
                <w:szCs w:val="16"/>
              </w:rPr>
            </w:pPr>
          </w:p>
        </w:tc>
        <w:tc>
          <w:tcPr>
            <w:tcW w:w="945" w:type="pct"/>
            <w:tcBorders>
              <w:top w:val="nil"/>
              <w:bottom w:val="nil"/>
            </w:tcBorders>
            <w:shd w:val="clear" w:color="auto" w:fill="auto"/>
            <w:tcMar>
              <w:top w:w="110" w:type="dxa"/>
            </w:tcMar>
          </w:tcPr>
          <w:p w:rsidR="00C739A5" w:rsidRPr="008539B9" w:rsidRDefault="00C739A5" w:rsidP="001363EE">
            <w:pPr>
              <w:rPr>
                <w:rFonts w:cs="Arial"/>
                <w:color w:val="993300"/>
                <w:sz w:val="16"/>
                <w:szCs w:val="16"/>
                <w:lang w:bidi="th-TH"/>
              </w:rPr>
            </w:pPr>
            <w:r w:rsidRPr="00B41908">
              <w:rPr>
                <w:rFonts w:cs="Arial"/>
                <w:sz w:val="16"/>
                <w:szCs w:val="16"/>
              </w:rPr>
              <w:t>Increased share</w:t>
            </w:r>
          </w:p>
        </w:tc>
        <w:tc>
          <w:tcPr>
            <w:tcW w:w="1145" w:type="pct"/>
            <w:tcBorders>
              <w:top w:val="nil"/>
              <w:bottom w:val="nil"/>
            </w:tcBorders>
            <w:shd w:val="clear" w:color="auto" w:fill="FFFFFF"/>
            <w:tcMar>
              <w:top w:w="110" w:type="dxa"/>
            </w:tcMar>
          </w:tcPr>
          <w:p w:rsidR="00C739A5" w:rsidRPr="0094184C" w:rsidRDefault="00C739A5" w:rsidP="001363EE">
            <w:pPr>
              <w:rPr>
                <w:rFonts w:cs="Arial"/>
                <w:sz w:val="16"/>
                <w:szCs w:val="16"/>
                <w:lang w:bidi="th-TH"/>
              </w:rPr>
            </w:pPr>
            <w:r w:rsidRPr="000A2F32">
              <w:rPr>
                <w:rFonts w:cs="Arial"/>
                <w:sz w:val="16"/>
                <w:szCs w:val="16"/>
                <w:lang w:bidi="th-TH"/>
              </w:rPr>
              <w:t xml:space="preserve">47 </w:t>
            </w:r>
            <w:r>
              <w:rPr>
                <w:rFonts w:cs="Arial"/>
                <w:sz w:val="16"/>
                <w:szCs w:val="16"/>
                <w:lang w:bidi="th-TH"/>
              </w:rPr>
              <w:t>national or regional Offices were providing information on the Hague System at the end of 2015.  Ten Offices had no website.</w:t>
            </w:r>
          </w:p>
          <w:p w:rsidR="00C739A5" w:rsidRPr="0094184C" w:rsidRDefault="00C739A5" w:rsidP="001363EE">
            <w:pPr>
              <w:rPr>
                <w:rFonts w:cs="Arial"/>
                <w:sz w:val="16"/>
                <w:szCs w:val="16"/>
                <w:lang w:bidi="th-TH"/>
              </w:rPr>
            </w:pPr>
          </w:p>
        </w:tc>
        <w:tc>
          <w:tcPr>
            <w:tcW w:w="509" w:type="pct"/>
            <w:tcBorders>
              <w:top w:val="nil"/>
              <w:bottom w:val="nil"/>
              <w:right w:val="single" w:sz="4" w:space="0" w:color="auto"/>
            </w:tcBorders>
            <w:shd w:val="clear" w:color="auto" w:fill="auto"/>
            <w:tcMar>
              <w:top w:w="110" w:type="dxa"/>
            </w:tcMar>
          </w:tcPr>
          <w:p w:rsidR="00C739A5" w:rsidRPr="008E19E3" w:rsidRDefault="00C739A5" w:rsidP="001363EE">
            <w:pPr>
              <w:keepNext/>
              <w:keepLines/>
              <w:jc w:val="center"/>
              <w:rPr>
                <w:rFonts w:cs="Arial"/>
                <w:b/>
                <w:bCs/>
                <w:color w:val="00B050"/>
                <w:sz w:val="16"/>
                <w:szCs w:val="16"/>
              </w:rPr>
            </w:pPr>
            <w:r w:rsidRPr="008E19E3">
              <w:rPr>
                <w:rFonts w:cs="Arial"/>
                <w:b/>
                <w:bCs/>
                <w:color w:val="00B050"/>
                <w:sz w:val="16"/>
                <w:szCs w:val="16"/>
              </w:rPr>
              <w:t>Fully Achieved</w:t>
            </w:r>
          </w:p>
          <w:p w:rsidR="00C739A5" w:rsidRDefault="00C739A5" w:rsidP="001363EE">
            <w:pPr>
              <w:keepNext/>
              <w:keepLines/>
              <w:jc w:val="center"/>
              <w:rPr>
                <w:rFonts w:cs="Arial"/>
                <w:b/>
                <w:bCs/>
                <w:color w:val="808080"/>
                <w:sz w:val="16"/>
                <w:szCs w:val="16"/>
              </w:rPr>
            </w:pPr>
          </w:p>
          <w:p w:rsidR="00C739A5" w:rsidRDefault="00C739A5" w:rsidP="001363EE">
            <w:pPr>
              <w:keepNext/>
              <w:keepLines/>
              <w:jc w:val="center"/>
              <w:rPr>
                <w:rFonts w:cs="Arial"/>
                <w:b/>
                <w:bCs/>
                <w:color w:val="808080"/>
                <w:sz w:val="16"/>
                <w:szCs w:val="16"/>
              </w:rPr>
            </w:pPr>
          </w:p>
          <w:p w:rsidR="00C739A5" w:rsidRDefault="00C739A5" w:rsidP="001363EE">
            <w:pPr>
              <w:keepNext/>
              <w:keepLines/>
              <w:jc w:val="center"/>
              <w:rPr>
                <w:rFonts w:cs="Arial"/>
                <w:b/>
                <w:bCs/>
                <w:color w:val="808080"/>
                <w:sz w:val="16"/>
                <w:szCs w:val="16"/>
              </w:rPr>
            </w:pPr>
          </w:p>
          <w:p w:rsidR="00C739A5" w:rsidRDefault="00C739A5" w:rsidP="001363EE">
            <w:pPr>
              <w:keepNext/>
              <w:keepLines/>
              <w:jc w:val="center"/>
              <w:rPr>
                <w:rFonts w:cs="Arial"/>
                <w:b/>
                <w:bCs/>
                <w:color w:val="808080"/>
                <w:sz w:val="16"/>
                <w:szCs w:val="16"/>
              </w:rPr>
            </w:pPr>
          </w:p>
          <w:p w:rsidR="00C739A5" w:rsidRDefault="00C739A5" w:rsidP="001363EE">
            <w:pPr>
              <w:keepNext/>
              <w:keepLines/>
              <w:jc w:val="center"/>
              <w:rPr>
                <w:rFonts w:cs="Arial"/>
                <w:b/>
                <w:bCs/>
                <w:color w:val="808080"/>
                <w:sz w:val="16"/>
                <w:szCs w:val="16"/>
              </w:rPr>
            </w:pPr>
          </w:p>
          <w:p w:rsidR="00C739A5" w:rsidRPr="000C1926" w:rsidRDefault="00C739A5" w:rsidP="001363EE">
            <w:pPr>
              <w:keepNext/>
              <w:keepLines/>
              <w:jc w:val="center"/>
              <w:rPr>
                <w:rFonts w:cs="Arial"/>
                <w:b/>
                <w:bCs/>
                <w:color w:val="808080"/>
                <w:sz w:val="16"/>
                <w:szCs w:val="16"/>
              </w:rPr>
            </w:pPr>
          </w:p>
        </w:tc>
      </w:tr>
      <w:tr w:rsidR="00C739A5" w:rsidRPr="008539B9" w:rsidTr="001363EE">
        <w:trPr>
          <w:cantSplit/>
        </w:trPr>
        <w:tc>
          <w:tcPr>
            <w:tcW w:w="1091" w:type="pct"/>
            <w:tcBorders>
              <w:top w:val="nil"/>
              <w:left w:val="single" w:sz="4" w:space="0" w:color="auto"/>
              <w:bottom w:val="single" w:sz="4" w:space="0" w:color="auto"/>
            </w:tcBorders>
            <w:shd w:val="clear" w:color="auto" w:fill="auto"/>
          </w:tcPr>
          <w:p w:rsidR="00C739A5" w:rsidRPr="00BD2F1C" w:rsidRDefault="00C739A5" w:rsidP="001363EE">
            <w:pPr>
              <w:rPr>
                <w:rFonts w:cs="Arial"/>
                <w:sz w:val="16"/>
                <w:szCs w:val="16"/>
              </w:rPr>
            </w:pPr>
            <w:r w:rsidRPr="00B27A6A">
              <w:rPr>
                <w:rFonts w:cs="Arial"/>
                <w:sz w:val="16"/>
                <w:szCs w:val="16"/>
              </w:rPr>
              <w:t xml:space="preserve">Hague filings and renewals </w:t>
            </w:r>
          </w:p>
        </w:tc>
        <w:tc>
          <w:tcPr>
            <w:tcW w:w="1310" w:type="pct"/>
            <w:tcBorders>
              <w:top w:val="nil"/>
              <w:bottom w:val="single" w:sz="4" w:space="0" w:color="auto"/>
            </w:tcBorders>
            <w:shd w:val="clear" w:color="auto" w:fill="auto"/>
          </w:tcPr>
          <w:p w:rsidR="00C739A5" w:rsidRPr="000C1926" w:rsidRDefault="00C739A5" w:rsidP="001363EE">
            <w:pPr>
              <w:rPr>
                <w:rFonts w:cs="Arial"/>
                <w:i/>
                <w:color w:val="002060"/>
                <w:sz w:val="16"/>
                <w:szCs w:val="16"/>
              </w:rPr>
            </w:pPr>
            <w:r w:rsidRPr="000C1926">
              <w:rPr>
                <w:rFonts w:cs="Arial"/>
                <w:i/>
                <w:color w:val="002060"/>
                <w:sz w:val="16"/>
                <w:szCs w:val="16"/>
              </w:rPr>
              <w:t>Updated Baseline end 2013:  Applications:</w:t>
            </w:r>
          </w:p>
          <w:p w:rsidR="00C739A5" w:rsidRPr="000C1926" w:rsidRDefault="00C739A5" w:rsidP="001363EE">
            <w:pPr>
              <w:rPr>
                <w:rFonts w:cs="Arial"/>
                <w:i/>
                <w:color w:val="002060"/>
                <w:sz w:val="16"/>
                <w:szCs w:val="16"/>
              </w:rPr>
            </w:pPr>
            <w:r w:rsidRPr="000C1926">
              <w:rPr>
                <w:rFonts w:cs="Arial"/>
                <w:i/>
                <w:color w:val="002060"/>
                <w:sz w:val="16"/>
                <w:szCs w:val="16"/>
              </w:rPr>
              <w:t>2,990</w:t>
            </w:r>
          </w:p>
          <w:p w:rsidR="00C739A5" w:rsidRPr="000C1926" w:rsidRDefault="00C739A5" w:rsidP="001363EE">
            <w:pPr>
              <w:rPr>
                <w:rFonts w:cs="Arial"/>
                <w:i/>
                <w:color w:val="002060"/>
                <w:sz w:val="16"/>
                <w:szCs w:val="16"/>
              </w:rPr>
            </w:pPr>
            <w:r w:rsidRPr="000C1926">
              <w:rPr>
                <w:rFonts w:cs="Arial"/>
                <w:i/>
                <w:color w:val="002060"/>
                <w:sz w:val="16"/>
                <w:szCs w:val="16"/>
              </w:rPr>
              <w:t>Designs contained:   13,172</w:t>
            </w:r>
          </w:p>
          <w:p w:rsidR="00C739A5" w:rsidRPr="000C1926" w:rsidRDefault="00C739A5" w:rsidP="001363EE">
            <w:pPr>
              <w:rPr>
                <w:rFonts w:cs="Arial"/>
                <w:i/>
                <w:color w:val="002060"/>
                <w:sz w:val="16"/>
                <w:szCs w:val="16"/>
              </w:rPr>
            </w:pPr>
            <w:r w:rsidRPr="000C1926">
              <w:rPr>
                <w:rFonts w:cs="Arial"/>
                <w:i/>
                <w:color w:val="002060"/>
                <w:sz w:val="16"/>
                <w:szCs w:val="16"/>
              </w:rPr>
              <w:t>Renewals:  2,859</w:t>
            </w:r>
          </w:p>
          <w:p w:rsidR="00C739A5" w:rsidRPr="00B27A6A" w:rsidRDefault="00C739A5" w:rsidP="001363EE">
            <w:pPr>
              <w:rPr>
                <w:rFonts w:cs="Arial"/>
                <w:i/>
                <w:sz w:val="16"/>
                <w:szCs w:val="16"/>
              </w:rPr>
            </w:pPr>
            <w:r w:rsidRPr="000C1926">
              <w:rPr>
                <w:rFonts w:cs="Arial"/>
                <w:i/>
                <w:color w:val="002060"/>
                <w:sz w:val="16"/>
                <w:szCs w:val="16"/>
              </w:rPr>
              <w:t>(2013)</w:t>
            </w:r>
          </w:p>
          <w:p w:rsidR="00C739A5" w:rsidRPr="00BD2F1C" w:rsidRDefault="00C739A5" w:rsidP="001363EE">
            <w:pPr>
              <w:rPr>
                <w:rFonts w:cs="Arial"/>
                <w:i/>
                <w:sz w:val="16"/>
                <w:szCs w:val="16"/>
              </w:rPr>
            </w:pPr>
          </w:p>
          <w:p w:rsidR="00C739A5" w:rsidRPr="00B27A6A" w:rsidRDefault="00C739A5" w:rsidP="001363EE">
            <w:pPr>
              <w:rPr>
                <w:rFonts w:cs="Arial"/>
                <w:i/>
                <w:sz w:val="16"/>
                <w:szCs w:val="16"/>
              </w:rPr>
            </w:pPr>
            <w:r w:rsidRPr="00B27A6A">
              <w:rPr>
                <w:rFonts w:cs="Arial"/>
                <w:i/>
                <w:sz w:val="16"/>
                <w:szCs w:val="16"/>
              </w:rPr>
              <w:t xml:space="preserve">Original Baseline P&amp;B 2014/15: Applications: 2,604 </w:t>
            </w:r>
          </w:p>
          <w:p w:rsidR="00C739A5" w:rsidRPr="00B27A6A" w:rsidRDefault="00C739A5" w:rsidP="001363EE">
            <w:pPr>
              <w:rPr>
                <w:rFonts w:cs="Arial"/>
                <w:i/>
                <w:sz w:val="16"/>
                <w:szCs w:val="16"/>
              </w:rPr>
            </w:pPr>
            <w:r w:rsidRPr="00B27A6A">
              <w:rPr>
                <w:rFonts w:cs="Arial"/>
                <w:i/>
                <w:sz w:val="16"/>
                <w:szCs w:val="16"/>
              </w:rPr>
              <w:t>Designs contained: 12,454</w:t>
            </w:r>
            <w:r w:rsidRPr="00B27A6A">
              <w:rPr>
                <w:rStyle w:val="FootnoteReference"/>
                <w:rFonts w:cs="Arial"/>
                <w:i/>
                <w:sz w:val="16"/>
                <w:szCs w:val="16"/>
              </w:rPr>
              <w:footnoteReference w:id="36"/>
            </w:r>
            <w:r w:rsidRPr="00B27A6A">
              <w:rPr>
                <w:rFonts w:cs="Arial"/>
                <w:i/>
                <w:sz w:val="16"/>
                <w:szCs w:val="16"/>
              </w:rPr>
              <w:t xml:space="preserve"> </w:t>
            </w:r>
          </w:p>
          <w:p w:rsidR="00C739A5" w:rsidRPr="00B27A6A" w:rsidRDefault="00C739A5" w:rsidP="001363EE">
            <w:pPr>
              <w:rPr>
                <w:rFonts w:cs="Arial"/>
                <w:i/>
                <w:sz w:val="16"/>
                <w:szCs w:val="16"/>
              </w:rPr>
            </w:pPr>
            <w:r w:rsidRPr="00BD2F1C">
              <w:rPr>
                <w:rFonts w:cs="Arial"/>
                <w:i/>
                <w:sz w:val="16"/>
                <w:szCs w:val="16"/>
              </w:rPr>
              <w:t>Renewals</w:t>
            </w:r>
            <w:r w:rsidRPr="00EF19ED">
              <w:rPr>
                <w:rFonts w:cs="Arial"/>
                <w:i/>
                <w:sz w:val="16"/>
                <w:szCs w:val="16"/>
              </w:rPr>
              <w:t>:</w:t>
            </w:r>
            <w:r w:rsidRPr="00B27A6A">
              <w:rPr>
                <w:rFonts w:cs="Arial"/>
                <w:i/>
                <w:sz w:val="16"/>
                <w:szCs w:val="16"/>
              </w:rPr>
              <w:t xml:space="preserve"> 3,120 </w:t>
            </w:r>
          </w:p>
          <w:p w:rsidR="00C739A5" w:rsidRPr="00B27A6A" w:rsidRDefault="00C739A5" w:rsidP="001363EE">
            <w:pPr>
              <w:rPr>
                <w:rFonts w:cs="Arial"/>
                <w:sz w:val="16"/>
                <w:szCs w:val="16"/>
              </w:rPr>
            </w:pPr>
            <w:r w:rsidRPr="00B27A6A">
              <w:rPr>
                <w:rFonts w:cs="Arial"/>
                <w:i/>
                <w:sz w:val="16"/>
                <w:szCs w:val="16"/>
              </w:rPr>
              <w:t>(2012)</w:t>
            </w:r>
          </w:p>
        </w:tc>
        <w:tc>
          <w:tcPr>
            <w:tcW w:w="945" w:type="pct"/>
            <w:tcBorders>
              <w:top w:val="nil"/>
              <w:bottom w:val="single" w:sz="4" w:space="0" w:color="auto"/>
            </w:tcBorders>
            <w:shd w:val="clear" w:color="auto" w:fill="auto"/>
            <w:tcMar>
              <w:top w:w="110" w:type="dxa"/>
            </w:tcMar>
          </w:tcPr>
          <w:p w:rsidR="00C739A5" w:rsidRPr="00B41908" w:rsidRDefault="00C739A5" w:rsidP="001363EE">
            <w:pPr>
              <w:rPr>
                <w:rFonts w:cs="Arial"/>
                <w:sz w:val="16"/>
                <w:szCs w:val="16"/>
              </w:rPr>
            </w:pPr>
            <w:r w:rsidRPr="00B41908">
              <w:rPr>
                <w:rFonts w:cs="Arial"/>
                <w:sz w:val="16"/>
                <w:szCs w:val="16"/>
              </w:rPr>
              <w:t>2014</w:t>
            </w:r>
            <w:r>
              <w:rPr>
                <w:rStyle w:val="FootnoteReference"/>
                <w:rFonts w:cs="Arial"/>
                <w:sz w:val="16"/>
                <w:szCs w:val="16"/>
              </w:rPr>
              <w:footnoteReference w:id="37"/>
            </w:r>
            <w:r w:rsidRPr="00B41908">
              <w:rPr>
                <w:rFonts w:cs="Arial"/>
                <w:sz w:val="16"/>
                <w:szCs w:val="16"/>
              </w:rPr>
              <w:t xml:space="preserve">: </w:t>
            </w:r>
          </w:p>
          <w:p w:rsidR="00C739A5" w:rsidRPr="00B41908" w:rsidRDefault="00C739A5" w:rsidP="001363EE">
            <w:pPr>
              <w:rPr>
                <w:rFonts w:cs="Arial"/>
                <w:sz w:val="16"/>
                <w:szCs w:val="16"/>
              </w:rPr>
            </w:pPr>
            <w:r w:rsidRPr="00B41908">
              <w:rPr>
                <w:rFonts w:cs="Arial"/>
                <w:sz w:val="16"/>
                <w:szCs w:val="16"/>
              </w:rPr>
              <w:t xml:space="preserve">Applications: </w:t>
            </w:r>
          </w:p>
          <w:p w:rsidR="00C739A5" w:rsidRPr="00B41908" w:rsidRDefault="00C739A5" w:rsidP="001363EE">
            <w:pPr>
              <w:rPr>
                <w:rFonts w:cs="Arial"/>
                <w:sz w:val="16"/>
                <w:szCs w:val="16"/>
              </w:rPr>
            </w:pPr>
            <w:r w:rsidRPr="00B41908">
              <w:rPr>
                <w:rFonts w:cs="Arial"/>
                <w:sz w:val="16"/>
                <w:szCs w:val="16"/>
              </w:rPr>
              <w:t xml:space="preserve">33.9% increase </w:t>
            </w:r>
          </w:p>
          <w:p w:rsidR="00C739A5" w:rsidRDefault="00C739A5" w:rsidP="001363EE">
            <w:pPr>
              <w:spacing w:before="60"/>
              <w:rPr>
                <w:rFonts w:cs="Arial"/>
                <w:sz w:val="16"/>
                <w:szCs w:val="16"/>
              </w:rPr>
            </w:pPr>
            <w:r w:rsidRPr="00B41908">
              <w:rPr>
                <w:rFonts w:cs="Arial"/>
                <w:sz w:val="16"/>
                <w:szCs w:val="16"/>
              </w:rPr>
              <w:t>Designs contained: 33% increase</w:t>
            </w:r>
          </w:p>
          <w:p w:rsidR="00C739A5" w:rsidRPr="00B41908" w:rsidRDefault="00C739A5" w:rsidP="001363EE">
            <w:pPr>
              <w:spacing w:before="60"/>
              <w:rPr>
                <w:rFonts w:cs="Arial"/>
                <w:sz w:val="16"/>
                <w:szCs w:val="16"/>
              </w:rPr>
            </w:pPr>
            <w:r w:rsidRPr="00B41908">
              <w:rPr>
                <w:rFonts w:cs="Arial"/>
                <w:sz w:val="16"/>
                <w:szCs w:val="16"/>
              </w:rPr>
              <w:t xml:space="preserve">Renewals: </w:t>
            </w:r>
          </w:p>
          <w:p w:rsidR="00C739A5" w:rsidRPr="00B41908" w:rsidRDefault="00C739A5" w:rsidP="001363EE">
            <w:pPr>
              <w:rPr>
                <w:rFonts w:cs="Arial"/>
                <w:sz w:val="16"/>
                <w:szCs w:val="16"/>
              </w:rPr>
            </w:pPr>
            <w:r w:rsidRPr="00B41908">
              <w:rPr>
                <w:rFonts w:cs="Arial"/>
                <w:sz w:val="16"/>
                <w:szCs w:val="16"/>
              </w:rPr>
              <w:t xml:space="preserve">2.9% decrease </w:t>
            </w:r>
          </w:p>
          <w:p w:rsidR="00C739A5" w:rsidRPr="00B41908" w:rsidRDefault="00C739A5" w:rsidP="001363EE">
            <w:pPr>
              <w:rPr>
                <w:rFonts w:cs="Arial"/>
                <w:sz w:val="16"/>
                <w:szCs w:val="16"/>
              </w:rPr>
            </w:pPr>
          </w:p>
          <w:p w:rsidR="00C739A5" w:rsidRPr="00B41908" w:rsidRDefault="00C739A5" w:rsidP="001363EE">
            <w:pPr>
              <w:rPr>
                <w:rFonts w:cs="Arial"/>
                <w:sz w:val="16"/>
                <w:szCs w:val="16"/>
              </w:rPr>
            </w:pPr>
            <w:r w:rsidRPr="00B41908">
              <w:rPr>
                <w:rFonts w:cs="Arial"/>
                <w:sz w:val="16"/>
                <w:szCs w:val="16"/>
              </w:rPr>
              <w:t xml:space="preserve">2015: </w:t>
            </w:r>
          </w:p>
          <w:p w:rsidR="00C739A5" w:rsidRPr="00B41908" w:rsidRDefault="00C739A5" w:rsidP="001363EE">
            <w:pPr>
              <w:rPr>
                <w:rFonts w:cs="Arial"/>
                <w:sz w:val="16"/>
                <w:szCs w:val="16"/>
              </w:rPr>
            </w:pPr>
            <w:r w:rsidRPr="00B41908">
              <w:rPr>
                <w:rFonts w:cs="Arial"/>
                <w:sz w:val="16"/>
                <w:szCs w:val="16"/>
              </w:rPr>
              <w:t xml:space="preserve">Applications:  </w:t>
            </w:r>
          </w:p>
          <w:p w:rsidR="00C739A5" w:rsidRDefault="00C739A5" w:rsidP="001363EE">
            <w:pPr>
              <w:rPr>
                <w:rFonts w:cs="Arial"/>
                <w:sz w:val="16"/>
                <w:szCs w:val="16"/>
              </w:rPr>
            </w:pPr>
            <w:r w:rsidRPr="00B41908">
              <w:rPr>
                <w:rFonts w:cs="Arial"/>
                <w:sz w:val="16"/>
                <w:szCs w:val="16"/>
              </w:rPr>
              <w:t xml:space="preserve">23.4% increase </w:t>
            </w:r>
          </w:p>
          <w:p w:rsidR="00C739A5" w:rsidRDefault="00C739A5" w:rsidP="001363EE">
            <w:pPr>
              <w:spacing w:before="60" w:after="60"/>
              <w:rPr>
                <w:rFonts w:cs="Arial"/>
                <w:sz w:val="16"/>
                <w:szCs w:val="16"/>
              </w:rPr>
            </w:pPr>
            <w:r w:rsidRPr="00B41908">
              <w:rPr>
                <w:rFonts w:cs="Arial"/>
                <w:sz w:val="16"/>
                <w:szCs w:val="16"/>
              </w:rPr>
              <w:t xml:space="preserve">Designs contained:  23.5% increase </w:t>
            </w:r>
          </w:p>
          <w:p w:rsidR="00C739A5" w:rsidRPr="00B41908" w:rsidRDefault="00C739A5" w:rsidP="001363EE">
            <w:pPr>
              <w:rPr>
                <w:rFonts w:cs="Arial"/>
                <w:sz w:val="16"/>
                <w:szCs w:val="16"/>
              </w:rPr>
            </w:pPr>
            <w:r w:rsidRPr="00B41908">
              <w:rPr>
                <w:rFonts w:cs="Arial"/>
                <w:sz w:val="16"/>
                <w:szCs w:val="16"/>
              </w:rPr>
              <w:t xml:space="preserve">Renewals: </w:t>
            </w:r>
          </w:p>
          <w:p w:rsidR="00C739A5" w:rsidRDefault="00C739A5" w:rsidP="001363EE">
            <w:pPr>
              <w:rPr>
                <w:rFonts w:cs="Arial"/>
                <w:sz w:val="16"/>
                <w:szCs w:val="16"/>
              </w:rPr>
            </w:pPr>
            <w:r w:rsidRPr="00B41908">
              <w:rPr>
                <w:rFonts w:cs="Arial"/>
                <w:sz w:val="16"/>
                <w:szCs w:val="16"/>
              </w:rPr>
              <w:t>5.5% increase</w:t>
            </w:r>
          </w:p>
          <w:p w:rsidR="00C739A5" w:rsidRPr="008539B9" w:rsidRDefault="00C739A5" w:rsidP="001363EE">
            <w:pPr>
              <w:rPr>
                <w:rFonts w:cs="Arial"/>
                <w:sz w:val="16"/>
                <w:szCs w:val="16"/>
              </w:rPr>
            </w:pPr>
          </w:p>
        </w:tc>
        <w:tc>
          <w:tcPr>
            <w:tcW w:w="1145" w:type="pct"/>
            <w:tcBorders>
              <w:top w:val="nil"/>
              <w:bottom w:val="single" w:sz="4" w:space="0" w:color="auto"/>
            </w:tcBorders>
            <w:shd w:val="clear" w:color="auto" w:fill="FFFFFF"/>
            <w:tcMar>
              <w:top w:w="110" w:type="dxa"/>
            </w:tcMar>
          </w:tcPr>
          <w:p w:rsidR="00C739A5" w:rsidRDefault="00C739A5" w:rsidP="001363EE">
            <w:pPr>
              <w:rPr>
                <w:rFonts w:cs="Arial"/>
                <w:sz w:val="16"/>
                <w:szCs w:val="16"/>
              </w:rPr>
            </w:pPr>
            <w:r>
              <w:rPr>
                <w:rFonts w:cs="Arial"/>
                <w:sz w:val="16"/>
                <w:szCs w:val="16"/>
              </w:rPr>
              <w:t>2014:</w:t>
            </w:r>
          </w:p>
          <w:p w:rsidR="00C739A5" w:rsidRDefault="00C739A5" w:rsidP="001363EE">
            <w:pPr>
              <w:rPr>
                <w:rFonts w:cs="Arial"/>
                <w:sz w:val="16"/>
                <w:szCs w:val="16"/>
              </w:rPr>
            </w:pPr>
            <w:r>
              <w:rPr>
                <w:rFonts w:cs="Arial"/>
                <w:sz w:val="16"/>
                <w:szCs w:val="16"/>
              </w:rPr>
              <w:t>Applications:</w:t>
            </w:r>
          </w:p>
          <w:p w:rsidR="00C739A5" w:rsidRDefault="00C739A5" w:rsidP="001363EE">
            <w:pPr>
              <w:rPr>
                <w:rFonts w:cs="Arial"/>
                <w:sz w:val="16"/>
                <w:szCs w:val="16"/>
              </w:rPr>
            </w:pPr>
            <w:r>
              <w:rPr>
                <w:rFonts w:cs="Arial"/>
                <w:sz w:val="16"/>
                <w:szCs w:val="16"/>
              </w:rPr>
              <w:t>2.2% decrease (2,924)</w:t>
            </w:r>
          </w:p>
          <w:p w:rsidR="00C739A5" w:rsidRDefault="00C739A5" w:rsidP="001363EE">
            <w:pPr>
              <w:spacing w:before="60"/>
              <w:rPr>
                <w:rFonts w:cs="Arial"/>
                <w:sz w:val="16"/>
                <w:szCs w:val="16"/>
              </w:rPr>
            </w:pPr>
            <w:r>
              <w:rPr>
                <w:rFonts w:cs="Arial"/>
                <w:sz w:val="16"/>
                <w:szCs w:val="16"/>
              </w:rPr>
              <w:t>Designs contained:</w:t>
            </w:r>
          </w:p>
          <w:p w:rsidR="00C739A5" w:rsidRDefault="00C739A5" w:rsidP="001363EE">
            <w:pPr>
              <w:spacing w:after="60"/>
              <w:rPr>
                <w:rFonts w:cs="Arial"/>
                <w:sz w:val="16"/>
                <w:szCs w:val="16"/>
              </w:rPr>
            </w:pPr>
            <w:r>
              <w:rPr>
                <w:rFonts w:cs="Arial"/>
                <w:sz w:val="16"/>
                <w:szCs w:val="16"/>
              </w:rPr>
              <w:t>9.6% increase (14,441)</w:t>
            </w:r>
          </w:p>
          <w:p w:rsidR="00C739A5" w:rsidRDefault="00C739A5" w:rsidP="001363EE">
            <w:pPr>
              <w:rPr>
                <w:rFonts w:cs="Arial"/>
                <w:sz w:val="16"/>
                <w:szCs w:val="16"/>
              </w:rPr>
            </w:pPr>
            <w:r>
              <w:rPr>
                <w:rFonts w:cs="Arial"/>
                <w:sz w:val="16"/>
                <w:szCs w:val="16"/>
              </w:rPr>
              <w:t>Renewals:</w:t>
            </w:r>
          </w:p>
          <w:p w:rsidR="00C739A5" w:rsidRDefault="00C739A5" w:rsidP="001363EE">
            <w:pPr>
              <w:rPr>
                <w:rFonts w:cs="Arial"/>
                <w:sz w:val="16"/>
                <w:szCs w:val="16"/>
              </w:rPr>
            </w:pPr>
            <w:r>
              <w:rPr>
                <w:rFonts w:cs="Arial"/>
                <w:sz w:val="16"/>
                <w:szCs w:val="16"/>
              </w:rPr>
              <w:t>5.5% decrease (2,703)</w:t>
            </w:r>
          </w:p>
          <w:p w:rsidR="00C739A5" w:rsidRDefault="00C739A5" w:rsidP="001363EE">
            <w:pPr>
              <w:rPr>
                <w:rFonts w:cs="Arial"/>
                <w:sz w:val="16"/>
                <w:szCs w:val="16"/>
              </w:rPr>
            </w:pPr>
          </w:p>
          <w:p w:rsidR="00C739A5" w:rsidRDefault="00C739A5" w:rsidP="001363EE">
            <w:pPr>
              <w:rPr>
                <w:rFonts w:cs="Arial"/>
                <w:sz w:val="16"/>
                <w:szCs w:val="16"/>
              </w:rPr>
            </w:pPr>
            <w:r>
              <w:rPr>
                <w:rFonts w:cs="Arial"/>
                <w:sz w:val="16"/>
                <w:szCs w:val="16"/>
              </w:rPr>
              <w:t>2015</w:t>
            </w:r>
            <w:r>
              <w:rPr>
                <w:rStyle w:val="FootnoteReference"/>
                <w:rFonts w:cs="Arial"/>
                <w:sz w:val="16"/>
                <w:szCs w:val="16"/>
              </w:rPr>
              <w:footnoteReference w:id="38"/>
            </w:r>
            <w:r>
              <w:rPr>
                <w:rFonts w:cs="Arial"/>
                <w:sz w:val="16"/>
                <w:szCs w:val="16"/>
              </w:rPr>
              <w:t>:</w:t>
            </w:r>
          </w:p>
          <w:p w:rsidR="00C739A5" w:rsidRDefault="00C739A5" w:rsidP="001363EE">
            <w:pPr>
              <w:rPr>
                <w:rFonts w:cs="Arial"/>
                <w:sz w:val="16"/>
                <w:szCs w:val="16"/>
              </w:rPr>
            </w:pPr>
            <w:r>
              <w:rPr>
                <w:rFonts w:cs="Arial"/>
                <w:sz w:val="16"/>
                <w:szCs w:val="16"/>
              </w:rPr>
              <w:t>Applications:</w:t>
            </w:r>
          </w:p>
          <w:p w:rsidR="00C739A5" w:rsidRDefault="00C739A5" w:rsidP="001363EE">
            <w:pPr>
              <w:spacing w:after="60"/>
              <w:rPr>
                <w:rFonts w:cs="Arial"/>
                <w:sz w:val="16"/>
                <w:szCs w:val="16"/>
              </w:rPr>
            </w:pPr>
            <w:r>
              <w:rPr>
                <w:rFonts w:cs="Arial"/>
                <w:sz w:val="16"/>
                <w:szCs w:val="16"/>
              </w:rPr>
              <w:t>2.7% increase above the 2014 target (4,111)</w:t>
            </w:r>
          </w:p>
          <w:p w:rsidR="00C739A5" w:rsidRDefault="00C739A5" w:rsidP="001363EE">
            <w:pPr>
              <w:rPr>
                <w:rFonts w:cs="Arial"/>
                <w:sz w:val="16"/>
                <w:szCs w:val="16"/>
              </w:rPr>
            </w:pPr>
            <w:r>
              <w:rPr>
                <w:rFonts w:cs="Arial"/>
                <w:sz w:val="16"/>
                <w:szCs w:val="16"/>
              </w:rPr>
              <w:t>Designs contained:</w:t>
            </w:r>
          </w:p>
          <w:p w:rsidR="00C739A5" w:rsidRDefault="00C739A5" w:rsidP="001363EE">
            <w:pPr>
              <w:spacing w:after="60"/>
              <w:rPr>
                <w:rFonts w:cs="Arial"/>
                <w:sz w:val="16"/>
                <w:szCs w:val="16"/>
              </w:rPr>
            </w:pPr>
            <w:r>
              <w:rPr>
                <w:rFonts w:cs="Arial"/>
                <w:sz w:val="16"/>
                <w:szCs w:val="16"/>
              </w:rPr>
              <w:t>-6.2% decrease below the 2014 target (16,435)</w:t>
            </w:r>
          </w:p>
          <w:p w:rsidR="00C739A5" w:rsidRDefault="00C739A5" w:rsidP="001363EE">
            <w:pPr>
              <w:rPr>
                <w:rFonts w:cs="Arial"/>
                <w:sz w:val="16"/>
                <w:szCs w:val="16"/>
              </w:rPr>
            </w:pPr>
            <w:r>
              <w:rPr>
                <w:rFonts w:cs="Arial"/>
                <w:sz w:val="16"/>
                <w:szCs w:val="16"/>
              </w:rPr>
              <w:t>Renewals:</w:t>
            </w:r>
          </w:p>
          <w:p w:rsidR="00C739A5" w:rsidRDefault="00C739A5" w:rsidP="001363EE">
            <w:pPr>
              <w:rPr>
                <w:rFonts w:cs="Arial"/>
                <w:sz w:val="16"/>
                <w:szCs w:val="16"/>
              </w:rPr>
            </w:pPr>
            <w:r>
              <w:rPr>
                <w:rFonts w:cs="Arial"/>
                <w:sz w:val="16"/>
                <w:szCs w:val="16"/>
              </w:rPr>
              <w:t>8.57</w:t>
            </w:r>
            <w:r w:rsidRPr="00B41908">
              <w:rPr>
                <w:rFonts w:cs="Arial"/>
                <w:sz w:val="16"/>
                <w:szCs w:val="16"/>
              </w:rPr>
              <w:t xml:space="preserve">% </w:t>
            </w:r>
            <w:r>
              <w:rPr>
                <w:rFonts w:cs="Arial"/>
                <w:sz w:val="16"/>
                <w:szCs w:val="16"/>
              </w:rPr>
              <w:t>in</w:t>
            </w:r>
            <w:r w:rsidRPr="00B41908">
              <w:rPr>
                <w:rFonts w:cs="Arial"/>
                <w:sz w:val="16"/>
                <w:szCs w:val="16"/>
              </w:rPr>
              <w:t>crease</w:t>
            </w:r>
            <w:r>
              <w:rPr>
                <w:rFonts w:cs="Arial"/>
                <w:sz w:val="16"/>
                <w:szCs w:val="16"/>
              </w:rPr>
              <w:t xml:space="preserve"> above the 2014 target (3,194)</w:t>
            </w:r>
          </w:p>
          <w:p w:rsidR="00C739A5" w:rsidRPr="008539B9" w:rsidRDefault="00C739A5" w:rsidP="001363EE">
            <w:pPr>
              <w:rPr>
                <w:rFonts w:cs="Arial"/>
                <w:sz w:val="16"/>
                <w:szCs w:val="16"/>
              </w:rPr>
            </w:pPr>
          </w:p>
        </w:tc>
        <w:tc>
          <w:tcPr>
            <w:tcW w:w="509" w:type="pct"/>
            <w:tcBorders>
              <w:top w:val="nil"/>
              <w:bottom w:val="single" w:sz="4" w:space="0" w:color="auto"/>
              <w:right w:val="single" w:sz="4" w:space="0" w:color="auto"/>
            </w:tcBorders>
            <w:shd w:val="clear" w:color="auto" w:fill="auto"/>
            <w:tcMar>
              <w:top w:w="110" w:type="dxa"/>
            </w:tcMar>
          </w:tcPr>
          <w:p w:rsidR="00C739A5" w:rsidRDefault="00C739A5" w:rsidP="001363EE">
            <w:pPr>
              <w:keepNext/>
              <w:keepLines/>
              <w:jc w:val="center"/>
              <w:rPr>
                <w:rFonts w:cs="Arial"/>
                <w:b/>
                <w:bCs/>
                <w:color w:val="FF0000"/>
                <w:sz w:val="16"/>
                <w:szCs w:val="16"/>
              </w:rPr>
            </w:pPr>
          </w:p>
          <w:p w:rsidR="00C739A5" w:rsidRDefault="00C739A5" w:rsidP="001363EE">
            <w:pPr>
              <w:keepNext/>
              <w:keepLines/>
              <w:jc w:val="center"/>
              <w:rPr>
                <w:rFonts w:cs="Arial"/>
                <w:b/>
                <w:bCs/>
                <w:color w:val="FF0000"/>
                <w:sz w:val="16"/>
                <w:szCs w:val="16"/>
              </w:rPr>
            </w:pPr>
            <w:r w:rsidRPr="001A4396">
              <w:rPr>
                <w:rFonts w:cs="Arial"/>
                <w:b/>
                <w:bCs/>
                <w:color w:val="FF0000"/>
                <w:sz w:val="16"/>
                <w:szCs w:val="16"/>
              </w:rPr>
              <w:t>Not Achieved</w:t>
            </w:r>
          </w:p>
          <w:p w:rsidR="00C739A5" w:rsidRPr="00F33B4F" w:rsidRDefault="00C739A5" w:rsidP="001363EE">
            <w:pPr>
              <w:keepNext/>
              <w:keepLines/>
              <w:spacing w:before="60"/>
              <w:jc w:val="center"/>
              <w:rPr>
                <w:rFonts w:cs="Arial"/>
                <w:b/>
                <w:bCs/>
                <w:color w:val="FF0000"/>
                <w:sz w:val="16"/>
                <w:szCs w:val="16"/>
              </w:rPr>
            </w:pPr>
            <w:r w:rsidRPr="001A4396">
              <w:rPr>
                <w:rFonts w:cs="Arial"/>
                <w:b/>
                <w:bCs/>
                <w:color w:val="FF0000"/>
                <w:sz w:val="16"/>
                <w:szCs w:val="16"/>
              </w:rPr>
              <w:t>Not Achieved</w:t>
            </w:r>
          </w:p>
          <w:p w:rsidR="00C739A5" w:rsidRPr="00297A80" w:rsidRDefault="00C739A5" w:rsidP="001363EE">
            <w:pPr>
              <w:keepNext/>
              <w:keepLines/>
              <w:spacing w:before="60"/>
              <w:jc w:val="center"/>
              <w:rPr>
                <w:rFonts w:cs="Arial"/>
                <w:b/>
                <w:bCs/>
                <w:color w:val="E36C0A" w:themeColor="accent6" w:themeShade="BF"/>
                <w:sz w:val="16"/>
                <w:szCs w:val="16"/>
              </w:rPr>
            </w:pPr>
            <w:r w:rsidRPr="00297A80">
              <w:rPr>
                <w:rFonts w:cs="Arial"/>
                <w:b/>
                <w:bCs/>
                <w:color w:val="E36C0A" w:themeColor="accent6" w:themeShade="BF"/>
                <w:sz w:val="16"/>
                <w:szCs w:val="16"/>
              </w:rPr>
              <w:t>Partially Achieved</w:t>
            </w:r>
          </w:p>
          <w:p w:rsidR="00C739A5" w:rsidRDefault="00C739A5" w:rsidP="001363EE">
            <w:pPr>
              <w:keepNext/>
              <w:keepLines/>
              <w:rPr>
                <w:rFonts w:cs="Arial"/>
                <w:b/>
                <w:bCs/>
                <w:color w:val="00B050"/>
                <w:sz w:val="16"/>
                <w:szCs w:val="16"/>
              </w:rPr>
            </w:pPr>
          </w:p>
          <w:p w:rsidR="00C739A5" w:rsidRDefault="00C739A5" w:rsidP="001363EE">
            <w:pPr>
              <w:keepNext/>
              <w:keepLines/>
              <w:jc w:val="center"/>
              <w:rPr>
                <w:rFonts w:cs="Arial"/>
                <w:b/>
                <w:bCs/>
                <w:color w:val="00B050"/>
                <w:sz w:val="16"/>
                <w:szCs w:val="16"/>
              </w:rPr>
            </w:pPr>
          </w:p>
          <w:p w:rsidR="00C739A5" w:rsidRDefault="00C739A5" w:rsidP="001363EE">
            <w:pPr>
              <w:keepNext/>
              <w:keepLines/>
              <w:jc w:val="center"/>
              <w:rPr>
                <w:rFonts w:cs="Arial"/>
                <w:b/>
                <w:bCs/>
                <w:color w:val="FF0000"/>
                <w:sz w:val="16"/>
                <w:szCs w:val="16"/>
              </w:rPr>
            </w:pPr>
            <w:r w:rsidRPr="001A4396">
              <w:rPr>
                <w:rFonts w:cs="Arial"/>
                <w:b/>
                <w:bCs/>
                <w:color w:val="FF0000"/>
                <w:sz w:val="16"/>
                <w:szCs w:val="16"/>
              </w:rPr>
              <w:t>Not Achieved</w:t>
            </w:r>
          </w:p>
          <w:p w:rsidR="00C739A5" w:rsidRDefault="00C739A5" w:rsidP="001363EE">
            <w:pPr>
              <w:keepNext/>
              <w:keepLines/>
              <w:spacing w:after="60"/>
              <w:jc w:val="center"/>
              <w:rPr>
                <w:rFonts w:cs="Arial"/>
                <w:b/>
                <w:bCs/>
                <w:color w:val="FF0000"/>
                <w:sz w:val="16"/>
                <w:szCs w:val="16"/>
              </w:rPr>
            </w:pPr>
          </w:p>
          <w:p w:rsidR="00C739A5" w:rsidRDefault="00C739A5" w:rsidP="001363EE">
            <w:pPr>
              <w:keepNext/>
              <w:keepLines/>
              <w:spacing w:after="60"/>
              <w:jc w:val="center"/>
              <w:rPr>
                <w:rFonts w:cs="Arial"/>
                <w:b/>
                <w:bCs/>
                <w:color w:val="FF0000"/>
                <w:sz w:val="16"/>
                <w:szCs w:val="16"/>
              </w:rPr>
            </w:pPr>
            <w:r w:rsidRPr="001A4396">
              <w:rPr>
                <w:rFonts w:cs="Arial"/>
                <w:b/>
                <w:bCs/>
                <w:color w:val="FF0000"/>
                <w:sz w:val="16"/>
                <w:szCs w:val="16"/>
              </w:rPr>
              <w:t>Not Achieved</w:t>
            </w:r>
          </w:p>
          <w:p w:rsidR="00C739A5" w:rsidRDefault="00C739A5" w:rsidP="001363EE">
            <w:pPr>
              <w:keepNext/>
              <w:keepLines/>
              <w:jc w:val="center"/>
              <w:rPr>
                <w:rFonts w:cs="Arial"/>
                <w:b/>
                <w:bCs/>
                <w:color w:val="00B050"/>
                <w:sz w:val="16"/>
                <w:szCs w:val="16"/>
              </w:rPr>
            </w:pPr>
          </w:p>
          <w:p w:rsidR="00C739A5" w:rsidRPr="000C1926" w:rsidRDefault="00C739A5" w:rsidP="001363EE">
            <w:pPr>
              <w:keepNext/>
              <w:keepLines/>
              <w:jc w:val="center"/>
              <w:rPr>
                <w:rFonts w:cs="Arial"/>
                <w:b/>
                <w:bCs/>
                <w:color w:val="808080"/>
                <w:sz w:val="16"/>
                <w:szCs w:val="16"/>
              </w:rPr>
            </w:pPr>
            <w:r w:rsidRPr="008E19E3">
              <w:rPr>
                <w:rFonts w:cs="Arial"/>
                <w:b/>
                <w:bCs/>
                <w:color w:val="00B050"/>
                <w:sz w:val="16"/>
                <w:szCs w:val="16"/>
              </w:rPr>
              <w:t>Fully Achieved</w:t>
            </w:r>
          </w:p>
        </w:tc>
      </w:tr>
    </w:tbl>
    <w:p w:rsidR="00C739A5" w:rsidRDefault="00C739A5" w:rsidP="001363EE"/>
    <w:p w:rsidR="00C739A5" w:rsidRDefault="00C739A5" w:rsidP="001363EE"/>
    <w:tbl>
      <w:tblPr>
        <w:tblW w:w="4888"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917"/>
        <w:gridCol w:w="152"/>
        <w:gridCol w:w="2248"/>
        <w:gridCol w:w="67"/>
        <w:gridCol w:w="1566"/>
        <w:gridCol w:w="77"/>
        <w:gridCol w:w="2336"/>
        <w:gridCol w:w="994"/>
      </w:tblGrid>
      <w:tr w:rsidR="00C739A5" w:rsidRPr="008539B9" w:rsidTr="00C739A5">
        <w:trPr>
          <w:cantSplit/>
        </w:trPr>
        <w:tc>
          <w:tcPr>
            <w:tcW w:w="5000" w:type="pct"/>
            <w:gridSpan w:val="8"/>
            <w:tcBorders>
              <w:top w:val="single" w:sz="4" w:space="0" w:color="auto"/>
              <w:bottom w:val="single" w:sz="4" w:space="0" w:color="auto"/>
            </w:tcBorders>
            <w:shd w:val="clear" w:color="auto" w:fill="C6D9F1" w:themeFill="text2" w:themeFillTint="33"/>
            <w:vAlign w:val="center"/>
          </w:tcPr>
          <w:p w:rsidR="00C739A5" w:rsidRPr="008539B9" w:rsidRDefault="00C739A5" w:rsidP="001363EE">
            <w:pPr>
              <w:keepNext/>
              <w:keepLines/>
              <w:tabs>
                <w:tab w:val="left" w:pos="1452"/>
              </w:tabs>
              <w:spacing w:before="120" w:after="120"/>
              <w:ind w:left="1452" w:hanging="1452"/>
              <w:rPr>
                <w:rFonts w:cs="Arial"/>
                <w:b/>
                <w:bCs/>
                <w:sz w:val="16"/>
                <w:szCs w:val="16"/>
              </w:rPr>
            </w:pPr>
            <w:r w:rsidRPr="008539B9">
              <w:rPr>
                <w:rFonts w:cs="Arial"/>
                <w:b/>
                <w:bCs/>
                <w:sz w:val="16"/>
                <w:szCs w:val="16"/>
              </w:rPr>
              <w:lastRenderedPageBreak/>
              <w:t>Expected Result:</w:t>
            </w:r>
            <w:r w:rsidRPr="008539B9">
              <w:rPr>
                <w:rFonts w:cs="Arial"/>
                <w:b/>
                <w:bCs/>
                <w:sz w:val="16"/>
                <w:szCs w:val="16"/>
              </w:rPr>
              <w:tab/>
            </w:r>
            <w:r w:rsidRPr="00D93226">
              <w:rPr>
                <w:rFonts w:cs="Arial"/>
                <w:color w:val="000000"/>
                <w:sz w:val="16"/>
                <w:szCs w:val="16"/>
              </w:rPr>
              <w:t xml:space="preserve"> II.5 Improved productivity and service quality of Hague operations</w:t>
            </w:r>
          </w:p>
        </w:tc>
      </w:tr>
      <w:tr w:rsidR="00C739A5" w:rsidRPr="00724EA5" w:rsidTr="00C739A5">
        <w:trPr>
          <w:cantSplit/>
        </w:trPr>
        <w:tc>
          <w:tcPr>
            <w:tcW w:w="1025" w:type="pct"/>
            <w:tcBorders>
              <w:top w:val="single" w:sz="4" w:space="0" w:color="auto"/>
            </w:tcBorders>
            <w:shd w:val="clear" w:color="auto" w:fill="auto"/>
            <w:vAlign w:val="center"/>
          </w:tcPr>
          <w:p w:rsidR="00C739A5" w:rsidRPr="00724EA5" w:rsidRDefault="00C739A5" w:rsidP="001363EE">
            <w:pPr>
              <w:keepNext/>
              <w:keepLines/>
              <w:rPr>
                <w:rFonts w:cs="Arial"/>
                <w:sz w:val="16"/>
                <w:szCs w:val="16"/>
              </w:rPr>
            </w:pPr>
            <w:r w:rsidRPr="00724EA5">
              <w:rPr>
                <w:rFonts w:cs="Arial"/>
                <w:b/>
                <w:bCs/>
                <w:sz w:val="16"/>
                <w:szCs w:val="16"/>
              </w:rPr>
              <w:t>Performance Indicators</w:t>
            </w:r>
          </w:p>
        </w:tc>
        <w:tc>
          <w:tcPr>
            <w:tcW w:w="1318" w:type="pct"/>
            <w:gridSpan w:val="3"/>
            <w:tcBorders>
              <w:top w:val="single" w:sz="4" w:space="0" w:color="auto"/>
            </w:tcBorders>
            <w:shd w:val="clear" w:color="auto" w:fill="auto"/>
            <w:vAlign w:val="center"/>
          </w:tcPr>
          <w:p w:rsidR="00C739A5" w:rsidRPr="00724EA5" w:rsidRDefault="00C739A5" w:rsidP="001363EE">
            <w:pPr>
              <w:keepNext/>
              <w:keepLines/>
              <w:rPr>
                <w:rFonts w:cs="Arial"/>
                <w:b/>
                <w:bCs/>
                <w:sz w:val="16"/>
                <w:szCs w:val="16"/>
              </w:rPr>
            </w:pPr>
            <w:r w:rsidRPr="00724EA5">
              <w:rPr>
                <w:rFonts w:cs="Arial"/>
                <w:b/>
                <w:bCs/>
                <w:sz w:val="16"/>
                <w:szCs w:val="16"/>
              </w:rPr>
              <w:t>Baselines</w:t>
            </w:r>
          </w:p>
        </w:tc>
        <w:tc>
          <w:tcPr>
            <w:tcW w:w="878" w:type="pct"/>
            <w:gridSpan w:val="2"/>
            <w:tcBorders>
              <w:top w:val="single" w:sz="4" w:space="0" w:color="auto"/>
            </w:tcBorders>
            <w:shd w:val="clear" w:color="auto" w:fill="auto"/>
            <w:tcMar>
              <w:top w:w="110" w:type="dxa"/>
            </w:tcMar>
            <w:vAlign w:val="center"/>
          </w:tcPr>
          <w:p w:rsidR="00C739A5" w:rsidRPr="00724EA5" w:rsidRDefault="00C739A5" w:rsidP="001363EE">
            <w:pPr>
              <w:keepNext/>
              <w:keepLines/>
              <w:rPr>
                <w:rFonts w:cs="Arial"/>
                <w:b/>
                <w:sz w:val="16"/>
                <w:szCs w:val="16"/>
              </w:rPr>
            </w:pPr>
            <w:r w:rsidRPr="00724EA5">
              <w:rPr>
                <w:rFonts w:cs="Arial"/>
                <w:b/>
                <w:sz w:val="16"/>
                <w:szCs w:val="16"/>
              </w:rPr>
              <w:t>Targets</w:t>
            </w:r>
          </w:p>
        </w:tc>
        <w:tc>
          <w:tcPr>
            <w:tcW w:w="1248" w:type="pct"/>
            <w:tcBorders>
              <w:top w:val="single" w:sz="4" w:space="0" w:color="auto"/>
            </w:tcBorders>
            <w:shd w:val="clear" w:color="auto" w:fill="FFFFFF"/>
            <w:tcMar>
              <w:top w:w="110" w:type="dxa"/>
            </w:tcMar>
            <w:vAlign w:val="center"/>
          </w:tcPr>
          <w:p w:rsidR="00C739A5" w:rsidRPr="00724EA5" w:rsidRDefault="00C739A5" w:rsidP="001363EE">
            <w:pPr>
              <w:keepNext/>
              <w:keepLines/>
              <w:rPr>
                <w:rFonts w:cs="Arial"/>
                <w:sz w:val="16"/>
                <w:szCs w:val="16"/>
              </w:rPr>
            </w:pPr>
            <w:r w:rsidRPr="00724EA5">
              <w:rPr>
                <w:rFonts w:cs="Arial"/>
                <w:b/>
                <w:bCs/>
                <w:sz w:val="16"/>
                <w:szCs w:val="16"/>
              </w:rPr>
              <w:t>Performance Data</w:t>
            </w:r>
          </w:p>
        </w:tc>
        <w:tc>
          <w:tcPr>
            <w:tcW w:w="531" w:type="pct"/>
            <w:tcBorders>
              <w:top w:val="single" w:sz="4" w:space="0" w:color="auto"/>
            </w:tcBorders>
            <w:shd w:val="clear" w:color="auto" w:fill="auto"/>
            <w:tcMar>
              <w:top w:w="110" w:type="dxa"/>
            </w:tcMar>
            <w:vAlign w:val="center"/>
          </w:tcPr>
          <w:p w:rsidR="00C739A5" w:rsidRPr="00724EA5" w:rsidRDefault="00C739A5" w:rsidP="001363EE">
            <w:pPr>
              <w:keepNext/>
              <w:keepLines/>
              <w:jc w:val="center"/>
              <w:rPr>
                <w:rFonts w:cs="Arial"/>
                <w:b/>
                <w:bCs/>
                <w:sz w:val="16"/>
                <w:szCs w:val="16"/>
              </w:rPr>
            </w:pPr>
            <w:r w:rsidRPr="00724EA5">
              <w:rPr>
                <w:rFonts w:cs="Arial"/>
                <w:b/>
                <w:bCs/>
                <w:sz w:val="16"/>
                <w:szCs w:val="16"/>
              </w:rPr>
              <w:t>TLS</w:t>
            </w:r>
          </w:p>
        </w:tc>
      </w:tr>
      <w:tr w:rsidR="00C739A5" w:rsidRPr="008539B9" w:rsidTr="00C739A5">
        <w:trPr>
          <w:cantSplit/>
        </w:trPr>
        <w:tc>
          <w:tcPr>
            <w:tcW w:w="1025" w:type="pct"/>
            <w:shd w:val="clear" w:color="auto" w:fill="auto"/>
          </w:tcPr>
          <w:p w:rsidR="00C739A5" w:rsidRPr="008539B9" w:rsidRDefault="00C739A5" w:rsidP="001363EE">
            <w:pPr>
              <w:keepNext/>
              <w:keepLines/>
              <w:rPr>
                <w:rFonts w:cs="Arial"/>
                <w:sz w:val="16"/>
                <w:szCs w:val="16"/>
              </w:rPr>
            </w:pPr>
            <w:r w:rsidRPr="00B41908">
              <w:rPr>
                <w:rFonts w:cs="Arial"/>
                <w:sz w:val="16"/>
                <w:szCs w:val="16"/>
              </w:rPr>
              <w:t>Predominance of the Geneva (1999) Act in the Hague system</w:t>
            </w:r>
          </w:p>
        </w:tc>
        <w:tc>
          <w:tcPr>
            <w:tcW w:w="1318" w:type="pct"/>
            <w:gridSpan w:val="3"/>
            <w:shd w:val="clear" w:color="auto" w:fill="auto"/>
          </w:tcPr>
          <w:p w:rsidR="00C739A5" w:rsidRPr="00733128" w:rsidRDefault="00C739A5" w:rsidP="001363EE">
            <w:pPr>
              <w:keepNext/>
              <w:keepLines/>
              <w:rPr>
                <w:rFonts w:cs="Arial"/>
                <w:color w:val="002060"/>
                <w:sz w:val="16"/>
                <w:szCs w:val="16"/>
              </w:rPr>
            </w:pPr>
            <w:r w:rsidRPr="008539B9">
              <w:rPr>
                <w:rFonts w:cs="Arial"/>
                <w:i/>
                <w:color w:val="002060"/>
                <w:sz w:val="16"/>
                <w:szCs w:val="16"/>
              </w:rPr>
              <w:t>Updated Baseline end 201</w:t>
            </w:r>
            <w:r>
              <w:rPr>
                <w:rFonts w:cs="Arial"/>
                <w:i/>
                <w:color w:val="002060"/>
                <w:sz w:val="16"/>
                <w:szCs w:val="16"/>
              </w:rPr>
              <w:t>3</w:t>
            </w:r>
            <w:r w:rsidRPr="008539B9">
              <w:rPr>
                <w:rFonts w:cs="Arial"/>
                <w:i/>
                <w:color w:val="002060"/>
                <w:sz w:val="16"/>
                <w:szCs w:val="16"/>
              </w:rPr>
              <w:t xml:space="preserve">:  </w:t>
            </w:r>
            <w:r>
              <w:rPr>
                <w:rFonts w:cs="Arial"/>
                <w:i/>
                <w:color w:val="002060"/>
                <w:sz w:val="16"/>
                <w:szCs w:val="16"/>
              </w:rPr>
              <w:t>T</w:t>
            </w:r>
            <w:r w:rsidRPr="00B41908">
              <w:rPr>
                <w:rFonts w:cs="Arial"/>
                <w:i/>
                <w:color w:val="002060"/>
                <w:sz w:val="16"/>
                <w:szCs w:val="16"/>
              </w:rPr>
              <w:t>hree consents were still required for the termination of the 1934 Act, and four Contracting Parties outside the EU and OAPI remained bound by the 1960 Act</w:t>
            </w:r>
          </w:p>
          <w:p w:rsidR="00C739A5" w:rsidRDefault="00C739A5" w:rsidP="001363EE">
            <w:pPr>
              <w:keepNext/>
              <w:keepLines/>
              <w:rPr>
                <w:rFonts w:cs="Arial"/>
                <w:color w:val="000000"/>
                <w:sz w:val="16"/>
                <w:szCs w:val="16"/>
              </w:rPr>
            </w:pPr>
          </w:p>
          <w:p w:rsidR="00C739A5" w:rsidRPr="008539B9" w:rsidRDefault="00C739A5" w:rsidP="001363EE">
            <w:pPr>
              <w:keepNext/>
              <w:keepLines/>
              <w:rPr>
                <w:rFonts w:cs="Arial"/>
                <w:i/>
                <w:color w:val="002060"/>
                <w:sz w:val="8"/>
                <w:szCs w:val="8"/>
              </w:rPr>
            </w:pPr>
          </w:p>
          <w:p w:rsidR="00C739A5" w:rsidRPr="008539B9" w:rsidRDefault="00C739A5" w:rsidP="001363EE">
            <w:pPr>
              <w:keepNext/>
              <w:keepLines/>
              <w:rPr>
                <w:rFonts w:cs="Arial"/>
                <w:color w:val="000000"/>
                <w:sz w:val="16"/>
                <w:szCs w:val="16"/>
              </w:rPr>
            </w:pPr>
            <w:r w:rsidRPr="008539B9">
              <w:rPr>
                <w:rFonts w:cs="Arial"/>
                <w:i/>
                <w:sz w:val="16"/>
                <w:szCs w:val="16"/>
              </w:rPr>
              <w:t>Original Baseline P&amp;B 201</w:t>
            </w:r>
            <w:r>
              <w:rPr>
                <w:rFonts w:cs="Arial"/>
                <w:i/>
                <w:sz w:val="16"/>
                <w:szCs w:val="16"/>
              </w:rPr>
              <w:t>4</w:t>
            </w:r>
            <w:r w:rsidRPr="008539B9">
              <w:rPr>
                <w:rFonts w:cs="Arial"/>
                <w:i/>
                <w:sz w:val="16"/>
                <w:szCs w:val="16"/>
              </w:rPr>
              <w:t>/1</w:t>
            </w:r>
            <w:r>
              <w:rPr>
                <w:rFonts w:cs="Arial"/>
                <w:i/>
                <w:sz w:val="16"/>
                <w:szCs w:val="16"/>
              </w:rPr>
              <w:t>5</w:t>
            </w:r>
            <w:r w:rsidRPr="008539B9">
              <w:rPr>
                <w:rFonts w:cs="Arial"/>
                <w:i/>
                <w:sz w:val="16"/>
                <w:szCs w:val="16"/>
              </w:rPr>
              <w:t>:</w:t>
            </w:r>
            <w:r>
              <w:rPr>
                <w:rFonts w:cs="Arial"/>
                <w:i/>
                <w:sz w:val="16"/>
                <w:szCs w:val="16"/>
              </w:rPr>
              <w:t xml:space="preserve"> </w:t>
            </w:r>
            <w:r w:rsidRPr="00B41908">
              <w:rPr>
                <w:rFonts w:cs="Arial"/>
                <w:i/>
                <w:color w:val="000000"/>
                <w:sz w:val="16"/>
                <w:szCs w:val="16"/>
              </w:rPr>
              <w:t xml:space="preserve">15 Hague members still not bound by the Geneva (1999) Act; </w:t>
            </w:r>
            <w:r>
              <w:rPr>
                <w:rFonts w:cs="Arial"/>
                <w:i/>
                <w:color w:val="000000"/>
                <w:sz w:val="16"/>
                <w:szCs w:val="16"/>
              </w:rPr>
              <w:t>Five</w:t>
            </w:r>
            <w:r w:rsidRPr="00B41908">
              <w:rPr>
                <w:rFonts w:cs="Arial"/>
                <w:i/>
                <w:color w:val="000000"/>
                <w:sz w:val="16"/>
                <w:szCs w:val="16"/>
              </w:rPr>
              <w:t xml:space="preserve"> consents to termination of the 1934 Act </w:t>
            </w:r>
            <w:r>
              <w:rPr>
                <w:rFonts w:cs="Arial"/>
                <w:i/>
                <w:color w:val="000000"/>
                <w:sz w:val="16"/>
                <w:szCs w:val="16"/>
              </w:rPr>
              <w:t>still outstanding (end 2012)</w:t>
            </w:r>
          </w:p>
        </w:tc>
        <w:tc>
          <w:tcPr>
            <w:tcW w:w="878" w:type="pct"/>
            <w:gridSpan w:val="2"/>
            <w:shd w:val="clear" w:color="auto" w:fill="auto"/>
            <w:tcMar>
              <w:top w:w="110" w:type="dxa"/>
            </w:tcMar>
          </w:tcPr>
          <w:p w:rsidR="00C739A5" w:rsidRPr="008539B9" w:rsidRDefault="00C739A5" w:rsidP="001363EE">
            <w:pPr>
              <w:keepNext/>
              <w:keepLines/>
              <w:rPr>
                <w:rFonts w:cs="Arial"/>
                <w:sz w:val="16"/>
                <w:szCs w:val="16"/>
                <w:lang w:bidi="th-TH"/>
              </w:rPr>
            </w:pPr>
            <w:r w:rsidRPr="00B41908">
              <w:rPr>
                <w:rFonts w:cs="Arial"/>
                <w:sz w:val="16"/>
                <w:szCs w:val="16"/>
                <w:lang w:bidi="th-TH"/>
              </w:rPr>
              <w:t>No (zero) countries bound only by the Hague (1960) Act outside the EU or OAPI; all the remaining consents (five) to termination of the 1934 Act received</w:t>
            </w:r>
          </w:p>
        </w:tc>
        <w:tc>
          <w:tcPr>
            <w:tcW w:w="1248" w:type="pct"/>
            <w:shd w:val="clear" w:color="auto" w:fill="FFFFFF"/>
            <w:tcMar>
              <w:top w:w="110" w:type="dxa"/>
            </w:tcMar>
          </w:tcPr>
          <w:p w:rsidR="00C739A5" w:rsidRPr="008539B9" w:rsidRDefault="00C739A5" w:rsidP="001363EE">
            <w:pPr>
              <w:keepNext/>
              <w:keepLines/>
              <w:rPr>
                <w:rFonts w:cs="Arial"/>
                <w:sz w:val="16"/>
                <w:szCs w:val="16"/>
                <w:lang w:bidi="th-TH"/>
              </w:rPr>
            </w:pPr>
            <w:r>
              <w:rPr>
                <w:rFonts w:cs="Arial"/>
                <w:sz w:val="16"/>
                <w:szCs w:val="16"/>
                <w:lang w:bidi="th-TH"/>
              </w:rPr>
              <w:t>One consent received with two more consents still required for the termination of the 1934 Act, and four Contracting Parties outside the EU and OAPI still bound only by the 1960 Act.</w:t>
            </w:r>
          </w:p>
        </w:tc>
        <w:tc>
          <w:tcPr>
            <w:tcW w:w="531" w:type="pct"/>
            <w:shd w:val="clear" w:color="auto" w:fill="auto"/>
            <w:tcMar>
              <w:top w:w="110" w:type="dxa"/>
            </w:tcMar>
          </w:tcPr>
          <w:p w:rsidR="00C739A5" w:rsidRPr="00255F30" w:rsidRDefault="00C739A5" w:rsidP="001363EE">
            <w:pPr>
              <w:keepNext/>
              <w:keepLines/>
              <w:jc w:val="center"/>
              <w:rPr>
                <w:rFonts w:cs="Arial"/>
                <w:b/>
                <w:bCs/>
                <w:color w:val="FF0000"/>
                <w:sz w:val="16"/>
                <w:szCs w:val="16"/>
              </w:rPr>
            </w:pPr>
            <w:r w:rsidRPr="00255F30">
              <w:rPr>
                <w:rFonts w:cs="Arial"/>
                <w:b/>
                <w:bCs/>
                <w:color w:val="FF0000"/>
                <w:sz w:val="16"/>
                <w:szCs w:val="16"/>
              </w:rPr>
              <w:t>Not Achieved</w:t>
            </w:r>
          </w:p>
          <w:p w:rsidR="00C739A5" w:rsidRPr="000C1926" w:rsidRDefault="00C739A5" w:rsidP="001363EE">
            <w:pPr>
              <w:keepNext/>
              <w:keepLines/>
              <w:jc w:val="center"/>
              <w:rPr>
                <w:rFonts w:cs="Arial"/>
                <w:b/>
                <w:bCs/>
                <w:color w:val="808080"/>
                <w:sz w:val="16"/>
                <w:szCs w:val="16"/>
              </w:rPr>
            </w:pPr>
          </w:p>
        </w:tc>
      </w:tr>
      <w:tr w:rsidR="00C739A5" w:rsidRPr="008539B9" w:rsidTr="00C739A5">
        <w:trPr>
          <w:cantSplit/>
        </w:trPr>
        <w:tc>
          <w:tcPr>
            <w:tcW w:w="1025" w:type="pct"/>
            <w:shd w:val="clear" w:color="auto" w:fill="auto"/>
          </w:tcPr>
          <w:p w:rsidR="00C739A5" w:rsidRPr="008539B9" w:rsidRDefault="00C739A5" w:rsidP="001363EE">
            <w:pPr>
              <w:keepNext/>
              <w:keepLines/>
              <w:rPr>
                <w:rFonts w:cs="Arial"/>
                <w:color w:val="000000"/>
                <w:sz w:val="16"/>
                <w:szCs w:val="16"/>
              </w:rPr>
            </w:pPr>
            <w:r w:rsidRPr="00CF17C5">
              <w:rPr>
                <w:rFonts w:cs="Arial"/>
                <w:color w:val="000000"/>
                <w:sz w:val="16"/>
                <w:szCs w:val="16"/>
              </w:rPr>
              <w:t>Progress towards the enhancement of the legal framework</w:t>
            </w:r>
          </w:p>
        </w:tc>
        <w:tc>
          <w:tcPr>
            <w:tcW w:w="1318" w:type="pct"/>
            <w:gridSpan w:val="3"/>
            <w:shd w:val="clear" w:color="auto" w:fill="auto"/>
          </w:tcPr>
          <w:p w:rsidR="00C739A5" w:rsidRPr="008539B9" w:rsidRDefault="00C739A5" w:rsidP="001363EE">
            <w:pPr>
              <w:keepNext/>
              <w:keepLines/>
              <w:rPr>
                <w:rFonts w:cs="Arial"/>
                <w:sz w:val="16"/>
                <w:szCs w:val="16"/>
              </w:rPr>
            </w:pPr>
            <w:r w:rsidRPr="008539B9">
              <w:rPr>
                <w:rFonts w:cs="Arial"/>
                <w:i/>
                <w:sz w:val="16"/>
                <w:szCs w:val="16"/>
              </w:rPr>
              <w:t>Original Baseline P&amp;B 201</w:t>
            </w:r>
            <w:r>
              <w:rPr>
                <w:rFonts w:cs="Arial"/>
                <w:i/>
                <w:sz w:val="16"/>
                <w:szCs w:val="16"/>
              </w:rPr>
              <w:t>4</w:t>
            </w:r>
            <w:r w:rsidRPr="008539B9">
              <w:rPr>
                <w:rFonts w:cs="Arial"/>
                <w:i/>
                <w:sz w:val="16"/>
                <w:szCs w:val="16"/>
              </w:rPr>
              <w:t>/1</w:t>
            </w:r>
            <w:r>
              <w:rPr>
                <w:rFonts w:cs="Arial"/>
                <w:i/>
                <w:sz w:val="16"/>
                <w:szCs w:val="16"/>
              </w:rPr>
              <w:t>5</w:t>
            </w:r>
            <w:r w:rsidRPr="008539B9">
              <w:rPr>
                <w:rFonts w:cs="Arial"/>
                <w:i/>
                <w:sz w:val="16"/>
                <w:szCs w:val="16"/>
              </w:rPr>
              <w:t>:</w:t>
            </w:r>
            <w:r>
              <w:rPr>
                <w:rFonts w:cs="Arial"/>
                <w:i/>
                <w:sz w:val="16"/>
                <w:szCs w:val="16"/>
              </w:rPr>
              <w:t xml:space="preserve"> </w:t>
            </w:r>
            <w:r w:rsidRPr="004636B2">
              <w:rPr>
                <w:rFonts w:cs="Arial"/>
                <w:sz w:val="16"/>
                <w:szCs w:val="16"/>
              </w:rPr>
              <w:t>Current legal framework</w:t>
            </w:r>
          </w:p>
        </w:tc>
        <w:tc>
          <w:tcPr>
            <w:tcW w:w="837" w:type="pct"/>
            <w:shd w:val="clear" w:color="auto" w:fill="auto"/>
            <w:tcMar>
              <w:top w:w="110" w:type="dxa"/>
            </w:tcMar>
          </w:tcPr>
          <w:p w:rsidR="00C739A5" w:rsidRPr="00724EA5" w:rsidRDefault="00C739A5" w:rsidP="001363EE">
            <w:pPr>
              <w:keepNext/>
              <w:keepLines/>
              <w:autoSpaceDE w:val="0"/>
              <w:autoSpaceDN w:val="0"/>
              <w:adjustRightInd w:val="0"/>
              <w:rPr>
                <w:rFonts w:cs="Arial"/>
                <w:sz w:val="16"/>
                <w:szCs w:val="16"/>
              </w:rPr>
            </w:pPr>
            <w:r w:rsidRPr="00CF17C5">
              <w:rPr>
                <w:rFonts w:cs="Arial"/>
                <w:sz w:val="16"/>
                <w:szCs w:val="16"/>
              </w:rPr>
              <w:t>Amendments to the Hague Regulations and Administrative Instructions as well as new features introduced following accessions of some new Contracting Parties.</w:t>
            </w:r>
          </w:p>
        </w:tc>
        <w:tc>
          <w:tcPr>
            <w:tcW w:w="1289" w:type="pct"/>
            <w:gridSpan w:val="2"/>
            <w:shd w:val="clear" w:color="auto" w:fill="FFFFFF"/>
            <w:tcMar>
              <w:top w:w="110" w:type="dxa"/>
            </w:tcMar>
          </w:tcPr>
          <w:p w:rsidR="00C739A5" w:rsidRPr="00724EA5" w:rsidRDefault="00C739A5" w:rsidP="001363EE">
            <w:pPr>
              <w:keepNext/>
              <w:keepLines/>
              <w:rPr>
                <w:rFonts w:cs="Arial"/>
                <w:sz w:val="16"/>
                <w:szCs w:val="16"/>
              </w:rPr>
            </w:pPr>
            <w:r>
              <w:rPr>
                <w:rFonts w:cs="Arial"/>
                <w:sz w:val="16"/>
                <w:szCs w:val="16"/>
              </w:rPr>
              <w:t>Amendments to the Common Regulations, among others, introducing a “feedback mechanism”, came into force on January 1, 2015.   Amendments to the Administrative Instructions, among others, relaxing certain requirements concerning reproductions and representations, came into force on July 1, 2014.</w:t>
            </w:r>
          </w:p>
        </w:tc>
        <w:tc>
          <w:tcPr>
            <w:tcW w:w="531" w:type="pct"/>
            <w:shd w:val="clear" w:color="auto" w:fill="auto"/>
            <w:tcMar>
              <w:top w:w="110" w:type="dxa"/>
            </w:tcMar>
          </w:tcPr>
          <w:p w:rsidR="00C739A5" w:rsidRPr="000C1926" w:rsidRDefault="00C739A5" w:rsidP="001363EE">
            <w:pPr>
              <w:keepNext/>
              <w:keepLines/>
              <w:jc w:val="center"/>
              <w:rPr>
                <w:rFonts w:cs="Arial"/>
                <w:b/>
                <w:bCs/>
                <w:color w:val="808080"/>
                <w:sz w:val="16"/>
                <w:szCs w:val="16"/>
              </w:rPr>
            </w:pPr>
            <w:r w:rsidRPr="0094184C">
              <w:rPr>
                <w:rFonts w:cs="Arial"/>
                <w:b/>
                <w:bCs/>
                <w:color w:val="00B050"/>
                <w:sz w:val="16"/>
                <w:szCs w:val="16"/>
              </w:rPr>
              <w:t>Fully Achieved</w:t>
            </w:r>
          </w:p>
        </w:tc>
      </w:tr>
      <w:tr w:rsidR="00C739A5" w:rsidRPr="008539B9" w:rsidTr="00C739A5">
        <w:trPr>
          <w:cantSplit/>
        </w:trPr>
        <w:tc>
          <w:tcPr>
            <w:tcW w:w="1025" w:type="pct"/>
            <w:tcBorders>
              <w:bottom w:val="nil"/>
            </w:tcBorders>
            <w:shd w:val="clear" w:color="auto" w:fill="auto"/>
          </w:tcPr>
          <w:p w:rsidR="00C739A5" w:rsidRPr="008539B9" w:rsidRDefault="00C739A5" w:rsidP="001363EE">
            <w:pPr>
              <w:rPr>
                <w:rFonts w:cs="Arial"/>
                <w:sz w:val="16"/>
                <w:szCs w:val="16"/>
              </w:rPr>
            </w:pPr>
            <w:r w:rsidRPr="00CF17C5">
              <w:rPr>
                <w:rFonts w:cs="Arial"/>
                <w:sz w:val="16"/>
                <w:szCs w:val="16"/>
              </w:rPr>
              <w:t>Flexibility of data recorded in the International Register</w:t>
            </w:r>
          </w:p>
        </w:tc>
        <w:tc>
          <w:tcPr>
            <w:tcW w:w="1318" w:type="pct"/>
            <w:gridSpan w:val="3"/>
            <w:tcBorders>
              <w:bottom w:val="nil"/>
            </w:tcBorders>
            <w:shd w:val="clear" w:color="auto" w:fill="auto"/>
          </w:tcPr>
          <w:p w:rsidR="00C739A5" w:rsidRPr="008539B9" w:rsidRDefault="00C739A5" w:rsidP="001363EE">
            <w:pPr>
              <w:rPr>
                <w:rFonts w:cs="Arial"/>
                <w:sz w:val="16"/>
                <w:szCs w:val="16"/>
              </w:rPr>
            </w:pPr>
            <w:r w:rsidRPr="008539B9">
              <w:rPr>
                <w:rFonts w:cs="Arial"/>
                <w:i/>
                <w:sz w:val="16"/>
                <w:szCs w:val="16"/>
              </w:rPr>
              <w:t>Original Baseline P&amp;B 201</w:t>
            </w:r>
            <w:r>
              <w:rPr>
                <w:rFonts w:cs="Arial"/>
                <w:i/>
                <w:sz w:val="16"/>
                <w:szCs w:val="16"/>
              </w:rPr>
              <w:t>4</w:t>
            </w:r>
            <w:r w:rsidRPr="008539B9">
              <w:rPr>
                <w:rFonts w:cs="Arial"/>
                <w:i/>
                <w:sz w:val="16"/>
                <w:szCs w:val="16"/>
              </w:rPr>
              <w:t>/1</w:t>
            </w:r>
            <w:r>
              <w:rPr>
                <w:rFonts w:cs="Arial"/>
                <w:i/>
                <w:sz w:val="16"/>
                <w:szCs w:val="16"/>
              </w:rPr>
              <w:t>5</w:t>
            </w:r>
            <w:r w:rsidRPr="008539B9">
              <w:rPr>
                <w:rFonts w:cs="Arial"/>
                <w:i/>
                <w:sz w:val="16"/>
                <w:szCs w:val="16"/>
              </w:rPr>
              <w:t>:</w:t>
            </w:r>
            <w:r>
              <w:rPr>
                <w:rFonts w:cs="Arial"/>
                <w:i/>
                <w:sz w:val="16"/>
                <w:szCs w:val="16"/>
              </w:rPr>
              <w:t xml:space="preserve"> </w:t>
            </w:r>
            <w:r w:rsidRPr="004636B2">
              <w:rPr>
                <w:rFonts w:cs="Arial"/>
                <w:sz w:val="16"/>
                <w:szCs w:val="16"/>
              </w:rPr>
              <w:t>Inability to record granular design information</w:t>
            </w:r>
          </w:p>
        </w:tc>
        <w:tc>
          <w:tcPr>
            <w:tcW w:w="837" w:type="pct"/>
            <w:tcBorders>
              <w:bottom w:val="nil"/>
            </w:tcBorders>
            <w:shd w:val="clear" w:color="auto" w:fill="auto"/>
            <w:tcMar>
              <w:top w:w="110" w:type="dxa"/>
            </w:tcMar>
          </w:tcPr>
          <w:p w:rsidR="00C739A5" w:rsidRPr="008539B9" w:rsidRDefault="00C739A5" w:rsidP="001363EE">
            <w:pPr>
              <w:rPr>
                <w:rFonts w:cs="Arial"/>
                <w:sz w:val="16"/>
                <w:szCs w:val="16"/>
              </w:rPr>
            </w:pPr>
            <w:r w:rsidRPr="00CF17C5">
              <w:rPr>
                <w:rFonts w:cs="Arial"/>
                <w:sz w:val="16"/>
                <w:szCs w:val="16"/>
              </w:rPr>
              <w:t>Ability to record granular design information</w:t>
            </w:r>
          </w:p>
        </w:tc>
        <w:tc>
          <w:tcPr>
            <w:tcW w:w="1289" w:type="pct"/>
            <w:gridSpan w:val="2"/>
            <w:tcBorders>
              <w:bottom w:val="nil"/>
            </w:tcBorders>
            <w:shd w:val="clear" w:color="auto" w:fill="FFFFFF"/>
            <w:tcMar>
              <w:top w:w="110" w:type="dxa"/>
            </w:tcMar>
          </w:tcPr>
          <w:p w:rsidR="00C739A5" w:rsidRPr="008539B9" w:rsidRDefault="00C739A5" w:rsidP="001363EE">
            <w:pPr>
              <w:rPr>
                <w:rFonts w:cs="Arial"/>
                <w:sz w:val="16"/>
                <w:szCs w:val="16"/>
              </w:rPr>
            </w:pPr>
            <w:r>
              <w:rPr>
                <w:rFonts w:cs="Arial"/>
                <w:sz w:val="16"/>
                <w:szCs w:val="16"/>
              </w:rPr>
              <w:t>Progress made on the design choices, yet the implementation was scheduled for after the conversion of the main IT system, an event that did not occur during the biennium: DIRIS.</w:t>
            </w:r>
          </w:p>
        </w:tc>
        <w:tc>
          <w:tcPr>
            <w:tcW w:w="531" w:type="pct"/>
            <w:tcBorders>
              <w:bottom w:val="nil"/>
            </w:tcBorders>
            <w:shd w:val="clear" w:color="auto" w:fill="auto"/>
            <w:tcMar>
              <w:top w:w="110" w:type="dxa"/>
            </w:tcMar>
          </w:tcPr>
          <w:p w:rsidR="00C739A5" w:rsidRPr="00255F30" w:rsidRDefault="00C739A5" w:rsidP="001363EE">
            <w:pPr>
              <w:keepNext/>
              <w:keepLines/>
              <w:jc w:val="center"/>
              <w:rPr>
                <w:rFonts w:cs="Arial"/>
                <w:b/>
                <w:bCs/>
                <w:color w:val="FF0000"/>
                <w:sz w:val="16"/>
                <w:szCs w:val="16"/>
              </w:rPr>
            </w:pPr>
            <w:r w:rsidRPr="00255F30">
              <w:rPr>
                <w:rFonts w:cs="Arial"/>
                <w:b/>
                <w:bCs/>
                <w:color w:val="FF0000"/>
                <w:sz w:val="16"/>
                <w:szCs w:val="16"/>
              </w:rPr>
              <w:t>Not Achieved</w:t>
            </w:r>
          </w:p>
          <w:p w:rsidR="00C739A5" w:rsidRPr="000C1926" w:rsidRDefault="00C739A5" w:rsidP="001363EE">
            <w:pPr>
              <w:keepNext/>
              <w:keepLines/>
              <w:jc w:val="center"/>
              <w:rPr>
                <w:rFonts w:cs="Arial"/>
                <w:b/>
                <w:bCs/>
                <w:color w:val="808080"/>
                <w:sz w:val="16"/>
                <w:szCs w:val="16"/>
              </w:rPr>
            </w:pPr>
          </w:p>
        </w:tc>
      </w:tr>
      <w:tr w:rsidR="00C739A5" w:rsidRPr="008539B9" w:rsidTr="00C739A5">
        <w:trPr>
          <w:cantSplit/>
        </w:trPr>
        <w:tc>
          <w:tcPr>
            <w:tcW w:w="1106" w:type="pct"/>
            <w:gridSpan w:val="2"/>
            <w:tcBorders>
              <w:top w:val="nil"/>
              <w:bottom w:val="single" w:sz="4" w:space="0" w:color="auto"/>
            </w:tcBorders>
            <w:shd w:val="clear" w:color="auto" w:fill="auto"/>
          </w:tcPr>
          <w:p w:rsidR="00C739A5" w:rsidRPr="008539B9" w:rsidRDefault="00C739A5" w:rsidP="001363EE">
            <w:pPr>
              <w:keepNext/>
              <w:keepLines/>
              <w:rPr>
                <w:rFonts w:cs="Arial"/>
                <w:sz w:val="16"/>
                <w:szCs w:val="16"/>
              </w:rPr>
            </w:pPr>
            <w:r w:rsidRPr="00B41908">
              <w:rPr>
                <w:rFonts w:cs="Arial"/>
                <w:color w:val="000000"/>
                <w:sz w:val="16"/>
                <w:szCs w:val="16"/>
              </w:rPr>
              <w:t>No. of automated processes</w:t>
            </w:r>
          </w:p>
        </w:tc>
        <w:tc>
          <w:tcPr>
            <w:tcW w:w="1201" w:type="pct"/>
            <w:tcBorders>
              <w:top w:val="nil"/>
              <w:bottom w:val="single" w:sz="4" w:space="0" w:color="auto"/>
            </w:tcBorders>
            <w:shd w:val="clear" w:color="auto" w:fill="auto"/>
          </w:tcPr>
          <w:p w:rsidR="00C739A5" w:rsidRPr="00CF17C5" w:rsidRDefault="00C739A5" w:rsidP="001363EE">
            <w:pPr>
              <w:rPr>
                <w:rFonts w:cs="Arial"/>
                <w:color w:val="002060"/>
                <w:sz w:val="16"/>
                <w:szCs w:val="16"/>
              </w:rPr>
            </w:pPr>
            <w:r w:rsidRPr="008539B9">
              <w:rPr>
                <w:rFonts w:cs="Arial"/>
                <w:i/>
                <w:color w:val="002060"/>
                <w:sz w:val="16"/>
                <w:szCs w:val="16"/>
              </w:rPr>
              <w:t>Updated Baseline end 201</w:t>
            </w:r>
            <w:r>
              <w:rPr>
                <w:rFonts w:cs="Arial"/>
                <w:i/>
                <w:color w:val="002060"/>
                <w:sz w:val="16"/>
                <w:szCs w:val="16"/>
              </w:rPr>
              <w:t>3</w:t>
            </w:r>
            <w:r w:rsidRPr="008539B9">
              <w:rPr>
                <w:rFonts w:cs="Arial"/>
                <w:i/>
                <w:color w:val="002060"/>
                <w:sz w:val="16"/>
                <w:szCs w:val="16"/>
              </w:rPr>
              <w:t xml:space="preserve">:  </w:t>
            </w:r>
            <w:r w:rsidRPr="004636B2">
              <w:rPr>
                <w:rFonts w:cs="Arial"/>
                <w:color w:val="002060"/>
                <w:sz w:val="16"/>
                <w:szCs w:val="16"/>
              </w:rPr>
              <w:t>Two (e- Filing and e-Renewal)</w:t>
            </w:r>
            <w:r w:rsidRPr="004636B2">
              <w:rPr>
                <w:rStyle w:val="FootnoteReference"/>
                <w:rFonts w:cs="Arial"/>
                <w:color w:val="002060"/>
                <w:sz w:val="16"/>
                <w:szCs w:val="16"/>
              </w:rPr>
              <w:footnoteReference w:id="39"/>
            </w:r>
          </w:p>
          <w:p w:rsidR="00C739A5" w:rsidRDefault="00C739A5" w:rsidP="001363EE">
            <w:pPr>
              <w:keepNext/>
              <w:keepLines/>
              <w:rPr>
                <w:rFonts w:cs="Arial"/>
                <w:i/>
                <w:sz w:val="16"/>
                <w:szCs w:val="16"/>
              </w:rPr>
            </w:pPr>
          </w:p>
          <w:p w:rsidR="00C739A5" w:rsidRDefault="00C739A5" w:rsidP="001363EE">
            <w:pPr>
              <w:keepNext/>
              <w:keepLines/>
              <w:rPr>
                <w:rFonts w:cs="Arial"/>
                <w:i/>
                <w:sz w:val="16"/>
                <w:szCs w:val="16"/>
              </w:rPr>
            </w:pPr>
            <w:r w:rsidRPr="008539B9">
              <w:rPr>
                <w:rFonts w:cs="Arial"/>
                <w:i/>
                <w:sz w:val="16"/>
                <w:szCs w:val="16"/>
              </w:rPr>
              <w:t>Original Baseline P&amp;B 201</w:t>
            </w:r>
            <w:r>
              <w:rPr>
                <w:rFonts w:cs="Arial"/>
                <w:i/>
                <w:sz w:val="16"/>
                <w:szCs w:val="16"/>
              </w:rPr>
              <w:t>4</w:t>
            </w:r>
            <w:r w:rsidRPr="008539B9">
              <w:rPr>
                <w:rFonts w:cs="Arial"/>
                <w:i/>
                <w:sz w:val="16"/>
                <w:szCs w:val="16"/>
              </w:rPr>
              <w:t>/1</w:t>
            </w:r>
            <w:r>
              <w:rPr>
                <w:rFonts w:cs="Arial"/>
                <w:i/>
                <w:sz w:val="16"/>
                <w:szCs w:val="16"/>
              </w:rPr>
              <w:t xml:space="preserve">5: </w:t>
            </w:r>
            <w:r w:rsidRPr="004636B2">
              <w:rPr>
                <w:rFonts w:cs="Arial"/>
                <w:sz w:val="16"/>
                <w:szCs w:val="16"/>
              </w:rPr>
              <w:t>2</w:t>
            </w:r>
          </w:p>
          <w:p w:rsidR="00C739A5" w:rsidRPr="008539B9" w:rsidRDefault="00C739A5" w:rsidP="001363EE">
            <w:pPr>
              <w:keepNext/>
              <w:keepLines/>
              <w:rPr>
                <w:rFonts w:cs="Arial"/>
                <w:sz w:val="16"/>
                <w:szCs w:val="16"/>
              </w:rPr>
            </w:pPr>
          </w:p>
        </w:tc>
        <w:tc>
          <w:tcPr>
            <w:tcW w:w="873" w:type="pct"/>
            <w:gridSpan w:val="2"/>
            <w:tcBorders>
              <w:top w:val="nil"/>
              <w:bottom w:val="single" w:sz="4" w:space="0" w:color="auto"/>
            </w:tcBorders>
            <w:shd w:val="clear" w:color="auto" w:fill="auto"/>
            <w:tcMar>
              <w:top w:w="110" w:type="dxa"/>
            </w:tcMar>
          </w:tcPr>
          <w:p w:rsidR="00C739A5" w:rsidRPr="008539B9" w:rsidRDefault="00C739A5" w:rsidP="001363EE">
            <w:pPr>
              <w:keepNext/>
              <w:keepLines/>
              <w:autoSpaceDE w:val="0"/>
              <w:autoSpaceDN w:val="0"/>
              <w:adjustRightInd w:val="0"/>
              <w:rPr>
                <w:rFonts w:cs="Arial"/>
                <w:sz w:val="16"/>
                <w:szCs w:val="16"/>
              </w:rPr>
            </w:pPr>
            <w:r>
              <w:rPr>
                <w:rFonts w:cs="Arial"/>
                <w:sz w:val="16"/>
                <w:szCs w:val="16"/>
              </w:rPr>
              <w:t>4</w:t>
            </w:r>
          </w:p>
        </w:tc>
        <w:tc>
          <w:tcPr>
            <w:tcW w:w="1289" w:type="pct"/>
            <w:gridSpan w:val="2"/>
            <w:tcBorders>
              <w:top w:val="nil"/>
              <w:bottom w:val="single" w:sz="4" w:space="0" w:color="auto"/>
            </w:tcBorders>
            <w:shd w:val="clear" w:color="auto" w:fill="FFFFFF" w:themeFill="background1"/>
            <w:tcMar>
              <w:top w:w="110" w:type="dxa"/>
            </w:tcMar>
          </w:tcPr>
          <w:p w:rsidR="00C739A5" w:rsidRPr="008539B9" w:rsidRDefault="00C739A5" w:rsidP="001363EE">
            <w:pPr>
              <w:rPr>
                <w:rFonts w:cs="Arial"/>
                <w:sz w:val="16"/>
                <w:szCs w:val="16"/>
              </w:rPr>
            </w:pPr>
            <w:r>
              <w:rPr>
                <w:rFonts w:cs="Arial"/>
                <w:sz w:val="16"/>
                <w:szCs w:val="16"/>
              </w:rPr>
              <w:t xml:space="preserve">2 additional automated processes in 2014/15 (Statement of Grant of Protection from OHIM in 2014 and </w:t>
            </w:r>
            <w:r w:rsidRPr="003E5A7E">
              <w:rPr>
                <w:rFonts w:cs="Arial"/>
                <w:sz w:val="16"/>
                <w:szCs w:val="16"/>
              </w:rPr>
              <w:t>the reception and handling of indirect filings by</w:t>
            </w:r>
            <w:r>
              <w:rPr>
                <w:rFonts w:cs="Arial"/>
                <w:sz w:val="16"/>
                <w:szCs w:val="16"/>
              </w:rPr>
              <w:t xml:space="preserve"> KIPO) (4 cumulative)</w:t>
            </w:r>
            <w:r w:rsidRPr="000C1197" w:rsidDel="003E5A7E">
              <w:rPr>
                <w:rFonts w:cs="Arial"/>
                <w:sz w:val="16"/>
                <w:szCs w:val="16"/>
              </w:rPr>
              <w:t xml:space="preserve"> </w:t>
            </w:r>
          </w:p>
        </w:tc>
        <w:tc>
          <w:tcPr>
            <w:tcW w:w="531" w:type="pct"/>
            <w:tcBorders>
              <w:top w:val="nil"/>
              <w:bottom w:val="single" w:sz="4" w:space="0" w:color="auto"/>
            </w:tcBorders>
            <w:shd w:val="clear" w:color="auto" w:fill="auto"/>
            <w:tcMar>
              <w:top w:w="110" w:type="dxa"/>
            </w:tcMar>
          </w:tcPr>
          <w:p w:rsidR="00C739A5" w:rsidRPr="000C1926" w:rsidRDefault="00C739A5" w:rsidP="001363EE">
            <w:pPr>
              <w:keepNext/>
              <w:keepLines/>
              <w:jc w:val="center"/>
              <w:rPr>
                <w:rFonts w:cs="Arial"/>
                <w:b/>
                <w:bCs/>
                <w:color w:val="808080"/>
                <w:sz w:val="16"/>
                <w:szCs w:val="16"/>
              </w:rPr>
            </w:pPr>
            <w:r w:rsidRPr="0094184C">
              <w:rPr>
                <w:rFonts w:cs="Arial"/>
                <w:b/>
                <w:bCs/>
                <w:color w:val="00B050"/>
                <w:sz w:val="16"/>
                <w:szCs w:val="16"/>
              </w:rPr>
              <w:t>Fully Achieved</w:t>
            </w:r>
          </w:p>
        </w:tc>
      </w:tr>
    </w:tbl>
    <w:p w:rsidR="00C739A5" w:rsidRDefault="00C739A5" w:rsidP="001363EE">
      <w:pPr>
        <w:rPr>
          <w:bCs/>
          <w:sz w:val="22"/>
          <w:szCs w:val="22"/>
        </w:rPr>
      </w:pPr>
    </w:p>
    <w:p w:rsidR="00C739A5" w:rsidRDefault="00C739A5" w:rsidP="001363EE">
      <w:pPr>
        <w:keepNext/>
        <w:keepLines/>
        <w:rPr>
          <w:rFonts w:cs="Arial"/>
          <w:color w:val="000000"/>
          <w:sz w:val="22"/>
          <w:szCs w:val="22"/>
        </w:rPr>
      </w:pPr>
      <w:r>
        <w:rPr>
          <w:rFonts w:cs="Arial"/>
          <w:color w:val="000000"/>
          <w:sz w:val="22"/>
          <w:szCs w:val="22"/>
        </w:rPr>
        <w:t>RISK REPORTING FOR THE BIENNIUM</w:t>
      </w:r>
    </w:p>
    <w:p w:rsidR="00C739A5" w:rsidRDefault="00C739A5" w:rsidP="001363EE">
      <w:pPr>
        <w:keepNext/>
        <w:keepLines/>
      </w:pPr>
    </w:p>
    <w:tbl>
      <w:tblPr>
        <w:tblW w:w="9356"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2310"/>
        <w:gridCol w:w="2310"/>
        <w:gridCol w:w="2468"/>
        <w:gridCol w:w="2268"/>
      </w:tblGrid>
      <w:tr w:rsidR="00C739A5" w:rsidRPr="003C527B" w:rsidTr="00C739A5">
        <w:trPr>
          <w:trHeight w:val="362"/>
        </w:trPr>
        <w:tc>
          <w:tcPr>
            <w:tcW w:w="2310" w:type="dxa"/>
            <w:tcBorders>
              <w:top w:val="single" w:sz="4" w:space="0" w:color="auto"/>
              <w:bottom w:val="single" w:sz="4" w:space="0" w:color="auto"/>
            </w:tcBorders>
            <w:shd w:val="clear" w:color="auto" w:fill="C6D9F1" w:themeFill="text2" w:themeFillTint="33"/>
            <w:tcMar>
              <w:top w:w="113" w:type="dxa"/>
              <w:bottom w:w="85" w:type="dxa"/>
            </w:tcMar>
            <w:vAlign w:val="center"/>
          </w:tcPr>
          <w:p w:rsidR="00C739A5" w:rsidRPr="003C527B" w:rsidRDefault="00C739A5" w:rsidP="001363EE">
            <w:pPr>
              <w:keepNext/>
              <w:autoSpaceDE w:val="0"/>
              <w:autoSpaceDN w:val="0"/>
              <w:adjustRightInd w:val="0"/>
              <w:ind w:right="-59"/>
              <w:jc w:val="center"/>
              <w:rPr>
                <w:b/>
                <w:bCs/>
                <w:iCs/>
                <w:sz w:val="18"/>
                <w:szCs w:val="18"/>
              </w:rPr>
            </w:pPr>
            <w:r w:rsidRPr="003C527B">
              <w:rPr>
                <w:b/>
                <w:bCs/>
                <w:iCs/>
                <w:sz w:val="18"/>
                <w:szCs w:val="18"/>
              </w:rPr>
              <w:t>Risk(s) to the Program achieving its Results</w:t>
            </w:r>
          </w:p>
        </w:tc>
        <w:tc>
          <w:tcPr>
            <w:tcW w:w="2310" w:type="dxa"/>
            <w:tcBorders>
              <w:top w:val="single" w:sz="4" w:space="0" w:color="auto"/>
              <w:bottom w:val="single" w:sz="4" w:space="0" w:color="auto"/>
            </w:tcBorders>
            <w:shd w:val="clear" w:color="auto" w:fill="C6D9F1" w:themeFill="text2" w:themeFillTint="33"/>
            <w:tcMar>
              <w:top w:w="113" w:type="dxa"/>
              <w:bottom w:w="85" w:type="dxa"/>
            </w:tcMar>
            <w:vAlign w:val="center"/>
          </w:tcPr>
          <w:p w:rsidR="00C739A5" w:rsidRPr="003C527B" w:rsidRDefault="00C739A5" w:rsidP="001363EE">
            <w:pPr>
              <w:autoSpaceDE w:val="0"/>
              <w:autoSpaceDN w:val="0"/>
              <w:adjustRightInd w:val="0"/>
              <w:ind w:right="-59"/>
              <w:jc w:val="center"/>
              <w:rPr>
                <w:b/>
                <w:bCs/>
                <w:iCs/>
                <w:sz w:val="18"/>
                <w:szCs w:val="18"/>
              </w:rPr>
            </w:pPr>
            <w:r w:rsidRPr="003C527B">
              <w:rPr>
                <w:b/>
                <w:bCs/>
                <w:iCs/>
                <w:sz w:val="18"/>
                <w:szCs w:val="18"/>
              </w:rPr>
              <w:t xml:space="preserve">Mitigation plans in place or under implementation </w:t>
            </w:r>
          </w:p>
        </w:tc>
        <w:tc>
          <w:tcPr>
            <w:tcW w:w="2468" w:type="dxa"/>
            <w:tcBorders>
              <w:top w:val="single" w:sz="4" w:space="0" w:color="auto"/>
              <w:bottom w:val="single" w:sz="4" w:space="0" w:color="auto"/>
            </w:tcBorders>
            <w:shd w:val="clear" w:color="auto" w:fill="C6D9F1" w:themeFill="text2" w:themeFillTint="33"/>
          </w:tcPr>
          <w:p w:rsidR="00C739A5" w:rsidRPr="003C527B" w:rsidRDefault="00C739A5" w:rsidP="001363EE">
            <w:pPr>
              <w:jc w:val="center"/>
              <w:rPr>
                <w:b/>
                <w:bCs/>
                <w:sz w:val="18"/>
                <w:szCs w:val="18"/>
              </w:rPr>
            </w:pPr>
            <w:r>
              <w:rPr>
                <w:b/>
                <w:bCs/>
                <w:sz w:val="18"/>
                <w:szCs w:val="18"/>
              </w:rPr>
              <w:t>Evolution of Risk(s) and Mitigation Strategies Over the Biennium</w:t>
            </w:r>
          </w:p>
        </w:tc>
        <w:tc>
          <w:tcPr>
            <w:tcW w:w="2268" w:type="dxa"/>
            <w:tcBorders>
              <w:top w:val="single" w:sz="4" w:space="0" w:color="auto"/>
              <w:bottom w:val="single" w:sz="4" w:space="0" w:color="auto"/>
            </w:tcBorders>
            <w:shd w:val="clear" w:color="auto" w:fill="C6D9F1" w:themeFill="text2" w:themeFillTint="33"/>
          </w:tcPr>
          <w:p w:rsidR="00C739A5" w:rsidRPr="003C527B" w:rsidRDefault="00C739A5" w:rsidP="001363EE">
            <w:pPr>
              <w:jc w:val="center"/>
              <w:rPr>
                <w:b/>
                <w:bCs/>
                <w:sz w:val="18"/>
                <w:szCs w:val="18"/>
              </w:rPr>
            </w:pPr>
            <w:r>
              <w:rPr>
                <w:b/>
                <w:bCs/>
                <w:sz w:val="18"/>
                <w:szCs w:val="18"/>
              </w:rPr>
              <w:t>Impact on the Program’s Performance</w:t>
            </w:r>
          </w:p>
        </w:tc>
      </w:tr>
      <w:tr w:rsidR="00C739A5" w:rsidRPr="003C527B" w:rsidTr="00C739A5">
        <w:trPr>
          <w:trHeight w:val="1051"/>
        </w:trPr>
        <w:tc>
          <w:tcPr>
            <w:tcW w:w="2310" w:type="dxa"/>
            <w:tcBorders>
              <w:top w:val="single" w:sz="4" w:space="0" w:color="auto"/>
            </w:tcBorders>
            <w:shd w:val="clear" w:color="auto" w:fill="auto"/>
            <w:tcMar>
              <w:top w:w="113" w:type="dxa"/>
              <w:bottom w:w="85" w:type="dxa"/>
            </w:tcMar>
          </w:tcPr>
          <w:p w:rsidR="00C739A5" w:rsidRPr="003C527B" w:rsidRDefault="00C739A5" w:rsidP="001363EE">
            <w:pPr>
              <w:keepNext/>
              <w:rPr>
                <w:sz w:val="16"/>
                <w:szCs w:val="16"/>
              </w:rPr>
            </w:pPr>
            <w:r w:rsidRPr="003C527B">
              <w:rPr>
                <w:sz w:val="16"/>
                <w:szCs w:val="16"/>
                <w:lang w:eastAsia="zh-CN"/>
              </w:rPr>
              <w:t>Decline in the level of customer satisfaction due to difficulties in coping with growth in filings and information requests and to the growing complexity of the system as a result of the implementation of features supporting novelty examination in certain designated Offices</w:t>
            </w:r>
          </w:p>
        </w:tc>
        <w:tc>
          <w:tcPr>
            <w:tcW w:w="2310" w:type="dxa"/>
            <w:tcBorders>
              <w:top w:val="single" w:sz="4" w:space="0" w:color="auto"/>
            </w:tcBorders>
            <w:shd w:val="clear" w:color="auto" w:fill="auto"/>
            <w:tcMar>
              <w:top w:w="113" w:type="dxa"/>
              <w:bottom w:w="85" w:type="dxa"/>
            </w:tcMar>
          </w:tcPr>
          <w:p w:rsidR="00C739A5" w:rsidRPr="003C527B" w:rsidRDefault="00C739A5" w:rsidP="001363EE">
            <w:pPr>
              <w:autoSpaceDE w:val="0"/>
              <w:autoSpaceDN w:val="0"/>
              <w:adjustRightInd w:val="0"/>
              <w:ind w:right="-59"/>
              <w:rPr>
                <w:sz w:val="16"/>
                <w:szCs w:val="16"/>
              </w:rPr>
            </w:pPr>
            <w:r w:rsidRPr="003C527B">
              <w:rPr>
                <w:sz w:val="16"/>
                <w:szCs w:val="16"/>
              </w:rPr>
              <w:t>Enhancing efficiency and effectiveness in all aspects of system administration; promotion of best practices and convergence amongst the Offices concerned; development of IT solutions to assist users and examiners of Offices and the International Bureau.</w:t>
            </w:r>
          </w:p>
        </w:tc>
        <w:tc>
          <w:tcPr>
            <w:tcW w:w="2468" w:type="dxa"/>
            <w:tcBorders>
              <w:top w:val="single" w:sz="4" w:space="0" w:color="auto"/>
            </w:tcBorders>
          </w:tcPr>
          <w:p w:rsidR="00C739A5" w:rsidRPr="003C527B" w:rsidRDefault="00C739A5" w:rsidP="001363EE">
            <w:pPr>
              <w:autoSpaceDE w:val="0"/>
              <w:autoSpaceDN w:val="0"/>
              <w:adjustRightInd w:val="0"/>
              <w:ind w:right="-59"/>
              <w:rPr>
                <w:sz w:val="16"/>
                <w:szCs w:val="16"/>
              </w:rPr>
            </w:pPr>
            <w:r>
              <w:rPr>
                <w:sz w:val="16"/>
                <w:szCs w:val="16"/>
              </w:rPr>
              <w:t>This is a continuing risk for the Program, and mitigation strategies have been enhanced over the course of the biennium with electronic tools and information material, which have allowed the International Bureau to cope with the 40 per cent increase in filings and helped contain user queries and complaints as to the growing complexity of the system to a minimum.</w:t>
            </w:r>
          </w:p>
        </w:tc>
        <w:tc>
          <w:tcPr>
            <w:tcW w:w="2268" w:type="dxa"/>
            <w:tcBorders>
              <w:top w:val="single" w:sz="4" w:space="0" w:color="auto"/>
            </w:tcBorders>
          </w:tcPr>
          <w:p w:rsidR="00C739A5" w:rsidRPr="003C527B" w:rsidRDefault="00C739A5" w:rsidP="001363EE">
            <w:pPr>
              <w:autoSpaceDE w:val="0"/>
              <w:autoSpaceDN w:val="0"/>
              <w:adjustRightInd w:val="0"/>
              <w:ind w:right="-59"/>
              <w:rPr>
                <w:sz w:val="16"/>
                <w:szCs w:val="16"/>
              </w:rPr>
            </w:pPr>
            <w:r>
              <w:rPr>
                <w:sz w:val="16"/>
                <w:szCs w:val="16"/>
              </w:rPr>
              <w:t>None, as the growth in filings from 2014 to 2015 exceeded expectations, showing that the system’s overall attractiveness was preserved and customer satisfaction was not affected negatively either.</w:t>
            </w:r>
          </w:p>
        </w:tc>
      </w:tr>
    </w:tbl>
    <w:p w:rsidR="00C739A5" w:rsidRPr="00537671" w:rsidRDefault="00C739A5" w:rsidP="001363EE">
      <w:pPr>
        <w:rPr>
          <w:rFonts w:cs="Arial"/>
          <w:color w:val="000000"/>
          <w:szCs w:val="22"/>
        </w:rPr>
      </w:pPr>
    </w:p>
    <w:p w:rsidR="00C739A5" w:rsidRPr="00537671" w:rsidRDefault="00C739A5" w:rsidP="001363EE">
      <w:pPr>
        <w:rPr>
          <w:rFonts w:cs="Arial"/>
          <w:color w:val="000000"/>
          <w:szCs w:val="22"/>
        </w:rPr>
      </w:pPr>
    </w:p>
    <w:p w:rsidR="00C739A5" w:rsidRPr="00537671" w:rsidRDefault="00C739A5" w:rsidP="001363EE">
      <w:pPr>
        <w:rPr>
          <w:b/>
          <w:sz w:val="16"/>
          <w:szCs w:val="18"/>
        </w:rPr>
      </w:pPr>
      <w:r w:rsidRPr="00537671">
        <w:rPr>
          <w:rFonts w:cs="Arial"/>
          <w:color w:val="000000"/>
          <w:szCs w:val="22"/>
        </w:rPr>
        <w:lastRenderedPageBreak/>
        <w:t>RESOURCE UTILIZATION</w:t>
      </w:r>
    </w:p>
    <w:p w:rsidR="00C739A5" w:rsidRPr="008F4A6D" w:rsidRDefault="00C739A5" w:rsidP="001363EE">
      <w:pPr>
        <w:rPr>
          <w:szCs w:val="20"/>
        </w:rPr>
      </w:pPr>
    </w:p>
    <w:p w:rsidR="00C739A5" w:rsidRPr="00383D2D" w:rsidRDefault="00C739A5" w:rsidP="001363EE">
      <w:pPr>
        <w:pStyle w:val="NormalWeb"/>
        <w:spacing w:before="0" w:beforeAutospacing="0" w:after="0" w:afterAutospacing="0"/>
        <w:jc w:val="center"/>
        <w:rPr>
          <w:sz w:val="20"/>
          <w:szCs w:val="20"/>
        </w:rPr>
      </w:pPr>
      <w:r w:rsidRPr="00383D2D">
        <w:rPr>
          <w:color w:val="000000"/>
          <w:sz w:val="20"/>
          <w:szCs w:val="20"/>
        </w:rPr>
        <w:t xml:space="preserve">Budget and Actual Expenditure (by result) </w:t>
      </w:r>
    </w:p>
    <w:p w:rsidR="00C739A5" w:rsidRDefault="00C739A5" w:rsidP="001363EE">
      <w:pPr>
        <w:pStyle w:val="NormalWeb"/>
        <w:spacing w:before="0" w:beforeAutospacing="0" w:after="0" w:afterAutospacing="0"/>
        <w:jc w:val="center"/>
        <w:rPr>
          <w:i/>
          <w:iCs/>
          <w:color w:val="000000"/>
          <w:sz w:val="20"/>
          <w:szCs w:val="20"/>
        </w:rPr>
      </w:pPr>
      <w:r w:rsidRPr="00383D2D">
        <w:rPr>
          <w:i/>
          <w:iCs/>
          <w:color w:val="000000"/>
          <w:sz w:val="20"/>
          <w:szCs w:val="20"/>
        </w:rPr>
        <w:t>(in thousands of Swiss francs)</w:t>
      </w:r>
    </w:p>
    <w:p w:rsidR="00C739A5" w:rsidRDefault="00C739A5" w:rsidP="001363EE"/>
    <w:p w:rsidR="00C739A5" w:rsidRDefault="00C739A5" w:rsidP="001363EE">
      <w:pPr>
        <w:jc w:val="center"/>
      </w:pPr>
      <w:r w:rsidRPr="00FA03EE">
        <w:rPr>
          <w:noProof/>
        </w:rPr>
        <w:drawing>
          <wp:inline distT="0" distB="0" distL="0" distR="0" wp14:anchorId="3E2AE937" wp14:editId="0F41BFD2">
            <wp:extent cx="5135270" cy="1307160"/>
            <wp:effectExtent l="0" t="0" r="0" b="762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5133709" cy="1306763"/>
                    </a:xfrm>
                    <a:prstGeom prst="rect">
                      <a:avLst/>
                    </a:prstGeom>
                    <a:noFill/>
                    <a:ln>
                      <a:noFill/>
                    </a:ln>
                  </pic:spPr>
                </pic:pic>
              </a:graphicData>
            </a:graphic>
          </wp:inline>
        </w:drawing>
      </w:r>
    </w:p>
    <w:p w:rsidR="00C739A5" w:rsidRDefault="00C739A5" w:rsidP="001363EE"/>
    <w:p w:rsidR="00C739A5" w:rsidRDefault="00C739A5" w:rsidP="001363EE">
      <w:pPr>
        <w:pStyle w:val="NormalWeb"/>
        <w:keepNext/>
        <w:keepLines/>
        <w:spacing w:before="0" w:beforeAutospacing="0" w:after="0" w:afterAutospacing="0"/>
        <w:jc w:val="center"/>
        <w:rPr>
          <w:color w:val="000000"/>
          <w:sz w:val="20"/>
          <w:szCs w:val="20"/>
        </w:rPr>
      </w:pPr>
    </w:p>
    <w:p w:rsidR="00C739A5" w:rsidRPr="00383D2D" w:rsidRDefault="00C739A5" w:rsidP="001363EE">
      <w:pPr>
        <w:pStyle w:val="NormalWeb"/>
        <w:keepNext/>
        <w:keepLines/>
        <w:spacing w:before="0" w:beforeAutospacing="0" w:after="0" w:afterAutospacing="0"/>
        <w:jc w:val="center"/>
        <w:rPr>
          <w:sz w:val="20"/>
          <w:szCs w:val="20"/>
        </w:rPr>
      </w:pPr>
      <w:r w:rsidRPr="00383D2D">
        <w:rPr>
          <w:color w:val="000000"/>
          <w:sz w:val="20"/>
          <w:szCs w:val="20"/>
        </w:rPr>
        <w:t xml:space="preserve">Budget and Actual Expenditure (personnel and non-personnel) </w:t>
      </w:r>
    </w:p>
    <w:p w:rsidR="00C739A5" w:rsidRPr="00383D2D" w:rsidRDefault="00C739A5" w:rsidP="001363EE">
      <w:pPr>
        <w:pStyle w:val="NormalWeb"/>
        <w:keepNext/>
        <w:keepLines/>
        <w:spacing w:before="0" w:beforeAutospacing="0" w:after="0" w:afterAutospacing="0"/>
        <w:jc w:val="center"/>
        <w:rPr>
          <w:i/>
          <w:iCs/>
          <w:color w:val="000000"/>
          <w:sz w:val="20"/>
          <w:szCs w:val="20"/>
        </w:rPr>
      </w:pPr>
      <w:r w:rsidRPr="00383D2D">
        <w:rPr>
          <w:i/>
          <w:iCs/>
          <w:color w:val="000000"/>
          <w:sz w:val="20"/>
          <w:szCs w:val="20"/>
        </w:rPr>
        <w:t>(in thousands of Swiss francs)</w:t>
      </w:r>
    </w:p>
    <w:p w:rsidR="00C739A5" w:rsidRDefault="00C739A5" w:rsidP="001363EE">
      <w:pPr>
        <w:pStyle w:val="NormalWeb"/>
        <w:keepNext/>
        <w:keepLines/>
        <w:spacing w:before="0" w:beforeAutospacing="0" w:after="0" w:afterAutospacing="0"/>
        <w:jc w:val="center"/>
      </w:pPr>
    </w:p>
    <w:p w:rsidR="00C739A5" w:rsidRDefault="00C739A5" w:rsidP="001363EE">
      <w:pPr>
        <w:widowControl w:val="0"/>
        <w:autoSpaceDE w:val="0"/>
        <w:autoSpaceDN w:val="0"/>
        <w:adjustRightInd w:val="0"/>
        <w:jc w:val="center"/>
        <w:rPr>
          <w:rFonts w:cs="Arial"/>
          <w:szCs w:val="20"/>
        </w:rPr>
      </w:pPr>
      <w:r w:rsidRPr="00803775">
        <w:rPr>
          <w:noProof/>
        </w:rPr>
        <w:drawing>
          <wp:inline distT="0" distB="0" distL="0" distR="0" wp14:anchorId="686890C9" wp14:editId="0E876363">
            <wp:extent cx="5237684" cy="1038104"/>
            <wp:effectExtent l="0" t="0" r="127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5238876" cy="1038340"/>
                    </a:xfrm>
                    <a:prstGeom prst="rect">
                      <a:avLst/>
                    </a:prstGeom>
                    <a:noFill/>
                    <a:ln>
                      <a:noFill/>
                    </a:ln>
                  </pic:spPr>
                </pic:pic>
              </a:graphicData>
            </a:graphic>
          </wp:inline>
        </w:drawing>
      </w:r>
    </w:p>
    <w:p w:rsidR="00C739A5" w:rsidRDefault="00C739A5" w:rsidP="001363EE">
      <w:pPr>
        <w:widowControl w:val="0"/>
        <w:autoSpaceDE w:val="0"/>
        <w:autoSpaceDN w:val="0"/>
        <w:adjustRightInd w:val="0"/>
        <w:rPr>
          <w:rFonts w:cs="Arial"/>
          <w:szCs w:val="20"/>
        </w:rPr>
      </w:pPr>
    </w:p>
    <w:p w:rsidR="00C739A5" w:rsidRPr="008F4A6D" w:rsidRDefault="00C739A5" w:rsidP="001363EE">
      <w:pPr>
        <w:widowControl w:val="0"/>
        <w:autoSpaceDE w:val="0"/>
        <w:autoSpaceDN w:val="0"/>
        <w:adjustRightInd w:val="0"/>
        <w:rPr>
          <w:rFonts w:cs="Arial"/>
          <w:szCs w:val="20"/>
        </w:rPr>
      </w:pPr>
    </w:p>
    <w:p w:rsidR="00C739A5" w:rsidRDefault="00C739A5" w:rsidP="001363EE">
      <w:pPr>
        <w:rPr>
          <w:rFonts w:cs="Arial"/>
          <w:u w:val="single"/>
        </w:rPr>
      </w:pPr>
      <w:r w:rsidRPr="00420F90">
        <w:rPr>
          <w:rFonts w:cs="Arial"/>
          <w:szCs w:val="20"/>
        </w:rPr>
        <w:t>A.</w:t>
      </w:r>
      <w:r w:rsidRPr="00420F90">
        <w:rPr>
          <w:rFonts w:cs="Arial"/>
        </w:rPr>
        <w:tab/>
      </w:r>
      <w:r w:rsidRPr="00420F90">
        <w:rPr>
          <w:rFonts w:cs="Arial"/>
          <w:u w:val="single"/>
        </w:rPr>
        <w:t>201</w:t>
      </w:r>
      <w:r>
        <w:rPr>
          <w:rFonts w:cs="Arial"/>
          <w:u w:val="single"/>
        </w:rPr>
        <w:t xml:space="preserve">4/15 Final </w:t>
      </w:r>
      <w:r w:rsidRPr="00420F90">
        <w:rPr>
          <w:rFonts w:cs="Arial"/>
          <w:u w:val="single"/>
        </w:rPr>
        <w:t xml:space="preserve">Budget after Transfers </w:t>
      </w:r>
    </w:p>
    <w:p w:rsidR="00C739A5" w:rsidRDefault="00C739A5" w:rsidP="001363EE">
      <w:pPr>
        <w:rPr>
          <w:rFonts w:cs="Arial"/>
          <w:u w:val="single"/>
        </w:rPr>
      </w:pPr>
    </w:p>
    <w:p w:rsidR="00C739A5" w:rsidRDefault="00C739A5" w:rsidP="00C739A5">
      <w:pPr>
        <w:pStyle w:val="ListParagraph"/>
        <w:numPr>
          <w:ilvl w:val="0"/>
          <w:numId w:val="38"/>
        </w:numPr>
        <w:tabs>
          <w:tab w:val="left" w:pos="709"/>
        </w:tabs>
        <w:ind w:left="0" w:firstLine="0"/>
        <w:jc w:val="both"/>
      </w:pPr>
      <w:r w:rsidRPr="00537671">
        <w:rPr>
          <w:rFonts w:cs="Arial"/>
        </w:rPr>
        <w:t>The</w:t>
      </w:r>
      <w:r w:rsidRPr="000C1926">
        <w:t xml:space="preserve"> </w:t>
      </w:r>
      <w:r>
        <w:t xml:space="preserve">2014/15 Final </w:t>
      </w:r>
      <w:r w:rsidRPr="000C1926">
        <w:t>Budget after Transfer</w:t>
      </w:r>
      <w:r>
        <w:t>s</w:t>
      </w:r>
      <w:r w:rsidRPr="000C1926">
        <w:t xml:space="preserve"> reflects a net increase in personnel resources primarily due to</w:t>
      </w:r>
      <w:r>
        <w:t xml:space="preserve">: </w:t>
      </w:r>
      <w:r w:rsidRPr="000C1926">
        <w:t xml:space="preserve"> </w:t>
      </w:r>
      <w:r>
        <w:t xml:space="preserve">(i) </w:t>
      </w:r>
      <w:r w:rsidRPr="000C1926">
        <w:t xml:space="preserve">the temporary transfer of a staff member from Program 10 </w:t>
      </w:r>
      <w:r>
        <w:t xml:space="preserve">(Cooperation with Certain Countries in Europe and Asia) </w:t>
      </w:r>
      <w:r w:rsidRPr="000C1926">
        <w:t xml:space="preserve">to </w:t>
      </w:r>
      <w:r>
        <w:t xml:space="preserve">the </w:t>
      </w:r>
      <w:r w:rsidRPr="000C1926">
        <w:t>Program to provide additional support for the Working Group meetings and promotion</w:t>
      </w:r>
      <w:r>
        <w:t>al</w:t>
      </w:r>
      <w:r w:rsidRPr="000C1926">
        <w:t xml:space="preserve"> activities</w:t>
      </w:r>
      <w:r>
        <w:t xml:space="preserve">;  </w:t>
      </w:r>
      <w:r w:rsidRPr="00CB4790">
        <w:t>and (ii) the transfer of additional personnel resources, including two temporary positions from Programs 9 and 19, to support the additional examination demands resulting from the accessions of Japan, the Republic of Korea and the United States of America.</w:t>
      </w:r>
      <w:r w:rsidRPr="000C1926">
        <w:t xml:space="preserve">  This is reflected under Result</w:t>
      </w:r>
      <w:r>
        <w:t> </w:t>
      </w:r>
      <w:r w:rsidRPr="000C1926">
        <w:t xml:space="preserve">II.5 (Improved productivity and service quality of the Hague operations).  </w:t>
      </w:r>
    </w:p>
    <w:p w:rsidR="00C739A5" w:rsidRDefault="00C739A5" w:rsidP="001363EE">
      <w:pPr>
        <w:pStyle w:val="ListParagraph"/>
        <w:tabs>
          <w:tab w:val="left" w:pos="709"/>
        </w:tabs>
        <w:ind w:left="0"/>
        <w:jc w:val="both"/>
      </w:pPr>
    </w:p>
    <w:p w:rsidR="00C739A5" w:rsidRPr="000C1926" w:rsidRDefault="00C739A5" w:rsidP="00C739A5">
      <w:pPr>
        <w:pStyle w:val="ListParagraph"/>
        <w:numPr>
          <w:ilvl w:val="0"/>
          <w:numId w:val="38"/>
        </w:numPr>
        <w:tabs>
          <w:tab w:val="left" w:pos="709"/>
        </w:tabs>
        <w:ind w:left="0" w:firstLine="0"/>
        <w:jc w:val="both"/>
      </w:pPr>
      <w:r w:rsidRPr="000C1926">
        <w:t>The net decrease in non-personnel resources</w:t>
      </w:r>
      <w:r>
        <w:t xml:space="preserve"> under Result II.4 </w:t>
      </w:r>
      <w:r w:rsidRPr="00E967B5">
        <w:t>(</w:t>
      </w:r>
      <w:r>
        <w:t>Wider and b</w:t>
      </w:r>
      <w:r w:rsidRPr="00E967B5">
        <w:t xml:space="preserve">etter </w:t>
      </w:r>
      <w:r>
        <w:t>use</w:t>
      </w:r>
      <w:r w:rsidRPr="00E967B5">
        <w:t xml:space="preserve"> of the Hague System)</w:t>
      </w:r>
      <w:r>
        <w:t xml:space="preserve"> </w:t>
      </w:r>
      <w:r w:rsidRPr="000C1926">
        <w:t>is primarily due to:</w:t>
      </w:r>
      <w:r>
        <w:t xml:space="preserve"> </w:t>
      </w:r>
      <w:r w:rsidRPr="000C1926">
        <w:t xml:space="preserve"> (i) the transfer of non-personnel resources for an intern (to Program 23 </w:t>
      </w:r>
      <w:r>
        <w:t xml:space="preserve">(HRMD) </w:t>
      </w:r>
      <w:r w:rsidRPr="000C1926">
        <w:t>which centrally manages interns)</w:t>
      </w:r>
      <w:r>
        <w:t xml:space="preserve"> </w:t>
      </w:r>
      <w:r w:rsidRPr="000C1926">
        <w:t>to support the work on new accessions</w:t>
      </w:r>
      <w:r>
        <w:t xml:space="preserve">;  and </w:t>
      </w:r>
      <w:r w:rsidRPr="000C1926">
        <w:t xml:space="preserve">(ii) </w:t>
      </w:r>
      <w:r>
        <w:t xml:space="preserve">the transfer of funds to Program 6 (Madrid and Lisbon Systems) </w:t>
      </w:r>
      <w:r>
        <w:rPr>
          <w:rFonts w:cs="Arial"/>
          <w:lang w:eastAsia="ko-KR"/>
        </w:rPr>
        <w:t>for IT-related work, as well as to cover the cost of additional delegates to the Assemblies of the Madrid, Hague and Lisbon Unions as a result of the growth of the Systems</w:t>
      </w:r>
      <w:r w:rsidRPr="000C1926">
        <w:t xml:space="preserve">. </w:t>
      </w:r>
    </w:p>
    <w:p w:rsidR="00C739A5" w:rsidRDefault="00C739A5" w:rsidP="001363EE">
      <w:pPr>
        <w:autoSpaceDE w:val="0"/>
        <w:autoSpaceDN w:val="0"/>
        <w:jc w:val="both"/>
        <w:rPr>
          <w:rFonts w:cs="Arial"/>
          <w:szCs w:val="20"/>
          <w:lang w:eastAsia="ko-KR"/>
        </w:rPr>
      </w:pPr>
    </w:p>
    <w:p w:rsidR="00C739A5" w:rsidRDefault="00C739A5" w:rsidP="001363EE">
      <w:pPr>
        <w:jc w:val="both"/>
        <w:rPr>
          <w:rFonts w:cs="Arial"/>
          <w:szCs w:val="20"/>
          <w:u w:val="single"/>
          <w:lang w:eastAsia="ko-KR"/>
        </w:rPr>
      </w:pPr>
      <w:r>
        <w:rPr>
          <w:rFonts w:cs="Arial"/>
          <w:szCs w:val="20"/>
          <w:lang w:eastAsia="ko-KR"/>
        </w:rPr>
        <w:t>B.</w:t>
      </w:r>
      <w:r>
        <w:rPr>
          <w:rFonts w:cs="Arial"/>
          <w:szCs w:val="20"/>
          <w:lang w:eastAsia="ko-KR"/>
        </w:rPr>
        <w:tab/>
      </w:r>
      <w:r w:rsidRPr="00420F90">
        <w:rPr>
          <w:rFonts w:cs="Arial"/>
          <w:u w:val="single"/>
        </w:rPr>
        <w:t>201</w:t>
      </w:r>
      <w:r>
        <w:rPr>
          <w:rFonts w:cs="Arial"/>
          <w:u w:val="single"/>
        </w:rPr>
        <w:t xml:space="preserve">4/15 </w:t>
      </w:r>
      <w:r>
        <w:rPr>
          <w:rFonts w:cs="Arial"/>
          <w:szCs w:val="20"/>
          <w:u w:val="single"/>
          <w:lang w:eastAsia="ko-KR"/>
        </w:rPr>
        <w:t xml:space="preserve">Budget Utilization </w:t>
      </w:r>
    </w:p>
    <w:p w:rsidR="00C739A5" w:rsidRDefault="00C739A5" w:rsidP="001363EE">
      <w:pPr>
        <w:jc w:val="both"/>
        <w:rPr>
          <w:rFonts w:cs="Arial"/>
          <w:szCs w:val="20"/>
          <w:u w:val="single"/>
          <w:lang w:eastAsia="ko-KR"/>
        </w:rPr>
      </w:pPr>
    </w:p>
    <w:p w:rsidR="00C739A5" w:rsidRDefault="00C739A5" w:rsidP="00C739A5">
      <w:pPr>
        <w:pStyle w:val="ListParagraph"/>
        <w:numPr>
          <w:ilvl w:val="0"/>
          <w:numId w:val="38"/>
        </w:numPr>
        <w:tabs>
          <w:tab w:val="left" w:pos="709"/>
        </w:tabs>
        <w:ind w:left="0" w:firstLine="0"/>
        <w:jc w:val="both"/>
      </w:pPr>
      <w:r w:rsidRPr="00537671">
        <w:rPr>
          <w:rFonts w:cs="Arial"/>
        </w:rPr>
        <w:t>The</w:t>
      </w:r>
      <w:r w:rsidRPr="00E967B5">
        <w:t xml:space="preserve"> no</w:t>
      </w:r>
      <w:r w:rsidRPr="00537671">
        <w:rPr>
          <w:rFonts w:cs="Arial"/>
        </w:rPr>
        <w:t>n</w:t>
      </w:r>
      <w:r w:rsidRPr="00E967B5">
        <w:t xml:space="preserve">-personnel budget utilization rate for the Program amounted to </w:t>
      </w:r>
      <w:r>
        <w:t>81</w:t>
      </w:r>
      <w:r w:rsidRPr="00E967B5">
        <w:t xml:space="preserve"> per cent of the </w:t>
      </w:r>
      <w:r>
        <w:t xml:space="preserve">2014/15 </w:t>
      </w:r>
      <w:r w:rsidRPr="00E967B5">
        <w:t xml:space="preserve">Budget after Transfers.  This resulted primarily from a delay in IT-related work due to the postponement </w:t>
      </w:r>
      <w:r>
        <w:t>of</w:t>
      </w:r>
      <w:r w:rsidRPr="00E967B5">
        <w:t xml:space="preserve"> the accessions of certain Contracting Parties under Result II.</w:t>
      </w:r>
      <w:r>
        <w:t>4</w:t>
      </w:r>
      <w:r w:rsidRPr="00E967B5">
        <w:t xml:space="preserve"> (</w:t>
      </w:r>
      <w:r>
        <w:t>Wider and b</w:t>
      </w:r>
      <w:r w:rsidRPr="00E967B5">
        <w:t xml:space="preserve">etter </w:t>
      </w:r>
      <w:r>
        <w:t>use</w:t>
      </w:r>
      <w:r w:rsidRPr="00E967B5">
        <w:t xml:space="preserve"> of the Hague System).</w:t>
      </w:r>
    </w:p>
    <w:p w:rsidR="00C739A5" w:rsidRDefault="00C739A5" w:rsidP="001363EE">
      <w:pPr>
        <w:jc w:val="both"/>
        <w:rPr>
          <w:rFonts w:cs="Arial"/>
          <w:szCs w:val="20"/>
          <w:u w:val="single"/>
          <w:lang w:eastAsia="ko-KR"/>
        </w:rPr>
      </w:pPr>
    </w:p>
    <w:p w:rsidR="00B1072F" w:rsidRPr="001C6F4D" w:rsidRDefault="00B1072F" w:rsidP="000E148D">
      <w:pPr>
        <w:rPr>
          <w:szCs w:val="20"/>
        </w:rPr>
      </w:pPr>
    </w:p>
    <w:p w:rsidR="00017954" w:rsidRDefault="00017954">
      <w:r>
        <w:br w:type="page"/>
      </w:r>
    </w:p>
    <w:p w:rsidR="00017954" w:rsidRPr="00FA0C5A" w:rsidRDefault="00017954" w:rsidP="00FA0C5A">
      <w:pPr>
        <w:pStyle w:val="StyleHeading3BoldNounderline"/>
        <w:rPr>
          <w:b/>
        </w:rPr>
      </w:pPr>
      <w:bookmarkStart w:id="67" w:name="_Toc454544472"/>
      <w:r w:rsidRPr="00FA0C5A">
        <w:rPr>
          <w:b/>
        </w:rPr>
        <w:lastRenderedPageBreak/>
        <w:t>Program 31 Annex:    Indicators of the Hague System Operations</w:t>
      </w:r>
      <w:bookmarkEnd w:id="67"/>
    </w:p>
    <w:p w:rsidR="00017954" w:rsidRPr="00FA0C5A" w:rsidRDefault="00017954" w:rsidP="009F72A7">
      <w:pPr>
        <w:autoSpaceDE w:val="0"/>
        <w:autoSpaceDN w:val="0"/>
        <w:adjustRightInd w:val="0"/>
        <w:rPr>
          <w:b/>
        </w:rPr>
      </w:pPr>
    </w:p>
    <w:p w:rsidR="00017954" w:rsidRDefault="00017954" w:rsidP="009F72A7">
      <w:pPr>
        <w:autoSpaceDE w:val="0"/>
        <w:autoSpaceDN w:val="0"/>
        <w:adjustRightInd w:val="0"/>
      </w:pPr>
    </w:p>
    <w:p w:rsidR="00017954" w:rsidRPr="00DC6A4E" w:rsidRDefault="00017954" w:rsidP="00017954">
      <w:r w:rsidRPr="00DC6A4E">
        <w:t>PERFORMANCE INDICATORS FOR THE EXPECTED RESULT</w:t>
      </w:r>
    </w:p>
    <w:p w:rsidR="00017954" w:rsidRPr="00DC6A4E" w:rsidRDefault="00017954" w:rsidP="00017954">
      <w:r w:rsidRPr="00DC6A4E">
        <w:t>“IMPROVED PRODUCTIVITY AND SERVICE QUALITY OF THE HAGUE OPERATIONS”</w:t>
      </w:r>
    </w:p>
    <w:p w:rsidR="00017954" w:rsidRDefault="00017954" w:rsidP="00017954">
      <w:pPr>
        <w:rPr>
          <w:b/>
        </w:rPr>
      </w:pPr>
    </w:p>
    <w:p w:rsidR="00603FB5" w:rsidRDefault="00603FB5" w:rsidP="00017954">
      <w:pPr>
        <w:rPr>
          <w:b/>
        </w:rPr>
      </w:pPr>
    </w:p>
    <w:p w:rsidR="00603FB5" w:rsidRPr="00687982" w:rsidRDefault="00603FB5" w:rsidP="001346E3">
      <w:pPr>
        <w:pStyle w:val="ListParagraph"/>
        <w:numPr>
          <w:ilvl w:val="0"/>
          <w:numId w:val="42"/>
        </w:numPr>
        <w:tabs>
          <w:tab w:val="left" w:pos="0"/>
          <w:tab w:val="left" w:pos="567"/>
        </w:tabs>
        <w:ind w:left="0" w:firstLine="0"/>
        <w:contextualSpacing/>
        <w:jc w:val="both"/>
        <w:rPr>
          <w:rFonts w:cs="Arial"/>
        </w:rPr>
      </w:pPr>
      <w:r w:rsidRPr="00687982">
        <w:rPr>
          <w:rFonts w:cs="Arial"/>
        </w:rPr>
        <w:t xml:space="preserve">As background for the performance indicators for the expected result “improved productivity and service quality of the Hague </w:t>
      </w:r>
      <w:r>
        <w:rPr>
          <w:rFonts w:cs="Arial"/>
        </w:rPr>
        <w:t>System O</w:t>
      </w:r>
      <w:r w:rsidRPr="00687982">
        <w:rPr>
          <w:rFonts w:cs="Arial"/>
        </w:rPr>
        <w:t>perations”, the evolution of the following factors needs to be considered:</w:t>
      </w:r>
    </w:p>
    <w:p w:rsidR="00603FB5" w:rsidRPr="00687982" w:rsidRDefault="00603FB5" w:rsidP="001363EE">
      <w:pPr>
        <w:pStyle w:val="ListParagraph"/>
        <w:tabs>
          <w:tab w:val="left" w:pos="0"/>
          <w:tab w:val="left" w:pos="567"/>
        </w:tabs>
        <w:ind w:left="0"/>
        <w:jc w:val="both"/>
        <w:rPr>
          <w:rFonts w:cs="Arial"/>
        </w:rPr>
      </w:pPr>
    </w:p>
    <w:p w:rsidR="00603FB5" w:rsidRPr="00687982" w:rsidRDefault="00603FB5" w:rsidP="00603FB5">
      <w:pPr>
        <w:numPr>
          <w:ilvl w:val="0"/>
          <w:numId w:val="39"/>
        </w:numPr>
        <w:tabs>
          <w:tab w:val="clear" w:pos="720"/>
          <w:tab w:val="num" w:pos="1134"/>
        </w:tabs>
        <w:spacing w:after="120"/>
        <w:ind w:left="567" w:firstLine="0"/>
        <w:jc w:val="both"/>
        <w:rPr>
          <w:rFonts w:cs="Arial"/>
        </w:rPr>
      </w:pPr>
      <w:r w:rsidRPr="00687982">
        <w:rPr>
          <w:rFonts w:cs="Arial"/>
        </w:rPr>
        <w:t xml:space="preserve">The Hague </w:t>
      </w:r>
      <w:r>
        <w:rPr>
          <w:rFonts w:cs="Arial"/>
        </w:rPr>
        <w:t>S</w:t>
      </w:r>
      <w:r w:rsidRPr="00687982">
        <w:rPr>
          <w:rFonts w:cs="Arial"/>
        </w:rPr>
        <w:t>ystem workloads;</w:t>
      </w:r>
    </w:p>
    <w:p w:rsidR="00603FB5" w:rsidRPr="00687982" w:rsidRDefault="00603FB5" w:rsidP="00603FB5">
      <w:pPr>
        <w:numPr>
          <w:ilvl w:val="0"/>
          <w:numId w:val="39"/>
        </w:numPr>
        <w:tabs>
          <w:tab w:val="clear" w:pos="720"/>
          <w:tab w:val="num" w:pos="1134"/>
        </w:tabs>
        <w:spacing w:after="120"/>
        <w:ind w:left="567" w:firstLine="0"/>
        <w:jc w:val="both"/>
        <w:rPr>
          <w:rFonts w:cs="Arial"/>
        </w:rPr>
      </w:pPr>
      <w:r>
        <w:rPr>
          <w:rFonts w:cs="Arial"/>
        </w:rPr>
        <w:t>T</w:t>
      </w:r>
      <w:r w:rsidRPr="00687982">
        <w:rPr>
          <w:rFonts w:cs="Arial"/>
        </w:rPr>
        <w:t>he composition of those workloads;</w:t>
      </w:r>
    </w:p>
    <w:p w:rsidR="00603FB5" w:rsidRPr="00687982" w:rsidRDefault="00603FB5" w:rsidP="00603FB5">
      <w:pPr>
        <w:numPr>
          <w:ilvl w:val="0"/>
          <w:numId w:val="39"/>
        </w:numPr>
        <w:tabs>
          <w:tab w:val="clear" w:pos="720"/>
          <w:tab w:val="num" w:pos="1134"/>
        </w:tabs>
        <w:spacing w:after="120"/>
        <w:ind w:left="567" w:firstLine="0"/>
        <w:jc w:val="both"/>
        <w:rPr>
          <w:rFonts w:cs="Arial"/>
        </w:rPr>
      </w:pPr>
      <w:r>
        <w:rPr>
          <w:rFonts w:cs="Arial"/>
        </w:rPr>
        <w:t>T</w:t>
      </w:r>
      <w:r w:rsidRPr="00687982">
        <w:rPr>
          <w:rFonts w:cs="Arial"/>
        </w:rPr>
        <w:t>he level of automation;  and</w:t>
      </w:r>
      <w:r>
        <w:rPr>
          <w:rFonts w:cs="Arial"/>
        </w:rPr>
        <w:t>,</w:t>
      </w:r>
    </w:p>
    <w:p w:rsidR="00603FB5" w:rsidRPr="00687982" w:rsidRDefault="00603FB5" w:rsidP="00603FB5">
      <w:pPr>
        <w:numPr>
          <w:ilvl w:val="0"/>
          <w:numId w:val="39"/>
        </w:numPr>
        <w:tabs>
          <w:tab w:val="clear" w:pos="720"/>
          <w:tab w:val="num" w:pos="1134"/>
        </w:tabs>
        <w:ind w:left="567" w:firstLine="0"/>
        <w:jc w:val="both"/>
        <w:rPr>
          <w:rFonts w:cs="Arial"/>
        </w:rPr>
      </w:pPr>
      <w:r>
        <w:rPr>
          <w:rFonts w:cs="Arial"/>
        </w:rPr>
        <w:t>T</w:t>
      </w:r>
      <w:r w:rsidRPr="00687982">
        <w:rPr>
          <w:rFonts w:cs="Arial"/>
        </w:rPr>
        <w:t>he resources assigned to cope with the workload.</w:t>
      </w:r>
    </w:p>
    <w:p w:rsidR="00603FB5" w:rsidRPr="00687982" w:rsidRDefault="00603FB5" w:rsidP="001363EE">
      <w:pPr>
        <w:jc w:val="both"/>
        <w:rPr>
          <w:rFonts w:cs="Arial"/>
        </w:rPr>
      </w:pPr>
    </w:p>
    <w:p w:rsidR="00603FB5" w:rsidRPr="00687982" w:rsidRDefault="00603FB5" w:rsidP="001346E3">
      <w:pPr>
        <w:pStyle w:val="ListParagraph"/>
        <w:numPr>
          <w:ilvl w:val="0"/>
          <w:numId w:val="42"/>
        </w:numPr>
        <w:tabs>
          <w:tab w:val="left" w:pos="0"/>
          <w:tab w:val="left" w:pos="567"/>
        </w:tabs>
        <w:ind w:left="0" w:firstLine="0"/>
        <w:contextualSpacing/>
        <w:jc w:val="both"/>
        <w:rPr>
          <w:rFonts w:cs="Arial"/>
        </w:rPr>
      </w:pPr>
      <w:r w:rsidRPr="00687982">
        <w:rPr>
          <w:rFonts w:cs="Arial"/>
        </w:rPr>
        <w:t xml:space="preserve">The International Bureau (IB) receives four main types of documents, namely international applications, renewals, changes and decisions.  The latest trend for each of these documents is presented below.  Additional information on the applications received, such as their average number of designs, is also provided.  For technical reasons, the indicator on the irregularities issued shows data based on processed rather than incoming documents. </w:t>
      </w:r>
    </w:p>
    <w:p w:rsidR="00603FB5" w:rsidRPr="00687982" w:rsidRDefault="00603FB5" w:rsidP="001363EE">
      <w:pPr>
        <w:pStyle w:val="ListParagraph"/>
        <w:tabs>
          <w:tab w:val="left" w:pos="0"/>
          <w:tab w:val="left" w:pos="567"/>
        </w:tabs>
        <w:ind w:left="0"/>
        <w:jc w:val="both"/>
        <w:rPr>
          <w:rFonts w:cs="Arial"/>
        </w:rPr>
      </w:pPr>
    </w:p>
    <w:p w:rsidR="00603FB5" w:rsidRPr="00687982" w:rsidRDefault="00603FB5" w:rsidP="001363EE">
      <w:pPr>
        <w:tabs>
          <w:tab w:val="left" w:pos="567"/>
        </w:tabs>
        <w:spacing w:before="120" w:after="240"/>
        <w:rPr>
          <w:rFonts w:cs="Arial"/>
          <w:b/>
        </w:rPr>
      </w:pPr>
      <w:r w:rsidRPr="00687982">
        <w:rPr>
          <w:rFonts w:cs="Arial"/>
          <w:b/>
        </w:rPr>
        <w:t>I.</w:t>
      </w:r>
      <w:r w:rsidRPr="00687982">
        <w:rPr>
          <w:rFonts w:cs="Arial"/>
          <w:b/>
        </w:rPr>
        <w:tab/>
        <w:t>Incoming Documents</w:t>
      </w:r>
    </w:p>
    <w:p w:rsidR="00603FB5" w:rsidRPr="00687982" w:rsidRDefault="00603FB5" w:rsidP="001363EE">
      <w:pPr>
        <w:spacing w:before="120" w:after="240"/>
        <w:rPr>
          <w:rFonts w:cs="Arial"/>
          <w:u w:val="single"/>
        </w:rPr>
      </w:pPr>
      <w:r w:rsidRPr="00687982">
        <w:rPr>
          <w:rFonts w:cs="Arial"/>
          <w:u w:val="single"/>
        </w:rPr>
        <w:t>Applications</w:t>
      </w:r>
      <w:r>
        <w:rPr>
          <w:rFonts w:cs="Arial"/>
          <w:u w:val="single"/>
        </w:rPr>
        <w:t xml:space="preserve"> received</w:t>
      </w:r>
    </w:p>
    <w:p w:rsidR="00603FB5" w:rsidRPr="00687982" w:rsidRDefault="00603FB5" w:rsidP="001363EE">
      <w:pPr>
        <w:spacing w:before="120" w:after="240"/>
        <w:jc w:val="center"/>
        <w:rPr>
          <w:rFonts w:cs="Arial"/>
        </w:rPr>
      </w:pPr>
      <w:r w:rsidRPr="00687982">
        <w:rPr>
          <w:rFonts w:cs="Arial"/>
          <w:noProof/>
        </w:rPr>
        <w:drawing>
          <wp:inline distT="0" distB="0" distL="0" distR="0" wp14:anchorId="7AFC83CF" wp14:editId="44599AE7">
            <wp:extent cx="4114800" cy="2602752"/>
            <wp:effectExtent l="0" t="0" r="0" b="762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4121407" cy="2606931"/>
                    </a:xfrm>
                    <a:prstGeom prst="rect">
                      <a:avLst/>
                    </a:prstGeom>
                    <a:noFill/>
                  </pic:spPr>
                </pic:pic>
              </a:graphicData>
            </a:graphic>
          </wp:inline>
        </w:drawing>
      </w:r>
    </w:p>
    <w:p w:rsidR="00603FB5" w:rsidRPr="00603FB5" w:rsidRDefault="00603FB5" w:rsidP="001346E3">
      <w:pPr>
        <w:pStyle w:val="BodyText2"/>
        <w:numPr>
          <w:ilvl w:val="0"/>
          <w:numId w:val="43"/>
        </w:numPr>
        <w:tabs>
          <w:tab w:val="clear" w:pos="720"/>
        </w:tabs>
        <w:spacing w:after="60" w:line="240" w:lineRule="auto"/>
        <w:ind w:left="993" w:hanging="426"/>
        <w:jc w:val="both"/>
        <w:rPr>
          <w:rFonts w:cs="Arial"/>
          <w:sz w:val="18"/>
          <w:szCs w:val="20"/>
        </w:rPr>
      </w:pPr>
      <w:r w:rsidRPr="00603FB5">
        <w:rPr>
          <w:rFonts w:cs="Arial"/>
        </w:rPr>
        <w:t>In 2015, the IB received 4,111 international applications, up 41 per cent from 2014.  In addition to applications from the European Union (+352 applications), those from the Republic of Korea (+487 applications), the United States of America (+140 applications) and Japan (+128</w:t>
      </w:r>
      <w:r w:rsidR="00100D47">
        <w:rPr>
          <w:rFonts w:cs="Arial"/>
        </w:rPr>
        <w:t> </w:t>
      </w:r>
      <w:r w:rsidRPr="00603FB5">
        <w:rPr>
          <w:rFonts w:cs="Arial"/>
        </w:rPr>
        <w:t xml:space="preserve">applications), all of which joined the Hague System in 2014/15, also contributed to this increase.  </w:t>
      </w:r>
      <w:r w:rsidRPr="00603FB5">
        <w:rPr>
          <w:rFonts w:cs="Arial"/>
          <w:szCs w:val="20"/>
        </w:rPr>
        <w:t>The total number of applications received in 2014/15 (7,035) increased by 26 per cent compared to 2012/13 (5,594).</w:t>
      </w:r>
    </w:p>
    <w:p w:rsidR="00603FB5" w:rsidRPr="00687982" w:rsidRDefault="00603FB5" w:rsidP="00603FB5">
      <w:pPr>
        <w:pStyle w:val="ListParagraph"/>
        <w:ind w:left="851" w:hanging="491"/>
        <w:jc w:val="both"/>
        <w:rPr>
          <w:rFonts w:cs="Arial"/>
        </w:rPr>
      </w:pPr>
    </w:p>
    <w:p w:rsidR="00603FB5" w:rsidRPr="00687982" w:rsidRDefault="00603FB5" w:rsidP="001346E3">
      <w:pPr>
        <w:pStyle w:val="BodyText2"/>
        <w:numPr>
          <w:ilvl w:val="0"/>
          <w:numId w:val="43"/>
        </w:numPr>
        <w:tabs>
          <w:tab w:val="clear" w:pos="720"/>
        </w:tabs>
        <w:spacing w:after="60" w:line="240" w:lineRule="auto"/>
        <w:ind w:left="993" w:hanging="426"/>
        <w:jc w:val="both"/>
        <w:rPr>
          <w:rFonts w:cs="Arial"/>
        </w:rPr>
      </w:pPr>
      <w:r w:rsidRPr="00687982">
        <w:rPr>
          <w:rFonts w:cs="Arial"/>
        </w:rPr>
        <w:t>In 2015, 93 per cent of applications were filed electronically</w:t>
      </w:r>
      <w:r>
        <w:rPr>
          <w:rFonts w:cs="Arial"/>
        </w:rPr>
        <w:t>, a four per cent increase over 2014</w:t>
      </w:r>
      <w:r w:rsidRPr="00687982">
        <w:rPr>
          <w:rFonts w:cs="Arial"/>
        </w:rPr>
        <w:t xml:space="preserve">. </w:t>
      </w:r>
      <w:r>
        <w:rPr>
          <w:rFonts w:cs="Arial"/>
        </w:rPr>
        <w:t xml:space="preserve"> </w:t>
      </w:r>
      <w:r w:rsidRPr="00687982">
        <w:rPr>
          <w:rFonts w:cs="Arial"/>
        </w:rPr>
        <w:t xml:space="preserve">The share of electronic filings </w:t>
      </w:r>
      <w:r>
        <w:rPr>
          <w:rFonts w:cs="Arial"/>
        </w:rPr>
        <w:t xml:space="preserve">increased by 14 percentage points between 2011 and 2015, from </w:t>
      </w:r>
      <w:r w:rsidRPr="00687982">
        <w:rPr>
          <w:rFonts w:cs="Arial"/>
        </w:rPr>
        <w:t>79 per cent in 2011</w:t>
      </w:r>
      <w:r>
        <w:rPr>
          <w:rFonts w:cs="Arial"/>
        </w:rPr>
        <w:t xml:space="preserve"> to 93 per cent in 2015.</w:t>
      </w:r>
    </w:p>
    <w:p w:rsidR="00603FB5" w:rsidRPr="00687982" w:rsidRDefault="00603FB5" w:rsidP="00603FB5">
      <w:pPr>
        <w:keepNext/>
        <w:keepLines/>
        <w:rPr>
          <w:rFonts w:cs="Arial"/>
          <w:i/>
        </w:rPr>
      </w:pPr>
      <w:r w:rsidRPr="00687982">
        <w:rPr>
          <w:rFonts w:cs="Arial"/>
          <w:i/>
        </w:rPr>
        <w:lastRenderedPageBreak/>
        <w:t>Average number of designs per application</w:t>
      </w:r>
    </w:p>
    <w:p w:rsidR="00603FB5" w:rsidRPr="00687982" w:rsidRDefault="00603FB5" w:rsidP="00603FB5">
      <w:pPr>
        <w:keepNext/>
        <w:keepLines/>
        <w:tabs>
          <w:tab w:val="left" w:pos="1134"/>
        </w:tabs>
        <w:spacing w:before="120" w:after="240"/>
        <w:jc w:val="center"/>
        <w:rPr>
          <w:rFonts w:cs="Arial"/>
        </w:rPr>
      </w:pPr>
      <w:r w:rsidRPr="00687982">
        <w:rPr>
          <w:rFonts w:cs="Arial"/>
          <w:noProof/>
        </w:rPr>
        <w:drawing>
          <wp:inline distT="0" distB="0" distL="0" distR="0" wp14:anchorId="3C986FC0" wp14:editId="3F03FECD">
            <wp:extent cx="4261900" cy="2698765"/>
            <wp:effectExtent l="0" t="0" r="5715" b="635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4264511" cy="2700418"/>
                    </a:xfrm>
                    <a:prstGeom prst="rect">
                      <a:avLst/>
                    </a:prstGeom>
                    <a:noFill/>
                  </pic:spPr>
                </pic:pic>
              </a:graphicData>
            </a:graphic>
          </wp:inline>
        </w:drawing>
      </w:r>
    </w:p>
    <w:p w:rsidR="00603FB5" w:rsidRPr="00687982" w:rsidRDefault="00603FB5" w:rsidP="001346E3">
      <w:pPr>
        <w:pStyle w:val="BodyText2"/>
        <w:numPr>
          <w:ilvl w:val="0"/>
          <w:numId w:val="43"/>
        </w:numPr>
        <w:tabs>
          <w:tab w:val="clear" w:pos="720"/>
        </w:tabs>
        <w:spacing w:after="60" w:line="240" w:lineRule="auto"/>
        <w:ind w:left="993" w:hanging="426"/>
        <w:jc w:val="both"/>
        <w:rPr>
          <w:rFonts w:cs="Arial"/>
        </w:rPr>
      </w:pPr>
      <w:r w:rsidRPr="00687982">
        <w:rPr>
          <w:rFonts w:cs="Arial"/>
        </w:rPr>
        <w:t xml:space="preserve">In 2015, an application contained, on average, four designs, which is almost one design less </w:t>
      </w:r>
      <w:r>
        <w:rPr>
          <w:rFonts w:cs="Arial"/>
        </w:rPr>
        <w:t xml:space="preserve">than </w:t>
      </w:r>
      <w:r w:rsidRPr="00687982">
        <w:rPr>
          <w:rFonts w:cs="Arial"/>
        </w:rPr>
        <w:t>the 2014 average.  Between 2011 and 2015, the average number of designs per application varied between four and five designs.</w:t>
      </w:r>
    </w:p>
    <w:p w:rsidR="00603FB5" w:rsidRPr="00687982" w:rsidRDefault="00603FB5" w:rsidP="001363EE">
      <w:pPr>
        <w:pStyle w:val="ListParagraph"/>
        <w:ind w:left="1418"/>
        <w:jc w:val="both"/>
        <w:rPr>
          <w:rFonts w:cs="Arial"/>
        </w:rPr>
      </w:pPr>
    </w:p>
    <w:p w:rsidR="00603FB5" w:rsidRPr="00687982" w:rsidRDefault="00603FB5" w:rsidP="001363EE">
      <w:pPr>
        <w:pStyle w:val="ListParagraph"/>
        <w:ind w:left="1418"/>
        <w:jc w:val="both"/>
        <w:rPr>
          <w:rFonts w:cs="Arial"/>
        </w:rPr>
      </w:pPr>
    </w:p>
    <w:p w:rsidR="00603FB5" w:rsidRPr="00687982" w:rsidRDefault="00603FB5" w:rsidP="001363EE">
      <w:pPr>
        <w:pStyle w:val="ListParagraph"/>
        <w:keepNext/>
        <w:keepLines/>
        <w:ind w:left="567"/>
        <w:rPr>
          <w:rFonts w:cs="Arial"/>
          <w:i/>
        </w:rPr>
      </w:pPr>
      <w:r w:rsidRPr="00687982">
        <w:rPr>
          <w:rFonts w:cs="Arial"/>
          <w:i/>
        </w:rPr>
        <w:t>Average number of designations per application</w:t>
      </w:r>
    </w:p>
    <w:p w:rsidR="00603FB5" w:rsidRPr="00687982" w:rsidRDefault="00603FB5" w:rsidP="001363EE">
      <w:pPr>
        <w:tabs>
          <w:tab w:val="left" w:pos="1134"/>
        </w:tabs>
        <w:spacing w:before="120" w:after="240"/>
        <w:jc w:val="center"/>
        <w:rPr>
          <w:rFonts w:cs="Arial"/>
        </w:rPr>
      </w:pPr>
      <w:r w:rsidRPr="00687982">
        <w:rPr>
          <w:rFonts w:cs="Arial"/>
          <w:noProof/>
        </w:rPr>
        <w:drawing>
          <wp:inline distT="0" distB="0" distL="0" distR="0" wp14:anchorId="1752E773" wp14:editId="6285EC9C">
            <wp:extent cx="4262400" cy="2700000"/>
            <wp:effectExtent l="0" t="0" r="5080" b="571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4262400" cy="2700000"/>
                    </a:xfrm>
                    <a:prstGeom prst="rect">
                      <a:avLst/>
                    </a:prstGeom>
                    <a:noFill/>
                  </pic:spPr>
                </pic:pic>
              </a:graphicData>
            </a:graphic>
          </wp:inline>
        </w:drawing>
      </w:r>
    </w:p>
    <w:p w:rsidR="00603FB5" w:rsidRPr="00687982" w:rsidRDefault="00603FB5" w:rsidP="001346E3">
      <w:pPr>
        <w:pStyle w:val="BodyText2"/>
        <w:numPr>
          <w:ilvl w:val="0"/>
          <w:numId w:val="43"/>
        </w:numPr>
        <w:tabs>
          <w:tab w:val="clear" w:pos="720"/>
        </w:tabs>
        <w:spacing w:after="60" w:line="240" w:lineRule="auto"/>
        <w:ind w:left="993" w:hanging="426"/>
        <w:jc w:val="both"/>
        <w:rPr>
          <w:rFonts w:cs="Arial"/>
        </w:rPr>
      </w:pPr>
      <w:r w:rsidRPr="00687982">
        <w:rPr>
          <w:rFonts w:cs="Arial"/>
        </w:rPr>
        <w:t>In 2015, an application contained on average 4.5 designations</w:t>
      </w:r>
      <w:r>
        <w:rPr>
          <w:rFonts w:cs="Arial"/>
        </w:rPr>
        <w:t xml:space="preserve">, as compared to an average of nearly five designations in 2014, representing </w:t>
      </w:r>
      <w:r w:rsidRPr="00687982">
        <w:rPr>
          <w:rFonts w:cs="Arial"/>
        </w:rPr>
        <w:t>the lowest average number of designations per application observed since 2011.</w:t>
      </w:r>
    </w:p>
    <w:p w:rsidR="00603FB5" w:rsidRPr="00687982" w:rsidRDefault="00603FB5" w:rsidP="001363EE">
      <w:pPr>
        <w:jc w:val="both"/>
        <w:rPr>
          <w:rFonts w:cs="Arial"/>
        </w:rPr>
      </w:pPr>
    </w:p>
    <w:p w:rsidR="00603FB5" w:rsidRPr="00687982" w:rsidRDefault="00603FB5" w:rsidP="00603FB5">
      <w:pPr>
        <w:pStyle w:val="ListParagraph"/>
        <w:keepNext/>
        <w:keepLines/>
        <w:ind w:left="567"/>
        <w:rPr>
          <w:rFonts w:cs="Arial"/>
          <w:i/>
        </w:rPr>
      </w:pPr>
      <w:r w:rsidRPr="00687982">
        <w:rPr>
          <w:rFonts w:cs="Arial"/>
          <w:i/>
        </w:rPr>
        <w:lastRenderedPageBreak/>
        <w:t>Trend of irregularities in applications</w:t>
      </w:r>
    </w:p>
    <w:p w:rsidR="00603FB5" w:rsidRPr="00687982" w:rsidRDefault="00603FB5" w:rsidP="00603FB5">
      <w:pPr>
        <w:pStyle w:val="ListParagraph"/>
        <w:keepNext/>
        <w:keepLines/>
        <w:ind w:left="1077"/>
        <w:rPr>
          <w:rFonts w:cs="Arial"/>
        </w:rPr>
      </w:pPr>
    </w:p>
    <w:p w:rsidR="00603FB5" w:rsidRPr="00687982" w:rsidRDefault="00603FB5" w:rsidP="001346E3">
      <w:pPr>
        <w:pStyle w:val="ListParagraph"/>
        <w:keepNext/>
        <w:keepLines/>
        <w:numPr>
          <w:ilvl w:val="0"/>
          <w:numId w:val="42"/>
        </w:numPr>
        <w:tabs>
          <w:tab w:val="left" w:pos="0"/>
          <w:tab w:val="left" w:pos="567"/>
        </w:tabs>
        <w:ind w:left="0" w:firstLine="0"/>
        <w:contextualSpacing/>
        <w:jc w:val="both"/>
        <w:rPr>
          <w:rFonts w:cs="Arial"/>
        </w:rPr>
      </w:pPr>
      <w:r w:rsidRPr="00687982">
        <w:rPr>
          <w:rFonts w:cs="Arial"/>
        </w:rPr>
        <w:t xml:space="preserve">Irregularities in applications are grouped among the </w:t>
      </w:r>
      <w:r>
        <w:rPr>
          <w:rFonts w:cs="Arial"/>
        </w:rPr>
        <w:t>ten</w:t>
      </w:r>
      <w:r w:rsidRPr="00687982">
        <w:rPr>
          <w:rFonts w:cs="Arial"/>
        </w:rPr>
        <w:t xml:space="preserve"> categories shown below. </w:t>
      </w:r>
    </w:p>
    <w:p w:rsidR="00603FB5" w:rsidRPr="00687982" w:rsidRDefault="00603FB5" w:rsidP="001363EE">
      <w:pPr>
        <w:keepNext/>
        <w:keepLines/>
        <w:spacing w:before="120" w:after="240"/>
        <w:jc w:val="center"/>
        <w:rPr>
          <w:rFonts w:cs="Arial"/>
        </w:rPr>
      </w:pPr>
      <w:r w:rsidRPr="00687982">
        <w:rPr>
          <w:rFonts w:cs="Arial"/>
          <w:noProof/>
        </w:rPr>
        <w:drawing>
          <wp:inline distT="0" distB="0" distL="0" distR="0" wp14:anchorId="46D3019A" wp14:editId="27F13E20">
            <wp:extent cx="4334118" cy="2652947"/>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1" cstate="print">
                      <a:extLst>
                        <a:ext uri="{28A0092B-C50C-407E-A947-70E740481C1C}">
                          <a14:useLocalDpi xmlns:a14="http://schemas.microsoft.com/office/drawing/2010/main" val="0"/>
                        </a:ext>
                      </a:extLst>
                    </a:blip>
                    <a:srcRect/>
                    <a:stretch>
                      <a:fillRect/>
                    </a:stretch>
                  </pic:blipFill>
                  <pic:spPr bwMode="auto">
                    <a:xfrm>
                      <a:off x="0" y="0"/>
                      <a:ext cx="4332932" cy="2652221"/>
                    </a:xfrm>
                    <a:prstGeom prst="rect">
                      <a:avLst/>
                    </a:prstGeom>
                    <a:noFill/>
                  </pic:spPr>
                </pic:pic>
              </a:graphicData>
            </a:graphic>
          </wp:inline>
        </w:drawing>
      </w:r>
    </w:p>
    <w:p w:rsidR="00603FB5" w:rsidRPr="00687982" w:rsidRDefault="00603FB5" w:rsidP="001346E3">
      <w:pPr>
        <w:pStyle w:val="BodyText2"/>
        <w:numPr>
          <w:ilvl w:val="0"/>
          <w:numId w:val="43"/>
        </w:numPr>
        <w:tabs>
          <w:tab w:val="clear" w:pos="720"/>
        </w:tabs>
        <w:spacing w:after="60" w:line="240" w:lineRule="auto"/>
        <w:ind w:left="993" w:hanging="426"/>
        <w:jc w:val="both"/>
        <w:rPr>
          <w:rFonts w:cs="Arial"/>
        </w:rPr>
      </w:pPr>
      <w:r w:rsidRPr="00687982">
        <w:rPr>
          <w:rFonts w:cs="Arial"/>
        </w:rPr>
        <w:t xml:space="preserve">In 2015, the IB identified 2,118 irregularities in applications, up 36 per cent compared to 2014. </w:t>
      </w:r>
    </w:p>
    <w:p w:rsidR="00603FB5" w:rsidRDefault="00603FB5" w:rsidP="001346E3">
      <w:pPr>
        <w:pStyle w:val="BodyText2"/>
        <w:numPr>
          <w:ilvl w:val="0"/>
          <w:numId w:val="43"/>
        </w:numPr>
        <w:tabs>
          <w:tab w:val="clear" w:pos="720"/>
        </w:tabs>
        <w:spacing w:after="60" w:line="240" w:lineRule="auto"/>
        <w:ind w:left="993" w:hanging="426"/>
        <w:jc w:val="both"/>
        <w:rPr>
          <w:rFonts w:cs="Arial"/>
        </w:rPr>
      </w:pPr>
      <w:r>
        <w:rPr>
          <w:rFonts w:cs="Arial"/>
        </w:rPr>
        <w:t xml:space="preserve">All types of </w:t>
      </w:r>
      <w:r w:rsidRPr="00687982">
        <w:rPr>
          <w:rFonts w:cs="Arial"/>
        </w:rPr>
        <w:t>irregularities increased, except for classification and deferment that, combined, represented only 1.5 per cent of the total number of irregularities in applications.  Reproduction (+129 irregularities), product indications (+</w:t>
      </w:r>
      <w:r w:rsidRPr="00214FAF">
        <w:rPr>
          <w:rFonts w:cs="Arial"/>
        </w:rPr>
        <w:t>105 irregularities</w:t>
      </w:r>
      <w:r w:rsidRPr="00687982">
        <w:rPr>
          <w:rFonts w:cs="Arial"/>
        </w:rPr>
        <w:t>), power of attorney (+99</w:t>
      </w:r>
      <w:r>
        <w:rPr>
          <w:rFonts w:cs="Arial"/>
        </w:rPr>
        <w:t xml:space="preserve"> irregularities</w:t>
      </w:r>
      <w:r w:rsidRPr="00687982">
        <w:rPr>
          <w:rFonts w:cs="Arial"/>
        </w:rPr>
        <w:t>) and payment (+</w:t>
      </w:r>
      <w:r w:rsidRPr="00214FAF">
        <w:rPr>
          <w:rFonts w:cs="Arial"/>
        </w:rPr>
        <w:t>95 irregularities</w:t>
      </w:r>
      <w:r w:rsidRPr="00687982">
        <w:rPr>
          <w:rFonts w:cs="Arial"/>
        </w:rPr>
        <w:t>) were the irregularities experienc</w:t>
      </w:r>
      <w:r>
        <w:rPr>
          <w:rFonts w:cs="Arial"/>
        </w:rPr>
        <w:t>ing</w:t>
      </w:r>
      <w:r w:rsidRPr="00687982">
        <w:rPr>
          <w:rFonts w:cs="Arial"/>
        </w:rPr>
        <w:t xml:space="preserve"> the sharpest increase in volume in 2015</w:t>
      </w:r>
      <w:r>
        <w:rPr>
          <w:rFonts w:cs="Arial"/>
        </w:rPr>
        <w:t>.</w:t>
      </w:r>
    </w:p>
    <w:p w:rsidR="00603FB5" w:rsidRPr="00417E63" w:rsidRDefault="00603FB5" w:rsidP="001363EE">
      <w:pPr>
        <w:ind w:left="567"/>
        <w:jc w:val="both"/>
        <w:rPr>
          <w:rFonts w:cs="Arial"/>
        </w:rPr>
      </w:pPr>
    </w:p>
    <w:p w:rsidR="00603FB5" w:rsidRPr="00687982" w:rsidRDefault="00603FB5" w:rsidP="001346E3">
      <w:pPr>
        <w:pStyle w:val="ListParagraph"/>
        <w:keepNext/>
        <w:keepLines/>
        <w:numPr>
          <w:ilvl w:val="0"/>
          <w:numId w:val="42"/>
        </w:numPr>
        <w:tabs>
          <w:tab w:val="left" w:pos="0"/>
          <w:tab w:val="left" w:pos="567"/>
        </w:tabs>
        <w:ind w:left="0" w:firstLine="0"/>
        <w:contextualSpacing/>
        <w:jc w:val="both"/>
        <w:rPr>
          <w:rFonts w:cs="Arial"/>
        </w:rPr>
      </w:pPr>
      <w:r>
        <w:rPr>
          <w:rFonts w:cs="Arial"/>
        </w:rPr>
        <w:t>The evolution of the s</w:t>
      </w:r>
      <w:r w:rsidRPr="00687982">
        <w:rPr>
          <w:rFonts w:cs="Arial"/>
        </w:rPr>
        <w:t>hare of applications containing irregularities or substantive observations</w:t>
      </w:r>
      <w:r>
        <w:rPr>
          <w:rFonts w:cs="Arial"/>
        </w:rPr>
        <w:t xml:space="preserve"> is shown below</w:t>
      </w:r>
      <w:r w:rsidRPr="00687982">
        <w:rPr>
          <w:rFonts w:cs="Arial"/>
        </w:rPr>
        <w:t xml:space="preserve">. </w:t>
      </w:r>
    </w:p>
    <w:p w:rsidR="00603FB5" w:rsidRDefault="00603FB5" w:rsidP="00603FB5">
      <w:pPr>
        <w:jc w:val="center"/>
        <w:rPr>
          <w:rFonts w:cs="Arial"/>
          <w:u w:val="single"/>
        </w:rPr>
      </w:pPr>
      <w:r w:rsidRPr="00C97736">
        <w:rPr>
          <w:rFonts w:cs="Arial"/>
          <w:noProof/>
        </w:rPr>
        <w:drawing>
          <wp:inline distT="0" distB="0" distL="0" distR="0" wp14:anchorId="6CE9088C" wp14:editId="42F9C22B">
            <wp:extent cx="4269600" cy="2700000"/>
            <wp:effectExtent l="0" t="0" r="0" b="571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4269600" cy="2700000"/>
                    </a:xfrm>
                    <a:prstGeom prst="rect">
                      <a:avLst/>
                    </a:prstGeom>
                    <a:noFill/>
                  </pic:spPr>
                </pic:pic>
              </a:graphicData>
            </a:graphic>
          </wp:inline>
        </w:drawing>
      </w:r>
    </w:p>
    <w:p w:rsidR="00603FB5" w:rsidRDefault="00603FB5" w:rsidP="00603FB5">
      <w:pPr>
        <w:jc w:val="center"/>
        <w:rPr>
          <w:rFonts w:cs="Arial"/>
          <w:u w:val="single"/>
        </w:rPr>
      </w:pPr>
    </w:p>
    <w:p w:rsidR="00603FB5" w:rsidRPr="00023122" w:rsidRDefault="00603FB5" w:rsidP="001363EE">
      <w:pPr>
        <w:spacing w:before="120"/>
        <w:rPr>
          <w:rFonts w:cs="Arial"/>
          <w:u w:val="single"/>
        </w:rPr>
      </w:pPr>
      <w:r w:rsidRPr="00023122">
        <w:rPr>
          <w:rFonts w:cs="Arial"/>
        </w:rPr>
        <w:t xml:space="preserve">In 2015, some </w:t>
      </w:r>
      <w:r w:rsidRPr="000541F6">
        <w:rPr>
          <w:rFonts w:cs="Arial"/>
        </w:rPr>
        <w:t xml:space="preserve">63 per cent of applications registered contained at least one irregularity or </w:t>
      </w:r>
      <w:r w:rsidRPr="00023122">
        <w:rPr>
          <w:rFonts w:cs="Arial"/>
        </w:rPr>
        <w:t xml:space="preserve">substantive observation.  This represented an increase of three per cent compared to 2014. </w:t>
      </w:r>
    </w:p>
    <w:p w:rsidR="00603FB5" w:rsidRDefault="00603FB5" w:rsidP="001363EE">
      <w:pPr>
        <w:spacing w:before="120"/>
        <w:rPr>
          <w:rFonts w:cs="Arial"/>
          <w:u w:val="single"/>
        </w:rPr>
      </w:pPr>
    </w:p>
    <w:p w:rsidR="00603FB5" w:rsidRPr="00687982" w:rsidRDefault="00603FB5" w:rsidP="00603FB5">
      <w:pPr>
        <w:keepNext/>
        <w:keepLines/>
        <w:rPr>
          <w:rFonts w:cs="Arial"/>
          <w:u w:val="single"/>
        </w:rPr>
      </w:pPr>
      <w:r>
        <w:rPr>
          <w:rFonts w:cs="Arial"/>
          <w:u w:val="single"/>
        </w:rPr>
        <w:lastRenderedPageBreak/>
        <w:t>Renewals</w:t>
      </w:r>
    </w:p>
    <w:p w:rsidR="00603FB5" w:rsidRDefault="00603FB5" w:rsidP="00603FB5">
      <w:pPr>
        <w:keepNext/>
        <w:keepLines/>
        <w:tabs>
          <w:tab w:val="left" w:pos="1134"/>
        </w:tabs>
        <w:jc w:val="center"/>
        <w:rPr>
          <w:rFonts w:cs="Arial"/>
        </w:rPr>
      </w:pPr>
      <w:r w:rsidRPr="00687982">
        <w:rPr>
          <w:rFonts w:cs="Arial"/>
          <w:noProof/>
        </w:rPr>
        <w:drawing>
          <wp:inline distT="0" distB="0" distL="0" distR="0" wp14:anchorId="029AC743" wp14:editId="06DB0E70">
            <wp:extent cx="4078828" cy="2714625"/>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4083355" cy="2717638"/>
                    </a:xfrm>
                    <a:prstGeom prst="rect">
                      <a:avLst/>
                    </a:prstGeom>
                    <a:noFill/>
                  </pic:spPr>
                </pic:pic>
              </a:graphicData>
            </a:graphic>
          </wp:inline>
        </w:drawing>
      </w:r>
    </w:p>
    <w:p w:rsidR="00603FB5" w:rsidRPr="00687982" w:rsidRDefault="00603FB5" w:rsidP="00603FB5">
      <w:pPr>
        <w:keepNext/>
        <w:keepLines/>
        <w:tabs>
          <w:tab w:val="left" w:pos="1134"/>
        </w:tabs>
        <w:jc w:val="center"/>
        <w:rPr>
          <w:rFonts w:cs="Arial"/>
        </w:rPr>
      </w:pPr>
    </w:p>
    <w:p w:rsidR="00603FB5" w:rsidRPr="00687982" w:rsidRDefault="00603FB5" w:rsidP="001346E3">
      <w:pPr>
        <w:pStyle w:val="BodyText2"/>
        <w:numPr>
          <w:ilvl w:val="0"/>
          <w:numId w:val="43"/>
        </w:numPr>
        <w:tabs>
          <w:tab w:val="clear" w:pos="720"/>
        </w:tabs>
        <w:spacing w:after="60" w:line="240" w:lineRule="auto"/>
        <w:ind w:left="993" w:hanging="426"/>
        <w:jc w:val="both"/>
        <w:rPr>
          <w:rFonts w:cs="Arial"/>
        </w:rPr>
      </w:pPr>
      <w:r w:rsidRPr="00687982">
        <w:rPr>
          <w:rFonts w:cs="Arial"/>
        </w:rPr>
        <w:t>In 2015, the number of renewals increased by 18 per cent compared to 2014, to</w:t>
      </w:r>
      <w:r>
        <w:rPr>
          <w:rFonts w:cs="Arial"/>
        </w:rPr>
        <w:t xml:space="preserve"> a total of </w:t>
      </w:r>
      <w:r w:rsidRPr="00687982">
        <w:rPr>
          <w:rFonts w:cs="Arial"/>
        </w:rPr>
        <w:t xml:space="preserve">3,194 renewals.  </w:t>
      </w:r>
    </w:p>
    <w:p w:rsidR="00603FB5" w:rsidRPr="00687982" w:rsidRDefault="00603FB5" w:rsidP="001346E3">
      <w:pPr>
        <w:pStyle w:val="BodyText2"/>
        <w:numPr>
          <w:ilvl w:val="0"/>
          <w:numId w:val="43"/>
        </w:numPr>
        <w:tabs>
          <w:tab w:val="clear" w:pos="720"/>
        </w:tabs>
        <w:spacing w:after="60" w:line="240" w:lineRule="auto"/>
        <w:ind w:left="993" w:hanging="426"/>
        <w:jc w:val="both"/>
        <w:rPr>
          <w:rFonts w:cs="Arial"/>
        </w:rPr>
      </w:pPr>
      <w:r w:rsidRPr="00687982">
        <w:rPr>
          <w:rFonts w:cs="Arial"/>
        </w:rPr>
        <w:t>Since 201</w:t>
      </w:r>
      <w:r>
        <w:rPr>
          <w:rFonts w:cs="Arial"/>
        </w:rPr>
        <w:t>2</w:t>
      </w:r>
      <w:r w:rsidRPr="00687982">
        <w:rPr>
          <w:rFonts w:cs="Arial"/>
        </w:rPr>
        <w:t xml:space="preserve">, </w:t>
      </w:r>
      <w:r>
        <w:rPr>
          <w:rFonts w:cs="Arial"/>
        </w:rPr>
        <w:t>the</w:t>
      </w:r>
      <w:r w:rsidRPr="00687982">
        <w:rPr>
          <w:rFonts w:cs="Arial"/>
        </w:rPr>
        <w:t xml:space="preserve"> majority of renewals </w:t>
      </w:r>
      <w:r>
        <w:rPr>
          <w:rFonts w:cs="Arial"/>
        </w:rPr>
        <w:t xml:space="preserve">have been </w:t>
      </w:r>
      <w:r w:rsidRPr="00687982">
        <w:rPr>
          <w:rFonts w:cs="Arial"/>
        </w:rPr>
        <w:t xml:space="preserve">processed </w:t>
      </w:r>
      <w:r>
        <w:rPr>
          <w:rFonts w:cs="Arial"/>
        </w:rPr>
        <w:t>electronically,</w:t>
      </w:r>
      <w:r w:rsidRPr="00687982">
        <w:rPr>
          <w:rFonts w:cs="Arial"/>
        </w:rPr>
        <w:t xml:space="preserve"> account</w:t>
      </w:r>
      <w:r>
        <w:rPr>
          <w:rFonts w:cs="Arial"/>
        </w:rPr>
        <w:t>ing</w:t>
      </w:r>
      <w:r w:rsidRPr="00687982">
        <w:rPr>
          <w:rFonts w:cs="Arial"/>
        </w:rPr>
        <w:t xml:space="preserve"> for </w:t>
      </w:r>
      <w:r>
        <w:rPr>
          <w:rFonts w:cs="Arial"/>
        </w:rPr>
        <w:t>73</w:t>
      </w:r>
      <w:r w:rsidR="00100D47">
        <w:rPr>
          <w:rFonts w:cs="Arial"/>
        </w:rPr>
        <w:t> </w:t>
      </w:r>
      <w:r>
        <w:rPr>
          <w:rFonts w:cs="Arial"/>
        </w:rPr>
        <w:t>per cent</w:t>
      </w:r>
      <w:r w:rsidRPr="00687982">
        <w:rPr>
          <w:rFonts w:cs="Arial"/>
        </w:rPr>
        <w:t xml:space="preserve"> of total renewals in 2015</w:t>
      </w:r>
      <w:r>
        <w:rPr>
          <w:rFonts w:cs="Arial"/>
        </w:rPr>
        <w:t xml:space="preserve"> compared to 69 per cent</w:t>
      </w:r>
      <w:r>
        <w:rPr>
          <w:rStyle w:val="FootnoteReference"/>
          <w:rFonts w:cs="Arial"/>
        </w:rPr>
        <w:footnoteReference w:id="40"/>
      </w:r>
      <w:r>
        <w:rPr>
          <w:rFonts w:cs="Arial"/>
        </w:rPr>
        <w:t xml:space="preserve"> in 2014; </w:t>
      </w:r>
      <w:r w:rsidRPr="00E26F2A">
        <w:rPr>
          <w:rFonts w:cs="Arial"/>
        </w:rPr>
        <w:t xml:space="preserve">an increase of </w:t>
      </w:r>
      <w:r>
        <w:rPr>
          <w:rFonts w:cs="Arial"/>
        </w:rPr>
        <w:t>4</w:t>
      </w:r>
      <w:r w:rsidR="00100D47">
        <w:rPr>
          <w:rFonts w:cs="Arial"/>
        </w:rPr>
        <w:t> </w:t>
      </w:r>
      <w:r w:rsidRPr="00E26F2A">
        <w:rPr>
          <w:rFonts w:cs="Arial"/>
        </w:rPr>
        <w:t>percent</w:t>
      </w:r>
      <w:r>
        <w:rPr>
          <w:rFonts w:cs="Arial"/>
        </w:rPr>
        <w:t>age points</w:t>
      </w:r>
      <w:r w:rsidRPr="00E26F2A">
        <w:rPr>
          <w:rFonts w:cs="Arial"/>
        </w:rPr>
        <w:t>.</w:t>
      </w:r>
    </w:p>
    <w:p w:rsidR="00603FB5" w:rsidRPr="00687982" w:rsidRDefault="00603FB5" w:rsidP="001363EE">
      <w:pPr>
        <w:spacing w:before="120"/>
        <w:rPr>
          <w:rFonts w:cs="Arial"/>
          <w:u w:val="single"/>
        </w:rPr>
      </w:pPr>
      <w:r w:rsidRPr="00687982">
        <w:rPr>
          <w:rFonts w:cs="Arial"/>
          <w:u w:val="single"/>
        </w:rPr>
        <w:t>Changes</w:t>
      </w:r>
    </w:p>
    <w:p w:rsidR="00603FB5" w:rsidRPr="00687982" w:rsidRDefault="00603FB5" w:rsidP="001363EE">
      <w:pPr>
        <w:spacing w:before="120" w:after="240"/>
        <w:jc w:val="center"/>
        <w:rPr>
          <w:rFonts w:cs="Arial"/>
        </w:rPr>
      </w:pPr>
      <w:r w:rsidRPr="00687982">
        <w:rPr>
          <w:rFonts w:cs="Arial"/>
          <w:noProof/>
        </w:rPr>
        <w:drawing>
          <wp:inline distT="0" distB="0" distL="0" distR="0" wp14:anchorId="1CC5A1E7" wp14:editId="64E0E2C3">
            <wp:extent cx="4019550" cy="2539378"/>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4024011" cy="2542196"/>
                    </a:xfrm>
                    <a:prstGeom prst="rect">
                      <a:avLst/>
                    </a:prstGeom>
                    <a:noFill/>
                  </pic:spPr>
                </pic:pic>
              </a:graphicData>
            </a:graphic>
          </wp:inline>
        </w:drawing>
      </w:r>
    </w:p>
    <w:p w:rsidR="00603FB5" w:rsidRPr="00687982" w:rsidRDefault="00603FB5" w:rsidP="001346E3">
      <w:pPr>
        <w:pStyle w:val="ListParagraph"/>
        <w:numPr>
          <w:ilvl w:val="0"/>
          <w:numId w:val="40"/>
        </w:numPr>
        <w:ind w:left="992" w:hanging="425"/>
        <w:jc w:val="both"/>
        <w:rPr>
          <w:rFonts w:cs="Arial"/>
        </w:rPr>
      </w:pPr>
      <w:r w:rsidRPr="00687982">
        <w:rPr>
          <w:rFonts w:cs="Arial"/>
        </w:rPr>
        <w:t xml:space="preserve">Applicants requested 1,018 changes in international registrations in 2015, down four per cent from 2014. </w:t>
      </w:r>
    </w:p>
    <w:p w:rsidR="00603FB5" w:rsidRPr="00687982" w:rsidRDefault="00603FB5" w:rsidP="001363EE">
      <w:pPr>
        <w:rPr>
          <w:rFonts w:cs="Arial"/>
        </w:rPr>
      </w:pPr>
    </w:p>
    <w:p w:rsidR="00603FB5" w:rsidRPr="00687982" w:rsidRDefault="00603FB5">
      <w:pPr>
        <w:rPr>
          <w:rFonts w:cs="Arial"/>
          <w:u w:val="single"/>
        </w:rPr>
      </w:pPr>
      <w:r w:rsidRPr="00687982">
        <w:rPr>
          <w:rFonts w:cs="Arial"/>
          <w:u w:val="single"/>
        </w:rPr>
        <w:br w:type="page"/>
      </w:r>
    </w:p>
    <w:p w:rsidR="00603FB5" w:rsidRPr="00687982" w:rsidRDefault="00603FB5" w:rsidP="001363EE">
      <w:pPr>
        <w:rPr>
          <w:rFonts w:cs="Arial"/>
          <w:u w:val="single"/>
        </w:rPr>
      </w:pPr>
      <w:r>
        <w:rPr>
          <w:rFonts w:cs="Arial"/>
          <w:u w:val="single"/>
        </w:rPr>
        <w:lastRenderedPageBreak/>
        <w:t>Decisions</w:t>
      </w:r>
    </w:p>
    <w:p w:rsidR="00603FB5" w:rsidRPr="00687982" w:rsidRDefault="00603FB5" w:rsidP="001363EE">
      <w:pPr>
        <w:tabs>
          <w:tab w:val="left" w:pos="1134"/>
        </w:tabs>
        <w:spacing w:before="120" w:after="240"/>
        <w:jc w:val="center"/>
        <w:rPr>
          <w:rFonts w:cs="Arial"/>
        </w:rPr>
      </w:pPr>
      <w:r w:rsidRPr="00687982">
        <w:rPr>
          <w:rFonts w:cs="Arial"/>
          <w:noProof/>
        </w:rPr>
        <w:drawing>
          <wp:inline distT="0" distB="0" distL="0" distR="0" wp14:anchorId="22684B37" wp14:editId="161A3C39">
            <wp:extent cx="4048125" cy="2557764"/>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4052617" cy="2560603"/>
                    </a:xfrm>
                    <a:prstGeom prst="rect">
                      <a:avLst/>
                    </a:prstGeom>
                    <a:noFill/>
                  </pic:spPr>
                </pic:pic>
              </a:graphicData>
            </a:graphic>
          </wp:inline>
        </w:drawing>
      </w:r>
    </w:p>
    <w:p w:rsidR="00603FB5" w:rsidRPr="00687982" w:rsidRDefault="00603FB5" w:rsidP="001346E3">
      <w:pPr>
        <w:pStyle w:val="BodyText2"/>
        <w:numPr>
          <w:ilvl w:val="0"/>
          <w:numId w:val="43"/>
        </w:numPr>
        <w:tabs>
          <w:tab w:val="clear" w:pos="720"/>
        </w:tabs>
        <w:spacing w:after="60" w:line="240" w:lineRule="auto"/>
        <w:ind w:left="993" w:hanging="426"/>
        <w:jc w:val="both"/>
        <w:rPr>
          <w:rFonts w:cs="Arial"/>
        </w:rPr>
      </w:pPr>
      <w:r w:rsidRPr="00687982">
        <w:rPr>
          <w:rFonts w:cs="Arial"/>
        </w:rPr>
        <w:t>The number of decisions received in 2015 increased by 25 per cent</w:t>
      </w:r>
      <w:r>
        <w:rPr>
          <w:rFonts w:cs="Arial"/>
        </w:rPr>
        <w:t xml:space="preserve"> as compared to 2014</w:t>
      </w:r>
      <w:r w:rsidRPr="00687982">
        <w:rPr>
          <w:rFonts w:cs="Arial"/>
        </w:rPr>
        <w:t xml:space="preserve">, </w:t>
      </w:r>
      <w:r>
        <w:rPr>
          <w:rFonts w:cs="Arial"/>
        </w:rPr>
        <w:t xml:space="preserve">from 3,169 </w:t>
      </w:r>
      <w:r w:rsidRPr="00687982">
        <w:rPr>
          <w:rFonts w:cs="Arial"/>
        </w:rPr>
        <w:t xml:space="preserve">to 3,961 decisions. </w:t>
      </w:r>
    </w:p>
    <w:p w:rsidR="00603FB5" w:rsidRPr="00687982" w:rsidRDefault="00603FB5" w:rsidP="001346E3">
      <w:pPr>
        <w:pStyle w:val="BodyText2"/>
        <w:numPr>
          <w:ilvl w:val="0"/>
          <w:numId w:val="43"/>
        </w:numPr>
        <w:tabs>
          <w:tab w:val="clear" w:pos="720"/>
        </w:tabs>
        <w:spacing w:after="60" w:line="240" w:lineRule="auto"/>
        <w:ind w:left="993" w:hanging="426"/>
        <w:jc w:val="both"/>
        <w:rPr>
          <w:rFonts w:cs="Arial"/>
        </w:rPr>
      </w:pPr>
      <w:r w:rsidRPr="00687982">
        <w:rPr>
          <w:rFonts w:cs="Arial"/>
        </w:rPr>
        <w:t xml:space="preserve">Between 68 per cent and 72 per cent of decisions </w:t>
      </w:r>
      <w:r>
        <w:rPr>
          <w:rFonts w:cs="Arial"/>
        </w:rPr>
        <w:t>have been</w:t>
      </w:r>
      <w:r w:rsidRPr="00687982">
        <w:rPr>
          <w:rFonts w:cs="Arial"/>
        </w:rPr>
        <w:t xml:space="preserve"> processed automatically since 2011.</w:t>
      </w:r>
    </w:p>
    <w:p w:rsidR="00603FB5" w:rsidRPr="00687982" w:rsidRDefault="00603FB5" w:rsidP="001363EE">
      <w:pPr>
        <w:pStyle w:val="ListParagraph"/>
        <w:spacing w:before="120" w:after="240"/>
        <w:rPr>
          <w:rFonts w:cs="Arial"/>
        </w:rPr>
      </w:pPr>
    </w:p>
    <w:p w:rsidR="00603FB5" w:rsidRPr="00687982" w:rsidRDefault="00603FB5" w:rsidP="001363EE">
      <w:pPr>
        <w:pStyle w:val="ListParagraph"/>
        <w:rPr>
          <w:rFonts w:cs="Arial"/>
        </w:rPr>
      </w:pPr>
    </w:p>
    <w:p w:rsidR="00603FB5" w:rsidRPr="00687982" w:rsidRDefault="00603FB5" w:rsidP="001363EE">
      <w:pPr>
        <w:tabs>
          <w:tab w:val="left" w:pos="567"/>
        </w:tabs>
        <w:rPr>
          <w:rFonts w:cs="Arial"/>
          <w:b/>
        </w:rPr>
      </w:pPr>
      <w:r w:rsidRPr="00687982">
        <w:rPr>
          <w:rFonts w:cs="Arial"/>
          <w:b/>
        </w:rPr>
        <w:t>II.</w:t>
      </w:r>
      <w:r w:rsidRPr="00687982">
        <w:rPr>
          <w:rFonts w:cs="Arial"/>
          <w:b/>
        </w:rPr>
        <w:tab/>
        <w:t xml:space="preserve">Total </w:t>
      </w:r>
      <w:r>
        <w:rPr>
          <w:rFonts w:cs="Arial"/>
          <w:b/>
        </w:rPr>
        <w:t>W</w:t>
      </w:r>
      <w:r w:rsidRPr="00687982">
        <w:rPr>
          <w:rFonts w:cs="Arial"/>
          <w:b/>
        </w:rPr>
        <w:t xml:space="preserve">orkload </w:t>
      </w:r>
    </w:p>
    <w:p w:rsidR="00603FB5" w:rsidRPr="00687982" w:rsidRDefault="00603FB5" w:rsidP="001363EE">
      <w:pPr>
        <w:pStyle w:val="ListParagraph"/>
        <w:ind w:left="1080"/>
        <w:jc w:val="both"/>
        <w:rPr>
          <w:rFonts w:cs="Arial"/>
        </w:rPr>
      </w:pPr>
    </w:p>
    <w:p w:rsidR="00603FB5" w:rsidRDefault="00603FB5" w:rsidP="001346E3">
      <w:pPr>
        <w:pStyle w:val="ListParagraph"/>
        <w:numPr>
          <w:ilvl w:val="0"/>
          <w:numId w:val="42"/>
        </w:numPr>
        <w:tabs>
          <w:tab w:val="left" w:pos="0"/>
          <w:tab w:val="left" w:pos="567"/>
        </w:tabs>
        <w:ind w:left="0" w:firstLine="0"/>
        <w:contextualSpacing/>
        <w:jc w:val="both"/>
        <w:rPr>
          <w:rFonts w:cs="Arial"/>
        </w:rPr>
      </w:pPr>
      <w:r w:rsidRPr="00687982">
        <w:rPr>
          <w:rFonts w:cs="Arial"/>
        </w:rPr>
        <w:t>The total workload represents the weighted total number of documents received at the</w:t>
      </w:r>
      <w:r>
        <w:rPr>
          <w:rFonts w:cs="Arial"/>
        </w:rPr>
        <w:t> </w:t>
      </w:r>
      <w:r w:rsidRPr="00687982">
        <w:rPr>
          <w:rFonts w:cs="Arial"/>
        </w:rPr>
        <w:t>IB.  All four categories of documents are included (applications, renewals, changes and decisions).</w:t>
      </w:r>
    </w:p>
    <w:p w:rsidR="00603FB5" w:rsidRPr="00687982" w:rsidRDefault="00603FB5" w:rsidP="001363EE">
      <w:pPr>
        <w:pStyle w:val="ListParagraph"/>
        <w:tabs>
          <w:tab w:val="left" w:pos="0"/>
          <w:tab w:val="left" w:pos="567"/>
        </w:tabs>
        <w:ind w:left="0"/>
        <w:jc w:val="both"/>
        <w:rPr>
          <w:rFonts w:cs="Arial"/>
        </w:rPr>
      </w:pPr>
    </w:p>
    <w:p w:rsidR="00603FB5" w:rsidRPr="00E30FB5" w:rsidRDefault="00603FB5" w:rsidP="001346E3">
      <w:pPr>
        <w:pStyle w:val="ListParagraph"/>
        <w:numPr>
          <w:ilvl w:val="0"/>
          <w:numId w:val="42"/>
        </w:numPr>
        <w:spacing w:after="240"/>
        <w:ind w:left="0" w:firstLine="0"/>
        <w:contextualSpacing/>
        <w:jc w:val="both"/>
        <w:rPr>
          <w:rFonts w:cs="Arial"/>
        </w:rPr>
      </w:pPr>
      <w:r w:rsidRPr="00E30FB5">
        <w:rPr>
          <w:rFonts w:cs="Arial"/>
        </w:rPr>
        <w:t>As the processing of these types of documents do not require the equal amount of resources, they are each weighted differently.  According to the current weighting, during the time required to process one international application, an examiner can process eight renewals, four changes or four decisions (a 1:8:4:4 workload ratio).   In 2014/15, due to an increasing level of complexity of other documents, in particular decisions by Offices, the overall examination of international applications also became more complex.  Nonetheless, the workload ratio remained the same.</w:t>
      </w:r>
    </w:p>
    <w:p w:rsidR="00603FB5" w:rsidRPr="00687982" w:rsidRDefault="00603FB5" w:rsidP="001363EE">
      <w:pPr>
        <w:pStyle w:val="ListParagraph"/>
        <w:tabs>
          <w:tab w:val="left" w:pos="0"/>
          <w:tab w:val="left" w:pos="567"/>
        </w:tabs>
        <w:ind w:left="0"/>
        <w:jc w:val="both"/>
        <w:rPr>
          <w:rFonts w:cs="Arial"/>
        </w:rPr>
      </w:pPr>
      <w:r w:rsidRPr="00687982">
        <w:rPr>
          <w:rFonts w:cs="Arial"/>
        </w:rPr>
        <w:t xml:space="preserve"> </w:t>
      </w:r>
    </w:p>
    <w:p w:rsidR="00603FB5" w:rsidRPr="00687982" w:rsidRDefault="00603FB5" w:rsidP="001363EE">
      <w:pPr>
        <w:jc w:val="center"/>
        <w:rPr>
          <w:rFonts w:cs="Arial"/>
        </w:rPr>
      </w:pPr>
      <w:r w:rsidRPr="00687982">
        <w:rPr>
          <w:rFonts w:cs="Arial"/>
          <w:noProof/>
        </w:rPr>
        <w:drawing>
          <wp:inline distT="0" distB="0" distL="0" distR="0" wp14:anchorId="078515E0" wp14:editId="17A4EA93">
            <wp:extent cx="5038725" cy="2324154"/>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16" cstate="print">
                      <a:extLst>
                        <a:ext uri="{28A0092B-C50C-407E-A947-70E740481C1C}">
                          <a14:useLocalDpi xmlns:a14="http://schemas.microsoft.com/office/drawing/2010/main" val="0"/>
                        </a:ext>
                      </a:extLst>
                    </a:blip>
                    <a:srcRect/>
                    <a:stretch>
                      <a:fillRect/>
                    </a:stretch>
                  </pic:blipFill>
                  <pic:spPr bwMode="auto">
                    <a:xfrm>
                      <a:off x="0" y="0"/>
                      <a:ext cx="5044967" cy="2327033"/>
                    </a:xfrm>
                    <a:prstGeom prst="rect">
                      <a:avLst/>
                    </a:prstGeom>
                    <a:noFill/>
                  </pic:spPr>
                </pic:pic>
              </a:graphicData>
            </a:graphic>
          </wp:inline>
        </w:drawing>
      </w:r>
    </w:p>
    <w:p w:rsidR="00603FB5" w:rsidRPr="00E10A55" w:rsidRDefault="00603FB5" w:rsidP="001346E3">
      <w:pPr>
        <w:pStyle w:val="ListParagraph"/>
        <w:numPr>
          <w:ilvl w:val="0"/>
          <w:numId w:val="41"/>
        </w:numPr>
        <w:spacing w:before="240" w:after="120"/>
        <w:jc w:val="both"/>
        <w:rPr>
          <w:rFonts w:cs="Arial"/>
        </w:rPr>
      </w:pPr>
      <w:r w:rsidRPr="0034722D">
        <w:rPr>
          <w:rFonts w:cs="Arial"/>
        </w:rPr>
        <w:t xml:space="preserve">In 2015, the total workload increased by 35 per cent compared to 2014. </w:t>
      </w:r>
      <w:r>
        <w:rPr>
          <w:rFonts w:cs="Arial"/>
        </w:rPr>
        <w:t xml:space="preserve"> </w:t>
      </w:r>
      <w:r w:rsidRPr="0034722D">
        <w:rPr>
          <w:rFonts w:cs="Arial"/>
        </w:rPr>
        <w:t xml:space="preserve">The total </w:t>
      </w:r>
      <w:r>
        <w:rPr>
          <w:rFonts w:cs="Arial"/>
        </w:rPr>
        <w:t>workload</w:t>
      </w:r>
      <w:r w:rsidRPr="0034722D">
        <w:rPr>
          <w:rFonts w:cs="Arial"/>
        </w:rPr>
        <w:t xml:space="preserve"> </w:t>
      </w:r>
      <w:r>
        <w:rPr>
          <w:rFonts w:cs="Arial"/>
        </w:rPr>
        <w:t>for the biennium increased by 22</w:t>
      </w:r>
      <w:r w:rsidRPr="0034722D">
        <w:rPr>
          <w:rFonts w:cs="Arial"/>
        </w:rPr>
        <w:t xml:space="preserve"> per cent compared to 2012/13.</w:t>
      </w:r>
      <w:r w:rsidRPr="001C26A4">
        <w:rPr>
          <w:rFonts w:cs="Arial"/>
        </w:rPr>
        <w:t xml:space="preserve"> </w:t>
      </w:r>
      <w:r>
        <w:rPr>
          <w:rFonts w:cs="Arial"/>
        </w:rPr>
        <w:t xml:space="preserve"> Between </w:t>
      </w:r>
      <w:r w:rsidRPr="00687982">
        <w:rPr>
          <w:rFonts w:cs="Arial"/>
        </w:rPr>
        <w:t>2011</w:t>
      </w:r>
      <w:r>
        <w:rPr>
          <w:rFonts w:cs="Arial"/>
        </w:rPr>
        <w:t xml:space="preserve"> and 2015</w:t>
      </w:r>
      <w:r w:rsidRPr="00687982">
        <w:rPr>
          <w:rFonts w:cs="Arial"/>
        </w:rPr>
        <w:t>, the increase in workload was mainly due to the increase in the number of applications received.</w:t>
      </w:r>
    </w:p>
    <w:p w:rsidR="00603FB5" w:rsidRPr="00687982" w:rsidRDefault="00603FB5" w:rsidP="001346E3">
      <w:pPr>
        <w:pStyle w:val="BodyText2"/>
        <w:numPr>
          <w:ilvl w:val="0"/>
          <w:numId w:val="43"/>
        </w:numPr>
        <w:tabs>
          <w:tab w:val="clear" w:pos="720"/>
        </w:tabs>
        <w:spacing w:after="60" w:line="240" w:lineRule="auto"/>
        <w:ind w:left="993" w:hanging="426"/>
        <w:jc w:val="both"/>
        <w:rPr>
          <w:rFonts w:cs="Arial"/>
        </w:rPr>
      </w:pPr>
      <w:r w:rsidRPr="00687982">
        <w:rPr>
          <w:rFonts w:cs="Arial"/>
        </w:rPr>
        <w:lastRenderedPageBreak/>
        <w:t>In 2015, applications alone represented 79 per cent of the total workload</w:t>
      </w:r>
      <w:r>
        <w:rPr>
          <w:rFonts w:cs="Arial"/>
        </w:rPr>
        <w:t>, a three per cent increase as compared to 2014</w:t>
      </w:r>
      <w:r w:rsidRPr="00687982">
        <w:rPr>
          <w:rFonts w:cs="Arial"/>
        </w:rPr>
        <w:t xml:space="preserve">.  </w:t>
      </w:r>
    </w:p>
    <w:p w:rsidR="00603FB5" w:rsidRPr="00687982" w:rsidRDefault="00603FB5" w:rsidP="001363EE">
      <w:pPr>
        <w:rPr>
          <w:rFonts w:cs="Arial"/>
        </w:rPr>
      </w:pPr>
    </w:p>
    <w:p w:rsidR="00603FB5" w:rsidRPr="002C2351" w:rsidRDefault="00603FB5" w:rsidP="001363EE">
      <w:pPr>
        <w:tabs>
          <w:tab w:val="left" w:pos="567"/>
        </w:tabs>
        <w:rPr>
          <w:rFonts w:cs="Arial"/>
          <w:b/>
        </w:rPr>
      </w:pPr>
      <w:r w:rsidRPr="002C2351">
        <w:rPr>
          <w:rFonts w:cs="Arial"/>
          <w:b/>
        </w:rPr>
        <w:t>III.</w:t>
      </w:r>
      <w:r w:rsidRPr="002C2351">
        <w:rPr>
          <w:rFonts w:cs="Arial"/>
          <w:b/>
        </w:rPr>
        <w:tab/>
        <w:t>Cost of Processing</w:t>
      </w:r>
    </w:p>
    <w:p w:rsidR="00603FB5" w:rsidRPr="002C2351" w:rsidRDefault="00603FB5" w:rsidP="001363EE">
      <w:pPr>
        <w:pStyle w:val="ListParagraph"/>
        <w:ind w:left="1080"/>
        <w:rPr>
          <w:rFonts w:cs="Arial"/>
        </w:rPr>
      </w:pPr>
    </w:p>
    <w:p w:rsidR="00603FB5" w:rsidRPr="002C2351" w:rsidRDefault="00603FB5" w:rsidP="001363EE">
      <w:pPr>
        <w:rPr>
          <w:rFonts w:cs="Arial"/>
          <w:u w:val="single"/>
        </w:rPr>
      </w:pPr>
      <w:r w:rsidRPr="002C2351">
        <w:rPr>
          <w:rFonts w:cs="Arial"/>
          <w:u w:val="single"/>
        </w:rPr>
        <w:t>Total cost of production</w:t>
      </w:r>
    </w:p>
    <w:p w:rsidR="00603FB5" w:rsidRPr="002C2351" w:rsidRDefault="00603FB5" w:rsidP="001363EE">
      <w:pPr>
        <w:pStyle w:val="ListParagraph"/>
        <w:ind w:left="1080"/>
        <w:jc w:val="both"/>
        <w:rPr>
          <w:rFonts w:cs="Arial"/>
        </w:rPr>
      </w:pPr>
    </w:p>
    <w:p w:rsidR="00603FB5" w:rsidRPr="002C2351" w:rsidRDefault="00603FB5" w:rsidP="001346E3">
      <w:pPr>
        <w:pStyle w:val="ListParagraph"/>
        <w:numPr>
          <w:ilvl w:val="0"/>
          <w:numId w:val="42"/>
        </w:numPr>
        <w:spacing w:after="240"/>
        <w:ind w:left="0" w:firstLine="0"/>
        <w:contextualSpacing/>
        <w:jc w:val="both"/>
        <w:rPr>
          <w:rFonts w:cs="Arial"/>
        </w:rPr>
      </w:pPr>
      <w:r w:rsidRPr="002C2351">
        <w:rPr>
          <w:rFonts w:cs="Arial"/>
        </w:rPr>
        <w:t xml:space="preserve">The total cost of production comprises expenditure relating </w:t>
      </w:r>
      <w:r>
        <w:rPr>
          <w:rFonts w:cs="Arial"/>
        </w:rPr>
        <w:t>exclusively</w:t>
      </w:r>
      <w:r w:rsidRPr="002C2351">
        <w:rPr>
          <w:rFonts w:cs="Arial"/>
        </w:rPr>
        <w:t xml:space="preserve"> to the Hague System and expenditure of activities supporting the System.</w:t>
      </w:r>
      <w:r>
        <w:rPr>
          <w:rStyle w:val="FootnoteReference"/>
          <w:rFonts w:cs="Arial"/>
        </w:rPr>
        <w:footnoteReference w:id="41"/>
      </w:r>
      <w:r w:rsidRPr="002C2351">
        <w:rPr>
          <w:rFonts w:cs="Arial"/>
        </w:rPr>
        <w:t xml:space="preserve"> </w:t>
      </w:r>
    </w:p>
    <w:p w:rsidR="00603FB5" w:rsidRPr="002C2351" w:rsidRDefault="00603FB5" w:rsidP="001363EE">
      <w:pPr>
        <w:pStyle w:val="ListParagraph"/>
        <w:tabs>
          <w:tab w:val="left" w:pos="0"/>
          <w:tab w:val="left" w:pos="567"/>
        </w:tabs>
        <w:jc w:val="both"/>
        <w:rPr>
          <w:rFonts w:cs="Arial"/>
        </w:rPr>
      </w:pPr>
    </w:p>
    <w:p w:rsidR="00603FB5" w:rsidRPr="002C2351" w:rsidRDefault="00603FB5" w:rsidP="001346E3">
      <w:pPr>
        <w:pStyle w:val="ListParagraph"/>
        <w:numPr>
          <w:ilvl w:val="0"/>
          <w:numId w:val="42"/>
        </w:numPr>
        <w:spacing w:after="240"/>
        <w:ind w:left="0" w:firstLine="0"/>
        <w:contextualSpacing/>
        <w:jc w:val="both"/>
        <w:rPr>
          <w:rFonts w:cs="Arial"/>
        </w:rPr>
      </w:pPr>
      <w:r w:rsidRPr="002C2351">
        <w:rPr>
          <w:rFonts w:cs="Arial"/>
        </w:rPr>
        <w:t xml:space="preserve">The expenditure relating </w:t>
      </w:r>
      <w:r>
        <w:rPr>
          <w:rFonts w:cs="Arial"/>
        </w:rPr>
        <w:t>exclusive</w:t>
      </w:r>
      <w:r w:rsidRPr="002C2351">
        <w:rPr>
          <w:rFonts w:cs="Arial"/>
        </w:rPr>
        <w:t xml:space="preserve">ly to the Hague System includes those of Program 31 (the Hague System) and about </w:t>
      </w:r>
      <w:r>
        <w:rPr>
          <w:rFonts w:cs="Arial"/>
        </w:rPr>
        <w:t>seven</w:t>
      </w:r>
      <w:r w:rsidRPr="002C2351">
        <w:rPr>
          <w:rFonts w:cs="Arial"/>
        </w:rPr>
        <w:t xml:space="preserve"> per cent of the expenditure of the Office of the Deputy Director General of the Brands and Designs Sector (Program 6 -Madrid and Lisbon Systems).</w:t>
      </w:r>
      <w:r w:rsidRPr="002C2351">
        <w:rPr>
          <w:vertAlign w:val="superscript"/>
        </w:rPr>
        <w:footnoteReference w:id="42"/>
      </w:r>
    </w:p>
    <w:p w:rsidR="00603FB5" w:rsidRPr="002C2351" w:rsidRDefault="00603FB5" w:rsidP="001363EE">
      <w:pPr>
        <w:pStyle w:val="ListParagraph"/>
        <w:tabs>
          <w:tab w:val="left" w:pos="0"/>
          <w:tab w:val="left" w:pos="567"/>
        </w:tabs>
        <w:jc w:val="both"/>
        <w:rPr>
          <w:rFonts w:cs="Arial"/>
        </w:rPr>
      </w:pPr>
    </w:p>
    <w:p w:rsidR="00603FB5" w:rsidRPr="002C2351" w:rsidRDefault="00603FB5" w:rsidP="001346E3">
      <w:pPr>
        <w:pStyle w:val="ListParagraph"/>
        <w:numPr>
          <w:ilvl w:val="0"/>
          <w:numId w:val="42"/>
        </w:numPr>
        <w:spacing w:after="240"/>
        <w:ind w:left="0" w:firstLine="0"/>
        <w:contextualSpacing/>
        <w:jc w:val="both"/>
        <w:rPr>
          <w:rFonts w:cs="Arial"/>
        </w:rPr>
      </w:pPr>
      <w:r w:rsidRPr="002C2351">
        <w:rPr>
          <w:rFonts w:cs="Arial"/>
        </w:rPr>
        <w:t xml:space="preserve">Expenditure of activities supporting the Hague System comprises the expenditure of the following </w:t>
      </w:r>
      <w:r>
        <w:rPr>
          <w:rFonts w:cs="Arial"/>
        </w:rPr>
        <w:t>general</w:t>
      </w:r>
      <w:r w:rsidRPr="002C2351">
        <w:rPr>
          <w:rFonts w:cs="Arial"/>
        </w:rPr>
        <w:t xml:space="preserve"> services: conference and language services, construction, executive management, finance and budget, general support services, human resources management, internal oversight, IT and safety and security.  A small proportion of these expenses (cost of server hosting at UNICC and share of cost of the Income Section in Finance) are directly attributed to the Hague System whereas the remaining of such expenses attributable to the Hague System are calculated based on headcount (including fixed term staff, temporary staff and fellows).</w:t>
      </w:r>
    </w:p>
    <w:p w:rsidR="00603FB5" w:rsidRPr="00687982" w:rsidRDefault="00603FB5" w:rsidP="001363EE">
      <w:pPr>
        <w:pStyle w:val="ListParagraph"/>
        <w:ind w:left="1080"/>
        <w:jc w:val="both"/>
        <w:rPr>
          <w:rFonts w:cs="Arial"/>
        </w:rPr>
      </w:pPr>
      <w:r w:rsidRPr="00687982">
        <w:rPr>
          <w:rFonts w:cs="Arial"/>
          <w:noProof/>
        </w:rPr>
        <w:drawing>
          <wp:inline distT="0" distB="0" distL="0" distR="0" wp14:anchorId="2CC7C5B9" wp14:editId="06F90627">
            <wp:extent cx="4734000" cy="2833200"/>
            <wp:effectExtent l="0" t="0" r="0" b="5715"/>
            <wp:docPr id="903" name="Picture 9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4734000" cy="2833200"/>
                    </a:xfrm>
                    <a:prstGeom prst="rect">
                      <a:avLst/>
                    </a:prstGeom>
                    <a:noFill/>
                  </pic:spPr>
                </pic:pic>
              </a:graphicData>
            </a:graphic>
          </wp:inline>
        </w:drawing>
      </w:r>
    </w:p>
    <w:p w:rsidR="00603FB5" w:rsidRPr="00687982" w:rsidRDefault="00603FB5" w:rsidP="001363EE">
      <w:pPr>
        <w:pStyle w:val="ListParagraph"/>
        <w:ind w:left="1080"/>
        <w:rPr>
          <w:rFonts w:cs="Arial"/>
        </w:rPr>
      </w:pPr>
    </w:p>
    <w:p w:rsidR="00603FB5" w:rsidRPr="00687982" w:rsidRDefault="00603FB5" w:rsidP="001346E3">
      <w:pPr>
        <w:pStyle w:val="BodyText2"/>
        <w:numPr>
          <w:ilvl w:val="0"/>
          <w:numId w:val="43"/>
        </w:numPr>
        <w:tabs>
          <w:tab w:val="clear" w:pos="720"/>
        </w:tabs>
        <w:spacing w:after="60" w:line="240" w:lineRule="auto"/>
        <w:ind w:left="993" w:hanging="426"/>
        <w:jc w:val="both"/>
        <w:rPr>
          <w:rFonts w:cs="Arial"/>
        </w:rPr>
      </w:pPr>
      <w:r w:rsidRPr="00687982">
        <w:rPr>
          <w:rFonts w:cs="Arial"/>
        </w:rPr>
        <w:t xml:space="preserve">The total expenditure related to the processing of the Hague </w:t>
      </w:r>
      <w:r>
        <w:rPr>
          <w:rFonts w:cs="Arial"/>
        </w:rPr>
        <w:t>S</w:t>
      </w:r>
      <w:r w:rsidRPr="00687982">
        <w:rPr>
          <w:rFonts w:cs="Arial"/>
        </w:rPr>
        <w:t xml:space="preserve">ystem </w:t>
      </w:r>
      <w:r>
        <w:rPr>
          <w:rFonts w:cs="Arial"/>
        </w:rPr>
        <w:t>is</w:t>
      </w:r>
      <w:r w:rsidRPr="00687982">
        <w:rPr>
          <w:rFonts w:cs="Arial"/>
        </w:rPr>
        <w:t xml:space="preserve"> estimated at nearly six million Swiss francs in 2015.  This represents an increase of five per cent on 2014.  Direct and indirect costs increased, by respectively six per cent and three per cent</w:t>
      </w:r>
      <w:r>
        <w:rPr>
          <w:rFonts w:cs="Arial"/>
        </w:rPr>
        <w:t xml:space="preserve"> on 2014</w:t>
      </w:r>
      <w:r w:rsidRPr="00687982">
        <w:rPr>
          <w:rFonts w:cs="Arial"/>
        </w:rPr>
        <w:t>.</w:t>
      </w:r>
      <w:r w:rsidRPr="00AE167F">
        <w:rPr>
          <w:rFonts w:cs="Arial"/>
        </w:rPr>
        <w:t xml:space="preserve"> </w:t>
      </w:r>
      <w:r>
        <w:rPr>
          <w:rFonts w:cs="Arial"/>
        </w:rPr>
        <w:t xml:space="preserve"> </w:t>
      </w:r>
      <w:r w:rsidRPr="0034722D">
        <w:rPr>
          <w:rFonts w:cs="Arial"/>
        </w:rPr>
        <w:t xml:space="preserve">The total </w:t>
      </w:r>
      <w:r>
        <w:rPr>
          <w:rFonts w:cs="Arial"/>
        </w:rPr>
        <w:t>cost of production</w:t>
      </w:r>
      <w:r w:rsidRPr="0034722D">
        <w:rPr>
          <w:rFonts w:cs="Arial"/>
        </w:rPr>
        <w:t xml:space="preserve"> in 2014/</w:t>
      </w:r>
      <w:r>
        <w:rPr>
          <w:rFonts w:cs="Arial"/>
        </w:rPr>
        <w:t>15 increased by three</w:t>
      </w:r>
      <w:r w:rsidRPr="0034722D">
        <w:rPr>
          <w:rFonts w:cs="Arial"/>
        </w:rPr>
        <w:t xml:space="preserve"> per cent compared to 2012/13.</w:t>
      </w:r>
    </w:p>
    <w:p w:rsidR="00603FB5" w:rsidRPr="00687982" w:rsidRDefault="00603FB5" w:rsidP="001346E3">
      <w:pPr>
        <w:pStyle w:val="BodyText2"/>
        <w:numPr>
          <w:ilvl w:val="0"/>
          <w:numId w:val="43"/>
        </w:numPr>
        <w:tabs>
          <w:tab w:val="clear" w:pos="720"/>
        </w:tabs>
        <w:spacing w:after="60" w:line="240" w:lineRule="auto"/>
        <w:ind w:left="993" w:hanging="426"/>
        <w:jc w:val="both"/>
        <w:rPr>
          <w:rFonts w:cs="Arial"/>
        </w:rPr>
      </w:pPr>
      <w:r w:rsidRPr="00687982">
        <w:rPr>
          <w:rFonts w:cs="Arial"/>
        </w:rPr>
        <w:t xml:space="preserve">In 2015, the direct costs accounted for 61 per cent of total expenditures. </w:t>
      </w:r>
    </w:p>
    <w:p w:rsidR="00603FB5" w:rsidRDefault="00603FB5" w:rsidP="001363EE">
      <w:pPr>
        <w:pStyle w:val="ListParagraph"/>
        <w:ind w:left="993" w:hanging="426"/>
        <w:rPr>
          <w:rFonts w:cs="Arial"/>
        </w:rPr>
      </w:pPr>
    </w:p>
    <w:p w:rsidR="00603FB5" w:rsidRPr="00687982" w:rsidRDefault="00603FB5" w:rsidP="001363EE">
      <w:pPr>
        <w:pStyle w:val="ListParagraph"/>
        <w:ind w:left="993" w:hanging="426"/>
        <w:rPr>
          <w:rFonts w:cs="Arial"/>
        </w:rPr>
      </w:pPr>
    </w:p>
    <w:p w:rsidR="00603FB5" w:rsidRPr="00687982" w:rsidRDefault="00603FB5" w:rsidP="001363EE">
      <w:pPr>
        <w:rPr>
          <w:rFonts w:cs="Arial"/>
          <w:u w:val="single"/>
        </w:rPr>
      </w:pPr>
      <w:r w:rsidRPr="00687982">
        <w:rPr>
          <w:rFonts w:cs="Arial"/>
          <w:u w:val="single"/>
        </w:rPr>
        <w:t xml:space="preserve">Unit cost </w:t>
      </w:r>
    </w:p>
    <w:p w:rsidR="00603FB5" w:rsidRPr="00687982" w:rsidRDefault="00603FB5" w:rsidP="001363EE">
      <w:pPr>
        <w:rPr>
          <w:rFonts w:cs="Arial"/>
          <w:u w:val="single"/>
        </w:rPr>
      </w:pPr>
    </w:p>
    <w:p w:rsidR="00603FB5" w:rsidRPr="00687982" w:rsidRDefault="00603FB5" w:rsidP="001346E3">
      <w:pPr>
        <w:pStyle w:val="ListParagraph"/>
        <w:numPr>
          <w:ilvl w:val="0"/>
          <w:numId w:val="42"/>
        </w:numPr>
        <w:tabs>
          <w:tab w:val="left" w:pos="0"/>
          <w:tab w:val="left" w:pos="567"/>
        </w:tabs>
        <w:ind w:left="0" w:firstLine="0"/>
        <w:contextualSpacing/>
        <w:jc w:val="both"/>
        <w:rPr>
          <w:rFonts w:cs="Arial"/>
        </w:rPr>
      </w:pPr>
      <w:r w:rsidRPr="00687982">
        <w:rPr>
          <w:rFonts w:cs="Arial"/>
        </w:rPr>
        <w:t>The IB’s efficiency in processing transactions can be measured by the unit cost, defined as the average cost of producing one unit of output.</w:t>
      </w:r>
    </w:p>
    <w:p w:rsidR="00603FB5" w:rsidRPr="00687982" w:rsidRDefault="00603FB5" w:rsidP="001363EE">
      <w:pPr>
        <w:contextualSpacing/>
        <w:jc w:val="both"/>
        <w:rPr>
          <w:rFonts w:cs="Arial"/>
        </w:rPr>
      </w:pPr>
    </w:p>
    <w:p w:rsidR="00603FB5" w:rsidRPr="00687982" w:rsidRDefault="00603FB5" w:rsidP="001346E3">
      <w:pPr>
        <w:pStyle w:val="ListParagraph"/>
        <w:numPr>
          <w:ilvl w:val="0"/>
          <w:numId w:val="42"/>
        </w:numPr>
        <w:tabs>
          <w:tab w:val="left" w:pos="0"/>
          <w:tab w:val="left" w:pos="567"/>
        </w:tabs>
        <w:ind w:left="0" w:firstLine="0"/>
        <w:contextualSpacing/>
        <w:jc w:val="both"/>
        <w:rPr>
          <w:rFonts w:cs="Arial"/>
        </w:rPr>
      </w:pPr>
      <w:r w:rsidRPr="00687982">
        <w:rPr>
          <w:rFonts w:cs="Arial"/>
        </w:rPr>
        <w:lastRenderedPageBreak/>
        <w:t>As the IB registers new applications and maintains existing registrations, it is relevant to have a unit of output</w:t>
      </w:r>
      <w:r>
        <w:rPr>
          <w:rFonts w:cs="Arial"/>
        </w:rPr>
        <w:t>,</w:t>
      </w:r>
      <w:r w:rsidRPr="00687982">
        <w:rPr>
          <w:rFonts w:cs="Arial"/>
        </w:rPr>
        <w:t xml:space="preserve"> which includes a set of transactions.  Two unit cost indicators are presented below using two different units of output.</w:t>
      </w:r>
    </w:p>
    <w:p w:rsidR="00603FB5" w:rsidRPr="00687982" w:rsidRDefault="00603FB5" w:rsidP="001363EE">
      <w:pPr>
        <w:pStyle w:val="ListParagraph"/>
        <w:tabs>
          <w:tab w:val="left" w:pos="0"/>
          <w:tab w:val="left" w:pos="567"/>
        </w:tabs>
        <w:ind w:left="0"/>
        <w:jc w:val="both"/>
        <w:rPr>
          <w:rFonts w:cs="Arial"/>
        </w:rPr>
      </w:pPr>
    </w:p>
    <w:p w:rsidR="00603FB5" w:rsidRPr="00687982" w:rsidRDefault="00603FB5" w:rsidP="001346E3">
      <w:pPr>
        <w:pStyle w:val="ListParagraph"/>
        <w:numPr>
          <w:ilvl w:val="0"/>
          <w:numId w:val="42"/>
        </w:numPr>
        <w:tabs>
          <w:tab w:val="left" w:pos="567"/>
        </w:tabs>
        <w:spacing w:after="200" w:line="276" w:lineRule="auto"/>
        <w:ind w:left="0" w:firstLine="0"/>
        <w:contextualSpacing/>
        <w:jc w:val="both"/>
        <w:rPr>
          <w:rFonts w:cs="Arial"/>
        </w:rPr>
      </w:pPr>
      <w:r w:rsidRPr="00687982">
        <w:rPr>
          <w:rFonts w:cs="Arial"/>
        </w:rPr>
        <w:t>As part of the IB’s efforts to continuously refine the methodology for calculating unit costs, the methodology has been revised in the Program and Budget for the 2016/17 biennium to reflect more accurately the cost of processing Hague workloads at the IB</w:t>
      </w:r>
      <w:r w:rsidRPr="00687982">
        <w:rPr>
          <w:rStyle w:val="FootnoteReference"/>
          <w:rFonts w:cs="Arial"/>
        </w:rPr>
        <w:footnoteReference w:id="43"/>
      </w:r>
      <w:r w:rsidRPr="00687982">
        <w:rPr>
          <w:rFonts w:cs="Arial"/>
        </w:rPr>
        <w:t xml:space="preserve">. </w:t>
      </w:r>
    </w:p>
    <w:p w:rsidR="00603FB5" w:rsidRPr="00687982" w:rsidRDefault="00603FB5" w:rsidP="001363EE">
      <w:pPr>
        <w:pStyle w:val="ListParagraph"/>
        <w:tabs>
          <w:tab w:val="left" w:pos="0"/>
          <w:tab w:val="left" w:pos="567"/>
        </w:tabs>
        <w:ind w:left="0"/>
        <w:jc w:val="both"/>
        <w:rPr>
          <w:rFonts w:cs="Arial"/>
          <w:highlight w:val="lightGray"/>
        </w:rPr>
      </w:pPr>
    </w:p>
    <w:p w:rsidR="00603FB5" w:rsidRPr="00687982" w:rsidRDefault="00603FB5" w:rsidP="001363EE">
      <w:pPr>
        <w:jc w:val="both"/>
        <w:rPr>
          <w:rFonts w:cs="Arial"/>
          <w:i/>
        </w:rPr>
      </w:pPr>
      <w:r w:rsidRPr="00687982">
        <w:rPr>
          <w:rFonts w:cs="Arial"/>
          <w:i/>
        </w:rPr>
        <w:t>Unit cost per new/renewed design</w:t>
      </w:r>
    </w:p>
    <w:p w:rsidR="00603FB5" w:rsidRPr="00687982" w:rsidRDefault="00603FB5" w:rsidP="001363EE">
      <w:pPr>
        <w:jc w:val="both"/>
        <w:rPr>
          <w:rFonts w:cs="Arial"/>
        </w:rPr>
      </w:pPr>
    </w:p>
    <w:p w:rsidR="00603FB5" w:rsidRPr="00687982" w:rsidRDefault="00603FB5" w:rsidP="001346E3">
      <w:pPr>
        <w:pStyle w:val="ListParagraph"/>
        <w:numPr>
          <w:ilvl w:val="0"/>
          <w:numId w:val="42"/>
        </w:numPr>
        <w:tabs>
          <w:tab w:val="left" w:pos="0"/>
          <w:tab w:val="left" w:pos="567"/>
          <w:tab w:val="left" w:pos="1134"/>
        </w:tabs>
        <w:ind w:left="0" w:firstLine="0"/>
        <w:contextualSpacing/>
        <w:jc w:val="both"/>
        <w:rPr>
          <w:rFonts w:cs="Arial"/>
        </w:rPr>
      </w:pPr>
      <w:r w:rsidRPr="00687982">
        <w:rPr>
          <w:rFonts w:cs="Arial"/>
        </w:rPr>
        <w:t>New designs consist of designs in international applications that are registered within a given year, and renewed designs consist of existing designs in international registrations that are renewed within a given year.  Combined, designs contained in these two types of transactions reflect the core business of the IB.</w:t>
      </w:r>
    </w:p>
    <w:p w:rsidR="00603FB5" w:rsidRPr="00687982" w:rsidRDefault="00603FB5" w:rsidP="001363EE">
      <w:pPr>
        <w:jc w:val="both"/>
        <w:rPr>
          <w:rFonts w:cs="Arial"/>
        </w:rPr>
      </w:pPr>
    </w:p>
    <w:p w:rsidR="00603FB5" w:rsidRDefault="00603FB5" w:rsidP="001346E3">
      <w:pPr>
        <w:pStyle w:val="ListParagraph"/>
        <w:numPr>
          <w:ilvl w:val="0"/>
          <w:numId w:val="42"/>
        </w:numPr>
        <w:tabs>
          <w:tab w:val="left" w:pos="0"/>
          <w:tab w:val="left" w:pos="567"/>
        </w:tabs>
        <w:ind w:left="0" w:firstLine="0"/>
        <w:contextualSpacing/>
        <w:jc w:val="both"/>
        <w:rPr>
          <w:rFonts w:cs="Arial"/>
        </w:rPr>
      </w:pPr>
      <w:r w:rsidRPr="00687982">
        <w:rPr>
          <w:rFonts w:cs="Arial"/>
        </w:rPr>
        <w:t>As processing designs contained in these two types of documents do not require equal resources, they are each weighted differently</w:t>
      </w:r>
      <w:r w:rsidRPr="00687982">
        <w:rPr>
          <w:rStyle w:val="FootnoteReference"/>
          <w:rFonts w:cs="Arial"/>
        </w:rPr>
        <w:footnoteReference w:id="44"/>
      </w:r>
      <w:r>
        <w:rPr>
          <w:rFonts w:cs="Arial"/>
        </w:rPr>
        <w:t>.</w:t>
      </w:r>
      <w:r w:rsidRPr="00687982">
        <w:rPr>
          <w:rFonts w:cs="Arial"/>
        </w:rPr>
        <w:t xml:space="preserve">  The unit cost is calculated by dividing the total cost of production by the number of new/renewed designs.  </w:t>
      </w:r>
    </w:p>
    <w:p w:rsidR="00603FB5" w:rsidRDefault="00603FB5" w:rsidP="001363EE">
      <w:pPr>
        <w:pStyle w:val="ListParagraph"/>
        <w:tabs>
          <w:tab w:val="left" w:pos="0"/>
          <w:tab w:val="left" w:pos="567"/>
        </w:tabs>
        <w:ind w:left="0"/>
        <w:jc w:val="both"/>
        <w:rPr>
          <w:rFonts w:cs="Ari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23"/>
        <w:gridCol w:w="5064"/>
      </w:tblGrid>
      <w:tr w:rsidR="00603FB5" w:rsidRPr="00687982" w:rsidTr="001363EE">
        <w:tc>
          <w:tcPr>
            <w:tcW w:w="4223" w:type="dxa"/>
          </w:tcPr>
          <w:p w:rsidR="00603FB5" w:rsidRPr="00687982" w:rsidRDefault="00603FB5" w:rsidP="001363EE">
            <w:pPr>
              <w:spacing w:after="200" w:line="276" w:lineRule="auto"/>
              <w:jc w:val="center"/>
              <w:rPr>
                <w:rFonts w:cs="Arial"/>
              </w:rPr>
            </w:pPr>
            <w:r>
              <w:rPr>
                <w:rFonts w:cs="Arial"/>
              </w:rPr>
              <w:t>Old Method</w:t>
            </w:r>
          </w:p>
        </w:tc>
        <w:tc>
          <w:tcPr>
            <w:tcW w:w="5064" w:type="dxa"/>
          </w:tcPr>
          <w:p w:rsidR="00603FB5" w:rsidRPr="00687982" w:rsidRDefault="00603FB5" w:rsidP="001363EE">
            <w:pPr>
              <w:spacing w:after="200" w:line="276" w:lineRule="auto"/>
              <w:jc w:val="center"/>
              <w:rPr>
                <w:rFonts w:cs="Arial"/>
              </w:rPr>
            </w:pPr>
            <w:r>
              <w:rPr>
                <w:rFonts w:cs="Arial"/>
              </w:rPr>
              <w:t>New method</w:t>
            </w:r>
          </w:p>
        </w:tc>
      </w:tr>
      <w:tr w:rsidR="00603FB5" w:rsidRPr="00687982" w:rsidTr="001363EE">
        <w:tc>
          <w:tcPr>
            <w:tcW w:w="4223" w:type="dxa"/>
          </w:tcPr>
          <w:p w:rsidR="00603FB5" w:rsidRPr="00687982" w:rsidRDefault="00603FB5" w:rsidP="001363EE">
            <w:pPr>
              <w:spacing w:after="200" w:line="276" w:lineRule="auto"/>
              <w:jc w:val="center"/>
              <w:rPr>
                <w:rFonts w:cs="Arial"/>
              </w:rPr>
            </w:pPr>
            <w:r>
              <w:rPr>
                <w:noProof/>
              </w:rPr>
              <w:drawing>
                <wp:inline distT="0" distB="0" distL="0" distR="0" wp14:anchorId="1A6DC5A3" wp14:editId="0043ABED">
                  <wp:extent cx="2541072" cy="1767840"/>
                  <wp:effectExtent l="0" t="0" r="0" b="3810"/>
                  <wp:docPr id="904" name="Picture 9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8" cstate="print">
                            <a:extLst>
                              <a:ext uri="{28A0092B-C50C-407E-A947-70E740481C1C}">
                                <a14:useLocalDpi xmlns:a14="http://schemas.microsoft.com/office/drawing/2010/main" val="0"/>
                              </a:ext>
                            </a:extLst>
                          </a:blip>
                          <a:srcRect/>
                          <a:stretch>
                            <a:fillRect/>
                          </a:stretch>
                        </pic:blipFill>
                        <pic:spPr bwMode="auto">
                          <a:xfrm>
                            <a:off x="0" y="0"/>
                            <a:ext cx="2541072" cy="1767840"/>
                          </a:xfrm>
                          <a:prstGeom prst="rect">
                            <a:avLst/>
                          </a:prstGeom>
                          <a:noFill/>
                        </pic:spPr>
                      </pic:pic>
                    </a:graphicData>
                  </a:graphic>
                </wp:inline>
              </w:drawing>
            </w:r>
          </w:p>
        </w:tc>
        <w:tc>
          <w:tcPr>
            <w:tcW w:w="5064" w:type="dxa"/>
          </w:tcPr>
          <w:p w:rsidR="00603FB5" w:rsidRPr="00687982" w:rsidRDefault="00603FB5" w:rsidP="001363EE">
            <w:pPr>
              <w:spacing w:after="200" w:line="276" w:lineRule="auto"/>
              <w:jc w:val="center"/>
              <w:rPr>
                <w:rFonts w:cs="Arial"/>
              </w:rPr>
            </w:pPr>
            <w:r w:rsidRPr="00687982">
              <w:rPr>
                <w:rFonts w:cs="Arial"/>
                <w:noProof/>
              </w:rPr>
              <w:drawing>
                <wp:inline distT="0" distB="0" distL="0" distR="0" wp14:anchorId="3F274EEE" wp14:editId="620BE444">
                  <wp:extent cx="2990481" cy="1722120"/>
                  <wp:effectExtent l="0" t="0" r="635" b="0"/>
                  <wp:docPr id="905" name="Picture 9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9" cstate="print">
                            <a:extLst>
                              <a:ext uri="{28A0092B-C50C-407E-A947-70E740481C1C}">
                                <a14:useLocalDpi xmlns:a14="http://schemas.microsoft.com/office/drawing/2010/main" val="0"/>
                              </a:ext>
                            </a:extLst>
                          </a:blip>
                          <a:srcRect/>
                          <a:stretch>
                            <a:fillRect/>
                          </a:stretch>
                        </pic:blipFill>
                        <pic:spPr bwMode="auto">
                          <a:xfrm>
                            <a:off x="0" y="0"/>
                            <a:ext cx="2990481" cy="1722120"/>
                          </a:xfrm>
                          <a:prstGeom prst="rect">
                            <a:avLst/>
                          </a:prstGeom>
                          <a:noFill/>
                        </pic:spPr>
                      </pic:pic>
                    </a:graphicData>
                  </a:graphic>
                </wp:inline>
              </w:drawing>
            </w:r>
          </w:p>
        </w:tc>
      </w:tr>
    </w:tbl>
    <w:p w:rsidR="00603FB5" w:rsidRPr="00687982" w:rsidRDefault="00603FB5" w:rsidP="001363EE">
      <w:pPr>
        <w:pStyle w:val="ListParagraph"/>
        <w:spacing w:before="120" w:after="120"/>
        <w:ind w:left="0"/>
        <w:jc w:val="center"/>
        <w:rPr>
          <w:rFonts w:cs="Arial"/>
        </w:rPr>
      </w:pPr>
    </w:p>
    <w:p w:rsidR="00603FB5" w:rsidRPr="00687982" w:rsidRDefault="00603FB5" w:rsidP="001363EE">
      <w:pPr>
        <w:pStyle w:val="ListParagraph"/>
        <w:spacing w:before="120" w:after="120"/>
        <w:ind w:left="1080"/>
        <w:jc w:val="center"/>
        <w:rPr>
          <w:rFonts w:cs="Arial"/>
        </w:rPr>
      </w:pPr>
    </w:p>
    <w:p w:rsidR="00603FB5" w:rsidRDefault="00603FB5" w:rsidP="001346E3">
      <w:pPr>
        <w:pStyle w:val="BodyText2"/>
        <w:numPr>
          <w:ilvl w:val="0"/>
          <w:numId w:val="43"/>
        </w:numPr>
        <w:tabs>
          <w:tab w:val="clear" w:pos="720"/>
        </w:tabs>
        <w:spacing w:after="60" w:line="240" w:lineRule="auto"/>
        <w:ind w:left="993" w:hanging="426"/>
        <w:jc w:val="both"/>
        <w:rPr>
          <w:rFonts w:cs="Arial"/>
        </w:rPr>
      </w:pPr>
      <w:r w:rsidRPr="00687982">
        <w:rPr>
          <w:rFonts w:cs="Arial"/>
        </w:rPr>
        <w:t xml:space="preserve">The average cost of processing a new/renewed design was 337 Swiss francs in 2015, down </w:t>
      </w:r>
      <w:r>
        <w:rPr>
          <w:rFonts w:cs="Arial"/>
        </w:rPr>
        <w:t>eight</w:t>
      </w:r>
      <w:r w:rsidRPr="00687982">
        <w:rPr>
          <w:rFonts w:cs="Arial"/>
        </w:rPr>
        <w:t xml:space="preserve"> per cent from 2014.  This decrease was due to a sharp increase of 14 per cent of the number of new/renewed designs</w:t>
      </w:r>
      <w:r>
        <w:rPr>
          <w:rFonts w:cs="Arial"/>
        </w:rPr>
        <w:t xml:space="preserve"> processed with the similar amount of resources as in 2014</w:t>
      </w:r>
      <w:r w:rsidRPr="00687982">
        <w:rPr>
          <w:rFonts w:cs="Arial"/>
        </w:rPr>
        <w:t>.</w:t>
      </w:r>
    </w:p>
    <w:p w:rsidR="00603FB5" w:rsidRPr="00687982" w:rsidRDefault="00603FB5" w:rsidP="001346E3">
      <w:pPr>
        <w:pStyle w:val="BodyText2"/>
        <w:numPr>
          <w:ilvl w:val="0"/>
          <w:numId w:val="43"/>
        </w:numPr>
        <w:tabs>
          <w:tab w:val="clear" w:pos="720"/>
        </w:tabs>
        <w:spacing w:after="60" w:line="240" w:lineRule="auto"/>
        <w:ind w:left="993" w:hanging="426"/>
        <w:jc w:val="both"/>
        <w:rPr>
          <w:rFonts w:cs="Arial"/>
        </w:rPr>
      </w:pPr>
      <w:r w:rsidRPr="00413233">
        <w:rPr>
          <w:rFonts w:cs="Arial"/>
        </w:rPr>
        <w:t xml:space="preserve">The </w:t>
      </w:r>
      <w:r>
        <w:rPr>
          <w:rFonts w:cs="Arial"/>
        </w:rPr>
        <w:t xml:space="preserve">average </w:t>
      </w:r>
      <w:r w:rsidRPr="00413233">
        <w:rPr>
          <w:rFonts w:cs="Arial"/>
        </w:rPr>
        <w:t xml:space="preserve">unit cost of processing </w:t>
      </w:r>
      <w:r w:rsidRPr="00687982">
        <w:rPr>
          <w:rFonts w:cs="Arial"/>
        </w:rPr>
        <w:t xml:space="preserve">a new/renewed design </w:t>
      </w:r>
      <w:r w:rsidRPr="00413233">
        <w:rPr>
          <w:rFonts w:cs="Arial"/>
        </w:rPr>
        <w:t>in the 2014/15 biennium (</w:t>
      </w:r>
      <w:r>
        <w:rPr>
          <w:rFonts w:cs="Arial"/>
        </w:rPr>
        <w:t>350 Swiss francs) decreased by 12</w:t>
      </w:r>
      <w:r w:rsidRPr="00413233">
        <w:rPr>
          <w:rFonts w:cs="Arial"/>
        </w:rPr>
        <w:t xml:space="preserve"> per cent compared to the 2012/13 biennium (</w:t>
      </w:r>
      <w:r>
        <w:rPr>
          <w:rFonts w:cs="Arial"/>
        </w:rPr>
        <w:t>400</w:t>
      </w:r>
      <w:r w:rsidRPr="00413233">
        <w:rPr>
          <w:rFonts w:cs="Arial"/>
        </w:rPr>
        <w:t xml:space="preserve"> </w:t>
      </w:r>
      <w:r>
        <w:rPr>
          <w:rFonts w:cs="Arial"/>
        </w:rPr>
        <w:t>Swiss francs</w:t>
      </w:r>
      <w:r w:rsidRPr="00413233">
        <w:rPr>
          <w:rFonts w:cs="Arial"/>
        </w:rPr>
        <w:t>).</w:t>
      </w:r>
    </w:p>
    <w:p w:rsidR="00603FB5" w:rsidRPr="00687982" w:rsidRDefault="00603FB5" w:rsidP="001363EE">
      <w:pPr>
        <w:jc w:val="center"/>
        <w:rPr>
          <w:rFonts w:cs="Arial"/>
        </w:rPr>
      </w:pPr>
    </w:p>
    <w:p w:rsidR="00603FB5" w:rsidRPr="00687982" w:rsidRDefault="00603FB5" w:rsidP="001363EE">
      <w:pPr>
        <w:jc w:val="both"/>
        <w:rPr>
          <w:rFonts w:cs="Arial"/>
          <w:i/>
        </w:rPr>
      </w:pPr>
      <w:r w:rsidRPr="00687982">
        <w:rPr>
          <w:rFonts w:cs="Arial"/>
          <w:i/>
        </w:rPr>
        <w:t>Unit cost per document recorded in the register</w:t>
      </w:r>
    </w:p>
    <w:p w:rsidR="00603FB5" w:rsidRPr="00687982" w:rsidRDefault="00603FB5" w:rsidP="001363EE">
      <w:pPr>
        <w:jc w:val="both"/>
        <w:rPr>
          <w:rFonts w:cs="Arial"/>
        </w:rPr>
      </w:pPr>
    </w:p>
    <w:p w:rsidR="00603FB5" w:rsidRPr="00687982" w:rsidRDefault="00603FB5" w:rsidP="001346E3">
      <w:pPr>
        <w:pStyle w:val="ListParagraph"/>
        <w:numPr>
          <w:ilvl w:val="0"/>
          <w:numId w:val="42"/>
        </w:numPr>
        <w:tabs>
          <w:tab w:val="left" w:pos="0"/>
          <w:tab w:val="left" w:pos="567"/>
        </w:tabs>
        <w:ind w:left="0" w:firstLine="0"/>
        <w:contextualSpacing/>
        <w:jc w:val="both"/>
        <w:rPr>
          <w:rFonts w:cs="Arial"/>
        </w:rPr>
      </w:pPr>
      <w:r w:rsidRPr="00687982">
        <w:rPr>
          <w:rFonts w:cs="Arial"/>
        </w:rPr>
        <w:t xml:space="preserve">The documents recorded in the </w:t>
      </w:r>
      <w:r>
        <w:rPr>
          <w:rFonts w:cs="Arial"/>
        </w:rPr>
        <w:t>R</w:t>
      </w:r>
      <w:r w:rsidRPr="00687982">
        <w:rPr>
          <w:rFonts w:cs="Arial"/>
        </w:rPr>
        <w:t xml:space="preserve">egister correspond to </w:t>
      </w:r>
      <w:r>
        <w:rPr>
          <w:rFonts w:cs="Arial"/>
        </w:rPr>
        <w:t>the total workload (see “Total W</w:t>
      </w:r>
      <w:r w:rsidRPr="00687982">
        <w:rPr>
          <w:rFonts w:cs="Arial"/>
        </w:rPr>
        <w:t xml:space="preserve">orkload” above). </w:t>
      </w:r>
    </w:p>
    <w:p w:rsidR="00603FB5" w:rsidRDefault="00603FB5" w:rsidP="001363EE">
      <w:pPr>
        <w:jc w:val="both"/>
        <w:rPr>
          <w:rFonts w:cs="Arial"/>
        </w:rPr>
      </w:pPr>
    </w:p>
    <w:p w:rsidR="00603FB5" w:rsidRDefault="00603FB5" w:rsidP="001363EE">
      <w:pPr>
        <w:jc w:val="both"/>
        <w:rPr>
          <w:rFonts w:cs="Arial"/>
        </w:rPr>
      </w:pPr>
    </w:p>
    <w:p w:rsidR="00603FB5" w:rsidRDefault="00603FB5" w:rsidP="001363EE">
      <w:pPr>
        <w:jc w:val="both"/>
        <w:rPr>
          <w:rFonts w:cs="Arial"/>
        </w:rPr>
      </w:pPr>
    </w:p>
    <w:p w:rsidR="00603FB5" w:rsidRDefault="00603FB5" w:rsidP="001363EE">
      <w:pPr>
        <w:jc w:val="both"/>
        <w:rPr>
          <w:rFonts w:cs="Arial"/>
        </w:rPr>
      </w:pPr>
    </w:p>
    <w:p w:rsidR="00603FB5" w:rsidRDefault="00603FB5" w:rsidP="001363EE">
      <w:pPr>
        <w:jc w:val="both"/>
        <w:rPr>
          <w:rFonts w:cs="Arial"/>
        </w:rPr>
      </w:pPr>
    </w:p>
    <w:p w:rsidR="00603FB5" w:rsidRPr="00687982" w:rsidRDefault="00603FB5" w:rsidP="001363EE">
      <w:pPr>
        <w:jc w:val="both"/>
        <w:rPr>
          <w:rFonts w:cs="Ari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643"/>
        <w:gridCol w:w="4644"/>
      </w:tblGrid>
      <w:tr w:rsidR="00603FB5" w:rsidRPr="00687982" w:rsidTr="001363EE">
        <w:tc>
          <w:tcPr>
            <w:tcW w:w="4643" w:type="dxa"/>
            <w:vAlign w:val="center"/>
          </w:tcPr>
          <w:p w:rsidR="00603FB5" w:rsidRPr="00687982" w:rsidRDefault="00603FB5" w:rsidP="001363EE">
            <w:pPr>
              <w:spacing w:after="200" w:line="276" w:lineRule="auto"/>
              <w:jc w:val="center"/>
              <w:rPr>
                <w:rFonts w:cs="Arial"/>
              </w:rPr>
            </w:pPr>
            <w:r>
              <w:rPr>
                <w:rFonts w:cs="Arial"/>
              </w:rPr>
              <w:lastRenderedPageBreak/>
              <w:t>Old Method</w:t>
            </w:r>
          </w:p>
        </w:tc>
        <w:tc>
          <w:tcPr>
            <w:tcW w:w="4644" w:type="dxa"/>
            <w:vAlign w:val="center"/>
          </w:tcPr>
          <w:p w:rsidR="00603FB5" w:rsidRPr="00687982" w:rsidRDefault="00603FB5" w:rsidP="001363EE">
            <w:pPr>
              <w:spacing w:after="200" w:line="276" w:lineRule="auto"/>
              <w:jc w:val="center"/>
              <w:rPr>
                <w:rFonts w:cs="Arial"/>
              </w:rPr>
            </w:pPr>
            <w:r>
              <w:rPr>
                <w:rFonts w:cs="Arial"/>
              </w:rPr>
              <w:t>New method</w:t>
            </w:r>
          </w:p>
        </w:tc>
      </w:tr>
      <w:tr w:rsidR="00603FB5" w:rsidRPr="00687982" w:rsidTr="001363EE">
        <w:tc>
          <w:tcPr>
            <w:tcW w:w="4643" w:type="dxa"/>
            <w:vAlign w:val="center"/>
          </w:tcPr>
          <w:p w:rsidR="00603FB5" w:rsidRPr="00687982" w:rsidRDefault="00603FB5" w:rsidP="001363EE">
            <w:pPr>
              <w:spacing w:after="200" w:line="276" w:lineRule="auto"/>
              <w:jc w:val="center"/>
              <w:rPr>
                <w:rFonts w:cs="Arial"/>
              </w:rPr>
            </w:pPr>
            <w:r>
              <w:rPr>
                <w:noProof/>
              </w:rPr>
              <w:drawing>
                <wp:inline distT="0" distB="0" distL="0" distR="0" wp14:anchorId="7D40EAD4" wp14:editId="3E7DB6F5">
                  <wp:extent cx="2750459" cy="1661160"/>
                  <wp:effectExtent l="0" t="0" r="0" b="0"/>
                  <wp:docPr id="906" name="Picture 9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0" cstate="print">
                            <a:extLst>
                              <a:ext uri="{28A0092B-C50C-407E-A947-70E740481C1C}">
                                <a14:useLocalDpi xmlns:a14="http://schemas.microsoft.com/office/drawing/2010/main" val="0"/>
                              </a:ext>
                            </a:extLst>
                          </a:blip>
                          <a:srcRect/>
                          <a:stretch>
                            <a:fillRect/>
                          </a:stretch>
                        </pic:blipFill>
                        <pic:spPr bwMode="auto">
                          <a:xfrm>
                            <a:off x="0" y="0"/>
                            <a:ext cx="2750459" cy="1661160"/>
                          </a:xfrm>
                          <a:prstGeom prst="rect">
                            <a:avLst/>
                          </a:prstGeom>
                          <a:noFill/>
                        </pic:spPr>
                      </pic:pic>
                    </a:graphicData>
                  </a:graphic>
                </wp:inline>
              </w:drawing>
            </w:r>
          </w:p>
        </w:tc>
        <w:tc>
          <w:tcPr>
            <w:tcW w:w="4644" w:type="dxa"/>
            <w:vAlign w:val="center"/>
          </w:tcPr>
          <w:p w:rsidR="00603FB5" w:rsidRPr="00687982" w:rsidRDefault="00603FB5" w:rsidP="001363EE">
            <w:pPr>
              <w:spacing w:after="200" w:line="276" w:lineRule="auto"/>
              <w:jc w:val="center"/>
              <w:rPr>
                <w:rFonts w:cs="Arial"/>
              </w:rPr>
            </w:pPr>
            <w:r w:rsidRPr="00687982">
              <w:rPr>
                <w:rFonts w:cs="Arial"/>
                <w:noProof/>
              </w:rPr>
              <w:drawing>
                <wp:inline distT="0" distB="0" distL="0" distR="0" wp14:anchorId="77E0BD14" wp14:editId="03C28D93">
                  <wp:extent cx="2604553" cy="1790700"/>
                  <wp:effectExtent l="0" t="0" r="5715" b="0"/>
                  <wp:docPr id="907" name="Picture 9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1" cstate="print">
                            <a:extLst>
                              <a:ext uri="{28A0092B-C50C-407E-A947-70E740481C1C}">
                                <a14:useLocalDpi xmlns:a14="http://schemas.microsoft.com/office/drawing/2010/main" val="0"/>
                              </a:ext>
                            </a:extLst>
                          </a:blip>
                          <a:srcRect/>
                          <a:stretch>
                            <a:fillRect/>
                          </a:stretch>
                        </pic:blipFill>
                        <pic:spPr bwMode="auto">
                          <a:xfrm>
                            <a:off x="0" y="0"/>
                            <a:ext cx="2605130" cy="1791097"/>
                          </a:xfrm>
                          <a:prstGeom prst="rect">
                            <a:avLst/>
                          </a:prstGeom>
                          <a:noFill/>
                        </pic:spPr>
                      </pic:pic>
                    </a:graphicData>
                  </a:graphic>
                </wp:inline>
              </w:drawing>
            </w:r>
          </w:p>
        </w:tc>
      </w:tr>
    </w:tbl>
    <w:p w:rsidR="00603FB5" w:rsidRPr="00687982" w:rsidRDefault="00603FB5" w:rsidP="001363EE">
      <w:pPr>
        <w:tabs>
          <w:tab w:val="left" w:pos="1134"/>
        </w:tabs>
        <w:jc w:val="center"/>
        <w:rPr>
          <w:rFonts w:cs="Arial"/>
        </w:rPr>
      </w:pPr>
    </w:p>
    <w:p w:rsidR="00603FB5" w:rsidRDefault="00603FB5" w:rsidP="001346E3">
      <w:pPr>
        <w:pStyle w:val="BodyText2"/>
        <w:numPr>
          <w:ilvl w:val="0"/>
          <w:numId w:val="43"/>
        </w:numPr>
        <w:tabs>
          <w:tab w:val="clear" w:pos="720"/>
        </w:tabs>
        <w:spacing w:after="60" w:line="240" w:lineRule="auto"/>
        <w:ind w:left="993" w:hanging="426"/>
        <w:jc w:val="both"/>
        <w:rPr>
          <w:rFonts w:cs="Arial"/>
        </w:rPr>
      </w:pPr>
      <w:r w:rsidRPr="00687982">
        <w:rPr>
          <w:rFonts w:cs="Arial"/>
        </w:rPr>
        <w:t xml:space="preserve">The average cost of recording a document in the </w:t>
      </w:r>
      <w:r>
        <w:rPr>
          <w:rFonts w:cs="Arial"/>
        </w:rPr>
        <w:t>R</w:t>
      </w:r>
      <w:r w:rsidRPr="00687982">
        <w:rPr>
          <w:rFonts w:cs="Arial"/>
        </w:rPr>
        <w:t>egister decreased</w:t>
      </w:r>
      <w:r>
        <w:rPr>
          <w:rFonts w:cs="Arial"/>
        </w:rPr>
        <w:t xml:space="preserve"> by 22 per cent</w:t>
      </w:r>
      <w:r w:rsidRPr="00687982">
        <w:rPr>
          <w:rFonts w:cs="Arial"/>
        </w:rPr>
        <w:t xml:space="preserve"> </w:t>
      </w:r>
      <w:r>
        <w:rPr>
          <w:rFonts w:cs="Arial"/>
        </w:rPr>
        <w:t xml:space="preserve">from 1,483 Swiss francs in 2014 </w:t>
      </w:r>
      <w:r w:rsidRPr="00687982">
        <w:rPr>
          <w:rFonts w:cs="Arial"/>
        </w:rPr>
        <w:t>to</w:t>
      </w:r>
      <w:r>
        <w:rPr>
          <w:rFonts w:cs="Arial"/>
        </w:rPr>
        <w:t> </w:t>
      </w:r>
      <w:r w:rsidRPr="00687982">
        <w:rPr>
          <w:rFonts w:cs="Arial"/>
        </w:rPr>
        <w:t>1,153</w:t>
      </w:r>
      <w:r>
        <w:rPr>
          <w:rFonts w:cs="Arial"/>
        </w:rPr>
        <w:t> </w:t>
      </w:r>
      <w:r w:rsidRPr="00687982">
        <w:rPr>
          <w:rFonts w:cs="Arial"/>
        </w:rPr>
        <w:t xml:space="preserve">Swiss francs in 2015. </w:t>
      </w:r>
      <w:r>
        <w:rPr>
          <w:rFonts w:cs="Arial"/>
        </w:rPr>
        <w:t xml:space="preserve"> </w:t>
      </w:r>
      <w:r w:rsidRPr="00687982">
        <w:rPr>
          <w:rFonts w:cs="Arial"/>
        </w:rPr>
        <w:t xml:space="preserve">This is due to the sharp increase of 35 per cent </w:t>
      </w:r>
      <w:r>
        <w:rPr>
          <w:rFonts w:cs="Arial"/>
        </w:rPr>
        <w:t>in</w:t>
      </w:r>
      <w:r w:rsidRPr="00687982">
        <w:rPr>
          <w:rFonts w:cs="Arial"/>
        </w:rPr>
        <w:t xml:space="preserve"> the total workload</w:t>
      </w:r>
      <w:r>
        <w:rPr>
          <w:rFonts w:cs="Arial"/>
        </w:rPr>
        <w:t xml:space="preserve"> processed with the same resources as in 2014</w:t>
      </w:r>
      <w:r w:rsidRPr="00687982">
        <w:rPr>
          <w:rFonts w:cs="Arial"/>
        </w:rPr>
        <w:t>.</w:t>
      </w:r>
    </w:p>
    <w:p w:rsidR="00603FB5" w:rsidRPr="00A545C2" w:rsidRDefault="00603FB5" w:rsidP="001346E3">
      <w:pPr>
        <w:pStyle w:val="BodyText2"/>
        <w:numPr>
          <w:ilvl w:val="0"/>
          <w:numId w:val="43"/>
        </w:numPr>
        <w:tabs>
          <w:tab w:val="clear" w:pos="720"/>
        </w:tabs>
        <w:spacing w:after="60" w:line="240" w:lineRule="auto"/>
        <w:ind w:left="993" w:hanging="426"/>
        <w:jc w:val="both"/>
        <w:rPr>
          <w:rFonts w:cs="Arial"/>
        </w:rPr>
      </w:pPr>
      <w:r w:rsidRPr="00687982">
        <w:rPr>
          <w:rFonts w:cs="Arial"/>
        </w:rPr>
        <w:t xml:space="preserve">The average cost of recording a document in the </w:t>
      </w:r>
      <w:r>
        <w:rPr>
          <w:rFonts w:cs="Arial"/>
        </w:rPr>
        <w:t>R</w:t>
      </w:r>
      <w:r w:rsidRPr="00687982">
        <w:rPr>
          <w:rFonts w:cs="Arial"/>
        </w:rPr>
        <w:t xml:space="preserve">egister </w:t>
      </w:r>
      <w:r w:rsidRPr="00413233">
        <w:rPr>
          <w:rFonts w:cs="Arial"/>
        </w:rPr>
        <w:t>in the 2014/15 biennium (</w:t>
      </w:r>
      <w:r>
        <w:rPr>
          <w:rFonts w:cs="Arial"/>
        </w:rPr>
        <w:t>1,294 Swiss francs) decreased by 15</w:t>
      </w:r>
      <w:r w:rsidRPr="00413233">
        <w:rPr>
          <w:rFonts w:cs="Arial"/>
        </w:rPr>
        <w:t xml:space="preserve"> per cent compared to the 2012/13 biennium (</w:t>
      </w:r>
      <w:r>
        <w:rPr>
          <w:rFonts w:cs="Arial"/>
        </w:rPr>
        <w:t>1,528 Swiss francs</w:t>
      </w:r>
      <w:r w:rsidRPr="00413233">
        <w:rPr>
          <w:rFonts w:cs="Arial"/>
        </w:rPr>
        <w:t>).</w:t>
      </w:r>
    </w:p>
    <w:p w:rsidR="00603FB5" w:rsidRPr="00687982" w:rsidRDefault="00603FB5" w:rsidP="001363EE">
      <w:pPr>
        <w:pStyle w:val="ListParagraph"/>
        <w:ind w:left="0"/>
        <w:jc w:val="both"/>
        <w:rPr>
          <w:rFonts w:cs="Arial"/>
        </w:rPr>
      </w:pPr>
    </w:p>
    <w:p w:rsidR="00603FB5" w:rsidRPr="00687982" w:rsidRDefault="00603FB5" w:rsidP="001363EE">
      <w:pPr>
        <w:pStyle w:val="ListParagraph"/>
        <w:ind w:left="0"/>
        <w:rPr>
          <w:rFonts w:cs="Arial"/>
        </w:rPr>
      </w:pPr>
    </w:p>
    <w:p w:rsidR="00603FB5" w:rsidRPr="00687982" w:rsidRDefault="00603FB5" w:rsidP="001363EE">
      <w:pPr>
        <w:tabs>
          <w:tab w:val="left" w:pos="567"/>
        </w:tabs>
        <w:spacing w:before="120" w:after="240"/>
        <w:rPr>
          <w:rFonts w:cs="Arial"/>
          <w:b/>
        </w:rPr>
      </w:pPr>
      <w:r w:rsidRPr="00687982">
        <w:rPr>
          <w:rFonts w:cs="Arial"/>
          <w:b/>
        </w:rPr>
        <w:t>III.</w:t>
      </w:r>
      <w:r w:rsidRPr="00687982">
        <w:rPr>
          <w:rFonts w:cs="Arial"/>
          <w:b/>
        </w:rPr>
        <w:tab/>
        <w:t xml:space="preserve">Timeliness to </w:t>
      </w:r>
      <w:r>
        <w:rPr>
          <w:rFonts w:cs="Arial"/>
          <w:b/>
        </w:rPr>
        <w:t>P</w:t>
      </w:r>
      <w:r w:rsidRPr="00687982">
        <w:rPr>
          <w:rFonts w:cs="Arial"/>
          <w:b/>
        </w:rPr>
        <w:t xml:space="preserve">rocess </w:t>
      </w:r>
      <w:r>
        <w:rPr>
          <w:rFonts w:cs="Arial"/>
          <w:b/>
        </w:rPr>
        <w:t>I</w:t>
      </w:r>
      <w:r w:rsidRPr="00687982">
        <w:rPr>
          <w:rFonts w:cs="Arial"/>
          <w:b/>
        </w:rPr>
        <w:t xml:space="preserve">nternational </w:t>
      </w:r>
      <w:r>
        <w:rPr>
          <w:rFonts w:cs="Arial"/>
          <w:b/>
        </w:rPr>
        <w:t>A</w:t>
      </w:r>
      <w:r w:rsidRPr="00687982">
        <w:rPr>
          <w:rFonts w:cs="Arial"/>
          <w:b/>
        </w:rPr>
        <w:t>pplications</w:t>
      </w:r>
    </w:p>
    <w:p w:rsidR="00603FB5" w:rsidRPr="00687982" w:rsidRDefault="00603FB5" w:rsidP="001346E3">
      <w:pPr>
        <w:pStyle w:val="ListParagraph"/>
        <w:numPr>
          <w:ilvl w:val="0"/>
          <w:numId w:val="42"/>
        </w:numPr>
        <w:tabs>
          <w:tab w:val="left" w:pos="0"/>
          <w:tab w:val="left" w:pos="567"/>
        </w:tabs>
        <w:ind w:left="0" w:firstLine="0"/>
        <w:contextualSpacing/>
        <w:jc w:val="both"/>
        <w:rPr>
          <w:rFonts w:cs="Arial"/>
        </w:rPr>
      </w:pPr>
      <w:r w:rsidRPr="00687982">
        <w:rPr>
          <w:rFonts w:cs="Arial"/>
        </w:rPr>
        <w:t xml:space="preserve">This indicator reflects the time required by the IB to process regular applications. </w:t>
      </w:r>
      <w:r>
        <w:rPr>
          <w:rFonts w:cs="Arial"/>
        </w:rPr>
        <w:t xml:space="preserve"> </w:t>
      </w:r>
      <w:r w:rsidRPr="00687982">
        <w:rPr>
          <w:rFonts w:cs="Arial"/>
        </w:rPr>
        <w:t>The timeliness is calculated between the time elapsed between the date of receipt of an application and the date it was registered.</w:t>
      </w:r>
    </w:p>
    <w:p w:rsidR="00603FB5" w:rsidRPr="00687982" w:rsidRDefault="00603FB5" w:rsidP="001363EE">
      <w:pPr>
        <w:spacing w:before="120" w:after="240"/>
        <w:jc w:val="center"/>
        <w:rPr>
          <w:rFonts w:cs="Arial"/>
        </w:rPr>
      </w:pPr>
      <w:r w:rsidRPr="00687982">
        <w:rPr>
          <w:rFonts w:cs="Arial"/>
          <w:noProof/>
        </w:rPr>
        <w:drawing>
          <wp:inline distT="0" distB="0" distL="0" distR="0" wp14:anchorId="59BDE3B1" wp14:editId="64D4EC58">
            <wp:extent cx="4262400" cy="2468984"/>
            <wp:effectExtent l="0" t="0" r="5080" b="7620"/>
            <wp:docPr id="908" name="Picture 9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2" cstate="print">
                      <a:extLst>
                        <a:ext uri="{28A0092B-C50C-407E-A947-70E740481C1C}">
                          <a14:useLocalDpi xmlns:a14="http://schemas.microsoft.com/office/drawing/2010/main" val="0"/>
                        </a:ext>
                      </a:extLst>
                    </a:blip>
                    <a:srcRect/>
                    <a:stretch>
                      <a:fillRect/>
                    </a:stretch>
                  </pic:blipFill>
                  <pic:spPr bwMode="auto">
                    <a:xfrm>
                      <a:off x="0" y="0"/>
                      <a:ext cx="4262400" cy="2468984"/>
                    </a:xfrm>
                    <a:prstGeom prst="rect">
                      <a:avLst/>
                    </a:prstGeom>
                    <a:noFill/>
                  </pic:spPr>
                </pic:pic>
              </a:graphicData>
            </a:graphic>
          </wp:inline>
        </w:drawing>
      </w:r>
    </w:p>
    <w:p w:rsidR="00603FB5" w:rsidRPr="00687982" w:rsidRDefault="00603FB5" w:rsidP="001346E3">
      <w:pPr>
        <w:pStyle w:val="BodyText2"/>
        <w:numPr>
          <w:ilvl w:val="0"/>
          <w:numId w:val="43"/>
        </w:numPr>
        <w:tabs>
          <w:tab w:val="clear" w:pos="720"/>
        </w:tabs>
        <w:spacing w:after="60" w:line="240" w:lineRule="auto"/>
        <w:ind w:left="993" w:hanging="426"/>
        <w:jc w:val="both"/>
        <w:rPr>
          <w:rFonts w:cs="Arial"/>
        </w:rPr>
      </w:pPr>
      <w:r w:rsidRPr="00687982">
        <w:rPr>
          <w:rFonts w:cs="Arial"/>
        </w:rPr>
        <w:t xml:space="preserve">In 2015, the share of regular applications processed within less than one week </w:t>
      </w:r>
      <w:r>
        <w:rPr>
          <w:rFonts w:cs="Arial"/>
        </w:rPr>
        <w:t xml:space="preserve">decreased to </w:t>
      </w:r>
      <w:r w:rsidRPr="00687982">
        <w:rPr>
          <w:rFonts w:cs="Arial"/>
        </w:rPr>
        <w:t>25 per cent</w:t>
      </w:r>
      <w:r>
        <w:rPr>
          <w:rFonts w:cs="Arial"/>
        </w:rPr>
        <w:t>, as compared to 45 per cent in 2014</w:t>
      </w:r>
      <w:r w:rsidRPr="00687982">
        <w:rPr>
          <w:rFonts w:cs="Arial"/>
        </w:rPr>
        <w:t xml:space="preserve">. </w:t>
      </w:r>
      <w:r>
        <w:rPr>
          <w:rFonts w:cs="Arial"/>
        </w:rPr>
        <w:t xml:space="preserve"> Between 2011 and 2015, </w:t>
      </w:r>
      <w:r w:rsidRPr="00687982">
        <w:rPr>
          <w:rFonts w:cs="Arial"/>
        </w:rPr>
        <w:t xml:space="preserve">the average </w:t>
      </w:r>
      <w:r>
        <w:rPr>
          <w:rFonts w:cs="Arial"/>
        </w:rPr>
        <w:t xml:space="preserve">share was </w:t>
      </w:r>
      <w:r w:rsidRPr="00687982">
        <w:rPr>
          <w:rFonts w:cs="Arial"/>
        </w:rPr>
        <w:t>27 per cent.</w:t>
      </w:r>
    </w:p>
    <w:p w:rsidR="00603FB5" w:rsidRPr="00687982" w:rsidRDefault="00603FB5" w:rsidP="001346E3">
      <w:pPr>
        <w:pStyle w:val="BodyText2"/>
        <w:numPr>
          <w:ilvl w:val="0"/>
          <w:numId w:val="43"/>
        </w:numPr>
        <w:tabs>
          <w:tab w:val="clear" w:pos="720"/>
        </w:tabs>
        <w:spacing w:after="60" w:line="240" w:lineRule="auto"/>
        <w:ind w:left="993" w:hanging="426"/>
        <w:jc w:val="both"/>
        <w:rPr>
          <w:rFonts w:cs="Arial"/>
        </w:rPr>
      </w:pPr>
      <w:r>
        <w:rPr>
          <w:rFonts w:cs="Arial"/>
        </w:rPr>
        <w:t>In 2014, 82 per cent</w:t>
      </w:r>
      <w:r>
        <w:rPr>
          <w:rStyle w:val="FootnoteReference"/>
          <w:rFonts w:cs="Arial"/>
        </w:rPr>
        <w:footnoteReference w:id="45"/>
      </w:r>
      <w:r>
        <w:rPr>
          <w:rFonts w:cs="Arial"/>
        </w:rPr>
        <w:t xml:space="preserve"> of applications were processed within two weeks from the date of receipt at the IB.  </w:t>
      </w:r>
      <w:r w:rsidRPr="00687982">
        <w:rPr>
          <w:rFonts w:cs="Arial"/>
        </w:rPr>
        <w:t xml:space="preserve">In 2015, 85 per cent of applications were processed within </w:t>
      </w:r>
      <w:r>
        <w:rPr>
          <w:rFonts w:cs="Arial"/>
        </w:rPr>
        <w:t>three</w:t>
      </w:r>
      <w:r w:rsidRPr="00687982">
        <w:rPr>
          <w:rFonts w:cs="Arial"/>
        </w:rPr>
        <w:t xml:space="preserve"> weeks from the date of receipt at the IB.</w:t>
      </w:r>
    </w:p>
    <w:p w:rsidR="00603FB5" w:rsidRPr="00687982" w:rsidRDefault="00603FB5" w:rsidP="001363EE">
      <w:pPr>
        <w:jc w:val="both"/>
        <w:rPr>
          <w:rFonts w:cs="Arial"/>
        </w:rPr>
      </w:pPr>
    </w:p>
    <w:p w:rsidR="00603FB5" w:rsidRPr="00687982" w:rsidRDefault="00603FB5" w:rsidP="001363EE">
      <w:pPr>
        <w:jc w:val="both"/>
        <w:rPr>
          <w:rFonts w:cs="Arial"/>
        </w:rPr>
      </w:pPr>
    </w:p>
    <w:p w:rsidR="00603FB5" w:rsidRPr="00687982" w:rsidRDefault="00603FB5" w:rsidP="001363EE">
      <w:pPr>
        <w:ind w:left="7200"/>
        <w:jc w:val="both"/>
        <w:rPr>
          <w:rFonts w:cs="Arial"/>
        </w:rPr>
      </w:pPr>
      <w:r>
        <w:rPr>
          <w:rFonts w:cs="Arial"/>
        </w:rPr>
        <w:t>[End of Annex]</w:t>
      </w:r>
    </w:p>
    <w:p w:rsidR="009A04DE" w:rsidRDefault="009A04DE">
      <w:r>
        <w:br w:type="page"/>
      </w:r>
    </w:p>
    <w:p w:rsidR="000C2991" w:rsidRPr="001243AF" w:rsidRDefault="000C2991" w:rsidP="008A4774">
      <w:pPr>
        <w:pStyle w:val="Heading2"/>
        <w:tabs>
          <w:tab w:val="clear" w:pos="567"/>
          <w:tab w:val="left" w:pos="1985"/>
        </w:tabs>
      </w:pPr>
      <w:bookmarkStart w:id="68" w:name="_Toc422210488"/>
      <w:bookmarkStart w:id="69" w:name="_Toc454544473"/>
      <w:r w:rsidRPr="001243AF">
        <w:lastRenderedPageBreak/>
        <w:t xml:space="preserve">PROGRAM </w:t>
      </w:r>
      <w:r>
        <w:t>7</w:t>
      </w:r>
      <w:r>
        <w:tab/>
      </w:r>
      <w:r>
        <w:tab/>
        <w:t>ARBITRATION, MEDIATION AND DOMAIN NAMES</w:t>
      </w:r>
      <w:bookmarkEnd w:id="68"/>
      <w:bookmarkEnd w:id="69"/>
    </w:p>
    <w:p w:rsidR="000C2991" w:rsidRPr="00383D2D" w:rsidRDefault="000C2991" w:rsidP="008A4774">
      <w:pPr>
        <w:rPr>
          <w:szCs w:val="20"/>
        </w:rPr>
      </w:pPr>
    </w:p>
    <w:p w:rsidR="000C2991" w:rsidRPr="00813B88" w:rsidRDefault="000C2991" w:rsidP="008A4774">
      <w:pPr>
        <w:tabs>
          <w:tab w:val="left" w:pos="1985"/>
        </w:tabs>
        <w:rPr>
          <w:b/>
          <w:szCs w:val="22"/>
        </w:rPr>
      </w:pPr>
      <w:r w:rsidRPr="00813B88">
        <w:rPr>
          <w:b/>
          <w:szCs w:val="22"/>
        </w:rPr>
        <w:t>Program Manager</w:t>
      </w:r>
      <w:r w:rsidRPr="00813B88">
        <w:rPr>
          <w:b/>
          <w:szCs w:val="22"/>
        </w:rPr>
        <w:tab/>
        <w:t>Mr. J. Sandage</w:t>
      </w:r>
    </w:p>
    <w:p w:rsidR="000C2991" w:rsidRPr="00813B88" w:rsidRDefault="000C2991" w:rsidP="008A4774">
      <w:pPr>
        <w:rPr>
          <w:sz w:val="18"/>
          <w:szCs w:val="20"/>
        </w:rPr>
      </w:pPr>
    </w:p>
    <w:p w:rsidR="000C2991" w:rsidRPr="001C6F4D" w:rsidRDefault="000C2991" w:rsidP="008A4774">
      <w:pPr>
        <w:rPr>
          <w:szCs w:val="20"/>
        </w:rPr>
      </w:pPr>
    </w:p>
    <w:p w:rsidR="000C2991" w:rsidRPr="00F512DD" w:rsidRDefault="000C2991" w:rsidP="008A4774">
      <w:pPr>
        <w:rPr>
          <w:bCs/>
          <w:szCs w:val="22"/>
        </w:rPr>
      </w:pPr>
      <w:r w:rsidRPr="00F512DD">
        <w:rPr>
          <w:bCs/>
          <w:szCs w:val="22"/>
        </w:rPr>
        <w:t>ACHIEVEMENTS IN THE 2014/15 BIENNIUM</w:t>
      </w:r>
    </w:p>
    <w:p w:rsidR="000C2991" w:rsidRPr="00F512DD" w:rsidRDefault="000C2991" w:rsidP="008A4774">
      <w:pPr>
        <w:rPr>
          <w:bCs/>
          <w:szCs w:val="22"/>
        </w:rPr>
      </w:pPr>
    </w:p>
    <w:p w:rsidR="000C2991" w:rsidRDefault="000C2991" w:rsidP="00F6573D">
      <w:pPr>
        <w:pStyle w:val="ListParagraph"/>
        <w:numPr>
          <w:ilvl w:val="0"/>
          <w:numId w:val="12"/>
        </w:numPr>
        <w:tabs>
          <w:tab w:val="left" w:pos="709"/>
        </w:tabs>
        <w:ind w:left="0" w:firstLine="0"/>
        <w:jc w:val="both"/>
        <w:rPr>
          <w:rFonts w:cs="Arial"/>
        </w:rPr>
      </w:pPr>
      <w:r w:rsidRPr="00813B88">
        <w:rPr>
          <w:rFonts w:cs="Arial"/>
        </w:rPr>
        <w:t>The WIPO Arbitration and Mediation Center (WIPO Center) is recognized as a global resource for time</w:t>
      </w:r>
      <w:r>
        <w:rPr>
          <w:rFonts w:cs="Arial"/>
        </w:rPr>
        <w:t>ly</w:t>
      </w:r>
      <w:r w:rsidRPr="00813B88">
        <w:rPr>
          <w:rFonts w:cs="Arial"/>
        </w:rPr>
        <w:t xml:space="preserve"> and cost effective alternatives to court litigation of IP </w:t>
      </w:r>
      <w:r>
        <w:rPr>
          <w:rFonts w:cs="Arial"/>
        </w:rPr>
        <w:t xml:space="preserve">and Internet domain name </w:t>
      </w:r>
      <w:r w:rsidRPr="00813B88">
        <w:rPr>
          <w:rFonts w:cs="Arial"/>
        </w:rPr>
        <w:t xml:space="preserve">disputes, acting as a provider of legal and organizational expertise and as an administrator of cases.  </w:t>
      </w:r>
      <w:r>
        <w:rPr>
          <w:rFonts w:cs="Arial"/>
        </w:rPr>
        <w:t>Efficient dispute resolution facilitates the legal protection and productive use of IP internationally.</w:t>
      </w:r>
    </w:p>
    <w:p w:rsidR="000C2991" w:rsidRDefault="000C2991" w:rsidP="00F6573D">
      <w:pPr>
        <w:pStyle w:val="ListParagraph"/>
        <w:tabs>
          <w:tab w:val="left" w:pos="709"/>
        </w:tabs>
        <w:ind w:left="0"/>
        <w:jc w:val="both"/>
        <w:rPr>
          <w:rFonts w:cs="Arial"/>
        </w:rPr>
      </w:pPr>
    </w:p>
    <w:p w:rsidR="000C2991" w:rsidRDefault="000C2991" w:rsidP="00F6573D">
      <w:pPr>
        <w:pStyle w:val="ListParagraph"/>
        <w:numPr>
          <w:ilvl w:val="0"/>
          <w:numId w:val="12"/>
        </w:numPr>
        <w:tabs>
          <w:tab w:val="left" w:pos="709"/>
        </w:tabs>
        <w:ind w:left="0" w:firstLine="0"/>
        <w:jc w:val="both"/>
        <w:rPr>
          <w:rFonts w:cs="Arial"/>
        </w:rPr>
      </w:pPr>
      <w:r w:rsidRPr="00813B88">
        <w:rPr>
          <w:rFonts w:cs="Arial"/>
        </w:rPr>
        <w:t>The WIPO Center actively managed WIPO cases in different IP areas using up-to-date case administration infrastructure, in particular the WIPO Electronic Case Facility (ECAF).  Following international consultations, the WIPO Center developed revised WIPO Arbitration</w:t>
      </w:r>
      <w:r>
        <w:rPr>
          <w:rFonts w:cs="Arial"/>
        </w:rPr>
        <w:t>,</w:t>
      </w:r>
      <w:r w:rsidRPr="00813B88">
        <w:rPr>
          <w:rFonts w:cs="Arial"/>
        </w:rPr>
        <w:t xml:space="preserve"> Mediation </w:t>
      </w:r>
      <w:r>
        <w:rPr>
          <w:rFonts w:cs="Arial"/>
        </w:rPr>
        <w:t xml:space="preserve">and Expert Determination </w:t>
      </w:r>
      <w:r w:rsidRPr="00813B88">
        <w:rPr>
          <w:rFonts w:cs="Arial"/>
        </w:rPr>
        <w:t>Rules</w:t>
      </w:r>
      <w:r>
        <w:rPr>
          <w:rStyle w:val="FootnoteReference"/>
          <w:rFonts w:cs="Arial"/>
        </w:rPr>
        <w:footnoteReference w:id="46"/>
      </w:r>
      <w:r w:rsidRPr="00813B88">
        <w:rPr>
          <w:rFonts w:cs="Arial"/>
        </w:rPr>
        <w:t xml:space="preserve">.  </w:t>
      </w:r>
      <w:r>
        <w:rPr>
          <w:rFonts w:cs="Arial"/>
        </w:rPr>
        <w:t>T</w:t>
      </w:r>
      <w:r w:rsidRPr="00813B88">
        <w:rPr>
          <w:rFonts w:cs="Arial"/>
        </w:rPr>
        <w:t xml:space="preserve">hese Rules incorporate recent developments in alternative dispute resolution (ADR), enhancing the basis for proceedings that are time and cost efficient. </w:t>
      </w:r>
      <w:r>
        <w:rPr>
          <w:rFonts w:cs="Arial"/>
        </w:rPr>
        <w:t xml:space="preserve"> Based on its case administration experience an online WIPO Clause Generator</w:t>
      </w:r>
      <w:r>
        <w:rPr>
          <w:rStyle w:val="FootnoteReference"/>
          <w:rFonts w:cs="Arial"/>
        </w:rPr>
        <w:footnoteReference w:id="47"/>
      </w:r>
      <w:r>
        <w:rPr>
          <w:rFonts w:cs="Arial"/>
        </w:rPr>
        <w:t xml:space="preserve"> was created and launched in 2015.</w:t>
      </w:r>
      <w:r w:rsidRPr="00484DE4">
        <w:rPr>
          <w:rFonts w:cs="Arial"/>
        </w:rPr>
        <w:t xml:space="preserve"> </w:t>
      </w:r>
      <w:r>
        <w:rPr>
          <w:rFonts w:cs="Arial"/>
        </w:rPr>
        <w:t xml:space="preserve"> </w:t>
      </w:r>
      <w:r w:rsidRPr="00813B88">
        <w:rPr>
          <w:rFonts w:cs="Arial"/>
        </w:rPr>
        <w:t xml:space="preserve">The WIPO Center </w:t>
      </w:r>
      <w:r>
        <w:rPr>
          <w:rFonts w:cs="Arial"/>
        </w:rPr>
        <w:t xml:space="preserve">furthermore </w:t>
      </w:r>
      <w:r w:rsidRPr="00813B88">
        <w:rPr>
          <w:rFonts w:cs="Arial"/>
        </w:rPr>
        <w:t>held</w:t>
      </w:r>
      <w:r>
        <w:rPr>
          <w:rFonts w:cs="Arial"/>
        </w:rPr>
        <w:t xml:space="preserve"> </w:t>
      </w:r>
      <w:r w:rsidRPr="00813B88">
        <w:rPr>
          <w:rFonts w:cs="Arial"/>
        </w:rPr>
        <w:t xml:space="preserve">tailored arbitration and mediation </w:t>
      </w:r>
      <w:r>
        <w:rPr>
          <w:rFonts w:cs="Arial"/>
        </w:rPr>
        <w:t>events</w:t>
      </w:r>
      <w:r w:rsidRPr="00813B88">
        <w:rPr>
          <w:rFonts w:cs="Arial"/>
        </w:rPr>
        <w:t>.</w:t>
      </w:r>
    </w:p>
    <w:p w:rsidR="000C2991" w:rsidRPr="00813B88" w:rsidRDefault="000C2991" w:rsidP="00F6573D">
      <w:pPr>
        <w:pStyle w:val="ListParagraph"/>
        <w:tabs>
          <w:tab w:val="left" w:pos="709"/>
        </w:tabs>
        <w:ind w:left="0"/>
        <w:jc w:val="both"/>
        <w:rPr>
          <w:rFonts w:cs="Arial"/>
        </w:rPr>
      </w:pPr>
    </w:p>
    <w:p w:rsidR="000C2991" w:rsidRPr="00813B88" w:rsidRDefault="000C2991" w:rsidP="00F6573D">
      <w:pPr>
        <w:pStyle w:val="ListParagraph"/>
        <w:numPr>
          <w:ilvl w:val="0"/>
          <w:numId w:val="12"/>
        </w:numPr>
        <w:tabs>
          <w:tab w:val="left" w:pos="709"/>
        </w:tabs>
        <w:ind w:left="0" w:firstLine="0"/>
        <w:jc w:val="both"/>
        <w:rPr>
          <w:rFonts w:cs="Arial"/>
          <w:u w:val="single"/>
          <w:lang w:val="en-GB"/>
        </w:rPr>
      </w:pPr>
      <w:r w:rsidRPr="00813B88">
        <w:rPr>
          <w:rFonts w:cs="Arial"/>
        </w:rPr>
        <w:t xml:space="preserve">National courts and competition authorities in some jurisdictions have been encouraging parties involved in standards-related disputes involving telecom patents in multiple jurisdictions to resolve such disputes through </w:t>
      </w:r>
      <w:r>
        <w:rPr>
          <w:rFonts w:cs="Arial"/>
        </w:rPr>
        <w:t>ADR</w:t>
      </w:r>
      <w:r w:rsidRPr="00813B88">
        <w:rPr>
          <w:rFonts w:cs="Arial"/>
        </w:rPr>
        <w:t xml:space="preserve">.  </w:t>
      </w:r>
      <w:r>
        <w:rPr>
          <w:rFonts w:cs="Arial"/>
        </w:rPr>
        <w:t xml:space="preserve">Following collaboration with a number of Standard-Setting Organizations, in particular the </w:t>
      </w:r>
      <w:r w:rsidRPr="00BB7822">
        <w:rPr>
          <w:rFonts w:cs="Arial"/>
        </w:rPr>
        <w:t>E</w:t>
      </w:r>
      <w:r>
        <w:rPr>
          <w:rFonts w:cs="Arial"/>
        </w:rPr>
        <w:t>uropean Telecommunications Standards Institute (ETSI) and the Institute of Electrical and Electronics Engineers (IEEE)</w:t>
      </w:r>
      <w:r w:rsidRPr="00813B88">
        <w:rPr>
          <w:rFonts w:cs="Arial"/>
        </w:rPr>
        <w:t xml:space="preserve">, </w:t>
      </w:r>
      <w:r>
        <w:rPr>
          <w:rFonts w:cs="Arial"/>
        </w:rPr>
        <w:t xml:space="preserve">the biennium 2014/15 saw an increase in </w:t>
      </w:r>
      <w:r w:rsidRPr="00813B88">
        <w:rPr>
          <w:rFonts w:cs="Arial"/>
        </w:rPr>
        <w:t xml:space="preserve">party queries regarding the use of WIPO’s tailored agreements to refer a dispute concerning fair, reasonable and non-discriminatory (FRAND) licensing terms to WIPO Mediation and Arbitration.  </w:t>
      </w:r>
    </w:p>
    <w:p w:rsidR="000C2991" w:rsidRPr="00813B88" w:rsidRDefault="000C2991" w:rsidP="00F6573D">
      <w:pPr>
        <w:pStyle w:val="ListParagraph"/>
        <w:tabs>
          <w:tab w:val="left" w:pos="709"/>
        </w:tabs>
        <w:ind w:left="0"/>
        <w:jc w:val="both"/>
        <w:rPr>
          <w:rFonts w:cs="Arial"/>
          <w:u w:val="single"/>
          <w:lang w:val="en-GB"/>
        </w:rPr>
      </w:pPr>
    </w:p>
    <w:p w:rsidR="000C2991" w:rsidRPr="00F9020B" w:rsidRDefault="000C2991" w:rsidP="00F6573D">
      <w:pPr>
        <w:pStyle w:val="ListParagraph"/>
        <w:numPr>
          <w:ilvl w:val="0"/>
          <w:numId w:val="12"/>
        </w:numPr>
        <w:tabs>
          <w:tab w:val="left" w:pos="709"/>
        </w:tabs>
        <w:ind w:left="0" w:firstLine="0"/>
        <w:jc w:val="both"/>
        <w:rPr>
          <w:rStyle w:val="ONUMEChar"/>
        </w:rPr>
      </w:pPr>
      <w:r>
        <w:rPr>
          <w:rFonts w:cs="Arial"/>
          <w:lang w:val="en-GB"/>
        </w:rPr>
        <w:t xml:space="preserve">In the biennium, </w:t>
      </w:r>
      <w:r w:rsidRPr="00785F55">
        <w:rPr>
          <w:rStyle w:val="ONUMEChar"/>
          <w:szCs w:val="22"/>
        </w:rPr>
        <w:t>M</w:t>
      </w:r>
      <w:r>
        <w:rPr>
          <w:rStyle w:val="ONUMEChar"/>
          <w:szCs w:val="22"/>
        </w:rPr>
        <w:t>emoranda of Understanding (MoUs) were concluded with</w:t>
      </w:r>
      <w:r w:rsidRPr="00072CDA">
        <w:rPr>
          <w:rStyle w:val="ONUMEChar"/>
          <w:szCs w:val="22"/>
        </w:rPr>
        <w:t xml:space="preserve"> </w:t>
      </w:r>
      <w:r w:rsidRPr="00072CDA">
        <w:rPr>
          <w:rFonts w:cs="Arial"/>
        </w:rPr>
        <w:t>the National Copyright Directorate of Colombia (DNDA), the Directorate General of Intellectual Property Rights of Indonesia (DGIPR)</w:t>
      </w:r>
      <w:r w:rsidRPr="00F9020B">
        <w:rPr>
          <w:rFonts w:cs="Arial"/>
        </w:rPr>
        <w:t>,</w:t>
      </w:r>
      <w:r>
        <w:rPr>
          <w:rFonts w:cs="Arial"/>
        </w:rPr>
        <w:t xml:space="preserve"> </w:t>
      </w:r>
      <w:r w:rsidRPr="00466F60">
        <w:rPr>
          <w:rFonts w:cs="Arial"/>
        </w:rPr>
        <w:t>the Mexican Institute of Industrial Property (IMPI) and the Intellectual Property Office of the Philippines (IPOPHL), adding to existing Member State collaborations.  These collaborations concern the development of optional ADR frameworks</w:t>
      </w:r>
      <w:r w:rsidRPr="00813B88">
        <w:t xml:space="preserve"> </w:t>
      </w:r>
      <w:r w:rsidRPr="00466F60">
        <w:rPr>
          <w:rFonts w:cs="Arial"/>
        </w:rPr>
        <w:t>that provide cost</w:t>
      </w:r>
      <w:r>
        <w:rPr>
          <w:rFonts w:cs="Arial"/>
        </w:rPr>
        <w:t xml:space="preserve"> </w:t>
      </w:r>
      <w:r w:rsidRPr="00466F60">
        <w:rPr>
          <w:rFonts w:cs="Arial"/>
        </w:rPr>
        <w:t xml:space="preserve">effective and flexible options for parties to resolve their disputes before such Offices in relation to pending applications or granted rights.  </w:t>
      </w:r>
      <w:r w:rsidRPr="00466F60">
        <w:rPr>
          <w:rStyle w:val="ONUMEChar"/>
          <w:szCs w:val="22"/>
        </w:rPr>
        <w:t xml:space="preserve">In 2015, the </w:t>
      </w:r>
      <w:r>
        <w:rPr>
          <w:rStyle w:val="ONUMEChar"/>
          <w:szCs w:val="22"/>
        </w:rPr>
        <w:t>United States Patent and Trademark Office (</w:t>
      </w:r>
      <w:r w:rsidRPr="00466F60">
        <w:rPr>
          <w:rStyle w:val="ONUMEChar"/>
          <w:szCs w:val="22"/>
        </w:rPr>
        <w:t>USPTO</w:t>
      </w:r>
      <w:r>
        <w:rPr>
          <w:rStyle w:val="ONUMEChar"/>
          <w:szCs w:val="22"/>
        </w:rPr>
        <w:t>)</w:t>
      </w:r>
      <w:r w:rsidRPr="00466F60">
        <w:rPr>
          <w:rStyle w:val="ONUMEChar"/>
          <w:szCs w:val="22"/>
        </w:rPr>
        <w:t xml:space="preserve"> included</w:t>
      </w:r>
      <w:r>
        <w:rPr>
          <w:rStyle w:val="ONUMEChar"/>
          <w:szCs w:val="22"/>
        </w:rPr>
        <w:t xml:space="preserve"> the WIPO Center among listed ADR providers available to administer such disputes</w:t>
      </w:r>
      <w:r w:rsidRPr="00466F60">
        <w:rPr>
          <w:rStyle w:val="ONUMEChar"/>
          <w:szCs w:val="22"/>
        </w:rPr>
        <w:t>.</w:t>
      </w:r>
      <w:r>
        <w:rPr>
          <w:rStyle w:val="ONUMEChar"/>
          <w:szCs w:val="22"/>
        </w:rPr>
        <w:t xml:space="preserve">  </w:t>
      </w:r>
    </w:p>
    <w:p w:rsidR="000C2991" w:rsidRPr="00F9020B" w:rsidRDefault="000C2991" w:rsidP="00F6573D">
      <w:pPr>
        <w:pStyle w:val="ListParagraph"/>
        <w:tabs>
          <w:tab w:val="left" w:pos="709"/>
        </w:tabs>
        <w:rPr>
          <w:rStyle w:val="ONUMEChar"/>
          <w:szCs w:val="22"/>
        </w:rPr>
      </w:pPr>
    </w:p>
    <w:p w:rsidR="000C2991" w:rsidRPr="00F9020B" w:rsidRDefault="000C2991" w:rsidP="00F6573D">
      <w:pPr>
        <w:pStyle w:val="ListParagraph"/>
        <w:numPr>
          <w:ilvl w:val="0"/>
          <w:numId w:val="12"/>
        </w:numPr>
        <w:tabs>
          <w:tab w:val="left" w:pos="709"/>
        </w:tabs>
        <w:ind w:left="0" w:firstLine="0"/>
        <w:jc w:val="both"/>
        <w:rPr>
          <w:rFonts w:cs="Arial"/>
        </w:rPr>
      </w:pPr>
      <w:r w:rsidRPr="00F9020B">
        <w:t>T</w:t>
      </w:r>
      <w:r w:rsidRPr="00F9020B">
        <w:rPr>
          <w:rFonts w:cs="Arial"/>
        </w:rPr>
        <w:t>he WIPO Center established collaboration</w:t>
      </w:r>
      <w:r w:rsidRPr="00E91BF9">
        <w:rPr>
          <w:rFonts w:cs="Arial"/>
        </w:rPr>
        <w:t xml:space="preserve"> with </w:t>
      </w:r>
      <w:r>
        <w:t xml:space="preserve">the </w:t>
      </w:r>
      <w:r w:rsidRPr="000C2991">
        <w:rPr>
          <w:rStyle w:val="Strong"/>
          <w:b w:val="0"/>
        </w:rPr>
        <w:t>Brazilian Franchising Association</w:t>
      </w:r>
      <w:r>
        <w:t xml:space="preserve"> (ABF)</w:t>
      </w:r>
      <w:r w:rsidRPr="00F9020B">
        <w:t xml:space="preserve">, </w:t>
      </w:r>
      <w:r>
        <w:t>the</w:t>
      </w:r>
      <w:r>
        <w:rPr>
          <w:rStyle w:val="ONUMEChar"/>
          <w:szCs w:val="22"/>
        </w:rPr>
        <w:t xml:space="preserve"> Spanish Franchise Association (</w:t>
      </w:r>
      <w:r>
        <w:t>AEF)</w:t>
      </w:r>
      <w:r w:rsidRPr="00F9020B">
        <w:t xml:space="preserve"> and</w:t>
      </w:r>
      <w:r>
        <w:t xml:space="preserve"> the Swiss Franchise Association</w:t>
      </w:r>
      <w:r w:rsidRPr="00F9020B">
        <w:t xml:space="preserve"> </w:t>
      </w:r>
      <w:r>
        <w:t>(SFA)</w:t>
      </w:r>
      <w:r w:rsidRPr="00F9020B">
        <w:t xml:space="preserve">, and </w:t>
      </w:r>
      <w:r>
        <w:t>assisted in the development</w:t>
      </w:r>
      <w:r w:rsidRPr="00F9020B">
        <w:t xml:space="preserve"> </w:t>
      </w:r>
      <w:r>
        <w:t>of m</w:t>
      </w:r>
      <w:r w:rsidRPr="00F9020B">
        <w:t xml:space="preserve">odel R&amp;D agreements </w:t>
      </w:r>
      <w:r>
        <w:t>including ADR clauses by</w:t>
      </w:r>
      <w:r w:rsidRPr="00F9020B">
        <w:t xml:space="preserve"> the German Ministry of Economics and Technology and the Spanish Patent and Trademark Office</w:t>
      </w:r>
      <w:r>
        <w:t xml:space="preserve"> (OEPM)</w:t>
      </w:r>
      <w:r w:rsidRPr="00F9020B">
        <w:t>.  The WIPO Center also developed a fast</w:t>
      </w:r>
      <w:r>
        <w:t>-</w:t>
      </w:r>
      <w:r w:rsidRPr="00F9020B">
        <w:t>track procedure for the resolution of IP disputes arising at trade fairs</w:t>
      </w:r>
      <w:r>
        <w:t xml:space="preserve"> – </w:t>
      </w:r>
      <w:r w:rsidRPr="00F9020B">
        <w:t xml:space="preserve">first used at the 2015 Geneva </w:t>
      </w:r>
      <w:r>
        <w:t xml:space="preserve">International </w:t>
      </w:r>
      <w:r w:rsidRPr="00F9020B">
        <w:t>Motor Show.</w:t>
      </w:r>
    </w:p>
    <w:p w:rsidR="000C2991" w:rsidRPr="00F9020B" w:rsidRDefault="000C2991" w:rsidP="00F6573D">
      <w:pPr>
        <w:pStyle w:val="ListParagraph"/>
        <w:tabs>
          <w:tab w:val="left" w:pos="709"/>
        </w:tabs>
        <w:ind w:left="0"/>
        <w:jc w:val="both"/>
        <w:rPr>
          <w:rFonts w:cs="Arial"/>
        </w:rPr>
      </w:pPr>
    </w:p>
    <w:p w:rsidR="000C2991" w:rsidRPr="00813B88" w:rsidRDefault="000C2991" w:rsidP="00F6573D">
      <w:pPr>
        <w:pStyle w:val="ListParagraph"/>
        <w:numPr>
          <w:ilvl w:val="0"/>
          <w:numId w:val="12"/>
        </w:numPr>
        <w:tabs>
          <w:tab w:val="left" w:pos="709"/>
        </w:tabs>
        <w:ind w:left="0" w:firstLine="0"/>
        <w:jc w:val="both"/>
        <w:rPr>
          <w:rFonts w:cs="Arial"/>
        </w:rPr>
      </w:pPr>
      <w:r w:rsidRPr="00813B88">
        <w:rPr>
          <w:rFonts w:cs="Arial"/>
        </w:rPr>
        <w:t xml:space="preserve">The WIPO Center continued to strive to provide leadership in the development of ADR solutions in relation to the unauthorized use of IP on the Internet.  </w:t>
      </w:r>
      <w:r>
        <w:rPr>
          <w:rFonts w:cs="Arial"/>
        </w:rPr>
        <w:t xml:space="preserve">This notably addressed </w:t>
      </w:r>
      <w:r w:rsidRPr="00813B88">
        <w:rPr>
          <w:rFonts w:cs="Arial"/>
        </w:rPr>
        <w:t>the</w:t>
      </w:r>
      <w:r>
        <w:rPr>
          <w:rFonts w:cs="Arial"/>
        </w:rPr>
        <w:t xml:space="preserve"> ongoing</w:t>
      </w:r>
      <w:r w:rsidRPr="00813B88">
        <w:rPr>
          <w:rFonts w:cs="Arial"/>
        </w:rPr>
        <w:t xml:space="preserve"> introduction</w:t>
      </w:r>
      <w:r>
        <w:rPr>
          <w:rFonts w:cs="Arial"/>
        </w:rPr>
        <w:t xml:space="preserve"> </w:t>
      </w:r>
      <w:r w:rsidRPr="00813B88">
        <w:rPr>
          <w:rFonts w:cs="Arial"/>
        </w:rPr>
        <w:t>by the Internet Corporation for Assigned Names and Numbers (ICANN) of up to 1,400 new generic Top</w:t>
      </w:r>
      <w:r>
        <w:rPr>
          <w:rFonts w:cs="Arial"/>
        </w:rPr>
        <w:noBreakHyphen/>
      </w:r>
      <w:r w:rsidRPr="00813B88">
        <w:rPr>
          <w:rFonts w:cs="Arial"/>
        </w:rPr>
        <w:t xml:space="preserve">Level Domains (gTLDs).  </w:t>
      </w:r>
      <w:r>
        <w:rPr>
          <w:rFonts w:cs="Arial"/>
        </w:rPr>
        <w:t>In 2014,</w:t>
      </w:r>
      <w:r w:rsidRPr="00813B88">
        <w:rPr>
          <w:rFonts w:cs="Arial"/>
        </w:rPr>
        <w:t xml:space="preserve"> </w:t>
      </w:r>
      <w:r>
        <w:rPr>
          <w:rFonts w:cs="Arial"/>
        </w:rPr>
        <w:t>t</w:t>
      </w:r>
      <w:r w:rsidRPr="00813B88">
        <w:rPr>
          <w:rFonts w:cs="Arial"/>
        </w:rPr>
        <w:t>he WIPO Center</w:t>
      </w:r>
      <w:r>
        <w:rPr>
          <w:rFonts w:cs="Arial"/>
        </w:rPr>
        <w:t xml:space="preserve"> </w:t>
      </w:r>
      <w:r w:rsidRPr="00813B88">
        <w:rPr>
          <w:rFonts w:cs="Arial"/>
        </w:rPr>
        <w:t xml:space="preserve">implemented the ICANN </w:t>
      </w:r>
      <w:hyperlink r:id="rId123" w:tgtFrame="_self" w:history="1">
        <w:r w:rsidRPr="00813B88">
          <w:rPr>
            <w:rFonts w:cs="Arial"/>
          </w:rPr>
          <w:t>Post-Delegation Dispute Resolution Procedure</w:t>
        </w:r>
      </w:hyperlink>
      <w:r w:rsidRPr="00813B88">
        <w:rPr>
          <w:rFonts w:cs="Arial"/>
        </w:rPr>
        <w:t>, a trademark</w:t>
      </w:r>
      <w:r>
        <w:rPr>
          <w:rFonts w:cs="Arial"/>
        </w:rPr>
        <w:noBreakHyphen/>
      </w:r>
      <w:r w:rsidRPr="00813B88">
        <w:rPr>
          <w:rFonts w:cs="Arial"/>
        </w:rPr>
        <w:t xml:space="preserve">based mechanism </w:t>
      </w:r>
      <w:r>
        <w:rPr>
          <w:rFonts w:cs="Arial"/>
        </w:rPr>
        <w:t>adopted in 2013</w:t>
      </w:r>
      <w:r w:rsidRPr="00813B88">
        <w:rPr>
          <w:rFonts w:cs="Arial"/>
        </w:rPr>
        <w:t xml:space="preserve"> to encourage responsible registry operator conduct once a domain has become operational</w:t>
      </w:r>
      <w:r>
        <w:rPr>
          <w:rFonts w:cs="Arial"/>
        </w:rPr>
        <w:t xml:space="preserve">.  The WIPO Center furthermore contributed to new </w:t>
      </w:r>
      <w:r w:rsidRPr="00813B88">
        <w:rPr>
          <w:rFonts w:cs="Arial"/>
        </w:rPr>
        <w:t xml:space="preserve">Uniform Domain Name Dispute Resolution Policy </w:t>
      </w:r>
      <w:r>
        <w:rPr>
          <w:rFonts w:cs="Arial"/>
        </w:rPr>
        <w:t>(UDRP) Registrar Lock provisions.</w:t>
      </w:r>
    </w:p>
    <w:p w:rsidR="000C2991" w:rsidRPr="00813B88" w:rsidRDefault="000C2991" w:rsidP="00F6573D">
      <w:pPr>
        <w:pStyle w:val="ListParagraph"/>
        <w:tabs>
          <w:tab w:val="left" w:pos="709"/>
        </w:tabs>
        <w:ind w:left="0"/>
        <w:jc w:val="both"/>
        <w:rPr>
          <w:rFonts w:cs="Arial"/>
        </w:rPr>
      </w:pPr>
    </w:p>
    <w:p w:rsidR="000C2991" w:rsidRPr="00813B88" w:rsidRDefault="000C2991" w:rsidP="00F6573D">
      <w:pPr>
        <w:pStyle w:val="ListParagraph"/>
        <w:numPr>
          <w:ilvl w:val="0"/>
          <w:numId w:val="12"/>
        </w:numPr>
        <w:tabs>
          <w:tab w:val="left" w:pos="709"/>
        </w:tabs>
        <w:ind w:left="0" w:firstLine="0"/>
        <w:jc w:val="both"/>
        <w:rPr>
          <w:bCs/>
        </w:rPr>
      </w:pPr>
      <w:r w:rsidRPr="00813B88">
        <w:rPr>
          <w:rFonts w:cs="Arial"/>
        </w:rPr>
        <w:t xml:space="preserve">The year 2014 marked the 15th anniversary of the WIPO-developed UDRP.  </w:t>
      </w:r>
      <w:r w:rsidRPr="006E1B33">
        <w:rPr>
          <w:rFonts w:cs="Arial"/>
        </w:rPr>
        <w:t xml:space="preserve">Since the WIPO Center administered the first UDRP case in 1999, total WIPO case filings </w:t>
      </w:r>
      <w:r>
        <w:rPr>
          <w:rFonts w:cs="Arial"/>
        </w:rPr>
        <w:t>have sur</w:t>
      </w:r>
      <w:r w:rsidRPr="00924C32">
        <w:rPr>
          <w:rFonts w:cs="Arial"/>
        </w:rPr>
        <w:t xml:space="preserve">passed </w:t>
      </w:r>
      <w:r>
        <w:rPr>
          <w:rFonts w:cs="Arial"/>
        </w:rPr>
        <w:t xml:space="preserve">the </w:t>
      </w:r>
      <w:r w:rsidRPr="00924C32">
        <w:rPr>
          <w:rFonts w:cs="Arial"/>
        </w:rPr>
        <w:t>33</w:t>
      </w:r>
      <w:r w:rsidRPr="00867841">
        <w:rPr>
          <w:rFonts w:cs="Arial"/>
        </w:rPr>
        <w:t>,000</w:t>
      </w:r>
      <w:r>
        <w:rPr>
          <w:rStyle w:val="FootnoteReference"/>
          <w:rFonts w:cs="Arial"/>
        </w:rPr>
        <w:footnoteReference w:id="48"/>
      </w:r>
      <w:r w:rsidRPr="00867841">
        <w:rPr>
          <w:rFonts w:cs="Arial"/>
        </w:rPr>
        <w:t xml:space="preserve"> </w:t>
      </w:r>
      <w:r>
        <w:rPr>
          <w:rFonts w:cs="Arial"/>
        </w:rPr>
        <w:t xml:space="preserve">mark, </w:t>
      </w:r>
      <w:r w:rsidRPr="00924C32">
        <w:rPr>
          <w:rFonts w:cs="Arial"/>
        </w:rPr>
        <w:t>encompassing over 61,000</w:t>
      </w:r>
      <w:r w:rsidRPr="006E1B33">
        <w:rPr>
          <w:rFonts w:cs="Arial"/>
        </w:rPr>
        <w:t xml:space="preserve"> domain names.  </w:t>
      </w:r>
      <w:r>
        <w:rPr>
          <w:rFonts w:cs="Arial"/>
        </w:rPr>
        <w:t>C</w:t>
      </w:r>
      <w:r w:rsidRPr="00813B88">
        <w:rPr>
          <w:rFonts w:cs="Arial"/>
        </w:rPr>
        <w:t xml:space="preserve">ybersquatting case filings </w:t>
      </w:r>
      <w:r w:rsidRPr="008B694D">
        <w:rPr>
          <w:rFonts w:cs="Arial"/>
        </w:rPr>
        <w:t xml:space="preserve">by trademark owners alleging abuse of their mark </w:t>
      </w:r>
      <w:r>
        <w:rPr>
          <w:rFonts w:cs="Arial"/>
        </w:rPr>
        <w:t xml:space="preserve">with WIPO </w:t>
      </w:r>
      <w:r w:rsidRPr="0000774B">
        <w:rPr>
          <w:rFonts w:cs="Arial"/>
        </w:rPr>
        <w:t xml:space="preserve">increased in 2014 by </w:t>
      </w:r>
      <w:r>
        <w:rPr>
          <w:rFonts w:cs="Arial"/>
        </w:rPr>
        <w:t>1.9</w:t>
      </w:r>
      <w:r w:rsidR="0022536B">
        <w:rPr>
          <w:rFonts w:cs="Arial"/>
        </w:rPr>
        <w:t xml:space="preserve"> </w:t>
      </w:r>
      <w:r w:rsidRPr="0000774B">
        <w:rPr>
          <w:rFonts w:cs="Arial"/>
        </w:rPr>
        <w:t>per cent from the 2013 level, with a further increase of 4.6 per cent</w:t>
      </w:r>
      <w:r>
        <w:rPr>
          <w:rFonts w:cs="Arial"/>
        </w:rPr>
        <w:t xml:space="preserve"> in 2015 as compared to 2014. </w:t>
      </w:r>
      <w:r w:rsidRPr="00813B88">
        <w:rPr>
          <w:rFonts w:cs="Arial"/>
        </w:rPr>
        <w:t xml:space="preserve"> This included the first UDRP cases in </w:t>
      </w:r>
      <w:r w:rsidRPr="00813B88">
        <w:rPr>
          <w:rFonts w:cs="Arial"/>
        </w:rPr>
        <w:lastRenderedPageBreak/>
        <w:t>relation to registrations in new</w:t>
      </w:r>
      <w:r>
        <w:rPr>
          <w:rFonts w:cs="Arial"/>
        </w:rPr>
        <w:t> </w:t>
      </w:r>
      <w:r w:rsidRPr="00813B88">
        <w:rPr>
          <w:rFonts w:cs="Arial"/>
        </w:rPr>
        <w:t>gTLDs</w:t>
      </w:r>
      <w:r>
        <w:rPr>
          <w:rFonts w:cs="Arial"/>
        </w:rPr>
        <w:t xml:space="preserve">, which represented </w:t>
      </w:r>
      <w:r w:rsidRPr="006E1B33">
        <w:rPr>
          <w:rFonts w:cs="Arial"/>
        </w:rPr>
        <w:t>6.8</w:t>
      </w:r>
      <w:r>
        <w:rPr>
          <w:rFonts w:cs="Arial"/>
        </w:rPr>
        <w:t xml:space="preserve"> per cent of disputed domain names</w:t>
      </w:r>
      <w:r w:rsidRPr="00245E5A">
        <w:rPr>
          <w:rFonts w:cs="Arial"/>
        </w:rPr>
        <w:t xml:space="preserve"> </w:t>
      </w:r>
      <w:r>
        <w:rPr>
          <w:rFonts w:cs="Arial"/>
        </w:rPr>
        <w:t>in 2014/15</w:t>
      </w:r>
      <w:r w:rsidRPr="00813B88">
        <w:rPr>
          <w:rFonts w:cs="Arial"/>
        </w:rPr>
        <w:t>.</w:t>
      </w:r>
      <w:r w:rsidRPr="00813B88">
        <w:rPr>
          <w:bCs/>
        </w:rPr>
        <w:t xml:space="preserve"> </w:t>
      </w:r>
    </w:p>
    <w:p w:rsidR="000C2991" w:rsidRPr="00813B88" w:rsidRDefault="000C2991" w:rsidP="00F6573D">
      <w:pPr>
        <w:pStyle w:val="ListParagraph"/>
        <w:tabs>
          <w:tab w:val="left" w:pos="709"/>
        </w:tabs>
        <w:ind w:left="0"/>
        <w:jc w:val="both"/>
        <w:rPr>
          <w:bCs/>
        </w:rPr>
      </w:pPr>
    </w:p>
    <w:p w:rsidR="000C2991" w:rsidRDefault="000C2991" w:rsidP="00F6573D">
      <w:pPr>
        <w:pStyle w:val="ListParagraph"/>
        <w:numPr>
          <w:ilvl w:val="0"/>
          <w:numId w:val="12"/>
        </w:numPr>
        <w:tabs>
          <w:tab w:val="left" w:pos="709"/>
        </w:tabs>
        <w:ind w:left="0" w:firstLine="0"/>
        <w:jc w:val="both"/>
        <w:rPr>
          <w:rFonts w:cs="Arial"/>
        </w:rPr>
      </w:pPr>
      <w:r>
        <w:rPr>
          <w:rFonts w:cs="Arial"/>
        </w:rPr>
        <w:t>During the biennium, t</w:t>
      </w:r>
      <w:r w:rsidRPr="00813B88">
        <w:rPr>
          <w:rFonts w:cs="Arial"/>
        </w:rPr>
        <w:t xml:space="preserve">he WIPO Center </w:t>
      </w:r>
      <w:r>
        <w:rPr>
          <w:rFonts w:cs="Arial"/>
        </w:rPr>
        <w:t xml:space="preserve">shared best practices in dispute resolution </w:t>
      </w:r>
      <w:r w:rsidRPr="00813B88">
        <w:rPr>
          <w:rFonts w:cs="Arial"/>
        </w:rPr>
        <w:t xml:space="preserve">with the administrators of </w:t>
      </w:r>
      <w:r>
        <w:rPr>
          <w:rFonts w:cs="Arial"/>
        </w:rPr>
        <w:t>country code top level domains (</w:t>
      </w:r>
      <w:r w:rsidRPr="00813B88">
        <w:rPr>
          <w:rFonts w:cs="Arial"/>
        </w:rPr>
        <w:t>ccTLDs</w:t>
      </w:r>
      <w:r>
        <w:rPr>
          <w:rFonts w:cs="Arial"/>
        </w:rPr>
        <w:t>)</w:t>
      </w:r>
      <w:r w:rsidRPr="00813B88">
        <w:rPr>
          <w:rFonts w:cs="Arial"/>
        </w:rPr>
        <w:t xml:space="preserve"> in different regions</w:t>
      </w:r>
      <w:r>
        <w:rPr>
          <w:rFonts w:cs="Arial"/>
        </w:rPr>
        <w:t>.  T</w:t>
      </w:r>
      <w:r w:rsidRPr="00813B88">
        <w:rPr>
          <w:rFonts w:cs="Arial"/>
        </w:rPr>
        <w:t>he WIPO Center became a provider for the .GQ (Equatorial Guinea)</w:t>
      </w:r>
      <w:r>
        <w:rPr>
          <w:rFonts w:cs="Arial"/>
        </w:rPr>
        <w:t xml:space="preserve"> and </w:t>
      </w:r>
      <w:r w:rsidRPr="00813B88">
        <w:rPr>
          <w:rFonts w:cs="Arial"/>
        </w:rPr>
        <w:t xml:space="preserve">.VG (Virgin Islands (British) domains, bringing the total of ccTLDs for which WIPO provides such services to </w:t>
      </w:r>
      <w:r>
        <w:rPr>
          <w:rFonts w:cs="Arial"/>
        </w:rPr>
        <w:t>71</w:t>
      </w:r>
      <w:r w:rsidRPr="00813B88">
        <w:rPr>
          <w:rFonts w:cs="Arial"/>
        </w:rPr>
        <w:t>.</w:t>
      </w:r>
      <w:r>
        <w:rPr>
          <w:rStyle w:val="FootnoteReference"/>
          <w:rFonts w:cs="Arial"/>
        </w:rPr>
        <w:footnoteReference w:id="49"/>
      </w:r>
      <w:r w:rsidRPr="00813B88">
        <w:rPr>
          <w:rFonts w:cs="Arial"/>
        </w:rPr>
        <w:t xml:space="preserve">  </w:t>
      </w:r>
    </w:p>
    <w:p w:rsidR="000C2991" w:rsidRPr="00813B88" w:rsidRDefault="000C2991" w:rsidP="00F6573D">
      <w:pPr>
        <w:pStyle w:val="ListParagraph"/>
        <w:tabs>
          <w:tab w:val="left" w:pos="709"/>
        </w:tabs>
        <w:ind w:left="0"/>
        <w:jc w:val="both"/>
        <w:rPr>
          <w:rFonts w:cs="Arial"/>
        </w:rPr>
      </w:pPr>
    </w:p>
    <w:p w:rsidR="000C2991" w:rsidRDefault="000C2991" w:rsidP="00F6573D">
      <w:pPr>
        <w:pStyle w:val="ListParagraph"/>
        <w:numPr>
          <w:ilvl w:val="0"/>
          <w:numId w:val="12"/>
        </w:numPr>
        <w:tabs>
          <w:tab w:val="left" w:pos="709"/>
        </w:tabs>
        <w:ind w:left="0" w:firstLine="0"/>
        <w:jc w:val="both"/>
        <w:rPr>
          <w:rFonts w:cs="Arial"/>
        </w:rPr>
      </w:pPr>
      <w:r w:rsidRPr="00813B88">
        <w:rPr>
          <w:rFonts w:cs="Arial"/>
        </w:rPr>
        <w:t>The design, planning and implementation of WIPO Center activities were informed and guided by the relevant DA Recommendations, in particular Recommendations 1, 6 and 10.  Notably, this concerned the WIPO Center’s organization of tailor</w:t>
      </w:r>
      <w:r w:rsidRPr="00813B88">
        <w:rPr>
          <w:rFonts w:cs="Arial"/>
        </w:rPr>
        <w:noBreakHyphen/>
        <w:t xml:space="preserve">made arbitration and mediation programs for IP officials and practitioners, assistance to IP Offices in establishing optional ADR frameworks for disputes pending before them, and assistance to ccTLD authorities in the establishment of registry </w:t>
      </w:r>
      <w:r>
        <w:rPr>
          <w:rFonts w:cs="Arial"/>
        </w:rPr>
        <w:t>norms</w:t>
      </w:r>
      <w:r w:rsidRPr="00813B88">
        <w:rPr>
          <w:rFonts w:cs="Arial"/>
        </w:rPr>
        <w:t xml:space="preserve"> and dispute resolution mechanisms, as relevant to developing countries and countries with economies in transition. </w:t>
      </w:r>
    </w:p>
    <w:p w:rsidR="000C2991" w:rsidRDefault="000C2991" w:rsidP="008A4774">
      <w:pPr>
        <w:rPr>
          <w:bCs/>
          <w:sz w:val="22"/>
          <w:szCs w:val="22"/>
        </w:rPr>
      </w:pPr>
    </w:p>
    <w:p w:rsidR="000C2991" w:rsidRDefault="000C2991" w:rsidP="008A4774">
      <w:pPr>
        <w:rPr>
          <w:bCs/>
          <w:sz w:val="22"/>
          <w:szCs w:val="22"/>
        </w:rPr>
      </w:pPr>
    </w:p>
    <w:p w:rsidR="000C2991" w:rsidRPr="00347CE5" w:rsidRDefault="000C2991" w:rsidP="008A4774">
      <w:pPr>
        <w:rPr>
          <w:rFonts w:cs="Arial"/>
          <w:szCs w:val="20"/>
        </w:rPr>
      </w:pPr>
      <w:r w:rsidRPr="00347CE5">
        <w:rPr>
          <w:rFonts w:cs="Arial"/>
          <w:color w:val="000000"/>
          <w:szCs w:val="20"/>
        </w:rPr>
        <w:t>PERFORMANCE DATA</w:t>
      </w:r>
      <w:r w:rsidRPr="00347CE5">
        <w:rPr>
          <w:rFonts w:cs="Arial"/>
          <w:szCs w:val="20"/>
        </w:rPr>
        <w:t xml:space="preserve"> </w:t>
      </w:r>
    </w:p>
    <w:p w:rsidR="000C2991" w:rsidRDefault="000C2991" w:rsidP="008A4774">
      <w:pPr>
        <w:jc w:val="both"/>
        <w:rPr>
          <w:rFonts w:cs="Arial"/>
          <w:szCs w:val="20"/>
        </w:rPr>
      </w:pPr>
    </w:p>
    <w:tbl>
      <w:tblPr>
        <w:tblW w:w="4884" w:type="pct"/>
        <w:tblInd w:w="108" w:type="dxa"/>
        <w:tblBorders>
          <w:top w:val="single" w:sz="4" w:space="0" w:color="auto"/>
          <w:left w:val="single" w:sz="4" w:space="0" w:color="auto"/>
          <w:bottom w:val="single" w:sz="4" w:space="0" w:color="auto"/>
          <w:right w:val="single" w:sz="4" w:space="0" w:color="auto"/>
        </w:tblBorders>
        <w:tblLayout w:type="fixed"/>
        <w:tblCellMar>
          <w:top w:w="57" w:type="dxa"/>
          <w:bottom w:w="57" w:type="dxa"/>
        </w:tblCellMar>
        <w:tblLook w:val="0000" w:firstRow="0" w:lastRow="0" w:firstColumn="0" w:lastColumn="0" w:noHBand="0" w:noVBand="0"/>
      </w:tblPr>
      <w:tblGrid>
        <w:gridCol w:w="2133"/>
        <w:gridCol w:w="2264"/>
        <w:gridCol w:w="1703"/>
        <w:gridCol w:w="2264"/>
        <w:gridCol w:w="985"/>
      </w:tblGrid>
      <w:tr w:rsidR="000C2991" w:rsidRPr="001A1334" w:rsidTr="008A4774">
        <w:trPr>
          <w:cantSplit/>
          <w:trHeight w:val="549"/>
        </w:trPr>
        <w:tc>
          <w:tcPr>
            <w:tcW w:w="5000" w:type="pct"/>
            <w:gridSpan w:val="5"/>
            <w:tcBorders>
              <w:top w:val="single" w:sz="4" w:space="0" w:color="auto"/>
              <w:bottom w:val="single" w:sz="4" w:space="0" w:color="auto"/>
            </w:tcBorders>
            <w:shd w:val="clear" w:color="auto" w:fill="C6D9F1" w:themeFill="text2" w:themeFillTint="33"/>
            <w:vAlign w:val="center"/>
          </w:tcPr>
          <w:p w:rsidR="000C2991" w:rsidRPr="001A1334" w:rsidRDefault="000C2991" w:rsidP="008A4774">
            <w:pPr>
              <w:keepNext/>
              <w:keepLines/>
              <w:tabs>
                <w:tab w:val="left" w:pos="1452"/>
              </w:tabs>
              <w:ind w:left="1452" w:hanging="1452"/>
              <w:rPr>
                <w:rFonts w:cs="Arial"/>
                <w:b/>
                <w:bCs/>
                <w:sz w:val="16"/>
                <w:szCs w:val="16"/>
              </w:rPr>
            </w:pPr>
            <w:r w:rsidRPr="001A1334">
              <w:rPr>
                <w:rFonts w:cs="Arial"/>
                <w:b/>
                <w:bCs/>
                <w:sz w:val="16"/>
                <w:szCs w:val="16"/>
              </w:rPr>
              <w:t>Expected Result:</w:t>
            </w:r>
            <w:r w:rsidRPr="001A1334">
              <w:rPr>
                <w:rFonts w:cs="Arial"/>
                <w:b/>
                <w:bCs/>
                <w:sz w:val="16"/>
                <w:szCs w:val="16"/>
              </w:rPr>
              <w:tab/>
            </w:r>
            <w:r w:rsidRPr="00AD7E93">
              <w:rPr>
                <w:rFonts w:cs="Arial"/>
                <w:sz w:val="16"/>
                <w:szCs w:val="16"/>
                <w:lang w:bidi="th-TH"/>
              </w:rPr>
              <w:t>II.8 International and domestic intellectual property disputes are increasingly prevented or resolved through WIPO mediation, arbitration and other alternative dispute resolution methods</w:t>
            </w:r>
          </w:p>
        </w:tc>
      </w:tr>
      <w:tr w:rsidR="000C2991" w:rsidRPr="001A1334" w:rsidTr="008A4774">
        <w:trPr>
          <w:cantSplit/>
        </w:trPr>
        <w:tc>
          <w:tcPr>
            <w:tcW w:w="1140" w:type="pct"/>
            <w:tcBorders>
              <w:top w:val="single" w:sz="4" w:space="0" w:color="auto"/>
            </w:tcBorders>
            <w:shd w:val="clear" w:color="auto" w:fill="auto"/>
            <w:vAlign w:val="center"/>
          </w:tcPr>
          <w:p w:rsidR="000C2991" w:rsidRPr="001A1334" w:rsidRDefault="000C2991" w:rsidP="008A4774">
            <w:pPr>
              <w:rPr>
                <w:rFonts w:cs="Arial"/>
                <w:sz w:val="16"/>
                <w:szCs w:val="16"/>
              </w:rPr>
            </w:pPr>
            <w:r w:rsidRPr="001A1334">
              <w:rPr>
                <w:rFonts w:cs="Arial"/>
                <w:b/>
                <w:bCs/>
                <w:sz w:val="16"/>
                <w:szCs w:val="16"/>
              </w:rPr>
              <w:t xml:space="preserve">Performance </w:t>
            </w:r>
            <w:r>
              <w:rPr>
                <w:rFonts w:cs="Arial"/>
                <w:b/>
                <w:bCs/>
                <w:sz w:val="16"/>
                <w:szCs w:val="16"/>
              </w:rPr>
              <w:t>I</w:t>
            </w:r>
            <w:r w:rsidRPr="001A1334">
              <w:rPr>
                <w:rFonts w:cs="Arial"/>
                <w:b/>
                <w:bCs/>
                <w:sz w:val="16"/>
                <w:szCs w:val="16"/>
              </w:rPr>
              <w:t>ndicators</w:t>
            </w:r>
          </w:p>
        </w:tc>
        <w:tc>
          <w:tcPr>
            <w:tcW w:w="1211" w:type="pct"/>
            <w:tcBorders>
              <w:top w:val="single" w:sz="4" w:space="0" w:color="auto"/>
              <w:bottom w:val="nil"/>
            </w:tcBorders>
            <w:shd w:val="clear" w:color="auto" w:fill="auto"/>
            <w:vAlign w:val="center"/>
          </w:tcPr>
          <w:p w:rsidR="000C2991" w:rsidRPr="001A1334" w:rsidRDefault="000C2991" w:rsidP="008A4774">
            <w:pPr>
              <w:rPr>
                <w:rFonts w:cs="Arial"/>
                <w:b/>
                <w:bCs/>
                <w:sz w:val="16"/>
                <w:szCs w:val="16"/>
              </w:rPr>
            </w:pPr>
            <w:r w:rsidRPr="001A1334">
              <w:rPr>
                <w:rFonts w:cs="Arial"/>
                <w:b/>
                <w:bCs/>
                <w:sz w:val="16"/>
                <w:szCs w:val="16"/>
              </w:rPr>
              <w:t>Baselines</w:t>
            </w:r>
          </w:p>
        </w:tc>
        <w:tc>
          <w:tcPr>
            <w:tcW w:w="911" w:type="pct"/>
            <w:tcBorders>
              <w:top w:val="single" w:sz="4" w:space="0" w:color="auto"/>
              <w:bottom w:val="nil"/>
            </w:tcBorders>
            <w:shd w:val="clear" w:color="auto" w:fill="auto"/>
            <w:tcMar>
              <w:top w:w="110" w:type="dxa"/>
            </w:tcMar>
            <w:vAlign w:val="center"/>
          </w:tcPr>
          <w:p w:rsidR="000C2991" w:rsidRPr="001A1334" w:rsidRDefault="000C2991" w:rsidP="008A4774">
            <w:pPr>
              <w:rPr>
                <w:rFonts w:cs="Arial"/>
                <w:b/>
                <w:sz w:val="16"/>
                <w:szCs w:val="16"/>
              </w:rPr>
            </w:pPr>
            <w:r w:rsidRPr="001A1334">
              <w:rPr>
                <w:rFonts w:cs="Arial"/>
                <w:b/>
                <w:sz w:val="16"/>
                <w:szCs w:val="16"/>
              </w:rPr>
              <w:t>Targets</w:t>
            </w:r>
          </w:p>
        </w:tc>
        <w:tc>
          <w:tcPr>
            <w:tcW w:w="1211" w:type="pct"/>
            <w:tcBorders>
              <w:top w:val="single" w:sz="4" w:space="0" w:color="auto"/>
              <w:bottom w:val="nil"/>
            </w:tcBorders>
            <w:shd w:val="clear" w:color="auto" w:fill="auto"/>
            <w:tcMar>
              <w:top w:w="110" w:type="dxa"/>
            </w:tcMar>
            <w:vAlign w:val="center"/>
          </w:tcPr>
          <w:p w:rsidR="000C2991" w:rsidRPr="001A1334" w:rsidRDefault="000C2991" w:rsidP="008A4774">
            <w:pPr>
              <w:rPr>
                <w:rFonts w:cs="Arial"/>
                <w:sz w:val="16"/>
                <w:szCs w:val="16"/>
              </w:rPr>
            </w:pPr>
            <w:r w:rsidRPr="001A1334">
              <w:rPr>
                <w:rFonts w:cs="Arial"/>
                <w:b/>
                <w:bCs/>
                <w:sz w:val="16"/>
                <w:szCs w:val="16"/>
              </w:rPr>
              <w:t>Performance Data</w:t>
            </w:r>
          </w:p>
        </w:tc>
        <w:tc>
          <w:tcPr>
            <w:tcW w:w="527" w:type="pct"/>
            <w:tcBorders>
              <w:top w:val="single" w:sz="4" w:space="0" w:color="auto"/>
              <w:bottom w:val="nil"/>
            </w:tcBorders>
            <w:shd w:val="clear" w:color="auto" w:fill="auto"/>
            <w:tcMar>
              <w:top w:w="110" w:type="dxa"/>
            </w:tcMar>
            <w:vAlign w:val="center"/>
          </w:tcPr>
          <w:p w:rsidR="000C2991" w:rsidRPr="001A1334" w:rsidRDefault="000C2991" w:rsidP="008A4774">
            <w:pPr>
              <w:keepNext/>
              <w:keepLines/>
              <w:jc w:val="center"/>
              <w:rPr>
                <w:rFonts w:cs="Arial"/>
                <w:b/>
                <w:bCs/>
                <w:sz w:val="16"/>
                <w:szCs w:val="16"/>
              </w:rPr>
            </w:pPr>
            <w:r w:rsidRPr="001A1334">
              <w:rPr>
                <w:rFonts w:cs="Arial"/>
                <w:b/>
                <w:bCs/>
                <w:sz w:val="16"/>
                <w:szCs w:val="16"/>
              </w:rPr>
              <w:t>TLS</w:t>
            </w:r>
          </w:p>
        </w:tc>
      </w:tr>
      <w:tr w:rsidR="000C2991" w:rsidRPr="001A1334" w:rsidTr="008A4774">
        <w:trPr>
          <w:cantSplit/>
          <w:trHeight w:val="792"/>
        </w:trPr>
        <w:tc>
          <w:tcPr>
            <w:tcW w:w="1140" w:type="pct"/>
            <w:vMerge w:val="restart"/>
            <w:shd w:val="clear" w:color="auto" w:fill="auto"/>
          </w:tcPr>
          <w:p w:rsidR="000C2991" w:rsidRPr="001A1334" w:rsidRDefault="000C2991" w:rsidP="008A4774">
            <w:pPr>
              <w:rPr>
                <w:rFonts w:cs="Arial"/>
                <w:sz w:val="16"/>
                <w:szCs w:val="16"/>
              </w:rPr>
            </w:pPr>
            <w:r w:rsidRPr="00AD7E93">
              <w:rPr>
                <w:rFonts w:cs="Arial"/>
                <w:color w:val="000000"/>
                <w:sz w:val="16"/>
                <w:szCs w:val="16"/>
              </w:rPr>
              <w:t>Increased consideration of the use of alternative dispute resolution services in intellectual property transactions, including through the use of WIPO procedures</w:t>
            </w:r>
          </w:p>
        </w:tc>
        <w:tc>
          <w:tcPr>
            <w:tcW w:w="1211" w:type="pct"/>
            <w:tcBorders>
              <w:top w:val="nil"/>
              <w:bottom w:val="nil"/>
            </w:tcBorders>
            <w:shd w:val="clear" w:color="auto" w:fill="auto"/>
          </w:tcPr>
          <w:p w:rsidR="000C2991" w:rsidRPr="001A1334" w:rsidRDefault="000C2991" w:rsidP="008A4774">
            <w:pPr>
              <w:rPr>
                <w:rFonts w:cs="Arial"/>
                <w:sz w:val="16"/>
                <w:szCs w:val="16"/>
              </w:rPr>
            </w:pPr>
            <w:r>
              <w:rPr>
                <w:rFonts w:cs="Arial"/>
                <w:i/>
                <w:color w:val="002060"/>
                <w:sz w:val="16"/>
                <w:szCs w:val="16"/>
              </w:rPr>
              <w:t>Updated Baseline end 2013</w:t>
            </w:r>
            <w:r w:rsidRPr="001A1334">
              <w:rPr>
                <w:rFonts w:cs="Arial"/>
                <w:i/>
                <w:color w:val="002060"/>
                <w:sz w:val="16"/>
                <w:szCs w:val="16"/>
              </w:rPr>
              <w:t xml:space="preserve">:  </w:t>
            </w:r>
            <w:r w:rsidRPr="007F7ED1">
              <w:rPr>
                <w:rFonts w:cs="Arial"/>
                <w:color w:val="002060"/>
                <w:sz w:val="16"/>
                <w:szCs w:val="16"/>
              </w:rPr>
              <w:t xml:space="preserve">375 disputes and 95 bons offices (cumulative per end 2013) </w:t>
            </w:r>
          </w:p>
        </w:tc>
        <w:tc>
          <w:tcPr>
            <w:tcW w:w="911" w:type="pct"/>
            <w:tcBorders>
              <w:top w:val="nil"/>
              <w:bottom w:val="nil"/>
            </w:tcBorders>
            <w:shd w:val="clear" w:color="auto" w:fill="auto"/>
            <w:tcMar>
              <w:top w:w="110" w:type="dxa"/>
            </w:tcMar>
          </w:tcPr>
          <w:p w:rsidR="000C2991" w:rsidRPr="001A1334" w:rsidRDefault="000C2991">
            <w:pPr>
              <w:autoSpaceDE w:val="0"/>
              <w:autoSpaceDN w:val="0"/>
              <w:adjustRightInd w:val="0"/>
              <w:rPr>
                <w:rFonts w:cs="Arial"/>
                <w:sz w:val="16"/>
                <w:szCs w:val="16"/>
              </w:rPr>
            </w:pPr>
            <w:r w:rsidRPr="00AD7E93">
              <w:rPr>
                <w:rFonts w:cs="Arial"/>
                <w:sz w:val="16"/>
                <w:szCs w:val="16"/>
              </w:rPr>
              <w:t>40 additional disputes and bons offices</w:t>
            </w:r>
          </w:p>
        </w:tc>
        <w:tc>
          <w:tcPr>
            <w:tcW w:w="1211" w:type="pct"/>
            <w:tcBorders>
              <w:top w:val="nil"/>
              <w:bottom w:val="nil"/>
            </w:tcBorders>
            <w:shd w:val="clear" w:color="auto" w:fill="auto"/>
            <w:tcMar>
              <w:top w:w="110" w:type="dxa"/>
            </w:tcMar>
          </w:tcPr>
          <w:p w:rsidR="000C2991" w:rsidRDefault="000C2991" w:rsidP="008A4774">
            <w:pPr>
              <w:rPr>
                <w:rFonts w:cs="Arial"/>
                <w:sz w:val="16"/>
                <w:szCs w:val="16"/>
              </w:rPr>
            </w:pPr>
            <w:r>
              <w:rPr>
                <w:rFonts w:cs="Arial"/>
                <w:sz w:val="16"/>
                <w:szCs w:val="16"/>
              </w:rPr>
              <w:t xml:space="preserve">In 2014/15, </w:t>
            </w:r>
            <w:r w:rsidR="00106B6A">
              <w:rPr>
                <w:rFonts w:cs="Arial"/>
                <w:sz w:val="16"/>
                <w:szCs w:val="16"/>
              </w:rPr>
              <w:t>153</w:t>
            </w:r>
            <w:r w:rsidRPr="00C92223">
              <w:rPr>
                <w:rFonts w:cs="Arial"/>
                <w:sz w:val="16"/>
                <w:szCs w:val="16"/>
              </w:rPr>
              <w:t xml:space="preserve"> additional </w:t>
            </w:r>
            <w:r>
              <w:rPr>
                <w:rFonts w:cs="Arial"/>
                <w:sz w:val="16"/>
                <w:szCs w:val="16"/>
              </w:rPr>
              <w:t xml:space="preserve">disputes and bons offices </w:t>
            </w:r>
          </w:p>
          <w:p w:rsidR="000C2991" w:rsidRDefault="000C2991" w:rsidP="008A4774">
            <w:pPr>
              <w:rPr>
                <w:rFonts w:cs="Arial"/>
                <w:sz w:val="16"/>
                <w:szCs w:val="16"/>
              </w:rPr>
            </w:pPr>
          </w:p>
          <w:p w:rsidR="000C2991" w:rsidRDefault="000C2991" w:rsidP="008A4774">
            <w:pPr>
              <w:rPr>
                <w:rFonts w:cs="Arial"/>
                <w:sz w:val="16"/>
                <w:szCs w:val="16"/>
              </w:rPr>
            </w:pPr>
            <w:r>
              <w:rPr>
                <w:rFonts w:cs="Arial"/>
                <w:sz w:val="16"/>
                <w:szCs w:val="16"/>
              </w:rPr>
              <w:t>62</w:t>
            </w:r>
            <w:r w:rsidR="00106B6A">
              <w:rPr>
                <w:rFonts w:cs="Arial"/>
                <w:sz w:val="16"/>
                <w:szCs w:val="16"/>
              </w:rPr>
              <w:t>3</w:t>
            </w:r>
            <w:r>
              <w:rPr>
                <w:rFonts w:cs="Arial"/>
                <w:sz w:val="16"/>
                <w:szCs w:val="16"/>
              </w:rPr>
              <w:t xml:space="preserve"> disputes and bons offices</w:t>
            </w:r>
          </w:p>
          <w:p w:rsidR="000C2991" w:rsidRPr="001A1334" w:rsidRDefault="000C2991" w:rsidP="008A4774">
            <w:pPr>
              <w:rPr>
                <w:rFonts w:cs="Arial"/>
                <w:sz w:val="16"/>
                <w:szCs w:val="16"/>
              </w:rPr>
            </w:pPr>
            <w:r>
              <w:rPr>
                <w:rFonts w:cs="Arial"/>
                <w:sz w:val="16"/>
                <w:szCs w:val="16"/>
              </w:rPr>
              <w:t xml:space="preserve"> (cumulative per end 2015)</w:t>
            </w:r>
          </w:p>
        </w:tc>
        <w:tc>
          <w:tcPr>
            <w:tcW w:w="527" w:type="pct"/>
            <w:tcBorders>
              <w:top w:val="nil"/>
              <w:bottom w:val="nil"/>
            </w:tcBorders>
            <w:shd w:val="clear" w:color="auto" w:fill="auto"/>
            <w:tcMar>
              <w:top w:w="110" w:type="dxa"/>
            </w:tcMar>
          </w:tcPr>
          <w:p w:rsidR="000C2991" w:rsidRPr="00952F00" w:rsidRDefault="000C2991">
            <w:pPr>
              <w:keepNext/>
              <w:keepLines/>
              <w:jc w:val="center"/>
              <w:rPr>
                <w:rFonts w:cs="Arial"/>
                <w:b/>
                <w:bCs/>
                <w:color w:val="FF0000"/>
                <w:sz w:val="16"/>
                <w:szCs w:val="16"/>
              </w:rPr>
            </w:pPr>
            <w:r w:rsidRPr="00B26D58">
              <w:rPr>
                <w:rFonts w:cs="Arial"/>
                <w:b/>
                <w:bCs/>
                <w:color w:val="00B050"/>
                <w:sz w:val="16"/>
                <w:szCs w:val="16"/>
              </w:rPr>
              <w:t>Fully Achieved</w:t>
            </w:r>
          </w:p>
        </w:tc>
      </w:tr>
      <w:tr w:rsidR="000C2991" w:rsidRPr="001A1334" w:rsidTr="008A4774">
        <w:trPr>
          <w:cantSplit/>
          <w:trHeight w:val="452"/>
        </w:trPr>
        <w:tc>
          <w:tcPr>
            <w:tcW w:w="1140" w:type="pct"/>
            <w:vMerge/>
            <w:shd w:val="clear" w:color="auto" w:fill="auto"/>
          </w:tcPr>
          <w:p w:rsidR="000C2991" w:rsidRPr="00AD7E93" w:rsidRDefault="000C2991" w:rsidP="008A4774">
            <w:pPr>
              <w:rPr>
                <w:rFonts w:cs="Arial"/>
                <w:color w:val="000000"/>
                <w:sz w:val="16"/>
                <w:szCs w:val="16"/>
              </w:rPr>
            </w:pPr>
          </w:p>
        </w:tc>
        <w:tc>
          <w:tcPr>
            <w:tcW w:w="1211" w:type="pct"/>
            <w:tcBorders>
              <w:top w:val="nil"/>
              <w:bottom w:val="nil"/>
            </w:tcBorders>
            <w:shd w:val="clear" w:color="auto" w:fill="auto"/>
          </w:tcPr>
          <w:p w:rsidR="000C2991" w:rsidRDefault="000C2991" w:rsidP="008A4774">
            <w:pPr>
              <w:rPr>
                <w:rFonts w:cs="Arial"/>
                <w:i/>
                <w:color w:val="002060"/>
                <w:sz w:val="16"/>
                <w:szCs w:val="16"/>
              </w:rPr>
            </w:pPr>
            <w:r w:rsidRPr="007F7ED1">
              <w:rPr>
                <w:rFonts w:cs="Arial"/>
                <w:color w:val="002060"/>
                <w:sz w:val="16"/>
                <w:szCs w:val="16"/>
              </w:rPr>
              <w:t>4,000 incoming queries (2012/13)</w:t>
            </w:r>
          </w:p>
        </w:tc>
        <w:tc>
          <w:tcPr>
            <w:tcW w:w="911" w:type="pct"/>
            <w:tcBorders>
              <w:top w:val="nil"/>
              <w:bottom w:val="nil"/>
            </w:tcBorders>
            <w:shd w:val="clear" w:color="auto" w:fill="auto"/>
            <w:tcMar>
              <w:top w:w="110" w:type="dxa"/>
            </w:tcMar>
          </w:tcPr>
          <w:p w:rsidR="000C2991" w:rsidRPr="00AD7E93" w:rsidRDefault="000C2991" w:rsidP="008A4774">
            <w:pPr>
              <w:autoSpaceDE w:val="0"/>
              <w:autoSpaceDN w:val="0"/>
              <w:adjustRightInd w:val="0"/>
              <w:rPr>
                <w:rFonts w:cs="Arial"/>
                <w:sz w:val="16"/>
                <w:szCs w:val="16"/>
              </w:rPr>
            </w:pPr>
            <w:r w:rsidRPr="00AD7E93">
              <w:rPr>
                <w:rFonts w:cs="Arial"/>
                <w:sz w:val="16"/>
                <w:szCs w:val="16"/>
              </w:rPr>
              <w:t>4,000 additional queries</w:t>
            </w:r>
          </w:p>
        </w:tc>
        <w:tc>
          <w:tcPr>
            <w:tcW w:w="1211" w:type="pct"/>
            <w:tcBorders>
              <w:top w:val="nil"/>
              <w:bottom w:val="nil"/>
            </w:tcBorders>
            <w:shd w:val="clear" w:color="auto" w:fill="auto"/>
            <w:tcMar>
              <w:top w:w="110" w:type="dxa"/>
            </w:tcMar>
          </w:tcPr>
          <w:p w:rsidR="000C2991" w:rsidRDefault="000C2991" w:rsidP="008A4774">
            <w:pPr>
              <w:rPr>
                <w:rFonts w:cs="Arial"/>
                <w:sz w:val="16"/>
                <w:szCs w:val="16"/>
              </w:rPr>
            </w:pPr>
            <w:r>
              <w:rPr>
                <w:rFonts w:cs="Arial"/>
                <w:sz w:val="16"/>
                <w:szCs w:val="16"/>
              </w:rPr>
              <w:t>7,500 additional queries (2014/15)</w:t>
            </w:r>
          </w:p>
          <w:p w:rsidR="000C2991" w:rsidRPr="006A63C4" w:rsidRDefault="000C2991" w:rsidP="008A4774">
            <w:pPr>
              <w:pStyle w:val="ListParagraph"/>
              <w:ind w:left="360"/>
              <w:rPr>
                <w:rFonts w:cs="Arial"/>
                <w:sz w:val="16"/>
                <w:szCs w:val="16"/>
              </w:rPr>
            </w:pPr>
          </w:p>
        </w:tc>
        <w:tc>
          <w:tcPr>
            <w:tcW w:w="527" w:type="pct"/>
            <w:tcBorders>
              <w:top w:val="nil"/>
              <w:bottom w:val="nil"/>
            </w:tcBorders>
            <w:shd w:val="clear" w:color="auto" w:fill="auto"/>
            <w:tcMar>
              <w:top w:w="110" w:type="dxa"/>
            </w:tcMar>
          </w:tcPr>
          <w:p w:rsidR="000C2991" w:rsidRPr="00EF26A9" w:rsidRDefault="000C2991" w:rsidP="008A4774">
            <w:pPr>
              <w:keepNext/>
              <w:keepLines/>
              <w:jc w:val="center"/>
              <w:rPr>
                <w:rFonts w:cs="Arial"/>
                <w:b/>
                <w:bCs/>
                <w:color w:val="00B050"/>
                <w:sz w:val="16"/>
                <w:szCs w:val="16"/>
              </w:rPr>
            </w:pPr>
            <w:r w:rsidRPr="0038581C">
              <w:rPr>
                <w:rFonts w:cs="Arial"/>
                <w:b/>
                <w:bCs/>
                <w:color w:val="00B050"/>
                <w:sz w:val="16"/>
                <w:szCs w:val="16"/>
              </w:rPr>
              <w:t>Fully Achieved</w:t>
            </w:r>
          </w:p>
        </w:tc>
      </w:tr>
      <w:tr w:rsidR="000C2991" w:rsidRPr="001A1334" w:rsidTr="008A4774">
        <w:trPr>
          <w:cantSplit/>
          <w:trHeight w:val="117"/>
        </w:trPr>
        <w:tc>
          <w:tcPr>
            <w:tcW w:w="1140" w:type="pct"/>
            <w:vMerge/>
            <w:shd w:val="clear" w:color="auto" w:fill="auto"/>
          </w:tcPr>
          <w:p w:rsidR="000C2991" w:rsidRPr="00AD7E93" w:rsidRDefault="000C2991" w:rsidP="008A4774">
            <w:pPr>
              <w:rPr>
                <w:rFonts w:cs="Arial"/>
                <w:color w:val="000000"/>
                <w:sz w:val="16"/>
                <w:szCs w:val="16"/>
              </w:rPr>
            </w:pPr>
          </w:p>
        </w:tc>
        <w:tc>
          <w:tcPr>
            <w:tcW w:w="1211" w:type="pct"/>
            <w:tcBorders>
              <w:top w:val="nil"/>
              <w:bottom w:val="nil"/>
            </w:tcBorders>
            <w:shd w:val="clear" w:color="auto" w:fill="auto"/>
          </w:tcPr>
          <w:p w:rsidR="000C2991" w:rsidRPr="007F7ED1" w:rsidRDefault="000C2991" w:rsidP="008A4774">
            <w:pPr>
              <w:rPr>
                <w:rFonts w:cs="Arial"/>
                <w:color w:val="002060"/>
                <w:sz w:val="16"/>
                <w:szCs w:val="16"/>
              </w:rPr>
            </w:pPr>
            <w:r w:rsidRPr="007F7ED1">
              <w:rPr>
                <w:rFonts w:cs="Arial"/>
                <w:color w:val="002060"/>
                <w:sz w:val="16"/>
                <w:szCs w:val="16"/>
              </w:rPr>
              <w:t xml:space="preserve">3.5 million Web visits (2012/13) </w:t>
            </w:r>
          </w:p>
        </w:tc>
        <w:tc>
          <w:tcPr>
            <w:tcW w:w="911" w:type="pct"/>
            <w:tcBorders>
              <w:top w:val="nil"/>
              <w:bottom w:val="nil"/>
            </w:tcBorders>
            <w:shd w:val="clear" w:color="auto" w:fill="auto"/>
            <w:tcMar>
              <w:top w:w="110" w:type="dxa"/>
            </w:tcMar>
          </w:tcPr>
          <w:p w:rsidR="000C2991" w:rsidRPr="00AD7E93" w:rsidRDefault="000C2991" w:rsidP="008A4774">
            <w:pPr>
              <w:autoSpaceDE w:val="0"/>
              <w:autoSpaceDN w:val="0"/>
              <w:adjustRightInd w:val="0"/>
              <w:rPr>
                <w:rFonts w:cs="Arial"/>
                <w:sz w:val="16"/>
                <w:szCs w:val="16"/>
              </w:rPr>
            </w:pPr>
            <w:r w:rsidRPr="00AD7E93">
              <w:rPr>
                <w:rFonts w:cs="Arial"/>
                <w:sz w:val="16"/>
                <w:szCs w:val="16"/>
              </w:rPr>
              <w:t>3.5 million additional visits</w:t>
            </w:r>
          </w:p>
        </w:tc>
        <w:tc>
          <w:tcPr>
            <w:tcW w:w="1211" w:type="pct"/>
            <w:tcBorders>
              <w:top w:val="nil"/>
              <w:bottom w:val="nil"/>
            </w:tcBorders>
            <w:shd w:val="clear" w:color="auto" w:fill="auto"/>
            <w:tcMar>
              <w:top w:w="110" w:type="dxa"/>
            </w:tcMar>
          </w:tcPr>
          <w:p w:rsidR="000C2991" w:rsidDel="00C64636" w:rsidRDefault="000C2991" w:rsidP="008A4774">
            <w:pPr>
              <w:rPr>
                <w:rFonts w:cs="Arial"/>
                <w:sz w:val="16"/>
                <w:szCs w:val="16"/>
              </w:rPr>
            </w:pPr>
            <w:r>
              <w:rPr>
                <w:rFonts w:cs="Arial"/>
                <w:sz w:val="16"/>
                <w:szCs w:val="16"/>
              </w:rPr>
              <w:t>3.1 million additional visits (2014/15)</w:t>
            </w:r>
          </w:p>
        </w:tc>
        <w:tc>
          <w:tcPr>
            <w:tcW w:w="527" w:type="pct"/>
            <w:tcBorders>
              <w:top w:val="nil"/>
              <w:bottom w:val="nil"/>
            </w:tcBorders>
            <w:shd w:val="clear" w:color="auto" w:fill="auto"/>
            <w:tcMar>
              <w:top w:w="110" w:type="dxa"/>
            </w:tcMar>
          </w:tcPr>
          <w:p w:rsidR="000C2991" w:rsidRPr="00247031" w:rsidRDefault="000C2991" w:rsidP="008A4774">
            <w:pPr>
              <w:keepNext/>
              <w:keepLines/>
              <w:jc w:val="center"/>
              <w:rPr>
                <w:rFonts w:cs="Arial"/>
                <w:b/>
                <w:bCs/>
                <w:color w:val="00B050"/>
                <w:sz w:val="16"/>
                <w:szCs w:val="16"/>
              </w:rPr>
            </w:pPr>
            <w:r w:rsidRPr="00247031">
              <w:rPr>
                <w:rFonts w:cs="Arial"/>
                <w:b/>
                <w:bCs/>
                <w:color w:val="00B050"/>
                <w:sz w:val="16"/>
                <w:szCs w:val="16"/>
              </w:rPr>
              <w:t>Fully</w:t>
            </w:r>
            <w:r w:rsidRPr="00A647E0">
              <w:rPr>
                <w:rFonts w:cs="Arial"/>
                <w:b/>
                <w:bCs/>
                <w:color w:val="E26B0A"/>
                <w:sz w:val="16"/>
                <w:szCs w:val="16"/>
              </w:rPr>
              <w:t xml:space="preserve"> </w:t>
            </w:r>
            <w:r w:rsidRPr="00247031">
              <w:rPr>
                <w:rFonts w:cs="Arial"/>
                <w:b/>
                <w:bCs/>
                <w:color w:val="00B050"/>
                <w:sz w:val="16"/>
                <w:szCs w:val="16"/>
              </w:rPr>
              <w:t>Achieved</w:t>
            </w:r>
          </w:p>
        </w:tc>
      </w:tr>
      <w:tr w:rsidR="000C2991" w:rsidRPr="001A1334" w:rsidTr="008A4774">
        <w:trPr>
          <w:cantSplit/>
          <w:trHeight w:val="502"/>
        </w:trPr>
        <w:tc>
          <w:tcPr>
            <w:tcW w:w="1140" w:type="pct"/>
            <w:vMerge/>
            <w:shd w:val="clear" w:color="auto" w:fill="auto"/>
          </w:tcPr>
          <w:p w:rsidR="000C2991" w:rsidRPr="00AD7E93" w:rsidRDefault="000C2991" w:rsidP="008A4774">
            <w:pPr>
              <w:rPr>
                <w:rFonts w:cs="Arial"/>
                <w:color w:val="000000"/>
                <w:sz w:val="16"/>
                <w:szCs w:val="16"/>
              </w:rPr>
            </w:pPr>
          </w:p>
        </w:tc>
        <w:tc>
          <w:tcPr>
            <w:tcW w:w="1211" w:type="pct"/>
            <w:tcBorders>
              <w:top w:val="nil"/>
              <w:bottom w:val="nil"/>
            </w:tcBorders>
            <w:shd w:val="clear" w:color="auto" w:fill="auto"/>
          </w:tcPr>
          <w:p w:rsidR="000C2991" w:rsidRDefault="000C2991" w:rsidP="008A4774">
            <w:pPr>
              <w:rPr>
                <w:rFonts w:cs="Arial"/>
                <w:i/>
                <w:color w:val="002060"/>
                <w:sz w:val="16"/>
                <w:szCs w:val="16"/>
              </w:rPr>
            </w:pPr>
            <w:r w:rsidRPr="007F7ED1">
              <w:rPr>
                <w:rFonts w:cs="Arial"/>
                <w:color w:val="002060"/>
                <w:sz w:val="16"/>
                <w:szCs w:val="16"/>
              </w:rPr>
              <w:t>408 participants at Center standard events (2012/13)</w:t>
            </w:r>
          </w:p>
        </w:tc>
        <w:tc>
          <w:tcPr>
            <w:tcW w:w="911" w:type="pct"/>
            <w:tcBorders>
              <w:top w:val="nil"/>
              <w:bottom w:val="nil"/>
            </w:tcBorders>
            <w:shd w:val="clear" w:color="auto" w:fill="auto"/>
            <w:tcMar>
              <w:top w:w="110" w:type="dxa"/>
            </w:tcMar>
          </w:tcPr>
          <w:p w:rsidR="000C2991" w:rsidRPr="00AD7E93" w:rsidDel="00FF500B" w:rsidRDefault="000C2991">
            <w:pPr>
              <w:autoSpaceDE w:val="0"/>
              <w:autoSpaceDN w:val="0"/>
              <w:adjustRightInd w:val="0"/>
              <w:rPr>
                <w:rFonts w:cs="Arial"/>
                <w:sz w:val="16"/>
                <w:szCs w:val="16"/>
              </w:rPr>
            </w:pPr>
            <w:r w:rsidRPr="00AD7E93">
              <w:rPr>
                <w:rFonts w:cs="Arial"/>
                <w:sz w:val="16"/>
                <w:szCs w:val="16"/>
              </w:rPr>
              <w:t xml:space="preserve">250 participants at Center standard events  </w:t>
            </w:r>
          </w:p>
        </w:tc>
        <w:tc>
          <w:tcPr>
            <w:tcW w:w="1211" w:type="pct"/>
            <w:tcBorders>
              <w:top w:val="nil"/>
              <w:bottom w:val="nil"/>
            </w:tcBorders>
            <w:shd w:val="clear" w:color="auto" w:fill="auto"/>
            <w:tcMar>
              <w:top w:w="110" w:type="dxa"/>
            </w:tcMar>
          </w:tcPr>
          <w:p w:rsidR="000C2991" w:rsidRDefault="000C2991" w:rsidP="008A4774">
            <w:pPr>
              <w:rPr>
                <w:rFonts w:cs="Arial"/>
                <w:sz w:val="16"/>
                <w:szCs w:val="16"/>
              </w:rPr>
            </w:pPr>
            <w:r>
              <w:rPr>
                <w:rFonts w:cs="Arial"/>
                <w:sz w:val="16"/>
                <w:szCs w:val="16"/>
              </w:rPr>
              <w:t>262 participants at Center standard events (2014/15)</w:t>
            </w:r>
          </w:p>
          <w:p w:rsidR="000C2991" w:rsidRDefault="000C2991" w:rsidP="008A4774">
            <w:pPr>
              <w:rPr>
                <w:rFonts w:cs="Arial"/>
                <w:sz w:val="16"/>
                <w:szCs w:val="16"/>
              </w:rPr>
            </w:pPr>
          </w:p>
        </w:tc>
        <w:tc>
          <w:tcPr>
            <w:tcW w:w="527" w:type="pct"/>
            <w:tcBorders>
              <w:top w:val="nil"/>
              <w:bottom w:val="nil"/>
            </w:tcBorders>
            <w:shd w:val="clear" w:color="auto" w:fill="auto"/>
            <w:tcMar>
              <w:top w:w="110" w:type="dxa"/>
            </w:tcMar>
          </w:tcPr>
          <w:p w:rsidR="000C2991" w:rsidRPr="00EF26A9" w:rsidRDefault="000C2991" w:rsidP="008A4774">
            <w:pPr>
              <w:keepNext/>
              <w:keepLines/>
              <w:jc w:val="center"/>
              <w:rPr>
                <w:rFonts w:cs="Arial"/>
                <w:b/>
                <w:bCs/>
                <w:color w:val="00B050"/>
                <w:sz w:val="16"/>
                <w:szCs w:val="16"/>
              </w:rPr>
            </w:pPr>
            <w:r w:rsidRPr="0038581C">
              <w:rPr>
                <w:rFonts w:cs="Arial"/>
                <w:b/>
                <w:bCs/>
                <w:color w:val="00B050"/>
                <w:sz w:val="16"/>
                <w:szCs w:val="16"/>
              </w:rPr>
              <w:t>Fully Achieved</w:t>
            </w:r>
          </w:p>
        </w:tc>
      </w:tr>
      <w:tr w:rsidR="000C2991" w:rsidRPr="001A1334" w:rsidTr="008A4774">
        <w:trPr>
          <w:cantSplit/>
          <w:trHeight w:val="452"/>
        </w:trPr>
        <w:tc>
          <w:tcPr>
            <w:tcW w:w="1140" w:type="pct"/>
            <w:vMerge/>
            <w:shd w:val="clear" w:color="auto" w:fill="auto"/>
          </w:tcPr>
          <w:p w:rsidR="000C2991" w:rsidRPr="00AD7E93" w:rsidRDefault="000C2991" w:rsidP="008A4774">
            <w:pPr>
              <w:rPr>
                <w:rFonts w:cs="Arial"/>
                <w:color w:val="000000"/>
                <w:sz w:val="16"/>
                <w:szCs w:val="16"/>
              </w:rPr>
            </w:pPr>
          </w:p>
        </w:tc>
        <w:tc>
          <w:tcPr>
            <w:tcW w:w="1211" w:type="pct"/>
            <w:tcBorders>
              <w:top w:val="nil"/>
              <w:bottom w:val="nil"/>
            </w:tcBorders>
            <w:shd w:val="clear" w:color="auto" w:fill="auto"/>
          </w:tcPr>
          <w:p w:rsidR="000C2991" w:rsidRPr="007F7ED1" w:rsidRDefault="000C2991" w:rsidP="008A4774">
            <w:pPr>
              <w:rPr>
                <w:rFonts w:cs="Arial"/>
                <w:color w:val="002060"/>
                <w:sz w:val="16"/>
                <w:szCs w:val="16"/>
              </w:rPr>
            </w:pPr>
            <w:r w:rsidRPr="007F7ED1">
              <w:rPr>
                <w:rFonts w:cs="Arial"/>
                <w:color w:val="002060"/>
                <w:sz w:val="16"/>
                <w:szCs w:val="16"/>
              </w:rPr>
              <w:t>4,000 participants at Center external events (2012/13)</w:t>
            </w:r>
          </w:p>
        </w:tc>
        <w:tc>
          <w:tcPr>
            <w:tcW w:w="911" w:type="pct"/>
            <w:tcBorders>
              <w:top w:val="nil"/>
              <w:bottom w:val="nil"/>
            </w:tcBorders>
            <w:shd w:val="clear" w:color="auto" w:fill="auto"/>
            <w:tcMar>
              <w:top w:w="110" w:type="dxa"/>
            </w:tcMar>
          </w:tcPr>
          <w:p w:rsidR="000C2991" w:rsidRPr="00AD7E93" w:rsidDel="00FF500B" w:rsidRDefault="000C2991">
            <w:pPr>
              <w:autoSpaceDE w:val="0"/>
              <w:autoSpaceDN w:val="0"/>
              <w:adjustRightInd w:val="0"/>
              <w:rPr>
                <w:rFonts w:cs="Arial"/>
                <w:sz w:val="16"/>
                <w:szCs w:val="16"/>
              </w:rPr>
            </w:pPr>
            <w:r w:rsidRPr="00AD7E93">
              <w:rPr>
                <w:rFonts w:cs="Arial"/>
                <w:sz w:val="16"/>
                <w:szCs w:val="16"/>
              </w:rPr>
              <w:t>6,000 participants at Center external events</w:t>
            </w:r>
          </w:p>
        </w:tc>
        <w:tc>
          <w:tcPr>
            <w:tcW w:w="1211" w:type="pct"/>
            <w:tcBorders>
              <w:top w:val="nil"/>
              <w:bottom w:val="nil"/>
            </w:tcBorders>
            <w:shd w:val="clear" w:color="auto" w:fill="auto"/>
            <w:tcMar>
              <w:top w:w="110" w:type="dxa"/>
            </w:tcMar>
          </w:tcPr>
          <w:p w:rsidR="000C2991" w:rsidRDefault="000C2991" w:rsidP="008A4774">
            <w:pPr>
              <w:rPr>
                <w:rFonts w:cs="Arial"/>
                <w:sz w:val="16"/>
                <w:szCs w:val="16"/>
              </w:rPr>
            </w:pPr>
            <w:r>
              <w:rPr>
                <w:rFonts w:cs="Arial"/>
                <w:sz w:val="16"/>
                <w:szCs w:val="16"/>
              </w:rPr>
              <w:t>9,670 participants at Center external events</w:t>
            </w:r>
          </w:p>
          <w:p w:rsidR="000C2991" w:rsidRDefault="000C2991" w:rsidP="008A4774">
            <w:pPr>
              <w:rPr>
                <w:rFonts w:cs="Arial"/>
                <w:sz w:val="16"/>
                <w:szCs w:val="16"/>
              </w:rPr>
            </w:pPr>
          </w:p>
        </w:tc>
        <w:tc>
          <w:tcPr>
            <w:tcW w:w="527" w:type="pct"/>
            <w:tcBorders>
              <w:top w:val="nil"/>
              <w:bottom w:val="nil"/>
            </w:tcBorders>
            <w:shd w:val="clear" w:color="auto" w:fill="auto"/>
            <w:tcMar>
              <w:top w:w="110" w:type="dxa"/>
            </w:tcMar>
          </w:tcPr>
          <w:p w:rsidR="000C2991" w:rsidRPr="00EF26A9" w:rsidRDefault="000C2991" w:rsidP="008A4774">
            <w:pPr>
              <w:keepNext/>
              <w:keepLines/>
              <w:jc w:val="center"/>
              <w:rPr>
                <w:rFonts w:cs="Arial"/>
                <w:b/>
                <w:bCs/>
                <w:color w:val="00B050"/>
                <w:sz w:val="16"/>
                <w:szCs w:val="16"/>
              </w:rPr>
            </w:pPr>
            <w:r w:rsidRPr="0038581C">
              <w:rPr>
                <w:rFonts w:cs="Arial"/>
                <w:b/>
                <w:bCs/>
                <w:color w:val="00B050"/>
                <w:sz w:val="16"/>
                <w:szCs w:val="16"/>
              </w:rPr>
              <w:t>Fully Achieved</w:t>
            </w:r>
          </w:p>
        </w:tc>
      </w:tr>
      <w:tr w:rsidR="000C2991" w:rsidRPr="001A1334" w:rsidTr="00AB7E80">
        <w:trPr>
          <w:cantSplit/>
          <w:trHeight w:val="696"/>
        </w:trPr>
        <w:tc>
          <w:tcPr>
            <w:tcW w:w="1140" w:type="pct"/>
            <w:vMerge/>
            <w:shd w:val="clear" w:color="auto" w:fill="auto"/>
          </w:tcPr>
          <w:p w:rsidR="000C2991" w:rsidRPr="00AD7E93" w:rsidRDefault="000C2991" w:rsidP="008A4774">
            <w:pPr>
              <w:rPr>
                <w:rFonts w:cs="Arial"/>
                <w:color w:val="000000"/>
                <w:sz w:val="16"/>
                <w:szCs w:val="16"/>
              </w:rPr>
            </w:pPr>
          </w:p>
        </w:tc>
        <w:tc>
          <w:tcPr>
            <w:tcW w:w="1211" w:type="pct"/>
            <w:vMerge w:val="restart"/>
            <w:tcBorders>
              <w:top w:val="nil"/>
            </w:tcBorders>
            <w:shd w:val="clear" w:color="auto" w:fill="auto"/>
          </w:tcPr>
          <w:p w:rsidR="000C2991" w:rsidRPr="007F7ED1" w:rsidRDefault="000C2991" w:rsidP="008A4774">
            <w:pPr>
              <w:rPr>
                <w:rFonts w:cs="Arial"/>
                <w:sz w:val="16"/>
                <w:szCs w:val="16"/>
              </w:rPr>
            </w:pPr>
            <w:r>
              <w:rPr>
                <w:rFonts w:cs="Arial"/>
                <w:i/>
                <w:sz w:val="16"/>
                <w:szCs w:val="16"/>
              </w:rPr>
              <w:t>Original Baseline P&amp;B 2014/15</w:t>
            </w:r>
            <w:r w:rsidRPr="001A1334">
              <w:rPr>
                <w:rFonts w:cs="Arial"/>
                <w:i/>
                <w:sz w:val="16"/>
                <w:szCs w:val="16"/>
              </w:rPr>
              <w:t>:</w:t>
            </w:r>
            <w:r>
              <w:rPr>
                <w:rFonts w:cs="Arial"/>
                <w:i/>
                <w:sz w:val="16"/>
                <w:szCs w:val="16"/>
              </w:rPr>
              <w:t xml:space="preserve"> </w:t>
            </w:r>
            <w:r w:rsidRPr="007F7ED1">
              <w:rPr>
                <w:rFonts w:cs="Arial"/>
                <w:sz w:val="16"/>
                <w:szCs w:val="16"/>
              </w:rPr>
              <w:t xml:space="preserve">284 disputes and 79 bons offices (cumulative per end 2012) </w:t>
            </w:r>
          </w:p>
          <w:p w:rsidR="000C2991" w:rsidRPr="007F7ED1" w:rsidRDefault="000C2991" w:rsidP="008A4774">
            <w:pPr>
              <w:rPr>
                <w:rFonts w:cs="Arial"/>
                <w:sz w:val="16"/>
                <w:szCs w:val="16"/>
              </w:rPr>
            </w:pPr>
            <w:r w:rsidRPr="007F7ED1">
              <w:rPr>
                <w:rFonts w:cs="Arial"/>
                <w:sz w:val="16"/>
                <w:szCs w:val="16"/>
              </w:rPr>
              <w:t xml:space="preserve">4,000 incoming queries (2010/11) </w:t>
            </w:r>
          </w:p>
          <w:p w:rsidR="000C2991" w:rsidRPr="007F7ED1" w:rsidRDefault="000C2991" w:rsidP="008A4774">
            <w:pPr>
              <w:rPr>
                <w:rFonts w:cs="Arial"/>
                <w:sz w:val="16"/>
                <w:szCs w:val="16"/>
              </w:rPr>
            </w:pPr>
            <w:r w:rsidRPr="007F7ED1">
              <w:rPr>
                <w:rFonts w:cs="Arial"/>
                <w:sz w:val="16"/>
                <w:szCs w:val="16"/>
              </w:rPr>
              <w:t>Web visits 30 million (cum</w:t>
            </w:r>
            <w:r>
              <w:rPr>
                <w:rFonts w:cs="Arial"/>
                <w:sz w:val="16"/>
                <w:szCs w:val="16"/>
              </w:rPr>
              <w:t>ulative</w:t>
            </w:r>
            <w:r w:rsidRPr="007F7ED1">
              <w:rPr>
                <w:rFonts w:cs="Arial"/>
                <w:sz w:val="16"/>
                <w:szCs w:val="16"/>
              </w:rPr>
              <w:t xml:space="preserve"> per end 2012) </w:t>
            </w:r>
          </w:p>
          <w:p w:rsidR="000C2991" w:rsidRPr="007F7ED1" w:rsidRDefault="000C2991" w:rsidP="008A4774">
            <w:pPr>
              <w:rPr>
                <w:rFonts w:cs="Arial"/>
                <w:sz w:val="16"/>
                <w:szCs w:val="16"/>
              </w:rPr>
            </w:pPr>
            <w:r w:rsidRPr="007F7ED1">
              <w:rPr>
                <w:rFonts w:cs="Arial"/>
                <w:sz w:val="16"/>
                <w:szCs w:val="16"/>
              </w:rPr>
              <w:t xml:space="preserve">276 participants at Center standard events (2010/11); </w:t>
            </w:r>
          </w:p>
          <w:p w:rsidR="000C2991" w:rsidRDefault="000C2991" w:rsidP="008A4774">
            <w:pPr>
              <w:rPr>
                <w:rFonts w:cs="Arial"/>
                <w:i/>
                <w:color w:val="002060"/>
                <w:sz w:val="16"/>
                <w:szCs w:val="16"/>
              </w:rPr>
            </w:pPr>
            <w:r w:rsidRPr="007F7ED1">
              <w:rPr>
                <w:rFonts w:cs="Arial"/>
                <w:sz w:val="16"/>
                <w:szCs w:val="16"/>
              </w:rPr>
              <w:t>3,000 participants at Center external events (2010/11)</w:t>
            </w:r>
          </w:p>
        </w:tc>
        <w:tc>
          <w:tcPr>
            <w:tcW w:w="911" w:type="pct"/>
            <w:tcBorders>
              <w:top w:val="nil"/>
              <w:bottom w:val="nil"/>
            </w:tcBorders>
            <w:shd w:val="clear" w:color="auto" w:fill="auto"/>
            <w:tcMar>
              <w:top w:w="110" w:type="dxa"/>
            </w:tcMar>
          </w:tcPr>
          <w:p w:rsidR="000C2991" w:rsidRPr="00AD7E93" w:rsidRDefault="000C2991" w:rsidP="008A4774">
            <w:pPr>
              <w:autoSpaceDE w:val="0"/>
              <w:autoSpaceDN w:val="0"/>
              <w:adjustRightInd w:val="0"/>
              <w:rPr>
                <w:rFonts w:cs="Arial"/>
                <w:sz w:val="16"/>
                <w:szCs w:val="16"/>
              </w:rPr>
            </w:pPr>
          </w:p>
        </w:tc>
        <w:tc>
          <w:tcPr>
            <w:tcW w:w="1211" w:type="pct"/>
            <w:tcBorders>
              <w:top w:val="nil"/>
              <w:bottom w:val="nil"/>
            </w:tcBorders>
            <w:shd w:val="clear" w:color="auto" w:fill="auto"/>
            <w:tcMar>
              <w:top w:w="110" w:type="dxa"/>
            </w:tcMar>
          </w:tcPr>
          <w:p w:rsidR="000C2991" w:rsidRDefault="000C2991" w:rsidP="008A4774">
            <w:pPr>
              <w:rPr>
                <w:rFonts w:cs="Arial"/>
                <w:sz w:val="16"/>
                <w:szCs w:val="16"/>
              </w:rPr>
            </w:pPr>
          </w:p>
        </w:tc>
        <w:tc>
          <w:tcPr>
            <w:tcW w:w="527" w:type="pct"/>
            <w:tcBorders>
              <w:top w:val="nil"/>
              <w:bottom w:val="nil"/>
            </w:tcBorders>
            <w:shd w:val="clear" w:color="auto" w:fill="auto"/>
            <w:tcMar>
              <w:top w:w="110" w:type="dxa"/>
            </w:tcMar>
          </w:tcPr>
          <w:p w:rsidR="000C2991" w:rsidRPr="00EF26A9" w:rsidRDefault="000C2991" w:rsidP="008A4774">
            <w:pPr>
              <w:keepNext/>
              <w:keepLines/>
              <w:jc w:val="center"/>
              <w:rPr>
                <w:rFonts w:cs="Arial"/>
                <w:b/>
                <w:bCs/>
                <w:color w:val="00B050"/>
                <w:sz w:val="16"/>
                <w:szCs w:val="16"/>
              </w:rPr>
            </w:pPr>
          </w:p>
        </w:tc>
      </w:tr>
      <w:tr w:rsidR="000C2991" w:rsidRPr="001A1334" w:rsidTr="00AB7E80">
        <w:trPr>
          <w:cantSplit/>
          <w:trHeight w:val="1308"/>
        </w:trPr>
        <w:tc>
          <w:tcPr>
            <w:tcW w:w="1140" w:type="pct"/>
            <w:vMerge/>
            <w:shd w:val="clear" w:color="auto" w:fill="auto"/>
          </w:tcPr>
          <w:p w:rsidR="000C2991" w:rsidRPr="00AD7E93" w:rsidRDefault="000C2991" w:rsidP="008A4774">
            <w:pPr>
              <w:rPr>
                <w:rFonts w:cs="Arial"/>
                <w:color w:val="000000"/>
                <w:sz w:val="16"/>
                <w:szCs w:val="16"/>
              </w:rPr>
            </w:pPr>
          </w:p>
        </w:tc>
        <w:tc>
          <w:tcPr>
            <w:tcW w:w="1211" w:type="pct"/>
            <w:vMerge/>
            <w:shd w:val="clear" w:color="auto" w:fill="auto"/>
          </w:tcPr>
          <w:p w:rsidR="000C2991" w:rsidRDefault="000C2991" w:rsidP="008A4774">
            <w:pPr>
              <w:rPr>
                <w:rFonts w:cs="Arial"/>
                <w:i/>
                <w:color w:val="002060"/>
                <w:sz w:val="16"/>
                <w:szCs w:val="16"/>
              </w:rPr>
            </w:pPr>
          </w:p>
        </w:tc>
        <w:tc>
          <w:tcPr>
            <w:tcW w:w="911" w:type="pct"/>
            <w:tcBorders>
              <w:top w:val="nil"/>
              <w:bottom w:val="single" w:sz="4" w:space="0" w:color="auto"/>
            </w:tcBorders>
            <w:shd w:val="clear" w:color="auto" w:fill="auto"/>
            <w:tcMar>
              <w:top w:w="110" w:type="dxa"/>
            </w:tcMar>
          </w:tcPr>
          <w:p w:rsidR="000C2991" w:rsidRPr="00AD7E93" w:rsidRDefault="000C2991" w:rsidP="008A4774">
            <w:pPr>
              <w:autoSpaceDE w:val="0"/>
              <w:autoSpaceDN w:val="0"/>
              <w:adjustRightInd w:val="0"/>
              <w:rPr>
                <w:rFonts w:cs="Arial"/>
                <w:sz w:val="16"/>
                <w:szCs w:val="16"/>
              </w:rPr>
            </w:pPr>
          </w:p>
        </w:tc>
        <w:tc>
          <w:tcPr>
            <w:tcW w:w="1211" w:type="pct"/>
            <w:tcBorders>
              <w:top w:val="nil"/>
              <w:bottom w:val="single" w:sz="4" w:space="0" w:color="auto"/>
            </w:tcBorders>
            <w:shd w:val="clear" w:color="auto" w:fill="auto"/>
            <w:tcMar>
              <w:top w:w="110" w:type="dxa"/>
            </w:tcMar>
          </w:tcPr>
          <w:p w:rsidR="000C2991" w:rsidRDefault="000C2991" w:rsidP="008A4774">
            <w:pPr>
              <w:rPr>
                <w:rFonts w:cs="Arial"/>
                <w:sz w:val="16"/>
                <w:szCs w:val="16"/>
              </w:rPr>
            </w:pPr>
          </w:p>
        </w:tc>
        <w:tc>
          <w:tcPr>
            <w:tcW w:w="527" w:type="pct"/>
            <w:tcBorders>
              <w:top w:val="nil"/>
              <w:bottom w:val="single" w:sz="4" w:space="0" w:color="auto"/>
            </w:tcBorders>
            <w:shd w:val="clear" w:color="auto" w:fill="auto"/>
            <w:tcMar>
              <w:top w:w="110" w:type="dxa"/>
            </w:tcMar>
          </w:tcPr>
          <w:p w:rsidR="000C2991" w:rsidRPr="00EF26A9" w:rsidRDefault="000C2991" w:rsidP="008A4774">
            <w:pPr>
              <w:keepNext/>
              <w:keepLines/>
              <w:jc w:val="center"/>
              <w:rPr>
                <w:rFonts w:cs="Arial"/>
                <w:b/>
                <w:bCs/>
                <w:color w:val="00B050"/>
                <w:sz w:val="16"/>
                <w:szCs w:val="16"/>
              </w:rPr>
            </w:pPr>
          </w:p>
        </w:tc>
      </w:tr>
      <w:tr w:rsidR="000C2991" w:rsidRPr="001A1334" w:rsidTr="00AB7E80">
        <w:trPr>
          <w:cantSplit/>
        </w:trPr>
        <w:tc>
          <w:tcPr>
            <w:tcW w:w="1140" w:type="pct"/>
            <w:shd w:val="clear" w:color="auto" w:fill="auto"/>
          </w:tcPr>
          <w:p w:rsidR="000C2991" w:rsidRPr="001A1334" w:rsidRDefault="000C2991" w:rsidP="008A4774">
            <w:pPr>
              <w:rPr>
                <w:rFonts w:cs="Arial"/>
                <w:sz w:val="16"/>
                <w:szCs w:val="16"/>
              </w:rPr>
            </w:pPr>
            <w:r w:rsidRPr="00EF26A9">
              <w:rPr>
                <w:rFonts w:cs="Arial"/>
                <w:color w:val="000000"/>
                <w:sz w:val="16"/>
                <w:szCs w:val="16"/>
              </w:rPr>
              <w:lastRenderedPageBreak/>
              <w:t>Alternative dispute resolution policies to the development and implementation of which policies the Center has contributed</w:t>
            </w:r>
          </w:p>
        </w:tc>
        <w:tc>
          <w:tcPr>
            <w:tcW w:w="1211" w:type="pct"/>
            <w:shd w:val="clear" w:color="auto" w:fill="auto"/>
          </w:tcPr>
          <w:p w:rsidR="000C2991" w:rsidRPr="001A1334" w:rsidRDefault="000C2991" w:rsidP="008A4774">
            <w:pPr>
              <w:rPr>
                <w:rFonts w:cs="Arial"/>
                <w:color w:val="002060"/>
                <w:sz w:val="16"/>
                <w:szCs w:val="16"/>
              </w:rPr>
            </w:pPr>
            <w:r>
              <w:rPr>
                <w:rFonts w:cs="Arial"/>
                <w:i/>
                <w:color w:val="002060"/>
                <w:sz w:val="16"/>
                <w:szCs w:val="16"/>
              </w:rPr>
              <w:t>Updated Baseline end 2013</w:t>
            </w:r>
            <w:r w:rsidRPr="001A1334">
              <w:rPr>
                <w:rFonts w:cs="Arial"/>
                <w:i/>
                <w:color w:val="002060"/>
                <w:sz w:val="16"/>
                <w:szCs w:val="16"/>
              </w:rPr>
              <w:t>:</w:t>
            </w:r>
            <w:r>
              <w:rPr>
                <w:rFonts w:cs="Arial"/>
                <w:color w:val="002060"/>
                <w:sz w:val="16"/>
                <w:szCs w:val="16"/>
              </w:rPr>
              <w:t xml:space="preserve">  </w:t>
            </w:r>
            <w:r w:rsidRPr="00EF26A9">
              <w:rPr>
                <w:rFonts w:cs="Arial"/>
                <w:color w:val="002060"/>
                <w:sz w:val="16"/>
                <w:szCs w:val="16"/>
              </w:rPr>
              <w:t>10 schemes adopted (AGICOA, EGEDA, ETSI, Film and Media, ICOM, INPI-BR, IPAG, IPOS(M), IPOS(ED), ITPGRFA</w:t>
            </w:r>
            <w:r>
              <w:rPr>
                <w:rFonts w:cs="Arial"/>
                <w:color w:val="002060"/>
                <w:sz w:val="16"/>
                <w:szCs w:val="16"/>
              </w:rPr>
              <w:t>, KCC, KOCCA</w:t>
            </w:r>
            <w:r w:rsidRPr="00EF26A9">
              <w:rPr>
                <w:rFonts w:cs="Arial"/>
                <w:color w:val="002060"/>
                <w:sz w:val="16"/>
                <w:szCs w:val="16"/>
              </w:rPr>
              <w:t>) (cumulative per end 2013)</w:t>
            </w:r>
            <w:r>
              <w:rPr>
                <w:rStyle w:val="FootnoteReference"/>
                <w:rFonts w:cs="Arial"/>
                <w:color w:val="002060"/>
                <w:sz w:val="16"/>
                <w:szCs w:val="16"/>
              </w:rPr>
              <w:footnoteReference w:id="50"/>
            </w:r>
          </w:p>
          <w:p w:rsidR="000C2991" w:rsidRPr="001A1334" w:rsidRDefault="000C2991" w:rsidP="008A4774">
            <w:pPr>
              <w:rPr>
                <w:rFonts w:cs="Arial"/>
                <w:sz w:val="8"/>
                <w:szCs w:val="8"/>
              </w:rPr>
            </w:pPr>
          </w:p>
          <w:p w:rsidR="000C2991" w:rsidRPr="001A1334" w:rsidRDefault="000C2991" w:rsidP="008A4774">
            <w:pPr>
              <w:rPr>
                <w:rFonts w:cs="Arial"/>
                <w:sz w:val="16"/>
                <w:szCs w:val="16"/>
              </w:rPr>
            </w:pPr>
            <w:r>
              <w:rPr>
                <w:rFonts w:cs="Arial"/>
                <w:sz w:val="16"/>
                <w:szCs w:val="16"/>
              </w:rPr>
              <w:t>Original Baseline P&amp;B 2014/15</w:t>
            </w:r>
            <w:r w:rsidRPr="001A1334">
              <w:rPr>
                <w:rFonts w:cs="Arial"/>
                <w:sz w:val="16"/>
                <w:szCs w:val="16"/>
              </w:rPr>
              <w:t>:</w:t>
            </w:r>
            <w:r>
              <w:rPr>
                <w:rFonts w:cs="Arial"/>
                <w:sz w:val="16"/>
                <w:szCs w:val="16"/>
              </w:rPr>
              <w:t xml:space="preserve"> </w:t>
            </w:r>
            <w:r w:rsidRPr="00EF26A9">
              <w:rPr>
                <w:rFonts w:cs="Arial"/>
                <w:sz w:val="16"/>
                <w:szCs w:val="16"/>
              </w:rPr>
              <w:t>6 schemes adopted (AGICOA, EGEDA, Film and Media, ICOM, IPOS, ITPGRFA) (cumulative per end 2012)</w:t>
            </w:r>
          </w:p>
        </w:tc>
        <w:tc>
          <w:tcPr>
            <w:tcW w:w="911" w:type="pct"/>
            <w:tcBorders>
              <w:top w:val="single" w:sz="4" w:space="0" w:color="auto"/>
            </w:tcBorders>
            <w:shd w:val="clear" w:color="auto" w:fill="auto"/>
            <w:tcMar>
              <w:top w:w="110" w:type="dxa"/>
            </w:tcMar>
          </w:tcPr>
          <w:p w:rsidR="000C2991" w:rsidRPr="001A1334" w:rsidRDefault="000C2991" w:rsidP="008A4774">
            <w:pPr>
              <w:rPr>
                <w:rFonts w:cs="Arial"/>
                <w:i/>
                <w:sz w:val="16"/>
                <w:szCs w:val="16"/>
              </w:rPr>
            </w:pPr>
            <w:r>
              <w:rPr>
                <w:rFonts w:cs="Arial"/>
                <w:sz w:val="16"/>
                <w:szCs w:val="16"/>
              </w:rPr>
              <w:t>1 to 3</w:t>
            </w:r>
            <w:r w:rsidRPr="00EF26A9">
              <w:rPr>
                <w:rFonts w:cs="Arial"/>
                <w:sz w:val="16"/>
                <w:szCs w:val="16"/>
              </w:rPr>
              <w:t xml:space="preserve"> additional schemes</w:t>
            </w:r>
          </w:p>
        </w:tc>
        <w:tc>
          <w:tcPr>
            <w:tcW w:w="1211" w:type="pct"/>
            <w:tcBorders>
              <w:top w:val="single" w:sz="4" w:space="0" w:color="auto"/>
            </w:tcBorders>
            <w:shd w:val="clear" w:color="auto" w:fill="auto"/>
            <w:tcMar>
              <w:top w:w="110" w:type="dxa"/>
            </w:tcMar>
          </w:tcPr>
          <w:p w:rsidR="000C2991" w:rsidRDefault="000C2991" w:rsidP="008A4774">
            <w:pPr>
              <w:rPr>
                <w:rFonts w:cs="Arial"/>
                <w:sz w:val="16"/>
                <w:szCs w:val="16"/>
              </w:rPr>
            </w:pPr>
            <w:r>
              <w:rPr>
                <w:rFonts w:cs="Arial"/>
                <w:sz w:val="16"/>
                <w:szCs w:val="16"/>
              </w:rPr>
              <w:t>8 additional schemes in 2014/15 (ABF, AEF, DGIPR, DNDA, IEEE, IMPI, IPOPHL, SFA)</w:t>
            </w:r>
          </w:p>
          <w:p w:rsidR="000C2991" w:rsidRPr="001A1334" w:rsidRDefault="000C2991" w:rsidP="008A4774">
            <w:pPr>
              <w:rPr>
                <w:rFonts w:cs="Arial"/>
                <w:sz w:val="16"/>
                <w:szCs w:val="16"/>
              </w:rPr>
            </w:pPr>
            <w:r>
              <w:rPr>
                <w:rFonts w:cs="Arial"/>
                <w:sz w:val="16"/>
                <w:szCs w:val="16"/>
              </w:rPr>
              <w:t>(20 cumulative per end 2015)</w:t>
            </w:r>
          </w:p>
        </w:tc>
        <w:tc>
          <w:tcPr>
            <w:tcW w:w="527" w:type="pct"/>
            <w:tcBorders>
              <w:top w:val="single" w:sz="4" w:space="0" w:color="auto"/>
            </w:tcBorders>
            <w:shd w:val="clear" w:color="auto" w:fill="auto"/>
            <w:tcMar>
              <w:top w:w="110" w:type="dxa"/>
            </w:tcMar>
          </w:tcPr>
          <w:p w:rsidR="000C2991" w:rsidRPr="001A1334" w:rsidRDefault="000C2991" w:rsidP="008A4774">
            <w:pPr>
              <w:keepNext/>
              <w:keepLines/>
              <w:jc w:val="center"/>
              <w:rPr>
                <w:rFonts w:cs="Arial"/>
                <w:bCs/>
                <w:color w:val="808080"/>
                <w:sz w:val="16"/>
                <w:szCs w:val="16"/>
              </w:rPr>
            </w:pPr>
            <w:r w:rsidRPr="0038581C">
              <w:rPr>
                <w:rFonts w:cs="Arial"/>
                <w:b/>
                <w:bCs/>
                <w:color w:val="00B050"/>
                <w:sz w:val="16"/>
                <w:szCs w:val="16"/>
              </w:rPr>
              <w:t>Fully Achieved</w:t>
            </w:r>
          </w:p>
        </w:tc>
      </w:tr>
      <w:tr w:rsidR="000C2991" w:rsidRPr="001A1334" w:rsidTr="008A4774">
        <w:trPr>
          <w:cantSplit/>
          <w:trHeight w:val="399"/>
        </w:trPr>
        <w:tc>
          <w:tcPr>
            <w:tcW w:w="5000" w:type="pct"/>
            <w:gridSpan w:val="5"/>
            <w:tcBorders>
              <w:top w:val="single" w:sz="4" w:space="0" w:color="auto"/>
              <w:bottom w:val="single" w:sz="4" w:space="0" w:color="auto"/>
            </w:tcBorders>
            <w:shd w:val="clear" w:color="auto" w:fill="C6D9F1" w:themeFill="text2" w:themeFillTint="33"/>
            <w:vAlign w:val="center"/>
          </w:tcPr>
          <w:p w:rsidR="000C2991" w:rsidRPr="001A1334" w:rsidRDefault="000C2991" w:rsidP="008A4774">
            <w:pPr>
              <w:keepNext/>
              <w:keepLines/>
              <w:tabs>
                <w:tab w:val="left" w:pos="1452"/>
              </w:tabs>
              <w:ind w:left="1452" w:hanging="1452"/>
              <w:rPr>
                <w:rFonts w:cs="Arial"/>
                <w:b/>
                <w:bCs/>
                <w:sz w:val="16"/>
                <w:szCs w:val="16"/>
              </w:rPr>
            </w:pPr>
            <w:r w:rsidRPr="001A1334">
              <w:rPr>
                <w:rFonts w:cs="Arial"/>
                <w:b/>
                <w:bCs/>
                <w:sz w:val="16"/>
                <w:szCs w:val="16"/>
              </w:rPr>
              <w:t>Expected Result:</w:t>
            </w:r>
            <w:r w:rsidRPr="001A1334">
              <w:rPr>
                <w:rFonts w:cs="Arial"/>
                <w:b/>
                <w:bCs/>
                <w:sz w:val="16"/>
                <w:szCs w:val="16"/>
              </w:rPr>
              <w:tab/>
            </w:r>
            <w:r w:rsidRPr="00EF26A9">
              <w:rPr>
                <w:rFonts w:cs="Arial"/>
                <w:color w:val="000000"/>
                <w:sz w:val="16"/>
                <w:szCs w:val="16"/>
              </w:rPr>
              <w:t>II.9 Effective intellectual property protection in the gTLDs and the ccTLDs</w:t>
            </w:r>
          </w:p>
        </w:tc>
      </w:tr>
      <w:tr w:rsidR="000C2991" w:rsidRPr="001A1334" w:rsidTr="008A4774">
        <w:trPr>
          <w:cantSplit/>
        </w:trPr>
        <w:tc>
          <w:tcPr>
            <w:tcW w:w="1140" w:type="pct"/>
            <w:tcBorders>
              <w:top w:val="single" w:sz="4" w:space="0" w:color="auto"/>
            </w:tcBorders>
            <w:shd w:val="clear" w:color="auto" w:fill="auto"/>
            <w:vAlign w:val="center"/>
          </w:tcPr>
          <w:p w:rsidR="000C2991" w:rsidRPr="001A1334" w:rsidRDefault="000C2991" w:rsidP="008A4774">
            <w:pPr>
              <w:keepNext/>
              <w:keepLines/>
              <w:rPr>
                <w:rFonts w:cs="Arial"/>
                <w:sz w:val="16"/>
                <w:szCs w:val="16"/>
              </w:rPr>
            </w:pPr>
            <w:r w:rsidRPr="001A1334">
              <w:rPr>
                <w:rFonts w:cs="Arial"/>
                <w:b/>
                <w:bCs/>
                <w:sz w:val="16"/>
                <w:szCs w:val="16"/>
              </w:rPr>
              <w:t>Performance Indicators</w:t>
            </w:r>
          </w:p>
        </w:tc>
        <w:tc>
          <w:tcPr>
            <w:tcW w:w="1211" w:type="pct"/>
            <w:tcBorders>
              <w:top w:val="single" w:sz="4" w:space="0" w:color="auto"/>
            </w:tcBorders>
            <w:shd w:val="clear" w:color="auto" w:fill="auto"/>
            <w:vAlign w:val="center"/>
          </w:tcPr>
          <w:p w:rsidR="000C2991" w:rsidRPr="001A1334" w:rsidRDefault="000C2991" w:rsidP="008A4774">
            <w:pPr>
              <w:keepNext/>
              <w:keepLines/>
              <w:rPr>
                <w:rFonts w:cs="Arial"/>
                <w:b/>
                <w:bCs/>
                <w:sz w:val="16"/>
                <w:szCs w:val="16"/>
              </w:rPr>
            </w:pPr>
            <w:r w:rsidRPr="001A1334">
              <w:rPr>
                <w:rFonts w:cs="Arial"/>
                <w:b/>
                <w:bCs/>
                <w:sz w:val="16"/>
                <w:szCs w:val="16"/>
              </w:rPr>
              <w:t>Baselines</w:t>
            </w:r>
          </w:p>
        </w:tc>
        <w:tc>
          <w:tcPr>
            <w:tcW w:w="911" w:type="pct"/>
            <w:tcBorders>
              <w:top w:val="single" w:sz="4" w:space="0" w:color="auto"/>
            </w:tcBorders>
            <w:shd w:val="clear" w:color="auto" w:fill="auto"/>
            <w:tcMar>
              <w:top w:w="110" w:type="dxa"/>
            </w:tcMar>
            <w:vAlign w:val="center"/>
          </w:tcPr>
          <w:p w:rsidR="000C2991" w:rsidRPr="001A1334" w:rsidRDefault="000C2991" w:rsidP="008A4774">
            <w:pPr>
              <w:keepNext/>
              <w:keepLines/>
              <w:rPr>
                <w:rFonts w:cs="Arial"/>
                <w:b/>
                <w:sz w:val="16"/>
                <w:szCs w:val="16"/>
              </w:rPr>
            </w:pPr>
            <w:r w:rsidRPr="001A1334">
              <w:rPr>
                <w:rFonts w:cs="Arial"/>
                <w:b/>
                <w:sz w:val="16"/>
                <w:szCs w:val="16"/>
              </w:rPr>
              <w:t>Targets</w:t>
            </w:r>
          </w:p>
        </w:tc>
        <w:tc>
          <w:tcPr>
            <w:tcW w:w="1211" w:type="pct"/>
            <w:tcBorders>
              <w:top w:val="single" w:sz="4" w:space="0" w:color="auto"/>
            </w:tcBorders>
            <w:shd w:val="clear" w:color="auto" w:fill="auto"/>
            <w:tcMar>
              <w:top w:w="110" w:type="dxa"/>
            </w:tcMar>
            <w:vAlign w:val="center"/>
          </w:tcPr>
          <w:p w:rsidR="000C2991" w:rsidRPr="001A1334" w:rsidRDefault="000C2991" w:rsidP="008A4774">
            <w:pPr>
              <w:keepNext/>
              <w:keepLines/>
              <w:rPr>
                <w:rFonts w:cs="Arial"/>
                <w:sz w:val="16"/>
                <w:szCs w:val="16"/>
              </w:rPr>
            </w:pPr>
            <w:r w:rsidRPr="001A1334">
              <w:rPr>
                <w:rFonts w:cs="Arial"/>
                <w:b/>
                <w:bCs/>
                <w:sz w:val="16"/>
                <w:szCs w:val="16"/>
              </w:rPr>
              <w:t>Performance Data</w:t>
            </w:r>
          </w:p>
        </w:tc>
        <w:tc>
          <w:tcPr>
            <w:tcW w:w="527" w:type="pct"/>
            <w:tcBorders>
              <w:top w:val="single" w:sz="4" w:space="0" w:color="auto"/>
            </w:tcBorders>
            <w:shd w:val="clear" w:color="auto" w:fill="auto"/>
            <w:tcMar>
              <w:top w:w="110" w:type="dxa"/>
            </w:tcMar>
            <w:vAlign w:val="center"/>
          </w:tcPr>
          <w:p w:rsidR="000C2991" w:rsidRPr="001A1334" w:rsidRDefault="000C2991" w:rsidP="008A4774">
            <w:pPr>
              <w:keepNext/>
              <w:keepLines/>
              <w:jc w:val="center"/>
              <w:rPr>
                <w:rFonts w:cs="Arial"/>
                <w:b/>
                <w:bCs/>
                <w:sz w:val="16"/>
                <w:szCs w:val="16"/>
              </w:rPr>
            </w:pPr>
            <w:r w:rsidRPr="001A1334">
              <w:rPr>
                <w:rFonts w:cs="Arial"/>
                <w:b/>
                <w:bCs/>
                <w:sz w:val="16"/>
                <w:szCs w:val="16"/>
              </w:rPr>
              <w:t>TLS</w:t>
            </w:r>
          </w:p>
        </w:tc>
      </w:tr>
      <w:tr w:rsidR="000C2991" w:rsidRPr="001A1334" w:rsidTr="008A4774">
        <w:trPr>
          <w:cantSplit/>
        </w:trPr>
        <w:tc>
          <w:tcPr>
            <w:tcW w:w="1140" w:type="pct"/>
            <w:shd w:val="clear" w:color="auto" w:fill="auto"/>
          </w:tcPr>
          <w:p w:rsidR="000C2991" w:rsidRPr="001A1334" w:rsidRDefault="000C2991" w:rsidP="008A4774">
            <w:pPr>
              <w:rPr>
                <w:rFonts w:cs="Arial"/>
                <w:sz w:val="16"/>
                <w:szCs w:val="16"/>
                <w:lang w:bidi="th-TH"/>
              </w:rPr>
            </w:pPr>
            <w:r w:rsidRPr="00EF26A9">
              <w:rPr>
                <w:rFonts w:cs="Arial"/>
                <w:color w:val="000000"/>
                <w:sz w:val="16"/>
                <w:szCs w:val="16"/>
              </w:rPr>
              <w:t>No. of gTLD UDRP cases administered</w:t>
            </w:r>
          </w:p>
        </w:tc>
        <w:tc>
          <w:tcPr>
            <w:tcW w:w="1211" w:type="pct"/>
            <w:shd w:val="clear" w:color="auto" w:fill="auto"/>
          </w:tcPr>
          <w:p w:rsidR="000C2991" w:rsidRPr="001A1334" w:rsidRDefault="000C2991" w:rsidP="008A4774">
            <w:pPr>
              <w:rPr>
                <w:rFonts w:cs="Arial"/>
                <w:i/>
                <w:color w:val="002060"/>
                <w:sz w:val="16"/>
                <w:szCs w:val="16"/>
              </w:rPr>
            </w:pPr>
            <w:r>
              <w:rPr>
                <w:rFonts w:cs="Arial"/>
                <w:i/>
                <w:color w:val="002060"/>
                <w:sz w:val="16"/>
                <w:szCs w:val="16"/>
              </w:rPr>
              <w:t>Updated Baseline end 2013</w:t>
            </w:r>
            <w:r w:rsidRPr="001A1334">
              <w:rPr>
                <w:rFonts w:cs="Arial"/>
                <w:i/>
                <w:color w:val="002060"/>
                <w:sz w:val="16"/>
                <w:szCs w:val="16"/>
              </w:rPr>
              <w:t>:</w:t>
            </w:r>
            <w:r>
              <w:rPr>
                <w:rFonts w:cs="Arial"/>
                <w:color w:val="002060"/>
                <w:sz w:val="16"/>
                <w:szCs w:val="16"/>
              </w:rPr>
              <w:t xml:space="preserve">  </w:t>
            </w:r>
            <w:r w:rsidRPr="00EF26A9">
              <w:rPr>
                <w:rFonts w:cs="Arial"/>
                <w:color w:val="002060"/>
                <w:sz w:val="16"/>
                <w:szCs w:val="16"/>
              </w:rPr>
              <w:t>24,901 gTLD cases administered by the Center(cumulative per end 201</w:t>
            </w:r>
            <w:r>
              <w:rPr>
                <w:rFonts w:cs="Arial"/>
                <w:color w:val="002060"/>
                <w:sz w:val="16"/>
                <w:szCs w:val="16"/>
              </w:rPr>
              <w:t>3</w:t>
            </w:r>
            <w:r w:rsidRPr="00EF26A9">
              <w:rPr>
                <w:rFonts w:cs="Arial"/>
                <w:color w:val="002060"/>
                <w:sz w:val="16"/>
                <w:szCs w:val="16"/>
              </w:rPr>
              <w:t>)</w:t>
            </w:r>
            <w:r>
              <w:rPr>
                <w:rFonts w:cs="Arial"/>
                <w:color w:val="002060"/>
                <w:sz w:val="16"/>
                <w:szCs w:val="16"/>
              </w:rPr>
              <w:t xml:space="preserve"> </w:t>
            </w:r>
          </w:p>
          <w:p w:rsidR="000C2991" w:rsidRPr="001A1334" w:rsidRDefault="000C2991" w:rsidP="008A4774">
            <w:pPr>
              <w:rPr>
                <w:rFonts w:cs="Arial"/>
                <w:i/>
                <w:sz w:val="8"/>
                <w:szCs w:val="8"/>
              </w:rPr>
            </w:pPr>
          </w:p>
          <w:p w:rsidR="000C2991" w:rsidRPr="001A1334" w:rsidRDefault="000C2991" w:rsidP="008A4774">
            <w:pPr>
              <w:rPr>
                <w:rFonts w:cs="Arial"/>
                <w:sz w:val="16"/>
                <w:szCs w:val="16"/>
              </w:rPr>
            </w:pPr>
            <w:r>
              <w:rPr>
                <w:rFonts w:cs="Arial"/>
                <w:i/>
                <w:sz w:val="16"/>
                <w:szCs w:val="16"/>
              </w:rPr>
              <w:t>Original Baseline P&amp;B 2014/15</w:t>
            </w:r>
            <w:r w:rsidRPr="001A1334">
              <w:rPr>
                <w:rFonts w:cs="Arial"/>
                <w:i/>
                <w:sz w:val="16"/>
                <w:szCs w:val="16"/>
              </w:rPr>
              <w:t>:</w:t>
            </w:r>
            <w:r>
              <w:rPr>
                <w:rFonts w:cs="Arial"/>
                <w:i/>
                <w:sz w:val="16"/>
                <w:szCs w:val="16"/>
              </w:rPr>
              <w:t xml:space="preserve"> </w:t>
            </w:r>
            <w:r w:rsidRPr="00EF26A9">
              <w:rPr>
                <w:rFonts w:cs="Arial"/>
                <w:sz w:val="16"/>
                <w:szCs w:val="16"/>
              </w:rPr>
              <w:t>22,644 gTLD cases administered by the Center(cumulative per end 2012)</w:t>
            </w:r>
          </w:p>
        </w:tc>
        <w:tc>
          <w:tcPr>
            <w:tcW w:w="911" w:type="pct"/>
            <w:shd w:val="clear" w:color="auto" w:fill="auto"/>
            <w:tcMar>
              <w:top w:w="110" w:type="dxa"/>
            </w:tcMar>
          </w:tcPr>
          <w:p w:rsidR="000C2991" w:rsidRPr="00483CBD" w:rsidRDefault="000C2991" w:rsidP="008A4774">
            <w:pPr>
              <w:autoSpaceDE w:val="0"/>
              <w:autoSpaceDN w:val="0"/>
              <w:adjustRightInd w:val="0"/>
              <w:rPr>
                <w:rFonts w:cs="Arial"/>
                <w:sz w:val="16"/>
                <w:szCs w:val="16"/>
              </w:rPr>
            </w:pPr>
            <w:r w:rsidRPr="00EF26A9">
              <w:rPr>
                <w:rFonts w:cs="Arial"/>
                <w:sz w:val="16"/>
                <w:szCs w:val="16"/>
              </w:rPr>
              <w:t>3,000 additional cases</w:t>
            </w:r>
          </w:p>
        </w:tc>
        <w:tc>
          <w:tcPr>
            <w:tcW w:w="1211" w:type="pct"/>
            <w:shd w:val="clear" w:color="auto" w:fill="auto"/>
            <w:tcMar>
              <w:top w:w="110" w:type="dxa"/>
            </w:tcMar>
          </w:tcPr>
          <w:p w:rsidR="000C2991" w:rsidRDefault="000C2991" w:rsidP="008A4774">
            <w:pPr>
              <w:rPr>
                <w:rFonts w:cs="Arial"/>
                <w:sz w:val="16"/>
                <w:szCs w:val="16"/>
                <w:lang w:bidi="th-TH"/>
              </w:rPr>
            </w:pPr>
            <w:r>
              <w:rPr>
                <w:rFonts w:cs="Arial"/>
                <w:sz w:val="16"/>
                <w:szCs w:val="16"/>
                <w:lang w:bidi="th-TH"/>
              </w:rPr>
              <w:t>4,666 additional gTLD cases in 2014/15</w:t>
            </w:r>
          </w:p>
          <w:p w:rsidR="000C2991" w:rsidRPr="006A63C4" w:rsidRDefault="000C2991" w:rsidP="008A4774">
            <w:pPr>
              <w:rPr>
                <w:rFonts w:cs="Arial"/>
                <w:sz w:val="16"/>
                <w:szCs w:val="16"/>
                <w:lang w:bidi="th-TH"/>
              </w:rPr>
            </w:pPr>
            <w:r w:rsidDel="00CA7B0C">
              <w:rPr>
                <w:rFonts w:cs="Arial"/>
                <w:sz w:val="16"/>
                <w:szCs w:val="16"/>
                <w:lang w:bidi="th-TH"/>
              </w:rPr>
              <w:t xml:space="preserve"> </w:t>
            </w:r>
            <w:r>
              <w:rPr>
                <w:rFonts w:cs="Arial"/>
                <w:sz w:val="16"/>
                <w:szCs w:val="16"/>
                <w:lang w:bidi="th-TH"/>
              </w:rPr>
              <w:t>(29,567 gTLD cases cumulative)</w:t>
            </w:r>
          </w:p>
          <w:p w:rsidR="000C2991" w:rsidRDefault="000C2991" w:rsidP="008A4774">
            <w:pPr>
              <w:rPr>
                <w:rFonts w:cs="Arial"/>
                <w:sz w:val="16"/>
                <w:szCs w:val="16"/>
                <w:lang w:bidi="th-TH"/>
              </w:rPr>
            </w:pPr>
          </w:p>
          <w:p w:rsidR="000C2991" w:rsidRPr="00483CBD" w:rsidRDefault="000C2991" w:rsidP="008A4774">
            <w:pPr>
              <w:rPr>
                <w:rFonts w:cs="Arial"/>
                <w:sz w:val="16"/>
                <w:szCs w:val="16"/>
                <w:lang w:bidi="th-TH"/>
              </w:rPr>
            </w:pPr>
          </w:p>
        </w:tc>
        <w:tc>
          <w:tcPr>
            <w:tcW w:w="527" w:type="pct"/>
            <w:shd w:val="clear" w:color="auto" w:fill="auto"/>
            <w:tcMar>
              <w:top w:w="110" w:type="dxa"/>
            </w:tcMar>
          </w:tcPr>
          <w:p w:rsidR="000C2991" w:rsidRPr="001A1334" w:rsidRDefault="000C2991" w:rsidP="008A4774">
            <w:pPr>
              <w:keepNext/>
              <w:keepLines/>
              <w:jc w:val="center"/>
              <w:rPr>
                <w:rFonts w:cs="Arial"/>
                <w:bCs/>
                <w:color w:val="008000"/>
                <w:sz w:val="16"/>
                <w:szCs w:val="16"/>
              </w:rPr>
            </w:pPr>
            <w:r w:rsidRPr="0038581C">
              <w:rPr>
                <w:rFonts w:cs="Arial"/>
                <w:b/>
                <w:bCs/>
                <w:color w:val="00B050"/>
                <w:sz w:val="16"/>
                <w:szCs w:val="16"/>
              </w:rPr>
              <w:t>Fully Achieved</w:t>
            </w:r>
          </w:p>
        </w:tc>
      </w:tr>
      <w:tr w:rsidR="000C2991" w:rsidRPr="001A1334" w:rsidTr="008A4774">
        <w:trPr>
          <w:cantSplit/>
        </w:trPr>
        <w:tc>
          <w:tcPr>
            <w:tcW w:w="1140" w:type="pct"/>
            <w:shd w:val="clear" w:color="auto" w:fill="auto"/>
          </w:tcPr>
          <w:p w:rsidR="000C2991" w:rsidRPr="001A1334" w:rsidRDefault="000C2991" w:rsidP="008A4774">
            <w:pPr>
              <w:keepNext/>
              <w:keepLines/>
              <w:rPr>
                <w:rFonts w:cs="Arial"/>
                <w:sz w:val="16"/>
                <w:szCs w:val="16"/>
                <w:lang w:bidi="th-TH"/>
              </w:rPr>
            </w:pPr>
            <w:r w:rsidRPr="00EF26A9">
              <w:rPr>
                <w:rFonts w:cs="Arial"/>
                <w:color w:val="000000"/>
                <w:sz w:val="16"/>
                <w:szCs w:val="16"/>
              </w:rPr>
              <w:t>No. of ccTLD UDRP based cases administered</w:t>
            </w:r>
          </w:p>
        </w:tc>
        <w:tc>
          <w:tcPr>
            <w:tcW w:w="1211" w:type="pct"/>
            <w:shd w:val="clear" w:color="auto" w:fill="auto"/>
          </w:tcPr>
          <w:p w:rsidR="000C2991" w:rsidRPr="001A1334" w:rsidRDefault="000C2991" w:rsidP="008A4774">
            <w:pPr>
              <w:keepNext/>
              <w:keepLines/>
              <w:rPr>
                <w:rFonts w:cs="Arial"/>
                <w:i/>
                <w:color w:val="002060"/>
                <w:sz w:val="16"/>
                <w:szCs w:val="16"/>
              </w:rPr>
            </w:pPr>
            <w:r>
              <w:rPr>
                <w:rFonts w:cs="Arial"/>
                <w:i/>
                <w:color w:val="002060"/>
                <w:sz w:val="16"/>
                <w:szCs w:val="16"/>
              </w:rPr>
              <w:t>Updated Baseline end 2013</w:t>
            </w:r>
            <w:r w:rsidRPr="001A1334">
              <w:rPr>
                <w:rFonts w:cs="Arial"/>
                <w:i/>
                <w:color w:val="002060"/>
                <w:sz w:val="16"/>
                <w:szCs w:val="16"/>
              </w:rPr>
              <w:t>:</w:t>
            </w:r>
            <w:r>
              <w:rPr>
                <w:rFonts w:cs="Arial"/>
                <w:color w:val="002060"/>
                <w:sz w:val="16"/>
                <w:szCs w:val="16"/>
              </w:rPr>
              <w:t xml:space="preserve">  </w:t>
            </w:r>
            <w:r w:rsidRPr="00EF26A9">
              <w:rPr>
                <w:rFonts w:cs="Arial"/>
                <w:color w:val="002060"/>
                <w:sz w:val="16"/>
                <w:szCs w:val="16"/>
              </w:rPr>
              <w:t>2,7</w:t>
            </w:r>
            <w:r>
              <w:rPr>
                <w:rFonts w:cs="Arial"/>
                <w:color w:val="002060"/>
                <w:sz w:val="16"/>
                <w:szCs w:val="16"/>
              </w:rPr>
              <w:t>9</w:t>
            </w:r>
            <w:r w:rsidRPr="00EF26A9">
              <w:rPr>
                <w:rFonts w:cs="Arial"/>
                <w:color w:val="002060"/>
                <w:sz w:val="16"/>
                <w:szCs w:val="16"/>
              </w:rPr>
              <w:t>8 ccTLD-only cases administered by the Center (cumulative per end 201</w:t>
            </w:r>
            <w:r>
              <w:rPr>
                <w:rFonts w:cs="Arial"/>
                <w:color w:val="002060"/>
                <w:sz w:val="16"/>
                <w:szCs w:val="16"/>
              </w:rPr>
              <w:t>3</w:t>
            </w:r>
            <w:r w:rsidRPr="00EF26A9">
              <w:rPr>
                <w:rFonts w:cs="Arial"/>
                <w:color w:val="002060"/>
                <w:sz w:val="16"/>
                <w:szCs w:val="16"/>
              </w:rPr>
              <w:t>)</w:t>
            </w:r>
            <w:r>
              <w:rPr>
                <w:rStyle w:val="FootnoteReference"/>
                <w:rFonts w:cs="Arial"/>
                <w:color w:val="002060"/>
                <w:sz w:val="16"/>
                <w:szCs w:val="16"/>
              </w:rPr>
              <w:footnoteReference w:id="51"/>
            </w:r>
          </w:p>
          <w:p w:rsidR="000C2991" w:rsidRPr="001A1334" w:rsidRDefault="000C2991" w:rsidP="008A4774">
            <w:pPr>
              <w:keepNext/>
              <w:keepLines/>
              <w:rPr>
                <w:rFonts w:cs="Arial"/>
                <w:i/>
                <w:sz w:val="8"/>
                <w:szCs w:val="8"/>
              </w:rPr>
            </w:pPr>
          </w:p>
          <w:p w:rsidR="000C2991" w:rsidRPr="001A1334" w:rsidRDefault="000C2991">
            <w:pPr>
              <w:keepNext/>
              <w:keepLines/>
              <w:rPr>
                <w:rFonts w:cs="Arial"/>
                <w:sz w:val="16"/>
                <w:szCs w:val="16"/>
              </w:rPr>
            </w:pPr>
            <w:r>
              <w:rPr>
                <w:rFonts w:cs="Arial"/>
                <w:i/>
                <w:sz w:val="16"/>
                <w:szCs w:val="16"/>
              </w:rPr>
              <w:t>Original Baseline P&amp;B 2014/15</w:t>
            </w:r>
            <w:r w:rsidRPr="001A1334">
              <w:rPr>
                <w:rFonts w:cs="Arial"/>
                <w:i/>
                <w:sz w:val="16"/>
                <w:szCs w:val="16"/>
              </w:rPr>
              <w:t>:</w:t>
            </w:r>
            <w:r>
              <w:rPr>
                <w:rFonts w:cs="Arial"/>
                <w:i/>
                <w:sz w:val="16"/>
                <w:szCs w:val="16"/>
              </w:rPr>
              <w:t xml:space="preserve"> </w:t>
            </w:r>
            <w:r w:rsidRPr="00EF26A9">
              <w:rPr>
                <w:rFonts w:cs="Arial"/>
                <w:sz w:val="16"/>
                <w:szCs w:val="16"/>
              </w:rPr>
              <w:t>2,470 ccTLD-only cases administered by the Center (cumulative per end 2012</w:t>
            </w:r>
          </w:p>
        </w:tc>
        <w:tc>
          <w:tcPr>
            <w:tcW w:w="911" w:type="pct"/>
            <w:shd w:val="clear" w:color="auto" w:fill="auto"/>
            <w:tcMar>
              <w:top w:w="110" w:type="dxa"/>
            </w:tcMar>
          </w:tcPr>
          <w:p w:rsidR="000C2991" w:rsidRPr="001A1334" w:rsidRDefault="000C2991" w:rsidP="008A4774">
            <w:pPr>
              <w:keepNext/>
              <w:keepLines/>
              <w:rPr>
                <w:rFonts w:cs="Arial"/>
                <w:sz w:val="16"/>
                <w:szCs w:val="16"/>
              </w:rPr>
            </w:pPr>
            <w:r w:rsidRPr="00EF26A9">
              <w:rPr>
                <w:rFonts w:cs="Arial"/>
                <w:sz w:val="16"/>
                <w:szCs w:val="16"/>
              </w:rPr>
              <w:t>350 additional cases</w:t>
            </w:r>
          </w:p>
        </w:tc>
        <w:tc>
          <w:tcPr>
            <w:tcW w:w="1211" w:type="pct"/>
            <w:shd w:val="clear" w:color="auto" w:fill="auto"/>
            <w:tcMar>
              <w:top w:w="110" w:type="dxa"/>
            </w:tcMar>
          </w:tcPr>
          <w:p w:rsidR="000C2991" w:rsidRDefault="000C2991" w:rsidP="008A4774">
            <w:pPr>
              <w:keepNext/>
              <w:keepLines/>
              <w:rPr>
                <w:rFonts w:cs="Arial"/>
                <w:sz w:val="16"/>
                <w:szCs w:val="16"/>
                <w:lang w:bidi="th-TH"/>
              </w:rPr>
            </w:pPr>
            <w:r>
              <w:rPr>
                <w:rFonts w:cs="Arial"/>
                <w:sz w:val="16"/>
                <w:szCs w:val="16"/>
                <w:lang w:bidi="th-TH"/>
              </w:rPr>
              <w:t>722 additional ccTLD cases in 2014/15</w:t>
            </w:r>
          </w:p>
          <w:p w:rsidR="000C2991" w:rsidRPr="006A63C4" w:rsidRDefault="000C2991" w:rsidP="008A4774">
            <w:pPr>
              <w:keepNext/>
              <w:keepLines/>
              <w:rPr>
                <w:rFonts w:cs="Arial"/>
                <w:sz w:val="16"/>
                <w:szCs w:val="16"/>
                <w:lang w:bidi="th-TH"/>
              </w:rPr>
            </w:pPr>
            <w:r w:rsidDel="00CA7B0C">
              <w:rPr>
                <w:rFonts w:cs="Arial"/>
                <w:sz w:val="16"/>
                <w:szCs w:val="16"/>
                <w:lang w:bidi="th-TH"/>
              </w:rPr>
              <w:t xml:space="preserve"> </w:t>
            </w:r>
            <w:r>
              <w:rPr>
                <w:rFonts w:cs="Arial"/>
                <w:sz w:val="16"/>
                <w:szCs w:val="16"/>
                <w:lang w:bidi="th-TH"/>
              </w:rPr>
              <w:t>(3,520 cumulative)</w:t>
            </w:r>
          </w:p>
        </w:tc>
        <w:tc>
          <w:tcPr>
            <w:tcW w:w="527" w:type="pct"/>
            <w:shd w:val="clear" w:color="auto" w:fill="auto"/>
          </w:tcPr>
          <w:p w:rsidR="000C2991" w:rsidRPr="001A1334" w:rsidRDefault="000C2991" w:rsidP="008A4774">
            <w:pPr>
              <w:keepNext/>
              <w:keepLines/>
              <w:jc w:val="center"/>
              <w:rPr>
                <w:rFonts w:cs="Arial"/>
                <w:b/>
                <w:bCs/>
                <w:color w:val="333333"/>
                <w:sz w:val="16"/>
                <w:szCs w:val="16"/>
              </w:rPr>
            </w:pPr>
            <w:r w:rsidRPr="0038581C">
              <w:rPr>
                <w:rFonts w:cs="Arial"/>
                <w:b/>
                <w:bCs/>
                <w:color w:val="00B050"/>
                <w:sz w:val="16"/>
                <w:szCs w:val="16"/>
              </w:rPr>
              <w:t>Fully Achieved</w:t>
            </w:r>
          </w:p>
        </w:tc>
      </w:tr>
      <w:tr w:rsidR="000C2991" w:rsidRPr="001A1334" w:rsidTr="008A4774">
        <w:trPr>
          <w:cantSplit/>
        </w:trPr>
        <w:tc>
          <w:tcPr>
            <w:tcW w:w="1140" w:type="pct"/>
            <w:shd w:val="clear" w:color="auto" w:fill="auto"/>
          </w:tcPr>
          <w:p w:rsidR="000C2991" w:rsidRPr="00EF26A9" w:rsidRDefault="000C2991" w:rsidP="008A4774">
            <w:pPr>
              <w:rPr>
                <w:rFonts w:cs="Arial"/>
                <w:sz w:val="16"/>
                <w:szCs w:val="16"/>
                <w:lang w:bidi="th-TH"/>
              </w:rPr>
            </w:pPr>
            <w:r w:rsidRPr="00EF26A9">
              <w:rPr>
                <w:rFonts w:cs="Arial"/>
                <w:color w:val="000000"/>
                <w:sz w:val="16"/>
                <w:szCs w:val="16"/>
              </w:rPr>
              <w:t>Dispute resolution policies in the Domain Name System to the development and implementation of which policies the Center has contributed</w:t>
            </w:r>
          </w:p>
        </w:tc>
        <w:tc>
          <w:tcPr>
            <w:tcW w:w="1211" w:type="pct"/>
            <w:shd w:val="clear" w:color="auto" w:fill="auto"/>
          </w:tcPr>
          <w:p w:rsidR="000C2991" w:rsidRPr="001A1334" w:rsidRDefault="000C2991" w:rsidP="008A4774">
            <w:pPr>
              <w:rPr>
                <w:rFonts w:cs="Arial"/>
                <w:i/>
                <w:color w:val="002060"/>
                <w:sz w:val="16"/>
                <w:szCs w:val="16"/>
              </w:rPr>
            </w:pPr>
            <w:r>
              <w:rPr>
                <w:rFonts w:cs="Arial"/>
                <w:i/>
                <w:color w:val="002060"/>
                <w:sz w:val="16"/>
                <w:szCs w:val="16"/>
              </w:rPr>
              <w:t>Updated Baseline end 2013</w:t>
            </w:r>
            <w:r w:rsidRPr="001A1334">
              <w:rPr>
                <w:rFonts w:cs="Arial"/>
                <w:i/>
                <w:color w:val="002060"/>
                <w:sz w:val="16"/>
                <w:szCs w:val="16"/>
              </w:rPr>
              <w:t>:</w:t>
            </w:r>
            <w:r>
              <w:rPr>
                <w:rFonts w:cs="Arial"/>
                <w:color w:val="002060"/>
                <w:sz w:val="16"/>
                <w:szCs w:val="16"/>
              </w:rPr>
              <w:t xml:space="preserve">  </w:t>
            </w:r>
            <w:r w:rsidRPr="00EF26A9">
              <w:rPr>
                <w:rFonts w:cs="Arial"/>
                <w:color w:val="002060"/>
                <w:sz w:val="16"/>
                <w:szCs w:val="16"/>
              </w:rPr>
              <w:t>UDRP, Pre-Delegation Dispute Resolution Policy, Trademark Post-Delegation Dispute Resolution Procedure (cumulative per end 2013)</w:t>
            </w:r>
          </w:p>
          <w:p w:rsidR="000C2991" w:rsidRPr="001A1334" w:rsidRDefault="000C2991" w:rsidP="008A4774">
            <w:pPr>
              <w:rPr>
                <w:rFonts w:cs="Arial"/>
                <w:i/>
                <w:sz w:val="8"/>
                <w:szCs w:val="8"/>
              </w:rPr>
            </w:pPr>
          </w:p>
          <w:p w:rsidR="000C2991" w:rsidRPr="001A1334" w:rsidRDefault="000C2991">
            <w:pPr>
              <w:rPr>
                <w:rFonts w:cs="Arial"/>
                <w:sz w:val="16"/>
                <w:szCs w:val="16"/>
              </w:rPr>
            </w:pPr>
            <w:r>
              <w:rPr>
                <w:rFonts w:cs="Arial"/>
                <w:i/>
                <w:sz w:val="16"/>
                <w:szCs w:val="16"/>
              </w:rPr>
              <w:t>Original Baseline P&amp;B 2014/15</w:t>
            </w:r>
            <w:r w:rsidRPr="001A1334">
              <w:rPr>
                <w:rFonts w:cs="Arial"/>
                <w:i/>
                <w:sz w:val="16"/>
                <w:szCs w:val="16"/>
              </w:rPr>
              <w:t>:</w:t>
            </w:r>
            <w:r>
              <w:rPr>
                <w:rFonts w:cs="Arial"/>
                <w:i/>
                <w:sz w:val="16"/>
                <w:szCs w:val="16"/>
              </w:rPr>
              <w:t xml:space="preserve"> </w:t>
            </w:r>
            <w:r w:rsidRPr="00EF26A9">
              <w:rPr>
                <w:rFonts w:cs="Arial"/>
                <w:sz w:val="16"/>
                <w:szCs w:val="16"/>
              </w:rPr>
              <w:t>UDRP, Pre-Delegation Dispute Resolution Policy (cumulative per end 2012)</w:t>
            </w:r>
          </w:p>
        </w:tc>
        <w:tc>
          <w:tcPr>
            <w:tcW w:w="911" w:type="pct"/>
            <w:shd w:val="clear" w:color="auto" w:fill="auto"/>
            <w:tcMar>
              <w:top w:w="110" w:type="dxa"/>
            </w:tcMar>
          </w:tcPr>
          <w:p w:rsidR="000C2991" w:rsidRPr="001A1334" w:rsidRDefault="000C2991">
            <w:pPr>
              <w:rPr>
                <w:rFonts w:cs="Arial"/>
                <w:sz w:val="16"/>
                <w:szCs w:val="16"/>
              </w:rPr>
            </w:pPr>
            <w:r w:rsidRPr="00EF26A9">
              <w:rPr>
                <w:rFonts w:cs="Arial"/>
                <w:sz w:val="16"/>
                <w:szCs w:val="16"/>
              </w:rPr>
              <w:t>Implementation in the Domain Name System of WIPO policy and process recommendations</w:t>
            </w:r>
          </w:p>
        </w:tc>
        <w:tc>
          <w:tcPr>
            <w:tcW w:w="1211" w:type="pct"/>
            <w:shd w:val="clear" w:color="auto" w:fill="auto"/>
            <w:tcMar>
              <w:top w:w="110" w:type="dxa"/>
            </w:tcMar>
          </w:tcPr>
          <w:p w:rsidR="000C2991" w:rsidRDefault="000C2991">
            <w:pPr>
              <w:rPr>
                <w:rFonts w:cs="Arial"/>
                <w:sz w:val="16"/>
                <w:szCs w:val="16"/>
                <w:lang w:bidi="th-TH"/>
              </w:rPr>
            </w:pPr>
            <w:r>
              <w:rPr>
                <w:rFonts w:cs="Arial"/>
                <w:sz w:val="16"/>
                <w:szCs w:val="16"/>
                <w:lang w:bidi="th-TH"/>
              </w:rPr>
              <w:t>Updated UDRP Rules for new Registrar Lock provisions (2015)</w:t>
            </w:r>
          </w:p>
          <w:p w:rsidR="000C2991" w:rsidRDefault="000C2991">
            <w:pPr>
              <w:rPr>
                <w:rFonts w:cs="Arial"/>
                <w:sz w:val="16"/>
                <w:szCs w:val="16"/>
                <w:lang w:bidi="th-TH"/>
              </w:rPr>
            </w:pPr>
          </w:p>
          <w:p w:rsidR="000C2991" w:rsidRPr="0000774B" w:rsidRDefault="000C2991" w:rsidP="008A4774">
            <w:pPr>
              <w:rPr>
                <w:rFonts w:cs="Arial"/>
                <w:sz w:val="16"/>
                <w:szCs w:val="16"/>
                <w:lang w:bidi="th-TH"/>
              </w:rPr>
            </w:pPr>
            <w:r w:rsidRPr="006A63C4">
              <w:rPr>
                <w:rFonts w:cs="Arial"/>
                <w:sz w:val="16"/>
                <w:szCs w:val="16"/>
                <w:lang w:bidi="th-TH"/>
              </w:rPr>
              <w:t>UDRP, ICANN Pre-Delegation Dispute Resolution Policy, ICANN Trademark Post-Delegation Dispute Resolution Procedure (cumulative per end 201</w:t>
            </w:r>
            <w:r>
              <w:rPr>
                <w:rFonts w:cs="Arial"/>
                <w:sz w:val="16"/>
                <w:szCs w:val="16"/>
                <w:lang w:bidi="th-TH"/>
              </w:rPr>
              <w:t>5</w:t>
            </w:r>
            <w:r w:rsidRPr="006A63C4">
              <w:rPr>
                <w:rFonts w:cs="Arial"/>
                <w:sz w:val="16"/>
                <w:szCs w:val="16"/>
                <w:lang w:bidi="th-TH"/>
              </w:rPr>
              <w:t xml:space="preserve">); no additional policies or recommendations to be implemented. </w:t>
            </w:r>
          </w:p>
        </w:tc>
        <w:tc>
          <w:tcPr>
            <w:tcW w:w="527" w:type="pct"/>
            <w:shd w:val="clear" w:color="auto" w:fill="auto"/>
            <w:tcMar>
              <w:top w:w="110" w:type="dxa"/>
            </w:tcMar>
          </w:tcPr>
          <w:p w:rsidR="000C2991" w:rsidRPr="00CD26D6" w:rsidRDefault="000C2991" w:rsidP="008A4774">
            <w:pPr>
              <w:keepNext/>
              <w:keepLines/>
              <w:jc w:val="center"/>
              <w:rPr>
                <w:rFonts w:cs="Arial"/>
                <w:b/>
                <w:bCs/>
                <w:sz w:val="16"/>
                <w:szCs w:val="16"/>
              </w:rPr>
            </w:pPr>
            <w:r w:rsidRPr="0038581C">
              <w:rPr>
                <w:rFonts w:cs="Arial"/>
                <w:b/>
                <w:bCs/>
                <w:color w:val="00B050"/>
                <w:sz w:val="16"/>
                <w:szCs w:val="16"/>
              </w:rPr>
              <w:t>Fully Achieved</w:t>
            </w:r>
          </w:p>
        </w:tc>
      </w:tr>
      <w:tr w:rsidR="000C2991" w:rsidRPr="001A1334" w:rsidTr="008A4774">
        <w:trPr>
          <w:cantSplit/>
        </w:trPr>
        <w:tc>
          <w:tcPr>
            <w:tcW w:w="1140" w:type="pct"/>
            <w:shd w:val="clear" w:color="auto" w:fill="auto"/>
          </w:tcPr>
          <w:p w:rsidR="000C2991" w:rsidRPr="00EF26A9" w:rsidRDefault="000C2991" w:rsidP="008A4774">
            <w:pPr>
              <w:rPr>
                <w:rFonts w:cs="Arial"/>
                <w:color w:val="000000"/>
                <w:sz w:val="16"/>
                <w:szCs w:val="16"/>
              </w:rPr>
            </w:pPr>
            <w:r w:rsidRPr="007F7ED1">
              <w:rPr>
                <w:rFonts w:cs="Arial"/>
                <w:color w:val="000000"/>
                <w:sz w:val="16"/>
                <w:szCs w:val="16"/>
              </w:rPr>
              <w:t>No. of ccTLD administrators with WIPO assisted design or administration of intellectual property protection mechanisms in accordance with international standards</w:t>
            </w:r>
          </w:p>
        </w:tc>
        <w:tc>
          <w:tcPr>
            <w:tcW w:w="1211" w:type="pct"/>
            <w:shd w:val="clear" w:color="auto" w:fill="auto"/>
          </w:tcPr>
          <w:p w:rsidR="000C2991" w:rsidRPr="001A1334" w:rsidRDefault="000C2991" w:rsidP="008A4774">
            <w:pPr>
              <w:rPr>
                <w:rFonts w:cs="Arial"/>
                <w:i/>
                <w:color w:val="002060"/>
                <w:sz w:val="16"/>
                <w:szCs w:val="16"/>
              </w:rPr>
            </w:pPr>
            <w:r>
              <w:rPr>
                <w:rFonts w:cs="Arial"/>
                <w:i/>
                <w:color w:val="002060"/>
                <w:sz w:val="16"/>
                <w:szCs w:val="16"/>
              </w:rPr>
              <w:t>Updated Baseline end 2013</w:t>
            </w:r>
            <w:r w:rsidRPr="001A1334">
              <w:rPr>
                <w:rFonts w:cs="Arial"/>
                <w:i/>
                <w:color w:val="002060"/>
                <w:sz w:val="16"/>
                <w:szCs w:val="16"/>
              </w:rPr>
              <w:t>:</w:t>
            </w:r>
            <w:r>
              <w:rPr>
                <w:rFonts w:cs="Arial"/>
                <w:color w:val="002060"/>
                <w:sz w:val="16"/>
                <w:szCs w:val="16"/>
              </w:rPr>
              <w:t xml:space="preserve">  </w:t>
            </w:r>
            <w:r w:rsidRPr="007F7ED1">
              <w:rPr>
                <w:rFonts w:cs="Arial"/>
                <w:color w:val="002060"/>
                <w:sz w:val="16"/>
                <w:szCs w:val="16"/>
              </w:rPr>
              <w:t>70 ccTLD administrators (cumulative per end 2013)</w:t>
            </w:r>
          </w:p>
          <w:p w:rsidR="000C2991" w:rsidRPr="001A1334" w:rsidRDefault="000C2991" w:rsidP="008A4774">
            <w:pPr>
              <w:rPr>
                <w:rFonts w:cs="Arial"/>
                <w:i/>
                <w:sz w:val="8"/>
                <w:szCs w:val="8"/>
              </w:rPr>
            </w:pPr>
          </w:p>
          <w:p w:rsidR="000C2991" w:rsidRDefault="000C2991" w:rsidP="008A4774">
            <w:pPr>
              <w:rPr>
                <w:rFonts w:cs="Arial"/>
                <w:i/>
                <w:color w:val="002060"/>
                <w:sz w:val="16"/>
                <w:szCs w:val="16"/>
              </w:rPr>
            </w:pPr>
            <w:r>
              <w:rPr>
                <w:rFonts w:cs="Arial"/>
                <w:i/>
                <w:sz w:val="16"/>
                <w:szCs w:val="16"/>
              </w:rPr>
              <w:t>Original Baseline P&amp;B 2014/15</w:t>
            </w:r>
            <w:r w:rsidRPr="001A1334">
              <w:rPr>
                <w:rFonts w:cs="Arial"/>
                <w:i/>
                <w:sz w:val="16"/>
                <w:szCs w:val="16"/>
              </w:rPr>
              <w:t>:</w:t>
            </w:r>
            <w:r>
              <w:rPr>
                <w:rFonts w:cs="Arial"/>
                <w:i/>
                <w:sz w:val="16"/>
                <w:szCs w:val="16"/>
              </w:rPr>
              <w:t xml:space="preserve"> </w:t>
            </w:r>
            <w:r w:rsidRPr="007F7ED1">
              <w:rPr>
                <w:rFonts w:cs="Arial"/>
                <w:sz w:val="16"/>
                <w:szCs w:val="16"/>
              </w:rPr>
              <w:t>67 ccTLD administrators (cumulative per end 2012)</w:t>
            </w:r>
          </w:p>
        </w:tc>
        <w:tc>
          <w:tcPr>
            <w:tcW w:w="911" w:type="pct"/>
            <w:shd w:val="clear" w:color="auto" w:fill="auto"/>
            <w:tcMar>
              <w:top w:w="110" w:type="dxa"/>
            </w:tcMar>
          </w:tcPr>
          <w:p w:rsidR="000C2991" w:rsidRPr="00EF26A9" w:rsidRDefault="000C2991" w:rsidP="008A4774">
            <w:pPr>
              <w:rPr>
                <w:rFonts w:cs="Arial"/>
                <w:sz w:val="16"/>
                <w:szCs w:val="16"/>
              </w:rPr>
            </w:pPr>
            <w:r>
              <w:rPr>
                <w:rFonts w:cs="Arial"/>
                <w:sz w:val="16"/>
                <w:szCs w:val="16"/>
              </w:rPr>
              <w:t xml:space="preserve">Four </w:t>
            </w:r>
            <w:r w:rsidRPr="007F7ED1">
              <w:rPr>
                <w:rFonts w:cs="Arial"/>
                <w:sz w:val="16"/>
                <w:szCs w:val="16"/>
              </w:rPr>
              <w:t>new administrators</w:t>
            </w:r>
          </w:p>
        </w:tc>
        <w:tc>
          <w:tcPr>
            <w:tcW w:w="1211" w:type="pct"/>
            <w:shd w:val="clear" w:color="auto" w:fill="auto"/>
            <w:tcMar>
              <w:top w:w="110" w:type="dxa"/>
            </w:tcMar>
          </w:tcPr>
          <w:p w:rsidR="000C2991" w:rsidRPr="00EF26A9" w:rsidRDefault="000C2991" w:rsidP="008A4774">
            <w:pPr>
              <w:rPr>
                <w:rFonts w:cs="Arial"/>
                <w:sz w:val="16"/>
                <w:szCs w:val="16"/>
                <w:lang w:bidi="th-TH"/>
              </w:rPr>
            </w:pPr>
            <w:r>
              <w:rPr>
                <w:rFonts w:cs="Arial"/>
                <w:sz w:val="16"/>
                <w:szCs w:val="16"/>
                <w:lang w:bidi="th-TH"/>
              </w:rPr>
              <w:t>In 2014/15, two new ccTLD administrators (.GC, .VG) (71 cumulative following one discontinuation)</w:t>
            </w:r>
          </w:p>
        </w:tc>
        <w:tc>
          <w:tcPr>
            <w:tcW w:w="527" w:type="pct"/>
            <w:shd w:val="clear" w:color="auto" w:fill="auto"/>
            <w:tcMar>
              <w:top w:w="110" w:type="dxa"/>
            </w:tcMar>
          </w:tcPr>
          <w:p w:rsidR="000C2991" w:rsidRPr="00952F00" w:rsidRDefault="000C2991" w:rsidP="008A4774">
            <w:pPr>
              <w:keepNext/>
              <w:keepLines/>
              <w:jc w:val="center"/>
              <w:rPr>
                <w:rStyle w:val="Style5"/>
                <w:rFonts w:cs="Arial"/>
                <w:b/>
                <w:color w:val="D56509"/>
                <w:sz w:val="16"/>
                <w:szCs w:val="16"/>
              </w:rPr>
            </w:pPr>
            <w:r w:rsidRPr="00CE2943">
              <w:rPr>
                <w:rFonts w:cs="Arial"/>
                <w:b/>
                <w:bCs/>
                <w:color w:val="D56509"/>
                <w:sz w:val="16"/>
                <w:szCs w:val="16"/>
              </w:rPr>
              <w:t>Partially Achieved</w:t>
            </w:r>
          </w:p>
        </w:tc>
      </w:tr>
    </w:tbl>
    <w:p w:rsidR="000C2991" w:rsidRPr="00090F32" w:rsidRDefault="000C2991" w:rsidP="008A4774">
      <w:pPr>
        <w:jc w:val="both"/>
        <w:rPr>
          <w:rFonts w:cs="Arial"/>
          <w:szCs w:val="20"/>
        </w:rPr>
      </w:pPr>
    </w:p>
    <w:p w:rsidR="000C2991" w:rsidRDefault="000C2991">
      <w:pPr>
        <w:spacing w:after="200" w:line="276" w:lineRule="auto"/>
        <w:rPr>
          <w:rFonts w:cs="Arial"/>
          <w:color w:val="000000"/>
          <w:sz w:val="22"/>
          <w:szCs w:val="22"/>
        </w:rPr>
      </w:pPr>
    </w:p>
    <w:p w:rsidR="000C2991" w:rsidRPr="00F512DD" w:rsidRDefault="000C2991" w:rsidP="000C2991">
      <w:pPr>
        <w:keepNext/>
        <w:keepLines/>
        <w:spacing w:after="200" w:line="276" w:lineRule="auto"/>
        <w:rPr>
          <w:b/>
          <w:sz w:val="18"/>
        </w:rPr>
      </w:pPr>
      <w:r w:rsidRPr="00F512DD">
        <w:rPr>
          <w:rFonts w:cs="Arial"/>
          <w:color w:val="000000"/>
          <w:szCs w:val="22"/>
        </w:rPr>
        <w:lastRenderedPageBreak/>
        <w:t>RISK REPORTING FOR THE BIENNIUM</w:t>
      </w:r>
    </w:p>
    <w:tbl>
      <w:tblPr>
        <w:tblW w:w="0" w:type="auto"/>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2466"/>
        <w:gridCol w:w="2154"/>
        <w:gridCol w:w="2310"/>
        <w:gridCol w:w="2306"/>
      </w:tblGrid>
      <w:tr w:rsidR="000C2991" w:rsidRPr="003C527B" w:rsidTr="008A4774">
        <w:trPr>
          <w:trHeight w:val="479"/>
        </w:trPr>
        <w:tc>
          <w:tcPr>
            <w:tcW w:w="2466" w:type="dxa"/>
            <w:tcBorders>
              <w:top w:val="single" w:sz="4" w:space="0" w:color="auto"/>
              <w:bottom w:val="single" w:sz="4" w:space="0" w:color="auto"/>
            </w:tcBorders>
            <w:shd w:val="clear" w:color="auto" w:fill="C6D9F1" w:themeFill="text2" w:themeFillTint="33"/>
            <w:vAlign w:val="center"/>
          </w:tcPr>
          <w:p w:rsidR="000C2991" w:rsidRPr="003C527B" w:rsidRDefault="000C2991" w:rsidP="000C2991">
            <w:pPr>
              <w:keepNext/>
              <w:keepLines/>
              <w:jc w:val="center"/>
              <w:rPr>
                <w:b/>
                <w:bCs/>
                <w:iCs/>
                <w:sz w:val="18"/>
                <w:szCs w:val="18"/>
              </w:rPr>
            </w:pPr>
            <w:r w:rsidRPr="003C527B">
              <w:rPr>
                <w:b/>
                <w:bCs/>
                <w:iCs/>
                <w:sz w:val="18"/>
                <w:szCs w:val="18"/>
              </w:rPr>
              <w:t>Risk(s) to the Program achieving its Results</w:t>
            </w:r>
          </w:p>
        </w:tc>
        <w:tc>
          <w:tcPr>
            <w:tcW w:w="2154" w:type="dxa"/>
            <w:tcBorders>
              <w:top w:val="single" w:sz="4" w:space="0" w:color="auto"/>
              <w:bottom w:val="single" w:sz="4" w:space="0" w:color="auto"/>
            </w:tcBorders>
            <w:shd w:val="clear" w:color="auto" w:fill="C6D9F1" w:themeFill="text2" w:themeFillTint="33"/>
            <w:vAlign w:val="center"/>
          </w:tcPr>
          <w:p w:rsidR="000C2991" w:rsidRPr="003C527B" w:rsidRDefault="000C2991" w:rsidP="000C2991">
            <w:pPr>
              <w:keepNext/>
              <w:keepLines/>
              <w:jc w:val="center"/>
              <w:rPr>
                <w:b/>
                <w:bCs/>
                <w:iCs/>
                <w:sz w:val="18"/>
                <w:szCs w:val="18"/>
              </w:rPr>
            </w:pPr>
            <w:r w:rsidRPr="003C527B">
              <w:rPr>
                <w:b/>
                <w:bCs/>
                <w:iCs/>
                <w:sz w:val="18"/>
                <w:szCs w:val="18"/>
              </w:rPr>
              <w:t xml:space="preserve">Mitigation plans in place or under implementation </w:t>
            </w:r>
          </w:p>
        </w:tc>
        <w:tc>
          <w:tcPr>
            <w:tcW w:w="2310" w:type="dxa"/>
            <w:tcBorders>
              <w:top w:val="single" w:sz="4" w:space="0" w:color="auto"/>
              <w:bottom w:val="single" w:sz="4" w:space="0" w:color="auto"/>
            </w:tcBorders>
            <w:shd w:val="clear" w:color="auto" w:fill="C6D9F1" w:themeFill="text2" w:themeFillTint="33"/>
          </w:tcPr>
          <w:p w:rsidR="000C2991" w:rsidRPr="003C527B" w:rsidRDefault="000C2991" w:rsidP="000C2991">
            <w:pPr>
              <w:keepNext/>
              <w:keepLines/>
              <w:jc w:val="center"/>
              <w:rPr>
                <w:b/>
                <w:bCs/>
                <w:sz w:val="18"/>
                <w:szCs w:val="18"/>
              </w:rPr>
            </w:pPr>
            <w:r>
              <w:rPr>
                <w:b/>
                <w:bCs/>
                <w:sz w:val="18"/>
                <w:szCs w:val="18"/>
              </w:rPr>
              <w:t>Evolution of Risk(s) and Mitigation Strategies Over the Biennium</w:t>
            </w:r>
          </w:p>
        </w:tc>
        <w:tc>
          <w:tcPr>
            <w:tcW w:w="2306" w:type="dxa"/>
            <w:tcBorders>
              <w:top w:val="single" w:sz="4" w:space="0" w:color="auto"/>
              <w:bottom w:val="single" w:sz="4" w:space="0" w:color="auto"/>
            </w:tcBorders>
            <w:shd w:val="clear" w:color="auto" w:fill="C6D9F1" w:themeFill="text2" w:themeFillTint="33"/>
          </w:tcPr>
          <w:p w:rsidR="000C2991" w:rsidRPr="003C527B" w:rsidRDefault="000C2991" w:rsidP="000C2991">
            <w:pPr>
              <w:keepNext/>
              <w:keepLines/>
              <w:jc w:val="center"/>
              <w:rPr>
                <w:b/>
                <w:bCs/>
                <w:sz w:val="18"/>
                <w:szCs w:val="18"/>
              </w:rPr>
            </w:pPr>
            <w:r>
              <w:rPr>
                <w:b/>
                <w:bCs/>
                <w:sz w:val="18"/>
                <w:szCs w:val="18"/>
              </w:rPr>
              <w:t>Impact on the Program’s Performance</w:t>
            </w:r>
          </w:p>
        </w:tc>
      </w:tr>
      <w:tr w:rsidR="000C2991" w:rsidRPr="003C527B" w:rsidTr="008A4774">
        <w:trPr>
          <w:trHeight w:val="1564"/>
        </w:trPr>
        <w:tc>
          <w:tcPr>
            <w:tcW w:w="2466" w:type="dxa"/>
            <w:tcBorders>
              <w:top w:val="single" w:sz="4" w:space="0" w:color="auto"/>
            </w:tcBorders>
            <w:shd w:val="clear" w:color="auto" w:fill="auto"/>
            <w:tcMar>
              <w:top w:w="113" w:type="dxa"/>
              <w:bottom w:w="113" w:type="dxa"/>
            </w:tcMar>
          </w:tcPr>
          <w:p w:rsidR="000C2991" w:rsidRPr="003C527B" w:rsidRDefault="000C2991" w:rsidP="000C2991">
            <w:pPr>
              <w:keepNext/>
              <w:keepLines/>
              <w:rPr>
                <w:sz w:val="16"/>
                <w:szCs w:val="16"/>
              </w:rPr>
            </w:pPr>
            <w:r w:rsidRPr="003C527B">
              <w:rPr>
                <w:rFonts w:cs="ArialMT"/>
                <w:iCs/>
                <w:sz w:val="16"/>
                <w:szCs w:val="16"/>
              </w:rPr>
              <w:t>Shifting resource comparison with other ADR providers affects market recognition of WIPO arbitration and mediation services.</w:t>
            </w:r>
          </w:p>
        </w:tc>
        <w:tc>
          <w:tcPr>
            <w:tcW w:w="2154" w:type="dxa"/>
            <w:tcBorders>
              <w:top w:val="single" w:sz="4" w:space="0" w:color="auto"/>
            </w:tcBorders>
            <w:shd w:val="clear" w:color="auto" w:fill="auto"/>
            <w:tcMar>
              <w:top w:w="113" w:type="dxa"/>
              <w:bottom w:w="113" w:type="dxa"/>
            </w:tcMar>
          </w:tcPr>
          <w:p w:rsidR="000C2991" w:rsidRPr="003C527B" w:rsidRDefault="000C2991" w:rsidP="000C2991">
            <w:pPr>
              <w:keepNext/>
              <w:keepLines/>
              <w:autoSpaceDE w:val="0"/>
              <w:autoSpaceDN w:val="0"/>
              <w:adjustRightInd w:val="0"/>
              <w:ind w:right="-59"/>
              <w:rPr>
                <w:sz w:val="16"/>
                <w:szCs w:val="16"/>
              </w:rPr>
            </w:pPr>
            <w:r w:rsidRPr="003C527B">
              <w:rPr>
                <w:iCs/>
                <w:sz w:val="16"/>
                <w:szCs w:val="16"/>
                <w:lang w:eastAsia="zh-CN"/>
              </w:rPr>
              <w:t>WIPO will continue leveraging the AMC position as the IP ADR specialist through greater collaboration, such as more regular partnering with IP and related associations, maximizing use of Center presence in Singapore for increased regional activity and through intensified collaboration with other WIPO departments.  In addition</w:t>
            </w:r>
            <w:r>
              <w:rPr>
                <w:iCs/>
                <w:sz w:val="16"/>
                <w:szCs w:val="16"/>
                <w:lang w:eastAsia="zh-CN"/>
              </w:rPr>
              <w:t>,</w:t>
            </w:r>
            <w:r w:rsidRPr="003C527B">
              <w:rPr>
                <w:iCs/>
                <w:sz w:val="16"/>
                <w:szCs w:val="16"/>
                <w:lang w:eastAsia="zh-CN"/>
              </w:rPr>
              <w:t xml:space="preserve"> the risk can be mitigated through participation in events through WIPO neutrals and through working off new research on emerging user practices and expectations.</w:t>
            </w:r>
          </w:p>
        </w:tc>
        <w:tc>
          <w:tcPr>
            <w:tcW w:w="2310" w:type="dxa"/>
            <w:tcBorders>
              <w:top w:val="single" w:sz="4" w:space="0" w:color="auto"/>
            </w:tcBorders>
          </w:tcPr>
          <w:p w:rsidR="000C2991" w:rsidRDefault="000C2991" w:rsidP="000C2991">
            <w:pPr>
              <w:keepNext/>
              <w:keepLines/>
              <w:autoSpaceDE w:val="0"/>
              <w:autoSpaceDN w:val="0"/>
              <w:adjustRightInd w:val="0"/>
              <w:ind w:right="-59"/>
              <w:rPr>
                <w:iCs/>
                <w:sz w:val="16"/>
                <w:szCs w:val="16"/>
                <w:lang w:eastAsia="zh-CN"/>
              </w:rPr>
            </w:pPr>
            <w:r>
              <w:rPr>
                <w:iCs/>
                <w:sz w:val="16"/>
                <w:szCs w:val="16"/>
                <w:lang w:eastAsia="zh-CN"/>
              </w:rPr>
              <w:t xml:space="preserve">The emergence of new ADR providers internationally, including specifically in the area of IP, has added to market recognition concerns.  </w:t>
            </w:r>
          </w:p>
          <w:p w:rsidR="000C2991" w:rsidRPr="003C527B" w:rsidRDefault="000C2991" w:rsidP="000C2991">
            <w:pPr>
              <w:keepNext/>
              <w:keepLines/>
              <w:autoSpaceDE w:val="0"/>
              <w:autoSpaceDN w:val="0"/>
              <w:adjustRightInd w:val="0"/>
              <w:ind w:right="-59"/>
              <w:rPr>
                <w:iCs/>
                <w:sz w:val="16"/>
                <w:szCs w:val="16"/>
                <w:lang w:eastAsia="zh-CN"/>
              </w:rPr>
            </w:pPr>
            <w:r>
              <w:rPr>
                <w:iCs/>
                <w:sz w:val="16"/>
                <w:szCs w:val="16"/>
                <w:lang w:eastAsia="zh-CN"/>
              </w:rPr>
              <w:t>In 2014/15, WIPO actively pursued its mitigation plans through a range of legal and promotional initiatives, and also leveraged the presence of WIPO External Offices regarding IP ADR.</w:t>
            </w:r>
          </w:p>
        </w:tc>
        <w:tc>
          <w:tcPr>
            <w:tcW w:w="2306" w:type="dxa"/>
            <w:tcBorders>
              <w:top w:val="single" w:sz="4" w:space="0" w:color="auto"/>
            </w:tcBorders>
          </w:tcPr>
          <w:p w:rsidR="000C2991" w:rsidRPr="003C527B" w:rsidRDefault="000C2991" w:rsidP="000C2991">
            <w:pPr>
              <w:keepNext/>
              <w:keepLines/>
              <w:autoSpaceDE w:val="0"/>
              <w:autoSpaceDN w:val="0"/>
              <w:adjustRightInd w:val="0"/>
              <w:ind w:right="-59"/>
              <w:rPr>
                <w:iCs/>
                <w:sz w:val="16"/>
                <w:szCs w:val="16"/>
                <w:lang w:eastAsia="zh-CN"/>
              </w:rPr>
            </w:pPr>
            <w:r>
              <w:rPr>
                <w:iCs/>
                <w:sz w:val="16"/>
                <w:szCs w:val="16"/>
                <w:lang w:eastAsia="zh-CN"/>
              </w:rPr>
              <w:t>Connecting the legal areas of IP and ADR continues to pose challenges, both in terms of stakeholders and of litigation practices.  However, WIPO’s initiatives and mitigation actions have contributed to ensuring the achievement of the Expected Results for the biennium.</w:t>
            </w:r>
          </w:p>
        </w:tc>
      </w:tr>
      <w:tr w:rsidR="000C2991" w:rsidRPr="003C527B" w:rsidTr="008A4774">
        <w:trPr>
          <w:trHeight w:val="919"/>
        </w:trPr>
        <w:tc>
          <w:tcPr>
            <w:tcW w:w="2466" w:type="dxa"/>
            <w:shd w:val="clear" w:color="auto" w:fill="auto"/>
            <w:tcMar>
              <w:top w:w="113" w:type="dxa"/>
              <w:bottom w:w="113" w:type="dxa"/>
            </w:tcMar>
          </w:tcPr>
          <w:p w:rsidR="000C2991" w:rsidRPr="003C527B" w:rsidRDefault="000C2991" w:rsidP="008A4774">
            <w:pPr>
              <w:rPr>
                <w:rFonts w:cs="ArialMT"/>
                <w:iCs/>
                <w:sz w:val="16"/>
                <w:szCs w:val="16"/>
              </w:rPr>
            </w:pPr>
            <w:r w:rsidRPr="003C527B">
              <w:rPr>
                <w:iCs/>
                <w:sz w:val="16"/>
                <w:szCs w:val="16"/>
                <w:lang w:eastAsia="zh-CN"/>
              </w:rPr>
              <w:t>Fragmentation of and competition within DNS, and ICANN policy development processes, pressuring centralized norms (including UDRP) and Center primacy;  DNS expansion and increased ADR use in DNS challenging Center case administration and policy development roles.</w:t>
            </w:r>
          </w:p>
        </w:tc>
        <w:tc>
          <w:tcPr>
            <w:tcW w:w="2154" w:type="dxa"/>
            <w:shd w:val="clear" w:color="auto" w:fill="auto"/>
            <w:tcMar>
              <w:top w:w="113" w:type="dxa"/>
              <w:bottom w:w="113" w:type="dxa"/>
            </w:tcMar>
          </w:tcPr>
          <w:p w:rsidR="000C2991" w:rsidRPr="003C527B" w:rsidRDefault="000C2991">
            <w:pPr>
              <w:autoSpaceDE w:val="0"/>
              <w:autoSpaceDN w:val="0"/>
              <w:adjustRightInd w:val="0"/>
              <w:ind w:right="-59"/>
              <w:rPr>
                <w:iCs/>
                <w:sz w:val="16"/>
                <w:szCs w:val="16"/>
                <w:lang w:eastAsia="zh-CN"/>
              </w:rPr>
            </w:pPr>
            <w:r w:rsidRPr="003C527B">
              <w:rPr>
                <w:iCs/>
                <w:sz w:val="16"/>
                <w:szCs w:val="16"/>
                <w:lang w:eastAsia="zh-CN"/>
              </w:rPr>
              <w:t>Prioritizing case administration and policy development resources to strike balance between “staying in the market” and adding specific WIPO value.</w:t>
            </w:r>
          </w:p>
        </w:tc>
        <w:tc>
          <w:tcPr>
            <w:tcW w:w="2310" w:type="dxa"/>
          </w:tcPr>
          <w:p w:rsidR="000C2991" w:rsidRPr="003C527B" w:rsidRDefault="000C2991">
            <w:pPr>
              <w:autoSpaceDE w:val="0"/>
              <w:autoSpaceDN w:val="0"/>
              <w:adjustRightInd w:val="0"/>
              <w:ind w:right="-59"/>
              <w:rPr>
                <w:iCs/>
                <w:sz w:val="16"/>
                <w:szCs w:val="16"/>
                <w:lang w:eastAsia="zh-CN"/>
              </w:rPr>
            </w:pPr>
            <w:r>
              <w:rPr>
                <w:iCs/>
                <w:sz w:val="16"/>
                <w:szCs w:val="16"/>
                <w:lang w:eastAsia="zh-CN"/>
              </w:rPr>
              <w:t>This risk has expanded and its likelihood increased over the biennium, with ICANN’s continuing accreditation of further UDRP providers and  approval of DNS expansion, which are impacting the centralized provision of ADR.  ICANN also has launched a review of DNS Rights Protection Mechanisms, including UDRP.  WIPO closely follows these processes from its DNS ADR position and has been actively pursuing its mitigation strategy. The latter was also helped by delays in the current ICANN review process, as well as the time taken by new domain operators to consider introducing rights protection mechanisms of their own.</w:t>
            </w:r>
          </w:p>
        </w:tc>
        <w:tc>
          <w:tcPr>
            <w:tcW w:w="2306" w:type="dxa"/>
          </w:tcPr>
          <w:p w:rsidR="000C2991" w:rsidRPr="003C527B" w:rsidRDefault="000C2991" w:rsidP="008A4774">
            <w:pPr>
              <w:autoSpaceDE w:val="0"/>
              <w:autoSpaceDN w:val="0"/>
              <w:adjustRightInd w:val="0"/>
              <w:ind w:right="-59"/>
              <w:rPr>
                <w:iCs/>
                <w:sz w:val="16"/>
                <w:szCs w:val="16"/>
                <w:lang w:eastAsia="zh-CN"/>
              </w:rPr>
            </w:pPr>
            <w:r>
              <w:rPr>
                <w:iCs/>
                <w:sz w:val="16"/>
                <w:szCs w:val="16"/>
                <w:lang w:eastAsia="zh-CN"/>
              </w:rPr>
              <w:t xml:space="preserve">The biennium’s Expected Results were not impacted adversely by the evolution of the risk, and as a result of the mitigation strategy in place, WIPO’s UDRP caseload resumed growth over the biennium. </w:t>
            </w:r>
          </w:p>
        </w:tc>
      </w:tr>
    </w:tbl>
    <w:p w:rsidR="000C2991" w:rsidRDefault="000C2991" w:rsidP="008A4774">
      <w:pPr>
        <w:rPr>
          <w:rFonts w:cs="Arial"/>
          <w:color w:val="000000"/>
          <w:sz w:val="22"/>
          <w:szCs w:val="22"/>
        </w:rPr>
      </w:pPr>
    </w:p>
    <w:p w:rsidR="000C2991" w:rsidRDefault="000C2991" w:rsidP="008A4774">
      <w:pPr>
        <w:rPr>
          <w:rFonts w:cs="Arial"/>
          <w:color w:val="000000"/>
          <w:sz w:val="22"/>
          <w:szCs w:val="22"/>
        </w:rPr>
      </w:pPr>
    </w:p>
    <w:p w:rsidR="000C2991" w:rsidRPr="00F512DD" w:rsidRDefault="000C2991" w:rsidP="008A4774">
      <w:pPr>
        <w:keepNext/>
        <w:keepLines/>
        <w:rPr>
          <w:b/>
          <w:sz w:val="16"/>
          <w:szCs w:val="18"/>
        </w:rPr>
      </w:pPr>
      <w:r w:rsidRPr="00F512DD">
        <w:rPr>
          <w:rFonts w:cs="Arial"/>
          <w:color w:val="000000"/>
          <w:szCs w:val="22"/>
        </w:rPr>
        <w:t>RESOURCE UTILIZATION</w:t>
      </w:r>
      <w:r w:rsidRPr="00F512DD">
        <w:rPr>
          <w:rFonts w:cs="Arial"/>
          <w:color w:val="000000"/>
          <w:szCs w:val="22"/>
        </w:rPr>
        <w:tab/>
        <w:t xml:space="preserve"> </w:t>
      </w:r>
    </w:p>
    <w:p w:rsidR="000C2991" w:rsidRPr="008F4A6D" w:rsidRDefault="000C2991" w:rsidP="008A4774">
      <w:pPr>
        <w:keepNext/>
        <w:keepLines/>
        <w:rPr>
          <w:szCs w:val="20"/>
        </w:rPr>
      </w:pPr>
    </w:p>
    <w:p w:rsidR="000C2991" w:rsidRPr="00383D2D" w:rsidRDefault="000C2991" w:rsidP="008A4774">
      <w:pPr>
        <w:pStyle w:val="NormalWeb"/>
        <w:keepNext/>
        <w:keepLines/>
        <w:spacing w:before="0" w:beforeAutospacing="0" w:after="0" w:afterAutospacing="0"/>
        <w:jc w:val="center"/>
        <w:rPr>
          <w:sz w:val="20"/>
          <w:szCs w:val="20"/>
        </w:rPr>
      </w:pPr>
      <w:r w:rsidRPr="00383D2D">
        <w:rPr>
          <w:color w:val="000000"/>
          <w:sz w:val="20"/>
          <w:szCs w:val="20"/>
        </w:rPr>
        <w:t xml:space="preserve">Budget and Actual Expenditure (by result) </w:t>
      </w:r>
    </w:p>
    <w:p w:rsidR="000C2991" w:rsidRDefault="000C2991" w:rsidP="008A4774">
      <w:pPr>
        <w:pStyle w:val="NormalWeb"/>
        <w:keepNext/>
        <w:keepLines/>
        <w:spacing w:before="0" w:beforeAutospacing="0" w:after="0" w:afterAutospacing="0"/>
        <w:jc w:val="center"/>
        <w:rPr>
          <w:i/>
          <w:iCs/>
          <w:color w:val="000000"/>
          <w:sz w:val="20"/>
          <w:szCs w:val="20"/>
        </w:rPr>
      </w:pPr>
      <w:r w:rsidRPr="00383D2D">
        <w:rPr>
          <w:i/>
          <w:iCs/>
          <w:color w:val="000000"/>
          <w:sz w:val="20"/>
          <w:szCs w:val="20"/>
        </w:rPr>
        <w:t>(in thousands of Swiss francs)</w:t>
      </w:r>
    </w:p>
    <w:p w:rsidR="000C2991" w:rsidRPr="00383D2D" w:rsidRDefault="000C2991" w:rsidP="008A4774">
      <w:pPr>
        <w:pStyle w:val="NormalWeb"/>
        <w:keepNext/>
        <w:keepLines/>
        <w:spacing w:before="0" w:beforeAutospacing="0" w:after="0" w:afterAutospacing="0"/>
        <w:jc w:val="center"/>
        <w:rPr>
          <w:sz w:val="20"/>
          <w:szCs w:val="20"/>
        </w:rPr>
      </w:pPr>
    </w:p>
    <w:p w:rsidR="000C2991" w:rsidRDefault="000C2991" w:rsidP="008A4774">
      <w:pPr>
        <w:keepNext/>
        <w:keepLines/>
        <w:jc w:val="center"/>
      </w:pPr>
      <w:r w:rsidRPr="002C58E1">
        <w:rPr>
          <w:noProof/>
        </w:rPr>
        <w:drawing>
          <wp:inline distT="0" distB="0" distL="0" distR="0" wp14:anchorId="577BCD26" wp14:editId="437A1B32">
            <wp:extent cx="5022376" cy="1250336"/>
            <wp:effectExtent l="0" t="0" r="6985" b="6985"/>
            <wp:docPr id="891" name="Picture 8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5027458" cy="1251601"/>
                    </a:xfrm>
                    <a:prstGeom prst="rect">
                      <a:avLst/>
                    </a:prstGeom>
                    <a:noFill/>
                    <a:ln>
                      <a:noFill/>
                    </a:ln>
                  </pic:spPr>
                </pic:pic>
              </a:graphicData>
            </a:graphic>
          </wp:inline>
        </w:drawing>
      </w:r>
    </w:p>
    <w:p w:rsidR="000C2991" w:rsidRDefault="000C2991" w:rsidP="008A4774"/>
    <w:p w:rsidR="000C2991" w:rsidRDefault="000C2991" w:rsidP="008A4774"/>
    <w:p w:rsidR="000C2991" w:rsidRPr="00383D2D" w:rsidRDefault="000C2991" w:rsidP="008A4774">
      <w:pPr>
        <w:pStyle w:val="NormalWeb"/>
        <w:keepNext/>
        <w:keepLines/>
        <w:spacing w:before="0" w:beforeAutospacing="0" w:after="0" w:afterAutospacing="0"/>
        <w:jc w:val="center"/>
        <w:rPr>
          <w:sz w:val="20"/>
          <w:szCs w:val="20"/>
        </w:rPr>
      </w:pPr>
      <w:r w:rsidRPr="00383D2D">
        <w:rPr>
          <w:color w:val="000000"/>
          <w:sz w:val="20"/>
          <w:szCs w:val="20"/>
        </w:rPr>
        <w:lastRenderedPageBreak/>
        <w:t xml:space="preserve">Budget and Actual Expenditure (personnel and non-personnel) </w:t>
      </w:r>
    </w:p>
    <w:p w:rsidR="000C2991" w:rsidRDefault="000C2991" w:rsidP="008A4774">
      <w:pPr>
        <w:pStyle w:val="NormalWeb"/>
        <w:keepNext/>
        <w:keepLines/>
        <w:spacing w:before="0" w:beforeAutospacing="0" w:after="0" w:afterAutospacing="0"/>
        <w:jc w:val="center"/>
        <w:rPr>
          <w:i/>
          <w:iCs/>
          <w:color w:val="000000"/>
          <w:sz w:val="20"/>
          <w:szCs w:val="20"/>
        </w:rPr>
      </w:pPr>
      <w:r w:rsidRPr="00383D2D">
        <w:rPr>
          <w:i/>
          <w:iCs/>
          <w:color w:val="000000"/>
          <w:sz w:val="20"/>
          <w:szCs w:val="20"/>
        </w:rPr>
        <w:t>(in thousands of Swiss francs)</w:t>
      </w:r>
    </w:p>
    <w:p w:rsidR="000C2991" w:rsidRPr="00383D2D" w:rsidRDefault="000C2991" w:rsidP="008A4774">
      <w:pPr>
        <w:pStyle w:val="NormalWeb"/>
        <w:keepNext/>
        <w:keepLines/>
        <w:spacing w:before="0" w:beforeAutospacing="0" w:after="0" w:afterAutospacing="0"/>
        <w:jc w:val="center"/>
        <w:rPr>
          <w:i/>
          <w:iCs/>
          <w:color w:val="000000"/>
          <w:sz w:val="20"/>
          <w:szCs w:val="20"/>
        </w:rPr>
      </w:pPr>
    </w:p>
    <w:p w:rsidR="000C2991" w:rsidRDefault="000C2991" w:rsidP="008A4774">
      <w:pPr>
        <w:pStyle w:val="NormalWeb"/>
        <w:keepNext/>
        <w:keepLines/>
        <w:spacing w:before="0" w:beforeAutospacing="0" w:after="0" w:afterAutospacing="0"/>
        <w:jc w:val="center"/>
      </w:pPr>
      <w:r w:rsidRPr="00356F48">
        <w:rPr>
          <w:noProof/>
        </w:rPr>
        <w:drawing>
          <wp:inline distT="0" distB="0" distL="0" distR="0" wp14:anchorId="3E7238B0" wp14:editId="3EF58484">
            <wp:extent cx="5268035" cy="1040293"/>
            <wp:effectExtent l="0" t="0" r="0" b="7620"/>
            <wp:docPr id="892" name="Picture 8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5283288" cy="1043305"/>
                    </a:xfrm>
                    <a:prstGeom prst="rect">
                      <a:avLst/>
                    </a:prstGeom>
                    <a:noFill/>
                    <a:ln>
                      <a:noFill/>
                    </a:ln>
                  </pic:spPr>
                </pic:pic>
              </a:graphicData>
            </a:graphic>
          </wp:inline>
        </w:drawing>
      </w:r>
    </w:p>
    <w:p w:rsidR="000C2991" w:rsidRDefault="000C2991" w:rsidP="008A4774">
      <w:pPr>
        <w:widowControl w:val="0"/>
        <w:tabs>
          <w:tab w:val="left" w:pos="5205"/>
        </w:tabs>
        <w:autoSpaceDE w:val="0"/>
        <w:autoSpaceDN w:val="0"/>
        <w:adjustRightInd w:val="0"/>
        <w:rPr>
          <w:rFonts w:cs="Arial"/>
          <w:szCs w:val="20"/>
        </w:rPr>
      </w:pPr>
    </w:p>
    <w:p w:rsidR="000C2991" w:rsidRPr="001C6F4D" w:rsidRDefault="000C2991" w:rsidP="008A4774">
      <w:pPr>
        <w:widowControl w:val="0"/>
        <w:autoSpaceDE w:val="0"/>
        <w:autoSpaceDN w:val="0"/>
        <w:adjustRightInd w:val="0"/>
        <w:rPr>
          <w:rFonts w:cs="Arial"/>
          <w:szCs w:val="20"/>
        </w:rPr>
      </w:pPr>
    </w:p>
    <w:p w:rsidR="000C2991" w:rsidRDefault="000C2991" w:rsidP="008A4774">
      <w:pPr>
        <w:jc w:val="both"/>
        <w:rPr>
          <w:rFonts w:cs="Arial"/>
          <w:u w:val="single"/>
        </w:rPr>
      </w:pPr>
      <w:r w:rsidRPr="00420F90">
        <w:rPr>
          <w:rFonts w:cs="Arial"/>
          <w:szCs w:val="20"/>
        </w:rPr>
        <w:t>A.</w:t>
      </w:r>
      <w:r w:rsidRPr="00420F90">
        <w:rPr>
          <w:rFonts w:cs="Arial"/>
        </w:rPr>
        <w:tab/>
      </w:r>
      <w:r w:rsidRPr="00420F90">
        <w:rPr>
          <w:rFonts w:cs="Arial"/>
          <w:u w:val="single"/>
        </w:rPr>
        <w:t>201</w:t>
      </w:r>
      <w:r>
        <w:rPr>
          <w:rFonts w:cs="Arial"/>
          <w:u w:val="single"/>
        </w:rPr>
        <w:t xml:space="preserve">4/15 Final </w:t>
      </w:r>
      <w:r w:rsidRPr="00420F90">
        <w:rPr>
          <w:rFonts w:cs="Arial"/>
          <w:u w:val="single"/>
        </w:rPr>
        <w:t xml:space="preserve">Budget after Transfers </w:t>
      </w:r>
    </w:p>
    <w:p w:rsidR="000C2991" w:rsidRDefault="000C2991" w:rsidP="008A4774">
      <w:pPr>
        <w:jc w:val="both"/>
        <w:rPr>
          <w:rFonts w:cs="Arial"/>
          <w:u w:val="single"/>
        </w:rPr>
      </w:pPr>
    </w:p>
    <w:p w:rsidR="000C2991" w:rsidRDefault="000C2991" w:rsidP="00F6573D">
      <w:pPr>
        <w:pStyle w:val="ListParagraph"/>
        <w:numPr>
          <w:ilvl w:val="0"/>
          <w:numId w:val="12"/>
        </w:numPr>
        <w:tabs>
          <w:tab w:val="left" w:pos="709"/>
        </w:tabs>
        <w:ind w:left="0" w:firstLine="0"/>
        <w:jc w:val="both"/>
      </w:pPr>
      <w:r w:rsidRPr="00373764">
        <w:t xml:space="preserve">The </w:t>
      </w:r>
      <w:r w:rsidRPr="00347CE5">
        <w:rPr>
          <w:rFonts w:cs="Arial"/>
        </w:rPr>
        <w:t>increase</w:t>
      </w:r>
      <w:r w:rsidRPr="00373764">
        <w:t xml:space="preserve"> in resources under ER II.8 (International and domestic IP disputes) reflects a shift in </w:t>
      </w:r>
      <w:r>
        <w:t>p</w:t>
      </w:r>
      <w:r w:rsidRPr="00373764">
        <w:t xml:space="preserve">ersonnel </w:t>
      </w:r>
      <w:r>
        <w:t>r</w:t>
      </w:r>
      <w:r w:rsidRPr="00373764">
        <w:t xml:space="preserve">esources to </w:t>
      </w:r>
      <w:r>
        <w:t xml:space="preserve">better </w:t>
      </w:r>
      <w:r w:rsidRPr="00373764">
        <w:t>manage the demand for WIPO</w:t>
      </w:r>
      <w:r>
        <w:t>’s ADR Services, in particular in response to Member States’ requests.</w:t>
      </w:r>
    </w:p>
    <w:p w:rsidR="000C2991" w:rsidRPr="00373764" w:rsidRDefault="000C2991" w:rsidP="00F6573D">
      <w:pPr>
        <w:pStyle w:val="Default"/>
        <w:tabs>
          <w:tab w:val="left" w:pos="709"/>
        </w:tabs>
        <w:jc w:val="both"/>
        <w:rPr>
          <w:sz w:val="20"/>
          <w:szCs w:val="20"/>
        </w:rPr>
      </w:pPr>
    </w:p>
    <w:p w:rsidR="000C2991" w:rsidRDefault="000C2991" w:rsidP="00F6573D">
      <w:pPr>
        <w:tabs>
          <w:tab w:val="left" w:pos="709"/>
        </w:tabs>
        <w:jc w:val="both"/>
        <w:rPr>
          <w:rFonts w:cs="Arial"/>
          <w:szCs w:val="20"/>
          <w:u w:val="single"/>
          <w:lang w:eastAsia="ko-KR"/>
        </w:rPr>
      </w:pPr>
      <w:r>
        <w:rPr>
          <w:rFonts w:cs="Arial"/>
          <w:szCs w:val="20"/>
          <w:lang w:eastAsia="ko-KR"/>
        </w:rPr>
        <w:t>B.</w:t>
      </w:r>
      <w:r>
        <w:rPr>
          <w:rFonts w:cs="Arial"/>
          <w:szCs w:val="20"/>
          <w:lang w:eastAsia="ko-KR"/>
        </w:rPr>
        <w:tab/>
      </w:r>
      <w:r w:rsidRPr="00420F90">
        <w:rPr>
          <w:rFonts w:cs="Arial"/>
          <w:u w:val="single"/>
        </w:rPr>
        <w:t>201</w:t>
      </w:r>
      <w:r>
        <w:rPr>
          <w:rFonts w:cs="Arial"/>
          <w:u w:val="single"/>
        </w:rPr>
        <w:t xml:space="preserve">4/15 </w:t>
      </w:r>
      <w:r>
        <w:rPr>
          <w:rFonts w:cs="Arial"/>
          <w:szCs w:val="20"/>
          <w:u w:val="single"/>
          <w:lang w:eastAsia="ko-KR"/>
        </w:rPr>
        <w:t xml:space="preserve">Budget Utilization </w:t>
      </w:r>
    </w:p>
    <w:p w:rsidR="000C2991" w:rsidRDefault="000C2991" w:rsidP="00F6573D">
      <w:pPr>
        <w:tabs>
          <w:tab w:val="left" w:pos="709"/>
        </w:tabs>
        <w:jc w:val="both"/>
        <w:rPr>
          <w:rFonts w:cs="Arial"/>
          <w:szCs w:val="20"/>
          <w:u w:val="single"/>
          <w:lang w:eastAsia="ko-KR"/>
        </w:rPr>
      </w:pPr>
    </w:p>
    <w:p w:rsidR="000C2991" w:rsidRDefault="000C2991" w:rsidP="00F6573D">
      <w:pPr>
        <w:pStyle w:val="ListParagraph"/>
        <w:numPr>
          <w:ilvl w:val="0"/>
          <w:numId w:val="12"/>
        </w:numPr>
        <w:tabs>
          <w:tab w:val="left" w:pos="709"/>
        </w:tabs>
        <w:ind w:left="0" w:firstLine="0"/>
        <w:jc w:val="both"/>
      </w:pPr>
      <w:r>
        <w:t xml:space="preserve">Budget utilization in the biennium amounted to 81 percent.  This is primarily due to:  (i) cost savings under the regular budget for staff missions and third party travel under II.8 (International and domestic IP disputes) as a result of additional funding from the Korean Funds-in-Trust;  (ii) </w:t>
      </w:r>
      <w:r w:rsidRPr="00884E59">
        <w:t xml:space="preserve">recruitment-related </w:t>
      </w:r>
      <w:r>
        <w:t>vacancies</w:t>
      </w:r>
      <w:r w:rsidRPr="00884E59">
        <w:t xml:space="preserve"> </w:t>
      </w:r>
      <w:r>
        <w:t>under the fellowship program</w:t>
      </w:r>
      <w:r w:rsidRPr="00884E59">
        <w:t xml:space="preserve"> during the biennium</w:t>
      </w:r>
      <w:r>
        <w:t xml:space="preserve">;  and (iii) a reduction in the need for external consultants and contractors </w:t>
      </w:r>
      <w:r w:rsidRPr="00A40FA2">
        <w:t>due to</w:t>
      </w:r>
      <w:r>
        <w:t xml:space="preserve"> a restructuring of certain IT functions.</w:t>
      </w:r>
    </w:p>
    <w:p w:rsidR="000C2991" w:rsidRDefault="000C2991" w:rsidP="008A4774"/>
    <w:p w:rsidR="000C2991" w:rsidRDefault="000C2991"/>
    <w:p w:rsidR="00794EDE" w:rsidRDefault="00794EDE"/>
    <w:p w:rsidR="00B03EDF" w:rsidRDefault="00B03EDF">
      <w:r>
        <w:br w:type="page"/>
      </w:r>
    </w:p>
    <w:p w:rsidR="00B03EDF" w:rsidRPr="00E07FBB" w:rsidRDefault="00B03EDF" w:rsidP="00C1753F">
      <w:pPr>
        <w:pStyle w:val="StyleHeading214ptAuto"/>
        <w:rPr>
          <w:rFonts w:ascii="Arial" w:hAnsi="Arial"/>
          <w:bCs w:val="0"/>
          <w:caps w:val="0"/>
          <w:sz w:val="20"/>
          <w:szCs w:val="24"/>
          <w:lang w:val="en-US" w:eastAsia="en-US"/>
        </w:rPr>
      </w:pPr>
      <w:bookmarkStart w:id="70" w:name="_Toc454544474"/>
      <w:r w:rsidRPr="00E07FBB">
        <w:rPr>
          <w:rFonts w:ascii="Arial" w:hAnsi="Arial"/>
          <w:bCs w:val="0"/>
          <w:caps w:val="0"/>
          <w:sz w:val="20"/>
          <w:szCs w:val="24"/>
          <w:lang w:val="en-US" w:eastAsia="en-US"/>
        </w:rPr>
        <w:lastRenderedPageBreak/>
        <w:t>STRATEGIC GOAL III</w:t>
      </w:r>
      <w:bookmarkEnd w:id="70"/>
      <w:r w:rsidRPr="00E07FBB">
        <w:rPr>
          <w:rFonts w:ascii="Arial" w:hAnsi="Arial"/>
          <w:bCs w:val="0"/>
          <w:caps w:val="0"/>
          <w:sz w:val="20"/>
          <w:szCs w:val="24"/>
          <w:lang w:val="en-US" w:eastAsia="en-US"/>
        </w:rPr>
        <w:t xml:space="preserve"> </w:t>
      </w:r>
    </w:p>
    <w:p w:rsidR="00B03EDF" w:rsidRDefault="00B03EDF" w:rsidP="00845557"/>
    <w:p w:rsidR="00B03EDF" w:rsidRPr="00304D88" w:rsidRDefault="00B03EDF" w:rsidP="00845557">
      <w:pPr>
        <w:jc w:val="center"/>
      </w:pPr>
      <w:r w:rsidRPr="00845557">
        <w:rPr>
          <w:b/>
        </w:rPr>
        <w:t>FACILITATING THE USE OF IP FOR DEVELOPMENT</w:t>
      </w:r>
    </w:p>
    <w:p w:rsidR="00B03EDF" w:rsidRDefault="00B03EDF" w:rsidP="00845557">
      <w:pPr>
        <w:jc w:val="center"/>
      </w:pPr>
    </w:p>
    <w:p w:rsidR="00E93B3C" w:rsidRPr="00086E9E" w:rsidRDefault="00E93B3C" w:rsidP="00E93B3C">
      <w:pPr>
        <w:jc w:val="center"/>
      </w:pPr>
    </w:p>
    <w:p w:rsidR="00E93B3C" w:rsidRPr="00551736" w:rsidRDefault="00E93B3C" w:rsidP="00E93B3C">
      <w:pPr>
        <w:jc w:val="center"/>
        <w:rPr>
          <w:b/>
        </w:rPr>
      </w:pPr>
      <w:r>
        <w:rPr>
          <w:b/>
        </w:rPr>
        <w:t>Biennial</w:t>
      </w:r>
      <w:r w:rsidRPr="00551736">
        <w:rPr>
          <w:b/>
        </w:rPr>
        <w:t xml:space="preserve"> Performance Dashboard </w:t>
      </w:r>
    </w:p>
    <w:p w:rsidR="00E93B3C" w:rsidRPr="00845557" w:rsidRDefault="00E93B3C" w:rsidP="00E93B3C">
      <w:pPr>
        <w:rPr>
          <w:b/>
        </w:rPr>
      </w:pPr>
    </w:p>
    <w:p w:rsidR="00E93B3C" w:rsidRDefault="00E93B3C" w:rsidP="00E93B3C">
      <w:pPr>
        <w:autoSpaceDE w:val="0"/>
        <w:autoSpaceDN w:val="0"/>
        <w:adjustRightInd w:val="0"/>
        <w:jc w:val="both"/>
        <w:rPr>
          <w:rFonts w:cs="Arial"/>
        </w:rPr>
      </w:pPr>
      <w:r>
        <w:rPr>
          <w:rFonts w:cs="Arial"/>
        </w:rPr>
        <w:t xml:space="preserve">The dashboard below provides a summary of the achievements of the expected results in the biennium 2014/15 as measured by the indicators under the Programs contributing to this Strategic Goal.  </w:t>
      </w:r>
    </w:p>
    <w:p w:rsidR="00E93B3C" w:rsidRDefault="00E93B3C" w:rsidP="00E93B3C">
      <w:pPr>
        <w:jc w:val="center"/>
        <w:rPr>
          <w:rFonts w:cs="Arial"/>
        </w:rPr>
      </w:pPr>
      <w:r>
        <w:rPr>
          <w:rFonts w:cs="Arial"/>
          <w:noProof/>
        </w:rPr>
        <w:drawing>
          <wp:inline distT="0" distB="0" distL="0" distR="0" wp14:anchorId="6BE987DA" wp14:editId="790DB678">
            <wp:extent cx="5327741" cy="2651760"/>
            <wp:effectExtent l="0" t="0" r="635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6" cstate="print">
                      <a:extLst>
                        <a:ext uri="{28A0092B-C50C-407E-A947-70E740481C1C}">
                          <a14:useLocalDpi xmlns:a14="http://schemas.microsoft.com/office/drawing/2010/main" val="0"/>
                        </a:ext>
                      </a:extLst>
                    </a:blip>
                    <a:srcRect/>
                    <a:stretch>
                      <a:fillRect/>
                    </a:stretch>
                  </pic:blipFill>
                  <pic:spPr bwMode="auto">
                    <a:xfrm>
                      <a:off x="0" y="0"/>
                      <a:ext cx="5327741" cy="2651760"/>
                    </a:xfrm>
                    <a:prstGeom prst="rect">
                      <a:avLst/>
                    </a:prstGeom>
                    <a:noFill/>
                  </pic:spPr>
                </pic:pic>
              </a:graphicData>
            </a:graphic>
          </wp:inline>
        </w:drawing>
      </w:r>
    </w:p>
    <w:p w:rsidR="00E93B3C" w:rsidRDefault="00E93B3C" w:rsidP="00E93B3C">
      <w:pPr>
        <w:jc w:val="center"/>
      </w:pPr>
    </w:p>
    <w:tbl>
      <w:tblPr>
        <w:tblW w:w="4941"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794"/>
        <w:gridCol w:w="4288"/>
        <w:gridCol w:w="1390"/>
        <w:gridCol w:w="986"/>
      </w:tblGrid>
      <w:tr w:rsidR="00E93B3C" w:rsidRPr="0016774F" w:rsidTr="00547ACE">
        <w:trPr>
          <w:cantSplit/>
          <w:tblHeader/>
        </w:trPr>
        <w:tc>
          <w:tcPr>
            <w:tcW w:w="1477" w:type="pct"/>
            <w:tcBorders>
              <w:top w:val="single" w:sz="4" w:space="0" w:color="auto"/>
              <w:bottom w:val="single" w:sz="4" w:space="0" w:color="auto"/>
            </w:tcBorders>
            <w:shd w:val="clear" w:color="auto" w:fill="DAEEF3" w:themeFill="accent5" w:themeFillTint="33"/>
            <w:tcMar>
              <w:top w:w="113" w:type="dxa"/>
              <w:bottom w:w="57" w:type="dxa"/>
            </w:tcMar>
            <w:vAlign w:val="center"/>
          </w:tcPr>
          <w:p w:rsidR="00E93B3C" w:rsidRPr="0016774F" w:rsidRDefault="00E93B3C" w:rsidP="00547ACE">
            <w:pPr>
              <w:spacing w:after="120"/>
              <w:rPr>
                <w:rFonts w:cs="Arial"/>
                <w:b/>
                <w:bCs/>
                <w:sz w:val="16"/>
                <w:szCs w:val="16"/>
              </w:rPr>
            </w:pPr>
            <w:r w:rsidRPr="0016774F">
              <w:rPr>
                <w:rFonts w:cs="Arial"/>
                <w:b/>
                <w:bCs/>
                <w:sz w:val="16"/>
                <w:szCs w:val="16"/>
              </w:rPr>
              <w:t>Expected Results</w:t>
            </w:r>
          </w:p>
        </w:tc>
        <w:tc>
          <w:tcPr>
            <w:tcW w:w="2267" w:type="pct"/>
            <w:tcBorders>
              <w:top w:val="single" w:sz="4" w:space="0" w:color="auto"/>
              <w:bottom w:val="single" w:sz="4" w:space="0" w:color="auto"/>
            </w:tcBorders>
            <w:shd w:val="clear" w:color="auto" w:fill="DAEEF3" w:themeFill="accent5" w:themeFillTint="33"/>
            <w:tcMar>
              <w:top w:w="113" w:type="dxa"/>
              <w:bottom w:w="57" w:type="dxa"/>
            </w:tcMar>
            <w:vAlign w:val="center"/>
          </w:tcPr>
          <w:p w:rsidR="00E93B3C" w:rsidRPr="0016774F" w:rsidRDefault="00E93B3C" w:rsidP="00547ACE">
            <w:pPr>
              <w:spacing w:after="120"/>
              <w:rPr>
                <w:rFonts w:cs="Arial"/>
                <w:b/>
                <w:bCs/>
                <w:sz w:val="16"/>
                <w:szCs w:val="16"/>
              </w:rPr>
            </w:pPr>
            <w:r w:rsidRPr="0016774F">
              <w:rPr>
                <w:rFonts w:cs="Arial"/>
                <w:b/>
                <w:bCs/>
                <w:sz w:val="16"/>
                <w:szCs w:val="16"/>
              </w:rPr>
              <w:t>Performance Indicators</w:t>
            </w:r>
          </w:p>
        </w:tc>
        <w:tc>
          <w:tcPr>
            <w:tcW w:w="735" w:type="pct"/>
            <w:tcBorders>
              <w:top w:val="single" w:sz="4" w:space="0" w:color="auto"/>
              <w:bottom w:val="single" w:sz="4" w:space="0" w:color="auto"/>
            </w:tcBorders>
            <w:shd w:val="clear" w:color="auto" w:fill="DAEEF3" w:themeFill="accent5" w:themeFillTint="33"/>
            <w:tcMar>
              <w:top w:w="113" w:type="dxa"/>
              <w:bottom w:w="57" w:type="dxa"/>
            </w:tcMar>
            <w:vAlign w:val="center"/>
          </w:tcPr>
          <w:p w:rsidR="00E93B3C" w:rsidRPr="0016774F" w:rsidRDefault="00E93B3C" w:rsidP="00547ACE">
            <w:pPr>
              <w:spacing w:after="120"/>
              <w:ind w:left="85"/>
              <w:jc w:val="center"/>
              <w:rPr>
                <w:rFonts w:cs="Arial"/>
                <w:b/>
                <w:bCs/>
                <w:sz w:val="16"/>
                <w:szCs w:val="16"/>
              </w:rPr>
            </w:pPr>
            <w:r w:rsidRPr="0016774F">
              <w:rPr>
                <w:rFonts w:cs="Arial"/>
                <w:b/>
                <w:bCs/>
                <w:sz w:val="16"/>
                <w:szCs w:val="16"/>
              </w:rPr>
              <w:t>Responsible Program(s)</w:t>
            </w:r>
          </w:p>
        </w:tc>
        <w:tc>
          <w:tcPr>
            <w:tcW w:w="521" w:type="pct"/>
            <w:tcBorders>
              <w:top w:val="single" w:sz="4" w:space="0" w:color="auto"/>
              <w:bottom w:val="single" w:sz="4" w:space="0" w:color="auto"/>
            </w:tcBorders>
            <w:shd w:val="clear" w:color="auto" w:fill="DAEEF3" w:themeFill="accent5" w:themeFillTint="33"/>
            <w:vAlign w:val="center"/>
          </w:tcPr>
          <w:p w:rsidR="00E93B3C" w:rsidRPr="0016774F" w:rsidRDefault="00E93B3C" w:rsidP="00547ACE">
            <w:pPr>
              <w:spacing w:after="120"/>
              <w:ind w:left="85"/>
              <w:jc w:val="center"/>
              <w:rPr>
                <w:rFonts w:cs="Arial"/>
                <w:b/>
                <w:bCs/>
                <w:sz w:val="16"/>
                <w:szCs w:val="16"/>
              </w:rPr>
            </w:pPr>
            <w:r>
              <w:rPr>
                <w:rFonts w:cs="Arial"/>
                <w:b/>
                <w:bCs/>
                <w:sz w:val="16"/>
                <w:szCs w:val="16"/>
              </w:rPr>
              <w:t>TLS</w:t>
            </w:r>
          </w:p>
        </w:tc>
      </w:tr>
      <w:tr w:rsidR="00E93B3C" w:rsidRPr="0016774F" w:rsidTr="00547ACE">
        <w:trPr>
          <w:cantSplit/>
        </w:trPr>
        <w:tc>
          <w:tcPr>
            <w:tcW w:w="1477" w:type="pct"/>
            <w:tcBorders>
              <w:top w:val="single" w:sz="4" w:space="0" w:color="auto"/>
            </w:tcBorders>
            <w:shd w:val="clear" w:color="auto" w:fill="auto"/>
            <w:tcMar>
              <w:top w:w="113" w:type="dxa"/>
              <w:bottom w:w="57" w:type="dxa"/>
            </w:tcMar>
          </w:tcPr>
          <w:p w:rsidR="00E93B3C" w:rsidRPr="0016774F" w:rsidRDefault="00E93B3C" w:rsidP="00547ACE">
            <w:pPr>
              <w:rPr>
                <w:rFonts w:cs="Arial"/>
                <w:sz w:val="16"/>
                <w:szCs w:val="16"/>
              </w:rPr>
            </w:pPr>
            <w:r w:rsidRPr="0016774F">
              <w:rPr>
                <w:rFonts w:cs="Arial"/>
                <w:sz w:val="16"/>
                <w:szCs w:val="16"/>
              </w:rPr>
              <w:t>III.1</w:t>
            </w:r>
            <w:r>
              <w:rPr>
                <w:rFonts w:cs="Arial"/>
                <w:sz w:val="16"/>
                <w:szCs w:val="16"/>
              </w:rPr>
              <w:t xml:space="preserve"> </w:t>
            </w:r>
            <w:r w:rsidRPr="0016774F">
              <w:rPr>
                <w:rFonts w:cs="Arial"/>
                <w:sz w:val="16"/>
                <w:szCs w:val="16"/>
              </w:rPr>
              <w:t xml:space="preserve"> National innovation and IP strategies and plans consistent with national development objectives</w:t>
            </w:r>
            <w:r w:rsidRPr="0016774F">
              <w:rPr>
                <w:rFonts w:cs="Arial"/>
                <w:sz w:val="15"/>
                <w:szCs w:val="15"/>
              </w:rPr>
              <w:t xml:space="preserve"> </w:t>
            </w:r>
          </w:p>
        </w:tc>
        <w:tc>
          <w:tcPr>
            <w:tcW w:w="2267" w:type="pct"/>
            <w:tcBorders>
              <w:top w:val="single" w:sz="4" w:space="0" w:color="auto"/>
            </w:tcBorders>
            <w:shd w:val="clear" w:color="auto" w:fill="auto"/>
            <w:tcMar>
              <w:top w:w="113" w:type="dxa"/>
              <w:bottom w:w="57" w:type="dxa"/>
            </w:tcMar>
          </w:tcPr>
          <w:p w:rsidR="00E93B3C" w:rsidRPr="0016774F" w:rsidRDefault="00E93B3C" w:rsidP="00547ACE">
            <w:pPr>
              <w:rPr>
                <w:rFonts w:cs="Arial"/>
                <w:sz w:val="16"/>
                <w:szCs w:val="16"/>
              </w:rPr>
            </w:pPr>
            <w:r w:rsidRPr="0016774F">
              <w:rPr>
                <w:rFonts w:cs="Arial"/>
                <w:sz w:val="16"/>
                <w:szCs w:val="16"/>
              </w:rPr>
              <w:t>No. of countries which are in the process of formulating/adopting national IP strategies and/or development plans</w:t>
            </w:r>
          </w:p>
        </w:tc>
        <w:tc>
          <w:tcPr>
            <w:tcW w:w="735" w:type="pct"/>
            <w:tcBorders>
              <w:top w:val="single" w:sz="4" w:space="0" w:color="auto"/>
            </w:tcBorders>
            <w:shd w:val="clear" w:color="auto" w:fill="FFFFFF"/>
            <w:tcMar>
              <w:top w:w="113" w:type="dxa"/>
              <w:bottom w:w="57" w:type="dxa"/>
            </w:tcMar>
          </w:tcPr>
          <w:p w:rsidR="00E93B3C" w:rsidRPr="0016774F" w:rsidRDefault="00E93B3C" w:rsidP="00547ACE">
            <w:pPr>
              <w:jc w:val="center"/>
              <w:rPr>
                <w:rFonts w:cs="Arial"/>
                <w:sz w:val="16"/>
                <w:szCs w:val="16"/>
                <w:lang w:bidi="th-TH"/>
              </w:rPr>
            </w:pPr>
            <w:r w:rsidRPr="0016774F">
              <w:rPr>
                <w:rFonts w:cs="Arial"/>
                <w:sz w:val="16"/>
                <w:szCs w:val="16"/>
                <w:lang w:bidi="th-TH"/>
              </w:rPr>
              <w:t>Program 9</w:t>
            </w:r>
          </w:p>
        </w:tc>
        <w:tc>
          <w:tcPr>
            <w:tcW w:w="521" w:type="pct"/>
            <w:tcBorders>
              <w:top w:val="single" w:sz="4" w:space="0" w:color="auto"/>
            </w:tcBorders>
            <w:shd w:val="clear" w:color="auto" w:fill="FFFFFF"/>
          </w:tcPr>
          <w:p w:rsidR="00E93B3C" w:rsidRPr="00CC3F44" w:rsidRDefault="00E93B3C" w:rsidP="00547ACE">
            <w:pPr>
              <w:jc w:val="center"/>
            </w:pPr>
            <w:r w:rsidRPr="00CC3F44">
              <w:rPr>
                <w:rFonts w:cs="Arial"/>
                <w:color w:val="008000"/>
                <w:sz w:val="22"/>
                <w:szCs w:val="22"/>
              </w:rPr>
              <w:sym w:font="Wingdings" w:char="F06C"/>
            </w:r>
            <w:r w:rsidRPr="00CC3F44">
              <w:rPr>
                <w:rFonts w:cs="Arial"/>
                <w:color w:val="FF0000"/>
                <w:sz w:val="22"/>
                <w:szCs w:val="22"/>
              </w:rPr>
              <w:sym w:font="Wingdings" w:char="F06C"/>
            </w:r>
            <w:r w:rsidRPr="00CC3F44">
              <w:rPr>
                <w:rFonts w:cs="Arial"/>
                <w:color w:val="008000"/>
                <w:sz w:val="22"/>
                <w:szCs w:val="22"/>
              </w:rPr>
              <w:sym w:font="Wingdings" w:char="F06C"/>
            </w:r>
            <w:r w:rsidRPr="00CC3F44">
              <w:rPr>
                <w:rFonts w:cs="Arial"/>
                <w:color w:val="008000"/>
                <w:sz w:val="22"/>
                <w:szCs w:val="22"/>
              </w:rPr>
              <w:sym w:font="Wingdings" w:char="F06C"/>
            </w:r>
            <w:r w:rsidRPr="00CC3F44">
              <w:rPr>
                <w:rFonts w:cs="Arial"/>
                <w:color w:val="008000"/>
                <w:sz w:val="22"/>
                <w:szCs w:val="22"/>
              </w:rPr>
              <w:sym w:font="Wingdings" w:char="F06C"/>
            </w:r>
          </w:p>
        </w:tc>
      </w:tr>
      <w:tr w:rsidR="00E93B3C" w:rsidRPr="0016774F" w:rsidTr="00547ACE">
        <w:trPr>
          <w:cantSplit/>
          <w:trHeight w:val="589"/>
        </w:trPr>
        <w:tc>
          <w:tcPr>
            <w:tcW w:w="1477" w:type="pct"/>
            <w:shd w:val="clear" w:color="auto" w:fill="auto"/>
            <w:tcMar>
              <w:top w:w="113" w:type="dxa"/>
              <w:bottom w:w="57" w:type="dxa"/>
            </w:tcMar>
          </w:tcPr>
          <w:p w:rsidR="00E93B3C" w:rsidRPr="0016774F" w:rsidRDefault="00E93B3C" w:rsidP="00547ACE">
            <w:pPr>
              <w:rPr>
                <w:rFonts w:cs="Arial"/>
                <w:sz w:val="16"/>
                <w:szCs w:val="16"/>
              </w:rPr>
            </w:pPr>
          </w:p>
        </w:tc>
        <w:tc>
          <w:tcPr>
            <w:tcW w:w="2267" w:type="pct"/>
            <w:shd w:val="clear" w:color="auto" w:fill="auto"/>
            <w:tcMar>
              <w:top w:w="113" w:type="dxa"/>
              <w:bottom w:w="57" w:type="dxa"/>
            </w:tcMar>
          </w:tcPr>
          <w:p w:rsidR="00E93B3C" w:rsidRPr="0016774F" w:rsidRDefault="00E93B3C" w:rsidP="00547ACE">
            <w:pPr>
              <w:rPr>
                <w:rFonts w:cs="Arial"/>
                <w:sz w:val="16"/>
                <w:szCs w:val="16"/>
              </w:rPr>
            </w:pPr>
            <w:r w:rsidRPr="0016774F">
              <w:rPr>
                <w:rFonts w:cs="Arial"/>
                <w:sz w:val="16"/>
                <w:szCs w:val="16"/>
              </w:rPr>
              <w:t>No. of countries which have adopted and are implementing national IP strategies and/or development plans</w:t>
            </w:r>
          </w:p>
        </w:tc>
        <w:tc>
          <w:tcPr>
            <w:tcW w:w="735" w:type="pct"/>
            <w:shd w:val="clear" w:color="auto" w:fill="FFFFFF"/>
            <w:tcMar>
              <w:top w:w="113" w:type="dxa"/>
              <w:bottom w:w="57" w:type="dxa"/>
            </w:tcMar>
          </w:tcPr>
          <w:p w:rsidR="00E93B3C" w:rsidRPr="0016774F" w:rsidRDefault="00E93B3C" w:rsidP="00547ACE">
            <w:pPr>
              <w:jc w:val="center"/>
              <w:rPr>
                <w:rFonts w:cs="Arial"/>
                <w:sz w:val="16"/>
                <w:szCs w:val="16"/>
                <w:lang w:bidi="th-TH"/>
              </w:rPr>
            </w:pPr>
            <w:r w:rsidRPr="0016774F">
              <w:rPr>
                <w:rFonts w:cs="Arial"/>
                <w:sz w:val="16"/>
                <w:szCs w:val="16"/>
                <w:lang w:bidi="th-TH"/>
              </w:rPr>
              <w:t>Program 9</w:t>
            </w:r>
          </w:p>
        </w:tc>
        <w:tc>
          <w:tcPr>
            <w:tcW w:w="521" w:type="pct"/>
            <w:shd w:val="clear" w:color="auto" w:fill="FFFFFF"/>
          </w:tcPr>
          <w:p w:rsidR="00E93B3C" w:rsidRPr="00CC3F44" w:rsidRDefault="00E93B3C" w:rsidP="00547ACE">
            <w:pPr>
              <w:jc w:val="center"/>
              <w:rPr>
                <w:rFonts w:cs="Arial"/>
                <w:color w:val="FF0000"/>
                <w:sz w:val="22"/>
                <w:szCs w:val="22"/>
              </w:rPr>
            </w:pPr>
            <w:r w:rsidRPr="00CC3F44">
              <w:rPr>
                <w:rFonts w:cs="Arial"/>
                <w:color w:val="008000"/>
                <w:sz w:val="22"/>
                <w:szCs w:val="22"/>
              </w:rPr>
              <w:sym w:font="Wingdings" w:char="F06C"/>
            </w:r>
            <w:r w:rsidRPr="00CC3F44">
              <w:rPr>
                <w:rFonts w:cs="Arial"/>
                <w:color w:val="FF0000"/>
                <w:sz w:val="22"/>
                <w:szCs w:val="22"/>
              </w:rPr>
              <w:sym w:font="Wingdings" w:char="F06C"/>
            </w:r>
            <w:r w:rsidRPr="00CC3F44">
              <w:rPr>
                <w:rFonts w:cs="Arial"/>
                <w:color w:val="008000"/>
                <w:sz w:val="22"/>
                <w:szCs w:val="22"/>
              </w:rPr>
              <w:sym w:font="Wingdings" w:char="F06C"/>
            </w:r>
            <w:r w:rsidRPr="00CC3F44">
              <w:rPr>
                <w:rFonts w:cs="Arial"/>
                <w:color w:val="E26B0A"/>
                <w:sz w:val="22"/>
                <w:szCs w:val="22"/>
              </w:rPr>
              <w:sym w:font="Wingdings" w:char="F06C"/>
            </w:r>
            <w:r w:rsidRPr="00CC3F44">
              <w:rPr>
                <w:rFonts w:cs="Arial"/>
                <w:color w:val="008000"/>
                <w:sz w:val="22"/>
                <w:szCs w:val="22"/>
              </w:rPr>
              <w:sym w:font="Wingdings" w:char="F06C"/>
            </w:r>
          </w:p>
        </w:tc>
      </w:tr>
      <w:tr w:rsidR="00E93B3C" w:rsidRPr="0016774F" w:rsidTr="00547ACE">
        <w:trPr>
          <w:cantSplit/>
          <w:trHeight w:val="274"/>
        </w:trPr>
        <w:tc>
          <w:tcPr>
            <w:tcW w:w="1477" w:type="pct"/>
            <w:shd w:val="clear" w:color="auto" w:fill="auto"/>
            <w:tcMar>
              <w:top w:w="113" w:type="dxa"/>
              <w:bottom w:w="57" w:type="dxa"/>
            </w:tcMar>
          </w:tcPr>
          <w:p w:rsidR="00E93B3C" w:rsidRPr="0016774F" w:rsidRDefault="00E93B3C" w:rsidP="00547ACE">
            <w:pPr>
              <w:rPr>
                <w:rFonts w:cs="Arial"/>
                <w:sz w:val="16"/>
                <w:szCs w:val="16"/>
              </w:rPr>
            </w:pPr>
          </w:p>
        </w:tc>
        <w:tc>
          <w:tcPr>
            <w:tcW w:w="2267" w:type="pct"/>
            <w:shd w:val="clear" w:color="auto" w:fill="auto"/>
            <w:tcMar>
              <w:top w:w="113" w:type="dxa"/>
              <w:bottom w:w="57" w:type="dxa"/>
            </w:tcMar>
          </w:tcPr>
          <w:p w:rsidR="00E93B3C" w:rsidRPr="0016774F" w:rsidRDefault="00E93B3C" w:rsidP="00547ACE">
            <w:pPr>
              <w:rPr>
                <w:rFonts w:cs="Arial"/>
                <w:sz w:val="16"/>
                <w:szCs w:val="16"/>
              </w:rPr>
            </w:pPr>
            <w:r w:rsidRPr="0016774F">
              <w:rPr>
                <w:rFonts w:cs="Arial"/>
                <w:sz w:val="16"/>
                <w:szCs w:val="16"/>
              </w:rPr>
              <w:t>No. of Universities having developed IP policies</w:t>
            </w:r>
          </w:p>
        </w:tc>
        <w:tc>
          <w:tcPr>
            <w:tcW w:w="735" w:type="pct"/>
            <w:shd w:val="clear" w:color="auto" w:fill="FFFFFF"/>
            <w:tcMar>
              <w:top w:w="113" w:type="dxa"/>
              <w:bottom w:w="57" w:type="dxa"/>
            </w:tcMar>
          </w:tcPr>
          <w:p w:rsidR="00E93B3C" w:rsidRPr="0016774F" w:rsidRDefault="00E93B3C" w:rsidP="00547ACE">
            <w:pPr>
              <w:jc w:val="center"/>
              <w:rPr>
                <w:rFonts w:cs="Arial"/>
                <w:sz w:val="16"/>
                <w:szCs w:val="16"/>
                <w:lang w:bidi="th-TH"/>
              </w:rPr>
            </w:pPr>
            <w:r>
              <w:rPr>
                <w:rFonts w:cs="Arial"/>
                <w:sz w:val="16"/>
                <w:szCs w:val="16"/>
                <w:lang w:bidi="th-TH"/>
              </w:rPr>
              <w:t>Program</w:t>
            </w:r>
            <w:r w:rsidRPr="0016774F">
              <w:rPr>
                <w:rFonts w:cs="Arial"/>
                <w:sz w:val="16"/>
                <w:szCs w:val="16"/>
                <w:lang w:bidi="th-TH"/>
              </w:rPr>
              <w:t>10</w:t>
            </w:r>
          </w:p>
        </w:tc>
        <w:tc>
          <w:tcPr>
            <w:tcW w:w="521" w:type="pct"/>
            <w:shd w:val="clear" w:color="auto" w:fill="FFFFFF"/>
          </w:tcPr>
          <w:p w:rsidR="00E93B3C" w:rsidRPr="00CC3F44" w:rsidRDefault="00E93B3C" w:rsidP="00547ACE">
            <w:pPr>
              <w:jc w:val="center"/>
            </w:pPr>
            <w:r w:rsidRPr="00CC3F44">
              <w:rPr>
                <w:rFonts w:cs="Arial"/>
                <w:color w:val="008000"/>
                <w:sz w:val="22"/>
                <w:szCs w:val="22"/>
              </w:rPr>
              <w:sym w:font="Wingdings" w:char="F06C"/>
            </w:r>
          </w:p>
        </w:tc>
      </w:tr>
      <w:tr w:rsidR="00E93B3C" w:rsidRPr="0016774F" w:rsidTr="00547ACE">
        <w:trPr>
          <w:cantSplit/>
          <w:trHeight w:val="382"/>
        </w:trPr>
        <w:tc>
          <w:tcPr>
            <w:tcW w:w="1477" w:type="pct"/>
            <w:vMerge w:val="restart"/>
            <w:shd w:val="clear" w:color="auto" w:fill="auto"/>
            <w:tcMar>
              <w:top w:w="113" w:type="dxa"/>
              <w:bottom w:w="57" w:type="dxa"/>
            </w:tcMar>
          </w:tcPr>
          <w:p w:rsidR="00E93B3C" w:rsidRPr="0016774F" w:rsidRDefault="00E93B3C" w:rsidP="00547ACE">
            <w:pPr>
              <w:rPr>
                <w:rFonts w:cs="Arial"/>
                <w:sz w:val="16"/>
                <w:szCs w:val="16"/>
              </w:rPr>
            </w:pPr>
          </w:p>
        </w:tc>
        <w:tc>
          <w:tcPr>
            <w:tcW w:w="2267" w:type="pct"/>
            <w:shd w:val="clear" w:color="auto" w:fill="auto"/>
            <w:tcMar>
              <w:top w:w="113" w:type="dxa"/>
              <w:bottom w:w="57" w:type="dxa"/>
            </w:tcMar>
          </w:tcPr>
          <w:p w:rsidR="00E93B3C" w:rsidRPr="0016774F" w:rsidRDefault="00E93B3C" w:rsidP="00547ACE">
            <w:pPr>
              <w:rPr>
                <w:rFonts w:cs="Arial"/>
                <w:sz w:val="16"/>
                <w:szCs w:val="16"/>
              </w:rPr>
            </w:pPr>
            <w:r w:rsidRPr="0016774F">
              <w:rPr>
                <w:rFonts w:cs="Arial"/>
                <w:sz w:val="16"/>
                <w:szCs w:val="16"/>
              </w:rPr>
              <w:t>No. of countries having developed national IP strategies/plans</w:t>
            </w:r>
          </w:p>
        </w:tc>
        <w:tc>
          <w:tcPr>
            <w:tcW w:w="735" w:type="pct"/>
            <w:shd w:val="clear" w:color="auto" w:fill="FFFFFF"/>
            <w:tcMar>
              <w:top w:w="113" w:type="dxa"/>
              <w:bottom w:w="57" w:type="dxa"/>
            </w:tcMar>
          </w:tcPr>
          <w:p w:rsidR="00E93B3C" w:rsidRDefault="00E93B3C" w:rsidP="00547ACE">
            <w:pPr>
              <w:jc w:val="center"/>
              <w:rPr>
                <w:rFonts w:cs="Arial"/>
                <w:sz w:val="16"/>
                <w:szCs w:val="16"/>
                <w:lang w:bidi="th-TH"/>
              </w:rPr>
            </w:pPr>
            <w:r w:rsidRPr="0016774F">
              <w:rPr>
                <w:rFonts w:cs="Arial"/>
                <w:sz w:val="16"/>
                <w:szCs w:val="16"/>
                <w:lang w:bidi="th-TH"/>
              </w:rPr>
              <w:t>Program 10</w:t>
            </w:r>
          </w:p>
          <w:p w:rsidR="00E93B3C" w:rsidRPr="0016774F" w:rsidRDefault="00E93B3C" w:rsidP="00547ACE">
            <w:pPr>
              <w:jc w:val="center"/>
              <w:rPr>
                <w:rFonts w:cs="Arial"/>
                <w:sz w:val="16"/>
                <w:szCs w:val="16"/>
                <w:lang w:bidi="th-TH"/>
              </w:rPr>
            </w:pPr>
          </w:p>
        </w:tc>
        <w:tc>
          <w:tcPr>
            <w:tcW w:w="521" w:type="pct"/>
            <w:shd w:val="clear" w:color="auto" w:fill="FFFFFF"/>
          </w:tcPr>
          <w:p w:rsidR="00E93B3C" w:rsidRPr="00CC3F44" w:rsidRDefault="00E93B3C" w:rsidP="00547ACE">
            <w:pPr>
              <w:jc w:val="center"/>
            </w:pPr>
            <w:r w:rsidRPr="00CC3F44">
              <w:rPr>
                <w:rFonts w:cs="Arial"/>
                <w:color w:val="008000"/>
                <w:sz w:val="22"/>
                <w:szCs w:val="22"/>
              </w:rPr>
              <w:sym w:font="Wingdings" w:char="F06C"/>
            </w:r>
          </w:p>
        </w:tc>
      </w:tr>
      <w:tr w:rsidR="00E93B3C" w:rsidRPr="0016774F" w:rsidTr="00547ACE">
        <w:trPr>
          <w:cantSplit/>
          <w:trHeight w:val="454"/>
        </w:trPr>
        <w:tc>
          <w:tcPr>
            <w:tcW w:w="1477" w:type="pct"/>
            <w:vMerge/>
            <w:shd w:val="clear" w:color="auto" w:fill="auto"/>
            <w:tcMar>
              <w:top w:w="113" w:type="dxa"/>
              <w:bottom w:w="57" w:type="dxa"/>
            </w:tcMar>
          </w:tcPr>
          <w:p w:rsidR="00E93B3C" w:rsidRPr="0016774F" w:rsidRDefault="00E93B3C" w:rsidP="00547ACE">
            <w:pPr>
              <w:rPr>
                <w:rFonts w:cs="Arial"/>
                <w:sz w:val="16"/>
                <w:szCs w:val="16"/>
              </w:rPr>
            </w:pPr>
          </w:p>
        </w:tc>
        <w:tc>
          <w:tcPr>
            <w:tcW w:w="2267" w:type="pct"/>
            <w:shd w:val="clear" w:color="auto" w:fill="auto"/>
            <w:tcMar>
              <w:top w:w="113" w:type="dxa"/>
              <w:bottom w:w="57" w:type="dxa"/>
            </w:tcMar>
          </w:tcPr>
          <w:p w:rsidR="00E93B3C" w:rsidRPr="0016774F" w:rsidRDefault="00E93B3C" w:rsidP="00547ACE">
            <w:pPr>
              <w:rPr>
                <w:rFonts w:cs="Arial"/>
                <w:sz w:val="16"/>
                <w:szCs w:val="16"/>
              </w:rPr>
            </w:pPr>
            <w:r>
              <w:rPr>
                <w:rFonts w:cs="Arial"/>
                <w:sz w:val="16"/>
                <w:szCs w:val="16"/>
              </w:rPr>
              <w:t>No. of countries with national innovation policies initiated, in progress or adopted</w:t>
            </w:r>
          </w:p>
        </w:tc>
        <w:tc>
          <w:tcPr>
            <w:tcW w:w="735" w:type="pct"/>
            <w:shd w:val="clear" w:color="auto" w:fill="FFFFFF"/>
            <w:tcMar>
              <w:top w:w="113" w:type="dxa"/>
              <w:bottom w:w="57" w:type="dxa"/>
            </w:tcMar>
          </w:tcPr>
          <w:p w:rsidR="00E93B3C" w:rsidRPr="0016774F" w:rsidRDefault="00E93B3C" w:rsidP="00547ACE">
            <w:pPr>
              <w:jc w:val="center"/>
              <w:rPr>
                <w:rFonts w:cs="Arial"/>
                <w:sz w:val="16"/>
                <w:szCs w:val="16"/>
                <w:lang w:bidi="th-TH"/>
              </w:rPr>
            </w:pPr>
            <w:r>
              <w:rPr>
                <w:rFonts w:cs="Arial"/>
                <w:sz w:val="16"/>
                <w:szCs w:val="16"/>
                <w:lang w:bidi="th-TH"/>
              </w:rPr>
              <w:t>Program 3</w:t>
            </w:r>
            <w:r w:rsidRPr="0016774F">
              <w:rPr>
                <w:rFonts w:cs="Arial"/>
                <w:sz w:val="16"/>
                <w:szCs w:val="16"/>
                <w:lang w:bidi="th-TH"/>
              </w:rPr>
              <w:t>0</w:t>
            </w:r>
          </w:p>
        </w:tc>
        <w:tc>
          <w:tcPr>
            <w:tcW w:w="521" w:type="pct"/>
            <w:shd w:val="clear" w:color="auto" w:fill="FFFFFF"/>
          </w:tcPr>
          <w:p w:rsidR="00E93B3C" w:rsidRPr="00CC3F44" w:rsidRDefault="00E93B3C" w:rsidP="00547ACE">
            <w:pPr>
              <w:jc w:val="center"/>
              <w:rPr>
                <w:rFonts w:cs="Arial"/>
                <w:color w:val="A6A6A6" w:themeColor="background1" w:themeShade="A6"/>
                <w:sz w:val="22"/>
                <w:szCs w:val="22"/>
              </w:rPr>
            </w:pPr>
            <w:r w:rsidRPr="00CC3F44">
              <w:rPr>
                <w:rFonts w:cs="Arial"/>
                <w:color w:val="008000"/>
                <w:sz w:val="22"/>
                <w:szCs w:val="22"/>
              </w:rPr>
              <w:sym w:font="Wingdings" w:char="F06C"/>
            </w:r>
          </w:p>
        </w:tc>
      </w:tr>
      <w:tr w:rsidR="00E93B3C" w:rsidRPr="0016774F" w:rsidTr="00547ACE">
        <w:trPr>
          <w:cantSplit/>
          <w:trHeight w:val="643"/>
        </w:trPr>
        <w:tc>
          <w:tcPr>
            <w:tcW w:w="1477" w:type="pct"/>
            <w:vMerge w:val="restart"/>
            <w:shd w:val="clear" w:color="auto" w:fill="auto"/>
            <w:tcMar>
              <w:top w:w="113" w:type="dxa"/>
              <w:bottom w:w="57" w:type="dxa"/>
            </w:tcMar>
          </w:tcPr>
          <w:p w:rsidR="00E93B3C" w:rsidRPr="0016774F" w:rsidRDefault="00E93B3C" w:rsidP="00547ACE">
            <w:pPr>
              <w:rPr>
                <w:rFonts w:cs="Arial"/>
                <w:sz w:val="16"/>
                <w:szCs w:val="16"/>
              </w:rPr>
            </w:pPr>
            <w:r w:rsidRPr="0016774F">
              <w:rPr>
                <w:rFonts w:cs="Arial"/>
                <w:sz w:val="16"/>
                <w:szCs w:val="16"/>
              </w:rPr>
              <w:t>III.2</w:t>
            </w:r>
            <w:r>
              <w:rPr>
                <w:rFonts w:cs="Arial"/>
                <w:sz w:val="16"/>
                <w:szCs w:val="16"/>
              </w:rPr>
              <w:t xml:space="preserve"> </w:t>
            </w:r>
            <w:r w:rsidRPr="0016774F">
              <w:rPr>
                <w:rFonts w:cs="Arial"/>
                <w:sz w:val="16"/>
                <w:szCs w:val="16"/>
              </w:rPr>
              <w:t xml:space="preserve"> Enhanced human resource capacities able to deal with the broad range of requirements for the effective use of IP for development in developing countries, LDCs and countries with economies in transition</w:t>
            </w:r>
          </w:p>
        </w:tc>
        <w:tc>
          <w:tcPr>
            <w:tcW w:w="2267" w:type="pct"/>
            <w:shd w:val="clear" w:color="auto" w:fill="auto"/>
            <w:tcMar>
              <w:top w:w="113" w:type="dxa"/>
              <w:bottom w:w="57" w:type="dxa"/>
            </w:tcMar>
          </w:tcPr>
          <w:p w:rsidR="00E93B3C" w:rsidRPr="0016774F" w:rsidRDefault="00E93B3C" w:rsidP="00547ACE">
            <w:pPr>
              <w:rPr>
                <w:rFonts w:cs="Arial"/>
                <w:sz w:val="16"/>
                <w:szCs w:val="16"/>
              </w:rPr>
            </w:pPr>
            <w:r w:rsidRPr="0016774F">
              <w:rPr>
                <w:rFonts w:cs="Arial"/>
                <w:sz w:val="16"/>
                <w:szCs w:val="16"/>
              </w:rPr>
              <w:t>No. of governments and CMOs signing an agreement with WIPO to develop a new transparency, accountability and governance quality assurance standard</w:t>
            </w:r>
          </w:p>
        </w:tc>
        <w:tc>
          <w:tcPr>
            <w:tcW w:w="735" w:type="pct"/>
            <w:shd w:val="clear" w:color="auto" w:fill="FFFFFF"/>
            <w:tcMar>
              <w:top w:w="113" w:type="dxa"/>
              <w:bottom w:w="57" w:type="dxa"/>
            </w:tcMar>
          </w:tcPr>
          <w:p w:rsidR="00E93B3C" w:rsidRPr="0016774F" w:rsidRDefault="00E93B3C" w:rsidP="00547ACE">
            <w:pPr>
              <w:jc w:val="center"/>
              <w:rPr>
                <w:rFonts w:cs="Arial"/>
                <w:sz w:val="16"/>
                <w:szCs w:val="16"/>
                <w:lang w:bidi="th-TH"/>
              </w:rPr>
            </w:pPr>
            <w:r w:rsidRPr="0016774F">
              <w:rPr>
                <w:rFonts w:cs="Arial"/>
                <w:sz w:val="16"/>
                <w:szCs w:val="16"/>
                <w:lang w:bidi="th-TH"/>
              </w:rPr>
              <w:t>Program 3</w:t>
            </w:r>
          </w:p>
        </w:tc>
        <w:tc>
          <w:tcPr>
            <w:tcW w:w="521" w:type="pct"/>
            <w:shd w:val="clear" w:color="auto" w:fill="FFFFFF"/>
          </w:tcPr>
          <w:p w:rsidR="00E93B3C" w:rsidRPr="00CC3F44" w:rsidRDefault="00E93B3C" w:rsidP="00547ACE">
            <w:pPr>
              <w:jc w:val="center"/>
              <w:rPr>
                <w:rFonts w:cs="Arial"/>
                <w:color w:val="008000"/>
                <w:sz w:val="22"/>
                <w:szCs w:val="22"/>
              </w:rPr>
            </w:pPr>
            <w:r w:rsidRPr="00CC3F44">
              <w:rPr>
                <w:rFonts w:cs="Arial"/>
                <w:color w:val="008000"/>
                <w:sz w:val="22"/>
                <w:szCs w:val="22"/>
              </w:rPr>
              <w:sym w:font="Wingdings" w:char="F06C"/>
            </w:r>
          </w:p>
        </w:tc>
      </w:tr>
      <w:tr w:rsidR="00E93B3C" w:rsidRPr="0016774F" w:rsidTr="00547ACE">
        <w:trPr>
          <w:cantSplit/>
          <w:trHeight w:val="634"/>
        </w:trPr>
        <w:tc>
          <w:tcPr>
            <w:tcW w:w="1477" w:type="pct"/>
            <w:vMerge/>
            <w:shd w:val="clear" w:color="auto" w:fill="auto"/>
            <w:tcMar>
              <w:top w:w="113" w:type="dxa"/>
              <w:bottom w:w="57" w:type="dxa"/>
            </w:tcMar>
          </w:tcPr>
          <w:p w:rsidR="00E93B3C" w:rsidRPr="0016774F" w:rsidRDefault="00E93B3C" w:rsidP="00547ACE">
            <w:pPr>
              <w:rPr>
                <w:rFonts w:cs="Arial"/>
                <w:sz w:val="16"/>
                <w:szCs w:val="16"/>
              </w:rPr>
            </w:pPr>
          </w:p>
        </w:tc>
        <w:tc>
          <w:tcPr>
            <w:tcW w:w="2267" w:type="pct"/>
            <w:shd w:val="clear" w:color="auto" w:fill="auto"/>
            <w:tcMar>
              <w:top w:w="113" w:type="dxa"/>
              <w:bottom w:w="57" w:type="dxa"/>
            </w:tcMar>
          </w:tcPr>
          <w:p w:rsidR="00E93B3C" w:rsidRPr="0016774F" w:rsidRDefault="00E93B3C" w:rsidP="00547ACE">
            <w:pPr>
              <w:rPr>
                <w:rFonts w:cs="Arial"/>
                <w:sz w:val="16"/>
                <w:szCs w:val="16"/>
              </w:rPr>
            </w:pPr>
            <w:r w:rsidRPr="0016774F">
              <w:rPr>
                <w:rFonts w:cs="Arial"/>
                <w:sz w:val="16"/>
                <w:szCs w:val="16"/>
              </w:rPr>
              <w:t>% of creators satisfied with the training provided on using copyright data and information for the efficient management of their copyright</w:t>
            </w:r>
          </w:p>
        </w:tc>
        <w:tc>
          <w:tcPr>
            <w:tcW w:w="735" w:type="pct"/>
            <w:shd w:val="clear" w:color="auto" w:fill="FFFFFF"/>
            <w:tcMar>
              <w:top w:w="113" w:type="dxa"/>
              <w:bottom w:w="57" w:type="dxa"/>
            </w:tcMar>
          </w:tcPr>
          <w:p w:rsidR="00E93B3C" w:rsidRPr="0016774F" w:rsidRDefault="00E93B3C" w:rsidP="00547ACE">
            <w:pPr>
              <w:jc w:val="center"/>
              <w:rPr>
                <w:rFonts w:cs="Arial"/>
                <w:sz w:val="16"/>
                <w:szCs w:val="16"/>
                <w:lang w:bidi="th-TH"/>
              </w:rPr>
            </w:pPr>
            <w:r w:rsidRPr="0016774F">
              <w:rPr>
                <w:rFonts w:cs="Arial"/>
                <w:sz w:val="16"/>
                <w:szCs w:val="16"/>
                <w:lang w:bidi="th-TH"/>
              </w:rPr>
              <w:t>Program 3</w:t>
            </w:r>
          </w:p>
        </w:tc>
        <w:tc>
          <w:tcPr>
            <w:tcW w:w="521" w:type="pct"/>
            <w:shd w:val="clear" w:color="auto" w:fill="FFFFFF"/>
          </w:tcPr>
          <w:p w:rsidR="00E93B3C" w:rsidRPr="00CC3F44" w:rsidRDefault="00E93B3C" w:rsidP="00547ACE">
            <w:pPr>
              <w:spacing w:before="40"/>
              <w:jc w:val="center"/>
            </w:pPr>
            <w:r w:rsidRPr="00CC3F44">
              <w:rPr>
                <w:rFonts w:cs="Arial"/>
                <w:color w:val="008000"/>
                <w:sz w:val="22"/>
                <w:szCs w:val="22"/>
              </w:rPr>
              <w:sym w:font="Wingdings" w:char="F06C"/>
            </w:r>
          </w:p>
        </w:tc>
      </w:tr>
      <w:tr w:rsidR="00E93B3C" w:rsidRPr="0016774F" w:rsidTr="00547ACE">
        <w:trPr>
          <w:cantSplit/>
          <w:trHeight w:val="540"/>
        </w:trPr>
        <w:tc>
          <w:tcPr>
            <w:tcW w:w="1477" w:type="pct"/>
            <w:shd w:val="clear" w:color="auto" w:fill="auto"/>
            <w:tcMar>
              <w:top w:w="113" w:type="dxa"/>
              <w:bottom w:w="57" w:type="dxa"/>
            </w:tcMar>
          </w:tcPr>
          <w:p w:rsidR="00E93B3C" w:rsidRPr="0016774F" w:rsidRDefault="00E93B3C" w:rsidP="00547ACE">
            <w:pPr>
              <w:rPr>
                <w:rFonts w:cs="Arial"/>
                <w:sz w:val="16"/>
                <w:szCs w:val="16"/>
              </w:rPr>
            </w:pPr>
          </w:p>
        </w:tc>
        <w:tc>
          <w:tcPr>
            <w:tcW w:w="2267" w:type="pct"/>
            <w:shd w:val="clear" w:color="auto" w:fill="auto"/>
            <w:tcMar>
              <w:top w:w="113" w:type="dxa"/>
              <w:bottom w:w="57" w:type="dxa"/>
            </w:tcMar>
          </w:tcPr>
          <w:p w:rsidR="00E93B3C" w:rsidRPr="0016774F" w:rsidRDefault="00E93B3C" w:rsidP="00547ACE">
            <w:pPr>
              <w:rPr>
                <w:rFonts w:cs="Arial"/>
                <w:sz w:val="16"/>
                <w:szCs w:val="16"/>
              </w:rPr>
            </w:pPr>
            <w:r w:rsidRPr="0016774F">
              <w:rPr>
                <w:rFonts w:cs="Arial"/>
                <w:sz w:val="16"/>
                <w:szCs w:val="16"/>
              </w:rPr>
              <w:t>% of participants’ positive rating of the usefulness of copyright related capacity building meetings and workshops</w:t>
            </w:r>
          </w:p>
        </w:tc>
        <w:tc>
          <w:tcPr>
            <w:tcW w:w="735" w:type="pct"/>
            <w:shd w:val="clear" w:color="auto" w:fill="FFFFFF"/>
            <w:tcMar>
              <w:top w:w="113" w:type="dxa"/>
              <w:bottom w:w="57" w:type="dxa"/>
            </w:tcMar>
          </w:tcPr>
          <w:p w:rsidR="00E93B3C" w:rsidRPr="0016774F" w:rsidRDefault="00E93B3C" w:rsidP="00547ACE">
            <w:pPr>
              <w:jc w:val="center"/>
              <w:rPr>
                <w:rFonts w:cs="Arial"/>
                <w:sz w:val="16"/>
                <w:szCs w:val="16"/>
                <w:lang w:bidi="th-TH"/>
              </w:rPr>
            </w:pPr>
            <w:r w:rsidRPr="0016774F">
              <w:rPr>
                <w:rFonts w:cs="Arial"/>
                <w:sz w:val="16"/>
                <w:szCs w:val="16"/>
                <w:lang w:bidi="th-TH"/>
              </w:rPr>
              <w:t>Program 3</w:t>
            </w:r>
          </w:p>
        </w:tc>
        <w:tc>
          <w:tcPr>
            <w:tcW w:w="521" w:type="pct"/>
            <w:shd w:val="clear" w:color="auto" w:fill="FFFFFF"/>
          </w:tcPr>
          <w:p w:rsidR="00E93B3C" w:rsidRPr="00CC3F44" w:rsidRDefault="00E93B3C" w:rsidP="00547ACE">
            <w:pPr>
              <w:spacing w:before="40"/>
              <w:jc w:val="center"/>
            </w:pPr>
            <w:r w:rsidRPr="00CC3F44">
              <w:rPr>
                <w:rFonts w:cs="Arial"/>
                <w:color w:val="008000"/>
                <w:sz w:val="22"/>
                <w:szCs w:val="22"/>
              </w:rPr>
              <w:sym w:font="Wingdings" w:char="F06C"/>
            </w:r>
          </w:p>
        </w:tc>
      </w:tr>
      <w:tr w:rsidR="00E93B3C" w:rsidRPr="0016774F" w:rsidTr="00547ACE">
        <w:trPr>
          <w:cantSplit/>
          <w:trHeight w:val="652"/>
        </w:trPr>
        <w:tc>
          <w:tcPr>
            <w:tcW w:w="1477" w:type="pct"/>
            <w:shd w:val="clear" w:color="auto" w:fill="auto"/>
            <w:tcMar>
              <w:top w:w="113" w:type="dxa"/>
              <w:bottom w:w="57" w:type="dxa"/>
            </w:tcMar>
          </w:tcPr>
          <w:p w:rsidR="00E93B3C" w:rsidRPr="0016774F" w:rsidRDefault="00E93B3C" w:rsidP="00547ACE">
            <w:pPr>
              <w:rPr>
                <w:rFonts w:cs="Arial"/>
                <w:sz w:val="16"/>
                <w:szCs w:val="16"/>
              </w:rPr>
            </w:pPr>
          </w:p>
        </w:tc>
        <w:tc>
          <w:tcPr>
            <w:tcW w:w="2267" w:type="pct"/>
            <w:shd w:val="clear" w:color="auto" w:fill="auto"/>
            <w:tcMar>
              <w:top w:w="113" w:type="dxa"/>
              <w:bottom w:w="57" w:type="dxa"/>
            </w:tcMar>
          </w:tcPr>
          <w:p w:rsidR="00E93B3C" w:rsidRPr="0016774F" w:rsidRDefault="00E93B3C" w:rsidP="00547ACE">
            <w:pPr>
              <w:ind w:right="-206"/>
              <w:rPr>
                <w:rFonts w:cs="Arial"/>
                <w:sz w:val="16"/>
                <w:szCs w:val="16"/>
              </w:rPr>
            </w:pPr>
            <w:r w:rsidRPr="0016774F">
              <w:rPr>
                <w:rFonts w:cs="Arial"/>
                <w:sz w:val="16"/>
                <w:szCs w:val="16"/>
              </w:rPr>
              <w:t>No. of Member States that take initiatives to improve their use of the copyright system to exploit the economic potentials of their cultural works and products</w:t>
            </w:r>
          </w:p>
        </w:tc>
        <w:tc>
          <w:tcPr>
            <w:tcW w:w="735" w:type="pct"/>
            <w:shd w:val="clear" w:color="auto" w:fill="FFFFFF"/>
            <w:tcMar>
              <w:top w:w="113" w:type="dxa"/>
              <w:bottom w:w="57" w:type="dxa"/>
            </w:tcMar>
          </w:tcPr>
          <w:p w:rsidR="00E93B3C" w:rsidRPr="0016774F" w:rsidRDefault="00E93B3C" w:rsidP="00547ACE">
            <w:pPr>
              <w:jc w:val="center"/>
              <w:rPr>
                <w:rFonts w:cs="Arial"/>
                <w:sz w:val="16"/>
                <w:szCs w:val="16"/>
                <w:lang w:bidi="th-TH"/>
              </w:rPr>
            </w:pPr>
            <w:r w:rsidRPr="0016774F">
              <w:rPr>
                <w:rFonts w:cs="Arial"/>
                <w:sz w:val="16"/>
                <w:szCs w:val="16"/>
                <w:lang w:bidi="th-TH"/>
              </w:rPr>
              <w:t>Program 3</w:t>
            </w:r>
          </w:p>
        </w:tc>
        <w:tc>
          <w:tcPr>
            <w:tcW w:w="521" w:type="pct"/>
            <w:shd w:val="clear" w:color="auto" w:fill="FFFFFF"/>
          </w:tcPr>
          <w:p w:rsidR="00E93B3C" w:rsidRPr="00CC3F44" w:rsidRDefault="00E93B3C" w:rsidP="00547ACE">
            <w:pPr>
              <w:spacing w:before="40"/>
              <w:jc w:val="center"/>
            </w:pPr>
            <w:r w:rsidRPr="00CC3F44">
              <w:rPr>
                <w:rFonts w:cs="Arial"/>
                <w:color w:val="008000"/>
                <w:sz w:val="22"/>
                <w:szCs w:val="22"/>
              </w:rPr>
              <w:sym w:font="Wingdings" w:char="F06C"/>
            </w:r>
          </w:p>
        </w:tc>
      </w:tr>
      <w:tr w:rsidR="00E93B3C" w:rsidRPr="0016774F" w:rsidTr="00547ACE">
        <w:trPr>
          <w:cantSplit/>
          <w:trHeight w:val="800"/>
        </w:trPr>
        <w:tc>
          <w:tcPr>
            <w:tcW w:w="1477" w:type="pct"/>
            <w:shd w:val="clear" w:color="auto" w:fill="auto"/>
            <w:tcMar>
              <w:top w:w="113" w:type="dxa"/>
              <w:bottom w:w="57" w:type="dxa"/>
            </w:tcMar>
          </w:tcPr>
          <w:p w:rsidR="00E93B3C" w:rsidRPr="0016774F" w:rsidRDefault="00E93B3C" w:rsidP="00547ACE">
            <w:pPr>
              <w:rPr>
                <w:rFonts w:cs="Arial"/>
                <w:sz w:val="16"/>
                <w:szCs w:val="16"/>
              </w:rPr>
            </w:pPr>
          </w:p>
        </w:tc>
        <w:tc>
          <w:tcPr>
            <w:tcW w:w="2267" w:type="pct"/>
            <w:shd w:val="clear" w:color="auto" w:fill="auto"/>
            <w:tcMar>
              <w:top w:w="113" w:type="dxa"/>
              <w:bottom w:w="57" w:type="dxa"/>
            </w:tcMar>
          </w:tcPr>
          <w:p w:rsidR="00E93B3C" w:rsidRPr="0016774F" w:rsidRDefault="00E93B3C" w:rsidP="00547ACE">
            <w:pPr>
              <w:rPr>
                <w:rFonts w:cs="Arial"/>
                <w:sz w:val="16"/>
                <w:szCs w:val="16"/>
              </w:rPr>
            </w:pPr>
            <w:r w:rsidRPr="0016774F">
              <w:rPr>
                <w:rFonts w:cs="Arial"/>
                <w:sz w:val="16"/>
                <w:szCs w:val="16"/>
              </w:rPr>
              <w:t>% of participants in WIPO activities which report enhanced capacity to understand and use IP principles, systems and tools for the protection of TK and TCEs, and for management of the interface between IP and GRs</w:t>
            </w:r>
          </w:p>
        </w:tc>
        <w:tc>
          <w:tcPr>
            <w:tcW w:w="735" w:type="pct"/>
            <w:shd w:val="clear" w:color="auto" w:fill="FFFFFF"/>
            <w:tcMar>
              <w:top w:w="113" w:type="dxa"/>
              <w:bottom w:w="57" w:type="dxa"/>
            </w:tcMar>
          </w:tcPr>
          <w:p w:rsidR="00E93B3C" w:rsidRPr="0016774F" w:rsidRDefault="00E93B3C" w:rsidP="00547ACE">
            <w:pPr>
              <w:jc w:val="center"/>
              <w:rPr>
                <w:rFonts w:cs="Arial"/>
                <w:sz w:val="16"/>
                <w:szCs w:val="16"/>
                <w:lang w:bidi="th-TH"/>
              </w:rPr>
            </w:pPr>
            <w:r w:rsidRPr="0016774F">
              <w:rPr>
                <w:rFonts w:cs="Arial"/>
                <w:sz w:val="16"/>
                <w:szCs w:val="16"/>
                <w:lang w:bidi="th-TH"/>
              </w:rPr>
              <w:t>Program 4</w:t>
            </w:r>
          </w:p>
        </w:tc>
        <w:tc>
          <w:tcPr>
            <w:tcW w:w="521" w:type="pct"/>
            <w:shd w:val="clear" w:color="auto" w:fill="FFFFFF"/>
          </w:tcPr>
          <w:p w:rsidR="00E93B3C" w:rsidRPr="00CC3F44" w:rsidRDefault="00E93B3C" w:rsidP="00547ACE">
            <w:pPr>
              <w:spacing w:before="40"/>
              <w:jc w:val="center"/>
            </w:pPr>
            <w:r w:rsidRPr="00CC3F44">
              <w:rPr>
                <w:rFonts w:cs="Arial"/>
                <w:color w:val="008000"/>
                <w:sz w:val="22"/>
                <w:szCs w:val="22"/>
              </w:rPr>
              <w:sym w:font="Wingdings" w:char="F06C"/>
            </w:r>
          </w:p>
        </w:tc>
      </w:tr>
      <w:tr w:rsidR="00E93B3C" w:rsidRPr="0016774F" w:rsidTr="00547ACE">
        <w:trPr>
          <w:cantSplit/>
          <w:trHeight w:val="550"/>
        </w:trPr>
        <w:tc>
          <w:tcPr>
            <w:tcW w:w="1477" w:type="pct"/>
            <w:shd w:val="clear" w:color="auto" w:fill="auto"/>
            <w:tcMar>
              <w:top w:w="113" w:type="dxa"/>
              <w:bottom w:w="57" w:type="dxa"/>
            </w:tcMar>
          </w:tcPr>
          <w:p w:rsidR="00E93B3C" w:rsidRPr="0016774F" w:rsidRDefault="00E93B3C" w:rsidP="00547ACE">
            <w:pPr>
              <w:rPr>
                <w:rFonts w:cs="Arial"/>
                <w:sz w:val="16"/>
                <w:szCs w:val="16"/>
              </w:rPr>
            </w:pPr>
          </w:p>
        </w:tc>
        <w:tc>
          <w:tcPr>
            <w:tcW w:w="2267" w:type="pct"/>
            <w:shd w:val="clear" w:color="auto" w:fill="auto"/>
            <w:tcMar>
              <w:top w:w="113" w:type="dxa"/>
              <w:bottom w:w="57" w:type="dxa"/>
            </w:tcMar>
          </w:tcPr>
          <w:p w:rsidR="00E93B3C" w:rsidRPr="0016774F" w:rsidRDefault="00E93B3C" w:rsidP="00547ACE">
            <w:pPr>
              <w:rPr>
                <w:rFonts w:cs="Arial"/>
                <w:sz w:val="16"/>
                <w:szCs w:val="16"/>
              </w:rPr>
            </w:pPr>
            <w:r w:rsidRPr="00DC0B8E">
              <w:rPr>
                <w:rFonts w:cs="Arial"/>
                <w:sz w:val="16"/>
                <w:szCs w:val="16"/>
              </w:rPr>
              <w:t>% of participants in WIPO events who express satisfaction with the content and organization of the</w:t>
            </w:r>
            <w:r>
              <w:rPr>
                <w:rFonts w:cs="Arial"/>
                <w:sz w:val="16"/>
                <w:szCs w:val="16"/>
              </w:rPr>
              <w:t>se</w:t>
            </w:r>
            <w:r w:rsidRPr="00DC0B8E">
              <w:rPr>
                <w:rFonts w:cs="Arial"/>
                <w:sz w:val="16"/>
                <w:szCs w:val="16"/>
              </w:rPr>
              <w:t xml:space="preserve"> events</w:t>
            </w:r>
          </w:p>
        </w:tc>
        <w:tc>
          <w:tcPr>
            <w:tcW w:w="735" w:type="pct"/>
            <w:shd w:val="clear" w:color="auto" w:fill="FFFFFF"/>
            <w:tcMar>
              <w:top w:w="113" w:type="dxa"/>
              <w:bottom w:w="57" w:type="dxa"/>
            </w:tcMar>
          </w:tcPr>
          <w:p w:rsidR="00E93B3C" w:rsidRPr="0016774F" w:rsidRDefault="00E93B3C" w:rsidP="00547ACE">
            <w:pPr>
              <w:jc w:val="center"/>
              <w:rPr>
                <w:rFonts w:cs="Arial"/>
                <w:sz w:val="16"/>
                <w:szCs w:val="16"/>
                <w:lang w:bidi="th-TH"/>
              </w:rPr>
            </w:pPr>
            <w:r w:rsidRPr="0016774F">
              <w:rPr>
                <w:rFonts w:cs="Arial"/>
                <w:sz w:val="16"/>
                <w:szCs w:val="16"/>
                <w:lang w:bidi="th-TH"/>
              </w:rPr>
              <w:t>Program 9</w:t>
            </w:r>
          </w:p>
        </w:tc>
        <w:tc>
          <w:tcPr>
            <w:tcW w:w="521" w:type="pct"/>
            <w:shd w:val="clear" w:color="auto" w:fill="FFFFFF"/>
          </w:tcPr>
          <w:p w:rsidR="00E93B3C" w:rsidRPr="00CC3F44" w:rsidRDefault="00E93B3C" w:rsidP="00547ACE">
            <w:pPr>
              <w:jc w:val="center"/>
            </w:pPr>
            <w:r w:rsidRPr="00CC3F44">
              <w:rPr>
                <w:rFonts w:cs="Arial"/>
                <w:color w:val="008000"/>
                <w:sz w:val="22"/>
                <w:szCs w:val="22"/>
              </w:rPr>
              <w:sym w:font="Wingdings" w:char="F06C"/>
            </w:r>
            <w:r w:rsidRPr="00CC3F44">
              <w:rPr>
                <w:rFonts w:cs="Arial"/>
                <w:color w:val="008000"/>
                <w:sz w:val="22"/>
                <w:szCs w:val="22"/>
              </w:rPr>
              <w:sym w:font="Wingdings" w:char="F06C"/>
            </w:r>
            <w:r w:rsidRPr="00CC3F44">
              <w:rPr>
                <w:rFonts w:cs="Arial"/>
                <w:color w:val="008000"/>
                <w:sz w:val="22"/>
                <w:szCs w:val="22"/>
              </w:rPr>
              <w:sym w:font="Wingdings" w:char="F06C"/>
            </w:r>
            <w:r w:rsidRPr="00CC3F44">
              <w:rPr>
                <w:rFonts w:cs="Arial"/>
                <w:color w:val="008000"/>
                <w:sz w:val="22"/>
                <w:szCs w:val="22"/>
              </w:rPr>
              <w:sym w:font="Wingdings" w:char="F06C"/>
            </w:r>
            <w:r w:rsidRPr="00CC3F44">
              <w:rPr>
                <w:rFonts w:cs="Arial"/>
                <w:color w:val="008000"/>
                <w:sz w:val="22"/>
                <w:szCs w:val="22"/>
              </w:rPr>
              <w:sym w:font="Wingdings" w:char="F06C"/>
            </w:r>
          </w:p>
        </w:tc>
      </w:tr>
      <w:tr w:rsidR="00E93B3C" w:rsidRPr="0016774F" w:rsidTr="00547ACE">
        <w:trPr>
          <w:cantSplit/>
          <w:trHeight w:val="526"/>
        </w:trPr>
        <w:tc>
          <w:tcPr>
            <w:tcW w:w="1477" w:type="pct"/>
            <w:shd w:val="clear" w:color="auto" w:fill="auto"/>
            <w:tcMar>
              <w:top w:w="113" w:type="dxa"/>
              <w:bottom w:w="57" w:type="dxa"/>
            </w:tcMar>
          </w:tcPr>
          <w:p w:rsidR="00E93B3C" w:rsidRPr="0016774F" w:rsidRDefault="00E93B3C" w:rsidP="00547ACE">
            <w:pPr>
              <w:rPr>
                <w:rFonts w:cs="Arial"/>
                <w:sz w:val="16"/>
                <w:szCs w:val="16"/>
              </w:rPr>
            </w:pPr>
          </w:p>
        </w:tc>
        <w:tc>
          <w:tcPr>
            <w:tcW w:w="2267" w:type="pct"/>
            <w:shd w:val="clear" w:color="auto" w:fill="auto"/>
            <w:tcMar>
              <w:top w:w="113" w:type="dxa"/>
              <w:bottom w:w="57" w:type="dxa"/>
            </w:tcMar>
          </w:tcPr>
          <w:p w:rsidR="00E93B3C" w:rsidRPr="0016774F" w:rsidRDefault="00E93B3C" w:rsidP="00547ACE">
            <w:pPr>
              <w:rPr>
                <w:rFonts w:cs="Arial"/>
                <w:sz w:val="16"/>
                <w:szCs w:val="16"/>
              </w:rPr>
            </w:pPr>
            <w:r w:rsidRPr="0016774F">
              <w:rPr>
                <w:rFonts w:cs="Arial"/>
                <w:sz w:val="16"/>
                <w:szCs w:val="16"/>
              </w:rPr>
              <w:t>% of participants in WIPO workshops who apply the skills learned in their work/enterprise</w:t>
            </w:r>
          </w:p>
        </w:tc>
        <w:tc>
          <w:tcPr>
            <w:tcW w:w="735" w:type="pct"/>
            <w:shd w:val="clear" w:color="auto" w:fill="FFFFFF"/>
            <w:tcMar>
              <w:top w:w="113" w:type="dxa"/>
              <w:bottom w:w="57" w:type="dxa"/>
            </w:tcMar>
          </w:tcPr>
          <w:p w:rsidR="00E93B3C" w:rsidRPr="0016774F" w:rsidRDefault="00E93B3C" w:rsidP="00547ACE">
            <w:pPr>
              <w:jc w:val="center"/>
              <w:rPr>
                <w:rFonts w:cs="Arial"/>
                <w:sz w:val="16"/>
                <w:szCs w:val="16"/>
                <w:lang w:bidi="th-TH"/>
              </w:rPr>
            </w:pPr>
            <w:r w:rsidRPr="0016774F">
              <w:rPr>
                <w:rFonts w:cs="Arial"/>
                <w:sz w:val="16"/>
                <w:szCs w:val="16"/>
                <w:lang w:bidi="th-TH"/>
              </w:rPr>
              <w:t>Program 9</w:t>
            </w:r>
          </w:p>
        </w:tc>
        <w:tc>
          <w:tcPr>
            <w:tcW w:w="521" w:type="pct"/>
            <w:shd w:val="clear" w:color="auto" w:fill="FFFFFF"/>
          </w:tcPr>
          <w:p w:rsidR="00E93B3C" w:rsidRPr="00CC3F44" w:rsidRDefault="00E93B3C" w:rsidP="00547ACE">
            <w:pPr>
              <w:jc w:val="center"/>
            </w:pPr>
            <w:r w:rsidRPr="00CC3F44">
              <w:rPr>
                <w:rFonts w:cs="Arial"/>
                <w:color w:val="008000"/>
                <w:sz w:val="22"/>
                <w:szCs w:val="22"/>
              </w:rPr>
              <w:sym w:font="Wingdings" w:char="F06C"/>
            </w:r>
            <w:r w:rsidRPr="00CC3F44">
              <w:rPr>
                <w:rFonts w:cs="Arial"/>
                <w:color w:val="A6A6A6" w:themeColor="background1" w:themeShade="A6"/>
                <w:sz w:val="22"/>
                <w:szCs w:val="22"/>
              </w:rPr>
              <w:sym w:font="Wingdings" w:char="F06C"/>
            </w:r>
            <w:r w:rsidRPr="00CC3F44">
              <w:rPr>
                <w:rFonts w:cs="Arial"/>
                <w:color w:val="008000"/>
                <w:sz w:val="22"/>
                <w:szCs w:val="22"/>
              </w:rPr>
              <w:sym w:font="Wingdings" w:char="F06C"/>
            </w:r>
            <w:r w:rsidRPr="00CC3F44">
              <w:rPr>
                <w:rFonts w:cs="Arial"/>
                <w:color w:val="008000"/>
                <w:sz w:val="22"/>
                <w:szCs w:val="22"/>
              </w:rPr>
              <w:sym w:font="Wingdings" w:char="F06C"/>
            </w:r>
            <w:r w:rsidRPr="00CC3F44">
              <w:rPr>
                <w:rFonts w:cs="Arial"/>
                <w:color w:val="008000"/>
                <w:sz w:val="22"/>
                <w:szCs w:val="22"/>
              </w:rPr>
              <w:sym w:font="Wingdings" w:char="F06C"/>
            </w:r>
          </w:p>
        </w:tc>
      </w:tr>
      <w:tr w:rsidR="00E93B3C" w:rsidRPr="0016774F" w:rsidTr="00547ACE">
        <w:trPr>
          <w:cantSplit/>
          <w:trHeight w:val="526"/>
        </w:trPr>
        <w:tc>
          <w:tcPr>
            <w:tcW w:w="1477" w:type="pct"/>
            <w:shd w:val="clear" w:color="auto" w:fill="auto"/>
            <w:tcMar>
              <w:top w:w="113" w:type="dxa"/>
              <w:bottom w:w="57" w:type="dxa"/>
            </w:tcMar>
          </w:tcPr>
          <w:p w:rsidR="00E93B3C" w:rsidRPr="0016774F" w:rsidRDefault="00E93B3C" w:rsidP="00547ACE">
            <w:pPr>
              <w:rPr>
                <w:rFonts w:cs="Arial"/>
                <w:sz w:val="16"/>
                <w:szCs w:val="16"/>
              </w:rPr>
            </w:pPr>
          </w:p>
        </w:tc>
        <w:tc>
          <w:tcPr>
            <w:tcW w:w="2267" w:type="pct"/>
            <w:shd w:val="clear" w:color="auto" w:fill="auto"/>
            <w:tcMar>
              <w:top w:w="113" w:type="dxa"/>
              <w:bottom w:w="57" w:type="dxa"/>
            </w:tcMar>
          </w:tcPr>
          <w:p w:rsidR="00E93B3C" w:rsidRPr="0016774F" w:rsidRDefault="00E93B3C" w:rsidP="00547ACE">
            <w:pPr>
              <w:rPr>
                <w:rFonts w:cs="Arial"/>
                <w:sz w:val="16"/>
                <w:szCs w:val="16"/>
              </w:rPr>
            </w:pPr>
            <w:r w:rsidRPr="0016774F">
              <w:rPr>
                <w:rFonts w:cs="Arial"/>
                <w:sz w:val="16"/>
                <w:szCs w:val="16"/>
              </w:rPr>
              <w:t>% of national/regional IP experts are used as resource persons in WIPO events</w:t>
            </w:r>
          </w:p>
        </w:tc>
        <w:tc>
          <w:tcPr>
            <w:tcW w:w="735" w:type="pct"/>
            <w:shd w:val="clear" w:color="auto" w:fill="FFFFFF"/>
            <w:tcMar>
              <w:top w:w="113" w:type="dxa"/>
              <w:bottom w:w="57" w:type="dxa"/>
            </w:tcMar>
          </w:tcPr>
          <w:p w:rsidR="00E93B3C" w:rsidRPr="0016774F" w:rsidRDefault="00E93B3C" w:rsidP="00547ACE">
            <w:pPr>
              <w:jc w:val="center"/>
              <w:rPr>
                <w:rFonts w:cs="Arial"/>
                <w:sz w:val="16"/>
                <w:szCs w:val="16"/>
                <w:lang w:bidi="th-TH"/>
              </w:rPr>
            </w:pPr>
            <w:r w:rsidRPr="0016774F">
              <w:rPr>
                <w:rFonts w:cs="Arial"/>
                <w:sz w:val="16"/>
                <w:szCs w:val="16"/>
                <w:lang w:bidi="th-TH"/>
              </w:rPr>
              <w:t>Program 9</w:t>
            </w:r>
          </w:p>
        </w:tc>
        <w:tc>
          <w:tcPr>
            <w:tcW w:w="521" w:type="pct"/>
            <w:shd w:val="clear" w:color="auto" w:fill="FFFFFF"/>
          </w:tcPr>
          <w:p w:rsidR="00E93B3C" w:rsidRPr="00CC3F44" w:rsidRDefault="00E93B3C" w:rsidP="00547ACE">
            <w:pPr>
              <w:jc w:val="center"/>
            </w:pPr>
            <w:r w:rsidRPr="00CC3F44">
              <w:rPr>
                <w:rFonts w:cs="Arial"/>
                <w:color w:val="008000"/>
                <w:sz w:val="22"/>
                <w:szCs w:val="22"/>
              </w:rPr>
              <w:sym w:font="Wingdings" w:char="F06C"/>
            </w:r>
            <w:r w:rsidRPr="00CC3F44">
              <w:rPr>
                <w:rFonts w:cs="Arial"/>
                <w:color w:val="E26B0A"/>
                <w:sz w:val="22"/>
                <w:szCs w:val="22"/>
              </w:rPr>
              <w:sym w:font="Wingdings" w:char="F06C"/>
            </w:r>
            <w:r w:rsidRPr="00CC3F44">
              <w:rPr>
                <w:rFonts w:cs="Arial"/>
                <w:color w:val="008000"/>
                <w:sz w:val="22"/>
                <w:szCs w:val="22"/>
              </w:rPr>
              <w:sym w:font="Wingdings" w:char="F06C"/>
            </w:r>
            <w:r w:rsidRPr="00CC3F44">
              <w:rPr>
                <w:rFonts w:cs="Arial"/>
                <w:color w:val="008000"/>
                <w:sz w:val="22"/>
                <w:szCs w:val="22"/>
              </w:rPr>
              <w:sym w:font="Wingdings" w:char="F06C"/>
            </w:r>
            <w:r w:rsidRPr="00CC3F44">
              <w:rPr>
                <w:rFonts w:cs="Arial"/>
                <w:color w:val="008000"/>
                <w:sz w:val="22"/>
                <w:szCs w:val="22"/>
              </w:rPr>
              <w:sym w:font="Wingdings" w:char="F06C"/>
            </w:r>
          </w:p>
        </w:tc>
      </w:tr>
      <w:tr w:rsidR="00E93B3C" w:rsidRPr="0016774F" w:rsidTr="00547ACE">
        <w:trPr>
          <w:cantSplit/>
          <w:trHeight w:val="547"/>
        </w:trPr>
        <w:tc>
          <w:tcPr>
            <w:tcW w:w="1477" w:type="pct"/>
            <w:shd w:val="clear" w:color="auto" w:fill="auto"/>
            <w:tcMar>
              <w:top w:w="113" w:type="dxa"/>
              <w:bottom w:w="57" w:type="dxa"/>
            </w:tcMar>
          </w:tcPr>
          <w:p w:rsidR="00E93B3C" w:rsidRPr="0016774F" w:rsidRDefault="00E93B3C" w:rsidP="00547ACE">
            <w:pPr>
              <w:rPr>
                <w:rFonts w:cs="Arial"/>
                <w:sz w:val="16"/>
                <w:szCs w:val="16"/>
              </w:rPr>
            </w:pPr>
          </w:p>
        </w:tc>
        <w:tc>
          <w:tcPr>
            <w:tcW w:w="2267" w:type="pct"/>
            <w:shd w:val="clear" w:color="auto" w:fill="auto"/>
            <w:tcMar>
              <w:top w:w="113" w:type="dxa"/>
              <w:bottom w:w="57" w:type="dxa"/>
            </w:tcMar>
          </w:tcPr>
          <w:p w:rsidR="00E93B3C" w:rsidRPr="0016774F" w:rsidRDefault="00E93B3C" w:rsidP="00547ACE">
            <w:pPr>
              <w:rPr>
                <w:rFonts w:cs="Arial"/>
                <w:sz w:val="16"/>
                <w:szCs w:val="16"/>
              </w:rPr>
            </w:pPr>
            <w:r w:rsidRPr="0016774F">
              <w:rPr>
                <w:rFonts w:cs="Arial"/>
                <w:sz w:val="16"/>
                <w:szCs w:val="16"/>
              </w:rPr>
              <w:t xml:space="preserve">No. of countries in transition having established annual IP training programs and/or courses  for IP professionals </w:t>
            </w:r>
          </w:p>
        </w:tc>
        <w:tc>
          <w:tcPr>
            <w:tcW w:w="735" w:type="pct"/>
            <w:shd w:val="clear" w:color="auto" w:fill="FFFFFF"/>
            <w:tcMar>
              <w:top w:w="113" w:type="dxa"/>
              <w:bottom w:w="57" w:type="dxa"/>
            </w:tcMar>
          </w:tcPr>
          <w:p w:rsidR="00E93B3C" w:rsidRPr="0016774F" w:rsidRDefault="00E93B3C" w:rsidP="00547ACE">
            <w:pPr>
              <w:jc w:val="center"/>
              <w:rPr>
                <w:rFonts w:cs="Arial"/>
                <w:sz w:val="16"/>
                <w:szCs w:val="16"/>
                <w:lang w:bidi="th-TH"/>
              </w:rPr>
            </w:pPr>
            <w:r w:rsidRPr="0016774F">
              <w:rPr>
                <w:rFonts w:cs="Arial"/>
                <w:sz w:val="16"/>
                <w:szCs w:val="16"/>
                <w:lang w:bidi="th-TH"/>
              </w:rPr>
              <w:t>Program 10</w:t>
            </w:r>
          </w:p>
        </w:tc>
        <w:tc>
          <w:tcPr>
            <w:tcW w:w="521" w:type="pct"/>
            <w:shd w:val="clear" w:color="auto" w:fill="FFFFFF"/>
          </w:tcPr>
          <w:p w:rsidR="00E93B3C" w:rsidRPr="00CC3F44" w:rsidRDefault="00E93B3C" w:rsidP="00547ACE">
            <w:pPr>
              <w:jc w:val="center"/>
            </w:pPr>
            <w:r w:rsidRPr="00CC3F44">
              <w:rPr>
                <w:rFonts w:cs="Arial"/>
                <w:color w:val="008000"/>
                <w:sz w:val="22"/>
                <w:szCs w:val="22"/>
              </w:rPr>
              <w:sym w:font="Wingdings" w:char="F06C"/>
            </w:r>
          </w:p>
        </w:tc>
      </w:tr>
      <w:tr w:rsidR="00E93B3C" w:rsidRPr="0016774F" w:rsidTr="00547ACE">
        <w:trPr>
          <w:cantSplit/>
          <w:trHeight w:val="226"/>
        </w:trPr>
        <w:tc>
          <w:tcPr>
            <w:tcW w:w="1477" w:type="pct"/>
            <w:shd w:val="clear" w:color="auto" w:fill="auto"/>
            <w:tcMar>
              <w:top w:w="113" w:type="dxa"/>
              <w:bottom w:w="57" w:type="dxa"/>
            </w:tcMar>
          </w:tcPr>
          <w:p w:rsidR="00E93B3C" w:rsidRPr="0016774F" w:rsidRDefault="00E93B3C" w:rsidP="00547ACE">
            <w:pPr>
              <w:rPr>
                <w:rFonts w:cs="Arial"/>
                <w:sz w:val="16"/>
                <w:szCs w:val="16"/>
              </w:rPr>
            </w:pPr>
          </w:p>
        </w:tc>
        <w:tc>
          <w:tcPr>
            <w:tcW w:w="2267" w:type="pct"/>
            <w:shd w:val="clear" w:color="auto" w:fill="auto"/>
            <w:tcMar>
              <w:top w:w="113" w:type="dxa"/>
              <w:bottom w:w="57" w:type="dxa"/>
            </w:tcMar>
          </w:tcPr>
          <w:p w:rsidR="00E93B3C" w:rsidRPr="0016774F" w:rsidRDefault="00E93B3C" w:rsidP="00547ACE">
            <w:pPr>
              <w:rPr>
                <w:rFonts w:cs="Arial"/>
                <w:sz w:val="16"/>
                <w:szCs w:val="16"/>
              </w:rPr>
            </w:pPr>
            <w:r w:rsidRPr="0016774F">
              <w:rPr>
                <w:rFonts w:cs="Arial"/>
                <w:sz w:val="16"/>
                <w:szCs w:val="16"/>
              </w:rPr>
              <w:t>% of trained IP professionals and IP Office officials using upgraded skills in their work</w:t>
            </w:r>
          </w:p>
        </w:tc>
        <w:tc>
          <w:tcPr>
            <w:tcW w:w="735" w:type="pct"/>
            <w:shd w:val="clear" w:color="auto" w:fill="FFFFFF"/>
            <w:tcMar>
              <w:top w:w="113" w:type="dxa"/>
              <w:bottom w:w="57" w:type="dxa"/>
            </w:tcMar>
          </w:tcPr>
          <w:p w:rsidR="00E93B3C" w:rsidRPr="0016774F" w:rsidRDefault="00E93B3C" w:rsidP="00547ACE">
            <w:pPr>
              <w:jc w:val="center"/>
              <w:rPr>
                <w:rFonts w:cs="Arial"/>
                <w:sz w:val="16"/>
                <w:szCs w:val="16"/>
                <w:lang w:bidi="th-TH"/>
              </w:rPr>
            </w:pPr>
            <w:r w:rsidRPr="0016774F">
              <w:rPr>
                <w:rFonts w:cs="Arial"/>
                <w:sz w:val="16"/>
                <w:szCs w:val="16"/>
                <w:lang w:bidi="th-TH"/>
              </w:rPr>
              <w:t>Program 10</w:t>
            </w:r>
          </w:p>
        </w:tc>
        <w:tc>
          <w:tcPr>
            <w:tcW w:w="521" w:type="pct"/>
            <w:shd w:val="clear" w:color="auto" w:fill="FFFFFF"/>
          </w:tcPr>
          <w:p w:rsidR="00E93B3C" w:rsidRPr="00CC3F44" w:rsidRDefault="00E93B3C" w:rsidP="00547ACE">
            <w:pPr>
              <w:jc w:val="center"/>
            </w:pPr>
            <w:r w:rsidRPr="00CC3F44">
              <w:rPr>
                <w:rFonts w:cs="Arial"/>
                <w:color w:val="008000"/>
                <w:sz w:val="22"/>
                <w:szCs w:val="22"/>
              </w:rPr>
              <w:sym w:font="Wingdings" w:char="F06C"/>
            </w:r>
          </w:p>
        </w:tc>
      </w:tr>
      <w:tr w:rsidR="00E93B3C" w:rsidRPr="0016774F" w:rsidTr="00547ACE">
        <w:trPr>
          <w:cantSplit/>
          <w:trHeight w:val="800"/>
        </w:trPr>
        <w:tc>
          <w:tcPr>
            <w:tcW w:w="1477" w:type="pct"/>
            <w:shd w:val="clear" w:color="auto" w:fill="auto"/>
            <w:tcMar>
              <w:top w:w="113" w:type="dxa"/>
              <w:bottom w:w="57" w:type="dxa"/>
            </w:tcMar>
          </w:tcPr>
          <w:p w:rsidR="00E93B3C" w:rsidRPr="0016774F" w:rsidRDefault="00E93B3C" w:rsidP="00547ACE">
            <w:pPr>
              <w:rPr>
                <w:rFonts w:cs="Arial"/>
                <w:sz w:val="16"/>
                <w:szCs w:val="16"/>
              </w:rPr>
            </w:pPr>
          </w:p>
        </w:tc>
        <w:tc>
          <w:tcPr>
            <w:tcW w:w="2267" w:type="pct"/>
            <w:shd w:val="clear" w:color="auto" w:fill="auto"/>
            <w:tcMar>
              <w:top w:w="113" w:type="dxa"/>
              <w:bottom w:w="57" w:type="dxa"/>
            </w:tcMar>
          </w:tcPr>
          <w:p w:rsidR="00E93B3C" w:rsidRPr="0016774F" w:rsidRDefault="00E93B3C" w:rsidP="00547ACE">
            <w:pPr>
              <w:rPr>
                <w:rFonts w:cs="Arial"/>
                <w:sz w:val="16"/>
                <w:szCs w:val="16"/>
              </w:rPr>
            </w:pPr>
            <w:r w:rsidRPr="0016774F">
              <w:rPr>
                <w:rFonts w:cs="Arial"/>
                <w:sz w:val="16"/>
                <w:szCs w:val="16"/>
              </w:rPr>
              <w:t>Revised Portfolio of training courses on IP for developing countries, LDCs and CETs / Relevance of content of training courses to capacity building requirements of developing countries, LDCs and CETs</w:t>
            </w:r>
          </w:p>
        </w:tc>
        <w:tc>
          <w:tcPr>
            <w:tcW w:w="735" w:type="pct"/>
            <w:shd w:val="clear" w:color="auto" w:fill="FFFFFF"/>
            <w:tcMar>
              <w:top w:w="113" w:type="dxa"/>
              <w:bottom w:w="57" w:type="dxa"/>
            </w:tcMar>
          </w:tcPr>
          <w:p w:rsidR="00E93B3C" w:rsidRPr="0016774F" w:rsidRDefault="00E93B3C" w:rsidP="00547ACE">
            <w:pPr>
              <w:jc w:val="center"/>
              <w:rPr>
                <w:rFonts w:cs="Arial"/>
                <w:sz w:val="16"/>
                <w:szCs w:val="16"/>
                <w:lang w:bidi="th-TH"/>
              </w:rPr>
            </w:pPr>
            <w:r w:rsidRPr="0016774F">
              <w:rPr>
                <w:rFonts w:cs="Arial"/>
                <w:sz w:val="16"/>
                <w:szCs w:val="16"/>
                <w:lang w:bidi="th-TH"/>
              </w:rPr>
              <w:t>Program 11</w:t>
            </w:r>
          </w:p>
        </w:tc>
        <w:tc>
          <w:tcPr>
            <w:tcW w:w="521" w:type="pct"/>
            <w:shd w:val="clear" w:color="auto" w:fill="FFFFFF"/>
          </w:tcPr>
          <w:p w:rsidR="00E93B3C" w:rsidRPr="00CC3F44" w:rsidRDefault="00E93B3C" w:rsidP="00547ACE">
            <w:pPr>
              <w:jc w:val="center"/>
            </w:pPr>
            <w:r w:rsidRPr="00CC3F44">
              <w:rPr>
                <w:rFonts w:cs="Arial"/>
                <w:color w:val="008000"/>
                <w:sz w:val="22"/>
                <w:szCs w:val="22"/>
              </w:rPr>
              <w:sym w:font="Wingdings" w:char="F06C"/>
            </w:r>
          </w:p>
        </w:tc>
      </w:tr>
      <w:tr w:rsidR="00E93B3C" w:rsidRPr="0016774F" w:rsidTr="00547ACE">
        <w:trPr>
          <w:cantSplit/>
          <w:trHeight w:val="800"/>
        </w:trPr>
        <w:tc>
          <w:tcPr>
            <w:tcW w:w="1477" w:type="pct"/>
            <w:shd w:val="clear" w:color="auto" w:fill="auto"/>
            <w:tcMar>
              <w:top w:w="113" w:type="dxa"/>
              <w:bottom w:w="57" w:type="dxa"/>
            </w:tcMar>
          </w:tcPr>
          <w:p w:rsidR="00E93B3C" w:rsidRPr="0016774F" w:rsidRDefault="00E93B3C" w:rsidP="00547ACE">
            <w:pPr>
              <w:rPr>
                <w:rFonts w:cs="Arial"/>
                <w:sz w:val="16"/>
                <w:szCs w:val="16"/>
              </w:rPr>
            </w:pPr>
          </w:p>
        </w:tc>
        <w:tc>
          <w:tcPr>
            <w:tcW w:w="2267" w:type="pct"/>
            <w:shd w:val="clear" w:color="auto" w:fill="auto"/>
            <w:tcMar>
              <w:top w:w="113" w:type="dxa"/>
              <w:bottom w:w="57" w:type="dxa"/>
            </w:tcMar>
          </w:tcPr>
          <w:p w:rsidR="00E93B3C" w:rsidRPr="00F74290" w:rsidRDefault="00E93B3C" w:rsidP="00547ACE">
            <w:pPr>
              <w:rPr>
                <w:rFonts w:cs="Arial"/>
                <w:sz w:val="16"/>
                <w:szCs w:val="16"/>
              </w:rPr>
            </w:pPr>
            <w:r w:rsidRPr="00F74290">
              <w:rPr>
                <w:rFonts w:cs="Arial"/>
                <w:sz w:val="16"/>
                <w:szCs w:val="16"/>
              </w:rPr>
              <w:t>Enhanced and multilingual access to e learning on various IP aspects for developing countries, LDC and CETs / Relevance of content of portfolio of e-learning courses to the capacity building requirements of developing countries, LDCs and CETs</w:t>
            </w:r>
          </w:p>
        </w:tc>
        <w:tc>
          <w:tcPr>
            <w:tcW w:w="735" w:type="pct"/>
            <w:shd w:val="clear" w:color="auto" w:fill="FFFFFF"/>
            <w:tcMar>
              <w:top w:w="113" w:type="dxa"/>
              <w:bottom w:w="57" w:type="dxa"/>
            </w:tcMar>
          </w:tcPr>
          <w:p w:rsidR="00E93B3C" w:rsidRPr="00F74290" w:rsidRDefault="00E93B3C" w:rsidP="00547ACE">
            <w:pPr>
              <w:jc w:val="center"/>
              <w:rPr>
                <w:rFonts w:cs="Arial"/>
                <w:sz w:val="16"/>
                <w:szCs w:val="16"/>
                <w:lang w:bidi="th-TH"/>
              </w:rPr>
            </w:pPr>
            <w:r w:rsidRPr="00614F68">
              <w:rPr>
                <w:rFonts w:cs="Arial"/>
                <w:sz w:val="16"/>
                <w:szCs w:val="16"/>
                <w:lang w:bidi="th-TH"/>
              </w:rPr>
              <w:t>Program 11</w:t>
            </w:r>
          </w:p>
        </w:tc>
        <w:tc>
          <w:tcPr>
            <w:tcW w:w="521" w:type="pct"/>
            <w:shd w:val="clear" w:color="auto" w:fill="FFFFFF"/>
          </w:tcPr>
          <w:p w:rsidR="00E93B3C" w:rsidRPr="00CC3F44" w:rsidRDefault="00E93B3C" w:rsidP="00547ACE">
            <w:pPr>
              <w:jc w:val="center"/>
              <w:rPr>
                <w:rFonts w:cs="Arial"/>
                <w:color w:val="008000"/>
                <w:sz w:val="22"/>
                <w:szCs w:val="22"/>
              </w:rPr>
            </w:pPr>
            <w:r w:rsidRPr="00CC3F44">
              <w:rPr>
                <w:rFonts w:cs="Arial"/>
                <w:color w:val="008000"/>
                <w:sz w:val="22"/>
                <w:szCs w:val="22"/>
              </w:rPr>
              <w:sym w:font="Wingdings" w:char="F06C"/>
            </w:r>
          </w:p>
        </w:tc>
      </w:tr>
      <w:tr w:rsidR="00E93B3C" w:rsidRPr="0016774F" w:rsidTr="00547ACE">
        <w:trPr>
          <w:cantSplit/>
          <w:trHeight w:val="800"/>
        </w:trPr>
        <w:tc>
          <w:tcPr>
            <w:tcW w:w="1477" w:type="pct"/>
            <w:shd w:val="clear" w:color="auto" w:fill="auto"/>
            <w:tcMar>
              <w:top w:w="113" w:type="dxa"/>
              <w:bottom w:w="57" w:type="dxa"/>
            </w:tcMar>
          </w:tcPr>
          <w:p w:rsidR="00E93B3C" w:rsidRPr="0016774F" w:rsidRDefault="00E93B3C" w:rsidP="00547ACE">
            <w:pPr>
              <w:rPr>
                <w:rFonts w:cs="Arial"/>
                <w:sz w:val="16"/>
                <w:szCs w:val="16"/>
              </w:rPr>
            </w:pPr>
          </w:p>
        </w:tc>
        <w:tc>
          <w:tcPr>
            <w:tcW w:w="2267" w:type="pct"/>
            <w:shd w:val="clear" w:color="auto" w:fill="auto"/>
            <w:tcMar>
              <w:top w:w="113" w:type="dxa"/>
              <w:bottom w:w="57" w:type="dxa"/>
            </w:tcMar>
          </w:tcPr>
          <w:p w:rsidR="00E93B3C" w:rsidRPr="00F74290" w:rsidRDefault="00E93B3C" w:rsidP="00547ACE">
            <w:pPr>
              <w:rPr>
                <w:rFonts w:cs="Arial"/>
                <w:sz w:val="16"/>
                <w:szCs w:val="16"/>
              </w:rPr>
            </w:pPr>
            <w:r w:rsidRPr="00F74290">
              <w:rPr>
                <w:rFonts w:cs="Arial"/>
                <w:sz w:val="16"/>
                <w:szCs w:val="16"/>
              </w:rPr>
              <w:t>Improved access to higher education on IP on the part of developing countries, LDCs and CETs / Number of universities in developing countries, LDCs and CETs, offering new teaching programs on IP</w:t>
            </w:r>
          </w:p>
        </w:tc>
        <w:tc>
          <w:tcPr>
            <w:tcW w:w="735" w:type="pct"/>
            <w:shd w:val="clear" w:color="auto" w:fill="FFFFFF"/>
            <w:tcMar>
              <w:top w:w="113" w:type="dxa"/>
              <w:bottom w:w="57" w:type="dxa"/>
            </w:tcMar>
          </w:tcPr>
          <w:p w:rsidR="00E93B3C" w:rsidRPr="00F74290" w:rsidRDefault="00E93B3C" w:rsidP="00547ACE">
            <w:pPr>
              <w:jc w:val="center"/>
              <w:rPr>
                <w:rFonts w:cs="Arial"/>
                <w:sz w:val="16"/>
                <w:szCs w:val="16"/>
                <w:lang w:bidi="th-TH"/>
              </w:rPr>
            </w:pPr>
            <w:r w:rsidRPr="00614F68">
              <w:rPr>
                <w:rFonts w:cs="Arial"/>
                <w:sz w:val="16"/>
                <w:szCs w:val="16"/>
                <w:lang w:bidi="th-TH"/>
              </w:rPr>
              <w:t>Program 11</w:t>
            </w:r>
          </w:p>
        </w:tc>
        <w:tc>
          <w:tcPr>
            <w:tcW w:w="521" w:type="pct"/>
            <w:shd w:val="clear" w:color="auto" w:fill="FFFFFF"/>
          </w:tcPr>
          <w:p w:rsidR="00E93B3C" w:rsidRPr="00CC3F44" w:rsidRDefault="00E93B3C" w:rsidP="00547ACE">
            <w:pPr>
              <w:jc w:val="center"/>
              <w:rPr>
                <w:rFonts w:cs="Arial"/>
                <w:color w:val="008000"/>
                <w:sz w:val="22"/>
                <w:szCs w:val="22"/>
              </w:rPr>
            </w:pPr>
            <w:r w:rsidRPr="00CC3F44">
              <w:rPr>
                <w:rFonts w:cs="Arial"/>
                <w:color w:val="E26B0A"/>
                <w:sz w:val="22"/>
                <w:szCs w:val="22"/>
              </w:rPr>
              <w:sym w:font="Wingdings" w:char="F06C"/>
            </w:r>
          </w:p>
        </w:tc>
      </w:tr>
      <w:tr w:rsidR="00E93B3C" w:rsidRPr="0016774F" w:rsidTr="00547ACE">
        <w:trPr>
          <w:cantSplit/>
          <w:trHeight w:val="418"/>
        </w:trPr>
        <w:tc>
          <w:tcPr>
            <w:tcW w:w="1477" w:type="pct"/>
            <w:shd w:val="clear" w:color="auto" w:fill="auto"/>
            <w:tcMar>
              <w:top w:w="113" w:type="dxa"/>
              <w:bottom w:w="57" w:type="dxa"/>
            </w:tcMar>
          </w:tcPr>
          <w:p w:rsidR="00E93B3C" w:rsidRPr="0016774F" w:rsidRDefault="00E93B3C" w:rsidP="00547ACE">
            <w:pPr>
              <w:rPr>
                <w:rFonts w:cs="Arial"/>
                <w:sz w:val="16"/>
                <w:szCs w:val="16"/>
              </w:rPr>
            </w:pPr>
          </w:p>
        </w:tc>
        <w:tc>
          <w:tcPr>
            <w:tcW w:w="2267" w:type="pct"/>
            <w:shd w:val="clear" w:color="auto" w:fill="auto"/>
            <w:tcMar>
              <w:top w:w="113" w:type="dxa"/>
              <w:bottom w:w="57" w:type="dxa"/>
            </w:tcMar>
          </w:tcPr>
          <w:p w:rsidR="00E93B3C" w:rsidRPr="00F74290" w:rsidRDefault="00E93B3C" w:rsidP="00547ACE">
            <w:pPr>
              <w:rPr>
                <w:rFonts w:cs="Arial"/>
                <w:sz w:val="16"/>
                <w:szCs w:val="16"/>
              </w:rPr>
            </w:pPr>
            <w:r w:rsidRPr="00F74290">
              <w:rPr>
                <w:rFonts w:cs="Arial"/>
                <w:sz w:val="16"/>
                <w:szCs w:val="16"/>
              </w:rPr>
              <w:t>Progressive establishment of a network of IP experts in developing countries, LDCs and CETs</w:t>
            </w:r>
          </w:p>
        </w:tc>
        <w:tc>
          <w:tcPr>
            <w:tcW w:w="735" w:type="pct"/>
            <w:shd w:val="clear" w:color="auto" w:fill="FFFFFF"/>
            <w:tcMar>
              <w:top w:w="113" w:type="dxa"/>
              <w:bottom w:w="57" w:type="dxa"/>
            </w:tcMar>
          </w:tcPr>
          <w:p w:rsidR="00E93B3C" w:rsidRPr="00F74290" w:rsidRDefault="00E93B3C" w:rsidP="00547ACE">
            <w:pPr>
              <w:jc w:val="center"/>
              <w:rPr>
                <w:rFonts w:cs="Arial"/>
                <w:sz w:val="16"/>
                <w:szCs w:val="16"/>
                <w:lang w:bidi="th-TH"/>
              </w:rPr>
            </w:pPr>
            <w:r w:rsidRPr="00614F68">
              <w:rPr>
                <w:rFonts w:cs="Arial"/>
                <w:sz w:val="16"/>
                <w:szCs w:val="16"/>
                <w:lang w:bidi="th-TH"/>
              </w:rPr>
              <w:t>Program 11</w:t>
            </w:r>
          </w:p>
        </w:tc>
        <w:tc>
          <w:tcPr>
            <w:tcW w:w="521" w:type="pct"/>
            <w:shd w:val="clear" w:color="auto" w:fill="FFFFFF"/>
          </w:tcPr>
          <w:p w:rsidR="00E93B3C" w:rsidRPr="00CC3F44" w:rsidRDefault="00E93B3C" w:rsidP="00547ACE">
            <w:pPr>
              <w:jc w:val="center"/>
            </w:pPr>
            <w:r w:rsidRPr="00CC3F44">
              <w:rPr>
                <w:rFonts w:cs="Arial"/>
                <w:color w:val="008000"/>
                <w:sz w:val="22"/>
                <w:szCs w:val="22"/>
              </w:rPr>
              <w:sym w:font="Wingdings" w:char="F06C"/>
            </w:r>
          </w:p>
        </w:tc>
      </w:tr>
      <w:tr w:rsidR="00E93B3C" w:rsidRPr="0016774F" w:rsidTr="00547ACE">
        <w:trPr>
          <w:cantSplit/>
          <w:trHeight w:val="463"/>
        </w:trPr>
        <w:tc>
          <w:tcPr>
            <w:tcW w:w="1477" w:type="pct"/>
            <w:shd w:val="clear" w:color="auto" w:fill="auto"/>
            <w:tcMar>
              <w:top w:w="113" w:type="dxa"/>
              <w:bottom w:w="57" w:type="dxa"/>
            </w:tcMar>
          </w:tcPr>
          <w:p w:rsidR="00E93B3C" w:rsidRPr="0016774F" w:rsidRDefault="00E93B3C" w:rsidP="00547ACE">
            <w:pPr>
              <w:rPr>
                <w:rFonts w:cs="Arial"/>
                <w:sz w:val="16"/>
                <w:szCs w:val="16"/>
              </w:rPr>
            </w:pPr>
          </w:p>
        </w:tc>
        <w:tc>
          <w:tcPr>
            <w:tcW w:w="2267" w:type="pct"/>
            <w:shd w:val="clear" w:color="auto" w:fill="auto"/>
            <w:tcMar>
              <w:top w:w="113" w:type="dxa"/>
              <w:bottom w:w="57" w:type="dxa"/>
            </w:tcMar>
          </w:tcPr>
          <w:p w:rsidR="00E93B3C" w:rsidRPr="00F74290" w:rsidRDefault="00E93B3C" w:rsidP="00547ACE">
            <w:pPr>
              <w:rPr>
                <w:rFonts w:cs="Arial"/>
                <w:sz w:val="16"/>
                <w:szCs w:val="16"/>
              </w:rPr>
            </w:pPr>
            <w:r w:rsidRPr="00F74290">
              <w:rPr>
                <w:rFonts w:cs="Arial"/>
                <w:sz w:val="16"/>
                <w:szCs w:val="16"/>
              </w:rPr>
              <w:t>No. of new start-up academies projects initiated after the conclusion of the Pilot Phase</w:t>
            </w:r>
          </w:p>
        </w:tc>
        <w:tc>
          <w:tcPr>
            <w:tcW w:w="735" w:type="pct"/>
            <w:shd w:val="clear" w:color="auto" w:fill="FFFFFF"/>
            <w:tcMar>
              <w:top w:w="113" w:type="dxa"/>
              <w:bottom w:w="57" w:type="dxa"/>
            </w:tcMar>
          </w:tcPr>
          <w:p w:rsidR="00E93B3C" w:rsidRPr="00F74290" w:rsidRDefault="00E93B3C" w:rsidP="00547ACE">
            <w:pPr>
              <w:jc w:val="center"/>
              <w:rPr>
                <w:rFonts w:cs="Arial"/>
                <w:sz w:val="16"/>
                <w:szCs w:val="16"/>
                <w:lang w:bidi="th-TH"/>
              </w:rPr>
            </w:pPr>
            <w:r w:rsidRPr="00614F68">
              <w:rPr>
                <w:rFonts w:cs="Arial"/>
                <w:sz w:val="16"/>
                <w:szCs w:val="16"/>
                <w:lang w:bidi="th-TH"/>
              </w:rPr>
              <w:t>Program 11</w:t>
            </w:r>
          </w:p>
        </w:tc>
        <w:tc>
          <w:tcPr>
            <w:tcW w:w="521" w:type="pct"/>
            <w:shd w:val="clear" w:color="auto" w:fill="FFFFFF"/>
          </w:tcPr>
          <w:p w:rsidR="00E93B3C" w:rsidRPr="00CC3F44" w:rsidRDefault="00E93B3C" w:rsidP="00547ACE">
            <w:pPr>
              <w:jc w:val="center"/>
            </w:pPr>
            <w:r w:rsidRPr="00CC3F44">
              <w:rPr>
                <w:rFonts w:cs="Arial"/>
                <w:color w:val="008000"/>
                <w:sz w:val="22"/>
                <w:szCs w:val="22"/>
              </w:rPr>
              <w:sym w:font="Wingdings" w:char="F06C"/>
            </w:r>
          </w:p>
        </w:tc>
      </w:tr>
      <w:tr w:rsidR="00E93B3C" w:rsidRPr="0016774F" w:rsidTr="00547ACE">
        <w:trPr>
          <w:cantSplit/>
          <w:trHeight w:val="634"/>
        </w:trPr>
        <w:tc>
          <w:tcPr>
            <w:tcW w:w="1477" w:type="pct"/>
            <w:shd w:val="clear" w:color="auto" w:fill="auto"/>
            <w:tcMar>
              <w:top w:w="113" w:type="dxa"/>
              <w:bottom w:w="57" w:type="dxa"/>
            </w:tcMar>
          </w:tcPr>
          <w:p w:rsidR="00E93B3C" w:rsidRPr="0016774F" w:rsidRDefault="00E93B3C" w:rsidP="00547ACE">
            <w:pPr>
              <w:rPr>
                <w:rFonts w:cs="Arial"/>
                <w:sz w:val="16"/>
                <w:szCs w:val="16"/>
              </w:rPr>
            </w:pPr>
          </w:p>
        </w:tc>
        <w:tc>
          <w:tcPr>
            <w:tcW w:w="2267" w:type="pct"/>
            <w:shd w:val="clear" w:color="auto" w:fill="auto"/>
            <w:tcMar>
              <w:top w:w="113" w:type="dxa"/>
              <w:bottom w:w="57" w:type="dxa"/>
            </w:tcMar>
          </w:tcPr>
          <w:p w:rsidR="00E93B3C" w:rsidRPr="0016774F" w:rsidRDefault="00E93B3C" w:rsidP="00547ACE">
            <w:pPr>
              <w:rPr>
                <w:rFonts w:cs="Arial"/>
                <w:sz w:val="16"/>
                <w:szCs w:val="16"/>
              </w:rPr>
            </w:pPr>
            <w:r w:rsidRPr="0016774F">
              <w:rPr>
                <w:rFonts w:cs="Arial"/>
                <w:sz w:val="16"/>
                <w:szCs w:val="16"/>
              </w:rPr>
              <w:t>% of trained participants that report satisfaction with the usefulness and relevance of the training provided for their professional life</w:t>
            </w:r>
          </w:p>
        </w:tc>
        <w:tc>
          <w:tcPr>
            <w:tcW w:w="735" w:type="pct"/>
            <w:shd w:val="clear" w:color="auto" w:fill="FFFFFF"/>
            <w:tcMar>
              <w:top w:w="113" w:type="dxa"/>
              <w:bottom w:w="57" w:type="dxa"/>
            </w:tcMar>
          </w:tcPr>
          <w:p w:rsidR="00E93B3C" w:rsidRPr="0016774F" w:rsidRDefault="00E93B3C" w:rsidP="00547ACE">
            <w:pPr>
              <w:jc w:val="center"/>
              <w:rPr>
                <w:rFonts w:cs="Arial"/>
                <w:sz w:val="16"/>
                <w:szCs w:val="16"/>
                <w:lang w:bidi="th-TH"/>
              </w:rPr>
            </w:pPr>
            <w:r w:rsidRPr="0016774F">
              <w:rPr>
                <w:rFonts w:cs="Arial"/>
                <w:sz w:val="16"/>
                <w:szCs w:val="16"/>
                <w:lang w:bidi="th-TH"/>
              </w:rPr>
              <w:t>Program 17</w:t>
            </w:r>
          </w:p>
        </w:tc>
        <w:tc>
          <w:tcPr>
            <w:tcW w:w="521" w:type="pct"/>
            <w:shd w:val="clear" w:color="auto" w:fill="FFFFFF"/>
          </w:tcPr>
          <w:p w:rsidR="00E93B3C" w:rsidRPr="00CC3F44" w:rsidRDefault="00E93B3C" w:rsidP="00547ACE">
            <w:pPr>
              <w:jc w:val="center"/>
            </w:pPr>
            <w:r w:rsidRPr="00CC3F44">
              <w:rPr>
                <w:rFonts w:cs="Arial"/>
                <w:color w:val="008000"/>
                <w:sz w:val="22"/>
                <w:szCs w:val="22"/>
              </w:rPr>
              <w:sym w:font="Wingdings" w:char="F06C"/>
            </w:r>
          </w:p>
        </w:tc>
      </w:tr>
      <w:tr w:rsidR="00E93B3C" w:rsidRPr="0016774F" w:rsidTr="00547ACE">
        <w:trPr>
          <w:cantSplit/>
          <w:trHeight w:val="724"/>
        </w:trPr>
        <w:tc>
          <w:tcPr>
            <w:tcW w:w="1477" w:type="pct"/>
            <w:shd w:val="clear" w:color="auto" w:fill="auto"/>
            <w:tcMar>
              <w:top w:w="113" w:type="dxa"/>
              <w:bottom w:w="57" w:type="dxa"/>
            </w:tcMar>
          </w:tcPr>
          <w:p w:rsidR="00E93B3C" w:rsidRPr="0016774F" w:rsidRDefault="00E93B3C" w:rsidP="00547ACE">
            <w:pPr>
              <w:rPr>
                <w:rFonts w:cs="Arial"/>
                <w:sz w:val="16"/>
                <w:szCs w:val="16"/>
              </w:rPr>
            </w:pPr>
          </w:p>
        </w:tc>
        <w:tc>
          <w:tcPr>
            <w:tcW w:w="2267" w:type="pct"/>
            <w:shd w:val="clear" w:color="auto" w:fill="auto"/>
            <w:tcMar>
              <w:top w:w="113" w:type="dxa"/>
              <w:bottom w:w="57" w:type="dxa"/>
            </w:tcMar>
          </w:tcPr>
          <w:p w:rsidR="00E93B3C" w:rsidRPr="0016774F" w:rsidRDefault="00E93B3C" w:rsidP="00547ACE">
            <w:pPr>
              <w:rPr>
                <w:rFonts w:cs="Arial"/>
                <w:sz w:val="16"/>
                <w:szCs w:val="16"/>
              </w:rPr>
            </w:pPr>
            <w:r w:rsidRPr="00DC5B92">
              <w:rPr>
                <w:rFonts w:cs="Arial"/>
                <w:sz w:val="16"/>
                <w:szCs w:val="16"/>
              </w:rPr>
              <w:t xml:space="preserve">% of targeted audience who have demonstrated a basic knowledge of </w:t>
            </w:r>
            <w:r>
              <w:rPr>
                <w:rFonts w:cs="Arial"/>
                <w:sz w:val="16"/>
                <w:szCs w:val="16"/>
              </w:rPr>
              <w:t xml:space="preserve">a balanced </w:t>
            </w:r>
            <w:r w:rsidRPr="00DC5B92">
              <w:rPr>
                <w:rFonts w:cs="Arial"/>
                <w:sz w:val="16"/>
                <w:szCs w:val="16"/>
              </w:rPr>
              <w:t xml:space="preserve">IP </w:t>
            </w:r>
            <w:r>
              <w:rPr>
                <w:rFonts w:cs="Arial"/>
                <w:sz w:val="16"/>
                <w:szCs w:val="16"/>
              </w:rPr>
              <w:t>system</w:t>
            </w:r>
            <w:r w:rsidRPr="00DC5B92">
              <w:rPr>
                <w:rFonts w:cs="Arial"/>
                <w:sz w:val="16"/>
                <w:szCs w:val="16"/>
              </w:rPr>
              <w:t xml:space="preserve"> further to WIPO activities</w:t>
            </w:r>
          </w:p>
        </w:tc>
        <w:tc>
          <w:tcPr>
            <w:tcW w:w="735" w:type="pct"/>
            <w:shd w:val="clear" w:color="auto" w:fill="FFFFFF"/>
            <w:tcMar>
              <w:top w:w="113" w:type="dxa"/>
              <w:bottom w:w="57" w:type="dxa"/>
            </w:tcMar>
          </w:tcPr>
          <w:p w:rsidR="00E93B3C" w:rsidRPr="0016774F" w:rsidRDefault="00E93B3C" w:rsidP="00547ACE">
            <w:pPr>
              <w:jc w:val="center"/>
              <w:rPr>
                <w:rFonts w:cs="Arial"/>
                <w:sz w:val="16"/>
                <w:szCs w:val="16"/>
                <w:lang w:bidi="th-TH"/>
              </w:rPr>
            </w:pPr>
            <w:r w:rsidRPr="0016774F">
              <w:rPr>
                <w:rFonts w:cs="Arial"/>
                <w:sz w:val="16"/>
                <w:szCs w:val="16"/>
                <w:lang w:bidi="th-TH"/>
              </w:rPr>
              <w:t>Program 17</w:t>
            </w:r>
          </w:p>
        </w:tc>
        <w:tc>
          <w:tcPr>
            <w:tcW w:w="521" w:type="pct"/>
            <w:shd w:val="clear" w:color="auto" w:fill="FFFFFF"/>
          </w:tcPr>
          <w:p w:rsidR="00E93B3C" w:rsidRPr="00CC3F44" w:rsidRDefault="00E93B3C" w:rsidP="00547ACE">
            <w:pPr>
              <w:jc w:val="center"/>
            </w:pPr>
            <w:r w:rsidRPr="00CC3F44">
              <w:rPr>
                <w:rFonts w:cs="Arial"/>
                <w:color w:val="008000"/>
                <w:sz w:val="22"/>
                <w:szCs w:val="22"/>
              </w:rPr>
              <w:sym w:font="Wingdings" w:char="F06C"/>
            </w:r>
          </w:p>
        </w:tc>
      </w:tr>
      <w:tr w:rsidR="00E93B3C" w:rsidRPr="0016774F" w:rsidTr="00547ACE">
        <w:trPr>
          <w:cantSplit/>
          <w:trHeight w:val="382"/>
        </w:trPr>
        <w:tc>
          <w:tcPr>
            <w:tcW w:w="1477" w:type="pct"/>
            <w:shd w:val="clear" w:color="auto" w:fill="auto"/>
            <w:tcMar>
              <w:top w:w="113" w:type="dxa"/>
              <w:bottom w:w="57" w:type="dxa"/>
            </w:tcMar>
          </w:tcPr>
          <w:p w:rsidR="00E93B3C" w:rsidRPr="0016774F" w:rsidRDefault="00E93B3C" w:rsidP="00547ACE">
            <w:pPr>
              <w:rPr>
                <w:rFonts w:cs="Arial"/>
                <w:sz w:val="16"/>
                <w:szCs w:val="16"/>
              </w:rPr>
            </w:pPr>
          </w:p>
        </w:tc>
        <w:tc>
          <w:tcPr>
            <w:tcW w:w="2267" w:type="pct"/>
            <w:shd w:val="clear" w:color="auto" w:fill="auto"/>
            <w:tcMar>
              <w:top w:w="113" w:type="dxa"/>
              <w:bottom w:w="57" w:type="dxa"/>
            </w:tcMar>
          </w:tcPr>
          <w:p w:rsidR="00E93B3C" w:rsidRPr="0016774F" w:rsidRDefault="00E93B3C" w:rsidP="00547ACE">
            <w:pPr>
              <w:rPr>
                <w:rFonts w:cs="Arial"/>
                <w:sz w:val="16"/>
                <w:szCs w:val="16"/>
              </w:rPr>
            </w:pPr>
            <w:r w:rsidRPr="0016774F">
              <w:rPr>
                <w:rFonts w:cs="Arial"/>
                <w:sz w:val="16"/>
                <w:szCs w:val="16"/>
              </w:rPr>
              <w:t>No. of countries participating in WIPO Awards Program</w:t>
            </w:r>
          </w:p>
        </w:tc>
        <w:tc>
          <w:tcPr>
            <w:tcW w:w="735" w:type="pct"/>
            <w:shd w:val="clear" w:color="auto" w:fill="FFFFFF"/>
            <w:tcMar>
              <w:top w:w="113" w:type="dxa"/>
              <w:bottom w:w="57" w:type="dxa"/>
            </w:tcMar>
          </w:tcPr>
          <w:p w:rsidR="00E93B3C" w:rsidRPr="0016774F" w:rsidRDefault="00E93B3C" w:rsidP="00547ACE">
            <w:pPr>
              <w:jc w:val="center"/>
              <w:rPr>
                <w:rFonts w:cs="Arial"/>
                <w:sz w:val="16"/>
                <w:szCs w:val="16"/>
                <w:lang w:bidi="th-TH"/>
              </w:rPr>
            </w:pPr>
            <w:r w:rsidRPr="0016774F">
              <w:rPr>
                <w:rFonts w:cs="Arial"/>
                <w:sz w:val="16"/>
                <w:szCs w:val="16"/>
                <w:lang w:bidi="th-TH"/>
              </w:rPr>
              <w:t>Program 17</w:t>
            </w:r>
          </w:p>
        </w:tc>
        <w:tc>
          <w:tcPr>
            <w:tcW w:w="521" w:type="pct"/>
            <w:shd w:val="clear" w:color="auto" w:fill="FFFFFF"/>
          </w:tcPr>
          <w:p w:rsidR="00E93B3C" w:rsidRPr="00CC3F44" w:rsidRDefault="00E93B3C" w:rsidP="00547ACE">
            <w:pPr>
              <w:jc w:val="center"/>
            </w:pPr>
            <w:r w:rsidRPr="00CC3F44">
              <w:rPr>
                <w:rFonts w:cs="Arial"/>
                <w:color w:val="008000"/>
                <w:sz w:val="22"/>
                <w:szCs w:val="22"/>
              </w:rPr>
              <w:sym w:font="Wingdings" w:char="F06C"/>
            </w:r>
          </w:p>
        </w:tc>
      </w:tr>
      <w:tr w:rsidR="00E93B3C" w:rsidRPr="0016774F" w:rsidTr="00547ACE">
        <w:trPr>
          <w:cantSplit/>
          <w:trHeight w:val="454"/>
        </w:trPr>
        <w:tc>
          <w:tcPr>
            <w:tcW w:w="1477" w:type="pct"/>
            <w:shd w:val="clear" w:color="auto" w:fill="auto"/>
            <w:tcMar>
              <w:top w:w="113" w:type="dxa"/>
              <w:bottom w:w="57" w:type="dxa"/>
            </w:tcMar>
          </w:tcPr>
          <w:p w:rsidR="00E93B3C" w:rsidRPr="0016774F" w:rsidRDefault="00E93B3C" w:rsidP="00547ACE">
            <w:pPr>
              <w:rPr>
                <w:rFonts w:cs="Arial"/>
                <w:sz w:val="16"/>
                <w:szCs w:val="16"/>
              </w:rPr>
            </w:pPr>
          </w:p>
        </w:tc>
        <w:tc>
          <w:tcPr>
            <w:tcW w:w="2267" w:type="pct"/>
            <w:shd w:val="clear" w:color="auto" w:fill="auto"/>
            <w:tcMar>
              <w:top w:w="113" w:type="dxa"/>
              <w:bottom w:w="57" w:type="dxa"/>
            </w:tcMar>
          </w:tcPr>
          <w:p w:rsidR="00E93B3C" w:rsidRPr="0016774F" w:rsidRDefault="00E93B3C" w:rsidP="00547ACE">
            <w:pPr>
              <w:rPr>
                <w:rFonts w:cs="Arial"/>
                <w:sz w:val="16"/>
                <w:szCs w:val="16"/>
              </w:rPr>
            </w:pPr>
            <w:r>
              <w:rPr>
                <w:rFonts w:cs="Arial"/>
                <w:sz w:val="16"/>
                <w:szCs w:val="16"/>
              </w:rPr>
              <w:t>No. of hosting arrangements of developing country scientists</w:t>
            </w:r>
          </w:p>
        </w:tc>
        <w:tc>
          <w:tcPr>
            <w:tcW w:w="735" w:type="pct"/>
            <w:shd w:val="clear" w:color="auto" w:fill="FFFFFF"/>
            <w:tcMar>
              <w:top w:w="113" w:type="dxa"/>
              <w:bottom w:w="57" w:type="dxa"/>
            </w:tcMar>
          </w:tcPr>
          <w:p w:rsidR="00E93B3C" w:rsidRPr="0016774F" w:rsidRDefault="00E93B3C" w:rsidP="00547ACE">
            <w:pPr>
              <w:jc w:val="center"/>
              <w:rPr>
                <w:rFonts w:cs="Arial"/>
                <w:sz w:val="16"/>
                <w:szCs w:val="16"/>
                <w:lang w:bidi="th-TH"/>
              </w:rPr>
            </w:pPr>
            <w:r>
              <w:rPr>
                <w:rFonts w:cs="Arial"/>
                <w:sz w:val="16"/>
                <w:szCs w:val="16"/>
                <w:lang w:bidi="th-TH"/>
              </w:rPr>
              <w:t>Program 18</w:t>
            </w:r>
          </w:p>
        </w:tc>
        <w:tc>
          <w:tcPr>
            <w:tcW w:w="521" w:type="pct"/>
            <w:shd w:val="clear" w:color="auto" w:fill="FFFFFF"/>
          </w:tcPr>
          <w:p w:rsidR="00E93B3C" w:rsidRPr="00CC3F44" w:rsidRDefault="00E93B3C" w:rsidP="00547ACE">
            <w:pPr>
              <w:jc w:val="center"/>
            </w:pPr>
            <w:r w:rsidRPr="00CC3F44">
              <w:rPr>
                <w:rFonts w:cs="Arial"/>
                <w:color w:val="FF0000"/>
                <w:sz w:val="22"/>
                <w:szCs w:val="22"/>
              </w:rPr>
              <w:sym w:font="Wingdings" w:char="F06C"/>
            </w:r>
          </w:p>
        </w:tc>
      </w:tr>
      <w:tr w:rsidR="00E93B3C" w:rsidRPr="0016774F" w:rsidTr="00547ACE">
        <w:trPr>
          <w:cantSplit/>
          <w:trHeight w:val="726"/>
        </w:trPr>
        <w:tc>
          <w:tcPr>
            <w:tcW w:w="1477" w:type="pct"/>
            <w:shd w:val="clear" w:color="auto" w:fill="auto"/>
            <w:tcMar>
              <w:top w:w="113" w:type="dxa"/>
              <w:bottom w:w="57" w:type="dxa"/>
            </w:tcMar>
          </w:tcPr>
          <w:p w:rsidR="00E93B3C" w:rsidRPr="0016774F" w:rsidRDefault="00E93B3C" w:rsidP="00547ACE">
            <w:pPr>
              <w:rPr>
                <w:rFonts w:cs="Arial"/>
                <w:sz w:val="16"/>
                <w:szCs w:val="16"/>
              </w:rPr>
            </w:pPr>
          </w:p>
        </w:tc>
        <w:tc>
          <w:tcPr>
            <w:tcW w:w="2267" w:type="pct"/>
            <w:shd w:val="clear" w:color="auto" w:fill="auto"/>
            <w:tcMar>
              <w:top w:w="113" w:type="dxa"/>
              <w:bottom w:w="57" w:type="dxa"/>
            </w:tcMar>
          </w:tcPr>
          <w:p w:rsidR="00E93B3C" w:rsidRPr="0016774F" w:rsidRDefault="00E93B3C" w:rsidP="00547ACE">
            <w:pPr>
              <w:rPr>
                <w:rFonts w:cs="Arial"/>
                <w:sz w:val="16"/>
                <w:szCs w:val="16"/>
              </w:rPr>
            </w:pPr>
            <w:r w:rsidRPr="0016774F">
              <w:rPr>
                <w:rFonts w:cs="Arial"/>
                <w:sz w:val="16"/>
                <w:szCs w:val="16"/>
              </w:rPr>
              <w:t>% of policy makers, government officials, IP practitioners and participants in targeted workshops with enhanced understanding of CMOs and how to effectively use IP for developmen</w:t>
            </w:r>
            <w:r>
              <w:rPr>
                <w:rFonts w:cs="Arial"/>
                <w:sz w:val="16"/>
                <w:szCs w:val="16"/>
              </w:rPr>
              <w:t>t</w:t>
            </w:r>
          </w:p>
        </w:tc>
        <w:tc>
          <w:tcPr>
            <w:tcW w:w="735" w:type="pct"/>
            <w:shd w:val="clear" w:color="auto" w:fill="FFFFFF"/>
            <w:tcMar>
              <w:top w:w="113" w:type="dxa"/>
              <w:bottom w:w="57" w:type="dxa"/>
            </w:tcMar>
          </w:tcPr>
          <w:p w:rsidR="00E93B3C" w:rsidRDefault="00E93B3C" w:rsidP="00547ACE">
            <w:pPr>
              <w:jc w:val="center"/>
              <w:rPr>
                <w:rFonts w:cs="Arial"/>
                <w:sz w:val="16"/>
                <w:szCs w:val="16"/>
                <w:lang w:bidi="th-TH"/>
              </w:rPr>
            </w:pPr>
            <w:r w:rsidRPr="0016774F">
              <w:rPr>
                <w:rFonts w:cs="Arial"/>
                <w:sz w:val="16"/>
                <w:szCs w:val="16"/>
                <w:lang w:bidi="th-TH"/>
              </w:rPr>
              <w:t>Program 20</w:t>
            </w:r>
          </w:p>
          <w:p w:rsidR="00E93B3C" w:rsidRDefault="00E93B3C" w:rsidP="00547ACE">
            <w:pPr>
              <w:ind w:left="551"/>
              <w:jc w:val="center"/>
              <w:rPr>
                <w:rFonts w:cs="Arial"/>
                <w:sz w:val="16"/>
                <w:szCs w:val="16"/>
                <w:lang w:bidi="th-TH"/>
              </w:rPr>
            </w:pPr>
          </w:p>
          <w:p w:rsidR="00E93B3C" w:rsidRDefault="00E93B3C" w:rsidP="00547ACE">
            <w:pPr>
              <w:ind w:left="551"/>
              <w:jc w:val="center"/>
              <w:rPr>
                <w:rFonts w:cs="Arial"/>
                <w:sz w:val="16"/>
                <w:szCs w:val="16"/>
                <w:lang w:bidi="th-TH"/>
              </w:rPr>
            </w:pPr>
          </w:p>
          <w:p w:rsidR="00E93B3C" w:rsidRPr="0016774F" w:rsidRDefault="00E93B3C" w:rsidP="00547ACE">
            <w:pPr>
              <w:jc w:val="center"/>
              <w:rPr>
                <w:rFonts w:cs="Arial"/>
                <w:sz w:val="16"/>
                <w:szCs w:val="16"/>
                <w:lang w:bidi="th-TH"/>
              </w:rPr>
            </w:pPr>
          </w:p>
        </w:tc>
        <w:tc>
          <w:tcPr>
            <w:tcW w:w="521" w:type="pct"/>
            <w:shd w:val="clear" w:color="auto" w:fill="FFFFFF"/>
          </w:tcPr>
          <w:p w:rsidR="00E93B3C" w:rsidRPr="00CC3F44" w:rsidRDefault="00E93B3C" w:rsidP="00547ACE">
            <w:pPr>
              <w:jc w:val="center"/>
            </w:pPr>
            <w:r w:rsidRPr="00CC3F44">
              <w:rPr>
                <w:rFonts w:cs="Arial"/>
                <w:color w:val="008000"/>
                <w:sz w:val="22"/>
                <w:szCs w:val="22"/>
              </w:rPr>
              <w:sym w:font="Wingdings" w:char="F06C"/>
            </w:r>
            <w:r w:rsidRPr="00CC3F44">
              <w:rPr>
                <w:rFonts w:cs="Arial"/>
                <w:color w:val="008000"/>
                <w:sz w:val="22"/>
                <w:szCs w:val="22"/>
              </w:rPr>
              <w:sym w:font="Wingdings" w:char="F06C"/>
            </w:r>
            <w:r w:rsidRPr="00CC3F44">
              <w:rPr>
                <w:rFonts w:cs="Arial"/>
                <w:color w:val="008000"/>
                <w:sz w:val="22"/>
                <w:szCs w:val="22"/>
              </w:rPr>
              <w:sym w:font="Wingdings" w:char="F06C"/>
            </w:r>
          </w:p>
        </w:tc>
      </w:tr>
      <w:tr w:rsidR="00E93B3C" w:rsidRPr="0016774F" w:rsidTr="00547ACE">
        <w:trPr>
          <w:cantSplit/>
          <w:trHeight w:val="454"/>
        </w:trPr>
        <w:tc>
          <w:tcPr>
            <w:tcW w:w="1477" w:type="pct"/>
            <w:shd w:val="clear" w:color="auto" w:fill="auto"/>
            <w:tcMar>
              <w:top w:w="113" w:type="dxa"/>
              <w:bottom w:w="57" w:type="dxa"/>
            </w:tcMar>
          </w:tcPr>
          <w:p w:rsidR="00E93B3C" w:rsidRPr="0016774F" w:rsidRDefault="00E93B3C" w:rsidP="00547ACE">
            <w:pPr>
              <w:rPr>
                <w:rFonts w:cs="Arial"/>
                <w:sz w:val="16"/>
                <w:szCs w:val="16"/>
              </w:rPr>
            </w:pPr>
          </w:p>
        </w:tc>
        <w:tc>
          <w:tcPr>
            <w:tcW w:w="2267" w:type="pct"/>
            <w:shd w:val="clear" w:color="auto" w:fill="auto"/>
            <w:tcMar>
              <w:top w:w="113" w:type="dxa"/>
              <w:bottom w:w="57" w:type="dxa"/>
            </w:tcMar>
          </w:tcPr>
          <w:p w:rsidR="00E93B3C" w:rsidRPr="0016774F" w:rsidRDefault="00E93B3C" w:rsidP="00547ACE">
            <w:pPr>
              <w:rPr>
                <w:rFonts w:cs="Arial"/>
                <w:sz w:val="16"/>
                <w:szCs w:val="16"/>
              </w:rPr>
            </w:pPr>
            <w:r>
              <w:rPr>
                <w:rFonts w:cs="Arial"/>
                <w:sz w:val="16"/>
                <w:szCs w:val="16"/>
              </w:rPr>
              <w:t>% of trained IP professionals using upgraded skills in their work</w:t>
            </w:r>
          </w:p>
        </w:tc>
        <w:tc>
          <w:tcPr>
            <w:tcW w:w="735" w:type="pct"/>
            <w:shd w:val="clear" w:color="auto" w:fill="FFFFFF"/>
            <w:tcMar>
              <w:top w:w="113" w:type="dxa"/>
              <w:bottom w:w="57" w:type="dxa"/>
            </w:tcMar>
          </w:tcPr>
          <w:p w:rsidR="00E93B3C" w:rsidRPr="0016774F" w:rsidRDefault="00E93B3C" w:rsidP="00547ACE">
            <w:pPr>
              <w:jc w:val="center"/>
              <w:rPr>
                <w:rFonts w:cs="Arial"/>
                <w:sz w:val="16"/>
                <w:szCs w:val="16"/>
                <w:lang w:bidi="th-TH"/>
              </w:rPr>
            </w:pPr>
            <w:r w:rsidRPr="0016774F">
              <w:rPr>
                <w:rFonts w:cs="Arial"/>
                <w:sz w:val="16"/>
                <w:szCs w:val="16"/>
                <w:lang w:bidi="th-TH"/>
              </w:rPr>
              <w:t xml:space="preserve">Program </w:t>
            </w:r>
            <w:r>
              <w:rPr>
                <w:rFonts w:cs="Arial"/>
                <w:sz w:val="16"/>
                <w:szCs w:val="16"/>
                <w:lang w:bidi="th-TH"/>
              </w:rPr>
              <w:t>3</w:t>
            </w:r>
            <w:r w:rsidRPr="0016774F">
              <w:rPr>
                <w:rFonts w:cs="Arial"/>
                <w:sz w:val="16"/>
                <w:szCs w:val="16"/>
                <w:lang w:bidi="th-TH"/>
              </w:rPr>
              <w:t>0</w:t>
            </w:r>
          </w:p>
        </w:tc>
        <w:tc>
          <w:tcPr>
            <w:tcW w:w="521" w:type="pct"/>
            <w:shd w:val="clear" w:color="auto" w:fill="FFFFFF"/>
          </w:tcPr>
          <w:p w:rsidR="00E93B3C" w:rsidRPr="00CC3F44" w:rsidRDefault="00E93B3C" w:rsidP="00547ACE">
            <w:pPr>
              <w:jc w:val="center"/>
              <w:rPr>
                <w:rFonts w:cs="Arial"/>
                <w:color w:val="A6A6A6" w:themeColor="background1" w:themeShade="A6"/>
                <w:sz w:val="22"/>
                <w:szCs w:val="22"/>
              </w:rPr>
            </w:pPr>
            <w:r w:rsidRPr="00CC3F44">
              <w:rPr>
                <w:rFonts w:cs="Arial"/>
                <w:color w:val="008000"/>
                <w:sz w:val="22"/>
                <w:szCs w:val="22"/>
              </w:rPr>
              <w:sym w:font="Wingdings" w:char="F06C"/>
            </w:r>
          </w:p>
        </w:tc>
      </w:tr>
      <w:tr w:rsidR="00E93B3C" w:rsidRPr="0016774F" w:rsidTr="00547ACE">
        <w:trPr>
          <w:cantSplit/>
          <w:trHeight w:val="539"/>
        </w:trPr>
        <w:tc>
          <w:tcPr>
            <w:tcW w:w="1477" w:type="pct"/>
            <w:vMerge w:val="restart"/>
            <w:shd w:val="clear" w:color="auto" w:fill="auto"/>
            <w:tcMar>
              <w:top w:w="113" w:type="dxa"/>
              <w:bottom w:w="57" w:type="dxa"/>
            </w:tcMar>
          </w:tcPr>
          <w:p w:rsidR="00E93B3C" w:rsidRPr="0016774F" w:rsidRDefault="00E93B3C" w:rsidP="00547ACE">
            <w:pPr>
              <w:rPr>
                <w:rFonts w:cs="Arial"/>
                <w:sz w:val="16"/>
                <w:szCs w:val="16"/>
              </w:rPr>
            </w:pPr>
            <w:r w:rsidRPr="0016774F">
              <w:rPr>
                <w:rFonts w:cs="Arial"/>
                <w:sz w:val="16"/>
                <w:szCs w:val="16"/>
              </w:rPr>
              <w:lastRenderedPageBreak/>
              <w:t xml:space="preserve">III.3 </w:t>
            </w:r>
            <w:r>
              <w:rPr>
                <w:rFonts w:cs="Arial"/>
                <w:sz w:val="16"/>
                <w:szCs w:val="16"/>
              </w:rPr>
              <w:t xml:space="preserve"> </w:t>
            </w:r>
            <w:r w:rsidRPr="0016774F">
              <w:rPr>
                <w:rFonts w:cs="Arial"/>
                <w:sz w:val="16"/>
                <w:szCs w:val="16"/>
              </w:rPr>
              <w:t>Mainstreaming of the DA recommendations in the work of WIPO</w:t>
            </w:r>
          </w:p>
        </w:tc>
        <w:tc>
          <w:tcPr>
            <w:tcW w:w="2267" w:type="pct"/>
            <w:shd w:val="clear" w:color="auto" w:fill="auto"/>
            <w:tcMar>
              <w:top w:w="113" w:type="dxa"/>
              <w:bottom w:w="57" w:type="dxa"/>
            </w:tcMar>
          </w:tcPr>
          <w:p w:rsidR="00E93B3C" w:rsidRDefault="00E93B3C" w:rsidP="00547ACE">
            <w:pPr>
              <w:rPr>
                <w:rFonts w:cs="Arial"/>
                <w:sz w:val="16"/>
                <w:szCs w:val="16"/>
              </w:rPr>
            </w:pPr>
            <w:r w:rsidRPr="0016774F">
              <w:rPr>
                <w:rFonts w:cs="Arial"/>
                <w:sz w:val="16"/>
                <w:szCs w:val="16"/>
              </w:rPr>
              <w:t>No. of DA recommendations that have been addressed by the CDIP through projects, activities and studies</w:t>
            </w:r>
          </w:p>
          <w:p w:rsidR="00E93B3C" w:rsidRPr="0016774F" w:rsidRDefault="00E93B3C" w:rsidP="00547ACE">
            <w:pPr>
              <w:rPr>
                <w:rFonts w:cs="Arial"/>
                <w:sz w:val="16"/>
                <w:szCs w:val="16"/>
              </w:rPr>
            </w:pPr>
          </w:p>
        </w:tc>
        <w:tc>
          <w:tcPr>
            <w:tcW w:w="735" w:type="pct"/>
            <w:shd w:val="clear" w:color="auto" w:fill="FFFFFF"/>
            <w:tcMar>
              <w:top w:w="113" w:type="dxa"/>
              <w:bottom w:w="57" w:type="dxa"/>
            </w:tcMar>
          </w:tcPr>
          <w:p w:rsidR="00E93B3C" w:rsidRPr="0016774F" w:rsidRDefault="00E93B3C" w:rsidP="00547ACE">
            <w:pPr>
              <w:jc w:val="center"/>
              <w:rPr>
                <w:rFonts w:cs="Arial"/>
                <w:sz w:val="16"/>
                <w:szCs w:val="16"/>
                <w:lang w:bidi="th-TH"/>
              </w:rPr>
            </w:pPr>
            <w:r w:rsidRPr="0016774F">
              <w:rPr>
                <w:rFonts w:cs="Arial"/>
                <w:sz w:val="16"/>
                <w:szCs w:val="16"/>
                <w:lang w:bidi="th-TH"/>
              </w:rPr>
              <w:t>Program 8</w:t>
            </w:r>
          </w:p>
        </w:tc>
        <w:tc>
          <w:tcPr>
            <w:tcW w:w="521" w:type="pct"/>
            <w:shd w:val="clear" w:color="auto" w:fill="FFFFFF"/>
          </w:tcPr>
          <w:p w:rsidR="00E93B3C" w:rsidRPr="00CC3F44" w:rsidRDefault="00E93B3C" w:rsidP="00547ACE">
            <w:pPr>
              <w:jc w:val="center"/>
            </w:pPr>
            <w:r w:rsidRPr="00CC3F44">
              <w:rPr>
                <w:rFonts w:cs="Arial"/>
                <w:color w:val="008000"/>
                <w:sz w:val="22"/>
                <w:szCs w:val="22"/>
              </w:rPr>
              <w:sym w:font="Wingdings" w:char="F06C"/>
            </w:r>
          </w:p>
        </w:tc>
      </w:tr>
      <w:tr w:rsidR="00E93B3C" w:rsidRPr="0016774F" w:rsidTr="00547ACE">
        <w:trPr>
          <w:cantSplit/>
          <w:trHeight w:val="538"/>
        </w:trPr>
        <w:tc>
          <w:tcPr>
            <w:tcW w:w="1477" w:type="pct"/>
            <w:vMerge/>
            <w:shd w:val="clear" w:color="auto" w:fill="auto"/>
            <w:tcMar>
              <w:top w:w="113" w:type="dxa"/>
              <w:bottom w:w="57" w:type="dxa"/>
            </w:tcMar>
          </w:tcPr>
          <w:p w:rsidR="00E93B3C" w:rsidRPr="0016774F" w:rsidRDefault="00E93B3C" w:rsidP="00547ACE">
            <w:pPr>
              <w:rPr>
                <w:rFonts w:cs="Arial"/>
                <w:sz w:val="16"/>
                <w:szCs w:val="16"/>
              </w:rPr>
            </w:pPr>
          </w:p>
        </w:tc>
        <w:tc>
          <w:tcPr>
            <w:tcW w:w="2267" w:type="pct"/>
            <w:shd w:val="clear" w:color="auto" w:fill="auto"/>
            <w:tcMar>
              <w:top w:w="113" w:type="dxa"/>
              <w:bottom w:w="57" w:type="dxa"/>
            </w:tcMar>
          </w:tcPr>
          <w:p w:rsidR="00E93B3C" w:rsidRDefault="00E93B3C" w:rsidP="00547ACE">
            <w:pPr>
              <w:rPr>
                <w:rFonts w:cs="Arial"/>
                <w:sz w:val="16"/>
                <w:szCs w:val="16"/>
              </w:rPr>
            </w:pPr>
            <w:r>
              <w:rPr>
                <w:rFonts w:cs="Arial"/>
                <w:sz w:val="16"/>
                <w:szCs w:val="16"/>
              </w:rPr>
              <w:t xml:space="preserve">Rate of satisfaction among Member States with the results of the projects, activities and studies   </w:t>
            </w:r>
          </w:p>
          <w:p w:rsidR="00E93B3C" w:rsidRPr="0016774F" w:rsidRDefault="00E93B3C" w:rsidP="00547ACE">
            <w:pPr>
              <w:rPr>
                <w:rFonts w:cs="Arial"/>
                <w:sz w:val="16"/>
                <w:szCs w:val="16"/>
              </w:rPr>
            </w:pPr>
          </w:p>
        </w:tc>
        <w:tc>
          <w:tcPr>
            <w:tcW w:w="735" w:type="pct"/>
            <w:shd w:val="clear" w:color="auto" w:fill="FFFFFF"/>
            <w:tcMar>
              <w:top w:w="113" w:type="dxa"/>
              <w:bottom w:w="57" w:type="dxa"/>
            </w:tcMar>
          </w:tcPr>
          <w:p w:rsidR="00E93B3C" w:rsidRDefault="00E93B3C" w:rsidP="00547ACE">
            <w:pPr>
              <w:jc w:val="center"/>
              <w:rPr>
                <w:rFonts w:cs="Arial"/>
                <w:sz w:val="16"/>
                <w:szCs w:val="16"/>
                <w:lang w:bidi="th-TH"/>
              </w:rPr>
            </w:pPr>
            <w:r w:rsidRPr="0016774F">
              <w:rPr>
                <w:rFonts w:cs="Arial"/>
                <w:sz w:val="16"/>
                <w:szCs w:val="16"/>
                <w:lang w:bidi="th-TH"/>
              </w:rPr>
              <w:t>Program 8</w:t>
            </w:r>
          </w:p>
          <w:p w:rsidR="00E93B3C" w:rsidRPr="0016774F" w:rsidRDefault="00E93B3C" w:rsidP="00547ACE">
            <w:pPr>
              <w:ind w:left="551"/>
              <w:jc w:val="center"/>
              <w:rPr>
                <w:rFonts w:cs="Arial"/>
                <w:sz w:val="16"/>
                <w:szCs w:val="16"/>
                <w:lang w:bidi="th-TH"/>
              </w:rPr>
            </w:pPr>
          </w:p>
        </w:tc>
        <w:tc>
          <w:tcPr>
            <w:tcW w:w="521" w:type="pct"/>
            <w:shd w:val="clear" w:color="auto" w:fill="FFFFFF"/>
          </w:tcPr>
          <w:p w:rsidR="00E93B3C" w:rsidRPr="00CC3F44" w:rsidRDefault="00E93B3C" w:rsidP="00547ACE">
            <w:pPr>
              <w:jc w:val="center"/>
              <w:rPr>
                <w:rFonts w:cs="Arial"/>
                <w:color w:val="A6A6A6" w:themeColor="background1" w:themeShade="A6"/>
                <w:sz w:val="22"/>
                <w:szCs w:val="22"/>
              </w:rPr>
            </w:pPr>
            <w:r w:rsidRPr="00CC3F44">
              <w:rPr>
                <w:rFonts w:cs="Arial"/>
                <w:color w:val="008000"/>
                <w:sz w:val="22"/>
                <w:szCs w:val="22"/>
              </w:rPr>
              <w:sym w:font="Wingdings" w:char="F06C"/>
            </w:r>
          </w:p>
        </w:tc>
      </w:tr>
      <w:tr w:rsidR="00E93B3C" w:rsidRPr="0016774F" w:rsidTr="00547ACE">
        <w:trPr>
          <w:cantSplit/>
          <w:trHeight w:val="547"/>
        </w:trPr>
        <w:tc>
          <w:tcPr>
            <w:tcW w:w="1477" w:type="pct"/>
            <w:shd w:val="clear" w:color="auto" w:fill="auto"/>
            <w:tcMar>
              <w:top w:w="113" w:type="dxa"/>
              <w:bottom w:w="57" w:type="dxa"/>
            </w:tcMar>
          </w:tcPr>
          <w:p w:rsidR="00E93B3C" w:rsidRPr="0016774F" w:rsidRDefault="00E93B3C" w:rsidP="00547ACE">
            <w:pPr>
              <w:rPr>
                <w:rFonts w:cs="Arial"/>
                <w:sz w:val="16"/>
                <w:szCs w:val="16"/>
              </w:rPr>
            </w:pPr>
          </w:p>
        </w:tc>
        <w:tc>
          <w:tcPr>
            <w:tcW w:w="2267" w:type="pct"/>
            <w:shd w:val="clear" w:color="auto" w:fill="auto"/>
            <w:tcMar>
              <w:top w:w="113" w:type="dxa"/>
              <w:bottom w:w="57" w:type="dxa"/>
            </w:tcMar>
          </w:tcPr>
          <w:p w:rsidR="00E93B3C" w:rsidRPr="0016774F" w:rsidRDefault="00E93B3C" w:rsidP="00547ACE">
            <w:pPr>
              <w:rPr>
                <w:rFonts w:cs="Arial"/>
                <w:sz w:val="16"/>
                <w:szCs w:val="16"/>
              </w:rPr>
            </w:pPr>
            <w:r w:rsidRPr="0016774F">
              <w:rPr>
                <w:rFonts w:cs="Arial"/>
                <w:sz w:val="16"/>
                <w:szCs w:val="16"/>
              </w:rPr>
              <w:t>Implementation of the coordination mechanism as approved by Member States</w:t>
            </w:r>
          </w:p>
        </w:tc>
        <w:tc>
          <w:tcPr>
            <w:tcW w:w="735" w:type="pct"/>
            <w:shd w:val="clear" w:color="auto" w:fill="FFFFFF"/>
            <w:tcMar>
              <w:top w:w="113" w:type="dxa"/>
              <w:bottom w:w="57" w:type="dxa"/>
            </w:tcMar>
          </w:tcPr>
          <w:p w:rsidR="00E93B3C" w:rsidRPr="0016774F" w:rsidRDefault="00E93B3C" w:rsidP="00547ACE">
            <w:pPr>
              <w:jc w:val="center"/>
              <w:rPr>
                <w:rFonts w:cs="Arial"/>
                <w:sz w:val="16"/>
                <w:szCs w:val="16"/>
                <w:lang w:bidi="th-TH"/>
              </w:rPr>
            </w:pPr>
            <w:r w:rsidRPr="0016774F">
              <w:rPr>
                <w:rFonts w:cs="Arial"/>
                <w:sz w:val="16"/>
                <w:szCs w:val="16"/>
                <w:lang w:bidi="th-TH"/>
              </w:rPr>
              <w:t>Program 8</w:t>
            </w:r>
          </w:p>
        </w:tc>
        <w:tc>
          <w:tcPr>
            <w:tcW w:w="521" w:type="pct"/>
            <w:shd w:val="clear" w:color="auto" w:fill="FFFFFF"/>
          </w:tcPr>
          <w:p w:rsidR="00E93B3C" w:rsidRPr="00CC3F44" w:rsidRDefault="00E93B3C" w:rsidP="00547ACE">
            <w:pPr>
              <w:jc w:val="center"/>
            </w:pPr>
            <w:r w:rsidRPr="00CC3F44">
              <w:rPr>
                <w:rFonts w:cs="Arial"/>
                <w:color w:val="008000"/>
                <w:sz w:val="22"/>
                <w:szCs w:val="22"/>
              </w:rPr>
              <w:sym w:font="Wingdings" w:char="F06C"/>
            </w:r>
          </w:p>
        </w:tc>
      </w:tr>
      <w:tr w:rsidR="00E93B3C" w:rsidRPr="0016774F" w:rsidTr="00547ACE">
        <w:trPr>
          <w:cantSplit/>
          <w:trHeight w:val="547"/>
        </w:trPr>
        <w:tc>
          <w:tcPr>
            <w:tcW w:w="1477" w:type="pct"/>
            <w:shd w:val="clear" w:color="auto" w:fill="auto"/>
            <w:tcMar>
              <w:top w:w="113" w:type="dxa"/>
              <w:bottom w:w="57" w:type="dxa"/>
            </w:tcMar>
          </w:tcPr>
          <w:p w:rsidR="00E93B3C" w:rsidRPr="0016774F" w:rsidRDefault="00E93B3C" w:rsidP="00547ACE">
            <w:pPr>
              <w:rPr>
                <w:rFonts w:cs="Arial"/>
                <w:sz w:val="16"/>
                <w:szCs w:val="16"/>
              </w:rPr>
            </w:pPr>
          </w:p>
        </w:tc>
        <w:tc>
          <w:tcPr>
            <w:tcW w:w="2267" w:type="pct"/>
            <w:shd w:val="clear" w:color="auto" w:fill="auto"/>
            <w:tcMar>
              <w:top w:w="113" w:type="dxa"/>
              <w:bottom w:w="57" w:type="dxa"/>
            </w:tcMar>
          </w:tcPr>
          <w:p w:rsidR="00E93B3C" w:rsidRPr="0016774F" w:rsidRDefault="00E93B3C" w:rsidP="00547ACE">
            <w:pPr>
              <w:rPr>
                <w:rFonts w:cs="Arial"/>
                <w:sz w:val="16"/>
                <w:szCs w:val="16"/>
              </w:rPr>
            </w:pPr>
            <w:r>
              <w:rPr>
                <w:rFonts w:cs="Arial"/>
                <w:sz w:val="16"/>
                <w:szCs w:val="16"/>
              </w:rPr>
              <w:t>No. of Programs in which DA r</w:t>
            </w:r>
            <w:r w:rsidRPr="000679F7">
              <w:rPr>
                <w:rFonts w:cs="Arial"/>
                <w:sz w:val="16"/>
                <w:szCs w:val="16"/>
              </w:rPr>
              <w:t>ecommendations are mainstreamed into the regular work of WIPO</w:t>
            </w:r>
          </w:p>
        </w:tc>
        <w:tc>
          <w:tcPr>
            <w:tcW w:w="735" w:type="pct"/>
            <w:shd w:val="clear" w:color="auto" w:fill="FFFFFF"/>
            <w:tcMar>
              <w:top w:w="113" w:type="dxa"/>
              <w:bottom w:w="57" w:type="dxa"/>
            </w:tcMar>
          </w:tcPr>
          <w:p w:rsidR="00E93B3C" w:rsidRPr="0016774F" w:rsidRDefault="00E93B3C" w:rsidP="00547ACE">
            <w:pPr>
              <w:jc w:val="center"/>
              <w:rPr>
                <w:rFonts w:cs="Arial"/>
                <w:sz w:val="16"/>
                <w:szCs w:val="16"/>
                <w:lang w:bidi="th-TH"/>
              </w:rPr>
            </w:pPr>
            <w:r w:rsidRPr="0016774F">
              <w:rPr>
                <w:rFonts w:cs="Arial"/>
                <w:sz w:val="16"/>
                <w:szCs w:val="16"/>
                <w:lang w:bidi="th-TH"/>
              </w:rPr>
              <w:t>Program 8</w:t>
            </w:r>
          </w:p>
        </w:tc>
        <w:tc>
          <w:tcPr>
            <w:tcW w:w="521" w:type="pct"/>
            <w:shd w:val="clear" w:color="auto" w:fill="FFFFFF"/>
          </w:tcPr>
          <w:p w:rsidR="00E93B3C" w:rsidRPr="00CC3F44" w:rsidRDefault="00E93B3C" w:rsidP="00547ACE">
            <w:pPr>
              <w:jc w:val="center"/>
            </w:pPr>
            <w:r w:rsidRPr="00CC3F44">
              <w:rPr>
                <w:rFonts w:cs="Arial"/>
                <w:color w:val="008000"/>
                <w:sz w:val="22"/>
                <w:szCs w:val="22"/>
              </w:rPr>
              <w:sym w:font="Wingdings" w:char="F06C"/>
            </w:r>
          </w:p>
        </w:tc>
      </w:tr>
      <w:tr w:rsidR="00E93B3C" w:rsidRPr="0016774F" w:rsidTr="00547ACE">
        <w:trPr>
          <w:cantSplit/>
          <w:trHeight w:val="547"/>
        </w:trPr>
        <w:tc>
          <w:tcPr>
            <w:tcW w:w="1477" w:type="pct"/>
            <w:shd w:val="clear" w:color="auto" w:fill="auto"/>
            <w:tcMar>
              <w:top w:w="113" w:type="dxa"/>
              <w:bottom w:w="57" w:type="dxa"/>
            </w:tcMar>
          </w:tcPr>
          <w:p w:rsidR="00E93B3C" w:rsidRPr="0016774F" w:rsidRDefault="00E93B3C" w:rsidP="00547ACE">
            <w:pPr>
              <w:rPr>
                <w:rFonts w:cs="Arial"/>
                <w:sz w:val="16"/>
                <w:szCs w:val="16"/>
              </w:rPr>
            </w:pPr>
          </w:p>
        </w:tc>
        <w:tc>
          <w:tcPr>
            <w:tcW w:w="2267" w:type="pct"/>
            <w:shd w:val="clear" w:color="auto" w:fill="auto"/>
            <w:tcMar>
              <w:top w:w="113" w:type="dxa"/>
              <w:bottom w:w="57" w:type="dxa"/>
            </w:tcMar>
          </w:tcPr>
          <w:p w:rsidR="00E93B3C" w:rsidRPr="0016774F" w:rsidRDefault="00E93B3C" w:rsidP="00547ACE">
            <w:pPr>
              <w:rPr>
                <w:rFonts w:cs="Arial"/>
                <w:sz w:val="16"/>
                <w:szCs w:val="16"/>
              </w:rPr>
            </w:pPr>
            <w:r w:rsidRPr="000679F7">
              <w:rPr>
                <w:rFonts w:cs="Arial"/>
                <w:sz w:val="16"/>
                <w:szCs w:val="16"/>
              </w:rPr>
              <w:t>No. of DA projects</w:t>
            </w:r>
            <w:r>
              <w:rPr>
                <w:rFonts w:cs="Arial"/>
                <w:sz w:val="16"/>
                <w:szCs w:val="16"/>
              </w:rPr>
              <w:t xml:space="preserve"> and the manner in</w:t>
            </w:r>
            <w:r w:rsidRPr="000679F7">
              <w:rPr>
                <w:rFonts w:cs="Arial"/>
                <w:sz w:val="16"/>
                <w:szCs w:val="16"/>
              </w:rPr>
              <w:t xml:space="preserve"> which </w:t>
            </w:r>
            <w:r>
              <w:rPr>
                <w:rFonts w:cs="Arial"/>
                <w:sz w:val="16"/>
                <w:szCs w:val="16"/>
              </w:rPr>
              <w:t xml:space="preserve">they </w:t>
            </w:r>
            <w:r w:rsidRPr="000679F7">
              <w:rPr>
                <w:rFonts w:cs="Arial"/>
                <w:sz w:val="16"/>
                <w:szCs w:val="16"/>
              </w:rPr>
              <w:t>have been mainstreamed into the regular work of WIPO (norm-setting, technical assistance and service delivery)</w:t>
            </w:r>
          </w:p>
        </w:tc>
        <w:tc>
          <w:tcPr>
            <w:tcW w:w="735" w:type="pct"/>
            <w:shd w:val="clear" w:color="auto" w:fill="FFFFFF"/>
            <w:tcMar>
              <w:top w:w="113" w:type="dxa"/>
              <w:bottom w:w="57" w:type="dxa"/>
            </w:tcMar>
          </w:tcPr>
          <w:p w:rsidR="00E93B3C" w:rsidRPr="0016774F" w:rsidRDefault="00E93B3C" w:rsidP="00547ACE">
            <w:pPr>
              <w:jc w:val="center"/>
              <w:rPr>
                <w:rFonts w:cs="Arial"/>
                <w:sz w:val="16"/>
                <w:szCs w:val="16"/>
                <w:lang w:bidi="th-TH"/>
              </w:rPr>
            </w:pPr>
            <w:r w:rsidRPr="0016774F">
              <w:rPr>
                <w:rFonts w:cs="Arial"/>
                <w:sz w:val="16"/>
                <w:szCs w:val="16"/>
                <w:lang w:bidi="th-TH"/>
              </w:rPr>
              <w:t>Program 8</w:t>
            </w:r>
          </w:p>
        </w:tc>
        <w:tc>
          <w:tcPr>
            <w:tcW w:w="521" w:type="pct"/>
            <w:shd w:val="clear" w:color="auto" w:fill="FFFFFF"/>
          </w:tcPr>
          <w:p w:rsidR="00E93B3C" w:rsidRPr="00CC3F44" w:rsidRDefault="00E93B3C" w:rsidP="00547ACE">
            <w:pPr>
              <w:jc w:val="center"/>
            </w:pPr>
            <w:r w:rsidRPr="00CC3F44">
              <w:rPr>
                <w:rFonts w:cs="Arial"/>
                <w:color w:val="008000"/>
                <w:sz w:val="22"/>
                <w:szCs w:val="22"/>
              </w:rPr>
              <w:sym w:font="Wingdings" w:char="F06C"/>
            </w:r>
          </w:p>
        </w:tc>
      </w:tr>
      <w:tr w:rsidR="00E93B3C" w:rsidRPr="0016774F" w:rsidTr="00547ACE">
        <w:trPr>
          <w:cantSplit/>
          <w:trHeight w:val="464"/>
        </w:trPr>
        <w:tc>
          <w:tcPr>
            <w:tcW w:w="1477" w:type="pct"/>
            <w:vMerge w:val="restart"/>
            <w:shd w:val="clear" w:color="auto" w:fill="auto"/>
            <w:tcMar>
              <w:top w:w="113" w:type="dxa"/>
              <w:bottom w:w="57" w:type="dxa"/>
            </w:tcMar>
          </w:tcPr>
          <w:p w:rsidR="00E93B3C" w:rsidRPr="0016774F" w:rsidRDefault="00E93B3C" w:rsidP="00547ACE">
            <w:pPr>
              <w:rPr>
                <w:rFonts w:cs="Arial"/>
                <w:sz w:val="16"/>
                <w:szCs w:val="16"/>
              </w:rPr>
            </w:pPr>
          </w:p>
        </w:tc>
        <w:tc>
          <w:tcPr>
            <w:tcW w:w="2267" w:type="pct"/>
            <w:shd w:val="clear" w:color="auto" w:fill="auto"/>
            <w:tcMar>
              <w:top w:w="113" w:type="dxa"/>
              <w:bottom w:w="57" w:type="dxa"/>
            </w:tcMar>
          </w:tcPr>
          <w:p w:rsidR="00E93B3C" w:rsidRDefault="00E93B3C" w:rsidP="00547ACE">
            <w:pPr>
              <w:rPr>
                <w:rFonts w:cs="Arial"/>
                <w:sz w:val="16"/>
                <w:szCs w:val="16"/>
              </w:rPr>
            </w:pPr>
            <w:r w:rsidRPr="00534297">
              <w:rPr>
                <w:rFonts w:cs="Arial"/>
                <w:sz w:val="16"/>
                <w:szCs w:val="16"/>
              </w:rPr>
              <w:t>Effective system in place for the planning, monitoring and evaluation of the implementation of DA recommendations</w:t>
            </w:r>
          </w:p>
          <w:p w:rsidR="00E93B3C" w:rsidRPr="00534297" w:rsidRDefault="00E93B3C" w:rsidP="00547ACE">
            <w:pPr>
              <w:keepNext/>
              <w:keepLines/>
              <w:rPr>
                <w:rFonts w:cs="Arial"/>
                <w:sz w:val="16"/>
                <w:szCs w:val="16"/>
              </w:rPr>
            </w:pPr>
          </w:p>
        </w:tc>
        <w:tc>
          <w:tcPr>
            <w:tcW w:w="735" w:type="pct"/>
            <w:shd w:val="clear" w:color="auto" w:fill="FFFFFF"/>
            <w:tcMar>
              <w:top w:w="113" w:type="dxa"/>
              <w:bottom w:w="57" w:type="dxa"/>
            </w:tcMar>
          </w:tcPr>
          <w:p w:rsidR="00E93B3C" w:rsidRPr="0016774F" w:rsidRDefault="00E93B3C" w:rsidP="00547ACE">
            <w:pPr>
              <w:jc w:val="center"/>
              <w:rPr>
                <w:rFonts w:cs="Arial"/>
                <w:sz w:val="16"/>
                <w:szCs w:val="16"/>
                <w:lang w:bidi="th-TH"/>
              </w:rPr>
            </w:pPr>
            <w:r w:rsidRPr="0016774F">
              <w:rPr>
                <w:rFonts w:cs="Arial"/>
                <w:sz w:val="16"/>
                <w:szCs w:val="16"/>
                <w:lang w:bidi="th-TH"/>
              </w:rPr>
              <w:t>Program 8</w:t>
            </w:r>
          </w:p>
        </w:tc>
        <w:tc>
          <w:tcPr>
            <w:tcW w:w="521" w:type="pct"/>
            <w:shd w:val="clear" w:color="auto" w:fill="FFFFFF"/>
          </w:tcPr>
          <w:p w:rsidR="00E93B3C" w:rsidRPr="00CC3F44" w:rsidRDefault="00E93B3C" w:rsidP="00547ACE">
            <w:pPr>
              <w:jc w:val="center"/>
            </w:pPr>
            <w:r w:rsidRPr="00CC3F44">
              <w:rPr>
                <w:rFonts w:cs="Arial"/>
                <w:color w:val="008000"/>
                <w:sz w:val="22"/>
                <w:szCs w:val="22"/>
              </w:rPr>
              <w:sym w:font="Wingdings" w:char="F06C"/>
            </w:r>
          </w:p>
        </w:tc>
      </w:tr>
      <w:tr w:rsidR="00E93B3C" w:rsidRPr="0016774F" w:rsidTr="00547ACE">
        <w:trPr>
          <w:cantSplit/>
          <w:trHeight w:val="463"/>
        </w:trPr>
        <w:tc>
          <w:tcPr>
            <w:tcW w:w="1477" w:type="pct"/>
            <w:vMerge/>
            <w:shd w:val="clear" w:color="auto" w:fill="auto"/>
            <w:tcMar>
              <w:top w:w="113" w:type="dxa"/>
              <w:bottom w:w="57" w:type="dxa"/>
            </w:tcMar>
          </w:tcPr>
          <w:p w:rsidR="00E93B3C" w:rsidRPr="0016774F" w:rsidRDefault="00E93B3C" w:rsidP="00547ACE">
            <w:pPr>
              <w:rPr>
                <w:rFonts w:cs="Arial"/>
                <w:sz w:val="16"/>
                <w:szCs w:val="16"/>
              </w:rPr>
            </w:pPr>
          </w:p>
        </w:tc>
        <w:tc>
          <w:tcPr>
            <w:tcW w:w="2267" w:type="pct"/>
            <w:shd w:val="clear" w:color="auto" w:fill="auto"/>
            <w:tcMar>
              <w:top w:w="113" w:type="dxa"/>
              <w:bottom w:w="57" w:type="dxa"/>
            </w:tcMar>
          </w:tcPr>
          <w:p w:rsidR="00E93B3C" w:rsidRPr="00534297" w:rsidRDefault="00E93B3C" w:rsidP="00547ACE">
            <w:pPr>
              <w:rPr>
                <w:rFonts w:cs="Arial"/>
                <w:sz w:val="16"/>
                <w:szCs w:val="16"/>
              </w:rPr>
            </w:pPr>
            <w:r>
              <w:rPr>
                <w:rFonts w:cs="Arial"/>
                <w:sz w:val="16"/>
                <w:szCs w:val="16"/>
              </w:rPr>
              <w:t>% of DA projects which have been independently evaluated</w:t>
            </w:r>
          </w:p>
        </w:tc>
        <w:tc>
          <w:tcPr>
            <w:tcW w:w="735" w:type="pct"/>
            <w:shd w:val="clear" w:color="auto" w:fill="FFFFFF"/>
            <w:tcMar>
              <w:top w:w="113" w:type="dxa"/>
              <w:bottom w:w="57" w:type="dxa"/>
            </w:tcMar>
          </w:tcPr>
          <w:p w:rsidR="00E93B3C" w:rsidRPr="0016774F" w:rsidRDefault="00E93B3C" w:rsidP="00547ACE">
            <w:pPr>
              <w:jc w:val="center"/>
              <w:rPr>
                <w:rFonts w:cs="Arial"/>
                <w:sz w:val="16"/>
                <w:szCs w:val="16"/>
                <w:lang w:bidi="th-TH"/>
              </w:rPr>
            </w:pPr>
            <w:r w:rsidRPr="0016774F">
              <w:rPr>
                <w:rFonts w:cs="Arial"/>
                <w:sz w:val="16"/>
                <w:szCs w:val="16"/>
                <w:lang w:bidi="th-TH"/>
              </w:rPr>
              <w:t>Program 8</w:t>
            </w:r>
          </w:p>
        </w:tc>
        <w:tc>
          <w:tcPr>
            <w:tcW w:w="521" w:type="pct"/>
            <w:shd w:val="clear" w:color="auto" w:fill="FFFFFF"/>
          </w:tcPr>
          <w:p w:rsidR="00E93B3C" w:rsidRPr="00CC3F44" w:rsidRDefault="00E93B3C" w:rsidP="00547ACE">
            <w:pPr>
              <w:jc w:val="center"/>
              <w:rPr>
                <w:rFonts w:cs="Arial"/>
                <w:color w:val="A6A6A6" w:themeColor="background1" w:themeShade="A6"/>
                <w:sz w:val="22"/>
                <w:szCs w:val="22"/>
              </w:rPr>
            </w:pPr>
            <w:r w:rsidRPr="00CC3F44">
              <w:rPr>
                <w:rFonts w:cs="Arial"/>
                <w:color w:val="008000"/>
                <w:sz w:val="22"/>
                <w:szCs w:val="22"/>
              </w:rPr>
              <w:sym w:font="Wingdings" w:char="F06C"/>
            </w:r>
          </w:p>
        </w:tc>
      </w:tr>
      <w:tr w:rsidR="00E93B3C" w:rsidRPr="0016774F" w:rsidTr="00547ACE">
        <w:trPr>
          <w:cantSplit/>
          <w:trHeight w:val="463"/>
        </w:trPr>
        <w:tc>
          <w:tcPr>
            <w:tcW w:w="1477" w:type="pct"/>
            <w:shd w:val="clear" w:color="auto" w:fill="auto"/>
            <w:tcMar>
              <w:top w:w="113" w:type="dxa"/>
              <w:bottom w:w="57" w:type="dxa"/>
            </w:tcMar>
          </w:tcPr>
          <w:p w:rsidR="00E93B3C" w:rsidRPr="0016774F" w:rsidRDefault="00E93B3C" w:rsidP="00547ACE">
            <w:pPr>
              <w:keepNext/>
              <w:keepLines/>
              <w:tabs>
                <w:tab w:val="right" w:pos="2835"/>
              </w:tabs>
              <w:spacing w:after="60"/>
              <w:rPr>
                <w:rFonts w:cs="Arial"/>
                <w:sz w:val="15"/>
                <w:szCs w:val="15"/>
              </w:rPr>
            </w:pPr>
            <w:r w:rsidRPr="0016774F">
              <w:rPr>
                <w:rFonts w:cs="Arial"/>
                <w:sz w:val="16"/>
                <w:szCs w:val="16"/>
              </w:rPr>
              <w:t xml:space="preserve">III.4 </w:t>
            </w:r>
            <w:r>
              <w:rPr>
                <w:rFonts w:cs="Arial"/>
                <w:sz w:val="16"/>
                <w:szCs w:val="16"/>
              </w:rPr>
              <w:t xml:space="preserve"> </w:t>
            </w:r>
            <w:r w:rsidRPr="0016774F">
              <w:rPr>
                <w:rFonts w:cs="Arial"/>
                <w:sz w:val="16"/>
                <w:szCs w:val="16"/>
              </w:rPr>
              <w:t>Strengthened cooperation mechanisms and programs tailored to the needs of developing countries and LDCs</w:t>
            </w:r>
          </w:p>
          <w:p w:rsidR="00E93B3C" w:rsidRPr="0016774F" w:rsidRDefault="00E93B3C" w:rsidP="00547ACE">
            <w:pPr>
              <w:keepNext/>
              <w:keepLines/>
              <w:rPr>
                <w:rFonts w:cs="Arial"/>
                <w:sz w:val="16"/>
                <w:szCs w:val="16"/>
              </w:rPr>
            </w:pPr>
          </w:p>
        </w:tc>
        <w:tc>
          <w:tcPr>
            <w:tcW w:w="2267" w:type="pct"/>
            <w:shd w:val="clear" w:color="auto" w:fill="auto"/>
            <w:tcMar>
              <w:top w:w="113" w:type="dxa"/>
              <w:bottom w:w="57" w:type="dxa"/>
            </w:tcMar>
          </w:tcPr>
          <w:p w:rsidR="00E93B3C" w:rsidRPr="0016774F" w:rsidRDefault="00E93B3C" w:rsidP="00547ACE">
            <w:pPr>
              <w:keepNext/>
              <w:keepLines/>
              <w:rPr>
                <w:rFonts w:cs="Arial"/>
                <w:sz w:val="16"/>
                <w:szCs w:val="16"/>
              </w:rPr>
            </w:pPr>
            <w:r w:rsidRPr="0016774F">
              <w:rPr>
                <w:rFonts w:cs="Arial"/>
                <w:sz w:val="16"/>
                <w:szCs w:val="16"/>
              </w:rPr>
              <w:t>No. of new or strengthened cooperation mechanisms, programs or partnerships supported to promote/strengthen sub-regional or regional cooperation in IP</w:t>
            </w:r>
          </w:p>
        </w:tc>
        <w:tc>
          <w:tcPr>
            <w:tcW w:w="735" w:type="pct"/>
            <w:shd w:val="clear" w:color="auto" w:fill="FFFFFF"/>
            <w:tcMar>
              <w:top w:w="113" w:type="dxa"/>
              <w:bottom w:w="57" w:type="dxa"/>
            </w:tcMar>
          </w:tcPr>
          <w:p w:rsidR="00E93B3C" w:rsidRPr="0016774F" w:rsidRDefault="00E93B3C" w:rsidP="00547ACE">
            <w:pPr>
              <w:jc w:val="center"/>
              <w:rPr>
                <w:rFonts w:cs="Arial"/>
                <w:sz w:val="16"/>
                <w:szCs w:val="16"/>
                <w:lang w:bidi="th-TH"/>
              </w:rPr>
            </w:pPr>
            <w:r w:rsidRPr="0016774F">
              <w:rPr>
                <w:rFonts w:cs="Arial"/>
                <w:sz w:val="16"/>
                <w:szCs w:val="16"/>
                <w:lang w:bidi="th-TH"/>
              </w:rPr>
              <w:t>Program 9</w:t>
            </w:r>
          </w:p>
        </w:tc>
        <w:tc>
          <w:tcPr>
            <w:tcW w:w="521" w:type="pct"/>
            <w:shd w:val="clear" w:color="auto" w:fill="FFFFFF"/>
          </w:tcPr>
          <w:p w:rsidR="00E93B3C" w:rsidRPr="00CC3F44" w:rsidRDefault="00E93B3C" w:rsidP="00547ACE">
            <w:pPr>
              <w:jc w:val="center"/>
            </w:pPr>
            <w:r w:rsidRPr="00CC3F44">
              <w:rPr>
                <w:rFonts w:cs="Arial"/>
                <w:color w:val="008000"/>
                <w:sz w:val="22"/>
                <w:szCs w:val="22"/>
              </w:rPr>
              <w:sym w:font="Wingdings" w:char="F06C"/>
            </w:r>
            <w:r w:rsidRPr="00CC3F44">
              <w:rPr>
                <w:rFonts w:cs="Arial"/>
                <w:color w:val="008000"/>
                <w:sz w:val="22"/>
                <w:szCs w:val="22"/>
              </w:rPr>
              <w:sym w:font="Wingdings" w:char="F06C"/>
            </w:r>
            <w:r w:rsidRPr="00CC3F44">
              <w:rPr>
                <w:rFonts w:cs="Arial"/>
                <w:color w:val="FF0000"/>
                <w:sz w:val="22"/>
                <w:szCs w:val="22"/>
              </w:rPr>
              <w:sym w:font="Wingdings" w:char="F06C"/>
            </w:r>
            <w:r w:rsidRPr="00CC3F44">
              <w:rPr>
                <w:rFonts w:cs="Arial"/>
                <w:color w:val="008000"/>
                <w:sz w:val="22"/>
                <w:szCs w:val="22"/>
              </w:rPr>
              <w:sym w:font="Wingdings" w:char="F06C"/>
            </w:r>
            <w:r w:rsidRPr="00CC3F44">
              <w:rPr>
                <w:rFonts w:cs="Arial"/>
                <w:color w:val="008000"/>
                <w:sz w:val="22"/>
                <w:szCs w:val="22"/>
              </w:rPr>
              <w:sym w:font="Wingdings" w:char="F06C"/>
            </w:r>
            <w:r w:rsidRPr="00CC3F44">
              <w:rPr>
                <w:rFonts w:cs="Arial"/>
                <w:color w:val="008000"/>
                <w:sz w:val="22"/>
                <w:szCs w:val="22"/>
              </w:rPr>
              <w:sym w:font="Wingdings" w:char="F06C"/>
            </w:r>
          </w:p>
        </w:tc>
      </w:tr>
      <w:tr w:rsidR="00E93B3C" w:rsidRPr="0016774F" w:rsidTr="00547ACE">
        <w:trPr>
          <w:cantSplit/>
          <w:trHeight w:val="463"/>
        </w:trPr>
        <w:tc>
          <w:tcPr>
            <w:tcW w:w="1477" w:type="pct"/>
            <w:shd w:val="clear" w:color="auto" w:fill="auto"/>
            <w:tcMar>
              <w:top w:w="113" w:type="dxa"/>
              <w:bottom w:w="57" w:type="dxa"/>
            </w:tcMar>
          </w:tcPr>
          <w:p w:rsidR="00E93B3C" w:rsidRPr="0016774F" w:rsidRDefault="00E93B3C" w:rsidP="00547ACE">
            <w:pPr>
              <w:rPr>
                <w:rFonts w:cs="Arial"/>
                <w:sz w:val="16"/>
                <w:szCs w:val="16"/>
              </w:rPr>
            </w:pPr>
          </w:p>
        </w:tc>
        <w:tc>
          <w:tcPr>
            <w:tcW w:w="2267" w:type="pct"/>
            <w:shd w:val="clear" w:color="auto" w:fill="auto"/>
            <w:tcMar>
              <w:top w:w="113" w:type="dxa"/>
              <w:bottom w:w="57" w:type="dxa"/>
            </w:tcMar>
          </w:tcPr>
          <w:p w:rsidR="00E93B3C" w:rsidRPr="0016774F" w:rsidRDefault="00E93B3C" w:rsidP="00547ACE">
            <w:pPr>
              <w:keepNext/>
              <w:keepLines/>
              <w:rPr>
                <w:rFonts w:cs="Arial"/>
                <w:sz w:val="16"/>
                <w:szCs w:val="16"/>
              </w:rPr>
            </w:pPr>
            <w:r w:rsidRPr="0016774F">
              <w:rPr>
                <w:rFonts w:cs="Arial"/>
                <w:sz w:val="16"/>
                <w:szCs w:val="16"/>
              </w:rPr>
              <w:t>No. of established partnerships where the party offering assistance originates from a developed country</w:t>
            </w:r>
          </w:p>
        </w:tc>
        <w:tc>
          <w:tcPr>
            <w:tcW w:w="735" w:type="pct"/>
            <w:shd w:val="clear" w:color="auto" w:fill="FFFFFF"/>
            <w:tcMar>
              <w:top w:w="113" w:type="dxa"/>
              <w:bottom w:w="57" w:type="dxa"/>
            </w:tcMar>
          </w:tcPr>
          <w:p w:rsidR="00E93B3C" w:rsidRPr="00AF5E7C" w:rsidRDefault="00E93B3C" w:rsidP="00547ACE">
            <w:pPr>
              <w:jc w:val="center"/>
              <w:rPr>
                <w:rFonts w:cs="Arial"/>
                <w:sz w:val="16"/>
                <w:szCs w:val="16"/>
                <w:lang w:bidi="th-TH"/>
              </w:rPr>
            </w:pPr>
            <w:r w:rsidRPr="0016774F">
              <w:rPr>
                <w:rFonts w:cs="Arial"/>
                <w:sz w:val="16"/>
                <w:szCs w:val="16"/>
                <w:lang w:bidi="th-TH"/>
              </w:rPr>
              <w:t>Program 10</w:t>
            </w:r>
          </w:p>
        </w:tc>
        <w:tc>
          <w:tcPr>
            <w:tcW w:w="521" w:type="pct"/>
            <w:shd w:val="clear" w:color="auto" w:fill="FFFFFF"/>
          </w:tcPr>
          <w:p w:rsidR="00E93B3C" w:rsidRPr="00CC3F44" w:rsidRDefault="00E93B3C" w:rsidP="00547ACE">
            <w:pPr>
              <w:jc w:val="center"/>
            </w:pPr>
            <w:r w:rsidRPr="00CC3F44">
              <w:rPr>
                <w:rFonts w:cs="Arial"/>
                <w:color w:val="008000"/>
                <w:sz w:val="22"/>
                <w:szCs w:val="22"/>
              </w:rPr>
              <w:sym w:font="Wingdings" w:char="F06C"/>
            </w:r>
            <w:r w:rsidRPr="00CC3F44">
              <w:rPr>
                <w:rFonts w:cs="Arial"/>
                <w:color w:val="FF0000"/>
                <w:sz w:val="22"/>
                <w:szCs w:val="22"/>
              </w:rPr>
              <w:sym w:font="Wingdings" w:char="F06C"/>
            </w:r>
          </w:p>
        </w:tc>
      </w:tr>
      <w:tr w:rsidR="00E93B3C" w:rsidRPr="0016774F" w:rsidTr="00547ACE">
        <w:trPr>
          <w:cantSplit/>
          <w:trHeight w:val="463"/>
        </w:trPr>
        <w:tc>
          <w:tcPr>
            <w:tcW w:w="1477" w:type="pct"/>
            <w:shd w:val="clear" w:color="auto" w:fill="auto"/>
            <w:tcMar>
              <w:top w:w="113" w:type="dxa"/>
              <w:bottom w:w="57" w:type="dxa"/>
            </w:tcMar>
          </w:tcPr>
          <w:p w:rsidR="00E93B3C" w:rsidRPr="00534297" w:rsidRDefault="00E93B3C" w:rsidP="00547ACE">
            <w:pPr>
              <w:keepNext/>
              <w:keepLines/>
              <w:rPr>
                <w:rFonts w:cs="Arial"/>
                <w:sz w:val="16"/>
                <w:szCs w:val="16"/>
              </w:rPr>
            </w:pPr>
            <w:r>
              <w:rPr>
                <w:rFonts w:cs="Arial"/>
                <w:sz w:val="16"/>
                <w:szCs w:val="16"/>
              </w:rPr>
              <w:t>III.5</w:t>
            </w:r>
            <w:r w:rsidRPr="00534297">
              <w:rPr>
                <w:rFonts w:cs="Arial"/>
                <w:sz w:val="16"/>
                <w:szCs w:val="16"/>
              </w:rPr>
              <w:t xml:space="preserve"> Enhanced understanding of the DA by Member States, IGOs, civil society and other stakeholders</w:t>
            </w:r>
          </w:p>
        </w:tc>
        <w:tc>
          <w:tcPr>
            <w:tcW w:w="2267" w:type="pct"/>
            <w:shd w:val="clear" w:color="auto" w:fill="auto"/>
            <w:tcMar>
              <w:top w:w="113" w:type="dxa"/>
              <w:bottom w:w="57" w:type="dxa"/>
            </w:tcMar>
          </w:tcPr>
          <w:p w:rsidR="00E93B3C" w:rsidRPr="0016774F" w:rsidRDefault="00E93B3C" w:rsidP="00547ACE">
            <w:pPr>
              <w:keepNext/>
              <w:keepLines/>
              <w:rPr>
                <w:rFonts w:cs="Arial"/>
                <w:sz w:val="16"/>
                <w:szCs w:val="16"/>
              </w:rPr>
            </w:pPr>
            <w:r w:rsidRPr="007A2BFD">
              <w:rPr>
                <w:rFonts w:cs="Arial"/>
                <w:sz w:val="16"/>
                <w:szCs w:val="16"/>
              </w:rPr>
              <w:t>No. of countries requesting technical assistance through DA projects and expressing interest in DA related activities</w:t>
            </w:r>
          </w:p>
        </w:tc>
        <w:tc>
          <w:tcPr>
            <w:tcW w:w="735" w:type="pct"/>
            <w:shd w:val="clear" w:color="auto" w:fill="FFFFFF"/>
            <w:tcMar>
              <w:top w:w="113" w:type="dxa"/>
              <w:bottom w:w="57" w:type="dxa"/>
            </w:tcMar>
          </w:tcPr>
          <w:p w:rsidR="00E93B3C" w:rsidRPr="0016774F" w:rsidRDefault="00E93B3C" w:rsidP="00547ACE">
            <w:pPr>
              <w:jc w:val="center"/>
              <w:rPr>
                <w:rFonts w:cs="Arial"/>
                <w:sz w:val="16"/>
                <w:szCs w:val="16"/>
                <w:lang w:bidi="th-TH"/>
              </w:rPr>
            </w:pPr>
            <w:r w:rsidRPr="0016774F">
              <w:rPr>
                <w:rFonts w:cs="Arial"/>
                <w:sz w:val="16"/>
                <w:szCs w:val="16"/>
                <w:lang w:bidi="th-TH"/>
              </w:rPr>
              <w:t>Program 8</w:t>
            </w:r>
          </w:p>
        </w:tc>
        <w:tc>
          <w:tcPr>
            <w:tcW w:w="521" w:type="pct"/>
            <w:shd w:val="clear" w:color="auto" w:fill="FFFFFF"/>
          </w:tcPr>
          <w:p w:rsidR="00E93B3C" w:rsidRPr="00CC3F44" w:rsidRDefault="00E93B3C" w:rsidP="00547ACE">
            <w:pPr>
              <w:jc w:val="center"/>
            </w:pPr>
            <w:r w:rsidRPr="00CC3F44">
              <w:rPr>
                <w:rFonts w:cs="Arial"/>
                <w:color w:val="008000"/>
                <w:sz w:val="22"/>
                <w:szCs w:val="22"/>
              </w:rPr>
              <w:sym w:font="Wingdings" w:char="F06C"/>
            </w:r>
          </w:p>
        </w:tc>
      </w:tr>
      <w:tr w:rsidR="00E93B3C" w:rsidRPr="0016774F" w:rsidTr="00547ACE">
        <w:trPr>
          <w:cantSplit/>
          <w:trHeight w:val="463"/>
        </w:trPr>
        <w:tc>
          <w:tcPr>
            <w:tcW w:w="1477" w:type="pct"/>
            <w:shd w:val="clear" w:color="auto" w:fill="auto"/>
            <w:tcMar>
              <w:top w:w="113" w:type="dxa"/>
              <w:bottom w:w="57" w:type="dxa"/>
            </w:tcMar>
          </w:tcPr>
          <w:p w:rsidR="00E93B3C" w:rsidRPr="0016774F" w:rsidRDefault="00E93B3C" w:rsidP="00547ACE">
            <w:pPr>
              <w:rPr>
                <w:rFonts w:cs="Arial"/>
                <w:sz w:val="16"/>
                <w:szCs w:val="16"/>
              </w:rPr>
            </w:pPr>
          </w:p>
        </w:tc>
        <w:tc>
          <w:tcPr>
            <w:tcW w:w="2267" w:type="pct"/>
            <w:shd w:val="clear" w:color="auto" w:fill="auto"/>
            <w:tcMar>
              <w:top w:w="113" w:type="dxa"/>
              <w:bottom w:w="57" w:type="dxa"/>
            </w:tcMar>
          </w:tcPr>
          <w:p w:rsidR="00E93B3C" w:rsidRPr="00534297" w:rsidRDefault="00E93B3C" w:rsidP="00547ACE">
            <w:pPr>
              <w:keepNext/>
              <w:keepLines/>
              <w:rPr>
                <w:rFonts w:cs="Arial"/>
                <w:sz w:val="16"/>
                <w:szCs w:val="16"/>
              </w:rPr>
            </w:pPr>
            <w:r w:rsidRPr="00534297">
              <w:rPr>
                <w:rFonts w:cs="Arial"/>
                <w:sz w:val="16"/>
                <w:szCs w:val="16"/>
              </w:rPr>
              <w:t>% of participants in WIPO meetings (Member States, IGOs, civil society and other stakeholders) satisfied with information received on the DA recommendations</w:t>
            </w:r>
          </w:p>
        </w:tc>
        <w:tc>
          <w:tcPr>
            <w:tcW w:w="735" w:type="pct"/>
            <w:shd w:val="clear" w:color="auto" w:fill="FFFFFF"/>
            <w:tcMar>
              <w:top w:w="113" w:type="dxa"/>
              <w:bottom w:w="57" w:type="dxa"/>
            </w:tcMar>
          </w:tcPr>
          <w:p w:rsidR="00E93B3C" w:rsidRPr="0016774F" w:rsidRDefault="00E93B3C" w:rsidP="00547ACE">
            <w:pPr>
              <w:jc w:val="center"/>
              <w:rPr>
                <w:rFonts w:cs="Arial"/>
                <w:sz w:val="16"/>
                <w:szCs w:val="16"/>
                <w:lang w:bidi="th-TH"/>
              </w:rPr>
            </w:pPr>
            <w:r w:rsidRPr="0016774F">
              <w:rPr>
                <w:rFonts w:cs="Arial"/>
                <w:sz w:val="16"/>
                <w:szCs w:val="16"/>
                <w:lang w:bidi="th-TH"/>
              </w:rPr>
              <w:t>Program 8</w:t>
            </w:r>
          </w:p>
        </w:tc>
        <w:tc>
          <w:tcPr>
            <w:tcW w:w="521" w:type="pct"/>
            <w:shd w:val="clear" w:color="auto" w:fill="FFFFFF"/>
          </w:tcPr>
          <w:p w:rsidR="00E93B3C" w:rsidRPr="00CC3F44" w:rsidRDefault="00E93B3C" w:rsidP="00547ACE">
            <w:pPr>
              <w:jc w:val="center"/>
            </w:pPr>
            <w:r w:rsidRPr="00CC3F44">
              <w:rPr>
                <w:rFonts w:cs="Arial"/>
                <w:color w:val="008000"/>
                <w:sz w:val="22"/>
                <w:szCs w:val="22"/>
              </w:rPr>
              <w:sym w:font="Wingdings" w:char="F06C"/>
            </w:r>
          </w:p>
        </w:tc>
      </w:tr>
      <w:tr w:rsidR="00E93B3C" w:rsidRPr="0016774F" w:rsidTr="00547ACE">
        <w:trPr>
          <w:cantSplit/>
          <w:trHeight w:val="144"/>
        </w:trPr>
        <w:tc>
          <w:tcPr>
            <w:tcW w:w="1477" w:type="pct"/>
            <w:vMerge w:val="restart"/>
            <w:shd w:val="clear" w:color="auto" w:fill="auto"/>
            <w:tcMar>
              <w:top w:w="113" w:type="dxa"/>
              <w:bottom w:w="57" w:type="dxa"/>
            </w:tcMar>
          </w:tcPr>
          <w:p w:rsidR="00E93B3C" w:rsidRPr="0016774F" w:rsidRDefault="00E93B3C" w:rsidP="00547ACE">
            <w:pPr>
              <w:rPr>
                <w:rFonts w:cs="Arial"/>
                <w:sz w:val="16"/>
                <w:szCs w:val="16"/>
              </w:rPr>
            </w:pPr>
            <w:r>
              <w:rPr>
                <w:rFonts w:cs="Arial"/>
                <w:sz w:val="16"/>
                <w:szCs w:val="16"/>
              </w:rPr>
              <w:t>III.6</w:t>
            </w:r>
            <w:r w:rsidRPr="00603EFF">
              <w:rPr>
                <w:rFonts w:cs="Arial"/>
                <w:sz w:val="16"/>
                <w:szCs w:val="16"/>
              </w:rPr>
              <w:t xml:space="preserve"> Increased capacity of SMEs to successfully use IP to support innovation</w:t>
            </w:r>
          </w:p>
        </w:tc>
        <w:tc>
          <w:tcPr>
            <w:tcW w:w="2267" w:type="pct"/>
            <w:vMerge w:val="restart"/>
            <w:shd w:val="clear" w:color="auto" w:fill="auto"/>
            <w:tcMar>
              <w:top w:w="113" w:type="dxa"/>
              <w:bottom w:w="57" w:type="dxa"/>
            </w:tcMar>
          </w:tcPr>
          <w:p w:rsidR="00E93B3C" w:rsidRPr="00534297" w:rsidRDefault="00E93B3C" w:rsidP="00547ACE">
            <w:pPr>
              <w:rPr>
                <w:rFonts w:cs="Arial"/>
                <w:sz w:val="16"/>
                <w:szCs w:val="16"/>
                <w:lang w:bidi="th-TH"/>
              </w:rPr>
            </w:pPr>
            <w:r w:rsidRPr="00DC0B8E">
              <w:rPr>
                <w:rFonts w:cs="Arial"/>
                <w:sz w:val="16"/>
                <w:szCs w:val="16"/>
              </w:rPr>
              <w:t xml:space="preserve">% of participants in </w:t>
            </w:r>
            <w:r>
              <w:rPr>
                <w:rFonts w:cs="Arial"/>
                <w:sz w:val="16"/>
                <w:szCs w:val="16"/>
              </w:rPr>
              <w:t xml:space="preserve">training programs targeting SME support institutions </w:t>
            </w:r>
            <w:r w:rsidRPr="00DC0B8E">
              <w:rPr>
                <w:rFonts w:cs="Arial"/>
                <w:sz w:val="16"/>
                <w:szCs w:val="16"/>
              </w:rPr>
              <w:t>who express satisfaction with the content and organization of the</w:t>
            </w:r>
            <w:r>
              <w:rPr>
                <w:rFonts w:cs="Arial"/>
                <w:sz w:val="16"/>
                <w:szCs w:val="16"/>
              </w:rPr>
              <w:t>se</w:t>
            </w:r>
            <w:r w:rsidRPr="00DC0B8E">
              <w:rPr>
                <w:rFonts w:cs="Arial"/>
                <w:sz w:val="16"/>
                <w:szCs w:val="16"/>
              </w:rPr>
              <w:t xml:space="preserve"> events</w:t>
            </w:r>
          </w:p>
        </w:tc>
        <w:tc>
          <w:tcPr>
            <w:tcW w:w="735" w:type="pct"/>
            <w:shd w:val="clear" w:color="auto" w:fill="FFFFFF"/>
            <w:tcMar>
              <w:top w:w="113" w:type="dxa"/>
              <w:bottom w:w="57" w:type="dxa"/>
            </w:tcMar>
          </w:tcPr>
          <w:p w:rsidR="00E93B3C" w:rsidRPr="0016774F" w:rsidRDefault="00E93B3C" w:rsidP="00547ACE">
            <w:pPr>
              <w:jc w:val="center"/>
              <w:rPr>
                <w:rFonts w:cs="Arial"/>
                <w:sz w:val="16"/>
                <w:szCs w:val="16"/>
                <w:lang w:bidi="th-TH"/>
              </w:rPr>
            </w:pPr>
            <w:r>
              <w:rPr>
                <w:rFonts w:cs="Arial"/>
                <w:sz w:val="16"/>
                <w:szCs w:val="16"/>
                <w:lang w:bidi="th-TH"/>
              </w:rPr>
              <w:t>Program 10</w:t>
            </w:r>
          </w:p>
        </w:tc>
        <w:tc>
          <w:tcPr>
            <w:tcW w:w="521" w:type="pct"/>
            <w:shd w:val="clear" w:color="auto" w:fill="FFFFFF"/>
          </w:tcPr>
          <w:p w:rsidR="00E93B3C" w:rsidRPr="00CC3F44" w:rsidRDefault="00E93B3C" w:rsidP="00547ACE">
            <w:pPr>
              <w:jc w:val="center"/>
              <w:rPr>
                <w:rFonts w:cs="Arial"/>
                <w:color w:val="A6A6A6" w:themeColor="background1" w:themeShade="A6"/>
                <w:sz w:val="22"/>
                <w:szCs w:val="22"/>
              </w:rPr>
            </w:pPr>
            <w:r w:rsidRPr="00CC3F44">
              <w:rPr>
                <w:rFonts w:cs="Arial"/>
                <w:color w:val="008000"/>
                <w:sz w:val="22"/>
                <w:szCs w:val="22"/>
              </w:rPr>
              <w:sym w:font="Wingdings" w:char="F06C"/>
            </w:r>
          </w:p>
        </w:tc>
      </w:tr>
      <w:tr w:rsidR="00E93B3C" w:rsidRPr="0016774F" w:rsidTr="00547ACE">
        <w:trPr>
          <w:cantSplit/>
          <w:trHeight w:val="144"/>
        </w:trPr>
        <w:tc>
          <w:tcPr>
            <w:tcW w:w="1477" w:type="pct"/>
            <w:vMerge/>
            <w:shd w:val="clear" w:color="auto" w:fill="auto"/>
            <w:tcMar>
              <w:top w:w="113" w:type="dxa"/>
              <w:bottom w:w="57" w:type="dxa"/>
            </w:tcMar>
          </w:tcPr>
          <w:p w:rsidR="00E93B3C" w:rsidRDefault="00E93B3C" w:rsidP="00547ACE">
            <w:pPr>
              <w:rPr>
                <w:rFonts w:cs="Arial"/>
                <w:sz w:val="16"/>
                <w:szCs w:val="16"/>
              </w:rPr>
            </w:pPr>
          </w:p>
        </w:tc>
        <w:tc>
          <w:tcPr>
            <w:tcW w:w="2267" w:type="pct"/>
            <w:vMerge/>
            <w:shd w:val="clear" w:color="auto" w:fill="auto"/>
            <w:tcMar>
              <w:top w:w="113" w:type="dxa"/>
              <w:bottom w:w="57" w:type="dxa"/>
            </w:tcMar>
          </w:tcPr>
          <w:p w:rsidR="00E93B3C" w:rsidRPr="00DC0B8E" w:rsidRDefault="00E93B3C" w:rsidP="00547ACE">
            <w:pPr>
              <w:rPr>
                <w:rFonts w:cs="Arial"/>
                <w:sz w:val="16"/>
                <w:szCs w:val="16"/>
              </w:rPr>
            </w:pPr>
          </w:p>
        </w:tc>
        <w:tc>
          <w:tcPr>
            <w:tcW w:w="735" w:type="pct"/>
            <w:shd w:val="clear" w:color="auto" w:fill="FFFFFF"/>
            <w:tcMar>
              <w:top w:w="113" w:type="dxa"/>
              <w:bottom w:w="57" w:type="dxa"/>
            </w:tcMar>
          </w:tcPr>
          <w:p w:rsidR="00E93B3C" w:rsidRDefault="00E93B3C" w:rsidP="00547ACE">
            <w:pPr>
              <w:jc w:val="center"/>
              <w:rPr>
                <w:rFonts w:cs="Arial"/>
                <w:sz w:val="16"/>
                <w:szCs w:val="16"/>
                <w:lang w:bidi="th-TH"/>
              </w:rPr>
            </w:pPr>
            <w:r>
              <w:rPr>
                <w:rFonts w:cs="Arial"/>
                <w:sz w:val="16"/>
                <w:szCs w:val="16"/>
                <w:lang w:bidi="th-TH"/>
              </w:rPr>
              <w:t>Program 30</w:t>
            </w:r>
          </w:p>
        </w:tc>
        <w:tc>
          <w:tcPr>
            <w:tcW w:w="521" w:type="pct"/>
            <w:shd w:val="clear" w:color="auto" w:fill="FFFFFF"/>
          </w:tcPr>
          <w:p w:rsidR="00E93B3C" w:rsidRPr="00CC3F44" w:rsidRDefault="00E93B3C" w:rsidP="00547ACE">
            <w:pPr>
              <w:jc w:val="center"/>
            </w:pPr>
            <w:r w:rsidRPr="00CC3F44">
              <w:rPr>
                <w:rFonts w:cs="Arial"/>
                <w:color w:val="008000"/>
                <w:sz w:val="22"/>
                <w:szCs w:val="22"/>
              </w:rPr>
              <w:sym w:font="Wingdings" w:char="F06C"/>
            </w:r>
          </w:p>
        </w:tc>
      </w:tr>
      <w:tr w:rsidR="00E93B3C" w:rsidRPr="0016774F" w:rsidTr="00547ACE">
        <w:trPr>
          <w:cantSplit/>
          <w:trHeight w:val="144"/>
        </w:trPr>
        <w:tc>
          <w:tcPr>
            <w:tcW w:w="1477" w:type="pct"/>
            <w:vMerge w:val="restart"/>
            <w:shd w:val="clear" w:color="auto" w:fill="auto"/>
            <w:tcMar>
              <w:top w:w="113" w:type="dxa"/>
              <w:bottom w:w="57" w:type="dxa"/>
            </w:tcMar>
          </w:tcPr>
          <w:p w:rsidR="00E93B3C" w:rsidRPr="0016774F" w:rsidRDefault="00E93B3C" w:rsidP="00547ACE">
            <w:pPr>
              <w:keepNext/>
              <w:keepLines/>
              <w:rPr>
                <w:rFonts w:cs="Arial"/>
                <w:sz w:val="16"/>
                <w:szCs w:val="16"/>
              </w:rPr>
            </w:pPr>
          </w:p>
        </w:tc>
        <w:tc>
          <w:tcPr>
            <w:tcW w:w="2267" w:type="pct"/>
            <w:vMerge w:val="restart"/>
            <w:shd w:val="clear" w:color="auto" w:fill="auto"/>
            <w:tcMar>
              <w:top w:w="113" w:type="dxa"/>
              <w:bottom w:w="57" w:type="dxa"/>
            </w:tcMar>
          </w:tcPr>
          <w:p w:rsidR="00E93B3C" w:rsidRDefault="00E93B3C" w:rsidP="00547ACE">
            <w:pPr>
              <w:keepNext/>
              <w:keepLines/>
              <w:rPr>
                <w:rFonts w:cs="Arial"/>
                <w:sz w:val="16"/>
                <w:szCs w:val="16"/>
              </w:rPr>
            </w:pPr>
            <w:r w:rsidRPr="0022507F">
              <w:rPr>
                <w:rFonts w:cs="Arial"/>
                <w:sz w:val="16"/>
                <w:szCs w:val="16"/>
                <w:lang w:bidi="th-TH"/>
              </w:rPr>
              <w:t xml:space="preserve">% of </w:t>
            </w:r>
            <w:r>
              <w:rPr>
                <w:rFonts w:cs="Arial"/>
                <w:sz w:val="16"/>
                <w:szCs w:val="16"/>
                <w:lang w:bidi="th-TH"/>
              </w:rPr>
              <w:t xml:space="preserve">trained </w:t>
            </w:r>
            <w:r w:rsidRPr="0022507F">
              <w:rPr>
                <w:rFonts w:cs="Arial"/>
                <w:sz w:val="16"/>
                <w:szCs w:val="16"/>
                <w:lang w:bidi="th-TH"/>
              </w:rPr>
              <w:t>SME support institutions who provide information, support and advisory/consulting services on IP asset management</w:t>
            </w:r>
          </w:p>
          <w:p w:rsidR="00E93B3C" w:rsidRPr="00534297" w:rsidRDefault="00E93B3C" w:rsidP="00547ACE">
            <w:pPr>
              <w:keepNext/>
              <w:keepLines/>
              <w:rPr>
                <w:rFonts w:cs="Arial"/>
                <w:sz w:val="16"/>
                <w:szCs w:val="16"/>
              </w:rPr>
            </w:pPr>
          </w:p>
        </w:tc>
        <w:tc>
          <w:tcPr>
            <w:tcW w:w="735" w:type="pct"/>
            <w:shd w:val="clear" w:color="auto" w:fill="FFFFFF"/>
            <w:tcMar>
              <w:top w:w="113" w:type="dxa"/>
              <w:bottom w:w="57" w:type="dxa"/>
            </w:tcMar>
          </w:tcPr>
          <w:p w:rsidR="00E93B3C" w:rsidRPr="0016774F" w:rsidRDefault="00E93B3C" w:rsidP="00547ACE">
            <w:pPr>
              <w:jc w:val="center"/>
              <w:rPr>
                <w:rFonts w:cs="Arial"/>
                <w:sz w:val="16"/>
                <w:szCs w:val="16"/>
                <w:lang w:bidi="th-TH"/>
              </w:rPr>
            </w:pPr>
            <w:r>
              <w:rPr>
                <w:rFonts w:cs="Arial"/>
                <w:sz w:val="16"/>
                <w:szCs w:val="16"/>
                <w:lang w:bidi="th-TH"/>
              </w:rPr>
              <w:t>Program 10</w:t>
            </w:r>
          </w:p>
        </w:tc>
        <w:tc>
          <w:tcPr>
            <w:tcW w:w="521" w:type="pct"/>
            <w:shd w:val="clear" w:color="auto" w:fill="FFFFFF"/>
          </w:tcPr>
          <w:p w:rsidR="00E93B3C" w:rsidRPr="00CC3F44" w:rsidRDefault="00E93B3C" w:rsidP="00547ACE">
            <w:pPr>
              <w:keepNext/>
              <w:keepLines/>
              <w:jc w:val="center"/>
              <w:rPr>
                <w:rFonts w:cs="Arial"/>
                <w:color w:val="A6A6A6" w:themeColor="background1" w:themeShade="A6"/>
                <w:sz w:val="22"/>
                <w:szCs w:val="22"/>
              </w:rPr>
            </w:pPr>
            <w:r w:rsidRPr="00CC3F44">
              <w:rPr>
                <w:rFonts w:cs="Arial"/>
                <w:color w:val="008000"/>
                <w:sz w:val="22"/>
                <w:szCs w:val="22"/>
              </w:rPr>
              <w:sym w:font="Wingdings" w:char="F06C"/>
            </w:r>
          </w:p>
        </w:tc>
      </w:tr>
      <w:tr w:rsidR="00E93B3C" w:rsidRPr="0016774F" w:rsidTr="00547ACE">
        <w:trPr>
          <w:cantSplit/>
          <w:trHeight w:val="144"/>
        </w:trPr>
        <w:tc>
          <w:tcPr>
            <w:tcW w:w="1477" w:type="pct"/>
            <w:vMerge/>
            <w:shd w:val="clear" w:color="auto" w:fill="auto"/>
            <w:tcMar>
              <w:top w:w="113" w:type="dxa"/>
              <w:bottom w:w="57" w:type="dxa"/>
            </w:tcMar>
          </w:tcPr>
          <w:p w:rsidR="00E93B3C" w:rsidRPr="0016774F" w:rsidRDefault="00E93B3C" w:rsidP="00547ACE">
            <w:pPr>
              <w:keepNext/>
              <w:keepLines/>
              <w:rPr>
                <w:rFonts w:cs="Arial"/>
                <w:sz w:val="16"/>
                <w:szCs w:val="16"/>
              </w:rPr>
            </w:pPr>
          </w:p>
        </w:tc>
        <w:tc>
          <w:tcPr>
            <w:tcW w:w="2267" w:type="pct"/>
            <w:vMerge/>
            <w:shd w:val="clear" w:color="auto" w:fill="auto"/>
            <w:tcMar>
              <w:top w:w="113" w:type="dxa"/>
              <w:bottom w:w="57" w:type="dxa"/>
            </w:tcMar>
          </w:tcPr>
          <w:p w:rsidR="00E93B3C" w:rsidRPr="0022507F" w:rsidRDefault="00E93B3C" w:rsidP="00547ACE">
            <w:pPr>
              <w:keepNext/>
              <w:keepLines/>
              <w:rPr>
                <w:rFonts w:cs="Arial"/>
                <w:sz w:val="16"/>
                <w:szCs w:val="16"/>
                <w:lang w:bidi="th-TH"/>
              </w:rPr>
            </w:pPr>
          </w:p>
        </w:tc>
        <w:tc>
          <w:tcPr>
            <w:tcW w:w="735" w:type="pct"/>
            <w:shd w:val="clear" w:color="auto" w:fill="FFFFFF"/>
            <w:tcMar>
              <w:top w:w="113" w:type="dxa"/>
              <w:bottom w:w="57" w:type="dxa"/>
            </w:tcMar>
          </w:tcPr>
          <w:p w:rsidR="00E93B3C" w:rsidRDefault="00E93B3C" w:rsidP="00547ACE">
            <w:pPr>
              <w:jc w:val="center"/>
              <w:rPr>
                <w:rFonts w:cs="Arial"/>
                <w:sz w:val="16"/>
                <w:szCs w:val="16"/>
                <w:lang w:bidi="th-TH"/>
              </w:rPr>
            </w:pPr>
            <w:r>
              <w:rPr>
                <w:rFonts w:cs="Arial"/>
                <w:sz w:val="16"/>
                <w:szCs w:val="16"/>
                <w:lang w:bidi="th-TH"/>
              </w:rPr>
              <w:t>Program 30</w:t>
            </w:r>
          </w:p>
        </w:tc>
        <w:tc>
          <w:tcPr>
            <w:tcW w:w="521" w:type="pct"/>
            <w:shd w:val="clear" w:color="auto" w:fill="FFFFFF"/>
          </w:tcPr>
          <w:p w:rsidR="00E93B3C" w:rsidRPr="00CC3F44" w:rsidRDefault="00E93B3C" w:rsidP="00547ACE">
            <w:pPr>
              <w:jc w:val="center"/>
            </w:pPr>
            <w:r w:rsidRPr="00CC3F44">
              <w:rPr>
                <w:rFonts w:cs="Arial"/>
                <w:color w:val="008000"/>
                <w:sz w:val="22"/>
                <w:szCs w:val="22"/>
              </w:rPr>
              <w:sym w:font="Wingdings" w:char="F06C"/>
            </w:r>
          </w:p>
        </w:tc>
      </w:tr>
      <w:tr w:rsidR="00E93B3C" w:rsidRPr="0016774F" w:rsidTr="00547ACE">
        <w:trPr>
          <w:cantSplit/>
          <w:trHeight w:val="144"/>
        </w:trPr>
        <w:tc>
          <w:tcPr>
            <w:tcW w:w="1477" w:type="pct"/>
            <w:vMerge w:val="restart"/>
            <w:shd w:val="clear" w:color="auto" w:fill="auto"/>
            <w:tcMar>
              <w:top w:w="113" w:type="dxa"/>
              <w:bottom w:w="57" w:type="dxa"/>
            </w:tcMar>
          </w:tcPr>
          <w:p w:rsidR="00E93B3C" w:rsidRPr="0016774F" w:rsidRDefault="00E93B3C" w:rsidP="00547ACE">
            <w:pPr>
              <w:keepNext/>
              <w:keepLines/>
              <w:rPr>
                <w:rFonts w:cs="Arial"/>
                <w:sz w:val="16"/>
                <w:szCs w:val="16"/>
              </w:rPr>
            </w:pPr>
          </w:p>
        </w:tc>
        <w:tc>
          <w:tcPr>
            <w:tcW w:w="2267" w:type="pct"/>
            <w:vMerge w:val="restart"/>
            <w:shd w:val="clear" w:color="auto" w:fill="auto"/>
            <w:tcMar>
              <w:top w:w="113" w:type="dxa"/>
              <w:bottom w:w="57" w:type="dxa"/>
            </w:tcMar>
          </w:tcPr>
          <w:p w:rsidR="00E93B3C" w:rsidRDefault="00E93B3C" w:rsidP="00547ACE">
            <w:pPr>
              <w:keepNext/>
              <w:keepLines/>
              <w:rPr>
                <w:rFonts w:cs="Arial"/>
                <w:sz w:val="16"/>
                <w:szCs w:val="16"/>
              </w:rPr>
            </w:pPr>
            <w:r>
              <w:rPr>
                <w:rFonts w:cs="Arial"/>
                <w:sz w:val="16"/>
                <w:szCs w:val="16"/>
              </w:rPr>
              <w:t>No.</w:t>
            </w:r>
            <w:r w:rsidRPr="008B3B36">
              <w:rPr>
                <w:rFonts w:cs="Arial"/>
                <w:sz w:val="16"/>
                <w:szCs w:val="16"/>
              </w:rPr>
              <w:t xml:space="preserve"> of countries </w:t>
            </w:r>
            <w:r>
              <w:rPr>
                <w:rFonts w:cs="Arial"/>
                <w:sz w:val="16"/>
                <w:szCs w:val="16"/>
              </w:rPr>
              <w:t xml:space="preserve">having established </w:t>
            </w:r>
            <w:r w:rsidRPr="008B3B36">
              <w:rPr>
                <w:rFonts w:cs="Arial"/>
                <w:sz w:val="16"/>
                <w:szCs w:val="16"/>
              </w:rPr>
              <w:t xml:space="preserve">IP training </w:t>
            </w:r>
            <w:r w:rsidRPr="00556E80">
              <w:rPr>
                <w:rFonts w:cs="Arial"/>
                <w:sz w:val="16"/>
                <w:szCs w:val="16"/>
              </w:rPr>
              <w:t>programs for SMEs</w:t>
            </w:r>
          </w:p>
          <w:p w:rsidR="00E93B3C" w:rsidRPr="00534297" w:rsidRDefault="00E93B3C" w:rsidP="00547ACE">
            <w:pPr>
              <w:keepNext/>
              <w:keepLines/>
              <w:rPr>
                <w:rFonts w:cs="Arial"/>
                <w:sz w:val="16"/>
                <w:szCs w:val="16"/>
              </w:rPr>
            </w:pPr>
          </w:p>
        </w:tc>
        <w:tc>
          <w:tcPr>
            <w:tcW w:w="735" w:type="pct"/>
            <w:shd w:val="clear" w:color="auto" w:fill="FFFFFF"/>
            <w:tcMar>
              <w:top w:w="113" w:type="dxa"/>
              <w:bottom w:w="57" w:type="dxa"/>
            </w:tcMar>
          </w:tcPr>
          <w:p w:rsidR="00E93B3C" w:rsidRPr="0016774F" w:rsidRDefault="00E93B3C" w:rsidP="00547ACE">
            <w:pPr>
              <w:keepNext/>
              <w:keepLines/>
              <w:jc w:val="center"/>
              <w:rPr>
                <w:rFonts w:cs="Arial"/>
                <w:sz w:val="16"/>
                <w:szCs w:val="16"/>
                <w:lang w:bidi="th-TH"/>
              </w:rPr>
            </w:pPr>
            <w:r>
              <w:rPr>
                <w:rFonts w:cs="Arial"/>
                <w:sz w:val="16"/>
                <w:szCs w:val="16"/>
                <w:lang w:bidi="th-TH"/>
              </w:rPr>
              <w:t>Program 10</w:t>
            </w:r>
          </w:p>
        </w:tc>
        <w:tc>
          <w:tcPr>
            <w:tcW w:w="521" w:type="pct"/>
            <w:shd w:val="clear" w:color="auto" w:fill="FFFFFF"/>
          </w:tcPr>
          <w:p w:rsidR="00E93B3C" w:rsidRPr="00CC3F44" w:rsidRDefault="00E93B3C" w:rsidP="00547ACE">
            <w:pPr>
              <w:jc w:val="center"/>
              <w:rPr>
                <w:rFonts w:cs="Arial"/>
                <w:color w:val="A6A6A6" w:themeColor="background1" w:themeShade="A6"/>
                <w:sz w:val="22"/>
                <w:szCs w:val="22"/>
              </w:rPr>
            </w:pPr>
            <w:r w:rsidRPr="00CC3F44">
              <w:rPr>
                <w:rFonts w:cs="Arial"/>
                <w:color w:val="A6A6A6" w:themeColor="background1" w:themeShade="A6"/>
                <w:sz w:val="22"/>
                <w:szCs w:val="22"/>
              </w:rPr>
              <w:sym w:font="Wingdings" w:char="F06C"/>
            </w:r>
          </w:p>
        </w:tc>
      </w:tr>
      <w:tr w:rsidR="00E93B3C" w:rsidRPr="0016774F" w:rsidTr="00547ACE">
        <w:trPr>
          <w:cantSplit/>
          <w:trHeight w:val="144"/>
        </w:trPr>
        <w:tc>
          <w:tcPr>
            <w:tcW w:w="1477" w:type="pct"/>
            <w:vMerge/>
            <w:shd w:val="clear" w:color="auto" w:fill="auto"/>
            <w:tcMar>
              <w:top w:w="113" w:type="dxa"/>
              <w:bottom w:w="57" w:type="dxa"/>
            </w:tcMar>
          </w:tcPr>
          <w:p w:rsidR="00E93B3C" w:rsidRPr="0016774F" w:rsidRDefault="00E93B3C" w:rsidP="00547ACE">
            <w:pPr>
              <w:keepNext/>
              <w:keepLines/>
              <w:rPr>
                <w:rFonts w:cs="Arial"/>
                <w:sz w:val="16"/>
                <w:szCs w:val="16"/>
              </w:rPr>
            </w:pPr>
          </w:p>
        </w:tc>
        <w:tc>
          <w:tcPr>
            <w:tcW w:w="2267" w:type="pct"/>
            <w:vMerge/>
            <w:shd w:val="clear" w:color="auto" w:fill="auto"/>
            <w:tcMar>
              <w:top w:w="113" w:type="dxa"/>
              <w:bottom w:w="57" w:type="dxa"/>
            </w:tcMar>
          </w:tcPr>
          <w:p w:rsidR="00E93B3C" w:rsidRDefault="00E93B3C" w:rsidP="00547ACE">
            <w:pPr>
              <w:keepNext/>
              <w:keepLines/>
              <w:rPr>
                <w:rFonts w:cs="Arial"/>
                <w:sz w:val="16"/>
                <w:szCs w:val="16"/>
              </w:rPr>
            </w:pPr>
          </w:p>
        </w:tc>
        <w:tc>
          <w:tcPr>
            <w:tcW w:w="735" w:type="pct"/>
            <w:shd w:val="clear" w:color="auto" w:fill="FFFFFF"/>
            <w:tcMar>
              <w:top w:w="113" w:type="dxa"/>
              <w:bottom w:w="57" w:type="dxa"/>
            </w:tcMar>
          </w:tcPr>
          <w:p w:rsidR="00E93B3C" w:rsidRDefault="00E93B3C" w:rsidP="00547ACE">
            <w:pPr>
              <w:jc w:val="center"/>
              <w:rPr>
                <w:rFonts w:cs="Arial"/>
                <w:sz w:val="16"/>
                <w:szCs w:val="16"/>
                <w:lang w:bidi="th-TH"/>
              </w:rPr>
            </w:pPr>
            <w:r>
              <w:rPr>
                <w:rFonts w:cs="Arial"/>
                <w:sz w:val="16"/>
                <w:szCs w:val="16"/>
                <w:lang w:bidi="th-TH"/>
              </w:rPr>
              <w:t>Program 30</w:t>
            </w:r>
          </w:p>
        </w:tc>
        <w:tc>
          <w:tcPr>
            <w:tcW w:w="521" w:type="pct"/>
            <w:shd w:val="clear" w:color="auto" w:fill="FFFFFF"/>
          </w:tcPr>
          <w:p w:rsidR="00E93B3C" w:rsidRPr="00CC3F44" w:rsidRDefault="00E93B3C" w:rsidP="00547ACE">
            <w:pPr>
              <w:jc w:val="center"/>
            </w:pPr>
            <w:r w:rsidRPr="00CC3F44">
              <w:rPr>
                <w:rFonts w:cs="Arial"/>
                <w:color w:val="A6A6A6" w:themeColor="background1" w:themeShade="A6"/>
                <w:sz w:val="22"/>
                <w:szCs w:val="22"/>
              </w:rPr>
              <w:sym w:font="Wingdings" w:char="F06C"/>
            </w:r>
          </w:p>
        </w:tc>
      </w:tr>
      <w:tr w:rsidR="00E93B3C" w:rsidRPr="0016774F" w:rsidTr="00547ACE">
        <w:trPr>
          <w:cantSplit/>
          <w:trHeight w:val="463"/>
        </w:trPr>
        <w:tc>
          <w:tcPr>
            <w:tcW w:w="1477" w:type="pct"/>
            <w:shd w:val="clear" w:color="auto" w:fill="auto"/>
            <w:tcMar>
              <w:top w:w="113" w:type="dxa"/>
              <w:bottom w:w="57" w:type="dxa"/>
            </w:tcMar>
          </w:tcPr>
          <w:p w:rsidR="00E93B3C" w:rsidRPr="0016774F" w:rsidRDefault="00E93B3C" w:rsidP="00547ACE">
            <w:pPr>
              <w:keepNext/>
              <w:keepLines/>
              <w:rPr>
                <w:rFonts w:cs="Arial"/>
                <w:sz w:val="16"/>
                <w:szCs w:val="16"/>
              </w:rPr>
            </w:pPr>
          </w:p>
        </w:tc>
        <w:tc>
          <w:tcPr>
            <w:tcW w:w="2267" w:type="pct"/>
            <w:shd w:val="clear" w:color="auto" w:fill="auto"/>
            <w:tcMar>
              <w:top w:w="113" w:type="dxa"/>
              <w:bottom w:w="57" w:type="dxa"/>
            </w:tcMar>
          </w:tcPr>
          <w:p w:rsidR="00E93B3C" w:rsidRPr="004F41E4" w:rsidRDefault="00E93B3C" w:rsidP="00547ACE">
            <w:pPr>
              <w:keepNext/>
              <w:keepLines/>
              <w:rPr>
                <w:rFonts w:cs="Arial"/>
                <w:sz w:val="16"/>
                <w:szCs w:val="16"/>
              </w:rPr>
            </w:pPr>
            <w:r w:rsidRPr="00E917A6">
              <w:rPr>
                <w:rFonts w:cs="Arial"/>
                <w:sz w:val="16"/>
                <w:szCs w:val="16"/>
                <w:lang w:bidi="th-TH"/>
              </w:rPr>
              <w:t>No. of subscriptions to the SME Newsletter</w:t>
            </w:r>
          </w:p>
        </w:tc>
        <w:tc>
          <w:tcPr>
            <w:tcW w:w="735" w:type="pct"/>
            <w:shd w:val="clear" w:color="auto" w:fill="FFFFFF"/>
            <w:tcMar>
              <w:top w:w="113" w:type="dxa"/>
              <w:bottom w:w="57" w:type="dxa"/>
            </w:tcMar>
          </w:tcPr>
          <w:p w:rsidR="00E93B3C" w:rsidRDefault="00E93B3C" w:rsidP="00547ACE">
            <w:pPr>
              <w:keepNext/>
              <w:keepLines/>
              <w:jc w:val="center"/>
              <w:rPr>
                <w:rFonts w:cs="Arial"/>
                <w:sz w:val="16"/>
                <w:szCs w:val="16"/>
                <w:lang w:bidi="th-TH"/>
              </w:rPr>
            </w:pPr>
            <w:r>
              <w:rPr>
                <w:rFonts w:cs="Arial"/>
                <w:sz w:val="16"/>
                <w:szCs w:val="16"/>
                <w:lang w:bidi="th-TH"/>
              </w:rPr>
              <w:t>Program 30</w:t>
            </w:r>
          </w:p>
        </w:tc>
        <w:tc>
          <w:tcPr>
            <w:tcW w:w="521" w:type="pct"/>
            <w:shd w:val="clear" w:color="auto" w:fill="FFFFFF"/>
          </w:tcPr>
          <w:p w:rsidR="00E93B3C" w:rsidRPr="00CC3F44" w:rsidRDefault="00E93B3C" w:rsidP="00547ACE">
            <w:pPr>
              <w:jc w:val="center"/>
            </w:pPr>
            <w:r w:rsidRPr="00CC3F44">
              <w:rPr>
                <w:rFonts w:cs="Arial"/>
                <w:color w:val="A6A6A6" w:themeColor="background1" w:themeShade="A6"/>
                <w:sz w:val="22"/>
                <w:szCs w:val="22"/>
              </w:rPr>
              <w:sym w:font="Wingdings" w:char="F06C"/>
            </w:r>
          </w:p>
        </w:tc>
      </w:tr>
      <w:tr w:rsidR="00E93B3C" w:rsidRPr="0016774F" w:rsidTr="00547ACE">
        <w:trPr>
          <w:cantSplit/>
          <w:trHeight w:val="463"/>
        </w:trPr>
        <w:tc>
          <w:tcPr>
            <w:tcW w:w="1477" w:type="pct"/>
            <w:shd w:val="clear" w:color="auto" w:fill="auto"/>
            <w:tcMar>
              <w:top w:w="113" w:type="dxa"/>
              <w:bottom w:w="57" w:type="dxa"/>
            </w:tcMar>
          </w:tcPr>
          <w:p w:rsidR="00E93B3C" w:rsidRPr="0016774F" w:rsidRDefault="00E93B3C" w:rsidP="00547ACE">
            <w:pPr>
              <w:rPr>
                <w:rFonts w:cs="Arial"/>
                <w:sz w:val="16"/>
                <w:szCs w:val="16"/>
              </w:rPr>
            </w:pPr>
          </w:p>
        </w:tc>
        <w:tc>
          <w:tcPr>
            <w:tcW w:w="2267" w:type="pct"/>
            <w:shd w:val="clear" w:color="auto" w:fill="auto"/>
            <w:tcMar>
              <w:top w:w="113" w:type="dxa"/>
              <w:bottom w:w="57" w:type="dxa"/>
            </w:tcMar>
          </w:tcPr>
          <w:p w:rsidR="00E93B3C" w:rsidRPr="004F41E4" w:rsidRDefault="00E93B3C" w:rsidP="00547ACE">
            <w:pPr>
              <w:keepNext/>
              <w:keepLines/>
              <w:rPr>
                <w:rFonts w:cs="Arial"/>
                <w:sz w:val="16"/>
                <w:szCs w:val="16"/>
              </w:rPr>
            </w:pPr>
            <w:r w:rsidRPr="00E917A6">
              <w:rPr>
                <w:rFonts w:cs="Arial"/>
                <w:sz w:val="16"/>
                <w:szCs w:val="16"/>
                <w:lang w:bidi="th-TH"/>
              </w:rPr>
              <w:t xml:space="preserve">No. of downloads of topical SME </w:t>
            </w:r>
            <w:r>
              <w:rPr>
                <w:rFonts w:cs="Arial"/>
                <w:sz w:val="16"/>
                <w:szCs w:val="16"/>
                <w:lang w:bidi="th-TH"/>
              </w:rPr>
              <w:t>material</w:t>
            </w:r>
            <w:r w:rsidRPr="00E917A6">
              <w:rPr>
                <w:rFonts w:cs="Arial"/>
                <w:sz w:val="16"/>
                <w:szCs w:val="16"/>
                <w:lang w:bidi="th-TH"/>
              </w:rPr>
              <w:t xml:space="preserve"> and guidelines </w:t>
            </w:r>
          </w:p>
        </w:tc>
        <w:tc>
          <w:tcPr>
            <w:tcW w:w="735" w:type="pct"/>
            <w:shd w:val="clear" w:color="auto" w:fill="FFFFFF"/>
            <w:tcMar>
              <w:top w:w="113" w:type="dxa"/>
              <w:bottom w:w="57" w:type="dxa"/>
            </w:tcMar>
          </w:tcPr>
          <w:p w:rsidR="00E93B3C" w:rsidRDefault="00E93B3C" w:rsidP="00547ACE">
            <w:pPr>
              <w:jc w:val="center"/>
              <w:rPr>
                <w:rFonts w:cs="Arial"/>
                <w:sz w:val="16"/>
                <w:szCs w:val="16"/>
                <w:lang w:bidi="th-TH"/>
              </w:rPr>
            </w:pPr>
            <w:r>
              <w:rPr>
                <w:rFonts w:cs="Arial"/>
                <w:sz w:val="16"/>
                <w:szCs w:val="16"/>
                <w:lang w:bidi="th-TH"/>
              </w:rPr>
              <w:t>Program 30</w:t>
            </w:r>
          </w:p>
        </w:tc>
        <w:tc>
          <w:tcPr>
            <w:tcW w:w="521" w:type="pct"/>
            <w:shd w:val="clear" w:color="auto" w:fill="FFFFFF"/>
          </w:tcPr>
          <w:p w:rsidR="00E93B3C" w:rsidRPr="00CC3F44" w:rsidRDefault="00E93B3C" w:rsidP="00547ACE">
            <w:pPr>
              <w:jc w:val="center"/>
            </w:pPr>
            <w:r w:rsidRPr="00CC3F44">
              <w:rPr>
                <w:rFonts w:cs="Arial"/>
                <w:color w:val="A6A6A6" w:themeColor="background1" w:themeShade="A6"/>
                <w:sz w:val="22"/>
                <w:szCs w:val="22"/>
              </w:rPr>
              <w:sym w:font="Wingdings" w:char="F06C"/>
            </w:r>
          </w:p>
        </w:tc>
      </w:tr>
      <w:tr w:rsidR="00E93B3C" w:rsidRPr="0016774F" w:rsidTr="00547ACE">
        <w:trPr>
          <w:cantSplit/>
          <w:trHeight w:val="463"/>
        </w:trPr>
        <w:tc>
          <w:tcPr>
            <w:tcW w:w="1477" w:type="pct"/>
            <w:shd w:val="clear" w:color="auto" w:fill="auto"/>
            <w:tcMar>
              <w:top w:w="113" w:type="dxa"/>
              <w:bottom w:w="57" w:type="dxa"/>
            </w:tcMar>
          </w:tcPr>
          <w:p w:rsidR="00E93B3C" w:rsidRPr="0016774F" w:rsidRDefault="00E93B3C" w:rsidP="00547ACE">
            <w:pPr>
              <w:rPr>
                <w:rFonts w:cs="Arial"/>
                <w:sz w:val="16"/>
                <w:szCs w:val="16"/>
              </w:rPr>
            </w:pPr>
          </w:p>
        </w:tc>
        <w:tc>
          <w:tcPr>
            <w:tcW w:w="2267" w:type="pct"/>
            <w:shd w:val="clear" w:color="auto" w:fill="auto"/>
            <w:tcMar>
              <w:top w:w="113" w:type="dxa"/>
              <w:bottom w:w="57" w:type="dxa"/>
            </w:tcMar>
          </w:tcPr>
          <w:p w:rsidR="00E93B3C" w:rsidRDefault="00E93B3C" w:rsidP="00547ACE">
            <w:pPr>
              <w:keepNext/>
              <w:keepLines/>
              <w:rPr>
                <w:rFonts w:cs="Arial"/>
                <w:sz w:val="16"/>
                <w:szCs w:val="16"/>
              </w:rPr>
            </w:pPr>
            <w:r w:rsidRPr="00E917A6">
              <w:rPr>
                <w:rFonts w:cs="Arial"/>
                <w:sz w:val="16"/>
                <w:szCs w:val="16"/>
                <w:lang w:bidi="th-TH"/>
              </w:rPr>
              <w:t xml:space="preserve">No. of SME related case-studies accessed via the </w:t>
            </w:r>
            <w:r w:rsidRPr="00E917A6">
              <w:rPr>
                <w:rFonts w:cs="Arial"/>
                <w:sz w:val="16"/>
                <w:szCs w:val="16"/>
              </w:rPr>
              <w:t>IpAdvantage and/or other relevant databases</w:t>
            </w:r>
          </w:p>
          <w:p w:rsidR="00E93B3C" w:rsidRPr="00E917A6" w:rsidRDefault="00E93B3C" w:rsidP="00547ACE">
            <w:pPr>
              <w:keepNext/>
              <w:keepLines/>
              <w:rPr>
                <w:rFonts w:cs="Arial"/>
                <w:sz w:val="16"/>
                <w:szCs w:val="16"/>
                <w:lang w:bidi="th-TH"/>
              </w:rPr>
            </w:pPr>
          </w:p>
        </w:tc>
        <w:tc>
          <w:tcPr>
            <w:tcW w:w="735" w:type="pct"/>
            <w:shd w:val="clear" w:color="auto" w:fill="FFFFFF"/>
            <w:tcMar>
              <w:top w:w="113" w:type="dxa"/>
              <w:bottom w:w="57" w:type="dxa"/>
            </w:tcMar>
          </w:tcPr>
          <w:p w:rsidR="00E93B3C" w:rsidRDefault="00E93B3C" w:rsidP="00547ACE">
            <w:pPr>
              <w:jc w:val="center"/>
              <w:rPr>
                <w:rFonts w:cs="Arial"/>
                <w:sz w:val="16"/>
                <w:szCs w:val="16"/>
                <w:lang w:bidi="th-TH"/>
              </w:rPr>
            </w:pPr>
            <w:r>
              <w:rPr>
                <w:rFonts w:cs="Arial"/>
                <w:sz w:val="16"/>
                <w:szCs w:val="16"/>
                <w:lang w:bidi="th-TH"/>
              </w:rPr>
              <w:t>Program 30</w:t>
            </w:r>
          </w:p>
        </w:tc>
        <w:tc>
          <w:tcPr>
            <w:tcW w:w="521" w:type="pct"/>
            <w:shd w:val="clear" w:color="auto" w:fill="FFFFFF"/>
          </w:tcPr>
          <w:p w:rsidR="00E93B3C" w:rsidRPr="00CC3F44" w:rsidRDefault="00E93B3C" w:rsidP="00547ACE">
            <w:pPr>
              <w:jc w:val="center"/>
            </w:pPr>
            <w:r w:rsidRPr="00CC3F44">
              <w:rPr>
                <w:rFonts w:cs="Arial"/>
                <w:color w:val="A6A6A6" w:themeColor="background1" w:themeShade="A6"/>
                <w:sz w:val="22"/>
                <w:szCs w:val="22"/>
              </w:rPr>
              <w:sym w:font="Wingdings" w:char="F06C"/>
            </w:r>
          </w:p>
        </w:tc>
      </w:tr>
    </w:tbl>
    <w:p w:rsidR="00E93B3C" w:rsidRDefault="00E93B3C" w:rsidP="00E93B3C"/>
    <w:p w:rsidR="00EE4AA1" w:rsidRDefault="00EE4AA1">
      <w:r>
        <w:br w:type="page"/>
      </w:r>
    </w:p>
    <w:p w:rsidR="00EE4AA1" w:rsidRPr="003254F5" w:rsidRDefault="004D1375" w:rsidP="004D1375">
      <w:pPr>
        <w:pStyle w:val="Heading2"/>
        <w:tabs>
          <w:tab w:val="clear" w:pos="567"/>
          <w:tab w:val="left" w:pos="2127"/>
        </w:tabs>
        <w:ind w:left="2127" w:hanging="2127"/>
        <w:jc w:val="both"/>
        <w:rPr>
          <w:szCs w:val="20"/>
        </w:rPr>
      </w:pPr>
      <w:bookmarkStart w:id="71" w:name="_Toc454544475"/>
      <w:r>
        <w:rPr>
          <w:szCs w:val="20"/>
        </w:rPr>
        <w:lastRenderedPageBreak/>
        <w:t>PROGRAM 8</w:t>
      </w:r>
      <w:r>
        <w:rPr>
          <w:szCs w:val="20"/>
        </w:rPr>
        <w:tab/>
      </w:r>
      <w:r w:rsidR="00EE4AA1" w:rsidRPr="003254F5">
        <w:rPr>
          <w:szCs w:val="20"/>
        </w:rPr>
        <w:t>DEVELOPMENT AGENDA COORDINATION</w:t>
      </w:r>
      <w:bookmarkEnd w:id="71"/>
    </w:p>
    <w:p w:rsidR="00EE4AA1" w:rsidRPr="006D1EA0" w:rsidRDefault="00EE4AA1" w:rsidP="008D1891">
      <w:pPr>
        <w:tabs>
          <w:tab w:val="left" w:pos="1985"/>
        </w:tabs>
        <w:jc w:val="both"/>
        <w:rPr>
          <w:rFonts w:cs="Arial"/>
          <w:szCs w:val="20"/>
        </w:rPr>
      </w:pPr>
    </w:p>
    <w:p w:rsidR="00EE4AA1" w:rsidRPr="006D1EA0" w:rsidRDefault="00EE4AA1" w:rsidP="008D1891">
      <w:pPr>
        <w:tabs>
          <w:tab w:val="left" w:pos="1985"/>
        </w:tabs>
        <w:jc w:val="both"/>
        <w:rPr>
          <w:rFonts w:cs="Arial"/>
          <w:b/>
          <w:szCs w:val="20"/>
        </w:rPr>
      </w:pPr>
      <w:r w:rsidRPr="006D1EA0">
        <w:rPr>
          <w:rFonts w:cs="Arial"/>
          <w:b/>
          <w:szCs w:val="20"/>
        </w:rPr>
        <w:t>Program Manager</w:t>
      </w:r>
      <w:r w:rsidRPr="006D1EA0">
        <w:rPr>
          <w:rFonts w:cs="Arial"/>
          <w:b/>
          <w:szCs w:val="20"/>
        </w:rPr>
        <w:tab/>
        <w:t>Mr. M</w:t>
      </w:r>
      <w:r>
        <w:rPr>
          <w:rFonts w:cs="Arial"/>
          <w:b/>
          <w:szCs w:val="20"/>
        </w:rPr>
        <w:t>.</w:t>
      </w:r>
      <w:r w:rsidRPr="006D1EA0">
        <w:rPr>
          <w:rFonts w:cs="Arial"/>
          <w:b/>
          <w:szCs w:val="20"/>
        </w:rPr>
        <w:t xml:space="preserve"> Matus</w:t>
      </w:r>
    </w:p>
    <w:p w:rsidR="00EE4AA1" w:rsidRDefault="00EE4AA1" w:rsidP="008D1891">
      <w:pPr>
        <w:jc w:val="both"/>
        <w:rPr>
          <w:rFonts w:cs="Arial"/>
          <w:szCs w:val="20"/>
        </w:rPr>
      </w:pPr>
    </w:p>
    <w:p w:rsidR="00F838C5" w:rsidRPr="006D1EA0" w:rsidRDefault="00F838C5" w:rsidP="001363EE">
      <w:pPr>
        <w:jc w:val="both"/>
        <w:rPr>
          <w:rFonts w:cs="Arial"/>
          <w:szCs w:val="20"/>
        </w:rPr>
      </w:pPr>
    </w:p>
    <w:p w:rsidR="00F838C5" w:rsidRPr="00332422" w:rsidRDefault="00F838C5" w:rsidP="001363EE">
      <w:pPr>
        <w:jc w:val="both"/>
        <w:rPr>
          <w:rFonts w:cs="Arial"/>
          <w:bCs/>
          <w:szCs w:val="20"/>
        </w:rPr>
      </w:pPr>
      <w:r w:rsidRPr="00332422">
        <w:rPr>
          <w:rFonts w:cs="Arial"/>
          <w:bCs/>
          <w:szCs w:val="20"/>
        </w:rPr>
        <w:t>ACHIEVEMENTS IN THE 2014/15 BIENNIUM</w:t>
      </w:r>
    </w:p>
    <w:p w:rsidR="00F838C5" w:rsidRDefault="00F838C5" w:rsidP="001363EE">
      <w:pPr>
        <w:autoSpaceDE w:val="0"/>
        <w:autoSpaceDN w:val="0"/>
        <w:adjustRightInd w:val="0"/>
        <w:jc w:val="both"/>
        <w:rPr>
          <w:rFonts w:cs="Arial"/>
          <w:szCs w:val="20"/>
        </w:rPr>
      </w:pPr>
    </w:p>
    <w:p w:rsidR="00F838C5" w:rsidRPr="001E4646" w:rsidRDefault="00F838C5" w:rsidP="00F6573D">
      <w:pPr>
        <w:pStyle w:val="ListParagraph"/>
        <w:numPr>
          <w:ilvl w:val="0"/>
          <w:numId w:val="62"/>
        </w:numPr>
        <w:tabs>
          <w:tab w:val="left" w:pos="709"/>
        </w:tabs>
        <w:ind w:left="0" w:firstLine="0"/>
        <w:jc w:val="both"/>
      </w:pPr>
      <w:r w:rsidRPr="001E4646">
        <w:t xml:space="preserve">During 2014/15, the Program continued to coordinate the WIPO Development Agenda (DA) implementation by facilitating the work of the Committee on Development and Intellectual Property (CDIP) thirteenth and fourteenth sessions in 2014 and the fifteenth and sixteenth sessions in 2015; the project-based implementation of the DA recommendations; the mainstreaming of the DA principles into the work of the Organization; and a number of activities to support Member States in deriving benefits from the implementation of the DA. </w:t>
      </w:r>
    </w:p>
    <w:p w:rsidR="00F838C5" w:rsidRPr="00A90D2A" w:rsidRDefault="00F838C5" w:rsidP="00F6573D">
      <w:pPr>
        <w:tabs>
          <w:tab w:val="left" w:pos="709"/>
        </w:tabs>
        <w:jc w:val="both"/>
        <w:rPr>
          <w:rFonts w:cs="Arial"/>
          <w:szCs w:val="20"/>
        </w:rPr>
      </w:pPr>
    </w:p>
    <w:p w:rsidR="00F838C5" w:rsidRPr="001E4646" w:rsidRDefault="00F838C5" w:rsidP="00F6573D">
      <w:pPr>
        <w:pStyle w:val="ListParagraph"/>
        <w:numPr>
          <w:ilvl w:val="0"/>
          <w:numId w:val="62"/>
        </w:numPr>
        <w:tabs>
          <w:tab w:val="left" w:pos="709"/>
        </w:tabs>
        <w:ind w:left="0" w:firstLine="0"/>
        <w:jc w:val="both"/>
      </w:pPr>
      <w:r w:rsidRPr="001E4646">
        <w:t>In 2014/15, the CDIP considered:  (i) two annual Director General’s Reports on Implementation of the Development Agenda;  (ii) two Progress Reports on the Implementation of Recommendations for Immediate Implementation and DA Projects;  (iii) eleven independent and one self-evaluation project reports;  and (iv)</w:t>
      </w:r>
      <w:r>
        <w:t> </w:t>
      </w:r>
      <w:r w:rsidRPr="001E4646">
        <w:t>a</w:t>
      </w:r>
      <w:r>
        <w:t> </w:t>
      </w:r>
      <w:r w:rsidRPr="001E4646">
        <w:t>document on the WIPO General Assembly Decision on CDIP related matters.  In addition, the Committee approved:  (i) proposals for second phases of two completed and evaluated projects;  (ii) three new projects proposals, including one proposed by Egypt on IP and Tourism;  and (iii) new activities Related to Using Copyright to Promote Access to Information and Creative content.  The Committee also discussed:  (i) a document forwarded by the General Assembly on the Description of the Contribution of the Relevant WIPO Bodies on the Implementation of respective Development Agenda Recommendations;  (ii) a revised Report on the Measurement of the Millennium Development Goals (MDGs) in Other United Nations Agencies and Specialized Agencies, and on the Contribution of WIPO to the Implementation of the MDGs;  (iii)</w:t>
      </w:r>
      <w:r>
        <w:t> </w:t>
      </w:r>
      <w:r w:rsidRPr="001E4646">
        <w:t>a</w:t>
      </w:r>
      <w:r>
        <w:t> </w:t>
      </w:r>
      <w:r w:rsidRPr="001E4646">
        <w:t>document on WIPO and the Post-2015 Development Agenda;  and (iv) the Report on the WIPO Expert Forum on International Technology Transfer.  The Committee also discussed the fifth document on Patent</w:t>
      </w:r>
      <w:r>
        <w:noBreakHyphen/>
      </w:r>
      <w:r w:rsidRPr="001E4646">
        <w:t>Related Flexibilities in the Multilateral Legal Framework and their Legislative Implementation at the National and Regional Levels and a report on the update of the Database on flexibilities.  Discussions on the External Review of WIPO Technical Assistance in the Area of Cooperation for Development continued during the biennium, and an updated Management Response to the External Review Report was provided.  Furthermore, the Committee approved the Terms of Reference (TORs) for the Independent Review of the Implementation of the Development Agenda Recommendations and took a decision on the convening of the International Conference on Intellectual Property and Development.  As regards studies, the Committee also discussed:  (i) eight studies undertaken in the context of the Project on IP and Socio-Economic Development;  (ii) six studies under the Project on Intellectual Property and Technology Transfer:</w:t>
      </w:r>
      <w:r>
        <w:t xml:space="preserve"> </w:t>
      </w:r>
      <w:r w:rsidRPr="001E4646">
        <w:t xml:space="preserve"> Common</w:t>
      </w:r>
      <w:r>
        <w:t xml:space="preserve"> </w:t>
      </w:r>
      <w:r w:rsidRPr="001E4646">
        <w:t>Challenges</w:t>
      </w:r>
      <w:r>
        <w:t> </w:t>
      </w:r>
      <w:r>
        <w:noBreakHyphen/>
        <w:t> </w:t>
      </w:r>
      <w:r w:rsidRPr="001E4646">
        <w:t>Building</w:t>
      </w:r>
      <w:r>
        <w:t xml:space="preserve"> </w:t>
      </w:r>
      <w:r w:rsidRPr="001E4646">
        <w:t>Solutions;  (iii) two studies under the Project on Open Collaborative Projects and IP</w:t>
      </w:r>
      <w:r>
        <w:noBreakHyphen/>
      </w:r>
      <w:r w:rsidRPr="001E4646">
        <w:t>Based Models;  (iv) four studies under the Project on Intellectual Property and the Informal Economy;  (v)</w:t>
      </w:r>
      <w:r>
        <w:t> </w:t>
      </w:r>
      <w:r w:rsidRPr="001E4646">
        <w:t>one study under the project on Strengthening and Development of the Audiovisual Sector in Burkina Faso and Certain African Countries;  and (vi) three studies undertaken under the project on Innovation and Technology Transfer Support Structure for National  Institutions.  The CDIP continued to benefit from an increasing participation of IGO’s and NGO’s.  By the end of 2015, fifty nine observers participated in the work of the Committee.</w:t>
      </w:r>
    </w:p>
    <w:p w:rsidR="00F838C5" w:rsidRPr="00A90D2A" w:rsidRDefault="00F838C5" w:rsidP="00F6573D">
      <w:pPr>
        <w:tabs>
          <w:tab w:val="left" w:pos="709"/>
        </w:tabs>
        <w:jc w:val="both"/>
        <w:rPr>
          <w:rFonts w:cs="Arial"/>
          <w:szCs w:val="20"/>
        </w:rPr>
      </w:pPr>
    </w:p>
    <w:p w:rsidR="00F838C5" w:rsidRPr="001E4646" w:rsidRDefault="00F838C5" w:rsidP="00F6573D">
      <w:pPr>
        <w:pStyle w:val="ListParagraph"/>
        <w:numPr>
          <w:ilvl w:val="0"/>
          <w:numId w:val="62"/>
        </w:numPr>
        <w:tabs>
          <w:tab w:val="left" w:pos="709"/>
        </w:tabs>
        <w:ind w:left="0" w:firstLine="0"/>
        <w:jc w:val="both"/>
      </w:pPr>
      <w:r>
        <w:t>I</w:t>
      </w:r>
      <w:r w:rsidRPr="001E4646">
        <w:t xml:space="preserve">n addition to the provision of support to the CDIP, in 2014/15, the Program initiated the work with regard to the convening of the International Conference on IP and Development to take place in 2016, coordinated the work related to the Independent Review of the Implementation of DA recommendations, and facilitated the implementation of DA activities in Member States.  The Program also continued the efforts to ensure an effective implementation of the 19 Recommendations for immediate implementation;  to coordinate the monitoring, evaluation and reporting on the implementation of the projects approved by the CDIP;  and maintained its responsibility for the coordination of the implementation of all 45 WIPO DA Recommendations.  </w:t>
      </w:r>
    </w:p>
    <w:p w:rsidR="00F838C5" w:rsidRDefault="00F838C5" w:rsidP="00F6573D">
      <w:pPr>
        <w:tabs>
          <w:tab w:val="left" w:pos="709"/>
        </w:tabs>
        <w:jc w:val="both"/>
        <w:rPr>
          <w:rFonts w:cs="Arial"/>
          <w:szCs w:val="20"/>
        </w:rPr>
      </w:pPr>
    </w:p>
    <w:p w:rsidR="00F838C5" w:rsidRDefault="00F838C5" w:rsidP="00F6573D">
      <w:pPr>
        <w:tabs>
          <w:tab w:val="left" w:pos="709"/>
        </w:tabs>
        <w:rPr>
          <w:rFonts w:cs="Arial"/>
          <w:szCs w:val="20"/>
        </w:rPr>
      </w:pPr>
    </w:p>
    <w:p w:rsidR="00F838C5" w:rsidRDefault="00F838C5" w:rsidP="00F6573D">
      <w:pPr>
        <w:tabs>
          <w:tab w:val="left" w:pos="709"/>
        </w:tabs>
        <w:autoSpaceDE w:val="0"/>
        <w:autoSpaceDN w:val="0"/>
        <w:adjustRightInd w:val="0"/>
        <w:jc w:val="both"/>
        <w:rPr>
          <w:rFonts w:cs="Arial"/>
          <w:szCs w:val="20"/>
        </w:rPr>
      </w:pPr>
    </w:p>
    <w:p w:rsidR="00F838C5" w:rsidRDefault="00F838C5" w:rsidP="00F6573D">
      <w:pPr>
        <w:tabs>
          <w:tab w:val="left" w:pos="709"/>
        </w:tabs>
        <w:autoSpaceDE w:val="0"/>
        <w:autoSpaceDN w:val="0"/>
        <w:adjustRightInd w:val="0"/>
        <w:jc w:val="both"/>
        <w:rPr>
          <w:rFonts w:cs="Arial"/>
          <w:szCs w:val="20"/>
        </w:rPr>
      </w:pPr>
    </w:p>
    <w:p w:rsidR="00F838C5" w:rsidRDefault="00F838C5" w:rsidP="00F6573D">
      <w:pPr>
        <w:tabs>
          <w:tab w:val="left" w:pos="709"/>
        </w:tabs>
        <w:autoSpaceDE w:val="0"/>
        <w:autoSpaceDN w:val="0"/>
        <w:adjustRightInd w:val="0"/>
        <w:jc w:val="both"/>
        <w:rPr>
          <w:rFonts w:cs="Arial"/>
          <w:szCs w:val="20"/>
        </w:rPr>
      </w:pPr>
    </w:p>
    <w:p w:rsidR="00F838C5" w:rsidRDefault="00F838C5" w:rsidP="00F6573D">
      <w:pPr>
        <w:tabs>
          <w:tab w:val="left" w:pos="709"/>
        </w:tabs>
        <w:autoSpaceDE w:val="0"/>
        <w:autoSpaceDN w:val="0"/>
        <w:adjustRightInd w:val="0"/>
        <w:jc w:val="both"/>
        <w:rPr>
          <w:rFonts w:cs="Arial"/>
          <w:szCs w:val="20"/>
        </w:rPr>
      </w:pPr>
    </w:p>
    <w:p w:rsidR="00F838C5" w:rsidRPr="006D1EA0" w:rsidRDefault="00F838C5" w:rsidP="00F838C5">
      <w:pPr>
        <w:keepNext/>
        <w:keepLines/>
        <w:autoSpaceDE w:val="0"/>
        <w:autoSpaceDN w:val="0"/>
        <w:adjustRightInd w:val="0"/>
        <w:jc w:val="both"/>
        <w:rPr>
          <w:rFonts w:cs="Arial"/>
          <w:szCs w:val="20"/>
        </w:rPr>
      </w:pPr>
      <w:r w:rsidRPr="006D1EA0">
        <w:rPr>
          <w:rFonts w:cs="Arial"/>
          <w:szCs w:val="20"/>
        </w:rPr>
        <w:lastRenderedPageBreak/>
        <w:t>PERFORMANCE DATA</w:t>
      </w:r>
    </w:p>
    <w:p w:rsidR="00F838C5" w:rsidRPr="006D1EA0" w:rsidRDefault="00F838C5" w:rsidP="00F838C5">
      <w:pPr>
        <w:keepNext/>
        <w:keepLines/>
        <w:jc w:val="both"/>
        <w:rPr>
          <w:rFonts w:cs="Arial"/>
          <w:bCs/>
          <w:szCs w:val="20"/>
        </w:rPr>
      </w:pPr>
    </w:p>
    <w:tbl>
      <w:tblPr>
        <w:tblW w:w="4888"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131"/>
        <w:gridCol w:w="2126"/>
        <w:gridCol w:w="1840"/>
        <w:gridCol w:w="144"/>
        <w:gridCol w:w="1982"/>
        <w:gridCol w:w="1134"/>
      </w:tblGrid>
      <w:tr w:rsidR="00F838C5" w:rsidRPr="006D1EA0" w:rsidTr="004D1375">
        <w:trPr>
          <w:cantSplit/>
        </w:trPr>
        <w:tc>
          <w:tcPr>
            <w:tcW w:w="5000" w:type="pct"/>
            <w:gridSpan w:val="6"/>
            <w:tcBorders>
              <w:top w:val="single" w:sz="4" w:space="0" w:color="auto"/>
              <w:bottom w:val="single" w:sz="4" w:space="0" w:color="auto"/>
            </w:tcBorders>
            <w:shd w:val="clear" w:color="auto" w:fill="C6D9F1" w:themeFill="text2" w:themeFillTint="33"/>
            <w:vAlign w:val="center"/>
          </w:tcPr>
          <w:p w:rsidR="00F838C5" w:rsidRPr="006D1EA0" w:rsidRDefault="00F838C5" w:rsidP="00F838C5">
            <w:pPr>
              <w:keepNext/>
              <w:keepLines/>
              <w:tabs>
                <w:tab w:val="left" w:pos="1452"/>
              </w:tabs>
              <w:spacing w:before="120" w:after="120"/>
              <w:ind w:left="1452" w:hanging="1452"/>
              <w:jc w:val="both"/>
              <w:rPr>
                <w:rFonts w:cs="Arial"/>
                <w:b/>
                <w:bCs/>
                <w:sz w:val="16"/>
                <w:szCs w:val="16"/>
              </w:rPr>
            </w:pPr>
            <w:r w:rsidRPr="006D1EA0">
              <w:rPr>
                <w:rFonts w:cs="Arial"/>
                <w:b/>
                <w:bCs/>
                <w:sz w:val="16"/>
                <w:szCs w:val="16"/>
              </w:rPr>
              <w:t>Expected Result:</w:t>
            </w:r>
            <w:r w:rsidRPr="006D1EA0">
              <w:rPr>
                <w:rFonts w:cs="Arial"/>
                <w:b/>
                <w:bCs/>
                <w:sz w:val="16"/>
                <w:szCs w:val="16"/>
              </w:rPr>
              <w:tab/>
            </w:r>
            <w:r w:rsidRPr="006D1EA0">
              <w:rPr>
                <w:rFonts w:cs="Arial"/>
                <w:sz w:val="16"/>
                <w:szCs w:val="16"/>
                <w:lang w:bidi="th-TH"/>
              </w:rPr>
              <w:t>III.3 Mainstreaming of the DA recommendations in the work of WIPO</w:t>
            </w:r>
          </w:p>
        </w:tc>
      </w:tr>
      <w:tr w:rsidR="00F838C5" w:rsidRPr="006D1EA0" w:rsidTr="00BA6F3B">
        <w:trPr>
          <w:cantSplit/>
        </w:trPr>
        <w:tc>
          <w:tcPr>
            <w:tcW w:w="1139" w:type="pct"/>
            <w:tcBorders>
              <w:top w:val="single" w:sz="4" w:space="0" w:color="auto"/>
              <w:left w:val="single" w:sz="4" w:space="0" w:color="auto"/>
              <w:bottom w:val="nil"/>
            </w:tcBorders>
            <w:shd w:val="clear" w:color="auto" w:fill="auto"/>
            <w:vAlign w:val="center"/>
          </w:tcPr>
          <w:p w:rsidR="00F838C5" w:rsidRPr="006D1EA0" w:rsidRDefault="00F838C5" w:rsidP="00F838C5">
            <w:pPr>
              <w:keepNext/>
              <w:keepLines/>
              <w:jc w:val="both"/>
              <w:rPr>
                <w:rFonts w:cs="Arial"/>
                <w:sz w:val="16"/>
                <w:szCs w:val="16"/>
              </w:rPr>
            </w:pPr>
            <w:r w:rsidRPr="006D1EA0">
              <w:rPr>
                <w:rFonts w:cs="Arial"/>
                <w:b/>
                <w:bCs/>
                <w:sz w:val="16"/>
                <w:szCs w:val="16"/>
              </w:rPr>
              <w:t>Performance Indicators</w:t>
            </w:r>
          </w:p>
        </w:tc>
        <w:tc>
          <w:tcPr>
            <w:tcW w:w="1136" w:type="pct"/>
            <w:tcBorders>
              <w:top w:val="single" w:sz="4" w:space="0" w:color="auto"/>
              <w:bottom w:val="nil"/>
            </w:tcBorders>
            <w:shd w:val="clear" w:color="auto" w:fill="auto"/>
            <w:vAlign w:val="center"/>
          </w:tcPr>
          <w:p w:rsidR="00F838C5" w:rsidRPr="006D1EA0" w:rsidRDefault="00F838C5" w:rsidP="00F838C5">
            <w:pPr>
              <w:keepNext/>
              <w:keepLines/>
              <w:jc w:val="both"/>
              <w:rPr>
                <w:rFonts w:cs="Arial"/>
                <w:b/>
                <w:bCs/>
                <w:sz w:val="16"/>
                <w:szCs w:val="16"/>
              </w:rPr>
            </w:pPr>
            <w:r w:rsidRPr="006D1EA0">
              <w:rPr>
                <w:rFonts w:cs="Arial"/>
                <w:b/>
                <w:bCs/>
                <w:sz w:val="16"/>
                <w:szCs w:val="16"/>
              </w:rPr>
              <w:t>Baselines</w:t>
            </w:r>
          </w:p>
        </w:tc>
        <w:tc>
          <w:tcPr>
            <w:tcW w:w="983" w:type="pct"/>
            <w:tcBorders>
              <w:top w:val="single" w:sz="4" w:space="0" w:color="auto"/>
              <w:bottom w:val="nil"/>
            </w:tcBorders>
            <w:shd w:val="clear" w:color="auto" w:fill="auto"/>
            <w:tcMar>
              <w:top w:w="110" w:type="dxa"/>
            </w:tcMar>
            <w:vAlign w:val="center"/>
          </w:tcPr>
          <w:p w:rsidR="00F838C5" w:rsidRPr="006D1EA0" w:rsidRDefault="00F838C5" w:rsidP="00F838C5">
            <w:pPr>
              <w:keepNext/>
              <w:keepLines/>
              <w:jc w:val="both"/>
              <w:rPr>
                <w:rFonts w:cs="Arial"/>
                <w:b/>
                <w:sz w:val="16"/>
                <w:szCs w:val="16"/>
              </w:rPr>
            </w:pPr>
            <w:r w:rsidRPr="006D1EA0">
              <w:rPr>
                <w:rFonts w:cs="Arial"/>
                <w:b/>
                <w:sz w:val="16"/>
                <w:szCs w:val="16"/>
              </w:rPr>
              <w:t>Targets</w:t>
            </w:r>
          </w:p>
        </w:tc>
        <w:tc>
          <w:tcPr>
            <w:tcW w:w="1136" w:type="pct"/>
            <w:gridSpan w:val="2"/>
            <w:tcBorders>
              <w:top w:val="single" w:sz="4" w:space="0" w:color="auto"/>
              <w:bottom w:val="nil"/>
            </w:tcBorders>
            <w:shd w:val="clear" w:color="auto" w:fill="FFFFFF"/>
            <w:tcMar>
              <w:top w:w="110" w:type="dxa"/>
            </w:tcMar>
            <w:vAlign w:val="center"/>
          </w:tcPr>
          <w:p w:rsidR="00F838C5" w:rsidRPr="006D1EA0" w:rsidRDefault="00F838C5" w:rsidP="00F838C5">
            <w:pPr>
              <w:keepNext/>
              <w:keepLines/>
              <w:jc w:val="both"/>
              <w:rPr>
                <w:rFonts w:cs="Arial"/>
                <w:sz w:val="16"/>
                <w:szCs w:val="16"/>
              </w:rPr>
            </w:pPr>
            <w:r w:rsidRPr="006D1EA0">
              <w:rPr>
                <w:rFonts w:cs="Arial"/>
                <w:b/>
                <w:bCs/>
                <w:sz w:val="16"/>
                <w:szCs w:val="16"/>
              </w:rPr>
              <w:t>Performance Data</w:t>
            </w:r>
          </w:p>
        </w:tc>
        <w:tc>
          <w:tcPr>
            <w:tcW w:w="606" w:type="pct"/>
            <w:tcBorders>
              <w:top w:val="single" w:sz="4" w:space="0" w:color="auto"/>
              <w:bottom w:val="nil"/>
              <w:right w:val="single" w:sz="4" w:space="0" w:color="auto"/>
            </w:tcBorders>
            <w:shd w:val="clear" w:color="auto" w:fill="auto"/>
            <w:tcMar>
              <w:top w:w="110" w:type="dxa"/>
            </w:tcMar>
            <w:vAlign w:val="center"/>
          </w:tcPr>
          <w:p w:rsidR="00F838C5" w:rsidRPr="006D1EA0" w:rsidRDefault="00F838C5" w:rsidP="00F838C5">
            <w:pPr>
              <w:keepNext/>
              <w:keepLines/>
              <w:jc w:val="center"/>
              <w:rPr>
                <w:rFonts w:cs="Arial"/>
                <w:b/>
                <w:bCs/>
                <w:sz w:val="16"/>
                <w:szCs w:val="16"/>
              </w:rPr>
            </w:pPr>
            <w:r w:rsidRPr="006D1EA0">
              <w:rPr>
                <w:rFonts w:cs="Arial"/>
                <w:b/>
                <w:bCs/>
                <w:sz w:val="16"/>
                <w:szCs w:val="16"/>
              </w:rPr>
              <w:t>TLS</w:t>
            </w:r>
          </w:p>
        </w:tc>
      </w:tr>
      <w:tr w:rsidR="00F838C5" w:rsidRPr="006D1EA0" w:rsidTr="00BA6F3B">
        <w:trPr>
          <w:cantSplit/>
        </w:trPr>
        <w:tc>
          <w:tcPr>
            <w:tcW w:w="1139" w:type="pct"/>
            <w:tcBorders>
              <w:top w:val="nil"/>
              <w:left w:val="single" w:sz="4" w:space="0" w:color="auto"/>
              <w:bottom w:val="nil"/>
            </w:tcBorders>
            <w:shd w:val="clear" w:color="auto" w:fill="auto"/>
          </w:tcPr>
          <w:p w:rsidR="00F838C5" w:rsidRPr="006D1EA0" w:rsidRDefault="00F838C5" w:rsidP="00F838C5">
            <w:pPr>
              <w:keepNext/>
              <w:keepLines/>
              <w:rPr>
                <w:rFonts w:cs="Arial"/>
                <w:sz w:val="16"/>
                <w:szCs w:val="16"/>
                <w:lang w:bidi="th-TH"/>
              </w:rPr>
            </w:pPr>
            <w:r w:rsidRPr="006D1EA0">
              <w:rPr>
                <w:rFonts w:cs="Arial"/>
                <w:sz w:val="16"/>
                <w:szCs w:val="16"/>
                <w:lang w:bidi="th-TH"/>
              </w:rPr>
              <w:t>N</w:t>
            </w:r>
            <w:r>
              <w:rPr>
                <w:rFonts w:cs="Arial"/>
                <w:sz w:val="16"/>
                <w:szCs w:val="16"/>
                <w:lang w:bidi="th-TH"/>
              </w:rPr>
              <w:t>o.</w:t>
            </w:r>
            <w:r w:rsidRPr="006D1EA0">
              <w:rPr>
                <w:rFonts w:cs="Arial"/>
                <w:sz w:val="16"/>
                <w:szCs w:val="16"/>
                <w:lang w:bidi="th-TH"/>
              </w:rPr>
              <w:t xml:space="preserve"> of DA recommendations that have been addressed by the CDIP through projects, activities and studies</w:t>
            </w:r>
          </w:p>
        </w:tc>
        <w:tc>
          <w:tcPr>
            <w:tcW w:w="1136" w:type="pct"/>
            <w:tcBorders>
              <w:top w:val="nil"/>
              <w:bottom w:val="nil"/>
            </w:tcBorders>
            <w:shd w:val="clear" w:color="auto" w:fill="auto"/>
          </w:tcPr>
          <w:p w:rsidR="00F838C5" w:rsidRPr="006D1EA0" w:rsidRDefault="00F838C5" w:rsidP="00F838C5">
            <w:pPr>
              <w:keepNext/>
              <w:keepLines/>
              <w:rPr>
                <w:rFonts w:cs="Arial"/>
                <w:color w:val="002060"/>
                <w:sz w:val="16"/>
                <w:szCs w:val="16"/>
                <w:lang w:bidi="th-TH"/>
              </w:rPr>
            </w:pPr>
            <w:r w:rsidRPr="006D1EA0">
              <w:rPr>
                <w:rFonts w:cs="Arial"/>
                <w:i/>
                <w:color w:val="002060"/>
                <w:sz w:val="16"/>
                <w:szCs w:val="16"/>
              </w:rPr>
              <w:t>Updated Baseline end</w:t>
            </w:r>
            <w:r>
              <w:rPr>
                <w:rFonts w:cs="Arial"/>
                <w:i/>
                <w:color w:val="002060"/>
                <w:sz w:val="16"/>
                <w:szCs w:val="16"/>
              </w:rPr>
              <w:t> </w:t>
            </w:r>
            <w:r w:rsidRPr="006D1EA0">
              <w:rPr>
                <w:rFonts w:cs="Arial"/>
                <w:i/>
                <w:color w:val="002060"/>
                <w:sz w:val="16"/>
                <w:szCs w:val="16"/>
              </w:rPr>
              <w:t xml:space="preserve">2013:  </w:t>
            </w:r>
            <w:r w:rsidRPr="004B5EB5">
              <w:rPr>
                <w:rFonts w:cs="Arial"/>
                <w:color w:val="002060"/>
                <w:sz w:val="16"/>
                <w:szCs w:val="16"/>
                <w:lang w:bidi="th-TH"/>
              </w:rPr>
              <w:t>45 DA recommendations</w:t>
            </w:r>
          </w:p>
          <w:p w:rsidR="00F838C5" w:rsidRPr="006D1EA0" w:rsidRDefault="00F838C5" w:rsidP="00F838C5">
            <w:pPr>
              <w:keepNext/>
              <w:keepLines/>
              <w:rPr>
                <w:rFonts w:cs="Arial"/>
                <w:i/>
                <w:color w:val="002060"/>
                <w:sz w:val="16"/>
                <w:szCs w:val="16"/>
              </w:rPr>
            </w:pPr>
          </w:p>
          <w:p w:rsidR="00F838C5" w:rsidRPr="006D1EA0" w:rsidRDefault="00F838C5" w:rsidP="00F838C5">
            <w:pPr>
              <w:keepNext/>
              <w:keepLines/>
              <w:rPr>
                <w:rFonts w:cs="Arial"/>
                <w:sz w:val="16"/>
                <w:szCs w:val="16"/>
              </w:rPr>
            </w:pPr>
            <w:r w:rsidRPr="006D1EA0">
              <w:rPr>
                <w:rFonts w:cs="Arial"/>
                <w:i/>
                <w:sz w:val="16"/>
                <w:szCs w:val="16"/>
              </w:rPr>
              <w:t>Original Baseline P&amp;B</w:t>
            </w:r>
            <w:r>
              <w:rPr>
                <w:rFonts w:cs="Arial"/>
                <w:i/>
                <w:sz w:val="16"/>
                <w:szCs w:val="16"/>
              </w:rPr>
              <w:t> </w:t>
            </w:r>
            <w:r w:rsidRPr="006D1EA0">
              <w:rPr>
                <w:rFonts w:cs="Arial"/>
                <w:i/>
                <w:sz w:val="16"/>
                <w:szCs w:val="16"/>
              </w:rPr>
              <w:t>2014/15:</w:t>
            </w:r>
            <w:r w:rsidRPr="006D1EA0">
              <w:rPr>
                <w:rFonts w:cs="Arial"/>
                <w:sz w:val="16"/>
                <w:szCs w:val="16"/>
              </w:rPr>
              <w:t xml:space="preserve">  </w:t>
            </w:r>
            <w:r w:rsidRPr="00092734">
              <w:rPr>
                <w:rFonts w:cs="Arial"/>
                <w:sz w:val="16"/>
                <w:szCs w:val="16"/>
              </w:rPr>
              <w:t>42 recommendations addressed by the Committee in December 2011</w:t>
            </w:r>
          </w:p>
          <w:p w:rsidR="00F838C5" w:rsidRPr="006D1EA0" w:rsidRDefault="00F838C5" w:rsidP="00F838C5">
            <w:pPr>
              <w:keepNext/>
              <w:keepLines/>
              <w:rPr>
                <w:rFonts w:cs="Arial"/>
                <w:sz w:val="16"/>
                <w:szCs w:val="16"/>
              </w:rPr>
            </w:pPr>
          </w:p>
        </w:tc>
        <w:tc>
          <w:tcPr>
            <w:tcW w:w="983" w:type="pct"/>
            <w:tcBorders>
              <w:top w:val="nil"/>
              <w:bottom w:val="nil"/>
            </w:tcBorders>
            <w:shd w:val="clear" w:color="auto" w:fill="auto"/>
            <w:tcMar>
              <w:top w:w="110" w:type="dxa"/>
            </w:tcMar>
          </w:tcPr>
          <w:p w:rsidR="00F838C5" w:rsidRPr="006D1EA0" w:rsidRDefault="00F838C5" w:rsidP="00F838C5">
            <w:pPr>
              <w:keepNext/>
              <w:keepLines/>
              <w:rPr>
                <w:rFonts w:cs="Arial"/>
                <w:sz w:val="16"/>
                <w:szCs w:val="16"/>
                <w:lang w:bidi="th-TH"/>
              </w:rPr>
            </w:pPr>
            <w:r>
              <w:rPr>
                <w:rFonts w:cs="Arial"/>
                <w:sz w:val="16"/>
                <w:szCs w:val="16"/>
              </w:rPr>
              <w:t>45</w:t>
            </w:r>
            <w:r w:rsidRPr="006D1EA0">
              <w:rPr>
                <w:rFonts w:cs="Arial"/>
                <w:sz w:val="16"/>
                <w:szCs w:val="16"/>
              </w:rPr>
              <w:t xml:space="preserve"> recommendations to be addressed by the CDIP</w:t>
            </w:r>
          </w:p>
        </w:tc>
        <w:tc>
          <w:tcPr>
            <w:tcW w:w="1136" w:type="pct"/>
            <w:gridSpan w:val="2"/>
            <w:tcBorders>
              <w:top w:val="nil"/>
              <w:bottom w:val="nil"/>
            </w:tcBorders>
            <w:shd w:val="clear" w:color="auto" w:fill="FFFFFF"/>
            <w:tcMar>
              <w:top w:w="110" w:type="dxa"/>
            </w:tcMar>
          </w:tcPr>
          <w:p w:rsidR="00F838C5" w:rsidRPr="006D1EA0" w:rsidRDefault="00F838C5" w:rsidP="00F838C5">
            <w:pPr>
              <w:keepNext/>
              <w:keepLines/>
              <w:rPr>
                <w:rFonts w:cs="Arial"/>
                <w:sz w:val="16"/>
                <w:szCs w:val="16"/>
                <w:lang w:bidi="th-TH"/>
              </w:rPr>
            </w:pPr>
            <w:r>
              <w:rPr>
                <w:rFonts w:cs="Arial"/>
                <w:sz w:val="16"/>
                <w:szCs w:val="16"/>
                <w:lang w:bidi="th-TH"/>
              </w:rPr>
              <w:t>45 DA recommendations addressed as per the Progress Report (CDIP/14/2) and (CDIP/16/2).</w:t>
            </w:r>
          </w:p>
        </w:tc>
        <w:tc>
          <w:tcPr>
            <w:tcW w:w="606" w:type="pct"/>
            <w:tcBorders>
              <w:top w:val="nil"/>
              <w:bottom w:val="nil"/>
              <w:right w:val="single" w:sz="4" w:space="0" w:color="auto"/>
            </w:tcBorders>
            <w:shd w:val="clear" w:color="auto" w:fill="auto"/>
            <w:tcMar>
              <w:top w:w="110" w:type="dxa"/>
            </w:tcMar>
          </w:tcPr>
          <w:p w:rsidR="00F838C5" w:rsidRPr="006D1EA0" w:rsidRDefault="00F838C5" w:rsidP="00F838C5">
            <w:pPr>
              <w:keepNext/>
              <w:keepLines/>
              <w:jc w:val="center"/>
              <w:rPr>
                <w:rFonts w:cs="Arial"/>
                <w:b/>
                <w:bCs/>
                <w:color w:val="00B050"/>
                <w:sz w:val="16"/>
                <w:szCs w:val="16"/>
              </w:rPr>
            </w:pPr>
            <w:r>
              <w:rPr>
                <w:rFonts w:cs="Arial"/>
                <w:b/>
                <w:bCs/>
                <w:color w:val="00B050"/>
                <w:sz w:val="16"/>
                <w:szCs w:val="16"/>
              </w:rPr>
              <w:t xml:space="preserve">Fully Achieved </w:t>
            </w:r>
          </w:p>
        </w:tc>
      </w:tr>
      <w:tr w:rsidR="00F838C5" w:rsidRPr="006D1EA0" w:rsidTr="00BA6F3B">
        <w:trPr>
          <w:cantSplit/>
        </w:trPr>
        <w:tc>
          <w:tcPr>
            <w:tcW w:w="1139" w:type="pct"/>
            <w:tcBorders>
              <w:top w:val="nil"/>
              <w:left w:val="single" w:sz="4" w:space="0" w:color="auto"/>
              <w:bottom w:val="nil"/>
            </w:tcBorders>
            <w:shd w:val="clear" w:color="auto" w:fill="auto"/>
          </w:tcPr>
          <w:p w:rsidR="00F838C5" w:rsidRPr="006D1EA0" w:rsidRDefault="00F838C5" w:rsidP="001363EE">
            <w:pPr>
              <w:rPr>
                <w:rFonts w:cs="Arial"/>
                <w:sz w:val="16"/>
                <w:szCs w:val="16"/>
                <w:lang w:bidi="th-TH"/>
              </w:rPr>
            </w:pPr>
            <w:r>
              <w:rPr>
                <w:rFonts w:cs="Arial"/>
                <w:sz w:val="16"/>
                <w:szCs w:val="16"/>
                <w:lang w:bidi="th-TH"/>
              </w:rPr>
              <w:t>Rate of satisfaction among Member States with the results of the projects, activities and studies</w:t>
            </w:r>
          </w:p>
        </w:tc>
        <w:tc>
          <w:tcPr>
            <w:tcW w:w="1136" w:type="pct"/>
            <w:tcBorders>
              <w:top w:val="nil"/>
              <w:bottom w:val="nil"/>
            </w:tcBorders>
            <w:shd w:val="clear" w:color="auto" w:fill="auto"/>
          </w:tcPr>
          <w:p w:rsidR="00F838C5" w:rsidRPr="006D1EA0" w:rsidRDefault="00F838C5" w:rsidP="001363EE">
            <w:pPr>
              <w:rPr>
                <w:rFonts w:cs="Arial"/>
                <w:sz w:val="16"/>
                <w:szCs w:val="16"/>
              </w:rPr>
            </w:pPr>
            <w:r>
              <w:rPr>
                <w:rFonts w:cs="Arial"/>
                <w:sz w:val="16"/>
                <w:szCs w:val="16"/>
              </w:rPr>
              <w:t>80%</w:t>
            </w:r>
          </w:p>
          <w:p w:rsidR="00F838C5" w:rsidRPr="006D1EA0" w:rsidRDefault="00F838C5" w:rsidP="001363EE">
            <w:pPr>
              <w:rPr>
                <w:rFonts w:cs="Arial"/>
                <w:i/>
                <w:color w:val="002060"/>
                <w:sz w:val="16"/>
                <w:szCs w:val="16"/>
              </w:rPr>
            </w:pPr>
          </w:p>
        </w:tc>
        <w:tc>
          <w:tcPr>
            <w:tcW w:w="983" w:type="pct"/>
            <w:tcBorders>
              <w:top w:val="nil"/>
              <w:bottom w:val="nil"/>
            </w:tcBorders>
            <w:shd w:val="clear" w:color="auto" w:fill="auto"/>
            <w:tcMar>
              <w:top w:w="110" w:type="dxa"/>
            </w:tcMar>
          </w:tcPr>
          <w:p w:rsidR="00F838C5" w:rsidRPr="006D1EA0" w:rsidRDefault="00F838C5" w:rsidP="001363EE">
            <w:pPr>
              <w:autoSpaceDE w:val="0"/>
              <w:autoSpaceDN w:val="0"/>
              <w:adjustRightInd w:val="0"/>
              <w:rPr>
                <w:rFonts w:cs="Arial"/>
                <w:sz w:val="16"/>
                <w:szCs w:val="16"/>
              </w:rPr>
            </w:pPr>
            <w:r>
              <w:rPr>
                <w:rFonts w:cs="Arial"/>
                <w:sz w:val="16"/>
                <w:szCs w:val="16"/>
              </w:rPr>
              <w:t>80%</w:t>
            </w:r>
          </w:p>
        </w:tc>
        <w:tc>
          <w:tcPr>
            <w:tcW w:w="1136" w:type="pct"/>
            <w:gridSpan w:val="2"/>
            <w:tcBorders>
              <w:top w:val="nil"/>
              <w:bottom w:val="nil"/>
            </w:tcBorders>
            <w:shd w:val="clear" w:color="auto" w:fill="FFFFFF"/>
            <w:tcMar>
              <w:top w:w="110" w:type="dxa"/>
            </w:tcMar>
          </w:tcPr>
          <w:p w:rsidR="00F838C5" w:rsidRPr="00972A0D" w:rsidRDefault="00F838C5" w:rsidP="001363EE">
            <w:pPr>
              <w:rPr>
                <w:rFonts w:cs="Arial"/>
                <w:sz w:val="16"/>
                <w:szCs w:val="16"/>
                <w:lang w:bidi="th-TH"/>
              </w:rPr>
            </w:pPr>
            <w:r>
              <w:rPr>
                <w:rFonts w:cs="Arial"/>
                <w:sz w:val="16"/>
                <w:szCs w:val="16"/>
                <w:lang w:bidi="th-TH"/>
              </w:rPr>
              <w:t xml:space="preserve">Based on  the CDIP discussions of the </w:t>
            </w:r>
            <w:r w:rsidRPr="00513EB1">
              <w:rPr>
                <w:rFonts w:cs="Arial"/>
                <w:sz w:val="16"/>
                <w:szCs w:val="16"/>
                <w:lang w:bidi="th-TH"/>
              </w:rPr>
              <w:t xml:space="preserve">(i) two annual Director General’s Reports on Implementation of the Development Agenda;  (ii) two Progress Reports on the Implementation of Recommendations for Immediate Implementation and DA Projects;  </w:t>
            </w:r>
            <w:r>
              <w:rPr>
                <w:rFonts w:cs="Arial"/>
                <w:sz w:val="16"/>
                <w:szCs w:val="16"/>
                <w:lang w:bidi="th-TH"/>
              </w:rPr>
              <w:t xml:space="preserve">and </w:t>
            </w:r>
            <w:r w:rsidRPr="00513EB1">
              <w:rPr>
                <w:rFonts w:cs="Arial"/>
                <w:sz w:val="16"/>
                <w:szCs w:val="16"/>
                <w:lang w:bidi="th-TH"/>
              </w:rPr>
              <w:t xml:space="preserve">(iii) eleven independent </w:t>
            </w:r>
            <w:r>
              <w:rPr>
                <w:rFonts w:cs="Arial"/>
                <w:sz w:val="16"/>
                <w:szCs w:val="16"/>
                <w:lang w:bidi="th-TH"/>
              </w:rPr>
              <w:t xml:space="preserve">and one self-evaluation </w:t>
            </w:r>
            <w:r w:rsidRPr="00513EB1">
              <w:rPr>
                <w:rFonts w:cs="Arial"/>
                <w:sz w:val="16"/>
                <w:szCs w:val="16"/>
                <w:lang w:bidi="th-TH"/>
              </w:rPr>
              <w:t>project reports</w:t>
            </w:r>
            <w:r>
              <w:rPr>
                <w:rFonts w:cs="Arial"/>
                <w:sz w:val="16"/>
                <w:szCs w:val="16"/>
                <w:lang w:bidi="th-TH"/>
              </w:rPr>
              <w:t xml:space="preserve">, Member States expressed satisfaction with the results of the projects, activities and studies in </w:t>
            </w:r>
            <w:r w:rsidRPr="00842EE6">
              <w:rPr>
                <w:rFonts w:cs="Arial"/>
                <w:sz w:val="16"/>
                <w:szCs w:val="16"/>
                <w:lang w:bidi="th-TH"/>
              </w:rPr>
              <w:t>83% of the cases.</w:t>
            </w:r>
          </w:p>
        </w:tc>
        <w:tc>
          <w:tcPr>
            <w:tcW w:w="606" w:type="pct"/>
            <w:tcBorders>
              <w:top w:val="nil"/>
              <w:bottom w:val="nil"/>
              <w:right w:val="single" w:sz="4" w:space="0" w:color="auto"/>
            </w:tcBorders>
            <w:shd w:val="clear" w:color="auto" w:fill="auto"/>
            <w:tcMar>
              <w:top w:w="110" w:type="dxa"/>
            </w:tcMar>
          </w:tcPr>
          <w:p w:rsidR="00F838C5" w:rsidRPr="00105C3E" w:rsidRDefault="00F838C5" w:rsidP="001363EE">
            <w:pPr>
              <w:keepNext/>
              <w:keepLines/>
              <w:jc w:val="center"/>
              <w:rPr>
                <w:rFonts w:cs="Arial"/>
                <w:b/>
                <w:bCs/>
                <w:color w:val="0070C0"/>
                <w:sz w:val="16"/>
                <w:szCs w:val="16"/>
              </w:rPr>
            </w:pPr>
            <w:r>
              <w:rPr>
                <w:rFonts w:cs="Arial"/>
                <w:b/>
                <w:bCs/>
                <w:color w:val="00B050"/>
                <w:sz w:val="16"/>
                <w:szCs w:val="16"/>
              </w:rPr>
              <w:t>Fully Achieved</w:t>
            </w:r>
            <w:r w:rsidRPr="00D345EA">
              <w:rPr>
                <w:rFonts w:cs="Arial"/>
                <w:b/>
                <w:bCs/>
                <w:color w:val="00B050"/>
                <w:sz w:val="16"/>
                <w:szCs w:val="16"/>
                <w:highlight w:val="yellow"/>
              </w:rPr>
              <w:t xml:space="preserve"> </w:t>
            </w:r>
          </w:p>
        </w:tc>
      </w:tr>
      <w:tr w:rsidR="00F838C5" w:rsidRPr="006D1EA0" w:rsidTr="00BA6F3B">
        <w:trPr>
          <w:cantSplit/>
        </w:trPr>
        <w:tc>
          <w:tcPr>
            <w:tcW w:w="1139" w:type="pct"/>
            <w:tcBorders>
              <w:top w:val="nil"/>
              <w:left w:val="single" w:sz="4" w:space="0" w:color="auto"/>
              <w:bottom w:val="nil"/>
            </w:tcBorders>
            <w:shd w:val="clear" w:color="auto" w:fill="auto"/>
          </w:tcPr>
          <w:p w:rsidR="00F838C5" w:rsidRPr="006D1EA0" w:rsidRDefault="00F838C5" w:rsidP="001363EE">
            <w:pPr>
              <w:rPr>
                <w:rFonts w:cs="Arial"/>
                <w:sz w:val="16"/>
                <w:szCs w:val="16"/>
                <w:lang w:bidi="th-TH"/>
              </w:rPr>
            </w:pPr>
            <w:r w:rsidRPr="006D1EA0">
              <w:rPr>
                <w:rFonts w:cs="Arial"/>
                <w:sz w:val="16"/>
                <w:szCs w:val="16"/>
                <w:lang w:bidi="th-TH"/>
              </w:rPr>
              <w:t>Implementation of the  coordination mechanism as approved by Member States</w:t>
            </w:r>
          </w:p>
        </w:tc>
        <w:tc>
          <w:tcPr>
            <w:tcW w:w="1136" w:type="pct"/>
            <w:tcBorders>
              <w:top w:val="nil"/>
              <w:bottom w:val="nil"/>
            </w:tcBorders>
            <w:shd w:val="clear" w:color="auto" w:fill="auto"/>
          </w:tcPr>
          <w:p w:rsidR="00F838C5" w:rsidRPr="006D1EA0" w:rsidRDefault="00F838C5" w:rsidP="001363EE">
            <w:pPr>
              <w:rPr>
                <w:rFonts w:cs="Arial"/>
                <w:color w:val="002060"/>
                <w:sz w:val="16"/>
                <w:szCs w:val="16"/>
                <w:lang w:bidi="th-TH"/>
              </w:rPr>
            </w:pPr>
            <w:r w:rsidRPr="006D1EA0">
              <w:rPr>
                <w:rFonts w:cs="Arial"/>
                <w:i/>
                <w:color w:val="002060"/>
                <w:sz w:val="16"/>
                <w:szCs w:val="16"/>
              </w:rPr>
              <w:t xml:space="preserve">Updated Baseline end 2013:  </w:t>
            </w:r>
            <w:r w:rsidRPr="001D2E83">
              <w:rPr>
                <w:rFonts w:cs="Arial"/>
                <w:sz w:val="16"/>
                <w:szCs w:val="16"/>
              </w:rPr>
              <w:t xml:space="preserve"> </w:t>
            </w:r>
            <w:r w:rsidRPr="004B5EB5">
              <w:rPr>
                <w:rFonts w:cs="Arial"/>
                <w:color w:val="002060"/>
                <w:sz w:val="16"/>
                <w:szCs w:val="16"/>
                <w:lang w:bidi="th-TH"/>
              </w:rPr>
              <w:t>Two Annual reports to the Assemblies on the description of the contribution of WIPO Bodies to the implementation of the respective Development Agenda Recommendations discussed by the CDIP (WO/GA/41/12 and WO/GA/43/10).</w:t>
            </w:r>
            <w:r w:rsidRPr="004B5EB5">
              <w:rPr>
                <w:color w:val="002060"/>
                <w:vertAlign w:val="superscript"/>
              </w:rPr>
              <w:footnoteReference w:id="52"/>
            </w:r>
          </w:p>
          <w:p w:rsidR="00F838C5" w:rsidRPr="006D1EA0" w:rsidRDefault="00F838C5" w:rsidP="001363EE">
            <w:pPr>
              <w:rPr>
                <w:rFonts w:cs="Arial"/>
                <w:i/>
                <w:color w:val="002060"/>
                <w:sz w:val="16"/>
                <w:szCs w:val="16"/>
              </w:rPr>
            </w:pPr>
          </w:p>
          <w:p w:rsidR="00F838C5" w:rsidRPr="006D1EA0" w:rsidRDefault="00F838C5" w:rsidP="001363EE">
            <w:pPr>
              <w:rPr>
                <w:rFonts w:cs="Arial"/>
                <w:sz w:val="16"/>
                <w:szCs w:val="16"/>
                <w:lang w:bidi="th-TH"/>
              </w:rPr>
            </w:pPr>
            <w:r w:rsidRPr="006D1EA0">
              <w:rPr>
                <w:rFonts w:cs="Arial"/>
                <w:i/>
                <w:sz w:val="16"/>
                <w:szCs w:val="16"/>
              </w:rPr>
              <w:t>Original Baseline P&amp;B</w:t>
            </w:r>
            <w:r>
              <w:rPr>
                <w:rFonts w:cs="Arial"/>
                <w:i/>
                <w:sz w:val="16"/>
                <w:szCs w:val="16"/>
              </w:rPr>
              <w:t> </w:t>
            </w:r>
            <w:r w:rsidRPr="006D1EA0">
              <w:rPr>
                <w:rFonts w:cs="Arial"/>
                <w:i/>
                <w:sz w:val="16"/>
                <w:szCs w:val="16"/>
              </w:rPr>
              <w:t>2014/15:</w:t>
            </w:r>
            <w:r w:rsidRPr="006D1EA0">
              <w:rPr>
                <w:rFonts w:cs="Arial"/>
                <w:sz w:val="16"/>
                <w:szCs w:val="16"/>
              </w:rPr>
              <w:t xml:space="preserve">  Coordination Mechanisms and Monitoring, Assessing and Reporting Modalities approved by the Committee in April 2010</w:t>
            </w:r>
          </w:p>
        </w:tc>
        <w:tc>
          <w:tcPr>
            <w:tcW w:w="983" w:type="pct"/>
            <w:tcBorders>
              <w:top w:val="nil"/>
              <w:bottom w:val="nil"/>
            </w:tcBorders>
            <w:shd w:val="clear" w:color="auto" w:fill="auto"/>
            <w:tcMar>
              <w:top w:w="110" w:type="dxa"/>
            </w:tcMar>
          </w:tcPr>
          <w:p w:rsidR="00F838C5" w:rsidRPr="006D1EA0" w:rsidRDefault="00F838C5" w:rsidP="001363EE">
            <w:pPr>
              <w:autoSpaceDE w:val="0"/>
              <w:autoSpaceDN w:val="0"/>
              <w:adjustRightInd w:val="0"/>
              <w:rPr>
                <w:rFonts w:cs="Arial"/>
                <w:sz w:val="16"/>
                <w:szCs w:val="16"/>
              </w:rPr>
            </w:pPr>
            <w:r w:rsidRPr="006D1EA0">
              <w:rPr>
                <w:rFonts w:cs="Arial"/>
                <w:sz w:val="16"/>
                <w:szCs w:val="16"/>
              </w:rPr>
              <w:t>Coordination Mechanisms implemented in accordance with the decision of Member States</w:t>
            </w:r>
          </w:p>
        </w:tc>
        <w:tc>
          <w:tcPr>
            <w:tcW w:w="1136" w:type="pct"/>
            <w:gridSpan w:val="2"/>
            <w:tcBorders>
              <w:top w:val="nil"/>
              <w:bottom w:val="nil"/>
            </w:tcBorders>
            <w:shd w:val="clear" w:color="auto" w:fill="FFFFFF"/>
            <w:tcMar>
              <w:top w:w="110" w:type="dxa"/>
            </w:tcMar>
          </w:tcPr>
          <w:p w:rsidR="00F838C5" w:rsidRPr="006D1EA0" w:rsidRDefault="00F838C5" w:rsidP="001363EE">
            <w:pPr>
              <w:rPr>
                <w:rFonts w:cs="Arial"/>
                <w:sz w:val="16"/>
                <w:szCs w:val="16"/>
                <w:lang w:bidi="th-TH"/>
              </w:rPr>
            </w:pPr>
            <w:r w:rsidRPr="008B62F6">
              <w:rPr>
                <w:rFonts w:cs="Arial"/>
                <w:sz w:val="16"/>
                <w:szCs w:val="16"/>
                <w:lang w:bidi="th-TH"/>
              </w:rPr>
              <w:t>Coordination Mechanisms implemented in accordance with the decision of Member States</w:t>
            </w:r>
            <w:r>
              <w:rPr>
                <w:rFonts w:cs="Arial"/>
                <w:sz w:val="16"/>
                <w:szCs w:val="16"/>
                <w:lang w:bidi="th-TH"/>
              </w:rPr>
              <w:t xml:space="preserve"> as detailed in the Director General Reports on the implementation of the DA (CDIP/15/2) and (CDIP/17/2).</w:t>
            </w:r>
          </w:p>
        </w:tc>
        <w:tc>
          <w:tcPr>
            <w:tcW w:w="606" w:type="pct"/>
            <w:tcBorders>
              <w:top w:val="nil"/>
              <w:bottom w:val="nil"/>
              <w:right w:val="single" w:sz="4" w:space="0" w:color="auto"/>
            </w:tcBorders>
            <w:shd w:val="clear" w:color="auto" w:fill="auto"/>
            <w:tcMar>
              <w:top w:w="110" w:type="dxa"/>
            </w:tcMar>
          </w:tcPr>
          <w:p w:rsidR="00F838C5" w:rsidRPr="006D1EA0" w:rsidRDefault="00F838C5" w:rsidP="001363EE">
            <w:pPr>
              <w:keepNext/>
              <w:keepLines/>
              <w:jc w:val="center"/>
              <w:rPr>
                <w:rFonts w:cs="Arial"/>
                <w:bCs/>
                <w:sz w:val="16"/>
                <w:szCs w:val="16"/>
              </w:rPr>
            </w:pPr>
            <w:r>
              <w:rPr>
                <w:rFonts w:cs="Arial"/>
                <w:b/>
                <w:bCs/>
                <w:color w:val="00B050"/>
                <w:sz w:val="16"/>
                <w:szCs w:val="16"/>
              </w:rPr>
              <w:t>Fully Achieved</w:t>
            </w:r>
          </w:p>
        </w:tc>
      </w:tr>
      <w:tr w:rsidR="00F838C5" w:rsidRPr="006D1EA0" w:rsidTr="00BA6F3B">
        <w:trPr>
          <w:cantSplit/>
        </w:trPr>
        <w:tc>
          <w:tcPr>
            <w:tcW w:w="1139" w:type="pct"/>
            <w:tcBorders>
              <w:top w:val="nil"/>
              <w:left w:val="single" w:sz="4" w:space="0" w:color="auto"/>
              <w:bottom w:val="single" w:sz="4" w:space="0" w:color="auto"/>
            </w:tcBorders>
            <w:shd w:val="clear" w:color="auto" w:fill="auto"/>
          </w:tcPr>
          <w:p w:rsidR="00F838C5" w:rsidRPr="006D1EA0" w:rsidRDefault="00F838C5" w:rsidP="001363EE">
            <w:pPr>
              <w:rPr>
                <w:rFonts w:cs="Arial"/>
                <w:sz w:val="16"/>
                <w:szCs w:val="16"/>
                <w:lang w:bidi="th-TH"/>
              </w:rPr>
            </w:pPr>
            <w:r w:rsidRPr="006D1EA0">
              <w:rPr>
                <w:rFonts w:cs="Arial"/>
                <w:sz w:val="16"/>
                <w:szCs w:val="16"/>
                <w:lang w:bidi="th-TH"/>
              </w:rPr>
              <w:t>No. of Programs in which DA Recommendations are mainstreamed into the regular work of WIPO</w:t>
            </w:r>
          </w:p>
        </w:tc>
        <w:tc>
          <w:tcPr>
            <w:tcW w:w="1136" w:type="pct"/>
            <w:tcBorders>
              <w:top w:val="nil"/>
              <w:bottom w:val="single" w:sz="4" w:space="0" w:color="auto"/>
            </w:tcBorders>
            <w:shd w:val="clear" w:color="auto" w:fill="auto"/>
          </w:tcPr>
          <w:p w:rsidR="00F838C5" w:rsidRPr="006D1EA0" w:rsidRDefault="00F838C5" w:rsidP="001363EE">
            <w:pPr>
              <w:rPr>
                <w:rFonts w:cs="Arial"/>
                <w:color w:val="002060"/>
                <w:sz w:val="16"/>
                <w:szCs w:val="16"/>
                <w:lang w:bidi="th-TH"/>
              </w:rPr>
            </w:pPr>
            <w:r w:rsidRPr="006D1EA0">
              <w:rPr>
                <w:rFonts w:cs="Arial"/>
                <w:i/>
                <w:color w:val="002060"/>
                <w:sz w:val="16"/>
                <w:szCs w:val="16"/>
              </w:rPr>
              <w:t xml:space="preserve">Updated Baseline end 2013:  </w:t>
            </w:r>
            <w:r w:rsidRPr="006D1EA0">
              <w:rPr>
                <w:rFonts w:cs="Arial"/>
                <w:color w:val="002060"/>
                <w:sz w:val="16"/>
                <w:szCs w:val="16"/>
                <w:lang w:bidi="th-TH"/>
              </w:rPr>
              <w:t>23 programs have DA related activities (fully or partly)</w:t>
            </w:r>
          </w:p>
          <w:p w:rsidR="00F838C5" w:rsidRPr="006D1EA0" w:rsidRDefault="00F838C5" w:rsidP="001363EE">
            <w:pPr>
              <w:rPr>
                <w:rFonts w:cs="Arial"/>
                <w:i/>
                <w:color w:val="002060"/>
                <w:sz w:val="16"/>
                <w:szCs w:val="16"/>
              </w:rPr>
            </w:pPr>
          </w:p>
          <w:p w:rsidR="00F838C5" w:rsidRPr="006D1EA0" w:rsidRDefault="00F838C5" w:rsidP="001363EE">
            <w:pPr>
              <w:rPr>
                <w:rFonts w:cs="Arial"/>
                <w:sz w:val="16"/>
                <w:szCs w:val="16"/>
              </w:rPr>
            </w:pPr>
            <w:r w:rsidRPr="006D1EA0">
              <w:rPr>
                <w:rFonts w:cs="Arial"/>
                <w:i/>
                <w:sz w:val="16"/>
                <w:szCs w:val="16"/>
              </w:rPr>
              <w:t>Original Baseline P&amp;B</w:t>
            </w:r>
            <w:r>
              <w:rPr>
                <w:rFonts w:cs="Arial"/>
                <w:i/>
                <w:sz w:val="16"/>
                <w:szCs w:val="16"/>
              </w:rPr>
              <w:t> </w:t>
            </w:r>
            <w:r w:rsidRPr="006D1EA0">
              <w:rPr>
                <w:rFonts w:cs="Arial"/>
                <w:i/>
                <w:sz w:val="16"/>
                <w:szCs w:val="16"/>
              </w:rPr>
              <w:t>2014/15:</w:t>
            </w:r>
            <w:r w:rsidRPr="006D1EA0">
              <w:rPr>
                <w:rFonts w:cs="Arial"/>
                <w:sz w:val="16"/>
                <w:szCs w:val="16"/>
              </w:rPr>
              <w:t xml:space="preserve">  tbd</w:t>
            </w:r>
          </w:p>
          <w:p w:rsidR="00F838C5" w:rsidRPr="006D1EA0" w:rsidRDefault="00F838C5" w:rsidP="001363EE">
            <w:pPr>
              <w:rPr>
                <w:rFonts w:cs="Arial"/>
                <w:sz w:val="16"/>
                <w:szCs w:val="16"/>
                <w:lang w:bidi="th-TH"/>
              </w:rPr>
            </w:pPr>
          </w:p>
        </w:tc>
        <w:tc>
          <w:tcPr>
            <w:tcW w:w="983" w:type="pct"/>
            <w:tcBorders>
              <w:top w:val="nil"/>
              <w:bottom w:val="single" w:sz="4" w:space="0" w:color="auto"/>
            </w:tcBorders>
            <w:shd w:val="clear" w:color="auto" w:fill="auto"/>
            <w:tcMar>
              <w:top w:w="110" w:type="dxa"/>
            </w:tcMar>
          </w:tcPr>
          <w:p w:rsidR="00F838C5" w:rsidRPr="006D1EA0" w:rsidRDefault="00F838C5" w:rsidP="001363EE">
            <w:pPr>
              <w:autoSpaceDE w:val="0"/>
              <w:autoSpaceDN w:val="0"/>
              <w:adjustRightInd w:val="0"/>
              <w:rPr>
                <w:rFonts w:cs="Arial"/>
                <w:sz w:val="16"/>
                <w:szCs w:val="16"/>
              </w:rPr>
            </w:pPr>
            <w:r w:rsidRPr="006D1EA0">
              <w:rPr>
                <w:rFonts w:cs="Arial"/>
                <w:sz w:val="16"/>
                <w:szCs w:val="16"/>
              </w:rPr>
              <w:t>20</w:t>
            </w:r>
          </w:p>
        </w:tc>
        <w:tc>
          <w:tcPr>
            <w:tcW w:w="1136" w:type="pct"/>
            <w:gridSpan w:val="2"/>
            <w:tcBorders>
              <w:top w:val="nil"/>
              <w:bottom w:val="single" w:sz="4" w:space="0" w:color="auto"/>
            </w:tcBorders>
            <w:shd w:val="clear" w:color="auto" w:fill="FFFFFF"/>
            <w:tcMar>
              <w:top w:w="110" w:type="dxa"/>
            </w:tcMar>
          </w:tcPr>
          <w:p w:rsidR="00F838C5" w:rsidRPr="006D1EA0" w:rsidRDefault="00F838C5">
            <w:pPr>
              <w:rPr>
                <w:rFonts w:cs="Arial"/>
                <w:sz w:val="16"/>
                <w:szCs w:val="16"/>
              </w:rPr>
            </w:pPr>
            <w:r>
              <w:rPr>
                <w:rFonts w:cs="Arial"/>
                <w:sz w:val="16"/>
                <w:szCs w:val="16"/>
              </w:rPr>
              <w:t>23 Programs contained in the Program and Budget  2014/15 reflect the mainstreaming of DA activities.</w:t>
            </w:r>
          </w:p>
        </w:tc>
        <w:tc>
          <w:tcPr>
            <w:tcW w:w="606" w:type="pct"/>
            <w:tcBorders>
              <w:top w:val="nil"/>
              <w:bottom w:val="single" w:sz="4" w:space="0" w:color="auto"/>
              <w:right w:val="single" w:sz="4" w:space="0" w:color="auto"/>
            </w:tcBorders>
            <w:shd w:val="clear" w:color="auto" w:fill="auto"/>
            <w:tcMar>
              <w:top w:w="110" w:type="dxa"/>
            </w:tcMar>
          </w:tcPr>
          <w:p w:rsidR="00F838C5" w:rsidRPr="006D1EA0" w:rsidRDefault="00F838C5" w:rsidP="001363EE">
            <w:pPr>
              <w:keepNext/>
              <w:keepLines/>
              <w:jc w:val="center"/>
              <w:rPr>
                <w:rFonts w:cs="Arial"/>
                <w:bCs/>
                <w:sz w:val="16"/>
                <w:szCs w:val="16"/>
              </w:rPr>
            </w:pPr>
            <w:r>
              <w:rPr>
                <w:rFonts w:cs="Arial"/>
                <w:b/>
                <w:bCs/>
                <w:color w:val="00B050"/>
                <w:sz w:val="16"/>
                <w:szCs w:val="16"/>
              </w:rPr>
              <w:t>Fully Achieved</w:t>
            </w:r>
          </w:p>
        </w:tc>
      </w:tr>
      <w:tr w:rsidR="00F838C5" w:rsidRPr="006D1EA0" w:rsidTr="00BA6F3B">
        <w:trPr>
          <w:cantSplit/>
        </w:trPr>
        <w:tc>
          <w:tcPr>
            <w:tcW w:w="1139" w:type="pct"/>
            <w:tcBorders>
              <w:top w:val="single" w:sz="4" w:space="0" w:color="auto"/>
              <w:left w:val="single" w:sz="4" w:space="0" w:color="auto"/>
              <w:bottom w:val="nil"/>
            </w:tcBorders>
            <w:shd w:val="clear" w:color="auto" w:fill="auto"/>
          </w:tcPr>
          <w:p w:rsidR="00F838C5" w:rsidRPr="006D1EA0" w:rsidRDefault="00F838C5" w:rsidP="001363EE">
            <w:pPr>
              <w:rPr>
                <w:rFonts w:cs="Arial"/>
                <w:sz w:val="16"/>
                <w:szCs w:val="16"/>
                <w:lang w:bidi="th-TH"/>
              </w:rPr>
            </w:pPr>
            <w:r w:rsidRPr="006D1EA0">
              <w:rPr>
                <w:rFonts w:cs="Arial"/>
                <w:sz w:val="16"/>
                <w:szCs w:val="16"/>
                <w:lang w:bidi="th-TH"/>
              </w:rPr>
              <w:lastRenderedPageBreak/>
              <w:t>No. of DA projects, and the manner in which, they have been mainstreamed into the regular work of WIPO (norm-setting, technical assistance and service delivery)</w:t>
            </w:r>
          </w:p>
        </w:tc>
        <w:tc>
          <w:tcPr>
            <w:tcW w:w="1136" w:type="pct"/>
            <w:tcBorders>
              <w:top w:val="single" w:sz="4" w:space="0" w:color="auto"/>
              <w:bottom w:val="nil"/>
            </w:tcBorders>
            <w:shd w:val="clear" w:color="auto" w:fill="auto"/>
          </w:tcPr>
          <w:p w:rsidR="00F838C5" w:rsidRPr="006D1EA0" w:rsidRDefault="00F838C5" w:rsidP="001363EE">
            <w:pPr>
              <w:rPr>
                <w:rFonts w:cs="Arial"/>
                <w:color w:val="002060"/>
                <w:sz w:val="16"/>
                <w:szCs w:val="16"/>
                <w:lang w:bidi="th-TH"/>
              </w:rPr>
            </w:pPr>
            <w:r w:rsidRPr="006D1EA0">
              <w:rPr>
                <w:rFonts w:cs="Arial"/>
                <w:i/>
                <w:color w:val="002060"/>
                <w:sz w:val="16"/>
                <w:szCs w:val="16"/>
              </w:rPr>
              <w:t xml:space="preserve">Updated Baseline end 2013:  </w:t>
            </w:r>
            <w:r w:rsidRPr="006D1EA0">
              <w:rPr>
                <w:rFonts w:cs="Arial"/>
                <w:color w:val="002060"/>
                <w:sz w:val="16"/>
                <w:szCs w:val="16"/>
                <w:lang w:bidi="th-TH"/>
              </w:rPr>
              <w:t>6 DA projects mainstreamed in WIPO regular work</w:t>
            </w:r>
          </w:p>
          <w:p w:rsidR="00F838C5" w:rsidRPr="006D1EA0" w:rsidRDefault="00F838C5" w:rsidP="001363EE">
            <w:pPr>
              <w:rPr>
                <w:rFonts w:cs="Arial"/>
                <w:i/>
                <w:color w:val="002060"/>
                <w:sz w:val="16"/>
                <w:szCs w:val="16"/>
              </w:rPr>
            </w:pPr>
          </w:p>
          <w:p w:rsidR="00F838C5" w:rsidRPr="006D1EA0" w:rsidRDefault="00F838C5" w:rsidP="001363EE">
            <w:pPr>
              <w:rPr>
                <w:rFonts w:cs="Arial"/>
                <w:sz w:val="16"/>
                <w:szCs w:val="16"/>
              </w:rPr>
            </w:pPr>
            <w:r w:rsidRPr="006D1EA0">
              <w:rPr>
                <w:rFonts w:cs="Arial"/>
                <w:i/>
                <w:sz w:val="16"/>
                <w:szCs w:val="16"/>
              </w:rPr>
              <w:t>Original Baseline P&amp;B</w:t>
            </w:r>
            <w:r>
              <w:rPr>
                <w:rFonts w:cs="Arial"/>
                <w:i/>
                <w:sz w:val="16"/>
                <w:szCs w:val="16"/>
              </w:rPr>
              <w:t> </w:t>
            </w:r>
            <w:r w:rsidRPr="006D1EA0">
              <w:rPr>
                <w:rFonts w:cs="Arial"/>
                <w:i/>
                <w:sz w:val="16"/>
                <w:szCs w:val="16"/>
              </w:rPr>
              <w:t>2014/15:</w:t>
            </w:r>
            <w:r w:rsidRPr="006D1EA0">
              <w:rPr>
                <w:rFonts w:cs="Arial"/>
                <w:sz w:val="16"/>
                <w:szCs w:val="16"/>
              </w:rPr>
              <w:t xml:space="preserve">  tbd</w:t>
            </w:r>
          </w:p>
          <w:p w:rsidR="00F838C5" w:rsidRPr="006D1EA0" w:rsidRDefault="00F838C5" w:rsidP="001363EE">
            <w:pPr>
              <w:rPr>
                <w:rFonts w:cs="Arial"/>
                <w:i/>
                <w:color w:val="002060"/>
                <w:sz w:val="16"/>
                <w:szCs w:val="16"/>
              </w:rPr>
            </w:pPr>
          </w:p>
        </w:tc>
        <w:tc>
          <w:tcPr>
            <w:tcW w:w="983" w:type="pct"/>
            <w:tcBorders>
              <w:top w:val="single" w:sz="4" w:space="0" w:color="auto"/>
              <w:bottom w:val="nil"/>
            </w:tcBorders>
            <w:shd w:val="clear" w:color="auto" w:fill="auto"/>
            <w:tcMar>
              <w:top w:w="110" w:type="dxa"/>
            </w:tcMar>
          </w:tcPr>
          <w:p w:rsidR="00F838C5" w:rsidRPr="006D1EA0" w:rsidRDefault="00F838C5" w:rsidP="001363EE">
            <w:pPr>
              <w:autoSpaceDE w:val="0"/>
              <w:autoSpaceDN w:val="0"/>
              <w:adjustRightInd w:val="0"/>
              <w:rPr>
                <w:rFonts w:cs="Arial"/>
                <w:sz w:val="16"/>
                <w:szCs w:val="16"/>
              </w:rPr>
            </w:pPr>
            <w:r w:rsidRPr="006D1EA0">
              <w:rPr>
                <w:rFonts w:cs="Arial"/>
                <w:sz w:val="16"/>
                <w:szCs w:val="16"/>
              </w:rPr>
              <w:t>12</w:t>
            </w:r>
            <w:r>
              <w:rPr>
                <w:rFonts w:cs="Arial"/>
                <w:sz w:val="16"/>
                <w:szCs w:val="16"/>
              </w:rPr>
              <w:t xml:space="preserve"> cumulative</w:t>
            </w:r>
          </w:p>
        </w:tc>
        <w:tc>
          <w:tcPr>
            <w:tcW w:w="1136" w:type="pct"/>
            <w:gridSpan w:val="2"/>
            <w:tcBorders>
              <w:top w:val="single" w:sz="4" w:space="0" w:color="auto"/>
              <w:bottom w:val="nil"/>
            </w:tcBorders>
            <w:shd w:val="clear" w:color="auto" w:fill="FFFFFF"/>
            <w:tcMar>
              <w:top w:w="110" w:type="dxa"/>
            </w:tcMar>
          </w:tcPr>
          <w:p w:rsidR="00F838C5" w:rsidRDefault="00F838C5" w:rsidP="001363EE">
            <w:pPr>
              <w:rPr>
                <w:rFonts w:cs="Arial"/>
                <w:sz w:val="16"/>
                <w:szCs w:val="16"/>
              </w:rPr>
            </w:pPr>
            <w:r>
              <w:rPr>
                <w:rFonts w:cs="Arial"/>
                <w:sz w:val="16"/>
                <w:szCs w:val="16"/>
              </w:rPr>
              <w:t>Four</w:t>
            </w:r>
            <w:r w:rsidRPr="00805964">
              <w:rPr>
                <w:rFonts w:cs="Arial"/>
                <w:sz w:val="16"/>
                <w:szCs w:val="16"/>
              </w:rPr>
              <w:t xml:space="preserve"> additional DA projects</w:t>
            </w:r>
            <w:r>
              <w:rPr>
                <w:rFonts w:cs="Arial"/>
                <w:sz w:val="16"/>
                <w:szCs w:val="16"/>
              </w:rPr>
              <w:t xml:space="preserve"> were mainstreamed in 2014/15 (10 cumulative):</w:t>
            </w:r>
          </w:p>
          <w:p w:rsidR="00F838C5" w:rsidRPr="005B6A58" w:rsidRDefault="00F838C5" w:rsidP="00F838C5">
            <w:pPr>
              <w:pStyle w:val="ListParagraph"/>
              <w:numPr>
                <w:ilvl w:val="0"/>
                <w:numId w:val="60"/>
              </w:numPr>
              <w:rPr>
                <w:rFonts w:cs="Arial"/>
                <w:sz w:val="16"/>
                <w:szCs w:val="16"/>
              </w:rPr>
            </w:pPr>
            <w:r w:rsidRPr="005B6A58">
              <w:rPr>
                <w:rFonts w:cs="Arial"/>
                <w:sz w:val="16"/>
                <w:szCs w:val="16"/>
              </w:rPr>
              <w:t>National Start up Academies in Program 11 (technical assistance</w:t>
            </w:r>
            <w:r w:rsidRPr="00842EE6">
              <w:rPr>
                <w:rFonts w:cs="Arial"/>
                <w:sz w:val="16"/>
                <w:szCs w:val="16"/>
              </w:rPr>
              <w:t>)</w:t>
            </w:r>
            <w:r w:rsidRPr="005B6A58">
              <w:rPr>
                <w:rFonts w:cs="Arial"/>
                <w:sz w:val="16"/>
                <w:szCs w:val="16"/>
              </w:rPr>
              <w:t xml:space="preserve"> </w:t>
            </w:r>
          </w:p>
          <w:p w:rsidR="00F838C5" w:rsidRPr="00D345EA" w:rsidRDefault="00F838C5" w:rsidP="00F838C5">
            <w:pPr>
              <w:pStyle w:val="ListParagraph"/>
              <w:numPr>
                <w:ilvl w:val="0"/>
                <w:numId w:val="60"/>
              </w:numPr>
              <w:rPr>
                <w:rFonts w:cs="Arial"/>
                <w:sz w:val="16"/>
                <w:szCs w:val="16"/>
              </w:rPr>
            </w:pPr>
            <w:r w:rsidRPr="00D345EA">
              <w:rPr>
                <w:rFonts w:cs="Arial"/>
                <w:sz w:val="16"/>
                <w:szCs w:val="16"/>
              </w:rPr>
              <w:t>Specialized Databases’ Access and Support</w:t>
            </w:r>
            <w:r w:rsidRPr="001A6111">
              <w:rPr>
                <w:rFonts w:cs="Arial"/>
                <w:sz w:val="16"/>
                <w:szCs w:val="16"/>
              </w:rPr>
              <w:t xml:space="preserve"> </w:t>
            </w:r>
            <w:r>
              <w:rPr>
                <w:rFonts w:cs="Arial"/>
                <w:sz w:val="16"/>
                <w:szCs w:val="16"/>
              </w:rPr>
              <w:t xml:space="preserve">in </w:t>
            </w:r>
            <w:r w:rsidRPr="001A6111">
              <w:rPr>
                <w:rFonts w:cs="Arial"/>
                <w:sz w:val="16"/>
                <w:szCs w:val="16"/>
              </w:rPr>
              <w:t xml:space="preserve">Program 14 </w:t>
            </w:r>
            <w:r>
              <w:rPr>
                <w:rFonts w:cs="Arial"/>
                <w:sz w:val="16"/>
                <w:szCs w:val="16"/>
              </w:rPr>
              <w:t>(technical assistance)</w:t>
            </w:r>
          </w:p>
          <w:p w:rsidR="00F838C5" w:rsidRPr="00D345EA" w:rsidRDefault="00F838C5" w:rsidP="00F838C5">
            <w:pPr>
              <w:pStyle w:val="ListParagraph"/>
              <w:numPr>
                <w:ilvl w:val="0"/>
                <w:numId w:val="60"/>
              </w:numPr>
              <w:rPr>
                <w:rFonts w:cs="Arial"/>
                <w:sz w:val="16"/>
                <w:szCs w:val="16"/>
              </w:rPr>
            </w:pPr>
            <w:r w:rsidRPr="00D345EA">
              <w:rPr>
                <w:rFonts w:cs="Arial"/>
                <w:sz w:val="16"/>
                <w:szCs w:val="16"/>
              </w:rPr>
              <w:t>Developing tools for access to Patent Information</w:t>
            </w:r>
            <w:r>
              <w:rPr>
                <w:rFonts w:cs="Arial"/>
                <w:sz w:val="16"/>
                <w:szCs w:val="16"/>
              </w:rPr>
              <w:t xml:space="preserve"> </w:t>
            </w:r>
            <w:r w:rsidRPr="001A6111">
              <w:rPr>
                <w:rFonts w:cs="Arial"/>
                <w:sz w:val="16"/>
                <w:szCs w:val="16"/>
              </w:rPr>
              <w:t>in Program 14</w:t>
            </w:r>
            <w:r>
              <w:rPr>
                <w:rFonts w:cs="Arial"/>
                <w:sz w:val="16"/>
                <w:szCs w:val="16"/>
              </w:rPr>
              <w:t xml:space="preserve"> (Access to knowledge)</w:t>
            </w:r>
            <w:r w:rsidRPr="00D345EA">
              <w:rPr>
                <w:rFonts w:cs="Arial"/>
                <w:sz w:val="16"/>
                <w:szCs w:val="16"/>
              </w:rPr>
              <w:t xml:space="preserve"> </w:t>
            </w:r>
          </w:p>
          <w:p w:rsidR="00F838C5" w:rsidRPr="001A6111" w:rsidRDefault="00F838C5" w:rsidP="00F838C5">
            <w:pPr>
              <w:pStyle w:val="ListParagraph"/>
              <w:numPr>
                <w:ilvl w:val="0"/>
                <w:numId w:val="60"/>
              </w:numPr>
              <w:rPr>
                <w:rFonts w:cs="Arial"/>
                <w:sz w:val="16"/>
                <w:szCs w:val="16"/>
              </w:rPr>
            </w:pPr>
            <w:r w:rsidRPr="00D345EA">
              <w:rPr>
                <w:rFonts w:cs="Arial"/>
                <w:sz w:val="16"/>
                <w:szCs w:val="16"/>
              </w:rPr>
              <w:t xml:space="preserve">IP and Product Branding </w:t>
            </w:r>
            <w:r w:rsidRPr="001A6111">
              <w:rPr>
                <w:rFonts w:cs="Arial"/>
                <w:sz w:val="16"/>
                <w:szCs w:val="16"/>
              </w:rPr>
              <w:t xml:space="preserve">in Program 9 </w:t>
            </w:r>
            <w:r>
              <w:rPr>
                <w:rFonts w:cs="Arial"/>
                <w:sz w:val="16"/>
                <w:szCs w:val="16"/>
              </w:rPr>
              <w:t xml:space="preserve"> (technical assistance and capacity building)</w:t>
            </w:r>
          </w:p>
        </w:tc>
        <w:tc>
          <w:tcPr>
            <w:tcW w:w="606" w:type="pct"/>
            <w:tcBorders>
              <w:top w:val="single" w:sz="4" w:space="0" w:color="auto"/>
              <w:bottom w:val="nil"/>
              <w:right w:val="single" w:sz="4" w:space="0" w:color="auto"/>
            </w:tcBorders>
            <w:shd w:val="clear" w:color="auto" w:fill="auto"/>
            <w:tcMar>
              <w:top w:w="110" w:type="dxa"/>
            </w:tcMar>
          </w:tcPr>
          <w:p w:rsidR="00F838C5" w:rsidRPr="006D1EA0" w:rsidRDefault="00F838C5" w:rsidP="001363EE">
            <w:pPr>
              <w:keepNext/>
              <w:keepLines/>
              <w:jc w:val="center"/>
              <w:rPr>
                <w:rFonts w:cs="Arial"/>
                <w:bCs/>
                <w:sz w:val="16"/>
                <w:szCs w:val="16"/>
              </w:rPr>
            </w:pPr>
            <w:r>
              <w:rPr>
                <w:rFonts w:cs="Arial"/>
                <w:b/>
                <w:bCs/>
                <w:color w:val="00B050"/>
                <w:sz w:val="16"/>
                <w:szCs w:val="16"/>
              </w:rPr>
              <w:t>Fully Achieved</w:t>
            </w:r>
          </w:p>
        </w:tc>
      </w:tr>
      <w:tr w:rsidR="00F838C5" w:rsidRPr="006D1EA0" w:rsidTr="00BA6F3B">
        <w:trPr>
          <w:cantSplit/>
        </w:trPr>
        <w:tc>
          <w:tcPr>
            <w:tcW w:w="1139" w:type="pct"/>
            <w:tcBorders>
              <w:top w:val="nil"/>
              <w:left w:val="single" w:sz="4" w:space="0" w:color="auto"/>
              <w:bottom w:val="nil"/>
            </w:tcBorders>
            <w:shd w:val="clear" w:color="auto" w:fill="auto"/>
          </w:tcPr>
          <w:p w:rsidR="00F838C5" w:rsidRPr="006D1EA0" w:rsidRDefault="00F838C5" w:rsidP="001363EE">
            <w:pPr>
              <w:rPr>
                <w:rFonts w:cs="Arial"/>
                <w:sz w:val="16"/>
                <w:szCs w:val="16"/>
                <w:lang w:bidi="th-TH"/>
              </w:rPr>
            </w:pPr>
            <w:r w:rsidRPr="006D1EA0">
              <w:rPr>
                <w:rFonts w:cs="Arial"/>
                <w:sz w:val="16"/>
                <w:szCs w:val="16"/>
                <w:lang w:bidi="th-TH"/>
              </w:rPr>
              <w:t>Effective system in place for the planning, monitoring and evaluation of the implementation of DA recommendations</w:t>
            </w:r>
          </w:p>
        </w:tc>
        <w:tc>
          <w:tcPr>
            <w:tcW w:w="1136" w:type="pct"/>
            <w:tcBorders>
              <w:top w:val="nil"/>
              <w:bottom w:val="nil"/>
            </w:tcBorders>
            <w:shd w:val="clear" w:color="auto" w:fill="auto"/>
          </w:tcPr>
          <w:p w:rsidR="00F838C5" w:rsidRPr="006D1EA0" w:rsidRDefault="00F838C5" w:rsidP="001363EE">
            <w:pPr>
              <w:rPr>
                <w:rFonts w:cs="Arial"/>
                <w:color w:val="002060"/>
                <w:sz w:val="16"/>
                <w:szCs w:val="16"/>
                <w:lang w:bidi="th-TH"/>
              </w:rPr>
            </w:pPr>
            <w:r w:rsidRPr="006D1EA0">
              <w:rPr>
                <w:rFonts w:cs="Arial"/>
                <w:i/>
                <w:color w:val="002060"/>
                <w:sz w:val="16"/>
                <w:szCs w:val="16"/>
              </w:rPr>
              <w:t xml:space="preserve">Updated Baseline end 2013:  </w:t>
            </w:r>
            <w:r w:rsidRPr="006D1EA0">
              <w:rPr>
                <w:rFonts w:cs="Arial"/>
                <w:color w:val="002060"/>
                <w:sz w:val="16"/>
                <w:szCs w:val="16"/>
                <w:lang w:bidi="th-TH"/>
              </w:rPr>
              <w:t>Effective centralized system for planning monitoring and evaluation of the implementation of DA recommendation</w:t>
            </w:r>
          </w:p>
          <w:p w:rsidR="00F838C5" w:rsidRPr="006D1EA0" w:rsidRDefault="00F838C5" w:rsidP="001363EE">
            <w:pPr>
              <w:rPr>
                <w:rFonts w:cs="Arial"/>
                <w:i/>
                <w:color w:val="002060"/>
                <w:sz w:val="16"/>
                <w:szCs w:val="16"/>
              </w:rPr>
            </w:pPr>
          </w:p>
          <w:p w:rsidR="00F838C5" w:rsidRPr="006D1EA0" w:rsidRDefault="00F838C5" w:rsidP="001363EE">
            <w:pPr>
              <w:rPr>
                <w:rFonts w:cs="Arial"/>
                <w:sz w:val="16"/>
                <w:szCs w:val="16"/>
              </w:rPr>
            </w:pPr>
            <w:r w:rsidRPr="006D1EA0">
              <w:rPr>
                <w:rFonts w:cs="Arial"/>
                <w:i/>
                <w:sz w:val="16"/>
                <w:szCs w:val="16"/>
              </w:rPr>
              <w:t>Original Baseline P&amp;B</w:t>
            </w:r>
            <w:r>
              <w:rPr>
                <w:rFonts w:cs="Arial"/>
                <w:i/>
                <w:sz w:val="16"/>
                <w:szCs w:val="16"/>
              </w:rPr>
              <w:t xml:space="preserve"> </w:t>
            </w:r>
            <w:r w:rsidRPr="006D1EA0">
              <w:rPr>
                <w:rFonts w:cs="Arial"/>
                <w:i/>
                <w:sz w:val="16"/>
                <w:szCs w:val="16"/>
              </w:rPr>
              <w:t>2014/15:</w:t>
            </w:r>
            <w:r w:rsidRPr="006D1EA0">
              <w:rPr>
                <w:rFonts w:cs="Arial"/>
                <w:sz w:val="16"/>
                <w:szCs w:val="16"/>
              </w:rPr>
              <w:t xml:space="preserve">  tbd</w:t>
            </w:r>
          </w:p>
          <w:p w:rsidR="00F838C5" w:rsidRPr="006D1EA0" w:rsidRDefault="00F838C5" w:rsidP="001363EE">
            <w:pPr>
              <w:rPr>
                <w:rFonts w:cs="Arial"/>
                <w:i/>
                <w:color w:val="002060"/>
                <w:sz w:val="16"/>
                <w:szCs w:val="16"/>
              </w:rPr>
            </w:pPr>
          </w:p>
        </w:tc>
        <w:tc>
          <w:tcPr>
            <w:tcW w:w="983" w:type="pct"/>
            <w:tcBorders>
              <w:top w:val="nil"/>
              <w:bottom w:val="nil"/>
            </w:tcBorders>
            <w:shd w:val="clear" w:color="auto" w:fill="auto"/>
            <w:tcMar>
              <w:top w:w="110" w:type="dxa"/>
            </w:tcMar>
          </w:tcPr>
          <w:p w:rsidR="00F838C5" w:rsidRPr="006D1EA0" w:rsidRDefault="00F838C5" w:rsidP="001363EE">
            <w:pPr>
              <w:autoSpaceDE w:val="0"/>
              <w:autoSpaceDN w:val="0"/>
              <w:adjustRightInd w:val="0"/>
              <w:rPr>
                <w:rFonts w:cs="Arial"/>
                <w:sz w:val="16"/>
                <w:szCs w:val="16"/>
              </w:rPr>
            </w:pPr>
            <w:r w:rsidRPr="006D1EA0">
              <w:rPr>
                <w:rFonts w:cs="Arial"/>
                <w:sz w:val="16"/>
                <w:szCs w:val="16"/>
              </w:rPr>
              <w:t>All Programs have in place an effective planning, monitoring and evaluation system on the implementation of DA</w:t>
            </w:r>
            <w:r>
              <w:rPr>
                <w:rFonts w:cs="Arial"/>
                <w:sz w:val="16"/>
                <w:szCs w:val="16"/>
              </w:rPr>
              <w:t xml:space="preserve"> </w:t>
            </w:r>
            <w:r w:rsidRPr="006D1EA0">
              <w:rPr>
                <w:rFonts w:cs="Arial"/>
                <w:sz w:val="16"/>
                <w:szCs w:val="16"/>
              </w:rPr>
              <w:t>recommendations</w:t>
            </w:r>
          </w:p>
        </w:tc>
        <w:tc>
          <w:tcPr>
            <w:tcW w:w="1136" w:type="pct"/>
            <w:gridSpan w:val="2"/>
            <w:tcBorders>
              <w:top w:val="nil"/>
              <w:bottom w:val="nil"/>
            </w:tcBorders>
            <w:shd w:val="clear" w:color="auto" w:fill="FFFFFF"/>
            <w:tcMar>
              <w:top w:w="110" w:type="dxa"/>
            </w:tcMar>
          </w:tcPr>
          <w:p w:rsidR="00F838C5" w:rsidRPr="006D1EA0" w:rsidRDefault="00F838C5">
            <w:pPr>
              <w:rPr>
                <w:rFonts w:cs="Arial"/>
                <w:sz w:val="16"/>
                <w:szCs w:val="16"/>
              </w:rPr>
            </w:pPr>
            <w:r w:rsidRPr="008B62F6">
              <w:rPr>
                <w:rFonts w:cs="Arial"/>
                <w:sz w:val="16"/>
                <w:szCs w:val="16"/>
              </w:rPr>
              <w:t>All</w:t>
            </w:r>
            <w:r>
              <w:rPr>
                <w:rFonts w:cs="Arial"/>
                <w:sz w:val="16"/>
                <w:szCs w:val="16"/>
              </w:rPr>
              <w:t xml:space="preserve"> relevant </w:t>
            </w:r>
            <w:r w:rsidRPr="008B62F6">
              <w:rPr>
                <w:rFonts w:cs="Arial"/>
                <w:sz w:val="16"/>
                <w:szCs w:val="16"/>
              </w:rPr>
              <w:t>Programs have in place an effective planning, monitoring and evaluation system on the implementation of DA recommendations</w:t>
            </w:r>
          </w:p>
        </w:tc>
        <w:tc>
          <w:tcPr>
            <w:tcW w:w="606" w:type="pct"/>
            <w:tcBorders>
              <w:top w:val="nil"/>
              <w:bottom w:val="nil"/>
              <w:right w:val="single" w:sz="4" w:space="0" w:color="auto"/>
            </w:tcBorders>
            <w:shd w:val="clear" w:color="auto" w:fill="auto"/>
            <w:tcMar>
              <w:top w:w="110" w:type="dxa"/>
            </w:tcMar>
          </w:tcPr>
          <w:p w:rsidR="00F838C5" w:rsidRPr="006D1EA0" w:rsidRDefault="00F838C5" w:rsidP="001363EE">
            <w:pPr>
              <w:keepNext/>
              <w:keepLines/>
              <w:jc w:val="center"/>
              <w:rPr>
                <w:rFonts w:cs="Arial"/>
                <w:bCs/>
                <w:sz w:val="16"/>
                <w:szCs w:val="16"/>
              </w:rPr>
            </w:pPr>
            <w:r>
              <w:rPr>
                <w:rFonts w:cs="Arial"/>
                <w:b/>
                <w:bCs/>
                <w:color w:val="00B050"/>
                <w:sz w:val="16"/>
                <w:szCs w:val="16"/>
              </w:rPr>
              <w:t>Fully Achieved</w:t>
            </w:r>
          </w:p>
        </w:tc>
      </w:tr>
      <w:tr w:rsidR="00F838C5" w:rsidRPr="006D1EA0" w:rsidTr="00BA6F3B">
        <w:trPr>
          <w:cantSplit/>
        </w:trPr>
        <w:tc>
          <w:tcPr>
            <w:tcW w:w="1139" w:type="pct"/>
            <w:tcBorders>
              <w:top w:val="nil"/>
              <w:left w:val="single" w:sz="4" w:space="0" w:color="auto"/>
              <w:bottom w:val="nil"/>
            </w:tcBorders>
            <w:shd w:val="clear" w:color="auto" w:fill="auto"/>
          </w:tcPr>
          <w:p w:rsidR="00F838C5" w:rsidRPr="007752BD" w:rsidRDefault="00F838C5" w:rsidP="001363EE">
            <w:pPr>
              <w:rPr>
                <w:rFonts w:cs="Arial"/>
                <w:sz w:val="16"/>
                <w:szCs w:val="16"/>
                <w:lang w:bidi="th-TH"/>
              </w:rPr>
            </w:pPr>
            <w:r w:rsidRPr="007752BD">
              <w:rPr>
                <w:rFonts w:cs="Arial"/>
                <w:sz w:val="16"/>
                <w:szCs w:val="16"/>
                <w:lang w:bidi="th-TH"/>
              </w:rPr>
              <w:t>% of DA projects which have been</w:t>
            </w:r>
          </w:p>
          <w:p w:rsidR="00F838C5" w:rsidRPr="006D1EA0" w:rsidRDefault="00F838C5" w:rsidP="001363EE">
            <w:pPr>
              <w:rPr>
                <w:rFonts w:cs="Arial"/>
                <w:sz w:val="16"/>
                <w:szCs w:val="16"/>
                <w:lang w:bidi="th-TH"/>
              </w:rPr>
            </w:pPr>
            <w:r w:rsidRPr="007752BD">
              <w:rPr>
                <w:rFonts w:cs="Arial"/>
                <w:sz w:val="16"/>
                <w:szCs w:val="16"/>
                <w:lang w:bidi="th-TH"/>
              </w:rPr>
              <w:t>independently evaluated</w:t>
            </w:r>
          </w:p>
        </w:tc>
        <w:tc>
          <w:tcPr>
            <w:tcW w:w="1136" w:type="pct"/>
            <w:tcBorders>
              <w:top w:val="nil"/>
              <w:bottom w:val="nil"/>
            </w:tcBorders>
            <w:shd w:val="clear" w:color="auto" w:fill="auto"/>
          </w:tcPr>
          <w:p w:rsidR="00F838C5" w:rsidRPr="006D1EA0" w:rsidRDefault="00F838C5" w:rsidP="001363EE">
            <w:pPr>
              <w:rPr>
                <w:rFonts w:cs="Arial"/>
                <w:color w:val="002060"/>
                <w:sz w:val="16"/>
                <w:szCs w:val="16"/>
                <w:lang w:bidi="th-TH"/>
              </w:rPr>
            </w:pPr>
            <w:r w:rsidRPr="006D1EA0">
              <w:rPr>
                <w:rFonts w:cs="Arial"/>
                <w:i/>
                <w:color w:val="002060"/>
                <w:sz w:val="16"/>
                <w:szCs w:val="16"/>
              </w:rPr>
              <w:t xml:space="preserve">Updated Baseline end 2013:  </w:t>
            </w:r>
            <w:r w:rsidRPr="004B5EB5">
              <w:rPr>
                <w:rFonts w:cs="Arial"/>
                <w:color w:val="002060"/>
                <w:sz w:val="16"/>
                <w:szCs w:val="16"/>
                <w:lang w:bidi="th-TH"/>
              </w:rPr>
              <w:t>100%; 14 evaluation reports discussed by the CDIP. (evaluated during the biennium 2012/13)</w:t>
            </w:r>
          </w:p>
          <w:p w:rsidR="00F838C5" w:rsidRPr="006D1EA0" w:rsidRDefault="00F838C5" w:rsidP="001363EE">
            <w:pPr>
              <w:rPr>
                <w:rFonts w:cs="Arial"/>
                <w:i/>
                <w:color w:val="002060"/>
                <w:sz w:val="16"/>
                <w:szCs w:val="16"/>
              </w:rPr>
            </w:pPr>
          </w:p>
          <w:p w:rsidR="00F838C5" w:rsidRPr="006D1EA0" w:rsidRDefault="00F838C5" w:rsidP="001363EE">
            <w:pPr>
              <w:rPr>
                <w:rFonts w:cs="Arial"/>
                <w:sz w:val="16"/>
                <w:szCs w:val="16"/>
              </w:rPr>
            </w:pPr>
            <w:r w:rsidRPr="006D1EA0">
              <w:rPr>
                <w:rFonts w:cs="Arial"/>
                <w:i/>
                <w:sz w:val="16"/>
                <w:szCs w:val="16"/>
              </w:rPr>
              <w:t>Original Baseline P&amp;B</w:t>
            </w:r>
            <w:r>
              <w:rPr>
                <w:rFonts w:cs="Arial"/>
                <w:i/>
                <w:sz w:val="16"/>
                <w:szCs w:val="16"/>
              </w:rPr>
              <w:t> </w:t>
            </w:r>
            <w:r w:rsidRPr="006D1EA0">
              <w:rPr>
                <w:rFonts w:cs="Arial"/>
                <w:i/>
                <w:sz w:val="16"/>
                <w:szCs w:val="16"/>
              </w:rPr>
              <w:t>2014/15:</w:t>
            </w:r>
            <w:r w:rsidRPr="006D1EA0">
              <w:rPr>
                <w:rFonts w:cs="Arial"/>
                <w:sz w:val="16"/>
                <w:szCs w:val="16"/>
              </w:rPr>
              <w:t xml:space="preserve">  </w:t>
            </w:r>
            <w:r>
              <w:rPr>
                <w:rFonts w:cs="Arial"/>
                <w:sz w:val="16"/>
                <w:szCs w:val="16"/>
              </w:rPr>
              <w:t>100%</w:t>
            </w:r>
          </w:p>
          <w:p w:rsidR="00F838C5" w:rsidRPr="006D1EA0" w:rsidRDefault="00F838C5" w:rsidP="001363EE">
            <w:pPr>
              <w:rPr>
                <w:rFonts w:cs="Arial"/>
                <w:i/>
                <w:color w:val="002060"/>
                <w:sz w:val="16"/>
                <w:szCs w:val="16"/>
              </w:rPr>
            </w:pPr>
          </w:p>
        </w:tc>
        <w:tc>
          <w:tcPr>
            <w:tcW w:w="983" w:type="pct"/>
            <w:tcBorders>
              <w:top w:val="nil"/>
              <w:bottom w:val="nil"/>
            </w:tcBorders>
            <w:shd w:val="clear" w:color="auto" w:fill="auto"/>
            <w:tcMar>
              <w:top w:w="110" w:type="dxa"/>
            </w:tcMar>
          </w:tcPr>
          <w:p w:rsidR="00F838C5" w:rsidRPr="006D1EA0" w:rsidRDefault="00F838C5" w:rsidP="001363EE">
            <w:pPr>
              <w:autoSpaceDE w:val="0"/>
              <w:autoSpaceDN w:val="0"/>
              <w:adjustRightInd w:val="0"/>
              <w:rPr>
                <w:rFonts w:cs="Arial"/>
                <w:sz w:val="16"/>
                <w:szCs w:val="16"/>
              </w:rPr>
            </w:pPr>
            <w:r>
              <w:rPr>
                <w:rFonts w:cs="Arial"/>
                <w:sz w:val="16"/>
                <w:szCs w:val="16"/>
              </w:rPr>
              <w:t>100%</w:t>
            </w:r>
          </w:p>
        </w:tc>
        <w:tc>
          <w:tcPr>
            <w:tcW w:w="1136" w:type="pct"/>
            <w:gridSpan w:val="2"/>
            <w:tcBorders>
              <w:top w:val="nil"/>
              <w:bottom w:val="nil"/>
            </w:tcBorders>
            <w:shd w:val="clear" w:color="auto" w:fill="FFFFFF"/>
            <w:tcMar>
              <w:top w:w="110" w:type="dxa"/>
            </w:tcMar>
          </w:tcPr>
          <w:p w:rsidR="00F838C5" w:rsidRDefault="00F838C5" w:rsidP="001363EE">
            <w:pPr>
              <w:rPr>
                <w:rFonts w:cs="Arial"/>
                <w:sz w:val="16"/>
                <w:szCs w:val="16"/>
              </w:rPr>
            </w:pPr>
            <w:r>
              <w:rPr>
                <w:rFonts w:cs="Arial"/>
                <w:sz w:val="16"/>
                <w:szCs w:val="16"/>
              </w:rPr>
              <w:t>100%. Eleven completed projects were independently evaluated and discussed by the CDIP in 2014/15:</w:t>
            </w:r>
          </w:p>
          <w:p w:rsidR="00F838C5" w:rsidRDefault="00F838C5" w:rsidP="00F838C5">
            <w:pPr>
              <w:pStyle w:val="ListParagraph"/>
              <w:numPr>
                <w:ilvl w:val="0"/>
                <w:numId w:val="61"/>
              </w:numPr>
              <w:rPr>
                <w:rFonts w:cs="Arial"/>
                <w:sz w:val="16"/>
                <w:szCs w:val="16"/>
              </w:rPr>
            </w:pPr>
            <w:r>
              <w:rPr>
                <w:rFonts w:cs="Arial"/>
                <w:sz w:val="16"/>
                <w:szCs w:val="16"/>
              </w:rPr>
              <w:t>8 in 2014</w:t>
            </w:r>
          </w:p>
          <w:p w:rsidR="00F838C5" w:rsidRPr="00D345EA" w:rsidRDefault="00F838C5" w:rsidP="00F838C5">
            <w:pPr>
              <w:pStyle w:val="ListParagraph"/>
              <w:numPr>
                <w:ilvl w:val="0"/>
                <w:numId w:val="61"/>
              </w:numPr>
              <w:rPr>
                <w:rFonts w:cs="Arial"/>
                <w:sz w:val="16"/>
                <w:szCs w:val="16"/>
              </w:rPr>
            </w:pPr>
            <w:r>
              <w:rPr>
                <w:rFonts w:cs="Arial"/>
                <w:sz w:val="16"/>
                <w:szCs w:val="16"/>
              </w:rPr>
              <w:t>3 in 2015</w:t>
            </w:r>
          </w:p>
        </w:tc>
        <w:tc>
          <w:tcPr>
            <w:tcW w:w="606" w:type="pct"/>
            <w:tcBorders>
              <w:top w:val="nil"/>
              <w:bottom w:val="nil"/>
              <w:right w:val="single" w:sz="4" w:space="0" w:color="auto"/>
            </w:tcBorders>
            <w:shd w:val="clear" w:color="auto" w:fill="auto"/>
            <w:tcMar>
              <w:top w:w="110" w:type="dxa"/>
            </w:tcMar>
          </w:tcPr>
          <w:p w:rsidR="00F838C5" w:rsidRPr="006D1EA0" w:rsidRDefault="00F838C5" w:rsidP="001363EE">
            <w:pPr>
              <w:keepNext/>
              <w:keepLines/>
              <w:jc w:val="center"/>
              <w:rPr>
                <w:rFonts w:cs="Arial"/>
                <w:b/>
                <w:bCs/>
                <w:color w:val="00B050"/>
                <w:sz w:val="16"/>
                <w:szCs w:val="16"/>
              </w:rPr>
            </w:pPr>
            <w:r>
              <w:rPr>
                <w:rFonts w:cs="Arial"/>
                <w:b/>
                <w:bCs/>
                <w:color w:val="00B050"/>
                <w:sz w:val="16"/>
                <w:szCs w:val="16"/>
              </w:rPr>
              <w:t>Fully Achieved</w:t>
            </w:r>
          </w:p>
        </w:tc>
      </w:tr>
      <w:tr w:rsidR="00F838C5" w:rsidRPr="006D1EA0" w:rsidTr="004D1375">
        <w:trPr>
          <w:cantSplit/>
        </w:trPr>
        <w:tc>
          <w:tcPr>
            <w:tcW w:w="5000" w:type="pct"/>
            <w:gridSpan w:val="6"/>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F838C5" w:rsidRPr="006D1EA0" w:rsidRDefault="00F838C5" w:rsidP="001363EE">
            <w:pPr>
              <w:keepNext/>
              <w:keepLines/>
              <w:tabs>
                <w:tab w:val="left" w:pos="1452"/>
              </w:tabs>
              <w:spacing w:before="120" w:after="120"/>
              <w:ind w:left="1452" w:hanging="1452"/>
              <w:rPr>
                <w:rFonts w:cs="Arial"/>
                <w:b/>
                <w:bCs/>
                <w:sz w:val="16"/>
                <w:szCs w:val="16"/>
              </w:rPr>
            </w:pPr>
            <w:r w:rsidRPr="006D1EA0">
              <w:rPr>
                <w:rFonts w:cs="Arial"/>
                <w:b/>
                <w:bCs/>
                <w:sz w:val="16"/>
                <w:szCs w:val="16"/>
              </w:rPr>
              <w:t>Expected Result:</w:t>
            </w:r>
            <w:r w:rsidRPr="006D1EA0">
              <w:rPr>
                <w:rFonts w:cs="Arial"/>
                <w:b/>
                <w:bCs/>
                <w:sz w:val="16"/>
                <w:szCs w:val="16"/>
              </w:rPr>
              <w:tab/>
            </w:r>
            <w:r w:rsidRPr="006D1EA0">
              <w:rPr>
                <w:rFonts w:cs="Arial"/>
                <w:sz w:val="16"/>
                <w:szCs w:val="16"/>
                <w:lang w:bidi="th-TH"/>
              </w:rPr>
              <w:t>III.5 Enhanced understanding of the DA by Member States, IGOs, civil society and other stakeholders</w:t>
            </w:r>
          </w:p>
        </w:tc>
      </w:tr>
      <w:tr w:rsidR="00F838C5" w:rsidRPr="006D1EA0" w:rsidTr="00BA6F3B">
        <w:trPr>
          <w:cantSplit/>
        </w:trPr>
        <w:tc>
          <w:tcPr>
            <w:tcW w:w="1139" w:type="pct"/>
            <w:tcBorders>
              <w:top w:val="single" w:sz="4" w:space="0" w:color="auto"/>
              <w:left w:val="single" w:sz="4" w:space="0" w:color="auto"/>
              <w:bottom w:val="nil"/>
            </w:tcBorders>
            <w:shd w:val="clear" w:color="auto" w:fill="auto"/>
            <w:vAlign w:val="center"/>
          </w:tcPr>
          <w:p w:rsidR="00F838C5" w:rsidRPr="006D1EA0" w:rsidRDefault="00F838C5" w:rsidP="001363EE">
            <w:pPr>
              <w:spacing w:after="40"/>
              <w:rPr>
                <w:rFonts w:cs="Arial"/>
                <w:sz w:val="16"/>
                <w:szCs w:val="16"/>
              </w:rPr>
            </w:pPr>
            <w:r w:rsidRPr="006D1EA0">
              <w:rPr>
                <w:rFonts w:cs="Arial"/>
                <w:b/>
                <w:bCs/>
                <w:sz w:val="16"/>
                <w:szCs w:val="16"/>
              </w:rPr>
              <w:t>Performance Indicators</w:t>
            </w:r>
          </w:p>
        </w:tc>
        <w:tc>
          <w:tcPr>
            <w:tcW w:w="1136" w:type="pct"/>
            <w:tcBorders>
              <w:top w:val="single" w:sz="4" w:space="0" w:color="auto"/>
              <w:bottom w:val="nil"/>
            </w:tcBorders>
            <w:shd w:val="clear" w:color="auto" w:fill="auto"/>
            <w:vAlign w:val="center"/>
          </w:tcPr>
          <w:p w:rsidR="00F838C5" w:rsidRPr="006D1EA0" w:rsidRDefault="00F838C5" w:rsidP="001363EE">
            <w:pPr>
              <w:spacing w:after="40"/>
              <w:rPr>
                <w:rFonts w:cs="Arial"/>
                <w:b/>
                <w:bCs/>
                <w:sz w:val="16"/>
                <w:szCs w:val="16"/>
              </w:rPr>
            </w:pPr>
            <w:r w:rsidRPr="006D1EA0">
              <w:rPr>
                <w:rFonts w:cs="Arial"/>
                <w:b/>
                <w:bCs/>
                <w:sz w:val="16"/>
                <w:szCs w:val="16"/>
              </w:rPr>
              <w:t>Baselines</w:t>
            </w:r>
          </w:p>
        </w:tc>
        <w:tc>
          <w:tcPr>
            <w:tcW w:w="1060" w:type="pct"/>
            <w:gridSpan w:val="2"/>
            <w:tcBorders>
              <w:top w:val="single" w:sz="4" w:space="0" w:color="auto"/>
              <w:bottom w:val="nil"/>
            </w:tcBorders>
            <w:shd w:val="clear" w:color="auto" w:fill="auto"/>
            <w:tcMar>
              <w:top w:w="110" w:type="dxa"/>
            </w:tcMar>
            <w:vAlign w:val="center"/>
          </w:tcPr>
          <w:p w:rsidR="00F838C5" w:rsidRPr="006D1EA0" w:rsidRDefault="00F838C5" w:rsidP="001363EE">
            <w:pPr>
              <w:spacing w:after="40"/>
              <w:rPr>
                <w:rFonts w:cs="Arial"/>
                <w:b/>
                <w:sz w:val="16"/>
                <w:szCs w:val="16"/>
              </w:rPr>
            </w:pPr>
            <w:r w:rsidRPr="006D1EA0">
              <w:rPr>
                <w:rFonts w:cs="Arial"/>
                <w:b/>
                <w:sz w:val="16"/>
                <w:szCs w:val="16"/>
              </w:rPr>
              <w:t>Targets</w:t>
            </w:r>
          </w:p>
        </w:tc>
        <w:tc>
          <w:tcPr>
            <w:tcW w:w="1059" w:type="pct"/>
            <w:tcBorders>
              <w:top w:val="single" w:sz="4" w:space="0" w:color="auto"/>
              <w:bottom w:val="nil"/>
            </w:tcBorders>
            <w:shd w:val="clear" w:color="auto" w:fill="FFFFFF"/>
            <w:tcMar>
              <w:top w:w="110" w:type="dxa"/>
            </w:tcMar>
            <w:vAlign w:val="center"/>
          </w:tcPr>
          <w:p w:rsidR="00F838C5" w:rsidRPr="006D1EA0" w:rsidRDefault="00F838C5" w:rsidP="001363EE">
            <w:pPr>
              <w:spacing w:after="40"/>
              <w:rPr>
                <w:rFonts w:cs="Arial"/>
                <w:sz w:val="16"/>
                <w:szCs w:val="16"/>
              </w:rPr>
            </w:pPr>
            <w:r w:rsidRPr="006D1EA0">
              <w:rPr>
                <w:rFonts w:cs="Arial"/>
                <w:b/>
                <w:bCs/>
                <w:sz w:val="16"/>
                <w:szCs w:val="16"/>
              </w:rPr>
              <w:t>Performance Data</w:t>
            </w:r>
          </w:p>
        </w:tc>
        <w:tc>
          <w:tcPr>
            <w:tcW w:w="606" w:type="pct"/>
            <w:tcBorders>
              <w:top w:val="single" w:sz="4" w:space="0" w:color="auto"/>
              <w:bottom w:val="nil"/>
              <w:right w:val="single" w:sz="4" w:space="0" w:color="auto"/>
            </w:tcBorders>
            <w:shd w:val="clear" w:color="auto" w:fill="auto"/>
            <w:tcMar>
              <w:top w:w="110" w:type="dxa"/>
            </w:tcMar>
            <w:vAlign w:val="center"/>
          </w:tcPr>
          <w:p w:rsidR="00F838C5" w:rsidRPr="006D1EA0" w:rsidRDefault="00F838C5" w:rsidP="001363EE">
            <w:pPr>
              <w:keepNext/>
              <w:keepLines/>
              <w:spacing w:after="40"/>
              <w:jc w:val="center"/>
              <w:rPr>
                <w:rFonts w:cs="Arial"/>
                <w:b/>
                <w:bCs/>
                <w:sz w:val="16"/>
                <w:szCs w:val="16"/>
              </w:rPr>
            </w:pPr>
            <w:r w:rsidRPr="006D1EA0">
              <w:rPr>
                <w:rFonts w:cs="Arial"/>
                <w:b/>
                <w:bCs/>
                <w:sz w:val="16"/>
                <w:szCs w:val="16"/>
              </w:rPr>
              <w:t>TLS</w:t>
            </w:r>
          </w:p>
        </w:tc>
      </w:tr>
      <w:tr w:rsidR="00F838C5" w:rsidRPr="006D1EA0" w:rsidTr="00BA6F3B">
        <w:trPr>
          <w:cantSplit/>
        </w:trPr>
        <w:tc>
          <w:tcPr>
            <w:tcW w:w="1139" w:type="pct"/>
            <w:tcBorders>
              <w:top w:val="nil"/>
              <w:left w:val="single" w:sz="4" w:space="0" w:color="auto"/>
              <w:bottom w:val="nil"/>
            </w:tcBorders>
            <w:shd w:val="clear" w:color="auto" w:fill="FFFFFF"/>
          </w:tcPr>
          <w:p w:rsidR="00F838C5" w:rsidRPr="006D1EA0" w:rsidRDefault="00F838C5" w:rsidP="001363EE">
            <w:pPr>
              <w:rPr>
                <w:rFonts w:cs="Arial"/>
                <w:sz w:val="16"/>
                <w:szCs w:val="16"/>
                <w:lang w:bidi="th-TH"/>
              </w:rPr>
            </w:pPr>
            <w:r w:rsidRPr="006D1EA0">
              <w:rPr>
                <w:rFonts w:cs="Arial"/>
                <w:sz w:val="16"/>
                <w:szCs w:val="16"/>
                <w:lang w:bidi="th-TH"/>
              </w:rPr>
              <w:t>No. of countries requesting technical assistance through DA projects and expressing interest in DA related activities</w:t>
            </w:r>
          </w:p>
        </w:tc>
        <w:tc>
          <w:tcPr>
            <w:tcW w:w="1136" w:type="pct"/>
            <w:tcBorders>
              <w:top w:val="nil"/>
              <w:bottom w:val="nil"/>
            </w:tcBorders>
            <w:shd w:val="clear" w:color="auto" w:fill="auto"/>
          </w:tcPr>
          <w:p w:rsidR="00F838C5" w:rsidRPr="006D1EA0" w:rsidRDefault="00F838C5" w:rsidP="001363EE">
            <w:pPr>
              <w:rPr>
                <w:rFonts w:cs="Arial"/>
                <w:color w:val="002060"/>
                <w:sz w:val="16"/>
                <w:szCs w:val="16"/>
                <w:lang w:bidi="th-TH"/>
              </w:rPr>
            </w:pPr>
            <w:r w:rsidRPr="006D1EA0">
              <w:rPr>
                <w:rFonts w:cs="Arial"/>
                <w:i/>
                <w:color w:val="002060"/>
                <w:sz w:val="16"/>
                <w:szCs w:val="16"/>
              </w:rPr>
              <w:t xml:space="preserve">Updated Baseline end 2013:  </w:t>
            </w:r>
            <w:r w:rsidRPr="00845557">
              <w:rPr>
                <w:rFonts w:cs="Arial"/>
                <w:color w:val="002060"/>
                <w:sz w:val="16"/>
                <w:szCs w:val="16"/>
                <w:lang w:bidi="th-TH"/>
              </w:rPr>
              <w:t xml:space="preserve">Projects and DA related activities in </w:t>
            </w:r>
            <w:r w:rsidRPr="00E77B4E">
              <w:rPr>
                <w:rFonts w:cs="Arial"/>
                <w:color w:val="002060"/>
                <w:sz w:val="16"/>
                <w:szCs w:val="16"/>
              </w:rPr>
              <w:t>50</w:t>
            </w:r>
            <w:r>
              <w:rPr>
                <w:rFonts w:cs="Arial"/>
                <w:color w:val="002060"/>
                <w:sz w:val="16"/>
                <w:szCs w:val="16"/>
              </w:rPr>
              <w:t> </w:t>
            </w:r>
            <w:r w:rsidRPr="00E77B4E">
              <w:rPr>
                <w:rFonts w:cs="Arial"/>
                <w:color w:val="002060"/>
                <w:sz w:val="16"/>
                <w:szCs w:val="16"/>
              </w:rPr>
              <w:t>countries</w:t>
            </w:r>
          </w:p>
          <w:p w:rsidR="00F838C5" w:rsidRPr="006D1EA0" w:rsidRDefault="00F838C5" w:rsidP="001363EE">
            <w:pPr>
              <w:rPr>
                <w:rFonts w:cs="Arial"/>
                <w:i/>
                <w:color w:val="002060"/>
                <w:sz w:val="16"/>
                <w:szCs w:val="16"/>
              </w:rPr>
            </w:pPr>
          </w:p>
          <w:p w:rsidR="00F838C5" w:rsidRPr="006D1EA0" w:rsidRDefault="00F838C5" w:rsidP="001363EE">
            <w:pPr>
              <w:rPr>
                <w:rFonts w:cs="Arial"/>
                <w:sz w:val="16"/>
                <w:szCs w:val="16"/>
                <w:lang w:bidi="th-TH"/>
              </w:rPr>
            </w:pPr>
            <w:r w:rsidRPr="006D1EA0">
              <w:rPr>
                <w:rFonts w:cs="Arial"/>
                <w:i/>
                <w:sz w:val="16"/>
                <w:szCs w:val="16"/>
              </w:rPr>
              <w:t>Original Baseline P&amp;B 2014/15:</w:t>
            </w:r>
            <w:r w:rsidRPr="006D1EA0">
              <w:rPr>
                <w:rFonts w:cs="Arial"/>
                <w:sz w:val="16"/>
                <w:szCs w:val="16"/>
              </w:rPr>
              <w:t xml:space="preserve">  Projects and DA related activities in 43 countries (April 2013)</w:t>
            </w:r>
          </w:p>
        </w:tc>
        <w:tc>
          <w:tcPr>
            <w:tcW w:w="1060" w:type="pct"/>
            <w:gridSpan w:val="2"/>
            <w:tcBorders>
              <w:top w:val="nil"/>
              <w:bottom w:val="nil"/>
            </w:tcBorders>
            <w:shd w:val="clear" w:color="auto" w:fill="auto"/>
            <w:tcMar>
              <w:top w:w="110" w:type="dxa"/>
            </w:tcMar>
          </w:tcPr>
          <w:p w:rsidR="00F838C5" w:rsidRPr="006D1EA0" w:rsidRDefault="00F838C5" w:rsidP="001363EE">
            <w:pPr>
              <w:rPr>
                <w:rFonts w:cs="Arial"/>
                <w:sz w:val="16"/>
                <w:szCs w:val="16"/>
                <w:lang w:bidi="th-TH"/>
              </w:rPr>
            </w:pPr>
            <w:r w:rsidRPr="00E77B4E">
              <w:rPr>
                <w:rFonts w:cs="Arial"/>
                <w:sz w:val="16"/>
                <w:szCs w:val="16"/>
                <w:lang w:bidi="th-TH"/>
              </w:rPr>
              <w:t>Projects and DA related activities in 50 countries</w:t>
            </w:r>
          </w:p>
        </w:tc>
        <w:tc>
          <w:tcPr>
            <w:tcW w:w="1059" w:type="pct"/>
            <w:tcBorders>
              <w:top w:val="nil"/>
              <w:bottom w:val="nil"/>
            </w:tcBorders>
            <w:shd w:val="clear" w:color="auto" w:fill="FFFFFF"/>
            <w:tcMar>
              <w:top w:w="110" w:type="dxa"/>
            </w:tcMar>
          </w:tcPr>
          <w:p w:rsidR="00F838C5" w:rsidRPr="006D1EA0" w:rsidRDefault="00F838C5">
            <w:pPr>
              <w:rPr>
                <w:rFonts w:cs="Arial"/>
                <w:sz w:val="16"/>
                <w:szCs w:val="16"/>
                <w:lang w:bidi="th-TH"/>
              </w:rPr>
            </w:pPr>
            <w:r>
              <w:rPr>
                <w:rFonts w:cs="Arial"/>
                <w:sz w:val="16"/>
                <w:szCs w:val="16"/>
                <w:lang w:bidi="th-TH"/>
              </w:rPr>
              <w:t xml:space="preserve">53 developing countries participated in DA projects. </w:t>
            </w:r>
          </w:p>
        </w:tc>
        <w:tc>
          <w:tcPr>
            <w:tcW w:w="606" w:type="pct"/>
            <w:tcBorders>
              <w:top w:val="nil"/>
              <w:bottom w:val="nil"/>
              <w:right w:val="single" w:sz="4" w:space="0" w:color="auto"/>
            </w:tcBorders>
            <w:shd w:val="clear" w:color="auto" w:fill="auto"/>
            <w:tcMar>
              <w:top w:w="110" w:type="dxa"/>
            </w:tcMar>
          </w:tcPr>
          <w:p w:rsidR="00F838C5" w:rsidRPr="006D1EA0" w:rsidRDefault="00F838C5" w:rsidP="001363EE">
            <w:pPr>
              <w:keepNext/>
              <w:keepLines/>
              <w:jc w:val="center"/>
              <w:rPr>
                <w:rFonts w:cs="Arial"/>
                <w:bCs/>
                <w:sz w:val="16"/>
                <w:szCs w:val="16"/>
              </w:rPr>
            </w:pPr>
            <w:r>
              <w:rPr>
                <w:rFonts w:cs="Arial"/>
                <w:b/>
                <w:bCs/>
                <w:color w:val="00B050"/>
                <w:sz w:val="16"/>
                <w:szCs w:val="16"/>
              </w:rPr>
              <w:t>Fully Achieved</w:t>
            </w:r>
          </w:p>
        </w:tc>
      </w:tr>
      <w:tr w:rsidR="00F838C5" w:rsidRPr="006D1EA0" w:rsidTr="00BA6F3B">
        <w:trPr>
          <w:cantSplit/>
        </w:trPr>
        <w:tc>
          <w:tcPr>
            <w:tcW w:w="1139" w:type="pct"/>
            <w:tcBorders>
              <w:top w:val="nil"/>
              <w:left w:val="single" w:sz="4" w:space="0" w:color="auto"/>
              <w:bottom w:val="single" w:sz="4" w:space="0" w:color="auto"/>
            </w:tcBorders>
            <w:shd w:val="clear" w:color="auto" w:fill="auto"/>
          </w:tcPr>
          <w:p w:rsidR="00F838C5" w:rsidRPr="006D1EA0" w:rsidRDefault="00F838C5" w:rsidP="001363EE">
            <w:pPr>
              <w:rPr>
                <w:rFonts w:cs="Arial"/>
                <w:sz w:val="16"/>
                <w:szCs w:val="16"/>
                <w:lang w:bidi="th-TH"/>
              </w:rPr>
            </w:pPr>
            <w:r w:rsidRPr="006D1EA0">
              <w:rPr>
                <w:rFonts w:cs="Arial"/>
                <w:sz w:val="16"/>
                <w:szCs w:val="16"/>
                <w:lang w:bidi="th-TH"/>
              </w:rPr>
              <w:t>% of participants in WIPO meetings (Member States, IGOs, civil society and other stakeholders) satisfied with information received on the DA recommendations</w:t>
            </w:r>
          </w:p>
        </w:tc>
        <w:tc>
          <w:tcPr>
            <w:tcW w:w="1136" w:type="pct"/>
            <w:tcBorders>
              <w:top w:val="nil"/>
              <w:bottom w:val="single" w:sz="4" w:space="0" w:color="auto"/>
            </w:tcBorders>
            <w:shd w:val="clear" w:color="auto" w:fill="auto"/>
          </w:tcPr>
          <w:p w:rsidR="00F838C5" w:rsidRPr="006D1EA0" w:rsidRDefault="00F838C5" w:rsidP="001363EE">
            <w:pPr>
              <w:rPr>
                <w:rFonts w:cs="Arial"/>
                <w:sz w:val="16"/>
                <w:szCs w:val="16"/>
                <w:lang w:bidi="th-TH"/>
              </w:rPr>
            </w:pPr>
            <w:r w:rsidRPr="006D1EA0">
              <w:rPr>
                <w:rFonts w:cs="Arial"/>
                <w:sz w:val="16"/>
                <w:szCs w:val="16"/>
              </w:rPr>
              <w:t>n/a</w:t>
            </w:r>
          </w:p>
        </w:tc>
        <w:tc>
          <w:tcPr>
            <w:tcW w:w="1060" w:type="pct"/>
            <w:gridSpan w:val="2"/>
            <w:tcBorders>
              <w:top w:val="nil"/>
              <w:bottom w:val="single" w:sz="4" w:space="0" w:color="auto"/>
            </w:tcBorders>
            <w:shd w:val="clear" w:color="auto" w:fill="auto"/>
            <w:tcMar>
              <w:top w:w="110" w:type="dxa"/>
            </w:tcMar>
          </w:tcPr>
          <w:p w:rsidR="00F838C5" w:rsidRPr="006D1EA0" w:rsidRDefault="00F838C5" w:rsidP="001363EE">
            <w:pPr>
              <w:rPr>
                <w:rFonts w:cs="Arial"/>
                <w:sz w:val="16"/>
                <w:szCs w:val="16"/>
                <w:lang w:bidi="th-TH"/>
              </w:rPr>
            </w:pPr>
            <w:r w:rsidRPr="006D1EA0">
              <w:rPr>
                <w:rFonts w:cs="Arial"/>
                <w:sz w:val="16"/>
                <w:szCs w:val="16"/>
                <w:lang w:bidi="th-TH"/>
              </w:rPr>
              <w:t>80%</w:t>
            </w:r>
          </w:p>
        </w:tc>
        <w:tc>
          <w:tcPr>
            <w:tcW w:w="1059" w:type="pct"/>
            <w:tcBorders>
              <w:top w:val="nil"/>
              <w:bottom w:val="single" w:sz="4" w:space="0" w:color="auto"/>
            </w:tcBorders>
            <w:shd w:val="clear" w:color="auto" w:fill="FFFFFF"/>
            <w:tcMar>
              <w:top w:w="110" w:type="dxa"/>
            </w:tcMar>
          </w:tcPr>
          <w:p w:rsidR="00F838C5" w:rsidRPr="006D1EA0" w:rsidRDefault="00F838C5" w:rsidP="001363EE">
            <w:pPr>
              <w:rPr>
                <w:rFonts w:cs="Arial"/>
                <w:sz w:val="16"/>
                <w:szCs w:val="16"/>
                <w:lang w:bidi="th-TH"/>
              </w:rPr>
            </w:pPr>
            <w:r>
              <w:rPr>
                <w:rFonts w:cs="Arial"/>
                <w:sz w:val="16"/>
                <w:szCs w:val="16"/>
                <w:lang w:bidi="th-TH"/>
              </w:rPr>
              <w:t>78.57%</w:t>
            </w:r>
          </w:p>
        </w:tc>
        <w:tc>
          <w:tcPr>
            <w:tcW w:w="606" w:type="pct"/>
            <w:tcBorders>
              <w:top w:val="nil"/>
              <w:bottom w:val="single" w:sz="4" w:space="0" w:color="auto"/>
              <w:right w:val="single" w:sz="4" w:space="0" w:color="auto"/>
            </w:tcBorders>
            <w:shd w:val="clear" w:color="auto" w:fill="auto"/>
          </w:tcPr>
          <w:p w:rsidR="00F838C5" w:rsidRPr="006D1EA0" w:rsidRDefault="00F838C5" w:rsidP="001363EE">
            <w:pPr>
              <w:keepNext/>
              <w:keepLines/>
              <w:jc w:val="center"/>
              <w:rPr>
                <w:rFonts w:cs="Arial"/>
                <w:b/>
                <w:bCs/>
                <w:color w:val="808080"/>
                <w:sz w:val="16"/>
                <w:szCs w:val="16"/>
              </w:rPr>
            </w:pPr>
            <w:r>
              <w:rPr>
                <w:rFonts w:cs="Arial"/>
                <w:b/>
                <w:bCs/>
                <w:color w:val="00B050"/>
                <w:sz w:val="16"/>
                <w:szCs w:val="16"/>
              </w:rPr>
              <w:t>Fully Achieved</w:t>
            </w:r>
          </w:p>
        </w:tc>
      </w:tr>
    </w:tbl>
    <w:p w:rsidR="00F838C5" w:rsidRPr="006D1EA0" w:rsidRDefault="00F838C5" w:rsidP="001363EE">
      <w:pPr>
        <w:jc w:val="both"/>
        <w:rPr>
          <w:rFonts w:cs="Arial"/>
          <w:bCs/>
          <w:szCs w:val="20"/>
        </w:rPr>
      </w:pPr>
    </w:p>
    <w:p w:rsidR="00F838C5" w:rsidRPr="006D1EA0" w:rsidRDefault="00F838C5" w:rsidP="001363EE">
      <w:pPr>
        <w:jc w:val="both"/>
        <w:rPr>
          <w:rFonts w:cs="Arial"/>
          <w:color w:val="000000"/>
          <w:szCs w:val="20"/>
        </w:rPr>
      </w:pPr>
    </w:p>
    <w:p w:rsidR="00F838C5" w:rsidRPr="001E4646" w:rsidRDefault="00F838C5" w:rsidP="001363EE">
      <w:pPr>
        <w:keepNext/>
        <w:keepLines/>
        <w:rPr>
          <w:rFonts w:cs="Arial"/>
          <w:color w:val="000000"/>
          <w:szCs w:val="22"/>
        </w:rPr>
      </w:pPr>
      <w:r w:rsidRPr="001E4646">
        <w:rPr>
          <w:rFonts w:cs="Arial"/>
          <w:color w:val="000000"/>
          <w:szCs w:val="22"/>
        </w:rPr>
        <w:lastRenderedPageBreak/>
        <w:t>RISK REPORTING FOR THE BIENNIUM</w:t>
      </w:r>
    </w:p>
    <w:p w:rsidR="00F838C5" w:rsidRPr="00401C84" w:rsidRDefault="00F838C5" w:rsidP="001363EE">
      <w:pPr>
        <w:keepNext/>
        <w:keepLines/>
        <w:rPr>
          <w:b/>
        </w:rPr>
      </w:pPr>
    </w:p>
    <w:tbl>
      <w:tblPr>
        <w:tblW w:w="0" w:type="auto"/>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2349"/>
        <w:gridCol w:w="2149"/>
        <w:gridCol w:w="2222"/>
        <w:gridCol w:w="147"/>
        <w:gridCol w:w="2489"/>
      </w:tblGrid>
      <w:tr w:rsidR="00F838C5" w:rsidRPr="003C527B" w:rsidTr="004D1375">
        <w:trPr>
          <w:trHeight w:val="564"/>
        </w:trPr>
        <w:tc>
          <w:tcPr>
            <w:tcW w:w="2349" w:type="dxa"/>
            <w:tcBorders>
              <w:top w:val="single" w:sz="4" w:space="0" w:color="auto"/>
              <w:bottom w:val="single" w:sz="4" w:space="0" w:color="auto"/>
            </w:tcBorders>
            <w:shd w:val="clear" w:color="auto" w:fill="C6D9F1" w:themeFill="text2" w:themeFillTint="33"/>
            <w:vAlign w:val="center"/>
          </w:tcPr>
          <w:p w:rsidR="00F838C5" w:rsidRPr="003C527B" w:rsidRDefault="00F838C5" w:rsidP="001363EE">
            <w:pPr>
              <w:keepNext/>
              <w:keepLines/>
              <w:autoSpaceDE w:val="0"/>
              <w:autoSpaceDN w:val="0"/>
              <w:adjustRightInd w:val="0"/>
              <w:ind w:right="-59"/>
              <w:jc w:val="center"/>
              <w:rPr>
                <w:b/>
                <w:bCs/>
                <w:iCs/>
                <w:sz w:val="18"/>
                <w:szCs w:val="18"/>
              </w:rPr>
            </w:pPr>
            <w:r w:rsidRPr="003C527B">
              <w:rPr>
                <w:b/>
                <w:bCs/>
                <w:iCs/>
                <w:sz w:val="18"/>
                <w:szCs w:val="18"/>
              </w:rPr>
              <w:t>Risk(s) to the Program achieving its Results</w:t>
            </w:r>
          </w:p>
        </w:tc>
        <w:tc>
          <w:tcPr>
            <w:tcW w:w="2149" w:type="dxa"/>
            <w:tcBorders>
              <w:top w:val="single" w:sz="4" w:space="0" w:color="auto"/>
              <w:bottom w:val="single" w:sz="4" w:space="0" w:color="auto"/>
            </w:tcBorders>
            <w:shd w:val="clear" w:color="auto" w:fill="C6D9F1" w:themeFill="text2" w:themeFillTint="33"/>
            <w:vAlign w:val="center"/>
          </w:tcPr>
          <w:p w:rsidR="00F838C5" w:rsidRPr="003C527B" w:rsidRDefault="00F838C5" w:rsidP="001363EE">
            <w:pPr>
              <w:keepNext/>
              <w:keepLines/>
              <w:autoSpaceDE w:val="0"/>
              <w:autoSpaceDN w:val="0"/>
              <w:adjustRightInd w:val="0"/>
              <w:ind w:right="-59"/>
              <w:jc w:val="center"/>
              <w:rPr>
                <w:b/>
                <w:bCs/>
                <w:iCs/>
                <w:sz w:val="18"/>
                <w:szCs w:val="18"/>
              </w:rPr>
            </w:pPr>
            <w:r w:rsidRPr="003C527B">
              <w:rPr>
                <w:b/>
                <w:bCs/>
                <w:iCs/>
                <w:sz w:val="18"/>
                <w:szCs w:val="18"/>
              </w:rPr>
              <w:t xml:space="preserve">Mitigation plans in place or under implementation </w:t>
            </w:r>
          </w:p>
        </w:tc>
        <w:tc>
          <w:tcPr>
            <w:tcW w:w="2369" w:type="dxa"/>
            <w:gridSpan w:val="2"/>
            <w:tcBorders>
              <w:top w:val="single" w:sz="4" w:space="0" w:color="auto"/>
              <w:bottom w:val="single" w:sz="4" w:space="0" w:color="auto"/>
            </w:tcBorders>
            <w:shd w:val="clear" w:color="auto" w:fill="C6D9F1" w:themeFill="text2" w:themeFillTint="33"/>
          </w:tcPr>
          <w:p w:rsidR="00F838C5" w:rsidRPr="003C527B" w:rsidRDefault="00F838C5" w:rsidP="001363EE">
            <w:pPr>
              <w:keepNext/>
              <w:keepLines/>
              <w:jc w:val="center"/>
              <w:rPr>
                <w:b/>
                <w:bCs/>
                <w:sz w:val="18"/>
                <w:szCs w:val="18"/>
              </w:rPr>
            </w:pPr>
            <w:r>
              <w:rPr>
                <w:b/>
                <w:bCs/>
                <w:sz w:val="18"/>
                <w:szCs w:val="18"/>
              </w:rPr>
              <w:t>Evolution of Risk(s) and Mitigation Strategies Over the Biennium</w:t>
            </w:r>
          </w:p>
        </w:tc>
        <w:tc>
          <w:tcPr>
            <w:tcW w:w="2489" w:type="dxa"/>
            <w:tcBorders>
              <w:top w:val="single" w:sz="4" w:space="0" w:color="auto"/>
              <w:bottom w:val="single" w:sz="4" w:space="0" w:color="auto"/>
            </w:tcBorders>
            <w:shd w:val="clear" w:color="auto" w:fill="C6D9F1" w:themeFill="text2" w:themeFillTint="33"/>
          </w:tcPr>
          <w:p w:rsidR="00F838C5" w:rsidRPr="003C527B" w:rsidRDefault="00F838C5" w:rsidP="001363EE">
            <w:pPr>
              <w:keepNext/>
              <w:keepLines/>
              <w:jc w:val="center"/>
              <w:rPr>
                <w:b/>
                <w:bCs/>
                <w:sz w:val="18"/>
                <w:szCs w:val="18"/>
              </w:rPr>
            </w:pPr>
            <w:r>
              <w:rPr>
                <w:b/>
                <w:bCs/>
                <w:sz w:val="18"/>
                <w:szCs w:val="18"/>
              </w:rPr>
              <w:t>Impact on the Program’s Performance</w:t>
            </w:r>
          </w:p>
        </w:tc>
      </w:tr>
      <w:tr w:rsidR="00F838C5" w:rsidRPr="003C527B" w:rsidTr="004D1375">
        <w:trPr>
          <w:trHeight w:val="838"/>
        </w:trPr>
        <w:tc>
          <w:tcPr>
            <w:tcW w:w="2349" w:type="dxa"/>
            <w:tcBorders>
              <w:top w:val="single" w:sz="4" w:space="0" w:color="auto"/>
            </w:tcBorders>
            <w:shd w:val="clear" w:color="auto" w:fill="auto"/>
            <w:tcMar>
              <w:top w:w="113" w:type="dxa"/>
              <w:bottom w:w="85" w:type="dxa"/>
            </w:tcMar>
          </w:tcPr>
          <w:p w:rsidR="00F838C5" w:rsidRPr="003C527B" w:rsidRDefault="00F838C5" w:rsidP="001363EE">
            <w:pPr>
              <w:keepNext/>
              <w:keepLines/>
              <w:autoSpaceDE w:val="0"/>
              <w:autoSpaceDN w:val="0"/>
              <w:adjustRightInd w:val="0"/>
              <w:ind w:right="-59"/>
              <w:rPr>
                <w:sz w:val="16"/>
                <w:szCs w:val="16"/>
              </w:rPr>
            </w:pPr>
            <w:r>
              <w:rPr>
                <w:sz w:val="16"/>
                <w:szCs w:val="16"/>
              </w:rPr>
              <w:t>F</w:t>
            </w:r>
            <w:r w:rsidRPr="003C527B">
              <w:rPr>
                <w:sz w:val="16"/>
                <w:szCs w:val="16"/>
              </w:rPr>
              <w:t xml:space="preserve">ailure to follow up systematically on the </w:t>
            </w:r>
            <w:r>
              <w:rPr>
                <w:sz w:val="16"/>
                <w:szCs w:val="16"/>
              </w:rPr>
              <w:t xml:space="preserve">DA </w:t>
            </w:r>
            <w:r w:rsidRPr="003C527B">
              <w:rPr>
                <w:sz w:val="16"/>
                <w:szCs w:val="16"/>
              </w:rPr>
              <w:t xml:space="preserve">recommendations and implement </w:t>
            </w:r>
            <w:r>
              <w:rPr>
                <w:sz w:val="16"/>
                <w:szCs w:val="16"/>
              </w:rPr>
              <w:t xml:space="preserve">them </w:t>
            </w:r>
            <w:r w:rsidRPr="003C527B">
              <w:rPr>
                <w:sz w:val="16"/>
                <w:szCs w:val="16"/>
              </w:rPr>
              <w:t xml:space="preserve">could result in lost opportunities and insufficient focus on the “lessons learnt”. </w:t>
            </w:r>
          </w:p>
        </w:tc>
        <w:tc>
          <w:tcPr>
            <w:tcW w:w="2149" w:type="dxa"/>
            <w:tcBorders>
              <w:top w:val="single" w:sz="4" w:space="0" w:color="auto"/>
            </w:tcBorders>
            <w:shd w:val="clear" w:color="auto" w:fill="auto"/>
            <w:tcMar>
              <w:top w:w="113" w:type="dxa"/>
              <w:bottom w:w="85" w:type="dxa"/>
            </w:tcMar>
          </w:tcPr>
          <w:p w:rsidR="00F838C5" w:rsidRPr="003C527B" w:rsidRDefault="00F838C5" w:rsidP="001363EE">
            <w:pPr>
              <w:keepNext/>
              <w:keepLines/>
              <w:autoSpaceDE w:val="0"/>
              <w:autoSpaceDN w:val="0"/>
              <w:adjustRightInd w:val="0"/>
              <w:ind w:right="-59"/>
              <w:rPr>
                <w:sz w:val="16"/>
                <w:szCs w:val="16"/>
              </w:rPr>
            </w:pPr>
            <w:r w:rsidRPr="003C527B">
              <w:rPr>
                <w:sz w:val="16"/>
                <w:szCs w:val="16"/>
              </w:rPr>
              <w:t xml:space="preserve">An enhanced and rigorous follow-up by DA Coordination Division on the implementation of the </w:t>
            </w:r>
            <w:r>
              <w:rPr>
                <w:sz w:val="16"/>
                <w:szCs w:val="16"/>
              </w:rPr>
              <w:t xml:space="preserve">DA </w:t>
            </w:r>
            <w:r w:rsidRPr="003C527B">
              <w:rPr>
                <w:sz w:val="16"/>
                <w:szCs w:val="16"/>
              </w:rPr>
              <w:t>recommendations.</w:t>
            </w:r>
          </w:p>
        </w:tc>
        <w:tc>
          <w:tcPr>
            <w:tcW w:w="2222" w:type="dxa"/>
            <w:tcBorders>
              <w:top w:val="single" w:sz="4" w:space="0" w:color="auto"/>
            </w:tcBorders>
          </w:tcPr>
          <w:p w:rsidR="00F838C5" w:rsidRPr="003C527B" w:rsidRDefault="00F838C5" w:rsidP="001363EE">
            <w:pPr>
              <w:keepNext/>
              <w:keepLines/>
              <w:autoSpaceDE w:val="0"/>
              <w:autoSpaceDN w:val="0"/>
              <w:adjustRightInd w:val="0"/>
              <w:ind w:right="-59"/>
              <w:rPr>
                <w:sz w:val="16"/>
                <w:szCs w:val="16"/>
              </w:rPr>
            </w:pPr>
            <w:r>
              <w:rPr>
                <w:sz w:val="16"/>
                <w:szCs w:val="16"/>
              </w:rPr>
              <w:t>The mitigation strategies were implemented fully and ensured that the risk did not materialize.</w:t>
            </w:r>
          </w:p>
        </w:tc>
        <w:tc>
          <w:tcPr>
            <w:tcW w:w="2636" w:type="dxa"/>
            <w:gridSpan w:val="2"/>
            <w:tcBorders>
              <w:top w:val="single" w:sz="4" w:space="0" w:color="auto"/>
            </w:tcBorders>
          </w:tcPr>
          <w:p w:rsidR="00F838C5" w:rsidRPr="003C527B" w:rsidRDefault="00F838C5" w:rsidP="001363EE">
            <w:pPr>
              <w:keepNext/>
              <w:keepLines/>
              <w:autoSpaceDE w:val="0"/>
              <w:autoSpaceDN w:val="0"/>
              <w:adjustRightInd w:val="0"/>
              <w:ind w:right="-59"/>
              <w:rPr>
                <w:sz w:val="16"/>
                <w:szCs w:val="16"/>
              </w:rPr>
            </w:pPr>
            <w:r>
              <w:rPr>
                <w:sz w:val="16"/>
                <w:szCs w:val="16"/>
                <w:lang w:eastAsia="zh-CN"/>
              </w:rPr>
              <w:t>This risk and its evolution did not have any material impact on the Program’s performance in 2014/15.</w:t>
            </w:r>
          </w:p>
        </w:tc>
      </w:tr>
    </w:tbl>
    <w:p w:rsidR="00F838C5" w:rsidRDefault="00F838C5" w:rsidP="001363EE"/>
    <w:p w:rsidR="00F838C5" w:rsidRDefault="00F838C5" w:rsidP="001363EE">
      <w:pPr>
        <w:jc w:val="both"/>
        <w:rPr>
          <w:rFonts w:cs="Arial"/>
          <w:color w:val="000000"/>
          <w:sz w:val="22"/>
          <w:szCs w:val="20"/>
        </w:rPr>
      </w:pPr>
    </w:p>
    <w:p w:rsidR="00F838C5" w:rsidRPr="001E4646" w:rsidRDefault="00F838C5" w:rsidP="001363EE">
      <w:pPr>
        <w:jc w:val="both"/>
        <w:rPr>
          <w:rFonts w:cs="Arial"/>
          <w:b/>
          <w:szCs w:val="20"/>
        </w:rPr>
      </w:pPr>
      <w:r w:rsidRPr="001E4646">
        <w:rPr>
          <w:rFonts w:cs="Arial"/>
          <w:color w:val="000000"/>
          <w:szCs w:val="20"/>
        </w:rPr>
        <w:t>RESOURCE UTILIZATION</w:t>
      </w:r>
    </w:p>
    <w:p w:rsidR="00F838C5" w:rsidRPr="006D1EA0" w:rsidRDefault="00F838C5" w:rsidP="001363EE">
      <w:pPr>
        <w:jc w:val="both"/>
        <w:rPr>
          <w:rFonts w:cs="Arial"/>
          <w:szCs w:val="20"/>
        </w:rPr>
      </w:pPr>
    </w:p>
    <w:p w:rsidR="00F838C5" w:rsidRDefault="00F838C5" w:rsidP="001363EE">
      <w:pPr>
        <w:pStyle w:val="NormalWeb"/>
        <w:spacing w:before="0" w:beforeAutospacing="0" w:after="0" w:afterAutospacing="0"/>
        <w:jc w:val="center"/>
        <w:rPr>
          <w:color w:val="000000"/>
          <w:sz w:val="20"/>
          <w:szCs w:val="20"/>
        </w:rPr>
      </w:pPr>
    </w:p>
    <w:p w:rsidR="00F838C5" w:rsidRPr="006D1EA0" w:rsidRDefault="00F838C5" w:rsidP="001363EE">
      <w:pPr>
        <w:pStyle w:val="NormalWeb"/>
        <w:spacing w:before="0" w:beforeAutospacing="0" w:after="0" w:afterAutospacing="0"/>
        <w:jc w:val="center"/>
        <w:rPr>
          <w:sz w:val="20"/>
          <w:szCs w:val="20"/>
        </w:rPr>
      </w:pPr>
      <w:r w:rsidRPr="006D1EA0">
        <w:rPr>
          <w:color w:val="000000"/>
          <w:sz w:val="20"/>
          <w:szCs w:val="20"/>
        </w:rPr>
        <w:t>Budget and Actual Expenditure (by result)</w:t>
      </w:r>
    </w:p>
    <w:p w:rsidR="00F838C5" w:rsidRPr="006D1EA0" w:rsidRDefault="00F838C5" w:rsidP="001363EE">
      <w:pPr>
        <w:pStyle w:val="NormalWeb"/>
        <w:spacing w:before="0" w:beforeAutospacing="0" w:after="0" w:afterAutospacing="0"/>
        <w:jc w:val="center"/>
        <w:rPr>
          <w:i/>
          <w:iCs/>
          <w:color w:val="000000"/>
          <w:sz w:val="20"/>
          <w:szCs w:val="20"/>
        </w:rPr>
      </w:pPr>
      <w:r w:rsidRPr="006D1EA0">
        <w:rPr>
          <w:i/>
          <w:iCs/>
          <w:color w:val="000000"/>
          <w:sz w:val="20"/>
          <w:szCs w:val="20"/>
        </w:rPr>
        <w:t>(in thousands of Swiss francs)</w:t>
      </w:r>
    </w:p>
    <w:p w:rsidR="00F838C5" w:rsidRPr="006D1EA0" w:rsidRDefault="00F838C5" w:rsidP="001363EE">
      <w:pPr>
        <w:jc w:val="center"/>
        <w:rPr>
          <w:rFonts w:cs="Arial"/>
          <w:szCs w:val="20"/>
        </w:rPr>
      </w:pPr>
    </w:p>
    <w:p w:rsidR="00F838C5" w:rsidRPr="006D1EA0" w:rsidRDefault="00F838C5" w:rsidP="001363EE">
      <w:pPr>
        <w:jc w:val="center"/>
        <w:rPr>
          <w:rFonts w:cs="Arial"/>
          <w:szCs w:val="20"/>
        </w:rPr>
      </w:pPr>
      <w:r w:rsidRPr="00BD48B2">
        <w:rPr>
          <w:noProof/>
        </w:rPr>
        <w:drawing>
          <wp:inline distT="0" distB="0" distL="0" distR="0" wp14:anchorId="1E1E1899" wp14:editId="03A27AEE">
            <wp:extent cx="4716000" cy="1151332"/>
            <wp:effectExtent l="0" t="0" r="8890" b="0"/>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4717041" cy="1151586"/>
                    </a:xfrm>
                    <a:prstGeom prst="rect">
                      <a:avLst/>
                    </a:prstGeom>
                    <a:noFill/>
                    <a:ln>
                      <a:noFill/>
                    </a:ln>
                  </pic:spPr>
                </pic:pic>
              </a:graphicData>
            </a:graphic>
          </wp:inline>
        </w:drawing>
      </w:r>
    </w:p>
    <w:p w:rsidR="00F838C5" w:rsidRPr="006D1EA0" w:rsidRDefault="00F838C5" w:rsidP="001363EE">
      <w:pPr>
        <w:jc w:val="both"/>
        <w:rPr>
          <w:rFonts w:cs="Arial"/>
          <w:szCs w:val="20"/>
        </w:rPr>
      </w:pPr>
    </w:p>
    <w:p w:rsidR="00F838C5" w:rsidRDefault="00F838C5" w:rsidP="001363EE">
      <w:pPr>
        <w:pStyle w:val="NormalWeb"/>
        <w:keepNext/>
        <w:keepLines/>
        <w:spacing w:before="0" w:beforeAutospacing="0" w:after="0" w:afterAutospacing="0"/>
        <w:jc w:val="center"/>
        <w:rPr>
          <w:color w:val="000000"/>
          <w:sz w:val="20"/>
          <w:szCs w:val="20"/>
        </w:rPr>
      </w:pPr>
    </w:p>
    <w:p w:rsidR="00F838C5" w:rsidRPr="006D1EA0" w:rsidRDefault="00F838C5" w:rsidP="001363EE">
      <w:pPr>
        <w:pStyle w:val="NormalWeb"/>
        <w:keepNext/>
        <w:keepLines/>
        <w:spacing w:before="0" w:beforeAutospacing="0" w:after="0" w:afterAutospacing="0"/>
        <w:jc w:val="center"/>
        <w:rPr>
          <w:sz w:val="20"/>
          <w:szCs w:val="20"/>
        </w:rPr>
      </w:pPr>
      <w:r w:rsidRPr="006D1EA0">
        <w:rPr>
          <w:color w:val="000000"/>
          <w:sz w:val="20"/>
          <w:szCs w:val="20"/>
        </w:rPr>
        <w:t>Budget and Actual Expenditure (personnel and non-personnel)</w:t>
      </w:r>
    </w:p>
    <w:p w:rsidR="00F838C5" w:rsidRPr="006D1EA0" w:rsidRDefault="00F838C5" w:rsidP="001363EE">
      <w:pPr>
        <w:pStyle w:val="NormalWeb"/>
        <w:keepNext/>
        <w:keepLines/>
        <w:spacing w:before="0" w:beforeAutospacing="0" w:after="0" w:afterAutospacing="0"/>
        <w:jc w:val="center"/>
        <w:rPr>
          <w:i/>
          <w:iCs/>
          <w:color w:val="000000"/>
          <w:sz w:val="20"/>
          <w:szCs w:val="20"/>
        </w:rPr>
      </w:pPr>
      <w:r w:rsidRPr="006D1EA0">
        <w:rPr>
          <w:i/>
          <w:iCs/>
          <w:color w:val="000000"/>
          <w:sz w:val="20"/>
          <w:szCs w:val="20"/>
        </w:rPr>
        <w:t>(in thousands of Swiss francs)</w:t>
      </w:r>
    </w:p>
    <w:p w:rsidR="00F838C5" w:rsidRPr="006D1EA0" w:rsidRDefault="00F838C5" w:rsidP="001363EE">
      <w:pPr>
        <w:pStyle w:val="NormalWeb"/>
        <w:keepNext/>
        <w:keepLines/>
        <w:spacing w:before="0" w:beforeAutospacing="0" w:after="0" w:afterAutospacing="0"/>
        <w:jc w:val="center"/>
        <w:rPr>
          <w:sz w:val="20"/>
          <w:szCs w:val="20"/>
        </w:rPr>
      </w:pPr>
    </w:p>
    <w:p w:rsidR="00F838C5" w:rsidRPr="006D1EA0" w:rsidRDefault="00F838C5" w:rsidP="001363EE">
      <w:pPr>
        <w:widowControl w:val="0"/>
        <w:autoSpaceDE w:val="0"/>
        <w:autoSpaceDN w:val="0"/>
        <w:adjustRightInd w:val="0"/>
        <w:jc w:val="center"/>
        <w:rPr>
          <w:rFonts w:cs="Arial"/>
          <w:szCs w:val="20"/>
        </w:rPr>
      </w:pPr>
      <w:r w:rsidRPr="00BD48B2">
        <w:rPr>
          <w:noProof/>
        </w:rPr>
        <w:drawing>
          <wp:inline distT="0" distB="0" distL="0" distR="0" wp14:anchorId="0B52ABAB" wp14:editId="7D90833A">
            <wp:extent cx="4687200" cy="923792"/>
            <wp:effectExtent l="0" t="0" r="0" b="0"/>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4684361" cy="923232"/>
                    </a:xfrm>
                    <a:prstGeom prst="rect">
                      <a:avLst/>
                    </a:prstGeom>
                    <a:noFill/>
                    <a:ln>
                      <a:noFill/>
                    </a:ln>
                  </pic:spPr>
                </pic:pic>
              </a:graphicData>
            </a:graphic>
          </wp:inline>
        </w:drawing>
      </w:r>
    </w:p>
    <w:p w:rsidR="00F838C5" w:rsidRDefault="00F838C5" w:rsidP="001363EE">
      <w:pPr>
        <w:widowControl w:val="0"/>
        <w:autoSpaceDE w:val="0"/>
        <w:autoSpaceDN w:val="0"/>
        <w:adjustRightInd w:val="0"/>
        <w:jc w:val="both"/>
        <w:rPr>
          <w:rFonts w:cs="Arial"/>
          <w:szCs w:val="20"/>
        </w:rPr>
      </w:pPr>
    </w:p>
    <w:p w:rsidR="00F838C5" w:rsidRDefault="00F838C5" w:rsidP="001363EE">
      <w:pPr>
        <w:widowControl w:val="0"/>
        <w:autoSpaceDE w:val="0"/>
        <w:autoSpaceDN w:val="0"/>
        <w:adjustRightInd w:val="0"/>
        <w:jc w:val="both"/>
        <w:rPr>
          <w:rFonts w:cs="Arial"/>
          <w:szCs w:val="20"/>
        </w:rPr>
      </w:pPr>
    </w:p>
    <w:p w:rsidR="00F838C5" w:rsidRDefault="00F838C5" w:rsidP="001363EE">
      <w:pPr>
        <w:jc w:val="both"/>
      </w:pPr>
      <w:r w:rsidRPr="00420F90">
        <w:rPr>
          <w:rFonts w:cs="Arial"/>
          <w:szCs w:val="20"/>
        </w:rPr>
        <w:t>A.</w:t>
      </w:r>
      <w:r w:rsidRPr="00420F90">
        <w:rPr>
          <w:rFonts w:cs="Arial"/>
        </w:rPr>
        <w:tab/>
      </w:r>
      <w:r>
        <w:rPr>
          <w:u w:val="single"/>
        </w:rPr>
        <w:t xml:space="preserve">2014/15 Final Budget after Transfers </w:t>
      </w:r>
    </w:p>
    <w:p w:rsidR="00F838C5" w:rsidRDefault="00F838C5" w:rsidP="001363EE">
      <w:pPr>
        <w:pStyle w:val="ListParagraph"/>
        <w:tabs>
          <w:tab w:val="left" w:pos="567"/>
        </w:tabs>
        <w:ind w:left="0"/>
        <w:jc w:val="both"/>
      </w:pPr>
    </w:p>
    <w:p w:rsidR="00F838C5" w:rsidRDefault="00F838C5" w:rsidP="00F6573D">
      <w:pPr>
        <w:pStyle w:val="ListParagraph"/>
        <w:numPr>
          <w:ilvl w:val="0"/>
          <w:numId w:val="62"/>
        </w:numPr>
        <w:tabs>
          <w:tab w:val="left" w:pos="709"/>
        </w:tabs>
        <w:ind w:left="0" w:firstLine="0"/>
        <w:jc w:val="both"/>
      </w:pPr>
      <w:r>
        <w:t xml:space="preserve">The decrease in the 2014/15 Final Budget after Transfers was primarily due to the redeployment of personnel resources (one post) out of the Program. </w:t>
      </w:r>
    </w:p>
    <w:p w:rsidR="00F838C5" w:rsidRDefault="00F838C5" w:rsidP="00F6573D">
      <w:pPr>
        <w:tabs>
          <w:tab w:val="left" w:pos="709"/>
        </w:tabs>
        <w:jc w:val="both"/>
        <w:rPr>
          <w:u w:val="single"/>
        </w:rPr>
      </w:pPr>
    </w:p>
    <w:p w:rsidR="00F838C5" w:rsidRDefault="00F838C5" w:rsidP="00F6573D">
      <w:pPr>
        <w:tabs>
          <w:tab w:val="left" w:pos="709"/>
        </w:tabs>
        <w:jc w:val="both"/>
        <w:rPr>
          <w:u w:val="single"/>
        </w:rPr>
      </w:pPr>
      <w:r>
        <w:rPr>
          <w:rFonts w:cs="Arial"/>
          <w:szCs w:val="20"/>
        </w:rPr>
        <w:t>B</w:t>
      </w:r>
      <w:r w:rsidRPr="00420F90">
        <w:rPr>
          <w:rFonts w:cs="Arial"/>
          <w:szCs w:val="20"/>
        </w:rPr>
        <w:t>.</w:t>
      </w:r>
      <w:r w:rsidRPr="00420F90">
        <w:rPr>
          <w:rFonts w:cs="Arial"/>
        </w:rPr>
        <w:tab/>
      </w:r>
      <w:r>
        <w:rPr>
          <w:u w:val="single"/>
        </w:rPr>
        <w:t xml:space="preserve">2014/15 Budget Utilization </w:t>
      </w:r>
    </w:p>
    <w:p w:rsidR="00F838C5" w:rsidRDefault="00F838C5" w:rsidP="00F6573D">
      <w:pPr>
        <w:tabs>
          <w:tab w:val="left" w:pos="709"/>
        </w:tabs>
        <w:jc w:val="both"/>
      </w:pPr>
    </w:p>
    <w:p w:rsidR="00F838C5" w:rsidRDefault="00F838C5" w:rsidP="00F6573D">
      <w:pPr>
        <w:pStyle w:val="ListParagraph"/>
        <w:numPr>
          <w:ilvl w:val="0"/>
          <w:numId w:val="62"/>
        </w:numPr>
        <w:tabs>
          <w:tab w:val="left" w:pos="709"/>
        </w:tabs>
        <w:ind w:left="0" w:firstLine="0"/>
        <w:jc w:val="both"/>
      </w:pPr>
      <w:r>
        <w:t>Lower expenditure in personnel resources was due to a vacancy being under recruitment.  Lower expenditure in non-personnel resources was mainly due to the delay, with the agreement of the Member States, of the independent review of the implementation of the Development Agenda recommendations.</w:t>
      </w:r>
    </w:p>
    <w:p w:rsidR="008A4774" w:rsidRDefault="008A4774">
      <w:pPr>
        <w:rPr>
          <w:rFonts w:cs="Arial"/>
          <w:szCs w:val="20"/>
        </w:rPr>
      </w:pPr>
      <w:r>
        <w:rPr>
          <w:rFonts w:cs="Arial"/>
          <w:szCs w:val="20"/>
        </w:rPr>
        <w:br w:type="page"/>
      </w:r>
    </w:p>
    <w:p w:rsidR="004D1375" w:rsidRPr="003978F9" w:rsidRDefault="004D1375" w:rsidP="004D1375">
      <w:pPr>
        <w:pStyle w:val="Heading2"/>
        <w:tabs>
          <w:tab w:val="left" w:pos="2268"/>
        </w:tabs>
        <w:ind w:left="1985" w:hanging="1985"/>
        <w:rPr>
          <w:b w:val="0"/>
          <w:caps/>
        </w:rPr>
      </w:pPr>
      <w:bookmarkStart w:id="72" w:name="_Toc454544476"/>
      <w:r>
        <w:rPr>
          <w:szCs w:val="20"/>
        </w:rPr>
        <w:lastRenderedPageBreak/>
        <w:t>PROGRAM 9</w:t>
      </w:r>
      <w:r>
        <w:rPr>
          <w:szCs w:val="20"/>
        </w:rPr>
        <w:tab/>
      </w:r>
      <w:r w:rsidRPr="003978F9">
        <w:t>AFRICA, ARAB, ASIA AND THE PACIFIC, LATIN AMERICA AND THE CARIBBEAN COUNTRIES, LEAST DEVELOPED COUNTRIES</w:t>
      </w:r>
      <w:bookmarkEnd w:id="72"/>
    </w:p>
    <w:p w:rsidR="004D1375" w:rsidRPr="004D1375" w:rsidRDefault="004D1375" w:rsidP="004D1375">
      <w:pPr>
        <w:rPr>
          <w:sz w:val="22"/>
        </w:rPr>
      </w:pPr>
    </w:p>
    <w:p w:rsidR="004D1375" w:rsidRPr="00A658F3" w:rsidRDefault="004D1375" w:rsidP="004D1375">
      <w:pPr>
        <w:rPr>
          <w:b/>
          <w:szCs w:val="22"/>
        </w:rPr>
      </w:pPr>
      <w:r w:rsidRPr="00A658F3">
        <w:rPr>
          <w:b/>
          <w:szCs w:val="22"/>
        </w:rPr>
        <w:t>Program Manager</w:t>
      </w:r>
      <w:r w:rsidRPr="00A658F3">
        <w:rPr>
          <w:b/>
          <w:szCs w:val="22"/>
        </w:rPr>
        <w:tab/>
        <w:t>Mr. M. Matus</w:t>
      </w:r>
    </w:p>
    <w:p w:rsidR="008A4774" w:rsidRPr="004D1375" w:rsidRDefault="008A4774" w:rsidP="004D1375">
      <w:pPr>
        <w:rPr>
          <w:rFonts w:cs="Arial"/>
          <w:sz w:val="22"/>
          <w:szCs w:val="20"/>
        </w:rPr>
      </w:pPr>
    </w:p>
    <w:p w:rsidR="00D944AE" w:rsidRPr="007861F3" w:rsidRDefault="00D944AE" w:rsidP="00E3403E">
      <w:bookmarkStart w:id="73" w:name="_Toc392610038"/>
    </w:p>
    <w:p w:rsidR="00D944AE" w:rsidRPr="007861F3" w:rsidRDefault="00D944AE" w:rsidP="00E3403E">
      <w:pPr>
        <w:rPr>
          <w:bCs/>
          <w:sz w:val="22"/>
          <w:szCs w:val="22"/>
        </w:rPr>
      </w:pPr>
      <w:r w:rsidRPr="007861F3">
        <w:rPr>
          <w:bCs/>
          <w:sz w:val="22"/>
          <w:szCs w:val="22"/>
        </w:rPr>
        <w:t>ACHIEVEMENTS IN THE 2014/15 BIENNIUM</w:t>
      </w:r>
      <w:bookmarkEnd w:id="73"/>
    </w:p>
    <w:p w:rsidR="00D944AE" w:rsidRPr="007861F3" w:rsidRDefault="00D944AE" w:rsidP="00E3403E">
      <w:pPr>
        <w:pStyle w:val="ListParagraph"/>
        <w:ind w:left="0"/>
        <w:jc w:val="both"/>
        <w:rPr>
          <w:bCs/>
        </w:rPr>
      </w:pPr>
    </w:p>
    <w:p w:rsidR="00D944AE" w:rsidRPr="009A28AC" w:rsidRDefault="00D944AE" w:rsidP="00D944AE">
      <w:pPr>
        <w:pStyle w:val="ListParagraph"/>
        <w:numPr>
          <w:ilvl w:val="1"/>
          <w:numId w:val="109"/>
        </w:numPr>
        <w:contextualSpacing/>
        <w:jc w:val="both"/>
        <w:rPr>
          <w:bCs/>
        </w:rPr>
      </w:pPr>
      <w:r w:rsidRPr="0053056D">
        <w:rPr>
          <w:bCs/>
        </w:rPr>
        <w:t xml:space="preserve">WIPO’s Strategic Goal III, facilitating the use of IP for development, continued to drive the Program’s </w:t>
      </w:r>
      <w:r>
        <w:rPr>
          <w:bCs/>
        </w:rPr>
        <w:t xml:space="preserve">country-specific, </w:t>
      </w:r>
      <w:r w:rsidRPr="009A28AC">
        <w:rPr>
          <w:bCs/>
        </w:rPr>
        <w:t xml:space="preserve">needs-based technical assistance and support for Member States in </w:t>
      </w:r>
      <w:r>
        <w:rPr>
          <w:bCs/>
        </w:rPr>
        <w:t>the biennium</w:t>
      </w:r>
      <w:r w:rsidRPr="009A28AC">
        <w:rPr>
          <w:bCs/>
        </w:rPr>
        <w:t xml:space="preserve">.  </w:t>
      </w:r>
      <w:r w:rsidRPr="009A28AC">
        <w:rPr>
          <w:rFonts w:eastAsia="SimSun"/>
          <w:bCs/>
          <w:lang w:eastAsia="zh-CN"/>
        </w:rPr>
        <w:t>Serving as the primary interface between the beneficiary Member States and the various Programs of WIPO</w:t>
      </w:r>
      <w:r>
        <w:rPr>
          <w:rFonts w:eastAsia="SimSun"/>
          <w:bCs/>
          <w:lang w:eastAsia="zh-CN"/>
        </w:rPr>
        <w:t>,</w:t>
      </w:r>
      <w:r w:rsidRPr="009A28AC">
        <w:rPr>
          <w:bCs/>
        </w:rPr>
        <w:t xml:space="preserve"> Program 9 </w:t>
      </w:r>
      <w:r>
        <w:rPr>
          <w:rFonts w:eastAsia="SimSun"/>
          <w:bCs/>
          <w:lang w:eastAsia="zh-CN"/>
        </w:rPr>
        <w:t>continued to ensure country-specific, needs-based, coherent and well-coordinated delivery of technical assistance.</w:t>
      </w:r>
      <w:r w:rsidRPr="0053056D">
        <w:rPr>
          <w:bCs/>
        </w:rPr>
        <w:t xml:space="preserve">  </w:t>
      </w:r>
      <w:r w:rsidRPr="009A28AC">
        <w:rPr>
          <w:rFonts w:eastAsia="SimSun"/>
          <w:bCs/>
          <w:lang w:eastAsia="zh-CN"/>
        </w:rPr>
        <w:t>Overall, t</w:t>
      </w:r>
      <w:r w:rsidRPr="009A28AC">
        <w:rPr>
          <w:rFonts w:cs="Arial"/>
        </w:rPr>
        <w:t>he design, planning and implementation of technical cooperation activities were informed and guided by the relevant DA Recommendations, in particular the Recommendations under Cluster A on WIPO’s technical assistance and capacity building.  Also in line with the DA Recommendations, delivery of development-oriented activities to developing countries and LDCs continued to be mainstreamed across the various specialized Programs of the Organization in 2014</w:t>
      </w:r>
      <w:r>
        <w:rPr>
          <w:rFonts w:cs="Arial"/>
        </w:rPr>
        <w:t>/15</w:t>
      </w:r>
      <w:r w:rsidRPr="009A28AC">
        <w:rPr>
          <w:rFonts w:cs="Arial"/>
        </w:rPr>
        <w:t xml:space="preserve"> to further strengthen WIPO’s technical cooperation.</w:t>
      </w:r>
    </w:p>
    <w:p w:rsidR="00D944AE" w:rsidRPr="007861F3" w:rsidRDefault="00D944AE" w:rsidP="00E3403E">
      <w:pPr>
        <w:pStyle w:val="ListParagraph"/>
        <w:ind w:left="0"/>
        <w:jc w:val="both"/>
        <w:rPr>
          <w:bCs/>
        </w:rPr>
      </w:pPr>
    </w:p>
    <w:p w:rsidR="00D944AE" w:rsidRDefault="00D944AE" w:rsidP="00D944AE">
      <w:pPr>
        <w:pStyle w:val="ListParagraph"/>
        <w:numPr>
          <w:ilvl w:val="1"/>
          <w:numId w:val="109"/>
        </w:numPr>
        <w:contextualSpacing/>
        <w:jc w:val="both"/>
        <w:rPr>
          <w:bCs/>
        </w:rPr>
      </w:pPr>
      <w:r w:rsidRPr="0023662D">
        <w:rPr>
          <w:rFonts w:eastAsia="SimSun"/>
          <w:bCs/>
          <w:lang w:eastAsia="zh-CN"/>
        </w:rPr>
        <w:t xml:space="preserve">WIPO continued to assist developing countries and LDCs in the design, development and </w:t>
      </w:r>
      <w:r>
        <w:rPr>
          <w:rFonts w:eastAsia="SimSun"/>
          <w:bCs/>
          <w:lang w:eastAsia="zh-CN"/>
        </w:rPr>
        <w:t>implementation of national IP s</w:t>
      </w:r>
      <w:r w:rsidRPr="0023662D">
        <w:rPr>
          <w:rFonts w:eastAsia="SimSun"/>
          <w:bCs/>
          <w:lang w:eastAsia="zh-CN"/>
        </w:rPr>
        <w:t xml:space="preserve">trategies that are both consistent with their overall development plans and </w:t>
      </w:r>
      <w:r>
        <w:rPr>
          <w:rFonts w:eastAsia="SimSun"/>
          <w:bCs/>
          <w:lang w:eastAsia="zh-CN"/>
        </w:rPr>
        <w:t>that have the ability</w:t>
      </w:r>
      <w:r w:rsidRPr="0023662D">
        <w:rPr>
          <w:rFonts w:eastAsia="SimSun"/>
          <w:bCs/>
          <w:lang w:eastAsia="zh-CN"/>
        </w:rPr>
        <w:t xml:space="preserve"> to foster innovation and creativity.  The application of the standardized, yet flexible, methodology and set of practical tools for the formulation of national IP strategies and plans, developed as part of the DA project on Improvement of National, Sub-regional and Regional IP Institutional and User Capacity in 2012, continued to guide the process.  As a result,</w:t>
      </w:r>
      <w:r w:rsidRPr="007861F3">
        <w:rPr>
          <w:bCs/>
        </w:rPr>
        <w:t xml:space="preserve"> </w:t>
      </w:r>
      <w:r>
        <w:rPr>
          <w:bCs/>
        </w:rPr>
        <w:t xml:space="preserve">15 countries (six in Africa, five in Asia and the Pacific, and four in Latin America and the Caribbean) initiated the process of formulating </w:t>
      </w:r>
      <w:r w:rsidRPr="007861F3">
        <w:rPr>
          <w:bCs/>
        </w:rPr>
        <w:t xml:space="preserve">national IP </w:t>
      </w:r>
      <w:r>
        <w:rPr>
          <w:bCs/>
        </w:rPr>
        <w:t>s</w:t>
      </w:r>
      <w:r w:rsidRPr="007861F3">
        <w:rPr>
          <w:bCs/>
        </w:rPr>
        <w:t>trategies/</w:t>
      </w:r>
      <w:r>
        <w:rPr>
          <w:bCs/>
        </w:rPr>
        <w:t xml:space="preserve">development plans, and 13 countries </w:t>
      </w:r>
      <w:r w:rsidRPr="0023662D">
        <w:rPr>
          <w:rFonts w:eastAsia="SimSun"/>
          <w:bCs/>
          <w:lang w:eastAsia="zh-CN"/>
        </w:rPr>
        <w:t>(</w:t>
      </w:r>
      <w:r>
        <w:rPr>
          <w:rFonts w:eastAsia="SimSun"/>
          <w:bCs/>
          <w:lang w:eastAsia="zh-CN"/>
        </w:rPr>
        <w:t>four</w:t>
      </w:r>
      <w:r w:rsidRPr="0023662D">
        <w:rPr>
          <w:rFonts w:eastAsia="SimSun"/>
          <w:bCs/>
          <w:lang w:eastAsia="zh-CN"/>
        </w:rPr>
        <w:t xml:space="preserve"> in Africa, </w:t>
      </w:r>
      <w:r>
        <w:rPr>
          <w:rFonts w:eastAsia="SimSun"/>
          <w:bCs/>
          <w:lang w:eastAsia="zh-CN"/>
        </w:rPr>
        <w:t>two</w:t>
      </w:r>
      <w:r w:rsidRPr="0023662D">
        <w:rPr>
          <w:rFonts w:eastAsia="SimSun"/>
          <w:bCs/>
          <w:lang w:eastAsia="zh-CN"/>
        </w:rPr>
        <w:t xml:space="preserve"> in the Arab region, </w:t>
      </w:r>
      <w:r>
        <w:rPr>
          <w:rFonts w:eastAsia="SimSun"/>
          <w:bCs/>
          <w:lang w:eastAsia="zh-CN"/>
        </w:rPr>
        <w:t>th</w:t>
      </w:r>
      <w:r w:rsidRPr="0023662D">
        <w:rPr>
          <w:rFonts w:eastAsia="SimSun"/>
          <w:bCs/>
          <w:lang w:eastAsia="zh-CN"/>
        </w:rPr>
        <w:t>r</w:t>
      </w:r>
      <w:r>
        <w:rPr>
          <w:rFonts w:eastAsia="SimSun"/>
          <w:bCs/>
          <w:lang w:eastAsia="zh-CN"/>
        </w:rPr>
        <w:t>ee</w:t>
      </w:r>
      <w:r w:rsidRPr="0023662D">
        <w:rPr>
          <w:rFonts w:eastAsia="SimSun"/>
          <w:bCs/>
          <w:lang w:eastAsia="zh-CN"/>
        </w:rPr>
        <w:t xml:space="preserve"> in Asia and the Pacific, and f</w:t>
      </w:r>
      <w:r>
        <w:rPr>
          <w:rFonts w:eastAsia="SimSun"/>
          <w:bCs/>
          <w:lang w:eastAsia="zh-CN"/>
        </w:rPr>
        <w:t>our</w:t>
      </w:r>
      <w:r w:rsidRPr="0023662D">
        <w:rPr>
          <w:rFonts w:eastAsia="SimSun"/>
          <w:bCs/>
          <w:lang w:eastAsia="zh-CN"/>
        </w:rPr>
        <w:t xml:space="preserve"> in Latin America and the Caribbean) were still in the process of formulation and</w:t>
      </w:r>
      <w:r>
        <w:rPr>
          <w:rFonts w:eastAsia="SimSun"/>
          <w:bCs/>
          <w:lang w:eastAsia="zh-CN"/>
        </w:rPr>
        <w:t xml:space="preserve">/or adoption at the end of 2014.  At the end of 2014/15, </w:t>
      </w:r>
      <w:r w:rsidRPr="007861F3">
        <w:rPr>
          <w:bCs/>
        </w:rPr>
        <w:t xml:space="preserve">national IP </w:t>
      </w:r>
      <w:r>
        <w:rPr>
          <w:bCs/>
        </w:rPr>
        <w:t>s</w:t>
      </w:r>
      <w:r w:rsidRPr="007861F3">
        <w:rPr>
          <w:bCs/>
        </w:rPr>
        <w:t>trategies/</w:t>
      </w:r>
      <w:r>
        <w:rPr>
          <w:bCs/>
        </w:rPr>
        <w:t>development plans</w:t>
      </w:r>
      <w:r>
        <w:rPr>
          <w:rFonts w:eastAsia="SimSun"/>
          <w:bCs/>
          <w:lang w:eastAsia="zh-CN"/>
        </w:rPr>
        <w:t xml:space="preserve"> </w:t>
      </w:r>
      <w:r>
        <w:rPr>
          <w:bCs/>
        </w:rPr>
        <w:t>had been</w:t>
      </w:r>
      <w:r w:rsidRPr="007861F3">
        <w:rPr>
          <w:bCs/>
        </w:rPr>
        <w:t xml:space="preserve"> adopted</w:t>
      </w:r>
      <w:r>
        <w:rPr>
          <w:bCs/>
        </w:rPr>
        <w:t xml:space="preserve"> and/or were under implementation</w:t>
      </w:r>
      <w:r w:rsidRPr="007861F3">
        <w:rPr>
          <w:bCs/>
        </w:rPr>
        <w:t xml:space="preserve"> in </w:t>
      </w:r>
      <w:r>
        <w:rPr>
          <w:bCs/>
        </w:rPr>
        <w:t xml:space="preserve">a total of </w:t>
      </w:r>
      <w:r w:rsidR="00B1329C">
        <w:rPr>
          <w:bCs/>
        </w:rPr>
        <w:t>44</w:t>
      </w:r>
      <w:r w:rsidRPr="007861F3">
        <w:rPr>
          <w:bCs/>
        </w:rPr>
        <w:t xml:space="preserve"> countries (</w:t>
      </w:r>
      <w:r>
        <w:rPr>
          <w:bCs/>
        </w:rPr>
        <w:t>26</w:t>
      </w:r>
      <w:r w:rsidRPr="007861F3">
        <w:rPr>
          <w:bCs/>
        </w:rPr>
        <w:t xml:space="preserve"> in Africa</w:t>
      </w:r>
      <w:r>
        <w:rPr>
          <w:bCs/>
        </w:rPr>
        <w:t xml:space="preserve">, two in the Arab region, </w:t>
      </w:r>
      <w:r w:rsidR="00B1329C">
        <w:rPr>
          <w:bCs/>
        </w:rPr>
        <w:t>eight</w:t>
      </w:r>
      <w:r w:rsidRPr="007861F3">
        <w:rPr>
          <w:bCs/>
        </w:rPr>
        <w:t xml:space="preserve"> in Asia and the Pacific,</w:t>
      </w:r>
      <w:r>
        <w:rPr>
          <w:bCs/>
        </w:rPr>
        <w:t xml:space="preserve"> and</w:t>
      </w:r>
      <w:r w:rsidRPr="007861F3">
        <w:rPr>
          <w:bCs/>
        </w:rPr>
        <w:t xml:space="preserve"> </w:t>
      </w:r>
      <w:r>
        <w:rPr>
          <w:bCs/>
        </w:rPr>
        <w:t>eight</w:t>
      </w:r>
      <w:r w:rsidRPr="007861F3">
        <w:rPr>
          <w:bCs/>
        </w:rPr>
        <w:t xml:space="preserve"> in Latin America and the Caribbean)</w:t>
      </w:r>
      <w:r>
        <w:rPr>
          <w:bCs/>
        </w:rPr>
        <w:t xml:space="preserve">, of which </w:t>
      </w:r>
      <w:r w:rsidR="00B1329C">
        <w:rPr>
          <w:bCs/>
        </w:rPr>
        <w:t>19</w:t>
      </w:r>
      <w:r>
        <w:rPr>
          <w:bCs/>
        </w:rPr>
        <w:t xml:space="preserve"> in LDCs. </w:t>
      </w:r>
    </w:p>
    <w:p w:rsidR="00D944AE" w:rsidRPr="007861F3" w:rsidRDefault="00D944AE" w:rsidP="00E3403E">
      <w:pPr>
        <w:pStyle w:val="ListParagraph"/>
        <w:ind w:left="0"/>
        <w:jc w:val="both"/>
        <w:rPr>
          <w:bCs/>
        </w:rPr>
      </w:pPr>
    </w:p>
    <w:p w:rsidR="00D944AE" w:rsidRPr="006C420C" w:rsidRDefault="00D944AE" w:rsidP="00D944AE">
      <w:pPr>
        <w:pStyle w:val="ListParagraph"/>
        <w:numPr>
          <w:ilvl w:val="1"/>
          <w:numId w:val="109"/>
        </w:numPr>
        <w:contextualSpacing/>
        <w:jc w:val="both"/>
      </w:pPr>
      <w:r>
        <w:rPr>
          <w:bCs/>
        </w:rPr>
        <w:t xml:space="preserve">For the first time, </w:t>
      </w:r>
      <w:r w:rsidRPr="0023662D">
        <w:rPr>
          <w:rFonts w:eastAsia="SimSun"/>
          <w:bCs/>
          <w:lang w:eastAsia="zh-CN"/>
        </w:rPr>
        <w:t xml:space="preserve">WIPO </w:t>
      </w:r>
      <w:r>
        <w:rPr>
          <w:rFonts w:eastAsia="SimSun"/>
          <w:bCs/>
          <w:lang w:eastAsia="zh-CN"/>
        </w:rPr>
        <w:t xml:space="preserve">was involved </w:t>
      </w:r>
      <w:r w:rsidRPr="0023662D">
        <w:rPr>
          <w:rFonts w:eastAsia="SimSun"/>
          <w:bCs/>
          <w:lang w:eastAsia="zh-CN"/>
        </w:rPr>
        <w:t xml:space="preserve">extensively </w:t>
      </w:r>
      <w:r>
        <w:rPr>
          <w:rFonts w:eastAsia="SimSun"/>
          <w:bCs/>
          <w:lang w:eastAsia="zh-CN"/>
        </w:rPr>
        <w:t>i</w:t>
      </w:r>
      <w:r w:rsidRPr="0023662D">
        <w:rPr>
          <w:rFonts w:eastAsia="SimSun"/>
          <w:bCs/>
          <w:lang w:eastAsia="zh-CN"/>
        </w:rPr>
        <w:t>n assisting a regional group in the formulation of a comprehensive regional IP framework.</w:t>
      </w:r>
      <w:r w:rsidRPr="007861F3">
        <w:rPr>
          <w:bCs/>
        </w:rPr>
        <w:t xml:space="preserve"> </w:t>
      </w:r>
      <w:r>
        <w:rPr>
          <w:bCs/>
        </w:rPr>
        <w:t xml:space="preserve"> </w:t>
      </w:r>
      <w:r w:rsidRPr="0023662D">
        <w:rPr>
          <w:rFonts w:eastAsia="SimSun"/>
          <w:bCs/>
          <w:lang w:eastAsia="zh-CN"/>
        </w:rPr>
        <w:t>In October 2014, one focal point from each of the Association of Southeast Asian Nations (ASEAN) countries participated in a brainstorming workshop for the development of the ASEAN IPR Strategic Plan for 2016-2025, in line with the ASEAN Economic Community (AEC) 2016-2025 strategy.</w:t>
      </w:r>
      <w:r w:rsidRPr="007861F3">
        <w:rPr>
          <w:bCs/>
        </w:rPr>
        <w:t xml:space="preserve"> </w:t>
      </w:r>
      <w:r>
        <w:rPr>
          <w:bCs/>
        </w:rPr>
        <w:t xml:space="preserve"> </w:t>
      </w:r>
    </w:p>
    <w:p w:rsidR="00D944AE" w:rsidRDefault="00D944AE" w:rsidP="00E3403E">
      <w:pPr>
        <w:contextualSpacing/>
        <w:jc w:val="both"/>
        <w:rPr>
          <w:bCs/>
        </w:rPr>
      </w:pPr>
    </w:p>
    <w:p w:rsidR="00D944AE" w:rsidRPr="0023662D" w:rsidRDefault="00D944AE" w:rsidP="00D944AE">
      <w:pPr>
        <w:pStyle w:val="ListParagraph"/>
        <w:numPr>
          <w:ilvl w:val="1"/>
          <w:numId w:val="109"/>
        </w:numPr>
        <w:contextualSpacing/>
        <w:jc w:val="both"/>
        <w:rPr>
          <w:rFonts w:eastAsia="SimSun"/>
          <w:bCs/>
          <w:lang w:eastAsia="zh-CN"/>
        </w:rPr>
      </w:pPr>
      <w:r w:rsidRPr="0023662D">
        <w:rPr>
          <w:rFonts w:eastAsia="SimSun"/>
          <w:bCs/>
          <w:lang w:eastAsia="zh-CN"/>
        </w:rPr>
        <w:t xml:space="preserve">Enhancing human resource capabilities to deal with the broad range of requirements for the effective use of IP for development and fostering innovation and creativity remained a priority </w:t>
      </w:r>
      <w:r>
        <w:rPr>
          <w:rFonts w:eastAsia="SimSun"/>
          <w:bCs/>
          <w:lang w:eastAsia="zh-CN"/>
        </w:rPr>
        <w:t>throughout the biennium</w:t>
      </w:r>
      <w:r w:rsidRPr="0023662D">
        <w:rPr>
          <w:rFonts w:eastAsia="SimSun"/>
          <w:bCs/>
          <w:lang w:eastAsia="zh-CN"/>
        </w:rPr>
        <w:t>.  Focused capacity building and skills development programs were delivered to specific target groups such as government officials, policy-makers, IP professionals, enforcement officials, researchers and academics, entrepreneurs and industrialists, as well as SMEs, at the national, sub-regional and regional levels.</w:t>
      </w:r>
    </w:p>
    <w:p w:rsidR="00D944AE" w:rsidRPr="0008432F" w:rsidRDefault="00D944AE" w:rsidP="00E3403E">
      <w:pPr>
        <w:contextualSpacing/>
        <w:jc w:val="both"/>
        <w:rPr>
          <w:bCs/>
        </w:rPr>
      </w:pPr>
    </w:p>
    <w:p w:rsidR="00D944AE" w:rsidRDefault="00D944AE" w:rsidP="00D944AE">
      <w:pPr>
        <w:pStyle w:val="ListParagraph"/>
        <w:numPr>
          <w:ilvl w:val="1"/>
          <w:numId w:val="109"/>
        </w:numPr>
        <w:contextualSpacing/>
        <w:jc w:val="both"/>
        <w:rPr>
          <w:b/>
          <w:bCs/>
        </w:rPr>
      </w:pPr>
      <w:r w:rsidRPr="0023662D">
        <w:rPr>
          <w:rFonts w:eastAsia="SimSun"/>
          <w:bCs/>
          <w:lang w:eastAsia="zh-CN"/>
        </w:rPr>
        <w:t>In 2014</w:t>
      </w:r>
      <w:r>
        <w:rPr>
          <w:rFonts w:eastAsia="SimSun"/>
          <w:bCs/>
          <w:lang w:eastAsia="zh-CN"/>
        </w:rPr>
        <w:t>/15</w:t>
      </w:r>
      <w:r w:rsidRPr="0023662D">
        <w:rPr>
          <w:rFonts w:eastAsia="SimSun"/>
          <w:bCs/>
          <w:lang w:eastAsia="zh-CN"/>
        </w:rPr>
        <w:t>, WIPO continued to strengthen its assistance to IP Offices in developing countries and LDCs to enable them to provide cost-effective and high-quality IP modernization and technical infrastructure services to their stakeholders</w:t>
      </w:r>
      <w:r>
        <w:rPr>
          <w:rFonts w:eastAsia="SimSun"/>
          <w:bCs/>
          <w:lang w:eastAsia="zh-CN"/>
        </w:rPr>
        <w:t xml:space="preserve">, </w:t>
      </w:r>
      <w:r w:rsidRPr="0023662D">
        <w:rPr>
          <w:rFonts w:eastAsia="SimSun"/>
          <w:bCs/>
          <w:lang w:eastAsia="zh-CN"/>
        </w:rPr>
        <w:t xml:space="preserve">creating a more favorable environment for the effective use of IP information, particularly by the institutions in charge of the administration of IP rights, the national innovation system and the productive sector. </w:t>
      </w:r>
      <w:r>
        <w:rPr>
          <w:rFonts w:eastAsia="SimSun"/>
          <w:bCs/>
          <w:lang w:eastAsia="zh-CN"/>
        </w:rPr>
        <w:t xml:space="preserve"> </w:t>
      </w:r>
      <w:r>
        <w:rPr>
          <w:bCs/>
        </w:rPr>
        <w:t>By the end of 2015, s</w:t>
      </w:r>
      <w:r w:rsidRPr="008D023A">
        <w:rPr>
          <w:bCs/>
        </w:rPr>
        <w:t>ome 7</w:t>
      </w:r>
      <w:r>
        <w:rPr>
          <w:bCs/>
        </w:rPr>
        <w:t>0</w:t>
      </w:r>
      <w:r w:rsidRPr="008D023A">
        <w:rPr>
          <w:bCs/>
        </w:rPr>
        <w:t xml:space="preserve"> IP Offices were using WIPO IP Office Systems </w:t>
      </w:r>
      <w:r>
        <w:rPr>
          <w:bCs/>
        </w:rPr>
        <w:t xml:space="preserve">in the different regions:  </w:t>
      </w:r>
      <w:r>
        <w:rPr>
          <w:rFonts w:eastAsia="SimSun"/>
          <w:bCs/>
          <w:lang w:eastAsia="zh-CN"/>
        </w:rPr>
        <w:t>24</w:t>
      </w:r>
      <w:r w:rsidRPr="0023662D">
        <w:rPr>
          <w:rFonts w:eastAsia="SimSun"/>
          <w:bCs/>
          <w:lang w:eastAsia="zh-CN"/>
        </w:rPr>
        <w:t xml:space="preserve"> in Africa, 14 in the Arab region, 13 in Asia and the Pacific and </w:t>
      </w:r>
      <w:r>
        <w:rPr>
          <w:rFonts w:eastAsia="SimSun"/>
          <w:bCs/>
          <w:lang w:eastAsia="zh-CN"/>
        </w:rPr>
        <w:t>19</w:t>
      </w:r>
      <w:r w:rsidRPr="0023662D">
        <w:rPr>
          <w:rFonts w:eastAsia="SimSun"/>
          <w:bCs/>
          <w:lang w:eastAsia="zh-CN"/>
        </w:rPr>
        <w:t xml:space="preserve"> in Latin America and the Caribbean</w:t>
      </w:r>
      <w:r w:rsidRPr="008D023A" w:rsidDel="00F90B4A">
        <w:rPr>
          <w:bCs/>
        </w:rPr>
        <w:t xml:space="preserve"> </w:t>
      </w:r>
      <w:r w:rsidRPr="0023662D">
        <w:rPr>
          <w:rFonts w:eastAsia="SimSun"/>
          <w:bCs/>
          <w:lang w:eastAsia="zh-CN"/>
        </w:rPr>
        <w:t>(for more details see Program 15)</w:t>
      </w:r>
      <w:r>
        <w:rPr>
          <w:rFonts w:eastAsia="SimSun"/>
          <w:bCs/>
          <w:lang w:eastAsia="zh-CN"/>
        </w:rPr>
        <w:t>.</w:t>
      </w:r>
    </w:p>
    <w:p w:rsidR="00D944AE" w:rsidRPr="003978F9" w:rsidRDefault="00D944AE" w:rsidP="00E3403E">
      <w:pPr>
        <w:tabs>
          <w:tab w:val="left" w:pos="709"/>
        </w:tabs>
        <w:jc w:val="both"/>
        <w:rPr>
          <w:rFonts w:eastAsia="SimSun"/>
          <w:bCs/>
          <w:lang w:eastAsia="zh-CN"/>
        </w:rPr>
      </w:pPr>
    </w:p>
    <w:p w:rsidR="00D944AE" w:rsidRDefault="00D944AE" w:rsidP="00E37059">
      <w:pPr>
        <w:pStyle w:val="ListParagraph"/>
        <w:numPr>
          <w:ilvl w:val="1"/>
          <w:numId w:val="109"/>
        </w:numPr>
        <w:contextualSpacing/>
        <w:jc w:val="both"/>
        <w:rPr>
          <w:rFonts w:eastAsia="SimSun"/>
          <w:bCs/>
          <w:lang w:eastAsia="zh-CN"/>
        </w:rPr>
      </w:pPr>
      <w:r w:rsidRPr="0023662D">
        <w:rPr>
          <w:rFonts w:eastAsia="SimSun"/>
          <w:bCs/>
          <w:lang w:eastAsia="zh-CN"/>
        </w:rPr>
        <w:t xml:space="preserve">Facilitating access to global technology information databases also remained a high priority.  </w:t>
      </w:r>
      <w:r>
        <w:rPr>
          <w:rFonts w:eastAsia="SimSun"/>
          <w:bCs/>
          <w:lang w:eastAsia="zh-CN"/>
        </w:rPr>
        <w:t>During the biennium</w:t>
      </w:r>
      <w:r w:rsidRPr="0023662D">
        <w:rPr>
          <w:rFonts w:eastAsia="SimSun"/>
          <w:bCs/>
          <w:lang w:eastAsia="zh-CN"/>
        </w:rPr>
        <w:t xml:space="preserve">, </w:t>
      </w:r>
      <w:r>
        <w:rPr>
          <w:rFonts w:eastAsia="SimSun"/>
          <w:bCs/>
          <w:lang w:eastAsia="zh-CN"/>
        </w:rPr>
        <w:t xml:space="preserve">an </w:t>
      </w:r>
      <w:r w:rsidRPr="0023662D">
        <w:rPr>
          <w:rFonts w:eastAsia="SimSun"/>
          <w:bCs/>
          <w:lang w:eastAsia="zh-CN"/>
        </w:rPr>
        <w:t>increased emphasis was placed on strengthening existing Technology Innovation Support Centers (TISCs) with a view to long-ter</w:t>
      </w:r>
      <w:r>
        <w:rPr>
          <w:rFonts w:eastAsia="SimSun"/>
          <w:bCs/>
          <w:lang w:eastAsia="zh-CN"/>
        </w:rPr>
        <w:t xml:space="preserve">m sustainability.  Out of the 49 established TISCs in the different regions, some 24 </w:t>
      </w:r>
      <w:r w:rsidRPr="0023662D">
        <w:rPr>
          <w:rFonts w:eastAsia="SimSun"/>
          <w:bCs/>
          <w:lang w:eastAsia="zh-CN"/>
        </w:rPr>
        <w:t xml:space="preserve">were considered sustainable </w:t>
      </w:r>
      <w:r>
        <w:rPr>
          <w:rFonts w:eastAsia="SimSun"/>
          <w:bCs/>
          <w:lang w:eastAsia="zh-CN"/>
        </w:rPr>
        <w:t>by the end of 2015</w:t>
      </w:r>
      <w:r w:rsidRPr="0023662D">
        <w:rPr>
          <w:rFonts w:eastAsia="SimSun"/>
          <w:bCs/>
          <w:lang w:eastAsia="zh-CN"/>
        </w:rPr>
        <w:t>:</w:t>
      </w:r>
      <w:r>
        <w:rPr>
          <w:rFonts w:eastAsia="SimSun"/>
          <w:bCs/>
          <w:lang w:eastAsia="zh-CN"/>
        </w:rPr>
        <w:t xml:space="preserve"> </w:t>
      </w:r>
      <w:r w:rsidRPr="0023662D">
        <w:rPr>
          <w:rFonts w:eastAsia="SimSun"/>
          <w:bCs/>
          <w:lang w:eastAsia="zh-CN"/>
        </w:rPr>
        <w:t xml:space="preserve"> </w:t>
      </w:r>
      <w:r>
        <w:rPr>
          <w:rFonts w:eastAsia="SimSun"/>
          <w:bCs/>
          <w:lang w:eastAsia="zh-CN"/>
        </w:rPr>
        <w:t>10</w:t>
      </w:r>
      <w:r w:rsidRPr="0023662D">
        <w:rPr>
          <w:rFonts w:eastAsia="SimSun"/>
          <w:bCs/>
          <w:lang w:eastAsia="zh-CN"/>
        </w:rPr>
        <w:t xml:space="preserve"> in Africa (of which </w:t>
      </w:r>
      <w:r>
        <w:rPr>
          <w:rFonts w:eastAsia="SimSun"/>
          <w:bCs/>
          <w:lang w:eastAsia="zh-CN"/>
        </w:rPr>
        <w:t>eight in LDCs); three in the Arab region; four</w:t>
      </w:r>
      <w:r w:rsidRPr="0023662D">
        <w:rPr>
          <w:rFonts w:eastAsia="SimSun"/>
          <w:bCs/>
          <w:lang w:eastAsia="zh-CN"/>
        </w:rPr>
        <w:t xml:space="preserve"> in Asia and the Pacific (of which one in an LDC); and </w:t>
      </w:r>
      <w:r>
        <w:rPr>
          <w:rFonts w:eastAsia="SimSun"/>
          <w:bCs/>
          <w:lang w:eastAsia="zh-CN"/>
        </w:rPr>
        <w:t>seven</w:t>
      </w:r>
      <w:r w:rsidRPr="0023662D">
        <w:rPr>
          <w:rFonts w:eastAsia="SimSun"/>
          <w:bCs/>
          <w:lang w:eastAsia="zh-CN"/>
        </w:rPr>
        <w:t xml:space="preserve"> in Latin America and the Caribbean (for more details see Program 14).</w:t>
      </w:r>
    </w:p>
    <w:p w:rsidR="00D944AE" w:rsidRPr="004C7FE1" w:rsidRDefault="00D944AE" w:rsidP="00E3403E">
      <w:pPr>
        <w:tabs>
          <w:tab w:val="left" w:pos="709"/>
        </w:tabs>
        <w:jc w:val="both"/>
        <w:rPr>
          <w:rFonts w:eastAsia="SimSun"/>
          <w:bCs/>
          <w:lang w:eastAsia="zh-CN"/>
        </w:rPr>
      </w:pPr>
    </w:p>
    <w:p w:rsidR="00D944AE" w:rsidRPr="007861F3" w:rsidRDefault="00D944AE" w:rsidP="00E3403E">
      <w:pPr>
        <w:pStyle w:val="ListParagraph"/>
        <w:numPr>
          <w:ilvl w:val="1"/>
          <w:numId w:val="109"/>
        </w:numPr>
        <w:tabs>
          <w:tab w:val="left" w:pos="709"/>
        </w:tabs>
        <w:contextualSpacing/>
        <w:jc w:val="both"/>
        <w:rPr>
          <w:bCs/>
        </w:rPr>
      </w:pPr>
      <w:r w:rsidRPr="007861F3">
        <w:rPr>
          <w:bCs/>
        </w:rPr>
        <w:lastRenderedPageBreak/>
        <w:t xml:space="preserve">WIPO </w:t>
      </w:r>
      <w:r>
        <w:rPr>
          <w:bCs/>
        </w:rPr>
        <w:t>also</w:t>
      </w:r>
      <w:r w:rsidRPr="007861F3">
        <w:rPr>
          <w:bCs/>
        </w:rPr>
        <w:t xml:space="preserve"> strengthen</w:t>
      </w:r>
      <w:r>
        <w:rPr>
          <w:bCs/>
        </w:rPr>
        <w:t xml:space="preserve">ed its cooperation with </w:t>
      </w:r>
      <w:r w:rsidRPr="007861F3">
        <w:rPr>
          <w:bCs/>
        </w:rPr>
        <w:t xml:space="preserve">LDCs for the development of </w:t>
      </w:r>
      <w:r>
        <w:rPr>
          <w:bCs/>
        </w:rPr>
        <w:t xml:space="preserve">a framework for </w:t>
      </w:r>
      <w:r w:rsidRPr="007861F3">
        <w:rPr>
          <w:bCs/>
        </w:rPr>
        <w:t xml:space="preserve">national policies </w:t>
      </w:r>
      <w:r>
        <w:rPr>
          <w:bCs/>
        </w:rPr>
        <w:t>on</w:t>
      </w:r>
      <w:r w:rsidRPr="007861F3">
        <w:rPr>
          <w:bCs/>
        </w:rPr>
        <w:t xml:space="preserve"> innovation; </w:t>
      </w:r>
      <w:r>
        <w:rPr>
          <w:bCs/>
        </w:rPr>
        <w:t xml:space="preserve"> </w:t>
      </w:r>
      <w:r w:rsidRPr="007861F3">
        <w:rPr>
          <w:bCs/>
        </w:rPr>
        <w:t xml:space="preserve">assessing technical skills needs; </w:t>
      </w:r>
      <w:r>
        <w:rPr>
          <w:bCs/>
        </w:rPr>
        <w:t xml:space="preserve"> </w:t>
      </w:r>
      <w:r w:rsidRPr="007861F3">
        <w:rPr>
          <w:bCs/>
        </w:rPr>
        <w:t xml:space="preserve">facilitating access to global scientific and technological information platforms; </w:t>
      </w:r>
      <w:r>
        <w:rPr>
          <w:bCs/>
        </w:rPr>
        <w:t xml:space="preserve"> </w:t>
      </w:r>
      <w:r w:rsidRPr="007861F3">
        <w:rPr>
          <w:bCs/>
        </w:rPr>
        <w:t>establishing innovation support infrastructure;</w:t>
      </w:r>
      <w:r>
        <w:rPr>
          <w:bCs/>
        </w:rPr>
        <w:t xml:space="preserve"> </w:t>
      </w:r>
      <w:r w:rsidRPr="007861F3">
        <w:rPr>
          <w:bCs/>
        </w:rPr>
        <w:t xml:space="preserve"> supporting inventories and capacity building in traditional knowledge. </w:t>
      </w:r>
      <w:r>
        <w:rPr>
          <w:bCs/>
        </w:rPr>
        <w:t xml:space="preserve"> </w:t>
      </w:r>
      <w:r w:rsidRPr="00D61A00">
        <w:rPr>
          <w:bCs/>
        </w:rPr>
        <w:t>As part of Phase II of the DA Project on Capacity building in the Use of Appropriate Technology Specific Technical and Scientific Information as a Solution for Identified Development Challenges, MoUs were signed with four LDCs</w:t>
      </w:r>
      <w:r>
        <w:rPr>
          <w:bCs/>
        </w:rPr>
        <w:t xml:space="preserve"> </w:t>
      </w:r>
      <w:r w:rsidRPr="007D3539">
        <w:rPr>
          <w:bCs/>
        </w:rPr>
        <w:t>(Ethiopia, Rwanda, United Republic of Tanzania and Uganda</w:t>
      </w:r>
      <w:r w:rsidRPr="00D61A00">
        <w:rPr>
          <w:bCs/>
        </w:rPr>
        <w:t>, and by the end of 2015, implementation of the project had begun in three LDCs</w:t>
      </w:r>
      <w:r>
        <w:rPr>
          <w:bCs/>
        </w:rPr>
        <w:t xml:space="preserve"> (</w:t>
      </w:r>
      <w:r w:rsidRPr="001161AA">
        <w:rPr>
          <w:rFonts w:eastAsia="Calibri"/>
          <w:color w:val="000000"/>
          <w:szCs w:val="24"/>
        </w:rPr>
        <w:t xml:space="preserve">Ethiopia, Rwanda, and </w:t>
      </w:r>
      <w:r>
        <w:rPr>
          <w:rFonts w:eastAsia="Calibri"/>
          <w:color w:val="000000"/>
          <w:szCs w:val="24"/>
        </w:rPr>
        <w:t xml:space="preserve">United Republic of </w:t>
      </w:r>
      <w:r w:rsidRPr="001161AA">
        <w:rPr>
          <w:rFonts w:eastAsia="Calibri"/>
          <w:color w:val="000000"/>
          <w:szCs w:val="24"/>
        </w:rPr>
        <w:t>Tanzania</w:t>
      </w:r>
      <w:r>
        <w:rPr>
          <w:rFonts w:eastAsia="Calibri"/>
          <w:color w:val="000000"/>
          <w:szCs w:val="24"/>
        </w:rPr>
        <w:t>)</w:t>
      </w:r>
      <w:r w:rsidRPr="00D61A00">
        <w:rPr>
          <w:bCs/>
        </w:rPr>
        <w:t>.</w:t>
      </w:r>
      <w:r w:rsidRPr="001F4D60">
        <w:rPr>
          <w:bCs/>
        </w:rPr>
        <w:t xml:space="preserve">   </w:t>
      </w:r>
    </w:p>
    <w:p w:rsidR="00D944AE" w:rsidRPr="007861F3" w:rsidRDefault="00D944AE" w:rsidP="00E3403E">
      <w:pPr>
        <w:pStyle w:val="ListParagraph"/>
        <w:jc w:val="both"/>
        <w:rPr>
          <w:bCs/>
        </w:rPr>
      </w:pPr>
    </w:p>
    <w:p w:rsidR="00D944AE" w:rsidRDefault="00D944AE" w:rsidP="00E3403E">
      <w:pPr>
        <w:pStyle w:val="ListParagraph"/>
        <w:numPr>
          <w:ilvl w:val="1"/>
          <w:numId w:val="109"/>
        </w:numPr>
        <w:tabs>
          <w:tab w:val="left" w:pos="709"/>
        </w:tabs>
        <w:contextualSpacing/>
        <w:jc w:val="both"/>
        <w:rPr>
          <w:bCs/>
        </w:rPr>
      </w:pPr>
      <w:r w:rsidRPr="007861F3">
        <w:rPr>
          <w:bCs/>
        </w:rPr>
        <w:t xml:space="preserve">In the same vein, WIPO worked closely with the United Nations Office of the High Representative for Least Developed Countries, Landlocked Developing Countries and Small Island Developing States in the context of the implementation of the Istanbul Program of Action. </w:t>
      </w:r>
      <w:r>
        <w:rPr>
          <w:bCs/>
        </w:rPr>
        <w:t xml:space="preserve"> </w:t>
      </w:r>
      <w:r w:rsidRPr="007861F3">
        <w:rPr>
          <w:bCs/>
        </w:rPr>
        <w:t>In 2014, on the occasion of the LDCs’ Ministerial Conference held in Benin, WIPO implemented an interregional partnership program in cooperation with the International Telecommunication Union</w:t>
      </w:r>
      <w:r>
        <w:rPr>
          <w:bCs/>
        </w:rPr>
        <w:t xml:space="preserve"> (ITU)</w:t>
      </w:r>
      <w:r w:rsidRPr="007861F3">
        <w:rPr>
          <w:bCs/>
        </w:rPr>
        <w:t xml:space="preserve">, the United Nations Capital Development Fund </w:t>
      </w:r>
      <w:r>
        <w:rPr>
          <w:bCs/>
        </w:rPr>
        <w:t xml:space="preserve">(UNCDF) </w:t>
      </w:r>
      <w:r w:rsidRPr="007861F3">
        <w:rPr>
          <w:bCs/>
        </w:rPr>
        <w:t>and the United Nations Industrial Development Organization</w:t>
      </w:r>
      <w:r>
        <w:rPr>
          <w:bCs/>
        </w:rPr>
        <w:t xml:space="preserve"> (UNIDO)</w:t>
      </w:r>
      <w:r w:rsidRPr="007861F3">
        <w:rPr>
          <w:bCs/>
        </w:rPr>
        <w:t>.</w:t>
      </w:r>
      <w:r>
        <w:rPr>
          <w:bCs/>
        </w:rPr>
        <w:t xml:space="preserve"> </w:t>
      </w:r>
      <w:r w:rsidRPr="007861F3">
        <w:rPr>
          <w:bCs/>
        </w:rPr>
        <w:t xml:space="preserve"> In 2015, two additional partnership cooperation </w:t>
      </w:r>
      <w:r>
        <w:rPr>
          <w:bCs/>
        </w:rPr>
        <w:t>fora</w:t>
      </w:r>
      <w:r w:rsidRPr="007861F3">
        <w:rPr>
          <w:bCs/>
        </w:rPr>
        <w:t xml:space="preserve"> were established, with the United Nations Economic Commission for Asia and the Pacific</w:t>
      </w:r>
      <w:r>
        <w:rPr>
          <w:bCs/>
        </w:rPr>
        <w:t xml:space="preserve"> (UN</w:t>
      </w:r>
      <w:r w:rsidR="0022536B">
        <w:rPr>
          <w:bCs/>
        </w:rPr>
        <w:t xml:space="preserve"> </w:t>
      </w:r>
      <w:r>
        <w:rPr>
          <w:bCs/>
        </w:rPr>
        <w:t>ESCAP)</w:t>
      </w:r>
      <w:r w:rsidRPr="00F40093">
        <w:rPr>
          <w:bCs/>
        </w:rPr>
        <w:t xml:space="preserve"> </w:t>
      </w:r>
      <w:r w:rsidRPr="007861F3">
        <w:rPr>
          <w:bCs/>
        </w:rPr>
        <w:t>and the United Nations Economic Commission for Africa</w:t>
      </w:r>
      <w:r>
        <w:rPr>
          <w:bCs/>
        </w:rPr>
        <w:t xml:space="preserve"> (UNECA)</w:t>
      </w:r>
      <w:r w:rsidRPr="007861F3">
        <w:rPr>
          <w:bCs/>
        </w:rPr>
        <w:t>.</w:t>
      </w:r>
      <w:r>
        <w:rPr>
          <w:bCs/>
        </w:rPr>
        <w:t xml:space="preserve">  </w:t>
      </w:r>
      <w:r w:rsidRPr="000A6078">
        <w:rPr>
          <w:bCs/>
        </w:rPr>
        <w:t>The partnership with UN</w:t>
      </w:r>
      <w:r w:rsidR="0022536B">
        <w:rPr>
          <w:bCs/>
        </w:rPr>
        <w:t xml:space="preserve"> </w:t>
      </w:r>
      <w:r w:rsidRPr="000A6078">
        <w:rPr>
          <w:bCs/>
        </w:rPr>
        <w:t>ESCAP</w:t>
      </w:r>
      <w:r w:rsidRPr="00F40093">
        <w:rPr>
          <w:bCs/>
        </w:rPr>
        <w:t xml:space="preserve"> </w:t>
      </w:r>
      <w:r>
        <w:rPr>
          <w:bCs/>
        </w:rPr>
        <w:t>led to a proposal for the signing of a MoU between the two organizations.</w:t>
      </w:r>
      <w:r w:rsidRPr="007861F3">
        <w:rPr>
          <w:bCs/>
        </w:rPr>
        <w:t xml:space="preserve"> </w:t>
      </w:r>
      <w:r>
        <w:rPr>
          <w:bCs/>
        </w:rPr>
        <w:t xml:space="preserve"> </w:t>
      </w:r>
      <w:r w:rsidRPr="007861F3">
        <w:rPr>
          <w:bCs/>
        </w:rPr>
        <w:t xml:space="preserve">The focus </w:t>
      </w:r>
      <w:r>
        <w:rPr>
          <w:bCs/>
        </w:rPr>
        <w:t>was on</w:t>
      </w:r>
      <w:r w:rsidRPr="007861F3">
        <w:rPr>
          <w:bCs/>
        </w:rPr>
        <w:t xml:space="preserve"> capacity building and strengthening institutions of the LDCs from Africa and Asia.  </w:t>
      </w:r>
    </w:p>
    <w:p w:rsidR="00D944AE" w:rsidRPr="00F40093" w:rsidRDefault="00D944AE" w:rsidP="00E3403E">
      <w:pPr>
        <w:pStyle w:val="ListParagraph"/>
        <w:rPr>
          <w:bCs/>
        </w:rPr>
      </w:pPr>
    </w:p>
    <w:p w:rsidR="00D944AE" w:rsidRPr="007861F3" w:rsidRDefault="00D944AE" w:rsidP="00E3403E">
      <w:pPr>
        <w:pStyle w:val="ListParagraph"/>
        <w:numPr>
          <w:ilvl w:val="1"/>
          <w:numId w:val="109"/>
        </w:numPr>
        <w:tabs>
          <w:tab w:val="left" w:pos="709"/>
        </w:tabs>
        <w:contextualSpacing/>
        <w:jc w:val="both"/>
        <w:rPr>
          <w:bCs/>
        </w:rPr>
      </w:pPr>
      <w:r w:rsidRPr="000A6078">
        <w:rPr>
          <w:rFonts w:cs="Arial"/>
        </w:rPr>
        <w:t>In cooperation with the Government  of Sweden (Swedish  Patent and Registration Office),</w:t>
      </w:r>
      <w:r w:rsidRPr="00545598">
        <w:rPr>
          <w:bCs/>
        </w:rPr>
        <w:t xml:space="preserve"> </w:t>
      </w:r>
      <w:r>
        <w:rPr>
          <w:bCs/>
        </w:rPr>
        <w:t xml:space="preserve">WIPO continued the annual International Training Program (ITP) on </w:t>
      </w:r>
      <w:r w:rsidRPr="00F40093">
        <w:rPr>
          <w:bCs/>
        </w:rPr>
        <w:t xml:space="preserve">Intellectual Property in </w:t>
      </w:r>
      <w:r>
        <w:rPr>
          <w:bCs/>
        </w:rPr>
        <w:t>the Global Economy for LDCs to Use IP for D</w:t>
      </w:r>
      <w:r w:rsidRPr="00F40093">
        <w:rPr>
          <w:bCs/>
        </w:rPr>
        <w:t>evelopment</w:t>
      </w:r>
      <w:r>
        <w:rPr>
          <w:bCs/>
        </w:rPr>
        <w:t xml:space="preserve">, first started in 2004.  To measure the </w:t>
      </w:r>
      <w:r w:rsidRPr="00F40093">
        <w:rPr>
          <w:bCs/>
        </w:rPr>
        <w:t xml:space="preserve">relevance, effectiveness, efficiency, sustainability and impact of the </w:t>
      </w:r>
      <w:r>
        <w:rPr>
          <w:bCs/>
        </w:rPr>
        <w:t>program over the last 10 years, the Swedish International Development Cooperation Agency (Sida) conducted an independent evaluation</w:t>
      </w:r>
      <w:r>
        <w:rPr>
          <w:rStyle w:val="FootnoteReference"/>
          <w:bCs/>
        </w:rPr>
        <w:footnoteReference w:id="53"/>
      </w:r>
      <w:r>
        <w:rPr>
          <w:bCs/>
        </w:rPr>
        <w:t xml:space="preserve"> of the program from February 2014 to February 2015.  Based on the findings, which were overall very positive, the program will be conducted bi-annually beginning in 2016.  </w:t>
      </w:r>
      <w:r w:rsidRPr="00F40093">
        <w:rPr>
          <w:bCs/>
        </w:rPr>
        <w:t xml:space="preserve"> </w:t>
      </w:r>
    </w:p>
    <w:p w:rsidR="00D944AE" w:rsidRPr="00A90139" w:rsidRDefault="00D944AE" w:rsidP="00E3403E">
      <w:pPr>
        <w:pStyle w:val="ListParagraph"/>
        <w:tabs>
          <w:tab w:val="left" w:pos="709"/>
        </w:tabs>
        <w:ind w:left="0"/>
        <w:contextualSpacing/>
        <w:jc w:val="both"/>
        <w:rPr>
          <w:bCs/>
        </w:rPr>
      </w:pPr>
    </w:p>
    <w:p w:rsidR="00D944AE" w:rsidRDefault="00D944AE" w:rsidP="00E3403E">
      <w:pPr>
        <w:pStyle w:val="ListParagraph"/>
        <w:numPr>
          <w:ilvl w:val="1"/>
          <w:numId w:val="109"/>
        </w:numPr>
        <w:tabs>
          <w:tab w:val="left" w:pos="709"/>
        </w:tabs>
        <w:contextualSpacing/>
        <w:jc w:val="both"/>
        <w:rPr>
          <w:bCs/>
        </w:rPr>
      </w:pPr>
      <w:r w:rsidRPr="007861F3">
        <w:rPr>
          <w:bCs/>
        </w:rPr>
        <w:t>The Project on Enhancing South-South Cooperation</w:t>
      </w:r>
      <w:r>
        <w:rPr>
          <w:bCs/>
        </w:rPr>
        <w:t xml:space="preserve"> (SSC)</w:t>
      </w:r>
      <w:r w:rsidRPr="007861F3">
        <w:rPr>
          <w:bCs/>
        </w:rPr>
        <w:t xml:space="preserve"> on IP and Development among Developing Countries and LDCs, completed and evaluated i</w:t>
      </w:r>
      <w:r>
        <w:rPr>
          <w:bCs/>
        </w:rPr>
        <w:t>n 2014, was extended until June </w:t>
      </w:r>
      <w:r w:rsidRPr="007861F3">
        <w:rPr>
          <w:bCs/>
        </w:rPr>
        <w:t xml:space="preserve">2015. Subsequently, a dedicated focal point for SSC was established within the Development Sector. </w:t>
      </w:r>
      <w:r>
        <w:rPr>
          <w:bCs/>
        </w:rPr>
        <w:t xml:space="preserve"> </w:t>
      </w:r>
      <w:r w:rsidRPr="007861F3">
        <w:rPr>
          <w:bCs/>
        </w:rPr>
        <w:t>In May</w:t>
      </w:r>
      <w:r>
        <w:rPr>
          <w:bCs/>
        </w:rPr>
        <w:t> </w:t>
      </w:r>
      <w:r w:rsidRPr="007861F3">
        <w:rPr>
          <w:bCs/>
        </w:rPr>
        <w:t>2014, a South-South webpage</w:t>
      </w:r>
      <w:r>
        <w:rPr>
          <w:rStyle w:val="FootnoteReference"/>
          <w:bCs/>
        </w:rPr>
        <w:footnoteReference w:id="54"/>
      </w:r>
      <w:r w:rsidRPr="007861F3">
        <w:rPr>
          <w:bCs/>
        </w:rPr>
        <w:t>, featuring South-South web platforms, a database of South-South Technical Assistance (South-South IP-TAD) and Roster of Consultants (South-South IP-ROC) specifically involved in South-South activities</w:t>
      </w:r>
      <w:r>
        <w:rPr>
          <w:bCs/>
        </w:rPr>
        <w:t xml:space="preserve">, </w:t>
      </w:r>
      <w:r w:rsidRPr="007861F3">
        <w:rPr>
          <w:bCs/>
        </w:rPr>
        <w:t xml:space="preserve">was officially launched. </w:t>
      </w:r>
      <w:r>
        <w:rPr>
          <w:bCs/>
        </w:rPr>
        <w:t xml:space="preserve"> </w:t>
      </w:r>
      <w:r w:rsidRPr="007861F3">
        <w:rPr>
          <w:bCs/>
        </w:rPr>
        <w:t>Notably, a</w:t>
      </w:r>
      <w:r>
        <w:rPr>
          <w:bCs/>
        </w:rPr>
        <w:t>n</w:t>
      </w:r>
      <w:r w:rsidRPr="007861F3">
        <w:rPr>
          <w:bCs/>
        </w:rPr>
        <w:t xml:space="preserve"> analysis was conducted of the criteria</w:t>
      </w:r>
      <w:r>
        <w:rPr>
          <w:bCs/>
        </w:rPr>
        <w:t>,</w:t>
      </w:r>
      <w:r w:rsidRPr="007861F3">
        <w:rPr>
          <w:bCs/>
        </w:rPr>
        <w:t xml:space="preserve"> which would define WIPO South-South Cooperation activities in the light of UN-wide SSC definitions, as well as of WIPO</w:t>
      </w:r>
      <w:r>
        <w:rPr>
          <w:bCs/>
        </w:rPr>
        <w:t>’s</w:t>
      </w:r>
      <w:r w:rsidRPr="007861F3">
        <w:rPr>
          <w:bCs/>
        </w:rPr>
        <w:t xml:space="preserve"> mandate.  As a result, a mapping of such activities </w:t>
      </w:r>
      <w:r>
        <w:rPr>
          <w:bCs/>
        </w:rPr>
        <w:t>in</w:t>
      </w:r>
      <w:r w:rsidRPr="007861F3">
        <w:rPr>
          <w:bCs/>
        </w:rPr>
        <w:t xml:space="preserve"> the 2014</w:t>
      </w:r>
      <w:r>
        <w:rPr>
          <w:bCs/>
        </w:rPr>
        <w:t>/</w:t>
      </w:r>
      <w:r w:rsidRPr="007861F3">
        <w:rPr>
          <w:bCs/>
        </w:rPr>
        <w:t>15</w:t>
      </w:r>
      <w:r>
        <w:rPr>
          <w:bCs/>
        </w:rPr>
        <w:t> </w:t>
      </w:r>
      <w:r w:rsidRPr="007861F3">
        <w:rPr>
          <w:bCs/>
        </w:rPr>
        <w:t>biennium was conducted, using the IP Technical Assistance Database (IP-TAD).</w:t>
      </w:r>
      <w:r w:rsidRPr="007861F3">
        <w:rPr>
          <w:vertAlign w:val="superscript"/>
        </w:rPr>
        <w:footnoteReference w:id="55"/>
      </w:r>
      <w:r w:rsidRPr="007861F3">
        <w:rPr>
          <w:bCs/>
        </w:rPr>
        <w:t xml:space="preserve">  </w:t>
      </w:r>
    </w:p>
    <w:p w:rsidR="00D944AE" w:rsidRPr="007861F3" w:rsidRDefault="00D944AE" w:rsidP="00E3403E">
      <w:pPr>
        <w:pStyle w:val="ListParagraph"/>
        <w:ind w:left="0"/>
        <w:contextualSpacing/>
        <w:jc w:val="both"/>
        <w:rPr>
          <w:bCs/>
        </w:rPr>
      </w:pPr>
    </w:p>
    <w:p w:rsidR="00D944AE" w:rsidRDefault="00D944AE" w:rsidP="00E3403E">
      <w:pPr>
        <w:pStyle w:val="ListParagraph"/>
        <w:numPr>
          <w:ilvl w:val="1"/>
          <w:numId w:val="109"/>
        </w:numPr>
        <w:tabs>
          <w:tab w:val="left" w:pos="709"/>
        </w:tabs>
        <w:contextualSpacing/>
        <w:jc w:val="both"/>
        <w:rPr>
          <w:bCs/>
        </w:rPr>
      </w:pPr>
      <w:r w:rsidRPr="00172B25">
        <w:rPr>
          <w:bCs/>
        </w:rPr>
        <w:t xml:space="preserve">The Program also continued to support a number of requests for assistance regarding the protection and branding </w:t>
      </w:r>
      <w:r>
        <w:rPr>
          <w:bCs/>
        </w:rPr>
        <w:t xml:space="preserve">of </w:t>
      </w:r>
      <w:r w:rsidRPr="00172B25">
        <w:rPr>
          <w:bCs/>
        </w:rPr>
        <w:t>origin-based products</w:t>
      </w:r>
      <w:r w:rsidR="00B1329C">
        <w:rPr>
          <w:bCs/>
        </w:rPr>
        <w:t>, in particular</w:t>
      </w:r>
      <w:r w:rsidRPr="00172B25">
        <w:rPr>
          <w:bCs/>
        </w:rPr>
        <w:t xml:space="preserve"> </w:t>
      </w:r>
      <w:r w:rsidR="00B1329C">
        <w:rPr>
          <w:bCs/>
        </w:rPr>
        <w:t xml:space="preserve">through </w:t>
      </w:r>
      <w:r w:rsidRPr="00172B25">
        <w:rPr>
          <w:bCs/>
        </w:rPr>
        <w:t xml:space="preserve">specialized training courses </w:t>
      </w:r>
      <w:r w:rsidR="00B1329C">
        <w:rPr>
          <w:bCs/>
        </w:rPr>
        <w:t>and</w:t>
      </w:r>
      <w:r w:rsidRPr="00321A09">
        <w:rPr>
          <w:bCs/>
        </w:rPr>
        <w:t xml:space="preserve"> </w:t>
      </w:r>
      <w:r w:rsidRPr="00172B25">
        <w:rPr>
          <w:bCs/>
        </w:rPr>
        <w:t>multi-stakeholder initiatives</w:t>
      </w:r>
      <w:r w:rsidRPr="00321A09">
        <w:rPr>
          <w:bCs/>
        </w:rPr>
        <w:t xml:space="preserve"> </w:t>
      </w:r>
      <w:r w:rsidRPr="00A640FF">
        <w:rPr>
          <w:bCs/>
        </w:rPr>
        <w:t xml:space="preserve">with international and regional partners, notably in the Caribbean region, Cambodia and </w:t>
      </w:r>
      <w:r w:rsidRPr="003B4E97">
        <w:rPr>
          <w:bCs/>
        </w:rPr>
        <w:t xml:space="preserve">the United Republic of Tanzania, </w:t>
      </w:r>
      <w:r w:rsidRPr="00321A09">
        <w:rPr>
          <w:bCs/>
        </w:rPr>
        <w:t xml:space="preserve">to </w:t>
      </w:r>
      <w:r w:rsidR="00B1329C">
        <w:rPr>
          <w:bCs/>
        </w:rPr>
        <w:t>enhance</w:t>
      </w:r>
      <w:r w:rsidRPr="00321A09">
        <w:rPr>
          <w:bCs/>
        </w:rPr>
        <w:t xml:space="preserve"> stakeholder</w:t>
      </w:r>
      <w:r w:rsidR="00B1329C">
        <w:rPr>
          <w:bCs/>
        </w:rPr>
        <w:t>s’</w:t>
      </w:r>
      <w:r w:rsidRPr="00321A09">
        <w:rPr>
          <w:bCs/>
        </w:rPr>
        <w:t xml:space="preserve"> </w:t>
      </w:r>
      <w:r w:rsidR="00B1329C">
        <w:rPr>
          <w:bCs/>
        </w:rPr>
        <w:t>capacities</w:t>
      </w:r>
      <w:r w:rsidRPr="00321A09">
        <w:rPr>
          <w:bCs/>
        </w:rPr>
        <w:t xml:space="preserve">. </w:t>
      </w:r>
      <w:r w:rsidRPr="003B4E97">
        <w:rPr>
          <w:bCs/>
        </w:rPr>
        <w:t xml:space="preserve"> </w:t>
      </w:r>
      <w:r w:rsidR="00B1329C">
        <w:rPr>
          <w:bCs/>
        </w:rPr>
        <w:t>Furthermore</w:t>
      </w:r>
      <w:r w:rsidRPr="007861F3">
        <w:rPr>
          <w:bCs/>
        </w:rPr>
        <w:t xml:space="preserve">, a </w:t>
      </w:r>
      <w:r>
        <w:rPr>
          <w:bCs/>
        </w:rPr>
        <w:t>r</w:t>
      </w:r>
      <w:r w:rsidRPr="007861F3">
        <w:rPr>
          <w:bCs/>
        </w:rPr>
        <w:t xml:space="preserve">eport on </w:t>
      </w:r>
      <w:r w:rsidRPr="006A0FD2">
        <w:rPr>
          <w:bCs/>
          <w:i/>
        </w:rPr>
        <w:t>The African Fashion Design Industry: Capturing Value through Intellectual Property</w:t>
      </w:r>
      <w:r w:rsidRPr="006A0FD2">
        <w:rPr>
          <w:vertAlign w:val="superscript"/>
        </w:rPr>
        <w:footnoteReference w:id="56"/>
      </w:r>
      <w:r w:rsidRPr="007861F3">
        <w:rPr>
          <w:bCs/>
        </w:rPr>
        <w:t>, conducted in seven African countries</w:t>
      </w:r>
      <w:r>
        <w:rPr>
          <w:bCs/>
        </w:rPr>
        <w:t xml:space="preserve"> (</w:t>
      </w:r>
      <w:r w:rsidRPr="00172B25">
        <w:rPr>
          <w:bCs/>
        </w:rPr>
        <w:t>Came</w:t>
      </w:r>
      <w:r>
        <w:rPr>
          <w:bCs/>
        </w:rPr>
        <w:t xml:space="preserve">roon, Ethiopia, Ghana, Nigeria, </w:t>
      </w:r>
      <w:r w:rsidRPr="00172B25">
        <w:rPr>
          <w:bCs/>
        </w:rPr>
        <w:t>Senegal, South Africa and Zimbabwe)</w:t>
      </w:r>
      <w:r w:rsidR="00B1329C">
        <w:rPr>
          <w:bCs/>
        </w:rPr>
        <w:t xml:space="preserve"> was released for</w:t>
      </w:r>
      <w:r w:rsidRPr="00172B25">
        <w:rPr>
          <w:bCs/>
        </w:rPr>
        <w:t xml:space="preserve"> the </w:t>
      </w:r>
      <w:r w:rsidRPr="00321A09">
        <w:rPr>
          <w:bCs/>
        </w:rPr>
        <w:t>African Ministerial Conference: Intellectual Property for an Emerging Africa</w:t>
      </w:r>
      <w:r w:rsidR="009606BF">
        <w:rPr>
          <w:bCs/>
        </w:rPr>
        <w:t>, which took place in Dakar, Senegal</w:t>
      </w:r>
      <w:r w:rsidR="009606BF" w:rsidRPr="007861F3">
        <w:rPr>
          <w:bCs/>
        </w:rPr>
        <w:t xml:space="preserve"> from November 3 to 5, 2015 in collaboration with the African Union, the Government of Senegal and the Japan Patent Office under the FIT-Japan</w:t>
      </w:r>
      <w:r w:rsidRPr="00172B25">
        <w:rPr>
          <w:bCs/>
        </w:rPr>
        <w:t>.</w:t>
      </w:r>
    </w:p>
    <w:p w:rsidR="00D944AE" w:rsidRDefault="00D944AE" w:rsidP="00E3403E">
      <w:pPr>
        <w:pStyle w:val="ListParagraph"/>
        <w:tabs>
          <w:tab w:val="left" w:pos="709"/>
        </w:tabs>
        <w:ind w:left="0"/>
        <w:contextualSpacing/>
        <w:jc w:val="both"/>
        <w:rPr>
          <w:bCs/>
        </w:rPr>
      </w:pPr>
    </w:p>
    <w:p w:rsidR="00D944AE" w:rsidRDefault="009606BF" w:rsidP="00E3403E">
      <w:pPr>
        <w:pStyle w:val="ListParagraph"/>
        <w:numPr>
          <w:ilvl w:val="1"/>
          <w:numId w:val="109"/>
        </w:numPr>
        <w:tabs>
          <w:tab w:val="left" w:pos="709"/>
        </w:tabs>
        <w:contextualSpacing/>
        <w:jc w:val="both"/>
        <w:rPr>
          <w:bCs/>
        </w:rPr>
      </w:pPr>
      <w:r>
        <w:rPr>
          <w:bCs/>
        </w:rPr>
        <w:t>At this same conference,</w:t>
      </w:r>
      <w:r w:rsidRPr="007861F3" w:rsidDel="009606BF">
        <w:rPr>
          <w:bCs/>
        </w:rPr>
        <w:t xml:space="preserve"> </w:t>
      </w:r>
      <w:r>
        <w:rPr>
          <w:bCs/>
        </w:rPr>
        <w:t>t</w:t>
      </w:r>
      <w:r w:rsidR="00D944AE" w:rsidRPr="00321A09">
        <w:rPr>
          <w:bCs/>
        </w:rPr>
        <w:t xml:space="preserve">he </w:t>
      </w:r>
      <w:r w:rsidR="00D944AE" w:rsidRPr="006A0FD2">
        <w:rPr>
          <w:bCs/>
          <w:i/>
        </w:rPr>
        <w:t>Dakar Declaration on Intellectual Property for Africa</w:t>
      </w:r>
      <w:r w:rsidR="00D944AE" w:rsidRPr="007861F3">
        <w:rPr>
          <w:bCs/>
        </w:rPr>
        <w:t xml:space="preserve"> </w:t>
      </w:r>
      <w:r>
        <w:rPr>
          <w:bCs/>
        </w:rPr>
        <w:t xml:space="preserve">was adopted, </w:t>
      </w:r>
      <w:r w:rsidR="00D944AE" w:rsidRPr="007861F3">
        <w:rPr>
          <w:bCs/>
        </w:rPr>
        <w:t>provid</w:t>
      </w:r>
      <w:r>
        <w:rPr>
          <w:bCs/>
        </w:rPr>
        <w:t>ing</w:t>
      </w:r>
      <w:r w:rsidR="00D944AE" w:rsidRPr="007861F3">
        <w:rPr>
          <w:bCs/>
        </w:rPr>
        <w:t xml:space="preserve"> a framework for cooperation between WIPO and the African Union for implementing IP related activities </w:t>
      </w:r>
      <w:r w:rsidR="00D944AE">
        <w:rPr>
          <w:bCs/>
        </w:rPr>
        <w:t>o</w:t>
      </w:r>
      <w:r w:rsidR="00D944AE" w:rsidRPr="007861F3">
        <w:rPr>
          <w:bCs/>
        </w:rPr>
        <w:t xml:space="preserve">n the continent. </w:t>
      </w:r>
      <w:r>
        <w:rPr>
          <w:bCs/>
        </w:rPr>
        <w:t xml:space="preserve"> In additiona, c</w:t>
      </w:r>
      <w:r w:rsidR="00D944AE" w:rsidRPr="007861F3">
        <w:rPr>
          <w:bCs/>
        </w:rPr>
        <w:t xml:space="preserve">ooperation activities continued to </w:t>
      </w:r>
      <w:r w:rsidR="00D944AE">
        <w:rPr>
          <w:bCs/>
        </w:rPr>
        <w:t xml:space="preserve">be </w:t>
      </w:r>
      <w:r w:rsidR="00D944AE" w:rsidRPr="007861F3">
        <w:rPr>
          <w:bCs/>
        </w:rPr>
        <w:t>strengthen</w:t>
      </w:r>
      <w:r w:rsidR="00D944AE">
        <w:rPr>
          <w:bCs/>
        </w:rPr>
        <w:t>ed</w:t>
      </w:r>
      <w:r w:rsidR="00D944AE" w:rsidRPr="007861F3">
        <w:rPr>
          <w:bCs/>
        </w:rPr>
        <w:t xml:space="preserve"> with the two African IP regional organizations (ARIPO</w:t>
      </w:r>
      <w:r>
        <w:rPr>
          <w:bCs/>
        </w:rPr>
        <w:t xml:space="preserve"> and OAPI</w:t>
      </w:r>
      <w:r w:rsidR="00D944AE" w:rsidRPr="007861F3">
        <w:rPr>
          <w:bCs/>
        </w:rPr>
        <w:t xml:space="preserve">). </w:t>
      </w:r>
    </w:p>
    <w:p w:rsidR="00D944AE" w:rsidRPr="007861F3" w:rsidRDefault="00D944AE" w:rsidP="00E3403E">
      <w:pPr>
        <w:pStyle w:val="ListParagraph"/>
        <w:ind w:left="0"/>
        <w:contextualSpacing/>
        <w:jc w:val="both"/>
        <w:rPr>
          <w:bCs/>
        </w:rPr>
      </w:pPr>
    </w:p>
    <w:p w:rsidR="00D944AE" w:rsidRPr="007861F3" w:rsidRDefault="00D944AE" w:rsidP="00E3403E">
      <w:pPr>
        <w:pStyle w:val="ListParagraph"/>
        <w:numPr>
          <w:ilvl w:val="1"/>
          <w:numId w:val="109"/>
        </w:numPr>
        <w:tabs>
          <w:tab w:val="left" w:pos="709"/>
        </w:tabs>
        <w:contextualSpacing/>
        <w:jc w:val="both"/>
        <w:rPr>
          <w:bCs/>
        </w:rPr>
      </w:pPr>
      <w:r w:rsidRPr="007861F3">
        <w:rPr>
          <w:bCs/>
        </w:rPr>
        <w:t>WIPO organized the</w:t>
      </w:r>
      <w:r>
        <w:rPr>
          <w:bCs/>
          <w:vertAlign w:val="superscript"/>
        </w:rPr>
        <w:t xml:space="preserve"> </w:t>
      </w:r>
      <w:r>
        <w:rPr>
          <w:bCs/>
        </w:rPr>
        <w:t>Seventh</w:t>
      </w:r>
      <w:r w:rsidRPr="007861F3">
        <w:rPr>
          <w:bCs/>
        </w:rPr>
        <w:t xml:space="preserve"> Regional Coordination Meeting of the Heads of Arab IP Offices in 2015 and two high-level meetings in the Central Latin America region of IP Directors and Heads of Science and Technology Institutions </w:t>
      </w:r>
      <w:r>
        <w:rPr>
          <w:bCs/>
        </w:rPr>
        <w:t>in the region</w:t>
      </w:r>
      <w:r w:rsidRPr="007861F3">
        <w:rPr>
          <w:bCs/>
        </w:rPr>
        <w:t>.</w:t>
      </w:r>
      <w:r>
        <w:rPr>
          <w:bCs/>
        </w:rPr>
        <w:t xml:space="preserve"> </w:t>
      </w:r>
      <w:r w:rsidRPr="007861F3">
        <w:rPr>
          <w:bCs/>
        </w:rPr>
        <w:t xml:space="preserve"> In Asia</w:t>
      </w:r>
      <w:r>
        <w:rPr>
          <w:bCs/>
        </w:rPr>
        <w:t>,</w:t>
      </w:r>
      <w:r w:rsidRPr="007861F3">
        <w:rPr>
          <w:bCs/>
        </w:rPr>
        <w:t xml:space="preserve"> the Heads of Intellectual Property Conference (HIPOC) </w:t>
      </w:r>
      <w:r>
        <w:rPr>
          <w:bCs/>
        </w:rPr>
        <w:t>was</w:t>
      </w:r>
      <w:r w:rsidRPr="007861F3">
        <w:rPr>
          <w:bCs/>
        </w:rPr>
        <w:t xml:space="preserve"> established as a new platform for sharing ideas and experiences. </w:t>
      </w:r>
      <w:r>
        <w:rPr>
          <w:bCs/>
        </w:rPr>
        <w:t xml:space="preserve"> </w:t>
      </w:r>
      <w:r w:rsidRPr="007861F3">
        <w:rPr>
          <w:bCs/>
        </w:rPr>
        <w:t xml:space="preserve">The partnership with the </w:t>
      </w:r>
      <w:r w:rsidRPr="007861F3">
        <w:rPr>
          <w:bCs/>
        </w:rPr>
        <w:lastRenderedPageBreak/>
        <w:t xml:space="preserve">Inter-American Development Bank resulted in the establishment of a Regional Entrepreneurial Asset Commercialization Hub - REACH Project for the Caribbean.  The project aims at facilitating the effective management of intangible assets through the creation of three support centers in three specific business areas:  </w:t>
      </w:r>
      <w:r>
        <w:rPr>
          <w:bCs/>
        </w:rPr>
        <w:t>t</w:t>
      </w:r>
      <w:r w:rsidRPr="007861F3">
        <w:rPr>
          <w:bCs/>
        </w:rPr>
        <w:t xml:space="preserve">echnology </w:t>
      </w:r>
      <w:r>
        <w:rPr>
          <w:bCs/>
        </w:rPr>
        <w:t>m</w:t>
      </w:r>
      <w:r w:rsidRPr="007861F3">
        <w:rPr>
          <w:bCs/>
        </w:rPr>
        <w:t xml:space="preserve">anagement; </w:t>
      </w:r>
      <w:r>
        <w:rPr>
          <w:bCs/>
        </w:rPr>
        <w:t>c</w:t>
      </w:r>
      <w:r w:rsidRPr="007861F3">
        <w:rPr>
          <w:bCs/>
        </w:rPr>
        <w:t xml:space="preserve">reative </w:t>
      </w:r>
      <w:r>
        <w:rPr>
          <w:bCs/>
        </w:rPr>
        <w:t>i</w:t>
      </w:r>
      <w:r w:rsidRPr="007861F3">
        <w:rPr>
          <w:bCs/>
        </w:rPr>
        <w:t xml:space="preserve">ndustries; </w:t>
      </w:r>
      <w:r>
        <w:rPr>
          <w:bCs/>
        </w:rPr>
        <w:t xml:space="preserve"> </w:t>
      </w:r>
      <w:r w:rsidRPr="007861F3">
        <w:rPr>
          <w:bCs/>
        </w:rPr>
        <w:t xml:space="preserve">and </w:t>
      </w:r>
      <w:r>
        <w:rPr>
          <w:bCs/>
        </w:rPr>
        <w:t>p</w:t>
      </w:r>
      <w:r w:rsidRPr="007861F3">
        <w:rPr>
          <w:bCs/>
        </w:rPr>
        <w:t xml:space="preserve">roduct </w:t>
      </w:r>
      <w:r>
        <w:rPr>
          <w:bCs/>
        </w:rPr>
        <w:t>b</w:t>
      </w:r>
      <w:r w:rsidRPr="007861F3">
        <w:rPr>
          <w:bCs/>
        </w:rPr>
        <w:t>randing.</w:t>
      </w:r>
    </w:p>
    <w:p w:rsidR="00D944AE" w:rsidRDefault="00D944AE" w:rsidP="00E3403E">
      <w:pPr>
        <w:pStyle w:val="ListParagraph"/>
        <w:tabs>
          <w:tab w:val="left" w:pos="709"/>
        </w:tabs>
        <w:ind w:left="0"/>
        <w:rPr>
          <w:bCs/>
        </w:rPr>
      </w:pPr>
    </w:p>
    <w:p w:rsidR="00D944AE" w:rsidRPr="005F2EEA" w:rsidRDefault="00D944AE" w:rsidP="00E3403E">
      <w:pPr>
        <w:pStyle w:val="ListParagraph"/>
        <w:numPr>
          <w:ilvl w:val="1"/>
          <w:numId w:val="109"/>
        </w:numPr>
        <w:tabs>
          <w:tab w:val="left" w:pos="709"/>
        </w:tabs>
        <w:jc w:val="both"/>
        <w:rPr>
          <w:bCs/>
        </w:rPr>
      </w:pPr>
      <w:r w:rsidRPr="005F2EEA">
        <w:rPr>
          <w:bCs/>
        </w:rPr>
        <w:t>In 2014</w:t>
      </w:r>
      <w:r>
        <w:rPr>
          <w:bCs/>
        </w:rPr>
        <w:t>/15</w:t>
      </w:r>
      <w:r w:rsidRPr="005F2EEA">
        <w:rPr>
          <w:bCs/>
        </w:rPr>
        <w:t xml:space="preserve">, the Program facilitated and internally coordinated the accession of several countries and regional groups to treaties and conventions administrated by WIPO:  two in Africa (OAPI and Zimbabwe) and </w:t>
      </w:r>
      <w:r>
        <w:rPr>
          <w:bCs/>
        </w:rPr>
        <w:t>three</w:t>
      </w:r>
      <w:r w:rsidRPr="005F2EEA">
        <w:rPr>
          <w:bCs/>
        </w:rPr>
        <w:t xml:space="preserve"> in the Arab region (</w:t>
      </w:r>
      <w:r>
        <w:rPr>
          <w:bCs/>
        </w:rPr>
        <w:t xml:space="preserve">Algeria, </w:t>
      </w:r>
      <w:r w:rsidRPr="005F2EEA">
        <w:rPr>
          <w:bCs/>
        </w:rPr>
        <w:t xml:space="preserve">Kuwait and the United Arab Emirates). </w:t>
      </w:r>
    </w:p>
    <w:p w:rsidR="00D944AE" w:rsidRPr="007861F3" w:rsidRDefault="00D944AE" w:rsidP="00E3403E">
      <w:pPr>
        <w:pStyle w:val="ListParagraph"/>
        <w:tabs>
          <w:tab w:val="left" w:pos="709"/>
        </w:tabs>
        <w:ind w:left="0"/>
        <w:jc w:val="both"/>
        <w:rPr>
          <w:bCs/>
        </w:rPr>
      </w:pPr>
    </w:p>
    <w:p w:rsidR="00D944AE" w:rsidRPr="006A0FD2" w:rsidRDefault="00D944AE" w:rsidP="00E3403E">
      <w:pPr>
        <w:pStyle w:val="ListParagraph"/>
        <w:numPr>
          <w:ilvl w:val="1"/>
          <w:numId w:val="109"/>
        </w:numPr>
        <w:tabs>
          <w:tab w:val="left" w:pos="709"/>
        </w:tabs>
        <w:contextualSpacing/>
        <w:jc w:val="both"/>
        <w:rPr>
          <w:bCs/>
        </w:rPr>
      </w:pPr>
      <w:r w:rsidRPr="0023662D">
        <w:rPr>
          <w:rFonts w:eastAsia="SimSun"/>
          <w:bCs/>
          <w:lang w:eastAsia="zh-CN"/>
        </w:rPr>
        <w:t xml:space="preserve">The Program continued to coordinate and facilitate technical assistance to developing countries and LDCs in formulating and modernizing legislation in the field of IP, taking into account specific national requirements and international flexibilities.  </w:t>
      </w:r>
    </w:p>
    <w:p w:rsidR="00D944AE" w:rsidRPr="006A0FD2" w:rsidRDefault="00D944AE" w:rsidP="00E3403E">
      <w:pPr>
        <w:pStyle w:val="ListParagraph"/>
        <w:tabs>
          <w:tab w:val="left" w:pos="709"/>
        </w:tabs>
        <w:ind w:left="0"/>
        <w:contextualSpacing/>
        <w:jc w:val="both"/>
        <w:rPr>
          <w:bCs/>
        </w:rPr>
      </w:pPr>
    </w:p>
    <w:p w:rsidR="00D944AE" w:rsidRPr="00A14C20" w:rsidRDefault="00D944AE" w:rsidP="00E3403E">
      <w:pPr>
        <w:pStyle w:val="ListParagraph"/>
        <w:numPr>
          <w:ilvl w:val="1"/>
          <w:numId w:val="109"/>
        </w:numPr>
        <w:tabs>
          <w:tab w:val="left" w:pos="709"/>
        </w:tabs>
        <w:contextualSpacing/>
        <w:jc w:val="both"/>
        <w:rPr>
          <w:bCs/>
        </w:rPr>
      </w:pPr>
      <w:r w:rsidRPr="0023662D">
        <w:rPr>
          <w:rFonts w:eastAsia="SimSun"/>
          <w:bCs/>
          <w:lang w:eastAsia="zh-CN"/>
        </w:rPr>
        <w:t xml:space="preserve">To enable Member States to make more informed choices as regards WIPO’s priority areas, the </w:t>
      </w:r>
      <w:r w:rsidRPr="0023662D">
        <w:rPr>
          <w:rFonts w:eastAsia="SimSun"/>
          <w:bCs/>
          <w:i/>
          <w:lang w:eastAsia="zh-CN"/>
        </w:rPr>
        <w:t>Manual on Delivery of WIPO Technical Assistance</w:t>
      </w:r>
      <w:r w:rsidRPr="0023662D">
        <w:rPr>
          <w:rFonts w:eastAsia="SimSun"/>
          <w:bCs/>
          <w:lang w:eastAsia="zh-CN"/>
        </w:rPr>
        <w:t xml:space="preserve"> (finalized in 2013) was published in all six official UN languages in 2014 and made available online</w:t>
      </w:r>
      <w:r>
        <w:rPr>
          <w:rStyle w:val="FootnoteReference"/>
          <w:rFonts w:eastAsia="SimSun"/>
          <w:bCs/>
          <w:lang w:eastAsia="zh-CN"/>
        </w:rPr>
        <w:footnoteReference w:id="57"/>
      </w:r>
      <w:r w:rsidRPr="0023662D">
        <w:rPr>
          <w:rFonts w:eastAsia="SimSun"/>
          <w:bCs/>
          <w:lang w:eastAsia="zh-CN"/>
        </w:rPr>
        <w:t xml:space="preserve"> (for more details see Programs 1, 2, 3 and 4</w:t>
      </w:r>
      <w:r>
        <w:rPr>
          <w:rFonts w:eastAsia="SimSun"/>
          <w:bCs/>
          <w:lang w:eastAsia="zh-CN"/>
        </w:rPr>
        <w:t>).</w:t>
      </w:r>
      <w:r>
        <w:rPr>
          <w:bCs/>
        </w:rPr>
        <w:t xml:space="preserve"> </w:t>
      </w:r>
      <w:r w:rsidRPr="00D526F6">
        <w:rPr>
          <w:bCs/>
        </w:rPr>
        <w:t xml:space="preserve">In addition, in 2014, the Central American countries and the Dominican Republic adopted the </w:t>
      </w:r>
      <w:r w:rsidRPr="00854E77">
        <w:rPr>
          <w:bCs/>
          <w:i/>
        </w:rPr>
        <w:t>Harmonized Manual on Trademark Examination</w:t>
      </w:r>
      <w:r w:rsidRPr="00A14C20">
        <w:rPr>
          <w:bCs/>
        </w:rPr>
        <w:t>,</w:t>
      </w:r>
      <w:r w:rsidRPr="00A14C20">
        <w:rPr>
          <w:bCs/>
          <w:i/>
        </w:rPr>
        <w:t xml:space="preserve"> </w:t>
      </w:r>
      <w:r w:rsidRPr="00A14C20">
        <w:rPr>
          <w:bCs/>
        </w:rPr>
        <w:t xml:space="preserve">a tool that contributes to the quality of the work and the harmonization of practices in the corresponding IP Offices of this region, and the brochure </w:t>
      </w:r>
      <w:r w:rsidRPr="00A14C20">
        <w:rPr>
          <w:bCs/>
          <w:i/>
        </w:rPr>
        <w:t>WIPO Development Tools and Services</w:t>
      </w:r>
      <w:r w:rsidRPr="00A14C20">
        <w:rPr>
          <w:bCs/>
        </w:rPr>
        <w:t xml:space="preserve">, published in 2007, was updated in 2015 and translated into French and Spanish. These tools enable Member States to make more informed choices as regards WIPO’s priority areas. </w:t>
      </w:r>
    </w:p>
    <w:p w:rsidR="00D944AE" w:rsidRDefault="00D944AE" w:rsidP="00E3403E">
      <w:pPr>
        <w:contextualSpacing/>
        <w:jc w:val="both"/>
        <w:rPr>
          <w:bCs/>
        </w:rPr>
      </w:pPr>
    </w:p>
    <w:p w:rsidR="00D944AE" w:rsidRPr="005F2EEA" w:rsidRDefault="00D944AE" w:rsidP="00E37059">
      <w:pPr>
        <w:pStyle w:val="ListParagraph"/>
        <w:numPr>
          <w:ilvl w:val="1"/>
          <w:numId w:val="109"/>
        </w:numPr>
        <w:tabs>
          <w:tab w:val="left" w:pos="709"/>
        </w:tabs>
        <w:contextualSpacing/>
        <w:jc w:val="both"/>
        <w:rPr>
          <w:bCs/>
        </w:rPr>
      </w:pPr>
      <w:r w:rsidRPr="00E37059">
        <w:rPr>
          <w:rFonts w:eastAsia="SimSun"/>
          <w:bCs/>
          <w:lang w:eastAsia="zh-CN"/>
        </w:rPr>
        <w:t>Specialized</w:t>
      </w:r>
      <w:r w:rsidRPr="005F2EEA">
        <w:rPr>
          <w:bCs/>
        </w:rPr>
        <w:t xml:space="preserve"> databases continued to be used to support the delivery of technical assistance, in particular the databases on IP Technical Assistance (IP-TAD) and the Roster of Consultants (IP-ROC), including the interfaces to store information on South-South cooperation, and the IP Development Matchmaking Database (IP-DMD). The year 2014 also saw the deployment of the specialized National IP Strategy Database (NIPS-D), which was developed in 2013 to capture relevant data for the baseline assessment phase of national IP strateg</w:t>
      </w:r>
      <w:r>
        <w:rPr>
          <w:bCs/>
        </w:rPr>
        <w:t>y</w:t>
      </w:r>
      <w:r w:rsidRPr="005F2EEA">
        <w:rPr>
          <w:bCs/>
        </w:rPr>
        <w:t xml:space="preserve"> development, as necessitated by the increasing number of countries using the WIPO methodology to develop IP strategies.  In an effort to maximize the potential of these databases, their usage was closely monitored </w:t>
      </w:r>
      <w:r>
        <w:rPr>
          <w:bCs/>
        </w:rPr>
        <w:t>and user feedback sought throughout the biennium</w:t>
      </w:r>
      <w:r w:rsidRPr="00D526F6">
        <w:rPr>
          <w:bCs/>
        </w:rPr>
        <w:t xml:space="preserve"> </w:t>
      </w:r>
      <w:r w:rsidRPr="005F2EEA">
        <w:rPr>
          <w:bCs/>
        </w:rPr>
        <w:t>to glean insights into further enhancing the systems with a view to making them more user friendly, as well as to identifying more strategic approaches for promoting thei</w:t>
      </w:r>
      <w:r>
        <w:rPr>
          <w:bCs/>
        </w:rPr>
        <w:t xml:space="preserve">r uses in different countries.  However, the number of countries using IP-TAD and IP-ROC saw decreases in both 2014 (10 per cent decrease as compared to 2013) and 2015 (28 per cent decrease as compared to 2014);  no matches had been catalyzed in the IP-DMD by the end of 2015;  and initial results on the usage of NIPS-D indicated that the database was not being effectively used.  </w:t>
      </w:r>
    </w:p>
    <w:p w:rsidR="00D944AE" w:rsidRPr="00824152" w:rsidRDefault="00D944AE" w:rsidP="00E3403E">
      <w:pPr>
        <w:pStyle w:val="ListParagraph"/>
        <w:ind w:left="0"/>
        <w:contextualSpacing/>
        <w:jc w:val="both"/>
        <w:rPr>
          <w:bCs/>
        </w:rPr>
      </w:pPr>
    </w:p>
    <w:p w:rsidR="00D944AE" w:rsidRDefault="00D944AE" w:rsidP="00E3403E">
      <w:pPr>
        <w:rPr>
          <w:bCs/>
        </w:rPr>
      </w:pPr>
    </w:p>
    <w:p w:rsidR="00D944AE" w:rsidRPr="007861F3" w:rsidRDefault="00D944AE" w:rsidP="00E3403E">
      <w:pPr>
        <w:jc w:val="both"/>
        <w:rPr>
          <w:szCs w:val="22"/>
        </w:rPr>
      </w:pPr>
      <w:r w:rsidRPr="007861F3">
        <w:rPr>
          <w:szCs w:val="22"/>
        </w:rPr>
        <w:t>PERFORMANCE DATA</w:t>
      </w:r>
    </w:p>
    <w:p w:rsidR="00D944AE" w:rsidRPr="007861F3" w:rsidRDefault="00D944AE" w:rsidP="00E3403E">
      <w:pPr>
        <w:rPr>
          <w:bCs/>
        </w:rPr>
      </w:pPr>
    </w:p>
    <w:tbl>
      <w:tblPr>
        <w:tblW w:w="9270"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125"/>
        <w:gridCol w:w="1985"/>
        <w:gridCol w:w="141"/>
        <w:gridCol w:w="1560"/>
        <w:gridCol w:w="2269"/>
        <w:gridCol w:w="140"/>
        <w:gridCol w:w="1050"/>
      </w:tblGrid>
      <w:tr w:rsidR="00D944AE" w:rsidRPr="007861F3" w:rsidTr="00E3403E">
        <w:tc>
          <w:tcPr>
            <w:tcW w:w="9270" w:type="dxa"/>
            <w:gridSpan w:val="7"/>
            <w:tcBorders>
              <w:top w:val="single" w:sz="4" w:space="0" w:color="auto"/>
              <w:bottom w:val="single" w:sz="4" w:space="0" w:color="auto"/>
            </w:tcBorders>
            <w:shd w:val="clear" w:color="auto" w:fill="C6D9F1" w:themeFill="text2" w:themeFillTint="33"/>
            <w:vAlign w:val="center"/>
          </w:tcPr>
          <w:p w:rsidR="00D944AE" w:rsidRPr="007861F3" w:rsidRDefault="00D944AE" w:rsidP="00E3403E">
            <w:pPr>
              <w:keepNext/>
              <w:keepLines/>
              <w:tabs>
                <w:tab w:val="left" w:pos="1452"/>
              </w:tabs>
              <w:spacing w:before="120" w:after="120"/>
              <w:ind w:left="1452" w:hanging="1452"/>
              <w:rPr>
                <w:b/>
                <w:bCs/>
                <w:sz w:val="16"/>
                <w:szCs w:val="16"/>
              </w:rPr>
            </w:pPr>
            <w:r w:rsidRPr="007861F3">
              <w:rPr>
                <w:b/>
                <w:bCs/>
                <w:sz w:val="16"/>
                <w:szCs w:val="16"/>
              </w:rPr>
              <w:t>Expected Result:</w:t>
            </w:r>
            <w:r w:rsidRPr="007861F3">
              <w:rPr>
                <w:b/>
                <w:bCs/>
                <w:sz w:val="16"/>
                <w:szCs w:val="16"/>
              </w:rPr>
              <w:tab/>
            </w:r>
            <w:r w:rsidRPr="007861F3">
              <w:rPr>
                <w:sz w:val="16"/>
                <w:szCs w:val="16"/>
                <w:lang w:bidi="th-TH"/>
              </w:rPr>
              <w:t>I.2 Tailored and balanced IP legislative, regulatory and policy frameworks</w:t>
            </w:r>
          </w:p>
        </w:tc>
      </w:tr>
      <w:tr w:rsidR="00D944AE" w:rsidRPr="007861F3" w:rsidTr="00E3403E">
        <w:trPr>
          <w:trHeight w:val="366"/>
        </w:trPr>
        <w:tc>
          <w:tcPr>
            <w:tcW w:w="2125" w:type="dxa"/>
            <w:tcBorders>
              <w:top w:val="single" w:sz="4" w:space="0" w:color="auto"/>
            </w:tcBorders>
            <w:shd w:val="clear" w:color="auto" w:fill="auto"/>
            <w:vAlign w:val="center"/>
          </w:tcPr>
          <w:p w:rsidR="00D944AE" w:rsidRPr="007861F3" w:rsidRDefault="00D944AE" w:rsidP="00E3403E">
            <w:pPr>
              <w:spacing w:before="40" w:after="40"/>
              <w:rPr>
                <w:sz w:val="16"/>
                <w:szCs w:val="16"/>
              </w:rPr>
            </w:pPr>
            <w:r w:rsidRPr="007861F3">
              <w:rPr>
                <w:b/>
                <w:bCs/>
                <w:sz w:val="16"/>
                <w:szCs w:val="16"/>
              </w:rPr>
              <w:t>Performance Indicators</w:t>
            </w:r>
          </w:p>
        </w:tc>
        <w:tc>
          <w:tcPr>
            <w:tcW w:w="2126" w:type="dxa"/>
            <w:gridSpan w:val="2"/>
            <w:tcBorders>
              <w:top w:val="single" w:sz="4" w:space="0" w:color="auto"/>
            </w:tcBorders>
            <w:shd w:val="clear" w:color="auto" w:fill="auto"/>
            <w:vAlign w:val="center"/>
          </w:tcPr>
          <w:p w:rsidR="00D944AE" w:rsidRPr="007861F3" w:rsidRDefault="00D944AE" w:rsidP="00E3403E">
            <w:pPr>
              <w:spacing w:before="40" w:after="40"/>
              <w:rPr>
                <w:b/>
                <w:bCs/>
                <w:sz w:val="16"/>
                <w:szCs w:val="16"/>
              </w:rPr>
            </w:pPr>
            <w:r w:rsidRPr="007861F3">
              <w:rPr>
                <w:b/>
                <w:bCs/>
                <w:sz w:val="16"/>
                <w:szCs w:val="16"/>
              </w:rPr>
              <w:t>Baselines</w:t>
            </w:r>
          </w:p>
        </w:tc>
        <w:tc>
          <w:tcPr>
            <w:tcW w:w="1560" w:type="dxa"/>
            <w:tcBorders>
              <w:top w:val="single" w:sz="4" w:space="0" w:color="auto"/>
            </w:tcBorders>
            <w:shd w:val="clear" w:color="auto" w:fill="auto"/>
            <w:tcMar>
              <w:top w:w="110" w:type="dxa"/>
            </w:tcMar>
            <w:vAlign w:val="center"/>
          </w:tcPr>
          <w:p w:rsidR="00D944AE" w:rsidRPr="007861F3" w:rsidRDefault="00D944AE" w:rsidP="00E3403E">
            <w:pPr>
              <w:spacing w:before="40" w:after="40"/>
              <w:rPr>
                <w:b/>
                <w:sz w:val="16"/>
                <w:szCs w:val="16"/>
              </w:rPr>
            </w:pPr>
            <w:r w:rsidRPr="007861F3">
              <w:rPr>
                <w:b/>
                <w:sz w:val="16"/>
                <w:szCs w:val="16"/>
              </w:rPr>
              <w:t>Targets</w:t>
            </w:r>
          </w:p>
        </w:tc>
        <w:tc>
          <w:tcPr>
            <w:tcW w:w="2409" w:type="dxa"/>
            <w:gridSpan w:val="2"/>
            <w:tcBorders>
              <w:top w:val="single" w:sz="4" w:space="0" w:color="auto"/>
            </w:tcBorders>
            <w:shd w:val="clear" w:color="auto" w:fill="FFFFFF"/>
            <w:tcMar>
              <w:top w:w="110" w:type="dxa"/>
            </w:tcMar>
            <w:vAlign w:val="center"/>
          </w:tcPr>
          <w:p w:rsidR="00D944AE" w:rsidRPr="007861F3" w:rsidRDefault="00D944AE" w:rsidP="00E3403E">
            <w:pPr>
              <w:spacing w:before="40" w:after="40"/>
              <w:rPr>
                <w:sz w:val="16"/>
                <w:szCs w:val="16"/>
              </w:rPr>
            </w:pPr>
            <w:r w:rsidRPr="007861F3">
              <w:rPr>
                <w:b/>
                <w:bCs/>
                <w:sz w:val="16"/>
                <w:szCs w:val="16"/>
              </w:rPr>
              <w:t>Performance Data</w:t>
            </w:r>
          </w:p>
        </w:tc>
        <w:tc>
          <w:tcPr>
            <w:tcW w:w="1050" w:type="dxa"/>
            <w:tcBorders>
              <w:top w:val="single" w:sz="4" w:space="0" w:color="auto"/>
            </w:tcBorders>
            <w:shd w:val="clear" w:color="auto" w:fill="auto"/>
            <w:tcMar>
              <w:top w:w="110" w:type="dxa"/>
            </w:tcMar>
            <w:vAlign w:val="center"/>
          </w:tcPr>
          <w:p w:rsidR="00D944AE" w:rsidRPr="007861F3" w:rsidRDefault="00D944AE" w:rsidP="00E3403E">
            <w:pPr>
              <w:keepNext/>
              <w:keepLines/>
              <w:spacing w:before="40" w:after="40"/>
              <w:jc w:val="center"/>
              <w:rPr>
                <w:b/>
                <w:bCs/>
                <w:sz w:val="16"/>
                <w:szCs w:val="16"/>
              </w:rPr>
            </w:pPr>
            <w:r w:rsidRPr="007861F3">
              <w:rPr>
                <w:b/>
                <w:bCs/>
                <w:sz w:val="16"/>
                <w:szCs w:val="16"/>
              </w:rPr>
              <w:t>TLS</w:t>
            </w:r>
          </w:p>
        </w:tc>
      </w:tr>
      <w:tr w:rsidR="00D944AE" w:rsidRPr="007861F3" w:rsidTr="00E3403E">
        <w:tc>
          <w:tcPr>
            <w:tcW w:w="2125" w:type="dxa"/>
            <w:shd w:val="clear" w:color="auto" w:fill="auto"/>
          </w:tcPr>
          <w:p w:rsidR="00D944AE" w:rsidRPr="007861F3" w:rsidRDefault="00D944AE" w:rsidP="00E3403E">
            <w:pPr>
              <w:rPr>
                <w:sz w:val="16"/>
                <w:szCs w:val="16"/>
              </w:rPr>
            </w:pPr>
            <w:r w:rsidRPr="007861F3">
              <w:rPr>
                <w:sz w:val="16"/>
                <w:szCs w:val="16"/>
                <w:lang w:bidi="th-TH"/>
              </w:rPr>
              <w:t>No. and % of Member States which were satisfied with the quality of legal advice related to patents, utility models, trade secrets and integrated circuits</w:t>
            </w:r>
          </w:p>
        </w:tc>
        <w:tc>
          <w:tcPr>
            <w:tcW w:w="2126" w:type="dxa"/>
            <w:gridSpan w:val="2"/>
            <w:shd w:val="clear" w:color="auto" w:fill="auto"/>
          </w:tcPr>
          <w:p w:rsidR="00D944AE" w:rsidRPr="007861F3" w:rsidRDefault="00D944AE" w:rsidP="00E3403E">
            <w:pPr>
              <w:rPr>
                <w:sz w:val="16"/>
                <w:szCs w:val="16"/>
                <w:lang w:bidi="th-TH"/>
              </w:rPr>
            </w:pPr>
            <w:r w:rsidRPr="007861F3">
              <w:rPr>
                <w:i/>
                <w:sz w:val="16"/>
                <w:szCs w:val="16"/>
              </w:rPr>
              <w:t>Updated Baseline</w:t>
            </w:r>
            <w:r w:rsidRPr="007861F3">
              <w:rPr>
                <w:i/>
                <w:sz w:val="16"/>
                <w:szCs w:val="16"/>
              </w:rPr>
              <w:br/>
              <w:t xml:space="preserve">end 2013:  </w:t>
            </w:r>
            <w:r w:rsidRPr="007861F3">
              <w:rPr>
                <w:sz w:val="16"/>
                <w:szCs w:val="16"/>
                <w:lang w:bidi="th-TH"/>
              </w:rPr>
              <w:t>9 Member States (90%), based on survey conducted by IOD in 2013</w:t>
            </w:r>
          </w:p>
          <w:p w:rsidR="00D944AE" w:rsidRPr="007861F3" w:rsidRDefault="00D944AE" w:rsidP="00E3403E">
            <w:pPr>
              <w:rPr>
                <w:i/>
                <w:sz w:val="8"/>
                <w:szCs w:val="8"/>
                <w:lang w:bidi="th-TH"/>
              </w:rPr>
            </w:pPr>
          </w:p>
          <w:p w:rsidR="00D944AE" w:rsidRPr="007861F3" w:rsidRDefault="00D944AE" w:rsidP="00E3403E">
            <w:pPr>
              <w:rPr>
                <w:sz w:val="16"/>
                <w:szCs w:val="16"/>
                <w:lang w:bidi="th-TH"/>
              </w:rPr>
            </w:pPr>
            <w:r w:rsidRPr="007861F3">
              <w:rPr>
                <w:i/>
                <w:sz w:val="16"/>
                <w:szCs w:val="16"/>
                <w:lang w:bidi="th-TH"/>
              </w:rPr>
              <w:t xml:space="preserve">Original Baseline </w:t>
            </w:r>
            <w:r w:rsidRPr="007861F3">
              <w:rPr>
                <w:i/>
                <w:sz w:val="16"/>
                <w:szCs w:val="16"/>
                <w:lang w:bidi="th-TH"/>
              </w:rPr>
              <w:br/>
              <w:t xml:space="preserve">P&amp;B 2014/15:  </w:t>
            </w:r>
            <w:r w:rsidRPr="007861F3">
              <w:rPr>
                <w:sz w:val="16"/>
                <w:szCs w:val="16"/>
                <w:lang w:bidi="th-TH"/>
              </w:rPr>
              <w:t>Surveys 2012</w:t>
            </w:r>
          </w:p>
        </w:tc>
        <w:tc>
          <w:tcPr>
            <w:tcW w:w="1560" w:type="dxa"/>
            <w:shd w:val="clear" w:color="auto" w:fill="auto"/>
            <w:tcMar>
              <w:top w:w="110" w:type="dxa"/>
            </w:tcMar>
          </w:tcPr>
          <w:p w:rsidR="00D944AE" w:rsidRPr="007861F3" w:rsidRDefault="00D944AE" w:rsidP="00E3403E">
            <w:pPr>
              <w:rPr>
                <w:sz w:val="16"/>
                <w:szCs w:val="16"/>
                <w:lang w:bidi="th-TH"/>
              </w:rPr>
            </w:pPr>
            <w:r w:rsidRPr="007861F3">
              <w:rPr>
                <w:sz w:val="16"/>
                <w:szCs w:val="16"/>
                <w:lang w:bidi="th-TH"/>
              </w:rPr>
              <w:t>90%</w:t>
            </w:r>
          </w:p>
        </w:tc>
        <w:tc>
          <w:tcPr>
            <w:tcW w:w="2409" w:type="dxa"/>
            <w:gridSpan w:val="2"/>
            <w:shd w:val="clear" w:color="auto" w:fill="FFFFFF"/>
            <w:tcMar>
              <w:top w:w="110" w:type="dxa"/>
            </w:tcMar>
          </w:tcPr>
          <w:p w:rsidR="00D944AE" w:rsidRDefault="00D944AE" w:rsidP="00E3403E">
            <w:pPr>
              <w:pStyle w:val="ListParagraph"/>
              <w:ind w:left="0"/>
              <w:rPr>
                <w:rFonts w:cs="Arial"/>
                <w:sz w:val="16"/>
                <w:szCs w:val="16"/>
              </w:rPr>
            </w:pPr>
          </w:p>
          <w:p w:rsidR="00D944AE" w:rsidRPr="007861F3" w:rsidRDefault="00D944AE" w:rsidP="00E3403E">
            <w:pPr>
              <w:pStyle w:val="ListParagraph"/>
              <w:ind w:left="0"/>
              <w:rPr>
                <w:rFonts w:cs="Arial"/>
                <w:sz w:val="16"/>
                <w:szCs w:val="16"/>
              </w:rPr>
            </w:pPr>
            <w:r>
              <w:rPr>
                <w:rFonts w:cs="Arial"/>
                <w:sz w:val="16"/>
                <w:szCs w:val="16"/>
                <w:lang w:bidi="th-TH"/>
              </w:rPr>
              <w:t xml:space="preserve">In 2014/15, </w:t>
            </w:r>
            <w:r w:rsidRPr="00A161DA">
              <w:rPr>
                <w:rFonts w:cs="Arial"/>
                <w:sz w:val="16"/>
                <w:szCs w:val="16"/>
                <w:lang w:bidi="th-TH"/>
              </w:rPr>
              <w:t>7 respondents reported on average a 94% satisfaction rate (Africa-3; Arab-1;  Asia and the Pacific-2; Latin America and the Caribbean-1</w:t>
            </w:r>
            <w:r>
              <w:rPr>
                <w:rStyle w:val="FootnoteReference"/>
                <w:rFonts w:cs="Arial"/>
                <w:sz w:val="16"/>
                <w:szCs w:val="16"/>
                <w:lang w:bidi="th-TH"/>
              </w:rPr>
              <w:footnoteReference w:id="58"/>
            </w:r>
          </w:p>
        </w:tc>
        <w:tc>
          <w:tcPr>
            <w:tcW w:w="1050" w:type="dxa"/>
            <w:shd w:val="clear" w:color="auto" w:fill="auto"/>
            <w:tcMar>
              <w:top w:w="110" w:type="dxa"/>
            </w:tcMar>
          </w:tcPr>
          <w:p w:rsidR="00D944AE" w:rsidRPr="007861F3" w:rsidRDefault="00D944AE" w:rsidP="00E3403E">
            <w:pPr>
              <w:keepNext/>
              <w:keepLines/>
              <w:jc w:val="center"/>
              <w:rPr>
                <w:b/>
                <w:bCs/>
                <w:sz w:val="16"/>
                <w:szCs w:val="16"/>
              </w:rPr>
            </w:pPr>
            <w:r>
              <w:rPr>
                <w:b/>
                <w:bCs/>
                <w:color w:val="00B050"/>
                <w:sz w:val="16"/>
                <w:szCs w:val="16"/>
              </w:rPr>
              <w:t>Fully Achieved</w:t>
            </w:r>
          </w:p>
        </w:tc>
      </w:tr>
      <w:tr w:rsidR="00D944AE" w:rsidRPr="007861F3" w:rsidTr="00E3403E">
        <w:tc>
          <w:tcPr>
            <w:tcW w:w="2125" w:type="dxa"/>
            <w:shd w:val="clear" w:color="auto" w:fill="auto"/>
          </w:tcPr>
          <w:p w:rsidR="00D944AE" w:rsidRPr="007861F3" w:rsidRDefault="00D944AE" w:rsidP="00E3403E">
            <w:pPr>
              <w:rPr>
                <w:sz w:val="16"/>
                <w:szCs w:val="16"/>
              </w:rPr>
            </w:pPr>
            <w:r w:rsidRPr="007861F3">
              <w:rPr>
                <w:sz w:val="16"/>
                <w:szCs w:val="16"/>
              </w:rPr>
              <w:t>No. and % of Member States/regional organizations providing positive feedback on the legislative advice offered in the area of trademarks, industrial designs and geographical indications</w:t>
            </w:r>
          </w:p>
        </w:tc>
        <w:tc>
          <w:tcPr>
            <w:tcW w:w="2126" w:type="dxa"/>
            <w:gridSpan w:val="2"/>
            <w:shd w:val="clear" w:color="auto" w:fill="auto"/>
          </w:tcPr>
          <w:p w:rsidR="00D944AE" w:rsidRPr="007861F3" w:rsidRDefault="00D944AE" w:rsidP="00E3403E">
            <w:pPr>
              <w:ind w:leftChars="-6" w:left="2" w:hangingChars="9" w:hanging="14"/>
              <w:rPr>
                <w:sz w:val="16"/>
                <w:szCs w:val="16"/>
                <w:lang w:bidi="th-TH"/>
              </w:rPr>
            </w:pPr>
            <w:r w:rsidRPr="007861F3">
              <w:rPr>
                <w:i/>
                <w:sz w:val="16"/>
                <w:szCs w:val="16"/>
              </w:rPr>
              <w:t>Updated Baseline</w:t>
            </w:r>
            <w:r w:rsidRPr="007861F3">
              <w:rPr>
                <w:i/>
                <w:sz w:val="16"/>
                <w:szCs w:val="16"/>
              </w:rPr>
              <w:br/>
              <w:t xml:space="preserve">end 2013:  </w:t>
            </w:r>
            <w:r w:rsidRPr="007861F3">
              <w:rPr>
                <w:sz w:val="16"/>
                <w:szCs w:val="16"/>
              </w:rPr>
              <w:t>Positive feedback received from nine out of 13 countries.  Four countries did not reply.</w:t>
            </w:r>
          </w:p>
          <w:p w:rsidR="00D944AE" w:rsidRPr="007861F3" w:rsidRDefault="00D944AE" w:rsidP="00E3403E">
            <w:pPr>
              <w:ind w:leftChars="-6" w:left="2" w:hangingChars="9" w:hanging="14"/>
              <w:rPr>
                <w:i/>
                <w:sz w:val="16"/>
                <w:szCs w:val="16"/>
                <w:lang w:bidi="th-TH"/>
              </w:rPr>
            </w:pPr>
          </w:p>
          <w:p w:rsidR="00D944AE" w:rsidRPr="007861F3" w:rsidRDefault="00D944AE" w:rsidP="00E3403E">
            <w:pPr>
              <w:ind w:leftChars="-6" w:left="2" w:hangingChars="9" w:hanging="14"/>
              <w:rPr>
                <w:sz w:val="16"/>
                <w:szCs w:val="16"/>
                <w:lang w:bidi="th-TH"/>
              </w:rPr>
            </w:pPr>
            <w:r w:rsidRPr="007861F3">
              <w:rPr>
                <w:i/>
                <w:sz w:val="16"/>
                <w:szCs w:val="16"/>
                <w:lang w:bidi="th-TH"/>
              </w:rPr>
              <w:t xml:space="preserve">Original Baseline </w:t>
            </w:r>
            <w:r w:rsidRPr="007861F3">
              <w:rPr>
                <w:i/>
                <w:sz w:val="16"/>
                <w:szCs w:val="16"/>
                <w:lang w:bidi="th-TH"/>
              </w:rPr>
              <w:br/>
              <w:t xml:space="preserve">P&amp;B 2014/15: </w:t>
            </w:r>
            <w:r w:rsidRPr="007861F3">
              <w:rPr>
                <w:sz w:val="16"/>
                <w:szCs w:val="16"/>
                <w:lang w:bidi="th-TH"/>
              </w:rPr>
              <w:t xml:space="preserve">Three </w:t>
            </w:r>
            <w:r w:rsidRPr="007861F3">
              <w:rPr>
                <w:sz w:val="16"/>
                <w:szCs w:val="16"/>
                <w:lang w:bidi="th-TH"/>
              </w:rPr>
              <w:lastRenderedPageBreak/>
              <w:t>Member States/regional organizations having provided positive feedback on legislative advice received in 2012</w:t>
            </w:r>
          </w:p>
          <w:p w:rsidR="00D944AE" w:rsidRPr="007861F3" w:rsidRDefault="00D944AE" w:rsidP="00E3403E">
            <w:pPr>
              <w:ind w:leftChars="-6" w:left="2" w:hangingChars="9" w:hanging="14"/>
              <w:rPr>
                <w:sz w:val="16"/>
                <w:szCs w:val="16"/>
                <w:lang w:bidi="th-TH"/>
              </w:rPr>
            </w:pPr>
          </w:p>
        </w:tc>
        <w:tc>
          <w:tcPr>
            <w:tcW w:w="1560" w:type="dxa"/>
            <w:shd w:val="clear" w:color="auto" w:fill="auto"/>
            <w:tcMar>
              <w:top w:w="110" w:type="dxa"/>
            </w:tcMar>
          </w:tcPr>
          <w:p w:rsidR="00D944AE" w:rsidRPr="007861F3" w:rsidRDefault="00D944AE" w:rsidP="00E3403E">
            <w:pPr>
              <w:autoSpaceDE w:val="0"/>
              <w:autoSpaceDN w:val="0"/>
              <w:adjustRightInd w:val="0"/>
              <w:rPr>
                <w:sz w:val="16"/>
                <w:szCs w:val="16"/>
              </w:rPr>
            </w:pPr>
            <w:r w:rsidRPr="007861F3">
              <w:rPr>
                <w:sz w:val="16"/>
                <w:szCs w:val="16"/>
              </w:rPr>
              <w:lastRenderedPageBreak/>
              <w:t>Positive feedback received from 10 Member States/regional organizations (regional breakdown)</w:t>
            </w:r>
          </w:p>
        </w:tc>
        <w:tc>
          <w:tcPr>
            <w:tcW w:w="2409" w:type="dxa"/>
            <w:gridSpan w:val="2"/>
            <w:shd w:val="clear" w:color="auto" w:fill="FFFFFF"/>
            <w:tcMar>
              <w:top w:w="110" w:type="dxa"/>
            </w:tcMar>
          </w:tcPr>
          <w:p w:rsidR="00D944AE" w:rsidRDefault="00D944AE" w:rsidP="00E3403E">
            <w:pPr>
              <w:keepNext/>
              <w:keepLines/>
              <w:rPr>
                <w:rFonts w:cs="Arial"/>
                <w:sz w:val="16"/>
                <w:szCs w:val="16"/>
                <w:lang w:bidi="th-TH"/>
              </w:rPr>
            </w:pPr>
            <w:r>
              <w:rPr>
                <w:rFonts w:cs="Arial"/>
                <w:sz w:val="16"/>
                <w:szCs w:val="16"/>
                <w:lang w:bidi="th-TH"/>
              </w:rPr>
              <w:t>Advice was provided to 30 Member States/Regional Organizations (Africa 8;  Arab 1;  Asia and the Pacific 14;  Latin America and the Caribbean 6)</w:t>
            </w:r>
          </w:p>
          <w:p w:rsidR="00D944AE" w:rsidRDefault="00D944AE" w:rsidP="00E3403E">
            <w:pPr>
              <w:rPr>
                <w:rFonts w:cs="Arial"/>
                <w:sz w:val="16"/>
                <w:szCs w:val="16"/>
                <w:lang w:bidi="th-TH"/>
              </w:rPr>
            </w:pPr>
          </w:p>
          <w:p w:rsidR="00D944AE" w:rsidRPr="007861F3" w:rsidRDefault="00D944AE" w:rsidP="00E3403E">
            <w:pPr>
              <w:rPr>
                <w:sz w:val="16"/>
                <w:szCs w:val="16"/>
              </w:rPr>
            </w:pPr>
            <w:r>
              <w:rPr>
                <w:rFonts w:cs="Arial"/>
                <w:sz w:val="16"/>
                <w:szCs w:val="16"/>
                <w:lang w:bidi="th-TH"/>
              </w:rPr>
              <w:t xml:space="preserve">Feedback was received from 10 respondents, all of whom </w:t>
            </w:r>
            <w:r>
              <w:rPr>
                <w:rFonts w:cs="Arial"/>
                <w:sz w:val="16"/>
                <w:szCs w:val="16"/>
                <w:lang w:bidi="th-TH"/>
              </w:rPr>
              <w:lastRenderedPageBreak/>
              <w:t>(100%) reported satisfaction with the advice offered.</w:t>
            </w:r>
          </w:p>
        </w:tc>
        <w:tc>
          <w:tcPr>
            <w:tcW w:w="1050" w:type="dxa"/>
            <w:shd w:val="clear" w:color="auto" w:fill="auto"/>
            <w:tcMar>
              <w:top w:w="110" w:type="dxa"/>
            </w:tcMar>
          </w:tcPr>
          <w:p w:rsidR="00D944AE" w:rsidRPr="007861F3" w:rsidRDefault="00D944AE" w:rsidP="00E3403E">
            <w:pPr>
              <w:keepNext/>
              <w:keepLines/>
              <w:jc w:val="center"/>
              <w:rPr>
                <w:bCs/>
                <w:sz w:val="16"/>
                <w:szCs w:val="16"/>
              </w:rPr>
            </w:pPr>
            <w:r>
              <w:rPr>
                <w:b/>
                <w:bCs/>
                <w:color w:val="00B050"/>
                <w:sz w:val="16"/>
                <w:szCs w:val="16"/>
              </w:rPr>
              <w:lastRenderedPageBreak/>
              <w:t>Fully Achieved</w:t>
            </w:r>
          </w:p>
        </w:tc>
      </w:tr>
      <w:tr w:rsidR="00D944AE" w:rsidRPr="007861F3" w:rsidTr="00E3403E">
        <w:tc>
          <w:tcPr>
            <w:tcW w:w="2125" w:type="dxa"/>
            <w:shd w:val="clear" w:color="auto" w:fill="auto"/>
          </w:tcPr>
          <w:p w:rsidR="00D944AE" w:rsidRPr="007861F3" w:rsidRDefault="00D944AE" w:rsidP="00E3403E">
            <w:pPr>
              <w:rPr>
                <w:sz w:val="16"/>
                <w:szCs w:val="16"/>
              </w:rPr>
            </w:pPr>
            <w:r w:rsidRPr="007861F3">
              <w:rPr>
                <w:sz w:val="16"/>
                <w:szCs w:val="16"/>
              </w:rPr>
              <w:lastRenderedPageBreak/>
              <w:t>No. and % of countries that have provided positive feedback about WIPO´s  legislative advice</w:t>
            </w:r>
          </w:p>
          <w:p w:rsidR="00D944AE" w:rsidRPr="007861F3" w:rsidRDefault="00D944AE" w:rsidP="00E3403E">
            <w:pPr>
              <w:rPr>
                <w:sz w:val="16"/>
                <w:szCs w:val="16"/>
              </w:rPr>
            </w:pPr>
          </w:p>
        </w:tc>
        <w:tc>
          <w:tcPr>
            <w:tcW w:w="2126" w:type="dxa"/>
            <w:gridSpan w:val="2"/>
            <w:shd w:val="clear" w:color="auto" w:fill="auto"/>
          </w:tcPr>
          <w:p w:rsidR="00D944AE" w:rsidRPr="007861F3" w:rsidRDefault="00D944AE" w:rsidP="00E3403E">
            <w:pPr>
              <w:ind w:left="1"/>
              <w:rPr>
                <w:sz w:val="16"/>
                <w:szCs w:val="16"/>
                <w:lang w:bidi="th-TH"/>
              </w:rPr>
            </w:pPr>
            <w:r w:rsidRPr="007861F3">
              <w:rPr>
                <w:sz w:val="16"/>
                <w:szCs w:val="16"/>
                <w:lang w:bidi="th-TH"/>
              </w:rPr>
              <w:t>No feedback information has yet been collected</w:t>
            </w:r>
          </w:p>
        </w:tc>
        <w:tc>
          <w:tcPr>
            <w:tcW w:w="1560" w:type="dxa"/>
            <w:shd w:val="clear" w:color="auto" w:fill="auto"/>
            <w:tcMar>
              <w:top w:w="110" w:type="dxa"/>
            </w:tcMar>
          </w:tcPr>
          <w:p w:rsidR="00D944AE" w:rsidRPr="007861F3" w:rsidRDefault="00D944AE" w:rsidP="00E3403E">
            <w:pPr>
              <w:autoSpaceDE w:val="0"/>
              <w:autoSpaceDN w:val="0"/>
              <w:adjustRightInd w:val="0"/>
              <w:rPr>
                <w:sz w:val="16"/>
                <w:szCs w:val="16"/>
              </w:rPr>
            </w:pPr>
            <w:r w:rsidRPr="007861F3">
              <w:rPr>
                <w:sz w:val="16"/>
                <w:szCs w:val="16"/>
              </w:rPr>
              <w:t>15 countries (regional breakdown)</w:t>
            </w:r>
          </w:p>
        </w:tc>
        <w:tc>
          <w:tcPr>
            <w:tcW w:w="2409" w:type="dxa"/>
            <w:gridSpan w:val="2"/>
            <w:shd w:val="clear" w:color="auto" w:fill="FFFFFF"/>
            <w:tcMar>
              <w:top w:w="110" w:type="dxa"/>
            </w:tcMar>
          </w:tcPr>
          <w:p w:rsidR="00D944AE" w:rsidRDefault="00D944AE" w:rsidP="00E3403E">
            <w:pPr>
              <w:rPr>
                <w:rFonts w:cs="Arial"/>
                <w:sz w:val="16"/>
                <w:szCs w:val="16"/>
                <w:lang w:bidi="th-TH"/>
              </w:rPr>
            </w:pPr>
            <w:r>
              <w:rPr>
                <w:rFonts w:cs="Arial"/>
                <w:sz w:val="16"/>
                <w:szCs w:val="16"/>
                <w:lang w:bidi="th-TH"/>
              </w:rPr>
              <w:t xml:space="preserve">23 countries received legislative advice in 2014/15. (Africa 9;  Arab 3;  Asia and the Pacific 5;  Latin America and the Caribbean 6). </w:t>
            </w:r>
          </w:p>
          <w:p w:rsidR="00D944AE" w:rsidRDefault="00D944AE" w:rsidP="00E3403E">
            <w:pPr>
              <w:rPr>
                <w:rFonts w:cs="Arial"/>
                <w:sz w:val="16"/>
                <w:szCs w:val="16"/>
                <w:lang w:bidi="th-TH"/>
              </w:rPr>
            </w:pPr>
          </w:p>
          <w:p w:rsidR="00D944AE" w:rsidRDefault="00D944AE" w:rsidP="00E3403E">
            <w:pPr>
              <w:pStyle w:val="ListParagraph"/>
              <w:ind w:left="0"/>
              <w:rPr>
                <w:rFonts w:cs="Arial"/>
                <w:sz w:val="16"/>
                <w:szCs w:val="16"/>
                <w:lang w:bidi="th-TH"/>
              </w:rPr>
            </w:pPr>
            <w:r>
              <w:rPr>
                <w:rFonts w:cs="Arial"/>
                <w:sz w:val="16"/>
                <w:szCs w:val="16"/>
                <w:lang w:bidi="th-TH"/>
              </w:rPr>
              <w:t>100% of the valid survey responses provided positive feedback (5 or 6 on a scale of 1-6) about WIPO</w:t>
            </w:r>
            <w:r>
              <w:rPr>
                <w:rFonts w:cs="Arial"/>
                <w:sz w:val="16"/>
                <w:szCs w:val="16"/>
                <w:lang w:eastAsia="ja-JP" w:bidi="th-TH"/>
              </w:rPr>
              <w:t>’s copyright legislative advice service</w:t>
            </w:r>
            <w:r>
              <w:rPr>
                <w:rFonts w:cs="Arial"/>
                <w:sz w:val="16"/>
                <w:szCs w:val="16"/>
                <w:lang w:bidi="th-TH"/>
              </w:rPr>
              <w:t xml:space="preserve">. </w:t>
            </w:r>
          </w:p>
          <w:p w:rsidR="00D944AE" w:rsidRPr="007861F3" w:rsidRDefault="00D944AE" w:rsidP="00E3403E">
            <w:pPr>
              <w:pStyle w:val="ListParagraph"/>
              <w:ind w:left="0"/>
              <w:rPr>
                <w:rFonts w:cs="Arial"/>
                <w:sz w:val="16"/>
                <w:szCs w:val="16"/>
              </w:rPr>
            </w:pPr>
          </w:p>
        </w:tc>
        <w:tc>
          <w:tcPr>
            <w:tcW w:w="1050" w:type="dxa"/>
            <w:shd w:val="clear" w:color="auto" w:fill="auto"/>
            <w:tcMar>
              <w:top w:w="110" w:type="dxa"/>
            </w:tcMar>
          </w:tcPr>
          <w:p w:rsidR="00D944AE" w:rsidRPr="007861F3" w:rsidRDefault="00D944AE" w:rsidP="00E3403E">
            <w:pPr>
              <w:keepNext/>
              <w:keepLines/>
              <w:jc w:val="center"/>
              <w:rPr>
                <w:bCs/>
                <w:sz w:val="16"/>
                <w:szCs w:val="16"/>
              </w:rPr>
            </w:pPr>
            <w:r>
              <w:rPr>
                <w:b/>
                <w:bCs/>
                <w:color w:val="00B050"/>
                <w:sz w:val="16"/>
                <w:szCs w:val="16"/>
              </w:rPr>
              <w:t>Fully Achieved</w:t>
            </w:r>
          </w:p>
        </w:tc>
      </w:tr>
      <w:tr w:rsidR="00D944AE" w:rsidRPr="007861F3" w:rsidTr="00E3403E">
        <w:tc>
          <w:tcPr>
            <w:tcW w:w="9270" w:type="dxa"/>
            <w:gridSpan w:val="7"/>
            <w:tcBorders>
              <w:top w:val="single" w:sz="4" w:space="0" w:color="auto"/>
              <w:bottom w:val="single" w:sz="4" w:space="0" w:color="auto"/>
            </w:tcBorders>
            <w:shd w:val="clear" w:color="auto" w:fill="C6D9F1" w:themeFill="text2" w:themeFillTint="33"/>
            <w:vAlign w:val="center"/>
          </w:tcPr>
          <w:p w:rsidR="00D944AE" w:rsidRPr="007861F3" w:rsidRDefault="00D944AE" w:rsidP="00E3403E">
            <w:pPr>
              <w:keepNext/>
              <w:keepLines/>
              <w:tabs>
                <w:tab w:val="left" w:pos="1452"/>
              </w:tabs>
              <w:spacing w:before="120" w:after="120"/>
              <w:ind w:left="1452" w:hanging="1452"/>
              <w:rPr>
                <w:b/>
                <w:bCs/>
                <w:sz w:val="16"/>
                <w:szCs w:val="16"/>
              </w:rPr>
            </w:pPr>
            <w:r w:rsidRPr="007861F3">
              <w:br w:type="page"/>
            </w:r>
            <w:r w:rsidRPr="007861F3">
              <w:rPr>
                <w:b/>
                <w:bCs/>
                <w:sz w:val="16"/>
                <w:szCs w:val="16"/>
              </w:rPr>
              <w:t>Expected Result:</w:t>
            </w:r>
            <w:r w:rsidRPr="007861F3">
              <w:rPr>
                <w:b/>
                <w:bCs/>
                <w:sz w:val="16"/>
                <w:szCs w:val="16"/>
              </w:rPr>
              <w:tab/>
            </w:r>
            <w:r w:rsidRPr="007861F3">
              <w:rPr>
                <w:sz w:val="16"/>
                <w:szCs w:val="16"/>
                <w:lang w:bidi="th-TH"/>
              </w:rPr>
              <w:t>III.1 National innovation and IP strategies and plans consistent with national development objectives</w:t>
            </w:r>
          </w:p>
        </w:tc>
      </w:tr>
      <w:tr w:rsidR="00D944AE" w:rsidRPr="007861F3" w:rsidTr="00E3403E">
        <w:tc>
          <w:tcPr>
            <w:tcW w:w="2125" w:type="dxa"/>
            <w:tcBorders>
              <w:top w:val="single" w:sz="4" w:space="0" w:color="auto"/>
            </w:tcBorders>
            <w:shd w:val="clear" w:color="auto" w:fill="auto"/>
            <w:vAlign w:val="center"/>
          </w:tcPr>
          <w:p w:rsidR="00D944AE" w:rsidRPr="007861F3" w:rsidRDefault="00D944AE" w:rsidP="00E3403E">
            <w:pPr>
              <w:spacing w:after="40"/>
              <w:rPr>
                <w:sz w:val="16"/>
                <w:szCs w:val="16"/>
              </w:rPr>
            </w:pPr>
            <w:r w:rsidRPr="007861F3">
              <w:rPr>
                <w:b/>
                <w:bCs/>
                <w:sz w:val="16"/>
                <w:szCs w:val="16"/>
              </w:rPr>
              <w:t>Performance Indicators</w:t>
            </w:r>
          </w:p>
        </w:tc>
        <w:tc>
          <w:tcPr>
            <w:tcW w:w="1985" w:type="dxa"/>
            <w:tcBorders>
              <w:top w:val="single" w:sz="4" w:space="0" w:color="auto"/>
            </w:tcBorders>
            <w:shd w:val="clear" w:color="auto" w:fill="auto"/>
            <w:vAlign w:val="center"/>
          </w:tcPr>
          <w:p w:rsidR="00D944AE" w:rsidRPr="007861F3" w:rsidRDefault="00D944AE" w:rsidP="00E3403E">
            <w:pPr>
              <w:spacing w:after="40"/>
              <w:rPr>
                <w:b/>
                <w:bCs/>
                <w:sz w:val="16"/>
                <w:szCs w:val="16"/>
              </w:rPr>
            </w:pPr>
            <w:r w:rsidRPr="007861F3">
              <w:rPr>
                <w:b/>
                <w:bCs/>
                <w:sz w:val="16"/>
                <w:szCs w:val="16"/>
              </w:rPr>
              <w:t>Baselines</w:t>
            </w:r>
          </w:p>
        </w:tc>
        <w:tc>
          <w:tcPr>
            <w:tcW w:w="1701" w:type="dxa"/>
            <w:gridSpan w:val="2"/>
            <w:tcBorders>
              <w:top w:val="single" w:sz="4" w:space="0" w:color="auto"/>
            </w:tcBorders>
            <w:shd w:val="clear" w:color="auto" w:fill="auto"/>
            <w:tcMar>
              <w:top w:w="110" w:type="dxa"/>
            </w:tcMar>
            <w:vAlign w:val="center"/>
          </w:tcPr>
          <w:p w:rsidR="00D944AE" w:rsidRPr="007861F3" w:rsidRDefault="00D944AE" w:rsidP="00E3403E">
            <w:pPr>
              <w:spacing w:after="40"/>
              <w:rPr>
                <w:b/>
                <w:sz w:val="16"/>
                <w:szCs w:val="16"/>
              </w:rPr>
            </w:pPr>
            <w:r w:rsidRPr="007861F3">
              <w:rPr>
                <w:b/>
                <w:sz w:val="16"/>
                <w:szCs w:val="16"/>
              </w:rPr>
              <w:t>Targets</w:t>
            </w:r>
          </w:p>
        </w:tc>
        <w:tc>
          <w:tcPr>
            <w:tcW w:w="2269" w:type="dxa"/>
            <w:tcBorders>
              <w:top w:val="single" w:sz="4" w:space="0" w:color="auto"/>
            </w:tcBorders>
            <w:shd w:val="clear" w:color="auto" w:fill="FFFFFF"/>
            <w:tcMar>
              <w:top w:w="110" w:type="dxa"/>
            </w:tcMar>
            <w:vAlign w:val="center"/>
          </w:tcPr>
          <w:p w:rsidR="00D944AE" w:rsidRPr="007861F3" w:rsidRDefault="00D944AE" w:rsidP="00E3403E">
            <w:pPr>
              <w:spacing w:after="40"/>
              <w:rPr>
                <w:sz w:val="16"/>
                <w:szCs w:val="16"/>
              </w:rPr>
            </w:pPr>
            <w:r w:rsidRPr="007861F3">
              <w:rPr>
                <w:b/>
                <w:bCs/>
                <w:sz w:val="16"/>
                <w:szCs w:val="16"/>
              </w:rPr>
              <w:t>Performance Data</w:t>
            </w:r>
          </w:p>
        </w:tc>
        <w:tc>
          <w:tcPr>
            <w:tcW w:w="1190" w:type="dxa"/>
            <w:gridSpan w:val="2"/>
            <w:tcBorders>
              <w:top w:val="single" w:sz="4" w:space="0" w:color="auto"/>
            </w:tcBorders>
            <w:shd w:val="clear" w:color="auto" w:fill="auto"/>
            <w:tcMar>
              <w:top w:w="110" w:type="dxa"/>
            </w:tcMar>
            <w:vAlign w:val="center"/>
          </w:tcPr>
          <w:p w:rsidR="00D944AE" w:rsidRPr="007861F3" w:rsidRDefault="00D944AE" w:rsidP="00E3403E">
            <w:pPr>
              <w:keepNext/>
              <w:keepLines/>
              <w:spacing w:after="40"/>
              <w:jc w:val="center"/>
              <w:rPr>
                <w:b/>
                <w:bCs/>
                <w:sz w:val="16"/>
                <w:szCs w:val="16"/>
              </w:rPr>
            </w:pPr>
            <w:r w:rsidRPr="007861F3">
              <w:rPr>
                <w:b/>
                <w:bCs/>
                <w:sz w:val="16"/>
                <w:szCs w:val="16"/>
              </w:rPr>
              <w:t>TLS</w:t>
            </w:r>
          </w:p>
        </w:tc>
      </w:tr>
      <w:tr w:rsidR="00D944AE" w:rsidRPr="007861F3" w:rsidTr="00E3403E">
        <w:tc>
          <w:tcPr>
            <w:tcW w:w="2125" w:type="dxa"/>
            <w:shd w:val="clear" w:color="auto" w:fill="FFFFFF"/>
          </w:tcPr>
          <w:p w:rsidR="00D944AE" w:rsidRPr="007861F3" w:rsidRDefault="00D944AE" w:rsidP="00E3403E">
            <w:pPr>
              <w:rPr>
                <w:sz w:val="16"/>
                <w:szCs w:val="16"/>
                <w:lang w:bidi="th-TH"/>
              </w:rPr>
            </w:pPr>
            <w:r w:rsidRPr="007861F3">
              <w:rPr>
                <w:sz w:val="16"/>
                <w:szCs w:val="16"/>
                <w:lang w:bidi="th-TH"/>
              </w:rPr>
              <w:t>No. of countries which are in the process of formulating/adopting national IP strategies and/or development plans</w:t>
            </w:r>
          </w:p>
        </w:tc>
        <w:tc>
          <w:tcPr>
            <w:tcW w:w="1985" w:type="dxa"/>
            <w:shd w:val="clear" w:color="auto" w:fill="auto"/>
          </w:tcPr>
          <w:p w:rsidR="00D944AE" w:rsidRPr="007861F3" w:rsidRDefault="00D944AE" w:rsidP="00E3403E">
            <w:pPr>
              <w:rPr>
                <w:i/>
                <w:sz w:val="16"/>
                <w:szCs w:val="16"/>
              </w:rPr>
            </w:pPr>
            <w:r w:rsidRPr="007861F3">
              <w:rPr>
                <w:i/>
                <w:sz w:val="16"/>
                <w:szCs w:val="16"/>
              </w:rPr>
              <w:t xml:space="preserve">Updated Baseline end 2013: </w:t>
            </w:r>
          </w:p>
          <w:p w:rsidR="00D944AE" w:rsidRPr="007861F3" w:rsidRDefault="00D944AE" w:rsidP="00E3403E">
            <w:pPr>
              <w:rPr>
                <w:sz w:val="16"/>
                <w:szCs w:val="16"/>
              </w:rPr>
            </w:pPr>
            <w:r w:rsidRPr="007861F3">
              <w:rPr>
                <w:sz w:val="16"/>
                <w:szCs w:val="16"/>
              </w:rPr>
              <w:t>Africa: 18 cumulative (Botswana, Burundi, Cameroon, Central African Republic, Chad, the Congo, Equatorial Guinea, Ethiopia</w:t>
            </w:r>
            <w:r w:rsidRPr="007861F3">
              <w:rPr>
                <w:rStyle w:val="FootnoteReference"/>
                <w:sz w:val="16"/>
                <w:szCs w:val="16"/>
              </w:rPr>
              <w:footnoteReference w:id="59"/>
            </w:r>
            <w:r w:rsidRPr="007861F3">
              <w:rPr>
                <w:sz w:val="16"/>
                <w:szCs w:val="16"/>
              </w:rPr>
              <w:t>, the Gambia, Kenya, Lesotho,  Malawi, Mali, Mauritius, Seychelles, Sierra Leone, Togo, United Republic of Tanzania)</w:t>
            </w:r>
          </w:p>
          <w:p w:rsidR="00D944AE" w:rsidRPr="007861F3" w:rsidRDefault="00D944AE" w:rsidP="00E3403E">
            <w:pPr>
              <w:rPr>
                <w:sz w:val="16"/>
                <w:szCs w:val="16"/>
              </w:rPr>
            </w:pPr>
          </w:p>
          <w:p w:rsidR="00D944AE" w:rsidRPr="007861F3" w:rsidRDefault="00D944AE" w:rsidP="00E3403E">
            <w:pPr>
              <w:rPr>
                <w:sz w:val="16"/>
                <w:szCs w:val="16"/>
              </w:rPr>
            </w:pPr>
            <w:r w:rsidRPr="007861F3">
              <w:rPr>
                <w:sz w:val="16"/>
                <w:szCs w:val="16"/>
              </w:rPr>
              <w:t>Arab: 6 cumulative</w:t>
            </w:r>
            <w:r w:rsidRPr="007861F3">
              <w:rPr>
                <w:rStyle w:val="FootnoteReference"/>
                <w:sz w:val="16"/>
                <w:szCs w:val="16"/>
              </w:rPr>
              <w:footnoteReference w:id="60"/>
            </w:r>
            <w:r w:rsidRPr="007861F3">
              <w:rPr>
                <w:sz w:val="16"/>
                <w:szCs w:val="16"/>
              </w:rPr>
              <w:t xml:space="preserve"> (Algeria</w:t>
            </w:r>
            <w:r w:rsidRPr="007861F3">
              <w:rPr>
                <w:rStyle w:val="FootnoteReference"/>
                <w:sz w:val="16"/>
                <w:szCs w:val="16"/>
              </w:rPr>
              <w:footnoteReference w:id="61"/>
            </w:r>
            <w:r w:rsidRPr="007861F3">
              <w:rPr>
                <w:sz w:val="16"/>
                <w:szCs w:val="16"/>
              </w:rPr>
              <w:t>, Oman</w:t>
            </w:r>
            <w:r>
              <w:rPr>
                <w:sz w:val="16"/>
                <w:szCs w:val="16"/>
              </w:rPr>
              <w:t>,</w:t>
            </w:r>
            <w:r w:rsidRPr="007861F3">
              <w:rPr>
                <w:sz w:val="16"/>
                <w:szCs w:val="16"/>
              </w:rPr>
              <w:t xml:space="preserve"> Qatar</w:t>
            </w:r>
            <w:r w:rsidRPr="007861F3">
              <w:rPr>
                <w:rStyle w:val="FootnoteReference"/>
                <w:sz w:val="16"/>
                <w:szCs w:val="16"/>
              </w:rPr>
              <w:footnoteReference w:id="62"/>
            </w:r>
            <w:r w:rsidRPr="007861F3">
              <w:rPr>
                <w:sz w:val="16"/>
                <w:szCs w:val="16"/>
              </w:rPr>
              <w:t>, Sudan, United Arab Emirates, Yemen</w:t>
            </w:r>
            <w:r>
              <w:rPr>
                <w:sz w:val="16"/>
                <w:szCs w:val="16"/>
              </w:rPr>
              <w:t>)</w:t>
            </w:r>
          </w:p>
          <w:p w:rsidR="00D944AE" w:rsidRPr="007861F3" w:rsidRDefault="00D944AE" w:rsidP="00E3403E">
            <w:pPr>
              <w:rPr>
                <w:sz w:val="16"/>
                <w:szCs w:val="16"/>
              </w:rPr>
            </w:pPr>
          </w:p>
          <w:p w:rsidR="00D944AE" w:rsidRPr="007861F3" w:rsidRDefault="00D944AE" w:rsidP="00E3403E">
            <w:pPr>
              <w:rPr>
                <w:sz w:val="16"/>
                <w:szCs w:val="16"/>
              </w:rPr>
            </w:pPr>
            <w:r w:rsidRPr="007861F3">
              <w:rPr>
                <w:sz w:val="16"/>
                <w:szCs w:val="16"/>
              </w:rPr>
              <w:t>Asia and the Pacific: 12 cumulative (Bangladesh,   Bhutan, Cambodia</w:t>
            </w:r>
            <w:r>
              <w:rPr>
                <w:sz w:val="16"/>
                <w:szCs w:val="16"/>
              </w:rPr>
              <w:t>,</w:t>
            </w:r>
            <w:r w:rsidRPr="007861F3">
              <w:rPr>
                <w:sz w:val="16"/>
                <w:szCs w:val="16"/>
              </w:rPr>
              <w:t xml:space="preserve"> Fiji, Mongolia, Papua New Guinea, Samoa, Solomon Islands, Sri Lanka, Tonga, Vanuatu, Viet Nam) </w:t>
            </w:r>
          </w:p>
          <w:p w:rsidR="00D944AE" w:rsidRPr="007861F3" w:rsidRDefault="00D944AE" w:rsidP="00E3403E">
            <w:pPr>
              <w:rPr>
                <w:sz w:val="16"/>
                <w:szCs w:val="16"/>
              </w:rPr>
            </w:pPr>
          </w:p>
          <w:p w:rsidR="00D944AE" w:rsidRPr="007861F3" w:rsidRDefault="00D944AE" w:rsidP="00E3403E">
            <w:pPr>
              <w:rPr>
                <w:sz w:val="16"/>
                <w:szCs w:val="16"/>
                <w:lang w:val="es-ES"/>
              </w:rPr>
            </w:pPr>
            <w:r w:rsidRPr="00D944AE">
              <w:rPr>
                <w:sz w:val="16"/>
                <w:szCs w:val="16"/>
                <w:lang w:val="es-ES"/>
              </w:rPr>
              <w:t>Latin America and  the Caribbean: 11 cumulative (Barbados, Costa Rica, Dominican Republic, Ecuador, El Salvador, Guatemala, Honduras, Nicaragua, Panama, Saint Kitts &amp; Nevis, Trinidad &amp;</w:t>
            </w:r>
            <w:r w:rsidRPr="007861F3">
              <w:rPr>
                <w:sz w:val="16"/>
                <w:szCs w:val="16"/>
                <w:lang w:val="es-ES"/>
              </w:rPr>
              <w:t xml:space="preserve"> Tobago)</w:t>
            </w:r>
          </w:p>
          <w:p w:rsidR="00D944AE" w:rsidRPr="007861F3" w:rsidRDefault="00D944AE" w:rsidP="00E3403E">
            <w:pPr>
              <w:rPr>
                <w:sz w:val="16"/>
                <w:szCs w:val="16"/>
                <w:lang w:val="es-ES"/>
              </w:rPr>
            </w:pPr>
          </w:p>
          <w:p w:rsidR="00D944AE" w:rsidRPr="007861F3" w:rsidRDefault="00D944AE" w:rsidP="00E3403E">
            <w:pPr>
              <w:rPr>
                <w:sz w:val="16"/>
                <w:szCs w:val="16"/>
              </w:rPr>
            </w:pPr>
            <w:r w:rsidRPr="007861F3">
              <w:rPr>
                <w:sz w:val="16"/>
                <w:szCs w:val="16"/>
              </w:rPr>
              <w:t>19 LDCs included in the above regional breakdown</w:t>
            </w:r>
          </w:p>
          <w:p w:rsidR="00D944AE" w:rsidRPr="007861F3" w:rsidRDefault="00D944AE" w:rsidP="00E3403E">
            <w:pPr>
              <w:rPr>
                <w:sz w:val="16"/>
                <w:szCs w:val="16"/>
              </w:rPr>
            </w:pPr>
          </w:p>
          <w:p w:rsidR="00D944AE" w:rsidRPr="007861F3" w:rsidRDefault="00D944AE" w:rsidP="00E3403E">
            <w:pPr>
              <w:rPr>
                <w:sz w:val="16"/>
                <w:szCs w:val="16"/>
                <w:lang w:bidi="th-TH"/>
              </w:rPr>
            </w:pPr>
            <w:r w:rsidRPr="007861F3">
              <w:rPr>
                <w:i/>
                <w:sz w:val="16"/>
                <w:szCs w:val="16"/>
                <w:lang w:bidi="th-TH"/>
              </w:rPr>
              <w:lastRenderedPageBreak/>
              <w:t>Original Baseline</w:t>
            </w:r>
          </w:p>
          <w:p w:rsidR="00D944AE" w:rsidRPr="007861F3" w:rsidRDefault="00D944AE" w:rsidP="00E3403E">
            <w:pPr>
              <w:rPr>
                <w:sz w:val="16"/>
                <w:szCs w:val="16"/>
                <w:lang w:bidi="th-TH"/>
              </w:rPr>
            </w:pPr>
            <w:r w:rsidRPr="007861F3">
              <w:rPr>
                <w:i/>
                <w:sz w:val="16"/>
                <w:szCs w:val="16"/>
              </w:rPr>
              <w:t>P&amp;B 2014/15:</w:t>
            </w:r>
          </w:p>
          <w:p w:rsidR="00D944AE" w:rsidRPr="007861F3" w:rsidRDefault="00D944AE" w:rsidP="00E3403E">
            <w:pPr>
              <w:rPr>
                <w:sz w:val="16"/>
                <w:szCs w:val="16"/>
                <w:lang w:bidi="th-TH"/>
              </w:rPr>
            </w:pPr>
            <w:r w:rsidRPr="007861F3">
              <w:rPr>
                <w:sz w:val="16"/>
                <w:szCs w:val="16"/>
                <w:lang w:bidi="th-TH"/>
              </w:rPr>
              <w:t xml:space="preserve">Africa (12 cumulative) </w:t>
            </w:r>
          </w:p>
          <w:p w:rsidR="00D944AE" w:rsidRPr="007861F3" w:rsidRDefault="00D944AE" w:rsidP="00E3403E">
            <w:pPr>
              <w:rPr>
                <w:sz w:val="16"/>
                <w:szCs w:val="16"/>
                <w:lang w:bidi="th-TH"/>
              </w:rPr>
            </w:pPr>
          </w:p>
          <w:p w:rsidR="00D944AE" w:rsidRPr="007861F3" w:rsidRDefault="00D944AE" w:rsidP="00E3403E">
            <w:pPr>
              <w:rPr>
                <w:sz w:val="16"/>
                <w:szCs w:val="16"/>
                <w:lang w:bidi="th-TH"/>
              </w:rPr>
            </w:pPr>
            <w:r w:rsidRPr="007861F3">
              <w:rPr>
                <w:sz w:val="16"/>
                <w:szCs w:val="16"/>
                <w:lang w:bidi="th-TH"/>
              </w:rPr>
              <w:t>Arab (4)</w:t>
            </w:r>
          </w:p>
          <w:p w:rsidR="00D944AE" w:rsidRPr="007861F3" w:rsidRDefault="00D944AE" w:rsidP="00E3403E">
            <w:pPr>
              <w:rPr>
                <w:sz w:val="16"/>
                <w:szCs w:val="16"/>
                <w:lang w:bidi="th-TH"/>
              </w:rPr>
            </w:pPr>
          </w:p>
          <w:p w:rsidR="00D944AE" w:rsidRPr="007861F3" w:rsidRDefault="00D944AE" w:rsidP="00E3403E">
            <w:pPr>
              <w:rPr>
                <w:sz w:val="16"/>
                <w:szCs w:val="16"/>
                <w:lang w:bidi="th-TH"/>
              </w:rPr>
            </w:pPr>
            <w:r w:rsidRPr="007861F3">
              <w:rPr>
                <w:sz w:val="16"/>
                <w:szCs w:val="16"/>
                <w:lang w:bidi="th-TH"/>
              </w:rPr>
              <w:t>Asia and the Pacific (8)</w:t>
            </w:r>
          </w:p>
          <w:p w:rsidR="00D944AE" w:rsidRPr="007861F3" w:rsidRDefault="00D944AE" w:rsidP="00E3403E">
            <w:pPr>
              <w:rPr>
                <w:sz w:val="16"/>
                <w:szCs w:val="16"/>
                <w:lang w:bidi="th-TH"/>
              </w:rPr>
            </w:pPr>
          </w:p>
          <w:p w:rsidR="00D944AE" w:rsidRPr="007861F3" w:rsidRDefault="00D944AE" w:rsidP="00E3403E">
            <w:pPr>
              <w:rPr>
                <w:sz w:val="16"/>
                <w:szCs w:val="16"/>
                <w:lang w:bidi="th-TH"/>
              </w:rPr>
            </w:pPr>
            <w:r w:rsidRPr="007861F3">
              <w:rPr>
                <w:sz w:val="16"/>
                <w:szCs w:val="16"/>
                <w:lang w:bidi="th-TH"/>
              </w:rPr>
              <w:t>Latin America and the Caribbean (9)</w:t>
            </w:r>
          </w:p>
          <w:p w:rsidR="00D944AE" w:rsidRPr="007861F3" w:rsidRDefault="00D944AE" w:rsidP="00E3403E">
            <w:pPr>
              <w:rPr>
                <w:sz w:val="16"/>
                <w:szCs w:val="16"/>
                <w:lang w:bidi="th-TH"/>
              </w:rPr>
            </w:pPr>
          </w:p>
          <w:p w:rsidR="00D944AE" w:rsidRPr="007861F3" w:rsidRDefault="00D944AE" w:rsidP="00E3403E">
            <w:pPr>
              <w:rPr>
                <w:sz w:val="16"/>
                <w:szCs w:val="16"/>
                <w:lang w:bidi="th-TH"/>
              </w:rPr>
            </w:pPr>
            <w:r w:rsidRPr="007861F3">
              <w:rPr>
                <w:sz w:val="16"/>
                <w:szCs w:val="16"/>
                <w:lang w:bidi="th-TH"/>
              </w:rPr>
              <w:t>5 LDCs included in the above regional breakdown</w:t>
            </w:r>
          </w:p>
          <w:p w:rsidR="00D944AE" w:rsidRPr="007861F3" w:rsidRDefault="00D944AE" w:rsidP="00E3403E">
            <w:pPr>
              <w:rPr>
                <w:sz w:val="16"/>
                <w:szCs w:val="16"/>
                <w:lang w:bidi="th-TH"/>
              </w:rPr>
            </w:pPr>
          </w:p>
        </w:tc>
        <w:tc>
          <w:tcPr>
            <w:tcW w:w="1701" w:type="dxa"/>
            <w:gridSpan w:val="2"/>
            <w:shd w:val="clear" w:color="auto" w:fill="auto"/>
            <w:tcMar>
              <w:top w:w="110" w:type="dxa"/>
            </w:tcMar>
          </w:tcPr>
          <w:p w:rsidR="00D944AE" w:rsidRPr="007861F3" w:rsidRDefault="00D944AE" w:rsidP="00E3403E">
            <w:pPr>
              <w:rPr>
                <w:sz w:val="16"/>
                <w:szCs w:val="16"/>
                <w:lang w:bidi="th-TH"/>
              </w:rPr>
            </w:pPr>
            <w:r w:rsidRPr="007861F3">
              <w:rPr>
                <w:sz w:val="16"/>
                <w:szCs w:val="16"/>
                <w:lang w:bidi="th-TH"/>
              </w:rPr>
              <w:lastRenderedPageBreak/>
              <w:t>Africa (18 cumulative</w:t>
            </w:r>
            <w:r>
              <w:rPr>
                <w:sz w:val="16"/>
                <w:szCs w:val="16"/>
                <w:lang w:bidi="th-TH"/>
              </w:rPr>
              <w:t>)</w:t>
            </w:r>
          </w:p>
          <w:p w:rsidR="00D944AE" w:rsidRPr="007861F3" w:rsidRDefault="00D944AE" w:rsidP="00E3403E">
            <w:pPr>
              <w:rPr>
                <w:sz w:val="16"/>
                <w:szCs w:val="16"/>
                <w:lang w:bidi="th-TH"/>
              </w:rPr>
            </w:pPr>
          </w:p>
          <w:p w:rsidR="00D944AE" w:rsidRPr="007861F3" w:rsidRDefault="00D944AE" w:rsidP="00E3403E">
            <w:pPr>
              <w:rPr>
                <w:sz w:val="16"/>
                <w:szCs w:val="16"/>
                <w:lang w:bidi="th-TH"/>
              </w:rPr>
            </w:pPr>
            <w:r w:rsidRPr="007861F3">
              <w:rPr>
                <w:sz w:val="16"/>
                <w:szCs w:val="16"/>
                <w:lang w:bidi="th-TH"/>
              </w:rPr>
              <w:t>Arab (7 cumulative)</w:t>
            </w:r>
          </w:p>
          <w:p w:rsidR="00D944AE" w:rsidRPr="007861F3" w:rsidRDefault="00D944AE" w:rsidP="00E3403E">
            <w:pPr>
              <w:rPr>
                <w:sz w:val="16"/>
                <w:szCs w:val="16"/>
                <w:lang w:bidi="th-TH"/>
              </w:rPr>
            </w:pPr>
          </w:p>
          <w:p w:rsidR="00D944AE" w:rsidRPr="007861F3" w:rsidRDefault="00D944AE" w:rsidP="00E3403E">
            <w:pPr>
              <w:rPr>
                <w:sz w:val="16"/>
                <w:szCs w:val="16"/>
                <w:lang w:bidi="th-TH"/>
              </w:rPr>
            </w:pPr>
            <w:r w:rsidRPr="007861F3">
              <w:rPr>
                <w:sz w:val="16"/>
                <w:szCs w:val="16"/>
                <w:lang w:bidi="th-TH"/>
              </w:rPr>
              <w:t>Asia and the Pacific (13 cumulative)</w:t>
            </w:r>
          </w:p>
          <w:p w:rsidR="00D944AE" w:rsidRPr="007861F3" w:rsidRDefault="00D944AE" w:rsidP="00E3403E">
            <w:pPr>
              <w:rPr>
                <w:sz w:val="16"/>
                <w:szCs w:val="16"/>
                <w:lang w:bidi="th-TH"/>
              </w:rPr>
            </w:pPr>
          </w:p>
          <w:p w:rsidR="00D944AE" w:rsidRPr="007861F3" w:rsidRDefault="00D944AE" w:rsidP="00E3403E">
            <w:pPr>
              <w:rPr>
                <w:sz w:val="16"/>
                <w:szCs w:val="16"/>
                <w:lang w:bidi="th-TH"/>
              </w:rPr>
            </w:pPr>
            <w:r w:rsidRPr="007861F3">
              <w:rPr>
                <w:sz w:val="16"/>
                <w:szCs w:val="16"/>
                <w:lang w:bidi="th-TH"/>
              </w:rPr>
              <w:t>Latin America and the Caribbean (13 cumulative)</w:t>
            </w:r>
          </w:p>
          <w:p w:rsidR="00D944AE" w:rsidRPr="007861F3" w:rsidRDefault="00D944AE" w:rsidP="00E3403E">
            <w:pPr>
              <w:rPr>
                <w:sz w:val="16"/>
                <w:szCs w:val="16"/>
                <w:lang w:bidi="th-TH"/>
              </w:rPr>
            </w:pPr>
          </w:p>
          <w:p w:rsidR="00D944AE" w:rsidRPr="007861F3" w:rsidRDefault="00D944AE" w:rsidP="00E3403E">
            <w:pPr>
              <w:rPr>
                <w:sz w:val="16"/>
                <w:szCs w:val="16"/>
                <w:lang w:bidi="th-TH"/>
              </w:rPr>
            </w:pPr>
            <w:r w:rsidRPr="007861F3">
              <w:rPr>
                <w:sz w:val="16"/>
                <w:szCs w:val="16"/>
                <w:lang w:bidi="th-TH"/>
              </w:rPr>
              <w:t>10 LDCs included in the above regional breakdown</w:t>
            </w:r>
          </w:p>
          <w:p w:rsidR="00D944AE" w:rsidRPr="007861F3" w:rsidRDefault="00D944AE" w:rsidP="00E3403E">
            <w:pPr>
              <w:rPr>
                <w:sz w:val="16"/>
                <w:szCs w:val="16"/>
                <w:lang w:bidi="th-TH"/>
              </w:rPr>
            </w:pPr>
          </w:p>
          <w:p w:rsidR="00D944AE" w:rsidRPr="007861F3" w:rsidRDefault="00D944AE" w:rsidP="00E3403E">
            <w:pPr>
              <w:rPr>
                <w:sz w:val="16"/>
                <w:szCs w:val="16"/>
                <w:lang w:bidi="th-TH"/>
              </w:rPr>
            </w:pPr>
          </w:p>
        </w:tc>
        <w:tc>
          <w:tcPr>
            <w:tcW w:w="2269" w:type="dxa"/>
            <w:shd w:val="clear" w:color="auto" w:fill="FFFFFF"/>
            <w:tcMar>
              <w:top w:w="110" w:type="dxa"/>
            </w:tcMar>
          </w:tcPr>
          <w:p w:rsidR="00D944AE" w:rsidRDefault="00D944AE" w:rsidP="00E3403E">
            <w:pPr>
              <w:rPr>
                <w:sz w:val="16"/>
                <w:szCs w:val="16"/>
              </w:rPr>
            </w:pPr>
            <w:r w:rsidRPr="007861F3">
              <w:rPr>
                <w:sz w:val="16"/>
                <w:szCs w:val="16"/>
              </w:rPr>
              <w:t xml:space="preserve">Africa </w:t>
            </w:r>
            <w:r>
              <w:rPr>
                <w:sz w:val="16"/>
                <w:szCs w:val="16"/>
              </w:rPr>
              <w:t>(6</w:t>
            </w:r>
            <w:r w:rsidRPr="007861F3">
              <w:rPr>
                <w:sz w:val="16"/>
                <w:szCs w:val="16"/>
              </w:rPr>
              <w:t xml:space="preserve"> </w:t>
            </w:r>
            <w:r>
              <w:rPr>
                <w:sz w:val="16"/>
                <w:szCs w:val="16"/>
              </w:rPr>
              <w:t xml:space="preserve">additional </w:t>
            </w:r>
            <w:r w:rsidRPr="007861F3">
              <w:rPr>
                <w:sz w:val="16"/>
                <w:szCs w:val="16"/>
              </w:rPr>
              <w:t>countries</w:t>
            </w:r>
            <w:r>
              <w:rPr>
                <w:sz w:val="16"/>
                <w:szCs w:val="16"/>
              </w:rPr>
              <w:t>)</w:t>
            </w:r>
            <w:r w:rsidRPr="007861F3">
              <w:rPr>
                <w:sz w:val="16"/>
                <w:szCs w:val="16"/>
              </w:rPr>
              <w:t>:</w:t>
            </w:r>
            <w:r>
              <w:rPr>
                <w:sz w:val="16"/>
                <w:szCs w:val="16"/>
              </w:rPr>
              <w:t xml:space="preserve">  </w:t>
            </w:r>
            <w:r w:rsidRPr="007861F3">
              <w:rPr>
                <w:sz w:val="16"/>
                <w:szCs w:val="16"/>
              </w:rPr>
              <w:t xml:space="preserve">Benin, </w:t>
            </w:r>
            <w:r>
              <w:rPr>
                <w:sz w:val="16"/>
                <w:szCs w:val="16"/>
              </w:rPr>
              <w:t>the Democratic Republic of the Congo</w:t>
            </w:r>
            <w:r w:rsidRPr="0064572B">
              <w:rPr>
                <w:rStyle w:val="FootnoteReference"/>
                <w:sz w:val="16"/>
                <w:szCs w:val="16"/>
              </w:rPr>
              <w:footnoteReference w:id="63"/>
            </w:r>
            <w:r>
              <w:rPr>
                <w:sz w:val="16"/>
                <w:szCs w:val="16"/>
              </w:rPr>
              <w:t xml:space="preserve">, </w:t>
            </w:r>
            <w:r w:rsidRPr="007861F3">
              <w:rPr>
                <w:sz w:val="16"/>
                <w:szCs w:val="16"/>
              </w:rPr>
              <w:t>Madagascar, Niger, Swaziland, Uganda</w:t>
            </w:r>
            <w:r>
              <w:rPr>
                <w:sz w:val="16"/>
                <w:szCs w:val="16"/>
              </w:rPr>
              <w:t xml:space="preserve">. </w:t>
            </w:r>
            <w:r w:rsidRPr="007861F3">
              <w:rPr>
                <w:sz w:val="16"/>
                <w:szCs w:val="16"/>
              </w:rPr>
              <w:t xml:space="preserve"> </w:t>
            </w:r>
          </w:p>
          <w:p w:rsidR="00D944AE" w:rsidRPr="007861F3" w:rsidRDefault="00D944AE" w:rsidP="00E3403E">
            <w:pPr>
              <w:rPr>
                <w:sz w:val="16"/>
                <w:szCs w:val="16"/>
                <w:lang w:bidi="th-TH"/>
              </w:rPr>
            </w:pPr>
            <w:r>
              <w:rPr>
                <w:sz w:val="16"/>
                <w:szCs w:val="16"/>
                <w:lang w:bidi="th-TH"/>
              </w:rPr>
              <w:t>(24 cumulative)</w:t>
            </w:r>
          </w:p>
          <w:p w:rsidR="00D944AE" w:rsidRPr="007861F3" w:rsidRDefault="00D944AE" w:rsidP="00E3403E">
            <w:pPr>
              <w:rPr>
                <w:sz w:val="16"/>
                <w:szCs w:val="16"/>
                <w:lang w:bidi="th-TH"/>
              </w:rPr>
            </w:pPr>
          </w:p>
          <w:p w:rsidR="00D944AE" w:rsidRDefault="00D944AE" w:rsidP="00E3403E">
            <w:pPr>
              <w:rPr>
                <w:sz w:val="16"/>
                <w:szCs w:val="16"/>
                <w:lang w:bidi="th-TH"/>
              </w:rPr>
            </w:pPr>
            <w:r w:rsidRPr="007861F3">
              <w:rPr>
                <w:sz w:val="16"/>
                <w:szCs w:val="16"/>
                <w:lang w:bidi="th-TH"/>
              </w:rPr>
              <w:t>Arab (</w:t>
            </w:r>
            <w:r>
              <w:rPr>
                <w:sz w:val="16"/>
                <w:szCs w:val="16"/>
                <w:lang w:bidi="th-TH"/>
              </w:rPr>
              <w:t>no</w:t>
            </w:r>
            <w:r w:rsidRPr="007861F3">
              <w:rPr>
                <w:sz w:val="16"/>
                <w:szCs w:val="16"/>
                <w:lang w:bidi="th-TH"/>
              </w:rPr>
              <w:t xml:space="preserve"> additional countr</w:t>
            </w:r>
            <w:r>
              <w:rPr>
                <w:sz w:val="16"/>
                <w:szCs w:val="16"/>
                <w:lang w:bidi="th-TH"/>
              </w:rPr>
              <w:t>ies</w:t>
            </w:r>
            <w:r w:rsidRPr="007861F3">
              <w:rPr>
                <w:sz w:val="16"/>
                <w:szCs w:val="16"/>
                <w:lang w:bidi="th-TH"/>
              </w:rPr>
              <w:t xml:space="preserve">):  </w:t>
            </w:r>
          </w:p>
          <w:p w:rsidR="00D944AE" w:rsidRDefault="00D944AE" w:rsidP="00D944AE">
            <w:pPr>
              <w:pStyle w:val="ListParagraph"/>
              <w:numPr>
                <w:ilvl w:val="0"/>
                <w:numId w:val="111"/>
              </w:numPr>
              <w:rPr>
                <w:sz w:val="16"/>
                <w:szCs w:val="16"/>
                <w:lang w:bidi="th-TH"/>
              </w:rPr>
            </w:pPr>
            <w:r w:rsidRPr="0078308F">
              <w:rPr>
                <w:sz w:val="16"/>
                <w:szCs w:val="16"/>
                <w:lang w:bidi="th-TH"/>
              </w:rPr>
              <w:t xml:space="preserve">United Arab Emirates (no </w:t>
            </w:r>
            <w:r>
              <w:rPr>
                <w:sz w:val="16"/>
                <w:szCs w:val="16"/>
                <w:lang w:bidi="th-TH"/>
              </w:rPr>
              <w:t>further progress</w:t>
            </w:r>
            <w:r w:rsidRPr="0078308F">
              <w:rPr>
                <w:sz w:val="16"/>
                <w:szCs w:val="16"/>
                <w:lang w:bidi="th-TH"/>
              </w:rPr>
              <w:t>)</w:t>
            </w:r>
            <w:r w:rsidRPr="0022553E">
              <w:rPr>
                <w:sz w:val="16"/>
                <w:szCs w:val="16"/>
                <w:lang w:bidi="th-TH"/>
              </w:rPr>
              <w:t>;</w:t>
            </w:r>
          </w:p>
          <w:p w:rsidR="00D944AE" w:rsidRDefault="00D944AE" w:rsidP="00D944AE">
            <w:pPr>
              <w:pStyle w:val="ListParagraph"/>
              <w:numPr>
                <w:ilvl w:val="0"/>
                <w:numId w:val="111"/>
              </w:numPr>
              <w:rPr>
                <w:lang w:bidi="th-TH"/>
              </w:rPr>
            </w:pPr>
            <w:r w:rsidRPr="0078308F">
              <w:rPr>
                <w:sz w:val="16"/>
                <w:szCs w:val="16"/>
                <w:lang w:bidi="th-TH"/>
              </w:rPr>
              <w:t>Yemen (process delayed due to the political situation)</w:t>
            </w:r>
          </w:p>
          <w:p w:rsidR="00D944AE" w:rsidRDefault="00D944AE" w:rsidP="00E3403E">
            <w:pPr>
              <w:rPr>
                <w:sz w:val="16"/>
                <w:szCs w:val="16"/>
                <w:lang w:bidi="th-TH"/>
              </w:rPr>
            </w:pPr>
            <w:r>
              <w:rPr>
                <w:sz w:val="16"/>
                <w:szCs w:val="16"/>
                <w:lang w:bidi="th-TH"/>
              </w:rPr>
              <w:t xml:space="preserve">(6 cumulative) </w:t>
            </w:r>
          </w:p>
          <w:p w:rsidR="00D944AE" w:rsidRPr="007861F3" w:rsidRDefault="00D944AE" w:rsidP="00E3403E">
            <w:pPr>
              <w:rPr>
                <w:sz w:val="16"/>
                <w:szCs w:val="16"/>
                <w:lang w:bidi="th-TH"/>
              </w:rPr>
            </w:pPr>
          </w:p>
          <w:p w:rsidR="00D944AE" w:rsidRPr="007861F3" w:rsidRDefault="00D944AE" w:rsidP="00E3403E">
            <w:pPr>
              <w:rPr>
                <w:sz w:val="16"/>
                <w:szCs w:val="16"/>
                <w:lang w:bidi="th-TH"/>
              </w:rPr>
            </w:pPr>
            <w:r w:rsidRPr="007861F3">
              <w:rPr>
                <w:sz w:val="16"/>
                <w:szCs w:val="16"/>
                <w:lang w:bidi="th-TH"/>
              </w:rPr>
              <w:t>Asia and the Pacific</w:t>
            </w:r>
            <w:r>
              <w:rPr>
                <w:sz w:val="16"/>
                <w:szCs w:val="16"/>
                <w:lang w:bidi="th-TH"/>
              </w:rPr>
              <w:t xml:space="preserve"> (5 additional countries):</w:t>
            </w:r>
            <w:r w:rsidRPr="007861F3">
              <w:rPr>
                <w:sz w:val="16"/>
                <w:szCs w:val="16"/>
                <w:lang w:bidi="th-TH"/>
              </w:rPr>
              <w:t xml:space="preserve"> </w:t>
            </w:r>
          </w:p>
          <w:p w:rsidR="00D944AE" w:rsidRPr="007861F3" w:rsidRDefault="00D944AE" w:rsidP="00E3403E">
            <w:pPr>
              <w:rPr>
                <w:sz w:val="16"/>
                <w:szCs w:val="16"/>
                <w:lang w:bidi="th-TH"/>
              </w:rPr>
            </w:pPr>
            <w:r w:rsidRPr="007861F3">
              <w:rPr>
                <w:sz w:val="16"/>
                <w:szCs w:val="16"/>
                <w:lang w:bidi="th-TH"/>
              </w:rPr>
              <w:t xml:space="preserve">Brunei Darussalam, Cook Islands, </w:t>
            </w:r>
            <w:r>
              <w:rPr>
                <w:sz w:val="16"/>
                <w:szCs w:val="16"/>
                <w:lang w:bidi="th-TH"/>
              </w:rPr>
              <w:t>Democratic People's Republic of</w:t>
            </w:r>
            <w:r w:rsidRPr="007861F3">
              <w:rPr>
                <w:sz w:val="16"/>
                <w:szCs w:val="16"/>
                <w:lang w:bidi="th-TH"/>
              </w:rPr>
              <w:t xml:space="preserve"> Korea, Myanmar, </w:t>
            </w:r>
          </w:p>
          <w:p w:rsidR="00D944AE" w:rsidRDefault="00D944AE" w:rsidP="00E3403E">
            <w:pPr>
              <w:rPr>
                <w:sz w:val="16"/>
                <w:szCs w:val="16"/>
                <w:lang w:bidi="th-TH"/>
              </w:rPr>
            </w:pPr>
            <w:r>
              <w:rPr>
                <w:sz w:val="16"/>
                <w:szCs w:val="16"/>
                <w:lang w:bidi="th-TH"/>
              </w:rPr>
              <w:t>(17</w:t>
            </w:r>
            <w:r w:rsidRPr="007861F3">
              <w:rPr>
                <w:sz w:val="16"/>
                <w:szCs w:val="16"/>
                <w:lang w:bidi="th-TH"/>
              </w:rPr>
              <w:t> cumulative)</w:t>
            </w:r>
          </w:p>
          <w:p w:rsidR="00D944AE" w:rsidRPr="007861F3" w:rsidRDefault="00D944AE" w:rsidP="00E3403E">
            <w:pPr>
              <w:rPr>
                <w:sz w:val="16"/>
                <w:szCs w:val="16"/>
                <w:lang w:bidi="th-TH"/>
              </w:rPr>
            </w:pPr>
          </w:p>
          <w:p w:rsidR="00D944AE" w:rsidRPr="007861F3" w:rsidRDefault="00D944AE" w:rsidP="00E3403E">
            <w:pPr>
              <w:rPr>
                <w:sz w:val="16"/>
                <w:szCs w:val="16"/>
                <w:lang w:bidi="th-TH"/>
              </w:rPr>
            </w:pPr>
            <w:r w:rsidRPr="007861F3">
              <w:rPr>
                <w:sz w:val="16"/>
                <w:szCs w:val="16"/>
                <w:lang w:bidi="th-TH"/>
              </w:rPr>
              <w:t>Latin America and the Caribbean</w:t>
            </w:r>
            <w:r>
              <w:rPr>
                <w:sz w:val="16"/>
                <w:szCs w:val="16"/>
                <w:lang w:bidi="th-TH"/>
              </w:rPr>
              <w:t xml:space="preserve"> (4 additional countries)</w:t>
            </w:r>
            <w:r w:rsidRPr="007861F3">
              <w:rPr>
                <w:sz w:val="16"/>
                <w:szCs w:val="16"/>
                <w:lang w:bidi="th-TH"/>
              </w:rPr>
              <w:t xml:space="preserve">: </w:t>
            </w:r>
            <w:r>
              <w:rPr>
                <w:sz w:val="16"/>
                <w:szCs w:val="16"/>
                <w:lang w:bidi="th-TH"/>
              </w:rPr>
              <w:t xml:space="preserve"> </w:t>
            </w:r>
            <w:r w:rsidRPr="007861F3">
              <w:rPr>
                <w:sz w:val="16"/>
                <w:szCs w:val="16"/>
                <w:lang w:bidi="th-TH"/>
              </w:rPr>
              <w:t xml:space="preserve">Chile, Grenada, Paraguay and Peru </w:t>
            </w:r>
          </w:p>
          <w:p w:rsidR="00D944AE" w:rsidRPr="007861F3" w:rsidRDefault="00D944AE" w:rsidP="00E3403E">
            <w:pPr>
              <w:rPr>
                <w:sz w:val="16"/>
                <w:szCs w:val="16"/>
                <w:lang w:bidi="th-TH"/>
              </w:rPr>
            </w:pPr>
            <w:r>
              <w:rPr>
                <w:sz w:val="16"/>
                <w:szCs w:val="16"/>
                <w:lang w:bidi="th-TH"/>
              </w:rPr>
              <w:t>(</w:t>
            </w:r>
            <w:r w:rsidRPr="007861F3">
              <w:rPr>
                <w:sz w:val="16"/>
                <w:szCs w:val="16"/>
                <w:lang w:bidi="th-TH"/>
              </w:rPr>
              <w:t>15 cumulative</w:t>
            </w:r>
            <w:r>
              <w:rPr>
                <w:sz w:val="16"/>
                <w:szCs w:val="16"/>
                <w:lang w:bidi="th-TH"/>
              </w:rPr>
              <w:t>)</w:t>
            </w:r>
          </w:p>
          <w:p w:rsidR="00D944AE" w:rsidRDefault="00D944AE" w:rsidP="00E3403E">
            <w:pPr>
              <w:rPr>
                <w:sz w:val="16"/>
                <w:szCs w:val="16"/>
                <w:lang w:bidi="th-TH"/>
              </w:rPr>
            </w:pPr>
          </w:p>
          <w:p w:rsidR="00D944AE" w:rsidRDefault="00D944AE" w:rsidP="00E3403E">
            <w:pPr>
              <w:rPr>
                <w:sz w:val="16"/>
                <w:szCs w:val="16"/>
                <w:lang w:bidi="th-TH"/>
              </w:rPr>
            </w:pPr>
            <w:r w:rsidRPr="009A703F">
              <w:rPr>
                <w:sz w:val="16"/>
                <w:szCs w:val="16"/>
                <w:lang w:bidi="th-TH"/>
              </w:rPr>
              <w:t>24 LDCs included in the above cumulative regional breakdown</w:t>
            </w:r>
          </w:p>
          <w:p w:rsidR="00D944AE" w:rsidRPr="007861F3" w:rsidRDefault="00D944AE" w:rsidP="00E3403E">
            <w:pPr>
              <w:rPr>
                <w:sz w:val="16"/>
                <w:szCs w:val="16"/>
                <w:lang w:bidi="th-TH"/>
              </w:rPr>
            </w:pPr>
          </w:p>
        </w:tc>
        <w:tc>
          <w:tcPr>
            <w:tcW w:w="1190" w:type="dxa"/>
            <w:gridSpan w:val="2"/>
            <w:shd w:val="clear" w:color="auto" w:fill="auto"/>
            <w:tcMar>
              <w:top w:w="110" w:type="dxa"/>
            </w:tcMar>
          </w:tcPr>
          <w:p w:rsidR="00D944AE" w:rsidRPr="001761D1" w:rsidRDefault="00D944AE" w:rsidP="00E3403E">
            <w:pPr>
              <w:keepNext/>
              <w:keepLines/>
              <w:jc w:val="center"/>
              <w:rPr>
                <w:b/>
                <w:bCs/>
                <w:color w:val="00B050"/>
                <w:sz w:val="16"/>
                <w:szCs w:val="16"/>
              </w:rPr>
            </w:pPr>
            <w:r w:rsidRPr="001761D1">
              <w:rPr>
                <w:b/>
                <w:bCs/>
                <w:color w:val="00B050"/>
                <w:sz w:val="16"/>
                <w:szCs w:val="16"/>
              </w:rPr>
              <w:t>Fully Achieved</w:t>
            </w:r>
          </w:p>
          <w:p w:rsidR="00D944AE" w:rsidRPr="007861F3" w:rsidRDefault="00D944AE" w:rsidP="00E3403E">
            <w:pPr>
              <w:keepNext/>
              <w:keepLines/>
              <w:jc w:val="center"/>
              <w:rPr>
                <w:bCs/>
                <w:sz w:val="16"/>
                <w:szCs w:val="16"/>
              </w:rPr>
            </w:pPr>
          </w:p>
          <w:p w:rsidR="00D944AE" w:rsidRPr="007861F3" w:rsidRDefault="00D944AE" w:rsidP="00E3403E">
            <w:pPr>
              <w:keepNext/>
              <w:keepLines/>
              <w:jc w:val="center"/>
              <w:rPr>
                <w:bCs/>
                <w:sz w:val="16"/>
                <w:szCs w:val="16"/>
              </w:rPr>
            </w:pPr>
          </w:p>
          <w:p w:rsidR="00D944AE" w:rsidRPr="007861F3" w:rsidRDefault="00D944AE" w:rsidP="00E3403E">
            <w:pPr>
              <w:keepNext/>
              <w:keepLines/>
              <w:jc w:val="center"/>
              <w:rPr>
                <w:bCs/>
                <w:sz w:val="16"/>
                <w:szCs w:val="16"/>
              </w:rPr>
            </w:pPr>
          </w:p>
          <w:p w:rsidR="00D944AE" w:rsidRDefault="00D944AE" w:rsidP="00E3403E">
            <w:pPr>
              <w:keepNext/>
              <w:keepLines/>
              <w:jc w:val="center"/>
              <w:rPr>
                <w:b/>
                <w:bCs/>
                <w:color w:val="00B050"/>
                <w:sz w:val="16"/>
                <w:szCs w:val="16"/>
              </w:rPr>
            </w:pPr>
          </w:p>
          <w:p w:rsidR="00D944AE" w:rsidRDefault="00D944AE" w:rsidP="00E3403E">
            <w:pPr>
              <w:keepNext/>
              <w:keepLines/>
              <w:jc w:val="center"/>
              <w:rPr>
                <w:b/>
                <w:bCs/>
                <w:color w:val="00B050"/>
                <w:sz w:val="16"/>
                <w:szCs w:val="16"/>
              </w:rPr>
            </w:pPr>
          </w:p>
          <w:p w:rsidR="00D944AE" w:rsidRPr="00321A09" w:rsidRDefault="00D944AE" w:rsidP="00E3403E">
            <w:pPr>
              <w:keepNext/>
              <w:keepLines/>
              <w:jc w:val="center"/>
              <w:rPr>
                <w:b/>
                <w:bCs/>
                <w:color w:val="FF0000"/>
                <w:sz w:val="16"/>
                <w:szCs w:val="16"/>
              </w:rPr>
            </w:pPr>
            <w:r w:rsidRPr="00321A09">
              <w:rPr>
                <w:b/>
                <w:bCs/>
                <w:color w:val="FF0000"/>
                <w:sz w:val="16"/>
                <w:szCs w:val="16"/>
              </w:rPr>
              <w:t>Not Achieved</w:t>
            </w:r>
          </w:p>
          <w:p w:rsidR="00D944AE" w:rsidRDefault="00D944AE" w:rsidP="00E3403E">
            <w:pPr>
              <w:keepNext/>
              <w:keepLines/>
              <w:jc w:val="center"/>
              <w:rPr>
                <w:b/>
                <w:bCs/>
                <w:color w:val="00B050"/>
                <w:sz w:val="16"/>
                <w:szCs w:val="16"/>
              </w:rPr>
            </w:pPr>
          </w:p>
          <w:p w:rsidR="00D944AE" w:rsidRDefault="00D944AE" w:rsidP="00E3403E">
            <w:pPr>
              <w:keepNext/>
              <w:keepLines/>
              <w:jc w:val="center"/>
              <w:rPr>
                <w:b/>
                <w:bCs/>
                <w:color w:val="00B050"/>
                <w:sz w:val="16"/>
                <w:szCs w:val="16"/>
              </w:rPr>
            </w:pPr>
          </w:p>
          <w:p w:rsidR="00D944AE" w:rsidRDefault="00D944AE" w:rsidP="00E3403E">
            <w:pPr>
              <w:keepNext/>
              <w:keepLines/>
              <w:jc w:val="center"/>
              <w:rPr>
                <w:b/>
                <w:bCs/>
                <w:color w:val="00B050"/>
                <w:sz w:val="16"/>
                <w:szCs w:val="16"/>
              </w:rPr>
            </w:pPr>
          </w:p>
          <w:p w:rsidR="00D944AE" w:rsidRDefault="00D944AE" w:rsidP="00E3403E">
            <w:pPr>
              <w:keepNext/>
              <w:keepLines/>
              <w:jc w:val="center"/>
              <w:rPr>
                <w:b/>
                <w:bCs/>
                <w:color w:val="00B050"/>
                <w:sz w:val="16"/>
                <w:szCs w:val="16"/>
              </w:rPr>
            </w:pPr>
          </w:p>
          <w:p w:rsidR="00D944AE" w:rsidRDefault="00D944AE" w:rsidP="00E3403E">
            <w:pPr>
              <w:keepNext/>
              <w:keepLines/>
              <w:jc w:val="center"/>
              <w:rPr>
                <w:b/>
                <w:bCs/>
                <w:color w:val="00B050"/>
                <w:sz w:val="16"/>
                <w:szCs w:val="16"/>
              </w:rPr>
            </w:pPr>
          </w:p>
          <w:p w:rsidR="00D944AE" w:rsidRDefault="00D944AE" w:rsidP="00E3403E">
            <w:pPr>
              <w:keepNext/>
              <w:keepLines/>
              <w:jc w:val="center"/>
              <w:rPr>
                <w:b/>
                <w:bCs/>
                <w:color w:val="00B050"/>
                <w:sz w:val="16"/>
                <w:szCs w:val="16"/>
              </w:rPr>
            </w:pPr>
          </w:p>
          <w:p w:rsidR="00D944AE" w:rsidRDefault="00D944AE" w:rsidP="00E3403E">
            <w:pPr>
              <w:keepNext/>
              <w:keepLines/>
              <w:jc w:val="center"/>
              <w:rPr>
                <w:b/>
                <w:bCs/>
                <w:color w:val="00B050"/>
                <w:sz w:val="16"/>
                <w:szCs w:val="16"/>
              </w:rPr>
            </w:pPr>
          </w:p>
          <w:p w:rsidR="00D944AE" w:rsidRDefault="00D944AE" w:rsidP="00E3403E">
            <w:pPr>
              <w:keepNext/>
              <w:keepLines/>
              <w:jc w:val="center"/>
              <w:rPr>
                <w:b/>
                <w:bCs/>
                <w:color w:val="00B050"/>
                <w:sz w:val="16"/>
                <w:szCs w:val="16"/>
              </w:rPr>
            </w:pPr>
          </w:p>
          <w:p w:rsidR="00D944AE" w:rsidRPr="001761D1" w:rsidRDefault="00D944AE" w:rsidP="00E3403E">
            <w:pPr>
              <w:keepNext/>
              <w:keepLines/>
              <w:jc w:val="center"/>
              <w:rPr>
                <w:b/>
                <w:bCs/>
                <w:color w:val="00B050"/>
                <w:sz w:val="16"/>
                <w:szCs w:val="16"/>
              </w:rPr>
            </w:pPr>
            <w:r w:rsidRPr="001761D1">
              <w:rPr>
                <w:b/>
                <w:bCs/>
                <w:color w:val="00B050"/>
                <w:sz w:val="16"/>
                <w:szCs w:val="16"/>
              </w:rPr>
              <w:t>Fully</w:t>
            </w:r>
          </w:p>
          <w:p w:rsidR="00D944AE" w:rsidRPr="001761D1" w:rsidRDefault="00D944AE" w:rsidP="00E3403E">
            <w:pPr>
              <w:keepNext/>
              <w:keepLines/>
              <w:jc w:val="center"/>
              <w:rPr>
                <w:b/>
                <w:bCs/>
                <w:color w:val="00B050"/>
                <w:sz w:val="16"/>
                <w:szCs w:val="16"/>
              </w:rPr>
            </w:pPr>
            <w:r w:rsidRPr="001761D1">
              <w:rPr>
                <w:b/>
                <w:bCs/>
                <w:color w:val="00B050"/>
                <w:sz w:val="16"/>
                <w:szCs w:val="16"/>
              </w:rPr>
              <w:t>Achieved</w:t>
            </w:r>
          </w:p>
          <w:p w:rsidR="00D944AE" w:rsidRPr="001761D1" w:rsidRDefault="00D944AE" w:rsidP="00E3403E">
            <w:pPr>
              <w:keepNext/>
              <w:keepLines/>
              <w:jc w:val="center"/>
              <w:rPr>
                <w:b/>
                <w:bCs/>
                <w:color w:val="00B050"/>
                <w:sz w:val="16"/>
                <w:szCs w:val="16"/>
              </w:rPr>
            </w:pPr>
          </w:p>
          <w:p w:rsidR="00D944AE" w:rsidRPr="007861F3" w:rsidRDefault="00D944AE" w:rsidP="00E3403E">
            <w:pPr>
              <w:keepNext/>
              <w:keepLines/>
              <w:jc w:val="center"/>
              <w:rPr>
                <w:bCs/>
                <w:sz w:val="16"/>
                <w:szCs w:val="16"/>
              </w:rPr>
            </w:pPr>
          </w:p>
          <w:p w:rsidR="00D944AE" w:rsidRPr="007861F3" w:rsidRDefault="00D944AE" w:rsidP="00E3403E">
            <w:pPr>
              <w:keepNext/>
              <w:keepLines/>
              <w:jc w:val="center"/>
              <w:rPr>
                <w:bCs/>
                <w:sz w:val="16"/>
                <w:szCs w:val="16"/>
              </w:rPr>
            </w:pPr>
          </w:p>
          <w:p w:rsidR="00D944AE" w:rsidRPr="007861F3" w:rsidRDefault="00D944AE" w:rsidP="00E3403E">
            <w:pPr>
              <w:keepNext/>
              <w:keepLines/>
              <w:rPr>
                <w:bCs/>
                <w:sz w:val="16"/>
                <w:szCs w:val="16"/>
              </w:rPr>
            </w:pPr>
          </w:p>
          <w:p w:rsidR="00D944AE" w:rsidRPr="007861F3" w:rsidRDefault="00D944AE" w:rsidP="00E3403E">
            <w:pPr>
              <w:keepNext/>
              <w:keepLines/>
              <w:jc w:val="center"/>
              <w:rPr>
                <w:bCs/>
                <w:sz w:val="16"/>
                <w:szCs w:val="16"/>
              </w:rPr>
            </w:pPr>
          </w:p>
          <w:p w:rsidR="00D944AE" w:rsidRDefault="00D944AE" w:rsidP="00E3403E">
            <w:pPr>
              <w:keepNext/>
              <w:keepLines/>
              <w:jc w:val="center"/>
              <w:rPr>
                <w:b/>
                <w:bCs/>
                <w:color w:val="00B050"/>
                <w:sz w:val="16"/>
                <w:szCs w:val="16"/>
              </w:rPr>
            </w:pPr>
          </w:p>
          <w:p w:rsidR="00D944AE" w:rsidRPr="001761D1" w:rsidRDefault="00D944AE" w:rsidP="00E3403E">
            <w:pPr>
              <w:keepNext/>
              <w:keepLines/>
              <w:jc w:val="center"/>
              <w:rPr>
                <w:b/>
                <w:bCs/>
                <w:color w:val="00B050"/>
                <w:sz w:val="16"/>
                <w:szCs w:val="16"/>
              </w:rPr>
            </w:pPr>
            <w:r w:rsidRPr="001761D1">
              <w:rPr>
                <w:b/>
                <w:bCs/>
                <w:color w:val="00B050"/>
                <w:sz w:val="16"/>
                <w:szCs w:val="16"/>
              </w:rPr>
              <w:t>Fully Achieved</w:t>
            </w:r>
          </w:p>
          <w:p w:rsidR="00D944AE" w:rsidRDefault="00D944AE" w:rsidP="00E3403E">
            <w:pPr>
              <w:keepNext/>
              <w:keepLines/>
              <w:jc w:val="center"/>
              <w:rPr>
                <w:bCs/>
                <w:sz w:val="16"/>
                <w:szCs w:val="16"/>
              </w:rPr>
            </w:pPr>
          </w:p>
          <w:p w:rsidR="00D944AE" w:rsidRDefault="00D944AE" w:rsidP="00E3403E">
            <w:pPr>
              <w:keepNext/>
              <w:keepLines/>
              <w:jc w:val="center"/>
              <w:rPr>
                <w:bCs/>
                <w:sz w:val="16"/>
                <w:szCs w:val="16"/>
              </w:rPr>
            </w:pPr>
          </w:p>
          <w:p w:rsidR="00D944AE" w:rsidRDefault="00D944AE" w:rsidP="00E3403E">
            <w:pPr>
              <w:keepNext/>
              <w:keepLines/>
              <w:jc w:val="center"/>
              <w:rPr>
                <w:bCs/>
                <w:sz w:val="16"/>
                <w:szCs w:val="16"/>
              </w:rPr>
            </w:pPr>
          </w:p>
          <w:p w:rsidR="00D944AE" w:rsidRDefault="00D944AE" w:rsidP="00E3403E">
            <w:pPr>
              <w:keepNext/>
              <w:keepLines/>
              <w:jc w:val="center"/>
              <w:rPr>
                <w:bCs/>
                <w:sz w:val="16"/>
                <w:szCs w:val="16"/>
              </w:rPr>
            </w:pPr>
          </w:p>
          <w:p w:rsidR="00D944AE" w:rsidRPr="001761D1" w:rsidRDefault="00D944AE" w:rsidP="00E3403E">
            <w:pPr>
              <w:keepNext/>
              <w:keepLines/>
              <w:jc w:val="center"/>
              <w:rPr>
                <w:b/>
                <w:bCs/>
                <w:color w:val="00B050"/>
                <w:sz w:val="16"/>
                <w:szCs w:val="16"/>
              </w:rPr>
            </w:pPr>
            <w:r w:rsidRPr="001761D1">
              <w:rPr>
                <w:b/>
                <w:bCs/>
                <w:color w:val="00B050"/>
                <w:sz w:val="16"/>
                <w:szCs w:val="16"/>
              </w:rPr>
              <w:t>Fully</w:t>
            </w:r>
          </w:p>
          <w:p w:rsidR="00D944AE" w:rsidRPr="001761D1" w:rsidRDefault="00D944AE" w:rsidP="00E3403E">
            <w:pPr>
              <w:keepNext/>
              <w:keepLines/>
              <w:jc w:val="center"/>
              <w:rPr>
                <w:b/>
                <w:bCs/>
                <w:color w:val="00B050"/>
                <w:sz w:val="16"/>
                <w:szCs w:val="16"/>
              </w:rPr>
            </w:pPr>
            <w:r w:rsidRPr="001761D1">
              <w:rPr>
                <w:b/>
                <w:bCs/>
                <w:color w:val="00B050"/>
                <w:sz w:val="16"/>
                <w:szCs w:val="16"/>
              </w:rPr>
              <w:t>Achieved</w:t>
            </w:r>
          </w:p>
          <w:p w:rsidR="00D944AE" w:rsidRPr="007861F3" w:rsidRDefault="00D944AE" w:rsidP="00E3403E">
            <w:pPr>
              <w:keepNext/>
              <w:keepLines/>
              <w:jc w:val="center"/>
              <w:rPr>
                <w:bCs/>
                <w:sz w:val="16"/>
                <w:szCs w:val="16"/>
              </w:rPr>
            </w:pPr>
          </w:p>
        </w:tc>
      </w:tr>
      <w:tr w:rsidR="00D944AE" w:rsidRPr="007861F3" w:rsidTr="00E3403E">
        <w:tc>
          <w:tcPr>
            <w:tcW w:w="2125" w:type="dxa"/>
            <w:shd w:val="clear" w:color="auto" w:fill="auto"/>
          </w:tcPr>
          <w:p w:rsidR="00D944AE" w:rsidRPr="007861F3" w:rsidRDefault="00D944AE" w:rsidP="00E3403E">
            <w:pPr>
              <w:rPr>
                <w:sz w:val="16"/>
                <w:szCs w:val="16"/>
                <w:lang w:bidi="th-TH"/>
              </w:rPr>
            </w:pPr>
            <w:r w:rsidRPr="007861F3">
              <w:rPr>
                <w:sz w:val="16"/>
                <w:szCs w:val="16"/>
                <w:lang w:bidi="th-TH"/>
              </w:rPr>
              <w:lastRenderedPageBreak/>
              <w:t>No. of countries which have adopted and are implementing national IP strategies and/or development plans</w:t>
            </w:r>
          </w:p>
        </w:tc>
        <w:tc>
          <w:tcPr>
            <w:tcW w:w="1985" w:type="dxa"/>
            <w:shd w:val="clear" w:color="auto" w:fill="auto"/>
          </w:tcPr>
          <w:p w:rsidR="00D944AE" w:rsidRPr="007861F3" w:rsidRDefault="00D944AE" w:rsidP="00E3403E">
            <w:pPr>
              <w:rPr>
                <w:sz w:val="16"/>
                <w:szCs w:val="16"/>
              </w:rPr>
            </w:pPr>
            <w:r w:rsidRPr="007861F3">
              <w:rPr>
                <w:i/>
                <w:sz w:val="16"/>
                <w:szCs w:val="16"/>
              </w:rPr>
              <w:t>Updated Baseline end 2013:</w:t>
            </w:r>
            <w:r w:rsidRPr="007861F3">
              <w:rPr>
                <w:sz w:val="16"/>
                <w:szCs w:val="16"/>
              </w:rPr>
              <w:t xml:space="preserve">  </w:t>
            </w:r>
          </w:p>
          <w:p w:rsidR="00D944AE" w:rsidRPr="007861F3" w:rsidRDefault="00D944AE" w:rsidP="00E3403E">
            <w:pPr>
              <w:rPr>
                <w:sz w:val="16"/>
                <w:szCs w:val="16"/>
              </w:rPr>
            </w:pPr>
            <w:r w:rsidRPr="007861F3">
              <w:rPr>
                <w:sz w:val="16"/>
                <w:szCs w:val="16"/>
              </w:rPr>
              <w:t>Africa (9 cumulative): Comoros, Ghana,</w:t>
            </w:r>
            <w:r w:rsidRPr="007861F3">
              <w:t xml:space="preserve"> </w:t>
            </w:r>
            <w:r w:rsidRPr="007861F3">
              <w:rPr>
                <w:sz w:val="16"/>
                <w:szCs w:val="16"/>
              </w:rPr>
              <w:t>Kenya, Liberia, Mauritius, Mozambique, Senegal, Seychelles, Zambia</w:t>
            </w:r>
          </w:p>
          <w:p w:rsidR="00D944AE" w:rsidRPr="007861F3" w:rsidRDefault="00D944AE" w:rsidP="00E3403E">
            <w:pPr>
              <w:rPr>
                <w:sz w:val="16"/>
                <w:szCs w:val="16"/>
              </w:rPr>
            </w:pPr>
          </w:p>
          <w:p w:rsidR="00D944AE" w:rsidRPr="007861F3" w:rsidRDefault="00D944AE" w:rsidP="00E3403E">
            <w:pPr>
              <w:rPr>
                <w:sz w:val="16"/>
                <w:szCs w:val="16"/>
              </w:rPr>
            </w:pPr>
            <w:r w:rsidRPr="007861F3">
              <w:rPr>
                <w:sz w:val="16"/>
                <w:szCs w:val="16"/>
              </w:rPr>
              <w:t>Arab countries (2 cumulative):</w:t>
            </w:r>
            <w:r>
              <w:rPr>
                <w:sz w:val="16"/>
                <w:szCs w:val="16"/>
              </w:rPr>
              <w:t xml:space="preserve"> </w:t>
            </w:r>
            <w:r w:rsidRPr="007861F3">
              <w:rPr>
                <w:sz w:val="16"/>
                <w:szCs w:val="16"/>
              </w:rPr>
              <w:t xml:space="preserve"> Oman, Sudan</w:t>
            </w:r>
          </w:p>
          <w:p w:rsidR="00D944AE" w:rsidRPr="007861F3" w:rsidRDefault="00D944AE" w:rsidP="00E3403E">
            <w:pPr>
              <w:rPr>
                <w:sz w:val="16"/>
                <w:szCs w:val="16"/>
              </w:rPr>
            </w:pPr>
          </w:p>
          <w:p w:rsidR="00D944AE" w:rsidRPr="007861F3" w:rsidRDefault="00D944AE" w:rsidP="00E3403E">
            <w:pPr>
              <w:rPr>
                <w:sz w:val="16"/>
                <w:szCs w:val="16"/>
              </w:rPr>
            </w:pPr>
            <w:r w:rsidRPr="007861F3">
              <w:rPr>
                <w:sz w:val="16"/>
                <w:szCs w:val="16"/>
              </w:rPr>
              <w:t xml:space="preserve">Asia and the Pacific </w:t>
            </w:r>
            <w:r w:rsidRPr="006343D1">
              <w:rPr>
                <w:sz w:val="16"/>
                <w:szCs w:val="16"/>
              </w:rPr>
              <w:t>(</w:t>
            </w:r>
            <w:r>
              <w:rPr>
                <w:sz w:val="16"/>
                <w:szCs w:val="16"/>
              </w:rPr>
              <w:t>3</w:t>
            </w:r>
            <w:r w:rsidRPr="007861F3">
              <w:rPr>
                <w:sz w:val="16"/>
                <w:szCs w:val="16"/>
              </w:rPr>
              <w:t xml:space="preserve"> cumulative</w:t>
            </w:r>
            <w:r>
              <w:rPr>
                <w:rStyle w:val="FootnoteReference"/>
                <w:sz w:val="16"/>
                <w:szCs w:val="16"/>
              </w:rPr>
              <w:footnoteReference w:id="64"/>
            </w:r>
            <w:r w:rsidRPr="007861F3">
              <w:rPr>
                <w:sz w:val="16"/>
                <w:szCs w:val="16"/>
              </w:rPr>
              <w:t>)</w:t>
            </w:r>
            <w:r>
              <w:rPr>
                <w:sz w:val="16"/>
                <w:szCs w:val="16"/>
              </w:rPr>
              <w:t xml:space="preserve">:  </w:t>
            </w:r>
            <w:r w:rsidRPr="007861F3">
              <w:rPr>
                <w:sz w:val="16"/>
                <w:szCs w:val="16"/>
              </w:rPr>
              <w:t xml:space="preserve"> Fiji, Papua New Guinea, Samoa</w:t>
            </w:r>
          </w:p>
          <w:p w:rsidR="00D944AE" w:rsidRPr="007861F3" w:rsidRDefault="00D944AE" w:rsidP="00E3403E">
            <w:pPr>
              <w:rPr>
                <w:sz w:val="16"/>
                <w:szCs w:val="16"/>
              </w:rPr>
            </w:pPr>
          </w:p>
          <w:p w:rsidR="00D944AE" w:rsidRPr="007861F3" w:rsidRDefault="00D944AE" w:rsidP="00E3403E">
            <w:pPr>
              <w:rPr>
                <w:sz w:val="16"/>
                <w:szCs w:val="16"/>
              </w:rPr>
            </w:pPr>
            <w:r w:rsidRPr="007861F3">
              <w:rPr>
                <w:sz w:val="16"/>
                <w:szCs w:val="16"/>
              </w:rPr>
              <w:t xml:space="preserve">Latin America and the Caribbean (3 cumulative): </w:t>
            </w:r>
            <w:r>
              <w:rPr>
                <w:sz w:val="16"/>
                <w:szCs w:val="16"/>
              </w:rPr>
              <w:t xml:space="preserve"> </w:t>
            </w:r>
            <w:r w:rsidRPr="007861F3">
              <w:rPr>
                <w:sz w:val="16"/>
                <w:szCs w:val="16"/>
                <w:lang w:bidi="th-TH"/>
              </w:rPr>
              <w:t xml:space="preserve">Costa Rica, Dominican Republic, Honduras </w:t>
            </w:r>
          </w:p>
          <w:p w:rsidR="00D944AE" w:rsidRPr="007861F3" w:rsidRDefault="00D944AE" w:rsidP="00E3403E">
            <w:pPr>
              <w:rPr>
                <w:sz w:val="16"/>
                <w:szCs w:val="16"/>
              </w:rPr>
            </w:pPr>
          </w:p>
          <w:p w:rsidR="00D944AE" w:rsidRPr="007861F3" w:rsidRDefault="00D944AE" w:rsidP="00E3403E">
            <w:pPr>
              <w:rPr>
                <w:sz w:val="16"/>
                <w:szCs w:val="16"/>
                <w:lang w:bidi="th-TH"/>
              </w:rPr>
            </w:pPr>
            <w:r w:rsidRPr="007861F3">
              <w:rPr>
                <w:sz w:val="16"/>
                <w:szCs w:val="16"/>
                <w:lang w:bidi="th-TH"/>
              </w:rPr>
              <w:t>7 LDCs included in the above regional breakdown</w:t>
            </w:r>
          </w:p>
          <w:p w:rsidR="00D944AE" w:rsidRPr="007861F3" w:rsidRDefault="00D944AE" w:rsidP="00E3403E">
            <w:pPr>
              <w:rPr>
                <w:sz w:val="16"/>
                <w:szCs w:val="16"/>
              </w:rPr>
            </w:pPr>
          </w:p>
          <w:p w:rsidR="00D944AE" w:rsidRPr="007861F3" w:rsidRDefault="00D944AE" w:rsidP="00E3403E">
            <w:pPr>
              <w:rPr>
                <w:sz w:val="16"/>
                <w:szCs w:val="16"/>
              </w:rPr>
            </w:pPr>
          </w:p>
          <w:p w:rsidR="00D944AE" w:rsidRPr="007861F3" w:rsidRDefault="00D944AE" w:rsidP="00E3403E">
            <w:pPr>
              <w:rPr>
                <w:sz w:val="16"/>
                <w:szCs w:val="16"/>
                <w:lang w:bidi="th-TH"/>
              </w:rPr>
            </w:pPr>
            <w:r w:rsidRPr="007861F3">
              <w:rPr>
                <w:i/>
                <w:sz w:val="16"/>
                <w:szCs w:val="16"/>
                <w:lang w:bidi="th-TH"/>
              </w:rPr>
              <w:t>Original Baseline</w:t>
            </w:r>
          </w:p>
          <w:p w:rsidR="00D944AE" w:rsidRPr="007861F3" w:rsidRDefault="00D944AE" w:rsidP="00E3403E">
            <w:pPr>
              <w:rPr>
                <w:sz w:val="16"/>
                <w:szCs w:val="16"/>
                <w:lang w:bidi="th-TH"/>
              </w:rPr>
            </w:pPr>
            <w:r w:rsidRPr="007861F3">
              <w:rPr>
                <w:i/>
                <w:sz w:val="16"/>
                <w:szCs w:val="16"/>
              </w:rPr>
              <w:t>P&amp;B 2014/15:</w:t>
            </w:r>
          </w:p>
          <w:p w:rsidR="00D944AE" w:rsidRPr="007861F3" w:rsidRDefault="00D944AE" w:rsidP="00E3403E">
            <w:pPr>
              <w:rPr>
                <w:sz w:val="16"/>
                <w:szCs w:val="16"/>
                <w:lang w:bidi="th-TH"/>
              </w:rPr>
            </w:pPr>
            <w:r w:rsidRPr="007861F3">
              <w:rPr>
                <w:sz w:val="16"/>
                <w:szCs w:val="16"/>
                <w:lang w:bidi="th-TH"/>
              </w:rPr>
              <w:t>Africa (4)</w:t>
            </w:r>
          </w:p>
          <w:p w:rsidR="00D944AE" w:rsidRPr="007861F3" w:rsidRDefault="00D944AE" w:rsidP="00E3403E">
            <w:pPr>
              <w:rPr>
                <w:sz w:val="16"/>
                <w:szCs w:val="16"/>
                <w:lang w:bidi="th-TH"/>
              </w:rPr>
            </w:pPr>
          </w:p>
          <w:p w:rsidR="00D944AE" w:rsidRPr="007861F3" w:rsidRDefault="00D944AE" w:rsidP="00E3403E">
            <w:pPr>
              <w:rPr>
                <w:sz w:val="16"/>
                <w:szCs w:val="16"/>
                <w:lang w:bidi="th-TH"/>
              </w:rPr>
            </w:pPr>
            <w:r w:rsidRPr="007861F3">
              <w:rPr>
                <w:sz w:val="16"/>
                <w:szCs w:val="16"/>
                <w:lang w:bidi="th-TH"/>
              </w:rPr>
              <w:t>Arab (3)</w:t>
            </w:r>
          </w:p>
          <w:p w:rsidR="00D944AE" w:rsidRPr="007861F3" w:rsidRDefault="00D944AE" w:rsidP="00E3403E">
            <w:pPr>
              <w:rPr>
                <w:sz w:val="16"/>
                <w:szCs w:val="16"/>
                <w:lang w:bidi="th-TH"/>
              </w:rPr>
            </w:pPr>
          </w:p>
          <w:p w:rsidR="00D944AE" w:rsidRPr="007861F3" w:rsidRDefault="00D944AE" w:rsidP="00E3403E">
            <w:pPr>
              <w:rPr>
                <w:sz w:val="16"/>
                <w:szCs w:val="16"/>
                <w:lang w:bidi="th-TH"/>
              </w:rPr>
            </w:pPr>
            <w:r w:rsidRPr="007861F3">
              <w:rPr>
                <w:sz w:val="16"/>
                <w:szCs w:val="16"/>
                <w:lang w:bidi="th-TH"/>
              </w:rPr>
              <w:t>Asia and the Pacific (3)</w:t>
            </w:r>
          </w:p>
          <w:p w:rsidR="00D944AE" w:rsidRPr="007861F3" w:rsidRDefault="00D944AE" w:rsidP="00E3403E">
            <w:pPr>
              <w:rPr>
                <w:sz w:val="16"/>
                <w:szCs w:val="16"/>
                <w:lang w:bidi="th-TH"/>
              </w:rPr>
            </w:pPr>
          </w:p>
          <w:p w:rsidR="00D944AE" w:rsidRPr="007861F3" w:rsidRDefault="00D944AE" w:rsidP="00E3403E">
            <w:pPr>
              <w:rPr>
                <w:sz w:val="16"/>
                <w:szCs w:val="16"/>
                <w:lang w:bidi="th-TH"/>
              </w:rPr>
            </w:pPr>
            <w:r w:rsidRPr="007861F3">
              <w:rPr>
                <w:sz w:val="16"/>
                <w:szCs w:val="16"/>
                <w:lang w:bidi="th-TH"/>
              </w:rPr>
              <w:t>Latin America and the Caribbean (4)</w:t>
            </w:r>
          </w:p>
          <w:p w:rsidR="00D944AE" w:rsidRPr="007861F3" w:rsidRDefault="00D944AE" w:rsidP="00E3403E">
            <w:pPr>
              <w:rPr>
                <w:sz w:val="16"/>
                <w:szCs w:val="16"/>
                <w:lang w:bidi="th-TH"/>
              </w:rPr>
            </w:pPr>
          </w:p>
          <w:p w:rsidR="00D944AE" w:rsidRPr="007861F3" w:rsidRDefault="00D944AE" w:rsidP="00E3403E">
            <w:pPr>
              <w:rPr>
                <w:sz w:val="16"/>
                <w:szCs w:val="16"/>
                <w:lang w:bidi="th-TH"/>
              </w:rPr>
            </w:pPr>
            <w:r w:rsidRPr="007861F3">
              <w:rPr>
                <w:sz w:val="16"/>
                <w:szCs w:val="16"/>
                <w:lang w:bidi="th-TH"/>
              </w:rPr>
              <w:t>5 LDCs included in the above regional breakdown</w:t>
            </w:r>
          </w:p>
          <w:p w:rsidR="00D944AE" w:rsidRPr="007861F3" w:rsidRDefault="00D944AE" w:rsidP="00E3403E">
            <w:pPr>
              <w:rPr>
                <w:sz w:val="16"/>
                <w:szCs w:val="16"/>
                <w:lang w:bidi="th-TH"/>
              </w:rPr>
            </w:pPr>
          </w:p>
        </w:tc>
        <w:tc>
          <w:tcPr>
            <w:tcW w:w="1701" w:type="dxa"/>
            <w:gridSpan w:val="2"/>
            <w:shd w:val="clear" w:color="auto" w:fill="auto"/>
            <w:tcMar>
              <w:top w:w="110" w:type="dxa"/>
            </w:tcMar>
          </w:tcPr>
          <w:p w:rsidR="00D944AE" w:rsidRPr="007861F3" w:rsidRDefault="00D944AE" w:rsidP="00E3403E">
            <w:pPr>
              <w:rPr>
                <w:sz w:val="16"/>
                <w:szCs w:val="16"/>
                <w:lang w:bidi="th-TH"/>
              </w:rPr>
            </w:pPr>
            <w:r w:rsidRPr="007861F3">
              <w:rPr>
                <w:sz w:val="16"/>
                <w:szCs w:val="16"/>
                <w:lang w:bidi="th-TH"/>
              </w:rPr>
              <w:t>Africa (6</w:t>
            </w:r>
            <w:r>
              <w:rPr>
                <w:sz w:val="16"/>
                <w:szCs w:val="16"/>
                <w:lang w:bidi="th-TH"/>
              </w:rPr>
              <w:t>)</w:t>
            </w:r>
            <w:r w:rsidRPr="007861F3">
              <w:rPr>
                <w:sz w:val="16"/>
                <w:szCs w:val="16"/>
                <w:lang w:bidi="th-TH"/>
              </w:rPr>
              <w:t xml:space="preserve"> cumulative</w:t>
            </w:r>
          </w:p>
          <w:p w:rsidR="00D944AE" w:rsidRPr="007861F3" w:rsidRDefault="00D944AE" w:rsidP="00E3403E">
            <w:pPr>
              <w:rPr>
                <w:sz w:val="16"/>
                <w:szCs w:val="16"/>
                <w:lang w:bidi="th-TH"/>
              </w:rPr>
            </w:pPr>
          </w:p>
          <w:p w:rsidR="00D944AE" w:rsidRPr="007861F3" w:rsidRDefault="00D944AE" w:rsidP="00E3403E">
            <w:pPr>
              <w:rPr>
                <w:sz w:val="16"/>
                <w:szCs w:val="16"/>
                <w:lang w:bidi="th-TH"/>
              </w:rPr>
            </w:pPr>
            <w:r w:rsidRPr="007861F3">
              <w:rPr>
                <w:sz w:val="16"/>
                <w:szCs w:val="16"/>
                <w:lang w:bidi="th-TH"/>
              </w:rPr>
              <w:t>Arab (6) cumulative</w:t>
            </w:r>
          </w:p>
          <w:p w:rsidR="00D944AE" w:rsidRPr="007861F3" w:rsidRDefault="00D944AE" w:rsidP="00E3403E">
            <w:pPr>
              <w:rPr>
                <w:sz w:val="16"/>
                <w:szCs w:val="16"/>
                <w:lang w:bidi="th-TH"/>
              </w:rPr>
            </w:pPr>
          </w:p>
          <w:p w:rsidR="00D944AE" w:rsidRPr="007861F3" w:rsidRDefault="00D944AE" w:rsidP="00E3403E">
            <w:pPr>
              <w:rPr>
                <w:sz w:val="16"/>
                <w:szCs w:val="16"/>
                <w:lang w:bidi="th-TH"/>
              </w:rPr>
            </w:pPr>
            <w:r w:rsidRPr="007861F3">
              <w:rPr>
                <w:sz w:val="16"/>
                <w:szCs w:val="16"/>
                <w:lang w:bidi="th-TH"/>
              </w:rPr>
              <w:t>Asian and Pacific (7) cumulative</w:t>
            </w:r>
          </w:p>
          <w:p w:rsidR="00D944AE" w:rsidRPr="007861F3" w:rsidRDefault="00D944AE" w:rsidP="00E3403E">
            <w:pPr>
              <w:rPr>
                <w:sz w:val="16"/>
                <w:szCs w:val="16"/>
                <w:lang w:bidi="th-TH"/>
              </w:rPr>
            </w:pPr>
          </w:p>
          <w:p w:rsidR="00D944AE" w:rsidRPr="007861F3" w:rsidRDefault="00D944AE" w:rsidP="00E3403E">
            <w:pPr>
              <w:rPr>
                <w:sz w:val="16"/>
                <w:szCs w:val="16"/>
                <w:lang w:bidi="th-TH"/>
              </w:rPr>
            </w:pPr>
          </w:p>
          <w:p w:rsidR="00D944AE" w:rsidRPr="007861F3" w:rsidRDefault="00D944AE" w:rsidP="00E3403E">
            <w:pPr>
              <w:rPr>
                <w:sz w:val="16"/>
                <w:szCs w:val="16"/>
                <w:lang w:bidi="th-TH"/>
              </w:rPr>
            </w:pPr>
            <w:r w:rsidRPr="007861F3">
              <w:rPr>
                <w:sz w:val="16"/>
                <w:szCs w:val="16"/>
                <w:lang w:bidi="th-TH"/>
              </w:rPr>
              <w:t>Latin America and the Caribbean (12)</w:t>
            </w:r>
          </w:p>
          <w:p w:rsidR="00D944AE" w:rsidRPr="007861F3" w:rsidRDefault="00D944AE" w:rsidP="00E3403E">
            <w:pPr>
              <w:rPr>
                <w:sz w:val="16"/>
                <w:szCs w:val="16"/>
                <w:lang w:bidi="th-TH"/>
              </w:rPr>
            </w:pPr>
          </w:p>
          <w:p w:rsidR="00D944AE" w:rsidRPr="007861F3" w:rsidRDefault="00D944AE" w:rsidP="00E3403E">
            <w:pPr>
              <w:rPr>
                <w:sz w:val="16"/>
                <w:szCs w:val="16"/>
                <w:lang w:bidi="th-TH"/>
              </w:rPr>
            </w:pPr>
            <w:r w:rsidRPr="007861F3">
              <w:rPr>
                <w:sz w:val="16"/>
                <w:szCs w:val="16"/>
                <w:lang w:bidi="th-TH"/>
              </w:rPr>
              <w:t>11 LDCs included in the above regional breakdown</w:t>
            </w:r>
          </w:p>
          <w:p w:rsidR="00D944AE" w:rsidRPr="007861F3" w:rsidRDefault="00D944AE" w:rsidP="00E3403E">
            <w:pPr>
              <w:rPr>
                <w:sz w:val="16"/>
                <w:szCs w:val="16"/>
                <w:lang w:bidi="th-TH"/>
              </w:rPr>
            </w:pPr>
          </w:p>
          <w:p w:rsidR="00D944AE" w:rsidRPr="007861F3" w:rsidRDefault="00D944AE" w:rsidP="00E3403E">
            <w:pPr>
              <w:rPr>
                <w:sz w:val="16"/>
                <w:szCs w:val="16"/>
                <w:lang w:bidi="th-TH"/>
              </w:rPr>
            </w:pPr>
          </w:p>
        </w:tc>
        <w:tc>
          <w:tcPr>
            <w:tcW w:w="2269" w:type="dxa"/>
            <w:shd w:val="clear" w:color="auto" w:fill="FFFFFF"/>
            <w:tcMar>
              <w:top w:w="110" w:type="dxa"/>
            </w:tcMar>
          </w:tcPr>
          <w:p w:rsidR="00D944AE" w:rsidRPr="007861F3" w:rsidRDefault="00D944AE" w:rsidP="00E3403E">
            <w:pPr>
              <w:rPr>
                <w:sz w:val="16"/>
                <w:szCs w:val="16"/>
                <w:lang w:bidi="th-TH"/>
              </w:rPr>
            </w:pPr>
            <w:r w:rsidRPr="007861F3">
              <w:rPr>
                <w:sz w:val="16"/>
                <w:szCs w:val="16"/>
              </w:rPr>
              <w:t>Africa</w:t>
            </w:r>
            <w:r>
              <w:rPr>
                <w:sz w:val="16"/>
                <w:szCs w:val="16"/>
              </w:rPr>
              <w:t xml:space="preserve"> (17 additional in 2014/15):  </w:t>
            </w:r>
            <w:r w:rsidRPr="007861F3">
              <w:rPr>
                <w:sz w:val="16"/>
                <w:szCs w:val="16"/>
              </w:rPr>
              <w:t xml:space="preserve">Botswana, Burundi, Cameroon, Chad, </w:t>
            </w:r>
            <w:r>
              <w:rPr>
                <w:sz w:val="16"/>
                <w:szCs w:val="16"/>
              </w:rPr>
              <w:t xml:space="preserve">the </w:t>
            </w:r>
            <w:r w:rsidRPr="007861F3">
              <w:rPr>
                <w:sz w:val="16"/>
                <w:szCs w:val="16"/>
              </w:rPr>
              <w:t xml:space="preserve">Congo, </w:t>
            </w:r>
            <w:r>
              <w:rPr>
                <w:sz w:val="16"/>
                <w:szCs w:val="16"/>
              </w:rPr>
              <w:t xml:space="preserve">Côte d’Ivoire, the </w:t>
            </w:r>
            <w:r w:rsidRPr="007861F3">
              <w:rPr>
                <w:sz w:val="16"/>
                <w:szCs w:val="16"/>
              </w:rPr>
              <w:t>D</w:t>
            </w:r>
            <w:r>
              <w:rPr>
                <w:sz w:val="16"/>
                <w:szCs w:val="16"/>
              </w:rPr>
              <w:t xml:space="preserve">emocratic </w:t>
            </w:r>
            <w:r w:rsidRPr="007861F3">
              <w:rPr>
                <w:sz w:val="16"/>
                <w:szCs w:val="16"/>
              </w:rPr>
              <w:t>R</w:t>
            </w:r>
            <w:r>
              <w:rPr>
                <w:sz w:val="16"/>
                <w:szCs w:val="16"/>
              </w:rPr>
              <w:t>epublic of</w:t>
            </w:r>
            <w:r w:rsidRPr="007861F3">
              <w:rPr>
                <w:sz w:val="16"/>
                <w:szCs w:val="16"/>
              </w:rPr>
              <w:t xml:space="preserve"> Congo</w:t>
            </w:r>
            <w:r>
              <w:rPr>
                <w:sz w:val="16"/>
                <w:szCs w:val="16"/>
              </w:rPr>
              <w:t>,</w:t>
            </w:r>
            <w:r w:rsidRPr="007861F3">
              <w:rPr>
                <w:sz w:val="16"/>
                <w:szCs w:val="16"/>
              </w:rPr>
              <w:t xml:space="preserve"> Ethiopia</w:t>
            </w:r>
            <w:r>
              <w:rPr>
                <w:sz w:val="16"/>
                <w:szCs w:val="16"/>
              </w:rPr>
              <w:t xml:space="preserve">; </w:t>
            </w:r>
            <w:r w:rsidRPr="007861F3">
              <w:rPr>
                <w:sz w:val="16"/>
                <w:szCs w:val="16"/>
              </w:rPr>
              <w:t xml:space="preserve">Lesotho, Malawi, Mali, </w:t>
            </w:r>
            <w:r>
              <w:rPr>
                <w:sz w:val="16"/>
                <w:szCs w:val="16"/>
              </w:rPr>
              <w:t xml:space="preserve">Rwanda, </w:t>
            </w:r>
            <w:r w:rsidRPr="007861F3">
              <w:rPr>
                <w:sz w:val="16"/>
                <w:szCs w:val="16"/>
              </w:rPr>
              <w:t xml:space="preserve">Sao Tome </w:t>
            </w:r>
            <w:r>
              <w:rPr>
                <w:sz w:val="16"/>
                <w:szCs w:val="16"/>
              </w:rPr>
              <w:t>and</w:t>
            </w:r>
            <w:r w:rsidRPr="007861F3">
              <w:rPr>
                <w:sz w:val="16"/>
                <w:szCs w:val="16"/>
              </w:rPr>
              <w:t xml:space="preserve"> P</w:t>
            </w:r>
            <w:r>
              <w:rPr>
                <w:sz w:val="16"/>
                <w:szCs w:val="16"/>
              </w:rPr>
              <w:t>rincipe</w:t>
            </w:r>
            <w:r w:rsidRPr="007861F3">
              <w:rPr>
                <w:sz w:val="16"/>
                <w:szCs w:val="16"/>
              </w:rPr>
              <w:t>, Swaziland, Togo</w:t>
            </w:r>
            <w:r w:rsidRPr="007861F3">
              <w:rPr>
                <w:sz w:val="16"/>
                <w:szCs w:val="16"/>
                <w:lang w:bidi="th-TH"/>
              </w:rPr>
              <w:t>, U</w:t>
            </w:r>
            <w:r w:rsidRPr="007861F3">
              <w:rPr>
                <w:sz w:val="16"/>
                <w:szCs w:val="16"/>
              </w:rPr>
              <w:t>nited Republic of Tanzania, Zimbabwe</w:t>
            </w:r>
          </w:p>
          <w:p w:rsidR="00D944AE" w:rsidRDefault="00D944AE" w:rsidP="00E3403E">
            <w:pPr>
              <w:rPr>
                <w:sz w:val="16"/>
                <w:szCs w:val="16"/>
              </w:rPr>
            </w:pPr>
            <w:r>
              <w:rPr>
                <w:sz w:val="16"/>
                <w:szCs w:val="16"/>
              </w:rPr>
              <w:t xml:space="preserve">(26 cumulative) </w:t>
            </w:r>
          </w:p>
          <w:p w:rsidR="00D944AE" w:rsidRPr="007861F3" w:rsidRDefault="00D944AE" w:rsidP="00E3403E">
            <w:pPr>
              <w:rPr>
                <w:sz w:val="16"/>
                <w:szCs w:val="16"/>
              </w:rPr>
            </w:pPr>
          </w:p>
          <w:p w:rsidR="00D944AE" w:rsidRPr="007861F3" w:rsidRDefault="00D944AE" w:rsidP="00E3403E">
            <w:pPr>
              <w:rPr>
                <w:sz w:val="16"/>
                <w:szCs w:val="16"/>
                <w:lang w:bidi="th-TH"/>
              </w:rPr>
            </w:pPr>
            <w:r>
              <w:rPr>
                <w:sz w:val="16"/>
                <w:szCs w:val="16"/>
                <w:lang w:bidi="th-TH"/>
              </w:rPr>
              <w:t>Arab (no additional countries in 2014/15):</w:t>
            </w:r>
          </w:p>
          <w:p w:rsidR="00D944AE" w:rsidRPr="007861F3" w:rsidRDefault="00D944AE" w:rsidP="00E3403E">
            <w:pPr>
              <w:rPr>
                <w:sz w:val="16"/>
                <w:szCs w:val="16"/>
              </w:rPr>
            </w:pPr>
            <w:r>
              <w:rPr>
                <w:sz w:val="16"/>
                <w:szCs w:val="16"/>
              </w:rPr>
              <w:t>(2 cumulative)</w:t>
            </w:r>
          </w:p>
          <w:p w:rsidR="00D944AE" w:rsidRPr="007861F3" w:rsidRDefault="00D944AE" w:rsidP="00E3403E">
            <w:pPr>
              <w:rPr>
                <w:sz w:val="16"/>
                <w:szCs w:val="16"/>
                <w:lang w:bidi="th-TH"/>
              </w:rPr>
            </w:pPr>
          </w:p>
          <w:p w:rsidR="00D944AE" w:rsidRPr="007861F3" w:rsidRDefault="00D944AE" w:rsidP="00E3403E">
            <w:pPr>
              <w:rPr>
                <w:sz w:val="16"/>
                <w:szCs w:val="16"/>
              </w:rPr>
            </w:pPr>
            <w:r w:rsidRPr="007861F3">
              <w:rPr>
                <w:sz w:val="16"/>
                <w:szCs w:val="16"/>
              </w:rPr>
              <w:t>Asia and Pacific (</w:t>
            </w:r>
            <w:r>
              <w:rPr>
                <w:sz w:val="16"/>
                <w:szCs w:val="16"/>
              </w:rPr>
              <w:t>5 additional in 2014/15</w:t>
            </w:r>
            <w:r w:rsidRPr="007861F3">
              <w:rPr>
                <w:sz w:val="16"/>
                <w:szCs w:val="16"/>
              </w:rPr>
              <w:t>)</w:t>
            </w:r>
            <w:r>
              <w:rPr>
                <w:sz w:val="16"/>
                <w:szCs w:val="16"/>
              </w:rPr>
              <w:t xml:space="preserve">:  </w:t>
            </w:r>
          </w:p>
          <w:p w:rsidR="00D944AE" w:rsidRPr="001F3492" w:rsidRDefault="00D944AE" w:rsidP="00E3403E">
            <w:pPr>
              <w:rPr>
                <w:sz w:val="16"/>
                <w:szCs w:val="16"/>
                <w:lang w:val="es-ES"/>
              </w:rPr>
            </w:pPr>
            <w:r w:rsidRPr="001F3492">
              <w:rPr>
                <w:sz w:val="16"/>
                <w:szCs w:val="16"/>
                <w:lang w:val="es-ES"/>
              </w:rPr>
              <w:t>Cambodia, Mongolia, Sri Lanka, Tonga, Vanuatu</w:t>
            </w:r>
          </w:p>
          <w:p w:rsidR="00D944AE" w:rsidRPr="00321A09" w:rsidRDefault="00D944AE" w:rsidP="00E3403E">
            <w:pPr>
              <w:rPr>
                <w:sz w:val="16"/>
                <w:szCs w:val="16"/>
                <w:lang w:bidi="th-TH"/>
              </w:rPr>
            </w:pPr>
            <w:r w:rsidRPr="00321A09">
              <w:rPr>
                <w:sz w:val="16"/>
                <w:szCs w:val="16"/>
                <w:lang w:bidi="th-TH"/>
              </w:rPr>
              <w:t>(</w:t>
            </w:r>
            <w:r>
              <w:rPr>
                <w:sz w:val="16"/>
                <w:szCs w:val="16"/>
                <w:lang w:bidi="th-TH"/>
              </w:rPr>
              <w:t>8</w:t>
            </w:r>
            <w:r w:rsidRPr="00321A09">
              <w:rPr>
                <w:sz w:val="16"/>
                <w:szCs w:val="16"/>
                <w:lang w:bidi="th-TH"/>
              </w:rPr>
              <w:t xml:space="preserve"> cumulative)</w:t>
            </w:r>
          </w:p>
          <w:p w:rsidR="00D944AE" w:rsidRPr="00321A09" w:rsidRDefault="00D944AE" w:rsidP="00E3403E">
            <w:pPr>
              <w:rPr>
                <w:sz w:val="16"/>
                <w:szCs w:val="16"/>
                <w:lang w:bidi="th-TH"/>
              </w:rPr>
            </w:pPr>
          </w:p>
          <w:p w:rsidR="00D944AE" w:rsidRDefault="00D944AE" w:rsidP="00E3403E">
            <w:pPr>
              <w:rPr>
                <w:sz w:val="16"/>
                <w:szCs w:val="16"/>
                <w:lang w:bidi="th-TH"/>
              </w:rPr>
            </w:pPr>
            <w:r w:rsidRPr="007861F3">
              <w:rPr>
                <w:sz w:val="16"/>
                <w:szCs w:val="16"/>
                <w:lang w:bidi="th-TH"/>
              </w:rPr>
              <w:t xml:space="preserve">Latin America and the Caribbean </w:t>
            </w:r>
            <w:r>
              <w:rPr>
                <w:sz w:val="16"/>
                <w:szCs w:val="16"/>
                <w:lang w:bidi="th-TH"/>
              </w:rPr>
              <w:t>(4 additional in 2014/15):</w:t>
            </w:r>
            <w:r w:rsidRPr="007861F3">
              <w:rPr>
                <w:sz w:val="16"/>
                <w:szCs w:val="16"/>
                <w:lang w:bidi="th-TH"/>
              </w:rPr>
              <w:t xml:space="preserve"> </w:t>
            </w:r>
            <w:r>
              <w:rPr>
                <w:sz w:val="16"/>
                <w:szCs w:val="16"/>
                <w:lang w:bidi="th-TH"/>
              </w:rPr>
              <w:t xml:space="preserve"> </w:t>
            </w:r>
            <w:r w:rsidRPr="007861F3">
              <w:rPr>
                <w:sz w:val="16"/>
                <w:szCs w:val="16"/>
                <w:lang w:bidi="th-TH"/>
              </w:rPr>
              <w:t>Barbados, El Salvador, Guatemala and S</w:t>
            </w:r>
            <w:r>
              <w:rPr>
                <w:sz w:val="16"/>
                <w:szCs w:val="16"/>
                <w:lang w:bidi="th-TH"/>
              </w:rPr>
              <w:t>aint</w:t>
            </w:r>
            <w:r w:rsidRPr="007861F3">
              <w:rPr>
                <w:sz w:val="16"/>
                <w:szCs w:val="16"/>
                <w:lang w:bidi="th-TH"/>
              </w:rPr>
              <w:t xml:space="preserve"> Kitts and N</w:t>
            </w:r>
            <w:r>
              <w:rPr>
                <w:sz w:val="16"/>
                <w:szCs w:val="16"/>
                <w:lang w:bidi="th-TH"/>
              </w:rPr>
              <w:t>e</w:t>
            </w:r>
            <w:r w:rsidRPr="007861F3">
              <w:rPr>
                <w:sz w:val="16"/>
                <w:szCs w:val="16"/>
                <w:lang w:bidi="th-TH"/>
              </w:rPr>
              <w:t>v</w:t>
            </w:r>
            <w:r>
              <w:rPr>
                <w:sz w:val="16"/>
                <w:szCs w:val="16"/>
                <w:lang w:bidi="th-TH"/>
              </w:rPr>
              <w:t>i</w:t>
            </w:r>
            <w:r w:rsidRPr="007861F3">
              <w:rPr>
                <w:sz w:val="16"/>
                <w:szCs w:val="16"/>
                <w:lang w:bidi="th-TH"/>
              </w:rPr>
              <w:t xml:space="preserve">s </w:t>
            </w:r>
          </w:p>
          <w:p w:rsidR="00D944AE" w:rsidRDefault="00D944AE" w:rsidP="00E3403E">
            <w:pPr>
              <w:rPr>
                <w:sz w:val="16"/>
                <w:szCs w:val="16"/>
                <w:lang w:bidi="th-TH"/>
              </w:rPr>
            </w:pPr>
            <w:r>
              <w:rPr>
                <w:sz w:val="16"/>
                <w:szCs w:val="16"/>
                <w:lang w:bidi="th-TH"/>
              </w:rPr>
              <w:t>(8 cumulative)</w:t>
            </w:r>
          </w:p>
          <w:p w:rsidR="00D944AE" w:rsidRDefault="00D944AE" w:rsidP="00E3403E">
            <w:pPr>
              <w:rPr>
                <w:sz w:val="16"/>
                <w:szCs w:val="16"/>
                <w:lang w:bidi="th-TH"/>
              </w:rPr>
            </w:pPr>
          </w:p>
          <w:p w:rsidR="00D944AE" w:rsidRPr="007861F3" w:rsidRDefault="00D944AE" w:rsidP="00E3403E">
            <w:pPr>
              <w:rPr>
                <w:sz w:val="16"/>
                <w:szCs w:val="16"/>
                <w:lang w:bidi="th-TH"/>
              </w:rPr>
            </w:pPr>
            <w:r>
              <w:rPr>
                <w:sz w:val="16"/>
                <w:szCs w:val="16"/>
                <w:lang w:bidi="th-TH"/>
              </w:rPr>
              <w:t>19 LDCs included in the above cumulative regional breakdown</w:t>
            </w:r>
          </w:p>
        </w:tc>
        <w:tc>
          <w:tcPr>
            <w:tcW w:w="1190" w:type="dxa"/>
            <w:gridSpan w:val="2"/>
            <w:shd w:val="clear" w:color="auto" w:fill="auto"/>
          </w:tcPr>
          <w:p w:rsidR="00D944AE" w:rsidRPr="001761D1" w:rsidRDefault="00D944AE" w:rsidP="00E3403E">
            <w:pPr>
              <w:keepNext/>
              <w:keepLines/>
              <w:jc w:val="center"/>
              <w:rPr>
                <w:b/>
                <w:bCs/>
                <w:color w:val="00B050"/>
                <w:sz w:val="16"/>
                <w:szCs w:val="16"/>
              </w:rPr>
            </w:pPr>
            <w:r w:rsidRPr="001761D1">
              <w:rPr>
                <w:b/>
                <w:bCs/>
                <w:color w:val="00B050"/>
                <w:sz w:val="16"/>
                <w:szCs w:val="16"/>
              </w:rPr>
              <w:t>Fully Achieved</w:t>
            </w:r>
          </w:p>
          <w:p w:rsidR="00D944AE" w:rsidRPr="007861F3" w:rsidRDefault="00D944AE" w:rsidP="00E3403E">
            <w:pPr>
              <w:keepNext/>
              <w:keepLines/>
              <w:spacing w:after="120"/>
              <w:jc w:val="center"/>
              <w:rPr>
                <w:bCs/>
                <w:sz w:val="16"/>
                <w:szCs w:val="16"/>
              </w:rPr>
            </w:pPr>
          </w:p>
          <w:p w:rsidR="00D944AE" w:rsidRPr="007861F3" w:rsidRDefault="00D944AE" w:rsidP="00E3403E">
            <w:pPr>
              <w:keepNext/>
              <w:keepLines/>
              <w:spacing w:after="120"/>
              <w:jc w:val="center"/>
              <w:rPr>
                <w:bCs/>
                <w:sz w:val="16"/>
                <w:szCs w:val="16"/>
              </w:rPr>
            </w:pPr>
          </w:p>
          <w:p w:rsidR="00D944AE" w:rsidRPr="007861F3" w:rsidRDefault="00D944AE" w:rsidP="00E3403E">
            <w:pPr>
              <w:keepNext/>
              <w:keepLines/>
              <w:spacing w:after="120"/>
              <w:jc w:val="center"/>
              <w:rPr>
                <w:bCs/>
                <w:sz w:val="16"/>
                <w:szCs w:val="16"/>
              </w:rPr>
            </w:pPr>
          </w:p>
          <w:p w:rsidR="00D944AE" w:rsidRPr="007861F3" w:rsidRDefault="00D944AE" w:rsidP="00E3403E">
            <w:pPr>
              <w:keepNext/>
              <w:keepLines/>
              <w:spacing w:after="120"/>
              <w:jc w:val="center"/>
              <w:rPr>
                <w:bCs/>
                <w:sz w:val="16"/>
                <w:szCs w:val="16"/>
              </w:rPr>
            </w:pPr>
          </w:p>
          <w:p w:rsidR="00D944AE" w:rsidRPr="007861F3" w:rsidRDefault="00D944AE" w:rsidP="00E3403E">
            <w:pPr>
              <w:keepNext/>
              <w:keepLines/>
              <w:spacing w:after="120"/>
              <w:jc w:val="center"/>
              <w:rPr>
                <w:bCs/>
                <w:sz w:val="16"/>
                <w:szCs w:val="16"/>
              </w:rPr>
            </w:pPr>
          </w:p>
          <w:p w:rsidR="00D944AE" w:rsidRPr="007861F3" w:rsidRDefault="00D944AE" w:rsidP="00E3403E">
            <w:pPr>
              <w:keepNext/>
              <w:keepLines/>
              <w:spacing w:after="120"/>
              <w:jc w:val="center"/>
              <w:rPr>
                <w:bCs/>
                <w:sz w:val="16"/>
                <w:szCs w:val="16"/>
              </w:rPr>
            </w:pPr>
          </w:p>
          <w:p w:rsidR="00D944AE" w:rsidRPr="007861F3" w:rsidRDefault="00D944AE" w:rsidP="00E3403E">
            <w:pPr>
              <w:keepNext/>
              <w:keepLines/>
              <w:rPr>
                <w:bCs/>
                <w:sz w:val="16"/>
                <w:szCs w:val="16"/>
              </w:rPr>
            </w:pPr>
          </w:p>
          <w:p w:rsidR="00D944AE" w:rsidRDefault="00D944AE" w:rsidP="00E3403E">
            <w:pPr>
              <w:keepNext/>
              <w:keepLines/>
              <w:spacing w:after="120"/>
              <w:jc w:val="center"/>
              <w:rPr>
                <w:bCs/>
                <w:sz w:val="16"/>
                <w:szCs w:val="16"/>
              </w:rPr>
            </w:pPr>
            <w:r w:rsidRPr="001761D1">
              <w:rPr>
                <w:b/>
                <w:bCs/>
                <w:color w:val="FF0000"/>
                <w:sz w:val="16"/>
                <w:szCs w:val="16"/>
              </w:rPr>
              <w:t>Not Achieved</w:t>
            </w:r>
          </w:p>
          <w:p w:rsidR="00D944AE" w:rsidRDefault="00D944AE" w:rsidP="00E3403E">
            <w:pPr>
              <w:keepNext/>
              <w:keepLines/>
              <w:spacing w:after="120"/>
              <w:jc w:val="center"/>
              <w:rPr>
                <w:bCs/>
                <w:sz w:val="16"/>
                <w:szCs w:val="16"/>
              </w:rPr>
            </w:pPr>
          </w:p>
          <w:p w:rsidR="00D944AE" w:rsidRPr="007861F3" w:rsidRDefault="00D944AE" w:rsidP="00E3403E">
            <w:pPr>
              <w:keepNext/>
              <w:keepLines/>
              <w:spacing w:after="120"/>
              <w:jc w:val="center"/>
              <w:rPr>
                <w:bCs/>
                <w:sz w:val="16"/>
                <w:szCs w:val="16"/>
              </w:rPr>
            </w:pPr>
          </w:p>
          <w:p w:rsidR="00D944AE" w:rsidRPr="001761D1" w:rsidRDefault="00D944AE" w:rsidP="00E3403E">
            <w:pPr>
              <w:keepNext/>
              <w:keepLines/>
              <w:jc w:val="center"/>
              <w:rPr>
                <w:b/>
                <w:bCs/>
                <w:color w:val="00B050"/>
                <w:sz w:val="16"/>
                <w:szCs w:val="16"/>
              </w:rPr>
            </w:pPr>
            <w:r w:rsidRPr="006343D1">
              <w:rPr>
                <w:b/>
                <w:bCs/>
                <w:color w:val="00B050"/>
                <w:sz w:val="16"/>
                <w:szCs w:val="16"/>
              </w:rPr>
              <w:t>Fully Achieved</w:t>
            </w:r>
          </w:p>
          <w:p w:rsidR="00D944AE" w:rsidRPr="007861F3" w:rsidRDefault="00D944AE" w:rsidP="00E3403E">
            <w:pPr>
              <w:keepNext/>
              <w:keepLines/>
              <w:spacing w:after="120"/>
              <w:jc w:val="center"/>
              <w:rPr>
                <w:bCs/>
                <w:sz w:val="16"/>
                <w:szCs w:val="16"/>
              </w:rPr>
            </w:pPr>
          </w:p>
          <w:p w:rsidR="00D944AE" w:rsidRPr="007861F3" w:rsidRDefault="00D944AE" w:rsidP="00E3403E">
            <w:pPr>
              <w:keepNext/>
              <w:keepLines/>
              <w:spacing w:after="120"/>
              <w:jc w:val="center"/>
              <w:rPr>
                <w:bCs/>
                <w:sz w:val="16"/>
                <w:szCs w:val="16"/>
              </w:rPr>
            </w:pPr>
          </w:p>
          <w:p w:rsidR="00D944AE" w:rsidRPr="001761D1" w:rsidRDefault="00D944AE" w:rsidP="00E3403E">
            <w:pPr>
              <w:keepNext/>
              <w:keepLines/>
              <w:spacing w:after="120"/>
              <w:jc w:val="center"/>
              <w:rPr>
                <w:b/>
                <w:bCs/>
                <w:color w:val="F79646" w:themeColor="accent6"/>
                <w:sz w:val="16"/>
                <w:szCs w:val="16"/>
              </w:rPr>
            </w:pPr>
            <w:r w:rsidRPr="001761D1">
              <w:rPr>
                <w:b/>
                <w:bCs/>
                <w:color w:val="F79646" w:themeColor="accent6"/>
                <w:sz w:val="16"/>
                <w:szCs w:val="16"/>
              </w:rPr>
              <w:t>Partially Achieved</w:t>
            </w:r>
          </w:p>
          <w:p w:rsidR="00D944AE" w:rsidRDefault="00D944AE" w:rsidP="00E3403E">
            <w:pPr>
              <w:keepNext/>
              <w:keepLines/>
              <w:spacing w:after="120"/>
              <w:jc w:val="center"/>
              <w:rPr>
                <w:bCs/>
                <w:sz w:val="16"/>
                <w:szCs w:val="16"/>
              </w:rPr>
            </w:pPr>
          </w:p>
          <w:p w:rsidR="00674EDC" w:rsidRDefault="00674EDC" w:rsidP="00E3403E">
            <w:pPr>
              <w:keepNext/>
              <w:keepLines/>
              <w:spacing w:after="120"/>
              <w:jc w:val="center"/>
              <w:rPr>
                <w:bCs/>
                <w:sz w:val="16"/>
                <w:szCs w:val="16"/>
              </w:rPr>
            </w:pPr>
          </w:p>
          <w:p w:rsidR="00674EDC" w:rsidRPr="001761D1" w:rsidRDefault="00674EDC" w:rsidP="00674EDC">
            <w:pPr>
              <w:keepNext/>
              <w:keepLines/>
              <w:jc w:val="center"/>
              <w:rPr>
                <w:b/>
                <w:bCs/>
                <w:color w:val="00B050"/>
                <w:sz w:val="16"/>
                <w:szCs w:val="16"/>
              </w:rPr>
            </w:pPr>
            <w:r w:rsidRPr="006343D1">
              <w:rPr>
                <w:b/>
                <w:bCs/>
                <w:color w:val="00B050"/>
                <w:sz w:val="16"/>
                <w:szCs w:val="16"/>
              </w:rPr>
              <w:t>Fully Achieved</w:t>
            </w:r>
          </w:p>
          <w:p w:rsidR="00674EDC" w:rsidRPr="007861F3" w:rsidRDefault="00674EDC" w:rsidP="00E3403E">
            <w:pPr>
              <w:keepNext/>
              <w:keepLines/>
              <w:spacing w:after="120"/>
              <w:jc w:val="center"/>
              <w:rPr>
                <w:bCs/>
                <w:sz w:val="16"/>
                <w:szCs w:val="16"/>
              </w:rPr>
            </w:pPr>
          </w:p>
          <w:p w:rsidR="00D944AE" w:rsidRPr="007861F3" w:rsidRDefault="00D944AE" w:rsidP="00E3403E">
            <w:pPr>
              <w:keepNext/>
              <w:keepLines/>
              <w:spacing w:after="120"/>
              <w:jc w:val="center"/>
              <w:rPr>
                <w:bCs/>
                <w:sz w:val="16"/>
                <w:szCs w:val="16"/>
              </w:rPr>
            </w:pPr>
          </w:p>
        </w:tc>
      </w:tr>
    </w:tbl>
    <w:p w:rsidR="003A4903" w:rsidRDefault="003A4903">
      <w:r>
        <w:br w:type="page"/>
      </w:r>
    </w:p>
    <w:tbl>
      <w:tblPr>
        <w:tblW w:w="9270"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983"/>
        <w:gridCol w:w="142"/>
        <w:gridCol w:w="1985"/>
        <w:gridCol w:w="1701"/>
        <w:gridCol w:w="142"/>
        <w:gridCol w:w="2055"/>
        <w:gridCol w:w="72"/>
        <w:gridCol w:w="1190"/>
      </w:tblGrid>
      <w:tr w:rsidR="00D944AE" w:rsidRPr="007861F3" w:rsidTr="00E3403E">
        <w:tc>
          <w:tcPr>
            <w:tcW w:w="9270" w:type="dxa"/>
            <w:gridSpan w:val="8"/>
            <w:tcBorders>
              <w:top w:val="single" w:sz="4" w:space="0" w:color="auto"/>
              <w:bottom w:val="single" w:sz="4" w:space="0" w:color="auto"/>
            </w:tcBorders>
            <w:shd w:val="clear" w:color="auto" w:fill="C6D9F1" w:themeFill="text2" w:themeFillTint="33"/>
            <w:vAlign w:val="center"/>
          </w:tcPr>
          <w:p w:rsidR="00D944AE" w:rsidRPr="007861F3" w:rsidRDefault="00D944AE" w:rsidP="00E3403E">
            <w:pPr>
              <w:keepNext/>
              <w:keepLines/>
              <w:tabs>
                <w:tab w:val="left" w:pos="1452"/>
              </w:tabs>
              <w:spacing w:before="120" w:after="120"/>
              <w:ind w:left="1452" w:hanging="1452"/>
              <w:rPr>
                <w:b/>
                <w:bCs/>
                <w:sz w:val="16"/>
                <w:szCs w:val="16"/>
              </w:rPr>
            </w:pPr>
            <w:r w:rsidRPr="007861F3">
              <w:rPr>
                <w:b/>
                <w:bCs/>
                <w:sz w:val="16"/>
                <w:szCs w:val="16"/>
              </w:rPr>
              <w:lastRenderedPageBreak/>
              <w:t>Expected Result:</w:t>
            </w:r>
            <w:r w:rsidRPr="007861F3">
              <w:rPr>
                <w:b/>
                <w:bCs/>
                <w:sz w:val="16"/>
                <w:szCs w:val="16"/>
              </w:rPr>
              <w:tab/>
            </w:r>
            <w:r w:rsidRPr="007861F3">
              <w:rPr>
                <w:sz w:val="16"/>
                <w:szCs w:val="16"/>
                <w:lang w:bidi="th-TH"/>
              </w:rPr>
              <w:t>III.2 Enhanced human resource capacities able to deal with the broad range of requirements for the effective use of IP for development in developing countries, LDCs and countries with economies in transition</w:t>
            </w:r>
          </w:p>
        </w:tc>
      </w:tr>
      <w:tr w:rsidR="00D944AE" w:rsidRPr="007861F3" w:rsidTr="00E3403E">
        <w:tc>
          <w:tcPr>
            <w:tcW w:w="2125" w:type="dxa"/>
            <w:gridSpan w:val="2"/>
            <w:tcBorders>
              <w:top w:val="single" w:sz="4" w:space="0" w:color="auto"/>
            </w:tcBorders>
            <w:shd w:val="clear" w:color="auto" w:fill="auto"/>
            <w:vAlign w:val="center"/>
          </w:tcPr>
          <w:p w:rsidR="00D944AE" w:rsidRPr="007861F3" w:rsidRDefault="00D944AE" w:rsidP="00E3403E">
            <w:pPr>
              <w:spacing w:after="40"/>
              <w:rPr>
                <w:sz w:val="16"/>
                <w:szCs w:val="16"/>
              </w:rPr>
            </w:pPr>
            <w:r w:rsidRPr="007861F3">
              <w:rPr>
                <w:b/>
                <w:bCs/>
                <w:sz w:val="16"/>
                <w:szCs w:val="16"/>
              </w:rPr>
              <w:t>Performance Indicators</w:t>
            </w:r>
          </w:p>
        </w:tc>
        <w:tc>
          <w:tcPr>
            <w:tcW w:w="1985" w:type="dxa"/>
            <w:tcBorders>
              <w:top w:val="single" w:sz="4" w:space="0" w:color="auto"/>
            </w:tcBorders>
            <w:shd w:val="clear" w:color="auto" w:fill="auto"/>
            <w:vAlign w:val="center"/>
          </w:tcPr>
          <w:p w:rsidR="00D944AE" w:rsidRPr="007861F3" w:rsidRDefault="00D944AE" w:rsidP="00E3403E">
            <w:pPr>
              <w:spacing w:after="40"/>
              <w:rPr>
                <w:b/>
                <w:bCs/>
                <w:sz w:val="16"/>
                <w:szCs w:val="16"/>
              </w:rPr>
            </w:pPr>
            <w:r w:rsidRPr="007861F3">
              <w:rPr>
                <w:b/>
                <w:bCs/>
                <w:sz w:val="16"/>
                <w:szCs w:val="16"/>
              </w:rPr>
              <w:t>Baselines</w:t>
            </w:r>
          </w:p>
        </w:tc>
        <w:tc>
          <w:tcPr>
            <w:tcW w:w="1701" w:type="dxa"/>
            <w:tcBorders>
              <w:top w:val="single" w:sz="4" w:space="0" w:color="auto"/>
            </w:tcBorders>
            <w:shd w:val="clear" w:color="auto" w:fill="auto"/>
            <w:tcMar>
              <w:top w:w="110" w:type="dxa"/>
            </w:tcMar>
            <w:vAlign w:val="center"/>
          </w:tcPr>
          <w:p w:rsidR="00D944AE" w:rsidRPr="007861F3" w:rsidRDefault="00D944AE" w:rsidP="00E3403E">
            <w:pPr>
              <w:spacing w:after="40"/>
              <w:rPr>
                <w:b/>
                <w:sz w:val="16"/>
                <w:szCs w:val="16"/>
              </w:rPr>
            </w:pPr>
            <w:r w:rsidRPr="007861F3">
              <w:rPr>
                <w:b/>
                <w:sz w:val="16"/>
                <w:szCs w:val="16"/>
              </w:rPr>
              <w:t>Targets</w:t>
            </w:r>
          </w:p>
        </w:tc>
        <w:tc>
          <w:tcPr>
            <w:tcW w:w="2269" w:type="dxa"/>
            <w:gridSpan w:val="3"/>
            <w:tcBorders>
              <w:top w:val="single" w:sz="4" w:space="0" w:color="auto"/>
            </w:tcBorders>
            <w:shd w:val="clear" w:color="auto" w:fill="FFFFFF"/>
            <w:tcMar>
              <w:top w:w="110" w:type="dxa"/>
            </w:tcMar>
            <w:vAlign w:val="center"/>
          </w:tcPr>
          <w:p w:rsidR="00D944AE" w:rsidRPr="007861F3" w:rsidRDefault="00D944AE" w:rsidP="00E3403E">
            <w:pPr>
              <w:spacing w:after="40"/>
              <w:rPr>
                <w:sz w:val="16"/>
                <w:szCs w:val="16"/>
              </w:rPr>
            </w:pPr>
            <w:r w:rsidRPr="007861F3">
              <w:rPr>
                <w:b/>
                <w:bCs/>
                <w:sz w:val="16"/>
                <w:szCs w:val="16"/>
              </w:rPr>
              <w:t>Performance Data</w:t>
            </w:r>
          </w:p>
        </w:tc>
        <w:tc>
          <w:tcPr>
            <w:tcW w:w="1190" w:type="dxa"/>
            <w:tcBorders>
              <w:top w:val="single" w:sz="4" w:space="0" w:color="auto"/>
            </w:tcBorders>
            <w:shd w:val="clear" w:color="auto" w:fill="auto"/>
            <w:tcMar>
              <w:top w:w="110" w:type="dxa"/>
            </w:tcMar>
            <w:vAlign w:val="center"/>
          </w:tcPr>
          <w:p w:rsidR="00D944AE" w:rsidRPr="007861F3" w:rsidRDefault="00D944AE" w:rsidP="00E3403E">
            <w:pPr>
              <w:keepNext/>
              <w:keepLines/>
              <w:spacing w:after="40"/>
              <w:jc w:val="center"/>
              <w:rPr>
                <w:b/>
                <w:bCs/>
                <w:sz w:val="16"/>
                <w:szCs w:val="16"/>
              </w:rPr>
            </w:pPr>
            <w:r w:rsidRPr="007861F3">
              <w:rPr>
                <w:b/>
                <w:bCs/>
                <w:sz w:val="16"/>
                <w:szCs w:val="16"/>
              </w:rPr>
              <w:t>TLS</w:t>
            </w:r>
          </w:p>
        </w:tc>
      </w:tr>
      <w:tr w:rsidR="00D944AE" w:rsidRPr="007861F3" w:rsidTr="00E3403E">
        <w:tc>
          <w:tcPr>
            <w:tcW w:w="2125" w:type="dxa"/>
            <w:gridSpan w:val="2"/>
            <w:shd w:val="clear" w:color="auto" w:fill="FFFFFF"/>
          </w:tcPr>
          <w:p w:rsidR="00D944AE" w:rsidRPr="007861F3" w:rsidRDefault="00D944AE" w:rsidP="00E3403E">
            <w:pPr>
              <w:rPr>
                <w:sz w:val="16"/>
                <w:szCs w:val="16"/>
                <w:lang w:bidi="th-TH"/>
              </w:rPr>
            </w:pPr>
            <w:r w:rsidRPr="007861F3">
              <w:rPr>
                <w:sz w:val="16"/>
                <w:szCs w:val="16"/>
                <w:lang w:bidi="th-TH"/>
              </w:rPr>
              <w:t>% of participants in WIPO events who express satisfaction with the content and organization of these events</w:t>
            </w:r>
          </w:p>
        </w:tc>
        <w:tc>
          <w:tcPr>
            <w:tcW w:w="1985" w:type="dxa"/>
            <w:shd w:val="clear" w:color="auto" w:fill="auto"/>
          </w:tcPr>
          <w:p w:rsidR="00D944AE" w:rsidRPr="007861F3" w:rsidRDefault="00D944AE" w:rsidP="00E3403E">
            <w:pPr>
              <w:rPr>
                <w:i/>
                <w:sz w:val="16"/>
                <w:szCs w:val="16"/>
              </w:rPr>
            </w:pPr>
            <w:r w:rsidRPr="007861F3">
              <w:rPr>
                <w:i/>
                <w:sz w:val="16"/>
                <w:szCs w:val="16"/>
              </w:rPr>
              <w:t xml:space="preserve">Updated Baseline end 2013: </w:t>
            </w:r>
          </w:p>
          <w:p w:rsidR="00D944AE" w:rsidRPr="007861F3" w:rsidRDefault="00D944AE" w:rsidP="00E3403E">
            <w:pPr>
              <w:rPr>
                <w:sz w:val="16"/>
                <w:szCs w:val="16"/>
              </w:rPr>
            </w:pPr>
            <w:r w:rsidRPr="007861F3">
              <w:rPr>
                <w:sz w:val="16"/>
                <w:szCs w:val="16"/>
              </w:rPr>
              <w:t>Asia and the Pacific (65%); LDCs (60%)</w:t>
            </w:r>
          </w:p>
          <w:p w:rsidR="00D944AE" w:rsidRPr="007861F3" w:rsidRDefault="00D944AE" w:rsidP="00E3403E">
            <w:pPr>
              <w:rPr>
                <w:i/>
                <w:sz w:val="16"/>
                <w:szCs w:val="16"/>
                <w:lang w:bidi="th-TH"/>
              </w:rPr>
            </w:pPr>
          </w:p>
          <w:p w:rsidR="00D944AE" w:rsidRPr="007861F3" w:rsidRDefault="00D944AE" w:rsidP="00E3403E">
            <w:pPr>
              <w:rPr>
                <w:sz w:val="16"/>
                <w:szCs w:val="16"/>
                <w:lang w:bidi="th-TH"/>
              </w:rPr>
            </w:pPr>
            <w:r w:rsidRPr="007861F3">
              <w:rPr>
                <w:i/>
                <w:sz w:val="16"/>
                <w:szCs w:val="16"/>
                <w:lang w:bidi="th-TH"/>
              </w:rPr>
              <w:t>Original Baseline P&amp;B 2014/15:</w:t>
            </w:r>
            <w:r w:rsidRPr="007861F3">
              <w:rPr>
                <w:sz w:val="16"/>
                <w:szCs w:val="16"/>
                <w:lang w:bidi="th-TH"/>
              </w:rPr>
              <w:t xml:space="preserve">  No data available</w:t>
            </w:r>
          </w:p>
          <w:p w:rsidR="00D944AE" w:rsidRPr="007861F3" w:rsidRDefault="00D944AE" w:rsidP="00E3403E">
            <w:pPr>
              <w:rPr>
                <w:sz w:val="16"/>
                <w:szCs w:val="16"/>
                <w:lang w:bidi="th-TH"/>
              </w:rPr>
            </w:pPr>
          </w:p>
        </w:tc>
        <w:tc>
          <w:tcPr>
            <w:tcW w:w="1701" w:type="dxa"/>
            <w:shd w:val="clear" w:color="auto" w:fill="auto"/>
            <w:tcMar>
              <w:top w:w="110" w:type="dxa"/>
            </w:tcMar>
          </w:tcPr>
          <w:p w:rsidR="00D944AE" w:rsidRPr="007861F3" w:rsidRDefault="00D944AE" w:rsidP="00E3403E">
            <w:pPr>
              <w:rPr>
                <w:sz w:val="16"/>
                <w:szCs w:val="16"/>
                <w:lang w:bidi="th-TH"/>
              </w:rPr>
            </w:pPr>
            <w:r w:rsidRPr="007861F3">
              <w:rPr>
                <w:sz w:val="16"/>
                <w:szCs w:val="16"/>
                <w:lang w:bidi="th-TH"/>
              </w:rPr>
              <w:t>Africa (70%)</w:t>
            </w:r>
          </w:p>
          <w:p w:rsidR="00D944AE" w:rsidRDefault="00D944AE" w:rsidP="00E3403E">
            <w:pPr>
              <w:rPr>
                <w:sz w:val="16"/>
                <w:szCs w:val="16"/>
                <w:lang w:bidi="th-TH"/>
              </w:rPr>
            </w:pPr>
          </w:p>
          <w:p w:rsidR="00D944AE" w:rsidRPr="007861F3" w:rsidRDefault="00D944AE" w:rsidP="00E3403E">
            <w:pPr>
              <w:rPr>
                <w:sz w:val="16"/>
                <w:szCs w:val="16"/>
                <w:lang w:bidi="th-TH"/>
              </w:rPr>
            </w:pPr>
          </w:p>
          <w:p w:rsidR="00D944AE" w:rsidRPr="007861F3" w:rsidRDefault="00D944AE" w:rsidP="00E3403E">
            <w:pPr>
              <w:rPr>
                <w:sz w:val="16"/>
                <w:szCs w:val="16"/>
                <w:lang w:bidi="th-TH"/>
              </w:rPr>
            </w:pPr>
            <w:r w:rsidRPr="007861F3">
              <w:rPr>
                <w:sz w:val="16"/>
                <w:szCs w:val="16"/>
                <w:lang w:bidi="th-TH"/>
              </w:rPr>
              <w:t>Arab (80%)</w:t>
            </w:r>
          </w:p>
          <w:p w:rsidR="00D944AE" w:rsidRPr="007861F3" w:rsidRDefault="00D944AE" w:rsidP="00E3403E">
            <w:pPr>
              <w:rPr>
                <w:sz w:val="16"/>
                <w:szCs w:val="16"/>
                <w:lang w:bidi="th-TH"/>
              </w:rPr>
            </w:pPr>
          </w:p>
          <w:p w:rsidR="00D944AE" w:rsidRPr="007861F3" w:rsidRDefault="00D944AE" w:rsidP="00E3403E">
            <w:pPr>
              <w:rPr>
                <w:sz w:val="16"/>
                <w:szCs w:val="16"/>
                <w:lang w:bidi="th-TH"/>
              </w:rPr>
            </w:pPr>
          </w:p>
          <w:p w:rsidR="00D944AE" w:rsidRPr="007861F3" w:rsidRDefault="00D944AE" w:rsidP="00E3403E">
            <w:pPr>
              <w:rPr>
                <w:sz w:val="16"/>
                <w:szCs w:val="16"/>
                <w:lang w:bidi="th-TH"/>
              </w:rPr>
            </w:pPr>
            <w:r w:rsidRPr="007861F3">
              <w:rPr>
                <w:sz w:val="16"/>
                <w:szCs w:val="16"/>
                <w:lang w:bidi="th-TH"/>
              </w:rPr>
              <w:t>Asia and the Pacific (65%)</w:t>
            </w:r>
          </w:p>
          <w:p w:rsidR="00D944AE" w:rsidRDefault="00D944AE" w:rsidP="00E3403E">
            <w:pPr>
              <w:rPr>
                <w:sz w:val="16"/>
                <w:szCs w:val="16"/>
                <w:lang w:bidi="th-TH"/>
              </w:rPr>
            </w:pPr>
          </w:p>
          <w:p w:rsidR="00D944AE" w:rsidRPr="007861F3" w:rsidRDefault="00D944AE" w:rsidP="00E3403E">
            <w:pPr>
              <w:rPr>
                <w:sz w:val="16"/>
                <w:szCs w:val="16"/>
                <w:lang w:bidi="th-TH"/>
              </w:rPr>
            </w:pPr>
          </w:p>
          <w:p w:rsidR="00D944AE" w:rsidRPr="007861F3" w:rsidRDefault="00D944AE" w:rsidP="00E3403E">
            <w:pPr>
              <w:rPr>
                <w:sz w:val="16"/>
                <w:szCs w:val="16"/>
                <w:lang w:bidi="th-TH"/>
              </w:rPr>
            </w:pPr>
            <w:r w:rsidRPr="007861F3">
              <w:rPr>
                <w:sz w:val="16"/>
                <w:szCs w:val="16"/>
                <w:lang w:bidi="th-TH"/>
              </w:rPr>
              <w:t>Latin America and the Caribbean (80%)</w:t>
            </w:r>
          </w:p>
          <w:p w:rsidR="00D944AE" w:rsidRDefault="00D944AE" w:rsidP="00E3403E">
            <w:pPr>
              <w:rPr>
                <w:sz w:val="16"/>
                <w:szCs w:val="16"/>
                <w:lang w:bidi="th-TH"/>
              </w:rPr>
            </w:pPr>
          </w:p>
          <w:p w:rsidR="00D944AE" w:rsidRPr="007861F3" w:rsidRDefault="00D944AE" w:rsidP="00E3403E">
            <w:pPr>
              <w:rPr>
                <w:sz w:val="16"/>
                <w:szCs w:val="16"/>
                <w:lang w:bidi="th-TH"/>
              </w:rPr>
            </w:pPr>
          </w:p>
          <w:p w:rsidR="00D944AE" w:rsidRPr="007861F3" w:rsidRDefault="00D944AE" w:rsidP="00E3403E">
            <w:pPr>
              <w:rPr>
                <w:sz w:val="16"/>
                <w:szCs w:val="16"/>
                <w:lang w:bidi="th-TH"/>
              </w:rPr>
            </w:pPr>
            <w:r w:rsidRPr="007861F3">
              <w:rPr>
                <w:sz w:val="16"/>
                <w:szCs w:val="16"/>
                <w:lang w:bidi="th-TH"/>
              </w:rPr>
              <w:t>LDCs (80%)</w:t>
            </w:r>
          </w:p>
          <w:p w:rsidR="00D944AE" w:rsidRPr="007861F3" w:rsidRDefault="00D944AE" w:rsidP="00E3403E">
            <w:pPr>
              <w:rPr>
                <w:sz w:val="16"/>
                <w:szCs w:val="16"/>
                <w:lang w:bidi="th-TH"/>
              </w:rPr>
            </w:pPr>
          </w:p>
        </w:tc>
        <w:tc>
          <w:tcPr>
            <w:tcW w:w="2269" w:type="dxa"/>
            <w:gridSpan w:val="3"/>
            <w:shd w:val="clear" w:color="auto" w:fill="FFFFFF"/>
            <w:tcMar>
              <w:top w:w="110" w:type="dxa"/>
            </w:tcMar>
          </w:tcPr>
          <w:p w:rsidR="00D944AE" w:rsidRDefault="00D944AE" w:rsidP="00E3403E">
            <w:pPr>
              <w:rPr>
                <w:sz w:val="16"/>
                <w:szCs w:val="16"/>
                <w:lang w:bidi="th-TH"/>
              </w:rPr>
            </w:pPr>
            <w:r w:rsidRPr="007861F3">
              <w:rPr>
                <w:sz w:val="16"/>
                <w:szCs w:val="16"/>
                <w:lang w:bidi="th-TH"/>
              </w:rPr>
              <w:t>Africa</w:t>
            </w:r>
            <w:r>
              <w:rPr>
                <w:sz w:val="16"/>
                <w:szCs w:val="16"/>
                <w:lang w:bidi="th-TH"/>
              </w:rPr>
              <w:t xml:space="preserve"> (</w:t>
            </w:r>
            <w:r w:rsidRPr="007861F3">
              <w:rPr>
                <w:sz w:val="16"/>
                <w:szCs w:val="16"/>
                <w:lang w:bidi="th-TH"/>
              </w:rPr>
              <w:t>75%</w:t>
            </w:r>
            <w:r>
              <w:rPr>
                <w:sz w:val="16"/>
                <w:szCs w:val="16"/>
                <w:lang w:bidi="th-TH"/>
              </w:rPr>
              <w:t>)</w:t>
            </w:r>
          </w:p>
          <w:p w:rsidR="00D944AE" w:rsidRPr="007861F3" w:rsidRDefault="00D944AE" w:rsidP="00E3403E">
            <w:pPr>
              <w:rPr>
                <w:sz w:val="16"/>
                <w:szCs w:val="16"/>
                <w:lang w:bidi="th-TH"/>
              </w:rPr>
            </w:pPr>
          </w:p>
          <w:p w:rsidR="00D944AE" w:rsidRDefault="00D944AE" w:rsidP="00E3403E">
            <w:pPr>
              <w:rPr>
                <w:sz w:val="16"/>
                <w:szCs w:val="16"/>
                <w:lang w:bidi="th-TH"/>
              </w:rPr>
            </w:pPr>
          </w:p>
          <w:p w:rsidR="00D944AE" w:rsidRPr="007861F3" w:rsidRDefault="00D944AE" w:rsidP="00E3403E">
            <w:pPr>
              <w:rPr>
                <w:sz w:val="16"/>
                <w:szCs w:val="16"/>
                <w:lang w:bidi="th-TH"/>
              </w:rPr>
            </w:pPr>
            <w:r>
              <w:rPr>
                <w:sz w:val="16"/>
                <w:szCs w:val="16"/>
                <w:lang w:bidi="th-TH"/>
              </w:rPr>
              <w:t>Arab (</w:t>
            </w:r>
            <w:r w:rsidRPr="007861F3">
              <w:rPr>
                <w:sz w:val="16"/>
                <w:szCs w:val="16"/>
                <w:lang w:bidi="th-TH"/>
              </w:rPr>
              <w:t>90%</w:t>
            </w:r>
            <w:r>
              <w:rPr>
                <w:sz w:val="16"/>
                <w:szCs w:val="16"/>
                <w:lang w:bidi="th-TH"/>
              </w:rPr>
              <w:t>)</w:t>
            </w:r>
            <w:r w:rsidRPr="007861F3">
              <w:rPr>
                <w:sz w:val="16"/>
                <w:szCs w:val="16"/>
                <w:lang w:bidi="th-TH"/>
              </w:rPr>
              <w:t xml:space="preserve"> </w:t>
            </w:r>
          </w:p>
          <w:p w:rsidR="00D944AE" w:rsidRDefault="00D944AE" w:rsidP="00E3403E">
            <w:pPr>
              <w:rPr>
                <w:sz w:val="16"/>
                <w:szCs w:val="16"/>
                <w:lang w:bidi="th-TH"/>
              </w:rPr>
            </w:pPr>
          </w:p>
          <w:p w:rsidR="00D944AE" w:rsidRPr="007861F3" w:rsidRDefault="00D944AE" w:rsidP="00E3403E">
            <w:pPr>
              <w:rPr>
                <w:sz w:val="16"/>
                <w:szCs w:val="16"/>
                <w:lang w:bidi="th-TH"/>
              </w:rPr>
            </w:pPr>
          </w:p>
          <w:p w:rsidR="00D944AE" w:rsidRPr="007861F3" w:rsidRDefault="00D944AE" w:rsidP="00E3403E">
            <w:pPr>
              <w:rPr>
                <w:sz w:val="16"/>
                <w:szCs w:val="16"/>
                <w:lang w:bidi="th-TH"/>
              </w:rPr>
            </w:pPr>
            <w:r w:rsidRPr="007861F3">
              <w:rPr>
                <w:sz w:val="16"/>
                <w:szCs w:val="16"/>
                <w:lang w:bidi="th-TH"/>
              </w:rPr>
              <w:t>Asia and the Pacific</w:t>
            </w:r>
            <w:r>
              <w:rPr>
                <w:sz w:val="16"/>
                <w:szCs w:val="16"/>
                <w:lang w:bidi="th-TH"/>
              </w:rPr>
              <w:t xml:space="preserve"> </w:t>
            </w:r>
            <w:r w:rsidRPr="007861F3">
              <w:rPr>
                <w:sz w:val="16"/>
                <w:szCs w:val="16"/>
                <w:lang w:bidi="th-TH"/>
              </w:rPr>
              <w:t>(95%)</w:t>
            </w:r>
          </w:p>
          <w:p w:rsidR="00D944AE" w:rsidRDefault="00D944AE" w:rsidP="00E3403E">
            <w:pPr>
              <w:rPr>
                <w:sz w:val="16"/>
                <w:szCs w:val="16"/>
                <w:lang w:bidi="th-TH"/>
              </w:rPr>
            </w:pPr>
          </w:p>
          <w:p w:rsidR="00D944AE" w:rsidRDefault="00D944AE" w:rsidP="00E3403E">
            <w:pPr>
              <w:rPr>
                <w:sz w:val="16"/>
                <w:szCs w:val="16"/>
                <w:lang w:bidi="th-TH"/>
              </w:rPr>
            </w:pPr>
          </w:p>
          <w:p w:rsidR="00D944AE" w:rsidRDefault="00D944AE" w:rsidP="00E3403E">
            <w:pPr>
              <w:rPr>
                <w:sz w:val="16"/>
                <w:szCs w:val="16"/>
                <w:lang w:bidi="th-TH"/>
              </w:rPr>
            </w:pPr>
          </w:p>
          <w:p w:rsidR="00D944AE" w:rsidRDefault="00D944AE" w:rsidP="00E3403E">
            <w:pPr>
              <w:rPr>
                <w:sz w:val="16"/>
                <w:szCs w:val="16"/>
                <w:lang w:bidi="th-TH"/>
              </w:rPr>
            </w:pPr>
            <w:r w:rsidRPr="007861F3">
              <w:rPr>
                <w:sz w:val="16"/>
                <w:szCs w:val="16"/>
                <w:lang w:bidi="th-TH"/>
              </w:rPr>
              <w:t>Latin America and the Caribbean</w:t>
            </w:r>
            <w:r>
              <w:rPr>
                <w:sz w:val="16"/>
                <w:szCs w:val="16"/>
                <w:lang w:bidi="th-TH"/>
              </w:rPr>
              <w:t xml:space="preserve"> </w:t>
            </w:r>
            <w:r w:rsidRPr="007861F3">
              <w:rPr>
                <w:sz w:val="16"/>
                <w:szCs w:val="16"/>
                <w:lang w:bidi="th-TH"/>
              </w:rPr>
              <w:t xml:space="preserve">(80%) </w:t>
            </w:r>
          </w:p>
          <w:p w:rsidR="00D944AE" w:rsidRDefault="00D944AE" w:rsidP="00E3403E">
            <w:pPr>
              <w:rPr>
                <w:sz w:val="16"/>
                <w:szCs w:val="16"/>
                <w:lang w:bidi="th-TH"/>
              </w:rPr>
            </w:pPr>
          </w:p>
          <w:p w:rsidR="00D944AE" w:rsidRPr="007861F3" w:rsidRDefault="00D944AE" w:rsidP="00E3403E">
            <w:pPr>
              <w:rPr>
                <w:sz w:val="16"/>
                <w:szCs w:val="16"/>
                <w:lang w:bidi="th-TH"/>
              </w:rPr>
            </w:pPr>
          </w:p>
          <w:p w:rsidR="00D944AE" w:rsidRPr="007861F3" w:rsidRDefault="00D944AE" w:rsidP="00E3403E">
            <w:pPr>
              <w:rPr>
                <w:sz w:val="16"/>
                <w:szCs w:val="16"/>
                <w:lang w:bidi="th-TH"/>
              </w:rPr>
            </w:pPr>
            <w:r w:rsidRPr="007861F3">
              <w:rPr>
                <w:sz w:val="16"/>
                <w:szCs w:val="16"/>
                <w:lang w:bidi="th-TH"/>
              </w:rPr>
              <w:t>LDCs</w:t>
            </w:r>
            <w:r>
              <w:rPr>
                <w:sz w:val="16"/>
                <w:szCs w:val="16"/>
                <w:lang w:bidi="th-TH"/>
              </w:rPr>
              <w:t xml:space="preserve"> (</w:t>
            </w:r>
            <w:r w:rsidRPr="007861F3">
              <w:rPr>
                <w:sz w:val="16"/>
                <w:szCs w:val="16"/>
                <w:lang w:bidi="th-TH"/>
              </w:rPr>
              <w:t>85%</w:t>
            </w:r>
            <w:r>
              <w:rPr>
                <w:sz w:val="16"/>
                <w:szCs w:val="16"/>
                <w:lang w:bidi="th-TH"/>
              </w:rPr>
              <w:t>)</w:t>
            </w:r>
            <w:r w:rsidRPr="007861F3">
              <w:rPr>
                <w:sz w:val="16"/>
                <w:szCs w:val="16"/>
                <w:lang w:bidi="th-TH"/>
              </w:rPr>
              <w:t xml:space="preserve"> </w:t>
            </w:r>
          </w:p>
          <w:p w:rsidR="00D944AE" w:rsidRPr="007861F3" w:rsidRDefault="00D944AE" w:rsidP="00E3403E">
            <w:pPr>
              <w:rPr>
                <w:sz w:val="16"/>
                <w:szCs w:val="16"/>
                <w:lang w:bidi="th-TH"/>
              </w:rPr>
            </w:pPr>
          </w:p>
        </w:tc>
        <w:tc>
          <w:tcPr>
            <w:tcW w:w="1190" w:type="dxa"/>
            <w:shd w:val="clear" w:color="auto" w:fill="auto"/>
            <w:tcMar>
              <w:top w:w="110" w:type="dxa"/>
            </w:tcMar>
          </w:tcPr>
          <w:p w:rsidR="00D944AE" w:rsidRPr="001761D1" w:rsidRDefault="00D944AE" w:rsidP="00E3403E">
            <w:pPr>
              <w:keepNext/>
              <w:keepLines/>
              <w:jc w:val="center"/>
              <w:rPr>
                <w:b/>
                <w:bCs/>
                <w:color w:val="00B050"/>
                <w:sz w:val="16"/>
                <w:szCs w:val="16"/>
              </w:rPr>
            </w:pPr>
            <w:r w:rsidRPr="001761D1">
              <w:rPr>
                <w:b/>
                <w:bCs/>
                <w:color w:val="00B050"/>
                <w:sz w:val="16"/>
                <w:szCs w:val="16"/>
              </w:rPr>
              <w:t>Fully Achieved</w:t>
            </w:r>
          </w:p>
          <w:p w:rsidR="00D944AE" w:rsidRPr="001761D1" w:rsidRDefault="00D944AE" w:rsidP="00E3403E">
            <w:pPr>
              <w:keepNext/>
              <w:keepLines/>
              <w:jc w:val="center"/>
              <w:rPr>
                <w:b/>
                <w:bCs/>
                <w:color w:val="00B050"/>
                <w:sz w:val="16"/>
                <w:szCs w:val="16"/>
              </w:rPr>
            </w:pPr>
          </w:p>
          <w:p w:rsidR="00D944AE" w:rsidRPr="001761D1" w:rsidRDefault="00D944AE" w:rsidP="00E3403E">
            <w:pPr>
              <w:keepNext/>
              <w:keepLines/>
              <w:jc w:val="center"/>
              <w:rPr>
                <w:b/>
                <w:bCs/>
                <w:color w:val="00B050"/>
                <w:sz w:val="16"/>
                <w:szCs w:val="16"/>
              </w:rPr>
            </w:pPr>
            <w:r w:rsidRPr="001761D1">
              <w:rPr>
                <w:b/>
                <w:bCs/>
                <w:color w:val="00B050"/>
                <w:sz w:val="16"/>
                <w:szCs w:val="16"/>
              </w:rPr>
              <w:t>Fully Achieved</w:t>
            </w:r>
          </w:p>
          <w:p w:rsidR="00D944AE" w:rsidRPr="001761D1" w:rsidRDefault="00D944AE" w:rsidP="00E3403E">
            <w:pPr>
              <w:keepNext/>
              <w:keepLines/>
              <w:rPr>
                <w:b/>
                <w:bCs/>
                <w:color w:val="00B050"/>
                <w:sz w:val="16"/>
                <w:szCs w:val="16"/>
              </w:rPr>
            </w:pPr>
          </w:p>
          <w:p w:rsidR="00D944AE" w:rsidRPr="001761D1" w:rsidRDefault="00D944AE" w:rsidP="00E3403E">
            <w:pPr>
              <w:keepNext/>
              <w:keepLines/>
              <w:jc w:val="center"/>
              <w:rPr>
                <w:b/>
                <w:bCs/>
                <w:color w:val="00B050"/>
                <w:sz w:val="16"/>
                <w:szCs w:val="16"/>
              </w:rPr>
            </w:pPr>
            <w:r w:rsidRPr="001761D1">
              <w:rPr>
                <w:b/>
                <w:bCs/>
                <w:color w:val="00B050"/>
                <w:sz w:val="16"/>
                <w:szCs w:val="16"/>
              </w:rPr>
              <w:t>Fully Achieved</w:t>
            </w:r>
          </w:p>
          <w:p w:rsidR="00D944AE" w:rsidRPr="001761D1" w:rsidRDefault="00D944AE" w:rsidP="00E3403E">
            <w:pPr>
              <w:keepNext/>
              <w:keepLines/>
              <w:jc w:val="center"/>
              <w:rPr>
                <w:b/>
                <w:bCs/>
                <w:color w:val="00B050"/>
                <w:sz w:val="16"/>
                <w:szCs w:val="16"/>
              </w:rPr>
            </w:pPr>
          </w:p>
          <w:p w:rsidR="00D944AE" w:rsidRPr="001761D1" w:rsidRDefault="00D944AE" w:rsidP="00E3403E">
            <w:pPr>
              <w:keepNext/>
              <w:keepLines/>
              <w:jc w:val="center"/>
              <w:rPr>
                <w:b/>
                <w:bCs/>
                <w:color w:val="00B050"/>
                <w:sz w:val="16"/>
                <w:szCs w:val="16"/>
              </w:rPr>
            </w:pPr>
          </w:p>
          <w:p w:rsidR="00D944AE" w:rsidRPr="001761D1" w:rsidRDefault="00D944AE" w:rsidP="00E3403E">
            <w:pPr>
              <w:keepNext/>
              <w:keepLines/>
              <w:jc w:val="center"/>
              <w:rPr>
                <w:b/>
                <w:bCs/>
                <w:color w:val="00B050"/>
                <w:sz w:val="16"/>
                <w:szCs w:val="16"/>
              </w:rPr>
            </w:pPr>
            <w:r w:rsidRPr="001761D1">
              <w:rPr>
                <w:b/>
                <w:bCs/>
                <w:color w:val="00B050"/>
                <w:sz w:val="16"/>
                <w:szCs w:val="16"/>
              </w:rPr>
              <w:t>Fully Achieved</w:t>
            </w:r>
          </w:p>
          <w:p w:rsidR="00D944AE" w:rsidRDefault="00D944AE" w:rsidP="00E3403E">
            <w:pPr>
              <w:keepNext/>
              <w:keepLines/>
              <w:jc w:val="center"/>
              <w:rPr>
                <w:b/>
                <w:bCs/>
                <w:color w:val="00B050"/>
                <w:sz w:val="16"/>
                <w:szCs w:val="16"/>
              </w:rPr>
            </w:pPr>
          </w:p>
          <w:p w:rsidR="00D944AE" w:rsidRPr="001761D1" w:rsidRDefault="00D944AE" w:rsidP="00E3403E">
            <w:pPr>
              <w:keepNext/>
              <w:keepLines/>
              <w:jc w:val="center"/>
              <w:rPr>
                <w:b/>
                <w:bCs/>
                <w:color w:val="00B050"/>
                <w:sz w:val="16"/>
                <w:szCs w:val="16"/>
              </w:rPr>
            </w:pPr>
          </w:p>
          <w:p w:rsidR="00D944AE" w:rsidRPr="007861F3" w:rsidRDefault="00D944AE" w:rsidP="00E3403E">
            <w:pPr>
              <w:keepNext/>
              <w:keepLines/>
              <w:jc w:val="center"/>
              <w:rPr>
                <w:b/>
                <w:bCs/>
                <w:sz w:val="16"/>
                <w:szCs w:val="16"/>
              </w:rPr>
            </w:pPr>
            <w:r w:rsidRPr="001761D1">
              <w:rPr>
                <w:b/>
                <w:bCs/>
                <w:color w:val="00B050"/>
                <w:sz w:val="16"/>
                <w:szCs w:val="16"/>
              </w:rPr>
              <w:t>Fully Achieved</w:t>
            </w:r>
          </w:p>
        </w:tc>
      </w:tr>
      <w:tr w:rsidR="00D944AE" w:rsidRPr="007861F3" w:rsidTr="00E3403E">
        <w:tc>
          <w:tcPr>
            <w:tcW w:w="1983" w:type="dxa"/>
            <w:shd w:val="clear" w:color="auto" w:fill="FFFFFF"/>
          </w:tcPr>
          <w:p w:rsidR="00D944AE" w:rsidRPr="007861F3" w:rsidRDefault="00D944AE" w:rsidP="00E3403E">
            <w:pPr>
              <w:rPr>
                <w:sz w:val="16"/>
                <w:szCs w:val="16"/>
                <w:lang w:bidi="th-TH"/>
              </w:rPr>
            </w:pPr>
            <w:r w:rsidRPr="007861F3">
              <w:rPr>
                <w:sz w:val="16"/>
                <w:szCs w:val="16"/>
                <w:lang w:bidi="th-TH"/>
              </w:rPr>
              <w:t>% of participants in WIPO workshops who apply the skills and knowledge learned in their work/enterprise</w:t>
            </w:r>
          </w:p>
          <w:p w:rsidR="00D944AE" w:rsidRPr="007861F3" w:rsidRDefault="00D944AE" w:rsidP="00E3403E">
            <w:pPr>
              <w:rPr>
                <w:sz w:val="16"/>
                <w:szCs w:val="16"/>
                <w:lang w:bidi="th-TH"/>
              </w:rPr>
            </w:pPr>
          </w:p>
          <w:p w:rsidR="00D944AE" w:rsidRPr="007861F3" w:rsidRDefault="00D944AE" w:rsidP="00E3403E">
            <w:pPr>
              <w:rPr>
                <w:sz w:val="16"/>
                <w:szCs w:val="16"/>
                <w:lang w:bidi="th-TH"/>
              </w:rPr>
            </w:pPr>
          </w:p>
          <w:p w:rsidR="00D944AE" w:rsidRPr="007861F3" w:rsidRDefault="00D944AE" w:rsidP="00E3403E">
            <w:pPr>
              <w:rPr>
                <w:sz w:val="16"/>
                <w:szCs w:val="16"/>
                <w:lang w:bidi="th-TH"/>
              </w:rPr>
            </w:pPr>
          </w:p>
          <w:p w:rsidR="00D944AE" w:rsidRPr="007861F3" w:rsidRDefault="00D944AE" w:rsidP="00E3403E">
            <w:pPr>
              <w:rPr>
                <w:sz w:val="16"/>
                <w:szCs w:val="16"/>
                <w:lang w:bidi="th-TH"/>
              </w:rPr>
            </w:pPr>
          </w:p>
          <w:p w:rsidR="00D944AE" w:rsidRPr="007861F3" w:rsidRDefault="00D944AE" w:rsidP="00E3403E">
            <w:pPr>
              <w:rPr>
                <w:sz w:val="16"/>
                <w:szCs w:val="16"/>
                <w:lang w:bidi="th-TH"/>
              </w:rPr>
            </w:pPr>
          </w:p>
          <w:p w:rsidR="00D944AE" w:rsidRPr="007861F3" w:rsidRDefault="00D944AE" w:rsidP="00E3403E">
            <w:pPr>
              <w:rPr>
                <w:sz w:val="16"/>
                <w:szCs w:val="16"/>
                <w:lang w:bidi="th-TH"/>
              </w:rPr>
            </w:pPr>
          </w:p>
          <w:p w:rsidR="00D944AE" w:rsidRPr="007861F3" w:rsidRDefault="00D944AE" w:rsidP="00E3403E">
            <w:pPr>
              <w:rPr>
                <w:sz w:val="16"/>
                <w:szCs w:val="16"/>
                <w:lang w:bidi="th-TH"/>
              </w:rPr>
            </w:pPr>
          </w:p>
          <w:p w:rsidR="00D944AE" w:rsidRPr="007861F3" w:rsidRDefault="00D944AE" w:rsidP="00E3403E">
            <w:pPr>
              <w:rPr>
                <w:sz w:val="16"/>
                <w:szCs w:val="16"/>
                <w:lang w:bidi="th-TH"/>
              </w:rPr>
            </w:pPr>
          </w:p>
          <w:p w:rsidR="00D944AE" w:rsidRPr="007861F3" w:rsidRDefault="00D944AE" w:rsidP="00E3403E">
            <w:pPr>
              <w:rPr>
                <w:sz w:val="16"/>
                <w:szCs w:val="16"/>
                <w:lang w:bidi="th-TH"/>
              </w:rPr>
            </w:pPr>
          </w:p>
          <w:p w:rsidR="00D944AE" w:rsidRPr="007861F3" w:rsidRDefault="00D944AE" w:rsidP="00E3403E">
            <w:pPr>
              <w:rPr>
                <w:sz w:val="16"/>
                <w:szCs w:val="16"/>
                <w:lang w:bidi="th-TH"/>
              </w:rPr>
            </w:pPr>
          </w:p>
          <w:p w:rsidR="00D944AE" w:rsidRPr="007861F3" w:rsidRDefault="00D944AE" w:rsidP="00E3403E">
            <w:pPr>
              <w:rPr>
                <w:sz w:val="16"/>
                <w:szCs w:val="16"/>
                <w:lang w:bidi="th-TH"/>
              </w:rPr>
            </w:pPr>
          </w:p>
          <w:p w:rsidR="00D944AE" w:rsidRPr="007861F3" w:rsidRDefault="00D944AE" w:rsidP="00E3403E">
            <w:pPr>
              <w:rPr>
                <w:sz w:val="16"/>
                <w:szCs w:val="16"/>
                <w:lang w:bidi="th-TH"/>
              </w:rPr>
            </w:pPr>
          </w:p>
          <w:p w:rsidR="00D944AE" w:rsidRPr="007861F3" w:rsidRDefault="00D944AE" w:rsidP="00E3403E">
            <w:pPr>
              <w:rPr>
                <w:sz w:val="16"/>
                <w:szCs w:val="16"/>
                <w:lang w:bidi="th-TH"/>
              </w:rPr>
            </w:pPr>
          </w:p>
          <w:p w:rsidR="00D944AE" w:rsidRPr="007861F3" w:rsidRDefault="00D944AE" w:rsidP="00E3403E">
            <w:pPr>
              <w:rPr>
                <w:sz w:val="16"/>
                <w:szCs w:val="16"/>
                <w:lang w:bidi="th-TH"/>
              </w:rPr>
            </w:pPr>
          </w:p>
          <w:p w:rsidR="00D944AE" w:rsidRPr="007861F3" w:rsidRDefault="00D944AE" w:rsidP="00E3403E">
            <w:pPr>
              <w:rPr>
                <w:sz w:val="16"/>
                <w:szCs w:val="16"/>
                <w:lang w:bidi="th-TH"/>
              </w:rPr>
            </w:pPr>
          </w:p>
        </w:tc>
        <w:tc>
          <w:tcPr>
            <w:tcW w:w="2127" w:type="dxa"/>
            <w:gridSpan w:val="2"/>
            <w:shd w:val="clear" w:color="auto" w:fill="auto"/>
          </w:tcPr>
          <w:p w:rsidR="00D944AE" w:rsidRPr="007861F3" w:rsidRDefault="00D944AE" w:rsidP="00E3403E">
            <w:pPr>
              <w:rPr>
                <w:sz w:val="16"/>
                <w:szCs w:val="16"/>
              </w:rPr>
            </w:pPr>
            <w:r w:rsidRPr="007861F3">
              <w:rPr>
                <w:i/>
                <w:sz w:val="16"/>
                <w:szCs w:val="16"/>
              </w:rPr>
              <w:t xml:space="preserve">Updated Baseline end 2013:  </w:t>
            </w:r>
            <w:r w:rsidRPr="007861F3">
              <w:rPr>
                <w:sz w:val="16"/>
                <w:szCs w:val="16"/>
              </w:rPr>
              <w:t>Africa: Information not available</w:t>
            </w:r>
          </w:p>
          <w:p w:rsidR="00D944AE" w:rsidRPr="007861F3" w:rsidRDefault="00D944AE" w:rsidP="00E3403E">
            <w:pPr>
              <w:rPr>
                <w:sz w:val="16"/>
                <w:szCs w:val="16"/>
              </w:rPr>
            </w:pPr>
            <w:r w:rsidRPr="007861F3">
              <w:rPr>
                <w:sz w:val="16"/>
                <w:szCs w:val="16"/>
              </w:rPr>
              <w:t>Arab: Information not available</w:t>
            </w:r>
          </w:p>
          <w:p w:rsidR="00D944AE" w:rsidRPr="007861F3" w:rsidRDefault="00D944AE" w:rsidP="00E3403E">
            <w:pPr>
              <w:rPr>
                <w:sz w:val="16"/>
                <w:szCs w:val="16"/>
              </w:rPr>
            </w:pPr>
            <w:r w:rsidRPr="007861F3">
              <w:rPr>
                <w:sz w:val="16"/>
                <w:szCs w:val="16"/>
              </w:rPr>
              <w:t>Asia and the Pacific: 65%;</w:t>
            </w:r>
          </w:p>
          <w:p w:rsidR="00D944AE" w:rsidRPr="007861F3" w:rsidRDefault="00D944AE" w:rsidP="00E3403E">
            <w:pPr>
              <w:rPr>
                <w:sz w:val="16"/>
                <w:szCs w:val="16"/>
              </w:rPr>
            </w:pPr>
            <w:r w:rsidRPr="007861F3">
              <w:rPr>
                <w:sz w:val="16"/>
                <w:szCs w:val="16"/>
              </w:rPr>
              <w:t>Latin American and the Caribbean: Information not available;</w:t>
            </w:r>
          </w:p>
          <w:p w:rsidR="00D944AE" w:rsidRPr="007861F3" w:rsidRDefault="00D944AE" w:rsidP="00E3403E">
            <w:pPr>
              <w:rPr>
                <w:sz w:val="16"/>
                <w:szCs w:val="16"/>
              </w:rPr>
            </w:pPr>
            <w:r w:rsidRPr="007861F3">
              <w:rPr>
                <w:sz w:val="16"/>
                <w:szCs w:val="16"/>
              </w:rPr>
              <w:t>LDCs: Information not available</w:t>
            </w:r>
          </w:p>
          <w:p w:rsidR="00D944AE" w:rsidRPr="007861F3" w:rsidRDefault="00D944AE" w:rsidP="00E3403E">
            <w:pPr>
              <w:rPr>
                <w:i/>
                <w:sz w:val="16"/>
                <w:szCs w:val="16"/>
                <w:lang w:bidi="th-TH"/>
              </w:rPr>
            </w:pPr>
          </w:p>
          <w:p w:rsidR="00D944AE" w:rsidRPr="007861F3" w:rsidRDefault="00D944AE" w:rsidP="00E3403E">
            <w:pPr>
              <w:rPr>
                <w:sz w:val="16"/>
                <w:szCs w:val="16"/>
                <w:lang w:bidi="th-TH"/>
              </w:rPr>
            </w:pPr>
            <w:r w:rsidRPr="007861F3">
              <w:rPr>
                <w:i/>
                <w:sz w:val="16"/>
                <w:szCs w:val="16"/>
                <w:lang w:bidi="th-TH"/>
              </w:rPr>
              <w:t>Original Baseline P&amp;B 2014/15:</w:t>
            </w:r>
            <w:r w:rsidRPr="007861F3">
              <w:rPr>
                <w:sz w:val="16"/>
                <w:szCs w:val="16"/>
                <w:lang w:bidi="th-TH"/>
              </w:rPr>
              <w:t xml:space="preserve">  </w:t>
            </w:r>
          </w:p>
          <w:p w:rsidR="00D944AE" w:rsidRPr="007861F3" w:rsidRDefault="00D944AE" w:rsidP="00E3403E">
            <w:pPr>
              <w:rPr>
                <w:sz w:val="16"/>
                <w:szCs w:val="16"/>
                <w:lang w:bidi="th-TH"/>
              </w:rPr>
            </w:pPr>
            <w:r w:rsidRPr="007861F3">
              <w:rPr>
                <w:sz w:val="16"/>
                <w:szCs w:val="16"/>
                <w:lang w:bidi="th-TH"/>
              </w:rPr>
              <w:t>Africa: Information not available;</w:t>
            </w:r>
          </w:p>
          <w:p w:rsidR="00D944AE" w:rsidRPr="007861F3" w:rsidRDefault="00D944AE" w:rsidP="00E3403E">
            <w:pPr>
              <w:rPr>
                <w:sz w:val="16"/>
                <w:szCs w:val="16"/>
                <w:lang w:bidi="th-TH"/>
              </w:rPr>
            </w:pPr>
            <w:r w:rsidRPr="007861F3">
              <w:rPr>
                <w:sz w:val="16"/>
                <w:szCs w:val="16"/>
                <w:lang w:bidi="th-TH"/>
              </w:rPr>
              <w:t>Arab: Information not available;</w:t>
            </w:r>
          </w:p>
          <w:p w:rsidR="00D944AE" w:rsidRPr="007861F3" w:rsidRDefault="00D944AE" w:rsidP="00E3403E">
            <w:pPr>
              <w:rPr>
                <w:sz w:val="16"/>
                <w:szCs w:val="16"/>
                <w:lang w:bidi="th-TH"/>
              </w:rPr>
            </w:pPr>
            <w:r w:rsidRPr="007861F3">
              <w:rPr>
                <w:sz w:val="16"/>
                <w:szCs w:val="16"/>
                <w:lang w:bidi="th-TH"/>
              </w:rPr>
              <w:t>Asia and the Pacific (65%);</w:t>
            </w:r>
          </w:p>
          <w:p w:rsidR="00D944AE" w:rsidRPr="007861F3" w:rsidRDefault="00D944AE" w:rsidP="00E3403E">
            <w:pPr>
              <w:rPr>
                <w:sz w:val="16"/>
                <w:szCs w:val="16"/>
                <w:lang w:bidi="th-TH"/>
              </w:rPr>
            </w:pPr>
            <w:r w:rsidRPr="007861F3">
              <w:rPr>
                <w:sz w:val="16"/>
                <w:szCs w:val="16"/>
                <w:lang w:bidi="th-TH"/>
              </w:rPr>
              <w:t>Latin American and the Caribbean: Information not available;</w:t>
            </w:r>
          </w:p>
          <w:p w:rsidR="00D944AE" w:rsidRPr="007861F3" w:rsidRDefault="00D944AE" w:rsidP="00E3403E">
            <w:pPr>
              <w:rPr>
                <w:sz w:val="16"/>
                <w:szCs w:val="16"/>
                <w:lang w:bidi="th-TH"/>
              </w:rPr>
            </w:pPr>
            <w:r w:rsidRPr="007861F3">
              <w:rPr>
                <w:sz w:val="16"/>
                <w:szCs w:val="16"/>
                <w:lang w:bidi="th-TH"/>
              </w:rPr>
              <w:t>LDCs: Information not available</w:t>
            </w:r>
          </w:p>
          <w:p w:rsidR="00D944AE" w:rsidRPr="007861F3" w:rsidRDefault="00D944AE" w:rsidP="00E3403E">
            <w:pPr>
              <w:rPr>
                <w:i/>
                <w:sz w:val="16"/>
                <w:szCs w:val="16"/>
              </w:rPr>
            </w:pPr>
          </w:p>
        </w:tc>
        <w:tc>
          <w:tcPr>
            <w:tcW w:w="1701" w:type="dxa"/>
            <w:shd w:val="clear" w:color="auto" w:fill="auto"/>
            <w:tcMar>
              <w:top w:w="110" w:type="dxa"/>
            </w:tcMar>
          </w:tcPr>
          <w:p w:rsidR="00D944AE" w:rsidRPr="007861F3" w:rsidRDefault="00D944AE" w:rsidP="00E3403E">
            <w:pPr>
              <w:rPr>
                <w:sz w:val="16"/>
                <w:szCs w:val="16"/>
                <w:lang w:bidi="th-TH"/>
              </w:rPr>
            </w:pPr>
            <w:r w:rsidRPr="007861F3">
              <w:rPr>
                <w:sz w:val="16"/>
                <w:szCs w:val="16"/>
                <w:lang w:bidi="th-TH"/>
              </w:rPr>
              <w:t>Africa (70%)</w:t>
            </w:r>
          </w:p>
          <w:p w:rsidR="00D944AE" w:rsidRPr="007861F3" w:rsidRDefault="00D944AE" w:rsidP="00E3403E">
            <w:pPr>
              <w:rPr>
                <w:sz w:val="16"/>
                <w:szCs w:val="16"/>
                <w:lang w:bidi="th-TH"/>
              </w:rPr>
            </w:pPr>
          </w:p>
          <w:p w:rsidR="00D944AE" w:rsidRDefault="00D944AE" w:rsidP="00E3403E">
            <w:pPr>
              <w:rPr>
                <w:sz w:val="16"/>
                <w:szCs w:val="16"/>
                <w:lang w:bidi="th-TH"/>
              </w:rPr>
            </w:pPr>
          </w:p>
          <w:p w:rsidR="00D944AE" w:rsidRPr="007861F3" w:rsidRDefault="00D944AE" w:rsidP="00E3403E">
            <w:pPr>
              <w:rPr>
                <w:sz w:val="16"/>
                <w:szCs w:val="16"/>
                <w:lang w:bidi="th-TH"/>
              </w:rPr>
            </w:pPr>
            <w:r w:rsidRPr="007861F3">
              <w:rPr>
                <w:sz w:val="16"/>
                <w:szCs w:val="16"/>
                <w:lang w:bidi="th-TH"/>
              </w:rPr>
              <w:t>Arab (70%)</w:t>
            </w:r>
          </w:p>
          <w:p w:rsidR="00D944AE" w:rsidRDefault="00D944AE" w:rsidP="00E3403E">
            <w:pPr>
              <w:rPr>
                <w:sz w:val="16"/>
                <w:szCs w:val="16"/>
                <w:lang w:bidi="th-TH"/>
              </w:rPr>
            </w:pPr>
          </w:p>
          <w:p w:rsidR="00D944AE" w:rsidRPr="007861F3" w:rsidRDefault="00D944AE" w:rsidP="00E3403E">
            <w:pPr>
              <w:rPr>
                <w:sz w:val="16"/>
                <w:szCs w:val="16"/>
                <w:lang w:bidi="th-TH"/>
              </w:rPr>
            </w:pPr>
          </w:p>
          <w:p w:rsidR="00D944AE" w:rsidRPr="007861F3" w:rsidRDefault="00D944AE" w:rsidP="00E3403E">
            <w:pPr>
              <w:rPr>
                <w:sz w:val="16"/>
                <w:szCs w:val="16"/>
                <w:lang w:bidi="th-TH"/>
              </w:rPr>
            </w:pPr>
            <w:r w:rsidRPr="007861F3">
              <w:rPr>
                <w:sz w:val="16"/>
                <w:szCs w:val="16"/>
                <w:lang w:bidi="th-TH"/>
              </w:rPr>
              <w:t>Asia and the Pacific (65%)</w:t>
            </w:r>
          </w:p>
          <w:p w:rsidR="00D944AE" w:rsidRPr="007861F3" w:rsidRDefault="00D944AE" w:rsidP="00E3403E">
            <w:pPr>
              <w:rPr>
                <w:sz w:val="16"/>
                <w:szCs w:val="16"/>
                <w:lang w:bidi="th-TH"/>
              </w:rPr>
            </w:pPr>
          </w:p>
          <w:p w:rsidR="00D944AE" w:rsidRPr="007861F3" w:rsidRDefault="00D944AE" w:rsidP="00E3403E">
            <w:pPr>
              <w:rPr>
                <w:sz w:val="16"/>
                <w:szCs w:val="16"/>
                <w:lang w:bidi="th-TH"/>
              </w:rPr>
            </w:pPr>
            <w:r w:rsidRPr="007861F3">
              <w:rPr>
                <w:sz w:val="16"/>
                <w:szCs w:val="16"/>
                <w:lang w:bidi="th-TH"/>
              </w:rPr>
              <w:t>Latin America and the Caribbean (30%)</w:t>
            </w:r>
          </w:p>
          <w:p w:rsidR="00D944AE" w:rsidRPr="007861F3" w:rsidRDefault="00D944AE" w:rsidP="00E3403E">
            <w:pPr>
              <w:rPr>
                <w:sz w:val="16"/>
                <w:szCs w:val="16"/>
                <w:lang w:bidi="th-TH"/>
              </w:rPr>
            </w:pPr>
          </w:p>
          <w:p w:rsidR="00D944AE" w:rsidRDefault="00D944AE" w:rsidP="00E3403E">
            <w:pPr>
              <w:rPr>
                <w:sz w:val="16"/>
                <w:szCs w:val="16"/>
                <w:lang w:bidi="th-TH"/>
              </w:rPr>
            </w:pPr>
          </w:p>
          <w:p w:rsidR="00D944AE" w:rsidRDefault="00D944AE" w:rsidP="00E3403E">
            <w:pPr>
              <w:rPr>
                <w:sz w:val="16"/>
                <w:szCs w:val="16"/>
                <w:lang w:bidi="th-TH"/>
              </w:rPr>
            </w:pPr>
          </w:p>
          <w:p w:rsidR="00D944AE" w:rsidRPr="007861F3" w:rsidRDefault="00D944AE" w:rsidP="00E3403E">
            <w:pPr>
              <w:rPr>
                <w:sz w:val="16"/>
                <w:szCs w:val="16"/>
                <w:lang w:bidi="th-TH"/>
              </w:rPr>
            </w:pPr>
            <w:r w:rsidRPr="007861F3">
              <w:rPr>
                <w:sz w:val="16"/>
                <w:szCs w:val="16"/>
                <w:lang w:bidi="th-TH"/>
              </w:rPr>
              <w:t>LDCs (80%)</w:t>
            </w:r>
          </w:p>
          <w:p w:rsidR="00D944AE" w:rsidRPr="007861F3" w:rsidRDefault="00D944AE" w:rsidP="00E3403E">
            <w:pPr>
              <w:rPr>
                <w:sz w:val="16"/>
                <w:szCs w:val="16"/>
                <w:lang w:bidi="th-TH"/>
              </w:rPr>
            </w:pPr>
          </w:p>
          <w:p w:rsidR="00D944AE" w:rsidRPr="007861F3" w:rsidRDefault="00D944AE" w:rsidP="00E3403E">
            <w:pPr>
              <w:rPr>
                <w:sz w:val="16"/>
                <w:szCs w:val="16"/>
                <w:lang w:bidi="th-TH"/>
              </w:rPr>
            </w:pPr>
          </w:p>
        </w:tc>
        <w:tc>
          <w:tcPr>
            <w:tcW w:w="2269" w:type="dxa"/>
            <w:gridSpan w:val="3"/>
            <w:shd w:val="clear" w:color="auto" w:fill="FFFFFF"/>
            <w:tcMar>
              <w:top w:w="110" w:type="dxa"/>
            </w:tcMar>
          </w:tcPr>
          <w:p w:rsidR="00D944AE" w:rsidRPr="007861F3" w:rsidRDefault="00D944AE" w:rsidP="00E3403E">
            <w:pPr>
              <w:rPr>
                <w:sz w:val="16"/>
                <w:szCs w:val="16"/>
                <w:lang w:bidi="th-TH"/>
              </w:rPr>
            </w:pPr>
            <w:r w:rsidRPr="007861F3">
              <w:rPr>
                <w:sz w:val="16"/>
                <w:szCs w:val="16"/>
                <w:lang w:bidi="th-TH"/>
              </w:rPr>
              <w:t xml:space="preserve">Africa </w:t>
            </w:r>
            <w:r>
              <w:rPr>
                <w:sz w:val="16"/>
                <w:szCs w:val="16"/>
                <w:lang w:bidi="th-TH"/>
              </w:rPr>
              <w:t>(</w:t>
            </w:r>
            <w:r w:rsidRPr="007861F3">
              <w:rPr>
                <w:sz w:val="16"/>
                <w:szCs w:val="16"/>
                <w:lang w:bidi="th-TH"/>
              </w:rPr>
              <w:t>70%</w:t>
            </w:r>
            <w:r>
              <w:rPr>
                <w:sz w:val="16"/>
                <w:szCs w:val="16"/>
                <w:lang w:bidi="th-TH"/>
              </w:rPr>
              <w:t>)</w:t>
            </w:r>
            <w:r w:rsidRPr="007861F3">
              <w:rPr>
                <w:sz w:val="16"/>
                <w:szCs w:val="16"/>
                <w:lang w:bidi="th-TH"/>
              </w:rPr>
              <w:t xml:space="preserve"> </w:t>
            </w:r>
          </w:p>
          <w:p w:rsidR="00D944AE" w:rsidRDefault="00D944AE" w:rsidP="00E3403E">
            <w:pPr>
              <w:rPr>
                <w:sz w:val="16"/>
                <w:szCs w:val="16"/>
                <w:lang w:bidi="th-TH"/>
              </w:rPr>
            </w:pPr>
          </w:p>
          <w:p w:rsidR="00D944AE" w:rsidRPr="007861F3" w:rsidRDefault="00D944AE" w:rsidP="00E3403E">
            <w:pPr>
              <w:rPr>
                <w:sz w:val="16"/>
                <w:szCs w:val="16"/>
                <w:lang w:bidi="th-TH"/>
              </w:rPr>
            </w:pPr>
          </w:p>
          <w:p w:rsidR="00D944AE" w:rsidRDefault="00D944AE" w:rsidP="00E3403E">
            <w:pPr>
              <w:rPr>
                <w:sz w:val="16"/>
                <w:szCs w:val="16"/>
                <w:lang w:bidi="th-TH"/>
              </w:rPr>
            </w:pPr>
            <w:r>
              <w:rPr>
                <w:sz w:val="16"/>
                <w:szCs w:val="16"/>
                <w:lang w:bidi="th-TH"/>
              </w:rPr>
              <w:t>Arab: Not available</w:t>
            </w:r>
            <w:r w:rsidRPr="007861F3">
              <w:rPr>
                <w:rStyle w:val="FootnoteReference"/>
                <w:b/>
                <w:bCs/>
                <w:sz w:val="16"/>
                <w:szCs w:val="16"/>
                <w:lang w:val="fr-CH"/>
              </w:rPr>
              <w:footnoteReference w:id="65"/>
            </w:r>
          </w:p>
          <w:p w:rsidR="00D944AE" w:rsidRDefault="00D944AE" w:rsidP="00E3403E">
            <w:pPr>
              <w:rPr>
                <w:sz w:val="16"/>
                <w:szCs w:val="16"/>
                <w:lang w:bidi="th-TH"/>
              </w:rPr>
            </w:pPr>
          </w:p>
          <w:p w:rsidR="00D944AE" w:rsidRDefault="00D944AE" w:rsidP="00E3403E">
            <w:pPr>
              <w:rPr>
                <w:sz w:val="16"/>
                <w:szCs w:val="16"/>
                <w:lang w:bidi="th-TH"/>
              </w:rPr>
            </w:pPr>
          </w:p>
          <w:p w:rsidR="00D944AE" w:rsidRPr="007861F3" w:rsidRDefault="00D944AE" w:rsidP="00E3403E">
            <w:pPr>
              <w:rPr>
                <w:sz w:val="16"/>
                <w:szCs w:val="16"/>
                <w:lang w:bidi="th-TH"/>
              </w:rPr>
            </w:pPr>
            <w:r w:rsidRPr="007861F3">
              <w:rPr>
                <w:sz w:val="16"/>
                <w:szCs w:val="16"/>
                <w:lang w:bidi="th-TH"/>
              </w:rPr>
              <w:t>Asia and the Pacific</w:t>
            </w:r>
            <w:r>
              <w:rPr>
                <w:sz w:val="16"/>
                <w:szCs w:val="16"/>
                <w:lang w:bidi="th-TH"/>
              </w:rPr>
              <w:t xml:space="preserve">:  </w:t>
            </w:r>
            <w:r w:rsidRPr="007861F3">
              <w:rPr>
                <w:sz w:val="16"/>
                <w:szCs w:val="16"/>
                <w:lang w:bidi="th-TH"/>
              </w:rPr>
              <w:t xml:space="preserve"> (91%)</w:t>
            </w:r>
          </w:p>
          <w:p w:rsidR="00D944AE" w:rsidRDefault="00D944AE" w:rsidP="00E3403E">
            <w:pPr>
              <w:rPr>
                <w:sz w:val="16"/>
                <w:szCs w:val="16"/>
                <w:lang w:bidi="th-TH"/>
              </w:rPr>
            </w:pPr>
          </w:p>
          <w:p w:rsidR="00D944AE" w:rsidRPr="007861F3" w:rsidRDefault="00D944AE" w:rsidP="00E3403E">
            <w:pPr>
              <w:rPr>
                <w:sz w:val="16"/>
                <w:szCs w:val="16"/>
                <w:lang w:bidi="th-TH"/>
              </w:rPr>
            </w:pPr>
          </w:p>
          <w:p w:rsidR="00D944AE" w:rsidRPr="007861F3" w:rsidRDefault="00D944AE" w:rsidP="00E3403E">
            <w:pPr>
              <w:rPr>
                <w:sz w:val="16"/>
                <w:szCs w:val="16"/>
                <w:lang w:bidi="th-TH"/>
              </w:rPr>
            </w:pPr>
            <w:r w:rsidRPr="007861F3">
              <w:rPr>
                <w:sz w:val="16"/>
                <w:szCs w:val="16"/>
                <w:lang w:bidi="th-TH"/>
              </w:rPr>
              <w:t>Latin America and the Caribbean</w:t>
            </w:r>
            <w:r>
              <w:rPr>
                <w:sz w:val="16"/>
                <w:szCs w:val="16"/>
                <w:lang w:bidi="th-TH"/>
              </w:rPr>
              <w:t xml:space="preserve"> </w:t>
            </w:r>
            <w:r w:rsidRPr="007861F3">
              <w:rPr>
                <w:sz w:val="16"/>
                <w:szCs w:val="16"/>
                <w:lang w:bidi="th-TH"/>
              </w:rPr>
              <w:t>(</w:t>
            </w:r>
            <w:r>
              <w:rPr>
                <w:sz w:val="16"/>
                <w:szCs w:val="16"/>
                <w:lang w:bidi="th-TH"/>
              </w:rPr>
              <w:t xml:space="preserve"> </w:t>
            </w:r>
            <w:r w:rsidRPr="007861F3">
              <w:rPr>
                <w:sz w:val="16"/>
                <w:szCs w:val="16"/>
                <w:lang w:bidi="th-TH"/>
              </w:rPr>
              <w:t xml:space="preserve">40%) </w:t>
            </w:r>
          </w:p>
          <w:p w:rsidR="00D944AE" w:rsidRDefault="00D944AE" w:rsidP="00E3403E">
            <w:pPr>
              <w:rPr>
                <w:sz w:val="16"/>
                <w:szCs w:val="16"/>
                <w:lang w:bidi="th-TH"/>
              </w:rPr>
            </w:pPr>
          </w:p>
          <w:p w:rsidR="00D944AE" w:rsidRDefault="00D944AE" w:rsidP="00E3403E">
            <w:pPr>
              <w:rPr>
                <w:sz w:val="16"/>
                <w:szCs w:val="16"/>
                <w:lang w:bidi="th-TH"/>
              </w:rPr>
            </w:pPr>
          </w:p>
          <w:p w:rsidR="00D944AE" w:rsidRPr="007861F3" w:rsidRDefault="00D944AE" w:rsidP="00E3403E">
            <w:pPr>
              <w:rPr>
                <w:sz w:val="16"/>
                <w:szCs w:val="16"/>
                <w:lang w:bidi="th-TH"/>
              </w:rPr>
            </w:pPr>
          </w:p>
          <w:p w:rsidR="00D944AE" w:rsidRPr="007861F3" w:rsidRDefault="00D944AE" w:rsidP="00E3403E">
            <w:pPr>
              <w:rPr>
                <w:sz w:val="16"/>
                <w:szCs w:val="16"/>
                <w:lang w:bidi="th-TH"/>
              </w:rPr>
            </w:pPr>
            <w:r w:rsidRPr="007861F3">
              <w:rPr>
                <w:sz w:val="16"/>
                <w:szCs w:val="16"/>
                <w:lang w:bidi="th-TH"/>
              </w:rPr>
              <w:t>LDCs</w:t>
            </w:r>
            <w:r>
              <w:rPr>
                <w:sz w:val="16"/>
                <w:szCs w:val="16"/>
                <w:lang w:bidi="th-TH"/>
              </w:rPr>
              <w:t xml:space="preserve"> (</w:t>
            </w:r>
            <w:r w:rsidRPr="007861F3">
              <w:rPr>
                <w:sz w:val="16"/>
                <w:szCs w:val="16"/>
                <w:lang w:val="fr-CH" w:bidi="th-TH"/>
              </w:rPr>
              <w:t>90%</w:t>
            </w:r>
            <w:r>
              <w:rPr>
                <w:sz w:val="16"/>
                <w:szCs w:val="16"/>
                <w:lang w:val="fr-CH" w:bidi="th-TH"/>
              </w:rPr>
              <w:t>)</w:t>
            </w:r>
            <w:r w:rsidRPr="007861F3">
              <w:rPr>
                <w:sz w:val="16"/>
                <w:szCs w:val="16"/>
                <w:lang w:val="fr-CH" w:bidi="th-TH"/>
              </w:rPr>
              <w:t xml:space="preserve"> </w:t>
            </w:r>
          </w:p>
        </w:tc>
        <w:tc>
          <w:tcPr>
            <w:tcW w:w="1190" w:type="dxa"/>
            <w:shd w:val="clear" w:color="auto" w:fill="auto"/>
            <w:tcMar>
              <w:top w:w="110" w:type="dxa"/>
            </w:tcMar>
          </w:tcPr>
          <w:p w:rsidR="00D944AE" w:rsidRPr="001761D1" w:rsidRDefault="00D944AE" w:rsidP="00E3403E">
            <w:pPr>
              <w:keepNext/>
              <w:keepLines/>
              <w:jc w:val="center"/>
              <w:rPr>
                <w:b/>
                <w:bCs/>
                <w:color w:val="00B050"/>
                <w:sz w:val="16"/>
                <w:szCs w:val="16"/>
              </w:rPr>
            </w:pPr>
            <w:r w:rsidRPr="001761D1">
              <w:rPr>
                <w:b/>
                <w:bCs/>
                <w:color w:val="00B050"/>
                <w:sz w:val="16"/>
                <w:szCs w:val="16"/>
              </w:rPr>
              <w:t>Fully Achieved</w:t>
            </w:r>
          </w:p>
          <w:p w:rsidR="00D944AE" w:rsidRPr="001761D1" w:rsidRDefault="00D944AE" w:rsidP="00E3403E">
            <w:pPr>
              <w:keepNext/>
              <w:keepLines/>
              <w:jc w:val="center"/>
              <w:rPr>
                <w:b/>
                <w:bCs/>
                <w:color w:val="808080" w:themeColor="background1" w:themeShade="80"/>
                <w:sz w:val="16"/>
                <w:szCs w:val="16"/>
              </w:rPr>
            </w:pPr>
          </w:p>
          <w:p w:rsidR="00D944AE" w:rsidRPr="00BA6F3B" w:rsidRDefault="00D944AE" w:rsidP="00E3403E">
            <w:pPr>
              <w:keepNext/>
              <w:keepLines/>
              <w:jc w:val="center"/>
              <w:rPr>
                <w:b/>
                <w:bCs/>
                <w:sz w:val="14"/>
                <w:szCs w:val="16"/>
              </w:rPr>
            </w:pPr>
            <w:r w:rsidRPr="00BA6F3B">
              <w:rPr>
                <w:b/>
                <w:bCs/>
                <w:color w:val="808080" w:themeColor="background1" w:themeShade="80"/>
                <w:sz w:val="14"/>
                <w:szCs w:val="16"/>
              </w:rPr>
              <w:t>Not Assessable</w:t>
            </w:r>
          </w:p>
          <w:p w:rsidR="00D944AE" w:rsidRPr="007861F3" w:rsidRDefault="00D944AE" w:rsidP="00E3403E">
            <w:pPr>
              <w:keepNext/>
              <w:keepLines/>
              <w:jc w:val="center"/>
              <w:rPr>
                <w:b/>
                <w:bCs/>
                <w:sz w:val="16"/>
                <w:szCs w:val="16"/>
              </w:rPr>
            </w:pPr>
          </w:p>
          <w:p w:rsidR="00D944AE" w:rsidRPr="001761D1" w:rsidRDefault="00D944AE" w:rsidP="00E3403E">
            <w:pPr>
              <w:keepNext/>
              <w:keepLines/>
              <w:jc w:val="center"/>
              <w:rPr>
                <w:b/>
                <w:bCs/>
                <w:color w:val="00B050"/>
                <w:sz w:val="16"/>
                <w:szCs w:val="16"/>
              </w:rPr>
            </w:pPr>
            <w:r w:rsidRPr="001761D1">
              <w:rPr>
                <w:b/>
                <w:bCs/>
                <w:color w:val="00B050"/>
                <w:sz w:val="16"/>
                <w:szCs w:val="16"/>
              </w:rPr>
              <w:t>Fully Achieved</w:t>
            </w:r>
          </w:p>
          <w:p w:rsidR="00D944AE" w:rsidRPr="001761D1" w:rsidRDefault="00D944AE" w:rsidP="00E3403E">
            <w:pPr>
              <w:keepNext/>
              <w:keepLines/>
              <w:rPr>
                <w:b/>
                <w:bCs/>
                <w:color w:val="00B050"/>
                <w:sz w:val="16"/>
                <w:szCs w:val="16"/>
              </w:rPr>
            </w:pPr>
          </w:p>
          <w:p w:rsidR="00D944AE" w:rsidRPr="00DA0C13" w:rsidRDefault="00D944AE" w:rsidP="00E3403E">
            <w:pPr>
              <w:keepNext/>
              <w:keepLines/>
              <w:jc w:val="center"/>
              <w:rPr>
                <w:b/>
                <w:bCs/>
                <w:color w:val="00B050"/>
                <w:sz w:val="16"/>
                <w:szCs w:val="16"/>
              </w:rPr>
            </w:pPr>
          </w:p>
          <w:p w:rsidR="00D944AE" w:rsidRPr="001761D1" w:rsidRDefault="00D944AE" w:rsidP="00E3403E">
            <w:pPr>
              <w:keepNext/>
              <w:keepLines/>
              <w:jc w:val="center"/>
              <w:rPr>
                <w:b/>
                <w:bCs/>
                <w:color w:val="00B050"/>
                <w:sz w:val="16"/>
                <w:szCs w:val="16"/>
                <w:lang w:val="fr-CH"/>
              </w:rPr>
            </w:pPr>
            <w:r w:rsidRPr="001761D1">
              <w:rPr>
                <w:b/>
                <w:bCs/>
                <w:color w:val="00B050"/>
                <w:sz w:val="16"/>
                <w:szCs w:val="16"/>
                <w:lang w:val="fr-CH"/>
              </w:rPr>
              <w:t>Fully Achieved</w:t>
            </w:r>
          </w:p>
          <w:p w:rsidR="00D944AE" w:rsidRDefault="00D944AE" w:rsidP="00E3403E">
            <w:pPr>
              <w:keepNext/>
              <w:keepLines/>
              <w:jc w:val="center"/>
              <w:rPr>
                <w:b/>
                <w:bCs/>
                <w:color w:val="00B050"/>
                <w:sz w:val="16"/>
                <w:szCs w:val="16"/>
                <w:lang w:val="fr-CH"/>
              </w:rPr>
            </w:pPr>
          </w:p>
          <w:p w:rsidR="00D944AE" w:rsidRPr="001761D1" w:rsidRDefault="00D944AE" w:rsidP="00E3403E">
            <w:pPr>
              <w:keepNext/>
              <w:keepLines/>
              <w:jc w:val="center"/>
              <w:rPr>
                <w:b/>
                <w:bCs/>
                <w:color w:val="00B050"/>
                <w:sz w:val="16"/>
                <w:szCs w:val="16"/>
                <w:lang w:val="fr-CH"/>
              </w:rPr>
            </w:pPr>
          </w:p>
          <w:p w:rsidR="00D944AE" w:rsidRPr="001761D1" w:rsidRDefault="00D944AE" w:rsidP="00E3403E">
            <w:pPr>
              <w:keepNext/>
              <w:keepLines/>
              <w:jc w:val="center"/>
              <w:rPr>
                <w:b/>
                <w:bCs/>
                <w:color w:val="00B050"/>
                <w:sz w:val="16"/>
                <w:szCs w:val="16"/>
                <w:lang w:val="fr-CH"/>
              </w:rPr>
            </w:pPr>
            <w:r w:rsidRPr="001761D1">
              <w:rPr>
                <w:b/>
                <w:bCs/>
                <w:color w:val="00B050"/>
                <w:sz w:val="16"/>
                <w:szCs w:val="16"/>
                <w:lang w:val="fr-CH"/>
              </w:rPr>
              <w:t>Fully Achieved</w:t>
            </w:r>
          </w:p>
          <w:p w:rsidR="00D944AE" w:rsidRPr="007861F3" w:rsidRDefault="00D944AE" w:rsidP="00E3403E">
            <w:pPr>
              <w:keepNext/>
              <w:keepLines/>
              <w:jc w:val="center"/>
              <w:rPr>
                <w:b/>
                <w:bCs/>
                <w:sz w:val="16"/>
                <w:szCs w:val="16"/>
                <w:lang w:val="fr-CH"/>
              </w:rPr>
            </w:pPr>
          </w:p>
        </w:tc>
      </w:tr>
      <w:tr w:rsidR="00D944AE" w:rsidRPr="007861F3" w:rsidTr="00E3403E">
        <w:tc>
          <w:tcPr>
            <w:tcW w:w="1983" w:type="dxa"/>
            <w:tcBorders>
              <w:bottom w:val="single" w:sz="4" w:space="0" w:color="auto"/>
            </w:tcBorders>
            <w:shd w:val="clear" w:color="auto" w:fill="FFFFFF"/>
          </w:tcPr>
          <w:p w:rsidR="00D944AE" w:rsidRPr="007861F3" w:rsidRDefault="00D944AE" w:rsidP="00E3403E">
            <w:pPr>
              <w:rPr>
                <w:sz w:val="16"/>
                <w:szCs w:val="16"/>
                <w:lang w:bidi="th-TH"/>
              </w:rPr>
            </w:pPr>
            <w:r w:rsidRPr="007861F3">
              <w:rPr>
                <w:sz w:val="16"/>
                <w:szCs w:val="16"/>
                <w:lang w:bidi="th-TH"/>
              </w:rPr>
              <w:t>% of national/regional IP experts used as resource persons in WIPO events</w:t>
            </w:r>
          </w:p>
        </w:tc>
        <w:tc>
          <w:tcPr>
            <w:tcW w:w="2127" w:type="dxa"/>
            <w:gridSpan w:val="2"/>
            <w:tcBorders>
              <w:bottom w:val="single" w:sz="4" w:space="0" w:color="auto"/>
            </w:tcBorders>
            <w:shd w:val="clear" w:color="auto" w:fill="auto"/>
          </w:tcPr>
          <w:p w:rsidR="00D944AE" w:rsidRPr="007861F3" w:rsidRDefault="00D944AE" w:rsidP="00E3403E">
            <w:pPr>
              <w:rPr>
                <w:i/>
                <w:sz w:val="16"/>
                <w:szCs w:val="16"/>
              </w:rPr>
            </w:pPr>
            <w:r w:rsidRPr="007861F3">
              <w:rPr>
                <w:i/>
                <w:sz w:val="16"/>
                <w:szCs w:val="16"/>
              </w:rPr>
              <w:t xml:space="preserve">Updated Baseline end 2013:  </w:t>
            </w:r>
          </w:p>
          <w:p w:rsidR="00D944AE" w:rsidRPr="007861F3" w:rsidRDefault="00D944AE" w:rsidP="00E3403E">
            <w:pPr>
              <w:rPr>
                <w:sz w:val="16"/>
                <w:szCs w:val="16"/>
              </w:rPr>
            </w:pPr>
            <w:r w:rsidRPr="007861F3">
              <w:rPr>
                <w:sz w:val="16"/>
                <w:szCs w:val="16"/>
              </w:rPr>
              <w:t>Africa: (70%)</w:t>
            </w:r>
          </w:p>
          <w:p w:rsidR="00D944AE" w:rsidRPr="007861F3" w:rsidRDefault="00D944AE" w:rsidP="00E3403E">
            <w:pPr>
              <w:rPr>
                <w:sz w:val="16"/>
                <w:szCs w:val="16"/>
              </w:rPr>
            </w:pPr>
            <w:r w:rsidRPr="007861F3">
              <w:rPr>
                <w:sz w:val="16"/>
                <w:szCs w:val="16"/>
              </w:rPr>
              <w:t>Arab (50%)</w:t>
            </w:r>
          </w:p>
          <w:p w:rsidR="00D944AE" w:rsidRPr="007861F3" w:rsidRDefault="00D944AE" w:rsidP="00E3403E">
            <w:pPr>
              <w:rPr>
                <w:sz w:val="16"/>
                <w:szCs w:val="16"/>
                <w:lang w:bidi="th-TH"/>
              </w:rPr>
            </w:pPr>
            <w:r w:rsidRPr="007861F3">
              <w:rPr>
                <w:sz w:val="16"/>
                <w:szCs w:val="16"/>
                <w:lang w:bidi="th-TH"/>
              </w:rPr>
              <w:t>Asia and the Pacific: Data not available</w:t>
            </w:r>
          </w:p>
          <w:p w:rsidR="00D944AE" w:rsidRPr="007861F3" w:rsidRDefault="00D944AE" w:rsidP="00E3403E">
            <w:pPr>
              <w:rPr>
                <w:sz w:val="16"/>
                <w:szCs w:val="16"/>
                <w:lang w:bidi="th-TH"/>
              </w:rPr>
            </w:pPr>
            <w:r w:rsidRPr="007861F3">
              <w:rPr>
                <w:sz w:val="16"/>
                <w:szCs w:val="16"/>
                <w:lang w:bidi="th-TH"/>
              </w:rPr>
              <w:t>Latin America and the Caribbean (70%)</w:t>
            </w:r>
          </w:p>
          <w:p w:rsidR="00D944AE" w:rsidRPr="007861F3" w:rsidRDefault="00D944AE" w:rsidP="00E3403E">
            <w:pPr>
              <w:rPr>
                <w:sz w:val="16"/>
                <w:szCs w:val="16"/>
              </w:rPr>
            </w:pPr>
            <w:r w:rsidRPr="007861F3">
              <w:rPr>
                <w:sz w:val="16"/>
                <w:szCs w:val="16"/>
                <w:lang w:bidi="th-TH"/>
              </w:rPr>
              <w:t>LDCs (60%)</w:t>
            </w:r>
          </w:p>
          <w:p w:rsidR="00D944AE" w:rsidRPr="007861F3" w:rsidRDefault="00D944AE" w:rsidP="00E3403E">
            <w:pPr>
              <w:rPr>
                <w:i/>
                <w:sz w:val="16"/>
                <w:szCs w:val="16"/>
              </w:rPr>
            </w:pPr>
          </w:p>
          <w:p w:rsidR="00D944AE" w:rsidRPr="007861F3" w:rsidRDefault="00D944AE" w:rsidP="00E3403E">
            <w:pPr>
              <w:rPr>
                <w:i/>
                <w:sz w:val="16"/>
                <w:szCs w:val="16"/>
                <w:lang w:bidi="th-TH"/>
              </w:rPr>
            </w:pPr>
            <w:r w:rsidRPr="007861F3">
              <w:rPr>
                <w:i/>
                <w:sz w:val="16"/>
                <w:szCs w:val="16"/>
                <w:lang w:bidi="th-TH"/>
              </w:rPr>
              <w:t xml:space="preserve">Original Baseline P&amp;B 2014/15: </w:t>
            </w:r>
          </w:p>
          <w:p w:rsidR="00D944AE" w:rsidRPr="007861F3" w:rsidRDefault="00D944AE" w:rsidP="00E3403E">
            <w:pPr>
              <w:rPr>
                <w:sz w:val="16"/>
                <w:szCs w:val="16"/>
                <w:lang w:bidi="th-TH"/>
              </w:rPr>
            </w:pPr>
            <w:r w:rsidRPr="007861F3">
              <w:rPr>
                <w:sz w:val="16"/>
                <w:szCs w:val="16"/>
                <w:lang w:bidi="th-TH"/>
              </w:rPr>
              <w:t>Africa (65%)</w:t>
            </w:r>
          </w:p>
          <w:p w:rsidR="00D944AE" w:rsidRPr="007861F3" w:rsidRDefault="00D944AE" w:rsidP="00E3403E">
            <w:pPr>
              <w:rPr>
                <w:sz w:val="16"/>
                <w:szCs w:val="16"/>
                <w:lang w:bidi="th-TH"/>
              </w:rPr>
            </w:pPr>
            <w:r w:rsidRPr="007861F3">
              <w:rPr>
                <w:sz w:val="16"/>
                <w:szCs w:val="16"/>
                <w:lang w:bidi="th-TH"/>
              </w:rPr>
              <w:t>Arab (70%)</w:t>
            </w:r>
          </w:p>
          <w:p w:rsidR="00D944AE" w:rsidRPr="007861F3" w:rsidRDefault="00D944AE" w:rsidP="00E3403E">
            <w:pPr>
              <w:rPr>
                <w:sz w:val="16"/>
                <w:szCs w:val="16"/>
                <w:lang w:bidi="th-TH"/>
              </w:rPr>
            </w:pPr>
            <w:r w:rsidRPr="007861F3">
              <w:rPr>
                <w:sz w:val="16"/>
                <w:szCs w:val="16"/>
                <w:lang w:bidi="th-TH"/>
              </w:rPr>
              <w:t>Asia and the Pacific: Data not available</w:t>
            </w:r>
          </w:p>
          <w:p w:rsidR="00D944AE" w:rsidRPr="007861F3" w:rsidRDefault="00D944AE" w:rsidP="00E3403E">
            <w:pPr>
              <w:rPr>
                <w:sz w:val="16"/>
                <w:szCs w:val="16"/>
                <w:lang w:bidi="th-TH"/>
              </w:rPr>
            </w:pPr>
            <w:r w:rsidRPr="007861F3">
              <w:rPr>
                <w:sz w:val="16"/>
                <w:szCs w:val="16"/>
                <w:lang w:bidi="th-TH"/>
              </w:rPr>
              <w:t>Latin America and the Caribbean (70%)</w:t>
            </w:r>
          </w:p>
          <w:p w:rsidR="00D944AE" w:rsidRPr="007861F3" w:rsidRDefault="00D944AE" w:rsidP="00E3403E">
            <w:pPr>
              <w:rPr>
                <w:sz w:val="16"/>
                <w:szCs w:val="16"/>
                <w:lang w:bidi="th-TH"/>
              </w:rPr>
            </w:pPr>
            <w:r w:rsidRPr="007861F3">
              <w:rPr>
                <w:sz w:val="16"/>
                <w:szCs w:val="16"/>
                <w:lang w:bidi="th-TH"/>
              </w:rPr>
              <w:t>LDCs (70%)</w:t>
            </w:r>
          </w:p>
          <w:p w:rsidR="00D944AE" w:rsidRPr="007861F3" w:rsidRDefault="00D944AE" w:rsidP="00E3403E">
            <w:pPr>
              <w:rPr>
                <w:i/>
                <w:sz w:val="16"/>
                <w:szCs w:val="16"/>
              </w:rPr>
            </w:pPr>
          </w:p>
        </w:tc>
        <w:tc>
          <w:tcPr>
            <w:tcW w:w="1701" w:type="dxa"/>
            <w:tcBorders>
              <w:bottom w:val="single" w:sz="4" w:space="0" w:color="auto"/>
            </w:tcBorders>
            <w:shd w:val="clear" w:color="auto" w:fill="auto"/>
            <w:tcMar>
              <w:top w:w="110" w:type="dxa"/>
            </w:tcMar>
          </w:tcPr>
          <w:p w:rsidR="00D944AE" w:rsidRPr="007861F3" w:rsidRDefault="00D944AE" w:rsidP="00E3403E">
            <w:pPr>
              <w:rPr>
                <w:sz w:val="16"/>
                <w:szCs w:val="16"/>
                <w:lang w:bidi="th-TH"/>
              </w:rPr>
            </w:pPr>
            <w:r w:rsidRPr="007861F3">
              <w:rPr>
                <w:sz w:val="16"/>
                <w:szCs w:val="16"/>
                <w:lang w:bidi="th-TH"/>
              </w:rPr>
              <w:t>Africa (75%)</w:t>
            </w:r>
          </w:p>
          <w:p w:rsidR="00D944AE" w:rsidRPr="007861F3" w:rsidRDefault="00D944AE" w:rsidP="00E3403E">
            <w:pPr>
              <w:rPr>
                <w:sz w:val="16"/>
                <w:szCs w:val="16"/>
                <w:lang w:bidi="th-TH"/>
              </w:rPr>
            </w:pPr>
          </w:p>
          <w:p w:rsidR="00D944AE" w:rsidRPr="007861F3" w:rsidRDefault="00D944AE" w:rsidP="00E3403E">
            <w:pPr>
              <w:rPr>
                <w:sz w:val="16"/>
                <w:szCs w:val="16"/>
                <w:lang w:bidi="th-TH"/>
              </w:rPr>
            </w:pPr>
            <w:r w:rsidRPr="007861F3">
              <w:rPr>
                <w:sz w:val="16"/>
                <w:szCs w:val="16"/>
                <w:lang w:bidi="th-TH"/>
              </w:rPr>
              <w:t>Arab (80%)</w:t>
            </w:r>
          </w:p>
          <w:p w:rsidR="00D944AE" w:rsidRDefault="00D944AE" w:rsidP="00E3403E">
            <w:pPr>
              <w:rPr>
                <w:sz w:val="16"/>
                <w:szCs w:val="16"/>
                <w:lang w:bidi="th-TH"/>
              </w:rPr>
            </w:pPr>
          </w:p>
          <w:p w:rsidR="00D944AE" w:rsidRPr="007861F3" w:rsidRDefault="00D944AE" w:rsidP="00E3403E">
            <w:pPr>
              <w:rPr>
                <w:sz w:val="16"/>
                <w:szCs w:val="16"/>
                <w:lang w:bidi="th-TH"/>
              </w:rPr>
            </w:pPr>
          </w:p>
          <w:p w:rsidR="00D944AE" w:rsidRPr="007861F3" w:rsidRDefault="00D944AE" w:rsidP="00E3403E">
            <w:pPr>
              <w:rPr>
                <w:sz w:val="16"/>
                <w:szCs w:val="16"/>
                <w:lang w:bidi="th-TH"/>
              </w:rPr>
            </w:pPr>
            <w:r w:rsidRPr="007861F3">
              <w:rPr>
                <w:sz w:val="16"/>
                <w:szCs w:val="16"/>
                <w:lang w:bidi="th-TH"/>
              </w:rPr>
              <w:t>Asia and the Pacific (55%)</w:t>
            </w:r>
          </w:p>
          <w:p w:rsidR="00D944AE" w:rsidRPr="007861F3" w:rsidRDefault="00D944AE" w:rsidP="00E3403E">
            <w:pPr>
              <w:rPr>
                <w:sz w:val="16"/>
                <w:szCs w:val="16"/>
                <w:lang w:bidi="th-TH"/>
              </w:rPr>
            </w:pPr>
          </w:p>
          <w:p w:rsidR="00D944AE" w:rsidRPr="007861F3" w:rsidRDefault="00D944AE" w:rsidP="00E3403E">
            <w:pPr>
              <w:rPr>
                <w:sz w:val="16"/>
                <w:szCs w:val="16"/>
                <w:lang w:bidi="th-TH"/>
              </w:rPr>
            </w:pPr>
            <w:r w:rsidRPr="007861F3">
              <w:rPr>
                <w:sz w:val="16"/>
                <w:szCs w:val="16"/>
                <w:lang w:bidi="th-TH"/>
              </w:rPr>
              <w:t>Latin America and the Caribbean (80%)</w:t>
            </w:r>
          </w:p>
          <w:p w:rsidR="00D944AE" w:rsidRPr="007861F3" w:rsidRDefault="00D944AE" w:rsidP="00E3403E">
            <w:pPr>
              <w:rPr>
                <w:sz w:val="16"/>
                <w:szCs w:val="16"/>
                <w:lang w:bidi="th-TH"/>
              </w:rPr>
            </w:pPr>
          </w:p>
          <w:p w:rsidR="00D944AE" w:rsidRPr="007861F3" w:rsidRDefault="00D944AE" w:rsidP="00E3403E">
            <w:pPr>
              <w:rPr>
                <w:sz w:val="16"/>
                <w:szCs w:val="16"/>
                <w:lang w:bidi="th-TH"/>
              </w:rPr>
            </w:pPr>
            <w:r w:rsidRPr="007861F3">
              <w:rPr>
                <w:sz w:val="16"/>
                <w:szCs w:val="16"/>
                <w:lang w:bidi="th-TH"/>
              </w:rPr>
              <w:t>LDCs (80%)</w:t>
            </w:r>
          </w:p>
        </w:tc>
        <w:tc>
          <w:tcPr>
            <w:tcW w:w="2269" w:type="dxa"/>
            <w:gridSpan w:val="3"/>
            <w:tcBorders>
              <w:bottom w:val="single" w:sz="4" w:space="0" w:color="auto"/>
            </w:tcBorders>
            <w:shd w:val="clear" w:color="auto" w:fill="FFFFFF"/>
            <w:tcMar>
              <w:top w:w="110" w:type="dxa"/>
            </w:tcMar>
          </w:tcPr>
          <w:p w:rsidR="00D944AE" w:rsidRPr="007861F3" w:rsidRDefault="00D944AE" w:rsidP="00E3403E">
            <w:pPr>
              <w:rPr>
                <w:sz w:val="16"/>
                <w:szCs w:val="16"/>
                <w:lang w:bidi="th-TH"/>
              </w:rPr>
            </w:pPr>
            <w:r w:rsidRPr="007861F3">
              <w:rPr>
                <w:sz w:val="16"/>
                <w:szCs w:val="16"/>
                <w:lang w:bidi="th-TH"/>
              </w:rPr>
              <w:t xml:space="preserve">Africa </w:t>
            </w:r>
            <w:r>
              <w:rPr>
                <w:sz w:val="16"/>
                <w:szCs w:val="16"/>
                <w:lang w:bidi="th-TH"/>
              </w:rPr>
              <w:t>(</w:t>
            </w:r>
            <w:r w:rsidRPr="007861F3">
              <w:rPr>
                <w:sz w:val="16"/>
                <w:szCs w:val="16"/>
                <w:lang w:bidi="th-TH"/>
              </w:rPr>
              <w:t>75%</w:t>
            </w:r>
            <w:r>
              <w:rPr>
                <w:sz w:val="16"/>
                <w:szCs w:val="16"/>
                <w:lang w:bidi="th-TH"/>
              </w:rPr>
              <w:t>)</w:t>
            </w:r>
          </w:p>
          <w:p w:rsidR="00D944AE" w:rsidRPr="007861F3" w:rsidRDefault="00D944AE" w:rsidP="00E3403E">
            <w:pPr>
              <w:rPr>
                <w:sz w:val="16"/>
                <w:szCs w:val="16"/>
                <w:lang w:bidi="th-TH"/>
              </w:rPr>
            </w:pPr>
          </w:p>
          <w:p w:rsidR="00D944AE" w:rsidRPr="007861F3" w:rsidRDefault="00D944AE" w:rsidP="00E3403E">
            <w:pPr>
              <w:rPr>
                <w:sz w:val="16"/>
                <w:szCs w:val="16"/>
                <w:lang w:bidi="th-TH"/>
              </w:rPr>
            </w:pPr>
            <w:r>
              <w:rPr>
                <w:sz w:val="16"/>
                <w:szCs w:val="16"/>
                <w:lang w:bidi="th-TH"/>
              </w:rPr>
              <w:t>Arab (</w:t>
            </w:r>
            <w:r w:rsidRPr="007861F3">
              <w:rPr>
                <w:sz w:val="16"/>
                <w:szCs w:val="16"/>
                <w:lang w:bidi="th-TH"/>
              </w:rPr>
              <w:t>55%</w:t>
            </w:r>
            <w:r>
              <w:rPr>
                <w:sz w:val="16"/>
                <w:szCs w:val="16"/>
                <w:lang w:bidi="th-TH"/>
              </w:rPr>
              <w:t>)</w:t>
            </w:r>
            <w:r w:rsidRPr="007861F3">
              <w:rPr>
                <w:sz w:val="16"/>
                <w:szCs w:val="16"/>
                <w:lang w:bidi="th-TH"/>
              </w:rPr>
              <w:t xml:space="preserve"> </w:t>
            </w:r>
          </w:p>
          <w:p w:rsidR="00D944AE" w:rsidRDefault="00D944AE" w:rsidP="00E3403E">
            <w:pPr>
              <w:rPr>
                <w:sz w:val="16"/>
                <w:szCs w:val="16"/>
                <w:lang w:bidi="th-TH"/>
              </w:rPr>
            </w:pPr>
          </w:p>
          <w:p w:rsidR="00D944AE" w:rsidRPr="007861F3" w:rsidRDefault="00D944AE" w:rsidP="00E3403E">
            <w:pPr>
              <w:rPr>
                <w:sz w:val="16"/>
                <w:szCs w:val="16"/>
                <w:lang w:bidi="th-TH"/>
              </w:rPr>
            </w:pPr>
          </w:p>
          <w:p w:rsidR="00D944AE" w:rsidRPr="007861F3" w:rsidRDefault="00D944AE" w:rsidP="00E3403E">
            <w:pPr>
              <w:rPr>
                <w:sz w:val="16"/>
                <w:szCs w:val="16"/>
                <w:lang w:bidi="th-TH"/>
              </w:rPr>
            </w:pPr>
            <w:r w:rsidRPr="007861F3">
              <w:rPr>
                <w:sz w:val="16"/>
                <w:szCs w:val="16"/>
                <w:lang w:bidi="th-TH"/>
              </w:rPr>
              <w:t>Asia and the Pacific (66%)</w:t>
            </w:r>
          </w:p>
          <w:p w:rsidR="00D944AE" w:rsidRDefault="00D944AE" w:rsidP="00E3403E">
            <w:pPr>
              <w:rPr>
                <w:sz w:val="16"/>
                <w:szCs w:val="16"/>
                <w:lang w:bidi="th-TH"/>
              </w:rPr>
            </w:pPr>
          </w:p>
          <w:p w:rsidR="00D944AE" w:rsidRPr="007861F3" w:rsidRDefault="00D944AE" w:rsidP="00E3403E">
            <w:pPr>
              <w:rPr>
                <w:sz w:val="16"/>
                <w:szCs w:val="16"/>
                <w:lang w:bidi="th-TH"/>
              </w:rPr>
            </w:pPr>
          </w:p>
          <w:p w:rsidR="00D944AE" w:rsidRPr="007861F3" w:rsidRDefault="00D944AE" w:rsidP="00E3403E">
            <w:pPr>
              <w:rPr>
                <w:sz w:val="16"/>
                <w:szCs w:val="16"/>
                <w:lang w:bidi="th-TH"/>
              </w:rPr>
            </w:pPr>
            <w:r w:rsidRPr="007861F3">
              <w:rPr>
                <w:sz w:val="16"/>
                <w:szCs w:val="16"/>
                <w:lang w:bidi="th-TH"/>
              </w:rPr>
              <w:t xml:space="preserve">Latin America and the Caribbean (80%) </w:t>
            </w:r>
          </w:p>
          <w:p w:rsidR="00D944AE" w:rsidRPr="007861F3" w:rsidRDefault="00D944AE" w:rsidP="00E3403E">
            <w:pPr>
              <w:rPr>
                <w:sz w:val="16"/>
                <w:szCs w:val="16"/>
                <w:lang w:bidi="th-TH"/>
              </w:rPr>
            </w:pPr>
          </w:p>
          <w:p w:rsidR="00D944AE" w:rsidRPr="007861F3" w:rsidRDefault="00D944AE" w:rsidP="00E3403E">
            <w:pPr>
              <w:rPr>
                <w:sz w:val="16"/>
                <w:szCs w:val="16"/>
                <w:lang w:bidi="th-TH"/>
              </w:rPr>
            </w:pPr>
            <w:r w:rsidRPr="007861F3">
              <w:rPr>
                <w:sz w:val="16"/>
                <w:szCs w:val="16"/>
                <w:lang w:bidi="th-TH"/>
              </w:rPr>
              <w:t xml:space="preserve">LDCs </w:t>
            </w:r>
            <w:r>
              <w:rPr>
                <w:sz w:val="16"/>
                <w:szCs w:val="16"/>
                <w:lang w:bidi="th-TH"/>
              </w:rPr>
              <w:t>(</w:t>
            </w:r>
            <w:r w:rsidRPr="007861F3">
              <w:rPr>
                <w:sz w:val="16"/>
                <w:szCs w:val="16"/>
                <w:lang w:bidi="th-TH"/>
              </w:rPr>
              <w:t>85%</w:t>
            </w:r>
            <w:r>
              <w:rPr>
                <w:sz w:val="16"/>
                <w:szCs w:val="16"/>
                <w:lang w:bidi="th-TH"/>
              </w:rPr>
              <w:t>)</w:t>
            </w:r>
            <w:r w:rsidRPr="007861F3">
              <w:rPr>
                <w:sz w:val="16"/>
                <w:szCs w:val="16"/>
                <w:lang w:bidi="th-TH"/>
              </w:rPr>
              <w:t xml:space="preserve"> </w:t>
            </w:r>
          </w:p>
        </w:tc>
        <w:tc>
          <w:tcPr>
            <w:tcW w:w="1190" w:type="dxa"/>
            <w:tcBorders>
              <w:bottom w:val="single" w:sz="4" w:space="0" w:color="auto"/>
            </w:tcBorders>
            <w:shd w:val="clear" w:color="auto" w:fill="auto"/>
            <w:tcMar>
              <w:top w:w="110" w:type="dxa"/>
            </w:tcMar>
          </w:tcPr>
          <w:p w:rsidR="00D944AE" w:rsidRPr="001761D1" w:rsidRDefault="00D944AE" w:rsidP="00E3403E">
            <w:pPr>
              <w:keepNext/>
              <w:keepLines/>
              <w:jc w:val="center"/>
              <w:rPr>
                <w:b/>
                <w:bCs/>
                <w:color w:val="00B050"/>
                <w:sz w:val="16"/>
                <w:szCs w:val="16"/>
              </w:rPr>
            </w:pPr>
            <w:r w:rsidRPr="001761D1">
              <w:rPr>
                <w:b/>
                <w:bCs/>
                <w:color w:val="00B050"/>
                <w:sz w:val="16"/>
                <w:szCs w:val="16"/>
              </w:rPr>
              <w:t>Fully Achieved</w:t>
            </w:r>
          </w:p>
          <w:p w:rsidR="00D944AE" w:rsidRPr="007861F3" w:rsidRDefault="00D944AE" w:rsidP="00E3403E">
            <w:pPr>
              <w:keepNext/>
              <w:keepLines/>
              <w:jc w:val="center"/>
              <w:rPr>
                <w:b/>
                <w:bCs/>
                <w:sz w:val="16"/>
                <w:szCs w:val="16"/>
              </w:rPr>
            </w:pPr>
          </w:p>
          <w:p w:rsidR="00D944AE" w:rsidRPr="007861F3" w:rsidRDefault="00D944AE" w:rsidP="00E3403E">
            <w:pPr>
              <w:keepNext/>
              <w:keepLines/>
              <w:jc w:val="center"/>
              <w:rPr>
                <w:b/>
                <w:bCs/>
                <w:sz w:val="16"/>
                <w:szCs w:val="16"/>
              </w:rPr>
            </w:pPr>
            <w:r w:rsidRPr="001A314F">
              <w:rPr>
                <w:b/>
                <w:bCs/>
                <w:color w:val="E36C0A" w:themeColor="accent6" w:themeShade="BF"/>
                <w:sz w:val="16"/>
                <w:szCs w:val="16"/>
              </w:rPr>
              <w:t>Partially Achieved</w:t>
            </w:r>
          </w:p>
          <w:p w:rsidR="00D944AE" w:rsidRPr="007861F3" w:rsidRDefault="00D944AE" w:rsidP="00E3403E">
            <w:pPr>
              <w:keepNext/>
              <w:keepLines/>
              <w:jc w:val="center"/>
              <w:rPr>
                <w:b/>
                <w:bCs/>
                <w:sz w:val="16"/>
                <w:szCs w:val="16"/>
              </w:rPr>
            </w:pPr>
          </w:p>
          <w:p w:rsidR="00D944AE" w:rsidRPr="001761D1" w:rsidRDefault="00D944AE" w:rsidP="00E3403E">
            <w:pPr>
              <w:keepNext/>
              <w:keepLines/>
              <w:jc w:val="center"/>
              <w:rPr>
                <w:b/>
                <w:bCs/>
                <w:color w:val="00B050"/>
                <w:sz w:val="16"/>
                <w:szCs w:val="16"/>
              </w:rPr>
            </w:pPr>
            <w:r w:rsidRPr="001761D1">
              <w:rPr>
                <w:b/>
                <w:bCs/>
                <w:color w:val="00B050"/>
                <w:sz w:val="16"/>
                <w:szCs w:val="16"/>
              </w:rPr>
              <w:t>Fully Achieved</w:t>
            </w:r>
          </w:p>
          <w:p w:rsidR="00D944AE" w:rsidRDefault="00D944AE" w:rsidP="00E3403E">
            <w:pPr>
              <w:keepNext/>
              <w:keepLines/>
              <w:rPr>
                <w:b/>
                <w:bCs/>
                <w:color w:val="00B050"/>
                <w:sz w:val="16"/>
                <w:szCs w:val="16"/>
              </w:rPr>
            </w:pPr>
          </w:p>
          <w:p w:rsidR="00D944AE" w:rsidRPr="001761D1" w:rsidRDefault="00D944AE" w:rsidP="00E3403E">
            <w:pPr>
              <w:keepNext/>
              <w:keepLines/>
              <w:rPr>
                <w:b/>
                <w:bCs/>
                <w:color w:val="00B050"/>
                <w:sz w:val="16"/>
                <w:szCs w:val="16"/>
              </w:rPr>
            </w:pPr>
          </w:p>
          <w:p w:rsidR="00D944AE" w:rsidRPr="001761D1" w:rsidRDefault="00D944AE" w:rsidP="00E3403E">
            <w:pPr>
              <w:keepNext/>
              <w:keepLines/>
              <w:jc w:val="center"/>
              <w:rPr>
                <w:b/>
                <w:bCs/>
                <w:color w:val="00B050"/>
                <w:sz w:val="16"/>
                <w:szCs w:val="16"/>
              </w:rPr>
            </w:pPr>
            <w:r w:rsidRPr="001761D1">
              <w:rPr>
                <w:b/>
                <w:bCs/>
                <w:color w:val="00B050"/>
                <w:sz w:val="16"/>
                <w:szCs w:val="16"/>
              </w:rPr>
              <w:t>Fully Achieved</w:t>
            </w:r>
          </w:p>
          <w:p w:rsidR="00D944AE" w:rsidRPr="001761D1" w:rsidRDefault="00D944AE" w:rsidP="00E3403E">
            <w:pPr>
              <w:keepNext/>
              <w:keepLines/>
              <w:jc w:val="center"/>
              <w:rPr>
                <w:b/>
                <w:bCs/>
                <w:color w:val="00B050"/>
                <w:sz w:val="16"/>
                <w:szCs w:val="16"/>
              </w:rPr>
            </w:pPr>
          </w:p>
          <w:p w:rsidR="00D944AE" w:rsidRDefault="00D944AE" w:rsidP="00E3403E">
            <w:pPr>
              <w:keepNext/>
              <w:keepLines/>
              <w:jc w:val="center"/>
              <w:rPr>
                <w:b/>
                <w:bCs/>
                <w:color w:val="00B050"/>
                <w:sz w:val="16"/>
                <w:szCs w:val="16"/>
              </w:rPr>
            </w:pPr>
          </w:p>
          <w:p w:rsidR="00D944AE" w:rsidRPr="001761D1" w:rsidRDefault="00D944AE" w:rsidP="00E3403E">
            <w:pPr>
              <w:keepNext/>
              <w:keepLines/>
              <w:jc w:val="center"/>
              <w:rPr>
                <w:b/>
                <w:bCs/>
                <w:color w:val="00B050"/>
                <w:sz w:val="16"/>
                <w:szCs w:val="16"/>
              </w:rPr>
            </w:pPr>
            <w:r w:rsidRPr="001761D1">
              <w:rPr>
                <w:b/>
                <w:bCs/>
                <w:color w:val="00B050"/>
                <w:sz w:val="16"/>
                <w:szCs w:val="16"/>
              </w:rPr>
              <w:t>Fully Achieved</w:t>
            </w:r>
          </w:p>
          <w:p w:rsidR="00D944AE" w:rsidRPr="007861F3" w:rsidRDefault="00D944AE" w:rsidP="00E3403E">
            <w:pPr>
              <w:keepNext/>
              <w:keepLines/>
              <w:jc w:val="center"/>
              <w:rPr>
                <w:b/>
                <w:bCs/>
                <w:sz w:val="16"/>
                <w:szCs w:val="16"/>
              </w:rPr>
            </w:pPr>
          </w:p>
        </w:tc>
      </w:tr>
      <w:tr w:rsidR="00D944AE" w:rsidRPr="007861F3" w:rsidTr="00BA6F3B">
        <w:tc>
          <w:tcPr>
            <w:tcW w:w="9270" w:type="dxa"/>
            <w:gridSpan w:val="8"/>
            <w:tcBorders>
              <w:top w:val="single" w:sz="4" w:space="0" w:color="auto"/>
              <w:bottom w:val="nil"/>
            </w:tcBorders>
            <w:shd w:val="clear" w:color="auto" w:fill="C6D9F1" w:themeFill="text2" w:themeFillTint="33"/>
            <w:vAlign w:val="center"/>
          </w:tcPr>
          <w:p w:rsidR="00D944AE" w:rsidRPr="007861F3" w:rsidRDefault="00D944AE" w:rsidP="00E3403E">
            <w:pPr>
              <w:keepNext/>
              <w:keepLines/>
              <w:tabs>
                <w:tab w:val="left" w:pos="1452"/>
              </w:tabs>
              <w:spacing w:before="120" w:after="120"/>
              <w:ind w:left="1452" w:hanging="1452"/>
              <w:rPr>
                <w:b/>
                <w:bCs/>
                <w:sz w:val="16"/>
                <w:szCs w:val="16"/>
              </w:rPr>
            </w:pPr>
            <w:r w:rsidRPr="007861F3">
              <w:rPr>
                <w:b/>
                <w:bCs/>
                <w:sz w:val="16"/>
                <w:szCs w:val="16"/>
              </w:rPr>
              <w:lastRenderedPageBreak/>
              <w:t>Expected Result:</w:t>
            </w:r>
            <w:r w:rsidRPr="007861F3">
              <w:rPr>
                <w:b/>
                <w:bCs/>
                <w:sz w:val="16"/>
                <w:szCs w:val="16"/>
              </w:rPr>
              <w:tab/>
            </w:r>
            <w:r w:rsidRPr="007861F3">
              <w:rPr>
                <w:bCs/>
                <w:sz w:val="16"/>
                <w:szCs w:val="16"/>
              </w:rPr>
              <w:t>III.4 Strengthened cooperation mechanisms and programs tailored to the needs of developing countries and LDCs</w:t>
            </w:r>
          </w:p>
        </w:tc>
      </w:tr>
      <w:tr w:rsidR="00D944AE" w:rsidRPr="007861F3" w:rsidTr="00BA6F3B">
        <w:trPr>
          <w:trHeight w:val="369"/>
        </w:trPr>
        <w:tc>
          <w:tcPr>
            <w:tcW w:w="1983" w:type="dxa"/>
            <w:tcBorders>
              <w:top w:val="single" w:sz="4" w:space="0" w:color="auto"/>
              <w:left w:val="single" w:sz="4" w:space="0" w:color="auto"/>
              <w:bottom w:val="nil"/>
              <w:right w:val="nil"/>
            </w:tcBorders>
            <w:shd w:val="clear" w:color="auto" w:fill="auto"/>
            <w:vAlign w:val="center"/>
          </w:tcPr>
          <w:p w:rsidR="00D944AE" w:rsidRPr="007861F3" w:rsidRDefault="00D944AE" w:rsidP="00E3403E">
            <w:pPr>
              <w:keepNext/>
              <w:keepLines/>
              <w:spacing w:after="40"/>
              <w:rPr>
                <w:sz w:val="16"/>
                <w:szCs w:val="16"/>
              </w:rPr>
            </w:pPr>
            <w:r w:rsidRPr="007861F3">
              <w:rPr>
                <w:b/>
                <w:bCs/>
                <w:sz w:val="16"/>
                <w:szCs w:val="16"/>
              </w:rPr>
              <w:t>Performance Indicators</w:t>
            </w:r>
          </w:p>
        </w:tc>
        <w:tc>
          <w:tcPr>
            <w:tcW w:w="2127" w:type="dxa"/>
            <w:gridSpan w:val="2"/>
            <w:tcBorders>
              <w:top w:val="single" w:sz="4" w:space="0" w:color="auto"/>
              <w:left w:val="nil"/>
              <w:bottom w:val="nil"/>
              <w:right w:val="nil"/>
            </w:tcBorders>
            <w:shd w:val="clear" w:color="auto" w:fill="auto"/>
            <w:vAlign w:val="center"/>
          </w:tcPr>
          <w:p w:rsidR="00D944AE" w:rsidRPr="007861F3" w:rsidRDefault="00D944AE" w:rsidP="00E3403E">
            <w:pPr>
              <w:keepNext/>
              <w:keepLines/>
              <w:spacing w:after="40"/>
              <w:rPr>
                <w:b/>
                <w:bCs/>
                <w:sz w:val="16"/>
                <w:szCs w:val="16"/>
              </w:rPr>
            </w:pPr>
            <w:r w:rsidRPr="007861F3">
              <w:rPr>
                <w:b/>
                <w:bCs/>
                <w:sz w:val="16"/>
                <w:szCs w:val="16"/>
              </w:rPr>
              <w:t>Baselines</w:t>
            </w:r>
          </w:p>
        </w:tc>
        <w:tc>
          <w:tcPr>
            <w:tcW w:w="1843" w:type="dxa"/>
            <w:gridSpan w:val="2"/>
            <w:tcBorders>
              <w:top w:val="single" w:sz="4" w:space="0" w:color="auto"/>
              <w:left w:val="nil"/>
              <w:bottom w:val="nil"/>
              <w:right w:val="nil"/>
            </w:tcBorders>
            <w:shd w:val="clear" w:color="auto" w:fill="auto"/>
            <w:vAlign w:val="center"/>
          </w:tcPr>
          <w:p w:rsidR="00D944AE" w:rsidRPr="007861F3" w:rsidRDefault="00D944AE" w:rsidP="00E3403E">
            <w:pPr>
              <w:keepNext/>
              <w:keepLines/>
              <w:spacing w:after="40"/>
              <w:rPr>
                <w:b/>
                <w:sz w:val="16"/>
                <w:szCs w:val="16"/>
              </w:rPr>
            </w:pPr>
            <w:r w:rsidRPr="007861F3">
              <w:rPr>
                <w:b/>
                <w:sz w:val="16"/>
                <w:szCs w:val="16"/>
              </w:rPr>
              <w:t>Targets</w:t>
            </w:r>
          </w:p>
        </w:tc>
        <w:tc>
          <w:tcPr>
            <w:tcW w:w="2055" w:type="dxa"/>
            <w:tcBorders>
              <w:top w:val="single" w:sz="4" w:space="0" w:color="auto"/>
              <w:left w:val="nil"/>
              <w:bottom w:val="nil"/>
              <w:right w:val="nil"/>
            </w:tcBorders>
            <w:shd w:val="clear" w:color="auto" w:fill="auto"/>
            <w:vAlign w:val="center"/>
          </w:tcPr>
          <w:p w:rsidR="00D944AE" w:rsidRPr="007861F3" w:rsidRDefault="00D944AE" w:rsidP="00E3403E">
            <w:pPr>
              <w:keepNext/>
              <w:keepLines/>
              <w:spacing w:after="40"/>
              <w:rPr>
                <w:sz w:val="16"/>
                <w:szCs w:val="16"/>
              </w:rPr>
            </w:pPr>
            <w:r w:rsidRPr="007861F3">
              <w:rPr>
                <w:b/>
                <w:bCs/>
                <w:sz w:val="16"/>
                <w:szCs w:val="16"/>
              </w:rPr>
              <w:t>Performance Data</w:t>
            </w:r>
          </w:p>
        </w:tc>
        <w:tc>
          <w:tcPr>
            <w:tcW w:w="1262" w:type="dxa"/>
            <w:gridSpan w:val="2"/>
            <w:tcBorders>
              <w:top w:val="single" w:sz="4" w:space="0" w:color="auto"/>
              <w:left w:val="nil"/>
              <w:bottom w:val="nil"/>
              <w:right w:val="single" w:sz="4" w:space="0" w:color="auto"/>
            </w:tcBorders>
            <w:shd w:val="clear" w:color="auto" w:fill="auto"/>
            <w:vAlign w:val="center"/>
          </w:tcPr>
          <w:p w:rsidR="00D944AE" w:rsidRPr="007861F3" w:rsidRDefault="00D944AE" w:rsidP="00E3403E">
            <w:pPr>
              <w:keepNext/>
              <w:keepLines/>
              <w:spacing w:after="40"/>
              <w:jc w:val="center"/>
              <w:rPr>
                <w:b/>
                <w:bCs/>
                <w:sz w:val="16"/>
                <w:szCs w:val="16"/>
              </w:rPr>
            </w:pPr>
            <w:r w:rsidRPr="007861F3">
              <w:rPr>
                <w:b/>
                <w:bCs/>
                <w:sz w:val="16"/>
                <w:szCs w:val="16"/>
              </w:rPr>
              <w:t>TLS</w:t>
            </w:r>
          </w:p>
        </w:tc>
      </w:tr>
      <w:tr w:rsidR="00D944AE" w:rsidRPr="007861F3" w:rsidTr="00BA6F3B">
        <w:tc>
          <w:tcPr>
            <w:tcW w:w="1983" w:type="dxa"/>
            <w:tcBorders>
              <w:top w:val="nil"/>
              <w:left w:val="single" w:sz="4" w:space="0" w:color="auto"/>
              <w:bottom w:val="single" w:sz="4" w:space="0" w:color="auto"/>
              <w:right w:val="nil"/>
            </w:tcBorders>
            <w:shd w:val="clear" w:color="auto" w:fill="FFFFFF"/>
          </w:tcPr>
          <w:p w:rsidR="00D944AE" w:rsidRPr="007861F3" w:rsidRDefault="00D944AE" w:rsidP="00E3403E">
            <w:pPr>
              <w:keepNext/>
              <w:keepLines/>
              <w:rPr>
                <w:sz w:val="16"/>
                <w:szCs w:val="16"/>
                <w:lang w:bidi="th-TH"/>
              </w:rPr>
            </w:pPr>
            <w:r w:rsidRPr="007861F3">
              <w:rPr>
                <w:sz w:val="16"/>
                <w:szCs w:val="16"/>
                <w:lang w:bidi="th-TH"/>
              </w:rPr>
              <w:t>No. of new or strengthened cooperation mechanisms, programs or partnerships supported to promote/strengthen sub-regional or regional cooperation in IP</w:t>
            </w:r>
          </w:p>
        </w:tc>
        <w:tc>
          <w:tcPr>
            <w:tcW w:w="2127" w:type="dxa"/>
            <w:gridSpan w:val="2"/>
            <w:tcBorders>
              <w:top w:val="nil"/>
              <w:left w:val="nil"/>
              <w:bottom w:val="single" w:sz="4" w:space="0" w:color="auto"/>
              <w:right w:val="nil"/>
            </w:tcBorders>
            <w:shd w:val="clear" w:color="auto" w:fill="auto"/>
          </w:tcPr>
          <w:p w:rsidR="00D944AE" w:rsidRPr="007861F3" w:rsidRDefault="00D944AE" w:rsidP="00E3403E">
            <w:pPr>
              <w:keepNext/>
              <w:keepLines/>
              <w:rPr>
                <w:sz w:val="16"/>
                <w:szCs w:val="16"/>
                <w:lang w:bidi="th-TH"/>
              </w:rPr>
            </w:pPr>
            <w:r w:rsidRPr="007861F3">
              <w:rPr>
                <w:sz w:val="16"/>
                <w:szCs w:val="16"/>
                <w:lang w:bidi="th-TH"/>
              </w:rPr>
              <w:t>Africa (3)</w:t>
            </w:r>
          </w:p>
          <w:p w:rsidR="00D944AE" w:rsidRPr="007861F3" w:rsidRDefault="00D944AE" w:rsidP="00E3403E">
            <w:pPr>
              <w:keepNext/>
              <w:keepLines/>
              <w:rPr>
                <w:sz w:val="16"/>
                <w:szCs w:val="16"/>
                <w:lang w:bidi="th-TH"/>
              </w:rPr>
            </w:pPr>
            <w:r w:rsidRPr="007861F3">
              <w:rPr>
                <w:sz w:val="16"/>
                <w:szCs w:val="16"/>
                <w:lang w:bidi="th-TH"/>
              </w:rPr>
              <w:t>Arab (2)</w:t>
            </w:r>
          </w:p>
          <w:p w:rsidR="00D944AE" w:rsidRPr="007861F3" w:rsidRDefault="00D944AE" w:rsidP="00E3403E">
            <w:pPr>
              <w:keepNext/>
              <w:keepLines/>
              <w:rPr>
                <w:sz w:val="16"/>
                <w:szCs w:val="16"/>
                <w:lang w:bidi="th-TH"/>
              </w:rPr>
            </w:pPr>
            <w:r w:rsidRPr="007861F3">
              <w:rPr>
                <w:sz w:val="16"/>
                <w:szCs w:val="16"/>
                <w:lang w:bidi="th-TH"/>
              </w:rPr>
              <w:t>Asia and the Pacific (4)</w:t>
            </w:r>
          </w:p>
          <w:p w:rsidR="00D944AE" w:rsidRPr="007861F3" w:rsidRDefault="00D944AE" w:rsidP="00E3403E">
            <w:pPr>
              <w:keepNext/>
              <w:keepLines/>
              <w:rPr>
                <w:sz w:val="16"/>
                <w:szCs w:val="16"/>
                <w:lang w:bidi="th-TH"/>
              </w:rPr>
            </w:pPr>
            <w:r w:rsidRPr="007861F3">
              <w:rPr>
                <w:sz w:val="16"/>
                <w:szCs w:val="16"/>
                <w:lang w:bidi="th-TH"/>
              </w:rPr>
              <w:t>Latin America and the Caribbean (3)</w:t>
            </w:r>
          </w:p>
          <w:p w:rsidR="00D944AE" w:rsidRPr="007861F3" w:rsidRDefault="00D944AE" w:rsidP="00E3403E">
            <w:pPr>
              <w:keepNext/>
              <w:keepLines/>
              <w:rPr>
                <w:sz w:val="16"/>
                <w:szCs w:val="16"/>
                <w:lang w:bidi="th-TH"/>
              </w:rPr>
            </w:pPr>
            <w:r w:rsidRPr="007861F3">
              <w:rPr>
                <w:sz w:val="16"/>
                <w:szCs w:val="16"/>
                <w:lang w:bidi="th-TH"/>
              </w:rPr>
              <w:t>2 LDCs included in the above regional breakdown</w:t>
            </w:r>
          </w:p>
          <w:p w:rsidR="00D944AE" w:rsidRPr="007861F3" w:rsidRDefault="00D944AE" w:rsidP="00E3403E">
            <w:pPr>
              <w:keepNext/>
              <w:keepLines/>
              <w:rPr>
                <w:sz w:val="16"/>
                <w:szCs w:val="16"/>
              </w:rPr>
            </w:pPr>
            <w:r w:rsidRPr="007861F3">
              <w:rPr>
                <w:sz w:val="16"/>
                <w:szCs w:val="16"/>
                <w:lang w:bidi="th-TH"/>
              </w:rPr>
              <w:t>Appropriate Technology Projects in 3 LDCs</w:t>
            </w:r>
          </w:p>
        </w:tc>
        <w:tc>
          <w:tcPr>
            <w:tcW w:w="1843" w:type="dxa"/>
            <w:gridSpan w:val="2"/>
            <w:tcBorders>
              <w:top w:val="nil"/>
              <w:left w:val="nil"/>
              <w:bottom w:val="single" w:sz="4" w:space="0" w:color="auto"/>
              <w:right w:val="nil"/>
            </w:tcBorders>
            <w:shd w:val="clear" w:color="auto" w:fill="auto"/>
            <w:tcMar>
              <w:top w:w="110" w:type="dxa"/>
            </w:tcMar>
          </w:tcPr>
          <w:p w:rsidR="00D944AE" w:rsidRPr="007861F3" w:rsidRDefault="00D944AE" w:rsidP="00E3403E">
            <w:pPr>
              <w:keepNext/>
              <w:keepLines/>
              <w:rPr>
                <w:sz w:val="16"/>
                <w:szCs w:val="16"/>
                <w:lang w:bidi="th-TH"/>
              </w:rPr>
            </w:pPr>
            <w:r w:rsidRPr="007861F3">
              <w:rPr>
                <w:sz w:val="16"/>
                <w:szCs w:val="16"/>
                <w:lang w:bidi="th-TH"/>
              </w:rPr>
              <w:t>Africa (2)</w:t>
            </w:r>
          </w:p>
          <w:p w:rsidR="00D944AE" w:rsidRPr="007861F3" w:rsidRDefault="00D944AE" w:rsidP="00E3403E">
            <w:pPr>
              <w:keepNext/>
              <w:keepLines/>
              <w:rPr>
                <w:sz w:val="16"/>
                <w:szCs w:val="16"/>
                <w:lang w:bidi="th-TH"/>
              </w:rPr>
            </w:pPr>
          </w:p>
          <w:p w:rsidR="00D944AE" w:rsidRPr="007861F3" w:rsidRDefault="00D944AE" w:rsidP="00E3403E">
            <w:pPr>
              <w:keepNext/>
              <w:keepLines/>
              <w:rPr>
                <w:sz w:val="16"/>
                <w:szCs w:val="16"/>
                <w:lang w:bidi="th-TH"/>
              </w:rPr>
            </w:pPr>
          </w:p>
          <w:p w:rsidR="00D944AE" w:rsidRPr="007861F3" w:rsidRDefault="00D944AE" w:rsidP="00E3403E">
            <w:pPr>
              <w:keepNext/>
              <w:keepLines/>
              <w:rPr>
                <w:sz w:val="16"/>
                <w:szCs w:val="16"/>
                <w:lang w:bidi="th-TH"/>
              </w:rPr>
            </w:pPr>
          </w:p>
          <w:p w:rsidR="00D944AE" w:rsidRDefault="00D944AE" w:rsidP="00E3403E">
            <w:pPr>
              <w:keepNext/>
              <w:keepLines/>
              <w:rPr>
                <w:sz w:val="16"/>
                <w:szCs w:val="16"/>
                <w:lang w:bidi="th-TH"/>
              </w:rPr>
            </w:pPr>
          </w:p>
          <w:p w:rsidR="00D944AE" w:rsidRDefault="00D944AE" w:rsidP="00E3403E">
            <w:pPr>
              <w:keepNext/>
              <w:keepLines/>
              <w:rPr>
                <w:sz w:val="16"/>
                <w:szCs w:val="16"/>
                <w:lang w:bidi="th-TH"/>
              </w:rPr>
            </w:pPr>
          </w:p>
          <w:p w:rsidR="00D944AE" w:rsidRDefault="00D944AE" w:rsidP="00E3403E">
            <w:pPr>
              <w:keepNext/>
              <w:keepLines/>
              <w:rPr>
                <w:sz w:val="16"/>
                <w:szCs w:val="16"/>
                <w:lang w:bidi="th-TH"/>
              </w:rPr>
            </w:pPr>
          </w:p>
          <w:p w:rsidR="00D944AE" w:rsidRPr="007861F3" w:rsidRDefault="00D944AE" w:rsidP="00E3403E">
            <w:pPr>
              <w:keepNext/>
              <w:keepLines/>
              <w:rPr>
                <w:sz w:val="16"/>
                <w:szCs w:val="16"/>
                <w:lang w:bidi="th-TH"/>
              </w:rPr>
            </w:pPr>
          </w:p>
          <w:p w:rsidR="00D944AE" w:rsidRDefault="00D944AE" w:rsidP="00E3403E">
            <w:pPr>
              <w:keepNext/>
              <w:keepLines/>
              <w:rPr>
                <w:sz w:val="16"/>
                <w:szCs w:val="16"/>
                <w:lang w:bidi="th-TH"/>
              </w:rPr>
            </w:pPr>
          </w:p>
          <w:p w:rsidR="00D944AE" w:rsidRDefault="00D944AE" w:rsidP="00E3403E">
            <w:pPr>
              <w:keepNext/>
              <w:keepLines/>
              <w:rPr>
                <w:sz w:val="16"/>
                <w:szCs w:val="16"/>
                <w:lang w:bidi="th-TH"/>
              </w:rPr>
            </w:pPr>
          </w:p>
          <w:p w:rsidR="00D944AE" w:rsidRDefault="00D944AE" w:rsidP="00E3403E">
            <w:pPr>
              <w:keepNext/>
              <w:keepLines/>
              <w:rPr>
                <w:sz w:val="16"/>
                <w:szCs w:val="16"/>
                <w:lang w:bidi="th-TH"/>
              </w:rPr>
            </w:pPr>
          </w:p>
          <w:p w:rsidR="00D944AE" w:rsidRPr="007861F3" w:rsidRDefault="00D944AE" w:rsidP="00E3403E">
            <w:pPr>
              <w:keepNext/>
              <w:keepLines/>
              <w:rPr>
                <w:sz w:val="16"/>
                <w:szCs w:val="16"/>
                <w:lang w:bidi="th-TH"/>
              </w:rPr>
            </w:pPr>
            <w:r w:rsidRPr="007861F3">
              <w:rPr>
                <w:sz w:val="16"/>
                <w:szCs w:val="16"/>
                <w:lang w:bidi="th-TH"/>
              </w:rPr>
              <w:t>Arab (1)</w:t>
            </w:r>
          </w:p>
          <w:p w:rsidR="00D944AE" w:rsidRPr="007861F3" w:rsidRDefault="00D944AE" w:rsidP="00E3403E">
            <w:pPr>
              <w:keepNext/>
              <w:keepLines/>
              <w:rPr>
                <w:sz w:val="16"/>
                <w:szCs w:val="16"/>
                <w:lang w:bidi="th-TH"/>
              </w:rPr>
            </w:pPr>
          </w:p>
          <w:p w:rsidR="00D944AE" w:rsidRPr="007861F3" w:rsidRDefault="00D944AE" w:rsidP="00E3403E">
            <w:pPr>
              <w:keepNext/>
              <w:keepLines/>
              <w:rPr>
                <w:sz w:val="16"/>
                <w:szCs w:val="16"/>
                <w:lang w:bidi="th-TH"/>
              </w:rPr>
            </w:pPr>
          </w:p>
          <w:p w:rsidR="00D944AE" w:rsidRDefault="00D944AE" w:rsidP="00E3403E">
            <w:pPr>
              <w:keepNext/>
              <w:keepLines/>
              <w:rPr>
                <w:sz w:val="16"/>
                <w:szCs w:val="16"/>
                <w:lang w:bidi="th-TH"/>
              </w:rPr>
            </w:pPr>
          </w:p>
          <w:p w:rsidR="00D944AE" w:rsidRDefault="00D944AE" w:rsidP="00E3403E">
            <w:pPr>
              <w:keepNext/>
              <w:keepLines/>
              <w:rPr>
                <w:sz w:val="16"/>
                <w:szCs w:val="16"/>
                <w:lang w:bidi="th-TH"/>
              </w:rPr>
            </w:pPr>
          </w:p>
          <w:p w:rsidR="00D944AE" w:rsidRDefault="00D944AE" w:rsidP="00E3403E">
            <w:pPr>
              <w:keepNext/>
              <w:keepLines/>
              <w:rPr>
                <w:sz w:val="16"/>
                <w:szCs w:val="16"/>
                <w:lang w:bidi="th-TH"/>
              </w:rPr>
            </w:pPr>
          </w:p>
          <w:p w:rsidR="00D944AE" w:rsidRDefault="00D944AE" w:rsidP="00E3403E">
            <w:pPr>
              <w:keepNext/>
              <w:keepLines/>
              <w:rPr>
                <w:sz w:val="16"/>
                <w:szCs w:val="16"/>
                <w:lang w:bidi="th-TH"/>
              </w:rPr>
            </w:pPr>
            <w:r w:rsidRPr="007861F3">
              <w:rPr>
                <w:sz w:val="16"/>
                <w:szCs w:val="16"/>
                <w:lang w:bidi="th-TH"/>
              </w:rPr>
              <w:t>Asia and the Pacific (4)</w:t>
            </w:r>
          </w:p>
          <w:p w:rsidR="00D944AE" w:rsidRDefault="00D944AE" w:rsidP="00E3403E">
            <w:pPr>
              <w:keepNext/>
              <w:keepLines/>
              <w:rPr>
                <w:sz w:val="16"/>
                <w:szCs w:val="16"/>
                <w:lang w:bidi="th-TH"/>
              </w:rPr>
            </w:pPr>
          </w:p>
          <w:p w:rsidR="00D944AE" w:rsidRDefault="00D944AE" w:rsidP="00E3403E">
            <w:pPr>
              <w:keepNext/>
              <w:keepLines/>
              <w:rPr>
                <w:sz w:val="16"/>
                <w:szCs w:val="16"/>
                <w:lang w:bidi="th-TH"/>
              </w:rPr>
            </w:pPr>
          </w:p>
          <w:p w:rsidR="00D944AE" w:rsidRDefault="00D944AE" w:rsidP="00E3403E">
            <w:pPr>
              <w:keepNext/>
              <w:keepLines/>
              <w:rPr>
                <w:sz w:val="16"/>
                <w:szCs w:val="16"/>
                <w:lang w:bidi="th-TH"/>
              </w:rPr>
            </w:pPr>
          </w:p>
          <w:p w:rsidR="00D944AE" w:rsidRDefault="00D944AE" w:rsidP="00E3403E">
            <w:pPr>
              <w:keepNext/>
              <w:keepLines/>
              <w:rPr>
                <w:sz w:val="16"/>
                <w:szCs w:val="16"/>
                <w:lang w:bidi="th-TH"/>
              </w:rPr>
            </w:pPr>
          </w:p>
          <w:p w:rsidR="00D944AE" w:rsidRDefault="00D944AE" w:rsidP="00E3403E">
            <w:pPr>
              <w:keepNext/>
              <w:keepLines/>
              <w:rPr>
                <w:sz w:val="16"/>
                <w:szCs w:val="16"/>
                <w:lang w:bidi="th-TH"/>
              </w:rPr>
            </w:pPr>
          </w:p>
          <w:p w:rsidR="00D944AE" w:rsidRPr="007861F3" w:rsidRDefault="00D944AE" w:rsidP="00E3403E">
            <w:pPr>
              <w:keepNext/>
              <w:keepLines/>
              <w:rPr>
                <w:sz w:val="16"/>
                <w:szCs w:val="16"/>
                <w:lang w:bidi="th-TH"/>
              </w:rPr>
            </w:pPr>
            <w:r w:rsidRPr="007861F3">
              <w:rPr>
                <w:sz w:val="16"/>
                <w:szCs w:val="16"/>
                <w:lang w:bidi="th-TH"/>
              </w:rPr>
              <w:t>Latin America and the Caribbean (7)</w:t>
            </w:r>
          </w:p>
          <w:p w:rsidR="00D944AE" w:rsidRDefault="00D944AE" w:rsidP="00E3403E">
            <w:pPr>
              <w:keepNext/>
              <w:keepLines/>
              <w:rPr>
                <w:sz w:val="16"/>
                <w:szCs w:val="16"/>
                <w:lang w:bidi="th-TH"/>
              </w:rPr>
            </w:pPr>
          </w:p>
          <w:p w:rsidR="00D944AE" w:rsidRDefault="00D944AE" w:rsidP="00E3403E">
            <w:pPr>
              <w:keepNext/>
              <w:keepLines/>
              <w:rPr>
                <w:sz w:val="16"/>
                <w:szCs w:val="16"/>
                <w:lang w:bidi="th-TH"/>
              </w:rPr>
            </w:pPr>
          </w:p>
          <w:p w:rsidR="00D944AE" w:rsidRPr="007861F3" w:rsidRDefault="00D944AE" w:rsidP="00E3403E">
            <w:pPr>
              <w:keepNext/>
              <w:keepLines/>
              <w:rPr>
                <w:sz w:val="16"/>
                <w:szCs w:val="16"/>
                <w:lang w:bidi="th-TH"/>
              </w:rPr>
            </w:pPr>
            <w:r w:rsidRPr="007861F3">
              <w:rPr>
                <w:sz w:val="16"/>
                <w:szCs w:val="16"/>
                <w:lang w:bidi="th-TH"/>
              </w:rPr>
              <w:t>4 LDCs included in the above regional breakdown</w:t>
            </w:r>
          </w:p>
          <w:p w:rsidR="00D944AE" w:rsidRDefault="00D944AE" w:rsidP="00E3403E">
            <w:pPr>
              <w:keepNext/>
              <w:keepLines/>
              <w:rPr>
                <w:sz w:val="16"/>
                <w:szCs w:val="16"/>
                <w:lang w:bidi="th-TH"/>
              </w:rPr>
            </w:pPr>
          </w:p>
          <w:p w:rsidR="00D944AE" w:rsidRPr="007861F3" w:rsidRDefault="00D944AE" w:rsidP="00E3403E">
            <w:pPr>
              <w:keepNext/>
              <w:keepLines/>
              <w:rPr>
                <w:sz w:val="16"/>
                <w:szCs w:val="16"/>
                <w:lang w:bidi="th-TH"/>
              </w:rPr>
            </w:pPr>
            <w:r w:rsidRPr="007861F3">
              <w:rPr>
                <w:sz w:val="16"/>
                <w:szCs w:val="16"/>
                <w:lang w:bidi="th-TH"/>
              </w:rPr>
              <w:t>Additional appropriate technology in at least 4 LDCs</w:t>
            </w:r>
          </w:p>
          <w:p w:rsidR="00D944AE" w:rsidRPr="007861F3" w:rsidRDefault="00D944AE" w:rsidP="00E3403E">
            <w:pPr>
              <w:keepNext/>
              <w:keepLines/>
              <w:rPr>
                <w:sz w:val="16"/>
                <w:szCs w:val="16"/>
                <w:lang w:bidi="th-TH"/>
              </w:rPr>
            </w:pPr>
          </w:p>
        </w:tc>
        <w:tc>
          <w:tcPr>
            <w:tcW w:w="2055" w:type="dxa"/>
            <w:tcBorders>
              <w:top w:val="nil"/>
              <w:left w:val="nil"/>
              <w:bottom w:val="single" w:sz="4" w:space="0" w:color="auto"/>
              <w:right w:val="nil"/>
            </w:tcBorders>
            <w:shd w:val="clear" w:color="auto" w:fill="FFFFFF"/>
            <w:tcMar>
              <w:top w:w="110" w:type="dxa"/>
            </w:tcMar>
          </w:tcPr>
          <w:p w:rsidR="00D944AE" w:rsidRPr="007861F3" w:rsidRDefault="00D944AE" w:rsidP="00E3403E">
            <w:pPr>
              <w:keepNext/>
              <w:keepLines/>
              <w:rPr>
                <w:sz w:val="16"/>
                <w:szCs w:val="16"/>
                <w:lang w:bidi="th-TH"/>
              </w:rPr>
            </w:pPr>
            <w:r w:rsidRPr="007861F3">
              <w:rPr>
                <w:sz w:val="16"/>
                <w:szCs w:val="16"/>
                <w:lang w:bidi="th-TH"/>
              </w:rPr>
              <w:t>Africa</w:t>
            </w:r>
            <w:r>
              <w:rPr>
                <w:sz w:val="16"/>
                <w:szCs w:val="16"/>
                <w:lang w:bidi="th-TH"/>
              </w:rPr>
              <w:t xml:space="preserve"> (2): (i) Mo</w:t>
            </w:r>
            <w:r w:rsidRPr="00725546">
              <w:rPr>
                <w:sz w:val="16"/>
                <w:szCs w:val="16"/>
                <w:lang w:bidi="th-TH"/>
              </w:rPr>
              <w:t xml:space="preserve">U signed with </w:t>
            </w:r>
            <w:r w:rsidRPr="00335775">
              <w:rPr>
                <w:i/>
                <w:sz w:val="16"/>
                <w:szCs w:val="16"/>
                <w:lang w:bidi="th-TH"/>
              </w:rPr>
              <w:t>l’Organisation Internationale de la Francophonie</w:t>
            </w:r>
            <w:r>
              <w:rPr>
                <w:i/>
                <w:sz w:val="16"/>
                <w:szCs w:val="16"/>
                <w:lang w:bidi="th-TH"/>
              </w:rPr>
              <w:t xml:space="preserve"> </w:t>
            </w:r>
            <w:r w:rsidRPr="00335775">
              <w:rPr>
                <w:sz w:val="16"/>
                <w:szCs w:val="16"/>
                <w:lang w:bidi="th-TH"/>
              </w:rPr>
              <w:t>(OIF)</w:t>
            </w:r>
            <w:r w:rsidRPr="00725546">
              <w:rPr>
                <w:sz w:val="16"/>
                <w:szCs w:val="16"/>
                <w:lang w:bidi="th-TH"/>
              </w:rPr>
              <w:t xml:space="preserve"> in May</w:t>
            </w:r>
            <w:r>
              <w:rPr>
                <w:sz w:val="16"/>
                <w:szCs w:val="16"/>
                <w:lang w:bidi="th-TH"/>
              </w:rPr>
              <w:t> </w:t>
            </w:r>
            <w:r w:rsidRPr="00725546">
              <w:rPr>
                <w:sz w:val="16"/>
                <w:szCs w:val="16"/>
                <w:lang w:bidi="th-TH"/>
              </w:rPr>
              <w:t>2014</w:t>
            </w:r>
            <w:r>
              <w:rPr>
                <w:sz w:val="16"/>
                <w:szCs w:val="16"/>
                <w:lang w:bidi="th-TH"/>
              </w:rPr>
              <w:t xml:space="preserve">;  (ii) </w:t>
            </w:r>
            <w:r w:rsidRPr="007861F3">
              <w:rPr>
                <w:sz w:val="16"/>
                <w:szCs w:val="16"/>
                <w:lang w:bidi="th-TH"/>
              </w:rPr>
              <w:t>African Union /WIPO cooperation</w:t>
            </w:r>
            <w:r>
              <w:rPr>
                <w:sz w:val="16"/>
                <w:szCs w:val="16"/>
                <w:lang w:bidi="th-TH"/>
              </w:rPr>
              <w:t xml:space="preserve"> under the</w:t>
            </w:r>
            <w:r w:rsidRPr="00A640FF">
              <w:rPr>
                <w:sz w:val="16"/>
                <w:szCs w:val="16"/>
                <w:lang w:bidi="th-TH"/>
              </w:rPr>
              <w:t xml:space="preserve"> </w:t>
            </w:r>
            <w:r w:rsidRPr="00A640FF">
              <w:rPr>
                <w:i/>
                <w:sz w:val="16"/>
                <w:szCs w:val="16"/>
                <w:lang w:bidi="th-TH"/>
              </w:rPr>
              <w:t>Dakar Declaration on Intellectual Property for Africa</w:t>
            </w:r>
            <w:r>
              <w:rPr>
                <w:rStyle w:val="FootnoteReference"/>
                <w:i/>
                <w:sz w:val="16"/>
                <w:szCs w:val="16"/>
                <w:lang w:bidi="th-TH"/>
              </w:rPr>
              <w:footnoteReference w:id="66"/>
            </w:r>
          </w:p>
          <w:p w:rsidR="00D944AE" w:rsidRPr="007861F3" w:rsidRDefault="00D944AE" w:rsidP="00E3403E">
            <w:pPr>
              <w:keepNext/>
              <w:keepLines/>
              <w:rPr>
                <w:sz w:val="16"/>
                <w:szCs w:val="16"/>
                <w:lang w:bidi="th-TH"/>
              </w:rPr>
            </w:pPr>
          </w:p>
          <w:p w:rsidR="00D944AE" w:rsidRPr="007861F3" w:rsidRDefault="00D944AE" w:rsidP="00E3403E">
            <w:pPr>
              <w:keepNext/>
              <w:keepLines/>
              <w:rPr>
                <w:sz w:val="16"/>
                <w:szCs w:val="16"/>
                <w:lang w:bidi="th-TH"/>
              </w:rPr>
            </w:pPr>
            <w:r>
              <w:rPr>
                <w:sz w:val="16"/>
                <w:szCs w:val="16"/>
                <w:lang w:bidi="th-TH"/>
              </w:rPr>
              <w:t>Arab (1): (</w:t>
            </w:r>
            <w:r w:rsidRPr="007861F3">
              <w:rPr>
                <w:sz w:val="16"/>
                <w:szCs w:val="16"/>
                <w:lang w:bidi="th-TH"/>
              </w:rPr>
              <w:t>MoU signed with the Emirates Intellectual Property Association (EIPA), UAE, on October</w:t>
            </w:r>
            <w:r>
              <w:rPr>
                <w:sz w:val="16"/>
                <w:szCs w:val="16"/>
                <w:lang w:bidi="th-TH"/>
              </w:rPr>
              <w:t> </w:t>
            </w:r>
            <w:r w:rsidRPr="007861F3">
              <w:rPr>
                <w:sz w:val="16"/>
                <w:szCs w:val="16"/>
                <w:lang w:bidi="th-TH"/>
              </w:rPr>
              <w:t>2015.</w:t>
            </w:r>
            <w:r>
              <w:rPr>
                <w:rStyle w:val="FootnoteReference"/>
                <w:sz w:val="16"/>
                <w:szCs w:val="16"/>
                <w:lang w:bidi="th-TH"/>
              </w:rPr>
              <w:footnoteReference w:id="67"/>
            </w:r>
            <w:r w:rsidRPr="007861F3">
              <w:rPr>
                <w:sz w:val="16"/>
                <w:szCs w:val="16"/>
                <w:lang w:bidi="th-TH"/>
              </w:rPr>
              <w:t xml:space="preserve"> </w:t>
            </w:r>
          </w:p>
          <w:p w:rsidR="00D944AE" w:rsidRPr="007861F3" w:rsidRDefault="00D944AE" w:rsidP="00E3403E">
            <w:pPr>
              <w:keepNext/>
              <w:keepLines/>
              <w:rPr>
                <w:sz w:val="16"/>
                <w:szCs w:val="16"/>
                <w:lang w:bidi="th-TH"/>
              </w:rPr>
            </w:pPr>
          </w:p>
          <w:p w:rsidR="00D944AE" w:rsidRPr="007861F3" w:rsidRDefault="00D944AE" w:rsidP="00E3403E">
            <w:pPr>
              <w:keepNext/>
              <w:keepLines/>
              <w:rPr>
                <w:sz w:val="16"/>
                <w:szCs w:val="16"/>
                <w:lang w:bidi="th-TH"/>
              </w:rPr>
            </w:pPr>
            <w:r w:rsidRPr="007861F3">
              <w:rPr>
                <w:sz w:val="16"/>
                <w:szCs w:val="16"/>
                <w:lang w:bidi="th-TH"/>
              </w:rPr>
              <w:t>Asia and the Pacific</w:t>
            </w:r>
            <w:r>
              <w:rPr>
                <w:sz w:val="16"/>
                <w:szCs w:val="16"/>
                <w:lang w:bidi="th-TH"/>
              </w:rPr>
              <w:t xml:space="preserve"> (</w:t>
            </w:r>
            <w:r w:rsidR="00674EDC">
              <w:rPr>
                <w:sz w:val="16"/>
                <w:szCs w:val="16"/>
                <w:lang w:bidi="th-TH"/>
              </w:rPr>
              <w:t>1</w:t>
            </w:r>
            <w:r>
              <w:rPr>
                <w:sz w:val="16"/>
                <w:szCs w:val="16"/>
                <w:lang w:bidi="th-TH"/>
              </w:rPr>
              <w:t>):</w:t>
            </w:r>
          </w:p>
          <w:p w:rsidR="00D944AE" w:rsidRPr="007861F3" w:rsidRDefault="00D944AE" w:rsidP="00E3403E">
            <w:pPr>
              <w:keepNext/>
              <w:keepLines/>
              <w:rPr>
                <w:sz w:val="16"/>
                <w:szCs w:val="16"/>
                <w:lang w:bidi="th-TH"/>
              </w:rPr>
            </w:pPr>
            <w:r>
              <w:rPr>
                <w:sz w:val="16"/>
                <w:szCs w:val="16"/>
              </w:rPr>
              <w:t>(i) Association of Southeast Asian Nations (ASEAN)</w:t>
            </w:r>
            <w:r w:rsidR="00674EDC">
              <w:rPr>
                <w:rStyle w:val="FootnoteReference"/>
                <w:sz w:val="16"/>
                <w:szCs w:val="16"/>
              </w:rPr>
              <w:t xml:space="preserve"> </w:t>
            </w:r>
            <w:r w:rsidR="00674EDC">
              <w:rPr>
                <w:rStyle w:val="FootnoteReference"/>
                <w:sz w:val="16"/>
                <w:szCs w:val="16"/>
              </w:rPr>
              <w:footnoteReference w:id="68"/>
            </w:r>
            <w:r w:rsidR="00674EDC">
              <w:rPr>
                <w:sz w:val="16"/>
                <w:szCs w:val="16"/>
              </w:rPr>
              <w:t xml:space="preserve">;  </w:t>
            </w:r>
          </w:p>
          <w:p w:rsidR="00D944AE" w:rsidRPr="007861F3" w:rsidRDefault="00D944AE" w:rsidP="00E3403E">
            <w:pPr>
              <w:keepNext/>
              <w:keepLines/>
              <w:rPr>
                <w:sz w:val="16"/>
                <w:szCs w:val="16"/>
                <w:lang w:bidi="th-TH"/>
              </w:rPr>
            </w:pPr>
          </w:p>
          <w:p w:rsidR="00D944AE" w:rsidRPr="007861F3" w:rsidRDefault="00D944AE" w:rsidP="00E3403E">
            <w:pPr>
              <w:keepNext/>
              <w:keepLines/>
              <w:rPr>
                <w:sz w:val="16"/>
                <w:szCs w:val="16"/>
                <w:lang w:bidi="th-TH"/>
              </w:rPr>
            </w:pPr>
            <w:r w:rsidRPr="001761D1">
              <w:rPr>
                <w:sz w:val="16"/>
                <w:szCs w:val="16"/>
                <w:lang w:bidi="th-TH"/>
              </w:rPr>
              <w:t>Latin America and the Caribbean</w:t>
            </w:r>
            <w:r>
              <w:rPr>
                <w:sz w:val="16"/>
                <w:szCs w:val="16"/>
                <w:lang w:bidi="th-TH"/>
              </w:rPr>
              <w:t>:  6  ongoing projects</w:t>
            </w:r>
            <w:r>
              <w:rPr>
                <w:rStyle w:val="FootnoteReference"/>
                <w:sz w:val="16"/>
                <w:szCs w:val="16"/>
                <w:lang w:bidi="th-TH"/>
              </w:rPr>
              <w:footnoteReference w:id="69"/>
            </w:r>
          </w:p>
          <w:p w:rsidR="00D944AE" w:rsidRDefault="00D944AE" w:rsidP="00E3403E">
            <w:pPr>
              <w:keepNext/>
              <w:keepLines/>
              <w:rPr>
                <w:sz w:val="16"/>
                <w:szCs w:val="16"/>
                <w:lang w:bidi="th-TH"/>
              </w:rPr>
            </w:pPr>
          </w:p>
          <w:p w:rsidR="00D944AE" w:rsidRDefault="00D944AE" w:rsidP="00E3403E">
            <w:pPr>
              <w:keepNext/>
              <w:keepLines/>
              <w:rPr>
                <w:sz w:val="16"/>
                <w:szCs w:val="16"/>
                <w:lang w:bidi="th-TH"/>
              </w:rPr>
            </w:pPr>
            <w:r>
              <w:rPr>
                <w:sz w:val="16"/>
                <w:szCs w:val="16"/>
                <w:lang w:bidi="th-TH"/>
              </w:rPr>
              <w:t>4 of the organizations in the above regional breakdown include LDCs</w:t>
            </w:r>
          </w:p>
          <w:p w:rsidR="00D944AE" w:rsidRDefault="00D944AE" w:rsidP="00E3403E">
            <w:pPr>
              <w:keepNext/>
              <w:keepLines/>
              <w:rPr>
                <w:rFonts w:cs="Arial"/>
                <w:sz w:val="16"/>
                <w:szCs w:val="16"/>
              </w:rPr>
            </w:pPr>
          </w:p>
          <w:p w:rsidR="00D944AE" w:rsidRPr="007861F3" w:rsidRDefault="00D944AE" w:rsidP="00E3403E">
            <w:pPr>
              <w:keepNext/>
              <w:keepLines/>
              <w:rPr>
                <w:rFonts w:cs="Arial"/>
                <w:sz w:val="16"/>
                <w:szCs w:val="16"/>
              </w:rPr>
            </w:pPr>
            <w:r w:rsidRPr="007861F3">
              <w:rPr>
                <w:rFonts w:cs="Arial"/>
                <w:sz w:val="16"/>
                <w:szCs w:val="16"/>
              </w:rPr>
              <w:t xml:space="preserve">As part of Phase II of the DA Project on Capacity </w:t>
            </w:r>
            <w:r>
              <w:rPr>
                <w:rFonts w:cs="Arial"/>
                <w:sz w:val="16"/>
                <w:szCs w:val="16"/>
              </w:rPr>
              <w:t>B</w:t>
            </w:r>
            <w:r w:rsidRPr="007861F3">
              <w:rPr>
                <w:rFonts w:cs="Arial"/>
                <w:sz w:val="16"/>
                <w:szCs w:val="16"/>
              </w:rPr>
              <w:t>uilding in the Use of Appropriate Technology Specific Technical and Scientific Information as a Solution for Identified Development Challenges, M</w:t>
            </w:r>
            <w:r>
              <w:rPr>
                <w:rFonts w:cs="Arial"/>
                <w:sz w:val="16"/>
                <w:szCs w:val="16"/>
              </w:rPr>
              <w:t>o</w:t>
            </w:r>
            <w:r w:rsidRPr="007861F3">
              <w:rPr>
                <w:rFonts w:cs="Arial"/>
                <w:sz w:val="16"/>
                <w:szCs w:val="16"/>
              </w:rPr>
              <w:t>U</w:t>
            </w:r>
            <w:r>
              <w:rPr>
                <w:rFonts w:cs="Arial"/>
                <w:sz w:val="16"/>
                <w:szCs w:val="16"/>
              </w:rPr>
              <w:t>s</w:t>
            </w:r>
            <w:r w:rsidRPr="007861F3">
              <w:rPr>
                <w:rFonts w:cs="Arial"/>
                <w:sz w:val="16"/>
                <w:szCs w:val="16"/>
              </w:rPr>
              <w:t xml:space="preserve"> </w:t>
            </w:r>
            <w:r>
              <w:rPr>
                <w:rFonts w:cs="Arial"/>
                <w:sz w:val="16"/>
                <w:szCs w:val="16"/>
              </w:rPr>
              <w:t>were</w:t>
            </w:r>
            <w:r w:rsidRPr="007861F3">
              <w:rPr>
                <w:rFonts w:cs="Arial"/>
                <w:sz w:val="16"/>
                <w:szCs w:val="16"/>
              </w:rPr>
              <w:t xml:space="preserve"> signed </w:t>
            </w:r>
            <w:r>
              <w:rPr>
                <w:rFonts w:cs="Arial"/>
                <w:sz w:val="16"/>
                <w:szCs w:val="16"/>
              </w:rPr>
              <w:t>with</w:t>
            </w:r>
            <w:r w:rsidRPr="007861F3">
              <w:rPr>
                <w:rFonts w:cs="Arial"/>
                <w:sz w:val="16"/>
                <w:szCs w:val="16"/>
              </w:rPr>
              <w:t xml:space="preserve"> </w:t>
            </w:r>
            <w:r>
              <w:rPr>
                <w:rFonts w:cs="Arial"/>
                <w:sz w:val="16"/>
                <w:szCs w:val="16"/>
              </w:rPr>
              <w:t>four</w:t>
            </w:r>
            <w:r w:rsidRPr="007861F3">
              <w:rPr>
                <w:rFonts w:cs="Arial"/>
                <w:sz w:val="16"/>
                <w:szCs w:val="16"/>
              </w:rPr>
              <w:t xml:space="preserve"> LDCs</w:t>
            </w:r>
            <w:r w:rsidRPr="0086647D">
              <w:rPr>
                <w:rFonts w:cs="Arial"/>
                <w:sz w:val="16"/>
                <w:szCs w:val="16"/>
              </w:rPr>
              <w:t xml:space="preserve"> </w:t>
            </w:r>
            <w:r>
              <w:rPr>
                <w:rFonts w:cs="Arial"/>
                <w:sz w:val="16"/>
                <w:szCs w:val="16"/>
              </w:rPr>
              <w:t xml:space="preserve">(Ethiopia, Rwanda, </w:t>
            </w:r>
            <w:r w:rsidRPr="0086647D">
              <w:rPr>
                <w:rFonts w:cs="Arial"/>
                <w:sz w:val="16"/>
                <w:szCs w:val="16"/>
              </w:rPr>
              <w:t>United Republic of Tanzania</w:t>
            </w:r>
            <w:r>
              <w:rPr>
                <w:rFonts w:cs="Arial"/>
                <w:sz w:val="16"/>
                <w:szCs w:val="16"/>
              </w:rPr>
              <w:t xml:space="preserve"> and Uganda</w:t>
            </w:r>
            <w:r w:rsidRPr="0086647D">
              <w:rPr>
                <w:rFonts w:cs="Arial"/>
                <w:sz w:val="16"/>
                <w:szCs w:val="16"/>
              </w:rPr>
              <w:t>)</w:t>
            </w:r>
            <w:r>
              <w:rPr>
                <w:rFonts w:cs="Arial"/>
                <w:sz w:val="16"/>
                <w:szCs w:val="16"/>
              </w:rPr>
              <w:t xml:space="preserve">, and by the end of 2015, </w:t>
            </w:r>
            <w:r w:rsidRPr="007861F3">
              <w:rPr>
                <w:rFonts w:cs="Arial"/>
                <w:sz w:val="16"/>
                <w:szCs w:val="16"/>
              </w:rPr>
              <w:t>implement</w:t>
            </w:r>
            <w:r>
              <w:rPr>
                <w:rFonts w:cs="Arial"/>
                <w:sz w:val="16"/>
                <w:szCs w:val="16"/>
              </w:rPr>
              <w:t>ation</w:t>
            </w:r>
            <w:r w:rsidRPr="007861F3">
              <w:rPr>
                <w:rFonts w:cs="Arial"/>
                <w:sz w:val="16"/>
                <w:szCs w:val="16"/>
              </w:rPr>
              <w:t xml:space="preserve"> of the project ha</w:t>
            </w:r>
            <w:r>
              <w:rPr>
                <w:rFonts w:cs="Arial"/>
                <w:sz w:val="16"/>
                <w:szCs w:val="16"/>
              </w:rPr>
              <w:t>d</w:t>
            </w:r>
            <w:r w:rsidRPr="007861F3">
              <w:rPr>
                <w:rFonts w:cs="Arial"/>
                <w:sz w:val="16"/>
                <w:szCs w:val="16"/>
              </w:rPr>
              <w:t xml:space="preserve"> beg</w:t>
            </w:r>
            <w:r>
              <w:rPr>
                <w:rFonts w:cs="Arial"/>
                <w:sz w:val="16"/>
                <w:szCs w:val="16"/>
              </w:rPr>
              <w:t>u</w:t>
            </w:r>
            <w:r w:rsidRPr="007861F3">
              <w:rPr>
                <w:rFonts w:cs="Arial"/>
                <w:sz w:val="16"/>
                <w:szCs w:val="16"/>
              </w:rPr>
              <w:t xml:space="preserve">n in </w:t>
            </w:r>
            <w:r>
              <w:rPr>
                <w:rFonts w:cs="Arial"/>
                <w:sz w:val="16"/>
                <w:szCs w:val="16"/>
              </w:rPr>
              <w:t>three</w:t>
            </w:r>
            <w:r w:rsidRPr="007861F3">
              <w:rPr>
                <w:rFonts w:cs="Arial"/>
                <w:sz w:val="16"/>
                <w:szCs w:val="16"/>
              </w:rPr>
              <w:t xml:space="preserve"> LDCs</w:t>
            </w:r>
            <w:r>
              <w:rPr>
                <w:rFonts w:cs="Arial"/>
                <w:sz w:val="16"/>
                <w:szCs w:val="16"/>
              </w:rPr>
              <w:t xml:space="preserve"> </w:t>
            </w:r>
            <w:r w:rsidRPr="0086647D">
              <w:rPr>
                <w:rFonts w:cs="Arial"/>
                <w:sz w:val="16"/>
                <w:szCs w:val="16"/>
              </w:rPr>
              <w:t>(Ethiopia, Rwanda, and United Republic of Tanzania)</w:t>
            </w:r>
            <w:r w:rsidRPr="007861F3">
              <w:rPr>
                <w:rFonts w:cs="Arial"/>
                <w:sz w:val="16"/>
                <w:szCs w:val="16"/>
              </w:rPr>
              <w:t xml:space="preserve">.   </w:t>
            </w:r>
          </w:p>
          <w:p w:rsidR="00D944AE" w:rsidRPr="007861F3" w:rsidRDefault="00D944AE" w:rsidP="00E3403E">
            <w:pPr>
              <w:keepNext/>
              <w:keepLines/>
              <w:rPr>
                <w:sz w:val="16"/>
                <w:szCs w:val="16"/>
                <w:lang w:bidi="th-TH"/>
              </w:rPr>
            </w:pPr>
            <w:r w:rsidRPr="007861F3">
              <w:rPr>
                <w:sz w:val="16"/>
                <w:szCs w:val="16"/>
                <w:lang w:bidi="th-TH"/>
              </w:rPr>
              <w:t xml:space="preserve"> </w:t>
            </w:r>
          </w:p>
        </w:tc>
        <w:tc>
          <w:tcPr>
            <w:tcW w:w="1262" w:type="dxa"/>
            <w:gridSpan w:val="2"/>
            <w:tcBorders>
              <w:top w:val="nil"/>
              <w:left w:val="nil"/>
              <w:bottom w:val="single" w:sz="4" w:space="0" w:color="auto"/>
              <w:right w:val="single" w:sz="4" w:space="0" w:color="auto"/>
            </w:tcBorders>
            <w:shd w:val="clear" w:color="auto" w:fill="auto"/>
            <w:tcMar>
              <w:top w:w="110" w:type="dxa"/>
            </w:tcMar>
          </w:tcPr>
          <w:p w:rsidR="00D944AE" w:rsidRPr="001761D1" w:rsidRDefault="00D944AE" w:rsidP="00E3403E">
            <w:pPr>
              <w:keepNext/>
              <w:keepLines/>
              <w:jc w:val="center"/>
              <w:rPr>
                <w:b/>
                <w:bCs/>
                <w:color w:val="00B050"/>
                <w:sz w:val="16"/>
                <w:szCs w:val="16"/>
              </w:rPr>
            </w:pPr>
            <w:r w:rsidRPr="001761D1">
              <w:rPr>
                <w:b/>
                <w:bCs/>
                <w:color w:val="00B050"/>
                <w:sz w:val="16"/>
                <w:szCs w:val="16"/>
              </w:rPr>
              <w:t xml:space="preserve">Fully </w:t>
            </w:r>
          </w:p>
          <w:p w:rsidR="00D944AE" w:rsidRPr="001761D1" w:rsidRDefault="00D944AE" w:rsidP="00E3403E">
            <w:pPr>
              <w:keepNext/>
              <w:keepLines/>
              <w:jc w:val="center"/>
              <w:rPr>
                <w:b/>
                <w:bCs/>
                <w:color w:val="00B050"/>
                <w:sz w:val="16"/>
                <w:szCs w:val="16"/>
              </w:rPr>
            </w:pPr>
            <w:r w:rsidRPr="001761D1">
              <w:rPr>
                <w:b/>
                <w:bCs/>
                <w:color w:val="00B050"/>
                <w:sz w:val="16"/>
                <w:szCs w:val="16"/>
              </w:rPr>
              <w:t>Achieved</w:t>
            </w:r>
          </w:p>
          <w:p w:rsidR="00D944AE" w:rsidRPr="001761D1" w:rsidRDefault="00D944AE" w:rsidP="00E3403E">
            <w:pPr>
              <w:keepNext/>
              <w:keepLines/>
              <w:jc w:val="center"/>
              <w:rPr>
                <w:b/>
                <w:bCs/>
                <w:color w:val="00B050"/>
                <w:sz w:val="16"/>
                <w:szCs w:val="16"/>
              </w:rPr>
            </w:pPr>
          </w:p>
          <w:p w:rsidR="00D944AE" w:rsidRPr="001761D1" w:rsidRDefault="00D944AE" w:rsidP="00E3403E">
            <w:pPr>
              <w:keepNext/>
              <w:keepLines/>
              <w:jc w:val="center"/>
              <w:rPr>
                <w:b/>
                <w:bCs/>
                <w:color w:val="00B050"/>
                <w:sz w:val="16"/>
                <w:szCs w:val="16"/>
              </w:rPr>
            </w:pPr>
          </w:p>
          <w:p w:rsidR="00D944AE" w:rsidRPr="001761D1" w:rsidRDefault="00D944AE" w:rsidP="00E3403E">
            <w:pPr>
              <w:keepNext/>
              <w:keepLines/>
              <w:jc w:val="center"/>
              <w:rPr>
                <w:b/>
                <w:bCs/>
                <w:color w:val="00B050"/>
                <w:sz w:val="16"/>
                <w:szCs w:val="16"/>
              </w:rPr>
            </w:pPr>
          </w:p>
          <w:p w:rsidR="00D944AE" w:rsidRPr="001761D1" w:rsidRDefault="00D944AE" w:rsidP="00E3403E">
            <w:pPr>
              <w:keepNext/>
              <w:keepLines/>
              <w:jc w:val="center"/>
              <w:rPr>
                <w:b/>
                <w:bCs/>
                <w:color w:val="00B050"/>
                <w:sz w:val="16"/>
                <w:szCs w:val="16"/>
              </w:rPr>
            </w:pPr>
          </w:p>
          <w:p w:rsidR="00D944AE" w:rsidRDefault="00D944AE" w:rsidP="00E3403E">
            <w:pPr>
              <w:keepNext/>
              <w:keepLines/>
              <w:jc w:val="center"/>
              <w:rPr>
                <w:b/>
                <w:bCs/>
                <w:color w:val="00B050"/>
                <w:sz w:val="16"/>
                <w:szCs w:val="16"/>
              </w:rPr>
            </w:pPr>
          </w:p>
          <w:p w:rsidR="00D944AE" w:rsidRDefault="00D944AE" w:rsidP="00E3403E">
            <w:pPr>
              <w:keepNext/>
              <w:keepLines/>
              <w:jc w:val="center"/>
              <w:rPr>
                <w:b/>
                <w:bCs/>
                <w:color w:val="00B050"/>
                <w:sz w:val="16"/>
                <w:szCs w:val="16"/>
              </w:rPr>
            </w:pPr>
          </w:p>
          <w:p w:rsidR="00D944AE" w:rsidRDefault="00D944AE" w:rsidP="00E3403E">
            <w:pPr>
              <w:keepNext/>
              <w:keepLines/>
              <w:jc w:val="center"/>
              <w:rPr>
                <w:b/>
                <w:bCs/>
                <w:color w:val="00B050"/>
                <w:sz w:val="16"/>
                <w:szCs w:val="16"/>
              </w:rPr>
            </w:pPr>
          </w:p>
          <w:p w:rsidR="00D944AE" w:rsidRDefault="00D944AE" w:rsidP="00E3403E">
            <w:pPr>
              <w:keepNext/>
              <w:keepLines/>
              <w:jc w:val="center"/>
              <w:rPr>
                <w:b/>
                <w:bCs/>
                <w:color w:val="00B050"/>
                <w:sz w:val="16"/>
                <w:szCs w:val="16"/>
              </w:rPr>
            </w:pPr>
          </w:p>
          <w:p w:rsidR="00D944AE" w:rsidRDefault="00D944AE" w:rsidP="00E3403E">
            <w:pPr>
              <w:keepNext/>
              <w:keepLines/>
              <w:rPr>
                <w:b/>
                <w:bCs/>
                <w:color w:val="00B050"/>
                <w:sz w:val="16"/>
                <w:szCs w:val="16"/>
              </w:rPr>
            </w:pPr>
          </w:p>
          <w:p w:rsidR="00D944AE" w:rsidRPr="001761D1" w:rsidRDefault="00D944AE" w:rsidP="00E3403E">
            <w:pPr>
              <w:keepNext/>
              <w:keepLines/>
              <w:jc w:val="center"/>
              <w:rPr>
                <w:b/>
                <w:bCs/>
                <w:color w:val="00B050"/>
                <w:sz w:val="16"/>
                <w:szCs w:val="16"/>
              </w:rPr>
            </w:pPr>
            <w:r w:rsidRPr="001761D1">
              <w:rPr>
                <w:b/>
                <w:bCs/>
                <w:color w:val="00B050"/>
                <w:sz w:val="16"/>
                <w:szCs w:val="16"/>
              </w:rPr>
              <w:t>Fully Achieved</w:t>
            </w:r>
          </w:p>
          <w:p w:rsidR="00D944AE" w:rsidRPr="007861F3" w:rsidRDefault="00D944AE" w:rsidP="00E3403E">
            <w:pPr>
              <w:keepNext/>
              <w:keepLines/>
              <w:jc w:val="center"/>
              <w:rPr>
                <w:b/>
                <w:bCs/>
                <w:sz w:val="16"/>
                <w:szCs w:val="16"/>
              </w:rPr>
            </w:pPr>
          </w:p>
          <w:p w:rsidR="00D944AE" w:rsidRPr="007861F3" w:rsidRDefault="00D944AE" w:rsidP="00E3403E">
            <w:pPr>
              <w:keepNext/>
              <w:keepLines/>
              <w:jc w:val="center"/>
              <w:rPr>
                <w:b/>
                <w:bCs/>
                <w:sz w:val="16"/>
                <w:szCs w:val="16"/>
              </w:rPr>
            </w:pPr>
          </w:p>
          <w:p w:rsidR="00D944AE" w:rsidRDefault="00D944AE" w:rsidP="00E3403E">
            <w:pPr>
              <w:keepNext/>
              <w:keepLines/>
              <w:jc w:val="center"/>
              <w:rPr>
                <w:b/>
                <w:bCs/>
                <w:sz w:val="16"/>
                <w:szCs w:val="16"/>
              </w:rPr>
            </w:pPr>
          </w:p>
          <w:p w:rsidR="00D944AE" w:rsidRDefault="00D944AE" w:rsidP="00E3403E">
            <w:pPr>
              <w:keepNext/>
              <w:keepLines/>
              <w:jc w:val="center"/>
              <w:rPr>
                <w:b/>
                <w:bCs/>
                <w:color w:val="E36C0A" w:themeColor="accent6" w:themeShade="BF"/>
                <w:sz w:val="16"/>
                <w:szCs w:val="16"/>
              </w:rPr>
            </w:pPr>
          </w:p>
          <w:p w:rsidR="00D944AE" w:rsidRDefault="00674EDC" w:rsidP="00E3403E">
            <w:pPr>
              <w:keepNext/>
              <w:keepLines/>
              <w:jc w:val="center"/>
              <w:rPr>
                <w:b/>
                <w:bCs/>
                <w:color w:val="00B050"/>
                <w:sz w:val="16"/>
                <w:szCs w:val="16"/>
              </w:rPr>
            </w:pPr>
            <w:r w:rsidRPr="007D1787">
              <w:rPr>
                <w:b/>
                <w:bCs/>
                <w:color w:val="FF0000"/>
                <w:sz w:val="16"/>
                <w:szCs w:val="16"/>
              </w:rPr>
              <w:t>Not Achieved</w:t>
            </w:r>
          </w:p>
          <w:p w:rsidR="00D944AE" w:rsidRDefault="00D944AE" w:rsidP="00E3403E">
            <w:pPr>
              <w:keepNext/>
              <w:keepLines/>
              <w:jc w:val="center"/>
              <w:rPr>
                <w:b/>
                <w:bCs/>
                <w:color w:val="00B050"/>
                <w:sz w:val="16"/>
                <w:szCs w:val="16"/>
              </w:rPr>
            </w:pPr>
          </w:p>
          <w:p w:rsidR="00D944AE" w:rsidRDefault="00D944AE" w:rsidP="00E3403E">
            <w:pPr>
              <w:keepNext/>
              <w:keepLines/>
              <w:jc w:val="center"/>
              <w:rPr>
                <w:b/>
                <w:bCs/>
                <w:color w:val="00B050"/>
                <w:sz w:val="16"/>
                <w:szCs w:val="16"/>
              </w:rPr>
            </w:pPr>
          </w:p>
          <w:p w:rsidR="00D944AE" w:rsidRDefault="00D944AE" w:rsidP="00E3403E">
            <w:pPr>
              <w:keepNext/>
              <w:keepLines/>
              <w:jc w:val="center"/>
              <w:rPr>
                <w:b/>
                <w:bCs/>
                <w:color w:val="00B050"/>
                <w:sz w:val="16"/>
                <w:szCs w:val="16"/>
              </w:rPr>
            </w:pPr>
          </w:p>
          <w:p w:rsidR="00D944AE" w:rsidRPr="001761D1" w:rsidRDefault="00D944AE" w:rsidP="00E3403E">
            <w:pPr>
              <w:keepNext/>
              <w:keepLines/>
              <w:jc w:val="center"/>
              <w:rPr>
                <w:b/>
                <w:bCs/>
                <w:color w:val="00B050"/>
                <w:sz w:val="16"/>
                <w:szCs w:val="16"/>
              </w:rPr>
            </w:pPr>
          </w:p>
          <w:p w:rsidR="00D944AE" w:rsidRDefault="00D944AE" w:rsidP="00E3403E">
            <w:pPr>
              <w:keepNext/>
              <w:keepLines/>
              <w:jc w:val="center"/>
              <w:rPr>
                <w:b/>
                <w:bCs/>
                <w:color w:val="00B050"/>
                <w:sz w:val="16"/>
                <w:szCs w:val="16"/>
              </w:rPr>
            </w:pPr>
            <w:r w:rsidRPr="001761D1">
              <w:rPr>
                <w:b/>
                <w:bCs/>
                <w:color w:val="00B050"/>
                <w:sz w:val="16"/>
                <w:szCs w:val="16"/>
              </w:rPr>
              <w:t>Fully Achieved</w:t>
            </w:r>
          </w:p>
          <w:p w:rsidR="00D944AE" w:rsidRDefault="00D944AE" w:rsidP="00E3403E">
            <w:pPr>
              <w:keepNext/>
              <w:keepLines/>
              <w:jc w:val="center"/>
              <w:rPr>
                <w:b/>
                <w:bCs/>
                <w:color w:val="00B050"/>
                <w:sz w:val="16"/>
                <w:szCs w:val="16"/>
              </w:rPr>
            </w:pPr>
          </w:p>
          <w:p w:rsidR="00D944AE" w:rsidRDefault="00D944AE" w:rsidP="00E3403E">
            <w:pPr>
              <w:keepNext/>
              <w:keepLines/>
              <w:jc w:val="center"/>
              <w:rPr>
                <w:b/>
                <w:bCs/>
                <w:color w:val="00B050"/>
                <w:sz w:val="16"/>
                <w:szCs w:val="16"/>
              </w:rPr>
            </w:pPr>
          </w:p>
          <w:p w:rsidR="00D944AE" w:rsidRDefault="00D944AE" w:rsidP="00E3403E">
            <w:pPr>
              <w:keepNext/>
              <w:keepLines/>
              <w:jc w:val="center"/>
              <w:rPr>
                <w:b/>
                <w:bCs/>
                <w:color w:val="00B050"/>
                <w:sz w:val="16"/>
                <w:szCs w:val="16"/>
              </w:rPr>
            </w:pPr>
            <w:r w:rsidRPr="001761D1">
              <w:rPr>
                <w:b/>
                <w:bCs/>
                <w:color w:val="00B050"/>
                <w:sz w:val="16"/>
                <w:szCs w:val="16"/>
              </w:rPr>
              <w:t>Fully Achieved</w:t>
            </w:r>
          </w:p>
          <w:p w:rsidR="00D944AE" w:rsidRDefault="00D944AE" w:rsidP="00E3403E">
            <w:pPr>
              <w:keepNext/>
              <w:keepLines/>
              <w:jc w:val="center"/>
              <w:rPr>
                <w:b/>
                <w:bCs/>
                <w:color w:val="00B050"/>
                <w:sz w:val="16"/>
                <w:szCs w:val="16"/>
              </w:rPr>
            </w:pPr>
          </w:p>
          <w:p w:rsidR="00D944AE" w:rsidRDefault="00D944AE" w:rsidP="00E3403E">
            <w:pPr>
              <w:keepNext/>
              <w:keepLines/>
              <w:jc w:val="center"/>
              <w:rPr>
                <w:b/>
                <w:bCs/>
                <w:color w:val="00B050"/>
                <w:sz w:val="16"/>
                <w:szCs w:val="16"/>
              </w:rPr>
            </w:pPr>
          </w:p>
          <w:p w:rsidR="00D944AE" w:rsidRPr="007861F3" w:rsidRDefault="00D944AE" w:rsidP="00E3403E">
            <w:pPr>
              <w:keepNext/>
              <w:keepLines/>
              <w:jc w:val="center"/>
              <w:rPr>
                <w:b/>
                <w:bCs/>
                <w:sz w:val="16"/>
                <w:szCs w:val="16"/>
              </w:rPr>
            </w:pPr>
            <w:r w:rsidRPr="001761D1">
              <w:rPr>
                <w:b/>
                <w:bCs/>
                <w:color w:val="00B050"/>
                <w:sz w:val="16"/>
                <w:szCs w:val="16"/>
              </w:rPr>
              <w:t>Fully Achieved</w:t>
            </w:r>
          </w:p>
        </w:tc>
      </w:tr>
    </w:tbl>
    <w:p w:rsidR="00D944AE" w:rsidRDefault="00D944AE">
      <w:r>
        <w:br w:type="page"/>
      </w:r>
    </w:p>
    <w:tbl>
      <w:tblPr>
        <w:tblW w:w="9498"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125"/>
        <w:gridCol w:w="1749"/>
        <w:gridCol w:w="238"/>
        <w:gridCol w:w="1559"/>
        <w:gridCol w:w="2551"/>
        <w:gridCol w:w="1276"/>
      </w:tblGrid>
      <w:tr w:rsidR="00D944AE" w:rsidRPr="007861F3" w:rsidTr="00E3403E">
        <w:tc>
          <w:tcPr>
            <w:tcW w:w="9498" w:type="dxa"/>
            <w:gridSpan w:val="6"/>
            <w:tcBorders>
              <w:top w:val="single" w:sz="4" w:space="0" w:color="auto"/>
              <w:bottom w:val="single" w:sz="4" w:space="0" w:color="auto"/>
            </w:tcBorders>
            <w:shd w:val="clear" w:color="auto" w:fill="C6D9F1" w:themeFill="text2" w:themeFillTint="33"/>
          </w:tcPr>
          <w:p w:rsidR="00D944AE" w:rsidRPr="007861F3" w:rsidRDefault="00D944AE" w:rsidP="00E3403E">
            <w:pPr>
              <w:keepNext/>
              <w:keepLines/>
              <w:tabs>
                <w:tab w:val="left" w:pos="1452"/>
              </w:tabs>
              <w:spacing w:before="120" w:after="120"/>
              <w:ind w:left="1452" w:hanging="1452"/>
              <w:rPr>
                <w:b/>
                <w:bCs/>
                <w:sz w:val="16"/>
                <w:szCs w:val="16"/>
              </w:rPr>
            </w:pPr>
            <w:r w:rsidRPr="007861F3">
              <w:lastRenderedPageBreak/>
              <w:br w:type="page"/>
            </w:r>
            <w:r w:rsidRPr="007861F3">
              <w:rPr>
                <w:b/>
                <w:bCs/>
                <w:sz w:val="16"/>
                <w:szCs w:val="16"/>
              </w:rPr>
              <w:t xml:space="preserve">Expected Result:    </w:t>
            </w:r>
            <w:r w:rsidRPr="007861F3">
              <w:rPr>
                <w:bCs/>
                <w:sz w:val="16"/>
                <w:szCs w:val="16"/>
              </w:rPr>
              <w:t>IV.2 Enhanced access to, and use of, IP information by IP institutions and the public to promote innovation and creativity</w:t>
            </w:r>
          </w:p>
        </w:tc>
      </w:tr>
      <w:tr w:rsidR="00D944AE" w:rsidRPr="007861F3" w:rsidTr="00E3403E">
        <w:trPr>
          <w:trHeight w:val="368"/>
        </w:trPr>
        <w:tc>
          <w:tcPr>
            <w:tcW w:w="2125" w:type="dxa"/>
            <w:tcBorders>
              <w:top w:val="single" w:sz="4" w:space="0" w:color="auto"/>
              <w:left w:val="single" w:sz="4" w:space="0" w:color="auto"/>
              <w:bottom w:val="nil"/>
              <w:right w:val="nil"/>
            </w:tcBorders>
            <w:shd w:val="clear" w:color="auto" w:fill="auto"/>
            <w:vAlign w:val="center"/>
          </w:tcPr>
          <w:p w:rsidR="00D944AE" w:rsidRPr="007861F3" w:rsidRDefault="00D944AE" w:rsidP="00E3403E">
            <w:pPr>
              <w:spacing w:after="40"/>
              <w:rPr>
                <w:sz w:val="16"/>
                <w:szCs w:val="16"/>
              </w:rPr>
            </w:pPr>
            <w:r w:rsidRPr="007861F3">
              <w:rPr>
                <w:b/>
                <w:bCs/>
                <w:sz w:val="16"/>
                <w:szCs w:val="16"/>
              </w:rPr>
              <w:t>Performance Indicators</w:t>
            </w:r>
          </w:p>
        </w:tc>
        <w:tc>
          <w:tcPr>
            <w:tcW w:w="1987" w:type="dxa"/>
            <w:gridSpan w:val="2"/>
            <w:tcBorders>
              <w:top w:val="single" w:sz="4" w:space="0" w:color="auto"/>
              <w:left w:val="nil"/>
              <w:bottom w:val="nil"/>
              <w:right w:val="nil"/>
            </w:tcBorders>
            <w:shd w:val="clear" w:color="auto" w:fill="auto"/>
            <w:vAlign w:val="center"/>
          </w:tcPr>
          <w:p w:rsidR="00D944AE" w:rsidRPr="007861F3" w:rsidRDefault="00D944AE" w:rsidP="00E3403E">
            <w:pPr>
              <w:spacing w:after="40"/>
              <w:rPr>
                <w:b/>
                <w:bCs/>
                <w:sz w:val="16"/>
                <w:szCs w:val="16"/>
              </w:rPr>
            </w:pPr>
            <w:r w:rsidRPr="007861F3">
              <w:rPr>
                <w:b/>
                <w:bCs/>
                <w:sz w:val="16"/>
                <w:szCs w:val="16"/>
              </w:rPr>
              <w:t>Baselines</w:t>
            </w:r>
          </w:p>
        </w:tc>
        <w:tc>
          <w:tcPr>
            <w:tcW w:w="1559" w:type="dxa"/>
            <w:tcBorders>
              <w:top w:val="single" w:sz="4" w:space="0" w:color="auto"/>
              <w:left w:val="nil"/>
              <w:bottom w:val="nil"/>
              <w:right w:val="nil"/>
            </w:tcBorders>
            <w:shd w:val="clear" w:color="auto" w:fill="auto"/>
            <w:vAlign w:val="center"/>
          </w:tcPr>
          <w:p w:rsidR="00D944AE" w:rsidRPr="007861F3" w:rsidRDefault="00D944AE" w:rsidP="00E3403E">
            <w:pPr>
              <w:spacing w:after="40"/>
              <w:rPr>
                <w:b/>
                <w:sz w:val="16"/>
                <w:szCs w:val="16"/>
              </w:rPr>
            </w:pPr>
            <w:r w:rsidRPr="007861F3">
              <w:rPr>
                <w:b/>
                <w:sz w:val="16"/>
                <w:szCs w:val="16"/>
              </w:rPr>
              <w:t>Targets</w:t>
            </w:r>
          </w:p>
        </w:tc>
        <w:tc>
          <w:tcPr>
            <w:tcW w:w="2551" w:type="dxa"/>
            <w:tcBorders>
              <w:top w:val="single" w:sz="4" w:space="0" w:color="auto"/>
              <w:left w:val="nil"/>
              <w:bottom w:val="nil"/>
              <w:right w:val="nil"/>
            </w:tcBorders>
            <w:shd w:val="clear" w:color="auto" w:fill="auto"/>
            <w:vAlign w:val="center"/>
          </w:tcPr>
          <w:p w:rsidR="00D944AE" w:rsidRPr="007861F3" w:rsidRDefault="00D944AE" w:rsidP="00E3403E">
            <w:pPr>
              <w:spacing w:after="40"/>
              <w:rPr>
                <w:sz w:val="16"/>
                <w:szCs w:val="16"/>
              </w:rPr>
            </w:pPr>
            <w:r w:rsidRPr="007861F3">
              <w:rPr>
                <w:b/>
                <w:bCs/>
                <w:sz w:val="16"/>
                <w:szCs w:val="16"/>
              </w:rPr>
              <w:t>Performance Data</w:t>
            </w:r>
          </w:p>
        </w:tc>
        <w:tc>
          <w:tcPr>
            <w:tcW w:w="1276" w:type="dxa"/>
            <w:tcBorders>
              <w:top w:val="single" w:sz="4" w:space="0" w:color="auto"/>
              <w:left w:val="nil"/>
              <w:bottom w:val="nil"/>
              <w:right w:val="single" w:sz="4" w:space="0" w:color="auto"/>
            </w:tcBorders>
            <w:shd w:val="clear" w:color="auto" w:fill="auto"/>
            <w:vAlign w:val="center"/>
          </w:tcPr>
          <w:p w:rsidR="00D944AE" w:rsidRPr="007861F3" w:rsidRDefault="00D944AE" w:rsidP="00E3403E">
            <w:pPr>
              <w:keepNext/>
              <w:keepLines/>
              <w:spacing w:after="40"/>
              <w:jc w:val="center"/>
              <w:rPr>
                <w:b/>
                <w:bCs/>
                <w:sz w:val="16"/>
                <w:szCs w:val="16"/>
              </w:rPr>
            </w:pPr>
            <w:r w:rsidRPr="007861F3">
              <w:rPr>
                <w:b/>
                <w:bCs/>
                <w:sz w:val="16"/>
                <w:szCs w:val="16"/>
              </w:rPr>
              <w:t>TLS</w:t>
            </w:r>
          </w:p>
        </w:tc>
      </w:tr>
      <w:tr w:rsidR="00D944AE" w:rsidRPr="007861F3" w:rsidTr="00E3403E">
        <w:tc>
          <w:tcPr>
            <w:tcW w:w="2125" w:type="dxa"/>
            <w:tcBorders>
              <w:top w:val="nil"/>
              <w:left w:val="single" w:sz="4" w:space="0" w:color="auto"/>
              <w:bottom w:val="nil"/>
              <w:right w:val="nil"/>
            </w:tcBorders>
            <w:shd w:val="clear" w:color="auto" w:fill="FFFFFF"/>
          </w:tcPr>
          <w:p w:rsidR="00D944AE" w:rsidRPr="007861F3" w:rsidRDefault="00D944AE" w:rsidP="00E3403E">
            <w:pPr>
              <w:rPr>
                <w:sz w:val="16"/>
                <w:szCs w:val="16"/>
                <w:lang w:bidi="th-TH"/>
              </w:rPr>
            </w:pPr>
            <w:r w:rsidRPr="007861F3">
              <w:rPr>
                <w:sz w:val="16"/>
                <w:szCs w:val="16"/>
                <w:lang w:bidi="th-TH"/>
              </w:rPr>
              <w:t>No. of sustainable national TISC networks</w:t>
            </w:r>
          </w:p>
        </w:tc>
        <w:tc>
          <w:tcPr>
            <w:tcW w:w="1987" w:type="dxa"/>
            <w:gridSpan w:val="2"/>
            <w:tcBorders>
              <w:top w:val="nil"/>
              <w:left w:val="nil"/>
              <w:bottom w:val="nil"/>
              <w:right w:val="nil"/>
            </w:tcBorders>
            <w:shd w:val="clear" w:color="auto" w:fill="auto"/>
          </w:tcPr>
          <w:p w:rsidR="00D944AE" w:rsidRPr="007861F3" w:rsidRDefault="00D944AE" w:rsidP="00E3403E">
            <w:pPr>
              <w:rPr>
                <w:sz w:val="16"/>
                <w:szCs w:val="16"/>
              </w:rPr>
            </w:pPr>
            <w:r w:rsidRPr="007861F3">
              <w:rPr>
                <w:i/>
                <w:sz w:val="16"/>
                <w:szCs w:val="16"/>
              </w:rPr>
              <w:t xml:space="preserve">Updated Baseline end 2013:  </w:t>
            </w:r>
            <w:r w:rsidRPr="007861F3">
              <w:rPr>
                <w:sz w:val="16"/>
                <w:szCs w:val="16"/>
              </w:rPr>
              <w:t>14 sustainable (out of 36 established) TISC networks</w:t>
            </w:r>
          </w:p>
          <w:p w:rsidR="00D944AE" w:rsidRPr="007861F3" w:rsidRDefault="00D944AE" w:rsidP="00E3403E">
            <w:pPr>
              <w:rPr>
                <w:i/>
                <w:sz w:val="16"/>
                <w:szCs w:val="16"/>
              </w:rPr>
            </w:pPr>
          </w:p>
          <w:p w:rsidR="00D944AE" w:rsidRPr="007861F3" w:rsidRDefault="00D944AE" w:rsidP="00E3403E">
            <w:pPr>
              <w:rPr>
                <w:i/>
                <w:sz w:val="16"/>
                <w:szCs w:val="16"/>
                <w:lang w:bidi="th-TH"/>
              </w:rPr>
            </w:pPr>
            <w:r w:rsidRPr="007861F3">
              <w:rPr>
                <w:i/>
                <w:sz w:val="16"/>
                <w:szCs w:val="16"/>
                <w:lang w:bidi="th-TH"/>
              </w:rPr>
              <w:t xml:space="preserve">Original Baseline P&amp;B 2014/15: </w:t>
            </w:r>
          </w:p>
          <w:p w:rsidR="00D944AE" w:rsidRPr="007861F3" w:rsidRDefault="00D944AE" w:rsidP="00E3403E">
            <w:pPr>
              <w:rPr>
                <w:i/>
                <w:sz w:val="16"/>
                <w:szCs w:val="16"/>
                <w:lang w:bidi="th-TH"/>
              </w:rPr>
            </w:pPr>
            <w:r w:rsidRPr="007861F3">
              <w:rPr>
                <w:i/>
                <w:sz w:val="16"/>
                <w:szCs w:val="16"/>
                <w:lang w:bidi="th-TH"/>
              </w:rPr>
              <w:t>14 national TISC networks:</w:t>
            </w:r>
          </w:p>
          <w:p w:rsidR="00D944AE" w:rsidRPr="007861F3" w:rsidRDefault="00D944AE" w:rsidP="00E3403E">
            <w:pPr>
              <w:rPr>
                <w:sz w:val="16"/>
                <w:szCs w:val="16"/>
                <w:lang w:bidi="th-TH"/>
              </w:rPr>
            </w:pPr>
            <w:r w:rsidRPr="007861F3">
              <w:rPr>
                <w:sz w:val="16"/>
                <w:szCs w:val="16"/>
                <w:lang w:bidi="th-TH"/>
              </w:rPr>
              <w:t>Africa (6)</w:t>
            </w:r>
          </w:p>
          <w:p w:rsidR="00D944AE" w:rsidRPr="007861F3" w:rsidRDefault="00D944AE" w:rsidP="00E3403E">
            <w:pPr>
              <w:rPr>
                <w:sz w:val="16"/>
                <w:szCs w:val="16"/>
                <w:lang w:bidi="th-TH"/>
              </w:rPr>
            </w:pPr>
            <w:r w:rsidRPr="007861F3">
              <w:rPr>
                <w:sz w:val="16"/>
                <w:szCs w:val="16"/>
                <w:lang w:bidi="th-TH"/>
              </w:rPr>
              <w:t>Arab (2)</w:t>
            </w:r>
          </w:p>
          <w:p w:rsidR="00D944AE" w:rsidRPr="007861F3" w:rsidRDefault="00D944AE" w:rsidP="00E3403E">
            <w:pPr>
              <w:rPr>
                <w:sz w:val="16"/>
                <w:szCs w:val="16"/>
                <w:lang w:bidi="th-TH"/>
              </w:rPr>
            </w:pPr>
            <w:r w:rsidRPr="007861F3">
              <w:rPr>
                <w:sz w:val="16"/>
                <w:szCs w:val="16"/>
                <w:lang w:bidi="th-TH"/>
              </w:rPr>
              <w:t>Asia and the Pacific (2)</w:t>
            </w:r>
          </w:p>
          <w:p w:rsidR="00D944AE" w:rsidRPr="007861F3" w:rsidRDefault="00D944AE" w:rsidP="00E3403E">
            <w:pPr>
              <w:rPr>
                <w:sz w:val="16"/>
                <w:szCs w:val="16"/>
                <w:lang w:bidi="th-TH"/>
              </w:rPr>
            </w:pPr>
            <w:r w:rsidRPr="007861F3">
              <w:rPr>
                <w:sz w:val="16"/>
                <w:szCs w:val="16"/>
                <w:lang w:bidi="th-TH"/>
              </w:rPr>
              <w:t>Latin America and the Caribbean (4)</w:t>
            </w:r>
          </w:p>
          <w:p w:rsidR="00D944AE" w:rsidRDefault="00D944AE" w:rsidP="00E3403E">
            <w:pPr>
              <w:rPr>
                <w:sz w:val="16"/>
                <w:szCs w:val="16"/>
                <w:lang w:bidi="th-TH"/>
              </w:rPr>
            </w:pPr>
          </w:p>
          <w:p w:rsidR="00D944AE" w:rsidRPr="007861F3" w:rsidRDefault="00D944AE" w:rsidP="00E3403E">
            <w:pPr>
              <w:rPr>
                <w:sz w:val="16"/>
                <w:szCs w:val="16"/>
                <w:lang w:bidi="th-TH"/>
              </w:rPr>
            </w:pPr>
            <w:r w:rsidRPr="007861F3">
              <w:rPr>
                <w:sz w:val="16"/>
                <w:szCs w:val="16"/>
                <w:lang w:bidi="th-TH"/>
              </w:rPr>
              <w:t>6 LDCs included in the above regional breakdown</w:t>
            </w:r>
          </w:p>
          <w:p w:rsidR="00D944AE" w:rsidRPr="007861F3" w:rsidRDefault="00D944AE" w:rsidP="00E3403E">
            <w:pPr>
              <w:rPr>
                <w:i/>
                <w:sz w:val="16"/>
                <w:szCs w:val="16"/>
              </w:rPr>
            </w:pPr>
          </w:p>
        </w:tc>
        <w:tc>
          <w:tcPr>
            <w:tcW w:w="1559" w:type="dxa"/>
            <w:tcBorders>
              <w:top w:val="nil"/>
              <w:left w:val="nil"/>
              <w:bottom w:val="nil"/>
              <w:right w:val="nil"/>
            </w:tcBorders>
            <w:shd w:val="clear" w:color="auto" w:fill="auto"/>
            <w:tcMar>
              <w:top w:w="110" w:type="dxa"/>
            </w:tcMar>
          </w:tcPr>
          <w:p w:rsidR="00D944AE" w:rsidRPr="007861F3" w:rsidRDefault="00D944AE" w:rsidP="00E3403E">
            <w:pPr>
              <w:rPr>
                <w:sz w:val="16"/>
                <w:szCs w:val="16"/>
                <w:lang w:bidi="th-TH"/>
              </w:rPr>
            </w:pPr>
            <w:r w:rsidRPr="007861F3">
              <w:rPr>
                <w:sz w:val="16"/>
                <w:szCs w:val="16"/>
                <w:lang w:bidi="th-TH"/>
              </w:rPr>
              <w:t>23 national TISC networks (cumulative):</w:t>
            </w:r>
          </w:p>
          <w:p w:rsidR="00D944AE" w:rsidRDefault="00D944AE" w:rsidP="00E3403E">
            <w:pPr>
              <w:rPr>
                <w:sz w:val="16"/>
                <w:szCs w:val="16"/>
                <w:lang w:bidi="th-TH"/>
              </w:rPr>
            </w:pPr>
          </w:p>
          <w:p w:rsidR="00D944AE" w:rsidRPr="007861F3" w:rsidRDefault="00D944AE" w:rsidP="00E3403E">
            <w:pPr>
              <w:rPr>
                <w:sz w:val="16"/>
                <w:szCs w:val="16"/>
                <w:lang w:bidi="th-TH"/>
              </w:rPr>
            </w:pPr>
            <w:r w:rsidRPr="007861F3">
              <w:rPr>
                <w:sz w:val="16"/>
                <w:szCs w:val="16"/>
                <w:lang w:bidi="th-TH"/>
              </w:rPr>
              <w:t>Africa (10 of which 8 LDCs)</w:t>
            </w:r>
          </w:p>
          <w:p w:rsidR="00D944AE" w:rsidRPr="007861F3" w:rsidRDefault="00D944AE" w:rsidP="00E3403E">
            <w:pPr>
              <w:rPr>
                <w:sz w:val="16"/>
                <w:szCs w:val="16"/>
                <w:lang w:bidi="th-TH"/>
              </w:rPr>
            </w:pPr>
          </w:p>
          <w:p w:rsidR="00D944AE" w:rsidRPr="007861F3" w:rsidRDefault="00D944AE" w:rsidP="00E3403E">
            <w:pPr>
              <w:rPr>
                <w:sz w:val="16"/>
                <w:szCs w:val="16"/>
                <w:lang w:bidi="th-TH"/>
              </w:rPr>
            </w:pPr>
            <w:r w:rsidRPr="007861F3">
              <w:rPr>
                <w:sz w:val="16"/>
                <w:szCs w:val="16"/>
                <w:lang w:bidi="th-TH"/>
              </w:rPr>
              <w:t xml:space="preserve">Arab (3) </w:t>
            </w:r>
          </w:p>
          <w:p w:rsidR="00D944AE" w:rsidRDefault="00D944AE" w:rsidP="00E3403E">
            <w:pPr>
              <w:rPr>
                <w:sz w:val="16"/>
                <w:szCs w:val="16"/>
                <w:lang w:bidi="th-TH"/>
              </w:rPr>
            </w:pPr>
          </w:p>
          <w:p w:rsidR="00D944AE" w:rsidRPr="007861F3" w:rsidRDefault="00D944AE" w:rsidP="00E3403E">
            <w:pPr>
              <w:rPr>
                <w:sz w:val="16"/>
                <w:szCs w:val="16"/>
                <w:lang w:bidi="th-TH"/>
              </w:rPr>
            </w:pPr>
          </w:p>
          <w:p w:rsidR="00D944AE" w:rsidRPr="007861F3" w:rsidRDefault="00D944AE" w:rsidP="00E3403E">
            <w:pPr>
              <w:rPr>
                <w:sz w:val="16"/>
                <w:szCs w:val="16"/>
                <w:lang w:bidi="th-TH"/>
              </w:rPr>
            </w:pPr>
            <w:r w:rsidRPr="007861F3">
              <w:rPr>
                <w:sz w:val="16"/>
                <w:szCs w:val="16"/>
                <w:lang w:bidi="th-TH"/>
              </w:rPr>
              <w:t>Asia and the Pacific (4 of which 2 LDCs)</w:t>
            </w:r>
          </w:p>
          <w:p w:rsidR="00D944AE" w:rsidRPr="007861F3" w:rsidRDefault="00D944AE" w:rsidP="00E3403E">
            <w:pPr>
              <w:rPr>
                <w:sz w:val="16"/>
                <w:szCs w:val="16"/>
                <w:lang w:bidi="th-TH"/>
              </w:rPr>
            </w:pPr>
          </w:p>
          <w:p w:rsidR="00D944AE" w:rsidRPr="007861F3" w:rsidRDefault="00D944AE" w:rsidP="00E3403E">
            <w:pPr>
              <w:rPr>
                <w:sz w:val="16"/>
                <w:szCs w:val="16"/>
                <w:lang w:bidi="th-TH"/>
              </w:rPr>
            </w:pPr>
            <w:r w:rsidRPr="007861F3">
              <w:rPr>
                <w:sz w:val="16"/>
                <w:szCs w:val="16"/>
                <w:lang w:bidi="th-TH"/>
              </w:rPr>
              <w:t>Latin America and the Caribbean (6)</w:t>
            </w:r>
          </w:p>
          <w:p w:rsidR="00D944AE" w:rsidRPr="007861F3" w:rsidRDefault="00D944AE" w:rsidP="00E3403E">
            <w:pPr>
              <w:rPr>
                <w:sz w:val="16"/>
                <w:szCs w:val="16"/>
                <w:lang w:bidi="th-TH"/>
              </w:rPr>
            </w:pPr>
          </w:p>
          <w:p w:rsidR="00D944AE" w:rsidRPr="007861F3" w:rsidRDefault="00D944AE" w:rsidP="00E3403E">
            <w:pPr>
              <w:rPr>
                <w:sz w:val="16"/>
                <w:szCs w:val="16"/>
                <w:lang w:bidi="th-TH"/>
              </w:rPr>
            </w:pPr>
          </w:p>
        </w:tc>
        <w:tc>
          <w:tcPr>
            <w:tcW w:w="2551" w:type="dxa"/>
            <w:tcBorders>
              <w:top w:val="nil"/>
              <w:left w:val="nil"/>
              <w:bottom w:val="nil"/>
              <w:right w:val="nil"/>
            </w:tcBorders>
            <w:shd w:val="clear" w:color="auto" w:fill="FFFFFF"/>
            <w:tcMar>
              <w:top w:w="110" w:type="dxa"/>
            </w:tcMar>
          </w:tcPr>
          <w:p w:rsidR="00D944AE" w:rsidRDefault="00D944AE" w:rsidP="00E3403E">
            <w:pPr>
              <w:rPr>
                <w:rFonts w:cs="Arial"/>
                <w:sz w:val="16"/>
                <w:szCs w:val="16"/>
              </w:rPr>
            </w:pPr>
            <w:r>
              <w:rPr>
                <w:rFonts w:cs="Arial"/>
                <w:sz w:val="16"/>
                <w:szCs w:val="16"/>
              </w:rPr>
              <w:t xml:space="preserve">24 sustainable national networks out of 49 formally established (cumulative):  </w:t>
            </w:r>
          </w:p>
          <w:p w:rsidR="00D944AE" w:rsidRDefault="00D944AE" w:rsidP="00E3403E">
            <w:pPr>
              <w:rPr>
                <w:rFonts w:cs="Arial"/>
                <w:sz w:val="16"/>
                <w:szCs w:val="16"/>
              </w:rPr>
            </w:pPr>
          </w:p>
          <w:p w:rsidR="00D944AE" w:rsidRDefault="00D944AE" w:rsidP="00E3403E">
            <w:pPr>
              <w:rPr>
                <w:rFonts w:cs="Arial"/>
                <w:sz w:val="16"/>
                <w:szCs w:val="16"/>
              </w:rPr>
            </w:pPr>
            <w:r>
              <w:rPr>
                <w:rFonts w:cs="Arial"/>
                <w:sz w:val="16"/>
                <w:szCs w:val="16"/>
              </w:rPr>
              <w:t xml:space="preserve">Africa (10 of which 8 LDCs)  </w:t>
            </w:r>
          </w:p>
          <w:p w:rsidR="00D944AE" w:rsidRDefault="00D944AE" w:rsidP="00E3403E">
            <w:pPr>
              <w:rPr>
                <w:rFonts w:cs="Arial"/>
                <w:sz w:val="16"/>
                <w:szCs w:val="16"/>
              </w:rPr>
            </w:pPr>
          </w:p>
          <w:p w:rsidR="00D944AE" w:rsidRDefault="00D944AE" w:rsidP="00E3403E">
            <w:pPr>
              <w:rPr>
                <w:rFonts w:cs="Arial"/>
                <w:sz w:val="16"/>
                <w:szCs w:val="16"/>
              </w:rPr>
            </w:pPr>
          </w:p>
          <w:p w:rsidR="00D944AE" w:rsidRDefault="00D944AE" w:rsidP="00E3403E">
            <w:pPr>
              <w:rPr>
                <w:rFonts w:cs="Arial"/>
                <w:sz w:val="16"/>
                <w:szCs w:val="16"/>
              </w:rPr>
            </w:pPr>
            <w:r>
              <w:rPr>
                <w:rFonts w:cs="Arial"/>
                <w:sz w:val="16"/>
                <w:szCs w:val="16"/>
              </w:rPr>
              <w:t xml:space="preserve">Arab (3)  </w:t>
            </w:r>
          </w:p>
          <w:p w:rsidR="00D944AE" w:rsidRDefault="00D944AE" w:rsidP="00E3403E">
            <w:pPr>
              <w:rPr>
                <w:rFonts w:cs="Arial"/>
                <w:sz w:val="16"/>
                <w:szCs w:val="16"/>
              </w:rPr>
            </w:pPr>
          </w:p>
          <w:p w:rsidR="00D944AE" w:rsidRDefault="00D944AE" w:rsidP="00E3403E">
            <w:pPr>
              <w:rPr>
                <w:rFonts w:cs="Arial"/>
                <w:sz w:val="16"/>
                <w:szCs w:val="16"/>
              </w:rPr>
            </w:pPr>
          </w:p>
          <w:p w:rsidR="00D944AE" w:rsidRDefault="00D944AE" w:rsidP="00E3403E">
            <w:pPr>
              <w:rPr>
                <w:rFonts w:cs="Arial"/>
                <w:sz w:val="16"/>
                <w:szCs w:val="16"/>
              </w:rPr>
            </w:pPr>
            <w:r>
              <w:rPr>
                <w:rFonts w:cs="Arial"/>
                <w:sz w:val="16"/>
                <w:szCs w:val="16"/>
              </w:rPr>
              <w:t xml:space="preserve">Asia and the Pacific (4 of which 1 LDC)  </w:t>
            </w:r>
          </w:p>
          <w:p w:rsidR="00D944AE" w:rsidRDefault="00D944AE" w:rsidP="00E3403E">
            <w:pPr>
              <w:rPr>
                <w:rFonts w:cs="Arial"/>
                <w:sz w:val="16"/>
                <w:szCs w:val="16"/>
              </w:rPr>
            </w:pPr>
          </w:p>
          <w:p w:rsidR="00D944AE" w:rsidRDefault="00D944AE" w:rsidP="00E3403E">
            <w:pPr>
              <w:rPr>
                <w:rFonts w:cs="Arial"/>
                <w:sz w:val="16"/>
                <w:szCs w:val="16"/>
              </w:rPr>
            </w:pPr>
          </w:p>
          <w:p w:rsidR="00D944AE" w:rsidRPr="001F3492" w:rsidRDefault="00D944AE" w:rsidP="00E3403E">
            <w:pPr>
              <w:rPr>
                <w:sz w:val="16"/>
                <w:szCs w:val="16"/>
                <w:lang w:bidi="th-TH"/>
              </w:rPr>
            </w:pPr>
            <w:r w:rsidRPr="001F3492">
              <w:rPr>
                <w:sz w:val="16"/>
                <w:szCs w:val="16"/>
                <w:lang w:bidi="th-TH"/>
              </w:rPr>
              <w:t xml:space="preserve">Latin America and the Caribbean (7) </w:t>
            </w:r>
          </w:p>
          <w:p w:rsidR="00D944AE" w:rsidRPr="001F3492" w:rsidRDefault="00D944AE" w:rsidP="00E3403E">
            <w:pPr>
              <w:rPr>
                <w:sz w:val="16"/>
                <w:szCs w:val="16"/>
                <w:lang w:bidi="th-TH"/>
              </w:rPr>
            </w:pPr>
          </w:p>
          <w:p w:rsidR="00D944AE" w:rsidRPr="001F3492" w:rsidRDefault="00D944AE" w:rsidP="00E3403E">
            <w:pPr>
              <w:rPr>
                <w:sz w:val="16"/>
                <w:szCs w:val="16"/>
                <w:lang w:bidi="th-TH"/>
              </w:rPr>
            </w:pPr>
            <w:r w:rsidRPr="001F3492">
              <w:rPr>
                <w:sz w:val="16"/>
                <w:szCs w:val="16"/>
                <w:lang w:bidi="th-TH"/>
              </w:rPr>
              <w:t xml:space="preserve">9 </w:t>
            </w:r>
            <w:r w:rsidRPr="007861F3">
              <w:rPr>
                <w:sz w:val="16"/>
                <w:szCs w:val="16"/>
                <w:lang w:bidi="th-TH"/>
              </w:rPr>
              <w:t>LDCs included in the above regional breakdown</w:t>
            </w:r>
            <w:r w:rsidRPr="001F3492" w:rsidDel="00626749">
              <w:rPr>
                <w:sz w:val="16"/>
                <w:szCs w:val="16"/>
                <w:lang w:bidi="th-TH"/>
              </w:rPr>
              <w:t xml:space="preserve"> </w:t>
            </w:r>
          </w:p>
        </w:tc>
        <w:tc>
          <w:tcPr>
            <w:tcW w:w="1276" w:type="dxa"/>
            <w:tcBorders>
              <w:top w:val="nil"/>
              <w:left w:val="nil"/>
              <w:bottom w:val="nil"/>
              <w:right w:val="single" w:sz="4" w:space="0" w:color="auto"/>
            </w:tcBorders>
            <w:shd w:val="clear" w:color="auto" w:fill="auto"/>
            <w:tcMar>
              <w:top w:w="110" w:type="dxa"/>
            </w:tcMar>
          </w:tcPr>
          <w:p w:rsidR="00D944AE" w:rsidRPr="001761D1" w:rsidRDefault="00D944AE" w:rsidP="00E3403E">
            <w:pPr>
              <w:keepNext/>
              <w:keepLines/>
              <w:jc w:val="center"/>
              <w:rPr>
                <w:b/>
                <w:bCs/>
                <w:color w:val="00B050"/>
                <w:sz w:val="16"/>
                <w:szCs w:val="16"/>
              </w:rPr>
            </w:pPr>
            <w:r w:rsidRPr="001761D1">
              <w:rPr>
                <w:b/>
                <w:bCs/>
                <w:color w:val="00B050"/>
                <w:sz w:val="16"/>
                <w:szCs w:val="16"/>
              </w:rPr>
              <w:t>Fully Achieved</w:t>
            </w:r>
          </w:p>
          <w:p w:rsidR="00D944AE" w:rsidRPr="001761D1" w:rsidRDefault="00D944AE" w:rsidP="00E3403E">
            <w:pPr>
              <w:keepNext/>
              <w:keepLines/>
              <w:jc w:val="center"/>
              <w:rPr>
                <w:b/>
                <w:bCs/>
                <w:color w:val="00B050"/>
                <w:sz w:val="16"/>
                <w:szCs w:val="16"/>
              </w:rPr>
            </w:pPr>
          </w:p>
          <w:p w:rsidR="00D944AE" w:rsidRPr="001761D1" w:rsidRDefault="00D944AE" w:rsidP="00E3403E">
            <w:pPr>
              <w:keepNext/>
              <w:keepLines/>
              <w:jc w:val="center"/>
              <w:rPr>
                <w:b/>
                <w:bCs/>
                <w:color w:val="00B050"/>
                <w:sz w:val="16"/>
                <w:szCs w:val="16"/>
              </w:rPr>
            </w:pPr>
          </w:p>
          <w:p w:rsidR="00D944AE" w:rsidRPr="001761D1" w:rsidRDefault="00D944AE" w:rsidP="00E3403E">
            <w:pPr>
              <w:keepNext/>
              <w:keepLines/>
              <w:jc w:val="center"/>
              <w:rPr>
                <w:b/>
                <w:bCs/>
                <w:color w:val="00B050"/>
                <w:sz w:val="16"/>
                <w:szCs w:val="16"/>
              </w:rPr>
            </w:pPr>
            <w:r w:rsidRPr="001761D1">
              <w:rPr>
                <w:b/>
                <w:bCs/>
                <w:color w:val="00B050"/>
                <w:sz w:val="16"/>
                <w:szCs w:val="16"/>
              </w:rPr>
              <w:t>Fully Achieved</w:t>
            </w:r>
          </w:p>
          <w:p w:rsidR="00D944AE" w:rsidRPr="001761D1" w:rsidRDefault="00D944AE" w:rsidP="00E3403E">
            <w:pPr>
              <w:keepNext/>
              <w:keepLines/>
              <w:jc w:val="center"/>
              <w:rPr>
                <w:b/>
                <w:bCs/>
                <w:color w:val="00B050"/>
                <w:sz w:val="16"/>
                <w:szCs w:val="16"/>
              </w:rPr>
            </w:pPr>
          </w:p>
          <w:p w:rsidR="00D944AE" w:rsidRPr="001761D1" w:rsidRDefault="00D944AE" w:rsidP="00E3403E">
            <w:pPr>
              <w:keepNext/>
              <w:keepLines/>
              <w:jc w:val="center"/>
              <w:rPr>
                <w:b/>
                <w:bCs/>
                <w:color w:val="00B050"/>
                <w:sz w:val="16"/>
                <w:szCs w:val="16"/>
              </w:rPr>
            </w:pPr>
            <w:r w:rsidRPr="001761D1">
              <w:rPr>
                <w:b/>
                <w:bCs/>
                <w:color w:val="00B050"/>
                <w:sz w:val="16"/>
                <w:szCs w:val="16"/>
              </w:rPr>
              <w:t>Fully Achieved</w:t>
            </w:r>
          </w:p>
          <w:p w:rsidR="00D944AE" w:rsidRPr="001761D1" w:rsidRDefault="00D944AE" w:rsidP="00E3403E">
            <w:pPr>
              <w:keepNext/>
              <w:keepLines/>
              <w:jc w:val="center"/>
              <w:rPr>
                <w:b/>
                <w:bCs/>
                <w:color w:val="00B050"/>
                <w:sz w:val="16"/>
                <w:szCs w:val="16"/>
              </w:rPr>
            </w:pPr>
          </w:p>
          <w:p w:rsidR="00D944AE" w:rsidRPr="00305A06" w:rsidRDefault="00D944AE" w:rsidP="00E3403E">
            <w:pPr>
              <w:keepNext/>
              <w:keepLines/>
              <w:jc w:val="center"/>
              <w:rPr>
                <w:b/>
                <w:bCs/>
                <w:color w:val="00B050"/>
                <w:sz w:val="16"/>
                <w:szCs w:val="16"/>
              </w:rPr>
            </w:pPr>
            <w:r w:rsidRPr="001761D1">
              <w:rPr>
                <w:b/>
                <w:bCs/>
                <w:color w:val="00B050"/>
                <w:sz w:val="16"/>
                <w:szCs w:val="16"/>
              </w:rPr>
              <w:t>Fully Achieved</w:t>
            </w:r>
          </w:p>
          <w:p w:rsidR="00D944AE" w:rsidRDefault="00D944AE" w:rsidP="00E3403E">
            <w:pPr>
              <w:keepNext/>
              <w:keepLines/>
              <w:jc w:val="center"/>
              <w:rPr>
                <w:b/>
                <w:bCs/>
                <w:sz w:val="16"/>
                <w:szCs w:val="16"/>
              </w:rPr>
            </w:pPr>
          </w:p>
          <w:p w:rsidR="00D944AE" w:rsidRPr="007861F3" w:rsidRDefault="00D944AE" w:rsidP="00E3403E">
            <w:pPr>
              <w:keepNext/>
              <w:keepLines/>
              <w:jc w:val="center"/>
              <w:rPr>
                <w:b/>
                <w:bCs/>
                <w:sz w:val="16"/>
                <w:szCs w:val="16"/>
              </w:rPr>
            </w:pPr>
          </w:p>
          <w:p w:rsidR="00D944AE" w:rsidRPr="001761D1" w:rsidRDefault="00D944AE" w:rsidP="00E3403E">
            <w:pPr>
              <w:keepNext/>
              <w:keepLines/>
              <w:jc w:val="center"/>
              <w:rPr>
                <w:b/>
                <w:bCs/>
                <w:color w:val="00B050"/>
                <w:sz w:val="16"/>
                <w:szCs w:val="16"/>
              </w:rPr>
            </w:pPr>
            <w:r w:rsidRPr="001761D1">
              <w:rPr>
                <w:b/>
                <w:bCs/>
                <w:color w:val="00B050"/>
                <w:sz w:val="16"/>
                <w:szCs w:val="16"/>
              </w:rPr>
              <w:t>Fully Achieved</w:t>
            </w:r>
          </w:p>
          <w:p w:rsidR="00D944AE" w:rsidRPr="007861F3" w:rsidRDefault="00D944AE" w:rsidP="00E3403E">
            <w:pPr>
              <w:keepNext/>
              <w:keepLines/>
              <w:jc w:val="center"/>
              <w:rPr>
                <w:b/>
                <w:bCs/>
                <w:sz w:val="16"/>
                <w:szCs w:val="16"/>
              </w:rPr>
            </w:pPr>
          </w:p>
          <w:p w:rsidR="00D944AE" w:rsidRPr="007861F3" w:rsidRDefault="00D944AE" w:rsidP="00E3403E">
            <w:pPr>
              <w:keepNext/>
              <w:keepLines/>
              <w:jc w:val="center"/>
              <w:rPr>
                <w:b/>
                <w:bCs/>
                <w:sz w:val="16"/>
                <w:szCs w:val="16"/>
              </w:rPr>
            </w:pPr>
          </w:p>
        </w:tc>
      </w:tr>
      <w:tr w:rsidR="00D944AE" w:rsidRPr="007861F3" w:rsidTr="00E3403E">
        <w:trPr>
          <w:trHeight w:val="1780"/>
        </w:trPr>
        <w:tc>
          <w:tcPr>
            <w:tcW w:w="2125" w:type="dxa"/>
            <w:tcBorders>
              <w:top w:val="nil"/>
              <w:left w:val="single" w:sz="4" w:space="0" w:color="auto"/>
              <w:bottom w:val="nil"/>
            </w:tcBorders>
            <w:shd w:val="clear" w:color="auto" w:fill="FFFFFF"/>
          </w:tcPr>
          <w:p w:rsidR="00D944AE" w:rsidRPr="007861F3" w:rsidRDefault="00D944AE" w:rsidP="00E3403E">
            <w:pPr>
              <w:rPr>
                <w:sz w:val="16"/>
                <w:szCs w:val="16"/>
                <w:lang w:bidi="th-TH"/>
              </w:rPr>
            </w:pPr>
            <w:r w:rsidRPr="007861F3">
              <w:rPr>
                <w:sz w:val="16"/>
                <w:szCs w:val="16"/>
                <w:lang w:bidi="th-TH"/>
              </w:rPr>
              <w:t>Average number of users serviced by TISCs per quarter and country</w:t>
            </w:r>
          </w:p>
        </w:tc>
        <w:tc>
          <w:tcPr>
            <w:tcW w:w="1987" w:type="dxa"/>
            <w:gridSpan w:val="2"/>
            <w:tcBorders>
              <w:top w:val="nil"/>
              <w:bottom w:val="nil"/>
            </w:tcBorders>
            <w:shd w:val="clear" w:color="auto" w:fill="auto"/>
          </w:tcPr>
          <w:p w:rsidR="00D944AE" w:rsidRPr="007861F3" w:rsidRDefault="00D944AE" w:rsidP="00E3403E">
            <w:pPr>
              <w:rPr>
                <w:sz w:val="16"/>
                <w:szCs w:val="16"/>
              </w:rPr>
            </w:pPr>
            <w:r w:rsidRPr="007861F3">
              <w:rPr>
                <w:i/>
                <w:sz w:val="16"/>
                <w:szCs w:val="16"/>
              </w:rPr>
              <w:t xml:space="preserve">Updated Baseline end 2013:  </w:t>
            </w:r>
            <w:r w:rsidRPr="007861F3">
              <w:rPr>
                <w:sz w:val="16"/>
                <w:szCs w:val="16"/>
              </w:rPr>
              <w:t>532 (min.) to 1370 (max.) average no. of users serviced by TISCs per day during 2013.</w:t>
            </w:r>
          </w:p>
          <w:p w:rsidR="00D944AE" w:rsidRPr="007861F3" w:rsidRDefault="00D944AE" w:rsidP="00E3403E">
            <w:pPr>
              <w:rPr>
                <w:i/>
                <w:sz w:val="16"/>
                <w:szCs w:val="16"/>
              </w:rPr>
            </w:pPr>
          </w:p>
          <w:p w:rsidR="00D944AE" w:rsidRPr="007861F3" w:rsidRDefault="00D944AE" w:rsidP="00E3403E">
            <w:pPr>
              <w:rPr>
                <w:i/>
                <w:sz w:val="16"/>
                <w:szCs w:val="16"/>
                <w:lang w:bidi="th-TH"/>
              </w:rPr>
            </w:pPr>
            <w:r w:rsidRPr="007861F3">
              <w:rPr>
                <w:i/>
                <w:sz w:val="16"/>
                <w:szCs w:val="16"/>
                <w:lang w:bidi="th-TH"/>
              </w:rPr>
              <w:t>Original Baseline P&amp;B 2014/15:</w:t>
            </w:r>
          </w:p>
          <w:p w:rsidR="00D944AE" w:rsidRPr="007861F3" w:rsidRDefault="00D944AE" w:rsidP="00E3403E">
            <w:pPr>
              <w:rPr>
                <w:i/>
                <w:sz w:val="16"/>
                <w:szCs w:val="16"/>
                <w:lang w:bidi="th-TH"/>
              </w:rPr>
            </w:pPr>
            <w:r w:rsidRPr="007861F3">
              <w:rPr>
                <w:sz w:val="16"/>
                <w:szCs w:val="16"/>
                <w:lang w:bidi="th-TH"/>
              </w:rPr>
              <w:t>200 (min) – 630 (max)</w:t>
            </w:r>
          </w:p>
          <w:p w:rsidR="00D944AE" w:rsidRPr="007861F3" w:rsidRDefault="00D944AE" w:rsidP="00E3403E">
            <w:pPr>
              <w:rPr>
                <w:i/>
                <w:sz w:val="16"/>
                <w:szCs w:val="16"/>
              </w:rPr>
            </w:pPr>
          </w:p>
        </w:tc>
        <w:tc>
          <w:tcPr>
            <w:tcW w:w="1559" w:type="dxa"/>
            <w:tcBorders>
              <w:top w:val="nil"/>
              <w:bottom w:val="nil"/>
            </w:tcBorders>
            <w:shd w:val="clear" w:color="auto" w:fill="auto"/>
            <w:tcMar>
              <w:top w:w="110" w:type="dxa"/>
            </w:tcMar>
          </w:tcPr>
          <w:p w:rsidR="00D944AE" w:rsidRPr="007861F3" w:rsidRDefault="00D944AE" w:rsidP="00E3403E">
            <w:pPr>
              <w:rPr>
                <w:sz w:val="16"/>
                <w:szCs w:val="16"/>
                <w:lang w:bidi="th-TH"/>
              </w:rPr>
            </w:pPr>
            <w:r w:rsidRPr="007861F3">
              <w:rPr>
                <w:sz w:val="16"/>
                <w:szCs w:val="16"/>
                <w:lang w:bidi="th-TH"/>
              </w:rPr>
              <w:t>300 (min) – 750 (max)</w:t>
            </w:r>
          </w:p>
        </w:tc>
        <w:tc>
          <w:tcPr>
            <w:tcW w:w="2551" w:type="dxa"/>
            <w:tcBorders>
              <w:top w:val="nil"/>
              <w:bottom w:val="nil"/>
            </w:tcBorders>
            <w:shd w:val="clear" w:color="auto" w:fill="FFFFFF"/>
            <w:tcMar>
              <w:top w:w="110" w:type="dxa"/>
            </w:tcMar>
          </w:tcPr>
          <w:p w:rsidR="00D944AE" w:rsidRPr="007861F3" w:rsidRDefault="00D944AE" w:rsidP="00E3403E">
            <w:pPr>
              <w:rPr>
                <w:sz w:val="16"/>
                <w:szCs w:val="16"/>
                <w:lang w:bidi="th-TH"/>
              </w:rPr>
            </w:pPr>
            <w:r>
              <w:rPr>
                <w:rFonts w:cs="Arial"/>
                <w:sz w:val="16"/>
                <w:szCs w:val="16"/>
              </w:rPr>
              <w:t>874 (min.) – 2,631 (max.)</w:t>
            </w:r>
          </w:p>
        </w:tc>
        <w:tc>
          <w:tcPr>
            <w:tcW w:w="1276" w:type="dxa"/>
            <w:tcBorders>
              <w:top w:val="nil"/>
              <w:bottom w:val="nil"/>
              <w:right w:val="single" w:sz="4" w:space="0" w:color="auto"/>
            </w:tcBorders>
            <w:shd w:val="clear" w:color="auto" w:fill="auto"/>
            <w:tcMar>
              <w:top w:w="110" w:type="dxa"/>
            </w:tcMar>
          </w:tcPr>
          <w:p w:rsidR="00D944AE" w:rsidRPr="007861F3" w:rsidRDefault="00D944AE" w:rsidP="00E3403E">
            <w:pPr>
              <w:keepNext/>
              <w:keepLines/>
              <w:jc w:val="center"/>
              <w:rPr>
                <w:b/>
                <w:bCs/>
                <w:sz w:val="16"/>
                <w:szCs w:val="16"/>
              </w:rPr>
            </w:pPr>
            <w:r>
              <w:rPr>
                <w:rFonts w:cs="Arial"/>
                <w:b/>
                <w:bCs/>
                <w:color w:val="00B050"/>
                <w:sz w:val="16"/>
                <w:szCs w:val="16"/>
              </w:rPr>
              <w:t>Fully Achieved</w:t>
            </w:r>
          </w:p>
        </w:tc>
      </w:tr>
      <w:tr w:rsidR="00D944AE" w:rsidRPr="007861F3" w:rsidTr="00E3403E">
        <w:tc>
          <w:tcPr>
            <w:tcW w:w="2125" w:type="dxa"/>
            <w:tcBorders>
              <w:top w:val="nil"/>
              <w:left w:val="single" w:sz="4" w:space="0" w:color="auto"/>
              <w:bottom w:val="single" w:sz="4" w:space="0" w:color="auto"/>
            </w:tcBorders>
            <w:shd w:val="clear" w:color="auto" w:fill="FFFFFF"/>
          </w:tcPr>
          <w:p w:rsidR="00D944AE" w:rsidRPr="007861F3" w:rsidRDefault="00D944AE" w:rsidP="00E3403E">
            <w:pPr>
              <w:rPr>
                <w:sz w:val="16"/>
                <w:szCs w:val="16"/>
                <w:lang w:bidi="th-TH"/>
              </w:rPr>
            </w:pPr>
            <w:r w:rsidRPr="007861F3">
              <w:rPr>
                <w:sz w:val="16"/>
                <w:szCs w:val="16"/>
                <w:lang w:bidi="th-TH"/>
              </w:rPr>
              <w:t>No. of countries using IP Technical Assistance Database (IP-TAD), IP Roster of consultants (IP_ROC)</w:t>
            </w:r>
          </w:p>
        </w:tc>
        <w:tc>
          <w:tcPr>
            <w:tcW w:w="1987" w:type="dxa"/>
            <w:gridSpan w:val="2"/>
            <w:tcBorders>
              <w:top w:val="nil"/>
              <w:bottom w:val="single" w:sz="4" w:space="0" w:color="auto"/>
            </w:tcBorders>
            <w:shd w:val="clear" w:color="auto" w:fill="auto"/>
          </w:tcPr>
          <w:p w:rsidR="00D944AE" w:rsidRPr="007861F3" w:rsidRDefault="00D944AE" w:rsidP="00E3403E">
            <w:pPr>
              <w:rPr>
                <w:i/>
                <w:sz w:val="16"/>
                <w:szCs w:val="16"/>
              </w:rPr>
            </w:pPr>
            <w:r w:rsidRPr="007861F3">
              <w:rPr>
                <w:i/>
                <w:sz w:val="16"/>
                <w:szCs w:val="16"/>
              </w:rPr>
              <w:t xml:space="preserve">Updated Baseline end 2013:  </w:t>
            </w:r>
          </w:p>
          <w:p w:rsidR="00D944AE" w:rsidRPr="007861F3" w:rsidRDefault="00D944AE" w:rsidP="00E3403E">
            <w:pPr>
              <w:rPr>
                <w:sz w:val="16"/>
                <w:szCs w:val="16"/>
              </w:rPr>
            </w:pPr>
            <w:r w:rsidRPr="007861F3">
              <w:rPr>
                <w:sz w:val="16"/>
                <w:szCs w:val="16"/>
              </w:rPr>
              <w:t xml:space="preserve">IP-TAD: 43 countries </w:t>
            </w:r>
          </w:p>
          <w:p w:rsidR="00D944AE" w:rsidRPr="007861F3" w:rsidRDefault="00D944AE" w:rsidP="00E3403E">
            <w:pPr>
              <w:rPr>
                <w:sz w:val="16"/>
                <w:szCs w:val="16"/>
              </w:rPr>
            </w:pPr>
            <w:r w:rsidRPr="007861F3">
              <w:rPr>
                <w:sz w:val="16"/>
                <w:szCs w:val="16"/>
              </w:rPr>
              <w:t>IP-ROC: 8 countries (in 2013)</w:t>
            </w:r>
          </w:p>
          <w:p w:rsidR="00D944AE" w:rsidRPr="007861F3" w:rsidRDefault="00D944AE" w:rsidP="00E3403E">
            <w:pPr>
              <w:rPr>
                <w:i/>
                <w:sz w:val="16"/>
                <w:szCs w:val="16"/>
              </w:rPr>
            </w:pPr>
          </w:p>
          <w:p w:rsidR="00D944AE" w:rsidRPr="007861F3" w:rsidRDefault="00D944AE" w:rsidP="00E3403E">
            <w:pPr>
              <w:rPr>
                <w:i/>
                <w:sz w:val="16"/>
                <w:szCs w:val="16"/>
                <w:lang w:bidi="th-TH"/>
              </w:rPr>
            </w:pPr>
            <w:r w:rsidRPr="007861F3">
              <w:rPr>
                <w:i/>
                <w:sz w:val="16"/>
                <w:szCs w:val="16"/>
                <w:lang w:bidi="th-TH"/>
              </w:rPr>
              <w:t xml:space="preserve">Original Baseline P&amp;B 2014/15: </w:t>
            </w:r>
            <w:r w:rsidRPr="007861F3">
              <w:rPr>
                <w:sz w:val="16"/>
                <w:szCs w:val="16"/>
                <w:lang w:bidi="th-TH"/>
              </w:rPr>
              <w:t>60 (as of 01.03.2013)</w:t>
            </w:r>
          </w:p>
          <w:p w:rsidR="00D944AE" w:rsidRPr="007861F3" w:rsidRDefault="00D944AE" w:rsidP="00E3403E">
            <w:pPr>
              <w:rPr>
                <w:i/>
                <w:sz w:val="16"/>
                <w:szCs w:val="16"/>
              </w:rPr>
            </w:pPr>
          </w:p>
        </w:tc>
        <w:tc>
          <w:tcPr>
            <w:tcW w:w="1559" w:type="dxa"/>
            <w:tcBorders>
              <w:top w:val="nil"/>
              <w:bottom w:val="single" w:sz="4" w:space="0" w:color="auto"/>
            </w:tcBorders>
            <w:shd w:val="clear" w:color="auto" w:fill="auto"/>
            <w:tcMar>
              <w:top w:w="110" w:type="dxa"/>
            </w:tcMar>
          </w:tcPr>
          <w:p w:rsidR="00D944AE" w:rsidRPr="007861F3" w:rsidRDefault="00D944AE" w:rsidP="00E3403E">
            <w:pPr>
              <w:rPr>
                <w:sz w:val="16"/>
                <w:szCs w:val="16"/>
                <w:lang w:bidi="th-TH"/>
              </w:rPr>
            </w:pPr>
            <w:r w:rsidRPr="007861F3">
              <w:rPr>
                <w:sz w:val="16"/>
                <w:szCs w:val="16"/>
                <w:lang w:bidi="th-TH"/>
              </w:rPr>
              <w:t>70</w:t>
            </w:r>
          </w:p>
        </w:tc>
        <w:tc>
          <w:tcPr>
            <w:tcW w:w="2551" w:type="dxa"/>
            <w:tcBorders>
              <w:top w:val="nil"/>
              <w:bottom w:val="single" w:sz="4" w:space="0" w:color="auto"/>
            </w:tcBorders>
            <w:shd w:val="clear" w:color="auto" w:fill="FFFFFF"/>
            <w:tcMar>
              <w:top w:w="110" w:type="dxa"/>
            </w:tcMar>
          </w:tcPr>
          <w:p w:rsidR="00D944AE" w:rsidRPr="007D1787" w:rsidRDefault="00D944AE" w:rsidP="00E3403E">
            <w:pPr>
              <w:rPr>
                <w:sz w:val="16"/>
                <w:szCs w:val="16"/>
                <w:lang w:bidi="th-TH"/>
              </w:rPr>
            </w:pPr>
            <w:r w:rsidRPr="007D1787">
              <w:rPr>
                <w:sz w:val="16"/>
                <w:szCs w:val="16"/>
                <w:lang w:bidi="th-TH"/>
              </w:rPr>
              <w:t>2014:</w:t>
            </w:r>
            <w:r>
              <w:rPr>
                <w:sz w:val="16"/>
                <w:szCs w:val="16"/>
                <w:lang w:bidi="th-TH"/>
              </w:rPr>
              <w:t xml:space="preserve"> 46 countries</w:t>
            </w:r>
          </w:p>
          <w:p w:rsidR="00D944AE" w:rsidRPr="007D1787" w:rsidRDefault="00D944AE" w:rsidP="00E3403E">
            <w:pPr>
              <w:rPr>
                <w:sz w:val="16"/>
                <w:szCs w:val="16"/>
                <w:lang w:bidi="th-TH"/>
              </w:rPr>
            </w:pPr>
            <w:r w:rsidRPr="007D1787">
              <w:rPr>
                <w:sz w:val="16"/>
                <w:szCs w:val="16"/>
                <w:lang w:bidi="th-TH"/>
              </w:rPr>
              <w:t>IP-TAD: 37 countries</w:t>
            </w:r>
          </w:p>
          <w:p w:rsidR="00D944AE" w:rsidRDefault="00D944AE" w:rsidP="00E3403E">
            <w:pPr>
              <w:rPr>
                <w:sz w:val="16"/>
                <w:szCs w:val="16"/>
                <w:lang w:bidi="th-TH"/>
              </w:rPr>
            </w:pPr>
            <w:r w:rsidRPr="007D1787">
              <w:rPr>
                <w:sz w:val="16"/>
                <w:szCs w:val="16"/>
                <w:lang w:bidi="th-TH"/>
              </w:rPr>
              <w:t>IP-ROC: 9 countries</w:t>
            </w:r>
            <w:r w:rsidRPr="007D1787" w:rsidDel="007D1787">
              <w:rPr>
                <w:sz w:val="16"/>
                <w:szCs w:val="16"/>
                <w:lang w:bidi="th-TH"/>
              </w:rPr>
              <w:t xml:space="preserve"> </w:t>
            </w:r>
          </w:p>
          <w:p w:rsidR="00D944AE" w:rsidRDefault="00D944AE" w:rsidP="00E3403E">
            <w:pPr>
              <w:rPr>
                <w:sz w:val="16"/>
                <w:szCs w:val="16"/>
                <w:lang w:bidi="th-TH"/>
              </w:rPr>
            </w:pPr>
            <w:r>
              <w:rPr>
                <w:sz w:val="16"/>
                <w:szCs w:val="16"/>
                <w:lang w:bidi="th-TH"/>
              </w:rPr>
              <w:t>(-10% as compared to 2013)</w:t>
            </w:r>
          </w:p>
          <w:p w:rsidR="00D944AE" w:rsidRDefault="00D944AE" w:rsidP="00E3403E">
            <w:pPr>
              <w:rPr>
                <w:sz w:val="16"/>
                <w:szCs w:val="16"/>
                <w:lang w:bidi="th-TH"/>
              </w:rPr>
            </w:pPr>
          </w:p>
          <w:p w:rsidR="00D944AE" w:rsidRDefault="00D944AE" w:rsidP="00E3403E">
            <w:pPr>
              <w:rPr>
                <w:sz w:val="16"/>
                <w:szCs w:val="16"/>
                <w:lang w:bidi="th-TH"/>
              </w:rPr>
            </w:pPr>
            <w:r>
              <w:rPr>
                <w:sz w:val="16"/>
                <w:szCs w:val="16"/>
                <w:lang w:bidi="th-TH"/>
              </w:rPr>
              <w:t>2015: 33 countries</w:t>
            </w:r>
          </w:p>
          <w:p w:rsidR="00D944AE" w:rsidRDefault="00D944AE" w:rsidP="00E3403E">
            <w:pPr>
              <w:rPr>
                <w:sz w:val="16"/>
                <w:szCs w:val="16"/>
                <w:lang w:bidi="th-TH"/>
              </w:rPr>
            </w:pPr>
            <w:r>
              <w:rPr>
                <w:sz w:val="16"/>
                <w:szCs w:val="16"/>
                <w:lang w:bidi="th-TH"/>
              </w:rPr>
              <w:t>IP-TAD: 29 countries</w:t>
            </w:r>
          </w:p>
          <w:p w:rsidR="00D944AE" w:rsidRDefault="00D944AE" w:rsidP="00E3403E">
            <w:pPr>
              <w:rPr>
                <w:sz w:val="16"/>
                <w:szCs w:val="16"/>
                <w:lang w:bidi="th-TH"/>
              </w:rPr>
            </w:pPr>
            <w:r>
              <w:rPr>
                <w:sz w:val="16"/>
                <w:szCs w:val="16"/>
                <w:lang w:bidi="th-TH"/>
              </w:rPr>
              <w:t>IP-ROC: 4 countries</w:t>
            </w:r>
          </w:p>
          <w:p w:rsidR="00D944AE" w:rsidRPr="007861F3" w:rsidRDefault="00D944AE" w:rsidP="00E3403E">
            <w:pPr>
              <w:rPr>
                <w:sz w:val="16"/>
                <w:szCs w:val="16"/>
                <w:lang w:bidi="th-TH"/>
              </w:rPr>
            </w:pPr>
            <w:r>
              <w:rPr>
                <w:sz w:val="16"/>
                <w:szCs w:val="16"/>
                <w:lang w:bidi="th-TH"/>
              </w:rPr>
              <w:t>(-28% as compared to 2014)</w:t>
            </w:r>
          </w:p>
        </w:tc>
        <w:tc>
          <w:tcPr>
            <w:tcW w:w="1276" w:type="dxa"/>
            <w:tcBorders>
              <w:top w:val="nil"/>
              <w:bottom w:val="single" w:sz="4" w:space="0" w:color="auto"/>
              <w:right w:val="single" w:sz="4" w:space="0" w:color="auto"/>
            </w:tcBorders>
            <w:shd w:val="clear" w:color="auto" w:fill="auto"/>
            <w:tcMar>
              <w:top w:w="110" w:type="dxa"/>
            </w:tcMar>
          </w:tcPr>
          <w:p w:rsidR="00D944AE" w:rsidRPr="007861F3" w:rsidRDefault="00D944AE" w:rsidP="00E3403E">
            <w:pPr>
              <w:keepNext/>
              <w:keepLines/>
              <w:jc w:val="center"/>
              <w:rPr>
                <w:b/>
                <w:bCs/>
                <w:sz w:val="16"/>
                <w:szCs w:val="16"/>
              </w:rPr>
            </w:pPr>
            <w:r w:rsidRPr="007D1787">
              <w:rPr>
                <w:b/>
                <w:bCs/>
                <w:color w:val="FF0000"/>
                <w:sz w:val="16"/>
                <w:szCs w:val="16"/>
              </w:rPr>
              <w:t xml:space="preserve">Not </w:t>
            </w:r>
            <w:r w:rsidR="003E16BE">
              <w:rPr>
                <w:b/>
                <w:bCs/>
                <w:color w:val="FF0000"/>
                <w:sz w:val="16"/>
                <w:szCs w:val="16"/>
              </w:rPr>
              <w:br/>
            </w:r>
            <w:r w:rsidRPr="007D1787">
              <w:rPr>
                <w:b/>
                <w:bCs/>
                <w:color w:val="FF0000"/>
                <w:sz w:val="16"/>
                <w:szCs w:val="16"/>
              </w:rPr>
              <w:t>Achieved</w:t>
            </w:r>
          </w:p>
        </w:tc>
      </w:tr>
      <w:tr w:rsidR="00D944AE" w:rsidRPr="007861F3" w:rsidTr="00E3403E">
        <w:tc>
          <w:tcPr>
            <w:tcW w:w="9498" w:type="dxa"/>
            <w:gridSpan w:val="6"/>
            <w:tcBorders>
              <w:top w:val="single" w:sz="4" w:space="0" w:color="auto"/>
              <w:left w:val="single" w:sz="4" w:space="0" w:color="auto"/>
              <w:bottom w:val="single" w:sz="4" w:space="0" w:color="auto"/>
              <w:right w:val="single" w:sz="4" w:space="0" w:color="auto"/>
            </w:tcBorders>
            <w:shd w:val="clear" w:color="auto" w:fill="C6D9F1" w:themeFill="text2" w:themeFillTint="33"/>
          </w:tcPr>
          <w:p w:rsidR="00D944AE" w:rsidRPr="007861F3" w:rsidRDefault="00D944AE" w:rsidP="00E3403E">
            <w:pPr>
              <w:keepNext/>
              <w:keepLines/>
              <w:tabs>
                <w:tab w:val="left" w:pos="1452"/>
              </w:tabs>
              <w:spacing w:before="120" w:after="120"/>
              <w:ind w:left="1452" w:hanging="1452"/>
              <w:rPr>
                <w:b/>
                <w:bCs/>
                <w:sz w:val="16"/>
                <w:szCs w:val="16"/>
              </w:rPr>
            </w:pPr>
            <w:r w:rsidRPr="007861F3">
              <w:rPr>
                <w:b/>
                <w:bCs/>
                <w:sz w:val="16"/>
                <w:szCs w:val="16"/>
              </w:rPr>
              <w:t xml:space="preserve">Expected Result:    </w:t>
            </w:r>
            <w:r w:rsidRPr="007861F3">
              <w:rPr>
                <w:bCs/>
                <w:sz w:val="16"/>
                <w:szCs w:val="16"/>
              </w:rPr>
              <w:t>IV.4  Enhanced technical and knowledge infrastructure for IP Offices and other IP institutions leading to better services (cheaper, faster, higher quality) to their stakeholders</w:t>
            </w:r>
          </w:p>
        </w:tc>
      </w:tr>
      <w:tr w:rsidR="00D944AE" w:rsidRPr="007861F3" w:rsidTr="00E3403E">
        <w:trPr>
          <w:trHeight w:val="291"/>
        </w:trPr>
        <w:tc>
          <w:tcPr>
            <w:tcW w:w="2125" w:type="dxa"/>
            <w:tcBorders>
              <w:top w:val="single" w:sz="4" w:space="0" w:color="auto"/>
              <w:left w:val="single" w:sz="4" w:space="0" w:color="auto"/>
              <w:bottom w:val="nil"/>
              <w:right w:val="nil"/>
            </w:tcBorders>
            <w:shd w:val="clear" w:color="auto" w:fill="FFFFFF"/>
            <w:vAlign w:val="center"/>
          </w:tcPr>
          <w:p w:rsidR="00D944AE" w:rsidRPr="007861F3" w:rsidRDefault="00D944AE" w:rsidP="00E3403E">
            <w:pPr>
              <w:rPr>
                <w:sz w:val="16"/>
                <w:szCs w:val="16"/>
                <w:lang w:bidi="th-TH"/>
              </w:rPr>
            </w:pPr>
            <w:r w:rsidRPr="007861F3">
              <w:rPr>
                <w:b/>
                <w:bCs/>
                <w:sz w:val="16"/>
                <w:szCs w:val="16"/>
              </w:rPr>
              <w:t>Performance Indicators</w:t>
            </w:r>
          </w:p>
        </w:tc>
        <w:tc>
          <w:tcPr>
            <w:tcW w:w="1749" w:type="dxa"/>
            <w:tcBorders>
              <w:top w:val="single" w:sz="4" w:space="0" w:color="auto"/>
              <w:left w:val="nil"/>
              <w:bottom w:val="nil"/>
              <w:right w:val="nil"/>
            </w:tcBorders>
            <w:shd w:val="clear" w:color="auto" w:fill="auto"/>
            <w:vAlign w:val="center"/>
          </w:tcPr>
          <w:p w:rsidR="00D944AE" w:rsidRPr="007861F3" w:rsidRDefault="00D944AE" w:rsidP="00E3403E">
            <w:pPr>
              <w:rPr>
                <w:i/>
                <w:sz w:val="16"/>
                <w:szCs w:val="16"/>
              </w:rPr>
            </w:pPr>
            <w:r w:rsidRPr="007861F3">
              <w:rPr>
                <w:b/>
                <w:bCs/>
                <w:sz w:val="16"/>
                <w:szCs w:val="16"/>
              </w:rPr>
              <w:t>Baselines</w:t>
            </w:r>
          </w:p>
        </w:tc>
        <w:tc>
          <w:tcPr>
            <w:tcW w:w="1797" w:type="dxa"/>
            <w:gridSpan w:val="2"/>
            <w:tcBorders>
              <w:top w:val="single" w:sz="4" w:space="0" w:color="auto"/>
              <w:left w:val="nil"/>
              <w:bottom w:val="nil"/>
              <w:right w:val="nil"/>
            </w:tcBorders>
            <w:shd w:val="clear" w:color="auto" w:fill="auto"/>
            <w:tcMar>
              <w:top w:w="110" w:type="dxa"/>
            </w:tcMar>
            <w:vAlign w:val="center"/>
          </w:tcPr>
          <w:p w:rsidR="00D944AE" w:rsidRPr="007861F3" w:rsidRDefault="00D944AE" w:rsidP="00E3403E">
            <w:pPr>
              <w:rPr>
                <w:sz w:val="16"/>
                <w:szCs w:val="16"/>
                <w:lang w:bidi="th-TH"/>
              </w:rPr>
            </w:pPr>
            <w:r w:rsidRPr="007861F3">
              <w:rPr>
                <w:b/>
                <w:sz w:val="16"/>
                <w:szCs w:val="16"/>
              </w:rPr>
              <w:t>Targets</w:t>
            </w:r>
          </w:p>
        </w:tc>
        <w:tc>
          <w:tcPr>
            <w:tcW w:w="2551" w:type="dxa"/>
            <w:tcBorders>
              <w:top w:val="single" w:sz="4" w:space="0" w:color="auto"/>
              <w:left w:val="nil"/>
              <w:bottom w:val="nil"/>
              <w:right w:val="nil"/>
            </w:tcBorders>
            <w:shd w:val="clear" w:color="auto" w:fill="FFFFFF"/>
            <w:tcMar>
              <w:top w:w="110" w:type="dxa"/>
            </w:tcMar>
            <w:vAlign w:val="center"/>
          </w:tcPr>
          <w:p w:rsidR="00D944AE" w:rsidRPr="007861F3" w:rsidRDefault="00D944AE" w:rsidP="00E3403E">
            <w:pPr>
              <w:rPr>
                <w:sz w:val="16"/>
                <w:szCs w:val="16"/>
                <w:lang w:bidi="th-TH"/>
              </w:rPr>
            </w:pPr>
            <w:r w:rsidRPr="007861F3">
              <w:rPr>
                <w:b/>
                <w:bCs/>
                <w:sz w:val="16"/>
                <w:szCs w:val="16"/>
              </w:rPr>
              <w:t>Performance Data</w:t>
            </w:r>
          </w:p>
        </w:tc>
        <w:tc>
          <w:tcPr>
            <w:tcW w:w="1276" w:type="dxa"/>
            <w:tcBorders>
              <w:top w:val="single" w:sz="4" w:space="0" w:color="auto"/>
              <w:left w:val="nil"/>
              <w:bottom w:val="nil"/>
              <w:right w:val="single" w:sz="4" w:space="0" w:color="auto"/>
            </w:tcBorders>
            <w:shd w:val="clear" w:color="auto" w:fill="auto"/>
            <w:tcMar>
              <w:top w:w="110" w:type="dxa"/>
            </w:tcMar>
            <w:vAlign w:val="center"/>
          </w:tcPr>
          <w:p w:rsidR="00D944AE" w:rsidRPr="007861F3" w:rsidRDefault="00D944AE" w:rsidP="00E3403E">
            <w:pPr>
              <w:keepNext/>
              <w:keepLines/>
              <w:jc w:val="center"/>
              <w:rPr>
                <w:b/>
                <w:bCs/>
                <w:sz w:val="16"/>
                <w:szCs w:val="16"/>
              </w:rPr>
            </w:pPr>
            <w:r w:rsidRPr="007861F3">
              <w:rPr>
                <w:b/>
                <w:bCs/>
                <w:sz w:val="16"/>
                <w:szCs w:val="16"/>
              </w:rPr>
              <w:t>TLS</w:t>
            </w:r>
          </w:p>
        </w:tc>
      </w:tr>
      <w:tr w:rsidR="00D944AE" w:rsidRPr="007861F3" w:rsidTr="00E3403E">
        <w:tc>
          <w:tcPr>
            <w:tcW w:w="2125" w:type="dxa"/>
            <w:tcBorders>
              <w:top w:val="nil"/>
              <w:left w:val="single" w:sz="4" w:space="0" w:color="auto"/>
              <w:bottom w:val="single" w:sz="4" w:space="0" w:color="auto"/>
              <w:right w:val="nil"/>
            </w:tcBorders>
            <w:shd w:val="clear" w:color="auto" w:fill="FFFFFF"/>
          </w:tcPr>
          <w:p w:rsidR="00D944AE" w:rsidRPr="007861F3" w:rsidRDefault="00D944AE" w:rsidP="00E3403E">
            <w:pPr>
              <w:rPr>
                <w:sz w:val="16"/>
                <w:szCs w:val="16"/>
                <w:lang w:bidi="th-TH"/>
              </w:rPr>
            </w:pPr>
            <w:r w:rsidRPr="007861F3">
              <w:rPr>
                <w:sz w:val="16"/>
                <w:szCs w:val="16"/>
                <w:lang w:bidi="th-TH"/>
              </w:rPr>
              <w:t>Average Service Level of IP Offices assisted (ranging from 1 to 5)</w:t>
            </w:r>
          </w:p>
        </w:tc>
        <w:tc>
          <w:tcPr>
            <w:tcW w:w="1749" w:type="dxa"/>
            <w:tcBorders>
              <w:top w:val="nil"/>
              <w:left w:val="nil"/>
              <w:bottom w:val="single" w:sz="4" w:space="0" w:color="auto"/>
              <w:right w:val="nil"/>
            </w:tcBorders>
            <w:shd w:val="clear" w:color="auto" w:fill="auto"/>
          </w:tcPr>
          <w:p w:rsidR="00D944AE" w:rsidRPr="007861F3" w:rsidRDefault="00D944AE" w:rsidP="00E3403E">
            <w:pPr>
              <w:rPr>
                <w:sz w:val="16"/>
                <w:szCs w:val="16"/>
              </w:rPr>
            </w:pPr>
            <w:r w:rsidRPr="007861F3">
              <w:rPr>
                <w:i/>
                <w:sz w:val="16"/>
                <w:szCs w:val="16"/>
              </w:rPr>
              <w:t>Updated Baseline end 2013:</w:t>
            </w:r>
            <w:r w:rsidRPr="007861F3">
              <w:rPr>
                <w:sz w:val="16"/>
                <w:szCs w:val="16"/>
              </w:rPr>
              <w:t xml:space="preserve">  2.8</w:t>
            </w:r>
          </w:p>
          <w:p w:rsidR="00D944AE" w:rsidRPr="007861F3" w:rsidRDefault="00D944AE" w:rsidP="00E3403E">
            <w:pPr>
              <w:rPr>
                <w:i/>
                <w:sz w:val="16"/>
                <w:szCs w:val="16"/>
              </w:rPr>
            </w:pPr>
          </w:p>
          <w:p w:rsidR="00D944AE" w:rsidRPr="007861F3" w:rsidRDefault="00D944AE" w:rsidP="00E3403E">
            <w:pPr>
              <w:rPr>
                <w:sz w:val="16"/>
                <w:szCs w:val="16"/>
              </w:rPr>
            </w:pPr>
            <w:r w:rsidRPr="007861F3">
              <w:rPr>
                <w:i/>
                <w:sz w:val="16"/>
                <w:szCs w:val="16"/>
                <w:lang w:bidi="th-TH"/>
              </w:rPr>
              <w:t>Original Baseline P&amp;B 2014/15:</w:t>
            </w:r>
            <w:r w:rsidRPr="007861F3">
              <w:rPr>
                <w:sz w:val="16"/>
                <w:szCs w:val="16"/>
                <w:lang w:bidi="th-TH"/>
              </w:rPr>
              <w:t xml:space="preserve"> tbd</w:t>
            </w:r>
          </w:p>
        </w:tc>
        <w:tc>
          <w:tcPr>
            <w:tcW w:w="1797" w:type="dxa"/>
            <w:gridSpan w:val="2"/>
            <w:tcBorders>
              <w:top w:val="nil"/>
              <w:left w:val="nil"/>
              <w:bottom w:val="single" w:sz="4" w:space="0" w:color="auto"/>
              <w:right w:val="nil"/>
            </w:tcBorders>
            <w:shd w:val="clear" w:color="auto" w:fill="auto"/>
            <w:tcMar>
              <w:top w:w="110" w:type="dxa"/>
            </w:tcMar>
          </w:tcPr>
          <w:p w:rsidR="00D944AE" w:rsidRPr="007861F3" w:rsidRDefault="00D944AE" w:rsidP="00E3403E">
            <w:pPr>
              <w:pStyle w:val="Default"/>
              <w:rPr>
                <w:rFonts w:eastAsia="Times New Roman"/>
                <w:color w:val="auto"/>
                <w:sz w:val="16"/>
                <w:szCs w:val="16"/>
                <w:lang w:eastAsia="en-US"/>
              </w:rPr>
            </w:pPr>
            <w:r w:rsidRPr="007861F3">
              <w:rPr>
                <w:rFonts w:eastAsia="Times New Roman"/>
                <w:i/>
                <w:color w:val="auto"/>
                <w:sz w:val="16"/>
                <w:szCs w:val="16"/>
                <w:lang w:eastAsia="en-US"/>
              </w:rPr>
              <w:t xml:space="preserve">Defined Target:  </w:t>
            </w:r>
            <w:r w:rsidRPr="007861F3">
              <w:rPr>
                <w:rFonts w:eastAsia="Times New Roman"/>
                <w:color w:val="auto"/>
                <w:sz w:val="16"/>
                <w:szCs w:val="16"/>
                <w:lang w:eastAsia="en-US"/>
              </w:rPr>
              <w:t>3</w:t>
            </w:r>
          </w:p>
          <w:p w:rsidR="00D944AE" w:rsidRPr="007861F3" w:rsidRDefault="00D944AE" w:rsidP="00E3403E">
            <w:pPr>
              <w:pStyle w:val="Default"/>
              <w:rPr>
                <w:rFonts w:eastAsia="Times New Roman"/>
                <w:color w:val="auto"/>
                <w:sz w:val="16"/>
                <w:szCs w:val="16"/>
                <w:lang w:eastAsia="en-US"/>
              </w:rPr>
            </w:pPr>
          </w:p>
          <w:p w:rsidR="00D944AE" w:rsidRPr="007861F3" w:rsidRDefault="00D944AE" w:rsidP="00E3403E">
            <w:pPr>
              <w:rPr>
                <w:sz w:val="16"/>
                <w:szCs w:val="16"/>
                <w:lang w:bidi="th-TH"/>
              </w:rPr>
            </w:pPr>
            <w:r w:rsidRPr="007861F3">
              <w:rPr>
                <w:i/>
                <w:sz w:val="16"/>
                <w:szCs w:val="16"/>
              </w:rPr>
              <w:t xml:space="preserve">Original Target P&amp;B 2014/15: </w:t>
            </w:r>
            <w:r w:rsidRPr="007861F3">
              <w:rPr>
                <w:sz w:val="16"/>
                <w:szCs w:val="16"/>
              </w:rPr>
              <w:t>tbd</w:t>
            </w:r>
          </w:p>
        </w:tc>
        <w:tc>
          <w:tcPr>
            <w:tcW w:w="2551" w:type="dxa"/>
            <w:tcBorders>
              <w:top w:val="nil"/>
              <w:left w:val="nil"/>
              <w:bottom w:val="single" w:sz="4" w:space="0" w:color="auto"/>
              <w:right w:val="nil"/>
            </w:tcBorders>
            <w:shd w:val="clear" w:color="auto" w:fill="FFFFFF"/>
            <w:tcMar>
              <w:top w:w="110" w:type="dxa"/>
            </w:tcMar>
          </w:tcPr>
          <w:p w:rsidR="00D944AE" w:rsidRDefault="00D944AE">
            <w:pPr>
              <w:spacing w:line="276" w:lineRule="auto"/>
              <w:rPr>
                <w:color w:val="000000" w:themeColor="text1"/>
                <w:sz w:val="16"/>
                <w:szCs w:val="16"/>
              </w:rPr>
            </w:pPr>
            <w:r>
              <w:rPr>
                <w:color w:val="000000" w:themeColor="text1"/>
                <w:sz w:val="16"/>
                <w:szCs w:val="16"/>
              </w:rPr>
              <w:t>Overall average:  2.9</w:t>
            </w:r>
          </w:p>
          <w:p w:rsidR="00D944AE" w:rsidRDefault="00D944AE" w:rsidP="00D944AE">
            <w:pPr>
              <w:pStyle w:val="ListParagraph"/>
              <w:numPr>
                <w:ilvl w:val="0"/>
                <w:numId w:val="5"/>
              </w:numPr>
              <w:spacing w:line="276" w:lineRule="auto"/>
              <w:rPr>
                <w:color w:val="000000" w:themeColor="text1"/>
                <w:sz w:val="16"/>
                <w:szCs w:val="16"/>
              </w:rPr>
            </w:pPr>
            <w:r>
              <w:rPr>
                <w:color w:val="000000" w:themeColor="text1"/>
                <w:sz w:val="16"/>
                <w:szCs w:val="16"/>
              </w:rPr>
              <w:t>Africa:  2.9</w:t>
            </w:r>
          </w:p>
          <w:p w:rsidR="00D944AE" w:rsidRDefault="00D944AE" w:rsidP="00D944AE">
            <w:pPr>
              <w:pStyle w:val="ListParagraph"/>
              <w:numPr>
                <w:ilvl w:val="0"/>
                <w:numId w:val="5"/>
              </w:numPr>
              <w:spacing w:line="276" w:lineRule="auto"/>
              <w:rPr>
                <w:color w:val="000000" w:themeColor="text1"/>
                <w:sz w:val="16"/>
                <w:szCs w:val="16"/>
              </w:rPr>
            </w:pPr>
            <w:r>
              <w:rPr>
                <w:color w:val="000000" w:themeColor="text1"/>
                <w:sz w:val="16"/>
                <w:szCs w:val="16"/>
              </w:rPr>
              <w:t>Arab:  2.8</w:t>
            </w:r>
          </w:p>
          <w:p w:rsidR="00D944AE" w:rsidRDefault="00D944AE" w:rsidP="00D944AE">
            <w:pPr>
              <w:pStyle w:val="ListParagraph"/>
              <w:numPr>
                <w:ilvl w:val="0"/>
                <w:numId w:val="5"/>
              </w:numPr>
              <w:spacing w:line="276" w:lineRule="auto"/>
              <w:rPr>
                <w:color w:val="000000" w:themeColor="text1"/>
                <w:sz w:val="16"/>
                <w:szCs w:val="16"/>
              </w:rPr>
            </w:pPr>
            <w:r>
              <w:rPr>
                <w:color w:val="000000" w:themeColor="text1"/>
                <w:sz w:val="16"/>
                <w:szCs w:val="16"/>
              </w:rPr>
              <w:t>Asia and the Pacific:  2.7</w:t>
            </w:r>
          </w:p>
          <w:p w:rsidR="00D944AE" w:rsidRDefault="00D944AE" w:rsidP="00D944AE">
            <w:pPr>
              <w:pStyle w:val="ListParagraph"/>
              <w:numPr>
                <w:ilvl w:val="0"/>
                <w:numId w:val="5"/>
              </w:numPr>
              <w:spacing w:line="276" w:lineRule="auto"/>
              <w:rPr>
                <w:color w:val="000000" w:themeColor="text1"/>
                <w:sz w:val="16"/>
                <w:szCs w:val="16"/>
              </w:rPr>
            </w:pPr>
            <w:r>
              <w:rPr>
                <w:color w:val="000000" w:themeColor="text1"/>
                <w:sz w:val="16"/>
                <w:szCs w:val="16"/>
              </w:rPr>
              <w:t>Latin America and the Caribbean:  3</w:t>
            </w:r>
          </w:p>
          <w:p w:rsidR="00D944AE" w:rsidRPr="007861F3" w:rsidRDefault="00D944AE" w:rsidP="00E3403E">
            <w:pPr>
              <w:rPr>
                <w:sz w:val="16"/>
                <w:szCs w:val="16"/>
                <w:lang w:bidi="th-TH"/>
              </w:rPr>
            </w:pPr>
          </w:p>
        </w:tc>
        <w:tc>
          <w:tcPr>
            <w:tcW w:w="1276" w:type="dxa"/>
            <w:tcBorders>
              <w:top w:val="nil"/>
              <w:left w:val="nil"/>
              <w:bottom w:val="single" w:sz="4" w:space="0" w:color="auto"/>
              <w:right w:val="single" w:sz="4" w:space="0" w:color="auto"/>
            </w:tcBorders>
            <w:shd w:val="clear" w:color="auto" w:fill="auto"/>
            <w:tcMar>
              <w:top w:w="110" w:type="dxa"/>
            </w:tcMar>
          </w:tcPr>
          <w:p w:rsidR="00D944AE" w:rsidRPr="007861F3" w:rsidRDefault="00D944AE" w:rsidP="00E3403E">
            <w:pPr>
              <w:keepNext/>
              <w:keepLines/>
              <w:jc w:val="center"/>
              <w:rPr>
                <w:rFonts w:cs="Arial"/>
                <w:b/>
                <w:bCs/>
                <w:sz w:val="16"/>
                <w:szCs w:val="16"/>
              </w:rPr>
            </w:pPr>
            <w:r>
              <w:rPr>
                <w:rFonts w:cs="Arial"/>
                <w:b/>
                <w:bCs/>
                <w:color w:val="00B050"/>
                <w:sz w:val="16"/>
                <w:szCs w:val="16"/>
              </w:rPr>
              <w:t>Fully Achieved</w:t>
            </w:r>
          </w:p>
        </w:tc>
      </w:tr>
    </w:tbl>
    <w:p w:rsidR="00D944AE" w:rsidRPr="00256E96" w:rsidRDefault="00D944AE" w:rsidP="00E3403E">
      <w:pPr>
        <w:keepNext/>
        <w:keepLines/>
        <w:rPr>
          <w:rFonts w:cs="Arial"/>
          <w:szCs w:val="20"/>
        </w:rPr>
      </w:pPr>
      <w:r w:rsidRPr="00256E96">
        <w:rPr>
          <w:rFonts w:cs="Arial"/>
          <w:szCs w:val="20"/>
        </w:rPr>
        <w:lastRenderedPageBreak/>
        <w:t>RISK REPORTING FOR THE BIENNIUM</w:t>
      </w:r>
    </w:p>
    <w:p w:rsidR="00D944AE" w:rsidRPr="00256E96" w:rsidRDefault="00D944AE" w:rsidP="00E3403E">
      <w:pPr>
        <w:keepNext/>
        <w:keepLines/>
        <w:rPr>
          <w:b/>
          <w:szCs w:val="20"/>
        </w:rPr>
      </w:pPr>
    </w:p>
    <w:tbl>
      <w:tblPr>
        <w:tblW w:w="0" w:type="auto"/>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2420"/>
        <w:gridCol w:w="2200"/>
        <w:gridCol w:w="2310"/>
        <w:gridCol w:w="2306"/>
      </w:tblGrid>
      <w:tr w:rsidR="00D944AE" w:rsidRPr="007861F3" w:rsidTr="00E3403E">
        <w:trPr>
          <w:trHeight w:val="709"/>
        </w:trPr>
        <w:tc>
          <w:tcPr>
            <w:tcW w:w="2420" w:type="dxa"/>
            <w:tcBorders>
              <w:top w:val="single" w:sz="4" w:space="0" w:color="auto"/>
              <w:bottom w:val="single" w:sz="4" w:space="0" w:color="auto"/>
            </w:tcBorders>
            <w:shd w:val="clear" w:color="auto" w:fill="C6D9F1" w:themeFill="text2" w:themeFillTint="33"/>
            <w:vAlign w:val="center"/>
          </w:tcPr>
          <w:p w:rsidR="00D944AE" w:rsidRPr="007861F3" w:rsidRDefault="00D944AE" w:rsidP="00E3403E">
            <w:pPr>
              <w:keepNext/>
              <w:keepLines/>
              <w:autoSpaceDE w:val="0"/>
              <w:autoSpaceDN w:val="0"/>
              <w:adjustRightInd w:val="0"/>
              <w:ind w:right="-59"/>
              <w:jc w:val="center"/>
              <w:rPr>
                <w:b/>
                <w:sz w:val="18"/>
                <w:szCs w:val="18"/>
              </w:rPr>
            </w:pPr>
            <w:r w:rsidRPr="007861F3">
              <w:rPr>
                <w:b/>
                <w:sz w:val="18"/>
                <w:szCs w:val="18"/>
              </w:rPr>
              <w:t>Risk(s) to the Program achieving its Results</w:t>
            </w:r>
          </w:p>
        </w:tc>
        <w:tc>
          <w:tcPr>
            <w:tcW w:w="2200" w:type="dxa"/>
            <w:tcBorders>
              <w:top w:val="single" w:sz="4" w:space="0" w:color="auto"/>
              <w:bottom w:val="single" w:sz="4" w:space="0" w:color="auto"/>
            </w:tcBorders>
            <w:shd w:val="clear" w:color="auto" w:fill="C6D9F1" w:themeFill="text2" w:themeFillTint="33"/>
            <w:vAlign w:val="center"/>
          </w:tcPr>
          <w:p w:rsidR="00D944AE" w:rsidRPr="007861F3" w:rsidRDefault="00D944AE" w:rsidP="00E3403E">
            <w:pPr>
              <w:keepNext/>
              <w:keepLines/>
              <w:autoSpaceDE w:val="0"/>
              <w:autoSpaceDN w:val="0"/>
              <w:adjustRightInd w:val="0"/>
              <w:ind w:right="-59"/>
              <w:jc w:val="center"/>
              <w:rPr>
                <w:b/>
                <w:sz w:val="18"/>
                <w:szCs w:val="18"/>
              </w:rPr>
            </w:pPr>
            <w:r w:rsidRPr="007861F3">
              <w:rPr>
                <w:b/>
                <w:sz w:val="18"/>
                <w:szCs w:val="18"/>
              </w:rPr>
              <w:t>Mitigation plans in place or under implementation</w:t>
            </w:r>
          </w:p>
        </w:tc>
        <w:tc>
          <w:tcPr>
            <w:tcW w:w="2310" w:type="dxa"/>
            <w:tcBorders>
              <w:top w:val="single" w:sz="4" w:space="0" w:color="auto"/>
              <w:bottom w:val="single" w:sz="4" w:space="0" w:color="auto"/>
            </w:tcBorders>
            <w:shd w:val="clear" w:color="auto" w:fill="C6D9F1" w:themeFill="text2" w:themeFillTint="33"/>
          </w:tcPr>
          <w:p w:rsidR="00D944AE" w:rsidRPr="007861F3" w:rsidRDefault="00D944AE" w:rsidP="00E3403E">
            <w:pPr>
              <w:keepNext/>
              <w:keepLines/>
              <w:jc w:val="center"/>
              <w:rPr>
                <w:b/>
                <w:bCs/>
                <w:sz w:val="18"/>
                <w:szCs w:val="18"/>
              </w:rPr>
            </w:pPr>
            <w:r w:rsidRPr="007861F3">
              <w:rPr>
                <w:b/>
                <w:bCs/>
                <w:sz w:val="18"/>
                <w:szCs w:val="18"/>
              </w:rPr>
              <w:t>Evolution of Risk(s) and Mitigation Strategies Over the Biennium</w:t>
            </w:r>
          </w:p>
        </w:tc>
        <w:tc>
          <w:tcPr>
            <w:tcW w:w="2306" w:type="dxa"/>
            <w:tcBorders>
              <w:top w:val="single" w:sz="4" w:space="0" w:color="auto"/>
              <w:bottom w:val="single" w:sz="4" w:space="0" w:color="auto"/>
            </w:tcBorders>
            <w:shd w:val="clear" w:color="auto" w:fill="C6D9F1" w:themeFill="text2" w:themeFillTint="33"/>
          </w:tcPr>
          <w:p w:rsidR="00D944AE" w:rsidRPr="007861F3" w:rsidRDefault="00D944AE" w:rsidP="00E3403E">
            <w:pPr>
              <w:keepNext/>
              <w:keepLines/>
              <w:jc w:val="center"/>
              <w:rPr>
                <w:b/>
                <w:bCs/>
                <w:sz w:val="18"/>
                <w:szCs w:val="18"/>
              </w:rPr>
            </w:pPr>
            <w:r w:rsidRPr="007861F3">
              <w:rPr>
                <w:b/>
                <w:bCs/>
                <w:sz w:val="18"/>
                <w:szCs w:val="18"/>
              </w:rPr>
              <w:t>Impact on the Program’s Performance</w:t>
            </w:r>
          </w:p>
        </w:tc>
      </w:tr>
      <w:tr w:rsidR="00D944AE" w:rsidRPr="007861F3" w:rsidTr="00E3403E">
        <w:trPr>
          <w:trHeight w:val="1456"/>
        </w:trPr>
        <w:tc>
          <w:tcPr>
            <w:tcW w:w="2420" w:type="dxa"/>
            <w:tcBorders>
              <w:top w:val="single" w:sz="4" w:space="0" w:color="auto"/>
            </w:tcBorders>
            <w:shd w:val="clear" w:color="auto" w:fill="auto"/>
            <w:tcMar>
              <w:top w:w="113" w:type="dxa"/>
              <w:bottom w:w="85" w:type="dxa"/>
            </w:tcMar>
          </w:tcPr>
          <w:p w:rsidR="00D944AE" w:rsidRPr="007861F3" w:rsidRDefault="00D944AE" w:rsidP="00E3403E">
            <w:pPr>
              <w:keepNext/>
              <w:keepLines/>
              <w:autoSpaceDE w:val="0"/>
              <w:autoSpaceDN w:val="0"/>
              <w:adjustRightInd w:val="0"/>
              <w:ind w:right="-59"/>
              <w:rPr>
                <w:sz w:val="16"/>
                <w:szCs w:val="16"/>
              </w:rPr>
            </w:pPr>
            <w:r w:rsidRPr="007861F3">
              <w:rPr>
                <w:sz w:val="16"/>
                <w:szCs w:val="16"/>
              </w:rPr>
              <w:t>Risk of political instability in the Member States with high security risks and security downgrade that may cause cancellation of activities or delays in technical assistance delivery thus impeding Program 9’s ability to fully deliver its expected results</w:t>
            </w:r>
          </w:p>
        </w:tc>
        <w:tc>
          <w:tcPr>
            <w:tcW w:w="2200" w:type="dxa"/>
            <w:tcBorders>
              <w:top w:val="single" w:sz="4" w:space="0" w:color="auto"/>
            </w:tcBorders>
            <w:shd w:val="clear" w:color="auto" w:fill="auto"/>
            <w:tcMar>
              <w:top w:w="113" w:type="dxa"/>
              <w:bottom w:w="85" w:type="dxa"/>
            </w:tcMar>
          </w:tcPr>
          <w:p w:rsidR="00D944AE" w:rsidRPr="007861F3" w:rsidRDefault="00D944AE" w:rsidP="00E3403E">
            <w:pPr>
              <w:keepNext/>
              <w:keepLines/>
              <w:autoSpaceDE w:val="0"/>
              <w:autoSpaceDN w:val="0"/>
              <w:adjustRightInd w:val="0"/>
              <w:ind w:right="-59"/>
              <w:rPr>
                <w:sz w:val="16"/>
                <w:szCs w:val="16"/>
              </w:rPr>
            </w:pPr>
            <w:r w:rsidRPr="007861F3">
              <w:rPr>
                <w:sz w:val="16"/>
                <w:szCs w:val="16"/>
              </w:rPr>
              <w:t>(i) Risk assessment undertaken as appropriate and country plans/ annual activities formulated taking into account this assessment</w:t>
            </w:r>
          </w:p>
          <w:p w:rsidR="00D944AE" w:rsidRPr="007861F3" w:rsidRDefault="00D944AE" w:rsidP="00E3403E">
            <w:pPr>
              <w:keepNext/>
              <w:keepLines/>
              <w:autoSpaceDE w:val="0"/>
              <w:autoSpaceDN w:val="0"/>
              <w:adjustRightInd w:val="0"/>
              <w:ind w:right="-59"/>
              <w:rPr>
                <w:sz w:val="16"/>
                <w:szCs w:val="16"/>
              </w:rPr>
            </w:pPr>
            <w:r w:rsidRPr="007861F3">
              <w:rPr>
                <w:sz w:val="16"/>
                <w:szCs w:val="16"/>
              </w:rPr>
              <w:br/>
              <w:t>(ii) Constant monitoring with IP office and stakeholders to develop alternative plans</w:t>
            </w:r>
          </w:p>
        </w:tc>
        <w:tc>
          <w:tcPr>
            <w:tcW w:w="2310" w:type="dxa"/>
            <w:tcBorders>
              <w:top w:val="single" w:sz="4" w:space="0" w:color="auto"/>
            </w:tcBorders>
          </w:tcPr>
          <w:p w:rsidR="00D944AE" w:rsidRPr="007861F3" w:rsidRDefault="00D944AE" w:rsidP="00E3403E">
            <w:pPr>
              <w:keepNext/>
              <w:keepLines/>
              <w:autoSpaceDE w:val="0"/>
              <w:autoSpaceDN w:val="0"/>
              <w:adjustRightInd w:val="0"/>
              <w:ind w:right="-59"/>
              <w:rPr>
                <w:sz w:val="16"/>
                <w:szCs w:val="16"/>
              </w:rPr>
            </w:pPr>
            <w:r>
              <w:rPr>
                <w:sz w:val="16"/>
                <w:szCs w:val="16"/>
              </w:rPr>
              <w:t xml:space="preserve">The risk materialized </w:t>
            </w:r>
            <w:r w:rsidRPr="007861F3">
              <w:rPr>
                <w:sz w:val="16"/>
                <w:szCs w:val="16"/>
              </w:rPr>
              <w:t xml:space="preserve">due to the difficult </w:t>
            </w:r>
            <w:r>
              <w:rPr>
                <w:sz w:val="16"/>
                <w:szCs w:val="16"/>
              </w:rPr>
              <w:t xml:space="preserve">national </w:t>
            </w:r>
            <w:r w:rsidRPr="007861F3">
              <w:rPr>
                <w:sz w:val="16"/>
                <w:szCs w:val="16"/>
              </w:rPr>
              <w:t xml:space="preserve">situations and the continuous structural changes in IP institutions in </w:t>
            </w:r>
            <w:r>
              <w:rPr>
                <w:sz w:val="16"/>
                <w:szCs w:val="16"/>
              </w:rPr>
              <w:t>certain</w:t>
            </w:r>
            <w:r w:rsidRPr="007861F3">
              <w:rPr>
                <w:sz w:val="16"/>
                <w:szCs w:val="16"/>
              </w:rPr>
              <w:t xml:space="preserve"> Arab countries</w:t>
            </w:r>
            <w:r>
              <w:rPr>
                <w:sz w:val="16"/>
                <w:szCs w:val="16"/>
              </w:rPr>
              <w:t xml:space="preserve">.  To a limited extent, risk mitigation measures were successful in providing </w:t>
            </w:r>
            <w:r w:rsidRPr="007861F3">
              <w:rPr>
                <w:sz w:val="16"/>
                <w:szCs w:val="16"/>
              </w:rPr>
              <w:t>alternative options</w:t>
            </w:r>
            <w:r>
              <w:rPr>
                <w:sz w:val="16"/>
                <w:szCs w:val="16"/>
              </w:rPr>
              <w:t xml:space="preserve"> for the delivery of technical assistance</w:t>
            </w:r>
            <w:r w:rsidRPr="007861F3">
              <w:rPr>
                <w:sz w:val="16"/>
                <w:szCs w:val="16"/>
              </w:rPr>
              <w:t xml:space="preserve"> in consultation with relevant Authorities</w:t>
            </w:r>
            <w:r>
              <w:rPr>
                <w:sz w:val="16"/>
                <w:szCs w:val="16"/>
              </w:rPr>
              <w:t>.</w:t>
            </w:r>
          </w:p>
        </w:tc>
        <w:tc>
          <w:tcPr>
            <w:tcW w:w="2306" w:type="dxa"/>
            <w:tcBorders>
              <w:top w:val="single" w:sz="4" w:space="0" w:color="auto"/>
            </w:tcBorders>
          </w:tcPr>
          <w:p w:rsidR="00D944AE" w:rsidRPr="007861F3" w:rsidRDefault="00D944AE" w:rsidP="00E3403E">
            <w:pPr>
              <w:keepNext/>
              <w:keepLines/>
              <w:autoSpaceDE w:val="0"/>
              <w:autoSpaceDN w:val="0"/>
              <w:adjustRightInd w:val="0"/>
              <w:ind w:right="-59"/>
              <w:rPr>
                <w:sz w:val="16"/>
                <w:szCs w:val="16"/>
              </w:rPr>
            </w:pPr>
            <w:r>
              <w:rPr>
                <w:sz w:val="16"/>
                <w:szCs w:val="16"/>
              </w:rPr>
              <w:t>The mitigation actions could not fully address the impact of the risk, resulting in the partial or non-achievement of certain targets</w:t>
            </w:r>
            <w:r w:rsidRPr="007861F3">
              <w:rPr>
                <w:sz w:val="16"/>
                <w:szCs w:val="16"/>
              </w:rPr>
              <w:t>,</w:t>
            </w:r>
            <w:r>
              <w:rPr>
                <w:sz w:val="16"/>
                <w:szCs w:val="16"/>
              </w:rPr>
              <w:t xml:space="preserve"> as well as the</w:t>
            </w:r>
            <w:r w:rsidRPr="007861F3">
              <w:rPr>
                <w:sz w:val="16"/>
                <w:szCs w:val="16"/>
              </w:rPr>
              <w:t xml:space="preserve"> postponement</w:t>
            </w:r>
            <w:r>
              <w:rPr>
                <w:sz w:val="16"/>
                <w:szCs w:val="16"/>
              </w:rPr>
              <w:t xml:space="preserve"> and/or</w:t>
            </w:r>
            <w:r w:rsidRPr="007861F3">
              <w:rPr>
                <w:sz w:val="16"/>
                <w:szCs w:val="16"/>
              </w:rPr>
              <w:t xml:space="preserve"> redesig</w:t>
            </w:r>
            <w:r>
              <w:rPr>
                <w:sz w:val="16"/>
                <w:szCs w:val="16"/>
              </w:rPr>
              <w:t>n of technical assistance initiatives.</w:t>
            </w:r>
            <w:r w:rsidRPr="007861F3">
              <w:rPr>
                <w:sz w:val="16"/>
                <w:szCs w:val="16"/>
              </w:rPr>
              <w:t xml:space="preserve"> </w:t>
            </w:r>
          </w:p>
        </w:tc>
      </w:tr>
      <w:tr w:rsidR="00D944AE" w:rsidRPr="007861F3" w:rsidTr="00E3403E">
        <w:trPr>
          <w:trHeight w:val="1508"/>
        </w:trPr>
        <w:tc>
          <w:tcPr>
            <w:tcW w:w="2420" w:type="dxa"/>
            <w:shd w:val="clear" w:color="auto" w:fill="auto"/>
            <w:tcMar>
              <w:top w:w="113" w:type="dxa"/>
              <w:bottom w:w="85" w:type="dxa"/>
            </w:tcMar>
          </w:tcPr>
          <w:p w:rsidR="00D944AE" w:rsidRPr="007861F3" w:rsidRDefault="00D944AE" w:rsidP="00E3403E">
            <w:pPr>
              <w:keepNext/>
              <w:keepLines/>
              <w:autoSpaceDE w:val="0"/>
              <w:autoSpaceDN w:val="0"/>
              <w:adjustRightInd w:val="0"/>
              <w:ind w:right="-59"/>
              <w:rPr>
                <w:sz w:val="16"/>
                <w:szCs w:val="16"/>
              </w:rPr>
            </w:pPr>
            <w:r w:rsidRPr="007861F3">
              <w:rPr>
                <w:sz w:val="16"/>
                <w:szCs w:val="16"/>
              </w:rPr>
              <w:t>Political change leading to IP policy changes in the country and in Governments or in senior management of IP offices which may cause revision of affected countries’ work plans, and reducing or delaying delivery of services thus affecting attainment of expected results</w:t>
            </w:r>
          </w:p>
        </w:tc>
        <w:tc>
          <w:tcPr>
            <w:tcW w:w="2200" w:type="dxa"/>
            <w:shd w:val="clear" w:color="auto" w:fill="auto"/>
            <w:tcMar>
              <w:top w:w="113" w:type="dxa"/>
              <w:bottom w:w="85" w:type="dxa"/>
            </w:tcMar>
          </w:tcPr>
          <w:p w:rsidR="00D944AE" w:rsidRPr="007861F3" w:rsidRDefault="00D944AE" w:rsidP="00E3403E">
            <w:pPr>
              <w:keepNext/>
              <w:keepLines/>
              <w:autoSpaceDE w:val="0"/>
              <w:autoSpaceDN w:val="0"/>
              <w:adjustRightInd w:val="0"/>
              <w:ind w:right="-59"/>
              <w:rPr>
                <w:sz w:val="16"/>
                <w:szCs w:val="16"/>
              </w:rPr>
            </w:pPr>
            <w:r w:rsidRPr="007861F3">
              <w:rPr>
                <w:sz w:val="16"/>
                <w:szCs w:val="16"/>
              </w:rPr>
              <w:t>(i) Flexibility retained to make occasional adjustments in work plans for individual countries</w:t>
            </w:r>
          </w:p>
          <w:p w:rsidR="00D944AE" w:rsidRPr="007861F3" w:rsidRDefault="00D944AE" w:rsidP="00E3403E">
            <w:pPr>
              <w:keepNext/>
              <w:keepLines/>
              <w:autoSpaceDE w:val="0"/>
              <w:autoSpaceDN w:val="0"/>
              <w:adjustRightInd w:val="0"/>
              <w:ind w:right="-59"/>
              <w:rPr>
                <w:sz w:val="16"/>
                <w:szCs w:val="16"/>
              </w:rPr>
            </w:pPr>
            <w:r w:rsidRPr="007861F3">
              <w:rPr>
                <w:sz w:val="16"/>
                <w:szCs w:val="16"/>
              </w:rPr>
              <w:br/>
              <w:t>(ii) Encouraging and facilitating consensus building on national IP strategies and work plans</w:t>
            </w:r>
          </w:p>
        </w:tc>
        <w:tc>
          <w:tcPr>
            <w:tcW w:w="2310" w:type="dxa"/>
          </w:tcPr>
          <w:p w:rsidR="00D944AE" w:rsidRPr="007861F3" w:rsidRDefault="00D944AE" w:rsidP="00E3403E">
            <w:pPr>
              <w:keepNext/>
              <w:keepLines/>
              <w:autoSpaceDE w:val="0"/>
              <w:autoSpaceDN w:val="0"/>
              <w:adjustRightInd w:val="0"/>
              <w:ind w:right="-59"/>
              <w:rPr>
                <w:sz w:val="16"/>
                <w:szCs w:val="16"/>
              </w:rPr>
            </w:pPr>
            <w:r>
              <w:rPr>
                <w:sz w:val="16"/>
                <w:szCs w:val="16"/>
              </w:rPr>
              <w:t xml:space="preserve">The risk did materialize in certain countries.  Mitigation measures largely addressed the adverse impact in that </w:t>
            </w:r>
            <w:r w:rsidRPr="007861F3">
              <w:rPr>
                <w:sz w:val="16"/>
                <w:szCs w:val="16"/>
              </w:rPr>
              <w:t xml:space="preserve">flexibility and </w:t>
            </w:r>
            <w:r>
              <w:rPr>
                <w:sz w:val="16"/>
                <w:szCs w:val="16"/>
              </w:rPr>
              <w:t xml:space="preserve">increased </w:t>
            </w:r>
            <w:r w:rsidRPr="007861F3">
              <w:rPr>
                <w:sz w:val="16"/>
                <w:szCs w:val="16"/>
              </w:rPr>
              <w:t>dialog</w:t>
            </w:r>
            <w:r>
              <w:rPr>
                <w:sz w:val="16"/>
                <w:szCs w:val="16"/>
              </w:rPr>
              <w:t>ue with</w:t>
            </w:r>
            <w:r w:rsidRPr="007861F3">
              <w:rPr>
                <w:sz w:val="16"/>
                <w:szCs w:val="16"/>
              </w:rPr>
              <w:t xml:space="preserve"> newly appointed officials</w:t>
            </w:r>
            <w:r w:rsidRPr="007861F3" w:rsidDel="008A7D6A">
              <w:rPr>
                <w:sz w:val="16"/>
                <w:szCs w:val="16"/>
              </w:rPr>
              <w:t xml:space="preserve"> </w:t>
            </w:r>
            <w:r>
              <w:rPr>
                <w:sz w:val="16"/>
                <w:szCs w:val="16"/>
              </w:rPr>
              <w:t xml:space="preserve">facilitated </w:t>
            </w:r>
            <w:r w:rsidRPr="007861F3">
              <w:rPr>
                <w:sz w:val="16"/>
                <w:szCs w:val="16"/>
              </w:rPr>
              <w:t xml:space="preserve">the </w:t>
            </w:r>
            <w:r>
              <w:rPr>
                <w:sz w:val="16"/>
                <w:szCs w:val="16"/>
              </w:rPr>
              <w:t>required adjustments to national IP strategies and work plans.</w:t>
            </w:r>
          </w:p>
        </w:tc>
        <w:tc>
          <w:tcPr>
            <w:tcW w:w="2306" w:type="dxa"/>
          </w:tcPr>
          <w:p w:rsidR="00D944AE" w:rsidRPr="007861F3" w:rsidRDefault="00D944AE" w:rsidP="00E3403E">
            <w:pPr>
              <w:keepNext/>
              <w:keepLines/>
              <w:autoSpaceDE w:val="0"/>
              <w:autoSpaceDN w:val="0"/>
              <w:adjustRightInd w:val="0"/>
              <w:ind w:right="-59"/>
              <w:rPr>
                <w:sz w:val="16"/>
                <w:szCs w:val="16"/>
              </w:rPr>
            </w:pPr>
            <w:r>
              <w:rPr>
                <w:sz w:val="16"/>
                <w:szCs w:val="16"/>
              </w:rPr>
              <w:t xml:space="preserve">The mitigation actions largely addressed the </w:t>
            </w:r>
            <w:r w:rsidRPr="007861F3">
              <w:rPr>
                <w:sz w:val="16"/>
                <w:szCs w:val="16"/>
              </w:rPr>
              <w:t xml:space="preserve">impact on </w:t>
            </w:r>
            <w:r>
              <w:rPr>
                <w:sz w:val="16"/>
                <w:szCs w:val="16"/>
              </w:rPr>
              <w:t>the Program’s performance.</w:t>
            </w:r>
          </w:p>
        </w:tc>
      </w:tr>
    </w:tbl>
    <w:p w:rsidR="00D944AE" w:rsidRPr="007861F3" w:rsidRDefault="00D944AE" w:rsidP="00E3403E">
      <w:pPr>
        <w:rPr>
          <w:szCs w:val="22"/>
        </w:rPr>
      </w:pPr>
    </w:p>
    <w:p w:rsidR="00D944AE" w:rsidRDefault="00D944AE" w:rsidP="00E3403E">
      <w:pPr>
        <w:keepNext/>
        <w:keepLines/>
        <w:rPr>
          <w:szCs w:val="22"/>
        </w:rPr>
      </w:pPr>
    </w:p>
    <w:p w:rsidR="00D944AE" w:rsidRPr="007861F3" w:rsidRDefault="00D944AE" w:rsidP="00E3403E">
      <w:pPr>
        <w:keepNext/>
        <w:keepLines/>
        <w:rPr>
          <w:b/>
          <w:sz w:val="18"/>
          <w:szCs w:val="18"/>
        </w:rPr>
      </w:pPr>
      <w:r w:rsidRPr="007861F3">
        <w:rPr>
          <w:szCs w:val="22"/>
        </w:rPr>
        <w:t>RESOURCE UTILIZATION</w:t>
      </w:r>
      <w:r w:rsidRPr="007861F3">
        <w:rPr>
          <w:szCs w:val="22"/>
        </w:rPr>
        <w:tab/>
      </w:r>
    </w:p>
    <w:p w:rsidR="00D944AE" w:rsidRPr="007861F3" w:rsidRDefault="00D944AE" w:rsidP="00E3403E">
      <w:pPr>
        <w:keepNext/>
        <w:keepLines/>
      </w:pPr>
    </w:p>
    <w:p w:rsidR="00D944AE" w:rsidRPr="007861F3" w:rsidRDefault="00D944AE" w:rsidP="00E3403E">
      <w:pPr>
        <w:pStyle w:val="NormalWeb"/>
        <w:keepNext/>
        <w:keepLines/>
        <w:spacing w:before="0" w:beforeAutospacing="0" w:after="0" w:afterAutospacing="0"/>
        <w:jc w:val="center"/>
        <w:rPr>
          <w:sz w:val="20"/>
          <w:szCs w:val="20"/>
        </w:rPr>
      </w:pPr>
      <w:r w:rsidRPr="007861F3">
        <w:rPr>
          <w:sz w:val="20"/>
          <w:szCs w:val="20"/>
        </w:rPr>
        <w:t xml:space="preserve">Budget and Actual Expenditure (by result) </w:t>
      </w:r>
    </w:p>
    <w:p w:rsidR="00D944AE" w:rsidRPr="007861F3" w:rsidRDefault="00D944AE" w:rsidP="00E3403E">
      <w:pPr>
        <w:pStyle w:val="NormalWeb"/>
        <w:keepNext/>
        <w:keepLines/>
        <w:spacing w:before="0" w:beforeAutospacing="0" w:after="0" w:afterAutospacing="0"/>
        <w:jc w:val="center"/>
        <w:rPr>
          <w:i/>
          <w:iCs/>
          <w:sz w:val="20"/>
          <w:szCs w:val="20"/>
        </w:rPr>
      </w:pPr>
      <w:r w:rsidRPr="007861F3">
        <w:rPr>
          <w:i/>
          <w:iCs/>
          <w:sz w:val="20"/>
          <w:szCs w:val="20"/>
        </w:rPr>
        <w:t>(in thousands of Swiss francs)</w:t>
      </w:r>
    </w:p>
    <w:p w:rsidR="00D944AE" w:rsidRPr="007861F3" w:rsidRDefault="00D944AE" w:rsidP="00E3403E">
      <w:pPr>
        <w:keepNext/>
        <w:keepLines/>
        <w:jc w:val="center"/>
        <w:rPr>
          <w:bCs/>
        </w:rPr>
      </w:pPr>
    </w:p>
    <w:p w:rsidR="00D944AE" w:rsidRPr="007861F3" w:rsidRDefault="00D944AE" w:rsidP="00E3403E">
      <w:pPr>
        <w:jc w:val="center"/>
        <w:rPr>
          <w:bCs/>
        </w:rPr>
      </w:pPr>
      <w:r w:rsidRPr="00C769AE">
        <w:rPr>
          <w:noProof/>
        </w:rPr>
        <w:drawing>
          <wp:inline distT="0" distB="0" distL="0" distR="0" wp14:anchorId="2C074C8C" wp14:editId="2F104FBB">
            <wp:extent cx="4979577" cy="3588588"/>
            <wp:effectExtent l="0" t="0" r="0" b="0"/>
            <wp:docPr id="856" name="Picture 8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4986292" cy="3593428"/>
                    </a:xfrm>
                    <a:prstGeom prst="rect">
                      <a:avLst/>
                    </a:prstGeom>
                    <a:noFill/>
                    <a:ln>
                      <a:noFill/>
                    </a:ln>
                  </pic:spPr>
                </pic:pic>
              </a:graphicData>
            </a:graphic>
          </wp:inline>
        </w:drawing>
      </w:r>
    </w:p>
    <w:p w:rsidR="00D944AE" w:rsidRPr="007861F3" w:rsidRDefault="00D944AE" w:rsidP="00E3403E"/>
    <w:p w:rsidR="00D944AE" w:rsidRPr="007861F3" w:rsidRDefault="00D944AE" w:rsidP="00E3403E">
      <w:pPr>
        <w:pStyle w:val="NormalWeb"/>
        <w:keepNext/>
        <w:keepLines/>
        <w:spacing w:before="0" w:beforeAutospacing="0" w:after="0" w:afterAutospacing="0"/>
        <w:jc w:val="center"/>
        <w:rPr>
          <w:sz w:val="20"/>
          <w:szCs w:val="20"/>
        </w:rPr>
      </w:pPr>
    </w:p>
    <w:p w:rsidR="00D944AE" w:rsidRPr="007861F3" w:rsidRDefault="00D944AE" w:rsidP="00E3403E">
      <w:pPr>
        <w:pStyle w:val="NormalWeb"/>
        <w:keepNext/>
        <w:keepLines/>
        <w:spacing w:before="0" w:beforeAutospacing="0" w:after="0" w:afterAutospacing="0"/>
        <w:jc w:val="center"/>
        <w:rPr>
          <w:sz w:val="20"/>
          <w:szCs w:val="20"/>
        </w:rPr>
      </w:pPr>
      <w:r w:rsidRPr="007861F3">
        <w:rPr>
          <w:sz w:val="20"/>
          <w:szCs w:val="20"/>
        </w:rPr>
        <w:t xml:space="preserve">Budget and Actual Expenditure (personnel and non-personnel) </w:t>
      </w:r>
    </w:p>
    <w:p w:rsidR="00D944AE" w:rsidRPr="007861F3" w:rsidRDefault="00D944AE" w:rsidP="00E3403E">
      <w:pPr>
        <w:pStyle w:val="NormalWeb"/>
        <w:keepNext/>
        <w:keepLines/>
        <w:spacing w:before="0" w:beforeAutospacing="0" w:after="0" w:afterAutospacing="0"/>
        <w:jc w:val="center"/>
        <w:rPr>
          <w:i/>
          <w:iCs/>
          <w:sz w:val="20"/>
          <w:szCs w:val="20"/>
        </w:rPr>
      </w:pPr>
      <w:r w:rsidRPr="007861F3">
        <w:rPr>
          <w:i/>
          <w:iCs/>
          <w:sz w:val="20"/>
          <w:szCs w:val="20"/>
        </w:rPr>
        <w:t>(in thousands of Swiss francs)</w:t>
      </w:r>
    </w:p>
    <w:p w:rsidR="00D944AE" w:rsidRPr="007861F3" w:rsidRDefault="00D944AE" w:rsidP="00E3403E">
      <w:pPr>
        <w:keepNext/>
        <w:keepLines/>
        <w:rPr>
          <w:bCs/>
          <w:sz w:val="18"/>
        </w:rPr>
      </w:pPr>
    </w:p>
    <w:p w:rsidR="00D944AE" w:rsidRPr="007861F3" w:rsidRDefault="00D944AE" w:rsidP="00E3403E">
      <w:pPr>
        <w:keepNext/>
        <w:keepLines/>
        <w:widowControl w:val="0"/>
        <w:autoSpaceDE w:val="0"/>
        <w:autoSpaceDN w:val="0"/>
        <w:adjustRightInd w:val="0"/>
        <w:jc w:val="center"/>
      </w:pPr>
      <w:r w:rsidRPr="00C769AE">
        <w:rPr>
          <w:noProof/>
        </w:rPr>
        <w:drawing>
          <wp:inline distT="0" distB="0" distL="0" distR="0" wp14:anchorId="1FCF8D9B" wp14:editId="78783086">
            <wp:extent cx="4873925" cy="937549"/>
            <wp:effectExtent l="0" t="0" r="3175" b="0"/>
            <wp:docPr id="857" name="Picture 8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4880276" cy="938771"/>
                    </a:xfrm>
                    <a:prstGeom prst="rect">
                      <a:avLst/>
                    </a:prstGeom>
                    <a:noFill/>
                    <a:ln>
                      <a:noFill/>
                    </a:ln>
                  </pic:spPr>
                </pic:pic>
              </a:graphicData>
            </a:graphic>
          </wp:inline>
        </w:drawing>
      </w:r>
    </w:p>
    <w:p w:rsidR="00D944AE" w:rsidRPr="00256E96" w:rsidRDefault="00D944AE" w:rsidP="00E3403E">
      <w:pPr>
        <w:widowControl w:val="0"/>
        <w:autoSpaceDE w:val="0"/>
        <w:autoSpaceDN w:val="0"/>
        <w:adjustRightInd w:val="0"/>
      </w:pPr>
    </w:p>
    <w:p w:rsidR="00D944AE" w:rsidRPr="00256E96" w:rsidRDefault="00D944AE" w:rsidP="00E3403E">
      <w:pPr>
        <w:widowControl w:val="0"/>
        <w:autoSpaceDE w:val="0"/>
        <w:autoSpaceDN w:val="0"/>
        <w:adjustRightInd w:val="0"/>
      </w:pPr>
    </w:p>
    <w:p w:rsidR="00D944AE" w:rsidRPr="00256E96" w:rsidRDefault="00D944AE" w:rsidP="00E3403E">
      <w:pPr>
        <w:jc w:val="both"/>
        <w:rPr>
          <w:szCs w:val="18"/>
        </w:rPr>
      </w:pPr>
      <w:r w:rsidRPr="00256E96">
        <w:rPr>
          <w:szCs w:val="18"/>
        </w:rPr>
        <w:t>A.</w:t>
      </w:r>
      <w:r w:rsidRPr="00256E96">
        <w:rPr>
          <w:szCs w:val="18"/>
        </w:rPr>
        <w:tab/>
      </w:r>
      <w:r w:rsidRPr="00256E96">
        <w:rPr>
          <w:szCs w:val="18"/>
          <w:u w:val="single"/>
        </w:rPr>
        <w:t xml:space="preserve">2014/15 Final Budget after Transfers </w:t>
      </w:r>
    </w:p>
    <w:p w:rsidR="00D944AE" w:rsidRPr="00256E96" w:rsidRDefault="00D944AE" w:rsidP="00E3403E">
      <w:pPr>
        <w:jc w:val="both"/>
        <w:rPr>
          <w:szCs w:val="18"/>
        </w:rPr>
      </w:pPr>
    </w:p>
    <w:p w:rsidR="00D944AE" w:rsidRPr="00A14C20" w:rsidRDefault="00D944AE" w:rsidP="003A4903">
      <w:pPr>
        <w:pStyle w:val="ListParagraph"/>
        <w:numPr>
          <w:ilvl w:val="1"/>
          <w:numId w:val="109"/>
        </w:numPr>
        <w:tabs>
          <w:tab w:val="left" w:pos="709"/>
        </w:tabs>
        <w:contextualSpacing/>
        <w:jc w:val="both"/>
        <w:rPr>
          <w:rFonts w:eastAsia="SimSun"/>
          <w:bCs/>
          <w:lang w:eastAsia="zh-CN"/>
        </w:rPr>
      </w:pPr>
      <w:r w:rsidRPr="00A14C20">
        <w:rPr>
          <w:rFonts w:eastAsia="SimSun"/>
          <w:bCs/>
          <w:lang w:eastAsia="zh-CN"/>
        </w:rPr>
        <w:t>The shift in resources between several Expected Results reflects an enhanced focus on the facilitation and coordination of: (i) WIPO’s legislative advice activities in the area of patents, trademarks, industrial designs and copyright (Expected Result I.2</w:t>
      </w:r>
      <w:r>
        <w:rPr>
          <w:rFonts w:eastAsia="SimSun"/>
          <w:bCs/>
          <w:lang w:eastAsia="zh-CN"/>
        </w:rPr>
        <w:t xml:space="preserve"> Legislative advice</w:t>
      </w:r>
      <w:r w:rsidRPr="00A14C20">
        <w:rPr>
          <w:rFonts w:eastAsia="SimSun"/>
          <w:bCs/>
          <w:lang w:eastAsia="zh-CN"/>
        </w:rPr>
        <w:t xml:space="preserve">); </w:t>
      </w:r>
      <w:r>
        <w:rPr>
          <w:rFonts w:eastAsia="SimSun"/>
          <w:bCs/>
          <w:lang w:eastAsia="zh-CN"/>
        </w:rPr>
        <w:t xml:space="preserve"> </w:t>
      </w:r>
      <w:r w:rsidRPr="00A14C20">
        <w:rPr>
          <w:rFonts w:eastAsia="SimSun"/>
          <w:bCs/>
          <w:lang w:eastAsia="zh-CN"/>
        </w:rPr>
        <w:t>(ii) WIPO activities related to the access to and use of IP information through the increased number of sustainable national TISC networks (Expected Result IV.2)</w:t>
      </w:r>
      <w:r>
        <w:rPr>
          <w:rFonts w:eastAsia="SimSun"/>
          <w:bCs/>
          <w:lang w:eastAsia="zh-CN"/>
        </w:rPr>
        <w:t xml:space="preserve">; </w:t>
      </w:r>
      <w:r w:rsidRPr="00A14C20">
        <w:rPr>
          <w:rFonts w:eastAsia="SimSun"/>
          <w:bCs/>
          <w:lang w:eastAsia="zh-CN"/>
        </w:rPr>
        <w:t xml:space="preserve"> and (iii) efforts to assist IP Offices and other IP institutions to develop their technical and knowledge infrastructure (Expected Result IV.4</w:t>
      </w:r>
      <w:r>
        <w:rPr>
          <w:rFonts w:eastAsia="SimSun"/>
          <w:bCs/>
          <w:lang w:eastAsia="zh-CN"/>
        </w:rPr>
        <w:t xml:space="preserve"> Enhanced technical and knowledge infrastructure</w:t>
      </w:r>
      <w:r w:rsidRPr="00A14C20">
        <w:rPr>
          <w:rFonts w:eastAsia="SimSun"/>
          <w:bCs/>
          <w:lang w:eastAsia="zh-CN"/>
        </w:rPr>
        <w:t>).</w:t>
      </w:r>
    </w:p>
    <w:p w:rsidR="00D944AE" w:rsidRPr="00256E96" w:rsidRDefault="00D944AE" w:rsidP="00E3403E">
      <w:pPr>
        <w:jc w:val="both"/>
        <w:rPr>
          <w:szCs w:val="20"/>
        </w:rPr>
      </w:pPr>
    </w:p>
    <w:p w:rsidR="00D944AE" w:rsidRPr="00256E96" w:rsidRDefault="00D944AE" w:rsidP="00E3403E">
      <w:pPr>
        <w:jc w:val="both"/>
        <w:rPr>
          <w:szCs w:val="20"/>
          <w:u w:val="single"/>
        </w:rPr>
      </w:pPr>
      <w:r w:rsidRPr="00256E96">
        <w:rPr>
          <w:szCs w:val="20"/>
        </w:rPr>
        <w:t>B.</w:t>
      </w:r>
      <w:r w:rsidRPr="00256E96">
        <w:rPr>
          <w:szCs w:val="20"/>
        </w:rPr>
        <w:tab/>
      </w:r>
      <w:r w:rsidRPr="00256E96">
        <w:rPr>
          <w:szCs w:val="20"/>
          <w:u w:val="single"/>
        </w:rPr>
        <w:t xml:space="preserve">2014/15 Budget Utilization </w:t>
      </w:r>
    </w:p>
    <w:p w:rsidR="00D944AE" w:rsidRPr="00256E96" w:rsidRDefault="00D944AE" w:rsidP="00E3403E">
      <w:pPr>
        <w:jc w:val="both"/>
        <w:rPr>
          <w:szCs w:val="20"/>
          <w:u w:val="single"/>
        </w:rPr>
      </w:pPr>
    </w:p>
    <w:p w:rsidR="00D944AE" w:rsidRPr="00A14C20" w:rsidRDefault="00D944AE" w:rsidP="003A4903">
      <w:pPr>
        <w:pStyle w:val="ListParagraph"/>
        <w:numPr>
          <w:ilvl w:val="1"/>
          <w:numId w:val="109"/>
        </w:numPr>
        <w:tabs>
          <w:tab w:val="left" w:pos="709"/>
        </w:tabs>
        <w:contextualSpacing/>
        <w:jc w:val="both"/>
        <w:rPr>
          <w:rFonts w:eastAsia="SimSun"/>
          <w:bCs/>
          <w:lang w:eastAsia="zh-CN"/>
        </w:rPr>
      </w:pPr>
      <w:r>
        <w:rPr>
          <w:rFonts w:eastAsia="SimSun"/>
          <w:bCs/>
          <w:lang w:eastAsia="zh-CN"/>
        </w:rPr>
        <w:t>The l</w:t>
      </w:r>
      <w:r w:rsidRPr="00A14C20">
        <w:rPr>
          <w:rFonts w:eastAsia="SimSun"/>
          <w:bCs/>
          <w:lang w:eastAsia="zh-CN"/>
        </w:rPr>
        <w:t>ower-than-anticipated utilization rate for non-personnel resources was mainly due to the postponement or cancellation of certain planned events/activities at the request of certain Member States or in compliance with UN security guidelines.  Health risk</w:t>
      </w:r>
      <w:r>
        <w:rPr>
          <w:rFonts w:eastAsia="SimSun"/>
          <w:bCs/>
          <w:lang w:eastAsia="zh-CN"/>
        </w:rPr>
        <w:t>s</w:t>
      </w:r>
      <w:r w:rsidRPr="00A14C20">
        <w:rPr>
          <w:rFonts w:eastAsia="SimSun"/>
          <w:bCs/>
          <w:lang w:eastAsia="zh-CN"/>
        </w:rPr>
        <w:t xml:space="preserve"> and associated travel restrictions due to </w:t>
      </w:r>
      <w:r>
        <w:rPr>
          <w:rFonts w:eastAsia="SimSun"/>
          <w:bCs/>
          <w:lang w:eastAsia="zh-CN"/>
        </w:rPr>
        <w:t xml:space="preserve">the </w:t>
      </w:r>
      <w:r w:rsidRPr="00A14C20">
        <w:rPr>
          <w:rFonts w:eastAsia="SimSun"/>
          <w:bCs/>
          <w:lang w:eastAsia="zh-CN"/>
        </w:rPr>
        <w:t xml:space="preserve">Ebola </w:t>
      </w:r>
      <w:r>
        <w:rPr>
          <w:rFonts w:eastAsia="SimSun"/>
          <w:bCs/>
          <w:lang w:eastAsia="zh-CN"/>
        </w:rPr>
        <w:t xml:space="preserve">crisis </w:t>
      </w:r>
      <w:r w:rsidRPr="00A14C20">
        <w:rPr>
          <w:rFonts w:eastAsia="SimSun"/>
          <w:bCs/>
          <w:lang w:eastAsia="zh-CN"/>
        </w:rPr>
        <w:t xml:space="preserve">also led to cancellation of some planned activities. Furthermore, reductions in travel and related costs were achieved through the implementation of an increasing number of events on clustered or back-to-back bases. </w:t>
      </w:r>
    </w:p>
    <w:p w:rsidR="008A4774" w:rsidRDefault="008A4774">
      <w:pPr>
        <w:rPr>
          <w:rFonts w:cs="Arial"/>
          <w:szCs w:val="20"/>
        </w:rPr>
      </w:pPr>
    </w:p>
    <w:p w:rsidR="008A4774" w:rsidRDefault="008A4774">
      <w:pPr>
        <w:rPr>
          <w:rFonts w:cs="Arial"/>
          <w:szCs w:val="20"/>
        </w:rPr>
      </w:pPr>
      <w:r>
        <w:rPr>
          <w:rFonts w:cs="Arial"/>
          <w:szCs w:val="20"/>
        </w:rPr>
        <w:br w:type="page"/>
      </w:r>
    </w:p>
    <w:p w:rsidR="00B11299" w:rsidRPr="001243AF" w:rsidRDefault="00B11299" w:rsidP="00B11299">
      <w:pPr>
        <w:pStyle w:val="Heading2"/>
        <w:tabs>
          <w:tab w:val="clear" w:pos="567"/>
          <w:tab w:val="left" w:pos="1985"/>
          <w:tab w:val="left" w:pos="2268"/>
        </w:tabs>
        <w:ind w:left="1985" w:hanging="1985"/>
      </w:pPr>
      <w:bookmarkStart w:id="74" w:name="_Toc454544477"/>
      <w:r w:rsidRPr="001243AF">
        <w:lastRenderedPageBreak/>
        <w:t>PROGRAM 1</w:t>
      </w:r>
      <w:r>
        <w:t>0</w:t>
      </w:r>
      <w:r>
        <w:tab/>
        <w:t>COOPERATIONS WITH CERTAIN COUNTRIES IN EUROPE AND ASIA</w:t>
      </w:r>
      <w:bookmarkEnd w:id="74"/>
    </w:p>
    <w:p w:rsidR="00B11299" w:rsidRPr="00383D2D" w:rsidRDefault="00B11299" w:rsidP="00B11299">
      <w:pPr>
        <w:rPr>
          <w:szCs w:val="20"/>
        </w:rPr>
      </w:pPr>
    </w:p>
    <w:p w:rsidR="00B11299" w:rsidRPr="000C286E" w:rsidRDefault="00B11299" w:rsidP="00B11299">
      <w:pPr>
        <w:tabs>
          <w:tab w:val="left" w:pos="1985"/>
        </w:tabs>
        <w:rPr>
          <w:sz w:val="18"/>
          <w:szCs w:val="20"/>
        </w:rPr>
      </w:pPr>
      <w:r w:rsidRPr="000C286E">
        <w:rPr>
          <w:b/>
          <w:szCs w:val="22"/>
        </w:rPr>
        <w:t>Program Manager</w:t>
      </w:r>
      <w:r w:rsidRPr="000C286E">
        <w:rPr>
          <w:b/>
          <w:szCs w:val="22"/>
        </w:rPr>
        <w:tab/>
        <w:t>Director General</w:t>
      </w:r>
    </w:p>
    <w:p w:rsidR="00B11299" w:rsidRDefault="00B11299" w:rsidP="00B11299">
      <w:pPr>
        <w:jc w:val="both"/>
        <w:rPr>
          <w:rFonts w:cs="Arial"/>
          <w:szCs w:val="20"/>
        </w:rPr>
      </w:pPr>
    </w:p>
    <w:p w:rsidR="00F153C1" w:rsidRDefault="00F153C1" w:rsidP="00FD7155">
      <w:pPr>
        <w:jc w:val="both"/>
        <w:rPr>
          <w:rFonts w:cs="Arial"/>
          <w:szCs w:val="20"/>
        </w:rPr>
      </w:pPr>
    </w:p>
    <w:p w:rsidR="00F30DE1" w:rsidRPr="00641FF5" w:rsidRDefault="00F30DE1" w:rsidP="00220419">
      <w:pPr>
        <w:rPr>
          <w:bCs/>
          <w:szCs w:val="20"/>
        </w:rPr>
      </w:pPr>
      <w:r w:rsidRPr="00641FF5">
        <w:rPr>
          <w:bCs/>
          <w:szCs w:val="20"/>
        </w:rPr>
        <w:t>ACHIEVEMENTS IN THE 2014/15 BIENNIUM</w:t>
      </w:r>
    </w:p>
    <w:p w:rsidR="00F30DE1" w:rsidRPr="00641FF5" w:rsidRDefault="00F30DE1" w:rsidP="00220419">
      <w:pPr>
        <w:rPr>
          <w:bCs/>
          <w:szCs w:val="20"/>
        </w:rPr>
      </w:pPr>
    </w:p>
    <w:p w:rsidR="00F30DE1" w:rsidRPr="00641FF5" w:rsidRDefault="00F30DE1" w:rsidP="00F6573D">
      <w:pPr>
        <w:pStyle w:val="ListParagraph"/>
        <w:numPr>
          <w:ilvl w:val="0"/>
          <w:numId w:val="76"/>
        </w:numPr>
        <w:tabs>
          <w:tab w:val="left" w:pos="709"/>
        </w:tabs>
        <w:spacing w:after="200"/>
        <w:ind w:left="0" w:firstLine="0"/>
        <w:jc w:val="both"/>
        <w:rPr>
          <w:rFonts w:cs="Arial"/>
        </w:rPr>
      </w:pPr>
      <w:r w:rsidRPr="00641FF5">
        <w:rPr>
          <w:rFonts w:cs="Arial"/>
        </w:rPr>
        <w:t>In the 2014/15 biennium, Program 10</w:t>
      </w:r>
      <w:r>
        <w:rPr>
          <w:rFonts w:cs="Arial"/>
        </w:rPr>
        <w:t xml:space="preserve"> continued to develop</w:t>
      </w:r>
      <w:r w:rsidRPr="00641FF5">
        <w:rPr>
          <w:rFonts w:cs="Arial"/>
        </w:rPr>
        <w:t xml:space="preserve">, </w:t>
      </w:r>
      <w:r>
        <w:rPr>
          <w:rFonts w:cs="Arial"/>
        </w:rPr>
        <w:t>and in cooperation with all relevant Sectors,</w:t>
      </w:r>
      <w:r w:rsidRPr="00641FF5">
        <w:rPr>
          <w:rFonts w:cs="Arial"/>
        </w:rPr>
        <w:t xml:space="preserve"> </w:t>
      </w:r>
      <w:r>
        <w:rPr>
          <w:rFonts w:cs="Arial"/>
        </w:rPr>
        <w:t>to coordinate the</w:t>
      </w:r>
      <w:r w:rsidRPr="00641FF5">
        <w:rPr>
          <w:rFonts w:cs="Arial"/>
        </w:rPr>
        <w:t xml:space="preserve"> implementation of long-term</w:t>
      </w:r>
      <w:r>
        <w:rPr>
          <w:rFonts w:cs="Arial"/>
        </w:rPr>
        <w:t>,</w:t>
      </w:r>
      <w:r w:rsidRPr="00641FF5">
        <w:rPr>
          <w:rFonts w:cs="Arial"/>
        </w:rPr>
        <w:t xml:space="preserve"> results oriented </w:t>
      </w:r>
      <w:r>
        <w:rPr>
          <w:rFonts w:cs="Arial"/>
        </w:rPr>
        <w:t xml:space="preserve">country </w:t>
      </w:r>
      <w:r w:rsidRPr="00641FF5">
        <w:rPr>
          <w:rFonts w:cs="Arial"/>
        </w:rPr>
        <w:t xml:space="preserve">cooperation </w:t>
      </w:r>
      <w:r>
        <w:rPr>
          <w:rFonts w:cs="Arial"/>
        </w:rPr>
        <w:t>activities</w:t>
      </w:r>
      <w:r w:rsidRPr="00641FF5">
        <w:rPr>
          <w:rFonts w:cs="Arial"/>
        </w:rPr>
        <w:t xml:space="preserve"> in countries in transition</w:t>
      </w:r>
      <w:r>
        <w:rPr>
          <w:rFonts w:cs="Arial"/>
        </w:rPr>
        <w:t>.  To this end, efforts in the biennium were focused on a strategic multi-year planning approach to promoting the use of the IP system to stimulate innovation and creativity for economic, social and cultural development</w:t>
      </w:r>
      <w:r w:rsidRPr="00641FF5">
        <w:rPr>
          <w:rFonts w:cs="Arial"/>
        </w:rPr>
        <w:t xml:space="preserve"> </w:t>
      </w:r>
    </w:p>
    <w:p w:rsidR="00F30DE1" w:rsidRPr="003048CF" w:rsidRDefault="00F30DE1" w:rsidP="00F6573D">
      <w:pPr>
        <w:pStyle w:val="ListParagraph"/>
        <w:numPr>
          <w:ilvl w:val="0"/>
          <w:numId w:val="76"/>
        </w:numPr>
        <w:tabs>
          <w:tab w:val="left" w:pos="709"/>
        </w:tabs>
        <w:spacing w:after="200"/>
        <w:ind w:left="0" w:firstLine="0"/>
        <w:jc w:val="both"/>
        <w:rPr>
          <w:rFonts w:cs="Arial"/>
        </w:rPr>
      </w:pPr>
      <w:r w:rsidRPr="003048CF">
        <w:rPr>
          <w:rFonts w:cs="Arial"/>
        </w:rPr>
        <w:t>Promotion of the importance of and/or assistance in the development and implementation of long</w:t>
      </w:r>
      <w:r>
        <w:rPr>
          <w:rFonts w:cs="Arial"/>
        </w:rPr>
        <w:noBreakHyphen/>
      </w:r>
      <w:r w:rsidRPr="003048CF">
        <w:rPr>
          <w:rFonts w:cs="Arial"/>
        </w:rPr>
        <w:t>term and comprehensive national IP strategies to meet the needs of Member States remained a priority in 2014</w:t>
      </w:r>
      <w:r>
        <w:rPr>
          <w:rFonts w:cs="Arial"/>
        </w:rPr>
        <w:t>/15.  S</w:t>
      </w:r>
      <w:r w:rsidRPr="003048CF">
        <w:rPr>
          <w:rFonts w:cs="Arial"/>
        </w:rPr>
        <w:t>ix countries (Bulgaria, Slovenia, Tajikistan, Turkey, Turkmenistan</w:t>
      </w:r>
      <w:r>
        <w:rPr>
          <w:rFonts w:cs="Arial"/>
        </w:rPr>
        <w:t xml:space="preserve"> and</w:t>
      </w:r>
      <w:r w:rsidRPr="003048CF">
        <w:rPr>
          <w:rFonts w:cs="Arial"/>
        </w:rPr>
        <w:t xml:space="preserve"> Ukraine) </w:t>
      </w:r>
      <w:r>
        <w:rPr>
          <w:rFonts w:cs="Arial"/>
        </w:rPr>
        <w:t>adopted IP related national strategies and four countries (</w:t>
      </w:r>
      <w:r w:rsidRPr="003048CF">
        <w:rPr>
          <w:rFonts w:cs="Arial"/>
        </w:rPr>
        <w:t>Albania, Georgia, Latvia and Poland</w:t>
      </w:r>
      <w:r>
        <w:rPr>
          <w:rFonts w:cs="Arial"/>
        </w:rPr>
        <w:t>)</w:t>
      </w:r>
      <w:r w:rsidRPr="003048CF">
        <w:rPr>
          <w:rFonts w:cs="Arial"/>
        </w:rPr>
        <w:t xml:space="preserve"> initiated </w:t>
      </w:r>
      <w:r>
        <w:rPr>
          <w:rFonts w:cs="Arial"/>
        </w:rPr>
        <w:t>the development of a new strategy</w:t>
      </w:r>
      <w:r w:rsidRPr="003048CF">
        <w:rPr>
          <w:rFonts w:cs="Arial"/>
        </w:rPr>
        <w:t xml:space="preserve">.  The Program also conducted post-implementation evaluations in three countries (Belarus, the Republic of Moldova and Serbia) in order to assess the outcomes of the implementation of already finalized IP strategies and to identify lessons learned. </w:t>
      </w:r>
    </w:p>
    <w:p w:rsidR="00F30DE1" w:rsidRPr="00641FF5" w:rsidRDefault="00F30DE1" w:rsidP="00F6573D">
      <w:pPr>
        <w:pStyle w:val="ListParagraph"/>
        <w:numPr>
          <w:ilvl w:val="0"/>
          <w:numId w:val="76"/>
        </w:numPr>
        <w:tabs>
          <w:tab w:val="left" w:pos="709"/>
        </w:tabs>
        <w:spacing w:after="200"/>
        <w:ind w:left="0" w:firstLine="0"/>
        <w:jc w:val="both"/>
        <w:rPr>
          <w:rFonts w:cs="Arial"/>
        </w:rPr>
      </w:pPr>
      <w:r w:rsidRPr="00641FF5">
        <w:rPr>
          <w:rFonts w:cs="Arial"/>
        </w:rPr>
        <w:t>In line with the cooperation plans and national IP strategies and</w:t>
      </w:r>
      <w:r>
        <w:rPr>
          <w:rFonts w:cs="Arial"/>
        </w:rPr>
        <w:t>,</w:t>
      </w:r>
      <w:r w:rsidRPr="00641FF5">
        <w:rPr>
          <w:rFonts w:cs="Arial"/>
        </w:rPr>
        <w:t xml:space="preserve"> following WIPO assistance, including promotional activities, nine countries (Kazakhstan, Kyrgyzstan, Latvia, Lithuania, Montenegro, the Republic of Moldova, the Russian Federation, Tajikistan</w:t>
      </w:r>
      <w:r>
        <w:rPr>
          <w:rFonts w:cs="Arial"/>
        </w:rPr>
        <w:t xml:space="preserve"> and</w:t>
      </w:r>
      <w:r w:rsidRPr="00641FF5">
        <w:rPr>
          <w:rFonts w:cs="Arial"/>
        </w:rPr>
        <w:t xml:space="preserve"> Turkmenistan) amended their national IP legislation and/or joined WIPO-administered Treaties.  </w:t>
      </w:r>
    </w:p>
    <w:p w:rsidR="00F30DE1" w:rsidRPr="00641FF5" w:rsidRDefault="00F30DE1" w:rsidP="00F6573D">
      <w:pPr>
        <w:pStyle w:val="ListParagraph"/>
        <w:numPr>
          <w:ilvl w:val="0"/>
          <w:numId w:val="76"/>
        </w:numPr>
        <w:tabs>
          <w:tab w:val="left" w:pos="709"/>
        </w:tabs>
        <w:spacing w:after="200"/>
        <w:ind w:left="0" w:firstLine="0"/>
        <w:jc w:val="both"/>
        <w:rPr>
          <w:rFonts w:cs="Arial"/>
        </w:rPr>
      </w:pPr>
      <w:r>
        <w:rPr>
          <w:rFonts w:cs="Arial"/>
        </w:rPr>
        <w:t>In order to support the development of IP policies in universities, relevant projects and activities were implemented in Estonia, Lithuania, Poland, the Russian Federation</w:t>
      </w:r>
      <w:r>
        <w:t xml:space="preserve">, Slovakia and Uzbekistan.  With WIPO assistance, one university in the Russian Federation and one university in Uzbekistan </w:t>
      </w:r>
      <w:r w:rsidRPr="00A42092">
        <w:t>developed IP policies</w:t>
      </w:r>
      <w:r>
        <w:t xml:space="preserve"> in 2014.  In addition, </w:t>
      </w:r>
      <w:r>
        <w:rPr>
          <w:rFonts w:cs="Arial"/>
        </w:rPr>
        <w:t>o</w:t>
      </w:r>
      <w:r w:rsidRPr="00641FF5">
        <w:rPr>
          <w:rFonts w:cs="Arial"/>
        </w:rPr>
        <w:t>n October 1, 2014, Poland adopted a Law on Higher Education, which made it compulsory for all higher educational institutions</w:t>
      </w:r>
      <w:r>
        <w:rPr>
          <w:rFonts w:cs="Arial"/>
        </w:rPr>
        <w:t xml:space="preserve"> (132 public and 302 non-public)</w:t>
      </w:r>
      <w:r w:rsidRPr="00641FF5">
        <w:rPr>
          <w:rFonts w:cs="Arial"/>
        </w:rPr>
        <w:t xml:space="preserve"> to have in place an up</w:t>
      </w:r>
      <w:r>
        <w:rPr>
          <w:rFonts w:cs="Arial"/>
        </w:rPr>
        <w:noBreakHyphen/>
      </w:r>
      <w:r w:rsidRPr="00641FF5">
        <w:rPr>
          <w:rFonts w:cs="Arial"/>
        </w:rPr>
        <w:t xml:space="preserve">to-date institutional </w:t>
      </w:r>
      <w:r>
        <w:rPr>
          <w:rFonts w:cs="Arial"/>
        </w:rPr>
        <w:t xml:space="preserve">IP </w:t>
      </w:r>
      <w:r w:rsidRPr="00641FF5">
        <w:rPr>
          <w:rFonts w:cs="Arial"/>
        </w:rPr>
        <w:t xml:space="preserve">policy by March 31, 2015.  </w:t>
      </w:r>
      <w:r>
        <w:rPr>
          <w:rFonts w:cs="Arial"/>
        </w:rPr>
        <w:t>By the end of the biennium</w:t>
      </w:r>
      <w:r w:rsidRPr="00641FF5">
        <w:rPr>
          <w:rFonts w:cs="Arial"/>
        </w:rPr>
        <w:t>, 43</w:t>
      </w:r>
      <w:r>
        <w:rPr>
          <w:rFonts w:cs="Arial"/>
        </w:rPr>
        <w:t>4</w:t>
      </w:r>
      <w:r w:rsidR="004B29CC">
        <w:rPr>
          <w:rFonts w:cs="Arial"/>
        </w:rPr>
        <w:t> </w:t>
      </w:r>
      <w:r w:rsidRPr="00641FF5">
        <w:rPr>
          <w:rFonts w:cs="Arial"/>
        </w:rPr>
        <w:t>Universities/higher education institutions in Poland</w:t>
      </w:r>
      <w:r>
        <w:rPr>
          <w:rFonts w:cs="Arial"/>
        </w:rPr>
        <w:t xml:space="preserve"> had</w:t>
      </w:r>
      <w:r w:rsidRPr="00641FF5">
        <w:rPr>
          <w:rFonts w:cs="Arial"/>
        </w:rPr>
        <w:t xml:space="preserve"> developed </w:t>
      </w:r>
      <w:r>
        <w:rPr>
          <w:rFonts w:cs="Arial"/>
        </w:rPr>
        <w:t xml:space="preserve">new </w:t>
      </w:r>
      <w:r w:rsidRPr="00641FF5">
        <w:rPr>
          <w:rFonts w:cs="Arial"/>
        </w:rPr>
        <w:t xml:space="preserve">IP policies. </w:t>
      </w:r>
    </w:p>
    <w:p w:rsidR="00F30DE1" w:rsidRPr="00641FF5" w:rsidRDefault="00F30DE1" w:rsidP="00F6573D">
      <w:pPr>
        <w:pStyle w:val="ListParagraph"/>
        <w:numPr>
          <w:ilvl w:val="0"/>
          <w:numId w:val="76"/>
        </w:numPr>
        <w:tabs>
          <w:tab w:val="left" w:pos="709"/>
        </w:tabs>
        <w:spacing w:after="200"/>
        <w:ind w:left="0" w:firstLine="0"/>
        <w:jc w:val="both"/>
        <w:rPr>
          <w:rFonts w:cs="Arial"/>
        </w:rPr>
      </w:pPr>
      <w:r w:rsidRPr="00641FF5">
        <w:rPr>
          <w:rFonts w:cs="Arial"/>
        </w:rPr>
        <w:t xml:space="preserve">The Program continued to support countries in building their national human resource capacities and enhancing the awareness and the knowledge base for an effective use of IP for economic, social and cultural development.  </w:t>
      </w:r>
      <w:r>
        <w:rPr>
          <w:rFonts w:cs="Arial"/>
        </w:rPr>
        <w:t>In 2014/15 more than 6,000 s</w:t>
      </w:r>
      <w:r w:rsidRPr="00641FF5">
        <w:rPr>
          <w:rFonts w:cs="Arial"/>
        </w:rPr>
        <w:t xml:space="preserve">pecialists and experts, among others, from </w:t>
      </w:r>
      <w:r>
        <w:rPr>
          <w:rFonts w:cs="Arial"/>
        </w:rPr>
        <w:t>n</w:t>
      </w:r>
      <w:r w:rsidRPr="00641FF5">
        <w:rPr>
          <w:rFonts w:cs="Arial"/>
        </w:rPr>
        <w:t xml:space="preserve">ational IP Offices and other government agencies, SMEs, universities and public research institutions were trained through </w:t>
      </w:r>
      <w:r>
        <w:rPr>
          <w:rFonts w:cs="Arial"/>
        </w:rPr>
        <w:t>tailored IP programs, including</w:t>
      </w:r>
      <w:r w:rsidRPr="00641FF5">
        <w:rPr>
          <w:rFonts w:cs="Arial"/>
        </w:rPr>
        <w:t xml:space="preserve"> </w:t>
      </w:r>
      <w:r>
        <w:rPr>
          <w:rFonts w:cs="Arial"/>
        </w:rPr>
        <w:t xml:space="preserve">on </w:t>
      </w:r>
      <w:r w:rsidRPr="00641FF5">
        <w:rPr>
          <w:rFonts w:cs="Arial"/>
        </w:rPr>
        <w:t>IP management and technology transfer, SMEs, enforcement, copyright</w:t>
      </w:r>
      <w:r>
        <w:rPr>
          <w:rFonts w:cs="Arial"/>
        </w:rPr>
        <w:t>, IP teaching and WIPO services</w:t>
      </w:r>
      <w:r w:rsidRPr="00641FF5">
        <w:rPr>
          <w:rFonts w:cs="Arial"/>
        </w:rPr>
        <w:t xml:space="preserve">. </w:t>
      </w:r>
      <w:r>
        <w:rPr>
          <w:rFonts w:cs="Arial"/>
        </w:rPr>
        <w:t xml:space="preserve"> </w:t>
      </w:r>
      <w:r w:rsidRPr="00641FF5">
        <w:rPr>
          <w:rFonts w:cs="Arial"/>
        </w:rPr>
        <w:t xml:space="preserve">Through a number of post-event follow-up surveys, </w:t>
      </w:r>
      <w:r>
        <w:rPr>
          <w:rFonts w:cs="Arial"/>
        </w:rPr>
        <w:t xml:space="preserve">participants provided positive feedback with </w:t>
      </w:r>
      <w:r w:rsidRPr="00641FF5">
        <w:rPr>
          <w:rFonts w:cs="Arial"/>
        </w:rPr>
        <w:t>95.8</w:t>
      </w:r>
      <w:r>
        <w:rPr>
          <w:rFonts w:cs="Arial"/>
        </w:rPr>
        <w:t xml:space="preserve"> per cent</w:t>
      </w:r>
      <w:r w:rsidRPr="00641FF5">
        <w:rPr>
          <w:rFonts w:cs="Arial"/>
        </w:rPr>
        <w:t xml:space="preserve"> of </w:t>
      </w:r>
      <w:r>
        <w:rPr>
          <w:rFonts w:cs="Arial"/>
        </w:rPr>
        <w:t xml:space="preserve">respondents reporting satisfaction </w:t>
      </w:r>
      <w:r w:rsidRPr="00641FF5">
        <w:rPr>
          <w:rFonts w:cs="Arial"/>
        </w:rPr>
        <w:t>with the events and 82.7</w:t>
      </w:r>
      <w:r>
        <w:rPr>
          <w:rFonts w:cs="Arial"/>
        </w:rPr>
        <w:t> per cent</w:t>
      </w:r>
      <w:r w:rsidRPr="00641FF5">
        <w:rPr>
          <w:rFonts w:cs="Arial"/>
        </w:rPr>
        <w:t xml:space="preserve"> </w:t>
      </w:r>
      <w:r>
        <w:rPr>
          <w:rFonts w:cs="Arial"/>
        </w:rPr>
        <w:t>confirming t</w:t>
      </w:r>
      <w:r w:rsidRPr="00641FF5">
        <w:rPr>
          <w:rFonts w:cs="Arial"/>
        </w:rPr>
        <w:t>h</w:t>
      </w:r>
      <w:r>
        <w:rPr>
          <w:rFonts w:cs="Arial"/>
        </w:rPr>
        <w:t>e</w:t>
      </w:r>
      <w:r w:rsidRPr="00641FF5">
        <w:rPr>
          <w:rFonts w:cs="Arial"/>
        </w:rPr>
        <w:t xml:space="preserve"> upgrad</w:t>
      </w:r>
      <w:r>
        <w:rPr>
          <w:rFonts w:cs="Arial"/>
        </w:rPr>
        <w:t>ing of</w:t>
      </w:r>
      <w:r w:rsidRPr="00641FF5">
        <w:rPr>
          <w:rFonts w:cs="Arial"/>
        </w:rPr>
        <w:t xml:space="preserve"> their work skills.  </w:t>
      </w:r>
    </w:p>
    <w:p w:rsidR="00F30DE1" w:rsidRPr="00641FF5" w:rsidRDefault="00F30DE1" w:rsidP="00F6573D">
      <w:pPr>
        <w:pStyle w:val="ListParagraph"/>
        <w:numPr>
          <w:ilvl w:val="0"/>
          <w:numId w:val="76"/>
        </w:numPr>
        <w:tabs>
          <w:tab w:val="left" w:pos="709"/>
        </w:tabs>
        <w:spacing w:after="200"/>
        <w:ind w:left="0" w:firstLine="0"/>
        <w:jc w:val="both"/>
        <w:rPr>
          <w:rFonts w:cs="Arial"/>
        </w:rPr>
      </w:pPr>
      <w:r w:rsidRPr="00641FF5">
        <w:rPr>
          <w:rFonts w:cs="Arial"/>
        </w:rPr>
        <w:t xml:space="preserve">During the 2014/15 biennium, WIPO Summer Schools were organized in Croatia and the Russian Federation. </w:t>
      </w:r>
    </w:p>
    <w:p w:rsidR="00F30DE1" w:rsidRPr="00641FF5" w:rsidRDefault="00F30DE1" w:rsidP="00F6573D">
      <w:pPr>
        <w:pStyle w:val="ListParagraph"/>
        <w:numPr>
          <w:ilvl w:val="0"/>
          <w:numId w:val="76"/>
        </w:numPr>
        <w:tabs>
          <w:tab w:val="left" w:pos="709"/>
        </w:tabs>
        <w:spacing w:after="200"/>
        <w:ind w:left="0" w:firstLine="0"/>
        <w:jc w:val="both"/>
        <w:rPr>
          <w:rFonts w:cs="Arial"/>
        </w:rPr>
      </w:pPr>
      <w:r>
        <w:rPr>
          <w:rFonts w:cs="Arial"/>
        </w:rPr>
        <w:t>S</w:t>
      </w:r>
      <w:r w:rsidRPr="00641FF5">
        <w:rPr>
          <w:rFonts w:cs="Arial"/>
        </w:rPr>
        <w:t xml:space="preserve">upport </w:t>
      </w:r>
      <w:r>
        <w:rPr>
          <w:rFonts w:cs="Arial"/>
        </w:rPr>
        <w:t xml:space="preserve">to </w:t>
      </w:r>
      <w:r w:rsidRPr="00641FF5">
        <w:rPr>
          <w:rFonts w:cs="Arial"/>
        </w:rPr>
        <w:t>countries in transition in developing IP teaching curricula and establishing annual IP training programs and/or courses for IP professionals</w:t>
      </w:r>
      <w:r>
        <w:rPr>
          <w:rFonts w:cs="Arial"/>
        </w:rPr>
        <w:t xml:space="preserve"> was further enhanced during the biennium</w:t>
      </w:r>
      <w:r w:rsidRPr="00641FF5">
        <w:rPr>
          <w:rFonts w:cs="Arial"/>
        </w:rPr>
        <w:t xml:space="preserve">. </w:t>
      </w:r>
      <w:r>
        <w:rPr>
          <w:rFonts w:cs="Arial"/>
        </w:rPr>
        <w:t xml:space="preserve"> Notably</w:t>
      </w:r>
      <w:r w:rsidRPr="00641FF5">
        <w:rPr>
          <w:rFonts w:cs="Arial"/>
        </w:rPr>
        <w:t xml:space="preserve">, support was provided to the Government of Romania in the development of an optional course on </w:t>
      </w:r>
      <w:r>
        <w:rPr>
          <w:rFonts w:cs="Arial"/>
        </w:rPr>
        <w:t>IP</w:t>
      </w:r>
      <w:r w:rsidRPr="00641FF5">
        <w:rPr>
          <w:rFonts w:cs="Arial"/>
        </w:rPr>
        <w:t xml:space="preserve"> in all high schools</w:t>
      </w:r>
      <w:r>
        <w:rPr>
          <w:rFonts w:cs="Arial"/>
        </w:rPr>
        <w:t>,</w:t>
      </w:r>
      <w:r w:rsidRPr="00641FF5">
        <w:rPr>
          <w:rFonts w:cs="Arial"/>
        </w:rPr>
        <w:t xml:space="preserve"> </w:t>
      </w:r>
      <w:r>
        <w:rPr>
          <w:rFonts w:cs="Arial"/>
        </w:rPr>
        <w:t xml:space="preserve">the </w:t>
      </w:r>
      <w:r w:rsidRPr="00641FF5">
        <w:rPr>
          <w:rFonts w:cs="Arial"/>
        </w:rPr>
        <w:t>School Program for the Optional Course Education for Intellectual Property Rights (Curriculum at the High-school Decision)</w:t>
      </w:r>
      <w:r>
        <w:rPr>
          <w:rFonts w:cs="Arial"/>
        </w:rPr>
        <w:t xml:space="preserve">, which was approved and officially introduced into the curriculum on </w:t>
      </w:r>
      <w:r w:rsidRPr="00641FF5">
        <w:rPr>
          <w:rFonts w:cs="Arial"/>
        </w:rPr>
        <w:t>March 27, 2015</w:t>
      </w:r>
      <w:r>
        <w:rPr>
          <w:rFonts w:cs="Arial"/>
        </w:rPr>
        <w:t>.</w:t>
      </w:r>
      <w:r w:rsidRPr="00641FF5">
        <w:rPr>
          <w:rFonts w:cs="Arial"/>
        </w:rPr>
        <w:t xml:space="preserve"> </w:t>
      </w:r>
    </w:p>
    <w:p w:rsidR="00F30DE1" w:rsidRPr="00FC6F75" w:rsidRDefault="00F30DE1" w:rsidP="00F6573D">
      <w:pPr>
        <w:pStyle w:val="ListParagraph"/>
        <w:numPr>
          <w:ilvl w:val="0"/>
          <w:numId w:val="76"/>
        </w:numPr>
        <w:tabs>
          <w:tab w:val="left" w:pos="709"/>
        </w:tabs>
        <w:spacing w:after="200"/>
        <w:ind w:left="0" w:firstLine="0"/>
        <w:jc w:val="both"/>
        <w:rPr>
          <w:rFonts w:cs="Arial"/>
        </w:rPr>
      </w:pPr>
      <w:r w:rsidRPr="000C286E">
        <w:rPr>
          <w:rFonts w:cs="Arial"/>
        </w:rPr>
        <w:t xml:space="preserve">The Program continued to strengthen efforts to improve the coordination, promotion and delivery of WIPO services, with the objective to increase their use in transition and developed countries.  </w:t>
      </w:r>
    </w:p>
    <w:p w:rsidR="00F30DE1" w:rsidRDefault="00F30DE1" w:rsidP="00F6573D">
      <w:pPr>
        <w:pStyle w:val="ListParagraph"/>
        <w:numPr>
          <w:ilvl w:val="0"/>
          <w:numId w:val="76"/>
        </w:numPr>
        <w:tabs>
          <w:tab w:val="left" w:pos="709"/>
        </w:tabs>
        <w:spacing w:after="200"/>
        <w:ind w:left="0" w:firstLine="0"/>
        <w:jc w:val="both"/>
        <w:rPr>
          <w:rFonts w:cs="Arial"/>
        </w:rPr>
      </w:pPr>
      <w:r w:rsidRPr="00641FF5">
        <w:rPr>
          <w:rFonts w:cs="Arial"/>
        </w:rPr>
        <w:t>In 2014</w:t>
      </w:r>
      <w:r>
        <w:rPr>
          <w:rFonts w:cs="Arial"/>
        </w:rPr>
        <w:t>/</w:t>
      </w:r>
      <w:r w:rsidRPr="00641FF5">
        <w:rPr>
          <w:rFonts w:cs="Arial"/>
        </w:rPr>
        <w:t xml:space="preserve">15, </w:t>
      </w:r>
      <w:r>
        <w:rPr>
          <w:rFonts w:cs="Arial"/>
        </w:rPr>
        <w:t xml:space="preserve">some 3,000 professionals from </w:t>
      </w:r>
      <w:r w:rsidRPr="00641FF5">
        <w:rPr>
          <w:rFonts w:cs="Arial"/>
        </w:rPr>
        <w:t>18 countries</w:t>
      </w:r>
      <w:r>
        <w:rPr>
          <w:rFonts w:cs="Arial"/>
        </w:rPr>
        <w:t xml:space="preserve"> (</w:t>
      </w:r>
      <w:r w:rsidRPr="00641FF5">
        <w:rPr>
          <w:rFonts w:cs="Arial"/>
        </w:rPr>
        <w:t>Australia</w:t>
      </w:r>
      <w:r>
        <w:rPr>
          <w:rFonts w:cs="Arial"/>
        </w:rPr>
        <w:t xml:space="preserve">, Austria, Belgium, Finland, France, </w:t>
      </w:r>
      <w:r w:rsidRPr="00641FF5">
        <w:rPr>
          <w:rFonts w:cs="Arial"/>
        </w:rPr>
        <w:t>Germany</w:t>
      </w:r>
      <w:r>
        <w:rPr>
          <w:rFonts w:cs="Arial"/>
        </w:rPr>
        <w:t xml:space="preserve">, </w:t>
      </w:r>
      <w:r w:rsidRPr="00641FF5">
        <w:rPr>
          <w:rFonts w:cs="Arial"/>
        </w:rPr>
        <w:t>Ireland</w:t>
      </w:r>
      <w:r>
        <w:rPr>
          <w:rFonts w:cs="Arial"/>
        </w:rPr>
        <w:t>, Israel, Italy</w:t>
      </w:r>
      <w:r w:rsidRPr="00641FF5">
        <w:rPr>
          <w:rFonts w:cs="Arial"/>
        </w:rPr>
        <w:t>,</w:t>
      </w:r>
      <w:r>
        <w:rPr>
          <w:rFonts w:cs="Arial"/>
        </w:rPr>
        <w:t xml:space="preserve"> Japan, </w:t>
      </w:r>
      <w:r w:rsidRPr="00641FF5">
        <w:rPr>
          <w:rFonts w:cs="Arial"/>
        </w:rPr>
        <w:t>Luxembourg, Netherlands</w:t>
      </w:r>
      <w:r>
        <w:rPr>
          <w:rFonts w:cs="Arial"/>
        </w:rPr>
        <w:t>,</w:t>
      </w:r>
      <w:r w:rsidRPr="00641FF5">
        <w:rPr>
          <w:rFonts w:cs="Arial"/>
        </w:rPr>
        <w:t xml:space="preserve"> </w:t>
      </w:r>
      <w:r>
        <w:rPr>
          <w:rFonts w:cs="Arial"/>
        </w:rPr>
        <w:t xml:space="preserve">New Zealand, Portugal, </w:t>
      </w:r>
      <w:r w:rsidRPr="00641FF5">
        <w:rPr>
          <w:rFonts w:cs="Arial"/>
        </w:rPr>
        <w:t xml:space="preserve">Spain, </w:t>
      </w:r>
      <w:r>
        <w:rPr>
          <w:rFonts w:cs="Arial"/>
        </w:rPr>
        <w:t xml:space="preserve">Sweden, </w:t>
      </w:r>
      <w:r w:rsidRPr="00641FF5">
        <w:rPr>
          <w:rFonts w:cs="Arial"/>
        </w:rPr>
        <w:t xml:space="preserve">United Kingdom </w:t>
      </w:r>
      <w:r>
        <w:rPr>
          <w:rFonts w:cs="Arial"/>
        </w:rPr>
        <w:t xml:space="preserve">and the </w:t>
      </w:r>
      <w:r w:rsidRPr="00641FF5">
        <w:rPr>
          <w:rFonts w:cs="Arial"/>
        </w:rPr>
        <w:t xml:space="preserve">United States </w:t>
      </w:r>
      <w:r>
        <w:rPr>
          <w:rFonts w:cs="Arial"/>
        </w:rPr>
        <w:t xml:space="preserve">of America) attended </w:t>
      </w:r>
      <w:r w:rsidRPr="00641FF5">
        <w:rPr>
          <w:rFonts w:cs="Arial"/>
        </w:rPr>
        <w:t xml:space="preserve">36 Roving Seminars </w:t>
      </w:r>
      <w:r>
        <w:rPr>
          <w:rFonts w:cs="Arial"/>
        </w:rPr>
        <w:t>on WIPO services and initiatives.  O</w:t>
      </w:r>
      <w:r w:rsidRPr="00641FF5">
        <w:rPr>
          <w:rFonts w:cs="Arial"/>
        </w:rPr>
        <w:t>ver 90</w:t>
      </w:r>
      <w:r>
        <w:rPr>
          <w:rFonts w:cs="Arial"/>
        </w:rPr>
        <w:t xml:space="preserve"> per cent</w:t>
      </w:r>
      <w:r w:rsidRPr="00641FF5">
        <w:rPr>
          <w:rFonts w:cs="Arial"/>
        </w:rPr>
        <w:t xml:space="preserve"> of survey respondents either agree</w:t>
      </w:r>
      <w:r>
        <w:rPr>
          <w:rFonts w:cs="Arial"/>
        </w:rPr>
        <w:t>d</w:t>
      </w:r>
      <w:r w:rsidRPr="00641FF5">
        <w:rPr>
          <w:rFonts w:cs="Arial"/>
        </w:rPr>
        <w:t xml:space="preserve"> or strongly agree</w:t>
      </w:r>
      <w:r>
        <w:rPr>
          <w:rFonts w:cs="Arial"/>
        </w:rPr>
        <w:t>d</w:t>
      </w:r>
      <w:r w:rsidRPr="00641FF5">
        <w:rPr>
          <w:rFonts w:cs="Arial"/>
        </w:rPr>
        <w:t xml:space="preserve"> that the seminar was relevant for their professional work</w:t>
      </w:r>
      <w:r>
        <w:rPr>
          <w:rFonts w:cs="Arial"/>
        </w:rPr>
        <w:t>,</w:t>
      </w:r>
      <w:r w:rsidRPr="00641FF5">
        <w:rPr>
          <w:rFonts w:cs="Arial"/>
        </w:rPr>
        <w:t xml:space="preserve"> and over 80</w:t>
      </w:r>
      <w:r>
        <w:rPr>
          <w:rFonts w:cs="Arial"/>
        </w:rPr>
        <w:t xml:space="preserve"> per cent</w:t>
      </w:r>
      <w:r w:rsidRPr="00641FF5">
        <w:rPr>
          <w:rFonts w:cs="Arial"/>
        </w:rPr>
        <w:t xml:space="preserve"> of survey respondents either agree</w:t>
      </w:r>
      <w:r>
        <w:rPr>
          <w:rFonts w:cs="Arial"/>
        </w:rPr>
        <w:t>d</w:t>
      </w:r>
      <w:r w:rsidRPr="00641FF5">
        <w:rPr>
          <w:rFonts w:cs="Arial"/>
        </w:rPr>
        <w:t xml:space="preserve"> or strongly agree</w:t>
      </w:r>
      <w:r>
        <w:rPr>
          <w:rFonts w:cs="Arial"/>
        </w:rPr>
        <w:t>d</w:t>
      </w:r>
      <w:r w:rsidRPr="00641FF5">
        <w:rPr>
          <w:rFonts w:cs="Arial"/>
        </w:rPr>
        <w:t xml:space="preserve"> that the seminar made it more likely that they w</w:t>
      </w:r>
      <w:r>
        <w:rPr>
          <w:rFonts w:cs="Arial"/>
        </w:rPr>
        <w:t>ould</w:t>
      </w:r>
      <w:r w:rsidRPr="00641FF5">
        <w:rPr>
          <w:rFonts w:cs="Arial"/>
        </w:rPr>
        <w:t xml:space="preserve"> use/recommend the IP services offered by WIPO in the future.</w:t>
      </w:r>
      <w:r>
        <w:rPr>
          <w:rFonts w:cs="Arial"/>
        </w:rPr>
        <w:t xml:space="preserve">  </w:t>
      </w:r>
      <w:r w:rsidRPr="001747C0">
        <w:rPr>
          <w:rFonts w:cs="Arial"/>
        </w:rPr>
        <w:t>Additionally, 98</w:t>
      </w:r>
      <w:r>
        <w:rPr>
          <w:rFonts w:cs="Arial"/>
        </w:rPr>
        <w:t xml:space="preserve"> per cent</w:t>
      </w:r>
      <w:r w:rsidRPr="001747C0">
        <w:rPr>
          <w:rFonts w:cs="Arial"/>
        </w:rPr>
        <w:t xml:space="preserve"> </w:t>
      </w:r>
      <w:r>
        <w:rPr>
          <w:rFonts w:cs="Arial"/>
        </w:rPr>
        <w:t xml:space="preserve">of respondents to post-event follow-up </w:t>
      </w:r>
      <w:r>
        <w:rPr>
          <w:rFonts w:cs="Arial"/>
        </w:rPr>
        <w:lastRenderedPageBreak/>
        <w:t xml:space="preserve">questionnaires </w:t>
      </w:r>
      <w:r w:rsidRPr="001747C0">
        <w:rPr>
          <w:rFonts w:cs="Arial"/>
        </w:rPr>
        <w:t>either agreed or strongly agreed that the seminar increased their understanding of WIPO services</w:t>
      </w:r>
      <w:r>
        <w:rPr>
          <w:rFonts w:cs="Arial"/>
        </w:rPr>
        <w:t>,</w:t>
      </w:r>
      <w:r w:rsidRPr="001747C0">
        <w:rPr>
          <w:rFonts w:cs="Arial"/>
        </w:rPr>
        <w:t xml:space="preserve"> </w:t>
      </w:r>
      <w:r>
        <w:rPr>
          <w:rFonts w:cs="Arial"/>
        </w:rPr>
        <w:t xml:space="preserve">with </w:t>
      </w:r>
      <w:r w:rsidRPr="001747C0">
        <w:rPr>
          <w:rFonts w:cs="Arial"/>
        </w:rPr>
        <w:t>35</w:t>
      </w:r>
      <w:r>
        <w:rPr>
          <w:rFonts w:cs="Arial"/>
        </w:rPr>
        <w:t xml:space="preserve"> per cent</w:t>
      </w:r>
      <w:r w:rsidRPr="001747C0">
        <w:rPr>
          <w:rFonts w:cs="Arial"/>
        </w:rPr>
        <w:t xml:space="preserve"> either agree</w:t>
      </w:r>
      <w:r>
        <w:rPr>
          <w:rFonts w:cs="Arial"/>
        </w:rPr>
        <w:t>ing</w:t>
      </w:r>
      <w:r w:rsidRPr="001747C0">
        <w:rPr>
          <w:rFonts w:cs="Arial"/>
        </w:rPr>
        <w:t xml:space="preserve"> or strongly agree</w:t>
      </w:r>
      <w:r>
        <w:rPr>
          <w:rFonts w:cs="Arial"/>
        </w:rPr>
        <w:t>ing</w:t>
      </w:r>
      <w:r w:rsidRPr="001747C0">
        <w:rPr>
          <w:rFonts w:cs="Arial"/>
        </w:rPr>
        <w:t xml:space="preserve"> that their organization's use of WIPO services had increased</w:t>
      </w:r>
      <w:r>
        <w:rPr>
          <w:rFonts w:cs="Arial"/>
        </w:rPr>
        <w:t xml:space="preserve"> following attendance at the seminar</w:t>
      </w:r>
      <w:r w:rsidRPr="001747C0">
        <w:rPr>
          <w:rFonts w:cs="Arial"/>
        </w:rPr>
        <w:t xml:space="preserve">.    </w:t>
      </w:r>
    </w:p>
    <w:p w:rsidR="00F30DE1" w:rsidRDefault="00F30DE1" w:rsidP="00F6573D">
      <w:pPr>
        <w:pStyle w:val="ListParagraph"/>
        <w:numPr>
          <w:ilvl w:val="0"/>
          <w:numId w:val="76"/>
        </w:numPr>
        <w:tabs>
          <w:tab w:val="left" w:pos="709"/>
        </w:tabs>
        <w:ind w:left="0" w:firstLine="0"/>
        <w:jc w:val="both"/>
        <w:rPr>
          <w:rFonts w:cs="Arial"/>
        </w:rPr>
      </w:pPr>
      <w:r w:rsidRPr="000C286E">
        <w:rPr>
          <w:rFonts w:cs="Arial"/>
        </w:rPr>
        <w:t xml:space="preserve">Efforts were increased </w:t>
      </w:r>
      <w:r>
        <w:rPr>
          <w:rFonts w:cs="Arial"/>
        </w:rPr>
        <w:t xml:space="preserve">in 2014/15 </w:t>
      </w:r>
      <w:r w:rsidRPr="000C286E">
        <w:rPr>
          <w:rFonts w:cs="Arial"/>
        </w:rPr>
        <w:t xml:space="preserve">to strengthen institutional ties and promote partnerships with stakeholders in transition and developed countries, including regional Organizations, IP Offices, NGOs and trade associations representing users of WIPO services.  To this end, </w:t>
      </w:r>
      <w:r>
        <w:rPr>
          <w:rFonts w:cs="Arial"/>
        </w:rPr>
        <w:t xml:space="preserve">the Program welcomed numerous visits of stakeholders from the countries concerned and facilitated WIPO briefings on different issues of interest. </w:t>
      </w:r>
      <w:r w:rsidR="006E4DA1">
        <w:rPr>
          <w:rFonts w:cs="Arial"/>
        </w:rPr>
        <w:t xml:space="preserve"> </w:t>
      </w:r>
      <w:r>
        <w:rPr>
          <w:rFonts w:cs="Arial"/>
        </w:rPr>
        <w:t>A number of scoping missions were organized to better evaluate the needs and requests from the countries concerned</w:t>
      </w:r>
      <w:r w:rsidR="006E4DA1">
        <w:rPr>
          <w:rFonts w:cs="Arial"/>
        </w:rPr>
        <w:t>,</w:t>
      </w:r>
      <w:r>
        <w:rPr>
          <w:rFonts w:cs="Arial"/>
        </w:rPr>
        <w:t xml:space="preserve"> and five</w:t>
      </w:r>
      <w:r w:rsidRPr="000C286E">
        <w:rPr>
          <w:rFonts w:cs="Arial"/>
        </w:rPr>
        <w:t xml:space="preserve"> new Memoranda of Understanding (MoUs) were </w:t>
      </w:r>
      <w:r>
        <w:rPr>
          <w:rFonts w:cs="Arial"/>
        </w:rPr>
        <w:t xml:space="preserve">agreed </w:t>
      </w:r>
      <w:r w:rsidRPr="000C286E">
        <w:rPr>
          <w:rFonts w:cs="Arial"/>
        </w:rPr>
        <w:t>in 2014</w:t>
      </w:r>
      <w:r>
        <w:rPr>
          <w:rFonts w:cs="Arial"/>
        </w:rPr>
        <w:t>/15</w:t>
      </w:r>
      <w:r w:rsidRPr="000C286E">
        <w:rPr>
          <w:rFonts w:cs="Arial"/>
        </w:rPr>
        <w:t xml:space="preserve"> with </w:t>
      </w:r>
      <w:r>
        <w:rPr>
          <w:rFonts w:cs="Arial"/>
        </w:rPr>
        <w:t xml:space="preserve">stakeholders from </w:t>
      </w:r>
      <w:r w:rsidRPr="000C286E">
        <w:rPr>
          <w:rFonts w:cs="Arial"/>
        </w:rPr>
        <w:t xml:space="preserve">Denmark, </w:t>
      </w:r>
      <w:r>
        <w:rPr>
          <w:rFonts w:cs="Arial"/>
        </w:rPr>
        <w:t xml:space="preserve">France, </w:t>
      </w:r>
      <w:r w:rsidRPr="000C286E">
        <w:rPr>
          <w:rFonts w:cs="Arial"/>
        </w:rPr>
        <w:t xml:space="preserve">Germany, Israel and Spain. </w:t>
      </w:r>
    </w:p>
    <w:p w:rsidR="00F30DE1" w:rsidRPr="003A5ED2" w:rsidRDefault="00F30DE1" w:rsidP="00F6573D">
      <w:pPr>
        <w:pStyle w:val="ListParagraph"/>
        <w:tabs>
          <w:tab w:val="left" w:pos="709"/>
        </w:tabs>
        <w:ind w:left="0"/>
        <w:jc w:val="both"/>
        <w:rPr>
          <w:rFonts w:cs="Arial"/>
        </w:rPr>
      </w:pPr>
    </w:p>
    <w:p w:rsidR="00F30DE1" w:rsidRDefault="00F30DE1" w:rsidP="00F6573D">
      <w:pPr>
        <w:pStyle w:val="ListParagraph"/>
        <w:numPr>
          <w:ilvl w:val="0"/>
          <w:numId w:val="76"/>
        </w:numPr>
        <w:tabs>
          <w:tab w:val="left" w:pos="709"/>
        </w:tabs>
        <w:ind w:left="0" w:firstLine="0"/>
        <w:jc w:val="both"/>
        <w:rPr>
          <w:rFonts w:cs="Arial"/>
        </w:rPr>
      </w:pPr>
      <w:r w:rsidRPr="00641FF5">
        <w:rPr>
          <w:rFonts w:cs="Arial"/>
        </w:rPr>
        <w:t xml:space="preserve">With the view to further mainstream gender perspectives into the Program, the cooperation established with the World Women Inventors and Entrepreneurs Association (WWIEA) continued </w:t>
      </w:r>
      <w:r>
        <w:rPr>
          <w:rFonts w:cs="Arial"/>
        </w:rPr>
        <w:t>throughout the biennium and</w:t>
      </w:r>
      <w:r w:rsidRPr="00337F7C">
        <w:rPr>
          <w:rFonts w:cs="Arial"/>
        </w:rPr>
        <w:t xml:space="preserve"> resulted in the co-organization of the International Educational Program on Idea, Invention, Innovation and Intellectual Property – Seed Project 2014, an effective training program for women in Central Asia, in November.  </w:t>
      </w:r>
      <w:r>
        <w:rPr>
          <w:rFonts w:cs="Arial"/>
        </w:rPr>
        <w:t>Moreover</w:t>
      </w:r>
      <w:r w:rsidRPr="00641FF5">
        <w:rPr>
          <w:rFonts w:cs="Arial"/>
        </w:rPr>
        <w:t>, several international educational programs were co-organized for women from Armenia, Azerbaijan, Belarus, Croatia, Georgia, Kazakhstan, the Republic of Moldova, the Russian Federation</w:t>
      </w:r>
      <w:r>
        <w:rPr>
          <w:rFonts w:cs="Arial"/>
        </w:rPr>
        <w:t xml:space="preserve">, </w:t>
      </w:r>
      <w:r w:rsidRPr="00641FF5">
        <w:rPr>
          <w:rFonts w:cs="Arial"/>
        </w:rPr>
        <w:t>Serbia, and Ukraine.  These training programs were aimed at increasing participants’</w:t>
      </w:r>
      <w:r>
        <w:rPr>
          <w:rFonts w:cs="Arial"/>
        </w:rPr>
        <w:t> </w:t>
      </w:r>
      <w:r w:rsidRPr="00641FF5">
        <w:rPr>
          <w:rFonts w:cs="Arial"/>
        </w:rPr>
        <w:t xml:space="preserve">knowledge on creativity, innovation, protection of inventions and management of IPRs, as well as to pass on teaching methods in order to enable participants to share the </w:t>
      </w:r>
      <w:r>
        <w:rPr>
          <w:rFonts w:cs="Arial"/>
        </w:rPr>
        <w:t xml:space="preserve">enhanced </w:t>
      </w:r>
      <w:r w:rsidRPr="00641FF5">
        <w:rPr>
          <w:rFonts w:cs="Arial"/>
        </w:rPr>
        <w:t>knowledge and skills at the national level.</w:t>
      </w:r>
      <w:r>
        <w:rPr>
          <w:rFonts w:cs="Arial"/>
        </w:rPr>
        <w:t xml:space="preserve">  In addition, the </w:t>
      </w:r>
      <w:r w:rsidRPr="00980077">
        <w:t>Seventh</w:t>
      </w:r>
      <w:r>
        <w:t xml:space="preserve"> and Eight</w:t>
      </w:r>
      <w:r w:rsidRPr="00980077">
        <w:t xml:space="preserve"> International Conference</w:t>
      </w:r>
      <w:r>
        <w:t>s</w:t>
      </w:r>
      <w:r w:rsidRPr="00980077">
        <w:t xml:space="preserve"> on Innovation and Creativity of </w:t>
      </w:r>
      <w:r>
        <w:t>Women, which gathered around 300</w:t>
      </w:r>
      <w:r w:rsidRPr="00980077">
        <w:t xml:space="preserve"> participants from</w:t>
      </w:r>
      <w:r>
        <w:t xml:space="preserve"> more than</w:t>
      </w:r>
      <w:r w:rsidRPr="00980077">
        <w:t xml:space="preserve"> 20</w:t>
      </w:r>
      <w:r w:rsidR="006E4DA1">
        <w:t> </w:t>
      </w:r>
      <w:r w:rsidRPr="00980077">
        <w:t xml:space="preserve">countries, </w:t>
      </w:r>
      <w:r>
        <w:t>were</w:t>
      </w:r>
      <w:r w:rsidRPr="00980077">
        <w:t xml:space="preserve"> successfully organized in Warsaw, Poland in March</w:t>
      </w:r>
      <w:r>
        <w:t xml:space="preserve"> 2014 and 2015.</w:t>
      </w:r>
    </w:p>
    <w:p w:rsidR="00F30DE1" w:rsidRPr="00641FF5" w:rsidRDefault="00F30DE1" w:rsidP="00F6573D">
      <w:pPr>
        <w:pStyle w:val="ListParagraph"/>
        <w:tabs>
          <w:tab w:val="left" w:pos="709"/>
        </w:tabs>
        <w:ind w:left="0"/>
        <w:jc w:val="both"/>
        <w:rPr>
          <w:rFonts w:cs="Arial"/>
        </w:rPr>
      </w:pPr>
    </w:p>
    <w:p w:rsidR="00F30DE1" w:rsidRPr="006E4DA1" w:rsidRDefault="00F30DE1" w:rsidP="00F6573D">
      <w:pPr>
        <w:pStyle w:val="ListParagraph"/>
        <w:numPr>
          <w:ilvl w:val="0"/>
          <w:numId w:val="76"/>
        </w:numPr>
        <w:tabs>
          <w:tab w:val="left" w:pos="709"/>
        </w:tabs>
        <w:spacing w:after="200"/>
        <w:ind w:left="0" w:firstLine="0"/>
        <w:rPr>
          <w:bCs/>
          <w:sz w:val="22"/>
          <w:szCs w:val="22"/>
        </w:rPr>
      </w:pPr>
      <w:r w:rsidRPr="00337F7C">
        <w:rPr>
          <w:rFonts w:cs="Arial"/>
        </w:rPr>
        <w:t xml:space="preserve">Program 10 continued to play a key role in the implementation of the WIPO DA in its cooperation with </w:t>
      </w:r>
      <w:r>
        <w:rPr>
          <w:rFonts w:cs="Arial"/>
        </w:rPr>
        <w:t>C</w:t>
      </w:r>
      <w:r w:rsidRPr="00337F7C">
        <w:rPr>
          <w:rFonts w:cs="Arial"/>
        </w:rPr>
        <w:t xml:space="preserve">ertain </w:t>
      </w:r>
      <w:r>
        <w:rPr>
          <w:rFonts w:cs="Arial"/>
        </w:rPr>
        <w:t>C</w:t>
      </w:r>
      <w:r w:rsidRPr="00337F7C">
        <w:rPr>
          <w:rFonts w:cs="Arial"/>
        </w:rPr>
        <w:t xml:space="preserve">ountries in Europe and Asia, and </w:t>
      </w:r>
      <w:r>
        <w:rPr>
          <w:rFonts w:cs="Arial"/>
        </w:rPr>
        <w:t>t</w:t>
      </w:r>
      <w:r w:rsidRPr="00641FF5">
        <w:rPr>
          <w:rFonts w:cs="Arial"/>
        </w:rPr>
        <w:t>he work of the Program continued to be guided by the DA recommendations on technical assistance and capacity building, in particular Recommendations 1, 6, 12, 13</w:t>
      </w:r>
      <w:r>
        <w:rPr>
          <w:rFonts w:cs="Arial"/>
        </w:rPr>
        <w:t> </w:t>
      </w:r>
      <w:r w:rsidRPr="00641FF5">
        <w:rPr>
          <w:rFonts w:cs="Arial"/>
        </w:rPr>
        <w:t>and 14.</w:t>
      </w:r>
    </w:p>
    <w:p w:rsidR="006E4DA1" w:rsidRPr="00337F7C" w:rsidRDefault="006E4DA1" w:rsidP="006E4DA1">
      <w:pPr>
        <w:pStyle w:val="ListParagraph"/>
        <w:ind w:left="0"/>
        <w:rPr>
          <w:bCs/>
          <w:sz w:val="22"/>
          <w:szCs w:val="22"/>
        </w:rPr>
      </w:pPr>
    </w:p>
    <w:p w:rsidR="00F30DE1" w:rsidRDefault="00F30DE1" w:rsidP="00220419">
      <w:pPr>
        <w:pStyle w:val="ListParagraph"/>
        <w:spacing w:after="200"/>
        <w:ind w:left="0"/>
        <w:rPr>
          <w:b/>
        </w:rPr>
      </w:pPr>
      <w:r w:rsidRPr="007B78CC">
        <w:rPr>
          <w:rFonts w:cs="Arial"/>
          <w:szCs w:val="22"/>
        </w:rPr>
        <w:t>PERFORMANCE DATA</w:t>
      </w:r>
    </w:p>
    <w:tbl>
      <w:tblPr>
        <w:tblW w:w="4938"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131"/>
        <w:gridCol w:w="2407"/>
        <w:gridCol w:w="11"/>
        <w:gridCol w:w="1406"/>
        <w:gridCol w:w="142"/>
        <w:gridCol w:w="17"/>
        <w:gridCol w:w="2251"/>
        <w:gridCol w:w="8"/>
        <w:gridCol w:w="1079"/>
      </w:tblGrid>
      <w:tr w:rsidR="00F30DE1" w:rsidRPr="001656CD" w:rsidTr="00220419">
        <w:trPr>
          <w:cantSplit/>
          <w:trHeight w:val="441"/>
        </w:trPr>
        <w:tc>
          <w:tcPr>
            <w:tcW w:w="5000" w:type="pct"/>
            <w:gridSpan w:val="9"/>
            <w:tcBorders>
              <w:top w:val="single" w:sz="4" w:space="0" w:color="auto"/>
              <w:bottom w:val="single" w:sz="4" w:space="0" w:color="auto"/>
            </w:tcBorders>
            <w:shd w:val="clear" w:color="auto" w:fill="C6D9F1" w:themeFill="text2" w:themeFillTint="33"/>
            <w:vAlign w:val="center"/>
          </w:tcPr>
          <w:p w:rsidR="00F30DE1" w:rsidRPr="001656CD" w:rsidRDefault="00F30DE1" w:rsidP="00220419">
            <w:pPr>
              <w:keepNext/>
              <w:keepLines/>
              <w:tabs>
                <w:tab w:val="left" w:pos="1452"/>
              </w:tabs>
              <w:ind w:left="1452" w:hanging="1452"/>
              <w:rPr>
                <w:rFonts w:cs="Arial"/>
                <w:b/>
                <w:bCs/>
                <w:sz w:val="16"/>
                <w:szCs w:val="16"/>
              </w:rPr>
            </w:pPr>
            <w:r w:rsidRPr="001656CD">
              <w:rPr>
                <w:rFonts w:cs="Arial"/>
                <w:b/>
                <w:bCs/>
                <w:sz w:val="16"/>
                <w:szCs w:val="16"/>
              </w:rPr>
              <w:t>Expected Result:</w:t>
            </w:r>
            <w:r w:rsidRPr="001656CD">
              <w:rPr>
                <w:rFonts w:cs="Arial"/>
                <w:b/>
                <w:bCs/>
                <w:sz w:val="16"/>
                <w:szCs w:val="16"/>
              </w:rPr>
              <w:tab/>
            </w:r>
            <w:r w:rsidRPr="00C5428C">
              <w:rPr>
                <w:rFonts w:cs="Arial"/>
                <w:sz w:val="16"/>
                <w:szCs w:val="16"/>
                <w:lang w:bidi="th-TH"/>
              </w:rPr>
              <w:t xml:space="preserve">I.2 Tailored and </w:t>
            </w:r>
            <w:r w:rsidRPr="00292E2A">
              <w:rPr>
                <w:rFonts w:cs="Arial"/>
                <w:sz w:val="16"/>
                <w:szCs w:val="16"/>
                <w:shd w:val="clear" w:color="auto" w:fill="C6D9F1" w:themeFill="text2" w:themeFillTint="33"/>
                <w:lang w:bidi="th-TH"/>
              </w:rPr>
              <w:t>balanced</w:t>
            </w:r>
            <w:r w:rsidRPr="00C5428C">
              <w:rPr>
                <w:rFonts w:cs="Arial"/>
                <w:sz w:val="16"/>
                <w:szCs w:val="16"/>
                <w:lang w:bidi="th-TH"/>
              </w:rPr>
              <w:t xml:space="preserve"> IP legislative, regulatory and policy frameworks</w:t>
            </w:r>
          </w:p>
        </w:tc>
      </w:tr>
      <w:tr w:rsidR="00F30DE1" w:rsidRPr="001656CD" w:rsidTr="00E37059">
        <w:trPr>
          <w:cantSplit/>
        </w:trPr>
        <w:tc>
          <w:tcPr>
            <w:tcW w:w="1127" w:type="pct"/>
            <w:tcBorders>
              <w:top w:val="single" w:sz="4" w:space="0" w:color="auto"/>
            </w:tcBorders>
            <w:shd w:val="clear" w:color="auto" w:fill="auto"/>
            <w:vAlign w:val="center"/>
          </w:tcPr>
          <w:p w:rsidR="00F30DE1" w:rsidRPr="001656CD" w:rsidRDefault="00F30DE1" w:rsidP="00220419">
            <w:pPr>
              <w:rPr>
                <w:rFonts w:cs="Arial"/>
                <w:sz w:val="16"/>
                <w:szCs w:val="16"/>
              </w:rPr>
            </w:pPr>
            <w:r w:rsidRPr="001656CD">
              <w:rPr>
                <w:rFonts w:cs="Arial"/>
                <w:b/>
                <w:bCs/>
                <w:sz w:val="16"/>
                <w:szCs w:val="16"/>
              </w:rPr>
              <w:t>Performance Indicators</w:t>
            </w:r>
          </w:p>
        </w:tc>
        <w:tc>
          <w:tcPr>
            <w:tcW w:w="1279" w:type="pct"/>
            <w:gridSpan w:val="2"/>
            <w:tcBorders>
              <w:top w:val="single" w:sz="4" w:space="0" w:color="auto"/>
            </w:tcBorders>
            <w:shd w:val="clear" w:color="auto" w:fill="auto"/>
            <w:vAlign w:val="center"/>
          </w:tcPr>
          <w:p w:rsidR="00F30DE1" w:rsidRPr="001656CD" w:rsidRDefault="00F30DE1" w:rsidP="00220419">
            <w:pPr>
              <w:rPr>
                <w:rFonts w:cs="Arial"/>
                <w:b/>
                <w:bCs/>
                <w:sz w:val="16"/>
                <w:szCs w:val="16"/>
              </w:rPr>
            </w:pPr>
            <w:r w:rsidRPr="00083772">
              <w:rPr>
                <w:rFonts w:cs="Arial"/>
                <w:b/>
                <w:bCs/>
                <w:sz w:val="16"/>
                <w:szCs w:val="16"/>
              </w:rPr>
              <w:t>Baselines</w:t>
            </w:r>
          </w:p>
        </w:tc>
        <w:tc>
          <w:tcPr>
            <w:tcW w:w="744" w:type="pct"/>
            <w:tcBorders>
              <w:top w:val="single" w:sz="4" w:space="0" w:color="auto"/>
            </w:tcBorders>
            <w:shd w:val="clear" w:color="auto" w:fill="auto"/>
            <w:tcMar>
              <w:top w:w="110" w:type="dxa"/>
            </w:tcMar>
            <w:vAlign w:val="center"/>
          </w:tcPr>
          <w:p w:rsidR="00F30DE1" w:rsidRPr="00083772" w:rsidRDefault="00F30DE1" w:rsidP="00220419">
            <w:pPr>
              <w:rPr>
                <w:rFonts w:cs="Arial"/>
                <w:b/>
                <w:sz w:val="16"/>
                <w:szCs w:val="16"/>
              </w:rPr>
            </w:pPr>
            <w:r w:rsidRPr="00083772">
              <w:rPr>
                <w:rFonts w:cs="Arial"/>
                <w:b/>
                <w:sz w:val="16"/>
                <w:szCs w:val="16"/>
              </w:rPr>
              <w:t>Target</w:t>
            </w:r>
            <w:r>
              <w:rPr>
                <w:rFonts w:cs="Arial"/>
                <w:b/>
                <w:sz w:val="16"/>
                <w:szCs w:val="16"/>
              </w:rPr>
              <w:t>s</w:t>
            </w:r>
          </w:p>
        </w:tc>
        <w:tc>
          <w:tcPr>
            <w:tcW w:w="1279" w:type="pct"/>
            <w:gridSpan w:val="4"/>
            <w:tcBorders>
              <w:top w:val="single" w:sz="4" w:space="0" w:color="auto"/>
            </w:tcBorders>
            <w:shd w:val="clear" w:color="auto" w:fill="FFFFFF"/>
            <w:tcMar>
              <w:top w:w="110" w:type="dxa"/>
            </w:tcMar>
            <w:vAlign w:val="center"/>
          </w:tcPr>
          <w:p w:rsidR="00F30DE1" w:rsidRPr="001656CD" w:rsidRDefault="00F30DE1" w:rsidP="00220419">
            <w:pPr>
              <w:rPr>
                <w:rFonts w:cs="Arial"/>
                <w:sz w:val="16"/>
                <w:szCs w:val="16"/>
              </w:rPr>
            </w:pPr>
            <w:r w:rsidRPr="001656CD">
              <w:rPr>
                <w:rFonts w:cs="Arial"/>
                <w:b/>
                <w:bCs/>
                <w:sz w:val="16"/>
                <w:szCs w:val="16"/>
              </w:rPr>
              <w:t>Performance Data</w:t>
            </w:r>
          </w:p>
        </w:tc>
        <w:tc>
          <w:tcPr>
            <w:tcW w:w="571" w:type="pct"/>
            <w:tcBorders>
              <w:top w:val="single" w:sz="4" w:space="0" w:color="auto"/>
            </w:tcBorders>
            <w:shd w:val="clear" w:color="auto" w:fill="auto"/>
            <w:tcMar>
              <w:top w:w="110" w:type="dxa"/>
            </w:tcMar>
            <w:vAlign w:val="center"/>
          </w:tcPr>
          <w:p w:rsidR="00F30DE1" w:rsidRPr="00083772" w:rsidRDefault="00F30DE1" w:rsidP="00220419">
            <w:pPr>
              <w:keepNext/>
              <w:keepLines/>
              <w:jc w:val="center"/>
              <w:rPr>
                <w:rFonts w:cs="Arial"/>
                <w:b/>
                <w:bCs/>
                <w:sz w:val="16"/>
                <w:szCs w:val="16"/>
              </w:rPr>
            </w:pPr>
            <w:r w:rsidRPr="001656CD">
              <w:rPr>
                <w:rFonts w:cs="Arial"/>
                <w:b/>
                <w:bCs/>
                <w:sz w:val="16"/>
                <w:szCs w:val="16"/>
              </w:rPr>
              <w:t>TLS</w:t>
            </w:r>
          </w:p>
        </w:tc>
      </w:tr>
      <w:tr w:rsidR="00F30DE1" w:rsidRPr="001656CD" w:rsidTr="00E37059">
        <w:trPr>
          <w:cantSplit/>
        </w:trPr>
        <w:tc>
          <w:tcPr>
            <w:tcW w:w="1127" w:type="pct"/>
            <w:tcBorders>
              <w:bottom w:val="single" w:sz="4" w:space="0" w:color="auto"/>
            </w:tcBorders>
            <w:shd w:val="clear" w:color="auto" w:fill="auto"/>
          </w:tcPr>
          <w:p w:rsidR="00F30DE1" w:rsidRPr="001656CD" w:rsidRDefault="00F30DE1" w:rsidP="00220419">
            <w:pPr>
              <w:rPr>
                <w:rFonts w:cs="Arial"/>
                <w:sz w:val="16"/>
                <w:szCs w:val="16"/>
                <w:lang w:bidi="th-TH"/>
              </w:rPr>
            </w:pPr>
            <w:r w:rsidRPr="00C5428C">
              <w:rPr>
                <w:rFonts w:cs="Arial"/>
                <w:sz w:val="16"/>
                <w:szCs w:val="16"/>
                <w:lang w:bidi="th-TH"/>
              </w:rPr>
              <w:t>No. of countries with updated laws and/or regulations</w:t>
            </w:r>
          </w:p>
        </w:tc>
        <w:tc>
          <w:tcPr>
            <w:tcW w:w="1279" w:type="pct"/>
            <w:gridSpan w:val="2"/>
            <w:tcBorders>
              <w:bottom w:val="single" w:sz="4" w:space="0" w:color="auto"/>
            </w:tcBorders>
            <w:shd w:val="clear" w:color="auto" w:fill="auto"/>
          </w:tcPr>
          <w:p w:rsidR="00F30DE1" w:rsidRPr="00C74731" w:rsidRDefault="00F30DE1" w:rsidP="00220419">
            <w:pPr>
              <w:rPr>
                <w:rFonts w:cs="Arial"/>
                <w:color w:val="002060"/>
                <w:sz w:val="16"/>
                <w:szCs w:val="16"/>
              </w:rPr>
            </w:pPr>
            <w:r w:rsidRPr="00083772">
              <w:rPr>
                <w:rFonts w:cs="Arial"/>
                <w:i/>
                <w:color w:val="002060"/>
                <w:sz w:val="16"/>
                <w:szCs w:val="16"/>
              </w:rPr>
              <w:t>Updated Baseline end 201</w:t>
            </w:r>
            <w:r>
              <w:rPr>
                <w:rFonts w:cs="Arial"/>
                <w:i/>
                <w:color w:val="002060"/>
                <w:sz w:val="16"/>
                <w:szCs w:val="16"/>
              </w:rPr>
              <w:t>3</w:t>
            </w:r>
            <w:r w:rsidRPr="00083772">
              <w:rPr>
                <w:rFonts w:cs="Arial"/>
                <w:i/>
                <w:color w:val="002060"/>
                <w:sz w:val="16"/>
                <w:szCs w:val="16"/>
              </w:rPr>
              <w:t xml:space="preserve">: </w:t>
            </w:r>
            <w:r w:rsidRPr="00C74731">
              <w:rPr>
                <w:rFonts w:cs="Arial"/>
                <w:color w:val="002060"/>
                <w:sz w:val="16"/>
                <w:szCs w:val="16"/>
              </w:rPr>
              <w:t>18 cumulative:</w:t>
            </w:r>
            <w:r>
              <w:rPr>
                <w:rFonts w:cs="Arial"/>
                <w:i/>
                <w:color w:val="002060"/>
                <w:sz w:val="16"/>
                <w:szCs w:val="16"/>
              </w:rPr>
              <w:t xml:space="preserve">  </w:t>
            </w:r>
            <w:r w:rsidRPr="00C74731">
              <w:rPr>
                <w:rFonts w:cs="Arial"/>
                <w:color w:val="002060"/>
                <w:sz w:val="16"/>
                <w:szCs w:val="16"/>
              </w:rPr>
              <w:t>Albania, Armenia, Belarus, Bosnia and Herzegovina, Poland, Romania, Slovenia and Tajikistan updated their national IP legislation</w:t>
            </w:r>
            <w:r>
              <w:rPr>
                <w:rFonts w:cs="Arial"/>
                <w:color w:val="002060"/>
                <w:sz w:val="16"/>
                <w:szCs w:val="16"/>
              </w:rPr>
              <w:t xml:space="preserve"> in 2012/13</w:t>
            </w:r>
            <w:r w:rsidRPr="00C74731">
              <w:rPr>
                <w:rFonts w:cs="Arial"/>
                <w:color w:val="002060"/>
                <w:sz w:val="16"/>
                <w:szCs w:val="16"/>
              </w:rPr>
              <w:t>.</w:t>
            </w:r>
          </w:p>
          <w:p w:rsidR="00F30DE1" w:rsidRPr="00C74731" w:rsidRDefault="00F30DE1" w:rsidP="00220419">
            <w:pPr>
              <w:rPr>
                <w:rFonts w:cs="Arial"/>
                <w:color w:val="002060"/>
                <w:sz w:val="16"/>
                <w:szCs w:val="16"/>
              </w:rPr>
            </w:pPr>
            <w:r w:rsidRPr="00C74731">
              <w:rPr>
                <w:rFonts w:cs="Arial"/>
                <w:color w:val="002060"/>
                <w:sz w:val="16"/>
                <w:szCs w:val="16"/>
              </w:rPr>
              <w:t xml:space="preserve"> </w:t>
            </w:r>
          </w:p>
          <w:p w:rsidR="00F30DE1" w:rsidRPr="00C74731" w:rsidRDefault="00F30DE1" w:rsidP="00220419">
            <w:pPr>
              <w:rPr>
                <w:rFonts w:cs="Arial"/>
                <w:color w:val="002060"/>
                <w:sz w:val="16"/>
                <w:szCs w:val="16"/>
              </w:rPr>
            </w:pPr>
            <w:r w:rsidRPr="00C74731">
              <w:rPr>
                <w:rFonts w:cs="Arial"/>
                <w:color w:val="002060"/>
                <w:sz w:val="16"/>
                <w:szCs w:val="16"/>
              </w:rPr>
              <w:t>Kazakhstan and the Russian Federation have initiated the amendment of their legislation.</w:t>
            </w:r>
          </w:p>
          <w:p w:rsidR="00F30DE1" w:rsidRPr="008D3FF3" w:rsidRDefault="00F30DE1" w:rsidP="00220419">
            <w:pPr>
              <w:rPr>
                <w:rFonts w:cs="Arial"/>
                <w:i/>
                <w:sz w:val="8"/>
                <w:szCs w:val="8"/>
              </w:rPr>
            </w:pPr>
          </w:p>
          <w:p w:rsidR="00F30DE1" w:rsidRPr="00083772" w:rsidRDefault="00F30DE1" w:rsidP="00220419">
            <w:pPr>
              <w:rPr>
                <w:rFonts w:cs="Arial"/>
                <w:sz w:val="16"/>
                <w:szCs w:val="16"/>
                <w:lang w:bidi="th-TH"/>
              </w:rPr>
            </w:pPr>
            <w:r w:rsidRPr="00083772">
              <w:rPr>
                <w:rFonts w:cs="Arial"/>
                <w:i/>
                <w:sz w:val="16"/>
                <w:szCs w:val="16"/>
              </w:rPr>
              <w:t>Original Baseline P&amp;B 201</w:t>
            </w:r>
            <w:r>
              <w:rPr>
                <w:rFonts w:cs="Arial"/>
                <w:i/>
                <w:sz w:val="16"/>
                <w:szCs w:val="16"/>
              </w:rPr>
              <w:t>4/15</w:t>
            </w:r>
            <w:r w:rsidRPr="00083772">
              <w:rPr>
                <w:rFonts w:cs="Arial"/>
                <w:i/>
                <w:sz w:val="16"/>
                <w:szCs w:val="16"/>
              </w:rPr>
              <w:t>:</w:t>
            </w:r>
            <w:r>
              <w:rPr>
                <w:rFonts w:cs="Arial"/>
                <w:i/>
                <w:sz w:val="16"/>
                <w:szCs w:val="16"/>
              </w:rPr>
              <w:t xml:space="preserve"> </w:t>
            </w:r>
            <w:r w:rsidRPr="00C5428C">
              <w:rPr>
                <w:rFonts w:cs="Arial"/>
                <w:sz w:val="16"/>
                <w:szCs w:val="16"/>
              </w:rPr>
              <w:t>18 by end of 2013</w:t>
            </w:r>
          </w:p>
          <w:p w:rsidR="00F30DE1" w:rsidRDefault="00F30DE1" w:rsidP="00220419">
            <w:pPr>
              <w:rPr>
                <w:rFonts w:cs="Arial"/>
                <w:sz w:val="16"/>
                <w:szCs w:val="16"/>
              </w:rPr>
            </w:pPr>
          </w:p>
          <w:p w:rsidR="00F30DE1" w:rsidRDefault="00F30DE1" w:rsidP="00220419">
            <w:pPr>
              <w:rPr>
                <w:rFonts w:cs="Arial"/>
                <w:sz w:val="16"/>
                <w:szCs w:val="16"/>
              </w:rPr>
            </w:pPr>
          </w:p>
          <w:p w:rsidR="00F30DE1" w:rsidRPr="001656CD" w:rsidRDefault="00F30DE1" w:rsidP="00220419">
            <w:pPr>
              <w:rPr>
                <w:rFonts w:cs="Arial"/>
                <w:sz w:val="16"/>
                <w:szCs w:val="16"/>
              </w:rPr>
            </w:pPr>
          </w:p>
        </w:tc>
        <w:tc>
          <w:tcPr>
            <w:tcW w:w="744" w:type="pct"/>
            <w:tcBorders>
              <w:bottom w:val="single" w:sz="4" w:space="0" w:color="auto"/>
            </w:tcBorders>
            <w:shd w:val="clear" w:color="auto" w:fill="auto"/>
            <w:tcMar>
              <w:top w:w="110" w:type="dxa"/>
            </w:tcMar>
          </w:tcPr>
          <w:p w:rsidR="00F30DE1" w:rsidRPr="00083772" w:rsidRDefault="00F30DE1" w:rsidP="00220419">
            <w:pPr>
              <w:rPr>
                <w:rFonts w:cs="Arial"/>
                <w:sz w:val="16"/>
                <w:szCs w:val="16"/>
              </w:rPr>
            </w:pPr>
            <w:r>
              <w:rPr>
                <w:rFonts w:cs="Arial"/>
                <w:sz w:val="16"/>
                <w:szCs w:val="16"/>
              </w:rPr>
              <w:t>4</w:t>
            </w:r>
            <w:r w:rsidRPr="00C5428C">
              <w:rPr>
                <w:rFonts w:cs="Arial"/>
                <w:sz w:val="16"/>
                <w:szCs w:val="16"/>
              </w:rPr>
              <w:t xml:space="preserve"> additional countries</w:t>
            </w:r>
          </w:p>
        </w:tc>
        <w:tc>
          <w:tcPr>
            <w:tcW w:w="1279" w:type="pct"/>
            <w:gridSpan w:val="4"/>
            <w:tcBorders>
              <w:bottom w:val="single" w:sz="4" w:space="0" w:color="auto"/>
            </w:tcBorders>
            <w:shd w:val="clear" w:color="auto" w:fill="FFFFFF"/>
            <w:tcMar>
              <w:top w:w="110" w:type="dxa"/>
            </w:tcMar>
          </w:tcPr>
          <w:p w:rsidR="00F30DE1" w:rsidRPr="001656CD" w:rsidRDefault="00F30DE1" w:rsidP="00220419">
            <w:pPr>
              <w:rPr>
                <w:rFonts w:cs="Arial"/>
                <w:sz w:val="16"/>
                <w:szCs w:val="16"/>
              </w:rPr>
            </w:pPr>
            <w:r>
              <w:rPr>
                <w:rFonts w:cs="Arial"/>
                <w:sz w:val="16"/>
                <w:szCs w:val="16"/>
              </w:rPr>
              <w:t>9 (</w:t>
            </w:r>
            <w:r w:rsidRPr="007C04EF">
              <w:rPr>
                <w:rFonts w:cs="Arial"/>
                <w:sz w:val="16"/>
                <w:szCs w:val="16"/>
              </w:rPr>
              <w:t>Kazakhstan, Kyrgyzstan</w:t>
            </w:r>
            <w:r>
              <w:rPr>
                <w:rFonts w:cs="Arial"/>
                <w:sz w:val="16"/>
                <w:szCs w:val="16"/>
              </w:rPr>
              <w:t>, Latvia, Lithuania, Montenegro, Republic of Moldova,</w:t>
            </w:r>
            <w:r w:rsidRPr="007C04EF">
              <w:rPr>
                <w:rFonts w:cs="Arial"/>
                <w:sz w:val="16"/>
                <w:szCs w:val="16"/>
              </w:rPr>
              <w:t xml:space="preserve"> Russian Feder</w:t>
            </w:r>
            <w:r>
              <w:rPr>
                <w:rFonts w:cs="Arial"/>
                <w:sz w:val="16"/>
                <w:szCs w:val="16"/>
              </w:rPr>
              <w:t>ation, Tajikistan, Turkmenistan)</w:t>
            </w:r>
          </w:p>
        </w:tc>
        <w:tc>
          <w:tcPr>
            <w:tcW w:w="571" w:type="pct"/>
            <w:tcBorders>
              <w:bottom w:val="single" w:sz="4" w:space="0" w:color="auto"/>
            </w:tcBorders>
            <w:shd w:val="clear" w:color="auto" w:fill="auto"/>
            <w:tcMar>
              <w:top w:w="110" w:type="dxa"/>
            </w:tcMar>
          </w:tcPr>
          <w:p w:rsidR="00F30DE1" w:rsidRPr="00C5428C" w:rsidRDefault="00F30DE1" w:rsidP="00220419">
            <w:pPr>
              <w:keepNext/>
              <w:keepLines/>
              <w:jc w:val="center"/>
              <w:rPr>
                <w:rFonts w:cs="Arial"/>
                <w:b/>
                <w:bCs/>
                <w:color w:val="00B050"/>
                <w:sz w:val="16"/>
                <w:szCs w:val="16"/>
              </w:rPr>
            </w:pPr>
            <w:r>
              <w:rPr>
                <w:rFonts w:cs="Arial"/>
                <w:b/>
                <w:bCs/>
                <w:color w:val="00B050"/>
                <w:sz w:val="16"/>
                <w:szCs w:val="16"/>
              </w:rPr>
              <w:t>Fully Achieved</w:t>
            </w:r>
          </w:p>
        </w:tc>
      </w:tr>
      <w:tr w:rsidR="00F30DE1" w:rsidRPr="001656CD" w:rsidTr="00220419">
        <w:trPr>
          <w:cantSplit/>
          <w:trHeight w:val="369"/>
        </w:trPr>
        <w:tc>
          <w:tcPr>
            <w:tcW w:w="5000" w:type="pct"/>
            <w:gridSpan w:val="9"/>
            <w:tcBorders>
              <w:top w:val="single" w:sz="4" w:space="0" w:color="auto"/>
              <w:bottom w:val="single" w:sz="4" w:space="0" w:color="auto"/>
            </w:tcBorders>
            <w:shd w:val="clear" w:color="auto" w:fill="C6D9F1" w:themeFill="text2" w:themeFillTint="33"/>
            <w:vAlign w:val="center"/>
          </w:tcPr>
          <w:p w:rsidR="00F30DE1" w:rsidRPr="001656CD" w:rsidRDefault="00F30DE1" w:rsidP="00220419">
            <w:pPr>
              <w:keepNext/>
              <w:keepLines/>
              <w:tabs>
                <w:tab w:val="left" w:pos="1452"/>
              </w:tabs>
              <w:ind w:left="1452" w:hanging="1452"/>
              <w:rPr>
                <w:rFonts w:cs="Arial"/>
                <w:b/>
                <w:bCs/>
                <w:sz w:val="16"/>
                <w:szCs w:val="16"/>
              </w:rPr>
            </w:pPr>
            <w:r w:rsidRPr="001656CD">
              <w:rPr>
                <w:rFonts w:cs="Arial"/>
                <w:b/>
                <w:bCs/>
                <w:sz w:val="16"/>
                <w:szCs w:val="16"/>
              </w:rPr>
              <w:t>Expected Result:</w:t>
            </w:r>
            <w:r w:rsidRPr="001656CD">
              <w:rPr>
                <w:rFonts w:cs="Arial"/>
                <w:b/>
                <w:bCs/>
                <w:sz w:val="16"/>
                <w:szCs w:val="16"/>
              </w:rPr>
              <w:tab/>
            </w:r>
            <w:r w:rsidRPr="00C5428C">
              <w:rPr>
                <w:rFonts w:cs="Arial"/>
                <w:sz w:val="16"/>
                <w:szCs w:val="16"/>
                <w:lang w:bidi="th-TH"/>
              </w:rPr>
              <w:t>II.1 Increased use of the PCT route for filing international patent applications</w:t>
            </w:r>
          </w:p>
        </w:tc>
      </w:tr>
      <w:tr w:rsidR="00F30DE1" w:rsidRPr="001656CD" w:rsidTr="00E37059">
        <w:trPr>
          <w:cantSplit/>
        </w:trPr>
        <w:tc>
          <w:tcPr>
            <w:tcW w:w="1127" w:type="pct"/>
            <w:tcBorders>
              <w:top w:val="single" w:sz="4" w:space="0" w:color="auto"/>
            </w:tcBorders>
            <w:shd w:val="clear" w:color="auto" w:fill="auto"/>
            <w:vAlign w:val="center"/>
          </w:tcPr>
          <w:p w:rsidR="00F30DE1" w:rsidRPr="001656CD" w:rsidRDefault="00F30DE1" w:rsidP="00220419">
            <w:pPr>
              <w:rPr>
                <w:rFonts w:cs="Arial"/>
                <w:sz w:val="16"/>
                <w:szCs w:val="16"/>
              </w:rPr>
            </w:pPr>
            <w:r w:rsidRPr="001656CD">
              <w:rPr>
                <w:rFonts w:cs="Arial"/>
                <w:b/>
                <w:bCs/>
                <w:sz w:val="16"/>
                <w:szCs w:val="16"/>
              </w:rPr>
              <w:t>Performance Indicators</w:t>
            </w:r>
          </w:p>
        </w:tc>
        <w:tc>
          <w:tcPr>
            <w:tcW w:w="1279" w:type="pct"/>
            <w:gridSpan w:val="2"/>
            <w:tcBorders>
              <w:top w:val="single" w:sz="4" w:space="0" w:color="auto"/>
            </w:tcBorders>
            <w:shd w:val="clear" w:color="auto" w:fill="auto"/>
            <w:vAlign w:val="center"/>
          </w:tcPr>
          <w:p w:rsidR="00F30DE1" w:rsidRPr="001656CD" w:rsidRDefault="00F30DE1" w:rsidP="00220419">
            <w:pPr>
              <w:rPr>
                <w:rFonts w:cs="Arial"/>
                <w:b/>
                <w:bCs/>
                <w:sz w:val="16"/>
                <w:szCs w:val="16"/>
              </w:rPr>
            </w:pPr>
            <w:r w:rsidRPr="001656CD">
              <w:rPr>
                <w:rFonts w:cs="Arial"/>
                <w:b/>
                <w:bCs/>
                <w:sz w:val="16"/>
                <w:szCs w:val="16"/>
              </w:rPr>
              <w:t>Baselines</w:t>
            </w:r>
          </w:p>
        </w:tc>
        <w:tc>
          <w:tcPr>
            <w:tcW w:w="744" w:type="pct"/>
            <w:tcBorders>
              <w:top w:val="single" w:sz="4" w:space="0" w:color="auto"/>
            </w:tcBorders>
            <w:shd w:val="clear" w:color="auto" w:fill="auto"/>
            <w:tcMar>
              <w:top w:w="110" w:type="dxa"/>
            </w:tcMar>
            <w:vAlign w:val="center"/>
          </w:tcPr>
          <w:p w:rsidR="00F30DE1" w:rsidRPr="00083772" w:rsidRDefault="00F30DE1" w:rsidP="00220419">
            <w:pPr>
              <w:rPr>
                <w:rFonts w:cs="Arial"/>
                <w:b/>
                <w:sz w:val="16"/>
                <w:szCs w:val="16"/>
              </w:rPr>
            </w:pPr>
            <w:r w:rsidRPr="001656CD">
              <w:rPr>
                <w:rFonts w:cs="Arial"/>
                <w:b/>
                <w:sz w:val="16"/>
                <w:szCs w:val="16"/>
              </w:rPr>
              <w:t>Target</w:t>
            </w:r>
            <w:r>
              <w:rPr>
                <w:rFonts w:cs="Arial"/>
                <w:b/>
                <w:sz w:val="16"/>
                <w:szCs w:val="16"/>
              </w:rPr>
              <w:t>s</w:t>
            </w:r>
          </w:p>
        </w:tc>
        <w:tc>
          <w:tcPr>
            <w:tcW w:w="1279" w:type="pct"/>
            <w:gridSpan w:val="4"/>
            <w:tcBorders>
              <w:top w:val="single" w:sz="4" w:space="0" w:color="auto"/>
            </w:tcBorders>
            <w:shd w:val="clear" w:color="auto" w:fill="FFFFFF"/>
            <w:tcMar>
              <w:top w:w="110" w:type="dxa"/>
            </w:tcMar>
            <w:vAlign w:val="center"/>
          </w:tcPr>
          <w:p w:rsidR="00F30DE1" w:rsidRPr="001656CD" w:rsidRDefault="00F30DE1" w:rsidP="00220419">
            <w:pPr>
              <w:rPr>
                <w:rFonts w:cs="Arial"/>
                <w:sz w:val="16"/>
                <w:szCs w:val="16"/>
              </w:rPr>
            </w:pPr>
            <w:r w:rsidRPr="001656CD">
              <w:rPr>
                <w:rFonts w:cs="Arial"/>
                <w:b/>
                <w:bCs/>
                <w:sz w:val="16"/>
                <w:szCs w:val="16"/>
              </w:rPr>
              <w:t>Performance Data</w:t>
            </w:r>
          </w:p>
        </w:tc>
        <w:tc>
          <w:tcPr>
            <w:tcW w:w="571" w:type="pct"/>
            <w:tcBorders>
              <w:top w:val="single" w:sz="4" w:space="0" w:color="auto"/>
            </w:tcBorders>
            <w:shd w:val="clear" w:color="auto" w:fill="auto"/>
            <w:tcMar>
              <w:top w:w="110" w:type="dxa"/>
            </w:tcMar>
            <w:vAlign w:val="center"/>
          </w:tcPr>
          <w:p w:rsidR="00F30DE1" w:rsidRPr="00083772" w:rsidRDefault="00F30DE1" w:rsidP="00220419">
            <w:pPr>
              <w:keepNext/>
              <w:keepLines/>
              <w:jc w:val="center"/>
              <w:rPr>
                <w:rFonts w:cs="Arial"/>
                <w:b/>
                <w:bCs/>
                <w:sz w:val="16"/>
                <w:szCs w:val="16"/>
              </w:rPr>
            </w:pPr>
            <w:r w:rsidRPr="001656CD">
              <w:rPr>
                <w:rFonts w:cs="Arial"/>
                <w:b/>
                <w:bCs/>
                <w:sz w:val="16"/>
                <w:szCs w:val="16"/>
              </w:rPr>
              <w:t>TLS</w:t>
            </w:r>
          </w:p>
        </w:tc>
      </w:tr>
      <w:tr w:rsidR="00F30DE1" w:rsidRPr="001656CD" w:rsidTr="00E37059">
        <w:trPr>
          <w:cantSplit/>
        </w:trPr>
        <w:tc>
          <w:tcPr>
            <w:tcW w:w="1127" w:type="pct"/>
            <w:shd w:val="clear" w:color="auto" w:fill="auto"/>
          </w:tcPr>
          <w:p w:rsidR="00F30DE1" w:rsidRPr="001656CD" w:rsidRDefault="00F30DE1" w:rsidP="00220419">
            <w:pPr>
              <w:rPr>
                <w:rFonts w:cs="Arial"/>
                <w:sz w:val="16"/>
                <w:szCs w:val="16"/>
              </w:rPr>
            </w:pPr>
            <w:r w:rsidRPr="00C5428C">
              <w:rPr>
                <w:rFonts w:cs="Arial"/>
                <w:sz w:val="16"/>
                <w:szCs w:val="16"/>
                <w:lang w:bidi="th-TH"/>
              </w:rPr>
              <w:t>No. of PCT applications originating from transition and developed countries</w:t>
            </w:r>
          </w:p>
        </w:tc>
        <w:tc>
          <w:tcPr>
            <w:tcW w:w="1279" w:type="pct"/>
            <w:gridSpan w:val="2"/>
            <w:shd w:val="clear" w:color="auto" w:fill="auto"/>
          </w:tcPr>
          <w:p w:rsidR="00F30DE1" w:rsidRDefault="00F30DE1" w:rsidP="00220419">
            <w:pPr>
              <w:rPr>
                <w:rFonts w:cs="Arial"/>
                <w:i/>
                <w:color w:val="002060"/>
                <w:sz w:val="16"/>
                <w:szCs w:val="16"/>
              </w:rPr>
            </w:pPr>
            <w:r w:rsidRPr="00083772">
              <w:rPr>
                <w:rFonts w:cs="Arial"/>
                <w:i/>
                <w:color w:val="002060"/>
                <w:sz w:val="16"/>
                <w:szCs w:val="16"/>
              </w:rPr>
              <w:t>Updated Baseline end 201</w:t>
            </w:r>
            <w:r>
              <w:rPr>
                <w:rFonts w:cs="Arial"/>
                <w:i/>
                <w:color w:val="002060"/>
                <w:sz w:val="16"/>
                <w:szCs w:val="16"/>
              </w:rPr>
              <w:t>3</w:t>
            </w:r>
            <w:r w:rsidRPr="00083772">
              <w:rPr>
                <w:rFonts w:cs="Arial"/>
                <w:i/>
                <w:color w:val="002060"/>
                <w:sz w:val="16"/>
                <w:szCs w:val="16"/>
              </w:rPr>
              <w:t xml:space="preserve">: </w:t>
            </w:r>
          </w:p>
          <w:p w:rsidR="00F30DE1" w:rsidRPr="00E30B62" w:rsidRDefault="00F30DE1" w:rsidP="00220419">
            <w:pPr>
              <w:rPr>
                <w:rFonts w:cs="Arial"/>
                <w:color w:val="002060"/>
                <w:sz w:val="16"/>
                <w:szCs w:val="16"/>
              </w:rPr>
            </w:pPr>
            <w:r>
              <w:rPr>
                <w:rFonts w:cs="Arial"/>
                <w:color w:val="002060"/>
                <w:sz w:val="16"/>
                <w:szCs w:val="16"/>
              </w:rPr>
              <w:t>166,517</w:t>
            </w:r>
            <w:r w:rsidRPr="003149F2">
              <w:rPr>
                <w:rFonts w:cs="Arial"/>
                <w:color w:val="002060"/>
                <w:sz w:val="16"/>
                <w:szCs w:val="16"/>
              </w:rPr>
              <w:t xml:space="preserve"> (</w:t>
            </w:r>
            <w:r>
              <w:rPr>
                <w:rFonts w:cs="Arial"/>
                <w:color w:val="002060"/>
                <w:sz w:val="16"/>
                <w:szCs w:val="16"/>
              </w:rPr>
              <w:t xml:space="preserve">2013) </w:t>
            </w:r>
          </w:p>
          <w:p w:rsidR="00F30DE1" w:rsidRPr="00E30B62" w:rsidRDefault="00F30DE1" w:rsidP="00220419">
            <w:pPr>
              <w:rPr>
                <w:rFonts w:cs="Arial"/>
                <w:color w:val="002060"/>
                <w:sz w:val="16"/>
                <w:szCs w:val="16"/>
              </w:rPr>
            </w:pPr>
            <w:r>
              <w:rPr>
                <w:rFonts w:cs="Arial"/>
                <w:color w:val="002060"/>
                <w:sz w:val="16"/>
                <w:szCs w:val="16"/>
              </w:rPr>
              <w:t xml:space="preserve">160,309 </w:t>
            </w:r>
            <w:r w:rsidRPr="003149F2">
              <w:rPr>
                <w:rFonts w:cs="Arial"/>
                <w:color w:val="002060"/>
                <w:sz w:val="16"/>
                <w:szCs w:val="16"/>
              </w:rPr>
              <w:t>(</w:t>
            </w:r>
            <w:r>
              <w:rPr>
                <w:rFonts w:cs="Arial"/>
                <w:color w:val="002060"/>
                <w:sz w:val="16"/>
                <w:szCs w:val="16"/>
              </w:rPr>
              <w:t xml:space="preserve">2012) </w:t>
            </w:r>
          </w:p>
          <w:p w:rsidR="00F30DE1" w:rsidRPr="008D3FF3" w:rsidRDefault="00F30DE1" w:rsidP="00220419">
            <w:pPr>
              <w:pStyle w:val="ListParagraph"/>
              <w:ind w:left="360"/>
              <w:rPr>
                <w:rFonts w:cs="Arial"/>
                <w:i/>
                <w:sz w:val="8"/>
                <w:szCs w:val="8"/>
              </w:rPr>
            </w:pPr>
          </w:p>
          <w:p w:rsidR="00F30DE1" w:rsidRDefault="00F30DE1" w:rsidP="00220419">
            <w:pPr>
              <w:rPr>
                <w:rFonts w:cs="Arial"/>
                <w:sz w:val="16"/>
                <w:szCs w:val="16"/>
              </w:rPr>
            </w:pPr>
            <w:r w:rsidRPr="00083772">
              <w:rPr>
                <w:rFonts w:cs="Arial"/>
                <w:i/>
                <w:sz w:val="16"/>
                <w:szCs w:val="16"/>
              </w:rPr>
              <w:t>Original Baseline P&amp;B 201</w:t>
            </w:r>
            <w:r>
              <w:rPr>
                <w:rFonts w:cs="Arial"/>
                <w:i/>
                <w:sz w:val="16"/>
                <w:szCs w:val="16"/>
              </w:rPr>
              <w:t>4/15</w:t>
            </w:r>
            <w:r w:rsidRPr="00083772">
              <w:rPr>
                <w:rFonts w:cs="Arial"/>
                <w:i/>
                <w:sz w:val="16"/>
                <w:szCs w:val="16"/>
              </w:rPr>
              <w:t>:</w:t>
            </w:r>
            <w:r>
              <w:rPr>
                <w:rFonts w:cs="Arial"/>
                <w:i/>
                <w:sz w:val="16"/>
                <w:szCs w:val="16"/>
              </w:rPr>
              <w:t xml:space="preserve"> </w:t>
            </w:r>
            <w:r>
              <w:rPr>
                <w:rFonts w:cs="Arial"/>
                <w:sz w:val="16"/>
                <w:szCs w:val="16"/>
              </w:rPr>
              <w:t>tbd</w:t>
            </w:r>
          </w:p>
          <w:p w:rsidR="00F30DE1" w:rsidRPr="001656CD" w:rsidRDefault="00F30DE1" w:rsidP="00220419">
            <w:pPr>
              <w:rPr>
                <w:rFonts w:cs="Arial"/>
                <w:sz w:val="16"/>
                <w:szCs w:val="16"/>
                <w:lang w:bidi="th-TH"/>
              </w:rPr>
            </w:pPr>
          </w:p>
        </w:tc>
        <w:tc>
          <w:tcPr>
            <w:tcW w:w="744" w:type="pct"/>
            <w:shd w:val="clear" w:color="auto" w:fill="auto"/>
            <w:tcMar>
              <w:top w:w="110" w:type="dxa"/>
            </w:tcMar>
          </w:tcPr>
          <w:p w:rsidR="00F30DE1" w:rsidRPr="00083772" w:rsidRDefault="00F30DE1" w:rsidP="00220419">
            <w:pPr>
              <w:rPr>
                <w:rFonts w:cs="Arial"/>
                <w:sz w:val="16"/>
                <w:szCs w:val="16"/>
              </w:rPr>
            </w:pPr>
            <w:r w:rsidRPr="00C5428C">
              <w:rPr>
                <w:rFonts w:cs="Arial"/>
                <w:sz w:val="16"/>
                <w:szCs w:val="16"/>
              </w:rPr>
              <w:t>2% increase</w:t>
            </w:r>
          </w:p>
        </w:tc>
        <w:tc>
          <w:tcPr>
            <w:tcW w:w="1279" w:type="pct"/>
            <w:gridSpan w:val="4"/>
            <w:shd w:val="clear" w:color="auto" w:fill="FFFFFF"/>
            <w:tcMar>
              <w:top w:w="110" w:type="dxa"/>
            </w:tcMar>
          </w:tcPr>
          <w:p w:rsidR="00F30DE1" w:rsidRPr="00D34FB8" w:rsidRDefault="00F30DE1" w:rsidP="00220419">
            <w:pPr>
              <w:rPr>
                <w:rFonts w:cs="Arial"/>
                <w:sz w:val="16"/>
                <w:szCs w:val="16"/>
              </w:rPr>
            </w:pPr>
            <w:r w:rsidRPr="00D34FB8">
              <w:rPr>
                <w:rFonts w:cs="Arial"/>
                <w:sz w:val="16"/>
                <w:szCs w:val="16"/>
              </w:rPr>
              <w:t>170,</w:t>
            </w:r>
            <w:r>
              <w:rPr>
                <w:rFonts w:cs="Arial"/>
                <w:sz w:val="16"/>
                <w:szCs w:val="16"/>
              </w:rPr>
              <w:t>17</w:t>
            </w:r>
            <w:r w:rsidRPr="00D34FB8">
              <w:rPr>
                <w:rFonts w:cs="Arial"/>
                <w:sz w:val="16"/>
                <w:szCs w:val="16"/>
              </w:rPr>
              <w:t>7 (2014)</w:t>
            </w:r>
          </w:p>
          <w:p w:rsidR="00F30DE1" w:rsidRPr="00D34FB8" w:rsidRDefault="00F30DE1" w:rsidP="00220419">
            <w:pPr>
              <w:rPr>
                <w:rFonts w:cs="Arial"/>
                <w:sz w:val="16"/>
                <w:szCs w:val="16"/>
              </w:rPr>
            </w:pPr>
            <w:r w:rsidRPr="00D34FB8">
              <w:rPr>
                <w:rFonts w:cs="Arial"/>
                <w:sz w:val="16"/>
                <w:szCs w:val="16"/>
              </w:rPr>
              <w:t>168,207 (2015)</w:t>
            </w:r>
          </w:p>
          <w:p w:rsidR="00F30DE1" w:rsidRPr="00303855" w:rsidRDefault="00F30DE1" w:rsidP="00220419">
            <w:pPr>
              <w:rPr>
                <w:rFonts w:cs="Arial"/>
                <w:b/>
                <w:sz w:val="16"/>
                <w:szCs w:val="16"/>
              </w:rPr>
            </w:pPr>
            <w:r w:rsidRPr="00D34FB8">
              <w:rPr>
                <w:rFonts w:cs="Arial"/>
                <w:sz w:val="16"/>
                <w:szCs w:val="16"/>
              </w:rPr>
              <w:t>+3.5%</w:t>
            </w:r>
          </w:p>
        </w:tc>
        <w:tc>
          <w:tcPr>
            <w:tcW w:w="571" w:type="pct"/>
            <w:shd w:val="clear" w:color="auto" w:fill="auto"/>
            <w:tcMar>
              <w:top w:w="110" w:type="dxa"/>
            </w:tcMar>
          </w:tcPr>
          <w:p w:rsidR="00F30DE1" w:rsidRPr="00D34FB8" w:rsidRDefault="00F30DE1" w:rsidP="00220419">
            <w:pPr>
              <w:keepNext/>
              <w:keepLines/>
              <w:jc w:val="center"/>
              <w:rPr>
                <w:rFonts w:cs="Arial"/>
                <w:b/>
                <w:bCs/>
                <w:color w:val="808080"/>
                <w:sz w:val="16"/>
                <w:szCs w:val="16"/>
              </w:rPr>
            </w:pPr>
            <w:r w:rsidRPr="00D34FB8">
              <w:rPr>
                <w:rFonts w:cs="Arial"/>
                <w:b/>
                <w:bCs/>
                <w:color w:val="00B050"/>
                <w:sz w:val="16"/>
                <w:szCs w:val="16"/>
              </w:rPr>
              <w:t>Fully Achieved</w:t>
            </w:r>
          </w:p>
        </w:tc>
      </w:tr>
      <w:tr w:rsidR="00F30DE1" w:rsidRPr="001656CD" w:rsidTr="00220419">
        <w:trPr>
          <w:cantSplit/>
          <w:trHeight w:val="356"/>
        </w:trPr>
        <w:tc>
          <w:tcPr>
            <w:tcW w:w="5000" w:type="pct"/>
            <w:gridSpan w:val="9"/>
            <w:tcBorders>
              <w:top w:val="single" w:sz="4" w:space="0" w:color="auto"/>
              <w:bottom w:val="single" w:sz="4" w:space="0" w:color="auto"/>
            </w:tcBorders>
            <w:shd w:val="clear" w:color="auto" w:fill="C6D9F1" w:themeFill="text2" w:themeFillTint="33"/>
            <w:vAlign w:val="center"/>
          </w:tcPr>
          <w:p w:rsidR="00F30DE1" w:rsidRPr="001656CD" w:rsidRDefault="00F30DE1" w:rsidP="00220419">
            <w:pPr>
              <w:keepNext/>
              <w:keepLines/>
              <w:tabs>
                <w:tab w:val="left" w:pos="1452"/>
              </w:tabs>
              <w:ind w:left="1452" w:hanging="1452"/>
              <w:rPr>
                <w:rFonts w:cs="Arial"/>
                <w:b/>
                <w:bCs/>
                <w:sz w:val="16"/>
                <w:szCs w:val="16"/>
              </w:rPr>
            </w:pPr>
            <w:r w:rsidRPr="001656CD">
              <w:rPr>
                <w:rFonts w:cs="Arial"/>
                <w:b/>
                <w:bCs/>
                <w:sz w:val="16"/>
                <w:szCs w:val="16"/>
              </w:rPr>
              <w:lastRenderedPageBreak/>
              <w:t>Expected Result:</w:t>
            </w:r>
            <w:r w:rsidRPr="001656CD">
              <w:rPr>
                <w:rFonts w:cs="Arial"/>
                <w:b/>
                <w:bCs/>
                <w:sz w:val="16"/>
                <w:szCs w:val="16"/>
              </w:rPr>
              <w:tab/>
            </w:r>
            <w:r w:rsidRPr="0070523B">
              <w:rPr>
                <w:rFonts w:cs="Arial"/>
                <w:sz w:val="16"/>
                <w:szCs w:val="16"/>
                <w:lang w:bidi="th-TH"/>
              </w:rPr>
              <w:t>II.4 Wider and better use of the Hague system, including by developing countries and LDCs</w:t>
            </w:r>
          </w:p>
        </w:tc>
      </w:tr>
      <w:tr w:rsidR="00F30DE1" w:rsidRPr="00BC6547" w:rsidTr="00E37059">
        <w:trPr>
          <w:cantSplit/>
        </w:trPr>
        <w:tc>
          <w:tcPr>
            <w:tcW w:w="1127" w:type="pct"/>
            <w:tcBorders>
              <w:top w:val="single" w:sz="4" w:space="0" w:color="auto"/>
            </w:tcBorders>
            <w:shd w:val="clear" w:color="auto" w:fill="auto"/>
            <w:vAlign w:val="center"/>
          </w:tcPr>
          <w:p w:rsidR="00F30DE1" w:rsidRPr="00BC6547" w:rsidRDefault="00F30DE1" w:rsidP="00220419">
            <w:pPr>
              <w:keepNext/>
              <w:keepLines/>
              <w:rPr>
                <w:rFonts w:cs="Arial"/>
                <w:sz w:val="16"/>
                <w:szCs w:val="16"/>
              </w:rPr>
            </w:pPr>
            <w:r w:rsidRPr="00BC6547">
              <w:rPr>
                <w:rFonts w:cs="Arial"/>
                <w:b/>
                <w:bCs/>
                <w:sz w:val="16"/>
                <w:szCs w:val="16"/>
              </w:rPr>
              <w:t>Performance Indicators</w:t>
            </w:r>
          </w:p>
        </w:tc>
        <w:tc>
          <w:tcPr>
            <w:tcW w:w="1279" w:type="pct"/>
            <w:gridSpan w:val="2"/>
            <w:tcBorders>
              <w:top w:val="single" w:sz="4" w:space="0" w:color="auto"/>
            </w:tcBorders>
            <w:shd w:val="clear" w:color="auto" w:fill="auto"/>
            <w:vAlign w:val="center"/>
          </w:tcPr>
          <w:p w:rsidR="00F30DE1" w:rsidRPr="00BC6547" w:rsidRDefault="00F30DE1" w:rsidP="00220419">
            <w:pPr>
              <w:keepNext/>
              <w:keepLines/>
              <w:rPr>
                <w:rFonts w:cs="Arial"/>
                <w:b/>
                <w:bCs/>
                <w:sz w:val="16"/>
                <w:szCs w:val="16"/>
              </w:rPr>
            </w:pPr>
            <w:r w:rsidRPr="00BC6547">
              <w:rPr>
                <w:rFonts w:cs="Arial"/>
                <w:b/>
                <w:bCs/>
                <w:sz w:val="16"/>
                <w:szCs w:val="16"/>
              </w:rPr>
              <w:t>Baselines</w:t>
            </w:r>
          </w:p>
        </w:tc>
        <w:tc>
          <w:tcPr>
            <w:tcW w:w="744" w:type="pct"/>
            <w:tcBorders>
              <w:top w:val="single" w:sz="4" w:space="0" w:color="auto"/>
            </w:tcBorders>
            <w:shd w:val="clear" w:color="auto" w:fill="auto"/>
            <w:tcMar>
              <w:top w:w="110" w:type="dxa"/>
            </w:tcMar>
            <w:vAlign w:val="center"/>
          </w:tcPr>
          <w:p w:rsidR="00F30DE1" w:rsidRPr="00BC6547" w:rsidRDefault="00F30DE1" w:rsidP="00220419">
            <w:pPr>
              <w:keepNext/>
              <w:keepLines/>
              <w:rPr>
                <w:rFonts w:cs="Arial"/>
                <w:b/>
                <w:sz w:val="16"/>
                <w:szCs w:val="16"/>
              </w:rPr>
            </w:pPr>
            <w:r w:rsidRPr="00BC6547">
              <w:rPr>
                <w:rFonts w:cs="Arial"/>
                <w:b/>
                <w:sz w:val="16"/>
                <w:szCs w:val="16"/>
              </w:rPr>
              <w:t>Targets</w:t>
            </w:r>
          </w:p>
        </w:tc>
        <w:tc>
          <w:tcPr>
            <w:tcW w:w="1279" w:type="pct"/>
            <w:gridSpan w:val="4"/>
            <w:tcBorders>
              <w:top w:val="single" w:sz="4" w:space="0" w:color="auto"/>
            </w:tcBorders>
            <w:shd w:val="clear" w:color="auto" w:fill="FFFFFF"/>
            <w:tcMar>
              <w:top w:w="110" w:type="dxa"/>
            </w:tcMar>
            <w:vAlign w:val="center"/>
          </w:tcPr>
          <w:p w:rsidR="00F30DE1" w:rsidRPr="00BC6547" w:rsidRDefault="00F30DE1" w:rsidP="00220419">
            <w:pPr>
              <w:keepNext/>
              <w:keepLines/>
              <w:rPr>
                <w:rFonts w:cs="Arial"/>
                <w:sz w:val="16"/>
                <w:szCs w:val="16"/>
              </w:rPr>
            </w:pPr>
            <w:r w:rsidRPr="00BC6547">
              <w:rPr>
                <w:rFonts w:cs="Arial"/>
                <w:b/>
                <w:bCs/>
                <w:sz w:val="16"/>
                <w:szCs w:val="16"/>
              </w:rPr>
              <w:t>Performance Data</w:t>
            </w:r>
          </w:p>
        </w:tc>
        <w:tc>
          <w:tcPr>
            <w:tcW w:w="571" w:type="pct"/>
            <w:tcBorders>
              <w:top w:val="single" w:sz="4" w:space="0" w:color="auto"/>
            </w:tcBorders>
            <w:shd w:val="clear" w:color="auto" w:fill="auto"/>
            <w:tcMar>
              <w:top w:w="110" w:type="dxa"/>
            </w:tcMar>
            <w:vAlign w:val="center"/>
          </w:tcPr>
          <w:p w:rsidR="00F30DE1" w:rsidRPr="00CD26D6" w:rsidRDefault="00F30DE1" w:rsidP="00220419">
            <w:pPr>
              <w:keepNext/>
              <w:keepLines/>
              <w:jc w:val="center"/>
              <w:rPr>
                <w:rFonts w:cs="Arial"/>
                <w:b/>
                <w:bCs/>
                <w:sz w:val="16"/>
                <w:szCs w:val="16"/>
              </w:rPr>
            </w:pPr>
            <w:r w:rsidRPr="00BC6547">
              <w:rPr>
                <w:rFonts w:cs="Arial"/>
                <w:b/>
                <w:bCs/>
                <w:sz w:val="16"/>
                <w:szCs w:val="16"/>
              </w:rPr>
              <w:t>TLS</w:t>
            </w:r>
          </w:p>
        </w:tc>
      </w:tr>
      <w:tr w:rsidR="00F30DE1" w:rsidRPr="001656CD" w:rsidTr="00E37059">
        <w:trPr>
          <w:cantSplit/>
        </w:trPr>
        <w:tc>
          <w:tcPr>
            <w:tcW w:w="1127" w:type="pct"/>
            <w:shd w:val="clear" w:color="auto" w:fill="auto"/>
          </w:tcPr>
          <w:p w:rsidR="00F30DE1" w:rsidRPr="00083772" w:rsidRDefault="00F30DE1" w:rsidP="00220419">
            <w:pPr>
              <w:rPr>
                <w:rFonts w:cs="Arial"/>
                <w:sz w:val="16"/>
                <w:szCs w:val="16"/>
                <w:lang w:bidi="th-TH"/>
              </w:rPr>
            </w:pPr>
            <w:r w:rsidRPr="0070523B">
              <w:rPr>
                <w:rFonts w:cs="Arial"/>
                <w:sz w:val="16"/>
                <w:szCs w:val="16"/>
                <w:lang w:bidi="th-TH"/>
              </w:rPr>
              <w:t xml:space="preserve">No. of Hague </w:t>
            </w:r>
            <w:r>
              <w:rPr>
                <w:rFonts w:cs="Arial"/>
                <w:sz w:val="16"/>
                <w:szCs w:val="16"/>
                <w:lang w:bidi="th-TH"/>
              </w:rPr>
              <w:t>S</w:t>
            </w:r>
            <w:r w:rsidRPr="0070523B">
              <w:rPr>
                <w:rFonts w:cs="Arial"/>
                <w:sz w:val="16"/>
                <w:szCs w:val="16"/>
                <w:lang w:bidi="th-TH"/>
              </w:rPr>
              <w:t>ystem applications originating from transition and developed countries</w:t>
            </w:r>
          </w:p>
        </w:tc>
        <w:tc>
          <w:tcPr>
            <w:tcW w:w="1279" w:type="pct"/>
            <w:gridSpan w:val="2"/>
            <w:shd w:val="clear" w:color="auto" w:fill="auto"/>
          </w:tcPr>
          <w:p w:rsidR="00F30DE1" w:rsidRDefault="00F30DE1" w:rsidP="00220419">
            <w:pPr>
              <w:rPr>
                <w:rFonts w:cs="Arial"/>
                <w:i/>
                <w:color w:val="002060"/>
                <w:sz w:val="16"/>
                <w:szCs w:val="16"/>
              </w:rPr>
            </w:pPr>
            <w:r w:rsidRPr="00083772">
              <w:rPr>
                <w:rFonts w:cs="Arial"/>
                <w:i/>
                <w:color w:val="002060"/>
                <w:sz w:val="16"/>
                <w:szCs w:val="16"/>
              </w:rPr>
              <w:t>Updated Baseline end 201</w:t>
            </w:r>
            <w:r>
              <w:rPr>
                <w:rFonts w:cs="Arial"/>
                <w:i/>
                <w:color w:val="002060"/>
                <w:sz w:val="16"/>
                <w:szCs w:val="16"/>
              </w:rPr>
              <w:t>3</w:t>
            </w:r>
            <w:r w:rsidRPr="00083772">
              <w:rPr>
                <w:rFonts w:cs="Arial"/>
                <w:i/>
                <w:color w:val="002060"/>
                <w:sz w:val="16"/>
                <w:szCs w:val="16"/>
              </w:rPr>
              <w:t xml:space="preserve">:  </w:t>
            </w:r>
          </w:p>
          <w:p w:rsidR="00F30DE1" w:rsidRPr="00E30B62" w:rsidRDefault="00F30DE1" w:rsidP="00220419">
            <w:pPr>
              <w:rPr>
                <w:rFonts w:cs="Arial"/>
                <w:color w:val="002060"/>
                <w:sz w:val="16"/>
                <w:szCs w:val="16"/>
              </w:rPr>
            </w:pPr>
            <w:r w:rsidRPr="00B775C9">
              <w:rPr>
                <w:rFonts w:cs="Arial"/>
                <w:color w:val="002060"/>
                <w:sz w:val="16"/>
                <w:szCs w:val="16"/>
              </w:rPr>
              <w:t>2,9</w:t>
            </w:r>
            <w:r>
              <w:rPr>
                <w:rFonts w:cs="Arial"/>
                <w:color w:val="002060"/>
                <w:sz w:val="16"/>
                <w:szCs w:val="16"/>
              </w:rPr>
              <w:t>27</w:t>
            </w:r>
            <w:r w:rsidRPr="00B775C9">
              <w:rPr>
                <w:rFonts w:cs="Arial"/>
                <w:color w:val="002060"/>
                <w:sz w:val="16"/>
                <w:szCs w:val="16"/>
              </w:rPr>
              <w:t xml:space="preserve"> (</w:t>
            </w:r>
            <w:r>
              <w:rPr>
                <w:rFonts w:cs="Arial"/>
                <w:color w:val="002060"/>
                <w:sz w:val="16"/>
                <w:szCs w:val="16"/>
              </w:rPr>
              <w:t xml:space="preserve">2013) </w:t>
            </w:r>
          </w:p>
          <w:p w:rsidR="00F30DE1" w:rsidRPr="00E30B62" w:rsidRDefault="00F30DE1" w:rsidP="00220419">
            <w:pPr>
              <w:rPr>
                <w:rFonts w:cs="Arial"/>
                <w:color w:val="002060"/>
                <w:sz w:val="16"/>
                <w:szCs w:val="16"/>
              </w:rPr>
            </w:pPr>
            <w:r>
              <w:rPr>
                <w:rFonts w:cs="Arial"/>
                <w:color w:val="002060"/>
                <w:sz w:val="16"/>
                <w:szCs w:val="16"/>
              </w:rPr>
              <w:t xml:space="preserve">2,553 </w:t>
            </w:r>
            <w:r w:rsidRPr="003149F2">
              <w:rPr>
                <w:rFonts w:cs="Arial"/>
                <w:color w:val="002060"/>
                <w:sz w:val="16"/>
                <w:szCs w:val="16"/>
              </w:rPr>
              <w:t>(</w:t>
            </w:r>
            <w:r>
              <w:rPr>
                <w:rFonts w:cs="Arial"/>
                <w:color w:val="002060"/>
                <w:sz w:val="16"/>
                <w:szCs w:val="16"/>
              </w:rPr>
              <w:t>2012)</w:t>
            </w:r>
          </w:p>
          <w:p w:rsidR="00F30DE1" w:rsidRPr="00B775C9" w:rsidRDefault="00F30DE1" w:rsidP="00220419">
            <w:pPr>
              <w:rPr>
                <w:rFonts w:cs="Arial"/>
                <w:color w:val="002060"/>
                <w:sz w:val="16"/>
                <w:szCs w:val="16"/>
              </w:rPr>
            </w:pPr>
          </w:p>
          <w:p w:rsidR="00F30DE1" w:rsidRPr="008D3FF3" w:rsidRDefault="00F30DE1" w:rsidP="00220419">
            <w:pPr>
              <w:rPr>
                <w:rFonts w:cs="Arial"/>
                <w:i/>
                <w:sz w:val="8"/>
                <w:szCs w:val="8"/>
              </w:rPr>
            </w:pPr>
          </w:p>
          <w:p w:rsidR="00F30DE1" w:rsidRDefault="00F30DE1" w:rsidP="00220419">
            <w:pPr>
              <w:rPr>
                <w:rFonts w:cs="Arial"/>
                <w:sz w:val="16"/>
                <w:szCs w:val="16"/>
                <w:lang w:bidi="th-TH"/>
              </w:rPr>
            </w:pPr>
            <w:r w:rsidRPr="00083772">
              <w:rPr>
                <w:rFonts w:cs="Arial"/>
                <w:i/>
                <w:sz w:val="16"/>
                <w:szCs w:val="16"/>
              </w:rPr>
              <w:t>Original Baseline P&amp;B 201</w:t>
            </w:r>
            <w:r>
              <w:rPr>
                <w:rFonts w:cs="Arial"/>
                <w:i/>
                <w:sz w:val="16"/>
                <w:szCs w:val="16"/>
              </w:rPr>
              <w:t>4/15</w:t>
            </w:r>
            <w:r w:rsidRPr="00083772">
              <w:rPr>
                <w:rFonts w:cs="Arial"/>
                <w:i/>
                <w:sz w:val="16"/>
                <w:szCs w:val="16"/>
              </w:rPr>
              <w:t>:</w:t>
            </w:r>
            <w:r w:rsidRPr="0070523B">
              <w:rPr>
                <w:rFonts w:cs="Arial"/>
                <w:sz w:val="16"/>
                <w:szCs w:val="16"/>
              </w:rPr>
              <w:t xml:space="preserve"> tbd</w:t>
            </w:r>
          </w:p>
          <w:p w:rsidR="00F30DE1" w:rsidRDefault="00F30DE1" w:rsidP="00220419">
            <w:pPr>
              <w:rPr>
                <w:rFonts w:cs="Arial"/>
                <w:sz w:val="16"/>
                <w:szCs w:val="16"/>
                <w:lang w:bidi="th-TH"/>
              </w:rPr>
            </w:pPr>
          </w:p>
          <w:p w:rsidR="00F30DE1" w:rsidRDefault="00F30DE1" w:rsidP="00220419">
            <w:pPr>
              <w:rPr>
                <w:rFonts w:cs="Arial"/>
                <w:sz w:val="16"/>
                <w:szCs w:val="16"/>
                <w:lang w:bidi="th-TH"/>
              </w:rPr>
            </w:pPr>
          </w:p>
          <w:p w:rsidR="00F30DE1" w:rsidRPr="00083772" w:rsidRDefault="00F30DE1" w:rsidP="00220419">
            <w:pPr>
              <w:rPr>
                <w:rFonts w:cs="Arial"/>
                <w:sz w:val="16"/>
                <w:szCs w:val="16"/>
                <w:lang w:bidi="th-TH"/>
              </w:rPr>
            </w:pPr>
          </w:p>
        </w:tc>
        <w:tc>
          <w:tcPr>
            <w:tcW w:w="744" w:type="pct"/>
            <w:shd w:val="clear" w:color="auto" w:fill="auto"/>
            <w:tcMar>
              <w:top w:w="110" w:type="dxa"/>
            </w:tcMar>
          </w:tcPr>
          <w:p w:rsidR="00F30DE1" w:rsidRPr="00083772" w:rsidRDefault="00F30DE1" w:rsidP="00220419">
            <w:pPr>
              <w:rPr>
                <w:rFonts w:cs="Arial"/>
                <w:sz w:val="16"/>
                <w:szCs w:val="16"/>
                <w:lang w:bidi="th-TH"/>
              </w:rPr>
            </w:pPr>
            <w:r w:rsidRPr="0070523B">
              <w:rPr>
                <w:rFonts w:cs="Arial"/>
                <w:sz w:val="16"/>
                <w:szCs w:val="16"/>
                <w:lang w:bidi="th-TH"/>
              </w:rPr>
              <w:t>2% increase</w:t>
            </w:r>
          </w:p>
        </w:tc>
        <w:tc>
          <w:tcPr>
            <w:tcW w:w="1279" w:type="pct"/>
            <w:gridSpan w:val="4"/>
            <w:shd w:val="clear" w:color="auto" w:fill="FFFFFF"/>
            <w:tcMar>
              <w:top w:w="110" w:type="dxa"/>
            </w:tcMar>
          </w:tcPr>
          <w:p w:rsidR="00F30DE1" w:rsidRPr="00D34FB8" w:rsidRDefault="00F30DE1" w:rsidP="00220419">
            <w:pPr>
              <w:rPr>
                <w:rFonts w:cs="Arial"/>
                <w:sz w:val="16"/>
                <w:szCs w:val="16"/>
              </w:rPr>
            </w:pPr>
            <w:r w:rsidRPr="00D34FB8">
              <w:rPr>
                <w:rFonts w:cs="Arial"/>
                <w:sz w:val="16"/>
                <w:szCs w:val="16"/>
              </w:rPr>
              <w:t>2,776 (2014)</w:t>
            </w:r>
          </w:p>
          <w:p w:rsidR="00F30DE1" w:rsidRDefault="00F30DE1" w:rsidP="00220419">
            <w:pPr>
              <w:rPr>
                <w:rFonts w:cs="Arial"/>
                <w:sz w:val="16"/>
                <w:szCs w:val="16"/>
              </w:rPr>
            </w:pPr>
            <w:r w:rsidRPr="00D34FB8">
              <w:rPr>
                <w:rFonts w:cs="Arial"/>
                <w:sz w:val="16"/>
                <w:szCs w:val="16"/>
              </w:rPr>
              <w:t>3,44</w:t>
            </w:r>
            <w:r>
              <w:rPr>
                <w:rFonts w:cs="Arial"/>
                <w:sz w:val="16"/>
                <w:szCs w:val="16"/>
              </w:rPr>
              <w:t>8</w:t>
            </w:r>
            <w:r w:rsidRPr="00D34FB8">
              <w:rPr>
                <w:rFonts w:cs="Arial"/>
                <w:sz w:val="16"/>
                <w:szCs w:val="16"/>
              </w:rPr>
              <w:t xml:space="preserve"> (2015)</w:t>
            </w:r>
          </w:p>
          <w:p w:rsidR="00F30DE1" w:rsidRPr="00303855" w:rsidRDefault="00F30DE1" w:rsidP="00220419">
            <w:pPr>
              <w:rPr>
                <w:rFonts w:cs="Arial"/>
                <w:b/>
                <w:sz w:val="16"/>
                <w:szCs w:val="16"/>
              </w:rPr>
            </w:pPr>
            <w:r>
              <w:rPr>
                <w:rFonts w:cs="Arial"/>
                <w:sz w:val="16"/>
                <w:szCs w:val="16"/>
              </w:rPr>
              <w:t>+13.6%</w:t>
            </w:r>
          </w:p>
        </w:tc>
        <w:tc>
          <w:tcPr>
            <w:tcW w:w="571" w:type="pct"/>
            <w:shd w:val="clear" w:color="auto" w:fill="auto"/>
            <w:tcMar>
              <w:top w:w="110" w:type="dxa"/>
            </w:tcMar>
          </w:tcPr>
          <w:p w:rsidR="00F30DE1" w:rsidRPr="00303855" w:rsidRDefault="00F30DE1" w:rsidP="00220419">
            <w:pPr>
              <w:keepNext/>
              <w:keepLines/>
              <w:jc w:val="center"/>
              <w:rPr>
                <w:rFonts w:cs="Arial"/>
                <w:b/>
                <w:bCs/>
                <w:color w:val="00B050"/>
                <w:sz w:val="16"/>
                <w:szCs w:val="16"/>
              </w:rPr>
            </w:pPr>
            <w:r w:rsidRPr="00D34FB8">
              <w:rPr>
                <w:rFonts w:cs="Arial"/>
                <w:b/>
                <w:bCs/>
                <w:color w:val="00B050"/>
                <w:sz w:val="16"/>
                <w:szCs w:val="16"/>
              </w:rPr>
              <w:t>Fully Achieved</w:t>
            </w:r>
          </w:p>
        </w:tc>
      </w:tr>
      <w:tr w:rsidR="00F30DE1" w:rsidRPr="001656CD" w:rsidTr="00220419">
        <w:trPr>
          <w:cantSplit/>
          <w:trHeight w:val="471"/>
        </w:trPr>
        <w:tc>
          <w:tcPr>
            <w:tcW w:w="5000" w:type="pct"/>
            <w:gridSpan w:val="9"/>
            <w:tcBorders>
              <w:top w:val="single" w:sz="4" w:space="0" w:color="auto"/>
              <w:bottom w:val="single" w:sz="4" w:space="0" w:color="auto"/>
            </w:tcBorders>
            <w:shd w:val="clear" w:color="auto" w:fill="C6D9F1" w:themeFill="text2" w:themeFillTint="33"/>
            <w:vAlign w:val="center"/>
          </w:tcPr>
          <w:p w:rsidR="00F30DE1" w:rsidRPr="001656CD" w:rsidRDefault="00F30DE1" w:rsidP="00220419">
            <w:pPr>
              <w:keepNext/>
              <w:keepLines/>
              <w:tabs>
                <w:tab w:val="left" w:pos="1452"/>
              </w:tabs>
              <w:ind w:left="1452" w:hanging="1452"/>
              <w:rPr>
                <w:rFonts w:cs="Arial"/>
                <w:b/>
                <w:bCs/>
                <w:sz w:val="16"/>
                <w:szCs w:val="16"/>
              </w:rPr>
            </w:pPr>
            <w:r w:rsidRPr="001656CD">
              <w:rPr>
                <w:rFonts w:cs="Arial"/>
                <w:b/>
                <w:bCs/>
                <w:sz w:val="16"/>
                <w:szCs w:val="16"/>
              </w:rPr>
              <w:t>Expected Result:</w:t>
            </w:r>
            <w:r w:rsidRPr="001656CD">
              <w:rPr>
                <w:rFonts w:cs="Arial"/>
                <w:b/>
                <w:bCs/>
                <w:sz w:val="16"/>
                <w:szCs w:val="16"/>
              </w:rPr>
              <w:tab/>
            </w:r>
            <w:r w:rsidRPr="0070523B">
              <w:rPr>
                <w:rFonts w:cs="Arial"/>
                <w:color w:val="000000"/>
                <w:sz w:val="16"/>
                <w:szCs w:val="16"/>
                <w:lang w:bidi="th-TH"/>
              </w:rPr>
              <w:t>II.6 Wider and better use of the Madrid &amp; Lisbon systems, including by developing countries and LDCs</w:t>
            </w:r>
          </w:p>
        </w:tc>
      </w:tr>
      <w:tr w:rsidR="00F30DE1" w:rsidRPr="00BC6547" w:rsidTr="00E37059">
        <w:trPr>
          <w:cantSplit/>
        </w:trPr>
        <w:tc>
          <w:tcPr>
            <w:tcW w:w="1127" w:type="pct"/>
            <w:tcBorders>
              <w:top w:val="single" w:sz="4" w:space="0" w:color="auto"/>
            </w:tcBorders>
            <w:shd w:val="clear" w:color="auto" w:fill="auto"/>
            <w:vAlign w:val="center"/>
          </w:tcPr>
          <w:p w:rsidR="00F30DE1" w:rsidRPr="00BC6547" w:rsidRDefault="00F30DE1" w:rsidP="00220419">
            <w:pPr>
              <w:rPr>
                <w:rFonts w:cs="Arial"/>
                <w:sz w:val="16"/>
                <w:szCs w:val="16"/>
              </w:rPr>
            </w:pPr>
            <w:r w:rsidRPr="00BC6547">
              <w:rPr>
                <w:rFonts w:cs="Arial"/>
                <w:b/>
                <w:bCs/>
                <w:sz w:val="16"/>
                <w:szCs w:val="16"/>
              </w:rPr>
              <w:t>Performance Indicators</w:t>
            </w:r>
          </w:p>
        </w:tc>
        <w:tc>
          <w:tcPr>
            <w:tcW w:w="1279" w:type="pct"/>
            <w:gridSpan w:val="2"/>
            <w:tcBorders>
              <w:top w:val="single" w:sz="4" w:space="0" w:color="auto"/>
            </w:tcBorders>
            <w:shd w:val="clear" w:color="auto" w:fill="auto"/>
            <w:vAlign w:val="center"/>
          </w:tcPr>
          <w:p w:rsidR="00F30DE1" w:rsidRPr="00BC6547" w:rsidRDefault="00F30DE1" w:rsidP="00220419">
            <w:pPr>
              <w:rPr>
                <w:rFonts w:cs="Arial"/>
                <w:b/>
                <w:bCs/>
                <w:sz w:val="16"/>
                <w:szCs w:val="16"/>
              </w:rPr>
            </w:pPr>
            <w:r w:rsidRPr="00BC6547">
              <w:rPr>
                <w:rFonts w:cs="Arial"/>
                <w:b/>
                <w:bCs/>
                <w:sz w:val="16"/>
                <w:szCs w:val="16"/>
              </w:rPr>
              <w:t>Baselines</w:t>
            </w:r>
          </w:p>
        </w:tc>
        <w:tc>
          <w:tcPr>
            <w:tcW w:w="744" w:type="pct"/>
            <w:tcBorders>
              <w:top w:val="single" w:sz="4" w:space="0" w:color="auto"/>
            </w:tcBorders>
            <w:shd w:val="clear" w:color="auto" w:fill="auto"/>
            <w:tcMar>
              <w:top w:w="110" w:type="dxa"/>
            </w:tcMar>
            <w:vAlign w:val="center"/>
          </w:tcPr>
          <w:p w:rsidR="00F30DE1" w:rsidRPr="00CD26D6" w:rsidRDefault="00F30DE1" w:rsidP="00220419">
            <w:pPr>
              <w:rPr>
                <w:rFonts w:cs="Arial"/>
                <w:b/>
                <w:sz w:val="16"/>
                <w:szCs w:val="16"/>
              </w:rPr>
            </w:pPr>
            <w:r w:rsidRPr="00BC6547">
              <w:rPr>
                <w:rFonts w:cs="Arial"/>
                <w:b/>
                <w:sz w:val="16"/>
                <w:szCs w:val="16"/>
              </w:rPr>
              <w:t>Targets</w:t>
            </w:r>
          </w:p>
        </w:tc>
        <w:tc>
          <w:tcPr>
            <w:tcW w:w="1279" w:type="pct"/>
            <w:gridSpan w:val="4"/>
            <w:tcBorders>
              <w:top w:val="single" w:sz="4" w:space="0" w:color="auto"/>
            </w:tcBorders>
            <w:shd w:val="clear" w:color="auto" w:fill="FFFFFF"/>
            <w:tcMar>
              <w:top w:w="110" w:type="dxa"/>
            </w:tcMar>
            <w:vAlign w:val="center"/>
          </w:tcPr>
          <w:p w:rsidR="00F30DE1" w:rsidRPr="00BC6547" w:rsidRDefault="00F30DE1" w:rsidP="00220419">
            <w:pPr>
              <w:rPr>
                <w:rFonts w:cs="Arial"/>
                <w:sz w:val="16"/>
                <w:szCs w:val="16"/>
              </w:rPr>
            </w:pPr>
            <w:r w:rsidRPr="00BC6547">
              <w:rPr>
                <w:rFonts w:cs="Arial"/>
                <w:b/>
                <w:bCs/>
                <w:sz w:val="16"/>
                <w:szCs w:val="16"/>
              </w:rPr>
              <w:t>Performance Data</w:t>
            </w:r>
          </w:p>
        </w:tc>
        <w:tc>
          <w:tcPr>
            <w:tcW w:w="571" w:type="pct"/>
            <w:tcBorders>
              <w:top w:val="single" w:sz="4" w:space="0" w:color="auto"/>
            </w:tcBorders>
            <w:shd w:val="clear" w:color="auto" w:fill="auto"/>
            <w:tcMar>
              <w:top w:w="110" w:type="dxa"/>
            </w:tcMar>
            <w:vAlign w:val="center"/>
          </w:tcPr>
          <w:p w:rsidR="00F30DE1" w:rsidRPr="00CD26D6" w:rsidRDefault="00F30DE1" w:rsidP="00220419">
            <w:pPr>
              <w:keepNext/>
              <w:keepLines/>
              <w:jc w:val="center"/>
              <w:rPr>
                <w:rFonts w:cs="Arial"/>
                <w:b/>
                <w:bCs/>
                <w:sz w:val="16"/>
                <w:szCs w:val="16"/>
              </w:rPr>
            </w:pPr>
            <w:r w:rsidRPr="00BC6547">
              <w:rPr>
                <w:rFonts w:cs="Arial"/>
                <w:b/>
                <w:bCs/>
                <w:sz w:val="16"/>
                <w:szCs w:val="16"/>
              </w:rPr>
              <w:t>TLS</w:t>
            </w:r>
          </w:p>
        </w:tc>
      </w:tr>
      <w:tr w:rsidR="00F30DE1" w:rsidRPr="001656CD" w:rsidTr="00E37059">
        <w:trPr>
          <w:cantSplit/>
        </w:trPr>
        <w:tc>
          <w:tcPr>
            <w:tcW w:w="1127" w:type="pct"/>
            <w:shd w:val="clear" w:color="auto" w:fill="auto"/>
          </w:tcPr>
          <w:p w:rsidR="00F30DE1" w:rsidRPr="00083772" w:rsidRDefault="00F30DE1" w:rsidP="00220419">
            <w:pPr>
              <w:rPr>
                <w:rFonts w:cs="Arial"/>
                <w:sz w:val="16"/>
                <w:szCs w:val="16"/>
                <w:lang w:bidi="th-TH"/>
              </w:rPr>
            </w:pPr>
            <w:r w:rsidRPr="0070523B">
              <w:rPr>
                <w:rFonts w:cs="Arial"/>
                <w:sz w:val="16"/>
                <w:szCs w:val="16"/>
                <w:lang w:bidi="th-TH"/>
              </w:rPr>
              <w:t xml:space="preserve">No. of Madrid &amp; Lisbon </w:t>
            </w:r>
            <w:r>
              <w:rPr>
                <w:rFonts w:cs="Arial"/>
                <w:sz w:val="16"/>
                <w:szCs w:val="16"/>
                <w:lang w:bidi="th-TH"/>
              </w:rPr>
              <w:t>S</w:t>
            </w:r>
            <w:r w:rsidRPr="0070523B">
              <w:rPr>
                <w:rFonts w:cs="Arial"/>
                <w:sz w:val="16"/>
                <w:szCs w:val="16"/>
                <w:lang w:bidi="th-TH"/>
              </w:rPr>
              <w:t>ystem applications originating from transition and developed countries</w:t>
            </w:r>
          </w:p>
        </w:tc>
        <w:tc>
          <w:tcPr>
            <w:tcW w:w="1279" w:type="pct"/>
            <w:gridSpan w:val="2"/>
            <w:shd w:val="clear" w:color="auto" w:fill="auto"/>
          </w:tcPr>
          <w:p w:rsidR="00F30DE1" w:rsidRDefault="00F30DE1" w:rsidP="00220419">
            <w:pPr>
              <w:rPr>
                <w:rFonts w:cs="Arial"/>
                <w:i/>
                <w:color w:val="002060"/>
                <w:sz w:val="16"/>
                <w:szCs w:val="16"/>
              </w:rPr>
            </w:pPr>
            <w:r w:rsidRPr="00083772">
              <w:rPr>
                <w:rFonts w:cs="Arial"/>
                <w:i/>
                <w:color w:val="002060"/>
                <w:sz w:val="16"/>
                <w:szCs w:val="16"/>
              </w:rPr>
              <w:t>Updated Baseline end 201</w:t>
            </w:r>
            <w:r>
              <w:rPr>
                <w:rFonts w:cs="Arial"/>
                <w:i/>
                <w:color w:val="002060"/>
                <w:sz w:val="16"/>
                <w:szCs w:val="16"/>
              </w:rPr>
              <w:t>3</w:t>
            </w:r>
            <w:r w:rsidRPr="00083772">
              <w:rPr>
                <w:rFonts w:cs="Arial"/>
                <w:i/>
                <w:color w:val="002060"/>
                <w:sz w:val="16"/>
                <w:szCs w:val="16"/>
              </w:rPr>
              <w:t xml:space="preserve">:  </w:t>
            </w:r>
          </w:p>
          <w:p w:rsidR="00F30DE1" w:rsidRDefault="00F30DE1" w:rsidP="00220419">
            <w:pPr>
              <w:rPr>
                <w:rFonts w:cs="Arial"/>
                <w:color w:val="002060"/>
                <w:sz w:val="16"/>
                <w:szCs w:val="16"/>
              </w:rPr>
            </w:pPr>
            <w:r>
              <w:rPr>
                <w:rFonts w:cs="Arial"/>
                <w:color w:val="002060"/>
                <w:sz w:val="16"/>
                <w:szCs w:val="16"/>
              </w:rPr>
              <w:t>Madrid:</w:t>
            </w:r>
          </w:p>
          <w:p w:rsidR="00F30DE1" w:rsidRDefault="00F30DE1" w:rsidP="00220419">
            <w:pPr>
              <w:rPr>
                <w:rFonts w:cs="Arial"/>
                <w:color w:val="002060"/>
                <w:sz w:val="16"/>
                <w:szCs w:val="16"/>
              </w:rPr>
            </w:pPr>
            <w:r>
              <w:rPr>
                <w:rFonts w:cs="Arial"/>
                <w:color w:val="002060"/>
                <w:sz w:val="16"/>
                <w:szCs w:val="16"/>
              </w:rPr>
              <w:t>43,149</w:t>
            </w:r>
            <w:r w:rsidRPr="003149F2">
              <w:rPr>
                <w:rFonts w:cs="Arial"/>
                <w:color w:val="002060"/>
                <w:sz w:val="16"/>
                <w:szCs w:val="16"/>
              </w:rPr>
              <w:t xml:space="preserve"> (</w:t>
            </w:r>
            <w:r>
              <w:rPr>
                <w:rFonts w:cs="Arial"/>
                <w:color w:val="002060"/>
                <w:sz w:val="16"/>
                <w:szCs w:val="16"/>
              </w:rPr>
              <w:t>2013)</w:t>
            </w:r>
          </w:p>
          <w:p w:rsidR="00F30DE1" w:rsidRPr="00E30B62" w:rsidRDefault="00F30DE1" w:rsidP="00220419">
            <w:pPr>
              <w:rPr>
                <w:rFonts w:cs="Arial"/>
                <w:color w:val="002060"/>
                <w:sz w:val="16"/>
                <w:szCs w:val="16"/>
              </w:rPr>
            </w:pPr>
            <w:r>
              <w:rPr>
                <w:rFonts w:cs="Arial"/>
                <w:color w:val="002060"/>
                <w:sz w:val="16"/>
                <w:szCs w:val="16"/>
              </w:rPr>
              <w:t>40,640 (2012)</w:t>
            </w:r>
          </w:p>
          <w:p w:rsidR="00F30DE1" w:rsidRDefault="00F30DE1" w:rsidP="00220419">
            <w:pPr>
              <w:rPr>
                <w:rFonts w:cs="Arial"/>
                <w:color w:val="002060"/>
                <w:sz w:val="16"/>
                <w:szCs w:val="16"/>
              </w:rPr>
            </w:pPr>
          </w:p>
          <w:p w:rsidR="00F30DE1" w:rsidRPr="0070523B" w:rsidRDefault="00F30DE1" w:rsidP="00220419">
            <w:pPr>
              <w:rPr>
                <w:rFonts w:cs="Arial"/>
                <w:color w:val="002060"/>
                <w:sz w:val="16"/>
                <w:szCs w:val="16"/>
              </w:rPr>
            </w:pPr>
            <w:r>
              <w:rPr>
                <w:rFonts w:cs="Arial"/>
                <w:color w:val="002060"/>
                <w:sz w:val="16"/>
                <w:szCs w:val="16"/>
              </w:rPr>
              <w:t>Lisbon:</w:t>
            </w:r>
          </w:p>
          <w:p w:rsidR="00F30DE1" w:rsidRPr="0070523B" w:rsidRDefault="00F30DE1" w:rsidP="00220419">
            <w:pPr>
              <w:rPr>
                <w:rFonts w:cs="Arial"/>
                <w:color w:val="002060"/>
                <w:sz w:val="16"/>
                <w:szCs w:val="16"/>
              </w:rPr>
            </w:pPr>
            <w:r>
              <w:rPr>
                <w:rFonts w:cs="Arial"/>
                <w:color w:val="002060"/>
                <w:sz w:val="16"/>
                <w:szCs w:val="16"/>
              </w:rPr>
              <w:t>749 out of 816</w:t>
            </w:r>
            <w:r w:rsidRPr="0070523B">
              <w:rPr>
                <w:rFonts w:cs="Arial"/>
                <w:color w:val="002060"/>
                <w:sz w:val="16"/>
                <w:szCs w:val="16"/>
              </w:rPr>
              <w:t xml:space="preserve"> registrations in force </w:t>
            </w:r>
          </w:p>
          <w:p w:rsidR="00F30DE1" w:rsidRPr="008D3FF3" w:rsidRDefault="00F30DE1" w:rsidP="00220419">
            <w:pPr>
              <w:rPr>
                <w:rFonts w:cs="Arial"/>
                <w:i/>
                <w:sz w:val="8"/>
                <w:szCs w:val="8"/>
              </w:rPr>
            </w:pPr>
          </w:p>
          <w:p w:rsidR="00F30DE1" w:rsidRPr="00083772" w:rsidRDefault="00F30DE1" w:rsidP="00220419">
            <w:pPr>
              <w:rPr>
                <w:rFonts w:cs="Arial"/>
                <w:sz w:val="16"/>
                <w:szCs w:val="16"/>
                <w:lang w:bidi="th-TH"/>
              </w:rPr>
            </w:pPr>
            <w:r w:rsidRPr="00083772">
              <w:rPr>
                <w:rFonts w:cs="Arial"/>
                <w:i/>
                <w:sz w:val="16"/>
                <w:szCs w:val="16"/>
              </w:rPr>
              <w:t>Original Baseline P&amp;B 201</w:t>
            </w:r>
            <w:r>
              <w:rPr>
                <w:rFonts w:cs="Arial"/>
                <w:i/>
                <w:sz w:val="16"/>
                <w:szCs w:val="16"/>
              </w:rPr>
              <w:t>4/15</w:t>
            </w:r>
            <w:r w:rsidRPr="00083772">
              <w:rPr>
                <w:rFonts w:cs="Arial"/>
                <w:i/>
                <w:sz w:val="16"/>
                <w:szCs w:val="16"/>
              </w:rPr>
              <w:t>:</w:t>
            </w:r>
            <w:r w:rsidRPr="0070523B">
              <w:rPr>
                <w:rFonts w:cs="Arial"/>
                <w:sz w:val="16"/>
                <w:szCs w:val="16"/>
              </w:rPr>
              <w:t xml:space="preserve"> tbd</w:t>
            </w:r>
          </w:p>
        </w:tc>
        <w:tc>
          <w:tcPr>
            <w:tcW w:w="744" w:type="pct"/>
            <w:shd w:val="clear" w:color="auto" w:fill="auto"/>
            <w:tcMar>
              <w:top w:w="110" w:type="dxa"/>
            </w:tcMar>
          </w:tcPr>
          <w:p w:rsidR="00F30DE1" w:rsidRPr="00083772" w:rsidRDefault="00F30DE1" w:rsidP="00220419">
            <w:pPr>
              <w:rPr>
                <w:rFonts w:cs="Arial"/>
                <w:sz w:val="16"/>
                <w:szCs w:val="16"/>
              </w:rPr>
            </w:pPr>
            <w:r w:rsidRPr="0070523B">
              <w:rPr>
                <w:rFonts w:cs="Arial"/>
                <w:sz w:val="16"/>
                <w:szCs w:val="16"/>
                <w:lang w:bidi="th-TH"/>
              </w:rPr>
              <w:t>2% increase</w:t>
            </w:r>
          </w:p>
        </w:tc>
        <w:tc>
          <w:tcPr>
            <w:tcW w:w="1279" w:type="pct"/>
            <w:gridSpan w:val="4"/>
            <w:shd w:val="clear" w:color="auto" w:fill="FFFFFF"/>
            <w:tcMar>
              <w:top w:w="110" w:type="dxa"/>
            </w:tcMar>
          </w:tcPr>
          <w:p w:rsidR="00F30DE1" w:rsidRPr="00D34FB8" w:rsidRDefault="00F30DE1" w:rsidP="00220419">
            <w:pPr>
              <w:rPr>
                <w:rFonts w:cs="Arial"/>
                <w:sz w:val="16"/>
                <w:szCs w:val="16"/>
              </w:rPr>
            </w:pPr>
            <w:r w:rsidRPr="00D34FB8">
              <w:rPr>
                <w:rFonts w:cs="Arial"/>
                <w:sz w:val="16"/>
                <w:szCs w:val="16"/>
              </w:rPr>
              <w:t>43,748 (2014)</w:t>
            </w:r>
          </w:p>
          <w:p w:rsidR="00F30DE1" w:rsidRPr="00D34FB8" w:rsidRDefault="00F30DE1" w:rsidP="00220419">
            <w:pPr>
              <w:rPr>
                <w:rFonts w:cs="Arial"/>
                <w:sz w:val="16"/>
                <w:szCs w:val="16"/>
              </w:rPr>
            </w:pPr>
            <w:r w:rsidRPr="00D34FB8">
              <w:rPr>
                <w:rFonts w:cs="Arial"/>
                <w:sz w:val="16"/>
                <w:szCs w:val="16"/>
              </w:rPr>
              <w:t>44,570 (2015)</w:t>
            </w:r>
          </w:p>
          <w:p w:rsidR="00F30DE1" w:rsidRDefault="00F30DE1" w:rsidP="00220419">
            <w:pPr>
              <w:rPr>
                <w:rFonts w:cs="Arial"/>
                <w:sz w:val="16"/>
                <w:szCs w:val="16"/>
              </w:rPr>
            </w:pPr>
            <w:r w:rsidRPr="00D34FB8">
              <w:rPr>
                <w:rFonts w:cs="Arial"/>
                <w:sz w:val="16"/>
                <w:szCs w:val="16"/>
              </w:rPr>
              <w:t>+5.4%</w:t>
            </w:r>
          </w:p>
          <w:p w:rsidR="00F30DE1" w:rsidRDefault="00F30DE1" w:rsidP="00220419">
            <w:pPr>
              <w:rPr>
                <w:rFonts w:cs="Arial"/>
                <w:sz w:val="16"/>
                <w:szCs w:val="16"/>
              </w:rPr>
            </w:pPr>
          </w:p>
          <w:p w:rsidR="00F30DE1" w:rsidRDefault="00F30DE1" w:rsidP="00220419">
            <w:pPr>
              <w:rPr>
                <w:rFonts w:cs="Arial"/>
                <w:sz w:val="16"/>
                <w:szCs w:val="16"/>
              </w:rPr>
            </w:pPr>
          </w:p>
          <w:p w:rsidR="00F30DE1" w:rsidRDefault="00F30DE1" w:rsidP="00220419">
            <w:pPr>
              <w:rPr>
                <w:rFonts w:cs="Arial"/>
                <w:sz w:val="16"/>
                <w:szCs w:val="16"/>
              </w:rPr>
            </w:pPr>
          </w:p>
          <w:p w:rsidR="00F30DE1" w:rsidRDefault="00F30DE1" w:rsidP="00220419">
            <w:pPr>
              <w:rPr>
                <w:rFonts w:cs="Arial"/>
                <w:sz w:val="16"/>
                <w:szCs w:val="16"/>
              </w:rPr>
            </w:pPr>
            <w:r>
              <w:rPr>
                <w:rFonts w:cs="Arial"/>
                <w:sz w:val="16"/>
                <w:szCs w:val="16"/>
              </w:rPr>
              <w:t xml:space="preserve">Lisbon: </w:t>
            </w:r>
          </w:p>
          <w:p w:rsidR="00F30DE1" w:rsidRDefault="00F30DE1" w:rsidP="00220419">
            <w:pPr>
              <w:rPr>
                <w:rFonts w:cs="Arial"/>
                <w:sz w:val="16"/>
                <w:szCs w:val="16"/>
              </w:rPr>
            </w:pPr>
            <w:r>
              <w:rPr>
                <w:rFonts w:cs="Arial"/>
                <w:sz w:val="16"/>
                <w:szCs w:val="16"/>
              </w:rPr>
              <w:t xml:space="preserve">836 out of 931 registration in force from transition and developed countries </w:t>
            </w:r>
          </w:p>
          <w:p w:rsidR="00F30DE1" w:rsidRDefault="00F30DE1" w:rsidP="00220419">
            <w:pPr>
              <w:rPr>
                <w:rFonts w:cs="Arial"/>
                <w:sz w:val="16"/>
                <w:szCs w:val="16"/>
              </w:rPr>
            </w:pPr>
            <w:r>
              <w:rPr>
                <w:rFonts w:cs="Arial"/>
                <w:sz w:val="16"/>
                <w:szCs w:val="16"/>
              </w:rPr>
              <w:t>+11.6%</w:t>
            </w:r>
          </w:p>
          <w:p w:rsidR="00F30DE1" w:rsidRPr="001656CD" w:rsidRDefault="00F30DE1" w:rsidP="00220419">
            <w:pPr>
              <w:rPr>
                <w:rFonts w:cs="Arial"/>
                <w:sz w:val="16"/>
                <w:szCs w:val="16"/>
              </w:rPr>
            </w:pPr>
          </w:p>
        </w:tc>
        <w:tc>
          <w:tcPr>
            <w:tcW w:w="571" w:type="pct"/>
            <w:shd w:val="clear" w:color="auto" w:fill="auto"/>
            <w:tcMar>
              <w:top w:w="110" w:type="dxa"/>
            </w:tcMar>
          </w:tcPr>
          <w:p w:rsidR="00F30DE1" w:rsidRPr="00D34FB8" w:rsidRDefault="00F30DE1" w:rsidP="00220419">
            <w:pPr>
              <w:keepNext/>
              <w:keepLines/>
              <w:jc w:val="center"/>
              <w:rPr>
                <w:rFonts w:cs="Arial"/>
                <w:b/>
                <w:bCs/>
                <w:color w:val="00B050"/>
                <w:sz w:val="16"/>
                <w:szCs w:val="16"/>
              </w:rPr>
            </w:pPr>
            <w:r w:rsidRPr="00D34FB8">
              <w:rPr>
                <w:rFonts w:cs="Arial"/>
                <w:b/>
                <w:bCs/>
                <w:color w:val="00B050"/>
                <w:sz w:val="16"/>
                <w:szCs w:val="16"/>
              </w:rPr>
              <w:t>Fully Achieved</w:t>
            </w:r>
          </w:p>
          <w:p w:rsidR="00F30DE1" w:rsidRDefault="00F30DE1" w:rsidP="00220419">
            <w:pPr>
              <w:keepNext/>
              <w:keepLines/>
              <w:jc w:val="center"/>
              <w:rPr>
                <w:rFonts w:cs="Arial"/>
                <w:bCs/>
                <w:color w:val="808080"/>
                <w:sz w:val="16"/>
                <w:szCs w:val="16"/>
              </w:rPr>
            </w:pPr>
          </w:p>
          <w:p w:rsidR="00F30DE1" w:rsidRDefault="00F30DE1" w:rsidP="00220419">
            <w:pPr>
              <w:keepNext/>
              <w:keepLines/>
              <w:jc w:val="center"/>
              <w:rPr>
                <w:rFonts w:cs="Arial"/>
                <w:bCs/>
                <w:color w:val="808080"/>
                <w:sz w:val="16"/>
                <w:szCs w:val="16"/>
              </w:rPr>
            </w:pPr>
          </w:p>
          <w:p w:rsidR="00F30DE1" w:rsidRDefault="00F30DE1" w:rsidP="00220419">
            <w:pPr>
              <w:keepNext/>
              <w:keepLines/>
              <w:jc w:val="center"/>
              <w:rPr>
                <w:rFonts w:cs="Arial"/>
                <w:bCs/>
                <w:color w:val="808080"/>
                <w:sz w:val="16"/>
                <w:szCs w:val="16"/>
              </w:rPr>
            </w:pPr>
          </w:p>
          <w:p w:rsidR="00F30DE1" w:rsidRDefault="00F30DE1" w:rsidP="00220419">
            <w:pPr>
              <w:keepNext/>
              <w:keepLines/>
              <w:jc w:val="center"/>
              <w:rPr>
                <w:rFonts w:cs="Arial"/>
                <w:b/>
                <w:bCs/>
                <w:color w:val="00B050"/>
                <w:sz w:val="16"/>
                <w:szCs w:val="16"/>
              </w:rPr>
            </w:pPr>
          </w:p>
          <w:p w:rsidR="00F30DE1" w:rsidRPr="001656CD" w:rsidRDefault="00F30DE1" w:rsidP="00220419">
            <w:pPr>
              <w:keepNext/>
              <w:keepLines/>
              <w:jc w:val="center"/>
              <w:rPr>
                <w:rFonts w:cs="Arial"/>
                <w:bCs/>
                <w:color w:val="808080"/>
                <w:sz w:val="16"/>
                <w:szCs w:val="16"/>
              </w:rPr>
            </w:pPr>
            <w:r w:rsidRPr="00D52C15">
              <w:rPr>
                <w:rFonts w:cs="Arial"/>
                <w:b/>
                <w:bCs/>
                <w:color w:val="00B050"/>
                <w:sz w:val="16"/>
                <w:szCs w:val="16"/>
              </w:rPr>
              <w:t>Fully Achieved</w:t>
            </w:r>
          </w:p>
        </w:tc>
      </w:tr>
      <w:tr w:rsidR="00F30DE1" w:rsidRPr="001656CD" w:rsidTr="00220419">
        <w:trPr>
          <w:cantSplit/>
          <w:trHeight w:val="445"/>
        </w:trPr>
        <w:tc>
          <w:tcPr>
            <w:tcW w:w="5000" w:type="pct"/>
            <w:gridSpan w:val="9"/>
            <w:tcBorders>
              <w:top w:val="single" w:sz="4" w:space="0" w:color="auto"/>
              <w:bottom w:val="single" w:sz="4" w:space="0" w:color="auto"/>
            </w:tcBorders>
            <w:shd w:val="clear" w:color="auto" w:fill="C6D9F1" w:themeFill="text2" w:themeFillTint="33"/>
            <w:vAlign w:val="center"/>
          </w:tcPr>
          <w:p w:rsidR="00F30DE1" w:rsidRPr="001656CD" w:rsidRDefault="00F30DE1" w:rsidP="00220419">
            <w:pPr>
              <w:keepNext/>
              <w:keepLines/>
              <w:tabs>
                <w:tab w:val="left" w:pos="1452"/>
              </w:tabs>
              <w:ind w:left="1452" w:hanging="1452"/>
              <w:rPr>
                <w:rFonts w:cs="Arial"/>
                <w:b/>
                <w:bCs/>
                <w:sz w:val="16"/>
                <w:szCs w:val="16"/>
              </w:rPr>
            </w:pPr>
            <w:r w:rsidRPr="001656CD">
              <w:rPr>
                <w:rFonts w:cs="Arial"/>
                <w:b/>
                <w:bCs/>
                <w:sz w:val="16"/>
                <w:szCs w:val="16"/>
              </w:rPr>
              <w:t>Expected Result:</w:t>
            </w:r>
            <w:r w:rsidRPr="001656CD">
              <w:rPr>
                <w:rFonts w:cs="Arial"/>
                <w:b/>
                <w:bCs/>
                <w:sz w:val="16"/>
                <w:szCs w:val="16"/>
              </w:rPr>
              <w:tab/>
            </w:r>
            <w:r w:rsidRPr="0070523B">
              <w:rPr>
                <w:rFonts w:cs="Arial"/>
                <w:sz w:val="16"/>
                <w:szCs w:val="16"/>
                <w:lang w:bidi="th-TH"/>
              </w:rPr>
              <w:t>II.8 International and domestic intellectual property disputes are increasingly prevented or resolved through WIPO mediation, arbitration and other alternative dispute resolution methods</w:t>
            </w:r>
          </w:p>
        </w:tc>
      </w:tr>
      <w:tr w:rsidR="00F30DE1" w:rsidRPr="00BC6547" w:rsidTr="00E37059">
        <w:trPr>
          <w:cantSplit/>
        </w:trPr>
        <w:tc>
          <w:tcPr>
            <w:tcW w:w="1127" w:type="pct"/>
            <w:tcBorders>
              <w:top w:val="single" w:sz="4" w:space="0" w:color="auto"/>
            </w:tcBorders>
            <w:shd w:val="clear" w:color="auto" w:fill="auto"/>
            <w:vAlign w:val="center"/>
          </w:tcPr>
          <w:p w:rsidR="00F30DE1" w:rsidRPr="00BC6547" w:rsidRDefault="00F30DE1" w:rsidP="00220419">
            <w:pPr>
              <w:keepNext/>
              <w:keepLines/>
              <w:rPr>
                <w:rFonts w:cs="Arial"/>
                <w:sz w:val="16"/>
                <w:szCs w:val="16"/>
              </w:rPr>
            </w:pPr>
            <w:r w:rsidRPr="00BC6547">
              <w:rPr>
                <w:rFonts w:cs="Arial"/>
                <w:b/>
                <w:bCs/>
                <w:sz w:val="16"/>
                <w:szCs w:val="16"/>
              </w:rPr>
              <w:t>Performance Indicators</w:t>
            </w:r>
          </w:p>
        </w:tc>
        <w:tc>
          <w:tcPr>
            <w:tcW w:w="1279" w:type="pct"/>
            <w:gridSpan w:val="2"/>
            <w:tcBorders>
              <w:top w:val="single" w:sz="4" w:space="0" w:color="auto"/>
            </w:tcBorders>
            <w:shd w:val="clear" w:color="auto" w:fill="auto"/>
            <w:vAlign w:val="center"/>
          </w:tcPr>
          <w:p w:rsidR="00F30DE1" w:rsidRPr="00BC6547" w:rsidRDefault="00F30DE1" w:rsidP="00220419">
            <w:pPr>
              <w:keepNext/>
              <w:keepLines/>
              <w:rPr>
                <w:rFonts w:cs="Arial"/>
                <w:b/>
                <w:bCs/>
                <w:sz w:val="16"/>
                <w:szCs w:val="16"/>
              </w:rPr>
            </w:pPr>
            <w:r w:rsidRPr="00BC6547">
              <w:rPr>
                <w:rFonts w:cs="Arial"/>
                <w:b/>
                <w:bCs/>
                <w:sz w:val="16"/>
                <w:szCs w:val="16"/>
              </w:rPr>
              <w:t>Baselines</w:t>
            </w:r>
          </w:p>
        </w:tc>
        <w:tc>
          <w:tcPr>
            <w:tcW w:w="744" w:type="pct"/>
            <w:tcBorders>
              <w:top w:val="single" w:sz="4" w:space="0" w:color="auto"/>
            </w:tcBorders>
            <w:shd w:val="clear" w:color="auto" w:fill="auto"/>
            <w:tcMar>
              <w:top w:w="110" w:type="dxa"/>
            </w:tcMar>
            <w:vAlign w:val="center"/>
          </w:tcPr>
          <w:p w:rsidR="00F30DE1" w:rsidRPr="00BC6547" w:rsidRDefault="00F30DE1" w:rsidP="00220419">
            <w:pPr>
              <w:keepNext/>
              <w:keepLines/>
              <w:rPr>
                <w:rFonts w:cs="Arial"/>
                <w:b/>
                <w:sz w:val="16"/>
                <w:szCs w:val="16"/>
              </w:rPr>
            </w:pPr>
            <w:r w:rsidRPr="00BC6547">
              <w:rPr>
                <w:rFonts w:cs="Arial"/>
                <w:b/>
                <w:sz w:val="16"/>
                <w:szCs w:val="16"/>
              </w:rPr>
              <w:t>Targets</w:t>
            </w:r>
          </w:p>
        </w:tc>
        <w:tc>
          <w:tcPr>
            <w:tcW w:w="1279" w:type="pct"/>
            <w:gridSpan w:val="4"/>
            <w:tcBorders>
              <w:top w:val="single" w:sz="4" w:space="0" w:color="auto"/>
            </w:tcBorders>
            <w:shd w:val="clear" w:color="auto" w:fill="FFFFFF"/>
            <w:tcMar>
              <w:top w:w="110" w:type="dxa"/>
            </w:tcMar>
            <w:vAlign w:val="center"/>
          </w:tcPr>
          <w:p w:rsidR="00F30DE1" w:rsidRPr="00BC6547" w:rsidRDefault="00F30DE1" w:rsidP="00220419">
            <w:pPr>
              <w:keepNext/>
              <w:keepLines/>
              <w:rPr>
                <w:rFonts w:cs="Arial"/>
                <w:sz w:val="16"/>
                <w:szCs w:val="16"/>
              </w:rPr>
            </w:pPr>
            <w:r w:rsidRPr="00BC6547">
              <w:rPr>
                <w:rFonts w:cs="Arial"/>
                <w:b/>
                <w:bCs/>
                <w:sz w:val="16"/>
                <w:szCs w:val="16"/>
              </w:rPr>
              <w:t>Performance Data</w:t>
            </w:r>
          </w:p>
        </w:tc>
        <w:tc>
          <w:tcPr>
            <w:tcW w:w="571" w:type="pct"/>
            <w:tcBorders>
              <w:top w:val="single" w:sz="4" w:space="0" w:color="auto"/>
            </w:tcBorders>
            <w:shd w:val="clear" w:color="auto" w:fill="auto"/>
            <w:tcMar>
              <w:top w:w="110" w:type="dxa"/>
            </w:tcMar>
            <w:vAlign w:val="center"/>
          </w:tcPr>
          <w:p w:rsidR="00F30DE1" w:rsidRPr="00CD26D6" w:rsidRDefault="00F30DE1" w:rsidP="00220419">
            <w:pPr>
              <w:keepNext/>
              <w:keepLines/>
              <w:jc w:val="center"/>
              <w:rPr>
                <w:rFonts w:cs="Arial"/>
                <w:b/>
                <w:bCs/>
                <w:sz w:val="16"/>
                <w:szCs w:val="16"/>
              </w:rPr>
            </w:pPr>
            <w:r w:rsidRPr="00BC6547">
              <w:rPr>
                <w:rFonts w:cs="Arial"/>
                <w:b/>
                <w:bCs/>
                <w:sz w:val="16"/>
                <w:szCs w:val="16"/>
              </w:rPr>
              <w:t>TLS</w:t>
            </w:r>
          </w:p>
        </w:tc>
      </w:tr>
      <w:tr w:rsidR="00F30DE1" w:rsidRPr="001656CD" w:rsidTr="00E37059">
        <w:trPr>
          <w:cantSplit/>
        </w:trPr>
        <w:tc>
          <w:tcPr>
            <w:tcW w:w="1127" w:type="pct"/>
            <w:tcBorders>
              <w:bottom w:val="single" w:sz="4" w:space="0" w:color="auto"/>
            </w:tcBorders>
            <w:shd w:val="clear" w:color="auto" w:fill="auto"/>
          </w:tcPr>
          <w:p w:rsidR="00F30DE1" w:rsidRPr="00083772" w:rsidRDefault="00F30DE1" w:rsidP="00220419">
            <w:pPr>
              <w:rPr>
                <w:rFonts w:cs="Arial"/>
                <w:sz w:val="16"/>
                <w:szCs w:val="16"/>
                <w:lang w:bidi="th-TH"/>
              </w:rPr>
            </w:pPr>
            <w:r w:rsidRPr="008E6313">
              <w:rPr>
                <w:rFonts w:cs="Arial"/>
                <w:sz w:val="16"/>
                <w:szCs w:val="16"/>
                <w:lang w:bidi="th-TH"/>
              </w:rPr>
              <w:t>No. of users in transition and developed countries using the AMC services</w:t>
            </w:r>
          </w:p>
        </w:tc>
        <w:tc>
          <w:tcPr>
            <w:tcW w:w="1279" w:type="pct"/>
            <w:gridSpan w:val="2"/>
            <w:tcBorders>
              <w:bottom w:val="single" w:sz="4" w:space="0" w:color="auto"/>
            </w:tcBorders>
            <w:shd w:val="clear" w:color="auto" w:fill="auto"/>
          </w:tcPr>
          <w:p w:rsidR="00F30DE1" w:rsidRDefault="00F30DE1" w:rsidP="00220419">
            <w:pPr>
              <w:rPr>
                <w:rFonts w:cs="Arial"/>
                <w:color w:val="002060"/>
                <w:sz w:val="16"/>
                <w:szCs w:val="16"/>
                <w:lang w:bidi="th-TH"/>
              </w:rPr>
            </w:pPr>
            <w:r w:rsidRPr="001656CD">
              <w:rPr>
                <w:rFonts w:cs="Arial"/>
                <w:i/>
                <w:color w:val="002060"/>
                <w:sz w:val="16"/>
                <w:szCs w:val="16"/>
              </w:rPr>
              <w:t>Updated Baseline end 201</w:t>
            </w:r>
            <w:r>
              <w:rPr>
                <w:rFonts w:cs="Arial"/>
                <w:i/>
                <w:color w:val="002060"/>
                <w:sz w:val="16"/>
                <w:szCs w:val="16"/>
              </w:rPr>
              <w:t>3</w:t>
            </w:r>
            <w:r w:rsidRPr="001656CD">
              <w:rPr>
                <w:rFonts w:cs="Arial"/>
                <w:i/>
                <w:color w:val="002060"/>
                <w:sz w:val="16"/>
                <w:szCs w:val="16"/>
              </w:rPr>
              <w:t xml:space="preserve">: </w:t>
            </w:r>
            <w:r w:rsidRPr="008E6313">
              <w:rPr>
                <w:rFonts w:cs="Arial"/>
                <w:color w:val="002060"/>
                <w:sz w:val="16"/>
                <w:szCs w:val="16"/>
              </w:rPr>
              <w:t>359 disputes and 51 bons offices involving parties from transition and developed countries (cumulative per end 2013)</w:t>
            </w:r>
            <w:r w:rsidRPr="001656CD">
              <w:rPr>
                <w:rFonts w:cs="Arial"/>
                <w:i/>
                <w:color w:val="002060"/>
                <w:sz w:val="16"/>
                <w:szCs w:val="16"/>
              </w:rPr>
              <w:t xml:space="preserve"> </w:t>
            </w:r>
          </w:p>
          <w:p w:rsidR="00F30DE1" w:rsidRPr="008D3FF3" w:rsidRDefault="00F30DE1" w:rsidP="00220419">
            <w:pPr>
              <w:rPr>
                <w:rFonts w:cs="Arial"/>
                <w:i/>
                <w:color w:val="002060"/>
                <w:sz w:val="8"/>
                <w:szCs w:val="8"/>
              </w:rPr>
            </w:pPr>
          </w:p>
          <w:p w:rsidR="00F30DE1" w:rsidRPr="009D6119" w:rsidRDefault="00F30DE1" w:rsidP="00220419">
            <w:pPr>
              <w:rPr>
                <w:rFonts w:cs="Arial"/>
                <w:color w:val="000000"/>
                <w:sz w:val="16"/>
                <w:szCs w:val="16"/>
                <w:lang w:bidi="th-TH"/>
              </w:rPr>
            </w:pPr>
            <w:r w:rsidRPr="001656CD">
              <w:rPr>
                <w:rFonts w:cs="Arial"/>
                <w:i/>
                <w:sz w:val="16"/>
                <w:szCs w:val="16"/>
              </w:rPr>
              <w:t>Original Baseline P&amp;B 201</w:t>
            </w:r>
            <w:r>
              <w:rPr>
                <w:rFonts w:cs="Arial"/>
                <w:i/>
                <w:sz w:val="16"/>
                <w:szCs w:val="16"/>
              </w:rPr>
              <w:t>4</w:t>
            </w:r>
            <w:r w:rsidRPr="001656CD">
              <w:rPr>
                <w:rFonts w:cs="Arial"/>
                <w:i/>
                <w:sz w:val="16"/>
                <w:szCs w:val="16"/>
              </w:rPr>
              <w:t>/1</w:t>
            </w:r>
            <w:r>
              <w:rPr>
                <w:rFonts w:cs="Arial"/>
                <w:i/>
                <w:sz w:val="16"/>
                <w:szCs w:val="16"/>
              </w:rPr>
              <w:t>5</w:t>
            </w:r>
            <w:r w:rsidRPr="001656CD">
              <w:rPr>
                <w:rFonts w:cs="Arial"/>
                <w:i/>
                <w:sz w:val="16"/>
                <w:szCs w:val="16"/>
              </w:rPr>
              <w:t>:</w:t>
            </w:r>
            <w:r>
              <w:rPr>
                <w:rFonts w:cs="Arial"/>
                <w:sz w:val="16"/>
                <w:szCs w:val="16"/>
              </w:rPr>
              <w:t>tbd</w:t>
            </w:r>
            <w:r w:rsidRPr="001656CD">
              <w:rPr>
                <w:rFonts w:cs="Arial"/>
                <w:sz w:val="16"/>
                <w:szCs w:val="16"/>
              </w:rPr>
              <w:br/>
            </w:r>
          </w:p>
        </w:tc>
        <w:tc>
          <w:tcPr>
            <w:tcW w:w="744" w:type="pct"/>
            <w:tcBorders>
              <w:bottom w:val="single" w:sz="4" w:space="0" w:color="auto"/>
            </w:tcBorders>
            <w:shd w:val="clear" w:color="auto" w:fill="auto"/>
            <w:tcMar>
              <w:top w:w="110" w:type="dxa"/>
            </w:tcMar>
          </w:tcPr>
          <w:p w:rsidR="00F30DE1" w:rsidRPr="00486A19" w:rsidRDefault="00F30DE1" w:rsidP="00220419">
            <w:pPr>
              <w:rPr>
                <w:rFonts w:cs="Arial"/>
                <w:sz w:val="16"/>
                <w:szCs w:val="16"/>
                <w:lang w:bidi="th-TH"/>
              </w:rPr>
            </w:pPr>
            <w:r w:rsidRPr="008E6313">
              <w:rPr>
                <w:rFonts w:cs="Arial"/>
                <w:sz w:val="16"/>
                <w:szCs w:val="16"/>
                <w:lang w:bidi="th-TH"/>
              </w:rPr>
              <w:t>2% increase</w:t>
            </w:r>
          </w:p>
        </w:tc>
        <w:tc>
          <w:tcPr>
            <w:tcW w:w="1279" w:type="pct"/>
            <w:gridSpan w:val="4"/>
            <w:tcBorders>
              <w:bottom w:val="single" w:sz="4" w:space="0" w:color="auto"/>
            </w:tcBorders>
            <w:shd w:val="clear" w:color="auto" w:fill="FFFFFF"/>
            <w:tcMar>
              <w:top w:w="110" w:type="dxa"/>
            </w:tcMar>
          </w:tcPr>
          <w:p w:rsidR="00F30DE1" w:rsidRDefault="00F30DE1" w:rsidP="00220419">
            <w:pPr>
              <w:rPr>
                <w:rFonts w:cs="Arial"/>
                <w:sz w:val="16"/>
                <w:szCs w:val="16"/>
                <w:lang w:bidi="th-TH"/>
              </w:rPr>
            </w:pPr>
            <w:r>
              <w:rPr>
                <w:rFonts w:cs="Arial"/>
                <w:sz w:val="16"/>
                <w:szCs w:val="16"/>
                <w:lang w:bidi="th-TH"/>
              </w:rPr>
              <w:t xml:space="preserve">In 2014/15,102 additional disputes and </w:t>
            </w:r>
            <w:r w:rsidRPr="00D87DF2">
              <w:rPr>
                <w:rFonts w:cs="Arial"/>
                <w:sz w:val="16"/>
                <w:szCs w:val="16"/>
                <w:lang w:bidi="th-TH"/>
              </w:rPr>
              <w:t>bons offices involving parties from transition and developed countries</w:t>
            </w:r>
            <w:r>
              <w:rPr>
                <w:rFonts w:cs="Arial"/>
                <w:sz w:val="16"/>
                <w:szCs w:val="16"/>
                <w:lang w:bidi="th-TH"/>
              </w:rPr>
              <w:t xml:space="preserve"> </w:t>
            </w:r>
          </w:p>
          <w:p w:rsidR="00F30DE1" w:rsidRDefault="00F30DE1" w:rsidP="00220419">
            <w:pPr>
              <w:rPr>
                <w:rFonts w:cs="Arial"/>
                <w:sz w:val="16"/>
                <w:szCs w:val="16"/>
                <w:lang w:bidi="th-TH"/>
              </w:rPr>
            </w:pPr>
            <w:r>
              <w:rPr>
                <w:rFonts w:cs="Arial"/>
                <w:sz w:val="16"/>
                <w:szCs w:val="16"/>
                <w:lang w:bidi="th-TH"/>
              </w:rPr>
              <w:t>+24.8%</w:t>
            </w:r>
          </w:p>
          <w:p w:rsidR="00F30DE1" w:rsidRDefault="00F30DE1" w:rsidP="00220419">
            <w:pPr>
              <w:rPr>
                <w:rFonts w:cs="Arial"/>
                <w:sz w:val="16"/>
                <w:szCs w:val="16"/>
                <w:lang w:bidi="th-TH"/>
              </w:rPr>
            </w:pPr>
          </w:p>
          <w:p w:rsidR="00F30DE1" w:rsidRDefault="00F30DE1" w:rsidP="00220419">
            <w:pPr>
              <w:rPr>
                <w:rFonts w:cs="Arial"/>
                <w:sz w:val="16"/>
                <w:szCs w:val="16"/>
              </w:rPr>
            </w:pPr>
            <w:r>
              <w:rPr>
                <w:rFonts w:cs="Arial"/>
                <w:sz w:val="16"/>
                <w:szCs w:val="16"/>
              </w:rPr>
              <w:t xml:space="preserve">461 disputes and bons offices </w:t>
            </w:r>
            <w:r w:rsidRPr="00D87DF2">
              <w:rPr>
                <w:rFonts w:cs="Arial"/>
                <w:sz w:val="16"/>
                <w:szCs w:val="16"/>
                <w:lang w:bidi="th-TH"/>
              </w:rPr>
              <w:t>involving parties from transition and developed countries</w:t>
            </w:r>
            <w:r>
              <w:rPr>
                <w:rFonts w:cs="Arial"/>
                <w:sz w:val="16"/>
                <w:szCs w:val="16"/>
              </w:rPr>
              <w:t xml:space="preserve"> (cumulative per end 2015)</w:t>
            </w:r>
          </w:p>
          <w:p w:rsidR="00F30DE1" w:rsidRDefault="00F30DE1" w:rsidP="00220419">
            <w:pPr>
              <w:rPr>
                <w:rFonts w:cs="Arial"/>
                <w:sz w:val="16"/>
                <w:szCs w:val="16"/>
              </w:rPr>
            </w:pPr>
          </w:p>
          <w:p w:rsidR="00F30DE1" w:rsidRPr="00486A19" w:rsidRDefault="00F30DE1" w:rsidP="00220419">
            <w:pPr>
              <w:rPr>
                <w:rFonts w:cs="Arial"/>
                <w:sz w:val="16"/>
                <w:szCs w:val="16"/>
                <w:lang w:bidi="th-TH"/>
              </w:rPr>
            </w:pPr>
          </w:p>
        </w:tc>
        <w:tc>
          <w:tcPr>
            <w:tcW w:w="571" w:type="pct"/>
            <w:tcBorders>
              <w:bottom w:val="single" w:sz="4" w:space="0" w:color="auto"/>
            </w:tcBorders>
            <w:shd w:val="clear" w:color="auto" w:fill="auto"/>
            <w:tcMar>
              <w:top w:w="110" w:type="dxa"/>
            </w:tcMar>
          </w:tcPr>
          <w:p w:rsidR="00F30DE1" w:rsidRPr="001656CD" w:rsidRDefault="00F30DE1" w:rsidP="00220419">
            <w:pPr>
              <w:keepNext/>
              <w:keepLines/>
              <w:jc w:val="center"/>
              <w:rPr>
                <w:rFonts w:cs="Arial"/>
                <w:bCs/>
                <w:color w:val="808080"/>
                <w:sz w:val="16"/>
                <w:szCs w:val="16"/>
              </w:rPr>
            </w:pPr>
            <w:r w:rsidRPr="00D52C15">
              <w:rPr>
                <w:rFonts w:cs="Arial"/>
                <w:b/>
                <w:bCs/>
                <w:color w:val="00B050"/>
                <w:sz w:val="16"/>
                <w:szCs w:val="16"/>
              </w:rPr>
              <w:t>Fully Achieved</w:t>
            </w:r>
          </w:p>
        </w:tc>
      </w:tr>
      <w:tr w:rsidR="00F30DE1" w:rsidRPr="001656CD" w:rsidTr="00220419">
        <w:trPr>
          <w:cantSplit/>
          <w:trHeight w:val="439"/>
        </w:trPr>
        <w:tc>
          <w:tcPr>
            <w:tcW w:w="5000" w:type="pct"/>
            <w:gridSpan w:val="9"/>
            <w:tcBorders>
              <w:top w:val="single" w:sz="4" w:space="0" w:color="auto"/>
              <w:bottom w:val="single" w:sz="4" w:space="0" w:color="auto"/>
            </w:tcBorders>
            <w:shd w:val="clear" w:color="auto" w:fill="C6D9F1" w:themeFill="text2" w:themeFillTint="33"/>
            <w:vAlign w:val="center"/>
          </w:tcPr>
          <w:p w:rsidR="00F30DE1" w:rsidRPr="003329DC" w:rsidRDefault="00F30DE1" w:rsidP="00220419">
            <w:pPr>
              <w:keepNext/>
              <w:keepLines/>
              <w:tabs>
                <w:tab w:val="left" w:pos="1452"/>
              </w:tabs>
              <w:ind w:left="1452" w:hanging="1452"/>
              <w:rPr>
                <w:rFonts w:cs="Arial"/>
                <w:b/>
                <w:bCs/>
                <w:sz w:val="16"/>
                <w:szCs w:val="16"/>
              </w:rPr>
            </w:pPr>
            <w:r w:rsidRPr="001656CD">
              <w:rPr>
                <w:rFonts w:cs="Arial"/>
                <w:b/>
                <w:bCs/>
                <w:sz w:val="16"/>
                <w:szCs w:val="16"/>
              </w:rPr>
              <w:t>Expected Result:</w:t>
            </w:r>
            <w:r w:rsidRPr="001656CD">
              <w:rPr>
                <w:rFonts w:cs="Arial"/>
                <w:b/>
                <w:bCs/>
                <w:sz w:val="16"/>
                <w:szCs w:val="16"/>
              </w:rPr>
              <w:tab/>
            </w:r>
            <w:r w:rsidRPr="003329DC">
              <w:rPr>
                <w:rFonts w:cs="Arial"/>
                <w:sz w:val="16"/>
                <w:szCs w:val="16"/>
                <w:lang w:bidi="th-TH"/>
              </w:rPr>
              <w:t>III.1 National innovation and IP strategies and plans consistent with national development objectives</w:t>
            </w:r>
          </w:p>
        </w:tc>
      </w:tr>
      <w:tr w:rsidR="00F30DE1" w:rsidRPr="001656CD" w:rsidTr="00E37059">
        <w:trPr>
          <w:cantSplit/>
          <w:trHeight w:val="274"/>
        </w:trPr>
        <w:tc>
          <w:tcPr>
            <w:tcW w:w="1127" w:type="pct"/>
            <w:tcBorders>
              <w:top w:val="single" w:sz="4" w:space="0" w:color="auto"/>
              <w:left w:val="single" w:sz="4" w:space="0" w:color="auto"/>
              <w:bottom w:val="nil"/>
              <w:right w:val="nil"/>
            </w:tcBorders>
            <w:shd w:val="clear" w:color="auto" w:fill="auto"/>
            <w:vAlign w:val="center"/>
          </w:tcPr>
          <w:p w:rsidR="00F30DE1" w:rsidRPr="00BC6547" w:rsidRDefault="00F30DE1" w:rsidP="00220419">
            <w:pPr>
              <w:keepNext/>
              <w:keepLines/>
              <w:rPr>
                <w:rFonts w:cs="Arial"/>
                <w:sz w:val="16"/>
                <w:szCs w:val="16"/>
              </w:rPr>
            </w:pPr>
            <w:r w:rsidRPr="00BC6547">
              <w:rPr>
                <w:rFonts w:cs="Arial"/>
                <w:b/>
                <w:bCs/>
                <w:sz w:val="16"/>
                <w:szCs w:val="16"/>
              </w:rPr>
              <w:t>Performance Indicators</w:t>
            </w:r>
          </w:p>
        </w:tc>
        <w:tc>
          <w:tcPr>
            <w:tcW w:w="1279" w:type="pct"/>
            <w:gridSpan w:val="2"/>
            <w:tcBorders>
              <w:top w:val="single" w:sz="4" w:space="0" w:color="auto"/>
              <w:left w:val="nil"/>
              <w:bottom w:val="nil"/>
              <w:right w:val="nil"/>
            </w:tcBorders>
            <w:shd w:val="clear" w:color="auto" w:fill="auto"/>
            <w:vAlign w:val="center"/>
          </w:tcPr>
          <w:p w:rsidR="00F30DE1" w:rsidRPr="00BC6547" w:rsidRDefault="00F30DE1" w:rsidP="00220419">
            <w:pPr>
              <w:keepNext/>
              <w:keepLines/>
              <w:rPr>
                <w:rFonts w:cs="Arial"/>
                <w:b/>
                <w:bCs/>
                <w:sz w:val="16"/>
                <w:szCs w:val="16"/>
              </w:rPr>
            </w:pPr>
            <w:r w:rsidRPr="00BC6547">
              <w:rPr>
                <w:rFonts w:cs="Arial"/>
                <w:b/>
                <w:bCs/>
                <w:sz w:val="16"/>
                <w:szCs w:val="16"/>
              </w:rPr>
              <w:t>Baselines</w:t>
            </w:r>
          </w:p>
        </w:tc>
        <w:tc>
          <w:tcPr>
            <w:tcW w:w="744" w:type="pct"/>
            <w:tcBorders>
              <w:top w:val="single" w:sz="4" w:space="0" w:color="auto"/>
              <w:left w:val="nil"/>
              <w:bottom w:val="nil"/>
              <w:right w:val="nil"/>
            </w:tcBorders>
            <w:shd w:val="clear" w:color="auto" w:fill="auto"/>
            <w:vAlign w:val="center"/>
          </w:tcPr>
          <w:p w:rsidR="00F30DE1" w:rsidRPr="00BC6547" w:rsidRDefault="00F30DE1" w:rsidP="00220419">
            <w:pPr>
              <w:keepNext/>
              <w:keepLines/>
              <w:rPr>
                <w:rFonts w:cs="Arial"/>
                <w:b/>
                <w:sz w:val="16"/>
                <w:szCs w:val="16"/>
              </w:rPr>
            </w:pPr>
            <w:r w:rsidRPr="00BC6547">
              <w:rPr>
                <w:rFonts w:cs="Arial"/>
                <w:b/>
                <w:sz w:val="16"/>
                <w:szCs w:val="16"/>
              </w:rPr>
              <w:t>Targets</w:t>
            </w:r>
          </w:p>
        </w:tc>
        <w:tc>
          <w:tcPr>
            <w:tcW w:w="1279" w:type="pct"/>
            <w:gridSpan w:val="4"/>
            <w:tcBorders>
              <w:top w:val="single" w:sz="4" w:space="0" w:color="auto"/>
              <w:left w:val="nil"/>
              <w:bottom w:val="nil"/>
              <w:right w:val="nil"/>
            </w:tcBorders>
            <w:shd w:val="clear" w:color="auto" w:fill="auto"/>
            <w:vAlign w:val="center"/>
          </w:tcPr>
          <w:p w:rsidR="00F30DE1" w:rsidRPr="00BC6547" w:rsidRDefault="00F30DE1" w:rsidP="00220419">
            <w:pPr>
              <w:keepNext/>
              <w:keepLines/>
              <w:rPr>
                <w:rFonts w:cs="Arial"/>
                <w:sz w:val="16"/>
                <w:szCs w:val="16"/>
              </w:rPr>
            </w:pPr>
            <w:r w:rsidRPr="00BC6547">
              <w:rPr>
                <w:rFonts w:cs="Arial"/>
                <w:b/>
                <w:bCs/>
                <w:sz w:val="16"/>
                <w:szCs w:val="16"/>
              </w:rPr>
              <w:t>Performance Data</w:t>
            </w:r>
          </w:p>
        </w:tc>
        <w:tc>
          <w:tcPr>
            <w:tcW w:w="571" w:type="pct"/>
            <w:tcBorders>
              <w:top w:val="single" w:sz="4" w:space="0" w:color="auto"/>
              <w:left w:val="nil"/>
              <w:bottom w:val="nil"/>
              <w:right w:val="single" w:sz="4" w:space="0" w:color="auto"/>
            </w:tcBorders>
            <w:shd w:val="clear" w:color="auto" w:fill="auto"/>
            <w:vAlign w:val="center"/>
          </w:tcPr>
          <w:p w:rsidR="00F30DE1" w:rsidRPr="00CD26D6" w:rsidRDefault="00F30DE1" w:rsidP="00220419">
            <w:pPr>
              <w:keepNext/>
              <w:keepLines/>
              <w:jc w:val="center"/>
              <w:rPr>
                <w:rFonts w:cs="Arial"/>
                <w:b/>
                <w:bCs/>
                <w:sz w:val="16"/>
                <w:szCs w:val="16"/>
              </w:rPr>
            </w:pPr>
            <w:r w:rsidRPr="00BC6547">
              <w:rPr>
                <w:rFonts w:cs="Arial"/>
                <w:b/>
                <w:bCs/>
                <w:sz w:val="16"/>
                <w:szCs w:val="16"/>
              </w:rPr>
              <w:t>TLS</w:t>
            </w:r>
          </w:p>
        </w:tc>
      </w:tr>
      <w:tr w:rsidR="00F30DE1" w:rsidRPr="001656CD" w:rsidTr="00E37059">
        <w:trPr>
          <w:cantSplit/>
        </w:trPr>
        <w:tc>
          <w:tcPr>
            <w:tcW w:w="1127" w:type="pct"/>
            <w:tcBorders>
              <w:top w:val="nil"/>
              <w:left w:val="single" w:sz="4" w:space="0" w:color="auto"/>
              <w:bottom w:val="nil"/>
              <w:right w:val="nil"/>
            </w:tcBorders>
            <w:shd w:val="clear" w:color="auto" w:fill="auto"/>
          </w:tcPr>
          <w:p w:rsidR="00F30DE1" w:rsidRPr="008E6313" w:rsidRDefault="00F30DE1" w:rsidP="00220419">
            <w:pPr>
              <w:rPr>
                <w:rFonts w:cs="Arial"/>
                <w:sz w:val="16"/>
                <w:szCs w:val="16"/>
                <w:lang w:bidi="th-TH"/>
              </w:rPr>
            </w:pPr>
            <w:r w:rsidRPr="008012E3">
              <w:rPr>
                <w:rFonts w:cs="Arial"/>
                <w:sz w:val="16"/>
                <w:szCs w:val="16"/>
                <w:lang w:bidi="th-TH"/>
              </w:rPr>
              <w:t>No. of Universities having developed IP policies</w:t>
            </w:r>
          </w:p>
        </w:tc>
        <w:tc>
          <w:tcPr>
            <w:tcW w:w="1279" w:type="pct"/>
            <w:gridSpan w:val="2"/>
            <w:tcBorders>
              <w:top w:val="nil"/>
              <w:left w:val="nil"/>
              <w:bottom w:val="nil"/>
              <w:right w:val="nil"/>
            </w:tcBorders>
            <w:shd w:val="clear" w:color="auto" w:fill="auto"/>
          </w:tcPr>
          <w:p w:rsidR="00F30DE1" w:rsidRPr="001656CD" w:rsidRDefault="00F30DE1" w:rsidP="00220419">
            <w:pPr>
              <w:rPr>
                <w:rFonts w:cs="Arial"/>
                <w:i/>
                <w:color w:val="002060"/>
                <w:sz w:val="16"/>
                <w:szCs w:val="16"/>
              </w:rPr>
            </w:pPr>
            <w:r>
              <w:rPr>
                <w:rFonts w:cs="Arial"/>
                <w:sz w:val="16"/>
                <w:szCs w:val="16"/>
              </w:rPr>
              <w:t>tbd</w:t>
            </w:r>
          </w:p>
        </w:tc>
        <w:tc>
          <w:tcPr>
            <w:tcW w:w="744" w:type="pct"/>
            <w:tcBorders>
              <w:top w:val="nil"/>
              <w:left w:val="nil"/>
              <w:bottom w:val="nil"/>
              <w:right w:val="nil"/>
            </w:tcBorders>
            <w:shd w:val="clear" w:color="auto" w:fill="auto"/>
            <w:tcMar>
              <w:top w:w="110" w:type="dxa"/>
            </w:tcMar>
          </w:tcPr>
          <w:p w:rsidR="00F30DE1" w:rsidRPr="008E6313" w:rsidRDefault="00F30DE1" w:rsidP="00220419">
            <w:pPr>
              <w:rPr>
                <w:rFonts w:cs="Arial"/>
                <w:sz w:val="16"/>
                <w:szCs w:val="16"/>
                <w:lang w:bidi="th-TH"/>
              </w:rPr>
            </w:pPr>
            <w:r w:rsidRPr="008012E3">
              <w:rPr>
                <w:rFonts w:cs="Arial"/>
                <w:sz w:val="16"/>
                <w:szCs w:val="16"/>
                <w:lang w:bidi="th-TH"/>
              </w:rPr>
              <w:t>30 additional Universities</w:t>
            </w:r>
          </w:p>
        </w:tc>
        <w:tc>
          <w:tcPr>
            <w:tcW w:w="1279" w:type="pct"/>
            <w:gridSpan w:val="4"/>
            <w:tcBorders>
              <w:top w:val="nil"/>
              <w:left w:val="nil"/>
              <w:bottom w:val="nil"/>
              <w:right w:val="nil"/>
            </w:tcBorders>
            <w:shd w:val="clear" w:color="auto" w:fill="FFFFFF"/>
            <w:tcMar>
              <w:top w:w="110" w:type="dxa"/>
            </w:tcMar>
          </w:tcPr>
          <w:p w:rsidR="00F30DE1" w:rsidRDefault="00F30DE1" w:rsidP="00220419">
            <w:pPr>
              <w:rPr>
                <w:rFonts w:cs="Arial"/>
                <w:sz w:val="16"/>
                <w:szCs w:val="16"/>
              </w:rPr>
            </w:pPr>
            <w:r>
              <w:rPr>
                <w:rFonts w:cs="Arial"/>
                <w:sz w:val="16"/>
                <w:szCs w:val="16"/>
              </w:rPr>
              <w:t xml:space="preserve">436 </w:t>
            </w:r>
            <w:r w:rsidRPr="00CF4F0D">
              <w:rPr>
                <w:rFonts w:cs="Arial"/>
                <w:sz w:val="16"/>
                <w:szCs w:val="16"/>
              </w:rPr>
              <w:t>(Poland</w:t>
            </w:r>
            <w:r>
              <w:rPr>
                <w:rFonts w:cs="Arial"/>
                <w:sz w:val="16"/>
                <w:szCs w:val="16"/>
              </w:rPr>
              <w:t xml:space="preserve"> 434</w:t>
            </w:r>
            <w:r w:rsidRPr="00CF4F0D">
              <w:rPr>
                <w:rFonts w:cs="Arial"/>
                <w:sz w:val="16"/>
                <w:szCs w:val="16"/>
              </w:rPr>
              <w:t>;</w:t>
            </w:r>
            <w:r>
              <w:rPr>
                <w:rFonts w:cs="Arial"/>
                <w:sz w:val="16"/>
                <w:szCs w:val="16"/>
              </w:rPr>
              <w:t xml:space="preserve"> Russian Federation 1; Uzbekistan 1)</w:t>
            </w:r>
          </w:p>
          <w:p w:rsidR="00F30DE1" w:rsidRDefault="00F30DE1" w:rsidP="00220419">
            <w:pPr>
              <w:rPr>
                <w:rFonts w:cs="Arial"/>
                <w:sz w:val="16"/>
                <w:szCs w:val="16"/>
              </w:rPr>
            </w:pPr>
          </w:p>
          <w:p w:rsidR="00F30DE1" w:rsidRDefault="00F30DE1" w:rsidP="00220419">
            <w:pPr>
              <w:rPr>
                <w:rFonts w:cs="Arial"/>
                <w:sz w:val="16"/>
                <w:szCs w:val="16"/>
              </w:rPr>
            </w:pPr>
            <w:r>
              <w:rPr>
                <w:rFonts w:cs="Arial"/>
                <w:sz w:val="16"/>
                <w:szCs w:val="16"/>
              </w:rPr>
              <w:t>A Law on Higher Education was adopted by Poland on October 1, 2014, which made it compulsory</w:t>
            </w:r>
            <w:r w:rsidRPr="00F8791A">
              <w:rPr>
                <w:rFonts w:cs="Arial"/>
                <w:sz w:val="16"/>
                <w:szCs w:val="16"/>
              </w:rPr>
              <w:t xml:space="preserve"> for all higher education</w:t>
            </w:r>
            <w:r>
              <w:rPr>
                <w:rFonts w:cs="Arial"/>
                <w:sz w:val="16"/>
                <w:szCs w:val="16"/>
              </w:rPr>
              <w:t>al</w:t>
            </w:r>
            <w:r w:rsidRPr="00F8791A">
              <w:rPr>
                <w:rFonts w:cs="Arial"/>
                <w:sz w:val="16"/>
                <w:szCs w:val="16"/>
              </w:rPr>
              <w:t xml:space="preserve"> institutions to have in place an up-to-date IP policy by March 31, 2015.</w:t>
            </w:r>
          </w:p>
          <w:p w:rsidR="00F30DE1" w:rsidRDefault="00F30DE1" w:rsidP="00220419">
            <w:pPr>
              <w:rPr>
                <w:rFonts w:cs="Arial"/>
                <w:sz w:val="16"/>
                <w:szCs w:val="16"/>
              </w:rPr>
            </w:pPr>
          </w:p>
          <w:p w:rsidR="00F30DE1" w:rsidRPr="008E6313" w:rsidRDefault="00F30DE1" w:rsidP="00F30DE1">
            <w:pPr>
              <w:rPr>
                <w:rFonts w:cs="Arial"/>
                <w:sz w:val="16"/>
                <w:szCs w:val="16"/>
                <w:lang w:bidi="th-TH"/>
              </w:rPr>
            </w:pPr>
            <w:r w:rsidRPr="00CD2511">
              <w:rPr>
                <w:rFonts w:cs="Arial"/>
                <w:sz w:val="16"/>
                <w:szCs w:val="16"/>
                <w:lang w:bidi="th-TH"/>
              </w:rPr>
              <w:t xml:space="preserve">Universities </w:t>
            </w:r>
            <w:r w:rsidRPr="00CD2511">
              <w:rPr>
                <w:rFonts w:cs="Arial"/>
                <w:sz w:val="16"/>
                <w:szCs w:val="16"/>
              </w:rPr>
              <w:t>in Estonia, Lithuania and Slovakia</w:t>
            </w:r>
            <w:r w:rsidRPr="00673017">
              <w:rPr>
                <w:rFonts w:cs="Arial"/>
                <w:sz w:val="16"/>
                <w:szCs w:val="16"/>
              </w:rPr>
              <w:t xml:space="preserve"> </w:t>
            </w:r>
            <w:r w:rsidRPr="00815B0C">
              <w:rPr>
                <w:rFonts w:cs="Arial"/>
                <w:sz w:val="16"/>
                <w:szCs w:val="16"/>
                <w:lang w:bidi="th-TH"/>
              </w:rPr>
              <w:t>were in the process of developing IP policies in 2014</w:t>
            </w:r>
            <w:r>
              <w:rPr>
                <w:rFonts w:cs="Arial"/>
                <w:sz w:val="16"/>
                <w:szCs w:val="16"/>
                <w:lang w:bidi="th-TH"/>
              </w:rPr>
              <w:t>/15</w:t>
            </w:r>
            <w:r w:rsidRPr="00815B0C">
              <w:rPr>
                <w:rFonts w:cs="Arial"/>
                <w:sz w:val="16"/>
                <w:szCs w:val="16"/>
                <w:lang w:bidi="th-TH"/>
              </w:rPr>
              <w:t>.</w:t>
            </w:r>
          </w:p>
        </w:tc>
        <w:tc>
          <w:tcPr>
            <w:tcW w:w="571" w:type="pct"/>
            <w:tcBorders>
              <w:top w:val="nil"/>
              <w:left w:val="nil"/>
              <w:bottom w:val="nil"/>
              <w:right w:val="single" w:sz="4" w:space="0" w:color="auto"/>
            </w:tcBorders>
            <w:shd w:val="clear" w:color="auto" w:fill="auto"/>
            <w:tcMar>
              <w:top w:w="110" w:type="dxa"/>
            </w:tcMar>
          </w:tcPr>
          <w:p w:rsidR="00F30DE1" w:rsidRPr="00C5428C" w:rsidRDefault="00F30DE1" w:rsidP="00220419">
            <w:pPr>
              <w:keepNext/>
              <w:keepLines/>
              <w:jc w:val="center"/>
              <w:rPr>
                <w:rFonts w:cs="Arial"/>
                <w:b/>
                <w:bCs/>
                <w:color w:val="00B050"/>
                <w:sz w:val="16"/>
                <w:szCs w:val="16"/>
              </w:rPr>
            </w:pPr>
            <w:r w:rsidRPr="00D52C15">
              <w:rPr>
                <w:rFonts w:cs="Arial"/>
                <w:b/>
                <w:bCs/>
                <w:color w:val="00B050"/>
                <w:sz w:val="16"/>
                <w:szCs w:val="16"/>
              </w:rPr>
              <w:t>Fully Achieved</w:t>
            </w:r>
          </w:p>
        </w:tc>
      </w:tr>
      <w:tr w:rsidR="00F30DE1" w:rsidRPr="001656CD" w:rsidTr="00E37059">
        <w:trPr>
          <w:cantSplit/>
        </w:trPr>
        <w:tc>
          <w:tcPr>
            <w:tcW w:w="1127" w:type="pct"/>
            <w:tcBorders>
              <w:top w:val="nil"/>
              <w:left w:val="single" w:sz="4" w:space="0" w:color="auto"/>
              <w:bottom w:val="single" w:sz="4" w:space="0" w:color="auto"/>
            </w:tcBorders>
            <w:shd w:val="clear" w:color="auto" w:fill="auto"/>
          </w:tcPr>
          <w:p w:rsidR="00F30DE1" w:rsidRPr="008012E3" w:rsidRDefault="00F30DE1" w:rsidP="00220419">
            <w:pPr>
              <w:rPr>
                <w:rFonts w:cs="Arial"/>
                <w:sz w:val="16"/>
                <w:szCs w:val="16"/>
                <w:lang w:bidi="th-TH"/>
              </w:rPr>
            </w:pPr>
            <w:r w:rsidRPr="008012E3">
              <w:rPr>
                <w:rFonts w:cs="Arial"/>
                <w:sz w:val="16"/>
                <w:szCs w:val="16"/>
                <w:lang w:bidi="th-TH"/>
              </w:rPr>
              <w:t>No. of countries having developed national IP strategies/plans</w:t>
            </w:r>
          </w:p>
        </w:tc>
        <w:tc>
          <w:tcPr>
            <w:tcW w:w="1279" w:type="pct"/>
            <w:gridSpan w:val="2"/>
            <w:tcBorders>
              <w:top w:val="nil"/>
              <w:bottom w:val="single" w:sz="4" w:space="0" w:color="auto"/>
            </w:tcBorders>
            <w:shd w:val="clear" w:color="auto" w:fill="auto"/>
          </w:tcPr>
          <w:p w:rsidR="00F30DE1" w:rsidRPr="001656CD" w:rsidRDefault="00F30DE1" w:rsidP="00220419">
            <w:pPr>
              <w:rPr>
                <w:rFonts w:cs="Arial"/>
                <w:i/>
                <w:color w:val="002060"/>
                <w:sz w:val="16"/>
                <w:szCs w:val="16"/>
              </w:rPr>
            </w:pPr>
            <w:r w:rsidRPr="008012E3">
              <w:rPr>
                <w:rFonts w:cs="Arial"/>
                <w:sz w:val="16"/>
                <w:szCs w:val="16"/>
              </w:rPr>
              <w:t>14 (cumulative per end  2013)</w:t>
            </w:r>
          </w:p>
        </w:tc>
        <w:tc>
          <w:tcPr>
            <w:tcW w:w="744" w:type="pct"/>
            <w:tcBorders>
              <w:top w:val="nil"/>
              <w:bottom w:val="single" w:sz="4" w:space="0" w:color="auto"/>
            </w:tcBorders>
            <w:shd w:val="clear" w:color="auto" w:fill="auto"/>
            <w:tcMar>
              <w:top w:w="110" w:type="dxa"/>
            </w:tcMar>
          </w:tcPr>
          <w:p w:rsidR="00F30DE1" w:rsidRPr="008012E3" w:rsidRDefault="00F30DE1" w:rsidP="00220419">
            <w:pPr>
              <w:rPr>
                <w:rFonts w:cs="Arial"/>
                <w:sz w:val="16"/>
                <w:szCs w:val="16"/>
                <w:lang w:bidi="th-TH"/>
              </w:rPr>
            </w:pPr>
            <w:r>
              <w:rPr>
                <w:rFonts w:cs="Arial"/>
                <w:sz w:val="16"/>
                <w:szCs w:val="16"/>
                <w:lang w:bidi="th-TH"/>
              </w:rPr>
              <w:t>6</w:t>
            </w:r>
            <w:r w:rsidRPr="008012E3">
              <w:rPr>
                <w:rFonts w:cs="Arial"/>
                <w:sz w:val="16"/>
                <w:szCs w:val="16"/>
                <w:lang w:bidi="th-TH"/>
              </w:rPr>
              <w:t xml:space="preserve"> additional countries</w:t>
            </w:r>
          </w:p>
        </w:tc>
        <w:tc>
          <w:tcPr>
            <w:tcW w:w="1279" w:type="pct"/>
            <w:gridSpan w:val="4"/>
            <w:tcBorders>
              <w:top w:val="nil"/>
              <w:bottom w:val="single" w:sz="4" w:space="0" w:color="auto"/>
            </w:tcBorders>
            <w:shd w:val="clear" w:color="auto" w:fill="FFFFFF"/>
            <w:tcMar>
              <w:top w:w="110" w:type="dxa"/>
            </w:tcMar>
          </w:tcPr>
          <w:p w:rsidR="00F30DE1" w:rsidRDefault="00F30DE1" w:rsidP="00220419">
            <w:pPr>
              <w:rPr>
                <w:rFonts w:cs="Arial"/>
                <w:sz w:val="16"/>
                <w:szCs w:val="16"/>
                <w:lang w:bidi="th-TH"/>
              </w:rPr>
            </w:pPr>
            <w:r>
              <w:rPr>
                <w:rFonts w:cs="Arial"/>
                <w:sz w:val="16"/>
                <w:szCs w:val="16"/>
                <w:lang w:bidi="th-TH"/>
              </w:rPr>
              <w:t>6 (Bulgaria, Slovenia, Tajikistan, Turkey, Turkmenistan, Ukraine)</w:t>
            </w:r>
          </w:p>
          <w:p w:rsidR="00F30DE1" w:rsidRDefault="00F30DE1" w:rsidP="00220419">
            <w:pPr>
              <w:rPr>
                <w:rFonts w:cs="Arial"/>
                <w:sz w:val="16"/>
                <w:szCs w:val="16"/>
                <w:lang w:bidi="th-TH"/>
              </w:rPr>
            </w:pPr>
          </w:p>
          <w:p w:rsidR="00F30DE1" w:rsidRPr="008012E3" w:rsidRDefault="00F30DE1" w:rsidP="00220419">
            <w:pPr>
              <w:rPr>
                <w:rFonts w:cs="Arial"/>
                <w:sz w:val="16"/>
                <w:szCs w:val="16"/>
                <w:lang w:bidi="th-TH"/>
              </w:rPr>
            </w:pPr>
            <w:r>
              <w:rPr>
                <w:rFonts w:cs="Arial"/>
                <w:sz w:val="16"/>
                <w:szCs w:val="16"/>
                <w:lang w:bidi="th-TH"/>
              </w:rPr>
              <w:t xml:space="preserve">4 countries (Albania, Georgia, Poland, Latvia) initiated the development of national IP Strategies. </w:t>
            </w:r>
          </w:p>
        </w:tc>
        <w:tc>
          <w:tcPr>
            <w:tcW w:w="571" w:type="pct"/>
            <w:tcBorders>
              <w:top w:val="nil"/>
              <w:bottom w:val="single" w:sz="4" w:space="0" w:color="auto"/>
              <w:right w:val="single" w:sz="4" w:space="0" w:color="auto"/>
            </w:tcBorders>
            <w:shd w:val="clear" w:color="auto" w:fill="auto"/>
            <w:tcMar>
              <w:top w:w="110" w:type="dxa"/>
            </w:tcMar>
          </w:tcPr>
          <w:p w:rsidR="00F30DE1" w:rsidRPr="00C5428C" w:rsidRDefault="00F30DE1" w:rsidP="00220419">
            <w:pPr>
              <w:keepNext/>
              <w:keepLines/>
              <w:jc w:val="center"/>
              <w:rPr>
                <w:rFonts w:cs="Arial"/>
                <w:b/>
                <w:bCs/>
                <w:color w:val="00B050"/>
                <w:sz w:val="16"/>
                <w:szCs w:val="16"/>
              </w:rPr>
            </w:pPr>
            <w:r w:rsidRPr="00D52C15">
              <w:rPr>
                <w:rFonts w:cs="Arial"/>
                <w:b/>
                <w:bCs/>
                <w:color w:val="00B050"/>
                <w:sz w:val="16"/>
                <w:szCs w:val="16"/>
              </w:rPr>
              <w:t>Fully Achieved</w:t>
            </w:r>
          </w:p>
        </w:tc>
      </w:tr>
      <w:tr w:rsidR="00F30DE1" w:rsidRPr="001656CD" w:rsidTr="00220419">
        <w:trPr>
          <w:cantSplit/>
          <w:trHeight w:val="501"/>
        </w:trPr>
        <w:tc>
          <w:tcPr>
            <w:tcW w:w="5000" w:type="pct"/>
            <w:gridSpan w:val="9"/>
            <w:tcBorders>
              <w:top w:val="single" w:sz="4" w:space="0" w:color="auto"/>
              <w:bottom w:val="single" w:sz="4" w:space="0" w:color="auto"/>
            </w:tcBorders>
            <w:shd w:val="clear" w:color="auto" w:fill="C6D9F1" w:themeFill="text2" w:themeFillTint="33"/>
            <w:vAlign w:val="center"/>
          </w:tcPr>
          <w:p w:rsidR="00F30DE1" w:rsidRPr="003329DC" w:rsidRDefault="00F30DE1" w:rsidP="00220419">
            <w:pPr>
              <w:keepNext/>
              <w:keepLines/>
              <w:tabs>
                <w:tab w:val="left" w:pos="1452"/>
              </w:tabs>
              <w:ind w:left="1452" w:hanging="1452"/>
              <w:rPr>
                <w:rFonts w:cs="Arial"/>
                <w:b/>
                <w:bCs/>
                <w:sz w:val="16"/>
                <w:szCs w:val="16"/>
              </w:rPr>
            </w:pPr>
            <w:r w:rsidRPr="001656CD">
              <w:rPr>
                <w:rFonts w:cs="Arial"/>
                <w:b/>
                <w:bCs/>
                <w:sz w:val="16"/>
                <w:szCs w:val="16"/>
              </w:rPr>
              <w:lastRenderedPageBreak/>
              <w:t>Expected Result:</w:t>
            </w:r>
            <w:r w:rsidRPr="001656CD">
              <w:rPr>
                <w:rFonts w:cs="Arial"/>
                <w:b/>
                <w:bCs/>
                <w:sz w:val="16"/>
                <w:szCs w:val="16"/>
              </w:rPr>
              <w:tab/>
            </w:r>
            <w:r w:rsidRPr="003F0F9C">
              <w:rPr>
                <w:rFonts w:cs="Arial"/>
                <w:sz w:val="16"/>
                <w:szCs w:val="16"/>
                <w:lang w:bidi="th-TH"/>
              </w:rPr>
              <w:t>III.2 Enhanced human resource capacities able to deal with the broad range of requirements for the effective use of IP for development in developing countries, LDCs and countries with economies in transition</w:t>
            </w:r>
          </w:p>
        </w:tc>
      </w:tr>
      <w:tr w:rsidR="00F30DE1" w:rsidRPr="001656CD" w:rsidTr="00E37059">
        <w:trPr>
          <w:cantSplit/>
          <w:trHeight w:val="281"/>
        </w:trPr>
        <w:tc>
          <w:tcPr>
            <w:tcW w:w="1127" w:type="pct"/>
            <w:tcBorders>
              <w:top w:val="single" w:sz="4" w:space="0" w:color="auto"/>
              <w:left w:val="single" w:sz="4" w:space="0" w:color="auto"/>
              <w:bottom w:val="nil"/>
              <w:right w:val="nil"/>
            </w:tcBorders>
            <w:shd w:val="clear" w:color="auto" w:fill="auto"/>
            <w:vAlign w:val="center"/>
          </w:tcPr>
          <w:p w:rsidR="00F30DE1" w:rsidRPr="00BC6547" w:rsidRDefault="00F30DE1" w:rsidP="00220419">
            <w:pPr>
              <w:keepNext/>
              <w:keepLines/>
              <w:rPr>
                <w:rFonts w:cs="Arial"/>
                <w:sz w:val="16"/>
                <w:szCs w:val="16"/>
              </w:rPr>
            </w:pPr>
            <w:r w:rsidRPr="00BC6547">
              <w:rPr>
                <w:rFonts w:cs="Arial"/>
                <w:b/>
                <w:bCs/>
                <w:sz w:val="16"/>
                <w:szCs w:val="16"/>
              </w:rPr>
              <w:t>Performance Indicators</w:t>
            </w:r>
          </w:p>
        </w:tc>
        <w:tc>
          <w:tcPr>
            <w:tcW w:w="1279" w:type="pct"/>
            <w:gridSpan w:val="2"/>
            <w:tcBorders>
              <w:top w:val="single" w:sz="4" w:space="0" w:color="auto"/>
              <w:left w:val="nil"/>
              <w:bottom w:val="nil"/>
              <w:right w:val="nil"/>
            </w:tcBorders>
            <w:shd w:val="clear" w:color="auto" w:fill="auto"/>
            <w:vAlign w:val="center"/>
          </w:tcPr>
          <w:p w:rsidR="00F30DE1" w:rsidRPr="00BC6547" w:rsidRDefault="00F30DE1" w:rsidP="00220419">
            <w:pPr>
              <w:keepNext/>
              <w:keepLines/>
              <w:rPr>
                <w:rFonts w:cs="Arial"/>
                <w:b/>
                <w:bCs/>
                <w:sz w:val="16"/>
                <w:szCs w:val="16"/>
              </w:rPr>
            </w:pPr>
            <w:r w:rsidRPr="00BC6547">
              <w:rPr>
                <w:rFonts w:cs="Arial"/>
                <w:b/>
                <w:bCs/>
                <w:sz w:val="16"/>
                <w:szCs w:val="16"/>
              </w:rPr>
              <w:t>Baselines</w:t>
            </w:r>
          </w:p>
        </w:tc>
        <w:tc>
          <w:tcPr>
            <w:tcW w:w="744" w:type="pct"/>
            <w:tcBorders>
              <w:top w:val="single" w:sz="4" w:space="0" w:color="auto"/>
              <w:left w:val="nil"/>
              <w:bottom w:val="nil"/>
              <w:right w:val="nil"/>
            </w:tcBorders>
            <w:shd w:val="clear" w:color="auto" w:fill="auto"/>
            <w:vAlign w:val="center"/>
          </w:tcPr>
          <w:p w:rsidR="00F30DE1" w:rsidRPr="00BC6547" w:rsidRDefault="00F30DE1" w:rsidP="00220419">
            <w:pPr>
              <w:keepNext/>
              <w:keepLines/>
              <w:rPr>
                <w:rFonts w:cs="Arial"/>
                <w:b/>
                <w:sz w:val="16"/>
                <w:szCs w:val="16"/>
              </w:rPr>
            </w:pPr>
            <w:r w:rsidRPr="00BC6547">
              <w:rPr>
                <w:rFonts w:cs="Arial"/>
                <w:b/>
                <w:sz w:val="16"/>
                <w:szCs w:val="16"/>
              </w:rPr>
              <w:t>Targets</w:t>
            </w:r>
          </w:p>
        </w:tc>
        <w:tc>
          <w:tcPr>
            <w:tcW w:w="1275" w:type="pct"/>
            <w:gridSpan w:val="3"/>
            <w:tcBorders>
              <w:top w:val="single" w:sz="4" w:space="0" w:color="auto"/>
              <w:left w:val="nil"/>
              <w:bottom w:val="nil"/>
              <w:right w:val="nil"/>
            </w:tcBorders>
            <w:shd w:val="clear" w:color="auto" w:fill="auto"/>
            <w:vAlign w:val="center"/>
          </w:tcPr>
          <w:p w:rsidR="00F30DE1" w:rsidRPr="00BC6547" w:rsidRDefault="00F30DE1" w:rsidP="00220419">
            <w:pPr>
              <w:keepNext/>
              <w:keepLines/>
              <w:rPr>
                <w:rFonts w:cs="Arial"/>
                <w:sz w:val="16"/>
                <w:szCs w:val="16"/>
              </w:rPr>
            </w:pPr>
            <w:r w:rsidRPr="00BC6547">
              <w:rPr>
                <w:rFonts w:cs="Arial"/>
                <w:b/>
                <w:bCs/>
                <w:sz w:val="16"/>
                <w:szCs w:val="16"/>
              </w:rPr>
              <w:t>Performance Data</w:t>
            </w:r>
          </w:p>
        </w:tc>
        <w:tc>
          <w:tcPr>
            <w:tcW w:w="576" w:type="pct"/>
            <w:gridSpan w:val="2"/>
            <w:tcBorders>
              <w:top w:val="single" w:sz="4" w:space="0" w:color="auto"/>
              <w:left w:val="nil"/>
              <w:bottom w:val="nil"/>
              <w:right w:val="single" w:sz="4" w:space="0" w:color="auto"/>
            </w:tcBorders>
            <w:shd w:val="clear" w:color="auto" w:fill="auto"/>
            <w:vAlign w:val="center"/>
          </w:tcPr>
          <w:p w:rsidR="00F30DE1" w:rsidRPr="00CD26D6" w:rsidRDefault="00F30DE1" w:rsidP="00220419">
            <w:pPr>
              <w:keepNext/>
              <w:keepLines/>
              <w:jc w:val="center"/>
              <w:rPr>
                <w:rFonts w:cs="Arial"/>
                <w:b/>
                <w:bCs/>
                <w:sz w:val="16"/>
                <w:szCs w:val="16"/>
              </w:rPr>
            </w:pPr>
            <w:r w:rsidRPr="00BC6547">
              <w:rPr>
                <w:rFonts w:cs="Arial"/>
                <w:b/>
                <w:bCs/>
                <w:sz w:val="16"/>
                <w:szCs w:val="16"/>
              </w:rPr>
              <w:t>TLS</w:t>
            </w:r>
          </w:p>
        </w:tc>
      </w:tr>
      <w:tr w:rsidR="00F30DE1" w:rsidRPr="001656CD" w:rsidTr="00E37059">
        <w:trPr>
          <w:cantSplit/>
        </w:trPr>
        <w:tc>
          <w:tcPr>
            <w:tcW w:w="1127" w:type="pct"/>
            <w:tcBorders>
              <w:top w:val="nil"/>
              <w:left w:val="single" w:sz="4" w:space="0" w:color="auto"/>
              <w:bottom w:val="nil"/>
              <w:right w:val="nil"/>
            </w:tcBorders>
            <w:shd w:val="clear" w:color="auto" w:fill="auto"/>
          </w:tcPr>
          <w:p w:rsidR="00F30DE1" w:rsidRPr="008012E3" w:rsidRDefault="00F30DE1" w:rsidP="00220419">
            <w:pPr>
              <w:rPr>
                <w:rFonts w:cs="Arial"/>
                <w:sz w:val="16"/>
                <w:szCs w:val="16"/>
                <w:lang w:bidi="th-TH"/>
              </w:rPr>
            </w:pPr>
            <w:r w:rsidRPr="00F01083">
              <w:rPr>
                <w:rFonts w:cs="Arial"/>
                <w:sz w:val="16"/>
                <w:szCs w:val="16"/>
                <w:lang w:bidi="th-TH"/>
              </w:rPr>
              <w:t>No. of countries in transition having established annual IP training programs and/or courses for IP professionals</w:t>
            </w:r>
          </w:p>
        </w:tc>
        <w:tc>
          <w:tcPr>
            <w:tcW w:w="1279" w:type="pct"/>
            <w:gridSpan w:val="2"/>
            <w:tcBorders>
              <w:top w:val="nil"/>
              <w:left w:val="nil"/>
              <w:bottom w:val="nil"/>
              <w:right w:val="nil"/>
            </w:tcBorders>
            <w:shd w:val="clear" w:color="auto" w:fill="auto"/>
          </w:tcPr>
          <w:p w:rsidR="00F30DE1" w:rsidRPr="001656CD" w:rsidRDefault="00F30DE1" w:rsidP="00220419">
            <w:pPr>
              <w:rPr>
                <w:rFonts w:cs="Arial"/>
                <w:i/>
                <w:color w:val="002060"/>
                <w:sz w:val="16"/>
                <w:szCs w:val="16"/>
              </w:rPr>
            </w:pPr>
            <w:r w:rsidRPr="00F01083">
              <w:rPr>
                <w:rFonts w:cs="Arial"/>
                <w:sz w:val="16"/>
                <w:szCs w:val="16"/>
              </w:rPr>
              <w:t>tbd</w:t>
            </w:r>
          </w:p>
        </w:tc>
        <w:tc>
          <w:tcPr>
            <w:tcW w:w="744" w:type="pct"/>
            <w:tcBorders>
              <w:top w:val="nil"/>
              <w:left w:val="nil"/>
              <w:bottom w:val="nil"/>
              <w:right w:val="nil"/>
            </w:tcBorders>
            <w:shd w:val="clear" w:color="auto" w:fill="auto"/>
            <w:tcMar>
              <w:top w:w="110" w:type="dxa"/>
            </w:tcMar>
          </w:tcPr>
          <w:p w:rsidR="00F30DE1" w:rsidRDefault="00F30DE1" w:rsidP="00220419">
            <w:pPr>
              <w:rPr>
                <w:rFonts w:cs="Arial"/>
                <w:sz w:val="16"/>
                <w:szCs w:val="16"/>
                <w:lang w:bidi="th-TH"/>
              </w:rPr>
            </w:pPr>
            <w:r>
              <w:rPr>
                <w:rFonts w:cs="Arial"/>
                <w:sz w:val="16"/>
                <w:szCs w:val="16"/>
                <w:lang w:bidi="th-TH"/>
              </w:rPr>
              <w:t>10</w:t>
            </w:r>
          </w:p>
          <w:p w:rsidR="00F30DE1" w:rsidRPr="00F01083" w:rsidRDefault="00F30DE1" w:rsidP="00220419">
            <w:pPr>
              <w:rPr>
                <w:rFonts w:cs="Arial"/>
                <w:sz w:val="16"/>
                <w:szCs w:val="16"/>
                <w:lang w:bidi="th-TH"/>
              </w:rPr>
            </w:pPr>
          </w:p>
        </w:tc>
        <w:tc>
          <w:tcPr>
            <w:tcW w:w="1275" w:type="pct"/>
            <w:gridSpan w:val="3"/>
            <w:tcBorders>
              <w:top w:val="nil"/>
              <w:left w:val="nil"/>
              <w:bottom w:val="nil"/>
              <w:right w:val="nil"/>
            </w:tcBorders>
            <w:shd w:val="clear" w:color="auto" w:fill="FFFFFF"/>
            <w:tcMar>
              <w:top w:w="110" w:type="dxa"/>
            </w:tcMar>
          </w:tcPr>
          <w:p w:rsidR="00F30DE1" w:rsidRDefault="00F30DE1" w:rsidP="00220419">
            <w:pPr>
              <w:rPr>
                <w:rFonts w:cs="Arial"/>
                <w:sz w:val="16"/>
                <w:szCs w:val="16"/>
                <w:lang w:bidi="th-TH"/>
              </w:rPr>
            </w:pPr>
            <w:r>
              <w:rPr>
                <w:rFonts w:cs="Arial"/>
                <w:sz w:val="16"/>
                <w:szCs w:val="16"/>
                <w:lang w:bidi="th-TH"/>
              </w:rPr>
              <w:t>9 (</w:t>
            </w:r>
            <w:r w:rsidRPr="00CF4F0D">
              <w:rPr>
                <w:rFonts w:cs="Arial"/>
                <w:sz w:val="16"/>
                <w:szCs w:val="16"/>
                <w:lang w:bidi="th-TH"/>
              </w:rPr>
              <w:t>Bulgaria, Croatia, Czech Republic, Georgia</w:t>
            </w:r>
            <w:r>
              <w:rPr>
                <w:rFonts w:cs="Arial"/>
                <w:sz w:val="16"/>
                <w:szCs w:val="16"/>
                <w:lang w:bidi="th-TH"/>
              </w:rPr>
              <w:t xml:space="preserve">, </w:t>
            </w:r>
            <w:r w:rsidRPr="00CF4F0D">
              <w:rPr>
                <w:rFonts w:cs="Arial"/>
                <w:sz w:val="16"/>
                <w:szCs w:val="16"/>
                <w:lang w:bidi="th-TH"/>
              </w:rPr>
              <w:t xml:space="preserve">Kazakhstan, Poland, </w:t>
            </w:r>
            <w:r>
              <w:rPr>
                <w:rFonts w:cs="Arial"/>
                <w:sz w:val="16"/>
                <w:szCs w:val="16"/>
                <w:lang w:bidi="th-TH"/>
              </w:rPr>
              <w:t xml:space="preserve">Romania, </w:t>
            </w:r>
            <w:r w:rsidRPr="00CF4F0D">
              <w:rPr>
                <w:rFonts w:cs="Arial"/>
                <w:sz w:val="16"/>
                <w:szCs w:val="16"/>
                <w:lang w:bidi="th-TH"/>
              </w:rPr>
              <w:t>Slovakia</w:t>
            </w:r>
            <w:r>
              <w:rPr>
                <w:rFonts w:cs="Arial"/>
                <w:sz w:val="16"/>
                <w:szCs w:val="16"/>
                <w:lang w:bidi="th-TH"/>
              </w:rPr>
              <w:t>,</w:t>
            </w:r>
            <w:r w:rsidRPr="00CF4F0D">
              <w:rPr>
                <w:rFonts w:cs="Arial"/>
                <w:sz w:val="16"/>
                <w:szCs w:val="16"/>
                <w:lang w:bidi="th-TH"/>
              </w:rPr>
              <w:t xml:space="preserve"> Turkey</w:t>
            </w:r>
            <w:r>
              <w:rPr>
                <w:rFonts w:cs="Arial"/>
                <w:sz w:val="16"/>
                <w:szCs w:val="16"/>
                <w:lang w:bidi="th-TH"/>
              </w:rPr>
              <w:t>)</w:t>
            </w:r>
            <w:r w:rsidRPr="00CF4F0D">
              <w:rPr>
                <w:rFonts w:cs="Arial"/>
                <w:sz w:val="16"/>
                <w:szCs w:val="16"/>
                <w:lang w:bidi="th-TH"/>
              </w:rPr>
              <w:t xml:space="preserve"> </w:t>
            </w:r>
          </w:p>
          <w:p w:rsidR="00F30DE1" w:rsidRDefault="00F30DE1" w:rsidP="00220419">
            <w:pPr>
              <w:rPr>
                <w:rFonts w:cs="Arial"/>
                <w:sz w:val="16"/>
                <w:szCs w:val="16"/>
                <w:lang w:bidi="th-TH"/>
              </w:rPr>
            </w:pPr>
          </w:p>
          <w:p w:rsidR="00F30DE1" w:rsidRDefault="00F30DE1" w:rsidP="00220419">
            <w:pPr>
              <w:rPr>
                <w:rFonts w:cs="Arial"/>
                <w:sz w:val="16"/>
                <w:szCs w:val="16"/>
                <w:lang w:bidi="th-TH"/>
              </w:rPr>
            </w:pPr>
            <w:r>
              <w:rPr>
                <w:rFonts w:cs="Arial"/>
                <w:sz w:val="16"/>
                <w:szCs w:val="16"/>
                <w:lang w:bidi="th-TH"/>
              </w:rPr>
              <w:t xml:space="preserve">On </w:t>
            </w:r>
            <w:r w:rsidRPr="005F1B2D">
              <w:rPr>
                <w:rFonts w:cs="Arial"/>
                <w:sz w:val="16"/>
                <w:szCs w:val="16"/>
                <w:lang w:bidi="th-TH"/>
              </w:rPr>
              <w:t>March 27, 2015, the Government of Romania approved the School Program for the Optional Course Education for Intellectual Property Rights (Curriculum at the High-school Decision)</w:t>
            </w:r>
          </w:p>
          <w:p w:rsidR="00F30DE1" w:rsidRDefault="00F30DE1" w:rsidP="00220419">
            <w:pPr>
              <w:rPr>
                <w:rFonts w:cs="Arial"/>
                <w:sz w:val="16"/>
                <w:szCs w:val="16"/>
                <w:lang w:bidi="th-TH"/>
              </w:rPr>
            </w:pPr>
          </w:p>
          <w:p w:rsidR="00F30DE1" w:rsidRPr="00CF4F0D" w:rsidRDefault="00F30DE1" w:rsidP="00220419">
            <w:pPr>
              <w:rPr>
                <w:rFonts w:cs="Arial"/>
                <w:sz w:val="16"/>
                <w:szCs w:val="16"/>
                <w:lang w:bidi="th-TH"/>
              </w:rPr>
            </w:pPr>
          </w:p>
        </w:tc>
        <w:tc>
          <w:tcPr>
            <w:tcW w:w="576" w:type="pct"/>
            <w:gridSpan w:val="2"/>
            <w:tcBorders>
              <w:top w:val="nil"/>
              <w:left w:val="nil"/>
              <w:bottom w:val="nil"/>
              <w:right w:val="single" w:sz="4" w:space="0" w:color="auto"/>
            </w:tcBorders>
            <w:shd w:val="clear" w:color="auto" w:fill="auto"/>
            <w:tcMar>
              <w:top w:w="110" w:type="dxa"/>
            </w:tcMar>
          </w:tcPr>
          <w:p w:rsidR="00F30DE1" w:rsidRPr="00C5428C" w:rsidRDefault="00F30DE1" w:rsidP="00220419">
            <w:pPr>
              <w:keepNext/>
              <w:keepLines/>
              <w:jc w:val="center"/>
              <w:rPr>
                <w:rFonts w:cs="Arial"/>
                <w:b/>
                <w:bCs/>
                <w:color w:val="00B050"/>
                <w:sz w:val="16"/>
                <w:szCs w:val="16"/>
              </w:rPr>
            </w:pPr>
            <w:r w:rsidRPr="00D52C15">
              <w:rPr>
                <w:rFonts w:cs="Arial"/>
                <w:b/>
                <w:bCs/>
                <w:color w:val="00B050"/>
                <w:sz w:val="16"/>
                <w:szCs w:val="16"/>
              </w:rPr>
              <w:t>Fully Achieved</w:t>
            </w:r>
          </w:p>
        </w:tc>
      </w:tr>
      <w:tr w:rsidR="00F30DE1" w:rsidRPr="001656CD" w:rsidTr="00E37059">
        <w:trPr>
          <w:cantSplit/>
        </w:trPr>
        <w:tc>
          <w:tcPr>
            <w:tcW w:w="1127" w:type="pct"/>
            <w:tcBorders>
              <w:top w:val="nil"/>
              <w:left w:val="single" w:sz="4" w:space="0" w:color="auto"/>
              <w:bottom w:val="single" w:sz="4" w:space="0" w:color="auto"/>
            </w:tcBorders>
            <w:shd w:val="clear" w:color="auto" w:fill="auto"/>
          </w:tcPr>
          <w:p w:rsidR="00F30DE1" w:rsidRPr="00F01083" w:rsidRDefault="00F30DE1" w:rsidP="00220419">
            <w:pPr>
              <w:rPr>
                <w:rFonts w:cs="Arial"/>
                <w:sz w:val="16"/>
                <w:szCs w:val="16"/>
                <w:lang w:bidi="th-TH"/>
              </w:rPr>
            </w:pPr>
            <w:r w:rsidRPr="00F01083">
              <w:rPr>
                <w:rFonts w:cs="Arial"/>
                <w:sz w:val="16"/>
                <w:szCs w:val="16"/>
                <w:lang w:bidi="th-TH"/>
              </w:rPr>
              <w:t>% of trained IP professionals and IP Office officials using upgraded skills in their work</w:t>
            </w:r>
          </w:p>
        </w:tc>
        <w:tc>
          <w:tcPr>
            <w:tcW w:w="1279" w:type="pct"/>
            <w:gridSpan w:val="2"/>
            <w:tcBorders>
              <w:top w:val="nil"/>
              <w:bottom w:val="single" w:sz="4" w:space="0" w:color="auto"/>
            </w:tcBorders>
            <w:shd w:val="clear" w:color="auto" w:fill="auto"/>
          </w:tcPr>
          <w:p w:rsidR="00F30DE1" w:rsidRPr="00BC6767" w:rsidRDefault="00F30DE1" w:rsidP="00220419">
            <w:pPr>
              <w:rPr>
                <w:rFonts w:cs="Arial"/>
                <w:color w:val="002060"/>
                <w:sz w:val="16"/>
                <w:szCs w:val="16"/>
                <w:lang w:bidi="th-TH"/>
              </w:rPr>
            </w:pPr>
            <w:r w:rsidRPr="001656CD">
              <w:rPr>
                <w:rFonts w:cs="Arial"/>
                <w:i/>
                <w:color w:val="002060"/>
                <w:sz w:val="16"/>
                <w:szCs w:val="16"/>
              </w:rPr>
              <w:t>Updated Baseline end 201</w:t>
            </w:r>
            <w:r>
              <w:rPr>
                <w:rFonts w:cs="Arial"/>
                <w:i/>
                <w:color w:val="002060"/>
                <w:sz w:val="16"/>
                <w:szCs w:val="16"/>
              </w:rPr>
              <w:t>3</w:t>
            </w:r>
            <w:r w:rsidRPr="001656CD">
              <w:rPr>
                <w:rFonts w:cs="Arial"/>
                <w:i/>
                <w:color w:val="002060"/>
                <w:sz w:val="16"/>
                <w:szCs w:val="16"/>
              </w:rPr>
              <w:t xml:space="preserve">: </w:t>
            </w:r>
            <w:r>
              <w:rPr>
                <w:rFonts w:cs="Arial"/>
                <w:color w:val="002060"/>
                <w:sz w:val="16"/>
                <w:szCs w:val="16"/>
              </w:rPr>
              <w:t>69% of trained IP office officials were using upgraded skills in their work</w:t>
            </w:r>
          </w:p>
          <w:p w:rsidR="00F30DE1" w:rsidRPr="008D3FF3" w:rsidRDefault="00F30DE1" w:rsidP="00220419">
            <w:pPr>
              <w:rPr>
                <w:rFonts w:cs="Arial"/>
                <w:i/>
                <w:color w:val="002060"/>
                <w:sz w:val="8"/>
                <w:szCs w:val="8"/>
              </w:rPr>
            </w:pPr>
          </w:p>
          <w:p w:rsidR="00F30DE1" w:rsidRPr="001656CD" w:rsidRDefault="00F30DE1" w:rsidP="00220419">
            <w:pPr>
              <w:rPr>
                <w:rFonts w:cs="Arial"/>
                <w:i/>
                <w:color w:val="002060"/>
                <w:sz w:val="16"/>
                <w:szCs w:val="16"/>
              </w:rPr>
            </w:pPr>
            <w:r w:rsidRPr="001656CD">
              <w:rPr>
                <w:rFonts w:cs="Arial"/>
                <w:i/>
                <w:sz w:val="16"/>
                <w:szCs w:val="16"/>
              </w:rPr>
              <w:t>Original Baseline P&amp;B 201</w:t>
            </w:r>
            <w:r>
              <w:rPr>
                <w:rFonts w:cs="Arial"/>
                <w:i/>
                <w:sz w:val="16"/>
                <w:szCs w:val="16"/>
              </w:rPr>
              <w:t>4</w:t>
            </w:r>
            <w:r w:rsidRPr="001656CD">
              <w:rPr>
                <w:rFonts w:cs="Arial"/>
                <w:i/>
                <w:sz w:val="16"/>
                <w:szCs w:val="16"/>
              </w:rPr>
              <w:t>/1</w:t>
            </w:r>
            <w:r>
              <w:rPr>
                <w:rFonts w:cs="Arial"/>
                <w:i/>
                <w:sz w:val="16"/>
                <w:szCs w:val="16"/>
              </w:rPr>
              <w:t>5</w:t>
            </w:r>
            <w:r w:rsidRPr="001656CD">
              <w:rPr>
                <w:rFonts w:cs="Arial"/>
                <w:i/>
                <w:sz w:val="16"/>
                <w:szCs w:val="16"/>
              </w:rPr>
              <w:t>:</w:t>
            </w:r>
            <w:r>
              <w:t xml:space="preserve"> </w:t>
            </w:r>
            <w:r w:rsidRPr="00F01083">
              <w:rPr>
                <w:rFonts w:cs="Arial"/>
                <w:sz w:val="16"/>
                <w:szCs w:val="16"/>
              </w:rPr>
              <w:t>40%</w:t>
            </w:r>
          </w:p>
        </w:tc>
        <w:tc>
          <w:tcPr>
            <w:tcW w:w="744" w:type="pct"/>
            <w:tcBorders>
              <w:top w:val="nil"/>
              <w:bottom w:val="single" w:sz="4" w:space="0" w:color="auto"/>
            </w:tcBorders>
            <w:shd w:val="clear" w:color="auto" w:fill="auto"/>
            <w:tcMar>
              <w:top w:w="110" w:type="dxa"/>
            </w:tcMar>
          </w:tcPr>
          <w:p w:rsidR="00F30DE1" w:rsidRPr="00F01083" w:rsidRDefault="00F30DE1" w:rsidP="00220419">
            <w:pPr>
              <w:rPr>
                <w:rFonts w:cs="Arial"/>
                <w:sz w:val="16"/>
                <w:szCs w:val="16"/>
                <w:lang w:bidi="th-TH"/>
              </w:rPr>
            </w:pPr>
            <w:r w:rsidRPr="00F01083">
              <w:rPr>
                <w:rFonts w:cs="Arial"/>
                <w:sz w:val="16"/>
                <w:szCs w:val="16"/>
                <w:lang w:bidi="th-TH"/>
              </w:rPr>
              <w:t>50%</w:t>
            </w:r>
          </w:p>
        </w:tc>
        <w:tc>
          <w:tcPr>
            <w:tcW w:w="1275" w:type="pct"/>
            <w:gridSpan w:val="3"/>
            <w:tcBorders>
              <w:top w:val="nil"/>
              <w:bottom w:val="single" w:sz="4" w:space="0" w:color="auto"/>
            </w:tcBorders>
            <w:shd w:val="clear" w:color="auto" w:fill="FFFFFF"/>
            <w:tcMar>
              <w:top w:w="110" w:type="dxa"/>
            </w:tcMar>
          </w:tcPr>
          <w:p w:rsidR="00F30DE1" w:rsidRPr="00DC24ED" w:rsidRDefault="00F30DE1" w:rsidP="00220419">
            <w:pPr>
              <w:rPr>
                <w:rFonts w:cs="Arial"/>
                <w:sz w:val="16"/>
                <w:szCs w:val="16"/>
                <w:lang w:bidi="th-TH"/>
              </w:rPr>
            </w:pPr>
            <w:r>
              <w:rPr>
                <w:rFonts w:cs="Arial"/>
                <w:sz w:val="16"/>
                <w:szCs w:val="16"/>
                <w:lang w:bidi="th-TH"/>
              </w:rPr>
              <w:t xml:space="preserve">In 2014/15, 82.7% </w:t>
            </w:r>
            <w:r w:rsidRPr="000E395E">
              <w:rPr>
                <w:rFonts w:cs="Arial"/>
                <w:sz w:val="16"/>
                <w:szCs w:val="16"/>
                <w:lang w:bidi="th-TH"/>
              </w:rPr>
              <w:t>of trained IP office officials were using upgraded skills in their work</w:t>
            </w:r>
          </w:p>
        </w:tc>
        <w:tc>
          <w:tcPr>
            <w:tcW w:w="576" w:type="pct"/>
            <w:gridSpan w:val="2"/>
            <w:tcBorders>
              <w:top w:val="nil"/>
              <w:bottom w:val="single" w:sz="4" w:space="0" w:color="auto"/>
              <w:right w:val="single" w:sz="4" w:space="0" w:color="auto"/>
            </w:tcBorders>
            <w:shd w:val="clear" w:color="auto" w:fill="auto"/>
            <w:tcMar>
              <w:top w:w="110" w:type="dxa"/>
            </w:tcMar>
          </w:tcPr>
          <w:p w:rsidR="00F30DE1" w:rsidRPr="00C5428C" w:rsidRDefault="00F30DE1" w:rsidP="00220419">
            <w:pPr>
              <w:keepNext/>
              <w:keepLines/>
              <w:jc w:val="center"/>
              <w:rPr>
                <w:rFonts w:cs="Arial"/>
                <w:b/>
                <w:bCs/>
                <w:color w:val="00B050"/>
                <w:sz w:val="16"/>
                <w:szCs w:val="16"/>
              </w:rPr>
            </w:pPr>
            <w:r w:rsidRPr="00E11257">
              <w:rPr>
                <w:rFonts w:cs="Arial"/>
                <w:b/>
                <w:bCs/>
                <w:color w:val="00B050"/>
                <w:sz w:val="16"/>
                <w:szCs w:val="16"/>
              </w:rPr>
              <w:t>Fully Achieved</w:t>
            </w:r>
          </w:p>
        </w:tc>
      </w:tr>
      <w:tr w:rsidR="00F30DE1" w:rsidRPr="001656CD" w:rsidTr="00220419">
        <w:trPr>
          <w:cantSplit/>
          <w:trHeight w:val="494"/>
        </w:trPr>
        <w:tc>
          <w:tcPr>
            <w:tcW w:w="5000" w:type="pct"/>
            <w:gridSpan w:val="9"/>
            <w:tcBorders>
              <w:top w:val="single" w:sz="4" w:space="0" w:color="auto"/>
              <w:bottom w:val="single" w:sz="4" w:space="0" w:color="auto"/>
            </w:tcBorders>
            <w:shd w:val="clear" w:color="auto" w:fill="C6D9F1" w:themeFill="text2" w:themeFillTint="33"/>
            <w:vAlign w:val="center"/>
          </w:tcPr>
          <w:p w:rsidR="00F30DE1" w:rsidRPr="003329DC" w:rsidRDefault="00F30DE1" w:rsidP="00220419">
            <w:pPr>
              <w:keepNext/>
              <w:keepLines/>
              <w:tabs>
                <w:tab w:val="left" w:pos="1452"/>
              </w:tabs>
              <w:ind w:left="1452" w:hanging="1452"/>
              <w:rPr>
                <w:rFonts w:cs="Arial"/>
                <w:b/>
                <w:bCs/>
                <w:sz w:val="16"/>
                <w:szCs w:val="16"/>
              </w:rPr>
            </w:pPr>
            <w:r w:rsidRPr="001656CD">
              <w:rPr>
                <w:rFonts w:cs="Arial"/>
                <w:b/>
                <w:bCs/>
                <w:sz w:val="16"/>
                <w:szCs w:val="16"/>
              </w:rPr>
              <w:t>Expected Result:</w:t>
            </w:r>
            <w:r w:rsidRPr="001656CD">
              <w:rPr>
                <w:rFonts w:cs="Arial"/>
                <w:b/>
                <w:bCs/>
                <w:sz w:val="16"/>
                <w:szCs w:val="16"/>
              </w:rPr>
              <w:tab/>
            </w:r>
            <w:r w:rsidRPr="00F01083">
              <w:rPr>
                <w:rFonts w:cs="Arial"/>
                <w:sz w:val="16"/>
                <w:szCs w:val="16"/>
                <w:lang w:bidi="th-TH"/>
              </w:rPr>
              <w:t>III.4 Strengthened cooperation mechanisms and programs tailored to the needs of developing countries and LDCs</w:t>
            </w:r>
          </w:p>
        </w:tc>
      </w:tr>
      <w:tr w:rsidR="00F30DE1" w:rsidRPr="001656CD" w:rsidTr="00E37059">
        <w:trPr>
          <w:cantSplit/>
          <w:trHeight w:val="371"/>
        </w:trPr>
        <w:tc>
          <w:tcPr>
            <w:tcW w:w="1127" w:type="pct"/>
            <w:tcBorders>
              <w:top w:val="single" w:sz="4" w:space="0" w:color="auto"/>
              <w:left w:val="single" w:sz="4" w:space="0" w:color="auto"/>
              <w:bottom w:val="nil"/>
              <w:right w:val="nil"/>
            </w:tcBorders>
            <w:shd w:val="clear" w:color="auto" w:fill="auto"/>
            <w:vAlign w:val="center"/>
          </w:tcPr>
          <w:p w:rsidR="00F30DE1" w:rsidRPr="00BC6547" w:rsidRDefault="00F30DE1" w:rsidP="00220419">
            <w:pPr>
              <w:keepNext/>
              <w:keepLines/>
              <w:rPr>
                <w:rFonts w:cs="Arial"/>
                <w:sz w:val="16"/>
                <w:szCs w:val="16"/>
              </w:rPr>
            </w:pPr>
            <w:r w:rsidRPr="00BC6547">
              <w:rPr>
                <w:rFonts w:cs="Arial"/>
                <w:b/>
                <w:bCs/>
                <w:sz w:val="16"/>
                <w:szCs w:val="16"/>
              </w:rPr>
              <w:t>Performance Indicators</w:t>
            </w:r>
          </w:p>
        </w:tc>
        <w:tc>
          <w:tcPr>
            <w:tcW w:w="1279" w:type="pct"/>
            <w:gridSpan w:val="2"/>
            <w:tcBorders>
              <w:top w:val="single" w:sz="4" w:space="0" w:color="auto"/>
              <w:left w:val="nil"/>
              <w:bottom w:val="nil"/>
              <w:right w:val="nil"/>
            </w:tcBorders>
            <w:shd w:val="clear" w:color="auto" w:fill="auto"/>
            <w:vAlign w:val="center"/>
          </w:tcPr>
          <w:p w:rsidR="00F30DE1" w:rsidRPr="00BC6547" w:rsidRDefault="00F30DE1" w:rsidP="00220419">
            <w:pPr>
              <w:keepNext/>
              <w:keepLines/>
              <w:rPr>
                <w:rFonts w:cs="Arial"/>
                <w:b/>
                <w:bCs/>
                <w:sz w:val="16"/>
                <w:szCs w:val="16"/>
              </w:rPr>
            </w:pPr>
            <w:r w:rsidRPr="00BC6547">
              <w:rPr>
                <w:rFonts w:cs="Arial"/>
                <w:b/>
                <w:bCs/>
                <w:sz w:val="16"/>
                <w:szCs w:val="16"/>
              </w:rPr>
              <w:t>Baselines</w:t>
            </w:r>
          </w:p>
        </w:tc>
        <w:tc>
          <w:tcPr>
            <w:tcW w:w="744" w:type="pct"/>
            <w:tcBorders>
              <w:top w:val="single" w:sz="4" w:space="0" w:color="auto"/>
              <w:left w:val="nil"/>
              <w:bottom w:val="nil"/>
              <w:right w:val="nil"/>
            </w:tcBorders>
            <w:shd w:val="clear" w:color="auto" w:fill="auto"/>
            <w:vAlign w:val="center"/>
          </w:tcPr>
          <w:p w:rsidR="00F30DE1" w:rsidRPr="00BC6547" w:rsidRDefault="00F30DE1" w:rsidP="00220419">
            <w:pPr>
              <w:keepNext/>
              <w:keepLines/>
              <w:rPr>
                <w:rFonts w:cs="Arial"/>
                <w:b/>
                <w:sz w:val="16"/>
                <w:szCs w:val="16"/>
              </w:rPr>
            </w:pPr>
            <w:r w:rsidRPr="00BC6547">
              <w:rPr>
                <w:rFonts w:cs="Arial"/>
                <w:b/>
                <w:sz w:val="16"/>
                <w:szCs w:val="16"/>
              </w:rPr>
              <w:t>Targets</w:t>
            </w:r>
          </w:p>
        </w:tc>
        <w:tc>
          <w:tcPr>
            <w:tcW w:w="1275" w:type="pct"/>
            <w:gridSpan w:val="3"/>
            <w:tcBorders>
              <w:top w:val="single" w:sz="4" w:space="0" w:color="auto"/>
              <w:left w:val="nil"/>
              <w:bottom w:val="nil"/>
              <w:right w:val="nil"/>
            </w:tcBorders>
            <w:shd w:val="clear" w:color="auto" w:fill="auto"/>
            <w:vAlign w:val="center"/>
          </w:tcPr>
          <w:p w:rsidR="00F30DE1" w:rsidRPr="00BC6547" w:rsidRDefault="00F30DE1" w:rsidP="00220419">
            <w:pPr>
              <w:keepNext/>
              <w:keepLines/>
              <w:rPr>
                <w:rFonts w:cs="Arial"/>
                <w:sz w:val="16"/>
                <w:szCs w:val="16"/>
              </w:rPr>
            </w:pPr>
            <w:r w:rsidRPr="00BC6547">
              <w:rPr>
                <w:rFonts w:cs="Arial"/>
                <w:b/>
                <w:bCs/>
                <w:sz w:val="16"/>
                <w:szCs w:val="16"/>
              </w:rPr>
              <w:t>Performance Data</w:t>
            </w:r>
          </w:p>
        </w:tc>
        <w:tc>
          <w:tcPr>
            <w:tcW w:w="576" w:type="pct"/>
            <w:gridSpan w:val="2"/>
            <w:tcBorders>
              <w:top w:val="single" w:sz="4" w:space="0" w:color="auto"/>
              <w:left w:val="nil"/>
              <w:bottom w:val="nil"/>
              <w:right w:val="single" w:sz="4" w:space="0" w:color="auto"/>
            </w:tcBorders>
            <w:shd w:val="clear" w:color="auto" w:fill="auto"/>
            <w:vAlign w:val="center"/>
          </w:tcPr>
          <w:p w:rsidR="00F30DE1" w:rsidRPr="00CD26D6" w:rsidRDefault="00F30DE1" w:rsidP="00220419">
            <w:pPr>
              <w:keepNext/>
              <w:keepLines/>
              <w:jc w:val="center"/>
              <w:rPr>
                <w:rFonts w:cs="Arial"/>
                <w:b/>
                <w:bCs/>
                <w:sz w:val="16"/>
                <w:szCs w:val="16"/>
              </w:rPr>
            </w:pPr>
            <w:r w:rsidRPr="00BC6547">
              <w:rPr>
                <w:rFonts w:cs="Arial"/>
                <w:b/>
                <w:bCs/>
                <w:sz w:val="16"/>
                <w:szCs w:val="16"/>
              </w:rPr>
              <w:t>TLS</w:t>
            </w:r>
          </w:p>
        </w:tc>
      </w:tr>
      <w:tr w:rsidR="00F30DE1" w:rsidRPr="001656CD" w:rsidTr="00E37059">
        <w:trPr>
          <w:cantSplit/>
          <w:trHeight w:val="1852"/>
        </w:trPr>
        <w:tc>
          <w:tcPr>
            <w:tcW w:w="1127" w:type="pct"/>
            <w:tcBorders>
              <w:top w:val="nil"/>
              <w:left w:val="single" w:sz="4" w:space="0" w:color="auto"/>
              <w:bottom w:val="single" w:sz="4" w:space="0" w:color="auto"/>
              <w:right w:val="nil"/>
            </w:tcBorders>
            <w:shd w:val="clear" w:color="auto" w:fill="auto"/>
          </w:tcPr>
          <w:p w:rsidR="00F30DE1" w:rsidRPr="008E6313" w:rsidRDefault="00F30DE1" w:rsidP="00220419">
            <w:pPr>
              <w:tabs>
                <w:tab w:val="left" w:pos="347"/>
              </w:tabs>
              <w:rPr>
                <w:rFonts w:cs="Arial"/>
                <w:sz w:val="16"/>
                <w:szCs w:val="16"/>
                <w:lang w:bidi="th-TH"/>
              </w:rPr>
            </w:pPr>
            <w:r w:rsidRPr="002D2494">
              <w:rPr>
                <w:rFonts w:cs="Arial"/>
                <w:sz w:val="16"/>
                <w:szCs w:val="16"/>
                <w:lang w:bidi="th-TH"/>
              </w:rPr>
              <w:t>No. of established partnerships where the party offering assistance originates from a developed country</w:t>
            </w:r>
          </w:p>
        </w:tc>
        <w:tc>
          <w:tcPr>
            <w:tcW w:w="1279" w:type="pct"/>
            <w:gridSpan w:val="2"/>
            <w:tcBorders>
              <w:top w:val="nil"/>
              <w:left w:val="nil"/>
              <w:bottom w:val="single" w:sz="4" w:space="0" w:color="auto"/>
              <w:right w:val="nil"/>
            </w:tcBorders>
            <w:shd w:val="clear" w:color="auto" w:fill="auto"/>
          </w:tcPr>
          <w:p w:rsidR="00F30DE1" w:rsidRPr="001656CD" w:rsidRDefault="00F30DE1" w:rsidP="00220419">
            <w:pPr>
              <w:rPr>
                <w:rFonts w:cs="Arial"/>
                <w:i/>
                <w:color w:val="002060"/>
                <w:sz w:val="16"/>
                <w:szCs w:val="16"/>
              </w:rPr>
            </w:pPr>
            <w:r w:rsidRPr="002D2494">
              <w:rPr>
                <w:rFonts w:cs="Arial"/>
                <w:sz w:val="16"/>
                <w:szCs w:val="16"/>
              </w:rPr>
              <w:t>tbd</w:t>
            </w:r>
          </w:p>
        </w:tc>
        <w:tc>
          <w:tcPr>
            <w:tcW w:w="744" w:type="pct"/>
            <w:tcBorders>
              <w:top w:val="nil"/>
              <w:left w:val="nil"/>
              <w:bottom w:val="single" w:sz="4" w:space="0" w:color="auto"/>
              <w:right w:val="nil"/>
            </w:tcBorders>
            <w:shd w:val="clear" w:color="auto" w:fill="auto"/>
            <w:tcMar>
              <w:top w:w="110" w:type="dxa"/>
            </w:tcMar>
          </w:tcPr>
          <w:p w:rsidR="00F30DE1" w:rsidRDefault="00F30DE1" w:rsidP="00220419">
            <w:pPr>
              <w:rPr>
                <w:rFonts w:cs="Arial"/>
                <w:sz w:val="16"/>
                <w:szCs w:val="16"/>
                <w:lang w:bidi="th-TH"/>
              </w:rPr>
            </w:pPr>
            <w:r w:rsidRPr="002D2494">
              <w:rPr>
                <w:rFonts w:cs="Arial"/>
                <w:sz w:val="16"/>
                <w:szCs w:val="16"/>
                <w:lang w:bidi="th-TH"/>
              </w:rPr>
              <w:t>4 additional MoUs; 10</w:t>
            </w:r>
            <w:r w:rsidR="00C143C8">
              <w:rPr>
                <w:rFonts w:cs="Arial"/>
                <w:sz w:val="16"/>
                <w:szCs w:val="16"/>
                <w:lang w:bidi="th-TH"/>
              </w:rPr>
              <w:t> </w:t>
            </w:r>
            <w:r w:rsidRPr="002D2494">
              <w:rPr>
                <w:rFonts w:cs="Arial"/>
                <w:sz w:val="16"/>
                <w:szCs w:val="16"/>
                <w:lang w:bidi="th-TH"/>
              </w:rPr>
              <w:t>additional matches in the matchmaking database</w:t>
            </w:r>
          </w:p>
          <w:p w:rsidR="00F30DE1" w:rsidRPr="002D2494" w:rsidRDefault="00F30DE1" w:rsidP="00220419">
            <w:pPr>
              <w:rPr>
                <w:rFonts w:cs="Arial"/>
                <w:sz w:val="16"/>
                <w:szCs w:val="16"/>
                <w:lang w:bidi="th-TH"/>
              </w:rPr>
            </w:pPr>
          </w:p>
        </w:tc>
        <w:tc>
          <w:tcPr>
            <w:tcW w:w="1275" w:type="pct"/>
            <w:gridSpan w:val="3"/>
            <w:tcBorders>
              <w:top w:val="nil"/>
              <w:left w:val="nil"/>
              <w:bottom w:val="single" w:sz="4" w:space="0" w:color="auto"/>
              <w:right w:val="nil"/>
            </w:tcBorders>
            <w:shd w:val="clear" w:color="auto" w:fill="FFFFFF"/>
            <w:tcMar>
              <w:top w:w="110" w:type="dxa"/>
            </w:tcMar>
          </w:tcPr>
          <w:p w:rsidR="00F30DE1" w:rsidRDefault="00F30DE1" w:rsidP="00220419">
            <w:pPr>
              <w:rPr>
                <w:rFonts w:cs="Arial"/>
                <w:sz w:val="16"/>
                <w:szCs w:val="16"/>
                <w:lang w:bidi="th-TH"/>
              </w:rPr>
            </w:pPr>
            <w:r>
              <w:rPr>
                <w:rFonts w:cs="Arial"/>
                <w:sz w:val="16"/>
                <w:szCs w:val="16"/>
                <w:lang w:bidi="th-TH"/>
              </w:rPr>
              <w:t>5</w:t>
            </w:r>
            <w:r w:rsidRPr="00E72C69">
              <w:rPr>
                <w:rFonts w:cs="Arial"/>
                <w:sz w:val="16"/>
                <w:szCs w:val="16"/>
                <w:lang w:bidi="th-TH"/>
              </w:rPr>
              <w:t xml:space="preserve"> new MoUs (Denmark, </w:t>
            </w:r>
            <w:r>
              <w:rPr>
                <w:rFonts w:cs="Arial"/>
                <w:sz w:val="16"/>
                <w:szCs w:val="16"/>
                <w:lang w:bidi="th-TH"/>
              </w:rPr>
              <w:t xml:space="preserve">France, </w:t>
            </w:r>
            <w:r w:rsidRPr="00E72C69">
              <w:rPr>
                <w:rFonts w:cs="Arial"/>
                <w:sz w:val="16"/>
                <w:szCs w:val="16"/>
                <w:lang w:bidi="th-TH"/>
              </w:rPr>
              <w:t xml:space="preserve">Germany, </w:t>
            </w:r>
            <w:r>
              <w:rPr>
                <w:rFonts w:cs="Arial"/>
                <w:sz w:val="16"/>
                <w:szCs w:val="16"/>
                <w:lang w:bidi="th-TH"/>
              </w:rPr>
              <w:t>I</w:t>
            </w:r>
            <w:r w:rsidRPr="00E72C69">
              <w:rPr>
                <w:rFonts w:cs="Arial"/>
                <w:sz w:val="16"/>
                <w:szCs w:val="16"/>
                <w:lang w:bidi="th-TH"/>
              </w:rPr>
              <w:t>srael, Spain)</w:t>
            </w:r>
          </w:p>
          <w:p w:rsidR="00F30DE1" w:rsidRDefault="00F30DE1" w:rsidP="00220419">
            <w:pPr>
              <w:rPr>
                <w:rFonts w:cs="Arial"/>
                <w:sz w:val="16"/>
                <w:szCs w:val="16"/>
                <w:lang w:bidi="th-TH"/>
              </w:rPr>
            </w:pPr>
          </w:p>
          <w:p w:rsidR="00F30DE1" w:rsidRDefault="00F30DE1" w:rsidP="00220419">
            <w:pPr>
              <w:rPr>
                <w:rFonts w:cs="Arial"/>
                <w:sz w:val="16"/>
                <w:szCs w:val="16"/>
                <w:lang w:bidi="th-TH"/>
              </w:rPr>
            </w:pPr>
            <w:r>
              <w:rPr>
                <w:rFonts w:cs="Arial"/>
                <w:sz w:val="16"/>
                <w:szCs w:val="16"/>
                <w:lang w:bidi="th-TH"/>
              </w:rPr>
              <w:t xml:space="preserve">A </w:t>
            </w:r>
            <w:r w:rsidRPr="00B93995">
              <w:rPr>
                <w:rFonts w:cs="Arial"/>
                <w:sz w:val="16"/>
                <w:szCs w:val="16"/>
                <w:lang w:bidi="th-TH"/>
              </w:rPr>
              <w:t xml:space="preserve">targeted outreach plan to bolster uploads and catalyze matches was in development, however the results of the plan were not yet visible by the end of the biennium. </w:t>
            </w:r>
          </w:p>
          <w:p w:rsidR="00F30DE1" w:rsidRPr="008E6313" w:rsidRDefault="00F30DE1" w:rsidP="00220419">
            <w:pPr>
              <w:rPr>
                <w:rFonts w:cs="Arial"/>
                <w:sz w:val="16"/>
                <w:szCs w:val="16"/>
                <w:lang w:bidi="th-TH"/>
              </w:rPr>
            </w:pPr>
          </w:p>
        </w:tc>
        <w:tc>
          <w:tcPr>
            <w:tcW w:w="576" w:type="pct"/>
            <w:gridSpan w:val="2"/>
            <w:tcBorders>
              <w:top w:val="nil"/>
              <w:left w:val="nil"/>
              <w:bottom w:val="single" w:sz="4" w:space="0" w:color="auto"/>
              <w:right w:val="single" w:sz="4" w:space="0" w:color="auto"/>
            </w:tcBorders>
            <w:shd w:val="clear" w:color="auto" w:fill="auto"/>
            <w:tcMar>
              <w:top w:w="110" w:type="dxa"/>
            </w:tcMar>
          </w:tcPr>
          <w:p w:rsidR="00F30DE1" w:rsidRDefault="00F30DE1" w:rsidP="00220419">
            <w:pPr>
              <w:keepNext/>
              <w:keepLines/>
              <w:jc w:val="center"/>
              <w:rPr>
                <w:rFonts w:cs="Arial"/>
                <w:b/>
                <w:bCs/>
                <w:color w:val="00B050"/>
                <w:sz w:val="16"/>
                <w:szCs w:val="16"/>
              </w:rPr>
            </w:pPr>
            <w:r w:rsidRPr="00E72C69">
              <w:rPr>
                <w:rFonts w:cs="Arial"/>
                <w:b/>
                <w:bCs/>
                <w:color w:val="00B050"/>
                <w:sz w:val="16"/>
                <w:szCs w:val="16"/>
              </w:rPr>
              <w:t>Fully Achieved</w:t>
            </w:r>
          </w:p>
          <w:p w:rsidR="00F30DE1" w:rsidRDefault="00F30DE1" w:rsidP="00220419">
            <w:pPr>
              <w:keepNext/>
              <w:keepLines/>
              <w:jc w:val="center"/>
              <w:rPr>
                <w:rFonts w:cs="Arial"/>
                <w:b/>
                <w:bCs/>
                <w:color w:val="00B050"/>
                <w:sz w:val="16"/>
                <w:szCs w:val="16"/>
              </w:rPr>
            </w:pPr>
          </w:p>
          <w:p w:rsidR="00F30DE1" w:rsidRDefault="00F30DE1" w:rsidP="00220419">
            <w:pPr>
              <w:keepNext/>
              <w:keepLines/>
              <w:jc w:val="center"/>
              <w:rPr>
                <w:rFonts w:cs="Arial"/>
                <w:b/>
                <w:bCs/>
                <w:color w:val="00B050"/>
                <w:sz w:val="16"/>
                <w:szCs w:val="16"/>
              </w:rPr>
            </w:pPr>
          </w:p>
          <w:p w:rsidR="00F30DE1" w:rsidRPr="00830D0A" w:rsidRDefault="00F30DE1" w:rsidP="00220419">
            <w:pPr>
              <w:keepNext/>
              <w:keepLines/>
              <w:jc w:val="center"/>
              <w:rPr>
                <w:rFonts w:cs="Arial"/>
                <w:b/>
                <w:bCs/>
                <w:color w:val="FF0000"/>
                <w:sz w:val="16"/>
                <w:szCs w:val="16"/>
              </w:rPr>
            </w:pPr>
            <w:r w:rsidRPr="00830D0A">
              <w:rPr>
                <w:rFonts w:cs="Arial"/>
                <w:b/>
                <w:bCs/>
                <w:color w:val="FF0000"/>
                <w:sz w:val="16"/>
                <w:szCs w:val="16"/>
              </w:rPr>
              <w:t>Not Achieved</w:t>
            </w:r>
          </w:p>
          <w:p w:rsidR="00F30DE1" w:rsidRPr="00C5428C" w:rsidRDefault="00F30DE1" w:rsidP="00220419">
            <w:pPr>
              <w:keepNext/>
              <w:keepLines/>
              <w:jc w:val="center"/>
              <w:rPr>
                <w:rFonts w:cs="Arial"/>
                <w:b/>
                <w:bCs/>
                <w:color w:val="00B050"/>
                <w:sz w:val="16"/>
                <w:szCs w:val="16"/>
              </w:rPr>
            </w:pPr>
          </w:p>
        </w:tc>
      </w:tr>
      <w:tr w:rsidR="00F30DE1" w:rsidRPr="001656CD" w:rsidTr="00220419">
        <w:trPr>
          <w:cantSplit/>
          <w:trHeight w:val="451"/>
        </w:trPr>
        <w:tc>
          <w:tcPr>
            <w:tcW w:w="5000" w:type="pct"/>
            <w:gridSpan w:val="9"/>
            <w:tcBorders>
              <w:top w:val="single" w:sz="4" w:space="0" w:color="auto"/>
              <w:bottom w:val="single" w:sz="4" w:space="0" w:color="auto"/>
            </w:tcBorders>
            <w:shd w:val="clear" w:color="auto" w:fill="C6D9F1" w:themeFill="text2" w:themeFillTint="33"/>
            <w:vAlign w:val="center"/>
          </w:tcPr>
          <w:p w:rsidR="00F30DE1" w:rsidRPr="003329DC" w:rsidRDefault="00F30DE1" w:rsidP="00220419">
            <w:pPr>
              <w:keepNext/>
              <w:keepLines/>
              <w:tabs>
                <w:tab w:val="left" w:pos="1452"/>
              </w:tabs>
              <w:ind w:left="1452" w:hanging="1452"/>
              <w:rPr>
                <w:rFonts w:cs="Arial"/>
                <w:b/>
                <w:bCs/>
                <w:sz w:val="16"/>
                <w:szCs w:val="16"/>
              </w:rPr>
            </w:pPr>
            <w:r w:rsidRPr="001656CD">
              <w:rPr>
                <w:rFonts w:cs="Arial"/>
                <w:b/>
                <w:bCs/>
                <w:sz w:val="16"/>
                <w:szCs w:val="16"/>
              </w:rPr>
              <w:t>Expected Result:</w:t>
            </w:r>
            <w:r w:rsidRPr="001656CD">
              <w:rPr>
                <w:rFonts w:cs="Arial"/>
                <w:b/>
                <w:bCs/>
                <w:sz w:val="16"/>
                <w:szCs w:val="16"/>
              </w:rPr>
              <w:tab/>
            </w:r>
            <w:r w:rsidRPr="003E0A9C">
              <w:rPr>
                <w:rFonts w:cs="Arial"/>
                <w:sz w:val="16"/>
                <w:szCs w:val="16"/>
                <w:lang w:bidi="th-TH"/>
              </w:rPr>
              <w:t>III.6 Increased capacity of SMEs to successfully use IP to support innovation</w:t>
            </w:r>
          </w:p>
        </w:tc>
      </w:tr>
      <w:tr w:rsidR="00F30DE1" w:rsidRPr="001656CD" w:rsidTr="00E37059">
        <w:trPr>
          <w:cantSplit/>
          <w:trHeight w:val="274"/>
        </w:trPr>
        <w:tc>
          <w:tcPr>
            <w:tcW w:w="1127" w:type="pct"/>
            <w:tcBorders>
              <w:top w:val="single" w:sz="4" w:space="0" w:color="auto"/>
              <w:left w:val="single" w:sz="4" w:space="0" w:color="auto"/>
              <w:bottom w:val="nil"/>
              <w:right w:val="nil"/>
            </w:tcBorders>
            <w:shd w:val="clear" w:color="auto" w:fill="auto"/>
            <w:vAlign w:val="center"/>
          </w:tcPr>
          <w:p w:rsidR="00F30DE1" w:rsidRPr="00BC6547" w:rsidRDefault="00F30DE1" w:rsidP="00220419">
            <w:pPr>
              <w:keepNext/>
              <w:keepLines/>
              <w:rPr>
                <w:rFonts w:cs="Arial"/>
                <w:sz w:val="16"/>
                <w:szCs w:val="16"/>
              </w:rPr>
            </w:pPr>
            <w:r w:rsidRPr="00BC6547">
              <w:rPr>
                <w:rFonts w:cs="Arial"/>
                <w:b/>
                <w:bCs/>
                <w:sz w:val="16"/>
                <w:szCs w:val="16"/>
              </w:rPr>
              <w:t>Performance Indicators</w:t>
            </w:r>
          </w:p>
        </w:tc>
        <w:tc>
          <w:tcPr>
            <w:tcW w:w="1273" w:type="pct"/>
            <w:tcBorders>
              <w:top w:val="single" w:sz="4" w:space="0" w:color="auto"/>
              <w:left w:val="nil"/>
              <w:bottom w:val="nil"/>
              <w:right w:val="nil"/>
            </w:tcBorders>
            <w:shd w:val="clear" w:color="auto" w:fill="auto"/>
            <w:vAlign w:val="center"/>
          </w:tcPr>
          <w:p w:rsidR="00F30DE1" w:rsidRPr="00BC6547" w:rsidRDefault="00F30DE1" w:rsidP="00220419">
            <w:pPr>
              <w:keepNext/>
              <w:keepLines/>
              <w:rPr>
                <w:rFonts w:cs="Arial"/>
                <w:b/>
                <w:bCs/>
                <w:sz w:val="16"/>
                <w:szCs w:val="16"/>
              </w:rPr>
            </w:pPr>
            <w:r w:rsidRPr="00BC6547">
              <w:rPr>
                <w:rFonts w:cs="Arial"/>
                <w:b/>
                <w:bCs/>
                <w:sz w:val="16"/>
                <w:szCs w:val="16"/>
              </w:rPr>
              <w:t>Baselines</w:t>
            </w:r>
          </w:p>
        </w:tc>
        <w:tc>
          <w:tcPr>
            <w:tcW w:w="825" w:type="pct"/>
            <w:gridSpan w:val="3"/>
            <w:tcBorders>
              <w:top w:val="single" w:sz="4" w:space="0" w:color="auto"/>
              <w:left w:val="nil"/>
              <w:bottom w:val="nil"/>
              <w:right w:val="nil"/>
            </w:tcBorders>
            <w:shd w:val="clear" w:color="auto" w:fill="auto"/>
            <w:vAlign w:val="center"/>
          </w:tcPr>
          <w:p w:rsidR="00F30DE1" w:rsidRPr="00BC6547" w:rsidRDefault="00F30DE1" w:rsidP="00220419">
            <w:pPr>
              <w:keepNext/>
              <w:keepLines/>
              <w:rPr>
                <w:rFonts w:cs="Arial"/>
                <w:b/>
                <w:sz w:val="16"/>
                <w:szCs w:val="16"/>
              </w:rPr>
            </w:pPr>
            <w:r w:rsidRPr="00BC6547">
              <w:rPr>
                <w:rFonts w:cs="Arial"/>
                <w:b/>
                <w:sz w:val="16"/>
                <w:szCs w:val="16"/>
              </w:rPr>
              <w:t>Targets</w:t>
            </w:r>
          </w:p>
        </w:tc>
        <w:tc>
          <w:tcPr>
            <w:tcW w:w="1200" w:type="pct"/>
            <w:gridSpan w:val="2"/>
            <w:tcBorders>
              <w:top w:val="single" w:sz="4" w:space="0" w:color="auto"/>
              <w:left w:val="nil"/>
              <w:bottom w:val="nil"/>
              <w:right w:val="nil"/>
            </w:tcBorders>
            <w:shd w:val="clear" w:color="auto" w:fill="auto"/>
            <w:vAlign w:val="center"/>
          </w:tcPr>
          <w:p w:rsidR="00F30DE1" w:rsidRPr="00BC6547" w:rsidRDefault="00F30DE1" w:rsidP="00220419">
            <w:pPr>
              <w:keepNext/>
              <w:keepLines/>
              <w:rPr>
                <w:rFonts w:cs="Arial"/>
                <w:sz w:val="16"/>
                <w:szCs w:val="16"/>
              </w:rPr>
            </w:pPr>
            <w:r w:rsidRPr="00BC6547">
              <w:rPr>
                <w:rFonts w:cs="Arial"/>
                <w:b/>
                <w:bCs/>
                <w:sz w:val="16"/>
                <w:szCs w:val="16"/>
              </w:rPr>
              <w:t>Performance Data</w:t>
            </w:r>
          </w:p>
        </w:tc>
        <w:tc>
          <w:tcPr>
            <w:tcW w:w="576" w:type="pct"/>
            <w:gridSpan w:val="2"/>
            <w:tcBorders>
              <w:top w:val="single" w:sz="4" w:space="0" w:color="auto"/>
              <w:left w:val="nil"/>
              <w:bottom w:val="nil"/>
              <w:right w:val="single" w:sz="4" w:space="0" w:color="auto"/>
            </w:tcBorders>
            <w:shd w:val="clear" w:color="auto" w:fill="auto"/>
            <w:vAlign w:val="center"/>
          </w:tcPr>
          <w:p w:rsidR="00F30DE1" w:rsidRPr="00CD26D6" w:rsidRDefault="00F30DE1" w:rsidP="00220419">
            <w:pPr>
              <w:keepNext/>
              <w:keepLines/>
              <w:jc w:val="center"/>
              <w:rPr>
                <w:rFonts w:cs="Arial"/>
                <w:b/>
                <w:bCs/>
                <w:sz w:val="16"/>
                <w:szCs w:val="16"/>
              </w:rPr>
            </w:pPr>
            <w:r w:rsidRPr="00BC6547">
              <w:rPr>
                <w:rFonts w:cs="Arial"/>
                <w:b/>
                <w:bCs/>
                <w:sz w:val="16"/>
                <w:szCs w:val="16"/>
              </w:rPr>
              <w:t>TLS</w:t>
            </w:r>
          </w:p>
        </w:tc>
      </w:tr>
      <w:tr w:rsidR="00F30DE1" w:rsidRPr="001656CD" w:rsidTr="00E37059">
        <w:trPr>
          <w:cantSplit/>
          <w:trHeight w:val="673"/>
        </w:trPr>
        <w:tc>
          <w:tcPr>
            <w:tcW w:w="1127" w:type="pct"/>
            <w:tcBorders>
              <w:top w:val="nil"/>
              <w:left w:val="single" w:sz="4" w:space="0" w:color="auto"/>
              <w:bottom w:val="nil"/>
              <w:right w:val="nil"/>
            </w:tcBorders>
            <w:shd w:val="clear" w:color="auto" w:fill="auto"/>
          </w:tcPr>
          <w:p w:rsidR="00F30DE1" w:rsidRPr="002D2494" w:rsidRDefault="00F30DE1" w:rsidP="00220419">
            <w:pPr>
              <w:tabs>
                <w:tab w:val="left" w:pos="347"/>
              </w:tabs>
              <w:rPr>
                <w:rFonts w:cs="Arial"/>
                <w:sz w:val="16"/>
                <w:szCs w:val="16"/>
                <w:lang w:bidi="th-TH"/>
              </w:rPr>
            </w:pPr>
            <w:r w:rsidRPr="003E0A9C">
              <w:rPr>
                <w:rFonts w:cs="Arial"/>
                <w:sz w:val="16"/>
                <w:szCs w:val="16"/>
                <w:lang w:bidi="th-TH"/>
              </w:rPr>
              <w:t>% of participants in training programs targeting  SME support institutions who express satisfaction with the content and organization of these events</w:t>
            </w:r>
          </w:p>
        </w:tc>
        <w:tc>
          <w:tcPr>
            <w:tcW w:w="1273" w:type="pct"/>
            <w:tcBorders>
              <w:top w:val="nil"/>
              <w:left w:val="nil"/>
              <w:bottom w:val="nil"/>
              <w:right w:val="nil"/>
            </w:tcBorders>
            <w:shd w:val="clear" w:color="auto" w:fill="auto"/>
          </w:tcPr>
          <w:p w:rsidR="00F30DE1" w:rsidRPr="001656CD" w:rsidRDefault="00F30DE1" w:rsidP="00220419">
            <w:pPr>
              <w:rPr>
                <w:rFonts w:cs="Arial"/>
                <w:i/>
                <w:color w:val="002060"/>
                <w:sz w:val="16"/>
                <w:szCs w:val="16"/>
              </w:rPr>
            </w:pPr>
            <w:r w:rsidRPr="002D2494">
              <w:rPr>
                <w:rFonts w:cs="Arial"/>
                <w:sz w:val="16"/>
                <w:szCs w:val="16"/>
              </w:rPr>
              <w:t>tbd</w:t>
            </w:r>
          </w:p>
        </w:tc>
        <w:tc>
          <w:tcPr>
            <w:tcW w:w="825" w:type="pct"/>
            <w:gridSpan w:val="3"/>
            <w:tcBorders>
              <w:top w:val="nil"/>
              <w:left w:val="nil"/>
              <w:bottom w:val="nil"/>
              <w:right w:val="nil"/>
            </w:tcBorders>
            <w:shd w:val="clear" w:color="auto" w:fill="auto"/>
            <w:tcMar>
              <w:top w:w="110" w:type="dxa"/>
            </w:tcMar>
          </w:tcPr>
          <w:p w:rsidR="00F30DE1" w:rsidRDefault="00F30DE1" w:rsidP="00220419">
            <w:pPr>
              <w:rPr>
                <w:rFonts w:cs="Arial"/>
                <w:color w:val="002060"/>
                <w:sz w:val="16"/>
                <w:szCs w:val="16"/>
                <w:lang w:bidi="th-TH"/>
              </w:rPr>
            </w:pPr>
            <w:r>
              <w:rPr>
                <w:rFonts w:cs="Arial"/>
                <w:i/>
                <w:color w:val="002060"/>
                <w:sz w:val="16"/>
                <w:szCs w:val="16"/>
              </w:rPr>
              <w:t>Defined target</w:t>
            </w:r>
            <w:r w:rsidRPr="001656CD">
              <w:rPr>
                <w:rFonts w:cs="Arial"/>
                <w:i/>
                <w:color w:val="002060"/>
                <w:sz w:val="16"/>
                <w:szCs w:val="16"/>
              </w:rPr>
              <w:t xml:space="preserve">: </w:t>
            </w:r>
            <w:r>
              <w:rPr>
                <w:rFonts w:cs="Arial"/>
                <w:color w:val="002060"/>
                <w:sz w:val="16"/>
                <w:szCs w:val="16"/>
              </w:rPr>
              <w:t>75%</w:t>
            </w:r>
          </w:p>
          <w:p w:rsidR="00F30DE1" w:rsidRPr="008D3FF3" w:rsidRDefault="00F30DE1" w:rsidP="00220419">
            <w:pPr>
              <w:rPr>
                <w:rFonts w:cs="Arial"/>
                <w:i/>
                <w:color w:val="002060"/>
                <w:sz w:val="8"/>
                <w:szCs w:val="8"/>
              </w:rPr>
            </w:pPr>
          </w:p>
          <w:p w:rsidR="00F30DE1" w:rsidRPr="002D2494" w:rsidRDefault="00F30DE1" w:rsidP="00220419">
            <w:pPr>
              <w:rPr>
                <w:rFonts w:cs="Arial"/>
                <w:sz w:val="16"/>
                <w:szCs w:val="16"/>
                <w:lang w:bidi="th-TH"/>
              </w:rPr>
            </w:pPr>
            <w:r w:rsidRPr="001656CD">
              <w:rPr>
                <w:rFonts w:cs="Arial"/>
                <w:i/>
                <w:sz w:val="16"/>
                <w:szCs w:val="16"/>
              </w:rPr>
              <w:t xml:space="preserve">Original </w:t>
            </w:r>
            <w:r>
              <w:rPr>
                <w:rFonts w:cs="Arial"/>
                <w:i/>
                <w:sz w:val="16"/>
                <w:szCs w:val="16"/>
              </w:rPr>
              <w:t>target</w:t>
            </w:r>
            <w:r w:rsidRPr="001656CD">
              <w:rPr>
                <w:rFonts w:cs="Arial"/>
                <w:i/>
                <w:sz w:val="16"/>
                <w:szCs w:val="16"/>
              </w:rPr>
              <w:t xml:space="preserve"> P&amp;B 201</w:t>
            </w:r>
            <w:r>
              <w:rPr>
                <w:rFonts w:cs="Arial"/>
                <w:i/>
                <w:sz w:val="16"/>
                <w:szCs w:val="16"/>
              </w:rPr>
              <w:t>4</w:t>
            </w:r>
            <w:r w:rsidRPr="001656CD">
              <w:rPr>
                <w:rFonts w:cs="Arial"/>
                <w:i/>
                <w:sz w:val="16"/>
                <w:szCs w:val="16"/>
              </w:rPr>
              <w:t>/1</w:t>
            </w:r>
            <w:r>
              <w:rPr>
                <w:rFonts w:cs="Arial"/>
                <w:i/>
                <w:sz w:val="16"/>
                <w:szCs w:val="16"/>
              </w:rPr>
              <w:t>5</w:t>
            </w:r>
            <w:r w:rsidRPr="001656CD">
              <w:rPr>
                <w:rFonts w:cs="Arial"/>
                <w:i/>
                <w:sz w:val="16"/>
                <w:szCs w:val="16"/>
              </w:rPr>
              <w:t>:</w:t>
            </w:r>
            <w:r>
              <w:t xml:space="preserve"> </w:t>
            </w:r>
            <w:r w:rsidRPr="002D2494">
              <w:rPr>
                <w:rFonts w:cs="Arial"/>
                <w:sz w:val="16"/>
                <w:szCs w:val="16"/>
              </w:rPr>
              <w:t>tbd</w:t>
            </w:r>
            <w:r w:rsidRPr="003E0A9C">
              <w:rPr>
                <w:rFonts w:cs="Arial"/>
                <w:sz w:val="16"/>
                <w:szCs w:val="16"/>
                <w:lang w:bidi="th-TH"/>
              </w:rPr>
              <w:t xml:space="preserve"> </w:t>
            </w:r>
          </w:p>
        </w:tc>
        <w:tc>
          <w:tcPr>
            <w:tcW w:w="1200" w:type="pct"/>
            <w:gridSpan w:val="2"/>
            <w:tcBorders>
              <w:top w:val="nil"/>
              <w:left w:val="nil"/>
              <w:bottom w:val="nil"/>
              <w:right w:val="nil"/>
            </w:tcBorders>
            <w:shd w:val="clear" w:color="auto" w:fill="FFFFFF"/>
            <w:tcMar>
              <w:top w:w="110" w:type="dxa"/>
            </w:tcMar>
          </w:tcPr>
          <w:p w:rsidR="00F30DE1" w:rsidRPr="002D2494" w:rsidRDefault="00F30DE1" w:rsidP="00220419">
            <w:pPr>
              <w:rPr>
                <w:rFonts w:cs="Arial"/>
                <w:sz w:val="16"/>
                <w:szCs w:val="16"/>
                <w:lang w:bidi="th-TH"/>
              </w:rPr>
            </w:pPr>
            <w:r>
              <w:rPr>
                <w:rFonts w:cs="Arial"/>
                <w:sz w:val="16"/>
                <w:szCs w:val="16"/>
                <w:lang w:bidi="th-TH"/>
              </w:rPr>
              <w:t xml:space="preserve">97.2% </w:t>
            </w:r>
          </w:p>
        </w:tc>
        <w:tc>
          <w:tcPr>
            <w:tcW w:w="576" w:type="pct"/>
            <w:gridSpan w:val="2"/>
            <w:tcBorders>
              <w:top w:val="nil"/>
              <w:left w:val="nil"/>
              <w:bottom w:val="nil"/>
              <w:right w:val="single" w:sz="4" w:space="0" w:color="auto"/>
            </w:tcBorders>
            <w:shd w:val="clear" w:color="auto" w:fill="auto"/>
            <w:tcMar>
              <w:top w:w="110" w:type="dxa"/>
            </w:tcMar>
          </w:tcPr>
          <w:p w:rsidR="00F30DE1" w:rsidRPr="00C5428C" w:rsidRDefault="00F30DE1" w:rsidP="00220419">
            <w:pPr>
              <w:keepNext/>
              <w:keepLines/>
              <w:jc w:val="center"/>
              <w:rPr>
                <w:rFonts w:cs="Arial"/>
                <w:b/>
                <w:bCs/>
                <w:color w:val="00B050"/>
                <w:sz w:val="16"/>
                <w:szCs w:val="16"/>
              </w:rPr>
            </w:pPr>
            <w:r w:rsidRPr="00D52C15">
              <w:rPr>
                <w:rFonts w:cs="Arial"/>
                <w:b/>
                <w:bCs/>
                <w:color w:val="00B050"/>
                <w:sz w:val="16"/>
                <w:szCs w:val="16"/>
              </w:rPr>
              <w:t>Fully Achieved</w:t>
            </w:r>
          </w:p>
        </w:tc>
      </w:tr>
      <w:tr w:rsidR="00F30DE1" w:rsidRPr="001656CD" w:rsidTr="00E37059">
        <w:trPr>
          <w:cantSplit/>
          <w:trHeight w:val="700"/>
        </w:trPr>
        <w:tc>
          <w:tcPr>
            <w:tcW w:w="1127" w:type="pct"/>
            <w:tcBorders>
              <w:top w:val="nil"/>
              <w:left w:val="single" w:sz="4" w:space="0" w:color="auto"/>
              <w:bottom w:val="nil"/>
            </w:tcBorders>
            <w:shd w:val="clear" w:color="auto" w:fill="auto"/>
          </w:tcPr>
          <w:p w:rsidR="00F30DE1" w:rsidRPr="003E0A9C" w:rsidRDefault="00F30DE1" w:rsidP="00220419">
            <w:pPr>
              <w:tabs>
                <w:tab w:val="left" w:pos="347"/>
              </w:tabs>
              <w:rPr>
                <w:rFonts w:cs="Arial"/>
                <w:sz w:val="16"/>
                <w:szCs w:val="16"/>
                <w:lang w:bidi="th-TH"/>
              </w:rPr>
            </w:pPr>
            <w:r w:rsidRPr="003E0A9C">
              <w:rPr>
                <w:rFonts w:cs="Arial"/>
                <w:sz w:val="16"/>
                <w:szCs w:val="16"/>
                <w:lang w:bidi="th-TH"/>
              </w:rPr>
              <w:t>% of trained SME support institutions who provide information, support and advisory/consulting services on IP asset management</w:t>
            </w:r>
          </w:p>
        </w:tc>
        <w:tc>
          <w:tcPr>
            <w:tcW w:w="1273" w:type="pct"/>
            <w:tcBorders>
              <w:top w:val="nil"/>
              <w:bottom w:val="nil"/>
            </w:tcBorders>
            <w:shd w:val="clear" w:color="auto" w:fill="auto"/>
          </w:tcPr>
          <w:p w:rsidR="00F30DE1" w:rsidRPr="001656CD" w:rsidRDefault="00F30DE1" w:rsidP="00220419">
            <w:pPr>
              <w:rPr>
                <w:rFonts w:cs="Arial"/>
                <w:i/>
                <w:color w:val="002060"/>
                <w:sz w:val="16"/>
                <w:szCs w:val="16"/>
              </w:rPr>
            </w:pPr>
            <w:r w:rsidRPr="002D2494">
              <w:rPr>
                <w:rFonts w:cs="Arial"/>
                <w:sz w:val="16"/>
                <w:szCs w:val="16"/>
              </w:rPr>
              <w:t>tbd</w:t>
            </w:r>
          </w:p>
        </w:tc>
        <w:tc>
          <w:tcPr>
            <w:tcW w:w="825" w:type="pct"/>
            <w:gridSpan w:val="3"/>
            <w:tcBorders>
              <w:top w:val="nil"/>
              <w:bottom w:val="nil"/>
            </w:tcBorders>
            <w:shd w:val="clear" w:color="auto" w:fill="auto"/>
            <w:tcMar>
              <w:top w:w="110" w:type="dxa"/>
            </w:tcMar>
          </w:tcPr>
          <w:p w:rsidR="00F30DE1" w:rsidRDefault="00F30DE1" w:rsidP="00220419">
            <w:pPr>
              <w:rPr>
                <w:rFonts w:cs="Arial"/>
                <w:color w:val="002060"/>
                <w:sz w:val="16"/>
                <w:szCs w:val="16"/>
                <w:lang w:bidi="th-TH"/>
              </w:rPr>
            </w:pPr>
            <w:r>
              <w:rPr>
                <w:rFonts w:cs="Arial"/>
                <w:i/>
                <w:color w:val="002060"/>
                <w:sz w:val="16"/>
                <w:szCs w:val="16"/>
              </w:rPr>
              <w:t>Defined target</w:t>
            </w:r>
            <w:r w:rsidRPr="001656CD">
              <w:rPr>
                <w:rFonts w:cs="Arial"/>
                <w:i/>
                <w:color w:val="002060"/>
                <w:sz w:val="16"/>
                <w:szCs w:val="16"/>
              </w:rPr>
              <w:t xml:space="preserve">: </w:t>
            </w:r>
            <w:r w:rsidRPr="003E0A9C">
              <w:rPr>
                <w:rFonts w:cs="Arial"/>
                <w:sz w:val="16"/>
                <w:szCs w:val="16"/>
                <w:lang w:bidi="th-TH"/>
              </w:rPr>
              <w:t>90% (18 support institutions)</w:t>
            </w:r>
          </w:p>
          <w:p w:rsidR="00F30DE1" w:rsidRPr="008D3FF3" w:rsidRDefault="00F30DE1" w:rsidP="00220419">
            <w:pPr>
              <w:rPr>
                <w:rFonts w:cs="Arial"/>
                <w:i/>
                <w:color w:val="002060"/>
                <w:sz w:val="8"/>
                <w:szCs w:val="8"/>
              </w:rPr>
            </w:pPr>
          </w:p>
          <w:p w:rsidR="00F30DE1" w:rsidRPr="003E0A9C" w:rsidRDefault="00F30DE1" w:rsidP="00220419">
            <w:pPr>
              <w:rPr>
                <w:rFonts w:cs="Arial"/>
                <w:sz w:val="16"/>
                <w:szCs w:val="16"/>
                <w:lang w:bidi="th-TH"/>
              </w:rPr>
            </w:pPr>
            <w:r w:rsidRPr="001656CD">
              <w:rPr>
                <w:rFonts w:cs="Arial"/>
                <w:i/>
                <w:sz w:val="16"/>
                <w:szCs w:val="16"/>
              </w:rPr>
              <w:t xml:space="preserve">Original </w:t>
            </w:r>
            <w:r>
              <w:rPr>
                <w:rFonts w:cs="Arial"/>
                <w:i/>
                <w:sz w:val="16"/>
                <w:szCs w:val="16"/>
              </w:rPr>
              <w:t>target</w:t>
            </w:r>
            <w:r w:rsidRPr="001656CD">
              <w:rPr>
                <w:rFonts w:cs="Arial"/>
                <w:i/>
                <w:sz w:val="16"/>
                <w:szCs w:val="16"/>
              </w:rPr>
              <w:t xml:space="preserve"> P&amp;B 201</w:t>
            </w:r>
            <w:r>
              <w:rPr>
                <w:rFonts w:cs="Arial"/>
                <w:i/>
                <w:sz w:val="16"/>
                <w:szCs w:val="16"/>
              </w:rPr>
              <w:t>4</w:t>
            </w:r>
            <w:r w:rsidRPr="001656CD">
              <w:rPr>
                <w:rFonts w:cs="Arial"/>
                <w:i/>
                <w:sz w:val="16"/>
                <w:szCs w:val="16"/>
              </w:rPr>
              <w:t>/1</w:t>
            </w:r>
            <w:r>
              <w:rPr>
                <w:rFonts w:cs="Arial"/>
                <w:i/>
                <w:sz w:val="16"/>
                <w:szCs w:val="16"/>
              </w:rPr>
              <w:t>5</w:t>
            </w:r>
            <w:r w:rsidRPr="001656CD">
              <w:rPr>
                <w:rFonts w:cs="Arial"/>
                <w:i/>
                <w:sz w:val="16"/>
                <w:szCs w:val="16"/>
              </w:rPr>
              <w:t>:</w:t>
            </w:r>
            <w:r>
              <w:t xml:space="preserve"> </w:t>
            </w:r>
            <w:r w:rsidRPr="002D2494">
              <w:rPr>
                <w:rFonts w:cs="Arial"/>
                <w:sz w:val="16"/>
                <w:szCs w:val="16"/>
              </w:rPr>
              <w:t>tbd</w:t>
            </w:r>
            <w:r w:rsidRPr="003E0A9C">
              <w:rPr>
                <w:rFonts w:cs="Arial"/>
                <w:sz w:val="16"/>
                <w:szCs w:val="16"/>
                <w:lang w:bidi="th-TH"/>
              </w:rPr>
              <w:t xml:space="preserve"> </w:t>
            </w:r>
          </w:p>
        </w:tc>
        <w:tc>
          <w:tcPr>
            <w:tcW w:w="1200" w:type="pct"/>
            <w:gridSpan w:val="2"/>
            <w:tcBorders>
              <w:top w:val="nil"/>
              <w:bottom w:val="nil"/>
            </w:tcBorders>
            <w:shd w:val="clear" w:color="auto" w:fill="FFFFFF"/>
            <w:tcMar>
              <w:top w:w="110" w:type="dxa"/>
            </w:tcMar>
          </w:tcPr>
          <w:p w:rsidR="00F30DE1" w:rsidRPr="00D95C1C" w:rsidRDefault="00F30DE1" w:rsidP="00F30DE1">
            <w:pPr>
              <w:pStyle w:val="ListParagraph"/>
              <w:numPr>
                <w:ilvl w:val="0"/>
                <w:numId w:val="77"/>
              </w:numPr>
              <w:rPr>
                <w:rFonts w:cs="Arial"/>
                <w:sz w:val="16"/>
                <w:szCs w:val="16"/>
                <w:lang w:bidi="th-TH"/>
              </w:rPr>
            </w:pPr>
            <w:r w:rsidRPr="00D95C1C">
              <w:rPr>
                <w:rFonts w:cs="Arial"/>
                <w:sz w:val="16"/>
                <w:szCs w:val="16"/>
                <w:lang w:bidi="th-TH"/>
              </w:rPr>
              <w:t>90% (2014)</w:t>
            </w:r>
          </w:p>
          <w:p w:rsidR="00F30DE1" w:rsidRPr="00D95C1C" w:rsidRDefault="00F30DE1" w:rsidP="00F30DE1">
            <w:pPr>
              <w:pStyle w:val="ListParagraph"/>
              <w:numPr>
                <w:ilvl w:val="0"/>
                <w:numId w:val="77"/>
              </w:numPr>
              <w:rPr>
                <w:rFonts w:cs="Arial"/>
                <w:b/>
                <w:sz w:val="16"/>
                <w:szCs w:val="16"/>
                <w:lang w:bidi="th-TH"/>
              </w:rPr>
            </w:pPr>
            <w:r>
              <w:rPr>
                <w:rFonts w:cs="Arial"/>
                <w:sz w:val="16"/>
                <w:szCs w:val="16"/>
                <w:lang w:bidi="th-TH"/>
              </w:rPr>
              <w:t>100</w:t>
            </w:r>
            <w:r w:rsidRPr="00FD284A">
              <w:rPr>
                <w:rFonts w:cs="Arial"/>
                <w:sz w:val="16"/>
                <w:szCs w:val="16"/>
                <w:lang w:bidi="th-TH"/>
              </w:rPr>
              <w:t>% (2015)</w:t>
            </w:r>
          </w:p>
        </w:tc>
        <w:tc>
          <w:tcPr>
            <w:tcW w:w="576" w:type="pct"/>
            <w:gridSpan w:val="2"/>
            <w:tcBorders>
              <w:top w:val="nil"/>
              <w:bottom w:val="nil"/>
              <w:right w:val="single" w:sz="4" w:space="0" w:color="auto"/>
            </w:tcBorders>
            <w:shd w:val="clear" w:color="auto" w:fill="auto"/>
            <w:tcMar>
              <w:top w:w="110" w:type="dxa"/>
            </w:tcMar>
          </w:tcPr>
          <w:p w:rsidR="00F30DE1" w:rsidRPr="00C5428C" w:rsidRDefault="00F30DE1" w:rsidP="00220419">
            <w:pPr>
              <w:keepNext/>
              <w:keepLines/>
              <w:jc w:val="center"/>
              <w:rPr>
                <w:rFonts w:cs="Arial"/>
                <w:b/>
                <w:bCs/>
                <w:color w:val="00B050"/>
                <w:sz w:val="16"/>
                <w:szCs w:val="16"/>
              </w:rPr>
            </w:pPr>
            <w:r w:rsidRPr="00F8791A">
              <w:rPr>
                <w:rFonts w:cs="Arial"/>
                <w:b/>
                <w:bCs/>
                <w:color w:val="00B050"/>
                <w:sz w:val="16"/>
                <w:szCs w:val="16"/>
              </w:rPr>
              <w:t>Fully Achieved</w:t>
            </w:r>
          </w:p>
        </w:tc>
      </w:tr>
      <w:tr w:rsidR="00F30DE1" w:rsidRPr="001656CD" w:rsidTr="00E37059">
        <w:trPr>
          <w:cantSplit/>
        </w:trPr>
        <w:tc>
          <w:tcPr>
            <w:tcW w:w="1127" w:type="pct"/>
            <w:tcBorders>
              <w:top w:val="nil"/>
              <w:left w:val="single" w:sz="4" w:space="0" w:color="auto"/>
              <w:bottom w:val="single" w:sz="4" w:space="0" w:color="auto"/>
            </w:tcBorders>
            <w:shd w:val="clear" w:color="auto" w:fill="auto"/>
          </w:tcPr>
          <w:p w:rsidR="00F30DE1" w:rsidRDefault="00F30DE1" w:rsidP="00220419">
            <w:pPr>
              <w:tabs>
                <w:tab w:val="left" w:pos="347"/>
              </w:tabs>
              <w:rPr>
                <w:rFonts w:cs="Arial"/>
                <w:sz w:val="16"/>
                <w:szCs w:val="16"/>
                <w:lang w:bidi="th-TH"/>
              </w:rPr>
            </w:pPr>
            <w:r w:rsidRPr="003E0A9C">
              <w:rPr>
                <w:rFonts w:cs="Arial"/>
                <w:sz w:val="16"/>
                <w:szCs w:val="16"/>
                <w:lang w:bidi="th-TH"/>
              </w:rPr>
              <w:t>No. of countries having established IP training programs for SMEs</w:t>
            </w:r>
          </w:p>
          <w:p w:rsidR="00F30DE1" w:rsidRPr="003E0A9C" w:rsidRDefault="00F30DE1" w:rsidP="00220419">
            <w:pPr>
              <w:tabs>
                <w:tab w:val="left" w:pos="347"/>
              </w:tabs>
              <w:rPr>
                <w:rFonts w:cs="Arial"/>
                <w:sz w:val="16"/>
                <w:szCs w:val="16"/>
                <w:lang w:bidi="th-TH"/>
              </w:rPr>
            </w:pPr>
          </w:p>
        </w:tc>
        <w:tc>
          <w:tcPr>
            <w:tcW w:w="1273" w:type="pct"/>
            <w:tcBorders>
              <w:top w:val="nil"/>
              <w:bottom w:val="single" w:sz="4" w:space="0" w:color="auto"/>
            </w:tcBorders>
            <w:shd w:val="clear" w:color="auto" w:fill="auto"/>
          </w:tcPr>
          <w:p w:rsidR="00F30DE1" w:rsidRPr="001656CD" w:rsidRDefault="00F30DE1" w:rsidP="00220419">
            <w:pPr>
              <w:rPr>
                <w:rFonts w:cs="Arial"/>
                <w:i/>
                <w:color w:val="002060"/>
                <w:sz w:val="16"/>
                <w:szCs w:val="16"/>
              </w:rPr>
            </w:pPr>
            <w:r w:rsidRPr="002D2494">
              <w:rPr>
                <w:rFonts w:cs="Arial"/>
                <w:sz w:val="16"/>
                <w:szCs w:val="16"/>
              </w:rPr>
              <w:t>tbd</w:t>
            </w:r>
          </w:p>
        </w:tc>
        <w:tc>
          <w:tcPr>
            <w:tcW w:w="825" w:type="pct"/>
            <w:gridSpan w:val="3"/>
            <w:tcBorders>
              <w:top w:val="nil"/>
              <w:bottom w:val="single" w:sz="4" w:space="0" w:color="auto"/>
            </w:tcBorders>
            <w:shd w:val="clear" w:color="auto" w:fill="auto"/>
            <w:tcMar>
              <w:top w:w="110" w:type="dxa"/>
            </w:tcMar>
          </w:tcPr>
          <w:p w:rsidR="00F30DE1" w:rsidRPr="003E0A9C" w:rsidRDefault="00F30DE1" w:rsidP="00220419">
            <w:pPr>
              <w:rPr>
                <w:rFonts w:cs="Arial"/>
                <w:sz w:val="16"/>
                <w:szCs w:val="16"/>
                <w:lang w:bidi="th-TH"/>
              </w:rPr>
            </w:pPr>
            <w:r>
              <w:rPr>
                <w:rFonts w:cs="Arial"/>
                <w:sz w:val="16"/>
                <w:szCs w:val="16"/>
                <w:lang w:bidi="th-TH"/>
              </w:rPr>
              <w:t>tbd</w:t>
            </w:r>
          </w:p>
        </w:tc>
        <w:tc>
          <w:tcPr>
            <w:tcW w:w="1200" w:type="pct"/>
            <w:gridSpan w:val="2"/>
            <w:tcBorders>
              <w:top w:val="nil"/>
              <w:bottom w:val="single" w:sz="4" w:space="0" w:color="auto"/>
            </w:tcBorders>
            <w:shd w:val="clear" w:color="auto" w:fill="FFFFFF"/>
            <w:tcMar>
              <w:top w:w="110" w:type="dxa"/>
            </w:tcMar>
          </w:tcPr>
          <w:p w:rsidR="00F30DE1" w:rsidRPr="003E0A9C" w:rsidRDefault="00F30DE1" w:rsidP="00220419">
            <w:pPr>
              <w:rPr>
                <w:rFonts w:cs="Arial"/>
                <w:sz w:val="16"/>
                <w:szCs w:val="16"/>
                <w:lang w:bidi="th-TH"/>
              </w:rPr>
            </w:pPr>
            <w:r>
              <w:rPr>
                <w:rFonts w:cs="Arial"/>
                <w:sz w:val="16"/>
                <w:szCs w:val="16"/>
                <w:lang w:bidi="th-TH"/>
              </w:rPr>
              <w:t>4 (Armenia, Belarus, Georgia, Kazakhstan)</w:t>
            </w:r>
          </w:p>
        </w:tc>
        <w:tc>
          <w:tcPr>
            <w:tcW w:w="576" w:type="pct"/>
            <w:gridSpan w:val="2"/>
            <w:tcBorders>
              <w:top w:val="nil"/>
              <w:bottom w:val="single" w:sz="4" w:space="0" w:color="auto"/>
              <w:right w:val="single" w:sz="4" w:space="0" w:color="auto"/>
            </w:tcBorders>
            <w:shd w:val="clear" w:color="auto" w:fill="auto"/>
            <w:tcMar>
              <w:top w:w="110" w:type="dxa"/>
            </w:tcMar>
          </w:tcPr>
          <w:p w:rsidR="00F30DE1" w:rsidRPr="00330924" w:rsidRDefault="00F30DE1" w:rsidP="00220419">
            <w:pPr>
              <w:keepNext/>
              <w:keepLines/>
              <w:jc w:val="center"/>
              <w:rPr>
                <w:rFonts w:cs="Arial"/>
                <w:b/>
                <w:bCs/>
                <w:color w:val="00B050"/>
                <w:sz w:val="13"/>
                <w:szCs w:val="13"/>
              </w:rPr>
            </w:pPr>
            <w:r w:rsidRPr="00330924">
              <w:rPr>
                <w:rFonts w:cs="Arial"/>
                <w:b/>
                <w:bCs/>
                <w:color w:val="A6A6A6" w:themeColor="background1" w:themeShade="A6"/>
                <w:sz w:val="13"/>
                <w:szCs w:val="13"/>
              </w:rPr>
              <w:t>Not Assessable</w:t>
            </w:r>
          </w:p>
        </w:tc>
      </w:tr>
      <w:tr w:rsidR="00F30DE1" w:rsidRPr="001656CD" w:rsidTr="00220419">
        <w:trPr>
          <w:cantSplit/>
          <w:trHeight w:val="502"/>
        </w:trPr>
        <w:tc>
          <w:tcPr>
            <w:tcW w:w="5000" w:type="pct"/>
            <w:gridSpan w:val="9"/>
            <w:tcBorders>
              <w:top w:val="single" w:sz="4" w:space="0" w:color="auto"/>
              <w:bottom w:val="single" w:sz="4" w:space="0" w:color="auto"/>
            </w:tcBorders>
            <w:shd w:val="clear" w:color="auto" w:fill="C6D9F1" w:themeFill="text2" w:themeFillTint="33"/>
            <w:vAlign w:val="center"/>
          </w:tcPr>
          <w:p w:rsidR="00F30DE1" w:rsidRPr="003329DC" w:rsidRDefault="00F30DE1" w:rsidP="00220419">
            <w:pPr>
              <w:keepNext/>
              <w:keepLines/>
              <w:tabs>
                <w:tab w:val="left" w:pos="1452"/>
              </w:tabs>
              <w:ind w:left="1452" w:hanging="1452"/>
              <w:rPr>
                <w:rFonts w:cs="Arial"/>
                <w:b/>
                <w:bCs/>
                <w:sz w:val="16"/>
                <w:szCs w:val="16"/>
              </w:rPr>
            </w:pPr>
            <w:r>
              <w:lastRenderedPageBreak/>
              <w:br w:type="page"/>
            </w:r>
            <w:r w:rsidRPr="001656CD">
              <w:rPr>
                <w:rFonts w:cs="Arial"/>
                <w:b/>
                <w:bCs/>
                <w:sz w:val="16"/>
                <w:szCs w:val="16"/>
              </w:rPr>
              <w:t>Expected Result:</w:t>
            </w:r>
            <w:r w:rsidRPr="001656CD">
              <w:rPr>
                <w:rFonts w:cs="Arial"/>
                <w:b/>
                <w:bCs/>
                <w:sz w:val="16"/>
                <w:szCs w:val="16"/>
              </w:rPr>
              <w:tab/>
            </w:r>
            <w:r w:rsidRPr="00F14ABB">
              <w:rPr>
                <w:rFonts w:cs="Arial"/>
                <w:sz w:val="16"/>
                <w:szCs w:val="16"/>
                <w:lang w:bidi="th-TH"/>
              </w:rPr>
              <w:t>IV.2 Enhanced access to, and use of, IP information by IP institutions and the public to promote innovation and creativity</w:t>
            </w:r>
          </w:p>
        </w:tc>
      </w:tr>
      <w:tr w:rsidR="00F30DE1" w:rsidRPr="001656CD" w:rsidTr="00E37059">
        <w:trPr>
          <w:cantSplit/>
          <w:trHeight w:val="319"/>
        </w:trPr>
        <w:tc>
          <w:tcPr>
            <w:tcW w:w="1127" w:type="pct"/>
            <w:tcBorders>
              <w:top w:val="single" w:sz="4" w:space="0" w:color="auto"/>
              <w:left w:val="single" w:sz="4" w:space="0" w:color="auto"/>
              <w:bottom w:val="nil"/>
              <w:right w:val="nil"/>
            </w:tcBorders>
            <w:shd w:val="clear" w:color="auto" w:fill="auto"/>
            <w:vAlign w:val="center"/>
          </w:tcPr>
          <w:p w:rsidR="00F30DE1" w:rsidRPr="00BC6547" w:rsidRDefault="00F30DE1" w:rsidP="00220419">
            <w:pPr>
              <w:keepNext/>
              <w:keepLines/>
              <w:rPr>
                <w:rFonts w:cs="Arial"/>
                <w:sz w:val="16"/>
                <w:szCs w:val="16"/>
              </w:rPr>
            </w:pPr>
            <w:r w:rsidRPr="00BC6547">
              <w:rPr>
                <w:rFonts w:cs="Arial"/>
                <w:b/>
                <w:bCs/>
                <w:sz w:val="16"/>
                <w:szCs w:val="16"/>
              </w:rPr>
              <w:t>Performance Indicators</w:t>
            </w:r>
          </w:p>
        </w:tc>
        <w:tc>
          <w:tcPr>
            <w:tcW w:w="1279" w:type="pct"/>
            <w:gridSpan w:val="2"/>
            <w:tcBorders>
              <w:top w:val="single" w:sz="4" w:space="0" w:color="auto"/>
              <w:left w:val="nil"/>
              <w:bottom w:val="nil"/>
              <w:right w:val="nil"/>
            </w:tcBorders>
            <w:shd w:val="clear" w:color="auto" w:fill="auto"/>
            <w:vAlign w:val="center"/>
          </w:tcPr>
          <w:p w:rsidR="00F30DE1" w:rsidRPr="00BC6547" w:rsidRDefault="00F30DE1" w:rsidP="00220419">
            <w:pPr>
              <w:keepNext/>
              <w:keepLines/>
              <w:rPr>
                <w:rFonts w:cs="Arial"/>
                <w:b/>
                <w:bCs/>
                <w:sz w:val="16"/>
                <w:szCs w:val="16"/>
              </w:rPr>
            </w:pPr>
            <w:r w:rsidRPr="00BC6547">
              <w:rPr>
                <w:rFonts w:cs="Arial"/>
                <w:b/>
                <w:bCs/>
                <w:sz w:val="16"/>
                <w:szCs w:val="16"/>
              </w:rPr>
              <w:t>Baselines</w:t>
            </w:r>
          </w:p>
        </w:tc>
        <w:tc>
          <w:tcPr>
            <w:tcW w:w="828" w:type="pct"/>
            <w:gridSpan w:val="3"/>
            <w:tcBorders>
              <w:top w:val="single" w:sz="4" w:space="0" w:color="auto"/>
              <w:left w:val="nil"/>
              <w:bottom w:val="nil"/>
              <w:right w:val="nil"/>
            </w:tcBorders>
            <w:shd w:val="clear" w:color="auto" w:fill="auto"/>
            <w:vAlign w:val="center"/>
          </w:tcPr>
          <w:p w:rsidR="00F30DE1" w:rsidRPr="00BC6547" w:rsidRDefault="00F30DE1" w:rsidP="00220419">
            <w:pPr>
              <w:keepNext/>
              <w:keepLines/>
              <w:rPr>
                <w:rFonts w:cs="Arial"/>
                <w:b/>
                <w:sz w:val="16"/>
                <w:szCs w:val="16"/>
              </w:rPr>
            </w:pPr>
            <w:r w:rsidRPr="00BC6547">
              <w:rPr>
                <w:rFonts w:cs="Arial"/>
                <w:b/>
                <w:sz w:val="16"/>
                <w:szCs w:val="16"/>
              </w:rPr>
              <w:t>Targets</w:t>
            </w:r>
          </w:p>
        </w:tc>
        <w:tc>
          <w:tcPr>
            <w:tcW w:w="1191" w:type="pct"/>
            <w:tcBorders>
              <w:top w:val="single" w:sz="4" w:space="0" w:color="auto"/>
              <w:left w:val="nil"/>
              <w:bottom w:val="nil"/>
              <w:right w:val="nil"/>
            </w:tcBorders>
            <w:shd w:val="clear" w:color="auto" w:fill="auto"/>
            <w:vAlign w:val="center"/>
          </w:tcPr>
          <w:p w:rsidR="00F30DE1" w:rsidRPr="00BC6547" w:rsidRDefault="00F30DE1" w:rsidP="00220419">
            <w:pPr>
              <w:keepNext/>
              <w:keepLines/>
              <w:rPr>
                <w:rFonts w:cs="Arial"/>
                <w:sz w:val="16"/>
                <w:szCs w:val="16"/>
              </w:rPr>
            </w:pPr>
            <w:r w:rsidRPr="00BC6547">
              <w:rPr>
                <w:rFonts w:cs="Arial"/>
                <w:b/>
                <w:bCs/>
                <w:sz w:val="16"/>
                <w:szCs w:val="16"/>
              </w:rPr>
              <w:t>Performance Data</w:t>
            </w:r>
          </w:p>
        </w:tc>
        <w:tc>
          <w:tcPr>
            <w:tcW w:w="576" w:type="pct"/>
            <w:gridSpan w:val="2"/>
            <w:tcBorders>
              <w:top w:val="single" w:sz="4" w:space="0" w:color="auto"/>
              <w:left w:val="nil"/>
              <w:bottom w:val="nil"/>
              <w:right w:val="single" w:sz="4" w:space="0" w:color="auto"/>
            </w:tcBorders>
            <w:shd w:val="clear" w:color="auto" w:fill="auto"/>
            <w:vAlign w:val="center"/>
          </w:tcPr>
          <w:p w:rsidR="00F30DE1" w:rsidRPr="00CD26D6" w:rsidRDefault="00F30DE1" w:rsidP="00220419">
            <w:pPr>
              <w:keepNext/>
              <w:keepLines/>
              <w:jc w:val="center"/>
              <w:rPr>
                <w:rFonts w:cs="Arial"/>
                <w:b/>
                <w:bCs/>
                <w:sz w:val="16"/>
                <w:szCs w:val="16"/>
              </w:rPr>
            </w:pPr>
            <w:r w:rsidRPr="00BC6547">
              <w:rPr>
                <w:rFonts w:cs="Arial"/>
                <w:b/>
                <w:bCs/>
                <w:sz w:val="16"/>
                <w:szCs w:val="16"/>
              </w:rPr>
              <w:t>TLS</w:t>
            </w:r>
          </w:p>
        </w:tc>
      </w:tr>
      <w:tr w:rsidR="00F30DE1" w:rsidRPr="001656CD" w:rsidTr="00E37059">
        <w:trPr>
          <w:cantSplit/>
        </w:trPr>
        <w:tc>
          <w:tcPr>
            <w:tcW w:w="1127" w:type="pct"/>
            <w:tcBorders>
              <w:top w:val="nil"/>
              <w:left w:val="single" w:sz="4" w:space="0" w:color="auto"/>
              <w:bottom w:val="nil"/>
              <w:right w:val="nil"/>
            </w:tcBorders>
            <w:shd w:val="clear" w:color="auto" w:fill="auto"/>
          </w:tcPr>
          <w:p w:rsidR="00F30DE1" w:rsidRPr="003E0A9C" w:rsidRDefault="00F30DE1" w:rsidP="00220419">
            <w:pPr>
              <w:tabs>
                <w:tab w:val="left" w:pos="347"/>
              </w:tabs>
              <w:rPr>
                <w:rFonts w:cs="Arial"/>
                <w:sz w:val="16"/>
                <w:szCs w:val="16"/>
                <w:lang w:bidi="th-TH"/>
              </w:rPr>
            </w:pPr>
            <w:r w:rsidRPr="00F14ABB">
              <w:rPr>
                <w:rFonts w:cs="Arial"/>
                <w:sz w:val="16"/>
                <w:szCs w:val="16"/>
                <w:lang w:bidi="th-TH"/>
              </w:rPr>
              <w:t>No. of established TTOs and/or IP information centers</w:t>
            </w:r>
          </w:p>
        </w:tc>
        <w:tc>
          <w:tcPr>
            <w:tcW w:w="1279" w:type="pct"/>
            <w:gridSpan w:val="2"/>
            <w:tcBorders>
              <w:top w:val="nil"/>
              <w:left w:val="nil"/>
              <w:bottom w:val="nil"/>
              <w:right w:val="nil"/>
            </w:tcBorders>
            <w:shd w:val="clear" w:color="auto" w:fill="auto"/>
          </w:tcPr>
          <w:p w:rsidR="00F30DE1" w:rsidRDefault="00F30DE1" w:rsidP="00220419">
            <w:pPr>
              <w:rPr>
                <w:rFonts w:cs="Arial"/>
                <w:color w:val="002060"/>
                <w:sz w:val="16"/>
                <w:szCs w:val="16"/>
                <w:lang w:bidi="th-TH"/>
              </w:rPr>
            </w:pPr>
            <w:r w:rsidRPr="001656CD">
              <w:rPr>
                <w:rFonts w:cs="Arial"/>
                <w:i/>
                <w:color w:val="002060"/>
                <w:sz w:val="16"/>
                <w:szCs w:val="16"/>
              </w:rPr>
              <w:t>Updated Baseline end 201</w:t>
            </w:r>
            <w:r>
              <w:rPr>
                <w:rFonts w:cs="Arial"/>
                <w:i/>
                <w:color w:val="002060"/>
                <w:sz w:val="16"/>
                <w:szCs w:val="16"/>
              </w:rPr>
              <w:t>3</w:t>
            </w:r>
            <w:r w:rsidRPr="001656CD">
              <w:rPr>
                <w:rFonts w:cs="Arial"/>
                <w:i/>
                <w:color w:val="002060"/>
                <w:sz w:val="16"/>
                <w:szCs w:val="16"/>
              </w:rPr>
              <w:t xml:space="preserve">: </w:t>
            </w:r>
            <w:r w:rsidRPr="002343C8">
              <w:rPr>
                <w:rFonts w:cs="Arial"/>
                <w:color w:val="002060"/>
                <w:sz w:val="16"/>
                <w:szCs w:val="16"/>
              </w:rPr>
              <w:t>Two Universities/Institutions in Georgia were directly assisted in developing their knowledge transfer ecosystem, policy and infrastructure in the CCEA region:  Ivane Javakhishvili Tbilisi State University and Georgian Technology Transfer Center followed by the Plan of Action.</w:t>
            </w:r>
          </w:p>
          <w:p w:rsidR="00F30DE1" w:rsidRPr="008D3FF3" w:rsidRDefault="00F30DE1" w:rsidP="00220419">
            <w:pPr>
              <w:rPr>
                <w:rFonts w:cs="Arial"/>
                <w:i/>
                <w:color w:val="002060"/>
                <w:sz w:val="8"/>
                <w:szCs w:val="8"/>
              </w:rPr>
            </w:pPr>
          </w:p>
          <w:p w:rsidR="00F30DE1" w:rsidRPr="001656CD" w:rsidRDefault="00F30DE1" w:rsidP="00220419">
            <w:pPr>
              <w:rPr>
                <w:rFonts w:cs="Arial"/>
                <w:i/>
                <w:color w:val="002060"/>
                <w:sz w:val="16"/>
                <w:szCs w:val="16"/>
              </w:rPr>
            </w:pPr>
            <w:r w:rsidRPr="001656CD">
              <w:rPr>
                <w:rFonts w:cs="Arial"/>
                <w:i/>
                <w:sz w:val="16"/>
                <w:szCs w:val="16"/>
              </w:rPr>
              <w:t>Original Baseline P&amp;B 201</w:t>
            </w:r>
            <w:r>
              <w:rPr>
                <w:rFonts w:cs="Arial"/>
                <w:i/>
                <w:sz w:val="16"/>
                <w:szCs w:val="16"/>
              </w:rPr>
              <w:t>4</w:t>
            </w:r>
            <w:r w:rsidRPr="001656CD">
              <w:rPr>
                <w:rFonts w:cs="Arial"/>
                <w:i/>
                <w:sz w:val="16"/>
                <w:szCs w:val="16"/>
              </w:rPr>
              <w:t>/1</w:t>
            </w:r>
            <w:r>
              <w:rPr>
                <w:rFonts w:cs="Arial"/>
                <w:i/>
                <w:sz w:val="16"/>
                <w:szCs w:val="16"/>
              </w:rPr>
              <w:t>5</w:t>
            </w:r>
            <w:r w:rsidRPr="001656CD">
              <w:rPr>
                <w:rFonts w:cs="Arial"/>
                <w:i/>
                <w:sz w:val="16"/>
                <w:szCs w:val="16"/>
              </w:rPr>
              <w:t>:</w:t>
            </w:r>
            <w:r>
              <w:t xml:space="preserve"> </w:t>
            </w:r>
            <w:r w:rsidRPr="002D2494">
              <w:rPr>
                <w:rFonts w:cs="Arial"/>
                <w:sz w:val="16"/>
                <w:szCs w:val="16"/>
              </w:rPr>
              <w:t>tbd</w:t>
            </w:r>
          </w:p>
        </w:tc>
        <w:tc>
          <w:tcPr>
            <w:tcW w:w="828" w:type="pct"/>
            <w:gridSpan w:val="3"/>
            <w:tcBorders>
              <w:top w:val="nil"/>
              <w:left w:val="nil"/>
              <w:bottom w:val="nil"/>
              <w:right w:val="nil"/>
            </w:tcBorders>
            <w:shd w:val="clear" w:color="auto" w:fill="auto"/>
            <w:tcMar>
              <w:top w:w="110" w:type="dxa"/>
            </w:tcMar>
          </w:tcPr>
          <w:p w:rsidR="00F30DE1" w:rsidRDefault="00F30DE1" w:rsidP="00220419">
            <w:pPr>
              <w:rPr>
                <w:rFonts w:cs="Arial"/>
                <w:sz w:val="16"/>
                <w:szCs w:val="16"/>
                <w:lang w:bidi="th-TH"/>
              </w:rPr>
            </w:pPr>
            <w:r>
              <w:rPr>
                <w:rFonts w:cs="Arial"/>
                <w:sz w:val="16"/>
                <w:szCs w:val="16"/>
                <w:lang w:bidi="th-TH"/>
              </w:rPr>
              <w:t>6</w:t>
            </w:r>
            <w:r w:rsidRPr="00F14ABB">
              <w:rPr>
                <w:rFonts w:cs="Arial"/>
                <w:sz w:val="16"/>
                <w:szCs w:val="16"/>
                <w:lang w:bidi="th-TH"/>
              </w:rPr>
              <w:t xml:space="preserve"> additional TTOs/IP information centers</w:t>
            </w:r>
          </w:p>
        </w:tc>
        <w:tc>
          <w:tcPr>
            <w:tcW w:w="1191" w:type="pct"/>
            <w:tcBorders>
              <w:top w:val="nil"/>
              <w:left w:val="nil"/>
              <w:bottom w:val="nil"/>
              <w:right w:val="nil"/>
            </w:tcBorders>
            <w:shd w:val="clear" w:color="auto" w:fill="FFFFFF"/>
            <w:tcMar>
              <w:top w:w="110" w:type="dxa"/>
            </w:tcMar>
          </w:tcPr>
          <w:p w:rsidR="00F30DE1" w:rsidRPr="003E0A9C" w:rsidRDefault="00F30DE1" w:rsidP="00220419">
            <w:pPr>
              <w:rPr>
                <w:rFonts w:cs="Arial"/>
                <w:sz w:val="16"/>
                <w:szCs w:val="16"/>
                <w:lang w:bidi="th-TH"/>
              </w:rPr>
            </w:pPr>
            <w:r w:rsidRPr="00D52C15">
              <w:rPr>
                <w:rFonts w:cs="Arial"/>
                <w:sz w:val="16"/>
                <w:szCs w:val="16"/>
                <w:lang w:bidi="th-TH"/>
              </w:rPr>
              <w:t>51 new TISCs established in the Russian Federation</w:t>
            </w:r>
          </w:p>
        </w:tc>
        <w:tc>
          <w:tcPr>
            <w:tcW w:w="576" w:type="pct"/>
            <w:gridSpan w:val="2"/>
            <w:tcBorders>
              <w:top w:val="nil"/>
              <w:left w:val="nil"/>
              <w:bottom w:val="nil"/>
              <w:right w:val="single" w:sz="4" w:space="0" w:color="auto"/>
            </w:tcBorders>
            <w:shd w:val="clear" w:color="auto" w:fill="auto"/>
            <w:tcMar>
              <w:top w:w="110" w:type="dxa"/>
            </w:tcMar>
          </w:tcPr>
          <w:p w:rsidR="00F30DE1" w:rsidRPr="00C5428C" w:rsidRDefault="00F30DE1" w:rsidP="00220419">
            <w:pPr>
              <w:keepNext/>
              <w:keepLines/>
              <w:jc w:val="center"/>
              <w:rPr>
                <w:rFonts w:cs="Arial"/>
                <w:b/>
                <w:bCs/>
                <w:color w:val="00B050"/>
                <w:sz w:val="16"/>
                <w:szCs w:val="16"/>
              </w:rPr>
            </w:pPr>
            <w:r w:rsidRPr="00D52C15">
              <w:rPr>
                <w:rFonts w:cs="Arial"/>
                <w:b/>
                <w:bCs/>
                <w:color w:val="00B050"/>
                <w:sz w:val="16"/>
                <w:szCs w:val="16"/>
              </w:rPr>
              <w:t>Fully Achieved</w:t>
            </w:r>
          </w:p>
        </w:tc>
      </w:tr>
      <w:tr w:rsidR="00F30DE1" w:rsidRPr="001656CD" w:rsidTr="00E37059">
        <w:trPr>
          <w:cantSplit/>
        </w:trPr>
        <w:tc>
          <w:tcPr>
            <w:tcW w:w="1127" w:type="pct"/>
            <w:tcBorders>
              <w:top w:val="nil"/>
              <w:left w:val="single" w:sz="4" w:space="0" w:color="auto"/>
              <w:bottom w:val="single" w:sz="4" w:space="0" w:color="auto"/>
            </w:tcBorders>
            <w:shd w:val="clear" w:color="auto" w:fill="auto"/>
          </w:tcPr>
          <w:p w:rsidR="00F30DE1" w:rsidRPr="00F14ABB" w:rsidRDefault="00F30DE1" w:rsidP="00220419">
            <w:pPr>
              <w:tabs>
                <w:tab w:val="left" w:pos="347"/>
              </w:tabs>
              <w:rPr>
                <w:rFonts w:cs="Arial"/>
                <w:sz w:val="16"/>
                <w:szCs w:val="16"/>
                <w:lang w:bidi="th-TH"/>
              </w:rPr>
            </w:pPr>
            <w:r w:rsidRPr="00F14ABB">
              <w:rPr>
                <w:rFonts w:cs="Arial"/>
                <w:sz w:val="16"/>
                <w:szCs w:val="16"/>
                <w:lang w:bidi="th-TH"/>
              </w:rPr>
              <w:t>No.</w:t>
            </w:r>
            <w:r>
              <w:rPr>
                <w:rFonts w:cs="Arial"/>
                <w:sz w:val="16"/>
                <w:szCs w:val="16"/>
                <w:lang w:bidi="th-TH"/>
              </w:rPr>
              <w:t xml:space="preserve"> </w:t>
            </w:r>
            <w:r w:rsidRPr="00F14ABB">
              <w:rPr>
                <w:rFonts w:cs="Arial"/>
                <w:sz w:val="16"/>
                <w:szCs w:val="16"/>
                <w:lang w:bidi="th-TH"/>
              </w:rPr>
              <w:t>of sustainable national TISC networks</w:t>
            </w:r>
          </w:p>
        </w:tc>
        <w:tc>
          <w:tcPr>
            <w:tcW w:w="1279" w:type="pct"/>
            <w:gridSpan w:val="2"/>
            <w:tcBorders>
              <w:top w:val="nil"/>
              <w:bottom w:val="single" w:sz="4" w:space="0" w:color="auto"/>
            </w:tcBorders>
            <w:shd w:val="clear" w:color="auto" w:fill="auto"/>
          </w:tcPr>
          <w:p w:rsidR="00F30DE1" w:rsidRDefault="00F30DE1" w:rsidP="00220419">
            <w:pPr>
              <w:rPr>
                <w:rFonts w:cs="Arial"/>
                <w:color w:val="002060"/>
                <w:sz w:val="16"/>
                <w:szCs w:val="16"/>
                <w:lang w:bidi="th-TH"/>
              </w:rPr>
            </w:pPr>
            <w:r w:rsidRPr="001656CD">
              <w:rPr>
                <w:rFonts w:cs="Arial"/>
                <w:i/>
                <w:color w:val="002060"/>
                <w:sz w:val="16"/>
                <w:szCs w:val="16"/>
              </w:rPr>
              <w:t>Updated Baseline end 201</w:t>
            </w:r>
            <w:r>
              <w:rPr>
                <w:rFonts w:cs="Arial"/>
                <w:i/>
                <w:color w:val="002060"/>
                <w:sz w:val="16"/>
                <w:szCs w:val="16"/>
              </w:rPr>
              <w:t>3</w:t>
            </w:r>
            <w:r w:rsidRPr="001656CD">
              <w:rPr>
                <w:rFonts w:cs="Arial"/>
                <w:i/>
                <w:color w:val="002060"/>
                <w:sz w:val="16"/>
                <w:szCs w:val="16"/>
              </w:rPr>
              <w:t xml:space="preserve">: </w:t>
            </w:r>
            <w:r w:rsidRPr="008C7B2B">
              <w:rPr>
                <w:rFonts w:cs="Arial"/>
                <w:color w:val="002060"/>
                <w:sz w:val="16"/>
                <w:szCs w:val="16"/>
              </w:rPr>
              <w:t>1 sustainable (out of 3 established) TISC networks</w:t>
            </w:r>
          </w:p>
          <w:p w:rsidR="00F30DE1" w:rsidRPr="008D3FF3" w:rsidRDefault="00F30DE1" w:rsidP="00220419">
            <w:pPr>
              <w:rPr>
                <w:rFonts w:cs="Arial"/>
                <w:i/>
                <w:color w:val="002060"/>
                <w:sz w:val="8"/>
                <w:szCs w:val="8"/>
              </w:rPr>
            </w:pPr>
          </w:p>
          <w:p w:rsidR="00F30DE1" w:rsidRPr="00F14ABB" w:rsidRDefault="00F30DE1" w:rsidP="00220419">
            <w:pPr>
              <w:rPr>
                <w:rFonts w:cs="Arial"/>
                <w:sz w:val="16"/>
                <w:szCs w:val="16"/>
              </w:rPr>
            </w:pPr>
            <w:r w:rsidRPr="001656CD">
              <w:rPr>
                <w:rFonts w:cs="Arial"/>
                <w:i/>
                <w:sz w:val="16"/>
                <w:szCs w:val="16"/>
              </w:rPr>
              <w:t>Original Baseline P&amp;B 201</w:t>
            </w:r>
            <w:r>
              <w:rPr>
                <w:rFonts w:cs="Arial"/>
                <w:i/>
                <w:sz w:val="16"/>
                <w:szCs w:val="16"/>
              </w:rPr>
              <w:t>4</w:t>
            </w:r>
            <w:r w:rsidRPr="001656CD">
              <w:rPr>
                <w:rFonts w:cs="Arial"/>
                <w:i/>
                <w:sz w:val="16"/>
                <w:szCs w:val="16"/>
              </w:rPr>
              <w:t>/1</w:t>
            </w:r>
            <w:r>
              <w:rPr>
                <w:rFonts w:cs="Arial"/>
                <w:i/>
                <w:sz w:val="16"/>
                <w:szCs w:val="16"/>
              </w:rPr>
              <w:t>5</w:t>
            </w:r>
            <w:r w:rsidRPr="001656CD">
              <w:rPr>
                <w:rFonts w:cs="Arial"/>
                <w:i/>
                <w:sz w:val="16"/>
                <w:szCs w:val="16"/>
              </w:rPr>
              <w:t>:</w:t>
            </w:r>
            <w:r>
              <w:t xml:space="preserve"> </w:t>
            </w:r>
            <w:r w:rsidRPr="00F14ABB">
              <w:rPr>
                <w:rFonts w:cs="Arial"/>
                <w:sz w:val="16"/>
                <w:szCs w:val="16"/>
              </w:rPr>
              <w:t>1 national TISC network:</w:t>
            </w:r>
            <w:r>
              <w:rPr>
                <w:rFonts w:cs="Arial"/>
                <w:sz w:val="16"/>
                <w:szCs w:val="16"/>
              </w:rPr>
              <w:t xml:space="preserve"> (cumulative per end first quarter 2013:</w:t>
            </w:r>
          </w:p>
          <w:p w:rsidR="00F30DE1" w:rsidRPr="001656CD" w:rsidRDefault="00F30DE1" w:rsidP="00220419">
            <w:pPr>
              <w:rPr>
                <w:rFonts w:cs="Arial"/>
                <w:i/>
                <w:color w:val="002060"/>
                <w:sz w:val="16"/>
                <w:szCs w:val="16"/>
              </w:rPr>
            </w:pPr>
            <w:r w:rsidRPr="00F14ABB">
              <w:rPr>
                <w:rFonts w:cs="Arial"/>
                <w:sz w:val="16"/>
                <w:szCs w:val="16"/>
              </w:rPr>
              <w:t>Certain Countries in Europe and Asia (1)</w:t>
            </w:r>
          </w:p>
        </w:tc>
        <w:tc>
          <w:tcPr>
            <w:tcW w:w="828" w:type="pct"/>
            <w:gridSpan w:val="3"/>
            <w:tcBorders>
              <w:top w:val="nil"/>
              <w:bottom w:val="single" w:sz="4" w:space="0" w:color="auto"/>
            </w:tcBorders>
            <w:shd w:val="clear" w:color="auto" w:fill="auto"/>
            <w:tcMar>
              <w:top w:w="110" w:type="dxa"/>
            </w:tcMar>
          </w:tcPr>
          <w:p w:rsidR="00F30DE1" w:rsidRPr="00F14ABB" w:rsidRDefault="00F30DE1" w:rsidP="00220419">
            <w:pPr>
              <w:rPr>
                <w:rFonts w:cs="Arial"/>
                <w:sz w:val="16"/>
                <w:szCs w:val="16"/>
                <w:lang w:bidi="th-TH"/>
              </w:rPr>
            </w:pPr>
            <w:r>
              <w:rPr>
                <w:rFonts w:cs="Arial"/>
                <w:sz w:val="16"/>
                <w:szCs w:val="16"/>
                <w:lang w:bidi="th-TH"/>
              </w:rPr>
              <w:t>2</w:t>
            </w:r>
            <w:r w:rsidRPr="00F14ABB">
              <w:rPr>
                <w:rFonts w:cs="Arial"/>
                <w:sz w:val="16"/>
                <w:szCs w:val="16"/>
                <w:lang w:bidi="th-TH"/>
              </w:rPr>
              <w:t xml:space="preserve"> national TISC networks (cumulative):</w:t>
            </w:r>
          </w:p>
          <w:p w:rsidR="00F30DE1" w:rsidRPr="00F14ABB" w:rsidRDefault="00F30DE1" w:rsidP="00220419">
            <w:pPr>
              <w:rPr>
                <w:rFonts w:cs="Arial"/>
                <w:sz w:val="16"/>
                <w:szCs w:val="16"/>
                <w:lang w:bidi="th-TH"/>
              </w:rPr>
            </w:pPr>
            <w:r w:rsidRPr="00F14ABB">
              <w:rPr>
                <w:rFonts w:cs="Arial"/>
                <w:sz w:val="16"/>
                <w:szCs w:val="16"/>
                <w:lang w:bidi="th-TH"/>
              </w:rPr>
              <w:t>Certain Countries in Europe and Asia (2)</w:t>
            </w:r>
          </w:p>
        </w:tc>
        <w:tc>
          <w:tcPr>
            <w:tcW w:w="1191" w:type="pct"/>
            <w:tcBorders>
              <w:top w:val="nil"/>
              <w:bottom w:val="single" w:sz="4" w:space="0" w:color="auto"/>
            </w:tcBorders>
            <w:shd w:val="clear" w:color="auto" w:fill="FFFFFF"/>
            <w:tcMar>
              <w:top w:w="110" w:type="dxa"/>
            </w:tcMar>
          </w:tcPr>
          <w:p w:rsidR="00F30DE1" w:rsidRPr="00303855" w:rsidRDefault="00F30DE1" w:rsidP="00220419">
            <w:pPr>
              <w:rPr>
                <w:rFonts w:cs="Arial"/>
                <w:b/>
                <w:color w:val="00B050"/>
                <w:sz w:val="16"/>
                <w:szCs w:val="16"/>
                <w:lang w:bidi="th-TH"/>
              </w:rPr>
            </w:pPr>
            <w:r w:rsidRPr="0045439E">
              <w:rPr>
                <w:rFonts w:cs="Arial"/>
                <w:sz w:val="16"/>
                <w:szCs w:val="16"/>
              </w:rPr>
              <w:t>Certain Countries in Europe and Asia (</w:t>
            </w:r>
            <w:r>
              <w:rPr>
                <w:rFonts w:cs="Arial"/>
                <w:sz w:val="16"/>
                <w:szCs w:val="16"/>
              </w:rPr>
              <w:t>1</w:t>
            </w:r>
            <w:r w:rsidRPr="0045439E">
              <w:rPr>
                <w:rFonts w:cs="Arial"/>
                <w:sz w:val="16"/>
                <w:szCs w:val="16"/>
              </w:rPr>
              <w:t>)</w:t>
            </w:r>
          </w:p>
        </w:tc>
        <w:tc>
          <w:tcPr>
            <w:tcW w:w="576" w:type="pct"/>
            <w:gridSpan w:val="2"/>
            <w:tcBorders>
              <w:top w:val="nil"/>
              <w:bottom w:val="single" w:sz="4" w:space="0" w:color="auto"/>
              <w:right w:val="single" w:sz="4" w:space="0" w:color="auto"/>
            </w:tcBorders>
            <w:shd w:val="clear" w:color="auto" w:fill="auto"/>
            <w:tcMar>
              <w:top w:w="110" w:type="dxa"/>
            </w:tcMar>
          </w:tcPr>
          <w:p w:rsidR="00F30DE1" w:rsidRPr="0023121A" w:rsidRDefault="00F30DE1" w:rsidP="00220419">
            <w:pPr>
              <w:keepNext/>
              <w:keepLines/>
              <w:jc w:val="center"/>
              <w:outlineLvl w:val="7"/>
              <w:rPr>
                <w:rFonts w:cs="Arial"/>
                <w:b/>
                <w:bCs/>
                <w:color w:val="E36C0A" w:themeColor="accent6" w:themeShade="BF"/>
                <w:sz w:val="16"/>
                <w:szCs w:val="16"/>
              </w:rPr>
            </w:pPr>
            <w:r>
              <w:rPr>
                <w:rFonts w:cs="Arial"/>
                <w:b/>
                <w:bCs/>
                <w:color w:val="E36C0A" w:themeColor="accent6" w:themeShade="BF"/>
                <w:sz w:val="16"/>
                <w:szCs w:val="16"/>
              </w:rPr>
              <w:t>Partially Achieved</w:t>
            </w:r>
          </w:p>
        </w:tc>
      </w:tr>
      <w:tr w:rsidR="00F30DE1" w:rsidRPr="001656CD" w:rsidTr="00E37059">
        <w:trPr>
          <w:cantSplit/>
        </w:trPr>
        <w:tc>
          <w:tcPr>
            <w:tcW w:w="1127" w:type="pct"/>
            <w:tcBorders>
              <w:top w:val="single" w:sz="4" w:space="0" w:color="auto"/>
              <w:left w:val="single" w:sz="4" w:space="0" w:color="auto"/>
              <w:bottom w:val="single" w:sz="4" w:space="0" w:color="auto"/>
            </w:tcBorders>
            <w:shd w:val="clear" w:color="auto" w:fill="auto"/>
          </w:tcPr>
          <w:p w:rsidR="00F30DE1" w:rsidRPr="00F14ABB" w:rsidRDefault="00F30DE1" w:rsidP="00220419">
            <w:pPr>
              <w:tabs>
                <w:tab w:val="left" w:pos="347"/>
              </w:tabs>
              <w:rPr>
                <w:rFonts w:cs="Arial"/>
                <w:sz w:val="16"/>
                <w:szCs w:val="16"/>
                <w:lang w:bidi="th-TH"/>
              </w:rPr>
            </w:pPr>
            <w:r w:rsidRPr="0099235C">
              <w:rPr>
                <w:rFonts w:cs="Arial"/>
                <w:sz w:val="16"/>
                <w:szCs w:val="16"/>
                <w:lang w:bidi="th-TH"/>
              </w:rPr>
              <w:t>Average number of users serviced by TISCs per quarter and country</w:t>
            </w:r>
          </w:p>
        </w:tc>
        <w:tc>
          <w:tcPr>
            <w:tcW w:w="1279" w:type="pct"/>
            <w:gridSpan w:val="2"/>
            <w:tcBorders>
              <w:top w:val="single" w:sz="4" w:space="0" w:color="auto"/>
              <w:bottom w:val="single" w:sz="4" w:space="0" w:color="auto"/>
            </w:tcBorders>
            <w:shd w:val="clear" w:color="auto" w:fill="auto"/>
          </w:tcPr>
          <w:p w:rsidR="00F30DE1" w:rsidRDefault="00F30DE1" w:rsidP="00220419">
            <w:pPr>
              <w:rPr>
                <w:rFonts w:cs="Arial"/>
                <w:color w:val="002060"/>
                <w:sz w:val="16"/>
                <w:szCs w:val="16"/>
                <w:lang w:bidi="th-TH"/>
              </w:rPr>
            </w:pPr>
            <w:r w:rsidRPr="001656CD">
              <w:rPr>
                <w:rFonts w:cs="Arial"/>
                <w:i/>
                <w:color w:val="002060"/>
                <w:sz w:val="16"/>
                <w:szCs w:val="16"/>
              </w:rPr>
              <w:t>Updated Baseline end 201</w:t>
            </w:r>
            <w:r>
              <w:rPr>
                <w:rFonts w:cs="Arial"/>
                <w:i/>
                <w:color w:val="002060"/>
                <w:sz w:val="16"/>
                <w:szCs w:val="16"/>
              </w:rPr>
              <w:t>3</w:t>
            </w:r>
            <w:r w:rsidRPr="001656CD">
              <w:rPr>
                <w:rFonts w:cs="Arial"/>
                <w:i/>
                <w:color w:val="002060"/>
                <w:sz w:val="16"/>
                <w:szCs w:val="16"/>
              </w:rPr>
              <w:t xml:space="preserve">: </w:t>
            </w:r>
            <w:r w:rsidRPr="008C7B2B">
              <w:rPr>
                <w:rFonts w:cs="Arial"/>
                <w:color w:val="002060"/>
                <w:sz w:val="16"/>
                <w:szCs w:val="16"/>
              </w:rPr>
              <w:t>532 (min.) to 1370 (max.) average no. of users serviced by TISCs per day during 2013.</w:t>
            </w:r>
          </w:p>
          <w:p w:rsidR="00F30DE1" w:rsidRPr="008D3FF3" w:rsidRDefault="00F30DE1" w:rsidP="00220419">
            <w:pPr>
              <w:rPr>
                <w:rFonts w:cs="Arial"/>
                <w:i/>
                <w:color w:val="002060"/>
                <w:sz w:val="8"/>
                <w:szCs w:val="8"/>
              </w:rPr>
            </w:pPr>
          </w:p>
          <w:p w:rsidR="00F30DE1" w:rsidRDefault="00F30DE1" w:rsidP="00220419">
            <w:pPr>
              <w:rPr>
                <w:rFonts w:cs="Arial"/>
                <w:sz w:val="16"/>
                <w:szCs w:val="16"/>
              </w:rPr>
            </w:pPr>
            <w:r w:rsidRPr="001656CD">
              <w:rPr>
                <w:rFonts w:cs="Arial"/>
                <w:i/>
                <w:sz w:val="16"/>
                <w:szCs w:val="16"/>
              </w:rPr>
              <w:t>Original Baseline P&amp;B 201</w:t>
            </w:r>
            <w:r>
              <w:rPr>
                <w:rFonts w:cs="Arial"/>
                <w:i/>
                <w:sz w:val="16"/>
                <w:szCs w:val="16"/>
              </w:rPr>
              <w:t>4</w:t>
            </w:r>
            <w:r w:rsidRPr="001656CD">
              <w:rPr>
                <w:rFonts w:cs="Arial"/>
                <w:i/>
                <w:sz w:val="16"/>
                <w:szCs w:val="16"/>
              </w:rPr>
              <w:t>/1</w:t>
            </w:r>
            <w:r>
              <w:rPr>
                <w:rFonts w:cs="Arial"/>
                <w:i/>
                <w:sz w:val="16"/>
                <w:szCs w:val="16"/>
              </w:rPr>
              <w:t>5</w:t>
            </w:r>
            <w:r w:rsidRPr="001656CD">
              <w:rPr>
                <w:rFonts w:cs="Arial"/>
                <w:i/>
                <w:sz w:val="16"/>
                <w:szCs w:val="16"/>
              </w:rPr>
              <w:t>:</w:t>
            </w:r>
            <w:r>
              <w:t xml:space="preserve"> </w:t>
            </w:r>
            <w:r w:rsidRPr="0099235C">
              <w:rPr>
                <w:rFonts w:cs="Arial"/>
                <w:sz w:val="16"/>
                <w:szCs w:val="16"/>
              </w:rPr>
              <w:t>200 (min) – 630 (max)</w:t>
            </w:r>
          </w:p>
          <w:p w:rsidR="00F30DE1" w:rsidRPr="001656CD" w:rsidRDefault="00F30DE1" w:rsidP="00220419">
            <w:pPr>
              <w:rPr>
                <w:rFonts w:cs="Arial"/>
                <w:i/>
                <w:color w:val="002060"/>
                <w:sz w:val="16"/>
                <w:szCs w:val="16"/>
              </w:rPr>
            </w:pPr>
          </w:p>
        </w:tc>
        <w:tc>
          <w:tcPr>
            <w:tcW w:w="828" w:type="pct"/>
            <w:gridSpan w:val="3"/>
            <w:tcBorders>
              <w:top w:val="single" w:sz="4" w:space="0" w:color="auto"/>
              <w:bottom w:val="single" w:sz="4" w:space="0" w:color="auto"/>
            </w:tcBorders>
            <w:shd w:val="clear" w:color="auto" w:fill="auto"/>
            <w:tcMar>
              <w:top w:w="110" w:type="dxa"/>
            </w:tcMar>
          </w:tcPr>
          <w:p w:rsidR="00F30DE1" w:rsidRPr="00F14ABB" w:rsidRDefault="00F30DE1" w:rsidP="00220419">
            <w:pPr>
              <w:rPr>
                <w:rFonts w:cs="Arial"/>
                <w:sz w:val="16"/>
                <w:szCs w:val="16"/>
                <w:lang w:bidi="th-TH"/>
              </w:rPr>
            </w:pPr>
            <w:r w:rsidRPr="0099235C">
              <w:rPr>
                <w:rFonts w:cs="Arial"/>
                <w:sz w:val="16"/>
                <w:szCs w:val="16"/>
                <w:lang w:bidi="th-TH"/>
              </w:rPr>
              <w:t>300 (min) – 750 (max)</w:t>
            </w:r>
          </w:p>
        </w:tc>
        <w:tc>
          <w:tcPr>
            <w:tcW w:w="1191" w:type="pct"/>
            <w:tcBorders>
              <w:top w:val="single" w:sz="4" w:space="0" w:color="auto"/>
              <w:bottom w:val="single" w:sz="4" w:space="0" w:color="auto"/>
            </w:tcBorders>
            <w:shd w:val="clear" w:color="auto" w:fill="FFFFFF"/>
            <w:tcMar>
              <w:top w:w="110" w:type="dxa"/>
            </w:tcMar>
          </w:tcPr>
          <w:p w:rsidR="00F30DE1" w:rsidRPr="00303855" w:rsidRDefault="00F30DE1" w:rsidP="00220419">
            <w:pPr>
              <w:rPr>
                <w:rFonts w:cs="Arial"/>
                <w:b/>
                <w:color w:val="00B050"/>
                <w:sz w:val="16"/>
                <w:szCs w:val="16"/>
                <w:lang w:bidi="th-TH"/>
              </w:rPr>
            </w:pPr>
            <w:r>
              <w:rPr>
                <w:rFonts w:cs="Arial"/>
                <w:sz w:val="16"/>
                <w:szCs w:val="16"/>
              </w:rPr>
              <w:t>874</w:t>
            </w:r>
            <w:r w:rsidRPr="0045439E">
              <w:rPr>
                <w:rFonts w:cs="Arial"/>
                <w:sz w:val="16"/>
                <w:szCs w:val="16"/>
              </w:rPr>
              <w:t xml:space="preserve"> (min.) – </w:t>
            </w:r>
            <w:r>
              <w:rPr>
                <w:rFonts w:cs="Arial"/>
                <w:sz w:val="16"/>
                <w:szCs w:val="16"/>
              </w:rPr>
              <w:t>2,631</w:t>
            </w:r>
            <w:r w:rsidRPr="0045439E">
              <w:rPr>
                <w:rFonts w:cs="Arial"/>
                <w:sz w:val="16"/>
                <w:szCs w:val="16"/>
              </w:rPr>
              <w:t xml:space="preserve"> (max.)</w:t>
            </w:r>
          </w:p>
        </w:tc>
        <w:tc>
          <w:tcPr>
            <w:tcW w:w="576" w:type="pct"/>
            <w:gridSpan w:val="2"/>
            <w:tcBorders>
              <w:top w:val="single" w:sz="4" w:space="0" w:color="auto"/>
              <w:bottom w:val="single" w:sz="4" w:space="0" w:color="auto"/>
              <w:right w:val="single" w:sz="4" w:space="0" w:color="auto"/>
            </w:tcBorders>
            <w:shd w:val="clear" w:color="auto" w:fill="auto"/>
            <w:tcMar>
              <w:top w:w="110" w:type="dxa"/>
            </w:tcMar>
          </w:tcPr>
          <w:p w:rsidR="00F30DE1" w:rsidRPr="002A4544" w:rsidRDefault="00F30DE1" w:rsidP="00220419">
            <w:pPr>
              <w:keepNext/>
              <w:keepLines/>
              <w:jc w:val="center"/>
              <w:rPr>
                <w:rFonts w:cs="Arial"/>
                <w:b/>
                <w:bCs/>
                <w:color w:val="00B050"/>
                <w:sz w:val="16"/>
                <w:szCs w:val="16"/>
              </w:rPr>
            </w:pPr>
            <w:r w:rsidRPr="00D52C15">
              <w:rPr>
                <w:rFonts w:cs="Arial"/>
                <w:b/>
                <w:bCs/>
                <w:color w:val="00B050"/>
                <w:sz w:val="16"/>
                <w:szCs w:val="16"/>
              </w:rPr>
              <w:t>Fully Achieved</w:t>
            </w:r>
          </w:p>
        </w:tc>
      </w:tr>
      <w:tr w:rsidR="00F30DE1" w:rsidRPr="001656CD" w:rsidTr="00220419">
        <w:trPr>
          <w:cantSplit/>
          <w:trHeight w:val="509"/>
        </w:trPr>
        <w:tc>
          <w:tcPr>
            <w:tcW w:w="5000" w:type="pct"/>
            <w:gridSpan w:val="9"/>
            <w:tcBorders>
              <w:top w:val="single" w:sz="4" w:space="0" w:color="auto"/>
              <w:bottom w:val="single" w:sz="4" w:space="0" w:color="auto"/>
            </w:tcBorders>
            <w:shd w:val="clear" w:color="auto" w:fill="C6D9F1" w:themeFill="text2" w:themeFillTint="33"/>
            <w:vAlign w:val="center"/>
          </w:tcPr>
          <w:p w:rsidR="00F30DE1" w:rsidRPr="003329DC" w:rsidRDefault="00F30DE1" w:rsidP="00220419">
            <w:pPr>
              <w:keepNext/>
              <w:keepLines/>
              <w:tabs>
                <w:tab w:val="left" w:pos="1452"/>
              </w:tabs>
              <w:ind w:left="1452" w:hanging="1452"/>
              <w:rPr>
                <w:rFonts w:cs="Arial"/>
                <w:b/>
                <w:bCs/>
                <w:sz w:val="16"/>
                <w:szCs w:val="16"/>
              </w:rPr>
            </w:pPr>
            <w:r w:rsidRPr="001656CD">
              <w:rPr>
                <w:rFonts w:cs="Arial"/>
                <w:b/>
                <w:bCs/>
                <w:sz w:val="16"/>
                <w:szCs w:val="16"/>
              </w:rPr>
              <w:t>Expected Result:</w:t>
            </w:r>
            <w:r w:rsidRPr="001656CD">
              <w:rPr>
                <w:rFonts w:cs="Arial"/>
                <w:b/>
                <w:bCs/>
                <w:sz w:val="16"/>
                <w:szCs w:val="16"/>
              </w:rPr>
              <w:tab/>
            </w:r>
            <w:r w:rsidRPr="0099235C">
              <w:rPr>
                <w:rFonts w:cs="Arial"/>
                <w:sz w:val="16"/>
                <w:szCs w:val="16"/>
                <w:lang w:bidi="th-TH"/>
              </w:rPr>
              <w:t>IV.4 Enhanced technical and knowledge infrastructure for IP Offices and other IP institutions leading to better services (cheaper, faster, higher quality) to their stakeholders</w:t>
            </w:r>
          </w:p>
        </w:tc>
      </w:tr>
      <w:tr w:rsidR="00F30DE1" w:rsidRPr="001656CD" w:rsidTr="00E37059">
        <w:trPr>
          <w:cantSplit/>
          <w:trHeight w:val="382"/>
        </w:trPr>
        <w:tc>
          <w:tcPr>
            <w:tcW w:w="1127" w:type="pct"/>
            <w:tcBorders>
              <w:top w:val="single" w:sz="4" w:space="0" w:color="auto"/>
              <w:left w:val="single" w:sz="4" w:space="0" w:color="auto"/>
              <w:bottom w:val="nil"/>
              <w:right w:val="nil"/>
            </w:tcBorders>
            <w:shd w:val="clear" w:color="auto" w:fill="auto"/>
            <w:vAlign w:val="center"/>
          </w:tcPr>
          <w:p w:rsidR="00F30DE1" w:rsidRPr="00BC6547" w:rsidRDefault="00F30DE1" w:rsidP="00220419">
            <w:pPr>
              <w:keepNext/>
              <w:keepLines/>
              <w:rPr>
                <w:rFonts w:cs="Arial"/>
                <w:sz w:val="16"/>
                <w:szCs w:val="16"/>
              </w:rPr>
            </w:pPr>
            <w:r w:rsidRPr="00BC6547">
              <w:rPr>
                <w:rFonts w:cs="Arial"/>
                <w:b/>
                <w:bCs/>
                <w:sz w:val="16"/>
                <w:szCs w:val="16"/>
              </w:rPr>
              <w:t>Performance Indicators</w:t>
            </w:r>
          </w:p>
        </w:tc>
        <w:tc>
          <w:tcPr>
            <w:tcW w:w="1279" w:type="pct"/>
            <w:gridSpan w:val="2"/>
            <w:tcBorders>
              <w:top w:val="single" w:sz="4" w:space="0" w:color="auto"/>
              <w:left w:val="nil"/>
              <w:bottom w:val="nil"/>
              <w:right w:val="nil"/>
            </w:tcBorders>
            <w:shd w:val="clear" w:color="auto" w:fill="auto"/>
            <w:vAlign w:val="center"/>
          </w:tcPr>
          <w:p w:rsidR="00F30DE1" w:rsidRPr="00BC6547" w:rsidRDefault="00F30DE1" w:rsidP="00220419">
            <w:pPr>
              <w:keepNext/>
              <w:keepLines/>
              <w:rPr>
                <w:rFonts w:cs="Arial"/>
                <w:b/>
                <w:bCs/>
                <w:sz w:val="16"/>
                <w:szCs w:val="16"/>
              </w:rPr>
            </w:pPr>
            <w:r w:rsidRPr="00BC6547">
              <w:rPr>
                <w:rFonts w:cs="Arial"/>
                <w:b/>
                <w:bCs/>
                <w:sz w:val="16"/>
                <w:szCs w:val="16"/>
              </w:rPr>
              <w:t>Baselines</w:t>
            </w:r>
          </w:p>
        </w:tc>
        <w:tc>
          <w:tcPr>
            <w:tcW w:w="828" w:type="pct"/>
            <w:gridSpan w:val="3"/>
            <w:tcBorders>
              <w:top w:val="single" w:sz="4" w:space="0" w:color="auto"/>
              <w:left w:val="nil"/>
              <w:bottom w:val="nil"/>
              <w:right w:val="nil"/>
            </w:tcBorders>
            <w:shd w:val="clear" w:color="auto" w:fill="auto"/>
            <w:vAlign w:val="center"/>
          </w:tcPr>
          <w:p w:rsidR="00F30DE1" w:rsidRPr="00BC6547" w:rsidRDefault="00F30DE1" w:rsidP="00220419">
            <w:pPr>
              <w:keepNext/>
              <w:keepLines/>
              <w:rPr>
                <w:rFonts w:cs="Arial"/>
                <w:b/>
                <w:sz w:val="16"/>
                <w:szCs w:val="16"/>
              </w:rPr>
            </w:pPr>
            <w:r w:rsidRPr="00BC6547">
              <w:rPr>
                <w:rFonts w:cs="Arial"/>
                <w:b/>
                <w:sz w:val="16"/>
                <w:szCs w:val="16"/>
              </w:rPr>
              <w:t>Targets</w:t>
            </w:r>
          </w:p>
        </w:tc>
        <w:tc>
          <w:tcPr>
            <w:tcW w:w="1191" w:type="pct"/>
            <w:tcBorders>
              <w:top w:val="single" w:sz="4" w:space="0" w:color="auto"/>
              <w:left w:val="nil"/>
              <w:bottom w:val="nil"/>
              <w:right w:val="nil"/>
            </w:tcBorders>
            <w:shd w:val="clear" w:color="auto" w:fill="auto"/>
            <w:vAlign w:val="center"/>
          </w:tcPr>
          <w:p w:rsidR="00F30DE1" w:rsidRPr="00BC6547" w:rsidRDefault="00F30DE1" w:rsidP="00220419">
            <w:pPr>
              <w:keepNext/>
              <w:keepLines/>
              <w:rPr>
                <w:rFonts w:cs="Arial"/>
                <w:sz w:val="16"/>
                <w:szCs w:val="16"/>
              </w:rPr>
            </w:pPr>
            <w:r w:rsidRPr="00BC6547">
              <w:rPr>
                <w:rFonts w:cs="Arial"/>
                <w:b/>
                <w:bCs/>
                <w:sz w:val="16"/>
                <w:szCs w:val="16"/>
              </w:rPr>
              <w:t>Performance Data</w:t>
            </w:r>
          </w:p>
        </w:tc>
        <w:tc>
          <w:tcPr>
            <w:tcW w:w="576" w:type="pct"/>
            <w:gridSpan w:val="2"/>
            <w:tcBorders>
              <w:top w:val="single" w:sz="4" w:space="0" w:color="auto"/>
              <w:left w:val="nil"/>
              <w:bottom w:val="nil"/>
              <w:right w:val="single" w:sz="4" w:space="0" w:color="auto"/>
            </w:tcBorders>
            <w:shd w:val="clear" w:color="auto" w:fill="auto"/>
            <w:vAlign w:val="center"/>
          </w:tcPr>
          <w:p w:rsidR="00F30DE1" w:rsidRPr="00CD26D6" w:rsidRDefault="00F30DE1" w:rsidP="00220419">
            <w:pPr>
              <w:keepNext/>
              <w:keepLines/>
              <w:jc w:val="center"/>
              <w:rPr>
                <w:rFonts w:cs="Arial"/>
                <w:b/>
                <w:bCs/>
                <w:sz w:val="16"/>
                <w:szCs w:val="16"/>
              </w:rPr>
            </w:pPr>
            <w:r w:rsidRPr="00BC6547">
              <w:rPr>
                <w:rFonts w:cs="Arial"/>
                <w:b/>
                <w:bCs/>
                <w:sz w:val="16"/>
                <w:szCs w:val="16"/>
              </w:rPr>
              <w:t>TLS</w:t>
            </w:r>
          </w:p>
        </w:tc>
      </w:tr>
      <w:tr w:rsidR="00F30DE1" w:rsidRPr="001656CD" w:rsidTr="00E37059">
        <w:trPr>
          <w:cantSplit/>
        </w:trPr>
        <w:tc>
          <w:tcPr>
            <w:tcW w:w="1127" w:type="pct"/>
            <w:tcBorders>
              <w:top w:val="nil"/>
              <w:left w:val="single" w:sz="4" w:space="0" w:color="auto"/>
              <w:bottom w:val="single" w:sz="4" w:space="0" w:color="auto"/>
              <w:right w:val="nil"/>
            </w:tcBorders>
            <w:shd w:val="clear" w:color="auto" w:fill="auto"/>
          </w:tcPr>
          <w:p w:rsidR="00F30DE1" w:rsidRPr="0099235C" w:rsidRDefault="00F30DE1" w:rsidP="00220419">
            <w:pPr>
              <w:tabs>
                <w:tab w:val="left" w:pos="347"/>
              </w:tabs>
              <w:rPr>
                <w:rFonts w:cs="Arial"/>
                <w:sz w:val="16"/>
                <w:szCs w:val="16"/>
                <w:lang w:bidi="th-TH"/>
              </w:rPr>
            </w:pPr>
            <w:r w:rsidRPr="0099235C">
              <w:rPr>
                <w:rFonts w:cs="Arial"/>
                <w:sz w:val="16"/>
                <w:szCs w:val="16"/>
                <w:lang w:bidi="th-TH"/>
              </w:rPr>
              <w:t>Average Service Level of IP Offices assisted (ranging from 1 to 5)</w:t>
            </w:r>
          </w:p>
        </w:tc>
        <w:tc>
          <w:tcPr>
            <w:tcW w:w="1279" w:type="pct"/>
            <w:gridSpan w:val="2"/>
            <w:tcBorders>
              <w:top w:val="nil"/>
              <w:left w:val="nil"/>
              <w:bottom w:val="single" w:sz="4" w:space="0" w:color="auto"/>
              <w:right w:val="nil"/>
            </w:tcBorders>
            <w:shd w:val="clear" w:color="auto" w:fill="auto"/>
          </w:tcPr>
          <w:p w:rsidR="00F30DE1" w:rsidRDefault="00F30DE1" w:rsidP="00220419">
            <w:pPr>
              <w:rPr>
                <w:rFonts w:cs="Arial"/>
                <w:color w:val="002060"/>
                <w:sz w:val="16"/>
                <w:szCs w:val="16"/>
                <w:lang w:bidi="th-TH"/>
              </w:rPr>
            </w:pPr>
            <w:r w:rsidRPr="001656CD">
              <w:rPr>
                <w:rFonts w:cs="Arial"/>
                <w:i/>
                <w:color w:val="002060"/>
                <w:sz w:val="16"/>
                <w:szCs w:val="16"/>
              </w:rPr>
              <w:t>Updated Baseline end 201</w:t>
            </w:r>
            <w:r>
              <w:rPr>
                <w:rFonts w:cs="Arial"/>
                <w:i/>
                <w:color w:val="002060"/>
                <w:sz w:val="16"/>
                <w:szCs w:val="16"/>
              </w:rPr>
              <w:t>3</w:t>
            </w:r>
            <w:r w:rsidRPr="001656CD">
              <w:rPr>
                <w:rFonts w:cs="Arial"/>
                <w:i/>
                <w:color w:val="002060"/>
                <w:sz w:val="16"/>
                <w:szCs w:val="16"/>
              </w:rPr>
              <w:t xml:space="preserve">: </w:t>
            </w:r>
            <w:r>
              <w:rPr>
                <w:rFonts w:cs="Arial"/>
                <w:color w:val="002060"/>
                <w:sz w:val="16"/>
                <w:szCs w:val="16"/>
              </w:rPr>
              <w:t>3</w:t>
            </w:r>
          </w:p>
          <w:p w:rsidR="00F30DE1" w:rsidRPr="008D3FF3" w:rsidRDefault="00F30DE1" w:rsidP="00220419">
            <w:pPr>
              <w:rPr>
                <w:rFonts w:cs="Arial"/>
                <w:i/>
                <w:color w:val="002060"/>
                <w:sz w:val="8"/>
                <w:szCs w:val="8"/>
              </w:rPr>
            </w:pPr>
          </w:p>
          <w:p w:rsidR="00F30DE1" w:rsidRPr="001656CD" w:rsidRDefault="00F30DE1" w:rsidP="00220419">
            <w:pPr>
              <w:rPr>
                <w:rFonts w:cs="Arial"/>
                <w:i/>
                <w:color w:val="002060"/>
                <w:sz w:val="16"/>
                <w:szCs w:val="16"/>
              </w:rPr>
            </w:pPr>
            <w:r w:rsidRPr="001656CD">
              <w:rPr>
                <w:rFonts w:cs="Arial"/>
                <w:i/>
                <w:sz w:val="16"/>
                <w:szCs w:val="16"/>
              </w:rPr>
              <w:t>Original Baseline P&amp;B 201</w:t>
            </w:r>
            <w:r>
              <w:rPr>
                <w:rFonts w:cs="Arial"/>
                <w:i/>
                <w:sz w:val="16"/>
                <w:szCs w:val="16"/>
              </w:rPr>
              <w:t>4</w:t>
            </w:r>
            <w:r w:rsidRPr="001656CD">
              <w:rPr>
                <w:rFonts w:cs="Arial"/>
                <w:i/>
                <w:sz w:val="16"/>
                <w:szCs w:val="16"/>
              </w:rPr>
              <w:t>/1</w:t>
            </w:r>
            <w:r>
              <w:rPr>
                <w:rFonts w:cs="Arial"/>
                <w:i/>
                <w:sz w:val="16"/>
                <w:szCs w:val="16"/>
              </w:rPr>
              <w:t>5</w:t>
            </w:r>
            <w:r w:rsidRPr="001656CD">
              <w:rPr>
                <w:rFonts w:cs="Arial"/>
                <w:i/>
                <w:sz w:val="16"/>
                <w:szCs w:val="16"/>
              </w:rPr>
              <w:t>:</w:t>
            </w:r>
            <w:r>
              <w:t xml:space="preserve"> </w:t>
            </w:r>
            <w:r w:rsidRPr="002D2494">
              <w:rPr>
                <w:rFonts w:cs="Arial"/>
                <w:sz w:val="16"/>
                <w:szCs w:val="16"/>
              </w:rPr>
              <w:t>tbd</w:t>
            </w:r>
          </w:p>
        </w:tc>
        <w:tc>
          <w:tcPr>
            <w:tcW w:w="828" w:type="pct"/>
            <w:gridSpan w:val="3"/>
            <w:tcBorders>
              <w:top w:val="nil"/>
              <w:left w:val="nil"/>
              <w:bottom w:val="single" w:sz="4" w:space="0" w:color="auto"/>
              <w:right w:val="nil"/>
            </w:tcBorders>
            <w:shd w:val="clear" w:color="auto" w:fill="auto"/>
            <w:tcMar>
              <w:top w:w="110" w:type="dxa"/>
            </w:tcMar>
          </w:tcPr>
          <w:p w:rsidR="00F30DE1" w:rsidRPr="00845557" w:rsidRDefault="00F30DE1" w:rsidP="00220419">
            <w:pPr>
              <w:pStyle w:val="Default"/>
              <w:rPr>
                <w:rFonts w:eastAsia="Times New Roman"/>
                <w:i/>
                <w:color w:val="002060"/>
                <w:sz w:val="16"/>
                <w:szCs w:val="16"/>
                <w:lang w:eastAsia="en-US"/>
              </w:rPr>
            </w:pPr>
            <w:r w:rsidRPr="00B6192E">
              <w:rPr>
                <w:rFonts w:eastAsia="Times New Roman"/>
                <w:i/>
                <w:color w:val="002060"/>
                <w:sz w:val="16"/>
                <w:szCs w:val="16"/>
                <w:lang w:eastAsia="en-US"/>
              </w:rPr>
              <w:t xml:space="preserve">Defined Target: </w:t>
            </w:r>
            <w:r>
              <w:rPr>
                <w:rFonts w:eastAsia="Times New Roman"/>
                <w:i/>
                <w:color w:val="002060"/>
                <w:sz w:val="16"/>
                <w:szCs w:val="16"/>
                <w:lang w:eastAsia="en-US"/>
              </w:rPr>
              <w:t xml:space="preserve"> </w:t>
            </w:r>
            <w:r w:rsidRPr="00B6192E">
              <w:rPr>
                <w:rFonts w:eastAsia="Times New Roman"/>
                <w:color w:val="002060"/>
                <w:sz w:val="16"/>
                <w:szCs w:val="16"/>
                <w:lang w:eastAsia="en-US"/>
              </w:rPr>
              <w:t>3</w:t>
            </w:r>
          </w:p>
          <w:p w:rsidR="00F30DE1" w:rsidRPr="008D3FF3" w:rsidRDefault="00F30DE1" w:rsidP="00220419">
            <w:pPr>
              <w:rPr>
                <w:rFonts w:cs="Arial"/>
                <w:i/>
                <w:color w:val="002060"/>
                <w:sz w:val="8"/>
                <w:szCs w:val="8"/>
              </w:rPr>
            </w:pPr>
          </w:p>
          <w:p w:rsidR="00F30DE1" w:rsidRDefault="00F30DE1" w:rsidP="00220419">
            <w:pPr>
              <w:rPr>
                <w:rFonts w:cs="Arial"/>
                <w:sz w:val="16"/>
                <w:szCs w:val="16"/>
              </w:rPr>
            </w:pPr>
            <w:r w:rsidRPr="001656CD">
              <w:rPr>
                <w:rFonts w:cs="Arial"/>
                <w:i/>
                <w:sz w:val="16"/>
                <w:szCs w:val="16"/>
              </w:rPr>
              <w:t xml:space="preserve">Original </w:t>
            </w:r>
            <w:r>
              <w:rPr>
                <w:rFonts w:cs="Arial"/>
                <w:i/>
                <w:sz w:val="16"/>
                <w:szCs w:val="16"/>
              </w:rPr>
              <w:t>Target</w:t>
            </w:r>
            <w:r w:rsidRPr="001656CD">
              <w:rPr>
                <w:rFonts w:cs="Arial"/>
                <w:i/>
                <w:sz w:val="16"/>
                <w:szCs w:val="16"/>
              </w:rPr>
              <w:t xml:space="preserve"> P&amp;B 201</w:t>
            </w:r>
            <w:r>
              <w:rPr>
                <w:rFonts w:cs="Arial"/>
                <w:i/>
                <w:sz w:val="16"/>
                <w:szCs w:val="16"/>
              </w:rPr>
              <w:t>4</w:t>
            </w:r>
            <w:r w:rsidRPr="001656CD">
              <w:rPr>
                <w:rFonts w:cs="Arial"/>
                <w:i/>
                <w:sz w:val="16"/>
                <w:szCs w:val="16"/>
              </w:rPr>
              <w:t>/1</w:t>
            </w:r>
            <w:r>
              <w:rPr>
                <w:rFonts w:cs="Arial"/>
                <w:i/>
                <w:sz w:val="16"/>
                <w:szCs w:val="16"/>
              </w:rPr>
              <w:t>5</w:t>
            </w:r>
            <w:r w:rsidRPr="001656CD">
              <w:rPr>
                <w:rFonts w:cs="Arial"/>
                <w:i/>
                <w:sz w:val="16"/>
                <w:szCs w:val="16"/>
              </w:rPr>
              <w:t>:</w:t>
            </w:r>
            <w:r>
              <w:t xml:space="preserve"> </w:t>
            </w:r>
            <w:r w:rsidRPr="002D2494">
              <w:rPr>
                <w:rFonts w:cs="Arial"/>
                <w:sz w:val="16"/>
                <w:szCs w:val="16"/>
              </w:rPr>
              <w:t>tbd</w:t>
            </w:r>
          </w:p>
          <w:p w:rsidR="00F30DE1" w:rsidRPr="0099235C" w:rsidRDefault="00F30DE1" w:rsidP="00220419">
            <w:pPr>
              <w:rPr>
                <w:rFonts w:cs="Arial"/>
                <w:sz w:val="16"/>
                <w:szCs w:val="16"/>
                <w:lang w:bidi="th-TH"/>
              </w:rPr>
            </w:pPr>
          </w:p>
        </w:tc>
        <w:tc>
          <w:tcPr>
            <w:tcW w:w="1191" w:type="pct"/>
            <w:tcBorders>
              <w:top w:val="nil"/>
              <w:left w:val="nil"/>
              <w:bottom w:val="single" w:sz="4" w:space="0" w:color="auto"/>
              <w:right w:val="nil"/>
            </w:tcBorders>
            <w:shd w:val="clear" w:color="auto" w:fill="FFFFFF"/>
            <w:tcMar>
              <w:top w:w="110" w:type="dxa"/>
            </w:tcMar>
          </w:tcPr>
          <w:p w:rsidR="00F30DE1" w:rsidRPr="0023121A" w:rsidRDefault="00F30DE1" w:rsidP="00220419">
            <w:pPr>
              <w:rPr>
                <w:color w:val="000000" w:themeColor="text1"/>
                <w:sz w:val="16"/>
                <w:szCs w:val="16"/>
              </w:rPr>
            </w:pPr>
            <w:r w:rsidRPr="0023121A">
              <w:rPr>
                <w:color w:val="000000" w:themeColor="text1"/>
                <w:sz w:val="16"/>
                <w:szCs w:val="16"/>
              </w:rPr>
              <w:t>Certain Countries in Europe and Asia:  3.3</w:t>
            </w:r>
          </w:p>
          <w:p w:rsidR="00F30DE1" w:rsidRPr="00303855" w:rsidRDefault="00F30DE1" w:rsidP="00220419">
            <w:pPr>
              <w:rPr>
                <w:rFonts w:cs="Arial"/>
                <w:b/>
                <w:sz w:val="16"/>
                <w:szCs w:val="16"/>
                <w:lang w:bidi="th-TH"/>
              </w:rPr>
            </w:pPr>
          </w:p>
        </w:tc>
        <w:tc>
          <w:tcPr>
            <w:tcW w:w="576" w:type="pct"/>
            <w:gridSpan w:val="2"/>
            <w:tcBorders>
              <w:top w:val="nil"/>
              <w:left w:val="nil"/>
              <w:bottom w:val="single" w:sz="4" w:space="0" w:color="auto"/>
              <w:right w:val="single" w:sz="4" w:space="0" w:color="auto"/>
            </w:tcBorders>
            <w:shd w:val="clear" w:color="auto" w:fill="auto"/>
            <w:tcMar>
              <w:top w:w="110" w:type="dxa"/>
            </w:tcMar>
          </w:tcPr>
          <w:p w:rsidR="00F30DE1" w:rsidRPr="002A4544" w:rsidRDefault="00F30DE1" w:rsidP="00220419">
            <w:pPr>
              <w:keepNext/>
              <w:keepLines/>
              <w:jc w:val="center"/>
              <w:rPr>
                <w:rFonts w:cs="Arial"/>
                <w:b/>
                <w:bCs/>
                <w:color w:val="00B050"/>
                <w:sz w:val="16"/>
                <w:szCs w:val="16"/>
              </w:rPr>
            </w:pPr>
            <w:r w:rsidRPr="00D52C15">
              <w:rPr>
                <w:rFonts w:cs="Arial"/>
                <w:b/>
                <w:bCs/>
                <w:color w:val="00B050"/>
                <w:sz w:val="16"/>
                <w:szCs w:val="16"/>
              </w:rPr>
              <w:t>Fully Achieved</w:t>
            </w:r>
          </w:p>
        </w:tc>
      </w:tr>
    </w:tbl>
    <w:p w:rsidR="00F30DE1" w:rsidRDefault="00F30DE1" w:rsidP="00220419">
      <w:pPr>
        <w:rPr>
          <w:rFonts w:cs="Arial"/>
          <w:color w:val="000000"/>
          <w:sz w:val="22"/>
          <w:szCs w:val="22"/>
        </w:rPr>
      </w:pPr>
    </w:p>
    <w:p w:rsidR="00F30DE1" w:rsidRDefault="00F30DE1" w:rsidP="00220419">
      <w:pPr>
        <w:rPr>
          <w:rFonts w:cs="Arial"/>
          <w:color w:val="000000"/>
          <w:sz w:val="22"/>
          <w:szCs w:val="22"/>
        </w:rPr>
      </w:pPr>
    </w:p>
    <w:p w:rsidR="00F30DE1" w:rsidRPr="007B78CC" w:rsidRDefault="00F30DE1" w:rsidP="00220419">
      <w:pPr>
        <w:rPr>
          <w:rFonts w:cs="Arial"/>
          <w:color w:val="000000"/>
          <w:szCs w:val="22"/>
        </w:rPr>
      </w:pPr>
      <w:r w:rsidRPr="007B78CC">
        <w:rPr>
          <w:rFonts w:cs="Arial"/>
          <w:color w:val="000000"/>
          <w:szCs w:val="22"/>
        </w:rPr>
        <w:t>RISK REPORTING FOR THE BIENNIUM</w:t>
      </w:r>
    </w:p>
    <w:p w:rsidR="00F30DE1" w:rsidRPr="00347A1B" w:rsidRDefault="00F30DE1" w:rsidP="00220419">
      <w:pPr>
        <w:keepNext/>
        <w:keepLines/>
        <w:rPr>
          <w:rFonts w:cs="Arial"/>
          <w:color w:val="000000"/>
          <w:sz w:val="22"/>
          <w:szCs w:val="22"/>
        </w:rPr>
      </w:pP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tblBorders>
        <w:tblLook w:val="01E0" w:firstRow="1" w:lastRow="1" w:firstColumn="1" w:lastColumn="1" w:noHBand="0" w:noVBand="0"/>
      </w:tblPr>
      <w:tblGrid>
        <w:gridCol w:w="2420"/>
        <w:gridCol w:w="2200"/>
        <w:gridCol w:w="2310"/>
        <w:gridCol w:w="2568"/>
      </w:tblGrid>
      <w:tr w:rsidR="00F30DE1" w:rsidRPr="003C527B" w:rsidTr="005977E0">
        <w:trPr>
          <w:cantSplit/>
          <w:trHeight w:val="440"/>
        </w:trPr>
        <w:tc>
          <w:tcPr>
            <w:tcW w:w="2420" w:type="dxa"/>
            <w:shd w:val="clear" w:color="auto" w:fill="C6D9F1" w:themeFill="text2" w:themeFillTint="33"/>
            <w:tcMar>
              <w:top w:w="113" w:type="dxa"/>
            </w:tcMar>
            <w:vAlign w:val="center"/>
          </w:tcPr>
          <w:p w:rsidR="00F30DE1" w:rsidRPr="003C527B" w:rsidRDefault="00F30DE1" w:rsidP="00220419">
            <w:pPr>
              <w:keepNext/>
              <w:keepLines/>
              <w:autoSpaceDE w:val="0"/>
              <w:autoSpaceDN w:val="0"/>
              <w:adjustRightInd w:val="0"/>
              <w:ind w:right="-59"/>
              <w:jc w:val="center"/>
              <w:rPr>
                <w:b/>
                <w:bCs/>
                <w:iCs/>
                <w:sz w:val="18"/>
                <w:szCs w:val="18"/>
              </w:rPr>
            </w:pPr>
            <w:r w:rsidRPr="003C527B">
              <w:rPr>
                <w:b/>
                <w:bCs/>
                <w:iCs/>
                <w:sz w:val="18"/>
                <w:szCs w:val="18"/>
              </w:rPr>
              <w:t>Risk(s) to the Program achieving its Results</w:t>
            </w:r>
          </w:p>
        </w:tc>
        <w:tc>
          <w:tcPr>
            <w:tcW w:w="2200" w:type="dxa"/>
            <w:shd w:val="clear" w:color="auto" w:fill="C6D9F1" w:themeFill="text2" w:themeFillTint="33"/>
            <w:tcMar>
              <w:top w:w="113" w:type="dxa"/>
            </w:tcMar>
            <w:vAlign w:val="center"/>
          </w:tcPr>
          <w:p w:rsidR="00F30DE1" w:rsidRPr="003C527B" w:rsidRDefault="00F30DE1" w:rsidP="00220419">
            <w:pPr>
              <w:keepNext/>
              <w:keepLines/>
              <w:autoSpaceDE w:val="0"/>
              <w:autoSpaceDN w:val="0"/>
              <w:adjustRightInd w:val="0"/>
              <w:ind w:right="-59"/>
              <w:jc w:val="center"/>
              <w:rPr>
                <w:b/>
                <w:bCs/>
                <w:iCs/>
                <w:sz w:val="18"/>
                <w:szCs w:val="18"/>
              </w:rPr>
            </w:pPr>
            <w:r w:rsidRPr="003C527B">
              <w:rPr>
                <w:b/>
                <w:bCs/>
                <w:iCs/>
                <w:sz w:val="18"/>
                <w:szCs w:val="18"/>
              </w:rPr>
              <w:t xml:space="preserve">Mitigation plans in place or under implementation </w:t>
            </w:r>
          </w:p>
        </w:tc>
        <w:tc>
          <w:tcPr>
            <w:tcW w:w="2310" w:type="dxa"/>
            <w:shd w:val="clear" w:color="auto" w:fill="C6D9F1" w:themeFill="text2" w:themeFillTint="33"/>
          </w:tcPr>
          <w:p w:rsidR="00F30DE1" w:rsidRPr="003C527B" w:rsidRDefault="00F30DE1" w:rsidP="00220419">
            <w:pPr>
              <w:jc w:val="center"/>
              <w:rPr>
                <w:b/>
                <w:bCs/>
                <w:sz w:val="18"/>
                <w:szCs w:val="18"/>
              </w:rPr>
            </w:pPr>
            <w:r>
              <w:rPr>
                <w:b/>
                <w:bCs/>
                <w:sz w:val="18"/>
                <w:szCs w:val="18"/>
              </w:rPr>
              <w:t>Evolution of Risk(s) and Mitigation Strategies Over the Biennium</w:t>
            </w:r>
          </w:p>
        </w:tc>
        <w:tc>
          <w:tcPr>
            <w:tcW w:w="2568" w:type="dxa"/>
            <w:shd w:val="clear" w:color="auto" w:fill="C6D9F1" w:themeFill="text2" w:themeFillTint="33"/>
          </w:tcPr>
          <w:p w:rsidR="00F30DE1" w:rsidRPr="003C527B" w:rsidRDefault="00F30DE1" w:rsidP="00220419">
            <w:pPr>
              <w:jc w:val="center"/>
              <w:rPr>
                <w:b/>
                <w:bCs/>
                <w:sz w:val="18"/>
                <w:szCs w:val="18"/>
              </w:rPr>
            </w:pPr>
            <w:r>
              <w:rPr>
                <w:b/>
                <w:bCs/>
                <w:sz w:val="18"/>
                <w:szCs w:val="18"/>
              </w:rPr>
              <w:t>Impact on the Program’s Performance</w:t>
            </w:r>
          </w:p>
        </w:tc>
      </w:tr>
      <w:tr w:rsidR="00F30DE1" w:rsidRPr="003C527B" w:rsidTr="005977E0">
        <w:trPr>
          <w:cantSplit/>
          <w:trHeight w:val="785"/>
        </w:trPr>
        <w:tc>
          <w:tcPr>
            <w:tcW w:w="2420" w:type="dxa"/>
            <w:shd w:val="clear" w:color="auto" w:fill="auto"/>
            <w:tcMar>
              <w:top w:w="113" w:type="dxa"/>
            </w:tcMar>
          </w:tcPr>
          <w:p w:rsidR="00F30DE1" w:rsidRPr="003C527B" w:rsidRDefault="00F30DE1" w:rsidP="00220419">
            <w:pPr>
              <w:keepNext/>
              <w:keepLines/>
              <w:autoSpaceDE w:val="0"/>
              <w:autoSpaceDN w:val="0"/>
              <w:adjustRightInd w:val="0"/>
              <w:ind w:right="-59"/>
              <w:rPr>
                <w:sz w:val="16"/>
                <w:szCs w:val="16"/>
              </w:rPr>
            </w:pPr>
            <w:r w:rsidRPr="003C527B">
              <w:rPr>
                <w:sz w:val="16"/>
                <w:szCs w:val="16"/>
              </w:rPr>
              <w:t xml:space="preserve">Economic and political changes might hamper or slowdown the implementation of </w:t>
            </w:r>
            <w:r>
              <w:rPr>
                <w:sz w:val="16"/>
                <w:szCs w:val="16"/>
              </w:rPr>
              <w:t xml:space="preserve">national IP </w:t>
            </w:r>
            <w:r w:rsidRPr="003C527B">
              <w:rPr>
                <w:sz w:val="16"/>
                <w:szCs w:val="16"/>
              </w:rPr>
              <w:t>strategies.</w:t>
            </w:r>
          </w:p>
        </w:tc>
        <w:tc>
          <w:tcPr>
            <w:tcW w:w="2200" w:type="dxa"/>
            <w:shd w:val="clear" w:color="auto" w:fill="auto"/>
            <w:tcMar>
              <w:top w:w="113" w:type="dxa"/>
            </w:tcMar>
          </w:tcPr>
          <w:p w:rsidR="00F30DE1" w:rsidRPr="003C527B" w:rsidRDefault="00F30DE1" w:rsidP="00220419">
            <w:pPr>
              <w:keepNext/>
              <w:keepLines/>
              <w:autoSpaceDE w:val="0"/>
              <w:autoSpaceDN w:val="0"/>
              <w:adjustRightInd w:val="0"/>
              <w:ind w:right="-59"/>
              <w:rPr>
                <w:sz w:val="16"/>
                <w:szCs w:val="16"/>
              </w:rPr>
            </w:pPr>
            <w:r w:rsidRPr="003C527B">
              <w:rPr>
                <w:sz w:val="16"/>
                <w:szCs w:val="16"/>
              </w:rPr>
              <w:t xml:space="preserve">Maintaining relations with all stakeholders in the countries and advanced planning on all levels.  Provide flexibility in the cooperation plans. </w:t>
            </w:r>
          </w:p>
        </w:tc>
        <w:tc>
          <w:tcPr>
            <w:tcW w:w="2310" w:type="dxa"/>
          </w:tcPr>
          <w:p w:rsidR="00F30DE1" w:rsidRPr="003C527B" w:rsidRDefault="00F30DE1" w:rsidP="00220419">
            <w:pPr>
              <w:rPr>
                <w:sz w:val="16"/>
                <w:szCs w:val="16"/>
              </w:rPr>
            </w:pPr>
            <w:r w:rsidRPr="00547CA6">
              <w:rPr>
                <w:sz w:val="16"/>
                <w:szCs w:val="16"/>
              </w:rPr>
              <w:t>The risk is a continu</w:t>
            </w:r>
            <w:r w:rsidRPr="00C8721B">
              <w:rPr>
                <w:sz w:val="16"/>
                <w:szCs w:val="16"/>
              </w:rPr>
              <w:t>ous</w:t>
            </w:r>
            <w:r w:rsidRPr="00547CA6">
              <w:rPr>
                <w:sz w:val="16"/>
                <w:szCs w:val="16"/>
              </w:rPr>
              <w:t xml:space="preserve"> risk and has affected planning for certain activities.  However, in line with the risk mitigation plan, close cooperation with the relevant stakeholders was maintained. In addition, a flexible approach in the development and implementation of cooperation plans </w:t>
            </w:r>
            <w:r w:rsidRPr="00C8721B">
              <w:rPr>
                <w:sz w:val="16"/>
                <w:szCs w:val="16"/>
              </w:rPr>
              <w:t xml:space="preserve">as well as close </w:t>
            </w:r>
            <w:r w:rsidRPr="00547CA6">
              <w:rPr>
                <w:sz w:val="16"/>
                <w:szCs w:val="16"/>
              </w:rPr>
              <w:t>monitoring of the situation</w:t>
            </w:r>
            <w:r w:rsidRPr="00C8721B">
              <w:rPr>
                <w:sz w:val="16"/>
                <w:szCs w:val="16"/>
              </w:rPr>
              <w:t xml:space="preserve"> helped reduce the adverse impact</w:t>
            </w:r>
            <w:r w:rsidRPr="00547CA6">
              <w:rPr>
                <w:sz w:val="16"/>
                <w:szCs w:val="16"/>
              </w:rPr>
              <w:t>.</w:t>
            </w:r>
            <w:r>
              <w:t xml:space="preserve"> </w:t>
            </w:r>
          </w:p>
        </w:tc>
        <w:tc>
          <w:tcPr>
            <w:tcW w:w="2568" w:type="dxa"/>
          </w:tcPr>
          <w:p w:rsidR="00F30DE1" w:rsidRPr="003C527B" w:rsidRDefault="00F30DE1" w:rsidP="00220419">
            <w:pPr>
              <w:autoSpaceDE w:val="0"/>
              <w:autoSpaceDN w:val="0"/>
              <w:adjustRightInd w:val="0"/>
              <w:ind w:right="-59"/>
              <w:rPr>
                <w:sz w:val="16"/>
                <w:szCs w:val="16"/>
              </w:rPr>
            </w:pPr>
            <w:r>
              <w:rPr>
                <w:sz w:val="16"/>
                <w:szCs w:val="16"/>
                <w:lang w:eastAsia="zh-CN"/>
              </w:rPr>
              <w:t>This risk and its evolution did not have material impact on the Program’s performance in 2014/15 due to the deployment of effective mitigation actions.</w:t>
            </w:r>
          </w:p>
        </w:tc>
      </w:tr>
    </w:tbl>
    <w:p w:rsidR="00F30DE1" w:rsidRDefault="00F30DE1" w:rsidP="00220419">
      <w:pPr>
        <w:rPr>
          <w:rFonts w:cs="Arial"/>
          <w:color w:val="000000"/>
          <w:sz w:val="22"/>
          <w:szCs w:val="22"/>
        </w:rPr>
      </w:pPr>
    </w:p>
    <w:p w:rsidR="00F30DE1" w:rsidRDefault="00F30DE1" w:rsidP="00220419">
      <w:pPr>
        <w:rPr>
          <w:rFonts w:cs="Arial"/>
          <w:color w:val="000000"/>
          <w:sz w:val="22"/>
          <w:szCs w:val="22"/>
        </w:rPr>
      </w:pPr>
    </w:p>
    <w:p w:rsidR="00F30DE1" w:rsidRDefault="00F30DE1" w:rsidP="00220419">
      <w:pPr>
        <w:rPr>
          <w:rFonts w:cs="Arial"/>
          <w:color w:val="000000"/>
          <w:sz w:val="22"/>
          <w:szCs w:val="22"/>
        </w:rPr>
      </w:pPr>
    </w:p>
    <w:p w:rsidR="00F30DE1" w:rsidRPr="007B78CC" w:rsidRDefault="00F30DE1" w:rsidP="00220419">
      <w:pPr>
        <w:keepNext/>
        <w:keepLines/>
        <w:rPr>
          <w:b/>
          <w:sz w:val="16"/>
          <w:szCs w:val="18"/>
        </w:rPr>
      </w:pPr>
      <w:r w:rsidRPr="007B78CC">
        <w:rPr>
          <w:rFonts w:cs="Arial"/>
          <w:color w:val="000000"/>
          <w:szCs w:val="22"/>
        </w:rPr>
        <w:lastRenderedPageBreak/>
        <w:t>RESOURCE UTILIZATION</w:t>
      </w:r>
    </w:p>
    <w:p w:rsidR="006355D7" w:rsidRPr="006355D7" w:rsidRDefault="006355D7" w:rsidP="00220419">
      <w:pPr>
        <w:pStyle w:val="NormalWeb"/>
        <w:keepNext/>
        <w:keepLines/>
        <w:spacing w:before="0" w:beforeAutospacing="0" w:after="0" w:afterAutospacing="0"/>
        <w:jc w:val="center"/>
        <w:rPr>
          <w:color w:val="000000"/>
          <w:sz w:val="16"/>
          <w:szCs w:val="20"/>
        </w:rPr>
      </w:pPr>
    </w:p>
    <w:p w:rsidR="00F30DE1" w:rsidRPr="00383D2D" w:rsidRDefault="00F30DE1" w:rsidP="00220419">
      <w:pPr>
        <w:pStyle w:val="NormalWeb"/>
        <w:keepNext/>
        <w:keepLines/>
        <w:spacing w:before="0" w:beforeAutospacing="0" w:after="0" w:afterAutospacing="0"/>
        <w:jc w:val="center"/>
        <w:rPr>
          <w:sz w:val="20"/>
          <w:szCs w:val="20"/>
        </w:rPr>
      </w:pPr>
      <w:r w:rsidRPr="00383D2D">
        <w:rPr>
          <w:color w:val="000000"/>
          <w:sz w:val="20"/>
          <w:szCs w:val="20"/>
        </w:rPr>
        <w:t xml:space="preserve">Budget and Actual Expenditure (by result) </w:t>
      </w:r>
    </w:p>
    <w:p w:rsidR="00F30DE1" w:rsidRDefault="00F30DE1" w:rsidP="00220419">
      <w:pPr>
        <w:pStyle w:val="NormalWeb"/>
        <w:keepNext/>
        <w:keepLines/>
        <w:spacing w:before="0" w:beforeAutospacing="0" w:after="0" w:afterAutospacing="0"/>
        <w:jc w:val="center"/>
        <w:rPr>
          <w:i/>
          <w:iCs/>
          <w:color w:val="000000"/>
          <w:sz w:val="20"/>
          <w:szCs w:val="20"/>
        </w:rPr>
      </w:pPr>
      <w:r w:rsidRPr="00383D2D">
        <w:rPr>
          <w:i/>
          <w:iCs/>
          <w:color w:val="000000"/>
          <w:sz w:val="20"/>
          <w:szCs w:val="20"/>
        </w:rPr>
        <w:t>(in thousands of Swiss francs)</w:t>
      </w:r>
    </w:p>
    <w:p w:rsidR="00F30DE1" w:rsidRPr="006355D7" w:rsidRDefault="00F30DE1" w:rsidP="00220419">
      <w:pPr>
        <w:pStyle w:val="NormalWeb"/>
        <w:keepNext/>
        <w:keepLines/>
        <w:spacing w:before="0" w:beforeAutospacing="0" w:after="0" w:afterAutospacing="0"/>
        <w:jc w:val="center"/>
        <w:rPr>
          <w:i/>
          <w:iCs/>
          <w:color w:val="000000"/>
          <w:sz w:val="16"/>
          <w:szCs w:val="20"/>
        </w:rPr>
      </w:pPr>
    </w:p>
    <w:p w:rsidR="00F30DE1" w:rsidRDefault="00F30DE1" w:rsidP="00220419">
      <w:pPr>
        <w:keepNext/>
        <w:keepLines/>
        <w:jc w:val="center"/>
      </w:pPr>
      <w:r w:rsidRPr="00573FD2">
        <w:rPr>
          <w:noProof/>
        </w:rPr>
        <w:drawing>
          <wp:inline distT="0" distB="0" distL="0" distR="0" wp14:anchorId="35EA6DE1" wp14:editId="7D862B79">
            <wp:extent cx="4415768" cy="4371975"/>
            <wp:effectExtent l="0" t="0" r="4445" b="0"/>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4426307" cy="4382409"/>
                    </a:xfrm>
                    <a:prstGeom prst="rect">
                      <a:avLst/>
                    </a:prstGeom>
                    <a:noFill/>
                    <a:ln>
                      <a:noFill/>
                    </a:ln>
                  </pic:spPr>
                </pic:pic>
              </a:graphicData>
            </a:graphic>
          </wp:inline>
        </w:drawing>
      </w:r>
    </w:p>
    <w:p w:rsidR="00F30DE1" w:rsidRDefault="00F30DE1" w:rsidP="00220419">
      <w:pPr>
        <w:pStyle w:val="NormalWeb"/>
        <w:keepNext/>
        <w:keepLines/>
        <w:spacing w:before="0" w:beforeAutospacing="0" w:after="0" w:afterAutospacing="0"/>
        <w:jc w:val="center"/>
        <w:rPr>
          <w:color w:val="000000"/>
          <w:sz w:val="20"/>
          <w:szCs w:val="20"/>
        </w:rPr>
      </w:pPr>
    </w:p>
    <w:p w:rsidR="00F30DE1" w:rsidRPr="00383D2D" w:rsidRDefault="00F30DE1" w:rsidP="00220419">
      <w:pPr>
        <w:pStyle w:val="NormalWeb"/>
        <w:keepNext/>
        <w:keepLines/>
        <w:spacing w:before="0" w:beforeAutospacing="0" w:after="0" w:afterAutospacing="0"/>
        <w:jc w:val="center"/>
        <w:rPr>
          <w:sz w:val="20"/>
          <w:szCs w:val="20"/>
        </w:rPr>
      </w:pPr>
      <w:r w:rsidRPr="00383D2D">
        <w:rPr>
          <w:color w:val="000000"/>
          <w:sz w:val="20"/>
          <w:szCs w:val="20"/>
        </w:rPr>
        <w:t xml:space="preserve">Budget and Actual Expenditure (personnel and non-personnel) </w:t>
      </w:r>
    </w:p>
    <w:p w:rsidR="00F30DE1" w:rsidRPr="00383D2D" w:rsidRDefault="00F30DE1" w:rsidP="00220419">
      <w:pPr>
        <w:pStyle w:val="NormalWeb"/>
        <w:keepNext/>
        <w:keepLines/>
        <w:spacing w:before="0" w:beforeAutospacing="0" w:after="0" w:afterAutospacing="0"/>
        <w:jc w:val="center"/>
        <w:rPr>
          <w:i/>
          <w:iCs/>
          <w:color w:val="000000"/>
          <w:sz w:val="20"/>
          <w:szCs w:val="20"/>
        </w:rPr>
      </w:pPr>
      <w:r w:rsidRPr="00383D2D">
        <w:rPr>
          <w:i/>
          <w:iCs/>
          <w:color w:val="000000"/>
          <w:sz w:val="20"/>
          <w:szCs w:val="20"/>
        </w:rPr>
        <w:t>(in thousands of Swiss francs)</w:t>
      </w:r>
    </w:p>
    <w:p w:rsidR="00F30DE1" w:rsidRPr="006355D7" w:rsidRDefault="00F30DE1" w:rsidP="00220419">
      <w:pPr>
        <w:pStyle w:val="NormalWeb"/>
        <w:keepNext/>
        <w:keepLines/>
        <w:spacing w:before="0" w:beforeAutospacing="0" w:after="0" w:afterAutospacing="0"/>
        <w:jc w:val="center"/>
        <w:rPr>
          <w:sz w:val="16"/>
        </w:rPr>
      </w:pPr>
    </w:p>
    <w:p w:rsidR="00F30DE1" w:rsidRDefault="00F30DE1" w:rsidP="00220419">
      <w:pPr>
        <w:widowControl w:val="0"/>
        <w:autoSpaceDE w:val="0"/>
        <w:autoSpaceDN w:val="0"/>
        <w:adjustRightInd w:val="0"/>
        <w:jc w:val="center"/>
        <w:rPr>
          <w:rFonts w:cs="Arial"/>
          <w:szCs w:val="20"/>
        </w:rPr>
      </w:pPr>
      <w:r w:rsidRPr="007E79AB">
        <w:rPr>
          <w:noProof/>
        </w:rPr>
        <w:drawing>
          <wp:inline distT="0" distB="0" distL="0" distR="0" wp14:anchorId="1F3EBFE3" wp14:editId="455435C4">
            <wp:extent cx="4562475" cy="896312"/>
            <wp:effectExtent l="0" t="0" r="0" b="0"/>
            <wp:docPr id="145"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4574211" cy="898617"/>
                    </a:xfrm>
                    <a:prstGeom prst="rect">
                      <a:avLst/>
                    </a:prstGeom>
                    <a:noFill/>
                    <a:ln>
                      <a:noFill/>
                    </a:ln>
                  </pic:spPr>
                </pic:pic>
              </a:graphicData>
            </a:graphic>
          </wp:inline>
        </w:drawing>
      </w:r>
    </w:p>
    <w:p w:rsidR="00F30DE1" w:rsidRDefault="00F30DE1" w:rsidP="00220419">
      <w:pPr>
        <w:widowControl w:val="0"/>
        <w:autoSpaceDE w:val="0"/>
        <w:autoSpaceDN w:val="0"/>
        <w:adjustRightInd w:val="0"/>
        <w:jc w:val="center"/>
        <w:rPr>
          <w:rFonts w:cs="Arial"/>
          <w:szCs w:val="20"/>
        </w:rPr>
      </w:pPr>
    </w:p>
    <w:p w:rsidR="00F30DE1" w:rsidRPr="008F4A6D" w:rsidRDefault="00F30DE1" w:rsidP="00220419">
      <w:pPr>
        <w:widowControl w:val="0"/>
        <w:autoSpaceDE w:val="0"/>
        <w:autoSpaceDN w:val="0"/>
        <w:adjustRightInd w:val="0"/>
        <w:jc w:val="center"/>
        <w:rPr>
          <w:rFonts w:cs="Arial"/>
          <w:szCs w:val="20"/>
        </w:rPr>
      </w:pPr>
    </w:p>
    <w:p w:rsidR="00F30DE1" w:rsidRDefault="00F30DE1" w:rsidP="00F6573D">
      <w:pPr>
        <w:tabs>
          <w:tab w:val="left" w:pos="709"/>
        </w:tabs>
        <w:rPr>
          <w:rFonts w:cs="Arial"/>
          <w:u w:val="single"/>
        </w:rPr>
      </w:pPr>
      <w:r w:rsidRPr="00420F90">
        <w:rPr>
          <w:rFonts w:cs="Arial"/>
          <w:szCs w:val="20"/>
        </w:rPr>
        <w:t>A.</w:t>
      </w:r>
      <w:r w:rsidRPr="00420F90">
        <w:rPr>
          <w:rFonts w:cs="Arial"/>
        </w:rPr>
        <w:tab/>
      </w:r>
      <w:r w:rsidRPr="00420F90">
        <w:rPr>
          <w:rFonts w:cs="Arial"/>
          <w:u w:val="single"/>
        </w:rPr>
        <w:t>201</w:t>
      </w:r>
      <w:r>
        <w:rPr>
          <w:rFonts w:cs="Arial"/>
          <w:u w:val="single"/>
        </w:rPr>
        <w:t xml:space="preserve">4/15 Final </w:t>
      </w:r>
      <w:r w:rsidRPr="00420F90">
        <w:rPr>
          <w:rFonts w:cs="Arial"/>
          <w:u w:val="single"/>
        </w:rPr>
        <w:t xml:space="preserve">Budget after Transfers </w:t>
      </w:r>
    </w:p>
    <w:p w:rsidR="00F30DE1" w:rsidRPr="001B6592" w:rsidRDefault="00F30DE1" w:rsidP="00220419">
      <w:pPr>
        <w:rPr>
          <w:rFonts w:cs="Arial"/>
          <w:sz w:val="18"/>
          <w:szCs w:val="18"/>
          <w:u w:val="single"/>
        </w:rPr>
      </w:pPr>
    </w:p>
    <w:p w:rsidR="00F30DE1" w:rsidRDefault="00F30DE1" w:rsidP="00F6573D">
      <w:pPr>
        <w:pStyle w:val="ListParagraph"/>
        <w:numPr>
          <w:ilvl w:val="0"/>
          <w:numId w:val="76"/>
        </w:numPr>
        <w:tabs>
          <w:tab w:val="left" w:pos="709"/>
        </w:tabs>
        <w:spacing w:after="200"/>
        <w:ind w:left="0" w:firstLine="0"/>
        <w:jc w:val="both"/>
        <w:rPr>
          <w:rFonts w:cs="Arial"/>
        </w:rPr>
      </w:pPr>
      <w:r w:rsidRPr="00974D35">
        <w:rPr>
          <w:rFonts w:cs="Arial"/>
        </w:rPr>
        <w:t xml:space="preserve">The adjustments across Results in the 2014/15 </w:t>
      </w:r>
      <w:r>
        <w:rPr>
          <w:rFonts w:cs="Arial"/>
        </w:rPr>
        <w:t xml:space="preserve">Final </w:t>
      </w:r>
      <w:r w:rsidRPr="00974D35">
        <w:rPr>
          <w:rFonts w:cs="Arial"/>
        </w:rPr>
        <w:t>Budget after Transfers reflect the new and more accurate methodology for allocation of personnel resources resulting from enhancements made to the EPM planning system for the 2014</w:t>
      </w:r>
      <w:r>
        <w:rPr>
          <w:rFonts w:cs="Arial"/>
        </w:rPr>
        <w:t xml:space="preserve"> and 2015</w:t>
      </w:r>
      <w:r w:rsidRPr="00974D35">
        <w:rPr>
          <w:rFonts w:cs="Arial"/>
        </w:rPr>
        <w:t xml:space="preserve"> annual work planning exercise</w:t>
      </w:r>
      <w:r>
        <w:rPr>
          <w:rFonts w:cs="Arial"/>
        </w:rPr>
        <w:t>s</w:t>
      </w:r>
      <w:r w:rsidRPr="00974D35">
        <w:rPr>
          <w:rFonts w:cs="Arial"/>
        </w:rPr>
        <w:t>.</w:t>
      </w:r>
    </w:p>
    <w:p w:rsidR="00F30DE1" w:rsidRDefault="00F30DE1" w:rsidP="006355D7">
      <w:pPr>
        <w:pStyle w:val="ListParagraph"/>
        <w:numPr>
          <w:ilvl w:val="0"/>
          <w:numId w:val="76"/>
        </w:numPr>
        <w:tabs>
          <w:tab w:val="left" w:pos="709"/>
        </w:tabs>
        <w:ind w:left="0" w:firstLine="0"/>
        <w:jc w:val="both"/>
        <w:rPr>
          <w:rFonts w:cs="Arial"/>
        </w:rPr>
      </w:pPr>
      <w:r>
        <w:rPr>
          <w:rFonts w:cs="Arial"/>
        </w:rPr>
        <w:t xml:space="preserve">The net decrease of personnel resources in the Final Budget after Transfers is primarily due to the temporary transfer of a temporary staff to Program 31 (the Hague System) to assist with the new accessions. </w:t>
      </w:r>
    </w:p>
    <w:p w:rsidR="00F30DE1" w:rsidRDefault="00F30DE1" w:rsidP="00220419">
      <w:pPr>
        <w:autoSpaceDE w:val="0"/>
        <w:autoSpaceDN w:val="0"/>
        <w:jc w:val="both"/>
        <w:rPr>
          <w:rFonts w:cs="Arial"/>
          <w:szCs w:val="20"/>
          <w:lang w:eastAsia="ko-KR"/>
        </w:rPr>
      </w:pPr>
    </w:p>
    <w:p w:rsidR="00F30DE1" w:rsidRDefault="00F30DE1" w:rsidP="00F6573D">
      <w:pPr>
        <w:tabs>
          <w:tab w:val="left" w:pos="709"/>
        </w:tabs>
        <w:jc w:val="both"/>
        <w:rPr>
          <w:rFonts w:cs="Arial"/>
          <w:szCs w:val="20"/>
          <w:u w:val="single"/>
          <w:lang w:eastAsia="ko-KR"/>
        </w:rPr>
      </w:pPr>
      <w:r>
        <w:rPr>
          <w:rFonts w:cs="Arial"/>
          <w:szCs w:val="20"/>
          <w:lang w:eastAsia="ko-KR"/>
        </w:rPr>
        <w:t>B.</w:t>
      </w:r>
      <w:r>
        <w:rPr>
          <w:rFonts w:cs="Arial"/>
          <w:szCs w:val="20"/>
          <w:lang w:eastAsia="ko-KR"/>
        </w:rPr>
        <w:tab/>
      </w:r>
      <w:r w:rsidRPr="00420F90">
        <w:rPr>
          <w:rFonts w:cs="Arial"/>
          <w:u w:val="single"/>
        </w:rPr>
        <w:t>201</w:t>
      </w:r>
      <w:r>
        <w:rPr>
          <w:rFonts w:cs="Arial"/>
          <w:u w:val="single"/>
        </w:rPr>
        <w:t xml:space="preserve">4/15 </w:t>
      </w:r>
      <w:r>
        <w:rPr>
          <w:rFonts w:cs="Arial"/>
          <w:szCs w:val="20"/>
          <w:u w:val="single"/>
          <w:lang w:eastAsia="ko-KR"/>
        </w:rPr>
        <w:t>Budget Utilization</w:t>
      </w:r>
    </w:p>
    <w:p w:rsidR="00F30DE1" w:rsidRPr="0076299E" w:rsidRDefault="00F30DE1" w:rsidP="00F6573D">
      <w:pPr>
        <w:pStyle w:val="ListParagraph"/>
        <w:tabs>
          <w:tab w:val="left" w:pos="709"/>
        </w:tabs>
        <w:ind w:left="0"/>
        <w:jc w:val="both"/>
        <w:rPr>
          <w:rFonts w:cs="Arial"/>
        </w:rPr>
      </w:pPr>
    </w:p>
    <w:p w:rsidR="00D97F1C" w:rsidRDefault="00F30DE1" w:rsidP="006355D7">
      <w:pPr>
        <w:pStyle w:val="ListParagraph"/>
        <w:numPr>
          <w:ilvl w:val="0"/>
          <w:numId w:val="76"/>
        </w:numPr>
        <w:tabs>
          <w:tab w:val="left" w:pos="709"/>
        </w:tabs>
        <w:spacing w:after="200"/>
        <w:ind w:left="0" w:firstLine="0"/>
        <w:jc w:val="both"/>
      </w:pPr>
      <w:r w:rsidRPr="006355D7">
        <w:rPr>
          <w:rFonts w:cs="Arial"/>
        </w:rPr>
        <w:t>Overall the budget utilization is within the expected range for the biennium.  The slight under-utilization of non-personnel resources was due primarily to the implementation of cost efficiency measures as regards staff missions and events.</w:t>
      </w:r>
      <w:r w:rsidR="00D97F1C">
        <w:br w:type="page"/>
      </w:r>
    </w:p>
    <w:p w:rsidR="00D97F1C" w:rsidRPr="00B92955" w:rsidRDefault="00D97F1C" w:rsidP="00D97F1C">
      <w:pPr>
        <w:pStyle w:val="Heading2"/>
        <w:tabs>
          <w:tab w:val="clear" w:pos="567"/>
          <w:tab w:val="left" w:pos="1985"/>
        </w:tabs>
        <w:ind w:left="1985" w:hanging="1985"/>
        <w:rPr>
          <w:sz w:val="20"/>
          <w:szCs w:val="20"/>
        </w:rPr>
      </w:pPr>
      <w:bookmarkStart w:id="75" w:name="_Toc454544478"/>
      <w:r w:rsidRPr="00B92955">
        <w:rPr>
          <w:sz w:val="20"/>
          <w:szCs w:val="20"/>
        </w:rPr>
        <w:lastRenderedPageBreak/>
        <w:t>PROGRAM 11</w:t>
      </w:r>
      <w:r w:rsidRPr="00B92955">
        <w:rPr>
          <w:sz w:val="20"/>
          <w:szCs w:val="20"/>
        </w:rPr>
        <w:tab/>
        <w:t>THE WIPO ACADEMY</w:t>
      </w:r>
      <w:bookmarkEnd w:id="75"/>
    </w:p>
    <w:p w:rsidR="00D97F1C" w:rsidRPr="000F7990" w:rsidRDefault="00D97F1C" w:rsidP="00D97F1C">
      <w:pPr>
        <w:ind w:left="1985" w:hanging="1985"/>
        <w:rPr>
          <w:szCs w:val="20"/>
        </w:rPr>
      </w:pPr>
    </w:p>
    <w:p w:rsidR="00D97F1C" w:rsidRPr="00B92955" w:rsidRDefault="00D97F1C" w:rsidP="00D97F1C">
      <w:pPr>
        <w:ind w:left="1985" w:hanging="1985"/>
        <w:rPr>
          <w:b/>
          <w:szCs w:val="20"/>
        </w:rPr>
      </w:pPr>
      <w:r w:rsidRPr="00B92955">
        <w:rPr>
          <w:b/>
          <w:szCs w:val="20"/>
        </w:rPr>
        <w:t>Program Manager</w:t>
      </w:r>
      <w:r w:rsidRPr="00B92955">
        <w:rPr>
          <w:b/>
          <w:szCs w:val="20"/>
        </w:rPr>
        <w:tab/>
        <w:t>Mr. M. Matus</w:t>
      </w:r>
    </w:p>
    <w:p w:rsidR="005C2D42" w:rsidRPr="000F7990" w:rsidRDefault="005C2D42" w:rsidP="00E3403E">
      <w:pPr>
        <w:rPr>
          <w:szCs w:val="20"/>
        </w:rPr>
      </w:pPr>
    </w:p>
    <w:p w:rsidR="005C2D42" w:rsidRPr="00E956BE" w:rsidRDefault="005C2D42" w:rsidP="00E3403E">
      <w:pPr>
        <w:rPr>
          <w:bCs/>
          <w:szCs w:val="20"/>
        </w:rPr>
      </w:pPr>
    </w:p>
    <w:p w:rsidR="005C2D42" w:rsidRPr="009C7D5D" w:rsidRDefault="005C2D42" w:rsidP="00E3403E">
      <w:pPr>
        <w:rPr>
          <w:bCs/>
          <w:sz w:val="22"/>
          <w:szCs w:val="20"/>
        </w:rPr>
      </w:pPr>
      <w:r w:rsidRPr="00E956BE">
        <w:rPr>
          <w:bCs/>
          <w:szCs w:val="20"/>
        </w:rPr>
        <w:t>ACHIEVEMENTS</w:t>
      </w:r>
      <w:r w:rsidRPr="009C7D5D">
        <w:rPr>
          <w:bCs/>
          <w:sz w:val="22"/>
          <w:szCs w:val="20"/>
        </w:rPr>
        <w:t xml:space="preserve"> IN THE 2014/15 BIENNIUM</w:t>
      </w:r>
    </w:p>
    <w:p w:rsidR="005C2D42" w:rsidRDefault="005C2D42" w:rsidP="00E3403E">
      <w:pPr>
        <w:spacing w:line="276" w:lineRule="auto"/>
        <w:rPr>
          <w:rFonts w:eastAsiaTheme="minorHAnsi" w:cs="Arial"/>
          <w:szCs w:val="20"/>
        </w:rPr>
      </w:pPr>
    </w:p>
    <w:p w:rsidR="005C2D42" w:rsidRDefault="005C2D42" w:rsidP="005C2D42">
      <w:pPr>
        <w:pStyle w:val="ListParagraph"/>
        <w:numPr>
          <w:ilvl w:val="0"/>
          <w:numId w:val="84"/>
        </w:numPr>
        <w:tabs>
          <w:tab w:val="left" w:pos="709"/>
        </w:tabs>
        <w:autoSpaceDE w:val="0"/>
        <w:autoSpaceDN w:val="0"/>
        <w:adjustRightInd w:val="0"/>
        <w:ind w:left="0" w:firstLine="0"/>
        <w:jc w:val="both"/>
        <w:rPr>
          <w:rFonts w:eastAsiaTheme="minorHAnsi" w:cs="Arial"/>
          <w:color w:val="000000"/>
        </w:rPr>
      </w:pPr>
      <w:r>
        <w:rPr>
          <w:rFonts w:eastAsiaTheme="minorHAnsi" w:cs="Arial"/>
          <w:color w:val="000000"/>
        </w:rPr>
        <w:t>In 2014/15, the WIPO Academy initiated the implementation of a reform process and repositioning itself as the core entity in WIPO for providing professional training, education and capacity</w:t>
      </w:r>
      <w:r>
        <w:rPr>
          <w:rFonts w:eastAsiaTheme="minorHAnsi" w:cs="Arial"/>
          <w:color w:val="000000"/>
        </w:rPr>
        <w:noBreakHyphen/>
        <w:t>building on IP for government officials and other stakeholders.</w:t>
      </w:r>
      <w:r w:rsidDel="00D411D9">
        <w:rPr>
          <w:rFonts w:eastAsiaTheme="minorHAnsi" w:cs="Arial"/>
          <w:color w:val="000000"/>
        </w:rPr>
        <w:t xml:space="preserve"> </w:t>
      </w:r>
      <w:r>
        <w:rPr>
          <w:rFonts w:eastAsiaTheme="minorHAnsi" w:cs="Arial"/>
          <w:color w:val="000000"/>
        </w:rPr>
        <w:t xml:space="preserve"> Throughout this process, the WIPO Academy endeavored to maintain </w:t>
      </w:r>
      <w:r w:rsidRPr="00A8657C">
        <w:rPr>
          <w:rFonts w:eastAsiaTheme="minorHAnsi" w:cs="Arial"/>
          <w:color w:val="000000"/>
        </w:rPr>
        <w:t>the quantity, quality and frequency of the training programs regularly provided in order to meet the ongoing training obligations with partners; to respond to new and urgent training requests of Member States and other stakeholders; and to preserve the continuum of the training provided.</w:t>
      </w:r>
      <w:r>
        <w:rPr>
          <w:rFonts w:eastAsiaTheme="minorHAnsi" w:cs="Arial"/>
          <w:color w:val="000000"/>
        </w:rPr>
        <w:t xml:space="preserve">  During the biennium, some 80,000 persons benefited from its programs and activities.  </w:t>
      </w:r>
    </w:p>
    <w:p w:rsidR="005C2D42" w:rsidRDefault="005C2D42" w:rsidP="00E3403E">
      <w:pPr>
        <w:autoSpaceDE w:val="0"/>
        <w:autoSpaceDN w:val="0"/>
        <w:adjustRightInd w:val="0"/>
        <w:spacing w:line="240" w:lineRule="exact"/>
        <w:contextualSpacing/>
        <w:jc w:val="both"/>
        <w:rPr>
          <w:rFonts w:eastAsiaTheme="minorHAnsi" w:cs="Arial"/>
          <w:color w:val="000000"/>
          <w:szCs w:val="20"/>
        </w:rPr>
      </w:pPr>
    </w:p>
    <w:p w:rsidR="005C2D42" w:rsidRDefault="005C2D42" w:rsidP="005C2D42">
      <w:pPr>
        <w:pStyle w:val="ListParagraph"/>
        <w:numPr>
          <w:ilvl w:val="0"/>
          <w:numId w:val="84"/>
        </w:numPr>
        <w:tabs>
          <w:tab w:val="left" w:pos="709"/>
        </w:tabs>
        <w:autoSpaceDE w:val="0"/>
        <w:autoSpaceDN w:val="0"/>
        <w:adjustRightInd w:val="0"/>
        <w:ind w:left="0" w:firstLine="0"/>
        <w:jc w:val="both"/>
        <w:rPr>
          <w:rFonts w:eastAsiaTheme="minorHAnsi" w:cs="Arial"/>
          <w:color w:val="000000"/>
        </w:rPr>
      </w:pPr>
      <w:r w:rsidRPr="00EB6E3A">
        <w:rPr>
          <w:rFonts w:eastAsiaTheme="minorHAnsi" w:cs="Arial"/>
          <w:color w:val="000000"/>
        </w:rPr>
        <w:t>The design, planning and implementation of activities by Program 11 continued to be guided by the relevant DA Recommendations in 2014/15. The Academy programs were development-oriented and responsive to stakeholder demands (Recommendation 1) and sought to introduce IP at different academic levels with a view to generating greater public aware</w:t>
      </w:r>
      <w:r>
        <w:rPr>
          <w:rFonts w:eastAsiaTheme="minorHAnsi" w:cs="Arial"/>
          <w:color w:val="000000"/>
        </w:rPr>
        <w:t>ness on IP (Recommendation 3). </w:t>
      </w:r>
    </w:p>
    <w:p w:rsidR="005C2D42" w:rsidRPr="00EB6E3A" w:rsidRDefault="005C2D42" w:rsidP="00E3403E">
      <w:pPr>
        <w:pStyle w:val="ListParagraph"/>
        <w:tabs>
          <w:tab w:val="left" w:pos="709"/>
        </w:tabs>
        <w:autoSpaceDE w:val="0"/>
        <w:autoSpaceDN w:val="0"/>
        <w:adjustRightInd w:val="0"/>
        <w:ind w:left="0"/>
        <w:jc w:val="both"/>
        <w:rPr>
          <w:rFonts w:eastAsiaTheme="minorHAnsi" w:cs="Arial"/>
          <w:color w:val="000000"/>
        </w:rPr>
      </w:pPr>
    </w:p>
    <w:p w:rsidR="005C2D42" w:rsidRDefault="005C2D42" w:rsidP="005C2D42">
      <w:pPr>
        <w:pStyle w:val="ListParagraph"/>
        <w:numPr>
          <w:ilvl w:val="0"/>
          <w:numId w:val="84"/>
        </w:numPr>
        <w:tabs>
          <w:tab w:val="left" w:pos="709"/>
        </w:tabs>
        <w:autoSpaceDE w:val="0"/>
        <w:autoSpaceDN w:val="0"/>
        <w:adjustRightInd w:val="0"/>
        <w:ind w:left="0" w:firstLine="0"/>
        <w:jc w:val="both"/>
        <w:rPr>
          <w:rFonts w:eastAsiaTheme="minorHAnsi" w:cs="Arial"/>
          <w:color w:val="000000"/>
        </w:rPr>
      </w:pPr>
      <w:r w:rsidRPr="00C432D5">
        <w:rPr>
          <w:rFonts w:eastAsiaTheme="minorHAnsi" w:cs="Arial"/>
          <w:color w:val="000000"/>
        </w:rPr>
        <w:t xml:space="preserve">With regard to the Professional Development Program (PDP), in 2014/15, some 35 training courses were offered jointly with 22 partner institutions in Algeria, Austria, Brazil, Cameroon, Canada, Costa Rica, Finland, France, Germany, Indonesia, Israel, Malaysia, Mexico, Morocco, Norway, Paraguay, Peru, Spain, Switzerland, and the United Kingdom, as well as the World Trade Organization (WTO) and the </w:t>
      </w:r>
      <w:r w:rsidRPr="00160F1D">
        <w:rPr>
          <w:rFonts w:eastAsiaTheme="minorHAnsi" w:cs="Arial"/>
          <w:i/>
          <w:color w:val="000000"/>
        </w:rPr>
        <w:t xml:space="preserve">Centre d’Etudes Internationales de la Propriété </w:t>
      </w:r>
      <w:r>
        <w:rPr>
          <w:rFonts w:eastAsiaTheme="minorHAnsi" w:cs="Arial"/>
          <w:i/>
          <w:color w:val="000000"/>
        </w:rPr>
        <w:t>I</w:t>
      </w:r>
      <w:r w:rsidRPr="00160F1D">
        <w:rPr>
          <w:rFonts w:eastAsiaTheme="minorHAnsi" w:cs="Arial"/>
          <w:i/>
          <w:color w:val="000000"/>
        </w:rPr>
        <w:t>ntellectuelle</w:t>
      </w:r>
      <w:r w:rsidRPr="00C432D5">
        <w:rPr>
          <w:rFonts w:eastAsiaTheme="minorHAnsi" w:cs="Arial"/>
          <w:color w:val="000000"/>
        </w:rPr>
        <w:t xml:space="preserve"> (CEIPI), in Strasbourg, France.  The courses covered </w:t>
      </w:r>
      <w:r w:rsidRPr="00160F1D">
        <w:rPr>
          <w:rFonts w:eastAsiaTheme="minorHAnsi" w:cs="Arial"/>
          <w:i/>
          <w:color w:val="000000"/>
        </w:rPr>
        <w:t>inter alia</w:t>
      </w:r>
      <w:r w:rsidRPr="00C432D5">
        <w:rPr>
          <w:rFonts w:eastAsiaTheme="minorHAnsi" w:cs="Arial"/>
          <w:color w:val="000000"/>
        </w:rPr>
        <w:t xml:space="preserve"> patents, trademarks, copyright and related rights, collective management of copyright and related rights, IP for policy makers, </w:t>
      </w:r>
      <w:r>
        <w:rPr>
          <w:rFonts w:eastAsiaTheme="minorHAnsi" w:cs="Arial"/>
          <w:color w:val="000000"/>
        </w:rPr>
        <w:t>as well as</w:t>
      </w:r>
      <w:r w:rsidRPr="00C432D5">
        <w:rPr>
          <w:rFonts w:eastAsiaTheme="minorHAnsi" w:cs="Arial"/>
          <w:color w:val="000000"/>
        </w:rPr>
        <w:t xml:space="preserve"> transfer of technology and licensing.  Since 2012, and upon the request of Member States, efforts have been made to provide training on more specific topics such as patent examination in the fields of pharmaceuticals and biotechnology.  </w:t>
      </w:r>
    </w:p>
    <w:p w:rsidR="005C2D42" w:rsidRDefault="005C2D42" w:rsidP="00E3403E">
      <w:pPr>
        <w:pStyle w:val="ListParagraph"/>
        <w:tabs>
          <w:tab w:val="left" w:pos="709"/>
        </w:tabs>
        <w:autoSpaceDE w:val="0"/>
        <w:autoSpaceDN w:val="0"/>
        <w:adjustRightInd w:val="0"/>
        <w:ind w:left="0"/>
        <w:jc w:val="both"/>
        <w:rPr>
          <w:rFonts w:eastAsiaTheme="minorHAnsi" w:cs="Arial"/>
          <w:color w:val="000000"/>
        </w:rPr>
      </w:pPr>
    </w:p>
    <w:p w:rsidR="005C2D42" w:rsidRPr="0071226E" w:rsidRDefault="005C2D42" w:rsidP="005C2D42">
      <w:pPr>
        <w:pStyle w:val="ListParagraph"/>
        <w:numPr>
          <w:ilvl w:val="0"/>
          <w:numId w:val="84"/>
        </w:numPr>
        <w:autoSpaceDE w:val="0"/>
        <w:autoSpaceDN w:val="0"/>
        <w:adjustRightInd w:val="0"/>
        <w:ind w:left="0" w:firstLine="0"/>
        <w:jc w:val="both"/>
        <w:rPr>
          <w:rFonts w:eastAsiaTheme="minorHAnsi" w:cs="Arial"/>
          <w:color w:val="000000"/>
        </w:rPr>
      </w:pPr>
      <w:r w:rsidRPr="00C432D5">
        <w:rPr>
          <w:rFonts w:eastAsiaTheme="minorHAnsi" w:cs="Arial"/>
          <w:color w:val="000000"/>
        </w:rPr>
        <w:t xml:space="preserve">A total of </w:t>
      </w:r>
      <w:r w:rsidRPr="00151053">
        <w:rPr>
          <w:rFonts w:eastAsiaTheme="minorHAnsi" w:cs="Arial"/>
          <w:color w:val="000000"/>
        </w:rPr>
        <w:t>4</w:t>
      </w:r>
      <w:r>
        <w:rPr>
          <w:rFonts w:eastAsiaTheme="minorHAnsi" w:cs="Arial"/>
          <w:color w:val="000000"/>
        </w:rPr>
        <w:t>62</w:t>
      </w:r>
      <w:r>
        <w:rPr>
          <w:rStyle w:val="FootnoteReference"/>
          <w:rFonts w:eastAsiaTheme="minorHAnsi" w:cs="Arial"/>
          <w:color w:val="000000"/>
        </w:rPr>
        <w:footnoteReference w:id="70"/>
      </w:r>
      <w:r w:rsidRPr="00C432D5">
        <w:rPr>
          <w:rFonts w:eastAsiaTheme="minorHAnsi" w:cs="Arial"/>
          <w:color w:val="000000"/>
        </w:rPr>
        <w:t xml:space="preserve"> government officials from developing countries, LDCs and countries in transition benefited from these training courses, out of which 5</w:t>
      </w:r>
      <w:r>
        <w:rPr>
          <w:rFonts w:eastAsiaTheme="minorHAnsi" w:cs="Arial"/>
          <w:color w:val="000000"/>
        </w:rPr>
        <w:t>2</w:t>
      </w:r>
      <w:r w:rsidRPr="00C432D5">
        <w:rPr>
          <w:rFonts w:eastAsiaTheme="minorHAnsi" w:cs="Arial"/>
          <w:color w:val="000000"/>
        </w:rPr>
        <w:t xml:space="preserve"> per cent were female and 4</w:t>
      </w:r>
      <w:r>
        <w:rPr>
          <w:rFonts w:eastAsiaTheme="minorHAnsi" w:cs="Arial"/>
          <w:color w:val="000000"/>
        </w:rPr>
        <w:t>8</w:t>
      </w:r>
      <w:r w:rsidRPr="00C432D5">
        <w:rPr>
          <w:rFonts w:eastAsiaTheme="minorHAnsi" w:cs="Arial"/>
          <w:color w:val="000000"/>
        </w:rPr>
        <w:t xml:space="preserve"> per cent were male.  </w:t>
      </w:r>
    </w:p>
    <w:p w:rsidR="005C2D42" w:rsidRPr="0071226E" w:rsidRDefault="005C2D42" w:rsidP="00E3403E">
      <w:pPr>
        <w:autoSpaceDE w:val="0"/>
        <w:autoSpaceDN w:val="0"/>
        <w:adjustRightInd w:val="0"/>
        <w:jc w:val="both"/>
        <w:rPr>
          <w:rFonts w:eastAsiaTheme="minorHAnsi" w:cs="Arial"/>
          <w:color w:val="000000"/>
        </w:rPr>
      </w:pPr>
    </w:p>
    <w:tbl>
      <w:tblPr>
        <w:tblStyle w:val="TableGrid"/>
        <w:tblW w:w="959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68"/>
        <w:gridCol w:w="4622"/>
      </w:tblGrid>
      <w:tr w:rsidR="005C2D42" w:rsidTr="00E3403E">
        <w:tc>
          <w:tcPr>
            <w:tcW w:w="4968" w:type="dxa"/>
          </w:tcPr>
          <w:p w:rsidR="005C2D42" w:rsidRPr="00410768" w:rsidRDefault="005C2D42" w:rsidP="00E3403E">
            <w:pPr>
              <w:pStyle w:val="ListParagraph"/>
              <w:tabs>
                <w:tab w:val="left" w:pos="709"/>
              </w:tabs>
              <w:autoSpaceDE w:val="0"/>
              <w:autoSpaceDN w:val="0"/>
              <w:adjustRightInd w:val="0"/>
              <w:ind w:left="0"/>
              <w:jc w:val="center"/>
              <w:rPr>
                <w:rFonts w:eastAsiaTheme="minorHAnsi" w:cs="Arial"/>
                <w:i/>
                <w:color w:val="000000"/>
                <w:sz w:val="18"/>
                <w:szCs w:val="18"/>
              </w:rPr>
            </w:pPr>
            <w:r w:rsidRPr="00410768">
              <w:rPr>
                <w:rFonts w:eastAsiaTheme="minorHAnsi" w:cs="Arial"/>
                <w:i/>
                <w:color w:val="000000"/>
                <w:sz w:val="18"/>
                <w:szCs w:val="18"/>
              </w:rPr>
              <w:t>Geographical Distribution of PDP Participants (2012-2015)</w:t>
            </w:r>
          </w:p>
          <w:p w:rsidR="005C2D42" w:rsidRDefault="005C2D42" w:rsidP="00E3403E">
            <w:pPr>
              <w:pStyle w:val="ListParagraph"/>
              <w:tabs>
                <w:tab w:val="left" w:pos="709"/>
              </w:tabs>
              <w:autoSpaceDE w:val="0"/>
              <w:autoSpaceDN w:val="0"/>
              <w:adjustRightInd w:val="0"/>
              <w:ind w:left="0"/>
              <w:jc w:val="center"/>
              <w:rPr>
                <w:rFonts w:eastAsiaTheme="minorHAnsi" w:cs="Arial"/>
                <w:color w:val="000000"/>
              </w:rPr>
            </w:pPr>
            <w:r>
              <w:rPr>
                <w:rFonts w:eastAsiaTheme="minorHAnsi" w:cs="Arial"/>
                <w:noProof/>
                <w:color w:val="000000"/>
              </w:rPr>
              <w:drawing>
                <wp:inline distT="0" distB="0" distL="0" distR="0" wp14:anchorId="4A9F72EC" wp14:editId="6208B5F4">
                  <wp:extent cx="2895149" cy="2299855"/>
                  <wp:effectExtent l="0" t="0" r="635" b="5715"/>
                  <wp:docPr id="159" name="Picture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3" cstate="print">
                            <a:extLst>
                              <a:ext uri="{28A0092B-C50C-407E-A947-70E740481C1C}">
                                <a14:useLocalDpi xmlns:a14="http://schemas.microsoft.com/office/drawing/2010/main" val="0"/>
                              </a:ext>
                            </a:extLst>
                          </a:blip>
                          <a:srcRect/>
                          <a:stretch>
                            <a:fillRect/>
                          </a:stretch>
                        </pic:blipFill>
                        <pic:spPr bwMode="auto">
                          <a:xfrm>
                            <a:off x="0" y="0"/>
                            <a:ext cx="2894212" cy="2299111"/>
                          </a:xfrm>
                          <a:prstGeom prst="rect">
                            <a:avLst/>
                          </a:prstGeom>
                          <a:noFill/>
                        </pic:spPr>
                      </pic:pic>
                    </a:graphicData>
                  </a:graphic>
                </wp:inline>
              </w:drawing>
            </w:r>
          </w:p>
        </w:tc>
        <w:tc>
          <w:tcPr>
            <w:tcW w:w="4622" w:type="dxa"/>
          </w:tcPr>
          <w:p w:rsidR="005C2D42" w:rsidRPr="002369F1" w:rsidRDefault="005C2D42" w:rsidP="00E3403E">
            <w:pPr>
              <w:pStyle w:val="ListParagraph"/>
              <w:tabs>
                <w:tab w:val="left" w:pos="709"/>
              </w:tabs>
              <w:autoSpaceDE w:val="0"/>
              <w:autoSpaceDN w:val="0"/>
              <w:adjustRightInd w:val="0"/>
              <w:ind w:left="0"/>
              <w:rPr>
                <w:rFonts w:eastAsiaTheme="minorHAnsi" w:cs="Arial"/>
                <w:i/>
                <w:color w:val="000000"/>
                <w:sz w:val="18"/>
                <w:szCs w:val="18"/>
              </w:rPr>
            </w:pPr>
            <w:r>
              <w:rPr>
                <w:rFonts w:eastAsiaTheme="minorHAnsi" w:cs="Arial"/>
                <w:i/>
                <w:color w:val="000000"/>
                <w:sz w:val="18"/>
                <w:szCs w:val="18"/>
              </w:rPr>
              <w:t>Gender Breakdown of PDP Participants (2014/15)</w:t>
            </w:r>
          </w:p>
          <w:p w:rsidR="005C2D42" w:rsidRDefault="005C2D42" w:rsidP="00E3403E">
            <w:pPr>
              <w:pStyle w:val="ListParagraph"/>
              <w:tabs>
                <w:tab w:val="left" w:pos="709"/>
              </w:tabs>
              <w:autoSpaceDE w:val="0"/>
              <w:autoSpaceDN w:val="0"/>
              <w:adjustRightInd w:val="0"/>
              <w:ind w:left="0"/>
              <w:rPr>
                <w:rFonts w:eastAsiaTheme="minorHAnsi" w:cs="Arial"/>
                <w:color w:val="000000"/>
              </w:rPr>
            </w:pPr>
            <w:r>
              <w:rPr>
                <w:rFonts w:eastAsiaTheme="minorHAnsi" w:cs="Arial"/>
                <w:noProof/>
                <w:color w:val="000000"/>
              </w:rPr>
              <w:drawing>
                <wp:inline distT="0" distB="0" distL="0" distR="0" wp14:anchorId="033932E7" wp14:editId="4462728D">
                  <wp:extent cx="2516239" cy="2308860"/>
                  <wp:effectExtent l="0" t="0" r="0" b="0"/>
                  <wp:docPr id="832" name="Picture 8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4" cstate="print">
                            <a:extLst>
                              <a:ext uri="{28A0092B-C50C-407E-A947-70E740481C1C}">
                                <a14:useLocalDpi xmlns:a14="http://schemas.microsoft.com/office/drawing/2010/main" val="0"/>
                              </a:ext>
                            </a:extLst>
                          </a:blip>
                          <a:srcRect/>
                          <a:stretch>
                            <a:fillRect/>
                          </a:stretch>
                        </pic:blipFill>
                        <pic:spPr bwMode="auto">
                          <a:xfrm>
                            <a:off x="0" y="0"/>
                            <a:ext cx="2518567" cy="2310996"/>
                          </a:xfrm>
                          <a:prstGeom prst="rect">
                            <a:avLst/>
                          </a:prstGeom>
                          <a:noFill/>
                        </pic:spPr>
                      </pic:pic>
                    </a:graphicData>
                  </a:graphic>
                </wp:inline>
              </w:drawing>
            </w:r>
          </w:p>
        </w:tc>
      </w:tr>
    </w:tbl>
    <w:p w:rsidR="005C2D42" w:rsidRDefault="005C2D42" w:rsidP="00E3403E">
      <w:pPr>
        <w:pStyle w:val="ListParagraph"/>
        <w:tabs>
          <w:tab w:val="left" w:pos="709"/>
        </w:tabs>
        <w:autoSpaceDE w:val="0"/>
        <w:autoSpaceDN w:val="0"/>
        <w:adjustRightInd w:val="0"/>
        <w:ind w:left="0"/>
        <w:jc w:val="both"/>
        <w:rPr>
          <w:rFonts w:eastAsiaTheme="minorHAnsi" w:cs="Arial"/>
          <w:color w:val="000000"/>
        </w:rPr>
      </w:pPr>
    </w:p>
    <w:p w:rsidR="005C2D42" w:rsidRDefault="005C2D42" w:rsidP="005C2D42">
      <w:pPr>
        <w:pStyle w:val="ListParagraph"/>
        <w:numPr>
          <w:ilvl w:val="0"/>
          <w:numId w:val="84"/>
        </w:numPr>
        <w:tabs>
          <w:tab w:val="left" w:pos="0"/>
        </w:tabs>
        <w:autoSpaceDE w:val="0"/>
        <w:autoSpaceDN w:val="0"/>
        <w:adjustRightInd w:val="0"/>
        <w:ind w:left="0" w:firstLine="0"/>
        <w:jc w:val="both"/>
        <w:rPr>
          <w:rFonts w:eastAsiaTheme="minorHAnsi" w:cs="Arial"/>
          <w:color w:val="000000"/>
        </w:rPr>
      </w:pPr>
      <w:r w:rsidRPr="004A01E7">
        <w:rPr>
          <w:rFonts w:eastAsiaTheme="minorHAnsi" w:cs="Arial"/>
          <w:color w:val="000000"/>
        </w:rPr>
        <w:t>In 2015, the WIPO Academy conducted a Survey on Training Needs Assessment.  It received some 329 responses from public and private entities and stakeholders from some 100 Member States.  One of the most significant findings of the survey reflected that 74.8</w:t>
      </w:r>
      <w:r>
        <w:rPr>
          <w:rFonts w:eastAsiaTheme="minorHAnsi" w:cs="Arial"/>
          <w:color w:val="000000"/>
        </w:rPr>
        <w:t xml:space="preserve"> per cent</w:t>
      </w:r>
      <w:r w:rsidRPr="004A01E7">
        <w:rPr>
          <w:rFonts w:eastAsiaTheme="minorHAnsi" w:cs="Arial"/>
          <w:color w:val="000000"/>
        </w:rPr>
        <w:t xml:space="preserve"> of the respondents indicated that there were no training structures within their national entities for providing training in the field of IP and consequently </w:t>
      </w:r>
      <w:r>
        <w:rPr>
          <w:rFonts w:eastAsiaTheme="minorHAnsi" w:cs="Arial"/>
          <w:color w:val="000000"/>
        </w:rPr>
        <w:t>relied</w:t>
      </w:r>
      <w:r w:rsidRPr="004A01E7">
        <w:rPr>
          <w:rFonts w:eastAsiaTheme="minorHAnsi" w:cs="Arial"/>
          <w:color w:val="000000"/>
        </w:rPr>
        <w:t xml:space="preserve"> on WIPO for organizing and providing professional training and capacity-building in the field of IP.  </w:t>
      </w:r>
      <w:r>
        <w:rPr>
          <w:rFonts w:eastAsiaTheme="minorHAnsi" w:cs="Arial"/>
          <w:color w:val="000000"/>
        </w:rPr>
        <w:t xml:space="preserve">Accordingly, </w:t>
      </w:r>
      <w:r w:rsidRPr="004A01E7">
        <w:rPr>
          <w:rFonts w:eastAsiaTheme="minorHAnsi" w:cs="Arial"/>
          <w:color w:val="000000"/>
        </w:rPr>
        <w:t xml:space="preserve">the WIPO Academy </w:t>
      </w:r>
      <w:r>
        <w:rPr>
          <w:rFonts w:eastAsiaTheme="minorHAnsi" w:cs="Arial"/>
          <w:color w:val="000000"/>
        </w:rPr>
        <w:t xml:space="preserve">is playing a more and more important role </w:t>
      </w:r>
      <w:r w:rsidRPr="004A01E7">
        <w:rPr>
          <w:rFonts w:eastAsiaTheme="minorHAnsi" w:cs="Arial"/>
          <w:color w:val="000000"/>
        </w:rPr>
        <w:t xml:space="preserve">in identifying and responding to the training needs and requirements of the Member States. </w:t>
      </w:r>
    </w:p>
    <w:p w:rsidR="005C2D42" w:rsidRDefault="005C2D42" w:rsidP="005C2D42">
      <w:pPr>
        <w:pStyle w:val="ListParagraph"/>
        <w:numPr>
          <w:ilvl w:val="0"/>
          <w:numId w:val="84"/>
        </w:numPr>
        <w:tabs>
          <w:tab w:val="left" w:pos="0"/>
        </w:tabs>
        <w:autoSpaceDE w:val="0"/>
        <w:autoSpaceDN w:val="0"/>
        <w:adjustRightInd w:val="0"/>
        <w:ind w:left="0" w:firstLine="0"/>
        <w:jc w:val="both"/>
        <w:rPr>
          <w:rFonts w:eastAsiaTheme="minorHAnsi" w:cs="Arial"/>
          <w:color w:val="000000"/>
        </w:rPr>
      </w:pPr>
      <w:r>
        <w:rPr>
          <w:rFonts w:eastAsiaTheme="minorHAnsi" w:cs="Arial"/>
          <w:color w:val="000000"/>
        </w:rPr>
        <w:lastRenderedPageBreak/>
        <w:t>T</w:t>
      </w:r>
      <w:r w:rsidRPr="00C432D5">
        <w:rPr>
          <w:rFonts w:eastAsiaTheme="minorHAnsi" w:cs="Arial"/>
          <w:color w:val="000000"/>
        </w:rPr>
        <w:t xml:space="preserve">he catalogue of courses was revised </w:t>
      </w:r>
      <w:r>
        <w:rPr>
          <w:rFonts w:eastAsiaTheme="minorHAnsi" w:cs="Arial"/>
          <w:color w:val="000000"/>
        </w:rPr>
        <w:t xml:space="preserve">accordingly </w:t>
      </w:r>
      <w:r w:rsidRPr="00C432D5">
        <w:rPr>
          <w:rFonts w:eastAsiaTheme="minorHAnsi" w:cs="Arial"/>
          <w:color w:val="000000"/>
        </w:rPr>
        <w:t xml:space="preserve">to reflect the needs and priorities of Member States, and expanded to include the following new topics: management of IP </w:t>
      </w:r>
      <w:r>
        <w:rPr>
          <w:rFonts w:eastAsiaTheme="minorHAnsi" w:cs="Arial"/>
          <w:color w:val="000000"/>
        </w:rPr>
        <w:t>O</w:t>
      </w:r>
      <w:r w:rsidRPr="00C432D5">
        <w:rPr>
          <w:rFonts w:eastAsiaTheme="minorHAnsi" w:cs="Arial"/>
          <w:color w:val="000000"/>
        </w:rPr>
        <w:t>ffices, IP management and commerci</w:t>
      </w:r>
      <w:r>
        <w:rPr>
          <w:rFonts w:eastAsiaTheme="minorHAnsi" w:cs="Arial"/>
          <w:color w:val="000000"/>
        </w:rPr>
        <w:t xml:space="preserve">alization, IP and branding, and </w:t>
      </w:r>
      <w:r w:rsidRPr="00C432D5">
        <w:rPr>
          <w:rFonts w:eastAsiaTheme="minorHAnsi" w:cs="Arial"/>
          <w:color w:val="000000"/>
        </w:rPr>
        <w:t xml:space="preserve">transfer of technology and licensing.  Furthermore, two new courses targeting specific regional needs were also incorporated into the catalogue - one for LDCs and one for the Caribbean countries. </w:t>
      </w:r>
    </w:p>
    <w:p w:rsidR="005C2D42" w:rsidRPr="00C432D5" w:rsidRDefault="005C2D42" w:rsidP="00E3403E">
      <w:pPr>
        <w:pStyle w:val="ListParagraph"/>
        <w:tabs>
          <w:tab w:val="left" w:pos="709"/>
        </w:tabs>
        <w:autoSpaceDE w:val="0"/>
        <w:autoSpaceDN w:val="0"/>
        <w:adjustRightInd w:val="0"/>
        <w:ind w:left="0"/>
        <w:jc w:val="both"/>
        <w:rPr>
          <w:rFonts w:eastAsiaTheme="minorHAnsi" w:cs="Arial"/>
          <w:color w:val="000000"/>
        </w:rPr>
      </w:pPr>
    </w:p>
    <w:p w:rsidR="005C2D42" w:rsidRPr="00C432D5" w:rsidRDefault="005C2D42" w:rsidP="005C2D42">
      <w:pPr>
        <w:pStyle w:val="ListParagraph"/>
        <w:numPr>
          <w:ilvl w:val="0"/>
          <w:numId w:val="84"/>
        </w:numPr>
        <w:tabs>
          <w:tab w:val="left" w:pos="709"/>
        </w:tabs>
        <w:autoSpaceDE w:val="0"/>
        <w:autoSpaceDN w:val="0"/>
        <w:adjustRightInd w:val="0"/>
        <w:ind w:left="0" w:firstLine="0"/>
        <w:jc w:val="both"/>
        <w:rPr>
          <w:rFonts w:eastAsiaTheme="minorHAnsi" w:cs="Arial"/>
          <w:color w:val="000000"/>
        </w:rPr>
      </w:pPr>
      <w:r w:rsidRPr="00C432D5">
        <w:rPr>
          <w:rFonts w:eastAsiaTheme="minorHAnsi" w:cs="Arial"/>
          <w:color w:val="000000"/>
        </w:rPr>
        <w:t>As part of the reform process, a</w:t>
      </w:r>
      <w:r w:rsidRPr="00C432D5" w:rsidDel="00A07C6B">
        <w:rPr>
          <w:rFonts w:eastAsiaTheme="minorHAnsi" w:cs="Arial"/>
          <w:color w:val="000000"/>
        </w:rPr>
        <w:t xml:space="preserve"> number of Distance Learning advanced courses will </w:t>
      </w:r>
      <w:r w:rsidRPr="00C432D5">
        <w:rPr>
          <w:rFonts w:eastAsiaTheme="minorHAnsi" w:cs="Arial"/>
          <w:color w:val="000000"/>
        </w:rPr>
        <w:t xml:space="preserve">now </w:t>
      </w:r>
      <w:r w:rsidRPr="00C432D5" w:rsidDel="00A07C6B">
        <w:rPr>
          <w:rFonts w:eastAsiaTheme="minorHAnsi" w:cs="Arial"/>
          <w:color w:val="000000"/>
        </w:rPr>
        <w:t>constitute a prerequisite for participation in all of the specialized Professional Development courses for the first time as described in the catalogue of courses.</w:t>
      </w:r>
    </w:p>
    <w:p w:rsidR="005C2D42" w:rsidRPr="00F667BB" w:rsidRDefault="005C2D42" w:rsidP="00E3403E">
      <w:pPr>
        <w:spacing w:line="240" w:lineRule="atLeast"/>
        <w:contextualSpacing/>
        <w:rPr>
          <w:rFonts w:cs="Arial"/>
          <w:szCs w:val="20"/>
        </w:rPr>
      </w:pPr>
    </w:p>
    <w:p w:rsidR="005C2D42" w:rsidRPr="00C432D5" w:rsidRDefault="005C2D42" w:rsidP="005C2D42">
      <w:pPr>
        <w:pStyle w:val="ListParagraph"/>
        <w:numPr>
          <w:ilvl w:val="0"/>
          <w:numId w:val="84"/>
        </w:numPr>
        <w:tabs>
          <w:tab w:val="left" w:pos="709"/>
        </w:tabs>
        <w:autoSpaceDE w:val="0"/>
        <w:autoSpaceDN w:val="0"/>
        <w:adjustRightInd w:val="0"/>
        <w:ind w:left="0" w:firstLine="0"/>
        <w:jc w:val="both"/>
        <w:rPr>
          <w:rFonts w:eastAsiaTheme="minorHAnsi" w:cs="Arial"/>
          <w:color w:val="000000"/>
        </w:rPr>
      </w:pPr>
      <w:r w:rsidRPr="00C432D5">
        <w:rPr>
          <w:rFonts w:eastAsiaTheme="minorHAnsi" w:cs="Arial"/>
          <w:color w:val="000000"/>
        </w:rPr>
        <w:t>The Distance Learning Program (DL) continued to attract participants from a broad group of stakeholders.  In 2014/15, some 78,551 participants from 193 countries (67,809 under its general courses and 10,742 under its advanced courses), a 3.6 per cent decrease from 2012/13, benefited from the enhanced e-learning Centre (WeLC)</w:t>
      </w:r>
      <w:r>
        <w:rPr>
          <w:rFonts w:eastAsiaTheme="minorHAnsi" w:cs="Arial"/>
          <w:color w:val="000000"/>
        </w:rPr>
        <w:t>.</w:t>
      </w:r>
      <w:r w:rsidRPr="00C432D5">
        <w:rPr>
          <w:rFonts w:eastAsiaTheme="minorHAnsi" w:cs="Arial"/>
          <w:color w:val="000000"/>
        </w:rPr>
        <w:t xml:space="preserve"> </w:t>
      </w:r>
      <w:r>
        <w:rPr>
          <w:rFonts w:eastAsiaTheme="minorHAnsi" w:cs="Arial"/>
          <w:color w:val="000000"/>
        </w:rPr>
        <w:t xml:space="preserve"> </w:t>
      </w:r>
      <w:r w:rsidRPr="00C432D5">
        <w:rPr>
          <w:rFonts w:eastAsiaTheme="minorHAnsi" w:cs="Arial"/>
          <w:color w:val="000000"/>
        </w:rPr>
        <w:t xml:space="preserve">Sixty per cent of participants took Industrial Property courses covering patents, trademarks, industrial property, and geographical indications;  25 per cent </w:t>
      </w:r>
      <w:r>
        <w:rPr>
          <w:rFonts w:eastAsiaTheme="minorHAnsi" w:cs="Arial"/>
          <w:color w:val="000000"/>
        </w:rPr>
        <w:t>followed</w:t>
      </w:r>
      <w:r w:rsidRPr="00C432D5">
        <w:rPr>
          <w:rFonts w:eastAsiaTheme="minorHAnsi" w:cs="Arial"/>
          <w:color w:val="000000"/>
        </w:rPr>
        <w:t xml:space="preserve"> multidisciplinary areas of IP such as IP management and traditional knowledge; and 15 per cent took courses on copyright.  Of the courses offered in 2014/15</w:t>
      </w:r>
      <w:r w:rsidRPr="00455D21">
        <w:rPr>
          <w:rFonts w:eastAsiaTheme="minorHAnsi" w:cs="Arial"/>
          <w:color w:val="000000"/>
        </w:rPr>
        <w:t>, 92</w:t>
      </w:r>
      <w:r>
        <w:rPr>
          <w:rFonts w:eastAsiaTheme="minorHAnsi" w:cs="Arial"/>
          <w:color w:val="000000"/>
        </w:rPr>
        <w:t xml:space="preserve"> </w:t>
      </w:r>
      <w:r w:rsidRPr="00C432D5">
        <w:rPr>
          <w:rFonts w:eastAsiaTheme="minorHAnsi" w:cs="Arial"/>
          <w:color w:val="000000"/>
        </w:rPr>
        <w:t>per cent</w:t>
      </w:r>
      <w:r>
        <w:rPr>
          <w:rStyle w:val="FootnoteReference"/>
          <w:rFonts w:eastAsiaTheme="minorHAnsi" w:cs="Arial"/>
          <w:color w:val="000000"/>
        </w:rPr>
        <w:footnoteReference w:id="71"/>
      </w:r>
      <w:r w:rsidRPr="00C432D5">
        <w:rPr>
          <w:rFonts w:eastAsiaTheme="minorHAnsi" w:cs="Arial"/>
          <w:color w:val="000000"/>
        </w:rPr>
        <w:t xml:space="preserve"> were available in the six UN languages as well as Portuguese.  Women comprised 50 per cent of the beneficiaries.  </w:t>
      </w:r>
      <w:r w:rsidRPr="00B527D7">
        <w:rPr>
          <w:rFonts w:eastAsiaTheme="minorHAnsi" w:cs="Arial"/>
          <w:color w:val="000000"/>
        </w:rPr>
        <w:t xml:space="preserve">Of particular note, demand for the advanced courses from IP Offices, other governmental bodies, start-up academies and TISCs, in developing countries and LDCs, increased by </w:t>
      </w:r>
      <w:r w:rsidRPr="000139E4">
        <w:rPr>
          <w:rFonts w:eastAsiaTheme="minorHAnsi" w:cs="Arial"/>
          <w:color w:val="000000"/>
        </w:rPr>
        <w:t>138</w:t>
      </w:r>
      <w:r w:rsidRPr="00B527D7">
        <w:rPr>
          <w:rFonts w:eastAsiaTheme="minorHAnsi" w:cs="Arial"/>
          <w:color w:val="000000"/>
        </w:rPr>
        <w:t xml:space="preserve"> per cent</w:t>
      </w:r>
      <w:r w:rsidRPr="00B527D7">
        <w:rPr>
          <w:rFonts w:eastAsiaTheme="minorHAnsi" w:cs="Arial"/>
          <w:color w:val="000000"/>
          <w:vertAlign w:val="superscript"/>
        </w:rPr>
        <w:footnoteReference w:id="72"/>
      </w:r>
      <w:r w:rsidRPr="00B527D7">
        <w:rPr>
          <w:rFonts w:eastAsiaTheme="minorHAnsi" w:cs="Arial"/>
          <w:color w:val="000000"/>
          <w:vertAlign w:val="superscript"/>
        </w:rPr>
        <w:t xml:space="preserve"> </w:t>
      </w:r>
      <w:r w:rsidRPr="00B527D7">
        <w:rPr>
          <w:rFonts w:eastAsiaTheme="minorHAnsi" w:cs="Arial"/>
          <w:color w:val="000000"/>
        </w:rPr>
        <w:t xml:space="preserve">to an all-time </w:t>
      </w:r>
      <w:r w:rsidRPr="000139E4">
        <w:rPr>
          <w:rFonts w:eastAsiaTheme="minorHAnsi" w:cs="Arial"/>
          <w:color w:val="000000"/>
        </w:rPr>
        <w:t>high of 6,926 as compared to 2,907</w:t>
      </w:r>
      <w:r w:rsidRPr="00B527D7">
        <w:rPr>
          <w:rFonts w:eastAsiaTheme="minorHAnsi" w:cs="Arial"/>
          <w:color w:val="000000"/>
        </w:rPr>
        <w:t xml:space="preserve"> in the previous biennium.</w:t>
      </w:r>
      <w:r w:rsidRPr="00C432D5">
        <w:rPr>
          <w:rFonts w:eastAsiaTheme="minorHAnsi" w:cs="Arial"/>
          <w:color w:val="000000"/>
        </w:rPr>
        <w:t xml:space="preserve">  The table below shows the geographical distribution of participants in DL courses from 2012 to 2015. </w:t>
      </w:r>
    </w:p>
    <w:p w:rsidR="005C2D42" w:rsidRDefault="005C2D42" w:rsidP="00E3403E">
      <w:pPr>
        <w:pStyle w:val="ListParagraph"/>
        <w:spacing w:line="240" w:lineRule="atLeast"/>
        <w:ind w:left="0"/>
        <w:contextualSpacing/>
        <w:jc w:val="center"/>
        <w:rPr>
          <w:rFonts w:eastAsiaTheme="minorHAnsi" w:cs="Arial"/>
          <w:i/>
        </w:rPr>
      </w:pPr>
    </w:p>
    <w:p w:rsidR="005C2D42" w:rsidRPr="00624A5A" w:rsidRDefault="005C2D42" w:rsidP="00E3403E">
      <w:pPr>
        <w:pStyle w:val="ListParagraph"/>
        <w:spacing w:line="240" w:lineRule="atLeast"/>
        <w:ind w:left="0"/>
        <w:contextualSpacing/>
        <w:jc w:val="center"/>
        <w:rPr>
          <w:rFonts w:eastAsiaTheme="minorHAnsi" w:cs="Arial"/>
          <w:i/>
          <w:sz w:val="16"/>
          <w:szCs w:val="16"/>
        </w:rPr>
      </w:pPr>
      <w:r>
        <w:rPr>
          <w:rFonts w:eastAsiaTheme="minorHAnsi" w:cs="Arial"/>
          <w:i/>
          <w:sz w:val="16"/>
          <w:szCs w:val="16"/>
        </w:rPr>
        <w:t>Regional</w:t>
      </w:r>
      <w:r w:rsidRPr="00624A5A">
        <w:rPr>
          <w:rFonts w:eastAsiaTheme="minorHAnsi" w:cs="Arial"/>
          <w:i/>
          <w:sz w:val="16"/>
          <w:szCs w:val="16"/>
        </w:rPr>
        <w:t xml:space="preserve"> Distribution of Participants in Distance Learning Courses 2012-2015</w:t>
      </w:r>
      <w:r w:rsidRPr="00624A5A">
        <w:rPr>
          <w:rFonts w:eastAsiaTheme="minorHAnsi" w:cs="Arial"/>
          <w:i/>
          <w:sz w:val="16"/>
          <w:szCs w:val="16"/>
          <w:vertAlign w:val="superscript"/>
        </w:rPr>
        <w:footnoteReference w:id="73"/>
      </w:r>
    </w:p>
    <w:p w:rsidR="005C2D42" w:rsidRDefault="005C2D42" w:rsidP="00E3403E">
      <w:pPr>
        <w:pStyle w:val="ListParagraph"/>
        <w:spacing w:line="240" w:lineRule="atLeast"/>
        <w:ind w:left="0"/>
        <w:contextualSpacing/>
        <w:jc w:val="center"/>
        <w:rPr>
          <w:rFonts w:eastAsiaTheme="minorHAnsi" w:cs="Arial"/>
          <w:i/>
        </w:rPr>
      </w:pPr>
      <w:r>
        <w:rPr>
          <w:rFonts w:eastAsiaTheme="minorHAnsi" w:cs="Arial"/>
          <w:i/>
          <w:noProof/>
        </w:rPr>
        <w:drawing>
          <wp:inline distT="0" distB="0" distL="0" distR="0" wp14:anchorId="0FD172A1" wp14:editId="71274814">
            <wp:extent cx="4763132" cy="2619375"/>
            <wp:effectExtent l="0" t="0" r="0" b="0"/>
            <wp:docPr id="833" name="Picture 8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5" cstate="print">
                      <a:extLst>
                        <a:ext uri="{28A0092B-C50C-407E-A947-70E740481C1C}">
                          <a14:useLocalDpi xmlns:a14="http://schemas.microsoft.com/office/drawing/2010/main" val="0"/>
                        </a:ext>
                      </a:extLst>
                    </a:blip>
                    <a:srcRect/>
                    <a:stretch>
                      <a:fillRect/>
                    </a:stretch>
                  </pic:blipFill>
                  <pic:spPr bwMode="auto">
                    <a:xfrm>
                      <a:off x="0" y="0"/>
                      <a:ext cx="4756169" cy="2615546"/>
                    </a:xfrm>
                    <a:prstGeom prst="rect">
                      <a:avLst/>
                    </a:prstGeom>
                    <a:noFill/>
                  </pic:spPr>
                </pic:pic>
              </a:graphicData>
            </a:graphic>
          </wp:inline>
        </w:drawing>
      </w:r>
    </w:p>
    <w:p w:rsidR="005C2D42" w:rsidRDefault="005C2D42" w:rsidP="00E3403E">
      <w:pPr>
        <w:spacing w:line="240" w:lineRule="atLeast"/>
        <w:contextualSpacing/>
        <w:rPr>
          <w:rFonts w:eastAsiaTheme="minorHAnsi" w:cs="Arial"/>
          <w:i/>
        </w:rPr>
      </w:pPr>
    </w:p>
    <w:p w:rsidR="005C2D42" w:rsidRPr="00C432D5" w:rsidRDefault="005C2D42" w:rsidP="005C2D42">
      <w:pPr>
        <w:pStyle w:val="ListParagraph"/>
        <w:numPr>
          <w:ilvl w:val="0"/>
          <w:numId w:val="84"/>
        </w:numPr>
        <w:tabs>
          <w:tab w:val="left" w:pos="709"/>
        </w:tabs>
        <w:autoSpaceDE w:val="0"/>
        <w:autoSpaceDN w:val="0"/>
        <w:adjustRightInd w:val="0"/>
        <w:ind w:left="0" w:firstLine="0"/>
        <w:jc w:val="both"/>
        <w:rPr>
          <w:rFonts w:eastAsiaTheme="minorHAnsi" w:cs="Arial"/>
          <w:color w:val="000000"/>
        </w:rPr>
      </w:pPr>
      <w:r w:rsidRPr="00C432D5">
        <w:rPr>
          <w:rFonts w:eastAsiaTheme="minorHAnsi" w:cs="Arial"/>
          <w:color w:val="000000"/>
        </w:rPr>
        <w:t>In addition, two new customizations were initiated with the IP Offices of Cambodia and Viet Nam, increasing the number of languages of the general courses from 1</w:t>
      </w:r>
      <w:r>
        <w:rPr>
          <w:rFonts w:eastAsiaTheme="minorHAnsi" w:cs="Arial"/>
          <w:color w:val="000000"/>
        </w:rPr>
        <w:t>3</w:t>
      </w:r>
      <w:r>
        <w:rPr>
          <w:rStyle w:val="FootnoteReference"/>
          <w:rFonts w:eastAsiaTheme="minorHAnsi" w:cs="Arial"/>
          <w:color w:val="000000"/>
        </w:rPr>
        <w:footnoteReference w:id="74"/>
      </w:r>
      <w:r w:rsidRPr="00C432D5">
        <w:rPr>
          <w:rFonts w:eastAsiaTheme="minorHAnsi" w:cs="Arial"/>
          <w:color w:val="000000"/>
        </w:rPr>
        <w:t xml:space="preserve"> in 2013 to 1</w:t>
      </w:r>
      <w:r>
        <w:rPr>
          <w:rFonts w:eastAsiaTheme="minorHAnsi" w:cs="Arial"/>
          <w:color w:val="000000"/>
        </w:rPr>
        <w:t>5</w:t>
      </w:r>
      <w:r w:rsidRPr="00C432D5">
        <w:rPr>
          <w:rFonts w:eastAsiaTheme="minorHAnsi" w:cs="Arial"/>
          <w:color w:val="000000"/>
        </w:rPr>
        <w:t xml:space="preserve"> in 2014/15 (Arabic, Cambodian, Chinese, Croatian, </w:t>
      </w:r>
      <w:r>
        <w:rPr>
          <w:rFonts w:eastAsiaTheme="minorHAnsi" w:cs="Arial"/>
          <w:color w:val="000000"/>
        </w:rPr>
        <w:t xml:space="preserve">English, </w:t>
      </w:r>
      <w:r w:rsidRPr="00C432D5">
        <w:rPr>
          <w:rFonts w:eastAsiaTheme="minorHAnsi" w:cs="Arial"/>
          <w:color w:val="000000"/>
        </w:rPr>
        <w:t xml:space="preserve">French, German, Japanese, Korean, Portuguese, Russian, Spanish, Thai, Ukrainian, and Vietnamese).  </w:t>
      </w:r>
      <w:r>
        <w:rPr>
          <w:rFonts w:eastAsiaTheme="minorHAnsi" w:cs="Arial"/>
          <w:color w:val="000000"/>
        </w:rPr>
        <w:t>Two new DL pilot courses were launched in 2014: (i) </w:t>
      </w:r>
      <w:r w:rsidRPr="00C432D5">
        <w:rPr>
          <w:rFonts w:eastAsiaTheme="minorHAnsi" w:cs="Arial"/>
          <w:color w:val="000000"/>
        </w:rPr>
        <w:t>Intellectual Property, Traditional Knowledge and Traditional Cultural Expressions (DL-203)</w:t>
      </w:r>
      <w:r>
        <w:rPr>
          <w:rFonts w:eastAsiaTheme="minorHAnsi" w:cs="Arial"/>
          <w:color w:val="000000"/>
        </w:rPr>
        <w:t xml:space="preserve"> and (ii) </w:t>
      </w:r>
      <w:r w:rsidRPr="00C432D5">
        <w:rPr>
          <w:rFonts w:eastAsiaTheme="minorHAnsi" w:cs="Arial"/>
          <w:color w:val="000000"/>
        </w:rPr>
        <w:t>Collective Management of Copyright and Related Rights (DL-501)</w:t>
      </w:r>
      <w:r>
        <w:rPr>
          <w:rFonts w:eastAsiaTheme="minorHAnsi" w:cs="Arial"/>
          <w:color w:val="000000"/>
        </w:rPr>
        <w:t xml:space="preserve">.  </w:t>
      </w:r>
      <w:r w:rsidRPr="00C432D5">
        <w:rPr>
          <w:rFonts w:eastAsiaTheme="minorHAnsi" w:cs="Arial"/>
          <w:color w:val="000000"/>
        </w:rPr>
        <w:t xml:space="preserve">Development of the DL course on IP and Access to Medical Technologies continued in 2015, and a pilot is expected to be launched in 2016/17.  Development work was also started on several new modules, including:  (i) Copyright Licensing Including Open Source;  and (ii) Copyright Management in the Film Industry in Africa.  Tailor-made IP training courses were held in collaboration with partner IP Offices and universities in Argentina, Bulgaria, Brazil, Cambodia, China, Croatia, Egypt, Jordan, the Republic of Korea, Mexico, the Russian Federation, </w:t>
      </w:r>
      <w:r w:rsidRPr="00C432D5">
        <w:rPr>
          <w:rFonts w:eastAsiaTheme="minorHAnsi" w:cs="Arial"/>
          <w:color w:val="000000"/>
        </w:rPr>
        <w:lastRenderedPageBreak/>
        <w:t>Tunisia, Turkey, Uruguay, Viet Nam, Zambi</w:t>
      </w:r>
      <w:r>
        <w:rPr>
          <w:rFonts w:eastAsiaTheme="minorHAnsi" w:cs="Arial"/>
          <w:color w:val="000000"/>
        </w:rPr>
        <w:t>a</w:t>
      </w:r>
      <w:r w:rsidRPr="00C432D5">
        <w:rPr>
          <w:rFonts w:eastAsiaTheme="minorHAnsi" w:cs="Arial"/>
          <w:color w:val="000000"/>
        </w:rPr>
        <w:t xml:space="preserve">, Zimbabwe, the African Regional Intellectual Property Organization (ARIPO) and the </w:t>
      </w:r>
      <w:r w:rsidRPr="001039BC">
        <w:rPr>
          <w:rFonts w:eastAsiaTheme="minorHAnsi" w:cs="Arial"/>
          <w:i/>
          <w:color w:val="000000"/>
        </w:rPr>
        <w:t>Organisation Africaine de la Propriété Intellectuelle</w:t>
      </w:r>
      <w:r w:rsidRPr="00C432D5">
        <w:rPr>
          <w:rFonts w:eastAsiaTheme="minorHAnsi" w:cs="Arial"/>
          <w:color w:val="000000"/>
        </w:rPr>
        <w:t xml:space="preserve"> (OAPI).  Other enhancements to the DL Program in 2014/15 included:  (i) </w:t>
      </w:r>
      <w:r>
        <w:rPr>
          <w:rFonts w:eastAsiaTheme="minorHAnsi" w:cs="Arial"/>
          <w:color w:val="000000"/>
        </w:rPr>
        <w:t xml:space="preserve">the continued implementation of the Development Agenda recommendations through </w:t>
      </w:r>
      <w:r w:rsidRPr="00C432D5">
        <w:rPr>
          <w:rFonts w:eastAsiaTheme="minorHAnsi" w:cs="Arial"/>
          <w:color w:val="000000"/>
        </w:rPr>
        <w:t>the addition of instructional modules on flexibilities and public domain to the advanced courses</w:t>
      </w:r>
      <w:r>
        <w:rPr>
          <w:rFonts w:eastAsiaTheme="minorHAnsi" w:cs="Arial"/>
          <w:color w:val="000000"/>
        </w:rPr>
        <w:t>;</w:t>
      </w:r>
      <w:r w:rsidRPr="00C432D5">
        <w:rPr>
          <w:rFonts w:eastAsiaTheme="minorHAnsi" w:cs="Arial"/>
          <w:color w:val="000000"/>
        </w:rPr>
        <w:t xml:space="preserve"> </w:t>
      </w:r>
      <w:r>
        <w:rPr>
          <w:rFonts w:eastAsiaTheme="minorHAnsi" w:cs="Arial"/>
          <w:color w:val="000000"/>
        </w:rPr>
        <w:t xml:space="preserve"> </w:t>
      </w:r>
      <w:r w:rsidRPr="00C432D5">
        <w:rPr>
          <w:rFonts w:eastAsiaTheme="minorHAnsi" w:cs="Arial"/>
          <w:color w:val="000000"/>
        </w:rPr>
        <w:t xml:space="preserve">and (ii) the implementation of a more systematic approach to the annual course review process, with an extensive review initiated in 2014/15 (Phase I), with the results to be implemented in specific courses in 2016/17 (Phase II).   </w:t>
      </w:r>
    </w:p>
    <w:p w:rsidR="005C2D42" w:rsidRDefault="005C2D42" w:rsidP="00E3403E">
      <w:pPr>
        <w:rPr>
          <w:rFonts w:cs="Arial"/>
          <w:sz w:val="22"/>
          <w:szCs w:val="22"/>
        </w:rPr>
      </w:pPr>
    </w:p>
    <w:p w:rsidR="005C2D42" w:rsidRDefault="005C2D42" w:rsidP="005C2D42">
      <w:pPr>
        <w:pStyle w:val="ListParagraph"/>
        <w:numPr>
          <w:ilvl w:val="0"/>
          <w:numId w:val="84"/>
        </w:numPr>
        <w:tabs>
          <w:tab w:val="left" w:pos="709"/>
        </w:tabs>
        <w:autoSpaceDE w:val="0"/>
        <w:autoSpaceDN w:val="0"/>
        <w:adjustRightInd w:val="0"/>
        <w:ind w:left="0" w:firstLine="0"/>
        <w:jc w:val="both"/>
        <w:rPr>
          <w:rFonts w:eastAsiaTheme="minorHAnsi" w:cs="Arial"/>
          <w:color w:val="000000"/>
        </w:rPr>
      </w:pPr>
      <w:r w:rsidRPr="00C432D5">
        <w:rPr>
          <w:rFonts w:eastAsiaTheme="minorHAnsi" w:cs="Arial"/>
          <w:color w:val="000000"/>
        </w:rPr>
        <w:t>The Academic Institutions Program (AIP) continued to offer joint IP Law Master’s Degree courses for the benefit of nationals of developing countries and countries in transition, in cooperation with a number of universities and the financial assistance of the Government of Japan and the Government of the Republic of Korea as related to four programs.  In 2014/15, a total of 3</w:t>
      </w:r>
      <w:r>
        <w:rPr>
          <w:rFonts w:eastAsiaTheme="minorHAnsi" w:cs="Arial"/>
          <w:color w:val="000000"/>
        </w:rPr>
        <w:t>40</w:t>
      </w:r>
      <w:r w:rsidRPr="00C432D5">
        <w:rPr>
          <w:rFonts w:eastAsiaTheme="minorHAnsi" w:cs="Arial"/>
          <w:color w:val="000000"/>
        </w:rPr>
        <w:t xml:space="preserve"> persons graduated from the seven joint IP Law Master programs, of which 17</w:t>
      </w:r>
      <w:r>
        <w:rPr>
          <w:rFonts w:eastAsiaTheme="minorHAnsi" w:cs="Arial"/>
          <w:color w:val="000000"/>
        </w:rPr>
        <w:t>8</w:t>
      </w:r>
      <w:r w:rsidRPr="00C432D5">
        <w:rPr>
          <w:rFonts w:eastAsiaTheme="minorHAnsi" w:cs="Arial"/>
          <w:color w:val="000000"/>
        </w:rPr>
        <w:t> students from 75 countries received scholarships.  In the same biennium, 3</w:t>
      </w:r>
      <w:r>
        <w:rPr>
          <w:rFonts w:eastAsiaTheme="minorHAnsi" w:cs="Arial"/>
          <w:color w:val="000000"/>
        </w:rPr>
        <w:t>64</w:t>
      </w:r>
      <w:r w:rsidRPr="001039BC">
        <w:rPr>
          <w:rFonts w:eastAsiaTheme="minorHAnsi"/>
          <w:color w:val="000000"/>
          <w:vertAlign w:val="superscript"/>
        </w:rPr>
        <w:footnoteReference w:id="75"/>
      </w:r>
      <w:r w:rsidRPr="00C432D5">
        <w:rPr>
          <w:rFonts w:eastAsiaTheme="minorHAnsi" w:cs="Arial"/>
          <w:color w:val="000000"/>
        </w:rPr>
        <w:t xml:space="preserve"> new students started one of </w:t>
      </w:r>
      <w:r>
        <w:rPr>
          <w:rFonts w:eastAsiaTheme="minorHAnsi" w:cs="Arial"/>
          <w:color w:val="000000"/>
        </w:rPr>
        <w:t>the programs</w:t>
      </w:r>
      <w:r w:rsidRPr="001039BC">
        <w:rPr>
          <w:rFonts w:eastAsiaTheme="minorHAnsi"/>
          <w:color w:val="000000"/>
          <w:vertAlign w:val="superscript"/>
        </w:rPr>
        <w:footnoteReference w:id="76"/>
      </w:r>
      <w:r w:rsidRPr="00C432D5">
        <w:rPr>
          <w:rFonts w:eastAsiaTheme="minorHAnsi" w:cs="Arial"/>
          <w:color w:val="000000"/>
        </w:rPr>
        <w:t xml:space="preserve">.  The overall average pass rate for the academic year 2014/15 was 85 per cent.  </w:t>
      </w:r>
    </w:p>
    <w:p w:rsidR="005C2D42" w:rsidRDefault="005C2D42" w:rsidP="00E3403E">
      <w:pPr>
        <w:pStyle w:val="ListParagraph"/>
        <w:tabs>
          <w:tab w:val="left" w:pos="709"/>
        </w:tabs>
        <w:autoSpaceDE w:val="0"/>
        <w:autoSpaceDN w:val="0"/>
        <w:adjustRightInd w:val="0"/>
        <w:ind w:left="0"/>
        <w:jc w:val="both"/>
        <w:rPr>
          <w:rFonts w:eastAsiaTheme="minorHAnsi" w:cs="Arial"/>
          <w:color w:val="000000"/>
        </w:rPr>
      </w:pPr>
    </w:p>
    <w:p w:rsidR="005C2D42" w:rsidRPr="00C432D5" w:rsidRDefault="005C2D42" w:rsidP="005C2D42">
      <w:pPr>
        <w:pStyle w:val="ListParagraph"/>
        <w:numPr>
          <w:ilvl w:val="0"/>
          <w:numId w:val="84"/>
        </w:numPr>
        <w:tabs>
          <w:tab w:val="left" w:pos="709"/>
        </w:tabs>
        <w:autoSpaceDE w:val="0"/>
        <w:autoSpaceDN w:val="0"/>
        <w:adjustRightInd w:val="0"/>
        <w:ind w:left="0" w:firstLine="0"/>
        <w:jc w:val="both"/>
        <w:rPr>
          <w:rFonts w:eastAsiaTheme="minorHAnsi" w:cs="Arial"/>
          <w:color w:val="000000"/>
        </w:rPr>
      </w:pPr>
      <w:r>
        <w:rPr>
          <w:rFonts w:eastAsiaTheme="minorHAnsi" w:cs="Arial"/>
          <w:color w:val="000000"/>
        </w:rPr>
        <w:t>The</w:t>
      </w:r>
      <w:r w:rsidRPr="00C432D5">
        <w:rPr>
          <w:rFonts w:eastAsiaTheme="minorHAnsi" w:cs="Arial"/>
          <w:color w:val="000000"/>
        </w:rPr>
        <w:t xml:space="preserve"> Master’s Programs </w:t>
      </w:r>
      <w:r>
        <w:rPr>
          <w:rFonts w:eastAsiaTheme="minorHAnsi" w:cs="Arial"/>
          <w:color w:val="000000"/>
        </w:rPr>
        <w:t>were</w:t>
      </w:r>
      <w:r w:rsidRPr="00C432D5">
        <w:rPr>
          <w:rFonts w:eastAsiaTheme="minorHAnsi" w:cs="Arial"/>
          <w:color w:val="000000"/>
        </w:rPr>
        <w:t xml:space="preserve"> offered jointly by the WIPO Academy and respective partner universities and institutions, namely:  (i)  Africa University (AU) and ARIPO (Zimbabwe);  (ii) the Austral University and the National Industrial Property Institute of Argentina (INPI) (Argentina);  (iii) the Queensland University of Technology (QUT) (Australia);  (iv) Seoul National University (SNU) and the Korean Intellectual Property Office (KIPO) (Republic of Korea);  (v) the University of Turin and the International Training Center of the International Labour </w:t>
      </w:r>
      <w:r>
        <w:rPr>
          <w:rFonts w:eastAsiaTheme="minorHAnsi" w:cs="Arial"/>
          <w:color w:val="000000"/>
        </w:rPr>
        <w:t xml:space="preserve">Organization (ITC-ILO), Italy; </w:t>
      </w:r>
      <w:r w:rsidRPr="00C432D5">
        <w:rPr>
          <w:rFonts w:eastAsiaTheme="minorHAnsi" w:cs="Arial"/>
          <w:color w:val="000000"/>
        </w:rPr>
        <w:t>(vi) the University of Yaoundé II and OAPI (Cameroon)</w:t>
      </w:r>
      <w:r>
        <w:rPr>
          <w:rFonts w:eastAsiaTheme="minorHAnsi" w:cs="Arial"/>
          <w:color w:val="000000"/>
        </w:rPr>
        <w:t xml:space="preserve">; </w:t>
      </w:r>
      <w:r w:rsidR="00187D9B">
        <w:rPr>
          <w:rFonts w:eastAsiaTheme="minorHAnsi" w:cs="Arial"/>
          <w:color w:val="000000"/>
        </w:rPr>
        <w:t xml:space="preserve"> </w:t>
      </w:r>
      <w:r>
        <w:rPr>
          <w:rFonts w:eastAsiaTheme="minorHAnsi" w:cs="Arial"/>
          <w:color w:val="000000"/>
        </w:rPr>
        <w:t>and (vii) Haifa University, Israel</w:t>
      </w:r>
      <w:r w:rsidRPr="00C432D5">
        <w:rPr>
          <w:rFonts w:eastAsiaTheme="minorHAnsi" w:cs="Arial"/>
          <w:color w:val="000000"/>
        </w:rPr>
        <w:t xml:space="preserve">. </w:t>
      </w:r>
    </w:p>
    <w:p w:rsidR="005C2D42" w:rsidRDefault="005C2D42" w:rsidP="00E3403E">
      <w:pPr>
        <w:spacing w:after="200" w:line="240" w:lineRule="atLeast"/>
        <w:contextualSpacing/>
        <w:jc w:val="both"/>
        <w:rPr>
          <w:rFonts w:eastAsiaTheme="minorHAnsi" w:cs="Arial"/>
        </w:rPr>
      </w:pPr>
    </w:p>
    <w:p w:rsidR="005C2D42" w:rsidRDefault="005C2D42" w:rsidP="00E3403E">
      <w:pPr>
        <w:spacing w:after="200" w:line="240" w:lineRule="atLeast"/>
        <w:contextualSpacing/>
        <w:jc w:val="center"/>
        <w:rPr>
          <w:rFonts w:eastAsiaTheme="minorHAnsi" w:cs="Arial"/>
        </w:rPr>
      </w:pPr>
      <w:r>
        <w:rPr>
          <w:rFonts w:eastAsiaTheme="minorHAnsi" w:cs="Arial"/>
          <w:noProof/>
        </w:rPr>
        <w:drawing>
          <wp:inline distT="0" distB="0" distL="0" distR="0" wp14:anchorId="0B050CF2" wp14:editId="5BCE661F">
            <wp:extent cx="6071822" cy="1981200"/>
            <wp:effectExtent l="0" t="0" r="5715" b="0"/>
            <wp:docPr id="834" name="Picture 8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oint Master total.png"/>
                    <pic:cNvPicPr/>
                  </pic:nvPicPr>
                  <pic:blipFill>
                    <a:blip r:embed="rId136" cstate="print">
                      <a:extLst>
                        <a:ext uri="{28A0092B-C50C-407E-A947-70E740481C1C}">
                          <a14:useLocalDpi xmlns:a14="http://schemas.microsoft.com/office/drawing/2010/main" val="0"/>
                        </a:ext>
                      </a:extLst>
                    </a:blip>
                    <a:stretch>
                      <a:fillRect/>
                    </a:stretch>
                  </pic:blipFill>
                  <pic:spPr>
                    <a:xfrm>
                      <a:off x="0" y="0"/>
                      <a:ext cx="6071822" cy="1981200"/>
                    </a:xfrm>
                    <a:prstGeom prst="rect">
                      <a:avLst/>
                    </a:prstGeom>
                  </pic:spPr>
                </pic:pic>
              </a:graphicData>
            </a:graphic>
          </wp:inline>
        </w:drawing>
      </w:r>
    </w:p>
    <w:p w:rsidR="005C2D42" w:rsidRDefault="005C2D42" w:rsidP="00E3403E">
      <w:pPr>
        <w:spacing w:after="200" w:line="240" w:lineRule="atLeast"/>
        <w:contextualSpacing/>
        <w:jc w:val="center"/>
        <w:rPr>
          <w:rFonts w:eastAsiaTheme="minorHAnsi" w:cs="Arial"/>
        </w:rPr>
      </w:pPr>
    </w:p>
    <w:p w:rsidR="005C2D42" w:rsidRPr="00524F98" w:rsidRDefault="005C2D42" w:rsidP="005C2D42">
      <w:pPr>
        <w:pStyle w:val="ListParagraph"/>
        <w:numPr>
          <w:ilvl w:val="0"/>
          <w:numId w:val="84"/>
        </w:numPr>
        <w:spacing w:after="200" w:line="240" w:lineRule="atLeast"/>
        <w:ind w:left="0" w:firstLine="0"/>
        <w:contextualSpacing/>
        <w:jc w:val="both"/>
        <w:rPr>
          <w:rFonts w:eastAsiaTheme="minorHAnsi"/>
        </w:rPr>
      </w:pPr>
      <w:r w:rsidRPr="00524F98">
        <w:rPr>
          <w:rFonts w:eastAsiaTheme="minorHAnsi"/>
        </w:rPr>
        <w:t>Two Colloquia for Teachers of IP were organized in cooperation with the WTO in 2014 and 2015 for the benefit of 53 IP teachers (27 in 2014</w:t>
      </w:r>
      <w:r>
        <w:rPr>
          <w:rStyle w:val="FootnoteReference"/>
          <w:rFonts w:eastAsiaTheme="minorHAnsi" w:cs="Arial"/>
          <w:color w:val="000000"/>
        </w:rPr>
        <w:footnoteReference w:id="77"/>
      </w:r>
      <w:r w:rsidRPr="00524F98">
        <w:rPr>
          <w:rFonts w:eastAsiaTheme="minorHAnsi"/>
        </w:rPr>
        <w:t xml:space="preserve"> and 26 in 2015).  The Colloquia continued to offer a forum for dialogue and debate on recent developments in key IP areas and pedagogic issues.  The top research papers from 12 of the 2014 Colloquium scholars (representing Africa, Asia, Eastern Europe and Latin America) were published in 2015.  Nine individuals received WIPO fellowships to participate in the Annual Congress of the International Association for the Advancement of Teaching and Research in Intellectual Property (ATRIP). </w:t>
      </w:r>
    </w:p>
    <w:p w:rsidR="005C2D42" w:rsidRPr="00C432D5" w:rsidRDefault="005C2D42" w:rsidP="00E3403E">
      <w:pPr>
        <w:pStyle w:val="ListParagraph"/>
        <w:tabs>
          <w:tab w:val="left" w:pos="709"/>
        </w:tabs>
        <w:autoSpaceDE w:val="0"/>
        <w:autoSpaceDN w:val="0"/>
        <w:adjustRightInd w:val="0"/>
        <w:ind w:left="0"/>
        <w:jc w:val="both"/>
        <w:rPr>
          <w:rFonts w:eastAsiaTheme="minorHAnsi" w:cs="Arial"/>
          <w:color w:val="000000"/>
        </w:rPr>
      </w:pPr>
    </w:p>
    <w:p w:rsidR="005C2D42" w:rsidRPr="00C432D5" w:rsidRDefault="005C2D42" w:rsidP="005C2D42">
      <w:pPr>
        <w:pStyle w:val="ListParagraph"/>
        <w:numPr>
          <w:ilvl w:val="0"/>
          <w:numId w:val="84"/>
        </w:numPr>
        <w:tabs>
          <w:tab w:val="left" w:pos="709"/>
        </w:tabs>
        <w:autoSpaceDE w:val="0"/>
        <w:autoSpaceDN w:val="0"/>
        <w:adjustRightInd w:val="0"/>
        <w:ind w:left="0" w:firstLine="0"/>
        <w:jc w:val="both"/>
        <w:rPr>
          <w:rFonts w:eastAsiaTheme="minorHAnsi" w:cs="Arial"/>
          <w:color w:val="000000"/>
        </w:rPr>
      </w:pPr>
      <w:r w:rsidRPr="00C432D5">
        <w:rPr>
          <w:rFonts w:eastAsiaTheme="minorHAnsi" w:cs="Arial"/>
          <w:color w:val="000000"/>
        </w:rPr>
        <w:t>With assistance from WIPO in 2014/15</w:t>
      </w:r>
      <w:r>
        <w:rPr>
          <w:rFonts w:eastAsiaTheme="minorHAnsi" w:cs="Arial"/>
          <w:color w:val="000000"/>
        </w:rPr>
        <w:t>, the following new IP teaching programs were offered</w:t>
      </w:r>
      <w:r w:rsidRPr="00C432D5">
        <w:rPr>
          <w:rFonts w:eastAsiaTheme="minorHAnsi" w:cs="Arial"/>
          <w:color w:val="000000"/>
        </w:rPr>
        <w:t xml:space="preserve">: </w:t>
      </w:r>
      <w:r>
        <w:rPr>
          <w:rFonts w:eastAsiaTheme="minorHAnsi" w:cs="Arial"/>
          <w:color w:val="000000"/>
        </w:rPr>
        <w:t xml:space="preserve"> </w:t>
      </w:r>
      <w:r w:rsidRPr="00C432D5">
        <w:rPr>
          <w:rFonts w:eastAsiaTheme="minorHAnsi" w:cs="Arial"/>
          <w:color w:val="000000"/>
        </w:rPr>
        <w:t>(i)</w:t>
      </w:r>
      <w:r>
        <w:rPr>
          <w:rFonts w:eastAsiaTheme="minorHAnsi" w:cs="Arial"/>
          <w:color w:val="000000"/>
        </w:rPr>
        <w:t> </w:t>
      </w:r>
      <w:r w:rsidRPr="00C432D5">
        <w:rPr>
          <w:rFonts w:eastAsiaTheme="minorHAnsi" w:cs="Arial"/>
          <w:color w:val="000000"/>
        </w:rPr>
        <w:t>the Bangladesh Institute of Management</w:t>
      </w:r>
      <w:r>
        <w:rPr>
          <w:rFonts w:eastAsiaTheme="minorHAnsi" w:cs="Arial"/>
          <w:color w:val="000000"/>
        </w:rPr>
        <w:t xml:space="preserve"> </w:t>
      </w:r>
      <w:r w:rsidRPr="00C432D5">
        <w:rPr>
          <w:rFonts w:eastAsiaTheme="minorHAnsi" w:cs="Arial"/>
          <w:color w:val="000000"/>
        </w:rPr>
        <w:t xml:space="preserve">IP program; </w:t>
      </w:r>
      <w:r>
        <w:rPr>
          <w:rFonts w:eastAsiaTheme="minorHAnsi" w:cs="Arial"/>
          <w:color w:val="000000"/>
        </w:rPr>
        <w:t xml:space="preserve">and (ii) two new IP courses at Africa University.  Support that was provided in 2014/15, which will lead to new IP courses being offered in 2016, were:  </w:t>
      </w:r>
      <w:r w:rsidRPr="00C432D5">
        <w:rPr>
          <w:rFonts w:eastAsiaTheme="minorHAnsi" w:cs="Arial"/>
          <w:color w:val="000000"/>
        </w:rPr>
        <w:t>(i)</w:t>
      </w:r>
      <w:r>
        <w:rPr>
          <w:rFonts w:eastAsiaTheme="minorHAnsi" w:cs="Arial"/>
          <w:color w:val="000000"/>
        </w:rPr>
        <w:t> </w:t>
      </w:r>
      <w:r w:rsidRPr="00C432D5">
        <w:rPr>
          <w:rFonts w:eastAsiaTheme="minorHAnsi" w:cs="Arial"/>
          <w:color w:val="000000"/>
        </w:rPr>
        <w:t xml:space="preserve">the University of West Indies, Mona Campus (Jamaica) completed development of a new LL.M. in Intellectual Property in Creative &amp; Cultural Industries to be launched in 2016; </w:t>
      </w:r>
      <w:r>
        <w:rPr>
          <w:rFonts w:eastAsiaTheme="minorHAnsi" w:cs="Arial"/>
          <w:color w:val="000000"/>
        </w:rPr>
        <w:t xml:space="preserve"> </w:t>
      </w:r>
      <w:r w:rsidRPr="00C432D5">
        <w:rPr>
          <w:rFonts w:eastAsiaTheme="minorHAnsi" w:cs="Arial"/>
          <w:color w:val="000000"/>
        </w:rPr>
        <w:t xml:space="preserve">(ii) and the University of Botswana completed the development of a new course on </w:t>
      </w:r>
      <w:r>
        <w:rPr>
          <w:rFonts w:eastAsiaTheme="minorHAnsi" w:cs="Arial"/>
          <w:color w:val="000000"/>
        </w:rPr>
        <w:t xml:space="preserve">IP Law and Research </w:t>
      </w:r>
      <w:r w:rsidRPr="00C432D5">
        <w:rPr>
          <w:rFonts w:eastAsiaTheme="minorHAnsi" w:cs="Arial"/>
          <w:color w:val="000000"/>
        </w:rPr>
        <w:t>to be launched in 2016</w:t>
      </w:r>
      <w:r>
        <w:rPr>
          <w:rFonts w:eastAsiaTheme="minorHAnsi" w:cs="Arial"/>
          <w:color w:val="000000"/>
        </w:rPr>
        <w:t> and enhanced two courses on IP Law I and II</w:t>
      </w:r>
      <w:r w:rsidRPr="00C432D5">
        <w:rPr>
          <w:rFonts w:eastAsiaTheme="minorHAnsi" w:cs="Arial"/>
          <w:color w:val="000000"/>
        </w:rPr>
        <w:t xml:space="preserve">.  In addition, five universities enhanced their existing IP teaching programs:  (i) Buenos Aires University (Argentina);  (ii) </w:t>
      </w:r>
      <w:r w:rsidRPr="008F778B">
        <w:rPr>
          <w:rFonts w:eastAsiaTheme="minorHAnsi" w:cs="Arial"/>
          <w:i/>
          <w:color w:val="000000"/>
        </w:rPr>
        <w:t>Universidad Central de Venezuela</w:t>
      </w:r>
      <w:r w:rsidRPr="00C432D5">
        <w:rPr>
          <w:rFonts w:eastAsiaTheme="minorHAnsi" w:cs="Arial"/>
          <w:color w:val="000000"/>
        </w:rPr>
        <w:t>;  (iii)</w:t>
      </w:r>
      <w:r>
        <w:rPr>
          <w:rFonts w:eastAsiaTheme="minorHAnsi" w:cs="Arial"/>
          <w:color w:val="000000"/>
        </w:rPr>
        <w:t> </w:t>
      </w:r>
      <w:r w:rsidRPr="00C432D5">
        <w:rPr>
          <w:rFonts w:eastAsiaTheme="minorHAnsi" w:cs="Arial"/>
          <w:color w:val="000000"/>
        </w:rPr>
        <w:t xml:space="preserve">University of Alicante (Spain);  (iv) Universitas Padjadjaran (Indonesia);  and (v) University of </w:t>
      </w:r>
      <w:r w:rsidRPr="00C432D5">
        <w:rPr>
          <w:rFonts w:eastAsiaTheme="minorHAnsi" w:cs="Arial"/>
          <w:color w:val="000000"/>
        </w:rPr>
        <w:lastRenderedPageBreak/>
        <w:t>Indonesia.  In addition, 13 IP seminars for 309 graduate students, government officials and parliamentarians were organized at WIPO headquarters.  Lastly, two national symposia on IP education (Botswana and China) and one sub-regional Roundtable on IP Teaching, Training and Research for the Caribbean region were organized in cooperation with host governments.  In 2014/15, new partnership requests were received by the Academy and were examined in line with the new policy established in this respect.</w:t>
      </w:r>
    </w:p>
    <w:p w:rsidR="005C2D42" w:rsidRPr="00F3482A" w:rsidRDefault="005C2D42" w:rsidP="00E3403E">
      <w:pPr>
        <w:pStyle w:val="ListParagraph"/>
        <w:tabs>
          <w:tab w:val="left" w:pos="709"/>
        </w:tabs>
        <w:autoSpaceDE w:val="0"/>
        <w:autoSpaceDN w:val="0"/>
        <w:adjustRightInd w:val="0"/>
        <w:ind w:left="0"/>
        <w:jc w:val="both"/>
        <w:rPr>
          <w:rFonts w:eastAsiaTheme="minorHAnsi"/>
          <w:color w:val="000000"/>
        </w:rPr>
      </w:pPr>
    </w:p>
    <w:p w:rsidR="005C2D42" w:rsidRPr="00C432D5" w:rsidRDefault="005C2D42" w:rsidP="005C2D42">
      <w:pPr>
        <w:pStyle w:val="ListParagraph"/>
        <w:numPr>
          <w:ilvl w:val="0"/>
          <w:numId w:val="84"/>
        </w:numPr>
        <w:tabs>
          <w:tab w:val="left" w:pos="709"/>
        </w:tabs>
        <w:autoSpaceDE w:val="0"/>
        <w:autoSpaceDN w:val="0"/>
        <w:adjustRightInd w:val="0"/>
        <w:ind w:left="0" w:firstLine="0"/>
        <w:jc w:val="both"/>
        <w:rPr>
          <w:rFonts w:eastAsiaTheme="minorHAnsi" w:cs="Arial"/>
          <w:color w:val="000000"/>
        </w:rPr>
      </w:pPr>
      <w:r w:rsidRPr="00C432D5">
        <w:rPr>
          <w:rFonts w:eastAsiaTheme="minorHAnsi" w:cs="Arial"/>
          <w:color w:val="000000"/>
        </w:rPr>
        <w:t>In 2014/15, the Academy organized 19 sessions of the WIPO Summer Schools (WSS) Program in three languages (English, Russian and Spanish) with 12 national institutions in Chile, China, Croatia, India, Jamaica, Mexico, Republic of Korea, the Russian Federation, Singapore, South Africa, Switzerland and the United States of America.  Some 689 participants from 80 countries participated in the WSS, with the majority of participants coming from Latin America and the Caribbean (300 participants or 43</w:t>
      </w:r>
      <w:r>
        <w:rPr>
          <w:rFonts w:eastAsiaTheme="minorHAnsi" w:cs="Arial"/>
          <w:color w:val="000000"/>
        </w:rPr>
        <w:t> </w:t>
      </w:r>
      <w:r w:rsidRPr="00C432D5">
        <w:rPr>
          <w:rFonts w:eastAsiaTheme="minorHAnsi" w:cs="Arial"/>
          <w:color w:val="000000"/>
        </w:rPr>
        <w:t>per</w:t>
      </w:r>
      <w:r>
        <w:rPr>
          <w:rFonts w:eastAsiaTheme="minorHAnsi" w:cs="Arial"/>
          <w:color w:val="000000"/>
        </w:rPr>
        <w:t> </w:t>
      </w:r>
      <w:r w:rsidRPr="00C432D5">
        <w:rPr>
          <w:rFonts w:eastAsiaTheme="minorHAnsi" w:cs="Arial"/>
          <w:color w:val="000000"/>
        </w:rPr>
        <w:t>cent), followed by participants from Asia and the Pacific (190 participants or 28 per cent).   A</w:t>
      </w:r>
      <w:r>
        <w:rPr>
          <w:rFonts w:eastAsiaTheme="minorHAnsi" w:cs="Arial"/>
          <w:color w:val="000000"/>
        </w:rPr>
        <w:t> </w:t>
      </w:r>
      <w:r w:rsidRPr="00C432D5">
        <w:rPr>
          <w:rFonts w:eastAsiaTheme="minorHAnsi" w:cs="Arial"/>
          <w:color w:val="000000"/>
        </w:rPr>
        <w:t xml:space="preserve">further 20 per cent were from Europe and </w:t>
      </w:r>
      <w:r>
        <w:rPr>
          <w:rFonts w:eastAsiaTheme="minorHAnsi" w:cs="Arial"/>
          <w:color w:val="000000"/>
        </w:rPr>
        <w:t>nine</w:t>
      </w:r>
      <w:r w:rsidRPr="00C432D5">
        <w:rPr>
          <w:rFonts w:eastAsiaTheme="minorHAnsi" w:cs="Arial"/>
          <w:color w:val="000000"/>
        </w:rPr>
        <w:t xml:space="preserve"> per cent from Africa.  </w:t>
      </w:r>
      <w:r>
        <w:rPr>
          <w:rFonts w:eastAsiaTheme="minorHAnsi" w:cs="Arial"/>
          <w:color w:val="000000"/>
        </w:rPr>
        <w:t>O</w:t>
      </w:r>
      <w:r w:rsidRPr="00C432D5">
        <w:rPr>
          <w:rFonts w:eastAsiaTheme="minorHAnsi" w:cs="Arial"/>
          <w:color w:val="000000"/>
        </w:rPr>
        <w:t xml:space="preserve">f the 689 participants in 2014/15, 390 or 57 per cent were female, and 299 or 43 per cent were male.  Scholarships were provided by the Government of Japan to 20 participants for the sessions in South Africa and by the Government of the Republic of Korea to 16 participants for the sessions in the Republic of Korea.  Summer school sessions continued to be developed in rotation taking into consideration geographical balance.  </w:t>
      </w:r>
    </w:p>
    <w:p w:rsidR="005C2D42" w:rsidRDefault="005C2D42" w:rsidP="00E3403E">
      <w:pPr>
        <w:spacing w:after="200" w:line="240" w:lineRule="atLeast"/>
        <w:contextualSpacing/>
        <w:jc w:val="both"/>
        <w:rPr>
          <w:rFonts w:eastAsiaTheme="minorHAnsi" w:cs="Arial"/>
        </w:rPr>
      </w:pPr>
    </w:p>
    <w:p w:rsidR="005C2D42" w:rsidRDefault="005C2D42" w:rsidP="00E3403E">
      <w:pPr>
        <w:spacing w:line="240" w:lineRule="atLeast"/>
        <w:contextualSpacing/>
        <w:jc w:val="both"/>
        <w:rPr>
          <w:rFonts w:eastAsiaTheme="minorHAnsi" w:cs="Arial"/>
        </w:rPr>
      </w:pPr>
    </w:p>
    <w:p w:rsidR="005C2D42" w:rsidRPr="00D830CA" w:rsidRDefault="005C2D42" w:rsidP="00E3403E">
      <w:pPr>
        <w:pStyle w:val="Caption"/>
        <w:keepNext/>
        <w:jc w:val="center"/>
        <w:rPr>
          <w:b w:val="0"/>
          <w:i/>
          <w:sz w:val="20"/>
        </w:rPr>
      </w:pPr>
      <w:r w:rsidRPr="00D830CA">
        <w:rPr>
          <w:b w:val="0"/>
          <w:i/>
          <w:sz w:val="20"/>
        </w:rPr>
        <w:t>Participants in the WIPO Summer School Programs in 2014 and 2015 (by gender)</w:t>
      </w:r>
    </w:p>
    <w:p w:rsidR="005C2D42" w:rsidRDefault="005C2D42" w:rsidP="00E3403E">
      <w:pPr>
        <w:spacing w:after="200" w:line="240" w:lineRule="atLeast"/>
        <w:contextualSpacing/>
        <w:jc w:val="center"/>
        <w:rPr>
          <w:rFonts w:eastAsiaTheme="minorHAnsi" w:cs="Arial"/>
        </w:rPr>
      </w:pPr>
      <w:r>
        <w:rPr>
          <w:rFonts w:eastAsiaTheme="minorHAnsi" w:cs="Arial"/>
          <w:noProof/>
        </w:rPr>
        <w:drawing>
          <wp:inline distT="0" distB="0" distL="0" distR="0" wp14:anchorId="183094AC" wp14:editId="1AC4430F">
            <wp:extent cx="5258286" cy="3028950"/>
            <wp:effectExtent l="0" t="0" r="0" b="0"/>
            <wp:docPr id="835" name="Picture 8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415mf.png"/>
                    <pic:cNvPicPr/>
                  </pic:nvPicPr>
                  <pic:blipFill>
                    <a:blip r:embed="rId137" cstate="print">
                      <a:extLst>
                        <a:ext uri="{28A0092B-C50C-407E-A947-70E740481C1C}">
                          <a14:useLocalDpi xmlns:a14="http://schemas.microsoft.com/office/drawing/2010/main" val="0"/>
                        </a:ext>
                      </a:extLst>
                    </a:blip>
                    <a:stretch>
                      <a:fillRect/>
                    </a:stretch>
                  </pic:blipFill>
                  <pic:spPr>
                    <a:xfrm>
                      <a:off x="0" y="0"/>
                      <a:ext cx="5261922" cy="3031045"/>
                    </a:xfrm>
                    <a:prstGeom prst="rect">
                      <a:avLst/>
                    </a:prstGeom>
                  </pic:spPr>
                </pic:pic>
              </a:graphicData>
            </a:graphic>
          </wp:inline>
        </w:drawing>
      </w:r>
    </w:p>
    <w:p w:rsidR="005C2D42" w:rsidRDefault="005C2D42" w:rsidP="00E3403E">
      <w:pPr>
        <w:spacing w:after="200" w:line="240" w:lineRule="atLeast"/>
        <w:contextualSpacing/>
        <w:jc w:val="both"/>
        <w:rPr>
          <w:rFonts w:eastAsiaTheme="minorHAnsi" w:cs="Arial"/>
        </w:rPr>
      </w:pPr>
    </w:p>
    <w:p w:rsidR="005C2D42" w:rsidRDefault="005C2D42" w:rsidP="005C2D42">
      <w:pPr>
        <w:pStyle w:val="ListParagraph"/>
        <w:numPr>
          <w:ilvl w:val="0"/>
          <w:numId w:val="84"/>
        </w:numPr>
        <w:tabs>
          <w:tab w:val="left" w:pos="709"/>
        </w:tabs>
        <w:autoSpaceDE w:val="0"/>
        <w:autoSpaceDN w:val="0"/>
        <w:adjustRightInd w:val="0"/>
        <w:ind w:left="0" w:firstLine="0"/>
        <w:jc w:val="both"/>
        <w:rPr>
          <w:rFonts w:eastAsiaTheme="minorHAnsi" w:cs="Arial"/>
          <w:color w:val="000000"/>
        </w:rPr>
      </w:pPr>
      <w:r w:rsidRPr="00C432D5">
        <w:rPr>
          <w:rFonts w:eastAsiaTheme="minorHAnsi" w:cs="Arial"/>
          <w:color w:val="000000"/>
        </w:rPr>
        <w:t xml:space="preserve">In 2014, the start-up academies project was mainstreamed into the WIPO Academy’s regular </w:t>
      </w:r>
      <w:r>
        <w:rPr>
          <w:rFonts w:eastAsiaTheme="minorHAnsi" w:cs="Arial"/>
          <w:color w:val="000000"/>
        </w:rPr>
        <w:t>programs</w:t>
      </w:r>
      <w:r w:rsidRPr="00C432D5">
        <w:rPr>
          <w:rFonts w:eastAsiaTheme="minorHAnsi" w:cs="Arial"/>
          <w:color w:val="000000"/>
        </w:rPr>
        <w:t xml:space="preserve"> following approval by the </w:t>
      </w:r>
      <w:r>
        <w:rPr>
          <w:rFonts w:eastAsiaTheme="minorHAnsi" w:cs="Arial"/>
          <w:color w:val="000000"/>
        </w:rPr>
        <w:t>fourteenth</w:t>
      </w:r>
      <w:r w:rsidRPr="00C432D5">
        <w:rPr>
          <w:rFonts w:eastAsiaTheme="minorHAnsi" w:cs="Arial"/>
          <w:color w:val="000000"/>
        </w:rPr>
        <w:t xml:space="preserve"> Session of the CDIP of an independent evaluation of the </w:t>
      </w:r>
      <w:r>
        <w:rPr>
          <w:rFonts w:eastAsiaTheme="minorHAnsi" w:cs="Arial"/>
          <w:color w:val="000000"/>
        </w:rPr>
        <w:t>p</w:t>
      </w:r>
      <w:r w:rsidRPr="00C432D5">
        <w:rPr>
          <w:rFonts w:eastAsiaTheme="minorHAnsi" w:cs="Arial"/>
          <w:color w:val="000000"/>
        </w:rPr>
        <w:t xml:space="preserve">roject.  Cooperation continued, throughout the biennium with the six </w:t>
      </w:r>
      <w:r>
        <w:rPr>
          <w:rFonts w:eastAsiaTheme="minorHAnsi" w:cs="Arial"/>
          <w:color w:val="000000"/>
        </w:rPr>
        <w:t>s</w:t>
      </w:r>
      <w:r w:rsidRPr="00C432D5">
        <w:rPr>
          <w:rFonts w:eastAsiaTheme="minorHAnsi" w:cs="Arial"/>
          <w:color w:val="000000"/>
        </w:rPr>
        <w:t xml:space="preserve">tart-up </w:t>
      </w:r>
      <w:r>
        <w:rPr>
          <w:rFonts w:eastAsiaTheme="minorHAnsi" w:cs="Arial"/>
          <w:color w:val="000000"/>
        </w:rPr>
        <w:t>a</w:t>
      </w:r>
      <w:r w:rsidRPr="00C432D5">
        <w:rPr>
          <w:rFonts w:eastAsiaTheme="minorHAnsi" w:cs="Arial"/>
          <w:color w:val="000000"/>
        </w:rPr>
        <w:t>cademies that were established during the CDIP project phase (Colombia, Dominican Republic, Egypt, Ethiopia, Peru and Tunisia).  New agreements to establish national IP Training Centers (</w:t>
      </w:r>
      <w:r>
        <w:rPr>
          <w:rFonts w:eastAsiaTheme="minorHAnsi" w:cs="Arial"/>
          <w:color w:val="000000"/>
        </w:rPr>
        <w:t>s</w:t>
      </w:r>
      <w:r w:rsidRPr="00C432D5">
        <w:rPr>
          <w:rFonts w:eastAsiaTheme="minorHAnsi" w:cs="Arial"/>
          <w:color w:val="000000"/>
        </w:rPr>
        <w:t>tart-</w:t>
      </w:r>
      <w:r>
        <w:rPr>
          <w:rFonts w:eastAsiaTheme="minorHAnsi" w:cs="Arial"/>
          <w:color w:val="000000"/>
        </w:rPr>
        <w:t>u</w:t>
      </w:r>
      <w:r w:rsidRPr="00C432D5">
        <w:rPr>
          <w:rFonts w:eastAsiaTheme="minorHAnsi" w:cs="Arial"/>
          <w:color w:val="000000"/>
        </w:rPr>
        <w:t xml:space="preserve">p </w:t>
      </w:r>
      <w:r>
        <w:rPr>
          <w:rFonts w:eastAsiaTheme="minorHAnsi" w:cs="Arial"/>
          <w:color w:val="000000"/>
        </w:rPr>
        <w:t>a</w:t>
      </w:r>
      <w:r w:rsidRPr="00C432D5">
        <w:rPr>
          <w:rFonts w:eastAsiaTheme="minorHAnsi" w:cs="Arial"/>
          <w:color w:val="000000"/>
        </w:rPr>
        <w:t>cademies) were signed with the Governments of Azerbaijan, Cambodia, Costa Rica, Ecuador, El Salvador, Georgia and Turkey.  Further requests from Member States seeking assistance to establis</w:t>
      </w:r>
      <w:r>
        <w:rPr>
          <w:rFonts w:eastAsiaTheme="minorHAnsi" w:cs="Arial"/>
          <w:color w:val="000000"/>
        </w:rPr>
        <w:t xml:space="preserve">h national IP Training Centers </w:t>
      </w:r>
      <w:r w:rsidRPr="00C432D5">
        <w:rPr>
          <w:rFonts w:eastAsiaTheme="minorHAnsi" w:cs="Arial"/>
          <w:color w:val="000000"/>
        </w:rPr>
        <w:t xml:space="preserve">were received in 2014/15 and will be addressed in 2016/17.  </w:t>
      </w:r>
    </w:p>
    <w:p w:rsidR="005C2D42" w:rsidRDefault="005C2D42" w:rsidP="00E3403E">
      <w:pPr>
        <w:tabs>
          <w:tab w:val="left" w:pos="709"/>
        </w:tabs>
        <w:autoSpaceDE w:val="0"/>
        <w:autoSpaceDN w:val="0"/>
        <w:adjustRightInd w:val="0"/>
        <w:jc w:val="both"/>
        <w:rPr>
          <w:rFonts w:eastAsiaTheme="minorHAnsi" w:cs="Arial"/>
          <w:color w:val="000000"/>
        </w:rPr>
      </w:pPr>
    </w:p>
    <w:p w:rsidR="005C2D42" w:rsidRDefault="005C2D42" w:rsidP="005C2D42">
      <w:pPr>
        <w:tabs>
          <w:tab w:val="left" w:pos="709"/>
        </w:tabs>
        <w:autoSpaceDE w:val="0"/>
        <w:autoSpaceDN w:val="0"/>
        <w:adjustRightInd w:val="0"/>
        <w:jc w:val="both"/>
        <w:rPr>
          <w:rFonts w:eastAsiaTheme="minorHAnsi" w:cs="Arial"/>
          <w:color w:val="000000"/>
        </w:rPr>
      </w:pPr>
    </w:p>
    <w:p w:rsidR="005C2D42" w:rsidRDefault="005C2D42" w:rsidP="005C2D42">
      <w:pPr>
        <w:tabs>
          <w:tab w:val="left" w:pos="709"/>
        </w:tabs>
        <w:autoSpaceDE w:val="0"/>
        <w:autoSpaceDN w:val="0"/>
        <w:adjustRightInd w:val="0"/>
        <w:jc w:val="both"/>
        <w:rPr>
          <w:rFonts w:eastAsiaTheme="minorHAnsi" w:cs="Arial"/>
          <w:color w:val="000000"/>
        </w:rPr>
      </w:pPr>
    </w:p>
    <w:p w:rsidR="005C2D42" w:rsidRDefault="005C2D42" w:rsidP="005C2D42">
      <w:pPr>
        <w:tabs>
          <w:tab w:val="left" w:pos="709"/>
        </w:tabs>
        <w:autoSpaceDE w:val="0"/>
        <w:autoSpaceDN w:val="0"/>
        <w:adjustRightInd w:val="0"/>
        <w:jc w:val="both"/>
        <w:rPr>
          <w:rFonts w:eastAsiaTheme="minorHAnsi" w:cs="Arial"/>
          <w:color w:val="000000"/>
        </w:rPr>
      </w:pPr>
    </w:p>
    <w:p w:rsidR="005C2D42" w:rsidRPr="00010369" w:rsidRDefault="005C2D42" w:rsidP="005C2D42">
      <w:pPr>
        <w:tabs>
          <w:tab w:val="left" w:pos="709"/>
        </w:tabs>
        <w:autoSpaceDE w:val="0"/>
        <w:autoSpaceDN w:val="0"/>
        <w:adjustRightInd w:val="0"/>
        <w:jc w:val="both"/>
        <w:rPr>
          <w:rFonts w:eastAsiaTheme="minorHAnsi" w:cs="Arial"/>
          <w:color w:val="000000"/>
        </w:rPr>
      </w:pPr>
    </w:p>
    <w:p w:rsidR="005C2D42" w:rsidRPr="00E956BE" w:rsidRDefault="005C2D42" w:rsidP="005C2D42">
      <w:pPr>
        <w:keepNext/>
        <w:keepLines/>
        <w:spacing w:after="200" w:line="240" w:lineRule="atLeast"/>
        <w:contextualSpacing/>
        <w:jc w:val="both"/>
        <w:rPr>
          <w:rFonts w:cs="Arial"/>
          <w:szCs w:val="22"/>
        </w:rPr>
      </w:pPr>
      <w:r w:rsidRPr="00E956BE">
        <w:rPr>
          <w:rFonts w:cs="Arial"/>
          <w:szCs w:val="22"/>
        </w:rPr>
        <w:lastRenderedPageBreak/>
        <w:t>PERFORMANCE DATA</w:t>
      </w:r>
    </w:p>
    <w:p w:rsidR="005C2D42" w:rsidRPr="00685E4E" w:rsidRDefault="005C2D42" w:rsidP="005C2D42">
      <w:pPr>
        <w:keepNext/>
        <w:keepLines/>
        <w:autoSpaceDE w:val="0"/>
        <w:autoSpaceDN w:val="0"/>
        <w:adjustRightInd w:val="0"/>
        <w:rPr>
          <w:rFonts w:eastAsiaTheme="minorHAnsi" w:cs="Arial"/>
          <w:color w:val="000000"/>
          <w:sz w:val="18"/>
          <w:szCs w:val="20"/>
        </w:rPr>
      </w:pPr>
    </w:p>
    <w:tbl>
      <w:tblPr>
        <w:tblW w:w="4962" w:type="pct"/>
        <w:tblInd w:w="-34"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984"/>
        <w:gridCol w:w="2694"/>
        <w:gridCol w:w="1417"/>
        <w:gridCol w:w="2411"/>
        <w:gridCol w:w="992"/>
      </w:tblGrid>
      <w:tr w:rsidR="005C2D42" w:rsidRPr="00054B91" w:rsidTr="00E3403E">
        <w:tc>
          <w:tcPr>
            <w:tcW w:w="5000" w:type="pct"/>
            <w:gridSpan w:val="5"/>
            <w:tcBorders>
              <w:top w:val="single" w:sz="4" w:space="0" w:color="auto"/>
              <w:bottom w:val="single" w:sz="4" w:space="0" w:color="auto"/>
            </w:tcBorders>
            <w:shd w:val="clear" w:color="auto" w:fill="C6D9F1" w:themeFill="text2" w:themeFillTint="33"/>
          </w:tcPr>
          <w:p w:rsidR="005C2D42" w:rsidRPr="007957CF" w:rsidRDefault="005C2D42" w:rsidP="005C2D42">
            <w:pPr>
              <w:keepNext/>
              <w:keepLines/>
              <w:spacing w:before="120" w:after="120"/>
              <w:ind w:left="1426" w:hanging="1426"/>
              <w:rPr>
                <w:rFonts w:cs="Arial"/>
                <w:sz w:val="16"/>
                <w:szCs w:val="16"/>
              </w:rPr>
            </w:pPr>
            <w:r w:rsidRPr="00054B91">
              <w:rPr>
                <w:rFonts w:cs="Arial"/>
                <w:b/>
                <w:bCs/>
                <w:sz w:val="16"/>
                <w:szCs w:val="16"/>
              </w:rPr>
              <w:t>Expected Result:</w:t>
            </w:r>
            <w:r w:rsidRPr="00054B91">
              <w:rPr>
                <w:rFonts w:cs="Arial"/>
                <w:b/>
                <w:bCs/>
                <w:sz w:val="16"/>
                <w:szCs w:val="16"/>
              </w:rPr>
              <w:tab/>
            </w:r>
            <w:r w:rsidRPr="00FC35A5">
              <w:rPr>
                <w:rFonts w:cs="Arial"/>
                <w:sz w:val="16"/>
                <w:szCs w:val="16"/>
              </w:rPr>
              <w:t>III.2 Enhanced human resource capacities able to deal with the broad range of requirements for the effective use of IP for development in developing countries, LDCs and countries with economies in transition</w:t>
            </w:r>
          </w:p>
        </w:tc>
      </w:tr>
      <w:tr w:rsidR="005C2D42" w:rsidRPr="00054B91" w:rsidTr="00E3403E">
        <w:tc>
          <w:tcPr>
            <w:tcW w:w="1045" w:type="pct"/>
            <w:tcBorders>
              <w:top w:val="single" w:sz="4" w:space="0" w:color="auto"/>
              <w:bottom w:val="nil"/>
            </w:tcBorders>
            <w:shd w:val="clear" w:color="auto" w:fill="auto"/>
          </w:tcPr>
          <w:p w:rsidR="005C2D42" w:rsidRPr="00FC35A5" w:rsidRDefault="005C2D42" w:rsidP="00E3403E">
            <w:pPr>
              <w:rPr>
                <w:rFonts w:cs="Arial"/>
                <w:sz w:val="16"/>
                <w:szCs w:val="16"/>
              </w:rPr>
            </w:pPr>
            <w:r w:rsidRPr="00477218">
              <w:rPr>
                <w:rFonts w:cs="Arial"/>
                <w:b/>
                <w:sz w:val="16"/>
                <w:szCs w:val="16"/>
              </w:rPr>
              <w:t>Performance Indicators</w:t>
            </w:r>
          </w:p>
        </w:tc>
        <w:tc>
          <w:tcPr>
            <w:tcW w:w="1418" w:type="pct"/>
            <w:tcBorders>
              <w:top w:val="single" w:sz="4" w:space="0" w:color="auto"/>
              <w:bottom w:val="nil"/>
            </w:tcBorders>
            <w:shd w:val="clear" w:color="auto" w:fill="auto"/>
          </w:tcPr>
          <w:p w:rsidR="005C2D42" w:rsidRPr="00FC35A5" w:rsidRDefault="005C2D42" w:rsidP="00E3403E">
            <w:pPr>
              <w:rPr>
                <w:rFonts w:cs="Arial"/>
                <w:sz w:val="16"/>
                <w:szCs w:val="16"/>
              </w:rPr>
            </w:pPr>
            <w:r w:rsidRPr="00477218">
              <w:rPr>
                <w:rFonts w:cs="Arial"/>
                <w:b/>
                <w:sz w:val="16"/>
                <w:szCs w:val="16"/>
              </w:rPr>
              <w:t>Baselines</w:t>
            </w:r>
          </w:p>
        </w:tc>
        <w:tc>
          <w:tcPr>
            <w:tcW w:w="746" w:type="pct"/>
            <w:tcBorders>
              <w:top w:val="single" w:sz="4" w:space="0" w:color="auto"/>
              <w:bottom w:val="nil"/>
            </w:tcBorders>
            <w:shd w:val="clear" w:color="auto" w:fill="auto"/>
            <w:tcMar>
              <w:top w:w="110" w:type="dxa"/>
            </w:tcMar>
          </w:tcPr>
          <w:p w:rsidR="005C2D42" w:rsidRPr="00FC35A5" w:rsidRDefault="005C2D42" w:rsidP="00E3403E">
            <w:pPr>
              <w:autoSpaceDE w:val="0"/>
              <w:autoSpaceDN w:val="0"/>
              <w:adjustRightInd w:val="0"/>
              <w:rPr>
                <w:rFonts w:cs="Arial"/>
                <w:sz w:val="16"/>
                <w:szCs w:val="16"/>
              </w:rPr>
            </w:pPr>
            <w:r w:rsidRPr="00976FB1">
              <w:rPr>
                <w:rFonts w:cs="Arial"/>
                <w:b/>
                <w:sz w:val="16"/>
                <w:szCs w:val="16"/>
              </w:rPr>
              <w:t>Targets</w:t>
            </w:r>
          </w:p>
        </w:tc>
        <w:tc>
          <w:tcPr>
            <w:tcW w:w="1269" w:type="pct"/>
            <w:tcBorders>
              <w:top w:val="single" w:sz="4" w:space="0" w:color="auto"/>
              <w:bottom w:val="nil"/>
            </w:tcBorders>
            <w:shd w:val="clear" w:color="auto" w:fill="FFFFFF"/>
            <w:tcMar>
              <w:top w:w="110" w:type="dxa"/>
            </w:tcMar>
          </w:tcPr>
          <w:p w:rsidR="005C2D42" w:rsidRPr="00273700" w:rsidRDefault="005C2D42" w:rsidP="00E3403E">
            <w:pPr>
              <w:rPr>
                <w:rFonts w:cs="Arial"/>
                <w:color w:val="00B0F0"/>
                <w:sz w:val="16"/>
                <w:szCs w:val="16"/>
              </w:rPr>
            </w:pPr>
            <w:r w:rsidRPr="00976FB1">
              <w:rPr>
                <w:rFonts w:cs="Arial"/>
                <w:b/>
                <w:sz w:val="16"/>
                <w:szCs w:val="16"/>
              </w:rPr>
              <w:t>Performance Data</w:t>
            </w:r>
          </w:p>
        </w:tc>
        <w:tc>
          <w:tcPr>
            <w:tcW w:w="522" w:type="pct"/>
            <w:tcBorders>
              <w:top w:val="single" w:sz="4" w:space="0" w:color="auto"/>
              <w:bottom w:val="nil"/>
            </w:tcBorders>
            <w:shd w:val="clear" w:color="auto" w:fill="auto"/>
            <w:tcMar>
              <w:top w:w="110" w:type="dxa"/>
            </w:tcMar>
          </w:tcPr>
          <w:p w:rsidR="005C2D42" w:rsidRPr="00273700" w:rsidRDefault="005C2D42" w:rsidP="00E3403E">
            <w:pPr>
              <w:jc w:val="center"/>
              <w:rPr>
                <w:rFonts w:cs="Arial"/>
                <w:b/>
                <w:bCs/>
                <w:color w:val="00B0F0"/>
                <w:sz w:val="16"/>
                <w:szCs w:val="16"/>
              </w:rPr>
            </w:pPr>
            <w:r w:rsidRPr="00477218">
              <w:rPr>
                <w:rFonts w:cs="Arial"/>
                <w:b/>
                <w:sz w:val="16"/>
                <w:szCs w:val="16"/>
              </w:rPr>
              <w:t>TLS</w:t>
            </w:r>
          </w:p>
        </w:tc>
      </w:tr>
      <w:tr w:rsidR="005C2D42" w:rsidRPr="00054B91" w:rsidTr="00E37059">
        <w:trPr>
          <w:trHeight w:val="1754"/>
        </w:trPr>
        <w:tc>
          <w:tcPr>
            <w:tcW w:w="1045" w:type="pct"/>
            <w:tcBorders>
              <w:top w:val="nil"/>
              <w:bottom w:val="nil"/>
            </w:tcBorders>
            <w:shd w:val="clear" w:color="auto" w:fill="auto"/>
          </w:tcPr>
          <w:p w:rsidR="005C2D42" w:rsidRPr="00054B91" w:rsidRDefault="005C2D42" w:rsidP="00E3403E">
            <w:pPr>
              <w:rPr>
                <w:rFonts w:cs="Arial"/>
                <w:sz w:val="16"/>
                <w:szCs w:val="16"/>
              </w:rPr>
            </w:pPr>
            <w:r w:rsidRPr="00FC35A5">
              <w:rPr>
                <w:rFonts w:cs="Arial"/>
                <w:sz w:val="16"/>
                <w:szCs w:val="16"/>
              </w:rPr>
              <w:t>Revised Portfolio of training courses on IP for developing countries, LDCs and CETs / Relevance of content of training courses to capacity building requirements of developing countries,</w:t>
            </w:r>
            <w:r w:rsidRPr="00477218">
              <w:rPr>
                <w:rFonts w:cs="Arial"/>
                <w:sz w:val="16"/>
                <w:szCs w:val="16"/>
              </w:rPr>
              <w:t xml:space="preserve"> </w:t>
            </w:r>
            <w:r w:rsidRPr="00477218">
              <w:rPr>
                <w:rFonts w:cs="Arial"/>
                <w:bCs/>
                <w:sz w:val="16"/>
                <w:szCs w:val="16"/>
              </w:rPr>
              <w:t>LDCs</w:t>
            </w:r>
            <w:r w:rsidRPr="00FC35A5">
              <w:rPr>
                <w:rFonts w:cs="Arial"/>
                <w:sz w:val="16"/>
                <w:szCs w:val="16"/>
              </w:rPr>
              <w:t xml:space="preserve"> and CETs</w:t>
            </w:r>
          </w:p>
        </w:tc>
        <w:tc>
          <w:tcPr>
            <w:tcW w:w="1418" w:type="pct"/>
            <w:tcBorders>
              <w:top w:val="nil"/>
              <w:bottom w:val="nil"/>
            </w:tcBorders>
            <w:shd w:val="clear" w:color="auto" w:fill="auto"/>
          </w:tcPr>
          <w:p w:rsidR="005C2D42" w:rsidRPr="00054B91" w:rsidRDefault="005C2D42" w:rsidP="00E3403E">
            <w:pPr>
              <w:rPr>
                <w:rFonts w:cs="Arial"/>
                <w:sz w:val="16"/>
                <w:szCs w:val="16"/>
              </w:rPr>
            </w:pPr>
            <w:r w:rsidRPr="00FC35A5">
              <w:rPr>
                <w:rFonts w:cs="Arial"/>
                <w:sz w:val="16"/>
                <w:szCs w:val="16"/>
              </w:rPr>
              <w:t>Portfolio not revised on a global basis since establishment of Academy</w:t>
            </w:r>
          </w:p>
        </w:tc>
        <w:tc>
          <w:tcPr>
            <w:tcW w:w="746" w:type="pct"/>
            <w:tcBorders>
              <w:top w:val="nil"/>
              <w:bottom w:val="nil"/>
            </w:tcBorders>
            <w:shd w:val="clear" w:color="auto" w:fill="auto"/>
            <w:tcMar>
              <w:top w:w="110" w:type="dxa"/>
            </w:tcMar>
          </w:tcPr>
          <w:p w:rsidR="005C2D42" w:rsidRPr="00054B91" w:rsidRDefault="005C2D42" w:rsidP="00E3403E">
            <w:pPr>
              <w:autoSpaceDE w:val="0"/>
              <w:autoSpaceDN w:val="0"/>
              <w:adjustRightInd w:val="0"/>
              <w:rPr>
                <w:rFonts w:cs="Arial"/>
                <w:sz w:val="16"/>
                <w:szCs w:val="16"/>
              </w:rPr>
            </w:pPr>
            <w:r w:rsidRPr="00FC35A5">
              <w:rPr>
                <w:rFonts w:cs="Arial"/>
                <w:sz w:val="16"/>
                <w:szCs w:val="16"/>
              </w:rPr>
              <w:t>Revised Portfolio available by end of biennium</w:t>
            </w:r>
          </w:p>
        </w:tc>
        <w:tc>
          <w:tcPr>
            <w:tcW w:w="1269" w:type="pct"/>
            <w:tcBorders>
              <w:top w:val="nil"/>
              <w:bottom w:val="nil"/>
            </w:tcBorders>
            <w:shd w:val="clear" w:color="auto" w:fill="FFFFFF"/>
            <w:tcMar>
              <w:top w:w="110" w:type="dxa"/>
            </w:tcMar>
          </w:tcPr>
          <w:p w:rsidR="005C2D42" w:rsidRPr="0002226C" w:rsidRDefault="005C2D42" w:rsidP="00E3403E">
            <w:pPr>
              <w:rPr>
                <w:rFonts w:cs="Arial"/>
                <w:sz w:val="16"/>
                <w:szCs w:val="16"/>
              </w:rPr>
            </w:pPr>
            <w:r>
              <w:rPr>
                <w:rFonts w:cs="Arial"/>
                <w:sz w:val="16"/>
                <w:szCs w:val="16"/>
              </w:rPr>
              <w:t>The revision of the p</w:t>
            </w:r>
            <w:r w:rsidRPr="0002226C">
              <w:rPr>
                <w:rFonts w:cs="Arial"/>
                <w:sz w:val="16"/>
                <w:szCs w:val="16"/>
              </w:rPr>
              <w:t xml:space="preserve">ortfolio of </w:t>
            </w:r>
            <w:r>
              <w:rPr>
                <w:rFonts w:cs="Arial"/>
                <w:sz w:val="16"/>
                <w:szCs w:val="16"/>
              </w:rPr>
              <w:t xml:space="preserve">training </w:t>
            </w:r>
            <w:r w:rsidRPr="0002226C">
              <w:rPr>
                <w:rFonts w:cs="Arial"/>
                <w:sz w:val="16"/>
                <w:szCs w:val="16"/>
              </w:rPr>
              <w:t xml:space="preserve">courses </w:t>
            </w:r>
            <w:r>
              <w:rPr>
                <w:rFonts w:cs="Arial"/>
                <w:sz w:val="16"/>
                <w:szCs w:val="16"/>
              </w:rPr>
              <w:t xml:space="preserve">was </w:t>
            </w:r>
            <w:r w:rsidRPr="0002226C">
              <w:rPr>
                <w:rFonts w:cs="Arial"/>
                <w:sz w:val="16"/>
                <w:szCs w:val="16"/>
              </w:rPr>
              <w:t xml:space="preserve">completed in 2015.  </w:t>
            </w:r>
            <w:r>
              <w:rPr>
                <w:rFonts w:cs="Arial"/>
                <w:sz w:val="16"/>
                <w:szCs w:val="16"/>
              </w:rPr>
              <w:t xml:space="preserve"> The</w:t>
            </w:r>
            <w:r w:rsidRPr="0002226C">
              <w:rPr>
                <w:rFonts w:cs="Arial"/>
                <w:sz w:val="16"/>
                <w:szCs w:val="16"/>
              </w:rPr>
              <w:t xml:space="preserve"> </w:t>
            </w:r>
            <w:r>
              <w:rPr>
                <w:rFonts w:cs="Arial"/>
                <w:sz w:val="16"/>
                <w:szCs w:val="16"/>
              </w:rPr>
              <w:t>portfolio</w:t>
            </w:r>
            <w:r w:rsidRPr="0002226C">
              <w:rPr>
                <w:rFonts w:cs="Arial"/>
                <w:sz w:val="16"/>
                <w:szCs w:val="16"/>
              </w:rPr>
              <w:t xml:space="preserve"> of </w:t>
            </w:r>
            <w:r>
              <w:rPr>
                <w:rFonts w:cs="Arial"/>
                <w:sz w:val="16"/>
                <w:szCs w:val="16"/>
              </w:rPr>
              <w:t xml:space="preserve">training </w:t>
            </w:r>
            <w:r w:rsidRPr="0002226C">
              <w:rPr>
                <w:rFonts w:cs="Arial"/>
                <w:sz w:val="16"/>
                <w:szCs w:val="16"/>
              </w:rPr>
              <w:t xml:space="preserve">courses </w:t>
            </w:r>
            <w:r>
              <w:rPr>
                <w:rFonts w:cs="Arial"/>
                <w:sz w:val="16"/>
                <w:szCs w:val="16"/>
              </w:rPr>
              <w:t>was</w:t>
            </w:r>
            <w:r w:rsidRPr="0002226C">
              <w:rPr>
                <w:rFonts w:cs="Arial"/>
                <w:sz w:val="16"/>
                <w:szCs w:val="16"/>
              </w:rPr>
              <w:t xml:space="preserve"> </w:t>
            </w:r>
            <w:r>
              <w:rPr>
                <w:rFonts w:cs="Arial"/>
                <w:sz w:val="16"/>
                <w:szCs w:val="16"/>
              </w:rPr>
              <w:t>revised</w:t>
            </w:r>
            <w:r w:rsidRPr="0002226C">
              <w:rPr>
                <w:rFonts w:cs="Arial"/>
                <w:sz w:val="16"/>
                <w:szCs w:val="16"/>
              </w:rPr>
              <w:t xml:space="preserve"> based on the findings of the survey on training needs conducted in 2015</w:t>
            </w:r>
            <w:r>
              <w:rPr>
                <w:rFonts w:cs="Arial"/>
                <w:sz w:val="16"/>
                <w:szCs w:val="16"/>
              </w:rPr>
              <w:t>.</w:t>
            </w:r>
          </w:p>
        </w:tc>
        <w:tc>
          <w:tcPr>
            <w:tcW w:w="522" w:type="pct"/>
            <w:tcBorders>
              <w:top w:val="nil"/>
              <w:bottom w:val="nil"/>
            </w:tcBorders>
            <w:shd w:val="clear" w:color="auto" w:fill="auto"/>
            <w:tcMar>
              <w:top w:w="110" w:type="dxa"/>
            </w:tcMar>
          </w:tcPr>
          <w:p w:rsidR="005C2D42" w:rsidRPr="0002226C" w:rsidRDefault="005C2D42" w:rsidP="00E3403E">
            <w:pPr>
              <w:jc w:val="center"/>
              <w:rPr>
                <w:rFonts w:cs="Arial"/>
                <w:b/>
                <w:bCs/>
                <w:color w:val="00B050"/>
                <w:sz w:val="16"/>
                <w:szCs w:val="16"/>
              </w:rPr>
            </w:pPr>
            <w:r w:rsidRPr="0002226C">
              <w:rPr>
                <w:rFonts w:cs="Arial"/>
                <w:b/>
                <w:bCs/>
                <w:color w:val="00B050"/>
                <w:sz w:val="16"/>
                <w:szCs w:val="16"/>
              </w:rPr>
              <w:t>Fully</w:t>
            </w:r>
          </w:p>
          <w:p w:rsidR="005C2D42" w:rsidRPr="0002226C" w:rsidRDefault="005C2D42" w:rsidP="00E3403E">
            <w:pPr>
              <w:jc w:val="center"/>
              <w:rPr>
                <w:rFonts w:cs="Arial"/>
                <w:b/>
                <w:bCs/>
                <w:sz w:val="16"/>
                <w:szCs w:val="16"/>
              </w:rPr>
            </w:pPr>
            <w:r w:rsidRPr="0002226C">
              <w:rPr>
                <w:rFonts w:cs="Arial"/>
                <w:b/>
                <w:bCs/>
                <w:color w:val="00B050"/>
                <w:sz w:val="16"/>
                <w:szCs w:val="16"/>
              </w:rPr>
              <w:t>Achieved</w:t>
            </w:r>
          </w:p>
        </w:tc>
      </w:tr>
      <w:tr w:rsidR="005C2D42" w:rsidRPr="00054B91" w:rsidTr="00E37059">
        <w:trPr>
          <w:trHeight w:val="3909"/>
        </w:trPr>
        <w:tc>
          <w:tcPr>
            <w:tcW w:w="1045" w:type="pct"/>
            <w:tcBorders>
              <w:top w:val="nil"/>
              <w:left w:val="single" w:sz="4" w:space="0" w:color="auto"/>
              <w:bottom w:val="nil"/>
            </w:tcBorders>
            <w:shd w:val="clear" w:color="auto" w:fill="auto"/>
          </w:tcPr>
          <w:p w:rsidR="005C2D42" w:rsidRPr="00AA6190" w:rsidRDefault="005C2D42" w:rsidP="00E3403E">
            <w:pPr>
              <w:rPr>
                <w:rFonts w:cs="Arial"/>
                <w:sz w:val="16"/>
                <w:szCs w:val="16"/>
              </w:rPr>
            </w:pPr>
            <w:r w:rsidRPr="00AA6190">
              <w:rPr>
                <w:rFonts w:cs="Arial"/>
                <w:sz w:val="16"/>
                <w:szCs w:val="16"/>
              </w:rPr>
              <w:t>Enhanced and multilingual access to e-learning on various IP aspects for developing countries, LDC and CETs / Relevance of content of portfolio of e-learning courses to the capacity building requirements of developing countries, LDCs and CETs</w:t>
            </w:r>
          </w:p>
          <w:p w:rsidR="005C2D42" w:rsidRDefault="005C2D42" w:rsidP="00E3403E">
            <w:pPr>
              <w:rPr>
                <w:rFonts w:cs="Arial"/>
                <w:sz w:val="16"/>
                <w:szCs w:val="16"/>
              </w:rPr>
            </w:pPr>
          </w:p>
          <w:p w:rsidR="005C2D42" w:rsidRDefault="005C2D42" w:rsidP="00E3403E">
            <w:pPr>
              <w:rPr>
                <w:rFonts w:cs="Arial"/>
                <w:sz w:val="16"/>
                <w:szCs w:val="16"/>
              </w:rPr>
            </w:pPr>
          </w:p>
          <w:p w:rsidR="005C2D42" w:rsidRDefault="005C2D42" w:rsidP="00E3403E">
            <w:pPr>
              <w:rPr>
                <w:rFonts w:cs="Arial"/>
                <w:sz w:val="16"/>
                <w:szCs w:val="16"/>
              </w:rPr>
            </w:pPr>
          </w:p>
          <w:p w:rsidR="005C2D42" w:rsidRDefault="005C2D42" w:rsidP="00E3403E">
            <w:pPr>
              <w:rPr>
                <w:rFonts w:cs="Arial"/>
                <w:sz w:val="16"/>
                <w:szCs w:val="16"/>
              </w:rPr>
            </w:pPr>
          </w:p>
          <w:p w:rsidR="005C2D42" w:rsidRDefault="005C2D42" w:rsidP="00E3403E">
            <w:pPr>
              <w:rPr>
                <w:rFonts w:cs="Arial"/>
                <w:sz w:val="16"/>
                <w:szCs w:val="16"/>
              </w:rPr>
            </w:pPr>
          </w:p>
          <w:p w:rsidR="005C2D42" w:rsidRDefault="005C2D42" w:rsidP="00E3403E">
            <w:pPr>
              <w:rPr>
                <w:rFonts w:cs="Arial"/>
                <w:sz w:val="16"/>
                <w:szCs w:val="16"/>
              </w:rPr>
            </w:pPr>
          </w:p>
          <w:p w:rsidR="005C2D42" w:rsidRDefault="005C2D42" w:rsidP="00E3403E">
            <w:pPr>
              <w:rPr>
                <w:rFonts w:cs="Arial"/>
                <w:sz w:val="16"/>
                <w:szCs w:val="16"/>
              </w:rPr>
            </w:pPr>
          </w:p>
          <w:p w:rsidR="005C2D42" w:rsidRDefault="005C2D42" w:rsidP="00E3403E">
            <w:pPr>
              <w:rPr>
                <w:rFonts w:cs="Arial"/>
                <w:sz w:val="16"/>
                <w:szCs w:val="16"/>
              </w:rPr>
            </w:pPr>
          </w:p>
          <w:p w:rsidR="005C2D42" w:rsidRPr="00AA6190" w:rsidRDefault="005C2D42" w:rsidP="00E3403E">
            <w:pPr>
              <w:rPr>
                <w:rFonts w:cs="Arial"/>
                <w:sz w:val="16"/>
                <w:szCs w:val="16"/>
              </w:rPr>
            </w:pPr>
          </w:p>
        </w:tc>
        <w:tc>
          <w:tcPr>
            <w:tcW w:w="1418" w:type="pct"/>
            <w:tcBorders>
              <w:top w:val="nil"/>
              <w:bottom w:val="nil"/>
            </w:tcBorders>
            <w:shd w:val="clear" w:color="auto" w:fill="auto"/>
          </w:tcPr>
          <w:p w:rsidR="005C2D42" w:rsidRPr="00AA6190" w:rsidRDefault="005C2D42" w:rsidP="00E3403E">
            <w:pPr>
              <w:rPr>
                <w:rFonts w:cs="Arial"/>
                <w:color w:val="002060"/>
                <w:sz w:val="16"/>
                <w:szCs w:val="16"/>
              </w:rPr>
            </w:pPr>
            <w:r w:rsidRPr="00AA6190">
              <w:rPr>
                <w:rFonts w:cs="Arial"/>
                <w:i/>
                <w:color w:val="002060"/>
                <w:sz w:val="16"/>
                <w:szCs w:val="16"/>
              </w:rPr>
              <w:t xml:space="preserve">Updated Baseline end 2013:  </w:t>
            </w:r>
          </w:p>
          <w:p w:rsidR="005C2D42" w:rsidRPr="00AA6190" w:rsidRDefault="005C2D42" w:rsidP="00E3403E">
            <w:pPr>
              <w:rPr>
                <w:rFonts w:cs="Arial"/>
                <w:color w:val="002060"/>
                <w:sz w:val="16"/>
                <w:szCs w:val="16"/>
              </w:rPr>
            </w:pPr>
            <w:r w:rsidRPr="00AA6190">
              <w:rPr>
                <w:rFonts w:cs="Arial"/>
                <w:color w:val="002060"/>
                <w:sz w:val="16"/>
                <w:szCs w:val="16"/>
              </w:rPr>
              <w:t>In 2013:</w:t>
            </w:r>
          </w:p>
          <w:p w:rsidR="005C2D42" w:rsidRPr="00AA6190" w:rsidRDefault="005C2D42" w:rsidP="005C2D42">
            <w:pPr>
              <w:pStyle w:val="ListParagraph"/>
              <w:numPr>
                <w:ilvl w:val="0"/>
                <w:numId w:val="83"/>
              </w:numPr>
              <w:ind w:left="169" w:hanging="180"/>
              <w:rPr>
                <w:rFonts w:cs="Arial"/>
                <w:color w:val="002060"/>
                <w:sz w:val="16"/>
                <w:szCs w:val="16"/>
              </w:rPr>
            </w:pPr>
            <w:r w:rsidRPr="00AA6190">
              <w:rPr>
                <w:rFonts w:cs="Arial"/>
                <w:color w:val="002060"/>
                <w:sz w:val="16"/>
                <w:szCs w:val="16"/>
              </w:rPr>
              <w:t>5 DL courses were available in all 6 UN languages plus Portuguese;</w:t>
            </w:r>
          </w:p>
          <w:p w:rsidR="005C2D42" w:rsidRPr="00AA6190" w:rsidRDefault="005C2D42" w:rsidP="005C2D42">
            <w:pPr>
              <w:pStyle w:val="ListParagraph"/>
              <w:numPr>
                <w:ilvl w:val="0"/>
                <w:numId w:val="83"/>
              </w:numPr>
              <w:ind w:left="169" w:hanging="180"/>
              <w:rPr>
                <w:rFonts w:cs="Arial"/>
                <w:color w:val="002060"/>
                <w:sz w:val="16"/>
                <w:szCs w:val="16"/>
              </w:rPr>
            </w:pPr>
            <w:r w:rsidRPr="00AA6190">
              <w:rPr>
                <w:rFonts w:cs="Arial"/>
                <w:color w:val="002060"/>
                <w:sz w:val="16"/>
                <w:szCs w:val="16"/>
              </w:rPr>
              <w:t>2 DL courses were available in 5 UN languages plus Portuguese ;</w:t>
            </w:r>
          </w:p>
          <w:p w:rsidR="005C2D42" w:rsidRPr="00AA6190" w:rsidRDefault="005C2D42" w:rsidP="005C2D42">
            <w:pPr>
              <w:pStyle w:val="ListParagraph"/>
              <w:numPr>
                <w:ilvl w:val="0"/>
                <w:numId w:val="83"/>
              </w:numPr>
              <w:ind w:left="169" w:hanging="180"/>
              <w:rPr>
                <w:rFonts w:cs="Arial"/>
                <w:color w:val="002060"/>
                <w:sz w:val="16"/>
                <w:szCs w:val="16"/>
              </w:rPr>
            </w:pPr>
            <w:r w:rsidRPr="00AA6190">
              <w:rPr>
                <w:rFonts w:cs="Arial"/>
                <w:color w:val="002060"/>
                <w:sz w:val="16"/>
                <w:szCs w:val="16"/>
              </w:rPr>
              <w:t>1 course was available in 4 UN languages plus Portuguese; and</w:t>
            </w:r>
          </w:p>
          <w:p w:rsidR="005C2D42" w:rsidRPr="00AA6190" w:rsidRDefault="005C2D42" w:rsidP="005C2D42">
            <w:pPr>
              <w:pStyle w:val="ListParagraph"/>
              <w:numPr>
                <w:ilvl w:val="0"/>
                <w:numId w:val="83"/>
              </w:numPr>
              <w:ind w:left="169" w:hanging="180"/>
              <w:rPr>
                <w:rFonts w:cs="Arial"/>
                <w:color w:val="002060"/>
                <w:sz w:val="16"/>
                <w:szCs w:val="16"/>
              </w:rPr>
            </w:pPr>
            <w:r w:rsidRPr="00AA6190">
              <w:rPr>
                <w:rFonts w:cs="Arial"/>
                <w:color w:val="002060"/>
                <w:sz w:val="16"/>
                <w:szCs w:val="16"/>
              </w:rPr>
              <w:t xml:space="preserve">4 DL courses available in only English. </w:t>
            </w:r>
          </w:p>
          <w:p w:rsidR="005C2D42" w:rsidRDefault="005C2D42" w:rsidP="00E3403E">
            <w:pPr>
              <w:rPr>
                <w:rFonts w:cs="Arial"/>
                <w:sz w:val="16"/>
                <w:szCs w:val="16"/>
                <w:lang w:bidi="th-TH"/>
              </w:rPr>
            </w:pPr>
          </w:p>
          <w:p w:rsidR="005C2D42" w:rsidRDefault="005C2D42" w:rsidP="00E3403E">
            <w:pPr>
              <w:rPr>
                <w:rFonts w:cs="Arial"/>
                <w:sz w:val="16"/>
                <w:szCs w:val="16"/>
                <w:lang w:bidi="th-TH"/>
              </w:rPr>
            </w:pPr>
            <w:r w:rsidRPr="00AD4AC1">
              <w:rPr>
                <w:rFonts w:cs="Arial"/>
                <w:sz w:val="16"/>
                <w:szCs w:val="16"/>
                <w:lang w:bidi="th-TH"/>
              </w:rPr>
              <w:t xml:space="preserve">70% of participants </w:t>
            </w:r>
            <w:r w:rsidRPr="00AD4AC1">
              <w:rPr>
                <w:sz w:val="16"/>
                <w:szCs w:val="16"/>
              </w:rPr>
              <w:t>in the advanced courses</w:t>
            </w:r>
            <w:r w:rsidRPr="00AD4AC1">
              <w:rPr>
                <w:rFonts w:cs="Arial"/>
                <w:sz w:val="16"/>
                <w:szCs w:val="16"/>
                <w:lang w:bidi="th-TH"/>
              </w:rPr>
              <w:t xml:space="preserve"> indicated their professional and/or academic performance improved as a result of participation in the DL course.</w:t>
            </w:r>
          </w:p>
          <w:p w:rsidR="005C2D42" w:rsidRPr="00AA6190" w:rsidRDefault="005C2D42" w:rsidP="00E3403E">
            <w:pPr>
              <w:rPr>
                <w:rFonts w:cs="Arial"/>
                <w:i/>
                <w:color w:val="002060"/>
                <w:sz w:val="16"/>
                <w:szCs w:val="16"/>
              </w:rPr>
            </w:pPr>
            <w:r w:rsidRPr="007957CF">
              <w:rPr>
                <w:rFonts w:cs="Arial"/>
                <w:i/>
                <w:sz w:val="16"/>
                <w:szCs w:val="16"/>
              </w:rPr>
              <w:t>Original Baseline P&amp;B 2014/15</w:t>
            </w:r>
            <w:r w:rsidRPr="00976FB1">
              <w:rPr>
                <w:rFonts w:cs="Arial"/>
                <w:sz w:val="16"/>
                <w:szCs w:val="16"/>
              </w:rPr>
              <w:t>:</w:t>
            </w:r>
            <w:r w:rsidRPr="00AA6190">
              <w:rPr>
                <w:rFonts w:cs="Arial"/>
                <w:sz w:val="16"/>
                <w:szCs w:val="16"/>
              </w:rPr>
              <w:t xml:space="preserve">  Not all courses available in all languages; revision of course content currently done by Academy staff only and on </w:t>
            </w:r>
            <w:r w:rsidRPr="00976FB1">
              <w:rPr>
                <w:rFonts w:cs="Arial"/>
                <w:sz w:val="16"/>
                <w:szCs w:val="16"/>
              </w:rPr>
              <w:t>ad hoc</w:t>
            </w:r>
            <w:r w:rsidRPr="00AA6190">
              <w:rPr>
                <w:rFonts w:cs="Arial"/>
                <w:sz w:val="16"/>
                <w:szCs w:val="16"/>
              </w:rPr>
              <w:t xml:space="preserve"> basis</w:t>
            </w:r>
            <w:r>
              <w:rPr>
                <w:rFonts w:cs="Arial"/>
                <w:sz w:val="16"/>
                <w:szCs w:val="16"/>
              </w:rPr>
              <w:t>.</w:t>
            </w:r>
          </w:p>
        </w:tc>
        <w:tc>
          <w:tcPr>
            <w:tcW w:w="746" w:type="pct"/>
            <w:tcBorders>
              <w:top w:val="nil"/>
              <w:bottom w:val="nil"/>
            </w:tcBorders>
            <w:shd w:val="clear" w:color="auto" w:fill="auto"/>
            <w:tcMar>
              <w:top w:w="110" w:type="dxa"/>
            </w:tcMar>
          </w:tcPr>
          <w:p w:rsidR="005C2D42" w:rsidRPr="00AA6190" w:rsidRDefault="005C2D42" w:rsidP="00E3403E">
            <w:pPr>
              <w:autoSpaceDE w:val="0"/>
              <w:autoSpaceDN w:val="0"/>
              <w:adjustRightInd w:val="0"/>
              <w:rPr>
                <w:rFonts w:cs="Arial"/>
                <w:sz w:val="16"/>
                <w:szCs w:val="16"/>
              </w:rPr>
            </w:pPr>
            <w:r w:rsidRPr="00AA6190">
              <w:rPr>
                <w:rFonts w:cs="Arial"/>
                <w:sz w:val="16"/>
                <w:szCs w:val="16"/>
              </w:rPr>
              <w:t xml:space="preserve">All courses available in all </w:t>
            </w:r>
            <w:r>
              <w:rPr>
                <w:rFonts w:cs="Arial"/>
                <w:sz w:val="16"/>
                <w:szCs w:val="16"/>
              </w:rPr>
              <w:t xml:space="preserve"> </w:t>
            </w:r>
            <w:r w:rsidRPr="00AA6190">
              <w:rPr>
                <w:rFonts w:cs="Arial"/>
                <w:sz w:val="16"/>
                <w:szCs w:val="16"/>
              </w:rPr>
              <w:t>UN languages</w:t>
            </w:r>
          </w:p>
        </w:tc>
        <w:tc>
          <w:tcPr>
            <w:tcW w:w="1269" w:type="pct"/>
            <w:tcBorders>
              <w:top w:val="nil"/>
              <w:bottom w:val="nil"/>
            </w:tcBorders>
            <w:shd w:val="clear" w:color="auto" w:fill="FFFFFF"/>
            <w:tcMar>
              <w:top w:w="110" w:type="dxa"/>
            </w:tcMar>
          </w:tcPr>
          <w:p w:rsidR="005C2D42" w:rsidRDefault="005C2D42" w:rsidP="00E3403E">
            <w:pPr>
              <w:rPr>
                <w:rFonts w:cs="Arial"/>
                <w:sz w:val="16"/>
                <w:szCs w:val="16"/>
                <w:lang w:bidi="th-TH"/>
              </w:rPr>
            </w:pPr>
            <w:r w:rsidRPr="0002226C">
              <w:rPr>
                <w:rFonts w:cs="Arial"/>
                <w:sz w:val="16"/>
                <w:szCs w:val="16"/>
                <w:lang w:bidi="th-TH"/>
              </w:rPr>
              <w:t>In 2014/15:</w:t>
            </w:r>
          </w:p>
          <w:p w:rsidR="005C2D42" w:rsidRPr="0002226C" w:rsidRDefault="005C2D42" w:rsidP="00E3403E">
            <w:pPr>
              <w:rPr>
                <w:rFonts w:cs="Arial"/>
                <w:sz w:val="16"/>
                <w:szCs w:val="16"/>
                <w:lang w:bidi="th-TH"/>
              </w:rPr>
            </w:pPr>
          </w:p>
          <w:p w:rsidR="005C2D42" w:rsidRPr="00914316" w:rsidRDefault="005C2D42" w:rsidP="005C2D42">
            <w:pPr>
              <w:numPr>
                <w:ilvl w:val="0"/>
                <w:numId w:val="85"/>
              </w:numPr>
              <w:ind w:left="111" w:hanging="111"/>
              <w:rPr>
                <w:rFonts w:cs="Arial"/>
                <w:sz w:val="16"/>
                <w:szCs w:val="16"/>
                <w:lang w:bidi="th-TH"/>
              </w:rPr>
            </w:pPr>
            <w:r w:rsidRPr="00914316">
              <w:rPr>
                <w:rFonts w:cs="Arial"/>
                <w:sz w:val="16"/>
                <w:szCs w:val="16"/>
                <w:lang w:bidi="th-TH"/>
              </w:rPr>
              <w:t xml:space="preserve">11 DL courses were available in all 6 UN languages plus Portuguese, </w:t>
            </w:r>
          </w:p>
          <w:p w:rsidR="005C2D42" w:rsidRDefault="005C2D42" w:rsidP="00E3403E">
            <w:pPr>
              <w:ind w:left="111" w:hanging="111"/>
              <w:rPr>
                <w:rFonts w:cs="Arial"/>
                <w:sz w:val="16"/>
                <w:szCs w:val="16"/>
                <w:lang w:bidi="th-TH"/>
              </w:rPr>
            </w:pPr>
          </w:p>
          <w:p w:rsidR="005C2D42" w:rsidRDefault="005C2D42" w:rsidP="00E3403E">
            <w:pPr>
              <w:ind w:left="111" w:hanging="111"/>
              <w:rPr>
                <w:rFonts w:cs="Arial"/>
                <w:sz w:val="16"/>
                <w:szCs w:val="16"/>
                <w:lang w:bidi="th-TH"/>
              </w:rPr>
            </w:pPr>
          </w:p>
          <w:p w:rsidR="005C2D42" w:rsidRPr="00914316" w:rsidRDefault="005C2D42" w:rsidP="00E3403E">
            <w:pPr>
              <w:ind w:left="111" w:hanging="111"/>
              <w:rPr>
                <w:rFonts w:cs="Arial"/>
                <w:sz w:val="16"/>
                <w:szCs w:val="16"/>
                <w:lang w:bidi="th-TH"/>
              </w:rPr>
            </w:pPr>
          </w:p>
          <w:p w:rsidR="005C2D42" w:rsidRPr="00914316" w:rsidRDefault="005C2D42" w:rsidP="005C2D42">
            <w:pPr>
              <w:pStyle w:val="ListParagraph"/>
              <w:numPr>
                <w:ilvl w:val="0"/>
                <w:numId w:val="85"/>
              </w:numPr>
              <w:ind w:left="111" w:hanging="111"/>
              <w:rPr>
                <w:rFonts w:cs="Arial"/>
                <w:sz w:val="16"/>
                <w:szCs w:val="16"/>
                <w:lang w:bidi="th-TH"/>
              </w:rPr>
            </w:pPr>
            <w:r w:rsidRPr="00914316">
              <w:rPr>
                <w:rFonts w:cs="Arial"/>
                <w:sz w:val="16"/>
                <w:szCs w:val="16"/>
                <w:lang w:bidi="th-TH"/>
              </w:rPr>
              <w:t>1 DL course was available in 3 UN languages</w:t>
            </w:r>
            <w:r>
              <w:rPr>
                <w:rStyle w:val="FootnoteReference"/>
                <w:rFonts w:cs="Arial"/>
                <w:sz w:val="16"/>
                <w:szCs w:val="16"/>
                <w:lang w:bidi="th-TH"/>
              </w:rPr>
              <w:footnoteReference w:id="78"/>
            </w:r>
          </w:p>
          <w:p w:rsidR="005C2D42" w:rsidRPr="0002226C" w:rsidRDefault="005C2D42" w:rsidP="00E3403E">
            <w:pPr>
              <w:rPr>
                <w:rFonts w:cs="Arial"/>
                <w:sz w:val="16"/>
                <w:szCs w:val="16"/>
                <w:lang w:bidi="th-TH"/>
              </w:rPr>
            </w:pPr>
          </w:p>
          <w:p w:rsidR="005C2D42" w:rsidRPr="0002226C" w:rsidRDefault="005C2D42" w:rsidP="00E3403E">
            <w:pPr>
              <w:rPr>
                <w:rFonts w:cs="Arial"/>
                <w:sz w:val="16"/>
                <w:szCs w:val="16"/>
                <w:lang w:bidi="th-TH"/>
              </w:rPr>
            </w:pPr>
          </w:p>
          <w:p w:rsidR="005C2D42" w:rsidRDefault="005C2D42" w:rsidP="00E3403E">
            <w:pPr>
              <w:rPr>
                <w:rFonts w:cs="Arial"/>
                <w:sz w:val="16"/>
                <w:szCs w:val="16"/>
                <w:lang w:bidi="th-TH"/>
              </w:rPr>
            </w:pPr>
          </w:p>
          <w:p w:rsidR="005C2D42" w:rsidRDefault="005C2D42" w:rsidP="00E3403E">
            <w:pPr>
              <w:rPr>
                <w:rFonts w:cs="Arial"/>
                <w:sz w:val="16"/>
                <w:szCs w:val="16"/>
                <w:lang w:bidi="th-TH"/>
              </w:rPr>
            </w:pPr>
            <w:r w:rsidRPr="0002226C">
              <w:rPr>
                <w:rFonts w:cs="Arial"/>
                <w:sz w:val="16"/>
                <w:szCs w:val="16"/>
                <w:lang w:bidi="th-TH"/>
              </w:rPr>
              <w:t xml:space="preserve">79% of the participants in the advanced courses indicated </w:t>
            </w:r>
            <w:r>
              <w:rPr>
                <w:rFonts w:cs="Arial"/>
                <w:sz w:val="16"/>
                <w:szCs w:val="16"/>
                <w:lang w:bidi="th-TH"/>
              </w:rPr>
              <w:t xml:space="preserve">that </w:t>
            </w:r>
            <w:r w:rsidRPr="0002226C">
              <w:rPr>
                <w:rFonts w:cs="Arial"/>
                <w:sz w:val="16"/>
                <w:szCs w:val="16"/>
                <w:lang w:bidi="th-TH"/>
              </w:rPr>
              <w:t>their professional and/or academic performance improved as a result of participation in the DL course.</w:t>
            </w:r>
          </w:p>
          <w:p w:rsidR="005C2D42" w:rsidRDefault="005C2D42" w:rsidP="005C2D42">
            <w:pPr>
              <w:pStyle w:val="ListParagraph"/>
              <w:numPr>
                <w:ilvl w:val="0"/>
                <w:numId w:val="87"/>
              </w:numPr>
              <w:rPr>
                <w:rFonts w:cs="Arial"/>
                <w:sz w:val="16"/>
                <w:szCs w:val="16"/>
                <w:lang w:bidi="th-TH"/>
              </w:rPr>
            </w:pPr>
            <w:r>
              <w:rPr>
                <w:rFonts w:cs="Arial"/>
                <w:sz w:val="16"/>
                <w:szCs w:val="16"/>
                <w:lang w:bidi="th-TH"/>
              </w:rPr>
              <w:t>78% (</w:t>
            </w:r>
            <w:r w:rsidRPr="0002226C">
              <w:rPr>
                <w:rFonts w:cs="Arial"/>
                <w:sz w:val="16"/>
                <w:szCs w:val="16"/>
                <w:lang w:bidi="th-TH"/>
              </w:rPr>
              <w:t>2014</w:t>
            </w:r>
            <w:r>
              <w:rPr>
                <w:rFonts w:cs="Arial"/>
                <w:sz w:val="16"/>
                <w:szCs w:val="16"/>
                <w:lang w:bidi="th-TH"/>
              </w:rPr>
              <w:t>)</w:t>
            </w:r>
          </w:p>
          <w:p w:rsidR="005C2D42" w:rsidRPr="006C2338" w:rsidRDefault="005C2D42" w:rsidP="005C2D42">
            <w:pPr>
              <w:pStyle w:val="ListParagraph"/>
              <w:numPr>
                <w:ilvl w:val="0"/>
                <w:numId w:val="87"/>
              </w:numPr>
              <w:rPr>
                <w:rFonts w:cs="Arial"/>
                <w:sz w:val="16"/>
                <w:szCs w:val="16"/>
                <w:lang w:bidi="th-TH"/>
              </w:rPr>
            </w:pPr>
            <w:r w:rsidRPr="0002226C">
              <w:rPr>
                <w:rFonts w:cs="Arial"/>
                <w:sz w:val="16"/>
                <w:szCs w:val="16"/>
                <w:lang w:bidi="th-TH"/>
              </w:rPr>
              <w:t>81%</w:t>
            </w:r>
            <w:r>
              <w:rPr>
                <w:rFonts w:cs="Arial"/>
                <w:sz w:val="16"/>
                <w:szCs w:val="16"/>
                <w:lang w:bidi="th-TH"/>
              </w:rPr>
              <w:t xml:space="preserve"> (</w:t>
            </w:r>
            <w:r w:rsidRPr="0002226C">
              <w:rPr>
                <w:rFonts w:cs="Arial"/>
                <w:sz w:val="16"/>
                <w:szCs w:val="16"/>
                <w:lang w:bidi="th-TH"/>
              </w:rPr>
              <w:t>2015)</w:t>
            </w:r>
          </w:p>
        </w:tc>
        <w:tc>
          <w:tcPr>
            <w:tcW w:w="522" w:type="pct"/>
            <w:tcBorders>
              <w:top w:val="nil"/>
              <w:bottom w:val="nil"/>
              <w:right w:val="single" w:sz="4" w:space="0" w:color="auto"/>
            </w:tcBorders>
            <w:shd w:val="clear" w:color="auto" w:fill="auto"/>
            <w:tcMar>
              <w:top w:w="110" w:type="dxa"/>
            </w:tcMar>
          </w:tcPr>
          <w:p w:rsidR="005C2D42" w:rsidRPr="00914316" w:rsidRDefault="005C2D42" w:rsidP="00E3403E">
            <w:pPr>
              <w:jc w:val="center"/>
              <w:rPr>
                <w:rFonts w:cs="Arial"/>
                <w:b/>
                <w:bCs/>
                <w:color w:val="00B050"/>
                <w:sz w:val="16"/>
                <w:szCs w:val="16"/>
              </w:rPr>
            </w:pPr>
            <w:r w:rsidRPr="00914316">
              <w:rPr>
                <w:rFonts w:cs="Arial"/>
                <w:b/>
                <w:bCs/>
                <w:color w:val="00B050"/>
                <w:sz w:val="16"/>
                <w:szCs w:val="16"/>
              </w:rPr>
              <w:t>Fully Achieved</w:t>
            </w:r>
          </w:p>
          <w:p w:rsidR="005C2D42" w:rsidRPr="0002226C" w:rsidRDefault="005C2D42" w:rsidP="00E3403E">
            <w:pPr>
              <w:jc w:val="center"/>
              <w:rPr>
                <w:rFonts w:cs="Arial"/>
                <w:b/>
                <w:bCs/>
                <w:color w:val="00B050"/>
                <w:sz w:val="16"/>
                <w:szCs w:val="16"/>
              </w:rPr>
            </w:pPr>
          </w:p>
          <w:p w:rsidR="005C2D42" w:rsidRPr="0002226C" w:rsidRDefault="005C2D42" w:rsidP="00E3403E">
            <w:pPr>
              <w:jc w:val="center"/>
              <w:rPr>
                <w:rFonts w:cs="Arial"/>
                <w:b/>
                <w:bCs/>
                <w:color w:val="00B050"/>
                <w:sz w:val="16"/>
                <w:szCs w:val="16"/>
              </w:rPr>
            </w:pPr>
          </w:p>
          <w:p w:rsidR="005C2D42" w:rsidRPr="0002226C" w:rsidRDefault="005C2D42" w:rsidP="00E3403E">
            <w:pPr>
              <w:jc w:val="center"/>
              <w:rPr>
                <w:rFonts w:cs="Arial"/>
                <w:b/>
                <w:bCs/>
                <w:color w:val="00B050"/>
                <w:sz w:val="16"/>
                <w:szCs w:val="16"/>
              </w:rPr>
            </w:pPr>
          </w:p>
          <w:p w:rsidR="005C2D42" w:rsidRPr="0002226C" w:rsidRDefault="005C2D42" w:rsidP="00E3403E">
            <w:pPr>
              <w:jc w:val="center"/>
              <w:rPr>
                <w:rFonts w:cs="Arial"/>
                <w:b/>
                <w:bCs/>
                <w:color w:val="00B050"/>
                <w:sz w:val="16"/>
                <w:szCs w:val="16"/>
              </w:rPr>
            </w:pPr>
          </w:p>
          <w:p w:rsidR="005C2D42" w:rsidRPr="0002226C" w:rsidRDefault="005C2D42" w:rsidP="00E3403E">
            <w:pPr>
              <w:jc w:val="center"/>
              <w:rPr>
                <w:rFonts w:cs="Arial"/>
                <w:b/>
                <w:bCs/>
                <w:color w:val="00B050"/>
                <w:sz w:val="16"/>
                <w:szCs w:val="16"/>
              </w:rPr>
            </w:pPr>
          </w:p>
          <w:p w:rsidR="005C2D42" w:rsidRPr="0002226C" w:rsidRDefault="005C2D42" w:rsidP="00E3403E">
            <w:pPr>
              <w:jc w:val="center"/>
              <w:rPr>
                <w:rFonts w:cs="Arial"/>
                <w:b/>
                <w:bCs/>
                <w:color w:val="00B050"/>
                <w:sz w:val="16"/>
                <w:szCs w:val="16"/>
              </w:rPr>
            </w:pPr>
          </w:p>
          <w:p w:rsidR="005C2D42" w:rsidRPr="0002226C" w:rsidRDefault="005C2D42" w:rsidP="00E3403E">
            <w:pPr>
              <w:jc w:val="center"/>
              <w:rPr>
                <w:rFonts w:cs="Arial"/>
                <w:b/>
                <w:bCs/>
                <w:color w:val="00B050"/>
                <w:sz w:val="16"/>
                <w:szCs w:val="16"/>
              </w:rPr>
            </w:pPr>
          </w:p>
          <w:p w:rsidR="005C2D42" w:rsidRPr="0002226C" w:rsidRDefault="005C2D42" w:rsidP="00E3403E">
            <w:pPr>
              <w:jc w:val="center"/>
              <w:rPr>
                <w:rFonts w:cs="Arial"/>
                <w:b/>
                <w:bCs/>
                <w:color w:val="00B050"/>
                <w:sz w:val="16"/>
                <w:szCs w:val="16"/>
              </w:rPr>
            </w:pPr>
          </w:p>
          <w:p w:rsidR="005C2D42" w:rsidRDefault="005C2D42" w:rsidP="00E3403E">
            <w:pPr>
              <w:jc w:val="center"/>
              <w:rPr>
                <w:rFonts w:cs="Arial"/>
                <w:b/>
                <w:bCs/>
                <w:color w:val="00B050"/>
                <w:sz w:val="16"/>
                <w:szCs w:val="16"/>
              </w:rPr>
            </w:pPr>
          </w:p>
          <w:p w:rsidR="005C2D42" w:rsidRDefault="005C2D42" w:rsidP="00E3403E">
            <w:pPr>
              <w:jc w:val="center"/>
              <w:rPr>
                <w:rFonts w:cs="Arial"/>
                <w:b/>
                <w:bCs/>
                <w:color w:val="00B050"/>
                <w:sz w:val="16"/>
                <w:szCs w:val="16"/>
              </w:rPr>
            </w:pPr>
          </w:p>
          <w:p w:rsidR="005C2D42" w:rsidRDefault="005C2D42" w:rsidP="00E3403E">
            <w:pPr>
              <w:jc w:val="center"/>
              <w:rPr>
                <w:rFonts w:cs="Arial"/>
                <w:b/>
                <w:bCs/>
                <w:color w:val="00B050"/>
                <w:sz w:val="16"/>
                <w:szCs w:val="16"/>
              </w:rPr>
            </w:pPr>
          </w:p>
          <w:p w:rsidR="005C2D42" w:rsidRPr="0002226C" w:rsidRDefault="005C2D42" w:rsidP="00E3403E">
            <w:pPr>
              <w:jc w:val="center"/>
              <w:rPr>
                <w:rFonts w:cs="Arial"/>
                <w:b/>
                <w:bCs/>
                <w:color w:val="00B050"/>
                <w:sz w:val="16"/>
                <w:szCs w:val="16"/>
              </w:rPr>
            </w:pPr>
          </w:p>
        </w:tc>
      </w:tr>
      <w:tr w:rsidR="005C2D42" w:rsidRPr="00054B91" w:rsidTr="00E37059">
        <w:tc>
          <w:tcPr>
            <w:tcW w:w="1045" w:type="pct"/>
            <w:tcBorders>
              <w:top w:val="nil"/>
              <w:left w:val="single" w:sz="4" w:space="0" w:color="auto"/>
              <w:bottom w:val="single" w:sz="4" w:space="0" w:color="auto"/>
            </w:tcBorders>
            <w:shd w:val="clear" w:color="auto" w:fill="auto"/>
          </w:tcPr>
          <w:p w:rsidR="005C2D42" w:rsidRDefault="005C2D42" w:rsidP="00E3403E">
            <w:pPr>
              <w:rPr>
                <w:rFonts w:cs="Arial"/>
                <w:sz w:val="16"/>
                <w:szCs w:val="16"/>
              </w:rPr>
            </w:pPr>
            <w:r w:rsidRPr="00AA1E72">
              <w:rPr>
                <w:rFonts w:cs="Arial"/>
                <w:sz w:val="16"/>
                <w:szCs w:val="16"/>
              </w:rPr>
              <w:t xml:space="preserve">Improved access to higher education on IP on the part of developing countries, LDCs and CETs / Number of universities in developing countries, LDCs and CETs, offering new teaching programs on IP </w:t>
            </w:r>
          </w:p>
          <w:p w:rsidR="005C2D42" w:rsidRDefault="005C2D42" w:rsidP="00E3403E">
            <w:pPr>
              <w:rPr>
                <w:rFonts w:cs="Arial"/>
                <w:sz w:val="16"/>
                <w:szCs w:val="16"/>
              </w:rPr>
            </w:pPr>
          </w:p>
          <w:p w:rsidR="005C2D42" w:rsidRDefault="005C2D42" w:rsidP="00E3403E">
            <w:pPr>
              <w:rPr>
                <w:rFonts w:cs="Arial"/>
                <w:sz w:val="16"/>
                <w:szCs w:val="16"/>
              </w:rPr>
            </w:pPr>
          </w:p>
        </w:tc>
        <w:tc>
          <w:tcPr>
            <w:tcW w:w="1418" w:type="pct"/>
            <w:tcBorders>
              <w:top w:val="nil"/>
              <w:bottom w:val="single" w:sz="4" w:space="0" w:color="auto"/>
            </w:tcBorders>
            <w:shd w:val="clear" w:color="auto" w:fill="auto"/>
          </w:tcPr>
          <w:p w:rsidR="005C2D42" w:rsidRDefault="005C2D42" w:rsidP="00E3403E">
            <w:pPr>
              <w:rPr>
                <w:rFonts w:cs="Arial"/>
                <w:i/>
                <w:color w:val="002060"/>
                <w:sz w:val="16"/>
                <w:szCs w:val="16"/>
              </w:rPr>
            </w:pPr>
            <w:r w:rsidRPr="00AA1E72">
              <w:rPr>
                <w:rFonts w:cs="Arial"/>
                <w:sz w:val="16"/>
                <w:szCs w:val="16"/>
              </w:rPr>
              <w:t>IP teaching at university level is currently available only on a limited number of developing countries, LDCs and CETs; WIPO offers Joint Master Program on IP with seven universities of which two in Africa and one in Latin America</w:t>
            </w:r>
          </w:p>
        </w:tc>
        <w:tc>
          <w:tcPr>
            <w:tcW w:w="746" w:type="pct"/>
            <w:tcBorders>
              <w:top w:val="nil"/>
              <w:bottom w:val="single" w:sz="4" w:space="0" w:color="auto"/>
            </w:tcBorders>
            <w:shd w:val="clear" w:color="auto" w:fill="auto"/>
            <w:tcMar>
              <w:top w:w="110" w:type="dxa"/>
            </w:tcMar>
          </w:tcPr>
          <w:p w:rsidR="005C2D42" w:rsidRDefault="005C2D42" w:rsidP="00E3403E">
            <w:pPr>
              <w:autoSpaceDE w:val="0"/>
              <w:autoSpaceDN w:val="0"/>
              <w:adjustRightInd w:val="0"/>
              <w:rPr>
                <w:rFonts w:cs="Arial"/>
                <w:sz w:val="16"/>
                <w:szCs w:val="16"/>
              </w:rPr>
            </w:pPr>
            <w:r>
              <w:rPr>
                <w:rFonts w:cs="Arial"/>
                <w:sz w:val="16"/>
                <w:szCs w:val="16"/>
              </w:rPr>
              <w:t>5</w:t>
            </w:r>
            <w:r w:rsidRPr="00AA1E72">
              <w:rPr>
                <w:rFonts w:cs="Arial"/>
                <w:sz w:val="16"/>
                <w:szCs w:val="16"/>
              </w:rPr>
              <w:t xml:space="preserve"> universities in developing countries, LDCs and CETs will be offering new teaching p</w:t>
            </w:r>
            <w:r>
              <w:rPr>
                <w:rFonts w:cs="Arial"/>
                <w:sz w:val="16"/>
                <w:szCs w:val="16"/>
              </w:rPr>
              <w:t xml:space="preserve">rograms on IP by the end of </w:t>
            </w:r>
            <w:r w:rsidRPr="00AA1E72">
              <w:rPr>
                <w:rFonts w:cs="Arial"/>
                <w:sz w:val="16"/>
                <w:szCs w:val="16"/>
              </w:rPr>
              <w:t>biennium</w:t>
            </w:r>
          </w:p>
        </w:tc>
        <w:tc>
          <w:tcPr>
            <w:tcW w:w="1269" w:type="pct"/>
            <w:tcBorders>
              <w:top w:val="nil"/>
              <w:bottom w:val="single" w:sz="4" w:space="0" w:color="auto"/>
            </w:tcBorders>
            <w:shd w:val="clear" w:color="auto" w:fill="FFFFFF"/>
            <w:tcMar>
              <w:top w:w="110" w:type="dxa"/>
            </w:tcMar>
          </w:tcPr>
          <w:p w:rsidR="005C2D42" w:rsidRPr="00160F1D" w:rsidRDefault="005C2D42" w:rsidP="00E3403E">
            <w:pPr>
              <w:rPr>
                <w:sz w:val="16"/>
                <w:szCs w:val="16"/>
              </w:rPr>
            </w:pPr>
            <w:r>
              <w:rPr>
                <w:rFonts w:cs="Arial"/>
                <w:sz w:val="16"/>
                <w:szCs w:val="16"/>
                <w:lang w:bidi="th-TH"/>
              </w:rPr>
              <w:t>By the end of 2015, three new teaching programs were offered:</w:t>
            </w:r>
            <w:r>
              <w:rPr>
                <w:rFonts w:cs="Arial"/>
                <w:sz w:val="16"/>
                <w:szCs w:val="16"/>
              </w:rPr>
              <w:t xml:space="preserve"> one at the </w:t>
            </w:r>
            <w:r w:rsidRPr="00160F1D">
              <w:rPr>
                <w:sz w:val="16"/>
                <w:szCs w:val="16"/>
              </w:rPr>
              <w:t>Bangladesh Institute of Management in Bangladesh</w:t>
            </w:r>
            <w:r>
              <w:rPr>
                <w:sz w:val="16"/>
                <w:szCs w:val="16"/>
              </w:rPr>
              <w:t xml:space="preserve"> and two at the Africa University.</w:t>
            </w:r>
          </w:p>
          <w:p w:rsidR="005C2D42" w:rsidRPr="00685E4E" w:rsidRDefault="005C2D42" w:rsidP="00E3403E">
            <w:pPr>
              <w:rPr>
                <w:rFonts w:cs="Arial"/>
                <w:sz w:val="14"/>
                <w:szCs w:val="16"/>
              </w:rPr>
            </w:pPr>
          </w:p>
          <w:p w:rsidR="005C2D42" w:rsidRPr="006B7CC0" w:rsidRDefault="005C2D42" w:rsidP="00E3403E">
            <w:pPr>
              <w:rPr>
                <w:rFonts w:cs="Arial"/>
                <w:sz w:val="16"/>
                <w:szCs w:val="16"/>
              </w:rPr>
            </w:pPr>
            <w:r>
              <w:rPr>
                <w:rFonts w:cs="Arial"/>
                <w:sz w:val="16"/>
                <w:szCs w:val="16"/>
              </w:rPr>
              <w:t>In addition, five universities enhanced existing IP Programs:</w:t>
            </w:r>
          </w:p>
          <w:p w:rsidR="005C2D42" w:rsidRDefault="005C2D42" w:rsidP="005C2D42">
            <w:pPr>
              <w:pStyle w:val="ListParagraph"/>
              <w:numPr>
                <w:ilvl w:val="0"/>
                <w:numId w:val="89"/>
              </w:numPr>
              <w:rPr>
                <w:rFonts w:cs="Arial"/>
                <w:sz w:val="16"/>
                <w:szCs w:val="16"/>
              </w:rPr>
            </w:pPr>
            <w:r w:rsidRPr="00746875">
              <w:rPr>
                <w:rFonts w:cs="Arial"/>
                <w:sz w:val="16"/>
                <w:szCs w:val="16"/>
              </w:rPr>
              <w:t>Buenos Aires University, Argentina</w:t>
            </w:r>
          </w:p>
          <w:p w:rsidR="005C2D42" w:rsidRPr="00556D40" w:rsidRDefault="005C2D42" w:rsidP="005C2D42">
            <w:pPr>
              <w:pStyle w:val="ListParagraph"/>
              <w:numPr>
                <w:ilvl w:val="0"/>
                <w:numId w:val="89"/>
              </w:numPr>
              <w:rPr>
                <w:rFonts w:cs="Arial"/>
                <w:sz w:val="16"/>
                <w:szCs w:val="16"/>
                <w:lang w:val="fr-CH"/>
              </w:rPr>
            </w:pPr>
            <w:r w:rsidRPr="00160F1D">
              <w:rPr>
                <w:rFonts w:cs="Arial"/>
                <w:i/>
                <w:sz w:val="16"/>
                <w:szCs w:val="16"/>
                <w:lang w:val="fr-CH"/>
              </w:rPr>
              <w:t>Universidad Central de Venezuela</w:t>
            </w:r>
          </w:p>
          <w:p w:rsidR="005C2D42" w:rsidRPr="00556D40" w:rsidRDefault="005C2D42" w:rsidP="005C2D42">
            <w:pPr>
              <w:pStyle w:val="ListParagraph"/>
              <w:numPr>
                <w:ilvl w:val="0"/>
                <w:numId w:val="89"/>
              </w:numPr>
              <w:rPr>
                <w:rFonts w:cs="Arial"/>
                <w:sz w:val="16"/>
                <w:szCs w:val="16"/>
                <w:lang w:val="fr-CH"/>
              </w:rPr>
            </w:pPr>
            <w:r w:rsidRPr="00556D40">
              <w:rPr>
                <w:rFonts w:cs="Arial"/>
                <w:sz w:val="16"/>
                <w:szCs w:val="16"/>
              </w:rPr>
              <w:t>University of Alicante, Spain</w:t>
            </w:r>
          </w:p>
          <w:p w:rsidR="005C2D42" w:rsidRDefault="005C2D42" w:rsidP="005C2D42">
            <w:pPr>
              <w:pStyle w:val="ListParagraph"/>
              <w:numPr>
                <w:ilvl w:val="0"/>
                <w:numId w:val="89"/>
              </w:numPr>
              <w:rPr>
                <w:rFonts w:cs="Arial"/>
                <w:sz w:val="16"/>
                <w:szCs w:val="16"/>
              </w:rPr>
            </w:pPr>
            <w:r w:rsidRPr="00556D40">
              <w:rPr>
                <w:rFonts w:cs="Arial"/>
                <w:sz w:val="16"/>
                <w:szCs w:val="16"/>
              </w:rPr>
              <w:t>2 universities in Indonesia (Universitas Padjadjaran and University of Indonesia)</w:t>
            </w:r>
          </w:p>
          <w:p w:rsidR="005C2D42" w:rsidRPr="00685E4E" w:rsidRDefault="005C2D42" w:rsidP="00E3403E">
            <w:pPr>
              <w:pStyle w:val="ListParagraph"/>
              <w:ind w:left="360"/>
              <w:rPr>
                <w:rFonts w:cs="Arial"/>
                <w:sz w:val="14"/>
                <w:szCs w:val="16"/>
                <w:lang w:bidi="th-TH"/>
              </w:rPr>
            </w:pPr>
          </w:p>
          <w:p w:rsidR="005C2D42" w:rsidRPr="00600DF3" w:rsidRDefault="005C2D42" w:rsidP="00E3403E">
            <w:pPr>
              <w:rPr>
                <w:rFonts w:cs="Arial"/>
                <w:sz w:val="16"/>
                <w:szCs w:val="16"/>
                <w:lang w:bidi="th-TH"/>
              </w:rPr>
            </w:pPr>
            <w:r w:rsidRPr="007D1B22">
              <w:rPr>
                <w:rFonts w:cs="Arial"/>
                <w:sz w:val="16"/>
                <w:szCs w:val="16"/>
                <w:lang w:bidi="th-TH"/>
              </w:rPr>
              <w:t xml:space="preserve">Two universities </w:t>
            </w:r>
            <w:r>
              <w:rPr>
                <w:rFonts w:cs="Arial"/>
                <w:sz w:val="16"/>
                <w:szCs w:val="16"/>
                <w:lang w:bidi="th-TH"/>
              </w:rPr>
              <w:t xml:space="preserve">enhanced or </w:t>
            </w:r>
            <w:r w:rsidRPr="007D1B22">
              <w:rPr>
                <w:rFonts w:cs="Arial"/>
                <w:sz w:val="16"/>
                <w:szCs w:val="16"/>
                <w:lang w:bidi="th-TH"/>
              </w:rPr>
              <w:t>completed development of new courses or programs to be launched in 2016:</w:t>
            </w:r>
          </w:p>
          <w:p w:rsidR="005C2D42" w:rsidRPr="004A0A12" w:rsidRDefault="005C2D42" w:rsidP="005C2D42">
            <w:pPr>
              <w:pStyle w:val="ListParagraph"/>
              <w:numPr>
                <w:ilvl w:val="0"/>
                <w:numId w:val="88"/>
              </w:numPr>
              <w:rPr>
                <w:rFonts w:cs="Arial"/>
                <w:sz w:val="16"/>
                <w:szCs w:val="16"/>
              </w:rPr>
            </w:pPr>
            <w:r w:rsidRPr="00556D40">
              <w:rPr>
                <w:rFonts w:cs="Arial"/>
                <w:sz w:val="16"/>
                <w:szCs w:val="16"/>
                <w:lang w:bidi="th-TH"/>
              </w:rPr>
              <w:t>the Universi</w:t>
            </w:r>
            <w:r>
              <w:rPr>
                <w:rFonts w:cs="Arial"/>
                <w:sz w:val="16"/>
                <w:szCs w:val="16"/>
                <w:lang w:bidi="th-TH"/>
              </w:rPr>
              <w:t>ty of West Indies, Mona Campus, Jamaica (new</w:t>
            </w:r>
            <w:r w:rsidRPr="00556D40">
              <w:rPr>
                <w:rFonts w:cs="Arial"/>
                <w:sz w:val="16"/>
                <w:szCs w:val="16"/>
                <w:lang w:bidi="th-TH"/>
              </w:rPr>
              <w:t xml:space="preserve"> LL.M. in </w:t>
            </w:r>
          </w:p>
        </w:tc>
        <w:tc>
          <w:tcPr>
            <w:tcW w:w="522" w:type="pct"/>
            <w:tcBorders>
              <w:top w:val="nil"/>
              <w:bottom w:val="single" w:sz="4" w:space="0" w:color="auto"/>
              <w:right w:val="single" w:sz="4" w:space="0" w:color="auto"/>
            </w:tcBorders>
            <w:shd w:val="clear" w:color="auto" w:fill="auto"/>
            <w:tcMar>
              <w:top w:w="110" w:type="dxa"/>
            </w:tcMar>
          </w:tcPr>
          <w:p w:rsidR="005C2D42" w:rsidRPr="0002226C" w:rsidRDefault="005C2D42" w:rsidP="00E3403E">
            <w:pPr>
              <w:jc w:val="center"/>
              <w:rPr>
                <w:rFonts w:cs="Arial"/>
                <w:b/>
                <w:bCs/>
                <w:color w:val="00B050"/>
                <w:sz w:val="16"/>
                <w:szCs w:val="16"/>
              </w:rPr>
            </w:pPr>
            <w:r w:rsidRPr="00794415">
              <w:rPr>
                <w:rFonts w:cs="Arial"/>
                <w:b/>
                <w:bCs/>
                <w:color w:val="F79646" w:themeColor="accent6"/>
                <w:sz w:val="16"/>
                <w:szCs w:val="16"/>
              </w:rPr>
              <w:t xml:space="preserve">Partially </w:t>
            </w:r>
            <w:r w:rsidRPr="00794415">
              <w:rPr>
                <w:b/>
                <w:color w:val="F79646" w:themeColor="accent6"/>
                <w:sz w:val="16"/>
              </w:rPr>
              <w:t xml:space="preserve">Achieved </w:t>
            </w:r>
            <w:r w:rsidRPr="00794415">
              <w:rPr>
                <w:rFonts w:cs="Arial"/>
                <w:b/>
                <w:bCs/>
                <w:color w:val="F79646" w:themeColor="accent6"/>
                <w:sz w:val="16"/>
                <w:szCs w:val="16"/>
              </w:rPr>
              <w:t xml:space="preserve"> </w:t>
            </w:r>
          </w:p>
        </w:tc>
      </w:tr>
      <w:tr w:rsidR="005C2D42" w:rsidRPr="00054B91" w:rsidTr="00E37059">
        <w:tc>
          <w:tcPr>
            <w:tcW w:w="1045" w:type="pct"/>
            <w:tcBorders>
              <w:top w:val="single" w:sz="4" w:space="0" w:color="auto"/>
              <w:left w:val="single" w:sz="4" w:space="0" w:color="auto"/>
              <w:bottom w:val="nil"/>
            </w:tcBorders>
            <w:shd w:val="clear" w:color="auto" w:fill="auto"/>
          </w:tcPr>
          <w:p w:rsidR="005C2D42" w:rsidRPr="00AA1E72" w:rsidRDefault="005C2D42" w:rsidP="00E3403E">
            <w:pPr>
              <w:rPr>
                <w:rFonts w:cs="Arial"/>
                <w:sz w:val="16"/>
                <w:szCs w:val="16"/>
              </w:rPr>
            </w:pPr>
          </w:p>
        </w:tc>
        <w:tc>
          <w:tcPr>
            <w:tcW w:w="1418" w:type="pct"/>
            <w:tcBorders>
              <w:top w:val="single" w:sz="4" w:space="0" w:color="auto"/>
              <w:bottom w:val="nil"/>
            </w:tcBorders>
            <w:shd w:val="clear" w:color="auto" w:fill="auto"/>
          </w:tcPr>
          <w:p w:rsidR="005C2D42" w:rsidRDefault="005C2D42" w:rsidP="00E3403E">
            <w:pPr>
              <w:rPr>
                <w:rFonts w:cs="Arial"/>
                <w:i/>
                <w:color w:val="002060"/>
                <w:sz w:val="16"/>
                <w:szCs w:val="16"/>
              </w:rPr>
            </w:pPr>
          </w:p>
        </w:tc>
        <w:tc>
          <w:tcPr>
            <w:tcW w:w="746" w:type="pct"/>
            <w:tcBorders>
              <w:top w:val="single" w:sz="4" w:space="0" w:color="auto"/>
              <w:bottom w:val="nil"/>
            </w:tcBorders>
            <w:shd w:val="clear" w:color="auto" w:fill="auto"/>
            <w:tcMar>
              <w:top w:w="110" w:type="dxa"/>
            </w:tcMar>
          </w:tcPr>
          <w:p w:rsidR="005C2D42" w:rsidRPr="00AA1E72" w:rsidRDefault="005C2D42" w:rsidP="00E3403E">
            <w:pPr>
              <w:autoSpaceDE w:val="0"/>
              <w:autoSpaceDN w:val="0"/>
              <w:adjustRightInd w:val="0"/>
              <w:rPr>
                <w:rFonts w:cs="Arial"/>
                <w:sz w:val="16"/>
                <w:szCs w:val="16"/>
              </w:rPr>
            </w:pPr>
          </w:p>
        </w:tc>
        <w:tc>
          <w:tcPr>
            <w:tcW w:w="1269" w:type="pct"/>
            <w:tcBorders>
              <w:top w:val="single" w:sz="4" w:space="0" w:color="auto"/>
              <w:bottom w:val="nil"/>
            </w:tcBorders>
            <w:shd w:val="clear" w:color="auto" w:fill="FFFFFF"/>
            <w:tcMar>
              <w:top w:w="110" w:type="dxa"/>
            </w:tcMar>
          </w:tcPr>
          <w:p w:rsidR="005C2D42" w:rsidRDefault="005C2D42" w:rsidP="00E3403E">
            <w:pPr>
              <w:pStyle w:val="ListParagraph"/>
              <w:ind w:left="360"/>
              <w:rPr>
                <w:rFonts w:cs="Arial"/>
                <w:sz w:val="16"/>
                <w:szCs w:val="16"/>
              </w:rPr>
            </w:pPr>
            <w:r w:rsidRPr="00556D40">
              <w:rPr>
                <w:rFonts w:cs="Arial"/>
                <w:sz w:val="16"/>
                <w:szCs w:val="16"/>
                <w:lang w:bidi="th-TH"/>
              </w:rPr>
              <w:t>Intellectual Property in Creative &amp; Cultural Industries</w:t>
            </w:r>
            <w:r>
              <w:rPr>
                <w:rFonts w:cs="Arial"/>
                <w:sz w:val="16"/>
                <w:szCs w:val="16"/>
                <w:lang w:bidi="th-TH"/>
              </w:rPr>
              <w:t>)</w:t>
            </w:r>
          </w:p>
          <w:p w:rsidR="005C2D42" w:rsidRPr="0002226C" w:rsidRDefault="005C2D42" w:rsidP="005C2D42">
            <w:pPr>
              <w:pStyle w:val="ListParagraph"/>
              <w:numPr>
                <w:ilvl w:val="0"/>
                <w:numId w:val="89"/>
              </w:numPr>
              <w:rPr>
                <w:rFonts w:cs="Arial"/>
                <w:sz w:val="16"/>
                <w:szCs w:val="16"/>
                <w:lang w:bidi="th-TH"/>
              </w:rPr>
            </w:pPr>
            <w:r w:rsidRPr="003C254B">
              <w:rPr>
                <w:rFonts w:cs="Arial"/>
                <w:sz w:val="16"/>
                <w:szCs w:val="16"/>
                <w:lang w:bidi="th-TH"/>
              </w:rPr>
              <w:t>University of Botswana, Botswana (new course on IP Law on Research; enhanced courses on IP Law I and II)</w:t>
            </w:r>
          </w:p>
        </w:tc>
        <w:tc>
          <w:tcPr>
            <w:tcW w:w="522" w:type="pct"/>
            <w:tcBorders>
              <w:top w:val="single" w:sz="4" w:space="0" w:color="auto"/>
              <w:bottom w:val="nil"/>
              <w:right w:val="single" w:sz="4" w:space="0" w:color="auto"/>
            </w:tcBorders>
            <w:shd w:val="clear" w:color="auto" w:fill="auto"/>
            <w:tcMar>
              <w:top w:w="110" w:type="dxa"/>
            </w:tcMar>
          </w:tcPr>
          <w:p w:rsidR="005C2D42" w:rsidRPr="0002226C" w:rsidRDefault="005C2D42" w:rsidP="00E3403E">
            <w:pPr>
              <w:jc w:val="center"/>
              <w:rPr>
                <w:rFonts w:cs="Arial"/>
                <w:b/>
                <w:bCs/>
                <w:color w:val="00B050"/>
                <w:sz w:val="16"/>
                <w:szCs w:val="16"/>
              </w:rPr>
            </w:pPr>
          </w:p>
        </w:tc>
      </w:tr>
      <w:tr w:rsidR="005C2D42" w:rsidRPr="00054B91" w:rsidTr="00E3403E">
        <w:tc>
          <w:tcPr>
            <w:tcW w:w="1045" w:type="pct"/>
            <w:tcBorders>
              <w:top w:val="nil"/>
              <w:left w:val="single" w:sz="4" w:space="0" w:color="auto"/>
              <w:bottom w:val="nil"/>
            </w:tcBorders>
            <w:shd w:val="clear" w:color="auto" w:fill="auto"/>
          </w:tcPr>
          <w:p w:rsidR="005C2D42" w:rsidRDefault="005C2D42" w:rsidP="00E3403E">
            <w:pPr>
              <w:rPr>
                <w:rFonts w:cs="Arial"/>
                <w:sz w:val="16"/>
                <w:szCs w:val="16"/>
              </w:rPr>
            </w:pPr>
            <w:r w:rsidRPr="00AA1E72">
              <w:rPr>
                <w:rFonts w:cs="Arial"/>
                <w:sz w:val="16"/>
                <w:szCs w:val="16"/>
              </w:rPr>
              <w:t>Progressive establishment of a network of IP experts in developing countries, LDCs and CETs</w:t>
            </w:r>
          </w:p>
        </w:tc>
        <w:tc>
          <w:tcPr>
            <w:tcW w:w="1418" w:type="pct"/>
            <w:tcBorders>
              <w:top w:val="nil"/>
              <w:bottom w:val="nil"/>
            </w:tcBorders>
            <w:shd w:val="clear" w:color="auto" w:fill="auto"/>
          </w:tcPr>
          <w:p w:rsidR="005C2D42" w:rsidRPr="00054B91" w:rsidRDefault="005C2D42" w:rsidP="00E3403E">
            <w:pPr>
              <w:rPr>
                <w:rFonts w:cs="Arial"/>
                <w:color w:val="002060"/>
                <w:sz w:val="16"/>
                <w:szCs w:val="16"/>
              </w:rPr>
            </w:pPr>
            <w:r>
              <w:rPr>
                <w:rFonts w:cs="Arial"/>
                <w:i/>
                <w:color w:val="002060"/>
                <w:sz w:val="16"/>
                <w:szCs w:val="16"/>
              </w:rPr>
              <w:t>Updated Baseline end 2013</w:t>
            </w:r>
            <w:r w:rsidRPr="00054B91">
              <w:rPr>
                <w:rFonts w:cs="Arial"/>
                <w:i/>
                <w:color w:val="002060"/>
                <w:sz w:val="16"/>
                <w:szCs w:val="16"/>
              </w:rPr>
              <w:t xml:space="preserve">:  </w:t>
            </w:r>
            <w:r>
              <w:rPr>
                <w:rFonts w:cs="Arial"/>
                <w:color w:val="002060"/>
                <w:sz w:val="16"/>
                <w:szCs w:val="16"/>
              </w:rPr>
              <w:t xml:space="preserve">326 </w:t>
            </w:r>
            <w:r w:rsidRPr="00E83272">
              <w:rPr>
                <w:rFonts w:cs="Arial"/>
                <w:color w:val="002060"/>
                <w:sz w:val="16"/>
                <w:szCs w:val="16"/>
              </w:rPr>
              <w:t>academics from developing countries, LDCs and CETs members of ATRIP</w:t>
            </w:r>
            <w:r w:rsidRPr="00E83272" w:rsidDel="00E83272">
              <w:rPr>
                <w:rFonts w:cs="Arial"/>
                <w:color w:val="002060"/>
                <w:sz w:val="16"/>
                <w:szCs w:val="16"/>
              </w:rPr>
              <w:t xml:space="preserve"> </w:t>
            </w:r>
          </w:p>
          <w:p w:rsidR="005C2D42" w:rsidRDefault="005C2D42" w:rsidP="00E3403E">
            <w:pPr>
              <w:rPr>
                <w:rFonts w:cs="Arial"/>
                <w:i/>
                <w:color w:val="002060"/>
                <w:sz w:val="16"/>
                <w:szCs w:val="16"/>
              </w:rPr>
            </w:pPr>
            <w:r>
              <w:rPr>
                <w:rFonts w:cs="Arial"/>
                <w:i/>
                <w:sz w:val="16"/>
                <w:szCs w:val="16"/>
              </w:rPr>
              <w:t>Original Baseline P&amp;B 2014/15</w:t>
            </w:r>
            <w:r w:rsidRPr="00054B91">
              <w:rPr>
                <w:rFonts w:cs="Arial"/>
                <w:i/>
                <w:sz w:val="16"/>
                <w:szCs w:val="16"/>
              </w:rPr>
              <w:t>:</w:t>
            </w:r>
            <w:r>
              <w:rPr>
                <w:rFonts w:cs="Arial"/>
                <w:sz w:val="16"/>
                <w:szCs w:val="16"/>
              </w:rPr>
              <w:t xml:space="preserve">  </w:t>
            </w:r>
            <w:r w:rsidRPr="00AA1E72">
              <w:rPr>
                <w:rFonts w:cs="Arial"/>
                <w:sz w:val="16"/>
                <w:szCs w:val="16"/>
              </w:rPr>
              <w:t>No. of academics from developing countries, LDCs and CETs members of ATRIP</w:t>
            </w:r>
          </w:p>
        </w:tc>
        <w:tc>
          <w:tcPr>
            <w:tcW w:w="746" w:type="pct"/>
            <w:tcBorders>
              <w:top w:val="nil"/>
              <w:bottom w:val="nil"/>
            </w:tcBorders>
            <w:shd w:val="clear" w:color="auto" w:fill="auto"/>
            <w:tcMar>
              <w:top w:w="110" w:type="dxa"/>
            </w:tcMar>
          </w:tcPr>
          <w:p w:rsidR="005C2D42" w:rsidRDefault="005C2D42" w:rsidP="00E3403E">
            <w:pPr>
              <w:autoSpaceDE w:val="0"/>
              <w:autoSpaceDN w:val="0"/>
              <w:adjustRightInd w:val="0"/>
              <w:rPr>
                <w:rFonts w:cs="Arial"/>
                <w:sz w:val="16"/>
                <w:szCs w:val="16"/>
              </w:rPr>
            </w:pPr>
            <w:r w:rsidRPr="00AA1E72">
              <w:rPr>
                <w:rFonts w:cs="Arial"/>
                <w:sz w:val="16"/>
                <w:szCs w:val="16"/>
              </w:rPr>
              <w:t>An increase of 15% over the baseline</w:t>
            </w:r>
          </w:p>
        </w:tc>
        <w:tc>
          <w:tcPr>
            <w:tcW w:w="1269" w:type="pct"/>
            <w:tcBorders>
              <w:top w:val="nil"/>
              <w:bottom w:val="nil"/>
            </w:tcBorders>
            <w:shd w:val="clear" w:color="auto" w:fill="FFFFFF"/>
            <w:tcMar>
              <w:top w:w="110" w:type="dxa"/>
            </w:tcMar>
          </w:tcPr>
          <w:p w:rsidR="005C2D42" w:rsidRPr="0002226C" w:rsidRDefault="005C2D42" w:rsidP="00E3403E">
            <w:pPr>
              <w:rPr>
                <w:rFonts w:cs="Arial"/>
                <w:sz w:val="16"/>
                <w:szCs w:val="16"/>
                <w:lang w:bidi="th-TH"/>
              </w:rPr>
            </w:pPr>
            <w:r w:rsidRPr="0002226C">
              <w:rPr>
                <w:rFonts w:cs="Arial"/>
                <w:sz w:val="16"/>
                <w:szCs w:val="16"/>
                <w:lang w:bidi="th-TH"/>
              </w:rPr>
              <w:t>397 academics from developing countries, LDCs and CETs members</w:t>
            </w:r>
            <w:r>
              <w:rPr>
                <w:rFonts w:cs="Arial"/>
                <w:sz w:val="16"/>
                <w:szCs w:val="16"/>
                <w:lang w:bidi="th-TH"/>
              </w:rPr>
              <w:t xml:space="preserve"> of ATRIP, as reported by ATRIP</w:t>
            </w:r>
            <w:r w:rsidRPr="0002226C">
              <w:rPr>
                <w:rFonts w:cs="Arial"/>
                <w:sz w:val="16"/>
                <w:szCs w:val="16"/>
                <w:lang w:bidi="th-TH"/>
              </w:rPr>
              <w:t xml:space="preserve"> (2</w:t>
            </w:r>
            <w:r>
              <w:rPr>
                <w:rFonts w:cs="Arial"/>
                <w:sz w:val="16"/>
                <w:szCs w:val="16"/>
                <w:lang w:bidi="th-TH"/>
              </w:rPr>
              <w:t>2</w:t>
            </w:r>
            <w:r w:rsidRPr="0002226C">
              <w:rPr>
                <w:rFonts w:cs="Arial"/>
                <w:sz w:val="16"/>
                <w:szCs w:val="16"/>
                <w:lang w:bidi="th-TH"/>
              </w:rPr>
              <w:t xml:space="preserve"> </w:t>
            </w:r>
            <w:r>
              <w:rPr>
                <w:rFonts w:cs="Arial"/>
                <w:sz w:val="16"/>
                <w:szCs w:val="16"/>
                <w:lang w:bidi="th-TH"/>
              </w:rPr>
              <w:t>%</w:t>
            </w:r>
            <w:r w:rsidRPr="0002226C">
              <w:rPr>
                <w:rFonts w:cs="Arial"/>
                <w:sz w:val="16"/>
                <w:szCs w:val="16"/>
                <w:lang w:bidi="th-TH"/>
              </w:rPr>
              <w:t xml:space="preserve"> increase over </w:t>
            </w:r>
            <w:r>
              <w:rPr>
                <w:rFonts w:cs="Arial"/>
                <w:sz w:val="16"/>
                <w:szCs w:val="16"/>
                <w:lang w:bidi="th-TH"/>
              </w:rPr>
              <w:t>2012/13</w:t>
            </w:r>
            <w:r w:rsidRPr="0002226C">
              <w:rPr>
                <w:rFonts w:cs="Arial"/>
                <w:sz w:val="16"/>
                <w:szCs w:val="16"/>
                <w:lang w:bidi="th-TH"/>
              </w:rPr>
              <w:t>).</w:t>
            </w:r>
          </w:p>
        </w:tc>
        <w:tc>
          <w:tcPr>
            <w:tcW w:w="522" w:type="pct"/>
            <w:tcBorders>
              <w:top w:val="nil"/>
              <w:bottom w:val="nil"/>
              <w:right w:val="single" w:sz="4" w:space="0" w:color="auto"/>
            </w:tcBorders>
            <w:shd w:val="clear" w:color="auto" w:fill="auto"/>
            <w:tcMar>
              <w:top w:w="110" w:type="dxa"/>
            </w:tcMar>
          </w:tcPr>
          <w:p w:rsidR="005C2D42" w:rsidRPr="0002226C" w:rsidRDefault="005C2D42" w:rsidP="00E3403E">
            <w:pPr>
              <w:jc w:val="center"/>
              <w:rPr>
                <w:rFonts w:cs="Arial"/>
                <w:b/>
                <w:bCs/>
                <w:color w:val="00B050"/>
                <w:sz w:val="16"/>
                <w:szCs w:val="16"/>
              </w:rPr>
            </w:pPr>
            <w:r w:rsidRPr="0002226C">
              <w:rPr>
                <w:rFonts w:cs="Arial"/>
                <w:b/>
                <w:bCs/>
                <w:color w:val="00B050"/>
                <w:sz w:val="16"/>
                <w:szCs w:val="16"/>
              </w:rPr>
              <w:t>Fully Achieved</w:t>
            </w:r>
          </w:p>
        </w:tc>
      </w:tr>
      <w:tr w:rsidR="005C2D42" w:rsidRPr="00054B91" w:rsidTr="00E3403E">
        <w:tc>
          <w:tcPr>
            <w:tcW w:w="1045" w:type="pct"/>
            <w:tcBorders>
              <w:top w:val="nil"/>
              <w:left w:val="single" w:sz="4" w:space="0" w:color="auto"/>
              <w:bottom w:val="single" w:sz="4" w:space="0" w:color="auto"/>
            </w:tcBorders>
            <w:shd w:val="clear" w:color="auto" w:fill="auto"/>
          </w:tcPr>
          <w:p w:rsidR="005C2D42" w:rsidRDefault="005C2D42" w:rsidP="00E3403E">
            <w:pPr>
              <w:rPr>
                <w:rFonts w:cs="Arial"/>
                <w:sz w:val="16"/>
                <w:szCs w:val="16"/>
              </w:rPr>
            </w:pPr>
            <w:r w:rsidRPr="00AA1E72">
              <w:rPr>
                <w:rFonts w:cs="Arial"/>
                <w:sz w:val="16"/>
                <w:szCs w:val="16"/>
              </w:rPr>
              <w:t>No. of new start-up academies projects initiated after the conclusion of the Pilot Phase</w:t>
            </w:r>
          </w:p>
          <w:p w:rsidR="005C2D42" w:rsidRDefault="005C2D42" w:rsidP="00E3403E">
            <w:pPr>
              <w:rPr>
                <w:rFonts w:cs="Arial"/>
                <w:sz w:val="16"/>
                <w:szCs w:val="16"/>
              </w:rPr>
            </w:pPr>
          </w:p>
        </w:tc>
        <w:tc>
          <w:tcPr>
            <w:tcW w:w="1418" w:type="pct"/>
            <w:tcBorders>
              <w:top w:val="nil"/>
              <w:bottom w:val="single" w:sz="4" w:space="0" w:color="auto"/>
            </w:tcBorders>
            <w:shd w:val="clear" w:color="auto" w:fill="auto"/>
          </w:tcPr>
          <w:p w:rsidR="005C2D42" w:rsidRDefault="005C2D42" w:rsidP="00E3403E">
            <w:pPr>
              <w:rPr>
                <w:rFonts w:cs="Arial"/>
                <w:sz w:val="16"/>
                <w:szCs w:val="16"/>
                <w:lang w:bidi="th-TH"/>
              </w:rPr>
            </w:pPr>
            <w:r>
              <w:rPr>
                <w:rFonts w:cs="Arial"/>
                <w:i/>
                <w:color w:val="002060"/>
                <w:sz w:val="16"/>
                <w:szCs w:val="16"/>
              </w:rPr>
              <w:t>Updated Baseline end 2013</w:t>
            </w:r>
            <w:r w:rsidRPr="00054B91">
              <w:rPr>
                <w:rFonts w:cs="Arial"/>
                <w:i/>
                <w:color w:val="002060"/>
                <w:sz w:val="16"/>
                <w:szCs w:val="16"/>
              </w:rPr>
              <w:t xml:space="preserve">:  </w:t>
            </w:r>
            <w:r>
              <w:rPr>
                <w:rFonts w:cs="Arial"/>
                <w:sz w:val="16"/>
                <w:szCs w:val="16"/>
                <w:lang w:bidi="th-TH"/>
              </w:rPr>
              <w:t xml:space="preserve"> </w:t>
            </w:r>
            <w:r w:rsidRPr="006B697D">
              <w:rPr>
                <w:rFonts w:cs="Arial"/>
                <w:color w:val="002060"/>
                <w:sz w:val="16"/>
                <w:szCs w:val="16"/>
                <w:lang w:bidi="th-TH"/>
              </w:rPr>
              <w:t>Phase II of the pilot phase of the project was not completed at the end of 2013.</w:t>
            </w:r>
          </w:p>
          <w:p w:rsidR="005C2D42" w:rsidRPr="00054B91" w:rsidRDefault="005C2D42" w:rsidP="00E3403E">
            <w:pPr>
              <w:rPr>
                <w:rFonts w:cs="Arial"/>
                <w:color w:val="002060"/>
                <w:sz w:val="16"/>
                <w:szCs w:val="16"/>
              </w:rPr>
            </w:pPr>
          </w:p>
          <w:p w:rsidR="005C2D42" w:rsidRDefault="005C2D42" w:rsidP="00E3403E">
            <w:pPr>
              <w:rPr>
                <w:rFonts w:cs="Arial"/>
                <w:i/>
                <w:color w:val="002060"/>
                <w:sz w:val="16"/>
                <w:szCs w:val="16"/>
              </w:rPr>
            </w:pPr>
            <w:r>
              <w:rPr>
                <w:rFonts w:cs="Arial"/>
                <w:i/>
                <w:sz w:val="16"/>
                <w:szCs w:val="16"/>
              </w:rPr>
              <w:t>Original Baseline P&amp;B 2014/15</w:t>
            </w:r>
            <w:r w:rsidRPr="00054B91">
              <w:rPr>
                <w:rFonts w:cs="Arial"/>
                <w:i/>
                <w:sz w:val="16"/>
                <w:szCs w:val="16"/>
              </w:rPr>
              <w:t>:</w:t>
            </w:r>
            <w:r>
              <w:rPr>
                <w:rFonts w:cs="Arial"/>
                <w:sz w:val="16"/>
                <w:szCs w:val="16"/>
              </w:rPr>
              <w:t xml:space="preserve">  0</w:t>
            </w:r>
          </w:p>
        </w:tc>
        <w:tc>
          <w:tcPr>
            <w:tcW w:w="746" w:type="pct"/>
            <w:tcBorders>
              <w:top w:val="nil"/>
              <w:bottom w:val="single" w:sz="4" w:space="0" w:color="auto"/>
            </w:tcBorders>
            <w:shd w:val="clear" w:color="auto" w:fill="auto"/>
            <w:tcMar>
              <w:top w:w="110" w:type="dxa"/>
            </w:tcMar>
          </w:tcPr>
          <w:p w:rsidR="005C2D42" w:rsidRDefault="005C2D42" w:rsidP="00E3403E">
            <w:pPr>
              <w:autoSpaceDE w:val="0"/>
              <w:autoSpaceDN w:val="0"/>
              <w:adjustRightInd w:val="0"/>
              <w:rPr>
                <w:rFonts w:cs="Arial"/>
                <w:sz w:val="16"/>
                <w:szCs w:val="16"/>
              </w:rPr>
            </w:pPr>
            <w:r>
              <w:rPr>
                <w:rFonts w:cs="Arial"/>
                <w:sz w:val="16"/>
                <w:szCs w:val="16"/>
              </w:rPr>
              <w:t>4</w:t>
            </w:r>
          </w:p>
        </w:tc>
        <w:tc>
          <w:tcPr>
            <w:tcW w:w="1269" w:type="pct"/>
            <w:tcBorders>
              <w:top w:val="nil"/>
              <w:bottom w:val="single" w:sz="4" w:space="0" w:color="auto"/>
            </w:tcBorders>
            <w:shd w:val="clear" w:color="auto" w:fill="FFFFFF"/>
            <w:tcMar>
              <w:top w:w="110" w:type="dxa"/>
            </w:tcMar>
          </w:tcPr>
          <w:p w:rsidR="005C2D42" w:rsidRPr="0002226C" w:rsidRDefault="005C2D42" w:rsidP="00E3403E">
            <w:pPr>
              <w:rPr>
                <w:rFonts w:cs="Arial"/>
                <w:sz w:val="16"/>
                <w:szCs w:val="16"/>
                <w:lang w:bidi="th-TH"/>
              </w:rPr>
            </w:pPr>
            <w:r w:rsidRPr="0002226C">
              <w:rPr>
                <w:rFonts w:cs="Arial"/>
                <w:sz w:val="16"/>
                <w:szCs w:val="16"/>
                <w:lang w:bidi="th-TH"/>
              </w:rPr>
              <w:t xml:space="preserve">7 new </w:t>
            </w:r>
            <w:r>
              <w:rPr>
                <w:rFonts w:cs="Arial"/>
                <w:sz w:val="16"/>
                <w:szCs w:val="16"/>
                <w:lang w:bidi="th-TH"/>
              </w:rPr>
              <w:t>agreements signed</w:t>
            </w:r>
            <w:r>
              <w:t xml:space="preserve"> (</w:t>
            </w:r>
            <w:r w:rsidRPr="0041126A">
              <w:rPr>
                <w:rFonts w:cs="Arial"/>
                <w:sz w:val="16"/>
                <w:szCs w:val="16"/>
                <w:lang w:bidi="th-TH"/>
              </w:rPr>
              <w:t>Azerbaijan, Cambodia, Costa Rica, Ecuador, El Salvador, Georgia and Turkey</w:t>
            </w:r>
            <w:r>
              <w:rPr>
                <w:rFonts w:cs="Arial"/>
                <w:sz w:val="16"/>
                <w:szCs w:val="16"/>
                <w:lang w:bidi="th-TH"/>
              </w:rPr>
              <w:t>)</w:t>
            </w:r>
          </w:p>
        </w:tc>
        <w:tc>
          <w:tcPr>
            <w:tcW w:w="522" w:type="pct"/>
            <w:tcBorders>
              <w:top w:val="nil"/>
              <w:bottom w:val="single" w:sz="4" w:space="0" w:color="auto"/>
              <w:right w:val="single" w:sz="4" w:space="0" w:color="auto"/>
            </w:tcBorders>
            <w:shd w:val="clear" w:color="auto" w:fill="auto"/>
            <w:tcMar>
              <w:top w:w="110" w:type="dxa"/>
            </w:tcMar>
          </w:tcPr>
          <w:p w:rsidR="005C2D42" w:rsidRPr="0002226C" w:rsidRDefault="005C2D42" w:rsidP="00E3403E">
            <w:pPr>
              <w:jc w:val="center"/>
              <w:rPr>
                <w:rFonts w:cs="Arial"/>
                <w:b/>
                <w:bCs/>
                <w:sz w:val="16"/>
                <w:szCs w:val="16"/>
              </w:rPr>
            </w:pPr>
            <w:r w:rsidRPr="0002226C">
              <w:rPr>
                <w:rFonts w:cs="Arial"/>
                <w:b/>
                <w:bCs/>
                <w:color w:val="00B050"/>
                <w:sz w:val="16"/>
                <w:szCs w:val="16"/>
              </w:rPr>
              <w:t>Fully Achieved</w:t>
            </w:r>
          </w:p>
        </w:tc>
      </w:tr>
    </w:tbl>
    <w:p w:rsidR="005C2D42" w:rsidRDefault="005C2D42" w:rsidP="00E3403E">
      <w:pPr>
        <w:rPr>
          <w:rFonts w:cs="Arial"/>
          <w:color w:val="000000"/>
          <w:sz w:val="22"/>
          <w:szCs w:val="22"/>
        </w:rPr>
      </w:pPr>
    </w:p>
    <w:p w:rsidR="005C2D42" w:rsidRDefault="005C2D42" w:rsidP="00E3403E">
      <w:pPr>
        <w:rPr>
          <w:rFonts w:cs="Arial"/>
          <w:color w:val="000000"/>
          <w:sz w:val="22"/>
          <w:szCs w:val="22"/>
        </w:rPr>
      </w:pPr>
    </w:p>
    <w:p w:rsidR="005C2D42" w:rsidRPr="00E956BE" w:rsidRDefault="005C2D42" w:rsidP="00E3403E">
      <w:pPr>
        <w:spacing w:after="200" w:line="276" w:lineRule="auto"/>
        <w:rPr>
          <w:sz w:val="18"/>
        </w:rPr>
      </w:pPr>
      <w:r w:rsidRPr="00E956BE">
        <w:rPr>
          <w:rFonts w:cs="Arial"/>
          <w:color w:val="000000"/>
          <w:szCs w:val="22"/>
        </w:rPr>
        <w:t>RISK REPORTING FOR THE BIENNIUM</w:t>
      </w:r>
    </w:p>
    <w:tbl>
      <w:tblPr>
        <w:tblW w:w="9356"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2420"/>
        <w:gridCol w:w="2200"/>
        <w:gridCol w:w="2310"/>
        <w:gridCol w:w="2426"/>
      </w:tblGrid>
      <w:tr w:rsidR="005C2D42" w:rsidRPr="003C527B" w:rsidTr="00E3403E">
        <w:trPr>
          <w:trHeight w:val="382"/>
        </w:trPr>
        <w:tc>
          <w:tcPr>
            <w:tcW w:w="2420" w:type="dxa"/>
            <w:tcBorders>
              <w:top w:val="single" w:sz="4" w:space="0" w:color="auto"/>
              <w:bottom w:val="single" w:sz="4" w:space="0" w:color="auto"/>
            </w:tcBorders>
            <w:shd w:val="clear" w:color="auto" w:fill="C6D9F1" w:themeFill="text2" w:themeFillTint="33"/>
            <w:tcMar>
              <w:top w:w="113" w:type="dxa"/>
              <w:bottom w:w="113" w:type="dxa"/>
            </w:tcMar>
            <w:vAlign w:val="center"/>
          </w:tcPr>
          <w:p w:rsidR="005C2D42" w:rsidRPr="003C527B" w:rsidRDefault="005C2D42" w:rsidP="00E3403E">
            <w:pPr>
              <w:keepNext/>
              <w:keepLines/>
              <w:autoSpaceDE w:val="0"/>
              <w:autoSpaceDN w:val="0"/>
              <w:adjustRightInd w:val="0"/>
              <w:ind w:right="-59"/>
              <w:jc w:val="center"/>
              <w:rPr>
                <w:b/>
                <w:sz w:val="18"/>
                <w:szCs w:val="18"/>
              </w:rPr>
            </w:pPr>
            <w:r w:rsidRPr="003C527B">
              <w:rPr>
                <w:b/>
                <w:iCs/>
                <w:sz w:val="18"/>
                <w:szCs w:val="18"/>
              </w:rPr>
              <w:t>Risk(s) to the Program achieving its Results</w:t>
            </w:r>
          </w:p>
        </w:tc>
        <w:tc>
          <w:tcPr>
            <w:tcW w:w="2200" w:type="dxa"/>
            <w:tcBorders>
              <w:top w:val="single" w:sz="4" w:space="0" w:color="auto"/>
              <w:bottom w:val="single" w:sz="4" w:space="0" w:color="auto"/>
            </w:tcBorders>
            <w:shd w:val="clear" w:color="auto" w:fill="C6D9F1" w:themeFill="text2" w:themeFillTint="33"/>
            <w:tcMar>
              <w:top w:w="113" w:type="dxa"/>
              <w:bottom w:w="113" w:type="dxa"/>
            </w:tcMar>
            <w:vAlign w:val="center"/>
          </w:tcPr>
          <w:p w:rsidR="005C2D42" w:rsidRPr="003C527B" w:rsidRDefault="005C2D42" w:rsidP="00E3403E">
            <w:pPr>
              <w:keepNext/>
              <w:keepLines/>
              <w:autoSpaceDE w:val="0"/>
              <w:autoSpaceDN w:val="0"/>
              <w:adjustRightInd w:val="0"/>
              <w:ind w:right="-59"/>
              <w:jc w:val="center"/>
              <w:rPr>
                <w:b/>
                <w:sz w:val="18"/>
                <w:szCs w:val="18"/>
              </w:rPr>
            </w:pPr>
            <w:r w:rsidRPr="003C527B">
              <w:rPr>
                <w:b/>
                <w:iCs/>
                <w:sz w:val="18"/>
                <w:szCs w:val="18"/>
              </w:rPr>
              <w:t>Mitigation plans in place or under implementation</w:t>
            </w:r>
          </w:p>
        </w:tc>
        <w:tc>
          <w:tcPr>
            <w:tcW w:w="2310" w:type="dxa"/>
            <w:tcBorders>
              <w:top w:val="single" w:sz="4" w:space="0" w:color="auto"/>
              <w:bottom w:val="single" w:sz="4" w:space="0" w:color="auto"/>
            </w:tcBorders>
            <w:shd w:val="clear" w:color="auto" w:fill="C6D9F1" w:themeFill="text2" w:themeFillTint="33"/>
          </w:tcPr>
          <w:p w:rsidR="005C2D42" w:rsidRPr="003C527B" w:rsidRDefault="005C2D42" w:rsidP="00E3403E">
            <w:pPr>
              <w:jc w:val="center"/>
              <w:rPr>
                <w:b/>
                <w:bCs/>
                <w:sz w:val="18"/>
                <w:szCs w:val="18"/>
              </w:rPr>
            </w:pPr>
            <w:r>
              <w:rPr>
                <w:b/>
                <w:bCs/>
                <w:sz w:val="18"/>
                <w:szCs w:val="18"/>
              </w:rPr>
              <w:t>Evolution of Risk(s) and Mitigation Strategies Over the Biennium</w:t>
            </w:r>
          </w:p>
        </w:tc>
        <w:tc>
          <w:tcPr>
            <w:tcW w:w="2426" w:type="dxa"/>
            <w:tcBorders>
              <w:top w:val="single" w:sz="4" w:space="0" w:color="auto"/>
              <w:bottom w:val="single" w:sz="4" w:space="0" w:color="auto"/>
            </w:tcBorders>
            <w:shd w:val="clear" w:color="auto" w:fill="C6D9F1" w:themeFill="text2" w:themeFillTint="33"/>
          </w:tcPr>
          <w:p w:rsidR="005C2D42" w:rsidRPr="003C527B" w:rsidRDefault="005C2D42" w:rsidP="00E3403E">
            <w:pPr>
              <w:jc w:val="center"/>
              <w:rPr>
                <w:b/>
                <w:bCs/>
                <w:sz w:val="18"/>
                <w:szCs w:val="18"/>
              </w:rPr>
            </w:pPr>
            <w:r>
              <w:rPr>
                <w:b/>
                <w:bCs/>
                <w:sz w:val="18"/>
                <w:szCs w:val="18"/>
              </w:rPr>
              <w:t>Impact on the Program’s Performance</w:t>
            </w:r>
          </w:p>
        </w:tc>
      </w:tr>
      <w:tr w:rsidR="005C2D42" w:rsidRPr="003C527B" w:rsidTr="00E3403E">
        <w:trPr>
          <w:trHeight w:val="1197"/>
        </w:trPr>
        <w:tc>
          <w:tcPr>
            <w:tcW w:w="2420" w:type="dxa"/>
            <w:tcBorders>
              <w:top w:val="single" w:sz="4" w:space="0" w:color="auto"/>
            </w:tcBorders>
            <w:shd w:val="clear" w:color="auto" w:fill="auto"/>
            <w:tcMar>
              <w:top w:w="113" w:type="dxa"/>
              <w:bottom w:w="113" w:type="dxa"/>
            </w:tcMar>
          </w:tcPr>
          <w:p w:rsidR="005C2D42" w:rsidRPr="003C527B" w:rsidRDefault="005C2D42" w:rsidP="00E3403E">
            <w:pPr>
              <w:keepNext/>
              <w:keepLines/>
              <w:tabs>
                <w:tab w:val="left" w:pos="1170"/>
              </w:tabs>
              <w:rPr>
                <w:sz w:val="16"/>
                <w:szCs w:val="16"/>
              </w:rPr>
            </w:pPr>
            <w:r w:rsidRPr="003C527B">
              <w:rPr>
                <w:sz w:val="16"/>
                <w:szCs w:val="16"/>
              </w:rPr>
              <w:t>In a fast-changing technological and IP landscape, user expectations and preferences are also evolving rapidly.   The interface, graphics and IT platform of distance learning courses can become outdated and the IP content of the different training programs of the Academy could furthermore become misaligned in relation to emerging global challenges and developments.</w:t>
            </w:r>
          </w:p>
        </w:tc>
        <w:tc>
          <w:tcPr>
            <w:tcW w:w="2200" w:type="dxa"/>
            <w:tcBorders>
              <w:top w:val="single" w:sz="4" w:space="0" w:color="auto"/>
            </w:tcBorders>
            <w:shd w:val="clear" w:color="auto" w:fill="auto"/>
            <w:tcMar>
              <w:top w:w="113" w:type="dxa"/>
              <w:bottom w:w="113" w:type="dxa"/>
            </w:tcMar>
          </w:tcPr>
          <w:p w:rsidR="005C2D42" w:rsidRPr="003C527B" w:rsidRDefault="005C2D42" w:rsidP="00E3403E">
            <w:pPr>
              <w:keepNext/>
              <w:keepLines/>
              <w:autoSpaceDE w:val="0"/>
              <w:autoSpaceDN w:val="0"/>
              <w:adjustRightInd w:val="0"/>
              <w:ind w:right="-59"/>
              <w:rPr>
                <w:sz w:val="16"/>
                <w:szCs w:val="16"/>
              </w:rPr>
            </w:pPr>
            <w:r w:rsidRPr="003C527B">
              <w:rPr>
                <w:sz w:val="16"/>
                <w:szCs w:val="16"/>
              </w:rPr>
              <w:t>Feedback from distance learning students and tutors will continue to be sought and after substantive advice from IP experts, updates to supported platforms and/or IP content will be made.  </w:t>
            </w:r>
          </w:p>
        </w:tc>
        <w:tc>
          <w:tcPr>
            <w:tcW w:w="2310" w:type="dxa"/>
            <w:tcBorders>
              <w:top w:val="single" w:sz="4" w:space="0" w:color="auto"/>
            </w:tcBorders>
          </w:tcPr>
          <w:p w:rsidR="005C2D42" w:rsidRPr="005E7406" w:rsidRDefault="005C2D42" w:rsidP="00E3403E">
            <w:pPr>
              <w:keepNext/>
              <w:keepLines/>
              <w:autoSpaceDE w:val="0"/>
              <w:autoSpaceDN w:val="0"/>
              <w:adjustRightInd w:val="0"/>
              <w:ind w:right="-59"/>
              <w:rPr>
                <w:sz w:val="16"/>
                <w:szCs w:val="16"/>
              </w:rPr>
            </w:pPr>
            <w:r w:rsidRPr="005E7406">
              <w:rPr>
                <w:sz w:val="16"/>
                <w:szCs w:val="16"/>
              </w:rPr>
              <w:t xml:space="preserve">The WIPO Academy eLearning Centre (WeLC) was upgraded in 2015. </w:t>
            </w:r>
          </w:p>
          <w:p w:rsidR="005C2D42" w:rsidRPr="005E7406" w:rsidRDefault="005C2D42" w:rsidP="00E3403E">
            <w:pPr>
              <w:keepNext/>
              <w:keepLines/>
              <w:autoSpaceDE w:val="0"/>
              <w:autoSpaceDN w:val="0"/>
              <w:adjustRightInd w:val="0"/>
              <w:ind w:right="-59"/>
              <w:rPr>
                <w:sz w:val="16"/>
                <w:szCs w:val="16"/>
              </w:rPr>
            </w:pPr>
          </w:p>
          <w:p w:rsidR="005C2D42" w:rsidRPr="003C527B" w:rsidRDefault="005C2D42" w:rsidP="00E3403E">
            <w:pPr>
              <w:keepNext/>
              <w:keepLines/>
              <w:autoSpaceDE w:val="0"/>
              <w:autoSpaceDN w:val="0"/>
              <w:adjustRightInd w:val="0"/>
              <w:ind w:right="-59"/>
              <w:rPr>
                <w:sz w:val="16"/>
                <w:szCs w:val="16"/>
              </w:rPr>
            </w:pPr>
            <w:r w:rsidRPr="005E7406">
              <w:rPr>
                <w:sz w:val="16"/>
                <w:szCs w:val="16"/>
              </w:rPr>
              <w:t xml:space="preserve">To stay relevant and current, the </w:t>
            </w:r>
            <w:r>
              <w:rPr>
                <w:sz w:val="16"/>
                <w:szCs w:val="16"/>
              </w:rPr>
              <w:t>DL</w:t>
            </w:r>
            <w:r w:rsidRPr="005E7406">
              <w:rPr>
                <w:sz w:val="16"/>
                <w:szCs w:val="16"/>
              </w:rPr>
              <w:t xml:space="preserve"> courses are expected to follow the plan for </w:t>
            </w:r>
            <w:r>
              <w:rPr>
                <w:sz w:val="16"/>
                <w:szCs w:val="16"/>
              </w:rPr>
              <w:t xml:space="preserve">a more systemic approach in the annual </w:t>
            </w:r>
            <w:r w:rsidRPr="005E7406">
              <w:rPr>
                <w:sz w:val="16"/>
                <w:szCs w:val="16"/>
              </w:rPr>
              <w:t>course review</w:t>
            </w:r>
            <w:r>
              <w:rPr>
                <w:sz w:val="16"/>
                <w:szCs w:val="16"/>
              </w:rPr>
              <w:t xml:space="preserve"> process.</w:t>
            </w:r>
          </w:p>
        </w:tc>
        <w:tc>
          <w:tcPr>
            <w:tcW w:w="2426" w:type="dxa"/>
            <w:tcBorders>
              <w:top w:val="single" w:sz="4" w:space="0" w:color="auto"/>
            </w:tcBorders>
          </w:tcPr>
          <w:p w:rsidR="005C2D42" w:rsidRDefault="005C2D42" w:rsidP="00E3403E">
            <w:pPr>
              <w:autoSpaceDE w:val="0"/>
              <w:autoSpaceDN w:val="0"/>
              <w:adjustRightInd w:val="0"/>
              <w:ind w:right="-59"/>
              <w:rPr>
                <w:sz w:val="16"/>
                <w:szCs w:val="16"/>
                <w:lang w:eastAsia="zh-CN"/>
              </w:rPr>
            </w:pPr>
            <w:r>
              <w:rPr>
                <w:sz w:val="16"/>
                <w:szCs w:val="16"/>
                <w:lang w:eastAsia="zh-CN"/>
              </w:rPr>
              <w:t>This risk and its evolution did not have any material impact on the Program’s performance in 2014/15.</w:t>
            </w:r>
          </w:p>
          <w:p w:rsidR="005C2D42" w:rsidRPr="003C527B" w:rsidRDefault="005C2D42" w:rsidP="00E3403E">
            <w:pPr>
              <w:keepNext/>
              <w:keepLines/>
              <w:autoSpaceDE w:val="0"/>
              <w:autoSpaceDN w:val="0"/>
              <w:adjustRightInd w:val="0"/>
              <w:ind w:right="-59"/>
              <w:rPr>
                <w:sz w:val="16"/>
                <w:szCs w:val="16"/>
              </w:rPr>
            </w:pPr>
          </w:p>
        </w:tc>
      </w:tr>
    </w:tbl>
    <w:p w:rsidR="005C2D42" w:rsidRDefault="005C2D42">
      <w:pPr>
        <w:spacing w:after="200" w:line="276" w:lineRule="auto"/>
        <w:rPr>
          <w:rFonts w:cs="Arial"/>
          <w:color w:val="000000"/>
          <w:sz w:val="24"/>
        </w:rPr>
      </w:pPr>
    </w:p>
    <w:p w:rsidR="005C2D42" w:rsidRPr="00E956BE" w:rsidRDefault="005C2D42" w:rsidP="00E3403E">
      <w:pPr>
        <w:rPr>
          <w:b/>
        </w:rPr>
      </w:pPr>
      <w:r w:rsidRPr="00E956BE">
        <w:rPr>
          <w:rFonts w:cs="Arial"/>
          <w:color w:val="000000"/>
        </w:rPr>
        <w:t>RESOURCE UTILIZATION</w:t>
      </w:r>
    </w:p>
    <w:p w:rsidR="005C2D42" w:rsidRPr="008F4A6D" w:rsidRDefault="005C2D42" w:rsidP="00E3403E">
      <w:pPr>
        <w:rPr>
          <w:szCs w:val="20"/>
        </w:rPr>
      </w:pPr>
    </w:p>
    <w:p w:rsidR="005C2D42" w:rsidRPr="00516D30" w:rsidRDefault="005C2D42" w:rsidP="00E3403E">
      <w:pPr>
        <w:pStyle w:val="NormalWeb"/>
        <w:spacing w:before="0" w:beforeAutospacing="0" w:after="0" w:afterAutospacing="0"/>
        <w:jc w:val="center"/>
        <w:rPr>
          <w:sz w:val="22"/>
          <w:szCs w:val="22"/>
        </w:rPr>
      </w:pPr>
      <w:r w:rsidRPr="00516D30">
        <w:rPr>
          <w:color w:val="000000"/>
          <w:sz w:val="22"/>
          <w:szCs w:val="22"/>
        </w:rPr>
        <w:t xml:space="preserve">Budget and Actual Expenditure (by result) </w:t>
      </w:r>
    </w:p>
    <w:p w:rsidR="005C2D42" w:rsidRPr="00516D30" w:rsidRDefault="005C2D42" w:rsidP="00E3403E">
      <w:pPr>
        <w:pStyle w:val="NormalWeb"/>
        <w:spacing w:before="0" w:beforeAutospacing="0" w:after="0" w:afterAutospacing="0"/>
        <w:jc w:val="center"/>
        <w:rPr>
          <w:i/>
          <w:iCs/>
          <w:color w:val="000000"/>
          <w:sz w:val="22"/>
          <w:szCs w:val="22"/>
        </w:rPr>
      </w:pPr>
      <w:r w:rsidRPr="00516D30">
        <w:rPr>
          <w:i/>
          <w:iCs/>
          <w:color w:val="000000"/>
          <w:sz w:val="22"/>
          <w:szCs w:val="22"/>
        </w:rPr>
        <w:t>(in thousands of Swiss francs)</w:t>
      </w:r>
    </w:p>
    <w:p w:rsidR="005C2D42" w:rsidRDefault="005C2D42" w:rsidP="00E3403E">
      <w:pPr>
        <w:pStyle w:val="NormalWeb"/>
        <w:spacing w:before="0" w:beforeAutospacing="0" w:after="0" w:afterAutospacing="0"/>
        <w:jc w:val="center"/>
      </w:pPr>
    </w:p>
    <w:p w:rsidR="005C2D42" w:rsidRDefault="005C2D42" w:rsidP="00E3403E">
      <w:pPr>
        <w:jc w:val="center"/>
      </w:pPr>
      <w:r w:rsidRPr="00294027">
        <w:rPr>
          <w:noProof/>
        </w:rPr>
        <w:drawing>
          <wp:inline distT="0" distB="0" distL="0" distR="0" wp14:anchorId="764D4F3E" wp14:editId="0EE5F197">
            <wp:extent cx="4810125" cy="1001778"/>
            <wp:effectExtent l="0" t="0" r="0" b="8255"/>
            <wp:docPr id="836" name="Picture 8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4818897" cy="1003605"/>
                    </a:xfrm>
                    <a:prstGeom prst="rect">
                      <a:avLst/>
                    </a:prstGeom>
                    <a:noFill/>
                    <a:ln>
                      <a:noFill/>
                    </a:ln>
                  </pic:spPr>
                </pic:pic>
              </a:graphicData>
            </a:graphic>
          </wp:inline>
        </w:drawing>
      </w:r>
    </w:p>
    <w:p w:rsidR="005C2D42" w:rsidRPr="00516D30" w:rsidRDefault="005C2D42" w:rsidP="00E3403E">
      <w:pPr>
        <w:pStyle w:val="NormalWeb"/>
        <w:keepNext/>
        <w:keepLines/>
        <w:spacing w:before="0" w:beforeAutospacing="0" w:after="0" w:afterAutospacing="0"/>
        <w:jc w:val="center"/>
        <w:rPr>
          <w:sz w:val="22"/>
          <w:szCs w:val="22"/>
        </w:rPr>
      </w:pPr>
      <w:r w:rsidRPr="00516D30">
        <w:rPr>
          <w:color w:val="000000"/>
          <w:sz w:val="22"/>
          <w:szCs w:val="22"/>
        </w:rPr>
        <w:lastRenderedPageBreak/>
        <w:t xml:space="preserve">Budget and Actual Expenditure (personnel and non-personnel) </w:t>
      </w:r>
    </w:p>
    <w:p w:rsidR="005C2D42" w:rsidRPr="00516D30" w:rsidRDefault="005C2D42" w:rsidP="00E3403E">
      <w:pPr>
        <w:pStyle w:val="NormalWeb"/>
        <w:keepNext/>
        <w:keepLines/>
        <w:spacing w:before="0" w:beforeAutospacing="0" w:after="0" w:afterAutospacing="0"/>
        <w:jc w:val="center"/>
        <w:rPr>
          <w:i/>
          <w:iCs/>
          <w:color w:val="000000"/>
          <w:sz w:val="22"/>
          <w:szCs w:val="22"/>
        </w:rPr>
      </w:pPr>
      <w:r w:rsidRPr="00516D30">
        <w:rPr>
          <w:i/>
          <w:iCs/>
          <w:color w:val="000000"/>
          <w:sz w:val="22"/>
          <w:szCs w:val="22"/>
        </w:rPr>
        <w:t>(in thousands of Swiss francs)</w:t>
      </w:r>
    </w:p>
    <w:p w:rsidR="005C2D42" w:rsidRDefault="005C2D42" w:rsidP="00E3403E">
      <w:pPr>
        <w:pStyle w:val="NormalWeb"/>
        <w:keepNext/>
        <w:keepLines/>
        <w:spacing w:before="0" w:beforeAutospacing="0" w:after="0" w:afterAutospacing="0"/>
        <w:jc w:val="center"/>
      </w:pPr>
    </w:p>
    <w:p w:rsidR="005C2D42" w:rsidRDefault="005C2D42" w:rsidP="00E3403E">
      <w:pPr>
        <w:pStyle w:val="NormalWeb"/>
        <w:keepNext/>
        <w:keepLines/>
        <w:spacing w:before="0" w:beforeAutospacing="0" w:after="0" w:afterAutospacing="0"/>
        <w:jc w:val="center"/>
      </w:pPr>
      <w:r w:rsidRPr="0076439F">
        <w:rPr>
          <w:noProof/>
        </w:rPr>
        <w:drawing>
          <wp:inline distT="0" distB="0" distL="0" distR="0" wp14:anchorId="2671EF45" wp14:editId="7BF4F37E">
            <wp:extent cx="4857750" cy="974201"/>
            <wp:effectExtent l="0" t="0" r="0" b="0"/>
            <wp:docPr id="837" name="Picture 8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9">
                      <a:extLst>
                        <a:ext uri="{28A0092B-C50C-407E-A947-70E740481C1C}">
                          <a14:useLocalDpi xmlns:a14="http://schemas.microsoft.com/office/drawing/2010/main" val="0"/>
                        </a:ext>
                      </a:extLst>
                    </a:blip>
                    <a:srcRect/>
                    <a:stretch>
                      <a:fillRect/>
                    </a:stretch>
                  </pic:blipFill>
                  <pic:spPr bwMode="auto">
                    <a:xfrm>
                      <a:off x="0" y="0"/>
                      <a:ext cx="4876481" cy="977957"/>
                    </a:xfrm>
                    <a:prstGeom prst="rect">
                      <a:avLst/>
                    </a:prstGeom>
                    <a:noFill/>
                    <a:ln>
                      <a:noFill/>
                    </a:ln>
                  </pic:spPr>
                </pic:pic>
              </a:graphicData>
            </a:graphic>
          </wp:inline>
        </w:drawing>
      </w:r>
    </w:p>
    <w:p w:rsidR="005C2D42" w:rsidRDefault="005C2D42" w:rsidP="00E3403E">
      <w:pPr>
        <w:widowControl w:val="0"/>
        <w:autoSpaceDE w:val="0"/>
        <w:autoSpaceDN w:val="0"/>
        <w:adjustRightInd w:val="0"/>
        <w:rPr>
          <w:rFonts w:cs="Arial"/>
          <w:sz w:val="22"/>
          <w:szCs w:val="22"/>
        </w:rPr>
      </w:pPr>
    </w:p>
    <w:p w:rsidR="005C2D42" w:rsidRDefault="005C2D42" w:rsidP="00E3403E">
      <w:pPr>
        <w:widowControl w:val="0"/>
        <w:autoSpaceDE w:val="0"/>
        <w:autoSpaceDN w:val="0"/>
        <w:adjustRightInd w:val="0"/>
        <w:rPr>
          <w:rFonts w:cs="Arial"/>
          <w:sz w:val="22"/>
          <w:szCs w:val="22"/>
        </w:rPr>
      </w:pPr>
    </w:p>
    <w:p w:rsidR="005C2D42" w:rsidRDefault="005C2D42" w:rsidP="005C2D42">
      <w:pPr>
        <w:pStyle w:val="ListParagraph"/>
        <w:numPr>
          <w:ilvl w:val="0"/>
          <w:numId w:val="86"/>
        </w:numPr>
        <w:ind w:left="709" w:hanging="709"/>
        <w:jc w:val="both"/>
      </w:pPr>
      <w:r w:rsidRPr="00565867">
        <w:rPr>
          <w:u w:val="single"/>
        </w:rPr>
        <w:t>2014/15</w:t>
      </w:r>
      <w:r>
        <w:rPr>
          <w:u w:val="single"/>
        </w:rPr>
        <w:t xml:space="preserve"> </w:t>
      </w:r>
      <w:r w:rsidRPr="00565867">
        <w:rPr>
          <w:u w:val="single"/>
        </w:rPr>
        <w:t>Final Budget after Transfers</w:t>
      </w:r>
    </w:p>
    <w:p w:rsidR="005C2D42" w:rsidRDefault="005C2D42" w:rsidP="00E3403E">
      <w:pPr>
        <w:jc w:val="both"/>
      </w:pPr>
    </w:p>
    <w:p w:rsidR="005C2D42" w:rsidRPr="00E956BE" w:rsidRDefault="005C2D42" w:rsidP="005C2D42">
      <w:pPr>
        <w:pStyle w:val="ListParagraph"/>
        <w:numPr>
          <w:ilvl w:val="0"/>
          <w:numId w:val="84"/>
        </w:numPr>
        <w:tabs>
          <w:tab w:val="left" w:pos="709"/>
        </w:tabs>
        <w:autoSpaceDE w:val="0"/>
        <w:autoSpaceDN w:val="0"/>
        <w:adjustRightInd w:val="0"/>
        <w:ind w:left="0" w:firstLine="0"/>
        <w:jc w:val="both"/>
        <w:rPr>
          <w:rFonts w:eastAsiaTheme="minorHAnsi" w:cs="Arial"/>
          <w:color w:val="000000"/>
        </w:rPr>
      </w:pPr>
      <w:r w:rsidRPr="00E956BE">
        <w:rPr>
          <w:rFonts w:eastAsiaTheme="minorHAnsi" w:cs="Arial"/>
          <w:color w:val="000000"/>
        </w:rPr>
        <w:t xml:space="preserve">Resources available to the Program remained stable during the biennium.  Redeployment of personnel resources from the Program to meet the needs related to WIPO platforms and IT applications across the Development Sector (Programs 8, 9 and 11) were compensated by the redeployment of personnel resources into the Program following the transition in the management of the Academy towards the end of 2014. </w:t>
      </w:r>
    </w:p>
    <w:p w:rsidR="005C2D42" w:rsidRDefault="005C2D42" w:rsidP="00E3403E">
      <w:pPr>
        <w:jc w:val="both"/>
      </w:pPr>
    </w:p>
    <w:p w:rsidR="005C2D42" w:rsidRPr="00565867" w:rsidRDefault="005C2D42" w:rsidP="005C2D42">
      <w:pPr>
        <w:pStyle w:val="ListParagraph"/>
        <w:numPr>
          <w:ilvl w:val="0"/>
          <w:numId w:val="86"/>
        </w:numPr>
        <w:ind w:left="709" w:hanging="709"/>
        <w:jc w:val="both"/>
        <w:rPr>
          <w:u w:val="single"/>
        </w:rPr>
      </w:pPr>
      <w:r w:rsidRPr="00565867">
        <w:rPr>
          <w:u w:val="single"/>
        </w:rPr>
        <w:t>2014/15</w:t>
      </w:r>
      <w:r>
        <w:rPr>
          <w:u w:val="single"/>
        </w:rPr>
        <w:t xml:space="preserve"> Budget U</w:t>
      </w:r>
      <w:r w:rsidRPr="00565867">
        <w:rPr>
          <w:u w:val="single"/>
        </w:rPr>
        <w:t>tilization</w:t>
      </w:r>
    </w:p>
    <w:p w:rsidR="005C2D42" w:rsidRDefault="005C2D42" w:rsidP="00E3403E">
      <w:pPr>
        <w:jc w:val="both"/>
        <w:rPr>
          <w:u w:val="single"/>
        </w:rPr>
      </w:pPr>
    </w:p>
    <w:p w:rsidR="005C2D42" w:rsidRPr="00C31D52" w:rsidRDefault="005C2D42" w:rsidP="005C2D42">
      <w:pPr>
        <w:pStyle w:val="ListParagraph"/>
        <w:numPr>
          <w:ilvl w:val="0"/>
          <w:numId w:val="84"/>
        </w:numPr>
        <w:tabs>
          <w:tab w:val="left" w:pos="709"/>
        </w:tabs>
        <w:autoSpaceDE w:val="0"/>
        <w:autoSpaceDN w:val="0"/>
        <w:adjustRightInd w:val="0"/>
        <w:ind w:left="0" w:firstLine="0"/>
        <w:jc w:val="both"/>
        <w:rPr>
          <w:rFonts w:eastAsiaTheme="minorHAnsi" w:cs="Arial"/>
          <w:color w:val="000000"/>
        </w:rPr>
      </w:pPr>
      <w:r w:rsidRPr="00C31D52">
        <w:rPr>
          <w:rFonts w:eastAsiaTheme="minorHAnsi" w:cs="Arial"/>
          <w:color w:val="000000"/>
        </w:rPr>
        <w:t xml:space="preserve">Budget utilization is within the expected range for the biennium. </w:t>
      </w:r>
    </w:p>
    <w:p w:rsidR="000E3EAD" w:rsidRDefault="000E3EAD" w:rsidP="00D97F1C">
      <w:pPr>
        <w:rPr>
          <w:szCs w:val="20"/>
        </w:rPr>
      </w:pPr>
    </w:p>
    <w:p w:rsidR="000E3EAD" w:rsidRDefault="000E3EAD" w:rsidP="00D97F1C">
      <w:pPr>
        <w:rPr>
          <w:szCs w:val="20"/>
        </w:rPr>
      </w:pPr>
    </w:p>
    <w:p w:rsidR="000E3EAD" w:rsidRDefault="000E3EAD">
      <w:pPr>
        <w:rPr>
          <w:szCs w:val="20"/>
        </w:rPr>
      </w:pPr>
      <w:r>
        <w:rPr>
          <w:szCs w:val="20"/>
        </w:rPr>
        <w:br w:type="page"/>
      </w:r>
    </w:p>
    <w:p w:rsidR="00136AA7" w:rsidRPr="00767A15" w:rsidRDefault="00136AA7" w:rsidP="00136AA7">
      <w:pPr>
        <w:pStyle w:val="Heading2"/>
        <w:tabs>
          <w:tab w:val="clear" w:pos="567"/>
          <w:tab w:val="left" w:pos="1985"/>
        </w:tabs>
        <w:ind w:left="1985" w:hanging="1985"/>
        <w:rPr>
          <w:sz w:val="20"/>
          <w:szCs w:val="20"/>
        </w:rPr>
      </w:pPr>
      <w:bookmarkStart w:id="76" w:name="_Toc454544479"/>
      <w:r w:rsidRPr="00767A15">
        <w:rPr>
          <w:sz w:val="20"/>
          <w:szCs w:val="20"/>
        </w:rPr>
        <w:lastRenderedPageBreak/>
        <w:t>PROGRAM 30</w:t>
      </w:r>
      <w:r w:rsidRPr="00767A15">
        <w:rPr>
          <w:sz w:val="20"/>
          <w:szCs w:val="20"/>
        </w:rPr>
        <w:tab/>
        <w:t>SMALL AND MEDIUM-SIZED ENTERPRISES (SMES) AND INNOVATION</w:t>
      </w:r>
      <w:bookmarkEnd w:id="76"/>
    </w:p>
    <w:p w:rsidR="00136AA7" w:rsidRPr="00767A15" w:rsidRDefault="00136AA7" w:rsidP="00136AA7">
      <w:pPr>
        <w:ind w:left="1985" w:hanging="1985"/>
        <w:rPr>
          <w:szCs w:val="20"/>
        </w:rPr>
      </w:pPr>
    </w:p>
    <w:p w:rsidR="00136AA7" w:rsidRPr="00767A15" w:rsidRDefault="00136AA7" w:rsidP="00136AA7">
      <w:pPr>
        <w:ind w:left="1985" w:hanging="1985"/>
        <w:rPr>
          <w:b/>
          <w:szCs w:val="20"/>
        </w:rPr>
      </w:pPr>
      <w:r w:rsidRPr="00767A15">
        <w:rPr>
          <w:b/>
          <w:szCs w:val="20"/>
        </w:rPr>
        <w:t>Program Manager</w:t>
      </w:r>
      <w:r w:rsidRPr="00767A15">
        <w:rPr>
          <w:b/>
          <w:szCs w:val="20"/>
        </w:rPr>
        <w:tab/>
        <w:t>DIRECTOR GENERAL</w:t>
      </w:r>
    </w:p>
    <w:p w:rsidR="00136AA7" w:rsidRPr="008F4A6D" w:rsidRDefault="00136AA7" w:rsidP="000E148D">
      <w:pPr>
        <w:rPr>
          <w:szCs w:val="20"/>
        </w:rPr>
      </w:pPr>
    </w:p>
    <w:p w:rsidR="0089279A" w:rsidRDefault="0089279A" w:rsidP="00C25166">
      <w:pPr>
        <w:tabs>
          <w:tab w:val="left" w:pos="720"/>
        </w:tabs>
        <w:rPr>
          <w:rFonts w:cs="Arial"/>
        </w:rPr>
      </w:pPr>
    </w:p>
    <w:p w:rsidR="0089279A" w:rsidRPr="003D28E9" w:rsidRDefault="0089279A" w:rsidP="00C25166">
      <w:pPr>
        <w:rPr>
          <w:bCs/>
          <w:szCs w:val="22"/>
        </w:rPr>
      </w:pPr>
      <w:r w:rsidRPr="003D28E9">
        <w:rPr>
          <w:bCs/>
          <w:szCs w:val="22"/>
        </w:rPr>
        <w:t>ACHIEVEMENTS IN THE 2014/15 BIENNIUM</w:t>
      </w:r>
    </w:p>
    <w:p w:rsidR="0089279A" w:rsidRPr="00383D2D" w:rsidRDefault="0089279A" w:rsidP="00C25166">
      <w:pPr>
        <w:rPr>
          <w:szCs w:val="20"/>
        </w:rPr>
      </w:pPr>
    </w:p>
    <w:p w:rsidR="0089279A" w:rsidRDefault="0089279A" w:rsidP="00C25166">
      <w:pPr>
        <w:autoSpaceDE w:val="0"/>
        <w:autoSpaceDN w:val="0"/>
        <w:adjustRightInd w:val="0"/>
        <w:rPr>
          <w:rFonts w:cs="Arial"/>
          <w:color w:val="000000"/>
          <w:szCs w:val="20"/>
        </w:rPr>
      </w:pPr>
      <w:r>
        <w:rPr>
          <w:rFonts w:cs="Arial"/>
          <w:color w:val="000000"/>
          <w:szCs w:val="20"/>
        </w:rPr>
        <w:t>SMALL AND MEDIUM-SIZED ENTERPRISES</w:t>
      </w:r>
    </w:p>
    <w:p w:rsidR="0089279A" w:rsidRPr="0046277F" w:rsidRDefault="0089279A" w:rsidP="00C25166">
      <w:pPr>
        <w:autoSpaceDE w:val="0"/>
        <w:autoSpaceDN w:val="0"/>
        <w:adjustRightInd w:val="0"/>
        <w:rPr>
          <w:rFonts w:cs="Arial"/>
          <w:color w:val="000000"/>
          <w:szCs w:val="20"/>
        </w:rPr>
      </w:pPr>
    </w:p>
    <w:p w:rsidR="0089279A" w:rsidRPr="007E46C9" w:rsidRDefault="0089279A" w:rsidP="00C25166">
      <w:pPr>
        <w:pStyle w:val="ListParagraph"/>
        <w:numPr>
          <w:ilvl w:val="0"/>
          <w:numId w:val="79"/>
        </w:numPr>
        <w:tabs>
          <w:tab w:val="left" w:pos="709"/>
        </w:tabs>
        <w:autoSpaceDE w:val="0"/>
        <w:autoSpaceDN w:val="0"/>
        <w:adjustRightInd w:val="0"/>
        <w:ind w:left="0" w:firstLine="0"/>
        <w:jc w:val="both"/>
        <w:rPr>
          <w:rFonts w:cs="Arial"/>
          <w:color w:val="000000"/>
        </w:rPr>
      </w:pPr>
      <w:r w:rsidRPr="007E46C9">
        <w:rPr>
          <w:rFonts w:cs="Arial"/>
          <w:color w:val="000000"/>
        </w:rPr>
        <w:t>Work continued in cooperation with national and regional IP Offices and other institutions in assisting entrepreneurs and SMEs in using the IP system, primarily through (a) adapting</w:t>
      </w:r>
      <w:r>
        <w:rPr>
          <w:rFonts w:cs="Arial"/>
          <w:color w:val="000000"/>
        </w:rPr>
        <w:t>,</w:t>
      </w:r>
      <w:r w:rsidRPr="007E46C9">
        <w:rPr>
          <w:rFonts w:cs="Arial"/>
          <w:color w:val="000000"/>
        </w:rPr>
        <w:t xml:space="preserve"> and/or translating</w:t>
      </w:r>
      <w:r>
        <w:rPr>
          <w:rFonts w:cs="Arial"/>
          <w:color w:val="000000"/>
        </w:rPr>
        <w:t>,</w:t>
      </w:r>
      <w:r w:rsidRPr="007E46C9">
        <w:rPr>
          <w:rFonts w:cs="Arial"/>
          <w:color w:val="000000"/>
        </w:rPr>
        <w:t xml:space="preserve"> content on IP for business to the local context, and (b) training of trainers programs. </w:t>
      </w:r>
      <w:r>
        <w:rPr>
          <w:rFonts w:cs="Arial"/>
          <w:color w:val="000000"/>
        </w:rPr>
        <w:t xml:space="preserve"> </w:t>
      </w:r>
      <w:r w:rsidRPr="007E46C9">
        <w:rPr>
          <w:rFonts w:cs="Arial"/>
          <w:color w:val="000000"/>
        </w:rPr>
        <w:t xml:space="preserve">With respect to the latter, </w:t>
      </w:r>
      <w:r>
        <w:rPr>
          <w:rFonts w:cs="Arial"/>
          <w:color w:val="000000"/>
        </w:rPr>
        <w:t>33</w:t>
      </w:r>
      <w:r w:rsidRPr="007E46C9">
        <w:rPr>
          <w:rFonts w:cs="Arial"/>
          <w:color w:val="000000"/>
        </w:rPr>
        <w:t xml:space="preserve"> programs on effective IP asset management by SMEs, benefitting over </w:t>
      </w:r>
      <w:r>
        <w:rPr>
          <w:rFonts w:cs="Arial"/>
          <w:color w:val="000000"/>
        </w:rPr>
        <w:t>700 </w:t>
      </w:r>
      <w:r w:rsidRPr="007E46C9">
        <w:rPr>
          <w:rFonts w:cs="Arial"/>
          <w:color w:val="000000"/>
        </w:rPr>
        <w:t>participants, were organized, aiming at creating a critical mass of trainers in specific countries with knowledge, skills and experience to provide basic assistance</w:t>
      </w:r>
      <w:r>
        <w:rPr>
          <w:rFonts w:cs="Arial"/>
          <w:color w:val="000000"/>
        </w:rPr>
        <w:t xml:space="preserve"> to SMEs on IP asset management.  </w:t>
      </w:r>
      <w:r w:rsidRPr="007E46C9">
        <w:rPr>
          <w:rFonts w:cs="Arial"/>
          <w:color w:val="000000"/>
        </w:rPr>
        <w:t>The Program also contributed to the promotion of women’s empowerment in IP.</w:t>
      </w:r>
      <w:r>
        <w:rPr>
          <w:rFonts w:cs="Arial"/>
          <w:color w:val="000000"/>
        </w:rPr>
        <w:t xml:space="preserve"> </w:t>
      </w:r>
      <w:r w:rsidRPr="007E46C9">
        <w:rPr>
          <w:rFonts w:cs="Arial"/>
          <w:color w:val="000000"/>
        </w:rPr>
        <w:t xml:space="preserve"> To this end, </w:t>
      </w:r>
      <w:r>
        <w:rPr>
          <w:rFonts w:cs="Arial"/>
          <w:color w:val="000000"/>
        </w:rPr>
        <w:t>two</w:t>
      </w:r>
      <w:r w:rsidRPr="007E46C9">
        <w:rPr>
          <w:rFonts w:cs="Arial"/>
          <w:color w:val="000000"/>
        </w:rPr>
        <w:t xml:space="preserve"> International Workshop</w:t>
      </w:r>
      <w:r>
        <w:rPr>
          <w:rFonts w:cs="Arial"/>
          <w:color w:val="000000"/>
        </w:rPr>
        <w:t>s</w:t>
      </w:r>
      <w:r w:rsidRPr="007E46C9">
        <w:rPr>
          <w:rFonts w:cs="Arial"/>
          <w:color w:val="000000"/>
        </w:rPr>
        <w:t xml:space="preserve"> for Women Inventors and Entrepreneurs w</w:t>
      </w:r>
      <w:r>
        <w:rPr>
          <w:rFonts w:cs="Arial"/>
          <w:color w:val="000000"/>
        </w:rPr>
        <w:t>ere</w:t>
      </w:r>
      <w:r w:rsidRPr="007E46C9">
        <w:rPr>
          <w:rFonts w:cs="Arial"/>
          <w:color w:val="000000"/>
        </w:rPr>
        <w:t xml:space="preserve"> organized </w:t>
      </w:r>
      <w:r>
        <w:rPr>
          <w:rFonts w:cs="Arial"/>
          <w:color w:val="000000"/>
        </w:rPr>
        <w:t xml:space="preserve">in 2014/15 </w:t>
      </w:r>
      <w:r w:rsidRPr="007E46C9">
        <w:rPr>
          <w:rFonts w:cs="Arial"/>
          <w:color w:val="000000"/>
        </w:rPr>
        <w:t>by WIPO, the Korean Intellectual Property Office (KIPO) and the Korea Women</w:t>
      </w:r>
      <w:r>
        <w:rPr>
          <w:rFonts w:cs="Arial"/>
          <w:color w:val="000000"/>
        </w:rPr>
        <w:t xml:space="preserve"> Inventors Association (KWIA),</w:t>
      </w:r>
      <w:r w:rsidRPr="007E46C9">
        <w:rPr>
          <w:rFonts w:cs="Arial"/>
          <w:color w:val="000000"/>
        </w:rPr>
        <w:t xml:space="preserve"> which </w:t>
      </w:r>
      <w:r>
        <w:rPr>
          <w:rFonts w:cs="Arial"/>
          <w:color w:val="000000"/>
        </w:rPr>
        <w:t xml:space="preserve">benefitted </w:t>
      </w:r>
      <w:r w:rsidRPr="007E46C9">
        <w:rPr>
          <w:rFonts w:cs="Arial"/>
          <w:color w:val="000000"/>
        </w:rPr>
        <w:t>236 women inventors and entrepreneurs from 25 countries</w:t>
      </w:r>
      <w:r>
        <w:rPr>
          <w:rFonts w:cs="Arial"/>
          <w:color w:val="000000"/>
        </w:rPr>
        <w:t xml:space="preserve">. </w:t>
      </w:r>
      <w:r w:rsidRPr="007E46C9">
        <w:rPr>
          <w:rFonts w:cs="Arial"/>
          <w:color w:val="000000"/>
        </w:rPr>
        <w:t xml:space="preserve"> </w:t>
      </w:r>
    </w:p>
    <w:p w:rsidR="0089279A" w:rsidRPr="0046277F" w:rsidRDefault="0089279A" w:rsidP="00C25166">
      <w:pPr>
        <w:pStyle w:val="ListParagraph"/>
        <w:tabs>
          <w:tab w:val="left" w:pos="709"/>
        </w:tabs>
        <w:autoSpaceDE w:val="0"/>
        <w:autoSpaceDN w:val="0"/>
        <w:adjustRightInd w:val="0"/>
        <w:ind w:left="0"/>
        <w:jc w:val="both"/>
        <w:rPr>
          <w:rFonts w:cs="Arial"/>
          <w:color w:val="000000"/>
        </w:rPr>
      </w:pPr>
    </w:p>
    <w:p w:rsidR="0089279A" w:rsidRPr="00E85A49" w:rsidRDefault="0089279A" w:rsidP="00C25166">
      <w:pPr>
        <w:pStyle w:val="ListParagraph"/>
        <w:numPr>
          <w:ilvl w:val="0"/>
          <w:numId w:val="79"/>
        </w:numPr>
        <w:tabs>
          <w:tab w:val="left" w:pos="709"/>
        </w:tabs>
        <w:autoSpaceDE w:val="0"/>
        <w:autoSpaceDN w:val="0"/>
        <w:adjustRightInd w:val="0"/>
        <w:ind w:left="0" w:firstLine="0"/>
        <w:jc w:val="both"/>
      </w:pPr>
      <w:r w:rsidRPr="009F344A">
        <w:rPr>
          <w:rFonts w:cs="Arial"/>
          <w:color w:val="000000"/>
        </w:rPr>
        <w:t>In</w:t>
      </w:r>
      <w:r w:rsidRPr="00CD4CAD">
        <w:t xml:space="preserve"> 2014</w:t>
      </w:r>
      <w:r>
        <w:t>/15</w:t>
      </w:r>
      <w:r w:rsidRPr="00CD4CAD">
        <w:t xml:space="preserve">, a new book on </w:t>
      </w:r>
      <w:r w:rsidRPr="006F298C">
        <w:rPr>
          <w:i/>
        </w:rPr>
        <w:t>Confidence - An Introduction to Trade Secrets for Small and Medium-sized Enterprises</w:t>
      </w:r>
      <w:r>
        <w:t xml:space="preserve"> was finalized.  </w:t>
      </w:r>
      <w:r w:rsidRPr="005443CC">
        <w:t xml:space="preserve">WIPO also contributed </w:t>
      </w:r>
      <w:r>
        <w:t xml:space="preserve">to an initial draft of a book </w:t>
      </w:r>
      <w:r w:rsidRPr="00CD4CAD">
        <w:t xml:space="preserve">on </w:t>
      </w:r>
      <w:r w:rsidRPr="006F298C">
        <w:rPr>
          <w:i/>
        </w:rPr>
        <w:t>Leveraging Intellectual Property as a Strategic Business Asset (Strategic IP Management)</w:t>
      </w:r>
      <w:r>
        <w:rPr>
          <w:rStyle w:val="FootnoteReference"/>
        </w:rPr>
        <w:footnoteReference w:id="79"/>
      </w:r>
      <w:r w:rsidRPr="00CD4CAD">
        <w:t>.</w:t>
      </w:r>
    </w:p>
    <w:p w:rsidR="0089279A" w:rsidRPr="0046277F" w:rsidRDefault="0089279A" w:rsidP="00C25166">
      <w:pPr>
        <w:pStyle w:val="ListParagraph"/>
        <w:tabs>
          <w:tab w:val="left" w:pos="709"/>
        </w:tabs>
        <w:autoSpaceDE w:val="0"/>
        <w:autoSpaceDN w:val="0"/>
        <w:adjustRightInd w:val="0"/>
        <w:ind w:left="0"/>
        <w:jc w:val="both"/>
        <w:rPr>
          <w:rFonts w:cs="Arial"/>
          <w:color w:val="000000"/>
        </w:rPr>
      </w:pPr>
    </w:p>
    <w:p w:rsidR="0089279A" w:rsidRPr="005640BF" w:rsidRDefault="0089279A" w:rsidP="00C25166">
      <w:pPr>
        <w:pStyle w:val="ListParagraph"/>
        <w:numPr>
          <w:ilvl w:val="0"/>
          <w:numId w:val="79"/>
        </w:numPr>
        <w:tabs>
          <w:tab w:val="left" w:pos="709"/>
        </w:tabs>
        <w:autoSpaceDE w:val="0"/>
        <w:autoSpaceDN w:val="0"/>
        <w:adjustRightInd w:val="0"/>
        <w:ind w:left="0" w:firstLine="0"/>
        <w:jc w:val="both"/>
        <w:rPr>
          <w:rFonts w:cs="Arial"/>
          <w:color w:val="000000"/>
        </w:rPr>
      </w:pPr>
      <w:r w:rsidRPr="00D75CA2">
        <w:rPr>
          <w:rFonts w:cs="Arial"/>
          <w:color w:val="000000"/>
        </w:rPr>
        <w:t>Two online international certificate courses on IP asset management for business success based on IP PANORAMA</w:t>
      </w:r>
      <w:r>
        <w:rPr>
          <w:rFonts w:cs="Arial"/>
          <w:color w:val="000000"/>
        </w:rPr>
        <w:t xml:space="preserve"> in English were</w:t>
      </w:r>
      <w:r w:rsidRPr="005640BF">
        <w:rPr>
          <w:rFonts w:cs="Arial"/>
          <w:color w:val="000000"/>
        </w:rPr>
        <w:t xml:space="preserve"> </w:t>
      </w:r>
      <w:r>
        <w:rPr>
          <w:rFonts w:cs="Arial"/>
          <w:color w:val="000000"/>
        </w:rPr>
        <w:t>completed</w:t>
      </w:r>
      <w:r w:rsidRPr="005640BF">
        <w:rPr>
          <w:rFonts w:cs="Arial"/>
          <w:color w:val="000000"/>
        </w:rPr>
        <w:t xml:space="preserve"> by </w:t>
      </w:r>
      <w:r>
        <w:rPr>
          <w:rFonts w:cs="Arial"/>
          <w:color w:val="000000"/>
        </w:rPr>
        <w:t>1,350 (709 in 2014 and 641 in 2015)</w:t>
      </w:r>
      <w:r w:rsidRPr="005640BF">
        <w:rPr>
          <w:rFonts w:cs="Arial"/>
          <w:color w:val="000000"/>
        </w:rPr>
        <w:t xml:space="preserve"> students, and 70</w:t>
      </w:r>
      <w:r w:rsidR="00C25166">
        <w:rPr>
          <w:rFonts w:cs="Arial"/>
          <w:color w:val="000000"/>
        </w:rPr>
        <w:t> </w:t>
      </w:r>
      <w:r w:rsidRPr="005640BF">
        <w:rPr>
          <w:rFonts w:cs="Arial"/>
          <w:color w:val="000000"/>
        </w:rPr>
        <w:t>students participated subsequently in an offline program on IP asset management held in Seoul, Republic of Korea, prepared by WIPO and implemented</w:t>
      </w:r>
      <w:r>
        <w:rPr>
          <w:rFonts w:cs="Arial"/>
          <w:color w:val="000000"/>
        </w:rPr>
        <w:t xml:space="preserve"> in coordination with</w:t>
      </w:r>
      <w:r w:rsidRPr="005640BF">
        <w:rPr>
          <w:rFonts w:cs="Arial"/>
          <w:color w:val="000000"/>
        </w:rPr>
        <w:t xml:space="preserve"> KIPO, the Korea Invention Promotion Association (KIPA) and the Korea Advanced Institute of Science and Technology (KAIST). </w:t>
      </w:r>
      <w:r>
        <w:rPr>
          <w:rFonts w:cs="Arial"/>
          <w:color w:val="000000"/>
        </w:rPr>
        <w:t xml:space="preserve"> </w:t>
      </w:r>
      <w:r w:rsidRPr="005640BF">
        <w:rPr>
          <w:rFonts w:cs="Arial"/>
          <w:color w:val="000000"/>
        </w:rPr>
        <w:t xml:space="preserve">Preparations were made to launch Arabic, French, Russian and Spanish versions of the international certificate course </w:t>
      </w:r>
      <w:r>
        <w:rPr>
          <w:rFonts w:cs="Arial"/>
          <w:color w:val="000000"/>
        </w:rPr>
        <w:t>in</w:t>
      </w:r>
      <w:r w:rsidRPr="005640BF">
        <w:rPr>
          <w:rFonts w:cs="Arial"/>
          <w:color w:val="000000"/>
        </w:rPr>
        <w:t xml:space="preserve"> 2016</w:t>
      </w:r>
      <w:r>
        <w:rPr>
          <w:rFonts w:cs="Arial"/>
          <w:color w:val="000000"/>
        </w:rPr>
        <w:t>/</w:t>
      </w:r>
      <w:r w:rsidRPr="005640BF">
        <w:rPr>
          <w:rFonts w:cs="Arial"/>
          <w:color w:val="000000"/>
        </w:rPr>
        <w:t>17 biennium.</w:t>
      </w:r>
    </w:p>
    <w:p w:rsidR="0089279A" w:rsidRPr="0046277F" w:rsidRDefault="0089279A" w:rsidP="00C25166">
      <w:pPr>
        <w:pStyle w:val="ListParagraph"/>
        <w:tabs>
          <w:tab w:val="left" w:pos="709"/>
        </w:tabs>
        <w:autoSpaceDE w:val="0"/>
        <w:autoSpaceDN w:val="0"/>
        <w:adjustRightInd w:val="0"/>
        <w:ind w:left="0"/>
        <w:jc w:val="both"/>
        <w:rPr>
          <w:rFonts w:cs="Arial"/>
          <w:color w:val="000000"/>
        </w:rPr>
      </w:pPr>
    </w:p>
    <w:p w:rsidR="0089279A" w:rsidRPr="00D75CA2" w:rsidRDefault="0089279A" w:rsidP="00C25166">
      <w:pPr>
        <w:pStyle w:val="ListParagraph"/>
        <w:numPr>
          <w:ilvl w:val="0"/>
          <w:numId w:val="79"/>
        </w:numPr>
        <w:tabs>
          <w:tab w:val="left" w:pos="709"/>
        </w:tabs>
        <w:autoSpaceDE w:val="0"/>
        <w:autoSpaceDN w:val="0"/>
        <w:adjustRightInd w:val="0"/>
        <w:ind w:left="0" w:firstLine="0"/>
        <w:jc w:val="both"/>
        <w:rPr>
          <w:rFonts w:cs="Arial"/>
          <w:color w:val="000000"/>
        </w:rPr>
      </w:pPr>
      <w:r w:rsidRPr="00D75CA2">
        <w:rPr>
          <w:rFonts w:cs="Arial"/>
          <w:color w:val="000000"/>
        </w:rPr>
        <w:t>Efforts to reach out directly to SMEs via the SMEs website in the six UN languages and the monthly e-newsletter</w:t>
      </w:r>
      <w:r>
        <w:rPr>
          <w:rFonts w:cs="Arial"/>
          <w:color w:val="000000"/>
        </w:rPr>
        <w:t xml:space="preserve"> continued.  In 2015, in order to ensure a more targeted user base for the newsletter, the </w:t>
      </w:r>
      <w:r w:rsidRPr="00E6602B">
        <w:rPr>
          <w:rFonts w:cs="Arial"/>
          <w:color w:val="000000"/>
        </w:rPr>
        <w:t xml:space="preserve">criteria to subscribe </w:t>
      </w:r>
      <w:r>
        <w:rPr>
          <w:rFonts w:cs="Arial"/>
          <w:color w:val="000000"/>
        </w:rPr>
        <w:t>were modified, requiring</w:t>
      </w:r>
      <w:r w:rsidRPr="00E6602B">
        <w:rPr>
          <w:rFonts w:cs="Arial"/>
          <w:color w:val="000000"/>
        </w:rPr>
        <w:t xml:space="preserve"> existing SME Newsletter subscribers to </w:t>
      </w:r>
      <w:r>
        <w:rPr>
          <w:rFonts w:cs="Arial"/>
          <w:color w:val="000000"/>
        </w:rPr>
        <w:t>re</w:t>
      </w:r>
      <w:r>
        <w:rPr>
          <w:rFonts w:cs="Arial"/>
          <w:color w:val="000000"/>
        </w:rPr>
        <w:noBreakHyphen/>
        <w:t>subscribe.  Consequently, a large number of inactive subscribers were removed from the mailing list, ultimately resulting in a smaller but more focused user base</w:t>
      </w:r>
      <w:r w:rsidRPr="00E6602B">
        <w:rPr>
          <w:rFonts w:cs="Arial"/>
          <w:color w:val="000000"/>
        </w:rPr>
        <w:t xml:space="preserve">. </w:t>
      </w:r>
      <w:r w:rsidRPr="00D75CA2">
        <w:rPr>
          <w:rFonts w:cs="Arial"/>
          <w:color w:val="000000"/>
        </w:rPr>
        <w:t xml:space="preserve"> Five new case studies on IP for SMEs were created on the following topics: </w:t>
      </w:r>
      <w:r>
        <w:rPr>
          <w:rFonts w:cs="Arial"/>
          <w:color w:val="000000"/>
        </w:rPr>
        <w:t xml:space="preserve"> </w:t>
      </w:r>
      <w:r w:rsidRPr="00D75CA2">
        <w:rPr>
          <w:rFonts w:cs="Arial"/>
          <w:color w:val="000000"/>
        </w:rPr>
        <w:t>(i) Ezequiel Farca (Mexico);</w:t>
      </w:r>
      <w:r>
        <w:rPr>
          <w:rFonts w:cs="Arial"/>
          <w:color w:val="000000"/>
        </w:rPr>
        <w:t xml:space="preserve">  (ii) Haldiram (India);  </w:t>
      </w:r>
      <w:r w:rsidRPr="00D75CA2">
        <w:rPr>
          <w:rFonts w:cs="Arial"/>
          <w:color w:val="000000"/>
        </w:rPr>
        <w:t xml:space="preserve">(iii) Wondereight (Lebanon); </w:t>
      </w:r>
      <w:r>
        <w:rPr>
          <w:rFonts w:cs="Arial"/>
          <w:color w:val="000000"/>
        </w:rPr>
        <w:t xml:space="preserve"> </w:t>
      </w:r>
      <w:r w:rsidRPr="00D75CA2">
        <w:rPr>
          <w:rFonts w:cs="Arial"/>
          <w:color w:val="000000"/>
        </w:rPr>
        <w:t>(iv) Developing Affordable Software for Small Businesses:</w:t>
      </w:r>
      <w:r>
        <w:rPr>
          <w:rFonts w:cs="Arial"/>
          <w:color w:val="000000"/>
        </w:rPr>
        <w:t xml:space="preserve"> </w:t>
      </w:r>
      <w:r w:rsidRPr="00D75CA2">
        <w:rPr>
          <w:rFonts w:cs="Arial"/>
          <w:color w:val="000000"/>
        </w:rPr>
        <w:t xml:space="preserve"> HSCO LLP (UK/Jordan); </w:t>
      </w:r>
      <w:r w:rsidR="00187D9B">
        <w:rPr>
          <w:rFonts w:cs="Arial"/>
          <w:color w:val="000000"/>
        </w:rPr>
        <w:t xml:space="preserve"> </w:t>
      </w:r>
      <w:r w:rsidRPr="00D75CA2">
        <w:rPr>
          <w:rFonts w:cs="Arial"/>
          <w:color w:val="000000"/>
        </w:rPr>
        <w:t>and (v)</w:t>
      </w:r>
      <w:r>
        <w:rPr>
          <w:rFonts w:cs="Arial"/>
          <w:color w:val="000000"/>
        </w:rPr>
        <w:t> </w:t>
      </w:r>
      <w:r w:rsidRPr="00D75CA2">
        <w:rPr>
          <w:rFonts w:cs="Arial"/>
          <w:color w:val="000000"/>
        </w:rPr>
        <w:t xml:space="preserve">Ensuring the Safe Flow of Energy - PipeWay Engenharia (Brazil), </w:t>
      </w:r>
      <w:r>
        <w:rPr>
          <w:rFonts w:cs="Arial"/>
          <w:color w:val="000000"/>
        </w:rPr>
        <w:t xml:space="preserve">of which </w:t>
      </w:r>
      <w:r w:rsidRPr="00D75CA2">
        <w:rPr>
          <w:rFonts w:cs="Arial"/>
          <w:color w:val="000000"/>
        </w:rPr>
        <w:t xml:space="preserve">the last two were published in IP Advantage. </w:t>
      </w:r>
    </w:p>
    <w:p w:rsidR="0089279A" w:rsidRPr="0046277F" w:rsidRDefault="0089279A" w:rsidP="00C25166">
      <w:pPr>
        <w:pStyle w:val="ListParagraph"/>
        <w:tabs>
          <w:tab w:val="left" w:pos="709"/>
        </w:tabs>
        <w:autoSpaceDE w:val="0"/>
        <w:autoSpaceDN w:val="0"/>
        <w:adjustRightInd w:val="0"/>
        <w:ind w:left="0"/>
        <w:jc w:val="both"/>
        <w:rPr>
          <w:rFonts w:cs="Arial"/>
          <w:color w:val="000000"/>
        </w:rPr>
      </w:pPr>
    </w:p>
    <w:p w:rsidR="0089279A" w:rsidRPr="00D75CA2" w:rsidRDefault="0089279A" w:rsidP="00C25166">
      <w:pPr>
        <w:pStyle w:val="ListParagraph"/>
        <w:numPr>
          <w:ilvl w:val="0"/>
          <w:numId w:val="79"/>
        </w:numPr>
        <w:tabs>
          <w:tab w:val="left" w:pos="709"/>
        </w:tabs>
        <w:autoSpaceDE w:val="0"/>
        <w:autoSpaceDN w:val="0"/>
        <w:adjustRightInd w:val="0"/>
        <w:ind w:left="0" w:firstLine="0"/>
        <w:jc w:val="both"/>
        <w:rPr>
          <w:rFonts w:cs="Arial"/>
          <w:color w:val="000000"/>
        </w:rPr>
      </w:pPr>
      <w:r w:rsidRPr="00D75CA2">
        <w:rPr>
          <w:rFonts w:cs="Arial"/>
          <w:color w:val="000000"/>
        </w:rPr>
        <w:t>In line with DA Recommendations 1, 4, 10 and 11, the Program organized or participated in 40</w:t>
      </w:r>
      <w:r>
        <w:rPr>
          <w:rFonts w:cs="Arial"/>
          <w:color w:val="000000"/>
        </w:rPr>
        <w:t> </w:t>
      </w:r>
      <w:r w:rsidRPr="00D75CA2">
        <w:rPr>
          <w:rFonts w:cs="Arial"/>
          <w:color w:val="000000"/>
        </w:rPr>
        <w:t>SME-related seminars, workshops or training of trainers programs on IP management in 30</w:t>
      </w:r>
      <w:r>
        <w:rPr>
          <w:rFonts w:cs="Arial"/>
          <w:color w:val="000000"/>
        </w:rPr>
        <w:t> </w:t>
      </w:r>
      <w:r w:rsidRPr="00D75CA2">
        <w:rPr>
          <w:rFonts w:cs="Arial"/>
          <w:color w:val="000000"/>
        </w:rPr>
        <w:t xml:space="preserve">countries, mostly developing countries and LDCs in Africa, the Arab region, Asia and the Pacific and Latin America and the Caribbean and transition </w:t>
      </w:r>
      <w:r>
        <w:rPr>
          <w:rFonts w:cs="Arial"/>
          <w:color w:val="000000"/>
        </w:rPr>
        <w:t>countries</w:t>
      </w:r>
      <w:r w:rsidRPr="00D75CA2">
        <w:rPr>
          <w:rFonts w:cs="Arial"/>
          <w:color w:val="000000"/>
        </w:rPr>
        <w:t>.</w:t>
      </w:r>
      <w:r>
        <w:rPr>
          <w:rFonts w:cs="Arial"/>
          <w:color w:val="000000"/>
        </w:rPr>
        <w:t xml:space="preserve">  These programs, delivered by</w:t>
      </w:r>
      <w:r w:rsidRPr="00D75CA2">
        <w:rPr>
          <w:rFonts w:cs="Arial"/>
          <w:color w:val="000000"/>
        </w:rPr>
        <w:t xml:space="preserve"> 2</w:t>
      </w:r>
      <w:r>
        <w:rPr>
          <w:rFonts w:cs="Arial"/>
          <w:color w:val="000000"/>
        </w:rPr>
        <w:t>9</w:t>
      </w:r>
      <w:r w:rsidRPr="00D75CA2">
        <w:rPr>
          <w:rFonts w:cs="Arial"/>
          <w:color w:val="000000"/>
        </w:rPr>
        <w:t xml:space="preserve"> experts and speakers from developing (13), transition (4) and developed (12) countries, benefitted nearly 2</w:t>
      </w:r>
      <w:r>
        <w:rPr>
          <w:rFonts w:cs="Arial"/>
          <w:color w:val="000000"/>
        </w:rPr>
        <w:t>,</w:t>
      </w:r>
      <w:r w:rsidRPr="00D75CA2">
        <w:rPr>
          <w:rFonts w:cs="Arial"/>
          <w:color w:val="000000"/>
        </w:rPr>
        <w:t>000</w:t>
      </w:r>
      <w:r>
        <w:rPr>
          <w:rFonts w:cs="Arial"/>
          <w:color w:val="000000"/>
        </w:rPr>
        <w:t> </w:t>
      </w:r>
      <w:r w:rsidRPr="00D75CA2">
        <w:rPr>
          <w:rFonts w:cs="Arial"/>
          <w:color w:val="000000"/>
        </w:rPr>
        <w:t xml:space="preserve">representatives of SMEs and SME support institutions from </w:t>
      </w:r>
      <w:r>
        <w:rPr>
          <w:rFonts w:cs="Arial"/>
          <w:color w:val="000000"/>
        </w:rPr>
        <w:t>93</w:t>
      </w:r>
      <w:r w:rsidRPr="00D75CA2">
        <w:rPr>
          <w:rFonts w:cs="Arial"/>
          <w:color w:val="000000"/>
        </w:rPr>
        <w:t xml:space="preserve"> countries, including 21 from LDCs, 56 from developing countries and 16 from transition economies.</w:t>
      </w:r>
      <w:r>
        <w:rPr>
          <w:rFonts w:cs="Arial"/>
          <w:color w:val="000000"/>
        </w:rPr>
        <w:t xml:space="preserve"> </w:t>
      </w:r>
      <w:r w:rsidRPr="00D75CA2">
        <w:rPr>
          <w:rFonts w:cs="Arial"/>
          <w:color w:val="000000"/>
        </w:rPr>
        <w:t xml:space="preserve"> Taking a larger lead</w:t>
      </w:r>
      <w:r>
        <w:rPr>
          <w:rFonts w:cs="Arial"/>
          <w:color w:val="000000"/>
        </w:rPr>
        <w:t>ing</w:t>
      </w:r>
      <w:r w:rsidRPr="00D75CA2">
        <w:rPr>
          <w:rFonts w:cs="Arial"/>
          <w:color w:val="000000"/>
        </w:rPr>
        <w:t xml:space="preserve"> role, the IP Offices and/or the chambers of commerce of the concerned Member States were closely </w:t>
      </w:r>
      <w:r>
        <w:rPr>
          <w:rFonts w:cs="Arial"/>
          <w:color w:val="000000"/>
        </w:rPr>
        <w:t>involved in</w:t>
      </w:r>
      <w:r w:rsidRPr="00D75CA2">
        <w:rPr>
          <w:rFonts w:cs="Arial"/>
          <w:color w:val="000000"/>
        </w:rPr>
        <w:t xml:space="preserve"> the planning stages and made s</w:t>
      </w:r>
      <w:r>
        <w:rPr>
          <w:rFonts w:cs="Arial"/>
          <w:color w:val="000000"/>
        </w:rPr>
        <w:t xml:space="preserve">ubstantial contributions to </w:t>
      </w:r>
      <w:r w:rsidRPr="00D75CA2">
        <w:rPr>
          <w:rFonts w:cs="Arial"/>
          <w:color w:val="000000"/>
        </w:rPr>
        <w:t>the development and implementation stages of the programs, including in the selection of speakers and the program topics.</w:t>
      </w:r>
      <w:r>
        <w:rPr>
          <w:rFonts w:cs="Arial"/>
          <w:color w:val="000000"/>
        </w:rPr>
        <w:t xml:space="preserve"> </w:t>
      </w:r>
      <w:r w:rsidRPr="00D75CA2">
        <w:rPr>
          <w:rFonts w:cs="Arial"/>
          <w:color w:val="000000"/>
        </w:rPr>
        <w:t xml:space="preserve"> In addition, the training of trainers program included a round table discussion on the subject of IP awareness and use </w:t>
      </w:r>
      <w:r>
        <w:rPr>
          <w:rFonts w:cs="Arial"/>
          <w:color w:val="000000"/>
        </w:rPr>
        <w:t xml:space="preserve">of IP </w:t>
      </w:r>
      <w:r w:rsidRPr="00D75CA2">
        <w:rPr>
          <w:rFonts w:cs="Arial"/>
          <w:color w:val="000000"/>
        </w:rPr>
        <w:t xml:space="preserve">by SMEs, which identified the challenges facing local SMEs and SME-support institutions, and proposed a road map to address those challenges, in line with Recommendation 4. </w:t>
      </w:r>
    </w:p>
    <w:p w:rsidR="0089279A" w:rsidRDefault="0089279A" w:rsidP="00C25166">
      <w:pPr>
        <w:tabs>
          <w:tab w:val="left" w:pos="709"/>
        </w:tabs>
        <w:autoSpaceDE w:val="0"/>
        <w:autoSpaceDN w:val="0"/>
        <w:adjustRightInd w:val="0"/>
        <w:jc w:val="both"/>
        <w:rPr>
          <w:caps/>
        </w:rPr>
      </w:pPr>
    </w:p>
    <w:p w:rsidR="0089279A" w:rsidRDefault="0089279A" w:rsidP="00C25166">
      <w:pPr>
        <w:tabs>
          <w:tab w:val="left" w:pos="709"/>
        </w:tabs>
        <w:autoSpaceDE w:val="0"/>
        <w:autoSpaceDN w:val="0"/>
        <w:adjustRightInd w:val="0"/>
        <w:jc w:val="both"/>
        <w:rPr>
          <w:caps/>
        </w:rPr>
      </w:pPr>
    </w:p>
    <w:p w:rsidR="0089279A" w:rsidRDefault="0089279A" w:rsidP="00C25166">
      <w:pPr>
        <w:tabs>
          <w:tab w:val="left" w:pos="709"/>
        </w:tabs>
        <w:autoSpaceDE w:val="0"/>
        <w:autoSpaceDN w:val="0"/>
        <w:adjustRightInd w:val="0"/>
        <w:jc w:val="both"/>
        <w:rPr>
          <w:caps/>
        </w:rPr>
      </w:pPr>
    </w:p>
    <w:p w:rsidR="0089279A" w:rsidRDefault="0089279A" w:rsidP="00C25166">
      <w:pPr>
        <w:tabs>
          <w:tab w:val="left" w:pos="709"/>
        </w:tabs>
        <w:autoSpaceDE w:val="0"/>
        <w:autoSpaceDN w:val="0"/>
        <w:adjustRightInd w:val="0"/>
        <w:jc w:val="both"/>
        <w:rPr>
          <w:caps/>
        </w:rPr>
      </w:pPr>
    </w:p>
    <w:p w:rsidR="0089279A" w:rsidRDefault="0089279A" w:rsidP="00C25166">
      <w:pPr>
        <w:tabs>
          <w:tab w:val="left" w:pos="709"/>
        </w:tabs>
        <w:autoSpaceDE w:val="0"/>
        <w:autoSpaceDN w:val="0"/>
        <w:adjustRightInd w:val="0"/>
        <w:jc w:val="both"/>
        <w:rPr>
          <w:caps/>
        </w:rPr>
      </w:pPr>
    </w:p>
    <w:p w:rsidR="0089279A" w:rsidRPr="00852778" w:rsidRDefault="0089279A" w:rsidP="00C25166">
      <w:pPr>
        <w:tabs>
          <w:tab w:val="left" w:pos="709"/>
        </w:tabs>
        <w:autoSpaceDE w:val="0"/>
        <w:autoSpaceDN w:val="0"/>
        <w:adjustRightInd w:val="0"/>
        <w:jc w:val="both"/>
        <w:rPr>
          <w:rFonts w:cs="Arial"/>
          <w:caps/>
          <w:szCs w:val="20"/>
        </w:rPr>
      </w:pPr>
      <w:r w:rsidRPr="00852778">
        <w:rPr>
          <w:rFonts w:cs="Arial"/>
          <w:caps/>
          <w:szCs w:val="20"/>
        </w:rPr>
        <w:lastRenderedPageBreak/>
        <w:t>Innovation Policy</w:t>
      </w:r>
    </w:p>
    <w:p w:rsidR="0089279A" w:rsidRPr="00D75CA2" w:rsidRDefault="0089279A" w:rsidP="00C25166">
      <w:pPr>
        <w:tabs>
          <w:tab w:val="left" w:pos="709"/>
        </w:tabs>
        <w:autoSpaceDE w:val="0"/>
        <w:autoSpaceDN w:val="0"/>
        <w:adjustRightInd w:val="0"/>
        <w:jc w:val="both"/>
        <w:rPr>
          <w:caps/>
        </w:rPr>
      </w:pPr>
    </w:p>
    <w:p w:rsidR="0089279A" w:rsidRDefault="0089279A" w:rsidP="00C25166">
      <w:pPr>
        <w:pStyle w:val="ListParagraph"/>
        <w:numPr>
          <w:ilvl w:val="0"/>
          <w:numId w:val="79"/>
        </w:numPr>
        <w:tabs>
          <w:tab w:val="left" w:pos="709"/>
        </w:tabs>
        <w:autoSpaceDE w:val="0"/>
        <w:autoSpaceDN w:val="0"/>
        <w:adjustRightInd w:val="0"/>
        <w:ind w:left="0" w:firstLine="0"/>
        <w:jc w:val="both"/>
        <w:rPr>
          <w:rFonts w:cs="Arial"/>
          <w:color w:val="000000"/>
        </w:rPr>
      </w:pPr>
      <w:r w:rsidRPr="009F344A">
        <w:rPr>
          <w:rFonts w:cs="Arial"/>
          <w:color w:val="000000"/>
        </w:rPr>
        <w:t xml:space="preserve">Work continued throughout the biennium to identify the areas where innovation policy interacts with IP.  </w:t>
      </w:r>
      <w:r w:rsidRPr="00D75CA2">
        <w:rPr>
          <w:rFonts w:cs="Arial"/>
          <w:color w:val="000000"/>
        </w:rPr>
        <w:t>Following the successful implementation of the pilot project on integrating IP into innovation policy formulation in Serbia during the previous biennium, national projects in Cameroon, Jamaica, Rwanda, Sri Lanka and Trini</w:t>
      </w:r>
      <w:r>
        <w:rPr>
          <w:rFonts w:cs="Arial"/>
          <w:color w:val="000000"/>
        </w:rPr>
        <w:t xml:space="preserve">dad and Tobago were launched.  </w:t>
      </w:r>
      <w:r w:rsidRPr="00D75CA2">
        <w:rPr>
          <w:rFonts w:cs="Arial"/>
          <w:color w:val="000000"/>
        </w:rPr>
        <w:t>These projects sought to map the innovation system in the selected countries, identify the principal actors and determine their participation in the innovation system, their awareness and reliance on the IP system and the gaps and needs in the innovatio</w:t>
      </w:r>
      <w:r>
        <w:rPr>
          <w:rFonts w:cs="Arial"/>
          <w:color w:val="000000"/>
        </w:rPr>
        <w:t>n system from an IP perspective.  This was done</w:t>
      </w:r>
      <w:r w:rsidRPr="00D75CA2">
        <w:rPr>
          <w:rFonts w:cs="Arial"/>
          <w:color w:val="000000"/>
        </w:rPr>
        <w:t xml:space="preserve"> with a view to garnering more insight into the development of more effective national IP strategies, as well as to contribute to the design of more appropriate and focused support se</w:t>
      </w:r>
      <w:r>
        <w:rPr>
          <w:rFonts w:cs="Arial"/>
          <w:color w:val="000000"/>
        </w:rPr>
        <w:t xml:space="preserve">rvices to be provided by WIPO.  A </w:t>
      </w:r>
      <w:r w:rsidRPr="00D75CA2">
        <w:rPr>
          <w:rFonts w:cs="Arial"/>
          <w:color w:val="000000"/>
        </w:rPr>
        <w:t xml:space="preserve">positive outcome of </w:t>
      </w:r>
      <w:r>
        <w:rPr>
          <w:rFonts w:cs="Arial"/>
          <w:color w:val="000000"/>
        </w:rPr>
        <w:t xml:space="preserve">these projects was the ensuing </w:t>
      </w:r>
      <w:r w:rsidRPr="00D75CA2">
        <w:rPr>
          <w:rFonts w:cs="Arial"/>
          <w:color w:val="000000"/>
        </w:rPr>
        <w:t xml:space="preserve">collaboration with a larger EU-funded project </w:t>
      </w:r>
      <w:r>
        <w:rPr>
          <w:rFonts w:cs="Arial"/>
          <w:color w:val="000000"/>
        </w:rPr>
        <w:t>in the Caribbean entitled IPICA </w:t>
      </w:r>
      <w:r>
        <w:rPr>
          <w:rFonts w:cs="Arial"/>
          <w:color w:val="000000"/>
        </w:rPr>
        <w:noBreakHyphen/>
        <w:t> </w:t>
      </w:r>
      <w:r w:rsidRPr="00D75CA2">
        <w:rPr>
          <w:rFonts w:cs="Arial"/>
          <w:color w:val="000000"/>
        </w:rPr>
        <w:t>Empowering</w:t>
      </w:r>
      <w:r>
        <w:rPr>
          <w:rFonts w:cs="Arial"/>
          <w:color w:val="000000"/>
        </w:rPr>
        <w:t xml:space="preserve"> </w:t>
      </w:r>
      <w:r w:rsidRPr="00D75CA2">
        <w:rPr>
          <w:rFonts w:cs="Arial"/>
          <w:color w:val="000000"/>
        </w:rPr>
        <w:t xml:space="preserve"> knowledge transfer in the Caribbean through effective IPR and Knowledge Transfer (KT) regimes, coordinated by the University of Alicante.  </w:t>
      </w:r>
      <w:r>
        <w:rPr>
          <w:rFonts w:cs="Arial"/>
          <w:color w:val="000000"/>
        </w:rPr>
        <w:t xml:space="preserve">In addition, the Government of Sri Lanka launched </w:t>
      </w:r>
      <w:r w:rsidRPr="00D75CA2">
        <w:rPr>
          <w:rFonts w:cs="Arial"/>
          <w:color w:val="000000"/>
        </w:rPr>
        <w:t xml:space="preserve">a project on the effective management of research output in universities following the recommendations made in the above report.  </w:t>
      </w:r>
    </w:p>
    <w:p w:rsidR="0089279A" w:rsidRPr="00D75CA2" w:rsidRDefault="0089279A" w:rsidP="00C25166">
      <w:pPr>
        <w:pStyle w:val="ListParagraph"/>
        <w:tabs>
          <w:tab w:val="left" w:pos="709"/>
        </w:tabs>
        <w:autoSpaceDE w:val="0"/>
        <w:autoSpaceDN w:val="0"/>
        <w:adjustRightInd w:val="0"/>
        <w:ind w:left="0"/>
        <w:jc w:val="both"/>
        <w:rPr>
          <w:rFonts w:cs="Arial"/>
          <w:color w:val="000000"/>
        </w:rPr>
      </w:pPr>
    </w:p>
    <w:p w:rsidR="0089279A" w:rsidRPr="00D75CA2" w:rsidRDefault="0089279A" w:rsidP="00C25166">
      <w:pPr>
        <w:pStyle w:val="ListParagraph"/>
        <w:numPr>
          <w:ilvl w:val="0"/>
          <w:numId w:val="79"/>
        </w:numPr>
        <w:tabs>
          <w:tab w:val="left" w:pos="709"/>
        </w:tabs>
        <w:autoSpaceDE w:val="0"/>
        <w:autoSpaceDN w:val="0"/>
        <w:adjustRightInd w:val="0"/>
        <w:ind w:left="0" w:firstLine="0"/>
        <w:jc w:val="both"/>
        <w:rPr>
          <w:rFonts w:cs="Arial"/>
          <w:color w:val="000000"/>
        </w:rPr>
      </w:pPr>
      <w:r w:rsidRPr="00D75CA2">
        <w:rPr>
          <w:rFonts w:cs="Arial"/>
          <w:color w:val="000000"/>
        </w:rPr>
        <w:t>In order to further develop the work on integrating IP into innovation p</w:t>
      </w:r>
      <w:r>
        <w:rPr>
          <w:rFonts w:cs="Arial"/>
          <w:color w:val="000000"/>
        </w:rPr>
        <w:t>olicy formulation,</w:t>
      </w:r>
      <w:r w:rsidRPr="00D75CA2">
        <w:rPr>
          <w:rFonts w:cs="Arial"/>
          <w:color w:val="000000"/>
        </w:rPr>
        <w:t xml:space="preserve"> a</w:t>
      </w:r>
      <w:r>
        <w:rPr>
          <w:rFonts w:cs="Arial"/>
          <w:color w:val="000000"/>
        </w:rPr>
        <w:t> </w:t>
      </w:r>
      <w:r w:rsidRPr="00D75CA2">
        <w:rPr>
          <w:rFonts w:cs="Arial"/>
          <w:color w:val="000000"/>
        </w:rPr>
        <w:t xml:space="preserve">literature review of the interaction of IP in innovation policy formulation was completed with the assistance of the Manchester Institute of Innovation Research.  The </w:t>
      </w:r>
      <w:r>
        <w:rPr>
          <w:rFonts w:cs="Arial"/>
          <w:color w:val="000000"/>
        </w:rPr>
        <w:t>r</w:t>
      </w:r>
      <w:r w:rsidRPr="00D75CA2">
        <w:rPr>
          <w:rFonts w:cs="Arial"/>
          <w:color w:val="000000"/>
        </w:rPr>
        <w:t>eview mapped the thinking, the debate and the discussion in published works on the intersection of IP in innovation policy making</w:t>
      </w:r>
      <w:r>
        <w:rPr>
          <w:rFonts w:cs="Arial"/>
          <w:color w:val="000000"/>
        </w:rPr>
        <w:t>.</w:t>
      </w:r>
    </w:p>
    <w:p w:rsidR="0089279A" w:rsidRPr="00D75CA2" w:rsidRDefault="0089279A" w:rsidP="00C25166">
      <w:pPr>
        <w:pStyle w:val="ListParagraph"/>
        <w:tabs>
          <w:tab w:val="left" w:pos="709"/>
        </w:tabs>
        <w:autoSpaceDE w:val="0"/>
        <w:autoSpaceDN w:val="0"/>
        <w:adjustRightInd w:val="0"/>
        <w:ind w:left="0"/>
        <w:jc w:val="both"/>
        <w:rPr>
          <w:rFonts w:cs="Arial"/>
          <w:color w:val="000000"/>
        </w:rPr>
      </w:pPr>
    </w:p>
    <w:p w:rsidR="0089279A" w:rsidRDefault="0089279A" w:rsidP="00C25166">
      <w:pPr>
        <w:pStyle w:val="ListParagraph"/>
        <w:tabs>
          <w:tab w:val="left" w:pos="709"/>
        </w:tabs>
        <w:autoSpaceDE w:val="0"/>
        <w:autoSpaceDN w:val="0"/>
        <w:adjustRightInd w:val="0"/>
        <w:ind w:left="0"/>
        <w:jc w:val="both"/>
        <w:rPr>
          <w:rFonts w:cs="Arial"/>
          <w:color w:val="000000"/>
        </w:rPr>
      </w:pPr>
      <w:r>
        <w:rPr>
          <w:rFonts w:cs="Arial"/>
          <w:color w:val="000000"/>
        </w:rPr>
        <w:t>INNOVATION STRUCTURES</w:t>
      </w:r>
    </w:p>
    <w:p w:rsidR="0089279A" w:rsidRPr="00D75CA2" w:rsidRDefault="0089279A" w:rsidP="00C25166">
      <w:pPr>
        <w:pStyle w:val="ListParagraph"/>
        <w:tabs>
          <w:tab w:val="left" w:pos="709"/>
        </w:tabs>
        <w:autoSpaceDE w:val="0"/>
        <w:autoSpaceDN w:val="0"/>
        <w:adjustRightInd w:val="0"/>
        <w:ind w:left="0"/>
        <w:jc w:val="both"/>
        <w:rPr>
          <w:rFonts w:cs="Arial"/>
          <w:color w:val="000000"/>
        </w:rPr>
      </w:pPr>
    </w:p>
    <w:p w:rsidR="0089279A" w:rsidRPr="00D75CA2" w:rsidRDefault="0089279A" w:rsidP="00C25166">
      <w:pPr>
        <w:pStyle w:val="ListParagraph"/>
        <w:numPr>
          <w:ilvl w:val="0"/>
          <w:numId w:val="79"/>
        </w:numPr>
        <w:tabs>
          <w:tab w:val="left" w:pos="709"/>
        </w:tabs>
        <w:autoSpaceDE w:val="0"/>
        <w:autoSpaceDN w:val="0"/>
        <w:adjustRightInd w:val="0"/>
        <w:ind w:left="0" w:firstLine="0"/>
        <w:jc w:val="both"/>
        <w:rPr>
          <w:rFonts w:cs="Arial"/>
          <w:color w:val="000000"/>
        </w:rPr>
      </w:pPr>
      <w:r>
        <w:rPr>
          <w:rFonts w:cs="Arial"/>
          <w:color w:val="000000"/>
        </w:rPr>
        <w:t>T</w:t>
      </w:r>
      <w:r w:rsidRPr="00D75CA2">
        <w:rPr>
          <w:rFonts w:cs="Arial"/>
          <w:color w:val="000000"/>
        </w:rPr>
        <w:t>hrough tailored IP commercialization projects, capacity building</w:t>
      </w:r>
      <w:r>
        <w:rPr>
          <w:rFonts w:cs="Arial"/>
          <w:color w:val="000000"/>
        </w:rPr>
        <w:t xml:space="preserve"> programs and advisory services to WIPO Member States, the Program </w:t>
      </w:r>
      <w:r w:rsidRPr="00D75CA2">
        <w:rPr>
          <w:rFonts w:cs="Arial"/>
          <w:color w:val="000000"/>
        </w:rPr>
        <w:t xml:space="preserve">also facilitated the development of adequate legal and organizational infrastructure as well as professional human capital </w:t>
      </w:r>
      <w:r>
        <w:rPr>
          <w:rFonts w:cs="Arial"/>
          <w:color w:val="000000"/>
        </w:rPr>
        <w:t>for the promotion of creativity</w:t>
      </w:r>
      <w:r w:rsidRPr="00D75CA2">
        <w:rPr>
          <w:rFonts w:cs="Arial"/>
          <w:color w:val="000000"/>
        </w:rPr>
        <w:t xml:space="preserve"> and strategic IPR management of knowledge and research results from an early stage towards technology markets, by using </w:t>
      </w:r>
      <w:r>
        <w:rPr>
          <w:rFonts w:cs="Arial"/>
          <w:color w:val="000000"/>
        </w:rPr>
        <w:t xml:space="preserve">the </w:t>
      </w:r>
      <w:r w:rsidRPr="00D75CA2">
        <w:rPr>
          <w:rFonts w:cs="Arial"/>
          <w:color w:val="000000"/>
        </w:rPr>
        <w:t xml:space="preserve">IP system and commercialization tools and processes.  </w:t>
      </w:r>
      <w:r w:rsidRPr="009F344A">
        <w:rPr>
          <w:rFonts w:cs="Arial"/>
          <w:color w:val="000000"/>
        </w:rPr>
        <w:t xml:space="preserve">Using customized training </w:t>
      </w:r>
      <w:r>
        <w:rPr>
          <w:rFonts w:cs="Arial"/>
          <w:color w:val="000000"/>
        </w:rPr>
        <w:t>approaches</w:t>
      </w:r>
      <w:r w:rsidRPr="009F344A">
        <w:rPr>
          <w:rFonts w:cs="Arial"/>
          <w:color w:val="000000"/>
        </w:rPr>
        <w:t xml:space="preserve">, </w:t>
      </w:r>
      <w:r>
        <w:rPr>
          <w:rFonts w:cs="Arial"/>
          <w:color w:val="000000"/>
        </w:rPr>
        <w:t xml:space="preserve">, some 2,200 professionals </w:t>
      </w:r>
      <w:r w:rsidRPr="009F344A">
        <w:rPr>
          <w:rFonts w:cs="Arial"/>
          <w:color w:val="000000"/>
        </w:rPr>
        <w:t>(government officials, technology managers, scientists and patent agents)</w:t>
      </w:r>
      <w:r>
        <w:rPr>
          <w:rFonts w:cs="Arial"/>
          <w:color w:val="000000"/>
        </w:rPr>
        <w:t xml:space="preserve"> were trained </w:t>
      </w:r>
      <w:r w:rsidRPr="009569B3">
        <w:t>through</w:t>
      </w:r>
      <w:r w:rsidRPr="005C01F3">
        <w:t xml:space="preserve"> in situ</w:t>
      </w:r>
      <w:r w:rsidRPr="006A4023">
        <w:t xml:space="preserve"> events, and an additional </w:t>
      </w:r>
      <w:r>
        <w:t>100</w:t>
      </w:r>
      <w:r w:rsidRPr="006A4023">
        <w:t xml:space="preserve"> innovation stakeholders, including women </w:t>
      </w:r>
      <w:r>
        <w:t xml:space="preserve">entrepreneurs </w:t>
      </w:r>
      <w:r w:rsidRPr="006A4023">
        <w:t xml:space="preserve">in Africa, through </w:t>
      </w:r>
      <w:r w:rsidRPr="00992595">
        <w:t xml:space="preserve">more than </w:t>
      </w:r>
      <w:r>
        <w:t>123</w:t>
      </w:r>
      <w:r w:rsidRPr="00992595">
        <w:t xml:space="preserve"> distance practice modules </w:t>
      </w:r>
      <w:r w:rsidRPr="006A4023">
        <w:t xml:space="preserve">and video conferences.  </w:t>
      </w:r>
    </w:p>
    <w:p w:rsidR="0089279A" w:rsidRDefault="0089279A" w:rsidP="00C25166">
      <w:pPr>
        <w:pStyle w:val="ListParagraph"/>
        <w:tabs>
          <w:tab w:val="left" w:pos="709"/>
        </w:tabs>
        <w:autoSpaceDE w:val="0"/>
        <w:autoSpaceDN w:val="0"/>
        <w:adjustRightInd w:val="0"/>
        <w:ind w:left="0"/>
        <w:jc w:val="both"/>
        <w:rPr>
          <w:rFonts w:cs="Arial"/>
          <w:color w:val="000000"/>
        </w:rPr>
      </w:pPr>
    </w:p>
    <w:p w:rsidR="0089279A" w:rsidRPr="00190E17" w:rsidRDefault="0089279A" w:rsidP="00C25166">
      <w:pPr>
        <w:pStyle w:val="ListParagraph"/>
        <w:numPr>
          <w:ilvl w:val="0"/>
          <w:numId w:val="79"/>
        </w:numPr>
        <w:tabs>
          <w:tab w:val="left" w:pos="709"/>
        </w:tabs>
        <w:autoSpaceDE w:val="0"/>
        <w:autoSpaceDN w:val="0"/>
        <w:adjustRightInd w:val="0"/>
        <w:ind w:left="0" w:firstLine="0"/>
        <w:jc w:val="both"/>
        <w:rPr>
          <w:rFonts w:cs="Arial"/>
          <w:color w:val="000000"/>
        </w:rPr>
      </w:pPr>
      <w:r>
        <w:rPr>
          <w:rFonts w:cs="Arial"/>
        </w:rPr>
        <w:t xml:space="preserve">The geographic scope of the </w:t>
      </w:r>
      <w:r w:rsidRPr="00852778">
        <w:rPr>
          <w:rFonts w:cs="Arial"/>
        </w:rPr>
        <w:t xml:space="preserve">project </w:t>
      </w:r>
      <w:r>
        <w:rPr>
          <w:rFonts w:cs="Arial"/>
        </w:rPr>
        <w:t xml:space="preserve">for the </w:t>
      </w:r>
      <w:r w:rsidRPr="00852778">
        <w:rPr>
          <w:rFonts w:cs="Arial"/>
        </w:rPr>
        <w:t xml:space="preserve">“Establishment of Technology Transfer Offices (TTOs) in </w:t>
      </w:r>
      <w:r>
        <w:rPr>
          <w:rFonts w:cs="Arial"/>
        </w:rPr>
        <w:t xml:space="preserve">the </w:t>
      </w:r>
      <w:r w:rsidRPr="00852778">
        <w:rPr>
          <w:rFonts w:cs="Arial"/>
        </w:rPr>
        <w:t xml:space="preserve">Arab Region” </w:t>
      </w:r>
      <w:r>
        <w:rPr>
          <w:rFonts w:cs="Arial"/>
        </w:rPr>
        <w:t xml:space="preserve">was expanded in 2014 </w:t>
      </w:r>
      <w:r w:rsidRPr="00345049">
        <w:rPr>
          <w:rFonts w:cs="Arial"/>
        </w:rPr>
        <w:t xml:space="preserve">to accommodate Member State requests. </w:t>
      </w:r>
      <w:r>
        <w:rPr>
          <w:rFonts w:cs="Arial"/>
        </w:rPr>
        <w:t xml:space="preserve"> </w:t>
      </w:r>
      <w:r w:rsidRPr="00852778">
        <w:rPr>
          <w:rFonts w:cs="Arial"/>
        </w:rPr>
        <w:t>In that context</w:t>
      </w:r>
      <w:r>
        <w:rPr>
          <w:rFonts w:cs="Arial"/>
        </w:rPr>
        <w:t>,</w:t>
      </w:r>
      <w:r w:rsidRPr="00852778">
        <w:rPr>
          <w:rFonts w:cs="Arial"/>
        </w:rPr>
        <w:t xml:space="preserve"> implementation of the Tunisia Action Plan started focusing on legal institutional infrastructure of beneficiary institutions in Tunisia.</w:t>
      </w:r>
      <w:r>
        <w:rPr>
          <w:rFonts w:cs="Arial"/>
        </w:rPr>
        <w:t xml:space="preserve">  </w:t>
      </w:r>
      <w:r w:rsidRPr="00345049">
        <w:rPr>
          <w:rFonts w:cs="Arial"/>
        </w:rPr>
        <w:t xml:space="preserve">Progress </w:t>
      </w:r>
      <w:r>
        <w:rPr>
          <w:rFonts w:cs="Arial"/>
        </w:rPr>
        <w:t xml:space="preserve">continued to be </w:t>
      </w:r>
      <w:r w:rsidRPr="00345049">
        <w:rPr>
          <w:rFonts w:cs="Arial"/>
        </w:rPr>
        <w:t>made towards strengthening four TTOs in Tunisia to be operationally independent and sustainable</w:t>
      </w:r>
      <w:r>
        <w:rPr>
          <w:rFonts w:cs="Arial"/>
        </w:rPr>
        <w:t xml:space="preserve">.  To this end, institutional IP policies were finalized with WIPO assistance for </w:t>
      </w:r>
      <w:r w:rsidRPr="00190E17">
        <w:rPr>
          <w:rFonts w:cs="Arial"/>
          <w:color w:val="000000"/>
        </w:rPr>
        <w:t xml:space="preserve">the </w:t>
      </w:r>
      <w:r>
        <w:rPr>
          <w:rFonts w:cs="Arial"/>
          <w:i/>
          <w:color w:val="000000"/>
        </w:rPr>
        <w:t xml:space="preserve">Centre Technique de la Chimie </w:t>
      </w:r>
      <w:r w:rsidRPr="004A0349">
        <w:rPr>
          <w:rFonts w:cs="Arial"/>
          <w:i/>
          <w:color w:val="000000"/>
        </w:rPr>
        <w:t>(CTC</w:t>
      </w:r>
      <w:r>
        <w:rPr>
          <w:rFonts w:cs="Arial"/>
          <w:i/>
          <w:color w:val="000000"/>
        </w:rPr>
        <w:t>)</w:t>
      </w:r>
      <w:r w:rsidRPr="00190E17">
        <w:rPr>
          <w:rFonts w:cs="Arial"/>
          <w:color w:val="000000"/>
        </w:rPr>
        <w:t>;  the Techno-Park El</w:t>
      </w:r>
      <w:r>
        <w:rPr>
          <w:rFonts w:cs="Arial"/>
          <w:color w:val="000000"/>
        </w:rPr>
        <w:t> </w:t>
      </w:r>
      <w:r w:rsidRPr="00190E17">
        <w:rPr>
          <w:rFonts w:cs="Arial"/>
          <w:color w:val="000000"/>
        </w:rPr>
        <w:t>Gaz</w:t>
      </w:r>
      <w:r>
        <w:rPr>
          <w:rFonts w:cs="Arial"/>
          <w:color w:val="000000"/>
        </w:rPr>
        <w:t>h</w:t>
      </w:r>
      <w:r w:rsidRPr="00190E17">
        <w:rPr>
          <w:rFonts w:cs="Arial"/>
          <w:color w:val="000000"/>
        </w:rPr>
        <w:t xml:space="preserve">ala;  </w:t>
      </w:r>
      <w:r>
        <w:rPr>
          <w:rFonts w:cs="Arial"/>
          <w:color w:val="000000"/>
        </w:rPr>
        <w:t xml:space="preserve">Packtec Technical Center for Packaging;  and </w:t>
      </w:r>
      <w:r w:rsidRPr="00190E17">
        <w:rPr>
          <w:rFonts w:cs="Arial"/>
          <w:color w:val="000000"/>
        </w:rPr>
        <w:t>the Techno-Park</w:t>
      </w:r>
      <w:r>
        <w:rPr>
          <w:rFonts w:cs="Arial"/>
          <w:color w:val="000000"/>
        </w:rPr>
        <w:t xml:space="preserve"> of </w:t>
      </w:r>
      <w:r w:rsidRPr="00190E17">
        <w:rPr>
          <w:rFonts w:cs="Arial"/>
          <w:color w:val="000000"/>
        </w:rPr>
        <w:t>Sidi</w:t>
      </w:r>
      <w:r>
        <w:rPr>
          <w:rFonts w:cs="Arial"/>
          <w:color w:val="000000"/>
        </w:rPr>
        <w:t xml:space="preserve"> Thabet.</w:t>
      </w:r>
    </w:p>
    <w:p w:rsidR="0089279A" w:rsidRPr="00190E17" w:rsidRDefault="0089279A" w:rsidP="00C25166">
      <w:pPr>
        <w:pStyle w:val="ListParagraph"/>
        <w:tabs>
          <w:tab w:val="left" w:pos="709"/>
        </w:tabs>
        <w:autoSpaceDE w:val="0"/>
        <w:autoSpaceDN w:val="0"/>
        <w:adjustRightInd w:val="0"/>
        <w:ind w:left="0"/>
        <w:jc w:val="both"/>
        <w:rPr>
          <w:rFonts w:cs="Arial"/>
          <w:color w:val="000000"/>
        </w:rPr>
      </w:pPr>
    </w:p>
    <w:p w:rsidR="0089279A" w:rsidRDefault="0089279A" w:rsidP="00C25166">
      <w:pPr>
        <w:pStyle w:val="ListParagraph"/>
        <w:numPr>
          <w:ilvl w:val="0"/>
          <w:numId w:val="79"/>
        </w:numPr>
        <w:tabs>
          <w:tab w:val="left" w:pos="709"/>
        </w:tabs>
        <w:autoSpaceDE w:val="0"/>
        <w:autoSpaceDN w:val="0"/>
        <w:adjustRightInd w:val="0"/>
        <w:ind w:left="0" w:firstLine="0"/>
        <w:jc w:val="both"/>
        <w:rPr>
          <w:rFonts w:cs="Arial"/>
          <w:color w:val="000000"/>
        </w:rPr>
      </w:pPr>
      <w:r>
        <w:rPr>
          <w:rFonts w:cs="Arial"/>
          <w:color w:val="000000"/>
        </w:rPr>
        <w:t>Some 42</w:t>
      </w:r>
      <w:r w:rsidRPr="00190E17">
        <w:rPr>
          <w:rFonts w:cs="Arial"/>
          <w:color w:val="000000"/>
        </w:rPr>
        <w:t xml:space="preserve"> training pr</w:t>
      </w:r>
      <w:r>
        <w:rPr>
          <w:rFonts w:cs="Arial"/>
          <w:color w:val="000000"/>
        </w:rPr>
        <w:t xml:space="preserve">ograms were organized </w:t>
      </w:r>
      <w:r w:rsidRPr="00190E17">
        <w:rPr>
          <w:rFonts w:cs="Arial"/>
          <w:color w:val="000000"/>
        </w:rPr>
        <w:t>in collaboration with internal and external partners</w:t>
      </w:r>
      <w:r>
        <w:rPr>
          <w:rFonts w:cs="Arial"/>
          <w:color w:val="000000"/>
        </w:rPr>
        <w:t xml:space="preserve"> as follows: 11 on Patent Drafting</w:t>
      </w:r>
      <w:r w:rsidRPr="00190E17">
        <w:rPr>
          <w:rFonts w:cs="Arial"/>
          <w:color w:val="000000"/>
        </w:rPr>
        <w:t xml:space="preserve">, 16 on IPR Management for Universities and R&amp;D Institutions, </w:t>
      </w:r>
      <w:r>
        <w:rPr>
          <w:rFonts w:cs="Arial"/>
          <w:color w:val="000000"/>
        </w:rPr>
        <w:t>12 </w:t>
      </w:r>
      <w:r w:rsidRPr="00190E17">
        <w:rPr>
          <w:rFonts w:cs="Arial"/>
          <w:color w:val="000000"/>
        </w:rPr>
        <w:t>Successful Technology Licensing (STL) courses</w:t>
      </w:r>
      <w:r>
        <w:rPr>
          <w:rFonts w:cs="Arial"/>
          <w:color w:val="000000"/>
        </w:rPr>
        <w:t xml:space="preserve">, and three </w:t>
      </w:r>
      <w:r w:rsidRPr="00190E17">
        <w:rPr>
          <w:rFonts w:cs="Arial"/>
          <w:color w:val="000000"/>
        </w:rPr>
        <w:t xml:space="preserve">IP </w:t>
      </w:r>
      <w:r>
        <w:rPr>
          <w:rFonts w:cs="Arial"/>
          <w:color w:val="000000"/>
        </w:rPr>
        <w:t xml:space="preserve">Marketing and </w:t>
      </w:r>
      <w:r w:rsidRPr="00190E17">
        <w:rPr>
          <w:rFonts w:cs="Arial"/>
          <w:color w:val="000000"/>
        </w:rPr>
        <w:t>Valuation</w:t>
      </w:r>
      <w:r>
        <w:rPr>
          <w:rFonts w:cs="Arial"/>
          <w:color w:val="000000"/>
        </w:rPr>
        <w:t xml:space="preserve"> </w:t>
      </w:r>
      <w:r w:rsidRPr="00190E17">
        <w:rPr>
          <w:rFonts w:cs="Arial"/>
          <w:color w:val="000000"/>
        </w:rPr>
        <w:t>trainings.</w:t>
      </w:r>
      <w:r>
        <w:rPr>
          <w:rFonts w:cs="Arial"/>
          <w:color w:val="000000"/>
        </w:rPr>
        <w:t xml:space="preserve">  New topics in 2014/15 included:  (i) IP Protection;  (ii) </w:t>
      </w:r>
      <w:r w:rsidRPr="00D75CA2">
        <w:rPr>
          <w:rFonts w:cs="Arial"/>
          <w:color w:val="000000"/>
        </w:rPr>
        <w:t>Commercialization Strategies of Research Results for Universities and R&amp;D and on the Interpretation of Patent Documents for the Judiciary Service</w:t>
      </w:r>
      <w:r>
        <w:rPr>
          <w:rFonts w:cs="Arial"/>
          <w:color w:val="000000"/>
        </w:rPr>
        <w:t xml:space="preserve">;  and (iii) </w:t>
      </w:r>
      <w:r w:rsidRPr="00190E17">
        <w:rPr>
          <w:rFonts w:cs="Arial"/>
          <w:color w:val="000000"/>
        </w:rPr>
        <w:t>IP Marketing for Universities</w:t>
      </w:r>
      <w:r>
        <w:rPr>
          <w:rFonts w:cs="Arial"/>
          <w:color w:val="000000"/>
        </w:rPr>
        <w:t>.</w:t>
      </w:r>
    </w:p>
    <w:p w:rsidR="0089279A" w:rsidRDefault="0089279A" w:rsidP="00C25166">
      <w:pPr>
        <w:pStyle w:val="ListParagraph"/>
        <w:tabs>
          <w:tab w:val="left" w:pos="709"/>
        </w:tabs>
        <w:autoSpaceDE w:val="0"/>
        <w:autoSpaceDN w:val="0"/>
        <w:adjustRightInd w:val="0"/>
        <w:ind w:left="0"/>
        <w:jc w:val="both"/>
        <w:rPr>
          <w:rFonts w:cs="Arial"/>
          <w:color w:val="000000"/>
        </w:rPr>
      </w:pPr>
    </w:p>
    <w:p w:rsidR="0089279A" w:rsidRDefault="0089279A" w:rsidP="00C25166">
      <w:pPr>
        <w:pStyle w:val="ListParagraph"/>
        <w:numPr>
          <w:ilvl w:val="0"/>
          <w:numId w:val="79"/>
        </w:numPr>
        <w:tabs>
          <w:tab w:val="left" w:pos="709"/>
        </w:tabs>
        <w:autoSpaceDE w:val="0"/>
        <w:autoSpaceDN w:val="0"/>
        <w:adjustRightInd w:val="0"/>
        <w:ind w:left="0" w:firstLine="0"/>
        <w:jc w:val="both"/>
        <w:rPr>
          <w:rFonts w:cs="Arial"/>
          <w:color w:val="000000"/>
        </w:rPr>
      </w:pPr>
      <w:r>
        <w:rPr>
          <w:rFonts w:cs="Arial"/>
          <w:color w:val="000000"/>
        </w:rPr>
        <w:t xml:space="preserve">In 2014/15, </w:t>
      </w:r>
      <w:r w:rsidRPr="00C62406">
        <w:rPr>
          <w:rFonts w:cs="Arial"/>
          <w:color w:val="000000"/>
        </w:rPr>
        <w:t>the</w:t>
      </w:r>
      <w:r>
        <w:rPr>
          <w:rFonts w:cs="Arial"/>
        </w:rPr>
        <w:t xml:space="preserve"> </w:t>
      </w:r>
      <w:r w:rsidRPr="00852778">
        <w:rPr>
          <w:rFonts w:cs="Arial"/>
        </w:rPr>
        <w:t xml:space="preserve">University Initiative Program </w:t>
      </w:r>
      <w:r>
        <w:rPr>
          <w:rFonts w:cs="Arial"/>
        </w:rPr>
        <w:t>underwent a</w:t>
      </w:r>
      <w:r w:rsidRPr="00852778">
        <w:rPr>
          <w:rFonts w:cs="Arial"/>
        </w:rPr>
        <w:t xml:space="preserve"> review </w:t>
      </w:r>
      <w:r>
        <w:rPr>
          <w:rFonts w:cs="Arial"/>
        </w:rPr>
        <w:t>to ensure its continued relevance</w:t>
      </w:r>
      <w:r w:rsidRPr="00852778">
        <w:rPr>
          <w:rFonts w:cs="Arial"/>
        </w:rPr>
        <w:t xml:space="preserve"> to the changing needs of universities and R&amp;D institutions in WIPO </w:t>
      </w:r>
      <w:r>
        <w:rPr>
          <w:rFonts w:cs="Arial"/>
        </w:rPr>
        <w:t>M</w:t>
      </w:r>
      <w:r w:rsidRPr="00852778">
        <w:rPr>
          <w:rFonts w:cs="Arial"/>
        </w:rPr>
        <w:t xml:space="preserve">ember States, including in </w:t>
      </w:r>
      <w:r>
        <w:rPr>
          <w:rFonts w:cs="Arial"/>
        </w:rPr>
        <w:t xml:space="preserve">developing and </w:t>
      </w:r>
      <w:r w:rsidRPr="00852778">
        <w:rPr>
          <w:rFonts w:cs="Arial"/>
        </w:rPr>
        <w:t xml:space="preserve">developed countries.  </w:t>
      </w:r>
      <w:r>
        <w:rPr>
          <w:rFonts w:cs="Arial"/>
        </w:rPr>
        <w:t>A new two-pronged approach was subsequently implemented</w:t>
      </w:r>
      <w:r>
        <w:rPr>
          <w:rFonts w:cs="Arial"/>
          <w:color w:val="000000"/>
        </w:rPr>
        <w:t xml:space="preserve">: </w:t>
      </w:r>
      <w:r w:rsidRPr="007764ED">
        <w:rPr>
          <w:rFonts w:cs="Arial"/>
          <w:color w:val="000000"/>
        </w:rPr>
        <w:t xml:space="preserve"> (i) to encourage Member States to establish a clear national regulatory framework on the ownership of IPRs developed within universities or public research institutions (PRIs); </w:t>
      </w:r>
      <w:r>
        <w:rPr>
          <w:rFonts w:cs="Arial"/>
          <w:color w:val="000000"/>
        </w:rPr>
        <w:t xml:space="preserve"> </w:t>
      </w:r>
      <w:r w:rsidRPr="007764ED">
        <w:rPr>
          <w:rFonts w:cs="Arial"/>
          <w:color w:val="000000"/>
        </w:rPr>
        <w:t xml:space="preserve">and (ii) to </w:t>
      </w:r>
      <w:r>
        <w:rPr>
          <w:rFonts w:cs="Arial"/>
          <w:color w:val="000000"/>
        </w:rPr>
        <w:t>a</w:t>
      </w:r>
      <w:r w:rsidRPr="007764ED">
        <w:rPr>
          <w:rFonts w:cs="Arial"/>
          <w:color w:val="000000"/>
        </w:rPr>
        <w:t xml:space="preserve">ssist Member States in developing institutional IP policies and support services, which appropriately balance protection of IP and access to knowledge.  </w:t>
      </w:r>
      <w:r>
        <w:rPr>
          <w:rFonts w:cs="Arial"/>
          <w:color w:val="000000"/>
        </w:rPr>
        <w:t xml:space="preserve">In 2015, a </w:t>
      </w:r>
      <w:r w:rsidRPr="007E46C9">
        <w:rPr>
          <w:rFonts w:cs="Arial"/>
          <w:color w:val="000000"/>
        </w:rPr>
        <w:t xml:space="preserve">project was launched in Botswana, aimed at creating </w:t>
      </w:r>
      <w:r w:rsidRPr="00D75CA2">
        <w:rPr>
          <w:rFonts w:cs="Arial"/>
          <w:color w:val="000000"/>
        </w:rPr>
        <w:t>a national model institutional IP policy</w:t>
      </w:r>
      <w:r>
        <w:rPr>
          <w:rFonts w:cs="Arial"/>
          <w:color w:val="000000"/>
        </w:rPr>
        <w:t xml:space="preserve"> to</w:t>
      </w:r>
      <w:r w:rsidRPr="00D75CA2">
        <w:rPr>
          <w:rFonts w:cs="Arial"/>
          <w:color w:val="000000"/>
        </w:rPr>
        <w:t xml:space="preserve"> facil</w:t>
      </w:r>
      <w:r>
        <w:rPr>
          <w:rFonts w:cs="Arial"/>
          <w:color w:val="000000"/>
        </w:rPr>
        <w:t>itate the efforts of U</w:t>
      </w:r>
      <w:r w:rsidRPr="00D75CA2">
        <w:rPr>
          <w:rFonts w:cs="Arial"/>
          <w:color w:val="000000"/>
        </w:rPr>
        <w:t>niversities and PRIs to develop their internal policies.</w:t>
      </w:r>
    </w:p>
    <w:p w:rsidR="0089279A" w:rsidRPr="009F344A" w:rsidRDefault="0089279A" w:rsidP="00C25166">
      <w:pPr>
        <w:pStyle w:val="ListParagraph"/>
        <w:tabs>
          <w:tab w:val="left" w:pos="709"/>
        </w:tabs>
        <w:autoSpaceDE w:val="0"/>
        <w:autoSpaceDN w:val="0"/>
        <w:adjustRightInd w:val="0"/>
        <w:ind w:left="0"/>
        <w:jc w:val="both"/>
        <w:rPr>
          <w:rFonts w:cs="Arial"/>
          <w:color w:val="000000"/>
        </w:rPr>
      </w:pPr>
    </w:p>
    <w:p w:rsidR="0089279A" w:rsidRPr="0003193E" w:rsidRDefault="0089279A" w:rsidP="00C25166">
      <w:pPr>
        <w:pStyle w:val="ListParagraph"/>
        <w:numPr>
          <w:ilvl w:val="0"/>
          <w:numId w:val="79"/>
        </w:numPr>
        <w:tabs>
          <w:tab w:val="left" w:pos="709"/>
        </w:tabs>
        <w:autoSpaceDE w:val="0"/>
        <w:autoSpaceDN w:val="0"/>
        <w:adjustRightInd w:val="0"/>
        <w:ind w:left="0" w:firstLine="0"/>
        <w:jc w:val="both"/>
        <w:rPr>
          <w:rFonts w:cs="Arial"/>
        </w:rPr>
      </w:pPr>
      <w:r w:rsidRPr="003569EC">
        <w:rPr>
          <w:rFonts w:cs="Arial"/>
        </w:rPr>
        <w:t>Pursuant to DA Recommendations 19, 25, 26 and 28,</w:t>
      </w:r>
      <w:r>
        <w:rPr>
          <w:rFonts w:cs="Arial"/>
        </w:rPr>
        <w:t xml:space="preserve"> </w:t>
      </w:r>
      <w:r w:rsidRPr="003569EC">
        <w:rPr>
          <w:rFonts w:cs="Arial"/>
        </w:rPr>
        <w:t xml:space="preserve">in the context of the project on Intellectual Property and Technology Transfer: Common Challenges – Building Solutions, all six studies on aspects of technology transfer were peer-reviewed by international experts, and presented to the CDIP at its </w:t>
      </w:r>
      <w:r w:rsidRPr="003569EC">
        <w:rPr>
          <w:rFonts w:cs="Arial"/>
        </w:rPr>
        <w:lastRenderedPageBreak/>
        <w:t>fourteenth session in November 2014</w:t>
      </w:r>
      <w:r w:rsidRPr="00FE0B05">
        <w:t> </w:t>
      </w:r>
      <w:r w:rsidRPr="003569EC">
        <w:rPr>
          <w:rFonts w:cs="Arial"/>
        </w:rPr>
        <w:t xml:space="preserve">.  Following the completion of the studies and as envisaged in the approved project document, a concept paper on building solutions </w:t>
      </w:r>
      <w:r w:rsidRPr="0003193E">
        <w:rPr>
          <w:rFonts w:cs="Arial"/>
        </w:rPr>
        <w:t>was prepared and discussed at the High Level International Expert Forum held in Geneva February 16 to 18, 2015. A report on the WIPO expert forum on international technology transfer was presented to the fifteen session of the Committee and discussed together with the evaluation report of the project in the CDIP/16.</w:t>
      </w:r>
    </w:p>
    <w:p w:rsidR="0089279A" w:rsidRDefault="0089279A" w:rsidP="00C25166">
      <w:pPr>
        <w:pStyle w:val="ListParagraph"/>
        <w:tabs>
          <w:tab w:val="left" w:pos="709"/>
        </w:tabs>
        <w:autoSpaceDE w:val="0"/>
        <w:autoSpaceDN w:val="0"/>
        <w:adjustRightInd w:val="0"/>
        <w:ind w:left="0"/>
        <w:jc w:val="both"/>
        <w:rPr>
          <w:rFonts w:cs="Arial"/>
        </w:rPr>
      </w:pPr>
    </w:p>
    <w:p w:rsidR="0089279A" w:rsidRPr="003569EC" w:rsidRDefault="0089279A" w:rsidP="00C25166">
      <w:pPr>
        <w:pStyle w:val="ListParagraph"/>
        <w:numPr>
          <w:ilvl w:val="0"/>
          <w:numId w:val="79"/>
        </w:numPr>
        <w:tabs>
          <w:tab w:val="left" w:pos="709"/>
        </w:tabs>
        <w:autoSpaceDE w:val="0"/>
        <w:autoSpaceDN w:val="0"/>
        <w:adjustRightInd w:val="0"/>
        <w:ind w:left="0" w:firstLine="0"/>
        <w:jc w:val="both"/>
        <w:rPr>
          <w:rFonts w:cs="Arial"/>
        </w:rPr>
      </w:pPr>
      <w:r w:rsidRPr="003569EC">
        <w:rPr>
          <w:rFonts w:cs="Arial"/>
        </w:rPr>
        <w:t>Concerning DA Recommendation 36, under the Project on Open Collaborative Projects and IP</w:t>
      </w:r>
      <w:r>
        <w:rPr>
          <w:rFonts w:cs="Arial"/>
        </w:rPr>
        <w:noBreakHyphen/>
      </w:r>
      <w:r w:rsidRPr="003569EC">
        <w:rPr>
          <w:rFonts w:cs="Arial"/>
        </w:rPr>
        <w:t xml:space="preserve">Based Models, an Expert Meeting was organized </w:t>
      </w:r>
      <w:r>
        <w:rPr>
          <w:rFonts w:cs="Arial"/>
        </w:rPr>
        <w:t>at</w:t>
      </w:r>
      <w:r w:rsidRPr="003569EC">
        <w:rPr>
          <w:rFonts w:cs="Arial"/>
        </w:rPr>
        <w:t xml:space="preserve"> WIPO Headquarters in the form of a WIPO Conference on Open Innovation: Collaborative Projects and the Future of Knowledge, in January 2014. </w:t>
      </w:r>
      <w:r w:rsidRPr="0003193E">
        <w:rPr>
          <w:rFonts w:cs="Arial"/>
        </w:rPr>
        <w:t> </w:t>
      </w:r>
      <w:r w:rsidRPr="003569EC">
        <w:rPr>
          <w:rFonts w:cs="Arial"/>
        </w:rPr>
        <w:t>In addition, an In-Depth Evaluation Study and a study on Global Knowledge Flows, for incorporation into the planned Interactive Platform, were completed and presented to the CDIP at its fourteenth session</w:t>
      </w:r>
      <w:r>
        <w:rPr>
          <w:rFonts w:cs="Arial"/>
        </w:rPr>
        <w:t xml:space="preserve">.  </w:t>
      </w:r>
      <w:r w:rsidRPr="0003193E">
        <w:rPr>
          <w:rFonts w:cs="Arial"/>
        </w:rPr>
        <w:t>An evaluation report of the Project was discussed during the fif</w:t>
      </w:r>
      <w:r>
        <w:rPr>
          <w:rFonts w:cs="Arial"/>
        </w:rPr>
        <w:t>teen session of the Committee</w:t>
      </w:r>
      <w:r w:rsidRPr="003569EC">
        <w:rPr>
          <w:rFonts w:cs="Arial"/>
        </w:rPr>
        <w:t>.</w:t>
      </w:r>
    </w:p>
    <w:p w:rsidR="0089279A" w:rsidRDefault="0089279A">
      <w:pPr>
        <w:spacing w:after="200" w:line="276" w:lineRule="auto"/>
        <w:rPr>
          <w:rFonts w:cs="Arial"/>
          <w:szCs w:val="20"/>
        </w:rPr>
      </w:pPr>
    </w:p>
    <w:p w:rsidR="0089279A" w:rsidRPr="00136AA7" w:rsidRDefault="0089279A" w:rsidP="00C25166">
      <w:pPr>
        <w:jc w:val="both"/>
        <w:rPr>
          <w:rFonts w:cs="Arial"/>
          <w:sz w:val="22"/>
          <w:szCs w:val="20"/>
        </w:rPr>
      </w:pPr>
      <w:r w:rsidRPr="00136AA7">
        <w:rPr>
          <w:rFonts w:cs="Arial"/>
          <w:sz w:val="22"/>
          <w:szCs w:val="20"/>
        </w:rPr>
        <w:t>PERFORMANCE DATA</w:t>
      </w:r>
    </w:p>
    <w:p w:rsidR="0089279A" w:rsidRDefault="0089279A" w:rsidP="00C25166">
      <w:pPr>
        <w:tabs>
          <w:tab w:val="left" w:pos="720"/>
        </w:tabs>
        <w:rPr>
          <w:rFonts w:cs="Arial"/>
        </w:rPr>
      </w:pPr>
    </w:p>
    <w:tbl>
      <w:tblPr>
        <w:tblW w:w="4888"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127"/>
        <w:gridCol w:w="1701"/>
        <w:gridCol w:w="1419"/>
        <w:gridCol w:w="3118"/>
        <w:gridCol w:w="992"/>
      </w:tblGrid>
      <w:tr w:rsidR="0089279A" w:rsidRPr="003C5DE4" w:rsidTr="00E37059">
        <w:trPr>
          <w:cantSplit/>
        </w:trPr>
        <w:tc>
          <w:tcPr>
            <w:tcW w:w="5000" w:type="pct"/>
            <w:gridSpan w:val="5"/>
            <w:tcBorders>
              <w:top w:val="single" w:sz="4" w:space="0" w:color="auto"/>
              <w:bottom w:val="single" w:sz="4" w:space="0" w:color="auto"/>
            </w:tcBorders>
            <w:shd w:val="clear" w:color="auto" w:fill="C6D9F1" w:themeFill="text2" w:themeFillTint="33"/>
            <w:vAlign w:val="center"/>
          </w:tcPr>
          <w:p w:rsidR="0089279A" w:rsidRPr="003C5DE4" w:rsidRDefault="0089279A" w:rsidP="00C25166">
            <w:pPr>
              <w:keepNext/>
              <w:keepLines/>
              <w:tabs>
                <w:tab w:val="left" w:pos="1452"/>
              </w:tabs>
              <w:spacing w:before="120" w:after="120"/>
              <w:ind w:left="1452" w:hanging="1452"/>
              <w:rPr>
                <w:rFonts w:cs="Arial"/>
                <w:b/>
                <w:bCs/>
                <w:sz w:val="16"/>
                <w:szCs w:val="16"/>
              </w:rPr>
            </w:pPr>
            <w:r w:rsidRPr="003C5DE4">
              <w:rPr>
                <w:rFonts w:cs="Arial"/>
                <w:b/>
                <w:bCs/>
                <w:sz w:val="16"/>
                <w:szCs w:val="16"/>
              </w:rPr>
              <w:t>Expected Result:</w:t>
            </w:r>
            <w:r w:rsidRPr="003C5DE4">
              <w:rPr>
                <w:rFonts w:cs="Arial"/>
                <w:b/>
                <w:bCs/>
                <w:sz w:val="16"/>
                <w:szCs w:val="16"/>
              </w:rPr>
              <w:tab/>
            </w:r>
            <w:r w:rsidRPr="00956DE6">
              <w:rPr>
                <w:rFonts w:cs="Arial"/>
                <w:sz w:val="16"/>
                <w:szCs w:val="16"/>
                <w:lang w:bidi="th-TH"/>
              </w:rPr>
              <w:t>III.1 National innovation and IP strategies and plans consistent with national development objectives</w:t>
            </w:r>
          </w:p>
        </w:tc>
      </w:tr>
      <w:tr w:rsidR="0089279A" w:rsidRPr="003C5DE4" w:rsidTr="00BA6F3B">
        <w:trPr>
          <w:cantSplit/>
        </w:trPr>
        <w:tc>
          <w:tcPr>
            <w:tcW w:w="1137" w:type="pct"/>
            <w:tcBorders>
              <w:top w:val="single" w:sz="4" w:space="0" w:color="auto"/>
            </w:tcBorders>
            <w:vAlign w:val="center"/>
          </w:tcPr>
          <w:p w:rsidR="0089279A" w:rsidRPr="003C5DE4" w:rsidRDefault="0089279A" w:rsidP="00C25166">
            <w:pPr>
              <w:rPr>
                <w:rFonts w:cs="Arial"/>
                <w:sz w:val="16"/>
                <w:szCs w:val="16"/>
              </w:rPr>
            </w:pPr>
            <w:r w:rsidRPr="003C5DE4">
              <w:rPr>
                <w:rFonts w:cs="Arial"/>
                <w:b/>
                <w:bCs/>
                <w:sz w:val="16"/>
                <w:szCs w:val="16"/>
              </w:rPr>
              <w:t>Performance Indicators</w:t>
            </w:r>
          </w:p>
        </w:tc>
        <w:tc>
          <w:tcPr>
            <w:tcW w:w="909" w:type="pct"/>
            <w:tcBorders>
              <w:top w:val="single" w:sz="4" w:space="0" w:color="auto"/>
            </w:tcBorders>
            <w:shd w:val="clear" w:color="auto" w:fill="auto"/>
            <w:vAlign w:val="center"/>
          </w:tcPr>
          <w:p w:rsidR="0089279A" w:rsidRPr="003C5DE4" w:rsidRDefault="0089279A" w:rsidP="00C25166">
            <w:pPr>
              <w:rPr>
                <w:rFonts w:cs="Arial"/>
                <w:b/>
                <w:bCs/>
                <w:sz w:val="16"/>
                <w:szCs w:val="16"/>
              </w:rPr>
            </w:pPr>
            <w:r w:rsidRPr="003C5DE4">
              <w:rPr>
                <w:rFonts w:cs="Arial"/>
                <w:b/>
                <w:bCs/>
                <w:sz w:val="16"/>
                <w:szCs w:val="16"/>
              </w:rPr>
              <w:t>Baselines</w:t>
            </w:r>
          </w:p>
        </w:tc>
        <w:tc>
          <w:tcPr>
            <w:tcW w:w="758" w:type="pct"/>
            <w:tcBorders>
              <w:top w:val="single" w:sz="4" w:space="0" w:color="auto"/>
            </w:tcBorders>
            <w:tcMar>
              <w:top w:w="110" w:type="dxa"/>
            </w:tcMar>
            <w:vAlign w:val="center"/>
          </w:tcPr>
          <w:p w:rsidR="0089279A" w:rsidRPr="003C5DE4" w:rsidRDefault="0089279A" w:rsidP="00C25166">
            <w:pPr>
              <w:rPr>
                <w:rFonts w:cs="Arial"/>
                <w:b/>
                <w:sz w:val="16"/>
                <w:szCs w:val="16"/>
              </w:rPr>
            </w:pPr>
            <w:r w:rsidRPr="003C5DE4">
              <w:rPr>
                <w:rFonts w:cs="Arial"/>
                <w:b/>
                <w:sz w:val="16"/>
                <w:szCs w:val="16"/>
              </w:rPr>
              <w:t>Targets</w:t>
            </w:r>
          </w:p>
        </w:tc>
        <w:tc>
          <w:tcPr>
            <w:tcW w:w="1666" w:type="pct"/>
            <w:tcBorders>
              <w:top w:val="single" w:sz="4" w:space="0" w:color="auto"/>
            </w:tcBorders>
            <w:shd w:val="clear" w:color="auto" w:fill="FFFFFF"/>
            <w:tcMar>
              <w:top w:w="110" w:type="dxa"/>
            </w:tcMar>
            <w:vAlign w:val="center"/>
          </w:tcPr>
          <w:p w:rsidR="0089279A" w:rsidRPr="003C5DE4" w:rsidRDefault="0089279A" w:rsidP="00C25166">
            <w:pPr>
              <w:rPr>
                <w:rFonts w:cs="Arial"/>
                <w:sz w:val="16"/>
                <w:szCs w:val="16"/>
              </w:rPr>
            </w:pPr>
            <w:r w:rsidRPr="003C5DE4">
              <w:rPr>
                <w:rFonts w:cs="Arial"/>
                <w:b/>
                <w:bCs/>
                <w:sz w:val="16"/>
                <w:szCs w:val="16"/>
              </w:rPr>
              <w:t>Performance Data</w:t>
            </w:r>
          </w:p>
        </w:tc>
        <w:tc>
          <w:tcPr>
            <w:tcW w:w="531" w:type="pct"/>
            <w:tcBorders>
              <w:top w:val="single" w:sz="4" w:space="0" w:color="auto"/>
            </w:tcBorders>
            <w:tcMar>
              <w:top w:w="110" w:type="dxa"/>
            </w:tcMar>
            <w:vAlign w:val="center"/>
          </w:tcPr>
          <w:p w:rsidR="0089279A" w:rsidRPr="003C5DE4" w:rsidRDefault="0089279A" w:rsidP="00C25166">
            <w:pPr>
              <w:keepNext/>
              <w:keepLines/>
              <w:jc w:val="center"/>
              <w:rPr>
                <w:rFonts w:cs="Arial"/>
                <w:b/>
                <w:bCs/>
                <w:sz w:val="16"/>
                <w:szCs w:val="16"/>
              </w:rPr>
            </w:pPr>
            <w:r w:rsidRPr="003C5DE4">
              <w:rPr>
                <w:rFonts w:cs="Arial"/>
                <w:b/>
                <w:bCs/>
                <w:sz w:val="16"/>
                <w:szCs w:val="16"/>
              </w:rPr>
              <w:t>TLS</w:t>
            </w:r>
          </w:p>
        </w:tc>
      </w:tr>
      <w:tr w:rsidR="0089279A" w:rsidRPr="003C5DE4" w:rsidTr="00BA6F3B">
        <w:trPr>
          <w:cantSplit/>
        </w:trPr>
        <w:tc>
          <w:tcPr>
            <w:tcW w:w="1137" w:type="pct"/>
            <w:tcBorders>
              <w:bottom w:val="single" w:sz="4" w:space="0" w:color="auto"/>
            </w:tcBorders>
          </w:tcPr>
          <w:p w:rsidR="0089279A" w:rsidRPr="003C5DE4" w:rsidRDefault="0089279A" w:rsidP="00C25166">
            <w:pPr>
              <w:rPr>
                <w:rFonts w:cs="Arial"/>
                <w:sz w:val="16"/>
                <w:szCs w:val="16"/>
              </w:rPr>
            </w:pPr>
            <w:r w:rsidRPr="00956DE6">
              <w:rPr>
                <w:rFonts w:cs="Arial"/>
                <w:sz w:val="16"/>
                <w:szCs w:val="16"/>
                <w:lang w:bidi="th-TH"/>
              </w:rPr>
              <w:t>No. of countries with national innovation policies initiated, in progress or adopted</w:t>
            </w:r>
          </w:p>
        </w:tc>
        <w:tc>
          <w:tcPr>
            <w:tcW w:w="909" w:type="pct"/>
            <w:tcBorders>
              <w:bottom w:val="single" w:sz="4" w:space="0" w:color="auto"/>
            </w:tcBorders>
            <w:shd w:val="clear" w:color="auto" w:fill="auto"/>
          </w:tcPr>
          <w:p w:rsidR="0089279A" w:rsidRPr="00956DE6" w:rsidRDefault="0089279A" w:rsidP="00C25166">
            <w:pPr>
              <w:rPr>
                <w:rFonts w:cs="Arial"/>
                <w:color w:val="002060"/>
                <w:sz w:val="16"/>
                <w:szCs w:val="16"/>
              </w:rPr>
            </w:pPr>
            <w:r w:rsidRPr="0068151C">
              <w:rPr>
                <w:rFonts w:cs="Arial"/>
                <w:i/>
                <w:color w:val="002060"/>
                <w:sz w:val="16"/>
                <w:szCs w:val="16"/>
              </w:rPr>
              <w:t>Updated Baseline end 201</w:t>
            </w:r>
            <w:r>
              <w:rPr>
                <w:rFonts w:cs="Arial"/>
                <w:i/>
                <w:color w:val="002060"/>
                <w:sz w:val="16"/>
                <w:szCs w:val="16"/>
              </w:rPr>
              <w:t xml:space="preserve">3: </w:t>
            </w:r>
            <w:r w:rsidRPr="00956DE6">
              <w:rPr>
                <w:rFonts w:cs="Arial"/>
                <w:color w:val="002060"/>
                <w:sz w:val="16"/>
                <w:szCs w:val="16"/>
              </w:rPr>
              <w:t>1 country</w:t>
            </w:r>
          </w:p>
          <w:p w:rsidR="0089279A" w:rsidRPr="0068151C" w:rsidRDefault="0089279A" w:rsidP="00C25166">
            <w:pPr>
              <w:rPr>
                <w:rFonts w:cs="Arial"/>
                <w:i/>
                <w:sz w:val="8"/>
                <w:szCs w:val="8"/>
              </w:rPr>
            </w:pPr>
          </w:p>
          <w:p w:rsidR="0089279A" w:rsidRDefault="0089279A" w:rsidP="00C25166">
            <w:pPr>
              <w:rPr>
                <w:rFonts w:cs="Arial"/>
                <w:sz w:val="16"/>
                <w:szCs w:val="16"/>
              </w:rPr>
            </w:pPr>
            <w:r>
              <w:rPr>
                <w:rFonts w:cs="Arial"/>
                <w:i/>
                <w:sz w:val="16"/>
                <w:szCs w:val="16"/>
              </w:rPr>
              <w:t>Original Baseline P&amp;B 2014/15</w:t>
            </w:r>
            <w:r w:rsidRPr="0068151C">
              <w:rPr>
                <w:rFonts w:cs="Arial"/>
                <w:i/>
                <w:sz w:val="16"/>
                <w:szCs w:val="16"/>
              </w:rPr>
              <w:t>:</w:t>
            </w:r>
            <w:r w:rsidRPr="0068151C">
              <w:rPr>
                <w:rFonts w:cs="Arial"/>
                <w:sz w:val="16"/>
                <w:szCs w:val="16"/>
              </w:rPr>
              <w:t xml:space="preserve"> </w:t>
            </w:r>
            <w:r>
              <w:rPr>
                <w:rFonts w:cs="Arial"/>
                <w:sz w:val="16"/>
                <w:szCs w:val="16"/>
              </w:rPr>
              <w:t xml:space="preserve"> tbd</w:t>
            </w:r>
          </w:p>
          <w:p w:rsidR="0089279A" w:rsidRPr="003C5DE4" w:rsidRDefault="0089279A" w:rsidP="00C25166">
            <w:pPr>
              <w:rPr>
                <w:rFonts w:cs="Arial"/>
                <w:sz w:val="16"/>
                <w:szCs w:val="16"/>
                <w:lang w:bidi="th-TH"/>
              </w:rPr>
            </w:pPr>
          </w:p>
        </w:tc>
        <w:tc>
          <w:tcPr>
            <w:tcW w:w="758" w:type="pct"/>
            <w:tcBorders>
              <w:bottom w:val="single" w:sz="4" w:space="0" w:color="auto"/>
            </w:tcBorders>
            <w:tcMar>
              <w:top w:w="110" w:type="dxa"/>
            </w:tcMar>
          </w:tcPr>
          <w:p w:rsidR="0089279A" w:rsidRPr="003C5DE4" w:rsidRDefault="0089279A" w:rsidP="00C25166">
            <w:pPr>
              <w:rPr>
                <w:rFonts w:cs="Arial"/>
                <w:sz w:val="16"/>
                <w:szCs w:val="16"/>
                <w:lang w:bidi="th-TH"/>
              </w:rPr>
            </w:pPr>
            <w:r w:rsidRPr="00956DE6">
              <w:rPr>
                <w:rFonts w:cs="Arial"/>
                <w:sz w:val="16"/>
                <w:szCs w:val="16"/>
              </w:rPr>
              <w:t>5 countries</w:t>
            </w:r>
          </w:p>
        </w:tc>
        <w:tc>
          <w:tcPr>
            <w:tcW w:w="1666" w:type="pct"/>
            <w:tcBorders>
              <w:bottom w:val="single" w:sz="4" w:space="0" w:color="auto"/>
            </w:tcBorders>
            <w:shd w:val="clear" w:color="auto" w:fill="FFFFFF"/>
            <w:tcMar>
              <w:top w:w="110" w:type="dxa"/>
            </w:tcMar>
          </w:tcPr>
          <w:p w:rsidR="0089279A" w:rsidRPr="003C5DE4" w:rsidRDefault="0089279A" w:rsidP="00C25166">
            <w:pPr>
              <w:rPr>
                <w:rFonts w:cs="Arial"/>
                <w:sz w:val="16"/>
                <w:szCs w:val="16"/>
              </w:rPr>
            </w:pPr>
            <w:r w:rsidRPr="00956DE6">
              <w:rPr>
                <w:rFonts w:cs="Arial"/>
                <w:sz w:val="16"/>
                <w:szCs w:val="16"/>
              </w:rPr>
              <w:t xml:space="preserve">National </w:t>
            </w:r>
            <w:r>
              <w:rPr>
                <w:rFonts w:cs="Arial"/>
                <w:sz w:val="16"/>
                <w:szCs w:val="16"/>
              </w:rPr>
              <w:t xml:space="preserve">innovation </w:t>
            </w:r>
            <w:r w:rsidRPr="00956DE6">
              <w:rPr>
                <w:rFonts w:cs="Arial"/>
                <w:sz w:val="16"/>
                <w:szCs w:val="16"/>
              </w:rPr>
              <w:t xml:space="preserve">policies </w:t>
            </w:r>
            <w:r>
              <w:rPr>
                <w:rFonts w:cs="Arial"/>
                <w:sz w:val="16"/>
                <w:szCs w:val="16"/>
              </w:rPr>
              <w:t>were</w:t>
            </w:r>
            <w:r w:rsidRPr="00956DE6">
              <w:rPr>
                <w:rFonts w:cs="Arial"/>
                <w:sz w:val="16"/>
                <w:szCs w:val="16"/>
              </w:rPr>
              <w:t xml:space="preserve"> </w:t>
            </w:r>
            <w:r w:rsidRPr="009B192F">
              <w:rPr>
                <w:rFonts w:cs="Arial"/>
                <w:sz w:val="16"/>
                <w:szCs w:val="16"/>
              </w:rPr>
              <w:t xml:space="preserve">initiated </w:t>
            </w:r>
            <w:r w:rsidRPr="00956DE6">
              <w:rPr>
                <w:rFonts w:cs="Arial"/>
                <w:sz w:val="16"/>
                <w:szCs w:val="16"/>
              </w:rPr>
              <w:t xml:space="preserve">in </w:t>
            </w:r>
            <w:r>
              <w:rPr>
                <w:rFonts w:cs="Arial"/>
                <w:sz w:val="16"/>
                <w:szCs w:val="16"/>
              </w:rPr>
              <w:t>five</w:t>
            </w:r>
            <w:r w:rsidRPr="00956DE6">
              <w:rPr>
                <w:rFonts w:cs="Arial"/>
                <w:sz w:val="16"/>
                <w:szCs w:val="16"/>
              </w:rPr>
              <w:t xml:space="preserve"> countries:</w:t>
            </w:r>
            <w:r w:rsidRPr="00B33565">
              <w:rPr>
                <w:rFonts w:cs="Arial"/>
                <w:sz w:val="16"/>
                <w:szCs w:val="16"/>
              </w:rPr>
              <w:t xml:space="preserve">  </w:t>
            </w:r>
            <w:r w:rsidRPr="00D85C38">
              <w:rPr>
                <w:rFonts w:cs="Arial"/>
                <w:sz w:val="16"/>
                <w:szCs w:val="16"/>
              </w:rPr>
              <w:t xml:space="preserve">Cameroon, Rwanda, </w:t>
            </w:r>
            <w:r>
              <w:rPr>
                <w:rFonts w:cs="Arial"/>
                <w:sz w:val="16"/>
                <w:szCs w:val="16"/>
              </w:rPr>
              <w:t xml:space="preserve">Jamaica, </w:t>
            </w:r>
            <w:r w:rsidRPr="00D85C38">
              <w:rPr>
                <w:rFonts w:cs="Arial"/>
                <w:sz w:val="16"/>
                <w:szCs w:val="16"/>
              </w:rPr>
              <w:t>Sri Lanka</w:t>
            </w:r>
            <w:r>
              <w:rPr>
                <w:rFonts w:cs="Arial"/>
                <w:sz w:val="16"/>
                <w:szCs w:val="16"/>
              </w:rPr>
              <w:t xml:space="preserve"> and Trinidad and Tobago</w:t>
            </w:r>
          </w:p>
        </w:tc>
        <w:tc>
          <w:tcPr>
            <w:tcW w:w="531" w:type="pct"/>
            <w:tcBorders>
              <w:bottom w:val="single" w:sz="4" w:space="0" w:color="auto"/>
            </w:tcBorders>
            <w:tcMar>
              <w:top w:w="110" w:type="dxa"/>
            </w:tcMar>
          </w:tcPr>
          <w:p w:rsidR="0089279A" w:rsidRPr="00BA6F3B" w:rsidRDefault="0089279A" w:rsidP="00C25166">
            <w:pPr>
              <w:keepNext/>
              <w:keepLines/>
              <w:jc w:val="center"/>
              <w:rPr>
                <w:rFonts w:cs="Arial"/>
                <w:b/>
                <w:bCs/>
                <w:color w:val="808080"/>
                <w:sz w:val="16"/>
                <w:szCs w:val="16"/>
              </w:rPr>
            </w:pPr>
            <w:r w:rsidRPr="00BA6F3B">
              <w:rPr>
                <w:rStyle w:val="Style5"/>
                <w:rFonts w:ascii="Arial" w:hAnsi="Arial" w:cs="Arial"/>
                <w:b/>
                <w:color w:val="00B050"/>
                <w:sz w:val="16"/>
                <w:szCs w:val="16"/>
              </w:rPr>
              <w:t>Fully Achieved</w:t>
            </w:r>
          </w:p>
        </w:tc>
      </w:tr>
      <w:tr w:rsidR="0089279A" w:rsidRPr="003C5DE4" w:rsidTr="00E37059">
        <w:trPr>
          <w:cantSplit/>
        </w:trPr>
        <w:tc>
          <w:tcPr>
            <w:tcW w:w="5000" w:type="pct"/>
            <w:gridSpan w:val="5"/>
            <w:tcBorders>
              <w:top w:val="single" w:sz="4" w:space="0" w:color="auto"/>
              <w:bottom w:val="single" w:sz="4" w:space="0" w:color="auto"/>
            </w:tcBorders>
            <w:shd w:val="clear" w:color="auto" w:fill="C6D9F1" w:themeFill="text2" w:themeFillTint="33"/>
            <w:vAlign w:val="center"/>
          </w:tcPr>
          <w:p w:rsidR="0089279A" w:rsidRPr="003C5DE4" w:rsidRDefault="0089279A" w:rsidP="00C25166">
            <w:pPr>
              <w:keepNext/>
              <w:keepLines/>
              <w:tabs>
                <w:tab w:val="left" w:pos="1452"/>
              </w:tabs>
              <w:spacing w:before="120" w:after="120"/>
              <w:ind w:left="1452" w:hanging="1452"/>
              <w:rPr>
                <w:rFonts w:cs="Arial"/>
                <w:b/>
                <w:bCs/>
                <w:sz w:val="16"/>
                <w:szCs w:val="16"/>
              </w:rPr>
            </w:pPr>
            <w:r w:rsidRPr="003C5DE4">
              <w:rPr>
                <w:rFonts w:cs="Arial"/>
                <w:b/>
                <w:bCs/>
                <w:sz w:val="16"/>
                <w:szCs w:val="16"/>
              </w:rPr>
              <w:t>Expected Result:</w:t>
            </w:r>
            <w:r w:rsidRPr="003C5DE4">
              <w:rPr>
                <w:rFonts w:cs="Arial"/>
                <w:b/>
                <w:bCs/>
                <w:sz w:val="16"/>
                <w:szCs w:val="16"/>
              </w:rPr>
              <w:tab/>
            </w:r>
            <w:r w:rsidRPr="00956DE6">
              <w:rPr>
                <w:rFonts w:cs="Arial"/>
                <w:sz w:val="16"/>
                <w:szCs w:val="16"/>
                <w:lang w:bidi="th-TH"/>
              </w:rPr>
              <w:t>III.2 Enhanced human resource capacities able to deal with the broad range of requirements for the effective use of IP for development in developing countries, LDCs and countries with economies in transition</w:t>
            </w:r>
          </w:p>
        </w:tc>
      </w:tr>
      <w:tr w:rsidR="0089279A" w:rsidRPr="003C5DE4" w:rsidTr="00BA6F3B">
        <w:trPr>
          <w:cantSplit/>
        </w:trPr>
        <w:tc>
          <w:tcPr>
            <w:tcW w:w="1137" w:type="pct"/>
            <w:tcBorders>
              <w:top w:val="single" w:sz="4" w:space="0" w:color="auto"/>
            </w:tcBorders>
            <w:vAlign w:val="center"/>
          </w:tcPr>
          <w:p w:rsidR="0089279A" w:rsidRPr="003C5DE4" w:rsidRDefault="0089279A" w:rsidP="00C25166">
            <w:pPr>
              <w:rPr>
                <w:rFonts w:cs="Arial"/>
                <w:sz w:val="16"/>
                <w:szCs w:val="16"/>
              </w:rPr>
            </w:pPr>
            <w:r w:rsidRPr="003C5DE4">
              <w:rPr>
                <w:rFonts w:cs="Arial"/>
                <w:b/>
                <w:bCs/>
                <w:sz w:val="16"/>
                <w:szCs w:val="16"/>
              </w:rPr>
              <w:t>Performance Indicators</w:t>
            </w:r>
          </w:p>
        </w:tc>
        <w:tc>
          <w:tcPr>
            <w:tcW w:w="909" w:type="pct"/>
            <w:tcBorders>
              <w:top w:val="single" w:sz="4" w:space="0" w:color="auto"/>
            </w:tcBorders>
            <w:shd w:val="clear" w:color="auto" w:fill="auto"/>
            <w:vAlign w:val="center"/>
          </w:tcPr>
          <w:p w:rsidR="0089279A" w:rsidRPr="003C5DE4" w:rsidRDefault="0089279A" w:rsidP="00C25166">
            <w:pPr>
              <w:rPr>
                <w:rFonts w:cs="Arial"/>
                <w:b/>
                <w:bCs/>
                <w:sz w:val="16"/>
                <w:szCs w:val="16"/>
              </w:rPr>
            </w:pPr>
            <w:r w:rsidRPr="003C5DE4">
              <w:rPr>
                <w:rFonts w:cs="Arial"/>
                <w:b/>
                <w:bCs/>
                <w:sz w:val="16"/>
                <w:szCs w:val="16"/>
              </w:rPr>
              <w:t>Baselines</w:t>
            </w:r>
          </w:p>
        </w:tc>
        <w:tc>
          <w:tcPr>
            <w:tcW w:w="758" w:type="pct"/>
            <w:tcBorders>
              <w:top w:val="single" w:sz="4" w:space="0" w:color="auto"/>
            </w:tcBorders>
            <w:tcMar>
              <w:top w:w="110" w:type="dxa"/>
            </w:tcMar>
            <w:vAlign w:val="center"/>
          </w:tcPr>
          <w:p w:rsidR="0089279A" w:rsidRPr="003C5DE4" w:rsidRDefault="0089279A" w:rsidP="00C25166">
            <w:pPr>
              <w:rPr>
                <w:rFonts w:cs="Arial"/>
                <w:b/>
                <w:sz w:val="16"/>
                <w:szCs w:val="16"/>
              </w:rPr>
            </w:pPr>
            <w:r w:rsidRPr="003C5DE4">
              <w:rPr>
                <w:rFonts w:cs="Arial"/>
                <w:b/>
                <w:sz w:val="16"/>
                <w:szCs w:val="16"/>
              </w:rPr>
              <w:t>Targets</w:t>
            </w:r>
          </w:p>
        </w:tc>
        <w:tc>
          <w:tcPr>
            <w:tcW w:w="1666" w:type="pct"/>
            <w:tcBorders>
              <w:top w:val="single" w:sz="4" w:space="0" w:color="auto"/>
            </w:tcBorders>
            <w:shd w:val="clear" w:color="auto" w:fill="FFFFFF"/>
            <w:tcMar>
              <w:top w:w="110" w:type="dxa"/>
            </w:tcMar>
            <w:vAlign w:val="center"/>
          </w:tcPr>
          <w:p w:rsidR="0089279A" w:rsidRPr="003C5DE4" w:rsidRDefault="0089279A" w:rsidP="00C25166">
            <w:pPr>
              <w:rPr>
                <w:rFonts w:cs="Arial"/>
                <w:sz w:val="16"/>
                <w:szCs w:val="16"/>
              </w:rPr>
            </w:pPr>
            <w:r w:rsidRPr="003C5DE4">
              <w:rPr>
                <w:rFonts w:cs="Arial"/>
                <w:b/>
                <w:bCs/>
                <w:sz w:val="16"/>
                <w:szCs w:val="16"/>
              </w:rPr>
              <w:t>Performance Data</w:t>
            </w:r>
          </w:p>
        </w:tc>
        <w:tc>
          <w:tcPr>
            <w:tcW w:w="530" w:type="pct"/>
            <w:tcBorders>
              <w:top w:val="single" w:sz="4" w:space="0" w:color="auto"/>
            </w:tcBorders>
            <w:tcMar>
              <w:top w:w="110" w:type="dxa"/>
            </w:tcMar>
            <w:vAlign w:val="center"/>
          </w:tcPr>
          <w:p w:rsidR="0089279A" w:rsidRPr="003C5DE4" w:rsidRDefault="0089279A" w:rsidP="00C25166">
            <w:pPr>
              <w:keepNext/>
              <w:keepLines/>
              <w:jc w:val="center"/>
              <w:rPr>
                <w:rFonts w:cs="Arial"/>
                <w:b/>
                <w:bCs/>
                <w:sz w:val="16"/>
                <w:szCs w:val="16"/>
              </w:rPr>
            </w:pPr>
            <w:r w:rsidRPr="003C5DE4">
              <w:rPr>
                <w:rFonts w:cs="Arial"/>
                <w:b/>
                <w:bCs/>
                <w:sz w:val="16"/>
                <w:szCs w:val="16"/>
              </w:rPr>
              <w:t>TLS</w:t>
            </w:r>
          </w:p>
        </w:tc>
      </w:tr>
      <w:tr w:rsidR="0089279A" w:rsidRPr="003C5DE4" w:rsidTr="00BA6F3B">
        <w:trPr>
          <w:cantSplit/>
        </w:trPr>
        <w:tc>
          <w:tcPr>
            <w:tcW w:w="1137" w:type="pct"/>
            <w:tcBorders>
              <w:bottom w:val="single" w:sz="4" w:space="0" w:color="auto"/>
            </w:tcBorders>
          </w:tcPr>
          <w:p w:rsidR="0089279A" w:rsidRPr="003C5DE4" w:rsidRDefault="0089279A" w:rsidP="00C25166">
            <w:pPr>
              <w:rPr>
                <w:rFonts w:cs="Arial"/>
                <w:sz w:val="16"/>
                <w:szCs w:val="16"/>
                <w:lang w:bidi="th-TH"/>
              </w:rPr>
            </w:pPr>
            <w:r w:rsidRPr="00956DE6">
              <w:rPr>
                <w:rFonts w:cs="Arial"/>
                <w:sz w:val="16"/>
                <w:szCs w:val="16"/>
                <w:lang w:bidi="th-TH"/>
              </w:rPr>
              <w:t>% of trained IP professionals using upgraded skills in their work</w:t>
            </w:r>
          </w:p>
        </w:tc>
        <w:tc>
          <w:tcPr>
            <w:tcW w:w="909" w:type="pct"/>
            <w:tcBorders>
              <w:bottom w:val="single" w:sz="4" w:space="0" w:color="auto"/>
            </w:tcBorders>
            <w:shd w:val="clear" w:color="auto" w:fill="auto"/>
          </w:tcPr>
          <w:p w:rsidR="0089279A" w:rsidRPr="00956DE6" w:rsidRDefault="0089279A" w:rsidP="00C25166">
            <w:pPr>
              <w:rPr>
                <w:rFonts w:cs="Arial"/>
                <w:color w:val="002060"/>
                <w:sz w:val="16"/>
                <w:szCs w:val="16"/>
              </w:rPr>
            </w:pPr>
            <w:r w:rsidRPr="0068151C">
              <w:rPr>
                <w:rFonts w:cs="Arial"/>
                <w:i/>
                <w:color w:val="002060"/>
                <w:sz w:val="16"/>
                <w:szCs w:val="16"/>
              </w:rPr>
              <w:t>Updated Baseline end 201</w:t>
            </w:r>
            <w:r>
              <w:rPr>
                <w:rFonts w:cs="Arial"/>
                <w:i/>
                <w:color w:val="002060"/>
                <w:sz w:val="16"/>
                <w:szCs w:val="16"/>
              </w:rPr>
              <w:t xml:space="preserve">3: </w:t>
            </w:r>
            <w:r>
              <w:rPr>
                <w:rFonts w:cs="Arial"/>
                <w:color w:val="002060"/>
                <w:sz w:val="16"/>
                <w:szCs w:val="16"/>
              </w:rPr>
              <w:t>N/A</w:t>
            </w:r>
          </w:p>
          <w:p w:rsidR="0089279A" w:rsidRPr="0068151C" w:rsidRDefault="0089279A" w:rsidP="00C25166">
            <w:pPr>
              <w:rPr>
                <w:rFonts w:cs="Arial"/>
                <w:i/>
                <w:sz w:val="8"/>
                <w:szCs w:val="8"/>
              </w:rPr>
            </w:pPr>
          </w:p>
          <w:p w:rsidR="0089279A" w:rsidRDefault="0089279A" w:rsidP="00C25166">
            <w:pPr>
              <w:rPr>
                <w:rFonts w:cs="Arial"/>
                <w:sz w:val="16"/>
                <w:szCs w:val="16"/>
              </w:rPr>
            </w:pPr>
            <w:r>
              <w:rPr>
                <w:rFonts w:cs="Arial"/>
                <w:i/>
                <w:sz w:val="16"/>
                <w:szCs w:val="16"/>
              </w:rPr>
              <w:t>Original Baseline P&amp;B 2014/15</w:t>
            </w:r>
            <w:r w:rsidRPr="0068151C">
              <w:rPr>
                <w:rFonts w:cs="Arial"/>
                <w:i/>
                <w:sz w:val="16"/>
                <w:szCs w:val="16"/>
              </w:rPr>
              <w:t>:</w:t>
            </w:r>
            <w:r w:rsidRPr="0068151C">
              <w:rPr>
                <w:rFonts w:cs="Arial"/>
                <w:sz w:val="16"/>
                <w:szCs w:val="16"/>
              </w:rPr>
              <w:t xml:space="preserve"> </w:t>
            </w:r>
            <w:r>
              <w:rPr>
                <w:rFonts w:cs="Arial"/>
                <w:sz w:val="16"/>
                <w:szCs w:val="16"/>
              </w:rPr>
              <w:t xml:space="preserve"> tbd</w:t>
            </w:r>
          </w:p>
          <w:p w:rsidR="0089279A" w:rsidRPr="003C5DE4" w:rsidRDefault="0089279A" w:rsidP="00C25166">
            <w:pPr>
              <w:rPr>
                <w:rFonts w:cs="Arial"/>
                <w:sz w:val="16"/>
                <w:szCs w:val="16"/>
                <w:lang w:bidi="th-TH"/>
              </w:rPr>
            </w:pPr>
          </w:p>
        </w:tc>
        <w:tc>
          <w:tcPr>
            <w:tcW w:w="758" w:type="pct"/>
            <w:tcBorders>
              <w:bottom w:val="single" w:sz="4" w:space="0" w:color="auto"/>
            </w:tcBorders>
            <w:tcMar>
              <w:top w:w="110" w:type="dxa"/>
            </w:tcMar>
          </w:tcPr>
          <w:p w:rsidR="0089279A" w:rsidRPr="003C5DE4" w:rsidRDefault="0089279A" w:rsidP="00C25166">
            <w:pPr>
              <w:autoSpaceDE w:val="0"/>
              <w:autoSpaceDN w:val="0"/>
              <w:adjustRightInd w:val="0"/>
              <w:rPr>
                <w:rFonts w:cs="Arial"/>
                <w:sz w:val="16"/>
                <w:szCs w:val="16"/>
              </w:rPr>
            </w:pPr>
            <w:r>
              <w:rPr>
                <w:rFonts w:cs="Arial"/>
                <w:sz w:val="16"/>
                <w:szCs w:val="16"/>
              </w:rPr>
              <w:t>50%</w:t>
            </w:r>
          </w:p>
        </w:tc>
        <w:tc>
          <w:tcPr>
            <w:tcW w:w="1666" w:type="pct"/>
            <w:tcBorders>
              <w:bottom w:val="single" w:sz="4" w:space="0" w:color="auto"/>
            </w:tcBorders>
            <w:shd w:val="clear" w:color="auto" w:fill="FFFFFF"/>
            <w:tcMar>
              <w:top w:w="110" w:type="dxa"/>
            </w:tcMar>
          </w:tcPr>
          <w:p w:rsidR="0089279A" w:rsidRPr="003C5DE4" w:rsidRDefault="0089279A" w:rsidP="00C25166">
            <w:pPr>
              <w:rPr>
                <w:rFonts w:cs="Arial"/>
                <w:sz w:val="16"/>
                <w:szCs w:val="16"/>
              </w:rPr>
            </w:pPr>
            <w:r w:rsidRPr="008B2699">
              <w:rPr>
                <w:rFonts w:cs="Arial"/>
                <w:sz w:val="16"/>
                <w:szCs w:val="16"/>
              </w:rPr>
              <w:t>77%</w:t>
            </w:r>
          </w:p>
        </w:tc>
        <w:tc>
          <w:tcPr>
            <w:tcW w:w="530" w:type="pct"/>
            <w:tcBorders>
              <w:bottom w:val="single" w:sz="4" w:space="0" w:color="auto"/>
            </w:tcBorders>
            <w:tcMar>
              <w:top w:w="110" w:type="dxa"/>
            </w:tcMar>
          </w:tcPr>
          <w:p w:rsidR="0089279A" w:rsidRPr="00BA6F3B" w:rsidRDefault="0089279A" w:rsidP="00C25166">
            <w:pPr>
              <w:keepNext/>
              <w:keepLines/>
              <w:jc w:val="center"/>
              <w:rPr>
                <w:rFonts w:cs="Arial"/>
                <w:b/>
                <w:sz w:val="16"/>
                <w:szCs w:val="16"/>
              </w:rPr>
            </w:pPr>
            <w:r w:rsidRPr="00BA6F3B">
              <w:rPr>
                <w:rFonts w:cs="Arial"/>
                <w:b/>
                <w:color w:val="00B050"/>
                <w:sz w:val="16"/>
                <w:szCs w:val="16"/>
              </w:rPr>
              <w:t>Fully Achieved</w:t>
            </w:r>
          </w:p>
        </w:tc>
      </w:tr>
      <w:tr w:rsidR="0089279A" w:rsidRPr="003C5DE4" w:rsidTr="00E37059">
        <w:trPr>
          <w:cantSplit/>
        </w:trPr>
        <w:tc>
          <w:tcPr>
            <w:tcW w:w="5000" w:type="pct"/>
            <w:gridSpan w:val="5"/>
            <w:tcBorders>
              <w:top w:val="single" w:sz="4" w:space="0" w:color="auto"/>
              <w:bottom w:val="single" w:sz="4" w:space="0" w:color="auto"/>
            </w:tcBorders>
            <w:shd w:val="clear" w:color="auto" w:fill="C6D9F1" w:themeFill="text2" w:themeFillTint="33"/>
            <w:vAlign w:val="center"/>
          </w:tcPr>
          <w:p w:rsidR="0089279A" w:rsidRPr="003C5DE4" w:rsidRDefault="0089279A" w:rsidP="00C25166">
            <w:pPr>
              <w:keepNext/>
              <w:keepLines/>
              <w:tabs>
                <w:tab w:val="left" w:pos="1452"/>
              </w:tabs>
              <w:spacing w:before="120" w:after="120"/>
              <w:ind w:left="1452" w:hanging="1452"/>
              <w:rPr>
                <w:rFonts w:cs="Arial"/>
                <w:b/>
                <w:bCs/>
                <w:sz w:val="16"/>
                <w:szCs w:val="16"/>
              </w:rPr>
            </w:pPr>
            <w:r w:rsidRPr="003C5DE4">
              <w:rPr>
                <w:rFonts w:cs="Arial"/>
                <w:b/>
                <w:bCs/>
                <w:sz w:val="16"/>
                <w:szCs w:val="16"/>
              </w:rPr>
              <w:t>Expected Result:</w:t>
            </w:r>
            <w:r w:rsidRPr="003C5DE4">
              <w:rPr>
                <w:rFonts w:cs="Arial"/>
                <w:b/>
                <w:bCs/>
                <w:sz w:val="16"/>
                <w:szCs w:val="16"/>
              </w:rPr>
              <w:tab/>
            </w:r>
            <w:r w:rsidRPr="00956DE6">
              <w:rPr>
                <w:rFonts w:cs="Arial"/>
                <w:sz w:val="16"/>
                <w:szCs w:val="16"/>
                <w:lang w:bidi="th-TH"/>
              </w:rPr>
              <w:t>III.6 Increased capacity of SMEs to successfully use IP to support innovation</w:t>
            </w:r>
          </w:p>
        </w:tc>
      </w:tr>
      <w:tr w:rsidR="0089279A" w:rsidRPr="003C5DE4" w:rsidTr="00E37059">
        <w:trPr>
          <w:cantSplit/>
        </w:trPr>
        <w:tc>
          <w:tcPr>
            <w:tcW w:w="1137" w:type="pct"/>
            <w:tcBorders>
              <w:top w:val="single" w:sz="4" w:space="0" w:color="auto"/>
            </w:tcBorders>
            <w:vAlign w:val="center"/>
          </w:tcPr>
          <w:p w:rsidR="0089279A" w:rsidRPr="003C5DE4" w:rsidRDefault="0089279A" w:rsidP="00C25166">
            <w:pPr>
              <w:rPr>
                <w:rFonts w:cs="Arial"/>
                <w:sz w:val="16"/>
                <w:szCs w:val="16"/>
              </w:rPr>
            </w:pPr>
            <w:r w:rsidRPr="003C5DE4">
              <w:rPr>
                <w:rFonts w:cs="Arial"/>
                <w:b/>
                <w:bCs/>
                <w:sz w:val="16"/>
                <w:szCs w:val="16"/>
              </w:rPr>
              <w:t>Performance Indicators</w:t>
            </w:r>
          </w:p>
        </w:tc>
        <w:tc>
          <w:tcPr>
            <w:tcW w:w="909" w:type="pct"/>
            <w:tcBorders>
              <w:top w:val="single" w:sz="4" w:space="0" w:color="auto"/>
            </w:tcBorders>
            <w:shd w:val="clear" w:color="auto" w:fill="auto"/>
            <w:vAlign w:val="center"/>
          </w:tcPr>
          <w:p w:rsidR="0089279A" w:rsidRPr="003C5DE4" w:rsidRDefault="0089279A" w:rsidP="00C25166">
            <w:pPr>
              <w:rPr>
                <w:rFonts w:cs="Arial"/>
                <w:b/>
                <w:bCs/>
                <w:sz w:val="16"/>
                <w:szCs w:val="16"/>
              </w:rPr>
            </w:pPr>
            <w:r w:rsidRPr="003C5DE4">
              <w:rPr>
                <w:rFonts w:cs="Arial"/>
                <w:b/>
                <w:bCs/>
                <w:sz w:val="16"/>
                <w:szCs w:val="16"/>
              </w:rPr>
              <w:t>Baselines</w:t>
            </w:r>
          </w:p>
        </w:tc>
        <w:tc>
          <w:tcPr>
            <w:tcW w:w="758" w:type="pct"/>
            <w:tcBorders>
              <w:top w:val="single" w:sz="4" w:space="0" w:color="auto"/>
            </w:tcBorders>
            <w:tcMar>
              <w:top w:w="110" w:type="dxa"/>
            </w:tcMar>
            <w:vAlign w:val="center"/>
          </w:tcPr>
          <w:p w:rsidR="0089279A" w:rsidRPr="003C5DE4" w:rsidRDefault="0089279A" w:rsidP="00C25166">
            <w:pPr>
              <w:rPr>
                <w:rFonts w:cs="Arial"/>
                <w:b/>
                <w:sz w:val="16"/>
                <w:szCs w:val="16"/>
              </w:rPr>
            </w:pPr>
            <w:r w:rsidRPr="003C5DE4">
              <w:rPr>
                <w:rFonts w:cs="Arial"/>
                <w:b/>
                <w:sz w:val="16"/>
                <w:szCs w:val="16"/>
              </w:rPr>
              <w:t>Targets</w:t>
            </w:r>
          </w:p>
        </w:tc>
        <w:tc>
          <w:tcPr>
            <w:tcW w:w="1666" w:type="pct"/>
            <w:tcBorders>
              <w:top w:val="single" w:sz="4" w:space="0" w:color="auto"/>
            </w:tcBorders>
            <w:shd w:val="clear" w:color="auto" w:fill="FFFFFF"/>
            <w:tcMar>
              <w:top w:w="110" w:type="dxa"/>
            </w:tcMar>
            <w:vAlign w:val="center"/>
          </w:tcPr>
          <w:p w:rsidR="0089279A" w:rsidRPr="003C5DE4" w:rsidRDefault="0089279A" w:rsidP="00C25166">
            <w:pPr>
              <w:rPr>
                <w:rFonts w:cs="Arial"/>
                <w:sz w:val="16"/>
                <w:szCs w:val="16"/>
              </w:rPr>
            </w:pPr>
            <w:r w:rsidRPr="003C5DE4">
              <w:rPr>
                <w:rFonts w:cs="Arial"/>
                <w:b/>
                <w:bCs/>
                <w:sz w:val="16"/>
                <w:szCs w:val="16"/>
              </w:rPr>
              <w:t>Performance Data</w:t>
            </w:r>
          </w:p>
        </w:tc>
        <w:tc>
          <w:tcPr>
            <w:tcW w:w="530" w:type="pct"/>
            <w:tcBorders>
              <w:top w:val="single" w:sz="4" w:space="0" w:color="auto"/>
            </w:tcBorders>
            <w:tcMar>
              <w:top w:w="110" w:type="dxa"/>
            </w:tcMar>
            <w:vAlign w:val="center"/>
          </w:tcPr>
          <w:p w:rsidR="0089279A" w:rsidRPr="003C5DE4" w:rsidRDefault="0089279A" w:rsidP="00C25166">
            <w:pPr>
              <w:keepNext/>
              <w:keepLines/>
              <w:jc w:val="center"/>
              <w:rPr>
                <w:rFonts w:cs="Arial"/>
                <w:b/>
                <w:bCs/>
                <w:sz w:val="16"/>
                <w:szCs w:val="16"/>
              </w:rPr>
            </w:pPr>
            <w:r w:rsidRPr="003C5DE4">
              <w:rPr>
                <w:rFonts w:cs="Arial"/>
                <w:b/>
                <w:bCs/>
                <w:sz w:val="16"/>
                <w:szCs w:val="16"/>
              </w:rPr>
              <w:t>TLS</w:t>
            </w:r>
          </w:p>
        </w:tc>
      </w:tr>
      <w:tr w:rsidR="0089279A" w:rsidRPr="003C5DE4" w:rsidTr="00E37059">
        <w:trPr>
          <w:cantSplit/>
          <w:trHeight w:val="1393"/>
        </w:trPr>
        <w:tc>
          <w:tcPr>
            <w:tcW w:w="1137" w:type="pct"/>
            <w:tcBorders>
              <w:bottom w:val="nil"/>
            </w:tcBorders>
          </w:tcPr>
          <w:p w:rsidR="0089279A" w:rsidRPr="003C5DE4" w:rsidRDefault="0089279A" w:rsidP="00C25166">
            <w:pPr>
              <w:rPr>
                <w:rFonts w:cs="Arial"/>
                <w:sz w:val="16"/>
                <w:szCs w:val="16"/>
                <w:lang w:bidi="th-TH"/>
              </w:rPr>
            </w:pPr>
            <w:r w:rsidRPr="00956DE6">
              <w:rPr>
                <w:rFonts w:cs="Arial"/>
                <w:sz w:val="16"/>
                <w:szCs w:val="16"/>
                <w:lang w:bidi="th-TH"/>
              </w:rPr>
              <w:t xml:space="preserve">No. of subscriptions to </w:t>
            </w:r>
            <w:r>
              <w:rPr>
                <w:rFonts w:cs="Arial"/>
                <w:sz w:val="16"/>
                <w:szCs w:val="16"/>
                <w:lang w:bidi="th-TH"/>
              </w:rPr>
              <w:t xml:space="preserve">the </w:t>
            </w:r>
            <w:r w:rsidRPr="00956DE6">
              <w:rPr>
                <w:rFonts w:cs="Arial"/>
                <w:sz w:val="16"/>
                <w:szCs w:val="16"/>
                <w:lang w:bidi="th-TH"/>
              </w:rPr>
              <w:t>SME Newsletter</w:t>
            </w:r>
          </w:p>
        </w:tc>
        <w:tc>
          <w:tcPr>
            <w:tcW w:w="909" w:type="pct"/>
            <w:tcBorders>
              <w:bottom w:val="nil"/>
            </w:tcBorders>
            <w:shd w:val="clear" w:color="auto" w:fill="auto"/>
          </w:tcPr>
          <w:p w:rsidR="0089279A" w:rsidRPr="00956DE6" w:rsidRDefault="0089279A" w:rsidP="00C25166">
            <w:pPr>
              <w:rPr>
                <w:rFonts w:cs="Arial"/>
                <w:color w:val="002060"/>
                <w:sz w:val="16"/>
                <w:szCs w:val="16"/>
              </w:rPr>
            </w:pPr>
            <w:r w:rsidRPr="0068151C">
              <w:rPr>
                <w:rFonts w:cs="Arial"/>
                <w:i/>
                <w:color w:val="002060"/>
                <w:sz w:val="16"/>
                <w:szCs w:val="16"/>
              </w:rPr>
              <w:t>Updated Baseline end 201</w:t>
            </w:r>
            <w:r>
              <w:rPr>
                <w:rFonts w:cs="Arial"/>
                <w:i/>
                <w:color w:val="002060"/>
                <w:sz w:val="16"/>
                <w:szCs w:val="16"/>
              </w:rPr>
              <w:t xml:space="preserve">3: </w:t>
            </w:r>
            <w:r w:rsidRPr="005F00A4">
              <w:rPr>
                <w:rFonts w:cs="Arial"/>
                <w:color w:val="002060"/>
                <w:sz w:val="16"/>
                <w:szCs w:val="16"/>
              </w:rPr>
              <w:t>41,101</w:t>
            </w:r>
          </w:p>
          <w:p w:rsidR="0089279A" w:rsidRPr="0068151C" w:rsidRDefault="0089279A" w:rsidP="00C25166">
            <w:pPr>
              <w:rPr>
                <w:rFonts w:cs="Arial"/>
                <w:i/>
                <w:sz w:val="8"/>
                <w:szCs w:val="8"/>
              </w:rPr>
            </w:pPr>
          </w:p>
          <w:p w:rsidR="0089279A" w:rsidRPr="003C5DE4" w:rsidRDefault="0089279A" w:rsidP="00C25166">
            <w:pPr>
              <w:rPr>
                <w:rFonts w:cs="Arial"/>
                <w:sz w:val="16"/>
                <w:szCs w:val="16"/>
                <w:lang w:bidi="th-TH"/>
              </w:rPr>
            </w:pPr>
            <w:r>
              <w:rPr>
                <w:rFonts w:cs="Arial"/>
                <w:i/>
                <w:sz w:val="16"/>
                <w:szCs w:val="16"/>
              </w:rPr>
              <w:t>Original Baseline P&amp;B 2014/15</w:t>
            </w:r>
            <w:r w:rsidRPr="0068151C">
              <w:rPr>
                <w:rFonts w:cs="Arial"/>
                <w:i/>
                <w:sz w:val="16"/>
                <w:szCs w:val="16"/>
              </w:rPr>
              <w:t>:</w:t>
            </w:r>
            <w:r w:rsidRPr="0068151C">
              <w:rPr>
                <w:rFonts w:cs="Arial"/>
                <w:sz w:val="16"/>
                <w:szCs w:val="16"/>
              </w:rPr>
              <w:t xml:space="preserve"> </w:t>
            </w:r>
            <w:r>
              <w:rPr>
                <w:rFonts w:cs="Arial"/>
                <w:sz w:val="16"/>
                <w:szCs w:val="16"/>
              </w:rPr>
              <w:t xml:space="preserve"> tbd</w:t>
            </w:r>
          </w:p>
        </w:tc>
        <w:tc>
          <w:tcPr>
            <w:tcW w:w="758" w:type="pct"/>
            <w:tcBorders>
              <w:bottom w:val="nil"/>
            </w:tcBorders>
            <w:tcMar>
              <w:top w:w="110" w:type="dxa"/>
            </w:tcMar>
          </w:tcPr>
          <w:p w:rsidR="0089279A" w:rsidRPr="00E876FF" w:rsidRDefault="0089279A" w:rsidP="00C25166">
            <w:pPr>
              <w:rPr>
                <w:rFonts w:cs="Arial"/>
                <w:color w:val="002060"/>
                <w:sz w:val="16"/>
                <w:szCs w:val="16"/>
              </w:rPr>
            </w:pPr>
            <w:r w:rsidRPr="00E876FF">
              <w:rPr>
                <w:rFonts w:cs="Arial"/>
                <w:color w:val="002060"/>
                <w:sz w:val="16"/>
                <w:szCs w:val="16"/>
              </w:rPr>
              <w:t>Defined target:</w:t>
            </w:r>
            <w:r>
              <w:rPr>
                <w:rFonts w:cs="Arial"/>
                <w:color w:val="002060"/>
                <w:sz w:val="16"/>
                <w:szCs w:val="16"/>
              </w:rPr>
              <w:t xml:space="preserve"> 40,000</w:t>
            </w:r>
          </w:p>
          <w:p w:rsidR="0089279A" w:rsidRPr="003A5C5A" w:rsidRDefault="0089279A" w:rsidP="00C25166">
            <w:pPr>
              <w:rPr>
                <w:rFonts w:cs="Arial"/>
                <w:sz w:val="16"/>
                <w:szCs w:val="16"/>
              </w:rPr>
            </w:pPr>
          </w:p>
          <w:p w:rsidR="0089279A" w:rsidRPr="003A5C5A" w:rsidRDefault="0089279A" w:rsidP="00C25166">
            <w:pPr>
              <w:rPr>
                <w:rFonts w:cs="Arial"/>
                <w:sz w:val="16"/>
                <w:szCs w:val="16"/>
              </w:rPr>
            </w:pPr>
            <w:r w:rsidRPr="00E876FF">
              <w:rPr>
                <w:rFonts w:cs="Arial"/>
                <w:sz w:val="16"/>
                <w:szCs w:val="16"/>
              </w:rPr>
              <w:t>Original Target  P&amp;B 2014/15:</w:t>
            </w:r>
            <w:r w:rsidRPr="003A5C5A">
              <w:rPr>
                <w:rFonts w:cs="Arial"/>
                <w:sz w:val="16"/>
                <w:szCs w:val="16"/>
              </w:rPr>
              <w:t xml:space="preserve">  tbd</w:t>
            </w:r>
          </w:p>
          <w:p w:rsidR="0089279A" w:rsidRDefault="0089279A" w:rsidP="00C25166">
            <w:pPr>
              <w:rPr>
                <w:rFonts w:cs="Arial"/>
                <w:sz w:val="16"/>
                <w:szCs w:val="16"/>
              </w:rPr>
            </w:pPr>
          </w:p>
          <w:p w:rsidR="0089279A" w:rsidRPr="00956DE6" w:rsidRDefault="0089279A" w:rsidP="00C25166">
            <w:pPr>
              <w:rPr>
                <w:rFonts w:cs="Arial"/>
                <w:sz w:val="16"/>
                <w:szCs w:val="16"/>
                <w:lang w:bidi="th-TH"/>
              </w:rPr>
            </w:pPr>
          </w:p>
        </w:tc>
        <w:tc>
          <w:tcPr>
            <w:tcW w:w="1666" w:type="pct"/>
            <w:tcBorders>
              <w:bottom w:val="nil"/>
            </w:tcBorders>
            <w:shd w:val="clear" w:color="auto" w:fill="FFFFFF"/>
            <w:tcMar>
              <w:top w:w="110" w:type="dxa"/>
            </w:tcMar>
          </w:tcPr>
          <w:p w:rsidR="0089279A" w:rsidRDefault="0089279A" w:rsidP="00C25166">
            <w:pPr>
              <w:jc w:val="both"/>
              <w:rPr>
                <w:rFonts w:cs="Arial"/>
                <w:sz w:val="16"/>
                <w:szCs w:val="16"/>
                <w:lang w:bidi="th-TH"/>
              </w:rPr>
            </w:pPr>
            <w:r w:rsidRPr="00956DE6">
              <w:rPr>
                <w:rFonts w:cs="Arial"/>
                <w:sz w:val="16"/>
                <w:szCs w:val="16"/>
                <w:lang w:bidi="th-TH"/>
              </w:rPr>
              <w:t>40,5</w:t>
            </w:r>
            <w:r>
              <w:rPr>
                <w:rFonts w:cs="Arial"/>
                <w:sz w:val="16"/>
                <w:szCs w:val="16"/>
                <w:lang w:bidi="th-TH"/>
              </w:rPr>
              <w:t>1</w:t>
            </w:r>
            <w:r w:rsidRPr="00956DE6">
              <w:rPr>
                <w:rFonts w:cs="Arial"/>
                <w:sz w:val="16"/>
                <w:szCs w:val="16"/>
                <w:lang w:bidi="th-TH"/>
              </w:rPr>
              <w:t xml:space="preserve">0 subscriptions to the SME Newsletter in 2014 </w:t>
            </w:r>
          </w:p>
          <w:p w:rsidR="0089279A" w:rsidRDefault="0089279A" w:rsidP="00C25166">
            <w:pPr>
              <w:jc w:val="both"/>
              <w:rPr>
                <w:rFonts w:cs="Arial"/>
                <w:sz w:val="16"/>
                <w:szCs w:val="16"/>
                <w:lang w:bidi="th-TH"/>
              </w:rPr>
            </w:pPr>
          </w:p>
          <w:p w:rsidR="0089279A" w:rsidRDefault="0089279A" w:rsidP="00C25166">
            <w:pPr>
              <w:jc w:val="both"/>
              <w:rPr>
                <w:rFonts w:cs="Arial"/>
                <w:sz w:val="16"/>
                <w:szCs w:val="16"/>
                <w:lang w:bidi="th-TH"/>
              </w:rPr>
            </w:pPr>
            <w:r>
              <w:rPr>
                <w:rFonts w:cs="Arial"/>
                <w:sz w:val="16"/>
                <w:szCs w:val="16"/>
                <w:lang w:bidi="th-TH"/>
              </w:rPr>
              <w:t xml:space="preserve">6,657 subscriptions to the SME Newsletter in 2015.  </w:t>
            </w:r>
          </w:p>
          <w:p w:rsidR="0089279A" w:rsidRDefault="0089279A" w:rsidP="00C25166">
            <w:pPr>
              <w:jc w:val="both"/>
              <w:rPr>
                <w:rFonts w:cs="Arial"/>
                <w:sz w:val="16"/>
                <w:szCs w:val="16"/>
                <w:lang w:bidi="th-TH"/>
              </w:rPr>
            </w:pPr>
          </w:p>
          <w:p w:rsidR="0089279A" w:rsidRPr="003C5DE4" w:rsidRDefault="0089279A" w:rsidP="00C25166">
            <w:pPr>
              <w:jc w:val="both"/>
              <w:rPr>
                <w:rFonts w:cs="Arial"/>
                <w:sz w:val="16"/>
                <w:szCs w:val="16"/>
                <w:lang w:bidi="th-TH"/>
              </w:rPr>
            </w:pPr>
            <w:r>
              <w:rPr>
                <w:rFonts w:cs="Arial"/>
                <w:sz w:val="16"/>
                <w:szCs w:val="16"/>
                <w:lang w:bidi="th-TH"/>
              </w:rPr>
              <w:t>See paragraph 30.4 for additional information.</w:t>
            </w:r>
          </w:p>
        </w:tc>
        <w:tc>
          <w:tcPr>
            <w:tcW w:w="530" w:type="pct"/>
            <w:tcBorders>
              <w:bottom w:val="nil"/>
            </w:tcBorders>
            <w:tcMar>
              <w:top w:w="110" w:type="dxa"/>
            </w:tcMar>
          </w:tcPr>
          <w:p w:rsidR="0089279A" w:rsidRPr="003C5DE4" w:rsidRDefault="0089279A" w:rsidP="00C25166">
            <w:pPr>
              <w:pStyle w:val="Default"/>
              <w:jc w:val="center"/>
              <w:rPr>
                <w:bCs/>
                <w:color w:val="808080"/>
                <w:sz w:val="16"/>
                <w:szCs w:val="16"/>
              </w:rPr>
            </w:pPr>
            <w:r w:rsidRPr="002810E4">
              <w:rPr>
                <w:b/>
                <w:bCs/>
                <w:color w:val="808080"/>
                <w:sz w:val="13"/>
                <w:szCs w:val="13"/>
              </w:rPr>
              <w:t xml:space="preserve">Not </w:t>
            </w:r>
            <w:r>
              <w:rPr>
                <w:b/>
                <w:bCs/>
                <w:color w:val="808080"/>
                <w:sz w:val="13"/>
                <w:szCs w:val="13"/>
              </w:rPr>
              <w:t>A</w:t>
            </w:r>
            <w:r w:rsidRPr="002810E4">
              <w:rPr>
                <w:b/>
                <w:bCs/>
                <w:color w:val="808080"/>
                <w:sz w:val="13"/>
                <w:szCs w:val="13"/>
              </w:rPr>
              <w:t>ssessable</w:t>
            </w:r>
          </w:p>
        </w:tc>
      </w:tr>
      <w:tr w:rsidR="0089279A" w:rsidRPr="003C5DE4" w:rsidTr="00BA6F3B">
        <w:trPr>
          <w:cantSplit/>
        </w:trPr>
        <w:tc>
          <w:tcPr>
            <w:tcW w:w="1137" w:type="pct"/>
            <w:tcBorders>
              <w:top w:val="nil"/>
              <w:bottom w:val="single" w:sz="4" w:space="0" w:color="auto"/>
            </w:tcBorders>
          </w:tcPr>
          <w:p w:rsidR="0089279A" w:rsidRPr="003C5DE4" w:rsidRDefault="0089279A" w:rsidP="00C25166">
            <w:pPr>
              <w:rPr>
                <w:rFonts w:cs="Arial"/>
                <w:sz w:val="16"/>
                <w:szCs w:val="16"/>
                <w:lang w:bidi="th-TH"/>
              </w:rPr>
            </w:pPr>
            <w:r w:rsidRPr="00956DE6">
              <w:rPr>
                <w:rFonts w:cs="Arial"/>
                <w:sz w:val="16"/>
                <w:szCs w:val="16"/>
                <w:lang w:bidi="th-TH"/>
              </w:rPr>
              <w:t xml:space="preserve">No. of downloads of topical SME material and guidelines </w:t>
            </w:r>
          </w:p>
        </w:tc>
        <w:tc>
          <w:tcPr>
            <w:tcW w:w="909" w:type="pct"/>
            <w:tcBorders>
              <w:top w:val="nil"/>
              <w:bottom w:val="single" w:sz="4" w:space="0" w:color="auto"/>
            </w:tcBorders>
            <w:shd w:val="clear" w:color="auto" w:fill="auto"/>
          </w:tcPr>
          <w:p w:rsidR="0089279A" w:rsidRPr="008271FD" w:rsidRDefault="0089279A" w:rsidP="00C25166">
            <w:pPr>
              <w:keepNext/>
              <w:keepLines/>
              <w:outlineLvl w:val="7"/>
              <w:rPr>
                <w:rFonts w:cs="Arial"/>
                <w:i/>
                <w:color w:val="002060"/>
                <w:sz w:val="16"/>
                <w:szCs w:val="16"/>
              </w:rPr>
            </w:pPr>
            <w:r w:rsidRPr="0068151C">
              <w:rPr>
                <w:rFonts w:cs="Arial"/>
                <w:i/>
                <w:color w:val="002060"/>
                <w:sz w:val="16"/>
                <w:szCs w:val="16"/>
              </w:rPr>
              <w:t>Updated Baseline end 201</w:t>
            </w:r>
            <w:r>
              <w:rPr>
                <w:rFonts w:cs="Arial"/>
                <w:i/>
                <w:color w:val="002060"/>
                <w:sz w:val="16"/>
                <w:szCs w:val="16"/>
              </w:rPr>
              <w:t xml:space="preserve">3: </w:t>
            </w:r>
          </w:p>
          <w:p w:rsidR="0089279A" w:rsidRDefault="0089279A" w:rsidP="00C25166">
            <w:pPr>
              <w:rPr>
                <w:rFonts w:cs="Arial"/>
                <w:color w:val="002060"/>
                <w:sz w:val="16"/>
                <w:szCs w:val="16"/>
              </w:rPr>
            </w:pPr>
            <w:r>
              <w:rPr>
                <w:rFonts w:cs="Arial"/>
                <w:color w:val="002060"/>
                <w:sz w:val="16"/>
                <w:szCs w:val="16"/>
              </w:rPr>
              <w:t>No. of downloads: 77,617 (2013)</w:t>
            </w:r>
          </w:p>
          <w:p w:rsidR="0089279A" w:rsidRPr="008271FD" w:rsidRDefault="0089279A" w:rsidP="00C25166">
            <w:pPr>
              <w:rPr>
                <w:rFonts w:cs="Arial"/>
                <w:color w:val="002060"/>
                <w:sz w:val="16"/>
                <w:szCs w:val="16"/>
              </w:rPr>
            </w:pPr>
          </w:p>
          <w:p w:rsidR="0089279A" w:rsidRDefault="0089279A" w:rsidP="00C25166">
            <w:pPr>
              <w:rPr>
                <w:rFonts w:cs="Arial"/>
                <w:i/>
                <w:color w:val="002060"/>
                <w:sz w:val="16"/>
                <w:szCs w:val="16"/>
              </w:rPr>
            </w:pPr>
            <w:r w:rsidRPr="008271FD">
              <w:rPr>
                <w:rFonts w:cs="Arial"/>
                <w:color w:val="002060"/>
                <w:sz w:val="16"/>
                <w:szCs w:val="16"/>
              </w:rPr>
              <w:t>No. of page views: 1,210,803</w:t>
            </w:r>
            <w:r>
              <w:rPr>
                <w:rFonts w:cs="Arial"/>
                <w:color w:val="002060"/>
                <w:sz w:val="16"/>
                <w:szCs w:val="16"/>
              </w:rPr>
              <w:t xml:space="preserve"> (2013)</w:t>
            </w:r>
          </w:p>
          <w:p w:rsidR="0089279A" w:rsidRPr="0068151C" w:rsidRDefault="0089279A" w:rsidP="00C25166">
            <w:pPr>
              <w:rPr>
                <w:rFonts w:cs="Arial"/>
                <w:i/>
                <w:sz w:val="8"/>
                <w:szCs w:val="8"/>
              </w:rPr>
            </w:pPr>
          </w:p>
          <w:p w:rsidR="0089279A" w:rsidRPr="003C5DE4" w:rsidRDefault="0089279A" w:rsidP="00C25166">
            <w:pPr>
              <w:rPr>
                <w:rFonts w:cs="Arial"/>
                <w:sz w:val="16"/>
                <w:szCs w:val="16"/>
                <w:lang w:bidi="th-TH"/>
              </w:rPr>
            </w:pPr>
            <w:r>
              <w:rPr>
                <w:rFonts w:cs="Arial"/>
                <w:i/>
                <w:sz w:val="16"/>
                <w:szCs w:val="16"/>
              </w:rPr>
              <w:t>Original Baseline P&amp;B 2014/15</w:t>
            </w:r>
            <w:r w:rsidRPr="0068151C">
              <w:rPr>
                <w:rFonts w:cs="Arial"/>
                <w:i/>
                <w:sz w:val="16"/>
                <w:szCs w:val="16"/>
              </w:rPr>
              <w:t>:</w:t>
            </w:r>
            <w:r w:rsidRPr="0068151C">
              <w:rPr>
                <w:rFonts w:cs="Arial"/>
                <w:sz w:val="16"/>
                <w:szCs w:val="16"/>
              </w:rPr>
              <w:t xml:space="preserve"> </w:t>
            </w:r>
            <w:r>
              <w:rPr>
                <w:rFonts w:cs="Arial"/>
                <w:sz w:val="16"/>
                <w:szCs w:val="16"/>
              </w:rPr>
              <w:t xml:space="preserve"> tbd</w:t>
            </w:r>
          </w:p>
        </w:tc>
        <w:tc>
          <w:tcPr>
            <w:tcW w:w="758" w:type="pct"/>
            <w:tcBorders>
              <w:top w:val="nil"/>
              <w:bottom w:val="single" w:sz="4" w:space="0" w:color="auto"/>
            </w:tcBorders>
            <w:tcMar>
              <w:top w:w="110" w:type="dxa"/>
            </w:tcMar>
          </w:tcPr>
          <w:p w:rsidR="0089279A" w:rsidRDefault="0089279A" w:rsidP="00C25166">
            <w:pPr>
              <w:rPr>
                <w:rFonts w:cs="Arial"/>
                <w:sz w:val="16"/>
                <w:szCs w:val="16"/>
              </w:rPr>
            </w:pPr>
            <w:r>
              <w:rPr>
                <w:rFonts w:cs="Arial"/>
                <w:sz w:val="16"/>
                <w:szCs w:val="16"/>
              </w:rPr>
              <w:t>tbd</w:t>
            </w:r>
          </w:p>
          <w:p w:rsidR="0089279A" w:rsidRDefault="0089279A" w:rsidP="00C25166">
            <w:pPr>
              <w:rPr>
                <w:rFonts w:cs="Arial"/>
                <w:sz w:val="16"/>
                <w:szCs w:val="16"/>
              </w:rPr>
            </w:pPr>
          </w:p>
          <w:p w:rsidR="0089279A" w:rsidRPr="003C5DE4" w:rsidRDefault="0089279A" w:rsidP="00C25166">
            <w:pPr>
              <w:rPr>
                <w:rFonts w:cs="Arial"/>
                <w:sz w:val="16"/>
                <w:szCs w:val="16"/>
                <w:lang w:bidi="th-TH"/>
              </w:rPr>
            </w:pPr>
          </w:p>
        </w:tc>
        <w:tc>
          <w:tcPr>
            <w:tcW w:w="1666" w:type="pct"/>
            <w:tcBorders>
              <w:top w:val="nil"/>
              <w:bottom w:val="single" w:sz="4" w:space="0" w:color="auto"/>
            </w:tcBorders>
            <w:shd w:val="clear" w:color="auto" w:fill="FFFFFF"/>
            <w:tcMar>
              <w:top w:w="110" w:type="dxa"/>
            </w:tcMar>
          </w:tcPr>
          <w:p w:rsidR="0089279A" w:rsidRPr="00C4377D" w:rsidRDefault="0089279A" w:rsidP="00C25166">
            <w:pPr>
              <w:rPr>
                <w:rFonts w:cs="Arial"/>
                <w:sz w:val="16"/>
                <w:szCs w:val="16"/>
                <w:lang w:bidi="th-TH"/>
              </w:rPr>
            </w:pPr>
            <w:r w:rsidRPr="00C4377D">
              <w:rPr>
                <w:rFonts w:cs="Arial"/>
                <w:sz w:val="16"/>
                <w:szCs w:val="16"/>
                <w:lang w:bidi="th-TH"/>
              </w:rPr>
              <w:t>2014:</w:t>
            </w:r>
          </w:p>
          <w:p w:rsidR="0089279A" w:rsidRPr="00C4377D" w:rsidRDefault="0089279A" w:rsidP="00C25166">
            <w:pPr>
              <w:rPr>
                <w:rFonts w:cs="Arial"/>
                <w:sz w:val="16"/>
                <w:szCs w:val="16"/>
                <w:lang w:bidi="th-TH"/>
              </w:rPr>
            </w:pPr>
            <w:r w:rsidRPr="00C4377D">
              <w:rPr>
                <w:rFonts w:cs="Arial"/>
                <w:sz w:val="16"/>
                <w:szCs w:val="16"/>
                <w:lang w:bidi="th-TH"/>
              </w:rPr>
              <w:t>No. of downloads: 70,559</w:t>
            </w:r>
            <w:r>
              <w:rPr>
                <w:rFonts w:cs="Arial"/>
                <w:sz w:val="16"/>
                <w:szCs w:val="16"/>
                <w:lang w:bidi="th-TH"/>
              </w:rPr>
              <w:t xml:space="preserve"> (-9% as compared to 2013)</w:t>
            </w:r>
          </w:p>
          <w:p w:rsidR="0089279A" w:rsidRDefault="0089279A" w:rsidP="00C25166">
            <w:pPr>
              <w:rPr>
                <w:rFonts w:cs="Arial"/>
                <w:sz w:val="16"/>
                <w:szCs w:val="16"/>
                <w:lang w:bidi="th-TH"/>
              </w:rPr>
            </w:pPr>
            <w:r w:rsidRPr="00C4377D">
              <w:rPr>
                <w:rFonts w:cs="Arial"/>
                <w:sz w:val="16"/>
                <w:szCs w:val="16"/>
                <w:lang w:bidi="th-TH"/>
              </w:rPr>
              <w:t>No. of page views of the SME web page:  821,150</w:t>
            </w:r>
            <w:r>
              <w:rPr>
                <w:rFonts w:cs="Arial"/>
                <w:sz w:val="16"/>
                <w:szCs w:val="16"/>
                <w:lang w:bidi="th-TH"/>
              </w:rPr>
              <w:t xml:space="preserve"> (-32% as compared to 2013)</w:t>
            </w:r>
          </w:p>
          <w:p w:rsidR="0089279A" w:rsidRDefault="0089279A" w:rsidP="00C25166">
            <w:pPr>
              <w:rPr>
                <w:rFonts w:cs="Arial"/>
                <w:sz w:val="16"/>
                <w:szCs w:val="16"/>
                <w:lang w:bidi="th-TH"/>
              </w:rPr>
            </w:pPr>
          </w:p>
          <w:p w:rsidR="0089279A" w:rsidRDefault="0089279A" w:rsidP="00C25166">
            <w:pPr>
              <w:rPr>
                <w:rFonts w:cs="Arial"/>
                <w:sz w:val="16"/>
                <w:szCs w:val="16"/>
                <w:lang w:bidi="th-TH"/>
              </w:rPr>
            </w:pPr>
            <w:r>
              <w:rPr>
                <w:rFonts w:cs="Arial"/>
                <w:sz w:val="16"/>
                <w:szCs w:val="16"/>
                <w:lang w:bidi="th-TH"/>
              </w:rPr>
              <w:t>2015:</w:t>
            </w:r>
          </w:p>
          <w:p w:rsidR="0089279A" w:rsidRPr="00C4377D" w:rsidRDefault="0089279A" w:rsidP="00C25166">
            <w:pPr>
              <w:rPr>
                <w:rFonts w:cs="Arial"/>
                <w:sz w:val="16"/>
                <w:szCs w:val="16"/>
                <w:lang w:bidi="th-TH"/>
              </w:rPr>
            </w:pPr>
            <w:r w:rsidRPr="00C4377D">
              <w:rPr>
                <w:rFonts w:cs="Arial"/>
                <w:sz w:val="16"/>
                <w:szCs w:val="16"/>
                <w:lang w:bidi="th-TH"/>
              </w:rPr>
              <w:t xml:space="preserve">No. of downloads: </w:t>
            </w:r>
            <w:r>
              <w:rPr>
                <w:rFonts w:cs="Arial"/>
                <w:sz w:val="16"/>
                <w:szCs w:val="16"/>
                <w:lang w:bidi="th-TH"/>
              </w:rPr>
              <w:t>71,867 (+2% as compared to 2014)</w:t>
            </w:r>
          </w:p>
          <w:p w:rsidR="0089279A" w:rsidRDefault="0089279A" w:rsidP="00C25166">
            <w:pPr>
              <w:rPr>
                <w:rFonts w:cs="Arial"/>
                <w:sz w:val="16"/>
                <w:szCs w:val="16"/>
                <w:lang w:bidi="th-TH"/>
              </w:rPr>
            </w:pPr>
            <w:r w:rsidRPr="00C4377D">
              <w:rPr>
                <w:rFonts w:cs="Arial"/>
                <w:sz w:val="16"/>
                <w:szCs w:val="16"/>
                <w:lang w:bidi="th-TH"/>
              </w:rPr>
              <w:t xml:space="preserve">No. of page views of the SME web page:  </w:t>
            </w:r>
            <w:r>
              <w:rPr>
                <w:rFonts w:cs="Arial"/>
                <w:sz w:val="16"/>
                <w:szCs w:val="16"/>
                <w:lang w:bidi="th-TH"/>
              </w:rPr>
              <w:t>960,196 (+17% as compared to 2014)</w:t>
            </w:r>
          </w:p>
          <w:p w:rsidR="0089279A" w:rsidRPr="003C5DE4" w:rsidRDefault="0089279A" w:rsidP="00C25166">
            <w:pPr>
              <w:rPr>
                <w:rFonts w:cs="Arial"/>
                <w:sz w:val="16"/>
                <w:szCs w:val="16"/>
                <w:lang w:bidi="th-TH"/>
              </w:rPr>
            </w:pPr>
          </w:p>
        </w:tc>
        <w:tc>
          <w:tcPr>
            <w:tcW w:w="530" w:type="pct"/>
            <w:tcBorders>
              <w:top w:val="nil"/>
              <w:bottom w:val="single" w:sz="4" w:space="0" w:color="auto"/>
            </w:tcBorders>
            <w:tcMar>
              <w:top w:w="110" w:type="dxa"/>
            </w:tcMar>
          </w:tcPr>
          <w:p w:rsidR="0089279A" w:rsidRPr="00F66621" w:rsidRDefault="0089279A" w:rsidP="00C25166">
            <w:pPr>
              <w:pStyle w:val="Default"/>
              <w:jc w:val="center"/>
              <w:rPr>
                <w:b/>
                <w:bCs/>
                <w:color w:val="808080"/>
                <w:sz w:val="13"/>
                <w:szCs w:val="13"/>
              </w:rPr>
            </w:pPr>
            <w:r w:rsidRPr="00F66621">
              <w:rPr>
                <w:b/>
                <w:bCs/>
                <w:color w:val="808080"/>
                <w:sz w:val="13"/>
                <w:szCs w:val="13"/>
              </w:rPr>
              <w:t xml:space="preserve">Not </w:t>
            </w:r>
            <w:r>
              <w:rPr>
                <w:b/>
                <w:bCs/>
                <w:color w:val="808080"/>
                <w:sz w:val="13"/>
                <w:szCs w:val="13"/>
              </w:rPr>
              <w:t>A</w:t>
            </w:r>
            <w:r w:rsidRPr="00F66621">
              <w:rPr>
                <w:b/>
                <w:bCs/>
                <w:color w:val="808080"/>
                <w:sz w:val="13"/>
                <w:szCs w:val="13"/>
              </w:rPr>
              <w:t xml:space="preserve">ssessable </w:t>
            </w:r>
          </w:p>
          <w:p w:rsidR="0089279A" w:rsidRPr="00136AA7" w:rsidRDefault="0089279A" w:rsidP="00C25166">
            <w:pPr>
              <w:keepNext/>
              <w:keepLines/>
              <w:jc w:val="center"/>
              <w:rPr>
                <w:rFonts w:cs="Arial"/>
                <w:b/>
                <w:bCs/>
                <w:color w:val="808080"/>
                <w:sz w:val="14"/>
                <w:szCs w:val="16"/>
              </w:rPr>
            </w:pPr>
          </w:p>
        </w:tc>
      </w:tr>
      <w:tr w:rsidR="0089279A" w:rsidRPr="003C5DE4" w:rsidTr="00BA6F3B">
        <w:trPr>
          <w:cantSplit/>
        </w:trPr>
        <w:tc>
          <w:tcPr>
            <w:tcW w:w="1137" w:type="pct"/>
            <w:tcBorders>
              <w:top w:val="single" w:sz="4" w:space="0" w:color="auto"/>
              <w:left w:val="single" w:sz="4" w:space="0" w:color="auto"/>
              <w:bottom w:val="nil"/>
            </w:tcBorders>
          </w:tcPr>
          <w:p w:rsidR="0089279A" w:rsidRPr="00956DE6" w:rsidRDefault="0089279A" w:rsidP="00C25166">
            <w:pPr>
              <w:rPr>
                <w:rFonts w:cs="Arial"/>
                <w:sz w:val="16"/>
                <w:szCs w:val="16"/>
                <w:lang w:bidi="th-TH"/>
              </w:rPr>
            </w:pPr>
            <w:r w:rsidRPr="00BC6160">
              <w:rPr>
                <w:rFonts w:cs="Arial"/>
                <w:sz w:val="16"/>
                <w:szCs w:val="16"/>
                <w:lang w:bidi="th-TH"/>
              </w:rPr>
              <w:lastRenderedPageBreak/>
              <w:t>No. of SME</w:t>
            </w:r>
            <w:r>
              <w:rPr>
                <w:rFonts w:cs="Arial"/>
                <w:sz w:val="16"/>
                <w:szCs w:val="16"/>
                <w:lang w:bidi="th-TH"/>
              </w:rPr>
              <w:t xml:space="preserve"> </w:t>
            </w:r>
            <w:r w:rsidRPr="00BC6160">
              <w:rPr>
                <w:rFonts w:cs="Arial"/>
                <w:sz w:val="16"/>
                <w:szCs w:val="16"/>
                <w:lang w:bidi="th-TH"/>
              </w:rPr>
              <w:t>related case</w:t>
            </w:r>
            <w:r>
              <w:rPr>
                <w:rFonts w:cs="Arial"/>
                <w:sz w:val="16"/>
                <w:szCs w:val="16"/>
                <w:lang w:bidi="th-TH"/>
              </w:rPr>
              <w:t>-</w:t>
            </w:r>
            <w:r w:rsidRPr="00BC6160">
              <w:rPr>
                <w:rFonts w:cs="Arial"/>
                <w:sz w:val="16"/>
                <w:szCs w:val="16"/>
                <w:lang w:bidi="th-TH"/>
              </w:rPr>
              <w:t xml:space="preserve"> studies accessed via the I</w:t>
            </w:r>
            <w:r>
              <w:rPr>
                <w:rFonts w:cs="Arial"/>
                <w:sz w:val="16"/>
                <w:szCs w:val="16"/>
                <w:lang w:bidi="th-TH"/>
              </w:rPr>
              <w:t>p</w:t>
            </w:r>
            <w:r w:rsidRPr="00BC6160">
              <w:rPr>
                <w:rFonts w:cs="Arial"/>
                <w:sz w:val="16"/>
                <w:szCs w:val="16"/>
                <w:lang w:bidi="th-TH"/>
              </w:rPr>
              <w:t>Advantage and/or other relevant databases</w:t>
            </w:r>
          </w:p>
        </w:tc>
        <w:tc>
          <w:tcPr>
            <w:tcW w:w="909" w:type="pct"/>
            <w:tcBorders>
              <w:top w:val="single" w:sz="4" w:space="0" w:color="auto"/>
              <w:bottom w:val="nil"/>
            </w:tcBorders>
            <w:shd w:val="clear" w:color="auto" w:fill="auto"/>
          </w:tcPr>
          <w:p w:rsidR="0089279A" w:rsidRPr="0068151C" w:rsidRDefault="0089279A" w:rsidP="00C25166">
            <w:pPr>
              <w:rPr>
                <w:rFonts w:cs="Arial"/>
                <w:i/>
                <w:color w:val="002060"/>
                <w:sz w:val="16"/>
                <w:szCs w:val="16"/>
              </w:rPr>
            </w:pPr>
            <w:r>
              <w:rPr>
                <w:rFonts w:cs="Arial"/>
                <w:sz w:val="16"/>
                <w:szCs w:val="16"/>
              </w:rPr>
              <w:t>tbd</w:t>
            </w:r>
          </w:p>
        </w:tc>
        <w:tc>
          <w:tcPr>
            <w:tcW w:w="758" w:type="pct"/>
            <w:tcBorders>
              <w:top w:val="single" w:sz="4" w:space="0" w:color="auto"/>
              <w:bottom w:val="nil"/>
            </w:tcBorders>
            <w:tcMar>
              <w:top w:w="110" w:type="dxa"/>
            </w:tcMar>
          </w:tcPr>
          <w:p w:rsidR="0089279A" w:rsidRDefault="0089279A" w:rsidP="00C25166">
            <w:pPr>
              <w:rPr>
                <w:rFonts w:cs="Arial"/>
                <w:sz w:val="16"/>
                <w:szCs w:val="16"/>
              </w:rPr>
            </w:pPr>
            <w:r>
              <w:rPr>
                <w:rFonts w:cs="Arial"/>
                <w:sz w:val="16"/>
                <w:szCs w:val="16"/>
              </w:rPr>
              <w:t>tbd</w:t>
            </w:r>
          </w:p>
          <w:p w:rsidR="0089279A" w:rsidRDefault="0089279A" w:rsidP="00C25166">
            <w:pPr>
              <w:rPr>
                <w:rFonts w:cs="Arial"/>
                <w:sz w:val="16"/>
                <w:szCs w:val="16"/>
              </w:rPr>
            </w:pPr>
          </w:p>
          <w:p w:rsidR="0089279A" w:rsidRDefault="0089279A" w:rsidP="00C25166">
            <w:pPr>
              <w:rPr>
                <w:rFonts w:cs="Arial"/>
                <w:sz w:val="16"/>
                <w:szCs w:val="16"/>
              </w:rPr>
            </w:pPr>
          </w:p>
        </w:tc>
        <w:tc>
          <w:tcPr>
            <w:tcW w:w="1666" w:type="pct"/>
            <w:tcBorders>
              <w:top w:val="single" w:sz="4" w:space="0" w:color="auto"/>
              <w:bottom w:val="nil"/>
            </w:tcBorders>
            <w:shd w:val="clear" w:color="auto" w:fill="FFFFFF"/>
            <w:tcMar>
              <w:top w:w="110" w:type="dxa"/>
            </w:tcMar>
          </w:tcPr>
          <w:p w:rsidR="0089279A" w:rsidRPr="00956DE6" w:rsidRDefault="0089279A" w:rsidP="00C25166">
            <w:pPr>
              <w:pStyle w:val="Default"/>
              <w:rPr>
                <w:sz w:val="16"/>
                <w:szCs w:val="16"/>
              </w:rPr>
            </w:pPr>
            <w:r>
              <w:rPr>
                <w:sz w:val="16"/>
                <w:szCs w:val="16"/>
              </w:rPr>
              <w:t xml:space="preserve">During the biennium, a total </w:t>
            </w:r>
            <w:r w:rsidRPr="007764ED">
              <w:rPr>
                <w:sz w:val="16"/>
                <w:szCs w:val="16"/>
              </w:rPr>
              <w:t xml:space="preserve">of 19 new SME-related case studies were published in the IP Advantage database, bringing the total number of available SME-related case studies to 206. </w:t>
            </w:r>
            <w:r>
              <w:rPr>
                <w:sz w:val="16"/>
                <w:szCs w:val="16"/>
              </w:rPr>
              <w:t xml:space="preserve"> </w:t>
            </w:r>
            <w:r w:rsidRPr="007764ED">
              <w:rPr>
                <w:sz w:val="16"/>
                <w:szCs w:val="16"/>
              </w:rPr>
              <w:t>T</w:t>
            </w:r>
            <w:r>
              <w:rPr>
                <w:sz w:val="16"/>
                <w:szCs w:val="16"/>
              </w:rPr>
              <w:t xml:space="preserve">here were 199,700 visits to the </w:t>
            </w:r>
            <w:r w:rsidRPr="007764ED">
              <w:rPr>
                <w:sz w:val="16"/>
                <w:szCs w:val="16"/>
              </w:rPr>
              <w:t>IP Advantage database in 2014</w:t>
            </w:r>
            <w:r>
              <w:rPr>
                <w:sz w:val="16"/>
                <w:szCs w:val="16"/>
              </w:rPr>
              <w:t>/</w:t>
            </w:r>
            <w:r w:rsidRPr="007764ED">
              <w:rPr>
                <w:sz w:val="16"/>
                <w:szCs w:val="16"/>
              </w:rPr>
              <w:t>15</w:t>
            </w:r>
            <w:r>
              <w:rPr>
                <w:sz w:val="16"/>
                <w:szCs w:val="16"/>
              </w:rPr>
              <w:t xml:space="preserve">; however it is not feasible to determine the number of SME-related case studies that were consulted.  </w:t>
            </w:r>
          </w:p>
        </w:tc>
        <w:tc>
          <w:tcPr>
            <w:tcW w:w="530" w:type="pct"/>
            <w:tcBorders>
              <w:top w:val="single" w:sz="4" w:space="0" w:color="auto"/>
              <w:bottom w:val="nil"/>
              <w:right w:val="single" w:sz="4" w:space="0" w:color="auto"/>
            </w:tcBorders>
            <w:tcMar>
              <w:top w:w="110" w:type="dxa"/>
            </w:tcMar>
          </w:tcPr>
          <w:p w:rsidR="0089279A" w:rsidRPr="00F66621" w:rsidRDefault="0089279A" w:rsidP="00C25166">
            <w:pPr>
              <w:pStyle w:val="Default"/>
              <w:jc w:val="center"/>
              <w:rPr>
                <w:sz w:val="13"/>
                <w:szCs w:val="13"/>
              </w:rPr>
            </w:pPr>
            <w:r w:rsidRPr="00F66621">
              <w:rPr>
                <w:b/>
                <w:bCs/>
                <w:color w:val="808080"/>
                <w:sz w:val="13"/>
                <w:szCs w:val="13"/>
              </w:rPr>
              <w:t xml:space="preserve">Not </w:t>
            </w:r>
            <w:r>
              <w:rPr>
                <w:b/>
                <w:bCs/>
                <w:color w:val="808080"/>
                <w:sz w:val="13"/>
                <w:szCs w:val="13"/>
              </w:rPr>
              <w:t>A</w:t>
            </w:r>
            <w:r w:rsidRPr="00F66621">
              <w:rPr>
                <w:b/>
                <w:bCs/>
                <w:color w:val="808080"/>
                <w:sz w:val="13"/>
                <w:szCs w:val="13"/>
              </w:rPr>
              <w:t xml:space="preserve">ssessable </w:t>
            </w:r>
          </w:p>
          <w:p w:rsidR="0089279A" w:rsidRPr="00136AA7" w:rsidRDefault="0089279A" w:rsidP="00C25166">
            <w:pPr>
              <w:keepNext/>
              <w:keepLines/>
              <w:jc w:val="center"/>
              <w:rPr>
                <w:rStyle w:val="Style5"/>
                <w:rFonts w:cs="Arial"/>
                <w:b/>
                <w:color w:val="808080"/>
                <w:sz w:val="14"/>
                <w:szCs w:val="16"/>
              </w:rPr>
            </w:pPr>
          </w:p>
        </w:tc>
      </w:tr>
      <w:tr w:rsidR="0089279A" w:rsidRPr="003C5DE4" w:rsidTr="00BA6F3B">
        <w:trPr>
          <w:cantSplit/>
        </w:trPr>
        <w:tc>
          <w:tcPr>
            <w:tcW w:w="1137" w:type="pct"/>
            <w:tcBorders>
              <w:top w:val="nil"/>
              <w:left w:val="single" w:sz="4" w:space="0" w:color="auto"/>
              <w:bottom w:val="nil"/>
            </w:tcBorders>
          </w:tcPr>
          <w:p w:rsidR="0089279A" w:rsidRDefault="0089279A" w:rsidP="00C25166">
            <w:pPr>
              <w:rPr>
                <w:rFonts w:cs="Arial"/>
                <w:sz w:val="16"/>
                <w:szCs w:val="16"/>
                <w:lang w:bidi="th-TH"/>
              </w:rPr>
            </w:pPr>
            <w:r w:rsidRPr="00BC6160">
              <w:rPr>
                <w:rFonts w:cs="Arial"/>
                <w:sz w:val="16"/>
                <w:szCs w:val="16"/>
                <w:lang w:bidi="th-TH"/>
              </w:rPr>
              <w:t>% of participants in training program</w:t>
            </w:r>
            <w:r>
              <w:rPr>
                <w:rFonts w:cs="Arial"/>
                <w:sz w:val="16"/>
                <w:szCs w:val="16"/>
                <w:lang w:bidi="th-TH"/>
              </w:rPr>
              <w:t>s</w:t>
            </w:r>
            <w:r w:rsidRPr="00BC6160">
              <w:rPr>
                <w:rFonts w:cs="Arial"/>
                <w:sz w:val="16"/>
                <w:szCs w:val="16"/>
                <w:lang w:bidi="th-TH"/>
              </w:rPr>
              <w:t xml:space="preserve"> targeting SME support institutions who express satisfaction with the content and organization of these events</w:t>
            </w:r>
          </w:p>
          <w:p w:rsidR="0089279A" w:rsidRPr="00BC6160" w:rsidRDefault="0089279A" w:rsidP="00C25166">
            <w:pPr>
              <w:rPr>
                <w:rFonts w:cs="Arial"/>
                <w:sz w:val="16"/>
                <w:szCs w:val="16"/>
                <w:lang w:bidi="th-TH"/>
              </w:rPr>
            </w:pPr>
          </w:p>
        </w:tc>
        <w:tc>
          <w:tcPr>
            <w:tcW w:w="909" w:type="pct"/>
            <w:tcBorders>
              <w:top w:val="nil"/>
              <w:bottom w:val="nil"/>
            </w:tcBorders>
            <w:shd w:val="clear" w:color="auto" w:fill="auto"/>
          </w:tcPr>
          <w:p w:rsidR="0089279A" w:rsidRPr="00956DE6" w:rsidRDefault="0089279A" w:rsidP="00C25166">
            <w:pPr>
              <w:rPr>
                <w:rFonts w:cs="Arial"/>
                <w:color w:val="002060"/>
                <w:sz w:val="16"/>
                <w:szCs w:val="16"/>
              </w:rPr>
            </w:pPr>
            <w:r w:rsidRPr="0068151C">
              <w:rPr>
                <w:rFonts w:cs="Arial"/>
                <w:i/>
                <w:color w:val="002060"/>
                <w:sz w:val="16"/>
                <w:szCs w:val="16"/>
              </w:rPr>
              <w:t>Updated Baseline end 201</w:t>
            </w:r>
            <w:r>
              <w:rPr>
                <w:rFonts w:cs="Arial"/>
                <w:i/>
                <w:color w:val="002060"/>
                <w:sz w:val="16"/>
                <w:szCs w:val="16"/>
              </w:rPr>
              <w:t xml:space="preserve">3: </w:t>
            </w:r>
            <w:r w:rsidRPr="00BC6160">
              <w:rPr>
                <w:rFonts w:cs="Arial"/>
                <w:color w:val="002060"/>
                <w:sz w:val="16"/>
                <w:szCs w:val="16"/>
              </w:rPr>
              <w:t>90%</w:t>
            </w:r>
          </w:p>
          <w:p w:rsidR="0089279A" w:rsidRPr="0068151C" w:rsidRDefault="0089279A" w:rsidP="00C25166">
            <w:pPr>
              <w:rPr>
                <w:rFonts w:cs="Arial"/>
                <w:i/>
                <w:sz w:val="8"/>
                <w:szCs w:val="8"/>
              </w:rPr>
            </w:pPr>
          </w:p>
          <w:p w:rsidR="0089279A" w:rsidRPr="0068151C" w:rsidRDefault="0089279A" w:rsidP="00C25166">
            <w:pPr>
              <w:rPr>
                <w:rFonts w:cs="Arial"/>
                <w:i/>
                <w:color w:val="002060"/>
                <w:sz w:val="16"/>
                <w:szCs w:val="16"/>
              </w:rPr>
            </w:pPr>
            <w:r>
              <w:rPr>
                <w:rFonts w:cs="Arial"/>
                <w:i/>
                <w:sz w:val="16"/>
                <w:szCs w:val="16"/>
              </w:rPr>
              <w:t>Original Baseline P&amp;B 2014/15</w:t>
            </w:r>
            <w:r w:rsidRPr="0068151C">
              <w:rPr>
                <w:rFonts w:cs="Arial"/>
                <w:i/>
                <w:sz w:val="16"/>
                <w:szCs w:val="16"/>
              </w:rPr>
              <w:t>:</w:t>
            </w:r>
            <w:r w:rsidRPr="0068151C">
              <w:rPr>
                <w:rFonts w:cs="Arial"/>
                <w:sz w:val="16"/>
                <w:szCs w:val="16"/>
              </w:rPr>
              <w:t xml:space="preserve"> </w:t>
            </w:r>
            <w:r>
              <w:rPr>
                <w:rFonts w:cs="Arial"/>
                <w:sz w:val="16"/>
                <w:szCs w:val="16"/>
              </w:rPr>
              <w:t xml:space="preserve"> tbd</w:t>
            </w:r>
          </w:p>
        </w:tc>
        <w:tc>
          <w:tcPr>
            <w:tcW w:w="758" w:type="pct"/>
            <w:tcBorders>
              <w:top w:val="nil"/>
              <w:bottom w:val="nil"/>
            </w:tcBorders>
            <w:tcMar>
              <w:top w:w="110" w:type="dxa"/>
            </w:tcMar>
          </w:tcPr>
          <w:p w:rsidR="0089279A" w:rsidRDefault="0089279A" w:rsidP="00C25166">
            <w:pPr>
              <w:rPr>
                <w:rFonts w:cs="Arial"/>
                <w:sz w:val="16"/>
                <w:szCs w:val="16"/>
              </w:rPr>
            </w:pPr>
            <w:r>
              <w:rPr>
                <w:rFonts w:cs="Arial"/>
                <w:sz w:val="16"/>
                <w:szCs w:val="16"/>
              </w:rPr>
              <w:t>tbd</w:t>
            </w:r>
          </w:p>
          <w:p w:rsidR="0089279A" w:rsidRDefault="0089279A" w:rsidP="00C25166">
            <w:pPr>
              <w:rPr>
                <w:rFonts w:cs="Arial"/>
                <w:sz w:val="16"/>
                <w:szCs w:val="16"/>
              </w:rPr>
            </w:pPr>
          </w:p>
          <w:p w:rsidR="0089279A" w:rsidRDefault="0089279A" w:rsidP="00C25166">
            <w:pPr>
              <w:rPr>
                <w:rFonts w:cs="Arial"/>
                <w:sz w:val="16"/>
                <w:szCs w:val="16"/>
              </w:rPr>
            </w:pPr>
          </w:p>
        </w:tc>
        <w:tc>
          <w:tcPr>
            <w:tcW w:w="1666" w:type="pct"/>
            <w:tcBorders>
              <w:top w:val="nil"/>
              <w:bottom w:val="nil"/>
            </w:tcBorders>
            <w:shd w:val="clear" w:color="auto" w:fill="FFFFFF"/>
            <w:tcMar>
              <w:top w:w="110" w:type="dxa"/>
            </w:tcMar>
          </w:tcPr>
          <w:p w:rsidR="0089279A" w:rsidRDefault="0089279A" w:rsidP="00C25166">
            <w:pPr>
              <w:pStyle w:val="Default"/>
              <w:rPr>
                <w:sz w:val="16"/>
                <w:szCs w:val="16"/>
              </w:rPr>
            </w:pPr>
            <w:r>
              <w:rPr>
                <w:sz w:val="16"/>
                <w:szCs w:val="16"/>
              </w:rPr>
              <w:t>100% (46% very satisfied; 54% satisfied)</w:t>
            </w:r>
            <w:r w:rsidRPr="007764ED">
              <w:rPr>
                <w:sz w:val="16"/>
                <w:szCs w:val="16"/>
              </w:rPr>
              <w:t xml:space="preserve"> </w:t>
            </w:r>
            <w:r>
              <w:rPr>
                <w:sz w:val="16"/>
                <w:szCs w:val="16"/>
              </w:rPr>
              <w:t xml:space="preserve">of participants were satisfied with the content and organization of the training programs. </w:t>
            </w:r>
          </w:p>
          <w:p w:rsidR="0089279A" w:rsidRPr="00BC6160" w:rsidRDefault="0089279A" w:rsidP="00C25166">
            <w:pPr>
              <w:rPr>
                <w:rFonts w:cs="Arial"/>
                <w:sz w:val="16"/>
                <w:szCs w:val="16"/>
              </w:rPr>
            </w:pPr>
          </w:p>
        </w:tc>
        <w:tc>
          <w:tcPr>
            <w:tcW w:w="530" w:type="pct"/>
            <w:tcBorders>
              <w:top w:val="nil"/>
              <w:bottom w:val="nil"/>
              <w:right w:val="single" w:sz="4" w:space="0" w:color="auto"/>
            </w:tcBorders>
            <w:tcMar>
              <w:top w:w="110" w:type="dxa"/>
            </w:tcMar>
          </w:tcPr>
          <w:p w:rsidR="0089279A" w:rsidRPr="00BA6F3B" w:rsidRDefault="0089279A" w:rsidP="00C25166">
            <w:pPr>
              <w:keepNext/>
              <w:keepLines/>
              <w:jc w:val="center"/>
              <w:rPr>
                <w:rStyle w:val="Style5"/>
                <w:rFonts w:ascii="Arial" w:hAnsi="Arial" w:cs="Arial"/>
                <w:b/>
                <w:color w:val="808080"/>
                <w:sz w:val="16"/>
                <w:szCs w:val="16"/>
              </w:rPr>
            </w:pPr>
            <w:r w:rsidRPr="00BA6F3B">
              <w:rPr>
                <w:rStyle w:val="Style5"/>
                <w:rFonts w:ascii="Arial" w:hAnsi="Arial" w:cs="Arial"/>
                <w:b/>
                <w:color w:val="00B050"/>
                <w:sz w:val="16"/>
                <w:szCs w:val="16"/>
              </w:rPr>
              <w:t xml:space="preserve">Fully </w:t>
            </w:r>
            <w:r w:rsidR="00933215" w:rsidRPr="00BA6F3B">
              <w:rPr>
                <w:rStyle w:val="Style5"/>
                <w:rFonts w:ascii="Arial" w:hAnsi="Arial" w:cs="Arial"/>
                <w:b/>
                <w:color w:val="00B050"/>
                <w:sz w:val="16"/>
                <w:szCs w:val="16"/>
              </w:rPr>
              <w:t>A</w:t>
            </w:r>
            <w:r w:rsidRPr="00BA6F3B">
              <w:rPr>
                <w:rStyle w:val="Style5"/>
                <w:rFonts w:ascii="Arial" w:hAnsi="Arial" w:cs="Arial"/>
                <w:b/>
                <w:color w:val="00B050"/>
                <w:sz w:val="16"/>
                <w:szCs w:val="16"/>
              </w:rPr>
              <w:t>chieved</w:t>
            </w:r>
          </w:p>
        </w:tc>
      </w:tr>
      <w:tr w:rsidR="0089279A" w:rsidRPr="003C5DE4" w:rsidTr="00BA6F3B">
        <w:trPr>
          <w:cantSplit/>
          <w:trHeight w:val="2464"/>
        </w:trPr>
        <w:tc>
          <w:tcPr>
            <w:tcW w:w="1137" w:type="pct"/>
            <w:tcBorders>
              <w:top w:val="nil"/>
              <w:bottom w:val="nil"/>
            </w:tcBorders>
          </w:tcPr>
          <w:p w:rsidR="0089279A" w:rsidRPr="00BC6160" w:rsidRDefault="0089279A" w:rsidP="00C25166">
            <w:pPr>
              <w:keepNext/>
              <w:keepLines/>
              <w:rPr>
                <w:rFonts w:cs="Arial"/>
                <w:sz w:val="16"/>
                <w:szCs w:val="16"/>
                <w:lang w:bidi="th-TH"/>
              </w:rPr>
            </w:pPr>
            <w:r w:rsidRPr="00BC6160">
              <w:rPr>
                <w:rFonts w:cs="Arial"/>
                <w:sz w:val="16"/>
                <w:szCs w:val="16"/>
                <w:lang w:bidi="th-TH"/>
              </w:rPr>
              <w:t>% of trained SMEs support institutions who provide information, support and advisory/consulting services on IP asset management</w:t>
            </w:r>
          </w:p>
        </w:tc>
        <w:tc>
          <w:tcPr>
            <w:tcW w:w="909" w:type="pct"/>
            <w:tcBorders>
              <w:top w:val="nil"/>
              <w:bottom w:val="nil"/>
            </w:tcBorders>
            <w:shd w:val="clear" w:color="auto" w:fill="auto"/>
          </w:tcPr>
          <w:p w:rsidR="0089279A" w:rsidRPr="00956DE6" w:rsidRDefault="0089279A" w:rsidP="00C25166">
            <w:pPr>
              <w:keepNext/>
              <w:keepLines/>
              <w:rPr>
                <w:rFonts w:cs="Arial"/>
                <w:color w:val="002060"/>
                <w:sz w:val="16"/>
                <w:szCs w:val="16"/>
              </w:rPr>
            </w:pPr>
            <w:r w:rsidRPr="0068151C">
              <w:rPr>
                <w:rFonts w:cs="Arial"/>
                <w:i/>
                <w:color w:val="002060"/>
                <w:sz w:val="16"/>
                <w:szCs w:val="16"/>
              </w:rPr>
              <w:t>Updated Baseline end 201</w:t>
            </w:r>
            <w:r>
              <w:rPr>
                <w:rFonts w:cs="Arial"/>
                <w:i/>
                <w:color w:val="002060"/>
                <w:sz w:val="16"/>
                <w:szCs w:val="16"/>
              </w:rPr>
              <w:t xml:space="preserve">3: </w:t>
            </w:r>
            <w:r w:rsidRPr="003C5DE4">
              <w:rPr>
                <w:rFonts w:cs="Arial"/>
                <w:sz w:val="16"/>
                <w:szCs w:val="16"/>
                <w:lang w:bidi="th-TH"/>
              </w:rPr>
              <w:t xml:space="preserve">100% of the assisted 15 SMEs support institutions provide information, support and/or </w:t>
            </w:r>
            <w:r>
              <w:rPr>
                <w:rFonts w:cs="Arial"/>
                <w:sz w:val="16"/>
                <w:szCs w:val="16"/>
                <w:lang w:bidi="th-TH"/>
              </w:rPr>
              <w:t>advisory/ consultin</w:t>
            </w:r>
            <w:r w:rsidRPr="003C5DE4">
              <w:rPr>
                <w:rFonts w:cs="Arial"/>
                <w:sz w:val="16"/>
                <w:szCs w:val="16"/>
                <w:lang w:bidi="th-TH"/>
              </w:rPr>
              <w:t>g services on IP asset management</w:t>
            </w:r>
            <w:r>
              <w:rPr>
                <w:rFonts w:cs="Arial"/>
                <w:sz w:val="16"/>
                <w:szCs w:val="16"/>
                <w:lang w:bidi="th-TH"/>
              </w:rPr>
              <w:t>.</w:t>
            </w:r>
          </w:p>
          <w:p w:rsidR="0089279A" w:rsidRPr="0068151C" w:rsidRDefault="0089279A" w:rsidP="00C25166">
            <w:pPr>
              <w:keepNext/>
              <w:keepLines/>
              <w:rPr>
                <w:rFonts w:cs="Arial"/>
                <w:i/>
                <w:sz w:val="8"/>
                <w:szCs w:val="8"/>
              </w:rPr>
            </w:pPr>
          </w:p>
          <w:p w:rsidR="0089279A" w:rsidRPr="0068151C" w:rsidRDefault="0089279A" w:rsidP="00C25166">
            <w:pPr>
              <w:keepNext/>
              <w:keepLines/>
              <w:rPr>
                <w:rFonts w:cs="Arial"/>
                <w:i/>
                <w:color w:val="002060"/>
                <w:sz w:val="16"/>
                <w:szCs w:val="16"/>
              </w:rPr>
            </w:pPr>
            <w:r>
              <w:rPr>
                <w:rFonts w:cs="Arial"/>
                <w:i/>
                <w:sz w:val="16"/>
                <w:szCs w:val="16"/>
              </w:rPr>
              <w:t>Original Baseline P&amp;B 2014/15</w:t>
            </w:r>
            <w:r w:rsidRPr="0068151C">
              <w:rPr>
                <w:rFonts w:cs="Arial"/>
                <w:i/>
                <w:sz w:val="16"/>
                <w:szCs w:val="16"/>
              </w:rPr>
              <w:t>:</w:t>
            </w:r>
            <w:r w:rsidRPr="0068151C">
              <w:rPr>
                <w:rFonts w:cs="Arial"/>
                <w:sz w:val="16"/>
                <w:szCs w:val="16"/>
              </w:rPr>
              <w:t xml:space="preserve"> </w:t>
            </w:r>
            <w:r>
              <w:rPr>
                <w:rFonts w:cs="Arial"/>
                <w:sz w:val="16"/>
                <w:szCs w:val="16"/>
              </w:rPr>
              <w:t xml:space="preserve"> tbd</w:t>
            </w:r>
          </w:p>
        </w:tc>
        <w:tc>
          <w:tcPr>
            <w:tcW w:w="758" w:type="pct"/>
            <w:tcBorders>
              <w:top w:val="nil"/>
              <w:bottom w:val="nil"/>
            </w:tcBorders>
            <w:tcMar>
              <w:top w:w="110" w:type="dxa"/>
            </w:tcMar>
          </w:tcPr>
          <w:p w:rsidR="0089279A" w:rsidRPr="008271FD" w:rsidRDefault="0089279A" w:rsidP="00C25166">
            <w:pPr>
              <w:keepNext/>
              <w:keepLines/>
              <w:outlineLvl w:val="7"/>
              <w:rPr>
                <w:rFonts w:cs="Arial"/>
                <w:color w:val="002060"/>
                <w:sz w:val="16"/>
                <w:szCs w:val="16"/>
              </w:rPr>
            </w:pPr>
            <w:r w:rsidRPr="008271FD">
              <w:rPr>
                <w:rFonts w:cs="Arial"/>
                <w:color w:val="002060"/>
                <w:sz w:val="16"/>
                <w:szCs w:val="16"/>
              </w:rPr>
              <w:t xml:space="preserve">Defined target: </w:t>
            </w:r>
            <w:r w:rsidRPr="003A5C5A">
              <w:rPr>
                <w:rFonts w:cs="Arial"/>
                <w:color w:val="002060"/>
                <w:sz w:val="16"/>
                <w:szCs w:val="16"/>
              </w:rPr>
              <w:t>80%</w:t>
            </w:r>
          </w:p>
          <w:p w:rsidR="0089279A" w:rsidRPr="003A5C5A" w:rsidRDefault="0089279A" w:rsidP="00C25166">
            <w:pPr>
              <w:keepNext/>
              <w:keepLines/>
              <w:rPr>
                <w:rFonts w:cs="Arial"/>
                <w:sz w:val="16"/>
                <w:szCs w:val="16"/>
              </w:rPr>
            </w:pPr>
          </w:p>
          <w:p w:rsidR="0089279A" w:rsidRPr="003A5C5A" w:rsidRDefault="0089279A" w:rsidP="00C25166">
            <w:pPr>
              <w:keepNext/>
              <w:keepLines/>
              <w:rPr>
                <w:rFonts w:cs="Arial"/>
                <w:sz w:val="16"/>
                <w:szCs w:val="16"/>
              </w:rPr>
            </w:pPr>
            <w:r w:rsidRPr="008271FD">
              <w:rPr>
                <w:rFonts w:cs="Arial"/>
                <w:sz w:val="16"/>
                <w:szCs w:val="16"/>
              </w:rPr>
              <w:t>Original Target  P&amp;B 2014/15:</w:t>
            </w:r>
            <w:r w:rsidRPr="003A5C5A">
              <w:rPr>
                <w:rFonts w:cs="Arial"/>
                <w:sz w:val="16"/>
                <w:szCs w:val="16"/>
              </w:rPr>
              <w:t xml:space="preserve">  tbd</w:t>
            </w:r>
          </w:p>
          <w:p w:rsidR="0089279A" w:rsidRDefault="0089279A" w:rsidP="00C25166">
            <w:pPr>
              <w:keepNext/>
              <w:keepLines/>
              <w:rPr>
                <w:rFonts w:cs="Arial"/>
                <w:sz w:val="16"/>
                <w:szCs w:val="16"/>
              </w:rPr>
            </w:pPr>
          </w:p>
        </w:tc>
        <w:tc>
          <w:tcPr>
            <w:tcW w:w="1666" w:type="pct"/>
            <w:tcBorders>
              <w:top w:val="nil"/>
              <w:bottom w:val="nil"/>
            </w:tcBorders>
            <w:shd w:val="clear" w:color="auto" w:fill="FFFFFF"/>
            <w:tcMar>
              <w:top w:w="110" w:type="dxa"/>
            </w:tcMar>
          </w:tcPr>
          <w:p w:rsidR="0089279A" w:rsidRDefault="0089279A" w:rsidP="00C25166">
            <w:pPr>
              <w:pStyle w:val="Default"/>
              <w:rPr>
                <w:sz w:val="16"/>
                <w:szCs w:val="16"/>
              </w:rPr>
            </w:pPr>
            <w:r>
              <w:rPr>
                <w:sz w:val="16"/>
                <w:szCs w:val="16"/>
              </w:rPr>
              <w:t xml:space="preserve">100% </w:t>
            </w:r>
            <w:r w:rsidRPr="00920992">
              <w:rPr>
                <w:sz w:val="16"/>
                <w:szCs w:val="16"/>
              </w:rPr>
              <w:t>(very often</w:t>
            </w:r>
            <w:r>
              <w:rPr>
                <w:sz w:val="16"/>
                <w:szCs w:val="16"/>
              </w:rPr>
              <w:t xml:space="preserve"> </w:t>
            </w:r>
            <w:r w:rsidRPr="00401721">
              <w:rPr>
                <w:sz w:val="16"/>
                <w:szCs w:val="16"/>
              </w:rPr>
              <w:t>(48%);  often (32%);  sometimes</w:t>
            </w:r>
            <w:r>
              <w:rPr>
                <w:sz w:val="16"/>
                <w:szCs w:val="16"/>
              </w:rPr>
              <w:t xml:space="preserve"> </w:t>
            </w:r>
            <w:r w:rsidRPr="00401721">
              <w:rPr>
                <w:sz w:val="16"/>
                <w:szCs w:val="16"/>
              </w:rPr>
              <w:t>(20%</w:t>
            </w:r>
            <w:r w:rsidRPr="00920992">
              <w:rPr>
                <w:sz w:val="16"/>
                <w:szCs w:val="16"/>
              </w:rPr>
              <w:t>))</w:t>
            </w:r>
            <w:r>
              <w:rPr>
                <w:sz w:val="20"/>
                <w:szCs w:val="20"/>
              </w:rPr>
              <w:t xml:space="preserve"> </w:t>
            </w:r>
            <w:r w:rsidRPr="007764ED">
              <w:rPr>
                <w:sz w:val="16"/>
                <w:szCs w:val="16"/>
              </w:rPr>
              <w:t xml:space="preserve">of trained SME support institutions provided information, support and advisory/consulting services on IP asset management </w:t>
            </w:r>
          </w:p>
          <w:p w:rsidR="0089279A" w:rsidRPr="0008595E" w:rsidRDefault="0089279A" w:rsidP="00C25166">
            <w:pPr>
              <w:pStyle w:val="ListParagraph"/>
              <w:keepNext/>
              <w:keepLines/>
              <w:ind w:left="360"/>
              <w:rPr>
                <w:rFonts w:cs="Arial"/>
                <w:sz w:val="16"/>
                <w:szCs w:val="16"/>
              </w:rPr>
            </w:pPr>
          </w:p>
        </w:tc>
        <w:tc>
          <w:tcPr>
            <w:tcW w:w="530" w:type="pct"/>
            <w:tcBorders>
              <w:top w:val="nil"/>
              <w:bottom w:val="nil"/>
            </w:tcBorders>
            <w:tcMar>
              <w:top w:w="110" w:type="dxa"/>
            </w:tcMar>
          </w:tcPr>
          <w:p w:rsidR="0089279A" w:rsidRPr="00BA6F3B" w:rsidRDefault="0089279A" w:rsidP="00C25166">
            <w:pPr>
              <w:keepNext/>
              <w:keepLines/>
              <w:jc w:val="center"/>
              <w:rPr>
                <w:rStyle w:val="Style5"/>
                <w:rFonts w:ascii="Arial" w:hAnsi="Arial" w:cs="Arial"/>
                <w:b/>
                <w:color w:val="00B050"/>
                <w:sz w:val="16"/>
                <w:szCs w:val="16"/>
              </w:rPr>
            </w:pPr>
            <w:r w:rsidRPr="00BA6F3B">
              <w:rPr>
                <w:rStyle w:val="Style5"/>
                <w:rFonts w:ascii="Arial" w:hAnsi="Arial" w:cs="Arial"/>
                <w:b/>
                <w:color w:val="00B050"/>
                <w:sz w:val="16"/>
                <w:szCs w:val="16"/>
              </w:rPr>
              <w:t xml:space="preserve">Fully </w:t>
            </w:r>
            <w:r w:rsidR="00933215" w:rsidRPr="00BA6F3B">
              <w:rPr>
                <w:rStyle w:val="Style5"/>
                <w:rFonts w:ascii="Arial" w:hAnsi="Arial" w:cs="Arial"/>
                <w:b/>
                <w:color w:val="00B050"/>
                <w:sz w:val="16"/>
                <w:szCs w:val="16"/>
              </w:rPr>
              <w:t>A</w:t>
            </w:r>
            <w:r w:rsidRPr="00BA6F3B">
              <w:rPr>
                <w:rStyle w:val="Style5"/>
                <w:rFonts w:ascii="Arial" w:hAnsi="Arial" w:cs="Arial"/>
                <w:b/>
                <w:color w:val="00B050"/>
                <w:sz w:val="16"/>
                <w:szCs w:val="16"/>
              </w:rPr>
              <w:t>chieved</w:t>
            </w:r>
          </w:p>
        </w:tc>
      </w:tr>
      <w:tr w:rsidR="0089279A" w:rsidRPr="003C5DE4" w:rsidTr="00E37059">
        <w:trPr>
          <w:cantSplit/>
        </w:trPr>
        <w:tc>
          <w:tcPr>
            <w:tcW w:w="1137" w:type="pct"/>
            <w:tcBorders>
              <w:top w:val="nil"/>
              <w:bottom w:val="single" w:sz="4" w:space="0" w:color="auto"/>
            </w:tcBorders>
          </w:tcPr>
          <w:p w:rsidR="0089279A" w:rsidRPr="00BC6160" w:rsidRDefault="0089279A" w:rsidP="00C25166">
            <w:pPr>
              <w:rPr>
                <w:rFonts w:cs="Arial"/>
                <w:sz w:val="16"/>
                <w:szCs w:val="16"/>
                <w:lang w:bidi="th-TH"/>
              </w:rPr>
            </w:pPr>
            <w:r w:rsidRPr="00BC6160">
              <w:rPr>
                <w:rFonts w:cs="Arial"/>
                <w:sz w:val="16"/>
                <w:szCs w:val="16"/>
                <w:lang w:bidi="th-TH"/>
              </w:rPr>
              <w:t>No. of countries having established IP training programs for SMEs</w:t>
            </w:r>
          </w:p>
        </w:tc>
        <w:tc>
          <w:tcPr>
            <w:tcW w:w="909" w:type="pct"/>
            <w:tcBorders>
              <w:top w:val="nil"/>
              <w:bottom w:val="single" w:sz="4" w:space="0" w:color="auto"/>
            </w:tcBorders>
            <w:shd w:val="clear" w:color="auto" w:fill="auto"/>
          </w:tcPr>
          <w:p w:rsidR="0089279A" w:rsidRPr="0068151C" w:rsidRDefault="0089279A" w:rsidP="00C25166">
            <w:pPr>
              <w:rPr>
                <w:rFonts w:cs="Arial"/>
                <w:i/>
                <w:color w:val="002060"/>
                <w:sz w:val="16"/>
                <w:szCs w:val="16"/>
              </w:rPr>
            </w:pPr>
            <w:r>
              <w:rPr>
                <w:rFonts w:cs="Arial"/>
                <w:sz w:val="16"/>
                <w:szCs w:val="16"/>
              </w:rPr>
              <w:t>tbd</w:t>
            </w:r>
          </w:p>
        </w:tc>
        <w:tc>
          <w:tcPr>
            <w:tcW w:w="758" w:type="pct"/>
            <w:tcBorders>
              <w:top w:val="nil"/>
              <w:bottom w:val="single" w:sz="4" w:space="0" w:color="auto"/>
            </w:tcBorders>
            <w:tcMar>
              <w:top w:w="110" w:type="dxa"/>
            </w:tcMar>
          </w:tcPr>
          <w:p w:rsidR="0089279A" w:rsidRPr="003A5C5A" w:rsidRDefault="0089279A" w:rsidP="00C25166">
            <w:pPr>
              <w:rPr>
                <w:rFonts w:cs="Arial"/>
                <w:sz w:val="16"/>
                <w:szCs w:val="16"/>
              </w:rPr>
            </w:pPr>
            <w:r w:rsidRPr="003A5C5A">
              <w:rPr>
                <w:rFonts w:cs="Arial"/>
                <w:sz w:val="16"/>
                <w:szCs w:val="16"/>
              </w:rPr>
              <w:t>tbd</w:t>
            </w:r>
          </w:p>
          <w:p w:rsidR="0089279A" w:rsidRDefault="0089279A" w:rsidP="00C25166">
            <w:pPr>
              <w:rPr>
                <w:rFonts w:cs="Arial"/>
                <w:sz w:val="16"/>
                <w:szCs w:val="16"/>
              </w:rPr>
            </w:pPr>
          </w:p>
          <w:p w:rsidR="0089279A" w:rsidRDefault="0089279A" w:rsidP="00C25166">
            <w:pPr>
              <w:rPr>
                <w:rFonts w:cs="Arial"/>
                <w:sz w:val="16"/>
                <w:szCs w:val="16"/>
              </w:rPr>
            </w:pPr>
          </w:p>
        </w:tc>
        <w:tc>
          <w:tcPr>
            <w:tcW w:w="1666" w:type="pct"/>
            <w:tcBorders>
              <w:top w:val="nil"/>
              <w:bottom w:val="single" w:sz="4" w:space="0" w:color="auto"/>
            </w:tcBorders>
            <w:shd w:val="clear" w:color="auto" w:fill="FFFFFF"/>
            <w:tcMar>
              <w:top w:w="110" w:type="dxa"/>
            </w:tcMar>
          </w:tcPr>
          <w:p w:rsidR="0089279A" w:rsidRDefault="0089279A" w:rsidP="00C25166">
            <w:pPr>
              <w:pStyle w:val="Default"/>
              <w:rPr>
                <w:sz w:val="16"/>
                <w:szCs w:val="16"/>
              </w:rPr>
            </w:pPr>
            <w:r>
              <w:rPr>
                <w:sz w:val="16"/>
                <w:szCs w:val="16"/>
              </w:rPr>
              <w:t xml:space="preserve">The following 18 countries/regional organizations reported having established IP training programs for SMEs: ARIPO, Armenia, Argentina, Belarus, Colombia, Georgia, Iran (Islamic Republic of), Jordan, ,Kazakhstan, </w:t>
            </w:r>
            <w:r w:rsidRPr="00F0586A">
              <w:rPr>
                <w:sz w:val="16"/>
                <w:szCs w:val="16"/>
              </w:rPr>
              <w:t>Lao People's Democratic Republic</w:t>
            </w:r>
            <w:r>
              <w:rPr>
                <w:sz w:val="16"/>
                <w:szCs w:val="16"/>
              </w:rPr>
              <w:t xml:space="preserve">, Lebanon, Oman, Papua New Guinea, Saudi Arabia, Trinidad and Tobago, Uganda, United Arab Emirates and United Republic of Tanzania </w:t>
            </w:r>
          </w:p>
          <w:p w:rsidR="0089279A" w:rsidRPr="00BC6160" w:rsidRDefault="0089279A" w:rsidP="00C25166">
            <w:pPr>
              <w:rPr>
                <w:rFonts w:cs="Arial"/>
                <w:sz w:val="16"/>
                <w:szCs w:val="16"/>
              </w:rPr>
            </w:pPr>
          </w:p>
        </w:tc>
        <w:tc>
          <w:tcPr>
            <w:tcW w:w="530" w:type="pct"/>
            <w:tcBorders>
              <w:top w:val="nil"/>
              <w:bottom w:val="single" w:sz="4" w:space="0" w:color="auto"/>
            </w:tcBorders>
            <w:tcMar>
              <w:top w:w="110" w:type="dxa"/>
            </w:tcMar>
          </w:tcPr>
          <w:p w:rsidR="0089279A" w:rsidRPr="009A608C" w:rsidRDefault="0089279A" w:rsidP="00C25166">
            <w:pPr>
              <w:pStyle w:val="Default"/>
              <w:jc w:val="center"/>
              <w:rPr>
                <w:sz w:val="13"/>
                <w:szCs w:val="13"/>
              </w:rPr>
            </w:pPr>
            <w:r w:rsidRPr="009A608C">
              <w:rPr>
                <w:b/>
                <w:bCs/>
                <w:color w:val="808080"/>
                <w:sz w:val="13"/>
                <w:szCs w:val="13"/>
              </w:rPr>
              <w:t xml:space="preserve">Not </w:t>
            </w:r>
            <w:r>
              <w:rPr>
                <w:b/>
                <w:bCs/>
                <w:color w:val="808080"/>
                <w:sz w:val="13"/>
                <w:szCs w:val="13"/>
              </w:rPr>
              <w:t>A</w:t>
            </w:r>
            <w:r w:rsidRPr="009A608C">
              <w:rPr>
                <w:b/>
                <w:bCs/>
                <w:color w:val="808080"/>
                <w:sz w:val="13"/>
                <w:szCs w:val="13"/>
              </w:rPr>
              <w:t xml:space="preserve">ssessable </w:t>
            </w:r>
          </w:p>
          <w:p w:rsidR="0089279A" w:rsidRPr="00956DE6" w:rsidRDefault="0089279A" w:rsidP="00C25166">
            <w:pPr>
              <w:keepNext/>
              <w:keepLines/>
              <w:jc w:val="center"/>
              <w:rPr>
                <w:rStyle w:val="Style5"/>
                <w:rFonts w:cs="Arial"/>
                <w:b/>
                <w:color w:val="00B050"/>
                <w:sz w:val="16"/>
                <w:szCs w:val="16"/>
              </w:rPr>
            </w:pPr>
          </w:p>
        </w:tc>
      </w:tr>
      <w:tr w:rsidR="0089279A" w:rsidRPr="003C5DE4" w:rsidTr="00E37059">
        <w:trPr>
          <w:cantSplit/>
        </w:trPr>
        <w:tc>
          <w:tcPr>
            <w:tcW w:w="5000" w:type="pct"/>
            <w:gridSpan w:val="5"/>
            <w:tcBorders>
              <w:top w:val="single" w:sz="4" w:space="0" w:color="auto"/>
              <w:bottom w:val="single" w:sz="4" w:space="0" w:color="auto"/>
            </w:tcBorders>
            <w:shd w:val="clear" w:color="auto" w:fill="C6D9F1" w:themeFill="text2" w:themeFillTint="33"/>
            <w:vAlign w:val="center"/>
          </w:tcPr>
          <w:p w:rsidR="0089279A" w:rsidRPr="003C5DE4" w:rsidRDefault="0089279A" w:rsidP="00C25166">
            <w:pPr>
              <w:keepNext/>
              <w:keepLines/>
              <w:tabs>
                <w:tab w:val="left" w:pos="1452"/>
              </w:tabs>
              <w:spacing w:before="120" w:after="120"/>
              <w:ind w:left="1452" w:hanging="1452"/>
              <w:rPr>
                <w:rFonts w:cs="Arial"/>
                <w:b/>
                <w:bCs/>
                <w:sz w:val="16"/>
                <w:szCs w:val="16"/>
              </w:rPr>
            </w:pPr>
            <w:r w:rsidRPr="003C5DE4">
              <w:rPr>
                <w:rFonts w:cs="Arial"/>
                <w:b/>
                <w:bCs/>
                <w:sz w:val="16"/>
                <w:szCs w:val="16"/>
              </w:rPr>
              <w:t>Expected Result:</w:t>
            </w:r>
            <w:r w:rsidRPr="003C5DE4">
              <w:rPr>
                <w:rFonts w:cs="Arial"/>
                <w:b/>
                <w:bCs/>
                <w:sz w:val="16"/>
                <w:szCs w:val="16"/>
              </w:rPr>
              <w:tab/>
            </w:r>
            <w:r w:rsidRPr="00BC6160">
              <w:rPr>
                <w:rFonts w:cs="Arial"/>
                <w:sz w:val="16"/>
                <w:szCs w:val="16"/>
                <w:lang w:bidi="th-TH"/>
              </w:rPr>
              <w:t>IV.2 Enhanced access to, and use of, IP information by IP institutions and the public to promote innovation and creativity</w:t>
            </w:r>
          </w:p>
        </w:tc>
      </w:tr>
      <w:tr w:rsidR="0089279A" w:rsidRPr="003C5DE4" w:rsidTr="00BA6F3B">
        <w:trPr>
          <w:cantSplit/>
        </w:trPr>
        <w:tc>
          <w:tcPr>
            <w:tcW w:w="1137" w:type="pct"/>
            <w:tcBorders>
              <w:top w:val="single" w:sz="4" w:space="0" w:color="auto"/>
            </w:tcBorders>
            <w:vAlign w:val="center"/>
          </w:tcPr>
          <w:p w:rsidR="0089279A" w:rsidRPr="003C5DE4" w:rsidRDefault="0089279A" w:rsidP="00C25166">
            <w:pPr>
              <w:rPr>
                <w:rFonts w:cs="Arial"/>
                <w:sz w:val="16"/>
                <w:szCs w:val="16"/>
              </w:rPr>
            </w:pPr>
            <w:r w:rsidRPr="003C5DE4">
              <w:rPr>
                <w:rFonts w:cs="Arial"/>
                <w:b/>
                <w:bCs/>
                <w:sz w:val="16"/>
                <w:szCs w:val="16"/>
              </w:rPr>
              <w:t>Performance Indicators</w:t>
            </w:r>
          </w:p>
        </w:tc>
        <w:tc>
          <w:tcPr>
            <w:tcW w:w="909" w:type="pct"/>
            <w:tcBorders>
              <w:top w:val="single" w:sz="4" w:space="0" w:color="auto"/>
            </w:tcBorders>
            <w:shd w:val="clear" w:color="auto" w:fill="auto"/>
            <w:vAlign w:val="center"/>
          </w:tcPr>
          <w:p w:rsidR="0089279A" w:rsidRPr="003C5DE4" w:rsidRDefault="0089279A" w:rsidP="00C25166">
            <w:pPr>
              <w:rPr>
                <w:rFonts w:cs="Arial"/>
                <w:b/>
                <w:bCs/>
                <w:sz w:val="16"/>
                <w:szCs w:val="16"/>
              </w:rPr>
            </w:pPr>
            <w:r w:rsidRPr="003C5DE4">
              <w:rPr>
                <w:rFonts w:cs="Arial"/>
                <w:b/>
                <w:bCs/>
                <w:sz w:val="16"/>
                <w:szCs w:val="16"/>
              </w:rPr>
              <w:t>Baselines</w:t>
            </w:r>
          </w:p>
        </w:tc>
        <w:tc>
          <w:tcPr>
            <w:tcW w:w="758" w:type="pct"/>
            <w:tcBorders>
              <w:top w:val="single" w:sz="4" w:space="0" w:color="auto"/>
            </w:tcBorders>
            <w:tcMar>
              <w:top w:w="110" w:type="dxa"/>
            </w:tcMar>
            <w:vAlign w:val="center"/>
          </w:tcPr>
          <w:p w:rsidR="0089279A" w:rsidRPr="003C5DE4" w:rsidRDefault="0089279A" w:rsidP="00C25166">
            <w:pPr>
              <w:rPr>
                <w:rFonts w:cs="Arial"/>
                <w:b/>
                <w:sz w:val="16"/>
                <w:szCs w:val="16"/>
              </w:rPr>
            </w:pPr>
            <w:r w:rsidRPr="003C5DE4">
              <w:rPr>
                <w:rFonts w:cs="Arial"/>
                <w:b/>
                <w:sz w:val="16"/>
                <w:szCs w:val="16"/>
              </w:rPr>
              <w:t>Targets</w:t>
            </w:r>
          </w:p>
        </w:tc>
        <w:tc>
          <w:tcPr>
            <w:tcW w:w="1666" w:type="pct"/>
            <w:tcBorders>
              <w:top w:val="single" w:sz="4" w:space="0" w:color="auto"/>
            </w:tcBorders>
            <w:shd w:val="clear" w:color="auto" w:fill="FFFFFF"/>
            <w:tcMar>
              <w:top w:w="110" w:type="dxa"/>
            </w:tcMar>
            <w:vAlign w:val="center"/>
          </w:tcPr>
          <w:p w:rsidR="0089279A" w:rsidRPr="003C5DE4" w:rsidRDefault="0089279A" w:rsidP="00C25166">
            <w:pPr>
              <w:rPr>
                <w:rFonts w:cs="Arial"/>
                <w:sz w:val="16"/>
                <w:szCs w:val="16"/>
              </w:rPr>
            </w:pPr>
            <w:r w:rsidRPr="003C5DE4">
              <w:rPr>
                <w:rFonts w:cs="Arial"/>
                <w:b/>
                <w:bCs/>
                <w:sz w:val="16"/>
                <w:szCs w:val="16"/>
              </w:rPr>
              <w:t>Performance Data</w:t>
            </w:r>
          </w:p>
        </w:tc>
        <w:tc>
          <w:tcPr>
            <w:tcW w:w="530" w:type="pct"/>
            <w:tcBorders>
              <w:top w:val="single" w:sz="4" w:space="0" w:color="auto"/>
            </w:tcBorders>
            <w:tcMar>
              <w:top w:w="110" w:type="dxa"/>
            </w:tcMar>
            <w:vAlign w:val="center"/>
          </w:tcPr>
          <w:p w:rsidR="0089279A" w:rsidRPr="003C5DE4" w:rsidRDefault="0089279A" w:rsidP="00C25166">
            <w:pPr>
              <w:keepNext/>
              <w:keepLines/>
              <w:jc w:val="center"/>
              <w:rPr>
                <w:rFonts w:cs="Arial"/>
                <w:b/>
                <w:bCs/>
                <w:sz w:val="16"/>
                <w:szCs w:val="16"/>
              </w:rPr>
            </w:pPr>
            <w:r w:rsidRPr="003C5DE4">
              <w:rPr>
                <w:rFonts w:cs="Arial"/>
                <w:b/>
                <w:bCs/>
                <w:sz w:val="16"/>
                <w:szCs w:val="16"/>
              </w:rPr>
              <w:t>TLS</w:t>
            </w:r>
          </w:p>
        </w:tc>
      </w:tr>
      <w:tr w:rsidR="0089279A" w:rsidRPr="003C5DE4" w:rsidTr="00BA6F3B">
        <w:trPr>
          <w:trHeight w:val="520"/>
        </w:trPr>
        <w:tc>
          <w:tcPr>
            <w:tcW w:w="1137" w:type="pct"/>
          </w:tcPr>
          <w:p w:rsidR="0089279A" w:rsidRPr="007F35D8" w:rsidRDefault="0089279A" w:rsidP="00C25166">
            <w:pPr>
              <w:rPr>
                <w:rFonts w:cs="Arial"/>
                <w:sz w:val="16"/>
                <w:szCs w:val="16"/>
                <w:lang w:bidi="th-TH"/>
              </w:rPr>
            </w:pPr>
            <w:r w:rsidRPr="00B64966">
              <w:rPr>
                <w:rFonts w:cs="Arial"/>
                <w:sz w:val="16"/>
                <w:szCs w:val="16"/>
                <w:lang w:bidi="th-TH"/>
              </w:rPr>
              <w:t xml:space="preserve">No. of sustainable TTOs </w:t>
            </w:r>
            <w:r w:rsidRPr="007F35D8">
              <w:rPr>
                <w:rFonts w:cs="Arial"/>
                <w:sz w:val="16"/>
                <w:szCs w:val="16"/>
                <w:lang w:bidi="th-TH"/>
              </w:rPr>
              <w:t xml:space="preserve">established and/or strengthened in </w:t>
            </w:r>
            <w:r>
              <w:rPr>
                <w:rFonts w:cs="Arial"/>
                <w:sz w:val="16"/>
                <w:szCs w:val="16"/>
                <w:lang w:bidi="th-TH"/>
              </w:rPr>
              <w:t>U</w:t>
            </w:r>
            <w:r w:rsidRPr="007F35D8">
              <w:rPr>
                <w:rFonts w:cs="Arial"/>
                <w:sz w:val="16"/>
                <w:szCs w:val="16"/>
                <w:lang w:bidi="th-TH"/>
              </w:rPr>
              <w:t>niversities or R&amp;D institutions</w:t>
            </w:r>
          </w:p>
        </w:tc>
        <w:tc>
          <w:tcPr>
            <w:tcW w:w="909" w:type="pct"/>
            <w:shd w:val="clear" w:color="auto" w:fill="auto"/>
          </w:tcPr>
          <w:p w:rsidR="0089279A" w:rsidRPr="007F35D8" w:rsidRDefault="0089279A" w:rsidP="00C25166">
            <w:pPr>
              <w:rPr>
                <w:rFonts w:cs="Arial"/>
                <w:sz w:val="16"/>
                <w:szCs w:val="16"/>
                <w:lang w:bidi="th-TH"/>
              </w:rPr>
            </w:pPr>
            <w:r w:rsidRPr="002D2494">
              <w:rPr>
                <w:rFonts w:cs="Arial"/>
                <w:sz w:val="16"/>
                <w:szCs w:val="16"/>
              </w:rPr>
              <w:t>tbd</w:t>
            </w:r>
          </w:p>
        </w:tc>
        <w:tc>
          <w:tcPr>
            <w:tcW w:w="758" w:type="pct"/>
            <w:tcMar>
              <w:top w:w="110" w:type="dxa"/>
            </w:tcMar>
          </w:tcPr>
          <w:p w:rsidR="0089279A" w:rsidRPr="007F35D8" w:rsidRDefault="0089279A" w:rsidP="00C25166">
            <w:pPr>
              <w:rPr>
                <w:rFonts w:cs="Arial"/>
                <w:sz w:val="16"/>
                <w:szCs w:val="16"/>
              </w:rPr>
            </w:pPr>
            <w:r w:rsidRPr="007F35D8">
              <w:rPr>
                <w:rFonts w:cs="Arial"/>
                <w:sz w:val="16"/>
                <w:szCs w:val="16"/>
              </w:rPr>
              <w:t>5 TTOs established in the Arab Region</w:t>
            </w:r>
          </w:p>
          <w:p w:rsidR="0089279A" w:rsidRPr="007F35D8" w:rsidRDefault="0089279A" w:rsidP="00C25166">
            <w:pPr>
              <w:rPr>
                <w:rFonts w:cs="Arial"/>
                <w:sz w:val="16"/>
                <w:szCs w:val="16"/>
              </w:rPr>
            </w:pPr>
          </w:p>
          <w:p w:rsidR="0089279A" w:rsidRPr="007F35D8" w:rsidRDefault="0089279A" w:rsidP="00C25166">
            <w:pPr>
              <w:rPr>
                <w:rFonts w:cs="Arial"/>
                <w:sz w:val="16"/>
                <w:szCs w:val="16"/>
                <w:lang w:bidi="th-TH"/>
              </w:rPr>
            </w:pPr>
          </w:p>
        </w:tc>
        <w:tc>
          <w:tcPr>
            <w:tcW w:w="1666" w:type="pct"/>
            <w:shd w:val="clear" w:color="auto" w:fill="FFFFFF"/>
            <w:tcMar>
              <w:top w:w="110" w:type="dxa"/>
            </w:tcMar>
          </w:tcPr>
          <w:p w:rsidR="0089279A" w:rsidRPr="00B64966" w:rsidRDefault="0089279A" w:rsidP="00C25166">
            <w:pPr>
              <w:rPr>
                <w:rFonts w:cs="Arial"/>
                <w:sz w:val="16"/>
                <w:szCs w:val="16"/>
                <w:lang w:bidi="th-TH"/>
              </w:rPr>
            </w:pPr>
            <w:r w:rsidRPr="007F35D8">
              <w:rPr>
                <w:rFonts w:cs="Arial"/>
                <w:sz w:val="16"/>
                <w:szCs w:val="16"/>
                <w:lang w:bidi="th-TH"/>
              </w:rPr>
              <w:t>In 2014</w:t>
            </w:r>
            <w:r>
              <w:rPr>
                <w:rFonts w:cs="Arial"/>
                <w:sz w:val="16"/>
                <w:szCs w:val="16"/>
                <w:lang w:bidi="th-TH"/>
              </w:rPr>
              <w:t>/15</w:t>
            </w:r>
            <w:r w:rsidRPr="007F35D8">
              <w:rPr>
                <w:rFonts w:cs="Arial"/>
                <w:sz w:val="16"/>
                <w:szCs w:val="16"/>
                <w:lang w:bidi="th-TH"/>
              </w:rPr>
              <w:t xml:space="preserve">, </w:t>
            </w:r>
            <w:r w:rsidRPr="00B87CF4">
              <w:rPr>
                <w:rFonts w:cs="Arial"/>
                <w:sz w:val="16"/>
                <w:szCs w:val="16"/>
                <w:lang w:bidi="th-TH"/>
              </w:rPr>
              <w:t>the geographic scope</w:t>
            </w:r>
            <w:r>
              <w:rPr>
                <w:rFonts w:cs="Arial"/>
                <w:sz w:val="16"/>
                <w:szCs w:val="16"/>
                <w:lang w:bidi="th-TH"/>
              </w:rPr>
              <w:t xml:space="preserve"> of the project on </w:t>
            </w:r>
            <w:r w:rsidRPr="007F35D8">
              <w:rPr>
                <w:rFonts w:cs="Arial"/>
                <w:sz w:val="16"/>
                <w:szCs w:val="16"/>
                <w:lang w:bidi="th-TH"/>
              </w:rPr>
              <w:t xml:space="preserve">TTOs </w:t>
            </w:r>
            <w:r>
              <w:rPr>
                <w:rFonts w:cs="Arial"/>
                <w:sz w:val="16"/>
                <w:szCs w:val="16"/>
                <w:lang w:bidi="th-TH"/>
              </w:rPr>
              <w:t xml:space="preserve">for the </w:t>
            </w:r>
            <w:r w:rsidRPr="00B87CF4">
              <w:rPr>
                <w:rFonts w:cs="Arial"/>
                <w:sz w:val="16"/>
                <w:szCs w:val="16"/>
                <w:lang w:bidi="th-TH"/>
              </w:rPr>
              <w:t>Arab Region was expand</w:t>
            </w:r>
            <w:r>
              <w:rPr>
                <w:rFonts w:cs="Arial"/>
                <w:sz w:val="16"/>
                <w:szCs w:val="16"/>
                <w:lang w:bidi="th-TH"/>
              </w:rPr>
              <w:t>ed</w:t>
            </w:r>
            <w:r w:rsidRPr="00B87CF4">
              <w:rPr>
                <w:rFonts w:cs="Arial"/>
                <w:sz w:val="16"/>
                <w:szCs w:val="16"/>
                <w:lang w:bidi="th-TH"/>
              </w:rPr>
              <w:t xml:space="preserve"> to accommodate Member State requests.  </w:t>
            </w:r>
            <w:r>
              <w:rPr>
                <w:rFonts w:cs="Arial"/>
                <w:sz w:val="16"/>
                <w:szCs w:val="16"/>
                <w:lang w:bidi="th-TH"/>
              </w:rPr>
              <w:t xml:space="preserve">Progress continued to be made towards strengthening </w:t>
            </w:r>
            <w:r w:rsidRPr="00B64966">
              <w:rPr>
                <w:rFonts w:cs="Arial"/>
                <w:sz w:val="16"/>
                <w:szCs w:val="16"/>
                <w:lang w:bidi="th-TH"/>
              </w:rPr>
              <w:t>four TTOs</w:t>
            </w:r>
            <w:r>
              <w:rPr>
                <w:rFonts w:cs="Arial"/>
                <w:sz w:val="16"/>
                <w:szCs w:val="16"/>
                <w:lang w:bidi="th-TH"/>
              </w:rPr>
              <w:t xml:space="preserve"> in Tunisia</w:t>
            </w:r>
            <w:r w:rsidRPr="00B64966">
              <w:rPr>
                <w:rFonts w:cs="Arial"/>
                <w:sz w:val="16"/>
                <w:szCs w:val="16"/>
                <w:lang w:bidi="th-TH"/>
              </w:rPr>
              <w:t xml:space="preserve"> </w:t>
            </w:r>
            <w:r>
              <w:rPr>
                <w:rFonts w:cs="Arial"/>
                <w:sz w:val="16"/>
                <w:szCs w:val="16"/>
                <w:lang w:bidi="th-TH"/>
              </w:rPr>
              <w:t>to be operationally independent and sustainable, including through the finalization of institutional IP policies</w:t>
            </w:r>
            <w:r w:rsidRPr="00B64966">
              <w:rPr>
                <w:rFonts w:cs="Arial"/>
                <w:sz w:val="16"/>
                <w:szCs w:val="16"/>
                <w:lang w:bidi="th-TH"/>
              </w:rPr>
              <w:t>:</w:t>
            </w:r>
          </w:p>
          <w:p w:rsidR="0089279A" w:rsidRPr="005E63C3" w:rsidRDefault="0089279A" w:rsidP="0089279A">
            <w:pPr>
              <w:pStyle w:val="ListParagraph"/>
              <w:numPr>
                <w:ilvl w:val="0"/>
                <w:numId w:val="80"/>
              </w:numPr>
              <w:rPr>
                <w:rFonts w:cs="Arial"/>
                <w:i/>
                <w:sz w:val="16"/>
                <w:szCs w:val="16"/>
                <w:lang w:val="fr-CH" w:bidi="th-TH"/>
              </w:rPr>
            </w:pPr>
            <w:r w:rsidRPr="005E63C3">
              <w:rPr>
                <w:rFonts w:cs="Arial"/>
                <w:i/>
                <w:sz w:val="16"/>
                <w:szCs w:val="16"/>
                <w:lang w:val="fr-CH" w:bidi="th-TH"/>
              </w:rPr>
              <w:t>Centre Technique de la Chimie (CTC)</w:t>
            </w:r>
          </w:p>
          <w:p w:rsidR="0089279A" w:rsidRDefault="0089279A" w:rsidP="0089279A">
            <w:pPr>
              <w:pStyle w:val="ListParagraph"/>
              <w:numPr>
                <w:ilvl w:val="0"/>
                <w:numId w:val="80"/>
              </w:numPr>
              <w:rPr>
                <w:rFonts w:cs="Arial"/>
                <w:sz w:val="16"/>
                <w:szCs w:val="16"/>
                <w:lang w:bidi="th-TH"/>
              </w:rPr>
            </w:pPr>
            <w:r>
              <w:rPr>
                <w:rFonts w:cs="Arial"/>
                <w:sz w:val="16"/>
                <w:szCs w:val="16"/>
                <w:lang w:bidi="th-TH"/>
              </w:rPr>
              <w:t xml:space="preserve">Technopark </w:t>
            </w:r>
            <w:r w:rsidRPr="00B64966">
              <w:rPr>
                <w:rFonts w:cs="Arial"/>
                <w:sz w:val="16"/>
                <w:szCs w:val="16"/>
                <w:lang w:bidi="th-TH"/>
              </w:rPr>
              <w:t>El</w:t>
            </w:r>
            <w:r>
              <w:rPr>
                <w:rFonts w:cs="Arial"/>
                <w:sz w:val="16"/>
                <w:szCs w:val="16"/>
                <w:lang w:bidi="th-TH"/>
              </w:rPr>
              <w:t xml:space="preserve"> Ghazala</w:t>
            </w:r>
          </w:p>
          <w:p w:rsidR="0089279A" w:rsidRDefault="0089279A" w:rsidP="0089279A">
            <w:pPr>
              <w:pStyle w:val="ListParagraph"/>
              <w:numPr>
                <w:ilvl w:val="0"/>
                <w:numId w:val="80"/>
              </w:numPr>
              <w:rPr>
                <w:rFonts w:cs="Arial"/>
                <w:sz w:val="16"/>
                <w:szCs w:val="16"/>
                <w:lang w:bidi="th-TH"/>
              </w:rPr>
            </w:pPr>
            <w:r w:rsidRPr="00B64966">
              <w:rPr>
                <w:rFonts w:cs="Arial"/>
                <w:sz w:val="16"/>
                <w:szCs w:val="16"/>
                <w:lang w:bidi="th-TH"/>
              </w:rPr>
              <w:t xml:space="preserve">Packtec </w:t>
            </w:r>
            <w:r w:rsidRPr="00723CEF">
              <w:rPr>
                <w:rFonts w:cs="Arial"/>
                <w:sz w:val="16"/>
                <w:szCs w:val="16"/>
                <w:lang w:bidi="th-TH"/>
              </w:rPr>
              <w:t>Technical Center for Packaging</w:t>
            </w:r>
          </w:p>
          <w:p w:rsidR="0089279A" w:rsidRDefault="0089279A" w:rsidP="0089279A">
            <w:pPr>
              <w:pStyle w:val="ListParagraph"/>
              <w:numPr>
                <w:ilvl w:val="0"/>
                <w:numId w:val="80"/>
              </w:numPr>
              <w:rPr>
                <w:rFonts w:cs="Arial"/>
                <w:sz w:val="16"/>
                <w:szCs w:val="16"/>
                <w:lang w:bidi="th-TH"/>
              </w:rPr>
            </w:pPr>
            <w:r w:rsidRPr="00B64966">
              <w:rPr>
                <w:rFonts w:cs="Arial"/>
                <w:sz w:val="16"/>
                <w:szCs w:val="16"/>
                <w:lang w:bidi="th-TH"/>
              </w:rPr>
              <w:t xml:space="preserve">Technopark of </w:t>
            </w:r>
            <w:r w:rsidRPr="00B87CF4">
              <w:rPr>
                <w:rFonts w:cs="Arial"/>
                <w:sz w:val="16"/>
                <w:szCs w:val="16"/>
                <w:lang w:bidi="th-TH"/>
              </w:rPr>
              <w:t xml:space="preserve">Sidi </w:t>
            </w:r>
            <w:r w:rsidRPr="005E63C3">
              <w:rPr>
                <w:rFonts w:cs="Arial"/>
                <w:sz w:val="16"/>
                <w:szCs w:val="16"/>
                <w:lang w:bidi="th-TH"/>
              </w:rPr>
              <w:t>Thabet</w:t>
            </w:r>
            <w:r w:rsidRPr="00B64966">
              <w:rPr>
                <w:rFonts w:cs="Arial"/>
                <w:sz w:val="16"/>
                <w:szCs w:val="16"/>
                <w:lang w:bidi="th-TH"/>
              </w:rPr>
              <w:t xml:space="preserve"> (TST)</w:t>
            </w:r>
          </w:p>
          <w:p w:rsidR="0089279A" w:rsidRDefault="0089279A" w:rsidP="00C25166">
            <w:pPr>
              <w:rPr>
                <w:rFonts w:cs="Arial"/>
                <w:i/>
                <w:sz w:val="16"/>
                <w:szCs w:val="16"/>
                <w:lang w:bidi="th-TH"/>
              </w:rPr>
            </w:pPr>
          </w:p>
          <w:p w:rsidR="0089279A" w:rsidRPr="0008595E" w:rsidRDefault="0089279A" w:rsidP="00C25166">
            <w:pPr>
              <w:rPr>
                <w:rFonts w:cs="Arial"/>
                <w:sz w:val="16"/>
                <w:szCs w:val="16"/>
                <w:lang w:bidi="th-TH"/>
              </w:rPr>
            </w:pPr>
            <w:r w:rsidRPr="0008595E">
              <w:rPr>
                <w:rFonts w:cs="Arial"/>
                <w:sz w:val="16"/>
                <w:szCs w:val="16"/>
                <w:lang w:bidi="th-TH"/>
              </w:rPr>
              <w:t>Based upon survey responses, the following universities in the Philippines reported</w:t>
            </w:r>
            <w:r>
              <w:rPr>
                <w:rFonts w:cs="Arial"/>
                <w:sz w:val="16"/>
                <w:szCs w:val="16"/>
                <w:lang w:bidi="th-TH"/>
              </w:rPr>
              <w:t xml:space="preserve"> in 2014</w:t>
            </w:r>
            <w:r w:rsidRPr="0008595E">
              <w:rPr>
                <w:rFonts w:cs="Arial"/>
                <w:sz w:val="16"/>
                <w:szCs w:val="16"/>
                <w:lang w:bidi="th-TH"/>
              </w:rPr>
              <w:t xml:space="preserve"> that WIPO advice and training was “useful” or “extremely useful” in strengthening their TTOs:</w:t>
            </w:r>
          </w:p>
          <w:p w:rsidR="0089279A" w:rsidRPr="008B2699" w:rsidRDefault="0089279A" w:rsidP="00C25166">
            <w:pPr>
              <w:rPr>
                <w:rFonts w:cs="Arial"/>
                <w:sz w:val="16"/>
                <w:szCs w:val="16"/>
                <w:lang w:bidi="th-TH"/>
              </w:rPr>
            </w:pPr>
            <w:r w:rsidRPr="0008595E">
              <w:rPr>
                <w:rFonts w:cs="Arial"/>
                <w:sz w:val="16"/>
                <w:szCs w:val="16"/>
                <w:lang w:bidi="th-TH"/>
              </w:rPr>
              <w:t>(i) Polytechnic University of the Philippines</w:t>
            </w:r>
            <w:r>
              <w:rPr>
                <w:rFonts w:cs="Arial"/>
                <w:sz w:val="16"/>
                <w:szCs w:val="16"/>
                <w:lang w:bidi="th-TH"/>
              </w:rPr>
              <w:t>;</w:t>
            </w:r>
            <w:r w:rsidRPr="0008595E">
              <w:rPr>
                <w:rFonts w:cs="Arial"/>
                <w:sz w:val="16"/>
                <w:szCs w:val="16"/>
                <w:lang w:bidi="th-TH"/>
              </w:rPr>
              <w:t xml:space="preserve"> </w:t>
            </w:r>
            <w:r>
              <w:rPr>
                <w:rFonts w:cs="Arial"/>
                <w:sz w:val="16"/>
                <w:szCs w:val="16"/>
                <w:lang w:bidi="th-TH"/>
              </w:rPr>
              <w:t xml:space="preserve"> </w:t>
            </w:r>
            <w:r w:rsidRPr="0008595E">
              <w:rPr>
                <w:rFonts w:cs="Arial"/>
                <w:sz w:val="16"/>
                <w:szCs w:val="16"/>
                <w:lang w:bidi="th-TH"/>
              </w:rPr>
              <w:t>(ii) Samar State University Research Office</w:t>
            </w:r>
            <w:r>
              <w:rPr>
                <w:rFonts w:cs="Arial"/>
                <w:sz w:val="16"/>
                <w:szCs w:val="16"/>
                <w:lang w:bidi="th-TH"/>
              </w:rPr>
              <w:t xml:space="preserve">;  (iii) </w:t>
            </w:r>
            <w:r w:rsidRPr="0008595E">
              <w:rPr>
                <w:rFonts w:cs="Arial"/>
                <w:sz w:val="16"/>
                <w:szCs w:val="16"/>
                <w:lang w:bidi="th-TH"/>
              </w:rPr>
              <w:t xml:space="preserve">State University of </w:t>
            </w:r>
            <w:r w:rsidRPr="0008595E">
              <w:rPr>
                <w:rFonts w:cs="Arial"/>
                <w:sz w:val="16"/>
                <w:szCs w:val="16"/>
                <w:lang w:bidi="th-TH"/>
              </w:rPr>
              <w:lastRenderedPageBreak/>
              <w:t>Western Philippines, College of Engineering</w:t>
            </w:r>
            <w:r>
              <w:rPr>
                <w:rFonts w:cs="Arial"/>
                <w:sz w:val="16"/>
                <w:szCs w:val="16"/>
                <w:lang w:bidi="th-TH"/>
              </w:rPr>
              <w:t>; (iv</w:t>
            </w:r>
            <w:r w:rsidRPr="0008595E">
              <w:rPr>
                <w:rFonts w:cs="Arial"/>
                <w:sz w:val="16"/>
                <w:szCs w:val="16"/>
                <w:lang w:bidi="th-TH"/>
              </w:rPr>
              <w:t>) University of the Philippines</w:t>
            </w:r>
            <w:r>
              <w:rPr>
                <w:rFonts w:cs="Arial"/>
                <w:sz w:val="16"/>
                <w:szCs w:val="16"/>
                <w:lang w:bidi="th-TH"/>
              </w:rPr>
              <w:t>;</w:t>
            </w:r>
            <w:r w:rsidRPr="0008595E">
              <w:rPr>
                <w:rFonts w:cs="Arial"/>
                <w:sz w:val="16"/>
                <w:szCs w:val="16"/>
                <w:lang w:bidi="th-TH"/>
              </w:rPr>
              <w:t xml:space="preserve"> </w:t>
            </w:r>
            <w:r>
              <w:rPr>
                <w:rFonts w:cs="Arial"/>
                <w:sz w:val="16"/>
                <w:szCs w:val="16"/>
                <w:lang w:bidi="th-TH"/>
              </w:rPr>
              <w:t xml:space="preserve"> (v</w:t>
            </w:r>
            <w:r w:rsidRPr="0008595E">
              <w:rPr>
                <w:rFonts w:cs="Arial"/>
                <w:sz w:val="16"/>
                <w:szCs w:val="16"/>
                <w:lang w:bidi="th-TH"/>
              </w:rPr>
              <w:t>) University of Santo Tomas</w:t>
            </w:r>
            <w:r>
              <w:rPr>
                <w:rFonts w:cs="Arial"/>
                <w:sz w:val="16"/>
                <w:szCs w:val="16"/>
                <w:lang w:bidi="th-TH"/>
              </w:rPr>
              <w:t xml:space="preserve">;  </w:t>
            </w:r>
            <w:r w:rsidRPr="0008595E">
              <w:rPr>
                <w:rFonts w:cs="Arial"/>
                <w:sz w:val="16"/>
                <w:szCs w:val="16"/>
                <w:lang w:bidi="th-TH"/>
              </w:rPr>
              <w:t>(v</w:t>
            </w:r>
            <w:r>
              <w:rPr>
                <w:rFonts w:cs="Arial"/>
                <w:sz w:val="16"/>
                <w:szCs w:val="16"/>
                <w:lang w:bidi="th-TH"/>
              </w:rPr>
              <w:t>i</w:t>
            </w:r>
            <w:r w:rsidRPr="0008595E">
              <w:rPr>
                <w:rFonts w:cs="Arial"/>
                <w:sz w:val="16"/>
                <w:szCs w:val="16"/>
                <w:lang w:bidi="th-TH"/>
              </w:rPr>
              <w:t>) University of Southeastern Philippines</w:t>
            </w:r>
          </w:p>
        </w:tc>
        <w:tc>
          <w:tcPr>
            <w:tcW w:w="530" w:type="pct"/>
            <w:tcMar>
              <w:top w:w="110" w:type="dxa"/>
            </w:tcMar>
          </w:tcPr>
          <w:p w:rsidR="0089279A" w:rsidRPr="0008595E" w:rsidRDefault="0089279A" w:rsidP="00C25166">
            <w:pPr>
              <w:keepNext/>
              <w:keepLines/>
              <w:jc w:val="center"/>
              <w:rPr>
                <w:rFonts w:cs="Arial"/>
                <w:b/>
                <w:bCs/>
                <w:color w:val="808080"/>
                <w:sz w:val="16"/>
                <w:szCs w:val="16"/>
              </w:rPr>
            </w:pPr>
            <w:r w:rsidRPr="0008595E">
              <w:rPr>
                <w:rFonts w:cs="Arial"/>
                <w:b/>
                <w:bCs/>
                <w:color w:val="FF0000"/>
                <w:sz w:val="16"/>
                <w:szCs w:val="16"/>
              </w:rPr>
              <w:lastRenderedPageBreak/>
              <w:t>Not Achieved</w:t>
            </w:r>
          </w:p>
        </w:tc>
      </w:tr>
      <w:tr w:rsidR="0089279A" w:rsidRPr="003C5DE4" w:rsidTr="00BA6F3B">
        <w:trPr>
          <w:cantSplit/>
        </w:trPr>
        <w:tc>
          <w:tcPr>
            <w:tcW w:w="1137" w:type="pct"/>
          </w:tcPr>
          <w:p w:rsidR="0089279A" w:rsidRPr="003C5DE4" w:rsidRDefault="0089279A" w:rsidP="00C25166">
            <w:pPr>
              <w:rPr>
                <w:rFonts w:cs="Arial"/>
                <w:sz w:val="16"/>
                <w:szCs w:val="16"/>
                <w:lang w:bidi="th-TH"/>
              </w:rPr>
            </w:pPr>
            <w:r w:rsidRPr="00BC6160">
              <w:rPr>
                <w:rFonts w:cs="Arial"/>
                <w:sz w:val="16"/>
                <w:szCs w:val="16"/>
                <w:lang w:bidi="th-TH"/>
              </w:rPr>
              <w:lastRenderedPageBreak/>
              <w:t>No. of universities and/or research institutions which have established IP policies</w:t>
            </w:r>
          </w:p>
        </w:tc>
        <w:tc>
          <w:tcPr>
            <w:tcW w:w="909" w:type="pct"/>
            <w:shd w:val="clear" w:color="auto" w:fill="auto"/>
          </w:tcPr>
          <w:p w:rsidR="0089279A" w:rsidRPr="003C5DE4" w:rsidRDefault="0089279A" w:rsidP="00C25166">
            <w:pPr>
              <w:rPr>
                <w:rFonts w:cs="Arial"/>
                <w:sz w:val="16"/>
                <w:szCs w:val="16"/>
                <w:lang w:bidi="th-TH"/>
              </w:rPr>
            </w:pPr>
            <w:r>
              <w:rPr>
                <w:rFonts w:cs="Arial"/>
                <w:sz w:val="16"/>
                <w:szCs w:val="16"/>
              </w:rPr>
              <w:t>tbd</w:t>
            </w:r>
          </w:p>
        </w:tc>
        <w:tc>
          <w:tcPr>
            <w:tcW w:w="758" w:type="pct"/>
            <w:tcMar>
              <w:top w:w="110" w:type="dxa"/>
            </w:tcMar>
          </w:tcPr>
          <w:p w:rsidR="0089279A" w:rsidRPr="003C5DE4" w:rsidRDefault="0089279A" w:rsidP="00C25166">
            <w:pPr>
              <w:rPr>
                <w:rFonts w:cs="Arial"/>
                <w:sz w:val="16"/>
                <w:szCs w:val="16"/>
                <w:lang w:bidi="th-TH"/>
              </w:rPr>
            </w:pPr>
            <w:r>
              <w:rPr>
                <w:rFonts w:cs="Arial"/>
                <w:sz w:val="16"/>
                <w:szCs w:val="16"/>
                <w:lang w:bidi="th-TH"/>
              </w:rPr>
              <w:t>2</w:t>
            </w:r>
            <w:r w:rsidRPr="00BC6160">
              <w:rPr>
                <w:rFonts w:cs="Arial"/>
                <w:sz w:val="16"/>
                <w:szCs w:val="16"/>
                <w:lang w:bidi="th-TH"/>
              </w:rPr>
              <w:t>0 additional universities</w:t>
            </w:r>
          </w:p>
        </w:tc>
        <w:tc>
          <w:tcPr>
            <w:tcW w:w="1666" w:type="pct"/>
            <w:shd w:val="clear" w:color="auto" w:fill="FFFFFF"/>
            <w:tcMar>
              <w:top w:w="110" w:type="dxa"/>
            </w:tcMar>
          </w:tcPr>
          <w:p w:rsidR="0089279A" w:rsidRDefault="0089279A" w:rsidP="00C25166">
            <w:pPr>
              <w:rPr>
                <w:rFonts w:cs="Arial"/>
                <w:sz w:val="16"/>
                <w:szCs w:val="16"/>
              </w:rPr>
            </w:pPr>
            <w:r>
              <w:rPr>
                <w:rFonts w:cs="Arial"/>
                <w:sz w:val="16"/>
                <w:szCs w:val="16"/>
              </w:rPr>
              <w:t>IP policies were established in 436</w:t>
            </w:r>
            <w:r w:rsidRPr="00CD2511">
              <w:rPr>
                <w:rFonts w:cs="Arial"/>
                <w:sz w:val="16"/>
                <w:szCs w:val="16"/>
              </w:rPr>
              <w:t xml:space="preserve"> </w:t>
            </w:r>
            <w:r>
              <w:rPr>
                <w:rFonts w:cs="Arial"/>
                <w:sz w:val="16"/>
                <w:szCs w:val="16"/>
              </w:rPr>
              <w:t>u</w:t>
            </w:r>
            <w:r w:rsidRPr="00CD2511">
              <w:rPr>
                <w:rFonts w:cs="Arial"/>
                <w:sz w:val="16"/>
                <w:szCs w:val="16"/>
              </w:rPr>
              <w:t>niversities</w:t>
            </w:r>
            <w:r>
              <w:rPr>
                <w:rFonts w:cs="Arial"/>
                <w:sz w:val="16"/>
                <w:szCs w:val="16"/>
              </w:rPr>
              <w:t>:</w:t>
            </w:r>
          </w:p>
          <w:p w:rsidR="0089279A" w:rsidRDefault="0089279A" w:rsidP="0089279A">
            <w:pPr>
              <w:pStyle w:val="ListParagraph"/>
              <w:numPr>
                <w:ilvl w:val="0"/>
                <w:numId w:val="78"/>
              </w:numPr>
              <w:rPr>
                <w:rFonts w:cs="Arial"/>
                <w:sz w:val="16"/>
                <w:szCs w:val="16"/>
              </w:rPr>
            </w:pPr>
            <w:r>
              <w:rPr>
                <w:rFonts w:cs="Arial"/>
                <w:sz w:val="16"/>
                <w:szCs w:val="16"/>
              </w:rPr>
              <w:t>Poland (</w:t>
            </w:r>
            <w:r w:rsidRPr="0013260A">
              <w:rPr>
                <w:rFonts w:cs="Arial"/>
                <w:sz w:val="16"/>
                <w:szCs w:val="16"/>
              </w:rPr>
              <w:t>43</w:t>
            </w:r>
            <w:r>
              <w:rPr>
                <w:rFonts w:cs="Arial"/>
                <w:sz w:val="16"/>
                <w:szCs w:val="16"/>
              </w:rPr>
              <w:t>4) (as a result of a change in the law in October 2014</w:t>
            </w:r>
            <w:r w:rsidRPr="0013260A">
              <w:rPr>
                <w:rFonts w:cs="Arial"/>
                <w:sz w:val="16"/>
                <w:szCs w:val="16"/>
              </w:rPr>
              <w:t xml:space="preserve">; </w:t>
            </w:r>
          </w:p>
          <w:p w:rsidR="0089279A" w:rsidRDefault="0089279A" w:rsidP="0089279A">
            <w:pPr>
              <w:pStyle w:val="ListParagraph"/>
              <w:numPr>
                <w:ilvl w:val="0"/>
                <w:numId w:val="78"/>
              </w:numPr>
              <w:rPr>
                <w:rFonts w:cs="Arial"/>
                <w:sz w:val="16"/>
                <w:szCs w:val="16"/>
              </w:rPr>
            </w:pPr>
            <w:r w:rsidRPr="0013260A">
              <w:rPr>
                <w:rFonts w:cs="Arial"/>
                <w:sz w:val="16"/>
                <w:szCs w:val="16"/>
              </w:rPr>
              <w:t xml:space="preserve">Russian Federation </w:t>
            </w:r>
            <w:r>
              <w:rPr>
                <w:rFonts w:cs="Arial"/>
                <w:sz w:val="16"/>
                <w:szCs w:val="16"/>
              </w:rPr>
              <w:t>(</w:t>
            </w:r>
            <w:r w:rsidRPr="0013260A">
              <w:rPr>
                <w:rFonts w:cs="Arial"/>
                <w:sz w:val="16"/>
                <w:szCs w:val="16"/>
              </w:rPr>
              <w:t>1</w:t>
            </w:r>
            <w:r>
              <w:rPr>
                <w:rFonts w:cs="Arial"/>
                <w:sz w:val="16"/>
                <w:szCs w:val="16"/>
              </w:rPr>
              <w:t>)</w:t>
            </w:r>
            <w:r w:rsidRPr="0013260A">
              <w:rPr>
                <w:rFonts w:cs="Arial"/>
                <w:sz w:val="16"/>
                <w:szCs w:val="16"/>
              </w:rPr>
              <w:t>;</w:t>
            </w:r>
            <w:r>
              <w:rPr>
                <w:rFonts w:cs="Arial"/>
                <w:sz w:val="16"/>
                <w:szCs w:val="16"/>
              </w:rPr>
              <w:t xml:space="preserve"> and</w:t>
            </w:r>
            <w:r w:rsidRPr="0013260A">
              <w:rPr>
                <w:rFonts w:cs="Arial"/>
                <w:sz w:val="16"/>
                <w:szCs w:val="16"/>
              </w:rPr>
              <w:t xml:space="preserve"> </w:t>
            </w:r>
          </w:p>
          <w:p w:rsidR="0089279A" w:rsidRPr="0013260A" w:rsidRDefault="0089279A" w:rsidP="0089279A">
            <w:pPr>
              <w:pStyle w:val="ListParagraph"/>
              <w:numPr>
                <w:ilvl w:val="0"/>
                <w:numId w:val="78"/>
              </w:numPr>
              <w:rPr>
                <w:rFonts w:cs="Arial"/>
                <w:sz w:val="16"/>
                <w:szCs w:val="16"/>
              </w:rPr>
            </w:pPr>
            <w:r w:rsidRPr="0013260A">
              <w:rPr>
                <w:rFonts w:cs="Arial"/>
                <w:sz w:val="16"/>
                <w:szCs w:val="16"/>
              </w:rPr>
              <w:t xml:space="preserve">Uzbekistan </w:t>
            </w:r>
            <w:r>
              <w:rPr>
                <w:rFonts w:cs="Arial"/>
                <w:sz w:val="16"/>
                <w:szCs w:val="16"/>
              </w:rPr>
              <w:t>(</w:t>
            </w:r>
            <w:r w:rsidRPr="0013260A">
              <w:rPr>
                <w:rFonts w:cs="Arial"/>
                <w:sz w:val="16"/>
                <w:szCs w:val="16"/>
              </w:rPr>
              <w:t>1)</w:t>
            </w:r>
            <w:r>
              <w:rPr>
                <w:rStyle w:val="FootnoteReference"/>
                <w:rFonts w:cs="Arial"/>
                <w:sz w:val="16"/>
                <w:szCs w:val="16"/>
              </w:rPr>
              <w:t xml:space="preserve"> </w:t>
            </w:r>
            <w:r>
              <w:rPr>
                <w:rStyle w:val="FootnoteReference"/>
                <w:rFonts w:cs="Arial"/>
                <w:sz w:val="16"/>
                <w:szCs w:val="16"/>
              </w:rPr>
              <w:footnoteReference w:id="80"/>
            </w:r>
          </w:p>
        </w:tc>
        <w:tc>
          <w:tcPr>
            <w:tcW w:w="530" w:type="pct"/>
            <w:tcMar>
              <w:top w:w="110" w:type="dxa"/>
            </w:tcMar>
          </w:tcPr>
          <w:p w:rsidR="0089279A" w:rsidRPr="00BA6F3B" w:rsidRDefault="0089279A" w:rsidP="00C25166">
            <w:pPr>
              <w:keepNext/>
              <w:keepLines/>
              <w:jc w:val="center"/>
              <w:rPr>
                <w:rFonts w:cs="Arial"/>
                <w:b/>
                <w:bCs/>
                <w:color w:val="808080"/>
                <w:sz w:val="16"/>
                <w:szCs w:val="16"/>
              </w:rPr>
            </w:pPr>
            <w:r w:rsidRPr="00BA6F3B">
              <w:rPr>
                <w:rFonts w:cs="Arial"/>
                <w:b/>
                <w:bCs/>
                <w:color w:val="00B050"/>
                <w:sz w:val="16"/>
                <w:szCs w:val="16"/>
              </w:rPr>
              <w:t xml:space="preserve">Fully </w:t>
            </w:r>
            <w:r w:rsidR="00933215">
              <w:rPr>
                <w:rFonts w:cs="Arial"/>
                <w:b/>
                <w:bCs/>
                <w:color w:val="00B050"/>
                <w:sz w:val="16"/>
                <w:szCs w:val="16"/>
              </w:rPr>
              <w:t>A</w:t>
            </w:r>
            <w:r w:rsidRPr="00BA6F3B">
              <w:rPr>
                <w:rFonts w:cs="Arial"/>
                <w:b/>
                <w:bCs/>
                <w:color w:val="00B050"/>
                <w:sz w:val="16"/>
                <w:szCs w:val="16"/>
              </w:rPr>
              <w:t>chieved</w:t>
            </w:r>
          </w:p>
        </w:tc>
      </w:tr>
    </w:tbl>
    <w:p w:rsidR="0089279A" w:rsidRDefault="0089279A" w:rsidP="00C25166">
      <w:pPr>
        <w:rPr>
          <w:rFonts w:cs="Arial"/>
          <w:color w:val="000000"/>
          <w:sz w:val="22"/>
          <w:szCs w:val="22"/>
        </w:rPr>
      </w:pPr>
    </w:p>
    <w:p w:rsidR="0089279A" w:rsidRDefault="0089279A" w:rsidP="00C25166">
      <w:pPr>
        <w:rPr>
          <w:rFonts w:cs="Arial"/>
          <w:color w:val="000000"/>
          <w:sz w:val="22"/>
          <w:szCs w:val="22"/>
        </w:rPr>
      </w:pPr>
    </w:p>
    <w:p w:rsidR="0089279A" w:rsidRPr="003D28E9" w:rsidRDefault="0089279A" w:rsidP="00C25166">
      <w:pPr>
        <w:rPr>
          <w:rFonts w:cs="Arial"/>
          <w:color w:val="000000"/>
          <w:szCs w:val="22"/>
        </w:rPr>
      </w:pPr>
      <w:r w:rsidRPr="003D28E9">
        <w:rPr>
          <w:rFonts w:cs="Arial"/>
          <w:color w:val="000000"/>
          <w:szCs w:val="22"/>
        </w:rPr>
        <w:t>RISK REPORTING FOR THE BIENNIUM</w:t>
      </w:r>
    </w:p>
    <w:p w:rsidR="0089279A" w:rsidRDefault="0089279A" w:rsidP="00C25166">
      <w:pPr>
        <w:keepNext/>
        <w:keepLines/>
      </w:pPr>
    </w:p>
    <w:tbl>
      <w:tblPr>
        <w:tblW w:w="4938" w:type="pct"/>
        <w:tblInd w:w="108" w:type="dxa"/>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2368"/>
        <w:gridCol w:w="2366"/>
        <w:gridCol w:w="2365"/>
        <w:gridCol w:w="2257"/>
      </w:tblGrid>
      <w:tr w:rsidR="0089279A" w:rsidRPr="003C527B" w:rsidTr="00187D9B">
        <w:trPr>
          <w:trHeight w:val="562"/>
        </w:trPr>
        <w:tc>
          <w:tcPr>
            <w:tcW w:w="1265" w:type="pct"/>
            <w:tcBorders>
              <w:top w:val="single" w:sz="8" w:space="0" w:color="auto"/>
              <w:bottom w:val="single" w:sz="8" w:space="0" w:color="auto"/>
            </w:tcBorders>
            <w:shd w:val="clear" w:color="auto" w:fill="C6D9F1" w:themeFill="text2" w:themeFillTint="33"/>
            <w:tcMar>
              <w:top w:w="0" w:type="dxa"/>
              <w:left w:w="108" w:type="dxa"/>
              <w:bottom w:w="0" w:type="dxa"/>
              <w:right w:w="108" w:type="dxa"/>
            </w:tcMar>
            <w:vAlign w:val="center"/>
            <w:hideMark/>
          </w:tcPr>
          <w:p w:rsidR="0089279A" w:rsidRPr="00E60C9B" w:rsidRDefault="0089279A" w:rsidP="00C25166">
            <w:pPr>
              <w:keepNext/>
              <w:keepLines/>
              <w:jc w:val="center"/>
              <w:rPr>
                <w:b/>
                <w:sz w:val="18"/>
                <w:szCs w:val="18"/>
              </w:rPr>
            </w:pPr>
            <w:r w:rsidRPr="00E60C9B">
              <w:rPr>
                <w:b/>
                <w:sz w:val="18"/>
                <w:szCs w:val="18"/>
              </w:rPr>
              <w:t>Risk(s) to the Program achieving its Results</w:t>
            </w:r>
          </w:p>
        </w:tc>
        <w:tc>
          <w:tcPr>
            <w:tcW w:w="1264" w:type="pct"/>
            <w:tcBorders>
              <w:top w:val="single" w:sz="8" w:space="0" w:color="auto"/>
              <w:bottom w:val="single" w:sz="8" w:space="0" w:color="auto"/>
            </w:tcBorders>
            <w:shd w:val="clear" w:color="auto" w:fill="C6D9F1" w:themeFill="text2" w:themeFillTint="33"/>
            <w:tcMar>
              <w:top w:w="0" w:type="dxa"/>
              <w:left w:w="108" w:type="dxa"/>
              <w:bottom w:w="0" w:type="dxa"/>
              <w:right w:w="108" w:type="dxa"/>
            </w:tcMar>
            <w:vAlign w:val="center"/>
            <w:hideMark/>
          </w:tcPr>
          <w:p w:rsidR="0089279A" w:rsidRPr="00E60C9B" w:rsidRDefault="0089279A" w:rsidP="00C25166">
            <w:pPr>
              <w:keepNext/>
              <w:keepLines/>
              <w:jc w:val="center"/>
              <w:rPr>
                <w:b/>
                <w:sz w:val="18"/>
                <w:szCs w:val="18"/>
              </w:rPr>
            </w:pPr>
            <w:r w:rsidRPr="00E60C9B">
              <w:rPr>
                <w:b/>
                <w:sz w:val="18"/>
                <w:szCs w:val="18"/>
              </w:rPr>
              <w:t>Mitigation plans in place or under implementation</w:t>
            </w:r>
          </w:p>
        </w:tc>
        <w:tc>
          <w:tcPr>
            <w:tcW w:w="1264" w:type="pct"/>
            <w:tcBorders>
              <w:top w:val="single" w:sz="8" w:space="0" w:color="auto"/>
              <w:bottom w:val="single" w:sz="8" w:space="0" w:color="auto"/>
            </w:tcBorders>
            <w:shd w:val="clear" w:color="auto" w:fill="C6D9F1" w:themeFill="text2" w:themeFillTint="33"/>
          </w:tcPr>
          <w:p w:rsidR="0089279A" w:rsidRPr="003C527B" w:rsidRDefault="0089279A" w:rsidP="00C25166">
            <w:pPr>
              <w:keepNext/>
              <w:keepLines/>
              <w:jc w:val="center"/>
              <w:rPr>
                <w:b/>
                <w:bCs/>
                <w:sz w:val="18"/>
                <w:szCs w:val="18"/>
              </w:rPr>
            </w:pPr>
            <w:r>
              <w:rPr>
                <w:b/>
                <w:bCs/>
                <w:sz w:val="18"/>
                <w:szCs w:val="18"/>
              </w:rPr>
              <w:t>Evolution of Risk(s) and Mitigation Strategies Over the Biennium</w:t>
            </w:r>
          </w:p>
        </w:tc>
        <w:tc>
          <w:tcPr>
            <w:tcW w:w="1206" w:type="pct"/>
            <w:tcBorders>
              <w:top w:val="single" w:sz="8" w:space="0" w:color="auto"/>
              <w:bottom w:val="single" w:sz="8" w:space="0" w:color="auto"/>
            </w:tcBorders>
            <w:shd w:val="clear" w:color="auto" w:fill="C6D9F1" w:themeFill="text2" w:themeFillTint="33"/>
          </w:tcPr>
          <w:p w:rsidR="0089279A" w:rsidRPr="003C527B" w:rsidRDefault="0089279A" w:rsidP="00C25166">
            <w:pPr>
              <w:keepNext/>
              <w:keepLines/>
              <w:jc w:val="center"/>
              <w:rPr>
                <w:b/>
                <w:bCs/>
                <w:sz w:val="18"/>
                <w:szCs w:val="18"/>
              </w:rPr>
            </w:pPr>
            <w:r>
              <w:rPr>
                <w:b/>
                <w:bCs/>
                <w:sz w:val="18"/>
                <w:szCs w:val="18"/>
              </w:rPr>
              <w:t>Impact on the Program’s Performance</w:t>
            </w:r>
          </w:p>
        </w:tc>
      </w:tr>
      <w:tr w:rsidR="0089279A" w:rsidRPr="003C527B" w:rsidTr="00187D9B">
        <w:trPr>
          <w:trHeight w:val="900"/>
        </w:trPr>
        <w:tc>
          <w:tcPr>
            <w:tcW w:w="1265" w:type="pct"/>
            <w:tcBorders>
              <w:top w:val="single" w:sz="8" w:space="0" w:color="auto"/>
            </w:tcBorders>
            <w:shd w:val="clear" w:color="auto" w:fill="auto"/>
            <w:tcMar>
              <w:top w:w="57" w:type="dxa"/>
              <w:left w:w="108" w:type="dxa"/>
              <w:bottom w:w="0" w:type="dxa"/>
              <w:right w:w="108" w:type="dxa"/>
            </w:tcMar>
          </w:tcPr>
          <w:p w:rsidR="0089279A" w:rsidRDefault="0089279A" w:rsidP="00C25166">
            <w:pPr>
              <w:keepNext/>
              <w:keepLines/>
              <w:rPr>
                <w:sz w:val="16"/>
                <w:szCs w:val="16"/>
              </w:rPr>
            </w:pPr>
            <w:r w:rsidRPr="00E60C9B">
              <w:rPr>
                <w:sz w:val="16"/>
                <w:szCs w:val="16"/>
              </w:rPr>
              <w:t xml:space="preserve">As a longer term risk, the SME support needs of developing and emerging regions may change, as the national IP systems become more mature.  Failure to adjust content development to this change will result in diminished benefit for beneficiaries from the implementation of capacity building activities. </w:t>
            </w:r>
          </w:p>
          <w:p w:rsidR="0089279A" w:rsidRPr="00565108" w:rsidRDefault="0089279A" w:rsidP="00C25166">
            <w:pPr>
              <w:keepNext/>
              <w:keepLines/>
              <w:rPr>
                <w:rFonts w:eastAsia="Calibri"/>
                <w:sz w:val="16"/>
                <w:szCs w:val="16"/>
              </w:rPr>
            </w:pPr>
          </w:p>
        </w:tc>
        <w:tc>
          <w:tcPr>
            <w:tcW w:w="1264" w:type="pct"/>
            <w:tcBorders>
              <w:top w:val="single" w:sz="8" w:space="0" w:color="auto"/>
            </w:tcBorders>
            <w:shd w:val="clear" w:color="auto" w:fill="auto"/>
            <w:tcMar>
              <w:top w:w="57" w:type="dxa"/>
              <w:left w:w="108" w:type="dxa"/>
              <w:bottom w:w="0" w:type="dxa"/>
              <w:right w:w="108" w:type="dxa"/>
            </w:tcMar>
          </w:tcPr>
          <w:p w:rsidR="0089279A" w:rsidRPr="008B2699" w:rsidRDefault="0089279A" w:rsidP="00C25166">
            <w:pPr>
              <w:keepNext/>
              <w:keepLines/>
              <w:rPr>
                <w:rFonts w:eastAsia="Calibri"/>
                <w:sz w:val="16"/>
                <w:szCs w:val="16"/>
              </w:rPr>
            </w:pPr>
            <w:r w:rsidRPr="008B2699">
              <w:rPr>
                <w:sz w:val="16"/>
                <w:szCs w:val="16"/>
              </w:rPr>
              <w:t>Close collaboration with Programs, 9 &amp; 10 in particular, who know the specificities of their regions, in order that the content that will be developed continues to be relevant to the regional specific needs.</w:t>
            </w:r>
          </w:p>
        </w:tc>
        <w:tc>
          <w:tcPr>
            <w:tcW w:w="1264" w:type="pct"/>
            <w:tcBorders>
              <w:top w:val="single" w:sz="8" w:space="0" w:color="auto"/>
            </w:tcBorders>
            <w:tcMar>
              <w:top w:w="57" w:type="dxa"/>
              <w:left w:w="57" w:type="dxa"/>
            </w:tcMar>
          </w:tcPr>
          <w:p w:rsidR="0089279A" w:rsidRPr="008B2699" w:rsidRDefault="0089279A" w:rsidP="00C25166">
            <w:pPr>
              <w:keepNext/>
              <w:keepLines/>
              <w:rPr>
                <w:sz w:val="16"/>
                <w:szCs w:val="16"/>
              </w:rPr>
            </w:pPr>
            <w:r>
              <w:rPr>
                <w:sz w:val="16"/>
                <w:szCs w:val="16"/>
              </w:rPr>
              <w:t>Enhanced internal c</w:t>
            </w:r>
            <w:r w:rsidRPr="008B2699">
              <w:rPr>
                <w:sz w:val="16"/>
                <w:szCs w:val="16"/>
              </w:rPr>
              <w:t>ooperation</w:t>
            </w:r>
            <w:r>
              <w:rPr>
                <w:sz w:val="16"/>
                <w:szCs w:val="16"/>
              </w:rPr>
              <w:t xml:space="preserve">, in particular with Programs 9 and 10, and external cooperation with Member States and other international organizations has contributed to ensuring that the content was tailored and relevant to stakeholders’ needs. </w:t>
            </w:r>
          </w:p>
        </w:tc>
        <w:tc>
          <w:tcPr>
            <w:tcW w:w="1206" w:type="pct"/>
            <w:tcBorders>
              <w:top w:val="single" w:sz="8" w:space="0" w:color="auto"/>
            </w:tcBorders>
            <w:tcMar>
              <w:top w:w="57" w:type="dxa"/>
              <w:left w:w="57" w:type="dxa"/>
            </w:tcMar>
          </w:tcPr>
          <w:p w:rsidR="0089279A" w:rsidRPr="008B2699" w:rsidRDefault="0089279A" w:rsidP="00C25166">
            <w:pPr>
              <w:keepNext/>
              <w:keepLines/>
              <w:rPr>
                <w:sz w:val="16"/>
                <w:szCs w:val="16"/>
              </w:rPr>
            </w:pPr>
            <w:r>
              <w:rPr>
                <w:sz w:val="16"/>
                <w:szCs w:val="16"/>
              </w:rPr>
              <w:t>There was no material impact on the Program’s performance.</w:t>
            </w:r>
          </w:p>
        </w:tc>
      </w:tr>
      <w:tr w:rsidR="0089279A" w:rsidTr="00187D9B">
        <w:trPr>
          <w:trHeight w:val="900"/>
        </w:trPr>
        <w:tc>
          <w:tcPr>
            <w:tcW w:w="1265" w:type="pct"/>
            <w:tcMar>
              <w:top w:w="57" w:type="dxa"/>
              <w:left w:w="108" w:type="dxa"/>
              <w:bottom w:w="0" w:type="dxa"/>
              <w:right w:w="108" w:type="dxa"/>
            </w:tcMar>
          </w:tcPr>
          <w:p w:rsidR="0089279A" w:rsidRPr="00565108" w:rsidRDefault="0089279A" w:rsidP="00C25166">
            <w:pPr>
              <w:keepNext/>
              <w:keepLines/>
              <w:rPr>
                <w:rFonts w:eastAsia="Calibri"/>
                <w:sz w:val="16"/>
                <w:szCs w:val="16"/>
              </w:rPr>
            </w:pPr>
            <w:r w:rsidRPr="00E60C9B">
              <w:rPr>
                <w:sz w:val="16"/>
                <w:szCs w:val="16"/>
              </w:rPr>
              <w:t xml:space="preserve">SMEs in some countries may continue to </w:t>
            </w:r>
            <w:r>
              <w:rPr>
                <w:sz w:val="16"/>
                <w:szCs w:val="16"/>
              </w:rPr>
              <w:t xml:space="preserve">be unaware of the benefits of using the IP system, </w:t>
            </w:r>
            <w:r w:rsidRPr="00E60C9B">
              <w:rPr>
                <w:sz w:val="16"/>
                <w:szCs w:val="16"/>
              </w:rPr>
              <w:t xml:space="preserve">leading to lost </w:t>
            </w:r>
            <w:r>
              <w:rPr>
                <w:sz w:val="16"/>
                <w:szCs w:val="16"/>
              </w:rPr>
              <w:t xml:space="preserve">opportunities for enhancing competitiveness and income generating opportunities. </w:t>
            </w:r>
          </w:p>
        </w:tc>
        <w:tc>
          <w:tcPr>
            <w:tcW w:w="1264" w:type="pct"/>
            <w:tcMar>
              <w:top w:w="57" w:type="dxa"/>
              <w:left w:w="108" w:type="dxa"/>
              <w:bottom w:w="0" w:type="dxa"/>
              <w:right w:w="108" w:type="dxa"/>
            </w:tcMar>
          </w:tcPr>
          <w:p w:rsidR="0089279A" w:rsidRPr="008B2699" w:rsidRDefault="0089279A" w:rsidP="00C25166">
            <w:pPr>
              <w:keepNext/>
              <w:keepLines/>
              <w:rPr>
                <w:rFonts w:eastAsia="Calibri"/>
                <w:sz w:val="16"/>
                <w:szCs w:val="16"/>
              </w:rPr>
            </w:pPr>
            <w:r w:rsidRPr="008B2699">
              <w:rPr>
                <w:sz w:val="16"/>
                <w:szCs w:val="16"/>
              </w:rPr>
              <w:t>Parallel work streams, firstly to focus on awareness-raising among SMEs of the benefits of using the IP system to enhance economic benefits through better competitiveness and secondly to encourage national governments to create or improve SME support structures.</w:t>
            </w:r>
          </w:p>
        </w:tc>
        <w:tc>
          <w:tcPr>
            <w:tcW w:w="1264" w:type="pct"/>
            <w:tcMar>
              <w:top w:w="57" w:type="dxa"/>
              <w:left w:w="57" w:type="dxa"/>
            </w:tcMar>
          </w:tcPr>
          <w:p w:rsidR="0089279A" w:rsidRPr="008B2699" w:rsidRDefault="0089279A" w:rsidP="00C25166">
            <w:pPr>
              <w:keepNext/>
              <w:keepLines/>
              <w:rPr>
                <w:sz w:val="16"/>
                <w:szCs w:val="16"/>
              </w:rPr>
            </w:pPr>
            <w:r>
              <w:rPr>
                <w:sz w:val="16"/>
                <w:szCs w:val="16"/>
              </w:rPr>
              <w:t>This risk is a continuous risk.  The mitigation action has resulted in an increased interest and involvement of local governments in establishing IP training programs and awareness raising events for SMEs.</w:t>
            </w:r>
          </w:p>
        </w:tc>
        <w:tc>
          <w:tcPr>
            <w:tcW w:w="1206" w:type="pct"/>
            <w:tcMar>
              <w:top w:w="57" w:type="dxa"/>
              <w:left w:w="57" w:type="dxa"/>
            </w:tcMar>
          </w:tcPr>
          <w:p w:rsidR="0089279A" w:rsidRPr="008B2699" w:rsidRDefault="0089279A" w:rsidP="00C25166">
            <w:pPr>
              <w:keepNext/>
              <w:keepLines/>
              <w:rPr>
                <w:sz w:val="16"/>
                <w:szCs w:val="16"/>
              </w:rPr>
            </w:pPr>
            <w:r>
              <w:rPr>
                <w:sz w:val="16"/>
                <w:szCs w:val="16"/>
              </w:rPr>
              <w:t>There was no material impact on the Program’s performance</w:t>
            </w:r>
          </w:p>
        </w:tc>
      </w:tr>
    </w:tbl>
    <w:p w:rsidR="0089279A" w:rsidRDefault="0089279A" w:rsidP="00C25166">
      <w:pPr>
        <w:rPr>
          <w:rFonts w:cs="Arial"/>
          <w:color w:val="000000"/>
          <w:sz w:val="18"/>
          <w:szCs w:val="20"/>
        </w:rPr>
      </w:pPr>
    </w:p>
    <w:p w:rsidR="0089279A" w:rsidRPr="005902C7" w:rsidRDefault="0089279A" w:rsidP="00C25166">
      <w:pPr>
        <w:rPr>
          <w:rFonts w:cs="Arial"/>
          <w:color w:val="000000"/>
          <w:sz w:val="18"/>
          <w:szCs w:val="20"/>
        </w:rPr>
      </w:pPr>
    </w:p>
    <w:p w:rsidR="0089279A" w:rsidRPr="00EE5F3E" w:rsidRDefault="0089279A" w:rsidP="00C25166">
      <w:pPr>
        <w:rPr>
          <w:szCs w:val="20"/>
        </w:rPr>
      </w:pPr>
      <w:r w:rsidRPr="003D28E9">
        <w:rPr>
          <w:rFonts w:cs="Arial"/>
          <w:color w:val="000000"/>
          <w:szCs w:val="20"/>
        </w:rPr>
        <w:t>RESOURCE UTILIZATION</w:t>
      </w:r>
    </w:p>
    <w:p w:rsidR="0089279A" w:rsidRPr="005902C7" w:rsidRDefault="0089279A" w:rsidP="00C25166">
      <w:pPr>
        <w:rPr>
          <w:sz w:val="16"/>
          <w:szCs w:val="20"/>
        </w:rPr>
      </w:pPr>
    </w:p>
    <w:p w:rsidR="0089279A" w:rsidRPr="00383D2D" w:rsidRDefault="0089279A" w:rsidP="00C25166">
      <w:pPr>
        <w:pStyle w:val="NormalWeb"/>
        <w:spacing w:before="0" w:beforeAutospacing="0" w:after="0" w:afterAutospacing="0"/>
        <w:jc w:val="center"/>
        <w:rPr>
          <w:sz w:val="20"/>
          <w:szCs w:val="20"/>
        </w:rPr>
      </w:pPr>
      <w:r w:rsidRPr="00383D2D">
        <w:rPr>
          <w:color w:val="000000"/>
          <w:sz w:val="20"/>
          <w:szCs w:val="20"/>
        </w:rPr>
        <w:t xml:space="preserve">Budget and Actual Expenditure (by result) </w:t>
      </w:r>
    </w:p>
    <w:p w:rsidR="0089279A" w:rsidRDefault="0089279A" w:rsidP="00C25166">
      <w:pPr>
        <w:pStyle w:val="NormalWeb"/>
        <w:spacing w:before="0" w:beforeAutospacing="0" w:after="0" w:afterAutospacing="0"/>
        <w:jc w:val="center"/>
        <w:rPr>
          <w:i/>
          <w:iCs/>
          <w:color w:val="000000"/>
          <w:sz w:val="20"/>
          <w:szCs w:val="20"/>
        </w:rPr>
      </w:pPr>
      <w:r w:rsidRPr="00383D2D">
        <w:rPr>
          <w:i/>
          <w:iCs/>
          <w:color w:val="000000"/>
          <w:sz w:val="20"/>
          <w:szCs w:val="20"/>
        </w:rPr>
        <w:t>(in thousands of Swiss francs)</w:t>
      </w:r>
    </w:p>
    <w:p w:rsidR="0089279A" w:rsidRPr="005902C7" w:rsidRDefault="0089279A" w:rsidP="00C25166">
      <w:pPr>
        <w:pStyle w:val="NormalWeb"/>
        <w:spacing w:before="0" w:beforeAutospacing="0" w:after="0" w:afterAutospacing="0"/>
        <w:jc w:val="center"/>
        <w:rPr>
          <w:sz w:val="16"/>
          <w:szCs w:val="20"/>
        </w:rPr>
      </w:pPr>
    </w:p>
    <w:p w:rsidR="0089279A" w:rsidRDefault="0089279A" w:rsidP="00C25166">
      <w:pPr>
        <w:jc w:val="center"/>
      </w:pPr>
      <w:r w:rsidRPr="003B19FA">
        <w:rPr>
          <w:noProof/>
        </w:rPr>
        <w:drawing>
          <wp:inline distT="0" distB="0" distL="0" distR="0" wp14:anchorId="7F2E2946" wp14:editId="28F2500D">
            <wp:extent cx="4804012" cy="2438711"/>
            <wp:effectExtent l="0" t="0" r="0" b="0"/>
            <wp:docPr id="142"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0">
                      <a:extLst>
                        <a:ext uri="{28A0092B-C50C-407E-A947-70E740481C1C}">
                          <a14:useLocalDpi xmlns:a14="http://schemas.microsoft.com/office/drawing/2010/main" val="0"/>
                        </a:ext>
                      </a:extLst>
                    </a:blip>
                    <a:srcRect/>
                    <a:stretch>
                      <a:fillRect/>
                    </a:stretch>
                  </pic:blipFill>
                  <pic:spPr bwMode="auto">
                    <a:xfrm>
                      <a:off x="0" y="0"/>
                      <a:ext cx="4804737" cy="2439079"/>
                    </a:xfrm>
                    <a:prstGeom prst="rect">
                      <a:avLst/>
                    </a:prstGeom>
                    <a:noFill/>
                    <a:ln>
                      <a:noFill/>
                    </a:ln>
                  </pic:spPr>
                </pic:pic>
              </a:graphicData>
            </a:graphic>
          </wp:inline>
        </w:drawing>
      </w:r>
    </w:p>
    <w:p w:rsidR="0089279A" w:rsidRDefault="0089279A" w:rsidP="00C25166">
      <w:pPr>
        <w:jc w:val="center"/>
      </w:pPr>
    </w:p>
    <w:p w:rsidR="0089279A" w:rsidRDefault="0089279A" w:rsidP="00C25166">
      <w:pPr>
        <w:jc w:val="center"/>
      </w:pPr>
    </w:p>
    <w:p w:rsidR="0089279A" w:rsidRPr="00383D2D" w:rsidRDefault="0089279A" w:rsidP="00C25166">
      <w:pPr>
        <w:pStyle w:val="NormalWeb"/>
        <w:spacing w:before="0" w:beforeAutospacing="0" w:after="0" w:afterAutospacing="0"/>
        <w:jc w:val="center"/>
        <w:rPr>
          <w:sz w:val="20"/>
          <w:szCs w:val="20"/>
        </w:rPr>
      </w:pPr>
      <w:r w:rsidRPr="00383D2D">
        <w:rPr>
          <w:color w:val="000000"/>
          <w:sz w:val="20"/>
          <w:szCs w:val="20"/>
        </w:rPr>
        <w:t xml:space="preserve">Budget and Actual Expenditure (personnel and non-personnel) </w:t>
      </w:r>
    </w:p>
    <w:p w:rsidR="0089279A" w:rsidRPr="00383D2D" w:rsidRDefault="0089279A" w:rsidP="00C25166">
      <w:pPr>
        <w:pStyle w:val="NormalWeb"/>
        <w:spacing w:before="0" w:beforeAutospacing="0" w:after="0" w:afterAutospacing="0"/>
        <w:jc w:val="center"/>
        <w:rPr>
          <w:i/>
          <w:iCs/>
          <w:color w:val="000000"/>
          <w:sz w:val="20"/>
          <w:szCs w:val="20"/>
        </w:rPr>
      </w:pPr>
      <w:r w:rsidRPr="00383D2D">
        <w:rPr>
          <w:i/>
          <w:iCs/>
          <w:color w:val="000000"/>
          <w:sz w:val="20"/>
          <w:szCs w:val="20"/>
        </w:rPr>
        <w:t>(in thousands of Swiss francs)</w:t>
      </w:r>
    </w:p>
    <w:p w:rsidR="0089279A" w:rsidRDefault="0089279A" w:rsidP="00C25166">
      <w:pPr>
        <w:pStyle w:val="NormalWeb"/>
        <w:keepNext/>
        <w:keepLines/>
        <w:spacing w:before="0" w:beforeAutospacing="0" w:after="0" w:afterAutospacing="0"/>
        <w:jc w:val="center"/>
      </w:pPr>
    </w:p>
    <w:p w:rsidR="0089279A" w:rsidRPr="001C6F4D" w:rsidRDefault="0089279A" w:rsidP="00C25166">
      <w:pPr>
        <w:widowControl w:val="0"/>
        <w:autoSpaceDE w:val="0"/>
        <w:autoSpaceDN w:val="0"/>
        <w:adjustRightInd w:val="0"/>
        <w:jc w:val="center"/>
        <w:rPr>
          <w:rFonts w:cs="Arial"/>
          <w:szCs w:val="20"/>
        </w:rPr>
      </w:pPr>
      <w:r w:rsidRPr="00D240F5">
        <w:rPr>
          <w:noProof/>
        </w:rPr>
        <w:drawing>
          <wp:inline distT="0" distB="0" distL="0" distR="0" wp14:anchorId="72F5D2AB" wp14:editId="5B9FE30E">
            <wp:extent cx="5090615" cy="1061817"/>
            <wp:effectExtent l="0" t="0" r="0" b="5080"/>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5105264" cy="1064873"/>
                    </a:xfrm>
                    <a:prstGeom prst="rect">
                      <a:avLst/>
                    </a:prstGeom>
                    <a:noFill/>
                    <a:ln>
                      <a:noFill/>
                    </a:ln>
                  </pic:spPr>
                </pic:pic>
              </a:graphicData>
            </a:graphic>
          </wp:inline>
        </w:drawing>
      </w:r>
    </w:p>
    <w:p w:rsidR="0089279A" w:rsidRDefault="0089279A" w:rsidP="00C25166">
      <w:pPr>
        <w:rPr>
          <w:rFonts w:cs="Arial"/>
          <w:szCs w:val="20"/>
        </w:rPr>
      </w:pPr>
    </w:p>
    <w:p w:rsidR="0089279A" w:rsidRDefault="0089279A" w:rsidP="00C25166">
      <w:pPr>
        <w:rPr>
          <w:rFonts w:cs="Arial"/>
          <w:szCs w:val="20"/>
        </w:rPr>
      </w:pPr>
    </w:p>
    <w:p w:rsidR="0089279A" w:rsidRPr="007764ED" w:rsidRDefault="0089279A" w:rsidP="00C25166">
      <w:pPr>
        <w:rPr>
          <w:rFonts w:cs="Arial"/>
          <w:u w:val="single"/>
        </w:rPr>
      </w:pPr>
      <w:r w:rsidRPr="007764ED">
        <w:rPr>
          <w:rFonts w:cs="Arial"/>
          <w:szCs w:val="20"/>
        </w:rPr>
        <w:t>A.</w:t>
      </w:r>
      <w:r w:rsidRPr="007764ED">
        <w:rPr>
          <w:rFonts w:cs="Arial"/>
        </w:rPr>
        <w:tab/>
      </w:r>
      <w:r w:rsidRPr="007764ED">
        <w:rPr>
          <w:rFonts w:cs="Arial"/>
          <w:u w:val="single"/>
        </w:rPr>
        <w:t>2014/15</w:t>
      </w:r>
      <w:r>
        <w:rPr>
          <w:rFonts w:cs="Arial"/>
          <w:u w:val="single"/>
        </w:rPr>
        <w:t xml:space="preserve"> Final </w:t>
      </w:r>
      <w:r w:rsidRPr="007764ED">
        <w:rPr>
          <w:rFonts w:cs="Arial"/>
          <w:u w:val="single"/>
        </w:rPr>
        <w:t xml:space="preserve">Budget after Transfers </w:t>
      </w:r>
    </w:p>
    <w:p w:rsidR="0089279A" w:rsidRPr="007764ED" w:rsidRDefault="0089279A" w:rsidP="00C25166">
      <w:pPr>
        <w:tabs>
          <w:tab w:val="left" w:pos="709"/>
        </w:tabs>
        <w:rPr>
          <w:rFonts w:cs="Arial"/>
          <w:u w:val="single"/>
        </w:rPr>
      </w:pPr>
    </w:p>
    <w:p w:rsidR="0089279A" w:rsidRPr="003D28E9" w:rsidRDefault="0089279A" w:rsidP="00C25166">
      <w:pPr>
        <w:pStyle w:val="ListParagraph"/>
        <w:numPr>
          <w:ilvl w:val="0"/>
          <w:numId w:val="79"/>
        </w:numPr>
        <w:tabs>
          <w:tab w:val="left" w:pos="709"/>
        </w:tabs>
        <w:autoSpaceDE w:val="0"/>
        <w:autoSpaceDN w:val="0"/>
        <w:adjustRightInd w:val="0"/>
        <w:ind w:left="0" w:firstLine="0"/>
        <w:jc w:val="both"/>
        <w:rPr>
          <w:rFonts w:cs="Arial"/>
        </w:rPr>
      </w:pPr>
      <w:r w:rsidRPr="003D28E9">
        <w:rPr>
          <w:rFonts w:cs="Arial"/>
        </w:rPr>
        <w:t xml:space="preserve">The decrease in personnel resources in the 2014/15 Final Budget after Transfers compared to the 2014/15 Approved Budget reflects (i) the transfer of responsibilities for the implementation of the DA project Open Collaborative Models and Technology Transfer to Program 5 (The PCT System) and (ii) delays in identifying the right skills and competencies in support of the Program’s activities to compensate for the transfer of a staff member out of the Program. </w:t>
      </w:r>
    </w:p>
    <w:p w:rsidR="0089279A" w:rsidRDefault="0089279A" w:rsidP="00C25166">
      <w:pPr>
        <w:pStyle w:val="ListParagraph"/>
        <w:tabs>
          <w:tab w:val="left" w:pos="709"/>
        </w:tabs>
        <w:ind w:left="0"/>
        <w:jc w:val="both"/>
        <w:rPr>
          <w:rFonts w:eastAsia="Arial" w:cs="Arial"/>
        </w:rPr>
      </w:pPr>
    </w:p>
    <w:p w:rsidR="0089279A" w:rsidRDefault="0089279A" w:rsidP="00C25166">
      <w:pPr>
        <w:pStyle w:val="ListParagraph"/>
        <w:numPr>
          <w:ilvl w:val="0"/>
          <w:numId w:val="79"/>
        </w:numPr>
        <w:tabs>
          <w:tab w:val="left" w:pos="709"/>
        </w:tabs>
        <w:autoSpaceDE w:val="0"/>
        <w:autoSpaceDN w:val="0"/>
        <w:adjustRightInd w:val="0"/>
        <w:ind w:left="0" w:firstLine="0"/>
        <w:jc w:val="both"/>
        <w:rPr>
          <w:rFonts w:cs="Arial"/>
        </w:rPr>
      </w:pPr>
      <w:r>
        <w:rPr>
          <w:rFonts w:cs="Arial"/>
        </w:rPr>
        <w:t xml:space="preserve">The net decrease in non-personnel resources primarily reflects: (i) a downward adjustment mainly due to the transfer of responsibility for patent drafting training to Program 1;  and (ii) </w:t>
      </w:r>
      <w:r w:rsidRPr="003D28E9">
        <w:rPr>
          <w:rFonts w:cs="Arial"/>
        </w:rPr>
        <w:t>the transfer of non-personnel resources for an intern (to Program 23 which centrally manages interns)</w:t>
      </w:r>
      <w:r>
        <w:rPr>
          <w:rFonts w:cs="Arial"/>
        </w:rPr>
        <w:t>.</w:t>
      </w:r>
    </w:p>
    <w:p w:rsidR="0089279A" w:rsidRDefault="0089279A" w:rsidP="00C25166">
      <w:pPr>
        <w:pStyle w:val="ListParagraph"/>
        <w:tabs>
          <w:tab w:val="left" w:pos="709"/>
        </w:tabs>
        <w:ind w:left="0"/>
        <w:jc w:val="both"/>
        <w:rPr>
          <w:rFonts w:cs="Arial"/>
          <w:lang w:eastAsia="ko-KR"/>
        </w:rPr>
      </w:pPr>
    </w:p>
    <w:p w:rsidR="0089279A" w:rsidRDefault="0089279A" w:rsidP="00C25166">
      <w:pPr>
        <w:pStyle w:val="ListParagraph"/>
        <w:numPr>
          <w:ilvl w:val="0"/>
          <w:numId w:val="79"/>
        </w:numPr>
        <w:tabs>
          <w:tab w:val="left" w:pos="709"/>
        </w:tabs>
        <w:autoSpaceDE w:val="0"/>
        <w:autoSpaceDN w:val="0"/>
        <w:adjustRightInd w:val="0"/>
        <w:ind w:left="0" w:firstLine="0"/>
        <w:jc w:val="both"/>
        <w:rPr>
          <w:rFonts w:cs="Arial"/>
        </w:rPr>
      </w:pPr>
      <w:r>
        <w:rPr>
          <w:rFonts w:cs="Arial"/>
        </w:rPr>
        <w:t xml:space="preserve">Overall, the adjustments across Expected Results in the 2014/15 Final Budget after Transfers reflect the new and more accurate methodology for allocation of personnel resources resulting from enhancements made to the EPM planning system for the 2014 and 2015 annual work planning exercises, as well as an internal reorganization of the Program. </w:t>
      </w:r>
    </w:p>
    <w:p w:rsidR="0089279A" w:rsidRPr="007764ED" w:rsidRDefault="0089279A" w:rsidP="00C25166">
      <w:pPr>
        <w:tabs>
          <w:tab w:val="left" w:pos="709"/>
        </w:tabs>
        <w:autoSpaceDE w:val="0"/>
        <w:autoSpaceDN w:val="0"/>
        <w:jc w:val="both"/>
        <w:rPr>
          <w:rFonts w:cs="Arial"/>
          <w:szCs w:val="20"/>
          <w:lang w:eastAsia="ko-KR"/>
        </w:rPr>
      </w:pPr>
    </w:p>
    <w:p w:rsidR="0089279A" w:rsidRPr="007764ED" w:rsidRDefault="0089279A" w:rsidP="00C25166">
      <w:pPr>
        <w:tabs>
          <w:tab w:val="left" w:pos="709"/>
        </w:tabs>
        <w:jc w:val="both"/>
        <w:rPr>
          <w:rFonts w:cs="Arial"/>
          <w:szCs w:val="20"/>
          <w:u w:val="single"/>
          <w:lang w:eastAsia="ko-KR"/>
        </w:rPr>
      </w:pPr>
      <w:r w:rsidRPr="007764ED">
        <w:rPr>
          <w:rFonts w:cs="Arial"/>
          <w:szCs w:val="20"/>
          <w:lang w:eastAsia="ko-KR"/>
        </w:rPr>
        <w:t>B.</w:t>
      </w:r>
      <w:r w:rsidRPr="007764ED">
        <w:rPr>
          <w:rFonts w:cs="Arial"/>
          <w:szCs w:val="20"/>
          <w:lang w:eastAsia="ko-KR"/>
        </w:rPr>
        <w:tab/>
      </w:r>
      <w:r w:rsidRPr="007764ED">
        <w:rPr>
          <w:rFonts w:cs="Arial"/>
          <w:u w:val="single"/>
        </w:rPr>
        <w:t>2014/15</w:t>
      </w:r>
      <w:r>
        <w:rPr>
          <w:rFonts w:cs="Arial"/>
          <w:u w:val="single"/>
        </w:rPr>
        <w:t xml:space="preserve"> </w:t>
      </w:r>
      <w:r>
        <w:rPr>
          <w:rFonts w:cs="Arial"/>
          <w:szCs w:val="20"/>
          <w:u w:val="single"/>
          <w:lang w:eastAsia="ko-KR"/>
        </w:rPr>
        <w:t>Budget U</w:t>
      </w:r>
      <w:r w:rsidRPr="007764ED">
        <w:rPr>
          <w:rFonts w:cs="Arial"/>
          <w:szCs w:val="20"/>
          <w:u w:val="single"/>
          <w:lang w:eastAsia="ko-KR"/>
        </w:rPr>
        <w:t xml:space="preserve">tilization </w:t>
      </w:r>
    </w:p>
    <w:p w:rsidR="0089279A" w:rsidRPr="007764ED" w:rsidRDefault="0089279A" w:rsidP="00C25166">
      <w:pPr>
        <w:tabs>
          <w:tab w:val="left" w:pos="709"/>
        </w:tabs>
      </w:pPr>
    </w:p>
    <w:p w:rsidR="0089279A" w:rsidRPr="003D28E9" w:rsidRDefault="0089279A" w:rsidP="00C25166">
      <w:pPr>
        <w:pStyle w:val="ListParagraph"/>
        <w:numPr>
          <w:ilvl w:val="0"/>
          <w:numId w:val="79"/>
        </w:numPr>
        <w:tabs>
          <w:tab w:val="left" w:pos="709"/>
        </w:tabs>
        <w:autoSpaceDE w:val="0"/>
        <w:autoSpaceDN w:val="0"/>
        <w:adjustRightInd w:val="0"/>
        <w:ind w:left="0" w:firstLine="0"/>
        <w:jc w:val="both"/>
        <w:rPr>
          <w:rFonts w:cs="Arial"/>
        </w:rPr>
      </w:pPr>
      <w:r w:rsidRPr="003D28E9">
        <w:rPr>
          <w:rFonts w:cs="Arial"/>
        </w:rPr>
        <w:t xml:space="preserve">The slight under-utilization of non-personnel resources was primarily due to:  (i) the overall slower than expected pace of implementation of activities under Results III.6 (Increased capacity of SMEs) and IV.2 </w:t>
      </w:r>
      <w:r w:rsidRPr="00DD4059">
        <w:rPr>
          <w:rFonts w:cs="Arial"/>
        </w:rPr>
        <w:t>(Enhanced access to, and use of, IP information and knowledge)</w:t>
      </w:r>
      <w:r>
        <w:rPr>
          <w:rFonts w:cs="Arial"/>
        </w:rPr>
        <w:t>;</w:t>
      </w:r>
      <w:r w:rsidRPr="003D28E9">
        <w:rPr>
          <w:rFonts w:cs="Arial"/>
        </w:rPr>
        <w:t xml:space="preserve">  and (ii) the postponement or cancellation of certain activities at the request of co-organizing institutions and/or Member States under Results III.1 (National innovation and IP strategies), III.6 (Increased capacity of SMEs) and IV.2</w:t>
      </w:r>
      <w:r w:rsidR="00187D9B">
        <w:rPr>
          <w:rFonts w:cs="Arial"/>
        </w:rPr>
        <w:t> </w:t>
      </w:r>
      <w:r w:rsidRPr="00DD4059">
        <w:rPr>
          <w:rFonts w:cs="Arial"/>
        </w:rPr>
        <w:t>(Enhanced access to, and use of, IP information and knowledge)</w:t>
      </w:r>
      <w:r w:rsidRPr="003D28E9">
        <w:rPr>
          <w:rFonts w:cs="Arial"/>
        </w:rPr>
        <w:t xml:space="preserve">. </w:t>
      </w:r>
    </w:p>
    <w:p w:rsidR="0089279A" w:rsidRDefault="0089279A"/>
    <w:p w:rsidR="00136AA7" w:rsidRDefault="00136AA7" w:rsidP="00CE4C9D">
      <w:pPr>
        <w:tabs>
          <w:tab w:val="left" w:pos="720"/>
        </w:tabs>
        <w:rPr>
          <w:rFonts w:cs="Arial"/>
        </w:rPr>
      </w:pPr>
    </w:p>
    <w:p w:rsidR="0089279A" w:rsidRDefault="0089279A">
      <w:r>
        <w:br w:type="page"/>
      </w:r>
    </w:p>
    <w:p w:rsidR="004C53FA" w:rsidRDefault="004C53FA" w:rsidP="00C1753F">
      <w:pPr>
        <w:pStyle w:val="StyleHeading214ptAuto"/>
        <w:rPr>
          <w:rFonts w:ascii="Arial" w:hAnsi="Arial" w:cs="Arial"/>
          <w:sz w:val="20"/>
          <w:szCs w:val="20"/>
        </w:rPr>
      </w:pPr>
      <w:bookmarkStart w:id="77" w:name="_Toc454544480"/>
      <w:bookmarkStart w:id="78" w:name="_Toc367350587"/>
      <w:r w:rsidRPr="00E07FBB">
        <w:rPr>
          <w:rFonts w:ascii="Arial" w:hAnsi="Arial" w:cs="Arial"/>
          <w:sz w:val="20"/>
          <w:szCs w:val="20"/>
        </w:rPr>
        <w:lastRenderedPageBreak/>
        <w:t>STRATEGIC GOAL IV</w:t>
      </w:r>
      <w:bookmarkEnd w:id="77"/>
      <w:r>
        <w:rPr>
          <w:rFonts w:ascii="Arial" w:hAnsi="Arial" w:cs="Arial"/>
          <w:sz w:val="20"/>
          <w:szCs w:val="20"/>
        </w:rPr>
        <w:t xml:space="preserve"> </w:t>
      </w:r>
    </w:p>
    <w:p w:rsidR="004C53FA" w:rsidRPr="003E2D93" w:rsidRDefault="004C53FA" w:rsidP="003E2D93">
      <w:pPr>
        <w:jc w:val="center"/>
      </w:pPr>
    </w:p>
    <w:p w:rsidR="004C53FA" w:rsidRPr="003E2D93" w:rsidRDefault="004C53FA" w:rsidP="003E2D93">
      <w:pPr>
        <w:jc w:val="center"/>
      </w:pPr>
      <w:r w:rsidRPr="003E2D93">
        <w:rPr>
          <w:b/>
        </w:rPr>
        <w:t>COORDINATION AND DEVELOPMENT OF GLOBAL IP INFRASTRUCTURE</w:t>
      </w:r>
      <w:bookmarkEnd w:id="78"/>
    </w:p>
    <w:p w:rsidR="004C53FA" w:rsidRPr="003E2D93" w:rsidRDefault="004C53FA" w:rsidP="003E2D93">
      <w:pPr>
        <w:jc w:val="center"/>
      </w:pPr>
    </w:p>
    <w:p w:rsidR="00C2795A" w:rsidRPr="003E2D93" w:rsidRDefault="00C2795A" w:rsidP="00C2795A">
      <w:pPr>
        <w:jc w:val="center"/>
      </w:pPr>
    </w:p>
    <w:p w:rsidR="00C2795A" w:rsidRPr="00551736" w:rsidRDefault="00C2795A" w:rsidP="00C2795A">
      <w:pPr>
        <w:jc w:val="center"/>
        <w:rPr>
          <w:b/>
        </w:rPr>
      </w:pPr>
      <w:r>
        <w:rPr>
          <w:b/>
        </w:rPr>
        <w:t>Biennial</w:t>
      </w:r>
      <w:r w:rsidRPr="00551736">
        <w:rPr>
          <w:b/>
        </w:rPr>
        <w:t xml:space="preserve"> Performance Dashboard </w:t>
      </w:r>
    </w:p>
    <w:p w:rsidR="00C2795A" w:rsidRPr="003E2D93" w:rsidRDefault="00C2795A" w:rsidP="00C2795A">
      <w:pPr>
        <w:jc w:val="center"/>
        <w:rPr>
          <w:b/>
        </w:rPr>
      </w:pPr>
    </w:p>
    <w:p w:rsidR="00C2795A" w:rsidRDefault="00C2795A" w:rsidP="00C2795A">
      <w:pPr>
        <w:autoSpaceDE w:val="0"/>
        <w:autoSpaceDN w:val="0"/>
        <w:adjustRightInd w:val="0"/>
        <w:jc w:val="both"/>
        <w:rPr>
          <w:rFonts w:cs="Arial"/>
        </w:rPr>
      </w:pPr>
      <w:r>
        <w:rPr>
          <w:rFonts w:cs="Arial"/>
        </w:rPr>
        <w:t xml:space="preserve">The dashboard below provides a summary of the achievements of the expected results in the biennium 2014/15 as measured by the indicators under the Programs contributing to this Strategic Goal.  </w:t>
      </w:r>
    </w:p>
    <w:p w:rsidR="00C2795A" w:rsidRDefault="00C2795A" w:rsidP="00C2795A">
      <w:pPr>
        <w:jc w:val="center"/>
      </w:pPr>
      <w:r>
        <w:rPr>
          <w:noProof/>
        </w:rPr>
        <w:drawing>
          <wp:inline distT="0" distB="0" distL="0" distR="0" wp14:anchorId="1FD6705F" wp14:editId="00A1AFA7">
            <wp:extent cx="4799942" cy="2651760"/>
            <wp:effectExtent l="0" t="0" r="127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2" cstate="print">
                      <a:extLst>
                        <a:ext uri="{28A0092B-C50C-407E-A947-70E740481C1C}">
                          <a14:useLocalDpi xmlns:a14="http://schemas.microsoft.com/office/drawing/2010/main" val="0"/>
                        </a:ext>
                      </a:extLst>
                    </a:blip>
                    <a:srcRect/>
                    <a:stretch>
                      <a:fillRect/>
                    </a:stretch>
                  </pic:blipFill>
                  <pic:spPr bwMode="auto">
                    <a:xfrm>
                      <a:off x="0" y="0"/>
                      <a:ext cx="4799942" cy="2651760"/>
                    </a:xfrm>
                    <a:prstGeom prst="rect">
                      <a:avLst/>
                    </a:prstGeom>
                    <a:noFill/>
                  </pic:spPr>
                </pic:pic>
              </a:graphicData>
            </a:graphic>
          </wp:inline>
        </w:drawing>
      </w:r>
    </w:p>
    <w:p w:rsidR="00C2795A" w:rsidRPr="00CB5A85" w:rsidRDefault="00C2795A" w:rsidP="00C2795A"/>
    <w:tbl>
      <w:tblPr>
        <w:tblW w:w="4942"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2804"/>
        <w:gridCol w:w="4092"/>
        <w:gridCol w:w="1665"/>
        <w:gridCol w:w="899"/>
      </w:tblGrid>
      <w:tr w:rsidR="00C2795A" w:rsidRPr="00AF5E7C" w:rsidTr="00547ACE">
        <w:trPr>
          <w:cantSplit/>
          <w:trHeight w:val="401"/>
          <w:tblHeader/>
        </w:trPr>
        <w:tc>
          <w:tcPr>
            <w:tcW w:w="1482" w:type="pct"/>
            <w:tcBorders>
              <w:top w:val="single" w:sz="4" w:space="0" w:color="auto"/>
              <w:bottom w:val="single" w:sz="4" w:space="0" w:color="auto"/>
            </w:tcBorders>
            <w:shd w:val="clear" w:color="auto" w:fill="DAEEF3" w:themeFill="accent5" w:themeFillTint="33"/>
            <w:tcMar>
              <w:top w:w="113" w:type="dxa"/>
              <w:bottom w:w="85" w:type="dxa"/>
            </w:tcMar>
            <w:vAlign w:val="center"/>
          </w:tcPr>
          <w:p w:rsidR="00C2795A" w:rsidRPr="00923CBC" w:rsidRDefault="00C2795A" w:rsidP="00547ACE">
            <w:pPr>
              <w:spacing w:after="120"/>
              <w:rPr>
                <w:rFonts w:cs="Arial"/>
                <w:b/>
                <w:bCs/>
                <w:sz w:val="18"/>
                <w:szCs w:val="18"/>
              </w:rPr>
            </w:pPr>
            <w:r w:rsidRPr="00923CBC">
              <w:rPr>
                <w:rFonts w:cs="Arial"/>
                <w:b/>
                <w:bCs/>
                <w:sz w:val="18"/>
                <w:szCs w:val="18"/>
              </w:rPr>
              <w:t>Expected Results</w:t>
            </w:r>
          </w:p>
        </w:tc>
        <w:tc>
          <w:tcPr>
            <w:tcW w:w="2163" w:type="pct"/>
            <w:tcBorders>
              <w:top w:val="single" w:sz="4" w:space="0" w:color="auto"/>
              <w:bottom w:val="single" w:sz="4" w:space="0" w:color="auto"/>
            </w:tcBorders>
            <w:shd w:val="clear" w:color="auto" w:fill="DAEEF3" w:themeFill="accent5" w:themeFillTint="33"/>
            <w:tcMar>
              <w:top w:w="113" w:type="dxa"/>
              <w:bottom w:w="85" w:type="dxa"/>
            </w:tcMar>
            <w:vAlign w:val="center"/>
          </w:tcPr>
          <w:p w:rsidR="00C2795A" w:rsidRPr="00923CBC" w:rsidRDefault="00C2795A" w:rsidP="00547ACE">
            <w:pPr>
              <w:spacing w:after="120"/>
              <w:rPr>
                <w:rFonts w:cs="Arial"/>
                <w:b/>
                <w:sz w:val="18"/>
                <w:szCs w:val="18"/>
              </w:rPr>
            </w:pPr>
            <w:r w:rsidRPr="00923CBC">
              <w:rPr>
                <w:rFonts w:cs="Arial"/>
                <w:b/>
                <w:sz w:val="18"/>
                <w:szCs w:val="18"/>
              </w:rPr>
              <w:t>Performance Indicators</w:t>
            </w:r>
          </w:p>
        </w:tc>
        <w:tc>
          <w:tcPr>
            <w:tcW w:w="880" w:type="pct"/>
            <w:tcBorders>
              <w:top w:val="single" w:sz="4" w:space="0" w:color="auto"/>
              <w:bottom w:val="single" w:sz="4" w:space="0" w:color="auto"/>
            </w:tcBorders>
            <w:shd w:val="clear" w:color="auto" w:fill="DAEEF3" w:themeFill="accent5" w:themeFillTint="33"/>
            <w:tcMar>
              <w:top w:w="113" w:type="dxa"/>
              <w:bottom w:w="85" w:type="dxa"/>
            </w:tcMar>
            <w:vAlign w:val="center"/>
          </w:tcPr>
          <w:p w:rsidR="00C2795A" w:rsidRPr="00923CBC" w:rsidRDefault="00C2795A" w:rsidP="00547ACE">
            <w:pPr>
              <w:spacing w:after="120"/>
              <w:ind w:left="85"/>
              <w:jc w:val="center"/>
              <w:rPr>
                <w:rFonts w:cs="Arial"/>
                <w:sz w:val="18"/>
                <w:szCs w:val="18"/>
              </w:rPr>
            </w:pPr>
            <w:r w:rsidRPr="00923CBC">
              <w:rPr>
                <w:rFonts w:cs="Arial"/>
                <w:b/>
                <w:bCs/>
                <w:sz w:val="18"/>
                <w:szCs w:val="18"/>
              </w:rPr>
              <w:t>Responsible Program(s)</w:t>
            </w:r>
          </w:p>
        </w:tc>
        <w:tc>
          <w:tcPr>
            <w:tcW w:w="475" w:type="pct"/>
            <w:tcBorders>
              <w:top w:val="single" w:sz="4" w:space="0" w:color="auto"/>
              <w:bottom w:val="single" w:sz="4" w:space="0" w:color="auto"/>
            </w:tcBorders>
            <w:shd w:val="clear" w:color="auto" w:fill="DAEEF3" w:themeFill="accent5" w:themeFillTint="33"/>
          </w:tcPr>
          <w:p w:rsidR="00C2795A" w:rsidRPr="00923CBC" w:rsidRDefault="00C2795A" w:rsidP="00547ACE">
            <w:pPr>
              <w:spacing w:after="120"/>
              <w:ind w:left="85"/>
              <w:jc w:val="center"/>
              <w:rPr>
                <w:rFonts w:cs="Arial"/>
                <w:b/>
                <w:bCs/>
                <w:sz w:val="18"/>
                <w:szCs w:val="18"/>
              </w:rPr>
            </w:pPr>
            <w:r>
              <w:rPr>
                <w:rFonts w:cs="Arial"/>
                <w:b/>
                <w:bCs/>
                <w:sz w:val="18"/>
                <w:szCs w:val="18"/>
              </w:rPr>
              <w:t>TLS</w:t>
            </w:r>
          </w:p>
        </w:tc>
      </w:tr>
      <w:tr w:rsidR="00C2795A" w:rsidRPr="00AF5E7C" w:rsidTr="00547ACE">
        <w:trPr>
          <w:cantSplit/>
          <w:trHeight w:val="363"/>
        </w:trPr>
        <w:tc>
          <w:tcPr>
            <w:tcW w:w="1482" w:type="pct"/>
            <w:vMerge w:val="restart"/>
            <w:tcBorders>
              <w:top w:val="single" w:sz="4" w:space="0" w:color="auto"/>
            </w:tcBorders>
            <w:shd w:val="clear" w:color="auto" w:fill="auto"/>
            <w:tcMar>
              <w:top w:w="113" w:type="dxa"/>
              <w:bottom w:w="85" w:type="dxa"/>
            </w:tcMar>
          </w:tcPr>
          <w:p w:rsidR="00C2795A" w:rsidRPr="00C10568" w:rsidRDefault="00C2795A" w:rsidP="00547ACE">
            <w:pPr>
              <w:rPr>
                <w:rFonts w:cs="Arial"/>
                <w:sz w:val="16"/>
                <w:szCs w:val="16"/>
              </w:rPr>
            </w:pPr>
            <w:r w:rsidRPr="00C10568">
              <w:rPr>
                <w:rFonts w:cs="Arial"/>
                <w:sz w:val="16"/>
                <w:szCs w:val="16"/>
              </w:rPr>
              <w:t>IV.1</w:t>
            </w:r>
            <w:r>
              <w:rPr>
                <w:rFonts w:cs="Arial"/>
                <w:sz w:val="16"/>
                <w:szCs w:val="16"/>
              </w:rPr>
              <w:t xml:space="preserve">  </w:t>
            </w:r>
            <w:r w:rsidRPr="00C10568">
              <w:rPr>
                <w:rFonts w:cs="Arial"/>
                <w:sz w:val="16"/>
                <w:szCs w:val="16"/>
              </w:rPr>
              <w:t>Updated and globally accepted system of international classifications and WIPO standards to facilitate access, use and dissemination of IP information among stakeholders in the world</w:t>
            </w:r>
          </w:p>
        </w:tc>
        <w:tc>
          <w:tcPr>
            <w:tcW w:w="2163" w:type="pct"/>
            <w:tcBorders>
              <w:top w:val="single" w:sz="4" w:space="0" w:color="auto"/>
            </w:tcBorders>
            <w:shd w:val="clear" w:color="auto" w:fill="auto"/>
            <w:tcMar>
              <w:top w:w="113" w:type="dxa"/>
              <w:bottom w:w="85" w:type="dxa"/>
            </w:tcMar>
          </w:tcPr>
          <w:p w:rsidR="00C2795A" w:rsidRPr="00C10568" w:rsidRDefault="00C2795A" w:rsidP="00547ACE">
            <w:pPr>
              <w:rPr>
                <w:rFonts w:cs="Arial"/>
                <w:sz w:val="16"/>
                <w:szCs w:val="16"/>
              </w:rPr>
            </w:pPr>
            <w:r w:rsidRPr="00C10568">
              <w:rPr>
                <w:rFonts w:cs="Arial"/>
                <w:sz w:val="16"/>
                <w:szCs w:val="16"/>
              </w:rPr>
              <w:t>No</w:t>
            </w:r>
            <w:r>
              <w:rPr>
                <w:rFonts w:cs="Arial"/>
                <w:sz w:val="16"/>
                <w:szCs w:val="16"/>
              </w:rPr>
              <w:t>.</w:t>
            </w:r>
            <w:r w:rsidRPr="00C10568">
              <w:rPr>
                <w:rFonts w:cs="Arial"/>
                <w:sz w:val="16"/>
                <w:szCs w:val="16"/>
              </w:rPr>
              <w:t xml:space="preserve"> of amendments and information files introduced into Nice Classification </w:t>
            </w:r>
          </w:p>
        </w:tc>
        <w:tc>
          <w:tcPr>
            <w:tcW w:w="880" w:type="pct"/>
            <w:tcBorders>
              <w:top w:val="single" w:sz="4" w:space="0" w:color="auto"/>
            </w:tcBorders>
            <w:shd w:val="clear" w:color="auto" w:fill="FFFFFF"/>
            <w:tcMar>
              <w:top w:w="113" w:type="dxa"/>
              <w:bottom w:w="85" w:type="dxa"/>
            </w:tcMar>
          </w:tcPr>
          <w:p w:rsidR="00C2795A" w:rsidRPr="00AF5E7C" w:rsidRDefault="00C2795A" w:rsidP="00547ACE">
            <w:pPr>
              <w:jc w:val="center"/>
              <w:rPr>
                <w:rFonts w:cs="Arial"/>
                <w:sz w:val="16"/>
                <w:szCs w:val="16"/>
                <w:lang w:bidi="th-TH"/>
              </w:rPr>
            </w:pPr>
            <w:r>
              <w:rPr>
                <w:rFonts w:cs="Arial"/>
                <w:sz w:val="16"/>
                <w:szCs w:val="16"/>
                <w:lang w:bidi="th-TH"/>
              </w:rPr>
              <w:t>Program 12</w:t>
            </w:r>
          </w:p>
        </w:tc>
        <w:tc>
          <w:tcPr>
            <w:tcW w:w="475" w:type="pct"/>
            <w:tcBorders>
              <w:top w:val="single" w:sz="4" w:space="0" w:color="auto"/>
            </w:tcBorders>
            <w:shd w:val="clear" w:color="auto" w:fill="FFFFFF"/>
          </w:tcPr>
          <w:p w:rsidR="00C2795A" w:rsidRPr="00CC3F44" w:rsidRDefault="00C2795A" w:rsidP="00547ACE">
            <w:pPr>
              <w:jc w:val="center"/>
            </w:pPr>
            <w:r w:rsidRPr="00CC3F44">
              <w:rPr>
                <w:rFonts w:cs="Arial"/>
                <w:color w:val="008000"/>
                <w:sz w:val="22"/>
                <w:szCs w:val="22"/>
              </w:rPr>
              <w:sym w:font="Wingdings" w:char="F06C"/>
            </w:r>
            <w:r w:rsidRPr="00CC3F44">
              <w:rPr>
                <w:rFonts w:cs="Arial"/>
                <w:color w:val="008000"/>
                <w:sz w:val="22"/>
                <w:szCs w:val="22"/>
              </w:rPr>
              <w:sym w:font="Wingdings" w:char="F06C"/>
            </w:r>
            <w:r w:rsidRPr="00CC3F44">
              <w:rPr>
                <w:rFonts w:cs="Arial"/>
                <w:color w:val="008000"/>
                <w:sz w:val="22"/>
                <w:szCs w:val="22"/>
              </w:rPr>
              <w:sym w:font="Wingdings" w:char="F06C"/>
            </w:r>
          </w:p>
        </w:tc>
      </w:tr>
      <w:tr w:rsidR="00C2795A" w:rsidRPr="00AF5E7C" w:rsidTr="00547ACE">
        <w:trPr>
          <w:cantSplit/>
          <w:trHeight w:val="463"/>
        </w:trPr>
        <w:tc>
          <w:tcPr>
            <w:tcW w:w="1482" w:type="pct"/>
            <w:vMerge/>
            <w:shd w:val="clear" w:color="auto" w:fill="auto"/>
            <w:tcMar>
              <w:top w:w="113" w:type="dxa"/>
              <w:bottom w:w="85" w:type="dxa"/>
            </w:tcMar>
          </w:tcPr>
          <w:p w:rsidR="00C2795A" w:rsidRPr="00C10568" w:rsidRDefault="00C2795A" w:rsidP="00547ACE">
            <w:pPr>
              <w:rPr>
                <w:rFonts w:cs="Arial"/>
                <w:sz w:val="16"/>
                <w:szCs w:val="16"/>
              </w:rPr>
            </w:pPr>
          </w:p>
        </w:tc>
        <w:tc>
          <w:tcPr>
            <w:tcW w:w="2163" w:type="pct"/>
            <w:shd w:val="clear" w:color="auto" w:fill="auto"/>
            <w:tcMar>
              <w:top w:w="113" w:type="dxa"/>
              <w:bottom w:w="85" w:type="dxa"/>
            </w:tcMar>
          </w:tcPr>
          <w:p w:rsidR="00C2795A" w:rsidRPr="00C10568" w:rsidRDefault="00C2795A" w:rsidP="00547ACE">
            <w:pPr>
              <w:rPr>
                <w:rFonts w:cs="Arial"/>
                <w:sz w:val="16"/>
                <w:szCs w:val="16"/>
              </w:rPr>
            </w:pPr>
            <w:r w:rsidRPr="00C10568">
              <w:rPr>
                <w:rFonts w:cs="Arial"/>
                <w:sz w:val="16"/>
                <w:szCs w:val="16"/>
              </w:rPr>
              <w:t>No</w:t>
            </w:r>
            <w:r>
              <w:rPr>
                <w:rFonts w:cs="Arial"/>
                <w:sz w:val="16"/>
                <w:szCs w:val="16"/>
              </w:rPr>
              <w:t>.</w:t>
            </w:r>
            <w:r w:rsidRPr="00C10568">
              <w:rPr>
                <w:rFonts w:cs="Arial"/>
                <w:sz w:val="16"/>
                <w:szCs w:val="16"/>
              </w:rPr>
              <w:t xml:space="preserve"> of new subdivisions introduced into the IPC per year</w:t>
            </w:r>
          </w:p>
        </w:tc>
        <w:tc>
          <w:tcPr>
            <w:tcW w:w="880" w:type="pct"/>
            <w:shd w:val="clear" w:color="auto" w:fill="FFFFFF"/>
            <w:tcMar>
              <w:top w:w="113" w:type="dxa"/>
              <w:bottom w:w="85" w:type="dxa"/>
            </w:tcMar>
          </w:tcPr>
          <w:p w:rsidR="00C2795A" w:rsidRDefault="00C2795A" w:rsidP="00547ACE">
            <w:pPr>
              <w:jc w:val="center"/>
              <w:rPr>
                <w:rFonts w:cs="Arial"/>
                <w:sz w:val="16"/>
                <w:szCs w:val="16"/>
                <w:lang w:bidi="th-TH"/>
              </w:rPr>
            </w:pPr>
            <w:r>
              <w:rPr>
                <w:rFonts w:cs="Arial"/>
                <w:sz w:val="16"/>
                <w:szCs w:val="16"/>
                <w:lang w:bidi="th-TH"/>
              </w:rPr>
              <w:t>Program 12</w:t>
            </w:r>
          </w:p>
        </w:tc>
        <w:tc>
          <w:tcPr>
            <w:tcW w:w="475" w:type="pct"/>
            <w:shd w:val="clear" w:color="auto" w:fill="FFFFFF"/>
          </w:tcPr>
          <w:p w:rsidR="00C2795A" w:rsidRPr="00CC3F44" w:rsidRDefault="00C2795A" w:rsidP="00547ACE">
            <w:pPr>
              <w:jc w:val="center"/>
              <w:rPr>
                <w:rFonts w:cs="Arial"/>
                <w:color w:val="A6A6A6" w:themeColor="background1" w:themeShade="A6"/>
                <w:sz w:val="22"/>
                <w:szCs w:val="22"/>
              </w:rPr>
            </w:pPr>
            <w:r w:rsidRPr="00CC3F44">
              <w:rPr>
                <w:rFonts w:cs="Arial"/>
                <w:color w:val="E26B0A"/>
                <w:sz w:val="22"/>
                <w:szCs w:val="22"/>
              </w:rPr>
              <w:sym w:font="Wingdings" w:char="F06C"/>
            </w:r>
            <w:r w:rsidRPr="00CC3F44">
              <w:rPr>
                <w:rFonts w:cs="Arial"/>
                <w:color w:val="008000"/>
                <w:sz w:val="22"/>
                <w:szCs w:val="22"/>
              </w:rPr>
              <w:sym w:font="Wingdings" w:char="F06C"/>
            </w:r>
          </w:p>
        </w:tc>
      </w:tr>
      <w:tr w:rsidR="00C2795A" w:rsidRPr="00AF5E7C" w:rsidTr="00547ACE">
        <w:trPr>
          <w:cantSplit/>
          <w:trHeight w:val="319"/>
        </w:trPr>
        <w:tc>
          <w:tcPr>
            <w:tcW w:w="1482" w:type="pct"/>
            <w:shd w:val="clear" w:color="auto" w:fill="auto"/>
            <w:tcMar>
              <w:top w:w="113" w:type="dxa"/>
              <w:bottom w:w="85" w:type="dxa"/>
            </w:tcMar>
          </w:tcPr>
          <w:p w:rsidR="00C2795A" w:rsidRPr="00AF5E7C" w:rsidRDefault="00C2795A" w:rsidP="00547ACE">
            <w:pPr>
              <w:rPr>
                <w:rFonts w:cs="Arial"/>
                <w:sz w:val="16"/>
                <w:szCs w:val="16"/>
              </w:rPr>
            </w:pPr>
          </w:p>
        </w:tc>
        <w:tc>
          <w:tcPr>
            <w:tcW w:w="2163" w:type="pct"/>
            <w:shd w:val="clear" w:color="auto" w:fill="auto"/>
            <w:tcMar>
              <w:top w:w="113" w:type="dxa"/>
              <w:bottom w:w="85" w:type="dxa"/>
            </w:tcMar>
          </w:tcPr>
          <w:p w:rsidR="00C2795A" w:rsidRPr="00C10568" w:rsidRDefault="00C2795A" w:rsidP="00547ACE">
            <w:pPr>
              <w:rPr>
                <w:rFonts w:cs="Arial"/>
                <w:sz w:val="16"/>
                <w:szCs w:val="16"/>
              </w:rPr>
            </w:pPr>
            <w:r w:rsidRPr="00C10568">
              <w:rPr>
                <w:rFonts w:cs="Arial"/>
                <w:sz w:val="16"/>
                <w:szCs w:val="16"/>
              </w:rPr>
              <w:t>No</w:t>
            </w:r>
            <w:r>
              <w:rPr>
                <w:rFonts w:cs="Arial"/>
                <w:sz w:val="16"/>
                <w:szCs w:val="16"/>
              </w:rPr>
              <w:t>.</w:t>
            </w:r>
            <w:r w:rsidRPr="00C10568">
              <w:rPr>
                <w:rFonts w:cs="Arial"/>
                <w:sz w:val="16"/>
                <w:szCs w:val="16"/>
              </w:rPr>
              <w:t xml:space="preserve"> of amended and new standards adopted</w:t>
            </w:r>
          </w:p>
        </w:tc>
        <w:tc>
          <w:tcPr>
            <w:tcW w:w="880" w:type="pct"/>
            <w:shd w:val="clear" w:color="auto" w:fill="FFFFFF"/>
            <w:tcMar>
              <w:top w:w="113" w:type="dxa"/>
              <w:bottom w:w="85" w:type="dxa"/>
            </w:tcMar>
          </w:tcPr>
          <w:p w:rsidR="00C2795A" w:rsidRPr="00AF5E7C" w:rsidRDefault="00C2795A" w:rsidP="00547ACE">
            <w:pPr>
              <w:jc w:val="center"/>
              <w:rPr>
                <w:rFonts w:cs="Arial"/>
                <w:sz w:val="16"/>
                <w:szCs w:val="16"/>
              </w:rPr>
            </w:pPr>
            <w:r>
              <w:rPr>
                <w:rFonts w:cs="Arial"/>
                <w:sz w:val="16"/>
                <w:szCs w:val="16"/>
                <w:lang w:bidi="th-TH"/>
              </w:rPr>
              <w:t>Program 12</w:t>
            </w:r>
          </w:p>
        </w:tc>
        <w:tc>
          <w:tcPr>
            <w:tcW w:w="475" w:type="pct"/>
            <w:shd w:val="clear" w:color="auto" w:fill="FFFFFF"/>
          </w:tcPr>
          <w:p w:rsidR="00C2795A" w:rsidRPr="00CC3F44" w:rsidRDefault="00C2795A" w:rsidP="00547ACE">
            <w:pPr>
              <w:jc w:val="center"/>
            </w:pPr>
            <w:r w:rsidRPr="00CC3F44">
              <w:rPr>
                <w:rFonts w:cs="Arial"/>
                <w:color w:val="E26B0A"/>
                <w:sz w:val="22"/>
                <w:szCs w:val="22"/>
              </w:rPr>
              <w:sym w:font="Wingdings" w:char="F06C"/>
            </w:r>
          </w:p>
        </w:tc>
      </w:tr>
      <w:tr w:rsidR="00C2795A" w:rsidRPr="00AF5E7C" w:rsidTr="00547ACE">
        <w:trPr>
          <w:cantSplit/>
          <w:trHeight w:val="616"/>
        </w:trPr>
        <w:tc>
          <w:tcPr>
            <w:tcW w:w="1482" w:type="pct"/>
            <w:shd w:val="clear" w:color="auto" w:fill="auto"/>
            <w:tcMar>
              <w:top w:w="113" w:type="dxa"/>
              <w:bottom w:w="85" w:type="dxa"/>
            </w:tcMar>
          </w:tcPr>
          <w:p w:rsidR="00C2795A" w:rsidRPr="00AF5E7C" w:rsidRDefault="00C2795A" w:rsidP="00547ACE">
            <w:pPr>
              <w:rPr>
                <w:rFonts w:cs="Arial"/>
                <w:sz w:val="16"/>
                <w:szCs w:val="16"/>
              </w:rPr>
            </w:pPr>
          </w:p>
        </w:tc>
        <w:tc>
          <w:tcPr>
            <w:tcW w:w="2163" w:type="pct"/>
            <w:shd w:val="clear" w:color="auto" w:fill="auto"/>
            <w:tcMar>
              <w:top w:w="113" w:type="dxa"/>
              <w:bottom w:w="85" w:type="dxa"/>
            </w:tcMar>
          </w:tcPr>
          <w:p w:rsidR="00C2795A" w:rsidRPr="00C10568" w:rsidRDefault="00C2795A" w:rsidP="00547ACE">
            <w:pPr>
              <w:rPr>
                <w:rFonts w:cs="Arial"/>
                <w:sz w:val="16"/>
                <w:szCs w:val="16"/>
              </w:rPr>
            </w:pPr>
            <w:r w:rsidRPr="00C10568">
              <w:rPr>
                <w:rFonts w:cs="Arial"/>
                <w:sz w:val="16"/>
                <w:szCs w:val="16"/>
              </w:rPr>
              <w:t>No</w:t>
            </w:r>
            <w:r>
              <w:rPr>
                <w:rFonts w:cs="Arial"/>
                <w:sz w:val="16"/>
                <w:szCs w:val="16"/>
              </w:rPr>
              <w:t>.</w:t>
            </w:r>
            <w:r w:rsidRPr="00C10568">
              <w:rPr>
                <w:rFonts w:cs="Arial"/>
                <w:sz w:val="16"/>
                <w:szCs w:val="16"/>
              </w:rPr>
              <w:t xml:space="preserve"> of users accessing the internet publications of international classifications and standards, in particular from developing countries</w:t>
            </w:r>
          </w:p>
        </w:tc>
        <w:tc>
          <w:tcPr>
            <w:tcW w:w="880" w:type="pct"/>
            <w:shd w:val="clear" w:color="auto" w:fill="FFFFFF"/>
            <w:tcMar>
              <w:top w:w="113" w:type="dxa"/>
              <w:bottom w:w="85" w:type="dxa"/>
            </w:tcMar>
          </w:tcPr>
          <w:p w:rsidR="00C2795A" w:rsidRPr="00AF5E7C" w:rsidRDefault="00C2795A" w:rsidP="00547ACE">
            <w:pPr>
              <w:jc w:val="center"/>
              <w:rPr>
                <w:rFonts w:cs="Arial"/>
                <w:sz w:val="16"/>
                <w:szCs w:val="16"/>
              </w:rPr>
            </w:pPr>
            <w:r>
              <w:rPr>
                <w:rFonts w:cs="Arial"/>
                <w:sz w:val="16"/>
                <w:szCs w:val="16"/>
                <w:lang w:bidi="th-TH"/>
              </w:rPr>
              <w:t>Program 12</w:t>
            </w:r>
          </w:p>
        </w:tc>
        <w:tc>
          <w:tcPr>
            <w:tcW w:w="475" w:type="pct"/>
            <w:shd w:val="clear" w:color="auto" w:fill="FFFFFF"/>
          </w:tcPr>
          <w:p w:rsidR="00C2795A" w:rsidRPr="00CC3F44" w:rsidRDefault="00C2795A" w:rsidP="00547ACE">
            <w:pPr>
              <w:jc w:val="center"/>
              <w:rPr>
                <w:rFonts w:cs="Arial"/>
                <w:color w:val="A6A6A6" w:themeColor="background1" w:themeShade="A6"/>
                <w:sz w:val="22"/>
                <w:szCs w:val="22"/>
              </w:rPr>
            </w:pPr>
            <w:r w:rsidRPr="00CC3F44">
              <w:rPr>
                <w:rFonts w:cs="Arial"/>
                <w:color w:val="FF0000"/>
                <w:sz w:val="22"/>
                <w:szCs w:val="22"/>
              </w:rPr>
              <w:sym w:font="Wingdings" w:char="F06C"/>
            </w:r>
            <w:r w:rsidRPr="00CC3F44">
              <w:rPr>
                <w:rFonts w:cs="Arial"/>
                <w:color w:val="008000"/>
                <w:sz w:val="22"/>
                <w:szCs w:val="22"/>
              </w:rPr>
              <w:sym w:font="Wingdings" w:char="F06C"/>
            </w:r>
            <w:r w:rsidRPr="00CC3F44">
              <w:rPr>
                <w:rFonts w:cs="Arial"/>
                <w:color w:val="E26B0A"/>
                <w:sz w:val="22"/>
                <w:szCs w:val="22"/>
              </w:rPr>
              <w:sym w:font="Wingdings" w:char="F06C"/>
            </w:r>
            <w:r w:rsidRPr="00CC3F44">
              <w:rPr>
                <w:rFonts w:cs="Arial"/>
                <w:color w:val="008000"/>
                <w:sz w:val="22"/>
                <w:szCs w:val="22"/>
              </w:rPr>
              <w:sym w:font="Wingdings" w:char="F06C"/>
            </w:r>
          </w:p>
          <w:p w:rsidR="00C2795A" w:rsidRPr="00CC3F44" w:rsidRDefault="00C2795A" w:rsidP="00547ACE">
            <w:pPr>
              <w:jc w:val="center"/>
            </w:pPr>
            <w:r w:rsidRPr="00CC3F44">
              <w:rPr>
                <w:rFonts w:cs="Arial"/>
                <w:color w:val="008000"/>
                <w:sz w:val="22"/>
                <w:szCs w:val="22"/>
              </w:rPr>
              <w:sym w:font="Wingdings" w:char="F06C"/>
            </w:r>
            <w:r w:rsidRPr="00CC3F44">
              <w:rPr>
                <w:rFonts w:cs="Arial"/>
                <w:color w:val="008000"/>
                <w:sz w:val="22"/>
                <w:szCs w:val="22"/>
              </w:rPr>
              <w:sym w:font="Wingdings" w:char="F06C"/>
            </w:r>
            <w:r w:rsidRPr="00CC3F44">
              <w:rPr>
                <w:rFonts w:cs="Arial"/>
                <w:color w:val="FF0000"/>
                <w:sz w:val="22"/>
                <w:szCs w:val="22"/>
              </w:rPr>
              <w:sym w:font="Wingdings" w:char="F06C"/>
            </w:r>
          </w:p>
        </w:tc>
      </w:tr>
      <w:tr w:rsidR="00C2795A" w:rsidRPr="00AF5E7C" w:rsidTr="00547ACE">
        <w:trPr>
          <w:cantSplit/>
          <w:trHeight w:val="607"/>
        </w:trPr>
        <w:tc>
          <w:tcPr>
            <w:tcW w:w="1482" w:type="pct"/>
            <w:vMerge w:val="restart"/>
            <w:shd w:val="clear" w:color="auto" w:fill="auto"/>
            <w:tcMar>
              <w:top w:w="113" w:type="dxa"/>
              <w:bottom w:w="85" w:type="dxa"/>
            </w:tcMar>
          </w:tcPr>
          <w:p w:rsidR="00C2795A" w:rsidRPr="00C628EB" w:rsidRDefault="00C2795A" w:rsidP="00547ACE">
            <w:pPr>
              <w:rPr>
                <w:rFonts w:cs="Arial"/>
                <w:sz w:val="16"/>
                <w:szCs w:val="16"/>
              </w:rPr>
            </w:pPr>
            <w:r w:rsidRPr="00C628EB">
              <w:rPr>
                <w:rFonts w:cs="Arial"/>
                <w:sz w:val="16"/>
                <w:szCs w:val="16"/>
              </w:rPr>
              <w:t>IV.2</w:t>
            </w:r>
            <w:r>
              <w:rPr>
                <w:rFonts w:cs="Arial"/>
                <w:sz w:val="16"/>
                <w:szCs w:val="16"/>
              </w:rPr>
              <w:t xml:space="preserve">  </w:t>
            </w:r>
            <w:r w:rsidRPr="00AF42DF">
              <w:rPr>
                <w:rFonts w:cs="Arial"/>
                <w:sz w:val="16"/>
                <w:szCs w:val="16"/>
              </w:rPr>
              <w:t>Enhanced access to, and use of, IP information by IP institutions and the public to promote innovation and creativity</w:t>
            </w:r>
          </w:p>
        </w:tc>
        <w:tc>
          <w:tcPr>
            <w:tcW w:w="2163" w:type="pct"/>
            <w:shd w:val="clear" w:color="auto" w:fill="auto"/>
            <w:tcMar>
              <w:top w:w="113" w:type="dxa"/>
              <w:bottom w:w="85" w:type="dxa"/>
            </w:tcMar>
          </w:tcPr>
          <w:p w:rsidR="00C2795A" w:rsidRPr="00C628EB" w:rsidRDefault="00C2795A" w:rsidP="00547ACE">
            <w:pPr>
              <w:rPr>
                <w:rFonts w:cs="Arial"/>
                <w:sz w:val="16"/>
                <w:szCs w:val="16"/>
              </w:rPr>
            </w:pPr>
            <w:r w:rsidRPr="00C628EB">
              <w:rPr>
                <w:rFonts w:cs="Arial"/>
                <w:sz w:val="16"/>
                <w:szCs w:val="16"/>
              </w:rPr>
              <w:t>N</w:t>
            </w:r>
            <w:r>
              <w:rPr>
                <w:rFonts w:cs="Arial"/>
                <w:sz w:val="16"/>
                <w:szCs w:val="16"/>
              </w:rPr>
              <w:t>o.</w:t>
            </w:r>
            <w:r w:rsidRPr="00C628EB">
              <w:rPr>
                <w:rFonts w:cs="Arial"/>
                <w:sz w:val="16"/>
                <w:szCs w:val="16"/>
              </w:rPr>
              <w:t xml:space="preserve"> of trusted intermediaries (TIs) and rights holders (RHs) having joined the TIGAR system network, including from developing countries and LDCs</w:t>
            </w:r>
          </w:p>
        </w:tc>
        <w:tc>
          <w:tcPr>
            <w:tcW w:w="880" w:type="pct"/>
            <w:shd w:val="clear" w:color="auto" w:fill="FFFFFF"/>
            <w:tcMar>
              <w:top w:w="113" w:type="dxa"/>
              <w:bottom w:w="85" w:type="dxa"/>
            </w:tcMar>
          </w:tcPr>
          <w:p w:rsidR="00C2795A" w:rsidRPr="00AF5E7C" w:rsidRDefault="00C2795A" w:rsidP="00547ACE">
            <w:pPr>
              <w:jc w:val="center"/>
              <w:rPr>
                <w:rFonts w:cs="Arial"/>
                <w:sz w:val="16"/>
                <w:szCs w:val="16"/>
                <w:lang w:bidi="th-TH"/>
              </w:rPr>
            </w:pPr>
            <w:r>
              <w:rPr>
                <w:rFonts w:cs="Arial"/>
                <w:sz w:val="16"/>
                <w:szCs w:val="16"/>
                <w:lang w:bidi="th-TH"/>
              </w:rPr>
              <w:t>Program 3</w:t>
            </w:r>
          </w:p>
        </w:tc>
        <w:tc>
          <w:tcPr>
            <w:tcW w:w="475" w:type="pct"/>
            <w:shd w:val="clear" w:color="auto" w:fill="FFFFFF"/>
          </w:tcPr>
          <w:p w:rsidR="00C2795A" w:rsidRPr="00CC3F44" w:rsidRDefault="00C2795A" w:rsidP="00547ACE">
            <w:pPr>
              <w:jc w:val="center"/>
            </w:pPr>
            <w:r w:rsidRPr="00CC3F44">
              <w:rPr>
                <w:rFonts w:cs="Arial"/>
                <w:sz w:val="22"/>
                <w:szCs w:val="22"/>
              </w:rPr>
              <w:sym w:font="Wingdings" w:char="F06C"/>
            </w:r>
          </w:p>
        </w:tc>
      </w:tr>
      <w:tr w:rsidR="00C2795A" w:rsidRPr="00AF5E7C" w:rsidTr="00547ACE">
        <w:trPr>
          <w:cantSplit/>
          <w:trHeight w:val="616"/>
        </w:trPr>
        <w:tc>
          <w:tcPr>
            <w:tcW w:w="1482" w:type="pct"/>
            <w:vMerge/>
            <w:shd w:val="clear" w:color="auto" w:fill="auto"/>
            <w:tcMar>
              <w:top w:w="113" w:type="dxa"/>
              <w:bottom w:w="85" w:type="dxa"/>
            </w:tcMar>
          </w:tcPr>
          <w:p w:rsidR="00C2795A" w:rsidRPr="00AF5E7C" w:rsidRDefault="00C2795A" w:rsidP="00547ACE">
            <w:pPr>
              <w:rPr>
                <w:rFonts w:cs="Arial"/>
                <w:sz w:val="16"/>
                <w:szCs w:val="16"/>
              </w:rPr>
            </w:pPr>
          </w:p>
        </w:tc>
        <w:tc>
          <w:tcPr>
            <w:tcW w:w="2163" w:type="pct"/>
            <w:shd w:val="clear" w:color="auto" w:fill="auto"/>
            <w:tcMar>
              <w:top w:w="113" w:type="dxa"/>
              <w:bottom w:w="85" w:type="dxa"/>
            </w:tcMar>
          </w:tcPr>
          <w:p w:rsidR="00C2795A" w:rsidRPr="00C628EB" w:rsidRDefault="00C2795A" w:rsidP="00547ACE">
            <w:pPr>
              <w:rPr>
                <w:rFonts w:cs="Arial"/>
                <w:sz w:val="16"/>
                <w:szCs w:val="16"/>
              </w:rPr>
            </w:pPr>
            <w:r w:rsidRPr="00C628EB">
              <w:rPr>
                <w:rFonts w:cs="Arial"/>
                <w:sz w:val="16"/>
                <w:szCs w:val="16"/>
              </w:rPr>
              <w:t>N</w:t>
            </w:r>
            <w:r>
              <w:rPr>
                <w:rFonts w:cs="Arial"/>
                <w:sz w:val="16"/>
                <w:szCs w:val="16"/>
              </w:rPr>
              <w:t>o.</w:t>
            </w:r>
            <w:r w:rsidRPr="00C628EB">
              <w:rPr>
                <w:rFonts w:cs="Arial"/>
                <w:sz w:val="16"/>
                <w:szCs w:val="16"/>
              </w:rPr>
              <w:t xml:space="preserve"> of copyright protected works distributed among TIs and made accessible to VIPs across borders through the TIGAR system network</w:t>
            </w:r>
          </w:p>
        </w:tc>
        <w:tc>
          <w:tcPr>
            <w:tcW w:w="880" w:type="pct"/>
            <w:shd w:val="clear" w:color="auto" w:fill="FFFFFF"/>
            <w:tcMar>
              <w:top w:w="113" w:type="dxa"/>
              <w:bottom w:w="85" w:type="dxa"/>
            </w:tcMar>
          </w:tcPr>
          <w:p w:rsidR="00C2795A" w:rsidRPr="00AF5E7C" w:rsidRDefault="00C2795A" w:rsidP="00547ACE">
            <w:pPr>
              <w:jc w:val="center"/>
              <w:rPr>
                <w:rFonts w:cs="Arial"/>
                <w:sz w:val="16"/>
                <w:szCs w:val="16"/>
                <w:lang w:bidi="th-TH"/>
              </w:rPr>
            </w:pPr>
            <w:r>
              <w:rPr>
                <w:rFonts w:cs="Arial"/>
                <w:sz w:val="16"/>
                <w:szCs w:val="16"/>
                <w:lang w:bidi="th-TH"/>
              </w:rPr>
              <w:t>Program 3</w:t>
            </w:r>
          </w:p>
        </w:tc>
        <w:tc>
          <w:tcPr>
            <w:tcW w:w="475" w:type="pct"/>
            <w:shd w:val="clear" w:color="auto" w:fill="FFFFFF"/>
          </w:tcPr>
          <w:p w:rsidR="00C2795A" w:rsidRPr="00CC3F44" w:rsidRDefault="00C2795A" w:rsidP="00547ACE">
            <w:pPr>
              <w:spacing w:before="40"/>
              <w:jc w:val="center"/>
            </w:pPr>
            <w:r w:rsidRPr="00CC3F44">
              <w:rPr>
                <w:rFonts w:cs="Arial"/>
                <w:color w:val="008000"/>
                <w:sz w:val="22"/>
                <w:szCs w:val="22"/>
              </w:rPr>
              <w:sym w:font="Wingdings" w:char="F06C"/>
            </w:r>
          </w:p>
        </w:tc>
      </w:tr>
      <w:tr w:rsidR="00C2795A" w:rsidRPr="00AF5E7C" w:rsidTr="00547ACE">
        <w:trPr>
          <w:cantSplit/>
          <w:trHeight w:val="436"/>
        </w:trPr>
        <w:tc>
          <w:tcPr>
            <w:tcW w:w="1482" w:type="pct"/>
            <w:shd w:val="clear" w:color="auto" w:fill="auto"/>
            <w:tcMar>
              <w:top w:w="113" w:type="dxa"/>
              <w:bottom w:w="85" w:type="dxa"/>
            </w:tcMar>
          </w:tcPr>
          <w:p w:rsidR="00C2795A" w:rsidRPr="00AF5E7C" w:rsidRDefault="00C2795A" w:rsidP="00547ACE">
            <w:pPr>
              <w:rPr>
                <w:rFonts w:cs="Arial"/>
                <w:sz w:val="16"/>
                <w:szCs w:val="16"/>
              </w:rPr>
            </w:pPr>
          </w:p>
        </w:tc>
        <w:tc>
          <w:tcPr>
            <w:tcW w:w="2163" w:type="pct"/>
            <w:shd w:val="clear" w:color="auto" w:fill="auto"/>
            <w:tcMar>
              <w:top w:w="113" w:type="dxa"/>
              <w:bottom w:w="85" w:type="dxa"/>
            </w:tcMar>
          </w:tcPr>
          <w:p w:rsidR="00C2795A" w:rsidRPr="00C628EB" w:rsidRDefault="00C2795A" w:rsidP="00547ACE">
            <w:pPr>
              <w:rPr>
                <w:rFonts w:cs="Arial"/>
                <w:sz w:val="16"/>
                <w:szCs w:val="16"/>
              </w:rPr>
            </w:pPr>
            <w:r w:rsidRPr="00C628EB">
              <w:rPr>
                <w:rFonts w:cs="Arial"/>
                <w:sz w:val="16"/>
                <w:szCs w:val="16"/>
              </w:rPr>
              <w:t>% of individuals satisfied with the capacity building support on copyright infrastructure</w:t>
            </w:r>
          </w:p>
        </w:tc>
        <w:tc>
          <w:tcPr>
            <w:tcW w:w="880" w:type="pct"/>
            <w:shd w:val="clear" w:color="auto" w:fill="FFFFFF"/>
            <w:tcMar>
              <w:top w:w="113" w:type="dxa"/>
              <w:bottom w:w="85" w:type="dxa"/>
            </w:tcMar>
          </w:tcPr>
          <w:p w:rsidR="00C2795A" w:rsidRPr="00AF5E7C" w:rsidRDefault="00C2795A" w:rsidP="00547ACE">
            <w:pPr>
              <w:jc w:val="center"/>
              <w:rPr>
                <w:rFonts w:cs="Arial"/>
                <w:sz w:val="16"/>
                <w:szCs w:val="16"/>
                <w:lang w:bidi="th-TH"/>
              </w:rPr>
            </w:pPr>
            <w:r>
              <w:rPr>
                <w:rFonts w:cs="Arial"/>
                <w:sz w:val="16"/>
                <w:szCs w:val="16"/>
                <w:lang w:bidi="th-TH"/>
              </w:rPr>
              <w:t>Program 3</w:t>
            </w:r>
          </w:p>
        </w:tc>
        <w:tc>
          <w:tcPr>
            <w:tcW w:w="475" w:type="pct"/>
            <w:shd w:val="clear" w:color="auto" w:fill="FFFFFF"/>
          </w:tcPr>
          <w:p w:rsidR="00C2795A" w:rsidRPr="00CC3F44" w:rsidRDefault="00C2795A" w:rsidP="00547ACE">
            <w:pPr>
              <w:spacing w:before="40"/>
              <w:jc w:val="center"/>
            </w:pPr>
            <w:r w:rsidRPr="00CC3F44">
              <w:rPr>
                <w:rFonts w:cs="Arial"/>
                <w:color w:val="008000"/>
                <w:sz w:val="22"/>
                <w:szCs w:val="22"/>
              </w:rPr>
              <w:sym w:font="Wingdings" w:char="F06C"/>
            </w:r>
          </w:p>
        </w:tc>
      </w:tr>
      <w:tr w:rsidR="00C2795A" w:rsidRPr="00AF5E7C" w:rsidTr="00547ACE">
        <w:trPr>
          <w:cantSplit/>
          <w:trHeight w:val="154"/>
        </w:trPr>
        <w:tc>
          <w:tcPr>
            <w:tcW w:w="1482" w:type="pct"/>
            <w:shd w:val="clear" w:color="auto" w:fill="auto"/>
            <w:tcMar>
              <w:top w:w="113" w:type="dxa"/>
              <w:bottom w:w="85" w:type="dxa"/>
            </w:tcMar>
          </w:tcPr>
          <w:p w:rsidR="00C2795A" w:rsidRPr="00AF5E7C" w:rsidRDefault="00C2795A" w:rsidP="00547ACE">
            <w:pPr>
              <w:rPr>
                <w:rFonts w:cs="Arial"/>
                <w:sz w:val="16"/>
                <w:szCs w:val="16"/>
              </w:rPr>
            </w:pPr>
          </w:p>
        </w:tc>
        <w:tc>
          <w:tcPr>
            <w:tcW w:w="2163" w:type="pct"/>
            <w:shd w:val="clear" w:color="auto" w:fill="auto"/>
            <w:tcMar>
              <w:top w:w="113" w:type="dxa"/>
              <w:bottom w:w="85" w:type="dxa"/>
            </w:tcMar>
          </w:tcPr>
          <w:p w:rsidR="00C2795A" w:rsidRPr="00B004F2" w:rsidRDefault="00C2795A" w:rsidP="00547ACE">
            <w:pPr>
              <w:rPr>
                <w:rFonts w:cs="Arial"/>
                <w:sz w:val="16"/>
                <w:szCs w:val="16"/>
              </w:rPr>
            </w:pPr>
            <w:r w:rsidRPr="00B004F2">
              <w:rPr>
                <w:rFonts w:cs="Arial"/>
                <w:sz w:val="16"/>
                <w:szCs w:val="16"/>
              </w:rPr>
              <w:t>N</w:t>
            </w:r>
            <w:r>
              <w:rPr>
                <w:rFonts w:cs="Arial"/>
                <w:sz w:val="16"/>
                <w:szCs w:val="16"/>
              </w:rPr>
              <w:t>o.</w:t>
            </w:r>
            <w:r w:rsidRPr="00B004F2">
              <w:rPr>
                <w:rFonts w:cs="Arial"/>
                <w:sz w:val="16"/>
                <w:szCs w:val="16"/>
              </w:rPr>
              <w:t xml:space="preserve"> of institutions using GDA</w:t>
            </w:r>
          </w:p>
        </w:tc>
        <w:tc>
          <w:tcPr>
            <w:tcW w:w="880" w:type="pct"/>
            <w:shd w:val="clear" w:color="auto" w:fill="FFFFFF"/>
            <w:tcMar>
              <w:top w:w="113" w:type="dxa"/>
              <w:bottom w:w="85" w:type="dxa"/>
            </w:tcMar>
          </w:tcPr>
          <w:p w:rsidR="00C2795A" w:rsidRPr="00AF5E7C" w:rsidRDefault="00C2795A" w:rsidP="00547ACE">
            <w:pPr>
              <w:jc w:val="center"/>
              <w:rPr>
                <w:rFonts w:cs="Arial"/>
                <w:sz w:val="16"/>
                <w:szCs w:val="16"/>
                <w:lang w:bidi="th-TH"/>
              </w:rPr>
            </w:pPr>
            <w:r>
              <w:rPr>
                <w:rFonts w:cs="Arial"/>
                <w:sz w:val="16"/>
                <w:szCs w:val="16"/>
                <w:lang w:bidi="th-TH"/>
              </w:rPr>
              <w:t>Program 3</w:t>
            </w:r>
          </w:p>
        </w:tc>
        <w:tc>
          <w:tcPr>
            <w:tcW w:w="475" w:type="pct"/>
            <w:shd w:val="clear" w:color="auto" w:fill="FFFFFF"/>
          </w:tcPr>
          <w:p w:rsidR="00C2795A" w:rsidRPr="00CC3F44" w:rsidRDefault="00C2795A" w:rsidP="00547ACE">
            <w:pPr>
              <w:jc w:val="center"/>
            </w:pPr>
            <w:r w:rsidRPr="00CC3F44">
              <w:rPr>
                <w:rFonts w:cs="Arial"/>
                <w:sz w:val="22"/>
                <w:szCs w:val="22"/>
              </w:rPr>
              <w:sym w:font="Wingdings" w:char="F06C"/>
            </w:r>
          </w:p>
        </w:tc>
      </w:tr>
      <w:tr w:rsidR="00C2795A" w:rsidRPr="00AF5E7C" w:rsidTr="00547ACE">
        <w:trPr>
          <w:cantSplit/>
          <w:trHeight w:val="496"/>
        </w:trPr>
        <w:tc>
          <w:tcPr>
            <w:tcW w:w="1482" w:type="pct"/>
            <w:shd w:val="clear" w:color="auto" w:fill="auto"/>
            <w:tcMar>
              <w:top w:w="113" w:type="dxa"/>
              <w:bottom w:w="85" w:type="dxa"/>
            </w:tcMar>
          </w:tcPr>
          <w:p w:rsidR="00C2795A" w:rsidRPr="00AF5E7C" w:rsidRDefault="00C2795A" w:rsidP="00547ACE">
            <w:pPr>
              <w:rPr>
                <w:rFonts w:cs="Arial"/>
                <w:sz w:val="16"/>
                <w:szCs w:val="16"/>
              </w:rPr>
            </w:pPr>
          </w:p>
        </w:tc>
        <w:tc>
          <w:tcPr>
            <w:tcW w:w="2163" w:type="pct"/>
            <w:shd w:val="clear" w:color="auto" w:fill="auto"/>
            <w:tcMar>
              <w:top w:w="113" w:type="dxa"/>
              <w:bottom w:w="85" w:type="dxa"/>
            </w:tcMar>
          </w:tcPr>
          <w:p w:rsidR="00C2795A" w:rsidRPr="00B004F2" w:rsidRDefault="00C2795A" w:rsidP="00547ACE">
            <w:pPr>
              <w:rPr>
                <w:rFonts w:cs="Arial"/>
                <w:sz w:val="16"/>
                <w:szCs w:val="16"/>
              </w:rPr>
            </w:pPr>
            <w:r w:rsidRPr="00B004F2">
              <w:rPr>
                <w:rFonts w:cs="Arial"/>
                <w:sz w:val="16"/>
                <w:szCs w:val="16"/>
              </w:rPr>
              <w:t>Use of the WIPO Collective Management Reference Database</w:t>
            </w:r>
          </w:p>
        </w:tc>
        <w:tc>
          <w:tcPr>
            <w:tcW w:w="880" w:type="pct"/>
            <w:shd w:val="clear" w:color="auto" w:fill="FFFFFF"/>
            <w:tcMar>
              <w:top w:w="113" w:type="dxa"/>
              <w:bottom w:w="85" w:type="dxa"/>
            </w:tcMar>
          </w:tcPr>
          <w:p w:rsidR="00C2795A" w:rsidRPr="00AF5E7C" w:rsidRDefault="00C2795A" w:rsidP="00547ACE">
            <w:pPr>
              <w:jc w:val="center"/>
              <w:rPr>
                <w:rFonts w:cs="Arial"/>
                <w:sz w:val="16"/>
                <w:szCs w:val="16"/>
                <w:lang w:bidi="th-TH"/>
              </w:rPr>
            </w:pPr>
            <w:r>
              <w:rPr>
                <w:rFonts w:cs="Arial"/>
                <w:sz w:val="16"/>
                <w:szCs w:val="16"/>
                <w:lang w:bidi="th-TH"/>
              </w:rPr>
              <w:t>Program 3</w:t>
            </w:r>
          </w:p>
        </w:tc>
        <w:tc>
          <w:tcPr>
            <w:tcW w:w="475" w:type="pct"/>
            <w:shd w:val="clear" w:color="auto" w:fill="FFFFFF"/>
          </w:tcPr>
          <w:p w:rsidR="00C2795A" w:rsidRPr="00CC3F44" w:rsidRDefault="00C2795A" w:rsidP="00547ACE">
            <w:pPr>
              <w:spacing w:before="40"/>
              <w:jc w:val="center"/>
            </w:pPr>
            <w:r w:rsidRPr="00CC3F44">
              <w:rPr>
                <w:rFonts w:cs="Arial"/>
                <w:color w:val="008000"/>
                <w:sz w:val="22"/>
                <w:szCs w:val="22"/>
              </w:rPr>
              <w:sym w:font="Wingdings" w:char="F06C"/>
            </w:r>
          </w:p>
        </w:tc>
      </w:tr>
      <w:tr w:rsidR="00C2795A" w:rsidRPr="00AF5E7C" w:rsidTr="00547ACE">
        <w:trPr>
          <w:cantSplit/>
          <w:trHeight w:val="868"/>
        </w:trPr>
        <w:tc>
          <w:tcPr>
            <w:tcW w:w="1482" w:type="pct"/>
            <w:shd w:val="clear" w:color="auto" w:fill="auto"/>
            <w:tcMar>
              <w:top w:w="113" w:type="dxa"/>
              <w:bottom w:w="85" w:type="dxa"/>
            </w:tcMar>
          </w:tcPr>
          <w:p w:rsidR="00C2795A" w:rsidRPr="00AF5E7C" w:rsidRDefault="00C2795A" w:rsidP="00547ACE">
            <w:pPr>
              <w:rPr>
                <w:rFonts w:cs="Arial"/>
                <w:sz w:val="16"/>
                <w:szCs w:val="16"/>
              </w:rPr>
            </w:pPr>
          </w:p>
        </w:tc>
        <w:tc>
          <w:tcPr>
            <w:tcW w:w="2163" w:type="pct"/>
            <w:shd w:val="clear" w:color="auto" w:fill="auto"/>
            <w:tcMar>
              <w:top w:w="113" w:type="dxa"/>
              <w:bottom w:w="85" w:type="dxa"/>
            </w:tcMar>
          </w:tcPr>
          <w:p w:rsidR="00C2795A" w:rsidRPr="007C1AA9" w:rsidRDefault="00C2795A" w:rsidP="00547ACE">
            <w:pPr>
              <w:rPr>
                <w:rFonts w:cs="Arial"/>
                <w:sz w:val="16"/>
                <w:szCs w:val="16"/>
              </w:rPr>
            </w:pPr>
            <w:r w:rsidRPr="007C1AA9">
              <w:rPr>
                <w:rFonts w:cs="Arial"/>
                <w:sz w:val="16"/>
                <w:szCs w:val="16"/>
              </w:rPr>
              <w:t>N</w:t>
            </w:r>
            <w:r>
              <w:rPr>
                <w:rFonts w:cs="Arial"/>
                <w:sz w:val="16"/>
                <w:szCs w:val="16"/>
              </w:rPr>
              <w:t>o.</w:t>
            </w:r>
            <w:r w:rsidRPr="007C1AA9">
              <w:rPr>
                <w:rFonts w:cs="Arial"/>
                <w:sz w:val="16"/>
                <w:szCs w:val="16"/>
              </w:rPr>
              <w:t xml:space="preserve"> of legal instruments, guidelines, statements of principles other than Treaties agreed to or endorsed by the stakeholders concerned in areas such as IP and Sports and Copyright in the Digital Environment</w:t>
            </w:r>
          </w:p>
        </w:tc>
        <w:tc>
          <w:tcPr>
            <w:tcW w:w="880" w:type="pct"/>
            <w:shd w:val="clear" w:color="auto" w:fill="FFFFFF"/>
            <w:tcMar>
              <w:top w:w="113" w:type="dxa"/>
              <w:bottom w:w="85" w:type="dxa"/>
            </w:tcMar>
          </w:tcPr>
          <w:p w:rsidR="00C2795A" w:rsidRPr="00AF5E7C" w:rsidRDefault="00C2795A" w:rsidP="00547ACE">
            <w:pPr>
              <w:jc w:val="center"/>
              <w:rPr>
                <w:rFonts w:cs="Arial"/>
                <w:sz w:val="16"/>
                <w:szCs w:val="16"/>
                <w:lang w:bidi="th-TH"/>
              </w:rPr>
            </w:pPr>
            <w:r>
              <w:rPr>
                <w:rFonts w:cs="Arial"/>
                <w:sz w:val="16"/>
                <w:szCs w:val="16"/>
                <w:lang w:bidi="th-TH"/>
              </w:rPr>
              <w:t>Program 3</w:t>
            </w:r>
          </w:p>
        </w:tc>
        <w:tc>
          <w:tcPr>
            <w:tcW w:w="475" w:type="pct"/>
            <w:shd w:val="clear" w:color="auto" w:fill="FFFFFF"/>
          </w:tcPr>
          <w:p w:rsidR="00C2795A" w:rsidRPr="00CC3F44" w:rsidRDefault="00C2795A" w:rsidP="00547ACE">
            <w:pPr>
              <w:spacing w:before="40"/>
              <w:jc w:val="center"/>
            </w:pPr>
            <w:r w:rsidRPr="00CC3F44">
              <w:rPr>
                <w:rFonts w:cs="Arial"/>
                <w:color w:val="008000"/>
                <w:sz w:val="22"/>
                <w:szCs w:val="22"/>
              </w:rPr>
              <w:sym w:font="Wingdings" w:char="F06C"/>
            </w:r>
          </w:p>
        </w:tc>
      </w:tr>
      <w:tr w:rsidR="00C2795A" w:rsidRPr="00AF5E7C" w:rsidTr="00547ACE">
        <w:trPr>
          <w:cantSplit/>
          <w:trHeight w:val="144"/>
        </w:trPr>
        <w:tc>
          <w:tcPr>
            <w:tcW w:w="1482" w:type="pct"/>
            <w:vMerge w:val="restart"/>
            <w:shd w:val="clear" w:color="auto" w:fill="auto"/>
            <w:tcMar>
              <w:top w:w="113" w:type="dxa"/>
              <w:bottom w:w="85" w:type="dxa"/>
            </w:tcMar>
          </w:tcPr>
          <w:p w:rsidR="00C2795A" w:rsidRPr="00AF5E7C" w:rsidRDefault="00C2795A" w:rsidP="00547ACE">
            <w:pPr>
              <w:rPr>
                <w:rFonts w:cs="Arial"/>
                <w:sz w:val="16"/>
                <w:szCs w:val="16"/>
              </w:rPr>
            </w:pPr>
          </w:p>
        </w:tc>
        <w:tc>
          <w:tcPr>
            <w:tcW w:w="2163" w:type="pct"/>
            <w:vMerge w:val="restart"/>
            <w:shd w:val="clear" w:color="auto" w:fill="auto"/>
            <w:tcMar>
              <w:top w:w="113" w:type="dxa"/>
              <w:bottom w:w="85" w:type="dxa"/>
            </w:tcMar>
          </w:tcPr>
          <w:p w:rsidR="00C2795A" w:rsidRDefault="00C2795A" w:rsidP="00547ACE">
            <w:pPr>
              <w:rPr>
                <w:rFonts w:cs="Arial"/>
                <w:sz w:val="16"/>
                <w:szCs w:val="16"/>
              </w:rPr>
            </w:pPr>
            <w:r>
              <w:rPr>
                <w:rFonts w:cs="Arial"/>
                <w:sz w:val="16"/>
                <w:szCs w:val="16"/>
              </w:rPr>
              <w:t>Average number of users serviced by TISCs per quarter and country</w:t>
            </w:r>
          </w:p>
          <w:p w:rsidR="00C2795A" w:rsidRDefault="00C2795A" w:rsidP="00547ACE">
            <w:pPr>
              <w:rPr>
                <w:rFonts w:cs="Arial"/>
                <w:sz w:val="16"/>
                <w:szCs w:val="16"/>
              </w:rPr>
            </w:pPr>
          </w:p>
          <w:p w:rsidR="00C2795A" w:rsidRPr="00256003" w:rsidRDefault="00C2795A" w:rsidP="00547ACE">
            <w:pPr>
              <w:rPr>
                <w:rFonts w:cs="Arial"/>
                <w:sz w:val="16"/>
                <w:szCs w:val="16"/>
              </w:rPr>
            </w:pPr>
          </w:p>
        </w:tc>
        <w:tc>
          <w:tcPr>
            <w:tcW w:w="880" w:type="pct"/>
            <w:shd w:val="clear" w:color="auto" w:fill="FFFFFF"/>
            <w:tcMar>
              <w:top w:w="113" w:type="dxa"/>
              <w:bottom w:w="85" w:type="dxa"/>
            </w:tcMar>
          </w:tcPr>
          <w:p w:rsidR="00C2795A" w:rsidRPr="00AF5E7C" w:rsidRDefault="00C2795A" w:rsidP="00547ACE">
            <w:pPr>
              <w:jc w:val="center"/>
              <w:rPr>
                <w:rFonts w:cs="Arial"/>
                <w:sz w:val="16"/>
                <w:szCs w:val="16"/>
                <w:lang w:bidi="th-TH"/>
              </w:rPr>
            </w:pPr>
            <w:r>
              <w:rPr>
                <w:rFonts w:cs="Arial"/>
                <w:sz w:val="16"/>
                <w:szCs w:val="16"/>
                <w:lang w:bidi="th-TH"/>
              </w:rPr>
              <w:t>Program 9</w:t>
            </w:r>
          </w:p>
        </w:tc>
        <w:tc>
          <w:tcPr>
            <w:tcW w:w="475" w:type="pct"/>
            <w:shd w:val="clear" w:color="auto" w:fill="FFFFFF"/>
          </w:tcPr>
          <w:p w:rsidR="00C2795A" w:rsidRPr="00CC3F44" w:rsidRDefault="00C2795A" w:rsidP="00547ACE">
            <w:pPr>
              <w:spacing w:before="40"/>
              <w:jc w:val="center"/>
              <w:rPr>
                <w:rFonts w:cs="Arial"/>
                <w:color w:val="008000"/>
                <w:sz w:val="22"/>
                <w:szCs w:val="22"/>
              </w:rPr>
            </w:pPr>
            <w:r w:rsidRPr="00CC3F44">
              <w:rPr>
                <w:rFonts w:cs="Arial"/>
                <w:color w:val="008000"/>
                <w:sz w:val="22"/>
                <w:szCs w:val="22"/>
              </w:rPr>
              <w:sym w:font="Wingdings" w:char="F06C"/>
            </w:r>
          </w:p>
        </w:tc>
      </w:tr>
      <w:tr w:rsidR="00C2795A" w:rsidRPr="00AF5E7C" w:rsidTr="00547ACE">
        <w:trPr>
          <w:cantSplit/>
          <w:trHeight w:val="144"/>
        </w:trPr>
        <w:tc>
          <w:tcPr>
            <w:tcW w:w="1482" w:type="pct"/>
            <w:vMerge/>
            <w:shd w:val="clear" w:color="auto" w:fill="auto"/>
            <w:tcMar>
              <w:top w:w="113" w:type="dxa"/>
              <w:bottom w:w="85" w:type="dxa"/>
            </w:tcMar>
          </w:tcPr>
          <w:p w:rsidR="00C2795A" w:rsidRPr="00AF5E7C" w:rsidRDefault="00C2795A" w:rsidP="00547ACE">
            <w:pPr>
              <w:rPr>
                <w:rFonts w:cs="Arial"/>
                <w:sz w:val="16"/>
                <w:szCs w:val="16"/>
              </w:rPr>
            </w:pPr>
          </w:p>
        </w:tc>
        <w:tc>
          <w:tcPr>
            <w:tcW w:w="2163" w:type="pct"/>
            <w:vMerge/>
            <w:shd w:val="clear" w:color="auto" w:fill="auto"/>
            <w:tcMar>
              <w:top w:w="113" w:type="dxa"/>
              <w:bottom w:w="85" w:type="dxa"/>
            </w:tcMar>
          </w:tcPr>
          <w:p w:rsidR="00C2795A" w:rsidRDefault="00C2795A" w:rsidP="00547ACE">
            <w:pPr>
              <w:rPr>
                <w:rFonts w:cs="Arial"/>
                <w:sz w:val="16"/>
                <w:szCs w:val="16"/>
              </w:rPr>
            </w:pPr>
          </w:p>
        </w:tc>
        <w:tc>
          <w:tcPr>
            <w:tcW w:w="880" w:type="pct"/>
            <w:shd w:val="clear" w:color="auto" w:fill="FFFFFF"/>
            <w:tcMar>
              <w:top w:w="113" w:type="dxa"/>
              <w:bottom w:w="85" w:type="dxa"/>
            </w:tcMar>
          </w:tcPr>
          <w:p w:rsidR="00C2795A" w:rsidRDefault="00C2795A" w:rsidP="00547ACE">
            <w:pPr>
              <w:jc w:val="center"/>
              <w:rPr>
                <w:rFonts w:cs="Arial"/>
                <w:sz w:val="16"/>
                <w:szCs w:val="16"/>
                <w:lang w:bidi="th-TH"/>
              </w:rPr>
            </w:pPr>
            <w:r>
              <w:rPr>
                <w:rFonts w:cs="Arial"/>
                <w:sz w:val="16"/>
                <w:szCs w:val="16"/>
                <w:lang w:bidi="th-TH"/>
              </w:rPr>
              <w:t>Program 10</w:t>
            </w:r>
          </w:p>
        </w:tc>
        <w:tc>
          <w:tcPr>
            <w:tcW w:w="475" w:type="pct"/>
            <w:shd w:val="clear" w:color="auto" w:fill="FFFFFF"/>
          </w:tcPr>
          <w:p w:rsidR="00C2795A" w:rsidRPr="00CC3F44" w:rsidRDefault="00C2795A" w:rsidP="00547ACE">
            <w:pPr>
              <w:spacing w:before="40"/>
              <w:jc w:val="center"/>
              <w:rPr>
                <w:rFonts w:cs="Arial"/>
                <w:color w:val="008000"/>
                <w:sz w:val="22"/>
                <w:szCs w:val="22"/>
              </w:rPr>
            </w:pPr>
            <w:r w:rsidRPr="00CC3F44">
              <w:rPr>
                <w:rFonts w:cs="Arial"/>
                <w:color w:val="008000"/>
                <w:sz w:val="22"/>
                <w:szCs w:val="22"/>
              </w:rPr>
              <w:sym w:font="Wingdings" w:char="F06C"/>
            </w:r>
          </w:p>
        </w:tc>
      </w:tr>
      <w:tr w:rsidR="00C2795A" w:rsidRPr="00AF5E7C" w:rsidTr="00547ACE">
        <w:trPr>
          <w:cantSplit/>
          <w:trHeight w:val="144"/>
        </w:trPr>
        <w:tc>
          <w:tcPr>
            <w:tcW w:w="1482" w:type="pct"/>
            <w:vMerge/>
            <w:shd w:val="clear" w:color="auto" w:fill="auto"/>
            <w:tcMar>
              <w:top w:w="113" w:type="dxa"/>
              <w:bottom w:w="85" w:type="dxa"/>
            </w:tcMar>
          </w:tcPr>
          <w:p w:rsidR="00C2795A" w:rsidRPr="00AF5E7C" w:rsidRDefault="00C2795A" w:rsidP="00547ACE">
            <w:pPr>
              <w:rPr>
                <w:rFonts w:cs="Arial"/>
                <w:sz w:val="16"/>
                <w:szCs w:val="16"/>
              </w:rPr>
            </w:pPr>
          </w:p>
        </w:tc>
        <w:tc>
          <w:tcPr>
            <w:tcW w:w="2163" w:type="pct"/>
            <w:vMerge/>
            <w:shd w:val="clear" w:color="auto" w:fill="auto"/>
            <w:tcMar>
              <w:top w:w="113" w:type="dxa"/>
              <w:bottom w:w="85" w:type="dxa"/>
            </w:tcMar>
          </w:tcPr>
          <w:p w:rsidR="00C2795A" w:rsidRDefault="00C2795A" w:rsidP="00547ACE">
            <w:pPr>
              <w:rPr>
                <w:rFonts w:cs="Arial"/>
                <w:sz w:val="16"/>
                <w:szCs w:val="16"/>
              </w:rPr>
            </w:pPr>
          </w:p>
        </w:tc>
        <w:tc>
          <w:tcPr>
            <w:tcW w:w="880" w:type="pct"/>
            <w:shd w:val="clear" w:color="auto" w:fill="FFFFFF"/>
            <w:tcMar>
              <w:top w:w="113" w:type="dxa"/>
              <w:bottom w:w="85" w:type="dxa"/>
            </w:tcMar>
          </w:tcPr>
          <w:p w:rsidR="00C2795A" w:rsidRDefault="00C2795A" w:rsidP="00547ACE">
            <w:pPr>
              <w:jc w:val="center"/>
              <w:rPr>
                <w:rFonts w:cs="Arial"/>
                <w:sz w:val="16"/>
                <w:szCs w:val="16"/>
                <w:lang w:bidi="th-TH"/>
              </w:rPr>
            </w:pPr>
            <w:r>
              <w:rPr>
                <w:rFonts w:cs="Arial"/>
                <w:sz w:val="16"/>
                <w:szCs w:val="16"/>
                <w:lang w:bidi="th-TH"/>
              </w:rPr>
              <w:t>Program 14</w:t>
            </w:r>
          </w:p>
        </w:tc>
        <w:tc>
          <w:tcPr>
            <w:tcW w:w="475" w:type="pct"/>
            <w:shd w:val="clear" w:color="auto" w:fill="FFFFFF"/>
          </w:tcPr>
          <w:p w:rsidR="00C2795A" w:rsidRPr="00CC3F44" w:rsidRDefault="00C2795A" w:rsidP="00547ACE">
            <w:pPr>
              <w:spacing w:before="40"/>
              <w:jc w:val="center"/>
              <w:rPr>
                <w:rFonts w:cs="Arial"/>
                <w:color w:val="008000"/>
                <w:sz w:val="22"/>
                <w:szCs w:val="22"/>
              </w:rPr>
            </w:pPr>
            <w:r w:rsidRPr="00CC3F44">
              <w:rPr>
                <w:rFonts w:cs="Arial"/>
                <w:color w:val="008000"/>
                <w:sz w:val="22"/>
                <w:szCs w:val="22"/>
              </w:rPr>
              <w:sym w:font="Wingdings" w:char="F06C"/>
            </w:r>
          </w:p>
        </w:tc>
      </w:tr>
      <w:tr w:rsidR="00C2795A" w:rsidRPr="00AF5E7C" w:rsidTr="00547ACE">
        <w:trPr>
          <w:cantSplit/>
          <w:trHeight w:val="144"/>
        </w:trPr>
        <w:tc>
          <w:tcPr>
            <w:tcW w:w="1482" w:type="pct"/>
            <w:vMerge w:val="restart"/>
            <w:shd w:val="clear" w:color="auto" w:fill="auto"/>
            <w:tcMar>
              <w:top w:w="113" w:type="dxa"/>
              <w:bottom w:w="85" w:type="dxa"/>
            </w:tcMar>
          </w:tcPr>
          <w:p w:rsidR="00C2795A" w:rsidRPr="00AF5E7C" w:rsidRDefault="00C2795A" w:rsidP="00547ACE">
            <w:pPr>
              <w:rPr>
                <w:rFonts w:cs="Arial"/>
                <w:sz w:val="16"/>
                <w:szCs w:val="16"/>
              </w:rPr>
            </w:pPr>
          </w:p>
        </w:tc>
        <w:tc>
          <w:tcPr>
            <w:tcW w:w="2163" w:type="pct"/>
            <w:vMerge w:val="restart"/>
            <w:shd w:val="clear" w:color="auto" w:fill="auto"/>
            <w:tcMar>
              <w:top w:w="113" w:type="dxa"/>
              <w:bottom w:w="85" w:type="dxa"/>
            </w:tcMar>
          </w:tcPr>
          <w:p w:rsidR="00C2795A" w:rsidRPr="00DC0B8E" w:rsidRDefault="00C2795A" w:rsidP="00547ACE">
            <w:pPr>
              <w:rPr>
                <w:rFonts w:cs="Arial"/>
                <w:sz w:val="16"/>
                <w:szCs w:val="16"/>
              </w:rPr>
            </w:pPr>
            <w:r w:rsidRPr="00DC0B8E">
              <w:rPr>
                <w:rFonts w:cs="Arial"/>
                <w:sz w:val="16"/>
                <w:szCs w:val="16"/>
              </w:rPr>
              <w:t>N</w:t>
            </w:r>
            <w:r>
              <w:rPr>
                <w:rFonts w:cs="Arial"/>
                <w:sz w:val="16"/>
                <w:szCs w:val="16"/>
              </w:rPr>
              <w:t>o.</w:t>
            </w:r>
            <w:r w:rsidRPr="00DC0B8E">
              <w:rPr>
                <w:rFonts w:cs="Arial"/>
                <w:sz w:val="16"/>
                <w:szCs w:val="16"/>
              </w:rPr>
              <w:t xml:space="preserve"> of sustainable national networks </w:t>
            </w:r>
            <w:r>
              <w:rPr>
                <w:rFonts w:cs="Arial"/>
                <w:sz w:val="16"/>
                <w:szCs w:val="16"/>
              </w:rPr>
              <w:t xml:space="preserve">of </w:t>
            </w:r>
            <w:r w:rsidRPr="00DC0B8E">
              <w:rPr>
                <w:rFonts w:cs="Arial"/>
                <w:sz w:val="16"/>
                <w:szCs w:val="16"/>
              </w:rPr>
              <w:t>TISC</w:t>
            </w:r>
            <w:r>
              <w:rPr>
                <w:rFonts w:cs="Arial"/>
                <w:sz w:val="16"/>
                <w:szCs w:val="16"/>
              </w:rPr>
              <w:t>s</w:t>
            </w:r>
          </w:p>
        </w:tc>
        <w:tc>
          <w:tcPr>
            <w:tcW w:w="880" w:type="pct"/>
            <w:shd w:val="clear" w:color="auto" w:fill="FFFFFF"/>
            <w:tcMar>
              <w:top w:w="113" w:type="dxa"/>
              <w:bottom w:w="85" w:type="dxa"/>
            </w:tcMar>
          </w:tcPr>
          <w:p w:rsidR="00C2795A" w:rsidRDefault="00C2795A" w:rsidP="00547ACE">
            <w:pPr>
              <w:jc w:val="center"/>
              <w:rPr>
                <w:rFonts w:cs="Arial"/>
                <w:sz w:val="16"/>
                <w:szCs w:val="16"/>
                <w:lang w:bidi="th-TH"/>
              </w:rPr>
            </w:pPr>
            <w:r>
              <w:rPr>
                <w:rFonts w:cs="Arial"/>
                <w:sz w:val="16"/>
                <w:szCs w:val="16"/>
                <w:lang w:bidi="th-TH"/>
              </w:rPr>
              <w:t>Program 9</w:t>
            </w:r>
          </w:p>
          <w:p w:rsidR="00C2795A" w:rsidRPr="00AF5E7C" w:rsidRDefault="00C2795A" w:rsidP="00547ACE">
            <w:pPr>
              <w:rPr>
                <w:rFonts w:cs="Arial"/>
                <w:sz w:val="16"/>
                <w:szCs w:val="16"/>
                <w:lang w:bidi="th-TH"/>
              </w:rPr>
            </w:pPr>
          </w:p>
        </w:tc>
        <w:tc>
          <w:tcPr>
            <w:tcW w:w="475" w:type="pct"/>
            <w:shd w:val="clear" w:color="auto" w:fill="FFFFFF"/>
          </w:tcPr>
          <w:p w:rsidR="00C2795A" w:rsidRPr="00CC3F44" w:rsidRDefault="00C2795A" w:rsidP="00547ACE">
            <w:pPr>
              <w:spacing w:before="40"/>
              <w:jc w:val="center"/>
              <w:rPr>
                <w:rFonts w:cs="Arial"/>
                <w:color w:val="008000"/>
                <w:sz w:val="22"/>
                <w:szCs w:val="22"/>
              </w:rPr>
            </w:pPr>
            <w:r w:rsidRPr="00CC3F44">
              <w:rPr>
                <w:rFonts w:cs="Arial"/>
                <w:color w:val="008000"/>
                <w:sz w:val="22"/>
                <w:szCs w:val="22"/>
              </w:rPr>
              <w:sym w:font="Wingdings" w:char="F06C"/>
            </w:r>
            <w:r w:rsidRPr="00CC3F44">
              <w:rPr>
                <w:rFonts w:cs="Arial"/>
                <w:color w:val="008000"/>
                <w:sz w:val="22"/>
                <w:szCs w:val="22"/>
              </w:rPr>
              <w:sym w:font="Wingdings" w:char="F06C"/>
            </w:r>
            <w:r w:rsidRPr="00CC3F44">
              <w:rPr>
                <w:rFonts w:cs="Arial"/>
                <w:color w:val="008000"/>
                <w:sz w:val="22"/>
                <w:szCs w:val="22"/>
              </w:rPr>
              <w:sym w:font="Wingdings" w:char="F06C"/>
            </w:r>
            <w:r w:rsidRPr="00CC3F44">
              <w:rPr>
                <w:rFonts w:cs="Arial"/>
                <w:color w:val="008000"/>
                <w:sz w:val="22"/>
                <w:szCs w:val="22"/>
              </w:rPr>
              <w:sym w:font="Wingdings" w:char="F06C"/>
            </w:r>
          </w:p>
          <w:p w:rsidR="00C2795A" w:rsidRPr="00CC3F44" w:rsidRDefault="00C2795A" w:rsidP="00547ACE">
            <w:pPr>
              <w:spacing w:before="40"/>
              <w:jc w:val="center"/>
              <w:rPr>
                <w:rFonts w:cs="Arial"/>
                <w:color w:val="008000"/>
                <w:sz w:val="22"/>
                <w:szCs w:val="22"/>
              </w:rPr>
            </w:pPr>
            <w:r w:rsidRPr="00CC3F44">
              <w:rPr>
                <w:rFonts w:cs="Arial"/>
                <w:color w:val="008000"/>
                <w:sz w:val="22"/>
                <w:szCs w:val="22"/>
              </w:rPr>
              <w:sym w:font="Wingdings" w:char="F06C"/>
            </w:r>
          </w:p>
        </w:tc>
      </w:tr>
      <w:tr w:rsidR="00C2795A" w:rsidRPr="00AF5E7C" w:rsidTr="00547ACE">
        <w:trPr>
          <w:cantSplit/>
          <w:trHeight w:val="144"/>
        </w:trPr>
        <w:tc>
          <w:tcPr>
            <w:tcW w:w="1482" w:type="pct"/>
            <w:vMerge/>
            <w:shd w:val="clear" w:color="auto" w:fill="auto"/>
            <w:tcMar>
              <w:top w:w="113" w:type="dxa"/>
              <w:bottom w:w="85" w:type="dxa"/>
            </w:tcMar>
          </w:tcPr>
          <w:p w:rsidR="00C2795A" w:rsidRPr="00AF5E7C" w:rsidRDefault="00C2795A" w:rsidP="00547ACE">
            <w:pPr>
              <w:rPr>
                <w:rFonts w:cs="Arial"/>
                <w:sz w:val="16"/>
                <w:szCs w:val="16"/>
              </w:rPr>
            </w:pPr>
          </w:p>
        </w:tc>
        <w:tc>
          <w:tcPr>
            <w:tcW w:w="2163" w:type="pct"/>
            <w:vMerge/>
            <w:shd w:val="clear" w:color="auto" w:fill="auto"/>
            <w:tcMar>
              <w:top w:w="113" w:type="dxa"/>
              <w:bottom w:w="85" w:type="dxa"/>
            </w:tcMar>
          </w:tcPr>
          <w:p w:rsidR="00C2795A" w:rsidRPr="00DC0B8E" w:rsidRDefault="00C2795A" w:rsidP="00547ACE">
            <w:pPr>
              <w:rPr>
                <w:rFonts w:cs="Arial"/>
                <w:sz w:val="16"/>
                <w:szCs w:val="16"/>
              </w:rPr>
            </w:pPr>
          </w:p>
        </w:tc>
        <w:tc>
          <w:tcPr>
            <w:tcW w:w="880" w:type="pct"/>
            <w:shd w:val="clear" w:color="auto" w:fill="FFFFFF"/>
            <w:tcMar>
              <w:top w:w="113" w:type="dxa"/>
              <w:bottom w:w="85" w:type="dxa"/>
            </w:tcMar>
          </w:tcPr>
          <w:p w:rsidR="00C2795A" w:rsidRDefault="00C2795A" w:rsidP="00547ACE">
            <w:pPr>
              <w:jc w:val="center"/>
              <w:rPr>
                <w:rFonts w:cs="Arial"/>
                <w:sz w:val="16"/>
                <w:szCs w:val="16"/>
                <w:lang w:bidi="th-TH"/>
              </w:rPr>
            </w:pPr>
            <w:r>
              <w:rPr>
                <w:rFonts w:cs="Arial"/>
                <w:sz w:val="16"/>
                <w:szCs w:val="16"/>
                <w:lang w:bidi="th-TH"/>
              </w:rPr>
              <w:t>Program 10</w:t>
            </w:r>
          </w:p>
          <w:p w:rsidR="00C2795A" w:rsidRDefault="00C2795A" w:rsidP="00547ACE">
            <w:pPr>
              <w:jc w:val="center"/>
              <w:rPr>
                <w:rFonts w:cs="Arial"/>
                <w:sz w:val="16"/>
                <w:szCs w:val="16"/>
                <w:lang w:bidi="th-TH"/>
              </w:rPr>
            </w:pPr>
          </w:p>
        </w:tc>
        <w:tc>
          <w:tcPr>
            <w:tcW w:w="475" w:type="pct"/>
            <w:shd w:val="clear" w:color="auto" w:fill="FFFFFF"/>
          </w:tcPr>
          <w:p w:rsidR="00C2795A" w:rsidRPr="00CC3F44" w:rsidRDefault="00C2795A" w:rsidP="00547ACE">
            <w:pPr>
              <w:spacing w:before="40"/>
              <w:jc w:val="center"/>
              <w:rPr>
                <w:rFonts w:cs="Arial"/>
                <w:color w:val="008000"/>
                <w:sz w:val="22"/>
                <w:szCs w:val="22"/>
              </w:rPr>
            </w:pPr>
            <w:r w:rsidRPr="00CC3F44">
              <w:rPr>
                <w:rFonts w:cs="Arial"/>
                <w:color w:val="E26B0A"/>
                <w:sz w:val="22"/>
                <w:szCs w:val="22"/>
              </w:rPr>
              <w:sym w:font="Wingdings" w:char="F06C"/>
            </w:r>
          </w:p>
        </w:tc>
      </w:tr>
      <w:tr w:rsidR="00C2795A" w:rsidRPr="00AF5E7C" w:rsidTr="00547ACE">
        <w:trPr>
          <w:cantSplit/>
          <w:trHeight w:val="144"/>
        </w:trPr>
        <w:tc>
          <w:tcPr>
            <w:tcW w:w="1482" w:type="pct"/>
            <w:vMerge/>
            <w:shd w:val="clear" w:color="auto" w:fill="auto"/>
            <w:tcMar>
              <w:top w:w="113" w:type="dxa"/>
              <w:bottom w:w="85" w:type="dxa"/>
            </w:tcMar>
          </w:tcPr>
          <w:p w:rsidR="00C2795A" w:rsidRPr="00AF5E7C" w:rsidRDefault="00C2795A" w:rsidP="00547ACE">
            <w:pPr>
              <w:rPr>
                <w:rFonts w:cs="Arial"/>
                <w:sz w:val="16"/>
                <w:szCs w:val="16"/>
              </w:rPr>
            </w:pPr>
          </w:p>
        </w:tc>
        <w:tc>
          <w:tcPr>
            <w:tcW w:w="2163" w:type="pct"/>
            <w:vMerge/>
            <w:shd w:val="clear" w:color="auto" w:fill="auto"/>
            <w:tcMar>
              <w:top w:w="113" w:type="dxa"/>
              <w:bottom w:w="85" w:type="dxa"/>
            </w:tcMar>
          </w:tcPr>
          <w:p w:rsidR="00C2795A" w:rsidRPr="00DC0B8E" w:rsidRDefault="00C2795A" w:rsidP="00547ACE">
            <w:pPr>
              <w:rPr>
                <w:rFonts w:cs="Arial"/>
                <w:sz w:val="16"/>
                <w:szCs w:val="16"/>
              </w:rPr>
            </w:pPr>
          </w:p>
        </w:tc>
        <w:tc>
          <w:tcPr>
            <w:tcW w:w="880" w:type="pct"/>
            <w:shd w:val="clear" w:color="auto" w:fill="FFFFFF"/>
            <w:tcMar>
              <w:top w:w="113" w:type="dxa"/>
              <w:bottom w:w="85" w:type="dxa"/>
            </w:tcMar>
          </w:tcPr>
          <w:p w:rsidR="00C2795A" w:rsidRDefault="00C2795A" w:rsidP="00547ACE">
            <w:pPr>
              <w:jc w:val="center"/>
              <w:rPr>
                <w:rFonts w:cs="Arial"/>
                <w:sz w:val="16"/>
                <w:szCs w:val="16"/>
                <w:lang w:bidi="th-TH"/>
              </w:rPr>
            </w:pPr>
            <w:r>
              <w:rPr>
                <w:rFonts w:cs="Arial"/>
                <w:sz w:val="16"/>
                <w:szCs w:val="16"/>
                <w:lang w:bidi="th-TH"/>
              </w:rPr>
              <w:t>Program 14</w:t>
            </w:r>
          </w:p>
        </w:tc>
        <w:tc>
          <w:tcPr>
            <w:tcW w:w="475" w:type="pct"/>
            <w:shd w:val="clear" w:color="auto" w:fill="FFFFFF"/>
          </w:tcPr>
          <w:p w:rsidR="00C2795A" w:rsidRPr="00CC3F44" w:rsidRDefault="00C2795A" w:rsidP="00547ACE">
            <w:pPr>
              <w:spacing w:before="40"/>
              <w:jc w:val="center"/>
              <w:rPr>
                <w:rFonts w:cs="Arial"/>
                <w:color w:val="008000"/>
                <w:sz w:val="22"/>
                <w:szCs w:val="22"/>
              </w:rPr>
            </w:pPr>
            <w:r w:rsidRPr="00CC3F44">
              <w:rPr>
                <w:rFonts w:cs="Arial"/>
                <w:color w:val="008000"/>
                <w:sz w:val="22"/>
                <w:szCs w:val="22"/>
              </w:rPr>
              <w:sym w:font="Wingdings" w:char="F06C"/>
            </w:r>
          </w:p>
        </w:tc>
      </w:tr>
      <w:tr w:rsidR="00C2795A" w:rsidRPr="00AF5E7C" w:rsidTr="00547ACE">
        <w:trPr>
          <w:cantSplit/>
          <w:trHeight w:val="679"/>
        </w:trPr>
        <w:tc>
          <w:tcPr>
            <w:tcW w:w="1482" w:type="pct"/>
            <w:shd w:val="clear" w:color="auto" w:fill="auto"/>
            <w:tcMar>
              <w:top w:w="113" w:type="dxa"/>
              <w:bottom w:w="85" w:type="dxa"/>
            </w:tcMar>
          </w:tcPr>
          <w:p w:rsidR="00C2795A" w:rsidRPr="003E1C54" w:rsidRDefault="00C2795A" w:rsidP="00547ACE">
            <w:pPr>
              <w:rPr>
                <w:rFonts w:cs="Arial"/>
                <w:sz w:val="16"/>
                <w:szCs w:val="16"/>
              </w:rPr>
            </w:pPr>
          </w:p>
        </w:tc>
        <w:tc>
          <w:tcPr>
            <w:tcW w:w="2163" w:type="pct"/>
            <w:shd w:val="clear" w:color="auto" w:fill="auto"/>
            <w:tcMar>
              <w:top w:w="113" w:type="dxa"/>
              <w:bottom w:w="85" w:type="dxa"/>
            </w:tcMar>
          </w:tcPr>
          <w:p w:rsidR="00C2795A" w:rsidRPr="0093277E" w:rsidRDefault="00C2795A" w:rsidP="00547ACE">
            <w:pPr>
              <w:rPr>
                <w:rFonts w:cs="Arial"/>
                <w:sz w:val="16"/>
                <w:szCs w:val="16"/>
              </w:rPr>
            </w:pPr>
            <w:r w:rsidRPr="0093277E">
              <w:rPr>
                <w:rFonts w:cs="Arial"/>
                <w:sz w:val="16"/>
                <w:szCs w:val="16"/>
              </w:rPr>
              <w:t>No. of countries using IP Technical Assistance Database (IP-TAD), IP Roster of consultants (IP_ROC)</w:t>
            </w:r>
          </w:p>
        </w:tc>
        <w:tc>
          <w:tcPr>
            <w:tcW w:w="880" w:type="pct"/>
            <w:shd w:val="clear" w:color="auto" w:fill="FFFFFF"/>
            <w:tcMar>
              <w:top w:w="113" w:type="dxa"/>
              <w:bottom w:w="85" w:type="dxa"/>
            </w:tcMar>
          </w:tcPr>
          <w:p w:rsidR="00C2795A" w:rsidRPr="00AF5E7C" w:rsidRDefault="00C2795A" w:rsidP="00547ACE">
            <w:pPr>
              <w:jc w:val="center"/>
              <w:rPr>
                <w:rFonts w:cs="Arial"/>
                <w:sz w:val="16"/>
                <w:szCs w:val="16"/>
                <w:lang w:bidi="th-TH"/>
              </w:rPr>
            </w:pPr>
            <w:r>
              <w:rPr>
                <w:rFonts w:cs="Arial"/>
                <w:sz w:val="16"/>
                <w:szCs w:val="16"/>
                <w:lang w:bidi="th-TH"/>
              </w:rPr>
              <w:t>Program 9</w:t>
            </w:r>
          </w:p>
        </w:tc>
        <w:tc>
          <w:tcPr>
            <w:tcW w:w="475" w:type="pct"/>
            <w:shd w:val="clear" w:color="auto" w:fill="FFFFFF"/>
          </w:tcPr>
          <w:p w:rsidR="00C2795A" w:rsidRPr="00CC3F44" w:rsidRDefault="00C2795A" w:rsidP="00547ACE">
            <w:pPr>
              <w:jc w:val="center"/>
            </w:pPr>
            <w:r w:rsidRPr="00CC3F44">
              <w:rPr>
                <w:rFonts w:cs="Arial"/>
                <w:color w:val="FF0000"/>
                <w:sz w:val="22"/>
                <w:szCs w:val="22"/>
              </w:rPr>
              <w:sym w:font="Wingdings" w:char="F06C"/>
            </w:r>
          </w:p>
        </w:tc>
      </w:tr>
      <w:tr w:rsidR="00C2795A" w:rsidRPr="00AF5E7C" w:rsidTr="00547ACE">
        <w:trPr>
          <w:cantSplit/>
          <w:trHeight w:val="323"/>
        </w:trPr>
        <w:tc>
          <w:tcPr>
            <w:tcW w:w="1482" w:type="pct"/>
            <w:shd w:val="clear" w:color="auto" w:fill="auto"/>
            <w:tcMar>
              <w:top w:w="113" w:type="dxa"/>
              <w:bottom w:w="85" w:type="dxa"/>
            </w:tcMar>
          </w:tcPr>
          <w:p w:rsidR="00C2795A" w:rsidRPr="003E1C54" w:rsidRDefault="00C2795A" w:rsidP="00547ACE">
            <w:pPr>
              <w:rPr>
                <w:rFonts w:cs="Arial"/>
                <w:sz w:val="16"/>
                <w:szCs w:val="16"/>
              </w:rPr>
            </w:pPr>
          </w:p>
        </w:tc>
        <w:tc>
          <w:tcPr>
            <w:tcW w:w="2163" w:type="pct"/>
            <w:shd w:val="clear" w:color="auto" w:fill="auto"/>
            <w:tcMar>
              <w:top w:w="113" w:type="dxa"/>
              <w:bottom w:w="85" w:type="dxa"/>
            </w:tcMar>
          </w:tcPr>
          <w:p w:rsidR="00C2795A" w:rsidRPr="00C95729" w:rsidRDefault="00C2795A" w:rsidP="00547ACE">
            <w:pPr>
              <w:rPr>
                <w:rFonts w:cs="Arial"/>
                <w:sz w:val="16"/>
                <w:szCs w:val="16"/>
              </w:rPr>
            </w:pPr>
            <w:r w:rsidRPr="00C95729">
              <w:rPr>
                <w:rFonts w:cs="Arial"/>
                <w:sz w:val="16"/>
                <w:szCs w:val="16"/>
              </w:rPr>
              <w:t>N</w:t>
            </w:r>
            <w:r>
              <w:rPr>
                <w:rFonts w:cs="Arial"/>
                <w:sz w:val="16"/>
                <w:szCs w:val="16"/>
              </w:rPr>
              <w:t>o.</w:t>
            </w:r>
            <w:r w:rsidRPr="00C95729">
              <w:rPr>
                <w:rFonts w:cs="Arial"/>
                <w:sz w:val="16"/>
                <w:szCs w:val="16"/>
              </w:rPr>
              <w:t xml:space="preserve"> of established TTOs and/or IP information centers</w:t>
            </w:r>
          </w:p>
        </w:tc>
        <w:tc>
          <w:tcPr>
            <w:tcW w:w="880" w:type="pct"/>
            <w:shd w:val="clear" w:color="auto" w:fill="FFFFFF"/>
            <w:tcMar>
              <w:top w:w="113" w:type="dxa"/>
              <w:bottom w:w="85" w:type="dxa"/>
            </w:tcMar>
          </w:tcPr>
          <w:p w:rsidR="00C2795A" w:rsidRDefault="00C2795A" w:rsidP="00547ACE">
            <w:pPr>
              <w:jc w:val="center"/>
              <w:rPr>
                <w:rFonts w:cs="Arial"/>
                <w:sz w:val="16"/>
                <w:szCs w:val="16"/>
                <w:lang w:bidi="th-TH"/>
              </w:rPr>
            </w:pPr>
            <w:r>
              <w:rPr>
                <w:rFonts w:cs="Arial"/>
                <w:sz w:val="16"/>
                <w:szCs w:val="16"/>
                <w:lang w:bidi="th-TH"/>
              </w:rPr>
              <w:t>Program 10</w:t>
            </w:r>
          </w:p>
        </w:tc>
        <w:tc>
          <w:tcPr>
            <w:tcW w:w="475" w:type="pct"/>
            <w:shd w:val="clear" w:color="auto" w:fill="FFFFFF"/>
          </w:tcPr>
          <w:p w:rsidR="00C2795A" w:rsidRPr="00CC3F44" w:rsidRDefault="00C2795A" w:rsidP="00547ACE">
            <w:pPr>
              <w:spacing w:before="40"/>
              <w:jc w:val="center"/>
            </w:pPr>
            <w:r w:rsidRPr="00CC3F44">
              <w:rPr>
                <w:rFonts w:cs="Arial"/>
                <w:color w:val="008000"/>
                <w:sz w:val="22"/>
                <w:szCs w:val="22"/>
              </w:rPr>
              <w:sym w:font="Wingdings" w:char="F06C"/>
            </w:r>
          </w:p>
        </w:tc>
      </w:tr>
      <w:tr w:rsidR="00C2795A" w:rsidRPr="00AF5E7C" w:rsidTr="00547ACE">
        <w:trPr>
          <w:cantSplit/>
          <w:trHeight w:val="454"/>
        </w:trPr>
        <w:tc>
          <w:tcPr>
            <w:tcW w:w="1482" w:type="pct"/>
            <w:shd w:val="clear" w:color="auto" w:fill="auto"/>
            <w:tcMar>
              <w:top w:w="113" w:type="dxa"/>
              <w:bottom w:w="85" w:type="dxa"/>
            </w:tcMar>
          </w:tcPr>
          <w:p w:rsidR="00C2795A" w:rsidRPr="00AF5E7C" w:rsidRDefault="00C2795A" w:rsidP="00547ACE">
            <w:pPr>
              <w:rPr>
                <w:rFonts w:cs="Arial"/>
                <w:sz w:val="16"/>
                <w:szCs w:val="16"/>
              </w:rPr>
            </w:pPr>
          </w:p>
        </w:tc>
        <w:tc>
          <w:tcPr>
            <w:tcW w:w="2163" w:type="pct"/>
            <w:shd w:val="clear" w:color="auto" w:fill="auto"/>
            <w:tcMar>
              <w:top w:w="113" w:type="dxa"/>
              <w:bottom w:w="85" w:type="dxa"/>
            </w:tcMar>
          </w:tcPr>
          <w:p w:rsidR="00C2795A" w:rsidRPr="003E1C54" w:rsidRDefault="00C2795A" w:rsidP="00547ACE">
            <w:pPr>
              <w:rPr>
                <w:rFonts w:cs="Arial"/>
                <w:sz w:val="16"/>
                <w:szCs w:val="16"/>
              </w:rPr>
            </w:pPr>
            <w:r w:rsidRPr="003E1C54">
              <w:rPr>
                <w:rFonts w:cs="Arial"/>
                <w:sz w:val="16"/>
                <w:szCs w:val="16"/>
              </w:rPr>
              <w:t>No. of different users per quarter in all systems (PATENTSCOPE/Global Brand Database</w:t>
            </w:r>
            <w:r>
              <w:rPr>
                <w:rFonts w:cs="Arial"/>
                <w:sz w:val="16"/>
                <w:szCs w:val="16"/>
              </w:rPr>
              <w:t>)</w:t>
            </w:r>
          </w:p>
        </w:tc>
        <w:tc>
          <w:tcPr>
            <w:tcW w:w="880" w:type="pct"/>
            <w:shd w:val="clear" w:color="auto" w:fill="FFFFFF"/>
            <w:tcMar>
              <w:top w:w="113" w:type="dxa"/>
              <w:bottom w:w="85" w:type="dxa"/>
            </w:tcMar>
          </w:tcPr>
          <w:p w:rsidR="00C2795A" w:rsidRPr="00AF5E7C" w:rsidRDefault="00C2795A" w:rsidP="00547ACE">
            <w:pPr>
              <w:jc w:val="center"/>
              <w:rPr>
                <w:rFonts w:cs="Arial"/>
                <w:sz w:val="16"/>
                <w:szCs w:val="16"/>
                <w:lang w:bidi="th-TH"/>
              </w:rPr>
            </w:pPr>
            <w:r>
              <w:rPr>
                <w:rFonts w:cs="Arial"/>
                <w:sz w:val="16"/>
                <w:szCs w:val="16"/>
                <w:lang w:bidi="th-TH"/>
              </w:rPr>
              <w:t>Program 13</w:t>
            </w:r>
          </w:p>
        </w:tc>
        <w:tc>
          <w:tcPr>
            <w:tcW w:w="475" w:type="pct"/>
            <w:shd w:val="clear" w:color="auto" w:fill="FFFFFF"/>
          </w:tcPr>
          <w:p w:rsidR="00C2795A" w:rsidRPr="00CC3F44" w:rsidRDefault="00C2795A" w:rsidP="00547ACE">
            <w:pPr>
              <w:jc w:val="center"/>
              <w:rPr>
                <w:rFonts w:cs="Arial"/>
                <w:color w:val="008000"/>
                <w:sz w:val="22"/>
                <w:szCs w:val="22"/>
              </w:rPr>
            </w:pPr>
            <w:r w:rsidRPr="00CC3F44">
              <w:rPr>
                <w:rFonts w:cs="Arial"/>
                <w:color w:val="E26B0A"/>
                <w:sz w:val="22"/>
                <w:szCs w:val="22"/>
              </w:rPr>
              <w:sym w:font="Wingdings" w:char="F06C"/>
            </w:r>
            <w:r w:rsidRPr="00CC3F44">
              <w:rPr>
                <w:rFonts w:cs="Arial"/>
                <w:color w:val="008000"/>
                <w:sz w:val="22"/>
                <w:szCs w:val="22"/>
              </w:rPr>
              <w:sym w:font="Wingdings" w:char="F06C"/>
            </w:r>
            <w:r w:rsidRPr="00CC3F44">
              <w:rPr>
                <w:rFonts w:cs="Arial"/>
                <w:color w:val="A6A6A6" w:themeColor="background1" w:themeShade="A6"/>
                <w:sz w:val="22"/>
                <w:szCs w:val="22"/>
              </w:rPr>
              <w:sym w:font="Wingdings" w:char="F06C"/>
            </w:r>
          </w:p>
        </w:tc>
      </w:tr>
      <w:tr w:rsidR="00C2795A" w:rsidRPr="00AF5E7C" w:rsidTr="00547ACE">
        <w:trPr>
          <w:cantSplit/>
          <w:trHeight w:val="399"/>
        </w:trPr>
        <w:tc>
          <w:tcPr>
            <w:tcW w:w="1482" w:type="pct"/>
            <w:shd w:val="clear" w:color="auto" w:fill="auto"/>
            <w:tcMar>
              <w:top w:w="113" w:type="dxa"/>
              <w:bottom w:w="85" w:type="dxa"/>
            </w:tcMar>
          </w:tcPr>
          <w:p w:rsidR="00C2795A" w:rsidRPr="00AF5E7C" w:rsidRDefault="00C2795A" w:rsidP="00547ACE">
            <w:pPr>
              <w:rPr>
                <w:rFonts w:cs="Arial"/>
                <w:sz w:val="16"/>
                <w:szCs w:val="16"/>
              </w:rPr>
            </w:pPr>
          </w:p>
        </w:tc>
        <w:tc>
          <w:tcPr>
            <w:tcW w:w="2163" w:type="pct"/>
            <w:shd w:val="clear" w:color="auto" w:fill="auto"/>
            <w:tcMar>
              <w:top w:w="113" w:type="dxa"/>
              <w:bottom w:w="85" w:type="dxa"/>
            </w:tcMar>
          </w:tcPr>
          <w:p w:rsidR="00C2795A" w:rsidRPr="003E1C54" w:rsidRDefault="00C2795A" w:rsidP="00547ACE">
            <w:pPr>
              <w:rPr>
                <w:rFonts w:cs="Arial"/>
                <w:sz w:val="16"/>
                <w:szCs w:val="16"/>
              </w:rPr>
            </w:pPr>
            <w:r w:rsidRPr="003E1C54">
              <w:rPr>
                <w:rFonts w:cs="Arial"/>
                <w:sz w:val="16"/>
                <w:szCs w:val="16"/>
              </w:rPr>
              <w:t>No. of languages in which cross-lingual search is available</w:t>
            </w:r>
          </w:p>
        </w:tc>
        <w:tc>
          <w:tcPr>
            <w:tcW w:w="880" w:type="pct"/>
            <w:shd w:val="clear" w:color="auto" w:fill="FFFFFF"/>
            <w:tcMar>
              <w:top w:w="113" w:type="dxa"/>
              <w:bottom w:w="85" w:type="dxa"/>
            </w:tcMar>
          </w:tcPr>
          <w:p w:rsidR="00C2795A" w:rsidRPr="00AF5E7C" w:rsidRDefault="00C2795A" w:rsidP="00547ACE">
            <w:pPr>
              <w:jc w:val="center"/>
              <w:rPr>
                <w:rFonts w:cs="Arial"/>
                <w:sz w:val="16"/>
                <w:szCs w:val="16"/>
                <w:lang w:bidi="th-TH"/>
              </w:rPr>
            </w:pPr>
            <w:r>
              <w:rPr>
                <w:rFonts w:cs="Arial"/>
                <w:sz w:val="16"/>
                <w:szCs w:val="16"/>
                <w:lang w:bidi="th-TH"/>
              </w:rPr>
              <w:t>Program 13</w:t>
            </w:r>
          </w:p>
        </w:tc>
        <w:tc>
          <w:tcPr>
            <w:tcW w:w="475" w:type="pct"/>
            <w:shd w:val="clear" w:color="auto" w:fill="FFFFFF"/>
          </w:tcPr>
          <w:p w:rsidR="00C2795A" w:rsidRPr="00CC3F44" w:rsidRDefault="00C2795A" w:rsidP="00547ACE">
            <w:pPr>
              <w:jc w:val="center"/>
            </w:pPr>
            <w:r w:rsidRPr="00CC3F44">
              <w:rPr>
                <w:rFonts w:cs="Arial"/>
                <w:color w:val="008000"/>
                <w:sz w:val="22"/>
                <w:szCs w:val="22"/>
              </w:rPr>
              <w:sym w:font="Wingdings" w:char="F06C"/>
            </w:r>
          </w:p>
        </w:tc>
      </w:tr>
      <w:tr w:rsidR="00C2795A" w:rsidRPr="00AF5E7C" w:rsidTr="00547ACE">
        <w:trPr>
          <w:cantSplit/>
          <w:trHeight w:val="472"/>
        </w:trPr>
        <w:tc>
          <w:tcPr>
            <w:tcW w:w="1482" w:type="pct"/>
            <w:shd w:val="clear" w:color="auto" w:fill="auto"/>
            <w:tcMar>
              <w:top w:w="113" w:type="dxa"/>
              <w:bottom w:w="85" w:type="dxa"/>
            </w:tcMar>
          </w:tcPr>
          <w:p w:rsidR="00C2795A" w:rsidRPr="00AF5E7C" w:rsidRDefault="00C2795A" w:rsidP="00547ACE">
            <w:pPr>
              <w:rPr>
                <w:rFonts w:cs="Arial"/>
                <w:sz w:val="16"/>
                <w:szCs w:val="16"/>
              </w:rPr>
            </w:pPr>
          </w:p>
        </w:tc>
        <w:tc>
          <w:tcPr>
            <w:tcW w:w="2163" w:type="pct"/>
            <w:shd w:val="clear" w:color="auto" w:fill="auto"/>
            <w:tcMar>
              <w:top w:w="113" w:type="dxa"/>
              <w:bottom w:w="85" w:type="dxa"/>
            </w:tcMar>
          </w:tcPr>
          <w:p w:rsidR="00C2795A" w:rsidRPr="003E1C54" w:rsidRDefault="00C2795A" w:rsidP="00547ACE">
            <w:pPr>
              <w:rPr>
                <w:rFonts w:cs="Arial"/>
                <w:sz w:val="16"/>
                <w:szCs w:val="16"/>
              </w:rPr>
            </w:pPr>
            <w:r w:rsidRPr="003E1C54">
              <w:rPr>
                <w:rFonts w:cs="Arial"/>
                <w:sz w:val="16"/>
                <w:szCs w:val="16"/>
              </w:rPr>
              <w:t>No. of language pairs available for machine translation of titles and abstracts</w:t>
            </w:r>
          </w:p>
        </w:tc>
        <w:tc>
          <w:tcPr>
            <w:tcW w:w="880" w:type="pct"/>
            <w:shd w:val="clear" w:color="auto" w:fill="FFFFFF"/>
            <w:tcMar>
              <w:top w:w="113" w:type="dxa"/>
              <w:bottom w:w="85" w:type="dxa"/>
            </w:tcMar>
          </w:tcPr>
          <w:p w:rsidR="00C2795A" w:rsidRPr="00AF5E7C" w:rsidRDefault="00C2795A" w:rsidP="00547ACE">
            <w:pPr>
              <w:jc w:val="center"/>
              <w:rPr>
                <w:rFonts w:cs="Arial"/>
                <w:sz w:val="16"/>
                <w:szCs w:val="16"/>
                <w:lang w:bidi="th-TH"/>
              </w:rPr>
            </w:pPr>
            <w:r>
              <w:rPr>
                <w:rFonts w:cs="Arial"/>
                <w:sz w:val="16"/>
                <w:szCs w:val="16"/>
                <w:lang w:bidi="th-TH"/>
              </w:rPr>
              <w:t>Program 13</w:t>
            </w:r>
          </w:p>
        </w:tc>
        <w:tc>
          <w:tcPr>
            <w:tcW w:w="475" w:type="pct"/>
            <w:shd w:val="clear" w:color="auto" w:fill="FFFFFF"/>
          </w:tcPr>
          <w:p w:rsidR="00C2795A" w:rsidRPr="00CC3F44" w:rsidRDefault="00C2795A" w:rsidP="00547ACE">
            <w:pPr>
              <w:jc w:val="center"/>
            </w:pPr>
            <w:r w:rsidRPr="00CC3F44">
              <w:rPr>
                <w:rFonts w:cs="Arial"/>
                <w:color w:val="008000"/>
                <w:sz w:val="22"/>
                <w:szCs w:val="22"/>
              </w:rPr>
              <w:sym w:font="Wingdings" w:char="F06C"/>
            </w:r>
          </w:p>
        </w:tc>
      </w:tr>
      <w:tr w:rsidR="00C2795A" w:rsidRPr="00AF5E7C" w:rsidTr="00547ACE">
        <w:trPr>
          <w:cantSplit/>
          <w:trHeight w:val="328"/>
        </w:trPr>
        <w:tc>
          <w:tcPr>
            <w:tcW w:w="1482" w:type="pct"/>
            <w:shd w:val="clear" w:color="auto" w:fill="auto"/>
            <w:tcMar>
              <w:top w:w="113" w:type="dxa"/>
              <w:bottom w:w="85" w:type="dxa"/>
            </w:tcMar>
          </w:tcPr>
          <w:p w:rsidR="00C2795A" w:rsidRPr="00AF5E7C" w:rsidRDefault="00C2795A" w:rsidP="00547ACE">
            <w:pPr>
              <w:rPr>
                <w:rFonts w:cs="Arial"/>
                <w:sz w:val="16"/>
                <w:szCs w:val="16"/>
              </w:rPr>
            </w:pPr>
          </w:p>
        </w:tc>
        <w:tc>
          <w:tcPr>
            <w:tcW w:w="2163" w:type="pct"/>
            <w:shd w:val="clear" w:color="auto" w:fill="auto"/>
            <w:tcMar>
              <w:top w:w="113" w:type="dxa"/>
              <w:bottom w:w="85" w:type="dxa"/>
            </w:tcMar>
          </w:tcPr>
          <w:p w:rsidR="00C2795A" w:rsidRPr="007C1AA9" w:rsidRDefault="00C2795A" w:rsidP="00547ACE">
            <w:pPr>
              <w:rPr>
                <w:rFonts w:cs="Arial"/>
                <w:sz w:val="16"/>
                <w:szCs w:val="16"/>
              </w:rPr>
            </w:pPr>
            <w:r w:rsidRPr="00861788">
              <w:rPr>
                <w:rFonts w:cs="Arial"/>
                <w:sz w:val="16"/>
                <w:szCs w:val="16"/>
              </w:rPr>
              <w:t>N</w:t>
            </w:r>
            <w:r>
              <w:rPr>
                <w:rFonts w:cs="Arial"/>
                <w:sz w:val="16"/>
                <w:szCs w:val="16"/>
              </w:rPr>
              <w:t>o.</w:t>
            </w:r>
            <w:r w:rsidRPr="00861788">
              <w:rPr>
                <w:rFonts w:cs="Arial"/>
                <w:sz w:val="16"/>
                <w:szCs w:val="16"/>
              </w:rPr>
              <w:t xml:space="preserve"> of active registered users of ARDI and ASPI</w:t>
            </w:r>
          </w:p>
        </w:tc>
        <w:tc>
          <w:tcPr>
            <w:tcW w:w="880" w:type="pct"/>
            <w:shd w:val="clear" w:color="auto" w:fill="FFFFFF"/>
            <w:tcMar>
              <w:top w:w="113" w:type="dxa"/>
              <w:bottom w:w="85" w:type="dxa"/>
            </w:tcMar>
          </w:tcPr>
          <w:p w:rsidR="00C2795A" w:rsidRPr="00AF5E7C" w:rsidRDefault="00C2795A" w:rsidP="00547ACE">
            <w:pPr>
              <w:jc w:val="center"/>
              <w:rPr>
                <w:rFonts w:cs="Arial"/>
                <w:sz w:val="16"/>
                <w:szCs w:val="16"/>
                <w:lang w:bidi="th-TH"/>
              </w:rPr>
            </w:pPr>
            <w:r>
              <w:rPr>
                <w:rFonts w:cs="Arial"/>
                <w:sz w:val="16"/>
                <w:szCs w:val="16"/>
                <w:lang w:bidi="th-TH"/>
              </w:rPr>
              <w:t>Program 14</w:t>
            </w:r>
          </w:p>
        </w:tc>
        <w:tc>
          <w:tcPr>
            <w:tcW w:w="475" w:type="pct"/>
            <w:shd w:val="clear" w:color="auto" w:fill="FFFFFF"/>
          </w:tcPr>
          <w:p w:rsidR="00C2795A" w:rsidRPr="00CC3F44" w:rsidRDefault="00C2795A" w:rsidP="00547ACE">
            <w:pPr>
              <w:jc w:val="center"/>
            </w:pPr>
            <w:r w:rsidRPr="00CC3F44">
              <w:rPr>
                <w:rFonts w:cs="Arial"/>
                <w:color w:val="008000"/>
                <w:sz w:val="22"/>
                <w:szCs w:val="22"/>
              </w:rPr>
              <w:sym w:font="Wingdings" w:char="F06C"/>
            </w:r>
          </w:p>
        </w:tc>
      </w:tr>
      <w:tr w:rsidR="00C2795A" w:rsidRPr="00AF5E7C" w:rsidTr="00547ACE">
        <w:trPr>
          <w:cantSplit/>
          <w:trHeight w:val="616"/>
        </w:trPr>
        <w:tc>
          <w:tcPr>
            <w:tcW w:w="1482" w:type="pct"/>
            <w:shd w:val="clear" w:color="auto" w:fill="auto"/>
            <w:tcMar>
              <w:top w:w="113" w:type="dxa"/>
              <w:bottom w:w="85" w:type="dxa"/>
            </w:tcMar>
          </w:tcPr>
          <w:p w:rsidR="00C2795A" w:rsidRPr="00AF5E7C" w:rsidRDefault="00C2795A" w:rsidP="00547ACE">
            <w:pPr>
              <w:rPr>
                <w:rFonts w:cs="Arial"/>
                <w:sz w:val="16"/>
                <w:szCs w:val="16"/>
              </w:rPr>
            </w:pPr>
          </w:p>
        </w:tc>
        <w:tc>
          <w:tcPr>
            <w:tcW w:w="2163" w:type="pct"/>
            <w:shd w:val="clear" w:color="auto" w:fill="auto"/>
            <w:tcMar>
              <w:top w:w="113" w:type="dxa"/>
              <w:bottom w:w="85" w:type="dxa"/>
            </w:tcMar>
          </w:tcPr>
          <w:p w:rsidR="00C2795A" w:rsidRPr="00861788" w:rsidRDefault="00C2795A" w:rsidP="00547ACE">
            <w:pPr>
              <w:rPr>
                <w:rFonts w:cs="Arial"/>
                <w:sz w:val="16"/>
                <w:szCs w:val="16"/>
              </w:rPr>
            </w:pPr>
            <w:r w:rsidRPr="00861788">
              <w:rPr>
                <w:rFonts w:cs="Arial"/>
                <w:sz w:val="16"/>
                <w:szCs w:val="16"/>
              </w:rPr>
              <w:t>% of users satisfied with the provision of value added patent information services (WPIS, ICE, patent family and legal status enquiry service)</w:t>
            </w:r>
          </w:p>
        </w:tc>
        <w:tc>
          <w:tcPr>
            <w:tcW w:w="880" w:type="pct"/>
            <w:shd w:val="clear" w:color="auto" w:fill="FFFFFF"/>
            <w:tcMar>
              <w:top w:w="113" w:type="dxa"/>
              <w:bottom w:w="85" w:type="dxa"/>
            </w:tcMar>
          </w:tcPr>
          <w:p w:rsidR="00C2795A" w:rsidRPr="00AF5E7C" w:rsidRDefault="00C2795A" w:rsidP="00547ACE">
            <w:pPr>
              <w:jc w:val="center"/>
              <w:rPr>
                <w:rFonts w:cs="Arial"/>
                <w:sz w:val="16"/>
                <w:szCs w:val="16"/>
                <w:lang w:bidi="th-TH"/>
              </w:rPr>
            </w:pPr>
            <w:r>
              <w:rPr>
                <w:rFonts w:cs="Arial"/>
                <w:sz w:val="16"/>
                <w:szCs w:val="16"/>
                <w:lang w:bidi="th-TH"/>
              </w:rPr>
              <w:t>Program 14</w:t>
            </w:r>
          </w:p>
        </w:tc>
        <w:tc>
          <w:tcPr>
            <w:tcW w:w="475" w:type="pct"/>
            <w:shd w:val="clear" w:color="auto" w:fill="FFFFFF"/>
          </w:tcPr>
          <w:p w:rsidR="00C2795A" w:rsidRPr="00CC3F44" w:rsidRDefault="00C2795A" w:rsidP="00547ACE">
            <w:pPr>
              <w:jc w:val="center"/>
            </w:pPr>
            <w:r w:rsidRPr="00CC3F44">
              <w:rPr>
                <w:rFonts w:cs="Arial"/>
                <w:sz w:val="22"/>
                <w:szCs w:val="22"/>
              </w:rPr>
              <w:sym w:font="Wingdings" w:char="F06C"/>
            </w:r>
          </w:p>
        </w:tc>
      </w:tr>
      <w:tr w:rsidR="00C2795A" w:rsidRPr="00AF5E7C" w:rsidTr="00547ACE">
        <w:trPr>
          <w:cantSplit/>
          <w:trHeight w:val="163"/>
        </w:trPr>
        <w:tc>
          <w:tcPr>
            <w:tcW w:w="1482" w:type="pct"/>
            <w:shd w:val="clear" w:color="auto" w:fill="auto"/>
            <w:tcMar>
              <w:top w:w="113" w:type="dxa"/>
              <w:bottom w:w="85" w:type="dxa"/>
            </w:tcMar>
          </w:tcPr>
          <w:p w:rsidR="00C2795A" w:rsidRPr="00AF5E7C" w:rsidRDefault="00C2795A" w:rsidP="00547ACE">
            <w:pPr>
              <w:rPr>
                <w:rFonts w:cs="Arial"/>
                <w:sz w:val="16"/>
                <w:szCs w:val="16"/>
              </w:rPr>
            </w:pPr>
          </w:p>
        </w:tc>
        <w:tc>
          <w:tcPr>
            <w:tcW w:w="2163" w:type="pct"/>
            <w:shd w:val="clear" w:color="auto" w:fill="auto"/>
            <w:tcMar>
              <w:top w:w="113" w:type="dxa"/>
              <w:bottom w:w="85" w:type="dxa"/>
            </w:tcMar>
          </w:tcPr>
          <w:p w:rsidR="00C2795A" w:rsidRPr="00861788" w:rsidRDefault="00C2795A" w:rsidP="00547ACE">
            <w:pPr>
              <w:rPr>
                <w:rFonts w:cs="Arial"/>
                <w:sz w:val="16"/>
                <w:szCs w:val="16"/>
              </w:rPr>
            </w:pPr>
            <w:r w:rsidRPr="00861788">
              <w:rPr>
                <w:rFonts w:cs="Arial"/>
                <w:sz w:val="16"/>
                <w:szCs w:val="16"/>
              </w:rPr>
              <w:t>% of users satisfied with PLRs</w:t>
            </w:r>
          </w:p>
        </w:tc>
        <w:tc>
          <w:tcPr>
            <w:tcW w:w="880" w:type="pct"/>
            <w:shd w:val="clear" w:color="auto" w:fill="FFFFFF"/>
            <w:tcMar>
              <w:top w:w="113" w:type="dxa"/>
              <w:bottom w:w="85" w:type="dxa"/>
            </w:tcMar>
          </w:tcPr>
          <w:p w:rsidR="00C2795A" w:rsidRPr="00AF5E7C" w:rsidRDefault="00C2795A" w:rsidP="00547ACE">
            <w:pPr>
              <w:jc w:val="center"/>
              <w:rPr>
                <w:rFonts w:cs="Arial"/>
                <w:sz w:val="16"/>
                <w:szCs w:val="16"/>
                <w:lang w:bidi="th-TH"/>
              </w:rPr>
            </w:pPr>
            <w:r>
              <w:rPr>
                <w:rFonts w:cs="Arial"/>
                <w:sz w:val="16"/>
                <w:szCs w:val="16"/>
                <w:lang w:bidi="th-TH"/>
              </w:rPr>
              <w:t>Program 14</w:t>
            </w:r>
          </w:p>
        </w:tc>
        <w:tc>
          <w:tcPr>
            <w:tcW w:w="475" w:type="pct"/>
            <w:shd w:val="clear" w:color="auto" w:fill="FFFFFF"/>
          </w:tcPr>
          <w:p w:rsidR="00C2795A" w:rsidRPr="00CC3F44" w:rsidRDefault="00C2795A" w:rsidP="00547ACE">
            <w:pPr>
              <w:jc w:val="center"/>
            </w:pPr>
            <w:r w:rsidRPr="00CC3F44">
              <w:rPr>
                <w:rFonts w:cs="Arial"/>
                <w:color w:val="A6A6A6" w:themeColor="background1" w:themeShade="A6"/>
                <w:sz w:val="22"/>
                <w:szCs w:val="22"/>
              </w:rPr>
              <w:sym w:font="Wingdings" w:char="F06C"/>
            </w:r>
          </w:p>
        </w:tc>
      </w:tr>
      <w:tr w:rsidR="00C2795A" w:rsidRPr="00AF5E7C" w:rsidTr="00547ACE">
        <w:trPr>
          <w:cantSplit/>
          <w:trHeight w:val="445"/>
        </w:trPr>
        <w:tc>
          <w:tcPr>
            <w:tcW w:w="1482" w:type="pct"/>
            <w:shd w:val="clear" w:color="auto" w:fill="auto"/>
            <w:tcMar>
              <w:top w:w="113" w:type="dxa"/>
              <w:bottom w:w="85" w:type="dxa"/>
            </w:tcMar>
          </w:tcPr>
          <w:p w:rsidR="00C2795A" w:rsidRPr="00AF5E7C" w:rsidRDefault="00C2795A" w:rsidP="00547ACE">
            <w:pPr>
              <w:rPr>
                <w:rFonts w:cs="Arial"/>
                <w:sz w:val="16"/>
                <w:szCs w:val="16"/>
              </w:rPr>
            </w:pPr>
          </w:p>
        </w:tc>
        <w:tc>
          <w:tcPr>
            <w:tcW w:w="2163" w:type="pct"/>
            <w:shd w:val="clear" w:color="auto" w:fill="auto"/>
            <w:tcMar>
              <w:top w:w="113" w:type="dxa"/>
              <w:bottom w:w="85" w:type="dxa"/>
            </w:tcMar>
          </w:tcPr>
          <w:p w:rsidR="00C2795A" w:rsidRPr="00C43F3D" w:rsidRDefault="00C2795A" w:rsidP="00547ACE">
            <w:pPr>
              <w:rPr>
                <w:rFonts w:cs="Arial"/>
                <w:sz w:val="16"/>
                <w:szCs w:val="16"/>
              </w:rPr>
            </w:pPr>
            <w:r>
              <w:rPr>
                <w:rFonts w:cs="Arial"/>
                <w:sz w:val="16"/>
                <w:szCs w:val="16"/>
              </w:rPr>
              <w:t>No. of countries that verified data and included national essential medicines into WIPO Essential</w:t>
            </w:r>
          </w:p>
        </w:tc>
        <w:tc>
          <w:tcPr>
            <w:tcW w:w="880" w:type="pct"/>
            <w:shd w:val="clear" w:color="auto" w:fill="FFFFFF"/>
            <w:tcMar>
              <w:top w:w="113" w:type="dxa"/>
              <w:bottom w:w="85" w:type="dxa"/>
            </w:tcMar>
          </w:tcPr>
          <w:p w:rsidR="00C2795A" w:rsidRDefault="00C2795A" w:rsidP="00547ACE">
            <w:pPr>
              <w:jc w:val="center"/>
              <w:rPr>
                <w:rFonts w:cs="Arial"/>
                <w:sz w:val="16"/>
                <w:szCs w:val="16"/>
                <w:lang w:bidi="th-TH"/>
              </w:rPr>
            </w:pPr>
            <w:r>
              <w:rPr>
                <w:rFonts w:cs="Arial"/>
                <w:sz w:val="16"/>
                <w:szCs w:val="16"/>
                <w:lang w:bidi="th-TH"/>
              </w:rPr>
              <w:t>Program 18</w:t>
            </w:r>
          </w:p>
        </w:tc>
        <w:tc>
          <w:tcPr>
            <w:tcW w:w="475" w:type="pct"/>
            <w:shd w:val="clear" w:color="auto" w:fill="FFFFFF"/>
          </w:tcPr>
          <w:p w:rsidR="00C2795A" w:rsidRPr="00CC3F44" w:rsidRDefault="00C2795A" w:rsidP="00547ACE">
            <w:pPr>
              <w:jc w:val="center"/>
            </w:pPr>
            <w:r w:rsidRPr="00CC3F44">
              <w:rPr>
                <w:rFonts w:cs="Arial"/>
                <w:sz w:val="22"/>
                <w:szCs w:val="22"/>
              </w:rPr>
              <w:sym w:font="Wingdings" w:char="F06C"/>
            </w:r>
          </w:p>
        </w:tc>
      </w:tr>
      <w:tr w:rsidR="00C2795A" w:rsidRPr="00AF5E7C" w:rsidTr="00547ACE">
        <w:trPr>
          <w:cantSplit/>
          <w:trHeight w:val="517"/>
        </w:trPr>
        <w:tc>
          <w:tcPr>
            <w:tcW w:w="1482" w:type="pct"/>
            <w:shd w:val="clear" w:color="auto" w:fill="auto"/>
            <w:tcMar>
              <w:top w:w="113" w:type="dxa"/>
              <w:bottom w:w="85" w:type="dxa"/>
            </w:tcMar>
          </w:tcPr>
          <w:p w:rsidR="00C2795A" w:rsidRPr="00AF5E7C" w:rsidRDefault="00C2795A" w:rsidP="00547ACE">
            <w:pPr>
              <w:keepNext/>
              <w:keepLines/>
              <w:rPr>
                <w:rFonts w:cs="Arial"/>
                <w:sz w:val="16"/>
                <w:szCs w:val="16"/>
              </w:rPr>
            </w:pPr>
          </w:p>
        </w:tc>
        <w:tc>
          <w:tcPr>
            <w:tcW w:w="2163" w:type="pct"/>
            <w:shd w:val="clear" w:color="auto" w:fill="auto"/>
            <w:tcMar>
              <w:top w:w="113" w:type="dxa"/>
              <w:bottom w:w="85" w:type="dxa"/>
            </w:tcMar>
          </w:tcPr>
          <w:p w:rsidR="00C2795A" w:rsidRPr="007C1AA9" w:rsidRDefault="00C2795A" w:rsidP="00547ACE">
            <w:pPr>
              <w:keepNext/>
              <w:keepLines/>
              <w:rPr>
                <w:rFonts w:cs="Arial"/>
                <w:sz w:val="16"/>
                <w:szCs w:val="16"/>
              </w:rPr>
            </w:pPr>
            <w:r w:rsidRPr="00C43F3D">
              <w:rPr>
                <w:rFonts w:cs="Arial"/>
                <w:sz w:val="16"/>
                <w:szCs w:val="16"/>
              </w:rPr>
              <w:t>No. of users of WIPO's Global Databases: PATENTSCOPE and Global Brand Database</w:t>
            </w:r>
          </w:p>
        </w:tc>
        <w:tc>
          <w:tcPr>
            <w:tcW w:w="880" w:type="pct"/>
            <w:shd w:val="clear" w:color="auto" w:fill="FFFFFF"/>
            <w:tcMar>
              <w:top w:w="113" w:type="dxa"/>
              <w:bottom w:w="85" w:type="dxa"/>
            </w:tcMar>
          </w:tcPr>
          <w:p w:rsidR="00C2795A" w:rsidRPr="00AF5E7C" w:rsidRDefault="00C2795A" w:rsidP="00547ACE">
            <w:pPr>
              <w:keepNext/>
              <w:keepLines/>
              <w:jc w:val="center"/>
              <w:rPr>
                <w:rFonts w:cs="Arial"/>
                <w:sz w:val="16"/>
                <w:szCs w:val="16"/>
                <w:lang w:bidi="th-TH"/>
              </w:rPr>
            </w:pPr>
            <w:r>
              <w:rPr>
                <w:rFonts w:cs="Arial"/>
                <w:sz w:val="16"/>
                <w:szCs w:val="16"/>
                <w:lang w:bidi="th-TH"/>
              </w:rPr>
              <w:t>Program 20</w:t>
            </w:r>
          </w:p>
        </w:tc>
        <w:tc>
          <w:tcPr>
            <w:tcW w:w="475" w:type="pct"/>
            <w:shd w:val="clear" w:color="auto" w:fill="FFFFFF"/>
          </w:tcPr>
          <w:p w:rsidR="00C2795A" w:rsidRPr="00CC3F44" w:rsidRDefault="00C2795A" w:rsidP="00547ACE">
            <w:pPr>
              <w:keepNext/>
              <w:keepLines/>
              <w:jc w:val="center"/>
              <w:rPr>
                <w:rFonts w:cs="Arial"/>
                <w:color w:val="A6A6A6" w:themeColor="background1" w:themeShade="A6"/>
                <w:sz w:val="22"/>
                <w:szCs w:val="22"/>
              </w:rPr>
            </w:pPr>
            <w:r w:rsidRPr="00CC3F44">
              <w:rPr>
                <w:rFonts w:cs="Arial"/>
                <w:color w:val="008000"/>
                <w:sz w:val="22"/>
                <w:szCs w:val="22"/>
              </w:rPr>
              <w:sym w:font="Wingdings" w:char="F06C"/>
            </w:r>
            <w:r w:rsidRPr="00CC3F44">
              <w:rPr>
                <w:rFonts w:cs="Arial"/>
                <w:color w:val="FF0000"/>
                <w:sz w:val="22"/>
                <w:szCs w:val="22"/>
              </w:rPr>
              <w:sym w:font="Wingdings" w:char="F06C"/>
            </w:r>
            <w:r w:rsidRPr="00CC3F44">
              <w:rPr>
                <w:rFonts w:cs="Arial"/>
                <w:color w:val="008000"/>
                <w:sz w:val="22"/>
                <w:szCs w:val="22"/>
              </w:rPr>
              <w:sym w:font="Wingdings" w:char="F06C"/>
            </w:r>
          </w:p>
          <w:p w:rsidR="00C2795A" w:rsidRPr="00CC3F44" w:rsidRDefault="00C2795A" w:rsidP="00547ACE">
            <w:pPr>
              <w:keepNext/>
              <w:keepLines/>
              <w:jc w:val="center"/>
            </w:pPr>
            <w:r w:rsidRPr="00CC3F44">
              <w:rPr>
                <w:rFonts w:cs="Arial"/>
                <w:color w:val="008000"/>
                <w:sz w:val="22"/>
                <w:szCs w:val="22"/>
              </w:rPr>
              <w:sym w:font="Wingdings" w:char="F06C"/>
            </w:r>
            <w:r w:rsidRPr="00CC3F44">
              <w:rPr>
                <w:rFonts w:cs="Arial"/>
                <w:color w:val="008000"/>
                <w:sz w:val="22"/>
                <w:szCs w:val="22"/>
              </w:rPr>
              <w:sym w:font="Wingdings" w:char="F06C"/>
            </w:r>
            <w:r w:rsidRPr="00CC3F44">
              <w:rPr>
                <w:rFonts w:cs="Arial"/>
                <w:color w:val="008000"/>
                <w:sz w:val="22"/>
                <w:szCs w:val="22"/>
              </w:rPr>
              <w:sym w:font="Wingdings" w:char="F06C"/>
            </w:r>
          </w:p>
        </w:tc>
      </w:tr>
      <w:tr w:rsidR="00C2795A" w:rsidRPr="00AF5E7C" w:rsidTr="00547ACE">
        <w:trPr>
          <w:cantSplit/>
          <w:trHeight w:val="337"/>
        </w:trPr>
        <w:tc>
          <w:tcPr>
            <w:tcW w:w="1482" w:type="pct"/>
            <w:vMerge w:val="restart"/>
            <w:shd w:val="clear" w:color="auto" w:fill="auto"/>
            <w:tcMar>
              <w:top w:w="113" w:type="dxa"/>
              <w:bottom w:w="85" w:type="dxa"/>
            </w:tcMar>
          </w:tcPr>
          <w:p w:rsidR="00C2795A" w:rsidRPr="00AF5E7C" w:rsidRDefault="00C2795A" w:rsidP="00547ACE">
            <w:pPr>
              <w:keepNext/>
              <w:keepLines/>
              <w:rPr>
                <w:rFonts w:cs="Arial"/>
                <w:sz w:val="16"/>
                <w:szCs w:val="16"/>
              </w:rPr>
            </w:pPr>
          </w:p>
        </w:tc>
        <w:tc>
          <w:tcPr>
            <w:tcW w:w="2163" w:type="pct"/>
            <w:shd w:val="clear" w:color="auto" w:fill="auto"/>
            <w:tcMar>
              <w:top w:w="113" w:type="dxa"/>
              <w:bottom w:w="85" w:type="dxa"/>
            </w:tcMar>
          </w:tcPr>
          <w:p w:rsidR="00C2795A" w:rsidRPr="007C1AA9" w:rsidRDefault="00C2795A" w:rsidP="00547ACE">
            <w:pPr>
              <w:keepNext/>
              <w:keepLines/>
              <w:rPr>
                <w:rFonts w:cs="Arial"/>
                <w:sz w:val="16"/>
                <w:szCs w:val="16"/>
              </w:rPr>
            </w:pPr>
            <w:r>
              <w:rPr>
                <w:rFonts w:cs="Arial"/>
                <w:sz w:val="16"/>
                <w:szCs w:val="16"/>
              </w:rPr>
              <w:t>I</w:t>
            </w:r>
            <w:r w:rsidRPr="0092679D">
              <w:rPr>
                <w:rFonts w:cs="Arial"/>
                <w:sz w:val="16"/>
                <w:szCs w:val="16"/>
              </w:rPr>
              <w:t xml:space="preserve">ncrease in the </w:t>
            </w:r>
            <w:r>
              <w:rPr>
                <w:rFonts w:cs="Arial"/>
                <w:sz w:val="16"/>
                <w:szCs w:val="16"/>
              </w:rPr>
              <w:t>no.</w:t>
            </w:r>
            <w:r w:rsidRPr="0092679D">
              <w:rPr>
                <w:rFonts w:cs="Arial"/>
                <w:sz w:val="16"/>
                <w:szCs w:val="16"/>
              </w:rPr>
              <w:t xml:space="preserve"> of WIPO Lex users </w:t>
            </w:r>
          </w:p>
        </w:tc>
        <w:tc>
          <w:tcPr>
            <w:tcW w:w="880" w:type="pct"/>
            <w:shd w:val="clear" w:color="auto" w:fill="FFFFFF"/>
            <w:tcMar>
              <w:top w:w="113" w:type="dxa"/>
              <w:bottom w:w="85" w:type="dxa"/>
            </w:tcMar>
          </w:tcPr>
          <w:p w:rsidR="00C2795A" w:rsidRPr="00AF5E7C" w:rsidRDefault="00C2795A" w:rsidP="00547ACE">
            <w:pPr>
              <w:keepNext/>
              <w:keepLines/>
              <w:jc w:val="center"/>
              <w:rPr>
                <w:rFonts w:cs="Arial"/>
                <w:sz w:val="16"/>
                <w:szCs w:val="16"/>
                <w:lang w:bidi="th-TH"/>
              </w:rPr>
            </w:pPr>
            <w:r>
              <w:rPr>
                <w:rFonts w:cs="Arial"/>
                <w:sz w:val="16"/>
                <w:szCs w:val="16"/>
                <w:lang w:bidi="th-TH"/>
              </w:rPr>
              <w:t>Program 21</w:t>
            </w:r>
          </w:p>
        </w:tc>
        <w:tc>
          <w:tcPr>
            <w:tcW w:w="475" w:type="pct"/>
            <w:shd w:val="clear" w:color="auto" w:fill="FFFFFF"/>
          </w:tcPr>
          <w:p w:rsidR="00C2795A" w:rsidRPr="00CC3F44" w:rsidRDefault="00C2795A" w:rsidP="00547ACE">
            <w:pPr>
              <w:keepNext/>
              <w:keepLines/>
              <w:jc w:val="center"/>
            </w:pPr>
            <w:r w:rsidRPr="00CC3F44">
              <w:rPr>
                <w:rFonts w:cs="Arial"/>
                <w:color w:val="008000"/>
                <w:sz w:val="22"/>
                <w:szCs w:val="22"/>
              </w:rPr>
              <w:sym w:font="Wingdings" w:char="F06C"/>
            </w:r>
          </w:p>
        </w:tc>
      </w:tr>
      <w:tr w:rsidR="00C2795A" w:rsidRPr="00AF5E7C" w:rsidTr="00547ACE">
        <w:trPr>
          <w:cantSplit/>
          <w:trHeight w:val="346"/>
        </w:trPr>
        <w:tc>
          <w:tcPr>
            <w:tcW w:w="1482" w:type="pct"/>
            <w:vMerge/>
            <w:shd w:val="clear" w:color="auto" w:fill="auto"/>
            <w:tcMar>
              <w:top w:w="113" w:type="dxa"/>
              <w:bottom w:w="85" w:type="dxa"/>
            </w:tcMar>
          </w:tcPr>
          <w:p w:rsidR="00C2795A" w:rsidRPr="00AF5E7C" w:rsidRDefault="00C2795A" w:rsidP="00547ACE">
            <w:pPr>
              <w:rPr>
                <w:rFonts w:cs="Arial"/>
                <w:sz w:val="16"/>
                <w:szCs w:val="16"/>
              </w:rPr>
            </w:pPr>
          </w:p>
        </w:tc>
        <w:tc>
          <w:tcPr>
            <w:tcW w:w="2163" w:type="pct"/>
            <w:shd w:val="clear" w:color="auto" w:fill="auto"/>
            <w:tcMar>
              <w:top w:w="113" w:type="dxa"/>
              <w:bottom w:w="85" w:type="dxa"/>
            </w:tcMar>
          </w:tcPr>
          <w:p w:rsidR="00C2795A" w:rsidRDefault="00C2795A" w:rsidP="00547ACE">
            <w:pPr>
              <w:rPr>
                <w:rFonts w:cs="Arial"/>
                <w:sz w:val="16"/>
                <w:szCs w:val="16"/>
              </w:rPr>
            </w:pPr>
            <w:r>
              <w:rPr>
                <w:rFonts w:cs="Arial"/>
                <w:sz w:val="16"/>
                <w:szCs w:val="16"/>
              </w:rPr>
              <w:t>No. of sustainable TTOs established and/or strengthened in Universities or R&amp;D institutions</w:t>
            </w:r>
          </w:p>
        </w:tc>
        <w:tc>
          <w:tcPr>
            <w:tcW w:w="880" w:type="pct"/>
            <w:shd w:val="clear" w:color="auto" w:fill="FFFFFF"/>
            <w:tcMar>
              <w:top w:w="113" w:type="dxa"/>
              <w:bottom w:w="85" w:type="dxa"/>
            </w:tcMar>
          </w:tcPr>
          <w:p w:rsidR="00C2795A" w:rsidRDefault="00C2795A" w:rsidP="00547ACE">
            <w:pPr>
              <w:jc w:val="center"/>
              <w:rPr>
                <w:rFonts w:cs="Arial"/>
                <w:sz w:val="16"/>
                <w:szCs w:val="16"/>
                <w:lang w:bidi="th-TH"/>
              </w:rPr>
            </w:pPr>
            <w:r>
              <w:rPr>
                <w:rFonts w:cs="Arial"/>
                <w:sz w:val="16"/>
                <w:szCs w:val="16"/>
                <w:lang w:bidi="th-TH"/>
              </w:rPr>
              <w:t>Program 30</w:t>
            </w:r>
          </w:p>
          <w:p w:rsidR="00C2795A" w:rsidRDefault="00C2795A" w:rsidP="00547ACE">
            <w:pPr>
              <w:ind w:left="660"/>
              <w:jc w:val="center"/>
              <w:rPr>
                <w:rFonts w:cs="Arial"/>
                <w:sz w:val="16"/>
                <w:szCs w:val="16"/>
                <w:lang w:bidi="th-TH"/>
              </w:rPr>
            </w:pPr>
          </w:p>
        </w:tc>
        <w:tc>
          <w:tcPr>
            <w:tcW w:w="475" w:type="pct"/>
            <w:shd w:val="clear" w:color="auto" w:fill="FFFFFF"/>
          </w:tcPr>
          <w:p w:rsidR="00C2795A" w:rsidRPr="00CC3F44" w:rsidRDefault="00C2795A" w:rsidP="00547ACE">
            <w:pPr>
              <w:jc w:val="center"/>
              <w:rPr>
                <w:rFonts w:cs="Arial"/>
                <w:color w:val="A6A6A6" w:themeColor="background1" w:themeShade="A6"/>
                <w:sz w:val="22"/>
                <w:szCs w:val="22"/>
              </w:rPr>
            </w:pPr>
            <w:r w:rsidRPr="00CC3F44">
              <w:rPr>
                <w:rFonts w:cs="Arial"/>
                <w:color w:val="FF0000"/>
                <w:sz w:val="22"/>
                <w:szCs w:val="22"/>
              </w:rPr>
              <w:sym w:font="Wingdings" w:char="F06C"/>
            </w:r>
          </w:p>
        </w:tc>
      </w:tr>
      <w:tr w:rsidR="00C2795A" w:rsidRPr="00AF5E7C" w:rsidTr="00547ACE">
        <w:trPr>
          <w:cantSplit/>
          <w:trHeight w:val="409"/>
        </w:trPr>
        <w:tc>
          <w:tcPr>
            <w:tcW w:w="1482" w:type="pct"/>
            <w:vMerge/>
            <w:shd w:val="clear" w:color="auto" w:fill="auto"/>
            <w:tcMar>
              <w:top w:w="113" w:type="dxa"/>
              <w:bottom w:w="85" w:type="dxa"/>
            </w:tcMar>
          </w:tcPr>
          <w:p w:rsidR="00C2795A" w:rsidRPr="00AF5E7C" w:rsidRDefault="00C2795A" w:rsidP="00547ACE">
            <w:pPr>
              <w:rPr>
                <w:rFonts w:cs="Arial"/>
                <w:sz w:val="16"/>
                <w:szCs w:val="16"/>
              </w:rPr>
            </w:pPr>
          </w:p>
        </w:tc>
        <w:tc>
          <w:tcPr>
            <w:tcW w:w="2163" w:type="pct"/>
            <w:shd w:val="clear" w:color="auto" w:fill="auto"/>
            <w:tcMar>
              <w:top w:w="113" w:type="dxa"/>
              <w:bottom w:w="85" w:type="dxa"/>
            </w:tcMar>
          </w:tcPr>
          <w:p w:rsidR="00C2795A" w:rsidRDefault="00C2795A" w:rsidP="00547ACE">
            <w:pPr>
              <w:rPr>
                <w:rFonts w:cs="Arial"/>
                <w:sz w:val="16"/>
                <w:szCs w:val="16"/>
              </w:rPr>
            </w:pPr>
            <w:r>
              <w:rPr>
                <w:rFonts w:cs="Arial"/>
                <w:sz w:val="16"/>
                <w:szCs w:val="16"/>
              </w:rPr>
              <w:t>No. of universities and/or research institutions which have established IP policies</w:t>
            </w:r>
          </w:p>
        </w:tc>
        <w:tc>
          <w:tcPr>
            <w:tcW w:w="880" w:type="pct"/>
            <w:shd w:val="clear" w:color="auto" w:fill="FFFFFF"/>
            <w:tcMar>
              <w:top w:w="113" w:type="dxa"/>
              <w:bottom w:w="85" w:type="dxa"/>
            </w:tcMar>
          </w:tcPr>
          <w:p w:rsidR="00C2795A" w:rsidRDefault="00C2795A" w:rsidP="00547ACE">
            <w:pPr>
              <w:jc w:val="center"/>
              <w:rPr>
                <w:rFonts w:cs="Arial"/>
                <w:sz w:val="16"/>
                <w:szCs w:val="16"/>
                <w:lang w:bidi="th-TH"/>
              </w:rPr>
            </w:pPr>
            <w:r>
              <w:rPr>
                <w:rFonts w:cs="Arial"/>
                <w:sz w:val="16"/>
                <w:szCs w:val="16"/>
                <w:lang w:bidi="th-TH"/>
              </w:rPr>
              <w:t>Program 30</w:t>
            </w:r>
          </w:p>
        </w:tc>
        <w:tc>
          <w:tcPr>
            <w:tcW w:w="475" w:type="pct"/>
            <w:shd w:val="clear" w:color="auto" w:fill="FFFFFF"/>
          </w:tcPr>
          <w:p w:rsidR="00C2795A" w:rsidRPr="00CC3F44" w:rsidRDefault="00C2795A" w:rsidP="00547ACE">
            <w:pPr>
              <w:jc w:val="center"/>
              <w:rPr>
                <w:rFonts w:cs="Arial"/>
                <w:color w:val="A6A6A6" w:themeColor="background1" w:themeShade="A6"/>
                <w:sz w:val="22"/>
                <w:szCs w:val="22"/>
              </w:rPr>
            </w:pPr>
            <w:r w:rsidRPr="00CC3F44">
              <w:rPr>
                <w:rFonts w:cs="Arial"/>
                <w:color w:val="008000"/>
                <w:sz w:val="22"/>
                <w:szCs w:val="22"/>
              </w:rPr>
              <w:sym w:font="Wingdings" w:char="F06C"/>
            </w:r>
          </w:p>
        </w:tc>
      </w:tr>
      <w:tr w:rsidR="00C2795A" w:rsidRPr="00AF5E7C" w:rsidTr="00547ACE">
        <w:trPr>
          <w:cantSplit/>
          <w:trHeight w:val="256"/>
        </w:trPr>
        <w:tc>
          <w:tcPr>
            <w:tcW w:w="1482" w:type="pct"/>
            <w:vMerge w:val="restart"/>
            <w:shd w:val="clear" w:color="auto" w:fill="auto"/>
            <w:tcMar>
              <w:top w:w="113" w:type="dxa"/>
              <w:bottom w:w="85" w:type="dxa"/>
            </w:tcMar>
          </w:tcPr>
          <w:p w:rsidR="00C2795A" w:rsidRPr="003E1C54" w:rsidRDefault="00C2795A" w:rsidP="00547ACE">
            <w:pPr>
              <w:keepNext/>
              <w:rPr>
                <w:rFonts w:cs="Arial"/>
                <w:sz w:val="16"/>
                <w:szCs w:val="16"/>
              </w:rPr>
            </w:pPr>
            <w:r w:rsidRPr="003E1C54">
              <w:rPr>
                <w:rFonts w:cs="Arial"/>
                <w:sz w:val="16"/>
                <w:szCs w:val="16"/>
              </w:rPr>
              <w:t>IV.</w:t>
            </w:r>
            <w:r w:rsidRPr="00BD3063">
              <w:rPr>
                <w:rFonts w:cs="Arial"/>
                <w:sz w:val="16"/>
                <w:szCs w:val="16"/>
              </w:rPr>
              <w:t xml:space="preserve">3 </w:t>
            </w:r>
            <w:r>
              <w:rPr>
                <w:rFonts w:cs="Arial"/>
                <w:sz w:val="16"/>
                <w:szCs w:val="16"/>
              </w:rPr>
              <w:t xml:space="preserve"> </w:t>
            </w:r>
            <w:r w:rsidRPr="00BD3063">
              <w:rPr>
                <w:rFonts w:cs="Arial"/>
                <w:sz w:val="16"/>
                <w:szCs w:val="16"/>
              </w:rPr>
              <w:t>Broad geographical coverage of the content and use of WIPO Global IP Databases</w:t>
            </w:r>
          </w:p>
        </w:tc>
        <w:tc>
          <w:tcPr>
            <w:tcW w:w="2163" w:type="pct"/>
            <w:shd w:val="clear" w:color="auto" w:fill="auto"/>
            <w:tcMar>
              <w:top w:w="113" w:type="dxa"/>
              <w:bottom w:w="85" w:type="dxa"/>
            </w:tcMar>
          </w:tcPr>
          <w:p w:rsidR="00C2795A" w:rsidRPr="003E1C54" w:rsidRDefault="00C2795A" w:rsidP="00547ACE">
            <w:pPr>
              <w:keepNext/>
              <w:rPr>
                <w:rFonts w:cs="Arial"/>
                <w:sz w:val="16"/>
                <w:szCs w:val="16"/>
              </w:rPr>
            </w:pPr>
            <w:r w:rsidRPr="003E1C54">
              <w:rPr>
                <w:rFonts w:cs="Arial"/>
                <w:sz w:val="16"/>
                <w:szCs w:val="16"/>
              </w:rPr>
              <w:t>No</w:t>
            </w:r>
            <w:r>
              <w:rPr>
                <w:rFonts w:cs="Arial"/>
                <w:sz w:val="16"/>
                <w:szCs w:val="16"/>
              </w:rPr>
              <w:t>.</w:t>
            </w:r>
            <w:r w:rsidRPr="003E1C54">
              <w:rPr>
                <w:rFonts w:cs="Arial"/>
                <w:sz w:val="16"/>
                <w:szCs w:val="16"/>
              </w:rPr>
              <w:t xml:space="preserve"> of records contained in PATENTSCOPE </w:t>
            </w:r>
          </w:p>
        </w:tc>
        <w:tc>
          <w:tcPr>
            <w:tcW w:w="880" w:type="pct"/>
            <w:shd w:val="clear" w:color="auto" w:fill="FFFFFF"/>
            <w:tcMar>
              <w:top w:w="113" w:type="dxa"/>
              <w:bottom w:w="85" w:type="dxa"/>
            </w:tcMar>
          </w:tcPr>
          <w:p w:rsidR="00C2795A" w:rsidRPr="00AF5E7C" w:rsidRDefault="00C2795A" w:rsidP="00547ACE">
            <w:pPr>
              <w:keepNext/>
              <w:jc w:val="center"/>
              <w:rPr>
                <w:rFonts w:cs="Arial"/>
                <w:sz w:val="16"/>
                <w:szCs w:val="16"/>
                <w:lang w:bidi="th-TH"/>
              </w:rPr>
            </w:pPr>
            <w:r>
              <w:rPr>
                <w:rFonts w:cs="Arial"/>
                <w:sz w:val="16"/>
                <w:szCs w:val="16"/>
                <w:lang w:bidi="th-TH"/>
              </w:rPr>
              <w:t>Program 13</w:t>
            </w:r>
          </w:p>
        </w:tc>
        <w:tc>
          <w:tcPr>
            <w:tcW w:w="475" w:type="pct"/>
            <w:shd w:val="clear" w:color="auto" w:fill="FFFFFF"/>
          </w:tcPr>
          <w:p w:rsidR="00C2795A" w:rsidRPr="00CC3F44" w:rsidRDefault="00C2795A" w:rsidP="00547ACE">
            <w:pPr>
              <w:keepNext/>
              <w:jc w:val="center"/>
            </w:pPr>
            <w:r w:rsidRPr="00CC3F44">
              <w:rPr>
                <w:rFonts w:cs="Arial"/>
                <w:color w:val="008000"/>
                <w:sz w:val="22"/>
                <w:szCs w:val="22"/>
              </w:rPr>
              <w:sym w:font="Wingdings" w:char="F06C"/>
            </w:r>
          </w:p>
        </w:tc>
      </w:tr>
      <w:tr w:rsidR="00C2795A" w:rsidRPr="00AF5E7C" w:rsidTr="00547ACE">
        <w:trPr>
          <w:cantSplit/>
          <w:trHeight w:val="337"/>
        </w:trPr>
        <w:tc>
          <w:tcPr>
            <w:tcW w:w="1482" w:type="pct"/>
            <w:vMerge/>
            <w:shd w:val="clear" w:color="auto" w:fill="auto"/>
            <w:tcMar>
              <w:top w:w="113" w:type="dxa"/>
              <w:bottom w:w="85" w:type="dxa"/>
            </w:tcMar>
          </w:tcPr>
          <w:p w:rsidR="00C2795A" w:rsidRPr="003E1C54" w:rsidRDefault="00C2795A" w:rsidP="00547ACE">
            <w:pPr>
              <w:rPr>
                <w:rFonts w:cs="Arial"/>
                <w:sz w:val="16"/>
                <w:szCs w:val="16"/>
              </w:rPr>
            </w:pPr>
          </w:p>
        </w:tc>
        <w:tc>
          <w:tcPr>
            <w:tcW w:w="2163" w:type="pct"/>
            <w:shd w:val="clear" w:color="auto" w:fill="auto"/>
            <w:tcMar>
              <w:top w:w="113" w:type="dxa"/>
              <w:bottom w:w="85" w:type="dxa"/>
            </w:tcMar>
          </w:tcPr>
          <w:p w:rsidR="00C2795A" w:rsidRPr="003E1C54" w:rsidRDefault="00C2795A" w:rsidP="00547ACE">
            <w:pPr>
              <w:rPr>
                <w:rFonts w:cs="Arial"/>
                <w:sz w:val="16"/>
                <w:szCs w:val="16"/>
              </w:rPr>
            </w:pPr>
            <w:r w:rsidRPr="003E1C54">
              <w:rPr>
                <w:rFonts w:cs="Arial"/>
                <w:sz w:val="16"/>
                <w:szCs w:val="16"/>
              </w:rPr>
              <w:t>No. of records contained in Global Brand Databases</w:t>
            </w:r>
          </w:p>
        </w:tc>
        <w:tc>
          <w:tcPr>
            <w:tcW w:w="880" w:type="pct"/>
            <w:shd w:val="clear" w:color="auto" w:fill="FFFFFF"/>
            <w:tcMar>
              <w:top w:w="113" w:type="dxa"/>
              <w:bottom w:w="85" w:type="dxa"/>
            </w:tcMar>
          </w:tcPr>
          <w:p w:rsidR="00C2795A" w:rsidRDefault="00C2795A" w:rsidP="00547ACE">
            <w:pPr>
              <w:jc w:val="center"/>
              <w:rPr>
                <w:rFonts w:cs="Arial"/>
                <w:sz w:val="16"/>
                <w:szCs w:val="16"/>
                <w:lang w:bidi="th-TH"/>
              </w:rPr>
            </w:pPr>
            <w:r>
              <w:rPr>
                <w:rFonts w:cs="Arial"/>
                <w:sz w:val="16"/>
                <w:szCs w:val="16"/>
                <w:lang w:bidi="th-TH"/>
              </w:rPr>
              <w:t>Program 13</w:t>
            </w:r>
          </w:p>
        </w:tc>
        <w:tc>
          <w:tcPr>
            <w:tcW w:w="475" w:type="pct"/>
            <w:shd w:val="clear" w:color="auto" w:fill="FFFFFF"/>
          </w:tcPr>
          <w:p w:rsidR="00C2795A" w:rsidRPr="00CC3F44" w:rsidRDefault="00C2795A" w:rsidP="00547ACE">
            <w:pPr>
              <w:jc w:val="center"/>
              <w:rPr>
                <w:rFonts w:cs="Arial"/>
                <w:color w:val="A6A6A6" w:themeColor="background1" w:themeShade="A6"/>
                <w:sz w:val="22"/>
                <w:szCs w:val="22"/>
              </w:rPr>
            </w:pPr>
            <w:r w:rsidRPr="00CC3F44">
              <w:rPr>
                <w:rFonts w:cs="Arial"/>
                <w:color w:val="008000"/>
                <w:sz w:val="22"/>
                <w:szCs w:val="22"/>
              </w:rPr>
              <w:sym w:font="Wingdings" w:char="F06C"/>
            </w:r>
          </w:p>
        </w:tc>
      </w:tr>
      <w:tr w:rsidR="00C2795A" w:rsidRPr="00AF5E7C" w:rsidTr="00547ACE">
        <w:trPr>
          <w:cantSplit/>
          <w:trHeight w:val="370"/>
        </w:trPr>
        <w:tc>
          <w:tcPr>
            <w:tcW w:w="1482" w:type="pct"/>
            <w:shd w:val="clear" w:color="auto" w:fill="auto"/>
            <w:tcMar>
              <w:top w:w="113" w:type="dxa"/>
              <w:bottom w:w="85" w:type="dxa"/>
            </w:tcMar>
          </w:tcPr>
          <w:p w:rsidR="00C2795A" w:rsidRPr="00AF5E7C" w:rsidRDefault="00C2795A" w:rsidP="00547ACE">
            <w:pPr>
              <w:rPr>
                <w:rFonts w:cs="Arial"/>
                <w:sz w:val="16"/>
                <w:szCs w:val="16"/>
              </w:rPr>
            </w:pPr>
          </w:p>
        </w:tc>
        <w:tc>
          <w:tcPr>
            <w:tcW w:w="2163" w:type="pct"/>
            <w:shd w:val="clear" w:color="auto" w:fill="auto"/>
            <w:tcMar>
              <w:top w:w="113" w:type="dxa"/>
              <w:bottom w:w="85" w:type="dxa"/>
            </w:tcMar>
          </w:tcPr>
          <w:p w:rsidR="00C2795A" w:rsidRPr="003E1C54" w:rsidRDefault="00C2795A" w:rsidP="00547ACE">
            <w:pPr>
              <w:rPr>
                <w:rFonts w:cs="Arial"/>
                <w:sz w:val="16"/>
                <w:szCs w:val="16"/>
              </w:rPr>
            </w:pPr>
            <w:r w:rsidRPr="003E1C54">
              <w:rPr>
                <w:rFonts w:cs="Arial"/>
                <w:sz w:val="16"/>
                <w:szCs w:val="16"/>
              </w:rPr>
              <w:t>No. of national collections in PATENTSCOPE</w:t>
            </w:r>
          </w:p>
        </w:tc>
        <w:tc>
          <w:tcPr>
            <w:tcW w:w="880" w:type="pct"/>
            <w:shd w:val="clear" w:color="auto" w:fill="FFFFFF"/>
            <w:tcMar>
              <w:top w:w="113" w:type="dxa"/>
              <w:bottom w:w="85" w:type="dxa"/>
            </w:tcMar>
          </w:tcPr>
          <w:p w:rsidR="00C2795A" w:rsidRPr="00AF5E7C" w:rsidRDefault="00C2795A" w:rsidP="00547ACE">
            <w:pPr>
              <w:jc w:val="center"/>
              <w:rPr>
                <w:rFonts w:cs="Arial"/>
                <w:sz w:val="16"/>
                <w:szCs w:val="16"/>
                <w:lang w:bidi="th-TH"/>
              </w:rPr>
            </w:pPr>
            <w:r>
              <w:rPr>
                <w:rFonts w:cs="Arial"/>
                <w:sz w:val="16"/>
                <w:szCs w:val="16"/>
                <w:lang w:bidi="th-TH"/>
              </w:rPr>
              <w:t>Program 13</w:t>
            </w:r>
          </w:p>
        </w:tc>
        <w:tc>
          <w:tcPr>
            <w:tcW w:w="475" w:type="pct"/>
            <w:shd w:val="clear" w:color="auto" w:fill="FFFFFF"/>
          </w:tcPr>
          <w:p w:rsidR="00C2795A" w:rsidRPr="00CC3F44" w:rsidRDefault="00C2795A" w:rsidP="00547ACE">
            <w:pPr>
              <w:jc w:val="center"/>
            </w:pPr>
            <w:r w:rsidRPr="00CC3F44">
              <w:rPr>
                <w:rFonts w:cs="Arial"/>
                <w:color w:val="008000"/>
                <w:sz w:val="22"/>
                <w:szCs w:val="22"/>
              </w:rPr>
              <w:sym w:font="Wingdings" w:char="F06C"/>
            </w:r>
          </w:p>
        </w:tc>
      </w:tr>
      <w:tr w:rsidR="00C2795A" w:rsidRPr="00AF5E7C" w:rsidTr="00547ACE">
        <w:trPr>
          <w:cantSplit/>
          <w:trHeight w:val="445"/>
        </w:trPr>
        <w:tc>
          <w:tcPr>
            <w:tcW w:w="1482" w:type="pct"/>
            <w:shd w:val="clear" w:color="auto" w:fill="auto"/>
            <w:tcMar>
              <w:top w:w="113" w:type="dxa"/>
              <w:bottom w:w="85" w:type="dxa"/>
            </w:tcMar>
          </w:tcPr>
          <w:p w:rsidR="00C2795A" w:rsidRPr="00AF5E7C" w:rsidRDefault="00C2795A" w:rsidP="00547ACE">
            <w:pPr>
              <w:rPr>
                <w:rFonts w:cs="Arial"/>
                <w:sz w:val="16"/>
                <w:szCs w:val="16"/>
              </w:rPr>
            </w:pPr>
          </w:p>
        </w:tc>
        <w:tc>
          <w:tcPr>
            <w:tcW w:w="2163" w:type="pct"/>
            <w:shd w:val="clear" w:color="auto" w:fill="auto"/>
            <w:tcMar>
              <w:top w:w="113" w:type="dxa"/>
              <w:bottom w:w="85" w:type="dxa"/>
            </w:tcMar>
          </w:tcPr>
          <w:p w:rsidR="00C2795A" w:rsidRPr="003E1C54" w:rsidRDefault="00C2795A" w:rsidP="00547ACE">
            <w:pPr>
              <w:rPr>
                <w:rFonts w:cs="Arial"/>
                <w:sz w:val="16"/>
                <w:szCs w:val="16"/>
              </w:rPr>
            </w:pPr>
            <w:r w:rsidRPr="003E1C54">
              <w:rPr>
                <w:rFonts w:cs="Arial"/>
                <w:sz w:val="16"/>
                <w:szCs w:val="16"/>
              </w:rPr>
              <w:t>No. of national collections in Global Brand Database</w:t>
            </w:r>
          </w:p>
        </w:tc>
        <w:tc>
          <w:tcPr>
            <w:tcW w:w="880" w:type="pct"/>
            <w:shd w:val="clear" w:color="auto" w:fill="FFFFFF"/>
            <w:tcMar>
              <w:top w:w="113" w:type="dxa"/>
              <w:bottom w:w="85" w:type="dxa"/>
            </w:tcMar>
          </w:tcPr>
          <w:p w:rsidR="00C2795A" w:rsidRPr="00AF5E7C" w:rsidRDefault="00C2795A" w:rsidP="00547ACE">
            <w:pPr>
              <w:jc w:val="center"/>
              <w:rPr>
                <w:rFonts w:cs="Arial"/>
                <w:sz w:val="16"/>
                <w:szCs w:val="16"/>
                <w:lang w:bidi="th-TH"/>
              </w:rPr>
            </w:pPr>
            <w:r>
              <w:rPr>
                <w:rFonts w:cs="Arial"/>
                <w:sz w:val="16"/>
                <w:szCs w:val="16"/>
                <w:lang w:bidi="th-TH"/>
              </w:rPr>
              <w:t>Program 13</w:t>
            </w:r>
          </w:p>
        </w:tc>
        <w:tc>
          <w:tcPr>
            <w:tcW w:w="475" w:type="pct"/>
            <w:shd w:val="clear" w:color="auto" w:fill="FFFFFF"/>
          </w:tcPr>
          <w:p w:rsidR="00C2795A" w:rsidRPr="00CC3F44" w:rsidRDefault="00C2795A" w:rsidP="00547ACE">
            <w:pPr>
              <w:jc w:val="center"/>
            </w:pPr>
            <w:r w:rsidRPr="00CC3F44">
              <w:rPr>
                <w:rFonts w:cs="Arial"/>
                <w:color w:val="008000"/>
                <w:sz w:val="22"/>
                <w:szCs w:val="22"/>
              </w:rPr>
              <w:sym w:font="Wingdings" w:char="F06C"/>
            </w:r>
          </w:p>
        </w:tc>
      </w:tr>
      <w:tr w:rsidR="00C2795A" w:rsidRPr="00AF5E7C" w:rsidTr="00547ACE">
        <w:trPr>
          <w:cantSplit/>
          <w:trHeight w:val="436"/>
        </w:trPr>
        <w:tc>
          <w:tcPr>
            <w:tcW w:w="1482" w:type="pct"/>
            <w:vMerge w:val="restart"/>
            <w:shd w:val="clear" w:color="auto" w:fill="auto"/>
            <w:tcMar>
              <w:top w:w="113" w:type="dxa"/>
              <w:bottom w:w="85" w:type="dxa"/>
            </w:tcMar>
          </w:tcPr>
          <w:p w:rsidR="00C2795A" w:rsidRPr="00B004F2" w:rsidRDefault="00C2795A" w:rsidP="00547ACE">
            <w:pPr>
              <w:rPr>
                <w:rFonts w:cs="Arial"/>
                <w:sz w:val="16"/>
                <w:szCs w:val="16"/>
              </w:rPr>
            </w:pPr>
            <w:r w:rsidRPr="00B004F2">
              <w:rPr>
                <w:rFonts w:cs="Arial"/>
                <w:sz w:val="16"/>
                <w:szCs w:val="16"/>
              </w:rPr>
              <w:t>IV.4</w:t>
            </w:r>
            <w:r>
              <w:rPr>
                <w:rFonts w:cs="Arial"/>
                <w:sz w:val="16"/>
                <w:szCs w:val="16"/>
              </w:rPr>
              <w:t xml:space="preserve">  </w:t>
            </w:r>
            <w:r w:rsidRPr="00B004F2">
              <w:rPr>
                <w:rFonts w:cs="Arial"/>
                <w:sz w:val="16"/>
                <w:szCs w:val="16"/>
              </w:rPr>
              <w:t>Enhanced technical and knowledge infrastructure for IP Offices and other IP institutions leading to better services (cheaper, faster, higher quality) to their stakeholders</w:t>
            </w:r>
          </w:p>
        </w:tc>
        <w:tc>
          <w:tcPr>
            <w:tcW w:w="2163" w:type="pct"/>
            <w:shd w:val="clear" w:color="auto" w:fill="auto"/>
            <w:tcMar>
              <w:top w:w="113" w:type="dxa"/>
              <w:bottom w:w="85" w:type="dxa"/>
            </w:tcMar>
          </w:tcPr>
          <w:p w:rsidR="00C2795A" w:rsidRPr="00B004F2" w:rsidRDefault="00C2795A" w:rsidP="00547ACE">
            <w:pPr>
              <w:rPr>
                <w:rFonts w:cs="Arial"/>
                <w:sz w:val="16"/>
                <w:szCs w:val="16"/>
              </w:rPr>
            </w:pPr>
            <w:r w:rsidRPr="00B004F2">
              <w:rPr>
                <w:rFonts w:cs="Arial"/>
                <w:sz w:val="16"/>
                <w:szCs w:val="16"/>
              </w:rPr>
              <w:t>N</w:t>
            </w:r>
            <w:r>
              <w:rPr>
                <w:rFonts w:cs="Arial"/>
                <w:sz w:val="16"/>
                <w:szCs w:val="16"/>
              </w:rPr>
              <w:t>o.</w:t>
            </w:r>
            <w:r w:rsidRPr="00B004F2">
              <w:rPr>
                <w:rFonts w:cs="Arial"/>
                <w:sz w:val="16"/>
                <w:szCs w:val="16"/>
              </w:rPr>
              <w:t xml:space="preserve"> of governments and CMOs signing an agreement with WIPO to re-engineer WIPOCOS</w:t>
            </w:r>
          </w:p>
        </w:tc>
        <w:tc>
          <w:tcPr>
            <w:tcW w:w="880" w:type="pct"/>
            <w:shd w:val="clear" w:color="auto" w:fill="FFFFFF"/>
            <w:tcMar>
              <w:top w:w="113" w:type="dxa"/>
              <w:bottom w:w="85" w:type="dxa"/>
            </w:tcMar>
          </w:tcPr>
          <w:p w:rsidR="00C2795A" w:rsidRPr="00AF5E7C" w:rsidRDefault="00C2795A" w:rsidP="00547ACE">
            <w:pPr>
              <w:jc w:val="center"/>
              <w:rPr>
                <w:rFonts w:cs="Arial"/>
                <w:sz w:val="16"/>
                <w:szCs w:val="16"/>
                <w:lang w:bidi="th-TH"/>
              </w:rPr>
            </w:pPr>
            <w:r>
              <w:rPr>
                <w:rFonts w:cs="Arial"/>
                <w:sz w:val="16"/>
                <w:szCs w:val="16"/>
                <w:lang w:bidi="th-TH"/>
              </w:rPr>
              <w:t>Program 3</w:t>
            </w:r>
          </w:p>
        </w:tc>
        <w:tc>
          <w:tcPr>
            <w:tcW w:w="475" w:type="pct"/>
            <w:shd w:val="clear" w:color="auto" w:fill="FFFFFF"/>
          </w:tcPr>
          <w:p w:rsidR="00C2795A" w:rsidRPr="00CC3F44" w:rsidRDefault="00C2795A" w:rsidP="00547ACE">
            <w:pPr>
              <w:spacing w:before="40"/>
              <w:jc w:val="center"/>
            </w:pPr>
            <w:r w:rsidRPr="00CC3F44">
              <w:rPr>
                <w:rFonts w:cs="Arial"/>
                <w:color w:val="008000"/>
                <w:sz w:val="22"/>
                <w:szCs w:val="22"/>
              </w:rPr>
              <w:sym w:font="Wingdings" w:char="F06C"/>
            </w:r>
          </w:p>
        </w:tc>
      </w:tr>
      <w:tr w:rsidR="00C2795A" w:rsidRPr="00AF5E7C" w:rsidTr="00547ACE">
        <w:trPr>
          <w:cantSplit/>
          <w:trHeight w:val="144"/>
        </w:trPr>
        <w:tc>
          <w:tcPr>
            <w:tcW w:w="1482" w:type="pct"/>
            <w:vMerge/>
            <w:shd w:val="clear" w:color="auto" w:fill="auto"/>
            <w:tcMar>
              <w:top w:w="113" w:type="dxa"/>
              <w:bottom w:w="85" w:type="dxa"/>
            </w:tcMar>
          </w:tcPr>
          <w:p w:rsidR="00C2795A" w:rsidRPr="00B004F2" w:rsidRDefault="00C2795A" w:rsidP="00547ACE">
            <w:pPr>
              <w:rPr>
                <w:rFonts w:cs="Arial"/>
                <w:sz w:val="16"/>
                <w:szCs w:val="16"/>
              </w:rPr>
            </w:pPr>
          </w:p>
        </w:tc>
        <w:tc>
          <w:tcPr>
            <w:tcW w:w="2163" w:type="pct"/>
            <w:vMerge w:val="restart"/>
            <w:shd w:val="clear" w:color="auto" w:fill="auto"/>
            <w:tcMar>
              <w:top w:w="113" w:type="dxa"/>
              <w:bottom w:w="85" w:type="dxa"/>
            </w:tcMar>
          </w:tcPr>
          <w:p w:rsidR="00C2795A" w:rsidRPr="005362F0" w:rsidRDefault="00C2795A" w:rsidP="00547ACE">
            <w:pPr>
              <w:rPr>
                <w:rFonts w:cs="Arial"/>
                <w:sz w:val="16"/>
                <w:szCs w:val="16"/>
              </w:rPr>
            </w:pPr>
            <w:r w:rsidRPr="005362F0">
              <w:rPr>
                <w:rFonts w:cs="Arial"/>
                <w:sz w:val="16"/>
                <w:szCs w:val="16"/>
              </w:rPr>
              <w:t>N</w:t>
            </w:r>
            <w:r>
              <w:rPr>
                <w:rFonts w:cs="Arial"/>
                <w:sz w:val="16"/>
                <w:szCs w:val="16"/>
              </w:rPr>
              <w:t>o.</w:t>
            </w:r>
            <w:r w:rsidRPr="005362F0">
              <w:rPr>
                <w:rFonts w:cs="Arial"/>
                <w:sz w:val="16"/>
                <w:szCs w:val="16"/>
              </w:rPr>
              <w:t xml:space="preserve"> of CMOs </w:t>
            </w:r>
            <w:r w:rsidRPr="003E2A85">
              <w:rPr>
                <w:rFonts w:cs="Arial"/>
                <w:sz w:val="16"/>
                <w:szCs w:val="16"/>
              </w:rPr>
              <w:t>in developing countries and LDCs</w:t>
            </w:r>
            <w:r w:rsidRPr="005362F0">
              <w:rPr>
                <w:rFonts w:cs="Arial"/>
                <w:sz w:val="16"/>
                <w:szCs w:val="16"/>
              </w:rPr>
              <w:t xml:space="preserve"> participating in regional and global networks facilitated by WIPO</w:t>
            </w:r>
          </w:p>
        </w:tc>
        <w:tc>
          <w:tcPr>
            <w:tcW w:w="880" w:type="pct"/>
            <w:shd w:val="clear" w:color="auto" w:fill="FFFFFF"/>
            <w:tcMar>
              <w:top w:w="113" w:type="dxa"/>
              <w:bottom w:w="85" w:type="dxa"/>
            </w:tcMar>
          </w:tcPr>
          <w:p w:rsidR="00C2795A" w:rsidRPr="00866A0F" w:rsidRDefault="00C2795A" w:rsidP="00547ACE">
            <w:pPr>
              <w:jc w:val="center"/>
              <w:rPr>
                <w:rFonts w:cs="Arial"/>
                <w:sz w:val="16"/>
                <w:szCs w:val="16"/>
                <w:lang w:bidi="th-TH"/>
              </w:rPr>
            </w:pPr>
            <w:r w:rsidRPr="00866A0F">
              <w:rPr>
                <w:rFonts w:cs="Arial"/>
                <w:sz w:val="16"/>
                <w:szCs w:val="16"/>
                <w:lang w:bidi="th-TH"/>
              </w:rPr>
              <w:t>Program 3</w:t>
            </w:r>
          </w:p>
        </w:tc>
        <w:tc>
          <w:tcPr>
            <w:tcW w:w="475" w:type="pct"/>
            <w:shd w:val="clear" w:color="auto" w:fill="FFFFFF"/>
          </w:tcPr>
          <w:p w:rsidR="00C2795A" w:rsidRPr="00CC3F44" w:rsidRDefault="00C2795A" w:rsidP="00547ACE">
            <w:pPr>
              <w:spacing w:before="40"/>
              <w:jc w:val="center"/>
              <w:rPr>
                <w:rFonts w:cs="Arial"/>
                <w:color w:val="008000"/>
                <w:sz w:val="22"/>
                <w:szCs w:val="22"/>
              </w:rPr>
            </w:pPr>
            <w:r w:rsidRPr="00CC3F44">
              <w:rPr>
                <w:rFonts w:cs="Arial"/>
                <w:color w:val="008000"/>
                <w:sz w:val="22"/>
                <w:szCs w:val="22"/>
              </w:rPr>
              <w:sym w:font="Wingdings" w:char="F06C"/>
            </w:r>
          </w:p>
        </w:tc>
      </w:tr>
      <w:tr w:rsidR="00C2795A" w:rsidRPr="00AF5E7C" w:rsidTr="00547ACE">
        <w:trPr>
          <w:cantSplit/>
          <w:trHeight w:val="144"/>
        </w:trPr>
        <w:tc>
          <w:tcPr>
            <w:tcW w:w="1482" w:type="pct"/>
            <w:vMerge/>
            <w:shd w:val="clear" w:color="auto" w:fill="auto"/>
            <w:tcMar>
              <w:top w:w="113" w:type="dxa"/>
              <w:bottom w:w="85" w:type="dxa"/>
            </w:tcMar>
          </w:tcPr>
          <w:p w:rsidR="00C2795A" w:rsidRPr="00AF5E7C" w:rsidRDefault="00C2795A" w:rsidP="00547ACE">
            <w:pPr>
              <w:rPr>
                <w:rFonts w:cs="Arial"/>
                <w:sz w:val="16"/>
                <w:szCs w:val="16"/>
              </w:rPr>
            </w:pPr>
          </w:p>
        </w:tc>
        <w:tc>
          <w:tcPr>
            <w:tcW w:w="2163" w:type="pct"/>
            <w:vMerge/>
            <w:shd w:val="clear" w:color="auto" w:fill="auto"/>
            <w:tcMar>
              <w:top w:w="113" w:type="dxa"/>
              <w:bottom w:w="85" w:type="dxa"/>
            </w:tcMar>
          </w:tcPr>
          <w:p w:rsidR="00C2795A" w:rsidRPr="000900E1" w:rsidRDefault="00C2795A" w:rsidP="00547ACE">
            <w:pPr>
              <w:rPr>
                <w:rFonts w:cs="Arial"/>
                <w:sz w:val="16"/>
                <w:szCs w:val="16"/>
              </w:rPr>
            </w:pPr>
          </w:p>
        </w:tc>
        <w:tc>
          <w:tcPr>
            <w:tcW w:w="880" w:type="pct"/>
            <w:shd w:val="clear" w:color="auto" w:fill="FFFFFF"/>
            <w:tcMar>
              <w:top w:w="113" w:type="dxa"/>
              <w:bottom w:w="85" w:type="dxa"/>
            </w:tcMar>
          </w:tcPr>
          <w:p w:rsidR="00C2795A" w:rsidRPr="00866A0F" w:rsidRDefault="00C2795A" w:rsidP="00547ACE">
            <w:pPr>
              <w:jc w:val="center"/>
              <w:rPr>
                <w:rFonts w:cs="Arial"/>
                <w:sz w:val="16"/>
                <w:szCs w:val="16"/>
                <w:lang w:bidi="th-TH"/>
              </w:rPr>
            </w:pPr>
            <w:r w:rsidRPr="00866A0F">
              <w:rPr>
                <w:rFonts w:cs="Arial"/>
                <w:sz w:val="16"/>
                <w:szCs w:val="16"/>
                <w:lang w:bidi="th-TH"/>
              </w:rPr>
              <w:t>Program 15</w:t>
            </w:r>
          </w:p>
        </w:tc>
        <w:tc>
          <w:tcPr>
            <w:tcW w:w="475" w:type="pct"/>
            <w:shd w:val="clear" w:color="auto" w:fill="FFFFFF"/>
          </w:tcPr>
          <w:p w:rsidR="00C2795A" w:rsidRPr="00CC3F44" w:rsidRDefault="00C2795A" w:rsidP="00547ACE">
            <w:pPr>
              <w:jc w:val="center"/>
              <w:rPr>
                <w:rFonts w:cs="Arial"/>
                <w:color w:val="008000"/>
                <w:sz w:val="22"/>
                <w:szCs w:val="22"/>
              </w:rPr>
            </w:pPr>
            <w:r w:rsidRPr="00CC3F44">
              <w:rPr>
                <w:rFonts w:cs="Arial"/>
                <w:color w:val="FF0000"/>
                <w:sz w:val="22"/>
                <w:szCs w:val="22"/>
              </w:rPr>
              <w:sym w:font="Wingdings" w:char="F06C"/>
            </w:r>
          </w:p>
        </w:tc>
      </w:tr>
      <w:tr w:rsidR="00C2795A" w:rsidRPr="00AF5E7C" w:rsidTr="00547ACE">
        <w:trPr>
          <w:cantSplit/>
          <w:trHeight w:val="598"/>
        </w:trPr>
        <w:tc>
          <w:tcPr>
            <w:tcW w:w="1482" w:type="pct"/>
            <w:shd w:val="clear" w:color="auto" w:fill="auto"/>
            <w:tcMar>
              <w:top w:w="113" w:type="dxa"/>
              <w:bottom w:w="85" w:type="dxa"/>
            </w:tcMar>
          </w:tcPr>
          <w:p w:rsidR="00C2795A" w:rsidRPr="00AF5E7C" w:rsidRDefault="00C2795A" w:rsidP="00547ACE">
            <w:pPr>
              <w:rPr>
                <w:rFonts w:cs="Arial"/>
                <w:sz w:val="16"/>
                <w:szCs w:val="16"/>
              </w:rPr>
            </w:pPr>
          </w:p>
        </w:tc>
        <w:tc>
          <w:tcPr>
            <w:tcW w:w="2163" w:type="pct"/>
            <w:shd w:val="clear" w:color="auto" w:fill="auto"/>
            <w:tcMar>
              <w:top w:w="113" w:type="dxa"/>
              <w:bottom w:w="85" w:type="dxa"/>
            </w:tcMar>
          </w:tcPr>
          <w:p w:rsidR="00C2795A" w:rsidRPr="005362F0" w:rsidRDefault="00C2795A" w:rsidP="00547ACE">
            <w:pPr>
              <w:rPr>
                <w:rFonts w:cs="Arial"/>
                <w:sz w:val="16"/>
                <w:szCs w:val="16"/>
              </w:rPr>
            </w:pPr>
            <w:r w:rsidRPr="000900E1">
              <w:rPr>
                <w:rFonts w:cs="Arial"/>
                <w:sz w:val="16"/>
                <w:szCs w:val="16"/>
              </w:rPr>
              <w:t>% of governments that report positively on the improved effectiveness (and governance) of copyright offices and other institutions in the country</w:t>
            </w:r>
          </w:p>
        </w:tc>
        <w:tc>
          <w:tcPr>
            <w:tcW w:w="880" w:type="pct"/>
            <w:shd w:val="clear" w:color="auto" w:fill="FFFFFF"/>
            <w:tcMar>
              <w:top w:w="113" w:type="dxa"/>
              <w:bottom w:w="85" w:type="dxa"/>
            </w:tcMar>
          </w:tcPr>
          <w:p w:rsidR="00C2795A" w:rsidRDefault="00C2795A" w:rsidP="00547ACE">
            <w:pPr>
              <w:jc w:val="center"/>
              <w:rPr>
                <w:rFonts w:cs="Arial"/>
                <w:sz w:val="16"/>
                <w:szCs w:val="16"/>
                <w:lang w:bidi="th-TH"/>
              </w:rPr>
            </w:pPr>
            <w:r>
              <w:rPr>
                <w:rFonts w:cs="Arial"/>
                <w:sz w:val="16"/>
                <w:szCs w:val="16"/>
                <w:lang w:bidi="th-TH"/>
              </w:rPr>
              <w:t>Program 3</w:t>
            </w:r>
          </w:p>
        </w:tc>
        <w:tc>
          <w:tcPr>
            <w:tcW w:w="475" w:type="pct"/>
            <w:shd w:val="clear" w:color="auto" w:fill="FFFFFF"/>
          </w:tcPr>
          <w:p w:rsidR="00C2795A" w:rsidRPr="00CC3F44" w:rsidRDefault="00C2795A" w:rsidP="00547ACE">
            <w:pPr>
              <w:spacing w:before="40"/>
              <w:jc w:val="center"/>
              <w:rPr>
                <w:rFonts w:cs="Arial"/>
                <w:color w:val="008000"/>
                <w:sz w:val="22"/>
                <w:szCs w:val="22"/>
              </w:rPr>
            </w:pPr>
            <w:r w:rsidRPr="00CC3F44">
              <w:rPr>
                <w:rFonts w:cs="Arial"/>
                <w:color w:val="008000"/>
                <w:sz w:val="22"/>
                <w:szCs w:val="22"/>
              </w:rPr>
              <w:sym w:font="Wingdings" w:char="F06C"/>
            </w:r>
          </w:p>
        </w:tc>
      </w:tr>
      <w:tr w:rsidR="00C2795A" w:rsidRPr="00AF5E7C" w:rsidTr="00547ACE">
        <w:trPr>
          <w:cantSplit/>
          <w:trHeight w:val="363"/>
        </w:trPr>
        <w:tc>
          <w:tcPr>
            <w:tcW w:w="1482" w:type="pct"/>
            <w:shd w:val="clear" w:color="auto" w:fill="auto"/>
            <w:tcMar>
              <w:top w:w="113" w:type="dxa"/>
              <w:bottom w:w="85" w:type="dxa"/>
            </w:tcMar>
          </w:tcPr>
          <w:p w:rsidR="00C2795A" w:rsidRPr="00AF5E7C" w:rsidRDefault="00C2795A" w:rsidP="00547ACE">
            <w:pPr>
              <w:rPr>
                <w:rFonts w:cs="Arial"/>
                <w:sz w:val="16"/>
                <w:szCs w:val="16"/>
              </w:rPr>
            </w:pPr>
          </w:p>
        </w:tc>
        <w:tc>
          <w:tcPr>
            <w:tcW w:w="2163" w:type="pct"/>
            <w:shd w:val="clear" w:color="auto" w:fill="auto"/>
            <w:tcMar>
              <w:top w:w="113" w:type="dxa"/>
              <w:bottom w:w="85" w:type="dxa"/>
            </w:tcMar>
          </w:tcPr>
          <w:p w:rsidR="00C2795A" w:rsidRPr="004475FB" w:rsidRDefault="00C2795A" w:rsidP="00547ACE">
            <w:pPr>
              <w:rPr>
                <w:rFonts w:cs="Arial"/>
                <w:sz w:val="16"/>
                <w:szCs w:val="16"/>
              </w:rPr>
            </w:pPr>
            <w:r w:rsidRPr="004475FB">
              <w:rPr>
                <w:rFonts w:cs="Arial"/>
                <w:sz w:val="16"/>
                <w:szCs w:val="16"/>
              </w:rPr>
              <w:t>N</w:t>
            </w:r>
            <w:r>
              <w:rPr>
                <w:rFonts w:cs="Arial"/>
                <w:sz w:val="16"/>
                <w:szCs w:val="16"/>
              </w:rPr>
              <w:t>o.</w:t>
            </w:r>
            <w:r w:rsidRPr="004475FB">
              <w:rPr>
                <w:rFonts w:cs="Arial"/>
                <w:sz w:val="16"/>
                <w:szCs w:val="16"/>
              </w:rPr>
              <w:t xml:space="preserve"> of offices using WIPO infrastructure platforms</w:t>
            </w:r>
          </w:p>
        </w:tc>
        <w:tc>
          <w:tcPr>
            <w:tcW w:w="880" w:type="pct"/>
            <w:shd w:val="clear" w:color="auto" w:fill="FFFFFF"/>
            <w:tcMar>
              <w:top w:w="113" w:type="dxa"/>
              <w:bottom w:w="85" w:type="dxa"/>
            </w:tcMar>
          </w:tcPr>
          <w:p w:rsidR="00C2795A" w:rsidRPr="00AF5E7C" w:rsidRDefault="00C2795A" w:rsidP="00547ACE">
            <w:pPr>
              <w:jc w:val="center"/>
              <w:rPr>
                <w:rFonts w:cs="Arial"/>
                <w:sz w:val="16"/>
                <w:szCs w:val="16"/>
                <w:lang w:bidi="th-TH"/>
              </w:rPr>
            </w:pPr>
            <w:r>
              <w:rPr>
                <w:rFonts w:cs="Arial"/>
                <w:sz w:val="16"/>
                <w:szCs w:val="16"/>
                <w:lang w:bidi="th-TH"/>
              </w:rPr>
              <w:t>Program 15</w:t>
            </w:r>
          </w:p>
        </w:tc>
        <w:tc>
          <w:tcPr>
            <w:tcW w:w="475" w:type="pct"/>
            <w:shd w:val="clear" w:color="auto" w:fill="FFFFFF"/>
          </w:tcPr>
          <w:p w:rsidR="00C2795A" w:rsidRPr="00CC3F44" w:rsidRDefault="00C2795A" w:rsidP="00547ACE">
            <w:pPr>
              <w:spacing w:before="40"/>
              <w:jc w:val="center"/>
              <w:rPr>
                <w:rFonts w:cs="Arial"/>
                <w:color w:val="008000"/>
                <w:sz w:val="22"/>
                <w:szCs w:val="22"/>
              </w:rPr>
            </w:pPr>
            <w:r w:rsidRPr="00CC3F44">
              <w:rPr>
                <w:rFonts w:cs="Arial"/>
                <w:color w:val="008000"/>
                <w:sz w:val="22"/>
                <w:szCs w:val="22"/>
              </w:rPr>
              <w:sym w:font="Wingdings" w:char="F06C"/>
            </w:r>
          </w:p>
        </w:tc>
      </w:tr>
      <w:tr w:rsidR="00C2795A" w:rsidRPr="00AF5E7C" w:rsidTr="00547ACE">
        <w:trPr>
          <w:cantSplit/>
          <w:trHeight w:val="256"/>
        </w:trPr>
        <w:tc>
          <w:tcPr>
            <w:tcW w:w="1482" w:type="pct"/>
            <w:vMerge w:val="restart"/>
            <w:shd w:val="clear" w:color="auto" w:fill="auto"/>
            <w:tcMar>
              <w:top w:w="113" w:type="dxa"/>
              <w:bottom w:w="85" w:type="dxa"/>
            </w:tcMar>
          </w:tcPr>
          <w:p w:rsidR="00C2795A" w:rsidRPr="00AF5E7C" w:rsidRDefault="00C2795A" w:rsidP="00547ACE">
            <w:pPr>
              <w:rPr>
                <w:rFonts w:cs="Arial"/>
                <w:sz w:val="16"/>
                <w:szCs w:val="16"/>
              </w:rPr>
            </w:pPr>
          </w:p>
        </w:tc>
        <w:tc>
          <w:tcPr>
            <w:tcW w:w="2163" w:type="pct"/>
            <w:vMerge w:val="restart"/>
            <w:shd w:val="clear" w:color="auto" w:fill="auto"/>
            <w:tcMar>
              <w:top w:w="113" w:type="dxa"/>
              <w:bottom w:w="85" w:type="dxa"/>
            </w:tcMar>
          </w:tcPr>
          <w:p w:rsidR="00C2795A" w:rsidRPr="008B3B36" w:rsidRDefault="00C2795A" w:rsidP="00547ACE">
            <w:pPr>
              <w:rPr>
                <w:rFonts w:cs="Arial"/>
                <w:sz w:val="16"/>
                <w:szCs w:val="16"/>
              </w:rPr>
            </w:pPr>
            <w:r w:rsidRPr="005362F0">
              <w:rPr>
                <w:rFonts w:cs="Arial"/>
                <w:sz w:val="16"/>
                <w:szCs w:val="16"/>
              </w:rPr>
              <w:t>Average Service Level of IP Offices assisted (ranging from 1 to 5)</w:t>
            </w:r>
          </w:p>
        </w:tc>
        <w:tc>
          <w:tcPr>
            <w:tcW w:w="880" w:type="pct"/>
            <w:shd w:val="clear" w:color="auto" w:fill="FFFFFF"/>
            <w:tcMar>
              <w:top w:w="113" w:type="dxa"/>
              <w:bottom w:w="85" w:type="dxa"/>
            </w:tcMar>
          </w:tcPr>
          <w:p w:rsidR="00C2795A" w:rsidRPr="00AF5E7C" w:rsidRDefault="00C2795A" w:rsidP="00547ACE">
            <w:pPr>
              <w:jc w:val="center"/>
              <w:rPr>
                <w:rFonts w:cs="Arial"/>
                <w:sz w:val="16"/>
                <w:szCs w:val="16"/>
                <w:lang w:bidi="th-TH"/>
              </w:rPr>
            </w:pPr>
            <w:r>
              <w:rPr>
                <w:rFonts w:cs="Arial"/>
                <w:sz w:val="16"/>
                <w:szCs w:val="16"/>
                <w:lang w:bidi="th-TH"/>
              </w:rPr>
              <w:t>Program 9</w:t>
            </w:r>
          </w:p>
        </w:tc>
        <w:tc>
          <w:tcPr>
            <w:tcW w:w="475" w:type="pct"/>
            <w:shd w:val="clear" w:color="auto" w:fill="FFFFFF"/>
          </w:tcPr>
          <w:p w:rsidR="00C2795A" w:rsidRPr="00CC3F44" w:rsidRDefault="00C2795A" w:rsidP="00547ACE">
            <w:pPr>
              <w:jc w:val="center"/>
              <w:rPr>
                <w:rFonts w:cs="Arial"/>
                <w:color w:val="A6A6A6" w:themeColor="background1" w:themeShade="A6"/>
                <w:sz w:val="22"/>
                <w:szCs w:val="22"/>
              </w:rPr>
            </w:pPr>
            <w:r w:rsidRPr="00CC3F44">
              <w:rPr>
                <w:rFonts w:cs="Arial"/>
                <w:color w:val="008000"/>
                <w:sz w:val="22"/>
                <w:szCs w:val="22"/>
              </w:rPr>
              <w:sym w:font="Wingdings" w:char="F06C"/>
            </w:r>
          </w:p>
        </w:tc>
      </w:tr>
      <w:tr w:rsidR="00C2795A" w:rsidRPr="00AF5E7C" w:rsidTr="00547ACE">
        <w:trPr>
          <w:cantSplit/>
          <w:trHeight w:val="254"/>
        </w:trPr>
        <w:tc>
          <w:tcPr>
            <w:tcW w:w="1482" w:type="pct"/>
            <w:vMerge/>
            <w:shd w:val="clear" w:color="auto" w:fill="auto"/>
            <w:tcMar>
              <w:top w:w="113" w:type="dxa"/>
              <w:bottom w:w="85" w:type="dxa"/>
            </w:tcMar>
          </w:tcPr>
          <w:p w:rsidR="00C2795A" w:rsidRPr="00AF5E7C" w:rsidRDefault="00C2795A" w:rsidP="00547ACE">
            <w:pPr>
              <w:rPr>
                <w:rFonts w:cs="Arial"/>
                <w:sz w:val="16"/>
                <w:szCs w:val="16"/>
              </w:rPr>
            </w:pPr>
          </w:p>
        </w:tc>
        <w:tc>
          <w:tcPr>
            <w:tcW w:w="2163" w:type="pct"/>
            <w:vMerge/>
            <w:shd w:val="clear" w:color="auto" w:fill="auto"/>
            <w:tcMar>
              <w:top w:w="113" w:type="dxa"/>
              <w:bottom w:w="85" w:type="dxa"/>
            </w:tcMar>
          </w:tcPr>
          <w:p w:rsidR="00C2795A" w:rsidRPr="005362F0" w:rsidRDefault="00C2795A" w:rsidP="00547ACE">
            <w:pPr>
              <w:rPr>
                <w:rFonts w:cs="Arial"/>
                <w:sz w:val="16"/>
                <w:szCs w:val="16"/>
              </w:rPr>
            </w:pPr>
          </w:p>
        </w:tc>
        <w:tc>
          <w:tcPr>
            <w:tcW w:w="880" w:type="pct"/>
            <w:shd w:val="clear" w:color="auto" w:fill="FFFFFF"/>
            <w:tcMar>
              <w:top w:w="113" w:type="dxa"/>
              <w:bottom w:w="85" w:type="dxa"/>
            </w:tcMar>
          </w:tcPr>
          <w:p w:rsidR="00C2795A" w:rsidRDefault="00C2795A" w:rsidP="00547ACE">
            <w:pPr>
              <w:jc w:val="center"/>
              <w:rPr>
                <w:rFonts w:cs="Arial"/>
                <w:sz w:val="16"/>
                <w:szCs w:val="16"/>
                <w:lang w:bidi="th-TH"/>
              </w:rPr>
            </w:pPr>
            <w:r>
              <w:rPr>
                <w:rFonts w:cs="Arial"/>
                <w:sz w:val="16"/>
                <w:szCs w:val="16"/>
                <w:lang w:bidi="th-TH"/>
              </w:rPr>
              <w:t>Program 10</w:t>
            </w:r>
          </w:p>
        </w:tc>
        <w:tc>
          <w:tcPr>
            <w:tcW w:w="475" w:type="pct"/>
            <w:shd w:val="clear" w:color="auto" w:fill="FFFFFF"/>
          </w:tcPr>
          <w:p w:rsidR="00C2795A" w:rsidRPr="00CC3F44" w:rsidRDefault="00C2795A" w:rsidP="00547ACE">
            <w:pPr>
              <w:spacing w:before="40"/>
              <w:jc w:val="center"/>
              <w:rPr>
                <w:rFonts w:cs="Arial"/>
                <w:color w:val="008000"/>
                <w:sz w:val="22"/>
                <w:szCs w:val="22"/>
              </w:rPr>
            </w:pPr>
            <w:r w:rsidRPr="00CC3F44">
              <w:rPr>
                <w:rFonts w:cs="Arial"/>
                <w:color w:val="008000"/>
                <w:sz w:val="22"/>
                <w:szCs w:val="22"/>
              </w:rPr>
              <w:sym w:font="Wingdings" w:char="F06C"/>
            </w:r>
          </w:p>
        </w:tc>
      </w:tr>
      <w:tr w:rsidR="00C2795A" w:rsidRPr="00AF5E7C" w:rsidTr="00547ACE">
        <w:trPr>
          <w:cantSplit/>
          <w:trHeight w:val="254"/>
        </w:trPr>
        <w:tc>
          <w:tcPr>
            <w:tcW w:w="1482" w:type="pct"/>
            <w:vMerge/>
            <w:shd w:val="clear" w:color="auto" w:fill="auto"/>
            <w:tcMar>
              <w:top w:w="113" w:type="dxa"/>
              <w:bottom w:w="85" w:type="dxa"/>
            </w:tcMar>
          </w:tcPr>
          <w:p w:rsidR="00C2795A" w:rsidRPr="00AF5E7C" w:rsidRDefault="00C2795A" w:rsidP="00547ACE">
            <w:pPr>
              <w:rPr>
                <w:rFonts w:cs="Arial"/>
                <w:sz w:val="16"/>
                <w:szCs w:val="16"/>
              </w:rPr>
            </w:pPr>
          </w:p>
        </w:tc>
        <w:tc>
          <w:tcPr>
            <w:tcW w:w="2163" w:type="pct"/>
            <w:vMerge/>
            <w:shd w:val="clear" w:color="auto" w:fill="auto"/>
            <w:tcMar>
              <w:top w:w="113" w:type="dxa"/>
              <w:bottom w:w="85" w:type="dxa"/>
            </w:tcMar>
          </w:tcPr>
          <w:p w:rsidR="00C2795A" w:rsidRPr="005362F0" w:rsidRDefault="00C2795A" w:rsidP="00547ACE">
            <w:pPr>
              <w:rPr>
                <w:rFonts w:cs="Arial"/>
                <w:sz w:val="16"/>
                <w:szCs w:val="16"/>
              </w:rPr>
            </w:pPr>
          </w:p>
        </w:tc>
        <w:tc>
          <w:tcPr>
            <w:tcW w:w="880" w:type="pct"/>
            <w:shd w:val="clear" w:color="auto" w:fill="FFFFFF"/>
            <w:tcMar>
              <w:top w:w="113" w:type="dxa"/>
              <w:bottom w:w="85" w:type="dxa"/>
            </w:tcMar>
          </w:tcPr>
          <w:p w:rsidR="00C2795A" w:rsidRDefault="00C2795A" w:rsidP="00547ACE">
            <w:pPr>
              <w:jc w:val="center"/>
              <w:rPr>
                <w:rFonts w:cs="Arial"/>
                <w:sz w:val="16"/>
                <w:szCs w:val="16"/>
                <w:lang w:bidi="th-TH"/>
              </w:rPr>
            </w:pPr>
            <w:r>
              <w:rPr>
                <w:rFonts w:cs="Arial"/>
                <w:sz w:val="16"/>
                <w:szCs w:val="16"/>
                <w:lang w:bidi="th-TH"/>
              </w:rPr>
              <w:t>Program 15</w:t>
            </w:r>
          </w:p>
        </w:tc>
        <w:tc>
          <w:tcPr>
            <w:tcW w:w="475" w:type="pct"/>
            <w:shd w:val="clear" w:color="auto" w:fill="FFFFFF"/>
          </w:tcPr>
          <w:p w:rsidR="00C2795A" w:rsidRPr="00CC3F44" w:rsidRDefault="00C2795A" w:rsidP="00547ACE">
            <w:pPr>
              <w:jc w:val="center"/>
              <w:rPr>
                <w:rFonts w:cs="Arial"/>
                <w:color w:val="A6A6A6" w:themeColor="background1" w:themeShade="A6"/>
                <w:sz w:val="22"/>
                <w:szCs w:val="22"/>
              </w:rPr>
            </w:pPr>
            <w:r w:rsidRPr="00CC3F44">
              <w:rPr>
                <w:rFonts w:cs="Arial"/>
                <w:color w:val="008000"/>
                <w:sz w:val="22"/>
                <w:szCs w:val="22"/>
              </w:rPr>
              <w:sym w:font="Wingdings" w:char="F06C"/>
            </w:r>
          </w:p>
        </w:tc>
      </w:tr>
    </w:tbl>
    <w:p w:rsidR="00C2795A" w:rsidRPr="00B93297" w:rsidRDefault="00C2795A" w:rsidP="00C2795A"/>
    <w:p w:rsidR="00C2795A" w:rsidRDefault="00C2795A" w:rsidP="00C2795A"/>
    <w:p w:rsidR="00B22C7E" w:rsidRDefault="00B22C7E"/>
    <w:p w:rsidR="00B22C7E" w:rsidRDefault="00B22C7E"/>
    <w:p w:rsidR="00B22C7E" w:rsidRDefault="00B22C7E"/>
    <w:p w:rsidR="00B22C7E" w:rsidRDefault="00B22C7E">
      <w:r>
        <w:br w:type="page"/>
      </w:r>
    </w:p>
    <w:p w:rsidR="00B22C7E" w:rsidRPr="001243AF" w:rsidRDefault="00B22C7E" w:rsidP="00B22C7E">
      <w:pPr>
        <w:pStyle w:val="Heading2"/>
        <w:tabs>
          <w:tab w:val="clear" w:pos="567"/>
          <w:tab w:val="left" w:pos="1985"/>
        </w:tabs>
        <w:jc w:val="both"/>
      </w:pPr>
      <w:bookmarkStart w:id="79" w:name="_Toc422210496"/>
      <w:bookmarkStart w:id="80" w:name="_Toc454544481"/>
      <w:r w:rsidRPr="001243AF">
        <w:lastRenderedPageBreak/>
        <w:t>PROGRAM 1</w:t>
      </w:r>
      <w:r>
        <w:t>2</w:t>
      </w:r>
      <w:r>
        <w:tab/>
      </w:r>
      <w:r>
        <w:tab/>
        <w:t>INTERNATIONAL CLASSIFICATIONS AND STANDARDS</w:t>
      </w:r>
      <w:bookmarkEnd w:id="79"/>
      <w:bookmarkEnd w:id="80"/>
    </w:p>
    <w:p w:rsidR="00B22C7E" w:rsidRPr="00383D2D" w:rsidRDefault="00B22C7E" w:rsidP="00B22C7E">
      <w:pPr>
        <w:jc w:val="both"/>
        <w:rPr>
          <w:szCs w:val="20"/>
        </w:rPr>
      </w:pPr>
    </w:p>
    <w:p w:rsidR="00B22C7E" w:rsidRPr="00C44FE1" w:rsidRDefault="00B22C7E" w:rsidP="00B22C7E">
      <w:pPr>
        <w:tabs>
          <w:tab w:val="left" w:pos="1985"/>
        </w:tabs>
        <w:jc w:val="both"/>
        <w:rPr>
          <w:b/>
          <w:szCs w:val="22"/>
        </w:rPr>
      </w:pPr>
      <w:r w:rsidRPr="00C44FE1">
        <w:rPr>
          <w:b/>
          <w:szCs w:val="22"/>
        </w:rPr>
        <w:t>Program Manager</w:t>
      </w:r>
      <w:r w:rsidRPr="00C44FE1">
        <w:rPr>
          <w:b/>
          <w:szCs w:val="22"/>
        </w:rPr>
        <w:tab/>
        <w:t>Mr. Y. Takagi</w:t>
      </w:r>
    </w:p>
    <w:p w:rsidR="00B22C7E" w:rsidRPr="008F4A6D" w:rsidRDefault="00B22C7E" w:rsidP="00B22C7E">
      <w:pPr>
        <w:jc w:val="both"/>
        <w:rPr>
          <w:szCs w:val="20"/>
        </w:rPr>
      </w:pPr>
    </w:p>
    <w:p w:rsidR="00B22C7E" w:rsidRPr="00DB2852" w:rsidRDefault="00B22C7E" w:rsidP="00B22C7E">
      <w:pPr>
        <w:jc w:val="both"/>
        <w:rPr>
          <w:szCs w:val="20"/>
        </w:rPr>
      </w:pPr>
    </w:p>
    <w:p w:rsidR="00B22C7E" w:rsidRPr="00F61D62" w:rsidRDefault="00B22C7E" w:rsidP="00B22C7E">
      <w:pPr>
        <w:jc w:val="both"/>
        <w:rPr>
          <w:bCs/>
          <w:szCs w:val="20"/>
        </w:rPr>
      </w:pPr>
      <w:r w:rsidRPr="00F61D62">
        <w:rPr>
          <w:bCs/>
          <w:szCs w:val="20"/>
        </w:rPr>
        <w:t>ACHIEVEMENTS IN THE 2014/15 BIENNIUM</w:t>
      </w:r>
    </w:p>
    <w:p w:rsidR="00B22C7E" w:rsidRDefault="00B22C7E" w:rsidP="00B22C7E">
      <w:pPr>
        <w:pStyle w:val="Default"/>
      </w:pPr>
    </w:p>
    <w:p w:rsidR="00B22C7E" w:rsidRDefault="00B22C7E" w:rsidP="00C25166">
      <w:pPr>
        <w:pStyle w:val="Default"/>
        <w:numPr>
          <w:ilvl w:val="0"/>
          <w:numId w:val="28"/>
        </w:numPr>
        <w:tabs>
          <w:tab w:val="left" w:pos="709"/>
        </w:tabs>
        <w:ind w:left="0" w:firstLine="0"/>
        <w:jc w:val="both"/>
        <w:rPr>
          <w:sz w:val="20"/>
          <w:szCs w:val="20"/>
        </w:rPr>
      </w:pPr>
      <w:r>
        <w:rPr>
          <w:sz w:val="20"/>
          <w:szCs w:val="20"/>
        </w:rPr>
        <w:t>Despite uneven progress in 2014, the situation as regards International Classifications and WIPO IP Standards improved substantially in 2015, exceeding expectations in certain areas and trailing behind in others.</w:t>
      </w:r>
    </w:p>
    <w:p w:rsidR="00B22C7E" w:rsidRDefault="00B22C7E" w:rsidP="00C25166">
      <w:pPr>
        <w:pStyle w:val="Default"/>
        <w:tabs>
          <w:tab w:val="left" w:pos="709"/>
        </w:tabs>
        <w:jc w:val="both"/>
        <w:rPr>
          <w:sz w:val="20"/>
          <w:szCs w:val="20"/>
        </w:rPr>
      </w:pPr>
    </w:p>
    <w:p w:rsidR="00B22C7E" w:rsidRDefault="00B22C7E" w:rsidP="00C25166">
      <w:pPr>
        <w:pStyle w:val="Default"/>
        <w:numPr>
          <w:ilvl w:val="0"/>
          <w:numId w:val="28"/>
        </w:numPr>
        <w:tabs>
          <w:tab w:val="left" w:pos="709"/>
        </w:tabs>
        <w:ind w:left="0" w:firstLine="0"/>
        <w:jc w:val="both"/>
        <w:rPr>
          <w:sz w:val="20"/>
          <w:szCs w:val="20"/>
        </w:rPr>
      </w:pPr>
      <w:r>
        <w:rPr>
          <w:sz w:val="20"/>
          <w:szCs w:val="20"/>
        </w:rPr>
        <w:t xml:space="preserve">As regards the Nice Classification (NCL), a total of 1,480 new amendments and </w:t>
      </w:r>
      <w:r w:rsidR="00161CD7">
        <w:rPr>
          <w:sz w:val="20"/>
          <w:szCs w:val="20"/>
        </w:rPr>
        <w:t xml:space="preserve">25 </w:t>
      </w:r>
      <w:r>
        <w:rPr>
          <w:sz w:val="20"/>
          <w:szCs w:val="20"/>
        </w:rPr>
        <w:t>new information files were introduced in the biennium.  The number of amendments represents a 94 per cent increase over 2012/13.  In addition, the official Spanish version of the NCL 10-2016 was made available in the same format as the authentic English and French publications.  Similarly, all past editions (from one to nine) were also made available in the new format.</w:t>
      </w:r>
    </w:p>
    <w:p w:rsidR="00B22C7E" w:rsidRDefault="00B22C7E" w:rsidP="00C25166">
      <w:pPr>
        <w:pStyle w:val="Default"/>
        <w:tabs>
          <w:tab w:val="left" w:pos="709"/>
        </w:tabs>
        <w:jc w:val="both"/>
        <w:rPr>
          <w:sz w:val="20"/>
          <w:szCs w:val="20"/>
        </w:rPr>
      </w:pPr>
    </w:p>
    <w:p w:rsidR="00B22C7E" w:rsidRDefault="00B22C7E" w:rsidP="00C25166">
      <w:pPr>
        <w:pStyle w:val="Default"/>
        <w:numPr>
          <w:ilvl w:val="0"/>
          <w:numId w:val="28"/>
        </w:numPr>
        <w:tabs>
          <w:tab w:val="left" w:pos="709"/>
        </w:tabs>
        <w:ind w:left="0" w:firstLine="0"/>
        <w:jc w:val="both"/>
        <w:rPr>
          <w:sz w:val="20"/>
          <w:szCs w:val="20"/>
        </w:rPr>
      </w:pPr>
      <w:r>
        <w:rPr>
          <w:sz w:val="20"/>
          <w:szCs w:val="20"/>
        </w:rPr>
        <w:t xml:space="preserve">In the International Patent Classification (IPC), the modified publication platform to facilitate the use of the system, including a new search tool and the IPC/CPC/FI parallel viewer, was launched in April 2014.  Due to the increase of new revision projects coming from the IP5 Offices and from the IPC community, the number of new subdivisions introduced in 2015 (1,031) exceeded the annual target by 28 per cent, rebounding from 2014 to achieve the target. </w:t>
      </w:r>
    </w:p>
    <w:p w:rsidR="00B22C7E" w:rsidRDefault="00B22C7E" w:rsidP="00C25166">
      <w:pPr>
        <w:pStyle w:val="Default"/>
        <w:tabs>
          <w:tab w:val="left" w:pos="709"/>
        </w:tabs>
        <w:jc w:val="both"/>
        <w:rPr>
          <w:sz w:val="20"/>
          <w:szCs w:val="20"/>
        </w:rPr>
      </w:pPr>
    </w:p>
    <w:p w:rsidR="00B22C7E" w:rsidRDefault="00B22C7E" w:rsidP="00C25166">
      <w:pPr>
        <w:pStyle w:val="Default"/>
        <w:numPr>
          <w:ilvl w:val="0"/>
          <w:numId w:val="28"/>
        </w:numPr>
        <w:tabs>
          <w:tab w:val="left" w:pos="709"/>
        </w:tabs>
        <w:ind w:left="0" w:firstLine="0"/>
        <w:jc w:val="both"/>
        <w:rPr>
          <w:sz w:val="20"/>
          <w:szCs w:val="20"/>
        </w:rPr>
      </w:pPr>
      <w:r>
        <w:rPr>
          <w:sz w:val="20"/>
          <w:szCs w:val="20"/>
        </w:rPr>
        <w:t xml:space="preserve">At its fourth session, the Committee on WIPO Standards (CWS) was unable to adopt an agenda, resulting in informal decisions not being formalized.  Despite this setback, one new </w:t>
      </w:r>
      <w:r w:rsidRPr="00D61BA5">
        <w:rPr>
          <w:sz w:val="20"/>
          <w:szCs w:val="20"/>
        </w:rPr>
        <w:t>S</w:t>
      </w:r>
      <w:r>
        <w:rPr>
          <w:sz w:val="20"/>
          <w:szCs w:val="20"/>
        </w:rPr>
        <w:t xml:space="preserve">tandard was adopted and one </w:t>
      </w:r>
      <w:r w:rsidRPr="00D61BA5">
        <w:rPr>
          <w:sz w:val="20"/>
          <w:szCs w:val="20"/>
        </w:rPr>
        <w:t>S</w:t>
      </w:r>
      <w:r>
        <w:rPr>
          <w:sz w:val="20"/>
          <w:szCs w:val="20"/>
        </w:rPr>
        <w:t xml:space="preserve">tandard was revised informally in 2014.  This standstill continued in 2015, resulting in the lack of formal approval of new </w:t>
      </w:r>
      <w:r w:rsidRPr="00D61BA5">
        <w:rPr>
          <w:sz w:val="20"/>
          <w:szCs w:val="20"/>
        </w:rPr>
        <w:t>S</w:t>
      </w:r>
      <w:r>
        <w:rPr>
          <w:sz w:val="20"/>
          <w:szCs w:val="20"/>
        </w:rPr>
        <w:t xml:space="preserve">tandards.  Nonetheless, the informal work continued in the Task Forces, groups </w:t>
      </w:r>
      <w:r w:rsidRPr="000E6DAE">
        <w:rPr>
          <w:sz w:val="20"/>
          <w:szCs w:val="20"/>
        </w:rPr>
        <w:t>consisting of experts nominated by the CWS members and observers to address specific tasks</w:t>
      </w:r>
      <w:r>
        <w:rPr>
          <w:sz w:val="20"/>
          <w:szCs w:val="20"/>
        </w:rPr>
        <w:t xml:space="preserve">.  Several </w:t>
      </w:r>
      <w:r w:rsidRPr="00D61BA5">
        <w:rPr>
          <w:sz w:val="20"/>
          <w:szCs w:val="20"/>
        </w:rPr>
        <w:t>S</w:t>
      </w:r>
      <w:r>
        <w:rPr>
          <w:sz w:val="20"/>
          <w:szCs w:val="20"/>
        </w:rPr>
        <w:t>tandards are expected to be adopted when the CWS resumes in 2016.</w:t>
      </w:r>
    </w:p>
    <w:p w:rsidR="00B22C7E" w:rsidRDefault="00B22C7E" w:rsidP="00C25166">
      <w:pPr>
        <w:pStyle w:val="Default"/>
        <w:tabs>
          <w:tab w:val="left" w:pos="709"/>
        </w:tabs>
        <w:jc w:val="both"/>
        <w:rPr>
          <w:sz w:val="20"/>
          <w:szCs w:val="20"/>
        </w:rPr>
      </w:pPr>
    </w:p>
    <w:p w:rsidR="00B22C7E" w:rsidRDefault="00B22C7E" w:rsidP="00C25166">
      <w:pPr>
        <w:pStyle w:val="Default"/>
        <w:numPr>
          <w:ilvl w:val="0"/>
          <w:numId w:val="28"/>
        </w:numPr>
        <w:tabs>
          <w:tab w:val="left" w:pos="709"/>
        </w:tabs>
        <w:ind w:left="0" w:firstLine="0"/>
        <w:jc w:val="both"/>
        <w:rPr>
          <w:sz w:val="20"/>
          <w:szCs w:val="20"/>
        </w:rPr>
      </w:pPr>
      <w:r>
        <w:rPr>
          <w:sz w:val="20"/>
          <w:szCs w:val="20"/>
        </w:rPr>
        <w:t xml:space="preserve">The use of internet tools for accessing Classifications and Standards publications showed stable growth with visits to the IPC Publications substantially higher (a 107 per cent increase over 2013) due to the inclusion of revised classifications and new tools.  The number of visits to NICE Pub, Locarno Home and Vienna Home, also saw increases of 14 per cent, 39.1 per cent and 7.4 per cent respectively.  The access to Nice Home remained stable, while IPC Home saw a 6.6 per cent decrease.  Visits to the WIPO Standards Handbook also saw a decrease of 26.7 per cent as compared to 2013, possibly due to the institutional challenges faced in the CWS.  In general, the second year of the biennium showed better results compared to the first year.  </w:t>
      </w:r>
    </w:p>
    <w:p w:rsidR="00B22C7E" w:rsidRPr="00F61D62" w:rsidRDefault="00B22C7E" w:rsidP="00C25166">
      <w:pPr>
        <w:pStyle w:val="Default"/>
        <w:tabs>
          <w:tab w:val="left" w:pos="709"/>
        </w:tabs>
        <w:jc w:val="both"/>
        <w:rPr>
          <w:sz w:val="16"/>
          <w:szCs w:val="20"/>
        </w:rPr>
      </w:pPr>
    </w:p>
    <w:p w:rsidR="00B22C7E" w:rsidRPr="00F61D62" w:rsidRDefault="00B22C7E" w:rsidP="00C25166">
      <w:pPr>
        <w:pStyle w:val="Default"/>
        <w:numPr>
          <w:ilvl w:val="0"/>
          <w:numId w:val="28"/>
        </w:numPr>
        <w:tabs>
          <w:tab w:val="left" w:pos="709"/>
        </w:tabs>
        <w:ind w:left="0" w:firstLine="0"/>
        <w:jc w:val="both"/>
        <w:rPr>
          <w:bCs/>
          <w:sz w:val="18"/>
          <w:szCs w:val="22"/>
        </w:rPr>
      </w:pPr>
      <w:r w:rsidRPr="00F61D62">
        <w:rPr>
          <w:sz w:val="20"/>
          <w:szCs w:val="20"/>
        </w:rPr>
        <w:t>The work of Program 12 continued to support the implementation of DA Recommendations 8, 30 and 31 by facilitating access for developing countries to publicly available patent information.  In doing so, it also contributed to efforts related to the transfer of technologies.  From 2014 to 2015, the percentage of visits from developing countries to IPC Home, Nice Home, NICE Pub, and the WIPO Standards Handbook saw substantial increases of 9.1 per cent, 36 per cent, 11.7 per cent, and 15.7 per cent respectively, while Locarno Home and Vienna Home saw 12.8 per cent and 31.1 per cent decreases respectively.</w:t>
      </w:r>
    </w:p>
    <w:p w:rsidR="00B22C7E" w:rsidRDefault="00B22C7E" w:rsidP="00C25166">
      <w:pPr>
        <w:tabs>
          <w:tab w:val="left" w:pos="709"/>
        </w:tabs>
        <w:jc w:val="both"/>
        <w:rPr>
          <w:rFonts w:cs="Arial"/>
          <w:sz w:val="22"/>
          <w:szCs w:val="22"/>
        </w:rPr>
      </w:pPr>
    </w:p>
    <w:p w:rsidR="00B22C7E" w:rsidRDefault="00B22C7E" w:rsidP="00C25166">
      <w:pPr>
        <w:tabs>
          <w:tab w:val="left" w:pos="709"/>
        </w:tabs>
        <w:jc w:val="both"/>
        <w:rPr>
          <w:rFonts w:cs="Arial"/>
          <w:sz w:val="22"/>
          <w:szCs w:val="22"/>
        </w:rPr>
      </w:pPr>
    </w:p>
    <w:p w:rsidR="00B22C7E" w:rsidRPr="00F61D62" w:rsidRDefault="00B22C7E" w:rsidP="00B22C7E">
      <w:pPr>
        <w:keepNext/>
        <w:keepLines/>
        <w:jc w:val="both"/>
        <w:rPr>
          <w:rFonts w:cs="Arial"/>
          <w:szCs w:val="22"/>
        </w:rPr>
      </w:pPr>
      <w:r w:rsidRPr="00F61D62">
        <w:rPr>
          <w:rFonts w:cs="Arial"/>
          <w:szCs w:val="22"/>
        </w:rPr>
        <w:lastRenderedPageBreak/>
        <w:t>PERFORMANCE DATA</w:t>
      </w:r>
    </w:p>
    <w:p w:rsidR="00B22C7E" w:rsidRDefault="00B22C7E" w:rsidP="00B22C7E">
      <w:pPr>
        <w:keepNext/>
        <w:keepLines/>
        <w:rPr>
          <w:bCs/>
          <w:sz w:val="22"/>
          <w:szCs w:val="22"/>
        </w:rPr>
      </w:pPr>
    </w:p>
    <w:tbl>
      <w:tblPr>
        <w:tblW w:w="4888"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985"/>
        <w:gridCol w:w="2266"/>
        <w:gridCol w:w="1419"/>
        <w:gridCol w:w="2695"/>
        <w:gridCol w:w="992"/>
      </w:tblGrid>
      <w:tr w:rsidR="00B22C7E" w:rsidRPr="0068151C" w:rsidTr="0094455A">
        <w:tc>
          <w:tcPr>
            <w:tcW w:w="5000" w:type="pct"/>
            <w:gridSpan w:val="5"/>
            <w:tcBorders>
              <w:top w:val="single" w:sz="4" w:space="0" w:color="auto"/>
              <w:bottom w:val="single" w:sz="4" w:space="0" w:color="auto"/>
            </w:tcBorders>
            <w:shd w:val="clear" w:color="auto" w:fill="C6D9F1" w:themeFill="text2" w:themeFillTint="33"/>
            <w:vAlign w:val="center"/>
          </w:tcPr>
          <w:p w:rsidR="00B22C7E" w:rsidRPr="0068151C" w:rsidRDefault="00B22C7E" w:rsidP="00220419">
            <w:pPr>
              <w:keepNext/>
              <w:keepLines/>
              <w:tabs>
                <w:tab w:val="left" w:pos="1452"/>
              </w:tabs>
              <w:spacing w:before="120" w:after="120"/>
              <w:ind w:left="1452" w:hanging="1452"/>
              <w:rPr>
                <w:rFonts w:cs="Arial"/>
                <w:b/>
                <w:bCs/>
                <w:sz w:val="16"/>
                <w:szCs w:val="16"/>
              </w:rPr>
            </w:pPr>
            <w:r w:rsidRPr="0068151C">
              <w:rPr>
                <w:rFonts w:cs="Arial"/>
                <w:b/>
                <w:bCs/>
                <w:sz w:val="16"/>
                <w:szCs w:val="16"/>
              </w:rPr>
              <w:t>Expected Result:</w:t>
            </w:r>
            <w:r w:rsidRPr="0068151C">
              <w:rPr>
                <w:rFonts w:cs="Arial"/>
                <w:b/>
                <w:bCs/>
                <w:sz w:val="16"/>
                <w:szCs w:val="16"/>
              </w:rPr>
              <w:tab/>
            </w:r>
            <w:r w:rsidRPr="00093A89">
              <w:rPr>
                <w:rFonts w:cs="Arial"/>
                <w:sz w:val="16"/>
                <w:szCs w:val="16"/>
              </w:rPr>
              <w:t>IV.1 Updated and globally accepted system of international classifications and WIPO standards to facilitate access, use and dissemination of IP information among stakeholders in the world</w:t>
            </w:r>
          </w:p>
        </w:tc>
      </w:tr>
      <w:tr w:rsidR="00B22C7E" w:rsidRPr="0068151C" w:rsidTr="0094455A">
        <w:tc>
          <w:tcPr>
            <w:tcW w:w="1061" w:type="pct"/>
            <w:tcBorders>
              <w:top w:val="single" w:sz="4" w:space="0" w:color="auto"/>
            </w:tcBorders>
            <w:shd w:val="clear" w:color="auto" w:fill="auto"/>
            <w:vAlign w:val="center"/>
          </w:tcPr>
          <w:p w:rsidR="00B22C7E" w:rsidRPr="0068151C" w:rsidRDefault="00B22C7E" w:rsidP="00220419">
            <w:pPr>
              <w:keepNext/>
              <w:keepLines/>
              <w:rPr>
                <w:rFonts w:cs="Arial"/>
                <w:sz w:val="16"/>
                <w:szCs w:val="16"/>
              </w:rPr>
            </w:pPr>
            <w:r w:rsidRPr="0068151C">
              <w:rPr>
                <w:rFonts w:cs="Arial"/>
                <w:b/>
                <w:bCs/>
                <w:sz w:val="16"/>
                <w:szCs w:val="16"/>
              </w:rPr>
              <w:t>Performance Indicators</w:t>
            </w:r>
          </w:p>
        </w:tc>
        <w:tc>
          <w:tcPr>
            <w:tcW w:w="1211" w:type="pct"/>
            <w:tcBorders>
              <w:top w:val="single" w:sz="4" w:space="0" w:color="auto"/>
            </w:tcBorders>
            <w:shd w:val="clear" w:color="auto" w:fill="auto"/>
            <w:vAlign w:val="center"/>
          </w:tcPr>
          <w:p w:rsidR="00B22C7E" w:rsidRPr="0068151C" w:rsidRDefault="00B22C7E" w:rsidP="00220419">
            <w:pPr>
              <w:keepNext/>
              <w:keepLines/>
              <w:rPr>
                <w:rFonts w:cs="Arial"/>
                <w:b/>
                <w:bCs/>
                <w:sz w:val="16"/>
                <w:szCs w:val="16"/>
              </w:rPr>
            </w:pPr>
            <w:r w:rsidRPr="0068151C">
              <w:rPr>
                <w:rFonts w:cs="Arial"/>
                <w:b/>
                <w:bCs/>
                <w:sz w:val="16"/>
                <w:szCs w:val="16"/>
              </w:rPr>
              <w:t>Baselines</w:t>
            </w:r>
          </w:p>
        </w:tc>
        <w:tc>
          <w:tcPr>
            <w:tcW w:w="758" w:type="pct"/>
            <w:tcBorders>
              <w:top w:val="single" w:sz="4" w:space="0" w:color="auto"/>
            </w:tcBorders>
            <w:shd w:val="clear" w:color="auto" w:fill="auto"/>
            <w:tcMar>
              <w:top w:w="110" w:type="dxa"/>
            </w:tcMar>
            <w:vAlign w:val="center"/>
          </w:tcPr>
          <w:p w:rsidR="00B22C7E" w:rsidRPr="0068151C" w:rsidRDefault="00B22C7E" w:rsidP="00220419">
            <w:pPr>
              <w:keepNext/>
              <w:keepLines/>
              <w:rPr>
                <w:rFonts w:cs="Arial"/>
                <w:b/>
                <w:sz w:val="16"/>
                <w:szCs w:val="16"/>
              </w:rPr>
            </w:pPr>
            <w:r w:rsidRPr="0068151C">
              <w:rPr>
                <w:rFonts w:cs="Arial"/>
                <w:b/>
                <w:sz w:val="16"/>
                <w:szCs w:val="16"/>
              </w:rPr>
              <w:t>Target</w:t>
            </w:r>
            <w:r>
              <w:rPr>
                <w:rFonts w:cs="Arial"/>
                <w:b/>
                <w:sz w:val="16"/>
                <w:szCs w:val="16"/>
              </w:rPr>
              <w:t>s</w:t>
            </w:r>
          </w:p>
        </w:tc>
        <w:tc>
          <w:tcPr>
            <w:tcW w:w="1440" w:type="pct"/>
            <w:tcBorders>
              <w:top w:val="single" w:sz="4" w:space="0" w:color="auto"/>
            </w:tcBorders>
            <w:shd w:val="clear" w:color="auto" w:fill="FFFFFF"/>
            <w:tcMar>
              <w:top w:w="110" w:type="dxa"/>
            </w:tcMar>
            <w:vAlign w:val="center"/>
          </w:tcPr>
          <w:p w:rsidR="00B22C7E" w:rsidRPr="0068151C" w:rsidRDefault="00B22C7E" w:rsidP="00220419">
            <w:pPr>
              <w:keepNext/>
              <w:keepLines/>
              <w:rPr>
                <w:rFonts w:cs="Arial"/>
                <w:sz w:val="16"/>
                <w:szCs w:val="16"/>
              </w:rPr>
            </w:pPr>
            <w:r w:rsidRPr="0068151C">
              <w:rPr>
                <w:rFonts w:cs="Arial"/>
                <w:b/>
                <w:bCs/>
                <w:sz w:val="16"/>
                <w:szCs w:val="16"/>
              </w:rPr>
              <w:t>Performance Data</w:t>
            </w:r>
          </w:p>
        </w:tc>
        <w:tc>
          <w:tcPr>
            <w:tcW w:w="530" w:type="pct"/>
            <w:tcBorders>
              <w:top w:val="single" w:sz="4" w:space="0" w:color="auto"/>
            </w:tcBorders>
            <w:shd w:val="clear" w:color="auto" w:fill="auto"/>
            <w:tcMar>
              <w:top w:w="110" w:type="dxa"/>
            </w:tcMar>
            <w:vAlign w:val="center"/>
          </w:tcPr>
          <w:p w:rsidR="00B22C7E" w:rsidRPr="0068151C" w:rsidRDefault="00B22C7E" w:rsidP="00220419">
            <w:pPr>
              <w:keepNext/>
              <w:keepLines/>
              <w:jc w:val="center"/>
              <w:rPr>
                <w:rFonts w:cs="Arial"/>
                <w:b/>
                <w:bCs/>
                <w:sz w:val="16"/>
                <w:szCs w:val="16"/>
              </w:rPr>
            </w:pPr>
            <w:r w:rsidRPr="0068151C">
              <w:rPr>
                <w:rFonts w:cs="Arial"/>
                <w:b/>
                <w:bCs/>
                <w:sz w:val="16"/>
                <w:szCs w:val="16"/>
              </w:rPr>
              <w:t>TLS</w:t>
            </w:r>
          </w:p>
        </w:tc>
      </w:tr>
      <w:tr w:rsidR="00B22C7E" w:rsidRPr="0068151C" w:rsidTr="0094455A">
        <w:tc>
          <w:tcPr>
            <w:tcW w:w="1061" w:type="pct"/>
            <w:shd w:val="clear" w:color="auto" w:fill="auto"/>
          </w:tcPr>
          <w:p w:rsidR="00B22C7E" w:rsidRPr="0068151C" w:rsidRDefault="00B22C7E" w:rsidP="00220419">
            <w:pPr>
              <w:keepNext/>
              <w:keepLines/>
              <w:rPr>
                <w:rFonts w:cs="Arial"/>
                <w:color w:val="000000"/>
                <w:sz w:val="16"/>
                <w:szCs w:val="16"/>
              </w:rPr>
            </w:pPr>
            <w:r w:rsidRPr="00093A89">
              <w:rPr>
                <w:rFonts w:cs="Arial"/>
                <w:color w:val="000000"/>
                <w:sz w:val="16"/>
                <w:szCs w:val="16"/>
              </w:rPr>
              <w:t>No. of amendments and information files introduced into the Nice Classification</w:t>
            </w:r>
          </w:p>
        </w:tc>
        <w:tc>
          <w:tcPr>
            <w:tcW w:w="1211" w:type="pct"/>
            <w:shd w:val="clear" w:color="auto" w:fill="auto"/>
          </w:tcPr>
          <w:p w:rsidR="00B22C7E" w:rsidRPr="00093A89" w:rsidRDefault="00B22C7E" w:rsidP="00220419">
            <w:pPr>
              <w:keepNext/>
              <w:keepLines/>
              <w:rPr>
                <w:rFonts w:cs="Arial"/>
                <w:color w:val="002060"/>
                <w:sz w:val="16"/>
                <w:szCs w:val="16"/>
                <w:lang w:bidi="th-TH"/>
              </w:rPr>
            </w:pPr>
            <w:r>
              <w:rPr>
                <w:rFonts w:cs="Arial"/>
                <w:i/>
                <w:color w:val="002060"/>
                <w:sz w:val="16"/>
                <w:szCs w:val="16"/>
              </w:rPr>
              <w:t>Updated Baseline end 2013</w:t>
            </w:r>
            <w:r w:rsidRPr="0068151C">
              <w:rPr>
                <w:rFonts w:cs="Arial"/>
                <w:i/>
                <w:color w:val="002060"/>
                <w:sz w:val="16"/>
                <w:szCs w:val="16"/>
              </w:rPr>
              <w:t xml:space="preserve">:  </w:t>
            </w:r>
          </w:p>
          <w:p w:rsidR="00B22C7E" w:rsidRDefault="00B22C7E" w:rsidP="00220419">
            <w:pPr>
              <w:keepNext/>
              <w:keepLines/>
              <w:rPr>
                <w:rFonts w:cs="Arial"/>
                <w:color w:val="002060"/>
                <w:sz w:val="16"/>
                <w:szCs w:val="16"/>
                <w:lang w:bidi="th-TH"/>
              </w:rPr>
            </w:pPr>
            <w:r>
              <w:rPr>
                <w:rFonts w:cs="Arial"/>
                <w:color w:val="002060"/>
                <w:sz w:val="16"/>
                <w:szCs w:val="16"/>
                <w:lang w:bidi="th-TH"/>
              </w:rPr>
              <w:t>423 modifications in 2013</w:t>
            </w:r>
            <w:r>
              <w:rPr>
                <w:rStyle w:val="FootnoteReference"/>
                <w:rFonts w:cs="Arial"/>
                <w:color w:val="002060"/>
                <w:lang w:bidi="th-TH"/>
              </w:rPr>
              <w:footnoteReference w:id="81"/>
            </w:r>
          </w:p>
          <w:p w:rsidR="00B22C7E" w:rsidRDefault="00B22C7E" w:rsidP="00220419">
            <w:pPr>
              <w:keepNext/>
              <w:keepLines/>
              <w:rPr>
                <w:rFonts w:cs="Arial"/>
                <w:color w:val="002060"/>
                <w:sz w:val="16"/>
                <w:szCs w:val="16"/>
                <w:lang w:bidi="th-TH"/>
              </w:rPr>
            </w:pPr>
            <w:r>
              <w:rPr>
                <w:rFonts w:cs="Arial"/>
                <w:color w:val="002060"/>
                <w:sz w:val="16"/>
                <w:szCs w:val="16"/>
                <w:lang w:bidi="th-TH"/>
              </w:rPr>
              <w:t>339 modifications in 2012</w:t>
            </w:r>
          </w:p>
          <w:p w:rsidR="00B22C7E" w:rsidRPr="00093A89" w:rsidRDefault="00B22C7E" w:rsidP="00220419">
            <w:pPr>
              <w:keepNext/>
              <w:keepLines/>
              <w:rPr>
                <w:rFonts w:cs="Arial"/>
                <w:color w:val="002060"/>
                <w:sz w:val="16"/>
                <w:szCs w:val="16"/>
                <w:lang w:bidi="th-TH"/>
              </w:rPr>
            </w:pPr>
          </w:p>
          <w:p w:rsidR="00B22C7E" w:rsidRPr="0068151C" w:rsidRDefault="00B22C7E" w:rsidP="00220419">
            <w:pPr>
              <w:keepNext/>
              <w:keepLines/>
              <w:rPr>
                <w:rFonts w:cs="Arial"/>
                <w:i/>
                <w:color w:val="002060"/>
                <w:sz w:val="16"/>
                <w:szCs w:val="16"/>
              </w:rPr>
            </w:pPr>
            <w:r w:rsidRPr="00093A89">
              <w:rPr>
                <w:rFonts w:cs="Arial"/>
                <w:color w:val="002060"/>
                <w:sz w:val="16"/>
                <w:szCs w:val="16"/>
                <w:lang w:bidi="th-TH"/>
              </w:rPr>
              <w:t>9 info</w:t>
            </w:r>
            <w:r>
              <w:rPr>
                <w:rFonts w:cs="Arial"/>
                <w:color w:val="002060"/>
                <w:sz w:val="16"/>
                <w:szCs w:val="16"/>
                <w:lang w:bidi="th-TH"/>
              </w:rPr>
              <w:t>rmation</w:t>
            </w:r>
            <w:r w:rsidRPr="00093A89">
              <w:rPr>
                <w:rFonts w:cs="Arial"/>
                <w:color w:val="002060"/>
                <w:sz w:val="16"/>
                <w:szCs w:val="16"/>
                <w:lang w:bidi="th-TH"/>
              </w:rPr>
              <w:t xml:space="preserve"> files revised and 17 new info</w:t>
            </w:r>
            <w:r>
              <w:rPr>
                <w:rFonts w:cs="Arial"/>
                <w:color w:val="002060"/>
                <w:sz w:val="16"/>
                <w:szCs w:val="16"/>
                <w:lang w:bidi="th-TH"/>
              </w:rPr>
              <w:t>rmation</w:t>
            </w:r>
            <w:r w:rsidRPr="00093A89">
              <w:rPr>
                <w:rFonts w:cs="Arial"/>
                <w:color w:val="002060"/>
                <w:sz w:val="16"/>
                <w:szCs w:val="16"/>
                <w:lang w:bidi="th-TH"/>
              </w:rPr>
              <w:t xml:space="preserve"> files introduced</w:t>
            </w:r>
          </w:p>
          <w:p w:rsidR="00B22C7E" w:rsidRPr="0068151C" w:rsidRDefault="00B22C7E" w:rsidP="00220419">
            <w:pPr>
              <w:keepNext/>
              <w:keepLines/>
              <w:rPr>
                <w:rFonts w:cs="Arial"/>
                <w:i/>
                <w:sz w:val="8"/>
                <w:szCs w:val="8"/>
              </w:rPr>
            </w:pPr>
          </w:p>
          <w:p w:rsidR="00B22C7E" w:rsidRDefault="00B22C7E" w:rsidP="00220419">
            <w:pPr>
              <w:keepNext/>
              <w:keepLines/>
              <w:rPr>
                <w:rFonts w:cs="Arial"/>
                <w:sz w:val="16"/>
                <w:szCs w:val="16"/>
              </w:rPr>
            </w:pPr>
            <w:r>
              <w:rPr>
                <w:rFonts w:cs="Arial"/>
                <w:i/>
                <w:sz w:val="16"/>
                <w:szCs w:val="16"/>
              </w:rPr>
              <w:t>Original Baseline P&amp;B 2014/15</w:t>
            </w:r>
            <w:r w:rsidRPr="0068151C">
              <w:rPr>
                <w:rFonts w:cs="Arial"/>
                <w:i/>
                <w:sz w:val="16"/>
                <w:szCs w:val="16"/>
              </w:rPr>
              <w:t>:</w:t>
            </w:r>
            <w:r w:rsidRPr="0068151C">
              <w:rPr>
                <w:rFonts w:cs="Arial"/>
                <w:sz w:val="16"/>
                <w:szCs w:val="16"/>
              </w:rPr>
              <w:t xml:space="preserve"> </w:t>
            </w:r>
            <w:r w:rsidRPr="00093A89">
              <w:rPr>
                <w:rFonts w:cs="Arial"/>
                <w:sz w:val="16"/>
                <w:szCs w:val="16"/>
              </w:rPr>
              <w:t>No of amendments and info files introduced in 2013.</w:t>
            </w:r>
          </w:p>
          <w:p w:rsidR="00B22C7E" w:rsidRPr="0068151C" w:rsidRDefault="00B22C7E" w:rsidP="00220419">
            <w:pPr>
              <w:keepNext/>
              <w:keepLines/>
              <w:rPr>
                <w:rFonts w:cs="Arial"/>
                <w:sz w:val="16"/>
                <w:szCs w:val="16"/>
              </w:rPr>
            </w:pPr>
          </w:p>
        </w:tc>
        <w:tc>
          <w:tcPr>
            <w:tcW w:w="758" w:type="pct"/>
            <w:shd w:val="clear" w:color="auto" w:fill="auto"/>
            <w:tcMar>
              <w:top w:w="110" w:type="dxa"/>
            </w:tcMar>
          </w:tcPr>
          <w:p w:rsidR="00B22C7E" w:rsidRPr="0068151C" w:rsidRDefault="00B22C7E" w:rsidP="00220419">
            <w:pPr>
              <w:keepNext/>
              <w:keepLines/>
              <w:rPr>
                <w:rFonts w:cs="Arial"/>
                <w:sz w:val="16"/>
                <w:szCs w:val="16"/>
                <w:lang w:bidi="th-TH"/>
              </w:rPr>
            </w:pPr>
            <w:r w:rsidRPr="00093A89">
              <w:rPr>
                <w:rFonts w:cs="Arial"/>
                <w:sz w:val="16"/>
                <w:szCs w:val="16"/>
              </w:rPr>
              <w:t>Increase compared to baseline</w:t>
            </w:r>
          </w:p>
        </w:tc>
        <w:tc>
          <w:tcPr>
            <w:tcW w:w="1440" w:type="pct"/>
            <w:shd w:val="clear" w:color="auto" w:fill="FFFFFF"/>
            <w:tcMar>
              <w:top w:w="110" w:type="dxa"/>
            </w:tcMar>
          </w:tcPr>
          <w:p w:rsidR="00B22C7E" w:rsidRDefault="00B22C7E" w:rsidP="00220419">
            <w:pPr>
              <w:pStyle w:val="Default"/>
              <w:keepNext/>
              <w:keepLines/>
              <w:rPr>
                <w:sz w:val="16"/>
                <w:szCs w:val="16"/>
              </w:rPr>
            </w:pPr>
            <w:r>
              <w:rPr>
                <w:sz w:val="16"/>
                <w:szCs w:val="16"/>
              </w:rPr>
              <w:t>1,480 amendments in the biennium:</w:t>
            </w:r>
          </w:p>
          <w:p w:rsidR="00B22C7E" w:rsidRDefault="00B22C7E" w:rsidP="00220419">
            <w:pPr>
              <w:pStyle w:val="Default"/>
              <w:keepNext/>
              <w:keepLines/>
              <w:rPr>
                <w:sz w:val="16"/>
                <w:szCs w:val="16"/>
              </w:rPr>
            </w:pPr>
            <w:r>
              <w:rPr>
                <w:sz w:val="16"/>
                <w:szCs w:val="16"/>
              </w:rPr>
              <w:t>560 amendments in 2014</w:t>
            </w:r>
            <w:r w:rsidRPr="0094455A">
              <w:rPr>
                <w:rStyle w:val="FootnoteReference"/>
                <w:sz w:val="20"/>
              </w:rPr>
              <w:footnoteReference w:id="82"/>
            </w:r>
          </w:p>
          <w:p w:rsidR="00B22C7E" w:rsidRDefault="00B22C7E" w:rsidP="00220419">
            <w:pPr>
              <w:pStyle w:val="Default"/>
              <w:keepNext/>
              <w:keepLines/>
              <w:numPr>
                <w:ilvl w:val="0"/>
                <w:numId w:val="27"/>
              </w:numPr>
              <w:rPr>
                <w:sz w:val="16"/>
                <w:szCs w:val="16"/>
              </w:rPr>
            </w:pPr>
            <w:r>
              <w:rPr>
                <w:sz w:val="16"/>
                <w:szCs w:val="16"/>
              </w:rPr>
              <w:t>274 in English</w:t>
            </w:r>
          </w:p>
          <w:p w:rsidR="00B22C7E" w:rsidRDefault="00B22C7E" w:rsidP="00220419">
            <w:pPr>
              <w:pStyle w:val="Default"/>
              <w:keepNext/>
              <w:keepLines/>
              <w:numPr>
                <w:ilvl w:val="0"/>
                <w:numId w:val="27"/>
              </w:numPr>
              <w:rPr>
                <w:sz w:val="16"/>
                <w:szCs w:val="16"/>
              </w:rPr>
            </w:pPr>
            <w:r>
              <w:rPr>
                <w:sz w:val="16"/>
                <w:szCs w:val="16"/>
              </w:rPr>
              <w:t>286 in French</w:t>
            </w:r>
          </w:p>
          <w:p w:rsidR="00B22C7E" w:rsidRDefault="00B22C7E" w:rsidP="00220419">
            <w:pPr>
              <w:pStyle w:val="Default"/>
              <w:keepNext/>
              <w:keepLines/>
              <w:rPr>
                <w:sz w:val="16"/>
                <w:szCs w:val="16"/>
              </w:rPr>
            </w:pPr>
            <w:r>
              <w:rPr>
                <w:sz w:val="16"/>
                <w:szCs w:val="16"/>
              </w:rPr>
              <w:t>920 amendments in 2015</w:t>
            </w:r>
          </w:p>
          <w:p w:rsidR="00B22C7E" w:rsidRDefault="00B22C7E" w:rsidP="00220419">
            <w:pPr>
              <w:pStyle w:val="Default"/>
              <w:keepNext/>
              <w:keepLines/>
              <w:numPr>
                <w:ilvl w:val="0"/>
                <w:numId w:val="27"/>
              </w:numPr>
              <w:rPr>
                <w:sz w:val="16"/>
                <w:szCs w:val="16"/>
              </w:rPr>
            </w:pPr>
            <w:r>
              <w:rPr>
                <w:sz w:val="16"/>
                <w:szCs w:val="16"/>
              </w:rPr>
              <w:t>496 in English</w:t>
            </w:r>
          </w:p>
          <w:p w:rsidR="00B22C7E" w:rsidRDefault="00B22C7E" w:rsidP="00220419">
            <w:pPr>
              <w:pStyle w:val="Default"/>
              <w:keepNext/>
              <w:keepLines/>
              <w:numPr>
                <w:ilvl w:val="0"/>
                <w:numId w:val="27"/>
              </w:numPr>
              <w:rPr>
                <w:sz w:val="16"/>
                <w:szCs w:val="16"/>
              </w:rPr>
            </w:pPr>
            <w:r>
              <w:rPr>
                <w:sz w:val="16"/>
                <w:szCs w:val="16"/>
              </w:rPr>
              <w:t>424 in French</w:t>
            </w:r>
          </w:p>
          <w:p w:rsidR="00B22C7E" w:rsidRDefault="00B22C7E" w:rsidP="00220419">
            <w:pPr>
              <w:keepNext/>
              <w:keepLines/>
              <w:rPr>
                <w:sz w:val="16"/>
                <w:szCs w:val="16"/>
              </w:rPr>
            </w:pPr>
          </w:p>
          <w:p w:rsidR="00B22C7E" w:rsidRDefault="00B22C7E" w:rsidP="00220419">
            <w:pPr>
              <w:keepNext/>
              <w:keepLines/>
              <w:rPr>
                <w:sz w:val="16"/>
                <w:szCs w:val="16"/>
              </w:rPr>
            </w:pPr>
            <w:r>
              <w:rPr>
                <w:sz w:val="16"/>
                <w:szCs w:val="16"/>
              </w:rPr>
              <w:t xml:space="preserve">43 information files revised </w:t>
            </w:r>
          </w:p>
          <w:p w:rsidR="00B22C7E" w:rsidRDefault="00B22C7E" w:rsidP="00220419">
            <w:pPr>
              <w:pStyle w:val="Default"/>
              <w:keepNext/>
              <w:keepLines/>
              <w:numPr>
                <w:ilvl w:val="0"/>
                <w:numId w:val="26"/>
              </w:numPr>
              <w:rPr>
                <w:sz w:val="16"/>
                <w:szCs w:val="16"/>
              </w:rPr>
            </w:pPr>
            <w:r>
              <w:rPr>
                <w:sz w:val="16"/>
                <w:szCs w:val="16"/>
              </w:rPr>
              <w:t>39 (2014)</w:t>
            </w:r>
          </w:p>
          <w:p w:rsidR="00B22C7E" w:rsidRDefault="00B22C7E" w:rsidP="00220419">
            <w:pPr>
              <w:pStyle w:val="Default"/>
              <w:keepNext/>
              <w:keepLines/>
              <w:numPr>
                <w:ilvl w:val="0"/>
                <w:numId w:val="26"/>
              </w:numPr>
              <w:rPr>
                <w:sz w:val="16"/>
                <w:szCs w:val="16"/>
              </w:rPr>
            </w:pPr>
            <w:r>
              <w:rPr>
                <w:sz w:val="16"/>
                <w:szCs w:val="16"/>
              </w:rPr>
              <w:t>4 (2015)</w:t>
            </w:r>
          </w:p>
          <w:p w:rsidR="00B22C7E" w:rsidRDefault="00B22C7E" w:rsidP="00220419">
            <w:pPr>
              <w:pStyle w:val="Default"/>
              <w:keepNext/>
              <w:keepLines/>
              <w:rPr>
                <w:sz w:val="16"/>
                <w:szCs w:val="16"/>
              </w:rPr>
            </w:pPr>
          </w:p>
          <w:p w:rsidR="00B22C7E" w:rsidRDefault="00B22C7E" w:rsidP="00220419">
            <w:pPr>
              <w:pStyle w:val="Default"/>
              <w:keepNext/>
              <w:keepLines/>
              <w:rPr>
                <w:sz w:val="16"/>
                <w:szCs w:val="16"/>
              </w:rPr>
            </w:pPr>
            <w:r>
              <w:rPr>
                <w:sz w:val="16"/>
                <w:szCs w:val="16"/>
              </w:rPr>
              <w:t>25 new information files introduced</w:t>
            </w:r>
          </w:p>
          <w:p w:rsidR="00B22C7E" w:rsidRDefault="00B22C7E" w:rsidP="00220419">
            <w:pPr>
              <w:pStyle w:val="Default"/>
              <w:keepNext/>
              <w:keepLines/>
              <w:numPr>
                <w:ilvl w:val="0"/>
                <w:numId w:val="25"/>
              </w:numPr>
              <w:rPr>
                <w:sz w:val="16"/>
                <w:szCs w:val="16"/>
              </w:rPr>
            </w:pPr>
            <w:r>
              <w:rPr>
                <w:sz w:val="16"/>
                <w:szCs w:val="16"/>
              </w:rPr>
              <w:t>20 (2014)</w:t>
            </w:r>
          </w:p>
          <w:p w:rsidR="00B22C7E" w:rsidRDefault="00B22C7E" w:rsidP="00220419">
            <w:pPr>
              <w:pStyle w:val="Default"/>
              <w:keepNext/>
              <w:keepLines/>
              <w:numPr>
                <w:ilvl w:val="0"/>
                <w:numId w:val="25"/>
              </w:numPr>
              <w:rPr>
                <w:sz w:val="16"/>
                <w:szCs w:val="16"/>
              </w:rPr>
            </w:pPr>
            <w:r>
              <w:rPr>
                <w:sz w:val="16"/>
                <w:szCs w:val="16"/>
              </w:rPr>
              <w:t>5 (2015)</w:t>
            </w:r>
          </w:p>
          <w:p w:rsidR="00B22C7E" w:rsidRPr="0068151C" w:rsidRDefault="00B22C7E" w:rsidP="00220419">
            <w:pPr>
              <w:keepNext/>
              <w:keepLines/>
              <w:rPr>
                <w:rFonts w:cs="Arial"/>
                <w:sz w:val="16"/>
                <w:szCs w:val="16"/>
              </w:rPr>
            </w:pPr>
          </w:p>
        </w:tc>
        <w:tc>
          <w:tcPr>
            <w:tcW w:w="530" w:type="pct"/>
            <w:shd w:val="clear" w:color="auto" w:fill="auto"/>
            <w:tcMar>
              <w:top w:w="110" w:type="dxa"/>
            </w:tcMar>
          </w:tcPr>
          <w:p w:rsidR="00B22C7E" w:rsidRDefault="00B22C7E" w:rsidP="00220419">
            <w:pPr>
              <w:keepNext/>
              <w:keepLines/>
              <w:jc w:val="center"/>
              <w:rPr>
                <w:rFonts w:cs="Arial"/>
                <w:b/>
                <w:bCs/>
                <w:color w:val="00B050"/>
                <w:sz w:val="16"/>
                <w:szCs w:val="16"/>
              </w:rPr>
            </w:pPr>
            <w:r>
              <w:rPr>
                <w:rFonts w:cs="Arial"/>
                <w:b/>
                <w:bCs/>
                <w:color w:val="00B050"/>
                <w:sz w:val="16"/>
                <w:szCs w:val="16"/>
              </w:rPr>
              <w:t xml:space="preserve">Fully </w:t>
            </w:r>
            <w:r w:rsidR="003927FD">
              <w:rPr>
                <w:rFonts w:cs="Arial"/>
                <w:b/>
                <w:bCs/>
                <w:color w:val="00B050"/>
                <w:sz w:val="16"/>
                <w:szCs w:val="16"/>
              </w:rPr>
              <w:t>A</w:t>
            </w:r>
            <w:r>
              <w:rPr>
                <w:rFonts w:cs="Arial"/>
                <w:b/>
                <w:bCs/>
                <w:color w:val="00B050"/>
                <w:sz w:val="16"/>
                <w:szCs w:val="16"/>
              </w:rPr>
              <w:t>chieved</w:t>
            </w:r>
          </w:p>
          <w:p w:rsidR="00B22C7E" w:rsidRDefault="00B22C7E" w:rsidP="00220419">
            <w:pPr>
              <w:keepNext/>
              <w:keepLines/>
              <w:jc w:val="center"/>
              <w:rPr>
                <w:rFonts w:cs="Arial"/>
                <w:b/>
                <w:bCs/>
                <w:color w:val="00B050"/>
                <w:sz w:val="16"/>
                <w:szCs w:val="16"/>
              </w:rPr>
            </w:pPr>
          </w:p>
          <w:p w:rsidR="00B22C7E" w:rsidRDefault="00B22C7E" w:rsidP="00220419">
            <w:pPr>
              <w:keepNext/>
              <w:keepLines/>
              <w:jc w:val="center"/>
              <w:rPr>
                <w:rFonts w:cs="Arial"/>
                <w:b/>
                <w:bCs/>
                <w:color w:val="00B050"/>
                <w:sz w:val="16"/>
                <w:szCs w:val="16"/>
              </w:rPr>
            </w:pPr>
          </w:p>
          <w:p w:rsidR="00B22C7E" w:rsidRDefault="00B22C7E" w:rsidP="00220419">
            <w:pPr>
              <w:keepNext/>
              <w:keepLines/>
              <w:jc w:val="center"/>
              <w:rPr>
                <w:rFonts w:cs="Arial"/>
                <w:b/>
                <w:bCs/>
                <w:color w:val="00B050"/>
                <w:sz w:val="16"/>
                <w:szCs w:val="16"/>
              </w:rPr>
            </w:pPr>
          </w:p>
          <w:p w:rsidR="00B22C7E" w:rsidRDefault="00B22C7E" w:rsidP="00220419">
            <w:pPr>
              <w:keepNext/>
              <w:keepLines/>
              <w:jc w:val="center"/>
              <w:rPr>
                <w:rFonts w:cs="Arial"/>
                <w:b/>
                <w:bCs/>
                <w:color w:val="00B050"/>
                <w:sz w:val="16"/>
                <w:szCs w:val="16"/>
              </w:rPr>
            </w:pPr>
          </w:p>
          <w:p w:rsidR="00B22C7E" w:rsidRDefault="00B22C7E" w:rsidP="00220419">
            <w:pPr>
              <w:keepNext/>
              <w:keepLines/>
              <w:jc w:val="center"/>
              <w:rPr>
                <w:rFonts w:cs="Arial"/>
                <w:b/>
                <w:bCs/>
                <w:color w:val="00B050"/>
                <w:sz w:val="16"/>
                <w:szCs w:val="16"/>
              </w:rPr>
            </w:pPr>
          </w:p>
          <w:p w:rsidR="00B22C7E" w:rsidRDefault="00B22C7E" w:rsidP="00220419">
            <w:pPr>
              <w:keepNext/>
              <w:keepLines/>
              <w:jc w:val="center"/>
              <w:rPr>
                <w:rFonts w:cs="Arial"/>
                <w:b/>
                <w:bCs/>
                <w:color w:val="00B050"/>
                <w:sz w:val="16"/>
                <w:szCs w:val="16"/>
              </w:rPr>
            </w:pPr>
          </w:p>
          <w:p w:rsidR="00B22C7E" w:rsidRDefault="00B22C7E" w:rsidP="00220419">
            <w:pPr>
              <w:keepNext/>
              <w:keepLines/>
              <w:jc w:val="center"/>
              <w:rPr>
                <w:rFonts w:cs="Arial"/>
                <w:b/>
                <w:bCs/>
                <w:color w:val="00B050"/>
                <w:sz w:val="16"/>
                <w:szCs w:val="16"/>
              </w:rPr>
            </w:pPr>
          </w:p>
          <w:p w:rsidR="00B22C7E" w:rsidRDefault="00B22C7E" w:rsidP="00220419">
            <w:pPr>
              <w:keepNext/>
              <w:keepLines/>
              <w:jc w:val="center"/>
              <w:rPr>
                <w:rFonts w:cs="Arial"/>
                <w:b/>
                <w:bCs/>
                <w:color w:val="00B050"/>
                <w:sz w:val="16"/>
                <w:szCs w:val="16"/>
              </w:rPr>
            </w:pPr>
            <w:r>
              <w:rPr>
                <w:rFonts w:cs="Arial"/>
                <w:b/>
                <w:bCs/>
                <w:color w:val="00B050"/>
                <w:sz w:val="16"/>
                <w:szCs w:val="16"/>
              </w:rPr>
              <w:t xml:space="preserve">Fully </w:t>
            </w:r>
            <w:r w:rsidR="003927FD">
              <w:rPr>
                <w:rFonts w:cs="Arial"/>
                <w:b/>
                <w:bCs/>
                <w:color w:val="00B050"/>
                <w:sz w:val="16"/>
                <w:szCs w:val="16"/>
              </w:rPr>
              <w:t>A</w:t>
            </w:r>
            <w:r>
              <w:rPr>
                <w:rFonts w:cs="Arial"/>
                <w:b/>
                <w:bCs/>
                <w:color w:val="00B050"/>
                <w:sz w:val="16"/>
                <w:szCs w:val="16"/>
              </w:rPr>
              <w:t>chieved</w:t>
            </w:r>
          </w:p>
          <w:p w:rsidR="00B22C7E" w:rsidRDefault="00B22C7E" w:rsidP="00220419">
            <w:pPr>
              <w:keepNext/>
              <w:keepLines/>
              <w:jc w:val="center"/>
              <w:rPr>
                <w:rFonts w:cs="Arial"/>
                <w:b/>
                <w:bCs/>
                <w:color w:val="00B050"/>
                <w:sz w:val="16"/>
                <w:szCs w:val="16"/>
              </w:rPr>
            </w:pPr>
          </w:p>
          <w:p w:rsidR="00B22C7E" w:rsidRDefault="00B22C7E" w:rsidP="00220419">
            <w:pPr>
              <w:keepNext/>
              <w:keepLines/>
              <w:jc w:val="center"/>
              <w:rPr>
                <w:rFonts w:cs="Arial"/>
                <w:b/>
                <w:bCs/>
                <w:color w:val="00B050"/>
                <w:sz w:val="16"/>
                <w:szCs w:val="16"/>
              </w:rPr>
            </w:pPr>
          </w:p>
          <w:p w:rsidR="00B22C7E" w:rsidRDefault="00B22C7E" w:rsidP="00220419">
            <w:pPr>
              <w:keepNext/>
              <w:keepLines/>
              <w:jc w:val="center"/>
              <w:rPr>
                <w:rFonts w:cs="Arial"/>
                <w:b/>
                <w:bCs/>
                <w:color w:val="00B050"/>
                <w:sz w:val="16"/>
                <w:szCs w:val="16"/>
              </w:rPr>
            </w:pPr>
          </w:p>
          <w:p w:rsidR="00B22C7E" w:rsidRDefault="00B22C7E" w:rsidP="00220419">
            <w:pPr>
              <w:keepNext/>
              <w:keepLines/>
              <w:jc w:val="center"/>
              <w:rPr>
                <w:rFonts w:cs="Arial"/>
                <w:b/>
                <w:bCs/>
                <w:color w:val="00B050"/>
                <w:sz w:val="16"/>
                <w:szCs w:val="16"/>
              </w:rPr>
            </w:pPr>
            <w:r>
              <w:rPr>
                <w:rFonts w:cs="Arial"/>
                <w:b/>
                <w:bCs/>
                <w:color w:val="00B050"/>
                <w:sz w:val="16"/>
                <w:szCs w:val="16"/>
              </w:rPr>
              <w:t xml:space="preserve">Fully </w:t>
            </w:r>
            <w:r w:rsidR="003927FD">
              <w:rPr>
                <w:rFonts w:cs="Arial"/>
                <w:b/>
                <w:bCs/>
                <w:color w:val="00B050"/>
                <w:sz w:val="16"/>
                <w:szCs w:val="16"/>
              </w:rPr>
              <w:t>A</w:t>
            </w:r>
            <w:r>
              <w:rPr>
                <w:rFonts w:cs="Arial"/>
                <w:b/>
                <w:bCs/>
                <w:color w:val="00B050"/>
                <w:sz w:val="16"/>
                <w:szCs w:val="16"/>
              </w:rPr>
              <w:t>chieved</w:t>
            </w:r>
          </w:p>
          <w:p w:rsidR="00B22C7E" w:rsidRPr="00276F92" w:rsidRDefault="00B22C7E" w:rsidP="00220419">
            <w:pPr>
              <w:keepNext/>
              <w:keepLines/>
              <w:jc w:val="center"/>
              <w:rPr>
                <w:rFonts w:cs="Arial"/>
                <w:b/>
                <w:bCs/>
                <w:color w:val="00B050"/>
                <w:sz w:val="16"/>
                <w:szCs w:val="16"/>
              </w:rPr>
            </w:pPr>
          </w:p>
        </w:tc>
      </w:tr>
      <w:tr w:rsidR="00B22C7E" w:rsidRPr="0068151C" w:rsidTr="0094455A">
        <w:tc>
          <w:tcPr>
            <w:tcW w:w="1061" w:type="pct"/>
            <w:shd w:val="clear" w:color="auto" w:fill="auto"/>
          </w:tcPr>
          <w:p w:rsidR="00B22C7E" w:rsidRPr="00093A89" w:rsidRDefault="00B22C7E" w:rsidP="00220419">
            <w:pPr>
              <w:rPr>
                <w:rFonts w:cs="Arial"/>
                <w:color w:val="000000"/>
                <w:sz w:val="16"/>
                <w:szCs w:val="16"/>
              </w:rPr>
            </w:pPr>
            <w:r w:rsidRPr="00C57B4B">
              <w:rPr>
                <w:rFonts w:cs="Arial"/>
                <w:color w:val="000000"/>
                <w:sz w:val="16"/>
                <w:szCs w:val="16"/>
              </w:rPr>
              <w:t>No. of new subdivisions introduced into the IPC per year</w:t>
            </w:r>
          </w:p>
        </w:tc>
        <w:tc>
          <w:tcPr>
            <w:tcW w:w="1211" w:type="pct"/>
            <w:shd w:val="clear" w:color="auto" w:fill="auto"/>
          </w:tcPr>
          <w:p w:rsidR="00B22C7E" w:rsidRPr="002F3A66" w:rsidRDefault="00B22C7E" w:rsidP="00220419">
            <w:pPr>
              <w:rPr>
                <w:rFonts w:cs="Arial"/>
                <w:color w:val="002060"/>
                <w:sz w:val="16"/>
                <w:szCs w:val="16"/>
              </w:rPr>
            </w:pPr>
            <w:r>
              <w:rPr>
                <w:rFonts w:cs="Arial"/>
                <w:i/>
                <w:color w:val="002060"/>
                <w:sz w:val="16"/>
                <w:szCs w:val="16"/>
              </w:rPr>
              <w:t>Updated Baseline end 2013</w:t>
            </w:r>
            <w:r w:rsidRPr="0068151C">
              <w:rPr>
                <w:rFonts w:cs="Arial"/>
                <w:i/>
                <w:color w:val="002060"/>
                <w:sz w:val="16"/>
                <w:szCs w:val="16"/>
              </w:rPr>
              <w:t xml:space="preserve">:  </w:t>
            </w:r>
            <w:r w:rsidRPr="002F3A66">
              <w:rPr>
                <w:rFonts w:cs="Arial"/>
                <w:color w:val="002060"/>
                <w:sz w:val="16"/>
                <w:szCs w:val="16"/>
              </w:rPr>
              <w:t>617</w:t>
            </w:r>
          </w:p>
          <w:p w:rsidR="00B22C7E" w:rsidRPr="0068151C" w:rsidRDefault="00B22C7E" w:rsidP="00220419">
            <w:pPr>
              <w:rPr>
                <w:rFonts w:cs="Arial"/>
                <w:i/>
                <w:sz w:val="8"/>
                <w:szCs w:val="8"/>
              </w:rPr>
            </w:pPr>
          </w:p>
          <w:p w:rsidR="00B22C7E" w:rsidRPr="0068151C" w:rsidRDefault="00B22C7E" w:rsidP="00220419">
            <w:pPr>
              <w:rPr>
                <w:rFonts w:cs="Arial"/>
                <w:i/>
                <w:color w:val="002060"/>
                <w:sz w:val="16"/>
                <w:szCs w:val="16"/>
              </w:rPr>
            </w:pPr>
            <w:r>
              <w:rPr>
                <w:rFonts w:cs="Arial"/>
                <w:i/>
                <w:sz w:val="16"/>
                <w:szCs w:val="16"/>
              </w:rPr>
              <w:t>Original Baseline P&amp;B 2014/15</w:t>
            </w:r>
            <w:r w:rsidRPr="0068151C">
              <w:rPr>
                <w:rFonts w:cs="Arial"/>
                <w:i/>
                <w:sz w:val="16"/>
                <w:szCs w:val="16"/>
              </w:rPr>
              <w:t>:</w:t>
            </w:r>
            <w:r w:rsidRPr="0068151C">
              <w:rPr>
                <w:rFonts w:cs="Arial"/>
                <w:sz w:val="16"/>
                <w:szCs w:val="16"/>
              </w:rPr>
              <w:t xml:space="preserve"> </w:t>
            </w:r>
            <w:r w:rsidRPr="00C57B4B">
              <w:rPr>
                <w:rFonts w:cs="Arial"/>
                <w:sz w:val="16"/>
                <w:szCs w:val="16"/>
              </w:rPr>
              <w:t>500 new groups</w:t>
            </w:r>
            <w:r>
              <w:rPr>
                <w:rFonts w:cs="Arial"/>
                <w:sz w:val="16"/>
                <w:szCs w:val="16"/>
              </w:rPr>
              <w:t xml:space="preserve"> (</w:t>
            </w:r>
            <w:r w:rsidRPr="00C57B4B">
              <w:rPr>
                <w:rFonts w:cs="Arial"/>
                <w:sz w:val="16"/>
                <w:szCs w:val="16"/>
              </w:rPr>
              <w:t>average of 2009-13</w:t>
            </w:r>
            <w:r>
              <w:rPr>
                <w:rFonts w:cs="Arial"/>
                <w:sz w:val="16"/>
                <w:szCs w:val="16"/>
              </w:rPr>
              <w:t>)</w:t>
            </w:r>
          </w:p>
        </w:tc>
        <w:tc>
          <w:tcPr>
            <w:tcW w:w="758" w:type="pct"/>
            <w:shd w:val="clear" w:color="auto" w:fill="auto"/>
            <w:tcMar>
              <w:top w:w="110" w:type="dxa"/>
            </w:tcMar>
          </w:tcPr>
          <w:p w:rsidR="00B22C7E" w:rsidRPr="00093A89" w:rsidRDefault="00B22C7E" w:rsidP="00220419">
            <w:pPr>
              <w:rPr>
                <w:rFonts w:cs="Arial"/>
                <w:sz w:val="16"/>
                <w:szCs w:val="16"/>
              </w:rPr>
            </w:pPr>
            <w:r w:rsidRPr="00C57B4B">
              <w:rPr>
                <w:rFonts w:cs="Arial"/>
                <w:sz w:val="16"/>
                <w:szCs w:val="16"/>
              </w:rPr>
              <w:t>800 new groups per year</w:t>
            </w:r>
          </w:p>
        </w:tc>
        <w:tc>
          <w:tcPr>
            <w:tcW w:w="1440" w:type="pct"/>
            <w:shd w:val="clear" w:color="auto" w:fill="FFFFFF"/>
            <w:tcMar>
              <w:top w:w="110" w:type="dxa"/>
            </w:tcMar>
          </w:tcPr>
          <w:p w:rsidR="00B22C7E" w:rsidRDefault="00B22C7E" w:rsidP="00220419">
            <w:pPr>
              <w:pStyle w:val="Default"/>
              <w:rPr>
                <w:sz w:val="16"/>
                <w:szCs w:val="16"/>
              </w:rPr>
            </w:pPr>
            <w:r>
              <w:rPr>
                <w:sz w:val="16"/>
                <w:szCs w:val="16"/>
              </w:rPr>
              <w:t xml:space="preserve">2014:  </w:t>
            </w:r>
            <w:r w:rsidRPr="00820597">
              <w:rPr>
                <w:sz w:val="16"/>
                <w:szCs w:val="16"/>
              </w:rPr>
              <w:t>3</w:t>
            </w:r>
            <w:r>
              <w:rPr>
                <w:sz w:val="16"/>
                <w:szCs w:val="16"/>
              </w:rPr>
              <w:t>37</w:t>
            </w:r>
            <w:r w:rsidRPr="00820597">
              <w:rPr>
                <w:sz w:val="16"/>
                <w:szCs w:val="16"/>
              </w:rPr>
              <w:t xml:space="preserve"> new groups were introduced in </w:t>
            </w:r>
            <w:r>
              <w:rPr>
                <w:sz w:val="16"/>
                <w:szCs w:val="16"/>
              </w:rPr>
              <w:t xml:space="preserve">the </w:t>
            </w:r>
            <w:r w:rsidRPr="00820597">
              <w:rPr>
                <w:sz w:val="16"/>
                <w:szCs w:val="16"/>
              </w:rPr>
              <w:t>2015.01 version of the IPC</w:t>
            </w:r>
          </w:p>
          <w:p w:rsidR="00B22C7E" w:rsidRPr="00E42835" w:rsidRDefault="00B22C7E" w:rsidP="00220419">
            <w:pPr>
              <w:pStyle w:val="Default"/>
              <w:rPr>
                <w:sz w:val="6"/>
                <w:szCs w:val="6"/>
              </w:rPr>
            </w:pPr>
          </w:p>
          <w:p w:rsidR="00B22C7E" w:rsidRDefault="00B22C7E" w:rsidP="00220419">
            <w:pPr>
              <w:pStyle w:val="Default"/>
              <w:rPr>
                <w:sz w:val="16"/>
                <w:szCs w:val="16"/>
              </w:rPr>
            </w:pPr>
            <w:r>
              <w:rPr>
                <w:sz w:val="16"/>
                <w:szCs w:val="16"/>
              </w:rPr>
              <w:t xml:space="preserve">2015:  </w:t>
            </w:r>
            <w:r w:rsidRPr="005B6017">
              <w:rPr>
                <w:sz w:val="16"/>
                <w:szCs w:val="16"/>
              </w:rPr>
              <w:t>1</w:t>
            </w:r>
            <w:r>
              <w:rPr>
                <w:sz w:val="16"/>
                <w:szCs w:val="16"/>
              </w:rPr>
              <w:t>,</w:t>
            </w:r>
            <w:r w:rsidRPr="005B6017">
              <w:rPr>
                <w:sz w:val="16"/>
                <w:szCs w:val="16"/>
              </w:rPr>
              <w:t>031</w:t>
            </w:r>
            <w:r>
              <w:rPr>
                <w:sz w:val="16"/>
                <w:szCs w:val="16"/>
              </w:rPr>
              <w:t xml:space="preserve"> new groups were introduced in the 2016.01 version of the IPC </w:t>
            </w:r>
          </w:p>
          <w:p w:rsidR="00B22C7E" w:rsidRPr="00681EDE" w:rsidRDefault="00B22C7E" w:rsidP="00220419">
            <w:pPr>
              <w:rPr>
                <w:rFonts w:cs="Arial"/>
                <w:sz w:val="8"/>
                <w:szCs w:val="8"/>
                <w:lang w:bidi="th-TH"/>
              </w:rPr>
            </w:pPr>
          </w:p>
        </w:tc>
        <w:tc>
          <w:tcPr>
            <w:tcW w:w="530" w:type="pct"/>
            <w:shd w:val="clear" w:color="auto" w:fill="auto"/>
            <w:tcMar>
              <w:top w:w="110" w:type="dxa"/>
            </w:tcMar>
          </w:tcPr>
          <w:p w:rsidR="00B22C7E" w:rsidRDefault="00B22C7E" w:rsidP="00220419">
            <w:pPr>
              <w:keepNext/>
              <w:keepLines/>
              <w:jc w:val="center"/>
              <w:rPr>
                <w:rFonts w:cs="Arial"/>
                <w:b/>
                <w:bCs/>
                <w:color w:val="E36C0A" w:themeColor="accent6" w:themeShade="BF"/>
                <w:sz w:val="16"/>
                <w:szCs w:val="16"/>
              </w:rPr>
            </w:pPr>
            <w:r w:rsidRPr="000F55C0">
              <w:rPr>
                <w:rFonts w:cs="Arial"/>
                <w:b/>
                <w:bCs/>
                <w:color w:val="E36C0A" w:themeColor="accent6" w:themeShade="BF"/>
                <w:sz w:val="16"/>
                <w:szCs w:val="16"/>
              </w:rPr>
              <w:t xml:space="preserve">Partially </w:t>
            </w:r>
            <w:r w:rsidR="003927FD">
              <w:rPr>
                <w:rFonts w:cs="Arial"/>
                <w:b/>
                <w:bCs/>
                <w:color w:val="E36C0A" w:themeColor="accent6" w:themeShade="BF"/>
                <w:sz w:val="16"/>
                <w:szCs w:val="16"/>
              </w:rPr>
              <w:t>A</w:t>
            </w:r>
            <w:r w:rsidRPr="000F55C0">
              <w:rPr>
                <w:rFonts w:cs="Arial"/>
                <w:b/>
                <w:bCs/>
                <w:color w:val="E36C0A" w:themeColor="accent6" w:themeShade="BF"/>
                <w:sz w:val="16"/>
                <w:szCs w:val="16"/>
              </w:rPr>
              <w:t>chieved</w:t>
            </w:r>
          </w:p>
          <w:p w:rsidR="00B22C7E" w:rsidRDefault="00B22C7E" w:rsidP="00220419">
            <w:pPr>
              <w:keepNext/>
              <w:keepLines/>
              <w:rPr>
                <w:rFonts w:cs="Arial"/>
                <w:b/>
                <w:bCs/>
                <w:color w:val="00B050"/>
                <w:sz w:val="16"/>
                <w:szCs w:val="16"/>
              </w:rPr>
            </w:pPr>
          </w:p>
          <w:p w:rsidR="00B22C7E" w:rsidRPr="00F411C3" w:rsidRDefault="00B22C7E" w:rsidP="00220419">
            <w:pPr>
              <w:keepNext/>
              <w:keepLines/>
              <w:jc w:val="center"/>
              <w:rPr>
                <w:rFonts w:cs="Arial"/>
                <w:b/>
                <w:bCs/>
                <w:color w:val="FFB050"/>
                <w:sz w:val="16"/>
                <w:szCs w:val="16"/>
              </w:rPr>
            </w:pPr>
            <w:r>
              <w:rPr>
                <w:rFonts w:cs="Arial"/>
                <w:b/>
                <w:bCs/>
                <w:color w:val="00B050"/>
                <w:sz w:val="16"/>
                <w:szCs w:val="16"/>
              </w:rPr>
              <w:t xml:space="preserve">Fully </w:t>
            </w:r>
            <w:r w:rsidR="003927FD">
              <w:rPr>
                <w:rFonts w:cs="Arial"/>
                <w:b/>
                <w:bCs/>
                <w:color w:val="00B050"/>
                <w:sz w:val="16"/>
                <w:szCs w:val="16"/>
              </w:rPr>
              <w:t>A</w:t>
            </w:r>
            <w:r>
              <w:rPr>
                <w:rFonts w:cs="Arial"/>
                <w:b/>
                <w:bCs/>
                <w:color w:val="00B050"/>
                <w:sz w:val="16"/>
                <w:szCs w:val="16"/>
              </w:rPr>
              <w:t>chieved</w:t>
            </w:r>
          </w:p>
        </w:tc>
      </w:tr>
      <w:tr w:rsidR="00B22C7E" w:rsidRPr="0068151C" w:rsidTr="0094455A">
        <w:tc>
          <w:tcPr>
            <w:tcW w:w="1061" w:type="pct"/>
            <w:shd w:val="clear" w:color="auto" w:fill="auto"/>
          </w:tcPr>
          <w:p w:rsidR="00B22C7E" w:rsidRPr="00C57B4B" w:rsidRDefault="00B22C7E" w:rsidP="00220419">
            <w:pPr>
              <w:rPr>
                <w:rFonts w:cs="Arial"/>
                <w:color w:val="000000"/>
                <w:sz w:val="16"/>
                <w:szCs w:val="16"/>
              </w:rPr>
            </w:pPr>
            <w:r w:rsidRPr="00C57B4B">
              <w:rPr>
                <w:rFonts w:cs="Arial"/>
                <w:color w:val="000000"/>
                <w:sz w:val="16"/>
                <w:szCs w:val="16"/>
              </w:rPr>
              <w:t>No. of amended and new standards adopted</w:t>
            </w:r>
          </w:p>
        </w:tc>
        <w:tc>
          <w:tcPr>
            <w:tcW w:w="1211" w:type="pct"/>
            <w:shd w:val="clear" w:color="auto" w:fill="auto"/>
          </w:tcPr>
          <w:p w:rsidR="00B22C7E" w:rsidRDefault="00B22C7E" w:rsidP="00220419">
            <w:pPr>
              <w:pStyle w:val="CommentText"/>
            </w:pPr>
            <w:r>
              <w:rPr>
                <w:rFonts w:cs="Arial"/>
                <w:i/>
                <w:color w:val="002060"/>
                <w:sz w:val="16"/>
                <w:szCs w:val="16"/>
              </w:rPr>
              <w:t>Updated Baseline end 2013</w:t>
            </w:r>
            <w:r w:rsidRPr="0068151C">
              <w:rPr>
                <w:rFonts w:cs="Arial"/>
                <w:i/>
                <w:color w:val="002060"/>
                <w:sz w:val="16"/>
                <w:szCs w:val="16"/>
              </w:rPr>
              <w:t xml:space="preserve">:  </w:t>
            </w:r>
          </w:p>
          <w:p w:rsidR="00B22C7E" w:rsidRPr="0068151C" w:rsidRDefault="00B22C7E" w:rsidP="00220419">
            <w:pPr>
              <w:rPr>
                <w:rFonts w:cs="Arial"/>
                <w:i/>
                <w:sz w:val="8"/>
                <w:szCs w:val="8"/>
              </w:rPr>
            </w:pPr>
            <w:r w:rsidRPr="0068151C">
              <w:rPr>
                <w:rFonts w:cs="Arial"/>
                <w:sz w:val="16"/>
                <w:szCs w:val="16"/>
                <w:lang w:bidi="th-TH"/>
              </w:rPr>
              <w:t>One new Standard adopted and two amended in 2012</w:t>
            </w:r>
            <w:r>
              <w:rPr>
                <w:rFonts w:cs="Arial"/>
                <w:sz w:val="16"/>
                <w:szCs w:val="16"/>
                <w:lang w:bidi="th-TH"/>
              </w:rPr>
              <w:t xml:space="preserve">.  </w:t>
            </w:r>
            <w:r w:rsidRPr="0068151C">
              <w:rPr>
                <w:rFonts w:cs="Arial"/>
                <w:sz w:val="16"/>
                <w:szCs w:val="16"/>
                <w:lang w:bidi="th-TH"/>
              </w:rPr>
              <w:t>One Standard and the Glossary amended in 2013</w:t>
            </w:r>
            <w:r>
              <w:rPr>
                <w:rFonts w:cs="Arial"/>
                <w:sz w:val="16"/>
                <w:szCs w:val="16"/>
                <w:lang w:bidi="th-TH"/>
              </w:rPr>
              <w:t>.</w:t>
            </w:r>
          </w:p>
          <w:p w:rsidR="00B22C7E" w:rsidRDefault="00B22C7E" w:rsidP="00220419">
            <w:pPr>
              <w:rPr>
                <w:rFonts w:cs="Arial"/>
                <w:i/>
                <w:sz w:val="16"/>
                <w:szCs w:val="16"/>
              </w:rPr>
            </w:pPr>
          </w:p>
          <w:p w:rsidR="00B22C7E" w:rsidRDefault="00B22C7E" w:rsidP="00220419">
            <w:pPr>
              <w:rPr>
                <w:rFonts w:cs="Arial"/>
                <w:i/>
                <w:color w:val="002060"/>
                <w:sz w:val="16"/>
                <w:szCs w:val="16"/>
              </w:rPr>
            </w:pPr>
            <w:r>
              <w:rPr>
                <w:rFonts w:cs="Arial"/>
                <w:i/>
                <w:sz w:val="16"/>
                <w:szCs w:val="16"/>
              </w:rPr>
              <w:t>Original Baseline P&amp;B 2014/15</w:t>
            </w:r>
            <w:r w:rsidRPr="0068151C">
              <w:rPr>
                <w:rFonts w:cs="Arial"/>
                <w:i/>
                <w:sz w:val="16"/>
                <w:szCs w:val="16"/>
              </w:rPr>
              <w:t>:</w:t>
            </w:r>
            <w:r w:rsidRPr="0068151C">
              <w:rPr>
                <w:rFonts w:cs="Arial"/>
                <w:sz w:val="16"/>
                <w:szCs w:val="16"/>
              </w:rPr>
              <w:t xml:space="preserve"> </w:t>
            </w:r>
            <w:r w:rsidRPr="00C57B4B">
              <w:rPr>
                <w:rFonts w:cs="Arial"/>
                <w:sz w:val="16"/>
                <w:szCs w:val="16"/>
              </w:rPr>
              <w:t>Average 2012</w:t>
            </w:r>
            <w:r>
              <w:rPr>
                <w:rFonts w:cs="Arial"/>
                <w:sz w:val="16"/>
                <w:szCs w:val="16"/>
              </w:rPr>
              <w:t>/</w:t>
            </w:r>
            <w:r w:rsidRPr="00C57B4B">
              <w:rPr>
                <w:rFonts w:cs="Arial"/>
                <w:sz w:val="16"/>
                <w:szCs w:val="16"/>
              </w:rPr>
              <w:t>13 (tbd)</w:t>
            </w:r>
          </w:p>
        </w:tc>
        <w:tc>
          <w:tcPr>
            <w:tcW w:w="758" w:type="pct"/>
            <w:shd w:val="clear" w:color="auto" w:fill="auto"/>
            <w:tcMar>
              <w:top w:w="110" w:type="dxa"/>
            </w:tcMar>
          </w:tcPr>
          <w:p w:rsidR="00B22C7E" w:rsidRPr="00C57B4B" w:rsidRDefault="00B22C7E" w:rsidP="00220419">
            <w:pPr>
              <w:rPr>
                <w:rFonts w:cs="Arial"/>
                <w:sz w:val="16"/>
                <w:szCs w:val="16"/>
              </w:rPr>
            </w:pPr>
            <w:r w:rsidRPr="00C57B4B">
              <w:rPr>
                <w:rFonts w:cs="Arial"/>
                <w:sz w:val="16"/>
                <w:szCs w:val="16"/>
              </w:rPr>
              <w:t>Increase compared to baseline</w:t>
            </w:r>
          </w:p>
        </w:tc>
        <w:tc>
          <w:tcPr>
            <w:tcW w:w="1440" w:type="pct"/>
            <w:shd w:val="clear" w:color="auto" w:fill="FFFFFF"/>
            <w:tcMar>
              <w:top w:w="110" w:type="dxa"/>
            </w:tcMar>
          </w:tcPr>
          <w:p w:rsidR="00B22C7E" w:rsidRDefault="00B22C7E" w:rsidP="00220419">
            <w:pPr>
              <w:pStyle w:val="Default"/>
              <w:rPr>
                <w:sz w:val="16"/>
                <w:szCs w:val="16"/>
              </w:rPr>
            </w:pPr>
            <w:r w:rsidRPr="00820597">
              <w:rPr>
                <w:sz w:val="16"/>
                <w:szCs w:val="16"/>
              </w:rPr>
              <w:t xml:space="preserve">One new </w:t>
            </w:r>
            <w:r>
              <w:rPr>
                <w:sz w:val="16"/>
                <w:szCs w:val="16"/>
              </w:rPr>
              <w:t>S</w:t>
            </w:r>
            <w:r w:rsidRPr="00820597">
              <w:rPr>
                <w:sz w:val="16"/>
                <w:szCs w:val="16"/>
              </w:rPr>
              <w:t xml:space="preserve">tandard </w:t>
            </w:r>
            <w:r>
              <w:rPr>
                <w:sz w:val="16"/>
                <w:szCs w:val="16"/>
              </w:rPr>
              <w:t xml:space="preserve">informally </w:t>
            </w:r>
            <w:r w:rsidRPr="00820597">
              <w:rPr>
                <w:sz w:val="16"/>
                <w:szCs w:val="16"/>
              </w:rPr>
              <w:t xml:space="preserve">adopted and one revised </w:t>
            </w:r>
            <w:r>
              <w:rPr>
                <w:sz w:val="16"/>
                <w:szCs w:val="16"/>
              </w:rPr>
              <w:t xml:space="preserve"> (2014)</w:t>
            </w:r>
          </w:p>
          <w:p w:rsidR="00B22C7E" w:rsidRDefault="00B22C7E" w:rsidP="00220419">
            <w:pPr>
              <w:pStyle w:val="Default"/>
              <w:rPr>
                <w:sz w:val="16"/>
                <w:szCs w:val="16"/>
              </w:rPr>
            </w:pPr>
          </w:p>
          <w:p w:rsidR="00B22C7E" w:rsidRDefault="00B22C7E" w:rsidP="00220419">
            <w:pPr>
              <w:pStyle w:val="Default"/>
              <w:rPr>
                <w:sz w:val="16"/>
                <w:szCs w:val="16"/>
              </w:rPr>
            </w:pPr>
            <w:r>
              <w:rPr>
                <w:sz w:val="16"/>
                <w:szCs w:val="16"/>
              </w:rPr>
              <w:t>No formal adoption of new Standards. Two Standards revised (2015)</w:t>
            </w:r>
          </w:p>
          <w:p w:rsidR="00B22C7E" w:rsidRDefault="00B22C7E" w:rsidP="00220419">
            <w:pPr>
              <w:pStyle w:val="Default"/>
              <w:rPr>
                <w:sz w:val="16"/>
                <w:szCs w:val="16"/>
              </w:rPr>
            </w:pPr>
            <w:r>
              <w:rPr>
                <w:sz w:val="16"/>
                <w:szCs w:val="16"/>
              </w:rPr>
              <w:t xml:space="preserve"> </w:t>
            </w:r>
          </w:p>
          <w:p w:rsidR="00B22C7E" w:rsidRPr="00681EDE" w:rsidRDefault="00B22C7E" w:rsidP="00220419">
            <w:pPr>
              <w:rPr>
                <w:rFonts w:cs="Arial"/>
                <w:sz w:val="8"/>
                <w:szCs w:val="8"/>
                <w:lang w:bidi="th-TH"/>
              </w:rPr>
            </w:pPr>
          </w:p>
        </w:tc>
        <w:tc>
          <w:tcPr>
            <w:tcW w:w="530" w:type="pct"/>
            <w:shd w:val="clear" w:color="auto" w:fill="auto"/>
            <w:tcMar>
              <w:top w:w="110" w:type="dxa"/>
            </w:tcMar>
          </w:tcPr>
          <w:p w:rsidR="00B22C7E" w:rsidRDefault="00B22C7E" w:rsidP="00220419">
            <w:pPr>
              <w:keepNext/>
              <w:keepLines/>
              <w:jc w:val="center"/>
              <w:rPr>
                <w:rFonts w:cs="Arial"/>
                <w:b/>
                <w:bCs/>
                <w:color w:val="E36C0A" w:themeColor="accent6" w:themeShade="BF"/>
                <w:sz w:val="16"/>
                <w:szCs w:val="16"/>
              </w:rPr>
            </w:pPr>
            <w:r w:rsidRPr="000F55C0">
              <w:rPr>
                <w:rFonts w:cs="Arial"/>
                <w:b/>
                <w:bCs/>
                <w:color w:val="E36C0A" w:themeColor="accent6" w:themeShade="BF"/>
                <w:sz w:val="16"/>
                <w:szCs w:val="16"/>
              </w:rPr>
              <w:t xml:space="preserve">Partially </w:t>
            </w:r>
            <w:r w:rsidR="003927FD">
              <w:rPr>
                <w:rFonts w:cs="Arial"/>
                <w:b/>
                <w:bCs/>
                <w:color w:val="E36C0A" w:themeColor="accent6" w:themeShade="BF"/>
                <w:sz w:val="16"/>
                <w:szCs w:val="16"/>
              </w:rPr>
              <w:t>A</w:t>
            </w:r>
            <w:r w:rsidRPr="000F55C0">
              <w:rPr>
                <w:rFonts w:cs="Arial"/>
                <w:b/>
                <w:bCs/>
                <w:color w:val="E36C0A" w:themeColor="accent6" w:themeShade="BF"/>
                <w:sz w:val="16"/>
                <w:szCs w:val="16"/>
              </w:rPr>
              <w:t>chieved</w:t>
            </w:r>
          </w:p>
          <w:p w:rsidR="00B22C7E" w:rsidRPr="00F411C3" w:rsidRDefault="00B22C7E" w:rsidP="00220419">
            <w:pPr>
              <w:keepNext/>
              <w:keepLines/>
              <w:jc w:val="center"/>
              <w:rPr>
                <w:rFonts w:cs="Arial"/>
                <w:b/>
                <w:bCs/>
                <w:color w:val="FFB050"/>
                <w:sz w:val="16"/>
                <w:szCs w:val="16"/>
              </w:rPr>
            </w:pPr>
          </w:p>
        </w:tc>
      </w:tr>
      <w:tr w:rsidR="00B22C7E" w:rsidRPr="0068151C" w:rsidTr="0094455A">
        <w:tc>
          <w:tcPr>
            <w:tcW w:w="1061" w:type="pct"/>
            <w:shd w:val="clear" w:color="auto" w:fill="auto"/>
          </w:tcPr>
          <w:p w:rsidR="00B22C7E" w:rsidRPr="00C57B4B" w:rsidRDefault="00B22C7E" w:rsidP="00220419">
            <w:pPr>
              <w:rPr>
                <w:rFonts w:cs="Arial"/>
                <w:color w:val="000000"/>
                <w:sz w:val="16"/>
                <w:szCs w:val="16"/>
              </w:rPr>
            </w:pPr>
            <w:r w:rsidRPr="00C57B4B">
              <w:rPr>
                <w:rFonts w:cs="Arial"/>
                <w:color w:val="000000"/>
                <w:sz w:val="16"/>
                <w:szCs w:val="16"/>
              </w:rPr>
              <w:t>No. of users accessing the Internet publications of international classifications and standards, in particular from developing countries</w:t>
            </w:r>
          </w:p>
        </w:tc>
        <w:tc>
          <w:tcPr>
            <w:tcW w:w="1211" w:type="pct"/>
            <w:shd w:val="clear" w:color="auto" w:fill="auto"/>
          </w:tcPr>
          <w:p w:rsidR="00B22C7E" w:rsidRDefault="00B22C7E" w:rsidP="00220419">
            <w:pPr>
              <w:rPr>
                <w:rFonts w:cs="Arial"/>
                <w:i/>
                <w:color w:val="002060"/>
                <w:sz w:val="16"/>
                <w:szCs w:val="16"/>
              </w:rPr>
            </w:pPr>
            <w:r>
              <w:rPr>
                <w:rFonts w:cs="Arial"/>
                <w:i/>
                <w:color w:val="002060"/>
                <w:sz w:val="16"/>
                <w:szCs w:val="16"/>
              </w:rPr>
              <w:t>Updated Baseline end 2013</w:t>
            </w:r>
            <w:r w:rsidRPr="0068151C">
              <w:rPr>
                <w:rFonts w:cs="Arial"/>
                <w:i/>
                <w:color w:val="002060"/>
                <w:sz w:val="16"/>
                <w:szCs w:val="16"/>
              </w:rPr>
              <w:t xml:space="preserve">:  </w:t>
            </w:r>
          </w:p>
          <w:p w:rsidR="00B22C7E" w:rsidRPr="00F85BE6" w:rsidRDefault="00B22C7E" w:rsidP="00220419">
            <w:pPr>
              <w:spacing w:after="120"/>
              <w:rPr>
                <w:rFonts w:cs="Arial"/>
                <w:color w:val="002060"/>
                <w:sz w:val="16"/>
                <w:szCs w:val="16"/>
              </w:rPr>
            </w:pPr>
            <w:r w:rsidRPr="00F85BE6">
              <w:rPr>
                <w:rFonts w:cs="Arial"/>
                <w:color w:val="002060"/>
                <w:sz w:val="16"/>
                <w:szCs w:val="16"/>
              </w:rPr>
              <w:t>IPC Home: 387,093</w:t>
            </w:r>
          </w:p>
          <w:p w:rsidR="00B22C7E" w:rsidRPr="00F85BE6" w:rsidRDefault="00B22C7E" w:rsidP="00220419">
            <w:pPr>
              <w:spacing w:after="120"/>
              <w:rPr>
                <w:rFonts w:cs="Arial"/>
                <w:color w:val="002060"/>
                <w:sz w:val="16"/>
                <w:szCs w:val="16"/>
              </w:rPr>
            </w:pPr>
            <w:r w:rsidRPr="00F85BE6">
              <w:rPr>
                <w:rFonts w:cs="Arial"/>
                <w:color w:val="002060"/>
                <w:sz w:val="16"/>
                <w:szCs w:val="16"/>
              </w:rPr>
              <w:t>IPC Pub: 670,032 (extrapolated from data Jan-May 2013 and readjusted by the same method of measurement used for the 2014 data)</w:t>
            </w:r>
          </w:p>
          <w:p w:rsidR="00B22C7E" w:rsidRDefault="00B22C7E" w:rsidP="00220419">
            <w:pPr>
              <w:spacing w:after="120"/>
              <w:rPr>
                <w:rFonts w:cs="Arial"/>
                <w:color w:val="002060"/>
                <w:sz w:val="16"/>
                <w:szCs w:val="16"/>
              </w:rPr>
            </w:pPr>
            <w:r w:rsidRPr="00F85BE6">
              <w:rPr>
                <w:rFonts w:cs="Arial"/>
                <w:color w:val="002060"/>
                <w:sz w:val="16"/>
                <w:szCs w:val="16"/>
              </w:rPr>
              <w:t>NICE Home: 533,846</w:t>
            </w:r>
          </w:p>
          <w:p w:rsidR="00B22C7E" w:rsidRDefault="00B22C7E" w:rsidP="00220419">
            <w:pPr>
              <w:spacing w:after="120"/>
              <w:rPr>
                <w:rFonts w:cs="Arial"/>
                <w:color w:val="002060"/>
                <w:sz w:val="16"/>
                <w:szCs w:val="16"/>
              </w:rPr>
            </w:pPr>
            <w:r w:rsidRPr="00C44FE1">
              <w:rPr>
                <w:rFonts w:cs="Arial"/>
                <w:color w:val="002060"/>
                <w:sz w:val="16"/>
                <w:szCs w:val="16"/>
              </w:rPr>
              <w:t>NICE Pub: 2,386,409</w:t>
            </w:r>
          </w:p>
          <w:p w:rsidR="00B22C7E" w:rsidRDefault="00B22C7E" w:rsidP="00220419">
            <w:pPr>
              <w:spacing w:after="120"/>
              <w:rPr>
                <w:rFonts w:cs="Arial"/>
                <w:color w:val="002060"/>
                <w:sz w:val="16"/>
                <w:szCs w:val="16"/>
              </w:rPr>
            </w:pPr>
            <w:r w:rsidRPr="00C44FE1">
              <w:rPr>
                <w:rFonts w:cs="Arial"/>
                <w:color w:val="002060"/>
                <w:sz w:val="16"/>
                <w:szCs w:val="16"/>
              </w:rPr>
              <w:t>LOCARNO Home: 36,727</w:t>
            </w:r>
          </w:p>
          <w:p w:rsidR="00B22C7E" w:rsidRPr="00C44FE1" w:rsidRDefault="00B22C7E" w:rsidP="00220419">
            <w:pPr>
              <w:spacing w:after="120"/>
              <w:rPr>
                <w:rFonts w:cs="Arial"/>
                <w:color w:val="002060"/>
                <w:sz w:val="16"/>
                <w:szCs w:val="16"/>
              </w:rPr>
            </w:pPr>
            <w:r w:rsidRPr="00C44FE1">
              <w:rPr>
                <w:rFonts w:cs="Arial"/>
                <w:color w:val="002060"/>
                <w:sz w:val="16"/>
                <w:szCs w:val="16"/>
              </w:rPr>
              <w:t>VIENNA home: 32,416</w:t>
            </w:r>
          </w:p>
          <w:p w:rsidR="00B22C7E" w:rsidRPr="00C44FE1" w:rsidRDefault="00B22C7E" w:rsidP="00220419">
            <w:pPr>
              <w:spacing w:after="120"/>
              <w:rPr>
                <w:rFonts w:cs="Arial"/>
                <w:color w:val="002060"/>
                <w:sz w:val="16"/>
                <w:szCs w:val="16"/>
              </w:rPr>
            </w:pPr>
            <w:r w:rsidRPr="00C44FE1">
              <w:rPr>
                <w:rFonts w:cs="Arial"/>
                <w:color w:val="002060"/>
                <w:sz w:val="16"/>
                <w:szCs w:val="16"/>
              </w:rPr>
              <w:t>WIPO Standards</w:t>
            </w:r>
            <w:r>
              <w:rPr>
                <w:rFonts w:cs="Arial"/>
                <w:color w:val="002060"/>
                <w:sz w:val="16"/>
                <w:szCs w:val="16"/>
              </w:rPr>
              <w:t xml:space="preserve"> </w:t>
            </w:r>
            <w:r w:rsidRPr="00C44FE1">
              <w:rPr>
                <w:rFonts w:cs="Arial"/>
                <w:color w:val="002060"/>
                <w:sz w:val="16"/>
                <w:szCs w:val="16"/>
              </w:rPr>
              <w:t>(Handbook):  94,463</w:t>
            </w:r>
          </w:p>
          <w:p w:rsidR="00B22C7E" w:rsidRDefault="00B22C7E" w:rsidP="00220419">
            <w:pPr>
              <w:rPr>
                <w:rFonts w:cs="Arial"/>
                <w:i/>
                <w:color w:val="002060"/>
                <w:sz w:val="16"/>
                <w:szCs w:val="16"/>
              </w:rPr>
            </w:pPr>
            <w:r>
              <w:rPr>
                <w:rFonts w:cs="Arial"/>
                <w:i/>
                <w:sz w:val="16"/>
                <w:szCs w:val="16"/>
              </w:rPr>
              <w:t>Original Baseline P&amp;B 2014/15</w:t>
            </w:r>
            <w:r w:rsidRPr="0068151C">
              <w:rPr>
                <w:rFonts w:cs="Arial"/>
                <w:i/>
                <w:sz w:val="16"/>
                <w:szCs w:val="16"/>
              </w:rPr>
              <w:t>:</w:t>
            </w:r>
            <w:r w:rsidRPr="0068151C">
              <w:rPr>
                <w:rFonts w:cs="Arial"/>
                <w:sz w:val="16"/>
                <w:szCs w:val="16"/>
              </w:rPr>
              <w:t xml:space="preserve"> </w:t>
            </w:r>
            <w:r>
              <w:rPr>
                <w:rFonts w:cs="Arial"/>
                <w:sz w:val="16"/>
                <w:szCs w:val="16"/>
              </w:rPr>
              <w:t>t</w:t>
            </w:r>
            <w:r w:rsidRPr="00C57B4B">
              <w:rPr>
                <w:rFonts w:cs="Arial"/>
                <w:sz w:val="16"/>
                <w:szCs w:val="16"/>
              </w:rPr>
              <w:t>bd end of 2013</w:t>
            </w:r>
          </w:p>
        </w:tc>
        <w:tc>
          <w:tcPr>
            <w:tcW w:w="758" w:type="pct"/>
            <w:shd w:val="clear" w:color="auto" w:fill="auto"/>
            <w:tcMar>
              <w:top w:w="110" w:type="dxa"/>
            </w:tcMar>
          </w:tcPr>
          <w:p w:rsidR="00B22C7E" w:rsidRPr="00C57B4B" w:rsidRDefault="00B22C7E" w:rsidP="00220419">
            <w:pPr>
              <w:rPr>
                <w:rFonts w:cs="Arial"/>
                <w:sz w:val="16"/>
                <w:szCs w:val="16"/>
              </w:rPr>
            </w:pPr>
            <w:r w:rsidRPr="00C57B4B">
              <w:rPr>
                <w:rFonts w:cs="Arial"/>
                <w:sz w:val="16"/>
                <w:szCs w:val="16"/>
              </w:rPr>
              <w:t>5% increase compared to baseline</w:t>
            </w:r>
          </w:p>
        </w:tc>
        <w:tc>
          <w:tcPr>
            <w:tcW w:w="1440" w:type="pct"/>
            <w:shd w:val="clear" w:color="auto" w:fill="FFFFFF"/>
            <w:tcMar>
              <w:top w:w="110" w:type="dxa"/>
            </w:tcMar>
          </w:tcPr>
          <w:p w:rsidR="00B22C7E" w:rsidRDefault="00B22C7E" w:rsidP="00220419">
            <w:pPr>
              <w:pStyle w:val="Default"/>
              <w:rPr>
                <w:sz w:val="16"/>
                <w:szCs w:val="16"/>
              </w:rPr>
            </w:pPr>
            <w:r>
              <w:rPr>
                <w:sz w:val="16"/>
                <w:szCs w:val="16"/>
              </w:rPr>
              <w:t xml:space="preserve">IPC home:  </w:t>
            </w:r>
            <w:r w:rsidRPr="005B6017">
              <w:rPr>
                <w:sz w:val="16"/>
                <w:szCs w:val="16"/>
              </w:rPr>
              <w:t xml:space="preserve">361,378 </w:t>
            </w:r>
            <w:r>
              <w:rPr>
                <w:sz w:val="16"/>
                <w:szCs w:val="16"/>
              </w:rPr>
              <w:t>(6.6 % decrease) (</w:t>
            </w:r>
            <w:r w:rsidRPr="005B6017">
              <w:rPr>
                <w:sz w:val="16"/>
                <w:szCs w:val="16"/>
              </w:rPr>
              <w:t>48.1</w:t>
            </w:r>
            <w:r>
              <w:rPr>
                <w:sz w:val="16"/>
                <w:szCs w:val="16"/>
              </w:rPr>
              <w:t xml:space="preserve"> % of visits from developing countries) </w:t>
            </w:r>
          </w:p>
          <w:p w:rsidR="00B22C7E" w:rsidRDefault="00B22C7E" w:rsidP="00220419">
            <w:pPr>
              <w:pStyle w:val="Default"/>
              <w:rPr>
                <w:sz w:val="16"/>
                <w:szCs w:val="16"/>
              </w:rPr>
            </w:pPr>
          </w:p>
          <w:p w:rsidR="00B22C7E" w:rsidRDefault="00B22C7E" w:rsidP="00220419">
            <w:pPr>
              <w:pStyle w:val="Default"/>
              <w:rPr>
                <w:sz w:val="16"/>
                <w:szCs w:val="16"/>
              </w:rPr>
            </w:pPr>
            <w:r>
              <w:rPr>
                <w:sz w:val="16"/>
                <w:szCs w:val="16"/>
              </w:rPr>
              <w:t xml:space="preserve">IPC Pub:  </w:t>
            </w:r>
            <w:r w:rsidRPr="00E71036">
              <w:rPr>
                <w:sz w:val="16"/>
                <w:szCs w:val="16"/>
              </w:rPr>
              <w:t xml:space="preserve">1,389,644 </w:t>
            </w:r>
            <w:r>
              <w:rPr>
                <w:sz w:val="16"/>
                <w:szCs w:val="16"/>
              </w:rPr>
              <w:t xml:space="preserve">(107.4 % increase) (36.3 % of visits from developing countries) </w:t>
            </w:r>
          </w:p>
          <w:p w:rsidR="00B22C7E" w:rsidRDefault="00B22C7E" w:rsidP="00220419">
            <w:pPr>
              <w:pStyle w:val="Default"/>
              <w:rPr>
                <w:sz w:val="16"/>
                <w:szCs w:val="16"/>
              </w:rPr>
            </w:pPr>
          </w:p>
          <w:p w:rsidR="00B22C7E" w:rsidRDefault="00B22C7E" w:rsidP="00220419">
            <w:pPr>
              <w:pStyle w:val="Default"/>
              <w:rPr>
                <w:sz w:val="16"/>
                <w:szCs w:val="16"/>
              </w:rPr>
            </w:pPr>
            <w:r>
              <w:rPr>
                <w:sz w:val="16"/>
                <w:szCs w:val="16"/>
              </w:rPr>
              <w:t xml:space="preserve">NICE home:  </w:t>
            </w:r>
            <w:r w:rsidRPr="00E71036">
              <w:rPr>
                <w:sz w:val="16"/>
                <w:szCs w:val="16"/>
              </w:rPr>
              <w:t xml:space="preserve">532,493 </w:t>
            </w:r>
            <w:r>
              <w:rPr>
                <w:sz w:val="16"/>
                <w:szCs w:val="16"/>
              </w:rPr>
              <w:t>(stable) (</w:t>
            </w:r>
            <w:r w:rsidRPr="00E71036">
              <w:rPr>
                <w:sz w:val="16"/>
                <w:szCs w:val="16"/>
              </w:rPr>
              <w:t>47.8</w:t>
            </w:r>
            <w:r>
              <w:rPr>
                <w:sz w:val="16"/>
                <w:szCs w:val="16"/>
              </w:rPr>
              <w:t> % of visits from developing countries)</w:t>
            </w:r>
          </w:p>
          <w:p w:rsidR="00B22C7E" w:rsidRDefault="00B22C7E" w:rsidP="00220419">
            <w:pPr>
              <w:pStyle w:val="Default"/>
              <w:rPr>
                <w:sz w:val="16"/>
                <w:szCs w:val="16"/>
              </w:rPr>
            </w:pPr>
            <w:r>
              <w:rPr>
                <w:sz w:val="16"/>
                <w:szCs w:val="16"/>
              </w:rPr>
              <w:t xml:space="preserve"> </w:t>
            </w:r>
          </w:p>
          <w:p w:rsidR="00B22C7E" w:rsidRDefault="00B22C7E" w:rsidP="00220419">
            <w:pPr>
              <w:pStyle w:val="Default"/>
              <w:rPr>
                <w:sz w:val="16"/>
                <w:szCs w:val="16"/>
              </w:rPr>
            </w:pPr>
            <w:r>
              <w:rPr>
                <w:sz w:val="16"/>
                <w:szCs w:val="16"/>
              </w:rPr>
              <w:t xml:space="preserve">NICE Pub:  </w:t>
            </w:r>
            <w:r w:rsidRPr="00E71036">
              <w:rPr>
                <w:sz w:val="16"/>
                <w:szCs w:val="16"/>
              </w:rPr>
              <w:t xml:space="preserve">2,721,537 </w:t>
            </w:r>
            <w:r>
              <w:rPr>
                <w:sz w:val="16"/>
                <w:szCs w:val="16"/>
              </w:rPr>
              <w:t xml:space="preserve">(14 % increase) (49.1 % of visits from developing countries) </w:t>
            </w:r>
          </w:p>
          <w:p w:rsidR="00B22C7E" w:rsidRDefault="00B22C7E" w:rsidP="00220419">
            <w:pPr>
              <w:pStyle w:val="Default"/>
              <w:rPr>
                <w:sz w:val="16"/>
                <w:szCs w:val="16"/>
              </w:rPr>
            </w:pPr>
          </w:p>
          <w:p w:rsidR="00B22C7E" w:rsidRDefault="00B22C7E" w:rsidP="00220419">
            <w:pPr>
              <w:pStyle w:val="Default"/>
              <w:rPr>
                <w:sz w:val="16"/>
                <w:szCs w:val="16"/>
              </w:rPr>
            </w:pPr>
            <w:r>
              <w:rPr>
                <w:sz w:val="16"/>
                <w:szCs w:val="16"/>
              </w:rPr>
              <w:t xml:space="preserve">LOCARNO home:  </w:t>
            </w:r>
            <w:r w:rsidRPr="00E71036">
              <w:rPr>
                <w:sz w:val="16"/>
                <w:szCs w:val="16"/>
              </w:rPr>
              <w:t xml:space="preserve">51,075 </w:t>
            </w:r>
            <w:r>
              <w:rPr>
                <w:sz w:val="16"/>
                <w:szCs w:val="16"/>
              </w:rPr>
              <w:t xml:space="preserve">(39.1  % increase) (33.5 % of visits from developing countries) </w:t>
            </w:r>
          </w:p>
          <w:p w:rsidR="00B22C7E" w:rsidRDefault="00B22C7E" w:rsidP="00220419">
            <w:pPr>
              <w:pStyle w:val="Default"/>
              <w:rPr>
                <w:sz w:val="16"/>
                <w:szCs w:val="16"/>
              </w:rPr>
            </w:pPr>
          </w:p>
          <w:p w:rsidR="00B22C7E" w:rsidRDefault="00B22C7E" w:rsidP="00220419">
            <w:pPr>
              <w:pStyle w:val="Default"/>
              <w:rPr>
                <w:sz w:val="16"/>
                <w:szCs w:val="16"/>
              </w:rPr>
            </w:pPr>
            <w:r>
              <w:rPr>
                <w:sz w:val="16"/>
                <w:szCs w:val="16"/>
              </w:rPr>
              <w:t xml:space="preserve">VIENNA home:  </w:t>
            </w:r>
            <w:r w:rsidRPr="00E71036">
              <w:rPr>
                <w:sz w:val="16"/>
                <w:szCs w:val="16"/>
              </w:rPr>
              <w:t xml:space="preserve">34,830 </w:t>
            </w:r>
            <w:r>
              <w:rPr>
                <w:sz w:val="16"/>
                <w:szCs w:val="16"/>
              </w:rPr>
              <w:t xml:space="preserve">(7.4 % increase) (38.8 % of visits from developing countries) </w:t>
            </w:r>
          </w:p>
          <w:p w:rsidR="00B22C7E" w:rsidRDefault="00B22C7E" w:rsidP="00220419">
            <w:pPr>
              <w:pStyle w:val="Default"/>
              <w:rPr>
                <w:sz w:val="16"/>
                <w:szCs w:val="16"/>
              </w:rPr>
            </w:pPr>
          </w:p>
          <w:p w:rsidR="00B22C7E" w:rsidRPr="00681EDE" w:rsidRDefault="00B22C7E" w:rsidP="00220419">
            <w:pPr>
              <w:pStyle w:val="Default"/>
              <w:rPr>
                <w:lang w:bidi="th-TH"/>
              </w:rPr>
            </w:pPr>
            <w:r>
              <w:rPr>
                <w:sz w:val="16"/>
                <w:szCs w:val="16"/>
              </w:rPr>
              <w:t xml:space="preserve">WIPO Standards (Handbook):  </w:t>
            </w:r>
            <w:r w:rsidRPr="000628D9">
              <w:rPr>
                <w:sz w:val="16"/>
                <w:szCs w:val="16"/>
              </w:rPr>
              <w:t xml:space="preserve">69,288 </w:t>
            </w:r>
            <w:r>
              <w:rPr>
                <w:sz w:val="16"/>
                <w:szCs w:val="16"/>
              </w:rPr>
              <w:t xml:space="preserve">(26.7 % decrease) (33.6 % of visits from developing countries) </w:t>
            </w:r>
          </w:p>
        </w:tc>
        <w:tc>
          <w:tcPr>
            <w:tcW w:w="530" w:type="pct"/>
            <w:shd w:val="clear" w:color="auto" w:fill="auto"/>
            <w:tcMar>
              <w:top w:w="110" w:type="dxa"/>
            </w:tcMar>
          </w:tcPr>
          <w:p w:rsidR="00B22C7E" w:rsidRDefault="00B22C7E" w:rsidP="00220419">
            <w:pPr>
              <w:keepNext/>
              <w:keepLines/>
              <w:jc w:val="center"/>
              <w:rPr>
                <w:rFonts w:cs="Arial"/>
                <w:b/>
                <w:bCs/>
                <w:color w:val="00B050"/>
                <w:sz w:val="16"/>
                <w:szCs w:val="16"/>
              </w:rPr>
            </w:pPr>
            <w:r w:rsidRPr="00CE4FB1">
              <w:rPr>
                <w:rFonts w:cs="Arial"/>
                <w:b/>
                <w:bCs/>
                <w:color w:val="FF0000"/>
                <w:sz w:val="16"/>
                <w:szCs w:val="16"/>
              </w:rPr>
              <w:t xml:space="preserve">Not </w:t>
            </w:r>
            <w:r w:rsidR="003927FD">
              <w:rPr>
                <w:rFonts w:cs="Arial"/>
                <w:b/>
                <w:bCs/>
                <w:color w:val="FF0000"/>
                <w:sz w:val="16"/>
                <w:szCs w:val="16"/>
              </w:rPr>
              <w:t>A</w:t>
            </w:r>
            <w:r w:rsidRPr="00CE4FB1">
              <w:rPr>
                <w:rFonts w:cs="Arial"/>
                <w:b/>
                <w:bCs/>
                <w:color w:val="FF0000"/>
                <w:sz w:val="16"/>
                <w:szCs w:val="16"/>
              </w:rPr>
              <w:t>chieved</w:t>
            </w:r>
          </w:p>
          <w:p w:rsidR="00B22C7E" w:rsidRDefault="00B22C7E" w:rsidP="00220419">
            <w:pPr>
              <w:keepNext/>
              <w:keepLines/>
              <w:jc w:val="center"/>
              <w:rPr>
                <w:rFonts w:cs="Arial"/>
                <w:b/>
                <w:bCs/>
                <w:color w:val="FF0000"/>
                <w:sz w:val="16"/>
                <w:szCs w:val="16"/>
              </w:rPr>
            </w:pPr>
          </w:p>
          <w:p w:rsidR="00B22C7E" w:rsidRDefault="00B22C7E" w:rsidP="00220419">
            <w:pPr>
              <w:keepNext/>
              <w:keepLines/>
              <w:jc w:val="center"/>
              <w:rPr>
                <w:rFonts w:cs="Arial"/>
                <w:b/>
                <w:bCs/>
                <w:color w:val="FF0000"/>
                <w:sz w:val="16"/>
                <w:szCs w:val="16"/>
              </w:rPr>
            </w:pPr>
          </w:p>
          <w:p w:rsidR="00B22C7E" w:rsidRDefault="00B22C7E" w:rsidP="00220419">
            <w:pPr>
              <w:keepNext/>
              <w:keepLines/>
              <w:jc w:val="center"/>
              <w:rPr>
                <w:rFonts w:cs="Arial"/>
                <w:b/>
                <w:bCs/>
                <w:color w:val="00B050"/>
                <w:sz w:val="16"/>
                <w:szCs w:val="16"/>
              </w:rPr>
            </w:pPr>
            <w:r>
              <w:rPr>
                <w:rFonts w:cs="Arial"/>
                <w:b/>
                <w:bCs/>
                <w:color w:val="00B050"/>
                <w:sz w:val="16"/>
                <w:szCs w:val="16"/>
              </w:rPr>
              <w:t xml:space="preserve">Fully </w:t>
            </w:r>
            <w:r w:rsidR="003E16BE">
              <w:rPr>
                <w:rFonts w:cs="Arial"/>
                <w:b/>
                <w:bCs/>
                <w:color w:val="00B050"/>
                <w:sz w:val="16"/>
                <w:szCs w:val="16"/>
              </w:rPr>
              <w:t>A</w:t>
            </w:r>
            <w:r>
              <w:rPr>
                <w:rFonts w:cs="Arial"/>
                <w:b/>
                <w:bCs/>
                <w:color w:val="00B050"/>
                <w:sz w:val="16"/>
                <w:szCs w:val="16"/>
              </w:rPr>
              <w:t>chieved</w:t>
            </w:r>
          </w:p>
          <w:p w:rsidR="00B22C7E" w:rsidRDefault="00B22C7E" w:rsidP="00220419">
            <w:pPr>
              <w:keepNext/>
              <w:keepLines/>
              <w:jc w:val="center"/>
              <w:rPr>
                <w:rFonts w:cs="Arial"/>
                <w:b/>
                <w:bCs/>
                <w:color w:val="00B050"/>
                <w:sz w:val="16"/>
                <w:szCs w:val="16"/>
              </w:rPr>
            </w:pPr>
          </w:p>
          <w:p w:rsidR="00B22C7E" w:rsidRDefault="00B22C7E" w:rsidP="00220419">
            <w:pPr>
              <w:keepNext/>
              <w:keepLines/>
              <w:jc w:val="center"/>
              <w:rPr>
                <w:rFonts w:cs="Arial"/>
                <w:b/>
                <w:bCs/>
                <w:color w:val="00B050"/>
                <w:sz w:val="16"/>
                <w:szCs w:val="16"/>
              </w:rPr>
            </w:pPr>
          </w:p>
          <w:p w:rsidR="00B22C7E" w:rsidRDefault="00B22C7E" w:rsidP="00220419">
            <w:pPr>
              <w:keepNext/>
              <w:keepLines/>
              <w:jc w:val="center"/>
              <w:rPr>
                <w:rFonts w:cs="Arial"/>
                <w:b/>
                <w:bCs/>
                <w:color w:val="E36C0A" w:themeColor="accent6" w:themeShade="BF"/>
                <w:sz w:val="16"/>
                <w:szCs w:val="16"/>
              </w:rPr>
            </w:pPr>
            <w:r w:rsidRPr="000F55C0">
              <w:rPr>
                <w:rFonts w:cs="Arial"/>
                <w:b/>
                <w:bCs/>
                <w:color w:val="E36C0A" w:themeColor="accent6" w:themeShade="BF"/>
                <w:sz w:val="16"/>
                <w:szCs w:val="16"/>
              </w:rPr>
              <w:t xml:space="preserve">Partially </w:t>
            </w:r>
            <w:r w:rsidR="003927FD">
              <w:rPr>
                <w:rFonts w:cs="Arial"/>
                <w:b/>
                <w:bCs/>
                <w:color w:val="E36C0A" w:themeColor="accent6" w:themeShade="BF"/>
                <w:sz w:val="16"/>
                <w:szCs w:val="16"/>
              </w:rPr>
              <w:t>A</w:t>
            </w:r>
            <w:r w:rsidRPr="000F55C0">
              <w:rPr>
                <w:rFonts w:cs="Arial"/>
                <w:b/>
                <w:bCs/>
                <w:color w:val="E36C0A" w:themeColor="accent6" w:themeShade="BF"/>
                <w:sz w:val="16"/>
                <w:szCs w:val="16"/>
              </w:rPr>
              <w:t>chieved</w:t>
            </w:r>
          </w:p>
          <w:p w:rsidR="00B22C7E" w:rsidRDefault="00B22C7E" w:rsidP="00220419">
            <w:pPr>
              <w:keepNext/>
              <w:keepLines/>
              <w:jc w:val="center"/>
              <w:rPr>
                <w:rFonts w:cs="Arial"/>
                <w:b/>
                <w:bCs/>
                <w:color w:val="E36C0A" w:themeColor="accent6" w:themeShade="BF"/>
                <w:sz w:val="16"/>
                <w:szCs w:val="16"/>
              </w:rPr>
            </w:pPr>
          </w:p>
          <w:p w:rsidR="00B22C7E" w:rsidRPr="000F55C0" w:rsidRDefault="00B22C7E" w:rsidP="00220419">
            <w:pPr>
              <w:keepNext/>
              <w:keepLines/>
              <w:jc w:val="center"/>
              <w:rPr>
                <w:rFonts w:cs="Arial"/>
                <w:b/>
                <w:bCs/>
                <w:color w:val="E36C0A" w:themeColor="accent6" w:themeShade="BF"/>
                <w:sz w:val="16"/>
                <w:szCs w:val="16"/>
              </w:rPr>
            </w:pPr>
          </w:p>
          <w:p w:rsidR="00B22C7E" w:rsidRDefault="00B22C7E" w:rsidP="00220419">
            <w:pPr>
              <w:keepNext/>
              <w:keepLines/>
              <w:jc w:val="center"/>
              <w:rPr>
                <w:rFonts w:cs="Arial"/>
                <w:b/>
                <w:bCs/>
                <w:color w:val="00B050"/>
                <w:sz w:val="16"/>
                <w:szCs w:val="16"/>
              </w:rPr>
            </w:pPr>
            <w:r>
              <w:rPr>
                <w:rFonts w:cs="Arial"/>
                <w:b/>
                <w:bCs/>
                <w:color w:val="00B050"/>
                <w:sz w:val="16"/>
                <w:szCs w:val="16"/>
              </w:rPr>
              <w:t xml:space="preserve">Fully </w:t>
            </w:r>
            <w:r w:rsidR="003927FD">
              <w:rPr>
                <w:rFonts w:cs="Arial"/>
                <w:b/>
                <w:bCs/>
                <w:color w:val="00B050"/>
                <w:sz w:val="16"/>
                <w:szCs w:val="16"/>
              </w:rPr>
              <w:t>A</w:t>
            </w:r>
            <w:r>
              <w:rPr>
                <w:rFonts w:cs="Arial"/>
                <w:b/>
                <w:bCs/>
                <w:color w:val="00B050"/>
                <w:sz w:val="16"/>
                <w:szCs w:val="16"/>
              </w:rPr>
              <w:t>chieved</w:t>
            </w:r>
          </w:p>
          <w:p w:rsidR="00B22C7E" w:rsidRDefault="00B22C7E" w:rsidP="00220419">
            <w:pPr>
              <w:keepNext/>
              <w:keepLines/>
              <w:jc w:val="center"/>
              <w:rPr>
                <w:rFonts w:cs="Arial"/>
                <w:bCs/>
                <w:color w:val="808080"/>
                <w:sz w:val="16"/>
                <w:szCs w:val="16"/>
              </w:rPr>
            </w:pPr>
          </w:p>
          <w:p w:rsidR="00B22C7E" w:rsidRDefault="00B22C7E" w:rsidP="00220419">
            <w:pPr>
              <w:keepNext/>
              <w:keepLines/>
              <w:rPr>
                <w:rFonts w:cs="Arial"/>
                <w:bCs/>
                <w:color w:val="808080"/>
                <w:sz w:val="16"/>
                <w:szCs w:val="16"/>
              </w:rPr>
            </w:pPr>
          </w:p>
          <w:p w:rsidR="00B22C7E" w:rsidRDefault="00B22C7E" w:rsidP="00220419">
            <w:pPr>
              <w:keepNext/>
              <w:keepLines/>
              <w:jc w:val="center"/>
              <w:rPr>
                <w:rFonts w:cs="Arial"/>
                <w:b/>
                <w:bCs/>
                <w:color w:val="00B050"/>
                <w:sz w:val="16"/>
                <w:szCs w:val="16"/>
              </w:rPr>
            </w:pPr>
            <w:r>
              <w:rPr>
                <w:rFonts w:cs="Arial"/>
                <w:b/>
                <w:bCs/>
                <w:color w:val="00B050"/>
                <w:sz w:val="16"/>
                <w:szCs w:val="16"/>
              </w:rPr>
              <w:t xml:space="preserve">Fully </w:t>
            </w:r>
            <w:r w:rsidR="003927FD">
              <w:rPr>
                <w:rFonts w:cs="Arial"/>
                <w:b/>
                <w:bCs/>
                <w:color w:val="00B050"/>
                <w:sz w:val="16"/>
                <w:szCs w:val="16"/>
              </w:rPr>
              <w:t>A</w:t>
            </w:r>
            <w:r>
              <w:rPr>
                <w:rFonts w:cs="Arial"/>
                <w:b/>
                <w:bCs/>
                <w:color w:val="00B050"/>
                <w:sz w:val="16"/>
                <w:szCs w:val="16"/>
              </w:rPr>
              <w:t>chieved</w:t>
            </w:r>
          </w:p>
          <w:p w:rsidR="00B22C7E" w:rsidRDefault="00B22C7E" w:rsidP="00220419">
            <w:pPr>
              <w:keepNext/>
              <w:keepLines/>
              <w:jc w:val="center"/>
              <w:rPr>
                <w:rFonts w:cs="Arial"/>
                <w:bCs/>
                <w:color w:val="808080"/>
                <w:sz w:val="16"/>
                <w:szCs w:val="16"/>
              </w:rPr>
            </w:pPr>
          </w:p>
          <w:p w:rsidR="00B22C7E" w:rsidRDefault="00B22C7E" w:rsidP="00220419">
            <w:pPr>
              <w:keepNext/>
              <w:keepLines/>
              <w:jc w:val="center"/>
              <w:rPr>
                <w:rFonts w:cs="Arial"/>
                <w:bCs/>
                <w:color w:val="808080"/>
                <w:sz w:val="16"/>
                <w:szCs w:val="16"/>
              </w:rPr>
            </w:pPr>
          </w:p>
          <w:p w:rsidR="00B22C7E" w:rsidRDefault="00B22C7E" w:rsidP="00220419">
            <w:pPr>
              <w:keepNext/>
              <w:keepLines/>
              <w:jc w:val="center"/>
              <w:rPr>
                <w:rFonts w:cs="Arial"/>
                <w:bCs/>
                <w:color w:val="808080"/>
                <w:sz w:val="16"/>
                <w:szCs w:val="16"/>
              </w:rPr>
            </w:pPr>
          </w:p>
          <w:p w:rsidR="00B22C7E" w:rsidRDefault="00B22C7E" w:rsidP="00220419">
            <w:pPr>
              <w:keepNext/>
              <w:keepLines/>
              <w:jc w:val="center"/>
              <w:rPr>
                <w:rFonts w:cs="Arial"/>
                <w:b/>
                <w:bCs/>
                <w:color w:val="00B050"/>
                <w:sz w:val="16"/>
                <w:szCs w:val="16"/>
              </w:rPr>
            </w:pPr>
            <w:r>
              <w:rPr>
                <w:rFonts w:cs="Arial"/>
                <w:b/>
                <w:bCs/>
                <w:color w:val="00B050"/>
                <w:sz w:val="16"/>
                <w:szCs w:val="16"/>
              </w:rPr>
              <w:t xml:space="preserve">Fully </w:t>
            </w:r>
            <w:r w:rsidR="003927FD">
              <w:rPr>
                <w:rFonts w:cs="Arial"/>
                <w:b/>
                <w:bCs/>
                <w:color w:val="00B050"/>
                <w:sz w:val="16"/>
                <w:szCs w:val="16"/>
              </w:rPr>
              <w:t>A</w:t>
            </w:r>
            <w:r>
              <w:rPr>
                <w:rFonts w:cs="Arial"/>
                <w:b/>
                <w:bCs/>
                <w:color w:val="00B050"/>
                <w:sz w:val="16"/>
                <w:szCs w:val="16"/>
              </w:rPr>
              <w:t>chieved</w:t>
            </w:r>
          </w:p>
          <w:p w:rsidR="00B22C7E" w:rsidRDefault="00B22C7E" w:rsidP="00220419">
            <w:pPr>
              <w:keepNext/>
              <w:keepLines/>
              <w:jc w:val="center"/>
              <w:rPr>
                <w:rFonts w:cs="Arial"/>
                <w:bCs/>
                <w:color w:val="808080"/>
                <w:sz w:val="16"/>
                <w:szCs w:val="16"/>
              </w:rPr>
            </w:pPr>
          </w:p>
          <w:p w:rsidR="00B22C7E" w:rsidRDefault="00B22C7E" w:rsidP="00220419">
            <w:pPr>
              <w:keepNext/>
              <w:keepLines/>
              <w:jc w:val="center"/>
              <w:rPr>
                <w:rFonts w:cs="Arial"/>
                <w:b/>
                <w:bCs/>
                <w:color w:val="FF0000"/>
                <w:sz w:val="16"/>
                <w:szCs w:val="16"/>
              </w:rPr>
            </w:pPr>
          </w:p>
          <w:p w:rsidR="00B22C7E" w:rsidRPr="000E3EAD" w:rsidRDefault="00B22C7E" w:rsidP="00220419">
            <w:pPr>
              <w:keepNext/>
              <w:keepLines/>
              <w:jc w:val="center"/>
              <w:rPr>
                <w:rFonts w:cs="Arial"/>
                <w:b/>
                <w:bCs/>
                <w:color w:val="FF0000"/>
                <w:sz w:val="16"/>
                <w:szCs w:val="16"/>
              </w:rPr>
            </w:pPr>
            <w:r w:rsidRPr="00CE4FB1">
              <w:rPr>
                <w:rFonts w:cs="Arial"/>
                <w:b/>
                <w:bCs/>
                <w:color w:val="FF0000"/>
                <w:sz w:val="16"/>
                <w:szCs w:val="16"/>
              </w:rPr>
              <w:t xml:space="preserve">Not </w:t>
            </w:r>
            <w:r w:rsidR="003927FD">
              <w:rPr>
                <w:rFonts w:cs="Arial"/>
                <w:b/>
                <w:bCs/>
                <w:color w:val="FF0000"/>
                <w:sz w:val="16"/>
                <w:szCs w:val="16"/>
              </w:rPr>
              <w:t>A</w:t>
            </w:r>
            <w:r w:rsidRPr="00CE4FB1">
              <w:rPr>
                <w:rFonts w:cs="Arial"/>
                <w:b/>
                <w:bCs/>
                <w:color w:val="FF0000"/>
                <w:sz w:val="16"/>
                <w:szCs w:val="16"/>
              </w:rPr>
              <w:t>chieved</w:t>
            </w:r>
          </w:p>
        </w:tc>
      </w:tr>
    </w:tbl>
    <w:p w:rsidR="00B22C7E" w:rsidRDefault="00B22C7E" w:rsidP="00B22C7E">
      <w:pPr>
        <w:jc w:val="both"/>
        <w:rPr>
          <w:rFonts w:cs="Arial"/>
          <w:color w:val="000000"/>
          <w:sz w:val="22"/>
          <w:szCs w:val="22"/>
        </w:rPr>
      </w:pPr>
    </w:p>
    <w:p w:rsidR="00B22C7E" w:rsidRDefault="00B22C7E" w:rsidP="00B22C7E">
      <w:pPr>
        <w:jc w:val="both"/>
        <w:rPr>
          <w:rFonts w:cs="Arial"/>
          <w:color w:val="000000"/>
          <w:sz w:val="22"/>
          <w:szCs w:val="22"/>
        </w:rPr>
      </w:pPr>
    </w:p>
    <w:p w:rsidR="00B22C7E" w:rsidRPr="00F61D62" w:rsidRDefault="00B22C7E" w:rsidP="00B22C7E">
      <w:pPr>
        <w:keepNext/>
        <w:keepLines/>
        <w:rPr>
          <w:rFonts w:cs="Arial"/>
          <w:color w:val="000000"/>
          <w:szCs w:val="22"/>
        </w:rPr>
      </w:pPr>
      <w:r w:rsidRPr="00F61D62">
        <w:rPr>
          <w:rFonts w:cs="Arial"/>
          <w:color w:val="000000"/>
          <w:szCs w:val="22"/>
        </w:rPr>
        <w:t>RISK REPORTING FOR THE BIENNIUM</w:t>
      </w:r>
    </w:p>
    <w:p w:rsidR="00B22C7E" w:rsidRPr="00F61D62" w:rsidRDefault="00B22C7E" w:rsidP="00B22C7E">
      <w:pPr>
        <w:keepNext/>
        <w:keepLines/>
        <w:rPr>
          <w:sz w:val="18"/>
        </w:rPr>
      </w:pPr>
    </w:p>
    <w:tbl>
      <w:tblPr>
        <w:tblW w:w="0" w:type="auto"/>
        <w:jc w:val="center"/>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2420"/>
        <w:gridCol w:w="2200"/>
        <w:gridCol w:w="2310"/>
        <w:gridCol w:w="2306"/>
      </w:tblGrid>
      <w:tr w:rsidR="00B22C7E" w:rsidRPr="003C527B" w:rsidTr="00220419">
        <w:trPr>
          <w:trHeight w:val="597"/>
          <w:jc w:val="center"/>
        </w:trPr>
        <w:tc>
          <w:tcPr>
            <w:tcW w:w="2420" w:type="dxa"/>
            <w:tcBorders>
              <w:top w:val="single" w:sz="4" w:space="0" w:color="auto"/>
              <w:bottom w:val="single" w:sz="4" w:space="0" w:color="auto"/>
            </w:tcBorders>
            <w:shd w:val="clear" w:color="auto" w:fill="C6D9F1" w:themeFill="text2" w:themeFillTint="33"/>
            <w:vAlign w:val="center"/>
          </w:tcPr>
          <w:p w:rsidR="00B22C7E" w:rsidRPr="003C527B" w:rsidRDefault="00B22C7E" w:rsidP="00220419">
            <w:pPr>
              <w:keepNext/>
              <w:keepLines/>
              <w:autoSpaceDE w:val="0"/>
              <w:autoSpaceDN w:val="0"/>
              <w:adjustRightInd w:val="0"/>
              <w:ind w:right="-59"/>
              <w:jc w:val="center"/>
              <w:rPr>
                <w:b/>
                <w:bCs/>
                <w:iCs/>
                <w:sz w:val="18"/>
                <w:szCs w:val="18"/>
              </w:rPr>
            </w:pPr>
            <w:r w:rsidRPr="003C527B">
              <w:rPr>
                <w:b/>
                <w:bCs/>
                <w:iCs/>
                <w:sz w:val="18"/>
                <w:szCs w:val="18"/>
              </w:rPr>
              <w:t>Risk(s) to the Program achieving its Results</w:t>
            </w:r>
          </w:p>
        </w:tc>
        <w:tc>
          <w:tcPr>
            <w:tcW w:w="2200" w:type="dxa"/>
            <w:tcBorders>
              <w:top w:val="single" w:sz="4" w:space="0" w:color="auto"/>
              <w:bottom w:val="single" w:sz="4" w:space="0" w:color="auto"/>
            </w:tcBorders>
            <w:shd w:val="clear" w:color="auto" w:fill="C6D9F1" w:themeFill="text2" w:themeFillTint="33"/>
            <w:vAlign w:val="center"/>
          </w:tcPr>
          <w:p w:rsidR="00B22C7E" w:rsidRPr="003C527B" w:rsidRDefault="00B22C7E" w:rsidP="00220419">
            <w:pPr>
              <w:keepNext/>
              <w:keepLines/>
              <w:autoSpaceDE w:val="0"/>
              <w:autoSpaceDN w:val="0"/>
              <w:adjustRightInd w:val="0"/>
              <w:ind w:right="-59"/>
              <w:jc w:val="center"/>
              <w:rPr>
                <w:b/>
                <w:bCs/>
                <w:iCs/>
                <w:sz w:val="18"/>
                <w:szCs w:val="18"/>
              </w:rPr>
            </w:pPr>
            <w:r w:rsidRPr="003C527B">
              <w:rPr>
                <w:b/>
                <w:bCs/>
                <w:iCs/>
                <w:sz w:val="18"/>
                <w:szCs w:val="18"/>
              </w:rPr>
              <w:t xml:space="preserve">Mitigation plans in place or under implementation </w:t>
            </w:r>
          </w:p>
        </w:tc>
        <w:tc>
          <w:tcPr>
            <w:tcW w:w="2310" w:type="dxa"/>
            <w:tcBorders>
              <w:top w:val="single" w:sz="4" w:space="0" w:color="auto"/>
              <w:bottom w:val="single" w:sz="4" w:space="0" w:color="auto"/>
            </w:tcBorders>
            <w:shd w:val="clear" w:color="auto" w:fill="C6D9F1" w:themeFill="text2" w:themeFillTint="33"/>
          </w:tcPr>
          <w:p w:rsidR="00B22C7E" w:rsidRPr="003C527B" w:rsidRDefault="00B22C7E" w:rsidP="00220419">
            <w:pPr>
              <w:jc w:val="center"/>
              <w:rPr>
                <w:b/>
                <w:bCs/>
                <w:sz w:val="18"/>
                <w:szCs w:val="18"/>
              </w:rPr>
            </w:pPr>
            <w:r>
              <w:rPr>
                <w:b/>
                <w:bCs/>
                <w:sz w:val="18"/>
                <w:szCs w:val="18"/>
              </w:rPr>
              <w:t>Evolution of Risk(s) and Mitigation Strategies Over the Biennium</w:t>
            </w:r>
          </w:p>
        </w:tc>
        <w:tc>
          <w:tcPr>
            <w:tcW w:w="2306" w:type="dxa"/>
            <w:tcBorders>
              <w:top w:val="single" w:sz="4" w:space="0" w:color="auto"/>
              <w:bottom w:val="single" w:sz="4" w:space="0" w:color="auto"/>
            </w:tcBorders>
            <w:shd w:val="clear" w:color="auto" w:fill="C6D9F1" w:themeFill="text2" w:themeFillTint="33"/>
          </w:tcPr>
          <w:p w:rsidR="00B22C7E" w:rsidRPr="003C527B" w:rsidRDefault="00B22C7E" w:rsidP="00220419">
            <w:pPr>
              <w:jc w:val="center"/>
              <w:rPr>
                <w:b/>
                <w:bCs/>
                <w:sz w:val="18"/>
                <w:szCs w:val="18"/>
              </w:rPr>
            </w:pPr>
            <w:r>
              <w:rPr>
                <w:b/>
                <w:bCs/>
                <w:sz w:val="18"/>
                <w:szCs w:val="18"/>
              </w:rPr>
              <w:t>Impact on the Program’s Performance</w:t>
            </w:r>
          </w:p>
        </w:tc>
      </w:tr>
      <w:tr w:rsidR="00B22C7E" w:rsidRPr="003C527B" w:rsidTr="00220419">
        <w:trPr>
          <w:trHeight w:val="799"/>
          <w:jc w:val="center"/>
        </w:trPr>
        <w:tc>
          <w:tcPr>
            <w:tcW w:w="2420" w:type="dxa"/>
            <w:tcBorders>
              <w:top w:val="single" w:sz="4" w:space="0" w:color="auto"/>
            </w:tcBorders>
            <w:shd w:val="clear" w:color="auto" w:fill="auto"/>
            <w:tcMar>
              <w:top w:w="113" w:type="dxa"/>
            </w:tcMar>
          </w:tcPr>
          <w:p w:rsidR="00B22C7E" w:rsidRPr="003C527B" w:rsidRDefault="00B22C7E" w:rsidP="00220419">
            <w:pPr>
              <w:autoSpaceDE w:val="0"/>
              <w:autoSpaceDN w:val="0"/>
              <w:adjustRightInd w:val="0"/>
              <w:ind w:right="-59"/>
              <w:rPr>
                <w:sz w:val="16"/>
                <w:szCs w:val="16"/>
              </w:rPr>
            </w:pPr>
            <w:r>
              <w:rPr>
                <w:rFonts w:eastAsia="Arial Unicode MS"/>
                <w:color w:val="000000"/>
                <w:sz w:val="16"/>
                <w:szCs w:val="16"/>
              </w:rPr>
              <w:t>D</w:t>
            </w:r>
            <w:r w:rsidRPr="003C527B">
              <w:rPr>
                <w:rFonts w:eastAsia="Arial Unicode MS"/>
                <w:color w:val="000000"/>
                <w:sz w:val="16"/>
                <w:szCs w:val="16"/>
              </w:rPr>
              <w:t xml:space="preserve">ifferences between groups of countries result in limitation of technical development of standards and classifications. </w:t>
            </w:r>
          </w:p>
        </w:tc>
        <w:tc>
          <w:tcPr>
            <w:tcW w:w="2200" w:type="dxa"/>
            <w:tcBorders>
              <w:top w:val="single" w:sz="4" w:space="0" w:color="auto"/>
            </w:tcBorders>
            <w:shd w:val="clear" w:color="auto" w:fill="auto"/>
            <w:tcMar>
              <w:top w:w="113" w:type="dxa"/>
            </w:tcMar>
          </w:tcPr>
          <w:p w:rsidR="00B22C7E" w:rsidRPr="003C527B" w:rsidRDefault="00B22C7E" w:rsidP="00220419">
            <w:pPr>
              <w:autoSpaceDE w:val="0"/>
              <w:autoSpaceDN w:val="0"/>
              <w:adjustRightInd w:val="0"/>
              <w:ind w:right="-59"/>
              <w:rPr>
                <w:sz w:val="16"/>
                <w:szCs w:val="16"/>
              </w:rPr>
            </w:pPr>
            <w:r w:rsidRPr="003C527B">
              <w:rPr>
                <w:rFonts w:eastAsia="Arial Unicode MS"/>
                <w:color w:val="000000"/>
                <w:sz w:val="16"/>
                <w:szCs w:val="16"/>
              </w:rPr>
              <w:t>Discuss and resolve issues outside of the Committees</w:t>
            </w:r>
            <w:r>
              <w:rPr>
                <w:rFonts w:eastAsia="Arial Unicode MS"/>
                <w:color w:val="000000"/>
                <w:sz w:val="16"/>
                <w:szCs w:val="16"/>
              </w:rPr>
              <w:t>. S</w:t>
            </w:r>
            <w:r w:rsidRPr="003C527B">
              <w:rPr>
                <w:rFonts w:eastAsia="Arial Unicode MS"/>
                <w:color w:val="000000"/>
                <w:sz w:val="16"/>
                <w:szCs w:val="16"/>
              </w:rPr>
              <w:t>trengthen the technical discussions within the Committees.  Monitor the implementation of long</w:t>
            </w:r>
            <w:r>
              <w:rPr>
                <w:rFonts w:eastAsia="Arial Unicode MS"/>
                <w:color w:val="000000"/>
                <w:sz w:val="16"/>
                <w:szCs w:val="16"/>
              </w:rPr>
              <w:t>-</w:t>
            </w:r>
            <w:r w:rsidRPr="003C527B">
              <w:rPr>
                <w:rFonts w:eastAsia="Arial Unicode MS"/>
                <w:color w:val="000000"/>
                <w:sz w:val="16"/>
                <w:szCs w:val="16"/>
              </w:rPr>
              <w:t xml:space="preserve">term plans. </w:t>
            </w:r>
          </w:p>
        </w:tc>
        <w:tc>
          <w:tcPr>
            <w:tcW w:w="2310" w:type="dxa"/>
            <w:tcBorders>
              <w:top w:val="single" w:sz="4" w:space="0" w:color="auto"/>
            </w:tcBorders>
          </w:tcPr>
          <w:p w:rsidR="00B22C7E" w:rsidRPr="003C527B" w:rsidRDefault="00B22C7E" w:rsidP="00220419">
            <w:pPr>
              <w:autoSpaceDE w:val="0"/>
              <w:autoSpaceDN w:val="0"/>
              <w:adjustRightInd w:val="0"/>
              <w:ind w:right="-59"/>
              <w:rPr>
                <w:rFonts w:eastAsia="Arial Unicode MS"/>
                <w:color w:val="000000"/>
                <w:sz w:val="16"/>
                <w:szCs w:val="16"/>
              </w:rPr>
            </w:pPr>
            <w:r>
              <w:rPr>
                <w:rFonts w:eastAsia="Arial Unicode MS"/>
                <w:color w:val="000000"/>
                <w:sz w:val="16"/>
                <w:szCs w:val="16"/>
              </w:rPr>
              <w:t>The problem  concerning the session of the CWS remained despite several informal meetings in 2014 and 2015.</w:t>
            </w:r>
          </w:p>
        </w:tc>
        <w:tc>
          <w:tcPr>
            <w:tcW w:w="2306" w:type="dxa"/>
            <w:tcBorders>
              <w:top w:val="single" w:sz="4" w:space="0" w:color="auto"/>
            </w:tcBorders>
          </w:tcPr>
          <w:p w:rsidR="00B22C7E" w:rsidRPr="003C527B" w:rsidRDefault="00B22C7E" w:rsidP="00220419">
            <w:pPr>
              <w:autoSpaceDE w:val="0"/>
              <w:autoSpaceDN w:val="0"/>
              <w:adjustRightInd w:val="0"/>
              <w:ind w:right="-59"/>
              <w:rPr>
                <w:rFonts w:eastAsia="Arial Unicode MS"/>
                <w:color w:val="000000"/>
                <w:sz w:val="16"/>
                <w:szCs w:val="16"/>
              </w:rPr>
            </w:pPr>
            <w:r>
              <w:rPr>
                <w:rFonts w:eastAsia="Arial Unicode MS"/>
                <w:color w:val="000000"/>
                <w:sz w:val="16"/>
                <w:szCs w:val="16"/>
              </w:rPr>
              <w:t>The CWS could not formalize the adoption of several new Standards.  However the informal work continued, and several Standards are expected to be adopted in 2016.</w:t>
            </w:r>
          </w:p>
        </w:tc>
      </w:tr>
    </w:tbl>
    <w:p w:rsidR="00B22C7E" w:rsidRDefault="00B22C7E" w:rsidP="00B22C7E">
      <w:pPr>
        <w:jc w:val="both"/>
        <w:rPr>
          <w:rFonts w:cs="Arial"/>
          <w:color w:val="000000"/>
          <w:sz w:val="22"/>
          <w:szCs w:val="22"/>
        </w:rPr>
      </w:pPr>
    </w:p>
    <w:p w:rsidR="00B22C7E" w:rsidRDefault="00B22C7E" w:rsidP="00B22C7E">
      <w:pPr>
        <w:jc w:val="both"/>
        <w:rPr>
          <w:rFonts w:cs="Arial"/>
          <w:color w:val="000000"/>
          <w:sz w:val="22"/>
          <w:szCs w:val="22"/>
        </w:rPr>
      </w:pPr>
    </w:p>
    <w:p w:rsidR="00B22C7E" w:rsidRPr="00F61D62" w:rsidRDefault="00B22C7E" w:rsidP="00B22C7E">
      <w:pPr>
        <w:jc w:val="both"/>
        <w:rPr>
          <w:b/>
          <w:sz w:val="16"/>
          <w:szCs w:val="18"/>
        </w:rPr>
      </w:pPr>
      <w:r w:rsidRPr="00F61D62">
        <w:rPr>
          <w:rFonts w:cs="Arial"/>
          <w:color w:val="000000"/>
          <w:szCs w:val="22"/>
        </w:rPr>
        <w:t>RESOURCE UTILIZATION</w:t>
      </w:r>
      <w:r w:rsidRPr="00F61D62">
        <w:rPr>
          <w:rFonts w:cs="Arial"/>
          <w:color w:val="000000"/>
          <w:szCs w:val="22"/>
        </w:rPr>
        <w:tab/>
      </w:r>
    </w:p>
    <w:p w:rsidR="00B22C7E" w:rsidRPr="008F4A6D" w:rsidRDefault="00B22C7E" w:rsidP="00B22C7E">
      <w:pPr>
        <w:jc w:val="both"/>
        <w:rPr>
          <w:szCs w:val="20"/>
        </w:rPr>
      </w:pPr>
    </w:p>
    <w:p w:rsidR="00B22C7E" w:rsidRPr="00383D2D" w:rsidRDefault="00B22C7E" w:rsidP="00B22C7E">
      <w:pPr>
        <w:pStyle w:val="NormalWeb"/>
        <w:spacing w:before="0" w:beforeAutospacing="0" w:after="0" w:afterAutospacing="0"/>
        <w:jc w:val="center"/>
        <w:rPr>
          <w:sz w:val="20"/>
          <w:szCs w:val="20"/>
        </w:rPr>
      </w:pPr>
      <w:r w:rsidRPr="00383D2D">
        <w:rPr>
          <w:color w:val="000000"/>
          <w:sz w:val="20"/>
          <w:szCs w:val="20"/>
        </w:rPr>
        <w:t>Budget and Actual Expenditure (by result)</w:t>
      </w:r>
    </w:p>
    <w:p w:rsidR="00B22C7E" w:rsidRDefault="00B22C7E" w:rsidP="00B22C7E">
      <w:pPr>
        <w:pStyle w:val="NormalWeb"/>
        <w:spacing w:before="0" w:beforeAutospacing="0" w:after="0" w:afterAutospacing="0"/>
        <w:jc w:val="center"/>
        <w:rPr>
          <w:i/>
          <w:iCs/>
          <w:color w:val="000000"/>
          <w:sz w:val="20"/>
          <w:szCs w:val="20"/>
        </w:rPr>
      </w:pPr>
      <w:r w:rsidRPr="00383D2D">
        <w:rPr>
          <w:i/>
          <w:iCs/>
          <w:color w:val="000000"/>
          <w:sz w:val="20"/>
          <w:szCs w:val="20"/>
        </w:rPr>
        <w:t>(in thousands of Swiss francs)</w:t>
      </w:r>
    </w:p>
    <w:p w:rsidR="00B22C7E" w:rsidRPr="00383D2D" w:rsidRDefault="00B22C7E" w:rsidP="00B22C7E">
      <w:pPr>
        <w:pStyle w:val="NormalWeb"/>
        <w:spacing w:before="0" w:beforeAutospacing="0" w:after="0" w:afterAutospacing="0"/>
        <w:jc w:val="both"/>
        <w:rPr>
          <w:sz w:val="20"/>
          <w:szCs w:val="20"/>
        </w:rPr>
      </w:pPr>
    </w:p>
    <w:p w:rsidR="00B22C7E" w:rsidRDefault="00B22C7E" w:rsidP="00B22C7E">
      <w:pPr>
        <w:jc w:val="center"/>
      </w:pPr>
      <w:r w:rsidRPr="00633BAB">
        <w:rPr>
          <w:noProof/>
        </w:rPr>
        <w:drawing>
          <wp:inline distT="0" distB="0" distL="0" distR="0" wp14:anchorId="55DC438D" wp14:editId="7E1866AA">
            <wp:extent cx="5343099" cy="1156936"/>
            <wp:effectExtent l="0" t="0" r="0" b="571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a:off x="0" y="0"/>
                      <a:ext cx="5344969" cy="1157341"/>
                    </a:xfrm>
                    <a:prstGeom prst="rect">
                      <a:avLst/>
                    </a:prstGeom>
                    <a:noFill/>
                    <a:ln>
                      <a:noFill/>
                    </a:ln>
                  </pic:spPr>
                </pic:pic>
              </a:graphicData>
            </a:graphic>
          </wp:inline>
        </w:drawing>
      </w:r>
    </w:p>
    <w:p w:rsidR="00B22C7E" w:rsidRDefault="00B22C7E" w:rsidP="00B22C7E">
      <w:pPr>
        <w:jc w:val="both"/>
      </w:pPr>
    </w:p>
    <w:p w:rsidR="00B22C7E" w:rsidRDefault="00B22C7E" w:rsidP="00B22C7E">
      <w:pPr>
        <w:pStyle w:val="NormalWeb"/>
        <w:keepNext/>
        <w:keepLines/>
        <w:spacing w:before="0" w:beforeAutospacing="0" w:after="0" w:afterAutospacing="0"/>
        <w:jc w:val="center"/>
        <w:rPr>
          <w:color w:val="000000"/>
          <w:sz w:val="20"/>
          <w:szCs w:val="20"/>
        </w:rPr>
      </w:pPr>
    </w:p>
    <w:p w:rsidR="00B22C7E" w:rsidRPr="00383D2D" w:rsidRDefault="00B22C7E" w:rsidP="00B22C7E">
      <w:pPr>
        <w:pStyle w:val="NormalWeb"/>
        <w:keepNext/>
        <w:keepLines/>
        <w:spacing w:before="0" w:beforeAutospacing="0" w:after="0" w:afterAutospacing="0"/>
        <w:jc w:val="center"/>
        <w:rPr>
          <w:sz w:val="20"/>
          <w:szCs w:val="20"/>
        </w:rPr>
      </w:pPr>
      <w:r w:rsidRPr="00383D2D">
        <w:rPr>
          <w:color w:val="000000"/>
          <w:sz w:val="20"/>
          <w:szCs w:val="20"/>
        </w:rPr>
        <w:t>Budget and Actual Expenditure (personnel and non-personnel)</w:t>
      </w:r>
    </w:p>
    <w:p w:rsidR="00B22C7E" w:rsidRPr="00383D2D" w:rsidRDefault="00B22C7E" w:rsidP="00B22C7E">
      <w:pPr>
        <w:pStyle w:val="NormalWeb"/>
        <w:keepNext/>
        <w:keepLines/>
        <w:spacing w:before="0" w:beforeAutospacing="0" w:after="0" w:afterAutospacing="0"/>
        <w:jc w:val="center"/>
        <w:rPr>
          <w:i/>
          <w:iCs/>
          <w:color w:val="000000"/>
          <w:sz w:val="20"/>
          <w:szCs w:val="20"/>
        </w:rPr>
      </w:pPr>
      <w:r w:rsidRPr="00383D2D">
        <w:rPr>
          <w:i/>
          <w:iCs/>
          <w:color w:val="000000"/>
          <w:sz w:val="20"/>
          <w:szCs w:val="20"/>
        </w:rPr>
        <w:t>(in thousands of Swiss francs)</w:t>
      </w:r>
    </w:p>
    <w:p w:rsidR="00B22C7E" w:rsidRDefault="00B22C7E" w:rsidP="00B22C7E">
      <w:pPr>
        <w:pStyle w:val="NormalWeb"/>
        <w:keepNext/>
        <w:keepLines/>
        <w:spacing w:before="0" w:beforeAutospacing="0" w:after="0" w:afterAutospacing="0"/>
        <w:jc w:val="both"/>
      </w:pPr>
    </w:p>
    <w:p w:rsidR="00B22C7E" w:rsidRPr="008F4A6D" w:rsidRDefault="00B22C7E" w:rsidP="00B22C7E">
      <w:pPr>
        <w:widowControl w:val="0"/>
        <w:autoSpaceDE w:val="0"/>
        <w:autoSpaceDN w:val="0"/>
        <w:adjustRightInd w:val="0"/>
        <w:jc w:val="center"/>
        <w:rPr>
          <w:rFonts w:cs="Arial"/>
          <w:szCs w:val="20"/>
        </w:rPr>
      </w:pPr>
      <w:r w:rsidRPr="0083399C">
        <w:rPr>
          <w:noProof/>
        </w:rPr>
        <w:drawing>
          <wp:inline distT="0" distB="0" distL="0" distR="0" wp14:anchorId="09278963" wp14:editId="4CCE5795">
            <wp:extent cx="5418162" cy="1020063"/>
            <wp:effectExtent l="0" t="0" r="0" b="889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5459741" cy="1027891"/>
                    </a:xfrm>
                    <a:prstGeom prst="rect">
                      <a:avLst/>
                    </a:prstGeom>
                    <a:noFill/>
                    <a:ln>
                      <a:noFill/>
                    </a:ln>
                  </pic:spPr>
                </pic:pic>
              </a:graphicData>
            </a:graphic>
          </wp:inline>
        </w:drawing>
      </w:r>
    </w:p>
    <w:p w:rsidR="00B22C7E" w:rsidRDefault="00B22C7E" w:rsidP="00B22C7E">
      <w:pPr>
        <w:widowControl w:val="0"/>
        <w:autoSpaceDE w:val="0"/>
        <w:autoSpaceDN w:val="0"/>
        <w:adjustRightInd w:val="0"/>
        <w:jc w:val="both"/>
        <w:rPr>
          <w:rFonts w:cs="Arial"/>
          <w:szCs w:val="20"/>
        </w:rPr>
      </w:pPr>
    </w:p>
    <w:p w:rsidR="00B22C7E" w:rsidRPr="001C6F4D" w:rsidRDefault="00B22C7E" w:rsidP="00B22C7E">
      <w:pPr>
        <w:widowControl w:val="0"/>
        <w:autoSpaceDE w:val="0"/>
        <w:autoSpaceDN w:val="0"/>
        <w:adjustRightInd w:val="0"/>
        <w:jc w:val="both"/>
        <w:rPr>
          <w:rFonts w:cs="Arial"/>
          <w:szCs w:val="20"/>
        </w:rPr>
      </w:pPr>
    </w:p>
    <w:p w:rsidR="00B22C7E" w:rsidRDefault="00B22C7E" w:rsidP="00F6573D">
      <w:pPr>
        <w:tabs>
          <w:tab w:val="left" w:pos="709"/>
        </w:tabs>
        <w:jc w:val="both"/>
        <w:rPr>
          <w:rFonts w:cs="Arial"/>
          <w:u w:val="single"/>
        </w:rPr>
      </w:pPr>
      <w:r>
        <w:rPr>
          <w:rFonts w:cs="Arial"/>
          <w:szCs w:val="20"/>
        </w:rPr>
        <w:t>A.</w:t>
      </w:r>
      <w:r>
        <w:rPr>
          <w:rFonts w:cs="Arial"/>
        </w:rPr>
        <w:tab/>
      </w:r>
      <w:r>
        <w:rPr>
          <w:rFonts w:cs="Arial"/>
          <w:u w:val="single"/>
        </w:rPr>
        <w:t xml:space="preserve">2014/15 Final Budget after Transfers </w:t>
      </w:r>
    </w:p>
    <w:p w:rsidR="00B22C7E" w:rsidRDefault="00B22C7E" w:rsidP="00F6573D">
      <w:pPr>
        <w:pStyle w:val="ListParagraph"/>
        <w:tabs>
          <w:tab w:val="left" w:pos="709"/>
        </w:tabs>
        <w:ind w:left="0"/>
        <w:jc w:val="both"/>
        <w:rPr>
          <w:rFonts w:cs="Arial"/>
          <w:color w:val="000000"/>
        </w:rPr>
      </w:pPr>
    </w:p>
    <w:p w:rsidR="00B22C7E" w:rsidRPr="00A061D7" w:rsidRDefault="00B22C7E" w:rsidP="00F6573D">
      <w:pPr>
        <w:pStyle w:val="Default"/>
        <w:numPr>
          <w:ilvl w:val="0"/>
          <w:numId w:val="28"/>
        </w:numPr>
        <w:tabs>
          <w:tab w:val="left" w:pos="709"/>
        </w:tabs>
        <w:ind w:left="0" w:firstLine="0"/>
        <w:jc w:val="both"/>
        <w:rPr>
          <w:sz w:val="20"/>
          <w:szCs w:val="20"/>
        </w:rPr>
      </w:pPr>
      <w:r w:rsidRPr="00A061D7">
        <w:rPr>
          <w:sz w:val="20"/>
          <w:szCs w:val="20"/>
        </w:rPr>
        <w:t>The slight decrease in the Final Budget after Transfers for 2014/15 (personnel resources) reflects the net result of reclassifications o</w:t>
      </w:r>
      <w:r>
        <w:rPr>
          <w:sz w:val="20"/>
          <w:szCs w:val="20"/>
        </w:rPr>
        <w:t>f</w:t>
      </w:r>
      <w:r w:rsidRPr="00A061D7">
        <w:rPr>
          <w:sz w:val="20"/>
          <w:szCs w:val="20"/>
        </w:rPr>
        <w:t xml:space="preserve"> posts.</w:t>
      </w:r>
    </w:p>
    <w:p w:rsidR="00B22C7E" w:rsidRPr="00A061D7" w:rsidRDefault="00B22C7E" w:rsidP="00F6573D">
      <w:pPr>
        <w:pStyle w:val="Default"/>
        <w:tabs>
          <w:tab w:val="left" w:pos="709"/>
        </w:tabs>
        <w:jc w:val="both"/>
        <w:rPr>
          <w:sz w:val="20"/>
          <w:szCs w:val="20"/>
        </w:rPr>
      </w:pPr>
    </w:p>
    <w:p w:rsidR="00B22C7E" w:rsidRPr="00A061D7" w:rsidRDefault="00B22C7E" w:rsidP="00F6573D">
      <w:pPr>
        <w:pStyle w:val="Default"/>
        <w:numPr>
          <w:ilvl w:val="0"/>
          <w:numId w:val="28"/>
        </w:numPr>
        <w:tabs>
          <w:tab w:val="left" w:pos="709"/>
        </w:tabs>
        <w:ind w:left="0" w:firstLine="0"/>
        <w:jc w:val="both"/>
        <w:rPr>
          <w:sz w:val="20"/>
          <w:szCs w:val="20"/>
        </w:rPr>
      </w:pPr>
      <w:r w:rsidRPr="00A061D7">
        <w:rPr>
          <w:sz w:val="20"/>
          <w:szCs w:val="20"/>
        </w:rPr>
        <w:t xml:space="preserve">The increase in non-personnel resources is primarily due to higher than expected costs for the development and hosting of the IPC reclassification software and higher interpretation fees for events organized in relation to the administration of the IPC Union.  </w:t>
      </w:r>
    </w:p>
    <w:p w:rsidR="00B22C7E" w:rsidRDefault="00B22C7E" w:rsidP="00F6573D">
      <w:pPr>
        <w:pStyle w:val="ListParagraph"/>
        <w:tabs>
          <w:tab w:val="left" w:pos="709"/>
        </w:tabs>
        <w:ind w:left="0"/>
        <w:jc w:val="both"/>
        <w:rPr>
          <w:rFonts w:cs="Arial"/>
          <w:color w:val="000000"/>
        </w:rPr>
      </w:pPr>
    </w:p>
    <w:p w:rsidR="00B22C7E" w:rsidRDefault="00B22C7E" w:rsidP="00F6573D">
      <w:pPr>
        <w:tabs>
          <w:tab w:val="left" w:pos="709"/>
        </w:tabs>
        <w:jc w:val="both"/>
        <w:rPr>
          <w:rFonts w:cs="Arial"/>
          <w:szCs w:val="20"/>
          <w:u w:val="single"/>
          <w:lang w:eastAsia="ko-KR"/>
        </w:rPr>
      </w:pPr>
      <w:r>
        <w:rPr>
          <w:rFonts w:cs="Arial"/>
          <w:szCs w:val="20"/>
          <w:lang w:eastAsia="ko-KR"/>
        </w:rPr>
        <w:t>B.</w:t>
      </w:r>
      <w:r>
        <w:rPr>
          <w:rFonts w:cs="Arial"/>
          <w:szCs w:val="20"/>
          <w:lang w:eastAsia="ko-KR"/>
        </w:rPr>
        <w:tab/>
      </w:r>
      <w:r>
        <w:rPr>
          <w:rFonts w:cs="Arial"/>
          <w:szCs w:val="20"/>
          <w:u w:val="single"/>
          <w:lang w:eastAsia="ko-KR"/>
        </w:rPr>
        <w:t xml:space="preserve">2014/15 Budget Utilization </w:t>
      </w:r>
    </w:p>
    <w:p w:rsidR="00B22C7E" w:rsidRDefault="00B22C7E" w:rsidP="00F6573D">
      <w:pPr>
        <w:tabs>
          <w:tab w:val="left" w:pos="709"/>
        </w:tabs>
        <w:jc w:val="both"/>
        <w:rPr>
          <w:rFonts w:cs="Arial"/>
          <w:szCs w:val="20"/>
          <w:u w:val="single"/>
          <w:lang w:eastAsia="ko-KR"/>
        </w:rPr>
      </w:pPr>
    </w:p>
    <w:p w:rsidR="00B22C7E" w:rsidRPr="00A061D7" w:rsidRDefault="00B22C7E" w:rsidP="00C25166">
      <w:pPr>
        <w:pStyle w:val="Default"/>
        <w:numPr>
          <w:ilvl w:val="0"/>
          <w:numId w:val="28"/>
        </w:numPr>
        <w:tabs>
          <w:tab w:val="left" w:pos="709"/>
        </w:tabs>
        <w:ind w:left="0" w:firstLine="0"/>
        <w:jc w:val="both"/>
        <w:rPr>
          <w:sz w:val="20"/>
          <w:szCs w:val="20"/>
        </w:rPr>
      </w:pPr>
      <w:r w:rsidRPr="00A061D7">
        <w:rPr>
          <w:sz w:val="20"/>
          <w:szCs w:val="20"/>
        </w:rPr>
        <w:t xml:space="preserve">Budget utilization is within the expected range for the biennium. </w:t>
      </w:r>
    </w:p>
    <w:p w:rsidR="00B22C7E" w:rsidRDefault="00B22C7E" w:rsidP="00C25166">
      <w:pPr>
        <w:tabs>
          <w:tab w:val="left" w:pos="709"/>
        </w:tabs>
        <w:jc w:val="both"/>
      </w:pPr>
    </w:p>
    <w:p w:rsidR="00B22C7E" w:rsidRPr="00B92955" w:rsidRDefault="00B22C7E" w:rsidP="00B22C7E">
      <w:pPr>
        <w:rPr>
          <w:szCs w:val="20"/>
        </w:rPr>
      </w:pPr>
    </w:p>
    <w:p w:rsidR="00B22C7E" w:rsidRDefault="00B22C7E" w:rsidP="00B22C7E">
      <w:r>
        <w:br w:type="page"/>
      </w:r>
    </w:p>
    <w:p w:rsidR="007852E3" w:rsidRPr="001243AF" w:rsidRDefault="007852E3" w:rsidP="00F54CA4">
      <w:pPr>
        <w:pStyle w:val="Heading2"/>
        <w:tabs>
          <w:tab w:val="clear" w:pos="567"/>
          <w:tab w:val="left" w:pos="1985"/>
        </w:tabs>
      </w:pPr>
      <w:bookmarkStart w:id="81" w:name="_Toc454544482"/>
      <w:r w:rsidRPr="001243AF">
        <w:lastRenderedPageBreak/>
        <w:t>PROGRAM 1</w:t>
      </w:r>
      <w:r>
        <w:t>3</w:t>
      </w:r>
      <w:r>
        <w:tab/>
      </w:r>
      <w:r>
        <w:tab/>
        <w:t>GLOBAL DATABASES</w:t>
      </w:r>
      <w:bookmarkEnd w:id="81"/>
    </w:p>
    <w:p w:rsidR="007852E3" w:rsidRPr="00383D2D" w:rsidRDefault="007852E3" w:rsidP="000E148D">
      <w:pPr>
        <w:rPr>
          <w:szCs w:val="20"/>
        </w:rPr>
      </w:pPr>
    </w:p>
    <w:p w:rsidR="007852E3" w:rsidRPr="00D55DB3" w:rsidRDefault="007852E3" w:rsidP="00F54CA4">
      <w:pPr>
        <w:tabs>
          <w:tab w:val="left" w:pos="1985"/>
        </w:tabs>
        <w:rPr>
          <w:b/>
          <w:sz w:val="22"/>
          <w:szCs w:val="22"/>
        </w:rPr>
      </w:pPr>
      <w:r w:rsidRPr="00193791">
        <w:rPr>
          <w:b/>
          <w:szCs w:val="22"/>
        </w:rPr>
        <w:t>Program Manager</w:t>
      </w:r>
      <w:r w:rsidRPr="00193791">
        <w:rPr>
          <w:b/>
          <w:szCs w:val="22"/>
        </w:rPr>
        <w:tab/>
        <w:t>Mr. Y. Takagi</w:t>
      </w:r>
    </w:p>
    <w:p w:rsidR="007852E3" w:rsidRPr="008F4A6D" w:rsidRDefault="007852E3" w:rsidP="000E148D">
      <w:pPr>
        <w:rPr>
          <w:szCs w:val="20"/>
        </w:rPr>
      </w:pPr>
    </w:p>
    <w:p w:rsidR="00CA722C" w:rsidRPr="00DD5C7E" w:rsidRDefault="00CA722C" w:rsidP="00F11DB9">
      <w:pPr>
        <w:rPr>
          <w:szCs w:val="20"/>
        </w:rPr>
      </w:pPr>
    </w:p>
    <w:p w:rsidR="00CA722C" w:rsidRPr="000E65D9" w:rsidRDefault="00CA722C" w:rsidP="00F11DB9">
      <w:pPr>
        <w:rPr>
          <w:bCs/>
          <w:szCs w:val="20"/>
        </w:rPr>
      </w:pPr>
      <w:r w:rsidRPr="000E65D9">
        <w:rPr>
          <w:bCs/>
          <w:szCs w:val="20"/>
        </w:rPr>
        <w:t>ACHIEVEMENTS IN THE 2014/15 BIENNIUM</w:t>
      </w:r>
    </w:p>
    <w:p w:rsidR="00CA722C" w:rsidRPr="000E65D9" w:rsidRDefault="00CA722C" w:rsidP="00F11DB9">
      <w:pPr>
        <w:jc w:val="both"/>
        <w:rPr>
          <w:bCs/>
          <w:szCs w:val="20"/>
        </w:rPr>
      </w:pPr>
    </w:p>
    <w:p w:rsidR="00CA722C" w:rsidRPr="001922CF" w:rsidRDefault="00CA722C" w:rsidP="00CA722C">
      <w:pPr>
        <w:pStyle w:val="ListParagraph"/>
        <w:numPr>
          <w:ilvl w:val="0"/>
          <w:numId w:val="29"/>
        </w:numPr>
        <w:tabs>
          <w:tab w:val="left" w:pos="709"/>
        </w:tabs>
        <w:ind w:left="0" w:firstLine="0"/>
        <w:jc w:val="both"/>
        <w:rPr>
          <w:rFonts w:eastAsia="MS Mincho"/>
          <w:lang w:eastAsia="ja-JP" w:bidi="th-TH"/>
        </w:rPr>
      </w:pPr>
      <w:r w:rsidRPr="00A6242A">
        <w:rPr>
          <w:rFonts w:eastAsia="MS Mincho"/>
          <w:lang w:eastAsia="ja-JP" w:bidi="th-TH"/>
        </w:rPr>
        <w:t xml:space="preserve">The PATENTSCOPE system </w:t>
      </w:r>
      <w:r>
        <w:rPr>
          <w:rFonts w:eastAsia="MS Mincho"/>
          <w:lang w:eastAsia="ja-JP" w:bidi="th-TH"/>
        </w:rPr>
        <w:t xml:space="preserve">was further strengthened in 2014/15, with a </w:t>
      </w:r>
      <w:r w:rsidRPr="00A6242A">
        <w:rPr>
          <w:rFonts w:eastAsia="MS Mincho"/>
          <w:lang w:eastAsia="ja-JP" w:bidi="th-TH"/>
        </w:rPr>
        <w:t xml:space="preserve">significant </w:t>
      </w:r>
      <w:r>
        <w:rPr>
          <w:rFonts w:eastAsia="MS Mincho"/>
          <w:lang w:eastAsia="ja-JP" w:bidi="th-TH"/>
        </w:rPr>
        <w:t>focus on</w:t>
      </w:r>
      <w:r w:rsidRPr="00A6242A">
        <w:rPr>
          <w:rFonts w:eastAsia="MS Mincho"/>
          <w:lang w:eastAsia="ja-JP" w:bidi="th-TH"/>
        </w:rPr>
        <w:t xml:space="preserve"> improving access to </w:t>
      </w:r>
      <w:r>
        <w:rPr>
          <w:rFonts w:eastAsia="MS Mincho"/>
          <w:lang w:eastAsia="ja-JP" w:bidi="th-TH"/>
        </w:rPr>
        <w:t>the system</w:t>
      </w:r>
      <w:r w:rsidRPr="00A6242A">
        <w:rPr>
          <w:rFonts w:eastAsia="MS Mincho"/>
          <w:lang w:eastAsia="ja-JP" w:bidi="th-TH"/>
        </w:rPr>
        <w:t xml:space="preserve"> in regions experiencing poor </w:t>
      </w:r>
      <w:r w:rsidRPr="00246B95">
        <w:rPr>
          <w:rFonts w:eastAsia="MS Mincho"/>
          <w:lang w:eastAsia="ja-JP" w:bidi="th-TH"/>
        </w:rPr>
        <w:t xml:space="preserve">latency.  </w:t>
      </w:r>
      <w:r>
        <w:rPr>
          <w:rFonts w:eastAsia="MS Mincho"/>
          <w:lang w:eastAsia="ja-JP" w:bidi="th-TH"/>
        </w:rPr>
        <w:t>D</w:t>
      </w:r>
      <w:r w:rsidRPr="00246B95">
        <w:rPr>
          <w:rFonts w:eastAsia="MS Mincho"/>
          <w:lang w:eastAsia="ja-JP" w:bidi="th-TH"/>
        </w:rPr>
        <w:t xml:space="preserve">emonstrable improvements </w:t>
      </w:r>
      <w:r>
        <w:rPr>
          <w:rFonts w:eastAsia="MS Mincho"/>
          <w:lang w:eastAsia="ja-JP" w:bidi="th-TH"/>
        </w:rPr>
        <w:t xml:space="preserve">were also achieved </w:t>
      </w:r>
      <w:r w:rsidRPr="00246B95">
        <w:rPr>
          <w:rFonts w:eastAsia="MS Mincho"/>
          <w:lang w:eastAsia="ja-JP" w:bidi="th-TH"/>
        </w:rPr>
        <w:t xml:space="preserve">for users in Asia.  </w:t>
      </w:r>
      <w:r w:rsidRPr="00246B95">
        <w:t>Two additional languages (Danish and Polish) were added to the Cross Lingual Information Retrieval (CLIR) multilingual searching system, bringing the total number of languages</w:t>
      </w:r>
      <w:r w:rsidRPr="00480AE9">
        <w:t xml:space="preserve"> </w:t>
      </w:r>
      <w:r>
        <w:t>to 14 by the end of the biennium.</w:t>
      </w:r>
      <w:r w:rsidRPr="00480AE9">
        <w:t xml:space="preserve"> </w:t>
      </w:r>
      <w:r>
        <w:t xml:space="preserve"> WIPO Translate</w:t>
      </w:r>
      <w:r>
        <w:rPr>
          <w:rStyle w:val="FootnoteReference"/>
        </w:rPr>
        <w:footnoteReference w:id="83"/>
      </w:r>
      <w:r w:rsidRPr="00480AE9">
        <w:t xml:space="preserve">, a statistical machine translation system developed in-house, was extended to include </w:t>
      </w:r>
      <w:r>
        <w:t>three</w:t>
      </w:r>
      <w:r w:rsidRPr="00480AE9">
        <w:t xml:space="preserve"> additio</w:t>
      </w:r>
      <w:r>
        <w:t>nal and difficult language pairs by biennium end:</w:t>
      </w:r>
      <w:r w:rsidRPr="00480AE9">
        <w:t xml:space="preserve"> </w:t>
      </w:r>
      <w:r>
        <w:t xml:space="preserve"> </w:t>
      </w:r>
      <w:r w:rsidRPr="00480AE9">
        <w:t xml:space="preserve">English and </w:t>
      </w:r>
      <w:r>
        <w:t xml:space="preserve">Korean, </w:t>
      </w:r>
      <w:r w:rsidRPr="00BD1DD9">
        <w:t xml:space="preserve">English and </w:t>
      </w:r>
      <w:r w:rsidRPr="00A74515">
        <w:t>Russian</w:t>
      </w:r>
      <w:r>
        <w:t>,</w:t>
      </w:r>
      <w:r w:rsidRPr="00480AE9">
        <w:t xml:space="preserve"> </w:t>
      </w:r>
      <w:r w:rsidR="00395421">
        <w:t xml:space="preserve">and English and Spanish, </w:t>
      </w:r>
      <w:r w:rsidRPr="00480AE9">
        <w:t xml:space="preserve">bringing the total number to </w:t>
      </w:r>
      <w:r>
        <w:t>seven</w:t>
      </w:r>
      <w:r w:rsidR="00395421">
        <w:t>, as well as expanding the coverage of English and Chinese to include descriptions and claims.</w:t>
      </w:r>
      <w:r w:rsidRPr="00480AE9">
        <w:t xml:space="preserve">  </w:t>
      </w:r>
      <w:r w:rsidRPr="00A6242A">
        <w:rPr>
          <w:rFonts w:eastAsia="MS Mincho"/>
          <w:lang w:eastAsia="ja-JP" w:bidi="th-TH"/>
        </w:rPr>
        <w:t>The biennium also saw</w:t>
      </w:r>
      <w:r w:rsidRPr="00A6242A" w:rsidDel="00E85CE0">
        <w:rPr>
          <w:rFonts w:eastAsia="MS Mincho"/>
          <w:lang w:eastAsia="ja-JP" w:bidi="th-TH"/>
        </w:rPr>
        <w:t xml:space="preserve"> </w:t>
      </w:r>
      <w:r w:rsidRPr="00A6242A">
        <w:rPr>
          <w:rFonts w:eastAsia="MS Mincho"/>
          <w:lang w:eastAsia="ja-JP" w:bidi="th-TH"/>
        </w:rPr>
        <w:t>the introduction of the translation of full</w:t>
      </w:r>
      <w:r>
        <w:rPr>
          <w:rFonts w:eastAsia="MS Mincho"/>
          <w:lang w:eastAsia="ja-JP" w:bidi="th-TH"/>
        </w:rPr>
        <w:t>-</w:t>
      </w:r>
      <w:r w:rsidRPr="00A6242A">
        <w:rPr>
          <w:rFonts w:eastAsia="MS Mincho"/>
          <w:lang w:eastAsia="ja-JP" w:bidi="th-TH"/>
        </w:rPr>
        <w:t xml:space="preserve">length descriptions and claims of patents for the English/Chinese language pair.  </w:t>
      </w:r>
      <w:r w:rsidRPr="00480AE9">
        <w:rPr>
          <w:bCs/>
        </w:rPr>
        <w:t>Research into additional machine translation functions also progressed in 2014</w:t>
      </w:r>
      <w:r>
        <w:rPr>
          <w:bCs/>
        </w:rPr>
        <w:t>/15.  WIPO translate</w:t>
      </w:r>
      <w:r w:rsidRPr="00480AE9">
        <w:rPr>
          <w:bCs/>
        </w:rPr>
        <w:t xml:space="preserve"> continued to find applic</w:t>
      </w:r>
      <w:r>
        <w:rPr>
          <w:bCs/>
        </w:rPr>
        <w:t xml:space="preserve">ation in other UN Organizations, </w:t>
      </w:r>
      <w:r w:rsidRPr="00A6242A">
        <w:rPr>
          <w:rFonts w:eastAsia="MS Mincho"/>
          <w:lang w:eastAsia="ja-JP" w:bidi="th-TH"/>
        </w:rPr>
        <w:t xml:space="preserve">received </w:t>
      </w:r>
      <w:r>
        <w:rPr>
          <w:rFonts w:eastAsia="MS Mincho"/>
          <w:lang w:eastAsia="ja-JP" w:bidi="th-TH"/>
        </w:rPr>
        <w:t>excellent peer reviews, and consistently outperformed</w:t>
      </w:r>
      <w:r w:rsidRPr="00A6242A">
        <w:rPr>
          <w:rFonts w:eastAsia="MS Mincho"/>
          <w:lang w:eastAsia="ja-JP" w:bidi="th-TH"/>
        </w:rPr>
        <w:t xml:space="preserve"> other machine translation tools such as Google </w:t>
      </w:r>
      <w:r>
        <w:rPr>
          <w:rFonts w:eastAsia="MS Mincho"/>
          <w:lang w:eastAsia="ja-JP" w:bidi="th-TH"/>
        </w:rPr>
        <w:t>T</w:t>
      </w:r>
      <w:r w:rsidRPr="00A6242A">
        <w:rPr>
          <w:rFonts w:eastAsia="MS Mincho"/>
          <w:lang w:eastAsia="ja-JP" w:bidi="th-TH"/>
        </w:rPr>
        <w:t>ranslate</w:t>
      </w:r>
      <w:r>
        <w:rPr>
          <w:rFonts w:eastAsia="MS Mincho"/>
          <w:lang w:eastAsia="ja-JP" w:bidi="th-TH"/>
        </w:rPr>
        <w:t>.</w:t>
      </w:r>
    </w:p>
    <w:p w:rsidR="00CA722C" w:rsidRDefault="00CA722C" w:rsidP="00F11DB9">
      <w:pPr>
        <w:pStyle w:val="ListParagraph"/>
        <w:tabs>
          <w:tab w:val="left" w:pos="709"/>
        </w:tabs>
        <w:ind w:left="0"/>
        <w:jc w:val="both"/>
        <w:rPr>
          <w:rFonts w:eastAsia="MS Mincho"/>
          <w:lang w:eastAsia="ja-JP" w:bidi="th-TH"/>
        </w:rPr>
      </w:pPr>
    </w:p>
    <w:p w:rsidR="00CA722C" w:rsidRPr="00A6242A" w:rsidRDefault="00CA722C" w:rsidP="00CA722C">
      <w:pPr>
        <w:pStyle w:val="ListParagraph"/>
        <w:numPr>
          <w:ilvl w:val="0"/>
          <w:numId w:val="29"/>
        </w:numPr>
        <w:tabs>
          <w:tab w:val="left" w:pos="709"/>
        </w:tabs>
        <w:ind w:left="0" w:firstLine="0"/>
        <w:jc w:val="both"/>
        <w:rPr>
          <w:rFonts w:eastAsia="MS Mincho"/>
          <w:lang w:eastAsia="ja-JP" w:bidi="th-TH"/>
        </w:rPr>
      </w:pPr>
      <w:r w:rsidRPr="00A6242A">
        <w:rPr>
          <w:rFonts w:eastAsia="MS Mincho"/>
          <w:lang w:eastAsia="ja-JP" w:bidi="th-TH"/>
        </w:rPr>
        <w:t>The biennium saw significant increases in data coverage and usage levels</w:t>
      </w:r>
      <w:r>
        <w:rPr>
          <w:rFonts w:eastAsia="MS Mincho"/>
          <w:lang w:eastAsia="ja-JP" w:bidi="th-TH"/>
        </w:rPr>
        <w:t xml:space="preserve"> of WIPO’s IP databases</w:t>
      </w:r>
      <w:r w:rsidRPr="00A6242A">
        <w:rPr>
          <w:rFonts w:eastAsia="MS Mincho"/>
          <w:lang w:eastAsia="ja-JP" w:bidi="th-TH"/>
        </w:rPr>
        <w:t>.</w:t>
      </w:r>
      <w:r>
        <w:rPr>
          <w:rFonts w:eastAsia="MS Mincho"/>
          <w:lang w:eastAsia="ja-JP" w:bidi="th-TH"/>
        </w:rPr>
        <w:t xml:space="preserve">  </w:t>
      </w:r>
      <w:r w:rsidRPr="00A6242A">
        <w:rPr>
          <w:rFonts w:eastAsia="MS Mincho"/>
          <w:lang w:eastAsia="ja-JP" w:bidi="th-TH"/>
        </w:rPr>
        <w:t>Of particular note in th</w:t>
      </w:r>
      <w:r>
        <w:rPr>
          <w:rFonts w:eastAsia="MS Mincho"/>
          <w:lang w:eastAsia="ja-JP" w:bidi="th-TH"/>
        </w:rPr>
        <w:t>e</w:t>
      </w:r>
      <w:r w:rsidRPr="00A6242A">
        <w:rPr>
          <w:rFonts w:eastAsia="MS Mincho"/>
          <w:lang w:eastAsia="ja-JP" w:bidi="th-TH"/>
        </w:rPr>
        <w:t xml:space="preserve"> biennium was the launch in January 2015 of a new service, the Global Design Database</w:t>
      </w:r>
      <w:r>
        <w:rPr>
          <w:rFonts w:eastAsia="MS Mincho"/>
          <w:lang w:eastAsia="ja-JP" w:bidi="th-TH"/>
        </w:rPr>
        <w:t>” for industrial designs.</w:t>
      </w:r>
      <w:r w:rsidRPr="00A6242A">
        <w:rPr>
          <w:rFonts w:eastAsia="MS Mincho"/>
          <w:lang w:eastAsia="ja-JP" w:bidi="th-TH"/>
        </w:rPr>
        <w:t xml:space="preserve">  By the end of 2015, just one year after its introduction, the Global Design Database had already reached an impressive 14,000 unique visitors per quarter</w:t>
      </w:r>
      <w:r>
        <w:rPr>
          <w:rFonts w:eastAsia="MS Mincho"/>
          <w:lang w:eastAsia="ja-JP" w:bidi="th-TH"/>
        </w:rPr>
        <w:t>.  In addition, the number of national collections (indicated as “non-Hague” in the graph below) had reached five and contained more than 1.5 million design documents.</w:t>
      </w:r>
      <w:r w:rsidRPr="00A6242A">
        <w:rPr>
          <w:rFonts w:eastAsia="MS Mincho"/>
          <w:lang w:eastAsia="ja-JP" w:bidi="th-TH"/>
        </w:rPr>
        <w:t xml:space="preserve"> </w:t>
      </w:r>
    </w:p>
    <w:p w:rsidR="00CA722C" w:rsidRPr="00A6242A" w:rsidRDefault="00CA722C" w:rsidP="00F11DB9">
      <w:pPr>
        <w:pStyle w:val="ListParagraph"/>
        <w:tabs>
          <w:tab w:val="left" w:pos="709"/>
        </w:tabs>
        <w:ind w:left="0"/>
        <w:jc w:val="both"/>
        <w:rPr>
          <w:rFonts w:eastAsia="MS Mincho"/>
          <w:lang w:eastAsia="ja-JP" w:bidi="th-TH"/>
        </w:rPr>
      </w:pPr>
    </w:p>
    <w:p w:rsidR="00CA722C" w:rsidRPr="0088075E" w:rsidRDefault="00CA722C" w:rsidP="00F11DB9">
      <w:pPr>
        <w:pStyle w:val="ListParagraph"/>
        <w:tabs>
          <w:tab w:val="left" w:pos="709"/>
        </w:tabs>
        <w:ind w:left="0"/>
        <w:jc w:val="center"/>
        <w:rPr>
          <w:rFonts w:eastAsia="MS Mincho"/>
          <w:lang w:eastAsia="ja-JP" w:bidi="th-TH"/>
        </w:rPr>
      </w:pPr>
      <w:r w:rsidRPr="0088075E">
        <w:rPr>
          <w:rFonts w:eastAsia="MS Mincho"/>
          <w:lang w:eastAsia="ja-JP" w:bidi="th-TH"/>
        </w:rPr>
        <w:t>Global Design Database Records 2015</w:t>
      </w:r>
    </w:p>
    <w:p w:rsidR="00CA722C" w:rsidRDefault="00CA722C" w:rsidP="00F11DB9">
      <w:pPr>
        <w:pStyle w:val="ListParagraph"/>
        <w:tabs>
          <w:tab w:val="left" w:pos="709"/>
        </w:tabs>
        <w:ind w:left="0"/>
        <w:jc w:val="center"/>
        <w:rPr>
          <w:rFonts w:eastAsia="MS Mincho"/>
          <w:b/>
          <w:lang w:eastAsia="ja-JP" w:bidi="th-TH"/>
        </w:rPr>
      </w:pPr>
    </w:p>
    <w:p w:rsidR="00CA722C" w:rsidRPr="000A6AAD" w:rsidRDefault="00CA722C" w:rsidP="00F11DB9">
      <w:pPr>
        <w:pStyle w:val="ListParagraph"/>
        <w:tabs>
          <w:tab w:val="left" w:pos="709"/>
        </w:tabs>
        <w:ind w:left="0"/>
        <w:jc w:val="center"/>
        <w:rPr>
          <w:rFonts w:eastAsia="MS Mincho"/>
          <w:lang w:eastAsia="ja-JP" w:bidi="th-TH"/>
        </w:rPr>
      </w:pPr>
      <w:r>
        <w:rPr>
          <w:rFonts w:eastAsia="MS Mincho"/>
          <w:noProof/>
        </w:rPr>
        <w:drawing>
          <wp:inline distT="0" distB="0" distL="0" distR="0" wp14:anchorId="2302C6F2" wp14:editId="3C970742">
            <wp:extent cx="3695700" cy="2358308"/>
            <wp:effectExtent l="0" t="0" r="0" b="444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45">
                      <a:extLst>
                        <a:ext uri="{28A0092B-C50C-407E-A947-70E740481C1C}">
                          <a14:useLocalDpi xmlns:a14="http://schemas.microsoft.com/office/drawing/2010/main" val="0"/>
                        </a:ext>
                      </a:extLst>
                    </a:blip>
                    <a:srcRect/>
                    <a:stretch>
                      <a:fillRect/>
                    </a:stretch>
                  </pic:blipFill>
                  <pic:spPr bwMode="auto">
                    <a:xfrm>
                      <a:off x="0" y="0"/>
                      <a:ext cx="3692507" cy="2356270"/>
                    </a:xfrm>
                    <a:prstGeom prst="rect">
                      <a:avLst/>
                    </a:prstGeom>
                    <a:noFill/>
                  </pic:spPr>
                </pic:pic>
              </a:graphicData>
            </a:graphic>
          </wp:inline>
        </w:drawing>
      </w:r>
    </w:p>
    <w:p w:rsidR="00CA722C" w:rsidRPr="00A6242A" w:rsidRDefault="00CA722C" w:rsidP="00F11DB9">
      <w:pPr>
        <w:pStyle w:val="ListParagraph"/>
        <w:tabs>
          <w:tab w:val="left" w:pos="709"/>
        </w:tabs>
        <w:ind w:left="0"/>
        <w:jc w:val="both"/>
        <w:rPr>
          <w:rFonts w:eastAsia="MS Mincho"/>
          <w:lang w:eastAsia="ja-JP" w:bidi="th-TH"/>
        </w:rPr>
      </w:pPr>
    </w:p>
    <w:p w:rsidR="00CA722C" w:rsidRPr="00A6242A" w:rsidRDefault="00CA722C" w:rsidP="00CA722C">
      <w:pPr>
        <w:pStyle w:val="ListParagraph"/>
        <w:numPr>
          <w:ilvl w:val="0"/>
          <w:numId w:val="29"/>
        </w:numPr>
        <w:tabs>
          <w:tab w:val="left" w:pos="709"/>
        </w:tabs>
        <w:ind w:left="0" w:firstLine="0"/>
        <w:jc w:val="both"/>
        <w:rPr>
          <w:rFonts w:eastAsia="MS Mincho"/>
          <w:lang w:eastAsia="ja-JP" w:bidi="th-TH"/>
        </w:rPr>
      </w:pPr>
      <w:r w:rsidRPr="00A6242A">
        <w:rPr>
          <w:rFonts w:eastAsia="MS Mincho"/>
          <w:lang w:eastAsia="ja-JP" w:bidi="th-TH"/>
        </w:rPr>
        <w:t xml:space="preserve">With the introduction of a powerful image similarity search function, the first of its kind in a public IP search system, use of the Global Brand Database exceeded expectations in 2014/15 with a fourfold increase in the number of unique visitors per quarter to more than 80,000 as compared to 23,000 at the end of 2013.  The number of national collections (indicated as “non-Madrid” in the graph below) </w:t>
      </w:r>
      <w:r>
        <w:rPr>
          <w:rFonts w:eastAsia="MS Mincho"/>
          <w:lang w:eastAsia="ja-JP" w:bidi="th-TH"/>
        </w:rPr>
        <w:t>more than doubled</w:t>
      </w:r>
      <w:r w:rsidRPr="00A6242A">
        <w:rPr>
          <w:rFonts w:eastAsia="MS Mincho"/>
          <w:lang w:eastAsia="ja-JP" w:bidi="th-TH"/>
        </w:rPr>
        <w:t xml:space="preserve"> from 12</w:t>
      </w:r>
      <w:r>
        <w:rPr>
          <w:rFonts w:eastAsia="MS Mincho"/>
          <w:lang w:eastAsia="ja-JP" w:bidi="th-TH"/>
        </w:rPr>
        <w:t> </w:t>
      </w:r>
      <w:r w:rsidRPr="00A6242A">
        <w:rPr>
          <w:rFonts w:eastAsia="MS Mincho"/>
          <w:lang w:eastAsia="ja-JP" w:bidi="th-TH"/>
        </w:rPr>
        <w:t xml:space="preserve">at the end of 2013 to </w:t>
      </w:r>
      <w:r>
        <w:rPr>
          <w:rFonts w:eastAsia="MS Mincho"/>
          <w:lang w:eastAsia="ja-JP" w:bidi="th-TH"/>
        </w:rPr>
        <w:t>26</w:t>
      </w:r>
      <w:r w:rsidRPr="00A6242A">
        <w:rPr>
          <w:rFonts w:eastAsia="MS Mincho"/>
          <w:lang w:eastAsia="ja-JP" w:bidi="th-TH"/>
        </w:rPr>
        <w:t xml:space="preserve"> at the end of 2015</w:t>
      </w:r>
      <w:r>
        <w:rPr>
          <w:rFonts w:eastAsia="MS Mincho"/>
          <w:lang w:eastAsia="ja-JP" w:bidi="th-TH"/>
        </w:rPr>
        <w:t>.</w:t>
      </w:r>
      <w:r w:rsidRPr="00A6242A">
        <w:rPr>
          <w:rFonts w:eastAsia="MS Mincho"/>
          <w:lang w:eastAsia="ja-JP" w:bidi="th-TH"/>
        </w:rPr>
        <w:t xml:space="preserve">  Likewise, the total number of records contained in the system </w:t>
      </w:r>
      <w:r>
        <w:rPr>
          <w:rFonts w:eastAsia="MS Mincho"/>
          <w:lang w:eastAsia="ja-JP" w:bidi="th-TH"/>
        </w:rPr>
        <w:t xml:space="preserve">also </w:t>
      </w:r>
      <w:r w:rsidRPr="00A6242A">
        <w:rPr>
          <w:rFonts w:eastAsia="MS Mincho"/>
          <w:lang w:eastAsia="ja-JP" w:bidi="th-TH"/>
        </w:rPr>
        <w:t>more than doubled in 2014/15 from 12 million to over 24 million records.</w:t>
      </w:r>
    </w:p>
    <w:p w:rsidR="00CA722C" w:rsidRPr="00A6242A" w:rsidRDefault="00CA722C" w:rsidP="00F11DB9">
      <w:pPr>
        <w:pStyle w:val="ListParagraph"/>
        <w:tabs>
          <w:tab w:val="left" w:pos="709"/>
        </w:tabs>
        <w:ind w:left="0"/>
        <w:jc w:val="both"/>
        <w:rPr>
          <w:rFonts w:eastAsia="MS Mincho"/>
          <w:lang w:eastAsia="ja-JP" w:bidi="th-TH"/>
        </w:rPr>
      </w:pPr>
    </w:p>
    <w:p w:rsidR="00CA722C" w:rsidRPr="000A6AAD" w:rsidRDefault="00CA722C" w:rsidP="00F11DB9">
      <w:pPr>
        <w:pStyle w:val="ListParagraph"/>
        <w:keepNext/>
        <w:keepLines/>
        <w:tabs>
          <w:tab w:val="left" w:pos="709"/>
        </w:tabs>
        <w:ind w:left="0"/>
        <w:jc w:val="center"/>
        <w:rPr>
          <w:rFonts w:eastAsia="MS Mincho"/>
          <w:lang w:eastAsia="ja-JP" w:bidi="th-TH"/>
        </w:rPr>
      </w:pPr>
      <w:r w:rsidRPr="000A6AAD">
        <w:rPr>
          <w:rFonts w:eastAsia="MS Mincho"/>
          <w:lang w:eastAsia="ja-JP" w:bidi="th-TH"/>
        </w:rPr>
        <w:lastRenderedPageBreak/>
        <w:t>Global Brand Database Records 2014/15</w:t>
      </w:r>
    </w:p>
    <w:p w:rsidR="00CA722C" w:rsidRPr="000A6AAD" w:rsidRDefault="00CA722C" w:rsidP="00F11DB9">
      <w:pPr>
        <w:pStyle w:val="ListParagraph"/>
        <w:keepNext/>
        <w:keepLines/>
        <w:tabs>
          <w:tab w:val="left" w:pos="709"/>
        </w:tabs>
        <w:ind w:left="0"/>
        <w:jc w:val="center"/>
        <w:rPr>
          <w:rFonts w:eastAsia="MS Mincho"/>
          <w:b/>
          <w:lang w:eastAsia="ja-JP" w:bidi="th-TH"/>
        </w:rPr>
      </w:pPr>
    </w:p>
    <w:p w:rsidR="00CA722C" w:rsidRPr="00BD1DD9" w:rsidRDefault="00CA722C" w:rsidP="00F11DB9">
      <w:pPr>
        <w:pStyle w:val="ListParagraph"/>
        <w:keepNext/>
        <w:keepLines/>
        <w:tabs>
          <w:tab w:val="left" w:pos="709"/>
        </w:tabs>
        <w:ind w:left="0"/>
        <w:jc w:val="center"/>
        <w:rPr>
          <w:rFonts w:eastAsia="MS Mincho"/>
          <w:b/>
          <w:lang w:eastAsia="ja-JP" w:bidi="th-TH"/>
        </w:rPr>
      </w:pPr>
      <w:r w:rsidRPr="00BD1DD9">
        <w:rPr>
          <w:rFonts w:eastAsia="MS Mincho"/>
          <w:noProof/>
        </w:rPr>
        <w:drawing>
          <wp:inline distT="0" distB="0" distL="0" distR="0" wp14:anchorId="08FE448C" wp14:editId="1D9872F9">
            <wp:extent cx="4177146" cy="2106445"/>
            <wp:effectExtent l="0" t="0" r="0" b="825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4171121" cy="2103407"/>
                    </a:xfrm>
                    <a:prstGeom prst="rect">
                      <a:avLst/>
                    </a:prstGeom>
                    <a:noFill/>
                  </pic:spPr>
                </pic:pic>
              </a:graphicData>
            </a:graphic>
          </wp:inline>
        </w:drawing>
      </w:r>
    </w:p>
    <w:p w:rsidR="00CA722C" w:rsidRPr="00A6242A" w:rsidRDefault="00CA722C" w:rsidP="00F11DB9">
      <w:pPr>
        <w:pStyle w:val="ListParagraph"/>
        <w:tabs>
          <w:tab w:val="left" w:pos="709"/>
        </w:tabs>
        <w:ind w:left="0"/>
        <w:jc w:val="center"/>
        <w:rPr>
          <w:rFonts w:eastAsia="MS Mincho"/>
          <w:highlight w:val="yellow"/>
          <w:lang w:eastAsia="ja-JP" w:bidi="th-TH"/>
        </w:rPr>
      </w:pPr>
    </w:p>
    <w:p w:rsidR="00CA722C" w:rsidRPr="00A6242A" w:rsidRDefault="00CA722C" w:rsidP="00CA722C">
      <w:pPr>
        <w:pStyle w:val="ListParagraph"/>
        <w:numPr>
          <w:ilvl w:val="0"/>
          <w:numId w:val="29"/>
        </w:numPr>
        <w:tabs>
          <w:tab w:val="left" w:pos="709"/>
        </w:tabs>
        <w:ind w:left="0" w:firstLine="0"/>
        <w:jc w:val="both"/>
        <w:rPr>
          <w:rFonts w:eastAsia="MS Mincho"/>
          <w:lang w:eastAsia="ja-JP" w:bidi="th-TH"/>
        </w:rPr>
      </w:pPr>
      <w:r w:rsidRPr="00A6242A">
        <w:rPr>
          <w:rFonts w:eastAsia="MS Mincho"/>
          <w:lang w:eastAsia="ja-JP" w:bidi="th-TH"/>
        </w:rPr>
        <w:t xml:space="preserve">The PATENTSCOPE service continued to show high levels of usage with </w:t>
      </w:r>
      <w:r>
        <w:rPr>
          <w:rFonts w:eastAsia="MS Mincho"/>
          <w:lang w:eastAsia="ja-JP" w:bidi="th-TH"/>
        </w:rPr>
        <w:t xml:space="preserve">an average of </w:t>
      </w:r>
      <w:r w:rsidRPr="00A6242A">
        <w:rPr>
          <w:rFonts w:eastAsia="MS Mincho"/>
          <w:lang w:eastAsia="ja-JP" w:bidi="th-TH"/>
        </w:rPr>
        <w:t xml:space="preserve">500,000 </w:t>
      </w:r>
      <w:r>
        <w:rPr>
          <w:rFonts w:eastAsia="MS Mincho"/>
          <w:lang w:eastAsia="ja-JP" w:bidi="th-TH"/>
        </w:rPr>
        <w:t xml:space="preserve">unique page views </w:t>
      </w:r>
      <w:r w:rsidRPr="00A6242A">
        <w:rPr>
          <w:rFonts w:eastAsia="MS Mincho"/>
          <w:lang w:eastAsia="ja-JP" w:bidi="th-TH"/>
        </w:rPr>
        <w:t>per day.  The number of unique visitors remained stable with over 221,000 unique visitors per quarter by the end of the biennium, showing that service levels for the PATENTSCOPE search engine are now sufficiently mature to arrive at the point of diminishing returns.  The number of collections in PATENTSCOPE also saw a 19 per cent increase from 2013, bringing the total number of national and regional collections (indicated as “non-PCT” in the graph below) to 43 (as compared to 36 at the end of 2013) and the total number of records contained to more than 50 million (as compared to 34 million at the end of</w:t>
      </w:r>
      <w:r>
        <w:rPr>
          <w:rFonts w:eastAsia="MS Mincho"/>
          <w:lang w:eastAsia="ja-JP" w:bidi="th-TH"/>
        </w:rPr>
        <w:t> </w:t>
      </w:r>
      <w:r w:rsidRPr="00A6242A">
        <w:rPr>
          <w:rFonts w:eastAsia="MS Mincho"/>
          <w:lang w:eastAsia="ja-JP" w:bidi="th-TH"/>
        </w:rPr>
        <w:t>2013), a 47 per cent increase over 2013.</w:t>
      </w:r>
    </w:p>
    <w:p w:rsidR="00CA722C" w:rsidRPr="00A6242A" w:rsidRDefault="00CA722C" w:rsidP="00F11DB9">
      <w:pPr>
        <w:pStyle w:val="ListParagraph"/>
        <w:tabs>
          <w:tab w:val="left" w:pos="709"/>
        </w:tabs>
        <w:ind w:left="0"/>
        <w:jc w:val="both"/>
        <w:rPr>
          <w:rFonts w:eastAsia="MS Mincho"/>
          <w:lang w:eastAsia="ja-JP" w:bidi="th-TH"/>
        </w:rPr>
      </w:pPr>
    </w:p>
    <w:p w:rsidR="00CA722C" w:rsidRPr="000A6AAD" w:rsidRDefault="00CA722C" w:rsidP="00F11DB9">
      <w:pPr>
        <w:pStyle w:val="ListParagraph"/>
        <w:tabs>
          <w:tab w:val="left" w:pos="709"/>
        </w:tabs>
        <w:ind w:left="0"/>
        <w:jc w:val="center"/>
        <w:rPr>
          <w:rFonts w:eastAsia="MS Mincho"/>
          <w:lang w:eastAsia="ja-JP" w:bidi="th-TH"/>
        </w:rPr>
      </w:pPr>
      <w:r w:rsidRPr="000A6AAD">
        <w:rPr>
          <w:rFonts w:eastAsia="MS Mincho"/>
          <w:lang w:eastAsia="ja-JP" w:bidi="th-TH"/>
        </w:rPr>
        <w:t>PATENTSCOPE Records 2014/15</w:t>
      </w:r>
    </w:p>
    <w:p w:rsidR="00CA722C" w:rsidRPr="000A6AAD" w:rsidRDefault="00CA722C" w:rsidP="00F11DB9">
      <w:pPr>
        <w:pStyle w:val="ListParagraph"/>
        <w:tabs>
          <w:tab w:val="left" w:pos="709"/>
        </w:tabs>
        <w:ind w:left="0"/>
        <w:jc w:val="center"/>
        <w:rPr>
          <w:rFonts w:eastAsia="MS Mincho"/>
          <w:highlight w:val="yellow"/>
          <w:lang w:eastAsia="ja-JP" w:bidi="th-TH"/>
        </w:rPr>
      </w:pPr>
    </w:p>
    <w:p w:rsidR="00CA722C" w:rsidRPr="000A6AAD" w:rsidRDefault="00CA722C" w:rsidP="00F11DB9">
      <w:pPr>
        <w:pStyle w:val="ListParagraph"/>
        <w:tabs>
          <w:tab w:val="left" w:pos="709"/>
        </w:tabs>
        <w:ind w:left="0"/>
        <w:jc w:val="center"/>
        <w:rPr>
          <w:rFonts w:eastAsia="MS Mincho"/>
          <w:lang w:eastAsia="ja-JP" w:bidi="th-TH"/>
        </w:rPr>
      </w:pPr>
      <w:r>
        <w:rPr>
          <w:rFonts w:eastAsia="MS Mincho"/>
          <w:noProof/>
        </w:rPr>
        <w:drawing>
          <wp:inline distT="0" distB="0" distL="0" distR="0" wp14:anchorId="7C7F7233" wp14:editId="404D1420">
            <wp:extent cx="3804249" cy="2373166"/>
            <wp:effectExtent l="0" t="0" r="6350" b="825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7">
                      <a:extLst>
                        <a:ext uri="{28A0092B-C50C-407E-A947-70E740481C1C}">
                          <a14:useLocalDpi xmlns:a14="http://schemas.microsoft.com/office/drawing/2010/main" val="0"/>
                        </a:ext>
                      </a:extLst>
                    </a:blip>
                    <a:srcRect/>
                    <a:stretch>
                      <a:fillRect/>
                    </a:stretch>
                  </pic:blipFill>
                  <pic:spPr bwMode="auto">
                    <a:xfrm>
                      <a:off x="0" y="0"/>
                      <a:ext cx="3802268" cy="2371930"/>
                    </a:xfrm>
                    <a:prstGeom prst="rect">
                      <a:avLst/>
                    </a:prstGeom>
                    <a:noFill/>
                  </pic:spPr>
                </pic:pic>
              </a:graphicData>
            </a:graphic>
          </wp:inline>
        </w:drawing>
      </w:r>
    </w:p>
    <w:p w:rsidR="00CA722C" w:rsidRPr="00A6242A" w:rsidRDefault="00CA722C" w:rsidP="00F11DB9">
      <w:pPr>
        <w:pStyle w:val="ListParagraph"/>
        <w:tabs>
          <w:tab w:val="left" w:pos="709"/>
        </w:tabs>
        <w:ind w:left="0"/>
        <w:jc w:val="both"/>
        <w:rPr>
          <w:rFonts w:eastAsia="MS Mincho"/>
          <w:lang w:eastAsia="ja-JP" w:bidi="th-TH"/>
        </w:rPr>
      </w:pPr>
    </w:p>
    <w:p w:rsidR="00CA722C" w:rsidRPr="00A6242A" w:rsidRDefault="00CA722C" w:rsidP="00CA722C">
      <w:pPr>
        <w:pStyle w:val="ListParagraph"/>
        <w:numPr>
          <w:ilvl w:val="0"/>
          <w:numId w:val="29"/>
        </w:numPr>
        <w:tabs>
          <w:tab w:val="left" w:pos="709"/>
        </w:tabs>
        <w:ind w:left="0" w:firstLine="0"/>
        <w:jc w:val="both"/>
        <w:rPr>
          <w:rFonts w:eastAsia="MS Mincho"/>
          <w:lang w:eastAsia="ja-JP" w:bidi="th-TH"/>
        </w:rPr>
      </w:pPr>
      <w:r w:rsidRPr="00CD26D6">
        <w:rPr>
          <w:rFonts w:eastAsia="MS Mincho"/>
          <w:lang w:eastAsia="ja-JP" w:bidi="th-TH"/>
        </w:rPr>
        <w:t>Program</w:t>
      </w:r>
      <w:r>
        <w:rPr>
          <w:rFonts w:eastAsia="MS Mincho"/>
          <w:lang w:eastAsia="ja-JP" w:bidi="th-TH"/>
        </w:rPr>
        <w:t xml:space="preserve"> 13</w:t>
      </w:r>
      <w:r w:rsidRPr="00CD26D6">
        <w:rPr>
          <w:rFonts w:eastAsia="MS Mincho"/>
          <w:lang w:eastAsia="ja-JP" w:bidi="th-TH"/>
        </w:rPr>
        <w:t xml:space="preserve"> continued to contribute to DA Recommendations 24 and 31, bridging the digital divide and facilitating better access to publicly available </w:t>
      </w:r>
      <w:r>
        <w:rPr>
          <w:rFonts w:eastAsia="MS Mincho"/>
          <w:lang w:eastAsia="ja-JP" w:bidi="th-TH"/>
        </w:rPr>
        <w:t>IP</w:t>
      </w:r>
      <w:r w:rsidRPr="00CD26D6">
        <w:rPr>
          <w:rFonts w:eastAsia="MS Mincho"/>
          <w:lang w:eastAsia="ja-JP" w:bidi="th-TH"/>
        </w:rPr>
        <w:t xml:space="preserve"> information by continuing to increase the amount of IP records available for searching and extending search and multilingual support functionalities.</w:t>
      </w:r>
    </w:p>
    <w:p w:rsidR="00CA722C" w:rsidRDefault="00CA722C">
      <w:pPr>
        <w:spacing w:after="200" w:line="276" w:lineRule="auto"/>
        <w:rPr>
          <w:rFonts w:cs="Arial"/>
          <w:sz w:val="22"/>
          <w:szCs w:val="22"/>
        </w:rPr>
      </w:pPr>
    </w:p>
    <w:p w:rsidR="00CA722C" w:rsidRPr="000E65D9" w:rsidRDefault="00CA722C" w:rsidP="00F11DB9">
      <w:pPr>
        <w:keepNext/>
        <w:keepLines/>
        <w:rPr>
          <w:rFonts w:cs="Arial"/>
          <w:szCs w:val="22"/>
        </w:rPr>
      </w:pPr>
      <w:r w:rsidRPr="000E65D9">
        <w:rPr>
          <w:rFonts w:cs="Arial"/>
          <w:szCs w:val="22"/>
        </w:rPr>
        <w:lastRenderedPageBreak/>
        <w:t>PERFORMANCE DATA</w:t>
      </w:r>
    </w:p>
    <w:p w:rsidR="00CA722C" w:rsidRDefault="00CA722C" w:rsidP="00F11DB9">
      <w:pPr>
        <w:keepNext/>
        <w:keepLines/>
        <w:rPr>
          <w:bCs/>
          <w:sz w:val="22"/>
          <w:szCs w:val="22"/>
        </w:rPr>
      </w:pPr>
    </w:p>
    <w:tbl>
      <w:tblPr>
        <w:tblW w:w="4934"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264"/>
        <w:gridCol w:w="2412"/>
        <w:gridCol w:w="1419"/>
        <w:gridCol w:w="2271"/>
        <w:gridCol w:w="87"/>
        <w:gridCol w:w="992"/>
      </w:tblGrid>
      <w:tr w:rsidR="00CA722C" w:rsidRPr="0068151C" w:rsidTr="00F11DB9">
        <w:trPr>
          <w:cantSplit/>
        </w:trPr>
        <w:tc>
          <w:tcPr>
            <w:tcW w:w="5000" w:type="pct"/>
            <w:gridSpan w:val="6"/>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CA722C" w:rsidRPr="0068151C" w:rsidRDefault="00CA722C" w:rsidP="00F11DB9">
            <w:pPr>
              <w:keepNext/>
              <w:keepLines/>
              <w:tabs>
                <w:tab w:val="left" w:pos="1452"/>
              </w:tabs>
              <w:spacing w:before="120" w:after="120"/>
              <w:ind w:left="1452" w:hanging="1452"/>
              <w:rPr>
                <w:rFonts w:cs="Arial"/>
                <w:b/>
                <w:bCs/>
                <w:sz w:val="16"/>
                <w:szCs w:val="16"/>
              </w:rPr>
            </w:pPr>
            <w:r w:rsidRPr="0068151C">
              <w:rPr>
                <w:rFonts w:cs="Arial"/>
                <w:b/>
                <w:bCs/>
                <w:sz w:val="16"/>
                <w:szCs w:val="16"/>
              </w:rPr>
              <w:t>Expected Result:</w:t>
            </w:r>
            <w:r w:rsidRPr="0068151C">
              <w:rPr>
                <w:rFonts w:cs="Arial"/>
                <w:b/>
                <w:bCs/>
                <w:sz w:val="16"/>
                <w:szCs w:val="16"/>
              </w:rPr>
              <w:tab/>
            </w:r>
            <w:r w:rsidRPr="009A6091">
              <w:rPr>
                <w:rFonts w:cs="Arial"/>
                <w:sz w:val="16"/>
                <w:szCs w:val="16"/>
              </w:rPr>
              <w:t>IV.2 Enhanced access to, and use of, IP information by IP institutions and the public to promote innovation and creativity</w:t>
            </w:r>
          </w:p>
        </w:tc>
      </w:tr>
      <w:tr w:rsidR="00CA722C" w:rsidRPr="0068151C" w:rsidTr="00F11DB9">
        <w:trPr>
          <w:cantSplit/>
        </w:trPr>
        <w:tc>
          <w:tcPr>
            <w:tcW w:w="1199" w:type="pct"/>
            <w:tcBorders>
              <w:top w:val="single" w:sz="4" w:space="0" w:color="auto"/>
              <w:left w:val="single" w:sz="4" w:space="0" w:color="auto"/>
              <w:bottom w:val="nil"/>
            </w:tcBorders>
            <w:shd w:val="clear" w:color="auto" w:fill="auto"/>
            <w:vAlign w:val="center"/>
          </w:tcPr>
          <w:p w:rsidR="00CA722C" w:rsidRPr="0068151C" w:rsidRDefault="00CA722C" w:rsidP="00F11DB9">
            <w:pPr>
              <w:keepNext/>
              <w:keepLines/>
              <w:rPr>
                <w:rFonts w:cs="Arial"/>
                <w:sz w:val="16"/>
                <w:szCs w:val="16"/>
              </w:rPr>
            </w:pPr>
            <w:r w:rsidRPr="0068151C">
              <w:rPr>
                <w:rFonts w:cs="Arial"/>
                <w:b/>
                <w:bCs/>
                <w:sz w:val="16"/>
                <w:szCs w:val="16"/>
              </w:rPr>
              <w:t>Performance Indicators</w:t>
            </w:r>
          </w:p>
        </w:tc>
        <w:tc>
          <w:tcPr>
            <w:tcW w:w="1277" w:type="pct"/>
            <w:tcBorders>
              <w:top w:val="single" w:sz="4" w:space="0" w:color="auto"/>
              <w:bottom w:val="nil"/>
            </w:tcBorders>
            <w:shd w:val="clear" w:color="auto" w:fill="auto"/>
            <w:vAlign w:val="center"/>
          </w:tcPr>
          <w:p w:rsidR="00CA722C" w:rsidRPr="0068151C" w:rsidRDefault="00CA722C" w:rsidP="00F11DB9">
            <w:pPr>
              <w:keepNext/>
              <w:keepLines/>
              <w:rPr>
                <w:rFonts w:cs="Arial"/>
                <w:b/>
                <w:bCs/>
                <w:sz w:val="16"/>
                <w:szCs w:val="16"/>
              </w:rPr>
            </w:pPr>
            <w:r w:rsidRPr="0068151C">
              <w:rPr>
                <w:rFonts w:cs="Arial"/>
                <w:b/>
                <w:bCs/>
                <w:sz w:val="16"/>
                <w:szCs w:val="16"/>
              </w:rPr>
              <w:t>Baselines</w:t>
            </w:r>
          </w:p>
        </w:tc>
        <w:tc>
          <w:tcPr>
            <w:tcW w:w="751" w:type="pct"/>
            <w:tcBorders>
              <w:top w:val="single" w:sz="4" w:space="0" w:color="auto"/>
              <w:bottom w:val="nil"/>
            </w:tcBorders>
            <w:shd w:val="clear" w:color="auto" w:fill="auto"/>
            <w:tcMar>
              <w:top w:w="110" w:type="dxa"/>
            </w:tcMar>
            <w:vAlign w:val="center"/>
          </w:tcPr>
          <w:p w:rsidR="00CA722C" w:rsidRPr="0068151C" w:rsidRDefault="00CA722C" w:rsidP="00F11DB9">
            <w:pPr>
              <w:keepNext/>
              <w:keepLines/>
              <w:rPr>
                <w:rFonts w:cs="Arial"/>
                <w:b/>
                <w:sz w:val="16"/>
                <w:szCs w:val="16"/>
              </w:rPr>
            </w:pPr>
            <w:r w:rsidRPr="0068151C">
              <w:rPr>
                <w:rFonts w:cs="Arial"/>
                <w:b/>
                <w:sz w:val="16"/>
                <w:szCs w:val="16"/>
              </w:rPr>
              <w:t>Target</w:t>
            </w:r>
            <w:r>
              <w:rPr>
                <w:rFonts w:cs="Arial"/>
                <w:b/>
                <w:sz w:val="16"/>
                <w:szCs w:val="16"/>
              </w:rPr>
              <w:t>s</w:t>
            </w:r>
          </w:p>
        </w:tc>
        <w:tc>
          <w:tcPr>
            <w:tcW w:w="1202" w:type="pct"/>
            <w:tcBorders>
              <w:top w:val="single" w:sz="4" w:space="0" w:color="auto"/>
              <w:bottom w:val="nil"/>
            </w:tcBorders>
            <w:shd w:val="clear" w:color="auto" w:fill="FFFFFF"/>
            <w:tcMar>
              <w:top w:w="110" w:type="dxa"/>
            </w:tcMar>
            <w:vAlign w:val="center"/>
          </w:tcPr>
          <w:p w:rsidR="00CA722C" w:rsidRPr="0068151C" w:rsidRDefault="00CA722C" w:rsidP="00F11DB9">
            <w:pPr>
              <w:keepNext/>
              <w:keepLines/>
              <w:rPr>
                <w:rFonts w:cs="Arial"/>
                <w:sz w:val="16"/>
                <w:szCs w:val="16"/>
              </w:rPr>
            </w:pPr>
            <w:r w:rsidRPr="0068151C">
              <w:rPr>
                <w:rFonts w:cs="Arial"/>
                <w:b/>
                <w:bCs/>
                <w:sz w:val="16"/>
                <w:szCs w:val="16"/>
              </w:rPr>
              <w:t>Performance Data</w:t>
            </w:r>
          </w:p>
        </w:tc>
        <w:tc>
          <w:tcPr>
            <w:tcW w:w="571" w:type="pct"/>
            <w:gridSpan w:val="2"/>
            <w:tcBorders>
              <w:top w:val="single" w:sz="4" w:space="0" w:color="auto"/>
              <w:bottom w:val="nil"/>
              <w:right w:val="single" w:sz="4" w:space="0" w:color="auto"/>
            </w:tcBorders>
            <w:shd w:val="clear" w:color="auto" w:fill="auto"/>
            <w:tcMar>
              <w:top w:w="110" w:type="dxa"/>
            </w:tcMar>
            <w:vAlign w:val="center"/>
          </w:tcPr>
          <w:p w:rsidR="00CA722C" w:rsidRPr="0068151C" w:rsidRDefault="00CA722C" w:rsidP="00F11DB9">
            <w:pPr>
              <w:keepNext/>
              <w:keepLines/>
              <w:jc w:val="center"/>
              <w:rPr>
                <w:rFonts w:cs="Arial"/>
                <w:b/>
                <w:bCs/>
                <w:sz w:val="16"/>
                <w:szCs w:val="16"/>
              </w:rPr>
            </w:pPr>
            <w:r w:rsidRPr="0068151C">
              <w:rPr>
                <w:rFonts w:cs="Arial"/>
                <w:b/>
                <w:bCs/>
                <w:sz w:val="16"/>
                <w:szCs w:val="16"/>
              </w:rPr>
              <w:t>TLS</w:t>
            </w:r>
          </w:p>
        </w:tc>
      </w:tr>
      <w:tr w:rsidR="00CA722C" w:rsidRPr="0068151C" w:rsidTr="00F11DB9">
        <w:trPr>
          <w:cantSplit/>
        </w:trPr>
        <w:tc>
          <w:tcPr>
            <w:tcW w:w="1199" w:type="pct"/>
            <w:tcBorders>
              <w:top w:val="nil"/>
              <w:left w:val="single" w:sz="4" w:space="0" w:color="auto"/>
              <w:bottom w:val="nil"/>
            </w:tcBorders>
            <w:shd w:val="clear" w:color="auto" w:fill="auto"/>
          </w:tcPr>
          <w:p w:rsidR="00CA722C" w:rsidRPr="0068151C" w:rsidRDefault="00CA722C" w:rsidP="00F11DB9">
            <w:pPr>
              <w:keepNext/>
              <w:keepLines/>
              <w:rPr>
                <w:rFonts w:cs="Arial"/>
                <w:sz w:val="16"/>
                <w:szCs w:val="16"/>
              </w:rPr>
            </w:pPr>
            <w:r w:rsidRPr="009A6091">
              <w:rPr>
                <w:rFonts w:cs="Arial"/>
                <w:sz w:val="16"/>
                <w:szCs w:val="16"/>
              </w:rPr>
              <w:t>No. of different users per quarter in all systems (PATENTSCOPE/Global Brand Database</w:t>
            </w:r>
            <w:r>
              <w:rPr>
                <w:rFonts w:cs="Arial"/>
                <w:sz w:val="16"/>
                <w:szCs w:val="16"/>
              </w:rPr>
              <w:t>)</w:t>
            </w:r>
            <w:r>
              <w:rPr>
                <w:rStyle w:val="FootnoteReference"/>
                <w:rFonts w:cs="Arial"/>
                <w:sz w:val="16"/>
                <w:szCs w:val="16"/>
              </w:rPr>
              <w:footnoteReference w:id="84"/>
            </w:r>
          </w:p>
        </w:tc>
        <w:tc>
          <w:tcPr>
            <w:tcW w:w="1277" w:type="pct"/>
            <w:tcBorders>
              <w:top w:val="nil"/>
              <w:bottom w:val="nil"/>
            </w:tcBorders>
            <w:shd w:val="clear" w:color="auto" w:fill="auto"/>
          </w:tcPr>
          <w:p w:rsidR="00CA722C" w:rsidRPr="009A6091" w:rsidRDefault="00CA722C" w:rsidP="00F11DB9">
            <w:pPr>
              <w:keepNext/>
              <w:keepLines/>
              <w:rPr>
                <w:rFonts w:cs="Arial"/>
                <w:color w:val="002060"/>
                <w:sz w:val="16"/>
                <w:szCs w:val="16"/>
              </w:rPr>
            </w:pPr>
            <w:r w:rsidRPr="0068151C">
              <w:rPr>
                <w:rFonts w:cs="Arial"/>
                <w:i/>
                <w:color w:val="002060"/>
                <w:sz w:val="16"/>
                <w:szCs w:val="16"/>
              </w:rPr>
              <w:t xml:space="preserve">Updated Baseline </w:t>
            </w:r>
            <w:r>
              <w:rPr>
                <w:rFonts w:cs="Arial"/>
                <w:i/>
                <w:color w:val="002060"/>
                <w:sz w:val="16"/>
                <w:szCs w:val="16"/>
              </w:rPr>
              <w:br/>
              <w:t>end 2013</w:t>
            </w:r>
            <w:r w:rsidRPr="0068151C">
              <w:rPr>
                <w:rFonts w:cs="Arial"/>
                <w:i/>
                <w:color w:val="002060"/>
                <w:sz w:val="16"/>
                <w:szCs w:val="16"/>
              </w:rPr>
              <w:t>:</w:t>
            </w:r>
            <w:r>
              <w:rPr>
                <w:rFonts w:cs="Arial"/>
                <w:i/>
                <w:color w:val="002060"/>
                <w:sz w:val="16"/>
                <w:szCs w:val="16"/>
              </w:rPr>
              <w:t xml:space="preserve"> </w:t>
            </w:r>
            <w:r w:rsidRPr="005A6DA1">
              <w:rPr>
                <w:rFonts w:cs="Arial"/>
                <w:color w:val="002060"/>
                <w:sz w:val="16"/>
                <w:szCs w:val="16"/>
              </w:rPr>
              <w:t>PATENTSCOPE 237,446 Global Brand Database 23,000</w:t>
            </w:r>
            <w:r>
              <w:rPr>
                <w:rFonts w:cs="Arial"/>
                <w:i/>
                <w:color w:val="002060"/>
                <w:sz w:val="16"/>
                <w:szCs w:val="16"/>
              </w:rPr>
              <w:br/>
            </w:r>
          </w:p>
          <w:p w:rsidR="00CA722C" w:rsidRPr="0068151C" w:rsidRDefault="00CA722C" w:rsidP="00F11DB9">
            <w:pPr>
              <w:keepNext/>
              <w:keepLines/>
              <w:rPr>
                <w:rFonts w:cs="Arial"/>
                <w:sz w:val="16"/>
                <w:szCs w:val="16"/>
                <w:lang w:bidi="th-TH"/>
              </w:rPr>
            </w:pPr>
            <w:r w:rsidRPr="0068151C">
              <w:rPr>
                <w:rFonts w:cs="Arial"/>
                <w:i/>
                <w:sz w:val="16"/>
                <w:szCs w:val="16"/>
                <w:lang w:bidi="th-TH"/>
              </w:rPr>
              <w:t>Original Baseline</w:t>
            </w:r>
          </w:p>
          <w:p w:rsidR="00CA722C" w:rsidRPr="0068151C" w:rsidRDefault="00CA722C" w:rsidP="00F11DB9">
            <w:pPr>
              <w:keepNext/>
              <w:keepLines/>
              <w:rPr>
                <w:rFonts w:cs="Arial"/>
                <w:sz w:val="16"/>
                <w:szCs w:val="16"/>
              </w:rPr>
            </w:pPr>
            <w:r>
              <w:rPr>
                <w:rFonts w:cs="Arial"/>
                <w:i/>
                <w:sz w:val="16"/>
                <w:szCs w:val="16"/>
              </w:rPr>
              <w:t>P&amp;B 2014/15</w:t>
            </w:r>
            <w:r w:rsidRPr="0068151C">
              <w:rPr>
                <w:rFonts w:cs="Arial"/>
                <w:i/>
                <w:sz w:val="16"/>
                <w:szCs w:val="16"/>
              </w:rPr>
              <w:t>:</w:t>
            </w:r>
            <w:r>
              <w:rPr>
                <w:rFonts w:cs="Arial"/>
                <w:i/>
                <w:sz w:val="16"/>
                <w:szCs w:val="16"/>
              </w:rPr>
              <w:t xml:space="preserve"> </w:t>
            </w:r>
            <w:r w:rsidRPr="005A6DA1">
              <w:rPr>
                <w:rFonts w:cs="Arial"/>
                <w:sz w:val="16"/>
                <w:szCs w:val="16"/>
              </w:rPr>
              <w:t>PATENTSCOPE 566,782 Global Brand Database 13,339 unique visitors (4</w:t>
            </w:r>
            <w:r w:rsidRPr="00480AE9">
              <w:rPr>
                <w:rFonts w:cs="Arial"/>
                <w:sz w:val="16"/>
                <w:szCs w:val="16"/>
                <w:vertAlign w:val="superscript"/>
              </w:rPr>
              <w:t>th</w:t>
            </w:r>
            <w:r>
              <w:rPr>
                <w:rFonts w:cs="Arial"/>
                <w:sz w:val="16"/>
                <w:szCs w:val="16"/>
              </w:rPr>
              <w:t> </w:t>
            </w:r>
            <w:r w:rsidRPr="005A6DA1">
              <w:rPr>
                <w:rFonts w:cs="Arial"/>
                <w:sz w:val="16"/>
                <w:szCs w:val="16"/>
              </w:rPr>
              <w:t>quarter 2012)</w:t>
            </w:r>
          </w:p>
          <w:p w:rsidR="00CA722C" w:rsidRPr="0068151C" w:rsidRDefault="00CA722C" w:rsidP="00F11DB9">
            <w:pPr>
              <w:keepNext/>
              <w:keepLines/>
              <w:rPr>
                <w:rFonts w:cs="Arial"/>
                <w:sz w:val="16"/>
                <w:szCs w:val="16"/>
              </w:rPr>
            </w:pPr>
          </w:p>
        </w:tc>
        <w:tc>
          <w:tcPr>
            <w:tcW w:w="751" w:type="pct"/>
            <w:tcBorders>
              <w:top w:val="nil"/>
              <w:bottom w:val="nil"/>
            </w:tcBorders>
            <w:shd w:val="clear" w:color="auto" w:fill="auto"/>
            <w:tcMar>
              <w:top w:w="110" w:type="dxa"/>
            </w:tcMar>
          </w:tcPr>
          <w:p w:rsidR="00CA722C" w:rsidRDefault="00CA722C" w:rsidP="00F11DB9">
            <w:pPr>
              <w:keepNext/>
              <w:keepLines/>
              <w:rPr>
                <w:rFonts w:cs="Arial"/>
                <w:sz w:val="16"/>
                <w:szCs w:val="16"/>
              </w:rPr>
            </w:pPr>
            <w:r w:rsidRPr="009A6091">
              <w:rPr>
                <w:rFonts w:cs="Arial"/>
                <w:sz w:val="16"/>
                <w:szCs w:val="16"/>
              </w:rPr>
              <w:t xml:space="preserve">PATENTSCOPE 650,000 </w:t>
            </w:r>
            <w:r>
              <w:rPr>
                <w:rFonts w:cs="Arial"/>
                <w:sz w:val="16"/>
                <w:szCs w:val="16"/>
              </w:rPr>
              <w:t xml:space="preserve"> </w:t>
            </w:r>
          </w:p>
          <w:p w:rsidR="00CA722C" w:rsidRDefault="00CA722C" w:rsidP="00F11DB9">
            <w:pPr>
              <w:keepNext/>
              <w:keepLines/>
              <w:rPr>
                <w:rFonts w:cs="Arial"/>
                <w:sz w:val="16"/>
                <w:szCs w:val="16"/>
              </w:rPr>
            </w:pPr>
          </w:p>
          <w:p w:rsidR="00CA722C" w:rsidRPr="009A6091" w:rsidRDefault="00CA722C" w:rsidP="00F11DB9">
            <w:pPr>
              <w:keepNext/>
              <w:keepLines/>
              <w:rPr>
                <w:rFonts w:cs="Arial"/>
                <w:sz w:val="16"/>
                <w:szCs w:val="16"/>
              </w:rPr>
            </w:pPr>
          </w:p>
          <w:p w:rsidR="00CA722C" w:rsidRPr="00F03901" w:rsidRDefault="00CA722C" w:rsidP="00F11DB9">
            <w:pPr>
              <w:keepNext/>
              <w:keepLines/>
              <w:rPr>
                <w:rFonts w:cs="Arial"/>
                <w:sz w:val="16"/>
                <w:szCs w:val="16"/>
              </w:rPr>
            </w:pPr>
            <w:r w:rsidRPr="009A6091">
              <w:rPr>
                <w:rFonts w:cs="Arial"/>
                <w:sz w:val="16"/>
                <w:szCs w:val="16"/>
              </w:rPr>
              <w:t>Global Brand Database 20,000 unique visitors per quarter</w:t>
            </w:r>
            <w:r>
              <w:rPr>
                <w:rStyle w:val="FootnoteReference"/>
                <w:rFonts w:cs="Arial"/>
                <w:sz w:val="16"/>
                <w:szCs w:val="16"/>
              </w:rPr>
              <w:footnoteReference w:id="85"/>
            </w:r>
          </w:p>
        </w:tc>
        <w:tc>
          <w:tcPr>
            <w:tcW w:w="1202" w:type="pct"/>
            <w:tcBorders>
              <w:top w:val="nil"/>
              <w:bottom w:val="nil"/>
            </w:tcBorders>
            <w:shd w:val="clear" w:color="auto" w:fill="FFFFFF"/>
            <w:tcMar>
              <w:top w:w="110" w:type="dxa"/>
            </w:tcMar>
          </w:tcPr>
          <w:p w:rsidR="00CA722C" w:rsidRPr="00BD1DD9" w:rsidRDefault="00CA722C" w:rsidP="00F11DB9">
            <w:pPr>
              <w:keepNext/>
              <w:keepLines/>
              <w:rPr>
                <w:rFonts w:cs="Arial"/>
                <w:sz w:val="16"/>
                <w:szCs w:val="16"/>
              </w:rPr>
            </w:pPr>
            <w:r w:rsidRPr="00BD1DD9">
              <w:rPr>
                <w:rFonts w:cs="Arial"/>
                <w:sz w:val="16"/>
                <w:szCs w:val="16"/>
              </w:rPr>
              <w:t>PATENTSCOPE:</w:t>
            </w:r>
          </w:p>
          <w:p w:rsidR="00CA722C" w:rsidRPr="00BD1DD9" w:rsidRDefault="00CA722C" w:rsidP="00F11DB9">
            <w:pPr>
              <w:keepNext/>
              <w:keepLines/>
              <w:rPr>
                <w:rFonts w:cs="Arial"/>
                <w:sz w:val="16"/>
                <w:szCs w:val="16"/>
              </w:rPr>
            </w:pPr>
            <w:r w:rsidRPr="00BD1DD9">
              <w:rPr>
                <w:rFonts w:cs="Arial"/>
                <w:sz w:val="16"/>
                <w:szCs w:val="16"/>
              </w:rPr>
              <w:t xml:space="preserve">245,769 (2014) </w:t>
            </w:r>
          </w:p>
          <w:p w:rsidR="00CA722C" w:rsidRPr="00BD1DD9" w:rsidRDefault="00CA722C" w:rsidP="00F11DB9">
            <w:pPr>
              <w:keepNext/>
              <w:keepLines/>
              <w:rPr>
                <w:rFonts w:cs="Arial"/>
                <w:sz w:val="16"/>
                <w:szCs w:val="16"/>
              </w:rPr>
            </w:pPr>
            <w:r w:rsidRPr="00BD1DD9">
              <w:rPr>
                <w:rFonts w:cs="Arial"/>
                <w:sz w:val="16"/>
                <w:szCs w:val="16"/>
              </w:rPr>
              <w:t>221,981 (2015)</w:t>
            </w:r>
          </w:p>
          <w:p w:rsidR="00CA722C" w:rsidRPr="00BD1DD9" w:rsidRDefault="00CA722C" w:rsidP="00F11DB9">
            <w:pPr>
              <w:keepNext/>
              <w:keepLines/>
              <w:rPr>
                <w:rFonts w:cs="Arial"/>
                <w:sz w:val="16"/>
                <w:szCs w:val="16"/>
              </w:rPr>
            </w:pPr>
          </w:p>
          <w:p w:rsidR="00CA722C" w:rsidRPr="00BD1DD9" w:rsidRDefault="00CA722C" w:rsidP="00F11DB9">
            <w:pPr>
              <w:keepNext/>
              <w:keepLines/>
              <w:rPr>
                <w:rFonts w:cs="Arial"/>
                <w:sz w:val="16"/>
                <w:szCs w:val="16"/>
              </w:rPr>
            </w:pPr>
            <w:r w:rsidRPr="00BD1DD9">
              <w:rPr>
                <w:rFonts w:cs="Arial"/>
                <w:sz w:val="16"/>
                <w:szCs w:val="16"/>
              </w:rPr>
              <w:t xml:space="preserve">Global Brand Database: </w:t>
            </w:r>
          </w:p>
          <w:p w:rsidR="00CA722C" w:rsidRPr="00BD1DD9" w:rsidRDefault="00CA722C" w:rsidP="00F11DB9">
            <w:pPr>
              <w:keepNext/>
              <w:keepLines/>
              <w:rPr>
                <w:rFonts w:cs="Arial"/>
                <w:sz w:val="16"/>
                <w:szCs w:val="16"/>
              </w:rPr>
            </w:pPr>
            <w:r w:rsidRPr="00BD1DD9">
              <w:rPr>
                <w:rFonts w:cs="Arial"/>
                <w:sz w:val="16"/>
                <w:szCs w:val="16"/>
              </w:rPr>
              <w:t>49,977 (2014)</w:t>
            </w:r>
          </w:p>
          <w:p w:rsidR="00CA722C" w:rsidRPr="00BD1DD9" w:rsidRDefault="00CA722C" w:rsidP="00F11DB9">
            <w:pPr>
              <w:keepNext/>
              <w:keepLines/>
              <w:rPr>
                <w:rFonts w:cs="Arial"/>
                <w:sz w:val="16"/>
                <w:szCs w:val="16"/>
              </w:rPr>
            </w:pPr>
            <w:r w:rsidRPr="00BD1DD9">
              <w:rPr>
                <w:rFonts w:cs="Arial"/>
                <w:sz w:val="16"/>
                <w:szCs w:val="16"/>
              </w:rPr>
              <w:t>80,490 (2015)</w:t>
            </w:r>
          </w:p>
          <w:p w:rsidR="00CA722C" w:rsidRPr="00BD1DD9" w:rsidRDefault="00CA722C" w:rsidP="00F11DB9">
            <w:pPr>
              <w:keepNext/>
              <w:keepLines/>
              <w:rPr>
                <w:rFonts w:cs="Arial"/>
                <w:sz w:val="16"/>
                <w:szCs w:val="16"/>
              </w:rPr>
            </w:pPr>
          </w:p>
          <w:p w:rsidR="00CA722C" w:rsidRPr="00BD1DD9" w:rsidRDefault="00CA722C" w:rsidP="00F11DB9">
            <w:pPr>
              <w:keepNext/>
              <w:keepLines/>
              <w:rPr>
                <w:rFonts w:cs="Arial"/>
                <w:sz w:val="16"/>
                <w:szCs w:val="16"/>
              </w:rPr>
            </w:pPr>
            <w:r w:rsidRPr="00BD1DD9">
              <w:rPr>
                <w:rFonts w:cs="Arial"/>
                <w:sz w:val="16"/>
                <w:szCs w:val="16"/>
              </w:rPr>
              <w:t>Global Design Database: 13,946 (2015)</w:t>
            </w:r>
          </w:p>
        </w:tc>
        <w:tc>
          <w:tcPr>
            <w:tcW w:w="571" w:type="pct"/>
            <w:gridSpan w:val="2"/>
            <w:tcBorders>
              <w:top w:val="nil"/>
              <w:bottom w:val="nil"/>
              <w:right w:val="single" w:sz="4" w:space="0" w:color="auto"/>
            </w:tcBorders>
            <w:shd w:val="clear" w:color="auto" w:fill="auto"/>
            <w:tcMar>
              <w:top w:w="110" w:type="dxa"/>
            </w:tcMar>
          </w:tcPr>
          <w:p w:rsidR="00CA722C" w:rsidRPr="0007046C" w:rsidRDefault="00CA722C" w:rsidP="00F11DB9">
            <w:pPr>
              <w:keepNext/>
              <w:keepLines/>
              <w:jc w:val="center"/>
              <w:rPr>
                <w:rFonts w:cs="Arial"/>
                <w:b/>
                <w:bCs/>
                <w:color w:val="E36C0A" w:themeColor="accent6" w:themeShade="BF"/>
                <w:sz w:val="16"/>
                <w:szCs w:val="16"/>
              </w:rPr>
            </w:pPr>
            <w:r w:rsidRPr="0007046C">
              <w:rPr>
                <w:rFonts w:cs="Arial"/>
                <w:b/>
                <w:bCs/>
                <w:color w:val="E36C0A" w:themeColor="accent6" w:themeShade="BF"/>
                <w:sz w:val="16"/>
                <w:szCs w:val="16"/>
              </w:rPr>
              <w:t>Partially Achieved</w:t>
            </w:r>
          </w:p>
          <w:p w:rsidR="00CA722C" w:rsidRPr="0007046C" w:rsidRDefault="00CA722C" w:rsidP="00F11DB9">
            <w:pPr>
              <w:keepNext/>
              <w:keepLines/>
              <w:jc w:val="center"/>
              <w:rPr>
                <w:rFonts w:cs="Arial"/>
                <w:b/>
                <w:bCs/>
                <w:color w:val="FFC000"/>
                <w:sz w:val="16"/>
                <w:szCs w:val="16"/>
              </w:rPr>
            </w:pPr>
          </w:p>
          <w:p w:rsidR="00CA722C" w:rsidRPr="0007046C" w:rsidRDefault="00CA722C" w:rsidP="00F11DB9">
            <w:pPr>
              <w:keepNext/>
              <w:keepLines/>
              <w:jc w:val="center"/>
              <w:rPr>
                <w:rFonts w:cs="Arial"/>
                <w:b/>
                <w:bCs/>
                <w:color w:val="FFC000"/>
                <w:sz w:val="16"/>
                <w:szCs w:val="16"/>
              </w:rPr>
            </w:pPr>
          </w:p>
          <w:p w:rsidR="00CA722C" w:rsidRPr="00BA6F3B" w:rsidRDefault="00CA722C" w:rsidP="00F11DB9">
            <w:pPr>
              <w:keepNext/>
              <w:keepLines/>
              <w:jc w:val="center"/>
              <w:rPr>
                <w:rStyle w:val="Style5"/>
                <w:rFonts w:ascii="Arial" w:hAnsi="Arial" w:cs="Arial"/>
                <w:b/>
                <w:color w:val="00B050"/>
                <w:sz w:val="16"/>
              </w:rPr>
            </w:pPr>
            <w:r w:rsidRPr="00BA6F3B">
              <w:rPr>
                <w:rStyle w:val="Style5"/>
                <w:rFonts w:ascii="Arial" w:hAnsi="Arial" w:cs="Arial"/>
                <w:b/>
                <w:color w:val="00B050"/>
                <w:sz w:val="16"/>
              </w:rPr>
              <w:t>Fully Achieved</w:t>
            </w:r>
          </w:p>
          <w:p w:rsidR="00CA722C" w:rsidRPr="00BA6F3B" w:rsidRDefault="00CA722C" w:rsidP="00F11DB9">
            <w:pPr>
              <w:keepNext/>
              <w:keepLines/>
              <w:jc w:val="center"/>
              <w:rPr>
                <w:rStyle w:val="Style5"/>
                <w:rFonts w:ascii="Arial" w:hAnsi="Arial" w:cs="Arial"/>
                <w:b/>
                <w:color w:val="00B050"/>
                <w:sz w:val="16"/>
              </w:rPr>
            </w:pPr>
          </w:p>
          <w:p w:rsidR="00CA722C" w:rsidRPr="0007046C" w:rsidRDefault="00CA722C" w:rsidP="00F11DB9">
            <w:pPr>
              <w:keepNext/>
              <w:keepLines/>
              <w:jc w:val="center"/>
              <w:rPr>
                <w:rStyle w:val="Style5"/>
                <w:rFonts w:cs="Arial"/>
                <w:b/>
                <w:color w:val="00B050"/>
                <w:sz w:val="16"/>
              </w:rPr>
            </w:pPr>
          </w:p>
          <w:p w:rsidR="00CA722C" w:rsidRPr="00BA6F3B" w:rsidRDefault="00CA722C" w:rsidP="00F11DB9">
            <w:pPr>
              <w:keepNext/>
              <w:keepLines/>
              <w:jc w:val="center"/>
              <w:rPr>
                <w:rFonts w:cs="Arial"/>
                <w:b/>
                <w:bCs/>
                <w:color w:val="808080"/>
                <w:sz w:val="16"/>
                <w:szCs w:val="16"/>
              </w:rPr>
            </w:pPr>
            <w:r w:rsidRPr="00BA6F3B">
              <w:rPr>
                <w:rStyle w:val="Style5"/>
                <w:rFonts w:ascii="Arial" w:hAnsi="Arial" w:cs="Arial"/>
                <w:b/>
                <w:color w:val="808080"/>
                <w:sz w:val="14"/>
                <w:szCs w:val="14"/>
              </w:rPr>
              <w:t>Not Assessable</w:t>
            </w:r>
          </w:p>
        </w:tc>
      </w:tr>
      <w:tr w:rsidR="00CA722C" w:rsidRPr="0068151C" w:rsidTr="00F11DB9">
        <w:trPr>
          <w:cantSplit/>
        </w:trPr>
        <w:tc>
          <w:tcPr>
            <w:tcW w:w="1199" w:type="pct"/>
            <w:tcBorders>
              <w:top w:val="nil"/>
              <w:left w:val="single" w:sz="4" w:space="0" w:color="auto"/>
              <w:bottom w:val="nil"/>
            </w:tcBorders>
            <w:shd w:val="clear" w:color="auto" w:fill="FFFFFF"/>
          </w:tcPr>
          <w:p w:rsidR="00CA722C" w:rsidRPr="0068151C" w:rsidRDefault="00CA722C" w:rsidP="00F11DB9">
            <w:pPr>
              <w:rPr>
                <w:rFonts w:cs="Arial"/>
                <w:sz w:val="16"/>
                <w:szCs w:val="16"/>
                <w:lang w:bidi="th-TH"/>
              </w:rPr>
            </w:pPr>
            <w:r w:rsidRPr="009A6091">
              <w:rPr>
                <w:rFonts w:cs="Arial"/>
                <w:sz w:val="16"/>
                <w:szCs w:val="16"/>
              </w:rPr>
              <w:t>No. of languages in which cross-lingual search is available</w:t>
            </w:r>
          </w:p>
        </w:tc>
        <w:tc>
          <w:tcPr>
            <w:tcW w:w="1277" w:type="pct"/>
            <w:tcBorders>
              <w:top w:val="nil"/>
              <w:bottom w:val="nil"/>
            </w:tcBorders>
            <w:shd w:val="clear" w:color="auto" w:fill="auto"/>
          </w:tcPr>
          <w:p w:rsidR="00CA722C" w:rsidRPr="009A6091" w:rsidRDefault="00CA722C" w:rsidP="00F11DB9">
            <w:pPr>
              <w:rPr>
                <w:rFonts w:cs="Arial"/>
                <w:color w:val="002060"/>
                <w:sz w:val="16"/>
                <w:szCs w:val="16"/>
              </w:rPr>
            </w:pPr>
            <w:r w:rsidRPr="0068151C">
              <w:rPr>
                <w:rFonts w:cs="Arial"/>
                <w:i/>
                <w:color w:val="002060"/>
                <w:sz w:val="16"/>
                <w:szCs w:val="16"/>
              </w:rPr>
              <w:t xml:space="preserve">Updated Baseline </w:t>
            </w:r>
            <w:r>
              <w:rPr>
                <w:rFonts w:cs="Arial"/>
                <w:i/>
                <w:color w:val="002060"/>
                <w:sz w:val="16"/>
                <w:szCs w:val="16"/>
              </w:rPr>
              <w:br/>
              <w:t>end 2013</w:t>
            </w:r>
            <w:r w:rsidRPr="0068151C">
              <w:rPr>
                <w:rFonts w:cs="Arial"/>
                <w:i/>
                <w:color w:val="002060"/>
                <w:sz w:val="16"/>
                <w:szCs w:val="16"/>
              </w:rPr>
              <w:t>:</w:t>
            </w:r>
            <w:r>
              <w:rPr>
                <w:rFonts w:cs="Arial"/>
                <w:i/>
                <w:color w:val="002060"/>
                <w:sz w:val="16"/>
                <w:szCs w:val="16"/>
              </w:rPr>
              <w:t xml:space="preserve"> </w:t>
            </w:r>
            <w:r w:rsidRPr="005A6DA1">
              <w:rPr>
                <w:rFonts w:cs="Arial"/>
                <w:color w:val="002060"/>
                <w:sz w:val="16"/>
                <w:szCs w:val="16"/>
              </w:rPr>
              <w:t>12</w:t>
            </w:r>
            <w:r>
              <w:rPr>
                <w:rFonts w:cs="Arial"/>
                <w:i/>
                <w:color w:val="002060"/>
                <w:sz w:val="16"/>
                <w:szCs w:val="16"/>
              </w:rPr>
              <w:br/>
            </w:r>
          </w:p>
          <w:p w:rsidR="00CA722C" w:rsidRPr="0068151C" w:rsidRDefault="00CA722C" w:rsidP="00F11DB9">
            <w:pPr>
              <w:rPr>
                <w:rFonts w:cs="Arial"/>
                <w:sz w:val="16"/>
                <w:szCs w:val="16"/>
                <w:lang w:bidi="th-TH"/>
              </w:rPr>
            </w:pPr>
            <w:r w:rsidRPr="0068151C">
              <w:rPr>
                <w:rFonts w:cs="Arial"/>
                <w:i/>
                <w:sz w:val="16"/>
                <w:szCs w:val="16"/>
                <w:lang w:bidi="th-TH"/>
              </w:rPr>
              <w:t>Original Baseline</w:t>
            </w:r>
          </w:p>
          <w:p w:rsidR="00CA722C" w:rsidRPr="0068151C" w:rsidRDefault="00CA722C" w:rsidP="00F11DB9">
            <w:pPr>
              <w:autoSpaceDE w:val="0"/>
              <w:autoSpaceDN w:val="0"/>
              <w:adjustRightInd w:val="0"/>
              <w:rPr>
                <w:rFonts w:cs="Arial"/>
                <w:sz w:val="16"/>
                <w:szCs w:val="16"/>
              </w:rPr>
            </w:pPr>
            <w:r>
              <w:rPr>
                <w:rFonts w:cs="Arial"/>
                <w:i/>
                <w:sz w:val="16"/>
                <w:szCs w:val="16"/>
              </w:rPr>
              <w:t>P&amp;B 2014/15</w:t>
            </w:r>
            <w:r w:rsidRPr="0068151C">
              <w:rPr>
                <w:rFonts w:cs="Arial"/>
                <w:i/>
                <w:sz w:val="16"/>
                <w:szCs w:val="16"/>
              </w:rPr>
              <w:t>:</w:t>
            </w:r>
            <w:r>
              <w:rPr>
                <w:rFonts w:cs="Arial"/>
                <w:i/>
                <w:sz w:val="16"/>
                <w:szCs w:val="16"/>
              </w:rPr>
              <w:t xml:space="preserve"> </w:t>
            </w:r>
            <w:r w:rsidRPr="005A6DA1">
              <w:rPr>
                <w:rFonts w:cs="Arial"/>
                <w:sz w:val="16"/>
                <w:szCs w:val="16"/>
              </w:rPr>
              <w:t>12 (Feb 2013)</w:t>
            </w:r>
          </w:p>
        </w:tc>
        <w:tc>
          <w:tcPr>
            <w:tcW w:w="751" w:type="pct"/>
            <w:tcBorders>
              <w:top w:val="nil"/>
              <w:bottom w:val="nil"/>
            </w:tcBorders>
            <w:shd w:val="clear" w:color="auto" w:fill="auto"/>
            <w:tcMar>
              <w:top w:w="110" w:type="dxa"/>
            </w:tcMar>
          </w:tcPr>
          <w:p w:rsidR="00CA722C" w:rsidRPr="0068151C" w:rsidRDefault="00CA722C" w:rsidP="00F11DB9">
            <w:pPr>
              <w:rPr>
                <w:rFonts w:cs="Arial"/>
                <w:sz w:val="16"/>
                <w:szCs w:val="16"/>
                <w:lang w:bidi="th-TH"/>
              </w:rPr>
            </w:pPr>
            <w:r>
              <w:rPr>
                <w:rFonts w:cs="Arial"/>
                <w:sz w:val="16"/>
                <w:szCs w:val="16"/>
              </w:rPr>
              <w:t>13</w:t>
            </w:r>
          </w:p>
        </w:tc>
        <w:tc>
          <w:tcPr>
            <w:tcW w:w="1202" w:type="pct"/>
            <w:tcBorders>
              <w:top w:val="nil"/>
              <w:bottom w:val="nil"/>
            </w:tcBorders>
            <w:shd w:val="clear" w:color="auto" w:fill="FFFFFF"/>
            <w:tcMar>
              <w:top w:w="110" w:type="dxa"/>
            </w:tcMar>
          </w:tcPr>
          <w:p w:rsidR="00CA722C" w:rsidRPr="0068151C" w:rsidRDefault="00CA722C">
            <w:pPr>
              <w:rPr>
                <w:rFonts w:cs="Arial"/>
                <w:sz w:val="16"/>
                <w:szCs w:val="16"/>
                <w:lang w:bidi="th-TH"/>
              </w:rPr>
            </w:pPr>
            <w:r>
              <w:rPr>
                <w:rFonts w:cs="Arial"/>
                <w:sz w:val="16"/>
                <w:szCs w:val="16"/>
                <w:lang w:bidi="th-TH"/>
              </w:rPr>
              <w:t>In 2014/15, t</w:t>
            </w:r>
            <w:r w:rsidRPr="000A6AAD">
              <w:rPr>
                <w:rFonts w:cs="Arial"/>
                <w:sz w:val="16"/>
                <w:szCs w:val="16"/>
                <w:lang w:bidi="th-TH"/>
              </w:rPr>
              <w:t xml:space="preserve">wo additional languages </w:t>
            </w:r>
            <w:r w:rsidRPr="00BD1DD9">
              <w:rPr>
                <w:rFonts w:cs="Arial"/>
                <w:sz w:val="16"/>
                <w:szCs w:val="16"/>
                <w:lang w:bidi="th-TH"/>
              </w:rPr>
              <w:t>(Danish and Polish)</w:t>
            </w:r>
            <w:r>
              <w:rPr>
                <w:rFonts w:cs="Arial"/>
                <w:sz w:val="16"/>
                <w:szCs w:val="16"/>
                <w:lang w:bidi="th-TH"/>
              </w:rPr>
              <w:t xml:space="preserve"> </w:t>
            </w:r>
            <w:r w:rsidRPr="000A6AAD">
              <w:rPr>
                <w:rFonts w:cs="Arial"/>
                <w:sz w:val="16"/>
                <w:szCs w:val="16"/>
                <w:lang w:bidi="th-TH"/>
              </w:rPr>
              <w:t>were  added to the Cross Lingual Information Retrieval (CLIR) multilingual searching system, bringing the total number of languages to 14.</w:t>
            </w:r>
          </w:p>
        </w:tc>
        <w:tc>
          <w:tcPr>
            <w:tcW w:w="571" w:type="pct"/>
            <w:gridSpan w:val="2"/>
            <w:tcBorders>
              <w:top w:val="nil"/>
              <w:bottom w:val="nil"/>
              <w:right w:val="single" w:sz="4" w:space="0" w:color="auto"/>
            </w:tcBorders>
            <w:shd w:val="clear" w:color="auto" w:fill="auto"/>
            <w:tcMar>
              <w:top w:w="110" w:type="dxa"/>
            </w:tcMar>
          </w:tcPr>
          <w:p w:rsidR="00CA722C" w:rsidRPr="00BA6F3B" w:rsidRDefault="00CA722C" w:rsidP="00F11DB9">
            <w:pPr>
              <w:keepNext/>
              <w:keepLines/>
              <w:jc w:val="center"/>
              <w:rPr>
                <w:rStyle w:val="Style5"/>
                <w:rFonts w:ascii="Arial" w:hAnsi="Arial" w:cs="Arial"/>
                <w:b/>
                <w:color w:val="00B050"/>
                <w:sz w:val="16"/>
              </w:rPr>
            </w:pPr>
            <w:r w:rsidRPr="00BA6F3B">
              <w:rPr>
                <w:rStyle w:val="Style5"/>
                <w:rFonts w:ascii="Arial" w:hAnsi="Arial" w:cs="Arial"/>
                <w:b/>
                <w:color w:val="00B050"/>
                <w:sz w:val="16"/>
              </w:rPr>
              <w:t>Fully Achieved</w:t>
            </w:r>
          </w:p>
        </w:tc>
      </w:tr>
      <w:tr w:rsidR="00CA722C" w:rsidRPr="0068151C" w:rsidTr="00F11DB9">
        <w:trPr>
          <w:cantSplit/>
        </w:trPr>
        <w:tc>
          <w:tcPr>
            <w:tcW w:w="1199" w:type="pct"/>
            <w:tcBorders>
              <w:top w:val="nil"/>
              <w:left w:val="single" w:sz="4" w:space="0" w:color="auto"/>
              <w:bottom w:val="single" w:sz="4" w:space="0" w:color="auto"/>
            </w:tcBorders>
            <w:shd w:val="clear" w:color="auto" w:fill="FFFFFF"/>
          </w:tcPr>
          <w:p w:rsidR="00CA722C" w:rsidRPr="009A6091" w:rsidRDefault="00CA722C" w:rsidP="00F11DB9">
            <w:pPr>
              <w:rPr>
                <w:rFonts w:cs="Arial"/>
                <w:sz w:val="16"/>
                <w:szCs w:val="16"/>
              </w:rPr>
            </w:pPr>
            <w:r w:rsidRPr="009A6091">
              <w:rPr>
                <w:rFonts w:cs="Arial"/>
                <w:sz w:val="16"/>
                <w:szCs w:val="16"/>
              </w:rPr>
              <w:t>No. of language pairs available for machine translation of titles and abstracts</w:t>
            </w:r>
          </w:p>
        </w:tc>
        <w:tc>
          <w:tcPr>
            <w:tcW w:w="1277" w:type="pct"/>
            <w:tcBorders>
              <w:top w:val="nil"/>
              <w:bottom w:val="single" w:sz="4" w:space="0" w:color="auto"/>
            </w:tcBorders>
            <w:shd w:val="clear" w:color="auto" w:fill="auto"/>
          </w:tcPr>
          <w:p w:rsidR="00CA722C" w:rsidRPr="009A6091" w:rsidRDefault="00CA722C" w:rsidP="00F11DB9">
            <w:pPr>
              <w:rPr>
                <w:rFonts w:cs="Arial"/>
                <w:color w:val="002060"/>
                <w:sz w:val="16"/>
                <w:szCs w:val="16"/>
              </w:rPr>
            </w:pPr>
            <w:r w:rsidRPr="0068151C">
              <w:rPr>
                <w:rFonts w:cs="Arial"/>
                <w:i/>
                <w:color w:val="002060"/>
                <w:sz w:val="16"/>
                <w:szCs w:val="16"/>
              </w:rPr>
              <w:t xml:space="preserve">Updated Baseline </w:t>
            </w:r>
            <w:r>
              <w:rPr>
                <w:rFonts w:cs="Arial"/>
                <w:i/>
                <w:color w:val="002060"/>
                <w:sz w:val="16"/>
                <w:szCs w:val="16"/>
              </w:rPr>
              <w:br/>
              <w:t>end 2013</w:t>
            </w:r>
            <w:r w:rsidRPr="0068151C">
              <w:rPr>
                <w:rFonts w:cs="Arial"/>
                <w:i/>
                <w:color w:val="002060"/>
                <w:sz w:val="16"/>
                <w:szCs w:val="16"/>
              </w:rPr>
              <w:t>:</w:t>
            </w:r>
            <w:r>
              <w:rPr>
                <w:rFonts w:cs="Arial"/>
                <w:i/>
                <w:color w:val="002060"/>
                <w:sz w:val="16"/>
                <w:szCs w:val="16"/>
              </w:rPr>
              <w:t xml:space="preserve"> </w:t>
            </w:r>
            <w:r w:rsidRPr="005A6DA1">
              <w:rPr>
                <w:rFonts w:cs="Arial"/>
                <w:color w:val="002060"/>
                <w:sz w:val="16"/>
                <w:szCs w:val="16"/>
              </w:rPr>
              <w:t>4 (cumulative)</w:t>
            </w:r>
            <w:r>
              <w:rPr>
                <w:rFonts w:cs="Arial"/>
                <w:i/>
                <w:color w:val="002060"/>
                <w:sz w:val="16"/>
                <w:szCs w:val="16"/>
              </w:rPr>
              <w:br/>
            </w:r>
          </w:p>
          <w:p w:rsidR="00CA722C" w:rsidRPr="0068151C" w:rsidRDefault="00CA722C" w:rsidP="00F11DB9">
            <w:pPr>
              <w:rPr>
                <w:rFonts w:cs="Arial"/>
                <w:sz w:val="16"/>
                <w:szCs w:val="16"/>
                <w:lang w:bidi="th-TH"/>
              </w:rPr>
            </w:pPr>
            <w:r w:rsidRPr="0068151C">
              <w:rPr>
                <w:rFonts w:cs="Arial"/>
                <w:i/>
                <w:sz w:val="16"/>
                <w:szCs w:val="16"/>
                <w:lang w:bidi="th-TH"/>
              </w:rPr>
              <w:t>Original Baseline</w:t>
            </w:r>
          </w:p>
          <w:p w:rsidR="00CA722C" w:rsidRPr="0068151C" w:rsidRDefault="00CA722C" w:rsidP="00F11DB9">
            <w:pPr>
              <w:rPr>
                <w:rFonts w:cs="Arial"/>
                <w:i/>
                <w:color w:val="002060"/>
                <w:sz w:val="16"/>
                <w:szCs w:val="16"/>
              </w:rPr>
            </w:pPr>
            <w:r>
              <w:rPr>
                <w:rFonts w:cs="Arial"/>
                <w:i/>
                <w:sz w:val="16"/>
                <w:szCs w:val="16"/>
              </w:rPr>
              <w:t>P&amp;B 2014/15</w:t>
            </w:r>
            <w:r w:rsidRPr="0068151C">
              <w:rPr>
                <w:rFonts w:cs="Arial"/>
                <w:i/>
                <w:sz w:val="16"/>
                <w:szCs w:val="16"/>
              </w:rPr>
              <w:t>:</w:t>
            </w:r>
            <w:r>
              <w:rPr>
                <w:rFonts w:cs="Arial"/>
                <w:i/>
                <w:sz w:val="16"/>
                <w:szCs w:val="16"/>
              </w:rPr>
              <w:t xml:space="preserve"> </w:t>
            </w:r>
            <w:r w:rsidRPr="005A6DA1">
              <w:rPr>
                <w:rFonts w:cs="Arial"/>
                <w:sz w:val="16"/>
                <w:szCs w:val="16"/>
              </w:rPr>
              <w:t>2 (Feb 2013)</w:t>
            </w:r>
          </w:p>
        </w:tc>
        <w:tc>
          <w:tcPr>
            <w:tcW w:w="751" w:type="pct"/>
            <w:tcBorders>
              <w:top w:val="nil"/>
              <w:bottom w:val="single" w:sz="4" w:space="0" w:color="auto"/>
            </w:tcBorders>
            <w:shd w:val="clear" w:color="auto" w:fill="auto"/>
            <w:tcMar>
              <w:top w:w="110" w:type="dxa"/>
            </w:tcMar>
          </w:tcPr>
          <w:p w:rsidR="00CA722C" w:rsidRDefault="00CA722C" w:rsidP="00F11DB9">
            <w:pPr>
              <w:rPr>
                <w:rFonts w:cs="Arial"/>
                <w:sz w:val="16"/>
                <w:szCs w:val="16"/>
              </w:rPr>
            </w:pPr>
            <w:r>
              <w:rPr>
                <w:rFonts w:cs="Arial"/>
                <w:sz w:val="16"/>
                <w:szCs w:val="16"/>
              </w:rPr>
              <w:t>5</w:t>
            </w:r>
          </w:p>
        </w:tc>
        <w:tc>
          <w:tcPr>
            <w:tcW w:w="1202" w:type="pct"/>
            <w:tcBorders>
              <w:top w:val="nil"/>
              <w:bottom w:val="single" w:sz="4" w:space="0" w:color="auto"/>
            </w:tcBorders>
            <w:shd w:val="clear" w:color="auto" w:fill="FFFFFF"/>
            <w:tcMar>
              <w:top w:w="110" w:type="dxa"/>
            </w:tcMar>
          </w:tcPr>
          <w:p w:rsidR="00CA722C" w:rsidRDefault="00CA722C" w:rsidP="00F11DB9">
            <w:pPr>
              <w:rPr>
                <w:rFonts w:cs="Arial"/>
                <w:sz w:val="16"/>
                <w:szCs w:val="16"/>
                <w:lang w:bidi="th-TH"/>
              </w:rPr>
            </w:pPr>
            <w:r w:rsidRPr="0007046C">
              <w:rPr>
                <w:rFonts w:cs="Arial"/>
                <w:sz w:val="16"/>
                <w:szCs w:val="16"/>
                <w:lang w:bidi="th-TH"/>
              </w:rPr>
              <w:t>3 additional language pairs</w:t>
            </w:r>
            <w:r>
              <w:rPr>
                <w:rFonts w:cs="Arial"/>
                <w:sz w:val="16"/>
                <w:szCs w:val="16"/>
                <w:lang w:bidi="th-TH"/>
              </w:rPr>
              <w:t xml:space="preserve"> in 2014/15</w:t>
            </w:r>
            <w:r w:rsidRPr="0007046C">
              <w:rPr>
                <w:rFonts w:cs="Arial"/>
                <w:sz w:val="16"/>
                <w:szCs w:val="16"/>
                <w:lang w:bidi="th-TH"/>
              </w:rPr>
              <w:t xml:space="preserve"> (</w:t>
            </w:r>
            <w:r>
              <w:rPr>
                <w:rFonts w:cs="Arial"/>
                <w:sz w:val="16"/>
                <w:szCs w:val="16"/>
                <w:lang w:bidi="th-TH"/>
              </w:rPr>
              <w:t xml:space="preserve"> English-Korean, English-Russian</w:t>
            </w:r>
            <w:r w:rsidR="00395421">
              <w:rPr>
                <w:rFonts w:cs="Arial"/>
                <w:sz w:val="16"/>
                <w:szCs w:val="16"/>
                <w:lang w:bidi="th-TH"/>
              </w:rPr>
              <w:t>, English-Spanish</w:t>
            </w:r>
            <w:r>
              <w:rPr>
                <w:rFonts w:cs="Arial"/>
                <w:sz w:val="16"/>
                <w:szCs w:val="16"/>
                <w:lang w:bidi="th-TH"/>
              </w:rPr>
              <w:t>)</w:t>
            </w:r>
          </w:p>
          <w:p w:rsidR="00CA722C" w:rsidRDefault="00CA722C" w:rsidP="00F11DB9">
            <w:pPr>
              <w:rPr>
                <w:rFonts w:cs="Arial"/>
                <w:sz w:val="16"/>
                <w:szCs w:val="16"/>
                <w:lang w:bidi="th-TH"/>
              </w:rPr>
            </w:pPr>
            <w:r>
              <w:rPr>
                <w:rFonts w:cs="Arial"/>
                <w:sz w:val="16"/>
                <w:szCs w:val="16"/>
                <w:lang w:bidi="th-TH"/>
              </w:rPr>
              <w:t>(7 cumulative)</w:t>
            </w:r>
          </w:p>
          <w:p w:rsidR="00395421" w:rsidRDefault="00395421" w:rsidP="00F11DB9">
            <w:pPr>
              <w:rPr>
                <w:rFonts w:cs="Arial"/>
                <w:sz w:val="16"/>
                <w:szCs w:val="16"/>
                <w:lang w:bidi="th-TH"/>
              </w:rPr>
            </w:pPr>
          </w:p>
          <w:p w:rsidR="00395421" w:rsidRPr="00DD405B" w:rsidRDefault="00395421" w:rsidP="00F11DB9">
            <w:pPr>
              <w:rPr>
                <w:rFonts w:cs="Arial"/>
                <w:sz w:val="16"/>
                <w:szCs w:val="16"/>
                <w:lang w:bidi="th-TH"/>
              </w:rPr>
            </w:pPr>
            <w:r>
              <w:rPr>
                <w:rFonts w:cs="Arial"/>
                <w:sz w:val="16"/>
                <w:szCs w:val="16"/>
                <w:lang w:bidi="th-TH"/>
              </w:rPr>
              <w:t>In addition, the English-Chinese language pair was expanded to include descriptions and claims.</w:t>
            </w:r>
          </w:p>
        </w:tc>
        <w:tc>
          <w:tcPr>
            <w:tcW w:w="571" w:type="pct"/>
            <w:gridSpan w:val="2"/>
            <w:tcBorders>
              <w:top w:val="nil"/>
              <w:bottom w:val="single" w:sz="4" w:space="0" w:color="auto"/>
              <w:right w:val="single" w:sz="4" w:space="0" w:color="auto"/>
            </w:tcBorders>
            <w:shd w:val="clear" w:color="auto" w:fill="auto"/>
            <w:tcMar>
              <w:top w:w="110" w:type="dxa"/>
            </w:tcMar>
          </w:tcPr>
          <w:p w:rsidR="00CA722C" w:rsidRPr="00BA6F3B" w:rsidRDefault="00CA722C" w:rsidP="00F11DB9">
            <w:pPr>
              <w:keepNext/>
              <w:keepLines/>
              <w:jc w:val="center"/>
              <w:rPr>
                <w:rStyle w:val="Style5"/>
                <w:rFonts w:ascii="Arial" w:hAnsi="Arial" w:cs="Arial"/>
                <w:b/>
                <w:color w:val="00B050"/>
                <w:sz w:val="16"/>
                <w:szCs w:val="16"/>
              </w:rPr>
            </w:pPr>
            <w:r w:rsidRPr="00BA6F3B">
              <w:rPr>
                <w:rStyle w:val="Style5"/>
                <w:rFonts w:ascii="Arial" w:hAnsi="Arial" w:cs="Arial"/>
                <w:b/>
                <w:color w:val="00B050"/>
                <w:sz w:val="16"/>
                <w:szCs w:val="16"/>
              </w:rPr>
              <w:t>Fully Achieved</w:t>
            </w:r>
          </w:p>
        </w:tc>
      </w:tr>
      <w:tr w:rsidR="00CA722C" w:rsidRPr="0068151C" w:rsidTr="00F11DB9">
        <w:trPr>
          <w:cantSplit/>
        </w:trPr>
        <w:tc>
          <w:tcPr>
            <w:tcW w:w="5000" w:type="pct"/>
            <w:gridSpan w:val="6"/>
            <w:tcBorders>
              <w:top w:val="single" w:sz="4" w:space="0" w:color="auto"/>
              <w:left w:val="single" w:sz="4" w:space="0" w:color="auto"/>
              <w:bottom w:val="nil"/>
              <w:right w:val="single" w:sz="4" w:space="0" w:color="auto"/>
            </w:tcBorders>
            <w:shd w:val="clear" w:color="auto" w:fill="C6D9F1" w:themeFill="text2" w:themeFillTint="33"/>
            <w:vAlign w:val="center"/>
          </w:tcPr>
          <w:p w:rsidR="00CA722C" w:rsidRPr="00D93C36" w:rsidRDefault="00CA722C" w:rsidP="00F11DB9">
            <w:pPr>
              <w:keepNext/>
              <w:keepLines/>
              <w:tabs>
                <w:tab w:val="left" w:pos="1452"/>
              </w:tabs>
              <w:spacing w:before="120" w:after="120"/>
              <w:ind w:left="1452" w:hanging="1452"/>
              <w:rPr>
                <w:rFonts w:cs="Arial"/>
                <w:b/>
                <w:bCs/>
                <w:sz w:val="16"/>
                <w:szCs w:val="16"/>
              </w:rPr>
            </w:pPr>
            <w:r w:rsidRPr="00D93C36">
              <w:rPr>
                <w:rFonts w:cs="Arial"/>
                <w:b/>
                <w:bCs/>
                <w:sz w:val="16"/>
                <w:szCs w:val="16"/>
              </w:rPr>
              <w:t>Expected Result:</w:t>
            </w:r>
            <w:r w:rsidRPr="00D93C36">
              <w:rPr>
                <w:rFonts w:cs="Arial"/>
                <w:b/>
                <w:bCs/>
                <w:sz w:val="16"/>
                <w:szCs w:val="16"/>
              </w:rPr>
              <w:tab/>
            </w:r>
            <w:r w:rsidRPr="00D93C36">
              <w:rPr>
                <w:rFonts w:cs="Arial"/>
                <w:sz w:val="16"/>
                <w:szCs w:val="16"/>
              </w:rPr>
              <w:t>IV.3 Broad geographical coverage of the content and use of WIPO Global IP Databases</w:t>
            </w:r>
          </w:p>
        </w:tc>
      </w:tr>
      <w:tr w:rsidR="00CA722C" w:rsidRPr="0068151C" w:rsidTr="00F11DB9">
        <w:trPr>
          <w:cantSplit/>
        </w:trPr>
        <w:tc>
          <w:tcPr>
            <w:tcW w:w="1199" w:type="pct"/>
            <w:tcBorders>
              <w:top w:val="single" w:sz="4" w:space="0" w:color="auto"/>
              <w:left w:val="single" w:sz="4" w:space="0" w:color="auto"/>
              <w:bottom w:val="nil"/>
            </w:tcBorders>
            <w:shd w:val="clear" w:color="auto" w:fill="auto"/>
            <w:vAlign w:val="center"/>
          </w:tcPr>
          <w:p w:rsidR="00CA722C" w:rsidRPr="0068151C" w:rsidRDefault="00CA722C" w:rsidP="00F11DB9">
            <w:pPr>
              <w:keepNext/>
              <w:keepLines/>
              <w:rPr>
                <w:rFonts w:cs="Arial"/>
                <w:sz w:val="16"/>
                <w:szCs w:val="16"/>
              </w:rPr>
            </w:pPr>
            <w:r w:rsidRPr="0068151C">
              <w:rPr>
                <w:rFonts w:cs="Arial"/>
                <w:b/>
                <w:bCs/>
                <w:sz w:val="16"/>
                <w:szCs w:val="16"/>
              </w:rPr>
              <w:t>Performance Indicators</w:t>
            </w:r>
          </w:p>
        </w:tc>
        <w:tc>
          <w:tcPr>
            <w:tcW w:w="1277" w:type="pct"/>
            <w:tcBorders>
              <w:top w:val="single" w:sz="4" w:space="0" w:color="auto"/>
              <w:bottom w:val="nil"/>
            </w:tcBorders>
            <w:shd w:val="clear" w:color="auto" w:fill="auto"/>
            <w:vAlign w:val="center"/>
          </w:tcPr>
          <w:p w:rsidR="00CA722C" w:rsidRPr="0068151C" w:rsidRDefault="00CA722C" w:rsidP="00F11DB9">
            <w:pPr>
              <w:keepNext/>
              <w:keepLines/>
              <w:rPr>
                <w:rFonts w:cs="Arial"/>
                <w:b/>
                <w:bCs/>
                <w:sz w:val="16"/>
                <w:szCs w:val="16"/>
              </w:rPr>
            </w:pPr>
            <w:r w:rsidRPr="0068151C">
              <w:rPr>
                <w:rFonts w:cs="Arial"/>
                <w:b/>
                <w:bCs/>
                <w:sz w:val="16"/>
                <w:szCs w:val="16"/>
              </w:rPr>
              <w:t>Baselines</w:t>
            </w:r>
          </w:p>
        </w:tc>
        <w:tc>
          <w:tcPr>
            <w:tcW w:w="751" w:type="pct"/>
            <w:tcBorders>
              <w:top w:val="single" w:sz="4" w:space="0" w:color="auto"/>
              <w:bottom w:val="nil"/>
            </w:tcBorders>
            <w:shd w:val="clear" w:color="auto" w:fill="auto"/>
            <w:tcMar>
              <w:top w:w="110" w:type="dxa"/>
            </w:tcMar>
            <w:vAlign w:val="center"/>
          </w:tcPr>
          <w:p w:rsidR="00CA722C" w:rsidRPr="0068151C" w:rsidRDefault="00CA722C" w:rsidP="00F11DB9">
            <w:pPr>
              <w:keepNext/>
              <w:keepLines/>
              <w:rPr>
                <w:rFonts w:cs="Arial"/>
                <w:b/>
                <w:sz w:val="16"/>
                <w:szCs w:val="16"/>
              </w:rPr>
            </w:pPr>
            <w:r w:rsidRPr="0068151C">
              <w:rPr>
                <w:rFonts w:cs="Arial"/>
                <w:b/>
                <w:sz w:val="16"/>
                <w:szCs w:val="16"/>
              </w:rPr>
              <w:t>Target</w:t>
            </w:r>
            <w:r>
              <w:rPr>
                <w:rFonts w:cs="Arial"/>
                <w:b/>
                <w:sz w:val="16"/>
                <w:szCs w:val="16"/>
              </w:rPr>
              <w:t>s</w:t>
            </w:r>
          </w:p>
        </w:tc>
        <w:tc>
          <w:tcPr>
            <w:tcW w:w="1248" w:type="pct"/>
            <w:gridSpan w:val="2"/>
            <w:tcBorders>
              <w:top w:val="single" w:sz="4" w:space="0" w:color="auto"/>
              <w:bottom w:val="nil"/>
            </w:tcBorders>
            <w:shd w:val="clear" w:color="auto" w:fill="FFFFFF"/>
            <w:tcMar>
              <w:top w:w="110" w:type="dxa"/>
            </w:tcMar>
            <w:vAlign w:val="center"/>
          </w:tcPr>
          <w:p w:rsidR="00CA722C" w:rsidRPr="0068151C" w:rsidRDefault="00CA722C" w:rsidP="00F11DB9">
            <w:pPr>
              <w:keepNext/>
              <w:keepLines/>
              <w:rPr>
                <w:rFonts w:cs="Arial"/>
                <w:sz w:val="16"/>
                <w:szCs w:val="16"/>
              </w:rPr>
            </w:pPr>
            <w:r w:rsidRPr="0068151C">
              <w:rPr>
                <w:rFonts w:cs="Arial"/>
                <w:b/>
                <w:bCs/>
                <w:sz w:val="16"/>
                <w:szCs w:val="16"/>
              </w:rPr>
              <w:t>Performance Data</w:t>
            </w:r>
          </w:p>
        </w:tc>
        <w:tc>
          <w:tcPr>
            <w:tcW w:w="525" w:type="pct"/>
            <w:tcBorders>
              <w:top w:val="single" w:sz="4" w:space="0" w:color="auto"/>
              <w:bottom w:val="nil"/>
              <w:right w:val="single" w:sz="4" w:space="0" w:color="auto"/>
            </w:tcBorders>
            <w:shd w:val="clear" w:color="auto" w:fill="auto"/>
            <w:tcMar>
              <w:top w:w="110" w:type="dxa"/>
            </w:tcMar>
            <w:vAlign w:val="center"/>
          </w:tcPr>
          <w:p w:rsidR="00CA722C" w:rsidRPr="00D93C36" w:rsidRDefault="00CA722C" w:rsidP="00F11DB9">
            <w:pPr>
              <w:keepNext/>
              <w:keepLines/>
              <w:jc w:val="center"/>
              <w:rPr>
                <w:rFonts w:cs="Arial"/>
                <w:b/>
                <w:bCs/>
                <w:sz w:val="16"/>
                <w:szCs w:val="16"/>
              </w:rPr>
            </w:pPr>
            <w:r w:rsidRPr="00D93C36">
              <w:rPr>
                <w:rFonts w:cs="Arial"/>
                <w:b/>
                <w:bCs/>
                <w:sz w:val="16"/>
                <w:szCs w:val="16"/>
              </w:rPr>
              <w:t>TLS</w:t>
            </w:r>
          </w:p>
        </w:tc>
      </w:tr>
      <w:tr w:rsidR="00CA722C" w:rsidRPr="0068151C" w:rsidTr="00F11DB9">
        <w:trPr>
          <w:cantSplit/>
        </w:trPr>
        <w:tc>
          <w:tcPr>
            <w:tcW w:w="1199" w:type="pct"/>
            <w:tcBorders>
              <w:top w:val="nil"/>
              <w:left w:val="single" w:sz="4" w:space="0" w:color="auto"/>
              <w:bottom w:val="nil"/>
            </w:tcBorders>
            <w:shd w:val="clear" w:color="auto" w:fill="auto"/>
          </w:tcPr>
          <w:p w:rsidR="00CA722C" w:rsidRPr="0068151C" w:rsidRDefault="00CA722C" w:rsidP="00F11DB9">
            <w:pPr>
              <w:keepNext/>
              <w:keepLines/>
              <w:rPr>
                <w:rFonts w:cs="Arial"/>
                <w:sz w:val="16"/>
                <w:szCs w:val="16"/>
              </w:rPr>
            </w:pPr>
            <w:r w:rsidRPr="009A6091">
              <w:rPr>
                <w:rFonts w:cs="Arial"/>
                <w:sz w:val="16"/>
                <w:szCs w:val="16"/>
              </w:rPr>
              <w:t>No</w:t>
            </w:r>
            <w:r>
              <w:rPr>
                <w:rFonts w:cs="Arial"/>
                <w:sz w:val="16"/>
                <w:szCs w:val="16"/>
              </w:rPr>
              <w:t>.</w:t>
            </w:r>
            <w:r w:rsidRPr="009A6091">
              <w:rPr>
                <w:rFonts w:cs="Arial"/>
                <w:sz w:val="16"/>
                <w:szCs w:val="16"/>
              </w:rPr>
              <w:t xml:space="preserve"> of records contained in PATENTSCOPE</w:t>
            </w:r>
          </w:p>
        </w:tc>
        <w:tc>
          <w:tcPr>
            <w:tcW w:w="1277" w:type="pct"/>
            <w:tcBorders>
              <w:top w:val="nil"/>
              <w:bottom w:val="nil"/>
            </w:tcBorders>
            <w:shd w:val="clear" w:color="auto" w:fill="auto"/>
          </w:tcPr>
          <w:p w:rsidR="00CA722C" w:rsidRPr="00F03901" w:rsidRDefault="00CA722C" w:rsidP="00F11DB9">
            <w:pPr>
              <w:keepNext/>
              <w:keepLines/>
              <w:rPr>
                <w:rFonts w:cs="Arial"/>
                <w:i/>
                <w:color w:val="002060"/>
                <w:sz w:val="16"/>
                <w:szCs w:val="16"/>
              </w:rPr>
            </w:pPr>
            <w:r w:rsidRPr="0068151C">
              <w:rPr>
                <w:rFonts w:cs="Arial"/>
                <w:i/>
                <w:color w:val="002060"/>
                <w:sz w:val="16"/>
                <w:szCs w:val="16"/>
              </w:rPr>
              <w:t xml:space="preserve">Updated Baseline </w:t>
            </w:r>
            <w:r>
              <w:rPr>
                <w:rFonts w:cs="Arial"/>
                <w:i/>
                <w:color w:val="002060"/>
                <w:sz w:val="16"/>
                <w:szCs w:val="16"/>
              </w:rPr>
              <w:br/>
              <w:t>end 2013</w:t>
            </w:r>
            <w:r w:rsidRPr="0068151C">
              <w:rPr>
                <w:rFonts w:cs="Arial"/>
                <w:i/>
                <w:color w:val="002060"/>
                <w:sz w:val="16"/>
                <w:szCs w:val="16"/>
              </w:rPr>
              <w:t>:</w:t>
            </w:r>
            <w:r w:rsidRPr="0068151C">
              <w:rPr>
                <w:rFonts w:cs="Arial"/>
                <w:color w:val="002060"/>
                <w:sz w:val="16"/>
                <w:szCs w:val="16"/>
                <w:lang w:bidi="th-TH"/>
              </w:rPr>
              <w:t xml:space="preserve">  </w:t>
            </w:r>
            <w:r w:rsidRPr="009A6091">
              <w:rPr>
                <w:rFonts w:cs="Arial"/>
                <w:color w:val="002060"/>
                <w:sz w:val="16"/>
                <w:szCs w:val="16"/>
                <w:lang w:bidi="th-TH"/>
              </w:rPr>
              <w:t>34</w:t>
            </w:r>
            <w:r>
              <w:rPr>
                <w:rFonts w:cs="Arial"/>
                <w:color w:val="002060"/>
                <w:sz w:val="16"/>
                <w:szCs w:val="16"/>
                <w:lang w:bidi="th-TH"/>
              </w:rPr>
              <w:t>,000,000</w:t>
            </w:r>
          </w:p>
          <w:p w:rsidR="00CA722C" w:rsidRPr="00A25763" w:rsidRDefault="00CA722C" w:rsidP="00F11DB9">
            <w:pPr>
              <w:keepNext/>
              <w:keepLines/>
              <w:rPr>
                <w:rFonts w:cs="Arial"/>
                <w:i/>
                <w:sz w:val="8"/>
                <w:szCs w:val="8"/>
                <w:lang w:bidi="th-TH"/>
              </w:rPr>
            </w:pPr>
          </w:p>
          <w:p w:rsidR="00CA722C" w:rsidRPr="0068151C" w:rsidRDefault="00CA722C" w:rsidP="00F11DB9">
            <w:pPr>
              <w:keepNext/>
              <w:keepLines/>
              <w:rPr>
                <w:rFonts w:cs="Arial"/>
                <w:sz w:val="16"/>
                <w:szCs w:val="16"/>
                <w:lang w:bidi="th-TH"/>
              </w:rPr>
            </w:pPr>
            <w:r w:rsidRPr="0068151C">
              <w:rPr>
                <w:rFonts w:cs="Arial"/>
                <w:i/>
                <w:sz w:val="16"/>
                <w:szCs w:val="16"/>
                <w:lang w:bidi="th-TH"/>
              </w:rPr>
              <w:t>Original Baseline</w:t>
            </w:r>
          </w:p>
          <w:p w:rsidR="00CA722C" w:rsidRPr="0068151C" w:rsidRDefault="00CA722C" w:rsidP="00F11DB9">
            <w:pPr>
              <w:keepNext/>
              <w:keepLines/>
              <w:rPr>
                <w:rFonts w:cs="Arial"/>
                <w:sz w:val="16"/>
                <w:szCs w:val="16"/>
              </w:rPr>
            </w:pPr>
            <w:r>
              <w:rPr>
                <w:rFonts w:cs="Arial"/>
                <w:i/>
                <w:sz w:val="16"/>
                <w:szCs w:val="16"/>
              </w:rPr>
              <w:t>P&amp;B 20124/15</w:t>
            </w:r>
            <w:r w:rsidRPr="0068151C">
              <w:rPr>
                <w:rFonts w:cs="Arial"/>
                <w:i/>
                <w:sz w:val="16"/>
                <w:szCs w:val="16"/>
              </w:rPr>
              <w:t>:</w:t>
            </w:r>
            <w:r>
              <w:rPr>
                <w:rFonts w:cs="Arial"/>
                <w:i/>
                <w:sz w:val="16"/>
                <w:szCs w:val="16"/>
              </w:rPr>
              <w:t xml:space="preserve"> </w:t>
            </w:r>
            <w:r w:rsidRPr="009A6091">
              <w:rPr>
                <w:rFonts w:cs="Arial"/>
                <w:i/>
                <w:sz w:val="16"/>
                <w:szCs w:val="16"/>
              </w:rPr>
              <w:t>18,733,406 (Feb 2013)</w:t>
            </w:r>
          </w:p>
          <w:p w:rsidR="00CA722C" w:rsidRPr="0068151C" w:rsidRDefault="00CA722C" w:rsidP="00F11DB9">
            <w:pPr>
              <w:keepNext/>
              <w:keepLines/>
              <w:rPr>
                <w:rFonts w:cs="Arial"/>
                <w:sz w:val="16"/>
                <w:szCs w:val="16"/>
              </w:rPr>
            </w:pPr>
          </w:p>
        </w:tc>
        <w:tc>
          <w:tcPr>
            <w:tcW w:w="751" w:type="pct"/>
            <w:tcBorders>
              <w:top w:val="nil"/>
              <w:bottom w:val="nil"/>
            </w:tcBorders>
            <w:shd w:val="clear" w:color="auto" w:fill="auto"/>
            <w:tcMar>
              <w:top w:w="110" w:type="dxa"/>
            </w:tcMar>
          </w:tcPr>
          <w:p w:rsidR="00CA722C" w:rsidRPr="0068151C" w:rsidRDefault="00CA722C" w:rsidP="00F11DB9">
            <w:pPr>
              <w:keepNext/>
              <w:keepLines/>
              <w:rPr>
                <w:rFonts w:cs="Arial"/>
                <w:sz w:val="16"/>
                <w:szCs w:val="16"/>
                <w:lang w:bidi="th-TH"/>
              </w:rPr>
            </w:pPr>
            <w:r w:rsidRPr="009A6091">
              <w:rPr>
                <w:rFonts w:cs="Arial"/>
                <w:sz w:val="16"/>
                <w:szCs w:val="16"/>
                <w:lang w:bidi="th-TH"/>
              </w:rPr>
              <w:t>40,000,000</w:t>
            </w:r>
          </w:p>
        </w:tc>
        <w:tc>
          <w:tcPr>
            <w:tcW w:w="1248" w:type="pct"/>
            <w:gridSpan w:val="2"/>
            <w:tcBorders>
              <w:top w:val="nil"/>
              <w:bottom w:val="nil"/>
            </w:tcBorders>
            <w:shd w:val="clear" w:color="auto" w:fill="FFFFFF"/>
            <w:tcMar>
              <w:top w:w="110" w:type="dxa"/>
            </w:tcMar>
          </w:tcPr>
          <w:p w:rsidR="00CA722C" w:rsidRPr="00B922F6" w:rsidRDefault="00CA722C" w:rsidP="00F11DB9">
            <w:pPr>
              <w:keepNext/>
              <w:keepLines/>
              <w:rPr>
                <w:rFonts w:cs="Arial"/>
                <w:sz w:val="16"/>
                <w:szCs w:val="16"/>
              </w:rPr>
            </w:pPr>
            <w:r>
              <w:rPr>
                <w:rFonts w:cs="Arial"/>
                <w:sz w:val="16"/>
                <w:szCs w:val="16"/>
              </w:rPr>
              <w:t xml:space="preserve">50,000,000 </w:t>
            </w:r>
            <w:r>
              <w:rPr>
                <w:rFonts w:cs="Arial"/>
                <w:sz w:val="16"/>
                <w:szCs w:val="16"/>
                <w:lang w:bidi="th-TH"/>
              </w:rPr>
              <w:t>(cumulative)</w:t>
            </w:r>
          </w:p>
        </w:tc>
        <w:tc>
          <w:tcPr>
            <w:tcW w:w="525" w:type="pct"/>
            <w:tcBorders>
              <w:top w:val="nil"/>
              <w:bottom w:val="nil"/>
              <w:right w:val="single" w:sz="4" w:space="0" w:color="auto"/>
            </w:tcBorders>
            <w:shd w:val="clear" w:color="auto" w:fill="auto"/>
            <w:tcMar>
              <w:top w:w="110" w:type="dxa"/>
            </w:tcMar>
          </w:tcPr>
          <w:p w:rsidR="00CA722C" w:rsidRPr="00BA6F3B" w:rsidRDefault="00CA722C" w:rsidP="00F11DB9">
            <w:pPr>
              <w:keepNext/>
              <w:keepLines/>
              <w:jc w:val="center"/>
              <w:rPr>
                <w:rStyle w:val="Style5"/>
                <w:rFonts w:ascii="Arial" w:hAnsi="Arial" w:cs="Arial"/>
                <w:b/>
                <w:color w:val="00B050"/>
                <w:sz w:val="16"/>
              </w:rPr>
            </w:pPr>
            <w:r w:rsidRPr="00BA6F3B">
              <w:rPr>
                <w:rStyle w:val="Style5"/>
                <w:rFonts w:ascii="Arial" w:hAnsi="Arial" w:cs="Arial"/>
                <w:b/>
                <w:color w:val="00B050"/>
                <w:sz w:val="16"/>
              </w:rPr>
              <w:t xml:space="preserve">Fully </w:t>
            </w:r>
            <w:r w:rsidR="003927FD" w:rsidRPr="00BA6F3B">
              <w:rPr>
                <w:rStyle w:val="Style5"/>
                <w:rFonts w:ascii="Arial" w:hAnsi="Arial" w:cs="Arial"/>
                <w:b/>
                <w:color w:val="00B050"/>
                <w:sz w:val="16"/>
              </w:rPr>
              <w:t>A</w:t>
            </w:r>
            <w:r w:rsidRPr="00BA6F3B">
              <w:rPr>
                <w:rStyle w:val="Style5"/>
                <w:rFonts w:ascii="Arial" w:hAnsi="Arial" w:cs="Arial"/>
                <w:b/>
                <w:color w:val="00B050"/>
                <w:sz w:val="16"/>
              </w:rPr>
              <w:t>chieved</w:t>
            </w:r>
          </w:p>
        </w:tc>
      </w:tr>
      <w:tr w:rsidR="00CA722C" w:rsidRPr="0068151C" w:rsidTr="00F11DB9">
        <w:trPr>
          <w:cantSplit/>
        </w:trPr>
        <w:tc>
          <w:tcPr>
            <w:tcW w:w="1199" w:type="pct"/>
            <w:tcBorders>
              <w:top w:val="nil"/>
              <w:left w:val="single" w:sz="4" w:space="0" w:color="auto"/>
              <w:bottom w:val="nil"/>
            </w:tcBorders>
            <w:shd w:val="clear" w:color="auto" w:fill="auto"/>
          </w:tcPr>
          <w:p w:rsidR="00CA722C" w:rsidRPr="0068151C" w:rsidRDefault="00CA722C" w:rsidP="00F11DB9">
            <w:pPr>
              <w:keepNext/>
              <w:keepLines/>
              <w:rPr>
                <w:rFonts w:cs="Arial"/>
                <w:sz w:val="16"/>
                <w:szCs w:val="16"/>
              </w:rPr>
            </w:pPr>
            <w:r w:rsidRPr="009A6091">
              <w:rPr>
                <w:rFonts w:cs="Arial"/>
                <w:sz w:val="16"/>
                <w:szCs w:val="16"/>
              </w:rPr>
              <w:t>No. of records contained in Global Brand Databases</w:t>
            </w:r>
          </w:p>
        </w:tc>
        <w:tc>
          <w:tcPr>
            <w:tcW w:w="1277" w:type="pct"/>
            <w:tcBorders>
              <w:top w:val="nil"/>
              <w:bottom w:val="nil"/>
            </w:tcBorders>
            <w:shd w:val="clear" w:color="auto" w:fill="auto"/>
          </w:tcPr>
          <w:p w:rsidR="00CA722C" w:rsidRPr="00F03901" w:rsidRDefault="00CA722C" w:rsidP="00F11DB9">
            <w:pPr>
              <w:keepNext/>
              <w:keepLines/>
              <w:rPr>
                <w:rFonts w:cs="Arial"/>
                <w:i/>
                <w:color w:val="002060"/>
                <w:sz w:val="16"/>
                <w:szCs w:val="16"/>
              </w:rPr>
            </w:pPr>
            <w:r w:rsidRPr="0068151C">
              <w:rPr>
                <w:rFonts w:cs="Arial"/>
                <w:i/>
                <w:color w:val="002060"/>
                <w:sz w:val="16"/>
                <w:szCs w:val="16"/>
              </w:rPr>
              <w:t xml:space="preserve">Updated Baseline </w:t>
            </w:r>
            <w:r>
              <w:rPr>
                <w:rFonts w:cs="Arial"/>
                <w:i/>
                <w:color w:val="002060"/>
                <w:sz w:val="16"/>
                <w:szCs w:val="16"/>
              </w:rPr>
              <w:br/>
              <w:t>end 2013</w:t>
            </w:r>
            <w:r w:rsidRPr="0068151C">
              <w:rPr>
                <w:rFonts w:cs="Arial"/>
                <w:i/>
                <w:color w:val="002060"/>
                <w:sz w:val="16"/>
                <w:szCs w:val="16"/>
              </w:rPr>
              <w:t>:</w:t>
            </w:r>
            <w:r w:rsidRPr="0068151C">
              <w:rPr>
                <w:rFonts w:cs="Arial"/>
                <w:color w:val="002060"/>
                <w:sz w:val="16"/>
                <w:szCs w:val="16"/>
                <w:lang w:bidi="th-TH"/>
              </w:rPr>
              <w:t xml:space="preserve">  </w:t>
            </w:r>
            <w:r w:rsidRPr="009A6091">
              <w:rPr>
                <w:rFonts w:cs="Arial"/>
                <w:color w:val="002060"/>
                <w:sz w:val="16"/>
                <w:szCs w:val="16"/>
                <w:lang w:bidi="th-TH"/>
              </w:rPr>
              <w:t>12</w:t>
            </w:r>
            <w:r>
              <w:rPr>
                <w:rFonts w:cs="Arial"/>
                <w:color w:val="002060"/>
                <w:sz w:val="16"/>
                <w:szCs w:val="16"/>
                <w:lang w:bidi="th-TH"/>
              </w:rPr>
              <w:t>,000,000</w:t>
            </w:r>
          </w:p>
          <w:p w:rsidR="00CA722C" w:rsidRPr="00A25763" w:rsidRDefault="00CA722C" w:rsidP="00F11DB9">
            <w:pPr>
              <w:keepNext/>
              <w:keepLines/>
              <w:rPr>
                <w:rFonts w:cs="Arial"/>
                <w:i/>
                <w:sz w:val="8"/>
                <w:szCs w:val="8"/>
                <w:lang w:bidi="th-TH"/>
              </w:rPr>
            </w:pPr>
          </w:p>
          <w:p w:rsidR="00CA722C" w:rsidRPr="0068151C" w:rsidRDefault="00CA722C" w:rsidP="00F11DB9">
            <w:pPr>
              <w:keepNext/>
              <w:keepLines/>
              <w:rPr>
                <w:rFonts w:cs="Arial"/>
                <w:sz w:val="16"/>
                <w:szCs w:val="16"/>
                <w:lang w:bidi="th-TH"/>
              </w:rPr>
            </w:pPr>
            <w:r w:rsidRPr="0068151C">
              <w:rPr>
                <w:rFonts w:cs="Arial"/>
                <w:i/>
                <w:sz w:val="16"/>
                <w:szCs w:val="16"/>
                <w:lang w:bidi="th-TH"/>
              </w:rPr>
              <w:t>Original Baseline</w:t>
            </w:r>
          </w:p>
          <w:p w:rsidR="00CA722C" w:rsidRPr="0068151C" w:rsidRDefault="00CA722C" w:rsidP="00F11DB9">
            <w:pPr>
              <w:keepNext/>
              <w:keepLines/>
              <w:rPr>
                <w:rFonts w:cs="Arial"/>
                <w:sz w:val="16"/>
                <w:szCs w:val="16"/>
              </w:rPr>
            </w:pPr>
            <w:r>
              <w:rPr>
                <w:rFonts w:cs="Arial"/>
                <w:i/>
                <w:sz w:val="16"/>
                <w:szCs w:val="16"/>
              </w:rPr>
              <w:t>P&amp;B 20124/15</w:t>
            </w:r>
            <w:r w:rsidRPr="0068151C">
              <w:rPr>
                <w:rFonts w:cs="Arial"/>
                <w:i/>
                <w:sz w:val="16"/>
                <w:szCs w:val="16"/>
              </w:rPr>
              <w:t>:</w:t>
            </w:r>
            <w:r>
              <w:rPr>
                <w:rFonts w:cs="Arial"/>
                <w:i/>
                <w:sz w:val="16"/>
                <w:szCs w:val="16"/>
              </w:rPr>
              <w:t xml:space="preserve"> </w:t>
            </w:r>
            <w:r w:rsidRPr="009A6091">
              <w:rPr>
                <w:rFonts w:cs="Arial"/>
                <w:i/>
                <w:sz w:val="16"/>
                <w:szCs w:val="16"/>
              </w:rPr>
              <w:t>10,928,326 (Feb 2013)</w:t>
            </w:r>
          </w:p>
          <w:p w:rsidR="00CA722C" w:rsidRPr="0068151C" w:rsidRDefault="00CA722C" w:rsidP="00F11DB9">
            <w:pPr>
              <w:keepNext/>
              <w:keepLines/>
              <w:rPr>
                <w:rFonts w:cs="Arial"/>
                <w:sz w:val="16"/>
                <w:szCs w:val="16"/>
                <w:lang w:bidi="th-TH"/>
              </w:rPr>
            </w:pPr>
          </w:p>
        </w:tc>
        <w:tc>
          <w:tcPr>
            <w:tcW w:w="751" w:type="pct"/>
            <w:tcBorders>
              <w:top w:val="nil"/>
              <w:bottom w:val="nil"/>
            </w:tcBorders>
            <w:shd w:val="clear" w:color="auto" w:fill="auto"/>
            <w:tcMar>
              <w:top w:w="110" w:type="dxa"/>
            </w:tcMar>
          </w:tcPr>
          <w:p w:rsidR="00CA722C" w:rsidRDefault="00CA722C" w:rsidP="00F11DB9">
            <w:pPr>
              <w:keepNext/>
              <w:keepLines/>
              <w:autoSpaceDE w:val="0"/>
              <w:autoSpaceDN w:val="0"/>
              <w:adjustRightInd w:val="0"/>
              <w:rPr>
                <w:rFonts w:cs="Arial"/>
                <w:sz w:val="16"/>
                <w:szCs w:val="16"/>
              </w:rPr>
            </w:pPr>
          </w:p>
          <w:p w:rsidR="00CA722C" w:rsidRPr="0068151C" w:rsidRDefault="00CA722C" w:rsidP="00F11DB9">
            <w:pPr>
              <w:keepNext/>
              <w:keepLines/>
              <w:autoSpaceDE w:val="0"/>
              <w:autoSpaceDN w:val="0"/>
              <w:adjustRightInd w:val="0"/>
              <w:rPr>
                <w:rFonts w:cs="Arial"/>
                <w:sz w:val="16"/>
                <w:szCs w:val="16"/>
              </w:rPr>
            </w:pPr>
            <w:r w:rsidRPr="009A6091">
              <w:rPr>
                <w:rFonts w:cs="Arial"/>
                <w:sz w:val="16"/>
                <w:szCs w:val="16"/>
              </w:rPr>
              <w:t>20,000,000</w:t>
            </w:r>
          </w:p>
        </w:tc>
        <w:tc>
          <w:tcPr>
            <w:tcW w:w="1248" w:type="pct"/>
            <w:gridSpan w:val="2"/>
            <w:tcBorders>
              <w:top w:val="nil"/>
              <w:bottom w:val="nil"/>
            </w:tcBorders>
            <w:shd w:val="clear" w:color="auto" w:fill="FFFFFF"/>
            <w:tcMar>
              <w:top w:w="110" w:type="dxa"/>
            </w:tcMar>
          </w:tcPr>
          <w:p w:rsidR="00CA722C" w:rsidRDefault="00CA722C" w:rsidP="00F11DB9">
            <w:pPr>
              <w:keepNext/>
              <w:keepLines/>
              <w:rPr>
                <w:rFonts w:cs="Arial"/>
                <w:sz w:val="16"/>
                <w:szCs w:val="16"/>
              </w:rPr>
            </w:pPr>
          </w:p>
          <w:p w:rsidR="00CA722C" w:rsidRPr="0068151C" w:rsidRDefault="00CA722C" w:rsidP="00F11DB9">
            <w:pPr>
              <w:keepNext/>
              <w:keepLines/>
              <w:rPr>
                <w:rFonts w:cs="Arial"/>
                <w:sz w:val="16"/>
                <w:szCs w:val="16"/>
              </w:rPr>
            </w:pPr>
            <w:r>
              <w:rPr>
                <w:rFonts w:cs="Arial"/>
                <w:sz w:val="16"/>
                <w:szCs w:val="16"/>
              </w:rPr>
              <w:t xml:space="preserve">24,500,000 </w:t>
            </w:r>
            <w:r>
              <w:rPr>
                <w:rFonts w:cs="Arial"/>
                <w:sz w:val="16"/>
                <w:szCs w:val="16"/>
                <w:lang w:bidi="th-TH"/>
              </w:rPr>
              <w:t>(cumulative)</w:t>
            </w:r>
          </w:p>
        </w:tc>
        <w:tc>
          <w:tcPr>
            <w:tcW w:w="525" w:type="pct"/>
            <w:tcBorders>
              <w:top w:val="nil"/>
              <w:bottom w:val="nil"/>
              <w:right w:val="single" w:sz="4" w:space="0" w:color="auto"/>
            </w:tcBorders>
            <w:shd w:val="clear" w:color="auto" w:fill="auto"/>
            <w:tcMar>
              <w:top w:w="110" w:type="dxa"/>
            </w:tcMar>
          </w:tcPr>
          <w:p w:rsidR="00CA722C" w:rsidRPr="00BA6F3B" w:rsidRDefault="00CA722C" w:rsidP="00F11DB9">
            <w:pPr>
              <w:keepNext/>
              <w:keepLines/>
              <w:jc w:val="center"/>
              <w:rPr>
                <w:rStyle w:val="Style5"/>
                <w:rFonts w:ascii="Arial" w:hAnsi="Arial" w:cs="Arial"/>
                <w:b/>
                <w:color w:val="00B050"/>
                <w:sz w:val="16"/>
              </w:rPr>
            </w:pPr>
            <w:r w:rsidRPr="00BA6F3B">
              <w:rPr>
                <w:rStyle w:val="Style5"/>
                <w:rFonts w:ascii="Arial" w:hAnsi="Arial" w:cs="Arial"/>
                <w:b/>
                <w:color w:val="00B050"/>
                <w:sz w:val="16"/>
              </w:rPr>
              <w:t xml:space="preserve">Fully </w:t>
            </w:r>
            <w:r w:rsidR="003927FD" w:rsidRPr="00BA6F3B">
              <w:rPr>
                <w:rStyle w:val="Style5"/>
                <w:rFonts w:ascii="Arial" w:hAnsi="Arial" w:cs="Arial"/>
                <w:b/>
                <w:color w:val="00B050"/>
                <w:sz w:val="16"/>
              </w:rPr>
              <w:t>A</w:t>
            </w:r>
            <w:r w:rsidRPr="00BA6F3B">
              <w:rPr>
                <w:rStyle w:val="Style5"/>
                <w:rFonts w:ascii="Arial" w:hAnsi="Arial" w:cs="Arial"/>
                <w:b/>
                <w:color w:val="00B050"/>
                <w:sz w:val="16"/>
              </w:rPr>
              <w:t>chieved</w:t>
            </w:r>
          </w:p>
        </w:tc>
      </w:tr>
      <w:tr w:rsidR="00CA722C" w:rsidRPr="0068151C" w:rsidTr="00F11DB9">
        <w:trPr>
          <w:cantSplit/>
        </w:trPr>
        <w:tc>
          <w:tcPr>
            <w:tcW w:w="1199" w:type="pct"/>
            <w:tcBorders>
              <w:top w:val="nil"/>
              <w:left w:val="single" w:sz="4" w:space="0" w:color="auto"/>
              <w:bottom w:val="nil"/>
            </w:tcBorders>
            <w:shd w:val="clear" w:color="auto" w:fill="auto"/>
          </w:tcPr>
          <w:p w:rsidR="00CA722C" w:rsidRPr="0068151C" w:rsidRDefault="00CA722C" w:rsidP="00F11DB9">
            <w:pPr>
              <w:keepNext/>
              <w:keepLines/>
              <w:rPr>
                <w:rFonts w:cs="Arial"/>
                <w:sz w:val="16"/>
                <w:szCs w:val="16"/>
              </w:rPr>
            </w:pPr>
            <w:r w:rsidRPr="00AB5AF1">
              <w:rPr>
                <w:rFonts w:cs="Arial"/>
                <w:sz w:val="16"/>
                <w:szCs w:val="16"/>
              </w:rPr>
              <w:t>No. of national</w:t>
            </w:r>
            <w:r>
              <w:rPr>
                <w:rFonts w:cs="Arial"/>
                <w:sz w:val="16"/>
                <w:szCs w:val="16"/>
              </w:rPr>
              <w:t>/regional</w:t>
            </w:r>
            <w:r w:rsidRPr="00AB5AF1">
              <w:rPr>
                <w:rFonts w:cs="Arial"/>
                <w:sz w:val="16"/>
                <w:szCs w:val="16"/>
              </w:rPr>
              <w:t xml:space="preserve"> collections in PATENTSCOPE</w:t>
            </w:r>
          </w:p>
        </w:tc>
        <w:tc>
          <w:tcPr>
            <w:tcW w:w="1277" w:type="pct"/>
            <w:tcBorders>
              <w:top w:val="nil"/>
              <w:bottom w:val="nil"/>
            </w:tcBorders>
            <w:shd w:val="clear" w:color="auto" w:fill="auto"/>
          </w:tcPr>
          <w:p w:rsidR="00CA722C" w:rsidRPr="00F03901" w:rsidRDefault="00CA722C" w:rsidP="00F11DB9">
            <w:pPr>
              <w:keepNext/>
              <w:keepLines/>
              <w:rPr>
                <w:rFonts w:cs="Arial"/>
                <w:i/>
                <w:color w:val="002060"/>
                <w:sz w:val="16"/>
                <w:szCs w:val="16"/>
              </w:rPr>
            </w:pPr>
            <w:r w:rsidRPr="0068151C">
              <w:rPr>
                <w:rFonts w:cs="Arial"/>
                <w:i/>
                <w:color w:val="002060"/>
                <w:sz w:val="16"/>
                <w:szCs w:val="16"/>
              </w:rPr>
              <w:t xml:space="preserve">Updated Baseline </w:t>
            </w:r>
            <w:r>
              <w:rPr>
                <w:rFonts w:cs="Arial"/>
                <w:i/>
                <w:color w:val="002060"/>
                <w:sz w:val="16"/>
                <w:szCs w:val="16"/>
              </w:rPr>
              <w:br/>
              <w:t>end 2013</w:t>
            </w:r>
            <w:r w:rsidRPr="0068151C">
              <w:rPr>
                <w:rFonts w:cs="Arial"/>
                <w:i/>
                <w:color w:val="002060"/>
                <w:sz w:val="16"/>
                <w:szCs w:val="16"/>
              </w:rPr>
              <w:t>:</w:t>
            </w:r>
            <w:r w:rsidRPr="0068151C">
              <w:rPr>
                <w:rFonts w:cs="Arial"/>
                <w:color w:val="002060"/>
                <w:sz w:val="16"/>
                <w:szCs w:val="16"/>
                <w:lang w:bidi="th-TH"/>
              </w:rPr>
              <w:t xml:space="preserve">  </w:t>
            </w:r>
            <w:r w:rsidRPr="00AB5AF1">
              <w:rPr>
                <w:rFonts w:cs="Arial"/>
                <w:color w:val="002060"/>
                <w:sz w:val="16"/>
                <w:szCs w:val="16"/>
                <w:lang w:bidi="th-TH"/>
              </w:rPr>
              <w:t>3</w:t>
            </w:r>
            <w:r>
              <w:rPr>
                <w:rFonts w:cs="Arial"/>
                <w:color w:val="002060"/>
                <w:sz w:val="16"/>
                <w:szCs w:val="16"/>
                <w:lang w:bidi="th-TH"/>
              </w:rPr>
              <w:t>6 (cumulative)</w:t>
            </w:r>
          </w:p>
          <w:p w:rsidR="00CA722C" w:rsidRPr="00A25763" w:rsidRDefault="00CA722C" w:rsidP="00F11DB9">
            <w:pPr>
              <w:keepNext/>
              <w:keepLines/>
              <w:rPr>
                <w:rFonts w:cs="Arial"/>
                <w:i/>
                <w:sz w:val="8"/>
                <w:szCs w:val="8"/>
                <w:lang w:bidi="th-TH"/>
              </w:rPr>
            </w:pPr>
          </w:p>
          <w:p w:rsidR="00CA722C" w:rsidRPr="0068151C" w:rsidRDefault="00CA722C" w:rsidP="00F11DB9">
            <w:pPr>
              <w:keepNext/>
              <w:keepLines/>
              <w:rPr>
                <w:rFonts w:cs="Arial"/>
                <w:sz w:val="16"/>
                <w:szCs w:val="16"/>
                <w:lang w:bidi="th-TH"/>
              </w:rPr>
            </w:pPr>
            <w:r w:rsidRPr="0068151C">
              <w:rPr>
                <w:rFonts w:cs="Arial"/>
                <w:i/>
                <w:sz w:val="16"/>
                <w:szCs w:val="16"/>
                <w:lang w:bidi="th-TH"/>
              </w:rPr>
              <w:t>Original Baseline</w:t>
            </w:r>
          </w:p>
          <w:p w:rsidR="00CA722C" w:rsidRPr="0068151C" w:rsidRDefault="00CA722C" w:rsidP="00F11DB9">
            <w:pPr>
              <w:keepNext/>
              <w:keepLines/>
              <w:rPr>
                <w:rFonts w:cs="Arial"/>
                <w:sz w:val="16"/>
                <w:szCs w:val="16"/>
              </w:rPr>
            </w:pPr>
            <w:r>
              <w:rPr>
                <w:rFonts w:cs="Arial"/>
                <w:i/>
                <w:sz w:val="16"/>
                <w:szCs w:val="16"/>
              </w:rPr>
              <w:t>P&amp;B 20124/15</w:t>
            </w:r>
            <w:r w:rsidRPr="0068151C">
              <w:rPr>
                <w:rFonts w:cs="Arial"/>
                <w:i/>
                <w:sz w:val="16"/>
                <w:szCs w:val="16"/>
              </w:rPr>
              <w:t>:</w:t>
            </w:r>
            <w:r>
              <w:rPr>
                <w:rFonts w:cs="Arial"/>
                <w:i/>
                <w:sz w:val="16"/>
                <w:szCs w:val="16"/>
              </w:rPr>
              <w:t xml:space="preserve"> </w:t>
            </w:r>
            <w:r w:rsidRPr="00AB5AF1">
              <w:rPr>
                <w:rFonts w:cs="Arial"/>
                <w:i/>
                <w:sz w:val="16"/>
                <w:szCs w:val="16"/>
              </w:rPr>
              <w:t>27 (Feb 2013)</w:t>
            </w:r>
          </w:p>
          <w:p w:rsidR="00CA722C" w:rsidRPr="0068151C" w:rsidRDefault="00CA722C" w:rsidP="00F11DB9">
            <w:pPr>
              <w:keepNext/>
              <w:keepLines/>
              <w:ind w:left="1" w:hanging="1"/>
              <w:rPr>
                <w:rFonts w:cs="Arial"/>
                <w:sz w:val="16"/>
                <w:szCs w:val="16"/>
              </w:rPr>
            </w:pPr>
          </w:p>
        </w:tc>
        <w:tc>
          <w:tcPr>
            <w:tcW w:w="751" w:type="pct"/>
            <w:tcBorders>
              <w:top w:val="nil"/>
              <w:bottom w:val="nil"/>
            </w:tcBorders>
            <w:shd w:val="clear" w:color="auto" w:fill="auto"/>
            <w:tcMar>
              <w:top w:w="110" w:type="dxa"/>
            </w:tcMar>
          </w:tcPr>
          <w:p w:rsidR="00CA722C" w:rsidRPr="0068151C" w:rsidRDefault="00CA722C" w:rsidP="00F11DB9">
            <w:pPr>
              <w:keepNext/>
              <w:keepLines/>
              <w:rPr>
                <w:rFonts w:cs="Arial"/>
                <w:sz w:val="16"/>
                <w:szCs w:val="16"/>
                <w:lang w:bidi="th-TH"/>
              </w:rPr>
            </w:pPr>
            <w:r>
              <w:rPr>
                <w:rFonts w:cs="Arial"/>
                <w:sz w:val="16"/>
                <w:szCs w:val="16"/>
              </w:rPr>
              <w:t>35</w:t>
            </w:r>
          </w:p>
        </w:tc>
        <w:tc>
          <w:tcPr>
            <w:tcW w:w="1248" w:type="pct"/>
            <w:gridSpan w:val="2"/>
            <w:tcBorders>
              <w:top w:val="nil"/>
              <w:bottom w:val="nil"/>
            </w:tcBorders>
            <w:shd w:val="clear" w:color="auto" w:fill="FFFFFF"/>
            <w:tcMar>
              <w:top w:w="110" w:type="dxa"/>
            </w:tcMar>
          </w:tcPr>
          <w:p w:rsidR="00CA722C" w:rsidRPr="0068151C" w:rsidRDefault="00CA722C" w:rsidP="00F11DB9">
            <w:pPr>
              <w:keepNext/>
              <w:keepLines/>
              <w:rPr>
                <w:rFonts w:cs="Arial"/>
                <w:sz w:val="16"/>
                <w:szCs w:val="16"/>
              </w:rPr>
            </w:pPr>
            <w:r>
              <w:rPr>
                <w:rFonts w:cs="Arial"/>
                <w:sz w:val="16"/>
                <w:szCs w:val="16"/>
              </w:rPr>
              <w:t>43 (cumulative)</w:t>
            </w:r>
          </w:p>
        </w:tc>
        <w:tc>
          <w:tcPr>
            <w:tcW w:w="525" w:type="pct"/>
            <w:tcBorders>
              <w:top w:val="nil"/>
              <w:bottom w:val="nil"/>
              <w:right w:val="single" w:sz="4" w:space="0" w:color="auto"/>
            </w:tcBorders>
            <w:shd w:val="clear" w:color="auto" w:fill="auto"/>
            <w:tcMar>
              <w:top w:w="110" w:type="dxa"/>
            </w:tcMar>
          </w:tcPr>
          <w:p w:rsidR="00CA722C" w:rsidRPr="00BA6F3B" w:rsidRDefault="00CA722C" w:rsidP="00F11DB9">
            <w:pPr>
              <w:keepNext/>
              <w:keepLines/>
              <w:jc w:val="center"/>
              <w:rPr>
                <w:rStyle w:val="Style5"/>
                <w:rFonts w:ascii="Arial" w:hAnsi="Arial" w:cs="Arial"/>
                <w:b/>
                <w:color w:val="00B050"/>
                <w:sz w:val="16"/>
              </w:rPr>
            </w:pPr>
            <w:r w:rsidRPr="00BA6F3B">
              <w:rPr>
                <w:rStyle w:val="Style5"/>
                <w:rFonts w:ascii="Arial" w:hAnsi="Arial" w:cs="Arial"/>
                <w:b/>
                <w:color w:val="00B050"/>
                <w:sz w:val="16"/>
              </w:rPr>
              <w:t xml:space="preserve">Fully </w:t>
            </w:r>
            <w:r w:rsidR="003927FD" w:rsidRPr="00BA6F3B">
              <w:rPr>
                <w:rStyle w:val="Style5"/>
                <w:rFonts w:ascii="Arial" w:hAnsi="Arial" w:cs="Arial"/>
                <w:b/>
                <w:color w:val="00B050"/>
                <w:sz w:val="16"/>
              </w:rPr>
              <w:t>A</w:t>
            </w:r>
            <w:r w:rsidRPr="00BA6F3B">
              <w:rPr>
                <w:rStyle w:val="Style5"/>
                <w:rFonts w:ascii="Arial" w:hAnsi="Arial" w:cs="Arial"/>
                <w:b/>
                <w:color w:val="00B050"/>
                <w:sz w:val="16"/>
              </w:rPr>
              <w:t>chieved</w:t>
            </w:r>
          </w:p>
        </w:tc>
      </w:tr>
      <w:tr w:rsidR="00CA722C" w:rsidRPr="0068151C" w:rsidTr="00F11DB9">
        <w:trPr>
          <w:cantSplit/>
        </w:trPr>
        <w:tc>
          <w:tcPr>
            <w:tcW w:w="1199" w:type="pct"/>
            <w:tcBorders>
              <w:top w:val="nil"/>
              <w:left w:val="single" w:sz="4" w:space="0" w:color="auto"/>
              <w:bottom w:val="single" w:sz="4" w:space="0" w:color="auto"/>
            </w:tcBorders>
            <w:shd w:val="clear" w:color="auto" w:fill="auto"/>
          </w:tcPr>
          <w:p w:rsidR="00CA722C" w:rsidRPr="00AB5AF1" w:rsidRDefault="00CA722C" w:rsidP="00F11DB9">
            <w:pPr>
              <w:keepNext/>
              <w:keepLines/>
              <w:rPr>
                <w:rFonts w:cs="Arial"/>
                <w:sz w:val="16"/>
                <w:szCs w:val="16"/>
              </w:rPr>
            </w:pPr>
            <w:r w:rsidRPr="00AB5AF1">
              <w:rPr>
                <w:rFonts w:cs="Arial"/>
                <w:sz w:val="16"/>
                <w:szCs w:val="16"/>
              </w:rPr>
              <w:t>No. of national</w:t>
            </w:r>
            <w:r>
              <w:rPr>
                <w:rFonts w:cs="Arial"/>
                <w:sz w:val="16"/>
                <w:szCs w:val="16"/>
              </w:rPr>
              <w:t>/regional</w:t>
            </w:r>
            <w:r w:rsidRPr="00AB5AF1">
              <w:rPr>
                <w:rFonts w:cs="Arial"/>
                <w:sz w:val="16"/>
                <w:szCs w:val="16"/>
              </w:rPr>
              <w:t xml:space="preserve"> collections in Global Brand Database</w:t>
            </w:r>
          </w:p>
        </w:tc>
        <w:tc>
          <w:tcPr>
            <w:tcW w:w="1277" w:type="pct"/>
            <w:tcBorders>
              <w:top w:val="nil"/>
              <w:bottom w:val="single" w:sz="4" w:space="0" w:color="auto"/>
            </w:tcBorders>
            <w:shd w:val="clear" w:color="auto" w:fill="auto"/>
          </w:tcPr>
          <w:p w:rsidR="00CA722C" w:rsidRPr="00F03901" w:rsidRDefault="00CA722C" w:rsidP="00F11DB9">
            <w:pPr>
              <w:keepNext/>
              <w:keepLines/>
              <w:rPr>
                <w:rFonts w:cs="Arial"/>
                <w:i/>
                <w:color w:val="002060"/>
                <w:sz w:val="16"/>
                <w:szCs w:val="16"/>
              </w:rPr>
            </w:pPr>
            <w:r w:rsidRPr="0068151C">
              <w:rPr>
                <w:rFonts w:cs="Arial"/>
                <w:i/>
                <w:color w:val="002060"/>
                <w:sz w:val="16"/>
                <w:szCs w:val="16"/>
              </w:rPr>
              <w:t xml:space="preserve">Updated Baseline </w:t>
            </w:r>
            <w:r>
              <w:rPr>
                <w:rFonts w:cs="Arial"/>
                <w:i/>
                <w:color w:val="002060"/>
                <w:sz w:val="16"/>
                <w:szCs w:val="16"/>
              </w:rPr>
              <w:br/>
              <w:t>end 2013</w:t>
            </w:r>
            <w:r w:rsidRPr="0068151C">
              <w:rPr>
                <w:rFonts w:cs="Arial"/>
                <w:i/>
                <w:color w:val="002060"/>
                <w:sz w:val="16"/>
                <w:szCs w:val="16"/>
              </w:rPr>
              <w:t>:</w:t>
            </w:r>
            <w:r w:rsidRPr="0068151C">
              <w:rPr>
                <w:rFonts w:cs="Arial"/>
                <w:color w:val="002060"/>
                <w:sz w:val="16"/>
                <w:szCs w:val="16"/>
                <w:lang w:bidi="th-TH"/>
              </w:rPr>
              <w:t xml:space="preserve">  </w:t>
            </w:r>
            <w:r>
              <w:rPr>
                <w:rFonts w:cs="Arial"/>
                <w:color w:val="002060"/>
                <w:sz w:val="16"/>
                <w:szCs w:val="16"/>
                <w:lang w:bidi="th-TH"/>
              </w:rPr>
              <w:t>12</w:t>
            </w:r>
          </w:p>
          <w:p w:rsidR="00CA722C" w:rsidRPr="00A25763" w:rsidRDefault="00CA722C" w:rsidP="00F11DB9">
            <w:pPr>
              <w:keepNext/>
              <w:keepLines/>
              <w:rPr>
                <w:rFonts w:cs="Arial"/>
                <w:i/>
                <w:sz w:val="8"/>
                <w:szCs w:val="8"/>
                <w:lang w:bidi="th-TH"/>
              </w:rPr>
            </w:pPr>
          </w:p>
          <w:p w:rsidR="00CA722C" w:rsidRPr="0068151C" w:rsidRDefault="00CA722C" w:rsidP="00F11DB9">
            <w:pPr>
              <w:keepNext/>
              <w:keepLines/>
              <w:rPr>
                <w:rFonts w:cs="Arial"/>
                <w:sz w:val="16"/>
                <w:szCs w:val="16"/>
                <w:lang w:bidi="th-TH"/>
              </w:rPr>
            </w:pPr>
            <w:r w:rsidRPr="0068151C">
              <w:rPr>
                <w:rFonts w:cs="Arial"/>
                <w:i/>
                <w:sz w:val="16"/>
                <w:szCs w:val="16"/>
                <w:lang w:bidi="th-TH"/>
              </w:rPr>
              <w:t>Original Baseline</w:t>
            </w:r>
          </w:p>
          <w:p w:rsidR="00CA722C" w:rsidRPr="0068151C" w:rsidRDefault="00CA722C" w:rsidP="00F11DB9">
            <w:pPr>
              <w:keepNext/>
              <w:keepLines/>
              <w:rPr>
                <w:rFonts w:cs="Arial"/>
                <w:i/>
                <w:color w:val="002060"/>
                <w:sz w:val="16"/>
                <w:szCs w:val="16"/>
              </w:rPr>
            </w:pPr>
            <w:r>
              <w:rPr>
                <w:rFonts w:cs="Arial"/>
                <w:i/>
                <w:sz w:val="16"/>
                <w:szCs w:val="16"/>
              </w:rPr>
              <w:t>P&amp;B 20124/15</w:t>
            </w:r>
            <w:r w:rsidRPr="0068151C">
              <w:rPr>
                <w:rFonts w:cs="Arial"/>
                <w:i/>
                <w:sz w:val="16"/>
                <w:szCs w:val="16"/>
              </w:rPr>
              <w:t>:</w:t>
            </w:r>
            <w:r>
              <w:rPr>
                <w:rFonts w:cs="Arial"/>
                <w:i/>
                <w:sz w:val="16"/>
                <w:szCs w:val="16"/>
              </w:rPr>
              <w:t xml:space="preserve"> </w:t>
            </w:r>
            <w:r w:rsidRPr="00AB5AF1">
              <w:rPr>
                <w:rFonts w:cs="Arial"/>
                <w:i/>
                <w:sz w:val="16"/>
                <w:szCs w:val="16"/>
              </w:rPr>
              <w:t>9</w:t>
            </w:r>
            <w:r>
              <w:rPr>
                <w:rFonts w:cs="Arial"/>
                <w:i/>
                <w:sz w:val="16"/>
                <w:szCs w:val="16"/>
              </w:rPr>
              <w:t xml:space="preserve"> </w:t>
            </w:r>
            <w:r w:rsidRPr="00AB5AF1">
              <w:rPr>
                <w:rFonts w:cs="Arial"/>
                <w:i/>
                <w:sz w:val="16"/>
                <w:szCs w:val="16"/>
              </w:rPr>
              <w:t>(Feb 2013)</w:t>
            </w:r>
          </w:p>
        </w:tc>
        <w:tc>
          <w:tcPr>
            <w:tcW w:w="751" w:type="pct"/>
            <w:tcBorders>
              <w:top w:val="nil"/>
              <w:bottom w:val="single" w:sz="4" w:space="0" w:color="auto"/>
            </w:tcBorders>
            <w:shd w:val="clear" w:color="auto" w:fill="auto"/>
            <w:tcMar>
              <w:top w:w="110" w:type="dxa"/>
            </w:tcMar>
          </w:tcPr>
          <w:p w:rsidR="00CA722C" w:rsidRDefault="00CA722C" w:rsidP="00F11DB9">
            <w:pPr>
              <w:keepNext/>
              <w:keepLines/>
              <w:rPr>
                <w:rFonts w:cs="Arial"/>
                <w:sz w:val="16"/>
                <w:szCs w:val="16"/>
              </w:rPr>
            </w:pPr>
            <w:r>
              <w:rPr>
                <w:rFonts w:cs="Arial"/>
                <w:sz w:val="16"/>
                <w:szCs w:val="16"/>
              </w:rPr>
              <w:t>18</w:t>
            </w:r>
          </w:p>
        </w:tc>
        <w:tc>
          <w:tcPr>
            <w:tcW w:w="1248" w:type="pct"/>
            <w:gridSpan w:val="2"/>
            <w:tcBorders>
              <w:top w:val="nil"/>
              <w:bottom w:val="single" w:sz="4" w:space="0" w:color="auto"/>
            </w:tcBorders>
            <w:shd w:val="clear" w:color="auto" w:fill="FFFFFF"/>
            <w:tcMar>
              <w:top w:w="110" w:type="dxa"/>
            </w:tcMar>
          </w:tcPr>
          <w:p w:rsidR="00CA722C" w:rsidRDefault="00CA722C" w:rsidP="00F11DB9">
            <w:pPr>
              <w:keepNext/>
              <w:keepLines/>
              <w:rPr>
                <w:rFonts w:cs="Arial"/>
                <w:sz w:val="16"/>
                <w:szCs w:val="16"/>
                <w:lang w:bidi="th-TH"/>
              </w:rPr>
            </w:pPr>
            <w:r>
              <w:rPr>
                <w:rFonts w:cs="Arial"/>
                <w:sz w:val="16"/>
                <w:szCs w:val="16"/>
                <w:lang w:bidi="th-TH"/>
              </w:rPr>
              <w:t>26 (cumulative)</w:t>
            </w:r>
          </w:p>
        </w:tc>
        <w:tc>
          <w:tcPr>
            <w:tcW w:w="525" w:type="pct"/>
            <w:tcBorders>
              <w:top w:val="nil"/>
              <w:bottom w:val="single" w:sz="4" w:space="0" w:color="auto"/>
              <w:right w:val="single" w:sz="4" w:space="0" w:color="auto"/>
            </w:tcBorders>
            <w:shd w:val="clear" w:color="auto" w:fill="auto"/>
            <w:tcMar>
              <w:top w:w="110" w:type="dxa"/>
            </w:tcMar>
          </w:tcPr>
          <w:p w:rsidR="00CA722C" w:rsidRPr="00BA6F3B" w:rsidRDefault="00CA722C" w:rsidP="00F11DB9">
            <w:pPr>
              <w:keepNext/>
              <w:keepLines/>
              <w:jc w:val="center"/>
              <w:rPr>
                <w:rStyle w:val="Style5"/>
                <w:rFonts w:ascii="Arial" w:hAnsi="Arial" w:cs="Arial"/>
                <w:b/>
                <w:color w:val="00B050"/>
                <w:sz w:val="16"/>
                <w:szCs w:val="16"/>
              </w:rPr>
            </w:pPr>
            <w:r w:rsidRPr="00BA6F3B">
              <w:rPr>
                <w:rStyle w:val="Style5"/>
                <w:rFonts w:ascii="Arial" w:hAnsi="Arial" w:cs="Arial"/>
                <w:b/>
                <w:color w:val="00B050"/>
                <w:sz w:val="16"/>
                <w:szCs w:val="16"/>
              </w:rPr>
              <w:t xml:space="preserve">Fully </w:t>
            </w:r>
            <w:r w:rsidR="003927FD" w:rsidRPr="00BA6F3B">
              <w:rPr>
                <w:rStyle w:val="Style5"/>
                <w:rFonts w:ascii="Arial" w:hAnsi="Arial" w:cs="Arial"/>
                <w:b/>
                <w:color w:val="00B050"/>
                <w:sz w:val="16"/>
                <w:szCs w:val="16"/>
              </w:rPr>
              <w:t>A</w:t>
            </w:r>
            <w:r w:rsidRPr="00BA6F3B">
              <w:rPr>
                <w:rStyle w:val="Style5"/>
                <w:rFonts w:ascii="Arial" w:hAnsi="Arial" w:cs="Arial"/>
                <w:b/>
                <w:color w:val="00B050"/>
                <w:sz w:val="16"/>
                <w:szCs w:val="16"/>
              </w:rPr>
              <w:t>chieved</w:t>
            </w:r>
          </w:p>
        </w:tc>
      </w:tr>
    </w:tbl>
    <w:p w:rsidR="00CA722C" w:rsidRPr="00801FF2" w:rsidRDefault="00CA722C" w:rsidP="00F11DB9">
      <w:pPr>
        <w:rPr>
          <w:bCs/>
          <w:sz w:val="22"/>
          <w:szCs w:val="22"/>
        </w:rPr>
      </w:pPr>
    </w:p>
    <w:p w:rsidR="00CA722C" w:rsidRDefault="00CA722C" w:rsidP="00F11DB9">
      <w:pPr>
        <w:rPr>
          <w:rFonts w:cs="Arial"/>
          <w:color w:val="000000"/>
          <w:sz w:val="22"/>
          <w:szCs w:val="22"/>
        </w:rPr>
      </w:pPr>
    </w:p>
    <w:p w:rsidR="00CA722C" w:rsidRDefault="00CA722C" w:rsidP="00F11DB9">
      <w:pPr>
        <w:keepNext/>
        <w:keepLines/>
        <w:rPr>
          <w:rFonts w:cs="Arial"/>
          <w:color w:val="000000"/>
          <w:sz w:val="22"/>
          <w:szCs w:val="22"/>
        </w:rPr>
      </w:pPr>
      <w:r>
        <w:rPr>
          <w:rFonts w:cs="Arial"/>
          <w:color w:val="000000"/>
          <w:sz w:val="22"/>
          <w:szCs w:val="22"/>
        </w:rPr>
        <w:lastRenderedPageBreak/>
        <w:t>RISK REPORTING FOR THE BIENNIUM</w:t>
      </w:r>
    </w:p>
    <w:p w:rsidR="00CA722C" w:rsidRDefault="00CA722C" w:rsidP="00F11DB9">
      <w:pPr>
        <w:keepNext/>
        <w:keepLines/>
      </w:pPr>
    </w:p>
    <w:tbl>
      <w:tblPr>
        <w:tblW w:w="0" w:type="auto"/>
        <w:jc w:val="center"/>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2420"/>
        <w:gridCol w:w="2200"/>
        <w:gridCol w:w="2473"/>
        <w:gridCol w:w="2321"/>
      </w:tblGrid>
      <w:tr w:rsidR="00CA722C" w:rsidRPr="003C527B" w:rsidTr="00F11DB9">
        <w:trPr>
          <w:trHeight w:val="638"/>
          <w:jc w:val="center"/>
        </w:trPr>
        <w:tc>
          <w:tcPr>
            <w:tcW w:w="2420" w:type="dxa"/>
            <w:tcBorders>
              <w:top w:val="single" w:sz="4" w:space="0" w:color="auto"/>
              <w:bottom w:val="single" w:sz="4" w:space="0" w:color="auto"/>
            </w:tcBorders>
            <w:shd w:val="clear" w:color="auto" w:fill="C6D9F1" w:themeFill="text2" w:themeFillTint="33"/>
            <w:vAlign w:val="center"/>
          </w:tcPr>
          <w:p w:rsidR="00CA722C" w:rsidRPr="003C527B" w:rsidRDefault="00CA722C" w:rsidP="00F11DB9">
            <w:pPr>
              <w:keepNext/>
              <w:keepLines/>
              <w:autoSpaceDE w:val="0"/>
              <w:autoSpaceDN w:val="0"/>
              <w:adjustRightInd w:val="0"/>
              <w:ind w:right="-59"/>
              <w:jc w:val="center"/>
              <w:rPr>
                <w:b/>
                <w:bCs/>
                <w:iCs/>
                <w:sz w:val="18"/>
                <w:szCs w:val="18"/>
              </w:rPr>
            </w:pPr>
            <w:r w:rsidRPr="003C527B">
              <w:rPr>
                <w:b/>
                <w:bCs/>
                <w:iCs/>
                <w:sz w:val="18"/>
                <w:szCs w:val="18"/>
              </w:rPr>
              <w:t>Risk(s) to the Program achieving its Results</w:t>
            </w:r>
          </w:p>
        </w:tc>
        <w:tc>
          <w:tcPr>
            <w:tcW w:w="2200" w:type="dxa"/>
            <w:tcBorders>
              <w:top w:val="single" w:sz="4" w:space="0" w:color="auto"/>
              <w:bottom w:val="single" w:sz="4" w:space="0" w:color="auto"/>
            </w:tcBorders>
            <w:shd w:val="clear" w:color="auto" w:fill="C6D9F1" w:themeFill="text2" w:themeFillTint="33"/>
            <w:vAlign w:val="center"/>
          </w:tcPr>
          <w:p w:rsidR="00CA722C" w:rsidRPr="003C527B" w:rsidRDefault="00CA722C" w:rsidP="00F11DB9">
            <w:pPr>
              <w:keepNext/>
              <w:keepLines/>
              <w:autoSpaceDE w:val="0"/>
              <w:autoSpaceDN w:val="0"/>
              <w:adjustRightInd w:val="0"/>
              <w:ind w:right="-59"/>
              <w:jc w:val="center"/>
              <w:rPr>
                <w:b/>
                <w:bCs/>
                <w:iCs/>
                <w:sz w:val="18"/>
                <w:szCs w:val="18"/>
              </w:rPr>
            </w:pPr>
            <w:r w:rsidRPr="003C527B">
              <w:rPr>
                <w:b/>
                <w:bCs/>
                <w:iCs/>
                <w:sz w:val="18"/>
                <w:szCs w:val="18"/>
              </w:rPr>
              <w:t>Mitigation plans in place or under implementation</w:t>
            </w:r>
          </w:p>
        </w:tc>
        <w:tc>
          <w:tcPr>
            <w:tcW w:w="2473" w:type="dxa"/>
            <w:tcBorders>
              <w:top w:val="single" w:sz="4" w:space="0" w:color="auto"/>
              <w:bottom w:val="single" w:sz="4" w:space="0" w:color="auto"/>
            </w:tcBorders>
            <w:shd w:val="clear" w:color="auto" w:fill="C6D9F1" w:themeFill="text2" w:themeFillTint="33"/>
          </w:tcPr>
          <w:p w:rsidR="00CA722C" w:rsidRPr="003C527B" w:rsidRDefault="00CA722C" w:rsidP="00F11DB9">
            <w:pPr>
              <w:keepNext/>
              <w:keepLines/>
              <w:jc w:val="center"/>
              <w:rPr>
                <w:b/>
                <w:bCs/>
                <w:sz w:val="18"/>
                <w:szCs w:val="18"/>
              </w:rPr>
            </w:pPr>
            <w:r>
              <w:rPr>
                <w:b/>
                <w:bCs/>
                <w:sz w:val="18"/>
                <w:szCs w:val="18"/>
              </w:rPr>
              <w:t>Evolution of Risk(s) and Mitigation Strategies Over the Biennium</w:t>
            </w:r>
          </w:p>
        </w:tc>
        <w:tc>
          <w:tcPr>
            <w:tcW w:w="2321" w:type="dxa"/>
            <w:tcBorders>
              <w:top w:val="single" w:sz="4" w:space="0" w:color="auto"/>
              <w:bottom w:val="single" w:sz="4" w:space="0" w:color="auto"/>
            </w:tcBorders>
            <w:shd w:val="clear" w:color="auto" w:fill="C6D9F1" w:themeFill="text2" w:themeFillTint="33"/>
          </w:tcPr>
          <w:p w:rsidR="00CA722C" w:rsidRPr="003C527B" w:rsidRDefault="00CA722C" w:rsidP="00F11DB9">
            <w:pPr>
              <w:keepNext/>
              <w:keepLines/>
              <w:jc w:val="center"/>
              <w:rPr>
                <w:b/>
                <w:bCs/>
                <w:sz w:val="18"/>
                <w:szCs w:val="18"/>
              </w:rPr>
            </w:pPr>
            <w:r>
              <w:rPr>
                <w:b/>
                <w:bCs/>
                <w:sz w:val="18"/>
                <w:szCs w:val="18"/>
              </w:rPr>
              <w:t>Impact on the Program’s Performance</w:t>
            </w:r>
          </w:p>
        </w:tc>
      </w:tr>
      <w:tr w:rsidR="00CA722C" w:rsidRPr="003C527B" w:rsidTr="00F11DB9">
        <w:trPr>
          <w:trHeight w:val="1779"/>
          <w:jc w:val="center"/>
        </w:trPr>
        <w:tc>
          <w:tcPr>
            <w:tcW w:w="2420" w:type="dxa"/>
            <w:tcBorders>
              <w:top w:val="single" w:sz="4" w:space="0" w:color="auto"/>
            </w:tcBorders>
            <w:shd w:val="clear" w:color="auto" w:fill="auto"/>
            <w:tcMar>
              <w:top w:w="113" w:type="dxa"/>
              <w:bottom w:w="113" w:type="dxa"/>
            </w:tcMar>
          </w:tcPr>
          <w:p w:rsidR="00CA722C" w:rsidRPr="003C527B" w:rsidRDefault="00CA722C" w:rsidP="00F11DB9">
            <w:pPr>
              <w:keepNext/>
              <w:keepLines/>
              <w:rPr>
                <w:sz w:val="16"/>
                <w:szCs w:val="16"/>
              </w:rPr>
            </w:pPr>
            <w:r w:rsidRPr="003C527B">
              <w:rPr>
                <w:sz w:val="16"/>
                <w:szCs w:val="16"/>
              </w:rPr>
              <w:t>Temporary o</w:t>
            </w:r>
            <w:r>
              <w:rPr>
                <w:sz w:val="16"/>
                <w:szCs w:val="16"/>
              </w:rPr>
              <w:t>r</w:t>
            </w:r>
            <w:r w:rsidRPr="003C527B">
              <w:rPr>
                <w:sz w:val="16"/>
                <w:szCs w:val="16"/>
              </w:rPr>
              <w:t xml:space="preserve"> permanent loss of access to Global Databases owing to localized internet service disruption or technical failure at Geneva HQ. </w:t>
            </w:r>
          </w:p>
          <w:p w:rsidR="00CA722C" w:rsidRPr="003C527B" w:rsidRDefault="00CA722C" w:rsidP="00F11DB9">
            <w:pPr>
              <w:keepNext/>
              <w:keepLines/>
              <w:autoSpaceDE w:val="0"/>
              <w:autoSpaceDN w:val="0"/>
              <w:adjustRightInd w:val="0"/>
              <w:ind w:right="-59"/>
              <w:rPr>
                <w:sz w:val="16"/>
                <w:szCs w:val="16"/>
              </w:rPr>
            </w:pPr>
          </w:p>
        </w:tc>
        <w:tc>
          <w:tcPr>
            <w:tcW w:w="2200" w:type="dxa"/>
            <w:tcBorders>
              <w:top w:val="single" w:sz="4" w:space="0" w:color="auto"/>
            </w:tcBorders>
            <w:shd w:val="clear" w:color="auto" w:fill="auto"/>
            <w:tcMar>
              <w:top w:w="113" w:type="dxa"/>
              <w:bottom w:w="113" w:type="dxa"/>
            </w:tcMar>
          </w:tcPr>
          <w:p w:rsidR="00CA722C" w:rsidRPr="003C527B" w:rsidRDefault="00CA722C" w:rsidP="00F11DB9">
            <w:pPr>
              <w:keepNext/>
              <w:keepLines/>
              <w:rPr>
                <w:sz w:val="16"/>
                <w:szCs w:val="16"/>
              </w:rPr>
            </w:pPr>
            <w:r w:rsidRPr="003C527B">
              <w:rPr>
                <w:sz w:val="16"/>
                <w:szCs w:val="16"/>
              </w:rPr>
              <w:t>Investigate possible locations for data hosting to contain duplicates of the data for disaster recovery and</w:t>
            </w:r>
            <w:r>
              <w:rPr>
                <w:sz w:val="16"/>
                <w:szCs w:val="16"/>
              </w:rPr>
              <w:t xml:space="preserve"> </w:t>
            </w:r>
            <w:r w:rsidRPr="003C527B">
              <w:rPr>
                <w:sz w:val="16"/>
                <w:szCs w:val="16"/>
              </w:rPr>
              <w:t>geodistribution.</w:t>
            </w:r>
            <w:r>
              <w:rPr>
                <w:sz w:val="16"/>
                <w:szCs w:val="16"/>
              </w:rPr>
              <w:t xml:space="preserve">  </w:t>
            </w:r>
            <w:r w:rsidRPr="003C527B">
              <w:rPr>
                <w:sz w:val="16"/>
                <w:szCs w:val="16"/>
              </w:rPr>
              <w:t>Investigate possible mirror sites to maintain access to data, during localized business disruption.</w:t>
            </w:r>
          </w:p>
        </w:tc>
        <w:tc>
          <w:tcPr>
            <w:tcW w:w="2473" w:type="dxa"/>
            <w:tcBorders>
              <w:top w:val="single" w:sz="4" w:space="0" w:color="auto"/>
            </w:tcBorders>
          </w:tcPr>
          <w:p w:rsidR="00CA722C" w:rsidRPr="003C527B" w:rsidRDefault="00CA722C" w:rsidP="00F11DB9">
            <w:pPr>
              <w:keepNext/>
              <w:keepLines/>
              <w:rPr>
                <w:sz w:val="16"/>
                <w:szCs w:val="16"/>
              </w:rPr>
            </w:pPr>
            <w:r>
              <w:rPr>
                <w:sz w:val="16"/>
                <w:szCs w:val="16"/>
              </w:rPr>
              <w:t>The geodistribution of the PATENTSCOPE system was addressed in the biennium with a mirror system in Asia, which provides the security of a remote duplicate and provides better latency for the Asian region, thereby reducing the risk.</w:t>
            </w:r>
          </w:p>
        </w:tc>
        <w:tc>
          <w:tcPr>
            <w:tcW w:w="2321" w:type="dxa"/>
            <w:tcBorders>
              <w:top w:val="single" w:sz="4" w:space="0" w:color="auto"/>
            </w:tcBorders>
          </w:tcPr>
          <w:p w:rsidR="00CA722C" w:rsidRDefault="00CA722C" w:rsidP="00F11DB9">
            <w:pPr>
              <w:autoSpaceDE w:val="0"/>
              <w:autoSpaceDN w:val="0"/>
              <w:adjustRightInd w:val="0"/>
              <w:ind w:right="-59"/>
              <w:rPr>
                <w:sz w:val="16"/>
                <w:szCs w:val="16"/>
                <w:lang w:eastAsia="zh-CN"/>
              </w:rPr>
            </w:pPr>
            <w:r>
              <w:rPr>
                <w:sz w:val="16"/>
                <w:szCs w:val="16"/>
                <w:lang w:eastAsia="zh-CN"/>
              </w:rPr>
              <w:t>This risk and its evolution did not have any material impact on the Program’s performance in 2014/15.</w:t>
            </w:r>
          </w:p>
          <w:p w:rsidR="00CA722C" w:rsidRPr="003C527B" w:rsidRDefault="00CA722C" w:rsidP="00F11DB9">
            <w:pPr>
              <w:keepNext/>
              <w:keepLines/>
              <w:rPr>
                <w:sz w:val="16"/>
                <w:szCs w:val="16"/>
              </w:rPr>
            </w:pPr>
          </w:p>
        </w:tc>
      </w:tr>
    </w:tbl>
    <w:p w:rsidR="00CA722C" w:rsidRPr="00CA722C" w:rsidRDefault="00CA722C" w:rsidP="00F11DB9">
      <w:pPr>
        <w:rPr>
          <w:rFonts w:cs="Arial"/>
          <w:color w:val="000000"/>
          <w:szCs w:val="22"/>
        </w:rPr>
      </w:pPr>
    </w:p>
    <w:p w:rsidR="00CA722C" w:rsidRPr="00CA722C" w:rsidRDefault="00CA722C" w:rsidP="00F11DB9">
      <w:pPr>
        <w:rPr>
          <w:rFonts w:cs="Arial"/>
          <w:color w:val="000000"/>
          <w:szCs w:val="22"/>
        </w:rPr>
      </w:pPr>
    </w:p>
    <w:p w:rsidR="00CA722C" w:rsidRDefault="00CA722C" w:rsidP="00F11DB9">
      <w:pPr>
        <w:rPr>
          <w:b/>
          <w:sz w:val="18"/>
          <w:szCs w:val="18"/>
        </w:rPr>
      </w:pPr>
      <w:r>
        <w:rPr>
          <w:rFonts w:cs="Arial"/>
          <w:color w:val="000000"/>
          <w:sz w:val="22"/>
          <w:szCs w:val="22"/>
        </w:rPr>
        <w:t>RESOURCE UTILIZATION</w:t>
      </w:r>
      <w:r>
        <w:rPr>
          <w:rFonts w:cs="Arial"/>
          <w:color w:val="000000"/>
          <w:sz w:val="22"/>
          <w:szCs w:val="22"/>
        </w:rPr>
        <w:tab/>
      </w:r>
    </w:p>
    <w:p w:rsidR="00CA722C" w:rsidRDefault="00CA722C" w:rsidP="00F11DB9">
      <w:pPr>
        <w:pStyle w:val="NormalWeb"/>
        <w:spacing w:before="0" w:beforeAutospacing="0" w:after="0" w:afterAutospacing="0"/>
        <w:jc w:val="center"/>
        <w:rPr>
          <w:color w:val="000000"/>
          <w:sz w:val="20"/>
          <w:szCs w:val="20"/>
        </w:rPr>
      </w:pPr>
    </w:p>
    <w:p w:rsidR="00CA722C" w:rsidRPr="00383D2D" w:rsidRDefault="00CA722C" w:rsidP="00F11DB9">
      <w:pPr>
        <w:pStyle w:val="NormalWeb"/>
        <w:spacing w:before="0" w:beforeAutospacing="0" w:after="0" w:afterAutospacing="0"/>
        <w:jc w:val="center"/>
        <w:rPr>
          <w:sz w:val="20"/>
          <w:szCs w:val="20"/>
        </w:rPr>
      </w:pPr>
      <w:r w:rsidRPr="00383D2D">
        <w:rPr>
          <w:color w:val="000000"/>
          <w:sz w:val="20"/>
          <w:szCs w:val="20"/>
        </w:rPr>
        <w:t xml:space="preserve">Budget and Actual Expenditure (by result) </w:t>
      </w:r>
    </w:p>
    <w:p w:rsidR="00CA722C" w:rsidRDefault="00CA722C" w:rsidP="00F11DB9">
      <w:pPr>
        <w:pStyle w:val="NormalWeb"/>
        <w:spacing w:before="0" w:beforeAutospacing="0" w:after="0" w:afterAutospacing="0"/>
        <w:jc w:val="center"/>
        <w:rPr>
          <w:i/>
          <w:iCs/>
          <w:color w:val="000000"/>
          <w:sz w:val="20"/>
          <w:szCs w:val="20"/>
        </w:rPr>
      </w:pPr>
      <w:r w:rsidRPr="00383D2D">
        <w:rPr>
          <w:i/>
          <w:iCs/>
          <w:color w:val="000000"/>
          <w:sz w:val="20"/>
          <w:szCs w:val="20"/>
        </w:rPr>
        <w:t>(in thousands of Swiss francs)</w:t>
      </w:r>
    </w:p>
    <w:p w:rsidR="00CA722C" w:rsidRDefault="00CA722C" w:rsidP="00F11DB9">
      <w:pPr>
        <w:jc w:val="center"/>
      </w:pPr>
    </w:p>
    <w:p w:rsidR="00CA722C" w:rsidRDefault="00CA722C" w:rsidP="00F11DB9">
      <w:pPr>
        <w:jc w:val="center"/>
      </w:pPr>
      <w:r w:rsidRPr="005B7C63">
        <w:rPr>
          <w:noProof/>
        </w:rPr>
        <w:drawing>
          <wp:inline distT="0" distB="0" distL="0" distR="0" wp14:anchorId="6809E45E" wp14:editId="5E8AD4B2">
            <wp:extent cx="5295332" cy="1442431"/>
            <wp:effectExtent l="0" t="0" r="635" b="571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5296271" cy="1442687"/>
                    </a:xfrm>
                    <a:prstGeom prst="rect">
                      <a:avLst/>
                    </a:prstGeom>
                    <a:noFill/>
                    <a:ln>
                      <a:noFill/>
                    </a:ln>
                  </pic:spPr>
                </pic:pic>
              </a:graphicData>
            </a:graphic>
          </wp:inline>
        </w:drawing>
      </w:r>
    </w:p>
    <w:p w:rsidR="00CA722C" w:rsidRDefault="00CA722C" w:rsidP="00F11DB9">
      <w:pPr>
        <w:pStyle w:val="NormalWeb"/>
        <w:keepNext/>
        <w:keepLines/>
        <w:spacing w:before="0" w:beforeAutospacing="0" w:after="0" w:afterAutospacing="0"/>
        <w:jc w:val="center"/>
        <w:rPr>
          <w:color w:val="000000"/>
          <w:sz w:val="20"/>
          <w:szCs w:val="20"/>
        </w:rPr>
      </w:pPr>
    </w:p>
    <w:p w:rsidR="00CA722C" w:rsidRPr="00383D2D" w:rsidRDefault="00CA722C" w:rsidP="00F11DB9">
      <w:pPr>
        <w:pStyle w:val="NormalWeb"/>
        <w:keepNext/>
        <w:keepLines/>
        <w:spacing w:before="0" w:beforeAutospacing="0" w:after="0" w:afterAutospacing="0"/>
        <w:jc w:val="center"/>
        <w:rPr>
          <w:sz w:val="20"/>
          <w:szCs w:val="20"/>
        </w:rPr>
      </w:pPr>
      <w:r w:rsidRPr="00383D2D">
        <w:rPr>
          <w:color w:val="000000"/>
          <w:sz w:val="20"/>
          <w:szCs w:val="20"/>
        </w:rPr>
        <w:t xml:space="preserve">Budget and Actual Expenditure (personnel and non-personnel) </w:t>
      </w:r>
    </w:p>
    <w:p w:rsidR="00CA722C" w:rsidRPr="00383D2D" w:rsidRDefault="00CA722C" w:rsidP="00F11DB9">
      <w:pPr>
        <w:pStyle w:val="NormalWeb"/>
        <w:keepNext/>
        <w:keepLines/>
        <w:spacing w:before="0" w:beforeAutospacing="0" w:after="0" w:afterAutospacing="0"/>
        <w:jc w:val="center"/>
        <w:rPr>
          <w:i/>
          <w:iCs/>
          <w:color w:val="000000"/>
          <w:sz w:val="20"/>
          <w:szCs w:val="20"/>
        </w:rPr>
      </w:pPr>
      <w:r w:rsidRPr="00383D2D">
        <w:rPr>
          <w:i/>
          <w:iCs/>
          <w:color w:val="000000"/>
          <w:sz w:val="20"/>
          <w:szCs w:val="20"/>
        </w:rPr>
        <w:t>(in thousands of Swiss francs)</w:t>
      </w:r>
    </w:p>
    <w:p w:rsidR="00CA722C" w:rsidRPr="004312A2" w:rsidRDefault="00CA722C" w:rsidP="00F11DB9">
      <w:pPr>
        <w:keepNext/>
        <w:autoSpaceDE w:val="0"/>
        <w:autoSpaceDN w:val="0"/>
        <w:rPr>
          <w:sz w:val="16"/>
          <w:szCs w:val="16"/>
        </w:rPr>
      </w:pPr>
      <w:r w:rsidRPr="005A6DA1">
        <w:rPr>
          <w:i/>
          <w:sz w:val="16"/>
          <w:szCs w:val="16"/>
        </w:rPr>
        <w:t>.</w:t>
      </w:r>
    </w:p>
    <w:p w:rsidR="00CA722C" w:rsidRPr="004312A2" w:rsidRDefault="00CA722C" w:rsidP="00F11DB9">
      <w:pPr>
        <w:keepNext/>
        <w:autoSpaceDE w:val="0"/>
        <w:autoSpaceDN w:val="0"/>
        <w:jc w:val="center"/>
        <w:rPr>
          <w:sz w:val="16"/>
          <w:szCs w:val="16"/>
        </w:rPr>
      </w:pPr>
      <w:r w:rsidRPr="00BC173B">
        <w:rPr>
          <w:noProof/>
        </w:rPr>
        <w:drawing>
          <wp:inline distT="0" distB="0" distL="0" distR="0" wp14:anchorId="0F0E95BF" wp14:editId="3D937523">
            <wp:extent cx="5295900" cy="995088"/>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9">
                      <a:extLst>
                        <a:ext uri="{28A0092B-C50C-407E-A947-70E740481C1C}">
                          <a14:useLocalDpi xmlns:a14="http://schemas.microsoft.com/office/drawing/2010/main" val="0"/>
                        </a:ext>
                      </a:extLst>
                    </a:blip>
                    <a:srcRect/>
                    <a:stretch>
                      <a:fillRect/>
                    </a:stretch>
                  </pic:blipFill>
                  <pic:spPr bwMode="auto">
                    <a:xfrm>
                      <a:off x="0" y="0"/>
                      <a:ext cx="5324788" cy="1000516"/>
                    </a:xfrm>
                    <a:prstGeom prst="rect">
                      <a:avLst/>
                    </a:prstGeom>
                    <a:noFill/>
                    <a:ln>
                      <a:noFill/>
                    </a:ln>
                  </pic:spPr>
                </pic:pic>
              </a:graphicData>
            </a:graphic>
          </wp:inline>
        </w:drawing>
      </w:r>
    </w:p>
    <w:p w:rsidR="00CA722C" w:rsidRPr="008F4A6D" w:rsidRDefault="00CA722C" w:rsidP="00F11DB9">
      <w:pPr>
        <w:widowControl w:val="0"/>
        <w:autoSpaceDE w:val="0"/>
        <w:autoSpaceDN w:val="0"/>
        <w:adjustRightInd w:val="0"/>
        <w:jc w:val="center"/>
        <w:rPr>
          <w:rFonts w:cs="Arial"/>
          <w:szCs w:val="20"/>
        </w:rPr>
      </w:pPr>
    </w:p>
    <w:p w:rsidR="00CA722C" w:rsidRPr="001C6F4D" w:rsidRDefault="00CA722C" w:rsidP="00F11DB9">
      <w:pPr>
        <w:widowControl w:val="0"/>
        <w:autoSpaceDE w:val="0"/>
        <w:autoSpaceDN w:val="0"/>
        <w:adjustRightInd w:val="0"/>
        <w:rPr>
          <w:rFonts w:cs="Arial"/>
          <w:szCs w:val="20"/>
        </w:rPr>
      </w:pPr>
    </w:p>
    <w:p w:rsidR="00CA722C" w:rsidRPr="00BC173B" w:rsidRDefault="00CA722C" w:rsidP="00F11DB9">
      <w:pPr>
        <w:autoSpaceDE w:val="0"/>
        <w:autoSpaceDN w:val="0"/>
        <w:jc w:val="both"/>
        <w:rPr>
          <w:rFonts w:cs="Arial"/>
          <w:szCs w:val="20"/>
          <w:u w:val="single"/>
          <w:lang w:eastAsia="ko-KR"/>
        </w:rPr>
      </w:pPr>
      <w:r w:rsidRPr="00420F90">
        <w:rPr>
          <w:rFonts w:cs="Arial"/>
          <w:szCs w:val="20"/>
        </w:rPr>
        <w:t>A.</w:t>
      </w:r>
      <w:r w:rsidRPr="00420F90">
        <w:rPr>
          <w:rFonts w:cs="Arial"/>
        </w:rPr>
        <w:tab/>
      </w:r>
      <w:r>
        <w:rPr>
          <w:rFonts w:cs="Arial"/>
          <w:szCs w:val="20"/>
          <w:u w:val="single"/>
          <w:lang w:eastAsia="ko-KR"/>
        </w:rPr>
        <w:t xml:space="preserve">2014/15 Final </w:t>
      </w:r>
      <w:r w:rsidRPr="00420F90">
        <w:rPr>
          <w:rFonts w:cs="Arial"/>
          <w:u w:val="single"/>
        </w:rPr>
        <w:t xml:space="preserve">Budget after Transfers </w:t>
      </w:r>
    </w:p>
    <w:p w:rsidR="00CA722C" w:rsidRDefault="00CA722C" w:rsidP="00F11DB9">
      <w:pPr>
        <w:autoSpaceDE w:val="0"/>
        <w:autoSpaceDN w:val="0"/>
        <w:jc w:val="both"/>
        <w:rPr>
          <w:rFonts w:cs="Arial"/>
          <w:szCs w:val="20"/>
          <w:lang w:eastAsia="ko-KR"/>
        </w:rPr>
      </w:pPr>
    </w:p>
    <w:p w:rsidR="00CA722C" w:rsidRPr="002D4472" w:rsidRDefault="00CA722C" w:rsidP="00CA722C">
      <w:pPr>
        <w:pStyle w:val="ListParagraph"/>
        <w:numPr>
          <w:ilvl w:val="0"/>
          <w:numId w:val="29"/>
        </w:numPr>
        <w:tabs>
          <w:tab w:val="left" w:pos="709"/>
        </w:tabs>
        <w:ind w:left="0" w:firstLine="0"/>
        <w:jc w:val="both"/>
        <w:rPr>
          <w:rFonts w:cs="Arial"/>
        </w:rPr>
      </w:pPr>
      <w:r w:rsidRPr="002D4472">
        <w:t>The</w:t>
      </w:r>
      <w:r w:rsidRPr="002D4472">
        <w:rPr>
          <w:rFonts w:cs="Arial"/>
        </w:rPr>
        <w:t xml:space="preserve"> increase in the 2014/15 </w:t>
      </w:r>
      <w:r>
        <w:rPr>
          <w:rFonts w:cs="Arial"/>
        </w:rPr>
        <w:t xml:space="preserve">Final </w:t>
      </w:r>
      <w:r w:rsidRPr="002D4472">
        <w:rPr>
          <w:rFonts w:cs="Arial"/>
        </w:rPr>
        <w:t xml:space="preserve">Budget after Transfers </w:t>
      </w:r>
      <w:r>
        <w:rPr>
          <w:rFonts w:cs="Arial"/>
        </w:rPr>
        <w:t xml:space="preserve">(personnel resources) </w:t>
      </w:r>
      <w:r w:rsidRPr="002D4472">
        <w:rPr>
          <w:rFonts w:cs="Arial"/>
        </w:rPr>
        <w:t>reflects the reclassification of a post and the redeployment of additional personnel resources into the Program for the promotion of the global databases.</w:t>
      </w:r>
      <w:r>
        <w:rPr>
          <w:rFonts w:cs="Arial"/>
        </w:rPr>
        <w:t xml:space="preserve">  This increase is also reflected </w:t>
      </w:r>
      <w:r w:rsidRPr="002D4472">
        <w:rPr>
          <w:rFonts w:cs="Arial"/>
        </w:rPr>
        <w:t>under Expected Result IV.2</w:t>
      </w:r>
      <w:r>
        <w:rPr>
          <w:rFonts w:cs="Arial"/>
        </w:rPr>
        <w:t xml:space="preserve"> (Enhanced access to, and use of, IP information and knowledge).  Furthermore, the increase under this Expected Result was </w:t>
      </w:r>
      <w:r w:rsidRPr="002D4472">
        <w:rPr>
          <w:rFonts w:cs="Arial"/>
        </w:rPr>
        <w:t>due to the</w:t>
      </w:r>
      <w:r>
        <w:rPr>
          <w:rFonts w:cs="Arial"/>
        </w:rPr>
        <w:t xml:space="preserve"> </w:t>
      </w:r>
      <w:r w:rsidRPr="002D4472">
        <w:rPr>
          <w:rFonts w:cs="Arial"/>
        </w:rPr>
        <w:t xml:space="preserve">redistribution of personnel resources within the Program for the development of the database search engine. </w:t>
      </w:r>
    </w:p>
    <w:p w:rsidR="00CA722C" w:rsidRDefault="00CA722C" w:rsidP="00F11DB9">
      <w:pPr>
        <w:autoSpaceDE w:val="0"/>
        <w:autoSpaceDN w:val="0"/>
        <w:jc w:val="both"/>
        <w:rPr>
          <w:rFonts w:cs="Arial"/>
          <w:szCs w:val="20"/>
          <w:lang w:eastAsia="ko-KR"/>
        </w:rPr>
      </w:pPr>
    </w:p>
    <w:p w:rsidR="00CA722C" w:rsidRPr="00994EDC" w:rsidRDefault="00CA722C" w:rsidP="00CA722C">
      <w:pPr>
        <w:pStyle w:val="ListParagraph"/>
        <w:numPr>
          <w:ilvl w:val="0"/>
          <w:numId w:val="29"/>
        </w:numPr>
        <w:tabs>
          <w:tab w:val="left" w:pos="709"/>
        </w:tabs>
        <w:ind w:left="0" w:firstLine="0"/>
        <w:jc w:val="both"/>
        <w:rPr>
          <w:rFonts w:eastAsia="Batang"/>
          <w:lang w:eastAsia="ko-KR"/>
        </w:rPr>
      </w:pPr>
      <w:r w:rsidRPr="00632C30">
        <w:rPr>
          <w:rFonts w:eastAsia="Batang"/>
          <w:lang w:eastAsia="ko-KR"/>
        </w:rPr>
        <w:t xml:space="preserve">The non-personnel </w:t>
      </w:r>
      <w:r>
        <w:rPr>
          <w:rFonts w:eastAsia="Batang"/>
          <w:lang w:eastAsia="ko-KR"/>
        </w:rPr>
        <w:t>resources</w:t>
      </w:r>
      <w:r w:rsidRPr="00632C30">
        <w:rPr>
          <w:rFonts w:eastAsia="Batang"/>
          <w:lang w:eastAsia="ko-KR"/>
        </w:rPr>
        <w:t xml:space="preserve"> reflect</w:t>
      </w:r>
      <w:r>
        <w:rPr>
          <w:rFonts w:eastAsia="Batang"/>
          <w:lang w:eastAsia="ko-KR"/>
        </w:rPr>
        <w:t xml:space="preserve"> an upward adjustment resulting primarily from additional costs for the outsourcing of uploads of </w:t>
      </w:r>
      <w:r w:rsidRPr="00994EDC">
        <w:rPr>
          <w:rFonts w:eastAsia="Batang"/>
          <w:lang w:eastAsia="ko-KR"/>
        </w:rPr>
        <w:t>national collections</w:t>
      </w:r>
      <w:r>
        <w:rPr>
          <w:rFonts w:eastAsia="Batang"/>
          <w:lang w:eastAsia="ko-KR"/>
        </w:rPr>
        <w:t xml:space="preserve"> </w:t>
      </w:r>
      <w:r w:rsidRPr="00994EDC">
        <w:rPr>
          <w:rFonts w:eastAsia="Batang"/>
          <w:lang w:eastAsia="ko-KR"/>
        </w:rPr>
        <w:t xml:space="preserve">by an external service provider </w:t>
      </w:r>
      <w:r>
        <w:rPr>
          <w:rFonts w:eastAsia="Batang"/>
          <w:lang w:eastAsia="ko-KR"/>
        </w:rPr>
        <w:t xml:space="preserve">and </w:t>
      </w:r>
      <w:r w:rsidRPr="00994EDC">
        <w:rPr>
          <w:rFonts w:eastAsia="Batang"/>
          <w:lang w:eastAsia="ko-KR"/>
        </w:rPr>
        <w:t>increased server-hosting costs.</w:t>
      </w:r>
    </w:p>
    <w:p w:rsidR="00CA722C" w:rsidRPr="00CA722C" w:rsidRDefault="00CA722C" w:rsidP="00F11DB9">
      <w:pPr>
        <w:autoSpaceDE w:val="0"/>
        <w:autoSpaceDN w:val="0"/>
        <w:jc w:val="both"/>
        <w:rPr>
          <w:rFonts w:cs="Arial"/>
        </w:rPr>
      </w:pPr>
    </w:p>
    <w:p w:rsidR="00CA722C" w:rsidRDefault="00CA722C" w:rsidP="00F11DB9">
      <w:pPr>
        <w:autoSpaceDE w:val="0"/>
        <w:autoSpaceDN w:val="0"/>
        <w:jc w:val="both"/>
        <w:rPr>
          <w:rFonts w:cs="Arial"/>
          <w:szCs w:val="20"/>
          <w:u w:val="single"/>
          <w:lang w:eastAsia="ko-KR"/>
        </w:rPr>
      </w:pPr>
      <w:r>
        <w:rPr>
          <w:rFonts w:cs="Arial"/>
          <w:szCs w:val="20"/>
          <w:lang w:eastAsia="ko-KR"/>
        </w:rPr>
        <w:t>B.</w:t>
      </w:r>
      <w:r>
        <w:rPr>
          <w:rFonts w:cs="Arial"/>
          <w:szCs w:val="20"/>
          <w:lang w:eastAsia="ko-KR"/>
        </w:rPr>
        <w:tab/>
      </w:r>
      <w:r>
        <w:rPr>
          <w:rFonts w:cs="Arial"/>
          <w:szCs w:val="20"/>
          <w:u w:val="single"/>
          <w:lang w:eastAsia="ko-KR"/>
        </w:rPr>
        <w:t xml:space="preserve">2014/15 Budget Utilization </w:t>
      </w:r>
    </w:p>
    <w:p w:rsidR="00CA722C" w:rsidRDefault="00CA722C" w:rsidP="00F11DB9">
      <w:pPr>
        <w:autoSpaceDE w:val="0"/>
        <w:autoSpaceDN w:val="0"/>
        <w:jc w:val="both"/>
        <w:rPr>
          <w:rFonts w:cs="Arial"/>
          <w:szCs w:val="20"/>
          <w:u w:val="single"/>
          <w:lang w:eastAsia="ko-KR"/>
        </w:rPr>
      </w:pPr>
    </w:p>
    <w:p w:rsidR="007852E3" w:rsidRPr="00CA722C" w:rsidRDefault="00CA722C" w:rsidP="000E148D">
      <w:pPr>
        <w:pStyle w:val="ListParagraph"/>
        <w:keepNext/>
        <w:keepLines/>
        <w:numPr>
          <w:ilvl w:val="0"/>
          <w:numId w:val="29"/>
        </w:numPr>
        <w:tabs>
          <w:tab w:val="left" w:pos="709"/>
        </w:tabs>
        <w:ind w:left="0" w:firstLine="0"/>
        <w:jc w:val="both"/>
      </w:pPr>
      <w:r w:rsidRPr="00CA722C">
        <w:rPr>
          <w:rFonts w:eastAsia="MS Mincho"/>
          <w:lang w:eastAsia="ja-JP" w:bidi="th-TH"/>
        </w:rPr>
        <w:t>Budget</w:t>
      </w:r>
      <w:r>
        <w:t xml:space="preserve"> utilization is within the expected range for the biennium.</w:t>
      </w:r>
      <w:r w:rsidRPr="00CA722C">
        <w:rPr>
          <w:rFonts w:cs="Arial"/>
          <w:lang w:eastAsia="ko-KR"/>
        </w:rPr>
        <w:t xml:space="preserve"> </w:t>
      </w:r>
    </w:p>
    <w:p w:rsidR="00714DE0" w:rsidRDefault="00714DE0">
      <w:r>
        <w:br w:type="page"/>
      </w:r>
    </w:p>
    <w:p w:rsidR="000F04C0" w:rsidRPr="00A608E9" w:rsidRDefault="000F04C0" w:rsidP="00E3403E">
      <w:pPr>
        <w:pStyle w:val="Heading2"/>
        <w:tabs>
          <w:tab w:val="clear" w:pos="567"/>
          <w:tab w:val="left" w:pos="1985"/>
        </w:tabs>
        <w:jc w:val="both"/>
        <w:rPr>
          <w:sz w:val="20"/>
          <w:szCs w:val="20"/>
        </w:rPr>
      </w:pPr>
      <w:bookmarkStart w:id="82" w:name="_Toc422210498"/>
      <w:bookmarkStart w:id="83" w:name="_Toc454544483"/>
      <w:r w:rsidRPr="00F00FA6">
        <w:rPr>
          <w:szCs w:val="20"/>
        </w:rPr>
        <w:lastRenderedPageBreak/>
        <w:t>PROGRAM 14</w:t>
      </w:r>
      <w:r w:rsidRPr="00F00FA6">
        <w:rPr>
          <w:szCs w:val="20"/>
        </w:rPr>
        <w:tab/>
      </w:r>
      <w:r w:rsidRPr="00F00FA6">
        <w:rPr>
          <w:szCs w:val="20"/>
        </w:rPr>
        <w:tab/>
        <w:t>SERVICES FOR ACCESS TO INFORMATION AND KNOWLEDGE</w:t>
      </w:r>
      <w:bookmarkEnd w:id="82"/>
      <w:bookmarkEnd w:id="83"/>
    </w:p>
    <w:p w:rsidR="000F04C0" w:rsidRPr="00A608E9" w:rsidRDefault="000F04C0" w:rsidP="00E3403E">
      <w:pPr>
        <w:jc w:val="both"/>
        <w:rPr>
          <w:szCs w:val="20"/>
        </w:rPr>
      </w:pPr>
    </w:p>
    <w:p w:rsidR="000F04C0" w:rsidRPr="00A608E9" w:rsidRDefault="000F04C0" w:rsidP="00E3403E">
      <w:pPr>
        <w:tabs>
          <w:tab w:val="left" w:pos="1985"/>
        </w:tabs>
        <w:jc w:val="both"/>
        <w:rPr>
          <w:b/>
          <w:szCs w:val="20"/>
        </w:rPr>
      </w:pPr>
      <w:r w:rsidRPr="00A608E9">
        <w:rPr>
          <w:b/>
          <w:szCs w:val="20"/>
        </w:rPr>
        <w:t>Program Manager</w:t>
      </w:r>
      <w:r w:rsidRPr="00A608E9">
        <w:rPr>
          <w:b/>
          <w:szCs w:val="20"/>
        </w:rPr>
        <w:tab/>
        <w:t>Mr. Y</w:t>
      </w:r>
      <w:r>
        <w:rPr>
          <w:b/>
          <w:szCs w:val="20"/>
        </w:rPr>
        <w:t>.</w:t>
      </w:r>
      <w:r w:rsidRPr="00A608E9">
        <w:rPr>
          <w:b/>
          <w:szCs w:val="20"/>
        </w:rPr>
        <w:t xml:space="preserve"> Takagi</w:t>
      </w:r>
    </w:p>
    <w:p w:rsidR="000F04C0" w:rsidRPr="00A608E9" w:rsidRDefault="000F04C0" w:rsidP="00E3403E">
      <w:pPr>
        <w:jc w:val="both"/>
        <w:rPr>
          <w:szCs w:val="20"/>
        </w:rPr>
      </w:pPr>
    </w:p>
    <w:p w:rsidR="000F04C0" w:rsidRPr="00654FA4" w:rsidRDefault="000F04C0" w:rsidP="00E3403E">
      <w:pPr>
        <w:jc w:val="both"/>
        <w:rPr>
          <w:szCs w:val="22"/>
        </w:rPr>
      </w:pPr>
    </w:p>
    <w:p w:rsidR="000F04C0" w:rsidRPr="003E292A" w:rsidRDefault="000F04C0" w:rsidP="00E3403E">
      <w:pPr>
        <w:jc w:val="both"/>
        <w:rPr>
          <w:bCs/>
          <w:sz w:val="22"/>
          <w:szCs w:val="22"/>
        </w:rPr>
      </w:pPr>
      <w:r w:rsidRPr="00654FA4">
        <w:rPr>
          <w:bCs/>
          <w:szCs w:val="22"/>
        </w:rPr>
        <w:t>ACHIEVEMENTS</w:t>
      </w:r>
      <w:r w:rsidRPr="003E292A">
        <w:rPr>
          <w:bCs/>
          <w:sz w:val="22"/>
          <w:szCs w:val="22"/>
        </w:rPr>
        <w:t xml:space="preserve"> IN THE 2014/15 BIENNIUM</w:t>
      </w:r>
    </w:p>
    <w:p w:rsidR="000F04C0" w:rsidRPr="00654FA4" w:rsidRDefault="000F04C0" w:rsidP="00E3403E">
      <w:pPr>
        <w:tabs>
          <w:tab w:val="left" w:pos="709"/>
        </w:tabs>
        <w:jc w:val="both"/>
        <w:rPr>
          <w:rFonts w:cs="Arial"/>
          <w:bCs/>
          <w:szCs w:val="22"/>
        </w:rPr>
      </w:pPr>
    </w:p>
    <w:p w:rsidR="000F04C0" w:rsidRDefault="000F04C0" w:rsidP="000F04C0">
      <w:pPr>
        <w:pStyle w:val="ListParagraph"/>
        <w:numPr>
          <w:ilvl w:val="0"/>
          <w:numId w:val="82"/>
        </w:numPr>
        <w:tabs>
          <w:tab w:val="left" w:pos="0"/>
          <w:tab w:val="left" w:pos="709"/>
        </w:tabs>
        <w:ind w:left="0" w:firstLine="0"/>
        <w:jc w:val="both"/>
        <w:rPr>
          <w:rFonts w:cs="Arial"/>
          <w:bCs/>
        </w:rPr>
      </w:pPr>
      <w:r w:rsidRPr="007826B2">
        <w:rPr>
          <w:rFonts w:cs="Arial"/>
          <w:bCs/>
        </w:rPr>
        <w:t>The</w:t>
      </w:r>
      <w:r>
        <w:rPr>
          <w:rFonts w:cs="Arial"/>
          <w:bCs/>
        </w:rPr>
        <w:t xml:space="preserve"> </w:t>
      </w:r>
      <w:r w:rsidRPr="000C2240">
        <w:rPr>
          <w:rFonts w:cs="Arial"/>
          <w:bCs/>
        </w:rPr>
        <w:t xml:space="preserve">biennium 2014/15 saw the total number of Member States that had formally established Technology and Innovation Support Center (TISC) networks in their countries to 50, with 11 additional networks, a 28 per cent increase over 2012/13. </w:t>
      </w:r>
      <w:r>
        <w:rPr>
          <w:rFonts w:cs="Arial"/>
          <w:bCs/>
        </w:rPr>
        <w:t xml:space="preserve"> </w:t>
      </w:r>
      <w:r w:rsidRPr="000C2240">
        <w:rPr>
          <w:rFonts w:cs="Arial"/>
          <w:bCs/>
        </w:rPr>
        <w:t xml:space="preserve">The Program continued its focus on reinforcing the long-term sustainability of the networks, and by the end of 2015, 25 TISC networks were considered sustainable.  In addition, two sub-regional TISC networks were also formally established in 2015: the ASEAN TISC network for its Member States and the CATI-CARD network for Central American countries and the Dominican Republic.  </w:t>
      </w:r>
      <w:r>
        <w:rPr>
          <w:rFonts w:cs="Arial"/>
          <w:bCs/>
        </w:rPr>
        <w:t>At</w:t>
      </w:r>
      <w:r w:rsidRPr="000C2240">
        <w:rPr>
          <w:rFonts w:cs="Arial"/>
          <w:bCs/>
        </w:rPr>
        <w:t xml:space="preserve"> the end of 2015, 331 TISCs were listed in the TISC Directory</w:t>
      </w:r>
      <w:bookmarkStart w:id="84" w:name="OLE_LINK4"/>
      <w:bookmarkEnd w:id="84"/>
      <w:r w:rsidRPr="00857DC2">
        <w:rPr>
          <w:rStyle w:val="FootnoteReference"/>
          <w:rFonts w:cs="Arial"/>
          <w:bCs/>
        </w:rPr>
        <w:footnoteReference w:id="86"/>
      </w:r>
      <w:r w:rsidRPr="000C2240">
        <w:rPr>
          <w:rFonts w:cs="Arial"/>
          <w:bCs/>
        </w:rPr>
        <w:t xml:space="preserve">.  </w:t>
      </w:r>
    </w:p>
    <w:p w:rsidR="000F04C0" w:rsidRDefault="000F04C0" w:rsidP="00E3403E">
      <w:pPr>
        <w:pStyle w:val="ListParagraph"/>
        <w:tabs>
          <w:tab w:val="left" w:pos="0"/>
          <w:tab w:val="left" w:pos="709"/>
        </w:tabs>
        <w:ind w:left="0"/>
        <w:jc w:val="both"/>
        <w:rPr>
          <w:rFonts w:cs="Arial"/>
          <w:bCs/>
        </w:rPr>
      </w:pPr>
    </w:p>
    <w:p w:rsidR="000F04C0" w:rsidRDefault="000F04C0" w:rsidP="000F04C0">
      <w:pPr>
        <w:pStyle w:val="ListParagraph"/>
        <w:numPr>
          <w:ilvl w:val="0"/>
          <w:numId w:val="82"/>
        </w:numPr>
        <w:tabs>
          <w:tab w:val="left" w:pos="0"/>
          <w:tab w:val="left" w:pos="709"/>
        </w:tabs>
        <w:ind w:left="0" w:firstLine="0"/>
        <w:jc w:val="both"/>
        <w:rPr>
          <w:rFonts w:cs="Arial"/>
          <w:bCs/>
        </w:rPr>
      </w:pPr>
      <w:r w:rsidRPr="00D41728">
        <w:rPr>
          <w:rFonts w:cs="Arial"/>
          <w:bCs/>
        </w:rPr>
        <w:t>The structured program of capacity building at the local level, including through onsite awareness raising and training events, additional training-of-trainers and project planning sessions, that had been started in 2013 was reinforced throughout the biennium.  A total of 1</w:t>
      </w:r>
      <w:r>
        <w:rPr>
          <w:rFonts w:cs="Arial"/>
          <w:bCs/>
        </w:rPr>
        <w:t>1</w:t>
      </w:r>
      <w:r w:rsidRPr="00D41728">
        <w:rPr>
          <w:rFonts w:cs="Arial"/>
          <w:bCs/>
        </w:rPr>
        <w:t xml:space="preserve"> </w:t>
      </w:r>
      <w:r>
        <w:rPr>
          <w:rFonts w:cs="Arial"/>
          <w:bCs/>
        </w:rPr>
        <w:t>regional/</w:t>
      </w:r>
      <w:r w:rsidRPr="00D41728">
        <w:rPr>
          <w:rFonts w:cs="Arial"/>
          <w:bCs/>
        </w:rPr>
        <w:t xml:space="preserve">sub-regional meetings, co-organized </w:t>
      </w:r>
      <w:r>
        <w:rPr>
          <w:rFonts w:cs="Arial"/>
          <w:bCs/>
        </w:rPr>
        <w:t xml:space="preserve">with some </w:t>
      </w:r>
      <w:r w:rsidRPr="00394155">
        <w:rPr>
          <w:rFonts w:cs="Arial"/>
          <w:bCs/>
        </w:rPr>
        <w:t>14 organizations</w:t>
      </w:r>
      <w:r>
        <w:rPr>
          <w:rFonts w:cs="Arial"/>
          <w:bCs/>
        </w:rPr>
        <w:t>,</w:t>
      </w:r>
      <w:r w:rsidRPr="00D34E65">
        <w:rPr>
          <w:rFonts w:cs="Arial"/>
          <w:bCs/>
        </w:rPr>
        <w:t xml:space="preserve"> and 50 national</w:t>
      </w:r>
      <w:r w:rsidRPr="00D41728">
        <w:rPr>
          <w:rFonts w:cs="Arial"/>
          <w:bCs/>
        </w:rPr>
        <w:t xml:space="preserve"> planning and training-of-trainers’ workshops were carried out to strengthen the exchange of experiences and best practices with countries at a regional level.  </w:t>
      </w:r>
    </w:p>
    <w:p w:rsidR="000F04C0" w:rsidRPr="00D41728" w:rsidRDefault="000F04C0" w:rsidP="00E3403E">
      <w:pPr>
        <w:tabs>
          <w:tab w:val="left" w:pos="0"/>
          <w:tab w:val="left" w:pos="709"/>
        </w:tabs>
        <w:jc w:val="both"/>
        <w:rPr>
          <w:rFonts w:cs="Arial"/>
          <w:bCs/>
        </w:rPr>
      </w:pPr>
    </w:p>
    <w:p w:rsidR="000F04C0" w:rsidRDefault="000F04C0" w:rsidP="000F04C0">
      <w:pPr>
        <w:pStyle w:val="ListParagraph"/>
        <w:numPr>
          <w:ilvl w:val="0"/>
          <w:numId w:val="82"/>
        </w:numPr>
        <w:tabs>
          <w:tab w:val="left" w:pos="0"/>
          <w:tab w:val="left" w:pos="709"/>
        </w:tabs>
        <w:ind w:left="0" w:firstLine="0"/>
        <w:jc w:val="both"/>
        <w:rPr>
          <w:rFonts w:cs="Arial"/>
          <w:bCs/>
        </w:rPr>
      </w:pPr>
      <w:r w:rsidRPr="00D41728">
        <w:rPr>
          <w:rFonts w:cs="Arial"/>
          <w:bCs/>
        </w:rPr>
        <w:t>The eTISC knowledge management platform</w:t>
      </w:r>
      <w:r w:rsidRPr="00394155">
        <w:rPr>
          <w:vertAlign w:val="superscript"/>
        </w:rPr>
        <w:footnoteReference w:id="87"/>
      </w:r>
      <w:r w:rsidRPr="00D41728">
        <w:rPr>
          <w:rFonts w:cs="Arial"/>
          <w:bCs/>
        </w:rPr>
        <w:t xml:space="preserve"> continued to experience strong growth, more than doubling its membership to nearly 1,500 members from over </w:t>
      </w:r>
      <w:r>
        <w:rPr>
          <w:rFonts w:cs="Arial"/>
          <w:bCs/>
        </w:rPr>
        <w:t>115</w:t>
      </w:r>
      <w:r w:rsidRPr="00D41728">
        <w:rPr>
          <w:rFonts w:cs="Arial"/>
          <w:bCs/>
        </w:rPr>
        <w:t xml:space="preserve"> countries by the end of 2015, as compared to 700 members in the previous biennium.  In 2014/15, the eTISC platform added 16 training webinars and hosted 10 live question-and-answer sessions with innovation support experts.  Demand also continued for the interactive e-Tutorial on “Using and Exploiting Patent Information”, with availability on CD-ROM and online in English</w:t>
      </w:r>
      <w:r w:rsidRPr="00394155">
        <w:rPr>
          <w:vertAlign w:val="superscript"/>
        </w:rPr>
        <w:footnoteReference w:id="88"/>
      </w:r>
      <w:r w:rsidRPr="00D41728">
        <w:rPr>
          <w:rFonts w:cs="Arial"/>
          <w:bCs/>
        </w:rPr>
        <w:t xml:space="preserve"> and French</w:t>
      </w:r>
      <w:r w:rsidRPr="00394155">
        <w:rPr>
          <w:vertAlign w:val="superscript"/>
        </w:rPr>
        <w:footnoteReference w:id="89"/>
      </w:r>
      <w:r w:rsidRPr="00D41728">
        <w:rPr>
          <w:rFonts w:cs="Arial"/>
          <w:bCs/>
        </w:rPr>
        <w:t xml:space="preserve">.  A Spanish version was finalized at the end of 2015. </w:t>
      </w:r>
    </w:p>
    <w:p w:rsidR="000F04C0" w:rsidRPr="00D41728" w:rsidRDefault="000F04C0" w:rsidP="00E3403E">
      <w:pPr>
        <w:tabs>
          <w:tab w:val="left" w:pos="0"/>
          <w:tab w:val="left" w:pos="709"/>
        </w:tabs>
        <w:jc w:val="both"/>
        <w:rPr>
          <w:rFonts w:cs="Arial"/>
        </w:rPr>
      </w:pPr>
    </w:p>
    <w:p w:rsidR="000F04C0" w:rsidRDefault="000F04C0" w:rsidP="000F04C0">
      <w:pPr>
        <w:pStyle w:val="ListParagraph"/>
        <w:numPr>
          <w:ilvl w:val="0"/>
          <w:numId w:val="82"/>
        </w:numPr>
        <w:tabs>
          <w:tab w:val="left" w:pos="0"/>
          <w:tab w:val="left" w:pos="709"/>
        </w:tabs>
        <w:ind w:left="0" w:firstLine="0"/>
        <w:jc w:val="both"/>
        <w:rPr>
          <w:rFonts w:cs="Arial"/>
          <w:bCs/>
        </w:rPr>
      </w:pPr>
      <w:r>
        <w:rPr>
          <w:rFonts w:cs="Arial"/>
          <w:bCs/>
        </w:rPr>
        <w:t xml:space="preserve">In 2015, </w:t>
      </w:r>
      <w:r w:rsidRPr="00D41728">
        <w:rPr>
          <w:rFonts w:cs="Arial"/>
          <w:bCs/>
        </w:rPr>
        <w:t xml:space="preserve">the Inventor Assistance Program (IAP), a joint collaboration </w:t>
      </w:r>
      <w:r>
        <w:rPr>
          <w:rFonts w:cs="Arial"/>
          <w:bCs/>
        </w:rPr>
        <w:t xml:space="preserve">between WIPO and </w:t>
      </w:r>
      <w:r w:rsidRPr="00D41728">
        <w:rPr>
          <w:rFonts w:cs="Arial"/>
          <w:bCs/>
        </w:rPr>
        <w:t>the World Economic Forum, which a</w:t>
      </w:r>
      <w:r>
        <w:t xml:space="preserve">ims to reinforce national innovation by providing legal assistance with patent filing to financially under-resourced local innovators and small businesses, was </w:t>
      </w:r>
      <w:r w:rsidRPr="00D41728">
        <w:rPr>
          <w:rFonts w:cs="Arial"/>
          <w:bCs/>
        </w:rPr>
        <w:t>launched</w:t>
      </w:r>
      <w:r>
        <w:rPr>
          <w:rFonts w:cs="Arial"/>
          <w:bCs/>
        </w:rPr>
        <w:t xml:space="preserve">, with two </w:t>
      </w:r>
      <w:r w:rsidRPr="00D41728">
        <w:rPr>
          <w:rFonts w:cs="Arial"/>
          <w:bCs/>
        </w:rPr>
        <w:t>pilot</w:t>
      </w:r>
      <w:r>
        <w:rPr>
          <w:rFonts w:cs="Arial"/>
          <w:bCs/>
        </w:rPr>
        <w:t xml:space="preserve"> projects initiated in</w:t>
      </w:r>
      <w:r w:rsidRPr="00D41728">
        <w:rPr>
          <w:rFonts w:cs="Arial"/>
          <w:bCs/>
        </w:rPr>
        <w:t xml:space="preserve"> in Colombia and Morocco.  In this context, an interactive e-tutorial on patents and pro bono legal services was made available online. </w:t>
      </w:r>
    </w:p>
    <w:p w:rsidR="000F04C0" w:rsidRPr="00D41728" w:rsidRDefault="000F04C0" w:rsidP="00E3403E">
      <w:pPr>
        <w:tabs>
          <w:tab w:val="left" w:pos="0"/>
          <w:tab w:val="left" w:pos="709"/>
        </w:tabs>
        <w:jc w:val="both"/>
        <w:rPr>
          <w:rFonts w:cs="Arial"/>
          <w:bCs/>
        </w:rPr>
      </w:pPr>
    </w:p>
    <w:p w:rsidR="000F04C0" w:rsidRPr="00D41728" w:rsidRDefault="000F04C0" w:rsidP="000F04C0">
      <w:pPr>
        <w:pStyle w:val="ListParagraph"/>
        <w:numPr>
          <w:ilvl w:val="0"/>
          <w:numId w:val="82"/>
        </w:numPr>
        <w:tabs>
          <w:tab w:val="left" w:pos="0"/>
          <w:tab w:val="left" w:pos="709"/>
        </w:tabs>
        <w:ind w:left="0" w:firstLine="0"/>
        <w:jc w:val="both"/>
        <w:rPr>
          <w:rFonts w:cs="Arial"/>
          <w:bCs/>
        </w:rPr>
      </w:pPr>
      <w:r w:rsidRPr="00D41728">
        <w:rPr>
          <w:rFonts w:cs="Arial"/>
          <w:bCs/>
        </w:rPr>
        <w:t xml:space="preserve">The volume of accessible content of </w:t>
      </w:r>
      <w:r w:rsidRPr="00D41728">
        <w:rPr>
          <w:rFonts w:cs="Arial"/>
        </w:rPr>
        <w:t>scientific and technical journals</w:t>
      </w:r>
      <w:r w:rsidRPr="00D41728">
        <w:rPr>
          <w:rFonts w:cs="Arial"/>
          <w:bCs/>
        </w:rPr>
        <w:t xml:space="preserve"> in the </w:t>
      </w:r>
      <w:r w:rsidRPr="00D41728">
        <w:rPr>
          <w:rFonts w:cs="Arial"/>
        </w:rPr>
        <w:t xml:space="preserve">Access to Research for Development and Innovation (ARDI) program continued to increase, including through the Research4Life partner programs, reaching 21,243 journals, 48,988 e-books and 169 reference works and databases.  The number of active ARDI users tripled in 2014/15 to 623, as compared to 207 in 2012/13.   </w:t>
      </w:r>
      <w:r w:rsidRPr="00D41728">
        <w:rPr>
          <w:rFonts w:cs="Arial"/>
          <w:bCs/>
        </w:rPr>
        <w:t xml:space="preserve">The number of registered active users of the </w:t>
      </w:r>
      <w:r w:rsidRPr="00D41728">
        <w:rPr>
          <w:rFonts w:cs="Arial"/>
        </w:rPr>
        <w:t>Access to Specialized Patent Information (ASPI) program, which provides access to commercial patent databases, more than doubled in 2014/15, to 42 active institutional users, a 110</w:t>
      </w:r>
      <w:r>
        <w:rPr>
          <w:rFonts w:cs="Arial"/>
        </w:rPr>
        <w:t> </w:t>
      </w:r>
      <w:r w:rsidRPr="00D41728">
        <w:rPr>
          <w:rFonts w:cs="Arial"/>
        </w:rPr>
        <w:t>per cent increase from 2013.</w:t>
      </w:r>
    </w:p>
    <w:p w:rsidR="000F04C0" w:rsidRPr="00D41728" w:rsidRDefault="000F04C0" w:rsidP="00E3403E">
      <w:pPr>
        <w:tabs>
          <w:tab w:val="left" w:pos="0"/>
          <w:tab w:val="left" w:pos="709"/>
        </w:tabs>
        <w:jc w:val="both"/>
        <w:rPr>
          <w:rFonts w:cs="Arial"/>
          <w:bCs/>
        </w:rPr>
      </w:pPr>
    </w:p>
    <w:p w:rsidR="000F04C0" w:rsidRDefault="000F04C0" w:rsidP="000F04C0">
      <w:pPr>
        <w:pStyle w:val="ListParagraph"/>
        <w:numPr>
          <w:ilvl w:val="0"/>
          <w:numId w:val="82"/>
        </w:numPr>
        <w:tabs>
          <w:tab w:val="left" w:pos="0"/>
          <w:tab w:val="left" w:pos="709"/>
        </w:tabs>
        <w:ind w:left="0" w:firstLine="0"/>
        <w:jc w:val="both"/>
        <w:rPr>
          <w:rFonts w:cs="Arial"/>
          <w:bCs/>
        </w:rPr>
      </w:pPr>
      <w:r>
        <w:rPr>
          <w:rFonts w:cs="Arial"/>
          <w:bCs/>
        </w:rPr>
        <w:t xml:space="preserve">In 2014/15, </w:t>
      </w:r>
      <w:r w:rsidRPr="00D41728">
        <w:rPr>
          <w:rFonts w:cs="Arial"/>
          <w:bCs/>
        </w:rPr>
        <w:t xml:space="preserve">WIPO </w:t>
      </w:r>
      <w:r>
        <w:rPr>
          <w:rFonts w:cs="Arial"/>
          <w:bCs/>
        </w:rPr>
        <w:t xml:space="preserve">published the following four Patent Landscape Reports (PLRs):  (i) </w:t>
      </w:r>
      <w:r w:rsidRPr="00D41728">
        <w:rPr>
          <w:rFonts w:cs="Arial"/>
          <w:bCs/>
        </w:rPr>
        <w:t>Animal Genetic Resources,</w:t>
      </w:r>
      <w:r>
        <w:rPr>
          <w:rFonts w:cs="Arial"/>
          <w:bCs/>
        </w:rPr>
        <w:t xml:space="preserve"> </w:t>
      </w:r>
      <w:r w:rsidRPr="00BD71FF">
        <w:rPr>
          <w:rFonts w:cs="Arial"/>
        </w:rPr>
        <w:t>the first large-scale qualitative analysis related to patent-based information on animal genetic resources</w:t>
      </w:r>
      <w:r>
        <w:rPr>
          <w:rFonts w:cs="Arial"/>
        </w:rPr>
        <w:t xml:space="preserve">, which was </w:t>
      </w:r>
      <w:r>
        <w:rPr>
          <w:rFonts w:cs="Arial"/>
          <w:bCs/>
        </w:rPr>
        <w:t>produc</w:t>
      </w:r>
      <w:r w:rsidRPr="00D41728">
        <w:rPr>
          <w:rFonts w:cs="Arial"/>
          <w:bCs/>
        </w:rPr>
        <w:t>ed</w:t>
      </w:r>
      <w:r>
        <w:rPr>
          <w:rFonts w:cs="Arial"/>
          <w:bCs/>
        </w:rPr>
        <w:t xml:space="preserve"> </w:t>
      </w:r>
      <w:r w:rsidRPr="00D41728">
        <w:rPr>
          <w:rFonts w:cs="Arial"/>
          <w:bCs/>
        </w:rPr>
        <w:t>in cooperation with the Food and Agricultural Organization (FAO)</w:t>
      </w:r>
      <w:r>
        <w:rPr>
          <w:rFonts w:cs="Arial"/>
          <w:bCs/>
        </w:rPr>
        <w:t xml:space="preserve"> and with substantive input from Program 4;  (ii) </w:t>
      </w:r>
      <w:r w:rsidRPr="00D41728">
        <w:rPr>
          <w:rFonts w:cs="Arial"/>
          <w:bCs/>
        </w:rPr>
        <w:t xml:space="preserve">Assistive Devices for Visually and Hearing Impaired Persons, </w:t>
      </w:r>
      <w:r>
        <w:rPr>
          <w:rFonts w:cs="Arial"/>
          <w:bCs/>
        </w:rPr>
        <w:t xml:space="preserve">produced </w:t>
      </w:r>
      <w:r w:rsidRPr="00D41728">
        <w:rPr>
          <w:rFonts w:cs="Arial"/>
          <w:bCs/>
        </w:rPr>
        <w:t>in cooperation with the World Health Organization (WHO), which also included the first-ever WIPO publication in an enhanced accessibility format;  (iii) Palm Oil Related Technologies, in cooperation with the Intellectual Property Corporation of Malaysia (MyIPO) and the Malaysian Palm Oil Board (MPOB);  and (iv)</w:t>
      </w:r>
      <w:r>
        <w:rPr>
          <w:rFonts w:cs="Arial"/>
          <w:bCs/>
        </w:rPr>
        <w:t> </w:t>
      </w:r>
      <w:r w:rsidRPr="00D41728">
        <w:rPr>
          <w:rFonts w:cs="Arial"/>
          <w:bCs/>
        </w:rPr>
        <w:t xml:space="preserve">an updated version of the </w:t>
      </w:r>
      <w:r>
        <w:rPr>
          <w:rFonts w:cs="Arial"/>
          <w:bCs/>
        </w:rPr>
        <w:t xml:space="preserve">PLR on </w:t>
      </w:r>
      <w:r w:rsidRPr="00D41728">
        <w:rPr>
          <w:rFonts w:cs="Arial"/>
          <w:bCs/>
        </w:rPr>
        <w:t xml:space="preserve">Selected Neglected Diseases.  </w:t>
      </w:r>
    </w:p>
    <w:p w:rsidR="000F04C0" w:rsidRPr="00105B2C" w:rsidRDefault="000F04C0" w:rsidP="00E3403E">
      <w:pPr>
        <w:tabs>
          <w:tab w:val="left" w:pos="0"/>
          <w:tab w:val="left" w:pos="709"/>
        </w:tabs>
        <w:jc w:val="both"/>
        <w:rPr>
          <w:rFonts w:cs="Arial"/>
          <w:bCs/>
        </w:rPr>
      </w:pPr>
    </w:p>
    <w:p w:rsidR="000F04C0" w:rsidRPr="00105B2C" w:rsidRDefault="000F04C0" w:rsidP="000F04C0">
      <w:pPr>
        <w:pStyle w:val="ListParagraph"/>
        <w:numPr>
          <w:ilvl w:val="0"/>
          <w:numId w:val="82"/>
        </w:numPr>
        <w:tabs>
          <w:tab w:val="left" w:pos="0"/>
          <w:tab w:val="left" w:pos="709"/>
        </w:tabs>
        <w:ind w:left="0" w:firstLine="0"/>
        <w:jc w:val="both"/>
        <w:rPr>
          <w:rFonts w:cs="Arial"/>
          <w:bCs/>
        </w:rPr>
      </w:pPr>
      <w:r>
        <w:rPr>
          <w:rFonts w:cs="Arial"/>
          <w:bCs/>
        </w:rPr>
        <w:t>Interest in PLRs, particularly on water technologies and e-waste recycling, remained</w:t>
      </w:r>
      <w:r w:rsidRPr="00D41728">
        <w:rPr>
          <w:rFonts w:cs="Arial"/>
          <w:bCs/>
        </w:rPr>
        <w:t xml:space="preserve"> high</w:t>
      </w:r>
      <w:r>
        <w:rPr>
          <w:rFonts w:cs="Arial"/>
          <w:bCs/>
        </w:rPr>
        <w:t xml:space="preserve"> during the biennium,</w:t>
      </w:r>
      <w:r w:rsidRPr="00D41728">
        <w:rPr>
          <w:rFonts w:cs="Arial"/>
          <w:bCs/>
        </w:rPr>
        <w:t xml:space="preserve"> with 23,634 unique hits </w:t>
      </w:r>
      <w:r>
        <w:rPr>
          <w:rFonts w:cs="Arial"/>
          <w:bCs/>
        </w:rPr>
        <w:t xml:space="preserve">on the PLR website;  </w:t>
      </w:r>
      <w:r w:rsidRPr="00D41728">
        <w:rPr>
          <w:rFonts w:cs="Arial"/>
          <w:bCs/>
        </w:rPr>
        <w:t>97,172 downloads of</w:t>
      </w:r>
      <w:r>
        <w:rPr>
          <w:rFonts w:cs="Arial"/>
          <w:bCs/>
        </w:rPr>
        <w:t xml:space="preserve"> the PDF version of the PLRs;  </w:t>
      </w:r>
      <w:r w:rsidRPr="00D41728">
        <w:rPr>
          <w:rFonts w:cs="Arial"/>
          <w:bCs/>
        </w:rPr>
        <w:t xml:space="preserve">and 8,189 downloads of infographics.  </w:t>
      </w:r>
      <w:r w:rsidRPr="007826B2">
        <w:rPr>
          <w:rFonts w:cs="Arial"/>
        </w:rPr>
        <w:t>The PLR w</w:t>
      </w:r>
      <w:r w:rsidRPr="00BD71FF">
        <w:rPr>
          <w:rFonts w:cs="Arial"/>
        </w:rPr>
        <w:t>ebsite was translated into French and Spanish</w:t>
      </w:r>
      <w:r>
        <w:rPr>
          <w:rFonts w:cs="Arial"/>
        </w:rPr>
        <w:t xml:space="preserve"> and</w:t>
      </w:r>
      <w:r w:rsidRPr="00BD71FF">
        <w:rPr>
          <w:rFonts w:cs="Arial"/>
        </w:rPr>
        <w:t xml:space="preserve"> further enriched with </w:t>
      </w:r>
      <w:r>
        <w:rPr>
          <w:rFonts w:cs="Arial"/>
        </w:rPr>
        <w:t>57</w:t>
      </w:r>
      <w:r w:rsidRPr="00BD71FF">
        <w:rPr>
          <w:rFonts w:cs="Arial"/>
        </w:rPr>
        <w:t xml:space="preserve"> new PLRs prepared by various public and private sector organizations</w:t>
      </w:r>
      <w:r>
        <w:rPr>
          <w:rFonts w:cs="Arial"/>
        </w:rPr>
        <w:t>, including publications in eight languages other than English</w:t>
      </w:r>
      <w:r w:rsidRPr="00BD71FF">
        <w:rPr>
          <w:rFonts w:cs="Arial"/>
        </w:rPr>
        <w:t xml:space="preserve">. </w:t>
      </w:r>
      <w:r>
        <w:rPr>
          <w:rFonts w:cs="Arial"/>
        </w:rPr>
        <w:t xml:space="preserve"> </w:t>
      </w:r>
      <w:r w:rsidRPr="00BD71FF">
        <w:rPr>
          <w:rFonts w:cs="Arial"/>
        </w:rPr>
        <w:t xml:space="preserve">Furthermore, </w:t>
      </w:r>
      <w:r>
        <w:rPr>
          <w:rFonts w:cs="Arial"/>
          <w:bCs/>
        </w:rPr>
        <w:t>t</w:t>
      </w:r>
      <w:r w:rsidRPr="00D41728">
        <w:rPr>
          <w:rFonts w:cs="Arial"/>
          <w:bCs/>
        </w:rPr>
        <w:t xml:space="preserve">he Guidelines for Preparing </w:t>
      </w:r>
      <w:r w:rsidRPr="00D41728">
        <w:rPr>
          <w:rFonts w:cs="Arial"/>
          <w:bCs/>
        </w:rPr>
        <w:lastRenderedPageBreak/>
        <w:t>PLR</w:t>
      </w:r>
      <w:r>
        <w:rPr>
          <w:rFonts w:cs="Arial"/>
          <w:bCs/>
        </w:rPr>
        <w:t xml:space="preserve">s, which were </w:t>
      </w:r>
      <w:r w:rsidRPr="00BD71FF">
        <w:rPr>
          <w:rFonts w:cs="Arial"/>
        </w:rPr>
        <w:t>drafted with an external expert in 2013</w:t>
      </w:r>
      <w:r>
        <w:rPr>
          <w:rFonts w:cs="Arial"/>
        </w:rPr>
        <w:t xml:space="preserve"> and finalized in 2014,</w:t>
      </w:r>
      <w:r>
        <w:rPr>
          <w:rFonts w:cs="Arial"/>
          <w:bCs/>
        </w:rPr>
        <w:t xml:space="preserve"> were published in August 2015. </w:t>
      </w:r>
      <w:r w:rsidRPr="00D41728">
        <w:rPr>
          <w:rFonts w:cs="Arial"/>
          <w:bCs/>
        </w:rPr>
        <w:t xml:space="preserve"> </w:t>
      </w:r>
      <w:r>
        <w:rPr>
          <w:rFonts w:cs="Arial"/>
          <w:bCs/>
        </w:rPr>
        <w:t>W</w:t>
      </w:r>
      <w:r w:rsidRPr="00D41728">
        <w:rPr>
          <w:rFonts w:cs="Arial"/>
          <w:bCs/>
        </w:rPr>
        <w:t xml:space="preserve">ork was </w:t>
      </w:r>
      <w:r>
        <w:rPr>
          <w:rFonts w:cs="Arial"/>
          <w:bCs/>
        </w:rPr>
        <w:t xml:space="preserve">also </w:t>
      </w:r>
      <w:r w:rsidRPr="00D41728">
        <w:rPr>
          <w:rFonts w:cs="Arial"/>
          <w:bCs/>
        </w:rPr>
        <w:t xml:space="preserve">initiated on </w:t>
      </w:r>
      <w:r>
        <w:rPr>
          <w:rFonts w:cs="Arial"/>
          <w:bCs/>
        </w:rPr>
        <w:t>a m</w:t>
      </w:r>
      <w:r w:rsidRPr="00D41728">
        <w:rPr>
          <w:rFonts w:cs="Arial"/>
          <w:bCs/>
        </w:rPr>
        <w:t>anual</w:t>
      </w:r>
      <w:r>
        <w:rPr>
          <w:rFonts w:cs="Arial"/>
          <w:bCs/>
        </w:rPr>
        <w:t xml:space="preserve"> which explores various free and open source tools, w</w:t>
      </w:r>
      <w:r w:rsidRPr="00D41728">
        <w:rPr>
          <w:rFonts w:cs="Arial"/>
          <w:bCs/>
        </w:rPr>
        <w:t>ith the aim of making patent data and analysis more accessible</w:t>
      </w:r>
      <w:r>
        <w:rPr>
          <w:rFonts w:cs="Arial"/>
          <w:bCs/>
        </w:rPr>
        <w:t xml:space="preserve"> to non-technical people.  To address the challenge of required programming skills normally associated with open source tools, the manual was written in a user-friendly way for non-programmers, including detailed, step-by-step instructions.  </w:t>
      </w:r>
      <w:r>
        <w:t>Advanced, unedited versions of the chapters</w:t>
      </w:r>
      <w:r>
        <w:rPr>
          <w:rFonts w:cs="Arial"/>
          <w:bCs/>
        </w:rPr>
        <w:t xml:space="preserve"> of the manual were made available </w:t>
      </w:r>
      <w:r w:rsidRPr="00D41728">
        <w:rPr>
          <w:rFonts w:cs="Arial"/>
          <w:bCs/>
        </w:rPr>
        <w:t>on an open-source platform</w:t>
      </w:r>
      <w:r>
        <w:rPr>
          <w:rStyle w:val="FootnoteReference"/>
          <w:rFonts w:cs="Arial"/>
          <w:bCs/>
        </w:rPr>
        <w:footnoteReference w:id="90"/>
      </w:r>
      <w:r>
        <w:rPr>
          <w:rFonts w:cs="Arial"/>
          <w:bCs/>
        </w:rPr>
        <w:t>,</w:t>
      </w:r>
      <w:r w:rsidRPr="00D41728">
        <w:rPr>
          <w:rFonts w:cs="Arial"/>
          <w:bCs/>
        </w:rPr>
        <w:t xml:space="preserve"> </w:t>
      </w:r>
      <w:r>
        <w:rPr>
          <w:rFonts w:cs="Arial"/>
          <w:bCs/>
        </w:rPr>
        <w:t>and the final version will be made available on</w:t>
      </w:r>
      <w:r w:rsidRPr="00D41728">
        <w:rPr>
          <w:rFonts w:cs="Arial"/>
          <w:bCs/>
        </w:rPr>
        <w:t xml:space="preserve"> the Patent Landscapes webpage when finalized</w:t>
      </w:r>
      <w:r>
        <w:rPr>
          <w:rFonts w:cs="Arial"/>
          <w:bCs/>
        </w:rPr>
        <w:t>.</w:t>
      </w:r>
    </w:p>
    <w:p w:rsidR="000F04C0" w:rsidRDefault="000F04C0" w:rsidP="00E3403E">
      <w:pPr>
        <w:tabs>
          <w:tab w:val="left" w:pos="0"/>
          <w:tab w:val="left" w:pos="709"/>
        </w:tabs>
        <w:jc w:val="both"/>
        <w:rPr>
          <w:rFonts w:cs="Arial"/>
          <w:bCs/>
        </w:rPr>
      </w:pPr>
    </w:p>
    <w:p w:rsidR="000F04C0" w:rsidRPr="00BD71FF" w:rsidRDefault="000F04C0" w:rsidP="000F04C0">
      <w:pPr>
        <w:pStyle w:val="ListParagraph"/>
        <w:numPr>
          <w:ilvl w:val="0"/>
          <w:numId w:val="82"/>
        </w:numPr>
        <w:tabs>
          <w:tab w:val="left" w:pos="0"/>
          <w:tab w:val="left" w:pos="709"/>
        </w:tabs>
        <w:ind w:left="0" w:firstLine="0"/>
        <w:jc w:val="both"/>
        <w:rPr>
          <w:rFonts w:cs="Arial"/>
        </w:rPr>
      </w:pPr>
      <w:r w:rsidRPr="007826B2">
        <w:rPr>
          <w:rFonts w:cs="Arial"/>
          <w:bCs/>
        </w:rPr>
        <w:t xml:space="preserve">The design, planning and implementation of activities undertaken by Program 14 were informed by the </w:t>
      </w:r>
      <w:r w:rsidRPr="00BD71FF">
        <w:rPr>
          <w:rFonts w:cs="Arial"/>
          <w:bCs/>
        </w:rPr>
        <w:t>relevant DA Recommendations, in particular Recommendations 1, 8, 19, 30 and 31.</w:t>
      </w:r>
    </w:p>
    <w:p w:rsidR="000F04C0" w:rsidRPr="00D41728" w:rsidRDefault="000F04C0" w:rsidP="00E3403E">
      <w:pPr>
        <w:tabs>
          <w:tab w:val="left" w:pos="0"/>
          <w:tab w:val="left" w:pos="709"/>
        </w:tabs>
        <w:jc w:val="both"/>
        <w:rPr>
          <w:rFonts w:cs="Arial"/>
          <w:bCs/>
        </w:rPr>
      </w:pPr>
    </w:p>
    <w:p w:rsidR="000F04C0" w:rsidRPr="00654FA4" w:rsidRDefault="000F04C0" w:rsidP="00E3403E">
      <w:pPr>
        <w:tabs>
          <w:tab w:val="left" w:pos="709"/>
        </w:tabs>
        <w:rPr>
          <w:rFonts w:cs="Arial"/>
          <w:szCs w:val="22"/>
        </w:rPr>
      </w:pPr>
    </w:p>
    <w:p w:rsidR="000F04C0" w:rsidRPr="00654FA4" w:rsidRDefault="000F04C0" w:rsidP="00E3403E">
      <w:pPr>
        <w:ind w:left="2268" w:hanging="2268"/>
        <w:rPr>
          <w:rFonts w:cs="Arial"/>
          <w:szCs w:val="20"/>
        </w:rPr>
      </w:pPr>
      <w:r w:rsidRPr="00654FA4">
        <w:rPr>
          <w:rFonts w:cs="Arial"/>
          <w:szCs w:val="20"/>
        </w:rPr>
        <w:t>PERFORMANCE DATA</w:t>
      </w:r>
    </w:p>
    <w:p w:rsidR="000F04C0" w:rsidRDefault="000F04C0" w:rsidP="00E3403E">
      <w:pPr>
        <w:jc w:val="both"/>
        <w:rPr>
          <w:rFonts w:cs="Arial"/>
          <w:szCs w:val="20"/>
        </w:rPr>
      </w:pPr>
    </w:p>
    <w:tbl>
      <w:tblPr>
        <w:tblW w:w="4938"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055"/>
        <w:gridCol w:w="2329"/>
        <w:gridCol w:w="1643"/>
        <w:gridCol w:w="2467"/>
        <w:gridCol w:w="958"/>
      </w:tblGrid>
      <w:tr w:rsidR="000F04C0" w:rsidRPr="0068151C" w:rsidTr="00E3403E">
        <w:trPr>
          <w:cantSplit/>
        </w:trPr>
        <w:tc>
          <w:tcPr>
            <w:tcW w:w="5000" w:type="pct"/>
            <w:gridSpan w:val="5"/>
            <w:tcBorders>
              <w:top w:val="single" w:sz="4" w:space="0" w:color="auto"/>
              <w:bottom w:val="single" w:sz="4" w:space="0" w:color="auto"/>
            </w:tcBorders>
            <w:shd w:val="clear" w:color="auto" w:fill="C6D9F1" w:themeFill="text2" w:themeFillTint="33"/>
            <w:vAlign w:val="center"/>
          </w:tcPr>
          <w:p w:rsidR="000F04C0" w:rsidRPr="0068151C" w:rsidRDefault="000F04C0" w:rsidP="00E3403E">
            <w:pPr>
              <w:keepNext/>
              <w:keepLines/>
              <w:tabs>
                <w:tab w:val="left" w:pos="1452"/>
              </w:tabs>
              <w:spacing w:before="120" w:after="120"/>
              <w:ind w:left="1452" w:hanging="1452"/>
              <w:rPr>
                <w:rFonts w:cs="Arial"/>
                <w:b/>
                <w:bCs/>
                <w:sz w:val="16"/>
                <w:szCs w:val="16"/>
              </w:rPr>
            </w:pPr>
            <w:r w:rsidRPr="0068151C">
              <w:rPr>
                <w:rFonts w:cs="Arial"/>
                <w:b/>
                <w:bCs/>
                <w:sz w:val="16"/>
                <w:szCs w:val="16"/>
              </w:rPr>
              <w:t>Expected Result:</w:t>
            </w:r>
            <w:r w:rsidRPr="0068151C">
              <w:rPr>
                <w:rFonts w:cs="Arial"/>
                <w:b/>
                <w:bCs/>
                <w:sz w:val="16"/>
                <w:szCs w:val="16"/>
              </w:rPr>
              <w:tab/>
            </w:r>
            <w:r w:rsidRPr="007776CB">
              <w:rPr>
                <w:rFonts w:cs="Arial"/>
                <w:sz w:val="16"/>
                <w:szCs w:val="16"/>
              </w:rPr>
              <w:t>IV.2 Enhanced access to, and use of, IP information by IP institutions and the public to promote innovation and creativity</w:t>
            </w:r>
          </w:p>
        </w:tc>
      </w:tr>
      <w:tr w:rsidR="000F04C0" w:rsidRPr="0068151C" w:rsidTr="00E3403E">
        <w:trPr>
          <w:cantSplit/>
        </w:trPr>
        <w:tc>
          <w:tcPr>
            <w:tcW w:w="1087" w:type="pct"/>
            <w:tcBorders>
              <w:top w:val="single" w:sz="4" w:space="0" w:color="auto"/>
            </w:tcBorders>
            <w:shd w:val="clear" w:color="auto" w:fill="auto"/>
            <w:vAlign w:val="center"/>
          </w:tcPr>
          <w:p w:rsidR="000F04C0" w:rsidRPr="0068151C" w:rsidRDefault="000F04C0" w:rsidP="00E3403E">
            <w:pPr>
              <w:rPr>
                <w:rFonts w:cs="Arial"/>
                <w:sz w:val="16"/>
                <w:szCs w:val="16"/>
              </w:rPr>
            </w:pPr>
            <w:r w:rsidRPr="0068151C">
              <w:rPr>
                <w:rFonts w:cs="Arial"/>
                <w:b/>
                <w:bCs/>
                <w:sz w:val="16"/>
                <w:szCs w:val="16"/>
              </w:rPr>
              <w:t>Performance Indicators</w:t>
            </w:r>
          </w:p>
        </w:tc>
        <w:tc>
          <w:tcPr>
            <w:tcW w:w="1232" w:type="pct"/>
            <w:tcBorders>
              <w:top w:val="single" w:sz="4" w:space="0" w:color="auto"/>
            </w:tcBorders>
            <w:shd w:val="clear" w:color="auto" w:fill="auto"/>
            <w:vAlign w:val="center"/>
          </w:tcPr>
          <w:p w:rsidR="000F04C0" w:rsidRPr="0068151C" w:rsidRDefault="000F04C0" w:rsidP="00E3403E">
            <w:pPr>
              <w:rPr>
                <w:rFonts w:cs="Arial"/>
                <w:b/>
                <w:bCs/>
                <w:sz w:val="16"/>
                <w:szCs w:val="16"/>
              </w:rPr>
            </w:pPr>
            <w:r w:rsidRPr="0068151C">
              <w:rPr>
                <w:rFonts w:cs="Arial"/>
                <w:b/>
                <w:bCs/>
                <w:sz w:val="16"/>
                <w:szCs w:val="16"/>
              </w:rPr>
              <w:t>Baselines</w:t>
            </w:r>
          </w:p>
        </w:tc>
        <w:tc>
          <w:tcPr>
            <w:tcW w:w="869" w:type="pct"/>
            <w:tcBorders>
              <w:top w:val="single" w:sz="4" w:space="0" w:color="auto"/>
            </w:tcBorders>
            <w:shd w:val="clear" w:color="auto" w:fill="auto"/>
            <w:tcMar>
              <w:top w:w="110" w:type="dxa"/>
            </w:tcMar>
            <w:vAlign w:val="center"/>
          </w:tcPr>
          <w:p w:rsidR="000F04C0" w:rsidRPr="0068151C" w:rsidRDefault="000F04C0" w:rsidP="00E3403E">
            <w:pPr>
              <w:rPr>
                <w:rFonts w:cs="Arial"/>
                <w:b/>
                <w:sz w:val="16"/>
                <w:szCs w:val="16"/>
              </w:rPr>
            </w:pPr>
            <w:r w:rsidRPr="0068151C">
              <w:rPr>
                <w:rFonts w:cs="Arial"/>
                <w:b/>
                <w:sz w:val="16"/>
                <w:szCs w:val="16"/>
              </w:rPr>
              <w:t>Target</w:t>
            </w:r>
            <w:r>
              <w:rPr>
                <w:rFonts w:cs="Arial"/>
                <w:b/>
                <w:sz w:val="16"/>
                <w:szCs w:val="16"/>
              </w:rPr>
              <w:t>s</w:t>
            </w:r>
          </w:p>
        </w:tc>
        <w:tc>
          <w:tcPr>
            <w:tcW w:w="1305" w:type="pct"/>
            <w:tcBorders>
              <w:top w:val="single" w:sz="4" w:space="0" w:color="auto"/>
            </w:tcBorders>
            <w:shd w:val="clear" w:color="auto" w:fill="FFFFFF"/>
            <w:tcMar>
              <w:top w:w="110" w:type="dxa"/>
            </w:tcMar>
            <w:vAlign w:val="center"/>
          </w:tcPr>
          <w:p w:rsidR="000F04C0" w:rsidRPr="0068151C" w:rsidRDefault="000F04C0" w:rsidP="00E3403E">
            <w:pPr>
              <w:rPr>
                <w:rFonts w:cs="Arial"/>
                <w:sz w:val="16"/>
                <w:szCs w:val="16"/>
              </w:rPr>
            </w:pPr>
            <w:r w:rsidRPr="0068151C">
              <w:rPr>
                <w:rFonts w:cs="Arial"/>
                <w:b/>
                <w:bCs/>
                <w:sz w:val="16"/>
                <w:szCs w:val="16"/>
              </w:rPr>
              <w:t>Performance Data</w:t>
            </w:r>
          </w:p>
        </w:tc>
        <w:tc>
          <w:tcPr>
            <w:tcW w:w="507" w:type="pct"/>
            <w:tcBorders>
              <w:top w:val="single" w:sz="4" w:space="0" w:color="auto"/>
            </w:tcBorders>
            <w:shd w:val="clear" w:color="auto" w:fill="auto"/>
            <w:tcMar>
              <w:top w:w="110" w:type="dxa"/>
            </w:tcMar>
            <w:vAlign w:val="center"/>
          </w:tcPr>
          <w:p w:rsidR="000F04C0" w:rsidRPr="0068151C" w:rsidRDefault="000F04C0" w:rsidP="00E3403E">
            <w:pPr>
              <w:keepNext/>
              <w:keepLines/>
              <w:jc w:val="center"/>
              <w:rPr>
                <w:rFonts w:cs="Arial"/>
                <w:b/>
                <w:bCs/>
                <w:sz w:val="16"/>
                <w:szCs w:val="16"/>
              </w:rPr>
            </w:pPr>
            <w:r w:rsidRPr="0068151C">
              <w:rPr>
                <w:rFonts w:cs="Arial"/>
                <w:b/>
                <w:bCs/>
                <w:sz w:val="16"/>
                <w:szCs w:val="16"/>
              </w:rPr>
              <w:t>TLS</w:t>
            </w:r>
          </w:p>
        </w:tc>
      </w:tr>
      <w:tr w:rsidR="000F04C0" w:rsidRPr="0068151C" w:rsidTr="00E3403E">
        <w:trPr>
          <w:cantSplit/>
        </w:trPr>
        <w:tc>
          <w:tcPr>
            <w:tcW w:w="1087" w:type="pct"/>
            <w:shd w:val="clear" w:color="auto" w:fill="auto"/>
          </w:tcPr>
          <w:p w:rsidR="000F04C0" w:rsidRPr="0068151C" w:rsidRDefault="000F04C0" w:rsidP="00E3403E">
            <w:pPr>
              <w:rPr>
                <w:rFonts w:cs="Arial"/>
                <w:sz w:val="16"/>
                <w:szCs w:val="16"/>
              </w:rPr>
            </w:pPr>
            <w:r w:rsidRPr="007776CB">
              <w:rPr>
                <w:rFonts w:cs="Arial"/>
                <w:sz w:val="16"/>
                <w:szCs w:val="16"/>
              </w:rPr>
              <w:t>No. of sustainable national networks of TISCs</w:t>
            </w:r>
          </w:p>
        </w:tc>
        <w:tc>
          <w:tcPr>
            <w:tcW w:w="1232" w:type="pct"/>
            <w:shd w:val="clear" w:color="auto" w:fill="auto"/>
          </w:tcPr>
          <w:p w:rsidR="000F04C0" w:rsidRDefault="000F04C0" w:rsidP="00E3403E">
            <w:pPr>
              <w:rPr>
                <w:rFonts w:cs="Arial"/>
                <w:color w:val="002060"/>
                <w:sz w:val="16"/>
                <w:szCs w:val="16"/>
                <w:lang w:bidi="th-TH"/>
              </w:rPr>
            </w:pPr>
            <w:r>
              <w:rPr>
                <w:rFonts w:cs="Arial"/>
                <w:i/>
                <w:color w:val="002060"/>
                <w:sz w:val="16"/>
                <w:szCs w:val="16"/>
              </w:rPr>
              <w:t>Updated Baseline end 2013</w:t>
            </w:r>
            <w:r w:rsidRPr="0068151C">
              <w:rPr>
                <w:rFonts w:cs="Arial"/>
                <w:i/>
                <w:color w:val="002060"/>
                <w:sz w:val="16"/>
                <w:szCs w:val="16"/>
              </w:rPr>
              <w:t>:</w:t>
            </w:r>
            <w:r>
              <w:t xml:space="preserve"> </w:t>
            </w:r>
            <w:r w:rsidRPr="007776CB">
              <w:rPr>
                <w:rFonts w:cs="Arial"/>
                <w:color w:val="002060"/>
                <w:sz w:val="16"/>
                <w:szCs w:val="16"/>
              </w:rPr>
              <w:t>15 sustainable</w:t>
            </w:r>
            <w:r>
              <w:rPr>
                <w:rFonts w:cs="Arial"/>
                <w:color w:val="002060"/>
                <w:sz w:val="16"/>
                <w:szCs w:val="16"/>
              </w:rPr>
              <w:t xml:space="preserve"> (out of 39 established)</w:t>
            </w:r>
            <w:r w:rsidRPr="007776CB">
              <w:rPr>
                <w:rFonts w:cs="Arial"/>
                <w:color w:val="002060"/>
                <w:sz w:val="16"/>
                <w:szCs w:val="16"/>
              </w:rPr>
              <w:t xml:space="preserve"> TISC networks</w:t>
            </w:r>
            <w:r w:rsidRPr="0068151C">
              <w:rPr>
                <w:rFonts w:cs="Arial"/>
                <w:color w:val="002060"/>
                <w:sz w:val="16"/>
                <w:szCs w:val="16"/>
              </w:rPr>
              <w:br/>
            </w:r>
          </w:p>
          <w:p w:rsidR="000F04C0" w:rsidRPr="00CD26D6" w:rsidRDefault="000F04C0" w:rsidP="00E3403E">
            <w:pPr>
              <w:rPr>
                <w:rFonts w:cs="Arial"/>
                <w:color w:val="002060"/>
                <w:sz w:val="8"/>
                <w:szCs w:val="8"/>
                <w:lang w:bidi="th-TH"/>
              </w:rPr>
            </w:pPr>
          </w:p>
          <w:p w:rsidR="000F04C0" w:rsidRPr="0068151C" w:rsidRDefault="000F04C0" w:rsidP="00E3403E">
            <w:pPr>
              <w:rPr>
                <w:rFonts w:cs="Arial"/>
                <w:sz w:val="16"/>
                <w:szCs w:val="16"/>
                <w:lang w:bidi="th-TH"/>
              </w:rPr>
            </w:pPr>
            <w:r w:rsidRPr="0068151C">
              <w:rPr>
                <w:rFonts w:cs="Arial"/>
                <w:i/>
                <w:sz w:val="16"/>
                <w:szCs w:val="16"/>
                <w:lang w:bidi="th-TH"/>
              </w:rPr>
              <w:t>Original Baseline</w:t>
            </w:r>
          </w:p>
          <w:p w:rsidR="000F04C0" w:rsidRPr="007776CB" w:rsidRDefault="000F04C0" w:rsidP="00E3403E">
            <w:pPr>
              <w:rPr>
                <w:rFonts w:cs="Arial"/>
                <w:sz w:val="16"/>
                <w:szCs w:val="16"/>
              </w:rPr>
            </w:pPr>
            <w:r>
              <w:rPr>
                <w:rFonts w:cs="Arial"/>
                <w:i/>
                <w:sz w:val="16"/>
                <w:szCs w:val="16"/>
              </w:rPr>
              <w:t>P&amp;B 2014/15</w:t>
            </w:r>
            <w:r w:rsidRPr="0068151C">
              <w:rPr>
                <w:rFonts w:cs="Arial"/>
                <w:i/>
                <w:sz w:val="16"/>
                <w:szCs w:val="16"/>
              </w:rPr>
              <w:t>:</w:t>
            </w:r>
            <w:r>
              <w:rPr>
                <w:rFonts w:cs="Arial"/>
                <w:i/>
                <w:sz w:val="16"/>
                <w:szCs w:val="16"/>
              </w:rPr>
              <w:t xml:space="preserve"> </w:t>
            </w:r>
            <w:r w:rsidRPr="007776CB">
              <w:rPr>
                <w:rFonts w:cs="Arial"/>
                <w:sz w:val="16"/>
                <w:szCs w:val="16"/>
              </w:rPr>
              <w:t xml:space="preserve">15 national TISC networks: (cumulative per end first quarter 2013):  Africa (6);  </w:t>
            </w:r>
          </w:p>
          <w:p w:rsidR="000F04C0" w:rsidRPr="007776CB" w:rsidRDefault="000F04C0" w:rsidP="00E3403E">
            <w:pPr>
              <w:rPr>
                <w:rFonts w:cs="Arial"/>
                <w:sz w:val="16"/>
                <w:szCs w:val="16"/>
              </w:rPr>
            </w:pPr>
            <w:r w:rsidRPr="007776CB">
              <w:rPr>
                <w:rFonts w:cs="Arial"/>
                <w:sz w:val="16"/>
                <w:szCs w:val="16"/>
              </w:rPr>
              <w:t xml:space="preserve">Arab region (2); </w:t>
            </w:r>
          </w:p>
          <w:p w:rsidR="000F04C0" w:rsidRPr="007776CB" w:rsidRDefault="000F04C0" w:rsidP="00E3403E">
            <w:pPr>
              <w:rPr>
                <w:rFonts w:cs="Arial"/>
                <w:sz w:val="16"/>
                <w:szCs w:val="16"/>
              </w:rPr>
            </w:pPr>
            <w:r w:rsidRPr="007776CB">
              <w:rPr>
                <w:rFonts w:cs="Arial"/>
                <w:sz w:val="16"/>
                <w:szCs w:val="16"/>
              </w:rPr>
              <w:t xml:space="preserve"> Asia and </w:t>
            </w:r>
            <w:r>
              <w:rPr>
                <w:rFonts w:cs="Arial"/>
                <w:sz w:val="16"/>
                <w:szCs w:val="16"/>
              </w:rPr>
              <w:t xml:space="preserve">the </w:t>
            </w:r>
            <w:r w:rsidRPr="007776CB">
              <w:rPr>
                <w:rFonts w:cs="Arial"/>
                <w:sz w:val="16"/>
                <w:szCs w:val="16"/>
              </w:rPr>
              <w:t xml:space="preserve">Pacific (2);  Latin America and the Caribbean (4);  </w:t>
            </w:r>
          </w:p>
          <w:p w:rsidR="000F04C0" w:rsidRPr="0068151C" w:rsidRDefault="000F04C0" w:rsidP="00E3403E">
            <w:pPr>
              <w:rPr>
                <w:rFonts w:cs="Arial"/>
                <w:sz w:val="16"/>
                <w:szCs w:val="16"/>
              </w:rPr>
            </w:pPr>
            <w:r w:rsidRPr="007776CB">
              <w:rPr>
                <w:rFonts w:cs="Arial"/>
                <w:sz w:val="16"/>
                <w:szCs w:val="16"/>
              </w:rPr>
              <w:t>Certain Countries in Europe and Asia (1)</w:t>
            </w:r>
          </w:p>
        </w:tc>
        <w:tc>
          <w:tcPr>
            <w:tcW w:w="869" w:type="pct"/>
            <w:shd w:val="clear" w:color="auto" w:fill="auto"/>
            <w:tcMar>
              <w:top w:w="110" w:type="dxa"/>
            </w:tcMar>
          </w:tcPr>
          <w:p w:rsidR="000F04C0" w:rsidRPr="007776CB" w:rsidRDefault="000F04C0" w:rsidP="00E3403E">
            <w:pPr>
              <w:rPr>
                <w:rFonts w:cs="Arial"/>
                <w:sz w:val="16"/>
                <w:szCs w:val="16"/>
              </w:rPr>
            </w:pPr>
            <w:r w:rsidRPr="007776CB">
              <w:rPr>
                <w:rFonts w:cs="Arial"/>
                <w:sz w:val="16"/>
                <w:szCs w:val="16"/>
              </w:rPr>
              <w:t>25</w:t>
            </w:r>
            <w:r>
              <w:rPr>
                <w:rFonts w:cs="Arial"/>
                <w:sz w:val="16"/>
                <w:szCs w:val="16"/>
              </w:rPr>
              <w:t xml:space="preserve"> </w:t>
            </w:r>
            <w:r w:rsidRPr="007776CB">
              <w:rPr>
                <w:rFonts w:cs="Arial"/>
                <w:sz w:val="16"/>
                <w:szCs w:val="16"/>
              </w:rPr>
              <w:t>national TISC networks</w:t>
            </w:r>
            <w:r>
              <w:rPr>
                <w:rFonts w:cs="Arial"/>
                <w:sz w:val="16"/>
                <w:szCs w:val="16"/>
              </w:rPr>
              <w:t xml:space="preserve"> (cumulative): </w:t>
            </w:r>
            <w:r w:rsidRPr="007776CB">
              <w:rPr>
                <w:rFonts w:cs="Arial"/>
                <w:sz w:val="16"/>
                <w:szCs w:val="16"/>
              </w:rPr>
              <w:t xml:space="preserve">Africa (10 of which 8 LDCs);  </w:t>
            </w:r>
          </w:p>
          <w:p w:rsidR="000F04C0" w:rsidRPr="007776CB" w:rsidRDefault="000F04C0" w:rsidP="00E3403E">
            <w:pPr>
              <w:rPr>
                <w:rFonts w:cs="Arial"/>
                <w:sz w:val="16"/>
                <w:szCs w:val="16"/>
              </w:rPr>
            </w:pPr>
            <w:r w:rsidRPr="007776CB">
              <w:rPr>
                <w:rFonts w:cs="Arial"/>
                <w:sz w:val="16"/>
                <w:szCs w:val="16"/>
              </w:rPr>
              <w:t xml:space="preserve">Arab region (3);  </w:t>
            </w:r>
          </w:p>
          <w:p w:rsidR="000F04C0" w:rsidRPr="007776CB" w:rsidRDefault="000F04C0" w:rsidP="00E3403E">
            <w:pPr>
              <w:rPr>
                <w:rFonts w:cs="Arial"/>
                <w:sz w:val="16"/>
                <w:szCs w:val="16"/>
              </w:rPr>
            </w:pPr>
            <w:r w:rsidRPr="007776CB">
              <w:rPr>
                <w:rFonts w:cs="Arial"/>
                <w:sz w:val="16"/>
                <w:szCs w:val="16"/>
              </w:rPr>
              <w:t xml:space="preserve">Asia and </w:t>
            </w:r>
            <w:r>
              <w:rPr>
                <w:rFonts w:cs="Arial"/>
                <w:sz w:val="16"/>
                <w:szCs w:val="16"/>
              </w:rPr>
              <w:t xml:space="preserve">the </w:t>
            </w:r>
            <w:r w:rsidRPr="007776CB">
              <w:rPr>
                <w:rFonts w:cs="Arial"/>
                <w:sz w:val="16"/>
                <w:szCs w:val="16"/>
              </w:rPr>
              <w:t xml:space="preserve">Pacific (4 of which 2 LDCs);  </w:t>
            </w:r>
          </w:p>
          <w:p w:rsidR="000F04C0" w:rsidRPr="007776CB" w:rsidRDefault="000F04C0" w:rsidP="00E3403E">
            <w:pPr>
              <w:rPr>
                <w:rFonts w:cs="Arial"/>
                <w:sz w:val="16"/>
                <w:szCs w:val="16"/>
              </w:rPr>
            </w:pPr>
            <w:r w:rsidRPr="007776CB">
              <w:rPr>
                <w:rFonts w:cs="Arial"/>
                <w:sz w:val="16"/>
                <w:szCs w:val="16"/>
              </w:rPr>
              <w:t xml:space="preserve">Latin America and the Caribbean (6);  </w:t>
            </w:r>
          </w:p>
          <w:p w:rsidR="000F04C0" w:rsidRPr="0068151C" w:rsidRDefault="000F04C0" w:rsidP="00E3403E">
            <w:pPr>
              <w:rPr>
                <w:rFonts w:cs="Arial"/>
                <w:i/>
                <w:sz w:val="16"/>
                <w:szCs w:val="16"/>
              </w:rPr>
            </w:pPr>
            <w:r w:rsidRPr="007776CB">
              <w:rPr>
                <w:rFonts w:cs="Arial"/>
                <w:sz w:val="16"/>
                <w:szCs w:val="16"/>
              </w:rPr>
              <w:t>Certain Countries in Europe and Asia (2)</w:t>
            </w:r>
          </w:p>
        </w:tc>
        <w:tc>
          <w:tcPr>
            <w:tcW w:w="1305" w:type="pct"/>
            <w:shd w:val="clear" w:color="auto" w:fill="FFFFFF"/>
            <w:tcMar>
              <w:top w:w="110" w:type="dxa"/>
            </w:tcMar>
          </w:tcPr>
          <w:p w:rsidR="000F04C0" w:rsidRPr="0045439E" w:rsidRDefault="000F04C0" w:rsidP="00E3403E">
            <w:pPr>
              <w:rPr>
                <w:rFonts w:cs="Arial"/>
                <w:sz w:val="16"/>
                <w:szCs w:val="16"/>
              </w:rPr>
            </w:pPr>
            <w:r>
              <w:rPr>
                <w:rFonts w:cs="Arial"/>
                <w:sz w:val="16"/>
                <w:szCs w:val="16"/>
              </w:rPr>
              <w:t xml:space="preserve">25 sustainable national networks out of 50 formally established (cumulative):  </w:t>
            </w:r>
            <w:r w:rsidRPr="0045439E">
              <w:rPr>
                <w:rFonts w:cs="Arial"/>
                <w:sz w:val="16"/>
                <w:szCs w:val="16"/>
              </w:rPr>
              <w:t xml:space="preserve">Africa (10 of which 8 LDCs);  </w:t>
            </w:r>
          </w:p>
          <w:p w:rsidR="000F04C0" w:rsidRPr="0045439E" w:rsidRDefault="000F04C0" w:rsidP="00E3403E">
            <w:pPr>
              <w:rPr>
                <w:rFonts w:cs="Arial"/>
                <w:sz w:val="16"/>
                <w:szCs w:val="16"/>
              </w:rPr>
            </w:pPr>
            <w:r w:rsidRPr="0045439E">
              <w:rPr>
                <w:rFonts w:cs="Arial"/>
                <w:sz w:val="16"/>
                <w:szCs w:val="16"/>
              </w:rPr>
              <w:t xml:space="preserve">Arab (3);  </w:t>
            </w:r>
          </w:p>
          <w:p w:rsidR="000F04C0" w:rsidRPr="0045439E" w:rsidRDefault="000F04C0" w:rsidP="00E3403E">
            <w:pPr>
              <w:rPr>
                <w:rFonts w:cs="Arial"/>
                <w:sz w:val="16"/>
                <w:szCs w:val="16"/>
              </w:rPr>
            </w:pPr>
            <w:r w:rsidRPr="0045439E">
              <w:rPr>
                <w:rFonts w:cs="Arial"/>
                <w:sz w:val="16"/>
                <w:szCs w:val="16"/>
              </w:rPr>
              <w:t xml:space="preserve">Asia and the Pacific (4 of which </w:t>
            </w:r>
            <w:r>
              <w:rPr>
                <w:rFonts w:cs="Arial"/>
                <w:sz w:val="16"/>
                <w:szCs w:val="16"/>
              </w:rPr>
              <w:t xml:space="preserve">1 </w:t>
            </w:r>
            <w:r w:rsidRPr="0045439E">
              <w:rPr>
                <w:rFonts w:cs="Arial"/>
                <w:sz w:val="16"/>
                <w:szCs w:val="16"/>
              </w:rPr>
              <w:t xml:space="preserve">LDC);  </w:t>
            </w:r>
          </w:p>
          <w:p w:rsidR="000F04C0" w:rsidRPr="0045439E" w:rsidRDefault="000F04C0" w:rsidP="00E3403E">
            <w:pPr>
              <w:rPr>
                <w:rFonts w:cs="Arial"/>
                <w:sz w:val="16"/>
                <w:szCs w:val="16"/>
              </w:rPr>
            </w:pPr>
            <w:r w:rsidRPr="0045439E">
              <w:rPr>
                <w:rFonts w:cs="Arial"/>
                <w:sz w:val="16"/>
                <w:szCs w:val="16"/>
              </w:rPr>
              <w:t>Latin America and the Caribbean (</w:t>
            </w:r>
            <w:r>
              <w:rPr>
                <w:rFonts w:cs="Arial"/>
                <w:sz w:val="16"/>
                <w:szCs w:val="16"/>
              </w:rPr>
              <w:t>7</w:t>
            </w:r>
            <w:r w:rsidRPr="0045439E">
              <w:rPr>
                <w:rFonts w:cs="Arial"/>
                <w:sz w:val="16"/>
                <w:szCs w:val="16"/>
              </w:rPr>
              <w:t xml:space="preserve">);  </w:t>
            </w:r>
          </w:p>
          <w:p w:rsidR="000F04C0" w:rsidRPr="0068151C" w:rsidRDefault="000F04C0" w:rsidP="00E3403E">
            <w:pPr>
              <w:rPr>
                <w:rFonts w:cs="Arial"/>
                <w:sz w:val="16"/>
                <w:szCs w:val="16"/>
              </w:rPr>
            </w:pPr>
            <w:r w:rsidRPr="0045439E">
              <w:rPr>
                <w:rFonts w:cs="Arial"/>
                <w:sz w:val="16"/>
                <w:szCs w:val="16"/>
              </w:rPr>
              <w:t>Certain Countries in Europe and Asia (</w:t>
            </w:r>
            <w:r>
              <w:rPr>
                <w:rFonts w:cs="Arial"/>
                <w:sz w:val="16"/>
                <w:szCs w:val="16"/>
              </w:rPr>
              <w:t>1</w:t>
            </w:r>
            <w:r w:rsidRPr="0045439E">
              <w:rPr>
                <w:rFonts w:cs="Arial"/>
                <w:sz w:val="16"/>
                <w:szCs w:val="16"/>
              </w:rPr>
              <w:t>)</w:t>
            </w:r>
          </w:p>
        </w:tc>
        <w:tc>
          <w:tcPr>
            <w:tcW w:w="507" w:type="pct"/>
            <w:shd w:val="clear" w:color="auto" w:fill="auto"/>
            <w:tcMar>
              <w:top w:w="110" w:type="dxa"/>
            </w:tcMar>
          </w:tcPr>
          <w:p w:rsidR="000F04C0" w:rsidRPr="00845557" w:rsidRDefault="000F04C0" w:rsidP="00E3403E">
            <w:pPr>
              <w:keepNext/>
              <w:keepLines/>
              <w:jc w:val="center"/>
              <w:rPr>
                <w:rFonts w:cs="Arial"/>
                <w:b/>
                <w:bCs/>
                <w:color w:val="00B050"/>
                <w:sz w:val="16"/>
                <w:szCs w:val="16"/>
              </w:rPr>
            </w:pPr>
            <w:r w:rsidRPr="00BB6C53">
              <w:rPr>
                <w:rFonts w:cs="Arial"/>
                <w:b/>
                <w:bCs/>
                <w:color w:val="00B050"/>
                <w:sz w:val="16"/>
                <w:szCs w:val="16"/>
              </w:rPr>
              <w:t>Fully Achieved</w:t>
            </w:r>
          </w:p>
        </w:tc>
      </w:tr>
      <w:tr w:rsidR="000F04C0" w:rsidRPr="0068151C" w:rsidTr="00E3403E">
        <w:trPr>
          <w:cantSplit/>
        </w:trPr>
        <w:tc>
          <w:tcPr>
            <w:tcW w:w="1087" w:type="pct"/>
            <w:shd w:val="clear" w:color="auto" w:fill="auto"/>
          </w:tcPr>
          <w:p w:rsidR="000F04C0" w:rsidRPr="0068151C" w:rsidRDefault="000F04C0" w:rsidP="00E3403E">
            <w:pPr>
              <w:rPr>
                <w:rFonts w:cs="Arial"/>
                <w:sz w:val="16"/>
                <w:szCs w:val="16"/>
              </w:rPr>
            </w:pPr>
            <w:r w:rsidRPr="007776CB">
              <w:rPr>
                <w:rFonts w:cs="Arial"/>
                <w:sz w:val="16"/>
                <w:szCs w:val="16"/>
              </w:rPr>
              <w:t>Average number of users serviced by TISCs per quarter and country</w:t>
            </w:r>
          </w:p>
        </w:tc>
        <w:tc>
          <w:tcPr>
            <w:tcW w:w="1232" w:type="pct"/>
            <w:shd w:val="clear" w:color="auto" w:fill="auto"/>
          </w:tcPr>
          <w:p w:rsidR="000F04C0" w:rsidRPr="007776CB" w:rsidRDefault="000F04C0" w:rsidP="00E3403E">
            <w:pPr>
              <w:rPr>
                <w:rFonts w:cs="Arial"/>
                <w:color w:val="002060"/>
                <w:sz w:val="16"/>
                <w:szCs w:val="16"/>
                <w:lang w:bidi="th-TH"/>
              </w:rPr>
            </w:pPr>
            <w:r>
              <w:rPr>
                <w:rFonts w:cs="Arial"/>
                <w:i/>
                <w:color w:val="002060"/>
                <w:sz w:val="16"/>
                <w:szCs w:val="16"/>
              </w:rPr>
              <w:t>Updated Baseline end 2013</w:t>
            </w:r>
            <w:r w:rsidRPr="0068151C">
              <w:rPr>
                <w:rFonts w:cs="Arial"/>
                <w:i/>
                <w:color w:val="002060"/>
                <w:sz w:val="16"/>
                <w:szCs w:val="16"/>
              </w:rPr>
              <w:t>:</w:t>
            </w:r>
            <w:r>
              <w:t xml:space="preserve"> </w:t>
            </w:r>
            <w:r w:rsidRPr="00B3417F">
              <w:rPr>
                <w:rFonts w:cs="Arial"/>
                <w:color w:val="002060"/>
                <w:sz w:val="16"/>
                <w:szCs w:val="16"/>
              </w:rPr>
              <w:t>532 (min.) to 1370 (max.) average no. of users serviced by TISCs per day during 2013.</w:t>
            </w:r>
            <w:r w:rsidRPr="0068151C">
              <w:rPr>
                <w:rFonts w:cs="Arial"/>
                <w:color w:val="002060"/>
                <w:sz w:val="16"/>
                <w:szCs w:val="16"/>
              </w:rPr>
              <w:br/>
            </w:r>
          </w:p>
          <w:p w:rsidR="000F04C0" w:rsidRPr="0068151C" w:rsidRDefault="000F04C0" w:rsidP="00E3403E">
            <w:pPr>
              <w:rPr>
                <w:rFonts w:cs="Arial"/>
                <w:sz w:val="16"/>
                <w:szCs w:val="16"/>
                <w:lang w:bidi="th-TH"/>
              </w:rPr>
            </w:pPr>
            <w:r w:rsidRPr="0068151C">
              <w:rPr>
                <w:rFonts w:cs="Arial"/>
                <w:i/>
                <w:sz w:val="16"/>
                <w:szCs w:val="16"/>
                <w:lang w:bidi="th-TH"/>
              </w:rPr>
              <w:t>Original Baseline</w:t>
            </w:r>
          </w:p>
          <w:p w:rsidR="000F04C0" w:rsidRPr="0068151C" w:rsidRDefault="000F04C0" w:rsidP="00E3403E">
            <w:pPr>
              <w:rPr>
                <w:rFonts w:cs="Arial"/>
                <w:sz w:val="16"/>
                <w:szCs w:val="16"/>
              </w:rPr>
            </w:pPr>
            <w:r>
              <w:rPr>
                <w:rFonts w:cs="Arial"/>
                <w:i/>
                <w:sz w:val="16"/>
                <w:szCs w:val="16"/>
              </w:rPr>
              <w:t>P&amp;B 2014/15</w:t>
            </w:r>
            <w:r w:rsidRPr="0068151C">
              <w:rPr>
                <w:rFonts w:cs="Arial"/>
                <w:i/>
                <w:sz w:val="16"/>
                <w:szCs w:val="16"/>
              </w:rPr>
              <w:t>:</w:t>
            </w:r>
            <w:r>
              <w:rPr>
                <w:rFonts w:cs="Arial"/>
                <w:i/>
                <w:sz w:val="16"/>
                <w:szCs w:val="16"/>
              </w:rPr>
              <w:t xml:space="preserve"> </w:t>
            </w:r>
            <w:r w:rsidRPr="0015377F">
              <w:rPr>
                <w:rFonts w:cs="Arial"/>
                <w:sz w:val="16"/>
                <w:szCs w:val="16"/>
              </w:rPr>
              <w:t>200 (min.) – 630 (max.)</w:t>
            </w:r>
          </w:p>
        </w:tc>
        <w:tc>
          <w:tcPr>
            <w:tcW w:w="869" w:type="pct"/>
            <w:shd w:val="clear" w:color="auto" w:fill="auto"/>
            <w:tcMar>
              <w:top w:w="110" w:type="dxa"/>
            </w:tcMar>
          </w:tcPr>
          <w:p w:rsidR="000F04C0" w:rsidRPr="0068151C" w:rsidRDefault="000F04C0" w:rsidP="00E3403E">
            <w:pPr>
              <w:rPr>
                <w:rFonts w:cs="Arial"/>
                <w:sz w:val="16"/>
                <w:szCs w:val="16"/>
              </w:rPr>
            </w:pPr>
            <w:r w:rsidRPr="0015377F">
              <w:rPr>
                <w:rFonts w:cs="Arial"/>
                <w:sz w:val="16"/>
                <w:szCs w:val="16"/>
              </w:rPr>
              <w:t>300 (min.) – 750 (max.)</w:t>
            </w:r>
          </w:p>
        </w:tc>
        <w:tc>
          <w:tcPr>
            <w:tcW w:w="1305" w:type="pct"/>
            <w:shd w:val="clear" w:color="auto" w:fill="FFFFFF"/>
            <w:tcMar>
              <w:top w:w="110" w:type="dxa"/>
            </w:tcMar>
          </w:tcPr>
          <w:p w:rsidR="000F04C0" w:rsidRPr="0068151C" w:rsidRDefault="000F04C0" w:rsidP="00E3403E">
            <w:pPr>
              <w:rPr>
                <w:rFonts w:cs="Arial"/>
                <w:sz w:val="16"/>
                <w:szCs w:val="16"/>
              </w:rPr>
            </w:pPr>
            <w:r>
              <w:rPr>
                <w:rFonts w:cs="Arial"/>
                <w:sz w:val="16"/>
                <w:szCs w:val="16"/>
              </w:rPr>
              <w:t>874</w:t>
            </w:r>
            <w:r w:rsidRPr="0045439E">
              <w:rPr>
                <w:rFonts w:cs="Arial"/>
                <w:sz w:val="16"/>
                <w:szCs w:val="16"/>
              </w:rPr>
              <w:t xml:space="preserve"> (min.) – </w:t>
            </w:r>
            <w:r>
              <w:rPr>
                <w:rFonts w:cs="Arial"/>
                <w:sz w:val="16"/>
                <w:szCs w:val="16"/>
              </w:rPr>
              <w:t>2,631</w:t>
            </w:r>
            <w:r w:rsidRPr="0045439E">
              <w:rPr>
                <w:rFonts w:cs="Arial"/>
                <w:sz w:val="16"/>
                <w:szCs w:val="16"/>
              </w:rPr>
              <w:t xml:space="preserve"> (max.)</w:t>
            </w:r>
          </w:p>
        </w:tc>
        <w:tc>
          <w:tcPr>
            <w:tcW w:w="507" w:type="pct"/>
            <w:shd w:val="clear" w:color="auto" w:fill="auto"/>
            <w:tcMar>
              <w:top w:w="110" w:type="dxa"/>
            </w:tcMar>
          </w:tcPr>
          <w:p w:rsidR="000F04C0" w:rsidRPr="00BD71FF" w:rsidRDefault="000F04C0" w:rsidP="00E3403E">
            <w:pPr>
              <w:keepNext/>
              <w:keepLines/>
              <w:jc w:val="center"/>
              <w:rPr>
                <w:rFonts w:cs="Arial"/>
                <w:b/>
                <w:bCs/>
                <w:color w:val="808080"/>
                <w:sz w:val="16"/>
                <w:szCs w:val="16"/>
              </w:rPr>
            </w:pPr>
            <w:r w:rsidRPr="00BB6C53">
              <w:rPr>
                <w:rFonts w:cs="Arial"/>
                <w:b/>
                <w:bCs/>
                <w:color w:val="00B050"/>
                <w:sz w:val="16"/>
                <w:szCs w:val="16"/>
              </w:rPr>
              <w:t>Fully Achieved</w:t>
            </w:r>
          </w:p>
        </w:tc>
      </w:tr>
      <w:tr w:rsidR="000F04C0" w:rsidRPr="0068151C" w:rsidTr="00E3403E">
        <w:trPr>
          <w:cantSplit/>
        </w:trPr>
        <w:tc>
          <w:tcPr>
            <w:tcW w:w="1087" w:type="pct"/>
            <w:shd w:val="clear" w:color="auto" w:fill="auto"/>
          </w:tcPr>
          <w:p w:rsidR="000F04C0" w:rsidRPr="0068151C" w:rsidRDefault="000F04C0" w:rsidP="00E3403E">
            <w:pPr>
              <w:rPr>
                <w:rFonts w:cs="Arial"/>
                <w:sz w:val="16"/>
                <w:szCs w:val="16"/>
              </w:rPr>
            </w:pPr>
            <w:r w:rsidRPr="0015377F">
              <w:rPr>
                <w:rFonts w:cs="Arial"/>
                <w:sz w:val="16"/>
                <w:szCs w:val="16"/>
              </w:rPr>
              <w:t>No. of active registered users of ARDI and ASPI</w:t>
            </w:r>
          </w:p>
        </w:tc>
        <w:tc>
          <w:tcPr>
            <w:tcW w:w="1232" w:type="pct"/>
            <w:shd w:val="clear" w:color="auto" w:fill="auto"/>
          </w:tcPr>
          <w:p w:rsidR="000F04C0" w:rsidRPr="003B7638" w:rsidRDefault="000F04C0" w:rsidP="00E3403E">
            <w:pPr>
              <w:rPr>
                <w:rFonts w:cs="Arial"/>
                <w:color w:val="002060"/>
                <w:sz w:val="16"/>
                <w:szCs w:val="16"/>
              </w:rPr>
            </w:pPr>
            <w:r>
              <w:rPr>
                <w:rFonts w:cs="Arial"/>
                <w:i/>
                <w:color w:val="002060"/>
                <w:sz w:val="16"/>
                <w:szCs w:val="16"/>
              </w:rPr>
              <w:t>Updated Baseline end 2013</w:t>
            </w:r>
            <w:r w:rsidRPr="0068151C">
              <w:rPr>
                <w:rFonts w:cs="Arial"/>
                <w:i/>
                <w:color w:val="002060"/>
                <w:sz w:val="16"/>
                <w:szCs w:val="16"/>
              </w:rPr>
              <w:t>:</w:t>
            </w:r>
            <w:r>
              <w:t xml:space="preserve"> </w:t>
            </w:r>
            <w:r>
              <w:rPr>
                <w:rFonts w:cs="Arial"/>
                <w:color w:val="002060"/>
                <w:sz w:val="16"/>
                <w:szCs w:val="16"/>
              </w:rPr>
              <w:t>A</w:t>
            </w:r>
            <w:r w:rsidRPr="003B7638">
              <w:rPr>
                <w:rFonts w:cs="Arial"/>
                <w:color w:val="002060"/>
                <w:sz w:val="16"/>
                <w:szCs w:val="16"/>
              </w:rPr>
              <w:t>RDI (207 active users)</w:t>
            </w:r>
          </w:p>
          <w:p w:rsidR="000F04C0" w:rsidRPr="00DF4E63" w:rsidRDefault="000F04C0" w:rsidP="00E3403E">
            <w:r w:rsidRPr="003B7638">
              <w:rPr>
                <w:rFonts w:cs="Arial"/>
                <w:color w:val="002060"/>
                <w:sz w:val="16"/>
                <w:szCs w:val="16"/>
              </w:rPr>
              <w:t>ASPI (20 active users)</w:t>
            </w:r>
          </w:p>
          <w:p w:rsidR="000F04C0" w:rsidRDefault="000F04C0" w:rsidP="00E3403E">
            <w:pPr>
              <w:rPr>
                <w:rFonts w:cs="Arial"/>
                <w:color w:val="002060"/>
                <w:sz w:val="16"/>
                <w:szCs w:val="16"/>
              </w:rPr>
            </w:pPr>
          </w:p>
          <w:p w:rsidR="000F04C0" w:rsidRPr="0068151C" w:rsidRDefault="000F04C0" w:rsidP="00E3403E">
            <w:pPr>
              <w:rPr>
                <w:rFonts w:cs="Arial"/>
                <w:sz w:val="16"/>
                <w:szCs w:val="16"/>
                <w:lang w:bidi="th-TH"/>
              </w:rPr>
            </w:pPr>
            <w:r w:rsidRPr="0068151C">
              <w:rPr>
                <w:rFonts w:cs="Arial"/>
                <w:i/>
                <w:sz w:val="16"/>
                <w:szCs w:val="16"/>
                <w:lang w:bidi="th-TH"/>
              </w:rPr>
              <w:t>Original Baseline</w:t>
            </w:r>
          </w:p>
          <w:p w:rsidR="000F04C0" w:rsidRDefault="000F04C0" w:rsidP="00E3403E">
            <w:r>
              <w:rPr>
                <w:rFonts w:cs="Arial"/>
                <w:i/>
                <w:sz w:val="16"/>
                <w:szCs w:val="16"/>
              </w:rPr>
              <w:t>P&amp;B 2014/15</w:t>
            </w:r>
            <w:r w:rsidRPr="0068151C">
              <w:rPr>
                <w:rFonts w:cs="Arial"/>
                <w:i/>
                <w:sz w:val="16"/>
                <w:szCs w:val="16"/>
              </w:rPr>
              <w:t>:</w:t>
            </w:r>
            <w:r>
              <w:t xml:space="preserve"> </w:t>
            </w:r>
          </w:p>
          <w:p w:rsidR="000F04C0" w:rsidRPr="00DF4E63" w:rsidRDefault="000F04C0" w:rsidP="00E3403E">
            <w:pPr>
              <w:rPr>
                <w:rFonts w:cs="Arial"/>
                <w:sz w:val="16"/>
                <w:szCs w:val="16"/>
              </w:rPr>
            </w:pPr>
            <w:r w:rsidRPr="00DF4E63">
              <w:rPr>
                <w:rFonts w:cs="Arial"/>
                <w:sz w:val="16"/>
                <w:szCs w:val="16"/>
              </w:rPr>
              <w:t>ARDI 50</w:t>
            </w:r>
          </w:p>
          <w:p w:rsidR="000F04C0" w:rsidRPr="0068151C" w:rsidRDefault="000F04C0" w:rsidP="00E3403E">
            <w:pPr>
              <w:rPr>
                <w:rFonts w:cs="Arial"/>
                <w:sz w:val="16"/>
                <w:szCs w:val="16"/>
              </w:rPr>
            </w:pPr>
            <w:r w:rsidRPr="00DF4E63">
              <w:rPr>
                <w:rFonts w:cs="Arial"/>
                <w:sz w:val="16"/>
                <w:szCs w:val="16"/>
              </w:rPr>
              <w:t>ASPI 20</w:t>
            </w:r>
          </w:p>
        </w:tc>
        <w:tc>
          <w:tcPr>
            <w:tcW w:w="869" w:type="pct"/>
            <w:shd w:val="clear" w:color="auto" w:fill="auto"/>
            <w:tcMar>
              <w:top w:w="110" w:type="dxa"/>
            </w:tcMar>
          </w:tcPr>
          <w:p w:rsidR="000F04C0" w:rsidRPr="0015377F" w:rsidRDefault="000F04C0" w:rsidP="00E3403E">
            <w:pPr>
              <w:rPr>
                <w:rFonts w:cs="Arial"/>
                <w:sz w:val="16"/>
                <w:szCs w:val="16"/>
              </w:rPr>
            </w:pPr>
            <w:r w:rsidRPr="0015377F">
              <w:rPr>
                <w:rFonts w:cs="Arial"/>
                <w:sz w:val="16"/>
                <w:szCs w:val="16"/>
              </w:rPr>
              <w:t>ARDI 300</w:t>
            </w:r>
          </w:p>
          <w:p w:rsidR="000F04C0" w:rsidRPr="0068151C" w:rsidRDefault="000F04C0" w:rsidP="00E3403E">
            <w:pPr>
              <w:rPr>
                <w:rFonts w:cs="Arial"/>
                <w:i/>
                <w:sz w:val="16"/>
                <w:szCs w:val="16"/>
              </w:rPr>
            </w:pPr>
            <w:r w:rsidRPr="0015377F">
              <w:rPr>
                <w:rFonts w:cs="Arial"/>
                <w:sz w:val="16"/>
                <w:szCs w:val="16"/>
              </w:rPr>
              <w:t>ASPI 30</w:t>
            </w:r>
          </w:p>
        </w:tc>
        <w:tc>
          <w:tcPr>
            <w:tcW w:w="1305" w:type="pct"/>
            <w:shd w:val="clear" w:color="auto" w:fill="FFFFFF"/>
            <w:tcMar>
              <w:top w:w="110" w:type="dxa"/>
            </w:tcMar>
          </w:tcPr>
          <w:p w:rsidR="000F04C0" w:rsidRPr="00701465" w:rsidRDefault="000F04C0" w:rsidP="00E3403E">
            <w:pPr>
              <w:rPr>
                <w:rFonts w:cs="Arial"/>
                <w:sz w:val="16"/>
                <w:szCs w:val="16"/>
              </w:rPr>
            </w:pPr>
            <w:r w:rsidRPr="00701465">
              <w:rPr>
                <w:rFonts w:cs="Arial"/>
                <w:sz w:val="16"/>
                <w:szCs w:val="16"/>
              </w:rPr>
              <w:t>ARDI 623</w:t>
            </w:r>
          </w:p>
          <w:p w:rsidR="000F04C0" w:rsidRPr="00701465" w:rsidRDefault="000F04C0" w:rsidP="00E3403E">
            <w:pPr>
              <w:rPr>
                <w:rFonts w:cs="Arial"/>
                <w:lang w:bidi="th-TH"/>
              </w:rPr>
            </w:pPr>
            <w:r w:rsidRPr="00701465">
              <w:rPr>
                <w:rFonts w:cs="Arial"/>
                <w:sz w:val="16"/>
                <w:szCs w:val="16"/>
              </w:rPr>
              <w:t>ASPI 42</w:t>
            </w:r>
          </w:p>
        </w:tc>
        <w:tc>
          <w:tcPr>
            <w:tcW w:w="507" w:type="pct"/>
            <w:shd w:val="clear" w:color="auto" w:fill="auto"/>
            <w:tcMar>
              <w:top w:w="110" w:type="dxa"/>
            </w:tcMar>
          </w:tcPr>
          <w:p w:rsidR="000F04C0" w:rsidRPr="00BB6C53" w:rsidRDefault="000F04C0" w:rsidP="00E3403E">
            <w:pPr>
              <w:keepNext/>
              <w:keepLines/>
              <w:jc w:val="center"/>
              <w:rPr>
                <w:rFonts w:cs="Arial"/>
                <w:b/>
                <w:bCs/>
                <w:color w:val="808080"/>
                <w:sz w:val="16"/>
                <w:szCs w:val="16"/>
              </w:rPr>
            </w:pPr>
            <w:r w:rsidRPr="00BB6C53">
              <w:rPr>
                <w:rFonts w:cs="Arial"/>
                <w:b/>
                <w:bCs/>
                <w:color w:val="00B050"/>
                <w:sz w:val="16"/>
                <w:szCs w:val="16"/>
              </w:rPr>
              <w:t xml:space="preserve">Fully </w:t>
            </w:r>
            <w:r>
              <w:rPr>
                <w:rFonts w:cs="Arial"/>
                <w:b/>
                <w:bCs/>
                <w:color w:val="00B050"/>
                <w:sz w:val="16"/>
                <w:szCs w:val="16"/>
              </w:rPr>
              <w:t>A</w:t>
            </w:r>
            <w:r w:rsidRPr="00BB6C53">
              <w:rPr>
                <w:rFonts w:cs="Arial"/>
                <w:b/>
                <w:bCs/>
                <w:color w:val="00B050"/>
                <w:sz w:val="16"/>
                <w:szCs w:val="16"/>
              </w:rPr>
              <w:t>chieved</w:t>
            </w:r>
          </w:p>
        </w:tc>
      </w:tr>
      <w:tr w:rsidR="000F04C0" w:rsidRPr="0068151C" w:rsidTr="00E3403E">
        <w:trPr>
          <w:cantSplit/>
          <w:trHeight w:val="2243"/>
        </w:trPr>
        <w:tc>
          <w:tcPr>
            <w:tcW w:w="1087" w:type="pct"/>
            <w:shd w:val="clear" w:color="auto" w:fill="auto"/>
          </w:tcPr>
          <w:p w:rsidR="000F04C0" w:rsidRPr="0068151C" w:rsidRDefault="000F04C0" w:rsidP="00E3403E">
            <w:pPr>
              <w:rPr>
                <w:rFonts w:cs="Arial"/>
                <w:sz w:val="16"/>
                <w:szCs w:val="16"/>
              </w:rPr>
            </w:pPr>
            <w:r w:rsidRPr="0015377F">
              <w:rPr>
                <w:rFonts w:cs="Arial"/>
                <w:sz w:val="16"/>
                <w:szCs w:val="16"/>
              </w:rPr>
              <w:t>% of users satisfied with the provision of value added patent information services (WPIS, ICE, patent family and legal status enquiry service)</w:t>
            </w:r>
          </w:p>
        </w:tc>
        <w:tc>
          <w:tcPr>
            <w:tcW w:w="1232" w:type="pct"/>
            <w:shd w:val="clear" w:color="auto" w:fill="auto"/>
          </w:tcPr>
          <w:p w:rsidR="000F04C0" w:rsidRDefault="000F04C0" w:rsidP="00E3403E">
            <w:pPr>
              <w:rPr>
                <w:rFonts w:cs="Arial"/>
                <w:color w:val="002060"/>
                <w:sz w:val="16"/>
                <w:szCs w:val="16"/>
              </w:rPr>
            </w:pPr>
            <w:r>
              <w:rPr>
                <w:rFonts w:cs="Arial"/>
                <w:i/>
                <w:color w:val="002060"/>
                <w:sz w:val="16"/>
                <w:szCs w:val="16"/>
              </w:rPr>
              <w:t>Updated Baseline end 2013</w:t>
            </w:r>
            <w:r w:rsidRPr="0068151C">
              <w:rPr>
                <w:rFonts w:cs="Arial"/>
                <w:i/>
                <w:color w:val="002060"/>
                <w:sz w:val="16"/>
                <w:szCs w:val="16"/>
              </w:rPr>
              <w:t>:</w:t>
            </w:r>
            <w:r>
              <w:t xml:space="preserve"> </w:t>
            </w:r>
            <w:r w:rsidRPr="00BD71FF">
              <w:rPr>
                <w:rFonts w:cs="Arial"/>
                <w:color w:val="002060"/>
                <w:sz w:val="16"/>
                <w:szCs w:val="16"/>
              </w:rPr>
              <w:t>No satisfaction surveys for WPIS and ICE were conducted.  Discussions with donor offices on how to evaluate and retrieve feedback for the work carried out are under way.</w:t>
            </w:r>
          </w:p>
          <w:p w:rsidR="000F04C0" w:rsidRDefault="000F04C0" w:rsidP="00E3403E">
            <w:pPr>
              <w:rPr>
                <w:rFonts w:cs="Arial"/>
                <w:color w:val="002060"/>
                <w:sz w:val="16"/>
                <w:szCs w:val="16"/>
              </w:rPr>
            </w:pPr>
          </w:p>
          <w:p w:rsidR="000F04C0" w:rsidRPr="0068151C" w:rsidRDefault="000F04C0" w:rsidP="00E3403E">
            <w:pPr>
              <w:rPr>
                <w:rFonts w:cs="Arial"/>
                <w:sz w:val="16"/>
                <w:szCs w:val="16"/>
                <w:lang w:bidi="th-TH"/>
              </w:rPr>
            </w:pPr>
            <w:r w:rsidRPr="0068151C">
              <w:rPr>
                <w:rFonts w:cs="Arial"/>
                <w:i/>
                <w:sz w:val="16"/>
                <w:szCs w:val="16"/>
                <w:lang w:bidi="th-TH"/>
              </w:rPr>
              <w:t>Original Baseline</w:t>
            </w:r>
          </w:p>
          <w:p w:rsidR="000F04C0" w:rsidRPr="0068151C" w:rsidRDefault="000F04C0" w:rsidP="00E3403E">
            <w:pPr>
              <w:rPr>
                <w:rFonts w:cs="Arial"/>
                <w:sz w:val="16"/>
                <w:szCs w:val="16"/>
              </w:rPr>
            </w:pPr>
            <w:r>
              <w:rPr>
                <w:rFonts w:cs="Arial"/>
                <w:i/>
                <w:sz w:val="16"/>
                <w:szCs w:val="16"/>
              </w:rPr>
              <w:t>P&amp;B 2014/15</w:t>
            </w:r>
            <w:r w:rsidRPr="0068151C">
              <w:rPr>
                <w:rFonts w:cs="Arial"/>
                <w:i/>
                <w:sz w:val="16"/>
                <w:szCs w:val="16"/>
              </w:rPr>
              <w:t>:</w:t>
            </w:r>
            <w:r>
              <w:t xml:space="preserve"> </w:t>
            </w:r>
            <w:r w:rsidRPr="0015377F">
              <w:rPr>
                <w:rFonts w:cs="Arial"/>
                <w:sz w:val="16"/>
                <w:szCs w:val="16"/>
              </w:rPr>
              <w:t>Not available</w:t>
            </w:r>
          </w:p>
        </w:tc>
        <w:tc>
          <w:tcPr>
            <w:tcW w:w="869" w:type="pct"/>
            <w:shd w:val="clear" w:color="auto" w:fill="auto"/>
            <w:tcMar>
              <w:top w:w="110" w:type="dxa"/>
            </w:tcMar>
          </w:tcPr>
          <w:p w:rsidR="000F04C0" w:rsidRPr="0068151C" w:rsidRDefault="000F04C0" w:rsidP="00E3403E">
            <w:pPr>
              <w:rPr>
                <w:rFonts w:cs="Arial"/>
                <w:i/>
                <w:sz w:val="16"/>
                <w:szCs w:val="16"/>
              </w:rPr>
            </w:pPr>
            <w:r w:rsidRPr="0015377F">
              <w:rPr>
                <w:rFonts w:cs="Arial"/>
                <w:sz w:val="16"/>
                <w:szCs w:val="16"/>
              </w:rPr>
              <w:t>75%</w:t>
            </w:r>
          </w:p>
        </w:tc>
        <w:tc>
          <w:tcPr>
            <w:tcW w:w="1305" w:type="pct"/>
            <w:shd w:val="clear" w:color="auto" w:fill="FFFFFF"/>
            <w:tcMar>
              <w:top w:w="110" w:type="dxa"/>
            </w:tcMar>
          </w:tcPr>
          <w:p w:rsidR="000F04C0" w:rsidRPr="0068151C" w:rsidRDefault="000F04C0" w:rsidP="00E3403E">
            <w:pPr>
              <w:rPr>
                <w:rFonts w:cs="Arial"/>
                <w:sz w:val="16"/>
                <w:szCs w:val="16"/>
              </w:rPr>
            </w:pPr>
            <w:r>
              <w:rPr>
                <w:rFonts w:cs="Arial"/>
                <w:sz w:val="16"/>
                <w:szCs w:val="16"/>
              </w:rPr>
              <w:t>This indicator is discontinued due to the reorganization of patent information services.</w:t>
            </w:r>
          </w:p>
        </w:tc>
        <w:tc>
          <w:tcPr>
            <w:tcW w:w="507" w:type="pct"/>
            <w:shd w:val="clear" w:color="auto" w:fill="auto"/>
            <w:tcMar>
              <w:top w:w="110" w:type="dxa"/>
            </w:tcMar>
          </w:tcPr>
          <w:p w:rsidR="000F04C0" w:rsidRPr="00BD71FF" w:rsidRDefault="000F04C0" w:rsidP="00016727">
            <w:pPr>
              <w:keepNext/>
              <w:keepLines/>
              <w:jc w:val="center"/>
              <w:rPr>
                <w:rFonts w:cs="Arial"/>
                <w:b/>
                <w:bCs/>
                <w:color w:val="808080"/>
                <w:sz w:val="16"/>
                <w:szCs w:val="16"/>
              </w:rPr>
            </w:pPr>
            <w:r w:rsidRPr="00A573AD">
              <w:rPr>
                <w:rFonts w:cs="Arial"/>
                <w:b/>
                <w:bCs/>
                <w:sz w:val="14"/>
                <w:szCs w:val="14"/>
              </w:rPr>
              <w:t>Dis</w:t>
            </w:r>
            <w:r w:rsidR="00016727">
              <w:rPr>
                <w:rFonts w:cs="Arial"/>
                <w:b/>
                <w:bCs/>
                <w:sz w:val="14"/>
                <w:szCs w:val="14"/>
              </w:rPr>
              <w:t>-</w:t>
            </w:r>
            <w:r w:rsidRPr="00A573AD">
              <w:rPr>
                <w:rFonts w:cs="Arial"/>
                <w:b/>
                <w:bCs/>
                <w:sz w:val="14"/>
                <w:szCs w:val="14"/>
              </w:rPr>
              <w:t>continued</w:t>
            </w:r>
          </w:p>
        </w:tc>
      </w:tr>
      <w:tr w:rsidR="000F04C0" w:rsidRPr="0068151C" w:rsidTr="00E3403E">
        <w:trPr>
          <w:cantSplit/>
          <w:trHeight w:val="2514"/>
        </w:trPr>
        <w:tc>
          <w:tcPr>
            <w:tcW w:w="1087" w:type="pct"/>
            <w:shd w:val="clear" w:color="auto" w:fill="auto"/>
          </w:tcPr>
          <w:p w:rsidR="000F04C0" w:rsidRPr="0015377F" w:rsidRDefault="000F04C0" w:rsidP="00E3403E">
            <w:pPr>
              <w:rPr>
                <w:rFonts w:cs="Arial"/>
                <w:sz w:val="16"/>
                <w:szCs w:val="16"/>
              </w:rPr>
            </w:pPr>
            <w:r w:rsidRPr="0015377F">
              <w:rPr>
                <w:rFonts w:cs="Arial"/>
                <w:sz w:val="16"/>
                <w:szCs w:val="16"/>
              </w:rPr>
              <w:lastRenderedPageBreak/>
              <w:t>% of users satisfied with PLRs</w:t>
            </w:r>
          </w:p>
        </w:tc>
        <w:tc>
          <w:tcPr>
            <w:tcW w:w="1232" w:type="pct"/>
            <w:shd w:val="clear" w:color="auto" w:fill="auto"/>
          </w:tcPr>
          <w:p w:rsidR="000F04C0" w:rsidRDefault="000F04C0" w:rsidP="00E3403E">
            <w:pPr>
              <w:rPr>
                <w:rFonts w:cs="Arial"/>
                <w:color w:val="002060"/>
                <w:sz w:val="16"/>
                <w:szCs w:val="16"/>
              </w:rPr>
            </w:pPr>
            <w:r>
              <w:rPr>
                <w:rFonts w:cs="Arial"/>
                <w:i/>
                <w:color w:val="002060"/>
                <w:sz w:val="16"/>
                <w:szCs w:val="16"/>
              </w:rPr>
              <w:t>Updated Baseline end 2013</w:t>
            </w:r>
            <w:r w:rsidRPr="0068151C">
              <w:rPr>
                <w:rFonts w:cs="Arial"/>
                <w:i/>
                <w:color w:val="002060"/>
                <w:sz w:val="16"/>
                <w:szCs w:val="16"/>
              </w:rPr>
              <w:t>:</w:t>
            </w:r>
            <w:r>
              <w:t xml:space="preserve">  </w:t>
            </w:r>
            <w:r w:rsidRPr="009F2CC0">
              <w:rPr>
                <w:rFonts w:cs="Arial"/>
                <w:color w:val="002060"/>
                <w:sz w:val="16"/>
                <w:szCs w:val="16"/>
              </w:rPr>
              <w:t>A satisfaction survey for the PLR was carried out in March 2014 and received 39 r</w:t>
            </w:r>
            <w:r>
              <w:rPr>
                <w:rFonts w:cs="Arial"/>
                <w:color w:val="002060"/>
                <w:sz w:val="16"/>
                <w:szCs w:val="16"/>
              </w:rPr>
              <w:t xml:space="preserve">esponses (3 first level users; </w:t>
            </w:r>
            <w:r w:rsidRPr="009F2CC0">
              <w:rPr>
                <w:rFonts w:cs="Arial"/>
                <w:color w:val="002060"/>
                <w:sz w:val="16"/>
                <w:szCs w:val="16"/>
              </w:rPr>
              <w:t>36 second level users).  The results showed that approximately 70% of the users were satisfied with the quality of the reports</w:t>
            </w:r>
          </w:p>
          <w:p w:rsidR="000F04C0" w:rsidRDefault="000F04C0" w:rsidP="00E3403E">
            <w:pPr>
              <w:rPr>
                <w:rFonts w:cs="Arial"/>
                <w:color w:val="002060"/>
                <w:sz w:val="16"/>
                <w:szCs w:val="16"/>
              </w:rPr>
            </w:pPr>
          </w:p>
          <w:p w:rsidR="000F04C0" w:rsidRPr="0068151C" w:rsidRDefault="000F04C0" w:rsidP="00E3403E">
            <w:pPr>
              <w:rPr>
                <w:rFonts w:cs="Arial"/>
                <w:sz w:val="16"/>
                <w:szCs w:val="16"/>
                <w:lang w:bidi="th-TH"/>
              </w:rPr>
            </w:pPr>
            <w:r w:rsidRPr="0068151C">
              <w:rPr>
                <w:rFonts w:cs="Arial"/>
                <w:i/>
                <w:sz w:val="16"/>
                <w:szCs w:val="16"/>
                <w:lang w:bidi="th-TH"/>
              </w:rPr>
              <w:t>Original Baseline</w:t>
            </w:r>
          </w:p>
          <w:p w:rsidR="000F04C0" w:rsidRDefault="000F04C0" w:rsidP="00E3403E">
            <w:pPr>
              <w:rPr>
                <w:rFonts w:cs="Arial"/>
                <w:i/>
                <w:color w:val="002060"/>
                <w:sz w:val="16"/>
                <w:szCs w:val="16"/>
              </w:rPr>
            </w:pPr>
            <w:r>
              <w:rPr>
                <w:rFonts w:cs="Arial"/>
                <w:i/>
                <w:sz w:val="16"/>
                <w:szCs w:val="16"/>
              </w:rPr>
              <w:t>P&amp;B 2014/15</w:t>
            </w:r>
            <w:r w:rsidRPr="0068151C">
              <w:rPr>
                <w:rFonts w:cs="Arial"/>
                <w:i/>
                <w:sz w:val="16"/>
                <w:szCs w:val="16"/>
              </w:rPr>
              <w:t>:</w:t>
            </w:r>
            <w:r>
              <w:t xml:space="preserve"> </w:t>
            </w:r>
            <w:r w:rsidRPr="0015377F">
              <w:rPr>
                <w:rFonts w:cs="Arial"/>
                <w:sz w:val="16"/>
                <w:szCs w:val="16"/>
              </w:rPr>
              <w:t>Not available</w:t>
            </w:r>
          </w:p>
        </w:tc>
        <w:tc>
          <w:tcPr>
            <w:tcW w:w="869" w:type="pct"/>
            <w:shd w:val="clear" w:color="auto" w:fill="auto"/>
            <w:tcMar>
              <w:top w:w="110" w:type="dxa"/>
            </w:tcMar>
          </w:tcPr>
          <w:p w:rsidR="000F04C0" w:rsidRPr="0015377F" w:rsidRDefault="000F04C0" w:rsidP="00E3403E">
            <w:pPr>
              <w:rPr>
                <w:rFonts w:cs="Arial"/>
                <w:sz w:val="16"/>
                <w:szCs w:val="16"/>
              </w:rPr>
            </w:pPr>
            <w:r w:rsidRPr="0015377F">
              <w:rPr>
                <w:rFonts w:cs="Arial"/>
                <w:sz w:val="16"/>
                <w:szCs w:val="16"/>
              </w:rPr>
              <w:t>75%</w:t>
            </w:r>
          </w:p>
        </w:tc>
        <w:tc>
          <w:tcPr>
            <w:tcW w:w="1305" w:type="pct"/>
            <w:shd w:val="clear" w:color="auto" w:fill="FFFFFF"/>
            <w:tcMar>
              <w:top w:w="110" w:type="dxa"/>
            </w:tcMar>
          </w:tcPr>
          <w:p w:rsidR="000F04C0" w:rsidRDefault="000F04C0" w:rsidP="00E3403E">
            <w:pPr>
              <w:rPr>
                <w:rFonts w:cs="Arial"/>
                <w:sz w:val="16"/>
                <w:szCs w:val="16"/>
              </w:rPr>
            </w:pPr>
            <w:r w:rsidRPr="00846715">
              <w:rPr>
                <w:rFonts w:cs="Arial"/>
                <w:sz w:val="16"/>
                <w:szCs w:val="16"/>
              </w:rPr>
              <w:t xml:space="preserve">No </w:t>
            </w:r>
            <w:r>
              <w:rPr>
                <w:rFonts w:cs="Arial"/>
                <w:sz w:val="16"/>
                <w:szCs w:val="16"/>
              </w:rPr>
              <w:t xml:space="preserve">comparable </w:t>
            </w:r>
            <w:r w:rsidRPr="00846715">
              <w:rPr>
                <w:rFonts w:cs="Arial"/>
                <w:sz w:val="16"/>
                <w:szCs w:val="16"/>
              </w:rPr>
              <w:t>follow-up satisfaction survey was</w:t>
            </w:r>
            <w:r>
              <w:rPr>
                <w:rFonts w:cs="Arial"/>
                <w:sz w:val="16"/>
                <w:szCs w:val="16"/>
              </w:rPr>
              <w:t xml:space="preserve"> carried out in 2015.</w:t>
            </w:r>
          </w:p>
          <w:p w:rsidR="000F04C0" w:rsidRPr="0068151C" w:rsidRDefault="000F04C0" w:rsidP="00E3403E">
            <w:pPr>
              <w:rPr>
                <w:rFonts w:cs="Arial"/>
                <w:sz w:val="16"/>
                <w:szCs w:val="16"/>
              </w:rPr>
            </w:pPr>
            <w:r>
              <w:rPr>
                <w:rFonts w:cs="Arial"/>
                <w:sz w:val="16"/>
                <w:szCs w:val="16"/>
              </w:rPr>
              <w:t xml:space="preserve"> </w:t>
            </w:r>
          </w:p>
        </w:tc>
        <w:tc>
          <w:tcPr>
            <w:tcW w:w="507" w:type="pct"/>
            <w:shd w:val="clear" w:color="auto" w:fill="auto"/>
            <w:tcMar>
              <w:top w:w="110" w:type="dxa"/>
            </w:tcMar>
          </w:tcPr>
          <w:p w:rsidR="000F04C0" w:rsidRPr="00195235" w:rsidRDefault="000F04C0" w:rsidP="00E3403E">
            <w:pPr>
              <w:keepNext/>
              <w:keepLines/>
              <w:jc w:val="center"/>
              <w:rPr>
                <w:rFonts w:cs="Arial"/>
                <w:bCs/>
                <w:color w:val="808080"/>
                <w:sz w:val="13"/>
                <w:szCs w:val="13"/>
              </w:rPr>
            </w:pPr>
            <w:r w:rsidRPr="00195235">
              <w:rPr>
                <w:rFonts w:cs="Arial"/>
                <w:b/>
                <w:bCs/>
                <w:color w:val="808080"/>
                <w:sz w:val="13"/>
                <w:szCs w:val="13"/>
              </w:rPr>
              <w:t>Not Assessable</w:t>
            </w:r>
          </w:p>
        </w:tc>
      </w:tr>
    </w:tbl>
    <w:p w:rsidR="000F04C0" w:rsidRPr="00255E19" w:rsidRDefault="000F04C0" w:rsidP="00E3403E">
      <w:pPr>
        <w:jc w:val="both"/>
        <w:rPr>
          <w:rFonts w:cs="Arial"/>
          <w:szCs w:val="20"/>
        </w:rPr>
      </w:pPr>
    </w:p>
    <w:p w:rsidR="000F04C0" w:rsidRPr="00255E19" w:rsidRDefault="000F04C0" w:rsidP="00E3403E">
      <w:pPr>
        <w:jc w:val="both"/>
        <w:rPr>
          <w:rFonts w:cs="Arial"/>
          <w:szCs w:val="20"/>
        </w:rPr>
      </w:pPr>
    </w:p>
    <w:p w:rsidR="000F04C0" w:rsidRPr="00654FA4" w:rsidRDefault="000F04C0" w:rsidP="00E3403E">
      <w:pPr>
        <w:rPr>
          <w:rFonts w:cs="Arial"/>
          <w:color w:val="000000"/>
          <w:szCs w:val="22"/>
        </w:rPr>
      </w:pPr>
      <w:r w:rsidRPr="00654FA4">
        <w:rPr>
          <w:rFonts w:cs="Arial"/>
          <w:color w:val="000000"/>
          <w:szCs w:val="22"/>
        </w:rPr>
        <w:t>RISK REPORTING FOR THE BIENNIUM</w:t>
      </w:r>
    </w:p>
    <w:p w:rsidR="000F04C0" w:rsidRDefault="000F04C0" w:rsidP="00E3403E"/>
    <w:tbl>
      <w:tblPr>
        <w:tblW w:w="9498"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2268"/>
        <w:gridCol w:w="2694"/>
        <w:gridCol w:w="2552"/>
        <w:gridCol w:w="1984"/>
      </w:tblGrid>
      <w:tr w:rsidR="000F04C0" w:rsidRPr="003C527B" w:rsidTr="00016727">
        <w:trPr>
          <w:trHeight w:val="380"/>
          <w:tblHeader/>
        </w:trPr>
        <w:tc>
          <w:tcPr>
            <w:tcW w:w="2268" w:type="dxa"/>
            <w:tcBorders>
              <w:top w:val="single" w:sz="4" w:space="0" w:color="auto"/>
              <w:bottom w:val="single" w:sz="4" w:space="0" w:color="auto"/>
            </w:tcBorders>
            <w:shd w:val="clear" w:color="auto" w:fill="C6D9F1" w:themeFill="text2" w:themeFillTint="33"/>
            <w:tcMar>
              <w:top w:w="113" w:type="dxa"/>
              <w:bottom w:w="113" w:type="dxa"/>
            </w:tcMar>
            <w:vAlign w:val="center"/>
          </w:tcPr>
          <w:p w:rsidR="000F04C0" w:rsidRPr="003C527B" w:rsidRDefault="000F04C0" w:rsidP="00E3403E">
            <w:pPr>
              <w:autoSpaceDE w:val="0"/>
              <w:autoSpaceDN w:val="0"/>
              <w:adjustRightInd w:val="0"/>
              <w:ind w:right="-59"/>
              <w:jc w:val="center"/>
              <w:rPr>
                <w:b/>
                <w:bCs/>
                <w:iCs/>
                <w:sz w:val="18"/>
                <w:szCs w:val="18"/>
              </w:rPr>
            </w:pPr>
            <w:r w:rsidRPr="003C527B">
              <w:rPr>
                <w:b/>
                <w:bCs/>
                <w:iCs/>
                <w:sz w:val="18"/>
                <w:szCs w:val="18"/>
              </w:rPr>
              <w:t>Risk(s) to the Program achieving its Results</w:t>
            </w:r>
          </w:p>
        </w:tc>
        <w:tc>
          <w:tcPr>
            <w:tcW w:w="2694" w:type="dxa"/>
            <w:tcBorders>
              <w:top w:val="single" w:sz="4" w:space="0" w:color="auto"/>
              <w:bottom w:val="single" w:sz="4" w:space="0" w:color="auto"/>
            </w:tcBorders>
            <w:shd w:val="clear" w:color="auto" w:fill="C6D9F1" w:themeFill="text2" w:themeFillTint="33"/>
            <w:tcMar>
              <w:top w:w="113" w:type="dxa"/>
              <w:bottom w:w="113" w:type="dxa"/>
            </w:tcMar>
            <w:vAlign w:val="center"/>
          </w:tcPr>
          <w:p w:rsidR="000F04C0" w:rsidRPr="003C527B" w:rsidRDefault="000F04C0" w:rsidP="00E3403E">
            <w:pPr>
              <w:autoSpaceDE w:val="0"/>
              <w:autoSpaceDN w:val="0"/>
              <w:adjustRightInd w:val="0"/>
              <w:ind w:right="-59"/>
              <w:jc w:val="center"/>
              <w:rPr>
                <w:b/>
                <w:bCs/>
                <w:iCs/>
                <w:sz w:val="18"/>
                <w:szCs w:val="18"/>
              </w:rPr>
            </w:pPr>
            <w:r w:rsidRPr="003C527B">
              <w:rPr>
                <w:b/>
                <w:bCs/>
                <w:iCs/>
                <w:sz w:val="18"/>
                <w:szCs w:val="18"/>
              </w:rPr>
              <w:t xml:space="preserve">Mitigation plans in place or under implementation </w:t>
            </w:r>
          </w:p>
        </w:tc>
        <w:tc>
          <w:tcPr>
            <w:tcW w:w="2552" w:type="dxa"/>
            <w:tcBorders>
              <w:top w:val="single" w:sz="4" w:space="0" w:color="auto"/>
              <w:bottom w:val="single" w:sz="4" w:space="0" w:color="auto"/>
            </w:tcBorders>
            <w:shd w:val="clear" w:color="auto" w:fill="C6D9F1" w:themeFill="text2" w:themeFillTint="33"/>
          </w:tcPr>
          <w:p w:rsidR="000F04C0" w:rsidRPr="003C527B" w:rsidRDefault="000F04C0" w:rsidP="00E3403E">
            <w:pPr>
              <w:jc w:val="center"/>
              <w:rPr>
                <w:b/>
                <w:bCs/>
                <w:sz w:val="18"/>
                <w:szCs w:val="18"/>
              </w:rPr>
            </w:pPr>
            <w:r>
              <w:rPr>
                <w:b/>
                <w:bCs/>
                <w:sz w:val="18"/>
                <w:szCs w:val="18"/>
              </w:rPr>
              <w:t>Evolution of Risk(s) and Mitigation Strategies Over the Biennium</w:t>
            </w:r>
          </w:p>
        </w:tc>
        <w:tc>
          <w:tcPr>
            <w:tcW w:w="1984" w:type="dxa"/>
            <w:tcBorders>
              <w:top w:val="single" w:sz="4" w:space="0" w:color="auto"/>
              <w:bottom w:val="single" w:sz="4" w:space="0" w:color="auto"/>
            </w:tcBorders>
            <w:shd w:val="clear" w:color="auto" w:fill="C6D9F1" w:themeFill="text2" w:themeFillTint="33"/>
          </w:tcPr>
          <w:p w:rsidR="000F04C0" w:rsidRPr="003C527B" w:rsidRDefault="000F04C0" w:rsidP="00E3403E">
            <w:pPr>
              <w:jc w:val="center"/>
              <w:rPr>
                <w:b/>
                <w:bCs/>
                <w:sz w:val="18"/>
                <w:szCs w:val="18"/>
              </w:rPr>
            </w:pPr>
            <w:r>
              <w:rPr>
                <w:b/>
                <w:bCs/>
                <w:sz w:val="18"/>
                <w:szCs w:val="18"/>
              </w:rPr>
              <w:t>Impact on the Program’s Performance</w:t>
            </w:r>
          </w:p>
        </w:tc>
      </w:tr>
      <w:tr w:rsidR="000F04C0" w:rsidRPr="003C527B" w:rsidTr="00016727">
        <w:trPr>
          <w:trHeight w:val="785"/>
        </w:trPr>
        <w:tc>
          <w:tcPr>
            <w:tcW w:w="2268" w:type="dxa"/>
            <w:tcBorders>
              <w:top w:val="single" w:sz="4" w:space="0" w:color="auto"/>
            </w:tcBorders>
            <w:shd w:val="clear" w:color="auto" w:fill="auto"/>
            <w:tcMar>
              <w:top w:w="113" w:type="dxa"/>
              <w:bottom w:w="113" w:type="dxa"/>
            </w:tcMar>
          </w:tcPr>
          <w:p w:rsidR="000F04C0" w:rsidRPr="0002533E" w:rsidRDefault="000F04C0" w:rsidP="00E3403E">
            <w:pPr>
              <w:rPr>
                <w:sz w:val="16"/>
                <w:szCs w:val="16"/>
              </w:rPr>
            </w:pPr>
            <w:r w:rsidRPr="0002533E">
              <w:rPr>
                <w:sz w:val="16"/>
                <w:szCs w:val="16"/>
              </w:rPr>
              <w:t>Inability to sustain and continue self-supporting operation of TISC network.  This could lead to closure of certain TISC networks hence removing access to technology information services for individual inventors, SMEs and other relevant stakeholders</w:t>
            </w:r>
          </w:p>
        </w:tc>
        <w:tc>
          <w:tcPr>
            <w:tcW w:w="2694" w:type="dxa"/>
            <w:tcBorders>
              <w:top w:val="single" w:sz="4" w:space="0" w:color="auto"/>
            </w:tcBorders>
            <w:shd w:val="clear" w:color="auto" w:fill="auto"/>
            <w:tcMar>
              <w:top w:w="113" w:type="dxa"/>
              <w:bottom w:w="113" w:type="dxa"/>
            </w:tcMar>
          </w:tcPr>
          <w:p w:rsidR="000F04C0" w:rsidRPr="0002533E" w:rsidRDefault="000F04C0" w:rsidP="00E3403E">
            <w:pPr>
              <w:autoSpaceDE w:val="0"/>
              <w:autoSpaceDN w:val="0"/>
              <w:adjustRightInd w:val="0"/>
              <w:ind w:right="-59"/>
              <w:rPr>
                <w:sz w:val="16"/>
                <w:szCs w:val="16"/>
              </w:rPr>
            </w:pPr>
            <w:r w:rsidRPr="0002533E">
              <w:rPr>
                <w:sz w:val="16"/>
                <w:szCs w:val="16"/>
              </w:rPr>
              <w:t>Greater involvement with host countries in the planning and implementation of the TISC project</w:t>
            </w:r>
          </w:p>
          <w:p w:rsidR="000F04C0" w:rsidRPr="0002533E" w:rsidRDefault="000F04C0" w:rsidP="00E3403E">
            <w:pPr>
              <w:autoSpaceDE w:val="0"/>
              <w:autoSpaceDN w:val="0"/>
              <w:adjustRightInd w:val="0"/>
              <w:ind w:right="-59"/>
              <w:rPr>
                <w:sz w:val="16"/>
                <w:szCs w:val="16"/>
              </w:rPr>
            </w:pPr>
          </w:p>
        </w:tc>
        <w:tc>
          <w:tcPr>
            <w:tcW w:w="2552" w:type="dxa"/>
            <w:tcBorders>
              <w:top w:val="single" w:sz="4" w:space="0" w:color="auto"/>
            </w:tcBorders>
          </w:tcPr>
          <w:p w:rsidR="000F04C0" w:rsidRPr="0002533E" w:rsidRDefault="000F04C0" w:rsidP="00E3403E">
            <w:pPr>
              <w:autoSpaceDE w:val="0"/>
              <w:autoSpaceDN w:val="0"/>
              <w:adjustRightInd w:val="0"/>
              <w:ind w:right="-59"/>
              <w:rPr>
                <w:sz w:val="16"/>
                <w:szCs w:val="16"/>
              </w:rPr>
            </w:pPr>
            <w:r w:rsidRPr="0002533E">
              <w:rPr>
                <w:sz w:val="16"/>
                <w:szCs w:val="16"/>
              </w:rPr>
              <w:t>National focal points and host institutions played an increasingly active role in the planning and implementation of the TISC project, rather than relying solely on WIPO’s support.</w:t>
            </w:r>
          </w:p>
        </w:tc>
        <w:tc>
          <w:tcPr>
            <w:tcW w:w="1984" w:type="dxa"/>
            <w:tcBorders>
              <w:top w:val="single" w:sz="4" w:space="0" w:color="auto"/>
            </w:tcBorders>
          </w:tcPr>
          <w:p w:rsidR="000F04C0" w:rsidRPr="0002533E" w:rsidRDefault="000F04C0" w:rsidP="00E3403E">
            <w:pPr>
              <w:autoSpaceDE w:val="0"/>
              <w:autoSpaceDN w:val="0"/>
              <w:adjustRightInd w:val="0"/>
              <w:ind w:right="-59"/>
              <w:rPr>
                <w:sz w:val="16"/>
                <w:szCs w:val="16"/>
              </w:rPr>
            </w:pPr>
            <w:r w:rsidRPr="0002533E">
              <w:rPr>
                <w:rFonts w:cs="Arial"/>
                <w:sz w:val="16"/>
                <w:szCs w:val="16"/>
                <w:lang w:val="en-GB" w:eastAsia="en-GB"/>
              </w:rPr>
              <w:t>The mitigation strategy contributed to better coordination with host countries, national focal points and host institutions for enhanced sustainability.</w:t>
            </w:r>
          </w:p>
        </w:tc>
      </w:tr>
      <w:tr w:rsidR="000F04C0" w:rsidRPr="003C527B" w:rsidTr="00016727">
        <w:trPr>
          <w:trHeight w:val="781"/>
        </w:trPr>
        <w:tc>
          <w:tcPr>
            <w:tcW w:w="2268" w:type="dxa"/>
            <w:shd w:val="clear" w:color="auto" w:fill="auto"/>
            <w:tcMar>
              <w:top w:w="113" w:type="dxa"/>
              <w:bottom w:w="113" w:type="dxa"/>
            </w:tcMar>
          </w:tcPr>
          <w:p w:rsidR="000F04C0" w:rsidRPr="0002533E" w:rsidRDefault="000F04C0" w:rsidP="00E3403E">
            <w:pPr>
              <w:rPr>
                <w:sz w:val="16"/>
                <w:szCs w:val="16"/>
              </w:rPr>
            </w:pPr>
            <w:r w:rsidRPr="0002533E">
              <w:rPr>
                <w:sz w:val="16"/>
                <w:szCs w:val="16"/>
              </w:rPr>
              <w:t xml:space="preserve">Lack of utilization by targeted audience (individual inventors, researchers, industry academia, policy makers and decision makers in R&amp;D) of the published PLRs.  </w:t>
            </w:r>
          </w:p>
        </w:tc>
        <w:tc>
          <w:tcPr>
            <w:tcW w:w="2694" w:type="dxa"/>
            <w:shd w:val="clear" w:color="auto" w:fill="auto"/>
            <w:tcMar>
              <w:top w:w="113" w:type="dxa"/>
              <w:bottom w:w="113" w:type="dxa"/>
            </w:tcMar>
          </w:tcPr>
          <w:p w:rsidR="000F04C0" w:rsidRPr="0002533E" w:rsidRDefault="000F04C0" w:rsidP="00E3403E">
            <w:pPr>
              <w:autoSpaceDE w:val="0"/>
              <w:autoSpaceDN w:val="0"/>
              <w:adjustRightInd w:val="0"/>
              <w:ind w:right="-59"/>
              <w:rPr>
                <w:sz w:val="16"/>
                <w:szCs w:val="16"/>
              </w:rPr>
            </w:pPr>
            <w:r w:rsidRPr="0002533E">
              <w:rPr>
                <w:sz w:val="16"/>
                <w:szCs w:val="16"/>
              </w:rPr>
              <w:t>Careful choice at the outset of suitable topics for PLRs and improved dissemination and better coordination with target stakeholders</w:t>
            </w:r>
          </w:p>
          <w:p w:rsidR="000F04C0" w:rsidRPr="0002533E" w:rsidRDefault="000F04C0" w:rsidP="00E3403E">
            <w:pPr>
              <w:autoSpaceDE w:val="0"/>
              <w:autoSpaceDN w:val="0"/>
              <w:adjustRightInd w:val="0"/>
              <w:ind w:right="-59"/>
              <w:rPr>
                <w:sz w:val="16"/>
                <w:szCs w:val="16"/>
              </w:rPr>
            </w:pPr>
          </w:p>
        </w:tc>
        <w:tc>
          <w:tcPr>
            <w:tcW w:w="2552" w:type="dxa"/>
          </w:tcPr>
          <w:p w:rsidR="000F04C0" w:rsidRPr="0002533E" w:rsidRDefault="000F04C0" w:rsidP="00E3403E">
            <w:pPr>
              <w:autoSpaceDE w:val="0"/>
              <w:autoSpaceDN w:val="0"/>
              <w:adjustRightInd w:val="0"/>
              <w:ind w:right="-59"/>
              <w:rPr>
                <w:sz w:val="16"/>
                <w:szCs w:val="16"/>
              </w:rPr>
            </w:pPr>
            <w:r w:rsidRPr="0002533E">
              <w:rPr>
                <w:rFonts w:cs="Arial"/>
                <w:sz w:val="16"/>
                <w:szCs w:val="16"/>
                <w:lang w:val="en-GB" w:eastAsia="en-GB"/>
              </w:rPr>
              <w:t xml:space="preserve">The risk did not materialize as the targeted mitigation strategies successfully reduced the probability of its occurrence.  Improved dissemination strategies through social media, as well as focused target audience meetings, allowed for reaching out to audiences that typically would not be aware of WIPO’s work and so increased the number of beneficiaries of the report. </w:t>
            </w:r>
          </w:p>
        </w:tc>
        <w:tc>
          <w:tcPr>
            <w:tcW w:w="1984" w:type="dxa"/>
          </w:tcPr>
          <w:p w:rsidR="000F04C0" w:rsidRPr="0002533E" w:rsidRDefault="000F04C0" w:rsidP="00E3403E">
            <w:pPr>
              <w:autoSpaceDE w:val="0"/>
              <w:autoSpaceDN w:val="0"/>
              <w:adjustRightInd w:val="0"/>
              <w:ind w:right="-59"/>
              <w:rPr>
                <w:sz w:val="16"/>
                <w:szCs w:val="16"/>
              </w:rPr>
            </w:pPr>
            <w:r w:rsidRPr="0002533E">
              <w:rPr>
                <w:rFonts w:cs="Arial"/>
                <w:sz w:val="16"/>
                <w:szCs w:val="16"/>
                <w:lang w:val="en-GB" w:eastAsia="en-GB"/>
              </w:rPr>
              <w:t>The mitigation strategies contributed to increased awareness, access to and use of the PLRs.</w:t>
            </w:r>
          </w:p>
        </w:tc>
      </w:tr>
      <w:tr w:rsidR="000F04C0" w:rsidRPr="003C527B" w:rsidTr="00016727">
        <w:trPr>
          <w:trHeight w:val="339"/>
        </w:trPr>
        <w:tc>
          <w:tcPr>
            <w:tcW w:w="2268" w:type="dxa"/>
            <w:shd w:val="clear" w:color="auto" w:fill="auto"/>
            <w:tcMar>
              <w:top w:w="113" w:type="dxa"/>
              <w:bottom w:w="113" w:type="dxa"/>
            </w:tcMar>
          </w:tcPr>
          <w:p w:rsidR="000F04C0" w:rsidRPr="0002533E" w:rsidRDefault="000F04C0" w:rsidP="00E3403E">
            <w:pPr>
              <w:rPr>
                <w:sz w:val="16"/>
                <w:szCs w:val="16"/>
              </w:rPr>
            </w:pPr>
            <w:r w:rsidRPr="0002533E">
              <w:rPr>
                <w:sz w:val="16"/>
                <w:szCs w:val="16"/>
              </w:rPr>
              <w:t>The delivery of patent information services may suffer from a mismatch between demand and supply, in particular, between the expected and delivered quantity and</w:t>
            </w:r>
            <w:r>
              <w:rPr>
                <w:sz w:val="16"/>
                <w:szCs w:val="16"/>
              </w:rPr>
              <w:t xml:space="preserve"> </w:t>
            </w:r>
            <w:r w:rsidRPr="0002533E">
              <w:rPr>
                <w:sz w:val="16"/>
                <w:szCs w:val="16"/>
              </w:rPr>
              <w:t xml:space="preserve">quality of services, and their timeliness under constraints of available resources and in view of the voluntary and pro-bono participation of donor offices. </w:t>
            </w:r>
          </w:p>
        </w:tc>
        <w:tc>
          <w:tcPr>
            <w:tcW w:w="2694" w:type="dxa"/>
            <w:shd w:val="clear" w:color="auto" w:fill="auto"/>
            <w:tcMar>
              <w:top w:w="113" w:type="dxa"/>
              <w:bottom w:w="113" w:type="dxa"/>
            </w:tcMar>
          </w:tcPr>
          <w:p w:rsidR="000F04C0" w:rsidRPr="0002533E" w:rsidRDefault="000F04C0" w:rsidP="00E3403E">
            <w:pPr>
              <w:autoSpaceDE w:val="0"/>
              <w:autoSpaceDN w:val="0"/>
              <w:adjustRightInd w:val="0"/>
              <w:ind w:right="-59"/>
              <w:rPr>
                <w:sz w:val="16"/>
                <w:szCs w:val="16"/>
              </w:rPr>
            </w:pPr>
            <w:r w:rsidRPr="0002533E">
              <w:rPr>
                <w:sz w:val="16"/>
                <w:szCs w:val="16"/>
              </w:rPr>
              <w:t>WIPO will mitigate the risks by monitoring the timeliness and quality of services delivered by donors, by collaborating for PLRs with external partner institutions that have demonstrated particular interest and needs, by requesting and evaluating</w:t>
            </w:r>
            <w:r>
              <w:rPr>
                <w:sz w:val="16"/>
                <w:szCs w:val="16"/>
              </w:rPr>
              <w:t xml:space="preserve"> </w:t>
            </w:r>
            <w:r w:rsidRPr="0002533E">
              <w:rPr>
                <w:sz w:val="16"/>
                <w:szCs w:val="16"/>
              </w:rPr>
              <w:t>feedback from the users of the services, by prioritizing requests in case of excessive quantitative demand, and by promotion of the services in case of low demand.</w:t>
            </w:r>
          </w:p>
        </w:tc>
        <w:tc>
          <w:tcPr>
            <w:tcW w:w="2552" w:type="dxa"/>
          </w:tcPr>
          <w:p w:rsidR="000F04C0" w:rsidRPr="0002533E" w:rsidRDefault="000F04C0" w:rsidP="00E3403E">
            <w:pPr>
              <w:autoSpaceDE w:val="0"/>
              <w:autoSpaceDN w:val="0"/>
              <w:adjustRightInd w:val="0"/>
              <w:ind w:right="-59"/>
              <w:rPr>
                <w:sz w:val="16"/>
                <w:szCs w:val="16"/>
              </w:rPr>
            </w:pPr>
            <w:r w:rsidRPr="0002533E">
              <w:rPr>
                <w:rFonts w:cs="Arial"/>
                <w:sz w:val="16"/>
                <w:szCs w:val="16"/>
                <w:lang w:val="en-GB" w:eastAsia="en-GB"/>
              </w:rPr>
              <w:t>This</w:t>
            </w:r>
            <w:r w:rsidRPr="0002533E">
              <w:rPr>
                <w:rFonts w:cs="Arial"/>
                <w:sz w:val="16"/>
                <w:szCs w:val="16"/>
                <w:lang w:eastAsia="en-GB"/>
              </w:rPr>
              <w:t xml:space="preserve"> risk did not materialize, as a result of the mitigation actions employed by the Program. </w:t>
            </w:r>
          </w:p>
        </w:tc>
        <w:tc>
          <w:tcPr>
            <w:tcW w:w="1984" w:type="dxa"/>
          </w:tcPr>
          <w:p w:rsidR="000F04C0" w:rsidRPr="0002533E" w:rsidRDefault="000F04C0" w:rsidP="00E3403E">
            <w:pPr>
              <w:autoSpaceDE w:val="0"/>
              <w:autoSpaceDN w:val="0"/>
              <w:adjustRightInd w:val="0"/>
              <w:ind w:right="-59"/>
              <w:rPr>
                <w:sz w:val="16"/>
                <w:szCs w:val="16"/>
              </w:rPr>
            </w:pPr>
            <w:r w:rsidRPr="0002533E">
              <w:rPr>
                <w:rFonts w:cs="Arial"/>
                <w:sz w:val="16"/>
                <w:szCs w:val="16"/>
              </w:rPr>
              <w:t>There was no material impact on the Program’s performance.</w:t>
            </w:r>
          </w:p>
        </w:tc>
      </w:tr>
    </w:tbl>
    <w:p w:rsidR="000F04C0" w:rsidRPr="00654FA4" w:rsidRDefault="000F04C0" w:rsidP="00E3403E">
      <w:pPr>
        <w:rPr>
          <w:rFonts w:cs="Arial"/>
          <w:color w:val="000000"/>
          <w:sz w:val="18"/>
          <w:szCs w:val="20"/>
        </w:rPr>
      </w:pPr>
    </w:p>
    <w:p w:rsidR="000F04C0" w:rsidRDefault="000F04C0" w:rsidP="00E3403E">
      <w:pPr>
        <w:rPr>
          <w:rFonts w:cs="Arial"/>
          <w:color w:val="000000"/>
          <w:sz w:val="18"/>
          <w:szCs w:val="20"/>
        </w:rPr>
      </w:pPr>
    </w:p>
    <w:p w:rsidR="000F04C0" w:rsidRPr="00654FA4" w:rsidRDefault="000F04C0" w:rsidP="00E3403E">
      <w:pPr>
        <w:rPr>
          <w:rFonts w:cs="Arial"/>
          <w:color w:val="000000"/>
          <w:sz w:val="18"/>
          <w:szCs w:val="20"/>
        </w:rPr>
      </w:pPr>
    </w:p>
    <w:p w:rsidR="000F04C0" w:rsidRPr="00654FA4" w:rsidRDefault="000F04C0" w:rsidP="000F04C0">
      <w:pPr>
        <w:keepNext/>
        <w:keepLines/>
        <w:rPr>
          <w:b/>
          <w:szCs w:val="20"/>
        </w:rPr>
      </w:pPr>
      <w:r w:rsidRPr="00654FA4">
        <w:rPr>
          <w:rFonts w:cs="Arial"/>
          <w:color w:val="000000"/>
          <w:szCs w:val="20"/>
        </w:rPr>
        <w:lastRenderedPageBreak/>
        <w:t>RESOURCE UTILIZATION</w:t>
      </w:r>
    </w:p>
    <w:p w:rsidR="000F04C0" w:rsidRPr="00654FA4" w:rsidRDefault="000F04C0" w:rsidP="000F04C0">
      <w:pPr>
        <w:keepNext/>
        <w:keepLines/>
        <w:jc w:val="both"/>
        <w:rPr>
          <w:sz w:val="18"/>
          <w:szCs w:val="20"/>
        </w:rPr>
      </w:pPr>
    </w:p>
    <w:p w:rsidR="000F04C0" w:rsidRPr="00255E19" w:rsidRDefault="000F04C0" w:rsidP="000F04C0">
      <w:pPr>
        <w:pStyle w:val="NormalWeb"/>
        <w:keepNext/>
        <w:keepLines/>
        <w:spacing w:before="0" w:beforeAutospacing="0" w:after="0" w:afterAutospacing="0"/>
        <w:jc w:val="center"/>
        <w:rPr>
          <w:sz w:val="20"/>
          <w:szCs w:val="20"/>
        </w:rPr>
      </w:pPr>
      <w:r w:rsidRPr="00255E19">
        <w:rPr>
          <w:color w:val="000000"/>
          <w:sz w:val="20"/>
          <w:szCs w:val="20"/>
        </w:rPr>
        <w:t>Budget and Actual Expenditure (by result)</w:t>
      </w:r>
    </w:p>
    <w:p w:rsidR="000F04C0" w:rsidRPr="00255E19" w:rsidRDefault="000F04C0" w:rsidP="000F04C0">
      <w:pPr>
        <w:pStyle w:val="NormalWeb"/>
        <w:keepNext/>
        <w:keepLines/>
        <w:spacing w:before="0" w:beforeAutospacing="0" w:after="0" w:afterAutospacing="0"/>
        <w:jc w:val="center"/>
        <w:rPr>
          <w:i/>
          <w:iCs/>
          <w:color w:val="000000"/>
          <w:sz w:val="20"/>
          <w:szCs w:val="20"/>
        </w:rPr>
      </w:pPr>
      <w:r w:rsidRPr="00255E19">
        <w:rPr>
          <w:i/>
          <w:iCs/>
          <w:color w:val="000000"/>
          <w:sz w:val="20"/>
          <w:szCs w:val="20"/>
        </w:rPr>
        <w:t>(in thousands of Swiss francs)</w:t>
      </w:r>
    </w:p>
    <w:p w:rsidR="000F04C0" w:rsidRPr="00654FA4" w:rsidRDefault="000F04C0" w:rsidP="000F04C0">
      <w:pPr>
        <w:keepNext/>
        <w:keepLines/>
        <w:jc w:val="center"/>
        <w:rPr>
          <w:sz w:val="18"/>
          <w:szCs w:val="20"/>
        </w:rPr>
      </w:pPr>
    </w:p>
    <w:p w:rsidR="000F04C0" w:rsidRPr="00255E19" w:rsidRDefault="000F04C0" w:rsidP="000F04C0">
      <w:pPr>
        <w:keepNext/>
        <w:keepLines/>
        <w:jc w:val="center"/>
        <w:rPr>
          <w:szCs w:val="20"/>
        </w:rPr>
      </w:pPr>
      <w:r w:rsidRPr="00DF5896">
        <w:rPr>
          <w:noProof/>
        </w:rPr>
        <w:drawing>
          <wp:inline distT="0" distB="0" distL="0" distR="0" wp14:anchorId="5D0194C2" wp14:editId="20B4B689">
            <wp:extent cx="4818491" cy="1016989"/>
            <wp:effectExtent l="0" t="0" r="1270" b="0"/>
            <wp:docPr id="157"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0">
                      <a:extLst>
                        <a:ext uri="{28A0092B-C50C-407E-A947-70E740481C1C}">
                          <a14:useLocalDpi xmlns:a14="http://schemas.microsoft.com/office/drawing/2010/main" val="0"/>
                        </a:ext>
                      </a:extLst>
                    </a:blip>
                    <a:srcRect/>
                    <a:stretch>
                      <a:fillRect/>
                    </a:stretch>
                  </pic:blipFill>
                  <pic:spPr bwMode="auto">
                    <a:xfrm>
                      <a:off x="0" y="0"/>
                      <a:ext cx="4835801" cy="1020642"/>
                    </a:xfrm>
                    <a:prstGeom prst="rect">
                      <a:avLst/>
                    </a:prstGeom>
                    <a:noFill/>
                    <a:ln>
                      <a:noFill/>
                    </a:ln>
                  </pic:spPr>
                </pic:pic>
              </a:graphicData>
            </a:graphic>
          </wp:inline>
        </w:drawing>
      </w:r>
    </w:p>
    <w:p w:rsidR="000F04C0" w:rsidRDefault="000F04C0" w:rsidP="00E3403E">
      <w:pPr>
        <w:pStyle w:val="NormalWeb"/>
        <w:spacing w:before="0" w:beforeAutospacing="0" w:after="0" w:afterAutospacing="0"/>
        <w:jc w:val="center"/>
        <w:rPr>
          <w:color w:val="000000"/>
          <w:szCs w:val="20"/>
        </w:rPr>
      </w:pPr>
    </w:p>
    <w:p w:rsidR="000F04C0" w:rsidRPr="00654FA4" w:rsidRDefault="000F04C0" w:rsidP="00E3403E">
      <w:pPr>
        <w:pStyle w:val="NormalWeb"/>
        <w:spacing w:before="0" w:beforeAutospacing="0" w:after="0" w:afterAutospacing="0"/>
        <w:jc w:val="center"/>
        <w:rPr>
          <w:color w:val="000000"/>
          <w:szCs w:val="20"/>
        </w:rPr>
      </w:pPr>
    </w:p>
    <w:p w:rsidR="000F04C0" w:rsidRPr="00255E19" w:rsidRDefault="000F04C0" w:rsidP="00E3403E">
      <w:pPr>
        <w:pStyle w:val="NormalWeb"/>
        <w:spacing w:before="0" w:beforeAutospacing="0" w:after="0" w:afterAutospacing="0"/>
        <w:jc w:val="center"/>
        <w:rPr>
          <w:sz w:val="20"/>
          <w:szCs w:val="20"/>
        </w:rPr>
      </w:pPr>
      <w:r w:rsidRPr="00255E19">
        <w:rPr>
          <w:color w:val="000000"/>
          <w:sz w:val="20"/>
          <w:szCs w:val="20"/>
        </w:rPr>
        <w:t>Budget and Actual Expenditure (personnel and non-personnel)</w:t>
      </w:r>
    </w:p>
    <w:p w:rsidR="000F04C0" w:rsidRPr="00255E19" w:rsidRDefault="000F04C0" w:rsidP="00E3403E">
      <w:pPr>
        <w:pStyle w:val="NormalWeb"/>
        <w:spacing w:before="0" w:beforeAutospacing="0" w:after="0" w:afterAutospacing="0"/>
        <w:jc w:val="center"/>
        <w:rPr>
          <w:i/>
          <w:iCs/>
          <w:color w:val="000000"/>
          <w:sz w:val="20"/>
          <w:szCs w:val="20"/>
        </w:rPr>
      </w:pPr>
      <w:r w:rsidRPr="00255E19">
        <w:rPr>
          <w:i/>
          <w:iCs/>
          <w:color w:val="000000"/>
          <w:sz w:val="20"/>
          <w:szCs w:val="20"/>
        </w:rPr>
        <w:t>(in thousands of Swiss francs)</w:t>
      </w:r>
    </w:p>
    <w:p w:rsidR="000F04C0" w:rsidRPr="00654FA4" w:rsidRDefault="000F04C0" w:rsidP="00E3403E">
      <w:pPr>
        <w:pStyle w:val="NormalWeb"/>
        <w:spacing w:before="0" w:beforeAutospacing="0" w:after="0" w:afterAutospacing="0"/>
        <w:jc w:val="both"/>
        <w:rPr>
          <w:szCs w:val="20"/>
        </w:rPr>
      </w:pPr>
    </w:p>
    <w:p w:rsidR="000F04C0" w:rsidRPr="00654FA4" w:rsidRDefault="000F04C0" w:rsidP="00E3403E">
      <w:pPr>
        <w:widowControl w:val="0"/>
        <w:autoSpaceDE w:val="0"/>
        <w:autoSpaceDN w:val="0"/>
        <w:adjustRightInd w:val="0"/>
        <w:jc w:val="center"/>
        <w:rPr>
          <w:rFonts w:cs="Arial"/>
          <w:sz w:val="18"/>
          <w:szCs w:val="20"/>
        </w:rPr>
      </w:pPr>
      <w:r w:rsidRPr="006732FF">
        <w:rPr>
          <w:noProof/>
        </w:rPr>
        <w:drawing>
          <wp:inline distT="0" distB="0" distL="0" distR="0" wp14:anchorId="4FCB7A5D" wp14:editId="4C221E65">
            <wp:extent cx="4786685" cy="921286"/>
            <wp:effectExtent l="0" t="0" r="0" b="0"/>
            <wp:docPr id="158" name="Pictur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1">
                      <a:extLst>
                        <a:ext uri="{28A0092B-C50C-407E-A947-70E740481C1C}">
                          <a14:useLocalDpi xmlns:a14="http://schemas.microsoft.com/office/drawing/2010/main" val="0"/>
                        </a:ext>
                      </a:extLst>
                    </a:blip>
                    <a:srcRect/>
                    <a:stretch>
                      <a:fillRect/>
                    </a:stretch>
                  </pic:blipFill>
                  <pic:spPr bwMode="auto">
                    <a:xfrm>
                      <a:off x="0" y="0"/>
                      <a:ext cx="4817649" cy="927246"/>
                    </a:xfrm>
                    <a:prstGeom prst="rect">
                      <a:avLst/>
                    </a:prstGeom>
                    <a:noFill/>
                    <a:ln>
                      <a:noFill/>
                    </a:ln>
                  </pic:spPr>
                </pic:pic>
              </a:graphicData>
            </a:graphic>
          </wp:inline>
        </w:drawing>
      </w:r>
    </w:p>
    <w:p w:rsidR="000F04C0" w:rsidRDefault="000F04C0" w:rsidP="00E3403E">
      <w:pPr>
        <w:jc w:val="both"/>
        <w:rPr>
          <w:rFonts w:cs="Arial"/>
          <w:sz w:val="18"/>
          <w:szCs w:val="20"/>
        </w:rPr>
      </w:pPr>
    </w:p>
    <w:p w:rsidR="000F04C0" w:rsidRPr="00654FA4" w:rsidRDefault="000F04C0" w:rsidP="00E3403E">
      <w:pPr>
        <w:jc w:val="both"/>
        <w:rPr>
          <w:rFonts w:cs="Arial"/>
          <w:sz w:val="18"/>
          <w:szCs w:val="20"/>
        </w:rPr>
      </w:pPr>
    </w:p>
    <w:p w:rsidR="000F04C0" w:rsidRDefault="000F04C0" w:rsidP="00E3403E">
      <w:pPr>
        <w:jc w:val="both"/>
        <w:rPr>
          <w:rFonts w:cs="Arial"/>
          <w:szCs w:val="20"/>
          <w:u w:val="single"/>
        </w:rPr>
      </w:pPr>
      <w:r>
        <w:rPr>
          <w:rFonts w:cs="Arial"/>
          <w:szCs w:val="20"/>
        </w:rPr>
        <w:t>A.</w:t>
      </w:r>
      <w:r>
        <w:rPr>
          <w:rFonts w:cs="Arial"/>
          <w:szCs w:val="20"/>
        </w:rPr>
        <w:tab/>
      </w:r>
      <w:r w:rsidRPr="00654FA4">
        <w:rPr>
          <w:rFonts w:cs="Arial"/>
          <w:szCs w:val="20"/>
          <w:u w:val="single"/>
        </w:rPr>
        <w:t>2014/15 Final Budget after Transfers</w:t>
      </w:r>
    </w:p>
    <w:p w:rsidR="000F04C0" w:rsidRPr="00654FA4" w:rsidRDefault="000F04C0" w:rsidP="00E3403E">
      <w:pPr>
        <w:jc w:val="both"/>
        <w:rPr>
          <w:rFonts w:cs="Arial"/>
          <w:sz w:val="18"/>
          <w:szCs w:val="20"/>
          <w:u w:val="single"/>
        </w:rPr>
      </w:pPr>
    </w:p>
    <w:p w:rsidR="000F04C0" w:rsidRPr="00654FA4" w:rsidRDefault="000F04C0" w:rsidP="000F04C0">
      <w:pPr>
        <w:pStyle w:val="ListParagraph"/>
        <w:numPr>
          <w:ilvl w:val="0"/>
          <w:numId w:val="82"/>
        </w:numPr>
        <w:tabs>
          <w:tab w:val="left" w:pos="0"/>
          <w:tab w:val="left" w:pos="709"/>
        </w:tabs>
        <w:ind w:left="0" w:firstLine="0"/>
        <w:jc w:val="both"/>
        <w:rPr>
          <w:rFonts w:cs="Arial"/>
          <w:bCs/>
        </w:rPr>
      </w:pPr>
      <w:r w:rsidRPr="00654FA4">
        <w:rPr>
          <w:rFonts w:cs="Arial"/>
          <w:bCs/>
        </w:rPr>
        <w:t>The overall decrease in the 2014/15 Final Budget after Transfers (personnel resources) is primarily the net result of, on the one hand, regularizations of continuing functions and, on the other hand, the redeployment of posts to support work in the WIPO Office in China (Program 20) and on SMEs and Entrepreneurship Support (Program 30).</w:t>
      </w:r>
    </w:p>
    <w:p w:rsidR="000F04C0" w:rsidRPr="00654FA4" w:rsidRDefault="000F04C0" w:rsidP="00E3403E">
      <w:pPr>
        <w:autoSpaceDE w:val="0"/>
        <w:autoSpaceDN w:val="0"/>
        <w:jc w:val="both"/>
        <w:rPr>
          <w:rFonts w:cs="Arial"/>
          <w:sz w:val="18"/>
          <w:szCs w:val="20"/>
          <w:lang w:eastAsia="ko-KR"/>
        </w:rPr>
      </w:pPr>
    </w:p>
    <w:p w:rsidR="000F04C0" w:rsidRPr="00654FA4" w:rsidRDefault="000F04C0" w:rsidP="000F04C0">
      <w:pPr>
        <w:pStyle w:val="ListParagraph"/>
        <w:numPr>
          <w:ilvl w:val="0"/>
          <w:numId w:val="82"/>
        </w:numPr>
        <w:tabs>
          <w:tab w:val="left" w:pos="0"/>
          <w:tab w:val="left" w:pos="709"/>
        </w:tabs>
        <w:ind w:left="0" w:firstLine="0"/>
        <w:jc w:val="both"/>
        <w:rPr>
          <w:rFonts w:cs="Arial"/>
          <w:bCs/>
        </w:rPr>
      </w:pPr>
      <w:r w:rsidRPr="00654FA4">
        <w:rPr>
          <w:rFonts w:cs="Arial"/>
          <w:bCs/>
        </w:rPr>
        <w:t>The decrease in non-personnel resources reflects primarily the transfer of resources to Program 13 (Global Databases) for the addition of chemical search capabilities to PATENTSCOPE and to Program 12 (Classifications and Standards) to fund higher than expected costs for the development and hosting of the IPC reclassification software.</w:t>
      </w:r>
    </w:p>
    <w:p w:rsidR="000F04C0" w:rsidRPr="00654FA4" w:rsidRDefault="000F04C0" w:rsidP="00E3403E">
      <w:pPr>
        <w:autoSpaceDE w:val="0"/>
        <w:autoSpaceDN w:val="0"/>
        <w:jc w:val="both"/>
        <w:rPr>
          <w:rFonts w:cs="Arial"/>
          <w:color w:val="000000"/>
          <w:sz w:val="18"/>
        </w:rPr>
      </w:pPr>
    </w:p>
    <w:p w:rsidR="000F04C0" w:rsidRDefault="000F04C0" w:rsidP="00E3403E">
      <w:pPr>
        <w:jc w:val="both"/>
        <w:rPr>
          <w:rFonts w:cs="Arial"/>
          <w:szCs w:val="20"/>
          <w:u w:val="single"/>
          <w:lang w:eastAsia="ko-KR"/>
        </w:rPr>
      </w:pPr>
      <w:r>
        <w:rPr>
          <w:rFonts w:cs="Arial"/>
          <w:szCs w:val="20"/>
          <w:lang w:eastAsia="ko-KR"/>
        </w:rPr>
        <w:t>B.</w:t>
      </w:r>
      <w:r>
        <w:rPr>
          <w:rFonts w:cs="Arial"/>
          <w:szCs w:val="20"/>
          <w:lang w:eastAsia="ko-KR"/>
        </w:rPr>
        <w:tab/>
      </w:r>
      <w:r w:rsidRPr="00654FA4">
        <w:rPr>
          <w:rFonts w:cs="Arial"/>
          <w:szCs w:val="20"/>
          <w:u w:val="single"/>
          <w:lang w:eastAsia="ko-KR"/>
        </w:rPr>
        <w:t>2014/15 Budget Utilization</w:t>
      </w:r>
    </w:p>
    <w:p w:rsidR="000F04C0" w:rsidRDefault="000F04C0" w:rsidP="00E3403E">
      <w:pPr>
        <w:jc w:val="both"/>
        <w:rPr>
          <w:rFonts w:cs="Arial"/>
          <w:szCs w:val="20"/>
          <w:u w:val="single"/>
          <w:lang w:eastAsia="ko-KR"/>
        </w:rPr>
      </w:pPr>
    </w:p>
    <w:p w:rsidR="000F04C0" w:rsidRDefault="000F04C0" w:rsidP="000F04C0">
      <w:pPr>
        <w:pStyle w:val="ListParagraph"/>
        <w:numPr>
          <w:ilvl w:val="0"/>
          <w:numId w:val="82"/>
        </w:numPr>
        <w:tabs>
          <w:tab w:val="left" w:pos="0"/>
          <w:tab w:val="left" w:pos="709"/>
        </w:tabs>
        <w:ind w:left="0" w:firstLine="0"/>
        <w:jc w:val="both"/>
      </w:pPr>
      <w:r w:rsidRPr="00620F57">
        <w:rPr>
          <w:rFonts w:cs="Arial"/>
          <w:bCs/>
        </w:rPr>
        <w:t>Budget utilization is within the expected range for the biennium.</w:t>
      </w:r>
    </w:p>
    <w:p w:rsidR="007852E3" w:rsidRDefault="007852E3"/>
    <w:p w:rsidR="00D97F1C" w:rsidRDefault="00D97F1C">
      <w:r>
        <w:br w:type="page"/>
      </w:r>
    </w:p>
    <w:p w:rsidR="008A4774" w:rsidRPr="00CE1FA2" w:rsidRDefault="00584365" w:rsidP="008A4774">
      <w:pPr>
        <w:pStyle w:val="Heading2"/>
        <w:tabs>
          <w:tab w:val="clear" w:pos="567"/>
          <w:tab w:val="left" w:pos="1985"/>
        </w:tabs>
        <w:jc w:val="both"/>
        <w:rPr>
          <w:sz w:val="20"/>
          <w:szCs w:val="20"/>
        </w:rPr>
      </w:pPr>
      <w:bookmarkStart w:id="85" w:name="_Toc422210499"/>
      <w:r>
        <w:rPr>
          <w:szCs w:val="20"/>
        </w:rPr>
        <w:lastRenderedPageBreak/>
        <w:t xml:space="preserve"> </w:t>
      </w:r>
      <w:bookmarkStart w:id="86" w:name="_Toc454544484"/>
      <w:r w:rsidR="008A4774" w:rsidRPr="00671186">
        <w:rPr>
          <w:szCs w:val="20"/>
        </w:rPr>
        <w:t>PROGRAM 15</w:t>
      </w:r>
      <w:r w:rsidR="008A4774" w:rsidRPr="00671186">
        <w:rPr>
          <w:szCs w:val="20"/>
        </w:rPr>
        <w:tab/>
      </w:r>
      <w:r w:rsidR="008A4774" w:rsidRPr="00671186">
        <w:rPr>
          <w:szCs w:val="20"/>
        </w:rPr>
        <w:tab/>
        <w:t>BUSINESS SOLUTIONS FOR IP OFFICES</w:t>
      </w:r>
      <w:bookmarkEnd w:id="85"/>
      <w:bookmarkEnd w:id="86"/>
    </w:p>
    <w:p w:rsidR="008A4774" w:rsidRPr="009022DD" w:rsidRDefault="008A4774" w:rsidP="008A4774">
      <w:pPr>
        <w:jc w:val="both"/>
        <w:rPr>
          <w:rFonts w:cs="Arial"/>
          <w:szCs w:val="20"/>
        </w:rPr>
      </w:pPr>
    </w:p>
    <w:p w:rsidR="008A4774" w:rsidRPr="00CE1FA2" w:rsidRDefault="008A4774" w:rsidP="008A4774">
      <w:pPr>
        <w:tabs>
          <w:tab w:val="left" w:pos="1985"/>
        </w:tabs>
        <w:jc w:val="both"/>
        <w:rPr>
          <w:rFonts w:cs="Arial"/>
          <w:b/>
          <w:szCs w:val="20"/>
        </w:rPr>
      </w:pPr>
      <w:r w:rsidRPr="00CE1FA2">
        <w:rPr>
          <w:rFonts w:cs="Arial"/>
          <w:b/>
          <w:szCs w:val="20"/>
        </w:rPr>
        <w:t>Program Manager</w:t>
      </w:r>
      <w:r w:rsidRPr="00CE1FA2">
        <w:rPr>
          <w:rFonts w:cs="Arial"/>
          <w:b/>
          <w:szCs w:val="20"/>
        </w:rPr>
        <w:tab/>
        <w:t>Mr. Y</w:t>
      </w:r>
      <w:r>
        <w:rPr>
          <w:rFonts w:cs="Arial"/>
          <w:b/>
          <w:szCs w:val="20"/>
        </w:rPr>
        <w:t>.</w:t>
      </w:r>
      <w:r w:rsidRPr="00CE1FA2">
        <w:rPr>
          <w:rFonts w:cs="Arial"/>
          <w:b/>
          <w:szCs w:val="20"/>
        </w:rPr>
        <w:t xml:space="preserve"> Takagi</w:t>
      </w:r>
    </w:p>
    <w:p w:rsidR="008A4774" w:rsidRPr="009022DD" w:rsidRDefault="008A4774" w:rsidP="008A4774">
      <w:pPr>
        <w:jc w:val="both"/>
        <w:rPr>
          <w:rFonts w:cs="Arial"/>
          <w:szCs w:val="20"/>
        </w:rPr>
      </w:pPr>
    </w:p>
    <w:p w:rsidR="008A4774" w:rsidRPr="009022DD" w:rsidRDefault="008A4774" w:rsidP="008A4774">
      <w:pPr>
        <w:jc w:val="both"/>
        <w:rPr>
          <w:rFonts w:cs="Arial"/>
          <w:szCs w:val="20"/>
        </w:rPr>
      </w:pPr>
    </w:p>
    <w:p w:rsidR="008A4774" w:rsidRPr="00B2467D" w:rsidRDefault="008A4774" w:rsidP="008A4774">
      <w:pPr>
        <w:jc w:val="both"/>
        <w:rPr>
          <w:rFonts w:cs="Arial"/>
          <w:bCs/>
          <w:sz w:val="18"/>
          <w:szCs w:val="20"/>
        </w:rPr>
      </w:pPr>
      <w:r w:rsidRPr="00B2467D">
        <w:rPr>
          <w:rFonts w:cs="Arial"/>
          <w:bCs/>
          <w:szCs w:val="20"/>
        </w:rPr>
        <w:t>ACHIEVEMENTS IN THE 2014/15 BIENNIUM</w:t>
      </w:r>
    </w:p>
    <w:p w:rsidR="008A4774" w:rsidRDefault="008A4774" w:rsidP="008A4774">
      <w:pPr>
        <w:jc w:val="both"/>
        <w:rPr>
          <w:rFonts w:cs="Arial"/>
          <w:szCs w:val="20"/>
        </w:rPr>
      </w:pPr>
    </w:p>
    <w:p w:rsidR="008A4774" w:rsidRDefault="008A4774" w:rsidP="00C25166">
      <w:pPr>
        <w:pStyle w:val="ListParagraph"/>
        <w:numPr>
          <w:ilvl w:val="0"/>
          <w:numId w:val="8"/>
        </w:numPr>
        <w:tabs>
          <w:tab w:val="left" w:pos="709"/>
        </w:tabs>
        <w:ind w:left="0" w:firstLine="0"/>
        <w:jc w:val="both"/>
        <w:rPr>
          <w:rFonts w:cs="Arial"/>
          <w:lang w:val="en-SG"/>
        </w:rPr>
      </w:pPr>
      <w:r w:rsidRPr="00027BF6">
        <w:rPr>
          <w:rFonts w:cs="Arial"/>
          <w:lang w:val="en-SG"/>
        </w:rPr>
        <w:t xml:space="preserve">The biennium 2014/15 saw an increase in demand for technical assistance from IP Offices, both in terms of the number of </w:t>
      </w:r>
      <w:r>
        <w:rPr>
          <w:rFonts w:cs="Arial"/>
          <w:lang w:val="en-SG"/>
        </w:rPr>
        <w:t>O</w:t>
      </w:r>
      <w:r w:rsidRPr="00027BF6">
        <w:rPr>
          <w:rFonts w:cs="Arial"/>
          <w:lang w:val="en-SG"/>
        </w:rPr>
        <w:t xml:space="preserve">ffices requesting assistance and in the range of assistance requested, in particular with regard to electronic document management, online filing and online publication.  </w:t>
      </w:r>
    </w:p>
    <w:p w:rsidR="008A4774" w:rsidRPr="00027BF6" w:rsidRDefault="008A4774" w:rsidP="00C25166">
      <w:pPr>
        <w:pStyle w:val="ListParagraph"/>
        <w:tabs>
          <w:tab w:val="left" w:pos="709"/>
        </w:tabs>
        <w:ind w:left="0"/>
        <w:jc w:val="both"/>
        <w:rPr>
          <w:rFonts w:cs="Arial"/>
          <w:lang w:val="en-SG"/>
        </w:rPr>
      </w:pPr>
    </w:p>
    <w:p w:rsidR="008A4774" w:rsidRPr="00671186" w:rsidRDefault="008A4774" w:rsidP="00C25166">
      <w:pPr>
        <w:pStyle w:val="ListParagraph"/>
        <w:numPr>
          <w:ilvl w:val="0"/>
          <w:numId w:val="8"/>
        </w:numPr>
        <w:tabs>
          <w:tab w:val="left" w:pos="709"/>
        </w:tabs>
        <w:ind w:left="0" w:firstLine="0"/>
        <w:jc w:val="both"/>
        <w:rPr>
          <w:rFonts w:cs="Arial"/>
          <w:lang w:val="en-SG"/>
        </w:rPr>
      </w:pPr>
      <w:r>
        <w:rPr>
          <w:rFonts w:cs="Arial"/>
          <w:lang w:val="en-SG"/>
        </w:rPr>
        <w:t>To respond to the demand, t</w:t>
      </w:r>
      <w:r w:rsidRPr="00671186">
        <w:rPr>
          <w:rFonts w:cs="Arial"/>
          <w:lang w:val="en-SG"/>
        </w:rPr>
        <w:t>he IB continued to develop the products to support IP Offices’ business processes, in particular the Industrial Property Administration System (IPAS)</w:t>
      </w:r>
      <w:r>
        <w:rPr>
          <w:rFonts w:cs="Arial"/>
          <w:lang w:val="en-SG"/>
        </w:rPr>
        <w:t xml:space="preserve"> and supporting modules</w:t>
      </w:r>
      <w:r w:rsidRPr="00671186">
        <w:rPr>
          <w:rFonts w:cs="Arial"/>
          <w:lang w:val="en-SG"/>
        </w:rPr>
        <w:t xml:space="preserve">.  Major new features </w:t>
      </w:r>
      <w:r>
        <w:rPr>
          <w:rFonts w:cs="Arial"/>
          <w:lang w:val="en-SG"/>
        </w:rPr>
        <w:t xml:space="preserve">deployed during the biennium </w:t>
      </w:r>
      <w:r w:rsidRPr="00671186">
        <w:rPr>
          <w:rFonts w:cs="Arial"/>
          <w:lang w:val="en-SG"/>
        </w:rPr>
        <w:t xml:space="preserve">included better support for electronic document management and support for bilingual operations, particularly for </w:t>
      </w:r>
      <w:r>
        <w:rPr>
          <w:rFonts w:cs="Arial"/>
          <w:lang w:val="en-SG"/>
        </w:rPr>
        <w:t>O</w:t>
      </w:r>
      <w:r w:rsidRPr="00671186">
        <w:rPr>
          <w:rFonts w:cs="Arial"/>
          <w:lang w:val="en-SG"/>
        </w:rPr>
        <w:t xml:space="preserve">ffices working in </w:t>
      </w:r>
      <w:r>
        <w:rPr>
          <w:rFonts w:cs="Arial"/>
          <w:lang w:val="en-SG"/>
        </w:rPr>
        <w:t xml:space="preserve">the </w:t>
      </w:r>
      <w:r w:rsidRPr="00671186">
        <w:rPr>
          <w:rFonts w:cs="Arial"/>
          <w:lang w:val="en-SG"/>
        </w:rPr>
        <w:t>Arabic</w:t>
      </w:r>
      <w:r>
        <w:rPr>
          <w:rFonts w:cs="Arial"/>
          <w:lang w:val="en-SG"/>
        </w:rPr>
        <w:t xml:space="preserve"> language</w:t>
      </w:r>
      <w:r w:rsidRPr="00671186">
        <w:rPr>
          <w:rFonts w:cs="Arial"/>
          <w:lang w:val="en-SG"/>
        </w:rPr>
        <w:t xml:space="preserve">. </w:t>
      </w:r>
    </w:p>
    <w:p w:rsidR="008A4774" w:rsidRPr="00CE1FA2" w:rsidRDefault="008A4774" w:rsidP="00C25166">
      <w:pPr>
        <w:tabs>
          <w:tab w:val="left" w:pos="709"/>
        </w:tabs>
        <w:jc w:val="both"/>
        <w:rPr>
          <w:rFonts w:cs="Arial"/>
          <w:szCs w:val="20"/>
          <w:lang w:val="en-SG"/>
        </w:rPr>
      </w:pPr>
    </w:p>
    <w:p w:rsidR="008A4774" w:rsidRPr="00671186" w:rsidRDefault="008A4774" w:rsidP="00C25166">
      <w:pPr>
        <w:pStyle w:val="ListParagraph"/>
        <w:numPr>
          <w:ilvl w:val="0"/>
          <w:numId w:val="8"/>
        </w:numPr>
        <w:tabs>
          <w:tab w:val="left" w:pos="709"/>
        </w:tabs>
        <w:ind w:left="0" w:firstLine="0"/>
        <w:jc w:val="both"/>
        <w:rPr>
          <w:rFonts w:cs="Arial"/>
          <w:lang w:val="en-SG"/>
        </w:rPr>
      </w:pPr>
      <w:r w:rsidRPr="00F47B71">
        <w:rPr>
          <w:rFonts w:cs="Arial"/>
          <w:lang w:val="en-SG"/>
        </w:rPr>
        <w:t xml:space="preserve">Two new modules </w:t>
      </w:r>
      <w:r w:rsidRPr="00671186">
        <w:rPr>
          <w:rFonts w:cs="Arial"/>
          <w:lang w:val="en-SG"/>
        </w:rPr>
        <w:t xml:space="preserve">were developed and </w:t>
      </w:r>
      <w:r>
        <w:rPr>
          <w:rFonts w:cs="Arial"/>
          <w:lang w:val="en-SG"/>
        </w:rPr>
        <w:t>piloted</w:t>
      </w:r>
      <w:r w:rsidRPr="00671186">
        <w:rPr>
          <w:rFonts w:cs="Arial"/>
          <w:lang w:val="en-SG"/>
        </w:rPr>
        <w:t xml:space="preserve"> in several IP </w:t>
      </w:r>
      <w:r>
        <w:rPr>
          <w:rFonts w:cs="Arial"/>
          <w:lang w:val="en-SG"/>
        </w:rPr>
        <w:t>Offices</w:t>
      </w:r>
      <w:r w:rsidRPr="00671186">
        <w:rPr>
          <w:rFonts w:cs="Arial"/>
          <w:lang w:val="en-SG"/>
        </w:rPr>
        <w:t xml:space="preserve">: </w:t>
      </w:r>
    </w:p>
    <w:p w:rsidR="008A4774" w:rsidRPr="00CE1FA2" w:rsidRDefault="008A4774" w:rsidP="00C25166">
      <w:pPr>
        <w:tabs>
          <w:tab w:val="left" w:pos="709"/>
        </w:tabs>
        <w:jc w:val="both"/>
        <w:rPr>
          <w:rFonts w:cs="Arial"/>
          <w:szCs w:val="20"/>
          <w:lang w:val="en-SG"/>
        </w:rPr>
      </w:pPr>
    </w:p>
    <w:p w:rsidR="008A4774" w:rsidRDefault="008A4774" w:rsidP="00F6573D">
      <w:pPr>
        <w:pStyle w:val="ListParagraph"/>
        <w:numPr>
          <w:ilvl w:val="0"/>
          <w:numId w:val="7"/>
        </w:numPr>
        <w:tabs>
          <w:tab w:val="left" w:pos="567"/>
        </w:tabs>
        <w:ind w:left="1134" w:hanging="425"/>
        <w:jc w:val="both"/>
        <w:rPr>
          <w:rFonts w:cs="Arial"/>
        </w:rPr>
      </w:pPr>
      <w:r w:rsidRPr="00CE1FA2">
        <w:rPr>
          <w:rFonts w:cs="Arial"/>
          <w:lang w:val="en-SG"/>
        </w:rPr>
        <w:t xml:space="preserve">WIPO Publish </w:t>
      </w:r>
      <w:r>
        <w:rPr>
          <w:rFonts w:cs="Arial"/>
          <w:lang w:val="en-SG"/>
        </w:rPr>
        <w:t>was</w:t>
      </w:r>
      <w:r w:rsidRPr="00CE1FA2">
        <w:rPr>
          <w:rFonts w:cs="Arial"/>
          <w:lang w:val="en-SG"/>
        </w:rPr>
        <w:t xml:space="preserve"> </w:t>
      </w:r>
      <w:r w:rsidRPr="00CE1FA2">
        <w:rPr>
          <w:rFonts w:cs="Arial"/>
        </w:rPr>
        <w:t xml:space="preserve">designed to meet </w:t>
      </w:r>
      <w:r>
        <w:rPr>
          <w:rFonts w:cs="Arial"/>
        </w:rPr>
        <w:t>O</w:t>
      </w:r>
      <w:r w:rsidRPr="00CE1FA2">
        <w:rPr>
          <w:rFonts w:cs="Arial"/>
        </w:rPr>
        <w:t>ffices’ needs for online publication of IP data, documents, legal status and dossier information, as well as data exchange needs (including data excha</w:t>
      </w:r>
      <w:r>
        <w:rPr>
          <w:rFonts w:cs="Arial"/>
        </w:rPr>
        <w:t>nge for WIPO global databases).  It was deployed for internal use in more than 10 Offices and for online dissemination of IP information in several other Offices.</w:t>
      </w:r>
    </w:p>
    <w:p w:rsidR="008A4774" w:rsidRPr="00CE1FA2" w:rsidRDefault="008A4774" w:rsidP="008A4774">
      <w:pPr>
        <w:pStyle w:val="ListParagraph"/>
        <w:tabs>
          <w:tab w:val="left" w:pos="567"/>
        </w:tabs>
        <w:ind w:left="993" w:hanging="426"/>
        <w:jc w:val="both"/>
        <w:rPr>
          <w:rFonts w:cs="Arial"/>
        </w:rPr>
      </w:pPr>
    </w:p>
    <w:p w:rsidR="008A4774" w:rsidRPr="00CE1FA2" w:rsidRDefault="008A4774" w:rsidP="00F6573D">
      <w:pPr>
        <w:pStyle w:val="ListParagraph"/>
        <w:numPr>
          <w:ilvl w:val="0"/>
          <w:numId w:val="7"/>
        </w:numPr>
        <w:tabs>
          <w:tab w:val="left" w:pos="567"/>
        </w:tabs>
        <w:ind w:left="1134" w:hanging="425"/>
        <w:jc w:val="both"/>
        <w:rPr>
          <w:rFonts w:cs="Arial"/>
        </w:rPr>
      </w:pPr>
      <w:r w:rsidRPr="00CE1FA2">
        <w:rPr>
          <w:rFonts w:cs="Arial"/>
          <w:lang w:val="en-SG"/>
        </w:rPr>
        <w:t xml:space="preserve">WIPO File </w:t>
      </w:r>
      <w:r>
        <w:rPr>
          <w:rFonts w:cs="Arial"/>
          <w:lang w:val="en-SG"/>
        </w:rPr>
        <w:t>was</w:t>
      </w:r>
      <w:r w:rsidRPr="00CE1FA2">
        <w:rPr>
          <w:rFonts w:cs="Arial"/>
          <w:lang w:val="en-SG"/>
        </w:rPr>
        <w:t xml:space="preserve"> </w:t>
      </w:r>
      <w:r w:rsidRPr="00CE1FA2">
        <w:rPr>
          <w:rFonts w:cs="Arial"/>
        </w:rPr>
        <w:t>designed to provide an online filing solution for small</w:t>
      </w:r>
      <w:r>
        <w:rPr>
          <w:rFonts w:cs="Arial"/>
        </w:rPr>
        <w:t xml:space="preserve"> and </w:t>
      </w:r>
      <w:r w:rsidRPr="00CE1FA2">
        <w:rPr>
          <w:rFonts w:cs="Arial"/>
        </w:rPr>
        <w:t>medium</w:t>
      </w:r>
      <w:r>
        <w:rPr>
          <w:rFonts w:cs="Arial"/>
        </w:rPr>
        <w:t>-sized</w:t>
      </w:r>
      <w:r w:rsidRPr="00CE1FA2">
        <w:rPr>
          <w:rFonts w:cs="Arial"/>
        </w:rPr>
        <w:t xml:space="preserve"> </w:t>
      </w:r>
      <w:r>
        <w:rPr>
          <w:rFonts w:cs="Arial"/>
        </w:rPr>
        <w:t xml:space="preserve">Offices, including the flexibility to </w:t>
      </w:r>
      <w:r w:rsidRPr="00CE1FA2">
        <w:rPr>
          <w:rFonts w:cs="Arial"/>
        </w:rPr>
        <w:t>be extensively customized for local conditions (e.g. for local payment systems).</w:t>
      </w:r>
      <w:r>
        <w:rPr>
          <w:rFonts w:cs="Arial"/>
        </w:rPr>
        <w:t xml:space="preserve">  WIPO File was successfully piloted in one IP Office and is being used for online filing at that Office.</w:t>
      </w:r>
    </w:p>
    <w:p w:rsidR="008A4774" w:rsidRDefault="008A4774" w:rsidP="008A4774">
      <w:pPr>
        <w:tabs>
          <w:tab w:val="left" w:pos="567"/>
        </w:tabs>
        <w:jc w:val="both"/>
        <w:rPr>
          <w:rFonts w:cs="Arial"/>
        </w:rPr>
      </w:pPr>
    </w:p>
    <w:p w:rsidR="008A4774" w:rsidRDefault="008A4774" w:rsidP="00C25166">
      <w:pPr>
        <w:pStyle w:val="ListParagraph"/>
        <w:numPr>
          <w:ilvl w:val="0"/>
          <w:numId w:val="8"/>
        </w:numPr>
        <w:tabs>
          <w:tab w:val="left" w:pos="709"/>
        </w:tabs>
        <w:ind w:left="0" w:firstLine="0"/>
        <w:jc w:val="both"/>
        <w:rPr>
          <w:rFonts w:cs="Arial"/>
        </w:rPr>
      </w:pPr>
      <w:r>
        <w:rPr>
          <w:rFonts w:cs="Arial"/>
        </w:rPr>
        <w:t>During the biennium, the Program implemented a new strategy to enhance support levels, knowledge transfer and training.  As part of the strategy, a new support model, featuring an “IPAS Helpdesk”, was implemented with dedicated resources to support IP Offices according to industry-standard procedures.  Eight technical training workshops were held in all regions to transfer knowledge to staff of IP Offices in order to increase their autonomy.  Also as part of the new support strategy, a small number of trained experts from IP Offices were used to support other Offices in the same region, thereby increasing inter-Office cooperation and support and further increasing autonomy by building expert capacity in IP Offices.</w:t>
      </w:r>
    </w:p>
    <w:p w:rsidR="008A4774" w:rsidRDefault="008A4774" w:rsidP="00C25166">
      <w:pPr>
        <w:pStyle w:val="ListParagraph"/>
        <w:tabs>
          <w:tab w:val="left" w:pos="709"/>
        </w:tabs>
        <w:ind w:left="0"/>
        <w:jc w:val="both"/>
        <w:rPr>
          <w:rFonts w:cs="Arial"/>
        </w:rPr>
      </w:pPr>
    </w:p>
    <w:p w:rsidR="008A4774" w:rsidRDefault="008A4774" w:rsidP="00C25166">
      <w:pPr>
        <w:pStyle w:val="ListParagraph"/>
        <w:numPr>
          <w:ilvl w:val="0"/>
          <w:numId w:val="8"/>
        </w:numPr>
        <w:tabs>
          <w:tab w:val="left" w:pos="709"/>
        </w:tabs>
        <w:ind w:left="0" w:firstLine="0"/>
        <w:jc w:val="both"/>
        <w:rPr>
          <w:rFonts w:cs="Arial"/>
        </w:rPr>
      </w:pPr>
      <w:r>
        <w:rPr>
          <w:rFonts w:cs="Arial"/>
        </w:rPr>
        <w:t xml:space="preserve">With the assistance of the </w:t>
      </w:r>
      <w:r w:rsidRPr="001B6464">
        <w:rPr>
          <w:rFonts w:cs="Arial"/>
        </w:rPr>
        <w:t>Government of Japan through the Funds-in-Trust (FIT</w:t>
      </w:r>
      <w:r>
        <w:rPr>
          <w:rFonts w:cs="Arial"/>
        </w:rPr>
        <w:t>s</w:t>
      </w:r>
      <w:r w:rsidRPr="001B6464">
        <w:rPr>
          <w:rFonts w:cs="Arial"/>
        </w:rPr>
        <w:t>), the Program</w:t>
      </w:r>
      <w:r>
        <w:rPr>
          <w:rFonts w:cs="Arial"/>
        </w:rPr>
        <w:t xml:space="preserve"> supported </w:t>
      </w:r>
      <w:r w:rsidRPr="00054FBF">
        <w:rPr>
          <w:rFonts w:cs="Arial"/>
        </w:rPr>
        <w:t>digitization projects in IP Offices</w:t>
      </w:r>
      <w:r>
        <w:rPr>
          <w:rFonts w:cs="Arial"/>
        </w:rPr>
        <w:t>, some of which are ongoing</w:t>
      </w:r>
      <w:r w:rsidRPr="00054FBF">
        <w:rPr>
          <w:rFonts w:cs="Arial"/>
        </w:rPr>
        <w:t xml:space="preserve">, in particular in Africa (ARIPO, Ethiopia, </w:t>
      </w:r>
      <w:r>
        <w:rPr>
          <w:rFonts w:cs="Arial"/>
        </w:rPr>
        <w:t xml:space="preserve">Kenya, </w:t>
      </w:r>
      <w:r w:rsidRPr="00054FBF">
        <w:rPr>
          <w:rFonts w:cs="Arial"/>
        </w:rPr>
        <w:t>Nigeria, OAPI</w:t>
      </w:r>
      <w:r>
        <w:rPr>
          <w:rFonts w:cs="Arial"/>
        </w:rPr>
        <w:t>, Zimbabwe</w:t>
      </w:r>
      <w:r w:rsidRPr="00054FBF">
        <w:rPr>
          <w:rFonts w:cs="Arial"/>
        </w:rPr>
        <w:t>) and Asia and the Pacific (Brunei Darussalam, Cambodia</w:t>
      </w:r>
      <w:r>
        <w:rPr>
          <w:rFonts w:cs="Arial"/>
        </w:rPr>
        <w:t xml:space="preserve">, </w:t>
      </w:r>
      <w:r w:rsidRPr="00702DD3">
        <w:rPr>
          <w:rFonts w:cs="Arial"/>
        </w:rPr>
        <w:t>Lao People's Democratic Republic</w:t>
      </w:r>
      <w:r w:rsidRPr="00054FBF">
        <w:rPr>
          <w:rFonts w:cs="Arial"/>
        </w:rPr>
        <w:t xml:space="preserve">).  </w:t>
      </w:r>
      <w:r>
        <w:rPr>
          <w:rFonts w:cs="Arial"/>
        </w:rPr>
        <w:t>W</w:t>
      </w:r>
      <w:r w:rsidRPr="00054FBF">
        <w:rPr>
          <w:rFonts w:cs="Arial"/>
        </w:rPr>
        <w:t>orkshop</w:t>
      </w:r>
      <w:r>
        <w:rPr>
          <w:rFonts w:cs="Arial"/>
        </w:rPr>
        <w:t>s</w:t>
      </w:r>
      <w:r w:rsidRPr="00054FBF">
        <w:rPr>
          <w:rFonts w:cs="Arial"/>
        </w:rPr>
        <w:t xml:space="preserve"> </w:t>
      </w:r>
      <w:r>
        <w:rPr>
          <w:rFonts w:cs="Arial"/>
        </w:rPr>
        <w:t xml:space="preserve">were </w:t>
      </w:r>
      <w:r w:rsidRPr="00054FBF">
        <w:rPr>
          <w:rFonts w:cs="Arial"/>
        </w:rPr>
        <w:t xml:space="preserve">organized in </w:t>
      </w:r>
      <w:r>
        <w:rPr>
          <w:rFonts w:cs="Arial"/>
        </w:rPr>
        <w:t xml:space="preserve">both </w:t>
      </w:r>
      <w:r w:rsidRPr="00054FBF">
        <w:rPr>
          <w:rFonts w:cs="Arial"/>
        </w:rPr>
        <w:t xml:space="preserve">2014 </w:t>
      </w:r>
      <w:r>
        <w:rPr>
          <w:rFonts w:cs="Arial"/>
        </w:rPr>
        <w:t xml:space="preserve">and 2015 </w:t>
      </w:r>
      <w:r w:rsidRPr="00054FBF">
        <w:rPr>
          <w:rFonts w:cs="Arial"/>
        </w:rPr>
        <w:t xml:space="preserve">on technical requirements to facilitate </w:t>
      </w:r>
      <w:r>
        <w:rPr>
          <w:rFonts w:cs="Arial"/>
        </w:rPr>
        <w:t xml:space="preserve">the ASEAN Patent Examination Cooperation </w:t>
      </w:r>
      <w:r w:rsidRPr="00054FBF">
        <w:rPr>
          <w:rFonts w:cs="Arial"/>
        </w:rPr>
        <w:t>(ASPEC)</w:t>
      </w:r>
      <w:r>
        <w:rPr>
          <w:rFonts w:cs="Arial"/>
        </w:rPr>
        <w:t xml:space="preserve"> program</w:t>
      </w:r>
      <w:r w:rsidRPr="00054FBF">
        <w:rPr>
          <w:rFonts w:cs="Arial"/>
        </w:rPr>
        <w:t xml:space="preserve"> and the ASEAN IP Portal.  Substantial progress was made on </w:t>
      </w:r>
      <w:r>
        <w:rPr>
          <w:rFonts w:cs="Arial"/>
        </w:rPr>
        <w:t xml:space="preserve">integrating new providing Offices into WIPO CASE so that, by the end of the biennium, there were 10 providing Offices, including the IB (PCT dossier information) and the four largest patent Offices. </w:t>
      </w:r>
    </w:p>
    <w:p w:rsidR="008A4774" w:rsidRPr="00512FD6" w:rsidRDefault="008A4774" w:rsidP="00C25166">
      <w:pPr>
        <w:tabs>
          <w:tab w:val="left" w:pos="709"/>
        </w:tabs>
        <w:jc w:val="both"/>
        <w:rPr>
          <w:rFonts w:cs="Arial"/>
          <w:szCs w:val="20"/>
        </w:rPr>
      </w:pPr>
    </w:p>
    <w:p w:rsidR="008A4774" w:rsidRPr="00CE1FA2" w:rsidRDefault="008A4774" w:rsidP="00C25166">
      <w:pPr>
        <w:pStyle w:val="ListParagraph"/>
        <w:numPr>
          <w:ilvl w:val="0"/>
          <w:numId w:val="8"/>
        </w:numPr>
        <w:tabs>
          <w:tab w:val="left" w:pos="709"/>
        </w:tabs>
        <w:ind w:left="0" w:firstLine="0"/>
        <w:jc w:val="both"/>
        <w:rPr>
          <w:rFonts w:cs="Arial"/>
        </w:rPr>
      </w:pPr>
      <w:r w:rsidRPr="00CE1FA2">
        <w:rPr>
          <w:rFonts w:cs="Arial"/>
        </w:rPr>
        <w:t>The WIPO Copyright Connection</w:t>
      </w:r>
      <w:r>
        <w:rPr>
          <w:rFonts w:cs="Arial"/>
        </w:rPr>
        <w:t xml:space="preserve"> (WCC)</w:t>
      </w:r>
      <w:r w:rsidRPr="00CE1FA2">
        <w:rPr>
          <w:rFonts w:cs="Arial"/>
        </w:rPr>
        <w:t xml:space="preserve"> project (successor to WIPOCOS) was </w:t>
      </w:r>
      <w:r>
        <w:rPr>
          <w:rFonts w:cs="Arial"/>
        </w:rPr>
        <w:t xml:space="preserve">also </w:t>
      </w:r>
      <w:r w:rsidRPr="00CE1FA2">
        <w:rPr>
          <w:rFonts w:cs="Arial"/>
        </w:rPr>
        <w:t xml:space="preserve">launched </w:t>
      </w:r>
      <w:r>
        <w:rPr>
          <w:rFonts w:cs="Arial"/>
        </w:rPr>
        <w:t xml:space="preserve">in 2014, </w:t>
      </w:r>
      <w:r w:rsidRPr="00CE1FA2">
        <w:rPr>
          <w:rFonts w:cs="Arial"/>
        </w:rPr>
        <w:t>with the aim of releasing an interconnected system for the management of author and neighboring rights.  A Business Expert Group (BEG) made up of representatives of volunteering</w:t>
      </w:r>
      <w:r>
        <w:rPr>
          <w:rFonts w:cs="Arial"/>
        </w:rPr>
        <w:t xml:space="preserve"> </w:t>
      </w:r>
      <w:r w:rsidRPr="00CE1FA2">
        <w:rPr>
          <w:rFonts w:cs="Arial"/>
        </w:rPr>
        <w:t xml:space="preserve">CMOs and business partners (representatives of international organizations and interested companies) </w:t>
      </w:r>
      <w:r>
        <w:rPr>
          <w:rFonts w:cs="Arial"/>
        </w:rPr>
        <w:t xml:space="preserve">worked </w:t>
      </w:r>
      <w:r w:rsidRPr="00CE1FA2">
        <w:rPr>
          <w:rFonts w:cs="Arial"/>
        </w:rPr>
        <w:t xml:space="preserve">to define the business requirements of the system. </w:t>
      </w:r>
      <w:r>
        <w:rPr>
          <w:rFonts w:cs="Arial"/>
        </w:rPr>
        <w:t xml:space="preserve"> </w:t>
      </w:r>
      <w:r w:rsidRPr="00CE1FA2">
        <w:rPr>
          <w:rFonts w:cs="Arial"/>
        </w:rPr>
        <w:t>An external contractor was engaged at the end of 2014</w:t>
      </w:r>
      <w:r>
        <w:rPr>
          <w:rFonts w:cs="Arial"/>
        </w:rPr>
        <w:t>,</w:t>
      </w:r>
      <w:r w:rsidRPr="00CE1FA2">
        <w:rPr>
          <w:rFonts w:cs="Arial"/>
        </w:rPr>
        <w:t xml:space="preserve"> and a technical Proof of Concept</w:t>
      </w:r>
      <w:r>
        <w:rPr>
          <w:rFonts w:cs="Arial"/>
        </w:rPr>
        <w:t xml:space="preserve"> was delivered in mid-2015</w:t>
      </w:r>
      <w:r w:rsidRPr="00CE1FA2">
        <w:rPr>
          <w:rFonts w:cs="Arial"/>
        </w:rPr>
        <w:t>.</w:t>
      </w:r>
      <w:r>
        <w:rPr>
          <w:rFonts w:cs="Arial"/>
        </w:rPr>
        <w:t xml:space="preserve">  The system was in the final development phase at the end of 2014/15 and will be deployed in CMOs in developing countries and LDCs starting in 2016.</w:t>
      </w:r>
    </w:p>
    <w:p w:rsidR="008A4774" w:rsidRPr="00CE1FA2" w:rsidRDefault="008A4774" w:rsidP="00C25166">
      <w:pPr>
        <w:tabs>
          <w:tab w:val="left" w:pos="709"/>
        </w:tabs>
        <w:jc w:val="both"/>
        <w:rPr>
          <w:rFonts w:cs="Arial"/>
          <w:szCs w:val="20"/>
        </w:rPr>
      </w:pPr>
    </w:p>
    <w:p w:rsidR="008A4774" w:rsidRPr="002111C4" w:rsidRDefault="008A4774" w:rsidP="00C25166">
      <w:pPr>
        <w:keepNext/>
        <w:keepLines/>
        <w:tabs>
          <w:tab w:val="left" w:pos="709"/>
        </w:tabs>
        <w:rPr>
          <w:b/>
        </w:rPr>
      </w:pPr>
      <w:r w:rsidRPr="002111C4">
        <w:rPr>
          <w:b/>
        </w:rPr>
        <w:lastRenderedPageBreak/>
        <w:t xml:space="preserve">IP Office Business Software Systems </w:t>
      </w:r>
    </w:p>
    <w:p w:rsidR="008A4774" w:rsidRPr="002111C4" w:rsidRDefault="008A4774" w:rsidP="00C25166">
      <w:pPr>
        <w:keepNext/>
        <w:keepLines/>
        <w:tabs>
          <w:tab w:val="left" w:pos="709"/>
        </w:tabs>
        <w:rPr>
          <w:rFonts w:cs="Arial"/>
          <w:b/>
        </w:rPr>
      </w:pPr>
    </w:p>
    <w:p w:rsidR="008A4774" w:rsidRPr="00B738FB" w:rsidRDefault="008A4774" w:rsidP="00C25166">
      <w:pPr>
        <w:pStyle w:val="ListParagraph"/>
        <w:keepNext/>
        <w:keepLines/>
        <w:numPr>
          <w:ilvl w:val="0"/>
          <w:numId w:val="8"/>
        </w:numPr>
        <w:tabs>
          <w:tab w:val="left" w:pos="709"/>
        </w:tabs>
        <w:ind w:left="0" w:firstLine="0"/>
        <w:jc w:val="both"/>
        <w:rPr>
          <w:rFonts w:cs="Arial"/>
        </w:rPr>
      </w:pPr>
      <w:r w:rsidRPr="00022AC8">
        <w:rPr>
          <w:rFonts w:cs="Arial"/>
        </w:rPr>
        <w:t xml:space="preserve">The </w:t>
      </w:r>
      <w:r>
        <w:rPr>
          <w:rFonts w:cs="Arial"/>
        </w:rPr>
        <w:t xml:space="preserve">graph below provides an overview of the steady increase in usage of the WIPO IP Office systems over the past six years.  </w:t>
      </w:r>
      <w:r w:rsidRPr="00D342F4">
        <w:rPr>
          <w:bCs/>
        </w:rPr>
        <w:t xml:space="preserve">Some </w:t>
      </w:r>
      <w:r>
        <w:rPr>
          <w:bCs/>
        </w:rPr>
        <w:t>77</w:t>
      </w:r>
      <w:r w:rsidRPr="00D342F4">
        <w:rPr>
          <w:bCs/>
        </w:rPr>
        <w:t xml:space="preserve"> IP Off</w:t>
      </w:r>
      <w:r>
        <w:rPr>
          <w:bCs/>
        </w:rPr>
        <w:t>ices were using WIPO IP Office S</w:t>
      </w:r>
      <w:r w:rsidRPr="00D342F4">
        <w:rPr>
          <w:bCs/>
        </w:rPr>
        <w:t xml:space="preserve">ystems at the end of </w:t>
      </w:r>
      <w:r>
        <w:rPr>
          <w:bCs/>
        </w:rPr>
        <w:t>2015</w:t>
      </w:r>
      <w:r w:rsidRPr="00D342F4">
        <w:rPr>
          <w:bCs/>
        </w:rPr>
        <w:t xml:space="preserve"> (comprising IPAS, the WIPO Arab Industrial Property Management System (AIPMS), EDMS, WIPOScan and the WIPO Madrid Module)</w:t>
      </w:r>
      <w:r>
        <w:rPr>
          <w:rStyle w:val="FootnoteReference"/>
          <w:bCs/>
        </w:rPr>
        <w:footnoteReference w:id="91"/>
      </w:r>
      <w:r w:rsidRPr="00D342F4">
        <w:rPr>
          <w:bCs/>
        </w:rPr>
        <w:t>.</w:t>
      </w:r>
    </w:p>
    <w:p w:rsidR="008A4774" w:rsidRDefault="008A4774" w:rsidP="002111C4">
      <w:pPr>
        <w:pStyle w:val="ListParagraph"/>
        <w:keepNext/>
        <w:keepLines/>
        <w:tabs>
          <w:tab w:val="left" w:pos="709"/>
        </w:tabs>
        <w:ind w:left="0"/>
        <w:jc w:val="both"/>
        <w:rPr>
          <w:rFonts w:cs="Arial"/>
        </w:rPr>
      </w:pPr>
    </w:p>
    <w:p w:rsidR="008A4774" w:rsidRPr="00022AC8" w:rsidRDefault="008A4774" w:rsidP="002111C4">
      <w:pPr>
        <w:pStyle w:val="ListParagraph"/>
        <w:keepNext/>
        <w:keepLines/>
        <w:tabs>
          <w:tab w:val="left" w:pos="709"/>
        </w:tabs>
        <w:ind w:left="0"/>
        <w:jc w:val="both"/>
        <w:rPr>
          <w:rFonts w:cs="Arial"/>
        </w:rPr>
      </w:pPr>
    </w:p>
    <w:p w:rsidR="008A4774" w:rsidRPr="00CE1FA2" w:rsidRDefault="008A4774" w:rsidP="008A4774">
      <w:pPr>
        <w:keepNext/>
        <w:keepLines/>
        <w:jc w:val="center"/>
        <w:rPr>
          <w:rFonts w:cs="Arial"/>
          <w:szCs w:val="20"/>
        </w:rPr>
      </w:pPr>
      <w:r>
        <w:rPr>
          <w:rFonts w:cs="Arial"/>
          <w:noProof/>
          <w:szCs w:val="20"/>
        </w:rPr>
        <w:drawing>
          <wp:inline distT="0" distB="0" distL="0" distR="0" wp14:anchorId="53F4F603" wp14:editId="778EAB73">
            <wp:extent cx="4586599" cy="2879677"/>
            <wp:effectExtent l="0" t="0" r="508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2" cstate="print">
                      <a:extLst>
                        <a:ext uri="{28A0092B-C50C-407E-A947-70E740481C1C}">
                          <a14:useLocalDpi xmlns:a14="http://schemas.microsoft.com/office/drawing/2010/main" val="0"/>
                        </a:ext>
                      </a:extLst>
                    </a:blip>
                    <a:srcRect/>
                    <a:stretch>
                      <a:fillRect/>
                    </a:stretch>
                  </pic:blipFill>
                  <pic:spPr bwMode="auto">
                    <a:xfrm>
                      <a:off x="0" y="0"/>
                      <a:ext cx="4590027" cy="2881829"/>
                    </a:xfrm>
                    <a:prstGeom prst="rect">
                      <a:avLst/>
                    </a:prstGeom>
                    <a:noFill/>
                  </pic:spPr>
                </pic:pic>
              </a:graphicData>
            </a:graphic>
          </wp:inline>
        </w:drawing>
      </w:r>
    </w:p>
    <w:p w:rsidR="008A4774" w:rsidRPr="00CE1FA2" w:rsidRDefault="008A4774" w:rsidP="008A4774">
      <w:pPr>
        <w:keepNext/>
        <w:keepLines/>
        <w:autoSpaceDE w:val="0"/>
        <w:autoSpaceDN w:val="0"/>
        <w:adjustRightInd w:val="0"/>
        <w:jc w:val="both"/>
        <w:rPr>
          <w:rFonts w:cs="Arial"/>
          <w:szCs w:val="20"/>
        </w:rPr>
      </w:pPr>
    </w:p>
    <w:p w:rsidR="008A4774" w:rsidRPr="002111C4" w:rsidRDefault="008A4774" w:rsidP="002111C4">
      <w:pPr>
        <w:rPr>
          <w:b/>
        </w:rPr>
      </w:pPr>
      <w:r w:rsidRPr="002111C4">
        <w:rPr>
          <w:b/>
        </w:rPr>
        <w:t xml:space="preserve">Resource Sharing Platforms </w:t>
      </w:r>
    </w:p>
    <w:p w:rsidR="008A4774" w:rsidRPr="00CE1FA2" w:rsidRDefault="008A4774" w:rsidP="008A4774">
      <w:pPr>
        <w:jc w:val="both"/>
        <w:rPr>
          <w:rFonts w:cs="Arial"/>
          <w:szCs w:val="20"/>
        </w:rPr>
      </w:pPr>
    </w:p>
    <w:tbl>
      <w:tblPr>
        <w:tblW w:w="0" w:type="auto"/>
        <w:tblInd w:w="108" w:type="dxa"/>
        <w:tblLook w:val="01E0" w:firstRow="1" w:lastRow="1" w:firstColumn="1" w:lastColumn="1" w:noHBand="0" w:noVBand="0"/>
      </w:tblPr>
      <w:tblGrid>
        <w:gridCol w:w="1418"/>
        <w:gridCol w:w="7938"/>
      </w:tblGrid>
      <w:tr w:rsidR="008A4774" w:rsidRPr="009022DD" w:rsidTr="008A4774">
        <w:tc>
          <w:tcPr>
            <w:tcW w:w="1418" w:type="dxa"/>
            <w:shd w:val="clear" w:color="auto" w:fill="auto"/>
          </w:tcPr>
          <w:p w:rsidR="008A4774" w:rsidRPr="00CE1FA2" w:rsidRDefault="008A4774" w:rsidP="008A4774">
            <w:pPr>
              <w:tabs>
                <w:tab w:val="center" w:pos="4320"/>
                <w:tab w:val="right" w:pos="8640"/>
              </w:tabs>
              <w:jc w:val="both"/>
              <w:rPr>
                <w:rFonts w:cs="Arial"/>
                <w:szCs w:val="20"/>
                <w:lang w:val="es-ES"/>
              </w:rPr>
            </w:pPr>
            <w:r w:rsidRPr="00CE1FA2">
              <w:rPr>
                <w:rFonts w:cs="Arial"/>
                <w:szCs w:val="20"/>
                <w:lang w:val="es-ES"/>
              </w:rPr>
              <w:t xml:space="preserve">WIPO </w:t>
            </w:r>
            <w:r w:rsidRPr="00CE1FA2">
              <w:rPr>
                <w:rFonts w:cs="Arial"/>
                <w:szCs w:val="20"/>
              </w:rPr>
              <w:t xml:space="preserve">DAS </w:t>
            </w:r>
          </w:p>
        </w:tc>
        <w:tc>
          <w:tcPr>
            <w:tcW w:w="7938" w:type="dxa"/>
            <w:shd w:val="clear" w:color="auto" w:fill="auto"/>
          </w:tcPr>
          <w:p w:rsidR="008A4774" w:rsidRPr="00CE1FA2" w:rsidRDefault="008A4774" w:rsidP="008A4774">
            <w:pPr>
              <w:shd w:val="clear" w:color="auto" w:fill="FFFFFF"/>
              <w:jc w:val="both"/>
              <w:rPr>
                <w:rFonts w:cs="Arial"/>
                <w:szCs w:val="20"/>
              </w:rPr>
            </w:pPr>
            <w:r>
              <w:rPr>
                <w:rFonts w:cs="Arial"/>
                <w:color w:val="282828"/>
                <w:szCs w:val="20"/>
              </w:rPr>
              <w:t xml:space="preserve">Based on a specification and review process with participating Offices, a new version of the Digital Access Service (DAS) portal to support the revised framework of DAS 2.0 </w:t>
            </w:r>
            <w:r w:rsidRPr="00CE1FA2">
              <w:rPr>
                <w:rFonts w:cs="Arial"/>
                <w:szCs w:val="20"/>
                <w:lang w:val="en-SG"/>
              </w:rPr>
              <w:t xml:space="preserve">was </w:t>
            </w:r>
            <w:r>
              <w:rPr>
                <w:rFonts w:cs="Arial"/>
                <w:szCs w:val="20"/>
                <w:lang w:val="en-SG"/>
              </w:rPr>
              <w:t>launched</w:t>
            </w:r>
            <w:r w:rsidRPr="00CE1FA2">
              <w:rPr>
                <w:rFonts w:cs="Arial"/>
                <w:szCs w:val="20"/>
                <w:lang w:val="en-SG"/>
              </w:rPr>
              <w:t xml:space="preserve"> in December 2014</w:t>
            </w:r>
            <w:r>
              <w:rPr>
                <w:rFonts w:cs="Arial"/>
                <w:szCs w:val="20"/>
                <w:lang w:val="en-SG"/>
              </w:rPr>
              <w:t xml:space="preserve">.  The number of participating Offices remained steady at </w:t>
            </w:r>
            <w:r w:rsidRPr="00CE1FA2">
              <w:rPr>
                <w:rFonts w:cs="Arial"/>
                <w:szCs w:val="20"/>
                <w:lang w:val="en-SG"/>
              </w:rPr>
              <w:t>11</w:t>
            </w:r>
            <w:r>
              <w:rPr>
                <w:rFonts w:cs="Arial"/>
                <w:szCs w:val="20"/>
                <w:lang w:val="en-SG"/>
              </w:rPr>
              <w:t>.</w:t>
            </w:r>
          </w:p>
          <w:p w:rsidR="008A4774" w:rsidRPr="00CE1FA2" w:rsidRDefault="008A4774" w:rsidP="008A4774">
            <w:pPr>
              <w:tabs>
                <w:tab w:val="center" w:pos="4320"/>
                <w:tab w:val="right" w:pos="8640"/>
              </w:tabs>
              <w:jc w:val="both"/>
              <w:rPr>
                <w:rFonts w:cs="Arial"/>
                <w:szCs w:val="20"/>
              </w:rPr>
            </w:pPr>
          </w:p>
        </w:tc>
      </w:tr>
      <w:tr w:rsidR="008A4774" w:rsidRPr="009022DD" w:rsidTr="008A4774">
        <w:tc>
          <w:tcPr>
            <w:tcW w:w="1418" w:type="dxa"/>
            <w:shd w:val="clear" w:color="auto" w:fill="auto"/>
          </w:tcPr>
          <w:p w:rsidR="008A4774" w:rsidRPr="00CE1FA2" w:rsidRDefault="008A4774" w:rsidP="008A4774">
            <w:pPr>
              <w:tabs>
                <w:tab w:val="center" w:pos="4320"/>
                <w:tab w:val="right" w:pos="8640"/>
              </w:tabs>
              <w:jc w:val="both"/>
              <w:rPr>
                <w:rFonts w:cs="Arial"/>
                <w:szCs w:val="20"/>
              </w:rPr>
            </w:pPr>
            <w:r w:rsidRPr="00CE1FA2">
              <w:rPr>
                <w:rFonts w:cs="Arial"/>
                <w:szCs w:val="20"/>
              </w:rPr>
              <w:t xml:space="preserve">WIPO CASE </w:t>
            </w:r>
          </w:p>
        </w:tc>
        <w:tc>
          <w:tcPr>
            <w:tcW w:w="7938" w:type="dxa"/>
            <w:shd w:val="clear" w:color="auto" w:fill="auto"/>
          </w:tcPr>
          <w:p w:rsidR="008A4774" w:rsidRPr="00CE1FA2" w:rsidRDefault="008A4774" w:rsidP="008A4774">
            <w:pPr>
              <w:tabs>
                <w:tab w:val="center" w:pos="4320"/>
                <w:tab w:val="right" w:pos="8640"/>
              </w:tabs>
              <w:jc w:val="both"/>
              <w:rPr>
                <w:rFonts w:cs="Arial"/>
                <w:szCs w:val="20"/>
              </w:rPr>
            </w:pPr>
            <w:r>
              <w:rPr>
                <w:rFonts w:cs="Arial"/>
                <w:szCs w:val="20"/>
              </w:rPr>
              <w:t>In</w:t>
            </w:r>
            <w:r w:rsidRPr="00277BF1">
              <w:rPr>
                <w:rFonts w:cs="Arial"/>
                <w:szCs w:val="20"/>
              </w:rPr>
              <w:t xml:space="preserve"> April 2014, the WIPO </w:t>
            </w:r>
            <w:r>
              <w:rPr>
                <w:rFonts w:cs="Arial"/>
                <w:szCs w:val="20"/>
              </w:rPr>
              <w:t>Centralized Access to Search and Examination (</w:t>
            </w:r>
            <w:r w:rsidRPr="00277BF1">
              <w:rPr>
                <w:rFonts w:cs="Arial"/>
                <w:szCs w:val="20"/>
              </w:rPr>
              <w:t>CASE</w:t>
            </w:r>
            <w:r>
              <w:rPr>
                <w:rFonts w:cs="Arial"/>
                <w:szCs w:val="20"/>
              </w:rPr>
              <w:t>)</w:t>
            </w:r>
            <w:r w:rsidRPr="00277BF1">
              <w:rPr>
                <w:rFonts w:cs="Arial"/>
                <w:szCs w:val="20"/>
              </w:rPr>
              <w:t xml:space="preserve"> </w:t>
            </w:r>
            <w:r>
              <w:rPr>
                <w:rFonts w:cs="Arial"/>
                <w:szCs w:val="20"/>
              </w:rPr>
              <w:t>was</w:t>
            </w:r>
            <w:r w:rsidRPr="00277BF1">
              <w:rPr>
                <w:rFonts w:cs="Arial"/>
                <w:szCs w:val="20"/>
              </w:rPr>
              <w:t xml:space="preserve"> linked to the IP5 One Dossier Portal system</w:t>
            </w:r>
            <w:r>
              <w:rPr>
                <w:rFonts w:cs="Arial"/>
                <w:szCs w:val="20"/>
              </w:rPr>
              <w:t>,</w:t>
            </w:r>
            <w:r w:rsidRPr="00277BF1">
              <w:rPr>
                <w:rFonts w:cs="Arial"/>
                <w:szCs w:val="20"/>
              </w:rPr>
              <w:t xml:space="preserve"> allowing full two</w:t>
            </w:r>
            <w:r>
              <w:rPr>
                <w:rFonts w:cs="Arial"/>
                <w:szCs w:val="20"/>
              </w:rPr>
              <w:t>-</w:t>
            </w:r>
            <w:r w:rsidRPr="00277BF1">
              <w:rPr>
                <w:rFonts w:cs="Arial"/>
                <w:szCs w:val="20"/>
              </w:rPr>
              <w:t xml:space="preserve">way exchange of dossier information between CASE and IP5 </w:t>
            </w:r>
            <w:r>
              <w:rPr>
                <w:rFonts w:cs="Arial"/>
                <w:szCs w:val="20"/>
              </w:rPr>
              <w:t>O</w:t>
            </w:r>
            <w:r w:rsidRPr="00277BF1">
              <w:rPr>
                <w:rFonts w:cs="Arial"/>
                <w:szCs w:val="20"/>
              </w:rPr>
              <w:t>ffices.</w:t>
            </w:r>
            <w:r>
              <w:rPr>
                <w:rFonts w:cs="Arial"/>
                <w:szCs w:val="20"/>
              </w:rPr>
              <w:t xml:space="preserve">  Several </w:t>
            </w:r>
            <w:r w:rsidRPr="00CE1FA2">
              <w:rPr>
                <w:rFonts w:cs="Arial"/>
                <w:szCs w:val="20"/>
              </w:rPr>
              <w:t xml:space="preserve">new </w:t>
            </w:r>
            <w:r>
              <w:rPr>
                <w:rFonts w:cs="Arial"/>
                <w:szCs w:val="20"/>
              </w:rPr>
              <w:t>O</w:t>
            </w:r>
            <w:r w:rsidRPr="00CE1FA2">
              <w:rPr>
                <w:rFonts w:cs="Arial"/>
                <w:szCs w:val="20"/>
              </w:rPr>
              <w:t xml:space="preserve">ffices </w:t>
            </w:r>
            <w:r>
              <w:rPr>
                <w:rFonts w:cs="Arial"/>
                <w:szCs w:val="20"/>
              </w:rPr>
              <w:t>registered</w:t>
            </w:r>
            <w:r w:rsidRPr="00CE1FA2">
              <w:rPr>
                <w:rFonts w:cs="Arial"/>
                <w:szCs w:val="20"/>
              </w:rPr>
              <w:t xml:space="preserve"> to use</w:t>
            </w:r>
            <w:r>
              <w:rPr>
                <w:rFonts w:cs="Arial"/>
                <w:szCs w:val="20"/>
              </w:rPr>
              <w:t xml:space="preserve"> WIPO</w:t>
            </w:r>
            <w:r w:rsidRPr="00CE1FA2">
              <w:rPr>
                <w:rFonts w:cs="Arial"/>
                <w:szCs w:val="20"/>
              </w:rPr>
              <w:t xml:space="preserve"> CASE</w:t>
            </w:r>
            <w:r>
              <w:rPr>
                <w:rFonts w:cs="Arial"/>
                <w:szCs w:val="20"/>
              </w:rPr>
              <w:t xml:space="preserve"> during the biennium, bringing the total number of </w:t>
            </w:r>
            <w:r w:rsidRPr="00CE1FA2">
              <w:rPr>
                <w:rFonts w:cs="Arial"/>
                <w:szCs w:val="20"/>
              </w:rPr>
              <w:t xml:space="preserve">participating </w:t>
            </w:r>
            <w:r>
              <w:rPr>
                <w:rFonts w:cs="Arial"/>
                <w:szCs w:val="20"/>
              </w:rPr>
              <w:t>O</w:t>
            </w:r>
            <w:r w:rsidRPr="00CE1FA2">
              <w:rPr>
                <w:rFonts w:cs="Arial"/>
                <w:szCs w:val="20"/>
              </w:rPr>
              <w:t>ffices</w:t>
            </w:r>
            <w:r>
              <w:rPr>
                <w:rFonts w:cs="Arial"/>
                <w:szCs w:val="20"/>
              </w:rPr>
              <w:t xml:space="preserve"> to 21, of which 10 have agreed to provide their dossier information to others.</w:t>
            </w:r>
          </w:p>
        </w:tc>
      </w:tr>
    </w:tbl>
    <w:p w:rsidR="008A4774" w:rsidRPr="00CE1FA2" w:rsidRDefault="008A4774" w:rsidP="008A4774">
      <w:pPr>
        <w:tabs>
          <w:tab w:val="left" w:pos="567"/>
        </w:tabs>
        <w:jc w:val="both"/>
        <w:rPr>
          <w:rFonts w:cs="Arial"/>
          <w:bCs/>
          <w:szCs w:val="20"/>
        </w:rPr>
      </w:pPr>
    </w:p>
    <w:p w:rsidR="008A4774" w:rsidRPr="00CE1FA2" w:rsidRDefault="008A4774" w:rsidP="00C25166">
      <w:pPr>
        <w:pStyle w:val="ListParagraph"/>
        <w:numPr>
          <w:ilvl w:val="0"/>
          <w:numId w:val="8"/>
        </w:numPr>
        <w:tabs>
          <w:tab w:val="left" w:pos="709"/>
        </w:tabs>
        <w:ind w:left="0" w:firstLine="0"/>
        <w:jc w:val="both"/>
        <w:rPr>
          <w:rFonts w:cs="Arial"/>
          <w:bCs/>
        </w:rPr>
      </w:pPr>
      <w:r>
        <w:rPr>
          <w:rFonts w:cs="Arial"/>
          <w:bCs/>
        </w:rPr>
        <w:t>The</w:t>
      </w:r>
      <w:r w:rsidRPr="00CE1FA2">
        <w:rPr>
          <w:rFonts w:cs="Arial"/>
          <w:bCs/>
        </w:rPr>
        <w:t xml:space="preserve"> design, planning and implementation of activities undertaken by Program 15 </w:t>
      </w:r>
      <w:r>
        <w:rPr>
          <w:rFonts w:cs="Arial"/>
          <w:bCs/>
        </w:rPr>
        <w:t>were</w:t>
      </w:r>
      <w:r w:rsidRPr="00CE1FA2">
        <w:rPr>
          <w:rFonts w:cs="Arial"/>
          <w:bCs/>
        </w:rPr>
        <w:t xml:space="preserve"> informed and guided by the relevant DA Recommendations</w:t>
      </w:r>
      <w:r>
        <w:rPr>
          <w:rFonts w:cs="Arial"/>
          <w:bCs/>
        </w:rPr>
        <w:t>,</w:t>
      </w:r>
      <w:r w:rsidRPr="00CE1FA2">
        <w:rPr>
          <w:rFonts w:cs="Arial"/>
          <w:bCs/>
        </w:rPr>
        <w:t xml:space="preserve"> in particular 1, 2 and 10.  </w:t>
      </w:r>
    </w:p>
    <w:p w:rsidR="008A4774" w:rsidRDefault="008A4774" w:rsidP="008A4774">
      <w:pPr>
        <w:tabs>
          <w:tab w:val="left" w:pos="567"/>
          <w:tab w:val="left" w:pos="709"/>
        </w:tabs>
        <w:jc w:val="both"/>
        <w:rPr>
          <w:rFonts w:cs="Arial"/>
          <w:bCs/>
          <w:szCs w:val="20"/>
        </w:rPr>
      </w:pPr>
    </w:p>
    <w:p w:rsidR="008A4774" w:rsidRDefault="008A4774" w:rsidP="008A4774">
      <w:pPr>
        <w:tabs>
          <w:tab w:val="left" w:pos="567"/>
          <w:tab w:val="left" w:pos="709"/>
        </w:tabs>
        <w:jc w:val="both"/>
        <w:rPr>
          <w:rFonts w:cs="Arial"/>
          <w:bCs/>
          <w:szCs w:val="20"/>
        </w:rPr>
      </w:pPr>
    </w:p>
    <w:p w:rsidR="008A4774" w:rsidRPr="00B2467D" w:rsidRDefault="008A4774" w:rsidP="008A4774">
      <w:pPr>
        <w:keepNext/>
        <w:keepLines/>
        <w:tabs>
          <w:tab w:val="left" w:pos="567"/>
        </w:tabs>
        <w:rPr>
          <w:rFonts w:cs="Arial"/>
          <w:szCs w:val="22"/>
        </w:rPr>
      </w:pPr>
      <w:r w:rsidRPr="00B2467D">
        <w:rPr>
          <w:rFonts w:cs="Arial"/>
          <w:szCs w:val="22"/>
        </w:rPr>
        <w:t>PERFORMANCE DATA</w:t>
      </w:r>
    </w:p>
    <w:p w:rsidR="008A4774" w:rsidRDefault="008A4774" w:rsidP="008A4774">
      <w:pPr>
        <w:keepNext/>
        <w:keepLines/>
        <w:jc w:val="both"/>
        <w:rPr>
          <w:rFonts w:cs="Arial"/>
          <w:bCs/>
          <w:szCs w:val="20"/>
        </w:rPr>
      </w:pPr>
    </w:p>
    <w:tbl>
      <w:tblPr>
        <w:tblW w:w="4962"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842"/>
        <w:gridCol w:w="2411"/>
        <w:gridCol w:w="1275"/>
        <w:gridCol w:w="2977"/>
        <w:gridCol w:w="993"/>
      </w:tblGrid>
      <w:tr w:rsidR="008A4774" w:rsidRPr="0068151C" w:rsidTr="008A4774">
        <w:tc>
          <w:tcPr>
            <w:tcW w:w="5000" w:type="pct"/>
            <w:gridSpan w:val="5"/>
            <w:tcBorders>
              <w:top w:val="single" w:sz="4" w:space="0" w:color="auto"/>
              <w:bottom w:val="single" w:sz="4" w:space="0" w:color="auto"/>
            </w:tcBorders>
            <w:shd w:val="clear" w:color="auto" w:fill="C6D9F1" w:themeFill="text2" w:themeFillTint="33"/>
            <w:vAlign w:val="center"/>
          </w:tcPr>
          <w:p w:rsidR="008A4774" w:rsidRPr="0068151C" w:rsidRDefault="008A4774" w:rsidP="008A4774">
            <w:pPr>
              <w:keepNext/>
              <w:keepLines/>
              <w:tabs>
                <w:tab w:val="left" w:pos="1452"/>
              </w:tabs>
              <w:spacing w:before="120" w:after="120"/>
              <w:ind w:left="1452" w:hanging="1452"/>
              <w:rPr>
                <w:rFonts w:cs="Arial"/>
                <w:b/>
                <w:bCs/>
                <w:sz w:val="16"/>
                <w:szCs w:val="16"/>
              </w:rPr>
            </w:pPr>
            <w:r w:rsidRPr="0068151C">
              <w:rPr>
                <w:rFonts w:cs="Arial"/>
                <w:b/>
                <w:bCs/>
                <w:sz w:val="16"/>
                <w:szCs w:val="16"/>
              </w:rPr>
              <w:t>Expected Result:</w:t>
            </w:r>
            <w:r w:rsidRPr="0068151C">
              <w:rPr>
                <w:rFonts w:cs="Arial"/>
                <w:b/>
                <w:bCs/>
                <w:sz w:val="16"/>
                <w:szCs w:val="16"/>
              </w:rPr>
              <w:tab/>
            </w:r>
            <w:r w:rsidRPr="009022DD">
              <w:rPr>
                <w:rFonts w:cs="Arial"/>
                <w:sz w:val="16"/>
                <w:szCs w:val="16"/>
              </w:rPr>
              <w:t>IV.4 Enhanced technical and knowledge infrastructure for IP Offices and other IP institutions leading to better services (cheaper, faster, higher quality) to their stakeholders</w:t>
            </w:r>
          </w:p>
        </w:tc>
      </w:tr>
      <w:tr w:rsidR="008A4774" w:rsidRPr="0068151C" w:rsidTr="00943735">
        <w:tc>
          <w:tcPr>
            <w:tcW w:w="970" w:type="pct"/>
            <w:tcBorders>
              <w:top w:val="single" w:sz="4" w:space="0" w:color="auto"/>
            </w:tcBorders>
            <w:shd w:val="clear" w:color="auto" w:fill="auto"/>
            <w:vAlign w:val="center"/>
          </w:tcPr>
          <w:p w:rsidR="008A4774" w:rsidRPr="0068151C" w:rsidRDefault="008A4774" w:rsidP="008A4774">
            <w:pPr>
              <w:spacing w:after="40"/>
              <w:rPr>
                <w:rFonts w:cs="Arial"/>
                <w:sz w:val="16"/>
                <w:szCs w:val="16"/>
              </w:rPr>
            </w:pPr>
            <w:r w:rsidRPr="0068151C">
              <w:rPr>
                <w:rFonts w:cs="Arial"/>
                <w:b/>
                <w:bCs/>
                <w:sz w:val="16"/>
                <w:szCs w:val="16"/>
              </w:rPr>
              <w:t>Performance Indicators</w:t>
            </w:r>
          </w:p>
        </w:tc>
        <w:tc>
          <w:tcPr>
            <w:tcW w:w="1269" w:type="pct"/>
            <w:tcBorders>
              <w:top w:val="single" w:sz="4" w:space="0" w:color="auto"/>
            </w:tcBorders>
            <w:shd w:val="clear" w:color="auto" w:fill="auto"/>
            <w:vAlign w:val="center"/>
          </w:tcPr>
          <w:p w:rsidR="008A4774" w:rsidRPr="0068151C" w:rsidRDefault="008A4774" w:rsidP="008A4774">
            <w:pPr>
              <w:spacing w:after="40"/>
              <w:rPr>
                <w:rFonts w:cs="Arial"/>
                <w:b/>
                <w:bCs/>
                <w:sz w:val="16"/>
                <w:szCs w:val="16"/>
              </w:rPr>
            </w:pPr>
            <w:r w:rsidRPr="0068151C">
              <w:rPr>
                <w:rFonts w:cs="Arial"/>
                <w:b/>
                <w:bCs/>
                <w:sz w:val="16"/>
                <w:szCs w:val="16"/>
              </w:rPr>
              <w:t>Baselines</w:t>
            </w:r>
          </w:p>
        </w:tc>
        <w:tc>
          <w:tcPr>
            <w:tcW w:w="671" w:type="pct"/>
            <w:tcBorders>
              <w:top w:val="single" w:sz="4" w:space="0" w:color="auto"/>
            </w:tcBorders>
            <w:shd w:val="clear" w:color="auto" w:fill="auto"/>
            <w:tcMar>
              <w:top w:w="110" w:type="dxa"/>
            </w:tcMar>
            <w:vAlign w:val="center"/>
          </w:tcPr>
          <w:p w:rsidR="008A4774" w:rsidRPr="0068151C" w:rsidRDefault="008A4774" w:rsidP="008A4774">
            <w:pPr>
              <w:spacing w:after="40"/>
              <w:rPr>
                <w:rFonts w:cs="Arial"/>
                <w:b/>
                <w:sz w:val="16"/>
                <w:szCs w:val="16"/>
              </w:rPr>
            </w:pPr>
            <w:r w:rsidRPr="0068151C">
              <w:rPr>
                <w:rFonts w:cs="Arial"/>
                <w:b/>
                <w:sz w:val="16"/>
                <w:szCs w:val="16"/>
              </w:rPr>
              <w:t>Target</w:t>
            </w:r>
            <w:r>
              <w:rPr>
                <w:rFonts w:cs="Arial"/>
                <w:b/>
                <w:sz w:val="16"/>
                <w:szCs w:val="16"/>
              </w:rPr>
              <w:t>s</w:t>
            </w:r>
          </w:p>
        </w:tc>
        <w:tc>
          <w:tcPr>
            <w:tcW w:w="1567" w:type="pct"/>
            <w:tcBorders>
              <w:top w:val="single" w:sz="4" w:space="0" w:color="auto"/>
            </w:tcBorders>
            <w:shd w:val="clear" w:color="auto" w:fill="FFFFFF"/>
            <w:tcMar>
              <w:top w:w="110" w:type="dxa"/>
            </w:tcMar>
            <w:vAlign w:val="center"/>
          </w:tcPr>
          <w:p w:rsidR="008A4774" w:rsidRPr="0068151C" w:rsidRDefault="008A4774" w:rsidP="008A4774">
            <w:pPr>
              <w:spacing w:after="40"/>
              <w:rPr>
                <w:rFonts w:cs="Arial"/>
                <w:sz w:val="16"/>
                <w:szCs w:val="16"/>
              </w:rPr>
            </w:pPr>
            <w:r w:rsidRPr="0068151C">
              <w:rPr>
                <w:rFonts w:cs="Arial"/>
                <w:b/>
                <w:bCs/>
                <w:sz w:val="16"/>
                <w:szCs w:val="16"/>
              </w:rPr>
              <w:t>Performance Data</w:t>
            </w:r>
          </w:p>
        </w:tc>
        <w:tc>
          <w:tcPr>
            <w:tcW w:w="523" w:type="pct"/>
            <w:tcBorders>
              <w:top w:val="single" w:sz="4" w:space="0" w:color="auto"/>
            </w:tcBorders>
            <w:shd w:val="clear" w:color="auto" w:fill="auto"/>
            <w:tcMar>
              <w:top w:w="110" w:type="dxa"/>
            </w:tcMar>
            <w:vAlign w:val="center"/>
          </w:tcPr>
          <w:p w:rsidR="008A4774" w:rsidRPr="0068151C" w:rsidRDefault="008A4774" w:rsidP="008A4774">
            <w:pPr>
              <w:keepNext/>
              <w:keepLines/>
              <w:spacing w:after="40"/>
              <w:jc w:val="center"/>
              <w:rPr>
                <w:rFonts w:cs="Arial"/>
                <w:b/>
                <w:bCs/>
                <w:sz w:val="16"/>
                <w:szCs w:val="16"/>
              </w:rPr>
            </w:pPr>
            <w:r w:rsidRPr="0068151C">
              <w:rPr>
                <w:rFonts w:cs="Arial"/>
                <w:b/>
                <w:bCs/>
                <w:sz w:val="16"/>
                <w:szCs w:val="16"/>
              </w:rPr>
              <w:t>TLS</w:t>
            </w:r>
          </w:p>
        </w:tc>
      </w:tr>
      <w:tr w:rsidR="008A4774" w:rsidRPr="0068151C" w:rsidTr="00943735">
        <w:tc>
          <w:tcPr>
            <w:tcW w:w="970" w:type="pct"/>
            <w:shd w:val="clear" w:color="auto" w:fill="auto"/>
          </w:tcPr>
          <w:p w:rsidR="008A4774" w:rsidRPr="0068151C" w:rsidRDefault="008A4774" w:rsidP="008A4774">
            <w:pPr>
              <w:rPr>
                <w:rFonts w:cs="Arial"/>
                <w:sz w:val="16"/>
                <w:szCs w:val="16"/>
              </w:rPr>
            </w:pPr>
            <w:r w:rsidRPr="009022DD">
              <w:rPr>
                <w:rFonts w:cs="Arial"/>
                <w:sz w:val="16"/>
                <w:szCs w:val="16"/>
              </w:rPr>
              <w:t xml:space="preserve">No. of </w:t>
            </w:r>
            <w:r>
              <w:rPr>
                <w:rFonts w:cs="Arial"/>
                <w:sz w:val="16"/>
                <w:szCs w:val="16"/>
              </w:rPr>
              <w:t>O</w:t>
            </w:r>
            <w:r w:rsidRPr="009022DD">
              <w:rPr>
                <w:rFonts w:cs="Arial"/>
                <w:sz w:val="16"/>
                <w:szCs w:val="16"/>
              </w:rPr>
              <w:t>ffices using WIPO Infrastructure Platforms</w:t>
            </w:r>
          </w:p>
        </w:tc>
        <w:tc>
          <w:tcPr>
            <w:tcW w:w="1269" w:type="pct"/>
            <w:shd w:val="clear" w:color="auto" w:fill="auto"/>
          </w:tcPr>
          <w:p w:rsidR="008A4774" w:rsidRDefault="008A4774" w:rsidP="008A4774">
            <w:pPr>
              <w:rPr>
                <w:rFonts w:cs="Arial"/>
                <w:color w:val="002060"/>
                <w:sz w:val="16"/>
                <w:szCs w:val="16"/>
              </w:rPr>
            </w:pPr>
            <w:r w:rsidRPr="00CE1FA2">
              <w:rPr>
                <w:rFonts w:cs="Arial"/>
                <w:i/>
                <w:color w:val="002060"/>
                <w:sz w:val="16"/>
                <w:szCs w:val="16"/>
              </w:rPr>
              <w:t>Updated Baseline end 2013:</w:t>
            </w:r>
            <w:r w:rsidRPr="00CE1FA2">
              <w:rPr>
                <w:rFonts w:cs="Arial"/>
                <w:color w:val="002060"/>
                <w:sz w:val="16"/>
                <w:szCs w:val="16"/>
              </w:rPr>
              <w:t xml:space="preserve">  </w:t>
            </w:r>
          </w:p>
          <w:p w:rsidR="008A4774" w:rsidRPr="00CE1FA2" w:rsidRDefault="008A4774" w:rsidP="008A4774">
            <w:pPr>
              <w:spacing w:after="120"/>
              <w:rPr>
                <w:rFonts w:cs="Arial"/>
                <w:color w:val="002060"/>
                <w:sz w:val="16"/>
                <w:szCs w:val="16"/>
              </w:rPr>
            </w:pPr>
            <w:r w:rsidRPr="00CE1FA2">
              <w:rPr>
                <w:rFonts w:cs="Arial"/>
                <w:color w:val="002060"/>
                <w:sz w:val="16"/>
                <w:szCs w:val="16"/>
              </w:rPr>
              <w:t xml:space="preserve">Asia and </w:t>
            </w:r>
            <w:r>
              <w:rPr>
                <w:rFonts w:cs="Arial"/>
                <w:color w:val="002060"/>
                <w:sz w:val="16"/>
                <w:szCs w:val="16"/>
              </w:rPr>
              <w:t xml:space="preserve">the </w:t>
            </w:r>
            <w:r w:rsidRPr="00CE1FA2">
              <w:rPr>
                <w:rFonts w:cs="Arial"/>
                <w:color w:val="002060"/>
                <w:sz w:val="16"/>
                <w:szCs w:val="16"/>
              </w:rPr>
              <w:t>Pacific (</w:t>
            </w:r>
            <w:r>
              <w:rPr>
                <w:rFonts w:cs="Arial"/>
                <w:color w:val="002060"/>
                <w:sz w:val="16"/>
                <w:szCs w:val="16"/>
              </w:rPr>
              <w:t>5</w:t>
            </w:r>
            <w:r w:rsidRPr="00CE1FA2">
              <w:rPr>
                <w:rFonts w:cs="Arial"/>
                <w:color w:val="002060"/>
                <w:sz w:val="16"/>
                <w:szCs w:val="16"/>
              </w:rPr>
              <w:t xml:space="preserve">): China, Mongolia, </w:t>
            </w:r>
            <w:r>
              <w:rPr>
                <w:rFonts w:cs="Arial"/>
                <w:color w:val="002060"/>
                <w:sz w:val="16"/>
                <w:szCs w:val="16"/>
              </w:rPr>
              <w:t>Republic of Korea</w:t>
            </w:r>
            <w:r>
              <w:rPr>
                <w:rStyle w:val="FootnoteReference"/>
                <w:rFonts w:cs="Arial"/>
                <w:color w:val="002060"/>
                <w:sz w:val="16"/>
                <w:szCs w:val="16"/>
              </w:rPr>
              <w:footnoteReference w:id="92"/>
            </w:r>
            <w:r>
              <w:rPr>
                <w:rFonts w:cs="Arial"/>
                <w:color w:val="002060"/>
                <w:sz w:val="16"/>
                <w:szCs w:val="16"/>
              </w:rPr>
              <w:t xml:space="preserve">, </w:t>
            </w:r>
            <w:r w:rsidRPr="00CE1FA2">
              <w:rPr>
                <w:rFonts w:cs="Arial"/>
                <w:color w:val="002060"/>
                <w:sz w:val="16"/>
                <w:szCs w:val="16"/>
              </w:rPr>
              <w:t>Singapore, Viet Nam</w:t>
            </w:r>
          </w:p>
          <w:p w:rsidR="008A4774" w:rsidRPr="00CE1FA2" w:rsidRDefault="008A4774" w:rsidP="008A4774">
            <w:pPr>
              <w:rPr>
                <w:color w:val="000000" w:themeColor="text1"/>
                <w:sz w:val="16"/>
                <w:szCs w:val="16"/>
              </w:rPr>
            </w:pPr>
            <w:r w:rsidRPr="00CE1FA2">
              <w:rPr>
                <w:rFonts w:cs="Arial"/>
                <w:color w:val="002060"/>
                <w:sz w:val="16"/>
                <w:szCs w:val="16"/>
              </w:rPr>
              <w:t>Other (1</w:t>
            </w:r>
            <w:r>
              <w:rPr>
                <w:rFonts w:cs="Arial"/>
                <w:color w:val="002060"/>
                <w:sz w:val="16"/>
                <w:szCs w:val="16"/>
              </w:rPr>
              <w:t>1</w:t>
            </w:r>
            <w:r w:rsidRPr="00CE1FA2">
              <w:rPr>
                <w:rFonts w:cs="Arial"/>
                <w:color w:val="002060"/>
                <w:sz w:val="16"/>
                <w:szCs w:val="16"/>
              </w:rPr>
              <w:t xml:space="preserve">): Australia, Canada, Denmark, Finland, Israel, Japan, New Zealand, Spain, </w:t>
            </w:r>
            <w:r w:rsidRPr="00CE1FA2">
              <w:rPr>
                <w:rFonts w:cs="Arial"/>
                <w:color w:val="002060"/>
                <w:sz w:val="16"/>
                <w:szCs w:val="16"/>
              </w:rPr>
              <w:lastRenderedPageBreak/>
              <w:t xml:space="preserve">Sweden,  United Kingdom, United States of America </w:t>
            </w:r>
          </w:p>
          <w:p w:rsidR="008A4774" w:rsidRPr="0068151C" w:rsidRDefault="008A4774" w:rsidP="008A4774">
            <w:pPr>
              <w:rPr>
                <w:rFonts w:cs="Arial"/>
                <w:color w:val="002060"/>
                <w:sz w:val="16"/>
                <w:szCs w:val="16"/>
              </w:rPr>
            </w:pPr>
            <w:r w:rsidRPr="00CE1FA2" w:rsidDel="00A371D5">
              <w:rPr>
                <w:rFonts w:cs="Arial"/>
                <w:color w:val="002060"/>
                <w:sz w:val="16"/>
                <w:szCs w:val="16"/>
              </w:rPr>
              <w:t xml:space="preserve"> </w:t>
            </w:r>
            <w:r w:rsidRPr="00A371D5">
              <w:rPr>
                <w:rFonts w:cs="Arial"/>
                <w:color w:val="002060"/>
                <w:sz w:val="16"/>
                <w:szCs w:val="16"/>
              </w:rPr>
              <w:t>(16 cumulative)</w:t>
            </w:r>
          </w:p>
          <w:p w:rsidR="008A4774" w:rsidRPr="00AE7502" w:rsidRDefault="008A4774" w:rsidP="008A4774">
            <w:pPr>
              <w:rPr>
                <w:rFonts w:cs="Arial"/>
                <w:i/>
                <w:sz w:val="8"/>
                <w:szCs w:val="8"/>
              </w:rPr>
            </w:pPr>
          </w:p>
          <w:p w:rsidR="008A4774" w:rsidRPr="009022DD" w:rsidRDefault="008A4774" w:rsidP="008A4774">
            <w:pPr>
              <w:rPr>
                <w:rFonts w:cs="Arial"/>
                <w:sz w:val="16"/>
                <w:szCs w:val="16"/>
              </w:rPr>
            </w:pPr>
            <w:r>
              <w:rPr>
                <w:rFonts w:cs="Arial"/>
                <w:i/>
                <w:sz w:val="16"/>
                <w:szCs w:val="16"/>
              </w:rPr>
              <w:t>Original Baseline P&amp;B 2014/15</w:t>
            </w:r>
            <w:r w:rsidRPr="0068151C">
              <w:rPr>
                <w:rFonts w:cs="Arial"/>
                <w:i/>
                <w:sz w:val="16"/>
                <w:szCs w:val="16"/>
              </w:rPr>
              <w:t>:</w:t>
            </w:r>
            <w:r w:rsidRPr="0068151C">
              <w:rPr>
                <w:rFonts w:cs="Arial"/>
                <w:sz w:val="16"/>
                <w:szCs w:val="16"/>
              </w:rPr>
              <w:t xml:space="preserve">  </w:t>
            </w:r>
            <w:r w:rsidRPr="009022DD">
              <w:rPr>
                <w:rFonts w:cs="Arial"/>
                <w:sz w:val="16"/>
                <w:szCs w:val="16"/>
              </w:rPr>
              <w:t xml:space="preserve">North America - 2  </w:t>
            </w:r>
          </w:p>
          <w:p w:rsidR="008A4774" w:rsidRPr="009022DD" w:rsidRDefault="008A4774" w:rsidP="008A4774">
            <w:pPr>
              <w:rPr>
                <w:rFonts w:cs="Arial"/>
                <w:sz w:val="16"/>
                <w:szCs w:val="16"/>
              </w:rPr>
            </w:pPr>
            <w:r w:rsidRPr="009022DD">
              <w:rPr>
                <w:rFonts w:cs="Arial"/>
                <w:sz w:val="16"/>
                <w:szCs w:val="16"/>
              </w:rPr>
              <w:t xml:space="preserve">Western Europe - 7  </w:t>
            </w:r>
          </w:p>
          <w:p w:rsidR="008A4774" w:rsidRPr="0068151C" w:rsidRDefault="008A4774" w:rsidP="008A4774">
            <w:pPr>
              <w:rPr>
                <w:rFonts w:cs="Arial"/>
                <w:sz w:val="16"/>
                <w:szCs w:val="16"/>
              </w:rPr>
            </w:pPr>
            <w:r w:rsidRPr="009022DD">
              <w:rPr>
                <w:rFonts w:cs="Arial"/>
                <w:sz w:val="16"/>
                <w:szCs w:val="16"/>
              </w:rPr>
              <w:t xml:space="preserve">Asia/Pacific - 6  </w:t>
            </w:r>
          </w:p>
        </w:tc>
        <w:tc>
          <w:tcPr>
            <w:tcW w:w="671" w:type="pct"/>
            <w:shd w:val="clear" w:color="auto" w:fill="auto"/>
            <w:tcMar>
              <w:top w:w="110" w:type="dxa"/>
            </w:tcMar>
          </w:tcPr>
          <w:p w:rsidR="008A4774" w:rsidRPr="0068151C" w:rsidRDefault="008A4774" w:rsidP="008A4774">
            <w:pPr>
              <w:rPr>
                <w:rFonts w:cs="Arial"/>
                <w:color w:val="000000" w:themeColor="text1"/>
                <w:sz w:val="16"/>
                <w:szCs w:val="16"/>
              </w:rPr>
            </w:pPr>
            <w:r w:rsidRPr="009022DD">
              <w:rPr>
                <w:rFonts w:cs="Arial"/>
                <w:color w:val="000000" w:themeColor="text1"/>
                <w:sz w:val="16"/>
                <w:szCs w:val="16"/>
              </w:rPr>
              <w:lastRenderedPageBreak/>
              <w:t>25 (by regional breakdown)</w:t>
            </w:r>
          </w:p>
        </w:tc>
        <w:tc>
          <w:tcPr>
            <w:tcW w:w="1567" w:type="pct"/>
            <w:shd w:val="clear" w:color="auto" w:fill="FFFFFF"/>
            <w:tcMar>
              <w:top w:w="110" w:type="dxa"/>
            </w:tcMar>
          </w:tcPr>
          <w:p w:rsidR="008A4774" w:rsidRDefault="008A4774" w:rsidP="008A4774">
            <w:pPr>
              <w:spacing w:after="120"/>
              <w:rPr>
                <w:rFonts w:cs="Arial"/>
                <w:color w:val="002060"/>
                <w:sz w:val="16"/>
                <w:szCs w:val="16"/>
              </w:rPr>
            </w:pPr>
            <w:r>
              <w:rPr>
                <w:rFonts w:cs="Arial"/>
                <w:color w:val="002060"/>
                <w:sz w:val="16"/>
                <w:szCs w:val="16"/>
              </w:rPr>
              <w:t>9 additional Offices in 2014/15:</w:t>
            </w:r>
          </w:p>
          <w:p w:rsidR="008A4774" w:rsidRPr="00F63936" w:rsidRDefault="008A4774" w:rsidP="00E16443">
            <w:pPr>
              <w:pStyle w:val="ListParagraph"/>
              <w:numPr>
                <w:ilvl w:val="0"/>
                <w:numId w:val="13"/>
              </w:numPr>
              <w:spacing w:after="120"/>
              <w:rPr>
                <w:rFonts w:cs="Arial"/>
                <w:color w:val="002060"/>
                <w:sz w:val="16"/>
                <w:szCs w:val="16"/>
              </w:rPr>
            </w:pPr>
            <w:r w:rsidRPr="00F63936">
              <w:rPr>
                <w:rFonts w:cs="Arial"/>
                <w:color w:val="002060"/>
                <w:sz w:val="16"/>
                <w:szCs w:val="16"/>
              </w:rPr>
              <w:t xml:space="preserve">7 additional </w:t>
            </w:r>
            <w:r>
              <w:rPr>
                <w:rFonts w:cs="Arial"/>
                <w:color w:val="002060"/>
                <w:sz w:val="16"/>
                <w:szCs w:val="16"/>
              </w:rPr>
              <w:t>O</w:t>
            </w:r>
            <w:r w:rsidRPr="00F63936">
              <w:rPr>
                <w:rFonts w:cs="Arial"/>
                <w:color w:val="002060"/>
                <w:sz w:val="16"/>
                <w:szCs w:val="16"/>
              </w:rPr>
              <w:t>ffices in Asia and the Pacific (1</w:t>
            </w:r>
            <w:r>
              <w:rPr>
                <w:rFonts w:cs="Arial"/>
                <w:color w:val="002060"/>
                <w:sz w:val="16"/>
                <w:szCs w:val="16"/>
              </w:rPr>
              <w:t>2</w:t>
            </w:r>
            <w:r w:rsidRPr="00F63936">
              <w:rPr>
                <w:rFonts w:cs="Arial"/>
                <w:color w:val="002060"/>
                <w:sz w:val="16"/>
                <w:szCs w:val="16"/>
              </w:rPr>
              <w:t xml:space="preserve"> cumulative): Brunei Darussalam, , India, Indonesia, Lao People’s Democratic Republic,  Malaysia, , </w:t>
            </w:r>
            <w:r w:rsidRPr="00F63936">
              <w:rPr>
                <w:rFonts w:cs="Arial"/>
                <w:color w:val="002060"/>
                <w:sz w:val="16"/>
                <w:szCs w:val="16"/>
              </w:rPr>
              <w:lastRenderedPageBreak/>
              <w:t xml:space="preserve">Philippines, Thailand, </w:t>
            </w:r>
          </w:p>
          <w:p w:rsidR="008A4774" w:rsidRDefault="008A4774" w:rsidP="00E16443">
            <w:pPr>
              <w:pStyle w:val="ListParagraph"/>
              <w:numPr>
                <w:ilvl w:val="0"/>
                <w:numId w:val="13"/>
              </w:numPr>
              <w:spacing w:after="120"/>
            </w:pPr>
            <w:r w:rsidRPr="0096276A">
              <w:rPr>
                <w:rFonts w:cs="Arial"/>
                <w:color w:val="002060"/>
                <w:sz w:val="16"/>
                <w:szCs w:val="16"/>
              </w:rPr>
              <w:t xml:space="preserve">1 additional Office in Latin America and the Caribbean (1 cumulative): Chile </w:t>
            </w:r>
          </w:p>
          <w:p w:rsidR="008A4774" w:rsidRPr="003A251E" w:rsidRDefault="008A4774" w:rsidP="008A4774">
            <w:pPr>
              <w:pStyle w:val="ListParagraph"/>
              <w:ind w:left="360"/>
              <w:rPr>
                <w:rFonts w:cs="Arial"/>
                <w:color w:val="002060"/>
                <w:sz w:val="6"/>
                <w:szCs w:val="6"/>
              </w:rPr>
            </w:pPr>
          </w:p>
          <w:p w:rsidR="008A4774" w:rsidRPr="003A251E" w:rsidRDefault="008A4774" w:rsidP="00E16443">
            <w:pPr>
              <w:pStyle w:val="ListParagraph"/>
              <w:numPr>
                <w:ilvl w:val="0"/>
                <w:numId w:val="13"/>
              </w:numPr>
              <w:rPr>
                <w:color w:val="000000" w:themeColor="text1"/>
                <w:sz w:val="16"/>
                <w:szCs w:val="16"/>
              </w:rPr>
            </w:pPr>
            <w:r>
              <w:rPr>
                <w:rFonts w:cs="Arial"/>
                <w:color w:val="002060"/>
                <w:sz w:val="16"/>
                <w:szCs w:val="16"/>
              </w:rPr>
              <w:t xml:space="preserve">1 additional Office in Other countries (17 cumulative): the </w:t>
            </w:r>
            <w:r w:rsidRPr="003A251E">
              <w:rPr>
                <w:rFonts w:cs="Arial"/>
                <w:color w:val="002060"/>
                <w:sz w:val="16"/>
                <w:szCs w:val="16"/>
              </w:rPr>
              <w:t>International Bureau</w:t>
            </w:r>
          </w:p>
          <w:p w:rsidR="008A4774" w:rsidRPr="003A251E" w:rsidRDefault="008A4774" w:rsidP="008A4774">
            <w:pPr>
              <w:pStyle w:val="ListParagraph"/>
              <w:ind w:left="360"/>
              <w:rPr>
                <w:color w:val="000000" w:themeColor="text1"/>
                <w:sz w:val="6"/>
                <w:szCs w:val="6"/>
              </w:rPr>
            </w:pPr>
          </w:p>
          <w:p w:rsidR="008A4774" w:rsidRPr="0068151C" w:rsidRDefault="008A4774" w:rsidP="008A4774">
            <w:pPr>
              <w:ind w:left="360"/>
              <w:rPr>
                <w:rFonts w:cs="Arial"/>
                <w:color w:val="002060"/>
                <w:sz w:val="16"/>
                <w:szCs w:val="16"/>
              </w:rPr>
            </w:pPr>
            <w:r w:rsidRPr="00CE1FA2">
              <w:rPr>
                <w:rFonts w:cs="Arial"/>
                <w:color w:val="002060"/>
                <w:sz w:val="16"/>
                <w:szCs w:val="16"/>
              </w:rPr>
              <w:t xml:space="preserve"> </w:t>
            </w:r>
            <w:r>
              <w:rPr>
                <w:rFonts w:cs="Arial"/>
                <w:color w:val="002060"/>
                <w:sz w:val="16"/>
                <w:szCs w:val="16"/>
              </w:rPr>
              <w:t xml:space="preserve">(25 Offices </w:t>
            </w:r>
            <w:r w:rsidRPr="00A371D5">
              <w:rPr>
                <w:rFonts w:cs="Arial"/>
                <w:color w:val="002060"/>
                <w:sz w:val="16"/>
                <w:szCs w:val="16"/>
              </w:rPr>
              <w:t>cumulative)</w:t>
            </w:r>
          </w:p>
          <w:p w:rsidR="008A4774" w:rsidRPr="0068151C" w:rsidRDefault="008A4774" w:rsidP="008A4774">
            <w:pPr>
              <w:rPr>
                <w:rFonts w:cs="Arial"/>
                <w:color w:val="000000" w:themeColor="text1"/>
                <w:sz w:val="16"/>
                <w:szCs w:val="16"/>
              </w:rPr>
            </w:pPr>
          </w:p>
        </w:tc>
        <w:tc>
          <w:tcPr>
            <w:tcW w:w="523" w:type="pct"/>
            <w:shd w:val="clear" w:color="auto" w:fill="auto"/>
            <w:tcMar>
              <w:top w:w="110" w:type="dxa"/>
            </w:tcMar>
          </w:tcPr>
          <w:p w:rsidR="008A4774" w:rsidRPr="001B6464" w:rsidRDefault="008A4774" w:rsidP="008A4774">
            <w:pPr>
              <w:keepNext/>
              <w:keepLines/>
              <w:jc w:val="center"/>
              <w:rPr>
                <w:rFonts w:cs="Arial"/>
                <w:b/>
                <w:bCs/>
                <w:color w:val="00B050"/>
                <w:sz w:val="16"/>
                <w:szCs w:val="16"/>
              </w:rPr>
            </w:pPr>
            <w:r>
              <w:rPr>
                <w:rFonts w:cs="Arial"/>
                <w:b/>
                <w:bCs/>
                <w:color w:val="00B050"/>
                <w:sz w:val="16"/>
                <w:szCs w:val="16"/>
              </w:rPr>
              <w:lastRenderedPageBreak/>
              <w:t>Fully Achieved</w:t>
            </w:r>
          </w:p>
        </w:tc>
      </w:tr>
      <w:tr w:rsidR="008A4774" w:rsidRPr="0068151C" w:rsidTr="00943735">
        <w:tc>
          <w:tcPr>
            <w:tcW w:w="970" w:type="pct"/>
            <w:shd w:val="clear" w:color="auto" w:fill="auto"/>
          </w:tcPr>
          <w:p w:rsidR="008A4774" w:rsidRPr="0068151C" w:rsidRDefault="008A4774" w:rsidP="008A4774">
            <w:pPr>
              <w:ind w:firstLineChars="3" w:firstLine="5"/>
              <w:rPr>
                <w:rFonts w:cs="Arial"/>
                <w:sz w:val="16"/>
                <w:szCs w:val="16"/>
              </w:rPr>
            </w:pPr>
            <w:r w:rsidRPr="009022DD">
              <w:rPr>
                <w:rFonts w:cs="Arial"/>
                <w:sz w:val="16"/>
                <w:szCs w:val="16"/>
              </w:rPr>
              <w:lastRenderedPageBreak/>
              <w:t>Average Service Level of IP Offices assisted (ranging from 1 to 5)</w:t>
            </w:r>
          </w:p>
        </w:tc>
        <w:tc>
          <w:tcPr>
            <w:tcW w:w="1269" w:type="pct"/>
            <w:shd w:val="clear" w:color="auto" w:fill="auto"/>
          </w:tcPr>
          <w:p w:rsidR="008A4774" w:rsidRPr="0068151C" w:rsidRDefault="008A4774" w:rsidP="008A4774">
            <w:pPr>
              <w:rPr>
                <w:rFonts w:cs="Arial"/>
                <w:color w:val="002060"/>
                <w:sz w:val="16"/>
                <w:szCs w:val="16"/>
              </w:rPr>
            </w:pPr>
            <w:r>
              <w:rPr>
                <w:rFonts w:cs="Arial"/>
                <w:i/>
                <w:color w:val="002060"/>
                <w:sz w:val="16"/>
                <w:szCs w:val="16"/>
              </w:rPr>
              <w:t>Updated Baseline end 2013</w:t>
            </w:r>
            <w:r w:rsidRPr="0068151C">
              <w:rPr>
                <w:rFonts w:cs="Arial"/>
                <w:i/>
                <w:color w:val="002060"/>
                <w:sz w:val="16"/>
                <w:szCs w:val="16"/>
              </w:rPr>
              <w:t>:</w:t>
            </w:r>
            <w:r w:rsidRPr="0068151C">
              <w:rPr>
                <w:rFonts w:cs="Arial"/>
                <w:color w:val="002060"/>
                <w:sz w:val="16"/>
                <w:szCs w:val="16"/>
              </w:rPr>
              <w:t xml:space="preserve">  </w:t>
            </w:r>
            <w:r w:rsidRPr="003F74EA">
              <w:rPr>
                <w:color w:val="000000" w:themeColor="text1"/>
                <w:sz w:val="16"/>
                <w:szCs w:val="16"/>
              </w:rPr>
              <w:t>2.8</w:t>
            </w:r>
          </w:p>
          <w:p w:rsidR="008A4774" w:rsidRPr="00AE7502" w:rsidRDefault="008A4774" w:rsidP="008A4774">
            <w:pPr>
              <w:rPr>
                <w:rFonts w:cs="Arial"/>
                <w:i/>
                <w:sz w:val="8"/>
                <w:szCs w:val="8"/>
              </w:rPr>
            </w:pPr>
          </w:p>
          <w:p w:rsidR="008A4774" w:rsidRDefault="008A4774" w:rsidP="008A4774">
            <w:pPr>
              <w:rPr>
                <w:rFonts w:cs="Arial"/>
                <w:sz w:val="16"/>
                <w:szCs w:val="16"/>
              </w:rPr>
            </w:pPr>
            <w:r>
              <w:rPr>
                <w:rFonts w:cs="Arial"/>
                <w:i/>
                <w:sz w:val="16"/>
                <w:szCs w:val="16"/>
              </w:rPr>
              <w:t>Original Baseline P&amp;B 2014/15</w:t>
            </w:r>
            <w:r w:rsidRPr="0068151C">
              <w:rPr>
                <w:rFonts w:cs="Arial"/>
                <w:i/>
                <w:sz w:val="16"/>
                <w:szCs w:val="16"/>
              </w:rPr>
              <w:t>:</w:t>
            </w:r>
            <w:r w:rsidRPr="0068151C">
              <w:rPr>
                <w:rFonts w:cs="Arial"/>
                <w:sz w:val="16"/>
                <w:szCs w:val="16"/>
              </w:rPr>
              <w:t xml:space="preserve">  </w:t>
            </w:r>
            <w:r w:rsidRPr="003F74EA">
              <w:rPr>
                <w:rFonts w:cs="Arial"/>
                <w:sz w:val="16"/>
                <w:szCs w:val="16"/>
              </w:rPr>
              <w:t>tbd</w:t>
            </w:r>
          </w:p>
          <w:p w:rsidR="008A4774" w:rsidRPr="0068151C" w:rsidRDefault="008A4774" w:rsidP="008A4774">
            <w:pPr>
              <w:rPr>
                <w:rFonts w:cs="Arial"/>
                <w:sz w:val="16"/>
                <w:szCs w:val="16"/>
              </w:rPr>
            </w:pPr>
          </w:p>
        </w:tc>
        <w:tc>
          <w:tcPr>
            <w:tcW w:w="671" w:type="pct"/>
            <w:shd w:val="clear" w:color="auto" w:fill="auto"/>
            <w:tcMar>
              <w:top w:w="110" w:type="dxa"/>
            </w:tcMar>
          </w:tcPr>
          <w:p w:rsidR="008A4774" w:rsidRDefault="008A4774" w:rsidP="008A4774">
            <w:pPr>
              <w:pStyle w:val="Default"/>
              <w:rPr>
                <w:rFonts w:eastAsia="Times New Roman"/>
                <w:color w:val="002060"/>
                <w:sz w:val="16"/>
                <w:szCs w:val="16"/>
                <w:lang w:eastAsia="en-US"/>
              </w:rPr>
            </w:pPr>
            <w:r w:rsidRPr="009C34D1">
              <w:rPr>
                <w:rFonts w:eastAsia="Times New Roman"/>
                <w:i/>
                <w:color w:val="002060"/>
                <w:sz w:val="16"/>
                <w:szCs w:val="16"/>
                <w:lang w:eastAsia="en-US"/>
              </w:rPr>
              <w:t xml:space="preserve">Defined Target: </w:t>
            </w:r>
            <w:r w:rsidRPr="009C34D1">
              <w:rPr>
                <w:rFonts w:eastAsia="Times New Roman"/>
                <w:color w:val="002060"/>
                <w:sz w:val="16"/>
                <w:szCs w:val="16"/>
                <w:lang w:eastAsia="en-US"/>
              </w:rPr>
              <w:t>3</w:t>
            </w:r>
          </w:p>
          <w:p w:rsidR="008A4774" w:rsidRPr="00CE1FA2" w:rsidRDefault="008A4774" w:rsidP="008A4774">
            <w:pPr>
              <w:pStyle w:val="Default"/>
              <w:rPr>
                <w:rFonts w:eastAsia="Times New Roman"/>
                <w:color w:val="002060"/>
                <w:sz w:val="16"/>
                <w:szCs w:val="16"/>
                <w:lang w:eastAsia="en-US"/>
              </w:rPr>
            </w:pPr>
          </w:p>
          <w:p w:rsidR="008A4774" w:rsidRPr="0068151C" w:rsidRDefault="008A4774" w:rsidP="008A4774">
            <w:pPr>
              <w:pStyle w:val="Default"/>
              <w:rPr>
                <w:color w:val="000000" w:themeColor="text1"/>
                <w:sz w:val="16"/>
                <w:szCs w:val="16"/>
              </w:rPr>
            </w:pPr>
            <w:r>
              <w:rPr>
                <w:rFonts w:eastAsia="Times New Roman"/>
                <w:i/>
                <w:color w:val="002060"/>
                <w:sz w:val="16"/>
                <w:szCs w:val="16"/>
                <w:lang w:eastAsia="en-US"/>
              </w:rPr>
              <w:t xml:space="preserve">Original Target P&amp;B 2014/15: </w:t>
            </w:r>
            <w:r w:rsidRPr="009C34D1">
              <w:rPr>
                <w:rFonts w:eastAsia="Times New Roman"/>
                <w:color w:val="002060"/>
                <w:sz w:val="16"/>
                <w:szCs w:val="16"/>
                <w:lang w:eastAsia="en-US"/>
              </w:rPr>
              <w:t>tbd</w:t>
            </w:r>
          </w:p>
        </w:tc>
        <w:tc>
          <w:tcPr>
            <w:tcW w:w="1567" w:type="pct"/>
            <w:shd w:val="clear" w:color="auto" w:fill="FFFFFF"/>
            <w:tcMar>
              <w:top w:w="110" w:type="dxa"/>
            </w:tcMar>
          </w:tcPr>
          <w:p w:rsidR="008A4774" w:rsidRDefault="008A4774" w:rsidP="008A4774">
            <w:pPr>
              <w:rPr>
                <w:color w:val="000000" w:themeColor="text1"/>
                <w:sz w:val="16"/>
                <w:szCs w:val="16"/>
              </w:rPr>
            </w:pPr>
            <w:r>
              <w:rPr>
                <w:color w:val="000000" w:themeColor="text1"/>
                <w:sz w:val="16"/>
                <w:szCs w:val="16"/>
              </w:rPr>
              <w:t>Overall average:  2.9</w:t>
            </w:r>
          </w:p>
          <w:p w:rsidR="008A4774" w:rsidRPr="00CE1FA2" w:rsidRDefault="008A4774" w:rsidP="00E16443">
            <w:pPr>
              <w:pStyle w:val="ListParagraph"/>
              <w:numPr>
                <w:ilvl w:val="0"/>
                <w:numId w:val="5"/>
              </w:numPr>
              <w:rPr>
                <w:color w:val="000000" w:themeColor="text1"/>
                <w:sz w:val="16"/>
                <w:szCs w:val="16"/>
              </w:rPr>
            </w:pPr>
            <w:r>
              <w:rPr>
                <w:color w:val="000000" w:themeColor="text1"/>
                <w:sz w:val="16"/>
                <w:szCs w:val="16"/>
              </w:rPr>
              <w:t>Africa:  2.9</w:t>
            </w:r>
          </w:p>
          <w:p w:rsidR="008A4774" w:rsidRPr="00CE1FA2" w:rsidRDefault="008A4774" w:rsidP="00E16443">
            <w:pPr>
              <w:pStyle w:val="ListParagraph"/>
              <w:numPr>
                <w:ilvl w:val="0"/>
                <w:numId w:val="5"/>
              </w:numPr>
              <w:rPr>
                <w:color w:val="000000" w:themeColor="text1"/>
                <w:sz w:val="16"/>
                <w:szCs w:val="16"/>
              </w:rPr>
            </w:pPr>
            <w:r>
              <w:rPr>
                <w:color w:val="000000" w:themeColor="text1"/>
                <w:sz w:val="16"/>
                <w:szCs w:val="16"/>
              </w:rPr>
              <w:t>Arab:  2.8</w:t>
            </w:r>
          </w:p>
          <w:p w:rsidR="008A4774" w:rsidRPr="00CE1FA2" w:rsidRDefault="008A4774" w:rsidP="00E16443">
            <w:pPr>
              <w:pStyle w:val="ListParagraph"/>
              <w:numPr>
                <w:ilvl w:val="0"/>
                <w:numId w:val="5"/>
              </w:numPr>
              <w:rPr>
                <w:color w:val="000000" w:themeColor="text1"/>
                <w:sz w:val="16"/>
                <w:szCs w:val="16"/>
              </w:rPr>
            </w:pPr>
            <w:r w:rsidRPr="00CE1FA2">
              <w:rPr>
                <w:color w:val="000000" w:themeColor="text1"/>
                <w:sz w:val="16"/>
                <w:szCs w:val="16"/>
              </w:rPr>
              <w:t xml:space="preserve">Asia and </w:t>
            </w:r>
            <w:r>
              <w:rPr>
                <w:color w:val="000000" w:themeColor="text1"/>
                <w:sz w:val="16"/>
                <w:szCs w:val="16"/>
              </w:rPr>
              <w:t xml:space="preserve">the </w:t>
            </w:r>
            <w:r w:rsidRPr="00CE1FA2">
              <w:rPr>
                <w:color w:val="000000" w:themeColor="text1"/>
                <w:sz w:val="16"/>
                <w:szCs w:val="16"/>
              </w:rPr>
              <w:t xml:space="preserve">Pacific: </w:t>
            </w:r>
            <w:r>
              <w:rPr>
                <w:color w:val="000000" w:themeColor="text1"/>
                <w:sz w:val="16"/>
                <w:szCs w:val="16"/>
              </w:rPr>
              <w:t xml:space="preserve"> </w:t>
            </w:r>
            <w:r w:rsidRPr="00CE1FA2">
              <w:rPr>
                <w:color w:val="000000" w:themeColor="text1"/>
                <w:sz w:val="16"/>
                <w:szCs w:val="16"/>
              </w:rPr>
              <w:t>2.7</w:t>
            </w:r>
          </w:p>
          <w:p w:rsidR="008A4774" w:rsidRPr="00CE1FA2" w:rsidRDefault="008A4774" w:rsidP="00E16443">
            <w:pPr>
              <w:pStyle w:val="ListParagraph"/>
              <w:numPr>
                <w:ilvl w:val="0"/>
                <w:numId w:val="5"/>
              </w:numPr>
              <w:rPr>
                <w:color w:val="000000" w:themeColor="text1"/>
                <w:sz w:val="16"/>
                <w:szCs w:val="16"/>
              </w:rPr>
            </w:pPr>
            <w:r w:rsidRPr="00CE1FA2">
              <w:rPr>
                <w:color w:val="000000" w:themeColor="text1"/>
                <w:sz w:val="16"/>
                <w:szCs w:val="16"/>
              </w:rPr>
              <w:t xml:space="preserve">Certain Countries in </w:t>
            </w:r>
            <w:r>
              <w:rPr>
                <w:color w:val="000000" w:themeColor="text1"/>
                <w:sz w:val="16"/>
                <w:szCs w:val="16"/>
              </w:rPr>
              <w:t>Europe and Asia:  3.3</w:t>
            </w:r>
          </w:p>
          <w:p w:rsidR="008A4774" w:rsidRDefault="008A4774" w:rsidP="00E16443">
            <w:pPr>
              <w:pStyle w:val="ListParagraph"/>
              <w:numPr>
                <w:ilvl w:val="0"/>
                <w:numId w:val="5"/>
              </w:numPr>
              <w:rPr>
                <w:color w:val="000000" w:themeColor="text1"/>
                <w:sz w:val="16"/>
                <w:szCs w:val="16"/>
              </w:rPr>
            </w:pPr>
            <w:r w:rsidRPr="00CE1FA2">
              <w:rPr>
                <w:color w:val="000000" w:themeColor="text1"/>
                <w:sz w:val="16"/>
                <w:szCs w:val="16"/>
              </w:rPr>
              <w:t>Lati</w:t>
            </w:r>
            <w:r>
              <w:rPr>
                <w:color w:val="000000" w:themeColor="text1"/>
                <w:sz w:val="16"/>
                <w:szCs w:val="16"/>
              </w:rPr>
              <w:t>n America and the Caribbean:  3</w:t>
            </w:r>
          </w:p>
          <w:p w:rsidR="008A4774" w:rsidRPr="003953C6" w:rsidRDefault="008A4774" w:rsidP="00E16443">
            <w:pPr>
              <w:pStyle w:val="ListParagraph"/>
              <w:numPr>
                <w:ilvl w:val="0"/>
                <w:numId w:val="5"/>
              </w:numPr>
              <w:rPr>
                <w:color w:val="000000" w:themeColor="text1"/>
                <w:sz w:val="16"/>
                <w:szCs w:val="16"/>
              </w:rPr>
            </w:pPr>
            <w:r w:rsidRPr="00170C2D">
              <w:rPr>
                <w:color w:val="000000" w:themeColor="text1"/>
                <w:sz w:val="16"/>
                <w:szCs w:val="16"/>
              </w:rPr>
              <w:t xml:space="preserve">Other: </w:t>
            </w:r>
            <w:r>
              <w:rPr>
                <w:color w:val="000000" w:themeColor="text1"/>
                <w:sz w:val="16"/>
                <w:szCs w:val="16"/>
              </w:rPr>
              <w:t xml:space="preserve"> </w:t>
            </w:r>
            <w:r w:rsidRPr="00170C2D">
              <w:rPr>
                <w:color w:val="000000" w:themeColor="text1"/>
                <w:sz w:val="16"/>
                <w:szCs w:val="16"/>
              </w:rPr>
              <w:t>2.</w:t>
            </w:r>
            <w:r>
              <w:rPr>
                <w:color w:val="000000" w:themeColor="text1"/>
                <w:sz w:val="16"/>
                <w:szCs w:val="16"/>
              </w:rPr>
              <w:t>5</w:t>
            </w:r>
          </w:p>
        </w:tc>
        <w:tc>
          <w:tcPr>
            <w:tcW w:w="523" w:type="pct"/>
            <w:shd w:val="clear" w:color="auto" w:fill="auto"/>
            <w:tcMar>
              <w:top w:w="110" w:type="dxa"/>
            </w:tcMar>
          </w:tcPr>
          <w:p w:rsidR="008A4774" w:rsidRPr="00CE1FA2" w:rsidRDefault="008A4774" w:rsidP="008A4774">
            <w:pPr>
              <w:keepNext/>
              <w:keepLines/>
              <w:jc w:val="center"/>
              <w:rPr>
                <w:rStyle w:val="Style5"/>
                <w:b/>
                <w:color w:val="00B050"/>
                <w:sz w:val="16"/>
              </w:rPr>
            </w:pPr>
            <w:r w:rsidRPr="00BA5796">
              <w:rPr>
                <w:rFonts w:cs="Arial"/>
                <w:b/>
                <w:bCs/>
                <w:color w:val="00B050"/>
                <w:sz w:val="16"/>
                <w:szCs w:val="16"/>
              </w:rPr>
              <w:t>Fully Achieved</w:t>
            </w:r>
          </w:p>
        </w:tc>
      </w:tr>
      <w:tr w:rsidR="008A4774" w:rsidRPr="0068151C" w:rsidTr="00943735">
        <w:tc>
          <w:tcPr>
            <w:tcW w:w="970" w:type="pct"/>
            <w:shd w:val="clear" w:color="auto" w:fill="auto"/>
          </w:tcPr>
          <w:p w:rsidR="008A4774" w:rsidRPr="0068151C" w:rsidRDefault="008A4774" w:rsidP="008A4774">
            <w:pPr>
              <w:ind w:firstLineChars="3" w:firstLine="5"/>
              <w:rPr>
                <w:rFonts w:cs="Arial"/>
                <w:sz w:val="16"/>
                <w:szCs w:val="16"/>
              </w:rPr>
            </w:pPr>
            <w:r w:rsidRPr="003F74EA">
              <w:rPr>
                <w:rFonts w:cs="Arial"/>
                <w:sz w:val="16"/>
                <w:szCs w:val="16"/>
              </w:rPr>
              <w:t xml:space="preserve">No. of Collective Management Organizations (CMOs) in developing countries and LDCs participating in regional and global networks facilitated by WIPO </w:t>
            </w:r>
          </w:p>
        </w:tc>
        <w:tc>
          <w:tcPr>
            <w:tcW w:w="1269" w:type="pct"/>
            <w:shd w:val="clear" w:color="auto" w:fill="auto"/>
          </w:tcPr>
          <w:p w:rsidR="008A4774" w:rsidRPr="0068151C" w:rsidRDefault="008A4774" w:rsidP="008A4774">
            <w:pPr>
              <w:rPr>
                <w:rFonts w:cs="Arial"/>
                <w:i/>
                <w:sz w:val="16"/>
                <w:szCs w:val="16"/>
              </w:rPr>
            </w:pPr>
            <w:r>
              <w:rPr>
                <w:rFonts w:cs="Arial"/>
                <w:sz w:val="16"/>
                <w:szCs w:val="16"/>
              </w:rPr>
              <w:t>0 zero</w:t>
            </w:r>
          </w:p>
        </w:tc>
        <w:tc>
          <w:tcPr>
            <w:tcW w:w="671" w:type="pct"/>
            <w:shd w:val="clear" w:color="auto" w:fill="auto"/>
            <w:tcMar>
              <w:top w:w="110" w:type="dxa"/>
            </w:tcMar>
          </w:tcPr>
          <w:p w:rsidR="008A4774" w:rsidRPr="0068151C" w:rsidRDefault="008A4774" w:rsidP="008A4774">
            <w:pPr>
              <w:pStyle w:val="Default"/>
              <w:rPr>
                <w:i/>
                <w:color w:val="000000" w:themeColor="text1"/>
                <w:sz w:val="16"/>
                <w:szCs w:val="16"/>
              </w:rPr>
            </w:pPr>
            <w:r>
              <w:rPr>
                <w:color w:val="000000" w:themeColor="text1"/>
                <w:sz w:val="16"/>
                <w:szCs w:val="16"/>
              </w:rPr>
              <w:t>10</w:t>
            </w:r>
          </w:p>
        </w:tc>
        <w:tc>
          <w:tcPr>
            <w:tcW w:w="1567" w:type="pct"/>
            <w:shd w:val="clear" w:color="auto" w:fill="FFFFFF"/>
            <w:tcMar>
              <w:top w:w="110" w:type="dxa"/>
            </w:tcMar>
          </w:tcPr>
          <w:p w:rsidR="008A4774" w:rsidRPr="0068151C" w:rsidRDefault="008A4774" w:rsidP="008A4774">
            <w:pPr>
              <w:rPr>
                <w:rFonts w:cs="Arial"/>
                <w:color w:val="000000" w:themeColor="text1"/>
                <w:sz w:val="16"/>
                <w:szCs w:val="16"/>
              </w:rPr>
            </w:pPr>
            <w:r w:rsidRPr="00F63936">
              <w:rPr>
                <w:rFonts w:cs="Arial"/>
                <w:color w:val="000000" w:themeColor="text1"/>
                <w:sz w:val="16"/>
                <w:szCs w:val="16"/>
              </w:rPr>
              <w:t xml:space="preserve">The </w:t>
            </w:r>
            <w:r>
              <w:rPr>
                <w:rFonts w:cs="Arial"/>
                <w:color w:val="000000" w:themeColor="text1"/>
                <w:sz w:val="16"/>
                <w:szCs w:val="16"/>
              </w:rPr>
              <w:t xml:space="preserve">WCC </w:t>
            </w:r>
            <w:r w:rsidRPr="00F63936">
              <w:rPr>
                <w:rFonts w:cs="Arial"/>
                <w:color w:val="000000" w:themeColor="text1"/>
                <w:sz w:val="16"/>
                <w:szCs w:val="16"/>
              </w:rPr>
              <w:t xml:space="preserve">system </w:t>
            </w:r>
            <w:r>
              <w:rPr>
                <w:rFonts w:cs="Arial"/>
                <w:color w:val="000000" w:themeColor="text1"/>
                <w:sz w:val="16"/>
                <w:szCs w:val="16"/>
              </w:rPr>
              <w:t>was</w:t>
            </w:r>
            <w:r w:rsidRPr="00F63936">
              <w:rPr>
                <w:rFonts w:cs="Arial"/>
                <w:color w:val="000000" w:themeColor="text1"/>
                <w:sz w:val="16"/>
                <w:szCs w:val="16"/>
              </w:rPr>
              <w:t xml:space="preserve"> in the final development phase </w:t>
            </w:r>
            <w:r>
              <w:rPr>
                <w:rFonts w:cs="Arial"/>
                <w:color w:val="000000" w:themeColor="text1"/>
                <w:sz w:val="16"/>
                <w:szCs w:val="16"/>
              </w:rPr>
              <w:t xml:space="preserve">at the end of 2014/15 </w:t>
            </w:r>
            <w:r w:rsidRPr="00F63936">
              <w:rPr>
                <w:rFonts w:cs="Arial"/>
                <w:color w:val="000000" w:themeColor="text1"/>
                <w:sz w:val="16"/>
                <w:szCs w:val="16"/>
              </w:rPr>
              <w:t>and will be deployed in CMOs in developing countries and LDCs starting in 2016.</w:t>
            </w:r>
          </w:p>
        </w:tc>
        <w:tc>
          <w:tcPr>
            <w:tcW w:w="523" w:type="pct"/>
            <w:shd w:val="clear" w:color="auto" w:fill="auto"/>
            <w:tcMar>
              <w:top w:w="110" w:type="dxa"/>
            </w:tcMar>
          </w:tcPr>
          <w:p w:rsidR="008A4774" w:rsidRPr="00F63936" w:rsidRDefault="008A4774" w:rsidP="008A4774">
            <w:pPr>
              <w:keepNext/>
              <w:keepLines/>
              <w:jc w:val="center"/>
              <w:rPr>
                <w:rFonts w:cs="Arial"/>
                <w:b/>
                <w:bCs/>
                <w:color w:val="FF0000"/>
                <w:sz w:val="16"/>
                <w:szCs w:val="16"/>
              </w:rPr>
            </w:pPr>
            <w:r>
              <w:rPr>
                <w:rFonts w:cs="Arial"/>
                <w:b/>
                <w:bCs/>
                <w:color w:val="FF0000"/>
                <w:sz w:val="16"/>
                <w:szCs w:val="16"/>
              </w:rPr>
              <w:t>Not Achieved</w:t>
            </w:r>
          </w:p>
        </w:tc>
      </w:tr>
    </w:tbl>
    <w:p w:rsidR="008A4774" w:rsidRPr="00CE1FA2" w:rsidRDefault="008A4774" w:rsidP="008A4774">
      <w:pPr>
        <w:jc w:val="both"/>
        <w:rPr>
          <w:rFonts w:cs="Arial"/>
          <w:bCs/>
          <w:szCs w:val="20"/>
        </w:rPr>
      </w:pPr>
    </w:p>
    <w:p w:rsidR="008A4774" w:rsidRDefault="008A4774" w:rsidP="008A4774">
      <w:pPr>
        <w:rPr>
          <w:rFonts w:cs="Arial"/>
          <w:color w:val="000000"/>
          <w:szCs w:val="20"/>
        </w:rPr>
      </w:pPr>
    </w:p>
    <w:p w:rsidR="008A4774" w:rsidRDefault="008A4774" w:rsidP="008A4774">
      <w:pPr>
        <w:rPr>
          <w:rFonts w:cs="Arial"/>
          <w:color w:val="000000"/>
          <w:sz w:val="22"/>
          <w:szCs w:val="22"/>
        </w:rPr>
      </w:pPr>
      <w:r w:rsidRPr="00B2467D">
        <w:rPr>
          <w:rFonts w:cs="Arial"/>
          <w:color w:val="000000"/>
          <w:szCs w:val="22"/>
        </w:rPr>
        <w:t>RISK REPORTING FOR THE BIENNIUM</w:t>
      </w:r>
    </w:p>
    <w:p w:rsidR="008A4774" w:rsidRDefault="008A4774" w:rsidP="008A4774"/>
    <w:tbl>
      <w:tblPr>
        <w:tblW w:w="9498"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2439"/>
        <w:gridCol w:w="2181"/>
        <w:gridCol w:w="2468"/>
        <w:gridCol w:w="2410"/>
      </w:tblGrid>
      <w:tr w:rsidR="008A4774" w:rsidRPr="003C527B" w:rsidTr="008A4774">
        <w:trPr>
          <w:trHeight w:val="437"/>
          <w:tblHeader/>
        </w:trPr>
        <w:tc>
          <w:tcPr>
            <w:tcW w:w="2439" w:type="dxa"/>
            <w:tcBorders>
              <w:top w:val="single" w:sz="4" w:space="0" w:color="auto"/>
              <w:bottom w:val="single" w:sz="4" w:space="0" w:color="auto"/>
            </w:tcBorders>
            <w:shd w:val="clear" w:color="auto" w:fill="C6D9F1" w:themeFill="text2" w:themeFillTint="33"/>
            <w:tcMar>
              <w:top w:w="113" w:type="dxa"/>
              <w:bottom w:w="85" w:type="dxa"/>
            </w:tcMar>
            <w:vAlign w:val="center"/>
          </w:tcPr>
          <w:p w:rsidR="008A4774" w:rsidRPr="003C527B" w:rsidRDefault="008A4774" w:rsidP="008A4774">
            <w:pPr>
              <w:autoSpaceDE w:val="0"/>
              <w:autoSpaceDN w:val="0"/>
              <w:adjustRightInd w:val="0"/>
              <w:ind w:right="-59"/>
              <w:jc w:val="center"/>
              <w:rPr>
                <w:b/>
                <w:bCs/>
                <w:iCs/>
                <w:sz w:val="18"/>
                <w:szCs w:val="18"/>
              </w:rPr>
            </w:pPr>
            <w:r w:rsidRPr="003C527B">
              <w:rPr>
                <w:b/>
                <w:bCs/>
                <w:iCs/>
                <w:sz w:val="18"/>
                <w:szCs w:val="18"/>
              </w:rPr>
              <w:t>Risk(s) to the Program achieving its Results</w:t>
            </w:r>
          </w:p>
        </w:tc>
        <w:tc>
          <w:tcPr>
            <w:tcW w:w="2181" w:type="dxa"/>
            <w:tcBorders>
              <w:top w:val="single" w:sz="4" w:space="0" w:color="auto"/>
              <w:bottom w:val="single" w:sz="4" w:space="0" w:color="auto"/>
            </w:tcBorders>
            <w:shd w:val="clear" w:color="auto" w:fill="C6D9F1" w:themeFill="text2" w:themeFillTint="33"/>
            <w:tcMar>
              <w:top w:w="113" w:type="dxa"/>
              <w:bottom w:w="85" w:type="dxa"/>
            </w:tcMar>
            <w:vAlign w:val="center"/>
          </w:tcPr>
          <w:p w:rsidR="008A4774" w:rsidRPr="003C527B" w:rsidRDefault="008A4774" w:rsidP="008A4774">
            <w:pPr>
              <w:autoSpaceDE w:val="0"/>
              <w:autoSpaceDN w:val="0"/>
              <w:adjustRightInd w:val="0"/>
              <w:ind w:right="-59"/>
              <w:jc w:val="center"/>
              <w:rPr>
                <w:b/>
                <w:bCs/>
                <w:iCs/>
                <w:sz w:val="18"/>
                <w:szCs w:val="18"/>
              </w:rPr>
            </w:pPr>
            <w:r w:rsidRPr="003C527B">
              <w:rPr>
                <w:b/>
                <w:bCs/>
                <w:iCs/>
                <w:sz w:val="18"/>
                <w:szCs w:val="18"/>
              </w:rPr>
              <w:t>Mitigation plans in place or under implementation</w:t>
            </w:r>
          </w:p>
        </w:tc>
        <w:tc>
          <w:tcPr>
            <w:tcW w:w="2468" w:type="dxa"/>
            <w:tcBorders>
              <w:top w:val="single" w:sz="4" w:space="0" w:color="auto"/>
              <w:bottom w:val="single" w:sz="4" w:space="0" w:color="auto"/>
            </w:tcBorders>
            <w:shd w:val="clear" w:color="auto" w:fill="C6D9F1" w:themeFill="text2" w:themeFillTint="33"/>
          </w:tcPr>
          <w:p w:rsidR="008A4774" w:rsidRPr="003C527B" w:rsidRDefault="008A4774" w:rsidP="008A4774">
            <w:pPr>
              <w:jc w:val="center"/>
              <w:rPr>
                <w:b/>
                <w:bCs/>
                <w:sz w:val="18"/>
                <w:szCs w:val="18"/>
              </w:rPr>
            </w:pPr>
            <w:r>
              <w:rPr>
                <w:b/>
                <w:bCs/>
                <w:sz w:val="18"/>
                <w:szCs w:val="18"/>
              </w:rPr>
              <w:t>Evolution of Risk(s) and Mitigation Strategies Over the Biennium</w:t>
            </w:r>
          </w:p>
        </w:tc>
        <w:tc>
          <w:tcPr>
            <w:tcW w:w="2410" w:type="dxa"/>
            <w:tcBorders>
              <w:top w:val="single" w:sz="4" w:space="0" w:color="auto"/>
              <w:bottom w:val="single" w:sz="4" w:space="0" w:color="auto"/>
            </w:tcBorders>
            <w:shd w:val="clear" w:color="auto" w:fill="C6D9F1" w:themeFill="text2" w:themeFillTint="33"/>
          </w:tcPr>
          <w:p w:rsidR="008A4774" w:rsidRPr="003C527B" w:rsidRDefault="008A4774" w:rsidP="008A4774">
            <w:pPr>
              <w:jc w:val="center"/>
              <w:rPr>
                <w:b/>
                <w:bCs/>
                <w:sz w:val="18"/>
                <w:szCs w:val="18"/>
              </w:rPr>
            </w:pPr>
            <w:r>
              <w:rPr>
                <w:b/>
                <w:bCs/>
                <w:sz w:val="18"/>
                <w:szCs w:val="18"/>
              </w:rPr>
              <w:t>Impact on the Program’s Performance</w:t>
            </w:r>
          </w:p>
        </w:tc>
      </w:tr>
      <w:tr w:rsidR="008A4774" w:rsidRPr="003C527B" w:rsidTr="008A4774">
        <w:trPr>
          <w:trHeight w:val="1051"/>
        </w:trPr>
        <w:tc>
          <w:tcPr>
            <w:tcW w:w="2439" w:type="dxa"/>
            <w:tcBorders>
              <w:top w:val="single" w:sz="4" w:space="0" w:color="auto"/>
            </w:tcBorders>
            <w:shd w:val="clear" w:color="auto" w:fill="auto"/>
            <w:tcMar>
              <w:top w:w="113" w:type="dxa"/>
              <w:bottom w:w="85" w:type="dxa"/>
            </w:tcMar>
          </w:tcPr>
          <w:p w:rsidR="008A4774" w:rsidRPr="003C527B" w:rsidRDefault="008A4774" w:rsidP="008A4774">
            <w:pPr>
              <w:rPr>
                <w:sz w:val="16"/>
                <w:szCs w:val="16"/>
              </w:rPr>
            </w:pPr>
            <w:r w:rsidRPr="003C527B">
              <w:rPr>
                <w:sz w:val="16"/>
                <w:szCs w:val="16"/>
              </w:rPr>
              <w:t xml:space="preserve">Demand from IP Offices for deployment of WIPO software packages may be different from work plan.  There is pressure to initiate projects in </w:t>
            </w:r>
            <w:r>
              <w:rPr>
                <w:sz w:val="16"/>
                <w:szCs w:val="16"/>
              </w:rPr>
              <w:t>Offices</w:t>
            </w:r>
            <w:r w:rsidRPr="003C527B">
              <w:rPr>
                <w:sz w:val="16"/>
                <w:szCs w:val="16"/>
              </w:rPr>
              <w:t xml:space="preserve"> where the necessary pre-requisites (especially local resources) may not be present.  This may result in over-commitment of personnel and non-personnel resources. </w:t>
            </w:r>
          </w:p>
        </w:tc>
        <w:tc>
          <w:tcPr>
            <w:tcW w:w="2181" w:type="dxa"/>
            <w:tcBorders>
              <w:top w:val="single" w:sz="4" w:space="0" w:color="auto"/>
            </w:tcBorders>
            <w:shd w:val="clear" w:color="auto" w:fill="auto"/>
            <w:tcMar>
              <w:top w:w="113" w:type="dxa"/>
              <w:bottom w:w="85" w:type="dxa"/>
            </w:tcMar>
          </w:tcPr>
          <w:p w:rsidR="008A4774" w:rsidRPr="003C527B" w:rsidRDefault="008A4774" w:rsidP="008A4774">
            <w:pPr>
              <w:autoSpaceDE w:val="0"/>
              <w:autoSpaceDN w:val="0"/>
              <w:adjustRightInd w:val="0"/>
              <w:ind w:right="-59"/>
              <w:rPr>
                <w:sz w:val="16"/>
                <w:szCs w:val="16"/>
              </w:rPr>
            </w:pPr>
            <w:r w:rsidRPr="003C527B">
              <w:rPr>
                <w:sz w:val="16"/>
                <w:szCs w:val="16"/>
              </w:rPr>
              <w:t>Assessment of projects before initiation.</w:t>
            </w:r>
            <w:r w:rsidRPr="003C527B">
              <w:rPr>
                <w:sz w:val="16"/>
                <w:szCs w:val="16"/>
              </w:rPr>
              <w:br/>
              <w:t>Clearly agreed project plans, specifying roles, responsibilities and resource commitments of all parties.</w:t>
            </w:r>
          </w:p>
        </w:tc>
        <w:tc>
          <w:tcPr>
            <w:tcW w:w="2468" w:type="dxa"/>
            <w:tcBorders>
              <w:top w:val="single" w:sz="4" w:space="0" w:color="auto"/>
            </w:tcBorders>
          </w:tcPr>
          <w:p w:rsidR="008A4774" w:rsidRPr="003C527B" w:rsidRDefault="008A4774" w:rsidP="008A4774">
            <w:pPr>
              <w:autoSpaceDE w:val="0"/>
              <w:autoSpaceDN w:val="0"/>
              <w:adjustRightInd w:val="0"/>
              <w:ind w:right="-59"/>
              <w:rPr>
                <w:sz w:val="16"/>
                <w:szCs w:val="16"/>
              </w:rPr>
            </w:pPr>
            <w:r>
              <w:rPr>
                <w:sz w:val="16"/>
                <w:szCs w:val="16"/>
              </w:rPr>
              <w:t>This risk did materialize in the course of the biennium, but was addressed through flexible project management, especially through the reallocation of resources between projects, which enabled the Program to adapt to meet the unexpected changes in demand during the biennium.</w:t>
            </w:r>
          </w:p>
        </w:tc>
        <w:tc>
          <w:tcPr>
            <w:tcW w:w="2410" w:type="dxa"/>
            <w:tcBorders>
              <w:top w:val="single" w:sz="4" w:space="0" w:color="auto"/>
            </w:tcBorders>
          </w:tcPr>
          <w:p w:rsidR="008A4774" w:rsidRDefault="008A4774" w:rsidP="008A4774">
            <w:pPr>
              <w:autoSpaceDE w:val="0"/>
              <w:autoSpaceDN w:val="0"/>
              <w:adjustRightInd w:val="0"/>
              <w:ind w:right="-59"/>
              <w:rPr>
                <w:sz w:val="16"/>
                <w:szCs w:val="16"/>
                <w:lang w:eastAsia="zh-CN"/>
              </w:rPr>
            </w:pPr>
            <w:r>
              <w:rPr>
                <w:sz w:val="16"/>
                <w:szCs w:val="16"/>
                <w:lang w:eastAsia="zh-CN"/>
              </w:rPr>
              <w:t xml:space="preserve">This risk and its evolution did not have any material impact on the Program’s performance in 2014/15.  </w:t>
            </w:r>
          </w:p>
          <w:p w:rsidR="008A4774" w:rsidRPr="003C527B" w:rsidRDefault="008A4774" w:rsidP="008A4774">
            <w:pPr>
              <w:autoSpaceDE w:val="0"/>
              <w:autoSpaceDN w:val="0"/>
              <w:adjustRightInd w:val="0"/>
              <w:ind w:right="-59"/>
              <w:rPr>
                <w:sz w:val="16"/>
                <w:szCs w:val="16"/>
              </w:rPr>
            </w:pPr>
            <w:r>
              <w:rPr>
                <w:sz w:val="16"/>
                <w:szCs w:val="16"/>
              </w:rPr>
              <w:t>.</w:t>
            </w:r>
          </w:p>
        </w:tc>
      </w:tr>
      <w:tr w:rsidR="008A4774" w:rsidRPr="003C527B" w:rsidTr="008A4774">
        <w:trPr>
          <w:trHeight w:val="700"/>
        </w:trPr>
        <w:tc>
          <w:tcPr>
            <w:tcW w:w="2439" w:type="dxa"/>
            <w:shd w:val="clear" w:color="auto" w:fill="auto"/>
            <w:tcMar>
              <w:top w:w="113" w:type="dxa"/>
              <w:bottom w:w="85" w:type="dxa"/>
            </w:tcMar>
          </w:tcPr>
          <w:p w:rsidR="008A4774" w:rsidRPr="003C527B" w:rsidRDefault="008A4774" w:rsidP="008A4774">
            <w:pPr>
              <w:rPr>
                <w:sz w:val="16"/>
                <w:szCs w:val="16"/>
              </w:rPr>
            </w:pPr>
            <w:r w:rsidRPr="003C527B">
              <w:rPr>
                <w:sz w:val="16"/>
                <w:szCs w:val="16"/>
              </w:rPr>
              <w:t xml:space="preserve">WIPO software packages (supplied to IP Offices) are developed and supported by external contractors. </w:t>
            </w:r>
            <w:r>
              <w:rPr>
                <w:sz w:val="16"/>
                <w:szCs w:val="16"/>
              </w:rPr>
              <w:t xml:space="preserve"> </w:t>
            </w:r>
            <w:r w:rsidRPr="003C527B">
              <w:rPr>
                <w:sz w:val="16"/>
                <w:szCs w:val="16"/>
              </w:rPr>
              <w:t>This may result in the fact that knowledge can be lost at short notice.</w:t>
            </w:r>
          </w:p>
        </w:tc>
        <w:tc>
          <w:tcPr>
            <w:tcW w:w="2181" w:type="dxa"/>
            <w:shd w:val="clear" w:color="auto" w:fill="auto"/>
            <w:tcMar>
              <w:top w:w="113" w:type="dxa"/>
              <w:bottom w:w="85" w:type="dxa"/>
            </w:tcMar>
          </w:tcPr>
          <w:p w:rsidR="008A4774" w:rsidRPr="003C527B" w:rsidRDefault="008A4774" w:rsidP="008A4774">
            <w:pPr>
              <w:autoSpaceDE w:val="0"/>
              <w:autoSpaceDN w:val="0"/>
              <w:adjustRightInd w:val="0"/>
              <w:ind w:right="-59"/>
              <w:rPr>
                <w:sz w:val="16"/>
                <w:szCs w:val="16"/>
              </w:rPr>
            </w:pPr>
            <w:r w:rsidRPr="003C527B">
              <w:rPr>
                <w:sz w:val="16"/>
                <w:szCs w:val="16"/>
              </w:rPr>
              <w:t>Key knowledge needs to be retained by WIPO staff, where possible. Contracts with external companies need to include a provision for knowledge transfer in the case of termination of contract.</w:t>
            </w:r>
          </w:p>
        </w:tc>
        <w:tc>
          <w:tcPr>
            <w:tcW w:w="2468" w:type="dxa"/>
          </w:tcPr>
          <w:p w:rsidR="008A4774" w:rsidRPr="003C527B" w:rsidRDefault="008A4774" w:rsidP="008A4774">
            <w:pPr>
              <w:autoSpaceDE w:val="0"/>
              <w:autoSpaceDN w:val="0"/>
              <w:adjustRightInd w:val="0"/>
              <w:ind w:right="-59"/>
              <w:rPr>
                <w:sz w:val="16"/>
                <w:szCs w:val="16"/>
              </w:rPr>
            </w:pPr>
            <w:r>
              <w:rPr>
                <w:sz w:val="16"/>
                <w:szCs w:val="16"/>
              </w:rPr>
              <w:t>In order to reduce this risk, a software architect was engaged in 2014 and additional personnel resources and contractors were involved in knowledge transfer from external contractors.  As a result, knowledge sharing and retention improved during the biennium.</w:t>
            </w:r>
          </w:p>
        </w:tc>
        <w:tc>
          <w:tcPr>
            <w:tcW w:w="2410" w:type="dxa"/>
          </w:tcPr>
          <w:p w:rsidR="008A4774" w:rsidRDefault="008A4774" w:rsidP="008A4774">
            <w:pPr>
              <w:autoSpaceDE w:val="0"/>
              <w:autoSpaceDN w:val="0"/>
              <w:adjustRightInd w:val="0"/>
              <w:ind w:right="-59"/>
              <w:rPr>
                <w:sz w:val="16"/>
                <w:szCs w:val="16"/>
                <w:lang w:eastAsia="zh-CN"/>
              </w:rPr>
            </w:pPr>
            <w:r>
              <w:rPr>
                <w:sz w:val="16"/>
                <w:szCs w:val="16"/>
                <w:lang w:eastAsia="zh-CN"/>
              </w:rPr>
              <w:t>This risk and its evolution did not have any material impact on the Program’s performance in 2014/15.</w:t>
            </w:r>
          </w:p>
          <w:p w:rsidR="008A4774" w:rsidRPr="003C527B" w:rsidRDefault="008A4774" w:rsidP="008A4774">
            <w:pPr>
              <w:autoSpaceDE w:val="0"/>
              <w:autoSpaceDN w:val="0"/>
              <w:adjustRightInd w:val="0"/>
              <w:ind w:right="-59"/>
              <w:rPr>
                <w:sz w:val="16"/>
                <w:szCs w:val="16"/>
              </w:rPr>
            </w:pPr>
          </w:p>
        </w:tc>
      </w:tr>
      <w:tr w:rsidR="008A4774" w:rsidRPr="003C527B" w:rsidTr="008A4774">
        <w:trPr>
          <w:trHeight w:val="843"/>
        </w:trPr>
        <w:tc>
          <w:tcPr>
            <w:tcW w:w="2439" w:type="dxa"/>
            <w:shd w:val="clear" w:color="auto" w:fill="auto"/>
            <w:tcMar>
              <w:top w:w="113" w:type="dxa"/>
              <w:bottom w:w="85" w:type="dxa"/>
            </w:tcMar>
          </w:tcPr>
          <w:p w:rsidR="008A4774" w:rsidRPr="003C527B" w:rsidRDefault="008A4774" w:rsidP="008A4774">
            <w:pPr>
              <w:rPr>
                <w:sz w:val="16"/>
                <w:szCs w:val="16"/>
              </w:rPr>
            </w:pPr>
            <w:r w:rsidRPr="003C527B">
              <w:rPr>
                <w:sz w:val="16"/>
                <w:szCs w:val="16"/>
              </w:rPr>
              <w:t>Offices use WIPO software systems for their core business.  A failure of one of those systems can have a severe effect on daily operations.</w:t>
            </w:r>
            <w:r>
              <w:rPr>
                <w:sz w:val="16"/>
                <w:szCs w:val="16"/>
              </w:rPr>
              <w:t xml:space="preserve"> </w:t>
            </w:r>
            <w:r w:rsidRPr="003C527B">
              <w:rPr>
                <w:sz w:val="16"/>
                <w:szCs w:val="16"/>
              </w:rPr>
              <w:t xml:space="preserve"> There is therefore a high expectation for sufficient ongoing support from WIPO.</w:t>
            </w:r>
          </w:p>
        </w:tc>
        <w:tc>
          <w:tcPr>
            <w:tcW w:w="2181" w:type="dxa"/>
            <w:shd w:val="clear" w:color="auto" w:fill="auto"/>
            <w:tcMar>
              <w:top w:w="113" w:type="dxa"/>
              <w:bottom w:w="85" w:type="dxa"/>
            </w:tcMar>
          </w:tcPr>
          <w:p w:rsidR="008A4774" w:rsidRPr="003C527B" w:rsidRDefault="008A4774" w:rsidP="008A4774">
            <w:pPr>
              <w:autoSpaceDE w:val="0"/>
              <w:autoSpaceDN w:val="0"/>
              <w:adjustRightInd w:val="0"/>
              <w:ind w:right="-59"/>
              <w:rPr>
                <w:sz w:val="16"/>
                <w:szCs w:val="16"/>
              </w:rPr>
            </w:pPr>
            <w:r w:rsidRPr="003C527B">
              <w:rPr>
                <w:sz w:val="16"/>
                <w:szCs w:val="16"/>
              </w:rPr>
              <w:t>Allocate sufficient resources to software support.</w:t>
            </w:r>
            <w:r w:rsidRPr="003C527B">
              <w:rPr>
                <w:sz w:val="16"/>
                <w:szCs w:val="16"/>
              </w:rPr>
              <w:br/>
              <w:t>Ensure that local IP Office staff is trained for first level support.  Establish formal procedures for software support and maintenance.</w:t>
            </w:r>
          </w:p>
        </w:tc>
        <w:tc>
          <w:tcPr>
            <w:tcW w:w="2468" w:type="dxa"/>
          </w:tcPr>
          <w:p w:rsidR="008A4774" w:rsidRPr="003C527B" w:rsidRDefault="008A4774" w:rsidP="008A4774">
            <w:pPr>
              <w:autoSpaceDE w:val="0"/>
              <w:autoSpaceDN w:val="0"/>
              <w:adjustRightInd w:val="0"/>
              <w:ind w:right="-59"/>
              <w:rPr>
                <w:sz w:val="16"/>
                <w:szCs w:val="16"/>
              </w:rPr>
            </w:pPr>
            <w:r>
              <w:rPr>
                <w:sz w:val="16"/>
                <w:szCs w:val="16"/>
              </w:rPr>
              <w:t xml:space="preserve">Critical incidents encountered in IP Offices during the biennium were handled effectively by local IP Office staff and WIPO experts.  Additional resources were allocated to training and knowledge transfer.  </w:t>
            </w:r>
          </w:p>
        </w:tc>
        <w:tc>
          <w:tcPr>
            <w:tcW w:w="2410" w:type="dxa"/>
          </w:tcPr>
          <w:p w:rsidR="008A4774" w:rsidRDefault="008A4774" w:rsidP="008A4774">
            <w:pPr>
              <w:autoSpaceDE w:val="0"/>
              <w:autoSpaceDN w:val="0"/>
              <w:adjustRightInd w:val="0"/>
              <w:ind w:right="-59"/>
              <w:rPr>
                <w:sz w:val="16"/>
                <w:szCs w:val="16"/>
                <w:lang w:eastAsia="zh-CN"/>
              </w:rPr>
            </w:pPr>
            <w:r>
              <w:rPr>
                <w:sz w:val="16"/>
                <w:szCs w:val="16"/>
                <w:lang w:eastAsia="zh-CN"/>
              </w:rPr>
              <w:t>This risk and its evolution did not have any material impact on the Program’s performance in 2014/15.</w:t>
            </w:r>
          </w:p>
          <w:p w:rsidR="008A4774" w:rsidRPr="003C527B" w:rsidRDefault="008A4774" w:rsidP="008A4774">
            <w:pPr>
              <w:autoSpaceDE w:val="0"/>
              <w:autoSpaceDN w:val="0"/>
              <w:adjustRightInd w:val="0"/>
              <w:ind w:right="-59"/>
              <w:rPr>
                <w:sz w:val="16"/>
                <w:szCs w:val="16"/>
              </w:rPr>
            </w:pPr>
          </w:p>
        </w:tc>
      </w:tr>
    </w:tbl>
    <w:p w:rsidR="008A4774" w:rsidRDefault="008A4774" w:rsidP="008A4774">
      <w:pPr>
        <w:jc w:val="both"/>
        <w:rPr>
          <w:rFonts w:cs="Arial"/>
          <w:color w:val="000000"/>
          <w:sz w:val="22"/>
          <w:szCs w:val="20"/>
        </w:rPr>
      </w:pPr>
    </w:p>
    <w:p w:rsidR="008A4774" w:rsidRDefault="008A4774" w:rsidP="008A4774">
      <w:pPr>
        <w:jc w:val="both"/>
        <w:rPr>
          <w:rFonts w:cs="Arial"/>
          <w:color w:val="000000"/>
          <w:sz w:val="22"/>
          <w:szCs w:val="20"/>
        </w:rPr>
      </w:pPr>
    </w:p>
    <w:p w:rsidR="008A4774" w:rsidRPr="00B2467D" w:rsidRDefault="008A4774" w:rsidP="008A4774">
      <w:pPr>
        <w:keepNext/>
        <w:keepLines/>
        <w:jc w:val="both"/>
        <w:rPr>
          <w:rFonts w:cs="Arial"/>
          <w:b/>
          <w:sz w:val="18"/>
          <w:szCs w:val="20"/>
        </w:rPr>
      </w:pPr>
      <w:r w:rsidRPr="00B2467D">
        <w:rPr>
          <w:rFonts w:cs="Arial"/>
          <w:color w:val="000000"/>
          <w:szCs w:val="20"/>
        </w:rPr>
        <w:lastRenderedPageBreak/>
        <w:t>RESOURCE UTILIZATION</w:t>
      </w:r>
      <w:r w:rsidRPr="00B2467D">
        <w:rPr>
          <w:rFonts w:cs="Arial"/>
          <w:color w:val="000000"/>
          <w:szCs w:val="20"/>
        </w:rPr>
        <w:tab/>
      </w:r>
    </w:p>
    <w:p w:rsidR="008A4774" w:rsidRDefault="008A4774" w:rsidP="008A4774">
      <w:pPr>
        <w:keepNext/>
        <w:keepLines/>
        <w:jc w:val="both"/>
        <w:rPr>
          <w:rFonts w:cs="Arial"/>
          <w:szCs w:val="20"/>
        </w:rPr>
      </w:pPr>
    </w:p>
    <w:p w:rsidR="008A4774" w:rsidRPr="009022DD" w:rsidRDefault="008A4774" w:rsidP="008A4774">
      <w:pPr>
        <w:pStyle w:val="NormalWeb"/>
        <w:keepNext/>
        <w:keepLines/>
        <w:spacing w:before="0" w:beforeAutospacing="0" w:after="0" w:afterAutospacing="0"/>
        <w:jc w:val="center"/>
        <w:rPr>
          <w:sz w:val="20"/>
          <w:szCs w:val="20"/>
        </w:rPr>
      </w:pPr>
      <w:r w:rsidRPr="009022DD">
        <w:rPr>
          <w:color w:val="000000"/>
          <w:sz w:val="20"/>
          <w:szCs w:val="20"/>
        </w:rPr>
        <w:t>Budget and Actual Expenditure (by result)</w:t>
      </w:r>
    </w:p>
    <w:p w:rsidR="008A4774" w:rsidRDefault="008A4774" w:rsidP="008A4774">
      <w:pPr>
        <w:pStyle w:val="NormalWeb"/>
        <w:keepNext/>
        <w:keepLines/>
        <w:spacing w:before="0" w:beforeAutospacing="0" w:after="0" w:afterAutospacing="0"/>
        <w:jc w:val="center"/>
        <w:rPr>
          <w:i/>
          <w:iCs/>
          <w:color w:val="000000"/>
          <w:sz w:val="20"/>
          <w:szCs w:val="20"/>
        </w:rPr>
      </w:pPr>
      <w:r w:rsidRPr="00462BD5">
        <w:rPr>
          <w:i/>
          <w:iCs/>
          <w:color w:val="000000"/>
          <w:sz w:val="20"/>
          <w:szCs w:val="20"/>
        </w:rPr>
        <w:t>(in thousands of Swiss francs)</w:t>
      </w:r>
    </w:p>
    <w:p w:rsidR="008A4774" w:rsidRPr="0042593C" w:rsidRDefault="008A4774" w:rsidP="008A4774">
      <w:pPr>
        <w:pStyle w:val="NormalWeb"/>
        <w:keepNext/>
        <w:keepLines/>
        <w:spacing w:before="0" w:beforeAutospacing="0" w:after="0" w:afterAutospacing="0"/>
        <w:jc w:val="center"/>
        <w:rPr>
          <w:i/>
          <w:iCs/>
          <w:color w:val="000000"/>
          <w:sz w:val="14"/>
          <w:szCs w:val="20"/>
        </w:rPr>
      </w:pPr>
    </w:p>
    <w:p w:rsidR="008A4774" w:rsidRPr="009022DD" w:rsidRDefault="008A4774" w:rsidP="008A4774">
      <w:pPr>
        <w:jc w:val="center"/>
        <w:rPr>
          <w:rFonts w:cs="Arial"/>
          <w:szCs w:val="20"/>
        </w:rPr>
      </w:pPr>
      <w:r w:rsidRPr="00B003A5">
        <w:rPr>
          <w:noProof/>
        </w:rPr>
        <w:drawing>
          <wp:inline distT="0" distB="0" distL="0" distR="0" wp14:anchorId="37545D3A" wp14:editId="3A895D0D">
            <wp:extent cx="5076967" cy="1065744"/>
            <wp:effectExtent l="0" t="0" r="0" b="1270"/>
            <wp:docPr id="893" name="Picture 8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3">
                      <a:extLst>
                        <a:ext uri="{28A0092B-C50C-407E-A947-70E740481C1C}">
                          <a14:useLocalDpi xmlns:a14="http://schemas.microsoft.com/office/drawing/2010/main" val="0"/>
                        </a:ext>
                      </a:extLst>
                    </a:blip>
                    <a:srcRect/>
                    <a:stretch>
                      <a:fillRect/>
                    </a:stretch>
                  </pic:blipFill>
                  <pic:spPr bwMode="auto">
                    <a:xfrm>
                      <a:off x="0" y="0"/>
                      <a:ext cx="5088747" cy="1068217"/>
                    </a:xfrm>
                    <a:prstGeom prst="rect">
                      <a:avLst/>
                    </a:prstGeom>
                    <a:noFill/>
                    <a:ln>
                      <a:noFill/>
                    </a:ln>
                  </pic:spPr>
                </pic:pic>
              </a:graphicData>
            </a:graphic>
          </wp:inline>
        </w:drawing>
      </w:r>
    </w:p>
    <w:p w:rsidR="008A4774" w:rsidRPr="009022DD" w:rsidRDefault="008A4774" w:rsidP="008A4774">
      <w:pPr>
        <w:jc w:val="both"/>
        <w:rPr>
          <w:rFonts w:cs="Arial"/>
          <w:szCs w:val="20"/>
        </w:rPr>
      </w:pPr>
    </w:p>
    <w:p w:rsidR="008A4774" w:rsidRDefault="008A4774" w:rsidP="008A4774">
      <w:pPr>
        <w:pStyle w:val="NormalWeb"/>
        <w:keepNext/>
        <w:keepLines/>
        <w:spacing w:before="0" w:beforeAutospacing="0" w:after="0" w:afterAutospacing="0"/>
        <w:jc w:val="center"/>
        <w:rPr>
          <w:color w:val="000000"/>
          <w:sz w:val="20"/>
          <w:szCs w:val="20"/>
        </w:rPr>
      </w:pPr>
    </w:p>
    <w:p w:rsidR="008A4774" w:rsidRPr="00462BD5" w:rsidRDefault="008A4774" w:rsidP="008A4774">
      <w:pPr>
        <w:pStyle w:val="NormalWeb"/>
        <w:keepNext/>
        <w:keepLines/>
        <w:spacing w:before="0" w:beforeAutospacing="0" w:after="0" w:afterAutospacing="0"/>
        <w:jc w:val="center"/>
        <w:rPr>
          <w:sz w:val="20"/>
          <w:szCs w:val="20"/>
        </w:rPr>
      </w:pPr>
      <w:r w:rsidRPr="00462BD5">
        <w:rPr>
          <w:color w:val="000000"/>
          <w:sz w:val="20"/>
          <w:szCs w:val="20"/>
        </w:rPr>
        <w:t>Budget and Actual Expenditure (personnel and non-personnel)</w:t>
      </w:r>
    </w:p>
    <w:p w:rsidR="008A4774" w:rsidRDefault="008A4774" w:rsidP="008A4774">
      <w:pPr>
        <w:pStyle w:val="NormalWeb"/>
        <w:keepNext/>
        <w:keepLines/>
        <w:spacing w:before="0" w:beforeAutospacing="0" w:after="0" w:afterAutospacing="0"/>
        <w:jc w:val="center"/>
        <w:rPr>
          <w:i/>
          <w:iCs/>
          <w:color w:val="000000"/>
          <w:sz w:val="20"/>
          <w:szCs w:val="20"/>
        </w:rPr>
      </w:pPr>
      <w:r w:rsidRPr="007D30DE">
        <w:rPr>
          <w:i/>
          <w:iCs/>
          <w:color w:val="000000"/>
          <w:sz w:val="20"/>
          <w:szCs w:val="20"/>
        </w:rPr>
        <w:t>(in thousands of Swiss francs)</w:t>
      </w:r>
    </w:p>
    <w:p w:rsidR="008A4774" w:rsidRPr="0042593C" w:rsidRDefault="008A4774" w:rsidP="008A4774">
      <w:pPr>
        <w:pStyle w:val="NormalWeb"/>
        <w:keepNext/>
        <w:keepLines/>
        <w:spacing w:before="0" w:beforeAutospacing="0" w:after="0" w:afterAutospacing="0"/>
        <w:jc w:val="center"/>
        <w:rPr>
          <w:i/>
          <w:iCs/>
          <w:color w:val="000000"/>
          <w:sz w:val="14"/>
          <w:szCs w:val="20"/>
        </w:rPr>
      </w:pPr>
    </w:p>
    <w:p w:rsidR="008A4774" w:rsidRPr="009022DD" w:rsidRDefault="008A4774" w:rsidP="008A4774">
      <w:pPr>
        <w:widowControl w:val="0"/>
        <w:autoSpaceDE w:val="0"/>
        <w:autoSpaceDN w:val="0"/>
        <w:adjustRightInd w:val="0"/>
        <w:jc w:val="center"/>
        <w:rPr>
          <w:rFonts w:cs="Arial"/>
          <w:szCs w:val="20"/>
        </w:rPr>
      </w:pPr>
      <w:r w:rsidRPr="003A0A39">
        <w:rPr>
          <w:noProof/>
        </w:rPr>
        <w:drawing>
          <wp:inline distT="0" distB="0" distL="0" distR="0" wp14:anchorId="42C3938A" wp14:editId="63FFEA79">
            <wp:extent cx="5104262" cy="982410"/>
            <wp:effectExtent l="0" t="0" r="1270" b="8255"/>
            <wp:docPr id="894" name="Picture 8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4">
                      <a:extLst>
                        <a:ext uri="{28A0092B-C50C-407E-A947-70E740481C1C}">
                          <a14:useLocalDpi xmlns:a14="http://schemas.microsoft.com/office/drawing/2010/main" val="0"/>
                        </a:ext>
                      </a:extLst>
                    </a:blip>
                    <a:srcRect/>
                    <a:stretch>
                      <a:fillRect/>
                    </a:stretch>
                  </pic:blipFill>
                  <pic:spPr bwMode="auto">
                    <a:xfrm>
                      <a:off x="0" y="0"/>
                      <a:ext cx="5104262" cy="982410"/>
                    </a:xfrm>
                    <a:prstGeom prst="rect">
                      <a:avLst/>
                    </a:prstGeom>
                    <a:noFill/>
                    <a:ln>
                      <a:noFill/>
                    </a:ln>
                  </pic:spPr>
                </pic:pic>
              </a:graphicData>
            </a:graphic>
          </wp:inline>
        </w:drawing>
      </w:r>
    </w:p>
    <w:p w:rsidR="008A4774" w:rsidRDefault="008A4774" w:rsidP="008A4774">
      <w:pPr>
        <w:jc w:val="both"/>
        <w:rPr>
          <w:rFonts w:cs="Arial"/>
          <w:szCs w:val="20"/>
        </w:rPr>
      </w:pPr>
    </w:p>
    <w:p w:rsidR="008A4774" w:rsidRDefault="008A4774" w:rsidP="008A4774">
      <w:pPr>
        <w:jc w:val="both"/>
        <w:rPr>
          <w:rFonts w:cs="Arial"/>
          <w:szCs w:val="20"/>
        </w:rPr>
      </w:pPr>
    </w:p>
    <w:p w:rsidR="008A4774" w:rsidRDefault="008A4774" w:rsidP="00F6573D">
      <w:pPr>
        <w:tabs>
          <w:tab w:val="left" w:pos="709"/>
        </w:tabs>
        <w:jc w:val="both"/>
        <w:rPr>
          <w:rFonts w:cs="Arial"/>
          <w:szCs w:val="20"/>
          <w:u w:val="single"/>
        </w:rPr>
      </w:pPr>
      <w:r w:rsidRPr="00462BD5">
        <w:rPr>
          <w:rFonts w:cs="Arial"/>
          <w:szCs w:val="20"/>
        </w:rPr>
        <w:t>A.</w:t>
      </w:r>
      <w:r w:rsidRPr="00462BD5">
        <w:rPr>
          <w:rFonts w:cs="Arial"/>
          <w:szCs w:val="20"/>
        </w:rPr>
        <w:tab/>
      </w:r>
      <w:r w:rsidRPr="003A0A39">
        <w:rPr>
          <w:rFonts w:cs="Arial"/>
          <w:szCs w:val="20"/>
          <w:u w:val="single"/>
        </w:rPr>
        <w:t xml:space="preserve">2014/15 </w:t>
      </w:r>
      <w:r>
        <w:rPr>
          <w:rFonts w:cs="Arial"/>
          <w:szCs w:val="20"/>
          <w:u w:val="single"/>
        </w:rPr>
        <w:t xml:space="preserve">Final </w:t>
      </w:r>
      <w:r w:rsidRPr="003A0A39">
        <w:rPr>
          <w:rFonts w:cs="Arial"/>
          <w:szCs w:val="20"/>
          <w:u w:val="single"/>
        </w:rPr>
        <w:t>Budget</w:t>
      </w:r>
      <w:r w:rsidRPr="00462BD5">
        <w:rPr>
          <w:rFonts w:cs="Arial"/>
          <w:szCs w:val="20"/>
          <w:u w:val="single"/>
        </w:rPr>
        <w:t xml:space="preserve"> after Transfers</w:t>
      </w:r>
    </w:p>
    <w:p w:rsidR="008A4774" w:rsidRDefault="008A4774" w:rsidP="00F6573D">
      <w:pPr>
        <w:tabs>
          <w:tab w:val="left" w:pos="709"/>
        </w:tabs>
        <w:autoSpaceDE w:val="0"/>
        <w:autoSpaceDN w:val="0"/>
        <w:jc w:val="both"/>
        <w:rPr>
          <w:rFonts w:cs="Arial"/>
          <w:szCs w:val="20"/>
          <w:lang w:eastAsia="ko-KR"/>
        </w:rPr>
      </w:pPr>
    </w:p>
    <w:p w:rsidR="008A4774" w:rsidRPr="006165FE" w:rsidRDefault="008A4774" w:rsidP="00F6573D">
      <w:pPr>
        <w:pStyle w:val="ListParagraph"/>
        <w:numPr>
          <w:ilvl w:val="0"/>
          <w:numId w:val="8"/>
        </w:numPr>
        <w:tabs>
          <w:tab w:val="left" w:pos="709"/>
        </w:tabs>
        <w:ind w:left="0" w:firstLine="0"/>
        <w:jc w:val="both"/>
      </w:pPr>
      <w:r w:rsidRPr="006165FE">
        <w:t xml:space="preserve">The increase in the 2014/15 </w:t>
      </w:r>
      <w:r>
        <w:t xml:space="preserve">Final </w:t>
      </w:r>
      <w:r w:rsidRPr="006165FE">
        <w:t xml:space="preserve">Budget after Transfers </w:t>
      </w:r>
      <w:r>
        <w:t>(personnel resources) wa</w:t>
      </w:r>
      <w:r w:rsidRPr="006165FE">
        <w:t xml:space="preserve">s primarily the result of a </w:t>
      </w:r>
      <w:r w:rsidRPr="00054574">
        <w:t xml:space="preserve">transfer of </w:t>
      </w:r>
      <w:r w:rsidRPr="00BA5796">
        <w:t>one post</w:t>
      </w:r>
      <w:r w:rsidRPr="00054574">
        <w:t xml:space="preserve"> into the Program</w:t>
      </w:r>
      <w:r w:rsidRPr="006165FE">
        <w:t xml:space="preserve"> to assist with the deployment </w:t>
      </w:r>
      <w:r>
        <w:t xml:space="preserve">of </w:t>
      </w:r>
      <w:r w:rsidRPr="006165FE">
        <w:t xml:space="preserve">and support </w:t>
      </w:r>
      <w:r>
        <w:t>for</w:t>
      </w:r>
      <w:r w:rsidRPr="006165FE">
        <w:t xml:space="preserve"> WIPO business solutions for IP Offices</w:t>
      </w:r>
      <w:r>
        <w:t xml:space="preserve"> notably regarding software architecture and design as well as for the </w:t>
      </w:r>
      <w:r w:rsidRPr="00CE1FA2">
        <w:rPr>
          <w:rFonts w:cs="Arial"/>
        </w:rPr>
        <w:t>WIPO Copyright Connection</w:t>
      </w:r>
      <w:r>
        <w:rPr>
          <w:rFonts w:cs="Arial"/>
        </w:rPr>
        <w:t xml:space="preserve"> (WCC)</w:t>
      </w:r>
      <w:r w:rsidRPr="00CE1FA2">
        <w:rPr>
          <w:rFonts w:cs="Arial"/>
        </w:rPr>
        <w:t xml:space="preserve"> project</w:t>
      </w:r>
      <w:r w:rsidRPr="006165FE">
        <w:t>.</w:t>
      </w:r>
    </w:p>
    <w:p w:rsidR="008A4774" w:rsidRDefault="008A4774" w:rsidP="00F6573D">
      <w:pPr>
        <w:tabs>
          <w:tab w:val="left" w:pos="709"/>
        </w:tabs>
        <w:autoSpaceDE w:val="0"/>
        <w:autoSpaceDN w:val="0"/>
        <w:jc w:val="both"/>
        <w:rPr>
          <w:rFonts w:cs="Arial"/>
          <w:szCs w:val="20"/>
          <w:lang w:eastAsia="ko-KR"/>
        </w:rPr>
      </w:pPr>
    </w:p>
    <w:p w:rsidR="008A4774" w:rsidRDefault="008A4774" w:rsidP="00F6573D">
      <w:pPr>
        <w:pStyle w:val="ListParagraph"/>
        <w:numPr>
          <w:ilvl w:val="0"/>
          <w:numId w:val="8"/>
        </w:numPr>
        <w:tabs>
          <w:tab w:val="left" w:pos="709"/>
        </w:tabs>
        <w:ind w:left="0" w:firstLine="0"/>
        <w:jc w:val="both"/>
        <w:rPr>
          <w:rFonts w:cs="Arial"/>
          <w:lang w:eastAsia="ko-KR"/>
        </w:rPr>
      </w:pPr>
      <w:r>
        <w:t xml:space="preserve">The slight net increase in non-personnel resources reflects on the one hand (i) the additional resources provided to cover ICT-related costs for TIGAR following the transfer of responsibilities for the ICT component of TIGAR to the Program from Program 3 (Copyright and Related Rights) and, on the other hand, (ii) the transfer of resources from the Program to Program 12 (International Classifications and Standards) to fund </w:t>
      </w:r>
      <w:r>
        <w:rPr>
          <w:rFonts w:cs="Arial"/>
          <w:color w:val="000000"/>
        </w:rPr>
        <w:t>higher than expected costs for the development and hosting of the IPC reclassification database.</w:t>
      </w:r>
      <w:r>
        <w:t xml:space="preserve"> </w:t>
      </w:r>
    </w:p>
    <w:p w:rsidR="008A4774" w:rsidRPr="00B23E73" w:rsidRDefault="008A4774" w:rsidP="00F6573D">
      <w:pPr>
        <w:tabs>
          <w:tab w:val="left" w:pos="709"/>
        </w:tabs>
        <w:autoSpaceDE w:val="0"/>
        <w:autoSpaceDN w:val="0"/>
        <w:jc w:val="both"/>
        <w:rPr>
          <w:rFonts w:cs="Arial"/>
          <w:szCs w:val="20"/>
          <w:lang w:eastAsia="ko-KR"/>
        </w:rPr>
      </w:pPr>
    </w:p>
    <w:p w:rsidR="008A4774" w:rsidRPr="009022DD" w:rsidRDefault="008A4774" w:rsidP="00F6573D">
      <w:pPr>
        <w:tabs>
          <w:tab w:val="left" w:pos="709"/>
        </w:tabs>
        <w:jc w:val="both"/>
        <w:rPr>
          <w:rFonts w:cs="Arial"/>
          <w:szCs w:val="20"/>
          <w:u w:val="single"/>
          <w:lang w:eastAsia="ko-KR"/>
        </w:rPr>
      </w:pPr>
      <w:r w:rsidRPr="009022DD">
        <w:rPr>
          <w:rFonts w:cs="Arial"/>
          <w:szCs w:val="20"/>
          <w:lang w:eastAsia="ko-KR"/>
        </w:rPr>
        <w:t>B.</w:t>
      </w:r>
      <w:r w:rsidRPr="009022DD">
        <w:rPr>
          <w:rFonts w:cs="Arial"/>
          <w:szCs w:val="20"/>
          <w:lang w:eastAsia="ko-KR"/>
        </w:rPr>
        <w:tab/>
      </w:r>
      <w:r w:rsidRPr="003A0A39">
        <w:rPr>
          <w:rFonts w:cs="Arial"/>
          <w:szCs w:val="20"/>
          <w:u w:val="single"/>
          <w:lang w:eastAsia="ko-KR"/>
        </w:rPr>
        <w:t>2014/15</w:t>
      </w:r>
      <w:r w:rsidRPr="0036383A">
        <w:rPr>
          <w:rFonts w:cs="Arial"/>
          <w:szCs w:val="20"/>
          <w:u w:val="single"/>
          <w:lang w:eastAsia="ko-KR"/>
        </w:rPr>
        <w:t xml:space="preserve"> </w:t>
      </w:r>
      <w:r>
        <w:rPr>
          <w:rFonts w:cs="Arial"/>
          <w:szCs w:val="20"/>
          <w:u w:val="single"/>
          <w:lang w:eastAsia="ko-KR"/>
        </w:rPr>
        <w:t>Budget U</w:t>
      </w:r>
      <w:r w:rsidRPr="009022DD">
        <w:rPr>
          <w:rFonts w:cs="Arial"/>
          <w:szCs w:val="20"/>
          <w:u w:val="single"/>
          <w:lang w:eastAsia="ko-KR"/>
        </w:rPr>
        <w:t>tilization</w:t>
      </w:r>
    </w:p>
    <w:p w:rsidR="008A4774" w:rsidRPr="009022DD" w:rsidRDefault="008A4774" w:rsidP="008A4774">
      <w:pPr>
        <w:tabs>
          <w:tab w:val="left" w:pos="709"/>
        </w:tabs>
        <w:jc w:val="both"/>
        <w:rPr>
          <w:rFonts w:cs="Arial"/>
          <w:szCs w:val="20"/>
          <w:u w:val="single"/>
          <w:lang w:eastAsia="ko-KR"/>
        </w:rPr>
      </w:pPr>
    </w:p>
    <w:p w:rsidR="008A4774" w:rsidRPr="001E7E4B" w:rsidRDefault="008A4774" w:rsidP="00E16443">
      <w:pPr>
        <w:pStyle w:val="ListParagraph"/>
        <w:numPr>
          <w:ilvl w:val="0"/>
          <w:numId w:val="8"/>
        </w:numPr>
        <w:tabs>
          <w:tab w:val="left" w:pos="709"/>
        </w:tabs>
        <w:ind w:left="0" w:firstLine="0"/>
        <w:jc w:val="both"/>
      </w:pPr>
      <w:r w:rsidRPr="00BA5796">
        <w:rPr>
          <w:lang w:eastAsia="ko-KR"/>
        </w:rPr>
        <w:t>The budget utilization for non-personnel resources amounted to 91 per cent and reflects the</w:t>
      </w:r>
      <w:r w:rsidRPr="00BA5796">
        <w:t xml:space="preserve"> </w:t>
      </w:r>
      <w:r>
        <w:t xml:space="preserve">finalization of the development phase of the </w:t>
      </w:r>
      <w:r>
        <w:rPr>
          <w:rFonts w:cs="Arial"/>
        </w:rPr>
        <w:t>WCC software platform resulting in its deployment in 2016 rather than the previous biennium as originally planned.</w:t>
      </w:r>
    </w:p>
    <w:p w:rsidR="008A4774" w:rsidRDefault="008A4774"/>
    <w:p w:rsidR="00F27486" w:rsidRPr="009022DD" w:rsidRDefault="00F27486" w:rsidP="00FD7155">
      <w:pPr>
        <w:jc w:val="both"/>
        <w:rPr>
          <w:rFonts w:cs="Arial"/>
          <w:szCs w:val="20"/>
        </w:rPr>
      </w:pPr>
    </w:p>
    <w:p w:rsidR="00DA7475" w:rsidRDefault="00DA7475">
      <w:r>
        <w:br w:type="page"/>
      </w:r>
    </w:p>
    <w:p w:rsidR="00DA7475" w:rsidRDefault="00DA7475" w:rsidP="00C1753F">
      <w:pPr>
        <w:pStyle w:val="StyleHeading214ptAuto"/>
        <w:rPr>
          <w:rFonts w:ascii="Arial" w:hAnsi="Arial" w:cs="Arial"/>
          <w:sz w:val="20"/>
          <w:szCs w:val="20"/>
        </w:rPr>
      </w:pPr>
      <w:bookmarkStart w:id="87" w:name="_Toc454544485"/>
      <w:bookmarkStart w:id="88" w:name="_Toc367350592"/>
      <w:r w:rsidRPr="00E07FBB">
        <w:rPr>
          <w:rFonts w:ascii="Arial" w:hAnsi="Arial" w:cs="Arial"/>
          <w:sz w:val="20"/>
          <w:szCs w:val="20"/>
        </w:rPr>
        <w:lastRenderedPageBreak/>
        <w:t>STRATEGIC GOAL V</w:t>
      </w:r>
      <w:bookmarkEnd w:id="87"/>
      <w:r w:rsidRPr="00E07FBB">
        <w:rPr>
          <w:rFonts w:ascii="Arial" w:hAnsi="Arial" w:cs="Arial"/>
          <w:sz w:val="20"/>
          <w:szCs w:val="20"/>
        </w:rPr>
        <w:t xml:space="preserve"> </w:t>
      </w:r>
    </w:p>
    <w:p w:rsidR="00DA7475" w:rsidRDefault="00DA7475" w:rsidP="003E2D93"/>
    <w:p w:rsidR="00DA7475" w:rsidRPr="003E2D93" w:rsidRDefault="00DA7475" w:rsidP="003E2D93">
      <w:pPr>
        <w:jc w:val="center"/>
      </w:pPr>
      <w:r w:rsidRPr="003E2D93">
        <w:rPr>
          <w:b/>
        </w:rPr>
        <w:t>WORLD REFERENCE SOURCE FOR IP INFORMATION AND ANALYSIS</w:t>
      </w:r>
      <w:bookmarkEnd w:id="88"/>
    </w:p>
    <w:p w:rsidR="00DA7475" w:rsidRPr="00E07FBB" w:rsidRDefault="00DA7475" w:rsidP="003E2D93">
      <w:pPr>
        <w:jc w:val="center"/>
      </w:pPr>
    </w:p>
    <w:p w:rsidR="00206B26" w:rsidRPr="00E07FBB" w:rsidRDefault="00206B26" w:rsidP="00206B26">
      <w:pPr>
        <w:jc w:val="center"/>
      </w:pPr>
    </w:p>
    <w:p w:rsidR="00206B26" w:rsidRPr="00551736" w:rsidRDefault="00206B26" w:rsidP="00206B26">
      <w:pPr>
        <w:jc w:val="center"/>
        <w:rPr>
          <w:b/>
        </w:rPr>
      </w:pPr>
      <w:r>
        <w:rPr>
          <w:b/>
        </w:rPr>
        <w:t>Biennial</w:t>
      </w:r>
      <w:r w:rsidRPr="00551736">
        <w:rPr>
          <w:b/>
        </w:rPr>
        <w:t xml:space="preserve"> Performance Dashboard </w:t>
      </w:r>
    </w:p>
    <w:p w:rsidR="00206B26" w:rsidRDefault="00206B26" w:rsidP="00206B26"/>
    <w:p w:rsidR="00206B26" w:rsidRDefault="00206B26" w:rsidP="00206B26">
      <w:pPr>
        <w:autoSpaceDE w:val="0"/>
        <w:autoSpaceDN w:val="0"/>
        <w:adjustRightInd w:val="0"/>
        <w:jc w:val="both"/>
        <w:rPr>
          <w:rFonts w:cs="Arial"/>
        </w:rPr>
      </w:pPr>
      <w:r>
        <w:rPr>
          <w:rFonts w:cs="Arial"/>
        </w:rPr>
        <w:t xml:space="preserve">The dashboard below provides a summary of the achievements of the expected results in the biennium 2014/15 as measured by the indicators under the Programs contributing to this Strategic Goal.  </w:t>
      </w:r>
    </w:p>
    <w:p w:rsidR="00206B26" w:rsidRDefault="00206B26" w:rsidP="00206B26"/>
    <w:p w:rsidR="00206B26" w:rsidRDefault="00206B26" w:rsidP="00206B26">
      <w:pPr>
        <w:jc w:val="center"/>
      </w:pPr>
      <w:r>
        <w:rPr>
          <w:noProof/>
        </w:rPr>
        <w:drawing>
          <wp:inline distT="0" distB="0" distL="0" distR="0" wp14:anchorId="6BD31FE3" wp14:editId="1D7B31F1">
            <wp:extent cx="5550404" cy="2651760"/>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5">
                      <a:extLst>
                        <a:ext uri="{28A0092B-C50C-407E-A947-70E740481C1C}">
                          <a14:useLocalDpi xmlns:a14="http://schemas.microsoft.com/office/drawing/2010/main" val="0"/>
                        </a:ext>
                      </a:extLst>
                    </a:blip>
                    <a:srcRect/>
                    <a:stretch>
                      <a:fillRect/>
                    </a:stretch>
                  </pic:blipFill>
                  <pic:spPr bwMode="auto">
                    <a:xfrm>
                      <a:off x="0" y="0"/>
                      <a:ext cx="5550404" cy="2651760"/>
                    </a:xfrm>
                    <a:prstGeom prst="rect">
                      <a:avLst/>
                    </a:prstGeom>
                    <a:noFill/>
                  </pic:spPr>
                </pic:pic>
              </a:graphicData>
            </a:graphic>
          </wp:inline>
        </w:drawing>
      </w:r>
    </w:p>
    <w:p w:rsidR="00206B26" w:rsidRPr="00A522FE" w:rsidRDefault="00206B26" w:rsidP="00206B26">
      <w:pPr>
        <w:rPr>
          <w:b/>
          <w:bCs/>
          <w:caps/>
        </w:rPr>
      </w:pPr>
    </w:p>
    <w:tbl>
      <w:tblPr>
        <w:tblW w:w="4942"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2862"/>
        <w:gridCol w:w="4030"/>
        <w:gridCol w:w="1695"/>
        <w:gridCol w:w="873"/>
      </w:tblGrid>
      <w:tr w:rsidR="00206B26" w:rsidRPr="00B35175" w:rsidTr="00547ACE">
        <w:trPr>
          <w:cantSplit/>
          <w:trHeight w:val="605"/>
        </w:trPr>
        <w:tc>
          <w:tcPr>
            <w:tcW w:w="1544" w:type="pct"/>
            <w:tcBorders>
              <w:top w:val="single" w:sz="4" w:space="0" w:color="auto"/>
              <w:bottom w:val="single" w:sz="4" w:space="0" w:color="auto"/>
            </w:tcBorders>
            <w:shd w:val="clear" w:color="auto" w:fill="DAEEF3" w:themeFill="accent5" w:themeFillTint="33"/>
            <w:tcMar>
              <w:top w:w="113" w:type="dxa"/>
              <w:bottom w:w="85" w:type="dxa"/>
            </w:tcMar>
            <w:vAlign w:val="center"/>
          </w:tcPr>
          <w:p w:rsidR="00206B26" w:rsidRPr="00B35175" w:rsidRDefault="00206B26" w:rsidP="00547ACE">
            <w:pPr>
              <w:spacing w:after="120"/>
              <w:rPr>
                <w:rFonts w:cs="Arial"/>
                <w:b/>
                <w:bCs/>
                <w:sz w:val="18"/>
                <w:szCs w:val="18"/>
              </w:rPr>
            </w:pPr>
            <w:r w:rsidRPr="00B35175">
              <w:rPr>
                <w:rFonts w:cs="Arial"/>
                <w:b/>
                <w:bCs/>
                <w:sz w:val="18"/>
                <w:szCs w:val="18"/>
              </w:rPr>
              <w:t>Expected Results</w:t>
            </w:r>
          </w:p>
        </w:tc>
        <w:tc>
          <w:tcPr>
            <w:tcW w:w="2161" w:type="pct"/>
            <w:tcBorders>
              <w:top w:val="single" w:sz="4" w:space="0" w:color="auto"/>
              <w:bottom w:val="single" w:sz="4" w:space="0" w:color="auto"/>
            </w:tcBorders>
            <w:shd w:val="clear" w:color="auto" w:fill="DAEEF3" w:themeFill="accent5" w:themeFillTint="33"/>
            <w:tcMar>
              <w:top w:w="113" w:type="dxa"/>
              <w:bottom w:w="85" w:type="dxa"/>
            </w:tcMar>
            <w:vAlign w:val="center"/>
          </w:tcPr>
          <w:p w:rsidR="00206B26" w:rsidRPr="00B35175" w:rsidRDefault="00206B26" w:rsidP="00547ACE">
            <w:pPr>
              <w:spacing w:after="120"/>
              <w:rPr>
                <w:rFonts w:cs="Arial"/>
                <w:b/>
                <w:bCs/>
                <w:sz w:val="18"/>
                <w:szCs w:val="18"/>
              </w:rPr>
            </w:pPr>
            <w:r w:rsidRPr="00B35175">
              <w:rPr>
                <w:rFonts w:cs="Arial"/>
                <w:b/>
                <w:bCs/>
                <w:sz w:val="18"/>
                <w:szCs w:val="18"/>
              </w:rPr>
              <w:t>Performance Indicators</w:t>
            </w:r>
          </w:p>
        </w:tc>
        <w:tc>
          <w:tcPr>
            <w:tcW w:w="927" w:type="pct"/>
            <w:tcBorders>
              <w:top w:val="single" w:sz="4" w:space="0" w:color="auto"/>
              <w:bottom w:val="single" w:sz="4" w:space="0" w:color="auto"/>
            </w:tcBorders>
            <w:shd w:val="clear" w:color="auto" w:fill="DAEEF3" w:themeFill="accent5" w:themeFillTint="33"/>
            <w:tcMar>
              <w:top w:w="113" w:type="dxa"/>
              <w:bottom w:w="85" w:type="dxa"/>
            </w:tcMar>
            <w:vAlign w:val="center"/>
          </w:tcPr>
          <w:p w:rsidR="00206B26" w:rsidRPr="00B35175" w:rsidRDefault="00206B26" w:rsidP="00547ACE">
            <w:pPr>
              <w:spacing w:after="120"/>
              <w:ind w:left="85"/>
              <w:jc w:val="center"/>
              <w:rPr>
                <w:rFonts w:cs="Arial"/>
                <w:b/>
                <w:bCs/>
                <w:sz w:val="18"/>
                <w:szCs w:val="18"/>
              </w:rPr>
            </w:pPr>
            <w:r w:rsidRPr="00B35175">
              <w:rPr>
                <w:rFonts w:cs="Arial"/>
                <w:b/>
                <w:bCs/>
                <w:sz w:val="18"/>
                <w:szCs w:val="18"/>
              </w:rPr>
              <w:t>Responsible Program(s)</w:t>
            </w:r>
          </w:p>
        </w:tc>
        <w:tc>
          <w:tcPr>
            <w:tcW w:w="368" w:type="pct"/>
            <w:tcBorders>
              <w:top w:val="single" w:sz="4" w:space="0" w:color="auto"/>
              <w:bottom w:val="single" w:sz="4" w:space="0" w:color="auto"/>
            </w:tcBorders>
            <w:shd w:val="clear" w:color="auto" w:fill="DAEEF3" w:themeFill="accent5" w:themeFillTint="33"/>
            <w:vAlign w:val="center"/>
          </w:tcPr>
          <w:p w:rsidR="00206B26" w:rsidRPr="00B35175" w:rsidRDefault="00206B26" w:rsidP="00547ACE">
            <w:pPr>
              <w:spacing w:after="120"/>
              <w:ind w:left="85"/>
              <w:jc w:val="center"/>
              <w:rPr>
                <w:rFonts w:cs="Arial"/>
                <w:b/>
                <w:bCs/>
                <w:sz w:val="18"/>
                <w:szCs w:val="18"/>
              </w:rPr>
            </w:pPr>
            <w:r>
              <w:rPr>
                <w:rFonts w:cs="Arial"/>
                <w:b/>
                <w:bCs/>
                <w:sz w:val="18"/>
                <w:szCs w:val="18"/>
              </w:rPr>
              <w:t>TLS</w:t>
            </w:r>
          </w:p>
        </w:tc>
      </w:tr>
      <w:tr w:rsidR="00206B26" w:rsidRPr="00AF5E7C" w:rsidTr="00547ACE">
        <w:trPr>
          <w:cantSplit/>
        </w:trPr>
        <w:tc>
          <w:tcPr>
            <w:tcW w:w="1544" w:type="pct"/>
            <w:tcBorders>
              <w:top w:val="single" w:sz="4" w:space="0" w:color="auto"/>
            </w:tcBorders>
            <w:shd w:val="clear" w:color="auto" w:fill="auto"/>
            <w:tcMar>
              <w:top w:w="113" w:type="dxa"/>
              <w:bottom w:w="85" w:type="dxa"/>
            </w:tcMar>
          </w:tcPr>
          <w:p w:rsidR="00206B26" w:rsidRPr="00A020B6" w:rsidRDefault="00206B26" w:rsidP="00547ACE">
            <w:pPr>
              <w:rPr>
                <w:rFonts w:cs="Arial"/>
                <w:sz w:val="16"/>
                <w:szCs w:val="16"/>
              </w:rPr>
            </w:pPr>
            <w:r w:rsidRPr="00A020B6">
              <w:rPr>
                <w:rFonts w:cs="Arial"/>
                <w:sz w:val="16"/>
                <w:szCs w:val="16"/>
              </w:rPr>
              <w:t>V.</w:t>
            </w:r>
            <w:r w:rsidRPr="0067218E">
              <w:rPr>
                <w:rFonts w:cs="Arial"/>
                <w:sz w:val="16"/>
                <w:szCs w:val="16"/>
              </w:rPr>
              <w:t xml:space="preserve">1 </w:t>
            </w:r>
            <w:r>
              <w:rPr>
                <w:rFonts w:cs="Arial"/>
                <w:sz w:val="16"/>
                <w:szCs w:val="16"/>
              </w:rPr>
              <w:t xml:space="preserve"> </w:t>
            </w:r>
            <w:r w:rsidRPr="0067218E">
              <w:rPr>
                <w:rFonts w:cs="Arial"/>
                <w:sz w:val="16"/>
                <w:szCs w:val="16"/>
              </w:rPr>
              <w:t>Wider and better use of WIPO IP statistical information</w:t>
            </w:r>
          </w:p>
        </w:tc>
        <w:tc>
          <w:tcPr>
            <w:tcW w:w="2161" w:type="pct"/>
            <w:tcBorders>
              <w:top w:val="single" w:sz="4" w:space="0" w:color="auto"/>
            </w:tcBorders>
            <w:shd w:val="clear" w:color="auto" w:fill="auto"/>
            <w:tcMar>
              <w:top w:w="113" w:type="dxa"/>
              <w:bottom w:w="85" w:type="dxa"/>
            </w:tcMar>
          </w:tcPr>
          <w:p w:rsidR="00206B26" w:rsidRPr="00A020B6" w:rsidRDefault="00206B26" w:rsidP="00547ACE">
            <w:pPr>
              <w:rPr>
                <w:rFonts w:cs="Arial"/>
                <w:sz w:val="16"/>
                <w:szCs w:val="16"/>
              </w:rPr>
            </w:pPr>
            <w:r w:rsidRPr="00A020B6">
              <w:rPr>
                <w:rFonts w:cs="Arial"/>
                <w:sz w:val="16"/>
                <w:szCs w:val="16"/>
              </w:rPr>
              <w:t>N</w:t>
            </w:r>
            <w:r>
              <w:rPr>
                <w:rFonts w:cs="Arial"/>
                <w:sz w:val="16"/>
                <w:szCs w:val="16"/>
              </w:rPr>
              <w:t>o.</w:t>
            </w:r>
            <w:r w:rsidRPr="00A020B6">
              <w:rPr>
                <w:rFonts w:cs="Arial"/>
                <w:sz w:val="16"/>
                <w:szCs w:val="16"/>
              </w:rPr>
              <w:t xml:space="preserve"> of downloads of four main statistical reports (WIPI and PCT, Hague, Madrid Yearly Reviews)</w:t>
            </w:r>
          </w:p>
        </w:tc>
        <w:tc>
          <w:tcPr>
            <w:tcW w:w="927" w:type="pct"/>
            <w:tcBorders>
              <w:top w:val="single" w:sz="4" w:space="0" w:color="auto"/>
            </w:tcBorders>
            <w:shd w:val="clear" w:color="auto" w:fill="FFFFFF"/>
            <w:tcMar>
              <w:top w:w="113" w:type="dxa"/>
              <w:bottom w:w="85" w:type="dxa"/>
            </w:tcMar>
          </w:tcPr>
          <w:p w:rsidR="00206B26" w:rsidRPr="00AF5E7C" w:rsidRDefault="00206B26" w:rsidP="00547ACE">
            <w:pPr>
              <w:jc w:val="center"/>
              <w:rPr>
                <w:rFonts w:cs="Arial"/>
                <w:sz w:val="16"/>
                <w:szCs w:val="16"/>
                <w:lang w:bidi="th-TH"/>
              </w:rPr>
            </w:pPr>
            <w:r>
              <w:rPr>
                <w:rFonts w:cs="Arial"/>
                <w:sz w:val="16"/>
                <w:szCs w:val="16"/>
                <w:lang w:bidi="th-TH"/>
              </w:rPr>
              <w:t>Program 16</w:t>
            </w:r>
          </w:p>
        </w:tc>
        <w:tc>
          <w:tcPr>
            <w:tcW w:w="368" w:type="pct"/>
            <w:tcBorders>
              <w:top w:val="single" w:sz="4" w:space="0" w:color="auto"/>
            </w:tcBorders>
            <w:shd w:val="clear" w:color="auto" w:fill="FFFFFF"/>
          </w:tcPr>
          <w:p w:rsidR="00206B26" w:rsidRPr="00CC3F44" w:rsidRDefault="00206B26" w:rsidP="00547ACE">
            <w:pPr>
              <w:jc w:val="center"/>
              <w:rPr>
                <w:rFonts w:cs="Arial"/>
                <w:color w:val="A6A6A6" w:themeColor="background1" w:themeShade="A6"/>
                <w:sz w:val="22"/>
                <w:szCs w:val="22"/>
              </w:rPr>
            </w:pPr>
            <w:r w:rsidRPr="00CC3F44">
              <w:rPr>
                <w:rFonts w:cs="Arial"/>
                <w:color w:val="008000"/>
                <w:sz w:val="22"/>
                <w:szCs w:val="22"/>
              </w:rPr>
              <w:sym w:font="Wingdings" w:char="F06C"/>
            </w:r>
            <w:r w:rsidRPr="00CC3F44">
              <w:rPr>
                <w:rFonts w:cs="Arial"/>
                <w:color w:val="A6A6A6" w:themeColor="background1" w:themeShade="A6"/>
                <w:sz w:val="22"/>
                <w:szCs w:val="22"/>
              </w:rPr>
              <w:sym w:font="Wingdings" w:char="F06C"/>
            </w:r>
            <w:r w:rsidRPr="00CC3F44">
              <w:rPr>
                <w:rFonts w:cs="Arial"/>
                <w:color w:val="A6A6A6" w:themeColor="background1" w:themeShade="A6"/>
                <w:sz w:val="22"/>
                <w:szCs w:val="22"/>
              </w:rPr>
              <w:sym w:font="Wingdings" w:char="F06C"/>
            </w:r>
            <w:r w:rsidRPr="00CC3F44">
              <w:rPr>
                <w:rFonts w:cs="Arial"/>
                <w:color w:val="A6A6A6" w:themeColor="background1" w:themeShade="A6"/>
                <w:sz w:val="22"/>
                <w:szCs w:val="22"/>
              </w:rPr>
              <w:sym w:font="Wingdings" w:char="F06C"/>
            </w:r>
          </w:p>
        </w:tc>
      </w:tr>
      <w:tr w:rsidR="00206B26" w:rsidRPr="00AF5E7C" w:rsidTr="00547ACE">
        <w:trPr>
          <w:cantSplit/>
          <w:trHeight w:val="319"/>
        </w:trPr>
        <w:tc>
          <w:tcPr>
            <w:tcW w:w="1544" w:type="pct"/>
            <w:shd w:val="clear" w:color="auto" w:fill="auto"/>
            <w:tcMar>
              <w:top w:w="113" w:type="dxa"/>
              <w:bottom w:w="85" w:type="dxa"/>
            </w:tcMar>
          </w:tcPr>
          <w:p w:rsidR="00206B26" w:rsidRPr="00AF5E7C" w:rsidRDefault="00206B26" w:rsidP="00547ACE">
            <w:pPr>
              <w:rPr>
                <w:rFonts w:cs="Arial"/>
                <w:sz w:val="16"/>
                <w:szCs w:val="16"/>
              </w:rPr>
            </w:pPr>
          </w:p>
        </w:tc>
        <w:tc>
          <w:tcPr>
            <w:tcW w:w="2161" w:type="pct"/>
            <w:shd w:val="clear" w:color="auto" w:fill="auto"/>
            <w:tcMar>
              <w:top w:w="113" w:type="dxa"/>
              <w:bottom w:w="85" w:type="dxa"/>
            </w:tcMar>
          </w:tcPr>
          <w:p w:rsidR="00206B26" w:rsidRPr="00A020B6" w:rsidRDefault="00206B26" w:rsidP="00547ACE">
            <w:pPr>
              <w:rPr>
                <w:rFonts w:cs="Arial"/>
                <w:sz w:val="16"/>
                <w:szCs w:val="16"/>
              </w:rPr>
            </w:pPr>
            <w:r w:rsidRPr="00A020B6">
              <w:rPr>
                <w:rFonts w:cs="Arial"/>
                <w:sz w:val="16"/>
                <w:szCs w:val="16"/>
              </w:rPr>
              <w:t>N</w:t>
            </w:r>
            <w:r>
              <w:rPr>
                <w:rFonts w:cs="Arial"/>
                <w:sz w:val="16"/>
                <w:szCs w:val="16"/>
              </w:rPr>
              <w:t>o.</w:t>
            </w:r>
            <w:r w:rsidRPr="00A020B6">
              <w:rPr>
                <w:rFonts w:cs="Arial"/>
                <w:sz w:val="16"/>
                <w:szCs w:val="16"/>
              </w:rPr>
              <w:t xml:space="preserve"> of visitors using IP Statistics data Center</w:t>
            </w:r>
          </w:p>
        </w:tc>
        <w:tc>
          <w:tcPr>
            <w:tcW w:w="927" w:type="pct"/>
            <w:shd w:val="clear" w:color="auto" w:fill="FFFFFF"/>
            <w:tcMar>
              <w:top w:w="113" w:type="dxa"/>
              <w:bottom w:w="85" w:type="dxa"/>
            </w:tcMar>
          </w:tcPr>
          <w:p w:rsidR="00206B26" w:rsidRPr="00AF5E7C" w:rsidRDefault="00206B26" w:rsidP="00547ACE">
            <w:pPr>
              <w:jc w:val="center"/>
              <w:rPr>
                <w:rFonts w:cs="Arial"/>
                <w:sz w:val="16"/>
                <w:szCs w:val="16"/>
                <w:lang w:bidi="th-TH"/>
              </w:rPr>
            </w:pPr>
            <w:r>
              <w:rPr>
                <w:rFonts w:cs="Arial"/>
                <w:sz w:val="16"/>
                <w:szCs w:val="16"/>
                <w:lang w:bidi="th-TH"/>
              </w:rPr>
              <w:t>Program 16</w:t>
            </w:r>
          </w:p>
        </w:tc>
        <w:tc>
          <w:tcPr>
            <w:tcW w:w="368" w:type="pct"/>
            <w:shd w:val="clear" w:color="auto" w:fill="FFFFFF"/>
          </w:tcPr>
          <w:p w:rsidR="00206B26" w:rsidRPr="00CC3F44" w:rsidRDefault="00206B26" w:rsidP="00547ACE">
            <w:pPr>
              <w:jc w:val="center"/>
            </w:pPr>
            <w:r w:rsidRPr="00CC3F44">
              <w:rPr>
                <w:rFonts w:cs="Arial"/>
                <w:color w:val="008000"/>
                <w:sz w:val="22"/>
                <w:szCs w:val="22"/>
              </w:rPr>
              <w:sym w:font="Wingdings" w:char="F06C"/>
            </w:r>
          </w:p>
        </w:tc>
      </w:tr>
      <w:tr w:rsidR="00206B26" w:rsidRPr="00AF5E7C" w:rsidTr="00547ACE">
        <w:trPr>
          <w:cantSplit/>
          <w:trHeight w:val="526"/>
        </w:trPr>
        <w:tc>
          <w:tcPr>
            <w:tcW w:w="1544" w:type="pct"/>
            <w:shd w:val="clear" w:color="auto" w:fill="auto"/>
            <w:tcMar>
              <w:top w:w="113" w:type="dxa"/>
              <w:bottom w:w="85" w:type="dxa"/>
            </w:tcMar>
          </w:tcPr>
          <w:p w:rsidR="00206B26" w:rsidRPr="004E6BA8" w:rsidRDefault="00206B26" w:rsidP="00547ACE">
            <w:pPr>
              <w:tabs>
                <w:tab w:val="right" w:pos="2835"/>
              </w:tabs>
              <w:spacing w:after="60"/>
              <w:rPr>
                <w:rFonts w:cs="Arial"/>
                <w:sz w:val="15"/>
                <w:szCs w:val="15"/>
              </w:rPr>
            </w:pPr>
            <w:r w:rsidRPr="003E2A85">
              <w:rPr>
                <w:rFonts w:cs="Arial"/>
                <w:sz w:val="16"/>
                <w:szCs w:val="16"/>
              </w:rPr>
              <w:t>V.</w:t>
            </w:r>
            <w:r w:rsidRPr="0067218E">
              <w:rPr>
                <w:rFonts w:cs="Arial"/>
                <w:sz w:val="16"/>
                <w:szCs w:val="16"/>
              </w:rPr>
              <w:t>2</w:t>
            </w:r>
            <w:r w:rsidRPr="0067218E">
              <w:rPr>
                <w:rFonts w:cs="Arial"/>
                <w:sz w:val="15"/>
                <w:szCs w:val="15"/>
              </w:rPr>
              <w:t xml:space="preserve"> </w:t>
            </w:r>
            <w:r>
              <w:rPr>
                <w:rFonts w:cs="Arial"/>
                <w:sz w:val="15"/>
                <w:szCs w:val="15"/>
              </w:rPr>
              <w:t xml:space="preserve"> </w:t>
            </w:r>
            <w:r w:rsidRPr="0067218E">
              <w:rPr>
                <w:rFonts w:cs="Arial"/>
                <w:sz w:val="16"/>
                <w:szCs w:val="16"/>
              </w:rPr>
              <w:t>Wider and better use of WIPO economic analysis in policy formulation</w:t>
            </w:r>
            <w:r w:rsidRPr="00E936DE">
              <w:rPr>
                <w:rFonts w:cs="Arial"/>
                <w:sz w:val="15"/>
                <w:szCs w:val="15"/>
              </w:rPr>
              <w:t xml:space="preserve"> </w:t>
            </w:r>
          </w:p>
        </w:tc>
        <w:tc>
          <w:tcPr>
            <w:tcW w:w="2161" w:type="pct"/>
            <w:shd w:val="clear" w:color="auto" w:fill="auto"/>
            <w:tcMar>
              <w:top w:w="113" w:type="dxa"/>
              <w:bottom w:w="85" w:type="dxa"/>
            </w:tcMar>
          </w:tcPr>
          <w:p w:rsidR="00206B26" w:rsidRPr="003E2A85" w:rsidRDefault="00206B26" w:rsidP="00547ACE">
            <w:pPr>
              <w:rPr>
                <w:rFonts w:cs="Arial"/>
                <w:sz w:val="16"/>
                <w:szCs w:val="16"/>
              </w:rPr>
            </w:pPr>
            <w:r w:rsidRPr="003E2A85">
              <w:rPr>
                <w:rFonts w:cs="Arial"/>
                <w:sz w:val="16"/>
                <w:szCs w:val="16"/>
              </w:rPr>
              <w:t>Use of WIPO economic studies on copyright by governments and NGOs in decision-making</w:t>
            </w:r>
          </w:p>
        </w:tc>
        <w:tc>
          <w:tcPr>
            <w:tcW w:w="927" w:type="pct"/>
            <w:shd w:val="clear" w:color="auto" w:fill="FFFFFF"/>
            <w:tcMar>
              <w:top w:w="113" w:type="dxa"/>
              <w:bottom w:w="85" w:type="dxa"/>
            </w:tcMar>
          </w:tcPr>
          <w:p w:rsidR="00206B26" w:rsidRPr="00AF5E7C" w:rsidRDefault="00206B26" w:rsidP="00547ACE">
            <w:pPr>
              <w:jc w:val="center"/>
              <w:rPr>
                <w:rFonts w:cs="Arial"/>
                <w:sz w:val="16"/>
                <w:szCs w:val="16"/>
                <w:lang w:bidi="th-TH"/>
              </w:rPr>
            </w:pPr>
            <w:r>
              <w:rPr>
                <w:rFonts w:cs="Arial"/>
                <w:sz w:val="16"/>
                <w:szCs w:val="16"/>
                <w:lang w:bidi="th-TH"/>
              </w:rPr>
              <w:t>Program 3</w:t>
            </w:r>
          </w:p>
        </w:tc>
        <w:tc>
          <w:tcPr>
            <w:tcW w:w="368" w:type="pct"/>
            <w:shd w:val="clear" w:color="auto" w:fill="FFFFFF"/>
          </w:tcPr>
          <w:p w:rsidR="00206B26" w:rsidRPr="00CC3F44" w:rsidRDefault="00206B26" w:rsidP="00547ACE">
            <w:pPr>
              <w:spacing w:before="40"/>
              <w:jc w:val="center"/>
            </w:pPr>
            <w:r w:rsidRPr="00CC3F44">
              <w:rPr>
                <w:rFonts w:cs="Arial"/>
                <w:color w:val="008000"/>
                <w:sz w:val="22"/>
                <w:szCs w:val="22"/>
              </w:rPr>
              <w:sym w:font="Wingdings" w:char="F06C"/>
            </w:r>
          </w:p>
        </w:tc>
      </w:tr>
      <w:tr w:rsidR="00206B26" w:rsidRPr="00AF5E7C" w:rsidTr="00547ACE">
        <w:trPr>
          <w:cantSplit/>
          <w:trHeight w:val="607"/>
        </w:trPr>
        <w:tc>
          <w:tcPr>
            <w:tcW w:w="1544" w:type="pct"/>
            <w:shd w:val="clear" w:color="auto" w:fill="auto"/>
            <w:tcMar>
              <w:top w:w="113" w:type="dxa"/>
              <w:bottom w:w="85" w:type="dxa"/>
            </w:tcMar>
          </w:tcPr>
          <w:p w:rsidR="00206B26" w:rsidRPr="00AF5E7C" w:rsidRDefault="00206B26" w:rsidP="00547ACE">
            <w:pPr>
              <w:rPr>
                <w:rFonts w:cs="Arial"/>
                <w:sz w:val="16"/>
                <w:szCs w:val="16"/>
              </w:rPr>
            </w:pPr>
          </w:p>
        </w:tc>
        <w:tc>
          <w:tcPr>
            <w:tcW w:w="2161" w:type="pct"/>
            <w:shd w:val="clear" w:color="auto" w:fill="auto"/>
            <w:tcMar>
              <w:top w:w="113" w:type="dxa"/>
              <w:bottom w:w="85" w:type="dxa"/>
            </w:tcMar>
          </w:tcPr>
          <w:p w:rsidR="00206B26" w:rsidRPr="003E2A85" w:rsidRDefault="00206B26" w:rsidP="00547ACE">
            <w:pPr>
              <w:rPr>
                <w:rFonts w:cs="Arial"/>
                <w:sz w:val="16"/>
                <w:szCs w:val="16"/>
              </w:rPr>
            </w:pPr>
            <w:r w:rsidRPr="003E2A85">
              <w:rPr>
                <w:rFonts w:cs="Arial"/>
                <w:sz w:val="16"/>
                <w:szCs w:val="16"/>
              </w:rPr>
              <w:t>National initiatives to develop further statistics on the creative industries based upon WIPO’s work in the field</w:t>
            </w:r>
          </w:p>
        </w:tc>
        <w:tc>
          <w:tcPr>
            <w:tcW w:w="927" w:type="pct"/>
            <w:shd w:val="clear" w:color="auto" w:fill="FFFFFF"/>
            <w:tcMar>
              <w:top w:w="113" w:type="dxa"/>
              <w:bottom w:w="85" w:type="dxa"/>
            </w:tcMar>
          </w:tcPr>
          <w:p w:rsidR="00206B26" w:rsidRPr="00AF5E7C" w:rsidRDefault="00206B26" w:rsidP="00547ACE">
            <w:pPr>
              <w:jc w:val="center"/>
              <w:rPr>
                <w:rFonts w:cs="Arial"/>
                <w:sz w:val="16"/>
                <w:szCs w:val="16"/>
                <w:lang w:bidi="th-TH"/>
              </w:rPr>
            </w:pPr>
            <w:r>
              <w:rPr>
                <w:rFonts w:cs="Arial"/>
                <w:sz w:val="16"/>
                <w:szCs w:val="16"/>
                <w:lang w:bidi="th-TH"/>
              </w:rPr>
              <w:t>Program 3</w:t>
            </w:r>
          </w:p>
        </w:tc>
        <w:tc>
          <w:tcPr>
            <w:tcW w:w="368" w:type="pct"/>
            <w:shd w:val="clear" w:color="auto" w:fill="FFFFFF"/>
          </w:tcPr>
          <w:p w:rsidR="00206B26" w:rsidRPr="00CC3F44" w:rsidRDefault="00206B26" w:rsidP="00547ACE">
            <w:pPr>
              <w:spacing w:before="40"/>
              <w:jc w:val="center"/>
              <w:rPr>
                <w:color w:val="E26B0A"/>
              </w:rPr>
            </w:pPr>
            <w:r w:rsidRPr="00CC3F44">
              <w:rPr>
                <w:rFonts w:cs="Arial"/>
                <w:sz w:val="22"/>
                <w:szCs w:val="22"/>
              </w:rPr>
              <w:sym w:font="Wingdings" w:char="F06C"/>
            </w:r>
          </w:p>
        </w:tc>
      </w:tr>
      <w:tr w:rsidR="00206B26" w:rsidRPr="00AF5E7C" w:rsidTr="00547ACE">
        <w:trPr>
          <w:cantSplit/>
          <w:trHeight w:val="346"/>
        </w:trPr>
        <w:tc>
          <w:tcPr>
            <w:tcW w:w="1544" w:type="pct"/>
            <w:shd w:val="clear" w:color="auto" w:fill="auto"/>
            <w:tcMar>
              <w:top w:w="113" w:type="dxa"/>
              <w:bottom w:w="85" w:type="dxa"/>
            </w:tcMar>
          </w:tcPr>
          <w:p w:rsidR="00206B26" w:rsidRPr="00AF5E7C" w:rsidRDefault="00206B26" w:rsidP="00547ACE">
            <w:pPr>
              <w:rPr>
                <w:rFonts w:cs="Arial"/>
                <w:sz w:val="16"/>
                <w:szCs w:val="16"/>
              </w:rPr>
            </w:pPr>
          </w:p>
        </w:tc>
        <w:tc>
          <w:tcPr>
            <w:tcW w:w="2161" w:type="pct"/>
            <w:shd w:val="clear" w:color="auto" w:fill="auto"/>
            <w:tcMar>
              <w:top w:w="113" w:type="dxa"/>
              <w:bottom w:w="85" w:type="dxa"/>
            </w:tcMar>
          </w:tcPr>
          <w:p w:rsidR="00206B26" w:rsidRPr="00A020B6" w:rsidRDefault="00206B26" w:rsidP="00547ACE">
            <w:pPr>
              <w:rPr>
                <w:rFonts w:cs="Arial"/>
                <w:sz w:val="16"/>
                <w:szCs w:val="16"/>
              </w:rPr>
            </w:pPr>
            <w:r w:rsidRPr="00A020B6">
              <w:rPr>
                <w:rFonts w:cs="Arial"/>
                <w:sz w:val="16"/>
                <w:szCs w:val="16"/>
              </w:rPr>
              <w:t>N</w:t>
            </w:r>
            <w:r>
              <w:rPr>
                <w:rFonts w:cs="Arial"/>
                <w:sz w:val="16"/>
                <w:szCs w:val="16"/>
              </w:rPr>
              <w:t>o.</w:t>
            </w:r>
            <w:r w:rsidRPr="00A020B6">
              <w:rPr>
                <w:rFonts w:cs="Arial"/>
                <w:sz w:val="16"/>
                <w:szCs w:val="16"/>
              </w:rPr>
              <w:t xml:space="preserve"> of downloads of main economic publications</w:t>
            </w:r>
          </w:p>
        </w:tc>
        <w:tc>
          <w:tcPr>
            <w:tcW w:w="927" w:type="pct"/>
            <w:shd w:val="clear" w:color="auto" w:fill="FFFFFF"/>
            <w:tcMar>
              <w:top w:w="113" w:type="dxa"/>
              <w:bottom w:w="85" w:type="dxa"/>
            </w:tcMar>
          </w:tcPr>
          <w:p w:rsidR="00206B26" w:rsidRPr="00AF5E7C" w:rsidRDefault="00206B26" w:rsidP="00547ACE">
            <w:pPr>
              <w:jc w:val="center"/>
              <w:rPr>
                <w:rFonts w:cs="Arial"/>
                <w:sz w:val="16"/>
                <w:szCs w:val="16"/>
                <w:lang w:bidi="th-TH"/>
              </w:rPr>
            </w:pPr>
            <w:r>
              <w:rPr>
                <w:rFonts w:cs="Arial"/>
                <w:sz w:val="16"/>
                <w:szCs w:val="16"/>
                <w:lang w:bidi="th-TH"/>
              </w:rPr>
              <w:t>Program 16</w:t>
            </w:r>
          </w:p>
        </w:tc>
        <w:tc>
          <w:tcPr>
            <w:tcW w:w="368" w:type="pct"/>
            <w:shd w:val="clear" w:color="auto" w:fill="FFFFFF"/>
          </w:tcPr>
          <w:p w:rsidR="00206B26" w:rsidRPr="00CC3F44" w:rsidRDefault="00206B26" w:rsidP="00547ACE">
            <w:pPr>
              <w:jc w:val="center"/>
              <w:rPr>
                <w:rFonts w:cs="Arial"/>
                <w:color w:val="A6A6A6" w:themeColor="background1" w:themeShade="A6"/>
                <w:sz w:val="22"/>
                <w:szCs w:val="22"/>
              </w:rPr>
            </w:pPr>
            <w:r w:rsidRPr="00CC3F44">
              <w:rPr>
                <w:rFonts w:cs="Arial"/>
                <w:color w:val="A6A6A6" w:themeColor="background1" w:themeShade="A6"/>
                <w:sz w:val="22"/>
                <w:szCs w:val="22"/>
              </w:rPr>
              <w:sym w:font="Wingdings" w:char="F06C"/>
            </w:r>
            <w:r w:rsidRPr="00CC3F44">
              <w:rPr>
                <w:rFonts w:cs="Arial"/>
                <w:color w:val="A6A6A6" w:themeColor="background1" w:themeShade="A6"/>
                <w:sz w:val="22"/>
                <w:szCs w:val="22"/>
              </w:rPr>
              <w:sym w:font="Wingdings" w:char="F06C"/>
            </w:r>
          </w:p>
        </w:tc>
      </w:tr>
      <w:tr w:rsidR="00206B26" w:rsidRPr="00AF5E7C" w:rsidTr="00547ACE">
        <w:trPr>
          <w:cantSplit/>
          <w:trHeight w:val="355"/>
        </w:trPr>
        <w:tc>
          <w:tcPr>
            <w:tcW w:w="1544" w:type="pct"/>
            <w:shd w:val="clear" w:color="auto" w:fill="auto"/>
            <w:tcMar>
              <w:top w:w="113" w:type="dxa"/>
              <w:bottom w:w="85" w:type="dxa"/>
            </w:tcMar>
          </w:tcPr>
          <w:p w:rsidR="00206B26" w:rsidRPr="00AF5E7C" w:rsidRDefault="00206B26" w:rsidP="00547ACE">
            <w:pPr>
              <w:rPr>
                <w:rFonts w:cs="Arial"/>
                <w:sz w:val="16"/>
                <w:szCs w:val="16"/>
              </w:rPr>
            </w:pPr>
          </w:p>
        </w:tc>
        <w:tc>
          <w:tcPr>
            <w:tcW w:w="2161" w:type="pct"/>
            <w:shd w:val="clear" w:color="auto" w:fill="auto"/>
            <w:tcMar>
              <w:top w:w="113" w:type="dxa"/>
              <w:bottom w:w="85" w:type="dxa"/>
            </w:tcMar>
          </w:tcPr>
          <w:p w:rsidR="00206B26" w:rsidRPr="00A020B6" w:rsidRDefault="00206B26" w:rsidP="00547ACE">
            <w:pPr>
              <w:rPr>
                <w:rFonts w:cs="Arial"/>
                <w:sz w:val="16"/>
                <w:szCs w:val="16"/>
              </w:rPr>
            </w:pPr>
            <w:r w:rsidRPr="00A020B6">
              <w:rPr>
                <w:rFonts w:cs="Arial"/>
                <w:sz w:val="16"/>
                <w:szCs w:val="16"/>
              </w:rPr>
              <w:t>N</w:t>
            </w:r>
            <w:r>
              <w:rPr>
                <w:rFonts w:cs="Arial"/>
                <w:sz w:val="16"/>
                <w:szCs w:val="16"/>
              </w:rPr>
              <w:t>o.</w:t>
            </w:r>
            <w:r w:rsidRPr="00A020B6">
              <w:rPr>
                <w:rFonts w:cs="Arial"/>
                <w:sz w:val="16"/>
                <w:szCs w:val="16"/>
              </w:rPr>
              <w:t xml:space="preserve"> of downloads of studies</w:t>
            </w:r>
          </w:p>
        </w:tc>
        <w:tc>
          <w:tcPr>
            <w:tcW w:w="927" w:type="pct"/>
            <w:shd w:val="clear" w:color="auto" w:fill="FFFFFF"/>
            <w:tcMar>
              <w:top w:w="113" w:type="dxa"/>
              <w:bottom w:w="85" w:type="dxa"/>
            </w:tcMar>
          </w:tcPr>
          <w:p w:rsidR="00206B26" w:rsidRPr="00AF5E7C" w:rsidRDefault="00206B26" w:rsidP="00547ACE">
            <w:pPr>
              <w:jc w:val="center"/>
              <w:rPr>
                <w:rFonts w:cs="Arial"/>
                <w:sz w:val="16"/>
                <w:szCs w:val="16"/>
                <w:lang w:bidi="th-TH"/>
              </w:rPr>
            </w:pPr>
            <w:r>
              <w:rPr>
                <w:rFonts w:cs="Arial"/>
                <w:sz w:val="16"/>
                <w:szCs w:val="16"/>
                <w:lang w:bidi="th-TH"/>
              </w:rPr>
              <w:t>Program 16</w:t>
            </w:r>
          </w:p>
        </w:tc>
        <w:tc>
          <w:tcPr>
            <w:tcW w:w="368" w:type="pct"/>
            <w:shd w:val="clear" w:color="auto" w:fill="FFFFFF"/>
          </w:tcPr>
          <w:p w:rsidR="00206B26" w:rsidRPr="00CC3F44" w:rsidRDefault="00206B26" w:rsidP="00547ACE">
            <w:pPr>
              <w:jc w:val="center"/>
            </w:pPr>
            <w:r w:rsidRPr="00CC3F44">
              <w:rPr>
                <w:rFonts w:cs="Arial"/>
                <w:color w:val="008000"/>
                <w:sz w:val="22"/>
                <w:szCs w:val="22"/>
              </w:rPr>
              <w:sym w:font="Wingdings" w:char="F06C"/>
            </w:r>
          </w:p>
        </w:tc>
      </w:tr>
      <w:tr w:rsidR="00206B26" w:rsidRPr="00AF5E7C" w:rsidTr="00547ACE">
        <w:trPr>
          <w:cantSplit/>
          <w:trHeight w:val="381"/>
        </w:trPr>
        <w:tc>
          <w:tcPr>
            <w:tcW w:w="1544" w:type="pct"/>
            <w:shd w:val="clear" w:color="auto" w:fill="auto"/>
            <w:tcMar>
              <w:top w:w="113" w:type="dxa"/>
              <w:bottom w:w="85" w:type="dxa"/>
            </w:tcMar>
          </w:tcPr>
          <w:p w:rsidR="00206B26" w:rsidRPr="00AF5E7C" w:rsidRDefault="00206B26" w:rsidP="00547ACE">
            <w:pPr>
              <w:rPr>
                <w:rFonts w:cs="Arial"/>
                <w:sz w:val="16"/>
                <w:szCs w:val="16"/>
              </w:rPr>
            </w:pPr>
          </w:p>
        </w:tc>
        <w:tc>
          <w:tcPr>
            <w:tcW w:w="2161" w:type="pct"/>
            <w:shd w:val="clear" w:color="auto" w:fill="auto"/>
            <w:tcMar>
              <w:top w:w="113" w:type="dxa"/>
              <w:bottom w:w="85" w:type="dxa"/>
            </w:tcMar>
          </w:tcPr>
          <w:p w:rsidR="00206B26" w:rsidRPr="00A020B6" w:rsidRDefault="00206B26" w:rsidP="00547ACE">
            <w:pPr>
              <w:rPr>
                <w:rFonts w:cs="Arial"/>
                <w:sz w:val="16"/>
                <w:szCs w:val="16"/>
              </w:rPr>
            </w:pPr>
            <w:r w:rsidRPr="00A020B6">
              <w:rPr>
                <w:rFonts w:cs="Arial"/>
                <w:sz w:val="16"/>
                <w:szCs w:val="16"/>
              </w:rPr>
              <w:t>N</w:t>
            </w:r>
            <w:r>
              <w:rPr>
                <w:rFonts w:cs="Arial"/>
                <w:sz w:val="16"/>
                <w:szCs w:val="16"/>
              </w:rPr>
              <w:t xml:space="preserve">o. </w:t>
            </w:r>
            <w:r w:rsidRPr="00A020B6">
              <w:rPr>
                <w:rFonts w:cs="Arial"/>
                <w:sz w:val="16"/>
                <w:szCs w:val="16"/>
              </w:rPr>
              <w:t>of downloads of seminars</w:t>
            </w:r>
          </w:p>
        </w:tc>
        <w:tc>
          <w:tcPr>
            <w:tcW w:w="927" w:type="pct"/>
            <w:shd w:val="clear" w:color="auto" w:fill="FFFFFF"/>
            <w:tcMar>
              <w:top w:w="113" w:type="dxa"/>
              <w:bottom w:w="85" w:type="dxa"/>
            </w:tcMar>
          </w:tcPr>
          <w:p w:rsidR="00206B26" w:rsidRPr="00AF5E7C" w:rsidRDefault="00206B26" w:rsidP="00547ACE">
            <w:pPr>
              <w:jc w:val="center"/>
              <w:rPr>
                <w:rFonts w:cs="Arial"/>
                <w:sz w:val="16"/>
                <w:szCs w:val="16"/>
                <w:lang w:bidi="th-TH"/>
              </w:rPr>
            </w:pPr>
            <w:r>
              <w:rPr>
                <w:rFonts w:cs="Arial"/>
                <w:sz w:val="16"/>
                <w:szCs w:val="16"/>
                <w:lang w:bidi="th-TH"/>
              </w:rPr>
              <w:t>Program 16</w:t>
            </w:r>
          </w:p>
        </w:tc>
        <w:tc>
          <w:tcPr>
            <w:tcW w:w="368" w:type="pct"/>
            <w:shd w:val="clear" w:color="auto" w:fill="FFFFFF"/>
          </w:tcPr>
          <w:p w:rsidR="00206B26" w:rsidRPr="00CC3F44" w:rsidRDefault="00206B26" w:rsidP="00547ACE">
            <w:pPr>
              <w:jc w:val="center"/>
            </w:pPr>
            <w:r w:rsidRPr="00CC3F44">
              <w:rPr>
                <w:rFonts w:cs="Arial"/>
                <w:sz w:val="22"/>
                <w:szCs w:val="22"/>
              </w:rPr>
              <w:sym w:font="Wingdings" w:char="F06C"/>
            </w:r>
          </w:p>
        </w:tc>
      </w:tr>
    </w:tbl>
    <w:p w:rsidR="00206B26" w:rsidRPr="00372C42" w:rsidRDefault="00206B26" w:rsidP="00206B26"/>
    <w:p w:rsidR="00206B26" w:rsidRDefault="00206B26" w:rsidP="00206B26"/>
    <w:p w:rsidR="00DA7475" w:rsidRDefault="00DA7475"/>
    <w:p w:rsidR="001562E0" w:rsidRDefault="001562E0">
      <w:pPr>
        <w:rPr>
          <w:rFonts w:cs="Arial"/>
          <w:b/>
          <w:bCs/>
          <w:iCs/>
          <w:sz w:val="22"/>
          <w:szCs w:val="28"/>
        </w:rPr>
      </w:pPr>
      <w:r>
        <w:br w:type="page"/>
      </w:r>
    </w:p>
    <w:p w:rsidR="00E16443" w:rsidRPr="007F6F24" w:rsidRDefault="00E16443" w:rsidP="00B9043D">
      <w:pPr>
        <w:pStyle w:val="Heading2"/>
        <w:tabs>
          <w:tab w:val="clear" w:pos="567"/>
          <w:tab w:val="clear" w:pos="9072"/>
        </w:tabs>
        <w:spacing w:before="240" w:after="60"/>
        <w:ind w:left="1985" w:hanging="1985"/>
        <w:rPr>
          <w:rFonts w:eastAsia="SimSun"/>
          <w:bCs w:val="0"/>
          <w:caps/>
          <w:szCs w:val="22"/>
          <w:lang w:eastAsia="zh-CN"/>
        </w:rPr>
      </w:pPr>
      <w:bookmarkStart w:id="89" w:name="_Toc422210501"/>
      <w:bookmarkStart w:id="90" w:name="_Toc454544486"/>
      <w:bookmarkEnd w:id="0"/>
      <w:r w:rsidRPr="007F6F24">
        <w:rPr>
          <w:rFonts w:eastAsia="SimSun"/>
          <w:bCs w:val="0"/>
          <w:caps/>
          <w:szCs w:val="22"/>
          <w:lang w:eastAsia="zh-CN"/>
        </w:rPr>
        <w:lastRenderedPageBreak/>
        <w:t>PROGRAM 16</w:t>
      </w:r>
      <w:r w:rsidRPr="007F6F24">
        <w:rPr>
          <w:rFonts w:eastAsia="SimSun"/>
          <w:bCs w:val="0"/>
          <w:caps/>
          <w:szCs w:val="22"/>
          <w:lang w:eastAsia="zh-CN"/>
        </w:rPr>
        <w:tab/>
        <w:t>ECONOMICS AND STATISTICS</w:t>
      </w:r>
      <w:bookmarkEnd w:id="89"/>
      <w:bookmarkEnd w:id="90"/>
    </w:p>
    <w:p w:rsidR="00E16443" w:rsidRPr="00383D2D" w:rsidRDefault="00E16443" w:rsidP="00B9043D">
      <w:pPr>
        <w:tabs>
          <w:tab w:val="left" w:pos="1985"/>
        </w:tabs>
        <w:jc w:val="both"/>
        <w:rPr>
          <w:szCs w:val="20"/>
        </w:rPr>
      </w:pPr>
    </w:p>
    <w:p w:rsidR="00E16443" w:rsidRPr="00D35BF7" w:rsidRDefault="00E16443" w:rsidP="00B9043D">
      <w:pPr>
        <w:tabs>
          <w:tab w:val="left" w:pos="1985"/>
        </w:tabs>
        <w:jc w:val="both"/>
        <w:rPr>
          <w:b/>
          <w:szCs w:val="22"/>
        </w:rPr>
      </w:pPr>
      <w:r w:rsidRPr="00D35BF7">
        <w:rPr>
          <w:b/>
          <w:szCs w:val="22"/>
        </w:rPr>
        <w:t>Program Manager</w:t>
      </w:r>
      <w:r w:rsidRPr="00D35BF7">
        <w:rPr>
          <w:b/>
          <w:szCs w:val="22"/>
        </w:rPr>
        <w:tab/>
        <w:t>Director General</w:t>
      </w:r>
    </w:p>
    <w:p w:rsidR="00E16443" w:rsidRPr="008F4A6D" w:rsidRDefault="00E16443" w:rsidP="00B9043D">
      <w:pPr>
        <w:jc w:val="both"/>
        <w:rPr>
          <w:szCs w:val="20"/>
        </w:rPr>
      </w:pPr>
    </w:p>
    <w:p w:rsidR="00E16443" w:rsidRPr="001C6F4D" w:rsidRDefault="00E16443" w:rsidP="00B9043D">
      <w:pPr>
        <w:jc w:val="both"/>
        <w:rPr>
          <w:szCs w:val="20"/>
        </w:rPr>
      </w:pPr>
    </w:p>
    <w:p w:rsidR="00E16443" w:rsidRPr="003E047D" w:rsidRDefault="00E16443" w:rsidP="00B9043D">
      <w:pPr>
        <w:jc w:val="both"/>
        <w:rPr>
          <w:bCs/>
          <w:szCs w:val="22"/>
        </w:rPr>
      </w:pPr>
      <w:r w:rsidRPr="003E047D">
        <w:rPr>
          <w:bCs/>
          <w:szCs w:val="22"/>
        </w:rPr>
        <w:t>ACHIEVEMENTS IN THE 2014/15 BIENNIUM</w:t>
      </w:r>
    </w:p>
    <w:p w:rsidR="00E16443" w:rsidRDefault="00E16443" w:rsidP="00B9043D">
      <w:pPr>
        <w:jc w:val="both"/>
        <w:rPr>
          <w:szCs w:val="20"/>
        </w:rPr>
      </w:pPr>
    </w:p>
    <w:p w:rsidR="00E16443" w:rsidRPr="005B7665" w:rsidRDefault="00E16443" w:rsidP="00E16443">
      <w:pPr>
        <w:pStyle w:val="ListParagraph"/>
        <w:numPr>
          <w:ilvl w:val="0"/>
          <w:numId w:val="17"/>
        </w:numPr>
        <w:tabs>
          <w:tab w:val="left" w:pos="709"/>
        </w:tabs>
        <w:ind w:left="0" w:firstLine="0"/>
        <w:jc w:val="both"/>
      </w:pPr>
      <w:r w:rsidRPr="005B7665">
        <w:t xml:space="preserve">The statistical work undertaken in the 2014/15 biennium fulfilled the objective of providing accurate, comprehensive, and timely statistical information on the performance of the IP system worldwide.  Most importantly, annual statistical surveys of national and regional IP offices were conducted and saw the average number of responses rise to 127 compared to 112 in the previous biennium.  </w:t>
      </w:r>
    </w:p>
    <w:p w:rsidR="00E16443" w:rsidRDefault="00E16443" w:rsidP="00B9043D">
      <w:pPr>
        <w:jc w:val="both"/>
        <w:rPr>
          <w:szCs w:val="20"/>
        </w:rPr>
      </w:pPr>
    </w:p>
    <w:p w:rsidR="00E16443" w:rsidRDefault="00E16443" w:rsidP="00E16443">
      <w:pPr>
        <w:pStyle w:val="ListParagraph"/>
        <w:numPr>
          <w:ilvl w:val="0"/>
          <w:numId w:val="17"/>
        </w:numPr>
        <w:tabs>
          <w:tab w:val="left" w:pos="709"/>
        </w:tabs>
        <w:ind w:left="0" w:firstLine="0"/>
        <w:jc w:val="both"/>
      </w:pPr>
      <w:r>
        <w:t>In addition, a wide range of statistical indicators on the Patent Cooperation Treaty (PCT), the Madrid and the Hague Systems</w:t>
      </w:r>
      <w:r w:rsidDel="007225A3">
        <w:t xml:space="preserve"> </w:t>
      </w:r>
      <w:r>
        <w:t>were assembled</w:t>
      </w:r>
      <w:r w:rsidDel="007225A3">
        <w:t xml:space="preserve"> </w:t>
      </w:r>
      <w:r>
        <w:t>in collaboration with Programs 5, 6 and 31.  As in previous years, statistical collections were made available through a variety of publications and web tools</w:t>
      </w:r>
      <w:r w:rsidR="00F33ED1">
        <w:t xml:space="preserve"> </w:t>
      </w:r>
      <w:r w:rsidR="00F33ED1">
        <w:noBreakHyphen/>
        <w:t xml:space="preserve"> </w:t>
      </w:r>
      <w:r>
        <w:t>notably the annual World IP Indicators and IP Facts and Figures reports; the annual PCT, Madrid, and Hague Yearly Reviews; the IP Statistics Data Center; and the IP Statistical Country Profiles.  Throughout 2014/15, special efforts were made to deepen the analysis of statistical trends on the one hand, and improve the user-friendliness of statistical reporting on the other.  Examples of such efforts are: special themes in statistical reports that explore certain statistical questions in greater depth, a new look for the World IP Indicators that makes it easier for readers to find the information they are looking for, and a short video on key trends in IP use worldwide.  WIPO’s IP statistics and statistical reports continue to be widely used and cited in academic studies, policy reports, media articles and other publications worldwide.</w:t>
      </w:r>
    </w:p>
    <w:p w:rsidR="00E16443" w:rsidRDefault="00E16443" w:rsidP="00B9043D">
      <w:pPr>
        <w:jc w:val="both"/>
        <w:rPr>
          <w:szCs w:val="20"/>
        </w:rPr>
      </w:pPr>
    </w:p>
    <w:p w:rsidR="00E16443" w:rsidRDefault="00E16443" w:rsidP="00E16443">
      <w:pPr>
        <w:pStyle w:val="ListParagraph"/>
        <w:numPr>
          <w:ilvl w:val="0"/>
          <w:numId w:val="17"/>
        </w:numPr>
        <w:tabs>
          <w:tab w:val="left" w:pos="709"/>
        </w:tabs>
        <w:ind w:left="0" w:firstLine="0"/>
        <w:jc w:val="both"/>
      </w:pPr>
      <w:r>
        <w:t>The Program’s economic analysis work also made significant progress towards its objective of promoting high quality analysis addressing economic challenges in the international IP system and assessing the economic effects of IP policy choices.  One major accomplishment was the publication of the third World Intellectual Property Report on Breakthrough Innovation and Economic Growth, which generated over 200 media articles and interest from policymakers and academia worldwide.  In addition, WIPO continued to be a co-publisher of the Global Innovation Index (GII), along with Cornell University and INSEAD.  In 2014/15, for the first time, the GII launches took place outside of Geneva, with the launches co-hosted by the Government of Australia in 2014 and the Government of the United Kingdom in 2015.  News and social media coverage also reached new highs compared to the previous biennium.  The GII is regularly used as an established reference source by national governments, international organizations – including UN organizations – and other stakeholders in the innovation system, as evidenced by citations, data inquiries and requests for advisory services.</w:t>
      </w:r>
    </w:p>
    <w:p w:rsidR="00E16443" w:rsidRDefault="00E16443" w:rsidP="00B9043D">
      <w:pPr>
        <w:jc w:val="both"/>
        <w:rPr>
          <w:szCs w:val="20"/>
        </w:rPr>
      </w:pPr>
    </w:p>
    <w:p w:rsidR="00E16443" w:rsidRDefault="00E16443" w:rsidP="00E16443">
      <w:pPr>
        <w:pStyle w:val="ListParagraph"/>
        <w:numPr>
          <w:ilvl w:val="0"/>
          <w:numId w:val="17"/>
        </w:numPr>
        <w:tabs>
          <w:tab w:val="left" w:pos="709"/>
        </w:tabs>
        <w:ind w:left="0" w:firstLine="0"/>
        <w:jc w:val="both"/>
      </w:pPr>
      <w:r>
        <w:t xml:space="preserve">Significant achievements in the 2014/15 biennium were also made with regard to targeted economic studies to support the work of WIPO committees.  Above all, the Program concluded three Development Agenda (DA) projects on:  (i) IP and socioeconomic development; (ii) IP and the informal economy; and (iii) IP and brain drain.  A second phase of the project on IP and socioeconomic development that takes the underlying study work to new developing countries was also launched in 2015.  In addition, the Program provided inputs into the work of other committees, notably the PCT Working Group and the Standing Committee on the Law of Patents (SCP).  These studies generated empirical evidence that informed the deliberation of policymakers, whether at the national level or among WIPO Member States.  They have also triggered follow-on research activities in academia.  </w:t>
      </w:r>
    </w:p>
    <w:p w:rsidR="00E16443" w:rsidRDefault="00E16443" w:rsidP="00B9043D">
      <w:pPr>
        <w:jc w:val="both"/>
        <w:rPr>
          <w:szCs w:val="20"/>
        </w:rPr>
      </w:pPr>
    </w:p>
    <w:p w:rsidR="00E16443" w:rsidRPr="00D73383" w:rsidRDefault="00E16443" w:rsidP="00E16443">
      <w:pPr>
        <w:pStyle w:val="ListParagraph"/>
        <w:numPr>
          <w:ilvl w:val="0"/>
          <w:numId w:val="17"/>
        </w:numPr>
        <w:tabs>
          <w:tab w:val="left" w:pos="709"/>
        </w:tabs>
        <w:ind w:left="0" w:firstLine="0"/>
        <w:jc w:val="both"/>
        <w:rPr>
          <w:rFonts w:cs="Arial"/>
        </w:rPr>
      </w:pPr>
      <w:r w:rsidRPr="003A63F6">
        <w:t xml:space="preserve">Finally, the Program continued to coordinate a network of IP office economists – open to all IP Offices </w:t>
      </w:r>
      <w:r w:rsidRPr="00617E0D">
        <w:t>with an economic research capacity –</w:t>
      </w:r>
      <w:r w:rsidR="00584365">
        <w:t xml:space="preserve"> </w:t>
      </w:r>
      <w:r w:rsidRPr="00617E0D">
        <w:t>to help</w:t>
      </w:r>
      <w:r w:rsidRPr="00D73383">
        <w:t xml:space="preserve"> foster and facilitate empirical and scientifically rigorous economic research on IP.</w:t>
      </w:r>
      <w:r>
        <w:t xml:space="preserve">  The network experienced growth in the biennium, with four new IP Offices joining, bringing the total number of Offices to 13.</w:t>
      </w:r>
    </w:p>
    <w:p w:rsidR="00E16443" w:rsidRDefault="00E16443" w:rsidP="00B9043D">
      <w:pPr>
        <w:jc w:val="both"/>
        <w:rPr>
          <w:szCs w:val="20"/>
        </w:rPr>
      </w:pPr>
    </w:p>
    <w:p w:rsidR="00E16443" w:rsidRPr="00497BB0" w:rsidRDefault="00E16443" w:rsidP="00B9043D">
      <w:pPr>
        <w:jc w:val="both"/>
        <w:rPr>
          <w:szCs w:val="20"/>
        </w:rPr>
      </w:pPr>
    </w:p>
    <w:p w:rsidR="00E16443" w:rsidRPr="003E047D" w:rsidRDefault="00E16443" w:rsidP="00C25166">
      <w:pPr>
        <w:keepNext/>
        <w:keepLines/>
        <w:rPr>
          <w:rFonts w:cs="Arial"/>
          <w:szCs w:val="22"/>
        </w:rPr>
      </w:pPr>
      <w:r w:rsidRPr="003E047D">
        <w:rPr>
          <w:rFonts w:cs="Arial"/>
          <w:szCs w:val="22"/>
        </w:rPr>
        <w:lastRenderedPageBreak/>
        <w:t>PERFORMANCE DATA</w:t>
      </w:r>
    </w:p>
    <w:p w:rsidR="00E16443" w:rsidRPr="00383D2D" w:rsidRDefault="00E16443" w:rsidP="00C25166">
      <w:pPr>
        <w:keepNext/>
        <w:keepLines/>
        <w:jc w:val="both"/>
        <w:rPr>
          <w:b/>
          <w:szCs w:val="20"/>
        </w:rPr>
      </w:pPr>
    </w:p>
    <w:tbl>
      <w:tblPr>
        <w:tblW w:w="4888"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127"/>
        <w:gridCol w:w="2268"/>
        <w:gridCol w:w="1271"/>
        <w:gridCol w:w="2697"/>
        <w:gridCol w:w="994"/>
      </w:tblGrid>
      <w:tr w:rsidR="00E16443" w:rsidTr="00B9043D">
        <w:trPr>
          <w:cantSplit/>
        </w:trPr>
        <w:tc>
          <w:tcPr>
            <w:tcW w:w="5000" w:type="pct"/>
            <w:gridSpan w:val="5"/>
            <w:tcBorders>
              <w:top w:val="single" w:sz="4" w:space="0" w:color="auto"/>
              <w:bottom w:val="single" w:sz="4" w:space="0" w:color="auto"/>
            </w:tcBorders>
            <w:shd w:val="clear" w:color="auto" w:fill="C6D9F1" w:themeFill="text2" w:themeFillTint="33"/>
            <w:vAlign w:val="center"/>
          </w:tcPr>
          <w:p w:rsidR="00E16443" w:rsidRDefault="00E16443" w:rsidP="00C25166">
            <w:pPr>
              <w:keepNext/>
              <w:keepLines/>
              <w:tabs>
                <w:tab w:val="left" w:pos="1452"/>
              </w:tabs>
              <w:spacing w:before="120" w:after="120"/>
              <w:ind w:left="1452" w:hanging="1452"/>
              <w:rPr>
                <w:rFonts w:cs="Arial"/>
                <w:b/>
                <w:bCs/>
                <w:sz w:val="16"/>
                <w:szCs w:val="16"/>
              </w:rPr>
            </w:pPr>
            <w:r w:rsidRPr="00234BEF">
              <w:rPr>
                <w:rFonts w:cs="Arial"/>
                <w:b/>
                <w:bCs/>
                <w:sz w:val="16"/>
                <w:szCs w:val="16"/>
              </w:rPr>
              <w:t>Expected Result</w:t>
            </w:r>
            <w:r>
              <w:rPr>
                <w:rFonts w:cs="Arial"/>
                <w:b/>
                <w:bCs/>
                <w:sz w:val="16"/>
                <w:szCs w:val="16"/>
              </w:rPr>
              <w:t>:</w:t>
            </w:r>
            <w:r>
              <w:rPr>
                <w:rFonts w:cs="Arial"/>
                <w:b/>
                <w:bCs/>
                <w:sz w:val="16"/>
                <w:szCs w:val="16"/>
              </w:rPr>
              <w:tab/>
            </w:r>
            <w:r w:rsidRPr="00981E14">
              <w:rPr>
                <w:rFonts w:cs="Arial"/>
                <w:sz w:val="16"/>
                <w:szCs w:val="16"/>
              </w:rPr>
              <w:t>V.1 Wider and better use of WIPO IP statistical information</w:t>
            </w:r>
          </w:p>
        </w:tc>
      </w:tr>
      <w:tr w:rsidR="00E16443" w:rsidRPr="008D63A6" w:rsidTr="00B9043D">
        <w:trPr>
          <w:cantSplit/>
        </w:trPr>
        <w:tc>
          <w:tcPr>
            <w:tcW w:w="1137" w:type="pct"/>
            <w:tcBorders>
              <w:top w:val="single" w:sz="4" w:space="0" w:color="auto"/>
            </w:tcBorders>
            <w:shd w:val="clear" w:color="auto" w:fill="auto"/>
            <w:vAlign w:val="center"/>
          </w:tcPr>
          <w:p w:rsidR="00E16443" w:rsidRPr="008D63A6" w:rsidRDefault="00E16443" w:rsidP="00C25166">
            <w:pPr>
              <w:keepNext/>
              <w:keepLines/>
              <w:rPr>
                <w:rFonts w:cs="Arial"/>
                <w:sz w:val="16"/>
                <w:szCs w:val="16"/>
              </w:rPr>
            </w:pPr>
            <w:r w:rsidRPr="008D63A6">
              <w:rPr>
                <w:rFonts w:cs="Arial"/>
                <w:b/>
                <w:bCs/>
                <w:sz w:val="16"/>
                <w:szCs w:val="16"/>
              </w:rPr>
              <w:t>Performance Indicators</w:t>
            </w:r>
          </w:p>
        </w:tc>
        <w:tc>
          <w:tcPr>
            <w:tcW w:w="1212" w:type="pct"/>
            <w:tcBorders>
              <w:top w:val="single" w:sz="4" w:space="0" w:color="auto"/>
            </w:tcBorders>
            <w:shd w:val="clear" w:color="auto" w:fill="auto"/>
            <w:vAlign w:val="center"/>
          </w:tcPr>
          <w:p w:rsidR="00E16443" w:rsidRPr="008D63A6" w:rsidRDefault="00E16443" w:rsidP="00C25166">
            <w:pPr>
              <w:keepNext/>
              <w:keepLines/>
              <w:rPr>
                <w:rFonts w:cs="Arial"/>
                <w:b/>
                <w:bCs/>
                <w:sz w:val="16"/>
                <w:szCs w:val="16"/>
              </w:rPr>
            </w:pPr>
            <w:r w:rsidRPr="008D63A6">
              <w:rPr>
                <w:rFonts w:cs="Arial"/>
                <w:b/>
                <w:bCs/>
                <w:sz w:val="16"/>
                <w:szCs w:val="16"/>
              </w:rPr>
              <w:t>Baselines</w:t>
            </w:r>
          </w:p>
        </w:tc>
        <w:tc>
          <w:tcPr>
            <w:tcW w:w="679" w:type="pct"/>
            <w:tcBorders>
              <w:top w:val="single" w:sz="4" w:space="0" w:color="auto"/>
            </w:tcBorders>
            <w:shd w:val="clear" w:color="auto" w:fill="auto"/>
            <w:tcMar>
              <w:top w:w="110" w:type="dxa"/>
            </w:tcMar>
            <w:vAlign w:val="center"/>
          </w:tcPr>
          <w:p w:rsidR="00E16443" w:rsidRPr="008D63A6" w:rsidRDefault="00E16443" w:rsidP="00C25166">
            <w:pPr>
              <w:keepNext/>
              <w:keepLines/>
              <w:rPr>
                <w:rFonts w:cs="Arial"/>
                <w:b/>
                <w:sz w:val="16"/>
                <w:szCs w:val="16"/>
              </w:rPr>
            </w:pPr>
            <w:r w:rsidRPr="008D63A6">
              <w:rPr>
                <w:rFonts w:cs="Arial"/>
                <w:b/>
                <w:sz w:val="16"/>
                <w:szCs w:val="16"/>
              </w:rPr>
              <w:t>Targets</w:t>
            </w:r>
          </w:p>
        </w:tc>
        <w:tc>
          <w:tcPr>
            <w:tcW w:w="1441" w:type="pct"/>
            <w:tcBorders>
              <w:top w:val="single" w:sz="4" w:space="0" w:color="auto"/>
            </w:tcBorders>
            <w:shd w:val="clear" w:color="auto" w:fill="FFFFFF"/>
            <w:tcMar>
              <w:top w:w="110" w:type="dxa"/>
            </w:tcMar>
            <w:vAlign w:val="center"/>
          </w:tcPr>
          <w:p w:rsidR="00E16443" w:rsidRPr="008D63A6" w:rsidRDefault="00E16443" w:rsidP="00C25166">
            <w:pPr>
              <w:keepNext/>
              <w:keepLines/>
              <w:rPr>
                <w:rFonts w:cs="Arial"/>
                <w:sz w:val="16"/>
                <w:szCs w:val="16"/>
              </w:rPr>
            </w:pPr>
            <w:r w:rsidRPr="008D63A6">
              <w:rPr>
                <w:rFonts w:cs="Arial"/>
                <w:b/>
                <w:bCs/>
                <w:sz w:val="16"/>
                <w:szCs w:val="16"/>
              </w:rPr>
              <w:t>Performance Data</w:t>
            </w:r>
          </w:p>
        </w:tc>
        <w:tc>
          <w:tcPr>
            <w:tcW w:w="531" w:type="pct"/>
            <w:tcBorders>
              <w:top w:val="single" w:sz="4" w:space="0" w:color="auto"/>
            </w:tcBorders>
            <w:shd w:val="clear" w:color="auto" w:fill="auto"/>
            <w:tcMar>
              <w:top w:w="110" w:type="dxa"/>
            </w:tcMar>
            <w:vAlign w:val="center"/>
          </w:tcPr>
          <w:p w:rsidR="00E16443" w:rsidRPr="008D63A6" w:rsidRDefault="00E16443" w:rsidP="00C25166">
            <w:pPr>
              <w:keepNext/>
              <w:keepLines/>
              <w:jc w:val="center"/>
              <w:rPr>
                <w:rFonts w:cs="Arial"/>
                <w:b/>
                <w:bCs/>
                <w:sz w:val="16"/>
                <w:szCs w:val="16"/>
              </w:rPr>
            </w:pPr>
            <w:r w:rsidRPr="008D63A6">
              <w:rPr>
                <w:rFonts w:cs="Arial"/>
                <w:b/>
                <w:bCs/>
                <w:sz w:val="16"/>
                <w:szCs w:val="16"/>
              </w:rPr>
              <w:t>TLS</w:t>
            </w:r>
          </w:p>
        </w:tc>
      </w:tr>
      <w:tr w:rsidR="00E16443" w:rsidTr="00B9043D">
        <w:trPr>
          <w:cantSplit/>
        </w:trPr>
        <w:tc>
          <w:tcPr>
            <w:tcW w:w="1137" w:type="pct"/>
            <w:shd w:val="clear" w:color="auto" w:fill="auto"/>
          </w:tcPr>
          <w:p w:rsidR="00E16443" w:rsidRPr="00746757" w:rsidRDefault="00E16443" w:rsidP="00C25166">
            <w:pPr>
              <w:keepNext/>
              <w:keepLines/>
              <w:rPr>
                <w:rFonts w:cs="Arial"/>
                <w:sz w:val="16"/>
                <w:szCs w:val="16"/>
              </w:rPr>
            </w:pPr>
            <w:r w:rsidRPr="00981E14">
              <w:rPr>
                <w:rFonts w:cs="Arial"/>
                <w:sz w:val="16"/>
                <w:szCs w:val="16"/>
              </w:rPr>
              <w:t>No. of downloads of four main statistical reports (WIPI and PCT, Hague, Madrid Yearly Reviews)</w:t>
            </w:r>
          </w:p>
        </w:tc>
        <w:tc>
          <w:tcPr>
            <w:tcW w:w="1212" w:type="pct"/>
            <w:shd w:val="clear" w:color="auto" w:fill="auto"/>
          </w:tcPr>
          <w:p w:rsidR="00E16443" w:rsidRPr="006C5AA1" w:rsidRDefault="00E16443" w:rsidP="00C25166">
            <w:pPr>
              <w:keepNext/>
              <w:keepLines/>
              <w:rPr>
                <w:rFonts w:cs="Arial"/>
                <w:color w:val="002060"/>
                <w:sz w:val="16"/>
                <w:szCs w:val="16"/>
              </w:rPr>
            </w:pPr>
            <w:r>
              <w:rPr>
                <w:rFonts w:cs="Arial"/>
                <w:i/>
                <w:color w:val="002060"/>
                <w:sz w:val="16"/>
                <w:szCs w:val="16"/>
              </w:rPr>
              <w:t>Updated Baseline end 2013</w:t>
            </w:r>
            <w:r w:rsidRPr="005675B4">
              <w:rPr>
                <w:rFonts w:cs="Arial"/>
                <w:i/>
                <w:color w:val="002060"/>
                <w:sz w:val="16"/>
                <w:szCs w:val="16"/>
              </w:rPr>
              <w:t xml:space="preserve">: </w:t>
            </w:r>
            <w:r w:rsidRPr="006C5AA1">
              <w:rPr>
                <w:rFonts w:cs="Arial"/>
                <w:color w:val="002060"/>
                <w:sz w:val="16"/>
                <w:szCs w:val="16"/>
              </w:rPr>
              <w:t>In 2013, the latest available editions (2012 and 2013 editions) of the World Intellectual Property Indi</w:t>
            </w:r>
            <w:r>
              <w:rPr>
                <w:rFonts w:cs="Arial"/>
                <w:color w:val="002060"/>
                <w:sz w:val="16"/>
                <w:szCs w:val="16"/>
              </w:rPr>
              <w:t xml:space="preserve">cators (publication n°941) </w:t>
            </w:r>
            <w:r w:rsidRPr="006C5AA1">
              <w:rPr>
                <w:rFonts w:cs="Arial"/>
                <w:color w:val="002060"/>
                <w:sz w:val="16"/>
                <w:szCs w:val="16"/>
              </w:rPr>
              <w:t>and WIPO IP Facts and Figures (n°943) were downloaded, altogether, 52,670 times.</w:t>
            </w:r>
          </w:p>
          <w:p w:rsidR="00E16443" w:rsidRDefault="00E16443" w:rsidP="00C25166">
            <w:pPr>
              <w:keepNext/>
              <w:keepLines/>
              <w:spacing w:before="120"/>
              <w:rPr>
                <w:rFonts w:cs="Arial"/>
                <w:sz w:val="16"/>
                <w:szCs w:val="16"/>
              </w:rPr>
            </w:pPr>
            <w:r>
              <w:rPr>
                <w:rFonts w:cs="Arial"/>
                <w:i/>
                <w:sz w:val="16"/>
                <w:szCs w:val="16"/>
              </w:rPr>
              <w:t>Original Baseline P&amp;B 2014/15</w:t>
            </w:r>
            <w:r w:rsidRPr="0027745B">
              <w:rPr>
                <w:rFonts w:cs="Arial"/>
                <w:i/>
                <w:sz w:val="16"/>
                <w:szCs w:val="16"/>
              </w:rPr>
              <w:t>:</w:t>
            </w:r>
            <w:r>
              <w:rPr>
                <w:rFonts w:cs="Arial"/>
                <w:i/>
                <w:sz w:val="16"/>
                <w:szCs w:val="16"/>
              </w:rPr>
              <w:t xml:space="preserve"> </w:t>
            </w:r>
            <w:r w:rsidRPr="00022AC8">
              <w:rPr>
                <w:rFonts w:cs="Arial"/>
                <w:sz w:val="16"/>
                <w:szCs w:val="16"/>
              </w:rPr>
              <w:t>tbd</w:t>
            </w:r>
            <w:r>
              <w:rPr>
                <w:rFonts w:cs="Arial"/>
                <w:i/>
                <w:sz w:val="16"/>
                <w:szCs w:val="16"/>
              </w:rPr>
              <w:t xml:space="preserve"> </w:t>
            </w:r>
            <w:r w:rsidRPr="00845557">
              <w:rPr>
                <w:rFonts w:cs="Arial"/>
                <w:sz w:val="16"/>
                <w:szCs w:val="16"/>
              </w:rPr>
              <w:t>end 2013</w:t>
            </w:r>
          </w:p>
          <w:p w:rsidR="00E16443" w:rsidRPr="00812DE2" w:rsidRDefault="00E16443" w:rsidP="00C25166">
            <w:pPr>
              <w:keepNext/>
              <w:keepLines/>
              <w:rPr>
                <w:rFonts w:cs="Arial"/>
                <w:i/>
                <w:sz w:val="16"/>
                <w:szCs w:val="16"/>
              </w:rPr>
            </w:pPr>
          </w:p>
        </w:tc>
        <w:tc>
          <w:tcPr>
            <w:tcW w:w="679" w:type="pct"/>
            <w:shd w:val="clear" w:color="auto" w:fill="auto"/>
            <w:tcMar>
              <w:top w:w="110" w:type="dxa"/>
            </w:tcMar>
          </w:tcPr>
          <w:p w:rsidR="00E16443" w:rsidRPr="008D63A6" w:rsidRDefault="00E16443" w:rsidP="00C25166">
            <w:pPr>
              <w:keepNext/>
              <w:keepLines/>
              <w:rPr>
                <w:rFonts w:cs="Arial"/>
                <w:i/>
                <w:sz w:val="16"/>
                <w:szCs w:val="16"/>
              </w:rPr>
            </w:pPr>
            <w:r w:rsidRPr="00981E14">
              <w:rPr>
                <w:rFonts w:ascii="ArialMT" w:hAnsi="ArialMT" w:cs="ArialMT"/>
                <w:sz w:val="16"/>
                <w:szCs w:val="16"/>
              </w:rPr>
              <w:t>10% increase in number of downloads and users over 2012/13</w:t>
            </w:r>
          </w:p>
        </w:tc>
        <w:tc>
          <w:tcPr>
            <w:tcW w:w="1441" w:type="pct"/>
            <w:shd w:val="clear" w:color="auto" w:fill="FFFFFF"/>
            <w:tcMar>
              <w:top w:w="110" w:type="dxa"/>
            </w:tcMar>
          </w:tcPr>
          <w:p w:rsidR="00E16443" w:rsidRDefault="00E16443" w:rsidP="00C25166">
            <w:pPr>
              <w:pStyle w:val="ListParagraph"/>
              <w:keepNext/>
              <w:keepLines/>
              <w:ind w:left="11"/>
              <w:rPr>
                <w:rFonts w:cs="Arial"/>
                <w:sz w:val="16"/>
                <w:szCs w:val="16"/>
              </w:rPr>
            </w:pPr>
            <w:r>
              <w:rPr>
                <w:rFonts w:cs="Arial"/>
                <w:sz w:val="16"/>
                <w:szCs w:val="16"/>
              </w:rPr>
              <w:t>In 2014/15, the two most recently published editions (2014 and 2015) of the following reports were downloaded altogether 215,996 times:</w:t>
            </w:r>
          </w:p>
          <w:p w:rsidR="00E16443" w:rsidRDefault="00E16443" w:rsidP="00C25166">
            <w:pPr>
              <w:pStyle w:val="ListParagraph"/>
              <w:keepNext/>
              <w:keepLines/>
              <w:ind w:left="11"/>
              <w:rPr>
                <w:rFonts w:cs="Arial"/>
                <w:sz w:val="16"/>
                <w:szCs w:val="16"/>
              </w:rPr>
            </w:pPr>
          </w:p>
          <w:p w:rsidR="00E16443" w:rsidRPr="00D241CD" w:rsidRDefault="00E16443" w:rsidP="00C25166">
            <w:pPr>
              <w:pStyle w:val="ListParagraph"/>
              <w:keepNext/>
              <w:keepLines/>
              <w:numPr>
                <w:ilvl w:val="0"/>
                <w:numId w:val="16"/>
              </w:numPr>
              <w:rPr>
                <w:rFonts w:cs="Arial"/>
                <w:sz w:val="16"/>
                <w:szCs w:val="16"/>
              </w:rPr>
            </w:pPr>
            <w:r>
              <w:rPr>
                <w:rFonts w:cs="Arial"/>
                <w:sz w:val="16"/>
                <w:szCs w:val="16"/>
              </w:rPr>
              <w:t>The World IP Indicators Report (N</w:t>
            </w:r>
            <w:r w:rsidRPr="000C3D65">
              <w:rPr>
                <w:rFonts w:cs="Arial"/>
                <w:sz w:val="16"/>
                <w:szCs w:val="16"/>
                <w:vertAlign w:val="superscript"/>
              </w:rPr>
              <w:t>o</w:t>
            </w:r>
            <w:r>
              <w:rPr>
                <w:rFonts w:cs="Arial"/>
                <w:sz w:val="16"/>
                <w:szCs w:val="16"/>
              </w:rPr>
              <w:t xml:space="preserve"> 941E/14 and 941E ) and the World IP Facts and Figures Reports </w:t>
            </w:r>
            <w:r w:rsidRPr="00F24307">
              <w:rPr>
                <w:rFonts w:cs="Arial"/>
                <w:sz w:val="16"/>
                <w:szCs w:val="16"/>
              </w:rPr>
              <w:t>(N</w:t>
            </w:r>
            <w:r w:rsidRPr="00F24307">
              <w:rPr>
                <w:rFonts w:cs="Arial"/>
                <w:sz w:val="16"/>
                <w:szCs w:val="16"/>
                <w:vertAlign w:val="superscript"/>
              </w:rPr>
              <w:t>o</w:t>
            </w:r>
            <w:r w:rsidRPr="00F24307">
              <w:rPr>
                <w:rFonts w:cs="Arial"/>
                <w:sz w:val="16"/>
                <w:szCs w:val="16"/>
              </w:rPr>
              <w:t>. 943E/14 and 943E/15)</w:t>
            </w:r>
            <w:r>
              <w:rPr>
                <w:rFonts w:cs="Arial"/>
                <w:sz w:val="16"/>
                <w:szCs w:val="16"/>
              </w:rPr>
              <w:t xml:space="preserve"> were downloaded a total of 124,642 times:</w:t>
            </w:r>
          </w:p>
          <w:p w:rsidR="00E16443" w:rsidRPr="00D241CD" w:rsidRDefault="00E16443" w:rsidP="00C25166">
            <w:pPr>
              <w:pStyle w:val="ListParagraph"/>
              <w:keepNext/>
              <w:keepLines/>
              <w:numPr>
                <w:ilvl w:val="0"/>
                <w:numId w:val="15"/>
              </w:numPr>
              <w:tabs>
                <w:tab w:val="left" w:pos="191"/>
              </w:tabs>
              <w:ind w:left="551"/>
              <w:rPr>
                <w:rFonts w:cs="Arial"/>
                <w:sz w:val="16"/>
                <w:szCs w:val="16"/>
              </w:rPr>
            </w:pPr>
            <w:r>
              <w:rPr>
                <w:rFonts w:cs="Arial"/>
                <w:sz w:val="16"/>
                <w:szCs w:val="16"/>
              </w:rPr>
              <w:t>World IP Indicators (N</w:t>
            </w:r>
            <w:r w:rsidRPr="000C3D65">
              <w:rPr>
                <w:rFonts w:cs="Arial"/>
                <w:sz w:val="16"/>
                <w:szCs w:val="16"/>
                <w:vertAlign w:val="superscript"/>
              </w:rPr>
              <w:t>o</w:t>
            </w:r>
            <w:r>
              <w:rPr>
                <w:rFonts w:cs="Arial"/>
                <w:sz w:val="16"/>
                <w:szCs w:val="16"/>
              </w:rPr>
              <w:t xml:space="preserve"> 941E/14 and 941E):  82,914 times</w:t>
            </w:r>
          </w:p>
          <w:p w:rsidR="00E16443" w:rsidRDefault="00E16443" w:rsidP="00C25166">
            <w:pPr>
              <w:pStyle w:val="ListParagraph"/>
              <w:keepNext/>
              <w:keepLines/>
              <w:numPr>
                <w:ilvl w:val="0"/>
                <w:numId w:val="15"/>
              </w:numPr>
              <w:tabs>
                <w:tab w:val="left" w:pos="191"/>
              </w:tabs>
              <w:ind w:left="551"/>
              <w:rPr>
                <w:rFonts w:cs="Arial"/>
                <w:sz w:val="16"/>
                <w:szCs w:val="16"/>
              </w:rPr>
            </w:pPr>
            <w:r w:rsidRPr="00F24307">
              <w:rPr>
                <w:rFonts w:cs="Arial"/>
                <w:sz w:val="16"/>
                <w:szCs w:val="16"/>
              </w:rPr>
              <w:t>WIPO IP Facts and Figures (N</w:t>
            </w:r>
            <w:r w:rsidRPr="00F24307">
              <w:rPr>
                <w:rFonts w:cs="Arial"/>
                <w:sz w:val="16"/>
                <w:szCs w:val="16"/>
                <w:vertAlign w:val="superscript"/>
              </w:rPr>
              <w:t>o</w:t>
            </w:r>
            <w:r w:rsidRPr="00F24307">
              <w:rPr>
                <w:rFonts w:cs="Arial"/>
                <w:sz w:val="16"/>
                <w:szCs w:val="16"/>
              </w:rPr>
              <w:t>. 943E/14 and 943E/15)</w:t>
            </w:r>
            <w:r>
              <w:rPr>
                <w:rFonts w:cs="Arial"/>
                <w:sz w:val="16"/>
                <w:szCs w:val="16"/>
              </w:rPr>
              <w:t>: 41,728 times</w:t>
            </w:r>
          </w:p>
          <w:p w:rsidR="00E16443" w:rsidRPr="00096DCF" w:rsidRDefault="00E16443" w:rsidP="00C25166">
            <w:pPr>
              <w:pStyle w:val="ListParagraph"/>
              <w:keepNext/>
              <w:keepLines/>
              <w:tabs>
                <w:tab w:val="left" w:pos="191"/>
              </w:tabs>
              <w:ind w:left="11"/>
              <w:rPr>
                <w:rFonts w:cs="Arial"/>
                <w:sz w:val="16"/>
                <w:szCs w:val="16"/>
              </w:rPr>
            </w:pPr>
          </w:p>
          <w:p w:rsidR="00E16443" w:rsidRDefault="00E16443" w:rsidP="00C25166">
            <w:pPr>
              <w:pStyle w:val="ListParagraph"/>
              <w:keepNext/>
              <w:keepLines/>
              <w:numPr>
                <w:ilvl w:val="0"/>
                <w:numId w:val="16"/>
              </w:numPr>
              <w:tabs>
                <w:tab w:val="left" w:pos="191"/>
              </w:tabs>
              <w:rPr>
                <w:rFonts w:cs="Arial"/>
                <w:sz w:val="16"/>
                <w:szCs w:val="16"/>
              </w:rPr>
            </w:pPr>
            <w:r>
              <w:rPr>
                <w:rFonts w:cs="Arial"/>
                <w:sz w:val="16"/>
                <w:szCs w:val="16"/>
              </w:rPr>
              <w:t xml:space="preserve">    PCT Yearly Review (N</w:t>
            </w:r>
            <w:r w:rsidRPr="000C3D65">
              <w:rPr>
                <w:rFonts w:cs="Arial"/>
                <w:sz w:val="16"/>
                <w:szCs w:val="16"/>
                <w:vertAlign w:val="superscript"/>
              </w:rPr>
              <w:t>o</w:t>
            </w:r>
            <w:r>
              <w:rPr>
                <w:rFonts w:cs="Arial"/>
                <w:sz w:val="16"/>
                <w:szCs w:val="16"/>
              </w:rPr>
              <w:t xml:space="preserve">  901E/2014 and 901E/2015): 50,746 downloads</w:t>
            </w:r>
          </w:p>
          <w:p w:rsidR="00E16443" w:rsidRDefault="00E16443" w:rsidP="00C25166">
            <w:pPr>
              <w:pStyle w:val="ListParagraph"/>
              <w:keepNext/>
              <w:keepLines/>
              <w:tabs>
                <w:tab w:val="left" w:pos="191"/>
              </w:tabs>
              <w:ind w:left="11"/>
              <w:rPr>
                <w:rFonts w:cs="Arial"/>
                <w:sz w:val="16"/>
                <w:szCs w:val="16"/>
              </w:rPr>
            </w:pPr>
          </w:p>
          <w:p w:rsidR="00E16443" w:rsidRDefault="00E16443" w:rsidP="00C25166">
            <w:pPr>
              <w:pStyle w:val="ListParagraph"/>
              <w:keepNext/>
              <w:keepLines/>
              <w:numPr>
                <w:ilvl w:val="0"/>
                <w:numId w:val="16"/>
              </w:numPr>
              <w:tabs>
                <w:tab w:val="left" w:pos="191"/>
              </w:tabs>
              <w:rPr>
                <w:rFonts w:cs="Arial"/>
                <w:sz w:val="16"/>
                <w:szCs w:val="16"/>
              </w:rPr>
            </w:pPr>
            <w:r>
              <w:rPr>
                <w:rFonts w:cs="Arial"/>
                <w:sz w:val="16"/>
                <w:szCs w:val="16"/>
              </w:rPr>
              <w:t>Madrid Yearly Review (N</w:t>
            </w:r>
            <w:r w:rsidRPr="000C3D65">
              <w:rPr>
                <w:rFonts w:cs="Arial"/>
                <w:sz w:val="16"/>
                <w:szCs w:val="16"/>
                <w:vertAlign w:val="superscript"/>
              </w:rPr>
              <w:t>o</w:t>
            </w:r>
            <w:r>
              <w:rPr>
                <w:rFonts w:cs="Arial"/>
                <w:sz w:val="16"/>
                <w:szCs w:val="16"/>
              </w:rPr>
              <w:t xml:space="preserve">  940E/14 and 940E/15): 20,281 downloads</w:t>
            </w:r>
          </w:p>
          <w:p w:rsidR="00E16443" w:rsidRPr="00096DCF" w:rsidRDefault="00E16443" w:rsidP="00C25166">
            <w:pPr>
              <w:keepNext/>
              <w:keepLines/>
              <w:tabs>
                <w:tab w:val="left" w:pos="191"/>
              </w:tabs>
              <w:ind w:left="11"/>
              <w:rPr>
                <w:rFonts w:cs="Arial"/>
                <w:sz w:val="16"/>
                <w:szCs w:val="16"/>
              </w:rPr>
            </w:pPr>
          </w:p>
          <w:p w:rsidR="00E16443" w:rsidRDefault="00E16443" w:rsidP="00C25166">
            <w:pPr>
              <w:pStyle w:val="ListParagraph"/>
              <w:keepNext/>
              <w:keepLines/>
              <w:numPr>
                <w:ilvl w:val="0"/>
                <w:numId w:val="16"/>
              </w:numPr>
              <w:tabs>
                <w:tab w:val="left" w:pos="191"/>
              </w:tabs>
              <w:rPr>
                <w:rFonts w:cs="Arial"/>
                <w:sz w:val="16"/>
                <w:szCs w:val="16"/>
              </w:rPr>
            </w:pPr>
            <w:r>
              <w:rPr>
                <w:rFonts w:cs="Arial"/>
                <w:sz w:val="16"/>
                <w:szCs w:val="16"/>
              </w:rPr>
              <w:t>Hague Yearly Review (N</w:t>
            </w:r>
            <w:r w:rsidRPr="000C3D65">
              <w:rPr>
                <w:rFonts w:cs="Arial"/>
                <w:sz w:val="16"/>
                <w:szCs w:val="16"/>
                <w:vertAlign w:val="superscript"/>
              </w:rPr>
              <w:t>o</w:t>
            </w:r>
            <w:r>
              <w:rPr>
                <w:rFonts w:cs="Arial"/>
                <w:sz w:val="16"/>
                <w:szCs w:val="16"/>
              </w:rPr>
              <w:t xml:space="preserve">  930E/14 and 930E15): 20,237 downloads</w:t>
            </w:r>
          </w:p>
          <w:p w:rsidR="00E16443" w:rsidRPr="00096DCF" w:rsidRDefault="00E16443" w:rsidP="00C25166">
            <w:pPr>
              <w:pStyle w:val="ListParagraph"/>
              <w:keepNext/>
              <w:keepLines/>
              <w:tabs>
                <w:tab w:val="left" w:pos="191"/>
              </w:tabs>
              <w:ind w:left="11"/>
              <w:rPr>
                <w:rFonts w:cs="Arial"/>
                <w:sz w:val="16"/>
                <w:szCs w:val="16"/>
              </w:rPr>
            </w:pPr>
          </w:p>
        </w:tc>
        <w:tc>
          <w:tcPr>
            <w:tcW w:w="531" w:type="pct"/>
            <w:shd w:val="clear" w:color="auto" w:fill="auto"/>
            <w:tcMar>
              <w:top w:w="110" w:type="dxa"/>
            </w:tcMar>
          </w:tcPr>
          <w:p w:rsidR="00E16443" w:rsidRDefault="00E16443" w:rsidP="00C25166">
            <w:pPr>
              <w:keepNext/>
              <w:keepLines/>
              <w:jc w:val="center"/>
              <w:rPr>
                <w:rFonts w:cs="Arial"/>
                <w:b/>
                <w:bCs/>
                <w:color w:val="00B050"/>
                <w:sz w:val="16"/>
                <w:szCs w:val="16"/>
              </w:rPr>
            </w:pPr>
          </w:p>
          <w:p w:rsidR="00E16443" w:rsidRDefault="00E16443" w:rsidP="00C25166">
            <w:pPr>
              <w:keepNext/>
              <w:keepLines/>
              <w:jc w:val="center"/>
              <w:rPr>
                <w:rFonts w:cs="Arial"/>
                <w:b/>
                <w:bCs/>
                <w:color w:val="00B050"/>
                <w:sz w:val="16"/>
                <w:szCs w:val="16"/>
              </w:rPr>
            </w:pPr>
          </w:p>
          <w:p w:rsidR="00E16443" w:rsidRDefault="00E16443" w:rsidP="00C25166">
            <w:pPr>
              <w:keepNext/>
              <w:keepLines/>
              <w:jc w:val="center"/>
              <w:rPr>
                <w:rFonts w:cs="Arial"/>
                <w:b/>
                <w:bCs/>
                <w:color w:val="00B050"/>
                <w:sz w:val="16"/>
                <w:szCs w:val="16"/>
              </w:rPr>
            </w:pPr>
          </w:p>
          <w:p w:rsidR="00E16443" w:rsidRDefault="00E16443" w:rsidP="00C25166">
            <w:pPr>
              <w:keepNext/>
              <w:keepLines/>
              <w:jc w:val="center"/>
              <w:rPr>
                <w:rFonts w:cs="Arial"/>
                <w:b/>
                <w:bCs/>
                <w:color w:val="00B050"/>
                <w:sz w:val="16"/>
                <w:szCs w:val="16"/>
              </w:rPr>
            </w:pPr>
          </w:p>
          <w:p w:rsidR="00E16443" w:rsidRDefault="00E16443" w:rsidP="00C25166">
            <w:pPr>
              <w:keepNext/>
              <w:keepLines/>
              <w:jc w:val="center"/>
              <w:rPr>
                <w:rFonts w:cs="Arial"/>
                <w:b/>
                <w:bCs/>
                <w:color w:val="00B050"/>
                <w:sz w:val="16"/>
                <w:szCs w:val="16"/>
              </w:rPr>
            </w:pPr>
          </w:p>
          <w:p w:rsidR="003E16BE" w:rsidRDefault="003E16BE" w:rsidP="00C25166">
            <w:pPr>
              <w:keepNext/>
              <w:keepLines/>
              <w:jc w:val="center"/>
              <w:rPr>
                <w:rFonts w:cs="Arial"/>
                <w:b/>
                <w:bCs/>
                <w:color w:val="00B050"/>
                <w:sz w:val="16"/>
                <w:szCs w:val="16"/>
              </w:rPr>
            </w:pPr>
          </w:p>
          <w:p w:rsidR="00E16443" w:rsidRDefault="00E16443" w:rsidP="00C25166">
            <w:pPr>
              <w:keepNext/>
              <w:keepLines/>
              <w:jc w:val="center"/>
              <w:rPr>
                <w:rFonts w:cs="Arial"/>
                <w:b/>
                <w:bCs/>
                <w:color w:val="00B050"/>
                <w:sz w:val="16"/>
                <w:szCs w:val="16"/>
              </w:rPr>
            </w:pPr>
            <w:r>
              <w:rPr>
                <w:rFonts w:cs="Arial"/>
                <w:b/>
                <w:bCs/>
                <w:color w:val="00B050"/>
                <w:sz w:val="16"/>
                <w:szCs w:val="16"/>
              </w:rPr>
              <w:t xml:space="preserve">Fully </w:t>
            </w:r>
            <w:r w:rsidR="003927FD">
              <w:rPr>
                <w:rFonts w:cs="Arial"/>
                <w:b/>
                <w:bCs/>
                <w:color w:val="00B050"/>
                <w:sz w:val="16"/>
                <w:szCs w:val="16"/>
              </w:rPr>
              <w:t>A</w:t>
            </w:r>
            <w:r>
              <w:rPr>
                <w:rFonts w:cs="Arial"/>
                <w:b/>
                <w:bCs/>
                <w:color w:val="00B050"/>
                <w:sz w:val="16"/>
                <w:szCs w:val="16"/>
              </w:rPr>
              <w:t>chieved</w:t>
            </w:r>
          </w:p>
          <w:p w:rsidR="00E16443" w:rsidRDefault="00E16443" w:rsidP="00C25166">
            <w:pPr>
              <w:keepNext/>
              <w:keepLines/>
              <w:rPr>
                <w:rFonts w:cs="Arial"/>
                <w:b/>
                <w:bCs/>
                <w:color w:val="00B050"/>
                <w:sz w:val="16"/>
                <w:szCs w:val="16"/>
              </w:rPr>
            </w:pPr>
          </w:p>
          <w:p w:rsidR="00E16443" w:rsidRDefault="00E16443" w:rsidP="00C25166">
            <w:pPr>
              <w:keepNext/>
              <w:keepLines/>
              <w:jc w:val="center"/>
              <w:rPr>
                <w:rFonts w:cs="Arial"/>
                <w:b/>
                <w:bCs/>
                <w:color w:val="00B050"/>
                <w:sz w:val="16"/>
                <w:szCs w:val="16"/>
              </w:rPr>
            </w:pPr>
          </w:p>
          <w:p w:rsidR="00E16443" w:rsidRDefault="00E16443" w:rsidP="00C25166">
            <w:pPr>
              <w:keepNext/>
              <w:keepLines/>
              <w:jc w:val="center"/>
              <w:rPr>
                <w:rFonts w:cs="Arial"/>
                <w:b/>
                <w:bCs/>
                <w:color w:val="00B050"/>
                <w:sz w:val="16"/>
                <w:szCs w:val="16"/>
              </w:rPr>
            </w:pPr>
          </w:p>
          <w:p w:rsidR="00E16443" w:rsidRDefault="00E16443" w:rsidP="00C25166">
            <w:pPr>
              <w:keepNext/>
              <w:keepLines/>
              <w:jc w:val="center"/>
              <w:rPr>
                <w:b/>
                <w:bCs/>
                <w:color w:val="808080"/>
                <w:sz w:val="12"/>
                <w:szCs w:val="12"/>
              </w:rPr>
            </w:pPr>
          </w:p>
          <w:p w:rsidR="00E16443" w:rsidRDefault="00E16443" w:rsidP="00C25166">
            <w:pPr>
              <w:keepNext/>
              <w:keepLines/>
              <w:jc w:val="center"/>
              <w:rPr>
                <w:b/>
                <w:bCs/>
                <w:color w:val="808080"/>
                <w:sz w:val="10"/>
                <w:szCs w:val="12"/>
              </w:rPr>
            </w:pPr>
          </w:p>
          <w:p w:rsidR="003E16BE" w:rsidRDefault="003E16BE" w:rsidP="00C25166">
            <w:pPr>
              <w:keepNext/>
              <w:keepLines/>
              <w:jc w:val="center"/>
              <w:rPr>
                <w:b/>
                <w:bCs/>
                <w:color w:val="808080"/>
                <w:sz w:val="10"/>
                <w:szCs w:val="12"/>
              </w:rPr>
            </w:pPr>
          </w:p>
          <w:p w:rsidR="003E16BE" w:rsidRDefault="003E16BE" w:rsidP="00C25166">
            <w:pPr>
              <w:keepNext/>
              <w:keepLines/>
              <w:jc w:val="center"/>
              <w:rPr>
                <w:b/>
                <w:bCs/>
                <w:color w:val="808080"/>
                <w:sz w:val="10"/>
                <w:szCs w:val="12"/>
              </w:rPr>
            </w:pPr>
          </w:p>
          <w:p w:rsidR="003E16BE" w:rsidRDefault="003E16BE" w:rsidP="00C25166">
            <w:pPr>
              <w:keepNext/>
              <w:keepLines/>
              <w:jc w:val="center"/>
              <w:rPr>
                <w:b/>
                <w:bCs/>
                <w:color w:val="808080"/>
                <w:sz w:val="10"/>
                <w:szCs w:val="12"/>
              </w:rPr>
            </w:pPr>
          </w:p>
          <w:p w:rsidR="003E16BE" w:rsidRDefault="003E16BE" w:rsidP="00C25166">
            <w:pPr>
              <w:keepNext/>
              <w:keepLines/>
              <w:jc w:val="center"/>
              <w:rPr>
                <w:b/>
                <w:bCs/>
                <w:color w:val="808080"/>
                <w:sz w:val="10"/>
                <w:szCs w:val="12"/>
              </w:rPr>
            </w:pPr>
          </w:p>
          <w:p w:rsidR="003E16BE" w:rsidRPr="00BA6F3B" w:rsidRDefault="003E16BE" w:rsidP="00C25166">
            <w:pPr>
              <w:keepNext/>
              <w:keepLines/>
              <w:jc w:val="center"/>
              <w:rPr>
                <w:b/>
                <w:bCs/>
                <w:color w:val="808080"/>
                <w:sz w:val="10"/>
                <w:szCs w:val="12"/>
              </w:rPr>
            </w:pPr>
          </w:p>
          <w:p w:rsidR="00E16443" w:rsidRPr="00BA6F3B" w:rsidRDefault="00E16443" w:rsidP="00C25166">
            <w:pPr>
              <w:keepNext/>
              <w:keepLines/>
              <w:jc w:val="center"/>
              <w:rPr>
                <w:b/>
                <w:bCs/>
                <w:color w:val="808080"/>
                <w:sz w:val="10"/>
                <w:szCs w:val="12"/>
              </w:rPr>
            </w:pPr>
          </w:p>
          <w:p w:rsidR="00E16443" w:rsidRPr="00BA6F3B" w:rsidRDefault="00E16443" w:rsidP="00C25166">
            <w:pPr>
              <w:keepNext/>
              <w:keepLines/>
              <w:jc w:val="center"/>
              <w:rPr>
                <w:b/>
                <w:bCs/>
                <w:color w:val="808080"/>
                <w:sz w:val="10"/>
                <w:szCs w:val="12"/>
              </w:rPr>
            </w:pPr>
          </w:p>
          <w:p w:rsidR="00E16443" w:rsidRPr="00BA6F3B" w:rsidRDefault="00E16443" w:rsidP="00C25166">
            <w:pPr>
              <w:keepNext/>
              <w:keepLines/>
              <w:jc w:val="center"/>
              <w:rPr>
                <w:b/>
                <w:bCs/>
                <w:color w:val="808080"/>
                <w:sz w:val="10"/>
                <w:szCs w:val="12"/>
              </w:rPr>
            </w:pPr>
          </w:p>
          <w:p w:rsidR="00E16443" w:rsidRPr="00BA6F3B" w:rsidRDefault="00E16443" w:rsidP="00C25166">
            <w:pPr>
              <w:keepNext/>
              <w:keepLines/>
              <w:jc w:val="center"/>
              <w:rPr>
                <w:b/>
                <w:bCs/>
                <w:color w:val="808080"/>
                <w:sz w:val="10"/>
                <w:szCs w:val="12"/>
              </w:rPr>
            </w:pPr>
          </w:p>
          <w:p w:rsidR="00E16443" w:rsidRPr="00BA6F3B" w:rsidRDefault="00E16443" w:rsidP="00C25166">
            <w:pPr>
              <w:keepNext/>
              <w:keepLines/>
              <w:jc w:val="center"/>
              <w:rPr>
                <w:b/>
                <w:bCs/>
                <w:color w:val="808080"/>
                <w:sz w:val="10"/>
                <w:szCs w:val="12"/>
              </w:rPr>
            </w:pPr>
          </w:p>
          <w:p w:rsidR="00E16443" w:rsidRPr="00BA6F3B" w:rsidRDefault="00E16443" w:rsidP="00C25166">
            <w:pPr>
              <w:keepNext/>
              <w:keepLines/>
              <w:jc w:val="center"/>
              <w:rPr>
                <w:b/>
                <w:bCs/>
                <w:color w:val="808080"/>
                <w:sz w:val="10"/>
                <w:szCs w:val="12"/>
              </w:rPr>
            </w:pPr>
          </w:p>
          <w:p w:rsidR="00E16443" w:rsidRPr="00BA6F3B" w:rsidRDefault="00E16443" w:rsidP="00C25166">
            <w:pPr>
              <w:keepNext/>
              <w:keepLines/>
              <w:jc w:val="center"/>
              <w:rPr>
                <w:b/>
                <w:bCs/>
                <w:color w:val="808080"/>
                <w:sz w:val="10"/>
                <w:szCs w:val="12"/>
              </w:rPr>
            </w:pPr>
          </w:p>
          <w:p w:rsidR="00E16443" w:rsidRPr="00BA6F3B" w:rsidRDefault="00E16443" w:rsidP="00C25166">
            <w:pPr>
              <w:keepNext/>
              <w:keepLines/>
              <w:jc w:val="center"/>
              <w:rPr>
                <w:b/>
                <w:bCs/>
                <w:color w:val="808080"/>
                <w:sz w:val="12"/>
                <w:szCs w:val="12"/>
              </w:rPr>
            </w:pPr>
          </w:p>
          <w:p w:rsidR="00E16443" w:rsidRPr="00BA6F3B" w:rsidRDefault="00E16443" w:rsidP="00C25166">
            <w:pPr>
              <w:keepNext/>
              <w:keepLines/>
              <w:jc w:val="center"/>
              <w:rPr>
                <w:b/>
                <w:bCs/>
                <w:color w:val="808080"/>
                <w:sz w:val="12"/>
                <w:szCs w:val="12"/>
              </w:rPr>
            </w:pPr>
            <w:r w:rsidRPr="00BA6F3B">
              <w:rPr>
                <w:b/>
                <w:bCs/>
                <w:color w:val="808080"/>
                <w:sz w:val="12"/>
                <w:szCs w:val="12"/>
              </w:rPr>
              <w:t>Not Assessable</w:t>
            </w:r>
          </w:p>
          <w:p w:rsidR="00E16443" w:rsidRPr="00BA6F3B" w:rsidRDefault="00E16443" w:rsidP="00C25166">
            <w:pPr>
              <w:keepNext/>
              <w:keepLines/>
              <w:jc w:val="center"/>
              <w:rPr>
                <w:b/>
                <w:bCs/>
                <w:color w:val="808080"/>
                <w:sz w:val="12"/>
                <w:szCs w:val="12"/>
              </w:rPr>
            </w:pPr>
          </w:p>
          <w:p w:rsidR="00E16443" w:rsidRPr="00BA6F3B" w:rsidRDefault="00E16443" w:rsidP="00C25166">
            <w:pPr>
              <w:keepNext/>
              <w:keepLines/>
              <w:jc w:val="center"/>
              <w:rPr>
                <w:b/>
                <w:bCs/>
                <w:color w:val="808080"/>
                <w:sz w:val="12"/>
                <w:szCs w:val="12"/>
              </w:rPr>
            </w:pPr>
          </w:p>
          <w:p w:rsidR="00E16443" w:rsidRPr="00BA6F3B" w:rsidRDefault="00E16443" w:rsidP="00C25166">
            <w:pPr>
              <w:keepNext/>
              <w:keepLines/>
              <w:jc w:val="center"/>
              <w:rPr>
                <w:b/>
                <w:bCs/>
                <w:color w:val="808080"/>
                <w:sz w:val="12"/>
                <w:szCs w:val="12"/>
              </w:rPr>
            </w:pPr>
          </w:p>
          <w:p w:rsidR="00E16443" w:rsidRPr="00BA6F3B" w:rsidRDefault="00E16443" w:rsidP="00C25166">
            <w:pPr>
              <w:keepNext/>
              <w:keepLines/>
              <w:jc w:val="center"/>
              <w:rPr>
                <w:b/>
                <w:bCs/>
                <w:color w:val="808080"/>
                <w:sz w:val="12"/>
                <w:szCs w:val="12"/>
              </w:rPr>
            </w:pPr>
            <w:r w:rsidRPr="00BA6F3B">
              <w:rPr>
                <w:b/>
                <w:bCs/>
                <w:color w:val="808080"/>
                <w:sz w:val="12"/>
                <w:szCs w:val="12"/>
              </w:rPr>
              <w:t>Not Assessable</w:t>
            </w:r>
          </w:p>
          <w:p w:rsidR="00E16443" w:rsidRPr="00BA6F3B" w:rsidRDefault="00E16443" w:rsidP="00C25166">
            <w:pPr>
              <w:keepNext/>
              <w:keepLines/>
              <w:jc w:val="center"/>
              <w:rPr>
                <w:b/>
                <w:bCs/>
                <w:color w:val="808080"/>
                <w:sz w:val="12"/>
                <w:szCs w:val="12"/>
              </w:rPr>
            </w:pPr>
          </w:p>
          <w:p w:rsidR="00E16443" w:rsidRPr="00BA6F3B" w:rsidRDefault="00E16443" w:rsidP="00C25166">
            <w:pPr>
              <w:keepNext/>
              <w:keepLines/>
              <w:jc w:val="center"/>
              <w:rPr>
                <w:b/>
                <w:bCs/>
                <w:color w:val="808080"/>
                <w:sz w:val="12"/>
                <w:szCs w:val="12"/>
              </w:rPr>
            </w:pPr>
          </w:p>
          <w:p w:rsidR="00E16443" w:rsidRPr="00BA6F3B" w:rsidRDefault="00E16443" w:rsidP="00C25166">
            <w:pPr>
              <w:keepNext/>
              <w:keepLines/>
              <w:jc w:val="center"/>
              <w:rPr>
                <w:b/>
                <w:bCs/>
                <w:color w:val="808080"/>
                <w:sz w:val="12"/>
                <w:szCs w:val="12"/>
              </w:rPr>
            </w:pPr>
          </w:p>
          <w:p w:rsidR="00E16443" w:rsidRPr="00FF3639" w:rsidRDefault="00E16443" w:rsidP="00C25166">
            <w:pPr>
              <w:keepNext/>
              <w:keepLines/>
              <w:jc w:val="center"/>
              <w:rPr>
                <w:rFonts w:cs="Arial"/>
                <w:b/>
                <w:bCs/>
                <w:color w:val="808080"/>
                <w:sz w:val="12"/>
                <w:szCs w:val="12"/>
              </w:rPr>
            </w:pPr>
            <w:r w:rsidRPr="00BA6F3B">
              <w:rPr>
                <w:b/>
                <w:bCs/>
                <w:color w:val="808080"/>
                <w:sz w:val="12"/>
                <w:szCs w:val="12"/>
              </w:rPr>
              <w:t>Not Assessable</w:t>
            </w:r>
          </w:p>
        </w:tc>
      </w:tr>
      <w:tr w:rsidR="00E16443" w:rsidTr="00B9043D">
        <w:trPr>
          <w:cantSplit/>
        </w:trPr>
        <w:tc>
          <w:tcPr>
            <w:tcW w:w="1137" w:type="pct"/>
            <w:tcBorders>
              <w:bottom w:val="single" w:sz="4" w:space="0" w:color="auto"/>
            </w:tcBorders>
            <w:shd w:val="clear" w:color="auto" w:fill="auto"/>
          </w:tcPr>
          <w:p w:rsidR="00E16443" w:rsidRPr="00746757" w:rsidRDefault="00E16443" w:rsidP="00FF1B2D">
            <w:pPr>
              <w:rPr>
                <w:rFonts w:cs="Arial"/>
                <w:sz w:val="16"/>
                <w:szCs w:val="16"/>
              </w:rPr>
            </w:pPr>
            <w:r w:rsidRPr="00981E14">
              <w:rPr>
                <w:rFonts w:cs="Arial"/>
                <w:sz w:val="16"/>
                <w:szCs w:val="16"/>
              </w:rPr>
              <w:t>No. of visitors using IP Statistics Data Center</w:t>
            </w:r>
          </w:p>
        </w:tc>
        <w:tc>
          <w:tcPr>
            <w:tcW w:w="1212" w:type="pct"/>
            <w:tcBorders>
              <w:bottom w:val="single" w:sz="4" w:space="0" w:color="auto"/>
            </w:tcBorders>
            <w:shd w:val="clear" w:color="auto" w:fill="auto"/>
          </w:tcPr>
          <w:p w:rsidR="00E16443" w:rsidRPr="005675B4" w:rsidRDefault="00E16443" w:rsidP="00FF1B2D">
            <w:pPr>
              <w:rPr>
                <w:rFonts w:cs="Arial"/>
                <w:i/>
                <w:color w:val="002060"/>
                <w:sz w:val="16"/>
                <w:szCs w:val="16"/>
              </w:rPr>
            </w:pPr>
            <w:r>
              <w:rPr>
                <w:rFonts w:cs="Arial"/>
                <w:i/>
                <w:color w:val="002060"/>
                <w:sz w:val="16"/>
                <w:szCs w:val="16"/>
              </w:rPr>
              <w:t>Updated Baseline end 2013</w:t>
            </w:r>
            <w:r w:rsidRPr="005675B4">
              <w:rPr>
                <w:rFonts w:cs="Arial"/>
                <w:i/>
                <w:color w:val="002060"/>
                <w:sz w:val="16"/>
                <w:szCs w:val="16"/>
              </w:rPr>
              <w:t xml:space="preserve">: </w:t>
            </w:r>
          </w:p>
          <w:p w:rsidR="00E16443" w:rsidRPr="00323D6E" w:rsidRDefault="00E16443" w:rsidP="00FF1B2D">
            <w:pPr>
              <w:rPr>
                <w:rFonts w:cs="Arial"/>
                <w:color w:val="002060"/>
                <w:sz w:val="16"/>
                <w:szCs w:val="16"/>
              </w:rPr>
            </w:pPr>
            <w:r w:rsidRPr="00323D6E">
              <w:rPr>
                <w:rFonts w:cs="Arial"/>
                <w:color w:val="002060"/>
                <w:sz w:val="16"/>
                <w:szCs w:val="16"/>
              </w:rPr>
              <w:t>In 2013, the WIPO Statistics Data Center was used by 23,496 unique visitors</w:t>
            </w:r>
            <w:r>
              <w:rPr>
                <w:rFonts w:cs="Arial"/>
                <w:color w:val="002060"/>
                <w:sz w:val="16"/>
                <w:szCs w:val="16"/>
              </w:rPr>
              <w:t xml:space="preserve"> (1,958 per month)</w:t>
            </w:r>
            <w:r w:rsidRPr="00323D6E">
              <w:rPr>
                <w:rFonts w:cs="Arial"/>
                <w:color w:val="002060"/>
                <w:sz w:val="16"/>
                <w:szCs w:val="16"/>
              </w:rPr>
              <w:t xml:space="preserve"> who viewed 162,463 pages </w:t>
            </w:r>
          </w:p>
          <w:p w:rsidR="00E16443" w:rsidRPr="00746757" w:rsidRDefault="00E16443" w:rsidP="00FF1B2D">
            <w:pPr>
              <w:spacing w:before="120"/>
              <w:rPr>
                <w:rFonts w:cs="Arial"/>
                <w:sz w:val="16"/>
                <w:szCs w:val="16"/>
              </w:rPr>
            </w:pPr>
            <w:r>
              <w:rPr>
                <w:rFonts w:cs="Arial"/>
                <w:i/>
                <w:sz w:val="16"/>
                <w:szCs w:val="16"/>
              </w:rPr>
              <w:t>Original Baseline P&amp;B 2014/15</w:t>
            </w:r>
            <w:r w:rsidRPr="0027745B">
              <w:rPr>
                <w:rFonts w:cs="Arial"/>
                <w:i/>
                <w:sz w:val="16"/>
                <w:szCs w:val="16"/>
              </w:rPr>
              <w:t>:</w:t>
            </w:r>
            <w:r>
              <w:rPr>
                <w:rFonts w:cs="Arial"/>
                <w:i/>
                <w:sz w:val="16"/>
                <w:szCs w:val="16"/>
              </w:rPr>
              <w:t xml:space="preserve"> </w:t>
            </w:r>
            <w:r w:rsidRPr="00FC3952">
              <w:rPr>
                <w:rFonts w:cs="Arial"/>
                <w:sz w:val="16"/>
                <w:szCs w:val="16"/>
              </w:rPr>
              <w:t>tbd</w:t>
            </w:r>
            <w:r>
              <w:rPr>
                <w:rFonts w:cs="Arial"/>
                <w:i/>
                <w:sz w:val="16"/>
                <w:szCs w:val="16"/>
              </w:rPr>
              <w:t xml:space="preserve"> </w:t>
            </w:r>
            <w:r w:rsidRPr="00845557">
              <w:rPr>
                <w:rFonts w:cs="Arial"/>
                <w:sz w:val="16"/>
                <w:szCs w:val="16"/>
              </w:rPr>
              <w:t>end 2013</w:t>
            </w:r>
            <w:r>
              <w:rPr>
                <w:rFonts w:cs="Arial"/>
                <w:sz w:val="16"/>
                <w:szCs w:val="16"/>
              </w:rPr>
              <w:br/>
            </w:r>
          </w:p>
        </w:tc>
        <w:tc>
          <w:tcPr>
            <w:tcW w:w="679" w:type="pct"/>
            <w:tcBorders>
              <w:bottom w:val="single" w:sz="4" w:space="0" w:color="auto"/>
            </w:tcBorders>
            <w:shd w:val="clear" w:color="auto" w:fill="auto"/>
            <w:tcMar>
              <w:top w:w="110" w:type="dxa"/>
            </w:tcMar>
          </w:tcPr>
          <w:p w:rsidR="00E16443" w:rsidRDefault="00E16443" w:rsidP="00FF1B2D">
            <w:pPr>
              <w:rPr>
                <w:rFonts w:ascii="ArialMT" w:hAnsi="ArialMT" w:cs="ArialMT"/>
                <w:sz w:val="16"/>
                <w:szCs w:val="16"/>
              </w:rPr>
            </w:pPr>
            <w:r w:rsidRPr="00981E14">
              <w:rPr>
                <w:rFonts w:ascii="ArialMT" w:hAnsi="ArialMT" w:cs="ArialMT"/>
                <w:sz w:val="16"/>
                <w:szCs w:val="16"/>
              </w:rPr>
              <w:t>10% increase in number of users, over 2012/13</w:t>
            </w:r>
          </w:p>
          <w:p w:rsidR="00E16443" w:rsidRDefault="00E16443" w:rsidP="00FF1B2D">
            <w:pPr>
              <w:rPr>
                <w:rFonts w:ascii="ArialMT" w:hAnsi="ArialMT" w:cs="ArialMT"/>
                <w:sz w:val="16"/>
                <w:szCs w:val="16"/>
              </w:rPr>
            </w:pPr>
          </w:p>
          <w:p w:rsidR="00E16443" w:rsidRPr="008D63A6" w:rsidRDefault="00E16443" w:rsidP="00FF1B2D">
            <w:pPr>
              <w:rPr>
                <w:rFonts w:cs="Arial"/>
                <w:i/>
                <w:sz w:val="16"/>
                <w:szCs w:val="16"/>
              </w:rPr>
            </w:pPr>
          </w:p>
        </w:tc>
        <w:tc>
          <w:tcPr>
            <w:tcW w:w="1441" w:type="pct"/>
            <w:tcBorders>
              <w:bottom w:val="single" w:sz="4" w:space="0" w:color="auto"/>
            </w:tcBorders>
            <w:shd w:val="clear" w:color="auto" w:fill="FFFFFF"/>
            <w:tcMar>
              <w:top w:w="110" w:type="dxa"/>
            </w:tcMar>
          </w:tcPr>
          <w:p w:rsidR="00E16443" w:rsidRDefault="00E16443" w:rsidP="00FF1B2D">
            <w:pPr>
              <w:rPr>
                <w:rFonts w:cs="Arial"/>
                <w:sz w:val="16"/>
                <w:szCs w:val="16"/>
              </w:rPr>
            </w:pPr>
            <w:r>
              <w:rPr>
                <w:rFonts w:cs="Arial"/>
                <w:sz w:val="16"/>
                <w:szCs w:val="16"/>
              </w:rPr>
              <w:t>In 2014/15, the WIPO Statistics Data Center was used by an estimated 51,383 unique visitors (2,141 per month) who viewed an estimated 608,277 pages</w:t>
            </w:r>
            <w:r>
              <w:rPr>
                <w:rStyle w:val="FootnoteReference"/>
                <w:rFonts w:cs="Arial"/>
                <w:sz w:val="16"/>
                <w:szCs w:val="16"/>
              </w:rPr>
              <w:footnoteReference w:id="93"/>
            </w:r>
          </w:p>
          <w:p w:rsidR="00E16443" w:rsidRPr="00995BE6" w:rsidRDefault="00E16443" w:rsidP="00FF1B2D">
            <w:pPr>
              <w:pStyle w:val="ListParagraph"/>
              <w:ind w:left="360"/>
              <w:rPr>
                <w:rFonts w:cs="Arial"/>
                <w:sz w:val="16"/>
                <w:szCs w:val="16"/>
              </w:rPr>
            </w:pPr>
          </w:p>
        </w:tc>
        <w:tc>
          <w:tcPr>
            <w:tcW w:w="531" w:type="pct"/>
            <w:tcBorders>
              <w:bottom w:val="single" w:sz="4" w:space="0" w:color="auto"/>
            </w:tcBorders>
            <w:shd w:val="clear" w:color="auto" w:fill="auto"/>
            <w:tcMar>
              <w:top w:w="110" w:type="dxa"/>
            </w:tcMar>
          </w:tcPr>
          <w:p w:rsidR="00E16443" w:rsidRPr="00981E14" w:rsidRDefault="00E16443" w:rsidP="00FF1B2D">
            <w:pPr>
              <w:jc w:val="center"/>
              <w:rPr>
                <w:rFonts w:cs="Arial"/>
                <w:b/>
                <w:bCs/>
                <w:color w:val="00B050"/>
                <w:sz w:val="16"/>
                <w:szCs w:val="16"/>
              </w:rPr>
            </w:pPr>
            <w:r>
              <w:rPr>
                <w:rFonts w:cs="Arial"/>
                <w:b/>
                <w:bCs/>
                <w:color w:val="00B050"/>
                <w:sz w:val="16"/>
                <w:szCs w:val="16"/>
              </w:rPr>
              <w:t xml:space="preserve">Fully </w:t>
            </w:r>
            <w:r w:rsidR="003927FD">
              <w:rPr>
                <w:rFonts w:cs="Arial"/>
                <w:b/>
                <w:bCs/>
                <w:color w:val="00B050"/>
                <w:sz w:val="16"/>
                <w:szCs w:val="16"/>
              </w:rPr>
              <w:t>A</w:t>
            </w:r>
            <w:r>
              <w:rPr>
                <w:rFonts w:cs="Arial"/>
                <w:b/>
                <w:bCs/>
                <w:color w:val="00B050"/>
                <w:sz w:val="16"/>
                <w:szCs w:val="16"/>
              </w:rPr>
              <w:t>chieved</w:t>
            </w:r>
          </w:p>
        </w:tc>
      </w:tr>
    </w:tbl>
    <w:p w:rsidR="003E16BE" w:rsidRDefault="003E16BE">
      <w:r>
        <w:br w:type="page"/>
      </w:r>
    </w:p>
    <w:tbl>
      <w:tblPr>
        <w:tblW w:w="4888"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128"/>
        <w:gridCol w:w="2268"/>
        <w:gridCol w:w="1422"/>
        <w:gridCol w:w="2545"/>
        <w:gridCol w:w="994"/>
      </w:tblGrid>
      <w:tr w:rsidR="00E16443" w:rsidTr="00B9043D">
        <w:trPr>
          <w:cantSplit/>
        </w:trPr>
        <w:tc>
          <w:tcPr>
            <w:tcW w:w="5000" w:type="pct"/>
            <w:gridSpan w:val="5"/>
            <w:tcBorders>
              <w:top w:val="single" w:sz="4" w:space="0" w:color="auto"/>
              <w:bottom w:val="single" w:sz="4" w:space="0" w:color="auto"/>
            </w:tcBorders>
            <w:shd w:val="clear" w:color="auto" w:fill="C6D9F1" w:themeFill="text2" w:themeFillTint="33"/>
            <w:vAlign w:val="center"/>
          </w:tcPr>
          <w:p w:rsidR="00E16443" w:rsidRDefault="00E16443" w:rsidP="00FF1B2D">
            <w:pPr>
              <w:tabs>
                <w:tab w:val="left" w:pos="1452"/>
              </w:tabs>
              <w:spacing w:before="120" w:after="120"/>
              <w:ind w:left="1452" w:hanging="1452"/>
              <w:rPr>
                <w:rFonts w:cs="Arial"/>
                <w:b/>
                <w:bCs/>
                <w:sz w:val="16"/>
                <w:szCs w:val="16"/>
              </w:rPr>
            </w:pPr>
            <w:r w:rsidRPr="00234BEF">
              <w:rPr>
                <w:rFonts w:cs="Arial"/>
                <w:b/>
                <w:bCs/>
                <w:sz w:val="16"/>
                <w:szCs w:val="16"/>
              </w:rPr>
              <w:lastRenderedPageBreak/>
              <w:t>Expected Result</w:t>
            </w:r>
            <w:r>
              <w:rPr>
                <w:rFonts w:cs="Arial"/>
                <w:b/>
                <w:bCs/>
                <w:sz w:val="16"/>
                <w:szCs w:val="16"/>
              </w:rPr>
              <w:t>:</w:t>
            </w:r>
            <w:r>
              <w:rPr>
                <w:rFonts w:cs="Arial"/>
                <w:b/>
                <w:bCs/>
                <w:sz w:val="16"/>
                <w:szCs w:val="16"/>
              </w:rPr>
              <w:tab/>
            </w:r>
            <w:r w:rsidRPr="00981E14">
              <w:rPr>
                <w:rFonts w:cs="Arial"/>
                <w:sz w:val="16"/>
                <w:szCs w:val="16"/>
              </w:rPr>
              <w:t>V.2 Wider and better use of WIPO economic analysis in policy formulation</w:t>
            </w:r>
          </w:p>
        </w:tc>
      </w:tr>
      <w:tr w:rsidR="00E16443" w:rsidRPr="003C4C1D" w:rsidTr="00BA6F3B">
        <w:trPr>
          <w:cantSplit/>
        </w:trPr>
        <w:tc>
          <w:tcPr>
            <w:tcW w:w="1137" w:type="pct"/>
            <w:tcBorders>
              <w:top w:val="single" w:sz="4" w:space="0" w:color="auto"/>
            </w:tcBorders>
            <w:shd w:val="clear" w:color="auto" w:fill="auto"/>
            <w:vAlign w:val="center"/>
          </w:tcPr>
          <w:p w:rsidR="00E16443" w:rsidRPr="003C4C1D" w:rsidRDefault="00E16443" w:rsidP="00FF1B2D">
            <w:pPr>
              <w:rPr>
                <w:rFonts w:cs="Arial"/>
                <w:sz w:val="16"/>
                <w:szCs w:val="16"/>
              </w:rPr>
            </w:pPr>
            <w:r w:rsidRPr="003C4C1D">
              <w:rPr>
                <w:rFonts w:cs="Arial"/>
                <w:b/>
                <w:bCs/>
                <w:sz w:val="16"/>
                <w:szCs w:val="16"/>
              </w:rPr>
              <w:t>Performance Indicators</w:t>
            </w:r>
          </w:p>
        </w:tc>
        <w:tc>
          <w:tcPr>
            <w:tcW w:w="1212" w:type="pct"/>
            <w:tcBorders>
              <w:top w:val="single" w:sz="4" w:space="0" w:color="auto"/>
            </w:tcBorders>
            <w:shd w:val="clear" w:color="auto" w:fill="auto"/>
            <w:vAlign w:val="center"/>
          </w:tcPr>
          <w:p w:rsidR="00E16443" w:rsidRPr="003C4C1D" w:rsidRDefault="00E16443" w:rsidP="00FF1B2D">
            <w:pPr>
              <w:rPr>
                <w:rFonts w:cs="Arial"/>
                <w:b/>
                <w:bCs/>
                <w:sz w:val="16"/>
                <w:szCs w:val="16"/>
              </w:rPr>
            </w:pPr>
            <w:r w:rsidRPr="003C4C1D">
              <w:rPr>
                <w:rFonts w:cs="Arial"/>
                <w:b/>
                <w:bCs/>
                <w:sz w:val="16"/>
                <w:szCs w:val="16"/>
              </w:rPr>
              <w:t>Baselines</w:t>
            </w:r>
          </w:p>
        </w:tc>
        <w:tc>
          <w:tcPr>
            <w:tcW w:w="760" w:type="pct"/>
            <w:tcBorders>
              <w:top w:val="single" w:sz="4" w:space="0" w:color="auto"/>
            </w:tcBorders>
            <w:shd w:val="clear" w:color="auto" w:fill="auto"/>
            <w:tcMar>
              <w:top w:w="110" w:type="dxa"/>
            </w:tcMar>
            <w:vAlign w:val="center"/>
          </w:tcPr>
          <w:p w:rsidR="00E16443" w:rsidRPr="0027745B" w:rsidRDefault="00E16443" w:rsidP="00FF1B2D">
            <w:pPr>
              <w:rPr>
                <w:rFonts w:cs="Arial"/>
                <w:b/>
                <w:sz w:val="16"/>
                <w:szCs w:val="16"/>
              </w:rPr>
            </w:pPr>
            <w:r w:rsidRPr="003C4C1D">
              <w:rPr>
                <w:rFonts w:cs="Arial"/>
                <w:b/>
                <w:sz w:val="16"/>
                <w:szCs w:val="16"/>
              </w:rPr>
              <w:t>Targets</w:t>
            </w:r>
          </w:p>
        </w:tc>
        <w:tc>
          <w:tcPr>
            <w:tcW w:w="1360" w:type="pct"/>
            <w:tcBorders>
              <w:top w:val="single" w:sz="4" w:space="0" w:color="auto"/>
            </w:tcBorders>
            <w:shd w:val="clear" w:color="auto" w:fill="FFFFFF"/>
            <w:tcMar>
              <w:top w:w="110" w:type="dxa"/>
            </w:tcMar>
            <w:vAlign w:val="center"/>
          </w:tcPr>
          <w:p w:rsidR="00E16443" w:rsidRPr="003C4C1D" w:rsidRDefault="00E16443" w:rsidP="00FF1B2D">
            <w:pPr>
              <w:rPr>
                <w:rFonts w:cs="Arial"/>
                <w:sz w:val="16"/>
                <w:szCs w:val="16"/>
              </w:rPr>
            </w:pPr>
            <w:r w:rsidRPr="003C4C1D">
              <w:rPr>
                <w:rFonts w:cs="Arial"/>
                <w:b/>
                <w:bCs/>
                <w:sz w:val="16"/>
                <w:szCs w:val="16"/>
              </w:rPr>
              <w:t>Performance Data</w:t>
            </w:r>
          </w:p>
        </w:tc>
        <w:tc>
          <w:tcPr>
            <w:tcW w:w="531" w:type="pct"/>
            <w:tcBorders>
              <w:top w:val="single" w:sz="4" w:space="0" w:color="auto"/>
            </w:tcBorders>
            <w:shd w:val="clear" w:color="auto" w:fill="auto"/>
            <w:tcMar>
              <w:top w:w="110" w:type="dxa"/>
            </w:tcMar>
            <w:vAlign w:val="center"/>
          </w:tcPr>
          <w:p w:rsidR="00E16443" w:rsidRPr="0027745B" w:rsidRDefault="00E16443" w:rsidP="00FF1B2D">
            <w:pPr>
              <w:jc w:val="center"/>
              <w:rPr>
                <w:rFonts w:cs="Arial"/>
                <w:b/>
                <w:bCs/>
                <w:sz w:val="16"/>
                <w:szCs w:val="16"/>
              </w:rPr>
            </w:pPr>
            <w:r w:rsidRPr="003C4C1D">
              <w:rPr>
                <w:rFonts w:cs="Arial"/>
                <w:b/>
                <w:bCs/>
                <w:sz w:val="16"/>
                <w:szCs w:val="16"/>
              </w:rPr>
              <w:t>TLS</w:t>
            </w:r>
          </w:p>
        </w:tc>
      </w:tr>
      <w:tr w:rsidR="00E16443" w:rsidTr="00BA6F3B">
        <w:trPr>
          <w:cantSplit/>
        </w:trPr>
        <w:tc>
          <w:tcPr>
            <w:tcW w:w="1137" w:type="pct"/>
            <w:shd w:val="clear" w:color="auto" w:fill="auto"/>
          </w:tcPr>
          <w:p w:rsidR="00E16443" w:rsidRPr="00746757" w:rsidRDefault="00E16443" w:rsidP="00FF1B2D">
            <w:pPr>
              <w:rPr>
                <w:rFonts w:cs="Arial"/>
                <w:sz w:val="16"/>
                <w:szCs w:val="16"/>
              </w:rPr>
            </w:pPr>
            <w:r w:rsidRPr="00981E14">
              <w:rPr>
                <w:rFonts w:cs="Arial"/>
                <w:sz w:val="16"/>
                <w:szCs w:val="16"/>
              </w:rPr>
              <w:t>No. of downloads of main economic publications</w:t>
            </w:r>
          </w:p>
        </w:tc>
        <w:tc>
          <w:tcPr>
            <w:tcW w:w="1212" w:type="pct"/>
            <w:shd w:val="clear" w:color="auto" w:fill="auto"/>
          </w:tcPr>
          <w:p w:rsidR="00E16443" w:rsidRPr="00746757" w:rsidRDefault="00E16443" w:rsidP="00FF1B2D">
            <w:pPr>
              <w:rPr>
                <w:rFonts w:cs="Arial"/>
                <w:sz w:val="16"/>
                <w:szCs w:val="16"/>
              </w:rPr>
            </w:pPr>
            <w:r>
              <w:rPr>
                <w:rFonts w:cs="Arial"/>
                <w:sz w:val="16"/>
                <w:szCs w:val="16"/>
              </w:rPr>
              <w:t>Tbd end 2013</w:t>
            </w:r>
          </w:p>
        </w:tc>
        <w:tc>
          <w:tcPr>
            <w:tcW w:w="760" w:type="pct"/>
            <w:shd w:val="clear" w:color="auto" w:fill="auto"/>
            <w:tcMar>
              <w:top w:w="110" w:type="dxa"/>
            </w:tcMar>
          </w:tcPr>
          <w:p w:rsidR="00E16443" w:rsidRPr="0027745B" w:rsidRDefault="00E16443" w:rsidP="00FF1B2D">
            <w:pPr>
              <w:autoSpaceDE w:val="0"/>
              <w:autoSpaceDN w:val="0"/>
              <w:adjustRightInd w:val="0"/>
              <w:rPr>
                <w:rFonts w:ascii="ArialMT" w:hAnsi="ArialMT" w:cs="ArialMT"/>
                <w:sz w:val="16"/>
                <w:szCs w:val="16"/>
              </w:rPr>
            </w:pPr>
            <w:r w:rsidRPr="00981E14">
              <w:rPr>
                <w:rFonts w:ascii="ArialMT" w:hAnsi="ArialMT" w:cs="ArialMT"/>
                <w:sz w:val="16"/>
                <w:szCs w:val="16"/>
              </w:rPr>
              <w:t>20% increase over 2012/13</w:t>
            </w:r>
          </w:p>
        </w:tc>
        <w:tc>
          <w:tcPr>
            <w:tcW w:w="1360" w:type="pct"/>
            <w:shd w:val="clear" w:color="auto" w:fill="FFFFFF"/>
            <w:tcMar>
              <w:top w:w="110" w:type="dxa"/>
            </w:tcMar>
          </w:tcPr>
          <w:p w:rsidR="00E16443" w:rsidRDefault="00E16443" w:rsidP="00FF1B2D">
            <w:pPr>
              <w:rPr>
                <w:rFonts w:cs="Arial"/>
                <w:sz w:val="16"/>
                <w:szCs w:val="16"/>
                <w:lang w:bidi="th-TH"/>
              </w:rPr>
            </w:pPr>
            <w:r>
              <w:rPr>
                <w:rFonts w:cs="Arial"/>
                <w:sz w:val="16"/>
                <w:szCs w:val="16"/>
                <w:lang w:bidi="th-TH"/>
              </w:rPr>
              <w:t xml:space="preserve">In 2014/15, the two most recent versions of  the </w:t>
            </w:r>
            <w:r w:rsidRPr="005A3855">
              <w:rPr>
                <w:rFonts w:cs="Arial"/>
                <w:sz w:val="16"/>
                <w:szCs w:val="16"/>
                <w:lang w:bidi="th-TH"/>
              </w:rPr>
              <w:t>Global Innovation Index (GII)</w:t>
            </w:r>
            <w:r>
              <w:rPr>
                <w:rFonts w:cs="Arial"/>
                <w:sz w:val="16"/>
                <w:szCs w:val="16"/>
                <w:lang w:bidi="th-TH"/>
              </w:rPr>
              <w:t xml:space="preserve"> (2014 and 2015):</w:t>
            </w:r>
          </w:p>
          <w:p w:rsidR="00E16443" w:rsidRDefault="00E16443" w:rsidP="00FF1B2D">
            <w:pPr>
              <w:pStyle w:val="ListParagraph"/>
              <w:numPr>
                <w:ilvl w:val="0"/>
                <w:numId w:val="14"/>
              </w:numPr>
              <w:rPr>
                <w:rFonts w:cs="Arial"/>
                <w:sz w:val="16"/>
                <w:szCs w:val="16"/>
                <w:lang w:bidi="th-TH"/>
              </w:rPr>
            </w:pPr>
            <w:r w:rsidRPr="00A74B9E">
              <w:rPr>
                <w:rFonts w:cs="Arial"/>
                <w:sz w:val="16"/>
                <w:szCs w:val="16"/>
                <w:lang w:bidi="th-TH"/>
              </w:rPr>
              <w:t xml:space="preserve">were downloaded 123,161 </w:t>
            </w:r>
            <w:r w:rsidRPr="00572B49">
              <w:rPr>
                <w:rFonts w:cs="Arial"/>
                <w:sz w:val="16"/>
                <w:szCs w:val="16"/>
                <w:lang w:bidi="th-TH"/>
              </w:rPr>
              <w:t>times</w:t>
            </w:r>
            <w:r>
              <w:rPr>
                <w:rFonts w:cs="Arial"/>
                <w:sz w:val="16"/>
                <w:szCs w:val="16"/>
                <w:lang w:bidi="th-TH"/>
              </w:rPr>
              <w:t xml:space="preserve"> from, and had 50,368 unique visitors to, the </w:t>
            </w:r>
            <w:r w:rsidRPr="00D20272">
              <w:rPr>
                <w:rFonts w:cs="Arial"/>
                <w:sz w:val="16"/>
                <w:szCs w:val="16"/>
                <w:lang w:bidi="th-TH"/>
              </w:rPr>
              <w:t>WIPO</w:t>
            </w:r>
            <w:r>
              <w:rPr>
                <w:rFonts w:cs="Arial"/>
                <w:sz w:val="16"/>
                <w:szCs w:val="16"/>
                <w:lang w:bidi="th-TH"/>
              </w:rPr>
              <w:t xml:space="preserve"> GII web page</w:t>
            </w:r>
            <w:r>
              <w:rPr>
                <w:rStyle w:val="FootnoteReference"/>
                <w:rFonts w:cs="Arial"/>
                <w:sz w:val="16"/>
                <w:szCs w:val="16"/>
                <w:lang w:bidi="th-TH"/>
              </w:rPr>
              <w:footnoteReference w:id="94"/>
            </w:r>
            <w:r>
              <w:rPr>
                <w:rFonts w:cs="Arial"/>
                <w:sz w:val="16"/>
                <w:szCs w:val="16"/>
                <w:lang w:bidi="th-TH"/>
              </w:rPr>
              <w:t>.</w:t>
            </w:r>
          </w:p>
          <w:p w:rsidR="00E16443" w:rsidRPr="00D20272" w:rsidRDefault="00E16443" w:rsidP="00FF1B2D">
            <w:pPr>
              <w:pStyle w:val="ListParagraph"/>
              <w:numPr>
                <w:ilvl w:val="0"/>
                <w:numId w:val="14"/>
              </w:numPr>
              <w:rPr>
                <w:rFonts w:cs="Arial"/>
                <w:sz w:val="16"/>
                <w:szCs w:val="16"/>
                <w:lang w:bidi="th-TH"/>
              </w:rPr>
            </w:pPr>
            <w:r>
              <w:rPr>
                <w:rFonts w:cs="Arial"/>
                <w:sz w:val="16"/>
                <w:szCs w:val="16"/>
                <w:lang w:bidi="th-TH"/>
              </w:rPr>
              <w:t>was downloaded 13,943 from, and had 300,283 unique visitors to, the GII-dedicated</w:t>
            </w:r>
            <w:r w:rsidRPr="00D20272">
              <w:rPr>
                <w:rFonts w:cs="Arial"/>
                <w:sz w:val="16"/>
                <w:szCs w:val="16"/>
                <w:lang w:bidi="th-TH"/>
              </w:rPr>
              <w:t xml:space="preserve"> website</w:t>
            </w:r>
            <w:r>
              <w:rPr>
                <w:rStyle w:val="FootnoteReference"/>
                <w:rFonts w:cs="Arial"/>
                <w:sz w:val="16"/>
                <w:szCs w:val="16"/>
                <w:lang w:bidi="th-TH"/>
              </w:rPr>
              <w:footnoteReference w:id="95"/>
            </w:r>
            <w:r w:rsidR="003927FD">
              <w:rPr>
                <w:rFonts w:cs="Arial"/>
                <w:sz w:val="16"/>
                <w:szCs w:val="16"/>
                <w:lang w:bidi="th-TH"/>
              </w:rPr>
              <w:t>.</w:t>
            </w:r>
          </w:p>
          <w:p w:rsidR="00E16443" w:rsidRDefault="00E16443" w:rsidP="00FF1B2D">
            <w:pPr>
              <w:rPr>
                <w:rFonts w:cs="Arial"/>
                <w:sz w:val="16"/>
                <w:szCs w:val="16"/>
                <w:lang w:bidi="th-TH"/>
              </w:rPr>
            </w:pPr>
          </w:p>
          <w:p w:rsidR="00E16443" w:rsidRPr="005E6AFC" w:rsidRDefault="00E16443" w:rsidP="00BA6F3B">
            <w:pPr>
              <w:rPr>
                <w:rFonts w:cs="Arial"/>
                <w:sz w:val="16"/>
                <w:szCs w:val="16"/>
                <w:lang w:bidi="th-TH"/>
              </w:rPr>
            </w:pPr>
            <w:r>
              <w:rPr>
                <w:rFonts w:cs="Arial"/>
                <w:sz w:val="16"/>
                <w:szCs w:val="16"/>
                <w:lang w:bidi="th-TH"/>
              </w:rPr>
              <w:t>In 2014/15, the most recent World IP Report (2015) (944E) was downloaded a total of 16,218 times from November 11, 2015, when it was published on the WIPO website, until the end of</w:t>
            </w:r>
            <w:r w:rsidR="003927FD">
              <w:rPr>
                <w:rFonts w:cs="Arial"/>
                <w:sz w:val="16"/>
                <w:szCs w:val="16"/>
                <w:lang w:bidi="th-TH"/>
              </w:rPr>
              <w:t> </w:t>
            </w:r>
            <w:r>
              <w:rPr>
                <w:rFonts w:cs="Arial"/>
                <w:sz w:val="16"/>
                <w:szCs w:val="16"/>
                <w:lang w:bidi="th-TH"/>
              </w:rPr>
              <w:t xml:space="preserve">2015. </w:t>
            </w:r>
          </w:p>
        </w:tc>
        <w:tc>
          <w:tcPr>
            <w:tcW w:w="531" w:type="pct"/>
            <w:shd w:val="clear" w:color="auto" w:fill="auto"/>
            <w:tcMar>
              <w:top w:w="110" w:type="dxa"/>
            </w:tcMar>
          </w:tcPr>
          <w:p w:rsidR="00E16443" w:rsidRPr="00BA6F3B" w:rsidRDefault="00E16443" w:rsidP="00FF1B2D">
            <w:pPr>
              <w:jc w:val="center"/>
              <w:rPr>
                <w:b/>
                <w:bCs/>
                <w:color w:val="808080"/>
                <w:sz w:val="12"/>
                <w:szCs w:val="12"/>
              </w:rPr>
            </w:pPr>
            <w:r w:rsidRPr="00BA6F3B">
              <w:rPr>
                <w:b/>
                <w:bCs/>
                <w:color w:val="808080"/>
                <w:sz w:val="12"/>
                <w:szCs w:val="12"/>
              </w:rPr>
              <w:t>Not Assessable</w:t>
            </w:r>
          </w:p>
          <w:p w:rsidR="00E16443" w:rsidRPr="00BA6F3B" w:rsidRDefault="00E16443" w:rsidP="00FF1B2D">
            <w:pPr>
              <w:jc w:val="center"/>
              <w:rPr>
                <w:b/>
                <w:bCs/>
                <w:color w:val="808080"/>
                <w:sz w:val="12"/>
                <w:szCs w:val="12"/>
              </w:rPr>
            </w:pPr>
          </w:p>
          <w:p w:rsidR="00E16443" w:rsidRPr="00BA6F3B" w:rsidRDefault="00E16443" w:rsidP="00FF1B2D">
            <w:pPr>
              <w:jc w:val="center"/>
              <w:rPr>
                <w:b/>
                <w:bCs/>
                <w:color w:val="808080"/>
                <w:sz w:val="12"/>
                <w:szCs w:val="12"/>
              </w:rPr>
            </w:pPr>
          </w:p>
          <w:p w:rsidR="00E16443" w:rsidRPr="00BA6F3B" w:rsidRDefault="00E16443" w:rsidP="00FF1B2D">
            <w:pPr>
              <w:jc w:val="center"/>
              <w:rPr>
                <w:b/>
                <w:bCs/>
                <w:color w:val="808080"/>
                <w:sz w:val="12"/>
                <w:szCs w:val="12"/>
              </w:rPr>
            </w:pPr>
          </w:p>
          <w:p w:rsidR="00E16443" w:rsidRPr="00BA6F3B" w:rsidRDefault="00E16443" w:rsidP="00FF1B2D">
            <w:pPr>
              <w:jc w:val="center"/>
              <w:rPr>
                <w:b/>
                <w:bCs/>
                <w:color w:val="808080"/>
                <w:sz w:val="12"/>
                <w:szCs w:val="12"/>
              </w:rPr>
            </w:pPr>
          </w:p>
          <w:p w:rsidR="00E16443" w:rsidRPr="00BA6F3B" w:rsidRDefault="00E16443" w:rsidP="00FF1B2D">
            <w:pPr>
              <w:jc w:val="center"/>
              <w:rPr>
                <w:b/>
                <w:bCs/>
                <w:color w:val="808080"/>
                <w:sz w:val="12"/>
                <w:szCs w:val="12"/>
              </w:rPr>
            </w:pPr>
          </w:p>
          <w:p w:rsidR="00E16443" w:rsidRPr="00BA6F3B" w:rsidRDefault="00E16443" w:rsidP="00FF1B2D">
            <w:pPr>
              <w:jc w:val="center"/>
              <w:rPr>
                <w:b/>
                <w:bCs/>
                <w:color w:val="808080"/>
                <w:sz w:val="12"/>
                <w:szCs w:val="12"/>
              </w:rPr>
            </w:pPr>
          </w:p>
          <w:p w:rsidR="00E16443" w:rsidRPr="00BA6F3B" w:rsidRDefault="00E16443" w:rsidP="00FF1B2D">
            <w:pPr>
              <w:jc w:val="center"/>
              <w:rPr>
                <w:b/>
                <w:bCs/>
                <w:color w:val="808080"/>
                <w:sz w:val="12"/>
                <w:szCs w:val="12"/>
              </w:rPr>
            </w:pPr>
          </w:p>
          <w:p w:rsidR="00E16443" w:rsidRPr="00BA6F3B" w:rsidRDefault="00E16443" w:rsidP="00FF1B2D">
            <w:pPr>
              <w:jc w:val="center"/>
              <w:rPr>
                <w:b/>
                <w:bCs/>
                <w:color w:val="808080"/>
                <w:sz w:val="12"/>
                <w:szCs w:val="12"/>
              </w:rPr>
            </w:pPr>
          </w:p>
          <w:p w:rsidR="00E16443" w:rsidRPr="00BA6F3B" w:rsidRDefault="00E16443" w:rsidP="00FF1B2D">
            <w:pPr>
              <w:jc w:val="center"/>
              <w:rPr>
                <w:b/>
                <w:bCs/>
                <w:color w:val="808080"/>
                <w:sz w:val="12"/>
                <w:szCs w:val="12"/>
              </w:rPr>
            </w:pPr>
          </w:p>
          <w:p w:rsidR="00E16443" w:rsidRPr="00BA6F3B" w:rsidRDefault="00E16443" w:rsidP="00FF1B2D">
            <w:pPr>
              <w:jc w:val="center"/>
              <w:rPr>
                <w:b/>
                <w:bCs/>
                <w:color w:val="808080"/>
                <w:sz w:val="12"/>
                <w:szCs w:val="12"/>
              </w:rPr>
            </w:pPr>
          </w:p>
          <w:p w:rsidR="00E16443" w:rsidRPr="00BA6F3B" w:rsidRDefault="00E16443" w:rsidP="00FF1B2D">
            <w:pPr>
              <w:jc w:val="center"/>
              <w:rPr>
                <w:b/>
                <w:bCs/>
                <w:color w:val="808080"/>
                <w:sz w:val="12"/>
                <w:szCs w:val="12"/>
              </w:rPr>
            </w:pPr>
          </w:p>
          <w:p w:rsidR="00E16443" w:rsidRDefault="00E16443" w:rsidP="00FF1B2D">
            <w:pPr>
              <w:jc w:val="center"/>
              <w:rPr>
                <w:b/>
                <w:bCs/>
                <w:color w:val="808080"/>
                <w:sz w:val="12"/>
                <w:szCs w:val="12"/>
              </w:rPr>
            </w:pPr>
          </w:p>
          <w:p w:rsidR="003E16BE" w:rsidRPr="00BA6F3B" w:rsidRDefault="003E16BE" w:rsidP="00FF1B2D">
            <w:pPr>
              <w:jc w:val="center"/>
              <w:rPr>
                <w:b/>
                <w:bCs/>
                <w:color w:val="808080"/>
                <w:sz w:val="12"/>
                <w:szCs w:val="12"/>
              </w:rPr>
            </w:pPr>
          </w:p>
          <w:p w:rsidR="00E16443" w:rsidRDefault="00E16443" w:rsidP="00FF1B2D">
            <w:pPr>
              <w:jc w:val="center"/>
              <w:rPr>
                <w:b/>
                <w:bCs/>
                <w:color w:val="808080"/>
                <w:sz w:val="12"/>
                <w:szCs w:val="12"/>
              </w:rPr>
            </w:pPr>
          </w:p>
          <w:p w:rsidR="003E16BE" w:rsidRPr="00BA6F3B" w:rsidRDefault="003E16BE" w:rsidP="00FF1B2D">
            <w:pPr>
              <w:jc w:val="center"/>
              <w:rPr>
                <w:b/>
                <w:bCs/>
                <w:color w:val="808080"/>
                <w:sz w:val="12"/>
                <w:szCs w:val="12"/>
              </w:rPr>
            </w:pPr>
          </w:p>
          <w:p w:rsidR="00E16443" w:rsidRPr="00BA6F3B" w:rsidRDefault="00E16443" w:rsidP="00FF1B2D">
            <w:pPr>
              <w:jc w:val="center"/>
              <w:rPr>
                <w:b/>
                <w:bCs/>
                <w:color w:val="808080"/>
                <w:sz w:val="12"/>
                <w:szCs w:val="12"/>
              </w:rPr>
            </w:pPr>
          </w:p>
          <w:p w:rsidR="00E16443" w:rsidRPr="00FF3639" w:rsidRDefault="00E16443" w:rsidP="00FF1B2D">
            <w:pPr>
              <w:jc w:val="center"/>
              <w:rPr>
                <w:rFonts w:cs="Arial"/>
                <w:bCs/>
                <w:color w:val="595959" w:themeColor="text1" w:themeTint="A6"/>
                <w:sz w:val="12"/>
                <w:szCs w:val="12"/>
              </w:rPr>
            </w:pPr>
            <w:r w:rsidRPr="00BA6F3B">
              <w:rPr>
                <w:b/>
                <w:bCs/>
                <w:color w:val="808080"/>
                <w:sz w:val="12"/>
                <w:szCs w:val="12"/>
              </w:rPr>
              <w:t>Not Assessable</w:t>
            </w:r>
          </w:p>
        </w:tc>
      </w:tr>
      <w:tr w:rsidR="00E16443" w:rsidTr="00BA6F3B">
        <w:trPr>
          <w:cantSplit/>
        </w:trPr>
        <w:tc>
          <w:tcPr>
            <w:tcW w:w="1137" w:type="pct"/>
            <w:shd w:val="clear" w:color="auto" w:fill="auto"/>
          </w:tcPr>
          <w:p w:rsidR="00E16443" w:rsidRPr="00746757" w:rsidRDefault="00E16443" w:rsidP="00FF1B2D">
            <w:pPr>
              <w:rPr>
                <w:rFonts w:cs="Arial"/>
                <w:sz w:val="16"/>
                <w:szCs w:val="16"/>
              </w:rPr>
            </w:pPr>
            <w:r w:rsidRPr="00981E14">
              <w:rPr>
                <w:rFonts w:cs="Arial"/>
                <w:sz w:val="16"/>
                <w:szCs w:val="16"/>
              </w:rPr>
              <w:t>No. of downloads of studies</w:t>
            </w:r>
          </w:p>
        </w:tc>
        <w:tc>
          <w:tcPr>
            <w:tcW w:w="1212" w:type="pct"/>
            <w:shd w:val="clear" w:color="auto" w:fill="auto"/>
          </w:tcPr>
          <w:p w:rsidR="00E16443" w:rsidRPr="005675B4" w:rsidRDefault="00E16443" w:rsidP="00FF1B2D">
            <w:pPr>
              <w:rPr>
                <w:rFonts w:cs="Arial"/>
                <w:i/>
                <w:color w:val="002060"/>
                <w:sz w:val="16"/>
                <w:szCs w:val="16"/>
              </w:rPr>
            </w:pPr>
            <w:r>
              <w:rPr>
                <w:rFonts w:cs="Arial"/>
                <w:i/>
                <w:color w:val="002060"/>
                <w:sz w:val="16"/>
                <w:szCs w:val="16"/>
              </w:rPr>
              <w:t>Updated Baseline end 2013</w:t>
            </w:r>
            <w:r w:rsidRPr="005675B4">
              <w:rPr>
                <w:rFonts w:cs="Arial"/>
                <w:i/>
                <w:color w:val="002060"/>
                <w:sz w:val="16"/>
                <w:szCs w:val="16"/>
              </w:rPr>
              <w:t xml:space="preserve">: </w:t>
            </w:r>
          </w:p>
          <w:p w:rsidR="00E16443" w:rsidRDefault="00E16443" w:rsidP="00FF1B2D">
            <w:pPr>
              <w:rPr>
                <w:rFonts w:cs="Arial"/>
                <w:color w:val="002060"/>
                <w:sz w:val="16"/>
                <w:szCs w:val="16"/>
                <w:lang w:bidi="th-TH"/>
              </w:rPr>
            </w:pPr>
            <w:r w:rsidRPr="00323D6E">
              <w:rPr>
                <w:rFonts w:cs="Arial"/>
                <w:color w:val="002060"/>
                <w:sz w:val="16"/>
                <w:szCs w:val="16"/>
                <w:lang w:bidi="th-TH"/>
              </w:rPr>
              <w:t xml:space="preserve">7 working papers published in 2013 </w:t>
            </w:r>
          </w:p>
          <w:p w:rsidR="00E16443" w:rsidRPr="000B3714" w:rsidRDefault="00E16443" w:rsidP="00FF1B2D">
            <w:pPr>
              <w:rPr>
                <w:rFonts w:cs="Arial"/>
                <w:i/>
                <w:sz w:val="8"/>
                <w:szCs w:val="8"/>
              </w:rPr>
            </w:pPr>
          </w:p>
          <w:p w:rsidR="00E16443" w:rsidRPr="00746757" w:rsidRDefault="00E16443" w:rsidP="00FF1B2D">
            <w:pPr>
              <w:autoSpaceDE w:val="0"/>
              <w:autoSpaceDN w:val="0"/>
              <w:adjustRightInd w:val="0"/>
              <w:rPr>
                <w:rFonts w:cs="Arial"/>
                <w:sz w:val="16"/>
                <w:szCs w:val="16"/>
              </w:rPr>
            </w:pPr>
            <w:r>
              <w:rPr>
                <w:rFonts w:cs="Arial"/>
                <w:i/>
                <w:sz w:val="16"/>
                <w:szCs w:val="16"/>
              </w:rPr>
              <w:t>Original Baseline P&amp;B 2014/15</w:t>
            </w:r>
            <w:r w:rsidRPr="0027745B">
              <w:rPr>
                <w:rFonts w:cs="Arial"/>
                <w:i/>
                <w:sz w:val="16"/>
                <w:szCs w:val="16"/>
              </w:rPr>
              <w:t>:</w:t>
            </w:r>
            <w:r>
              <w:rPr>
                <w:rFonts w:cs="Arial"/>
                <w:i/>
                <w:sz w:val="16"/>
                <w:szCs w:val="16"/>
              </w:rPr>
              <w:t xml:space="preserve"> </w:t>
            </w:r>
            <w:r w:rsidRPr="00323D6E">
              <w:rPr>
                <w:rFonts w:cs="Arial"/>
                <w:sz w:val="16"/>
                <w:szCs w:val="16"/>
              </w:rPr>
              <w:t>tbd end of 2013</w:t>
            </w:r>
            <w:r w:rsidRPr="00323D6E">
              <w:rPr>
                <w:rFonts w:cs="Arial"/>
                <w:sz w:val="16"/>
                <w:szCs w:val="16"/>
              </w:rPr>
              <w:br/>
            </w:r>
          </w:p>
        </w:tc>
        <w:tc>
          <w:tcPr>
            <w:tcW w:w="760" w:type="pct"/>
            <w:shd w:val="clear" w:color="auto" w:fill="auto"/>
            <w:tcMar>
              <w:top w:w="110" w:type="dxa"/>
            </w:tcMar>
          </w:tcPr>
          <w:p w:rsidR="00E16443" w:rsidRDefault="00E16443" w:rsidP="00FF1B2D">
            <w:pPr>
              <w:autoSpaceDE w:val="0"/>
              <w:autoSpaceDN w:val="0"/>
              <w:adjustRightInd w:val="0"/>
              <w:rPr>
                <w:rFonts w:ascii="ArialMT" w:hAnsi="ArialMT" w:cs="ArialMT"/>
                <w:sz w:val="16"/>
                <w:szCs w:val="16"/>
              </w:rPr>
            </w:pPr>
            <w:r>
              <w:rPr>
                <w:rFonts w:ascii="ArialMT" w:hAnsi="ArialMT" w:cs="ArialMT"/>
                <w:sz w:val="16"/>
                <w:szCs w:val="16"/>
              </w:rPr>
              <w:t>Eight</w:t>
            </w:r>
            <w:r w:rsidRPr="00323D6E">
              <w:rPr>
                <w:rFonts w:ascii="ArialMT" w:hAnsi="ArialMT" w:cs="ArialMT"/>
                <w:sz w:val="16"/>
                <w:szCs w:val="16"/>
              </w:rPr>
              <w:t xml:space="preserve"> new working papers</w:t>
            </w:r>
          </w:p>
          <w:p w:rsidR="00E16443" w:rsidRDefault="00E16443" w:rsidP="00FF1B2D">
            <w:pPr>
              <w:autoSpaceDE w:val="0"/>
              <w:autoSpaceDN w:val="0"/>
              <w:adjustRightInd w:val="0"/>
              <w:rPr>
                <w:rFonts w:ascii="ArialMT" w:hAnsi="ArialMT" w:cs="ArialMT"/>
                <w:sz w:val="16"/>
                <w:szCs w:val="16"/>
              </w:rPr>
            </w:pPr>
          </w:p>
          <w:p w:rsidR="00E16443" w:rsidRPr="0027745B" w:rsidRDefault="00E16443" w:rsidP="00FF1B2D">
            <w:pPr>
              <w:autoSpaceDE w:val="0"/>
              <w:autoSpaceDN w:val="0"/>
              <w:adjustRightInd w:val="0"/>
              <w:rPr>
                <w:rFonts w:ascii="ArialMT" w:hAnsi="ArialMT" w:cs="ArialMT"/>
                <w:sz w:val="16"/>
                <w:szCs w:val="16"/>
              </w:rPr>
            </w:pPr>
          </w:p>
        </w:tc>
        <w:tc>
          <w:tcPr>
            <w:tcW w:w="1360" w:type="pct"/>
            <w:shd w:val="clear" w:color="auto" w:fill="FFFFFF"/>
            <w:tcMar>
              <w:top w:w="110" w:type="dxa"/>
            </w:tcMar>
          </w:tcPr>
          <w:p w:rsidR="00E16443" w:rsidRPr="00E7199D" w:rsidRDefault="00E16443" w:rsidP="00FF1B2D">
            <w:pPr>
              <w:rPr>
                <w:sz w:val="16"/>
                <w:szCs w:val="16"/>
              </w:rPr>
            </w:pPr>
            <w:r w:rsidRPr="00E7199D">
              <w:rPr>
                <w:sz w:val="16"/>
                <w:szCs w:val="16"/>
              </w:rPr>
              <w:t xml:space="preserve">11 working papers published in 2014; </w:t>
            </w:r>
            <w:r>
              <w:rPr>
                <w:sz w:val="16"/>
                <w:szCs w:val="16"/>
              </w:rPr>
              <w:t>6</w:t>
            </w:r>
            <w:r w:rsidRPr="00E7199D">
              <w:rPr>
                <w:sz w:val="16"/>
                <w:szCs w:val="16"/>
              </w:rPr>
              <w:t xml:space="preserve"> working papers published in 2015</w:t>
            </w:r>
          </w:p>
        </w:tc>
        <w:tc>
          <w:tcPr>
            <w:tcW w:w="531" w:type="pct"/>
            <w:shd w:val="clear" w:color="auto" w:fill="auto"/>
            <w:tcMar>
              <w:top w:w="110" w:type="dxa"/>
            </w:tcMar>
          </w:tcPr>
          <w:p w:rsidR="00E16443" w:rsidRPr="008D63A6" w:rsidRDefault="00E16443" w:rsidP="00FF1B2D">
            <w:pPr>
              <w:jc w:val="center"/>
              <w:rPr>
                <w:rFonts w:cs="Arial"/>
                <w:bCs/>
                <w:color w:val="595959" w:themeColor="text1" w:themeTint="A6"/>
                <w:sz w:val="16"/>
                <w:szCs w:val="16"/>
              </w:rPr>
            </w:pPr>
            <w:r>
              <w:rPr>
                <w:rFonts w:cs="Arial"/>
                <w:b/>
                <w:bCs/>
                <w:color w:val="00B050"/>
                <w:sz w:val="16"/>
                <w:szCs w:val="16"/>
              </w:rPr>
              <w:t xml:space="preserve">Fully </w:t>
            </w:r>
            <w:r w:rsidR="003927FD">
              <w:rPr>
                <w:rFonts w:cs="Arial"/>
                <w:b/>
                <w:bCs/>
                <w:color w:val="00B050"/>
                <w:sz w:val="16"/>
                <w:szCs w:val="16"/>
              </w:rPr>
              <w:t>A</w:t>
            </w:r>
            <w:r>
              <w:rPr>
                <w:rFonts w:cs="Arial"/>
                <w:b/>
                <w:bCs/>
                <w:color w:val="00B050"/>
                <w:sz w:val="16"/>
                <w:szCs w:val="16"/>
              </w:rPr>
              <w:t>chieved</w:t>
            </w:r>
          </w:p>
        </w:tc>
      </w:tr>
      <w:tr w:rsidR="00E16443" w:rsidTr="00BA6F3B">
        <w:trPr>
          <w:cantSplit/>
        </w:trPr>
        <w:tc>
          <w:tcPr>
            <w:tcW w:w="1137" w:type="pct"/>
            <w:shd w:val="clear" w:color="auto" w:fill="auto"/>
          </w:tcPr>
          <w:p w:rsidR="00E16443" w:rsidRPr="00981E14" w:rsidRDefault="00E16443" w:rsidP="00FF1B2D">
            <w:pPr>
              <w:rPr>
                <w:rFonts w:cs="Arial"/>
                <w:sz w:val="16"/>
                <w:szCs w:val="16"/>
              </w:rPr>
            </w:pPr>
            <w:r w:rsidRPr="00323D6E">
              <w:rPr>
                <w:rFonts w:cs="Arial"/>
                <w:sz w:val="16"/>
                <w:szCs w:val="16"/>
              </w:rPr>
              <w:t>No. of downloads of seminars</w:t>
            </w:r>
          </w:p>
        </w:tc>
        <w:tc>
          <w:tcPr>
            <w:tcW w:w="1212" w:type="pct"/>
            <w:shd w:val="clear" w:color="auto" w:fill="auto"/>
          </w:tcPr>
          <w:p w:rsidR="00E16443" w:rsidRPr="005675B4" w:rsidRDefault="00E16443" w:rsidP="00FF1B2D">
            <w:pPr>
              <w:rPr>
                <w:rFonts w:cs="Arial"/>
                <w:i/>
                <w:color w:val="002060"/>
                <w:sz w:val="16"/>
                <w:szCs w:val="16"/>
              </w:rPr>
            </w:pPr>
            <w:r>
              <w:rPr>
                <w:rFonts w:cs="Arial"/>
                <w:i/>
                <w:color w:val="002060"/>
                <w:sz w:val="16"/>
                <w:szCs w:val="16"/>
              </w:rPr>
              <w:t>Updated Baseline end 2013</w:t>
            </w:r>
            <w:r w:rsidRPr="005675B4">
              <w:rPr>
                <w:rFonts w:cs="Arial"/>
                <w:i/>
                <w:color w:val="002060"/>
                <w:sz w:val="16"/>
                <w:szCs w:val="16"/>
              </w:rPr>
              <w:t xml:space="preserve">: </w:t>
            </w:r>
          </w:p>
          <w:p w:rsidR="00E16443" w:rsidRDefault="00E16443" w:rsidP="00FF1B2D">
            <w:pPr>
              <w:rPr>
                <w:rFonts w:cs="Arial"/>
                <w:color w:val="002060"/>
                <w:sz w:val="16"/>
                <w:szCs w:val="16"/>
                <w:lang w:bidi="th-TH"/>
              </w:rPr>
            </w:pPr>
            <w:r>
              <w:rPr>
                <w:rFonts w:cs="Arial"/>
                <w:color w:val="002060"/>
                <w:sz w:val="16"/>
                <w:szCs w:val="16"/>
                <w:lang w:bidi="th-TH"/>
              </w:rPr>
              <w:t>n/a</w:t>
            </w:r>
          </w:p>
          <w:p w:rsidR="00E16443" w:rsidRPr="000B3714" w:rsidRDefault="00E16443" w:rsidP="00FF1B2D">
            <w:pPr>
              <w:rPr>
                <w:rFonts w:cs="Arial"/>
                <w:i/>
                <w:sz w:val="8"/>
                <w:szCs w:val="8"/>
              </w:rPr>
            </w:pPr>
          </w:p>
          <w:p w:rsidR="00E16443" w:rsidRDefault="00E16443" w:rsidP="00FF1B2D">
            <w:pPr>
              <w:rPr>
                <w:rFonts w:cs="Arial"/>
                <w:i/>
                <w:color w:val="002060"/>
                <w:sz w:val="16"/>
                <w:szCs w:val="16"/>
              </w:rPr>
            </w:pPr>
            <w:r>
              <w:rPr>
                <w:rFonts w:cs="Arial"/>
                <w:i/>
                <w:sz w:val="16"/>
                <w:szCs w:val="16"/>
              </w:rPr>
              <w:t>Original Baseline P&amp;B 2014/15</w:t>
            </w:r>
            <w:r w:rsidRPr="0027745B">
              <w:rPr>
                <w:rFonts w:cs="Arial"/>
                <w:i/>
                <w:sz w:val="16"/>
                <w:szCs w:val="16"/>
              </w:rPr>
              <w:t>:</w:t>
            </w:r>
            <w:r>
              <w:rPr>
                <w:rFonts w:cs="Arial"/>
                <w:i/>
                <w:sz w:val="16"/>
                <w:szCs w:val="16"/>
              </w:rPr>
              <w:t xml:space="preserve"> </w:t>
            </w:r>
            <w:r w:rsidRPr="00323D6E">
              <w:rPr>
                <w:rFonts w:cs="Arial"/>
                <w:sz w:val="16"/>
                <w:szCs w:val="16"/>
              </w:rPr>
              <w:t>tbd end of 2013</w:t>
            </w:r>
          </w:p>
        </w:tc>
        <w:tc>
          <w:tcPr>
            <w:tcW w:w="760" w:type="pct"/>
            <w:shd w:val="clear" w:color="auto" w:fill="auto"/>
            <w:tcMar>
              <w:top w:w="110" w:type="dxa"/>
            </w:tcMar>
          </w:tcPr>
          <w:p w:rsidR="00E16443" w:rsidRDefault="00E16443" w:rsidP="00FF1B2D">
            <w:pPr>
              <w:autoSpaceDE w:val="0"/>
              <w:autoSpaceDN w:val="0"/>
              <w:adjustRightInd w:val="0"/>
              <w:rPr>
                <w:rFonts w:ascii="ArialMT" w:hAnsi="ArialMT" w:cs="ArialMT"/>
                <w:sz w:val="16"/>
                <w:szCs w:val="16"/>
              </w:rPr>
            </w:pPr>
            <w:r w:rsidRPr="00323D6E">
              <w:rPr>
                <w:rFonts w:ascii="ArialMT" w:hAnsi="ArialMT" w:cs="ArialMT"/>
                <w:sz w:val="16"/>
                <w:szCs w:val="16"/>
              </w:rPr>
              <w:t>Maintain performance as in previous biennium</w:t>
            </w:r>
          </w:p>
          <w:p w:rsidR="00E16443" w:rsidRDefault="00E16443" w:rsidP="00FF1B2D">
            <w:pPr>
              <w:autoSpaceDE w:val="0"/>
              <w:autoSpaceDN w:val="0"/>
              <w:adjustRightInd w:val="0"/>
              <w:rPr>
                <w:rFonts w:ascii="ArialMT" w:hAnsi="ArialMT" w:cs="ArialMT"/>
                <w:sz w:val="16"/>
                <w:szCs w:val="16"/>
              </w:rPr>
            </w:pPr>
          </w:p>
          <w:p w:rsidR="00E16443" w:rsidRDefault="00E16443" w:rsidP="00FF1B2D">
            <w:pPr>
              <w:autoSpaceDE w:val="0"/>
              <w:autoSpaceDN w:val="0"/>
              <w:adjustRightInd w:val="0"/>
              <w:rPr>
                <w:rFonts w:ascii="ArialMT" w:hAnsi="ArialMT" w:cs="ArialMT"/>
                <w:sz w:val="16"/>
                <w:szCs w:val="16"/>
              </w:rPr>
            </w:pPr>
          </w:p>
        </w:tc>
        <w:tc>
          <w:tcPr>
            <w:tcW w:w="1360" w:type="pct"/>
            <w:shd w:val="clear" w:color="auto" w:fill="FFFFFF"/>
            <w:tcMar>
              <w:top w:w="110" w:type="dxa"/>
            </w:tcMar>
          </w:tcPr>
          <w:p w:rsidR="00E16443" w:rsidRPr="00323D6E" w:rsidRDefault="00E16443" w:rsidP="00FF1B2D">
            <w:pPr>
              <w:rPr>
                <w:rFonts w:ascii="ArialMT" w:hAnsi="ArialMT" w:cs="ArialMT"/>
                <w:sz w:val="16"/>
                <w:szCs w:val="16"/>
              </w:rPr>
            </w:pPr>
            <w:r>
              <w:rPr>
                <w:rFonts w:ascii="ArialMT" w:hAnsi="ArialMT" w:cs="ArialMT"/>
                <w:sz w:val="16"/>
                <w:szCs w:val="16"/>
              </w:rPr>
              <w:t>Data are not available</w:t>
            </w:r>
          </w:p>
        </w:tc>
        <w:tc>
          <w:tcPr>
            <w:tcW w:w="531" w:type="pct"/>
            <w:shd w:val="clear" w:color="auto" w:fill="auto"/>
            <w:tcMar>
              <w:top w:w="110" w:type="dxa"/>
            </w:tcMar>
          </w:tcPr>
          <w:p w:rsidR="00E16443" w:rsidRPr="00FF3639" w:rsidRDefault="00E16443" w:rsidP="00FF1B2D">
            <w:pPr>
              <w:jc w:val="center"/>
              <w:rPr>
                <w:b/>
                <w:bCs/>
                <w:color w:val="00B050"/>
                <w:sz w:val="12"/>
                <w:szCs w:val="12"/>
              </w:rPr>
            </w:pPr>
            <w:r w:rsidRPr="00FF1B2D">
              <w:rPr>
                <w:b/>
                <w:bCs/>
                <w:sz w:val="14"/>
                <w:szCs w:val="12"/>
              </w:rPr>
              <w:t>Dis-continued</w:t>
            </w:r>
          </w:p>
        </w:tc>
      </w:tr>
    </w:tbl>
    <w:p w:rsidR="00E16443" w:rsidRPr="00FF1B2D" w:rsidRDefault="00E16443" w:rsidP="00B9043D">
      <w:pPr>
        <w:jc w:val="both"/>
        <w:rPr>
          <w:rFonts w:cs="Arial"/>
          <w:bCs/>
          <w:color w:val="000000"/>
          <w:szCs w:val="22"/>
          <w:highlight w:val="yellow"/>
        </w:rPr>
      </w:pPr>
    </w:p>
    <w:p w:rsidR="00E16443" w:rsidRPr="00FF1B2D" w:rsidRDefault="00E16443" w:rsidP="00B9043D">
      <w:pPr>
        <w:jc w:val="both"/>
        <w:rPr>
          <w:bCs/>
          <w:szCs w:val="22"/>
        </w:rPr>
      </w:pPr>
    </w:p>
    <w:p w:rsidR="00E16443" w:rsidRPr="003E047D" w:rsidRDefault="00E16443" w:rsidP="00B9043D">
      <w:pPr>
        <w:jc w:val="both"/>
        <w:rPr>
          <w:rFonts w:cs="Arial"/>
          <w:color w:val="000000"/>
          <w:szCs w:val="22"/>
        </w:rPr>
      </w:pPr>
      <w:r w:rsidRPr="003E047D">
        <w:rPr>
          <w:rFonts w:cs="Arial"/>
          <w:color w:val="000000"/>
          <w:szCs w:val="22"/>
        </w:rPr>
        <w:t>RISK REPORTING FOR THE BIENNIUM</w:t>
      </w:r>
    </w:p>
    <w:p w:rsidR="00E16443" w:rsidRDefault="00E16443" w:rsidP="00B9043D">
      <w:pPr>
        <w:keepNext/>
        <w:keepLines/>
      </w:pPr>
    </w:p>
    <w:tbl>
      <w:tblPr>
        <w:tblW w:w="0" w:type="auto"/>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2338"/>
        <w:gridCol w:w="2201"/>
        <w:gridCol w:w="2270"/>
        <w:gridCol w:w="2547"/>
      </w:tblGrid>
      <w:tr w:rsidR="00E16443" w:rsidTr="00584365">
        <w:trPr>
          <w:trHeight w:val="380"/>
        </w:trPr>
        <w:tc>
          <w:tcPr>
            <w:tcW w:w="2338" w:type="dxa"/>
            <w:tcBorders>
              <w:top w:val="single" w:sz="4" w:space="0" w:color="auto"/>
              <w:bottom w:val="single" w:sz="4" w:space="0" w:color="auto"/>
            </w:tcBorders>
            <w:shd w:val="clear" w:color="auto" w:fill="C6D9F1" w:themeFill="text2" w:themeFillTint="33"/>
            <w:tcMar>
              <w:top w:w="113" w:type="dxa"/>
              <w:bottom w:w="85" w:type="dxa"/>
            </w:tcMar>
            <w:vAlign w:val="center"/>
          </w:tcPr>
          <w:p w:rsidR="00E16443" w:rsidRPr="003C527B" w:rsidRDefault="00E16443" w:rsidP="00B9043D">
            <w:pPr>
              <w:autoSpaceDE w:val="0"/>
              <w:autoSpaceDN w:val="0"/>
              <w:adjustRightInd w:val="0"/>
              <w:ind w:right="-59"/>
              <w:jc w:val="center"/>
              <w:rPr>
                <w:b/>
                <w:bCs/>
                <w:iCs/>
                <w:sz w:val="18"/>
                <w:szCs w:val="18"/>
              </w:rPr>
            </w:pPr>
            <w:r w:rsidRPr="003C527B">
              <w:rPr>
                <w:b/>
                <w:bCs/>
                <w:iCs/>
                <w:sz w:val="18"/>
                <w:szCs w:val="18"/>
              </w:rPr>
              <w:t>Risk(s) to the Program achieving its Results</w:t>
            </w:r>
          </w:p>
        </w:tc>
        <w:tc>
          <w:tcPr>
            <w:tcW w:w="2201" w:type="dxa"/>
            <w:tcBorders>
              <w:top w:val="single" w:sz="4" w:space="0" w:color="auto"/>
              <w:bottom w:val="single" w:sz="4" w:space="0" w:color="auto"/>
            </w:tcBorders>
            <w:shd w:val="clear" w:color="auto" w:fill="C6D9F1" w:themeFill="text2" w:themeFillTint="33"/>
            <w:tcMar>
              <w:top w:w="113" w:type="dxa"/>
              <w:bottom w:w="85" w:type="dxa"/>
            </w:tcMar>
            <w:vAlign w:val="center"/>
          </w:tcPr>
          <w:p w:rsidR="00E16443" w:rsidRPr="003C527B" w:rsidRDefault="00E16443" w:rsidP="00B9043D">
            <w:pPr>
              <w:autoSpaceDE w:val="0"/>
              <w:autoSpaceDN w:val="0"/>
              <w:adjustRightInd w:val="0"/>
              <w:ind w:right="-59"/>
              <w:jc w:val="center"/>
              <w:rPr>
                <w:b/>
                <w:bCs/>
                <w:iCs/>
                <w:sz w:val="18"/>
                <w:szCs w:val="18"/>
              </w:rPr>
            </w:pPr>
            <w:r w:rsidRPr="003C527B">
              <w:rPr>
                <w:b/>
                <w:bCs/>
                <w:iCs/>
                <w:sz w:val="18"/>
                <w:szCs w:val="18"/>
              </w:rPr>
              <w:t xml:space="preserve">Mitigation plans in place or under implementation </w:t>
            </w:r>
          </w:p>
        </w:tc>
        <w:tc>
          <w:tcPr>
            <w:tcW w:w="2270" w:type="dxa"/>
            <w:tcBorders>
              <w:top w:val="single" w:sz="4" w:space="0" w:color="auto"/>
              <w:bottom w:val="single" w:sz="4" w:space="0" w:color="auto"/>
            </w:tcBorders>
            <w:shd w:val="clear" w:color="auto" w:fill="C6D9F1" w:themeFill="text2" w:themeFillTint="33"/>
          </w:tcPr>
          <w:p w:rsidR="00E16443" w:rsidRPr="003C527B" w:rsidRDefault="00E16443" w:rsidP="00B9043D">
            <w:pPr>
              <w:jc w:val="center"/>
              <w:rPr>
                <w:b/>
                <w:bCs/>
                <w:sz w:val="18"/>
                <w:szCs w:val="18"/>
              </w:rPr>
            </w:pPr>
            <w:r>
              <w:rPr>
                <w:b/>
                <w:bCs/>
                <w:sz w:val="18"/>
                <w:szCs w:val="18"/>
              </w:rPr>
              <w:t>Evolution of Risk(s) and Mitigation Strategies Over the Biennium</w:t>
            </w:r>
          </w:p>
        </w:tc>
        <w:tc>
          <w:tcPr>
            <w:tcW w:w="2547" w:type="dxa"/>
            <w:tcBorders>
              <w:top w:val="single" w:sz="4" w:space="0" w:color="auto"/>
              <w:bottom w:val="single" w:sz="4" w:space="0" w:color="auto"/>
            </w:tcBorders>
            <w:shd w:val="clear" w:color="auto" w:fill="C6D9F1" w:themeFill="text2" w:themeFillTint="33"/>
          </w:tcPr>
          <w:p w:rsidR="00E16443" w:rsidRPr="003C527B" w:rsidRDefault="00E16443" w:rsidP="00B9043D">
            <w:pPr>
              <w:jc w:val="center"/>
              <w:rPr>
                <w:b/>
                <w:bCs/>
                <w:sz w:val="18"/>
                <w:szCs w:val="18"/>
              </w:rPr>
            </w:pPr>
            <w:r>
              <w:rPr>
                <w:b/>
                <w:bCs/>
                <w:sz w:val="18"/>
                <w:szCs w:val="18"/>
              </w:rPr>
              <w:t>Impact on the Program’s Performance</w:t>
            </w:r>
          </w:p>
        </w:tc>
      </w:tr>
      <w:tr w:rsidR="00E16443" w:rsidTr="00584365">
        <w:trPr>
          <w:trHeight w:val="789"/>
        </w:trPr>
        <w:tc>
          <w:tcPr>
            <w:tcW w:w="2338" w:type="dxa"/>
            <w:tcBorders>
              <w:top w:val="single" w:sz="4" w:space="0" w:color="auto"/>
            </w:tcBorders>
            <w:shd w:val="clear" w:color="auto" w:fill="auto"/>
            <w:tcMar>
              <w:top w:w="113" w:type="dxa"/>
              <w:bottom w:w="85" w:type="dxa"/>
            </w:tcMar>
          </w:tcPr>
          <w:p w:rsidR="00E16443" w:rsidRPr="003C527B" w:rsidRDefault="00E16443" w:rsidP="00B9043D">
            <w:pPr>
              <w:autoSpaceDE w:val="0"/>
              <w:autoSpaceDN w:val="0"/>
              <w:adjustRightInd w:val="0"/>
              <w:ind w:right="-59"/>
              <w:rPr>
                <w:sz w:val="16"/>
                <w:szCs w:val="16"/>
              </w:rPr>
            </w:pPr>
            <w:r w:rsidRPr="003C527B">
              <w:rPr>
                <w:bCs/>
                <w:sz w:val="16"/>
                <w:szCs w:val="16"/>
              </w:rPr>
              <w:t>Member States are not in a position to respond or are late in responding to WIPO’s statistics survey.</w:t>
            </w:r>
          </w:p>
        </w:tc>
        <w:tc>
          <w:tcPr>
            <w:tcW w:w="2201" w:type="dxa"/>
            <w:tcBorders>
              <w:top w:val="single" w:sz="4" w:space="0" w:color="auto"/>
            </w:tcBorders>
            <w:shd w:val="clear" w:color="auto" w:fill="auto"/>
            <w:tcMar>
              <w:top w:w="113" w:type="dxa"/>
              <w:bottom w:w="85" w:type="dxa"/>
            </w:tcMar>
          </w:tcPr>
          <w:p w:rsidR="00E16443" w:rsidRPr="003C527B" w:rsidRDefault="00E16443" w:rsidP="00B9043D">
            <w:pPr>
              <w:autoSpaceDE w:val="0"/>
              <w:autoSpaceDN w:val="0"/>
              <w:adjustRightInd w:val="0"/>
              <w:ind w:right="-59"/>
              <w:rPr>
                <w:sz w:val="16"/>
                <w:szCs w:val="16"/>
              </w:rPr>
            </w:pPr>
            <w:r w:rsidRPr="003C527B">
              <w:rPr>
                <w:bCs/>
                <w:sz w:val="16"/>
                <w:szCs w:val="16"/>
              </w:rPr>
              <w:t>Statistics questionnaires will be sent early in the year (by February);  a list of statistical contact points in national IP offices will be maintained for follow up communication; sufficient resources will be devoted to follow up communication.</w:t>
            </w:r>
          </w:p>
        </w:tc>
        <w:tc>
          <w:tcPr>
            <w:tcW w:w="2270" w:type="dxa"/>
            <w:tcBorders>
              <w:top w:val="single" w:sz="4" w:space="0" w:color="auto"/>
            </w:tcBorders>
          </w:tcPr>
          <w:p w:rsidR="00E16443" w:rsidRPr="003C527B" w:rsidRDefault="00E16443">
            <w:pPr>
              <w:autoSpaceDE w:val="0"/>
              <w:autoSpaceDN w:val="0"/>
              <w:adjustRightInd w:val="0"/>
              <w:ind w:right="-59"/>
              <w:rPr>
                <w:bCs/>
                <w:sz w:val="16"/>
                <w:szCs w:val="16"/>
              </w:rPr>
            </w:pPr>
            <w:r>
              <w:rPr>
                <w:bCs/>
                <w:sz w:val="16"/>
                <w:szCs w:val="16"/>
              </w:rPr>
              <w:t xml:space="preserve">This risk is a continuous risk, which has been addressed and managed through focused mitigation plans as indicated.  As a result, the coverage of the IP statistics questionnaire rose during the biennium   </w:t>
            </w:r>
          </w:p>
        </w:tc>
        <w:tc>
          <w:tcPr>
            <w:tcW w:w="2547" w:type="dxa"/>
            <w:tcBorders>
              <w:top w:val="single" w:sz="4" w:space="0" w:color="auto"/>
            </w:tcBorders>
          </w:tcPr>
          <w:p w:rsidR="00E16443" w:rsidRPr="003C527B" w:rsidRDefault="00E16443" w:rsidP="00B9043D">
            <w:pPr>
              <w:autoSpaceDE w:val="0"/>
              <w:autoSpaceDN w:val="0"/>
              <w:adjustRightInd w:val="0"/>
              <w:ind w:right="-59"/>
              <w:rPr>
                <w:bCs/>
                <w:sz w:val="16"/>
                <w:szCs w:val="16"/>
              </w:rPr>
            </w:pPr>
            <w:r>
              <w:rPr>
                <w:bCs/>
                <w:sz w:val="16"/>
                <w:szCs w:val="16"/>
              </w:rPr>
              <w:t>In a few cases, statistical data were reported with a delay, but this did not have any significant impact on the Program’s key statistical products.</w:t>
            </w:r>
          </w:p>
        </w:tc>
      </w:tr>
      <w:tr w:rsidR="00E16443" w:rsidTr="00584365">
        <w:trPr>
          <w:trHeight w:val="1059"/>
        </w:trPr>
        <w:tc>
          <w:tcPr>
            <w:tcW w:w="2338" w:type="dxa"/>
            <w:shd w:val="clear" w:color="auto" w:fill="auto"/>
            <w:tcMar>
              <w:top w:w="113" w:type="dxa"/>
              <w:bottom w:w="85" w:type="dxa"/>
            </w:tcMar>
          </w:tcPr>
          <w:p w:rsidR="00E16443" w:rsidRPr="003C527B" w:rsidRDefault="00E16443" w:rsidP="00B9043D">
            <w:pPr>
              <w:autoSpaceDE w:val="0"/>
              <w:autoSpaceDN w:val="0"/>
              <w:adjustRightInd w:val="0"/>
              <w:ind w:right="-59"/>
              <w:rPr>
                <w:bCs/>
                <w:sz w:val="16"/>
                <w:szCs w:val="16"/>
              </w:rPr>
            </w:pPr>
            <w:r w:rsidRPr="003C527B">
              <w:rPr>
                <w:bCs/>
                <w:sz w:val="16"/>
                <w:szCs w:val="16"/>
              </w:rPr>
              <w:t>WIPO publications misreport statistical data or reflect analytical shortcomings</w:t>
            </w:r>
          </w:p>
        </w:tc>
        <w:tc>
          <w:tcPr>
            <w:tcW w:w="2201" w:type="dxa"/>
            <w:shd w:val="clear" w:color="auto" w:fill="auto"/>
            <w:tcMar>
              <w:top w:w="113" w:type="dxa"/>
              <w:bottom w:w="85" w:type="dxa"/>
            </w:tcMar>
          </w:tcPr>
          <w:p w:rsidR="00E16443" w:rsidRPr="003C527B" w:rsidRDefault="00E16443" w:rsidP="00B9043D">
            <w:pPr>
              <w:autoSpaceDE w:val="0"/>
              <w:autoSpaceDN w:val="0"/>
              <w:adjustRightInd w:val="0"/>
              <w:ind w:right="-59"/>
              <w:rPr>
                <w:bCs/>
                <w:sz w:val="16"/>
                <w:szCs w:val="16"/>
              </w:rPr>
            </w:pPr>
            <w:r w:rsidRPr="003C527B">
              <w:rPr>
                <w:bCs/>
                <w:sz w:val="16"/>
                <w:szCs w:val="16"/>
              </w:rPr>
              <w:t>Control mechanisms are instituted that identify data inconsistencies during the collection of IP statistics; all statistical publications are carefully reviewed by statistical experts and relevant WIPO sectors; all analytical publications are externally peer reviewed.</w:t>
            </w:r>
          </w:p>
        </w:tc>
        <w:tc>
          <w:tcPr>
            <w:tcW w:w="2270" w:type="dxa"/>
          </w:tcPr>
          <w:p w:rsidR="00E16443" w:rsidRPr="003C527B" w:rsidRDefault="00E16443" w:rsidP="00B9043D">
            <w:pPr>
              <w:autoSpaceDE w:val="0"/>
              <w:autoSpaceDN w:val="0"/>
              <w:adjustRightInd w:val="0"/>
              <w:ind w:right="-59"/>
              <w:rPr>
                <w:bCs/>
                <w:sz w:val="16"/>
                <w:szCs w:val="16"/>
              </w:rPr>
            </w:pPr>
            <w:r>
              <w:rPr>
                <w:bCs/>
                <w:sz w:val="16"/>
                <w:szCs w:val="16"/>
              </w:rPr>
              <w:t>This is another continuing risk for the Program, managed through the mitigation plans in place, which have effectively identified data quality issues during the biennium (data inconsistencies) and enabled the resolution of these with relevant Member States</w:t>
            </w:r>
          </w:p>
        </w:tc>
        <w:tc>
          <w:tcPr>
            <w:tcW w:w="2547" w:type="dxa"/>
          </w:tcPr>
          <w:p w:rsidR="00E16443" w:rsidRDefault="00E16443" w:rsidP="00B9043D">
            <w:pPr>
              <w:autoSpaceDE w:val="0"/>
              <w:autoSpaceDN w:val="0"/>
              <w:adjustRightInd w:val="0"/>
              <w:ind w:right="-59"/>
              <w:rPr>
                <w:bCs/>
                <w:sz w:val="16"/>
                <w:szCs w:val="16"/>
              </w:rPr>
            </w:pPr>
            <w:r>
              <w:rPr>
                <w:bCs/>
                <w:sz w:val="16"/>
                <w:szCs w:val="16"/>
              </w:rPr>
              <w:t>R</w:t>
            </w:r>
            <w:r w:rsidRPr="007C3F39">
              <w:rPr>
                <w:bCs/>
                <w:sz w:val="16"/>
                <w:szCs w:val="16"/>
              </w:rPr>
              <w:t xml:space="preserve">eporting </w:t>
            </w:r>
            <w:r>
              <w:rPr>
                <w:bCs/>
                <w:sz w:val="16"/>
                <w:szCs w:val="16"/>
              </w:rPr>
              <w:t xml:space="preserve">delays/errors created extra work internally </w:t>
            </w:r>
            <w:r w:rsidRPr="007C3F39">
              <w:rPr>
                <w:bCs/>
                <w:sz w:val="16"/>
                <w:szCs w:val="16"/>
              </w:rPr>
              <w:t xml:space="preserve">but </w:t>
            </w:r>
            <w:r>
              <w:rPr>
                <w:bCs/>
                <w:sz w:val="16"/>
                <w:szCs w:val="16"/>
              </w:rPr>
              <w:t xml:space="preserve">did not </w:t>
            </w:r>
            <w:r w:rsidRPr="007C3F39">
              <w:rPr>
                <w:bCs/>
                <w:sz w:val="16"/>
                <w:szCs w:val="16"/>
              </w:rPr>
              <w:t xml:space="preserve">delay or affect the quality of </w:t>
            </w:r>
            <w:r>
              <w:rPr>
                <w:bCs/>
                <w:sz w:val="16"/>
                <w:szCs w:val="16"/>
              </w:rPr>
              <w:t>the</w:t>
            </w:r>
            <w:r w:rsidRPr="007C3F39">
              <w:rPr>
                <w:bCs/>
                <w:sz w:val="16"/>
                <w:szCs w:val="16"/>
              </w:rPr>
              <w:t xml:space="preserve"> publications.</w:t>
            </w:r>
          </w:p>
          <w:p w:rsidR="00E16443" w:rsidRPr="003C527B" w:rsidRDefault="00E16443" w:rsidP="00B9043D">
            <w:pPr>
              <w:autoSpaceDE w:val="0"/>
              <w:autoSpaceDN w:val="0"/>
              <w:adjustRightInd w:val="0"/>
              <w:ind w:right="-59"/>
              <w:rPr>
                <w:bCs/>
                <w:sz w:val="16"/>
                <w:szCs w:val="16"/>
              </w:rPr>
            </w:pPr>
          </w:p>
        </w:tc>
      </w:tr>
    </w:tbl>
    <w:p w:rsidR="00E16443" w:rsidRDefault="00E16443" w:rsidP="00B9043D">
      <w:pPr>
        <w:rPr>
          <w:rFonts w:cs="Arial"/>
          <w:color w:val="000000"/>
          <w:sz w:val="22"/>
          <w:szCs w:val="22"/>
        </w:rPr>
      </w:pPr>
    </w:p>
    <w:p w:rsidR="00E16443" w:rsidRPr="003E047D" w:rsidRDefault="00E16443" w:rsidP="00B9043D">
      <w:pPr>
        <w:keepNext/>
        <w:keepLines/>
        <w:spacing w:after="200"/>
        <w:rPr>
          <w:rFonts w:cs="Arial"/>
          <w:color w:val="000000"/>
          <w:szCs w:val="22"/>
        </w:rPr>
      </w:pPr>
      <w:r w:rsidRPr="003E047D">
        <w:rPr>
          <w:rFonts w:cs="Arial"/>
          <w:color w:val="000000"/>
          <w:szCs w:val="22"/>
        </w:rPr>
        <w:lastRenderedPageBreak/>
        <w:t>RESOURCE UTILIZATION</w:t>
      </w:r>
    </w:p>
    <w:p w:rsidR="00E16443" w:rsidRDefault="00E16443" w:rsidP="00B9043D">
      <w:pPr>
        <w:pStyle w:val="NormalWeb"/>
        <w:keepNext/>
        <w:keepLines/>
        <w:spacing w:before="0" w:beforeAutospacing="0" w:after="0" w:afterAutospacing="0"/>
        <w:jc w:val="center"/>
        <w:rPr>
          <w:color w:val="000000"/>
          <w:sz w:val="20"/>
          <w:szCs w:val="20"/>
        </w:rPr>
      </w:pPr>
    </w:p>
    <w:p w:rsidR="00E16443" w:rsidRPr="00383D2D" w:rsidRDefault="00E16443" w:rsidP="00B9043D">
      <w:pPr>
        <w:pStyle w:val="NormalWeb"/>
        <w:keepNext/>
        <w:keepLines/>
        <w:spacing w:before="0" w:beforeAutospacing="0" w:after="0" w:afterAutospacing="0"/>
        <w:jc w:val="center"/>
        <w:rPr>
          <w:sz w:val="20"/>
          <w:szCs w:val="20"/>
        </w:rPr>
      </w:pPr>
      <w:r w:rsidRPr="00383D2D">
        <w:rPr>
          <w:color w:val="000000"/>
          <w:sz w:val="20"/>
          <w:szCs w:val="20"/>
        </w:rPr>
        <w:t>Budget and Actual Expenditure (by result)</w:t>
      </w:r>
    </w:p>
    <w:p w:rsidR="00E16443" w:rsidRDefault="00E16443" w:rsidP="00B9043D">
      <w:pPr>
        <w:pStyle w:val="NormalWeb"/>
        <w:keepNext/>
        <w:keepLines/>
        <w:spacing w:before="0" w:beforeAutospacing="0" w:after="0" w:afterAutospacing="0"/>
        <w:jc w:val="center"/>
        <w:rPr>
          <w:i/>
          <w:iCs/>
          <w:color w:val="000000"/>
          <w:sz w:val="20"/>
          <w:szCs w:val="20"/>
        </w:rPr>
      </w:pPr>
      <w:r w:rsidRPr="00383D2D">
        <w:rPr>
          <w:i/>
          <w:iCs/>
          <w:color w:val="000000"/>
          <w:sz w:val="20"/>
          <w:szCs w:val="20"/>
        </w:rPr>
        <w:t>(in thousands of Swiss francs)</w:t>
      </w:r>
    </w:p>
    <w:p w:rsidR="00E16443" w:rsidRDefault="00E16443" w:rsidP="00B9043D">
      <w:pPr>
        <w:keepNext/>
        <w:keepLines/>
        <w:jc w:val="both"/>
      </w:pPr>
    </w:p>
    <w:p w:rsidR="00E16443" w:rsidRDefault="00E16443" w:rsidP="00B9043D">
      <w:pPr>
        <w:jc w:val="center"/>
      </w:pPr>
      <w:r w:rsidRPr="00536476">
        <w:rPr>
          <w:noProof/>
        </w:rPr>
        <w:drawing>
          <wp:inline distT="0" distB="0" distL="0" distR="0" wp14:anchorId="1A37A260" wp14:editId="635CFCB6">
            <wp:extent cx="5302155" cy="1270181"/>
            <wp:effectExtent l="0" t="0" r="0" b="6350"/>
            <wp:docPr id="895" name="Picture 8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6">
                      <a:extLst>
                        <a:ext uri="{28A0092B-C50C-407E-A947-70E740481C1C}">
                          <a14:useLocalDpi xmlns:a14="http://schemas.microsoft.com/office/drawing/2010/main" val="0"/>
                        </a:ext>
                      </a:extLst>
                    </a:blip>
                    <a:srcRect/>
                    <a:stretch>
                      <a:fillRect/>
                    </a:stretch>
                  </pic:blipFill>
                  <pic:spPr bwMode="auto">
                    <a:xfrm>
                      <a:off x="0" y="0"/>
                      <a:ext cx="5298803" cy="1269378"/>
                    </a:xfrm>
                    <a:prstGeom prst="rect">
                      <a:avLst/>
                    </a:prstGeom>
                    <a:noFill/>
                    <a:ln>
                      <a:noFill/>
                    </a:ln>
                  </pic:spPr>
                </pic:pic>
              </a:graphicData>
            </a:graphic>
          </wp:inline>
        </w:drawing>
      </w:r>
    </w:p>
    <w:p w:rsidR="00E16443" w:rsidRDefault="00E16443" w:rsidP="00B9043D">
      <w:pPr>
        <w:pStyle w:val="NormalWeb"/>
        <w:keepNext/>
        <w:keepLines/>
        <w:spacing w:before="0" w:beforeAutospacing="0" w:after="0" w:afterAutospacing="0"/>
        <w:rPr>
          <w:color w:val="000000"/>
          <w:sz w:val="20"/>
          <w:szCs w:val="20"/>
        </w:rPr>
      </w:pPr>
    </w:p>
    <w:p w:rsidR="00E16443" w:rsidRDefault="00E16443" w:rsidP="00B9043D">
      <w:pPr>
        <w:pStyle w:val="NormalWeb"/>
        <w:keepNext/>
        <w:keepLines/>
        <w:spacing w:before="0" w:beforeAutospacing="0" w:after="0" w:afterAutospacing="0"/>
        <w:jc w:val="center"/>
        <w:rPr>
          <w:color w:val="000000"/>
          <w:sz w:val="20"/>
          <w:szCs w:val="20"/>
        </w:rPr>
      </w:pPr>
    </w:p>
    <w:p w:rsidR="00E16443" w:rsidRPr="00383D2D" w:rsidRDefault="00E16443" w:rsidP="00B9043D">
      <w:pPr>
        <w:pStyle w:val="NormalWeb"/>
        <w:keepNext/>
        <w:keepLines/>
        <w:spacing w:before="0" w:beforeAutospacing="0" w:after="0" w:afterAutospacing="0"/>
        <w:jc w:val="center"/>
        <w:rPr>
          <w:sz w:val="20"/>
          <w:szCs w:val="20"/>
        </w:rPr>
      </w:pPr>
      <w:r w:rsidRPr="00383D2D">
        <w:rPr>
          <w:color w:val="000000"/>
          <w:sz w:val="20"/>
          <w:szCs w:val="20"/>
        </w:rPr>
        <w:t>Budget and Actual Expenditure (personnel and non-personnel)</w:t>
      </w:r>
    </w:p>
    <w:p w:rsidR="00E16443" w:rsidRPr="00383D2D" w:rsidRDefault="00E16443" w:rsidP="00B9043D">
      <w:pPr>
        <w:pStyle w:val="NormalWeb"/>
        <w:keepNext/>
        <w:keepLines/>
        <w:spacing w:before="0" w:beforeAutospacing="0" w:after="0" w:afterAutospacing="0"/>
        <w:jc w:val="center"/>
        <w:rPr>
          <w:i/>
          <w:iCs/>
          <w:color w:val="000000"/>
          <w:sz w:val="20"/>
          <w:szCs w:val="20"/>
        </w:rPr>
      </w:pPr>
      <w:r w:rsidRPr="00383D2D">
        <w:rPr>
          <w:i/>
          <w:iCs/>
          <w:color w:val="000000"/>
          <w:sz w:val="20"/>
          <w:szCs w:val="20"/>
        </w:rPr>
        <w:t>(in thousands of Swiss francs)</w:t>
      </w:r>
    </w:p>
    <w:p w:rsidR="00E16443" w:rsidRDefault="00E16443" w:rsidP="00B9043D">
      <w:pPr>
        <w:pStyle w:val="NormalWeb"/>
        <w:keepNext/>
        <w:keepLines/>
        <w:spacing w:before="0" w:beforeAutospacing="0" w:after="0" w:afterAutospacing="0"/>
        <w:jc w:val="both"/>
      </w:pPr>
    </w:p>
    <w:p w:rsidR="00E16443" w:rsidRDefault="00E16443" w:rsidP="00B9043D">
      <w:pPr>
        <w:widowControl w:val="0"/>
        <w:autoSpaceDE w:val="0"/>
        <w:autoSpaceDN w:val="0"/>
        <w:adjustRightInd w:val="0"/>
        <w:jc w:val="center"/>
        <w:rPr>
          <w:rFonts w:cs="Arial"/>
          <w:szCs w:val="20"/>
        </w:rPr>
      </w:pPr>
      <w:r w:rsidRPr="00EE52B0">
        <w:rPr>
          <w:noProof/>
        </w:rPr>
        <w:drawing>
          <wp:inline distT="0" distB="0" distL="0" distR="0" wp14:anchorId="0157C908" wp14:editId="1FC7F580">
            <wp:extent cx="5295332" cy="994984"/>
            <wp:effectExtent l="0" t="0" r="635" b="0"/>
            <wp:docPr id="896" name="Picture 8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7">
                      <a:extLst>
                        <a:ext uri="{28A0092B-C50C-407E-A947-70E740481C1C}">
                          <a14:useLocalDpi xmlns:a14="http://schemas.microsoft.com/office/drawing/2010/main" val="0"/>
                        </a:ext>
                      </a:extLst>
                    </a:blip>
                    <a:srcRect/>
                    <a:stretch>
                      <a:fillRect/>
                    </a:stretch>
                  </pic:blipFill>
                  <pic:spPr bwMode="auto">
                    <a:xfrm>
                      <a:off x="0" y="0"/>
                      <a:ext cx="5316304" cy="998925"/>
                    </a:xfrm>
                    <a:prstGeom prst="rect">
                      <a:avLst/>
                    </a:prstGeom>
                    <a:noFill/>
                    <a:ln>
                      <a:noFill/>
                    </a:ln>
                  </pic:spPr>
                </pic:pic>
              </a:graphicData>
            </a:graphic>
          </wp:inline>
        </w:drawing>
      </w:r>
    </w:p>
    <w:p w:rsidR="00E16443" w:rsidRDefault="00E16443" w:rsidP="00B9043D">
      <w:pPr>
        <w:widowControl w:val="0"/>
        <w:autoSpaceDE w:val="0"/>
        <w:autoSpaceDN w:val="0"/>
        <w:adjustRightInd w:val="0"/>
        <w:jc w:val="both"/>
        <w:rPr>
          <w:rFonts w:cs="Arial"/>
          <w:szCs w:val="20"/>
        </w:rPr>
      </w:pPr>
    </w:p>
    <w:p w:rsidR="00E16443" w:rsidRPr="001C6F4D" w:rsidRDefault="00E16443" w:rsidP="00B9043D">
      <w:pPr>
        <w:widowControl w:val="0"/>
        <w:autoSpaceDE w:val="0"/>
        <w:autoSpaceDN w:val="0"/>
        <w:adjustRightInd w:val="0"/>
        <w:jc w:val="both"/>
        <w:rPr>
          <w:rFonts w:cs="Arial"/>
          <w:szCs w:val="20"/>
        </w:rPr>
      </w:pPr>
    </w:p>
    <w:p w:rsidR="00E16443" w:rsidRDefault="00E16443" w:rsidP="00B9043D">
      <w:pPr>
        <w:jc w:val="both"/>
        <w:rPr>
          <w:rFonts w:cs="Arial"/>
          <w:u w:val="single"/>
        </w:rPr>
      </w:pPr>
      <w:r w:rsidRPr="00420F90">
        <w:rPr>
          <w:rFonts w:cs="Arial"/>
          <w:szCs w:val="20"/>
        </w:rPr>
        <w:t>A.</w:t>
      </w:r>
      <w:r w:rsidRPr="00420F90">
        <w:rPr>
          <w:rFonts w:cs="Arial"/>
        </w:rPr>
        <w:tab/>
      </w:r>
      <w:r w:rsidRPr="00420F90">
        <w:rPr>
          <w:rFonts w:cs="Arial"/>
          <w:u w:val="single"/>
        </w:rPr>
        <w:t>201</w:t>
      </w:r>
      <w:r>
        <w:rPr>
          <w:rFonts w:cs="Arial"/>
          <w:u w:val="single"/>
        </w:rPr>
        <w:t xml:space="preserve">4/15 Final </w:t>
      </w:r>
      <w:r w:rsidRPr="00420F90">
        <w:rPr>
          <w:rFonts w:cs="Arial"/>
          <w:u w:val="single"/>
        </w:rPr>
        <w:t xml:space="preserve">Budget after Transfers </w:t>
      </w:r>
    </w:p>
    <w:p w:rsidR="00E16443" w:rsidRDefault="00E16443" w:rsidP="00B9043D">
      <w:pPr>
        <w:autoSpaceDE w:val="0"/>
        <w:autoSpaceDN w:val="0"/>
        <w:jc w:val="both"/>
        <w:rPr>
          <w:rFonts w:cs="Arial"/>
          <w:szCs w:val="20"/>
          <w:lang w:eastAsia="ko-KR"/>
        </w:rPr>
      </w:pPr>
    </w:p>
    <w:p w:rsidR="00E16443" w:rsidRDefault="00E16443" w:rsidP="00E16443">
      <w:pPr>
        <w:pStyle w:val="ListParagraph"/>
        <w:numPr>
          <w:ilvl w:val="0"/>
          <w:numId w:val="17"/>
        </w:numPr>
        <w:tabs>
          <w:tab w:val="left" w:pos="709"/>
        </w:tabs>
        <w:ind w:left="0" w:firstLine="0"/>
        <w:jc w:val="both"/>
        <w:rPr>
          <w:rFonts w:cs="Arial"/>
          <w:lang w:eastAsia="ko-KR"/>
        </w:rPr>
      </w:pPr>
      <w:r w:rsidRPr="005B7665">
        <w:t>The</w:t>
      </w:r>
      <w:r>
        <w:rPr>
          <w:rFonts w:cs="Arial"/>
          <w:lang w:eastAsia="ko-KR"/>
        </w:rPr>
        <w:t xml:space="preserve"> slight overall increase in personnel resources was due to the addition of two posts for data analysis and creative economy research.  This increase was partially offset by the budgetary adjustment for the DA Project on </w:t>
      </w:r>
      <w:r>
        <w:t>IP and Socio-Economic Development following the approval of the second phase of the project at the fourteenth session of the CDIP (CDIP/14/7).</w:t>
      </w:r>
    </w:p>
    <w:p w:rsidR="00E16443" w:rsidRDefault="00E16443" w:rsidP="00B9043D">
      <w:pPr>
        <w:autoSpaceDE w:val="0"/>
        <w:autoSpaceDN w:val="0"/>
        <w:jc w:val="both"/>
        <w:rPr>
          <w:rFonts w:cs="Arial"/>
          <w:szCs w:val="20"/>
          <w:lang w:eastAsia="ko-KR"/>
        </w:rPr>
      </w:pPr>
    </w:p>
    <w:p w:rsidR="00E16443" w:rsidRDefault="00E16443" w:rsidP="00E16443">
      <w:pPr>
        <w:pStyle w:val="ListParagraph"/>
        <w:numPr>
          <w:ilvl w:val="0"/>
          <w:numId w:val="17"/>
        </w:numPr>
        <w:tabs>
          <w:tab w:val="left" w:pos="709"/>
        </w:tabs>
        <w:ind w:left="0" w:firstLine="0"/>
        <w:jc w:val="both"/>
        <w:rPr>
          <w:rFonts w:cs="Arial"/>
          <w:lang w:eastAsia="ko-KR"/>
        </w:rPr>
      </w:pPr>
      <w:r>
        <w:rPr>
          <w:rFonts w:cs="Arial"/>
          <w:lang w:eastAsia="ko-KR"/>
        </w:rPr>
        <w:t xml:space="preserve">The overall decrease in non-personnel resources was primarily due to: (i) </w:t>
      </w:r>
      <w:r w:rsidRPr="009C019B">
        <w:rPr>
          <w:rFonts w:cs="Arial"/>
          <w:lang w:eastAsia="ko-KR"/>
        </w:rPr>
        <w:t xml:space="preserve">the </w:t>
      </w:r>
      <w:r>
        <w:rPr>
          <w:rFonts w:cs="Arial"/>
          <w:lang w:eastAsia="ko-KR"/>
        </w:rPr>
        <w:t xml:space="preserve">budgetary adjustment for the DA Project on </w:t>
      </w:r>
      <w:r>
        <w:t>IP and Socio-Economic Development;</w:t>
      </w:r>
      <w:r w:rsidRPr="009C019B">
        <w:rPr>
          <w:rFonts w:cs="Arial"/>
          <w:lang w:eastAsia="ko-KR"/>
        </w:rPr>
        <w:t xml:space="preserve"> and</w:t>
      </w:r>
      <w:r>
        <w:rPr>
          <w:rFonts w:cs="Arial"/>
          <w:lang w:eastAsia="ko-KR"/>
        </w:rPr>
        <w:t xml:space="preserve"> (ii) </w:t>
      </w:r>
      <w:r w:rsidRPr="00CC6E90">
        <w:rPr>
          <w:rFonts w:cs="Arial"/>
          <w:lang w:eastAsia="ko-KR"/>
        </w:rPr>
        <w:t>the transfer of non-personnel resource</w:t>
      </w:r>
      <w:r>
        <w:rPr>
          <w:rFonts w:cs="Arial"/>
          <w:lang w:eastAsia="ko-KR"/>
        </w:rPr>
        <w:t xml:space="preserve">s for internships to Program 23 (HRMD) to support the work of the Program.  This decrease was partially offset by an increase in non-personnel resources for promotional activities for the World IP Report and the Global Innovation Index and the commissioning of a special study on the fee elasticity of filings under the Madrid System.  </w:t>
      </w:r>
    </w:p>
    <w:p w:rsidR="00E16443" w:rsidRDefault="00E16443" w:rsidP="00B9043D">
      <w:pPr>
        <w:autoSpaceDE w:val="0"/>
        <w:autoSpaceDN w:val="0"/>
        <w:jc w:val="both"/>
        <w:rPr>
          <w:rFonts w:cs="Arial"/>
          <w:szCs w:val="20"/>
          <w:lang w:eastAsia="ko-KR"/>
        </w:rPr>
      </w:pPr>
    </w:p>
    <w:p w:rsidR="00E16443" w:rsidRDefault="00E16443" w:rsidP="00B9043D">
      <w:pPr>
        <w:jc w:val="both"/>
        <w:rPr>
          <w:rFonts w:cs="Arial"/>
          <w:szCs w:val="20"/>
          <w:u w:val="single"/>
          <w:lang w:eastAsia="ko-KR"/>
        </w:rPr>
      </w:pPr>
      <w:r>
        <w:rPr>
          <w:rFonts w:cs="Arial"/>
          <w:szCs w:val="20"/>
          <w:lang w:eastAsia="ko-KR"/>
        </w:rPr>
        <w:t>B.</w:t>
      </w:r>
      <w:r>
        <w:rPr>
          <w:rFonts w:cs="Arial"/>
          <w:szCs w:val="20"/>
          <w:lang w:eastAsia="ko-KR"/>
        </w:rPr>
        <w:tab/>
      </w:r>
      <w:r w:rsidRPr="00420F90">
        <w:rPr>
          <w:rFonts w:cs="Arial"/>
          <w:u w:val="single"/>
        </w:rPr>
        <w:t>201</w:t>
      </w:r>
      <w:r>
        <w:rPr>
          <w:rFonts w:cs="Arial"/>
          <w:u w:val="single"/>
        </w:rPr>
        <w:t xml:space="preserve">4/15 </w:t>
      </w:r>
      <w:r>
        <w:rPr>
          <w:rFonts w:cs="Arial"/>
          <w:szCs w:val="20"/>
          <w:u w:val="single"/>
          <w:lang w:eastAsia="ko-KR"/>
        </w:rPr>
        <w:t xml:space="preserve">Budget Utilization </w:t>
      </w:r>
    </w:p>
    <w:p w:rsidR="00E16443" w:rsidRDefault="00E16443" w:rsidP="00B9043D">
      <w:pPr>
        <w:tabs>
          <w:tab w:val="left" w:pos="709"/>
        </w:tabs>
        <w:jc w:val="both"/>
        <w:rPr>
          <w:rFonts w:cs="Arial"/>
          <w:szCs w:val="20"/>
          <w:u w:val="single"/>
          <w:lang w:eastAsia="ko-KR"/>
        </w:rPr>
      </w:pPr>
    </w:p>
    <w:p w:rsidR="00E16443" w:rsidRPr="004707AE" w:rsidRDefault="00E16443" w:rsidP="00E16443">
      <w:pPr>
        <w:pStyle w:val="ListParagraph"/>
        <w:numPr>
          <w:ilvl w:val="0"/>
          <w:numId w:val="17"/>
        </w:numPr>
        <w:tabs>
          <w:tab w:val="left" w:pos="709"/>
        </w:tabs>
        <w:ind w:left="0" w:firstLine="0"/>
        <w:jc w:val="both"/>
        <w:rPr>
          <w:rFonts w:cs="Arial"/>
          <w:u w:val="single"/>
          <w:lang w:eastAsia="ko-KR"/>
        </w:rPr>
      </w:pPr>
      <w:r>
        <w:rPr>
          <w:rFonts w:cs="Arial"/>
        </w:rPr>
        <w:t>The 82</w:t>
      </w:r>
      <w:r w:rsidRPr="002E214F">
        <w:rPr>
          <w:rFonts w:cs="Arial"/>
        </w:rPr>
        <w:t xml:space="preserve"> per cent budget utilization for non-personnel was primarily related to</w:t>
      </w:r>
      <w:r>
        <w:rPr>
          <w:rFonts w:cs="Arial"/>
        </w:rPr>
        <w:t xml:space="preserve"> </w:t>
      </w:r>
      <w:r w:rsidRPr="002E214F">
        <w:rPr>
          <w:rFonts w:cs="Arial"/>
        </w:rPr>
        <w:t>a delay in the</w:t>
      </w:r>
      <w:r>
        <w:rPr>
          <w:rFonts w:cs="Arial"/>
        </w:rPr>
        <w:t xml:space="preserve"> recruitment of staff for (i) the </w:t>
      </w:r>
      <w:r w:rsidRPr="002E214F">
        <w:rPr>
          <w:rFonts w:cs="Arial"/>
        </w:rPr>
        <w:t>DA Project on Socio-Economic Development</w:t>
      </w:r>
      <w:r w:rsidRPr="002D000F">
        <w:rPr>
          <w:rFonts w:cs="Arial"/>
        </w:rPr>
        <w:t xml:space="preserve"> </w:t>
      </w:r>
      <w:r w:rsidRPr="002E214F">
        <w:rPr>
          <w:rFonts w:cs="Arial"/>
        </w:rPr>
        <w:t>and IP</w:t>
      </w:r>
      <w:r>
        <w:rPr>
          <w:rFonts w:cs="Arial"/>
        </w:rPr>
        <w:t xml:space="preserve"> and (ii) the creative economy research program which resulted in a postponement of implementation of related activities. </w:t>
      </w:r>
    </w:p>
    <w:p w:rsidR="00A8525E" w:rsidRDefault="00A8525E" w:rsidP="00981E14">
      <w:pPr>
        <w:jc w:val="both"/>
        <w:rPr>
          <w:szCs w:val="20"/>
        </w:rPr>
      </w:pPr>
    </w:p>
    <w:p w:rsidR="000B01ED" w:rsidRDefault="000B01ED" w:rsidP="00981E14">
      <w:pPr>
        <w:jc w:val="both"/>
        <w:rPr>
          <w:szCs w:val="20"/>
        </w:rPr>
      </w:pPr>
    </w:p>
    <w:p w:rsidR="000B01ED" w:rsidRDefault="000B01ED">
      <w:pPr>
        <w:rPr>
          <w:szCs w:val="20"/>
        </w:rPr>
      </w:pPr>
      <w:r>
        <w:rPr>
          <w:szCs w:val="20"/>
        </w:rPr>
        <w:br w:type="page"/>
      </w:r>
    </w:p>
    <w:p w:rsidR="00DA7475" w:rsidRDefault="00DA7475"/>
    <w:p w:rsidR="00DA7475" w:rsidRDefault="00DA7475" w:rsidP="00C1753F">
      <w:pPr>
        <w:pStyle w:val="StyleHeading214ptAuto"/>
        <w:rPr>
          <w:rFonts w:ascii="Arial" w:hAnsi="Arial" w:cs="Arial"/>
          <w:sz w:val="20"/>
          <w:szCs w:val="20"/>
        </w:rPr>
      </w:pPr>
      <w:bookmarkStart w:id="91" w:name="_Toc454544487"/>
      <w:bookmarkStart w:id="92" w:name="_Toc367350594"/>
      <w:r w:rsidRPr="00E07FBB">
        <w:rPr>
          <w:rFonts w:ascii="Arial" w:hAnsi="Arial" w:cs="Arial"/>
          <w:sz w:val="20"/>
          <w:szCs w:val="20"/>
        </w:rPr>
        <w:t>STRATEGIC GOAL VI</w:t>
      </w:r>
      <w:bookmarkEnd w:id="91"/>
    </w:p>
    <w:p w:rsidR="00DA7475" w:rsidRDefault="00DA7475" w:rsidP="003E2D93">
      <w:pPr>
        <w:jc w:val="center"/>
      </w:pPr>
    </w:p>
    <w:p w:rsidR="00DA7475" w:rsidRPr="003E2D93" w:rsidRDefault="00DA7475" w:rsidP="003E2D93">
      <w:pPr>
        <w:jc w:val="center"/>
      </w:pPr>
      <w:r w:rsidRPr="003E2D93">
        <w:rPr>
          <w:b/>
        </w:rPr>
        <w:t>INTERNATIONAL COOPERATION ON BUILDING RESPECT FOR IP</w:t>
      </w:r>
      <w:bookmarkEnd w:id="92"/>
    </w:p>
    <w:p w:rsidR="00DA7475" w:rsidRDefault="00DA7475" w:rsidP="003E2D93">
      <w:pPr>
        <w:jc w:val="center"/>
      </w:pPr>
    </w:p>
    <w:p w:rsidR="00206B26" w:rsidRDefault="00206B26" w:rsidP="00206B26">
      <w:pPr>
        <w:jc w:val="center"/>
      </w:pPr>
    </w:p>
    <w:p w:rsidR="00206B26" w:rsidRDefault="00206B26" w:rsidP="00206B26">
      <w:pPr>
        <w:jc w:val="center"/>
        <w:rPr>
          <w:b/>
        </w:rPr>
      </w:pPr>
      <w:r>
        <w:rPr>
          <w:b/>
        </w:rPr>
        <w:t>Biennial</w:t>
      </w:r>
      <w:r w:rsidRPr="00551736">
        <w:rPr>
          <w:b/>
        </w:rPr>
        <w:t xml:space="preserve"> Performance Dashboard </w:t>
      </w:r>
    </w:p>
    <w:p w:rsidR="00206B26" w:rsidRDefault="00206B26" w:rsidP="00206B26"/>
    <w:p w:rsidR="00206B26" w:rsidRDefault="00206B26" w:rsidP="00206B26">
      <w:pPr>
        <w:autoSpaceDE w:val="0"/>
        <w:autoSpaceDN w:val="0"/>
        <w:adjustRightInd w:val="0"/>
        <w:jc w:val="both"/>
        <w:rPr>
          <w:rFonts w:cs="Arial"/>
        </w:rPr>
      </w:pPr>
      <w:r>
        <w:rPr>
          <w:rFonts w:cs="Arial"/>
        </w:rPr>
        <w:t xml:space="preserve">The dashboard below provides a summary of the achievements of the expected results in the biennium 2014/15 as measured by the indicators under the Programs contributing to this Strategic Goal.  </w:t>
      </w:r>
    </w:p>
    <w:p w:rsidR="00206B26" w:rsidRDefault="00206B26" w:rsidP="00206B26">
      <w:pPr>
        <w:jc w:val="center"/>
      </w:pPr>
      <w:r>
        <w:rPr>
          <w:noProof/>
        </w:rPr>
        <w:drawing>
          <wp:inline distT="0" distB="0" distL="0" distR="0" wp14:anchorId="5521EED1" wp14:editId="11D39990">
            <wp:extent cx="5501555" cy="2651760"/>
            <wp:effectExtent l="0" t="0" r="4445"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8">
                      <a:extLst>
                        <a:ext uri="{28A0092B-C50C-407E-A947-70E740481C1C}">
                          <a14:useLocalDpi xmlns:a14="http://schemas.microsoft.com/office/drawing/2010/main" val="0"/>
                        </a:ext>
                      </a:extLst>
                    </a:blip>
                    <a:srcRect/>
                    <a:stretch>
                      <a:fillRect/>
                    </a:stretch>
                  </pic:blipFill>
                  <pic:spPr bwMode="auto">
                    <a:xfrm>
                      <a:off x="0" y="0"/>
                      <a:ext cx="5501555" cy="2651760"/>
                    </a:xfrm>
                    <a:prstGeom prst="rect">
                      <a:avLst/>
                    </a:prstGeom>
                    <a:noFill/>
                  </pic:spPr>
                </pic:pic>
              </a:graphicData>
            </a:graphic>
          </wp:inline>
        </w:drawing>
      </w:r>
    </w:p>
    <w:p w:rsidR="00206B26" w:rsidRPr="00A522FE" w:rsidRDefault="00206B26" w:rsidP="00206B26">
      <w:pPr>
        <w:rPr>
          <w:b/>
          <w:bCs/>
          <w:caps/>
        </w:rPr>
      </w:pPr>
    </w:p>
    <w:tbl>
      <w:tblPr>
        <w:tblW w:w="4942"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2921"/>
        <w:gridCol w:w="4091"/>
        <w:gridCol w:w="1754"/>
        <w:gridCol w:w="694"/>
      </w:tblGrid>
      <w:tr w:rsidR="00206B26" w:rsidRPr="00AF5E7C" w:rsidTr="00547ACE">
        <w:trPr>
          <w:cantSplit/>
          <w:trHeight w:val="455"/>
        </w:trPr>
        <w:tc>
          <w:tcPr>
            <w:tcW w:w="1544" w:type="pct"/>
            <w:tcBorders>
              <w:top w:val="single" w:sz="4" w:space="0" w:color="auto"/>
              <w:bottom w:val="single" w:sz="4" w:space="0" w:color="auto"/>
            </w:tcBorders>
            <w:shd w:val="clear" w:color="auto" w:fill="DAEEF3" w:themeFill="accent5" w:themeFillTint="33"/>
            <w:vAlign w:val="center"/>
          </w:tcPr>
          <w:p w:rsidR="00206B26" w:rsidRPr="002A1191" w:rsidRDefault="00206B26" w:rsidP="00547ACE">
            <w:pPr>
              <w:spacing w:after="120"/>
              <w:rPr>
                <w:rFonts w:cs="Arial"/>
                <w:b/>
                <w:bCs/>
                <w:sz w:val="18"/>
                <w:szCs w:val="18"/>
              </w:rPr>
            </w:pPr>
            <w:r w:rsidRPr="002A1191">
              <w:rPr>
                <w:rFonts w:cs="Arial"/>
                <w:b/>
                <w:bCs/>
                <w:sz w:val="18"/>
                <w:szCs w:val="18"/>
              </w:rPr>
              <w:t>Expected Results</w:t>
            </w:r>
          </w:p>
        </w:tc>
        <w:tc>
          <w:tcPr>
            <w:tcW w:w="2162" w:type="pct"/>
            <w:tcBorders>
              <w:top w:val="single" w:sz="4" w:space="0" w:color="auto"/>
              <w:bottom w:val="single" w:sz="4" w:space="0" w:color="auto"/>
            </w:tcBorders>
            <w:shd w:val="clear" w:color="auto" w:fill="DAEEF3" w:themeFill="accent5" w:themeFillTint="33"/>
            <w:tcMar>
              <w:top w:w="110" w:type="dxa"/>
            </w:tcMar>
            <w:vAlign w:val="center"/>
          </w:tcPr>
          <w:p w:rsidR="00206B26" w:rsidRPr="002A1191" w:rsidRDefault="00206B26" w:rsidP="00547ACE">
            <w:pPr>
              <w:spacing w:after="120"/>
              <w:rPr>
                <w:rFonts w:cs="Arial"/>
                <w:b/>
                <w:bCs/>
                <w:sz w:val="18"/>
                <w:szCs w:val="18"/>
              </w:rPr>
            </w:pPr>
            <w:r>
              <w:rPr>
                <w:rFonts w:cs="Arial"/>
                <w:b/>
                <w:bCs/>
                <w:sz w:val="18"/>
                <w:szCs w:val="18"/>
              </w:rPr>
              <w:t>Performance I</w:t>
            </w:r>
            <w:r w:rsidRPr="002A1191">
              <w:rPr>
                <w:rFonts w:cs="Arial"/>
                <w:b/>
                <w:bCs/>
                <w:sz w:val="18"/>
                <w:szCs w:val="18"/>
              </w:rPr>
              <w:t>ndicator</w:t>
            </w:r>
            <w:r>
              <w:rPr>
                <w:rFonts w:cs="Arial"/>
                <w:b/>
                <w:bCs/>
                <w:sz w:val="18"/>
                <w:szCs w:val="18"/>
              </w:rPr>
              <w:t>s</w:t>
            </w:r>
          </w:p>
        </w:tc>
        <w:tc>
          <w:tcPr>
            <w:tcW w:w="927" w:type="pct"/>
            <w:tcBorders>
              <w:top w:val="single" w:sz="4" w:space="0" w:color="auto"/>
              <w:bottom w:val="single" w:sz="4" w:space="0" w:color="auto"/>
            </w:tcBorders>
            <w:shd w:val="clear" w:color="auto" w:fill="DAEEF3" w:themeFill="accent5" w:themeFillTint="33"/>
            <w:tcMar>
              <w:top w:w="110" w:type="dxa"/>
            </w:tcMar>
            <w:vAlign w:val="center"/>
          </w:tcPr>
          <w:p w:rsidR="00206B26" w:rsidRPr="002A1191" w:rsidRDefault="00206B26" w:rsidP="00547ACE">
            <w:pPr>
              <w:spacing w:after="120"/>
              <w:ind w:left="85"/>
              <w:jc w:val="center"/>
              <w:rPr>
                <w:rFonts w:cs="Arial"/>
                <w:b/>
                <w:bCs/>
                <w:sz w:val="18"/>
                <w:szCs w:val="18"/>
              </w:rPr>
            </w:pPr>
            <w:r w:rsidRPr="002A1191">
              <w:rPr>
                <w:rFonts w:cs="Arial"/>
                <w:b/>
                <w:bCs/>
                <w:sz w:val="18"/>
                <w:szCs w:val="18"/>
              </w:rPr>
              <w:t>Responsible Program(s)</w:t>
            </w:r>
          </w:p>
        </w:tc>
        <w:tc>
          <w:tcPr>
            <w:tcW w:w="367" w:type="pct"/>
            <w:tcBorders>
              <w:top w:val="single" w:sz="4" w:space="0" w:color="auto"/>
              <w:bottom w:val="single" w:sz="4" w:space="0" w:color="auto"/>
            </w:tcBorders>
            <w:shd w:val="clear" w:color="auto" w:fill="DAEEF3" w:themeFill="accent5" w:themeFillTint="33"/>
          </w:tcPr>
          <w:p w:rsidR="00206B26" w:rsidRPr="002A1191" w:rsidRDefault="00206B26" w:rsidP="00547ACE">
            <w:pPr>
              <w:spacing w:after="120"/>
              <w:ind w:left="85" w:hanging="85"/>
              <w:rPr>
                <w:rFonts w:cs="Arial"/>
                <w:b/>
                <w:bCs/>
                <w:sz w:val="18"/>
                <w:szCs w:val="18"/>
              </w:rPr>
            </w:pPr>
            <w:r>
              <w:rPr>
                <w:rFonts w:cs="Arial"/>
                <w:b/>
                <w:bCs/>
                <w:sz w:val="18"/>
                <w:szCs w:val="18"/>
              </w:rPr>
              <w:t>TLS</w:t>
            </w:r>
          </w:p>
        </w:tc>
      </w:tr>
      <w:tr w:rsidR="00206B26" w:rsidRPr="00AF5E7C" w:rsidTr="00547ACE">
        <w:trPr>
          <w:cantSplit/>
          <w:trHeight w:val="944"/>
        </w:trPr>
        <w:tc>
          <w:tcPr>
            <w:tcW w:w="1544" w:type="pct"/>
            <w:tcBorders>
              <w:top w:val="single" w:sz="4" w:space="0" w:color="auto"/>
            </w:tcBorders>
            <w:shd w:val="clear" w:color="auto" w:fill="auto"/>
            <w:tcMar>
              <w:top w:w="113" w:type="dxa"/>
              <w:bottom w:w="85" w:type="dxa"/>
            </w:tcMar>
          </w:tcPr>
          <w:p w:rsidR="00206B26" w:rsidRPr="00DC5B92" w:rsidRDefault="00206B26" w:rsidP="00547ACE">
            <w:pPr>
              <w:rPr>
                <w:rFonts w:cs="Arial"/>
                <w:sz w:val="16"/>
                <w:szCs w:val="16"/>
              </w:rPr>
            </w:pPr>
            <w:r w:rsidRPr="00DC5B92">
              <w:rPr>
                <w:rFonts w:cs="Arial"/>
                <w:sz w:val="16"/>
                <w:szCs w:val="16"/>
              </w:rPr>
              <w:t>VI.1</w:t>
            </w:r>
            <w:r>
              <w:rPr>
                <w:rFonts w:cs="Arial"/>
                <w:sz w:val="16"/>
                <w:szCs w:val="16"/>
              </w:rPr>
              <w:t xml:space="preserve">  </w:t>
            </w:r>
            <w:r w:rsidRPr="00DC5B92">
              <w:rPr>
                <w:rFonts w:cs="Arial"/>
                <w:sz w:val="16"/>
                <w:szCs w:val="16"/>
              </w:rPr>
              <w:t>Progress in the international policy dialogue among WIPO Member States on building respect for IP, guided by Recommendation 45 of the WIPO Development Agenda</w:t>
            </w:r>
          </w:p>
        </w:tc>
        <w:tc>
          <w:tcPr>
            <w:tcW w:w="2162" w:type="pct"/>
            <w:tcBorders>
              <w:top w:val="single" w:sz="4" w:space="0" w:color="auto"/>
            </w:tcBorders>
            <w:shd w:val="clear" w:color="auto" w:fill="auto"/>
            <w:tcMar>
              <w:top w:w="113" w:type="dxa"/>
              <w:bottom w:w="85" w:type="dxa"/>
            </w:tcMar>
          </w:tcPr>
          <w:p w:rsidR="00206B26" w:rsidRPr="00DC5B92" w:rsidRDefault="00206B26" w:rsidP="00547ACE">
            <w:pPr>
              <w:rPr>
                <w:rFonts w:cs="Arial"/>
                <w:sz w:val="16"/>
                <w:szCs w:val="16"/>
              </w:rPr>
            </w:pPr>
            <w:r w:rsidRPr="00DC5B92">
              <w:rPr>
                <w:rFonts w:cs="Arial"/>
                <w:sz w:val="16"/>
                <w:szCs w:val="16"/>
              </w:rPr>
              <w:t>Continued agreement by Member States on the substantive work of the WIPO Advisory Committee on Enforcement (ACE), incorporating development-oriented concerns</w:t>
            </w:r>
          </w:p>
        </w:tc>
        <w:tc>
          <w:tcPr>
            <w:tcW w:w="927" w:type="pct"/>
            <w:tcBorders>
              <w:top w:val="single" w:sz="4" w:space="0" w:color="auto"/>
            </w:tcBorders>
            <w:shd w:val="clear" w:color="auto" w:fill="FFFFFF"/>
            <w:tcMar>
              <w:top w:w="113" w:type="dxa"/>
              <w:bottom w:w="85" w:type="dxa"/>
            </w:tcMar>
          </w:tcPr>
          <w:p w:rsidR="00206B26" w:rsidRPr="00AF5E7C" w:rsidRDefault="00206B26" w:rsidP="00547ACE">
            <w:pPr>
              <w:jc w:val="center"/>
              <w:rPr>
                <w:rFonts w:cs="Arial"/>
                <w:sz w:val="16"/>
                <w:szCs w:val="16"/>
              </w:rPr>
            </w:pPr>
            <w:r>
              <w:rPr>
                <w:rFonts w:cs="Arial"/>
                <w:sz w:val="16"/>
                <w:szCs w:val="16"/>
                <w:lang w:bidi="th-TH"/>
              </w:rPr>
              <w:t>Program 17</w:t>
            </w:r>
          </w:p>
        </w:tc>
        <w:tc>
          <w:tcPr>
            <w:tcW w:w="367" w:type="pct"/>
            <w:tcBorders>
              <w:top w:val="single" w:sz="4" w:space="0" w:color="auto"/>
            </w:tcBorders>
            <w:shd w:val="clear" w:color="auto" w:fill="FFFFFF"/>
          </w:tcPr>
          <w:p w:rsidR="00206B26" w:rsidRPr="00F718E6" w:rsidRDefault="00206B26" w:rsidP="00547ACE">
            <w:pPr>
              <w:jc w:val="center"/>
              <w:rPr>
                <w:rFonts w:cs="Arial"/>
                <w:color w:val="A6A6A6" w:themeColor="background1" w:themeShade="A6"/>
                <w:sz w:val="22"/>
                <w:szCs w:val="22"/>
              </w:rPr>
            </w:pPr>
            <w:r w:rsidRPr="005F33CE">
              <w:rPr>
                <w:rFonts w:cs="Arial"/>
                <w:color w:val="008000"/>
                <w:sz w:val="22"/>
                <w:szCs w:val="22"/>
              </w:rPr>
              <w:sym w:font="Wingdings" w:char="F06C"/>
            </w:r>
          </w:p>
        </w:tc>
      </w:tr>
      <w:tr w:rsidR="00206B26" w:rsidRPr="00AF5E7C" w:rsidTr="00547ACE">
        <w:trPr>
          <w:cantSplit/>
          <w:trHeight w:val="704"/>
        </w:trPr>
        <w:tc>
          <w:tcPr>
            <w:tcW w:w="1544" w:type="pct"/>
            <w:shd w:val="clear" w:color="auto" w:fill="auto"/>
            <w:tcMar>
              <w:top w:w="113" w:type="dxa"/>
              <w:bottom w:w="85" w:type="dxa"/>
            </w:tcMar>
          </w:tcPr>
          <w:p w:rsidR="00206B26" w:rsidRPr="00DC5B92" w:rsidRDefault="00206B26" w:rsidP="00547ACE">
            <w:pPr>
              <w:rPr>
                <w:rFonts w:cs="Arial"/>
                <w:sz w:val="16"/>
                <w:szCs w:val="16"/>
              </w:rPr>
            </w:pPr>
            <w:r w:rsidRPr="00DC5B92">
              <w:rPr>
                <w:rFonts w:cs="Arial"/>
                <w:sz w:val="16"/>
                <w:szCs w:val="16"/>
              </w:rPr>
              <w:t>VI.2</w:t>
            </w:r>
            <w:r>
              <w:rPr>
                <w:rFonts w:cs="Arial"/>
                <w:sz w:val="16"/>
                <w:szCs w:val="16"/>
              </w:rPr>
              <w:t xml:space="preserve">  </w:t>
            </w:r>
            <w:r w:rsidRPr="00DC5B92">
              <w:rPr>
                <w:rFonts w:cs="Arial"/>
                <w:sz w:val="16"/>
                <w:szCs w:val="16"/>
              </w:rPr>
              <w:t>Systematic</w:t>
            </w:r>
            <w:r>
              <w:rPr>
                <w:rFonts w:cs="Arial"/>
                <w:sz w:val="16"/>
                <w:szCs w:val="16"/>
              </w:rPr>
              <w:t>,</w:t>
            </w:r>
            <w:r w:rsidRPr="00DC5B92">
              <w:rPr>
                <w:rFonts w:cs="Arial"/>
                <w:sz w:val="16"/>
                <w:szCs w:val="16"/>
              </w:rPr>
              <w:t xml:space="preserve"> effective</w:t>
            </w:r>
            <w:r>
              <w:rPr>
                <w:rFonts w:cs="Arial"/>
                <w:sz w:val="16"/>
                <w:szCs w:val="16"/>
              </w:rPr>
              <w:t xml:space="preserve"> and transparent</w:t>
            </w:r>
            <w:r w:rsidRPr="00DC5B92">
              <w:rPr>
                <w:rFonts w:cs="Arial"/>
                <w:sz w:val="16"/>
                <w:szCs w:val="16"/>
              </w:rPr>
              <w:t xml:space="preserve"> cooperation and coordination between the work of WIPO and other international organizations in the field of building respect for IP</w:t>
            </w:r>
          </w:p>
        </w:tc>
        <w:tc>
          <w:tcPr>
            <w:tcW w:w="2162" w:type="pct"/>
            <w:shd w:val="clear" w:color="auto" w:fill="auto"/>
            <w:tcMar>
              <w:top w:w="113" w:type="dxa"/>
              <w:bottom w:w="85" w:type="dxa"/>
            </w:tcMar>
          </w:tcPr>
          <w:p w:rsidR="00206B26" w:rsidRPr="00DC5B92" w:rsidRDefault="00206B26" w:rsidP="00547ACE">
            <w:pPr>
              <w:rPr>
                <w:rFonts w:cs="Arial"/>
                <w:sz w:val="16"/>
                <w:szCs w:val="16"/>
              </w:rPr>
            </w:pPr>
            <w:r w:rsidRPr="00DC5B92">
              <w:rPr>
                <w:rFonts w:cs="Arial"/>
                <w:sz w:val="16"/>
                <w:szCs w:val="16"/>
              </w:rPr>
              <w:t>No. of joint activities on building respect for IP</w:t>
            </w:r>
          </w:p>
        </w:tc>
        <w:tc>
          <w:tcPr>
            <w:tcW w:w="927" w:type="pct"/>
            <w:shd w:val="clear" w:color="auto" w:fill="FFFFFF"/>
            <w:tcMar>
              <w:top w:w="113" w:type="dxa"/>
              <w:bottom w:w="85" w:type="dxa"/>
            </w:tcMar>
          </w:tcPr>
          <w:p w:rsidR="00206B26" w:rsidRPr="00AF5E7C" w:rsidRDefault="00206B26" w:rsidP="00547ACE">
            <w:pPr>
              <w:jc w:val="center"/>
              <w:rPr>
                <w:rFonts w:cs="Arial"/>
                <w:sz w:val="16"/>
                <w:szCs w:val="16"/>
              </w:rPr>
            </w:pPr>
            <w:r>
              <w:rPr>
                <w:rFonts w:cs="Arial"/>
                <w:sz w:val="16"/>
                <w:szCs w:val="16"/>
                <w:lang w:bidi="th-TH"/>
              </w:rPr>
              <w:t>Program 17</w:t>
            </w:r>
          </w:p>
        </w:tc>
        <w:tc>
          <w:tcPr>
            <w:tcW w:w="367" w:type="pct"/>
            <w:shd w:val="clear" w:color="auto" w:fill="FFFFFF"/>
          </w:tcPr>
          <w:p w:rsidR="00206B26" w:rsidRDefault="00206B26" w:rsidP="00547ACE">
            <w:pPr>
              <w:jc w:val="center"/>
            </w:pPr>
            <w:r w:rsidRPr="005F33CE">
              <w:rPr>
                <w:rFonts w:cs="Arial"/>
                <w:color w:val="008000"/>
                <w:sz w:val="22"/>
                <w:szCs w:val="22"/>
              </w:rPr>
              <w:sym w:font="Wingdings" w:char="F06C"/>
            </w:r>
          </w:p>
        </w:tc>
      </w:tr>
    </w:tbl>
    <w:p w:rsidR="00206B26" w:rsidRPr="009D0AD7" w:rsidRDefault="00206B26" w:rsidP="00206B26"/>
    <w:p w:rsidR="00DA7475" w:rsidRDefault="00DA7475"/>
    <w:p w:rsidR="00055B26" w:rsidRDefault="00055B26">
      <w:r>
        <w:br w:type="page"/>
      </w:r>
    </w:p>
    <w:p w:rsidR="000B01ED" w:rsidRPr="008855BE" w:rsidRDefault="000B01ED" w:rsidP="00B9043D">
      <w:pPr>
        <w:pStyle w:val="Heading2"/>
        <w:tabs>
          <w:tab w:val="clear" w:pos="567"/>
          <w:tab w:val="left" w:pos="1985"/>
        </w:tabs>
        <w:jc w:val="both"/>
        <w:rPr>
          <w:szCs w:val="20"/>
        </w:rPr>
      </w:pPr>
      <w:bookmarkStart w:id="93" w:name="_Toc422210503"/>
      <w:bookmarkStart w:id="94" w:name="_Toc454544488"/>
      <w:r w:rsidRPr="008855BE">
        <w:rPr>
          <w:szCs w:val="20"/>
        </w:rPr>
        <w:lastRenderedPageBreak/>
        <w:t>PROGRAM 17</w:t>
      </w:r>
      <w:r w:rsidRPr="008855BE">
        <w:rPr>
          <w:szCs w:val="20"/>
        </w:rPr>
        <w:tab/>
      </w:r>
      <w:r w:rsidRPr="008855BE">
        <w:rPr>
          <w:szCs w:val="20"/>
        </w:rPr>
        <w:tab/>
        <w:t>BUILDING RESPECT FOR IP</w:t>
      </w:r>
      <w:bookmarkEnd w:id="93"/>
      <w:bookmarkEnd w:id="94"/>
    </w:p>
    <w:p w:rsidR="000B01ED" w:rsidRPr="0057012D" w:rsidRDefault="000B01ED" w:rsidP="00B9043D">
      <w:pPr>
        <w:jc w:val="both"/>
        <w:rPr>
          <w:rFonts w:cs="Arial"/>
          <w:szCs w:val="20"/>
        </w:rPr>
      </w:pPr>
    </w:p>
    <w:p w:rsidR="000B01ED" w:rsidRPr="0057012D" w:rsidRDefault="000B01ED" w:rsidP="00B9043D">
      <w:pPr>
        <w:tabs>
          <w:tab w:val="left" w:pos="1985"/>
        </w:tabs>
        <w:jc w:val="both"/>
        <w:rPr>
          <w:rFonts w:cs="Arial"/>
          <w:b/>
          <w:szCs w:val="20"/>
        </w:rPr>
      </w:pPr>
      <w:r w:rsidRPr="0057012D">
        <w:rPr>
          <w:rFonts w:cs="Arial"/>
          <w:b/>
          <w:szCs w:val="20"/>
        </w:rPr>
        <w:t>Program Manager</w:t>
      </w:r>
      <w:r w:rsidRPr="0057012D">
        <w:rPr>
          <w:rFonts w:cs="Arial"/>
          <w:b/>
          <w:szCs w:val="20"/>
        </w:rPr>
        <w:tab/>
        <w:t xml:space="preserve">Mr. </w:t>
      </w:r>
      <w:r>
        <w:rPr>
          <w:rFonts w:cs="Arial"/>
          <w:b/>
          <w:szCs w:val="20"/>
        </w:rPr>
        <w:t>M. A.</w:t>
      </w:r>
      <w:r w:rsidRPr="0057012D">
        <w:rPr>
          <w:rFonts w:cs="Arial"/>
          <w:b/>
          <w:szCs w:val="20"/>
        </w:rPr>
        <w:t xml:space="preserve"> Getahun</w:t>
      </w:r>
    </w:p>
    <w:p w:rsidR="000B01ED" w:rsidRPr="0057012D" w:rsidRDefault="000B01ED" w:rsidP="00B9043D">
      <w:pPr>
        <w:jc w:val="both"/>
        <w:rPr>
          <w:rFonts w:cs="Arial"/>
          <w:szCs w:val="20"/>
        </w:rPr>
      </w:pPr>
    </w:p>
    <w:p w:rsidR="000B01ED" w:rsidRPr="0057012D" w:rsidRDefault="000B01ED" w:rsidP="00B9043D">
      <w:pPr>
        <w:jc w:val="both"/>
        <w:rPr>
          <w:rFonts w:cs="Arial"/>
          <w:szCs w:val="20"/>
        </w:rPr>
      </w:pPr>
    </w:p>
    <w:p w:rsidR="000B01ED" w:rsidRPr="005D128B" w:rsidRDefault="000B01ED" w:rsidP="00B9043D">
      <w:pPr>
        <w:jc w:val="both"/>
        <w:rPr>
          <w:rFonts w:cs="Arial"/>
          <w:bCs/>
          <w:szCs w:val="20"/>
        </w:rPr>
      </w:pPr>
      <w:r w:rsidRPr="005D128B">
        <w:rPr>
          <w:rFonts w:cs="Arial"/>
          <w:bCs/>
          <w:szCs w:val="20"/>
        </w:rPr>
        <w:t>ACHIEVEMENTS IN THE 2014/15 BIENNIUM</w:t>
      </w:r>
    </w:p>
    <w:p w:rsidR="000B01ED" w:rsidRPr="0057012D" w:rsidRDefault="000B01ED" w:rsidP="000B01ED">
      <w:pPr>
        <w:tabs>
          <w:tab w:val="left" w:pos="709"/>
        </w:tabs>
        <w:jc w:val="both"/>
        <w:rPr>
          <w:rFonts w:cs="Arial"/>
          <w:szCs w:val="20"/>
        </w:rPr>
      </w:pPr>
    </w:p>
    <w:p w:rsidR="000B01ED" w:rsidRDefault="000B01ED" w:rsidP="000B01ED">
      <w:pPr>
        <w:tabs>
          <w:tab w:val="left" w:pos="709"/>
        </w:tabs>
        <w:jc w:val="both"/>
        <w:rPr>
          <w:rFonts w:cs="Arial"/>
          <w:szCs w:val="20"/>
        </w:rPr>
      </w:pPr>
      <w:r>
        <w:rPr>
          <w:rFonts w:cs="Arial"/>
          <w:szCs w:val="20"/>
        </w:rPr>
        <w:t>17.1</w:t>
      </w:r>
      <w:r>
        <w:rPr>
          <w:rFonts w:cs="Arial"/>
          <w:szCs w:val="20"/>
        </w:rPr>
        <w:tab/>
        <w:t>Guided by Strategic Goal VI and DA Recommendation 45, the activities of Program 17 were geared towards enhanced international cooperation on building respect for IP, seeking to achieve the appropriate balance between private rights and the public interest.</w:t>
      </w:r>
    </w:p>
    <w:p w:rsidR="000B01ED" w:rsidRDefault="000B01ED" w:rsidP="000B01ED">
      <w:pPr>
        <w:tabs>
          <w:tab w:val="left" w:pos="709"/>
        </w:tabs>
        <w:jc w:val="both"/>
        <w:rPr>
          <w:rFonts w:cs="Arial"/>
          <w:szCs w:val="20"/>
        </w:rPr>
      </w:pPr>
    </w:p>
    <w:p w:rsidR="000B01ED" w:rsidRDefault="000B01ED" w:rsidP="000B01ED">
      <w:pPr>
        <w:tabs>
          <w:tab w:val="left" w:pos="709"/>
        </w:tabs>
        <w:jc w:val="both"/>
        <w:rPr>
          <w:rFonts w:cs="Arial"/>
          <w:szCs w:val="20"/>
        </w:rPr>
      </w:pPr>
      <w:r>
        <w:rPr>
          <w:rFonts w:cs="Arial"/>
          <w:szCs w:val="20"/>
        </w:rPr>
        <w:t xml:space="preserve">17.2 </w:t>
      </w:r>
      <w:r>
        <w:rPr>
          <w:rFonts w:cs="Arial"/>
          <w:szCs w:val="20"/>
        </w:rPr>
        <w:tab/>
        <w:t xml:space="preserve">Contributing to progress in the international policy dialogue on building respect for IP among Member States, the ninth and tenth sessions of the Advisory Committee on Enforcement (ACE) (March 3 to 5, 2014;  and November 23 to 25, 2015) served as a “marketplace of ideas”, facilitating the exchange of practices and experiences in relation to alternative mechanisms for resolving IP disputes, as well as preventive strategies to complement enforcement, such as awareness raising and educational tools for young people, new business models, supply chain security, voluntary mechanisms, and national coordination to build respect for IP.  The two sessions were accompanied by audiovisual exhibitions, presenting </w:t>
      </w:r>
      <w:r w:rsidRPr="001E7D44">
        <w:rPr>
          <w:rFonts w:cs="Arial"/>
          <w:szCs w:val="20"/>
        </w:rPr>
        <w:t>public communication campaigns on respect for IP and awareness tools for young people</w:t>
      </w:r>
      <w:r>
        <w:rPr>
          <w:rFonts w:cs="Arial"/>
          <w:szCs w:val="20"/>
        </w:rPr>
        <w:t>.  T</w:t>
      </w:r>
      <w:r w:rsidRPr="00B76D18">
        <w:rPr>
          <w:rFonts w:cs="Arial"/>
          <w:szCs w:val="20"/>
        </w:rPr>
        <w:t xml:space="preserve">he Committee </w:t>
      </w:r>
      <w:r>
        <w:rPr>
          <w:rFonts w:cs="Arial"/>
          <w:szCs w:val="20"/>
        </w:rPr>
        <w:t xml:space="preserve">agreed to </w:t>
      </w:r>
      <w:r w:rsidRPr="00B76D18">
        <w:rPr>
          <w:rFonts w:cs="Arial"/>
          <w:szCs w:val="20"/>
        </w:rPr>
        <w:t>exchange</w:t>
      </w:r>
      <w:r>
        <w:rPr>
          <w:rFonts w:cs="Arial"/>
          <w:szCs w:val="20"/>
        </w:rPr>
        <w:t>, at its eleventh session,</w:t>
      </w:r>
      <w:r w:rsidRPr="00B76D18">
        <w:rPr>
          <w:rFonts w:cs="Arial"/>
          <w:szCs w:val="20"/>
        </w:rPr>
        <w:t xml:space="preserve"> information on national experiences on four topics</w:t>
      </w:r>
      <w:r>
        <w:rPr>
          <w:rFonts w:cs="Arial"/>
          <w:szCs w:val="20"/>
        </w:rPr>
        <w:t xml:space="preserve">:  (i) awareness building activities and strategic campaigns as a means for building respect for IP among the general public, especially the youth, in accordance with Member States’ educational or any other priorities;  (ii) institutional arrangements concerning IP enforcement policies and regimes, including mechanisms to resolve IP disputes in a balanced, holistic and effective manner;  (iii) WIPO’s legislative assistance, with a focus on drafting national laws of enforcement that take into account the flexibilities, the level of development, the difference in legal tradition and the possible abuse of enforcement procedures;  and (iv) WIPO’s capacity building and support for training activities in line with relevant Development Agenda Recommendations and the ACE mandate.  The value that the Member States find in the ACE motivated the request that sessions be held annually.  </w:t>
      </w:r>
    </w:p>
    <w:p w:rsidR="000B01ED" w:rsidRDefault="000B01ED" w:rsidP="000B01ED">
      <w:pPr>
        <w:tabs>
          <w:tab w:val="left" w:pos="709"/>
        </w:tabs>
        <w:jc w:val="both"/>
        <w:rPr>
          <w:rFonts w:cs="Arial"/>
          <w:szCs w:val="20"/>
        </w:rPr>
      </w:pPr>
    </w:p>
    <w:p w:rsidR="000B01ED" w:rsidRDefault="000B01ED" w:rsidP="000B01ED">
      <w:pPr>
        <w:tabs>
          <w:tab w:val="left" w:pos="709"/>
        </w:tabs>
        <w:jc w:val="both"/>
        <w:rPr>
          <w:rFonts w:cs="Arial"/>
          <w:szCs w:val="20"/>
        </w:rPr>
      </w:pPr>
      <w:r>
        <w:rPr>
          <w:rFonts w:cs="Arial"/>
          <w:szCs w:val="20"/>
        </w:rPr>
        <w:t>17.3</w:t>
      </w:r>
      <w:r>
        <w:rPr>
          <w:rFonts w:cs="Arial"/>
          <w:szCs w:val="20"/>
        </w:rPr>
        <w:tab/>
        <w:t>To achieve international policy cohesion and maximum impact through shared resources, the Program coordinated its work with intergovernmental and non</w:t>
      </w:r>
      <w:r>
        <w:rPr>
          <w:rFonts w:cs="Arial"/>
          <w:szCs w:val="20"/>
        </w:rPr>
        <w:noBreakHyphen/>
        <w:t>governmental organizations, associations of stakeholders, as well as academic institutions.  Through systematic, transparent and effective collaboration, WIPO was able to ensure further integration of Strategic Goal VI in joint collaborations with its international partners, in line with DA Recommendation 40</w:t>
      </w:r>
      <w:r w:rsidRPr="007B026A">
        <w:rPr>
          <w:rFonts w:cs="Arial"/>
          <w:szCs w:val="20"/>
        </w:rPr>
        <w:t>.</w:t>
      </w:r>
      <w:r>
        <w:rPr>
          <w:rFonts w:cs="Arial"/>
          <w:szCs w:val="20"/>
        </w:rPr>
        <w:t xml:space="preserve">  A thematic focus lay on the intersection of IP and private international law, where a seminar in cooperation with the International Law Association was organized in January 2015 and the WIPO report </w:t>
      </w:r>
      <w:r w:rsidRPr="003C6B37">
        <w:rPr>
          <w:rFonts w:cs="Arial"/>
          <w:i/>
          <w:szCs w:val="20"/>
        </w:rPr>
        <w:t>Private International Law Issues in Online Intellectual Property Infringement Disputes with Cross-border Elements – An Analysis of National Approaches</w:t>
      </w:r>
      <w:r>
        <w:rPr>
          <w:rStyle w:val="FootnoteReference"/>
          <w:rFonts w:cs="Arial"/>
          <w:i/>
          <w:szCs w:val="20"/>
        </w:rPr>
        <w:footnoteReference w:id="96"/>
      </w:r>
      <w:r>
        <w:rPr>
          <w:rFonts w:cs="Arial"/>
          <w:szCs w:val="20"/>
        </w:rPr>
        <w:t xml:space="preserve"> was published in September 2015. </w:t>
      </w:r>
    </w:p>
    <w:p w:rsidR="000B01ED" w:rsidRDefault="000B01ED" w:rsidP="000B01ED">
      <w:pPr>
        <w:tabs>
          <w:tab w:val="left" w:pos="709"/>
        </w:tabs>
        <w:jc w:val="both"/>
        <w:rPr>
          <w:rFonts w:cs="Arial"/>
          <w:szCs w:val="20"/>
        </w:rPr>
      </w:pPr>
    </w:p>
    <w:p w:rsidR="000B01ED" w:rsidRPr="00461F0A" w:rsidRDefault="000B01ED" w:rsidP="000B01ED">
      <w:pPr>
        <w:tabs>
          <w:tab w:val="left" w:pos="709"/>
        </w:tabs>
        <w:jc w:val="both"/>
        <w:rPr>
          <w:rFonts w:cs="Arial"/>
          <w:szCs w:val="20"/>
        </w:rPr>
      </w:pPr>
      <w:r>
        <w:rPr>
          <w:rFonts w:cs="Arial"/>
          <w:szCs w:val="20"/>
        </w:rPr>
        <w:t>17.4</w:t>
      </w:r>
      <w:r>
        <w:rPr>
          <w:rFonts w:cs="Arial"/>
          <w:szCs w:val="20"/>
        </w:rPr>
        <w:tab/>
      </w:r>
      <w:r w:rsidRPr="00461F0A">
        <w:rPr>
          <w:rFonts w:cs="Arial"/>
          <w:szCs w:val="20"/>
        </w:rPr>
        <w:t>Demand for WIPO assistance in the form of legislative advice on the compatibility of draft or current national enforcement-related provisions with Part</w:t>
      </w:r>
      <w:r>
        <w:rPr>
          <w:rFonts w:cs="Arial"/>
          <w:szCs w:val="20"/>
        </w:rPr>
        <w:t xml:space="preserve"> </w:t>
      </w:r>
      <w:r w:rsidRPr="00461F0A">
        <w:rPr>
          <w:rFonts w:cs="Arial"/>
          <w:szCs w:val="20"/>
        </w:rPr>
        <w:t>III</w:t>
      </w:r>
      <w:r>
        <w:rPr>
          <w:rFonts w:cs="Arial"/>
          <w:szCs w:val="20"/>
        </w:rPr>
        <w:t xml:space="preserve"> </w:t>
      </w:r>
      <w:r w:rsidRPr="00461F0A">
        <w:rPr>
          <w:rFonts w:cs="Arial"/>
          <w:szCs w:val="20"/>
        </w:rPr>
        <w:t>of the TRIPS Agreement continued</w:t>
      </w:r>
      <w:r>
        <w:rPr>
          <w:rFonts w:cs="Arial"/>
        </w:rPr>
        <w:t xml:space="preserve"> to rise throughout the biennium</w:t>
      </w:r>
      <w:r w:rsidRPr="00461F0A">
        <w:rPr>
          <w:rFonts w:cs="Arial"/>
          <w:szCs w:val="20"/>
        </w:rPr>
        <w:t xml:space="preserve">.  In close dialogue with national drafters, </w:t>
      </w:r>
      <w:r>
        <w:rPr>
          <w:rFonts w:cs="Arial"/>
          <w:szCs w:val="20"/>
        </w:rPr>
        <w:t xml:space="preserve">the </w:t>
      </w:r>
      <w:r w:rsidRPr="00461F0A">
        <w:rPr>
          <w:rFonts w:cs="Arial"/>
          <w:szCs w:val="20"/>
        </w:rPr>
        <w:t>Program</w:t>
      </w:r>
      <w:r>
        <w:rPr>
          <w:rFonts w:cs="Arial"/>
          <w:szCs w:val="20"/>
        </w:rPr>
        <w:t xml:space="preserve"> </w:t>
      </w:r>
      <w:r w:rsidRPr="00461F0A">
        <w:rPr>
          <w:rFonts w:cs="Arial"/>
          <w:szCs w:val="20"/>
        </w:rPr>
        <w:t>helped</w:t>
      </w:r>
      <w:r>
        <w:rPr>
          <w:rFonts w:cs="Arial"/>
          <w:szCs w:val="20"/>
        </w:rPr>
        <w:t xml:space="preserve"> 12 </w:t>
      </w:r>
      <w:r w:rsidRPr="00461F0A">
        <w:rPr>
          <w:rFonts w:cs="Arial"/>
          <w:szCs w:val="20"/>
        </w:rPr>
        <w:t xml:space="preserve">Member States devise legislative solutions that </w:t>
      </w:r>
      <w:r>
        <w:rPr>
          <w:rFonts w:cs="Arial"/>
        </w:rPr>
        <w:t>we</w:t>
      </w:r>
      <w:r w:rsidRPr="00461F0A">
        <w:rPr>
          <w:rFonts w:cs="Arial"/>
          <w:szCs w:val="20"/>
        </w:rPr>
        <w:t>re appropriate to their national requirements and take full account of the available flexibilities and options.  Activities in this area of legislative, regulatory and policy assistance implemented DA Recommendations 1,</w:t>
      </w:r>
      <w:r>
        <w:rPr>
          <w:rFonts w:cs="Arial"/>
          <w:szCs w:val="20"/>
        </w:rPr>
        <w:t xml:space="preserve"> </w:t>
      </w:r>
      <w:r w:rsidRPr="00461F0A">
        <w:rPr>
          <w:rFonts w:cs="Arial"/>
          <w:szCs w:val="20"/>
        </w:rPr>
        <w:t>6,</w:t>
      </w:r>
      <w:r>
        <w:rPr>
          <w:rFonts w:cs="Arial"/>
          <w:szCs w:val="20"/>
        </w:rPr>
        <w:t xml:space="preserve"> </w:t>
      </w:r>
      <w:r w:rsidRPr="00461F0A">
        <w:rPr>
          <w:rFonts w:cs="Arial"/>
          <w:szCs w:val="20"/>
        </w:rPr>
        <w:t>12,</w:t>
      </w:r>
      <w:r>
        <w:rPr>
          <w:rFonts w:cs="Arial"/>
          <w:szCs w:val="20"/>
        </w:rPr>
        <w:t xml:space="preserve"> </w:t>
      </w:r>
      <w:r w:rsidRPr="00461F0A">
        <w:rPr>
          <w:rFonts w:cs="Arial"/>
          <w:szCs w:val="20"/>
        </w:rPr>
        <w:t>13,</w:t>
      </w:r>
      <w:r>
        <w:rPr>
          <w:rFonts w:cs="Arial"/>
          <w:szCs w:val="20"/>
        </w:rPr>
        <w:t xml:space="preserve"> </w:t>
      </w:r>
      <w:r w:rsidRPr="00461F0A">
        <w:rPr>
          <w:rFonts w:cs="Arial"/>
          <w:szCs w:val="20"/>
        </w:rPr>
        <w:t>14 and 17.</w:t>
      </w:r>
    </w:p>
    <w:p w:rsidR="000B01ED" w:rsidRDefault="000B01ED" w:rsidP="000B01ED">
      <w:pPr>
        <w:tabs>
          <w:tab w:val="left" w:pos="709"/>
        </w:tabs>
        <w:jc w:val="both"/>
        <w:rPr>
          <w:rFonts w:cs="Arial"/>
          <w:szCs w:val="20"/>
        </w:rPr>
      </w:pPr>
    </w:p>
    <w:p w:rsidR="000B01ED" w:rsidRDefault="000B01ED" w:rsidP="000B01ED">
      <w:pPr>
        <w:pStyle w:val="ListParagraph"/>
        <w:tabs>
          <w:tab w:val="left" w:pos="709"/>
        </w:tabs>
        <w:ind w:left="0"/>
        <w:jc w:val="both"/>
        <w:rPr>
          <w:rFonts w:cs="Arial"/>
        </w:rPr>
      </w:pPr>
      <w:r>
        <w:rPr>
          <w:rFonts w:cs="Arial"/>
        </w:rPr>
        <w:t>17.5</w:t>
      </w:r>
      <w:r>
        <w:rPr>
          <w:rFonts w:cs="Arial"/>
        </w:rPr>
        <w:tab/>
        <w:t xml:space="preserve">The </w:t>
      </w:r>
      <w:r w:rsidRPr="00951221">
        <w:rPr>
          <w:rFonts w:cs="Arial"/>
        </w:rPr>
        <w:t xml:space="preserve">Program’s capacity building activities sought to empower national authorities to build respect for IP through a combination of balanced enforcement activities and preventive measures designed to reduce demand for infringing goods and underscore the value of </w:t>
      </w:r>
      <w:r w:rsidRPr="00951221">
        <w:rPr>
          <w:rFonts w:cs="Arial"/>
          <w:color w:val="000000"/>
        </w:rPr>
        <w:t>the IP-legitimate market.</w:t>
      </w:r>
      <w:r w:rsidRPr="00951221">
        <w:rPr>
          <w:rFonts w:cs="Arial"/>
        </w:rPr>
        <w:t xml:space="preserve">  To enhance the sustainability of the knowledge transfer, specific collaborations were established with national law enforcement training </w:t>
      </w:r>
      <w:r>
        <w:rPr>
          <w:rFonts w:cs="Arial"/>
        </w:rPr>
        <w:t>institutions</w:t>
      </w:r>
      <w:r w:rsidRPr="00951221">
        <w:rPr>
          <w:rFonts w:cs="Arial"/>
        </w:rPr>
        <w:t xml:space="preserve"> capable of serving as multipliers </w:t>
      </w:r>
      <w:r>
        <w:rPr>
          <w:rFonts w:cs="Arial"/>
        </w:rPr>
        <w:t xml:space="preserve">and a basic </w:t>
      </w:r>
      <w:r w:rsidRPr="00F4485C">
        <w:rPr>
          <w:rFonts w:cs="Arial"/>
          <w:i/>
        </w:rPr>
        <w:t>Manual on IP Crime Investigation and Prosecution</w:t>
      </w:r>
      <w:r>
        <w:rPr>
          <w:rFonts w:cs="Arial"/>
        </w:rPr>
        <w:t xml:space="preserve"> was developed for the </w:t>
      </w:r>
      <w:r w:rsidRPr="00AA72EC">
        <w:rPr>
          <w:rFonts w:cs="Arial"/>
        </w:rPr>
        <w:t xml:space="preserve">use </w:t>
      </w:r>
      <w:r>
        <w:rPr>
          <w:rFonts w:cs="Arial"/>
        </w:rPr>
        <w:t xml:space="preserve">or adaptation </w:t>
      </w:r>
      <w:r w:rsidRPr="00AA72EC">
        <w:rPr>
          <w:rFonts w:cs="Arial"/>
        </w:rPr>
        <w:t xml:space="preserve">in the training of law enforcement officials and prosecutors.  </w:t>
      </w:r>
      <w:r>
        <w:rPr>
          <w:rFonts w:cs="Arial"/>
        </w:rPr>
        <w:t xml:space="preserve">In addition, </w:t>
      </w:r>
      <w:r w:rsidRPr="00951221">
        <w:rPr>
          <w:rFonts w:cs="Arial"/>
        </w:rPr>
        <w:t xml:space="preserve">a French edition and an Arabic translation of the English edition of the </w:t>
      </w:r>
      <w:r w:rsidRPr="00A34E52">
        <w:rPr>
          <w:rFonts w:cs="Arial"/>
          <w:i/>
        </w:rPr>
        <w:t>WIPO Casebook on the Enforcement of IP Rights</w:t>
      </w:r>
      <w:r w:rsidRPr="00951221">
        <w:rPr>
          <w:rFonts w:cs="Arial"/>
        </w:rPr>
        <w:t xml:space="preserve"> were published</w:t>
      </w:r>
      <w:r>
        <w:rPr>
          <w:rFonts w:cs="Arial"/>
        </w:rPr>
        <w:t xml:space="preserve"> during the biennium</w:t>
      </w:r>
      <w:r w:rsidRPr="00951221">
        <w:rPr>
          <w:rFonts w:cs="Arial"/>
        </w:rPr>
        <w:t xml:space="preserve">.  The activities in this area were </w:t>
      </w:r>
      <w:r>
        <w:rPr>
          <w:rFonts w:cs="Arial"/>
        </w:rPr>
        <w:t>steered</w:t>
      </w:r>
      <w:r w:rsidRPr="00951221">
        <w:rPr>
          <w:rFonts w:cs="Arial"/>
        </w:rPr>
        <w:t xml:space="preserve"> by DA Recommendations 3,</w:t>
      </w:r>
      <w:r>
        <w:rPr>
          <w:rFonts w:cs="Arial"/>
        </w:rPr>
        <w:t xml:space="preserve"> </w:t>
      </w:r>
      <w:r w:rsidRPr="00951221">
        <w:rPr>
          <w:rFonts w:cs="Arial"/>
        </w:rPr>
        <w:t>10,</w:t>
      </w:r>
      <w:r>
        <w:rPr>
          <w:rFonts w:cs="Arial"/>
        </w:rPr>
        <w:t xml:space="preserve"> </w:t>
      </w:r>
      <w:r w:rsidRPr="00951221">
        <w:rPr>
          <w:rFonts w:cs="Arial"/>
        </w:rPr>
        <w:t>and</w:t>
      </w:r>
      <w:r>
        <w:rPr>
          <w:rFonts w:cs="Arial"/>
        </w:rPr>
        <w:t xml:space="preserve"> </w:t>
      </w:r>
      <w:r w:rsidRPr="00951221">
        <w:rPr>
          <w:rFonts w:cs="Arial"/>
        </w:rPr>
        <w:t>11.</w:t>
      </w:r>
    </w:p>
    <w:p w:rsidR="000B01ED" w:rsidRPr="00951221" w:rsidRDefault="000B01ED" w:rsidP="000B01ED">
      <w:pPr>
        <w:pStyle w:val="ListParagraph"/>
        <w:tabs>
          <w:tab w:val="left" w:pos="709"/>
        </w:tabs>
        <w:ind w:left="0"/>
        <w:jc w:val="both"/>
        <w:rPr>
          <w:rFonts w:cs="Arial"/>
        </w:rPr>
      </w:pPr>
      <w:r w:rsidRPr="00951221">
        <w:rPr>
          <w:rFonts w:cs="Arial"/>
        </w:rPr>
        <w:t xml:space="preserve"> </w:t>
      </w:r>
    </w:p>
    <w:p w:rsidR="000B01ED" w:rsidRPr="00CA3EAB" w:rsidRDefault="000B01ED" w:rsidP="000B01ED">
      <w:pPr>
        <w:tabs>
          <w:tab w:val="left" w:pos="709"/>
        </w:tabs>
        <w:jc w:val="both"/>
        <w:rPr>
          <w:rFonts w:eastAsia="Calibri" w:cs="Arial"/>
          <w:color w:val="212121"/>
          <w:szCs w:val="20"/>
        </w:rPr>
      </w:pPr>
      <w:r>
        <w:rPr>
          <w:rFonts w:eastAsia="Calibri" w:cs="Arial"/>
          <w:iCs/>
          <w:color w:val="212121"/>
          <w:szCs w:val="20"/>
        </w:rPr>
        <w:t>17.6</w:t>
      </w:r>
      <w:r>
        <w:rPr>
          <w:rFonts w:eastAsia="Calibri" w:cs="Arial"/>
          <w:iCs/>
          <w:color w:val="212121"/>
          <w:szCs w:val="20"/>
        </w:rPr>
        <w:tab/>
      </w:r>
      <w:r w:rsidRPr="00CA3EAB">
        <w:rPr>
          <w:rFonts w:eastAsia="Calibri" w:cs="Arial"/>
          <w:iCs/>
          <w:color w:val="212121"/>
          <w:szCs w:val="20"/>
        </w:rPr>
        <w:t xml:space="preserve">In order to support Member State IP education and awareness initiatives, seeking to reduce IP infringement through behavioral change, a modular methodology for devising national awareness-raising strategies </w:t>
      </w:r>
      <w:r>
        <w:rPr>
          <w:rFonts w:eastAsia="Calibri" w:cs="Arial"/>
          <w:iCs/>
          <w:color w:val="212121"/>
          <w:szCs w:val="20"/>
        </w:rPr>
        <w:t xml:space="preserve">was developed, </w:t>
      </w:r>
      <w:r w:rsidRPr="00CA3EAB">
        <w:rPr>
          <w:rFonts w:eastAsia="Calibri" w:cs="Arial"/>
          <w:iCs/>
          <w:color w:val="212121"/>
          <w:szCs w:val="20"/>
        </w:rPr>
        <w:t>and two Member States</w:t>
      </w:r>
      <w:r>
        <w:rPr>
          <w:rFonts w:eastAsia="Calibri" w:cs="Arial"/>
          <w:iCs/>
          <w:color w:val="212121"/>
          <w:szCs w:val="20"/>
        </w:rPr>
        <w:t xml:space="preserve"> were assisted</w:t>
      </w:r>
      <w:r w:rsidRPr="00CA3EAB">
        <w:rPr>
          <w:rFonts w:eastAsia="Calibri" w:cs="Arial"/>
          <w:iCs/>
          <w:color w:val="212121"/>
          <w:szCs w:val="20"/>
        </w:rPr>
        <w:t xml:space="preserve"> in its implementation in accordance with </w:t>
      </w:r>
      <w:r w:rsidRPr="00CA3EAB">
        <w:rPr>
          <w:rFonts w:eastAsia="Calibri" w:cs="Arial"/>
          <w:iCs/>
          <w:color w:val="212121"/>
          <w:szCs w:val="20"/>
        </w:rPr>
        <w:lastRenderedPageBreak/>
        <w:t>the respective particular national needs.</w:t>
      </w:r>
      <w:r>
        <w:rPr>
          <w:rFonts w:eastAsia="Calibri" w:cs="Arial"/>
          <w:iCs/>
          <w:color w:val="212121"/>
          <w:szCs w:val="20"/>
        </w:rPr>
        <w:t xml:space="preserve"> </w:t>
      </w:r>
      <w:r w:rsidRPr="00CA3EAB">
        <w:rPr>
          <w:rFonts w:eastAsia="Calibri" w:cs="Arial"/>
          <w:iCs/>
          <w:color w:val="212121"/>
          <w:szCs w:val="20"/>
        </w:rPr>
        <w:t xml:space="preserve"> In addition, </w:t>
      </w:r>
      <w:r>
        <w:rPr>
          <w:rFonts w:eastAsia="Calibri" w:cs="Arial"/>
          <w:iCs/>
          <w:color w:val="212121"/>
          <w:szCs w:val="20"/>
        </w:rPr>
        <w:t xml:space="preserve">the </w:t>
      </w:r>
      <w:r w:rsidRPr="00CA3EAB">
        <w:rPr>
          <w:rFonts w:eastAsia="Calibri" w:cs="Arial"/>
          <w:iCs/>
          <w:color w:val="212121"/>
          <w:szCs w:val="20"/>
        </w:rPr>
        <w:t>Program developed a set of</w:t>
      </w:r>
      <w:r>
        <w:rPr>
          <w:rFonts w:eastAsia="Calibri" w:cs="Arial"/>
          <w:iCs/>
          <w:color w:val="212121"/>
          <w:szCs w:val="20"/>
        </w:rPr>
        <w:t xml:space="preserve"> </w:t>
      </w:r>
      <w:r w:rsidRPr="00CA3EAB">
        <w:rPr>
          <w:rFonts w:eastAsia="Calibri" w:cs="Arial"/>
          <w:iCs/>
          <w:color w:val="212121"/>
          <w:szCs w:val="20"/>
        </w:rPr>
        <w:t xml:space="preserve">educational materials for </w:t>
      </w:r>
      <w:r>
        <w:rPr>
          <w:rFonts w:eastAsia="Calibri" w:cs="Arial"/>
          <w:iCs/>
          <w:color w:val="212121"/>
          <w:szCs w:val="20"/>
        </w:rPr>
        <w:t xml:space="preserve">pupils </w:t>
      </w:r>
      <w:r w:rsidRPr="00CA3EAB">
        <w:rPr>
          <w:rFonts w:eastAsia="Calibri" w:cs="Arial"/>
          <w:iCs/>
          <w:color w:val="212121"/>
          <w:szCs w:val="20"/>
        </w:rPr>
        <w:t xml:space="preserve">aged from 10 to 15 years </w:t>
      </w:r>
      <w:r>
        <w:rPr>
          <w:rFonts w:eastAsia="Calibri" w:cs="Arial"/>
          <w:iCs/>
          <w:color w:val="212121"/>
          <w:szCs w:val="20"/>
        </w:rPr>
        <w:t>on respect for copyright;  supported six</w:t>
      </w:r>
      <w:r w:rsidRPr="00CA3EAB">
        <w:rPr>
          <w:rFonts w:eastAsia="Calibri" w:cs="Arial"/>
          <w:iCs/>
          <w:color w:val="212121"/>
          <w:szCs w:val="20"/>
        </w:rPr>
        <w:t xml:space="preserve"> Member States </w:t>
      </w:r>
      <w:r>
        <w:rPr>
          <w:rFonts w:eastAsia="Calibri" w:cs="Arial"/>
          <w:iCs/>
          <w:color w:val="212121"/>
          <w:szCs w:val="20"/>
        </w:rPr>
        <w:t xml:space="preserve">in </w:t>
      </w:r>
      <w:r w:rsidRPr="00CA3EAB">
        <w:rPr>
          <w:rFonts w:eastAsia="Calibri" w:cs="Arial"/>
          <w:iCs/>
          <w:color w:val="212121"/>
          <w:szCs w:val="20"/>
        </w:rPr>
        <w:t>the</w:t>
      </w:r>
      <w:r>
        <w:rPr>
          <w:rFonts w:eastAsia="Calibri" w:cs="Arial"/>
          <w:iCs/>
          <w:color w:val="212121"/>
          <w:szCs w:val="20"/>
        </w:rPr>
        <w:t xml:space="preserve"> </w:t>
      </w:r>
      <w:r w:rsidRPr="00CA3EAB">
        <w:rPr>
          <w:rFonts w:eastAsia="Calibri" w:cs="Arial"/>
          <w:iCs/>
          <w:color w:val="212121"/>
          <w:szCs w:val="20"/>
        </w:rPr>
        <w:t>organization</w:t>
      </w:r>
      <w:r>
        <w:rPr>
          <w:rFonts w:eastAsia="Calibri" w:cs="Arial"/>
          <w:iCs/>
          <w:color w:val="212121"/>
          <w:szCs w:val="20"/>
        </w:rPr>
        <w:t xml:space="preserve"> </w:t>
      </w:r>
      <w:r w:rsidRPr="00CA3EAB">
        <w:rPr>
          <w:rFonts w:eastAsia="Calibri" w:cs="Arial"/>
          <w:iCs/>
          <w:color w:val="212121"/>
          <w:szCs w:val="20"/>
        </w:rPr>
        <w:t>of</w:t>
      </w:r>
      <w:r>
        <w:rPr>
          <w:rFonts w:eastAsia="Calibri" w:cs="Arial"/>
          <w:iCs/>
          <w:color w:val="212121"/>
          <w:szCs w:val="20"/>
        </w:rPr>
        <w:t xml:space="preserve"> </w:t>
      </w:r>
      <w:r w:rsidRPr="00CA3EAB">
        <w:rPr>
          <w:rFonts w:eastAsia="Calibri" w:cs="Arial"/>
          <w:iCs/>
          <w:color w:val="212121"/>
          <w:szCs w:val="20"/>
        </w:rPr>
        <w:t>school competitions around the</w:t>
      </w:r>
      <w:r>
        <w:rPr>
          <w:rFonts w:eastAsia="Calibri" w:cs="Arial"/>
          <w:iCs/>
          <w:color w:val="212121"/>
          <w:szCs w:val="20"/>
        </w:rPr>
        <w:t xml:space="preserve"> </w:t>
      </w:r>
      <w:r w:rsidRPr="00CA3EAB">
        <w:rPr>
          <w:rFonts w:eastAsia="Calibri" w:cs="Arial"/>
          <w:iCs/>
          <w:color w:val="212121"/>
          <w:szCs w:val="20"/>
        </w:rPr>
        <w:t>Building Respect for IP theme</w:t>
      </w:r>
      <w:r>
        <w:rPr>
          <w:rFonts w:eastAsia="Calibri" w:cs="Arial"/>
          <w:iCs/>
          <w:color w:val="212121"/>
          <w:szCs w:val="20"/>
        </w:rPr>
        <w:t>;</w:t>
      </w:r>
      <w:r w:rsidRPr="00CA3EAB">
        <w:rPr>
          <w:rFonts w:eastAsia="Calibri" w:cs="Arial"/>
          <w:iCs/>
          <w:color w:val="212121"/>
          <w:szCs w:val="20"/>
        </w:rPr>
        <w:t xml:space="preserve"> </w:t>
      </w:r>
      <w:r>
        <w:rPr>
          <w:rFonts w:eastAsia="Calibri" w:cs="Arial"/>
          <w:iCs/>
          <w:color w:val="212121"/>
          <w:szCs w:val="20"/>
        </w:rPr>
        <w:t xml:space="preserve"> </w:t>
      </w:r>
      <w:r w:rsidRPr="00CA3EAB">
        <w:rPr>
          <w:rFonts w:eastAsia="Calibri" w:cs="Arial"/>
          <w:iCs/>
          <w:color w:val="212121"/>
          <w:szCs w:val="20"/>
        </w:rPr>
        <w:t xml:space="preserve">and published </w:t>
      </w:r>
      <w:r>
        <w:rPr>
          <w:rFonts w:eastAsia="Calibri" w:cs="Arial"/>
          <w:iCs/>
          <w:color w:val="212121"/>
          <w:szCs w:val="20"/>
        </w:rPr>
        <w:t>a</w:t>
      </w:r>
      <w:r w:rsidRPr="00CA3EAB">
        <w:rPr>
          <w:rFonts w:eastAsia="Calibri" w:cs="Arial"/>
          <w:iCs/>
          <w:color w:val="212121"/>
          <w:szCs w:val="20"/>
        </w:rPr>
        <w:t xml:space="preserve"> DVD and </w:t>
      </w:r>
      <w:r>
        <w:rPr>
          <w:rFonts w:eastAsia="Calibri" w:cs="Arial"/>
          <w:iCs/>
          <w:color w:val="212121"/>
          <w:szCs w:val="20"/>
        </w:rPr>
        <w:t xml:space="preserve">a </w:t>
      </w:r>
      <w:r w:rsidRPr="00CA3EAB">
        <w:rPr>
          <w:rFonts w:eastAsia="Calibri" w:cs="Arial"/>
          <w:iCs/>
          <w:color w:val="212121"/>
          <w:szCs w:val="20"/>
        </w:rPr>
        <w:t>workbook featuring “Pororo the little penguin”.</w:t>
      </w:r>
      <w:r>
        <w:rPr>
          <w:rFonts w:eastAsia="Calibri" w:cs="Arial"/>
          <w:iCs/>
          <w:color w:val="212121"/>
          <w:szCs w:val="20"/>
        </w:rPr>
        <w:t xml:space="preserve"> </w:t>
      </w:r>
      <w:r w:rsidRPr="00CA3EAB">
        <w:rPr>
          <w:rFonts w:eastAsia="Calibri" w:cs="Arial"/>
          <w:iCs/>
          <w:color w:val="212121"/>
          <w:szCs w:val="20"/>
        </w:rPr>
        <w:t xml:space="preserve"> </w:t>
      </w:r>
      <w:r>
        <w:rPr>
          <w:rFonts w:eastAsia="Calibri" w:cs="Arial"/>
          <w:iCs/>
          <w:color w:val="212121"/>
          <w:szCs w:val="20"/>
        </w:rPr>
        <w:t>T</w:t>
      </w:r>
      <w:r w:rsidRPr="00CA3EAB">
        <w:rPr>
          <w:rFonts w:eastAsia="Calibri" w:cs="Arial"/>
          <w:iCs/>
          <w:color w:val="212121"/>
          <w:szCs w:val="20"/>
        </w:rPr>
        <w:t>he WIPO Awards Program continued to celebrate the achievements of</w:t>
      </w:r>
      <w:r>
        <w:rPr>
          <w:rFonts w:eastAsia="Calibri" w:cs="Arial"/>
          <w:iCs/>
          <w:color w:val="212121"/>
          <w:szCs w:val="20"/>
        </w:rPr>
        <w:t xml:space="preserve"> </w:t>
      </w:r>
      <w:r w:rsidRPr="00CA3EAB">
        <w:rPr>
          <w:rFonts w:eastAsia="Calibri" w:cs="Arial"/>
          <w:iCs/>
          <w:color w:val="212121"/>
          <w:szCs w:val="20"/>
        </w:rPr>
        <w:t>inventors, creators and innovative companies with 330 WIPO Awards and 470</w:t>
      </w:r>
      <w:r>
        <w:rPr>
          <w:rFonts w:eastAsia="Calibri" w:cs="Arial"/>
          <w:iCs/>
          <w:color w:val="212121"/>
          <w:szCs w:val="20"/>
        </w:rPr>
        <w:t> </w:t>
      </w:r>
      <w:r w:rsidRPr="00CA3EAB">
        <w:rPr>
          <w:rFonts w:eastAsia="Calibri" w:cs="Arial"/>
          <w:iCs/>
          <w:color w:val="212121"/>
          <w:szCs w:val="20"/>
        </w:rPr>
        <w:t>certificates being bestowed on recipients from 54 Member States.</w:t>
      </w:r>
      <w:r>
        <w:rPr>
          <w:rFonts w:eastAsia="Calibri" w:cs="Arial"/>
          <w:iCs/>
          <w:color w:val="212121"/>
          <w:szCs w:val="20"/>
        </w:rPr>
        <w:t xml:space="preserve">  The </w:t>
      </w:r>
      <w:r w:rsidRPr="00CA3EAB">
        <w:rPr>
          <w:rFonts w:eastAsia="Calibri" w:cs="Arial"/>
          <w:iCs/>
          <w:color w:val="212121"/>
          <w:szCs w:val="20"/>
        </w:rPr>
        <w:t>Program</w:t>
      </w:r>
      <w:r>
        <w:rPr>
          <w:rFonts w:eastAsia="Calibri" w:cs="Arial"/>
          <w:iCs/>
          <w:color w:val="212121"/>
          <w:szCs w:val="20"/>
        </w:rPr>
        <w:t>’s</w:t>
      </w:r>
      <w:r w:rsidRPr="00CA3EAB">
        <w:rPr>
          <w:rFonts w:eastAsia="Calibri" w:cs="Arial"/>
          <w:iCs/>
          <w:color w:val="212121"/>
          <w:szCs w:val="20"/>
        </w:rPr>
        <w:t xml:space="preserve"> awareness-raising activities </w:t>
      </w:r>
      <w:r>
        <w:rPr>
          <w:rFonts w:eastAsia="Calibri" w:cs="Arial"/>
          <w:iCs/>
          <w:color w:val="212121"/>
          <w:szCs w:val="20"/>
        </w:rPr>
        <w:t>responded to</w:t>
      </w:r>
      <w:r w:rsidRPr="00CA3EAB">
        <w:rPr>
          <w:rFonts w:eastAsia="Calibri" w:cs="Arial"/>
          <w:iCs/>
          <w:color w:val="212121"/>
          <w:szCs w:val="20"/>
        </w:rPr>
        <w:t xml:space="preserve"> DA Recommendation 3. </w:t>
      </w:r>
    </w:p>
    <w:p w:rsidR="000B01ED" w:rsidRPr="00951221" w:rsidRDefault="000B01ED" w:rsidP="00B9043D">
      <w:pPr>
        <w:tabs>
          <w:tab w:val="left" w:pos="709"/>
        </w:tabs>
        <w:jc w:val="both"/>
        <w:rPr>
          <w:rFonts w:cs="Arial"/>
          <w:szCs w:val="20"/>
        </w:rPr>
      </w:pPr>
    </w:p>
    <w:p w:rsidR="000B01ED" w:rsidRDefault="000B01ED" w:rsidP="00B9043D">
      <w:pPr>
        <w:rPr>
          <w:rFonts w:cs="Arial"/>
          <w:sz w:val="22"/>
          <w:szCs w:val="22"/>
        </w:rPr>
      </w:pPr>
    </w:p>
    <w:p w:rsidR="000B01ED" w:rsidRPr="005D128B" w:rsidRDefault="000B01ED" w:rsidP="00B9043D">
      <w:pPr>
        <w:rPr>
          <w:rFonts w:cs="Arial"/>
          <w:szCs w:val="22"/>
        </w:rPr>
      </w:pPr>
      <w:r w:rsidRPr="005D128B">
        <w:rPr>
          <w:rFonts w:cs="Arial"/>
          <w:szCs w:val="22"/>
        </w:rPr>
        <w:t>PERFORMANCE DATA</w:t>
      </w:r>
    </w:p>
    <w:p w:rsidR="000B01ED" w:rsidRPr="0057012D" w:rsidRDefault="000B01ED" w:rsidP="00B9043D">
      <w:pPr>
        <w:jc w:val="both"/>
        <w:rPr>
          <w:rFonts w:cs="Arial"/>
          <w:szCs w:val="20"/>
        </w:rPr>
      </w:pPr>
    </w:p>
    <w:tbl>
      <w:tblPr>
        <w:tblW w:w="4962"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128"/>
        <w:gridCol w:w="2411"/>
        <w:gridCol w:w="1560"/>
        <w:gridCol w:w="2409"/>
        <w:gridCol w:w="990"/>
      </w:tblGrid>
      <w:tr w:rsidR="000B01ED" w:rsidRPr="000B3714" w:rsidTr="00B9043D">
        <w:trPr>
          <w:cantSplit/>
          <w:trHeight w:val="423"/>
          <w:tblHeader/>
        </w:trPr>
        <w:tc>
          <w:tcPr>
            <w:tcW w:w="5000" w:type="pct"/>
            <w:gridSpan w:val="5"/>
            <w:tcBorders>
              <w:top w:val="single" w:sz="4" w:space="0" w:color="auto"/>
              <w:bottom w:val="single" w:sz="4" w:space="0" w:color="auto"/>
            </w:tcBorders>
            <w:shd w:val="clear" w:color="auto" w:fill="C6D9F1" w:themeFill="text2" w:themeFillTint="33"/>
            <w:vAlign w:val="center"/>
          </w:tcPr>
          <w:p w:rsidR="000B01ED" w:rsidRPr="000B3714" w:rsidRDefault="000B01ED" w:rsidP="00B9043D">
            <w:pPr>
              <w:keepNext/>
              <w:keepLines/>
              <w:tabs>
                <w:tab w:val="left" w:pos="1452"/>
              </w:tabs>
              <w:ind w:left="1452" w:hanging="1452"/>
              <w:rPr>
                <w:rFonts w:cs="Arial"/>
                <w:b/>
                <w:bCs/>
                <w:sz w:val="16"/>
                <w:szCs w:val="16"/>
              </w:rPr>
            </w:pPr>
            <w:r w:rsidRPr="000B3714">
              <w:rPr>
                <w:rFonts w:cs="Arial"/>
                <w:b/>
                <w:bCs/>
                <w:sz w:val="16"/>
                <w:szCs w:val="16"/>
              </w:rPr>
              <w:t>Expected Result:</w:t>
            </w:r>
            <w:r w:rsidRPr="000B3714">
              <w:rPr>
                <w:rFonts w:cs="Arial"/>
                <w:b/>
                <w:bCs/>
                <w:sz w:val="16"/>
                <w:szCs w:val="16"/>
              </w:rPr>
              <w:tab/>
            </w:r>
            <w:r w:rsidRPr="00905094">
              <w:rPr>
                <w:rFonts w:cs="Arial"/>
                <w:sz w:val="16"/>
                <w:szCs w:val="16"/>
              </w:rPr>
              <w:t>I.2 Tailored and balanced IP legislative, regulatory and policy frameworks</w:t>
            </w:r>
          </w:p>
        </w:tc>
      </w:tr>
      <w:tr w:rsidR="000B01ED" w:rsidRPr="000B3714" w:rsidTr="00B9043D">
        <w:trPr>
          <w:cantSplit/>
          <w:tblHeader/>
        </w:trPr>
        <w:tc>
          <w:tcPr>
            <w:tcW w:w="1121" w:type="pct"/>
            <w:tcBorders>
              <w:top w:val="single" w:sz="4" w:space="0" w:color="auto"/>
            </w:tcBorders>
            <w:shd w:val="clear" w:color="auto" w:fill="auto"/>
            <w:vAlign w:val="center"/>
          </w:tcPr>
          <w:p w:rsidR="000B01ED" w:rsidRPr="000B3714" w:rsidRDefault="000B01ED" w:rsidP="00B9043D">
            <w:pPr>
              <w:rPr>
                <w:rFonts w:cs="Arial"/>
                <w:sz w:val="16"/>
                <w:szCs w:val="16"/>
              </w:rPr>
            </w:pPr>
            <w:r w:rsidRPr="000B3714">
              <w:rPr>
                <w:rFonts w:cs="Arial"/>
                <w:b/>
                <w:bCs/>
                <w:sz w:val="16"/>
                <w:szCs w:val="16"/>
              </w:rPr>
              <w:t>Performance Indicators</w:t>
            </w:r>
          </w:p>
        </w:tc>
        <w:tc>
          <w:tcPr>
            <w:tcW w:w="1269" w:type="pct"/>
            <w:tcBorders>
              <w:top w:val="single" w:sz="4" w:space="0" w:color="auto"/>
            </w:tcBorders>
            <w:shd w:val="clear" w:color="auto" w:fill="auto"/>
            <w:vAlign w:val="center"/>
          </w:tcPr>
          <w:p w:rsidR="000B01ED" w:rsidRPr="000B3714" w:rsidRDefault="000B01ED" w:rsidP="00B9043D">
            <w:pPr>
              <w:rPr>
                <w:rFonts w:cs="Arial"/>
                <w:b/>
                <w:bCs/>
                <w:sz w:val="16"/>
                <w:szCs w:val="16"/>
              </w:rPr>
            </w:pPr>
            <w:r w:rsidRPr="000B3714">
              <w:rPr>
                <w:rFonts w:cs="Arial"/>
                <w:b/>
                <w:bCs/>
                <w:sz w:val="16"/>
                <w:szCs w:val="16"/>
              </w:rPr>
              <w:t>Baselines</w:t>
            </w:r>
          </w:p>
        </w:tc>
        <w:tc>
          <w:tcPr>
            <w:tcW w:w="821" w:type="pct"/>
            <w:tcBorders>
              <w:top w:val="single" w:sz="4" w:space="0" w:color="auto"/>
            </w:tcBorders>
            <w:shd w:val="clear" w:color="auto" w:fill="auto"/>
            <w:tcMar>
              <w:top w:w="110" w:type="dxa"/>
            </w:tcMar>
            <w:vAlign w:val="center"/>
          </w:tcPr>
          <w:p w:rsidR="000B01ED" w:rsidRPr="000B3714" w:rsidRDefault="000B01ED" w:rsidP="00B9043D">
            <w:pPr>
              <w:rPr>
                <w:rFonts w:cs="Arial"/>
                <w:b/>
                <w:sz w:val="16"/>
                <w:szCs w:val="16"/>
              </w:rPr>
            </w:pPr>
            <w:r w:rsidRPr="000B3714">
              <w:rPr>
                <w:rFonts w:cs="Arial"/>
                <w:b/>
                <w:sz w:val="16"/>
                <w:szCs w:val="16"/>
              </w:rPr>
              <w:t>Targets</w:t>
            </w:r>
          </w:p>
        </w:tc>
        <w:tc>
          <w:tcPr>
            <w:tcW w:w="1268" w:type="pct"/>
            <w:tcBorders>
              <w:top w:val="single" w:sz="4" w:space="0" w:color="auto"/>
            </w:tcBorders>
            <w:shd w:val="clear" w:color="auto" w:fill="FFFFFF"/>
            <w:tcMar>
              <w:top w:w="110" w:type="dxa"/>
            </w:tcMar>
            <w:vAlign w:val="center"/>
          </w:tcPr>
          <w:p w:rsidR="000B01ED" w:rsidRPr="000B3714" w:rsidRDefault="000B01ED" w:rsidP="00B9043D">
            <w:pPr>
              <w:rPr>
                <w:rFonts w:cs="Arial"/>
                <w:sz w:val="16"/>
                <w:szCs w:val="16"/>
              </w:rPr>
            </w:pPr>
            <w:r w:rsidRPr="000B3714">
              <w:rPr>
                <w:rFonts w:cs="Arial"/>
                <w:b/>
                <w:bCs/>
                <w:sz w:val="16"/>
                <w:szCs w:val="16"/>
              </w:rPr>
              <w:t>Performance Data</w:t>
            </w:r>
          </w:p>
        </w:tc>
        <w:tc>
          <w:tcPr>
            <w:tcW w:w="522" w:type="pct"/>
            <w:tcBorders>
              <w:top w:val="single" w:sz="4" w:space="0" w:color="auto"/>
            </w:tcBorders>
            <w:shd w:val="clear" w:color="auto" w:fill="auto"/>
            <w:tcMar>
              <w:top w:w="110" w:type="dxa"/>
            </w:tcMar>
            <w:vAlign w:val="center"/>
          </w:tcPr>
          <w:p w:rsidR="000B01ED" w:rsidRPr="000B3714" w:rsidRDefault="000B01ED" w:rsidP="00B9043D">
            <w:pPr>
              <w:keepNext/>
              <w:keepLines/>
              <w:jc w:val="center"/>
              <w:rPr>
                <w:rFonts w:cs="Arial"/>
                <w:b/>
                <w:bCs/>
                <w:sz w:val="16"/>
                <w:szCs w:val="16"/>
              </w:rPr>
            </w:pPr>
            <w:r w:rsidRPr="000B3714">
              <w:rPr>
                <w:rFonts w:cs="Arial"/>
                <w:b/>
                <w:bCs/>
                <w:sz w:val="16"/>
                <w:szCs w:val="16"/>
              </w:rPr>
              <w:t>TLS</w:t>
            </w:r>
          </w:p>
        </w:tc>
      </w:tr>
      <w:tr w:rsidR="000B01ED" w:rsidRPr="000B3714" w:rsidTr="00B9043D">
        <w:trPr>
          <w:cantSplit/>
          <w:trHeight w:val="2212"/>
          <w:tblHeader/>
        </w:trPr>
        <w:tc>
          <w:tcPr>
            <w:tcW w:w="1121" w:type="pct"/>
            <w:tcBorders>
              <w:bottom w:val="single" w:sz="4" w:space="0" w:color="auto"/>
            </w:tcBorders>
            <w:shd w:val="clear" w:color="auto" w:fill="auto"/>
          </w:tcPr>
          <w:p w:rsidR="000B01ED" w:rsidRDefault="000B01ED" w:rsidP="00B9043D">
            <w:pPr>
              <w:rPr>
                <w:rFonts w:cs="Arial"/>
                <w:sz w:val="16"/>
                <w:szCs w:val="16"/>
              </w:rPr>
            </w:pPr>
            <w:r w:rsidRPr="00905094">
              <w:rPr>
                <w:rFonts w:cs="Arial"/>
                <w:sz w:val="16"/>
                <w:szCs w:val="16"/>
              </w:rPr>
              <w:t>No. of countries that have adopted or amended relevant frameworks (or are in the process of doing so) further to WIPO assistance</w:t>
            </w:r>
          </w:p>
          <w:p w:rsidR="000B01ED" w:rsidRPr="000B3714" w:rsidRDefault="000B01ED" w:rsidP="00B9043D">
            <w:pPr>
              <w:rPr>
                <w:rFonts w:cs="Arial"/>
                <w:sz w:val="16"/>
                <w:szCs w:val="16"/>
              </w:rPr>
            </w:pPr>
          </w:p>
        </w:tc>
        <w:tc>
          <w:tcPr>
            <w:tcW w:w="1269" w:type="pct"/>
            <w:tcBorders>
              <w:bottom w:val="single" w:sz="4" w:space="0" w:color="auto"/>
            </w:tcBorders>
            <w:shd w:val="clear" w:color="auto" w:fill="auto"/>
          </w:tcPr>
          <w:p w:rsidR="000B01ED" w:rsidRPr="000B3714" w:rsidRDefault="000B01ED" w:rsidP="00B9043D">
            <w:pPr>
              <w:rPr>
                <w:rFonts w:cs="Arial"/>
                <w:i/>
                <w:color w:val="002060"/>
                <w:sz w:val="16"/>
                <w:szCs w:val="16"/>
              </w:rPr>
            </w:pPr>
            <w:r>
              <w:rPr>
                <w:rFonts w:cs="Arial"/>
                <w:i/>
                <w:color w:val="002060"/>
                <w:sz w:val="16"/>
                <w:szCs w:val="16"/>
              </w:rPr>
              <w:t>Updated Baseline end 2013</w:t>
            </w:r>
            <w:r w:rsidRPr="000B3714">
              <w:rPr>
                <w:rFonts w:cs="Arial"/>
                <w:i/>
                <w:color w:val="002060"/>
                <w:sz w:val="16"/>
                <w:szCs w:val="16"/>
              </w:rPr>
              <w:t xml:space="preserve">:  </w:t>
            </w:r>
          </w:p>
          <w:p w:rsidR="000B01ED" w:rsidRPr="000B3714" w:rsidRDefault="000B01ED" w:rsidP="00B9043D">
            <w:pPr>
              <w:rPr>
                <w:rFonts w:cs="Arial"/>
                <w:color w:val="002060"/>
                <w:sz w:val="16"/>
                <w:szCs w:val="16"/>
                <w:lang w:eastAsia="ko-KR" w:bidi="th-TH"/>
              </w:rPr>
            </w:pPr>
            <w:r>
              <w:rPr>
                <w:rFonts w:cs="Arial"/>
                <w:color w:val="002060"/>
                <w:sz w:val="16"/>
                <w:szCs w:val="16"/>
                <w:lang w:eastAsia="ko-KR" w:bidi="th-TH"/>
              </w:rPr>
              <w:t>9</w:t>
            </w:r>
            <w:r>
              <w:t xml:space="preserve"> </w:t>
            </w:r>
            <w:r w:rsidRPr="00A3319F">
              <w:rPr>
                <w:rFonts w:cs="Arial"/>
                <w:color w:val="002060"/>
                <w:sz w:val="16"/>
                <w:szCs w:val="16"/>
                <w:lang w:eastAsia="ko-KR" w:bidi="th-TH"/>
              </w:rPr>
              <w:t>countries</w:t>
            </w:r>
            <w:r>
              <w:rPr>
                <w:rFonts w:cs="Arial"/>
                <w:color w:val="002060"/>
                <w:sz w:val="16"/>
                <w:szCs w:val="16"/>
                <w:lang w:eastAsia="ko-KR" w:bidi="th-TH"/>
              </w:rPr>
              <w:t>/ organizations</w:t>
            </w:r>
            <w:r w:rsidRPr="00A3319F">
              <w:rPr>
                <w:rFonts w:cs="Arial"/>
                <w:color w:val="002060"/>
                <w:sz w:val="16"/>
                <w:szCs w:val="16"/>
                <w:lang w:eastAsia="ko-KR" w:bidi="th-TH"/>
              </w:rPr>
              <w:t xml:space="preserve"> in the process of amending and/or adopting relevant frameworks towards effective IP enforcement</w:t>
            </w:r>
            <w:r>
              <w:rPr>
                <w:rFonts w:cs="Arial"/>
                <w:color w:val="002060"/>
                <w:sz w:val="16"/>
                <w:szCs w:val="16"/>
                <w:lang w:eastAsia="ko-KR" w:bidi="th-TH"/>
              </w:rPr>
              <w:t xml:space="preserve">: </w:t>
            </w:r>
            <w:r w:rsidRPr="008855BE">
              <w:rPr>
                <w:rFonts w:cs="Arial"/>
                <w:color w:val="002060"/>
                <w:sz w:val="16"/>
                <w:szCs w:val="16"/>
                <w:lang w:eastAsia="ko-KR" w:bidi="th-TH"/>
              </w:rPr>
              <w:t>Africa (5), Asia and the Pacific (2), Latin America and the Caribbean (2</w:t>
            </w:r>
            <w:r w:rsidRPr="0069246C">
              <w:rPr>
                <w:rFonts w:cs="Arial"/>
                <w:color w:val="002060"/>
                <w:sz w:val="16"/>
                <w:szCs w:val="16"/>
                <w:lang w:eastAsia="ko-KR" w:bidi="th-TH"/>
              </w:rPr>
              <w:t>)</w:t>
            </w:r>
          </w:p>
          <w:p w:rsidR="000B01ED" w:rsidRPr="001E0812" w:rsidRDefault="000B01ED" w:rsidP="00B9043D">
            <w:pPr>
              <w:rPr>
                <w:rFonts w:cs="Arial"/>
                <w:i/>
                <w:sz w:val="8"/>
                <w:szCs w:val="8"/>
              </w:rPr>
            </w:pPr>
          </w:p>
          <w:p w:rsidR="000B01ED" w:rsidRPr="000B3714" w:rsidRDefault="000B01ED" w:rsidP="00B9043D">
            <w:pPr>
              <w:rPr>
                <w:rFonts w:cs="Arial"/>
                <w:sz w:val="16"/>
                <w:szCs w:val="16"/>
              </w:rPr>
            </w:pPr>
            <w:r>
              <w:rPr>
                <w:rFonts w:cs="Arial"/>
                <w:i/>
                <w:sz w:val="16"/>
                <w:szCs w:val="16"/>
              </w:rPr>
              <w:t>Original Baseline P&amp;B 2014/15</w:t>
            </w:r>
            <w:r w:rsidRPr="000B3714">
              <w:rPr>
                <w:rFonts w:cs="Arial"/>
                <w:i/>
                <w:sz w:val="16"/>
                <w:szCs w:val="16"/>
              </w:rPr>
              <w:t>:</w:t>
            </w:r>
            <w:r w:rsidRPr="000B3714">
              <w:rPr>
                <w:rFonts w:cs="Arial"/>
                <w:sz w:val="16"/>
                <w:szCs w:val="16"/>
              </w:rPr>
              <w:br/>
            </w:r>
            <w:r>
              <w:rPr>
                <w:rFonts w:cs="Arial"/>
                <w:sz w:val="16"/>
                <w:szCs w:val="16"/>
                <w:lang w:bidi="th-TH"/>
              </w:rPr>
              <w:t>tbd</w:t>
            </w:r>
          </w:p>
        </w:tc>
        <w:tc>
          <w:tcPr>
            <w:tcW w:w="821" w:type="pct"/>
            <w:tcBorders>
              <w:bottom w:val="single" w:sz="4" w:space="0" w:color="auto"/>
            </w:tcBorders>
            <w:shd w:val="clear" w:color="auto" w:fill="auto"/>
            <w:tcMar>
              <w:top w:w="110" w:type="dxa"/>
            </w:tcMar>
          </w:tcPr>
          <w:p w:rsidR="000B01ED" w:rsidRPr="000B3714" w:rsidRDefault="000B01ED" w:rsidP="00B9043D">
            <w:pPr>
              <w:rPr>
                <w:rFonts w:cs="Arial"/>
                <w:i/>
                <w:sz w:val="16"/>
                <w:szCs w:val="16"/>
              </w:rPr>
            </w:pPr>
            <w:r>
              <w:rPr>
                <w:rFonts w:cs="Arial"/>
                <w:sz w:val="16"/>
                <w:szCs w:val="16"/>
              </w:rPr>
              <w:t>6</w:t>
            </w:r>
            <w:r w:rsidRPr="000B3714" w:rsidDel="0069614F">
              <w:rPr>
                <w:rFonts w:cs="Arial"/>
                <w:sz w:val="16"/>
                <w:szCs w:val="16"/>
                <w:lang w:bidi="th-TH"/>
              </w:rPr>
              <w:t xml:space="preserve"> </w:t>
            </w:r>
          </w:p>
        </w:tc>
        <w:tc>
          <w:tcPr>
            <w:tcW w:w="1268" w:type="pct"/>
            <w:tcBorders>
              <w:bottom w:val="single" w:sz="4" w:space="0" w:color="auto"/>
            </w:tcBorders>
            <w:shd w:val="clear" w:color="auto" w:fill="FFFFFF"/>
            <w:tcMar>
              <w:top w:w="110" w:type="dxa"/>
            </w:tcMar>
          </w:tcPr>
          <w:p w:rsidR="000B01ED" w:rsidRPr="00B61B49" w:rsidRDefault="000B01ED" w:rsidP="00B9043D">
            <w:pPr>
              <w:rPr>
                <w:rFonts w:cs="Arial"/>
                <w:sz w:val="16"/>
                <w:szCs w:val="16"/>
              </w:rPr>
            </w:pPr>
            <w:r w:rsidRPr="00B61B49">
              <w:rPr>
                <w:rFonts w:cs="Arial"/>
                <w:sz w:val="16"/>
                <w:szCs w:val="16"/>
              </w:rPr>
              <w:t>12 countries/organizations have adopted and/or amended or are in the process of amending and/or adopting relevant frameworks towards effect</w:t>
            </w:r>
            <w:r>
              <w:rPr>
                <w:rFonts w:cs="Arial"/>
                <w:sz w:val="16"/>
                <w:szCs w:val="16"/>
              </w:rPr>
              <w:t>ive IP enforcement: Africa (4);</w:t>
            </w:r>
            <w:r w:rsidRPr="00B61B49">
              <w:rPr>
                <w:rFonts w:cs="Arial"/>
                <w:sz w:val="16"/>
                <w:szCs w:val="16"/>
              </w:rPr>
              <w:t xml:space="preserve"> </w:t>
            </w:r>
            <w:r>
              <w:rPr>
                <w:rFonts w:cs="Arial"/>
                <w:sz w:val="16"/>
                <w:szCs w:val="16"/>
              </w:rPr>
              <w:t xml:space="preserve"> </w:t>
            </w:r>
            <w:r w:rsidRPr="00B61B49">
              <w:rPr>
                <w:rFonts w:cs="Arial"/>
                <w:sz w:val="16"/>
                <w:szCs w:val="16"/>
              </w:rPr>
              <w:t xml:space="preserve">Asia and the Pacific (5);  Latin America and the Caribbean (3).    </w:t>
            </w:r>
          </w:p>
          <w:p w:rsidR="000B01ED" w:rsidRPr="00155E62" w:rsidRDefault="000B01ED" w:rsidP="00B9043D">
            <w:pPr>
              <w:rPr>
                <w:rFonts w:cs="Arial"/>
                <w:sz w:val="16"/>
                <w:szCs w:val="16"/>
              </w:rPr>
            </w:pPr>
            <w:r w:rsidRPr="00B61B49">
              <w:rPr>
                <w:rFonts w:cs="Arial"/>
                <w:sz w:val="16"/>
                <w:szCs w:val="16"/>
              </w:rPr>
              <w:t>(21 cumulative)</w:t>
            </w:r>
            <w:r w:rsidRPr="00815195">
              <w:rPr>
                <w:rFonts w:cs="Arial"/>
                <w:sz w:val="16"/>
                <w:szCs w:val="16"/>
              </w:rPr>
              <w:t xml:space="preserve">  </w:t>
            </w:r>
          </w:p>
        </w:tc>
        <w:tc>
          <w:tcPr>
            <w:tcW w:w="522" w:type="pct"/>
            <w:tcBorders>
              <w:bottom w:val="single" w:sz="4" w:space="0" w:color="auto"/>
            </w:tcBorders>
            <w:shd w:val="clear" w:color="auto" w:fill="auto"/>
            <w:tcMar>
              <w:top w:w="110" w:type="dxa"/>
            </w:tcMar>
          </w:tcPr>
          <w:p w:rsidR="000B01ED" w:rsidRPr="00905094" w:rsidRDefault="000B01ED" w:rsidP="00B9043D">
            <w:pPr>
              <w:keepNext/>
              <w:keepLines/>
              <w:jc w:val="center"/>
              <w:rPr>
                <w:rFonts w:cs="Arial"/>
                <w:b/>
                <w:bCs/>
                <w:color w:val="00B050"/>
                <w:sz w:val="16"/>
                <w:szCs w:val="16"/>
              </w:rPr>
            </w:pPr>
            <w:r>
              <w:rPr>
                <w:rFonts w:cs="Arial"/>
                <w:b/>
                <w:bCs/>
                <w:color w:val="00B050"/>
                <w:sz w:val="16"/>
                <w:szCs w:val="16"/>
              </w:rPr>
              <w:t xml:space="preserve">Fully </w:t>
            </w:r>
            <w:r w:rsidR="003E16BE">
              <w:rPr>
                <w:rFonts w:cs="Arial"/>
                <w:b/>
                <w:bCs/>
                <w:color w:val="00B050"/>
                <w:sz w:val="16"/>
                <w:szCs w:val="16"/>
              </w:rPr>
              <w:t>A</w:t>
            </w:r>
            <w:r>
              <w:rPr>
                <w:rFonts w:cs="Arial"/>
                <w:b/>
                <w:bCs/>
                <w:color w:val="00B050"/>
                <w:sz w:val="16"/>
                <w:szCs w:val="16"/>
              </w:rPr>
              <w:t>chieved</w:t>
            </w:r>
          </w:p>
        </w:tc>
      </w:tr>
      <w:tr w:rsidR="000B01ED" w:rsidRPr="000B3714" w:rsidTr="00B9043D">
        <w:trPr>
          <w:cantSplit/>
          <w:trHeight w:val="525"/>
          <w:tblHeader/>
        </w:trPr>
        <w:tc>
          <w:tcPr>
            <w:tcW w:w="5000" w:type="pct"/>
            <w:gridSpan w:val="5"/>
            <w:tcBorders>
              <w:top w:val="single" w:sz="4" w:space="0" w:color="auto"/>
              <w:bottom w:val="single" w:sz="4" w:space="0" w:color="auto"/>
            </w:tcBorders>
            <w:shd w:val="clear" w:color="auto" w:fill="C6D9F1" w:themeFill="text2" w:themeFillTint="33"/>
            <w:vAlign w:val="center"/>
          </w:tcPr>
          <w:p w:rsidR="000B01ED" w:rsidRPr="000B3714" w:rsidRDefault="000B01ED" w:rsidP="00B9043D">
            <w:pPr>
              <w:keepNext/>
              <w:keepLines/>
              <w:tabs>
                <w:tab w:val="left" w:pos="1452"/>
              </w:tabs>
              <w:ind w:left="1452" w:hanging="1452"/>
              <w:rPr>
                <w:rFonts w:cs="Arial"/>
                <w:b/>
                <w:bCs/>
                <w:sz w:val="16"/>
                <w:szCs w:val="16"/>
              </w:rPr>
            </w:pPr>
            <w:r w:rsidRPr="000B3714">
              <w:rPr>
                <w:rFonts w:cs="Arial"/>
                <w:b/>
                <w:bCs/>
                <w:sz w:val="16"/>
                <w:szCs w:val="16"/>
              </w:rPr>
              <w:t>Expected Result:</w:t>
            </w:r>
            <w:r w:rsidRPr="000B3714">
              <w:rPr>
                <w:rFonts w:cs="Arial"/>
                <w:b/>
                <w:bCs/>
                <w:sz w:val="16"/>
                <w:szCs w:val="16"/>
              </w:rPr>
              <w:tab/>
            </w:r>
            <w:r w:rsidRPr="00905094">
              <w:rPr>
                <w:rFonts w:cs="Arial"/>
                <w:sz w:val="16"/>
                <w:szCs w:val="16"/>
              </w:rPr>
              <w:t>III.2 Enhanced human resource capacities able to deal with the broad range of requirements for the effective use of IP for development in developing countries, LDCs and countries with economies in transition</w:t>
            </w:r>
          </w:p>
        </w:tc>
      </w:tr>
      <w:tr w:rsidR="000B01ED" w:rsidRPr="000B3714" w:rsidTr="00B9043D">
        <w:trPr>
          <w:cantSplit/>
          <w:tblHeader/>
        </w:trPr>
        <w:tc>
          <w:tcPr>
            <w:tcW w:w="1121" w:type="pct"/>
            <w:tcBorders>
              <w:top w:val="single" w:sz="4" w:space="0" w:color="auto"/>
              <w:left w:val="single" w:sz="4" w:space="0" w:color="auto"/>
              <w:bottom w:val="nil"/>
            </w:tcBorders>
            <w:shd w:val="clear" w:color="auto" w:fill="auto"/>
            <w:vAlign w:val="center"/>
          </w:tcPr>
          <w:p w:rsidR="000B01ED" w:rsidRPr="000B3714" w:rsidRDefault="000B01ED" w:rsidP="00B9043D">
            <w:pPr>
              <w:rPr>
                <w:rFonts w:cs="Arial"/>
                <w:sz w:val="16"/>
                <w:szCs w:val="16"/>
              </w:rPr>
            </w:pPr>
            <w:r w:rsidRPr="000B3714">
              <w:rPr>
                <w:rFonts w:cs="Arial"/>
                <w:b/>
                <w:bCs/>
                <w:sz w:val="16"/>
                <w:szCs w:val="16"/>
              </w:rPr>
              <w:t>Performance Indicators</w:t>
            </w:r>
          </w:p>
        </w:tc>
        <w:tc>
          <w:tcPr>
            <w:tcW w:w="1269" w:type="pct"/>
            <w:tcBorders>
              <w:top w:val="single" w:sz="4" w:space="0" w:color="auto"/>
              <w:bottom w:val="nil"/>
            </w:tcBorders>
            <w:shd w:val="clear" w:color="auto" w:fill="auto"/>
            <w:vAlign w:val="center"/>
          </w:tcPr>
          <w:p w:rsidR="000B01ED" w:rsidRPr="000B3714" w:rsidRDefault="000B01ED" w:rsidP="00B9043D">
            <w:pPr>
              <w:rPr>
                <w:rFonts w:cs="Arial"/>
                <w:b/>
                <w:bCs/>
                <w:sz w:val="16"/>
                <w:szCs w:val="16"/>
              </w:rPr>
            </w:pPr>
            <w:r w:rsidRPr="000B3714">
              <w:rPr>
                <w:rFonts w:cs="Arial"/>
                <w:b/>
                <w:bCs/>
                <w:sz w:val="16"/>
                <w:szCs w:val="16"/>
              </w:rPr>
              <w:t>Baselines</w:t>
            </w:r>
          </w:p>
        </w:tc>
        <w:tc>
          <w:tcPr>
            <w:tcW w:w="821" w:type="pct"/>
            <w:tcBorders>
              <w:top w:val="single" w:sz="4" w:space="0" w:color="auto"/>
              <w:bottom w:val="nil"/>
            </w:tcBorders>
            <w:shd w:val="clear" w:color="auto" w:fill="auto"/>
            <w:tcMar>
              <w:top w:w="110" w:type="dxa"/>
            </w:tcMar>
            <w:vAlign w:val="center"/>
          </w:tcPr>
          <w:p w:rsidR="000B01ED" w:rsidRPr="000B3714" w:rsidRDefault="000B01ED" w:rsidP="00B9043D">
            <w:pPr>
              <w:rPr>
                <w:rFonts w:cs="Arial"/>
                <w:b/>
                <w:sz w:val="16"/>
                <w:szCs w:val="16"/>
              </w:rPr>
            </w:pPr>
            <w:r w:rsidRPr="000B3714">
              <w:rPr>
                <w:rFonts w:cs="Arial"/>
                <w:b/>
                <w:sz w:val="16"/>
                <w:szCs w:val="16"/>
              </w:rPr>
              <w:t>Targets</w:t>
            </w:r>
          </w:p>
        </w:tc>
        <w:tc>
          <w:tcPr>
            <w:tcW w:w="1268" w:type="pct"/>
            <w:tcBorders>
              <w:top w:val="single" w:sz="4" w:space="0" w:color="auto"/>
              <w:bottom w:val="nil"/>
            </w:tcBorders>
            <w:shd w:val="clear" w:color="auto" w:fill="FFFFFF"/>
            <w:tcMar>
              <w:top w:w="110" w:type="dxa"/>
            </w:tcMar>
            <w:vAlign w:val="center"/>
          </w:tcPr>
          <w:p w:rsidR="000B01ED" w:rsidRPr="000B3714" w:rsidRDefault="000B01ED" w:rsidP="00B9043D">
            <w:pPr>
              <w:rPr>
                <w:rFonts w:cs="Arial"/>
                <w:sz w:val="16"/>
                <w:szCs w:val="16"/>
              </w:rPr>
            </w:pPr>
            <w:r w:rsidRPr="000B3714">
              <w:rPr>
                <w:rFonts w:cs="Arial"/>
                <w:b/>
                <w:bCs/>
                <w:sz w:val="16"/>
                <w:szCs w:val="16"/>
              </w:rPr>
              <w:t>Performance Data</w:t>
            </w:r>
          </w:p>
        </w:tc>
        <w:tc>
          <w:tcPr>
            <w:tcW w:w="522" w:type="pct"/>
            <w:tcBorders>
              <w:top w:val="single" w:sz="4" w:space="0" w:color="auto"/>
              <w:bottom w:val="nil"/>
              <w:right w:val="single" w:sz="4" w:space="0" w:color="auto"/>
            </w:tcBorders>
            <w:shd w:val="clear" w:color="auto" w:fill="auto"/>
            <w:tcMar>
              <w:top w:w="110" w:type="dxa"/>
            </w:tcMar>
            <w:vAlign w:val="center"/>
          </w:tcPr>
          <w:p w:rsidR="000B01ED" w:rsidRPr="000B3714" w:rsidRDefault="000B01ED" w:rsidP="00B9043D">
            <w:pPr>
              <w:keepNext/>
              <w:keepLines/>
              <w:jc w:val="center"/>
              <w:rPr>
                <w:rFonts w:cs="Arial"/>
                <w:b/>
                <w:bCs/>
                <w:sz w:val="16"/>
                <w:szCs w:val="16"/>
              </w:rPr>
            </w:pPr>
            <w:r w:rsidRPr="000B3714">
              <w:rPr>
                <w:rFonts w:cs="Arial"/>
                <w:b/>
                <w:bCs/>
                <w:sz w:val="16"/>
                <w:szCs w:val="16"/>
              </w:rPr>
              <w:t>TLS</w:t>
            </w:r>
          </w:p>
        </w:tc>
      </w:tr>
      <w:tr w:rsidR="000B01ED" w:rsidRPr="000B3714" w:rsidTr="00B9043D">
        <w:trPr>
          <w:cantSplit/>
          <w:tblHeader/>
        </w:trPr>
        <w:tc>
          <w:tcPr>
            <w:tcW w:w="1121" w:type="pct"/>
            <w:tcBorders>
              <w:top w:val="nil"/>
              <w:left w:val="single" w:sz="4" w:space="0" w:color="auto"/>
              <w:bottom w:val="nil"/>
            </w:tcBorders>
            <w:shd w:val="clear" w:color="auto" w:fill="auto"/>
          </w:tcPr>
          <w:p w:rsidR="000B01ED" w:rsidRPr="000B3714" w:rsidRDefault="000B01ED" w:rsidP="00B9043D">
            <w:pPr>
              <w:rPr>
                <w:rFonts w:cs="Arial"/>
                <w:sz w:val="16"/>
                <w:szCs w:val="16"/>
              </w:rPr>
            </w:pPr>
            <w:r w:rsidRPr="00905094">
              <w:rPr>
                <w:rFonts w:cs="Arial"/>
                <w:color w:val="000000"/>
                <w:sz w:val="16"/>
                <w:szCs w:val="16"/>
                <w:lang w:bidi="th-TH"/>
              </w:rPr>
              <w:t>% of trained participants that report satisfaction with the usefulness and relevance of the training provided for their professional life</w:t>
            </w:r>
          </w:p>
        </w:tc>
        <w:tc>
          <w:tcPr>
            <w:tcW w:w="1269" w:type="pct"/>
            <w:tcBorders>
              <w:top w:val="nil"/>
              <w:bottom w:val="nil"/>
            </w:tcBorders>
            <w:shd w:val="clear" w:color="auto" w:fill="auto"/>
          </w:tcPr>
          <w:p w:rsidR="000B01ED" w:rsidRPr="000B3714" w:rsidRDefault="000B01ED" w:rsidP="00B9043D">
            <w:pPr>
              <w:rPr>
                <w:rFonts w:cs="Arial"/>
                <w:i/>
                <w:color w:val="002060"/>
                <w:sz w:val="16"/>
                <w:szCs w:val="16"/>
              </w:rPr>
            </w:pPr>
            <w:r>
              <w:rPr>
                <w:rFonts w:cs="Arial"/>
                <w:i/>
                <w:color w:val="002060"/>
                <w:sz w:val="16"/>
                <w:szCs w:val="16"/>
              </w:rPr>
              <w:t>Updated Baseline end 2013</w:t>
            </w:r>
            <w:r w:rsidRPr="000B3714">
              <w:rPr>
                <w:rFonts w:cs="Arial"/>
                <w:i/>
                <w:color w:val="002060"/>
                <w:sz w:val="16"/>
                <w:szCs w:val="16"/>
              </w:rPr>
              <w:t xml:space="preserve">:  </w:t>
            </w:r>
          </w:p>
          <w:p w:rsidR="000B01ED" w:rsidRDefault="000B01ED" w:rsidP="00B9043D">
            <w:pPr>
              <w:rPr>
                <w:rFonts w:cs="Arial"/>
                <w:color w:val="002060"/>
                <w:sz w:val="16"/>
                <w:szCs w:val="16"/>
                <w:lang w:eastAsia="ko-KR" w:bidi="th-TH"/>
              </w:rPr>
            </w:pPr>
            <w:r>
              <w:rPr>
                <w:rFonts w:cs="Arial"/>
                <w:color w:val="002060"/>
                <w:sz w:val="16"/>
                <w:szCs w:val="16"/>
                <w:lang w:eastAsia="ko-KR" w:bidi="th-TH"/>
              </w:rPr>
              <w:t>8</w:t>
            </w:r>
            <w:r w:rsidRPr="00905094">
              <w:rPr>
                <w:rFonts w:cs="Arial"/>
                <w:color w:val="002060"/>
                <w:sz w:val="16"/>
                <w:szCs w:val="16"/>
                <w:lang w:eastAsia="ko-KR" w:bidi="th-TH"/>
              </w:rPr>
              <w:t>5%</w:t>
            </w:r>
          </w:p>
          <w:p w:rsidR="000B01ED" w:rsidRPr="001E0812" w:rsidRDefault="000B01ED" w:rsidP="00B9043D">
            <w:pPr>
              <w:rPr>
                <w:rFonts w:cs="Arial"/>
                <w:i/>
                <w:sz w:val="8"/>
                <w:szCs w:val="8"/>
              </w:rPr>
            </w:pPr>
          </w:p>
          <w:p w:rsidR="000B01ED" w:rsidRPr="000B3714" w:rsidRDefault="000B01ED" w:rsidP="00B9043D">
            <w:pPr>
              <w:rPr>
                <w:rFonts w:cs="Arial"/>
                <w:sz w:val="16"/>
                <w:szCs w:val="16"/>
                <w:lang w:bidi="th-TH"/>
              </w:rPr>
            </w:pPr>
            <w:r>
              <w:rPr>
                <w:rFonts w:cs="Arial"/>
                <w:i/>
                <w:sz w:val="16"/>
                <w:szCs w:val="16"/>
              </w:rPr>
              <w:t>Original Baseline P&amp;B 2014/15</w:t>
            </w:r>
            <w:r w:rsidRPr="000B3714">
              <w:rPr>
                <w:rFonts w:cs="Arial"/>
                <w:i/>
                <w:sz w:val="16"/>
                <w:szCs w:val="16"/>
              </w:rPr>
              <w:t>:</w:t>
            </w:r>
            <w:r w:rsidRPr="000B3714">
              <w:rPr>
                <w:rFonts w:cs="Arial"/>
                <w:sz w:val="16"/>
                <w:szCs w:val="16"/>
              </w:rPr>
              <w:br/>
            </w:r>
            <w:r w:rsidRPr="00905094">
              <w:rPr>
                <w:rFonts w:cs="Arial"/>
                <w:sz w:val="16"/>
                <w:szCs w:val="16"/>
                <w:lang w:bidi="th-TH"/>
              </w:rPr>
              <w:t>75%</w:t>
            </w:r>
          </w:p>
          <w:p w:rsidR="000B01ED" w:rsidRPr="000B3714" w:rsidRDefault="000B01ED" w:rsidP="00B9043D">
            <w:pPr>
              <w:rPr>
                <w:rFonts w:cs="Arial"/>
                <w:sz w:val="16"/>
                <w:szCs w:val="16"/>
              </w:rPr>
            </w:pPr>
          </w:p>
        </w:tc>
        <w:tc>
          <w:tcPr>
            <w:tcW w:w="821" w:type="pct"/>
            <w:tcBorders>
              <w:top w:val="nil"/>
              <w:bottom w:val="nil"/>
            </w:tcBorders>
            <w:shd w:val="clear" w:color="auto" w:fill="auto"/>
            <w:tcMar>
              <w:top w:w="110" w:type="dxa"/>
            </w:tcMar>
          </w:tcPr>
          <w:p w:rsidR="000B01ED" w:rsidRPr="000B3714" w:rsidRDefault="000B01ED" w:rsidP="00B9043D">
            <w:pPr>
              <w:rPr>
                <w:rFonts w:cs="Arial"/>
                <w:i/>
                <w:sz w:val="16"/>
                <w:szCs w:val="16"/>
              </w:rPr>
            </w:pPr>
            <w:r w:rsidRPr="00905094">
              <w:rPr>
                <w:rFonts w:cs="Arial"/>
                <w:sz w:val="16"/>
                <w:szCs w:val="16"/>
                <w:lang w:bidi="th-TH"/>
              </w:rPr>
              <w:t>75%</w:t>
            </w:r>
          </w:p>
        </w:tc>
        <w:tc>
          <w:tcPr>
            <w:tcW w:w="1268" w:type="pct"/>
            <w:tcBorders>
              <w:top w:val="nil"/>
              <w:bottom w:val="nil"/>
            </w:tcBorders>
            <w:shd w:val="clear" w:color="auto" w:fill="FFFFFF"/>
            <w:tcMar>
              <w:top w:w="110" w:type="dxa"/>
            </w:tcMar>
          </w:tcPr>
          <w:p w:rsidR="000B01ED" w:rsidRDefault="000B01ED" w:rsidP="00B9043D">
            <w:pPr>
              <w:pStyle w:val="ListParagraph"/>
              <w:tabs>
                <w:tab w:val="left" w:pos="307"/>
              </w:tabs>
              <w:ind w:left="24"/>
              <w:rPr>
                <w:rFonts w:cs="Arial"/>
                <w:sz w:val="16"/>
                <w:szCs w:val="16"/>
              </w:rPr>
            </w:pPr>
            <w:r w:rsidRPr="00815195">
              <w:rPr>
                <w:rFonts w:cs="Arial"/>
                <w:sz w:val="16"/>
                <w:szCs w:val="16"/>
              </w:rPr>
              <w:t>Average rate of usefulness of the training: 93%.</w:t>
            </w:r>
          </w:p>
          <w:p w:rsidR="000B01ED" w:rsidRPr="00815195" w:rsidRDefault="000B01ED" w:rsidP="00B9043D">
            <w:pPr>
              <w:pStyle w:val="ListParagraph"/>
              <w:tabs>
                <w:tab w:val="left" w:pos="307"/>
              </w:tabs>
              <w:ind w:left="24"/>
              <w:rPr>
                <w:rFonts w:cs="Arial"/>
                <w:sz w:val="16"/>
                <w:szCs w:val="16"/>
              </w:rPr>
            </w:pPr>
            <w:r w:rsidRPr="00815195">
              <w:rPr>
                <w:rFonts w:cs="Arial"/>
                <w:sz w:val="16"/>
                <w:szCs w:val="16"/>
              </w:rPr>
              <w:t xml:space="preserve"> </w:t>
            </w:r>
          </w:p>
          <w:p w:rsidR="000B01ED" w:rsidRPr="002B0EDC" w:rsidRDefault="000B01ED" w:rsidP="00B9043D">
            <w:pPr>
              <w:pStyle w:val="ListParagraph"/>
              <w:tabs>
                <w:tab w:val="left" w:pos="307"/>
              </w:tabs>
              <w:ind w:left="24"/>
              <w:rPr>
                <w:rFonts w:cs="Arial"/>
                <w:color w:val="C00000"/>
                <w:sz w:val="16"/>
                <w:szCs w:val="16"/>
              </w:rPr>
            </w:pPr>
            <w:r w:rsidRPr="00815195">
              <w:rPr>
                <w:rFonts w:cs="Arial"/>
                <w:sz w:val="16"/>
                <w:szCs w:val="16"/>
              </w:rPr>
              <w:t xml:space="preserve">Average rate of satisfaction </w:t>
            </w:r>
            <w:r>
              <w:rPr>
                <w:rFonts w:cs="Arial"/>
                <w:sz w:val="16"/>
                <w:szCs w:val="16"/>
              </w:rPr>
              <w:t>with</w:t>
            </w:r>
            <w:r w:rsidRPr="00815195">
              <w:rPr>
                <w:rFonts w:cs="Arial"/>
                <w:sz w:val="16"/>
                <w:szCs w:val="16"/>
              </w:rPr>
              <w:t xml:space="preserve"> the training: 92%. </w:t>
            </w:r>
          </w:p>
        </w:tc>
        <w:tc>
          <w:tcPr>
            <w:tcW w:w="522" w:type="pct"/>
            <w:tcBorders>
              <w:top w:val="nil"/>
              <w:bottom w:val="nil"/>
              <w:right w:val="single" w:sz="4" w:space="0" w:color="auto"/>
            </w:tcBorders>
            <w:shd w:val="clear" w:color="auto" w:fill="auto"/>
            <w:tcMar>
              <w:top w:w="110" w:type="dxa"/>
            </w:tcMar>
          </w:tcPr>
          <w:p w:rsidR="000B01ED" w:rsidRPr="002B0EDC" w:rsidRDefault="000B01ED" w:rsidP="00B9043D">
            <w:pPr>
              <w:keepNext/>
              <w:keepLines/>
              <w:jc w:val="center"/>
              <w:rPr>
                <w:rFonts w:cs="Arial"/>
                <w:b/>
                <w:bCs/>
                <w:color w:val="808080"/>
                <w:sz w:val="16"/>
                <w:szCs w:val="16"/>
              </w:rPr>
            </w:pPr>
            <w:r w:rsidRPr="002B0EDC">
              <w:rPr>
                <w:rFonts w:cs="Arial"/>
                <w:b/>
                <w:bCs/>
                <w:color w:val="00B050"/>
                <w:sz w:val="16"/>
                <w:szCs w:val="16"/>
              </w:rPr>
              <w:t xml:space="preserve">Fully </w:t>
            </w:r>
            <w:r w:rsidR="003E16BE">
              <w:rPr>
                <w:rFonts w:cs="Arial"/>
                <w:b/>
                <w:bCs/>
                <w:color w:val="00B050"/>
                <w:sz w:val="16"/>
                <w:szCs w:val="16"/>
              </w:rPr>
              <w:t>A</w:t>
            </w:r>
            <w:r w:rsidRPr="002B0EDC">
              <w:rPr>
                <w:rFonts w:cs="Arial"/>
                <w:b/>
                <w:bCs/>
                <w:color w:val="00B050"/>
                <w:sz w:val="16"/>
                <w:szCs w:val="16"/>
              </w:rPr>
              <w:t>chieved</w:t>
            </w:r>
          </w:p>
        </w:tc>
      </w:tr>
      <w:tr w:rsidR="000B01ED" w:rsidRPr="000B3714" w:rsidTr="00B9043D">
        <w:trPr>
          <w:cantSplit/>
          <w:tblHeader/>
        </w:trPr>
        <w:tc>
          <w:tcPr>
            <w:tcW w:w="1121" w:type="pct"/>
            <w:tcBorders>
              <w:top w:val="nil"/>
              <w:left w:val="single" w:sz="4" w:space="0" w:color="auto"/>
              <w:bottom w:val="nil"/>
            </w:tcBorders>
            <w:shd w:val="clear" w:color="auto" w:fill="auto"/>
          </w:tcPr>
          <w:p w:rsidR="000B01ED" w:rsidRPr="00815195" w:rsidRDefault="000B01ED" w:rsidP="00B9043D">
            <w:pPr>
              <w:rPr>
                <w:rFonts w:cs="Arial"/>
                <w:color w:val="000000"/>
                <w:sz w:val="16"/>
                <w:szCs w:val="16"/>
                <w:lang w:bidi="th-TH"/>
              </w:rPr>
            </w:pPr>
            <w:r w:rsidRPr="00815195">
              <w:rPr>
                <w:rFonts w:cs="Arial"/>
                <w:color w:val="000000"/>
                <w:sz w:val="16"/>
                <w:szCs w:val="16"/>
                <w:lang w:bidi="th-TH"/>
              </w:rPr>
              <w:t>% of targeted audience who have demonstrated a basic knowledge of a balanced IP system further to WIPO activities</w:t>
            </w:r>
          </w:p>
        </w:tc>
        <w:tc>
          <w:tcPr>
            <w:tcW w:w="1269" w:type="pct"/>
            <w:tcBorders>
              <w:top w:val="nil"/>
              <w:bottom w:val="nil"/>
            </w:tcBorders>
            <w:shd w:val="clear" w:color="auto" w:fill="auto"/>
          </w:tcPr>
          <w:p w:rsidR="000B01ED" w:rsidRPr="00815195" w:rsidRDefault="000B01ED" w:rsidP="00B9043D">
            <w:pPr>
              <w:rPr>
                <w:rFonts w:cs="Arial"/>
                <w:i/>
                <w:color w:val="002060"/>
                <w:sz w:val="16"/>
                <w:szCs w:val="16"/>
                <w:lang w:val="pt-BR"/>
              </w:rPr>
            </w:pPr>
            <w:r w:rsidRPr="00815195">
              <w:rPr>
                <w:rFonts w:cs="Arial"/>
                <w:sz w:val="16"/>
                <w:szCs w:val="16"/>
                <w:lang w:val="pt-BR"/>
              </w:rPr>
              <w:t>n/a</w:t>
            </w:r>
          </w:p>
        </w:tc>
        <w:tc>
          <w:tcPr>
            <w:tcW w:w="821" w:type="pct"/>
            <w:tcBorders>
              <w:top w:val="nil"/>
              <w:bottom w:val="nil"/>
            </w:tcBorders>
            <w:shd w:val="clear" w:color="auto" w:fill="auto"/>
            <w:tcMar>
              <w:top w:w="110" w:type="dxa"/>
            </w:tcMar>
          </w:tcPr>
          <w:p w:rsidR="000B01ED" w:rsidRPr="00815195" w:rsidRDefault="000B01ED" w:rsidP="00B9043D">
            <w:pPr>
              <w:rPr>
                <w:rFonts w:cs="Arial"/>
                <w:sz w:val="16"/>
                <w:szCs w:val="16"/>
                <w:lang w:bidi="th-TH"/>
              </w:rPr>
            </w:pPr>
            <w:r w:rsidRPr="00815195">
              <w:rPr>
                <w:rFonts w:cs="Arial"/>
                <w:sz w:val="16"/>
                <w:szCs w:val="16"/>
                <w:lang w:bidi="th-TH"/>
              </w:rPr>
              <w:t>75%</w:t>
            </w:r>
          </w:p>
        </w:tc>
        <w:tc>
          <w:tcPr>
            <w:tcW w:w="1268" w:type="pct"/>
            <w:tcBorders>
              <w:top w:val="nil"/>
              <w:bottom w:val="nil"/>
            </w:tcBorders>
            <w:shd w:val="clear" w:color="auto" w:fill="FFFFFF"/>
            <w:tcMar>
              <w:top w:w="110" w:type="dxa"/>
            </w:tcMar>
          </w:tcPr>
          <w:p w:rsidR="000B01ED" w:rsidRPr="00815195" w:rsidRDefault="000B01ED" w:rsidP="00B9043D">
            <w:pPr>
              <w:pStyle w:val="ListParagraph"/>
              <w:tabs>
                <w:tab w:val="left" w:pos="307"/>
              </w:tabs>
              <w:ind w:left="24"/>
              <w:rPr>
                <w:rFonts w:cs="Arial"/>
                <w:sz w:val="16"/>
                <w:szCs w:val="16"/>
                <w:lang w:bidi="th-TH"/>
              </w:rPr>
            </w:pPr>
            <w:r w:rsidRPr="00815195">
              <w:rPr>
                <w:rFonts w:cs="Arial"/>
                <w:sz w:val="16"/>
                <w:szCs w:val="16"/>
                <w:lang w:bidi="th-TH"/>
              </w:rPr>
              <w:t>&gt;75%.  Basic knowledge demonstrated through school competitions in participating countries.</w:t>
            </w:r>
          </w:p>
        </w:tc>
        <w:tc>
          <w:tcPr>
            <w:tcW w:w="522" w:type="pct"/>
            <w:tcBorders>
              <w:top w:val="nil"/>
              <w:bottom w:val="nil"/>
              <w:right w:val="single" w:sz="4" w:space="0" w:color="auto"/>
            </w:tcBorders>
            <w:shd w:val="clear" w:color="auto" w:fill="auto"/>
            <w:tcMar>
              <w:top w:w="110" w:type="dxa"/>
            </w:tcMar>
          </w:tcPr>
          <w:p w:rsidR="000B01ED" w:rsidRPr="00815195" w:rsidRDefault="000B01ED" w:rsidP="00B9043D">
            <w:pPr>
              <w:keepNext/>
              <w:keepLines/>
              <w:jc w:val="center"/>
              <w:rPr>
                <w:rFonts w:cs="Arial"/>
                <w:b/>
                <w:bCs/>
                <w:color w:val="00B050"/>
                <w:sz w:val="16"/>
                <w:szCs w:val="16"/>
              </w:rPr>
            </w:pPr>
            <w:r>
              <w:rPr>
                <w:rFonts w:cs="Arial"/>
                <w:b/>
                <w:bCs/>
                <w:color w:val="00B050"/>
                <w:sz w:val="16"/>
                <w:szCs w:val="16"/>
              </w:rPr>
              <w:t xml:space="preserve">Fully </w:t>
            </w:r>
            <w:r w:rsidR="003E16BE">
              <w:rPr>
                <w:rFonts w:cs="Arial"/>
                <w:b/>
                <w:bCs/>
                <w:color w:val="00B050"/>
                <w:sz w:val="16"/>
                <w:szCs w:val="16"/>
              </w:rPr>
              <w:t>A</w:t>
            </w:r>
            <w:r>
              <w:rPr>
                <w:rFonts w:cs="Arial"/>
                <w:b/>
                <w:bCs/>
                <w:color w:val="00B050"/>
                <w:sz w:val="16"/>
                <w:szCs w:val="16"/>
              </w:rPr>
              <w:t>chieved</w:t>
            </w:r>
          </w:p>
        </w:tc>
      </w:tr>
      <w:tr w:rsidR="000B01ED" w:rsidRPr="000B3714" w:rsidTr="00B9043D">
        <w:trPr>
          <w:cantSplit/>
          <w:trHeight w:val="2950"/>
          <w:tblHeader/>
        </w:trPr>
        <w:tc>
          <w:tcPr>
            <w:tcW w:w="1121" w:type="pct"/>
            <w:tcBorders>
              <w:top w:val="nil"/>
              <w:left w:val="single" w:sz="4" w:space="0" w:color="auto"/>
              <w:bottom w:val="single" w:sz="4" w:space="0" w:color="auto"/>
            </w:tcBorders>
            <w:shd w:val="clear" w:color="auto" w:fill="auto"/>
          </w:tcPr>
          <w:p w:rsidR="000B01ED" w:rsidRPr="00905094" w:rsidRDefault="000B01ED" w:rsidP="00B9043D">
            <w:pPr>
              <w:rPr>
                <w:rFonts w:cs="Arial"/>
                <w:color w:val="000000"/>
                <w:sz w:val="16"/>
                <w:szCs w:val="16"/>
                <w:lang w:bidi="th-TH"/>
              </w:rPr>
            </w:pPr>
            <w:r w:rsidRPr="00905094">
              <w:rPr>
                <w:rFonts w:cs="Arial"/>
                <w:color w:val="000000"/>
                <w:sz w:val="16"/>
                <w:szCs w:val="16"/>
                <w:lang w:bidi="th-TH"/>
              </w:rPr>
              <w:t>No. of countries participating in WIPO Awards Program</w:t>
            </w:r>
          </w:p>
        </w:tc>
        <w:tc>
          <w:tcPr>
            <w:tcW w:w="1269" w:type="pct"/>
            <w:tcBorders>
              <w:top w:val="nil"/>
              <w:bottom w:val="single" w:sz="4" w:space="0" w:color="auto"/>
            </w:tcBorders>
            <w:shd w:val="clear" w:color="auto" w:fill="auto"/>
          </w:tcPr>
          <w:p w:rsidR="000B01ED" w:rsidRPr="000B3714" w:rsidRDefault="000B01ED" w:rsidP="00B9043D">
            <w:pPr>
              <w:rPr>
                <w:rFonts w:cs="Arial"/>
                <w:i/>
                <w:color w:val="002060"/>
                <w:sz w:val="16"/>
                <w:szCs w:val="16"/>
              </w:rPr>
            </w:pPr>
            <w:r>
              <w:rPr>
                <w:rFonts w:cs="Arial"/>
                <w:i/>
                <w:color w:val="002060"/>
                <w:sz w:val="16"/>
                <w:szCs w:val="16"/>
              </w:rPr>
              <w:t>Updated Baseline end 2013</w:t>
            </w:r>
            <w:r w:rsidRPr="000B3714">
              <w:rPr>
                <w:rFonts w:cs="Arial"/>
                <w:i/>
                <w:color w:val="002060"/>
                <w:sz w:val="16"/>
                <w:szCs w:val="16"/>
              </w:rPr>
              <w:t xml:space="preserve">:  </w:t>
            </w:r>
            <w:r>
              <w:rPr>
                <w:rFonts w:cs="Arial"/>
                <w:i/>
                <w:color w:val="002060"/>
                <w:sz w:val="16"/>
                <w:szCs w:val="16"/>
              </w:rPr>
              <w:t>42 in 2013</w:t>
            </w:r>
          </w:p>
          <w:p w:rsidR="000B01ED" w:rsidRPr="001E0812" w:rsidRDefault="000B01ED" w:rsidP="00B9043D">
            <w:pPr>
              <w:rPr>
                <w:rFonts w:cs="Arial"/>
                <w:i/>
                <w:sz w:val="8"/>
                <w:szCs w:val="8"/>
              </w:rPr>
            </w:pPr>
          </w:p>
          <w:p w:rsidR="000B01ED" w:rsidRDefault="000B01ED" w:rsidP="00B9043D">
            <w:pPr>
              <w:rPr>
                <w:rFonts w:cs="Arial"/>
                <w:i/>
                <w:color w:val="002060"/>
                <w:sz w:val="16"/>
                <w:szCs w:val="16"/>
              </w:rPr>
            </w:pPr>
            <w:r>
              <w:rPr>
                <w:rFonts w:cs="Arial"/>
                <w:i/>
                <w:sz w:val="16"/>
                <w:szCs w:val="16"/>
              </w:rPr>
              <w:t>Original Baseline P&amp;B 2014/15</w:t>
            </w:r>
            <w:r w:rsidRPr="000B3714">
              <w:rPr>
                <w:rFonts w:cs="Arial"/>
                <w:i/>
                <w:sz w:val="16"/>
                <w:szCs w:val="16"/>
              </w:rPr>
              <w:t>:</w:t>
            </w:r>
            <w:r w:rsidRPr="000B3714">
              <w:rPr>
                <w:rFonts w:cs="Arial"/>
                <w:sz w:val="16"/>
                <w:szCs w:val="16"/>
              </w:rPr>
              <w:br/>
            </w:r>
            <w:r w:rsidRPr="00905094">
              <w:rPr>
                <w:rFonts w:cs="Arial"/>
                <w:sz w:val="16"/>
                <w:szCs w:val="16"/>
                <w:lang w:bidi="th-TH"/>
              </w:rPr>
              <w:t>40 per year</w:t>
            </w:r>
          </w:p>
        </w:tc>
        <w:tc>
          <w:tcPr>
            <w:tcW w:w="821" w:type="pct"/>
            <w:tcBorders>
              <w:top w:val="nil"/>
              <w:bottom w:val="single" w:sz="4" w:space="0" w:color="auto"/>
            </w:tcBorders>
            <w:shd w:val="clear" w:color="auto" w:fill="auto"/>
            <w:tcMar>
              <w:top w:w="110" w:type="dxa"/>
            </w:tcMar>
          </w:tcPr>
          <w:p w:rsidR="000B01ED" w:rsidRPr="00905094" w:rsidRDefault="000B01ED" w:rsidP="00B9043D">
            <w:pPr>
              <w:rPr>
                <w:rFonts w:cs="Arial"/>
                <w:sz w:val="16"/>
                <w:szCs w:val="16"/>
                <w:lang w:bidi="th-TH"/>
              </w:rPr>
            </w:pPr>
            <w:r w:rsidRPr="00905094">
              <w:rPr>
                <w:rFonts w:cs="Arial"/>
                <w:sz w:val="16"/>
                <w:szCs w:val="16"/>
                <w:lang w:bidi="th-TH"/>
              </w:rPr>
              <w:t xml:space="preserve">40 </w:t>
            </w:r>
            <w:r w:rsidRPr="00EA58EF">
              <w:rPr>
                <w:rFonts w:cs="Arial"/>
                <w:i/>
                <w:sz w:val="16"/>
                <w:szCs w:val="16"/>
                <w:lang w:bidi="th-TH"/>
              </w:rPr>
              <w:t>per</w:t>
            </w:r>
            <w:r w:rsidRPr="00905094">
              <w:rPr>
                <w:rFonts w:cs="Arial"/>
                <w:sz w:val="16"/>
                <w:szCs w:val="16"/>
                <w:lang w:bidi="th-TH"/>
              </w:rPr>
              <w:t xml:space="preserve"> year</w:t>
            </w:r>
          </w:p>
        </w:tc>
        <w:tc>
          <w:tcPr>
            <w:tcW w:w="1268" w:type="pct"/>
            <w:tcBorders>
              <w:top w:val="nil"/>
              <w:bottom w:val="single" w:sz="4" w:space="0" w:color="auto"/>
            </w:tcBorders>
            <w:shd w:val="clear" w:color="auto" w:fill="FFFFFF"/>
            <w:tcMar>
              <w:top w:w="110" w:type="dxa"/>
            </w:tcMar>
          </w:tcPr>
          <w:p w:rsidR="000B01ED" w:rsidRDefault="000B01ED" w:rsidP="00B9043D">
            <w:pPr>
              <w:pStyle w:val="ListParagraph"/>
              <w:tabs>
                <w:tab w:val="left" w:pos="307"/>
              </w:tabs>
              <w:ind w:left="24"/>
              <w:rPr>
                <w:rFonts w:cs="Arial"/>
                <w:sz w:val="16"/>
                <w:szCs w:val="16"/>
                <w:lang w:bidi="th-TH"/>
              </w:rPr>
            </w:pPr>
            <w:r>
              <w:rPr>
                <w:rFonts w:cs="Arial"/>
                <w:sz w:val="16"/>
                <w:szCs w:val="16"/>
                <w:lang w:bidi="th-TH"/>
              </w:rPr>
              <w:t xml:space="preserve">In 2014/15, a total of </w:t>
            </w:r>
            <w:r w:rsidRPr="00B61B49">
              <w:rPr>
                <w:rFonts w:cs="Arial"/>
                <w:sz w:val="16"/>
                <w:szCs w:val="16"/>
                <w:lang w:bidi="th-TH"/>
              </w:rPr>
              <w:t xml:space="preserve">54 different countries </w:t>
            </w:r>
            <w:r>
              <w:rPr>
                <w:rFonts w:cs="Arial"/>
                <w:sz w:val="16"/>
                <w:szCs w:val="16"/>
                <w:lang w:bidi="th-TH"/>
              </w:rPr>
              <w:t>participated in the WIPO Awards Program:</w:t>
            </w:r>
          </w:p>
          <w:p w:rsidR="000B01ED" w:rsidRDefault="000B01ED" w:rsidP="00B9043D">
            <w:pPr>
              <w:pStyle w:val="ListParagraph"/>
              <w:tabs>
                <w:tab w:val="left" w:pos="307"/>
              </w:tabs>
              <w:ind w:left="24"/>
              <w:rPr>
                <w:rFonts w:cs="Arial"/>
                <w:sz w:val="16"/>
                <w:szCs w:val="16"/>
                <w:lang w:bidi="th-TH"/>
              </w:rPr>
            </w:pPr>
          </w:p>
          <w:p w:rsidR="000B01ED" w:rsidRDefault="000B01ED" w:rsidP="000B01ED">
            <w:pPr>
              <w:pStyle w:val="ListParagraph"/>
              <w:numPr>
                <w:ilvl w:val="0"/>
                <w:numId w:val="19"/>
              </w:numPr>
              <w:tabs>
                <w:tab w:val="left" w:pos="307"/>
              </w:tabs>
              <w:rPr>
                <w:rFonts w:cs="Arial"/>
                <w:sz w:val="16"/>
                <w:szCs w:val="16"/>
                <w:lang w:bidi="th-TH"/>
              </w:rPr>
            </w:pPr>
            <w:r>
              <w:rPr>
                <w:rFonts w:cs="Arial"/>
                <w:sz w:val="16"/>
                <w:szCs w:val="16"/>
                <w:lang w:bidi="th-TH"/>
              </w:rPr>
              <w:t>40</w:t>
            </w:r>
            <w:r>
              <w:rPr>
                <w:rStyle w:val="FootnoteReference"/>
                <w:rFonts w:cs="Arial"/>
                <w:sz w:val="16"/>
                <w:szCs w:val="16"/>
                <w:lang w:bidi="th-TH"/>
              </w:rPr>
              <w:footnoteReference w:id="97"/>
            </w:r>
            <w:r w:rsidRPr="00611D61">
              <w:rPr>
                <w:rFonts w:cs="Arial"/>
                <w:sz w:val="16"/>
                <w:szCs w:val="16"/>
                <w:lang w:bidi="th-TH"/>
              </w:rPr>
              <w:t xml:space="preserve"> in 2014</w:t>
            </w:r>
            <w:r>
              <w:rPr>
                <w:rFonts w:cs="Arial"/>
                <w:sz w:val="16"/>
                <w:szCs w:val="16"/>
                <w:lang w:bidi="th-TH"/>
              </w:rPr>
              <w:t>: Africa (5); Arab (3); Asia and the Pacific (10); Certain Countries in Europe and Asia (8); Latin America and the Caribbean (7); Other (7)</w:t>
            </w:r>
          </w:p>
          <w:p w:rsidR="000B01ED" w:rsidRDefault="000B01ED" w:rsidP="00B9043D">
            <w:pPr>
              <w:pStyle w:val="ListParagraph"/>
              <w:tabs>
                <w:tab w:val="left" w:pos="307"/>
              </w:tabs>
              <w:ind w:left="384"/>
              <w:rPr>
                <w:rFonts w:cs="Arial"/>
                <w:sz w:val="16"/>
                <w:szCs w:val="16"/>
                <w:lang w:bidi="th-TH"/>
              </w:rPr>
            </w:pPr>
            <w:r>
              <w:rPr>
                <w:rFonts w:cs="Arial"/>
                <w:sz w:val="16"/>
                <w:szCs w:val="16"/>
                <w:lang w:bidi="th-TH"/>
              </w:rPr>
              <w:t xml:space="preserve"> </w:t>
            </w:r>
          </w:p>
          <w:p w:rsidR="000B01ED" w:rsidRPr="00611D61" w:rsidRDefault="000B01ED" w:rsidP="000B01ED">
            <w:pPr>
              <w:pStyle w:val="ListParagraph"/>
              <w:numPr>
                <w:ilvl w:val="0"/>
                <w:numId w:val="19"/>
              </w:numPr>
              <w:tabs>
                <w:tab w:val="left" w:pos="307"/>
              </w:tabs>
              <w:rPr>
                <w:rFonts w:cs="Arial"/>
                <w:sz w:val="16"/>
                <w:szCs w:val="16"/>
                <w:lang w:bidi="th-TH"/>
              </w:rPr>
            </w:pPr>
            <w:r>
              <w:rPr>
                <w:rFonts w:cs="Arial"/>
                <w:sz w:val="16"/>
                <w:szCs w:val="16"/>
                <w:lang w:bidi="th-TH"/>
              </w:rPr>
              <w:t>43</w:t>
            </w:r>
            <w:r w:rsidRPr="00611D61">
              <w:rPr>
                <w:rFonts w:cs="Arial"/>
                <w:sz w:val="16"/>
                <w:szCs w:val="16"/>
                <w:lang w:bidi="th-TH"/>
              </w:rPr>
              <w:t xml:space="preserve"> in 2015</w:t>
            </w:r>
            <w:r>
              <w:rPr>
                <w:rFonts w:cs="Arial"/>
                <w:sz w:val="16"/>
                <w:szCs w:val="16"/>
                <w:lang w:bidi="th-TH"/>
              </w:rPr>
              <w:t>: Africa (1); Arab (4); Asia and the Pacific (8); Certain Countries in Europe and Asia (15); Latin America and the Caribbean (9); Other (6)</w:t>
            </w:r>
          </w:p>
          <w:p w:rsidR="000B01ED" w:rsidRPr="00155E62" w:rsidRDefault="000B01ED" w:rsidP="00B9043D">
            <w:pPr>
              <w:tabs>
                <w:tab w:val="left" w:pos="307"/>
              </w:tabs>
              <w:rPr>
                <w:rFonts w:cs="Arial"/>
                <w:sz w:val="16"/>
                <w:szCs w:val="16"/>
                <w:lang w:bidi="th-TH"/>
              </w:rPr>
            </w:pPr>
          </w:p>
        </w:tc>
        <w:tc>
          <w:tcPr>
            <w:tcW w:w="522" w:type="pct"/>
            <w:tcBorders>
              <w:top w:val="nil"/>
              <w:bottom w:val="single" w:sz="4" w:space="0" w:color="auto"/>
              <w:right w:val="single" w:sz="4" w:space="0" w:color="auto"/>
            </w:tcBorders>
            <w:shd w:val="clear" w:color="auto" w:fill="auto"/>
            <w:tcMar>
              <w:top w:w="110" w:type="dxa"/>
            </w:tcMar>
          </w:tcPr>
          <w:p w:rsidR="000B01ED" w:rsidRPr="00905094" w:rsidRDefault="000B01ED" w:rsidP="00B9043D">
            <w:pPr>
              <w:keepNext/>
              <w:keepLines/>
              <w:jc w:val="center"/>
              <w:rPr>
                <w:rFonts w:cs="Arial"/>
                <w:b/>
                <w:bCs/>
                <w:color w:val="00B050"/>
                <w:sz w:val="16"/>
                <w:szCs w:val="16"/>
              </w:rPr>
            </w:pPr>
            <w:r>
              <w:rPr>
                <w:rFonts w:cs="Arial"/>
                <w:b/>
                <w:bCs/>
                <w:color w:val="00B050"/>
                <w:sz w:val="16"/>
                <w:szCs w:val="16"/>
              </w:rPr>
              <w:t xml:space="preserve">Fully </w:t>
            </w:r>
            <w:r w:rsidR="003E16BE">
              <w:rPr>
                <w:rFonts w:cs="Arial"/>
                <w:b/>
                <w:bCs/>
                <w:color w:val="00B050"/>
                <w:sz w:val="16"/>
                <w:szCs w:val="16"/>
              </w:rPr>
              <w:t>A</w:t>
            </w:r>
            <w:r>
              <w:rPr>
                <w:rFonts w:cs="Arial"/>
                <w:b/>
                <w:bCs/>
                <w:color w:val="00B050"/>
                <w:sz w:val="16"/>
                <w:szCs w:val="16"/>
              </w:rPr>
              <w:t>chieved</w:t>
            </w:r>
          </w:p>
        </w:tc>
      </w:tr>
      <w:tr w:rsidR="000B01ED" w:rsidRPr="000B3714" w:rsidTr="00B9043D">
        <w:trPr>
          <w:cantSplit/>
          <w:trHeight w:val="513"/>
          <w:tblHeader/>
        </w:trPr>
        <w:tc>
          <w:tcPr>
            <w:tcW w:w="5000" w:type="pct"/>
            <w:gridSpan w:val="5"/>
            <w:tcBorders>
              <w:top w:val="single" w:sz="4" w:space="0" w:color="auto"/>
              <w:bottom w:val="single" w:sz="4" w:space="0" w:color="auto"/>
            </w:tcBorders>
            <w:shd w:val="clear" w:color="auto" w:fill="C6D9F1" w:themeFill="text2" w:themeFillTint="33"/>
            <w:vAlign w:val="center"/>
          </w:tcPr>
          <w:p w:rsidR="000B01ED" w:rsidRPr="000B3714" w:rsidRDefault="000B01ED" w:rsidP="000B01ED">
            <w:pPr>
              <w:keepNext/>
              <w:keepLines/>
              <w:tabs>
                <w:tab w:val="left" w:pos="1452"/>
              </w:tabs>
              <w:ind w:left="1452" w:hanging="1452"/>
              <w:rPr>
                <w:rFonts w:cs="Arial"/>
                <w:b/>
                <w:bCs/>
                <w:sz w:val="16"/>
                <w:szCs w:val="16"/>
              </w:rPr>
            </w:pPr>
            <w:r w:rsidRPr="000B3714">
              <w:rPr>
                <w:rFonts w:cs="Arial"/>
                <w:b/>
                <w:bCs/>
                <w:sz w:val="16"/>
                <w:szCs w:val="16"/>
              </w:rPr>
              <w:lastRenderedPageBreak/>
              <w:t>Expected Result:</w:t>
            </w:r>
            <w:r w:rsidRPr="000B3714">
              <w:rPr>
                <w:rFonts w:cs="Arial"/>
                <w:b/>
                <w:bCs/>
                <w:sz w:val="16"/>
                <w:szCs w:val="16"/>
              </w:rPr>
              <w:tab/>
            </w:r>
            <w:r w:rsidRPr="00905094">
              <w:rPr>
                <w:rFonts w:cs="Arial"/>
                <w:sz w:val="16"/>
                <w:szCs w:val="16"/>
              </w:rPr>
              <w:t>VI.1 Progress in the international policy dialogue among WIPO Member States on building respect for IP, guided by Recommendation 45 of the WIPO Development Agenda</w:t>
            </w:r>
          </w:p>
        </w:tc>
      </w:tr>
      <w:tr w:rsidR="000B01ED" w:rsidRPr="000B3714" w:rsidTr="00B9043D">
        <w:trPr>
          <w:cantSplit/>
          <w:tblHeader/>
        </w:trPr>
        <w:tc>
          <w:tcPr>
            <w:tcW w:w="1121" w:type="pct"/>
            <w:tcBorders>
              <w:top w:val="single" w:sz="4" w:space="0" w:color="auto"/>
            </w:tcBorders>
            <w:shd w:val="clear" w:color="auto" w:fill="auto"/>
            <w:vAlign w:val="center"/>
          </w:tcPr>
          <w:p w:rsidR="000B01ED" w:rsidRPr="001E0812" w:rsidRDefault="000B01ED" w:rsidP="000B01ED">
            <w:pPr>
              <w:keepNext/>
              <w:keepLines/>
              <w:rPr>
                <w:rFonts w:cs="Arial"/>
                <w:sz w:val="16"/>
                <w:szCs w:val="16"/>
              </w:rPr>
            </w:pPr>
            <w:r w:rsidRPr="001E0812">
              <w:rPr>
                <w:rFonts w:cs="Arial"/>
                <w:b/>
                <w:bCs/>
                <w:sz w:val="16"/>
                <w:szCs w:val="16"/>
              </w:rPr>
              <w:t>Performance Indicators</w:t>
            </w:r>
          </w:p>
        </w:tc>
        <w:tc>
          <w:tcPr>
            <w:tcW w:w="1269" w:type="pct"/>
            <w:tcBorders>
              <w:top w:val="single" w:sz="4" w:space="0" w:color="auto"/>
            </w:tcBorders>
            <w:shd w:val="clear" w:color="auto" w:fill="auto"/>
            <w:vAlign w:val="center"/>
          </w:tcPr>
          <w:p w:rsidR="000B01ED" w:rsidRPr="001E0812" w:rsidRDefault="000B01ED" w:rsidP="000B01ED">
            <w:pPr>
              <w:keepNext/>
              <w:keepLines/>
              <w:rPr>
                <w:rFonts w:cs="Arial"/>
                <w:b/>
                <w:bCs/>
                <w:sz w:val="16"/>
                <w:szCs w:val="16"/>
              </w:rPr>
            </w:pPr>
            <w:r w:rsidRPr="001E0812">
              <w:rPr>
                <w:rFonts w:cs="Arial"/>
                <w:b/>
                <w:bCs/>
                <w:sz w:val="16"/>
                <w:szCs w:val="16"/>
              </w:rPr>
              <w:t>Baselines</w:t>
            </w:r>
          </w:p>
        </w:tc>
        <w:tc>
          <w:tcPr>
            <w:tcW w:w="821" w:type="pct"/>
            <w:tcBorders>
              <w:top w:val="single" w:sz="4" w:space="0" w:color="auto"/>
            </w:tcBorders>
            <w:shd w:val="clear" w:color="auto" w:fill="auto"/>
            <w:tcMar>
              <w:top w:w="110" w:type="dxa"/>
            </w:tcMar>
            <w:vAlign w:val="center"/>
          </w:tcPr>
          <w:p w:rsidR="000B01ED" w:rsidRPr="001E0812" w:rsidRDefault="000B01ED" w:rsidP="000B01ED">
            <w:pPr>
              <w:keepNext/>
              <w:keepLines/>
              <w:rPr>
                <w:rFonts w:cs="Arial"/>
                <w:b/>
                <w:sz w:val="16"/>
                <w:szCs w:val="16"/>
              </w:rPr>
            </w:pPr>
            <w:r w:rsidRPr="001E0812">
              <w:rPr>
                <w:rFonts w:cs="Arial"/>
                <w:b/>
                <w:sz w:val="16"/>
                <w:szCs w:val="16"/>
              </w:rPr>
              <w:t>Targets</w:t>
            </w:r>
          </w:p>
        </w:tc>
        <w:tc>
          <w:tcPr>
            <w:tcW w:w="1268" w:type="pct"/>
            <w:tcBorders>
              <w:top w:val="single" w:sz="4" w:space="0" w:color="auto"/>
            </w:tcBorders>
            <w:shd w:val="clear" w:color="auto" w:fill="FFFFFF"/>
            <w:tcMar>
              <w:top w:w="110" w:type="dxa"/>
            </w:tcMar>
            <w:vAlign w:val="center"/>
          </w:tcPr>
          <w:p w:rsidR="000B01ED" w:rsidRPr="001E0812" w:rsidRDefault="000B01ED" w:rsidP="000B01ED">
            <w:pPr>
              <w:keepNext/>
              <w:keepLines/>
              <w:rPr>
                <w:rFonts w:cs="Arial"/>
                <w:sz w:val="16"/>
                <w:szCs w:val="16"/>
              </w:rPr>
            </w:pPr>
            <w:r w:rsidRPr="001E0812">
              <w:rPr>
                <w:rFonts w:cs="Arial"/>
                <w:b/>
                <w:bCs/>
                <w:sz w:val="16"/>
                <w:szCs w:val="16"/>
              </w:rPr>
              <w:t>Performance Data</w:t>
            </w:r>
          </w:p>
        </w:tc>
        <w:tc>
          <w:tcPr>
            <w:tcW w:w="522" w:type="pct"/>
            <w:tcBorders>
              <w:top w:val="single" w:sz="4" w:space="0" w:color="auto"/>
            </w:tcBorders>
            <w:shd w:val="clear" w:color="auto" w:fill="auto"/>
            <w:tcMar>
              <w:top w:w="110" w:type="dxa"/>
            </w:tcMar>
            <w:vAlign w:val="center"/>
          </w:tcPr>
          <w:p w:rsidR="000B01ED" w:rsidRPr="001E0812" w:rsidRDefault="000B01ED" w:rsidP="000B01ED">
            <w:pPr>
              <w:keepNext/>
              <w:keepLines/>
              <w:jc w:val="center"/>
              <w:rPr>
                <w:rFonts w:cs="Arial"/>
                <w:b/>
                <w:bCs/>
                <w:sz w:val="16"/>
                <w:szCs w:val="16"/>
              </w:rPr>
            </w:pPr>
            <w:r w:rsidRPr="001E0812">
              <w:rPr>
                <w:rFonts w:cs="Arial"/>
                <w:b/>
                <w:bCs/>
                <w:sz w:val="16"/>
                <w:szCs w:val="16"/>
              </w:rPr>
              <w:t>TLS</w:t>
            </w:r>
          </w:p>
        </w:tc>
      </w:tr>
      <w:tr w:rsidR="000B01ED" w:rsidRPr="000B3714" w:rsidTr="00B9043D">
        <w:trPr>
          <w:cantSplit/>
          <w:trHeight w:val="1591"/>
          <w:tblHeader/>
        </w:trPr>
        <w:tc>
          <w:tcPr>
            <w:tcW w:w="1121" w:type="pct"/>
            <w:shd w:val="clear" w:color="auto" w:fill="auto"/>
          </w:tcPr>
          <w:p w:rsidR="000B01ED" w:rsidRPr="000B3714" w:rsidRDefault="000B01ED" w:rsidP="000B01ED">
            <w:pPr>
              <w:keepNext/>
              <w:keepLines/>
              <w:rPr>
                <w:rFonts w:cs="Arial"/>
                <w:sz w:val="16"/>
                <w:szCs w:val="16"/>
              </w:rPr>
            </w:pPr>
            <w:r w:rsidRPr="00905094">
              <w:rPr>
                <w:rFonts w:cs="Arial"/>
                <w:sz w:val="16"/>
                <w:szCs w:val="16"/>
              </w:rPr>
              <w:t>Continued agreement by Member States on the substantive work of the WIPO Advisory Committee on Enforcement (ACE), incorporating development-oriented concern</w:t>
            </w:r>
            <w:r>
              <w:rPr>
                <w:rFonts w:cs="Arial"/>
                <w:sz w:val="16"/>
                <w:szCs w:val="16"/>
              </w:rPr>
              <w:t>s</w:t>
            </w:r>
          </w:p>
        </w:tc>
        <w:tc>
          <w:tcPr>
            <w:tcW w:w="1269" w:type="pct"/>
            <w:shd w:val="clear" w:color="auto" w:fill="auto"/>
          </w:tcPr>
          <w:p w:rsidR="000B01ED" w:rsidRPr="000B3714" w:rsidRDefault="000B01ED" w:rsidP="000B01ED">
            <w:pPr>
              <w:keepNext/>
              <w:keepLines/>
              <w:rPr>
                <w:rFonts w:cs="Arial"/>
                <w:i/>
                <w:color w:val="002060"/>
                <w:sz w:val="16"/>
                <w:szCs w:val="16"/>
              </w:rPr>
            </w:pPr>
            <w:r>
              <w:rPr>
                <w:rFonts w:cs="Arial"/>
                <w:i/>
                <w:color w:val="002060"/>
                <w:sz w:val="16"/>
                <w:szCs w:val="16"/>
              </w:rPr>
              <w:t>Updated Baseline end 2013</w:t>
            </w:r>
            <w:r w:rsidRPr="000B3714">
              <w:rPr>
                <w:rFonts w:cs="Arial"/>
                <w:i/>
                <w:color w:val="002060"/>
                <w:sz w:val="16"/>
                <w:szCs w:val="16"/>
              </w:rPr>
              <w:t xml:space="preserve">:  </w:t>
            </w:r>
            <w:r w:rsidRPr="00905094">
              <w:rPr>
                <w:rFonts w:cs="Arial"/>
                <w:color w:val="002060"/>
                <w:sz w:val="16"/>
                <w:szCs w:val="16"/>
              </w:rPr>
              <w:t>Agreement on work program for the 9th session</w:t>
            </w:r>
            <w:r>
              <w:rPr>
                <w:rFonts w:cs="Arial"/>
                <w:color w:val="002060"/>
                <w:sz w:val="16"/>
                <w:szCs w:val="16"/>
              </w:rPr>
              <w:t xml:space="preserve"> of the</w:t>
            </w:r>
            <w:r w:rsidRPr="00905094">
              <w:rPr>
                <w:rFonts w:cs="Arial"/>
                <w:color w:val="002060"/>
                <w:sz w:val="16"/>
                <w:szCs w:val="16"/>
              </w:rPr>
              <w:t xml:space="preserve"> ACE </w:t>
            </w:r>
          </w:p>
          <w:p w:rsidR="000B01ED" w:rsidRPr="001E0812" w:rsidRDefault="000B01ED" w:rsidP="000B01ED">
            <w:pPr>
              <w:keepNext/>
              <w:keepLines/>
              <w:rPr>
                <w:rFonts w:cs="Arial"/>
                <w:i/>
                <w:sz w:val="8"/>
                <w:szCs w:val="8"/>
              </w:rPr>
            </w:pPr>
          </w:p>
          <w:p w:rsidR="000B01ED" w:rsidRDefault="000B01ED" w:rsidP="000B01ED">
            <w:pPr>
              <w:keepNext/>
              <w:keepLines/>
              <w:rPr>
                <w:rFonts w:cs="Arial"/>
                <w:sz w:val="16"/>
                <w:szCs w:val="16"/>
                <w:lang w:bidi="th-TH"/>
              </w:rPr>
            </w:pPr>
            <w:r>
              <w:rPr>
                <w:rFonts w:cs="Arial"/>
                <w:i/>
                <w:sz w:val="16"/>
                <w:szCs w:val="16"/>
              </w:rPr>
              <w:t>Original Baseline P&amp;B 2014/15</w:t>
            </w:r>
            <w:r w:rsidRPr="000B3714">
              <w:rPr>
                <w:rFonts w:cs="Arial"/>
                <w:i/>
                <w:sz w:val="16"/>
                <w:szCs w:val="16"/>
              </w:rPr>
              <w:t>:</w:t>
            </w:r>
            <w:r w:rsidRPr="000B3714">
              <w:rPr>
                <w:rFonts w:cs="Arial"/>
                <w:sz w:val="16"/>
                <w:szCs w:val="16"/>
              </w:rPr>
              <w:br/>
            </w:r>
            <w:r w:rsidRPr="00905094">
              <w:rPr>
                <w:rFonts w:cs="Arial"/>
                <w:sz w:val="16"/>
                <w:szCs w:val="16"/>
                <w:lang w:bidi="th-TH"/>
              </w:rPr>
              <w:t>Agreement on work program for the 8th session of the ACE</w:t>
            </w:r>
          </w:p>
          <w:p w:rsidR="000B01ED" w:rsidRPr="000B3714" w:rsidRDefault="000B01ED" w:rsidP="000B01ED">
            <w:pPr>
              <w:keepNext/>
              <w:keepLines/>
              <w:rPr>
                <w:rFonts w:cs="Arial"/>
                <w:sz w:val="16"/>
                <w:szCs w:val="16"/>
              </w:rPr>
            </w:pPr>
          </w:p>
        </w:tc>
        <w:tc>
          <w:tcPr>
            <w:tcW w:w="821" w:type="pct"/>
            <w:shd w:val="clear" w:color="auto" w:fill="auto"/>
            <w:tcMar>
              <w:top w:w="110" w:type="dxa"/>
            </w:tcMar>
          </w:tcPr>
          <w:p w:rsidR="000B01ED" w:rsidRPr="000B3714" w:rsidRDefault="000B01ED" w:rsidP="000B01ED">
            <w:pPr>
              <w:keepNext/>
              <w:keepLines/>
              <w:rPr>
                <w:rFonts w:cs="Arial"/>
                <w:i/>
                <w:sz w:val="16"/>
                <w:szCs w:val="16"/>
              </w:rPr>
            </w:pPr>
            <w:r w:rsidRPr="00905094">
              <w:rPr>
                <w:rFonts w:cs="Arial"/>
                <w:sz w:val="16"/>
                <w:szCs w:val="16"/>
              </w:rPr>
              <w:t>Agreement on work program for the next ACE session</w:t>
            </w:r>
          </w:p>
        </w:tc>
        <w:tc>
          <w:tcPr>
            <w:tcW w:w="1268" w:type="pct"/>
            <w:shd w:val="clear" w:color="auto" w:fill="FFFFFF"/>
            <w:tcMar>
              <w:top w:w="110" w:type="dxa"/>
            </w:tcMar>
          </w:tcPr>
          <w:p w:rsidR="000B01ED" w:rsidRPr="0007480A" w:rsidRDefault="000B01ED" w:rsidP="000B01ED">
            <w:pPr>
              <w:pStyle w:val="ListParagraph"/>
              <w:keepNext/>
              <w:keepLines/>
              <w:ind w:left="0"/>
              <w:rPr>
                <w:rFonts w:cs="Arial"/>
                <w:color w:val="C00000"/>
                <w:sz w:val="16"/>
                <w:szCs w:val="16"/>
              </w:rPr>
            </w:pPr>
            <w:r w:rsidRPr="00815195">
              <w:rPr>
                <w:rFonts w:cs="Arial"/>
                <w:sz w:val="16"/>
                <w:szCs w:val="16"/>
              </w:rPr>
              <w:t xml:space="preserve">Agreement on the work program was reached during the ninth and tenth sessions of the ACE (WIPO/ACE/9/29 para 44 and WIPO/ACE/10/26 PROV.WIPO/ACE/10/26 PROV. para 40).   </w:t>
            </w:r>
          </w:p>
        </w:tc>
        <w:tc>
          <w:tcPr>
            <w:tcW w:w="522" w:type="pct"/>
            <w:shd w:val="clear" w:color="auto" w:fill="auto"/>
            <w:tcMar>
              <w:top w:w="110" w:type="dxa"/>
            </w:tcMar>
          </w:tcPr>
          <w:p w:rsidR="000B01ED" w:rsidRPr="0007480A" w:rsidRDefault="000B01ED" w:rsidP="000B01ED">
            <w:pPr>
              <w:keepNext/>
              <w:keepLines/>
              <w:jc w:val="center"/>
              <w:rPr>
                <w:rFonts w:cs="Arial"/>
                <w:bCs/>
                <w:color w:val="C00000"/>
                <w:sz w:val="16"/>
                <w:szCs w:val="16"/>
              </w:rPr>
            </w:pPr>
            <w:r w:rsidRPr="0007480A">
              <w:rPr>
                <w:rFonts w:cs="Arial"/>
                <w:b/>
                <w:bCs/>
                <w:color w:val="00B050"/>
                <w:sz w:val="16"/>
                <w:szCs w:val="16"/>
              </w:rPr>
              <w:t xml:space="preserve">Fully </w:t>
            </w:r>
            <w:r w:rsidR="003E16BE">
              <w:rPr>
                <w:rFonts w:cs="Arial"/>
                <w:b/>
                <w:bCs/>
                <w:color w:val="00B050"/>
                <w:sz w:val="16"/>
                <w:szCs w:val="16"/>
              </w:rPr>
              <w:t>A</w:t>
            </w:r>
            <w:r w:rsidRPr="0007480A">
              <w:rPr>
                <w:rFonts w:cs="Arial"/>
                <w:b/>
                <w:bCs/>
                <w:color w:val="00B050"/>
                <w:sz w:val="16"/>
                <w:szCs w:val="16"/>
              </w:rPr>
              <w:t>chieved</w:t>
            </w:r>
          </w:p>
        </w:tc>
      </w:tr>
      <w:tr w:rsidR="000B01ED" w:rsidRPr="000B3714" w:rsidTr="00B9043D">
        <w:trPr>
          <w:cantSplit/>
          <w:trHeight w:val="549"/>
          <w:tblHeader/>
        </w:trPr>
        <w:tc>
          <w:tcPr>
            <w:tcW w:w="5000" w:type="pct"/>
            <w:gridSpan w:val="5"/>
            <w:tcBorders>
              <w:top w:val="single" w:sz="4" w:space="0" w:color="auto"/>
              <w:bottom w:val="single" w:sz="4" w:space="0" w:color="auto"/>
            </w:tcBorders>
            <w:shd w:val="clear" w:color="auto" w:fill="C6D9F1" w:themeFill="text2" w:themeFillTint="33"/>
            <w:vAlign w:val="center"/>
          </w:tcPr>
          <w:p w:rsidR="000B01ED" w:rsidRPr="000B3714" w:rsidRDefault="000B01ED" w:rsidP="00B9043D">
            <w:pPr>
              <w:tabs>
                <w:tab w:val="left" w:pos="1452"/>
              </w:tabs>
              <w:ind w:left="1452" w:hanging="1452"/>
              <w:rPr>
                <w:rFonts w:cs="Arial"/>
                <w:b/>
                <w:bCs/>
                <w:sz w:val="16"/>
                <w:szCs w:val="16"/>
              </w:rPr>
            </w:pPr>
            <w:r w:rsidRPr="000B3714">
              <w:rPr>
                <w:rFonts w:cs="Arial"/>
                <w:b/>
                <w:bCs/>
                <w:sz w:val="16"/>
                <w:szCs w:val="16"/>
              </w:rPr>
              <w:t>Expected Result:</w:t>
            </w:r>
            <w:r w:rsidRPr="000B3714">
              <w:rPr>
                <w:rFonts w:cs="Arial"/>
                <w:b/>
                <w:bCs/>
                <w:sz w:val="16"/>
                <w:szCs w:val="16"/>
              </w:rPr>
              <w:tab/>
            </w:r>
            <w:r w:rsidRPr="00905094">
              <w:rPr>
                <w:rFonts w:cs="Arial"/>
                <w:sz w:val="16"/>
                <w:szCs w:val="16"/>
              </w:rPr>
              <w:t>VI.2 Systematic, effective and transparent cooperation and coordination between the work of WIPO and other international organizations in the field of building respect for IP</w:t>
            </w:r>
          </w:p>
        </w:tc>
      </w:tr>
      <w:tr w:rsidR="000B01ED" w:rsidRPr="001E0812" w:rsidTr="00B9043D">
        <w:trPr>
          <w:cantSplit/>
          <w:tblHeader/>
        </w:trPr>
        <w:tc>
          <w:tcPr>
            <w:tcW w:w="1121" w:type="pct"/>
            <w:tcBorders>
              <w:top w:val="single" w:sz="4" w:space="0" w:color="auto"/>
            </w:tcBorders>
            <w:shd w:val="clear" w:color="auto" w:fill="auto"/>
            <w:vAlign w:val="center"/>
          </w:tcPr>
          <w:p w:rsidR="000B01ED" w:rsidRPr="001E0812" w:rsidRDefault="000B01ED" w:rsidP="00B9043D">
            <w:pPr>
              <w:rPr>
                <w:rFonts w:cs="Arial"/>
                <w:sz w:val="16"/>
                <w:szCs w:val="16"/>
              </w:rPr>
            </w:pPr>
            <w:r w:rsidRPr="001E0812">
              <w:rPr>
                <w:rFonts w:cs="Arial"/>
                <w:b/>
                <w:bCs/>
                <w:sz w:val="16"/>
                <w:szCs w:val="16"/>
              </w:rPr>
              <w:t>Performance Indicators</w:t>
            </w:r>
          </w:p>
        </w:tc>
        <w:tc>
          <w:tcPr>
            <w:tcW w:w="1269" w:type="pct"/>
            <w:tcBorders>
              <w:top w:val="single" w:sz="4" w:space="0" w:color="auto"/>
            </w:tcBorders>
            <w:shd w:val="clear" w:color="auto" w:fill="auto"/>
            <w:vAlign w:val="center"/>
          </w:tcPr>
          <w:p w:rsidR="000B01ED" w:rsidRPr="001E0812" w:rsidRDefault="000B01ED" w:rsidP="00B9043D">
            <w:pPr>
              <w:rPr>
                <w:rFonts w:cs="Arial"/>
                <w:b/>
                <w:bCs/>
                <w:sz w:val="16"/>
                <w:szCs w:val="16"/>
              </w:rPr>
            </w:pPr>
            <w:r w:rsidRPr="001E0812">
              <w:rPr>
                <w:rFonts w:cs="Arial"/>
                <w:b/>
                <w:bCs/>
                <w:sz w:val="16"/>
                <w:szCs w:val="16"/>
              </w:rPr>
              <w:t>Baselines</w:t>
            </w:r>
          </w:p>
        </w:tc>
        <w:tc>
          <w:tcPr>
            <w:tcW w:w="821" w:type="pct"/>
            <w:tcBorders>
              <w:top w:val="single" w:sz="4" w:space="0" w:color="auto"/>
            </w:tcBorders>
            <w:shd w:val="clear" w:color="auto" w:fill="auto"/>
            <w:tcMar>
              <w:top w:w="110" w:type="dxa"/>
            </w:tcMar>
            <w:vAlign w:val="center"/>
          </w:tcPr>
          <w:p w:rsidR="000B01ED" w:rsidRPr="001E0812" w:rsidRDefault="000B01ED" w:rsidP="00B9043D">
            <w:pPr>
              <w:rPr>
                <w:rFonts w:cs="Arial"/>
                <w:b/>
                <w:sz w:val="16"/>
                <w:szCs w:val="16"/>
              </w:rPr>
            </w:pPr>
            <w:r w:rsidRPr="001E0812">
              <w:rPr>
                <w:rFonts w:cs="Arial"/>
                <w:b/>
                <w:sz w:val="16"/>
                <w:szCs w:val="16"/>
              </w:rPr>
              <w:t>Targets</w:t>
            </w:r>
          </w:p>
        </w:tc>
        <w:tc>
          <w:tcPr>
            <w:tcW w:w="1268" w:type="pct"/>
            <w:tcBorders>
              <w:top w:val="single" w:sz="4" w:space="0" w:color="auto"/>
            </w:tcBorders>
            <w:shd w:val="clear" w:color="auto" w:fill="FFFFFF"/>
            <w:tcMar>
              <w:top w:w="110" w:type="dxa"/>
            </w:tcMar>
            <w:vAlign w:val="center"/>
          </w:tcPr>
          <w:p w:rsidR="000B01ED" w:rsidRPr="001E0812" w:rsidRDefault="000B01ED" w:rsidP="00B9043D">
            <w:pPr>
              <w:rPr>
                <w:rFonts w:cs="Arial"/>
                <w:sz w:val="16"/>
                <w:szCs w:val="16"/>
              </w:rPr>
            </w:pPr>
            <w:r w:rsidRPr="001E0812">
              <w:rPr>
                <w:rFonts w:cs="Arial"/>
                <w:b/>
                <w:bCs/>
                <w:sz w:val="16"/>
                <w:szCs w:val="16"/>
              </w:rPr>
              <w:t>Performance Data</w:t>
            </w:r>
          </w:p>
        </w:tc>
        <w:tc>
          <w:tcPr>
            <w:tcW w:w="522" w:type="pct"/>
            <w:tcBorders>
              <w:top w:val="single" w:sz="4" w:space="0" w:color="auto"/>
            </w:tcBorders>
            <w:shd w:val="clear" w:color="auto" w:fill="auto"/>
            <w:tcMar>
              <w:top w:w="110" w:type="dxa"/>
            </w:tcMar>
            <w:vAlign w:val="center"/>
          </w:tcPr>
          <w:p w:rsidR="000B01ED" w:rsidRPr="001E0812" w:rsidRDefault="000B01ED" w:rsidP="00B9043D">
            <w:pPr>
              <w:jc w:val="center"/>
              <w:rPr>
                <w:rFonts w:cs="Arial"/>
                <w:b/>
                <w:bCs/>
                <w:sz w:val="16"/>
                <w:szCs w:val="16"/>
              </w:rPr>
            </w:pPr>
            <w:r w:rsidRPr="001E0812">
              <w:rPr>
                <w:rFonts w:cs="Arial"/>
                <w:b/>
                <w:bCs/>
                <w:sz w:val="16"/>
                <w:szCs w:val="16"/>
              </w:rPr>
              <w:t>TLS</w:t>
            </w:r>
          </w:p>
        </w:tc>
      </w:tr>
      <w:tr w:rsidR="000B01ED" w:rsidRPr="000B3714" w:rsidTr="00B9043D">
        <w:trPr>
          <w:cantSplit/>
          <w:trHeight w:val="1357"/>
          <w:tblHeader/>
        </w:trPr>
        <w:tc>
          <w:tcPr>
            <w:tcW w:w="1121" w:type="pct"/>
            <w:shd w:val="clear" w:color="auto" w:fill="auto"/>
          </w:tcPr>
          <w:p w:rsidR="000B01ED" w:rsidRPr="000B3714" w:rsidRDefault="000B01ED" w:rsidP="00B9043D">
            <w:pPr>
              <w:rPr>
                <w:rFonts w:cs="Arial"/>
                <w:sz w:val="16"/>
                <w:szCs w:val="16"/>
              </w:rPr>
            </w:pPr>
            <w:r w:rsidRPr="00905094">
              <w:rPr>
                <w:rFonts w:cs="Arial"/>
                <w:sz w:val="16"/>
                <w:szCs w:val="16"/>
              </w:rPr>
              <w:t>No. of joint activities on building respect for IP</w:t>
            </w:r>
          </w:p>
        </w:tc>
        <w:tc>
          <w:tcPr>
            <w:tcW w:w="1269" w:type="pct"/>
            <w:shd w:val="clear" w:color="auto" w:fill="auto"/>
          </w:tcPr>
          <w:p w:rsidR="000B01ED" w:rsidRPr="001E0812" w:rsidRDefault="000B01ED" w:rsidP="00B9043D">
            <w:pPr>
              <w:rPr>
                <w:rFonts w:cs="Arial"/>
                <w:i/>
                <w:color w:val="002060"/>
                <w:sz w:val="16"/>
                <w:szCs w:val="16"/>
              </w:rPr>
            </w:pPr>
            <w:r>
              <w:rPr>
                <w:rFonts w:cs="Arial"/>
                <w:i/>
                <w:color w:val="002060"/>
                <w:sz w:val="16"/>
                <w:szCs w:val="16"/>
              </w:rPr>
              <w:t>Updated Baseline end 2013</w:t>
            </w:r>
            <w:r w:rsidRPr="000B3714">
              <w:rPr>
                <w:rFonts w:cs="Arial"/>
                <w:i/>
                <w:color w:val="002060"/>
                <w:sz w:val="16"/>
                <w:szCs w:val="16"/>
              </w:rPr>
              <w:t xml:space="preserve">:  </w:t>
            </w:r>
            <w:r>
              <w:rPr>
                <w:rFonts w:cs="Arial"/>
                <w:color w:val="002060"/>
                <w:sz w:val="16"/>
                <w:szCs w:val="16"/>
                <w:lang w:bidi="th-TH"/>
              </w:rPr>
              <w:t>39 in 2012/13</w:t>
            </w:r>
          </w:p>
          <w:p w:rsidR="000B01ED" w:rsidRPr="000B3714" w:rsidRDefault="000B01ED" w:rsidP="00B9043D">
            <w:pPr>
              <w:rPr>
                <w:rFonts w:cs="Arial"/>
                <w:i/>
                <w:sz w:val="16"/>
                <w:szCs w:val="16"/>
              </w:rPr>
            </w:pPr>
          </w:p>
          <w:p w:rsidR="000B01ED" w:rsidRPr="000B3714" w:rsidRDefault="000B01ED" w:rsidP="00B9043D">
            <w:pPr>
              <w:rPr>
                <w:rFonts w:cs="Arial"/>
                <w:sz w:val="16"/>
                <w:szCs w:val="16"/>
              </w:rPr>
            </w:pPr>
            <w:r>
              <w:rPr>
                <w:rFonts w:cs="Arial"/>
                <w:i/>
                <w:sz w:val="16"/>
                <w:szCs w:val="16"/>
              </w:rPr>
              <w:t>Original Baseline P&amp;B 2014/15</w:t>
            </w:r>
            <w:r w:rsidRPr="000B3714">
              <w:rPr>
                <w:rFonts w:cs="Arial"/>
                <w:i/>
                <w:sz w:val="16"/>
                <w:szCs w:val="16"/>
              </w:rPr>
              <w:t>:</w:t>
            </w:r>
            <w:r>
              <w:rPr>
                <w:rFonts w:cs="Arial"/>
                <w:sz w:val="16"/>
                <w:szCs w:val="16"/>
              </w:rPr>
              <w:t xml:space="preserve">  </w:t>
            </w:r>
            <w:r w:rsidRPr="000B3714">
              <w:rPr>
                <w:rFonts w:cs="Arial"/>
                <w:sz w:val="16"/>
                <w:szCs w:val="16"/>
              </w:rPr>
              <w:t>30</w:t>
            </w:r>
          </w:p>
        </w:tc>
        <w:tc>
          <w:tcPr>
            <w:tcW w:w="821" w:type="pct"/>
            <w:shd w:val="clear" w:color="auto" w:fill="auto"/>
            <w:tcMar>
              <w:top w:w="110" w:type="dxa"/>
            </w:tcMar>
          </w:tcPr>
          <w:p w:rsidR="000B01ED" w:rsidRPr="000B3714" w:rsidRDefault="000B01ED" w:rsidP="00B9043D">
            <w:pPr>
              <w:rPr>
                <w:rFonts w:cs="Arial"/>
                <w:sz w:val="16"/>
                <w:szCs w:val="16"/>
                <w:lang w:bidi="th-TH"/>
              </w:rPr>
            </w:pPr>
            <w:r w:rsidRPr="000B3714">
              <w:rPr>
                <w:rFonts w:cs="Arial"/>
                <w:sz w:val="16"/>
                <w:szCs w:val="16"/>
              </w:rPr>
              <w:t xml:space="preserve">30 </w:t>
            </w:r>
          </w:p>
        </w:tc>
        <w:tc>
          <w:tcPr>
            <w:tcW w:w="1268" w:type="pct"/>
            <w:shd w:val="clear" w:color="auto" w:fill="FFFFFF"/>
            <w:tcMar>
              <w:top w:w="110" w:type="dxa"/>
            </w:tcMar>
          </w:tcPr>
          <w:p w:rsidR="000B01ED" w:rsidRDefault="000B01ED" w:rsidP="00B9043D">
            <w:pPr>
              <w:rPr>
                <w:rFonts w:cs="Arial"/>
                <w:sz w:val="16"/>
                <w:szCs w:val="16"/>
              </w:rPr>
            </w:pPr>
            <w:r>
              <w:rPr>
                <w:rFonts w:cs="Arial"/>
                <w:sz w:val="16"/>
                <w:szCs w:val="16"/>
              </w:rPr>
              <w:t>In 2014/15 a total of seven strategic collaborations</w:t>
            </w:r>
            <w:r>
              <w:rPr>
                <w:rStyle w:val="FootnoteReference"/>
                <w:rFonts w:cs="Arial"/>
                <w:sz w:val="16"/>
                <w:szCs w:val="16"/>
              </w:rPr>
              <w:footnoteReference w:id="98"/>
            </w:r>
            <w:r>
              <w:rPr>
                <w:rFonts w:cs="Arial"/>
                <w:sz w:val="16"/>
                <w:szCs w:val="16"/>
              </w:rPr>
              <w:t xml:space="preserve"> (cumulative) and 55 activities jointly held with partner organizations and stakeholders and/or in which Program 17 participated:</w:t>
            </w:r>
          </w:p>
          <w:p w:rsidR="000B01ED" w:rsidRDefault="000B01ED" w:rsidP="000B01ED">
            <w:pPr>
              <w:pStyle w:val="ListParagraph"/>
              <w:numPr>
                <w:ilvl w:val="0"/>
                <w:numId w:val="20"/>
              </w:numPr>
              <w:rPr>
                <w:rFonts w:cs="Arial"/>
                <w:sz w:val="16"/>
                <w:szCs w:val="16"/>
              </w:rPr>
            </w:pPr>
            <w:r>
              <w:rPr>
                <w:rFonts w:cs="Arial"/>
                <w:sz w:val="16"/>
                <w:szCs w:val="16"/>
              </w:rPr>
              <w:t>6 strategic collaborations and 29 other joint activities in 2014</w:t>
            </w:r>
            <w:r>
              <w:rPr>
                <w:rStyle w:val="FootnoteReference"/>
                <w:rFonts w:cs="Arial"/>
                <w:sz w:val="16"/>
                <w:szCs w:val="16"/>
              </w:rPr>
              <w:footnoteReference w:id="99"/>
            </w:r>
          </w:p>
          <w:p w:rsidR="000B01ED" w:rsidRPr="00D01435" w:rsidRDefault="000B01ED" w:rsidP="000B01ED">
            <w:pPr>
              <w:pStyle w:val="ListParagraph"/>
              <w:numPr>
                <w:ilvl w:val="0"/>
                <w:numId w:val="20"/>
              </w:numPr>
              <w:rPr>
                <w:rFonts w:cs="Arial"/>
                <w:sz w:val="16"/>
                <w:szCs w:val="16"/>
              </w:rPr>
            </w:pPr>
            <w:r>
              <w:rPr>
                <w:rFonts w:cs="Arial"/>
                <w:sz w:val="16"/>
                <w:szCs w:val="16"/>
              </w:rPr>
              <w:t>7 strategic collaborations (1 additional) and 26 other joint activities  in 2015</w:t>
            </w:r>
          </w:p>
        </w:tc>
        <w:tc>
          <w:tcPr>
            <w:tcW w:w="522" w:type="pct"/>
            <w:shd w:val="clear" w:color="auto" w:fill="auto"/>
            <w:tcMar>
              <w:top w:w="110" w:type="dxa"/>
            </w:tcMar>
          </w:tcPr>
          <w:p w:rsidR="000B01ED" w:rsidRPr="00BB3F42" w:rsidRDefault="000B01ED" w:rsidP="00B9043D">
            <w:pPr>
              <w:jc w:val="center"/>
              <w:rPr>
                <w:rFonts w:cs="Arial"/>
                <w:b/>
                <w:bCs/>
                <w:color w:val="008000"/>
                <w:sz w:val="16"/>
                <w:szCs w:val="16"/>
              </w:rPr>
            </w:pPr>
            <w:r w:rsidRPr="00BB3F42">
              <w:rPr>
                <w:rFonts w:cs="Arial"/>
                <w:b/>
                <w:bCs/>
                <w:color w:val="00B050"/>
                <w:sz w:val="16"/>
                <w:szCs w:val="16"/>
              </w:rPr>
              <w:t xml:space="preserve">Fully </w:t>
            </w:r>
            <w:r w:rsidR="003E16BE">
              <w:rPr>
                <w:rFonts w:cs="Arial"/>
                <w:b/>
                <w:bCs/>
                <w:color w:val="00B050"/>
                <w:sz w:val="16"/>
                <w:szCs w:val="16"/>
              </w:rPr>
              <w:t>A</w:t>
            </w:r>
            <w:r w:rsidRPr="00BB3F42">
              <w:rPr>
                <w:rFonts w:cs="Arial"/>
                <w:b/>
                <w:bCs/>
                <w:color w:val="00B050"/>
                <w:sz w:val="16"/>
                <w:szCs w:val="16"/>
              </w:rPr>
              <w:t>chieved</w:t>
            </w:r>
          </w:p>
        </w:tc>
      </w:tr>
    </w:tbl>
    <w:p w:rsidR="000B01ED" w:rsidRDefault="000B01ED" w:rsidP="00B9043D">
      <w:pPr>
        <w:jc w:val="both"/>
        <w:rPr>
          <w:rFonts w:cs="Arial"/>
          <w:color w:val="000000"/>
          <w:sz w:val="22"/>
          <w:szCs w:val="22"/>
        </w:rPr>
      </w:pPr>
    </w:p>
    <w:p w:rsidR="000B01ED" w:rsidRDefault="000B01ED" w:rsidP="00B9043D">
      <w:pPr>
        <w:jc w:val="both"/>
        <w:rPr>
          <w:rFonts w:cs="Arial"/>
          <w:color w:val="000000"/>
          <w:szCs w:val="20"/>
        </w:rPr>
      </w:pPr>
    </w:p>
    <w:p w:rsidR="000B01ED" w:rsidRPr="005D128B" w:rsidRDefault="000B01ED" w:rsidP="00B9043D">
      <w:pPr>
        <w:keepNext/>
        <w:keepLines/>
        <w:rPr>
          <w:rFonts w:cs="Arial"/>
          <w:color w:val="000000"/>
          <w:szCs w:val="22"/>
        </w:rPr>
      </w:pPr>
      <w:r w:rsidRPr="005D128B">
        <w:rPr>
          <w:rFonts w:cs="Arial"/>
          <w:color w:val="000000"/>
          <w:szCs w:val="22"/>
        </w:rPr>
        <w:t>RISK REPORTING FOR THE BIENNIUM</w:t>
      </w:r>
    </w:p>
    <w:p w:rsidR="000B01ED" w:rsidRDefault="000B01ED" w:rsidP="00B9043D">
      <w:pPr>
        <w:keepNext/>
        <w:keepLines/>
      </w:pPr>
    </w:p>
    <w:tbl>
      <w:tblPr>
        <w:tblW w:w="9498"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2420"/>
        <w:gridCol w:w="2200"/>
        <w:gridCol w:w="2310"/>
        <w:gridCol w:w="2568"/>
      </w:tblGrid>
      <w:tr w:rsidR="000B01ED" w:rsidRPr="003C527B" w:rsidTr="00BA6F3B">
        <w:trPr>
          <w:trHeight w:val="378"/>
        </w:trPr>
        <w:tc>
          <w:tcPr>
            <w:tcW w:w="2420" w:type="dxa"/>
            <w:tcBorders>
              <w:top w:val="single" w:sz="4" w:space="0" w:color="auto"/>
              <w:bottom w:val="single" w:sz="4" w:space="0" w:color="auto"/>
            </w:tcBorders>
            <w:shd w:val="clear" w:color="auto" w:fill="C6D9F1" w:themeFill="text2" w:themeFillTint="33"/>
            <w:tcMar>
              <w:top w:w="113" w:type="dxa"/>
              <w:bottom w:w="85" w:type="dxa"/>
            </w:tcMar>
            <w:vAlign w:val="center"/>
          </w:tcPr>
          <w:p w:rsidR="000B01ED" w:rsidRPr="003C527B" w:rsidRDefault="000B01ED" w:rsidP="00B9043D">
            <w:pPr>
              <w:keepNext/>
              <w:keepLines/>
              <w:autoSpaceDE w:val="0"/>
              <w:autoSpaceDN w:val="0"/>
              <w:adjustRightInd w:val="0"/>
              <w:ind w:right="-59"/>
              <w:jc w:val="center"/>
              <w:rPr>
                <w:b/>
                <w:bCs/>
                <w:iCs/>
                <w:sz w:val="18"/>
                <w:szCs w:val="18"/>
              </w:rPr>
            </w:pPr>
            <w:r w:rsidRPr="003C527B">
              <w:rPr>
                <w:b/>
                <w:bCs/>
                <w:iCs/>
                <w:sz w:val="18"/>
                <w:szCs w:val="18"/>
              </w:rPr>
              <w:t>Risk(s) to the Program achieving its Results</w:t>
            </w:r>
          </w:p>
        </w:tc>
        <w:tc>
          <w:tcPr>
            <w:tcW w:w="2200" w:type="dxa"/>
            <w:tcBorders>
              <w:top w:val="single" w:sz="4" w:space="0" w:color="auto"/>
              <w:bottom w:val="single" w:sz="4" w:space="0" w:color="auto"/>
            </w:tcBorders>
            <w:shd w:val="clear" w:color="auto" w:fill="C6D9F1" w:themeFill="text2" w:themeFillTint="33"/>
            <w:tcMar>
              <w:top w:w="113" w:type="dxa"/>
              <w:bottom w:w="85" w:type="dxa"/>
            </w:tcMar>
            <w:vAlign w:val="center"/>
          </w:tcPr>
          <w:p w:rsidR="000B01ED" w:rsidRPr="003C527B" w:rsidRDefault="000B01ED" w:rsidP="00B9043D">
            <w:pPr>
              <w:keepNext/>
              <w:keepLines/>
              <w:autoSpaceDE w:val="0"/>
              <w:autoSpaceDN w:val="0"/>
              <w:adjustRightInd w:val="0"/>
              <w:ind w:right="-59"/>
              <w:jc w:val="center"/>
              <w:rPr>
                <w:b/>
                <w:bCs/>
                <w:iCs/>
                <w:sz w:val="18"/>
                <w:szCs w:val="18"/>
              </w:rPr>
            </w:pPr>
            <w:r w:rsidRPr="003C527B">
              <w:rPr>
                <w:b/>
                <w:bCs/>
                <w:iCs/>
                <w:sz w:val="18"/>
                <w:szCs w:val="18"/>
              </w:rPr>
              <w:t xml:space="preserve">Mitigation plans in place or under implementation </w:t>
            </w:r>
          </w:p>
        </w:tc>
        <w:tc>
          <w:tcPr>
            <w:tcW w:w="2310" w:type="dxa"/>
            <w:tcBorders>
              <w:top w:val="single" w:sz="4" w:space="0" w:color="auto"/>
              <w:bottom w:val="single" w:sz="4" w:space="0" w:color="auto"/>
            </w:tcBorders>
            <w:shd w:val="clear" w:color="auto" w:fill="C6D9F1" w:themeFill="text2" w:themeFillTint="33"/>
          </w:tcPr>
          <w:p w:rsidR="000B01ED" w:rsidRPr="003C527B" w:rsidRDefault="000B01ED" w:rsidP="00B9043D">
            <w:pPr>
              <w:keepNext/>
              <w:keepLines/>
              <w:jc w:val="center"/>
              <w:rPr>
                <w:b/>
                <w:bCs/>
                <w:sz w:val="18"/>
                <w:szCs w:val="18"/>
              </w:rPr>
            </w:pPr>
            <w:r>
              <w:rPr>
                <w:b/>
                <w:bCs/>
                <w:sz w:val="18"/>
                <w:szCs w:val="18"/>
              </w:rPr>
              <w:t>Evolution of Risk(s) and Mitigation Strategies Over the Biennium</w:t>
            </w:r>
          </w:p>
        </w:tc>
        <w:tc>
          <w:tcPr>
            <w:tcW w:w="2568" w:type="dxa"/>
            <w:tcBorders>
              <w:top w:val="single" w:sz="4" w:space="0" w:color="auto"/>
              <w:bottom w:val="single" w:sz="4" w:space="0" w:color="auto"/>
            </w:tcBorders>
            <w:shd w:val="clear" w:color="auto" w:fill="C6D9F1" w:themeFill="text2" w:themeFillTint="33"/>
          </w:tcPr>
          <w:p w:rsidR="000B01ED" w:rsidRPr="003C527B" w:rsidRDefault="000B01ED" w:rsidP="00B9043D">
            <w:pPr>
              <w:keepNext/>
              <w:keepLines/>
              <w:jc w:val="center"/>
              <w:rPr>
                <w:b/>
                <w:bCs/>
                <w:sz w:val="18"/>
                <w:szCs w:val="18"/>
              </w:rPr>
            </w:pPr>
            <w:r>
              <w:rPr>
                <w:b/>
                <w:bCs/>
                <w:sz w:val="18"/>
                <w:szCs w:val="18"/>
              </w:rPr>
              <w:t>Impact on the Program’s Performance</w:t>
            </w:r>
          </w:p>
        </w:tc>
      </w:tr>
      <w:tr w:rsidR="000B01ED" w:rsidRPr="003C527B" w:rsidTr="00BA6F3B">
        <w:trPr>
          <w:trHeight w:val="1219"/>
        </w:trPr>
        <w:tc>
          <w:tcPr>
            <w:tcW w:w="2420" w:type="dxa"/>
            <w:tcBorders>
              <w:top w:val="single" w:sz="4" w:space="0" w:color="auto"/>
            </w:tcBorders>
            <w:shd w:val="clear" w:color="auto" w:fill="auto"/>
            <w:tcMar>
              <w:top w:w="113" w:type="dxa"/>
              <w:bottom w:w="85" w:type="dxa"/>
            </w:tcMar>
          </w:tcPr>
          <w:p w:rsidR="000B01ED" w:rsidRPr="003C527B" w:rsidRDefault="000B01ED" w:rsidP="00B9043D">
            <w:pPr>
              <w:keepNext/>
              <w:keepLines/>
              <w:autoSpaceDE w:val="0"/>
              <w:autoSpaceDN w:val="0"/>
              <w:adjustRightInd w:val="0"/>
              <w:ind w:right="-59"/>
              <w:rPr>
                <w:sz w:val="16"/>
                <w:szCs w:val="16"/>
              </w:rPr>
            </w:pPr>
            <w:r w:rsidRPr="003C527B">
              <w:rPr>
                <w:sz w:val="16"/>
                <w:szCs w:val="16"/>
              </w:rPr>
              <w:t xml:space="preserve">Lack of </w:t>
            </w:r>
            <w:r>
              <w:rPr>
                <w:sz w:val="16"/>
                <w:szCs w:val="16"/>
              </w:rPr>
              <w:t>agreement</w:t>
            </w:r>
            <w:r w:rsidRPr="003C527B">
              <w:rPr>
                <w:sz w:val="16"/>
                <w:szCs w:val="16"/>
              </w:rPr>
              <w:t xml:space="preserve"> among, and of political support by, Member States in the work of WIPO in the field of building respect for IP.  WIPO’s role in building respect for IP may be compromised.  </w:t>
            </w:r>
          </w:p>
        </w:tc>
        <w:tc>
          <w:tcPr>
            <w:tcW w:w="2200" w:type="dxa"/>
            <w:tcBorders>
              <w:top w:val="single" w:sz="4" w:space="0" w:color="auto"/>
            </w:tcBorders>
            <w:shd w:val="clear" w:color="auto" w:fill="auto"/>
            <w:tcMar>
              <w:top w:w="113" w:type="dxa"/>
              <w:bottom w:w="85" w:type="dxa"/>
            </w:tcMar>
          </w:tcPr>
          <w:p w:rsidR="000B01ED" w:rsidRPr="003C527B" w:rsidRDefault="000B01ED" w:rsidP="00B9043D">
            <w:pPr>
              <w:keepNext/>
              <w:keepLines/>
              <w:autoSpaceDE w:val="0"/>
              <w:autoSpaceDN w:val="0"/>
              <w:adjustRightInd w:val="0"/>
              <w:ind w:right="-59"/>
              <w:rPr>
                <w:sz w:val="16"/>
                <w:szCs w:val="16"/>
              </w:rPr>
            </w:pPr>
            <w:r w:rsidRPr="003C527B">
              <w:rPr>
                <w:sz w:val="16"/>
                <w:szCs w:val="16"/>
              </w:rPr>
              <w:t xml:space="preserve">This Program engages in regular consultations with Member States aiming at facilitating the convergence of </w:t>
            </w:r>
            <w:smartTag w:uri="urn:schemas-microsoft-com:office:smarttags" w:element="place">
              <w:smartTag w:uri="urn:schemas-microsoft-com:office:smarttags" w:element="PlaceName">
                <w:r w:rsidRPr="003C527B">
                  <w:rPr>
                    <w:sz w:val="16"/>
                    <w:szCs w:val="16"/>
                  </w:rPr>
                  <w:t>Member</w:t>
                </w:r>
              </w:smartTag>
              <w:r w:rsidRPr="003C527B">
                <w:rPr>
                  <w:sz w:val="16"/>
                  <w:szCs w:val="16"/>
                </w:rPr>
                <w:t xml:space="preserve"> </w:t>
              </w:r>
              <w:smartTag w:uri="urn:schemas-microsoft-com:office:smarttags" w:element="PlaceType">
                <w:r w:rsidRPr="003C527B">
                  <w:rPr>
                    <w:sz w:val="16"/>
                    <w:szCs w:val="16"/>
                  </w:rPr>
                  <w:t>State</w:t>
                </w:r>
              </w:smartTag>
            </w:smartTag>
            <w:r w:rsidRPr="003C527B">
              <w:rPr>
                <w:sz w:val="16"/>
                <w:szCs w:val="16"/>
              </w:rPr>
              <w:t xml:space="preserve"> views on the relevance, the work and the policy function of the ACE and related capacity building activities.  Rigorous standards are applied in all activities, ensuring high quality, transparency, neutrality and a balanced approach.</w:t>
            </w:r>
          </w:p>
        </w:tc>
        <w:tc>
          <w:tcPr>
            <w:tcW w:w="2310" w:type="dxa"/>
            <w:tcBorders>
              <w:top w:val="single" w:sz="4" w:space="0" w:color="auto"/>
            </w:tcBorders>
          </w:tcPr>
          <w:p w:rsidR="000B01ED" w:rsidRPr="00F636BD" w:rsidRDefault="000B01ED" w:rsidP="00B9043D">
            <w:pPr>
              <w:keepNext/>
              <w:keepLines/>
              <w:autoSpaceDE w:val="0"/>
              <w:autoSpaceDN w:val="0"/>
              <w:adjustRightInd w:val="0"/>
              <w:ind w:right="-59"/>
              <w:rPr>
                <w:color w:val="C0504D" w:themeColor="accent2"/>
                <w:sz w:val="16"/>
                <w:szCs w:val="16"/>
              </w:rPr>
            </w:pPr>
            <w:r w:rsidRPr="00815195">
              <w:rPr>
                <w:sz w:val="16"/>
                <w:szCs w:val="16"/>
              </w:rPr>
              <w:t xml:space="preserve">While the risk persists, it has been </w:t>
            </w:r>
            <w:r>
              <w:rPr>
                <w:sz w:val="16"/>
                <w:szCs w:val="16"/>
              </w:rPr>
              <w:t>managed</w:t>
            </w:r>
            <w:r w:rsidRPr="00815195">
              <w:rPr>
                <w:sz w:val="16"/>
                <w:szCs w:val="16"/>
              </w:rPr>
              <w:t xml:space="preserve"> through the strict and full implementation of the </w:t>
            </w:r>
            <w:r>
              <w:rPr>
                <w:sz w:val="16"/>
                <w:szCs w:val="16"/>
              </w:rPr>
              <w:t>m</w:t>
            </w:r>
            <w:r w:rsidRPr="00815195">
              <w:rPr>
                <w:sz w:val="16"/>
                <w:szCs w:val="16"/>
              </w:rPr>
              <w:t>itigation plan.  Member States have expressed support in WIPO’s work in building respect for IP, as evidenced through the ACE and the IOD Evaluation for Strategic Goal VI</w:t>
            </w:r>
            <w:r>
              <w:rPr>
                <w:rStyle w:val="FootnoteReference"/>
                <w:sz w:val="16"/>
                <w:szCs w:val="16"/>
              </w:rPr>
              <w:footnoteReference w:id="100"/>
            </w:r>
            <w:r w:rsidRPr="00815195">
              <w:rPr>
                <w:sz w:val="16"/>
                <w:szCs w:val="16"/>
              </w:rPr>
              <w:t xml:space="preserve">. </w:t>
            </w:r>
          </w:p>
        </w:tc>
        <w:tc>
          <w:tcPr>
            <w:tcW w:w="2568" w:type="dxa"/>
            <w:tcBorders>
              <w:top w:val="single" w:sz="4" w:space="0" w:color="auto"/>
            </w:tcBorders>
          </w:tcPr>
          <w:p w:rsidR="000B01ED" w:rsidRPr="003C527B" w:rsidRDefault="000B01ED">
            <w:pPr>
              <w:keepNext/>
              <w:keepLines/>
              <w:autoSpaceDE w:val="0"/>
              <w:autoSpaceDN w:val="0"/>
              <w:adjustRightInd w:val="0"/>
              <w:ind w:right="-59"/>
              <w:rPr>
                <w:sz w:val="16"/>
                <w:szCs w:val="16"/>
              </w:rPr>
            </w:pPr>
            <w:r w:rsidRPr="00815195">
              <w:rPr>
                <w:sz w:val="16"/>
                <w:szCs w:val="16"/>
              </w:rPr>
              <w:t xml:space="preserve">The risk did not materialize during the biennium.  The strict adherence to the mitigation plan ensured support from the Member States and allowed the Program to perform fully. </w:t>
            </w:r>
          </w:p>
        </w:tc>
      </w:tr>
    </w:tbl>
    <w:p w:rsidR="000B01ED" w:rsidRDefault="000B01ED" w:rsidP="00B9043D">
      <w:pPr>
        <w:rPr>
          <w:rFonts w:cs="Arial"/>
          <w:color w:val="000000"/>
          <w:sz w:val="22"/>
          <w:szCs w:val="20"/>
        </w:rPr>
      </w:pPr>
    </w:p>
    <w:p w:rsidR="000B01ED" w:rsidRDefault="000B01ED" w:rsidP="00B9043D">
      <w:pPr>
        <w:rPr>
          <w:rFonts w:cs="Arial"/>
          <w:color w:val="000000"/>
          <w:sz w:val="22"/>
          <w:szCs w:val="20"/>
        </w:rPr>
      </w:pPr>
    </w:p>
    <w:p w:rsidR="000B01ED" w:rsidRPr="005D128B" w:rsidRDefault="000B01ED" w:rsidP="000B01ED">
      <w:pPr>
        <w:keepNext/>
        <w:keepLines/>
        <w:rPr>
          <w:rFonts w:cs="Arial"/>
          <w:color w:val="000000"/>
          <w:szCs w:val="20"/>
        </w:rPr>
      </w:pPr>
      <w:r w:rsidRPr="005D128B">
        <w:rPr>
          <w:rFonts w:cs="Arial"/>
          <w:color w:val="000000"/>
          <w:szCs w:val="20"/>
        </w:rPr>
        <w:lastRenderedPageBreak/>
        <w:t>RESOURCE UTILIZATION</w:t>
      </w:r>
    </w:p>
    <w:p w:rsidR="000B01ED" w:rsidRDefault="000B01ED" w:rsidP="000B01ED">
      <w:pPr>
        <w:pStyle w:val="NormalWeb"/>
        <w:keepNext/>
        <w:keepLines/>
        <w:spacing w:before="0" w:beforeAutospacing="0" w:after="0" w:afterAutospacing="0"/>
        <w:jc w:val="center"/>
        <w:rPr>
          <w:color w:val="000000"/>
          <w:sz w:val="20"/>
          <w:szCs w:val="20"/>
        </w:rPr>
      </w:pPr>
    </w:p>
    <w:p w:rsidR="000B01ED" w:rsidRPr="0057012D" w:rsidRDefault="000B01ED" w:rsidP="000B01ED">
      <w:pPr>
        <w:pStyle w:val="NormalWeb"/>
        <w:keepNext/>
        <w:keepLines/>
        <w:spacing w:before="0" w:beforeAutospacing="0" w:after="0" w:afterAutospacing="0"/>
        <w:jc w:val="center"/>
        <w:rPr>
          <w:sz w:val="20"/>
          <w:szCs w:val="20"/>
        </w:rPr>
      </w:pPr>
      <w:r w:rsidRPr="0057012D">
        <w:rPr>
          <w:color w:val="000000"/>
          <w:sz w:val="20"/>
          <w:szCs w:val="20"/>
        </w:rPr>
        <w:t>Budget and Actual Expenditure (by result)</w:t>
      </w:r>
    </w:p>
    <w:p w:rsidR="000B01ED" w:rsidRPr="0057012D" w:rsidRDefault="000B01ED" w:rsidP="000B01ED">
      <w:pPr>
        <w:pStyle w:val="NormalWeb"/>
        <w:keepNext/>
        <w:keepLines/>
        <w:spacing w:before="0" w:beforeAutospacing="0" w:after="0" w:afterAutospacing="0"/>
        <w:jc w:val="center"/>
        <w:rPr>
          <w:i/>
          <w:iCs/>
          <w:color w:val="000000"/>
          <w:sz w:val="20"/>
          <w:szCs w:val="20"/>
        </w:rPr>
      </w:pPr>
      <w:r w:rsidRPr="0057012D">
        <w:rPr>
          <w:i/>
          <w:iCs/>
          <w:color w:val="000000"/>
          <w:sz w:val="20"/>
          <w:szCs w:val="20"/>
        </w:rPr>
        <w:t>(in thousands of Swiss francs)</w:t>
      </w:r>
    </w:p>
    <w:p w:rsidR="000B01ED" w:rsidRPr="0057012D" w:rsidRDefault="000B01ED" w:rsidP="000B01ED">
      <w:pPr>
        <w:keepNext/>
        <w:keepLines/>
        <w:jc w:val="center"/>
        <w:rPr>
          <w:rFonts w:cs="Arial"/>
          <w:szCs w:val="20"/>
        </w:rPr>
      </w:pPr>
    </w:p>
    <w:p w:rsidR="000B01ED" w:rsidRPr="0057012D" w:rsidRDefault="000B01ED" w:rsidP="000B01ED">
      <w:pPr>
        <w:keepNext/>
        <w:keepLines/>
        <w:jc w:val="center"/>
        <w:rPr>
          <w:rFonts w:cs="Arial"/>
          <w:szCs w:val="20"/>
        </w:rPr>
      </w:pPr>
      <w:r w:rsidRPr="00AA1FDB">
        <w:rPr>
          <w:noProof/>
        </w:rPr>
        <w:drawing>
          <wp:inline distT="0" distB="0" distL="0" distR="0" wp14:anchorId="7DB6EC12" wp14:editId="6D8B68AB">
            <wp:extent cx="5151352" cy="2415654"/>
            <wp:effectExtent l="0" t="0" r="0" b="3810"/>
            <wp:docPr id="897" name="Picture 8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9">
                      <a:extLst>
                        <a:ext uri="{28A0092B-C50C-407E-A947-70E740481C1C}">
                          <a14:useLocalDpi xmlns:a14="http://schemas.microsoft.com/office/drawing/2010/main" val="0"/>
                        </a:ext>
                      </a:extLst>
                    </a:blip>
                    <a:srcRect/>
                    <a:stretch>
                      <a:fillRect/>
                    </a:stretch>
                  </pic:blipFill>
                  <pic:spPr bwMode="auto">
                    <a:xfrm>
                      <a:off x="0" y="0"/>
                      <a:ext cx="5155514" cy="2417606"/>
                    </a:xfrm>
                    <a:prstGeom prst="rect">
                      <a:avLst/>
                    </a:prstGeom>
                    <a:noFill/>
                    <a:ln>
                      <a:noFill/>
                    </a:ln>
                  </pic:spPr>
                </pic:pic>
              </a:graphicData>
            </a:graphic>
          </wp:inline>
        </w:drawing>
      </w:r>
    </w:p>
    <w:p w:rsidR="000B01ED" w:rsidRPr="0057012D" w:rsidRDefault="000B01ED" w:rsidP="00B9043D">
      <w:pPr>
        <w:jc w:val="both"/>
        <w:rPr>
          <w:rFonts w:cs="Arial"/>
          <w:szCs w:val="20"/>
        </w:rPr>
      </w:pPr>
    </w:p>
    <w:p w:rsidR="000B01ED" w:rsidRDefault="000B01ED" w:rsidP="00B9043D">
      <w:pPr>
        <w:pStyle w:val="NormalWeb"/>
        <w:keepNext/>
        <w:keepLines/>
        <w:spacing w:before="0" w:beforeAutospacing="0" w:after="0" w:afterAutospacing="0"/>
        <w:jc w:val="center"/>
        <w:rPr>
          <w:color w:val="000000"/>
          <w:sz w:val="20"/>
          <w:szCs w:val="20"/>
        </w:rPr>
      </w:pPr>
    </w:p>
    <w:p w:rsidR="000B01ED" w:rsidRPr="0057012D" w:rsidRDefault="000B01ED" w:rsidP="00B9043D">
      <w:pPr>
        <w:pStyle w:val="NormalWeb"/>
        <w:keepNext/>
        <w:keepLines/>
        <w:spacing w:before="0" w:beforeAutospacing="0" w:after="0" w:afterAutospacing="0"/>
        <w:jc w:val="center"/>
        <w:rPr>
          <w:sz w:val="20"/>
          <w:szCs w:val="20"/>
        </w:rPr>
      </w:pPr>
      <w:r w:rsidRPr="0057012D">
        <w:rPr>
          <w:color w:val="000000"/>
          <w:sz w:val="20"/>
          <w:szCs w:val="20"/>
        </w:rPr>
        <w:t>Budget and Actual Expenditure (personnel and non-personnel)</w:t>
      </w:r>
    </w:p>
    <w:p w:rsidR="000B01ED" w:rsidRDefault="000B01ED" w:rsidP="00B9043D">
      <w:pPr>
        <w:pStyle w:val="NormalWeb"/>
        <w:keepNext/>
        <w:keepLines/>
        <w:spacing w:before="0" w:beforeAutospacing="0" w:after="120" w:afterAutospacing="0"/>
        <w:jc w:val="center"/>
        <w:rPr>
          <w:i/>
          <w:iCs/>
          <w:color w:val="000000"/>
          <w:sz w:val="20"/>
          <w:szCs w:val="20"/>
        </w:rPr>
      </w:pPr>
      <w:r w:rsidRPr="0057012D">
        <w:rPr>
          <w:i/>
          <w:iCs/>
          <w:color w:val="000000"/>
          <w:sz w:val="20"/>
          <w:szCs w:val="20"/>
        </w:rPr>
        <w:t>(in thousands of Swiss francs)</w:t>
      </w:r>
    </w:p>
    <w:p w:rsidR="000B01ED" w:rsidRPr="008855BE" w:rsidRDefault="000B01ED" w:rsidP="00B9043D">
      <w:pPr>
        <w:pStyle w:val="NormalWeb"/>
        <w:keepNext/>
        <w:keepLines/>
        <w:spacing w:before="0" w:beforeAutospacing="0" w:after="0" w:afterAutospacing="0"/>
        <w:jc w:val="center"/>
        <w:rPr>
          <w:i/>
          <w:iCs/>
          <w:color w:val="000000"/>
          <w:sz w:val="20"/>
          <w:szCs w:val="20"/>
        </w:rPr>
      </w:pPr>
      <w:r w:rsidRPr="00A34F33">
        <w:rPr>
          <w:noProof/>
        </w:rPr>
        <w:drawing>
          <wp:inline distT="0" distB="0" distL="0" distR="0" wp14:anchorId="183B6B2C" wp14:editId="3A8B44FC">
            <wp:extent cx="5158854" cy="928162"/>
            <wp:effectExtent l="0" t="0" r="3810" b="5715"/>
            <wp:docPr id="898" name="Picture 8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0">
                      <a:extLst>
                        <a:ext uri="{28A0092B-C50C-407E-A947-70E740481C1C}">
                          <a14:useLocalDpi xmlns:a14="http://schemas.microsoft.com/office/drawing/2010/main" val="0"/>
                        </a:ext>
                      </a:extLst>
                    </a:blip>
                    <a:srcRect/>
                    <a:stretch>
                      <a:fillRect/>
                    </a:stretch>
                  </pic:blipFill>
                  <pic:spPr bwMode="auto">
                    <a:xfrm>
                      <a:off x="0" y="0"/>
                      <a:ext cx="5158854" cy="928162"/>
                    </a:xfrm>
                    <a:prstGeom prst="rect">
                      <a:avLst/>
                    </a:prstGeom>
                    <a:noFill/>
                    <a:ln>
                      <a:noFill/>
                    </a:ln>
                  </pic:spPr>
                </pic:pic>
              </a:graphicData>
            </a:graphic>
          </wp:inline>
        </w:drawing>
      </w:r>
    </w:p>
    <w:p w:rsidR="000B01ED" w:rsidRDefault="000B01ED" w:rsidP="00B9043D">
      <w:pPr>
        <w:jc w:val="center"/>
        <w:rPr>
          <w:rFonts w:cs="Arial"/>
          <w:szCs w:val="20"/>
        </w:rPr>
      </w:pPr>
    </w:p>
    <w:p w:rsidR="000B01ED" w:rsidRDefault="000B01ED" w:rsidP="00B9043D">
      <w:pPr>
        <w:jc w:val="both"/>
        <w:rPr>
          <w:rFonts w:cs="Arial"/>
          <w:szCs w:val="20"/>
        </w:rPr>
      </w:pPr>
    </w:p>
    <w:p w:rsidR="000B01ED" w:rsidRPr="0057012D" w:rsidRDefault="000B01ED" w:rsidP="00B9043D">
      <w:pPr>
        <w:jc w:val="both"/>
        <w:rPr>
          <w:rFonts w:cs="Arial"/>
          <w:szCs w:val="20"/>
          <w:u w:val="single"/>
        </w:rPr>
      </w:pPr>
      <w:r w:rsidRPr="0057012D">
        <w:rPr>
          <w:rFonts w:cs="Arial"/>
          <w:szCs w:val="20"/>
        </w:rPr>
        <w:t>A.</w:t>
      </w:r>
      <w:r w:rsidRPr="0057012D">
        <w:rPr>
          <w:rFonts w:cs="Arial"/>
          <w:szCs w:val="20"/>
        </w:rPr>
        <w:tab/>
      </w:r>
      <w:r w:rsidRPr="0057012D">
        <w:rPr>
          <w:rFonts w:cs="Arial"/>
          <w:szCs w:val="20"/>
          <w:u w:val="single"/>
        </w:rPr>
        <w:t>2014/15</w:t>
      </w:r>
      <w:r>
        <w:rPr>
          <w:rFonts w:cs="Arial"/>
          <w:szCs w:val="20"/>
          <w:u w:val="single"/>
        </w:rPr>
        <w:t xml:space="preserve"> Final Budget after Transfers</w:t>
      </w:r>
    </w:p>
    <w:p w:rsidR="000B01ED" w:rsidRDefault="000B01ED" w:rsidP="00B9043D">
      <w:pPr>
        <w:autoSpaceDE w:val="0"/>
        <w:autoSpaceDN w:val="0"/>
        <w:jc w:val="both"/>
        <w:rPr>
          <w:rFonts w:cs="Arial"/>
          <w:szCs w:val="20"/>
          <w:lang w:eastAsia="ko-KR"/>
        </w:rPr>
      </w:pPr>
    </w:p>
    <w:p w:rsidR="000B01ED" w:rsidRDefault="000B01ED" w:rsidP="00B9043D">
      <w:pPr>
        <w:tabs>
          <w:tab w:val="left" w:pos="709"/>
        </w:tabs>
        <w:autoSpaceDE w:val="0"/>
        <w:autoSpaceDN w:val="0"/>
        <w:jc w:val="both"/>
        <w:rPr>
          <w:rFonts w:cs="Arial"/>
          <w:szCs w:val="20"/>
          <w:lang w:eastAsia="ko-KR"/>
        </w:rPr>
      </w:pPr>
      <w:r>
        <w:rPr>
          <w:rFonts w:cs="Arial"/>
          <w:szCs w:val="20"/>
          <w:lang w:eastAsia="ko-KR"/>
        </w:rPr>
        <w:t>17.7</w:t>
      </w:r>
      <w:r>
        <w:rPr>
          <w:rFonts w:cs="Arial"/>
          <w:szCs w:val="20"/>
          <w:lang w:eastAsia="ko-KR"/>
        </w:rPr>
        <w:tab/>
      </w:r>
      <w:r>
        <w:rPr>
          <w:rFonts w:cs="Arial"/>
          <w:lang w:eastAsia="ko-KR"/>
        </w:rPr>
        <w:t xml:space="preserve">The adjustments across Results in the Final Budget after Transfers 2014/15 </w:t>
      </w:r>
      <w:r>
        <w:rPr>
          <w:rFonts w:cs="Arial"/>
          <w:szCs w:val="20"/>
          <w:lang w:eastAsia="ko-KR"/>
        </w:rPr>
        <w:t>are due primarily to:</w:t>
      </w:r>
    </w:p>
    <w:p w:rsidR="000B01ED" w:rsidRDefault="000B01ED" w:rsidP="00B9043D">
      <w:pPr>
        <w:autoSpaceDE w:val="0"/>
        <w:autoSpaceDN w:val="0"/>
        <w:jc w:val="both"/>
        <w:rPr>
          <w:rFonts w:cs="Arial"/>
          <w:szCs w:val="20"/>
          <w:lang w:eastAsia="ko-KR"/>
        </w:rPr>
      </w:pPr>
    </w:p>
    <w:p w:rsidR="000B01ED" w:rsidRDefault="000B01ED" w:rsidP="00F33ED1">
      <w:pPr>
        <w:pStyle w:val="ListParagraph"/>
        <w:numPr>
          <w:ilvl w:val="0"/>
          <w:numId w:val="18"/>
        </w:numPr>
        <w:tabs>
          <w:tab w:val="left" w:pos="1276"/>
        </w:tabs>
        <w:autoSpaceDE w:val="0"/>
        <w:autoSpaceDN w:val="0"/>
        <w:ind w:left="1134" w:hanging="436"/>
        <w:jc w:val="both"/>
        <w:rPr>
          <w:rFonts w:cs="Arial"/>
          <w:lang w:eastAsia="ko-KR"/>
        </w:rPr>
      </w:pPr>
      <w:r>
        <w:rPr>
          <w:rFonts w:cs="Arial"/>
          <w:lang w:eastAsia="ko-KR"/>
        </w:rPr>
        <w:t xml:space="preserve">a continued increase in Member State demand for legislative advice, including diagnostic missions, resulting in a redistribution of resources from Result VI.2 (Cooperation in the field of building respect for IP) to I.2 (Legislative advice); and </w:t>
      </w:r>
    </w:p>
    <w:p w:rsidR="000B01ED" w:rsidRDefault="000B01ED" w:rsidP="00B9043D">
      <w:pPr>
        <w:pStyle w:val="ListParagraph"/>
        <w:tabs>
          <w:tab w:val="left" w:pos="1276"/>
        </w:tabs>
        <w:autoSpaceDE w:val="0"/>
        <w:autoSpaceDN w:val="0"/>
        <w:ind w:hanging="11"/>
        <w:jc w:val="both"/>
        <w:rPr>
          <w:rFonts w:cs="Arial"/>
          <w:lang w:eastAsia="ko-KR"/>
        </w:rPr>
      </w:pPr>
    </w:p>
    <w:p w:rsidR="000B01ED" w:rsidRDefault="000B01ED" w:rsidP="00F33ED1">
      <w:pPr>
        <w:pStyle w:val="ListParagraph"/>
        <w:numPr>
          <w:ilvl w:val="0"/>
          <w:numId w:val="18"/>
        </w:numPr>
        <w:tabs>
          <w:tab w:val="left" w:pos="1276"/>
        </w:tabs>
        <w:autoSpaceDE w:val="0"/>
        <w:autoSpaceDN w:val="0"/>
        <w:ind w:left="1134" w:hanging="425"/>
        <w:jc w:val="both"/>
        <w:rPr>
          <w:rFonts w:cs="Arial"/>
          <w:lang w:eastAsia="ko-KR"/>
        </w:rPr>
      </w:pPr>
      <w:r>
        <w:rPr>
          <w:rFonts w:cs="Arial"/>
          <w:lang w:eastAsia="ko-KR"/>
        </w:rPr>
        <w:t>the holding, at the request of the Member States, of two sessions of the ACE in the biennium, instead of one as originally foreseen, resulting in a redistribution of resources from Result VI.2 (Cooperation in the field of building respect for IP) to Result VI.1 (Progress in the international policy dialogue among WIPO Member States on building respect for IP)</w:t>
      </w:r>
      <w:r w:rsidRPr="00A34E52">
        <w:rPr>
          <w:rFonts w:cs="Arial"/>
          <w:lang w:eastAsia="ko-KR"/>
        </w:rPr>
        <w:t xml:space="preserve"> </w:t>
      </w:r>
    </w:p>
    <w:p w:rsidR="000B01ED" w:rsidRPr="0037127E" w:rsidRDefault="000B01ED" w:rsidP="00B9043D">
      <w:pPr>
        <w:pStyle w:val="ListParagraph"/>
        <w:rPr>
          <w:rFonts w:cs="Arial"/>
          <w:lang w:eastAsia="ko-KR"/>
        </w:rPr>
      </w:pPr>
    </w:p>
    <w:p w:rsidR="000B01ED" w:rsidRPr="0037127E" w:rsidRDefault="000B01ED" w:rsidP="000B01ED">
      <w:pPr>
        <w:tabs>
          <w:tab w:val="left" w:pos="709"/>
        </w:tabs>
        <w:autoSpaceDE w:val="0"/>
        <w:autoSpaceDN w:val="0"/>
        <w:jc w:val="both"/>
        <w:rPr>
          <w:rFonts w:cs="Arial"/>
          <w:lang w:eastAsia="ko-KR"/>
        </w:rPr>
      </w:pPr>
      <w:r>
        <w:rPr>
          <w:rFonts w:cs="Arial"/>
          <w:lang w:eastAsia="ko-KR"/>
        </w:rPr>
        <w:t>17.8</w:t>
      </w:r>
      <w:r>
        <w:rPr>
          <w:rFonts w:cs="Arial"/>
          <w:lang w:eastAsia="ko-KR"/>
        </w:rPr>
        <w:tab/>
        <w:t xml:space="preserve">The net increase in personnel resources reflects the temporary transfer of a staff member from Program 6 to support the increased demand for legislative advice. </w:t>
      </w:r>
    </w:p>
    <w:p w:rsidR="000B01ED" w:rsidRPr="0057012D" w:rsidRDefault="000B01ED" w:rsidP="00B9043D">
      <w:pPr>
        <w:autoSpaceDE w:val="0"/>
        <w:autoSpaceDN w:val="0"/>
        <w:jc w:val="both"/>
        <w:rPr>
          <w:rFonts w:cs="Arial"/>
          <w:szCs w:val="20"/>
          <w:lang w:eastAsia="ko-KR"/>
        </w:rPr>
      </w:pPr>
    </w:p>
    <w:p w:rsidR="000B01ED" w:rsidRDefault="000B01ED" w:rsidP="00B9043D">
      <w:pPr>
        <w:jc w:val="both"/>
        <w:rPr>
          <w:rFonts w:cs="Arial"/>
          <w:szCs w:val="20"/>
          <w:u w:val="single"/>
          <w:lang w:eastAsia="ko-KR"/>
        </w:rPr>
      </w:pPr>
      <w:r w:rsidRPr="0057012D">
        <w:rPr>
          <w:rFonts w:cs="Arial"/>
          <w:szCs w:val="20"/>
          <w:lang w:eastAsia="ko-KR"/>
        </w:rPr>
        <w:t>B.</w:t>
      </w:r>
      <w:r w:rsidRPr="0057012D">
        <w:rPr>
          <w:rFonts w:cs="Arial"/>
          <w:szCs w:val="20"/>
          <w:lang w:eastAsia="ko-KR"/>
        </w:rPr>
        <w:tab/>
      </w:r>
      <w:r w:rsidRPr="0057012D">
        <w:rPr>
          <w:rFonts w:cs="Arial"/>
          <w:szCs w:val="20"/>
          <w:u w:val="single"/>
        </w:rPr>
        <w:t>2014/15</w:t>
      </w:r>
      <w:r>
        <w:rPr>
          <w:rFonts w:cs="Arial"/>
          <w:szCs w:val="20"/>
          <w:u w:val="single"/>
        </w:rPr>
        <w:t xml:space="preserve"> </w:t>
      </w:r>
      <w:r>
        <w:rPr>
          <w:rFonts w:cs="Arial"/>
          <w:szCs w:val="20"/>
          <w:u w:val="single"/>
          <w:lang w:eastAsia="ko-KR"/>
        </w:rPr>
        <w:t>Budget U</w:t>
      </w:r>
      <w:r w:rsidRPr="0057012D">
        <w:rPr>
          <w:rFonts w:cs="Arial"/>
          <w:szCs w:val="20"/>
          <w:u w:val="single"/>
          <w:lang w:eastAsia="ko-KR"/>
        </w:rPr>
        <w:t xml:space="preserve">tilization </w:t>
      </w:r>
    </w:p>
    <w:p w:rsidR="000B01ED" w:rsidRDefault="000B01ED" w:rsidP="00B9043D"/>
    <w:p w:rsidR="000B01ED" w:rsidRDefault="000B01ED" w:rsidP="000B01ED">
      <w:pPr>
        <w:tabs>
          <w:tab w:val="left" w:pos="709"/>
        </w:tabs>
      </w:pPr>
      <w:r>
        <w:rPr>
          <w:szCs w:val="20"/>
        </w:rPr>
        <w:t>17.9</w:t>
      </w:r>
      <w:r>
        <w:rPr>
          <w:szCs w:val="20"/>
        </w:rPr>
        <w:tab/>
      </w:r>
      <w:r w:rsidRPr="003C6B37">
        <w:rPr>
          <w:szCs w:val="20"/>
        </w:rPr>
        <w:t>Budget utilization is within the expected range</w:t>
      </w:r>
      <w:r>
        <w:rPr>
          <w:szCs w:val="20"/>
        </w:rPr>
        <w:t xml:space="preserve"> for the biennium</w:t>
      </w:r>
      <w:r w:rsidRPr="003C6B37">
        <w:rPr>
          <w:szCs w:val="20"/>
        </w:rPr>
        <w:t>.</w:t>
      </w:r>
    </w:p>
    <w:p w:rsidR="005C6F8E" w:rsidRDefault="005C6F8E"/>
    <w:p w:rsidR="00DA7475" w:rsidRDefault="00DA7475">
      <w:r>
        <w:br w:type="page"/>
      </w:r>
    </w:p>
    <w:p w:rsidR="00C1753F" w:rsidRDefault="00C1753F" w:rsidP="00C1753F">
      <w:pPr>
        <w:pStyle w:val="StyleHeading214ptAuto"/>
        <w:rPr>
          <w:rFonts w:ascii="Arial" w:hAnsi="Arial" w:cs="Arial"/>
          <w:sz w:val="20"/>
          <w:szCs w:val="20"/>
        </w:rPr>
      </w:pPr>
      <w:bookmarkStart w:id="95" w:name="_Toc454544489"/>
      <w:bookmarkStart w:id="96" w:name="_Toc367350596"/>
      <w:r w:rsidRPr="00E07FBB">
        <w:rPr>
          <w:rFonts w:ascii="Arial" w:hAnsi="Arial" w:cs="Arial"/>
          <w:sz w:val="20"/>
          <w:szCs w:val="20"/>
        </w:rPr>
        <w:lastRenderedPageBreak/>
        <w:t>STRATEGIC GOAL VII</w:t>
      </w:r>
      <w:bookmarkEnd w:id="95"/>
    </w:p>
    <w:p w:rsidR="00C1753F" w:rsidRDefault="00C1753F" w:rsidP="003E2D93"/>
    <w:p w:rsidR="00C1753F" w:rsidRPr="003E2D93" w:rsidRDefault="00C1753F" w:rsidP="003E2D93">
      <w:pPr>
        <w:jc w:val="center"/>
      </w:pPr>
      <w:r w:rsidRPr="003E2D93">
        <w:rPr>
          <w:b/>
        </w:rPr>
        <w:t>ADDRESSING IP IN RELATION TO GLOBAL POLICY ISSUES</w:t>
      </w:r>
      <w:bookmarkEnd w:id="96"/>
    </w:p>
    <w:p w:rsidR="00C1753F" w:rsidRDefault="00C1753F" w:rsidP="003E2D93">
      <w:pPr>
        <w:jc w:val="center"/>
      </w:pPr>
    </w:p>
    <w:p w:rsidR="00DD7BA9" w:rsidRDefault="00DD7BA9" w:rsidP="00DD7BA9">
      <w:pPr>
        <w:jc w:val="center"/>
      </w:pPr>
    </w:p>
    <w:p w:rsidR="00DD7BA9" w:rsidRPr="00551736" w:rsidRDefault="00DD7BA9" w:rsidP="00DD7BA9">
      <w:pPr>
        <w:jc w:val="center"/>
        <w:rPr>
          <w:b/>
        </w:rPr>
      </w:pPr>
      <w:r>
        <w:rPr>
          <w:b/>
        </w:rPr>
        <w:t>Biennial</w:t>
      </w:r>
      <w:r w:rsidRPr="00551736">
        <w:rPr>
          <w:b/>
        </w:rPr>
        <w:t xml:space="preserve"> Performance Dashboard </w:t>
      </w:r>
    </w:p>
    <w:p w:rsidR="00DD7BA9" w:rsidRDefault="00DD7BA9" w:rsidP="00DD7BA9"/>
    <w:p w:rsidR="00DD7BA9" w:rsidRDefault="00DD7BA9" w:rsidP="00DD7BA9">
      <w:pPr>
        <w:autoSpaceDE w:val="0"/>
        <w:autoSpaceDN w:val="0"/>
        <w:adjustRightInd w:val="0"/>
        <w:jc w:val="both"/>
        <w:rPr>
          <w:rFonts w:cs="Arial"/>
        </w:rPr>
      </w:pPr>
      <w:r>
        <w:rPr>
          <w:rFonts w:cs="Arial"/>
        </w:rPr>
        <w:t xml:space="preserve">The dashboard below provides a summary of the achievements of the expected results in the biennium 2014/15 as measured by the indicators under the Programs contributing to this Strategic Goal.  </w:t>
      </w:r>
    </w:p>
    <w:p w:rsidR="00DD7BA9" w:rsidRDefault="00DD7BA9" w:rsidP="00DD7BA9">
      <w:pPr>
        <w:jc w:val="center"/>
      </w:pPr>
      <w:r>
        <w:rPr>
          <w:noProof/>
        </w:rPr>
        <w:drawing>
          <wp:inline distT="0" distB="0" distL="0" distR="0" wp14:anchorId="0BE254C3" wp14:editId="04DA6ED2">
            <wp:extent cx="5272003" cy="2651760"/>
            <wp:effectExtent l="0" t="0" r="508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1" cstate="print">
                      <a:extLst>
                        <a:ext uri="{28A0092B-C50C-407E-A947-70E740481C1C}">
                          <a14:useLocalDpi xmlns:a14="http://schemas.microsoft.com/office/drawing/2010/main" val="0"/>
                        </a:ext>
                      </a:extLst>
                    </a:blip>
                    <a:srcRect/>
                    <a:stretch>
                      <a:fillRect/>
                    </a:stretch>
                  </pic:blipFill>
                  <pic:spPr bwMode="auto">
                    <a:xfrm>
                      <a:off x="0" y="0"/>
                      <a:ext cx="5272003" cy="2651760"/>
                    </a:xfrm>
                    <a:prstGeom prst="rect">
                      <a:avLst/>
                    </a:prstGeom>
                    <a:noFill/>
                  </pic:spPr>
                </pic:pic>
              </a:graphicData>
            </a:graphic>
          </wp:inline>
        </w:drawing>
      </w:r>
    </w:p>
    <w:p w:rsidR="00DD7BA9" w:rsidRPr="00CB5A85" w:rsidRDefault="00DD7BA9" w:rsidP="00DD7BA9">
      <w:pPr>
        <w:jc w:val="center"/>
      </w:pPr>
    </w:p>
    <w:tbl>
      <w:tblPr>
        <w:tblW w:w="5148" w:type="pct"/>
        <w:tblInd w:w="-175"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2836"/>
        <w:gridCol w:w="4186"/>
        <w:gridCol w:w="1628"/>
        <w:gridCol w:w="1204"/>
      </w:tblGrid>
      <w:tr w:rsidR="00DD7BA9" w:rsidRPr="00AF5E7C" w:rsidTr="00547ACE">
        <w:trPr>
          <w:cantSplit/>
          <w:tblHeader/>
        </w:trPr>
        <w:tc>
          <w:tcPr>
            <w:tcW w:w="1439" w:type="pct"/>
            <w:tcBorders>
              <w:top w:val="single" w:sz="4" w:space="0" w:color="auto"/>
              <w:bottom w:val="single" w:sz="4" w:space="0" w:color="auto"/>
            </w:tcBorders>
            <w:shd w:val="clear" w:color="auto" w:fill="DAEEF3" w:themeFill="accent5" w:themeFillTint="33"/>
            <w:tcMar>
              <w:top w:w="113" w:type="dxa"/>
              <w:bottom w:w="85" w:type="dxa"/>
            </w:tcMar>
            <w:vAlign w:val="center"/>
          </w:tcPr>
          <w:p w:rsidR="00DD7BA9" w:rsidRPr="00206A01" w:rsidRDefault="00DD7BA9" w:rsidP="00547ACE">
            <w:pPr>
              <w:rPr>
                <w:b/>
                <w:bCs/>
                <w:sz w:val="18"/>
                <w:szCs w:val="18"/>
              </w:rPr>
            </w:pPr>
            <w:r w:rsidRPr="00206A01">
              <w:rPr>
                <w:b/>
                <w:bCs/>
                <w:sz w:val="18"/>
                <w:szCs w:val="18"/>
              </w:rPr>
              <w:t>Expected Results</w:t>
            </w:r>
          </w:p>
        </w:tc>
        <w:tc>
          <w:tcPr>
            <w:tcW w:w="2124" w:type="pct"/>
            <w:tcBorders>
              <w:top w:val="single" w:sz="4" w:space="0" w:color="auto"/>
              <w:bottom w:val="single" w:sz="4" w:space="0" w:color="auto"/>
            </w:tcBorders>
            <w:shd w:val="clear" w:color="auto" w:fill="DAEEF3" w:themeFill="accent5" w:themeFillTint="33"/>
            <w:tcMar>
              <w:top w:w="113" w:type="dxa"/>
              <w:bottom w:w="85" w:type="dxa"/>
            </w:tcMar>
            <w:vAlign w:val="center"/>
          </w:tcPr>
          <w:p w:rsidR="00DD7BA9" w:rsidRPr="00206A01" w:rsidRDefault="00DD7BA9" w:rsidP="00547ACE">
            <w:pPr>
              <w:rPr>
                <w:b/>
                <w:sz w:val="18"/>
                <w:szCs w:val="18"/>
              </w:rPr>
            </w:pPr>
            <w:r w:rsidRPr="00206A01">
              <w:rPr>
                <w:b/>
                <w:sz w:val="18"/>
                <w:szCs w:val="18"/>
              </w:rPr>
              <w:t>Performance Indicators</w:t>
            </w:r>
          </w:p>
        </w:tc>
        <w:tc>
          <w:tcPr>
            <w:tcW w:w="826" w:type="pct"/>
            <w:tcBorders>
              <w:top w:val="single" w:sz="4" w:space="0" w:color="auto"/>
              <w:bottom w:val="single" w:sz="4" w:space="0" w:color="auto"/>
            </w:tcBorders>
            <w:shd w:val="clear" w:color="auto" w:fill="DAEEF3" w:themeFill="accent5" w:themeFillTint="33"/>
            <w:tcMar>
              <w:top w:w="113" w:type="dxa"/>
              <w:bottom w:w="85" w:type="dxa"/>
            </w:tcMar>
            <w:vAlign w:val="center"/>
          </w:tcPr>
          <w:p w:rsidR="00DD7BA9" w:rsidRPr="00206A01" w:rsidRDefault="00DD7BA9" w:rsidP="00547ACE">
            <w:pPr>
              <w:jc w:val="center"/>
              <w:rPr>
                <w:sz w:val="18"/>
                <w:szCs w:val="18"/>
              </w:rPr>
            </w:pPr>
            <w:r w:rsidRPr="00206A01">
              <w:rPr>
                <w:b/>
                <w:bCs/>
                <w:sz w:val="18"/>
                <w:szCs w:val="18"/>
              </w:rPr>
              <w:t>Responsible Program(s)</w:t>
            </w:r>
          </w:p>
        </w:tc>
        <w:tc>
          <w:tcPr>
            <w:tcW w:w="611" w:type="pct"/>
            <w:tcBorders>
              <w:top w:val="single" w:sz="4" w:space="0" w:color="auto"/>
              <w:bottom w:val="single" w:sz="4" w:space="0" w:color="auto"/>
            </w:tcBorders>
            <w:shd w:val="clear" w:color="auto" w:fill="DAEEF3" w:themeFill="accent5" w:themeFillTint="33"/>
            <w:vAlign w:val="center"/>
          </w:tcPr>
          <w:p w:rsidR="00DD7BA9" w:rsidRPr="00206A01" w:rsidRDefault="00DD7BA9" w:rsidP="00547ACE">
            <w:pPr>
              <w:jc w:val="center"/>
              <w:rPr>
                <w:b/>
                <w:bCs/>
                <w:sz w:val="18"/>
                <w:szCs w:val="18"/>
              </w:rPr>
            </w:pPr>
            <w:r>
              <w:rPr>
                <w:b/>
                <w:bCs/>
                <w:sz w:val="18"/>
                <w:szCs w:val="18"/>
              </w:rPr>
              <w:t>TLS</w:t>
            </w:r>
          </w:p>
        </w:tc>
      </w:tr>
      <w:tr w:rsidR="00DD7BA9" w:rsidRPr="00AF5E7C" w:rsidTr="00547ACE">
        <w:trPr>
          <w:cantSplit/>
          <w:trHeight w:val="486"/>
        </w:trPr>
        <w:tc>
          <w:tcPr>
            <w:tcW w:w="1439" w:type="pct"/>
            <w:vMerge w:val="restart"/>
            <w:tcBorders>
              <w:top w:val="single" w:sz="4" w:space="0" w:color="auto"/>
              <w:right w:val="nil"/>
            </w:tcBorders>
            <w:shd w:val="clear" w:color="auto" w:fill="auto"/>
            <w:tcMar>
              <w:top w:w="113" w:type="dxa"/>
              <w:bottom w:w="85" w:type="dxa"/>
            </w:tcMar>
          </w:tcPr>
          <w:p w:rsidR="00DD7BA9" w:rsidRPr="00300636" w:rsidRDefault="00DD7BA9" w:rsidP="00547ACE">
            <w:pPr>
              <w:rPr>
                <w:rFonts w:cs="Arial"/>
                <w:sz w:val="16"/>
                <w:szCs w:val="16"/>
              </w:rPr>
            </w:pPr>
            <w:r>
              <w:rPr>
                <w:rFonts w:cs="Arial"/>
                <w:sz w:val="16"/>
                <w:szCs w:val="16"/>
              </w:rPr>
              <w:t xml:space="preserve">VII.2  </w:t>
            </w:r>
            <w:r w:rsidRPr="004E24C9">
              <w:rPr>
                <w:rFonts w:cs="Arial"/>
                <w:sz w:val="16"/>
                <w:szCs w:val="16"/>
              </w:rPr>
              <w:t>IP-based platforms and tools are used for knowledge transfer, technology adaptation and diffusion from developed to developing countries, particularly least developed countries, to address global challenges</w:t>
            </w:r>
          </w:p>
        </w:tc>
        <w:tc>
          <w:tcPr>
            <w:tcW w:w="2124" w:type="pct"/>
            <w:tcBorders>
              <w:top w:val="single" w:sz="4" w:space="0" w:color="auto"/>
              <w:left w:val="nil"/>
              <w:bottom w:val="nil"/>
              <w:right w:val="nil"/>
            </w:tcBorders>
            <w:shd w:val="clear" w:color="auto" w:fill="auto"/>
            <w:tcMar>
              <w:top w:w="113" w:type="dxa"/>
              <w:bottom w:w="85" w:type="dxa"/>
            </w:tcMar>
          </w:tcPr>
          <w:p w:rsidR="00DD7BA9" w:rsidRPr="00300636" w:rsidRDefault="00DD7BA9" w:rsidP="00547ACE">
            <w:pPr>
              <w:rPr>
                <w:rFonts w:cs="Arial"/>
                <w:sz w:val="16"/>
                <w:szCs w:val="16"/>
              </w:rPr>
            </w:pPr>
            <w:r>
              <w:rPr>
                <w:rFonts w:cs="Arial"/>
                <w:sz w:val="16"/>
                <w:szCs w:val="16"/>
              </w:rPr>
              <w:t xml:space="preserve">Increase in membership in WIPO Re:Search, including from developing countries and LDCs </w:t>
            </w:r>
          </w:p>
        </w:tc>
        <w:tc>
          <w:tcPr>
            <w:tcW w:w="826" w:type="pct"/>
            <w:tcBorders>
              <w:top w:val="single" w:sz="4" w:space="0" w:color="auto"/>
              <w:left w:val="nil"/>
              <w:bottom w:val="nil"/>
              <w:right w:val="nil"/>
            </w:tcBorders>
            <w:shd w:val="clear" w:color="auto" w:fill="FFFFFF"/>
            <w:tcMar>
              <w:top w:w="113" w:type="dxa"/>
              <w:bottom w:w="85" w:type="dxa"/>
            </w:tcMar>
          </w:tcPr>
          <w:p w:rsidR="00DD7BA9" w:rsidRPr="00AF5E7C" w:rsidRDefault="00DD7BA9" w:rsidP="00547ACE">
            <w:pPr>
              <w:jc w:val="center"/>
              <w:rPr>
                <w:rFonts w:cs="Arial"/>
                <w:sz w:val="16"/>
                <w:szCs w:val="16"/>
                <w:lang w:bidi="th-TH"/>
              </w:rPr>
            </w:pPr>
            <w:r>
              <w:rPr>
                <w:rFonts w:cs="Arial"/>
                <w:sz w:val="16"/>
                <w:szCs w:val="16"/>
                <w:lang w:bidi="th-TH"/>
              </w:rPr>
              <w:t xml:space="preserve">Program 18 </w:t>
            </w:r>
          </w:p>
        </w:tc>
        <w:tc>
          <w:tcPr>
            <w:tcW w:w="611" w:type="pct"/>
            <w:tcBorders>
              <w:top w:val="single" w:sz="4" w:space="0" w:color="auto"/>
              <w:left w:val="nil"/>
            </w:tcBorders>
            <w:shd w:val="clear" w:color="auto" w:fill="FFFFFF"/>
          </w:tcPr>
          <w:p w:rsidR="00DD7BA9" w:rsidRPr="00CC3F44" w:rsidRDefault="00DD7BA9" w:rsidP="00547ACE">
            <w:pPr>
              <w:jc w:val="center"/>
              <w:rPr>
                <w:rFonts w:cs="Arial"/>
                <w:color w:val="A6A6A6" w:themeColor="background1" w:themeShade="A6"/>
                <w:sz w:val="22"/>
                <w:szCs w:val="22"/>
              </w:rPr>
            </w:pPr>
            <w:r w:rsidRPr="00CC3F44">
              <w:rPr>
                <w:rFonts w:cs="Arial"/>
                <w:color w:val="008000"/>
                <w:sz w:val="22"/>
                <w:szCs w:val="22"/>
              </w:rPr>
              <w:sym w:font="Wingdings" w:char="F06C"/>
            </w:r>
          </w:p>
        </w:tc>
      </w:tr>
      <w:tr w:rsidR="00DD7BA9" w:rsidRPr="00AF5E7C" w:rsidTr="00547ACE">
        <w:trPr>
          <w:cantSplit/>
          <w:trHeight w:val="294"/>
        </w:trPr>
        <w:tc>
          <w:tcPr>
            <w:tcW w:w="1439" w:type="pct"/>
            <w:vMerge/>
            <w:tcBorders>
              <w:right w:val="nil"/>
            </w:tcBorders>
            <w:shd w:val="clear" w:color="auto" w:fill="auto"/>
            <w:tcMar>
              <w:top w:w="113" w:type="dxa"/>
              <w:bottom w:w="85" w:type="dxa"/>
            </w:tcMar>
          </w:tcPr>
          <w:p w:rsidR="00DD7BA9" w:rsidRDefault="00DD7BA9" w:rsidP="00547ACE">
            <w:pPr>
              <w:rPr>
                <w:rFonts w:cs="Arial"/>
                <w:sz w:val="16"/>
                <w:szCs w:val="16"/>
              </w:rPr>
            </w:pPr>
          </w:p>
        </w:tc>
        <w:tc>
          <w:tcPr>
            <w:tcW w:w="2124" w:type="pct"/>
            <w:tcBorders>
              <w:top w:val="nil"/>
              <w:left w:val="nil"/>
              <w:bottom w:val="nil"/>
              <w:right w:val="nil"/>
            </w:tcBorders>
            <w:shd w:val="clear" w:color="auto" w:fill="auto"/>
            <w:tcMar>
              <w:top w:w="113" w:type="dxa"/>
              <w:bottom w:w="85" w:type="dxa"/>
            </w:tcMar>
          </w:tcPr>
          <w:p w:rsidR="00DD7BA9" w:rsidRDefault="00DD7BA9" w:rsidP="00547ACE">
            <w:pPr>
              <w:rPr>
                <w:rFonts w:cs="Arial"/>
                <w:sz w:val="16"/>
                <w:szCs w:val="16"/>
              </w:rPr>
            </w:pPr>
            <w:r>
              <w:rPr>
                <w:rFonts w:cs="Arial"/>
                <w:sz w:val="16"/>
                <w:szCs w:val="16"/>
              </w:rPr>
              <w:t xml:space="preserve">Increased contributions to WIPO Re:Search database </w:t>
            </w:r>
          </w:p>
        </w:tc>
        <w:tc>
          <w:tcPr>
            <w:tcW w:w="826" w:type="pct"/>
            <w:tcBorders>
              <w:top w:val="nil"/>
              <w:left w:val="nil"/>
              <w:bottom w:val="nil"/>
              <w:right w:val="nil"/>
            </w:tcBorders>
            <w:shd w:val="clear" w:color="auto" w:fill="FFFFFF"/>
            <w:tcMar>
              <w:top w:w="113" w:type="dxa"/>
              <w:bottom w:w="85" w:type="dxa"/>
            </w:tcMar>
          </w:tcPr>
          <w:p w:rsidR="00DD7BA9" w:rsidRDefault="00DD7BA9" w:rsidP="00547ACE">
            <w:pPr>
              <w:jc w:val="center"/>
              <w:rPr>
                <w:rFonts w:cs="Arial"/>
                <w:sz w:val="16"/>
                <w:szCs w:val="16"/>
                <w:lang w:bidi="th-TH"/>
              </w:rPr>
            </w:pPr>
            <w:r>
              <w:rPr>
                <w:rFonts w:cs="Arial"/>
                <w:sz w:val="16"/>
                <w:szCs w:val="16"/>
                <w:lang w:bidi="th-TH"/>
              </w:rPr>
              <w:t xml:space="preserve">Program 18 </w:t>
            </w:r>
          </w:p>
        </w:tc>
        <w:tc>
          <w:tcPr>
            <w:tcW w:w="611" w:type="pct"/>
            <w:tcBorders>
              <w:top w:val="nil"/>
              <w:left w:val="nil"/>
            </w:tcBorders>
            <w:shd w:val="clear" w:color="auto" w:fill="FFFFFF"/>
          </w:tcPr>
          <w:p w:rsidR="00DD7BA9" w:rsidRPr="00CC3F44" w:rsidRDefault="00DD7BA9" w:rsidP="00547ACE">
            <w:pPr>
              <w:jc w:val="center"/>
            </w:pPr>
            <w:r w:rsidRPr="00CC3F44">
              <w:rPr>
                <w:rFonts w:cs="Arial"/>
                <w:color w:val="FF0000"/>
                <w:sz w:val="22"/>
                <w:szCs w:val="22"/>
              </w:rPr>
              <w:sym w:font="Wingdings" w:char="F06C"/>
            </w:r>
          </w:p>
        </w:tc>
      </w:tr>
      <w:tr w:rsidR="00DD7BA9" w:rsidRPr="00AF5E7C" w:rsidTr="00547ACE">
        <w:trPr>
          <w:cantSplit/>
          <w:trHeight w:val="516"/>
        </w:trPr>
        <w:tc>
          <w:tcPr>
            <w:tcW w:w="1439" w:type="pct"/>
            <w:vMerge/>
            <w:tcBorders>
              <w:right w:val="nil"/>
            </w:tcBorders>
            <w:shd w:val="clear" w:color="auto" w:fill="auto"/>
            <w:tcMar>
              <w:top w:w="113" w:type="dxa"/>
              <w:bottom w:w="85" w:type="dxa"/>
            </w:tcMar>
          </w:tcPr>
          <w:p w:rsidR="00DD7BA9" w:rsidRDefault="00DD7BA9" w:rsidP="00547ACE">
            <w:pPr>
              <w:rPr>
                <w:rFonts w:cs="Arial"/>
                <w:sz w:val="16"/>
                <w:szCs w:val="16"/>
              </w:rPr>
            </w:pPr>
          </w:p>
        </w:tc>
        <w:tc>
          <w:tcPr>
            <w:tcW w:w="2124" w:type="pct"/>
            <w:tcBorders>
              <w:top w:val="nil"/>
              <w:left w:val="nil"/>
              <w:bottom w:val="nil"/>
              <w:right w:val="nil"/>
            </w:tcBorders>
            <w:shd w:val="clear" w:color="auto" w:fill="auto"/>
            <w:tcMar>
              <w:top w:w="113" w:type="dxa"/>
              <w:bottom w:w="85" w:type="dxa"/>
            </w:tcMar>
          </w:tcPr>
          <w:p w:rsidR="00DD7BA9" w:rsidRDefault="00DD7BA9" w:rsidP="00547ACE">
            <w:pPr>
              <w:rPr>
                <w:rFonts w:cs="Arial"/>
                <w:sz w:val="16"/>
                <w:szCs w:val="16"/>
              </w:rPr>
            </w:pPr>
            <w:r>
              <w:rPr>
                <w:rFonts w:cs="Arial"/>
                <w:sz w:val="16"/>
                <w:szCs w:val="16"/>
              </w:rPr>
              <w:t>Increased no. of agreements under WIPO Re:Search which lead to new or accelerated R&amp;D in NTDs, Malaria and TB</w:t>
            </w:r>
          </w:p>
        </w:tc>
        <w:tc>
          <w:tcPr>
            <w:tcW w:w="826" w:type="pct"/>
            <w:tcBorders>
              <w:top w:val="nil"/>
              <w:left w:val="nil"/>
              <w:bottom w:val="nil"/>
              <w:right w:val="nil"/>
            </w:tcBorders>
            <w:shd w:val="clear" w:color="auto" w:fill="FFFFFF"/>
            <w:tcMar>
              <w:top w:w="113" w:type="dxa"/>
              <w:bottom w:w="85" w:type="dxa"/>
            </w:tcMar>
          </w:tcPr>
          <w:p w:rsidR="00DD7BA9" w:rsidRDefault="00DD7BA9" w:rsidP="00547ACE">
            <w:pPr>
              <w:jc w:val="center"/>
              <w:rPr>
                <w:rFonts w:cs="Arial"/>
                <w:sz w:val="16"/>
                <w:szCs w:val="16"/>
                <w:lang w:bidi="th-TH"/>
              </w:rPr>
            </w:pPr>
            <w:r>
              <w:rPr>
                <w:rFonts w:cs="Arial"/>
                <w:sz w:val="16"/>
                <w:szCs w:val="16"/>
                <w:lang w:bidi="th-TH"/>
              </w:rPr>
              <w:t xml:space="preserve">Program 18 </w:t>
            </w:r>
          </w:p>
          <w:p w:rsidR="00DD7BA9" w:rsidRDefault="00DD7BA9" w:rsidP="00547ACE">
            <w:pPr>
              <w:ind w:left="661"/>
              <w:rPr>
                <w:rFonts w:cs="Arial"/>
                <w:sz w:val="16"/>
                <w:szCs w:val="16"/>
                <w:lang w:bidi="th-TH"/>
              </w:rPr>
            </w:pPr>
          </w:p>
        </w:tc>
        <w:tc>
          <w:tcPr>
            <w:tcW w:w="611" w:type="pct"/>
            <w:tcBorders>
              <w:top w:val="nil"/>
              <w:left w:val="nil"/>
            </w:tcBorders>
            <w:shd w:val="clear" w:color="auto" w:fill="FFFFFF"/>
          </w:tcPr>
          <w:p w:rsidR="00DD7BA9" w:rsidRPr="00CC3F44" w:rsidRDefault="00DD7BA9" w:rsidP="00547ACE">
            <w:pPr>
              <w:jc w:val="center"/>
            </w:pPr>
            <w:r w:rsidRPr="00CC3F44">
              <w:rPr>
                <w:rFonts w:cs="Arial"/>
                <w:color w:val="008000"/>
                <w:sz w:val="22"/>
                <w:szCs w:val="22"/>
              </w:rPr>
              <w:sym w:font="Wingdings" w:char="F06C"/>
            </w:r>
          </w:p>
        </w:tc>
      </w:tr>
      <w:tr w:rsidR="00DD7BA9" w:rsidRPr="00AF5E7C" w:rsidTr="00547ACE">
        <w:trPr>
          <w:cantSplit/>
          <w:trHeight w:val="272"/>
        </w:trPr>
        <w:tc>
          <w:tcPr>
            <w:tcW w:w="1439" w:type="pct"/>
            <w:shd w:val="clear" w:color="auto" w:fill="auto"/>
            <w:tcMar>
              <w:top w:w="113" w:type="dxa"/>
              <w:bottom w:w="85" w:type="dxa"/>
            </w:tcMar>
          </w:tcPr>
          <w:p w:rsidR="00DD7BA9" w:rsidRPr="00AF5E7C" w:rsidRDefault="00DD7BA9" w:rsidP="00547ACE">
            <w:pPr>
              <w:rPr>
                <w:rFonts w:cs="Arial"/>
                <w:sz w:val="16"/>
                <w:szCs w:val="16"/>
              </w:rPr>
            </w:pPr>
          </w:p>
        </w:tc>
        <w:tc>
          <w:tcPr>
            <w:tcW w:w="2124" w:type="pct"/>
            <w:tcBorders>
              <w:top w:val="nil"/>
            </w:tcBorders>
            <w:shd w:val="clear" w:color="auto" w:fill="auto"/>
            <w:tcMar>
              <w:top w:w="113" w:type="dxa"/>
              <w:bottom w:w="85" w:type="dxa"/>
            </w:tcMar>
          </w:tcPr>
          <w:p w:rsidR="00DD7BA9" w:rsidRPr="00300636" w:rsidRDefault="00DD7BA9" w:rsidP="00547ACE">
            <w:pPr>
              <w:rPr>
                <w:rFonts w:cs="Arial"/>
                <w:sz w:val="16"/>
                <w:szCs w:val="16"/>
              </w:rPr>
            </w:pPr>
            <w:r>
              <w:rPr>
                <w:rFonts w:cs="Arial"/>
                <w:sz w:val="16"/>
                <w:szCs w:val="16"/>
              </w:rPr>
              <w:t>No. of WIPO GREEN Members</w:t>
            </w:r>
          </w:p>
        </w:tc>
        <w:tc>
          <w:tcPr>
            <w:tcW w:w="826" w:type="pct"/>
            <w:tcBorders>
              <w:top w:val="nil"/>
            </w:tcBorders>
            <w:shd w:val="clear" w:color="auto" w:fill="FFFFFF"/>
            <w:tcMar>
              <w:top w:w="113" w:type="dxa"/>
              <w:bottom w:w="85" w:type="dxa"/>
            </w:tcMar>
          </w:tcPr>
          <w:p w:rsidR="00DD7BA9" w:rsidRPr="00AF5E7C" w:rsidRDefault="00DD7BA9" w:rsidP="00547ACE">
            <w:pPr>
              <w:jc w:val="center"/>
              <w:rPr>
                <w:rFonts w:cs="Arial"/>
                <w:sz w:val="16"/>
                <w:szCs w:val="16"/>
                <w:lang w:bidi="th-TH"/>
              </w:rPr>
            </w:pPr>
            <w:r>
              <w:rPr>
                <w:rFonts w:cs="Arial"/>
                <w:sz w:val="16"/>
                <w:szCs w:val="16"/>
                <w:lang w:bidi="th-TH"/>
              </w:rPr>
              <w:t>Program 18</w:t>
            </w:r>
          </w:p>
        </w:tc>
        <w:tc>
          <w:tcPr>
            <w:tcW w:w="611" w:type="pct"/>
            <w:shd w:val="clear" w:color="auto" w:fill="FFFFFF"/>
          </w:tcPr>
          <w:p w:rsidR="00DD7BA9" w:rsidRPr="00CC3F44" w:rsidRDefault="00DD7BA9" w:rsidP="00547ACE">
            <w:pPr>
              <w:jc w:val="center"/>
            </w:pPr>
            <w:r w:rsidRPr="00CC3F44">
              <w:rPr>
                <w:rFonts w:cs="Arial"/>
                <w:color w:val="008000"/>
                <w:sz w:val="22"/>
                <w:szCs w:val="22"/>
              </w:rPr>
              <w:sym w:font="Wingdings" w:char="F06C"/>
            </w:r>
            <w:r w:rsidRPr="00CC3F44">
              <w:rPr>
                <w:rFonts w:cs="Arial"/>
                <w:color w:val="008000"/>
                <w:sz w:val="22"/>
                <w:szCs w:val="22"/>
              </w:rPr>
              <w:sym w:font="Wingdings" w:char="F06C"/>
            </w:r>
            <w:r w:rsidRPr="00CC3F44">
              <w:rPr>
                <w:rFonts w:cs="Arial"/>
                <w:color w:val="008000"/>
                <w:sz w:val="22"/>
                <w:szCs w:val="22"/>
              </w:rPr>
              <w:sym w:font="Wingdings" w:char="F06C"/>
            </w:r>
          </w:p>
        </w:tc>
      </w:tr>
      <w:tr w:rsidR="00DD7BA9" w:rsidRPr="00AF5E7C" w:rsidTr="00547ACE">
        <w:trPr>
          <w:cantSplit/>
          <w:trHeight w:val="706"/>
        </w:trPr>
        <w:tc>
          <w:tcPr>
            <w:tcW w:w="1439" w:type="pct"/>
            <w:shd w:val="clear" w:color="auto" w:fill="auto"/>
            <w:tcMar>
              <w:top w:w="113" w:type="dxa"/>
              <w:bottom w:w="85" w:type="dxa"/>
            </w:tcMar>
          </w:tcPr>
          <w:p w:rsidR="00DD7BA9" w:rsidRPr="00AF5E7C" w:rsidRDefault="00DD7BA9" w:rsidP="00547ACE">
            <w:pPr>
              <w:rPr>
                <w:rFonts w:cs="Arial"/>
                <w:sz w:val="16"/>
                <w:szCs w:val="16"/>
              </w:rPr>
            </w:pPr>
          </w:p>
        </w:tc>
        <w:tc>
          <w:tcPr>
            <w:tcW w:w="2124" w:type="pct"/>
            <w:shd w:val="clear" w:color="auto" w:fill="auto"/>
            <w:tcMar>
              <w:top w:w="113" w:type="dxa"/>
              <w:bottom w:w="85" w:type="dxa"/>
            </w:tcMar>
          </w:tcPr>
          <w:p w:rsidR="00DD7BA9" w:rsidRPr="00AF5E7C" w:rsidRDefault="00DD7BA9" w:rsidP="00547ACE">
            <w:pPr>
              <w:rPr>
                <w:rFonts w:cs="Arial"/>
                <w:sz w:val="16"/>
                <w:szCs w:val="16"/>
              </w:rPr>
            </w:pPr>
            <w:r>
              <w:rPr>
                <w:rFonts w:cs="Arial"/>
                <w:sz w:val="16"/>
                <w:szCs w:val="16"/>
              </w:rPr>
              <w:t>No. of established links of WIPO GREEN to relevant mechanisms, such as Climate Technology Centers and Networks (UNFCCC) and Climate Innovation Centers (infoDev)</w:t>
            </w:r>
          </w:p>
        </w:tc>
        <w:tc>
          <w:tcPr>
            <w:tcW w:w="826" w:type="pct"/>
            <w:shd w:val="clear" w:color="auto" w:fill="FFFFFF"/>
            <w:tcMar>
              <w:top w:w="113" w:type="dxa"/>
              <w:bottom w:w="85" w:type="dxa"/>
            </w:tcMar>
          </w:tcPr>
          <w:p w:rsidR="00DD7BA9" w:rsidRPr="00AF5E7C" w:rsidRDefault="00DD7BA9" w:rsidP="00547ACE">
            <w:pPr>
              <w:jc w:val="center"/>
              <w:rPr>
                <w:rFonts w:cs="Arial"/>
                <w:sz w:val="16"/>
                <w:szCs w:val="16"/>
                <w:lang w:bidi="th-TH"/>
              </w:rPr>
            </w:pPr>
            <w:r>
              <w:rPr>
                <w:rFonts w:cs="Arial"/>
                <w:sz w:val="16"/>
                <w:szCs w:val="16"/>
                <w:lang w:bidi="th-TH"/>
              </w:rPr>
              <w:t>Program 18</w:t>
            </w:r>
          </w:p>
        </w:tc>
        <w:tc>
          <w:tcPr>
            <w:tcW w:w="611" w:type="pct"/>
            <w:shd w:val="clear" w:color="auto" w:fill="FFFFFF"/>
          </w:tcPr>
          <w:p w:rsidR="00DD7BA9" w:rsidRPr="00CC3F44" w:rsidRDefault="00DD7BA9" w:rsidP="00547ACE">
            <w:pPr>
              <w:jc w:val="center"/>
              <w:rPr>
                <w:rFonts w:cs="Arial"/>
                <w:color w:val="A6A6A6" w:themeColor="background1" w:themeShade="A6"/>
                <w:sz w:val="22"/>
                <w:szCs w:val="22"/>
              </w:rPr>
            </w:pPr>
            <w:r w:rsidRPr="00CC3F44">
              <w:rPr>
                <w:rFonts w:cs="Arial"/>
                <w:color w:val="008000"/>
                <w:sz w:val="22"/>
                <w:szCs w:val="22"/>
              </w:rPr>
              <w:sym w:font="Wingdings" w:char="F06C"/>
            </w:r>
          </w:p>
        </w:tc>
      </w:tr>
      <w:tr w:rsidR="00DD7BA9" w:rsidRPr="00AF5E7C" w:rsidTr="00547ACE">
        <w:trPr>
          <w:cantSplit/>
          <w:trHeight w:val="296"/>
        </w:trPr>
        <w:tc>
          <w:tcPr>
            <w:tcW w:w="1439" w:type="pct"/>
            <w:shd w:val="clear" w:color="auto" w:fill="auto"/>
            <w:tcMar>
              <w:top w:w="113" w:type="dxa"/>
              <w:bottom w:w="85" w:type="dxa"/>
            </w:tcMar>
          </w:tcPr>
          <w:p w:rsidR="00DD7BA9" w:rsidRPr="00AF5E7C" w:rsidRDefault="00DD7BA9" w:rsidP="00547ACE">
            <w:pPr>
              <w:rPr>
                <w:rFonts w:cs="Arial"/>
                <w:sz w:val="16"/>
                <w:szCs w:val="16"/>
              </w:rPr>
            </w:pPr>
          </w:p>
        </w:tc>
        <w:tc>
          <w:tcPr>
            <w:tcW w:w="2124" w:type="pct"/>
            <w:shd w:val="clear" w:color="auto" w:fill="auto"/>
            <w:tcMar>
              <w:top w:w="113" w:type="dxa"/>
              <w:bottom w:w="85" w:type="dxa"/>
            </w:tcMar>
          </w:tcPr>
          <w:p w:rsidR="00DD7BA9" w:rsidRDefault="00DD7BA9" w:rsidP="00547ACE">
            <w:pPr>
              <w:rPr>
                <w:rFonts w:cs="Arial"/>
                <w:sz w:val="16"/>
                <w:szCs w:val="16"/>
              </w:rPr>
            </w:pPr>
            <w:r>
              <w:rPr>
                <w:rFonts w:cs="Arial"/>
                <w:sz w:val="16"/>
                <w:szCs w:val="16"/>
              </w:rPr>
              <w:t>No. of agreements catalyzed by WIPO GREEN facilitating knowledge transfer, technology adaptation, transfer and/or diffusion</w:t>
            </w:r>
          </w:p>
        </w:tc>
        <w:tc>
          <w:tcPr>
            <w:tcW w:w="826" w:type="pct"/>
            <w:shd w:val="clear" w:color="auto" w:fill="FFFFFF"/>
            <w:tcMar>
              <w:top w:w="113" w:type="dxa"/>
              <w:bottom w:w="85" w:type="dxa"/>
            </w:tcMar>
          </w:tcPr>
          <w:p w:rsidR="00DD7BA9" w:rsidRDefault="00DD7BA9" w:rsidP="00547ACE">
            <w:pPr>
              <w:jc w:val="center"/>
              <w:rPr>
                <w:rFonts w:cs="Arial"/>
                <w:sz w:val="16"/>
                <w:szCs w:val="16"/>
                <w:lang w:bidi="th-TH"/>
              </w:rPr>
            </w:pPr>
            <w:r>
              <w:rPr>
                <w:rFonts w:cs="Arial"/>
                <w:sz w:val="16"/>
                <w:szCs w:val="16"/>
                <w:lang w:bidi="th-TH"/>
              </w:rPr>
              <w:t>Program 18</w:t>
            </w:r>
          </w:p>
        </w:tc>
        <w:tc>
          <w:tcPr>
            <w:tcW w:w="611" w:type="pct"/>
            <w:shd w:val="clear" w:color="auto" w:fill="FFFFFF"/>
          </w:tcPr>
          <w:p w:rsidR="00DD7BA9" w:rsidRPr="00CC3F44" w:rsidRDefault="00DD7BA9" w:rsidP="00547ACE">
            <w:pPr>
              <w:jc w:val="center"/>
            </w:pPr>
            <w:r w:rsidRPr="00CC3F44">
              <w:rPr>
                <w:rFonts w:cs="Arial"/>
                <w:color w:val="FF0000"/>
                <w:sz w:val="22"/>
                <w:szCs w:val="22"/>
              </w:rPr>
              <w:sym w:font="Wingdings" w:char="F06C"/>
            </w:r>
          </w:p>
        </w:tc>
      </w:tr>
      <w:tr w:rsidR="00DD7BA9" w:rsidRPr="00AF5E7C" w:rsidTr="00547ACE">
        <w:trPr>
          <w:cantSplit/>
          <w:trHeight w:val="292"/>
        </w:trPr>
        <w:tc>
          <w:tcPr>
            <w:tcW w:w="1439" w:type="pct"/>
            <w:shd w:val="clear" w:color="auto" w:fill="auto"/>
            <w:tcMar>
              <w:top w:w="113" w:type="dxa"/>
              <w:bottom w:w="85" w:type="dxa"/>
            </w:tcMar>
          </w:tcPr>
          <w:p w:rsidR="00DD7BA9" w:rsidRPr="00AF5E7C" w:rsidRDefault="00DD7BA9" w:rsidP="00547ACE">
            <w:pPr>
              <w:rPr>
                <w:rFonts w:cs="Arial"/>
                <w:sz w:val="16"/>
                <w:szCs w:val="16"/>
              </w:rPr>
            </w:pPr>
          </w:p>
        </w:tc>
        <w:tc>
          <w:tcPr>
            <w:tcW w:w="2124" w:type="pct"/>
            <w:shd w:val="clear" w:color="auto" w:fill="auto"/>
            <w:tcMar>
              <w:top w:w="113" w:type="dxa"/>
              <w:bottom w:w="85" w:type="dxa"/>
            </w:tcMar>
          </w:tcPr>
          <w:p w:rsidR="00DD7BA9" w:rsidRDefault="00DD7BA9" w:rsidP="00547ACE">
            <w:pPr>
              <w:rPr>
                <w:rFonts w:cs="Arial"/>
                <w:sz w:val="16"/>
                <w:szCs w:val="16"/>
              </w:rPr>
            </w:pPr>
            <w:r>
              <w:rPr>
                <w:rFonts w:cs="Arial"/>
                <w:sz w:val="16"/>
                <w:szCs w:val="16"/>
              </w:rPr>
              <w:t>No. of visits of Global Challenges website</w:t>
            </w:r>
          </w:p>
        </w:tc>
        <w:tc>
          <w:tcPr>
            <w:tcW w:w="826" w:type="pct"/>
            <w:shd w:val="clear" w:color="auto" w:fill="FFFFFF"/>
            <w:tcMar>
              <w:top w:w="113" w:type="dxa"/>
              <w:bottom w:w="85" w:type="dxa"/>
            </w:tcMar>
          </w:tcPr>
          <w:p w:rsidR="00DD7BA9" w:rsidRDefault="00DD7BA9" w:rsidP="00547ACE">
            <w:pPr>
              <w:jc w:val="center"/>
              <w:rPr>
                <w:rFonts w:cs="Arial"/>
                <w:sz w:val="16"/>
                <w:szCs w:val="16"/>
                <w:lang w:bidi="th-TH"/>
              </w:rPr>
            </w:pPr>
            <w:r>
              <w:rPr>
                <w:rFonts w:cs="Arial"/>
                <w:sz w:val="16"/>
                <w:szCs w:val="16"/>
                <w:lang w:bidi="th-TH"/>
              </w:rPr>
              <w:t>Program 18</w:t>
            </w:r>
          </w:p>
        </w:tc>
        <w:tc>
          <w:tcPr>
            <w:tcW w:w="611" w:type="pct"/>
            <w:shd w:val="clear" w:color="auto" w:fill="FFFFFF"/>
          </w:tcPr>
          <w:p w:rsidR="00DD7BA9" w:rsidRPr="00CC3F44" w:rsidRDefault="00DD7BA9" w:rsidP="00547ACE">
            <w:pPr>
              <w:jc w:val="center"/>
              <w:rPr>
                <w:rFonts w:cs="Arial"/>
                <w:color w:val="A6A6A6" w:themeColor="background1" w:themeShade="A6"/>
                <w:sz w:val="22"/>
                <w:szCs w:val="22"/>
              </w:rPr>
            </w:pPr>
            <w:r w:rsidRPr="00CC3F44">
              <w:rPr>
                <w:rFonts w:cs="Arial"/>
                <w:color w:val="FF0000"/>
                <w:sz w:val="22"/>
                <w:szCs w:val="22"/>
              </w:rPr>
              <w:sym w:font="Wingdings" w:char="F06C"/>
            </w:r>
            <w:r w:rsidRPr="00CC3F44">
              <w:rPr>
                <w:rFonts w:cs="Arial"/>
                <w:color w:val="008000"/>
                <w:sz w:val="22"/>
                <w:szCs w:val="22"/>
              </w:rPr>
              <w:sym w:font="Wingdings" w:char="F06C"/>
            </w:r>
            <w:r w:rsidRPr="00CC3F44">
              <w:rPr>
                <w:rFonts w:cs="Arial"/>
                <w:color w:val="008000"/>
                <w:sz w:val="22"/>
                <w:szCs w:val="22"/>
              </w:rPr>
              <w:sym w:font="Wingdings" w:char="F06C"/>
            </w:r>
            <w:r w:rsidRPr="00CC3F44">
              <w:rPr>
                <w:rFonts w:cs="Arial"/>
                <w:color w:val="FF0000"/>
                <w:sz w:val="22"/>
                <w:szCs w:val="22"/>
              </w:rPr>
              <w:sym w:font="Wingdings" w:char="F06C"/>
            </w:r>
          </w:p>
        </w:tc>
      </w:tr>
      <w:tr w:rsidR="00DD7BA9" w:rsidRPr="00AF5E7C" w:rsidTr="00547ACE">
        <w:trPr>
          <w:cantSplit/>
          <w:trHeight w:val="344"/>
        </w:trPr>
        <w:tc>
          <w:tcPr>
            <w:tcW w:w="1439" w:type="pct"/>
            <w:shd w:val="clear" w:color="auto" w:fill="auto"/>
            <w:tcMar>
              <w:top w:w="113" w:type="dxa"/>
              <w:bottom w:w="85" w:type="dxa"/>
            </w:tcMar>
          </w:tcPr>
          <w:p w:rsidR="00DD7BA9" w:rsidRPr="00AF5E7C" w:rsidRDefault="00DD7BA9" w:rsidP="00547ACE">
            <w:pPr>
              <w:rPr>
                <w:rFonts w:cs="Arial"/>
                <w:sz w:val="16"/>
                <w:szCs w:val="16"/>
              </w:rPr>
            </w:pPr>
          </w:p>
        </w:tc>
        <w:tc>
          <w:tcPr>
            <w:tcW w:w="2124" w:type="pct"/>
            <w:shd w:val="clear" w:color="auto" w:fill="auto"/>
            <w:tcMar>
              <w:top w:w="113" w:type="dxa"/>
              <w:bottom w:w="85" w:type="dxa"/>
            </w:tcMar>
          </w:tcPr>
          <w:p w:rsidR="00DD7BA9" w:rsidRDefault="00DD7BA9" w:rsidP="00547ACE">
            <w:pPr>
              <w:rPr>
                <w:rFonts w:cs="Arial"/>
                <w:sz w:val="16"/>
                <w:szCs w:val="16"/>
              </w:rPr>
            </w:pPr>
            <w:r w:rsidRPr="00CB69C7">
              <w:rPr>
                <w:rFonts w:cs="Arial"/>
                <w:sz w:val="16"/>
                <w:szCs w:val="16"/>
              </w:rPr>
              <w:t>Participation of stakeholders in WIPO's platform such as WIPO GREEN and WIPO Re:Search</w:t>
            </w:r>
          </w:p>
        </w:tc>
        <w:tc>
          <w:tcPr>
            <w:tcW w:w="826" w:type="pct"/>
            <w:shd w:val="clear" w:color="auto" w:fill="FFFFFF"/>
            <w:tcMar>
              <w:top w:w="113" w:type="dxa"/>
              <w:bottom w:w="85" w:type="dxa"/>
            </w:tcMar>
          </w:tcPr>
          <w:p w:rsidR="00DD7BA9" w:rsidRDefault="00DD7BA9" w:rsidP="00547ACE">
            <w:pPr>
              <w:jc w:val="center"/>
              <w:rPr>
                <w:rFonts w:cs="Arial"/>
                <w:sz w:val="16"/>
                <w:szCs w:val="16"/>
                <w:lang w:bidi="th-TH"/>
              </w:rPr>
            </w:pPr>
            <w:r>
              <w:rPr>
                <w:rFonts w:cs="Arial"/>
                <w:sz w:val="16"/>
                <w:szCs w:val="16"/>
                <w:lang w:bidi="th-TH"/>
              </w:rPr>
              <w:t>Program 20</w:t>
            </w:r>
          </w:p>
        </w:tc>
        <w:tc>
          <w:tcPr>
            <w:tcW w:w="611" w:type="pct"/>
            <w:shd w:val="clear" w:color="auto" w:fill="FFFFFF"/>
          </w:tcPr>
          <w:p w:rsidR="00DD7BA9" w:rsidRPr="00CC3F44" w:rsidRDefault="00DD7BA9" w:rsidP="00547ACE">
            <w:pPr>
              <w:jc w:val="center"/>
              <w:rPr>
                <w:rFonts w:cs="Arial"/>
                <w:color w:val="008000"/>
                <w:sz w:val="22"/>
                <w:szCs w:val="22"/>
              </w:rPr>
            </w:pPr>
            <w:r w:rsidRPr="00CC3F44">
              <w:rPr>
                <w:rFonts w:cs="Arial"/>
                <w:color w:val="FF0000"/>
                <w:sz w:val="22"/>
                <w:szCs w:val="22"/>
              </w:rPr>
              <w:sym w:font="Wingdings" w:char="F06C"/>
            </w:r>
            <w:r w:rsidRPr="00CC3F44">
              <w:rPr>
                <w:rFonts w:cs="Arial"/>
                <w:color w:val="008000"/>
                <w:sz w:val="22"/>
                <w:szCs w:val="22"/>
              </w:rPr>
              <w:sym w:font="Wingdings" w:char="F06C"/>
            </w:r>
            <w:r w:rsidRPr="00CC3F44">
              <w:rPr>
                <w:rFonts w:cs="Arial"/>
                <w:color w:val="008000"/>
                <w:sz w:val="22"/>
                <w:szCs w:val="22"/>
              </w:rPr>
              <w:sym w:font="Wingdings" w:char="F06C"/>
            </w:r>
            <w:r w:rsidRPr="00CC3F44">
              <w:rPr>
                <w:rFonts w:cs="Arial"/>
                <w:color w:val="A6A6A6" w:themeColor="background1" w:themeShade="A6"/>
                <w:sz w:val="22"/>
                <w:szCs w:val="22"/>
              </w:rPr>
              <w:sym w:font="Wingdings" w:char="F06C"/>
            </w:r>
            <w:r w:rsidRPr="00CC3F44">
              <w:rPr>
                <w:rFonts w:cs="Arial"/>
                <w:color w:val="FF0000"/>
                <w:sz w:val="22"/>
                <w:szCs w:val="22"/>
              </w:rPr>
              <w:sym w:font="Wingdings" w:char="F06C"/>
            </w:r>
          </w:p>
        </w:tc>
      </w:tr>
      <w:tr w:rsidR="00DD7BA9" w:rsidRPr="00AF5E7C" w:rsidTr="00547ACE">
        <w:trPr>
          <w:cantSplit/>
          <w:trHeight w:val="400"/>
        </w:trPr>
        <w:tc>
          <w:tcPr>
            <w:tcW w:w="1439" w:type="pct"/>
            <w:vMerge w:val="restart"/>
            <w:shd w:val="clear" w:color="auto" w:fill="auto"/>
            <w:tcMar>
              <w:top w:w="113" w:type="dxa"/>
              <w:bottom w:w="85" w:type="dxa"/>
            </w:tcMar>
          </w:tcPr>
          <w:p w:rsidR="00DD7BA9" w:rsidRPr="00AF5E7C" w:rsidRDefault="00DD7BA9" w:rsidP="00547ACE">
            <w:pPr>
              <w:rPr>
                <w:rFonts w:cs="Arial"/>
                <w:sz w:val="16"/>
                <w:szCs w:val="16"/>
              </w:rPr>
            </w:pPr>
            <w:r w:rsidRPr="00300636">
              <w:rPr>
                <w:rFonts w:cs="Arial"/>
                <w:sz w:val="16"/>
                <w:szCs w:val="16"/>
              </w:rPr>
              <w:t>VII.</w:t>
            </w:r>
            <w:r>
              <w:rPr>
                <w:rFonts w:cs="Arial"/>
                <w:sz w:val="16"/>
                <w:szCs w:val="16"/>
              </w:rPr>
              <w:t>3</w:t>
            </w:r>
            <w:r w:rsidRPr="00783B9B">
              <w:rPr>
                <w:rFonts w:cs="Arial"/>
                <w:sz w:val="16"/>
                <w:szCs w:val="16"/>
              </w:rPr>
              <w:t xml:space="preserve"> </w:t>
            </w:r>
            <w:r>
              <w:rPr>
                <w:rFonts w:cs="Arial"/>
                <w:sz w:val="16"/>
                <w:szCs w:val="16"/>
              </w:rPr>
              <w:t xml:space="preserve"> </w:t>
            </w:r>
            <w:r w:rsidRPr="00783B9B">
              <w:rPr>
                <w:rFonts w:cs="Arial"/>
                <w:sz w:val="16"/>
                <w:szCs w:val="16"/>
              </w:rPr>
              <w:t>Growing credibility of WIPO as a forum for analysis of issues in the field of IP and competition policy</w:t>
            </w:r>
          </w:p>
        </w:tc>
        <w:tc>
          <w:tcPr>
            <w:tcW w:w="2124" w:type="pct"/>
            <w:shd w:val="clear" w:color="auto" w:fill="auto"/>
            <w:tcMar>
              <w:top w:w="113" w:type="dxa"/>
              <w:bottom w:w="85" w:type="dxa"/>
            </w:tcMar>
          </w:tcPr>
          <w:p w:rsidR="00DD7BA9" w:rsidRDefault="00DD7BA9" w:rsidP="00547ACE">
            <w:pPr>
              <w:rPr>
                <w:rFonts w:cs="Arial"/>
                <w:sz w:val="16"/>
                <w:szCs w:val="16"/>
              </w:rPr>
            </w:pPr>
            <w:r w:rsidRPr="001D0949">
              <w:rPr>
                <w:rFonts w:eastAsia="MS Mincho" w:cs="Courier New"/>
                <w:sz w:val="16"/>
                <w:szCs w:val="16"/>
                <w:lang w:eastAsia="zh-CN" w:bidi="th-TH"/>
              </w:rPr>
              <w:t>No</w:t>
            </w:r>
            <w:r>
              <w:rPr>
                <w:rFonts w:eastAsia="MS Mincho" w:cs="Courier New"/>
                <w:sz w:val="16"/>
                <w:szCs w:val="16"/>
                <w:lang w:eastAsia="zh-CN" w:bidi="th-TH"/>
              </w:rPr>
              <w:t>.</w:t>
            </w:r>
            <w:r w:rsidRPr="001D0949">
              <w:rPr>
                <w:rFonts w:eastAsia="MS Mincho" w:cs="Courier New"/>
                <w:sz w:val="16"/>
                <w:szCs w:val="16"/>
                <w:lang w:eastAsia="zh-CN" w:bidi="th-TH"/>
              </w:rPr>
              <w:t xml:space="preserve"> of countries requesting WIPO’s specific contribution on IP in relation to CP-related issues</w:t>
            </w:r>
          </w:p>
        </w:tc>
        <w:tc>
          <w:tcPr>
            <w:tcW w:w="826" w:type="pct"/>
            <w:shd w:val="clear" w:color="auto" w:fill="FFFFFF"/>
            <w:tcMar>
              <w:top w:w="113" w:type="dxa"/>
              <w:bottom w:w="85" w:type="dxa"/>
            </w:tcMar>
          </w:tcPr>
          <w:p w:rsidR="00DD7BA9" w:rsidRDefault="00DD7BA9" w:rsidP="00547ACE">
            <w:pPr>
              <w:jc w:val="center"/>
              <w:rPr>
                <w:rFonts w:cs="Arial"/>
                <w:sz w:val="16"/>
                <w:szCs w:val="16"/>
                <w:lang w:bidi="th-TH"/>
              </w:rPr>
            </w:pPr>
            <w:r>
              <w:rPr>
                <w:rFonts w:cs="Arial"/>
                <w:sz w:val="16"/>
                <w:szCs w:val="16"/>
                <w:lang w:bidi="th-TH"/>
              </w:rPr>
              <w:t>Program 18</w:t>
            </w:r>
          </w:p>
        </w:tc>
        <w:tc>
          <w:tcPr>
            <w:tcW w:w="611" w:type="pct"/>
            <w:shd w:val="clear" w:color="auto" w:fill="FFFFFF"/>
          </w:tcPr>
          <w:p w:rsidR="00DD7BA9" w:rsidRPr="00CC3F44" w:rsidRDefault="00DD7BA9" w:rsidP="00547ACE">
            <w:pPr>
              <w:jc w:val="center"/>
            </w:pPr>
            <w:r w:rsidRPr="00CC3F44">
              <w:rPr>
                <w:rFonts w:cs="Arial"/>
                <w:color w:val="008000"/>
                <w:sz w:val="22"/>
                <w:szCs w:val="22"/>
              </w:rPr>
              <w:sym w:font="Wingdings" w:char="F06C"/>
            </w:r>
          </w:p>
        </w:tc>
      </w:tr>
      <w:tr w:rsidR="00DD7BA9" w:rsidRPr="00AF5E7C" w:rsidTr="00547ACE">
        <w:trPr>
          <w:cantSplit/>
          <w:trHeight w:val="344"/>
        </w:trPr>
        <w:tc>
          <w:tcPr>
            <w:tcW w:w="1439" w:type="pct"/>
            <w:vMerge/>
            <w:shd w:val="clear" w:color="auto" w:fill="auto"/>
            <w:tcMar>
              <w:top w:w="113" w:type="dxa"/>
              <w:bottom w:w="85" w:type="dxa"/>
            </w:tcMar>
          </w:tcPr>
          <w:p w:rsidR="00DD7BA9" w:rsidRPr="00AF5E7C" w:rsidRDefault="00DD7BA9" w:rsidP="00547ACE">
            <w:pPr>
              <w:rPr>
                <w:rFonts w:cs="Arial"/>
                <w:sz w:val="16"/>
                <w:szCs w:val="16"/>
              </w:rPr>
            </w:pPr>
          </w:p>
        </w:tc>
        <w:tc>
          <w:tcPr>
            <w:tcW w:w="2124" w:type="pct"/>
            <w:shd w:val="clear" w:color="auto" w:fill="auto"/>
            <w:tcMar>
              <w:top w:w="113" w:type="dxa"/>
              <w:bottom w:w="85" w:type="dxa"/>
            </w:tcMar>
          </w:tcPr>
          <w:p w:rsidR="00DD7BA9" w:rsidRPr="001D0949" w:rsidRDefault="00DD7BA9" w:rsidP="00547ACE">
            <w:pPr>
              <w:rPr>
                <w:rFonts w:eastAsia="MS Mincho" w:cs="Courier New"/>
                <w:sz w:val="16"/>
                <w:szCs w:val="16"/>
                <w:lang w:eastAsia="zh-CN" w:bidi="th-TH"/>
              </w:rPr>
            </w:pPr>
            <w:r w:rsidRPr="00300636">
              <w:rPr>
                <w:rFonts w:cs="Arial"/>
                <w:sz w:val="16"/>
                <w:szCs w:val="16"/>
              </w:rPr>
              <w:t>N</w:t>
            </w:r>
            <w:r>
              <w:rPr>
                <w:rFonts w:cs="Arial"/>
                <w:sz w:val="16"/>
                <w:szCs w:val="16"/>
              </w:rPr>
              <w:t>o.</w:t>
            </w:r>
            <w:r w:rsidRPr="00300636">
              <w:rPr>
                <w:rFonts w:cs="Arial"/>
                <w:sz w:val="16"/>
                <w:szCs w:val="16"/>
              </w:rPr>
              <w:t xml:space="preserve"> and diversity of stakeholders (IP offices, competition authorities, relevant IGOs and NGOs) engaged in dialogue with WIPO</w:t>
            </w:r>
          </w:p>
        </w:tc>
        <w:tc>
          <w:tcPr>
            <w:tcW w:w="826" w:type="pct"/>
            <w:shd w:val="clear" w:color="auto" w:fill="FFFFFF"/>
            <w:tcMar>
              <w:top w:w="113" w:type="dxa"/>
              <w:bottom w:w="85" w:type="dxa"/>
            </w:tcMar>
          </w:tcPr>
          <w:p w:rsidR="00DD7BA9" w:rsidRDefault="00DD7BA9" w:rsidP="00547ACE">
            <w:pPr>
              <w:jc w:val="center"/>
              <w:rPr>
                <w:rFonts w:cs="Arial"/>
                <w:sz w:val="16"/>
                <w:szCs w:val="16"/>
                <w:lang w:bidi="th-TH"/>
              </w:rPr>
            </w:pPr>
            <w:r>
              <w:rPr>
                <w:rFonts w:cs="Arial"/>
                <w:sz w:val="16"/>
                <w:szCs w:val="16"/>
                <w:lang w:bidi="th-TH"/>
              </w:rPr>
              <w:t>Program 18</w:t>
            </w:r>
          </w:p>
        </w:tc>
        <w:tc>
          <w:tcPr>
            <w:tcW w:w="611" w:type="pct"/>
            <w:shd w:val="clear" w:color="auto" w:fill="FFFFFF"/>
          </w:tcPr>
          <w:p w:rsidR="00DD7BA9" w:rsidRPr="00CC3F44" w:rsidRDefault="00DD7BA9" w:rsidP="00547ACE">
            <w:pPr>
              <w:jc w:val="center"/>
              <w:rPr>
                <w:rFonts w:cs="Arial"/>
                <w:color w:val="A6A6A6" w:themeColor="background1" w:themeShade="A6"/>
                <w:sz w:val="22"/>
                <w:szCs w:val="22"/>
              </w:rPr>
            </w:pPr>
            <w:r w:rsidRPr="00CC3F44">
              <w:rPr>
                <w:rFonts w:cs="Arial"/>
                <w:color w:val="008000"/>
                <w:sz w:val="22"/>
                <w:szCs w:val="22"/>
              </w:rPr>
              <w:sym w:font="Wingdings" w:char="F06C"/>
            </w:r>
          </w:p>
        </w:tc>
      </w:tr>
    </w:tbl>
    <w:p w:rsidR="00DD7BA9" w:rsidRDefault="00DD7BA9" w:rsidP="00DD7BA9">
      <w:pPr>
        <w:rPr>
          <w:rFonts w:cs="Arial"/>
          <w:b/>
          <w:bCs/>
          <w:iCs/>
          <w:caps/>
          <w:szCs w:val="20"/>
          <w:lang w:val="en-GB" w:eastAsia="da-DK"/>
        </w:rPr>
      </w:pPr>
    </w:p>
    <w:p w:rsidR="00DD7BA9" w:rsidRDefault="00DD7BA9" w:rsidP="00DD7BA9">
      <w:pPr>
        <w:rPr>
          <w:rFonts w:cs="Arial"/>
          <w:b/>
          <w:bCs/>
          <w:iCs/>
          <w:caps/>
          <w:szCs w:val="20"/>
          <w:lang w:val="en-GB" w:eastAsia="da-DK"/>
        </w:rPr>
      </w:pPr>
      <w:r>
        <w:rPr>
          <w:rFonts w:cs="Arial"/>
          <w:b/>
          <w:bCs/>
          <w:iCs/>
          <w:caps/>
          <w:szCs w:val="20"/>
          <w:lang w:val="en-GB" w:eastAsia="da-DK"/>
        </w:rPr>
        <w:br w:type="page"/>
      </w:r>
    </w:p>
    <w:p w:rsidR="005C6F8E" w:rsidRPr="00E2456D" w:rsidRDefault="005C6F8E" w:rsidP="00271CFB">
      <w:pPr>
        <w:pStyle w:val="Heading2"/>
        <w:tabs>
          <w:tab w:val="clear" w:pos="567"/>
          <w:tab w:val="left" w:pos="1985"/>
          <w:tab w:val="left" w:pos="2268"/>
        </w:tabs>
        <w:rPr>
          <w:szCs w:val="20"/>
        </w:rPr>
      </w:pPr>
      <w:bookmarkStart w:id="97" w:name="_Toc454544490"/>
      <w:r w:rsidRPr="00E2456D">
        <w:rPr>
          <w:szCs w:val="20"/>
        </w:rPr>
        <w:lastRenderedPageBreak/>
        <w:t>PROGRAM 18</w:t>
      </w:r>
      <w:r w:rsidRPr="00E2456D">
        <w:rPr>
          <w:szCs w:val="20"/>
        </w:rPr>
        <w:tab/>
      </w:r>
      <w:r w:rsidRPr="00E2456D">
        <w:rPr>
          <w:szCs w:val="20"/>
        </w:rPr>
        <w:tab/>
        <w:t>IP AND GLOBAL CHALLENGES</w:t>
      </w:r>
      <w:bookmarkEnd w:id="97"/>
    </w:p>
    <w:p w:rsidR="005C6F8E" w:rsidRPr="001F6CEB" w:rsidRDefault="005C6F8E" w:rsidP="000E148D">
      <w:pPr>
        <w:rPr>
          <w:szCs w:val="20"/>
        </w:rPr>
      </w:pPr>
    </w:p>
    <w:p w:rsidR="005C6F8E" w:rsidRPr="001F6CEB" w:rsidRDefault="005C6F8E" w:rsidP="00271CFB">
      <w:pPr>
        <w:tabs>
          <w:tab w:val="left" w:pos="1985"/>
        </w:tabs>
        <w:rPr>
          <w:b/>
          <w:szCs w:val="20"/>
        </w:rPr>
      </w:pPr>
      <w:r w:rsidRPr="001F6CEB">
        <w:rPr>
          <w:b/>
          <w:szCs w:val="20"/>
        </w:rPr>
        <w:t>Program Manager</w:t>
      </w:r>
      <w:r w:rsidRPr="001F6CEB">
        <w:rPr>
          <w:b/>
          <w:szCs w:val="20"/>
        </w:rPr>
        <w:tab/>
        <w:t>Mr. M</w:t>
      </w:r>
      <w:r>
        <w:rPr>
          <w:b/>
          <w:szCs w:val="20"/>
        </w:rPr>
        <w:t>. A.</w:t>
      </w:r>
      <w:r w:rsidRPr="001F6CEB">
        <w:rPr>
          <w:b/>
          <w:szCs w:val="20"/>
        </w:rPr>
        <w:t xml:space="preserve"> Getahun</w:t>
      </w:r>
    </w:p>
    <w:p w:rsidR="005C6F8E" w:rsidRPr="001F6CEB" w:rsidRDefault="005C6F8E" w:rsidP="000E148D">
      <w:pPr>
        <w:rPr>
          <w:szCs w:val="20"/>
        </w:rPr>
      </w:pPr>
    </w:p>
    <w:p w:rsidR="005C6F8E" w:rsidRPr="001F6CEB" w:rsidRDefault="005C6F8E" w:rsidP="000E148D">
      <w:pPr>
        <w:rPr>
          <w:szCs w:val="20"/>
        </w:rPr>
      </w:pPr>
    </w:p>
    <w:p w:rsidR="00976A6B" w:rsidRPr="00787DDC" w:rsidRDefault="00976A6B" w:rsidP="007854A1">
      <w:pPr>
        <w:rPr>
          <w:bCs/>
          <w:szCs w:val="22"/>
        </w:rPr>
      </w:pPr>
      <w:r w:rsidRPr="00787DDC">
        <w:rPr>
          <w:bCs/>
          <w:szCs w:val="22"/>
        </w:rPr>
        <w:t>ACHIEVEMENTS IN THE 2014/15 BIENNIUM</w:t>
      </w:r>
    </w:p>
    <w:p w:rsidR="00976A6B" w:rsidRPr="00F94413" w:rsidRDefault="00976A6B" w:rsidP="007854A1">
      <w:pPr>
        <w:tabs>
          <w:tab w:val="left" w:pos="709"/>
        </w:tabs>
        <w:jc w:val="both"/>
        <w:rPr>
          <w:bCs/>
          <w:sz w:val="22"/>
          <w:szCs w:val="22"/>
        </w:rPr>
      </w:pPr>
    </w:p>
    <w:p w:rsidR="00976A6B" w:rsidRPr="005D5F9D" w:rsidRDefault="00976A6B" w:rsidP="00976A6B">
      <w:pPr>
        <w:pStyle w:val="Default"/>
        <w:numPr>
          <w:ilvl w:val="0"/>
          <w:numId w:val="68"/>
        </w:numPr>
        <w:tabs>
          <w:tab w:val="left" w:pos="709"/>
        </w:tabs>
        <w:ind w:left="0" w:firstLine="0"/>
        <w:jc w:val="both"/>
        <w:rPr>
          <w:bCs/>
          <w:color w:val="000000" w:themeColor="text1"/>
          <w:sz w:val="20"/>
          <w:szCs w:val="20"/>
        </w:rPr>
      </w:pPr>
      <w:r w:rsidRPr="00D77A1E">
        <w:rPr>
          <w:bCs/>
          <w:color w:val="000000" w:themeColor="text1"/>
          <w:sz w:val="20"/>
          <w:szCs w:val="20"/>
        </w:rPr>
        <w:t>Program 18 addresses innovation and IP at the intersection of global and interconnected issues, in particular global health, climate change and food security.  In 2014/15, the Program  continued to contribute to an enhanced understanding among policy makers on the</w:t>
      </w:r>
      <w:r w:rsidRPr="005D5F9D">
        <w:rPr>
          <w:bCs/>
          <w:color w:val="000000" w:themeColor="text1"/>
          <w:sz w:val="20"/>
          <w:szCs w:val="20"/>
        </w:rPr>
        <w:t xml:space="preserve"> interface between global challenges, innovation and IP, including through two multi-stakeholder platforms (WIPO Re:Search and WIPO GREEN, respectively), and the ongoing collaboration with WHO and WTO addressing the intersection of health, IP, innovation and trade.  </w:t>
      </w:r>
      <w:r w:rsidRPr="005D5F9D">
        <w:rPr>
          <w:color w:val="000000" w:themeColor="text1"/>
          <w:sz w:val="20"/>
          <w:szCs w:val="20"/>
        </w:rPr>
        <w:t>During the biennium, the Program continued to receive positive feedback from a wide range of stakeholders for WIPO’s work on IP and Global Challenges.</w:t>
      </w:r>
    </w:p>
    <w:p w:rsidR="00976A6B" w:rsidRPr="005D5F9D" w:rsidRDefault="00976A6B" w:rsidP="007854A1">
      <w:pPr>
        <w:pStyle w:val="Default"/>
        <w:tabs>
          <w:tab w:val="left" w:pos="709"/>
        </w:tabs>
        <w:jc w:val="both"/>
        <w:rPr>
          <w:bCs/>
          <w:color w:val="000000" w:themeColor="text1"/>
          <w:sz w:val="20"/>
          <w:szCs w:val="20"/>
        </w:rPr>
      </w:pPr>
    </w:p>
    <w:p w:rsidR="00976A6B" w:rsidRPr="00D77A1E" w:rsidRDefault="00976A6B" w:rsidP="00976A6B">
      <w:pPr>
        <w:pStyle w:val="Default"/>
        <w:numPr>
          <w:ilvl w:val="0"/>
          <w:numId w:val="68"/>
        </w:numPr>
        <w:tabs>
          <w:tab w:val="left" w:pos="709"/>
        </w:tabs>
        <w:ind w:left="0" w:firstLine="0"/>
        <w:jc w:val="both"/>
        <w:rPr>
          <w:bCs/>
          <w:color w:val="000000" w:themeColor="text1"/>
          <w:sz w:val="20"/>
          <w:szCs w:val="20"/>
        </w:rPr>
      </w:pPr>
      <w:r w:rsidRPr="005D5F9D">
        <w:rPr>
          <w:bCs/>
          <w:color w:val="000000" w:themeColor="text1"/>
          <w:sz w:val="20"/>
          <w:szCs w:val="20"/>
        </w:rPr>
        <w:t xml:space="preserve">Working closely with relevant Programs within WIPO, </w:t>
      </w:r>
      <w:r w:rsidRPr="005D5F9D">
        <w:rPr>
          <w:color w:val="000000" w:themeColor="text1"/>
          <w:sz w:val="20"/>
          <w:szCs w:val="20"/>
        </w:rPr>
        <w:t xml:space="preserve">most notably Programs 20 (External Relations, Partnerships and External Offices) and 30 (SMEs and Innovation), </w:t>
      </w:r>
      <w:r w:rsidRPr="005D5F9D">
        <w:rPr>
          <w:bCs/>
          <w:color w:val="000000" w:themeColor="text1"/>
          <w:sz w:val="20"/>
          <w:szCs w:val="20"/>
        </w:rPr>
        <w:t xml:space="preserve">WIPO consolidated its position as a credible source of support, collaboration and </w:t>
      </w:r>
      <w:r w:rsidRPr="005D5F9D">
        <w:rPr>
          <w:color w:val="000000" w:themeColor="text1"/>
          <w:sz w:val="20"/>
          <w:szCs w:val="20"/>
        </w:rPr>
        <w:t xml:space="preserve"> reference for information on issues related to public policy and IP, resulting in continued </w:t>
      </w:r>
      <w:r w:rsidRPr="005D5F9D">
        <w:rPr>
          <w:bCs/>
          <w:color w:val="000000" w:themeColor="text1"/>
          <w:sz w:val="20"/>
          <w:szCs w:val="20"/>
        </w:rPr>
        <w:t>requests for WIPO to contribute to and participate in fora by other international and non</w:t>
      </w:r>
      <w:r w:rsidRPr="005D5F9D">
        <w:rPr>
          <w:bCs/>
          <w:color w:val="000000" w:themeColor="text1"/>
          <w:sz w:val="20"/>
          <w:szCs w:val="20"/>
        </w:rPr>
        <w:noBreakHyphen/>
        <w:t>governmental organizations</w:t>
      </w:r>
      <w:r w:rsidRPr="005D5F9D">
        <w:rPr>
          <w:color w:val="000000" w:themeColor="text1"/>
          <w:sz w:val="20"/>
          <w:szCs w:val="20"/>
        </w:rPr>
        <w:t xml:space="preserve">, including WHO, WTO, NGOs, </w:t>
      </w:r>
      <w:r w:rsidRPr="005D5F9D">
        <w:rPr>
          <w:bCs/>
          <w:color w:val="000000" w:themeColor="text1"/>
          <w:sz w:val="20"/>
          <w:szCs w:val="20"/>
        </w:rPr>
        <w:t xml:space="preserve">the private sector and universities.  In 2014/15, three </w:t>
      </w:r>
      <w:r w:rsidRPr="00D77A1E">
        <w:rPr>
          <w:bCs/>
          <w:color w:val="000000" w:themeColor="text1"/>
          <w:sz w:val="20"/>
          <w:szCs w:val="20"/>
        </w:rPr>
        <w:t>WIPO Global Challenges Seminars were organized  provid</w:t>
      </w:r>
      <w:r>
        <w:rPr>
          <w:bCs/>
          <w:color w:val="000000" w:themeColor="text1"/>
          <w:sz w:val="20"/>
          <w:szCs w:val="20"/>
        </w:rPr>
        <w:t>ing</w:t>
      </w:r>
      <w:r w:rsidRPr="00D77A1E">
        <w:rPr>
          <w:bCs/>
          <w:color w:val="000000" w:themeColor="text1"/>
          <w:sz w:val="20"/>
          <w:szCs w:val="20"/>
        </w:rPr>
        <w:t xml:space="preserve"> fora </w:t>
      </w:r>
      <w:r w:rsidRPr="005D5F9D">
        <w:rPr>
          <w:color w:val="000000" w:themeColor="text1"/>
          <w:sz w:val="20"/>
          <w:szCs w:val="20"/>
        </w:rPr>
        <w:t>for participants to share ideas, expertise and information</w:t>
      </w:r>
      <w:r w:rsidRPr="005D5F9D">
        <w:rPr>
          <w:bCs/>
          <w:color w:val="000000" w:themeColor="text1"/>
          <w:sz w:val="20"/>
          <w:szCs w:val="20"/>
        </w:rPr>
        <w:t>:  (i) Patent Landscape for Renewable Energy (June</w:t>
      </w:r>
      <w:r w:rsidR="00F33ED1">
        <w:rPr>
          <w:bCs/>
          <w:color w:val="000000" w:themeColor="text1"/>
          <w:sz w:val="20"/>
          <w:szCs w:val="20"/>
        </w:rPr>
        <w:t> </w:t>
      </w:r>
      <w:r w:rsidRPr="005D5F9D">
        <w:rPr>
          <w:bCs/>
          <w:color w:val="000000" w:themeColor="text1"/>
          <w:sz w:val="20"/>
          <w:szCs w:val="20"/>
        </w:rPr>
        <w:t>2014);  (ii)</w:t>
      </w:r>
      <w:r w:rsidRPr="005D5F9D">
        <w:rPr>
          <w:color w:val="000000" w:themeColor="text1"/>
          <w:sz w:val="20"/>
          <w:szCs w:val="20"/>
        </w:rPr>
        <w:t xml:space="preserve"> </w:t>
      </w:r>
      <w:r w:rsidRPr="00F45E92">
        <w:rPr>
          <w:sz w:val="20"/>
          <w:szCs w:val="20"/>
          <w:lang w:val="en"/>
        </w:rPr>
        <w:t xml:space="preserve">Innovation and Access to Medicines: </w:t>
      </w:r>
      <w:r w:rsidR="00F33ED1">
        <w:rPr>
          <w:sz w:val="20"/>
          <w:szCs w:val="20"/>
          <w:lang w:val="en"/>
        </w:rPr>
        <w:t xml:space="preserve"> </w:t>
      </w:r>
      <w:r w:rsidRPr="00F45E92">
        <w:rPr>
          <w:sz w:val="20"/>
          <w:szCs w:val="20"/>
          <w:lang w:val="en"/>
        </w:rPr>
        <w:t>A Case Study for HIV/AIDS and Hepatitis C</w:t>
      </w:r>
      <w:r w:rsidRPr="00D77A1E">
        <w:rPr>
          <w:rStyle w:val="Hyperlink"/>
          <w:color w:val="auto"/>
          <w:sz w:val="20"/>
          <w:szCs w:val="20"/>
          <w:lang w:val="en"/>
        </w:rPr>
        <w:t xml:space="preserve"> </w:t>
      </w:r>
      <w:r w:rsidRPr="00550437">
        <w:rPr>
          <w:rStyle w:val="Hyperlink"/>
          <w:color w:val="auto"/>
          <w:sz w:val="20"/>
          <w:szCs w:val="20"/>
          <w:u w:val="none"/>
          <w:lang w:val="en"/>
        </w:rPr>
        <w:t xml:space="preserve">(December 2014);  and (iii) </w:t>
      </w:r>
      <w:r w:rsidRPr="00D77A1E">
        <w:rPr>
          <w:bCs/>
          <w:kern w:val="36"/>
          <w:sz w:val="20"/>
          <w:szCs w:val="20"/>
        </w:rPr>
        <w:t xml:space="preserve">Advancing a New Generation of Products to Combat Neglected Tropical Diseases </w:t>
      </w:r>
      <w:r w:rsidRPr="0001351B">
        <w:rPr>
          <w:bCs/>
          <w:kern w:val="36"/>
          <w:sz w:val="20"/>
          <w:szCs w:val="20"/>
        </w:rPr>
        <w:t>(</w:t>
      </w:r>
      <w:r w:rsidRPr="00550437">
        <w:rPr>
          <w:rStyle w:val="Hyperlink"/>
          <w:color w:val="auto"/>
          <w:sz w:val="20"/>
          <w:szCs w:val="20"/>
          <w:u w:val="none"/>
          <w:lang w:val="en"/>
        </w:rPr>
        <w:t>October 2015).  In addition,</w:t>
      </w:r>
      <w:r w:rsidRPr="00550437">
        <w:rPr>
          <w:rStyle w:val="Hyperlink"/>
          <w:sz w:val="20"/>
          <w:szCs w:val="20"/>
          <w:u w:val="none"/>
          <w:lang w:val="en"/>
        </w:rPr>
        <w:t xml:space="preserve"> </w:t>
      </w:r>
      <w:r w:rsidRPr="00C54351">
        <w:rPr>
          <w:color w:val="000000" w:themeColor="text1"/>
          <w:sz w:val="20"/>
          <w:szCs w:val="20"/>
        </w:rPr>
        <w:t xml:space="preserve">four </w:t>
      </w:r>
      <w:r w:rsidRPr="00D77A1E">
        <w:rPr>
          <w:color w:val="000000" w:themeColor="text1"/>
          <w:sz w:val="20"/>
          <w:szCs w:val="20"/>
        </w:rPr>
        <w:t>Global Challenges Briefs</w:t>
      </w:r>
      <w:r>
        <w:rPr>
          <w:rStyle w:val="FootnoteReference"/>
          <w:color w:val="000000" w:themeColor="text1"/>
          <w:sz w:val="20"/>
          <w:szCs w:val="20"/>
        </w:rPr>
        <w:footnoteReference w:id="101"/>
      </w:r>
      <w:r w:rsidRPr="005D5F9D">
        <w:rPr>
          <w:color w:val="000000" w:themeColor="text1"/>
          <w:sz w:val="20"/>
          <w:szCs w:val="20"/>
        </w:rPr>
        <w:t xml:space="preserve">  </w:t>
      </w:r>
      <w:r>
        <w:rPr>
          <w:color w:val="000000" w:themeColor="text1"/>
          <w:sz w:val="20"/>
          <w:szCs w:val="20"/>
        </w:rPr>
        <w:t>and three</w:t>
      </w:r>
      <w:r w:rsidRPr="00D77A1E">
        <w:rPr>
          <w:color w:val="000000" w:themeColor="text1"/>
          <w:sz w:val="20"/>
          <w:szCs w:val="20"/>
        </w:rPr>
        <w:t xml:space="preserve"> Global Challenges Reports</w:t>
      </w:r>
      <w:r>
        <w:rPr>
          <w:rStyle w:val="FootnoteReference"/>
          <w:color w:val="000000" w:themeColor="text1"/>
          <w:sz w:val="20"/>
          <w:szCs w:val="20"/>
        </w:rPr>
        <w:footnoteReference w:id="102"/>
      </w:r>
      <w:r>
        <w:rPr>
          <w:color w:val="000000" w:themeColor="text1"/>
          <w:sz w:val="20"/>
          <w:szCs w:val="20"/>
        </w:rPr>
        <w:t xml:space="preserve"> w</w:t>
      </w:r>
      <w:r>
        <w:rPr>
          <w:sz w:val="20"/>
          <w:szCs w:val="20"/>
        </w:rPr>
        <w:t>ere published.</w:t>
      </w:r>
      <w:r w:rsidRPr="00D77A1E">
        <w:rPr>
          <w:color w:val="000000" w:themeColor="text1"/>
          <w:sz w:val="20"/>
          <w:szCs w:val="20"/>
        </w:rPr>
        <w:t xml:space="preserve">  </w:t>
      </w:r>
      <w:r w:rsidRPr="00D77A1E">
        <w:rPr>
          <w:sz w:val="20"/>
          <w:szCs w:val="20"/>
          <w:lang w:val="en"/>
        </w:rPr>
        <w:t xml:space="preserve">As part of the work of WIPO Re:Search to strengthen capacities in developing countries, </w:t>
      </w:r>
      <w:r>
        <w:rPr>
          <w:sz w:val="20"/>
          <w:szCs w:val="20"/>
          <w:lang w:val="en"/>
        </w:rPr>
        <w:t>two</w:t>
      </w:r>
      <w:r w:rsidRPr="00D77A1E">
        <w:rPr>
          <w:sz w:val="20"/>
          <w:szCs w:val="20"/>
          <w:lang w:val="en"/>
        </w:rPr>
        <w:t xml:space="preserve"> IP management training seminars were organized, together with Program 9 (Regional Bureaus) and Program 30 </w:t>
      </w:r>
      <w:r w:rsidRPr="00D77A1E">
        <w:rPr>
          <w:color w:val="000000" w:themeColor="text1"/>
          <w:sz w:val="20"/>
          <w:szCs w:val="20"/>
        </w:rPr>
        <w:t>(SMEs and Innovation)</w:t>
      </w:r>
      <w:r w:rsidRPr="00D77A1E">
        <w:rPr>
          <w:sz w:val="20"/>
          <w:szCs w:val="20"/>
          <w:lang w:val="en"/>
        </w:rPr>
        <w:t xml:space="preserve">, for the benefit of developing country scientists who are Members of the platform. </w:t>
      </w:r>
    </w:p>
    <w:p w:rsidR="00976A6B" w:rsidRPr="00D77A1E" w:rsidRDefault="00976A6B" w:rsidP="007854A1">
      <w:pPr>
        <w:pStyle w:val="Default"/>
        <w:tabs>
          <w:tab w:val="left" w:pos="709"/>
        </w:tabs>
        <w:jc w:val="both"/>
        <w:rPr>
          <w:bCs/>
          <w:color w:val="auto"/>
          <w:sz w:val="20"/>
          <w:szCs w:val="20"/>
        </w:rPr>
      </w:pPr>
    </w:p>
    <w:p w:rsidR="00976A6B" w:rsidRPr="00506398" w:rsidRDefault="00976A6B" w:rsidP="00976A6B">
      <w:pPr>
        <w:pStyle w:val="Default"/>
        <w:numPr>
          <w:ilvl w:val="0"/>
          <w:numId w:val="68"/>
        </w:numPr>
        <w:tabs>
          <w:tab w:val="left" w:pos="709"/>
        </w:tabs>
        <w:ind w:left="0" w:firstLine="0"/>
        <w:jc w:val="both"/>
        <w:rPr>
          <w:bCs/>
          <w:color w:val="000000" w:themeColor="text1"/>
          <w:sz w:val="20"/>
          <w:szCs w:val="20"/>
        </w:rPr>
      </w:pPr>
      <w:r w:rsidRPr="00D77A1E">
        <w:rPr>
          <w:bCs/>
          <w:color w:val="auto"/>
          <w:sz w:val="20"/>
          <w:szCs w:val="20"/>
        </w:rPr>
        <w:t>Following its launch in November 2013, the year 2014 marked the first full year of WIPO GREEN operations.  Through a targeted awareness campaign, the profile of WIPO GREEN</w:t>
      </w:r>
      <w:r>
        <w:rPr>
          <w:bCs/>
          <w:color w:val="auto"/>
          <w:sz w:val="20"/>
          <w:szCs w:val="20"/>
        </w:rPr>
        <w:t xml:space="preserve"> </w:t>
      </w:r>
      <w:r w:rsidRPr="00D77A1E">
        <w:rPr>
          <w:bCs/>
          <w:color w:val="auto"/>
          <w:sz w:val="20"/>
          <w:szCs w:val="20"/>
        </w:rPr>
        <w:t>-</w:t>
      </w:r>
      <w:r w:rsidRPr="00D77A1E">
        <w:rPr>
          <w:bCs/>
          <w:i/>
          <w:color w:val="auto"/>
          <w:sz w:val="20"/>
          <w:szCs w:val="20"/>
        </w:rPr>
        <w:t>The Marketplace for Sustainable Technology</w:t>
      </w:r>
      <w:r w:rsidRPr="00D77A1E">
        <w:rPr>
          <w:bCs/>
          <w:color w:val="auto"/>
          <w:sz w:val="20"/>
          <w:szCs w:val="20"/>
        </w:rPr>
        <w:t xml:space="preserve">, was raised significantly in 2014/15.  The network of partners grew from 36 in 2013 to 54 in 2014 to 65 in 2015, and the number of registered users tripled from 160 in 2013 to 490 by the end of 2015.  </w:t>
      </w:r>
      <w:r w:rsidRPr="00D77A1E">
        <w:rPr>
          <w:rFonts w:eastAsia="Times New Roman"/>
          <w:bCs/>
          <w:color w:val="auto"/>
          <w:sz w:val="20"/>
          <w:szCs w:val="20"/>
        </w:rPr>
        <w:t xml:space="preserve">The WIPO GREEN database also more than doubled its content, from 830 entries in 2013 to 2,181 </w:t>
      </w:r>
      <w:r w:rsidRPr="005D5F9D">
        <w:rPr>
          <w:rFonts w:eastAsia="Times New Roman"/>
          <w:bCs/>
          <w:color w:val="auto"/>
          <w:sz w:val="20"/>
          <w:szCs w:val="20"/>
        </w:rPr>
        <w:t xml:space="preserve">in 2015, as a result of database integration agreements and individual uploads.  </w:t>
      </w:r>
    </w:p>
    <w:p w:rsidR="00976A6B" w:rsidRDefault="00976A6B" w:rsidP="007854A1">
      <w:pPr>
        <w:pStyle w:val="Default"/>
        <w:tabs>
          <w:tab w:val="left" w:pos="709"/>
        </w:tabs>
        <w:jc w:val="both"/>
        <w:rPr>
          <w:rFonts w:eastAsia="Times New Roman"/>
          <w:bCs/>
          <w:color w:val="auto"/>
          <w:sz w:val="20"/>
          <w:szCs w:val="20"/>
        </w:rPr>
      </w:pPr>
    </w:p>
    <w:p w:rsidR="00976A6B" w:rsidRDefault="00976A6B" w:rsidP="007854A1">
      <w:pPr>
        <w:jc w:val="center"/>
        <w:rPr>
          <w:rFonts w:cs="Arial"/>
          <w:i/>
          <w:sz w:val="16"/>
          <w:szCs w:val="16"/>
        </w:rPr>
      </w:pPr>
      <w:r>
        <w:rPr>
          <w:rFonts w:cs="Arial"/>
          <w:i/>
          <w:sz w:val="16"/>
          <w:szCs w:val="16"/>
        </w:rPr>
        <w:t>WIPO GREEN: No. of Partners, Registered Users and Uploads 2013-2015</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96"/>
        <w:gridCol w:w="4775"/>
      </w:tblGrid>
      <w:tr w:rsidR="00976A6B" w:rsidTr="007854A1">
        <w:trPr>
          <w:jc w:val="center"/>
        </w:trPr>
        <w:tc>
          <w:tcPr>
            <w:tcW w:w="4606" w:type="dxa"/>
          </w:tcPr>
          <w:p w:rsidR="00976A6B" w:rsidRDefault="00976A6B" w:rsidP="007854A1">
            <w:pPr>
              <w:pStyle w:val="Default"/>
              <w:tabs>
                <w:tab w:val="left" w:pos="709"/>
              </w:tabs>
              <w:jc w:val="center"/>
              <w:rPr>
                <w:rFonts w:eastAsia="Times New Roman"/>
                <w:bCs/>
                <w:color w:val="auto"/>
                <w:sz w:val="20"/>
                <w:szCs w:val="20"/>
              </w:rPr>
            </w:pPr>
            <w:r>
              <w:rPr>
                <w:rFonts w:eastAsia="Times New Roman"/>
                <w:bCs/>
                <w:noProof/>
                <w:color w:val="auto"/>
                <w:sz w:val="20"/>
                <w:szCs w:val="20"/>
                <w:lang w:eastAsia="en-US"/>
              </w:rPr>
              <w:drawing>
                <wp:inline distT="0" distB="0" distL="0" distR="0" wp14:anchorId="4ADA27AF" wp14:editId="2E3143A9">
                  <wp:extent cx="2933072" cy="1762963"/>
                  <wp:effectExtent l="0" t="0" r="635" b="8890"/>
                  <wp:docPr id="146"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G Parts.png"/>
                          <pic:cNvPicPr/>
                        </pic:nvPicPr>
                        <pic:blipFill>
                          <a:blip r:embed="rId162" cstate="print">
                            <a:extLst>
                              <a:ext uri="{28A0092B-C50C-407E-A947-70E740481C1C}">
                                <a14:useLocalDpi xmlns:a14="http://schemas.microsoft.com/office/drawing/2010/main" val="0"/>
                              </a:ext>
                            </a:extLst>
                          </a:blip>
                          <a:stretch>
                            <a:fillRect/>
                          </a:stretch>
                        </pic:blipFill>
                        <pic:spPr>
                          <a:xfrm>
                            <a:off x="0" y="0"/>
                            <a:ext cx="2933072" cy="1762963"/>
                          </a:xfrm>
                          <a:prstGeom prst="rect">
                            <a:avLst/>
                          </a:prstGeom>
                        </pic:spPr>
                      </pic:pic>
                    </a:graphicData>
                  </a:graphic>
                </wp:inline>
              </w:drawing>
            </w:r>
          </w:p>
        </w:tc>
        <w:tc>
          <w:tcPr>
            <w:tcW w:w="4637" w:type="dxa"/>
          </w:tcPr>
          <w:p w:rsidR="00976A6B" w:rsidRDefault="00976A6B" w:rsidP="007854A1">
            <w:pPr>
              <w:pStyle w:val="Default"/>
              <w:tabs>
                <w:tab w:val="left" w:pos="709"/>
              </w:tabs>
              <w:jc w:val="both"/>
              <w:rPr>
                <w:rFonts w:eastAsia="Times New Roman"/>
                <w:bCs/>
                <w:color w:val="auto"/>
                <w:sz w:val="20"/>
                <w:szCs w:val="20"/>
              </w:rPr>
            </w:pPr>
            <w:r>
              <w:rPr>
                <w:rFonts w:eastAsia="Times New Roman"/>
                <w:bCs/>
                <w:noProof/>
                <w:color w:val="auto"/>
                <w:sz w:val="20"/>
                <w:szCs w:val="20"/>
                <w:lang w:eastAsia="en-US"/>
              </w:rPr>
              <w:drawing>
                <wp:inline distT="0" distB="0" distL="0" distR="0" wp14:anchorId="32FD7121" wp14:editId="3FE9C472">
                  <wp:extent cx="2920901" cy="1755648"/>
                  <wp:effectExtent l="0" t="0" r="0" b="0"/>
                  <wp:docPr id="147" name="Pictur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G Uploads.png"/>
                          <pic:cNvPicPr/>
                        </pic:nvPicPr>
                        <pic:blipFill>
                          <a:blip r:embed="rId163" cstate="print">
                            <a:extLst>
                              <a:ext uri="{28A0092B-C50C-407E-A947-70E740481C1C}">
                                <a14:useLocalDpi xmlns:a14="http://schemas.microsoft.com/office/drawing/2010/main" val="0"/>
                              </a:ext>
                            </a:extLst>
                          </a:blip>
                          <a:stretch>
                            <a:fillRect/>
                          </a:stretch>
                        </pic:blipFill>
                        <pic:spPr>
                          <a:xfrm>
                            <a:off x="0" y="0"/>
                            <a:ext cx="2920422" cy="1755360"/>
                          </a:xfrm>
                          <a:prstGeom prst="rect">
                            <a:avLst/>
                          </a:prstGeom>
                          <a:ln>
                            <a:noFill/>
                          </a:ln>
                        </pic:spPr>
                      </pic:pic>
                    </a:graphicData>
                  </a:graphic>
                </wp:inline>
              </w:drawing>
            </w:r>
          </w:p>
          <w:p w:rsidR="00976A6B" w:rsidRDefault="00976A6B" w:rsidP="007854A1">
            <w:pPr>
              <w:pStyle w:val="Default"/>
              <w:tabs>
                <w:tab w:val="left" w:pos="709"/>
              </w:tabs>
              <w:jc w:val="both"/>
              <w:rPr>
                <w:rFonts w:eastAsia="Times New Roman"/>
                <w:bCs/>
                <w:color w:val="auto"/>
                <w:sz w:val="20"/>
                <w:szCs w:val="20"/>
              </w:rPr>
            </w:pPr>
          </w:p>
        </w:tc>
      </w:tr>
    </w:tbl>
    <w:p w:rsidR="00976A6B" w:rsidRPr="00506398" w:rsidRDefault="00976A6B" w:rsidP="00976A6B">
      <w:pPr>
        <w:pStyle w:val="Default"/>
        <w:numPr>
          <w:ilvl w:val="0"/>
          <w:numId w:val="68"/>
        </w:numPr>
        <w:tabs>
          <w:tab w:val="left" w:pos="709"/>
        </w:tabs>
        <w:ind w:left="0" w:firstLine="0"/>
        <w:jc w:val="both"/>
        <w:rPr>
          <w:bCs/>
          <w:color w:val="auto"/>
          <w:sz w:val="20"/>
          <w:szCs w:val="20"/>
        </w:rPr>
      </w:pPr>
      <w:r w:rsidRPr="00506398">
        <w:rPr>
          <w:bCs/>
          <w:color w:val="auto"/>
          <w:sz w:val="20"/>
          <w:szCs w:val="20"/>
        </w:rPr>
        <w:t xml:space="preserve">With the focus in 2014/15 remaining on building a robust set of partners and increasing the number of entries to promote increased levels of marketplace interaction and transactional usage, </w:t>
      </w:r>
      <w:r>
        <w:rPr>
          <w:rFonts w:cstheme="minorBidi"/>
          <w:sz w:val="20"/>
        </w:rPr>
        <w:t xml:space="preserve">no records of catalyzed transactions </w:t>
      </w:r>
      <w:r w:rsidRPr="00506398">
        <w:rPr>
          <w:bCs/>
          <w:color w:val="auto"/>
          <w:sz w:val="20"/>
          <w:szCs w:val="20"/>
        </w:rPr>
        <w:t>that could be directly attributed to the use of WIPO GREEN</w:t>
      </w:r>
      <w:r>
        <w:rPr>
          <w:bCs/>
          <w:color w:val="auto"/>
          <w:sz w:val="20"/>
          <w:szCs w:val="20"/>
        </w:rPr>
        <w:t xml:space="preserve"> </w:t>
      </w:r>
      <w:r>
        <w:rPr>
          <w:rFonts w:cstheme="minorBidi"/>
          <w:sz w:val="20"/>
        </w:rPr>
        <w:t>are available at this stage</w:t>
      </w:r>
      <w:r w:rsidRPr="00506398">
        <w:rPr>
          <w:bCs/>
          <w:color w:val="auto"/>
          <w:sz w:val="20"/>
          <w:szCs w:val="20"/>
        </w:rPr>
        <w:t xml:space="preserve">.  Moreover, the fact that WIPO GREEN does not currently have a “partnership hub” </w:t>
      </w:r>
      <w:r w:rsidRPr="00506398">
        <w:rPr>
          <w:bCs/>
          <w:color w:val="auto"/>
          <w:sz w:val="20"/>
          <w:szCs w:val="20"/>
        </w:rPr>
        <w:lastRenderedPageBreak/>
        <w:t>or service provider, coupled with the lengthy timeframe needed for deals to be concluded, also contribute</w:t>
      </w:r>
      <w:r>
        <w:rPr>
          <w:bCs/>
          <w:color w:val="auto"/>
          <w:sz w:val="20"/>
          <w:szCs w:val="20"/>
        </w:rPr>
        <w:t>d</w:t>
      </w:r>
      <w:r w:rsidRPr="00506398">
        <w:rPr>
          <w:bCs/>
          <w:color w:val="auto"/>
          <w:sz w:val="20"/>
          <w:szCs w:val="20"/>
        </w:rPr>
        <w:t xml:space="preserve"> to the lack of catalyzed transactions.  In 2015, work focused on helping seekers in refining needs and facilitating connections.  More detailed guidelines for seekers were therefore introduced in 2015, resulting in an improvement in the quality of needs description.  The first matchmaking event organized by WIPO GREEN in 2015 Facilitating the Transfer and Diffusion of Clean Technology: Opportunities from a Pilot Project on Wastewater Treatment in South East Asia in Manila, Philippines resulted in 16 letters of intent signed by the parties. </w:t>
      </w:r>
    </w:p>
    <w:p w:rsidR="00976A6B" w:rsidRPr="005D5F9D" w:rsidRDefault="00976A6B" w:rsidP="007854A1">
      <w:pPr>
        <w:pStyle w:val="Default"/>
        <w:tabs>
          <w:tab w:val="left" w:pos="709"/>
        </w:tabs>
        <w:jc w:val="both"/>
        <w:rPr>
          <w:bCs/>
          <w:color w:val="auto"/>
          <w:sz w:val="20"/>
          <w:szCs w:val="20"/>
        </w:rPr>
      </w:pPr>
    </w:p>
    <w:p w:rsidR="00976A6B" w:rsidRPr="00D77A1E" w:rsidRDefault="00976A6B" w:rsidP="00976A6B">
      <w:pPr>
        <w:pStyle w:val="Default"/>
        <w:numPr>
          <w:ilvl w:val="0"/>
          <w:numId w:val="68"/>
        </w:numPr>
        <w:tabs>
          <w:tab w:val="left" w:pos="709"/>
        </w:tabs>
        <w:ind w:left="0" w:firstLine="0"/>
        <w:jc w:val="both"/>
        <w:rPr>
          <w:bCs/>
          <w:color w:val="000000" w:themeColor="text1"/>
          <w:sz w:val="20"/>
          <w:szCs w:val="20"/>
        </w:rPr>
      </w:pPr>
      <w:r w:rsidRPr="005D5F9D">
        <w:rPr>
          <w:bCs/>
          <w:color w:val="auto"/>
          <w:sz w:val="20"/>
          <w:szCs w:val="20"/>
        </w:rPr>
        <w:t>WIPO Re:Search</w:t>
      </w:r>
      <w:r>
        <w:rPr>
          <w:bCs/>
          <w:color w:val="auto"/>
          <w:sz w:val="20"/>
          <w:szCs w:val="20"/>
        </w:rPr>
        <w:t xml:space="preserve"> </w:t>
      </w:r>
      <w:r w:rsidRPr="005D5F9D">
        <w:rPr>
          <w:bCs/>
          <w:color w:val="auto"/>
          <w:sz w:val="20"/>
          <w:szCs w:val="20"/>
        </w:rPr>
        <w:t>–</w:t>
      </w:r>
      <w:r>
        <w:rPr>
          <w:bCs/>
          <w:color w:val="auto"/>
          <w:sz w:val="20"/>
          <w:szCs w:val="20"/>
        </w:rPr>
        <w:t xml:space="preserve"> </w:t>
      </w:r>
      <w:r w:rsidRPr="005D5F9D">
        <w:rPr>
          <w:bCs/>
          <w:i/>
          <w:color w:val="auto"/>
          <w:sz w:val="20"/>
          <w:szCs w:val="20"/>
        </w:rPr>
        <w:t>Sharing Innovation in the Fight Against Neglected Tropical Diseases</w:t>
      </w:r>
      <w:r w:rsidRPr="005D5F9D">
        <w:rPr>
          <w:bCs/>
          <w:color w:val="auto"/>
          <w:sz w:val="20"/>
          <w:szCs w:val="20"/>
        </w:rPr>
        <w:t xml:space="preserve"> (NTDs)</w:t>
      </w:r>
      <w:r>
        <w:rPr>
          <w:bCs/>
          <w:color w:val="auto"/>
          <w:sz w:val="20"/>
          <w:szCs w:val="20"/>
        </w:rPr>
        <w:t> </w:t>
      </w:r>
      <w:r w:rsidRPr="005D5F9D">
        <w:rPr>
          <w:bCs/>
          <w:color w:val="auto"/>
          <w:sz w:val="20"/>
          <w:szCs w:val="20"/>
        </w:rPr>
        <w:t>–</w:t>
      </w:r>
      <w:r>
        <w:rPr>
          <w:bCs/>
          <w:color w:val="auto"/>
          <w:sz w:val="20"/>
          <w:szCs w:val="20"/>
        </w:rPr>
        <w:t xml:space="preserve"> </w:t>
      </w:r>
      <w:r w:rsidRPr="005D5F9D">
        <w:rPr>
          <w:bCs/>
          <w:color w:val="auto"/>
          <w:sz w:val="20"/>
          <w:szCs w:val="20"/>
        </w:rPr>
        <w:t>gained in recognition as a platform to support innovation, knowledge and technology transfer and capacity building related to research for NTDs, tuberculosis and malaria.  The biennium saw 52</w:t>
      </w:r>
      <w:r>
        <w:rPr>
          <w:bCs/>
          <w:color w:val="auto"/>
          <w:sz w:val="20"/>
          <w:szCs w:val="20"/>
        </w:rPr>
        <w:t> </w:t>
      </w:r>
      <w:r w:rsidRPr="005D5F9D">
        <w:rPr>
          <w:bCs/>
          <w:color w:val="auto"/>
          <w:sz w:val="20"/>
          <w:szCs w:val="20"/>
        </w:rPr>
        <w:t xml:space="preserve">additional collaborations between </w:t>
      </w:r>
      <w:r>
        <w:rPr>
          <w:bCs/>
          <w:color w:val="auto"/>
          <w:sz w:val="20"/>
          <w:szCs w:val="20"/>
        </w:rPr>
        <w:t xml:space="preserve">WIPO Re:Search Members </w:t>
      </w:r>
      <w:r w:rsidRPr="005D5F9D">
        <w:rPr>
          <w:bCs/>
          <w:color w:val="auto"/>
          <w:sz w:val="20"/>
          <w:szCs w:val="20"/>
        </w:rPr>
        <w:t xml:space="preserve">and 20 new Members, </w:t>
      </w:r>
      <w:r>
        <w:rPr>
          <w:bCs/>
          <w:color w:val="auto"/>
          <w:sz w:val="20"/>
          <w:szCs w:val="20"/>
        </w:rPr>
        <w:t>six</w:t>
      </w:r>
      <w:r w:rsidRPr="005D5F9D">
        <w:rPr>
          <w:bCs/>
          <w:color w:val="auto"/>
          <w:sz w:val="20"/>
          <w:szCs w:val="20"/>
        </w:rPr>
        <w:t xml:space="preserve"> of which from developing countries, bringing the totals to 96 collaborations and 100 Members, 22 of which from developing countries.  In addition, the platform</w:t>
      </w:r>
      <w:r w:rsidRPr="00D77A1E">
        <w:rPr>
          <w:color w:val="000000" w:themeColor="text1"/>
          <w:sz w:val="20"/>
          <w:szCs w:val="20"/>
        </w:rPr>
        <w:t>’s potential for technology transfer from developed to developing countries of IP assets, including know-how and expertise, was further demonstrated by the continued facilitati</w:t>
      </w:r>
      <w:r w:rsidRPr="005D5F9D">
        <w:rPr>
          <w:color w:val="000000" w:themeColor="text1"/>
          <w:sz w:val="20"/>
          <w:szCs w:val="20"/>
        </w:rPr>
        <w:t>on of research sabbaticals for six African scientists in overseas research institutions.  The sabbaticals, which began in the last biennium, were made possible by a Fund-in-Trust from the Government of Australia.  At the end of the biennium, four</w:t>
      </w:r>
      <w:r w:rsidRPr="00D77A1E">
        <w:rPr>
          <w:color w:val="000000" w:themeColor="text1"/>
          <w:sz w:val="20"/>
          <w:szCs w:val="20"/>
        </w:rPr>
        <w:t xml:space="preserve"> of the sabbaticals were concluded.</w:t>
      </w:r>
    </w:p>
    <w:p w:rsidR="00976A6B" w:rsidRPr="00D77A1E" w:rsidRDefault="00976A6B" w:rsidP="007854A1">
      <w:pPr>
        <w:pStyle w:val="Default"/>
        <w:tabs>
          <w:tab w:val="left" w:pos="709"/>
        </w:tabs>
        <w:jc w:val="both"/>
        <w:rPr>
          <w:bCs/>
          <w:color w:val="auto"/>
          <w:sz w:val="20"/>
          <w:szCs w:val="20"/>
        </w:rPr>
      </w:pPr>
    </w:p>
    <w:p w:rsidR="00976A6B" w:rsidRPr="00D77A1E" w:rsidRDefault="00976A6B" w:rsidP="00976A6B">
      <w:pPr>
        <w:pStyle w:val="Default"/>
        <w:numPr>
          <w:ilvl w:val="0"/>
          <w:numId w:val="68"/>
        </w:numPr>
        <w:tabs>
          <w:tab w:val="left" w:pos="709"/>
        </w:tabs>
        <w:ind w:left="0" w:firstLine="0"/>
        <w:jc w:val="both"/>
        <w:rPr>
          <w:bCs/>
          <w:color w:val="000000" w:themeColor="text1"/>
          <w:sz w:val="20"/>
          <w:szCs w:val="20"/>
        </w:rPr>
      </w:pPr>
      <w:r w:rsidRPr="005D5F9D">
        <w:rPr>
          <w:sz w:val="20"/>
          <w:szCs w:val="20"/>
        </w:rPr>
        <w:t>The trilateral cooperation with WHO and WTO continued to focus on enhanced understanding among policymakers for the interplay between health, IP and trade.  In November 2014 and October 2015, the fourth and fifth Trilateral Symposia took place in Geneva, exploring the challenges and opportunities in the health innovation area of middle-income countries, and the public policies necessary to ensure that rapid economic growth contributes to access and universal health coverage.  In October 2015, a technical workshop on patentability criteria was jointly organized under the trilateral cooperation and was generally well received</w:t>
      </w:r>
      <w:r>
        <w:rPr>
          <w:sz w:val="20"/>
          <w:szCs w:val="20"/>
        </w:rPr>
        <w:t xml:space="preserve"> by the participants</w:t>
      </w:r>
      <w:r w:rsidRPr="005D5F9D">
        <w:rPr>
          <w:sz w:val="20"/>
          <w:szCs w:val="20"/>
        </w:rPr>
        <w:t>.</w:t>
      </w:r>
    </w:p>
    <w:p w:rsidR="00976A6B" w:rsidRPr="005D5F9D" w:rsidRDefault="00976A6B" w:rsidP="007854A1">
      <w:pPr>
        <w:pStyle w:val="Default"/>
        <w:tabs>
          <w:tab w:val="left" w:pos="709"/>
        </w:tabs>
        <w:jc w:val="both"/>
        <w:rPr>
          <w:bCs/>
          <w:sz w:val="20"/>
          <w:szCs w:val="20"/>
        </w:rPr>
      </w:pPr>
    </w:p>
    <w:p w:rsidR="00976A6B" w:rsidRPr="00A46A4E" w:rsidRDefault="00976A6B" w:rsidP="00976A6B">
      <w:pPr>
        <w:pStyle w:val="ListParagraph"/>
        <w:numPr>
          <w:ilvl w:val="0"/>
          <w:numId w:val="68"/>
        </w:numPr>
        <w:tabs>
          <w:tab w:val="left" w:pos="709"/>
        </w:tabs>
        <w:ind w:left="0" w:firstLine="0"/>
        <w:jc w:val="both"/>
        <w:rPr>
          <w:bCs/>
        </w:rPr>
      </w:pPr>
      <w:r w:rsidRPr="00D77A1E">
        <w:rPr>
          <w:bCs/>
        </w:rPr>
        <w:t xml:space="preserve">The area of IP and competition policy experienced sustained interest from Member States to engage in a dialogue for enhancing their understanding of the interface between IP and competition policy.  Requests involved both IP Offices and Competition Authorities, </w:t>
      </w:r>
      <w:r w:rsidRPr="00A46A4E">
        <w:rPr>
          <w:bCs/>
        </w:rPr>
        <w:t xml:space="preserve">including from </w:t>
      </w:r>
      <w:r>
        <w:rPr>
          <w:bCs/>
        </w:rPr>
        <w:t>countries</w:t>
      </w:r>
      <w:r w:rsidRPr="00A46A4E">
        <w:rPr>
          <w:bCs/>
        </w:rPr>
        <w:t xml:space="preserve"> that are less familiar with competition-related issues in the field of IP.</w:t>
      </w:r>
    </w:p>
    <w:p w:rsidR="00976A6B" w:rsidRDefault="00976A6B" w:rsidP="007854A1">
      <w:pPr>
        <w:pStyle w:val="ListParagraph"/>
        <w:tabs>
          <w:tab w:val="left" w:pos="709"/>
        </w:tabs>
        <w:ind w:left="0"/>
        <w:jc w:val="both"/>
        <w:rPr>
          <w:bCs/>
        </w:rPr>
      </w:pPr>
    </w:p>
    <w:p w:rsidR="00976A6B" w:rsidRDefault="00976A6B" w:rsidP="00E37059">
      <w:pPr>
        <w:pStyle w:val="ListParagraph"/>
        <w:numPr>
          <w:ilvl w:val="0"/>
          <w:numId w:val="68"/>
        </w:numPr>
        <w:tabs>
          <w:tab w:val="left" w:pos="709"/>
        </w:tabs>
        <w:ind w:left="0" w:firstLine="0"/>
        <w:jc w:val="both"/>
        <w:rPr>
          <w:bCs/>
        </w:rPr>
      </w:pPr>
      <w:r>
        <w:rPr>
          <w:bCs/>
        </w:rPr>
        <w:t>T</w:t>
      </w:r>
      <w:r w:rsidRPr="005D5F9D">
        <w:rPr>
          <w:bCs/>
        </w:rPr>
        <w:t>he number of stakeholders engaged in dialogue with WIPO reached 39 Competition Authorities and the structured, informal cooperation with other relevant Organizations in the field, most notably OECD, UNCTAD, the WTO, International Competition Network (ICN), and the Common market for Eastern and Southern Africa (COMESA) that was established in the previous biennium was further strengthened.  WIPO jointly organized and/or participated in nine workshops.  These joint efforts of both IP Offices and Competition Authorities provided an effective forum for dialogue and debate as regards the interface between IP and competition policy.</w:t>
      </w:r>
      <w:r w:rsidRPr="005D5F9D" w:rsidDel="00957954">
        <w:rPr>
          <w:bCs/>
        </w:rPr>
        <w:t xml:space="preserve"> </w:t>
      </w:r>
    </w:p>
    <w:p w:rsidR="005B41BE" w:rsidRPr="005D5F9D" w:rsidRDefault="005B41BE" w:rsidP="00E37059">
      <w:pPr>
        <w:pStyle w:val="ListParagraph"/>
        <w:tabs>
          <w:tab w:val="left" w:pos="709"/>
        </w:tabs>
        <w:ind w:left="0"/>
        <w:jc w:val="both"/>
        <w:rPr>
          <w:bCs/>
        </w:rPr>
      </w:pPr>
    </w:p>
    <w:p w:rsidR="00976A6B" w:rsidRPr="00E923EC" w:rsidRDefault="00976A6B" w:rsidP="00976A6B">
      <w:pPr>
        <w:pStyle w:val="ListParagraph"/>
        <w:numPr>
          <w:ilvl w:val="0"/>
          <w:numId w:val="68"/>
        </w:numPr>
        <w:tabs>
          <w:tab w:val="left" w:pos="709"/>
        </w:tabs>
        <w:ind w:left="0" w:firstLine="0"/>
        <w:jc w:val="both"/>
      </w:pPr>
      <w:r w:rsidRPr="00D77A1E">
        <w:rPr>
          <w:rFonts w:cs="Arial"/>
          <w:bCs/>
          <w:color w:val="000000"/>
        </w:rPr>
        <w:t>The design, planning and implementation of activities undertaken by Program 18 were guided by the relevant DA Recommendations, in particular</w:t>
      </w:r>
      <w:r w:rsidRPr="00D77A1E">
        <w:t xml:space="preserve"> </w:t>
      </w:r>
      <w:r w:rsidRPr="00D77A1E">
        <w:rPr>
          <w:rFonts w:cs="Arial"/>
          <w:bCs/>
          <w:color w:val="000000"/>
        </w:rPr>
        <w:t>DA Re</w:t>
      </w:r>
      <w:r w:rsidRPr="005D5F9D">
        <w:rPr>
          <w:rFonts w:cs="Arial"/>
          <w:bCs/>
          <w:color w:val="000000"/>
        </w:rPr>
        <w:t>commendations 19, 25, 30, 40, and 42.</w:t>
      </w:r>
    </w:p>
    <w:p w:rsidR="00976A6B" w:rsidRPr="00E37059" w:rsidRDefault="00976A6B" w:rsidP="007854A1">
      <w:pPr>
        <w:rPr>
          <w:rFonts w:cs="Arial"/>
          <w:szCs w:val="22"/>
        </w:rPr>
      </w:pPr>
    </w:p>
    <w:p w:rsidR="005B41BE" w:rsidRPr="00E37059" w:rsidRDefault="005B41BE" w:rsidP="007854A1">
      <w:pPr>
        <w:rPr>
          <w:rFonts w:cs="Arial"/>
          <w:szCs w:val="22"/>
        </w:rPr>
      </w:pPr>
    </w:p>
    <w:p w:rsidR="00976A6B" w:rsidRPr="00787DDC" w:rsidRDefault="00976A6B" w:rsidP="007854A1">
      <w:pPr>
        <w:rPr>
          <w:rFonts w:cs="Arial"/>
          <w:sz w:val="18"/>
        </w:rPr>
      </w:pPr>
      <w:r w:rsidRPr="00787DDC">
        <w:rPr>
          <w:rFonts w:cs="Arial"/>
          <w:szCs w:val="22"/>
        </w:rPr>
        <w:t>PERFORMANCE DATA</w:t>
      </w:r>
    </w:p>
    <w:p w:rsidR="00976A6B" w:rsidRDefault="00976A6B" w:rsidP="007854A1">
      <w:pPr>
        <w:rPr>
          <w:bCs/>
          <w:sz w:val="22"/>
          <w:szCs w:val="22"/>
        </w:rPr>
      </w:pPr>
    </w:p>
    <w:tbl>
      <w:tblPr>
        <w:tblW w:w="4888"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072"/>
        <w:gridCol w:w="43"/>
        <w:gridCol w:w="13"/>
        <w:gridCol w:w="2377"/>
        <w:gridCol w:w="32"/>
        <w:gridCol w:w="142"/>
        <w:gridCol w:w="1136"/>
        <w:gridCol w:w="249"/>
        <w:gridCol w:w="54"/>
        <w:gridCol w:w="2105"/>
        <w:gridCol w:w="1134"/>
      </w:tblGrid>
      <w:tr w:rsidR="00976A6B" w:rsidRPr="00A1131D" w:rsidTr="00E37059">
        <w:trPr>
          <w:cantSplit/>
          <w:trHeight w:val="479"/>
        </w:trPr>
        <w:tc>
          <w:tcPr>
            <w:tcW w:w="5000" w:type="pct"/>
            <w:gridSpan w:val="11"/>
            <w:tcBorders>
              <w:top w:val="single" w:sz="4" w:space="0" w:color="auto"/>
              <w:bottom w:val="single" w:sz="4" w:space="0" w:color="auto"/>
            </w:tcBorders>
            <w:shd w:val="clear" w:color="auto" w:fill="C6D9F1" w:themeFill="text2" w:themeFillTint="33"/>
            <w:vAlign w:val="center"/>
          </w:tcPr>
          <w:p w:rsidR="00976A6B" w:rsidRPr="00A1131D" w:rsidRDefault="00976A6B" w:rsidP="007854A1">
            <w:pPr>
              <w:keepNext/>
              <w:keepLines/>
              <w:tabs>
                <w:tab w:val="left" w:pos="1452"/>
              </w:tabs>
              <w:ind w:left="1452" w:hanging="1452"/>
              <w:rPr>
                <w:rFonts w:cs="Arial"/>
                <w:b/>
                <w:bCs/>
                <w:sz w:val="16"/>
                <w:szCs w:val="16"/>
              </w:rPr>
            </w:pPr>
            <w:r w:rsidRPr="00A1131D">
              <w:rPr>
                <w:rFonts w:cs="Arial"/>
                <w:b/>
                <w:bCs/>
                <w:sz w:val="16"/>
                <w:szCs w:val="16"/>
              </w:rPr>
              <w:t>Expected Result:</w:t>
            </w:r>
            <w:r w:rsidRPr="00A1131D">
              <w:rPr>
                <w:rFonts w:cs="Arial"/>
                <w:b/>
                <w:bCs/>
                <w:sz w:val="16"/>
                <w:szCs w:val="16"/>
              </w:rPr>
              <w:tab/>
            </w:r>
            <w:r w:rsidRPr="00A1131D">
              <w:rPr>
                <w:rFonts w:cs="Arial"/>
                <w:sz w:val="16"/>
                <w:szCs w:val="16"/>
              </w:rPr>
              <w:t>III.2 Enhanced human resource capacities able to deal with the broad range of requirements for the effective use of IP for development in developing countries, LDCs and countries with economies in transition</w:t>
            </w:r>
          </w:p>
        </w:tc>
      </w:tr>
      <w:tr w:rsidR="00976A6B" w:rsidRPr="00A1131D" w:rsidTr="00E37059">
        <w:trPr>
          <w:cantSplit/>
        </w:trPr>
        <w:tc>
          <w:tcPr>
            <w:tcW w:w="1107" w:type="pct"/>
            <w:tcBorders>
              <w:top w:val="single" w:sz="4" w:space="0" w:color="auto"/>
            </w:tcBorders>
            <w:shd w:val="clear" w:color="auto" w:fill="auto"/>
            <w:vAlign w:val="center"/>
          </w:tcPr>
          <w:p w:rsidR="00976A6B" w:rsidRPr="00A1131D" w:rsidRDefault="00976A6B" w:rsidP="007854A1">
            <w:pPr>
              <w:rPr>
                <w:rFonts w:cs="Arial"/>
                <w:sz w:val="16"/>
                <w:szCs w:val="16"/>
              </w:rPr>
            </w:pPr>
            <w:r w:rsidRPr="00A1131D">
              <w:rPr>
                <w:rFonts w:cs="Arial"/>
                <w:b/>
                <w:bCs/>
                <w:sz w:val="16"/>
                <w:szCs w:val="16"/>
              </w:rPr>
              <w:t>Performance Indicators</w:t>
            </w:r>
          </w:p>
        </w:tc>
        <w:tc>
          <w:tcPr>
            <w:tcW w:w="1300" w:type="pct"/>
            <w:gridSpan w:val="3"/>
            <w:tcBorders>
              <w:top w:val="single" w:sz="4" w:space="0" w:color="auto"/>
            </w:tcBorders>
            <w:shd w:val="clear" w:color="auto" w:fill="auto"/>
            <w:vAlign w:val="center"/>
          </w:tcPr>
          <w:p w:rsidR="00976A6B" w:rsidRPr="00A1131D" w:rsidRDefault="00976A6B" w:rsidP="007854A1">
            <w:pPr>
              <w:rPr>
                <w:rFonts w:cs="Arial"/>
                <w:b/>
                <w:bCs/>
                <w:sz w:val="16"/>
                <w:szCs w:val="16"/>
              </w:rPr>
            </w:pPr>
            <w:r w:rsidRPr="00A1131D">
              <w:rPr>
                <w:rFonts w:cs="Arial"/>
                <w:b/>
                <w:bCs/>
                <w:sz w:val="16"/>
                <w:szCs w:val="16"/>
              </w:rPr>
              <w:t>Baselines</w:t>
            </w:r>
          </w:p>
        </w:tc>
        <w:tc>
          <w:tcPr>
            <w:tcW w:w="700" w:type="pct"/>
            <w:gridSpan w:val="3"/>
            <w:tcBorders>
              <w:top w:val="single" w:sz="4" w:space="0" w:color="auto"/>
            </w:tcBorders>
            <w:shd w:val="clear" w:color="auto" w:fill="auto"/>
            <w:tcMar>
              <w:top w:w="110" w:type="dxa"/>
            </w:tcMar>
            <w:vAlign w:val="center"/>
          </w:tcPr>
          <w:p w:rsidR="00976A6B" w:rsidRPr="00A1131D" w:rsidRDefault="00976A6B" w:rsidP="007854A1">
            <w:pPr>
              <w:rPr>
                <w:rFonts w:cs="Arial"/>
                <w:b/>
                <w:sz w:val="16"/>
                <w:szCs w:val="16"/>
              </w:rPr>
            </w:pPr>
            <w:r w:rsidRPr="00A1131D">
              <w:rPr>
                <w:rFonts w:cs="Arial"/>
                <w:b/>
                <w:sz w:val="16"/>
                <w:szCs w:val="16"/>
              </w:rPr>
              <w:t>Targets</w:t>
            </w:r>
          </w:p>
        </w:tc>
        <w:tc>
          <w:tcPr>
            <w:tcW w:w="1287" w:type="pct"/>
            <w:gridSpan w:val="3"/>
            <w:tcBorders>
              <w:top w:val="single" w:sz="4" w:space="0" w:color="auto"/>
            </w:tcBorders>
            <w:shd w:val="clear" w:color="auto" w:fill="FFFFFF"/>
            <w:tcMar>
              <w:top w:w="110" w:type="dxa"/>
            </w:tcMar>
            <w:vAlign w:val="center"/>
          </w:tcPr>
          <w:p w:rsidR="00976A6B" w:rsidRPr="00A1131D" w:rsidRDefault="00976A6B" w:rsidP="007854A1">
            <w:pPr>
              <w:rPr>
                <w:rFonts w:cs="Arial"/>
                <w:sz w:val="16"/>
                <w:szCs w:val="16"/>
              </w:rPr>
            </w:pPr>
            <w:r w:rsidRPr="00A1131D">
              <w:rPr>
                <w:rFonts w:cs="Arial"/>
                <w:b/>
                <w:bCs/>
                <w:sz w:val="16"/>
                <w:szCs w:val="16"/>
              </w:rPr>
              <w:t>Performance Data</w:t>
            </w:r>
          </w:p>
        </w:tc>
        <w:tc>
          <w:tcPr>
            <w:tcW w:w="606" w:type="pct"/>
            <w:tcBorders>
              <w:top w:val="single" w:sz="4" w:space="0" w:color="auto"/>
            </w:tcBorders>
            <w:shd w:val="clear" w:color="auto" w:fill="auto"/>
            <w:tcMar>
              <w:top w:w="110" w:type="dxa"/>
            </w:tcMar>
            <w:vAlign w:val="center"/>
          </w:tcPr>
          <w:p w:rsidR="00976A6B" w:rsidRPr="00A1131D" w:rsidRDefault="00976A6B" w:rsidP="007854A1">
            <w:pPr>
              <w:keepNext/>
              <w:keepLines/>
              <w:jc w:val="center"/>
              <w:rPr>
                <w:rFonts w:cs="Arial"/>
                <w:b/>
                <w:bCs/>
                <w:sz w:val="16"/>
                <w:szCs w:val="16"/>
              </w:rPr>
            </w:pPr>
            <w:r w:rsidRPr="00A1131D">
              <w:rPr>
                <w:rFonts w:cs="Arial"/>
                <w:b/>
                <w:bCs/>
                <w:sz w:val="16"/>
                <w:szCs w:val="16"/>
              </w:rPr>
              <w:t>TLS</w:t>
            </w:r>
          </w:p>
        </w:tc>
      </w:tr>
      <w:tr w:rsidR="00976A6B" w:rsidRPr="00A1131D" w:rsidTr="00E37059">
        <w:trPr>
          <w:cantSplit/>
        </w:trPr>
        <w:tc>
          <w:tcPr>
            <w:tcW w:w="1107" w:type="pct"/>
            <w:shd w:val="clear" w:color="auto" w:fill="auto"/>
          </w:tcPr>
          <w:p w:rsidR="00976A6B" w:rsidRDefault="00976A6B" w:rsidP="007854A1">
            <w:pPr>
              <w:rPr>
                <w:rFonts w:cs="Arial"/>
                <w:sz w:val="16"/>
                <w:szCs w:val="16"/>
              </w:rPr>
            </w:pPr>
            <w:r w:rsidRPr="00492FEC">
              <w:rPr>
                <w:rFonts w:cs="Arial"/>
                <w:sz w:val="16"/>
                <w:szCs w:val="16"/>
              </w:rPr>
              <w:t>No. of hosting arrangements of developing country scientists</w:t>
            </w:r>
          </w:p>
          <w:p w:rsidR="00976A6B" w:rsidRPr="00A1131D" w:rsidRDefault="00976A6B" w:rsidP="007854A1">
            <w:pPr>
              <w:rPr>
                <w:rFonts w:cs="Arial"/>
                <w:sz w:val="16"/>
                <w:szCs w:val="16"/>
              </w:rPr>
            </w:pPr>
          </w:p>
        </w:tc>
        <w:tc>
          <w:tcPr>
            <w:tcW w:w="1300" w:type="pct"/>
            <w:gridSpan w:val="3"/>
            <w:shd w:val="clear" w:color="auto" w:fill="auto"/>
          </w:tcPr>
          <w:p w:rsidR="00976A6B" w:rsidRDefault="00976A6B" w:rsidP="007854A1">
            <w:r w:rsidRPr="00A1131D">
              <w:rPr>
                <w:rFonts w:cs="Arial"/>
                <w:i/>
                <w:sz w:val="16"/>
                <w:szCs w:val="16"/>
              </w:rPr>
              <w:t>Original Baseline P&amp;B 201</w:t>
            </w:r>
            <w:r>
              <w:rPr>
                <w:rFonts w:cs="Arial"/>
                <w:i/>
                <w:sz w:val="16"/>
                <w:szCs w:val="16"/>
              </w:rPr>
              <w:t>4</w:t>
            </w:r>
            <w:r w:rsidRPr="00A1131D">
              <w:rPr>
                <w:rFonts w:cs="Arial"/>
                <w:i/>
                <w:sz w:val="16"/>
                <w:szCs w:val="16"/>
              </w:rPr>
              <w:t>/1</w:t>
            </w:r>
            <w:r>
              <w:rPr>
                <w:rFonts w:cs="Arial"/>
                <w:i/>
                <w:sz w:val="16"/>
                <w:szCs w:val="16"/>
              </w:rPr>
              <w:t>5</w:t>
            </w:r>
            <w:r w:rsidRPr="00A1131D">
              <w:rPr>
                <w:rFonts w:cs="Arial"/>
                <w:i/>
                <w:sz w:val="16"/>
                <w:szCs w:val="16"/>
              </w:rPr>
              <w:t>:</w:t>
            </w:r>
            <w:r w:rsidRPr="00A1131D">
              <w:rPr>
                <w:rFonts w:cs="Arial"/>
                <w:sz w:val="16"/>
                <w:szCs w:val="16"/>
              </w:rPr>
              <w:t xml:space="preserve"> </w:t>
            </w:r>
            <w:r w:rsidRPr="00492FEC">
              <w:rPr>
                <w:rFonts w:cs="Arial"/>
                <w:i/>
                <w:sz w:val="16"/>
                <w:szCs w:val="16"/>
              </w:rPr>
              <w:t>5</w:t>
            </w:r>
          </w:p>
          <w:p w:rsidR="00976A6B" w:rsidRPr="00A1131D" w:rsidRDefault="00976A6B" w:rsidP="007854A1">
            <w:pPr>
              <w:rPr>
                <w:rFonts w:cs="Arial"/>
                <w:sz w:val="16"/>
                <w:szCs w:val="16"/>
              </w:rPr>
            </w:pPr>
          </w:p>
        </w:tc>
        <w:tc>
          <w:tcPr>
            <w:tcW w:w="700" w:type="pct"/>
            <w:gridSpan w:val="3"/>
            <w:shd w:val="clear" w:color="auto" w:fill="auto"/>
            <w:tcMar>
              <w:top w:w="110" w:type="dxa"/>
            </w:tcMar>
          </w:tcPr>
          <w:p w:rsidR="00976A6B" w:rsidRPr="006941D7" w:rsidRDefault="00976A6B" w:rsidP="007854A1">
            <w:pPr>
              <w:autoSpaceDE w:val="0"/>
              <w:autoSpaceDN w:val="0"/>
              <w:adjustRightInd w:val="0"/>
              <w:rPr>
                <w:rFonts w:cs="Arial"/>
                <w:sz w:val="16"/>
                <w:szCs w:val="16"/>
              </w:rPr>
            </w:pPr>
            <w:r w:rsidRPr="006941D7">
              <w:rPr>
                <w:rFonts w:cs="Arial"/>
                <w:sz w:val="16"/>
                <w:szCs w:val="16"/>
              </w:rPr>
              <w:t>4</w:t>
            </w:r>
          </w:p>
        </w:tc>
        <w:tc>
          <w:tcPr>
            <w:tcW w:w="1287" w:type="pct"/>
            <w:gridSpan w:val="3"/>
            <w:shd w:val="clear" w:color="auto" w:fill="FFFFFF"/>
            <w:tcMar>
              <w:top w:w="110" w:type="dxa"/>
            </w:tcMar>
          </w:tcPr>
          <w:p w:rsidR="00976A6B" w:rsidRPr="006941D7" w:rsidRDefault="00976A6B" w:rsidP="007854A1">
            <w:pPr>
              <w:rPr>
                <w:rFonts w:cs="Arial"/>
                <w:sz w:val="16"/>
                <w:szCs w:val="16"/>
                <w:lang w:bidi="th-TH"/>
              </w:rPr>
            </w:pPr>
            <w:r>
              <w:rPr>
                <w:rFonts w:cs="Arial"/>
                <w:sz w:val="16"/>
                <w:szCs w:val="16"/>
                <w:lang w:bidi="th-TH"/>
              </w:rPr>
              <w:t>1 new hosting agreement</w:t>
            </w:r>
          </w:p>
        </w:tc>
        <w:tc>
          <w:tcPr>
            <w:tcW w:w="606" w:type="pct"/>
            <w:shd w:val="clear" w:color="auto" w:fill="auto"/>
            <w:tcMar>
              <w:top w:w="110" w:type="dxa"/>
            </w:tcMar>
          </w:tcPr>
          <w:p w:rsidR="00976A6B" w:rsidRPr="001C55DE" w:rsidRDefault="00976A6B" w:rsidP="007854A1">
            <w:pPr>
              <w:keepNext/>
              <w:keepLines/>
              <w:jc w:val="center"/>
              <w:rPr>
                <w:rFonts w:cs="Arial"/>
                <w:b/>
                <w:bCs/>
                <w:color w:val="FF0000"/>
                <w:sz w:val="16"/>
                <w:szCs w:val="16"/>
              </w:rPr>
            </w:pPr>
            <w:r w:rsidRPr="001C55DE">
              <w:rPr>
                <w:rFonts w:cs="Arial"/>
                <w:b/>
                <w:bCs/>
                <w:color w:val="FF0000"/>
                <w:sz w:val="16"/>
                <w:szCs w:val="16"/>
              </w:rPr>
              <w:t xml:space="preserve">Not </w:t>
            </w:r>
            <w:r w:rsidR="00404344">
              <w:rPr>
                <w:rFonts w:cs="Arial"/>
                <w:b/>
                <w:bCs/>
                <w:color w:val="FF0000"/>
                <w:sz w:val="16"/>
                <w:szCs w:val="16"/>
              </w:rPr>
              <w:t>A</w:t>
            </w:r>
            <w:r w:rsidRPr="001C55DE">
              <w:rPr>
                <w:rFonts w:cs="Arial"/>
                <w:b/>
                <w:bCs/>
                <w:color w:val="FF0000"/>
                <w:sz w:val="16"/>
                <w:szCs w:val="16"/>
              </w:rPr>
              <w:t>chieved</w:t>
            </w:r>
          </w:p>
        </w:tc>
      </w:tr>
      <w:tr w:rsidR="00976A6B" w:rsidRPr="00A1131D" w:rsidTr="00E37059">
        <w:trPr>
          <w:cantSplit/>
          <w:trHeight w:val="492"/>
        </w:trPr>
        <w:tc>
          <w:tcPr>
            <w:tcW w:w="5000" w:type="pct"/>
            <w:gridSpan w:val="11"/>
            <w:tcBorders>
              <w:top w:val="single" w:sz="4" w:space="0" w:color="auto"/>
              <w:bottom w:val="single" w:sz="4" w:space="0" w:color="auto"/>
            </w:tcBorders>
            <w:shd w:val="clear" w:color="auto" w:fill="C6D9F1" w:themeFill="text2" w:themeFillTint="33"/>
            <w:vAlign w:val="center"/>
          </w:tcPr>
          <w:p w:rsidR="00976A6B" w:rsidRPr="00A1131D" w:rsidRDefault="00976A6B">
            <w:pPr>
              <w:keepNext/>
              <w:keepLines/>
              <w:tabs>
                <w:tab w:val="left" w:pos="1452"/>
              </w:tabs>
              <w:ind w:left="1452" w:hanging="1452"/>
              <w:rPr>
                <w:rFonts w:cs="Arial"/>
                <w:b/>
                <w:bCs/>
                <w:sz w:val="16"/>
                <w:szCs w:val="16"/>
              </w:rPr>
            </w:pPr>
            <w:r w:rsidRPr="00A1131D">
              <w:rPr>
                <w:rFonts w:cs="Arial"/>
                <w:b/>
                <w:bCs/>
                <w:sz w:val="16"/>
                <w:szCs w:val="16"/>
              </w:rPr>
              <w:lastRenderedPageBreak/>
              <w:t>Expected Result:</w:t>
            </w:r>
            <w:r w:rsidRPr="00A1131D">
              <w:rPr>
                <w:rFonts w:cs="Arial"/>
                <w:b/>
                <w:bCs/>
                <w:sz w:val="16"/>
                <w:szCs w:val="16"/>
              </w:rPr>
              <w:tab/>
            </w:r>
            <w:r w:rsidRPr="00A1131D">
              <w:rPr>
                <w:rFonts w:cs="Arial"/>
                <w:sz w:val="16"/>
                <w:szCs w:val="16"/>
              </w:rPr>
              <w:t>IV.2 Enhanced access to, and use of, IP information by IP institutions and the public to promote innovation and creativity</w:t>
            </w:r>
          </w:p>
        </w:tc>
      </w:tr>
      <w:tr w:rsidR="00976A6B" w:rsidRPr="00A1131D" w:rsidTr="00E37059">
        <w:trPr>
          <w:cantSplit/>
        </w:trPr>
        <w:tc>
          <w:tcPr>
            <w:tcW w:w="1107" w:type="pct"/>
            <w:tcBorders>
              <w:top w:val="single" w:sz="4" w:space="0" w:color="auto"/>
            </w:tcBorders>
            <w:shd w:val="clear" w:color="auto" w:fill="auto"/>
            <w:vAlign w:val="center"/>
          </w:tcPr>
          <w:p w:rsidR="00976A6B" w:rsidRPr="00A1131D" w:rsidRDefault="00976A6B" w:rsidP="00E37059">
            <w:pPr>
              <w:keepNext/>
              <w:keepLines/>
              <w:rPr>
                <w:rFonts w:cs="Arial"/>
                <w:sz w:val="16"/>
                <w:szCs w:val="16"/>
              </w:rPr>
            </w:pPr>
            <w:r w:rsidRPr="00A1131D">
              <w:rPr>
                <w:rFonts w:cs="Arial"/>
                <w:b/>
                <w:bCs/>
                <w:sz w:val="16"/>
                <w:szCs w:val="16"/>
              </w:rPr>
              <w:t>Performance Indicators</w:t>
            </w:r>
          </w:p>
        </w:tc>
        <w:tc>
          <w:tcPr>
            <w:tcW w:w="1300" w:type="pct"/>
            <w:gridSpan w:val="3"/>
            <w:tcBorders>
              <w:top w:val="single" w:sz="4" w:space="0" w:color="auto"/>
            </w:tcBorders>
            <w:shd w:val="clear" w:color="auto" w:fill="auto"/>
            <w:vAlign w:val="center"/>
          </w:tcPr>
          <w:p w:rsidR="00976A6B" w:rsidRPr="00A1131D" w:rsidRDefault="00976A6B" w:rsidP="00E37059">
            <w:pPr>
              <w:keepNext/>
              <w:keepLines/>
              <w:rPr>
                <w:rFonts w:cs="Arial"/>
                <w:b/>
                <w:bCs/>
                <w:sz w:val="16"/>
                <w:szCs w:val="16"/>
              </w:rPr>
            </w:pPr>
            <w:r w:rsidRPr="00A1131D">
              <w:rPr>
                <w:rFonts w:cs="Arial"/>
                <w:b/>
                <w:bCs/>
                <w:sz w:val="16"/>
                <w:szCs w:val="16"/>
              </w:rPr>
              <w:t>Baselines</w:t>
            </w:r>
          </w:p>
        </w:tc>
        <w:tc>
          <w:tcPr>
            <w:tcW w:w="862" w:type="pct"/>
            <w:gridSpan w:val="5"/>
            <w:tcBorders>
              <w:top w:val="single" w:sz="4" w:space="0" w:color="auto"/>
            </w:tcBorders>
            <w:shd w:val="clear" w:color="auto" w:fill="auto"/>
            <w:tcMar>
              <w:top w:w="110" w:type="dxa"/>
            </w:tcMar>
            <w:vAlign w:val="center"/>
          </w:tcPr>
          <w:p w:rsidR="00976A6B" w:rsidRPr="00A1131D" w:rsidRDefault="00976A6B" w:rsidP="00E37059">
            <w:pPr>
              <w:keepNext/>
              <w:keepLines/>
              <w:rPr>
                <w:rFonts w:cs="Arial"/>
                <w:b/>
                <w:sz w:val="16"/>
                <w:szCs w:val="16"/>
              </w:rPr>
            </w:pPr>
            <w:r w:rsidRPr="00A1131D">
              <w:rPr>
                <w:rFonts w:cs="Arial"/>
                <w:b/>
                <w:sz w:val="16"/>
                <w:szCs w:val="16"/>
              </w:rPr>
              <w:t>Targets</w:t>
            </w:r>
          </w:p>
        </w:tc>
        <w:tc>
          <w:tcPr>
            <w:tcW w:w="1125" w:type="pct"/>
            <w:tcBorders>
              <w:top w:val="single" w:sz="4" w:space="0" w:color="auto"/>
            </w:tcBorders>
            <w:shd w:val="clear" w:color="auto" w:fill="FFFFFF"/>
            <w:tcMar>
              <w:top w:w="110" w:type="dxa"/>
            </w:tcMar>
            <w:vAlign w:val="center"/>
          </w:tcPr>
          <w:p w:rsidR="00976A6B" w:rsidRPr="00A1131D" w:rsidRDefault="00976A6B" w:rsidP="00E37059">
            <w:pPr>
              <w:keepNext/>
              <w:keepLines/>
              <w:rPr>
                <w:rFonts w:cs="Arial"/>
                <w:sz w:val="16"/>
                <w:szCs w:val="16"/>
              </w:rPr>
            </w:pPr>
            <w:r w:rsidRPr="00A1131D">
              <w:rPr>
                <w:rFonts w:cs="Arial"/>
                <w:b/>
                <w:bCs/>
                <w:sz w:val="16"/>
                <w:szCs w:val="16"/>
              </w:rPr>
              <w:t>Performance Data</w:t>
            </w:r>
          </w:p>
        </w:tc>
        <w:tc>
          <w:tcPr>
            <w:tcW w:w="606" w:type="pct"/>
            <w:tcBorders>
              <w:top w:val="single" w:sz="4" w:space="0" w:color="auto"/>
            </w:tcBorders>
            <w:shd w:val="clear" w:color="auto" w:fill="auto"/>
            <w:tcMar>
              <w:top w:w="110" w:type="dxa"/>
            </w:tcMar>
            <w:vAlign w:val="center"/>
          </w:tcPr>
          <w:p w:rsidR="00976A6B" w:rsidRPr="00A1131D" w:rsidRDefault="00976A6B">
            <w:pPr>
              <w:keepNext/>
              <w:keepLines/>
              <w:jc w:val="center"/>
              <w:rPr>
                <w:rFonts w:cs="Arial"/>
                <w:b/>
                <w:bCs/>
                <w:sz w:val="16"/>
                <w:szCs w:val="16"/>
              </w:rPr>
            </w:pPr>
            <w:r w:rsidRPr="00A1131D">
              <w:rPr>
                <w:rFonts w:cs="Arial"/>
                <w:b/>
                <w:bCs/>
                <w:sz w:val="16"/>
                <w:szCs w:val="16"/>
              </w:rPr>
              <w:t>TLS</w:t>
            </w:r>
          </w:p>
        </w:tc>
      </w:tr>
      <w:tr w:rsidR="00976A6B" w:rsidRPr="00A1131D" w:rsidTr="00E37059">
        <w:trPr>
          <w:cantSplit/>
        </w:trPr>
        <w:tc>
          <w:tcPr>
            <w:tcW w:w="1107" w:type="pct"/>
            <w:tcBorders>
              <w:bottom w:val="single" w:sz="4" w:space="0" w:color="auto"/>
            </w:tcBorders>
            <w:shd w:val="clear" w:color="auto" w:fill="auto"/>
          </w:tcPr>
          <w:p w:rsidR="00976A6B" w:rsidRDefault="00976A6B" w:rsidP="00E37059">
            <w:pPr>
              <w:keepNext/>
              <w:keepLines/>
              <w:rPr>
                <w:rFonts w:cs="Arial"/>
                <w:sz w:val="16"/>
                <w:szCs w:val="16"/>
              </w:rPr>
            </w:pPr>
            <w:r w:rsidRPr="00046770">
              <w:rPr>
                <w:rFonts w:cs="Arial"/>
                <w:sz w:val="16"/>
                <w:szCs w:val="16"/>
              </w:rPr>
              <w:t>Number of countries that verified data and included national essential medicines into WIPO Essential</w:t>
            </w:r>
          </w:p>
          <w:p w:rsidR="00976A6B" w:rsidRPr="00A1131D" w:rsidRDefault="00976A6B" w:rsidP="00E37059">
            <w:pPr>
              <w:keepNext/>
              <w:keepLines/>
              <w:rPr>
                <w:rFonts w:cs="Arial"/>
                <w:sz w:val="16"/>
                <w:szCs w:val="16"/>
              </w:rPr>
            </w:pPr>
          </w:p>
        </w:tc>
        <w:tc>
          <w:tcPr>
            <w:tcW w:w="1300" w:type="pct"/>
            <w:gridSpan w:val="3"/>
            <w:tcBorders>
              <w:bottom w:val="single" w:sz="4" w:space="0" w:color="auto"/>
            </w:tcBorders>
            <w:shd w:val="clear" w:color="auto" w:fill="auto"/>
          </w:tcPr>
          <w:p w:rsidR="00976A6B" w:rsidRDefault="00976A6B" w:rsidP="00E37059">
            <w:pPr>
              <w:keepNext/>
              <w:keepLines/>
            </w:pPr>
            <w:r w:rsidRPr="00046770">
              <w:rPr>
                <w:rFonts w:cs="Arial"/>
                <w:sz w:val="16"/>
                <w:szCs w:val="16"/>
              </w:rPr>
              <w:t>0 (zero)</w:t>
            </w:r>
            <w:r w:rsidRPr="00A1131D">
              <w:rPr>
                <w:rFonts w:cs="Arial"/>
                <w:sz w:val="16"/>
                <w:szCs w:val="16"/>
              </w:rPr>
              <w:t xml:space="preserve"> </w:t>
            </w:r>
          </w:p>
          <w:p w:rsidR="00976A6B" w:rsidRPr="00A1131D" w:rsidRDefault="00976A6B" w:rsidP="00E37059">
            <w:pPr>
              <w:keepNext/>
              <w:keepLines/>
              <w:rPr>
                <w:rFonts w:cs="Arial"/>
                <w:sz w:val="16"/>
                <w:szCs w:val="16"/>
              </w:rPr>
            </w:pPr>
          </w:p>
        </w:tc>
        <w:tc>
          <w:tcPr>
            <w:tcW w:w="862" w:type="pct"/>
            <w:gridSpan w:val="5"/>
            <w:tcBorders>
              <w:bottom w:val="single" w:sz="4" w:space="0" w:color="auto"/>
            </w:tcBorders>
            <w:shd w:val="clear" w:color="auto" w:fill="auto"/>
            <w:tcMar>
              <w:top w:w="110" w:type="dxa"/>
            </w:tcMar>
          </w:tcPr>
          <w:p w:rsidR="00976A6B" w:rsidRPr="00A1131D" w:rsidRDefault="00976A6B" w:rsidP="00E37059">
            <w:pPr>
              <w:keepNext/>
              <w:keepLines/>
              <w:rPr>
                <w:rFonts w:cs="Arial"/>
                <w:i/>
                <w:sz w:val="16"/>
                <w:szCs w:val="16"/>
              </w:rPr>
            </w:pPr>
            <w:r w:rsidRPr="00046770">
              <w:rPr>
                <w:rFonts w:cs="Arial"/>
                <w:sz w:val="16"/>
                <w:szCs w:val="16"/>
              </w:rPr>
              <w:t>1 country per region (Africa, Asia, Latin America and the Caribbean)</w:t>
            </w:r>
          </w:p>
        </w:tc>
        <w:tc>
          <w:tcPr>
            <w:tcW w:w="1125" w:type="pct"/>
            <w:tcBorders>
              <w:bottom w:val="single" w:sz="4" w:space="0" w:color="auto"/>
            </w:tcBorders>
            <w:shd w:val="clear" w:color="auto" w:fill="FFFFFF"/>
            <w:tcMar>
              <w:top w:w="110" w:type="dxa"/>
            </w:tcMar>
          </w:tcPr>
          <w:p w:rsidR="00976A6B" w:rsidRDefault="00976A6B" w:rsidP="00E37059">
            <w:pPr>
              <w:keepNext/>
              <w:keepLines/>
              <w:rPr>
                <w:rFonts w:cs="Arial"/>
                <w:sz w:val="16"/>
                <w:szCs w:val="16"/>
              </w:rPr>
            </w:pPr>
            <w:r>
              <w:rPr>
                <w:rFonts w:cs="Arial"/>
                <w:sz w:val="16"/>
                <w:szCs w:val="16"/>
              </w:rPr>
              <w:t xml:space="preserve">WIPO Essential was repurposed in 2014 as a study on the patent status of medicines contained in the WHO Model List of Essential Medicines (MLEM). </w:t>
            </w:r>
          </w:p>
          <w:p w:rsidR="00976A6B" w:rsidRPr="00A1131D" w:rsidRDefault="00976A6B" w:rsidP="00E37059">
            <w:pPr>
              <w:keepNext/>
              <w:keepLines/>
              <w:rPr>
                <w:rFonts w:cs="Arial"/>
                <w:sz w:val="16"/>
                <w:szCs w:val="16"/>
              </w:rPr>
            </w:pPr>
          </w:p>
        </w:tc>
        <w:tc>
          <w:tcPr>
            <w:tcW w:w="606" w:type="pct"/>
            <w:tcBorders>
              <w:bottom w:val="single" w:sz="4" w:space="0" w:color="auto"/>
            </w:tcBorders>
            <w:shd w:val="clear" w:color="auto" w:fill="auto"/>
            <w:tcMar>
              <w:top w:w="110" w:type="dxa"/>
            </w:tcMar>
          </w:tcPr>
          <w:p w:rsidR="00976A6B" w:rsidRPr="001C55DE" w:rsidRDefault="00976A6B">
            <w:pPr>
              <w:keepNext/>
              <w:keepLines/>
              <w:jc w:val="center"/>
              <w:rPr>
                <w:rFonts w:cs="Arial"/>
                <w:b/>
                <w:bCs/>
                <w:sz w:val="16"/>
                <w:szCs w:val="16"/>
              </w:rPr>
            </w:pPr>
            <w:r w:rsidRPr="001C55DE">
              <w:rPr>
                <w:rFonts w:cs="Arial"/>
                <w:b/>
                <w:bCs/>
                <w:sz w:val="16"/>
                <w:szCs w:val="16"/>
              </w:rPr>
              <w:t>Dis-continued</w:t>
            </w:r>
          </w:p>
        </w:tc>
      </w:tr>
      <w:tr w:rsidR="00976A6B" w:rsidRPr="00A1131D" w:rsidTr="00E37059">
        <w:trPr>
          <w:cantSplit/>
          <w:trHeight w:val="430"/>
        </w:trPr>
        <w:tc>
          <w:tcPr>
            <w:tcW w:w="5000" w:type="pct"/>
            <w:gridSpan w:val="11"/>
            <w:tcBorders>
              <w:top w:val="single" w:sz="4" w:space="0" w:color="auto"/>
              <w:bottom w:val="single" w:sz="4" w:space="0" w:color="auto"/>
            </w:tcBorders>
            <w:shd w:val="clear" w:color="auto" w:fill="C6D9F1" w:themeFill="text2" w:themeFillTint="33"/>
            <w:vAlign w:val="center"/>
          </w:tcPr>
          <w:p w:rsidR="00976A6B" w:rsidRPr="00A1131D" w:rsidRDefault="00976A6B" w:rsidP="007854A1">
            <w:pPr>
              <w:tabs>
                <w:tab w:val="left" w:pos="1452"/>
              </w:tabs>
              <w:ind w:left="1452" w:hanging="1452"/>
              <w:rPr>
                <w:rFonts w:cs="Arial"/>
                <w:b/>
                <w:bCs/>
                <w:sz w:val="16"/>
                <w:szCs w:val="16"/>
              </w:rPr>
            </w:pPr>
            <w:r w:rsidRPr="00A1131D">
              <w:rPr>
                <w:rFonts w:cs="Arial"/>
                <w:b/>
                <w:bCs/>
                <w:sz w:val="16"/>
                <w:szCs w:val="16"/>
              </w:rPr>
              <w:t>Expected Result:</w:t>
            </w:r>
            <w:r w:rsidRPr="00A1131D">
              <w:rPr>
                <w:rFonts w:cs="Arial"/>
                <w:b/>
                <w:bCs/>
                <w:sz w:val="16"/>
                <w:szCs w:val="16"/>
              </w:rPr>
              <w:tab/>
            </w:r>
            <w:r w:rsidRPr="00A1131D">
              <w:rPr>
                <w:rFonts w:cs="Arial"/>
                <w:sz w:val="16"/>
                <w:szCs w:val="16"/>
              </w:rPr>
              <w:t>VII.2 IP-based platforms and tools are used for knowledge transfer, technology adaptation and diffusion from developed to developing countries, particularly least developed countries, to address global challenges</w:t>
            </w:r>
          </w:p>
        </w:tc>
      </w:tr>
      <w:tr w:rsidR="00976A6B" w:rsidRPr="00A1131D" w:rsidTr="00E37059">
        <w:trPr>
          <w:cantSplit/>
        </w:trPr>
        <w:tc>
          <w:tcPr>
            <w:tcW w:w="1137" w:type="pct"/>
            <w:gridSpan w:val="3"/>
            <w:tcBorders>
              <w:top w:val="single" w:sz="4" w:space="0" w:color="auto"/>
            </w:tcBorders>
            <w:shd w:val="clear" w:color="auto" w:fill="auto"/>
            <w:vAlign w:val="center"/>
          </w:tcPr>
          <w:p w:rsidR="00976A6B" w:rsidRPr="00A1131D" w:rsidRDefault="00976A6B" w:rsidP="007854A1">
            <w:pPr>
              <w:rPr>
                <w:rFonts w:cs="Arial"/>
                <w:sz w:val="16"/>
                <w:szCs w:val="16"/>
              </w:rPr>
            </w:pPr>
            <w:r w:rsidRPr="00A1131D">
              <w:rPr>
                <w:rFonts w:cs="Arial"/>
                <w:b/>
                <w:bCs/>
                <w:sz w:val="16"/>
                <w:szCs w:val="16"/>
              </w:rPr>
              <w:t>Performance Indicators</w:t>
            </w:r>
          </w:p>
        </w:tc>
        <w:tc>
          <w:tcPr>
            <w:tcW w:w="1287" w:type="pct"/>
            <w:gridSpan w:val="2"/>
            <w:tcBorders>
              <w:top w:val="single" w:sz="4" w:space="0" w:color="auto"/>
            </w:tcBorders>
            <w:shd w:val="clear" w:color="auto" w:fill="auto"/>
            <w:vAlign w:val="center"/>
          </w:tcPr>
          <w:p w:rsidR="00976A6B" w:rsidRPr="00A1131D" w:rsidRDefault="00976A6B" w:rsidP="007854A1">
            <w:pPr>
              <w:rPr>
                <w:rFonts w:cs="Arial"/>
                <w:b/>
                <w:bCs/>
                <w:sz w:val="16"/>
                <w:szCs w:val="16"/>
              </w:rPr>
            </w:pPr>
            <w:r w:rsidRPr="00A1131D">
              <w:rPr>
                <w:rFonts w:cs="Arial"/>
                <w:b/>
                <w:bCs/>
                <w:sz w:val="16"/>
                <w:szCs w:val="16"/>
              </w:rPr>
              <w:t>Baselines</w:t>
            </w:r>
          </w:p>
        </w:tc>
        <w:tc>
          <w:tcPr>
            <w:tcW w:w="845" w:type="pct"/>
            <w:gridSpan w:val="4"/>
            <w:tcBorders>
              <w:top w:val="single" w:sz="4" w:space="0" w:color="auto"/>
            </w:tcBorders>
            <w:shd w:val="clear" w:color="auto" w:fill="auto"/>
            <w:tcMar>
              <w:top w:w="110" w:type="dxa"/>
            </w:tcMar>
            <w:vAlign w:val="center"/>
          </w:tcPr>
          <w:p w:rsidR="00976A6B" w:rsidRPr="00A1131D" w:rsidRDefault="00976A6B" w:rsidP="007854A1">
            <w:pPr>
              <w:rPr>
                <w:rFonts w:cs="Arial"/>
                <w:b/>
                <w:sz w:val="16"/>
                <w:szCs w:val="16"/>
              </w:rPr>
            </w:pPr>
            <w:r w:rsidRPr="00A1131D">
              <w:rPr>
                <w:rFonts w:cs="Arial"/>
                <w:b/>
                <w:sz w:val="16"/>
                <w:szCs w:val="16"/>
              </w:rPr>
              <w:t>Targets</w:t>
            </w:r>
          </w:p>
        </w:tc>
        <w:tc>
          <w:tcPr>
            <w:tcW w:w="1125" w:type="pct"/>
            <w:tcBorders>
              <w:top w:val="single" w:sz="4" w:space="0" w:color="auto"/>
            </w:tcBorders>
            <w:shd w:val="clear" w:color="auto" w:fill="FFFFFF"/>
            <w:tcMar>
              <w:top w:w="110" w:type="dxa"/>
            </w:tcMar>
            <w:vAlign w:val="center"/>
          </w:tcPr>
          <w:p w:rsidR="00976A6B" w:rsidRPr="00A1131D" w:rsidRDefault="00976A6B" w:rsidP="007854A1">
            <w:pPr>
              <w:rPr>
                <w:rFonts w:cs="Arial"/>
                <w:sz w:val="16"/>
                <w:szCs w:val="16"/>
              </w:rPr>
            </w:pPr>
            <w:r w:rsidRPr="00A1131D">
              <w:rPr>
                <w:rFonts w:cs="Arial"/>
                <w:b/>
                <w:bCs/>
                <w:sz w:val="16"/>
                <w:szCs w:val="16"/>
              </w:rPr>
              <w:t>Performance Data</w:t>
            </w:r>
          </w:p>
        </w:tc>
        <w:tc>
          <w:tcPr>
            <w:tcW w:w="606" w:type="pct"/>
            <w:tcBorders>
              <w:top w:val="single" w:sz="4" w:space="0" w:color="auto"/>
            </w:tcBorders>
            <w:shd w:val="clear" w:color="auto" w:fill="auto"/>
            <w:tcMar>
              <w:top w:w="110" w:type="dxa"/>
            </w:tcMar>
            <w:vAlign w:val="center"/>
          </w:tcPr>
          <w:p w:rsidR="00976A6B" w:rsidRPr="00A1131D" w:rsidRDefault="00976A6B" w:rsidP="007854A1">
            <w:pPr>
              <w:jc w:val="center"/>
              <w:rPr>
                <w:rFonts w:cs="Arial"/>
                <w:b/>
                <w:bCs/>
                <w:sz w:val="16"/>
                <w:szCs w:val="16"/>
              </w:rPr>
            </w:pPr>
            <w:r w:rsidRPr="00A1131D">
              <w:rPr>
                <w:rFonts w:cs="Arial"/>
                <w:b/>
                <w:bCs/>
                <w:sz w:val="16"/>
                <w:szCs w:val="16"/>
              </w:rPr>
              <w:t>TLS</w:t>
            </w:r>
          </w:p>
        </w:tc>
      </w:tr>
      <w:tr w:rsidR="00976A6B" w:rsidRPr="00A1131D" w:rsidTr="00E37059">
        <w:trPr>
          <w:cantSplit/>
        </w:trPr>
        <w:tc>
          <w:tcPr>
            <w:tcW w:w="1137" w:type="pct"/>
            <w:gridSpan w:val="3"/>
            <w:shd w:val="clear" w:color="auto" w:fill="auto"/>
          </w:tcPr>
          <w:p w:rsidR="00976A6B" w:rsidRPr="00A1131D" w:rsidRDefault="00976A6B" w:rsidP="007854A1">
            <w:pPr>
              <w:rPr>
                <w:rFonts w:cs="Arial"/>
                <w:sz w:val="16"/>
                <w:szCs w:val="16"/>
              </w:rPr>
            </w:pPr>
            <w:r w:rsidRPr="00A1131D">
              <w:rPr>
                <w:rFonts w:cs="Arial"/>
                <w:sz w:val="16"/>
                <w:szCs w:val="16"/>
              </w:rPr>
              <w:t>Increase in membership in WIPO Re:Search, including from developing countries and LDCs</w:t>
            </w:r>
          </w:p>
        </w:tc>
        <w:tc>
          <w:tcPr>
            <w:tcW w:w="1287" w:type="pct"/>
            <w:gridSpan w:val="2"/>
            <w:shd w:val="clear" w:color="auto" w:fill="auto"/>
          </w:tcPr>
          <w:p w:rsidR="00976A6B" w:rsidRPr="00EF03E1" w:rsidRDefault="00976A6B" w:rsidP="007854A1">
            <w:pPr>
              <w:rPr>
                <w:rFonts w:cs="Arial"/>
                <w:color w:val="002060"/>
                <w:sz w:val="16"/>
                <w:szCs w:val="16"/>
              </w:rPr>
            </w:pPr>
            <w:r w:rsidRPr="00A1131D">
              <w:rPr>
                <w:rFonts w:cs="Arial"/>
                <w:i/>
                <w:color w:val="002060"/>
                <w:sz w:val="16"/>
                <w:szCs w:val="16"/>
              </w:rPr>
              <w:t>Updated Baseline end 201</w:t>
            </w:r>
            <w:r>
              <w:rPr>
                <w:rFonts w:cs="Arial"/>
                <w:i/>
                <w:color w:val="002060"/>
                <w:sz w:val="16"/>
                <w:szCs w:val="16"/>
              </w:rPr>
              <w:t>3</w:t>
            </w:r>
            <w:r w:rsidRPr="00A1131D">
              <w:rPr>
                <w:rFonts w:cs="Arial"/>
                <w:i/>
                <w:color w:val="002060"/>
                <w:sz w:val="16"/>
                <w:szCs w:val="16"/>
              </w:rPr>
              <w:t xml:space="preserve">: </w:t>
            </w:r>
            <w:r w:rsidRPr="00EF03E1">
              <w:rPr>
                <w:rFonts w:cs="Arial"/>
                <w:color w:val="002060"/>
                <w:sz w:val="16"/>
                <w:szCs w:val="16"/>
              </w:rPr>
              <w:t>During the biennium, WIPO Re:Search added 49 new members (providers, users and supporters) and 167 new entries in the database:</w:t>
            </w:r>
          </w:p>
          <w:p w:rsidR="00976A6B" w:rsidRPr="00EF03E1" w:rsidRDefault="00976A6B" w:rsidP="00976A6B">
            <w:pPr>
              <w:numPr>
                <w:ilvl w:val="0"/>
                <w:numId w:val="67"/>
              </w:numPr>
              <w:ind w:left="278" w:hanging="278"/>
              <w:rPr>
                <w:rFonts w:cs="Arial"/>
                <w:color w:val="002060"/>
                <w:sz w:val="16"/>
                <w:szCs w:val="16"/>
              </w:rPr>
            </w:pPr>
            <w:r w:rsidRPr="00EF03E1">
              <w:rPr>
                <w:rFonts w:cs="Arial"/>
                <w:color w:val="002060"/>
                <w:sz w:val="16"/>
                <w:szCs w:val="16"/>
              </w:rPr>
              <w:t xml:space="preserve">30 new members and 90 new entries in 2012; and  </w:t>
            </w:r>
          </w:p>
          <w:p w:rsidR="00976A6B" w:rsidRPr="00EF03E1" w:rsidRDefault="00976A6B" w:rsidP="00976A6B">
            <w:pPr>
              <w:numPr>
                <w:ilvl w:val="0"/>
                <w:numId w:val="67"/>
              </w:numPr>
              <w:ind w:left="278" w:hanging="278"/>
              <w:rPr>
                <w:rFonts w:cs="Arial"/>
                <w:color w:val="002060"/>
                <w:sz w:val="16"/>
                <w:szCs w:val="16"/>
              </w:rPr>
            </w:pPr>
            <w:r w:rsidRPr="00EF03E1">
              <w:rPr>
                <w:rFonts w:cs="Arial"/>
                <w:color w:val="002060"/>
                <w:sz w:val="16"/>
                <w:szCs w:val="16"/>
              </w:rPr>
              <w:t>19 new members and 77 new entries in 2013</w:t>
            </w:r>
          </w:p>
          <w:p w:rsidR="00976A6B" w:rsidRPr="00EF03E1" w:rsidRDefault="00976A6B" w:rsidP="007854A1">
            <w:pPr>
              <w:rPr>
                <w:rFonts w:cs="Arial"/>
                <w:color w:val="002060"/>
                <w:sz w:val="16"/>
                <w:szCs w:val="16"/>
              </w:rPr>
            </w:pPr>
            <w:r w:rsidRPr="00EF03E1">
              <w:rPr>
                <w:rFonts w:cs="Arial"/>
                <w:color w:val="002060"/>
                <w:sz w:val="16"/>
                <w:szCs w:val="16"/>
              </w:rPr>
              <w:t>bringing the total cumulative to 80 members and 247 entries.</w:t>
            </w:r>
          </w:p>
          <w:p w:rsidR="00976A6B" w:rsidRPr="00A1131D" w:rsidRDefault="00976A6B" w:rsidP="007854A1">
            <w:pPr>
              <w:rPr>
                <w:rFonts w:cs="Arial"/>
                <w:i/>
                <w:color w:val="002060"/>
                <w:sz w:val="8"/>
                <w:szCs w:val="8"/>
              </w:rPr>
            </w:pPr>
            <w:r w:rsidRPr="00A1131D">
              <w:rPr>
                <w:rFonts w:cs="Arial"/>
                <w:color w:val="993300"/>
                <w:sz w:val="16"/>
                <w:szCs w:val="16"/>
              </w:rPr>
              <w:br/>
            </w:r>
          </w:p>
          <w:p w:rsidR="00976A6B" w:rsidRPr="00A1131D" w:rsidRDefault="00976A6B" w:rsidP="007854A1">
            <w:pPr>
              <w:rPr>
                <w:rFonts w:cs="Arial"/>
                <w:sz w:val="16"/>
                <w:szCs w:val="16"/>
              </w:rPr>
            </w:pPr>
            <w:r w:rsidRPr="00A1131D">
              <w:rPr>
                <w:rFonts w:cs="Arial"/>
                <w:i/>
                <w:sz w:val="16"/>
                <w:szCs w:val="16"/>
              </w:rPr>
              <w:t>Original Baseline P&amp;B 201</w:t>
            </w:r>
            <w:r>
              <w:rPr>
                <w:rFonts w:cs="Arial"/>
                <w:i/>
                <w:sz w:val="16"/>
                <w:szCs w:val="16"/>
              </w:rPr>
              <w:t>4</w:t>
            </w:r>
            <w:r w:rsidRPr="00A1131D">
              <w:rPr>
                <w:rFonts w:cs="Arial"/>
                <w:i/>
                <w:sz w:val="16"/>
                <w:szCs w:val="16"/>
              </w:rPr>
              <w:t>/1</w:t>
            </w:r>
            <w:r>
              <w:rPr>
                <w:rFonts w:cs="Arial"/>
                <w:i/>
                <w:sz w:val="16"/>
                <w:szCs w:val="16"/>
              </w:rPr>
              <w:t>5</w:t>
            </w:r>
            <w:r w:rsidRPr="00A1131D">
              <w:rPr>
                <w:rFonts w:cs="Arial"/>
                <w:i/>
                <w:sz w:val="16"/>
                <w:szCs w:val="16"/>
              </w:rPr>
              <w:t>:</w:t>
            </w:r>
            <w:r w:rsidRPr="00A1131D">
              <w:rPr>
                <w:rFonts w:cs="Arial"/>
                <w:sz w:val="16"/>
                <w:szCs w:val="16"/>
              </w:rPr>
              <w:t xml:space="preserve">  </w:t>
            </w:r>
            <w:r w:rsidRPr="00EF03E1">
              <w:rPr>
                <w:rFonts w:cs="Arial"/>
                <w:sz w:val="16"/>
                <w:szCs w:val="16"/>
              </w:rPr>
              <w:t>67 Members; 16 from Developing Countries</w:t>
            </w:r>
          </w:p>
        </w:tc>
        <w:tc>
          <w:tcPr>
            <w:tcW w:w="845" w:type="pct"/>
            <w:gridSpan w:val="4"/>
            <w:shd w:val="clear" w:color="auto" w:fill="auto"/>
            <w:tcMar>
              <w:top w:w="110" w:type="dxa"/>
            </w:tcMar>
          </w:tcPr>
          <w:p w:rsidR="00976A6B" w:rsidRPr="00A1131D" w:rsidRDefault="00976A6B" w:rsidP="007854A1">
            <w:pPr>
              <w:rPr>
                <w:rFonts w:cs="Arial"/>
                <w:sz w:val="16"/>
                <w:szCs w:val="16"/>
              </w:rPr>
            </w:pPr>
            <w:r w:rsidRPr="003867E3">
              <w:rPr>
                <w:rFonts w:cs="Arial"/>
                <w:sz w:val="16"/>
                <w:szCs w:val="16"/>
              </w:rPr>
              <w:t>15 (of which at least 5 from developing countries/LDCs)</w:t>
            </w:r>
          </w:p>
        </w:tc>
        <w:tc>
          <w:tcPr>
            <w:tcW w:w="1125" w:type="pct"/>
            <w:shd w:val="clear" w:color="auto" w:fill="FFFFFF"/>
            <w:tcMar>
              <w:top w:w="110" w:type="dxa"/>
            </w:tcMar>
          </w:tcPr>
          <w:p w:rsidR="00976A6B" w:rsidRPr="00A1131D" w:rsidRDefault="00976A6B" w:rsidP="007854A1">
            <w:pPr>
              <w:rPr>
                <w:rFonts w:cs="Arial"/>
                <w:sz w:val="16"/>
                <w:szCs w:val="16"/>
              </w:rPr>
            </w:pPr>
            <w:r>
              <w:rPr>
                <w:rFonts w:cs="Arial"/>
                <w:sz w:val="16"/>
                <w:szCs w:val="16"/>
              </w:rPr>
              <w:t>20</w:t>
            </w:r>
            <w:r w:rsidRPr="00334EBD">
              <w:rPr>
                <w:rFonts w:cs="Arial"/>
                <w:sz w:val="16"/>
                <w:szCs w:val="16"/>
              </w:rPr>
              <w:t xml:space="preserve"> new Members (of which 6 from developing countries /LDCs)</w:t>
            </w:r>
            <w:r>
              <w:rPr>
                <w:rFonts w:cs="Arial"/>
                <w:sz w:val="16"/>
                <w:szCs w:val="16"/>
              </w:rPr>
              <w:br/>
              <w:t>100</w:t>
            </w:r>
            <w:r w:rsidRPr="00334EBD">
              <w:rPr>
                <w:rFonts w:cs="Arial"/>
                <w:sz w:val="16"/>
                <w:szCs w:val="16"/>
              </w:rPr>
              <w:t xml:space="preserve"> total Members (of which 22 from developing countries/LDCs)</w:t>
            </w:r>
          </w:p>
        </w:tc>
        <w:tc>
          <w:tcPr>
            <w:tcW w:w="606" w:type="pct"/>
            <w:shd w:val="clear" w:color="auto" w:fill="auto"/>
            <w:tcMar>
              <w:top w:w="110" w:type="dxa"/>
            </w:tcMar>
          </w:tcPr>
          <w:p w:rsidR="00976A6B" w:rsidRPr="00845557" w:rsidRDefault="00976A6B" w:rsidP="007854A1">
            <w:pPr>
              <w:jc w:val="center"/>
              <w:rPr>
                <w:b/>
                <w:color w:val="00B050"/>
                <w:sz w:val="16"/>
              </w:rPr>
            </w:pPr>
            <w:r>
              <w:rPr>
                <w:b/>
                <w:color w:val="00B050"/>
                <w:sz w:val="16"/>
              </w:rPr>
              <w:t xml:space="preserve">Fully </w:t>
            </w:r>
            <w:r w:rsidR="00404344">
              <w:rPr>
                <w:b/>
                <w:color w:val="00B050"/>
                <w:sz w:val="16"/>
              </w:rPr>
              <w:t>A</w:t>
            </w:r>
            <w:r>
              <w:rPr>
                <w:b/>
                <w:color w:val="00B050"/>
                <w:sz w:val="16"/>
              </w:rPr>
              <w:t>chieved</w:t>
            </w:r>
          </w:p>
        </w:tc>
      </w:tr>
      <w:tr w:rsidR="00976A6B" w:rsidRPr="00A1131D" w:rsidTr="00E37059">
        <w:trPr>
          <w:cantSplit/>
        </w:trPr>
        <w:tc>
          <w:tcPr>
            <w:tcW w:w="1137" w:type="pct"/>
            <w:gridSpan w:val="3"/>
            <w:tcBorders>
              <w:bottom w:val="nil"/>
            </w:tcBorders>
            <w:shd w:val="clear" w:color="auto" w:fill="auto"/>
          </w:tcPr>
          <w:p w:rsidR="00976A6B" w:rsidRPr="00A1131D" w:rsidRDefault="00976A6B" w:rsidP="007854A1">
            <w:pPr>
              <w:keepNext/>
              <w:keepLines/>
              <w:rPr>
                <w:rFonts w:cs="Arial"/>
                <w:sz w:val="16"/>
                <w:szCs w:val="16"/>
              </w:rPr>
            </w:pPr>
            <w:r>
              <w:rPr>
                <w:rFonts w:cs="Arial"/>
                <w:sz w:val="16"/>
                <w:szCs w:val="16"/>
              </w:rPr>
              <w:t>Increased</w:t>
            </w:r>
            <w:r w:rsidRPr="003867E3">
              <w:rPr>
                <w:rFonts w:cs="Arial"/>
                <w:sz w:val="16"/>
                <w:szCs w:val="16"/>
              </w:rPr>
              <w:t xml:space="preserve"> contributions to WIPO Re:Search database</w:t>
            </w:r>
          </w:p>
        </w:tc>
        <w:tc>
          <w:tcPr>
            <w:tcW w:w="1287" w:type="pct"/>
            <w:gridSpan w:val="2"/>
            <w:tcBorders>
              <w:bottom w:val="nil"/>
            </w:tcBorders>
            <w:shd w:val="clear" w:color="auto" w:fill="auto"/>
          </w:tcPr>
          <w:p w:rsidR="00976A6B" w:rsidRPr="00334EBD" w:rsidRDefault="00976A6B" w:rsidP="007854A1">
            <w:pPr>
              <w:keepNext/>
              <w:keepLines/>
              <w:rPr>
                <w:rFonts w:cs="Arial"/>
                <w:color w:val="002060"/>
                <w:sz w:val="16"/>
                <w:szCs w:val="16"/>
              </w:rPr>
            </w:pPr>
            <w:r w:rsidRPr="00334EBD">
              <w:rPr>
                <w:rFonts w:cs="Arial"/>
                <w:i/>
                <w:color w:val="002060"/>
                <w:sz w:val="16"/>
                <w:szCs w:val="16"/>
              </w:rPr>
              <w:t>Updated Baseline end 2013:</w:t>
            </w:r>
            <w:r>
              <w:rPr>
                <w:rFonts w:cs="Arial"/>
                <w:i/>
                <w:color w:val="002060"/>
                <w:sz w:val="16"/>
                <w:szCs w:val="16"/>
              </w:rPr>
              <w:t xml:space="preserve"> </w:t>
            </w:r>
            <w:r w:rsidRPr="00334EBD">
              <w:rPr>
                <w:rFonts w:cs="Arial"/>
                <w:i/>
                <w:color w:val="002060"/>
                <w:sz w:val="16"/>
                <w:szCs w:val="16"/>
              </w:rPr>
              <w:t xml:space="preserve"> </w:t>
            </w:r>
            <w:r w:rsidRPr="00334EBD">
              <w:rPr>
                <w:rFonts w:cs="Arial"/>
                <w:color w:val="002060"/>
                <w:sz w:val="16"/>
                <w:szCs w:val="16"/>
              </w:rPr>
              <w:t xml:space="preserve">By end of 2013 WIPO Re:Search had facilitated 44 research collaborations (11 in 2012  and 33 in 2013) </w:t>
            </w:r>
          </w:p>
          <w:p w:rsidR="00976A6B" w:rsidRPr="00334EBD" w:rsidRDefault="00976A6B" w:rsidP="007854A1">
            <w:pPr>
              <w:keepNext/>
              <w:keepLines/>
              <w:rPr>
                <w:rFonts w:cs="Arial"/>
                <w:i/>
                <w:color w:val="002060"/>
                <w:sz w:val="8"/>
                <w:szCs w:val="8"/>
              </w:rPr>
            </w:pPr>
            <w:r w:rsidRPr="00334EBD">
              <w:rPr>
                <w:rFonts w:cs="Arial"/>
                <w:color w:val="993300"/>
                <w:sz w:val="16"/>
                <w:szCs w:val="16"/>
              </w:rPr>
              <w:br/>
            </w:r>
          </w:p>
          <w:p w:rsidR="00976A6B" w:rsidRPr="003867E3" w:rsidRDefault="00976A6B" w:rsidP="007854A1">
            <w:pPr>
              <w:keepNext/>
              <w:keepLines/>
              <w:rPr>
                <w:i/>
              </w:rPr>
            </w:pPr>
            <w:r w:rsidRPr="00334EBD">
              <w:rPr>
                <w:rFonts w:cs="Arial"/>
                <w:i/>
                <w:sz w:val="16"/>
                <w:szCs w:val="16"/>
              </w:rPr>
              <w:t>Original Baseline P&amp;B 2014/15:</w:t>
            </w:r>
            <w:r w:rsidRPr="00334EBD">
              <w:rPr>
                <w:rFonts w:cs="Arial"/>
                <w:sz w:val="16"/>
                <w:szCs w:val="16"/>
              </w:rPr>
              <w:t xml:space="preserve">  200</w:t>
            </w:r>
          </w:p>
          <w:p w:rsidR="00976A6B" w:rsidRPr="00A1131D" w:rsidRDefault="00976A6B" w:rsidP="007854A1">
            <w:pPr>
              <w:keepNext/>
              <w:keepLines/>
              <w:rPr>
                <w:rFonts w:cs="Arial"/>
                <w:sz w:val="16"/>
                <w:szCs w:val="16"/>
              </w:rPr>
            </w:pPr>
          </w:p>
        </w:tc>
        <w:tc>
          <w:tcPr>
            <w:tcW w:w="845" w:type="pct"/>
            <w:gridSpan w:val="4"/>
            <w:tcBorders>
              <w:bottom w:val="nil"/>
            </w:tcBorders>
            <w:shd w:val="clear" w:color="auto" w:fill="auto"/>
            <w:tcMar>
              <w:top w:w="110" w:type="dxa"/>
            </w:tcMar>
          </w:tcPr>
          <w:p w:rsidR="00976A6B" w:rsidRPr="00A1131D" w:rsidRDefault="00976A6B" w:rsidP="007854A1">
            <w:pPr>
              <w:keepNext/>
              <w:keepLines/>
              <w:rPr>
                <w:rFonts w:cs="Arial"/>
                <w:sz w:val="16"/>
                <w:szCs w:val="16"/>
              </w:rPr>
            </w:pPr>
            <w:r>
              <w:rPr>
                <w:rFonts w:cs="Arial"/>
                <w:sz w:val="16"/>
                <w:szCs w:val="16"/>
              </w:rPr>
              <w:t>50%</w:t>
            </w:r>
          </w:p>
        </w:tc>
        <w:tc>
          <w:tcPr>
            <w:tcW w:w="1125" w:type="pct"/>
            <w:tcBorders>
              <w:bottom w:val="nil"/>
            </w:tcBorders>
            <w:shd w:val="clear" w:color="auto" w:fill="FFFFFF"/>
            <w:tcMar>
              <w:top w:w="110" w:type="dxa"/>
            </w:tcMar>
          </w:tcPr>
          <w:p w:rsidR="00976A6B" w:rsidRDefault="00976A6B" w:rsidP="007854A1">
            <w:pPr>
              <w:keepNext/>
              <w:keepLines/>
              <w:rPr>
                <w:rFonts w:cs="Arial"/>
                <w:sz w:val="16"/>
                <w:szCs w:val="16"/>
              </w:rPr>
            </w:pPr>
            <w:r>
              <w:rPr>
                <w:rFonts w:cs="Arial"/>
                <w:sz w:val="16"/>
                <w:szCs w:val="16"/>
              </w:rPr>
              <w:t>193 contributions by end of 2015 (-22% as compared to 247 at the end of 2013)</w:t>
            </w:r>
          </w:p>
          <w:p w:rsidR="00976A6B" w:rsidRPr="00A1131D" w:rsidRDefault="00976A6B" w:rsidP="007854A1">
            <w:pPr>
              <w:keepNext/>
              <w:keepLines/>
              <w:rPr>
                <w:rFonts w:cs="Arial"/>
                <w:sz w:val="16"/>
                <w:szCs w:val="16"/>
              </w:rPr>
            </w:pPr>
            <w:r>
              <w:rPr>
                <w:rFonts w:cs="Arial"/>
                <w:sz w:val="16"/>
                <w:szCs w:val="16"/>
              </w:rPr>
              <w:br/>
              <w:t>The decrease in the number of records was due to the withdrawal of two members</w:t>
            </w:r>
          </w:p>
        </w:tc>
        <w:tc>
          <w:tcPr>
            <w:tcW w:w="606" w:type="pct"/>
            <w:tcBorders>
              <w:bottom w:val="nil"/>
            </w:tcBorders>
            <w:shd w:val="clear" w:color="auto" w:fill="auto"/>
            <w:tcMar>
              <w:top w:w="110" w:type="dxa"/>
            </w:tcMar>
          </w:tcPr>
          <w:p w:rsidR="00976A6B" w:rsidRPr="00B76CE6" w:rsidRDefault="00976A6B" w:rsidP="007854A1">
            <w:pPr>
              <w:keepNext/>
              <w:keepLines/>
              <w:jc w:val="center"/>
              <w:rPr>
                <w:rFonts w:cs="Arial"/>
                <w:b/>
                <w:bCs/>
                <w:color w:val="FF0000"/>
                <w:sz w:val="16"/>
                <w:szCs w:val="16"/>
              </w:rPr>
            </w:pPr>
            <w:r w:rsidRPr="00B76CE6">
              <w:rPr>
                <w:rFonts w:cs="Arial"/>
                <w:b/>
                <w:bCs/>
                <w:color w:val="FF0000"/>
                <w:sz w:val="16"/>
                <w:szCs w:val="16"/>
              </w:rPr>
              <w:t>Not Achieved</w:t>
            </w:r>
          </w:p>
        </w:tc>
      </w:tr>
      <w:tr w:rsidR="00976A6B" w:rsidRPr="00A1131D" w:rsidTr="00E37059">
        <w:trPr>
          <w:cantSplit/>
        </w:trPr>
        <w:tc>
          <w:tcPr>
            <w:tcW w:w="1137" w:type="pct"/>
            <w:gridSpan w:val="3"/>
            <w:tcBorders>
              <w:top w:val="nil"/>
              <w:bottom w:val="nil"/>
            </w:tcBorders>
            <w:shd w:val="clear" w:color="auto" w:fill="auto"/>
          </w:tcPr>
          <w:p w:rsidR="00976A6B" w:rsidRPr="003867E3" w:rsidRDefault="00976A6B" w:rsidP="007854A1">
            <w:pPr>
              <w:rPr>
                <w:rFonts w:cs="Arial"/>
                <w:sz w:val="16"/>
                <w:szCs w:val="16"/>
              </w:rPr>
            </w:pPr>
            <w:r w:rsidRPr="0015324A">
              <w:rPr>
                <w:rFonts w:cs="Arial"/>
                <w:sz w:val="16"/>
                <w:szCs w:val="16"/>
              </w:rPr>
              <w:t>Increased no. of agreements under WIPO Re:Search which lead to new or accelerated R&amp;D in NTDs, Malaria and TB</w:t>
            </w:r>
          </w:p>
        </w:tc>
        <w:tc>
          <w:tcPr>
            <w:tcW w:w="1287" w:type="pct"/>
            <w:gridSpan w:val="2"/>
            <w:tcBorders>
              <w:top w:val="nil"/>
              <w:bottom w:val="nil"/>
            </w:tcBorders>
            <w:shd w:val="clear" w:color="auto" w:fill="auto"/>
          </w:tcPr>
          <w:p w:rsidR="00976A6B" w:rsidRPr="00A1131D" w:rsidRDefault="00976A6B" w:rsidP="007854A1">
            <w:pPr>
              <w:rPr>
                <w:rFonts w:cs="Arial"/>
                <w:i/>
                <w:color w:val="002060"/>
                <w:sz w:val="16"/>
                <w:szCs w:val="16"/>
              </w:rPr>
            </w:pPr>
            <w:r w:rsidRPr="00A1131D">
              <w:rPr>
                <w:rFonts w:cs="Arial"/>
                <w:i/>
                <w:color w:val="002060"/>
                <w:sz w:val="16"/>
                <w:szCs w:val="16"/>
              </w:rPr>
              <w:t>Updated Baseline end 201</w:t>
            </w:r>
            <w:r>
              <w:rPr>
                <w:rFonts w:cs="Arial"/>
                <w:i/>
                <w:color w:val="002060"/>
                <w:sz w:val="16"/>
                <w:szCs w:val="16"/>
              </w:rPr>
              <w:t>3</w:t>
            </w:r>
            <w:r w:rsidRPr="00A1131D">
              <w:rPr>
                <w:rFonts w:cs="Arial"/>
                <w:i/>
                <w:color w:val="002060"/>
                <w:sz w:val="16"/>
                <w:szCs w:val="16"/>
              </w:rPr>
              <w:t xml:space="preserve">: </w:t>
            </w:r>
            <w:r w:rsidRPr="00EF03E1">
              <w:rPr>
                <w:rFonts w:cs="Arial"/>
                <w:color w:val="002060"/>
                <w:sz w:val="16"/>
                <w:szCs w:val="16"/>
              </w:rPr>
              <w:t>44</w:t>
            </w:r>
          </w:p>
          <w:p w:rsidR="00976A6B" w:rsidRPr="00A1131D" w:rsidRDefault="00976A6B" w:rsidP="007854A1">
            <w:pPr>
              <w:rPr>
                <w:rFonts w:cs="Arial"/>
                <w:i/>
                <w:color w:val="002060"/>
                <w:sz w:val="8"/>
                <w:szCs w:val="8"/>
              </w:rPr>
            </w:pPr>
            <w:r w:rsidRPr="00A1131D">
              <w:rPr>
                <w:rFonts w:cs="Arial"/>
                <w:color w:val="993300"/>
                <w:sz w:val="16"/>
                <w:szCs w:val="16"/>
              </w:rPr>
              <w:br/>
            </w:r>
          </w:p>
          <w:p w:rsidR="00976A6B" w:rsidRPr="002C289B" w:rsidRDefault="00976A6B" w:rsidP="007854A1">
            <w:pPr>
              <w:rPr>
                <w:rFonts w:asciiTheme="minorHAnsi" w:eastAsiaTheme="minorHAnsi" w:hAnsiTheme="minorHAnsi" w:cstheme="minorBidi"/>
                <w:i/>
                <w:sz w:val="22"/>
                <w:szCs w:val="22"/>
              </w:rPr>
            </w:pPr>
            <w:r w:rsidRPr="00A1131D">
              <w:rPr>
                <w:rFonts w:cs="Arial"/>
                <w:i/>
                <w:sz w:val="16"/>
                <w:szCs w:val="16"/>
              </w:rPr>
              <w:t>Original Baseline P&amp;B 201</w:t>
            </w:r>
            <w:r>
              <w:rPr>
                <w:rFonts w:cs="Arial"/>
                <w:i/>
                <w:sz w:val="16"/>
                <w:szCs w:val="16"/>
              </w:rPr>
              <w:t>4</w:t>
            </w:r>
            <w:r w:rsidRPr="00A1131D">
              <w:rPr>
                <w:rFonts w:cs="Arial"/>
                <w:i/>
                <w:sz w:val="16"/>
                <w:szCs w:val="16"/>
              </w:rPr>
              <w:t>/1</w:t>
            </w:r>
            <w:r>
              <w:rPr>
                <w:rFonts w:cs="Arial"/>
                <w:i/>
                <w:sz w:val="16"/>
                <w:szCs w:val="16"/>
              </w:rPr>
              <w:t>5</w:t>
            </w:r>
            <w:r w:rsidRPr="00A1131D">
              <w:rPr>
                <w:rFonts w:cs="Arial"/>
                <w:i/>
                <w:sz w:val="16"/>
                <w:szCs w:val="16"/>
              </w:rPr>
              <w:t>:</w:t>
            </w:r>
            <w:r w:rsidRPr="00A1131D">
              <w:rPr>
                <w:rFonts w:cs="Arial"/>
                <w:sz w:val="16"/>
                <w:szCs w:val="16"/>
              </w:rPr>
              <w:t xml:space="preserve">  </w:t>
            </w:r>
            <w:r w:rsidRPr="00EF03E1">
              <w:rPr>
                <w:rFonts w:cs="Arial"/>
                <w:sz w:val="16"/>
                <w:szCs w:val="16"/>
              </w:rPr>
              <w:t>16</w:t>
            </w:r>
          </w:p>
        </w:tc>
        <w:tc>
          <w:tcPr>
            <w:tcW w:w="845" w:type="pct"/>
            <w:gridSpan w:val="4"/>
            <w:tcBorders>
              <w:top w:val="nil"/>
              <w:bottom w:val="nil"/>
            </w:tcBorders>
            <w:shd w:val="clear" w:color="auto" w:fill="auto"/>
            <w:tcMar>
              <w:top w:w="110" w:type="dxa"/>
            </w:tcMar>
          </w:tcPr>
          <w:p w:rsidR="00976A6B" w:rsidRDefault="00976A6B" w:rsidP="007854A1">
            <w:pPr>
              <w:rPr>
                <w:rFonts w:cs="Arial"/>
                <w:sz w:val="16"/>
                <w:szCs w:val="16"/>
              </w:rPr>
            </w:pPr>
            <w:r>
              <w:rPr>
                <w:rFonts w:cs="Arial"/>
                <w:sz w:val="16"/>
                <w:szCs w:val="16"/>
              </w:rPr>
              <w:t>20</w:t>
            </w:r>
          </w:p>
        </w:tc>
        <w:tc>
          <w:tcPr>
            <w:tcW w:w="1125" w:type="pct"/>
            <w:tcBorders>
              <w:top w:val="nil"/>
              <w:bottom w:val="nil"/>
            </w:tcBorders>
            <w:shd w:val="clear" w:color="auto" w:fill="FFFFFF"/>
            <w:tcMar>
              <w:top w:w="110" w:type="dxa"/>
            </w:tcMar>
          </w:tcPr>
          <w:p w:rsidR="00976A6B" w:rsidRDefault="00976A6B" w:rsidP="007854A1">
            <w:pPr>
              <w:rPr>
                <w:rFonts w:cs="Arial"/>
                <w:sz w:val="16"/>
                <w:szCs w:val="16"/>
                <w:lang w:bidi="th-TH"/>
              </w:rPr>
            </w:pPr>
            <w:r>
              <w:rPr>
                <w:rFonts w:cs="Arial"/>
                <w:sz w:val="16"/>
                <w:szCs w:val="16"/>
                <w:lang w:bidi="th-TH"/>
              </w:rPr>
              <w:t>52 new collaboration agreements (96 total agreements)</w:t>
            </w:r>
          </w:p>
        </w:tc>
        <w:tc>
          <w:tcPr>
            <w:tcW w:w="606" w:type="pct"/>
            <w:tcBorders>
              <w:top w:val="nil"/>
              <w:bottom w:val="nil"/>
            </w:tcBorders>
            <w:shd w:val="clear" w:color="auto" w:fill="auto"/>
            <w:tcMar>
              <w:top w:w="110" w:type="dxa"/>
            </w:tcMar>
          </w:tcPr>
          <w:p w:rsidR="00976A6B" w:rsidRPr="00845557" w:rsidRDefault="00976A6B" w:rsidP="007854A1">
            <w:pPr>
              <w:keepNext/>
              <w:keepLines/>
              <w:jc w:val="center"/>
              <w:rPr>
                <w:b/>
                <w:color w:val="00B050"/>
                <w:sz w:val="16"/>
              </w:rPr>
            </w:pPr>
            <w:r>
              <w:rPr>
                <w:b/>
                <w:color w:val="00B050"/>
                <w:sz w:val="16"/>
              </w:rPr>
              <w:t>Fully Achieved</w:t>
            </w:r>
          </w:p>
        </w:tc>
      </w:tr>
      <w:tr w:rsidR="00976A6B" w:rsidRPr="00A1131D" w:rsidTr="00E37059">
        <w:trPr>
          <w:cantSplit/>
          <w:trHeight w:val="421"/>
        </w:trPr>
        <w:tc>
          <w:tcPr>
            <w:tcW w:w="1137" w:type="pct"/>
            <w:gridSpan w:val="3"/>
            <w:tcBorders>
              <w:top w:val="nil"/>
              <w:bottom w:val="single" w:sz="4" w:space="0" w:color="auto"/>
            </w:tcBorders>
            <w:shd w:val="clear" w:color="auto" w:fill="auto"/>
          </w:tcPr>
          <w:p w:rsidR="00976A6B" w:rsidRPr="003867E3" w:rsidRDefault="00976A6B" w:rsidP="007854A1">
            <w:pPr>
              <w:rPr>
                <w:rFonts w:cs="Arial"/>
                <w:sz w:val="16"/>
                <w:szCs w:val="16"/>
              </w:rPr>
            </w:pPr>
            <w:r w:rsidRPr="0015324A">
              <w:rPr>
                <w:rFonts w:cs="Arial"/>
                <w:sz w:val="16"/>
                <w:szCs w:val="16"/>
              </w:rPr>
              <w:t>No. of WIPO GREEN Members</w:t>
            </w:r>
          </w:p>
        </w:tc>
        <w:tc>
          <w:tcPr>
            <w:tcW w:w="1287" w:type="pct"/>
            <w:gridSpan w:val="2"/>
            <w:tcBorders>
              <w:top w:val="nil"/>
              <w:bottom w:val="single" w:sz="4" w:space="0" w:color="auto"/>
            </w:tcBorders>
            <w:shd w:val="clear" w:color="auto" w:fill="auto"/>
          </w:tcPr>
          <w:p w:rsidR="00976A6B" w:rsidRPr="00EF03E1" w:rsidRDefault="00976A6B" w:rsidP="007854A1">
            <w:pPr>
              <w:rPr>
                <w:rFonts w:cs="Arial"/>
                <w:color w:val="002060"/>
                <w:sz w:val="16"/>
                <w:szCs w:val="16"/>
              </w:rPr>
            </w:pPr>
            <w:r w:rsidRPr="00A1131D">
              <w:rPr>
                <w:rFonts w:cs="Arial"/>
                <w:i/>
                <w:color w:val="002060"/>
                <w:sz w:val="16"/>
                <w:szCs w:val="16"/>
              </w:rPr>
              <w:t>Updated Baseline end 201</w:t>
            </w:r>
            <w:r>
              <w:rPr>
                <w:rFonts w:cs="Arial"/>
                <w:i/>
                <w:color w:val="002060"/>
                <w:sz w:val="16"/>
                <w:szCs w:val="16"/>
              </w:rPr>
              <w:t>3</w:t>
            </w:r>
            <w:r w:rsidRPr="00A1131D">
              <w:rPr>
                <w:rFonts w:cs="Arial"/>
                <w:i/>
                <w:color w:val="002060"/>
                <w:sz w:val="16"/>
                <w:szCs w:val="16"/>
              </w:rPr>
              <w:t xml:space="preserve">: </w:t>
            </w:r>
            <w:r w:rsidRPr="00EF03E1">
              <w:rPr>
                <w:rFonts w:cs="Arial"/>
                <w:color w:val="002060"/>
                <w:sz w:val="16"/>
                <w:szCs w:val="16"/>
              </w:rPr>
              <w:t>36 Partners, 160 users, 830 uploads</w:t>
            </w:r>
            <w:r w:rsidRPr="00EF03E1">
              <w:rPr>
                <w:rStyle w:val="FootnoteReference"/>
                <w:rFonts w:cs="Arial"/>
                <w:color w:val="002060"/>
                <w:sz w:val="16"/>
                <w:szCs w:val="16"/>
              </w:rPr>
              <w:footnoteReference w:id="103"/>
            </w:r>
          </w:p>
          <w:p w:rsidR="00976A6B" w:rsidRPr="00D22D36" w:rsidRDefault="00976A6B" w:rsidP="007854A1">
            <w:r>
              <w:rPr>
                <w:rFonts w:cs="Arial"/>
                <w:color w:val="993300"/>
                <w:sz w:val="16"/>
                <w:szCs w:val="16"/>
              </w:rPr>
              <w:br/>
            </w:r>
            <w:r>
              <w:rPr>
                <w:rFonts w:cs="Arial"/>
                <w:color w:val="993300"/>
                <w:sz w:val="16"/>
                <w:szCs w:val="16"/>
              </w:rPr>
              <w:br/>
            </w:r>
            <w:r w:rsidRPr="00A1131D">
              <w:rPr>
                <w:rFonts w:cs="Arial"/>
                <w:color w:val="993300"/>
                <w:sz w:val="16"/>
                <w:szCs w:val="16"/>
              </w:rPr>
              <w:br/>
            </w:r>
            <w:r w:rsidRPr="00A1131D">
              <w:rPr>
                <w:rFonts w:cs="Arial"/>
                <w:i/>
                <w:sz w:val="16"/>
                <w:szCs w:val="16"/>
              </w:rPr>
              <w:t>Original Baseline P&amp;B 201</w:t>
            </w:r>
            <w:r>
              <w:rPr>
                <w:rFonts w:cs="Arial"/>
                <w:i/>
                <w:sz w:val="16"/>
                <w:szCs w:val="16"/>
              </w:rPr>
              <w:t>4</w:t>
            </w:r>
            <w:r w:rsidRPr="00A1131D">
              <w:rPr>
                <w:rFonts w:cs="Arial"/>
                <w:i/>
                <w:sz w:val="16"/>
                <w:szCs w:val="16"/>
              </w:rPr>
              <w:t>/1</w:t>
            </w:r>
            <w:r>
              <w:rPr>
                <w:rFonts w:cs="Arial"/>
                <w:i/>
                <w:sz w:val="16"/>
                <w:szCs w:val="16"/>
              </w:rPr>
              <w:t>5</w:t>
            </w:r>
            <w:r w:rsidRPr="00A1131D">
              <w:rPr>
                <w:rFonts w:cs="Arial"/>
                <w:i/>
                <w:sz w:val="16"/>
                <w:szCs w:val="16"/>
              </w:rPr>
              <w:t xml:space="preserve">:  </w:t>
            </w:r>
            <w:r w:rsidRPr="00EF03E1">
              <w:rPr>
                <w:rFonts w:cs="Arial"/>
                <w:sz w:val="16"/>
                <w:szCs w:val="16"/>
              </w:rPr>
              <w:t>1 partner;  48 uploads</w:t>
            </w:r>
          </w:p>
          <w:p w:rsidR="00976A6B" w:rsidRPr="00A1131D" w:rsidRDefault="00976A6B" w:rsidP="007854A1">
            <w:pPr>
              <w:rPr>
                <w:rFonts w:cs="Arial"/>
                <w:i/>
                <w:color w:val="002060"/>
                <w:sz w:val="16"/>
                <w:szCs w:val="16"/>
                <w:highlight w:val="yellow"/>
              </w:rPr>
            </w:pPr>
          </w:p>
        </w:tc>
        <w:tc>
          <w:tcPr>
            <w:tcW w:w="845" w:type="pct"/>
            <w:gridSpan w:val="4"/>
            <w:tcBorders>
              <w:top w:val="nil"/>
              <w:bottom w:val="single" w:sz="4" w:space="0" w:color="auto"/>
            </w:tcBorders>
            <w:shd w:val="clear" w:color="auto" w:fill="auto"/>
            <w:tcMar>
              <w:top w:w="110" w:type="dxa"/>
            </w:tcMar>
          </w:tcPr>
          <w:p w:rsidR="00976A6B" w:rsidRDefault="00976A6B" w:rsidP="007854A1">
            <w:pPr>
              <w:rPr>
                <w:rFonts w:cs="Arial"/>
                <w:sz w:val="16"/>
                <w:szCs w:val="16"/>
              </w:rPr>
            </w:pPr>
            <w:r w:rsidRPr="00046770">
              <w:rPr>
                <w:rFonts w:cs="Arial"/>
                <w:sz w:val="16"/>
                <w:szCs w:val="16"/>
              </w:rPr>
              <w:t xml:space="preserve">10 new partners  </w:t>
            </w:r>
          </w:p>
          <w:p w:rsidR="00976A6B" w:rsidRDefault="00976A6B" w:rsidP="007854A1">
            <w:pPr>
              <w:spacing w:before="60" w:after="60"/>
              <w:rPr>
                <w:rFonts w:cs="Arial"/>
                <w:sz w:val="16"/>
                <w:szCs w:val="16"/>
              </w:rPr>
            </w:pPr>
          </w:p>
          <w:p w:rsidR="00976A6B" w:rsidRDefault="00976A6B" w:rsidP="007854A1">
            <w:pPr>
              <w:spacing w:before="60" w:after="60"/>
              <w:rPr>
                <w:rFonts w:cs="Arial"/>
                <w:sz w:val="16"/>
                <w:szCs w:val="16"/>
              </w:rPr>
            </w:pPr>
            <w:r w:rsidRPr="00770661">
              <w:rPr>
                <w:rFonts w:cs="Arial"/>
                <w:sz w:val="16"/>
                <w:szCs w:val="16"/>
              </w:rPr>
              <w:t xml:space="preserve">160 users </w:t>
            </w:r>
          </w:p>
          <w:p w:rsidR="00976A6B" w:rsidRDefault="00976A6B" w:rsidP="007854A1">
            <w:pPr>
              <w:spacing w:before="60" w:after="60"/>
              <w:rPr>
                <w:rFonts w:cs="Arial"/>
                <w:sz w:val="16"/>
                <w:szCs w:val="16"/>
              </w:rPr>
            </w:pPr>
            <w:r>
              <w:rPr>
                <w:rFonts w:cs="Arial"/>
                <w:sz w:val="16"/>
                <w:szCs w:val="16"/>
              </w:rPr>
              <w:br/>
            </w:r>
            <w:r w:rsidRPr="009521C5">
              <w:rPr>
                <w:rFonts w:cs="Arial"/>
                <w:sz w:val="16"/>
                <w:szCs w:val="16"/>
              </w:rPr>
              <w:t>400 uploads</w:t>
            </w:r>
          </w:p>
        </w:tc>
        <w:tc>
          <w:tcPr>
            <w:tcW w:w="1125" w:type="pct"/>
            <w:tcBorders>
              <w:top w:val="nil"/>
              <w:bottom w:val="single" w:sz="4" w:space="0" w:color="auto"/>
            </w:tcBorders>
            <w:shd w:val="clear" w:color="auto" w:fill="FFFFFF"/>
            <w:tcMar>
              <w:top w:w="110" w:type="dxa"/>
            </w:tcMar>
          </w:tcPr>
          <w:p w:rsidR="00976A6B" w:rsidRPr="009521C5" w:rsidRDefault="00976A6B" w:rsidP="00976A6B">
            <w:pPr>
              <w:pStyle w:val="ListParagraph"/>
              <w:numPr>
                <w:ilvl w:val="0"/>
                <w:numId w:val="67"/>
              </w:numPr>
              <w:rPr>
                <w:rFonts w:cs="Arial"/>
                <w:sz w:val="16"/>
                <w:szCs w:val="16"/>
                <w:lang w:bidi="th-TH"/>
              </w:rPr>
            </w:pPr>
            <w:r w:rsidRPr="009521C5">
              <w:rPr>
                <w:rFonts w:cs="Arial"/>
                <w:sz w:val="16"/>
                <w:szCs w:val="16"/>
                <w:lang w:bidi="th-TH"/>
              </w:rPr>
              <w:t>29 new partners (total 65)</w:t>
            </w:r>
          </w:p>
          <w:p w:rsidR="00976A6B" w:rsidRDefault="00976A6B" w:rsidP="00976A6B">
            <w:pPr>
              <w:pStyle w:val="ListParagraph"/>
              <w:numPr>
                <w:ilvl w:val="0"/>
                <w:numId w:val="67"/>
              </w:numPr>
              <w:spacing w:before="60" w:after="60"/>
              <w:rPr>
                <w:rFonts w:cs="Arial"/>
                <w:sz w:val="16"/>
                <w:szCs w:val="16"/>
                <w:lang w:bidi="th-TH"/>
              </w:rPr>
            </w:pPr>
            <w:r w:rsidRPr="009521C5">
              <w:rPr>
                <w:rFonts w:cs="Arial"/>
                <w:sz w:val="16"/>
                <w:szCs w:val="16"/>
                <w:lang w:bidi="th-TH"/>
              </w:rPr>
              <w:t>330 new users (490 total)</w:t>
            </w:r>
          </w:p>
          <w:p w:rsidR="00976A6B" w:rsidRPr="009521C5" w:rsidRDefault="00976A6B" w:rsidP="00976A6B">
            <w:pPr>
              <w:pStyle w:val="ListParagraph"/>
              <w:numPr>
                <w:ilvl w:val="0"/>
                <w:numId w:val="67"/>
              </w:numPr>
              <w:rPr>
                <w:rFonts w:cs="Arial"/>
                <w:sz w:val="16"/>
                <w:szCs w:val="16"/>
                <w:lang w:bidi="th-TH"/>
              </w:rPr>
            </w:pPr>
            <w:r w:rsidRPr="009521C5">
              <w:rPr>
                <w:rFonts w:cs="Arial"/>
                <w:sz w:val="16"/>
                <w:szCs w:val="16"/>
                <w:lang w:bidi="th-TH"/>
              </w:rPr>
              <w:t xml:space="preserve">1,351 new uploads  </w:t>
            </w:r>
            <w:r w:rsidRPr="009521C5">
              <w:rPr>
                <w:rFonts w:cs="Arial"/>
                <w:sz w:val="16"/>
                <w:szCs w:val="16"/>
                <w:lang w:bidi="th-TH"/>
              </w:rPr>
              <w:br/>
              <w:t>(2,181 total</w:t>
            </w:r>
            <w:r>
              <w:rPr>
                <w:rStyle w:val="FootnoteReference"/>
                <w:rFonts w:cs="Arial"/>
                <w:sz w:val="16"/>
                <w:szCs w:val="16"/>
                <w:lang w:bidi="th-TH"/>
              </w:rPr>
              <w:footnoteReference w:id="104"/>
            </w:r>
            <w:r w:rsidRPr="009521C5">
              <w:rPr>
                <w:rFonts w:cs="Arial"/>
                <w:sz w:val="16"/>
                <w:szCs w:val="16"/>
                <w:lang w:bidi="th-TH"/>
              </w:rPr>
              <w:t>)</w:t>
            </w:r>
          </w:p>
        </w:tc>
        <w:tc>
          <w:tcPr>
            <w:tcW w:w="606" w:type="pct"/>
            <w:tcBorders>
              <w:top w:val="nil"/>
              <w:bottom w:val="single" w:sz="4" w:space="0" w:color="auto"/>
            </w:tcBorders>
            <w:shd w:val="clear" w:color="auto" w:fill="auto"/>
            <w:tcMar>
              <w:top w:w="110" w:type="dxa"/>
            </w:tcMar>
          </w:tcPr>
          <w:p w:rsidR="00976A6B" w:rsidRDefault="00976A6B" w:rsidP="007854A1">
            <w:pPr>
              <w:keepNext/>
              <w:keepLines/>
              <w:spacing w:before="60" w:after="60"/>
              <w:jc w:val="center"/>
              <w:rPr>
                <w:b/>
                <w:color w:val="00B050"/>
                <w:sz w:val="16"/>
              </w:rPr>
            </w:pPr>
            <w:r w:rsidRPr="009521C5">
              <w:rPr>
                <w:b/>
                <w:color w:val="00B050"/>
                <w:sz w:val="16"/>
              </w:rPr>
              <w:t>Fully Achieved</w:t>
            </w:r>
          </w:p>
          <w:p w:rsidR="00976A6B" w:rsidRDefault="00976A6B" w:rsidP="007854A1">
            <w:pPr>
              <w:keepNext/>
              <w:keepLines/>
              <w:spacing w:before="60" w:after="60"/>
              <w:jc w:val="center"/>
              <w:rPr>
                <w:b/>
                <w:color w:val="00B050"/>
                <w:sz w:val="16"/>
              </w:rPr>
            </w:pPr>
            <w:r w:rsidRPr="009521C5">
              <w:rPr>
                <w:b/>
                <w:color w:val="00B050"/>
                <w:sz w:val="16"/>
              </w:rPr>
              <w:t>Fully Achieved</w:t>
            </w:r>
          </w:p>
          <w:p w:rsidR="00976A6B" w:rsidRPr="009521C5" w:rsidRDefault="00976A6B" w:rsidP="007854A1">
            <w:pPr>
              <w:keepNext/>
              <w:keepLines/>
              <w:spacing w:before="60" w:after="60"/>
              <w:jc w:val="center"/>
              <w:rPr>
                <w:rFonts w:cs="Arial"/>
                <w:b/>
                <w:bCs/>
                <w:color w:val="808080"/>
                <w:sz w:val="15"/>
                <w:szCs w:val="15"/>
              </w:rPr>
            </w:pPr>
            <w:r w:rsidRPr="009521C5">
              <w:rPr>
                <w:b/>
                <w:color w:val="00B050"/>
                <w:sz w:val="16"/>
              </w:rPr>
              <w:t>Fully Achieved</w:t>
            </w:r>
          </w:p>
        </w:tc>
      </w:tr>
      <w:tr w:rsidR="00976A6B" w:rsidRPr="00A1131D" w:rsidTr="00E37059">
        <w:trPr>
          <w:cantSplit/>
        </w:trPr>
        <w:tc>
          <w:tcPr>
            <w:tcW w:w="1137" w:type="pct"/>
            <w:gridSpan w:val="3"/>
            <w:tcBorders>
              <w:top w:val="single" w:sz="4" w:space="0" w:color="auto"/>
              <w:bottom w:val="nil"/>
              <w:right w:val="nil"/>
            </w:tcBorders>
            <w:shd w:val="clear" w:color="auto" w:fill="auto"/>
          </w:tcPr>
          <w:p w:rsidR="00976A6B" w:rsidRDefault="00976A6B" w:rsidP="007854A1">
            <w:pPr>
              <w:rPr>
                <w:rFonts w:cs="Arial"/>
                <w:sz w:val="16"/>
                <w:szCs w:val="16"/>
              </w:rPr>
            </w:pPr>
            <w:r w:rsidRPr="0015324A">
              <w:rPr>
                <w:rFonts w:cs="Arial"/>
                <w:sz w:val="16"/>
                <w:szCs w:val="16"/>
              </w:rPr>
              <w:lastRenderedPageBreak/>
              <w:t>No. of established links of WIPO GREEN to relevant mechanisms, such as Climate Technology Centers and Networks (UNFCCC) and Climate Innovation Centers (infoDev)</w:t>
            </w:r>
          </w:p>
          <w:p w:rsidR="00976A6B" w:rsidRPr="003867E3" w:rsidRDefault="00976A6B" w:rsidP="007854A1">
            <w:pPr>
              <w:rPr>
                <w:rFonts w:cs="Arial"/>
                <w:sz w:val="16"/>
                <w:szCs w:val="16"/>
              </w:rPr>
            </w:pPr>
          </w:p>
        </w:tc>
        <w:tc>
          <w:tcPr>
            <w:tcW w:w="1287" w:type="pct"/>
            <w:gridSpan w:val="2"/>
            <w:tcBorders>
              <w:top w:val="single" w:sz="4" w:space="0" w:color="auto"/>
              <w:left w:val="nil"/>
              <w:bottom w:val="nil"/>
              <w:right w:val="nil"/>
            </w:tcBorders>
            <w:shd w:val="clear" w:color="auto" w:fill="auto"/>
          </w:tcPr>
          <w:p w:rsidR="00976A6B" w:rsidRDefault="00976A6B" w:rsidP="007854A1">
            <w:pPr>
              <w:rPr>
                <w:rFonts w:cs="Arial"/>
                <w:i/>
                <w:color w:val="002060"/>
                <w:sz w:val="16"/>
                <w:szCs w:val="16"/>
              </w:rPr>
            </w:pPr>
            <w:r w:rsidRPr="00A1131D">
              <w:rPr>
                <w:rFonts w:cs="Arial"/>
                <w:i/>
                <w:color w:val="002060"/>
                <w:sz w:val="16"/>
                <w:szCs w:val="16"/>
              </w:rPr>
              <w:t>Updated Baseline end 201</w:t>
            </w:r>
            <w:r>
              <w:rPr>
                <w:rFonts w:cs="Arial"/>
                <w:i/>
                <w:color w:val="002060"/>
                <w:sz w:val="16"/>
                <w:szCs w:val="16"/>
              </w:rPr>
              <w:t>3</w:t>
            </w:r>
            <w:r w:rsidRPr="00A1131D">
              <w:rPr>
                <w:rFonts w:cs="Arial"/>
                <w:i/>
                <w:color w:val="002060"/>
                <w:sz w:val="16"/>
                <w:szCs w:val="16"/>
              </w:rPr>
              <w:t xml:space="preserve">: </w:t>
            </w:r>
          </w:p>
          <w:p w:rsidR="00976A6B" w:rsidRPr="00A1131D" w:rsidRDefault="00976A6B" w:rsidP="007854A1">
            <w:pPr>
              <w:rPr>
                <w:rFonts w:cs="Arial"/>
                <w:i/>
                <w:color w:val="002060"/>
                <w:sz w:val="16"/>
                <w:szCs w:val="16"/>
              </w:rPr>
            </w:pPr>
            <w:r>
              <w:rPr>
                <w:rFonts w:cs="Arial"/>
                <w:color w:val="002060"/>
                <w:sz w:val="16"/>
                <w:szCs w:val="16"/>
              </w:rPr>
              <w:t>1 (</w:t>
            </w:r>
            <w:r w:rsidRPr="00D22D36">
              <w:rPr>
                <w:rFonts w:cs="Arial"/>
                <w:color w:val="002060"/>
                <w:sz w:val="16"/>
                <w:szCs w:val="16"/>
              </w:rPr>
              <w:t>East Africa Climate Innovation Network (EACIN)</w:t>
            </w:r>
            <w:r>
              <w:rPr>
                <w:rFonts w:cs="Arial"/>
                <w:color w:val="002060"/>
                <w:sz w:val="16"/>
                <w:szCs w:val="16"/>
              </w:rPr>
              <w:t>)</w:t>
            </w:r>
          </w:p>
          <w:p w:rsidR="00976A6B" w:rsidRPr="00A1131D" w:rsidRDefault="00976A6B" w:rsidP="007854A1">
            <w:pPr>
              <w:rPr>
                <w:rFonts w:cs="Arial"/>
                <w:i/>
                <w:color w:val="002060"/>
                <w:sz w:val="8"/>
                <w:szCs w:val="8"/>
              </w:rPr>
            </w:pPr>
            <w:r w:rsidRPr="00A1131D">
              <w:rPr>
                <w:rFonts w:cs="Arial"/>
                <w:color w:val="993300"/>
                <w:sz w:val="16"/>
                <w:szCs w:val="16"/>
              </w:rPr>
              <w:br/>
            </w:r>
          </w:p>
          <w:p w:rsidR="00976A6B" w:rsidRPr="00D22D36" w:rsidRDefault="00976A6B" w:rsidP="007854A1">
            <w:r w:rsidRPr="00A1131D">
              <w:rPr>
                <w:rFonts w:cs="Arial"/>
                <w:i/>
                <w:sz w:val="16"/>
                <w:szCs w:val="16"/>
              </w:rPr>
              <w:t>Original Baseline P&amp;B 201</w:t>
            </w:r>
            <w:r>
              <w:rPr>
                <w:rFonts w:cs="Arial"/>
                <w:i/>
                <w:sz w:val="16"/>
                <w:szCs w:val="16"/>
              </w:rPr>
              <w:t>4</w:t>
            </w:r>
            <w:r w:rsidRPr="00A1131D">
              <w:rPr>
                <w:rFonts w:cs="Arial"/>
                <w:i/>
                <w:sz w:val="16"/>
                <w:szCs w:val="16"/>
              </w:rPr>
              <w:t>/1</w:t>
            </w:r>
            <w:r>
              <w:rPr>
                <w:rFonts w:cs="Arial"/>
                <w:i/>
                <w:sz w:val="16"/>
                <w:szCs w:val="16"/>
              </w:rPr>
              <w:t>5</w:t>
            </w:r>
            <w:r w:rsidRPr="00A1131D">
              <w:rPr>
                <w:rFonts w:cs="Arial"/>
                <w:i/>
                <w:sz w:val="16"/>
                <w:szCs w:val="16"/>
              </w:rPr>
              <w:t>:</w:t>
            </w:r>
            <w:r>
              <w:t xml:space="preserve"> </w:t>
            </w:r>
            <w:r w:rsidRPr="00D22D36">
              <w:rPr>
                <w:rFonts w:cs="Arial"/>
                <w:sz w:val="16"/>
                <w:szCs w:val="16"/>
              </w:rPr>
              <w:t xml:space="preserve">0 (zero)  </w:t>
            </w:r>
          </w:p>
          <w:p w:rsidR="00976A6B" w:rsidRPr="00A1131D" w:rsidRDefault="00976A6B" w:rsidP="007854A1">
            <w:pPr>
              <w:rPr>
                <w:rFonts w:cs="Arial"/>
                <w:i/>
                <w:color w:val="002060"/>
                <w:sz w:val="16"/>
                <w:szCs w:val="16"/>
                <w:highlight w:val="yellow"/>
              </w:rPr>
            </w:pPr>
          </w:p>
        </w:tc>
        <w:tc>
          <w:tcPr>
            <w:tcW w:w="845" w:type="pct"/>
            <w:gridSpan w:val="4"/>
            <w:tcBorders>
              <w:top w:val="single" w:sz="4" w:space="0" w:color="auto"/>
              <w:left w:val="nil"/>
              <w:bottom w:val="nil"/>
              <w:right w:val="nil"/>
            </w:tcBorders>
            <w:shd w:val="clear" w:color="auto" w:fill="auto"/>
            <w:tcMar>
              <w:top w:w="110" w:type="dxa"/>
            </w:tcMar>
          </w:tcPr>
          <w:p w:rsidR="00976A6B" w:rsidRDefault="00976A6B" w:rsidP="007854A1">
            <w:pPr>
              <w:rPr>
                <w:rFonts w:cs="Arial"/>
                <w:sz w:val="16"/>
                <w:szCs w:val="16"/>
              </w:rPr>
            </w:pPr>
            <w:r w:rsidRPr="00046770">
              <w:rPr>
                <w:rFonts w:cs="Arial"/>
                <w:sz w:val="16"/>
                <w:szCs w:val="16"/>
              </w:rPr>
              <w:t>3</w:t>
            </w:r>
          </w:p>
        </w:tc>
        <w:tc>
          <w:tcPr>
            <w:tcW w:w="1125" w:type="pct"/>
            <w:tcBorders>
              <w:top w:val="single" w:sz="4" w:space="0" w:color="auto"/>
              <w:left w:val="nil"/>
              <w:bottom w:val="nil"/>
              <w:right w:val="nil"/>
            </w:tcBorders>
            <w:shd w:val="clear" w:color="auto" w:fill="FFFFFF"/>
            <w:tcMar>
              <w:top w:w="110" w:type="dxa"/>
            </w:tcMar>
          </w:tcPr>
          <w:p w:rsidR="00976A6B" w:rsidRDefault="00976A6B" w:rsidP="007854A1">
            <w:pPr>
              <w:rPr>
                <w:rFonts w:cs="Arial"/>
                <w:sz w:val="16"/>
                <w:szCs w:val="16"/>
                <w:lang w:bidi="th-TH"/>
              </w:rPr>
            </w:pPr>
            <w:r>
              <w:rPr>
                <w:rFonts w:cs="Arial"/>
                <w:sz w:val="16"/>
                <w:szCs w:val="16"/>
                <w:lang w:bidi="th-TH"/>
              </w:rPr>
              <w:t xml:space="preserve">6 additional in 2014/15:  </w:t>
            </w:r>
          </w:p>
          <w:p w:rsidR="00976A6B" w:rsidRDefault="00976A6B" w:rsidP="00976A6B">
            <w:pPr>
              <w:pStyle w:val="ListParagraph"/>
              <w:numPr>
                <w:ilvl w:val="0"/>
                <w:numId w:val="69"/>
              </w:numPr>
              <w:rPr>
                <w:rFonts w:cs="Arial"/>
                <w:sz w:val="16"/>
                <w:szCs w:val="16"/>
                <w:lang w:bidi="th-TH"/>
              </w:rPr>
            </w:pPr>
            <w:r w:rsidRPr="00506398">
              <w:rPr>
                <w:rFonts w:cs="Arial"/>
                <w:sz w:val="16"/>
                <w:szCs w:val="16"/>
                <w:lang w:bidi="th-TH"/>
              </w:rPr>
              <w:t xml:space="preserve">Climate Technology Centre and Network (CTCN) </w:t>
            </w:r>
          </w:p>
          <w:p w:rsidR="00976A6B" w:rsidRDefault="00976A6B" w:rsidP="00976A6B">
            <w:pPr>
              <w:pStyle w:val="ListParagraph"/>
              <w:numPr>
                <w:ilvl w:val="0"/>
                <w:numId w:val="69"/>
              </w:numPr>
              <w:rPr>
                <w:rFonts w:cs="Arial"/>
                <w:sz w:val="16"/>
                <w:szCs w:val="16"/>
                <w:lang w:bidi="th-TH"/>
              </w:rPr>
            </w:pPr>
            <w:r w:rsidRPr="00506398">
              <w:rPr>
                <w:rFonts w:cs="Arial"/>
                <w:sz w:val="16"/>
                <w:szCs w:val="16"/>
                <w:lang w:bidi="th-TH"/>
              </w:rPr>
              <w:t xml:space="preserve">inforDev </w:t>
            </w:r>
          </w:p>
          <w:p w:rsidR="00976A6B" w:rsidRDefault="00976A6B" w:rsidP="00976A6B">
            <w:pPr>
              <w:pStyle w:val="ListParagraph"/>
              <w:numPr>
                <w:ilvl w:val="0"/>
                <w:numId w:val="69"/>
              </w:numPr>
              <w:rPr>
                <w:rFonts w:cs="Arial"/>
                <w:sz w:val="16"/>
                <w:szCs w:val="16"/>
                <w:lang w:bidi="th-TH"/>
              </w:rPr>
            </w:pPr>
            <w:r w:rsidRPr="00506398">
              <w:rPr>
                <w:rFonts w:cs="Arial"/>
                <w:sz w:val="16"/>
                <w:szCs w:val="16"/>
                <w:lang w:bidi="th-TH"/>
              </w:rPr>
              <w:t xml:space="preserve">EcoPatent Commons </w:t>
            </w:r>
          </w:p>
          <w:p w:rsidR="00976A6B" w:rsidRPr="0081556C" w:rsidRDefault="00976A6B" w:rsidP="00976A6B">
            <w:pPr>
              <w:pStyle w:val="ListParagraph"/>
              <w:numPr>
                <w:ilvl w:val="0"/>
                <w:numId w:val="69"/>
              </w:numPr>
              <w:rPr>
                <w:rFonts w:cs="Arial"/>
                <w:sz w:val="16"/>
                <w:szCs w:val="16"/>
                <w:lang w:bidi="th-TH"/>
              </w:rPr>
            </w:pPr>
            <w:r w:rsidRPr="00506398">
              <w:rPr>
                <w:sz w:val="16"/>
                <w:szCs w:val="16"/>
              </w:rPr>
              <w:t>Kenya Climate Innovation Center (KCIC)</w:t>
            </w:r>
          </w:p>
          <w:p w:rsidR="00976A6B" w:rsidRPr="0081556C" w:rsidRDefault="00976A6B" w:rsidP="00976A6B">
            <w:pPr>
              <w:pStyle w:val="ListParagraph"/>
              <w:numPr>
                <w:ilvl w:val="0"/>
                <w:numId w:val="69"/>
              </w:numPr>
              <w:rPr>
                <w:rFonts w:cs="Arial"/>
                <w:sz w:val="16"/>
                <w:szCs w:val="16"/>
                <w:lang w:bidi="th-TH"/>
              </w:rPr>
            </w:pPr>
            <w:r w:rsidRPr="00506398">
              <w:rPr>
                <w:sz w:val="16"/>
                <w:szCs w:val="16"/>
              </w:rPr>
              <w:t>Climate KIC</w:t>
            </w:r>
          </w:p>
          <w:p w:rsidR="00976A6B" w:rsidRPr="00506398" w:rsidRDefault="00976A6B" w:rsidP="00976A6B">
            <w:pPr>
              <w:pStyle w:val="ListParagraph"/>
              <w:numPr>
                <w:ilvl w:val="0"/>
                <w:numId w:val="69"/>
              </w:numPr>
              <w:rPr>
                <w:rFonts w:cs="Arial"/>
                <w:sz w:val="16"/>
                <w:szCs w:val="16"/>
                <w:lang w:bidi="th-TH"/>
              </w:rPr>
            </w:pPr>
            <w:r w:rsidRPr="00506398">
              <w:rPr>
                <w:rFonts w:cs="Arial"/>
                <w:sz w:val="16"/>
                <w:szCs w:val="16"/>
                <w:lang w:bidi="th-TH"/>
              </w:rPr>
              <w:t>Waseda Environmental Institute</w:t>
            </w:r>
          </w:p>
          <w:p w:rsidR="00976A6B" w:rsidRPr="00962B36" w:rsidRDefault="00976A6B" w:rsidP="007854A1">
            <w:pPr>
              <w:rPr>
                <w:rFonts w:cs="Arial"/>
                <w:sz w:val="16"/>
                <w:szCs w:val="16"/>
                <w:highlight w:val="yellow"/>
                <w:lang w:bidi="th-TH"/>
              </w:rPr>
            </w:pPr>
            <w:r>
              <w:rPr>
                <w:rFonts w:cs="Arial"/>
                <w:sz w:val="16"/>
                <w:szCs w:val="16"/>
                <w:lang w:bidi="th-TH"/>
              </w:rPr>
              <w:t>(7 cumulative)</w:t>
            </w:r>
          </w:p>
        </w:tc>
        <w:tc>
          <w:tcPr>
            <w:tcW w:w="606" w:type="pct"/>
            <w:tcBorders>
              <w:top w:val="single" w:sz="4" w:space="0" w:color="auto"/>
              <w:left w:val="nil"/>
              <w:bottom w:val="nil"/>
            </w:tcBorders>
            <w:shd w:val="clear" w:color="auto" w:fill="auto"/>
            <w:tcMar>
              <w:top w:w="110" w:type="dxa"/>
            </w:tcMar>
          </w:tcPr>
          <w:p w:rsidR="00976A6B" w:rsidRPr="00845557" w:rsidRDefault="00976A6B" w:rsidP="007854A1">
            <w:pPr>
              <w:keepNext/>
              <w:keepLines/>
              <w:jc w:val="center"/>
              <w:rPr>
                <w:b/>
                <w:color w:val="00B050"/>
                <w:sz w:val="16"/>
              </w:rPr>
            </w:pPr>
            <w:r>
              <w:rPr>
                <w:b/>
                <w:color w:val="00B050"/>
                <w:sz w:val="16"/>
              </w:rPr>
              <w:t>Fully Achieved</w:t>
            </w:r>
          </w:p>
        </w:tc>
      </w:tr>
      <w:tr w:rsidR="00976A6B" w:rsidRPr="00A1131D" w:rsidTr="00E37059">
        <w:trPr>
          <w:cantSplit/>
        </w:trPr>
        <w:tc>
          <w:tcPr>
            <w:tcW w:w="1137" w:type="pct"/>
            <w:gridSpan w:val="3"/>
            <w:tcBorders>
              <w:top w:val="nil"/>
              <w:left w:val="single" w:sz="4" w:space="0" w:color="auto"/>
              <w:bottom w:val="nil"/>
              <w:right w:val="nil"/>
            </w:tcBorders>
            <w:shd w:val="clear" w:color="auto" w:fill="auto"/>
          </w:tcPr>
          <w:p w:rsidR="00976A6B" w:rsidRPr="003867E3" w:rsidRDefault="00976A6B" w:rsidP="007854A1">
            <w:pPr>
              <w:rPr>
                <w:rFonts w:cs="Arial"/>
                <w:sz w:val="16"/>
                <w:szCs w:val="16"/>
              </w:rPr>
            </w:pPr>
            <w:r w:rsidRPr="0015324A">
              <w:rPr>
                <w:rFonts w:cs="Arial"/>
                <w:sz w:val="16"/>
                <w:szCs w:val="16"/>
              </w:rPr>
              <w:t>No. of agreements catalyzed by WIPO GREEN facilitating knowledge transfer, technology adaptation, transfer and/or diffusion</w:t>
            </w:r>
          </w:p>
        </w:tc>
        <w:tc>
          <w:tcPr>
            <w:tcW w:w="1287" w:type="pct"/>
            <w:gridSpan w:val="2"/>
            <w:tcBorders>
              <w:top w:val="nil"/>
              <w:left w:val="nil"/>
              <w:bottom w:val="nil"/>
              <w:right w:val="nil"/>
            </w:tcBorders>
            <w:shd w:val="clear" w:color="auto" w:fill="auto"/>
          </w:tcPr>
          <w:p w:rsidR="00976A6B" w:rsidRPr="00D22D36" w:rsidRDefault="00976A6B" w:rsidP="007854A1">
            <w:pPr>
              <w:rPr>
                <w:rFonts w:cs="Arial"/>
                <w:color w:val="002060"/>
                <w:sz w:val="16"/>
                <w:szCs w:val="16"/>
              </w:rPr>
            </w:pPr>
            <w:r w:rsidRPr="00A1131D">
              <w:rPr>
                <w:rFonts w:cs="Arial"/>
                <w:i/>
                <w:color w:val="002060"/>
                <w:sz w:val="16"/>
                <w:szCs w:val="16"/>
              </w:rPr>
              <w:t>Updated Baseline end 201</w:t>
            </w:r>
            <w:r>
              <w:rPr>
                <w:rFonts w:cs="Arial"/>
                <w:i/>
                <w:color w:val="002060"/>
                <w:sz w:val="16"/>
                <w:szCs w:val="16"/>
              </w:rPr>
              <w:t>3</w:t>
            </w:r>
            <w:r w:rsidRPr="00A1131D">
              <w:rPr>
                <w:rFonts w:cs="Arial"/>
                <w:i/>
                <w:color w:val="002060"/>
                <w:sz w:val="16"/>
                <w:szCs w:val="16"/>
              </w:rPr>
              <w:t xml:space="preserve">: </w:t>
            </w:r>
            <w:r w:rsidRPr="00D22D36">
              <w:rPr>
                <w:rFonts w:cs="Arial"/>
                <w:color w:val="002060"/>
                <w:sz w:val="16"/>
                <w:szCs w:val="16"/>
              </w:rPr>
              <w:t xml:space="preserve">During  2012 and 2013 WIPO GREEN concluded : </w:t>
            </w:r>
          </w:p>
          <w:p w:rsidR="00976A6B" w:rsidRPr="00D22D36" w:rsidRDefault="00976A6B" w:rsidP="007854A1">
            <w:pPr>
              <w:rPr>
                <w:rFonts w:cs="Arial"/>
                <w:color w:val="002060"/>
                <w:sz w:val="16"/>
                <w:szCs w:val="16"/>
              </w:rPr>
            </w:pPr>
            <w:r w:rsidRPr="00D22D36">
              <w:rPr>
                <w:rFonts w:cs="Arial"/>
                <w:color w:val="002060"/>
                <w:sz w:val="16"/>
                <w:szCs w:val="16"/>
              </w:rPr>
              <w:t>Two agreements with external partners for data integration</w:t>
            </w:r>
          </w:p>
          <w:p w:rsidR="00976A6B" w:rsidRPr="00A1131D" w:rsidRDefault="00976A6B" w:rsidP="007854A1">
            <w:pPr>
              <w:rPr>
                <w:rFonts w:cs="Arial"/>
                <w:i/>
                <w:color w:val="002060"/>
                <w:sz w:val="8"/>
                <w:szCs w:val="8"/>
              </w:rPr>
            </w:pPr>
            <w:r w:rsidRPr="00A70ABA">
              <w:rPr>
                <w:rFonts w:cs="Arial"/>
                <w:color w:val="002060"/>
                <w:sz w:val="16"/>
                <w:szCs w:val="16"/>
              </w:rPr>
              <w:t>(Association of University Technology Managers (AUTM) and East Africa Climate Innovation Network (EACIN))</w:t>
            </w:r>
            <w:r w:rsidRPr="00A1131D">
              <w:rPr>
                <w:rFonts w:cs="Arial"/>
                <w:color w:val="993300"/>
                <w:sz w:val="16"/>
                <w:szCs w:val="16"/>
              </w:rPr>
              <w:br/>
            </w:r>
          </w:p>
          <w:p w:rsidR="00976A6B" w:rsidRPr="00EF03E1" w:rsidRDefault="00976A6B" w:rsidP="007854A1">
            <w:r w:rsidRPr="00A1131D">
              <w:rPr>
                <w:rFonts w:cs="Arial"/>
                <w:i/>
                <w:sz w:val="16"/>
                <w:szCs w:val="16"/>
              </w:rPr>
              <w:t>Original Baseline P&amp;B 201</w:t>
            </w:r>
            <w:r>
              <w:rPr>
                <w:rFonts w:cs="Arial"/>
                <w:i/>
                <w:sz w:val="16"/>
                <w:szCs w:val="16"/>
              </w:rPr>
              <w:t>4</w:t>
            </w:r>
            <w:r w:rsidRPr="00A1131D">
              <w:rPr>
                <w:rFonts w:cs="Arial"/>
                <w:i/>
                <w:sz w:val="16"/>
                <w:szCs w:val="16"/>
              </w:rPr>
              <w:t>/1</w:t>
            </w:r>
            <w:r>
              <w:rPr>
                <w:rFonts w:cs="Arial"/>
                <w:i/>
                <w:sz w:val="16"/>
                <w:szCs w:val="16"/>
              </w:rPr>
              <w:t>5</w:t>
            </w:r>
            <w:r w:rsidRPr="00A1131D">
              <w:rPr>
                <w:rFonts w:cs="Arial"/>
                <w:i/>
                <w:sz w:val="16"/>
                <w:szCs w:val="16"/>
              </w:rPr>
              <w:t>:</w:t>
            </w:r>
            <w:r w:rsidRPr="00A1131D">
              <w:rPr>
                <w:rFonts w:cs="Arial"/>
                <w:sz w:val="16"/>
                <w:szCs w:val="16"/>
              </w:rPr>
              <w:t xml:space="preserve">  </w:t>
            </w:r>
            <w:r w:rsidRPr="00D22D36">
              <w:rPr>
                <w:rFonts w:cs="Arial"/>
                <w:sz w:val="16"/>
                <w:szCs w:val="16"/>
              </w:rPr>
              <w:t>0 (zero)</w:t>
            </w:r>
          </w:p>
          <w:p w:rsidR="00976A6B" w:rsidRPr="00A1131D" w:rsidRDefault="00976A6B" w:rsidP="007854A1">
            <w:pPr>
              <w:rPr>
                <w:rFonts w:cs="Arial"/>
                <w:i/>
                <w:color w:val="002060"/>
                <w:sz w:val="16"/>
                <w:szCs w:val="16"/>
                <w:highlight w:val="yellow"/>
              </w:rPr>
            </w:pPr>
          </w:p>
        </w:tc>
        <w:tc>
          <w:tcPr>
            <w:tcW w:w="845" w:type="pct"/>
            <w:gridSpan w:val="4"/>
            <w:tcBorders>
              <w:top w:val="nil"/>
              <w:left w:val="nil"/>
              <w:bottom w:val="nil"/>
              <w:right w:val="nil"/>
            </w:tcBorders>
            <w:shd w:val="clear" w:color="auto" w:fill="auto"/>
            <w:tcMar>
              <w:top w:w="110" w:type="dxa"/>
            </w:tcMar>
          </w:tcPr>
          <w:p w:rsidR="00976A6B" w:rsidRDefault="00976A6B" w:rsidP="007854A1">
            <w:pPr>
              <w:rPr>
                <w:rFonts w:cs="Arial"/>
                <w:sz w:val="16"/>
                <w:szCs w:val="16"/>
              </w:rPr>
            </w:pPr>
            <w:r w:rsidRPr="00046770">
              <w:rPr>
                <w:rFonts w:cs="Arial"/>
                <w:sz w:val="16"/>
                <w:szCs w:val="16"/>
              </w:rPr>
              <w:t>250</w:t>
            </w:r>
          </w:p>
        </w:tc>
        <w:tc>
          <w:tcPr>
            <w:tcW w:w="1125" w:type="pct"/>
            <w:tcBorders>
              <w:top w:val="nil"/>
              <w:left w:val="nil"/>
              <w:bottom w:val="nil"/>
              <w:right w:val="nil"/>
            </w:tcBorders>
            <w:shd w:val="clear" w:color="auto" w:fill="FFFFFF"/>
            <w:tcMar>
              <w:top w:w="110" w:type="dxa"/>
            </w:tcMar>
          </w:tcPr>
          <w:p w:rsidR="00976A6B" w:rsidRDefault="00976A6B" w:rsidP="007854A1">
            <w:pPr>
              <w:rPr>
                <w:rFonts w:cs="Arial"/>
                <w:sz w:val="16"/>
                <w:szCs w:val="16"/>
                <w:lang w:bidi="th-TH"/>
              </w:rPr>
            </w:pPr>
            <w:r>
              <w:rPr>
                <w:rFonts w:cs="Arial"/>
                <w:sz w:val="16"/>
                <w:szCs w:val="16"/>
                <w:lang w:bidi="th-TH"/>
              </w:rPr>
              <w:t xml:space="preserve">5 additional agreements in 2014/15: </w:t>
            </w:r>
          </w:p>
          <w:p w:rsidR="00976A6B" w:rsidRDefault="00976A6B" w:rsidP="00976A6B">
            <w:pPr>
              <w:pStyle w:val="ListParagraph"/>
              <w:numPr>
                <w:ilvl w:val="0"/>
                <w:numId w:val="70"/>
              </w:numPr>
              <w:rPr>
                <w:rFonts w:cs="Arial"/>
                <w:sz w:val="16"/>
                <w:szCs w:val="16"/>
                <w:lang w:bidi="th-TH"/>
              </w:rPr>
            </w:pPr>
            <w:r w:rsidRPr="00506398">
              <w:rPr>
                <w:rFonts w:cs="Arial"/>
                <w:sz w:val="16"/>
                <w:szCs w:val="16"/>
                <w:lang w:bidi="th-TH"/>
              </w:rPr>
              <w:t>Danish Patent and Trademark Office (DKPTO)</w:t>
            </w:r>
          </w:p>
          <w:p w:rsidR="00976A6B" w:rsidRDefault="00976A6B" w:rsidP="00976A6B">
            <w:pPr>
              <w:pStyle w:val="ListParagraph"/>
              <w:numPr>
                <w:ilvl w:val="0"/>
                <w:numId w:val="70"/>
              </w:numPr>
              <w:rPr>
                <w:rFonts w:cs="Arial"/>
                <w:sz w:val="16"/>
                <w:szCs w:val="16"/>
                <w:lang w:bidi="th-TH"/>
              </w:rPr>
            </w:pPr>
            <w:r w:rsidRPr="0081556C">
              <w:rPr>
                <w:rFonts w:cs="Arial"/>
                <w:sz w:val="16"/>
                <w:szCs w:val="16"/>
                <w:lang w:bidi="th-TH"/>
              </w:rPr>
              <w:t>KOTEC</w:t>
            </w:r>
          </w:p>
          <w:p w:rsidR="00976A6B" w:rsidRDefault="00976A6B" w:rsidP="00976A6B">
            <w:pPr>
              <w:pStyle w:val="ListParagraph"/>
              <w:numPr>
                <w:ilvl w:val="0"/>
                <w:numId w:val="70"/>
              </w:numPr>
              <w:rPr>
                <w:rFonts w:cs="Arial"/>
                <w:sz w:val="16"/>
                <w:szCs w:val="16"/>
                <w:lang w:bidi="th-TH"/>
              </w:rPr>
            </w:pPr>
            <w:r w:rsidRPr="00506398">
              <w:rPr>
                <w:rFonts w:cs="Arial"/>
                <w:sz w:val="16"/>
                <w:szCs w:val="16"/>
                <w:lang w:bidi="th-TH"/>
              </w:rPr>
              <w:t xml:space="preserve">Technologie Allianz </w:t>
            </w:r>
          </w:p>
          <w:p w:rsidR="00976A6B" w:rsidRDefault="00976A6B" w:rsidP="00976A6B">
            <w:pPr>
              <w:pStyle w:val="ListParagraph"/>
              <w:numPr>
                <w:ilvl w:val="0"/>
                <w:numId w:val="70"/>
              </w:numPr>
              <w:rPr>
                <w:rFonts w:cs="Arial"/>
                <w:sz w:val="16"/>
                <w:szCs w:val="16"/>
                <w:lang w:bidi="th-TH"/>
              </w:rPr>
            </w:pPr>
            <w:r w:rsidRPr="00506398">
              <w:rPr>
                <w:rFonts w:cs="Arial"/>
                <w:sz w:val="16"/>
                <w:szCs w:val="16"/>
                <w:lang w:bidi="th-TH"/>
              </w:rPr>
              <w:t xml:space="preserve">United Nations Office for South-South Cooperation (UNOSSC) </w:t>
            </w:r>
          </w:p>
          <w:p w:rsidR="00976A6B" w:rsidRPr="00506398" w:rsidRDefault="00976A6B" w:rsidP="00976A6B">
            <w:pPr>
              <w:pStyle w:val="ListParagraph"/>
              <w:numPr>
                <w:ilvl w:val="0"/>
                <w:numId w:val="70"/>
              </w:numPr>
              <w:rPr>
                <w:rFonts w:cs="Arial"/>
                <w:sz w:val="16"/>
                <w:szCs w:val="16"/>
                <w:lang w:bidi="th-TH"/>
              </w:rPr>
            </w:pPr>
            <w:r w:rsidRPr="00506398">
              <w:rPr>
                <w:rFonts w:cs="Arial"/>
                <w:sz w:val="16"/>
                <w:szCs w:val="16"/>
                <w:lang w:bidi="th-TH"/>
              </w:rPr>
              <w:t>Ministry of Economy (Israel)</w:t>
            </w:r>
          </w:p>
          <w:p w:rsidR="00976A6B" w:rsidRPr="00A43230" w:rsidRDefault="00976A6B" w:rsidP="007854A1">
            <w:pPr>
              <w:rPr>
                <w:rFonts w:cs="Arial"/>
                <w:sz w:val="16"/>
                <w:szCs w:val="16"/>
                <w:highlight w:val="yellow"/>
                <w:lang w:bidi="th-TH"/>
              </w:rPr>
            </w:pPr>
            <w:r>
              <w:rPr>
                <w:rFonts w:cs="Arial"/>
                <w:sz w:val="16"/>
                <w:szCs w:val="16"/>
                <w:lang w:bidi="th-TH"/>
              </w:rPr>
              <w:t>(7 cumulative)</w:t>
            </w:r>
          </w:p>
        </w:tc>
        <w:tc>
          <w:tcPr>
            <w:tcW w:w="606" w:type="pct"/>
            <w:tcBorders>
              <w:top w:val="nil"/>
              <w:left w:val="nil"/>
              <w:bottom w:val="nil"/>
              <w:right w:val="single" w:sz="4" w:space="0" w:color="auto"/>
            </w:tcBorders>
            <w:shd w:val="clear" w:color="auto" w:fill="auto"/>
            <w:tcMar>
              <w:top w:w="110" w:type="dxa"/>
            </w:tcMar>
          </w:tcPr>
          <w:p w:rsidR="00976A6B" w:rsidRPr="00046770" w:rsidRDefault="00976A6B" w:rsidP="007854A1">
            <w:pPr>
              <w:keepNext/>
              <w:keepLines/>
              <w:jc w:val="center"/>
              <w:rPr>
                <w:rFonts w:cs="Arial"/>
                <w:b/>
                <w:bCs/>
                <w:color w:val="FF0000"/>
                <w:sz w:val="16"/>
                <w:szCs w:val="16"/>
              </w:rPr>
            </w:pPr>
            <w:r>
              <w:rPr>
                <w:rFonts w:cs="Arial"/>
                <w:b/>
                <w:bCs/>
                <w:color w:val="FF0000"/>
                <w:sz w:val="16"/>
                <w:szCs w:val="16"/>
              </w:rPr>
              <w:t>Not Achieved</w:t>
            </w:r>
          </w:p>
        </w:tc>
      </w:tr>
      <w:tr w:rsidR="00976A6B" w:rsidRPr="00A1131D" w:rsidTr="00E37059">
        <w:trPr>
          <w:cantSplit/>
          <w:trHeight w:val="2060"/>
        </w:trPr>
        <w:tc>
          <w:tcPr>
            <w:tcW w:w="1137" w:type="pct"/>
            <w:gridSpan w:val="3"/>
            <w:tcBorders>
              <w:top w:val="nil"/>
              <w:left w:val="single" w:sz="4" w:space="0" w:color="auto"/>
              <w:bottom w:val="single" w:sz="4" w:space="0" w:color="auto"/>
            </w:tcBorders>
            <w:shd w:val="clear" w:color="auto" w:fill="auto"/>
          </w:tcPr>
          <w:p w:rsidR="00976A6B" w:rsidRDefault="00976A6B" w:rsidP="007854A1">
            <w:pPr>
              <w:rPr>
                <w:rFonts w:cs="Arial"/>
                <w:sz w:val="16"/>
                <w:szCs w:val="16"/>
              </w:rPr>
            </w:pPr>
            <w:r>
              <w:rPr>
                <w:rFonts w:cs="Arial"/>
                <w:sz w:val="16"/>
                <w:szCs w:val="16"/>
              </w:rPr>
              <w:t>No. of visits of Global Challenges website</w:t>
            </w:r>
          </w:p>
          <w:p w:rsidR="00976A6B" w:rsidRPr="003867E3" w:rsidRDefault="00976A6B" w:rsidP="007854A1">
            <w:pPr>
              <w:rPr>
                <w:rFonts w:cs="Arial"/>
                <w:sz w:val="16"/>
                <w:szCs w:val="16"/>
              </w:rPr>
            </w:pPr>
          </w:p>
        </w:tc>
        <w:tc>
          <w:tcPr>
            <w:tcW w:w="1287" w:type="pct"/>
            <w:gridSpan w:val="2"/>
            <w:tcBorders>
              <w:top w:val="nil"/>
              <w:bottom w:val="single" w:sz="4" w:space="0" w:color="auto"/>
            </w:tcBorders>
            <w:shd w:val="clear" w:color="auto" w:fill="auto"/>
          </w:tcPr>
          <w:p w:rsidR="00976A6B" w:rsidRPr="00EF03E1" w:rsidRDefault="00976A6B" w:rsidP="007854A1">
            <w:pPr>
              <w:rPr>
                <w:rFonts w:cs="Arial"/>
                <w:color w:val="002060"/>
                <w:sz w:val="16"/>
                <w:szCs w:val="16"/>
              </w:rPr>
            </w:pPr>
            <w:r w:rsidRPr="00A1131D">
              <w:rPr>
                <w:rFonts w:cs="Arial"/>
                <w:i/>
                <w:color w:val="002060"/>
                <w:sz w:val="16"/>
                <w:szCs w:val="16"/>
              </w:rPr>
              <w:t xml:space="preserve">Updated Baseline </w:t>
            </w:r>
            <w:r w:rsidRPr="00EF03E1">
              <w:rPr>
                <w:rFonts w:cs="Arial"/>
                <w:color w:val="002060"/>
                <w:sz w:val="16"/>
                <w:szCs w:val="16"/>
              </w:rPr>
              <w:t xml:space="preserve">end 2013: </w:t>
            </w:r>
          </w:p>
          <w:p w:rsidR="00976A6B" w:rsidRPr="00EF03E1" w:rsidRDefault="00976A6B" w:rsidP="007854A1">
            <w:pPr>
              <w:rPr>
                <w:rFonts w:cs="Arial"/>
                <w:color w:val="002060"/>
                <w:sz w:val="16"/>
                <w:szCs w:val="16"/>
              </w:rPr>
            </w:pPr>
            <w:r w:rsidRPr="00EF03E1">
              <w:rPr>
                <w:rFonts w:cs="Arial"/>
                <w:color w:val="002060"/>
                <w:sz w:val="16"/>
                <w:szCs w:val="16"/>
              </w:rPr>
              <w:t>6,476 page views (GCD)</w:t>
            </w:r>
            <w:r>
              <w:rPr>
                <w:rFonts w:cs="Arial"/>
                <w:color w:val="002060"/>
                <w:sz w:val="16"/>
                <w:szCs w:val="16"/>
              </w:rPr>
              <w:br/>
            </w:r>
          </w:p>
          <w:p w:rsidR="00976A6B" w:rsidRPr="00EF03E1" w:rsidRDefault="00976A6B" w:rsidP="007854A1">
            <w:pPr>
              <w:rPr>
                <w:rFonts w:cs="Arial"/>
                <w:color w:val="002060"/>
                <w:sz w:val="16"/>
                <w:szCs w:val="16"/>
              </w:rPr>
            </w:pPr>
            <w:r w:rsidRPr="00A43230">
              <w:rPr>
                <w:rFonts w:cs="Arial"/>
                <w:color w:val="002060"/>
                <w:sz w:val="16"/>
                <w:szCs w:val="16"/>
              </w:rPr>
              <w:t>3,773 downloads of pdf files</w:t>
            </w:r>
          </w:p>
          <w:p w:rsidR="00976A6B" w:rsidRDefault="00976A6B" w:rsidP="007854A1">
            <w:pPr>
              <w:rPr>
                <w:rFonts w:cs="Arial"/>
                <w:color w:val="002060"/>
                <w:sz w:val="16"/>
                <w:szCs w:val="16"/>
              </w:rPr>
            </w:pPr>
          </w:p>
          <w:p w:rsidR="00976A6B" w:rsidRPr="00EF03E1" w:rsidRDefault="00976A6B" w:rsidP="007854A1">
            <w:pPr>
              <w:rPr>
                <w:rFonts w:cs="Arial"/>
                <w:color w:val="002060"/>
                <w:sz w:val="16"/>
                <w:szCs w:val="16"/>
              </w:rPr>
            </w:pPr>
            <w:r w:rsidRPr="00EF03E1">
              <w:rPr>
                <w:rFonts w:cs="Arial"/>
                <w:color w:val="002060"/>
                <w:sz w:val="16"/>
                <w:szCs w:val="16"/>
              </w:rPr>
              <w:t>73,648 page views of WIPO GREEN</w:t>
            </w:r>
          </w:p>
          <w:p w:rsidR="00976A6B" w:rsidRDefault="00976A6B" w:rsidP="007854A1">
            <w:pPr>
              <w:rPr>
                <w:rFonts w:cs="Arial"/>
                <w:i/>
                <w:color w:val="002060"/>
                <w:sz w:val="16"/>
                <w:szCs w:val="16"/>
              </w:rPr>
            </w:pPr>
            <w:r w:rsidRPr="00EF03E1">
              <w:rPr>
                <w:rFonts w:cs="Arial"/>
                <w:color w:val="002060"/>
                <w:sz w:val="16"/>
                <w:szCs w:val="16"/>
              </w:rPr>
              <w:t>60,712 page views of WIPO Re:Search</w:t>
            </w:r>
          </w:p>
          <w:p w:rsidR="00976A6B" w:rsidRDefault="00976A6B" w:rsidP="007854A1">
            <w:pPr>
              <w:rPr>
                <w:rFonts w:cs="Arial"/>
                <w:i/>
                <w:color w:val="002060"/>
                <w:sz w:val="16"/>
                <w:szCs w:val="16"/>
              </w:rPr>
            </w:pPr>
          </w:p>
          <w:p w:rsidR="00976A6B" w:rsidRPr="00845557" w:rsidRDefault="00976A6B" w:rsidP="007854A1">
            <w:pPr>
              <w:rPr>
                <w:rFonts w:cs="Arial"/>
                <w:i/>
                <w:color w:val="002060"/>
                <w:sz w:val="16"/>
                <w:szCs w:val="16"/>
                <w:highlight w:val="yellow"/>
                <w:lang w:val="pt-BR"/>
              </w:rPr>
            </w:pPr>
            <w:r w:rsidRPr="00845557">
              <w:rPr>
                <w:rFonts w:cs="Arial"/>
                <w:i/>
                <w:sz w:val="16"/>
                <w:szCs w:val="16"/>
                <w:lang w:val="pt-BR"/>
              </w:rPr>
              <w:t>Original Baseline P&amp;B 2014/15:</w:t>
            </w:r>
            <w:r w:rsidRPr="00845557">
              <w:rPr>
                <w:rFonts w:cs="Arial"/>
                <w:sz w:val="16"/>
                <w:szCs w:val="16"/>
                <w:lang w:val="pt-BR"/>
              </w:rPr>
              <w:t xml:space="preserve">  n/a</w:t>
            </w:r>
          </w:p>
        </w:tc>
        <w:tc>
          <w:tcPr>
            <w:tcW w:w="845" w:type="pct"/>
            <w:gridSpan w:val="4"/>
            <w:tcBorders>
              <w:top w:val="nil"/>
              <w:bottom w:val="single" w:sz="4" w:space="0" w:color="auto"/>
            </w:tcBorders>
            <w:shd w:val="clear" w:color="auto" w:fill="auto"/>
            <w:tcMar>
              <w:top w:w="110" w:type="dxa"/>
            </w:tcMar>
          </w:tcPr>
          <w:p w:rsidR="00976A6B" w:rsidRDefault="00976A6B" w:rsidP="007854A1">
            <w:pPr>
              <w:rPr>
                <w:rFonts w:cs="Arial"/>
                <w:sz w:val="16"/>
                <w:szCs w:val="16"/>
              </w:rPr>
            </w:pPr>
            <w:r>
              <w:rPr>
                <w:rFonts w:cs="Arial"/>
                <w:sz w:val="16"/>
                <w:szCs w:val="16"/>
              </w:rPr>
              <w:t>50% increase</w:t>
            </w:r>
          </w:p>
        </w:tc>
        <w:tc>
          <w:tcPr>
            <w:tcW w:w="1125" w:type="pct"/>
            <w:tcBorders>
              <w:top w:val="nil"/>
              <w:bottom w:val="single" w:sz="4" w:space="0" w:color="auto"/>
            </w:tcBorders>
            <w:shd w:val="clear" w:color="auto" w:fill="FFFFFF"/>
            <w:tcMar>
              <w:top w:w="110" w:type="dxa"/>
            </w:tcMar>
          </w:tcPr>
          <w:p w:rsidR="00976A6B" w:rsidRPr="00B415D8" w:rsidRDefault="00976A6B" w:rsidP="007854A1">
            <w:pPr>
              <w:pStyle w:val="ListParagraph"/>
              <w:ind w:left="26"/>
              <w:rPr>
                <w:rFonts w:cs="Arial"/>
                <w:i/>
                <w:sz w:val="16"/>
                <w:szCs w:val="16"/>
                <w:lang w:bidi="th-TH"/>
              </w:rPr>
            </w:pPr>
            <w:r w:rsidRPr="00B415D8">
              <w:rPr>
                <w:rFonts w:cs="Arial"/>
                <w:i/>
                <w:sz w:val="16"/>
                <w:szCs w:val="16"/>
                <w:lang w:bidi="th-TH"/>
              </w:rPr>
              <w:t>No. of page views:</w:t>
            </w:r>
          </w:p>
          <w:p w:rsidR="00976A6B" w:rsidRPr="00D87880" w:rsidRDefault="00976A6B" w:rsidP="00976A6B">
            <w:pPr>
              <w:pStyle w:val="ListParagraph"/>
              <w:numPr>
                <w:ilvl w:val="0"/>
                <w:numId w:val="67"/>
              </w:numPr>
              <w:rPr>
                <w:rFonts w:cs="Arial"/>
                <w:i/>
                <w:sz w:val="16"/>
                <w:szCs w:val="16"/>
                <w:lang w:bidi="th-TH"/>
              </w:rPr>
            </w:pPr>
            <w:r w:rsidRPr="00B415D8">
              <w:rPr>
                <w:rFonts w:cs="Arial"/>
                <w:i/>
                <w:sz w:val="16"/>
                <w:szCs w:val="16"/>
                <w:lang w:bidi="th-TH"/>
              </w:rPr>
              <w:t>GCD: 2,693</w:t>
            </w:r>
          </w:p>
          <w:p w:rsidR="00976A6B" w:rsidRDefault="00976A6B" w:rsidP="007854A1">
            <w:pPr>
              <w:pStyle w:val="ListParagraph"/>
              <w:ind w:left="360"/>
              <w:rPr>
                <w:rFonts w:cs="Arial"/>
                <w:i/>
                <w:sz w:val="16"/>
                <w:szCs w:val="16"/>
                <w:lang w:bidi="th-TH"/>
              </w:rPr>
            </w:pPr>
          </w:p>
          <w:p w:rsidR="00976A6B" w:rsidRPr="00D87880" w:rsidRDefault="00976A6B" w:rsidP="00976A6B">
            <w:pPr>
              <w:pStyle w:val="ListParagraph"/>
              <w:numPr>
                <w:ilvl w:val="0"/>
                <w:numId w:val="67"/>
              </w:numPr>
              <w:rPr>
                <w:rFonts w:cs="Arial"/>
                <w:i/>
                <w:sz w:val="16"/>
                <w:szCs w:val="16"/>
                <w:lang w:bidi="th-TH"/>
              </w:rPr>
            </w:pPr>
            <w:r w:rsidRPr="00D87880">
              <w:rPr>
                <w:rFonts w:cs="Arial"/>
                <w:i/>
                <w:sz w:val="16"/>
                <w:szCs w:val="16"/>
                <w:lang w:bidi="th-TH"/>
              </w:rPr>
              <w:t xml:space="preserve">Downloads of pdf files: </w:t>
            </w:r>
            <w:r>
              <w:rPr>
                <w:rFonts w:cs="Arial"/>
                <w:i/>
                <w:sz w:val="16"/>
                <w:szCs w:val="16"/>
                <w:lang w:bidi="th-TH"/>
              </w:rPr>
              <w:t>45</w:t>
            </w:r>
            <w:r w:rsidRPr="00D87880">
              <w:rPr>
                <w:rFonts w:cs="Arial"/>
                <w:i/>
                <w:sz w:val="16"/>
                <w:szCs w:val="16"/>
                <w:lang w:bidi="th-TH"/>
              </w:rPr>
              <w:t>,</w:t>
            </w:r>
            <w:r>
              <w:rPr>
                <w:rFonts w:cs="Arial"/>
                <w:i/>
                <w:sz w:val="16"/>
                <w:szCs w:val="16"/>
                <w:lang w:bidi="th-TH"/>
              </w:rPr>
              <w:t>253</w:t>
            </w:r>
          </w:p>
          <w:p w:rsidR="00976A6B" w:rsidRDefault="00976A6B" w:rsidP="00976A6B">
            <w:pPr>
              <w:pStyle w:val="ListParagraph"/>
              <w:numPr>
                <w:ilvl w:val="0"/>
                <w:numId w:val="67"/>
              </w:numPr>
              <w:rPr>
                <w:rFonts w:cs="Arial"/>
                <w:i/>
                <w:sz w:val="16"/>
                <w:szCs w:val="16"/>
                <w:lang w:bidi="th-TH"/>
              </w:rPr>
            </w:pPr>
            <w:r w:rsidRPr="00B415D8">
              <w:rPr>
                <w:rFonts w:cs="Arial"/>
                <w:i/>
                <w:sz w:val="16"/>
                <w:szCs w:val="16"/>
                <w:lang w:bidi="th-TH"/>
              </w:rPr>
              <w:t>WIPO GREEN: 207</w:t>
            </w:r>
            <w:r>
              <w:rPr>
                <w:rFonts w:cs="Arial"/>
                <w:i/>
                <w:sz w:val="16"/>
                <w:szCs w:val="16"/>
                <w:lang w:bidi="th-TH"/>
              </w:rPr>
              <w:t>,</w:t>
            </w:r>
            <w:r w:rsidRPr="00B415D8">
              <w:rPr>
                <w:rFonts w:cs="Arial"/>
                <w:i/>
                <w:sz w:val="16"/>
                <w:szCs w:val="16"/>
                <w:lang w:bidi="th-TH"/>
              </w:rPr>
              <w:t>716</w:t>
            </w:r>
          </w:p>
          <w:p w:rsidR="00976A6B" w:rsidRDefault="00976A6B" w:rsidP="00976A6B">
            <w:pPr>
              <w:pStyle w:val="ListParagraph"/>
              <w:numPr>
                <w:ilvl w:val="0"/>
                <w:numId w:val="67"/>
              </w:numPr>
              <w:rPr>
                <w:rFonts w:cs="Arial"/>
                <w:i/>
                <w:sz w:val="16"/>
                <w:szCs w:val="16"/>
                <w:lang w:bidi="th-TH"/>
              </w:rPr>
            </w:pPr>
            <w:r w:rsidRPr="00D87880">
              <w:rPr>
                <w:rFonts w:cs="Arial"/>
                <w:i/>
                <w:sz w:val="16"/>
                <w:szCs w:val="16"/>
                <w:lang w:bidi="th-TH"/>
              </w:rPr>
              <w:t>WIPO Re:Search: 62,118</w:t>
            </w:r>
          </w:p>
          <w:p w:rsidR="00976A6B" w:rsidRDefault="00976A6B" w:rsidP="00976A6B">
            <w:pPr>
              <w:pStyle w:val="ListParagraph"/>
              <w:numPr>
                <w:ilvl w:val="0"/>
                <w:numId w:val="67"/>
              </w:numPr>
              <w:rPr>
                <w:rFonts w:cs="Arial"/>
                <w:i/>
                <w:sz w:val="16"/>
                <w:szCs w:val="16"/>
                <w:lang w:bidi="th-TH"/>
              </w:rPr>
            </w:pPr>
            <w:r w:rsidRPr="00D87880">
              <w:rPr>
                <w:rFonts w:cs="Arial"/>
                <w:i/>
                <w:sz w:val="16"/>
                <w:szCs w:val="16"/>
                <w:lang w:bidi="th-TH"/>
              </w:rPr>
              <w:t xml:space="preserve">Global Health and IP: </w:t>
            </w:r>
            <w:r>
              <w:rPr>
                <w:rFonts w:cs="Arial"/>
                <w:i/>
                <w:sz w:val="16"/>
                <w:szCs w:val="16"/>
                <w:lang w:bidi="th-TH"/>
              </w:rPr>
              <w:t>31</w:t>
            </w:r>
            <w:r w:rsidRPr="00D87880">
              <w:rPr>
                <w:rFonts w:cs="Arial"/>
                <w:i/>
                <w:sz w:val="16"/>
                <w:szCs w:val="16"/>
                <w:lang w:bidi="th-TH"/>
              </w:rPr>
              <w:t>,</w:t>
            </w:r>
            <w:r>
              <w:rPr>
                <w:rFonts w:cs="Arial"/>
                <w:i/>
                <w:sz w:val="16"/>
                <w:szCs w:val="16"/>
                <w:lang w:bidi="th-TH"/>
              </w:rPr>
              <w:t>800</w:t>
            </w:r>
            <w:r w:rsidRPr="00D87880">
              <w:rPr>
                <w:rFonts w:cs="Arial"/>
                <w:i/>
                <w:sz w:val="16"/>
                <w:szCs w:val="16"/>
                <w:lang w:bidi="th-TH"/>
              </w:rPr>
              <w:br/>
              <w:t>Climate Change and IP: 4,952</w:t>
            </w:r>
          </w:p>
          <w:p w:rsidR="00976A6B" w:rsidRPr="00B415D8" w:rsidRDefault="00976A6B" w:rsidP="007854A1">
            <w:pPr>
              <w:pStyle w:val="ListParagraph"/>
              <w:ind w:left="360"/>
              <w:rPr>
                <w:rFonts w:cs="Arial"/>
                <w:i/>
                <w:sz w:val="16"/>
                <w:szCs w:val="16"/>
                <w:lang w:bidi="th-TH"/>
              </w:rPr>
            </w:pPr>
          </w:p>
        </w:tc>
        <w:tc>
          <w:tcPr>
            <w:tcW w:w="606" w:type="pct"/>
            <w:tcBorders>
              <w:top w:val="nil"/>
              <w:bottom w:val="single" w:sz="4" w:space="0" w:color="auto"/>
              <w:right w:val="single" w:sz="4" w:space="0" w:color="auto"/>
            </w:tcBorders>
            <w:shd w:val="clear" w:color="auto" w:fill="auto"/>
            <w:tcMar>
              <w:top w:w="110" w:type="dxa"/>
            </w:tcMar>
          </w:tcPr>
          <w:p w:rsidR="00976A6B" w:rsidRDefault="00976A6B" w:rsidP="007854A1">
            <w:pPr>
              <w:keepNext/>
              <w:keepLines/>
              <w:jc w:val="center"/>
              <w:rPr>
                <w:color w:val="00B050"/>
                <w:sz w:val="15"/>
              </w:rPr>
            </w:pPr>
          </w:p>
          <w:p w:rsidR="00976A6B" w:rsidRDefault="00976A6B" w:rsidP="007854A1">
            <w:pPr>
              <w:keepNext/>
              <w:keepLines/>
              <w:jc w:val="center"/>
              <w:rPr>
                <w:rFonts w:cs="Arial"/>
                <w:b/>
                <w:bCs/>
                <w:color w:val="FF0000"/>
                <w:sz w:val="16"/>
                <w:szCs w:val="16"/>
              </w:rPr>
            </w:pPr>
            <w:r>
              <w:rPr>
                <w:rFonts w:cs="Arial"/>
                <w:b/>
                <w:bCs/>
                <w:color w:val="FF0000"/>
                <w:sz w:val="16"/>
                <w:szCs w:val="16"/>
              </w:rPr>
              <w:t>Not Achieved</w:t>
            </w:r>
          </w:p>
          <w:p w:rsidR="00976A6B" w:rsidRDefault="00976A6B" w:rsidP="007854A1">
            <w:pPr>
              <w:keepNext/>
              <w:keepLines/>
              <w:jc w:val="center"/>
              <w:rPr>
                <w:rFonts w:cs="Arial"/>
                <w:b/>
                <w:bCs/>
                <w:color w:val="808080"/>
                <w:sz w:val="16"/>
                <w:szCs w:val="15"/>
              </w:rPr>
            </w:pPr>
            <w:r>
              <w:rPr>
                <w:b/>
                <w:color w:val="00B050"/>
                <w:sz w:val="16"/>
              </w:rPr>
              <w:t>Fully Achieved</w:t>
            </w:r>
            <w:r w:rsidRPr="00A43230">
              <w:rPr>
                <w:rFonts w:cs="Arial"/>
                <w:b/>
                <w:bCs/>
                <w:color w:val="808080"/>
                <w:sz w:val="16"/>
                <w:szCs w:val="15"/>
              </w:rPr>
              <w:t xml:space="preserve"> </w:t>
            </w:r>
            <w:r w:rsidRPr="006239E3">
              <w:rPr>
                <w:b/>
                <w:color w:val="00B050"/>
                <w:sz w:val="16"/>
              </w:rPr>
              <w:t>Fully Achieved</w:t>
            </w:r>
            <w:r>
              <w:rPr>
                <w:rFonts w:cs="Arial"/>
                <w:b/>
                <w:bCs/>
                <w:color w:val="FF0000"/>
                <w:sz w:val="16"/>
                <w:szCs w:val="16"/>
              </w:rPr>
              <w:t xml:space="preserve"> Not Achieved</w:t>
            </w:r>
            <w:r w:rsidRPr="00A46A4E">
              <w:rPr>
                <w:rFonts w:cs="Arial"/>
                <w:b/>
                <w:bCs/>
                <w:color w:val="808080"/>
                <w:sz w:val="16"/>
                <w:szCs w:val="15"/>
                <w:highlight w:val="yellow"/>
              </w:rPr>
              <w:t xml:space="preserve"> </w:t>
            </w:r>
          </w:p>
          <w:p w:rsidR="00976A6B" w:rsidRPr="00D87880" w:rsidRDefault="00976A6B" w:rsidP="007854A1">
            <w:pPr>
              <w:keepNext/>
              <w:keepLines/>
              <w:jc w:val="center"/>
              <w:rPr>
                <w:rFonts w:cs="Arial"/>
                <w:b/>
                <w:bCs/>
                <w:color w:val="FF0000"/>
                <w:sz w:val="16"/>
                <w:szCs w:val="16"/>
              </w:rPr>
            </w:pPr>
          </w:p>
        </w:tc>
      </w:tr>
      <w:tr w:rsidR="00976A6B" w:rsidRPr="00A1131D" w:rsidTr="00E37059">
        <w:trPr>
          <w:cantSplit/>
          <w:trHeight w:val="521"/>
        </w:trPr>
        <w:tc>
          <w:tcPr>
            <w:tcW w:w="5000" w:type="pct"/>
            <w:gridSpan w:val="11"/>
            <w:tcBorders>
              <w:top w:val="single" w:sz="4" w:space="0" w:color="auto"/>
              <w:bottom w:val="single" w:sz="4" w:space="0" w:color="auto"/>
            </w:tcBorders>
            <w:shd w:val="clear" w:color="auto" w:fill="C6D9F1" w:themeFill="text2" w:themeFillTint="33"/>
            <w:vAlign w:val="center"/>
          </w:tcPr>
          <w:p w:rsidR="00976A6B" w:rsidRPr="00A1131D" w:rsidRDefault="00976A6B" w:rsidP="007854A1">
            <w:pPr>
              <w:keepNext/>
              <w:keepLines/>
              <w:tabs>
                <w:tab w:val="left" w:pos="1452"/>
              </w:tabs>
              <w:ind w:left="1452" w:hanging="1452"/>
              <w:rPr>
                <w:rFonts w:cs="Arial"/>
                <w:b/>
                <w:bCs/>
                <w:sz w:val="16"/>
                <w:szCs w:val="16"/>
              </w:rPr>
            </w:pPr>
            <w:r w:rsidRPr="00A1131D">
              <w:rPr>
                <w:rFonts w:cs="Arial"/>
                <w:b/>
                <w:bCs/>
                <w:sz w:val="16"/>
                <w:szCs w:val="16"/>
              </w:rPr>
              <w:t>Expected Result:</w:t>
            </w:r>
            <w:r w:rsidRPr="00A1131D">
              <w:rPr>
                <w:rFonts w:cs="Arial"/>
                <w:b/>
                <w:bCs/>
                <w:sz w:val="16"/>
                <w:szCs w:val="16"/>
              </w:rPr>
              <w:tab/>
            </w:r>
            <w:r w:rsidRPr="00A1131D">
              <w:rPr>
                <w:rFonts w:cs="Arial"/>
                <w:sz w:val="16"/>
                <w:szCs w:val="16"/>
              </w:rPr>
              <w:t>VII.3 Growing credibility of WIPO as a forum for analysis of issues in the field of IP and competition policy</w:t>
            </w:r>
          </w:p>
        </w:tc>
      </w:tr>
      <w:tr w:rsidR="00976A6B" w:rsidRPr="00A1131D" w:rsidTr="00E37059">
        <w:trPr>
          <w:cantSplit/>
        </w:trPr>
        <w:tc>
          <w:tcPr>
            <w:tcW w:w="1130" w:type="pct"/>
            <w:gridSpan w:val="2"/>
            <w:tcBorders>
              <w:top w:val="single" w:sz="4" w:space="0" w:color="auto"/>
            </w:tcBorders>
            <w:shd w:val="clear" w:color="auto" w:fill="auto"/>
            <w:vAlign w:val="center"/>
          </w:tcPr>
          <w:p w:rsidR="00976A6B" w:rsidRPr="00A1131D" w:rsidRDefault="00976A6B" w:rsidP="007854A1">
            <w:pPr>
              <w:rPr>
                <w:rFonts w:cs="Arial"/>
                <w:sz w:val="16"/>
                <w:szCs w:val="16"/>
              </w:rPr>
            </w:pPr>
            <w:r w:rsidRPr="00A1131D">
              <w:rPr>
                <w:rFonts w:cs="Arial"/>
                <w:b/>
                <w:bCs/>
                <w:sz w:val="16"/>
                <w:szCs w:val="16"/>
              </w:rPr>
              <w:t>Performance Indicators</w:t>
            </w:r>
          </w:p>
        </w:tc>
        <w:tc>
          <w:tcPr>
            <w:tcW w:w="1370" w:type="pct"/>
            <w:gridSpan w:val="4"/>
            <w:tcBorders>
              <w:top w:val="single" w:sz="4" w:space="0" w:color="auto"/>
            </w:tcBorders>
            <w:shd w:val="clear" w:color="auto" w:fill="auto"/>
            <w:vAlign w:val="center"/>
          </w:tcPr>
          <w:p w:rsidR="00976A6B" w:rsidRPr="00A1131D" w:rsidRDefault="00976A6B" w:rsidP="007854A1">
            <w:pPr>
              <w:rPr>
                <w:rFonts w:cs="Arial"/>
                <w:b/>
                <w:bCs/>
                <w:sz w:val="16"/>
                <w:szCs w:val="16"/>
              </w:rPr>
            </w:pPr>
            <w:r w:rsidRPr="00A1131D">
              <w:rPr>
                <w:rFonts w:cs="Arial"/>
                <w:b/>
                <w:bCs/>
                <w:sz w:val="16"/>
                <w:szCs w:val="16"/>
              </w:rPr>
              <w:t>Baselines</w:t>
            </w:r>
          </w:p>
        </w:tc>
        <w:tc>
          <w:tcPr>
            <w:tcW w:w="740" w:type="pct"/>
            <w:gridSpan w:val="2"/>
            <w:tcBorders>
              <w:top w:val="single" w:sz="4" w:space="0" w:color="auto"/>
            </w:tcBorders>
            <w:shd w:val="clear" w:color="auto" w:fill="auto"/>
            <w:tcMar>
              <w:top w:w="110" w:type="dxa"/>
            </w:tcMar>
            <w:vAlign w:val="center"/>
          </w:tcPr>
          <w:p w:rsidR="00976A6B" w:rsidRPr="00A1131D" w:rsidRDefault="00976A6B" w:rsidP="007854A1">
            <w:pPr>
              <w:rPr>
                <w:rFonts w:cs="Arial"/>
                <w:b/>
                <w:sz w:val="16"/>
                <w:szCs w:val="16"/>
              </w:rPr>
            </w:pPr>
            <w:r w:rsidRPr="00A1131D">
              <w:rPr>
                <w:rFonts w:cs="Arial"/>
                <w:b/>
                <w:sz w:val="16"/>
                <w:szCs w:val="16"/>
              </w:rPr>
              <w:t>Targets</w:t>
            </w:r>
          </w:p>
        </w:tc>
        <w:tc>
          <w:tcPr>
            <w:tcW w:w="1154" w:type="pct"/>
            <w:gridSpan w:val="2"/>
            <w:tcBorders>
              <w:top w:val="single" w:sz="4" w:space="0" w:color="auto"/>
            </w:tcBorders>
            <w:shd w:val="clear" w:color="auto" w:fill="FFFFFF"/>
            <w:tcMar>
              <w:top w:w="110" w:type="dxa"/>
            </w:tcMar>
            <w:vAlign w:val="center"/>
          </w:tcPr>
          <w:p w:rsidR="00976A6B" w:rsidRPr="00A1131D" w:rsidRDefault="00976A6B" w:rsidP="007854A1">
            <w:pPr>
              <w:rPr>
                <w:rFonts w:cs="Arial"/>
                <w:sz w:val="16"/>
                <w:szCs w:val="16"/>
              </w:rPr>
            </w:pPr>
            <w:r w:rsidRPr="00A1131D">
              <w:rPr>
                <w:rFonts w:cs="Arial"/>
                <w:b/>
                <w:bCs/>
                <w:sz w:val="16"/>
                <w:szCs w:val="16"/>
              </w:rPr>
              <w:t>Performance Data</w:t>
            </w:r>
          </w:p>
        </w:tc>
        <w:tc>
          <w:tcPr>
            <w:tcW w:w="606" w:type="pct"/>
            <w:tcBorders>
              <w:top w:val="single" w:sz="4" w:space="0" w:color="auto"/>
            </w:tcBorders>
            <w:shd w:val="clear" w:color="auto" w:fill="auto"/>
            <w:tcMar>
              <w:top w:w="110" w:type="dxa"/>
            </w:tcMar>
            <w:vAlign w:val="center"/>
          </w:tcPr>
          <w:p w:rsidR="00976A6B" w:rsidRPr="00A1131D" w:rsidRDefault="00976A6B" w:rsidP="007854A1">
            <w:pPr>
              <w:keepNext/>
              <w:keepLines/>
              <w:jc w:val="center"/>
              <w:rPr>
                <w:rFonts w:cs="Arial"/>
                <w:b/>
                <w:bCs/>
                <w:sz w:val="16"/>
                <w:szCs w:val="16"/>
              </w:rPr>
            </w:pPr>
            <w:r w:rsidRPr="00A1131D">
              <w:rPr>
                <w:rFonts w:cs="Arial"/>
                <w:b/>
                <w:bCs/>
                <w:sz w:val="16"/>
                <w:szCs w:val="16"/>
              </w:rPr>
              <w:t>TLS</w:t>
            </w:r>
          </w:p>
        </w:tc>
      </w:tr>
      <w:tr w:rsidR="00976A6B" w:rsidRPr="00A1131D" w:rsidTr="00E37059">
        <w:trPr>
          <w:cantSplit/>
        </w:trPr>
        <w:tc>
          <w:tcPr>
            <w:tcW w:w="1130" w:type="pct"/>
            <w:gridSpan w:val="2"/>
            <w:shd w:val="clear" w:color="auto" w:fill="auto"/>
          </w:tcPr>
          <w:p w:rsidR="00976A6B" w:rsidRPr="00A1131D" w:rsidRDefault="00976A6B" w:rsidP="007854A1">
            <w:pPr>
              <w:rPr>
                <w:rFonts w:cs="Arial"/>
                <w:sz w:val="16"/>
                <w:szCs w:val="16"/>
              </w:rPr>
            </w:pPr>
            <w:r w:rsidRPr="00A1131D">
              <w:rPr>
                <w:rFonts w:cs="Arial"/>
                <w:sz w:val="16"/>
                <w:szCs w:val="16"/>
              </w:rPr>
              <w:t>No. of countries requesting WIPO’s specific contribution on IP in relation to CP-related issues</w:t>
            </w:r>
          </w:p>
        </w:tc>
        <w:tc>
          <w:tcPr>
            <w:tcW w:w="1370" w:type="pct"/>
            <w:gridSpan w:val="4"/>
            <w:shd w:val="clear" w:color="auto" w:fill="auto"/>
          </w:tcPr>
          <w:p w:rsidR="00976A6B" w:rsidRPr="00A1131D" w:rsidRDefault="00976A6B" w:rsidP="007854A1">
            <w:pPr>
              <w:rPr>
                <w:rFonts w:cs="Arial"/>
                <w:i/>
                <w:color w:val="002060"/>
                <w:sz w:val="16"/>
                <w:szCs w:val="16"/>
              </w:rPr>
            </w:pPr>
            <w:r w:rsidRPr="00A1131D">
              <w:rPr>
                <w:rFonts w:cs="Arial"/>
                <w:i/>
                <w:color w:val="002060"/>
                <w:sz w:val="16"/>
                <w:szCs w:val="16"/>
              </w:rPr>
              <w:t>Updated Baseline end 201</w:t>
            </w:r>
            <w:r>
              <w:rPr>
                <w:rFonts w:cs="Arial"/>
                <w:i/>
                <w:color w:val="002060"/>
                <w:sz w:val="16"/>
                <w:szCs w:val="16"/>
              </w:rPr>
              <w:t>3</w:t>
            </w:r>
            <w:r w:rsidRPr="00A1131D">
              <w:rPr>
                <w:rFonts w:cs="Arial"/>
                <w:i/>
                <w:color w:val="002060"/>
                <w:sz w:val="16"/>
                <w:szCs w:val="16"/>
              </w:rPr>
              <w:t xml:space="preserve">: </w:t>
            </w:r>
            <w:r w:rsidRPr="00EF03E1">
              <w:rPr>
                <w:rFonts w:cs="Arial"/>
                <w:color w:val="002060"/>
                <w:sz w:val="16"/>
                <w:szCs w:val="16"/>
              </w:rPr>
              <w:t>Six requests for bilateral discussions (Chile, Brazil, Ecuador, India, the Dominican Republic, the Republic of Moldova) and one request for legislative assistance (Bhutan).</w:t>
            </w:r>
          </w:p>
          <w:p w:rsidR="00976A6B" w:rsidRPr="00A1131D" w:rsidRDefault="00976A6B" w:rsidP="007854A1">
            <w:pPr>
              <w:rPr>
                <w:rFonts w:cs="Arial"/>
                <w:i/>
                <w:color w:val="002060"/>
                <w:sz w:val="8"/>
                <w:szCs w:val="8"/>
              </w:rPr>
            </w:pPr>
            <w:r w:rsidRPr="00A1131D">
              <w:rPr>
                <w:rFonts w:cs="Arial"/>
                <w:color w:val="993300"/>
                <w:sz w:val="16"/>
                <w:szCs w:val="16"/>
              </w:rPr>
              <w:br/>
            </w:r>
          </w:p>
          <w:p w:rsidR="00976A6B" w:rsidRPr="00A1131D" w:rsidRDefault="00976A6B" w:rsidP="007854A1">
            <w:pPr>
              <w:rPr>
                <w:rFonts w:cs="Arial"/>
                <w:sz w:val="16"/>
                <w:szCs w:val="16"/>
              </w:rPr>
            </w:pPr>
            <w:r w:rsidRPr="00A1131D">
              <w:rPr>
                <w:rFonts w:cs="Arial"/>
                <w:i/>
                <w:sz w:val="16"/>
                <w:szCs w:val="16"/>
              </w:rPr>
              <w:t>Original Baseline P&amp;B 201</w:t>
            </w:r>
            <w:r>
              <w:rPr>
                <w:rFonts w:cs="Arial"/>
                <w:i/>
                <w:sz w:val="16"/>
                <w:szCs w:val="16"/>
              </w:rPr>
              <w:t>4</w:t>
            </w:r>
            <w:r w:rsidRPr="00A1131D">
              <w:rPr>
                <w:rFonts w:cs="Arial"/>
                <w:i/>
                <w:sz w:val="16"/>
                <w:szCs w:val="16"/>
              </w:rPr>
              <w:t>/1</w:t>
            </w:r>
            <w:r>
              <w:rPr>
                <w:rFonts w:cs="Arial"/>
                <w:i/>
                <w:sz w:val="16"/>
                <w:szCs w:val="16"/>
              </w:rPr>
              <w:t>5</w:t>
            </w:r>
            <w:r w:rsidRPr="00A1131D">
              <w:rPr>
                <w:rFonts w:cs="Arial"/>
                <w:i/>
                <w:sz w:val="16"/>
                <w:szCs w:val="16"/>
              </w:rPr>
              <w:t>:</w:t>
            </w:r>
            <w:r>
              <w:rPr>
                <w:rFonts w:cs="Arial"/>
                <w:sz w:val="16"/>
                <w:szCs w:val="16"/>
              </w:rPr>
              <w:t xml:space="preserve">  12</w:t>
            </w:r>
          </w:p>
        </w:tc>
        <w:tc>
          <w:tcPr>
            <w:tcW w:w="740" w:type="pct"/>
            <w:gridSpan w:val="2"/>
            <w:shd w:val="clear" w:color="auto" w:fill="auto"/>
            <w:tcMar>
              <w:top w:w="110" w:type="dxa"/>
            </w:tcMar>
          </w:tcPr>
          <w:p w:rsidR="00976A6B" w:rsidRPr="00A1131D" w:rsidRDefault="00976A6B" w:rsidP="007854A1">
            <w:pPr>
              <w:rPr>
                <w:rFonts w:cs="Arial"/>
                <w:sz w:val="16"/>
                <w:szCs w:val="16"/>
              </w:rPr>
            </w:pPr>
            <w:r>
              <w:rPr>
                <w:rFonts w:cs="Arial"/>
                <w:sz w:val="16"/>
                <w:szCs w:val="16"/>
              </w:rPr>
              <w:t>15</w:t>
            </w:r>
          </w:p>
        </w:tc>
        <w:tc>
          <w:tcPr>
            <w:tcW w:w="1154" w:type="pct"/>
            <w:gridSpan w:val="2"/>
            <w:shd w:val="clear" w:color="auto" w:fill="FFFFFF"/>
            <w:tcMar>
              <w:top w:w="110" w:type="dxa"/>
            </w:tcMar>
          </w:tcPr>
          <w:p w:rsidR="00976A6B" w:rsidRPr="00D84A31" w:rsidRDefault="00976A6B" w:rsidP="007854A1">
            <w:pPr>
              <w:rPr>
                <w:rFonts w:cs="Arial"/>
                <w:sz w:val="16"/>
                <w:szCs w:val="16"/>
                <w:lang w:bidi="th-TH"/>
              </w:rPr>
            </w:pPr>
            <w:r w:rsidRPr="00D84A31">
              <w:rPr>
                <w:rFonts w:cs="Arial"/>
                <w:sz w:val="16"/>
                <w:szCs w:val="16"/>
                <w:lang w:bidi="th-TH"/>
              </w:rPr>
              <w:t>1</w:t>
            </w:r>
            <w:r>
              <w:rPr>
                <w:rFonts w:cs="Arial"/>
                <w:sz w:val="16"/>
                <w:szCs w:val="16"/>
                <w:lang w:bidi="th-TH"/>
              </w:rPr>
              <w:t>6</w:t>
            </w:r>
            <w:r w:rsidRPr="00D84A31">
              <w:rPr>
                <w:rFonts w:cs="Arial"/>
                <w:sz w:val="16"/>
                <w:szCs w:val="16"/>
                <w:lang w:bidi="th-TH"/>
              </w:rPr>
              <w:t xml:space="preserve"> </w:t>
            </w:r>
            <w:r>
              <w:rPr>
                <w:rFonts w:cs="Arial"/>
                <w:sz w:val="16"/>
                <w:szCs w:val="16"/>
                <w:lang w:bidi="th-TH"/>
              </w:rPr>
              <w:t>r</w:t>
            </w:r>
            <w:r w:rsidRPr="00D84A31">
              <w:rPr>
                <w:rFonts w:cs="Arial"/>
                <w:sz w:val="16"/>
                <w:szCs w:val="16"/>
                <w:lang w:bidi="th-TH"/>
              </w:rPr>
              <w:t>equests/follow up for bilateral discussions (</w:t>
            </w:r>
            <w:r>
              <w:rPr>
                <w:rFonts w:cs="Arial"/>
                <w:sz w:val="16"/>
                <w:szCs w:val="16"/>
                <w:lang w:bidi="th-TH"/>
              </w:rPr>
              <w:t xml:space="preserve">Brazil, </w:t>
            </w:r>
            <w:r w:rsidRPr="00532BAA">
              <w:rPr>
                <w:rFonts w:cs="Arial"/>
                <w:sz w:val="16"/>
                <w:szCs w:val="16"/>
                <w:lang w:bidi="th-TH"/>
              </w:rPr>
              <w:t xml:space="preserve">Colombia, Cuba, Dominican Republic, Ecuador, El Salvador, Honduras, </w:t>
            </w:r>
            <w:r w:rsidRPr="00982B5A">
              <w:rPr>
                <w:rFonts w:cs="Arial"/>
                <w:sz w:val="16"/>
                <w:szCs w:val="16"/>
                <w:lang w:bidi="th-TH"/>
              </w:rPr>
              <w:t xml:space="preserve">India, Italy, Kuwait, </w:t>
            </w:r>
            <w:r w:rsidRPr="00371897">
              <w:rPr>
                <w:rFonts w:cs="Arial"/>
                <w:sz w:val="16"/>
                <w:szCs w:val="16"/>
                <w:lang w:bidi="th-TH"/>
              </w:rPr>
              <w:t>Macao Special Administrative Region of China</w:t>
            </w:r>
            <w:r w:rsidRPr="00532BAA">
              <w:rPr>
                <w:rFonts w:cs="Arial"/>
                <w:sz w:val="16"/>
                <w:szCs w:val="16"/>
                <w:lang w:bidi="th-TH"/>
              </w:rPr>
              <w:t xml:space="preserve">, </w:t>
            </w:r>
            <w:r w:rsidRPr="00982B5A">
              <w:rPr>
                <w:rFonts w:cs="Arial"/>
                <w:sz w:val="16"/>
                <w:szCs w:val="16"/>
                <w:lang w:bidi="th-TH"/>
              </w:rPr>
              <w:t>Peru</w:t>
            </w:r>
            <w:r w:rsidRPr="00D84A31">
              <w:rPr>
                <w:rFonts w:cs="Arial"/>
                <w:sz w:val="16"/>
                <w:szCs w:val="16"/>
                <w:lang w:bidi="th-TH"/>
              </w:rPr>
              <w:t xml:space="preserve">, Philippines, </w:t>
            </w:r>
            <w:r>
              <w:rPr>
                <w:rFonts w:cs="Arial"/>
                <w:sz w:val="16"/>
                <w:szCs w:val="16"/>
                <w:lang w:bidi="th-TH"/>
              </w:rPr>
              <w:t xml:space="preserve">Singapore, </w:t>
            </w:r>
            <w:r w:rsidRPr="00D84A31">
              <w:rPr>
                <w:rFonts w:cs="Arial"/>
                <w:sz w:val="16"/>
                <w:szCs w:val="16"/>
                <w:lang w:bidi="th-TH"/>
              </w:rPr>
              <w:t>South Africa</w:t>
            </w:r>
            <w:r>
              <w:rPr>
                <w:rFonts w:cs="Arial"/>
                <w:sz w:val="16"/>
                <w:szCs w:val="16"/>
                <w:lang w:bidi="th-TH"/>
              </w:rPr>
              <w:t>, Viet Nam</w:t>
            </w:r>
            <w:r w:rsidRPr="00D84A31">
              <w:rPr>
                <w:rFonts w:cs="Arial"/>
                <w:sz w:val="16"/>
                <w:szCs w:val="16"/>
                <w:lang w:bidi="th-TH"/>
              </w:rPr>
              <w:t>)</w:t>
            </w:r>
          </w:p>
        </w:tc>
        <w:tc>
          <w:tcPr>
            <w:tcW w:w="606" w:type="pct"/>
            <w:shd w:val="clear" w:color="auto" w:fill="auto"/>
            <w:tcMar>
              <w:top w:w="110" w:type="dxa"/>
            </w:tcMar>
          </w:tcPr>
          <w:p w:rsidR="00976A6B" w:rsidRPr="00845557" w:rsidRDefault="00976A6B" w:rsidP="007854A1">
            <w:pPr>
              <w:keepNext/>
              <w:keepLines/>
              <w:jc w:val="center"/>
              <w:rPr>
                <w:b/>
                <w:color w:val="00B050"/>
                <w:sz w:val="16"/>
              </w:rPr>
            </w:pPr>
            <w:r>
              <w:rPr>
                <w:b/>
                <w:color w:val="00B050"/>
                <w:sz w:val="16"/>
              </w:rPr>
              <w:t>Fully Achieved</w:t>
            </w:r>
          </w:p>
        </w:tc>
      </w:tr>
      <w:tr w:rsidR="00976A6B" w:rsidRPr="00A1131D" w:rsidTr="00E37059">
        <w:trPr>
          <w:cantSplit/>
        </w:trPr>
        <w:tc>
          <w:tcPr>
            <w:tcW w:w="1130" w:type="pct"/>
            <w:gridSpan w:val="2"/>
            <w:shd w:val="clear" w:color="auto" w:fill="auto"/>
          </w:tcPr>
          <w:p w:rsidR="00976A6B" w:rsidRPr="00A1131D" w:rsidRDefault="00976A6B" w:rsidP="007854A1">
            <w:pPr>
              <w:rPr>
                <w:rFonts w:cs="Arial"/>
                <w:sz w:val="16"/>
                <w:szCs w:val="16"/>
              </w:rPr>
            </w:pPr>
            <w:r w:rsidRPr="00A1131D">
              <w:rPr>
                <w:rFonts w:cs="Arial"/>
                <w:sz w:val="16"/>
                <w:szCs w:val="16"/>
              </w:rPr>
              <w:t>No. and diversity of stakeholders (IP offices, competition authorities, relevant IGOs and NGOs) engaged in dialogue with WIPO</w:t>
            </w:r>
          </w:p>
          <w:p w:rsidR="00976A6B" w:rsidRPr="00A1131D" w:rsidRDefault="00976A6B" w:rsidP="007854A1">
            <w:pPr>
              <w:rPr>
                <w:rFonts w:cs="Arial"/>
                <w:sz w:val="16"/>
                <w:szCs w:val="16"/>
              </w:rPr>
            </w:pPr>
          </w:p>
        </w:tc>
        <w:tc>
          <w:tcPr>
            <w:tcW w:w="1370" w:type="pct"/>
            <w:gridSpan w:val="4"/>
            <w:shd w:val="clear" w:color="auto" w:fill="auto"/>
          </w:tcPr>
          <w:p w:rsidR="00976A6B" w:rsidRPr="00EF03E1" w:rsidRDefault="00976A6B" w:rsidP="007854A1">
            <w:pPr>
              <w:rPr>
                <w:rFonts w:cs="Arial"/>
                <w:color w:val="002060"/>
                <w:sz w:val="16"/>
                <w:szCs w:val="16"/>
              </w:rPr>
            </w:pPr>
            <w:r w:rsidRPr="00A1131D">
              <w:rPr>
                <w:rFonts w:cs="Arial"/>
                <w:i/>
                <w:color w:val="002060"/>
                <w:sz w:val="16"/>
                <w:szCs w:val="16"/>
              </w:rPr>
              <w:t>Updated Baseline end 201</w:t>
            </w:r>
            <w:r>
              <w:rPr>
                <w:rFonts w:cs="Arial"/>
                <w:i/>
                <w:color w:val="002060"/>
                <w:sz w:val="16"/>
                <w:szCs w:val="16"/>
              </w:rPr>
              <w:t>3</w:t>
            </w:r>
            <w:r w:rsidRPr="00A1131D">
              <w:rPr>
                <w:rFonts w:cs="Arial"/>
                <w:i/>
                <w:color w:val="002060"/>
                <w:sz w:val="16"/>
                <w:szCs w:val="16"/>
              </w:rPr>
              <w:t xml:space="preserve">: </w:t>
            </w:r>
            <w:r w:rsidRPr="00EF03E1">
              <w:rPr>
                <w:rFonts w:cs="Arial"/>
                <w:color w:val="002060"/>
                <w:sz w:val="16"/>
                <w:szCs w:val="16"/>
              </w:rPr>
              <w:t>19</w:t>
            </w:r>
            <w:r>
              <w:rPr>
                <w:rFonts w:cs="Arial"/>
                <w:color w:val="002060"/>
                <w:sz w:val="16"/>
                <w:szCs w:val="16"/>
              </w:rPr>
              <w:t> </w:t>
            </w:r>
            <w:r w:rsidRPr="00EF03E1">
              <w:rPr>
                <w:rFonts w:cs="Arial"/>
                <w:color w:val="002060"/>
                <w:sz w:val="16"/>
                <w:szCs w:val="16"/>
              </w:rPr>
              <w:t xml:space="preserve">workshops and meetings engaging 38 competition authorities and 5 IGOs. Establishment of informal coordination with UNCTAD, WTO and OECD.  Active participation in the International Competition Network. Cooperation with the Common Market for Eastern and Southern Africa (COMESA). </w:t>
            </w:r>
          </w:p>
          <w:p w:rsidR="00976A6B" w:rsidRDefault="00976A6B" w:rsidP="007854A1">
            <w:pPr>
              <w:rPr>
                <w:rFonts w:cs="Arial"/>
                <w:i/>
                <w:color w:val="002060"/>
                <w:sz w:val="16"/>
                <w:szCs w:val="16"/>
              </w:rPr>
            </w:pPr>
          </w:p>
          <w:p w:rsidR="00976A6B" w:rsidRPr="00A1131D" w:rsidRDefault="00976A6B" w:rsidP="007854A1">
            <w:pPr>
              <w:rPr>
                <w:rFonts w:cs="Arial"/>
                <w:sz w:val="16"/>
                <w:szCs w:val="16"/>
              </w:rPr>
            </w:pPr>
            <w:r w:rsidRPr="00A1131D">
              <w:rPr>
                <w:rFonts w:cs="Arial"/>
                <w:i/>
                <w:sz w:val="16"/>
                <w:szCs w:val="16"/>
              </w:rPr>
              <w:t>Original Baseline P&amp;B 201</w:t>
            </w:r>
            <w:r>
              <w:rPr>
                <w:rFonts w:cs="Arial"/>
                <w:i/>
                <w:sz w:val="16"/>
                <w:szCs w:val="16"/>
              </w:rPr>
              <w:t>4</w:t>
            </w:r>
            <w:r w:rsidRPr="00A1131D">
              <w:rPr>
                <w:rFonts w:cs="Arial"/>
                <w:i/>
                <w:sz w:val="16"/>
                <w:szCs w:val="16"/>
              </w:rPr>
              <w:t>/1</w:t>
            </w:r>
            <w:r>
              <w:rPr>
                <w:rFonts w:cs="Arial"/>
                <w:i/>
                <w:sz w:val="16"/>
                <w:szCs w:val="16"/>
              </w:rPr>
              <w:t>5</w:t>
            </w:r>
            <w:r w:rsidRPr="00A1131D">
              <w:rPr>
                <w:rFonts w:cs="Arial"/>
                <w:i/>
                <w:sz w:val="16"/>
                <w:szCs w:val="16"/>
              </w:rPr>
              <w:t>:</w:t>
            </w:r>
            <w:r>
              <w:rPr>
                <w:rFonts w:cs="Arial"/>
                <w:sz w:val="16"/>
                <w:szCs w:val="16"/>
              </w:rPr>
              <w:t xml:space="preserve"> </w:t>
            </w:r>
            <w:r w:rsidRPr="00EF03E1">
              <w:rPr>
                <w:rFonts w:cs="Arial"/>
                <w:sz w:val="16"/>
                <w:szCs w:val="16"/>
              </w:rPr>
              <w:t>WIPO engaged 25 national competition authorities and 3</w:t>
            </w:r>
            <w:r>
              <w:rPr>
                <w:rFonts w:cs="Arial"/>
                <w:sz w:val="16"/>
                <w:szCs w:val="16"/>
              </w:rPr>
              <w:t> </w:t>
            </w:r>
            <w:r w:rsidRPr="00EF03E1">
              <w:rPr>
                <w:rFonts w:cs="Arial"/>
                <w:sz w:val="16"/>
                <w:szCs w:val="16"/>
              </w:rPr>
              <w:t xml:space="preserve">IGOs </w:t>
            </w:r>
          </w:p>
        </w:tc>
        <w:tc>
          <w:tcPr>
            <w:tcW w:w="740" w:type="pct"/>
            <w:gridSpan w:val="2"/>
            <w:shd w:val="clear" w:color="auto" w:fill="auto"/>
            <w:tcMar>
              <w:top w:w="110" w:type="dxa"/>
            </w:tcMar>
          </w:tcPr>
          <w:p w:rsidR="00976A6B" w:rsidRPr="00A1131D" w:rsidRDefault="00976A6B" w:rsidP="007854A1">
            <w:pPr>
              <w:autoSpaceDE w:val="0"/>
              <w:autoSpaceDN w:val="0"/>
              <w:adjustRightInd w:val="0"/>
              <w:rPr>
                <w:rFonts w:cs="Arial"/>
                <w:sz w:val="16"/>
                <w:szCs w:val="16"/>
              </w:rPr>
            </w:pPr>
            <w:r w:rsidRPr="00A1131D">
              <w:rPr>
                <w:rFonts w:cs="Arial"/>
                <w:sz w:val="16"/>
                <w:szCs w:val="16"/>
              </w:rPr>
              <w:t>Increase of stakeholders engaged in WIPO’s activities</w:t>
            </w:r>
            <w:r>
              <w:rPr>
                <w:rFonts w:cs="Arial"/>
                <w:sz w:val="16"/>
                <w:szCs w:val="16"/>
              </w:rPr>
              <w:t>:</w:t>
            </w:r>
            <w:r w:rsidRPr="00A1131D">
              <w:rPr>
                <w:rFonts w:cs="Arial"/>
                <w:sz w:val="16"/>
                <w:szCs w:val="16"/>
              </w:rPr>
              <w:t xml:space="preserve"> 35</w:t>
            </w:r>
            <w:r>
              <w:rPr>
                <w:rFonts w:cs="Arial"/>
                <w:sz w:val="16"/>
                <w:szCs w:val="16"/>
              </w:rPr>
              <w:t> </w:t>
            </w:r>
            <w:r w:rsidRPr="00A1131D">
              <w:rPr>
                <w:rFonts w:cs="Arial"/>
                <w:sz w:val="16"/>
                <w:szCs w:val="16"/>
              </w:rPr>
              <w:t>national authorities and 5</w:t>
            </w:r>
            <w:r>
              <w:rPr>
                <w:rFonts w:cs="Arial"/>
                <w:sz w:val="16"/>
                <w:szCs w:val="16"/>
              </w:rPr>
              <w:t> </w:t>
            </w:r>
            <w:r w:rsidRPr="00A1131D">
              <w:rPr>
                <w:rFonts w:cs="Arial"/>
                <w:sz w:val="16"/>
                <w:szCs w:val="16"/>
              </w:rPr>
              <w:t>IGOs/NGOs</w:t>
            </w:r>
          </w:p>
        </w:tc>
        <w:tc>
          <w:tcPr>
            <w:tcW w:w="1154" w:type="pct"/>
            <w:gridSpan w:val="2"/>
            <w:shd w:val="clear" w:color="auto" w:fill="FFFFFF"/>
            <w:tcMar>
              <w:top w:w="110" w:type="dxa"/>
            </w:tcMar>
          </w:tcPr>
          <w:p w:rsidR="00976A6B" w:rsidRPr="00D84A31" w:rsidRDefault="00976A6B" w:rsidP="007854A1">
            <w:pPr>
              <w:rPr>
                <w:rFonts w:cs="Arial"/>
                <w:sz w:val="16"/>
                <w:szCs w:val="16"/>
              </w:rPr>
            </w:pPr>
            <w:r w:rsidRPr="00D84A31">
              <w:rPr>
                <w:rFonts w:cs="Arial"/>
                <w:sz w:val="16"/>
                <w:szCs w:val="16"/>
              </w:rPr>
              <w:t xml:space="preserve">39 </w:t>
            </w:r>
            <w:r>
              <w:rPr>
                <w:rFonts w:cs="Arial"/>
                <w:sz w:val="16"/>
                <w:szCs w:val="16"/>
              </w:rPr>
              <w:t xml:space="preserve">additional </w:t>
            </w:r>
            <w:r w:rsidRPr="00D84A31">
              <w:rPr>
                <w:rFonts w:cs="Arial"/>
                <w:sz w:val="16"/>
                <w:szCs w:val="16"/>
              </w:rPr>
              <w:t xml:space="preserve">competition authorities </w:t>
            </w:r>
            <w:r>
              <w:rPr>
                <w:rFonts w:cs="Arial"/>
                <w:sz w:val="16"/>
                <w:szCs w:val="16"/>
              </w:rPr>
              <w:t xml:space="preserve">involved </w:t>
            </w:r>
            <w:r w:rsidRPr="00D84A31">
              <w:rPr>
                <w:rFonts w:cs="Arial"/>
                <w:sz w:val="16"/>
                <w:szCs w:val="16"/>
              </w:rPr>
              <w:t xml:space="preserve">and </w:t>
            </w:r>
            <w:r>
              <w:rPr>
                <w:rFonts w:cs="Arial"/>
                <w:sz w:val="16"/>
                <w:szCs w:val="16"/>
              </w:rPr>
              <w:t xml:space="preserve">continued engagement with </w:t>
            </w:r>
            <w:r w:rsidRPr="00D84A31">
              <w:rPr>
                <w:rFonts w:cs="Arial"/>
                <w:sz w:val="16"/>
                <w:szCs w:val="16"/>
              </w:rPr>
              <w:t>5 IGOs</w:t>
            </w:r>
            <w:r>
              <w:rPr>
                <w:rFonts w:cs="Arial"/>
                <w:sz w:val="16"/>
                <w:szCs w:val="16"/>
              </w:rPr>
              <w:t xml:space="preserve">/NGOs (OECD, UNCTAD, the WTO, ICN, COMESA).  </w:t>
            </w:r>
            <w:r w:rsidRPr="00D84A31">
              <w:rPr>
                <w:rFonts w:cs="Arial"/>
                <w:sz w:val="16"/>
                <w:szCs w:val="16"/>
              </w:rPr>
              <w:t xml:space="preserve">Active participation in the International Competition Network (including </w:t>
            </w:r>
            <w:r>
              <w:rPr>
                <w:rFonts w:cs="Arial"/>
                <w:sz w:val="16"/>
                <w:szCs w:val="16"/>
              </w:rPr>
              <w:t xml:space="preserve">the </w:t>
            </w:r>
            <w:r w:rsidRPr="00D84A31">
              <w:rPr>
                <w:rFonts w:cs="Arial"/>
                <w:sz w:val="16"/>
                <w:szCs w:val="16"/>
              </w:rPr>
              <w:t>Unilateral Conduct Working Group membership).</w:t>
            </w:r>
            <w:r>
              <w:rPr>
                <w:rFonts w:cs="Arial"/>
                <w:sz w:val="16"/>
                <w:szCs w:val="16"/>
              </w:rPr>
              <w:t xml:space="preserve">  </w:t>
            </w:r>
            <w:r w:rsidRPr="00D84A31">
              <w:rPr>
                <w:rFonts w:cs="Arial"/>
                <w:sz w:val="16"/>
                <w:szCs w:val="16"/>
              </w:rPr>
              <w:t>Cooperation with EU</w:t>
            </w:r>
            <w:r>
              <w:rPr>
                <w:rFonts w:cs="Arial"/>
                <w:sz w:val="16"/>
                <w:szCs w:val="16"/>
              </w:rPr>
              <w:t>.</w:t>
            </w:r>
          </w:p>
        </w:tc>
        <w:tc>
          <w:tcPr>
            <w:tcW w:w="606" w:type="pct"/>
            <w:shd w:val="clear" w:color="auto" w:fill="auto"/>
            <w:tcMar>
              <w:top w:w="110" w:type="dxa"/>
            </w:tcMar>
          </w:tcPr>
          <w:p w:rsidR="00976A6B" w:rsidRPr="00845557" w:rsidRDefault="00976A6B" w:rsidP="007854A1">
            <w:pPr>
              <w:keepNext/>
              <w:keepLines/>
              <w:jc w:val="center"/>
              <w:rPr>
                <w:b/>
                <w:color w:val="00B050"/>
                <w:sz w:val="16"/>
              </w:rPr>
            </w:pPr>
            <w:r>
              <w:rPr>
                <w:b/>
                <w:color w:val="00B050"/>
                <w:sz w:val="16"/>
              </w:rPr>
              <w:t>Fully Achieved</w:t>
            </w:r>
          </w:p>
        </w:tc>
      </w:tr>
    </w:tbl>
    <w:p w:rsidR="00976A6B" w:rsidRPr="00787DDC" w:rsidRDefault="00976A6B" w:rsidP="007854A1">
      <w:pPr>
        <w:keepNext/>
        <w:keepLines/>
        <w:rPr>
          <w:rFonts w:cs="Arial"/>
          <w:color w:val="000000"/>
          <w:szCs w:val="22"/>
        </w:rPr>
      </w:pPr>
      <w:r w:rsidRPr="00787DDC">
        <w:rPr>
          <w:rFonts w:cs="Arial"/>
          <w:color w:val="000000"/>
          <w:szCs w:val="22"/>
        </w:rPr>
        <w:lastRenderedPageBreak/>
        <w:t>RISK REPORTING FOR THE BIENNIUM</w:t>
      </w:r>
    </w:p>
    <w:p w:rsidR="00976A6B" w:rsidRDefault="00976A6B" w:rsidP="007854A1">
      <w:pPr>
        <w:keepNext/>
        <w:keepLines/>
      </w:pPr>
    </w:p>
    <w:tbl>
      <w:tblPr>
        <w:tblW w:w="9356"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2420"/>
        <w:gridCol w:w="2200"/>
        <w:gridCol w:w="2310"/>
        <w:gridCol w:w="2426"/>
      </w:tblGrid>
      <w:tr w:rsidR="00976A6B" w:rsidRPr="00D63083" w:rsidTr="00041CE8">
        <w:trPr>
          <w:cantSplit/>
          <w:trHeight w:val="458"/>
          <w:tblHeader/>
        </w:trPr>
        <w:tc>
          <w:tcPr>
            <w:tcW w:w="2420" w:type="dxa"/>
            <w:tcBorders>
              <w:top w:val="single" w:sz="4" w:space="0" w:color="auto"/>
              <w:bottom w:val="single" w:sz="4" w:space="0" w:color="auto"/>
            </w:tcBorders>
            <w:shd w:val="clear" w:color="auto" w:fill="C6D9F1" w:themeFill="text2" w:themeFillTint="33"/>
            <w:tcMar>
              <w:top w:w="113" w:type="dxa"/>
              <w:bottom w:w="85" w:type="dxa"/>
            </w:tcMar>
            <w:vAlign w:val="center"/>
          </w:tcPr>
          <w:p w:rsidR="00976A6B" w:rsidRPr="00D63083" w:rsidRDefault="00976A6B" w:rsidP="007854A1">
            <w:pPr>
              <w:keepNext/>
              <w:keepLines/>
              <w:jc w:val="center"/>
              <w:rPr>
                <w:b/>
                <w:iCs/>
                <w:sz w:val="18"/>
                <w:szCs w:val="18"/>
                <w:lang w:eastAsia="zh-CN"/>
              </w:rPr>
            </w:pPr>
            <w:r w:rsidRPr="00D63083">
              <w:rPr>
                <w:b/>
                <w:bCs/>
                <w:iCs/>
                <w:sz w:val="18"/>
                <w:szCs w:val="18"/>
                <w:lang w:eastAsia="zh-CN"/>
              </w:rPr>
              <w:t>Risk(s) to the Program achieving its Results</w:t>
            </w:r>
          </w:p>
        </w:tc>
        <w:tc>
          <w:tcPr>
            <w:tcW w:w="2200" w:type="dxa"/>
            <w:tcBorders>
              <w:top w:val="single" w:sz="4" w:space="0" w:color="auto"/>
              <w:bottom w:val="single" w:sz="4" w:space="0" w:color="auto"/>
            </w:tcBorders>
            <w:shd w:val="clear" w:color="auto" w:fill="C6D9F1" w:themeFill="text2" w:themeFillTint="33"/>
            <w:tcMar>
              <w:top w:w="113" w:type="dxa"/>
              <w:bottom w:w="85" w:type="dxa"/>
            </w:tcMar>
            <w:vAlign w:val="center"/>
          </w:tcPr>
          <w:p w:rsidR="00976A6B" w:rsidRPr="00D63083" w:rsidRDefault="00976A6B" w:rsidP="007854A1">
            <w:pPr>
              <w:keepNext/>
              <w:keepLines/>
              <w:jc w:val="center"/>
              <w:rPr>
                <w:b/>
                <w:bCs/>
                <w:iCs/>
                <w:sz w:val="18"/>
                <w:szCs w:val="18"/>
                <w:lang w:eastAsia="zh-CN"/>
              </w:rPr>
            </w:pPr>
            <w:r w:rsidRPr="00D63083">
              <w:rPr>
                <w:b/>
                <w:bCs/>
                <w:iCs/>
                <w:sz w:val="18"/>
                <w:szCs w:val="18"/>
                <w:lang w:eastAsia="zh-CN"/>
              </w:rPr>
              <w:t>Mitigation plans in place or under implementation</w:t>
            </w:r>
          </w:p>
        </w:tc>
        <w:tc>
          <w:tcPr>
            <w:tcW w:w="2310" w:type="dxa"/>
            <w:tcBorders>
              <w:top w:val="single" w:sz="4" w:space="0" w:color="auto"/>
              <w:bottom w:val="single" w:sz="4" w:space="0" w:color="auto"/>
            </w:tcBorders>
            <w:shd w:val="clear" w:color="auto" w:fill="C6D9F1" w:themeFill="text2" w:themeFillTint="33"/>
          </w:tcPr>
          <w:p w:rsidR="00976A6B" w:rsidRPr="003C527B" w:rsidRDefault="00976A6B" w:rsidP="007854A1">
            <w:pPr>
              <w:keepNext/>
              <w:keepLines/>
              <w:jc w:val="center"/>
              <w:rPr>
                <w:b/>
                <w:bCs/>
                <w:sz w:val="18"/>
                <w:szCs w:val="18"/>
              </w:rPr>
            </w:pPr>
            <w:r>
              <w:rPr>
                <w:b/>
                <w:bCs/>
                <w:sz w:val="18"/>
                <w:szCs w:val="18"/>
              </w:rPr>
              <w:t>Evolution of Risk(s) and Mitigation Strategies Over the Biennium</w:t>
            </w:r>
          </w:p>
        </w:tc>
        <w:tc>
          <w:tcPr>
            <w:tcW w:w="2426" w:type="dxa"/>
            <w:tcBorders>
              <w:top w:val="single" w:sz="4" w:space="0" w:color="auto"/>
              <w:bottom w:val="single" w:sz="4" w:space="0" w:color="auto"/>
            </w:tcBorders>
            <w:shd w:val="clear" w:color="auto" w:fill="C6D9F1" w:themeFill="text2" w:themeFillTint="33"/>
          </w:tcPr>
          <w:p w:rsidR="00976A6B" w:rsidRPr="003C527B" w:rsidRDefault="00976A6B" w:rsidP="007854A1">
            <w:pPr>
              <w:keepNext/>
              <w:keepLines/>
              <w:jc w:val="center"/>
              <w:rPr>
                <w:b/>
                <w:bCs/>
                <w:sz w:val="18"/>
                <w:szCs w:val="18"/>
              </w:rPr>
            </w:pPr>
            <w:r>
              <w:rPr>
                <w:b/>
                <w:bCs/>
                <w:sz w:val="18"/>
                <w:szCs w:val="18"/>
              </w:rPr>
              <w:t>Impact on the Program’s Performance</w:t>
            </w:r>
          </w:p>
        </w:tc>
      </w:tr>
      <w:tr w:rsidR="00976A6B" w:rsidRPr="00D63083" w:rsidTr="00041CE8">
        <w:trPr>
          <w:cantSplit/>
          <w:trHeight w:val="1350"/>
        </w:trPr>
        <w:tc>
          <w:tcPr>
            <w:tcW w:w="2420" w:type="dxa"/>
            <w:tcBorders>
              <w:top w:val="single" w:sz="4" w:space="0" w:color="auto"/>
            </w:tcBorders>
            <w:shd w:val="clear" w:color="auto" w:fill="auto"/>
            <w:tcMar>
              <w:top w:w="113" w:type="dxa"/>
              <w:bottom w:w="85" w:type="dxa"/>
            </w:tcMar>
          </w:tcPr>
          <w:p w:rsidR="00976A6B" w:rsidRPr="00D63083" w:rsidRDefault="00976A6B" w:rsidP="007854A1">
            <w:pPr>
              <w:keepNext/>
              <w:keepLines/>
              <w:rPr>
                <w:sz w:val="16"/>
                <w:szCs w:val="16"/>
                <w:lang w:eastAsia="zh-CN"/>
              </w:rPr>
            </w:pPr>
            <w:r w:rsidRPr="00D63083">
              <w:rPr>
                <w:sz w:val="16"/>
                <w:szCs w:val="16"/>
              </w:rPr>
              <w:t>Lack of, or dwindling buy-in, from platform partners, members leaving, or insufficient upload of information by members have direct impact on the functioning of the platforms and the function they are supposed to fulfill as well as the credibility of the projects, making the platforms potentially irrelevant compared to similar platform projects outside of WIPO</w:t>
            </w:r>
          </w:p>
        </w:tc>
        <w:tc>
          <w:tcPr>
            <w:tcW w:w="2200" w:type="dxa"/>
            <w:tcBorders>
              <w:top w:val="single" w:sz="4" w:space="0" w:color="auto"/>
            </w:tcBorders>
            <w:shd w:val="clear" w:color="auto" w:fill="auto"/>
            <w:tcMar>
              <w:top w:w="113" w:type="dxa"/>
              <w:bottom w:w="85" w:type="dxa"/>
            </w:tcMar>
          </w:tcPr>
          <w:p w:rsidR="00976A6B" w:rsidRPr="00D63083" w:rsidRDefault="00976A6B" w:rsidP="007854A1">
            <w:pPr>
              <w:keepNext/>
              <w:keepLines/>
              <w:rPr>
                <w:i/>
                <w:sz w:val="16"/>
                <w:szCs w:val="16"/>
                <w:lang w:eastAsia="zh-CN"/>
              </w:rPr>
            </w:pPr>
            <w:r w:rsidRPr="00D63083">
              <w:rPr>
                <w:sz w:val="16"/>
                <w:szCs w:val="16"/>
              </w:rPr>
              <w:t>Constantly scrutinize strategy, environment and planning to enable early identification of trends and taking appropriate action as soon as possible</w:t>
            </w:r>
          </w:p>
        </w:tc>
        <w:tc>
          <w:tcPr>
            <w:tcW w:w="2310" w:type="dxa"/>
            <w:tcBorders>
              <w:top w:val="single" w:sz="4" w:space="0" w:color="auto"/>
            </w:tcBorders>
          </w:tcPr>
          <w:p w:rsidR="00976A6B" w:rsidRPr="002B7E9F" w:rsidRDefault="00976A6B" w:rsidP="007854A1">
            <w:pPr>
              <w:keepNext/>
              <w:keepLines/>
              <w:rPr>
                <w:sz w:val="16"/>
                <w:szCs w:val="16"/>
                <w:highlight w:val="yellow"/>
              </w:rPr>
            </w:pPr>
            <w:r>
              <w:rPr>
                <w:sz w:val="16"/>
                <w:szCs w:val="16"/>
              </w:rPr>
              <w:t>A second WIPO Re:Search member withdrew in 2015 after a first private sector member had withdrawn in 2013.  Ongoing efforts to bring on new corporate members were successful and proved adequate to compensate for the departure of the two members.  No WIPO GREEN</w:t>
            </w:r>
            <w:r w:rsidRPr="00770661">
              <w:rPr>
                <w:sz w:val="16"/>
                <w:szCs w:val="16"/>
              </w:rPr>
              <w:t xml:space="preserve"> </w:t>
            </w:r>
            <w:r>
              <w:rPr>
                <w:sz w:val="16"/>
                <w:szCs w:val="16"/>
              </w:rPr>
              <w:t>partner left the consortium.</w:t>
            </w:r>
          </w:p>
        </w:tc>
        <w:tc>
          <w:tcPr>
            <w:tcW w:w="2426" w:type="dxa"/>
            <w:tcBorders>
              <w:top w:val="single" w:sz="4" w:space="0" w:color="auto"/>
            </w:tcBorders>
          </w:tcPr>
          <w:p w:rsidR="00976A6B" w:rsidRPr="00B86B7C" w:rsidRDefault="00976A6B" w:rsidP="007854A1">
            <w:pPr>
              <w:keepNext/>
              <w:keepLines/>
              <w:rPr>
                <w:sz w:val="16"/>
                <w:szCs w:val="16"/>
              </w:rPr>
            </w:pPr>
            <w:r w:rsidRPr="00371897">
              <w:rPr>
                <w:sz w:val="16"/>
                <w:szCs w:val="16"/>
              </w:rPr>
              <w:t xml:space="preserve">The withdrawal of the WIPO Re:Search private sector member was offset by three new corporate members joining in 2014 (one member) and 2015 (two members).  The withdrawal of the WIPO Re:Search member in 2013 had led to 27 per cent reduction in database entries in 2014, which was, in part compensated by the seven per cent increase of database entries in 2015.  </w:t>
            </w:r>
          </w:p>
        </w:tc>
      </w:tr>
      <w:tr w:rsidR="00976A6B" w:rsidRPr="00D63083" w:rsidTr="00041CE8">
        <w:trPr>
          <w:trHeight w:val="824"/>
        </w:trPr>
        <w:tc>
          <w:tcPr>
            <w:tcW w:w="2420" w:type="dxa"/>
            <w:shd w:val="clear" w:color="auto" w:fill="auto"/>
            <w:tcMar>
              <w:top w:w="113" w:type="dxa"/>
              <w:bottom w:w="85" w:type="dxa"/>
            </w:tcMar>
          </w:tcPr>
          <w:p w:rsidR="00976A6B" w:rsidRPr="00D63083" w:rsidRDefault="00976A6B" w:rsidP="007854A1">
            <w:pPr>
              <w:keepNext/>
              <w:keepLines/>
              <w:rPr>
                <w:sz w:val="16"/>
                <w:szCs w:val="16"/>
                <w:lang w:eastAsia="zh-CN"/>
              </w:rPr>
            </w:pPr>
            <w:r w:rsidRPr="00D63083">
              <w:rPr>
                <w:sz w:val="16"/>
                <w:szCs w:val="16"/>
                <w:lang w:eastAsia="zh-CN"/>
              </w:rPr>
              <w:t>The technical accessibility of the IP databases and the sustained functioning and reliability of the database infrastructure.  Consistent availability issues may have a negative impact on WIPO’s reputation and credibility</w:t>
            </w:r>
          </w:p>
        </w:tc>
        <w:tc>
          <w:tcPr>
            <w:tcW w:w="2200" w:type="dxa"/>
            <w:shd w:val="clear" w:color="auto" w:fill="auto"/>
            <w:tcMar>
              <w:top w:w="113" w:type="dxa"/>
              <w:bottom w:w="85" w:type="dxa"/>
            </w:tcMar>
          </w:tcPr>
          <w:p w:rsidR="00976A6B" w:rsidRPr="00D63083" w:rsidRDefault="00976A6B" w:rsidP="007854A1">
            <w:pPr>
              <w:keepNext/>
              <w:keepLines/>
              <w:rPr>
                <w:sz w:val="16"/>
                <w:szCs w:val="16"/>
                <w:lang w:eastAsia="zh-CN"/>
              </w:rPr>
            </w:pPr>
            <w:r w:rsidRPr="00D63083">
              <w:rPr>
                <w:sz w:val="16"/>
                <w:szCs w:val="16"/>
              </w:rPr>
              <w:t>Ensure that relevant services be offered, effective marketing and to maintain close contact with key stakeholders</w:t>
            </w:r>
          </w:p>
        </w:tc>
        <w:tc>
          <w:tcPr>
            <w:tcW w:w="2310" w:type="dxa"/>
          </w:tcPr>
          <w:p w:rsidR="00976A6B" w:rsidRPr="00D63083" w:rsidRDefault="00976A6B" w:rsidP="007854A1">
            <w:pPr>
              <w:keepNext/>
              <w:keepLines/>
              <w:rPr>
                <w:sz w:val="16"/>
                <w:szCs w:val="16"/>
              </w:rPr>
            </w:pPr>
            <w:r>
              <w:rPr>
                <w:sz w:val="16"/>
                <w:szCs w:val="16"/>
              </w:rPr>
              <w:t>The risk continues to be relevant.  Regular review and testing of the functionality of both databases was performed by IT</w:t>
            </w:r>
            <w:r>
              <w:rPr>
                <w:rStyle w:val="CommentReference"/>
              </w:rPr>
              <w:t xml:space="preserve"> </w:t>
            </w:r>
            <w:r>
              <w:rPr>
                <w:sz w:val="16"/>
              </w:rPr>
              <w:t>and proved to be an effective mitigation strategy</w:t>
            </w:r>
            <w:r>
              <w:rPr>
                <w:sz w:val="16"/>
                <w:szCs w:val="16"/>
              </w:rPr>
              <w:t xml:space="preserve">. </w:t>
            </w:r>
          </w:p>
        </w:tc>
        <w:tc>
          <w:tcPr>
            <w:tcW w:w="2426" w:type="dxa"/>
          </w:tcPr>
          <w:p w:rsidR="00976A6B" w:rsidRPr="00D63083" w:rsidRDefault="00976A6B" w:rsidP="007854A1">
            <w:pPr>
              <w:keepNext/>
              <w:keepLines/>
              <w:rPr>
                <w:sz w:val="16"/>
                <w:szCs w:val="16"/>
              </w:rPr>
            </w:pPr>
            <w:r>
              <w:rPr>
                <w:sz w:val="16"/>
                <w:szCs w:val="16"/>
              </w:rPr>
              <w:t xml:space="preserve">The two databases ran generally stable so that there were no issues impacting on the Program’s performance.  </w:t>
            </w:r>
            <w:r>
              <w:rPr>
                <w:rStyle w:val="CommentReference"/>
              </w:rPr>
              <w:t> </w:t>
            </w:r>
            <w:r>
              <w:rPr>
                <w:sz w:val="16"/>
                <w:szCs w:val="16"/>
              </w:rPr>
              <w:t xml:space="preserve">.  </w:t>
            </w:r>
          </w:p>
        </w:tc>
      </w:tr>
      <w:tr w:rsidR="00976A6B" w:rsidRPr="00D63083" w:rsidTr="00041CE8">
        <w:trPr>
          <w:trHeight w:val="824"/>
        </w:trPr>
        <w:tc>
          <w:tcPr>
            <w:tcW w:w="2420" w:type="dxa"/>
            <w:shd w:val="clear" w:color="auto" w:fill="auto"/>
            <w:tcMar>
              <w:top w:w="113" w:type="dxa"/>
              <w:bottom w:w="85" w:type="dxa"/>
            </w:tcMar>
          </w:tcPr>
          <w:p w:rsidR="00976A6B" w:rsidRPr="003C527B" w:rsidRDefault="00976A6B" w:rsidP="007854A1">
            <w:pPr>
              <w:keepNext/>
              <w:keepLines/>
              <w:jc w:val="both"/>
              <w:rPr>
                <w:sz w:val="16"/>
                <w:szCs w:val="16"/>
                <w:lang w:eastAsia="zh-CN"/>
              </w:rPr>
            </w:pPr>
            <w:r w:rsidRPr="003C527B">
              <w:rPr>
                <w:sz w:val="16"/>
                <w:szCs w:val="16"/>
                <w:lang w:eastAsia="zh-CN"/>
              </w:rPr>
              <w:t>The level of engagement by national agencies in WIPO’s work on IP and competition is lower than anticipated</w:t>
            </w:r>
          </w:p>
        </w:tc>
        <w:tc>
          <w:tcPr>
            <w:tcW w:w="2200" w:type="dxa"/>
            <w:shd w:val="clear" w:color="auto" w:fill="auto"/>
            <w:tcMar>
              <w:top w:w="113" w:type="dxa"/>
              <w:bottom w:w="85" w:type="dxa"/>
            </w:tcMar>
          </w:tcPr>
          <w:p w:rsidR="00976A6B" w:rsidRPr="003C527B" w:rsidRDefault="00976A6B" w:rsidP="007854A1">
            <w:pPr>
              <w:keepNext/>
              <w:keepLines/>
              <w:jc w:val="both"/>
              <w:rPr>
                <w:sz w:val="16"/>
                <w:szCs w:val="16"/>
                <w:lang w:eastAsia="zh-CN"/>
              </w:rPr>
            </w:pPr>
            <w:r w:rsidRPr="003C527B">
              <w:rPr>
                <w:sz w:val="16"/>
                <w:szCs w:val="16"/>
                <w:lang w:eastAsia="zh-CN"/>
              </w:rPr>
              <w:t xml:space="preserve">Strengthen a systematic outreach towards Member States;  showcase successful examples of cooperation between IP and competition authorities, as well as relevant IGOs and NGOs  </w:t>
            </w:r>
          </w:p>
        </w:tc>
        <w:tc>
          <w:tcPr>
            <w:tcW w:w="2310" w:type="dxa"/>
          </w:tcPr>
          <w:p w:rsidR="00976A6B" w:rsidRPr="00957954" w:rsidRDefault="00976A6B" w:rsidP="007854A1">
            <w:pPr>
              <w:pStyle w:val="ListParagraph"/>
              <w:keepNext/>
              <w:keepLines/>
              <w:tabs>
                <w:tab w:val="left" w:pos="709"/>
              </w:tabs>
              <w:ind w:left="0"/>
              <w:jc w:val="both"/>
              <w:rPr>
                <w:bCs/>
              </w:rPr>
            </w:pPr>
            <w:r>
              <w:rPr>
                <w:sz w:val="16"/>
                <w:szCs w:val="16"/>
              </w:rPr>
              <w:t xml:space="preserve">The level of engagement remained strong in 2014/15, as well as the continued </w:t>
            </w:r>
            <w:r>
              <w:rPr>
                <w:bCs/>
                <w:sz w:val="16"/>
                <w:szCs w:val="16"/>
              </w:rPr>
              <w:t xml:space="preserve">collaboration with </w:t>
            </w:r>
            <w:r w:rsidRPr="00957954">
              <w:rPr>
                <w:bCs/>
                <w:sz w:val="16"/>
                <w:szCs w:val="16"/>
              </w:rPr>
              <w:t xml:space="preserve">IP </w:t>
            </w:r>
            <w:r>
              <w:rPr>
                <w:bCs/>
                <w:sz w:val="16"/>
                <w:szCs w:val="16"/>
              </w:rPr>
              <w:t>Offices</w:t>
            </w:r>
            <w:r w:rsidRPr="00957954">
              <w:rPr>
                <w:bCs/>
                <w:sz w:val="16"/>
                <w:szCs w:val="16"/>
              </w:rPr>
              <w:t xml:space="preserve"> and Competition Authorities in the </w:t>
            </w:r>
            <w:r>
              <w:rPr>
                <w:bCs/>
                <w:sz w:val="16"/>
                <w:szCs w:val="16"/>
              </w:rPr>
              <w:t>Program’s work</w:t>
            </w:r>
            <w:r w:rsidRPr="00957954">
              <w:rPr>
                <w:bCs/>
                <w:sz w:val="16"/>
                <w:szCs w:val="16"/>
              </w:rPr>
              <w:t xml:space="preserve">, particularly in </w:t>
            </w:r>
            <w:r>
              <w:rPr>
                <w:bCs/>
                <w:sz w:val="16"/>
                <w:szCs w:val="16"/>
              </w:rPr>
              <w:t>w</w:t>
            </w:r>
            <w:r w:rsidRPr="00957954">
              <w:rPr>
                <w:bCs/>
                <w:sz w:val="16"/>
                <w:szCs w:val="16"/>
              </w:rPr>
              <w:t>orkshops where both communities share</w:t>
            </w:r>
            <w:r>
              <w:rPr>
                <w:bCs/>
                <w:sz w:val="16"/>
                <w:szCs w:val="16"/>
              </w:rPr>
              <w:t>d</w:t>
            </w:r>
            <w:r w:rsidRPr="00957954">
              <w:rPr>
                <w:bCs/>
                <w:sz w:val="16"/>
                <w:szCs w:val="16"/>
              </w:rPr>
              <w:t xml:space="preserve"> their views</w:t>
            </w:r>
            <w:r>
              <w:rPr>
                <w:bCs/>
                <w:sz w:val="16"/>
                <w:szCs w:val="16"/>
              </w:rPr>
              <w:t xml:space="preserve"> </w:t>
            </w:r>
            <w:r w:rsidRPr="00957954">
              <w:rPr>
                <w:bCs/>
                <w:sz w:val="16"/>
                <w:szCs w:val="16"/>
              </w:rPr>
              <w:t>on the IP/Competition interface.</w:t>
            </w:r>
          </w:p>
          <w:p w:rsidR="00976A6B" w:rsidRPr="00D63083" w:rsidRDefault="00976A6B" w:rsidP="007854A1">
            <w:pPr>
              <w:keepNext/>
              <w:keepLines/>
              <w:rPr>
                <w:sz w:val="16"/>
                <w:szCs w:val="16"/>
              </w:rPr>
            </w:pPr>
          </w:p>
        </w:tc>
        <w:tc>
          <w:tcPr>
            <w:tcW w:w="2426" w:type="dxa"/>
          </w:tcPr>
          <w:p w:rsidR="00976A6B" w:rsidRPr="00D63083" w:rsidRDefault="00976A6B" w:rsidP="00041CE8">
            <w:pPr>
              <w:keepNext/>
              <w:keepLines/>
              <w:rPr>
                <w:sz w:val="16"/>
                <w:szCs w:val="16"/>
              </w:rPr>
            </w:pPr>
            <w:r>
              <w:rPr>
                <w:sz w:val="16"/>
                <w:szCs w:val="16"/>
              </w:rPr>
              <w:t>No material impact on the Program’s performance in</w:t>
            </w:r>
            <w:r w:rsidR="00041CE8">
              <w:rPr>
                <w:sz w:val="16"/>
                <w:szCs w:val="16"/>
              </w:rPr>
              <w:t> </w:t>
            </w:r>
            <w:r>
              <w:rPr>
                <w:sz w:val="16"/>
                <w:szCs w:val="16"/>
              </w:rPr>
              <w:t>2014/15.</w:t>
            </w:r>
          </w:p>
        </w:tc>
      </w:tr>
    </w:tbl>
    <w:p w:rsidR="00976A6B" w:rsidRDefault="00976A6B" w:rsidP="007854A1">
      <w:pPr>
        <w:keepNext/>
        <w:keepLines/>
        <w:rPr>
          <w:rFonts w:cs="Arial"/>
          <w:color w:val="000000"/>
          <w:sz w:val="22"/>
          <w:szCs w:val="22"/>
        </w:rPr>
      </w:pPr>
    </w:p>
    <w:p w:rsidR="00976A6B" w:rsidRDefault="00976A6B">
      <w:pPr>
        <w:spacing w:after="200" w:line="276" w:lineRule="auto"/>
        <w:rPr>
          <w:rFonts w:cs="Arial"/>
          <w:color w:val="000000"/>
          <w:sz w:val="22"/>
          <w:szCs w:val="22"/>
        </w:rPr>
      </w:pPr>
    </w:p>
    <w:p w:rsidR="00976A6B" w:rsidRPr="00787DDC" w:rsidRDefault="00976A6B" w:rsidP="007854A1">
      <w:pPr>
        <w:keepNext/>
        <w:keepLines/>
        <w:rPr>
          <w:szCs w:val="20"/>
        </w:rPr>
      </w:pPr>
      <w:r w:rsidRPr="00787DDC">
        <w:rPr>
          <w:rFonts w:cs="Arial"/>
          <w:color w:val="000000"/>
          <w:szCs w:val="22"/>
        </w:rPr>
        <w:lastRenderedPageBreak/>
        <w:t>RESOURCE UTILIZATION</w:t>
      </w:r>
    </w:p>
    <w:p w:rsidR="00976A6B" w:rsidRPr="008F4A6D" w:rsidRDefault="00976A6B" w:rsidP="007854A1">
      <w:pPr>
        <w:keepNext/>
        <w:keepLines/>
        <w:rPr>
          <w:szCs w:val="20"/>
        </w:rPr>
      </w:pPr>
    </w:p>
    <w:p w:rsidR="00976A6B" w:rsidRPr="00383D2D" w:rsidRDefault="00976A6B" w:rsidP="007854A1">
      <w:pPr>
        <w:pStyle w:val="NormalWeb"/>
        <w:keepNext/>
        <w:keepLines/>
        <w:spacing w:before="0" w:beforeAutospacing="0" w:after="0" w:afterAutospacing="0"/>
        <w:jc w:val="center"/>
        <w:rPr>
          <w:sz w:val="20"/>
          <w:szCs w:val="20"/>
        </w:rPr>
      </w:pPr>
      <w:r w:rsidRPr="00383D2D">
        <w:rPr>
          <w:color w:val="000000"/>
          <w:sz w:val="20"/>
          <w:szCs w:val="20"/>
        </w:rPr>
        <w:t xml:space="preserve">Budget and Actual Expenditure (by result) </w:t>
      </w:r>
    </w:p>
    <w:p w:rsidR="00976A6B" w:rsidRDefault="00976A6B" w:rsidP="007854A1">
      <w:pPr>
        <w:pStyle w:val="NormalWeb"/>
        <w:keepNext/>
        <w:keepLines/>
        <w:spacing w:before="0" w:beforeAutospacing="0" w:after="0" w:afterAutospacing="0"/>
        <w:jc w:val="center"/>
        <w:rPr>
          <w:i/>
          <w:iCs/>
          <w:color w:val="000000"/>
          <w:sz w:val="20"/>
          <w:szCs w:val="20"/>
        </w:rPr>
      </w:pPr>
      <w:r w:rsidRPr="00383D2D">
        <w:rPr>
          <w:i/>
          <w:iCs/>
          <w:color w:val="000000"/>
          <w:sz w:val="20"/>
          <w:szCs w:val="20"/>
        </w:rPr>
        <w:t>(in thousands of Swiss francs)</w:t>
      </w:r>
    </w:p>
    <w:p w:rsidR="00976A6B" w:rsidRDefault="00976A6B" w:rsidP="007854A1">
      <w:pPr>
        <w:pStyle w:val="NormalWeb"/>
        <w:keepNext/>
        <w:keepLines/>
        <w:spacing w:before="0" w:beforeAutospacing="0" w:after="0" w:afterAutospacing="0"/>
        <w:jc w:val="center"/>
        <w:rPr>
          <w:i/>
          <w:iCs/>
          <w:color w:val="000000"/>
          <w:sz w:val="20"/>
          <w:szCs w:val="20"/>
        </w:rPr>
      </w:pPr>
    </w:p>
    <w:p w:rsidR="00976A6B" w:rsidRDefault="00976A6B" w:rsidP="007854A1">
      <w:pPr>
        <w:keepNext/>
        <w:keepLines/>
        <w:jc w:val="center"/>
      </w:pPr>
      <w:r w:rsidRPr="00F96433">
        <w:rPr>
          <w:noProof/>
        </w:rPr>
        <w:drawing>
          <wp:inline distT="0" distB="0" distL="0" distR="0" wp14:anchorId="062231DE" wp14:editId="68DFCD10">
            <wp:extent cx="5113460" cy="6657975"/>
            <wp:effectExtent l="0" t="0" r="0" b="0"/>
            <wp:docPr id="148"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4">
                      <a:extLst>
                        <a:ext uri="{28A0092B-C50C-407E-A947-70E740481C1C}">
                          <a14:useLocalDpi xmlns:a14="http://schemas.microsoft.com/office/drawing/2010/main" val="0"/>
                        </a:ext>
                      </a:extLst>
                    </a:blip>
                    <a:srcRect/>
                    <a:stretch>
                      <a:fillRect/>
                    </a:stretch>
                  </pic:blipFill>
                  <pic:spPr bwMode="auto">
                    <a:xfrm>
                      <a:off x="0" y="0"/>
                      <a:ext cx="5123684" cy="6671287"/>
                    </a:xfrm>
                    <a:prstGeom prst="rect">
                      <a:avLst/>
                    </a:prstGeom>
                    <a:noFill/>
                    <a:ln>
                      <a:noFill/>
                    </a:ln>
                  </pic:spPr>
                </pic:pic>
              </a:graphicData>
            </a:graphic>
          </wp:inline>
        </w:drawing>
      </w:r>
    </w:p>
    <w:p w:rsidR="00976A6B" w:rsidRDefault="00976A6B" w:rsidP="007854A1"/>
    <w:p w:rsidR="00976A6B" w:rsidRDefault="00976A6B" w:rsidP="007854A1"/>
    <w:p w:rsidR="00976A6B" w:rsidRDefault="00976A6B" w:rsidP="007854A1"/>
    <w:p w:rsidR="00976A6B" w:rsidRDefault="00976A6B" w:rsidP="007854A1"/>
    <w:p w:rsidR="00976A6B" w:rsidRDefault="00976A6B" w:rsidP="007854A1"/>
    <w:p w:rsidR="00976A6B" w:rsidRPr="00383D2D" w:rsidRDefault="00976A6B" w:rsidP="007854A1">
      <w:pPr>
        <w:pStyle w:val="NormalWeb"/>
        <w:keepNext/>
        <w:keepLines/>
        <w:widowControl w:val="0"/>
        <w:spacing w:before="0" w:beforeAutospacing="0" w:after="0" w:afterAutospacing="0"/>
        <w:jc w:val="center"/>
        <w:rPr>
          <w:sz w:val="20"/>
          <w:szCs w:val="20"/>
        </w:rPr>
      </w:pPr>
      <w:r w:rsidRPr="00383D2D">
        <w:rPr>
          <w:color w:val="000000"/>
          <w:sz w:val="20"/>
          <w:szCs w:val="20"/>
        </w:rPr>
        <w:lastRenderedPageBreak/>
        <w:t xml:space="preserve">Budget and Actual Expenditure (personnel and non-personnel) </w:t>
      </w:r>
    </w:p>
    <w:p w:rsidR="00976A6B" w:rsidRDefault="00976A6B" w:rsidP="007854A1">
      <w:pPr>
        <w:pStyle w:val="NormalWeb"/>
        <w:keepNext/>
        <w:keepLines/>
        <w:widowControl w:val="0"/>
        <w:spacing w:before="0" w:beforeAutospacing="0" w:after="0" w:afterAutospacing="0"/>
        <w:jc w:val="center"/>
        <w:rPr>
          <w:i/>
          <w:iCs/>
          <w:color w:val="000000"/>
          <w:sz w:val="20"/>
          <w:szCs w:val="20"/>
        </w:rPr>
      </w:pPr>
      <w:r w:rsidRPr="00383D2D">
        <w:rPr>
          <w:i/>
          <w:iCs/>
          <w:color w:val="000000"/>
          <w:sz w:val="20"/>
          <w:szCs w:val="20"/>
        </w:rPr>
        <w:t>(in thousands of Swiss francs)</w:t>
      </w:r>
    </w:p>
    <w:p w:rsidR="00976A6B" w:rsidRPr="00383D2D" w:rsidRDefault="00976A6B" w:rsidP="007854A1">
      <w:pPr>
        <w:pStyle w:val="NormalWeb"/>
        <w:keepNext/>
        <w:keepLines/>
        <w:widowControl w:val="0"/>
        <w:spacing w:before="0" w:beforeAutospacing="0" w:after="0" w:afterAutospacing="0"/>
        <w:jc w:val="center"/>
        <w:rPr>
          <w:i/>
          <w:iCs/>
          <w:color w:val="000000"/>
          <w:sz w:val="20"/>
          <w:szCs w:val="20"/>
        </w:rPr>
      </w:pPr>
    </w:p>
    <w:p w:rsidR="00976A6B" w:rsidRDefault="00976A6B" w:rsidP="007854A1">
      <w:pPr>
        <w:keepNext/>
        <w:keepLines/>
        <w:widowControl w:val="0"/>
        <w:autoSpaceDE w:val="0"/>
        <w:autoSpaceDN w:val="0"/>
        <w:adjustRightInd w:val="0"/>
        <w:jc w:val="center"/>
        <w:rPr>
          <w:rFonts w:cs="Arial"/>
          <w:szCs w:val="20"/>
        </w:rPr>
      </w:pPr>
      <w:r w:rsidRPr="00865A57">
        <w:rPr>
          <w:noProof/>
        </w:rPr>
        <w:drawing>
          <wp:inline distT="0" distB="0" distL="0" distR="0" wp14:anchorId="6CCAE096" wp14:editId="3E16CB69">
            <wp:extent cx="4853984" cy="936346"/>
            <wp:effectExtent l="0" t="0" r="3810" b="0"/>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5">
                      <a:extLst>
                        <a:ext uri="{28A0092B-C50C-407E-A947-70E740481C1C}">
                          <a14:useLocalDpi xmlns:a14="http://schemas.microsoft.com/office/drawing/2010/main" val="0"/>
                        </a:ext>
                      </a:extLst>
                    </a:blip>
                    <a:srcRect/>
                    <a:stretch>
                      <a:fillRect/>
                    </a:stretch>
                  </pic:blipFill>
                  <pic:spPr bwMode="auto">
                    <a:xfrm>
                      <a:off x="0" y="0"/>
                      <a:ext cx="4862659" cy="938019"/>
                    </a:xfrm>
                    <a:prstGeom prst="rect">
                      <a:avLst/>
                    </a:prstGeom>
                    <a:noFill/>
                    <a:ln>
                      <a:noFill/>
                    </a:ln>
                  </pic:spPr>
                </pic:pic>
              </a:graphicData>
            </a:graphic>
          </wp:inline>
        </w:drawing>
      </w:r>
    </w:p>
    <w:p w:rsidR="00976A6B" w:rsidRDefault="00976A6B" w:rsidP="007854A1">
      <w:pPr>
        <w:keepNext/>
        <w:keepLines/>
        <w:widowControl w:val="0"/>
        <w:autoSpaceDE w:val="0"/>
        <w:autoSpaceDN w:val="0"/>
        <w:adjustRightInd w:val="0"/>
        <w:rPr>
          <w:rFonts w:cs="Arial"/>
          <w:szCs w:val="20"/>
        </w:rPr>
      </w:pPr>
    </w:p>
    <w:p w:rsidR="00976A6B" w:rsidRPr="001C6F4D" w:rsidRDefault="00976A6B" w:rsidP="007854A1">
      <w:pPr>
        <w:keepNext/>
        <w:keepLines/>
        <w:widowControl w:val="0"/>
        <w:autoSpaceDE w:val="0"/>
        <w:autoSpaceDN w:val="0"/>
        <w:adjustRightInd w:val="0"/>
        <w:rPr>
          <w:rFonts w:cs="Arial"/>
          <w:szCs w:val="20"/>
        </w:rPr>
      </w:pPr>
    </w:p>
    <w:p w:rsidR="00976A6B" w:rsidRDefault="00976A6B" w:rsidP="00F33ED1">
      <w:pPr>
        <w:keepNext/>
        <w:keepLines/>
        <w:tabs>
          <w:tab w:val="left" w:pos="709"/>
        </w:tabs>
        <w:rPr>
          <w:rFonts w:cs="Arial"/>
          <w:u w:val="single"/>
        </w:rPr>
      </w:pPr>
      <w:r w:rsidRPr="00420F90">
        <w:rPr>
          <w:rFonts w:cs="Arial"/>
          <w:szCs w:val="20"/>
        </w:rPr>
        <w:t>A.</w:t>
      </w:r>
      <w:r w:rsidRPr="00420F90">
        <w:rPr>
          <w:rFonts w:cs="Arial"/>
        </w:rPr>
        <w:tab/>
      </w:r>
      <w:r w:rsidRPr="00420F90">
        <w:rPr>
          <w:rFonts w:cs="Arial"/>
          <w:u w:val="single"/>
        </w:rPr>
        <w:t>201</w:t>
      </w:r>
      <w:r>
        <w:rPr>
          <w:rFonts w:cs="Arial"/>
          <w:u w:val="single"/>
        </w:rPr>
        <w:t xml:space="preserve">4/15 Final </w:t>
      </w:r>
      <w:r w:rsidRPr="00420F90">
        <w:rPr>
          <w:rFonts w:cs="Arial"/>
          <w:u w:val="single"/>
        </w:rPr>
        <w:t xml:space="preserve">Budget after Transfers </w:t>
      </w:r>
    </w:p>
    <w:p w:rsidR="00976A6B" w:rsidRDefault="00976A6B" w:rsidP="007854A1">
      <w:pPr>
        <w:pStyle w:val="Default"/>
        <w:rPr>
          <w:sz w:val="20"/>
          <w:szCs w:val="20"/>
        </w:rPr>
      </w:pPr>
    </w:p>
    <w:p w:rsidR="00976A6B" w:rsidRPr="00787DDC" w:rsidRDefault="00976A6B" w:rsidP="00976A6B">
      <w:pPr>
        <w:pStyle w:val="Default"/>
        <w:numPr>
          <w:ilvl w:val="0"/>
          <w:numId w:val="68"/>
        </w:numPr>
        <w:tabs>
          <w:tab w:val="left" w:pos="709"/>
        </w:tabs>
        <w:ind w:left="0" w:firstLine="0"/>
        <w:jc w:val="both"/>
        <w:rPr>
          <w:bCs/>
          <w:color w:val="000000" w:themeColor="text1"/>
          <w:sz w:val="20"/>
          <w:szCs w:val="20"/>
        </w:rPr>
      </w:pPr>
      <w:r w:rsidRPr="00787DDC">
        <w:rPr>
          <w:bCs/>
          <w:color w:val="000000" w:themeColor="text1"/>
          <w:sz w:val="20"/>
          <w:szCs w:val="20"/>
        </w:rPr>
        <w:t>The net decrease in personnel resources reflects: (i) the temporary transfer of a staff member to Program 6 to support the work associated with the new accessions to the Madrid System; and (ii) the transfer of a staff member out of the Program as a result of organizational changes upon the taking up of duties of the new Senior Management Team in December 2014.</w:t>
      </w:r>
    </w:p>
    <w:p w:rsidR="00976A6B" w:rsidRDefault="00976A6B" w:rsidP="007854A1">
      <w:pPr>
        <w:autoSpaceDE w:val="0"/>
        <w:autoSpaceDN w:val="0"/>
        <w:jc w:val="both"/>
        <w:rPr>
          <w:rFonts w:cs="Arial"/>
          <w:szCs w:val="20"/>
          <w:lang w:eastAsia="ko-KR"/>
        </w:rPr>
      </w:pPr>
    </w:p>
    <w:p w:rsidR="00976A6B" w:rsidRPr="00787DDC" w:rsidRDefault="00976A6B" w:rsidP="00976A6B">
      <w:pPr>
        <w:pStyle w:val="Default"/>
        <w:numPr>
          <w:ilvl w:val="0"/>
          <w:numId w:val="68"/>
        </w:numPr>
        <w:tabs>
          <w:tab w:val="left" w:pos="709"/>
        </w:tabs>
        <w:ind w:left="0" w:firstLine="0"/>
        <w:jc w:val="both"/>
        <w:rPr>
          <w:bCs/>
          <w:color w:val="000000" w:themeColor="text1"/>
          <w:sz w:val="20"/>
          <w:szCs w:val="20"/>
        </w:rPr>
      </w:pPr>
      <w:r w:rsidRPr="00787DDC">
        <w:rPr>
          <w:bCs/>
          <w:color w:val="000000" w:themeColor="text1"/>
          <w:sz w:val="20"/>
          <w:szCs w:val="20"/>
        </w:rPr>
        <w:t>The increase in non-personnel resources reflects:  (i) the transfer of funds from Programs 6 and 9</w:t>
      </w:r>
      <w:r>
        <w:rPr>
          <w:bCs/>
          <w:color w:val="000000" w:themeColor="text1"/>
          <w:sz w:val="20"/>
          <w:szCs w:val="20"/>
        </w:rPr>
        <w:t> </w:t>
      </w:r>
      <w:r w:rsidRPr="00787DDC">
        <w:rPr>
          <w:bCs/>
          <w:color w:val="000000" w:themeColor="text1"/>
          <w:sz w:val="20"/>
          <w:szCs w:val="20"/>
        </w:rPr>
        <w:t xml:space="preserve">for contractual services to compensate for the temporary transfers of the above-referenced staff to ensure a seamless continuation of the work on the WIPO platforms and IT applications across the Global Issues Sector;  (ii) the transfer of additional non-personnel resources to support the increased usage and enhancements of WIPO platforms;  and (iii) the transfer of additional funds to cover WIPO’s obligations with regard to WIPO Re:Search pursuant to the Memorandum of Understanding (MoU) with Bio Ventures for Global Health (BVGH). </w:t>
      </w:r>
    </w:p>
    <w:p w:rsidR="00976A6B" w:rsidRDefault="00976A6B" w:rsidP="007854A1">
      <w:pPr>
        <w:autoSpaceDE w:val="0"/>
        <w:autoSpaceDN w:val="0"/>
        <w:jc w:val="both"/>
        <w:rPr>
          <w:rFonts w:cs="Arial"/>
          <w:szCs w:val="20"/>
          <w:lang w:eastAsia="ko-KR"/>
        </w:rPr>
      </w:pPr>
    </w:p>
    <w:p w:rsidR="00976A6B" w:rsidRPr="00787DDC" w:rsidRDefault="00976A6B" w:rsidP="00976A6B">
      <w:pPr>
        <w:pStyle w:val="Default"/>
        <w:numPr>
          <w:ilvl w:val="0"/>
          <w:numId w:val="68"/>
        </w:numPr>
        <w:tabs>
          <w:tab w:val="left" w:pos="709"/>
        </w:tabs>
        <w:ind w:left="0" w:firstLine="0"/>
        <w:jc w:val="both"/>
        <w:rPr>
          <w:bCs/>
          <w:color w:val="000000" w:themeColor="text1"/>
          <w:sz w:val="20"/>
          <w:szCs w:val="20"/>
        </w:rPr>
      </w:pPr>
      <w:r w:rsidRPr="00787DDC">
        <w:rPr>
          <w:bCs/>
          <w:color w:val="000000" w:themeColor="text1"/>
          <w:sz w:val="20"/>
          <w:szCs w:val="20"/>
        </w:rPr>
        <w:t xml:space="preserve">Overall, the adjustments across Expected Results in the 2014/15 Final Budget after Transfers reflect the new and more accurate methodology for allocation of personnel resources resulting from enhancements made to the EPM planning system for the 2014 and 2015 annual work planning exercises. </w:t>
      </w:r>
    </w:p>
    <w:p w:rsidR="00976A6B" w:rsidRDefault="00976A6B" w:rsidP="007854A1">
      <w:pPr>
        <w:autoSpaceDE w:val="0"/>
        <w:autoSpaceDN w:val="0"/>
        <w:jc w:val="both"/>
        <w:rPr>
          <w:rFonts w:cs="Arial"/>
          <w:szCs w:val="20"/>
          <w:lang w:eastAsia="ko-KR"/>
        </w:rPr>
      </w:pPr>
    </w:p>
    <w:p w:rsidR="00976A6B" w:rsidRPr="00787DDC" w:rsidRDefault="00976A6B" w:rsidP="00976A6B">
      <w:pPr>
        <w:pStyle w:val="Default"/>
        <w:numPr>
          <w:ilvl w:val="0"/>
          <w:numId w:val="68"/>
        </w:numPr>
        <w:tabs>
          <w:tab w:val="left" w:pos="709"/>
        </w:tabs>
        <w:ind w:left="0" w:firstLine="0"/>
        <w:jc w:val="both"/>
        <w:rPr>
          <w:bCs/>
          <w:color w:val="000000" w:themeColor="text1"/>
          <w:sz w:val="20"/>
          <w:szCs w:val="20"/>
        </w:rPr>
      </w:pPr>
      <w:r w:rsidRPr="00787DDC">
        <w:rPr>
          <w:bCs/>
          <w:color w:val="000000" w:themeColor="text1"/>
          <w:sz w:val="20"/>
          <w:szCs w:val="20"/>
        </w:rPr>
        <w:t>Resources linked to Expected Results I.1, II.8, II.9, VI.1, VI.2 and VIII.5 under this Program reflect efforts dedicated by the Office of the Assistant Director General of the Global Issues Sector to the activities of Programs 4, 7, 17 and 20 respectively.</w:t>
      </w:r>
    </w:p>
    <w:p w:rsidR="00976A6B" w:rsidRDefault="00976A6B" w:rsidP="007854A1">
      <w:pPr>
        <w:autoSpaceDE w:val="0"/>
        <w:autoSpaceDN w:val="0"/>
        <w:jc w:val="both"/>
        <w:rPr>
          <w:rFonts w:cs="Arial"/>
          <w:szCs w:val="20"/>
          <w:lang w:eastAsia="ko-KR"/>
        </w:rPr>
      </w:pPr>
    </w:p>
    <w:p w:rsidR="00976A6B" w:rsidRDefault="00976A6B" w:rsidP="00F33ED1">
      <w:pPr>
        <w:tabs>
          <w:tab w:val="left" w:pos="709"/>
        </w:tabs>
        <w:jc w:val="both"/>
        <w:rPr>
          <w:rFonts w:cs="Arial"/>
          <w:szCs w:val="20"/>
          <w:u w:val="single"/>
          <w:lang w:eastAsia="ko-KR"/>
        </w:rPr>
      </w:pPr>
      <w:r>
        <w:rPr>
          <w:rFonts w:cs="Arial"/>
          <w:szCs w:val="20"/>
          <w:lang w:eastAsia="ko-KR"/>
        </w:rPr>
        <w:t>B.</w:t>
      </w:r>
      <w:r>
        <w:rPr>
          <w:rFonts w:cs="Arial"/>
          <w:szCs w:val="20"/>
          <w:lang w:eastAsia="ko-KR"/>
        </w:rPr>
        <w:tab/>
      </w:r>
      <w:r w:rsidRPr="00420F90">
        <w:rPr>
          <w:rFonts w:cs="Arial"/>
          <w:u w:val="single"/>
        </w:rPr>
        <w:t>201</w:t>
      </w:r>
      <w:r>
        <w:rPr>
          <w:rFonts w:cs="Arial"/>
          <w:u w:val="single"/>
        </w:rPr>
        <w:t xml:space="preserve">4/15 </w:t>
      </w:r>
      <w:r>
        <w:rPr>
          <w:rFonts w:cs="Arial"/>
          <w:szCs w:val="20"/>
          <w:u w:val="single"/>
          <w:lang w:eastAsia="ko-KR"/>
        </w:rPr>
        <w:t>Budget Utilization</w:t>
      </w:r>
    </w:p>
    <w:p w:rsidR="00976A6B" w:rsidRDefault="00976A6B" w:rsidP="007854A1">
      <w:pPr>
        <w:pStyle w:val="Default"/>
        <w:rPr>
          <w:sz w:val="20"/>
          <w:szCs w:val="20"/>
        </w:rPr>
      </w:pPr>
    </w:p>
    <w:p w:rsidR="00976A6B" w:rsidRDefault="00976A6B" w:rsidP="00976A6B">
      <w:pPr>
        <w:pStyle w:val="Default"/>
        <w:numPr>
          <w:ilvl w:val="0"/>
          <w:numId w:val="68"/>
        </w:numPr>
        <w:tabs>
          <w:tab w:val="left" w:pos="709"/>
        </w:tabs>
        <w:ind w:left="0" w:firstLine="0"/>
        <w:jc w:val="both"/>
      </w:pPr>
      <w:r w:rsidRPr="00787DDC">
        <w:rPr>
          <w:bCs/>
          <w:color w:val="000000" w:themeColor="text1"/>
          <w:sz w:val="20"/>
          <w:szCs w:val="20"/>
        </w:rPr>
        <w:t>The slight under-utilization of non-personnel resources reflects: (i) cost savings, in particular, in relation to travel and organization of meetings; and (ii) the retirement of the Director of IP and Competition Policy in mid-2015.</w:t>
      </w:r>
    </w:p>
    <w:p w:rsidR="006164BE" w:rsidRDefault="006164BE" w:rsidP="00271CFB">
      <w:pPr>
        <w:autoSpaceDE w:val="0"/>
        <w:autoSpaceDN w:val="0"/>
        <w:jc w:val="both"/>
      </w:pPr>
    </w:p>
    <w:p w:rsidR="006164BE" w:rsidRDefault="006164BE">
      <w:r>
        <w:br w:type="page"/>
      </w:r>
    </w:p>
    <w:p w:rsidR="006164BE" w:rsidRDefault="006164BE" w:rsidP="005A7878">
      <w:pPr>
        <w:pStyle w:val="StyleHeading214ptAuto"/>
        <w:rPr>
          <w:rFonts w:ascii="Arial" w:hAnsi="Arial" w:cs="Arial"/>
          <w:sz w:val="20"/>
          <w:szCs w:val="20"/>
        </w:rPr>
      </w:pPr>
      <w:bookmarkStart w:id="98" w:name="_Toc454544491"/>
      <w:bookmarkStart w:id="99" w:name="_Toc367350598"/>
      <w:r w:rsidRPr="00E07FBB">
        <w:rPr>
          <w:rFonts w:ascii="Arial" w:hAnsi="Arial" w:cs="Arial"/>
          <w:sz w:val="20"/>
          <w:szCs w:val="20"/>
        </w:rPr>
        <w:lastRenderedPageBreak/>
        <w:t>STRATEGIC GOAL VIII</w:t>
      </w:r>
      <w:bookmarkEnd w:id="98"/>
    </w:p>
    <w:p w:rsidR="006164BE" w:rsidRDefault="006164BE" w:rsidP="00845557">
      <w:pPr>
        <w:jc w:val="center"/>
      </w:pPr>
    </w:p>
    <w:p w:rsidR="006164BE" w:rsidRPr="00304D88" w:rsidRDefault="006164BE" w:rsidP="00845557">
      <w:pPr>
        <w:jc w:val="center"/>
      </w:pPr>
      <w:r w:rsidRPr="00845557">
        <w:rPr>
          <w:b/>
        </w:rPr>
        <w:t>A RESPONSIVE COMMUNICATIONS INTERFACE BETWEEN WIPO, ITS MEMBERS AND ALL</w:t>
      </w:r>
      <w:r>
        <w:rPr>
          <w:b/>
        </w:rPr>
        <w:t> </w:t>
      </w:r>
      <w:r w:rsidRPr="00845557">
        <w:rPr>
          <w:b/>
        </w:rPr>
        <w:t>STAKEHOLDERS</w:t>
      </w:r>
      <w:bookmarkEnd w:id="99"/>
    </w:p>
    <w:p w:rsidR="006164BE" w:rsidRDefault="006164BE" w:rsidP="00845557">
      <w:pPr>
        <w:jc w:val="center"/>
      </w:pPr>
    </w:p>
    <w:p w:rsidR="00DD7BA9" w:rsidRDefault="00DD7BA9" w:rsidP="00DD7BA9">
      <w:pPr>
        <w:jc w:val="center"/>
      </w:pPr>
    </w:p>
    <w:p w:rsidR="00DD7BA9" w:rsidRPr="00551736" w:rsidRDefault="00DD7BA9" w:rsidP="00DD7BA9">
      <w:pPr>
        <w:jc w:val="center"/>
        <w:rPr>
          <w:b/>
        </w:rPr>
      </w:pPr>
      <w:r>
        <w:rPr>
          <w:b/>
        </w:rPr>
        <w:t>Biennial</w:t>
      </w:r>
      <w:r w:rsidRPr="00551736">
        <w:rPr>
          <w:b/>
        </w:rPr>
        <w:t xml:space="preserve"> Performance Dashboard </w:t>
      </w:r>
    </w:p>
    <w:p w:rsidR="00DD7BA9" w:rsidRDefault="00DD7BA9" w:rsidP="00DD7BA9"/>
    <w:p w:rsidR="00DD7BA9" w:rsidRDefault="00DD7BA9" w:rsidP="00DD7BA9">
      <w:pPr>
        <w:autoSpaceDE w:val="0"/>
        <w:autoSpaceDN w:val="0"/>
        <w:adjustRightInd w:val="0"/>
        <w:jc w:val="both"/>
        <w:rPr>
          <w:rFonts w:cs="Arial"/>
        </w:rPr>
      </w:pPr>
      <w:r>
        <w:rPr>
          <w:rFonts w:cs="Arial"/>
        </w:rPr>
        <w:t xml:space="preserve">The dashboard below provides a summary of the achievements of the expected results in the biennium 2014/15 as measured by the indicators under the Programs contributing to this Strategic Goal.  </w:t>
      </w:r>
    </w:p>
    <w:p w:rsidR="00DD7BA9" w:rsidRDefault="00DD7BA9" w:rsidP="00DD7BA9">
      <w:pPr>
        <w:jc w:val="center"/>
      </w:pPr>
      <w:r>
        <w:rPr>
          <w:noProof/>
        </w:rPr>
        <w:drawing>
          <wp:inline distT="0" distB="0" distL="0" distR="0" wp14:anchorId="0B864ACC" wp14:editId="39F02ACF">
            <wp:extent cx="5225699" cy="265176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6" cstate="print">
                      <a:extLst>
                        <a:ext uri="{28A0092B-C50C-407E-A947-70E740481C1C}">
                          <a14:useLocalDpi xmlns:a14="http://schemas.microsoft.com/office/drawing/2010/main" val="0"/>
                        </a:ext>
                      </a:extLst>
                    </a:blip>
                    <a:srcRect/>
                    <a:stretch>
                      <a:fillRect/>
                    </a:stretch>
                  </pic:blipFill>
                  <pic:spPr bwMode="auto">
                    <a:xfrm>
                      <a:off x="0" y="0"/>
                      <a:ext cx="5225699" cy="2651760"/>
                    </a:xfrm>
                    <a:prstGeom prst="rect">
                      <a:avLst/>
                    </a:prstGeom>
                    <a:noFill/>
                  </pic:spPr>
                </pic:pic>
              </a:graphicData>
            </a:graphic>
          </wp:inline>
        </w:drawing>
      </w:r>
    </w:p>
    <w:p w:rsidR="00DD7BA9" w:rsidRPr="00CB5A85" w:rsidRDefault="00DD7BA9" w:rsidP="00DD7BA9"/>
    <w:tbl>
      <w:tblPr>
        <w:tblW w:w="4942"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2915"/>
        <w:gridCol w:w="4087"/>
        <w:gridCol w:w="1748"/>
        <w:gridCol w:w="710"/>
      </w:tblGrid>
      <w:tr w:rsidR="00DD7BA9" w:rsidRPr="00AF5E7C" w:rsidTr="00547ACE">
        <w:trPr>
          <w:cantSplit/>
          <w:trHeight w:val="383"/>
          <w:tblHeader/>
        </w:trPr>
        <w:tc>
          <w:tcPr>
            <w:tcW w:w="1541" w:type="pct"/>
            <w:tcBorders>
              <w:top w:val="single" w:sz="4" w:space="0" w:color="auto"/>
              <w:bottom w:val="single" w:sz="4" w:space="0" w:color="auto"/>
            </w:tcBorders>
            <w:shd w:val="clear" w:color="auto" w:fill="DAEEF3" w:themeFill="accent5" w:themeFillTint="33"/>
            <w:tcMar>
              <w:top w:w="113" w:type="dxa"/>
              <w:bottom w:w="85" w:type="dxa"/>
            </w:tcMar>
            <w:vAlign w:val="center"/>
          </w:tcPr>
          <w:p w:rsidR="00DD7BA9" w:rsidRPr="00396294" w:rsidRDefault="00DD7BA9" w:rsidP="00547ACE">
            <w:pPr>
              <w:spacing w:after="120"/>
              <w:rPr>
                <w:rFonts w:cs="Arial"/>
                <w:b/>
                <w:bCs/>
                <w:sz w:val="18"/>
                <w:szCs w:val="18"/>
              </w:rPr>
            </w:pPr>
            <w:r w:rsidRPr="00396294">
              <w:rPr>
                <w:rFonts w:cs="Arial"/>
                <w:b/>
                <w:bCs/>
                <w:sz w:val="18"/>
                <w:szCs w:val="18"/>
              </w:rPr>
              <w:t>Expected Results</w:t>
            </w:r>
          </w:p>
        </w:tc>
        <w:tc>
          <w:tcPr>
            <w:tcW w:w="2160" w:type="pct"/>
            <w:tcBorders>
              <w:top w:val="single" w:sz="4" w:space="0" w:color="auto"/>
              <w:bottom w:val="single" w:sz="4" w:space="0" w:color="auto"/>
            </w:tcBorders>
            <w:shd w:val="clear" w:color="auto" w:fill="DAEEF3" w:themeFill="accent5" w:themeFillTint="33"/>
            <w:tcMar>
              <w:top w:w="113" w:type="dxa"/>
              <w:bottom w:w="85" w:type="dxa"/>
            </w:tcMar>
            <w:vAlign w:val="center"/>
          </w:tcPr>
          <w:p w:rsidR="00DD7BA9" w:rsidRPr="00396294" w:rsidRDefault="00DD7BA9" w:rsidP="00547ACE">
            <w:pPr>
              <w:spacing w:after="120"/>
              <w:rPr>
                <w:rFonts w:cs="Arial"/>
                <w:b/>
                <w:sz w:val="18"/>
                <w:szCs w:val="18"/>
              </w:rPr>
            </w:pPr>
            <w:r w:rsidRPr="00396294">
              <w:rPr>
                <w:rFonts w:cs="Arial"/>
                <w:b/>
                <w:sz w:val="18"/>
                <w:szCs w:val="18"/>
              </w:rPr>
              <w:t>Performance Indicators</w:t>
            </w:r>
          </w:p>
        </w:tc>
        <w:tc>
          <w:tcPr>
            <w:tcW w:w="924" w:type="pct"/>
            <w:tcBorders>
              <w:top w:val="single" w:sz="4" w:space="0" w:color="auto"/>
              <w:bottom w:val="single" w:sz="4" w:space="0" w:color="auto"/>
            </w:tcBorders>
            <w:shd w:val="clear" w:color="auto" w:fill="DAEEF3" w:themeFill="accent5" w:themeFillTint="33"/>
            <w:tcMar>
              <w:top w:w="113" w:type="dxa"/>
              <w:bottom w:w="85" w:type="dxa"/>
            </w:tcMar>
            <w:vAlign w:val="center"/>
          </w:tcPr>
          <w:p w:rsidR="00DD7BA9" w:rsidRPr="00396294" w:rsidRDefault="00DD7BA9" w:rsidP="00547ACE">
            <w:pPr>
              <w:spacing w:after="120"/>
              <w:ind w:left="85"/>
              <w:jc w:val="center"/>
              <w:rPr>
                <w:rFonts w:cs="Arial"/>
                <w:sz w:val="18"/>
                <w:szCs w:val="18"/>
              </w:rPr>
            </w:pPr>
            <w:r w:rsidRPr="00396294">
              <w:rPr>
                <w:rFonts w:cs="Arial"/>
                <w:b/>
                <w:bCs/>
                <w:sz w:val="18"/>
                <w:szCs w:val="18"/>
              </w:rPr>
              <w:t>Responsible Program(s)</w:t>
            </w:r>
          </w:p>
        </w:tc>
        <w:tc>
          <w:tcPr>
            <w:tcW w:w="375" w:type="pct"/>
            <w:tcBorders>
              <w:top w:val="single" w:sz="4" w:space="0" w:color="auto"/>
              <w:bottom w:val="single" w:sz="4" w:space="0" w:color="auto"/>
            </w:tcBorders>
            <w:shd w:val="clear" w:color="auto" w:fill="DAEEF3" w:themeFill="accent5" w:themeFillTint="33"/>
          </w:tcPr>
          <w:p w:rsidR="00DD7BA9" w:rsidRPr="00396294" w:rsidRDefault="00DD7BA9" w:rsidP="00547ACE">
            <w:pPr>
              <w:spacing w:after="120"/>
              <w:ind w:left="85" w:hanging="70"/>
              <w:jc w:val="center"/>
              <w:rPr>
                <w:rFonts w:cs="Arial"/>
                <w:b/>
                <w:bCs/>
                <w:sz w:val="18"/>
                <w:szCs w:val="18"/>
              </w:rPr>
            </w:pPr>
            <w:r>
              <w:rPr>
                <w:rFonts w:cs="Arial"/>
                <w:b/>
                <w:bCs/>
                <w:sz w:val="18"/>
                <w:szCs w:val="18"/>
              </w:rPr>
              <w:t>TLS</w:t>
            </w:r>
          </w:p>
        </w:tc>
      </w:tr>
      <w:tr w:rsidR="00DD7BA9" w:rsidRPr="00AF5E7C" w:rsidTr="00547ACE">
        <w:trPr>
          <w:cantSplit/>
          <w:trHeight w:val="408"/>
        </w:trPr>
        <w:tc>
          <w:tcPr>
            <w:tcW w:w="1541" w:type="pct"/>
            <w:vMerge w:val="restart"/>
            <w:tcBorders>
              <w:top w:val="single" w:sz="4" w:space="0" w:color="auto"/>
            </w:tcBorders>
            <w:shd w:val="clear" w:color="auto" w:fill="auto"/>
            <w:tcMar>
              <w:top w:w="113" w:type="dxa"/>
              <w:bottom w:w="85" w:type="dxa"/>
            </w:tcMar>
          </w:tcPr>
          <w:p w:rsidR="00DD7BA9" w:rsidRPr="00D2533A" w:rsidRDefault="00DD7BA9" w:rsidP="00547ACE">
            <w:pPr>
              <w:rPr>
                <w:rFonts w:cs="Arial"/>
                <w:sz w:val="16"/>
                <w:szCs w:val="16"/>
              </w:rPr>
            </w:pPr>
            <w:r w:rsidRPr="00D2533A">
              <w:rPr>
                <w:rFonts w:cs="Arial"/>
                <w:sz w:val="16"/>
                <w:szCs w:val="16"/>
              </w:rPr>
              <w:t>VIII.1</w:t>
            </w:r>
            <w:r>
              <w:rPr>
                <w:rFonts w:cs="Arial"/>
                <w:sz w:val="16"/>
                <w:szCs w:val="16"/>
              </w:rPr>
              <w:t xml:space="preserve">  </w:t>
            </w:r>
            <w:r w:rsidRPr="00D2533A">
              <w:rPr>
                <w:rFonts w:cs="Arial"/>
                <w:sz w:val="16"/>
                <w:szCs w:val="16"/>
              </w:rPr>
              <w:t>More effective communication to a broad public about intellectual property and WIPO’s role</w:t>
            </w:r>
          </w:p>
        </w:tc>
        <w:tc>
          <w:tcPr>
            <w:tcW w:w="2160" w:type="pct"/>
            <w:tcBorders>
              <w:top w:val="single" w:sz="4" w:space="0" w:color="auto"/>
            </w:tcBorders>
            <w:shd w:val="clear" w:color="auto" w:fill="auto"/>
            <w:tcMar>
              <w:top w:w="113" w:type="dxa"/>
              <w:bottom w:w="85" w:type="dxa"/>
            </w:tcMar>
          </w:tcPr>
          <w:p w:rsidR="00DD7BA9" w:rsidRPr="00D2533A" w:rsidRDefault="00DD7BA9" w:rsidP="00547ACE">
            <w:pPr>
              <w:rPr>
                <w:rFonts w:cs="Arial"/>
                <w:sz w:val="16"/>
                <w:szCs w:val="16"/>
              </w:rPr>
            </w:pPr>
            <w:r w:rsidRPr="00D2533A">
              <w:rPr>
                <w:rFonts w:cs="Arial"/>
                <w:sz w:val="16"/>
                <w:szCs w:val="16"/>
              </w:rPr>
              <w:t>Level of public interest generated in selected major WIPO events/achievements</w:t>
            </w:r>
          </w:p>
        </w:tc>
        <w:tc>
          <w:tcPr>
            <w:tcW w:w="924" w:type="pct"/>
            <w:tcBorders>
              <w:top w:val="single" w:sz="4" w:space="0" w:color="auto"/>
            </w:tcBorders>
            <w:shd w:val="clear" w:color="auto" w:fill="FFFFFF"/>
            <w:tcMar>
              <w:top w:w="113" w:type="dxa"/>
              <w:bottom w:w="85" w:type="dxa"/>
            </w:tcMar>
          </w:tcPr>
          <w:p w:rsidR="00DD7BA9" w:rsidRPr="00AF5E7C" w:rsidRDefault="00DD7BA9" w:rsidP="00547ACE">
            <w:pPr>
              <w:jc w:val="center"/>
              <w:rPr>
                <w:rFonts w:cs="Arial"/>
                <w:sz w:val="16"/>
                <w:szCs w:val="16"/>
                <w:lang w:bidi="th-TH"/>
              </w:rPr>
            </w:pPr>
            <w:r>
              <w:rPr>
                <w:rFonts w:cs="Arial"/>
                <w:sz w:val="16"/>
                <w:szCs w:val="16"/>
                <w:lang w:bidi="th-TH"/>
              </w:rPr>
              <w:t>Program 19</w:t>
            </w:r>
          </w:p>
        </w:tc>
        <w:tc>
          <w:tcPr>
            <w:tcW w:w="375" w:type="pct"/>
            <w:tcBorders>
              <w:top w:val="single" w:sz="4" w:space="0" w:color="auto"/>
            </w:tcBorders>
            <w:shd w:val="clear" w:color="auto" w:fill="FFFFFF"/>
          </w:tcPr>
          <w:p w:rsidR="00DD7BA9" w:rsidRPr="00CC3F44" w:rsidRDefault="00DD7BA9" w:rsidP="00547ACE">
            <w:pPr>
              <w:jc w:val="center"/>
            </w:pPr>
            <w:r w:rsidRPr="00CC3F44">
              <w:rPr>
                <w:rFonts w:cs="Arial"/>
                <w:color w:val="008000"/>
                <w:sz w:val="22"/>
                <w:szCs w:val="22"/>
              </w:rPr>
              <w:sym w:font="Wingdings" w:char="F06C"/>
            </w:r>
          </w:p>
        </w:tc>
      </w:tr>
      <w:tr w:rsidR="00DD7BA9" w:rsidRPr="00AF5E7C" w:rsidTr="00547ACE">
        <w:trPr>
          <w:cantSplit/>
          <w:trHeight w:val="232"/>
        </w:trPr>
        <w:tc>
          <w:tcPr>
            <w:tcW w:w="1541" w:type="pct"/>
            <w:vMerge/>
            <w:shd w:val="clear" w:color="auto" w:fill="auto"/>
            <w:tcMar>
              <w:top w:w="113" w:type="dxa"/>
              <w:bottom w:w="85" w:type="dxa"/>
            </w:tcMar>
          </w:tcPr>
          <w:p w:rsidR="00DD7BA9" w:rsidRPr="00AF5E7C" w:rsidRDefault="00DD7BA9" w:rsidP="00547ACE">
            <w:pPr>
              <w:rPr>
                <w:rFonts w:cs="Arial"/>
                <w:sz w:val="16"/>
                <w:szCs w:val="16"/>
              </w:rPr>
            </w:pPr>
          </w:p>
        </w:tc>
        <w:tc>
          <w:tcPr>
            <w:tcW w:w="2160" w:type="pct"/>
            <w:vMerge w:val="restart"/>
            <w:shd w:val="clear" w:color="auto" w:fill="auto"/>
            <w:tcMar>
              <w:top w:w="113" w:type="dxa"/>
              <w:bottom w:w="85" w:type="dxa"/>
            </w:tcMar>
          </w:tcPr>
          <w:p w:rsidR="00DD7BA9" w:rsidRPr="00D2533A" w:rsidRDefault="00DD7BA9" w:rsidP="00547ACE">
            <w:pPr>
              <w:rPr>
                <w:rFonts w:cs="Arial"/>
                <w:sz w:val="16"/>
                <w:szCs w:val="16"/>
              </w:rPr>
            </w:pPr>
            <w:r w:rsidRPr="00D2533A">
              <w:rPr>
                <w:rFonts w:cs="Arial"/>
                <w:sz w:val="16"/>
                <w:szCs w:val="16"/>
              </w:rPr>
              <w:t>% of stakeholders with positive recognition of WIPO’s mission, activities and organizational image</w:t>
            </w:r>
          </w:p>
        </w:tc>
        <w:tc>
          <w:tcPr>
            <w:tcW w:w="924" w:type="pct"/>
            <w:shd w:val="clear" w:color="auto" w:fill="FFFFFF"/>
            <w:tcMar>
              <w:top w:w="113" w:type="dxa"/>
              <w:bottom w:w="85" w:type="dxa"/>
            </w:tcMar>
          </w:tcPr>
          <w:p w:rsidR="00DD7BA9" w:rsidRPr="00AF5E7C" w:rsidRDefault="00DD7BA9" w:rsidP="00547ACE">
            <w:pPr>
              <w:jc w:val="center"/>
              <w:rPr>
                <w:rFonts w:cs="Arial"/>
                <w:sz w:val="16"/>
                <w:szCs w:val="16"/>
                <w:lang w:bidi="th-TH"/>
              </w:rPr>
            </w:pPr>
            <w:r>
              <w:rPr>
                <w:rFonts w:cs="Arial"/>
                <w:sz w:val="16"/>
                <w:szCs w:val="16"/>
                <w:lang w:bidi="th-TH"/>
              </w:rPr>
              <w:t>Program 19</w:t>
            </w:r>
          </w:p>
        </w:tc>
        <w:tc>
          <w:tcPr>
            <w:tcW w:w="375" w:type="pct"/>
            <w:shd w:val="clear" w:color="auto" w:fill="FFFFFF"/>
          </w:tcPr>
          <w:p w:rsidR="00DD7BA9" w:rsidRPr="00CC3F44" w:rsidRDefault="00DD7BA9" w:rsidP="00547ACE">
            <w:pPr>
              <w:jc w:val="center"/>
              <w:rPr>
                <w:rFonts w:cs="Arial"/>
                <w:color w:val="A6A6A6" w:themeColor="background1" w:themeShade="A6"/>
                <w:sz w:val="22"/>
                <w:szCs w:val="22"/>
              </w:rPr>
            </w:pPr>
            <w:r w:rsidRPr="00CC3F44">
              <w:rPr>
                <w:rFonts w:cs="Arial"/>
                <w:color w:val="008000"/>
                <w:sz w:val="22"/>
                <w:szCs w:val="22"/>
              </w:rPr>
              <w:sym w:font="Wingdings" w:char="F06C"/>
            </w:r>
          </w:p>
        </w:tc>
      </w:tr>
      <w:tr w:rsidR="00DD7BA9" w:rsidRPr="00AF5E7C" w:rsidTr="00547ACE">
        <w:trPr>
          <w:cantSplit/>
          <w:trHeight w:val="231"/>
        </w:trPr>
        <w:tc>
          <w:tcPr>
            <w:tcW w:w="1541" w:type="pct"/>
            <w:vMerge/>
            <w:shd w:val="clear" w:color="auto" w:fill="auto"/>
            <w:tcMar>
              <w:top w:w="113" w:type="dxa"/>
              <w:bottom w:w="85" w:type="dxa"/>
            </w:tcMar>
          </w:tcPr>
          <w:p w:rsidR="00DD7BA9" w:rsidRPr="00AF5E7C" w:rsidRDefault="00DD7BA9" w:rsidP="00547ACE">
            <w:pPr>
              <w:rPr>
                <w:rFonts w:cs="Arial"/>
                <w:sz w:val="16"/>
                <w:szCs w:val="16"/>
              </w:rPr>
            </w:pPr>
          </w:p>
        </w:tc>
        <w:tc>
          <w:tcPr>
            <w:tcW w:w="2160" w:type="pct"/>
            <w:vMerge/>
            <w:shd w:val="clear" w:color="auto" w:fill="auto"/>
            <w:tcMar>
              <w:top w:w="113" w:type="dxa"/>
              <w:bottom w:w="85" w:type="dxa"/>
            </w:tcMar>
          </w:tcPr>
          <w:p w:rsidR="00DD7BA9" w:rsidRPr="00D2533A" w:rsidRDefault="00DD7BA9" w:rsidP="00547ACE">
            <w:pPr>
              <w:rPr>
                <w:rFonts w:cs="Arial"/>
                <w:sz w:val="16"/>
                <w:szCs w:val="16"/>
              </w:rPr>
            </w:pPr>
          </w:p>
        </w:tc>
        <w:tc>
          <w:tcPr>
            <w:tcW w:w="924" w:type="pct"/>
            <w:shd w:val="clear" w:color="auto" w:fill="FFFFFF"/>
            <w:tcMar>
              <w:top w:w="113" w:type="dxa"/>
              <w:bottom w:w="85" w:type="dxa"/>
            </w:tcMar>
          </w:tcPr>
          <w:p w:rsidR="00DD7BA9" w:rsidRDefault="00DD7BA9" w:rsidP="00547ACE">
            <w:pPr>
              <w:jc w:val="center"/>
              <w:rPr>
                <w:rFonts w:cs="Arial"/>
                <w:sz w:val="16"/>
                <w:szCs w:val="16"/>
                <w:lang w:bidi="th-TH"/>
              </w:rPr>
            </w:pPr>
            <w:r>
              <w:rPr>
                <w:rFonts w:cs="Arial"/>
                <w:sz w:val="16"/>
                <w:szCs w:val="16"/>
                <w:lang w:bidi="th-TH"/>
              </w:rPr>
              <w:t>Program 20</w:t>
            </w:r>
          </w:p>
        </w:tc>
        <w:tc>
          <w:tcPr>
            <w:tcW w:w="375" w:type="pct"/>
            <w:shd w:val="clear" w:color="auto" w:fill="FFFFFF"/>
          </w:tcPr>
          <w:p w:rsidR="00DD7BA9" w:rsidRPr="00CC3F44" w:rsidRDefault="00DD7BA9" w:rsidP="00547ACE">
            <w:pPr>
              <w:jc w:val="center"/>
              <w:rPr>
                <w:rFonts w:cs="Arial"/>
                <w:color w:val="A6A6A6" w:themeColor="background1" w:themeShade="A6"/>
                <w:sz w:val="22"/>
                <w:szCs w:val="22"/>
              </w:rPr>
            </w:pPr>
            <w:r w:rsidRPr="00CC3F44">
              <w:rPr>
                <w:rFonts w:cs="Arial"/>
                <w:color w:val="008000"/>
                <w:sz w:val="22"/>
                <w:szCs w:val="22"/>
              </w:rPr>
              <w:sym w:font="Wingdings" w:char="F06C"/>
            </w:r>
            <w:r w:rsidRPr="00CC3F44">
              <w:rPr>
                <w:rFonts w:cs="Arial"/>
                <w:color w:val="008000"/>
                <w:sz w:val="22"/>
                <w:szCs w:val="22"/>
              </w:rPr>
              <w:sym w:font="Wingdings" w:char="F06C"/>
            </w:r>
            <w:r w:rsidRPr="00CC3F44">
              <w:rPr>
                <w:rFonts w:cs="Arial"/>
                <w:color w:val="008000"/>
                <w:sz w:val="22"/>
                <w:szCs w:val="22"/>
              </w:rPr>
              <w:sym w:font="Wingdings" w:char="F06C"/>
            </w:r>
          </w:p>
        </w:tc>
      </w:tr>
      <w:tr w:rsidR="00DD7BA9" w:rsidRPr="00AF5E7C" w:rsidTr="00547ACE">
        <w:trPr>
          <w:cantSplit/>
          <w:trHeight w:val="436"/>
        </w:trPr>
        <w:tc>
          <w:tcPr>
            <w:tcW w:w="1541" w:type="pct"/>
            <w:shd w:val="clear" w:color="auto" w:fill="auto"/>
            <w:tcMar>
              <w:top w:w="113" w:type="dxa"/>
              <w:bottom w:w="85" w:type="dxa"/>
            </w:tcMar>
          </w:tcPr>
          <w:p w:rsidR="00DD7BA9" w:rsidRPr="00AF5E7C" w:rsidRDefault="00DD7BA9" w:rsidP="00547ACE">
            <w:pPr>
              <w:rPr>
                <w:rFonts w:cs="Arial"/>
                <w:sz w:val="16"/>
                <w:szCs w:val="16"/>
              </w:rPr>
            </w:pPr>
          </w:p>
        </w:tc>
        <w:tc>
          <w:tcPr>
            <w:tcW w:w="2160" w:type="pct"/>
            <w:shd w:val="clear" w:color="auto" w:fill="auto"/>
            <w:tcMar>
              <w:top w:w="113" w:type="dxa"/>
              <w:bottom w:w="85" w:type="dxa"/>
            </w:tcMar>
          </w:tcPr>
          <w:p w:rsidR="00DD7BA9" w:rsidRPr="00D2533A" w:rsidRDefault="00DD7BA9" w:rsidP="00547ACE">
            <w:pPr>
              <w:rPr>
                <w:rFonts w:cs="Arial"/>
                <w:sz w:val="16"/>
                <w:szCs w:val="16"/>
              </w:rPr>
            </w:pPr>
            <w:r w:rsidRPr="00D2533A">
              <w:rPr>
                <w:rFonts w:cs="Arial"/>
                <w:sz w:val="16"/>
                <w:szCs w:val="16"/>
              </w:rPr>
              <w:t>% increase in views of WIPO press, video and photographic content</w:t>
            </w:r>
          </w:p>
        </w:tc>
        <w:tc>
          <w:tcPr>
            <w:tcW w:w="924" w:type="pct"/>
            <w:shd w:val="clear" w:color="auto" w:fill="FFFFFF"/>
            <w:tcMar>
              <w:top w:w="113" w:type="dxa"/>
              <w:bottom w:w="85" w:type="dxa"/>
            </w:tcMar>
          </w:tcPr>
          <w:p w:rsidR="00DD7BA9" w:rsidRPr="00AF5E7C" w:rsidRDefault="00DD7BA9" w:rsidP="00547ACE">
            <w:pPr>
              <w:jc w:val="center"/>
              <w:rPr>
                <w:rFonts w:cs="Arial"/>
                <w:sz w:val="16"/>
                <w:szCs w:val="16"/>
                <w:lang w:bidi="th-TH"/>
              </w:rPr>
            </w:pPr>
            <w:r>
              <w:rPr>
                <w:rFonts w:cs="Arial"/>
                <w:sz w:val="16"/>
                <w:szCs w:val="16"/>
                <w:lang w:bidi="th-TH"/>
              </w:rPr>
              <w:t>Program 19</w:t>
            </w:r>
          </w:p>
        </w:tc>
        <w:tc>
          <w:tcPr>
            <w:tcW w:w="375" w:type="pct"/>
            <w:shd w:val="clear" w:color="auto" w:fill="FFFFFF"/>
          </w:tcPr>
          <w:p w:rsidR="00DD7BA9" w:rsidRPr="00CC3F44" w:rsidRDefault="00DD7BA9" w:rsidP="00547ACE">
            <w:pPr>
              <w:jc w:val="center"/>
            </w:pPr>
            <w:r w:rsidRPr="00CC3F44">
              <w:rPr>
                <w:rFonts w:cs="Arial"/>
                <w:color w:val="FF0000"/>
                <w:sz w:val="22"/>
                <w:szCs w:val="22"/>
              </w:rPr>
              <w:sym w:font="Wingdings" w:char="F06C"/>
            </w:r>
            <w:r w:rsidRPr="00CC3F44">
              <w:rPr>
                <w:rFonts w:cs="Arial"/>
                <w:color w:val="FF0000"/>
                <w:sz w:val="22"/>
                <w:szCs w:val="22"/>
              </w:rPr>
              <w:sym w:font="Wingdings" w:char="F06C"/>
            </w:r>
            <w:r w:rsidRPr="00CC3F44">
              <w:rPr>
                <w:rFonts w:cs="Arial"/>
                <w:color w:val="008000"/>
                <w:sz w:val="22"/>
                <w:szCs w:val="22"/>
              </w:rPr>
              <w:sym w:font="Wingdings" w:char="F06C"/>
            </w:r>
          </w:p>
        </w:tc>
      </w:tr>
      <w:tr w:rsidR="00DD7BA9" w:rsidRPr="00AF5E7C" w:rsidTr="00547ACE">
        <w:trPr>
          <w:cantSplit/>
          <w:trHeight w:val="429"/>
        </w:trPr>
        <w:tc>
          <w:tcPr>
            <w:tcW w:w="1541" w:type="pct"/>
            <w:shd w:val="clear" w:color="auto" w:fill="auto"/>
            <w:tcMar>
              <w:top w:w="113" w:type="dxa"/>
              <w:bottom w:w="85" w:type="dxa"/>
            </w:tcMar>
          </w:tcPr>
          <w:p w:rsidR="00DD7BA9" w:rsidRPr="00AF5E7C" w:rsidRDefault="00DD7BA9" w:rsidP="00547ACE">
            <w:pPr>
              <w:rPr>
                <w:rFonts w:cs="Arial"/>
                <w:sz w:val="16"/>
                <w:szCs w:val="16"/>
              </w:rPr>
            </w:pPr>
          </w:p>
        </w:tc>
        <w:tc>
          <w:tcPr>
            <w:tcW w:w="2160" w:type="pct"/>
            <w:shd w:val="clear" w:color="auto" w:fill="auto"/>
            <w:tcMar>
              <w:top w:w="113" w:type="dxa"/>
              <w:bottom w:w="85" w:type="dxa"/>
            </w:tcMar>
          </w:tcPr>
          <w:p w:rsidR="00DD7BA9" w:rsidRPr="00D2533A" w:rsidRDefault="00DD7BA9" w:rsidP="00547ACE">
            <w:pPr>
              <w:rPr>
                <w:rFonts w:cs="Arial"/>
                <w:sz w:val="16"/>
                <w:szCs w:val="16"/>
              </w:rPr>
            </w:pPr>
            <w:r w:rsidRPr="00D2533A">
              <w:rPr>
                <w:rFonts w:cs="Arial"/>
                <w:sz w:val="16"/>
                <w:szCs w:val="16"/>
              </w:rPr>
              <w:t>% increase in global participation in World IP Day via Facebook page</w:t>
            </w:r>
            <w:r>
              <w:rPr>
                <w:rFonts w:cs="Arial"/>
                <w:sz w:val="16"/>
                <w:szCs w:val="16"/>
              </w:rPr>
              <w:t xml:space="preserve"> (total reach of campaign)</w:t>
            </w:r>
          </w:p>
        </w:tc>
        <w:tc>
          <w:tcPr>
            <w:tcW w:w="924" w:type="pct"/>
            <w:shd w:val="clear" w:color="auto" w:fill="FFFFFF"/>
            <w:tcMar>
              <w:top w:w="113" w:type="dxa"/>
              <w:bottom w:w="85" w:type="dxa"/>
            </w:tcMar>
          </w:tcPr>
          <w:p w:rsidR="00DD7BA9" w:rsidRPr="00AF5E7C" w:rsidRDefault="00DD7BA9" w:rsidP="00547ACE">
            <w:pPr>
              <w:jc w:val="center"/>
              <w:rPr>
                <w:rFonts w:cs="Arial"/>
                <w:sz w:val="16"/>
                <w:szCs w:val="16"/>
                <w:lang w:bidi="th-TH"/>
              </w:rPr>
            </w:pPr>
            <w:r>
              <w:rPr>
                <w:rFonts w:cs="Arial"/>
                <w:sz w:val="16"/>
                <w:szCs w:val="16"/>
                <w:lang w:bidi="th-TH"/>
              </w:rPr>
              <w:t>Program 19</w:t>
            </w:r>
          </w:p>
        </w:tc>
        <w:tc>
          <w:tcPr>
            <w:tcW w:w="375" w:type="pct"/>
            <w:shd w:val="clear" w:color="auto" w:fill="FFFFFF"/>
          </w:tcPr>
          <w:p w:rsidR="00DD7BA9" w:rsidRPr="00CC3F44" w:rsidRDefault="00DD7BA9" w:rsidP="00547ACE">
            <w:pPr>
              <w:jc w:val="center"/>
            </w:pPr>
            <w:r w:rsidRPr="00CC3F44">
              <w:rPr>
                <w:rFonts w:cs="Arial"/>
                <w:color w:val="008000"/>
                <w:sz w:val="22"/>
                <w:szCs w:val="22"/>
              </w:rPr>
              <w:sym w:font="Wingdings" w:char="F06C"/>
            </w:r>
          </w:p>
        </w:tc>
      </w:tr>
      <w:tr w:rsidR="00DD7BA9" w:rsidRPr="00AF5E7C" w:rsidTr="00547ACE">
        <w:trPr>
          <w:cantSplit/>
          <w:trHeight w:val="256"/>
        </w:trPr>
        <w:tc>
          <w:tcPr>
            <w:tcW w:w="1541" w:type="pct"/>
            <w:shd w:val="clear" w:color="auto" w:fill="auto"/>
            <w:tcMar>
              <w:top w:w="113" w:type="dxa"/>
              <w:bottom w:w="85" w:type="dxa"/>
            </w:tcMar>
          </w:tcPr>
          <w:p w:rsidR="00DD7BA9" w:rsidRPr="00AF5E7C" w:rsidRDefault="00DD7BA9" w:rsidP="00547ACE">
            <w:pPr>
              <w:rPr>
                <w:rFonts w:cs="Arial"/>
                <w:sz w:val="16"/>
                <w:szCs w:val="16"/>
              </w:rPr>
            </w:pPr>
          </w:p>
        </w:tc>
        <w:tc>
          <w:tcPr>
            <w:tcW w:w="2160" w:type="pct"/>
            <w:shd w:val="clear" w:color="auto" w:fill="auto"/>
            <w:tcMar>
              <w:top w:w="113" w:type="dxa"/>
              <w:bottom w:w="85" w:type="dxa"/>
            </w:tcMar>
          </w:tcPr>
          <w:p w:rsidR="00DD7BA9" w:rsidRPr="00512DF2" w:rsidRDefault="00DD7BA9" w:rsidP="00547ACE">
            <w:pPr>
              <w:rPr>
                <w:rFonts w:cs="Arial"/>
                <w:sz w:val="16"/>
                <w:szCs w:val="16"/>
              </w:rPr>
            </w:pPr>
            <w:r w:rsidRPr="00512DF2">
              <w:rPr>
                <w:rFonts w:cs="Arial"/>
                <w:sz w:val="16"/>
                <w:szCs w:val="16"/>
              </w:rPr>
              <w:t>% increase in views of online publications</w:t>
            </w:r>
          </w:p>
        </w:tc>
        <w:tc>
          <w:tcPr>
            <w:tcW w:w="924" w:type="pct"/>
            <w:shd w:val="clear" w:color="auto" w:fill="FFFFFF"/>
            <w:tcMar>
              <w:top w:w="113" w:type="dxa"/>
              <w:bottom w:w="85" w:type="dxa"/>
            </w:tcMar>
          </w:tcPr>
          <w:p w:rsidR="00DD7BA9" w:rsidRPr="00AF5E7C" w:rsidRDefault="00DD7BA9" w:rsidP="00547ACE">
            <w:pPr>
              <w:jc w:val="center"/>
              <w:rPr>
                <w:rFonts w:cs="Arial"/>
                <w:sz w:val="16"/>
                <w:szCs w:val="16"/>
                <w:lang w:bidi="th-TH"/>
              </w:rPr>
            </w:pPr>
            <w:r>
              <w:rPr>
                <w:rFonts w:cs="Arial"/>
                <w:sz w:val="16"/>
                <w:szCs w:val="16"/>
                <w:lang w:bidi="th-TH"/>
              </w:rPr>
              <w:t>Program 19</w:t>
            </w:r>
          </w:p>
        </w:tc>
        <w:tc>
          <w:tcPr>
            <w:tcW w:w="375" w:type="pct"/>
            <w:shd w:val="clear" w:color="auto" w:fill="FFFFFF"/>
          </w:tcPr>
          <w:p w:rsidR="00DD7BA9" w:rsidRPr="00CC3F44" w:rsidRDefault="00DD7BA9" w:rsidP="00547ACE">
            <w:pPr>
              <w:jc w:val="center"/>
              <w:rPr>
                <w:rFonts w:cs="Arial"/>
                <w:color w:val="0070C0"/>
                <w:sz w:val="22"/>
                <w:szCs w:val="22"/>
              </w:rPr>
            </w:pPr>
            <w:r w:rsidRPr="00CC3F44">
              <w:rPr>
                <w:rFonts w:cs="Arial"/>
                <w:color w:val="A6A6A6" w:themeColor="background1" w:themeShade="A6"/>
                <w:sz w:val="22"/>
                <w:szCs w:val="22"/>
              </w:rPr>
              <w:sym w:font="Wingdings" w:char="F06C"/>
            </w:r>
            <w:r w:rsidRPr="00CC3F44">
              <w:rPr>
                <w:rFonts w:cs="Arial"/>
                <w:color w:val="008000"/>
                <w:sz w:val="22"/>
                <w:szCs w:val="22"/>
              </w:rPr>
              <w:sym w:font="Wingdings" w:char="F06C"/>
            </w:r>
          </w:p>
        </w:tc>
      </w:tr>
      <w:tr w:rsidR="00DD7BA9" w:rsidRPr="00AF5E7C" w:rsidTr="00547ACE">
        <w:trPr>
          <w:cantSplit/>
          <w:trHeight w:val="256"/>
        </w:trPr>
        <w:tc>
          <w:tcPr>
            <w:tcW w:w="1541" w:type="pct"/>
            <w:shd w:val="clear" w:color="auto" w:fill="auto"/>
            <w:tcMar>
              <w:top w:w="113" w:type="dxa"/>
              <w:bottom w:w="85" w:type="dxa"/>
            </w:tcMar>
          </w:tcPr>
          <w:p w:rsidR="00DD7BA9" w:rsidRPr="00AF5E7C" w:rsidRDefault="00DD7BA9" w:rsidP="00547ACE">
            <w:pPr>
              <w:rPr>
                <w:rFonts w:cs="Arial"/>
                <w:sz w:val="16"/>
                <w:szCs w:val="16"/>
              </w:rPr>
            </w:pPr>
          </w:p>
        </w:tc>
        <w:tc>
          <w:tcPr>
            <w:tcW w:w="2160" w:type="pct"/>
            <w:shd w:val="clear" w:color="auto" w:fill="auto"/>
            <w:tcMar>
              <w:top w:w="113" w:type="dxa"/>
              <w:bottom w:w="85" w:type="dxa"/>
            </w:tcMar>
          </w:tcPr>
          <w:p w:rsidR="00DD7BA9" w:rsidRPr="00512DF2" w:rsidRDefault="00DD7BA9" w:rsidP="00547ACE">
            <w:pPr>
              <w:rPr>
                <w:rFonts w:cs="Arial"/>
                <w:sz w:val="16"/>
                <w:szCs w:val="16"/>
              </w:rPr>
            </w:pPr>
            <w:r w:rsidRPr="00512DF2">
              <w:rPr>
                <w:rFonts w:cs="Arial"/>
                <w:sz w:val="16"/>
                <w:szCs w:val="16"/>
              </w:rPr>
              <w:t>% of users satisfied with the WIPO website</w:t>
            </w:r>
          </w:p>
        </w:tc>
        <w:tc>
          <w:tcPr>
            <w:tcW w:w="924" w:type="pct"/>
            <w:shd w:val="clear" w:color="auto" w:fill="FFFFFF"/>
            <w:tcMar>
              <w:top w:w="113" w:type="dxa"/>
              <w:bottom w:w="85" w:type="dxa"/>
            </w:tcMar>
          </w:tcPr>
          <w:p w:rsidR="00DD7BA9" w:rsidRPr="00AF5E7C" w:rsidRDefault="00DD7BA9" w:rsidP="00547ACE">
            <w:pPr>
              <w:jc w:val="center"/>
              <w:rPr>
                <w:rFonts w:cs="Arial"/>
                <w:sz w:val="16"/>
                <w:szCs w:val="16"/>
                <w:lang w:bidi="th-TH"/>
              </w:rPr>
            </w:pPr>
            <w:r>
              <w:rPr>
                <w:rFonts w:cs="Arial"/>
                <w:sz w:val="16"/>
                <w:szCs w:val="16"/>
                <w:lang w:bidi="th-TH"/>
              </w:rPr>
              <w:t>Program 19</w:t>
            </w:r>
          </w:p>
        </w:tc>
        <w:tc>
          <w:tcPr>
            <w:tcW w:w="375" w:type="pct"/>
            <w:shd w:val="clear" w:color="auto" w:fill="FFFFFF"/>
          </w:tcPr>
          <w:p w:rsidR="00DD7BA9" w:rsidRPr="00CC3F44" w:rsidRDefault="00DD7BA9" w:rsidP="00547ACE">
            <w:pPr>
              <w:jc w:val="center"/>
            </w:pPr>
            <w:r w:rsidRPr="00CC3F44">
              <w:rPr>
                <w:rFonts w:cs="Arial"/>
                <w:color w:val="A6A6A6" w:themeColor="background1" w:themeShade="A6"/>
                <w:sz w:val="22"/>
                <w:szCs w:val="22"/>
              </w:rPr>
              <w:sym w:font="Wingdings" w:char="F06C"/>
            </w:r>
          </w:p>
        </w:tc>
      </w:tr>
      <w:tr w:rsidR="00DD7BA9" w:rsidRPr="00AF5E7C" w:rsidTr="00547ACE">
        <w:trPr>
          <w:cantSplit/>
          <w:trHeight w:val="336"/>
        </w:trPr>
        <w:tc>
          <w:tcPr>
            <w:tcW w:w="1541" w:type="pct"/>
            <w:shd w:val="clear" w:color="auto" w:fill="auto"/>
            <w:tcMar>
              <w:top w:w="113" w:type="dxa"/>
              <w:bottom w:w="85" w:type="dxa"/>
            </w:tcMar>
          </w:tcPr>
          <w:p w:rsidR="00DD7BA9" w:rsidRPr="00AF5E7C" w:rsidRDefault="00DD7BA9" w:rsidP="00547ACE">
            <w:pPr>
              <w:rPr>
                <w:rFonts w:cs="Arial"/>
                <w:sz w:val="16"/>
                <w:szCs w:val="16"/>
              </w:rPr>
            </w:pPr>
          </w:p>
        </w:tc>
        <w:tc>
          <w:tcPr>
            <w:tcW w:w="2160" w:type="pct"/>
            <w:shd w:val="clear" w:color="auto" w:fill="auto"/>
            <w:tcMar>
              <w:top w:w="113" w:type="dxa"/>
              <w:bottom w:w="85" w:type="dxa"/>
            </w:tcMar>
          </w:tcPr>
          <w:p w:rsidR="00DD7BA9" w:rsidRPr="00512DF2" w:rsidRDefault="00DD7BA9" w:rsidP="00547ACE">
            <w:pPr>
              <w:rPr>
                <w:rFonts w:cs="Arial"/>
                <w:sz w:val="16"/>
                <w:szCs w:val="16"/>
              </w:rPr>
            </w:pPr>
            <w:r w:rsidRPr="00512DF2">
              <w:rPr>
                <w:rFonts w:cs="Arial"/>
                <w:sz w:val="16"/>
                <w:szCs w:val="16"/>
              </w:rPr>
              <w:t>Increased WIPO influence and engagement on social media</w:t>
            </w:r>
          </w:p>
        </w:tc>
        <w:tc>
          <w:tcPr>
            <w:tcW w:w="924" w:type="pct"/>
            <w:shd w:val="clear" w:color="auto" w:fill="FFFFFF"/>
            <w:tcMar>
              <w:top w:w="113" w:type="dxa"/>
              <w:bottom w:w="85" w:type="dxa"/>
            </w:tcMar>
          </w:tcPr>
          <w:p w:rsidR="00DD7BA9" w:rsidRPr="00AF5E7C" w:rsidRDefault="00DD7BA9" w:rsidP="00547ACE">
            <w:pPr>
              <w:jc w:val="center"/>
              <w:rPr>
                <w:rFonts w:cs="Arial"/>
                <w:sz w:val="16"/>
                <w:szCs w:val="16"/>
                <w:lang w:bidi="th-TH"/>
              </w:rPr>
            </w:pPr>
            <w:r>
              <w:rPr>
                <w:rFonts w:cs="Arial"/>
                <w:sz w:val="16"/>
                <w:szCs w:val="16"/>
                <w:lang w:bidi="th-TH"/>
              </w:rPr>
              <w:t>Program 19</w:t>
            </w:r>
          </w:p>
        </w:tc>
        <w:tc>
          <w:tcPr>
            <w:tcW w:w="375" w:type="pct"/>
            <w:shd w:val="clear" w:color="auto" w:fill="FFFFFF"/>
          </w:tcPr>
          <w:p w:rsidR="00DD7BA9" w:rsidRPr="00CC3F44" w:rsidRDefault="00DD7BA9" w:rsidP="00547ACE">
            <w:pPr>
              <w:jc w:val="center"/>
            </w:pPr>
            <w:r w:rsidRPr="00CC3F44">
              <w:rPr>
                <w:rFonts w:cs="Arial"/>
                <w:sz w:val="22"/>
                <w:szCs w:val="22"/>
              </w:rPr>
              <w:sym w:font="Wingdings" w:char="F06C"/>
            </w:r>
            <w:r w:rsidRPr="00CC3F44">
              <w:rPr>
                <w:rFonts w:cs="Arial"/>
                <w:color w:val="008000"/>
                <w:sz w:val="22"/>
                <w:szCs w:val="22"/>
              </w:rPr>
              <w:sym w:font="Wingdings" w:char="F06C"/>
            </w:r>
          </w:p>
        </w:tc>
      </w:tr>
      <w:tr w:rsidR="00DD7BA9" w:rsidRPr="00AF5E7C" w:rsidTr="00547ACE">
        <w:trPr>
          <w:cantSplit/>
          <w:trHeight w:val="335"/>
        </w:trPr>
        <w:tc>
          <w:tcPr>
            <w:tcW w:w="1541" w:type="pct"/>
            <w:shd w:val="clear" w:color="auto" w:fill="auto"/>
            <w:tcMar>
              <w:top w:w="113" w:type="dxa"/>
              <w:bottom w:w="85" w:type="dxa"/>
            </w:tcMar>
          </w:tcPr>
          <w:p w:rsidR="00DD7BA9" w:rsidRPr="00AF5E7C" w:rsidRDefault="00DD7BA9" w:rsidP="00547ACE">
            <w:pPr>
              <w:rPr>
                <w:rFonts w:cs="Arial"/>
                <w:sz w:val="16"/>
                <w:szCs w:val="16"/>
              </w:rPr>
            </w:pPr>
          </w:p>
        </w:tc>
        <w:tc>
          <w:tcPr>
            <w:tcW w:w="2160" w:type="pct"/>
            <w:shd w:val="clear" w:color="auto" w:fill="auto"/>
            <w:tcMar>
              <w:top w:w="113" w:type="dxa"/>
              <w:bottom w:w="85" w:type="dxa"/>
            </w:tcMar>
          </w:tcPr>
          <w:p w:rsidR="00DD7BA9" w:rsidRPr="00AF5E7C" w:rsidRDefault="00DD7BA9" w:rsidP="00547ACE">
            <w:pPr>
              <w:rPr>
                <w:rFonts w:cs="Arial"/>
                <w:sz w:val="16"/>
                <w:szCs w:val="16"/>
              </w:rPr>
            </w:pPr>
            <w:r w:rsidRPr="00C43F3D">
              <w:rPr>
                <w:rFonts w:cs="Arial"/>
                <w:sz w:val="16"/>
                <w:szCs w:val="16"/>
              </w:rPr>
              <w:t>Increased traffic to the website of WIPO External Offices</w:t>
            </w:r>
          </w:p>
        </w:tc>
        <w:tc>
          <w:tcPr>
            <w:tcW w:w="924" w:type="pct"/>
            <w:shd w:val="clear" w:color="auto" w:fill="FFFFFF"/>
            <w:tcMar>
              <w:top w:w="113" w:type="dxa"/>
              <w:bottom w:w="85" w:type="dxa"/>
            </w:tcMar>
          </w:tcPr>
          <w:p w:rsidR="00DD7BA9" w:rsidRPr="00AF5E7C" w:rsidRDefault="00DD7BA9" w:rsidP="00547ACE">
            <w:pPr>
              <w:jc w:val="center"/>
              <w:rPr>
                <w:rFonts w:cs="Arial"/>
                <w:sz w:val="16"/>
                <w:szCs w:val="16"/>
                <w:lang w:bidi="th-TH"/>
              </w:rPr>
            </w:pPr>
            <w:r>
              <w:rPr>
                <w:rFonts w:cs="Arial"/>
                <w:sz w:val="16"/>
                <w:szCs w:val="16"/>
                <w:lang w:bidi="th-TH"/>
              </w:rPr>
              <w:t>Program 20</w:t>
            </w:r>
          </w:p>
        </w:tc>
        <w:tc>
          <w:tcPr>
            <w:tcW w:w="375" w:type="pct"/>
            <w:shd w:val="clear" w:color="auto" w:fill="FFFFFF"/>
          </w:tcPr>
          <w:p w:rsidR="00DD7BA9" w:rsidRPr="00CC3F44" w:rsidRDefault="00DD7BA9" w:rsidP="00547ACE">
            <w:pPr>
              <w:jc w:val="center"/>
              <w:rPr>
                <w:rFonts w:cs="Arial"/>
                <w:color w:val="A6A6A6" w:themeColor="background1" w:themeShade="A6"/>
                <w:sz w:val="22"/>
                <w:szCs w:val="22"/>
              </w:rPr>
            </w:pPr>
            <w:r w:rsidRPr="00CC3F44">
              <w:rPr>
                <w:rFonts w:cs="Arial"/>
                <w:color w:val="A6A6A6" w:themeColor="background1" w:themeShade="A6"/>
                <w:sz w:val="22"/>
                <w:szCs w:val="22"/>
              </w:rPr>
              <w:sym w:font="Wingdings" w:char="F06C"/>
            </w:r>
            <w:r w:rsidRPr="00CC3F44">
              <w:rPr>
                <w:rFonts w:cs="Arial"/>
                <w:color w:val="008000"/>
                <w:sz w:val="22"/>
                <w:szCs w:val="22"/>
              </w:rPr>
              <w:sym w:font="Wingdings" w:char="F06C"/>
            </w:r>
            <w:r w:rsidRPr="00CC3F44">
              <w:rPr>
                <w:rFonts w:cs="Arial"/>
                <w:color w:val="E26B0A"/>
                <w:sz w:val="22"/>
                <w:szCs w:val="22"/>
              </w:rPr>
              <w:sym w:font="Wingdings" w:char="F06C"/>
            </w:r>
          </w:p>
        </w:tc>
      </w:tr>
      <w:tr w:rsidR="00DD7BA9" w:rsidRPr="00AF5E7C" w:rsidTr="00547ACE">
        <w:trPr>
          <w:cantSplit/>
          <w:trHeight w:val="202"/>
        </w:trPr>
        <w:tc>
          <w:tcPr>
            <w:tcW w:w="1541" w:type="pct"/>
            <w:vMerge w:val="restart"/>
            <w:shd w:val="clear" w:color="auto" w:fill="auto"/>
            <w:tcMar>
              <w:top w:w="113" w:type="dxa"/>
              <w:bottom w:w="85" w:type="dxa"/>
            </w:tcMar>
          </w:tcPr>
          <w:p w:rsidR="00DD7BA9" w:rsidRPr="00512DF2" w:rsidRDefault="00DD7BA9" w:rsidP="00547ACE">
            <w:pPr>
              <w:rPr>
                <w:rFonts w:cs="Arial"/>
                <w:sz w:val="16"/>
                <w:szCs w:val="16"/>
              </w:rPr>
            </w:pPr>
            <w:r w:rsidRPr="00512DF2">
              <w:rPr>
                <w:rFonts w:cs="Arial"/>
                <w:sz w:val="16"/>
                <w:szCs w:val="16"/>
              </w:rPr>
              <w:t>VIII.2</w:t>
            </w:r>
            <w:r>
              <w:rPr>
                <w:rFonts w:cs="Arial"/>
                <w:sz w:val="16"/>
                <w:szCs w:val="16"/>
              </w:rPr>
              <w:t xml:space="preserve"> </w:t>
            </w:r>
            <w:r w:rsidRPr="00512DF2">
              <w:rPr>
                <w:rFonts w:cs="Arial"/>
                <w:sz w:val="16"/>
                <w:szCs w:val="16"/>
              </w:rPr>
              <w:t xml:space="preserve"> Improved service orientation and responsiveness to inquiries</w:t>
            </w:r>
          </w:p>
        </w:tc>
        <w:tc>
          <w:tcPr>
            <w:tcW w:w="2160" w:type="pct"/>
            <w:shd w:val="clear" w:color="auto" w:fill="auto"/>
            <w:tcMar>
              <w:top w:w="113" w:type="dxa"/>
              <w:bottom w:w="85" w:type="dxa"/>
            </w:tcMar>
          </w:tcPr>
          <w:p w:rsidR="00DD7BA9" w:rsidRPr="00512DF2" w:rsidRDefault="00DD7BA9" w:rsidP="00547ACE">
            <w:pPr>
              <w:rPr>
                <w:rFonts w:cs="Arial"/>
                <w:sz w:val="16"/>
                <w:szCs w:val="16"/>
              </w:rPr>
            </w:pPr>
            <w:r w:rsidRPr="00512DF2">
              <w:rPr>
                <w:rFonts w:cs="Arial"/>
                <w:sz w:val="16"/>
                <w:szCs w:val="16"/>
              </w:rPr>
              <w:t>% of users satisfied with Library services</w:t>
            </w:r>
          </w:p>
        </w:tc>
        <w:tc>
          <w:tcPr>
            <w:tcW w:w="924" w:type="pct"/>
            <w:shd w:val="clear" w:color="auto" w:fill="FFFFFF"/>
            <w:tcMar>
              <w:top w:w="113" w:type="dxa"/>
              <w:bottom w:w="85" w:type="dxa"/>
            </w:tcMar>
          </w:tcPr>
          <w:p w:rsidR="00DD7BA9" w:rsidRPr="00AF5E7C" w:rsidRDefault="00DD7BA9" w:rsidP="00547ACE">
            <w:pPr>
              <w:jc w:val="center"/>
              <w:rPr>
                <w:rFonts w:cs="Arial"/>
                <w:sz w:val="16"/>
                <w:szCs w:val="16"/>
                <w:lang w:bidi="th-TH"/>
              </w:rPr>
            </w:pPr>
            <w:r>
              <w:rPr>
                <w:rFonts w:cs="Arial"/>
                <w:sz w:val="16"/>
                <w:szCs w:val="16"/>
                <w:lang w:bidi="th-TH"/>
              </w:rPr>
              <w:t>Program 19</w:t>
            </w:r>
          </w:p>
        </w:tc>
        <w:tc>
          <w:tcPr>
            <w:tcW w:w="375" w:type="pct"/>
            <w:shd w:val="clear" w:color="auto" w:fill="FFFFFF"/>
          </w:tcPr>
          <w:p w:rsidR="00DD7BA9" w:rsidRPr="00CC3F44" w:rsidRDefault="00DD7BA9" w:rsidP="00547ACE">
            <w:pPr>
              <w:jc w:val="center"/>
            </w:pPr>
            <w:r w:rsidRPr="00CC3F44">
              <w:rPr>
                <w:rFonts w:cs="Arial"/>
                <w:color w:val="008000"/>
                <w:sz w:val="22"/>
                <w:szCs w:val="22"/>
              </w:rPr>
              <w:sym w:font="Wingdings" w:char="F06C"/>
            </w:r>
          </w:p>
        </w:tc>
      </w:tr>
      <w:tr w:rsidR="00DD7BA9" w:rsidRPr="00AF5E7C" w:rsidTr="00547ACE">
        <w:trPr>
          <w:cantSplit/>
          <w:trHeight w:val="232"/>
        </w:trPr>
        <w:tc>
          <w:tcPr>
            <w:tcW w:w="1541" w:type="pct"/>
            <w:vMerge/>
            <w:shd w:val="clear" w:color="auto" w:fill="auto"/>
            <w:tcMar>
              <w:top w:w="113" w:type="dxa"/>
              <w:bottom w:w="85" w:type="dxa"/>
            </w:tcMar>
          </w:tcPr>
          <w:p w:rsidR="00DD7BA9" w:rsidRPr="00AF5E7C" w:rsidRDefault="00DD7BA9" w:rsidP="00547ACE">
            <w:pPr>
              <w:rPr>
                <w:rFonts w:cs="Arial"/>
                <w:sz w:val="16"/>
                <w:szCs w:val="16"/>
              </w:rPr>
            </w:pPr>
          </w:p>
        </w:tc>
        <w:tc>
          <w:tcPr>
            <w:tcW w:w="2160" w:type="pct"/>
            <w:vMerge w:val="restart"/>
            <w:shd w:val="clear" w:color="auto" w:fill="auto"/>
            <w:tcMar>
              <w:top w:w="113" w:type="dxa"/>
              <w:bottom w:w="85" w:type="dxa"/>
            </w:tcMar>
          </w:tcPr>
          <w:p w:rsidR="00DD7BA9" w:rsidRPr="00512DF2" w:rsidRDefault="00DD7BA9" w:rsidP="00547ACE">
            <w:pPr>
              <w:rPr>
                <w:rFonts w:cs="Arial"/>
                <w:sz w:val="16"/>
                <w:szCs w:val="16"/>
              </w:rPr>
            </w:pPr>
            <w:r w:rsidRPr="00512DF2">
              <w:rPr>
                <w:rFonts w:cs="Arial"/>
                <w:sz w:val="16"/>
                <w:szCs w:val="16"/>
              </w:rPr>
              <w:t>Customer/stakeholder satisfaction rate</w:t>
            </w:r>
          </w:p>
        </w:tc>
        <w:tc>
          <w:tcPr>
            <w:tcW w:w="924" w:type="pct"/>
            <w:shd w:val="clear" w:color="auto" w:fill="FFFFFF"/>
            <w:tcMar>
              <w:top w:w="113" w:type="dxa"/>
              <w:bottom w:w="85" w:type="dxa"/>
            </w:tcMar>
          </w:tcPr>
          <w:p w:rsidR="00DD7BA9" w:rsidRPr="00AF5E7C" w:rsidRDefault="00DD7BA9" w:rsidP="00547ACE">
            <w:pPr>
              <w:jc w:val="center"/>
              <w:rPr>
                <w:rFonts w:cs="Arial"/>
                <w:sz w:val="16"/>
                <w:szCs w:val="16"/>
                <w:lang w:bidi="th-TH"/>
              </w:rPr>
            </w:pPr>
            <w:r>
              <w:rPr>
                <w:rFonts w:cs="Arial"/>
                <w:sz w:val="16"/>
                <w:szCs w:val="16"/>
                <w:lang w:bidi="th-TH"/>
              </w:rPr>
              <w:t>Program 19</w:t>
            </w:r>
          </w:p>
        </w:tc>
        <w:tc>
          <w:tcPr>
            <w:tcW w:w="375" w:type="pct"/>
            <w:shd w:val="clear" w:color="auto" w:fill="FFFFFF"/>
          </w:tcPr>
          <w:p w:rsidR="00DD7BA9" w:rsidRPr="00CC3F44" w:rsidRDefault="00DD7BA9" w:rsidP="00547ACE">
            <w:pPr>
              <w:jc w:val="center"/>
              <w:rPr>
                <w:rFonts w:cs="Arial"/>
                <w:color w:val="A6A6A6" w:themeColor="background1" w:themeShade="A6"/>
                <w:sz w:val="22"/>
                <w:szCs w:val="22"/>
              </w:rPr>
            </w:pPr>
            <w:r w:rsidRPr="00CC3F44">
              <w:rPr>
                <w:rFonts w:cs="Arial"/>
                <w:color w:val="008000"/>
                <w:sz w:val="22"/>
                <w:szCs w:val="22"/>
              </w:rPr>
              <w:sym w:font="Wingdings" w:char="F06C"/>
            </w:r>
            <w:r w:rsidRPr="00CC3F44">
              <w:rPr>
                <w:rFonts w:cs="Arial"/>
                <w:color w:val="008000"/>
                <w:sz w:val="22"/>
                <w:szCs w:val="22"/>
              </w:rPr>
              <w:sym w:font="Wingdings" w:char="F06C"/>
            </w:r>
            <w:r w:rsidRPr="00CC3F44">
              <w:rPr>
                <w:rFonts w:cs="Arial"/>
                <w:color w:val="A6A6A6" w:themeColor="background1" w:themeShade="A6"/>
                <w:sz w:val="22"/>
                <w:szCs w:val="22"/>
              </w:rPr>
              <w:sym w:font="Wingdings" w:char="F06C"/>
            </w:r>
          </w:p>
        </w:tc>
      </w:tr>
      <w:tr w:rsidR="00DD7BA9" w:rsidRPr="00AF5E7C" w:rsidTr="00547ACE">
        <w:trPr>
          <w:cantSplit/>
          <w:trHeight w:val="231"/>
        </w:trPr>
        <w:tc>
          <w:tcPr>
            <w:tcW w:w="1541" w:type="pct"/>
            <w:vMerge/>
            <w:shd w:val="clear" w:color="auto" w:fill="auto"/>
            <w:tcMar>
              <w:top w:w="113" w:type="dxa"/>
              <w:bottom w:w="85" w:type="dxa"/>
            </w:tcMar>
          </w:tcPr>
          <w:p w:rsidR="00DD7BA9" w:rsidRPr="00AF5E7C" w:rsidRDefault="00DD7BA9" w:rsidP="00547ACE">
            <w:pPr>
              <w:rPr>
                <w:rFonts w:cs="Arial"/>
                <w:sz w:val="16"/>
                <w:szCs w:val="16"/>
              </w:rPr>
            </w:pPr>
          </w:p>
        </w:tc>
        <w:tc>
          <w:tcPr>
            <w:tcW w:w="2160" w:type="pct"/>
            <w:vMerge/>
            <w:shd w:val="clear" w:color="auto" w:fill="auto"/>
            <w:tcMar>
              <w:top w:w="113" w:type="dxa"/>
              <w:bottom w:w="85" w:type="dxa"/>
            </w:tcMar>
          </w:tcPr>
          <w:p w:rsidR="00DD7BA9" w:rsidRPr="00512DF2" w:rsidRDefault="00DD7BA9" w:rsidP="00547ACE">
            <w:pPr>
              <w:rPr>
                <w:rFonts w:cs="Arial"/>
                <w:sz w:val="16"/>
                <w:szCs w:val="16"/>
              </w:rPr>
            </w:pPr>
          </w:p>
        </w:tc>
        <w:tc>
          <w:tcPr>
            <w:tcW w:w="924" w:type="pct"/>
            <w:shd w:val="clear" w:color="auto" w:fill="FFFFFF"/>
            <w:tcMar>
              <w:top w:w="113" w:type="dxa"/>
              <w:bottom w:w="85" w:type="dxa"/>
            </w:tcMar>
          </w:tcPr>
          <w:p w:rsidR="00DD7BA9" w:rsidRDefault="00DD7BA9" w:rsidP="00547ACE">
            <w:pPr>
              <w:jc w:val="center"/>
              <w:rPr>
                <w:rFonts w:cs="Arial"/>
                <w:sz w:val="16"/>
                <w:szCs w:val="16"/>
                <w:lang w:bidi="th-TH"/>
              </w:rPr>
            </w:pPr>
            <w:r>
              <w:rPr>
                <w:rFonts w:cs="Arial"/>
                <w:sz w:val="16"/>
                <w:szCs w:val="16"/>
                <w:lang w:bidi="th-TH"/>
              </w:rPr>
              <w:t>Program 20</w:t>
            </w:r>
          </w:p>
        </w:tc>
        <w:tc>
          <w:tcPr>
            <w:tcW w:w="375" w:type="pct"/>
            <w:shd w:val="clear" w:color="auto" w:fill="FFFFFF"/>
          </w:tcPr>
          <w:p w:rsidR="00DD7BA9" w:rsidRPr="00CC3F44" w:rsidRDefault="00DD7BA9" w:rsidP="00547ACE">
            <w:pPr>
              <w:jc w:val="center"/>
              <w:rPr>
                <w:rFonts w:cs="Arial"/>
                <w:color w:val="A6A6A6" w:themeColor="background1" w:themeShade="A6"/>
                <w:sz w:val="22"/>
                <w:szCs w:val="22"/>
              </w:rPr>
            </w:pPr>
            <w:r w:rsidRPr="00CC3F44">
              <w:rPr>
                <w:rFonts w:cs="Arial"/>
                <w:color w:val="A6A6A6" w:themeColor="background1" w:themeShade="A6"/>
                <w:sz w:val="22"/>
                <w:szCs w:val="22"/>
              </w:rPr>
              <w:sym w:font="Wingdings" w:char="F06C"/>
            </w:r>
            <w:r w:rsidRPr="00CC3F44">
              <w:rPr>
                <w:rFonts w:cs="Arial"/>
                <w:color w:val="A6A6A6" w:themeColor="background1" w:themeShade="A6"/>
                <w:sz w:val="22"/>
                <w:szCs w:val="22"/>
              </w:rPr>
              <w:sym w:font="Wingdings" w:char="F06C"/>
            </w:r>
            <w:r w:rsidRPr="00CC3F44">
              <w:rPr>
                <w:rFonts w:cs="Arial"/>
                <w:color w:val="008000"/>
                <w:sz w:val="22"/>
                <w:szCs w:val="22"/>
              </w:rPr>
              <w:sym w:font="Wingdings" w:char="F06C"/>
            </w:r>
          </w:p>
        </w:tc>
      </w:tr>
      <w:tr w:rsidR="00DD7BA9" w:rsidRPr="00AF5E7C" w:rsidTr="00547ACE">
        <w:trPr>
          <w:cantSplit/>
          <w:trHeight w:val="317"/>
        </w:trPr>
        <w:tc>
          <w:tcPr>
            <w:tcW w:w="1541" w:type="pct"/>
            <w:shd w:val="clear" w:color="auto" w:fill="auto"/>
            <w:tcMar>
              <w:top w:w="113" w:type="dxa"/>
              <w:bottom w:w="85" w:type="dxa"/>
            </w:tcMar>
          </w:tcPr>
          <w:p w:rsidR="00DD7BA9" w:rsidRPr="00AF5E7C" w:rsidRDefault="00DD7BA9" w:rsidP="00547ACE">
            <w:pPr>
              <w:rPr>
                <w:rFonts w:cs="Arial"/>
                <w:sz w:val="16"/>
                <w:szCs w:val="16"/>
              </w:rPr>
            </w:pPr>
          </w:p>
        </w:tc>
        <w:tc>
          <w:tcPr>
            <w:tcW w:w="2160" w:type="pct"/>
            <w:shd w:val="clear" w:color="auto" w:fill="auto"/>
            <w:tcMar>
              <w:top w:w="113" w:type="dxa"/>
              <w:bottom w:w="85" w:type="dxa"/>
            </w:tcMar>
          </w:tcPr>
          <w:p w:rsidR="00DD7BA9" w:rsidRPr="00512DF2" w:rsidRDefault="00DD7BA9" w:rsidP="00547ACE">
            <w:pPr>
              <w:rPr>
                <w:rFonts w:cs="Arial"/>
                <w:sz w:val="16"/>
                <w:szCs w:val="16"/>
              </w:rPr>
            </w:pPr>
            <w:r w:rsidRPr="00512DF2">
              <w:rPr>
                <w:rFonts w:cs="Arial"/>
                <w:sz w:val="16"/>
                <w:szCs w:val="16"/>
              </w:rPr>
              <w:t>Service Standards targets as defined on WIPO website</w:t>
            </w:r>
          </w:p>
        </w:tc>
        <w:tc>
          <w:tcPr>
            <w:tcW w:w="924" w:type="pct"/>
            <w:shd w:val="clear" w:color="auto" w:fill="FFFFFF"/>
            <w:tcMar>
              <w:top w:w="113" w:type="dxa"/>
              <w:bottom w:w="85" w:type="dxa"/>
            </w:tcMar>
          </w:tcPr>
          <w:p w:rsidR="00DD7BA9" w:rsidRPr="00AF5E7C" w:rsidRDefault="00DD7BA9" w:rsidP="00547ACE">
            <w:pPr>
              <w:jc w:val="center"/>
              <w:rPr>
                <w:rFonts w:cs="Arial"/>
                <w:sz w:val="16"/>
                <w:szCs w:val="16"/>
                <w:lang w:bidi="th-TH"/>
              </w:rPr>
            </w:pPr>
            <w:r>
              <w:rPr>
                <w:rFonts w:cs="Arial"/>
                <w:sz w:val="16"/>
                <w:szCs w:val="16"/>
                <w:lang w:bidi="th-TH"/>
              </w:rPr>
              <w:t>Program 19</w:t>
            </w:r>
          </w:p>
        </w:tc>
        <w:tc>
          <w:tcPr>
            <w:tcW w:w="375" w:type="pct"/>
            <w:shd w:val="clear" w:color="auto" w:fill="FFFFFF"/>
          </w:tcPr>
          <w:p w:rsidR="00DD7BA9" w:rsidRPr="00CC3F44" w:rsidRDefault="00DD7BA9" w:rsidP="00547ACE">
            <w:pPr>
              <w:jc w:val="center"/>
              <w:rPr>
                <w:rFonts w:cs="Arial"/>
                <w:color w:val="A6A6A6" w:themeColor="background1" w:themeShade="A6"/>
                <w:sz w:val="22"/>
                <w:szCs w:val="22"/>
              </w:rPr>
            </w:pPr>
            <w:r w:rsidRPr="00CC3F44">
              <w:rPr>
                <w:rFonts w:cs="Arial"/>
                <w:color w:val="008000"/>
                <w:sz w:val="22"/>
                <w:szCs w:val="22"/>
              </w:rPr>
              <w:sym w:font="Wingdings" w:char="F06C"/>
            </w:r>
            <w:r w:rsidRPr="00CC3F44">
              <w:rPr>
                <w:rFonts w:cs="Arial"/>
                <w:color w:val="008000"/>
                <w:sz w:val="22"/>
                <w:szCs w:val="22"/>
              </w:rPr>
              <w:sym w:font="Wingdings" w:char="F06C"/>
            </w:r>
          </w:p>
        </w:tc>
      </w:tr>
      <w:tr w:rsidR="00DD7BA9" w:rsidRPr="00AF5E7C" w:rsidTr="00547ACE">
        <w:trPr>
          <w:cantSplit/>
          <w:trHeight w:val="297"/>
        </w:trPr>
        <w:tc>
          <w:tcPr>
            <w:tcW w:w="1541" w:type="pct"/>
            <w:shd w:val="clear" w:color="auto" w:fill="auto"/>
            <w:tcMar>
              <w:top w:w="113" w:type="dxa"/>
              <w:bottom w:w="85" w:type="dxa"/>
            </w:tcMar>
          </w:tcPr>
          <w:p w:rsidR="00DD7BA9" w:rsidRPr="00AF5E7C" w:rsidRDefault="00DD7BA9" w:rsidP="00547ACE">
            <w:pPr>
              <w:rPr>
                <w:rFonts w:cs="Arial"/>
                <w:sz w:val="16"/>
                <w:szCs w:val="16"/>
              </w:rPr>
            </w:pPr>
          </w:p>
        </w:tc>
        <w:tc>
          <w:tcPr>
            <w:tcW w:w="2160" w:type="pct"/>
            <w:shd w:val="clear" w:color="auto" w:fill="auto"/>
            <w:tcMar>
              <w:top w:w="113" w:type="dxa"/>
              <w:bottom w:w="85" w:type="dxa"/>
            </w:tcMar>
          </w:tcPr>
          <w:p w:rsidR="00DD7BA9" w:rsidRPr="00AF5E7C" w:rsidRDefault="00DD7BA9" w:rsidP="00547ACE">
            <w:pPr>
              <w:rPr>
                <w:rFonts w:cs="Arial"/>
                <w:sz w:val="16"/>
                <w:szCs w:val="16"/>
              </w:rPr>
            </w:pPr>
            <w:r w:rsidRPr="00C43F3D">
              <w:rPr>
                <w:rFonts w:cs="Arial"/>
                <w:sz w:val="16"/>
                <w:szCs w:val="16"/>
              </w:rPr>
              <w:t>Processing time of information inquiries</w:t>
            </w:r>
          </w:p>
        </w:tc>
        <w:tc>
          <w:tcPr>
            <w:tcW w:w="924" w:type="pct"/>
            <w:shd w:val="clear" w:color="auto" w:fill="FFFFFF"/>
            <w:tcMar>
              <w:top w:w="113" w:type="dxa"/>
              <w:bottom w:w="85" w:type="dxa"/>
            </w:tcMar>
          </w:tcPr>
          <w:p w:rsidR="00DD7BA9" w:rsidRPr="00AF5E7C" w:rsidRDefault="00DD7BA9" w:rsidP="00547ACE">
            <w:pPr>
              <w:jc w:val="center"/>
              <w:rPr>
                <w:rFonts w:cs="Arial"/>
                <w:sz w:val="16"/>
                <w:szCs w:val="16"/>
                <w:lang w:bidi="th-TH"/>
              </w:rPr>
            </w:pPr>
            <w:r>
              <w:rPr>
                <w:rFonts w:cs="Arial"/>
                <w:sz w:val="16"/>
                <w:szCs w:val="16"/>
                <w:lang w:bidi="th-TH"/>
              </w:rPr>
              <w:t>Program 20</w:t>
            </w:r>
          </w:p>
        </w:tc>
        <w:tc>
          <w:tcPr>
            <w:tcW w:w="375" w:type="pct"/>
            <w:shd w:val="clear" w:color="auto" w:fill="FFFFFF"/>
          </w:tcPr>
          <w:p w:rsidR="00DD7BA9" w:rsidRPr="00CC3F44" w:rsidRDefault="00DD7BA9" w:rsidP="00547ACE">
            <w:pPr>
              <w:jc w:val="center"/>
            </w:pPr>
            <w:r w:rsidRPr="00CC3F44">
              <w:rPr>
                <w:rFonts w:cs="Arial"/>
                <w:color w:val="A6A6A6" w:themeColor="background1" w:themeShade="A6"/>
                <w:sz w:val="22"/>
                <w:szCs w:val="22"/>
              </w:rPr>
              <w:sym w:font="Wingdings" w:char="F06C"/>
            </w:r>
            <w:r w:rsidRPr="00CC3F44">
              <w:rPr>
                <w:rFonts w:cs="Arial"/>
                <w:color w:val="A6A6A6" w:themeColor="background1" w:themeShade="A6"/>
                <w:sz w:val="22"/>
                <w:szCs w:val="22"/>
              </w:rPr>
              <w:sym w:font="Wingdings" w:char="F06C"/>
            </w:r>
            <w:r w:rsidRPr="00CC3F44">
              <w:rPr>
                <w:rFonts w:cs="Arial"/>
                <w:color w:val="008000"/>
                <w:sz w:val="22"/>
                <w:szCs w:val="22"/>
              </w:rPr>
              <w:sym w:font="Wingdings" w:char="F06C"/>
            </w:r>
          </w:p>
        </w:tc>
      </w:tr>
      <w:tr w:rsidR="00DD7BA9" w:rsidRPr="00AF5E7C" w:rsidTr="00547ACE">
        <w:trPr>
          <w:cantSplit/>
          <w:trHeight w:val="463"/>
        </w:trPr>
        <w:tc>
          <w:tcPr>
            <w:tcW w:w="1541" w:type="pct"/>
            <w:shd w:val="clear" w:color="auto" w:fill="auto"/>
            <w:tcMar>
              <w:top w:w="113" w:type="dxa"/>
              <w:bottom w:w="85" w:type="dxa"/>
            </w:tcMar>
          </w:tcPr>
          <w:p w:rsidR="00DD7BA9" w:rsidRPr="0092679D" w:rsidRDefault="00DD7BA9" w:rsidP="00547ACE">
            <w:pPr>
              <w:rPr>
                <w:rFonts w:cs="Arial"/>
                <w:sz w:val="16"/>
                <w:szCs w:val="16"/>
              </w:rPr>
            </w:pPr>
            <w:r w:rsidRPr="0092679D">
              <w:rPr>
                <w:rFonts w:cs="Arial"/>
                <w:sz w:val="16"/>
                <w:szCs w:val="16"/>
              </w:rPr>
              <w:t>VIII.3</w:t>
            </w:r>
            <w:r>
              <w:rPr>
                <w:rFonts w:cs="Arial"/>
                <w:sz w:val="16"/>
                <w:szCs w:val="16"/>
              </w:rPr>
              <w:t xml:space="preserve"> </w:t>
            </w:r>
            <w:r w:rsidRPr="0092679D">
              <w:rPr>
                <w:rFonts w:cs="Arial"/>
                <w:sz w:val="16"/>
                <w:szCs w:val="16"/>
              </w:rPr>
              <w:t>Effective engagement with Member States</w:t>
            </w:r>
          </w:p>
        </w:tc>
        <w:tc>
          <w:tcPr>
            <w:tcW w:w="2160" w:type="pct"/>
            <w:shd w:val="clear" w:color="auto" w:fill="auto"/>
            <w:tcMar>
              <w:top w:w="113" w:type="dxa"/>
              <w:bottom w:w="85" w:type="dxa"/>
            </w:tcMar>
          </w:tcPr>
          <w:p w:rsidR="00DD7BA9" w:rsidRPr="0092679D" w:rsidRDefault="00DD7BA9" w:rsidP="00547ACE">
            <w:pPr>
              <w:rPr>
                <w:rFonts w:cs="Arial"/>
                <w:sz w:val="16"/>
                <w:szCs w:val="16"/>
              </w:rPr>
            </w:pPr>
            <w:r w:rsidRPr="0092679D">
              <w:rPr>
                <w:rFonts w:cs="Arial"/>
                <w:sz w:val="16"/>
                <w:szCs w:val="16"/>
              </w:rPr>
              <w:t>% of Committee Meetings for which pre-Committee information meetings for Member States are held</w:t>
            </w:r>
          </w:p>
        </w:tc>
        <w:tc>
          <w:tcPr>
            <w:tcW w:w="924" w:type="pct"/>
            <w:shd w:val="clear" w:color="auto" w:fill="FFFFFF"/>
            <w:tcMar>
              <w:top w:w="113" w:type="dxa"/>
              <w:bottom w:w="85" w:type="dxa"/>
            </w:tcMar>
          </w:tcPr>
          <w:p w:rsidR="00DD7BA9" w:rsidRPr="00AF5E7C" w:rsidRDefault="00DD7BA9" w:rsidP="00547ACE">
            <w:pPr>
              <w:jc w:val="center"/>
              <w:rPr>
                <w:rFonts w:cs="Arial"/>
                <w:sz w:val="16"/>
                <w:szCs w:val="16"/>
                <w:lang w:bidi="th-TH"/>
              </w:rPr>
            </w:pPr>
            <w:r>
              <w:rPr>
                <w:rFonts w:cs="Arial"/>
                <w:sz w:val="16"/>
                <w:szCs w:val="16"/>
                <w:lang w:bidi="th-TH"/>
              </w:rPr>
              <w:t>Program 21</w:t>
            </w:r>
          </w:p>
        </w:tc>
        <w:tc>
          <w:tcPr>
            <w:tcW w:w="375" w:type="pct"/>
            <w:shd w:val="clear" w:color="auto" w:fill="FFFFFF"/>
          </w:tcPr>
          <w:p w:rsidR="00DD7BA9" w:rsidRPr="00CC3F44" w:rsidRDefault="00DD7BA9" w:rsidP="00547ACE">
            <w:pPr>
              <w:jc w:val="center"/>
            </w:pPr>
            <w:r w:rsidRPr="00CC3F44">
              <w:rPr>
                <w:rFonts w:cs="Arial"/>
                <w:color w:val="008000"/>
                <w:sz w:val="22"/>
                <w:szCs w:val="22"/>
              </w:rPr>
              <w:sym w:font="Wingdings" w:char="F06C"/>
            </w:r>
          </w:p>
        </w:tc>
      </w:tr>
      <w:tr w:rsidR="00DD7BA9" w:rsidRPr="00AF5E7C" w:rsidTr="00547ACE">
        <w:trPr>
          <w:cantSplit/>
          <w:trHeight w:val="427"/>
        </w:trPr>
        <w:tc>
          <w:tcPr>
            <w:tcW w:w="1541" w:type="pct"/>
            <w:shd w:val="clear" w:color="auto" w:fill="auto"/>
            <w:tcMar>
              <w:top w:w="113" w:type="dxa"/>
              <w:bottom w:w="85" w:type="dxa"/>
            </w:tcMar>
          </w:tcPr>
          <w:p w:rsidR="00DD7BA9" w:rsidRPr="00AF5E7C" w:rsidRDefault="00DD7BA9" w:rsidP="00547ACE">
            <w:pPr>
              <w:rPr>
                <w:rFonts w:cs="Arial"/>
                <w:sz w:val="16"/>
                <w:szCs w:val="16"/>
              </w:rPr>
            </w:pPr>
          </w:p>
        </w:tc>
        <w:tc>
          <w:tcPr>
            <w:tcW w:w="2160" w:type="pct"/>
            <w:shd w:val="clear" w:color="auto" w:fill="auto"/>
            <w:tcMar>
              <w:top w:w="113" w:type="dxa"/>
              <w:bottom w:w="85" w:type="dxa"/>
            </w:tcMar>
          </w:tcPr>
          <w:p w:rsidR="00DD7BA9" w:rsidRPr="0092679D" w:rsidRDefault="00DD7BA9" w:rsidP="00547ACE">
            <w:pPr>
              <w:rPr>
                <w:rFonts w:cs="Arial"/>
                <w:sz w:val="16"/>
                <w:szCs w:val="16"/>
              </w:rPr>
            </w:pPr>
            <w:r w:rsidRPr="0092679D">
              <w:rPr>
                <w:rFonts w:cs="Arial"/>
                <w:sz w:val="16"/>
                <w:szCs w:val="16"/>
              </w:rPr>
              <w:t>% of letters to the DG from Member States are responded to within 2 weeks</w:t>
            </w:r>
          </w:p>
        </w:tc>
        <w:tc>
          <w:tcPr>
            <w:tcW w:w="924" w:type="pct"/>
            <w:shd w:val="clear" w:color="auto" w:fill="FFFFFF"/>
            <w:tcMar>
              <w:top w:w="113" w:type="dxa"/>
              <w:bottom w:w="85" w:type="dxa"/>
            </w:tcMar>
          </w:tcPr>
          <w:p w:rsidR="00DD7BA9" w:rsidRPr="00AF5E7C" w:rsidRDefault="00DD7BA9" w:rsidP="00547ACE">
            <w:pPr>
              <w:jc w:val="center"/>
              <w:rPr>
                <w:rFonts w:cs="Arial"/>
                <w:sz w:val="16"/>
                <w:szCs w:val="16"/>
                <w:lang w:bidi="th-TH"/>
              </w:rPr>
            </w:pPr>
            <w:r>
              <w:rPr>
                <w:rFonts w:cs="Arial"/>
                <w:sz w:val="16"/>
                <w:szCs w:val="16"/>
                <w:lang w:bidi="th-TH"/>
              </w:rPr>
              <w:t>Program 21</w:t>
            </w:r>
          </w:p>
        </w:tc>
        <w:tc>
          <w:tcPr>
            <w:tcW w:w="375" w:type="pct"/>
            <w:shd w:val="clear" w:color="auto" w:fill="FFFFFF"/>
          </w:tcPr>
          <w:p w:rsidR="00DD7BA9" w:rsidRPr="00CC3F44" w:rsidRDefault="00DD7BA9" w:rsidP="00547ACE">
            <w:pPr>
              <w:jc w:val="center"/>
              <w:rPr>
                <w:rFonts w:cs="Arial"/>
                <w:color w:val="A6A6A6" w:themeColor="background1" w:themeShade="A6"/>
                <w:sz w:val="22"/>
                <w:szCs w:val="22"/>
              </w:rPr>
            </w:pPr>
            <w:r w:rsidRPr="00CC3F44">
              <w:rPr>
                <w:rFonts w:cs="Arial"/>
                <w:color w:val="008000"/>
                <w:sz w:val="22"/>
                <w:szCs w:val="22"/>
              </w:rPr>
              <w:sym w:font="Wingdings" w:char="F06C"/>
            </w:r>
          </w:p>
        </w:tc>
      </w:tr>
      <w:tr w:rsidR="00DD7BA9" w:rsidRPr="00AF5E7C" w:rsidTr="00547ACE">
        <w:trPr>
          <w:cantSplit/>
          <w:trHeight w:val="535"/>
        </w:trPr>
        <w:tc>
          <w:tcPr>
            <w:tcW w:w="1541" w:type="pct"/>
            <w:shd w:val="clear" w:color="auto" w:fill="auto"/>
            <w:tcMar>
              <w:top w:w="113" w:type="dxa"/>
              <w:bottom w:w="85" w:type="dxa"/>
            </w:tcMar>
          </w:tcPr>
          <w:p w:rsidR="00DD7BA9" w:rsidRPr="00AF5E7C" w:rsidRDefault="00DD7BA9" w:rsidP="00547ACE">
            <w:pPr>
              <w:rPr>
                <w:rFonts w:cs="Arial"/>
                <w:sz w:val="16"/>
                <w:szCs w:val="16"/>
              </w:rPr>
            </w:pPr>
          </w:p>
        </w:tc>
        <w:tc>
          <w:tcPr>
            <w:tcW w:w="2160" w:type="pct"/>
            <w:shd w:val="clear" w:color="auto" w:fill="auto"/>
            <w:tcMar>
              <w:top w:w="113" w:type="dxa"/>
              <w:bottom w:w="85" w:type="dxa"/>
            </w:tcMar>
          </w:tcPr>
          <w:p w:rsidR="00DD7BA9" w:rsidRPr="00D81234" w:rsidRDefault="00DD7BA9" w:rsidP="00547ACE">
            <w:pPr>
              <w:rPr>
                <w:rFonts w:cs="Arial"/>
                <w:sz w:val="16"/>
                <w:szCs w:val="16"/>
              </w:rPr>
            </w:pPr>
            <w:r w:rsidRPr="00D81234">
              <w:rPr>
                <w:rFonts w:cs="Arial"/>
                <w:sz w:val="16"/>
                <w:szCs w:val="16"/>
              </w:rPr>
              <w:t>% of adherence and other WIPO Treaty-related actions by Member States processed in a timely manner</w:t>
            </w:r>
          </w:p>
        </w:tc>
        <w:tc>
          <w:tcPr>
            <w:tcW w:w="924" w:type="pct"/>
            <w:shd w:val="clear" w:color="auto" w:fill="FFFFFF"/>
            <w:tcMar>
              <w:top w:w="113" w:type="dxa"/>
              <w:bottom w:w="85" w:type="dxa"/>
            </w:tcMar>
          </w:tcPr>
          <w:p w:rsidR="00DD7BA9" w:rsidRPr="00AF5E7C" w:rsidRDefault="00DD7BA9" w:rsidP="00547ACE">
            <w:pPr>
              <w:jc w:val="center"/>
              <w:rPr>
                <w:rFonts w:cs="Arial"/>
                <w:sz w:val="16"/>
                <w:szCs w:val="16"/>
                <w:lang w:bidi="th-TH"/>
              </w:rPr>
            </w:pPr>
            <w:r>
              <w:rPr>
                <w:rFonts w:cs="Arial"/>
                <w:sz w:val="16"/>
                <w:szCs w:val="16"/>
                <w:lang w:bidi="th-TH"/>
              </w:rPr>
              <w:t>Program 21</w:t>
            </w:r>
          </w:p>
        </w:tc>
        <w:tc>
          <w:tcPr>
            <w:tcW w:w="375" w:type="pct"/>
            <w:shd w:val="clear" w:color="auto" w:fill="FFFFFF"/>
          </w:tcPr>
          <w:p w:rsidR="00DD7BA9" w:rsidRPr="00CC3F44" w:rsidRDefault="00DD7BA9" w:rsidP="00547ACE">
            <w:pPr>
              <w:jc w:val="center"/>
            </w:pPr>
            <w:r w:rsidRPr="00CC3F44">
              <w:rPr>
                <w:rFonts w:cs="Arial"/>
                <w:color w:val="008000"/>
                <w:sz w:val="22"/>
                <w:szCs w:val="22"/>
              </w:rPr>
              <w:sym w:font="Wingdings" w:char="F06C"/>
            </w:r>
          </w:p>
        </w:tc>
      </w:tr>
      <w:tr w:rsidR="00DD7BA9" w:rsidRPr="00AF5E7C" w:rsidTr="00547ACE">
        <w:trPr>
          <w:cantSplit/>
          <w:trHeight w:val="409"/>
        </w:trPr>
        <w:tc>
          <w:tcPr>
            <w:tcW w:w="1541" w:type="pct"/>
            <w:shd w:val="clear" w:color="auto" w:fill="auto"/>
            <w:tcMar>
              <w:top w:w="113" w:type="dxa"/>
              <w:bottom w:w="85" w:type="dxa"/>
            </w:tcMar>
          </w:tcPr>
          <w:p w:rsidR="00DD7BA9" w:rsidRPr="00AF5E7C" w:rsidRDefault="00DD7BA9" w:rsidP="00547ACE">
            <w:pPr>
              <w:rPr>
                <w:rFonts w:cs="Arial"/>
                <w:sz w:val="16"/>
                <w:szCs w:val="16"/>
              </w:rPr>
            </w:pPr>
          </w:p>
        </w:tc>
        <w:tc>
          <w:tcPr>
            <w:tcW w:w="2160" w:type="pct"/>
            <w:shd w:val="clear" w:color="auto" w:fill="auto"/>
            <w:tcMar>
              <w:top w:w="113" w:type="dxa"/>
              <w:bottom w:w="85" w:type="dxa"/>
            </w:tcMar>
          </w:tcPr>
          <w:p w:rsidR="00DD7BA9" w:rsidRPr="00970B2F" w:rsidRDefault="00DD7BA9" w:rsidP="00547ACE">
            <w:pPr>
              <w:rPr>
                <w:rFonts w:cs="Arial"/>
                <w:sz w:val="16"/>
                <w:szCs w:val="16"/>
              </w:rPr>
            </w:pPr>
            <w:r w:rsidRPr="00970B2F">
              <w:rPr>
                <w:rFonts w:cs="Arial"/>
                <w:sz w:val="16"/>
                <w:szCs w:val="16"/>
              </w:rPr>
              <w:t>Member States satisfaction levels with the preparation and functioning of the Assemblies</w:t>
            </w:r>
          </w:p>
        </w:tc>
        <w:tc>
          <w:tcPr>
            <w:tcW w:w="924" w:type="pct"/>
            <w:shd w:val="clear" w:color="auto" w:fill="FFFFFF"/>
            <w:tcMar>
              <w:top w:w="113" w:type="dxa"/>
              <w:bottom w:w="85" w:type="dxa"/>
            </w:tcMar>
          </w:tcPr>
          <w:p w:rsidR="00DD7BA9" w:rsidRPr="00AF5E7C" w:rsidRDefault="00DD7BA9" w:rsidP="00547ACE">
            <w:pPr>
              <w:jc w:val="center"/>
              <w:rPr>
                <w:rFonts w:cs="Arial"/>
                <w:sz w:val="16"/>
                <w:szCs w:val="16"/>
                <w:lang w:bidi="th-TH"/>
              </w:rPr>
            </w:pPr>
            <w:r>
              <w:rPr>
                <w:rFonts w:cs="Arial"/>
                <w:sz w:val="16"/>
                <w:szCs w:val="16"/>
                <w:lang w:bidi="th-TH"/>
              </w:rPr>
              <w:t>Program 21</w:t>
            </w:r>
          </w:p>
        </w:tc>
        <w:tc>
          <w:tcPr>
            <w:tcW w:w="375" w:type="pct"/>
            <w:shd w:val="clear" w:color="auto" w:fill="FFFFFF"/>
          </w:tcPr>
          <w:p w:rsidR="00DD7BA9" w:rsidRPr="00CC3F44" w:rsidRDefault="00DD7BA9" w:rsidP="00547ACE">
            <w:pPr>
              <w:jc w:val="center"/>
            </w:pPr>
            <w:r w:rsidRPr="00CC3F44">
              <w:rPr>
                <w:rFonts w:cs="Arial"/>
                <w:color w:val="008000"/>
                <w:sz w:val="22"/>
                <w:szCs w:val="22"/>
              </w:rPr>
              <w:sym w:font="Wingdings" w:char="F06C"/>
            </w:r>
          </w:p>
        </w:tc>
      </w:tr>
      <w:tr w:rsidR="00DD7BA9" w:rsidRPr="00AF5E7C" w:rsidTr="00547ACE">
        <w:trPr>
          <w:cantSplit/>
          <w:trHeight w:val="337"/>
        </w:trPr>
        <w:tc>
          <w:tcPr>
            <w:tcW w:w="1541" w:type="pct"/>
            <w:shd w:val="clear" w:color="auto" w:fill="auto"/>
            <w:tcMar>
              <w:top w:w="113" w:type="dxa"/>
              <w:bottom w:w="85" w:type="dxa"/>
            </w:tcMar>
          </w:tcPr>
          <w:p w:rsidR="00DD7BA9" w:rsidRPr="00AF5E7C" w:rsidRDefault="00DD7BA9" w:rsidP="00547ACE">
            <w:pPr>
              <w:rPr>
                <w:rFonts w:cs="Arial"/>
                <w:sz w:val="16"/>
                <w:szCs w:val="16"/>
              </w:rPr>
            </w:pPr>
          </w:p>
        </w:tc>
        <w:tc>
          <w:tcPr>
            <w:tcW w:w="2160" w:type="pct"/>
            <w:shd w:val="clear" w:color="auto" w:fill="auto"/>
            <w:tcMar>
              <w:top w:w="113" w:type="dxa"/>
              <w:bottom w:w="85" w:type="dxa"/>
            </w:tcMar>
          </w:tcPr>
          <w:p w:rsidR="00DD7BA9" w:rsidRPr="00970B2F" w:rsidRDefault="00DD7BA9" w:rsidP="00547ACE">
            <w:pPr>
              <w:rPr>
                <w:rFonts w:cs="Arial"/>
                <w:sz w:val="16"/>
                <w:szCs w:val="16"/>
              </w:rPr>
            </w:pPr>
            <w:r w:rsidRPr="00970B2F">
              <w:rPr>
                <w:rFonts w:cs="Arial"/>
                <w:sz w:val="16"/>
                <w:szCs w:val="16"/>
              </w:rPr>
              <w:t>Timeliness of publication of Assemblies documents</w:t>
            </w:r>
          </w:p>
        </w:tc>
        <w:tc>
          <w:tcPr>
            <w:tcW w:w="924" w:type="pct"/>
            <w:shd w:val="clear" w:color="auto" w:fill="FFFFFF"/>
            <w:tcMar>
              <w:top w:w="113" w:type="dxa"/>
              <w:bottom w:w="85" w:type="dxa"/>
            </w:tcMar>
          </w:tcPr>
          <w:p w:rsidR="00DD7BA9" w:rsidRPr="00AF5E7C" w:rsidRDefault="00DD7BA9" w:rsidP="00547ACE">
            <w:pPr>
              <w:jc w:val="center"/>
              <w:rPr>
                <w:rFonts w:cs="Arial"/>
                <w:sz w:val="16"/>
                <w:szCs w:val="16"/>
                <w:lang w:bidi="th-TH"/>
              </w:rPr>
            </w:pPr>
            <w:r>
              <w:rPr>
                <w:rFonts w:cs="Arial"/>
                <w:sz w:val="16"/>
                <w:szCs w:val="16"/>
                <w:lang w:bidi="th-TH"/>
              </w:rPr>
              <w:t>Program 21</w:t>
            </w:r>
          </w:p>
        </w:tc>
        <w:tc>
          <w:tcPr>
            <w:tcW w:w="375" w:type="pct"/>
            <w:shd w:val="clear" w:color="auto" w:fill="FFFFFF"/>
          </w:tcPr>
          <w:p w:rsidR="00DD7BA9" w:rsidRPr="00CC3F44" w:rsidRDefault="00DD7BA9" w:rsidP="00547ACE">
            <w:pPr>
              <w:jc w:val="center"/>
              <w:rPr>
                <w:rFonts w:cs="Arial"/>
                <w:color w:val="A6A6A6" w:themeColor="background1" w:themeShade="A6"/>
                <w:sz w:val="22"/>
                <w:szCs w:val="22"/>
              </w:rPr>
            </w:pPr>
            <w:r w:rsidRPr="00CC3F44">
              <w:rPr>
                <w:rFonts w:cs="Arial"/>
                <w:color w:val="008000"/>
                <w:sz w:val="22"/>
                <w:szCs w:val="22"/>
              </w:rPr>
              <w:sym w:font="Wingdings" w:char="F06C"/>
            </w:r>
          </w:p>
        </w:tc>
      </w:tr>
      <w:tr w:rsidR="00DD7BA9" w:rsidRPr="00AF5E7C" w:rsidTr="00547ACE">
        <w:trPr>
          <w:cantSplit/>
          <w:trHeight w:val="522"/>
        </w:trPr>
        <w:tc>
          <w:tcPr>
            <w:tcW w:w="1541" w:type="pct"/>
            <w:shd w:val="clear" w:color="auto" w:fill="auto"/>
            <w:tcMar>
              <w:top w:w="113" w:type="dxa"/>
              <w:bottom w:w="85" w:type="dxa"/>
            </w:tcMar>
          </w:tcPr>
          <w:p w:rsidR="00DD7BA9" w:rsidRPr="00DF155F" w:rsidRDefault="00DD7BA9" w:rsidP="00547ACE">
            <w:pPr>
              <w:rPr>
                <w:rFonts w:cs="Arial"/>
                <w:sz w:val="16"/>
                <w:szCs w:val="16"/>
              </w:rPr>
            </w:pPr>
            <w:r w:rsidRPr="00DF155F">
              <w:rPr>
                <w:rFonts w:cs="Arial"/>
                <w:sz w:val="16"/>
                <w:szCs w:val="16"/>
              </w:rPr>
              <w:t>VIII.4</w:t>
            </w:r>
            <w:r>
              <w:rPr>
                <w:rFonts w:cs="Arial"/>
                <w:sz w:val="16"/>
                <w:szCs w:val="16"/>
              </w:rPr>
              <w:t xml:space="preserve">  </w:t>
            </w:r>
            <w:r w:rsidRPr="00DF155F">
              <w:rPr>
                <w:rFonts w:cs="Arial"/>
                <w:sz w:val="16"/>
                <w:szCs w:val="16"/>
              </w:rPr>
              <w:t>Open, transparent and responsive interaction with non-governmental stakeholders</w:t>
            </w:r>
          </w:p>
        </w:tc>
        <w:tc>
          <w:tcPr>
            <w:tcW w:w="2160" w:type="pct"/>
            <w:shd w:val="clear" w:color="auto" w:fill="auto"/>
            <w:tcMar>
              <w:top w:w="113" w:type="dxa"/>
              <w:bottom w:w="85" w:type="dxa"/>
            </w:tcMar>
          </w:tcPr>
          <w:p w:rsidR="00DD7BA9" w:rsidRPr="00DF155F" w:rsidRDefault="00DD7BA9" w:rsidP="00547ACE">
            <w:pPr>
              <w:rPr>
                <w:rFonts w:cs="Arial"/>
                <w:sz w:val="16"/>
                <w:szCs w:val="16"/>
              </w:rPr>
            </w:pPr>
            <w:r w:rsidRPr="00DF155F">
              <w:rPr>
                <w:rFonts w:cs="Arial"/>
                <w:sz w:val="16"/>
                <w:szCs w:val="16"/>
              </w:rPr>
              <w:t>Increased, effective engagement of non-governmental stakeholders at WIPO events and vice-versa</w:t>
            </w:r>
          </w:p>
        </w:tc>
        <w:tc>
          <w:tcPr>
            <w:tcW w:w="924" w:type="pct"/>
            <w:shd w:val="clear" w:color="auto" w:fill="FFFFFF"/>
            <w:tcMar>
              <w:top w:w="113" w:type="dxa"/>
              <w:bottom w:w="85" w:type="dxa"/>
            </w:tcMar>
          </w:tcPr>
          <w:p w:rsidR="00DD7BA9" w:rsidRPr="00AF5E7C" w:rsidRDefault="00DD7BA9" w:rsidP="00547ACE">
            <w:pPr>
              <w:jc w:val="center"/>
              <w:rPr>
                <w:rFonts w:cs="Arial"/>
                <w:sz w:val="16"/>
                <w:szCs w:val="16"/>
                <w:lang w:bidi="th-TH"/>
              </w:rPr>
            </w:pPr>
            <w:r>
              <w:rPr>
                <w:rFonts w:cs="Arial"/>
                <w:sz w:val="16"/>
                <w:szCs w:val="16"/>
                <w:lang w:bidi="th-TH"/>
              </w:rPr>
              <w:t>Program 20</w:t>
            </w:r>
          </w:p>
        </w:tc>
        <w:tc>
          <w:tcPr>
            <w:tcW w:w="375" w:type="pct"/>
            <w:shd w:val="clear" w:color="auto" w:fill="FFFFFF"/>
          </w:tcPr>
          <w:p w:rsidR="00DD7BA9" w:rsidRPr="00CC3F44" w:rsidRDefault="00DD7BA9" w:rsidP="00547ACE">
            <w:pPr>
              <w:jc w:val="center"/>
            </w:pPr>
            <w:r w:rsidRPr="00CC3F44">
              <w:rPr>
                <w:rFonts w:cs="Arial"/>
                <w:color w:val="008000"/>
                <w:sz w:val="22"/>
                <w:szCs w:val="22"/>
              </w:rPr>
              <w:sym w:font="Wingdings" w:char="F06C"/>
            </w:r>
          </w:p>
        </w:tc>
      </w:tr>
      <w:tr w:rsidR="00DD7BA9" w:rsidRPr="00AF5E7C" w:rsidTr="00547ACE">
        <w:trPr>
          <w:cantSplit/>
          <w:trHeight w:val="537"/>
        </w:trPr>
        <w:tc>
          <w:tcPr>
            <w:tcW w:w="1541" w:type="pct"/>
            <w:shd w:val="clear" w:color="auto" w:fill="auto"/>
            <w:tcMar>
              <w:top w:w="113" w:type="dxa"/>
              <w:bottom w:w="85" w:type="dxa"/>
            </w:tcMar>
          </w:tcPr>
          <w:p w:rsidR="00DD7BA9" w:rsidRPr="00DF155F" w:rsidRDefault="00DD7BA9" w:rsidP="00547ACE">
            <w:pPr>
              <w:rPr>
                <w:rFonts w:cs="Arial"/>
                <w:sz w:val="16"/>
                <w:szCs w:val="16"/>
              </w:rPr>
            </w:pPr>
            <w:r w:rsidRPr="00DF155F">
              <w:rPr>
                <w:rFonts w:cs="Arial"/>
                <w:sz w:val="16"/>
                <w:szCs w:val="16"/>
              </w:rPr>
              <w:t>VIII.5</w:t>
            </w:r>
            <w:r>
              <w:rPr>
                <w:rFonts w:cs="Arial"/>
                <w:sz w:val="16"/>
                <w:szCs w:val="16"/>
              </w:rPr>
              <w:t xml:space="preserve"> </w:t>
            </w:r>
            <w:r w:rsidRPr="00DF155F">
              <w:rPr>
                <w:rFonts w:cs="Arial"/>
                <w:sz w:val="16"/>
                <w:szCs w:val="16"/>
              </w:rPr>
              <w:t xml:space="preserve"> WIPO effectively interacts and partners with UN and other IGO processes and negotiations</w:t>
            </w:r>
          </w:p>
        </w:tc>
        <w:tc>
          <w:tcPr>
            <w:tcW w:w="2160" w:type="pct"/>
            <w:shd w:val="clear" w:color="auto" w:fill="auto"/>
            <w:tcMar>
              <w:top w:w="113" w:type="dxa"/>
              <w:bottom w:w="85" w:type="dxa"/>
            </w:tcMar>
          </w:tcPr>
          <w:p w:rsidR="00DD7BA9" w:rsidRPr="00DF155F" w:rsidRDefault="00DD7BA9" w:rsidP="00547ACE">
            <w:pPr>
              <w:rPr>
                <w:rFonts w:cs="Arial"/>
                <w:sz w:val="16"/>
                <w:szCs w:val="16"/>
              </w:rPr>
            </w:pPr>
            <w:r w:rsidRPr="00DF155F">
              <w:rPr>
                <w:rFonts w:cs="Arial"/>
                <w:sz w:val="16"/>
                <w:szCs w:val="16"/>
              </w:rPr>
              <w:t>Use of WIPO's contribution in reports, resolutions and documents from targeted processes</w:t>
            </w:r>
          </w:p>
        </w:tc>
        <w:tc>
          <w:tcPr>
            <w:tcW w:w="924" w:type="pct"/>
            <w:shd w:val="clear" w:color="auto" w:fill="FFFFFF"/>
            <w:tcMar>
              <w:top w:w="113" w:type="dxa"/>
              <w:bottom w:w="85" w:type="dxa"/>
            </w:tcMar>
          </w:tcPr>
          <w:p w:rsidR="00DD7BA9" w:rsidRPr="00AF5E7C" w:rsidRDefault="00DD7BA9" w:rsidP="00547ACE">
            <w:pPr>
              <w:jc w:val="center"/>
              <w:rPr>
                <w:rFonts w:cs="Arial"/>
                <w:sz w:val="16"/>
                <w:szCs w:val="16"/>
                <w:lang w:bidi="th-TH"/>
              </w:rPr>
            </w:pPr>
            <w:r>
              <w:rPr>
                <w:rFonts w:cs="Arial"/>
                <w:sz w:val="16"/>
                <w:szCs w:val="16"/>
                <w:lang w:bidi="th-TH"/>
              </w:rPr>
              <w:t>Program 20</w:t>
            </w:r>
          </w:p>
        </w:tc>
        <w:tc>
          <w:tcPr>
            <w:tcW w:w="375" w:type="pct"/>
            <w:shd w:val="clear" w:color="auto" w:fill="FFFFFF"/>
          </w:tcPr>
          <w:p w:rsidR="00DD7BA9" w:rsidRPr="00CC3F44" w:rsidRDefault="00DD7BA9" w:rsidP="00547ACE">
            <w:pPr>
              <w:jc w:val="center"/>
            </w:pPr>
            <w:r w:rsidRPr="00CC3F44">
              <w:rPr>
                <w:rFonts w:cs="Arial"/>
                <w:color w:val="008000"/>
                <w:sz w:val="22"/>
                <w:szCs w:val="22"/>
              </w:rPr>
              <w:sym w:font="Wingdings" w:char="F06C"/>
            </w:r>
          </w:p>
        </w:tc>
      </w:tr>
      <w:tr w:rsidR="00DD7BA9" w:rsidRPr="00AF5E7C" w:rsidTr="00547ACE">
        <w:trPr>
          <w:cantSplit/>
          <w:trHeight w:val="373"/>
        </w:trPr>
        <w:tc>
          <w:tcPr>
            <w:tcW w:w="1541" w:type="pct"/>
            <w:shd w:val="clear" w:color="auto" w:fill="auto"/>
            <w:tcMar>
              <w:top w:w="113" w:type="dxa"/>
              <w:bottom w:w="85" w:type="dxa"/>
            </w:tcMar>
          </w:tcPr>
          <w:p w:rsidR="00DD7BA9" w:rsidRPr="00AF5E7C" w:rsidRDefault="00DD7BA9" w:rsidP="00547ACE">
            <w:pPr>
              <w:rPr>
                <w:rFonts w:cs="Arial"/>
                <w:sz w:val="16"/>
                <w:szCs w:val="16"/>
              </w:rPr>
            </w:pPr>
          </w:p>
        </w:tc>
        <w:tc>
          <w:tcPr>
            <w:tcW w:w="2160" w:type="pct"/>
            <w:shd w:val="clear" w:color="auto" w:fill="auto"/>
            <w:tcMar>
              <w:top w:w="113" w:type="dxa"/>
              <w:bottom w:w="85" w:type="dxa"/>
            </w:tcMar>
          </w:tcPr>
          <w:p w:rsidR="00DD7BA9" w:rsidRPr="00DF155F" w:rsidRDefault="00DD7BA9" w:rsidP="00547ACE">
            <w:pPr>
              <w:rPr>
                <w:rFonts w:cs="Arial"/>
                <w:sz w:val="16"/>
                <w:szCs w:val="16"/>
              </w:rPr>
            </w:pPr>
            <w:r>
              <w:rPr>
                <w:rFonts w:cs="Arial"/>
                <w:sz w:val="16"/>
                <w:szCs w:val="16"/>
              </w:rPr>
              <w:t>%</w:t>
            </w:r>
            <w:r w:rsidRPr="00DF155F">
              <w:rPr>
                <w:rFonts w:cs="Arial"/>
                <w:sz w:val="16"/>
                <w:szCs w:val="16"/>
              </w:rPr>
              <w:t xml:space="preserve"> of responses to external requests for contributions from the UN, IGOs etc. submitted on time</w:t>
            </w:r>
          </w:p>
        </w:tc>
        <w:tc>
          <w:tcPr>
            <w:tcW w:w="924" w:type="pct"/>
            <w:shd w:val="clear" w:color="auto" w:fill="FFFFFF"/>
            <w:tcMar>
              <w:top w:w="113" w:type="dxa"/>
              <w:bottom w:w="85" w:type="dxa"/>
            </w:tcMar>
          </w:tcPr>
          <w:p w:rsidR="00DD7BA9" w:rsidRPr="00AF5E7C" w:rsidRDefault="00DD7BA9" w:rsidP="00547ACE">
            <w:pPr>
              <w:jc w:val="center"/>
              <w:rPr>
                <w:rFonts w:cs="Arial"/>
                <w:sz w:val="16"/>
                <w:szCs w:val="16"/>
                <w:lang w:bidi="th-TH"/>
              </w:rPr>
            </w:pPr>
            <w:r>
              <w:rPr>
                <w:rFonts w:cs="Arial"/>
                <w:sz w:val="16"/>
                <w:szCs w:val="16"/>
                <w:lang w:bidi="th-TH"/>
              </w:rPr>
              <w:t>Program 20</w:t>
            </w:r>
          </w:p>
        </w:tc>
        <w:tc>
          <w:tcPr>
            <w:tcW w:w="375" w:type="pct"/>
            <w:shd w:val="clear" w:color="auto" w:fill="FFFFFF"/>
          </w:tcPr>
          <w:p w:rsidR="00DD7BA9" w:rsidRPr="00CC3F44" w:rsidRDefault="00DD7BA9" w:rsidP="00547ACE">
            <w:pPr>
              <w:jc w:val="center"/>
              <w:rPr>
                <w:rFonts w:cs="Arial"/>
                <w:color w:val="A6A6A6" w:themeColor="background1" w:themeShade="A6"/>
                <w:sz w:val="22"/>
                <w:szCs w:val="22"/>
              </w:rPr>
            </w:pPr>
            <w:r w:rsidRPr="00CC3F44">
              <w:rPr>
                <w:rFonts w:cs="Arial"/>
                <w:color w:val="008000"/>
                <w:sz w:val="22"/>
                <w:szCs w:val="22"/>
              </w:rPr>
              <w:sym w:font="Wingdings" w:char="F06C"/>
            </w:r>
          </w:p>
        </w:tc>
      </w:tr>
      <w:tr w:rsidR="00DD7BA9" w:rsidRPr="00AF5E7C" w:rsidTr="00547ACE">
        <w:trPr>
          <w:cantSplit/>
          <w:trHeight w:val="436"/>
        </w:trPr>
        <w:tc>
          <w:tcPr>
            <w:tcW w:w="1541" w:type="pct"/>
            <w:shd w:val="clear" w:color="auto" w:fill="auto"/>
            <w:tcMar>
              <w:top w:w="113" w:type="dxa"/>
              <w:bottom w:w="85" w:type="dxa"/>
            </w:tcMar>
          </w:tcPr>
          <w:p w:rsidR="00DD7BA9" w:rsidRPr="00AF5E7C" w:rsidRDefault="00DD7BA9" w:rsidP="00547ACE">
            <w:pPr>
              <w:rPr>
                <w:rFonts w:cs="Arial"/>
                <w:sz w:val="16"/>
                <w:szCs w:val="16"/>
              </w:rPr>
            </w:pPr>
          </w:p>
        </w:tc>
        <w:tc>
          <w:tcPr>
            <w:tcW w:w="2160" w:type="pct"/>
            <w:shd w:val="clear" w:color="auto" w:fill="auto"/>
            <w:tcMar>
              <w:top w:w="113" w:type="dxa"/>
              <w:bottom w:w="85" w:type="dxa"/>
            </w:tcMar>
          </w:tcPr>
          <w:p w:rsidR="00DD7BA9" w:rsidRPr="00C43F3D" w:rsidRDefault="00DD7BA9" w:rsidP="00547ACE">
            <w:pPr>
              <w:rPr>
                <w:rFonts w:cs="Arial"/>
                <w:sz w:val="16"/>
                <w:szCs w:val="16"/>
              </w:rPr>
            </w:pPr>
            <w:r w:rsidRPr="00C43F3D">
              <w:rPr>
                <w:rFonts w:cs="Arial"/>
                <w:sz w:val="16"/>
                <w:szCs w:val="16"/>
              </w:rPr>
              <w:t>No. of IP Programs implemented jointly with other UN bodies and other IGOs</w:t>
            </w:r>
          </w:p>
        </w:tc>
        <w:tc>
          <w:tcPr>
            <w:tcW w:w="924" w:type="pct"/>
            <w:shd w:val="clear" w:color="auto" w:fill="FFFFFF"/>
            <w:tcMar>
              <w:top w:w="113" w:type="dxa"/>
              <w:bottom w:w="85" w:type="dxa"/>
            </w:tcMar>
          </w:tcPr>
          <w:p w:rsidR="00DD7BA9" w:rsidRPr="00AF5E7C" w:rsidRDefault="00DD7BA9" w:rsidP="00547ACE">
            <w:pPr>
              <w:jc w:val="center"/>
              <w:rPr>
                <w:rFonts w:cs="Arial"/>
                <w:sz w:val="16"/>
                <w:szCs w:val="16"/>
                <w:lang w:bidi="th-TH"/>
              </w:rPr>
            </w:pPr>
            <w:r>
              <w:rPr>
                <w:rFonts w:cs="Arial"/>
                <w:sz w:val="16"/>
                <w:szCs w:val="16"/>
                <w:lang w:bidi="th-TH"/>
              </w:rPr>
              <w:t>Program 20</w:t>
            </w:r>
          </w:p>
        </w:tc>
        <w:tc>
          <w:tcPr>
            <w:tcW w:w="375" w:type="pct"/>
            <w:shd w:val="clear" w:color="auto" w:fill="FFFFFF"/>
          </w:tcPr>
          <w:p w:rsidR="00DD7BA9" w:rsidRPr="00CC3F44" w:rsidRDefault="00DD7BA9" w:rsidP="00547ACE">
            <w:pPr>
              <w:jc w:val="center"/>
            </w:pPr>
            <w:r w:rsidRPr="00CC3F44">
              <w:rPr>
                <w:rFonts w:cs="Arial"/>
                <w:color w:val="008000"/>
                <w:sz w:val="22"/>
                <w:szCs w:val="22"/>
              </w:rPr>
              <w:sym w:font="Wingdings" w:char="F06C"/>
            </w:r>
          </w:p>
        </w:tc>
      </w:tr>
      <w:tr w:rsidR="00DD7BA9" w:rsidRPr="00AF5E7C" w:rsidTr="00547ACE">
        <w:trPr>
          <w:cantSplit/>
          <w:trHeight w:val="247"/>
        </w:trPr>
        <w:tc>
          <w:tcPr>
            <w:tcW w:w="1541" w:type="pct"/>
            <w:shd w:val="clear" w:color="auto" w:fill="auto"/>
            <w:tcMar>
              <w:top w:w="113" w:type="dxa"/>
              <w:bottom w:w="85" w:type="dxa"/>
            </w:tcMar>
          </w:tcPr>
          <w:p w:rsidR="00DD7BA9" w:rsidRPr="0092679D" w:rsidRDefault="00DD7BA9" w:rsidP="00547ACE">
            <w:pPr>
              <w:rPr>
                <w:rFonts w:cs="Arial"/>
                <w:sz w:val="16"/>
                <w:szCs w:val="16"/>
              </w:rPr>
            </w:pPr>
          </w:p>
        </w:tc>
        <w:tc>
          <w:tcPr>
            <w:tcW w:w="2160" w:type="pct"/>
            <w:shd w:val="clear" w:color="auto" w:fill="auto"/>
            <w:tcMar>
              <w:top w:w="113" w:type="dxa"/>
              <w:bottom w:w="85" w:type="dxa"/>
            </w:tcMar>
          </w:tcPr>
          <w:p w:rsidR="00DD7BA9" w:rsidRPr="0092679D" w:rsidRDefault="00DD7BA9" w:rsidP="00547ACE">
            <w:pPr>
              <w:rPr>
                <w:rFonts w:cs="Arial"/>
                <w:sz w:val="16"/>
                <w:szCs w:val="16"/>
              </w:rPr>
            </w:pPr>
            <w:r w:rsidRPr="0092679D">
              <w:rPr>
                <w:rFonts w:cs="Arial"/>
                <w:sz w:val="16"/>
                <w:szCs w:val="16"/>
              </w:rPr>
              <w:t>New joint initiatives with other UN agencies</w:t>
            </w:r>
          </w:p>
        </w:tc>
        <w:tc>
          <w:tcPr>
            <w:tcW w:w="924" w:type="pct"/>
            <w:shd w:val="clear" w:color="auto" w:fill="FFFFFF"/>
            <w:tcMar>
              <w:top w:w="113" w:type="dxa"/>
              <w:bottom w:w="85" w:type="dxa"/>
            </w:tcMar>
          </w:tcPr>
          <w:p w:rsidR="00DD7BA9" w:rsidRPr="00AF5E7C" w:rsidRDefault="00DD7BA9" w:rsidP="00547ACE">
            <w:pPr>
              <w:jc w:val="center"/>
              <w:rPr>
                <w:rFonts w:cs="Arial"/>
                <w:sz w:val="16"/>
                <w:szCs w:val="16"/>
                <w:lang w:bidi="th-TH"/>
              </w:rPr>
            </w:pPr>
            <w:r>
              <w:rPr>
                <w:rFonts w:cs="Arial"/>
                <w:sz w:val="16"/>
                <w:szCs w:val="16"/>
                <w:lang w:bidi="th-TH"/>
              </w:rPr>
              <w:t>Program 21</w:t>
            </w:r>
          </w:p>
        </w:tc>
        <w:tc>
          <w:tcPr>
            <w:tcW w:w="375" w:type="pct"/>
            <w:shd w:val="clear" w:color="auto" w:fill="FFFFFF"/>
          </w:tcPr>
          <w:p w:rsidR="00DD7BA9" w:rsidRPr="00CC3F44" w:rsidRDefault="00DD7BA9" w:rsidP="00547ACE">
            <w:pPr>
              <w:jc w:val="center"/>
            </w:pPr>
            <w:r w:rsidRPr="00CC3F44">
              <w:rPr>
                <w:rFonts w:cs="Arial"/>
                <w:color w:val="008000"/>
                <w:sz w:val="22"/>
                <w:szCs w:val="22"/>
              </w:rPr>
              <w:sym w:font="Wingdings" w:char="F06C"/>
            </w:r>
          </w:p>
        </w:tc>
      </w:tr>
      <w:tr w:rsidR="00DD7BA9" w:rsidRPr="00AF5E7C" w:rsidTr="00547ACE">
        <w:trPr>
          <w:cantSplit/>
          <w:trHeight w:val="383"/>
        </w:trPr>
        <w:tc>
          <w:tcPr>
            <w:tcW w:w="1541" w:type="pct"/>
            <w:shd w:val="clear" w:color="auto" w:fill="auto"/>
            <w:tcMar>
              <w:top w:w="113" w:type="dxa"/>
              <w:bottom w:w="85" w:type="dxa"/>
            </w:tcMar>
          </w:tcPr>
          <w:p w:rsidR="00DD7BA9" w:rsidRPr="00AF5E7C" w:rsidRDefault="00DD7BA9" w:rsidP="00547ACE">
            <w:pPr>
              <w:rPr>
                <w:rFonts w:cs="Arial"/>
                <w:sz w:val="16"/>
                <w:szCs w:val="16"/>
              </w:rPr>
            </w:pPr>
          </w:p>
        </w:tc>
        <w:tc>
          <w:tcPr>
            <w:tcW w:w="2160" w:type="pct"/>
            <w:shd w:val="clear" w:color="auto" w:fill="auto"/>
            <w:tcMar>
              <w:top w:w="113" w:type="dxa"/>
              <w:bottom w:w="85" w:type="dxa"/>
            </w:tcMar>
          </w:tcPr>
          <w:p w:rsidR="00DD7BA9" w:rsidRPr="006A3FC3" w:rsidRDefault="00DD7BA9" w:rsidP="00547ACE">
            <w:pPr>
              <w:rPr>
                <w:rFonts w:cs="Arial"/>
                <w:bCs/>
                <w:sz w:val="16"/>
                <w:szCs w:val="16"/>
              </w:rPr>
            </w:pPr>
            <w:r w:rsidRPr="006A3FC3">
              <w:rPr>
                <w:rFonts w:cs="Arial"/>
                <w:bCs/>
                <w:sz w:val="16"/>
                <w:szCs w:val="16"/>
              </w:rPr>
              <w:t>HLCM and Subsid</w:t>
            </w:r>
            <w:r>
              <w:rPr>
                <w:rFonts w:cs="Arial"/>
                <w:bCs/>
                <w:sz w:val="16"/>
                <w:szCs w:val="16"/>
              </w:rPr>
              <w:t>i</w:t>
            </w:r>
            <w:r w:rsidRPr="006A3FC3">
              <w:rPr>
                <w:rFonts w:cs="Arial"/>
                <w:bCs/>
                <w:sz w:val="16"/>
                <w:szCs w:val="16"/>
              </w:rPr>
              <w:t>ary Networks Closed Recommendations</w:t>
            </w:r>
          </w:p>
        </w:tc>
        <w:tc>
          <w:tcPr>
            <w:tcW w:w="924" w:type="pct"/>
            <w:shd w:val="clear" w:color="auto" w:fill="FFFFFF"/>
            <w:tcMar>
              <w:top w:w="113" w:type="dxa"/>
              <w:bottom w:w="85" w:type="dxa"/>
            </w:tcMar>
          </w:tcPr>
          <w:p w:rsidR="00DD7BA9" w:rsidRPr="00AF5E7C" w:rsidRDefault="00DD7BA9" w:rsidP="00547ACE">
            <w:pPr>
              <w:jc w:val="center"/>
              <w:rPr>
                <w:rFonts w:cs="Arial"/>
                <w:sz w:val="16"/>
                <w:szCs w:val="16"/>
                <w:lang w:bidi="th-TH"/>
              </w:rPr>
            </w:pPr>
            <w:r>
              <w:rPr>
                <w:rFonts w:cs="Arial"/>
                <w:sz w:val="16"/>
                <w:szCs w:val="16"/>
                <w:lang w:bidi="th-TH"/>
              </w:rPr>
              <w:t>Program 24</w:t>
            </w:r>
          </w:p>
        </w:tc>
        <w:tc>
          <w:tcPr>
            <w:tcW w:w="375" w:type="pct"/>
            <w:shd w:val="clear" w:color="auto" w:fill="FFFFFF"/>
          </w:tcPr>
          <w:p w:rsidR="00DD7BA9" w:rsidRPr="00CC3F44" w:rsidRDefault="00DD7BA9" w:rsidP="00547ACE">
            <w:pPr>
              <w:jc w:val="center"/>
            </w:pPr>
            <w:r w:rsidRPr="00CC3F44">
              <w:rPr>
                <w:rFonts w:cs="Arial"/>
                <w:color w:val="A6A6A6" w:themeColor="background1" w:themeShade="A6"/>
                <w:sz w:val="22"/>
                <w:szCs w:val="22"/>
              </w:rPr>
              <w:sym w:font="Wingdings" w:char="F06C"/>
            </w:r>
          </w:p>
        </w:tc>
      </w:tr>
      <w:tr w:rsidR="00DD7BA9" w:rsidRPr="00AF5E7C" w:rsidTr="00547ACE">
        <w:trPr>
          <w:cantSplit/>
          <w:trHeight w:val="400"/>
        </w:trPr>
        <w:tc>
          <w:tcPr>
            <w:tcW w:w="1541" w:type="pct"/>
            <w:shd w:val="clear" w:color="auto" w:fill="auto"/>
            <w:tcMar>
              <w:top w:w="113" w:type="dxa"/>
              <w:bottom w:w="85" w:type="dxa"/>
            </w:tcMar>
          </w:tcPr>
          <w:p w:rsidR="00DD7BA9" w:rsidRPr="00AF5E7C" w:rsidRDefault="00DD7BA9" w:rsidP="00547ACE">
            <w:pPr>
              <w:rPr>
                <w:rFonts w:cs="Arial"/>
                <w:sz w:val="16"/>
                <w:szCs w:val="16"/>
              </w:rPr>
            </w:pPr>
          </w:p>
        </w:tc>
        <w:tc>
          <w:tcPr>
            <w:tcW w:w="2160" w:type="pct"/>
            <w:shd w:val="clear" w:color="auto" w:fill="auto"/>
            <w:tcMar>
              <w:top w:w="113" w:type="dxa"/>
              <w:bottom w:w="85" w:type="dxa"/>
            </w:tcMar>
          </w:tcPr>
          <w:p w:rsidR="00DD7BA9" w:rsidRPr="00F7400E" w:rsidRDefault="00DD7BA9" w:rsidP="00547ACE">
            <w:pPr>
              <w:rPr>
                <w:rFonts w:cs="Arial"/>
                <w:sz w:val="16"/>
                <w:szCs w:val="16"/>
              </w:rPr>
            </w:pPr>
            <w:r>
              <w:rPr>
                <w:rFonts w:cs="Arial"/>
                <w:sz w:val="16"/>
                <w:szCs w:val="16"/>
              </w:rPr>
              <w:t>%</w:t>
            </w:r>
            <w:r w:rsidRPr="00F7400E">
              <w:rPr>
                <w:rFonts w:cs="Arial"/>
                <w:sz w:val="16"/>
                <w:szCs w:val="16"/>
              </w:rPr>
              <w:t xml:space="preserve"> of locally sourced good</w:t>
            </w:r>
            <w:r>
              <w:rPr>
                <w:rFonts w:cs="Arial"/>
                <w:sz w:val="16"/>
                <w:szCs w:val="16"/>
              </w:rPr>
              <w:t>s</w:t>
            </w:r>
            <w:r w:rsidRPr="00F7400E">
              <w:rPr>
                <w:rFonts w:cs="Arial"/>
                <w:sz w:val="16"/>
                <w:szCs w:val="16"/>
              </w:rPr>
              <w:t xml:space="preserve"> and services compared to total amount procured for development activity</w:t>
            </w:r>
          </w:p>
        </w:tc>
        <w:tc>
          <w:tcPr>
            <w:tcW w:w="924" w:type="pct"/>
            <w:shd w:val="clear" w:color="auto" w:fill="FFFFFF"/>
            <w:tcMar>
              <w:top w:w="113" w:type="dxa"/>
              <w:bottom w:w="85" w:type="dxa"/>
            </w:tcMar>
          </w:tcPr>
          <w:p w:rsidR="00DD7BA9" w:rsidRPr="00AF5E7C" w:rsidRDefault="00DD7BA9" w:rsidP="00547ACE">
            <w:pPr>
              <w:jc w:val="center"/>
              <w:rPr>
                <w:rFonts w:cs="Arial"/>
                <w:sz w:val="16"/>
                <w:szCs w:val="16"/>
                <w:lang w:bidi="th-TH"/>
              </w:rPr>
            </w:pPr>
            <w:r>
              <w:rPr>
                <w:rFonts w:cs="Arial"/>
                <w:sz w:val="16"/>
                <w:szCs w:val="16"/>
                <w:lang w:bidi="th-TH"/>
              </w:rPr>
              <w:t>Program 24</w:t>
            </w:r>
          </w:p>
        </w:tc>
        <w:tc>
          <w:tcPr>
            <w:tcW w:w="375" w:type="pct"/>
            <w:shd w:val="clear" w:color="auto" w:fill="FFFFFF"/>
          </w:tcPr>
          <w:p w:rsidR="00DD7BA9" w:rsidRPr="00CC3F44" w:rsidRDefault="00DD7BA9" w:rsidP="00547ACE">
            <w:pPr>
              <w:jc w:val="center"/>
            </w:pPr>
            <w:r w:rsidRPr="00CC3F44">
              <w:rPr>
                <w:rFonts w:cs="Arial"/>
                <w:color w:val="FF0000"/>
                <w:sz w:val="22"/>
                <w:szCs w:val="22"/>
              </w:rPr>
              <w:sym w:font="Wingdings" w:char="F06C"/>
            </w:r>
            <w:r w:rsidRPr="00CC3F44">
              <w:rPr>
                <w:rFonts w:cs="Arial"/>
                <w:color w:val="008000"/>
                <w:sz w:val="22"/>
                <w:szCs w:val="22"/>
              </w:rPr>
              <w:sym w:font="Wingdings" w:char="F06C"/>
            </w:r>
          </w:p>
        </w:tc>
      </w:tr>
      <w:tr w:rsidR="00DD7BA9" w:rsidRPr="00AF5E7C" w:rsidTr="00547ACE">
        <w:trPr>
          <w:cantSplit/>
          <w:trHeight w:val="518"/>
        </w:trPr>
        <w:tc>
          <w:tcPr>
            <w:tcW w:w="1541" w:type="pct"/>
            <w:shd w:val="clear" w:color="auto" w:fill="auto"/>
            <w:tcMar>
              <w:top w:w="113" w:type="dxa"/>
              <w:bottom w:w="85" w:type="dxa"/>
            </w:tcMar>
          </w:tcPr>
          <w:p w:rsidR="00DD7BA9" w:rsidRPr="00AF5E7C" w:rsidRDefault="00DD7BA9" w:rsidP="00547ACE">
            <w:pPr>
              <w:rPr>
                <w:rFonts w:cs="Arial"/>
                <w:sz w:val="16"/>
                <w:szCs w:val="16"/>
              </w:rPr>
            </w:pPr>
          </w:p>
        </w:tc>
        <w:tc>
          <w:tcPr>
            <w:tcW w:w="2160" w:type="pct"/>
            <w:shd w:val="clear" w:color="auto" w:fill="auto"/>
            <w:tcMar>
              <w:top w:w="113" w:type="dxa"/>
              <w:bottom w:w="85" w:type="dxa"/>
            </w:tcMar>
          </w:tcPr>
          <w:p w:rsidR="00DD7BA9" w:rsidRPr="00F7400E" w:rsidRDefault="00DD7BA9" w:rsidP="00547ACE">
            <w:pPr>
              <w:rPr>
                <w:rFonts w:cs="Arial"/>
                <w:sz w:val="16"/>
                <w:szCs w:val="16"/>
              </w:rPr>
            </w:pPr>
            <w:r>
              <w:rPr>
                <w:rFonts w:cs="Arial"/>
                <w:sz w:val="16"/>
                <w:szCs w:val="16"/>
              </w:rPr>
              <w:t xml:space="preserve">% of </w:t>
            </w:r>
            <w:r w:rsidRPr="00F7400E">
              <w:rPr>
                <w:rFonts w:cs="Arial"/>
                <w:sz w:val="16"/>
                <w:szCs w:val="16"/>
              </w:rPr>
              <w:t>spend subject to UN leverage (either common tender or piggy backing)</w:t>
            </w:r>
          </w:p>
        </w:tc>
        <w:tc>
          <w:tcPr>
            <w:tcW w:w="924" w:type="pct"/>
            <w:shd w:val="clear" w:color="auto" w:fill="FFFFFF"/>
            <w:tcMar>
              <w:top w:w="113" w:type="dxa"/>
              <w:bottom w:w="85" w:type="dxa"/>
            </w:tcMar>
          </w:tcPr>
          <w:p w:rsidR="00DD7BA9" w:rsidRPr="00AF5E7C" w:rsidRDefault="00DD7BA9" w:rsidP="00547ACE">
            <w:pPr>
              <w:jc w:val="center"/>
              <w:rPr>
                <w:rFonts w:cs="Arial"/>
                <w:sz w:val="16"/>
                <w:szCs w:val="16"/>
                <w:lang w:bidi="th-TH"/>
              </w:rPr>
            </w:pPr>
            <w:r>
              <w:rPr>
                <w:rFonts w:cs="Arial"/>
                <w:sz w:val="16"/>
                <w:szCs w:val="16"/>
                <w:lang w:bidi="th-TH"/>
              </w:rPr>
              <w:t>Program 24</w:t>
            </w:r>
          </w:p>
        </w:tc>
        <w:tc>
          <w:tcPr>
            <w:tcW w:w="375" w:type="pct"/>
            <w:shd w:val="clear" w:color="auto" w:fill="FFFFFF"/>
          </w:tcPr>
          <w:p w:rsidR="00DD7BA9" w:rsidRPr="00CC3F44" w:rsidRDefault="00DD7BA9" w:rsidP="00547ACE">
            <w:pPr>
              <w:jc w:val="center"/>
              <w:rPr>
                <w:rFonts w:cs="Arial"/>
                <w:color w:val="A6A6A6" w:themeColor="background1" w:themeShade="A6"/>
                <w:sz w:val="22"/>
                <w:szCs w:val="22"/>
              </w:rPr>
            </w:pPr>
            <w:r w:rsidRPr="00CC3F44">
              <w:rPr>
                <w:rFonts w:cs="Arial"/>
                <w:color w:val="008000"/>
                <w:sz w:val="22"/>
                <w:szCs w:val="22"/>
              </w:rPr>
              <w:sym w:font="Wingdings" w:char="F06C"/>
            </w:r>
          </w:p>
        </w:tc>
      </w:tr>
    </w:tbl>
    <w:p w:rsidR="00DD7BA9" w:rsidRPr="004C18F7" w:rsidRDefault="00DD7BA9" w:rsidP="00DD7BA9"/>
    <w:p w:rsidR="00DD7BA9" w:rsidRDefault="00DD7BA9" w:rsidP="00845557">
      <w:pPr>
        <w:jc w:val="center"/>
      </w:pPr>
    </w:p>
    <w:p w:rsidR="00D97F1C" w:rsidRDefault="00D97F1C">
      <w:r>
        <w:br w:type="page"/>
      </w:r>
    </w:p>
    <w:p w:rsidR="00D97F1C" w:rsidRPr="001243AF" w:rsidRDefault="00D97F1C" w:rsidP="00D97F1C">
      <w:pPr>
        <w:pStyle w:val="Heading2"/>
        <w:tabs>
          <w:tab w:val="clear" w:pos="567"/>
          <w:tab w:val="left" w:pos="1985"/>
        </w:tabs>
        <w:ind w:left="1985" w:hanging="1985"/>
        <w:jc w:val="both"/>
      </w:pPr>
      <w:bookmarkStart w:id="100" w:name="_Toc454544492"/>
      <w:r w:rsidRPr="001243AF">
        <w:lastRenderedPageBreak/>
        <w:t>PROGRAM 1</w:t>
      </w:r>
      <w:r>
        <w:t>9</w:t>
      </w:r>
      <w:r>
        <w:tab/>
        <w:t>COMMUNICATIONS</w:t>
      </w:r>
      <w:bookmarkEnd w:id="100"/>
    </w:p>
    <w:p w:rsidR="00F838C5" w:rsidRPr="00383D2D" w:rsidRDefault="00F838C5" w:rsidP="001363EE">
      <w:pPr>
        <w:tabs>
          <w:tab w:val="left" w:pos="1985"/>
        </w:tabs>
        <w:jc w:val="both"/>
        <w:rPr>
          <w:szCs w:val="20"/>
        </w:rPr>
      </w:pPr>
    </w:p>
    <w:p w:rsidR="00F838C5" w:rsidRPr="00782825" w:rsidRDefault="00F838C5" w:rsidP="001363EE">
      <w:pPr>
        <w:tabs>
          <w:tab w:val="left" w:pos="1985"/>
        </w:tabs>
        <w:jc w:val="both"/>
        <w:rPr>
          <w:b/>
          <w:szCs w:val="22"/>
        </w:rPr>
      </w:pPr>
      <w:r>
        <w:rPr>
          <w:b/>
          <w:szCs w:val="22"/>
        </w:rPr>
        <w:t>Program Manager</w:t>
      </w:r>
      <w:r>
        <w:rPr>
          <w:b/>
          <w:szCs w:val="22"/>
        </w:rPr>
        <w:tab/>
        <w:t>Mr. J. Tarpey</w:t>
      </w:r>
      <w:r w:rsidR="00946D33">
        <w:rPr>
          <w:b/>
          <w:szCs w:val="22"/>
        </w:rPr>
        <w:t xml:space="preserve"> (Officer in Charge)</w:t>
      </w:r>
    </w:p>
    <w:p w:rsidR="00F838C5" w:rsidRPr="008F4A6D" w:rsidRDefault="00F838C5" w:rsidP="001363EE">
      <w:pPr>
        <w:jc w:val="both"/>
        <w:rPr>
          <w:szCs w:val="20"/>
        </w:rPr>
      </w:pPr>
    </w:p>
    <w:p w:rsidR="00F838C5" w:rsidRPr="001C6F4D" w:rsidRDefault="00F838C5" w:rsidP="001363EE">
      <w:pPr>
        <w:jc w:val="both"/>
        <w:rPr>
          <w:szCs w:val="20"/>
        </w:rPr>
      </w:pPr>
    </w:p>
    <w:p w:rsidR="00F838C5" w:rsidRPr="005E6AFC" w:rsidRDefault="00F838C5" w:rsidP="001363EE">
      <w:pPr>
        <w:jc w:val="both"/>
        <w:rPr>
          <w:bCs/>
          <w:sz w:val="22"/>
          <w:szCs w:val="22"/>
        </w:rPr>
      </w:pPr>
      <w:r w:rsidRPr="00263286">
        <w:rPr>
          <w:bCs/>
          <w:szCs w:val="22"/>
        </w:rPr>
        <w:t>ACHIEVEMENTS</w:t>
      </w:r>
      <w:r>
        <w:rPr>
          <w:bCs/>
          <w:sz w:val="22"/>
          <w:szCs w:val="22"/>
        </w:rPr>
        <w:t xml:space="preserve"> IN THE 2014/15 BIENNIUM</w:t>
      </w:r>
    </w:p>
    <w:p w:rsidR="00F838C5" w:rsidRDefault="00F838C5" w:rsidP="001363EE">
      <w:pPr>
        <w:shd w:val="clear" w:color="auto" w:fill="FFFFFF"/>
        <w:rPr>
          <w:b/>
          <w:szCs w:val="20"/>
        </w:rPr>
      </w:pPr>
    </w:p>
    <w:p w:rsidR="00F838C5" w:rsidRPr="006F01B0" w:rsidRDefault="00F838C5" w:rsidP="00F838C5">
      <w:pPr>
        <w:pStyle w:val="ListParagraph"/>
        <w:numPr>
          <w:ilvl w:val="0"/>
          <w:numId w:val="63"/>
        </w:numPr>
        <w:tabs>
          <w:tab w:val="left" w:pos="709"/>
        </w:tabs>
        <w:ind w:left="0" w:firstLine="0"/>
        <w:jc w:val="both"/>
        <w:rPr>
          <w:rFonts w:cs="Arial"/>
        </w:rPr>
      </w:pPr>
      <w:r w:rsidRPr="006F01B0">
        <w:rPr>
          <w:rFonts w:cs="Arial"/>
        </w:rPr>
        <w:t xml:space="preserve">Program 19 continued to </w:t>
      </w:r>
      <w:r>
        <w:rPr>
          <w:rFonts w:cs="Arial"/>
        </w:rPr>
        <w:t>focus on</w:t>
      </w:r>
      <w:r w:rsidRPr="006F01B0">
        <w:rPr>
          <w:rFonts w:cs="Arial"/>
        </w:rPr>
        <w:t xml:space="preserve"> </w:t>
      </w:r>
      <w:r>
        <w:rPr>
          <w:rFonts w:cs="Arial"/>
        </w:rPr>
        <w:t>creating and delivering</w:t>
      </w:r>
      <w:r w:rsidRPr="006F01B0">
        <w:rPr>
          <w:rFonts w:cs="Arial"/>
        </w:rPr>
        <w:t xml:space="preserve"> </w:t>
      </w:r>
      <w:r>
        <w:rPr>
          <w:rFonts w:cs="Arial"/>
        </w:rPr>
        <w:t xml:space="preserve">relevant, high </w:t>
      </w:r>
      <w:r w:rsidRPr="006F01B0">
        <w:rPr>
          <w:rFonts w:cs="Arial"/>
        </w:rPr>
        <w:t>quality content,</w:t>
      </w:r>
      <w:r>
        <w:rPr>
          <w:rFonts w:cs="Arial"/>
        </w:rPr>
        <w:t xml:space="preserve"> on increasing</w:t>
      </w:r>
      <w:r w:rsidRPr="006F01B0">
        <w:rPr>
          <w:rFonts w:cs="Arial"/>
        </w:rPr>
        <w:t xml:space="preserve"> </w:t>
      </w:r>
      <w:r>
        <w:rPr>
          <w:rFonts w:cs="Arial"/>
        </w:rPr>
        <w:t xml:space="preserve">the </w:t>
      </w:r>
      <w:r w:rsidRPr="006F01B0">
        <w:rPr>
          <w:rFonts w:cs="Arial"/>
        </w:rPr>
        <w:t xml:space="preserve">visibility and </w:t>
      </w:r>
      <w:r>
        <w:rPr>
          <w:rFonts w:cs="Arial"/>
        </w:rPr>
        <w:t xml:space="preserve">public </w:t>
      </w:r>
      <w:r w:rsidRPr="006F01B0">
        <w:rPr>
          <w:rFonts w:cs="Arial"/>
        </w:rPr>
        <w:t xml:space="preserve">understanding of WIPO’s work, and </w:t>
      </w:r>
      <w:r>
        <w:rPr>
          <w:rFonts w:cs="Arial"/>
        </w:rPr>
        <w:t>on strengthening</w:t>
      </w:r>
      <w:r w:rsidRPr="006F01B0">
        <w:rPr>
          <w:rFonts w:cs="Arial"/>
        </w:rPr>
        <w:t xml:space="preserve"> the culture of service</w:t>
      </w:r>
      <w:r>
        <w:rPr>
          <w:rFonts w:cs="Arial"/>
        </w:rPr>
        <w:t xml:space="preserve"> within the Organization</w:t>
      </w:r>
      <w:r w:rsidRPr="006F01B0">
        <w:rPr>
          <w:rFonts w:cs="Arial"/>
        </w:rPr>
        <w:t>.</w:t>
      </w:r>
    </w:p>
    <w:p w:rsidR="00F838C5" w:rsidRPr="006F01B0" w:rsidRDefault="00F838C5" w:rsidP="001363EE">
      <w:pPr>
        <w:pStyle w:val="ListParagraph"/>
        <w:tabs>
          <w:tab w:val="left" w:pos="709"/>
        </w:tabs>
        <w:ind w:left="0"/>
        <w:jc w:val="both"/>
        <w:rPr>
          <w:rFonts w:cs="Arial"/>
        </w:rPr>
      </w:pPr>
    </w:p>
    <w:p w:rsidR="00F838C5" w:rsidRPr="006F01B0" w:rsidRDefault="00F838C5" w:rsidP="00F838C5">
      <w:pPr>
        <w:pStyle w:val="ListParagraph"/>
        <w:numPr>
          <w:ilvl w:val="0"/>
          <w:numId w:val="63"/>
        </w:numPr>
        <w:tabs>
          <w:tab w:val="left" w:pos="709"/>
        </w:tabs>
        <w:ind w:left="0" w:firstLine="0"/>
        <w:jc w:val="both"/>
        <w:rPr>
          <w:rFonts w:cs="Arial"/>
        </w:rPr>
      </w:pPr>
      <w:r w:rsidRPr="006F01B0">
        <w:rPr>
          <w:rFonts w:cs="Arial"/>
        </w:rPr>
        <w:t xml:space="preserve">The </w:t>
      </w:r>
      <w:r>
        <w:rPr>
          <w:rFonts w:cs="Arial"/>
        </w:rPr>
        <w:t>major</w:t>
      </w:r>
      <w:r w:rsidRPr="006F01B0">
        <w:rPr>
          <w:rFonts w:cs="Arial"/>
        </w:rPr>
        <w:t xml:space="preserve"> e-newsletter </w:t>
      </w:r>
      <w:r>
        <w:rPr>
          <w:rFonts w:cs="Arial"/>
        </w:rPr>
        <w:t xml:space="preserve">project resulted in a new </w:t>
      </w:r>
      <w:r w:rsidRPr="00B5146E">
        <w:rPr>
          <w:rFonts w:cs="Arial"/>
          <w:b/>
        </w:rPr>
        <w:t>email</w:t>
      </w:r>
      <w:r>
        <w:rPr>
          <w:rFonts w:cs="Arial"/>
        </w:rPr>
        <w:t xml:space="preserve"> </w:t>
      </w:r>
      <w:r w:rsidRPr="00B5146E">
        <w:rPr>
          <w:rFonts w:cs="Arial"/>
          <w:b/>
        </w:rPr>
        <w:t>marketing</w:t>
      </w:r>
      <w:r>
        <w:rPr>
          <w:rFonts w:cs="Arial"/>
        </w:rPr>
        <w:t xml:space="preserve"> solution, which transformed</w:t>
      </w:r>
      <w:r w:rsidRPr="006F01B0">
        <w:rPr>
          <w:rFonts w:cs="Arial"/>
        </w:rPr>
        <w:t xml:space="preserve"> WIPO’s capacity to deliver</w:t>
      </w:r>
      <w:r>
        <w:rPr>
          <w:rFonts w:cs="Arial"/>
        </w:rPr>
        <w:t xml:space="preserve"> effective,</w:t>
      </w:r>
      <w:r w:rsidRPr="006F01B0">
        <w:rPr>
          <w:rFonts w:cs="Arial"/>
        </w:rPr>
        <w:t xml:space="preserve"> </w:t>
      </w:r>
      <w:r w:rsidRPr="00857627">
        <w:rPr>
          <w:rFonts w:cs="Arial"/>
        </w:rPr>
        <w:t>tailored, digital communications</w:t>
      </w:r>
      <w:r w:rsidRPr="006F01B0">
        <w:rPr>
          <w:rFonts w:cs="Arial"/>
        </w:rPr>
        <w:t xml:space="preserve"> to </w:t>
      </w:r>
      <w:r>
        <w:rPr>
          <w:rFonts w:cs="Arial"/>
        </w:rPr>
        <w:t>interested</w:t>
      </w:r>
      <w:r w:rsidRPr="006F01B0">
        <w:rPr>
          <w:rFonts w:cs="Arial"/>
        </w:rPr>
        <w:t xml:space="preserve"> stakeholders. </w:t>
      </w:r>
      <w:r>
        <w:rPr>
          <w:rFonts w:cs="Arial"/>
        </w:rPr>
        <w:t xml:space="preserve"> </w:t>
      </w:r>
      <w:r w:rsidRPr="006F01B0">
        <w:rPr>
          <w:rFonts w:cs="Arial"/>
        </w:rPr>
        <w:t xml:space="preserve">The project included the </w:t>
      </w:r>
      <w:r>
        <w:rPr>
          <w:rFonts w:cs="Arial"/>
        </w:rPr>
        <w:t xml:space="preserve">complete </w:t>
      </w:r>
      <w:r w:rsidRPr="006F01B0">
        <w:rPr>
          <w:rFonts w:cs="Arial"/>
        </w:rPr>
        <w:t>overhaul and redesign of WIPO’s multiple e-newsletter offerings</w:t>
      </w:r>
      <w:r>
        <w:rPr>
          <w:rFonts w:cs="Arial"/>
        </w:rPr>
        <w:t>,</w:t>
      </w:r>
      <w:r w:rsidRPr="006F01B0">
        <w:rPr>
          <w:rFonts w:cs="Arial"/>
        </w:rPr>
        <w:t xml:space="preserve"> the establishment of a newsletter policy to </w:t>
      </w:r>
      <w:r>
        <w:rPr>
          <w:rFonts w:cs="Arial"/>
        </w:rPr>
        <w:t>assure</w:t>
      </w:r>
      <w:r w:rsidRPr="006F01B0">
        <w:rPr>
          <w:rFonts w:cs="Arial"/>
        </w:rPr>
        <w:t xml:space="preserve"> quality service to subscribers</w:t>
      </w:r>
      <w:r>
        <w:rPr>
          <w:rFonts w:cs="Arial"/>
        </w:rPr>
        <w:t>,</w:t>
      </w:r>
      <w:r w:rsidRPr="006F01B0">
        <w:rPr>
          <w:rFonts w:cs="Arial"/>
        </w:rPr>
        <w:t xml:space="preserve"> and the roll-out in June 2015 of a sophisticated </w:t>
      </w:r>
      <w:r w:rsidRPr="00857627">
        <w:rPr>
          <w:rFonts w:cs="Arial"/>
        </w:rPr>
        <w:t>newsletter</w:t>
      </w:r>
      <w:r w:rsidRPr="00F631B9">
        <w:rPr>
          <w:rFonts w:cs="Arial"/>
        </w:rPr>
        <w:t xml:space="preserve"> </w:t>
      </w:r>
      <w:r w:rsidRPr="00857627">
        <w:rPr>
          <w:rFonts w:cs="Arial"/>
        </w:rPr>
        <w:t>mailing platform</w:t>
      </w:r>
      <w:r w:rsidRPr="006F01B0">
        <w:rPr>
          <w:rFonts w:cs="Arial"/>
        </w:rPr>
        <w:t xml:space="preserve"> in six languages. </w:t>
      </w:r>
      <w:r>
        <w:rPr>
          <w:rFonts w:cs="Arial"/>
        </w:rPr>
        <w:t xml:space="preserve"> Some </w:t>
      </w:r>
      <w:r w:rsidRPr="006F01B0">
        <w:rPr>
          <w:rFonts w:cs="Arial"/>
        </w:rPr>
        <w:t xml:space="preserve">508 newsletter mailings from different WIPO areas were dispatched in the first six months of operation. </w:t>
      </w:r>
      <w:r>
        <w:rPr>
          <w:rFonts w:cs="Arial"/>
        </w:rPr>
        <w:t xml:space="preserve"> </w:t>
      </w:r>
      <w:r w:rsidRPr="006F01B0">
        <w:rPr>
          <w:rFonts w:cs="Arial"/>
        </w:rPr>
        <w:t xml:space="preserve">The mailing platform also enabled </w:t>
      </w:r>
      <w:r>
        <w:rPr>
          <w:rFonts w:cs="Arial"/>
        </w:rPr>
        <w:t>the</w:t>
      </w:r>
      <w:r w:rsidRPr="006F01B0">
        <w:rPr>
          <w:rFonts w:cs="Arial"/>
        </w:rPr>
        <w:t xml:space="preserve"> launch </w:t>
      </w:r>
      <w:r>
        <w:rPr>
          <w:rFonts w:cs="Arial"/>
        </w:rPr>
        <w:t xml:space="preserve">of </w:t>
      </w:r>
      <w:r w:rsidRPr="006F01B0">
        <w:rPr>
          <w:rFonts w:cs="Arial"/>
        </w:rPr>
        <w:t xml:space="preserve">the </w:t>
      </w:r>
      <w:r w:rsidRPr="00BE0A3A">
        <w:rPr>
          <w:rFonts w:cs="Arial"/>
        </w:rPr>
        <w:t>WIPO Wire</w:t>
      </w:r>
      <w:r w:rsidRPr="006F01B0">
        <w:rPr>
          <w:rFonts w:cs="Arial"/>
        </w:rPr>
        <w:t xml:space="preserve">, a biweekly newsletter in six languages, which – for the first time </w:t>
      </w:r>
      <w:r>
        <w:rPr>
          <w:rFonts w:cs="Arial"/>
        </w:rPr>
        <w:t>–</w:t>
      </w:r>
      <w:r w:rsidRPr="006F01B0">
        <w:rPr>
          <w:rFonts w:cs="Arial"/>
        </w:rPr>
        <w:t xml:space="preserve"> provide</w:t>
      </w:r>
      <w:r>
        <w:rPr>
          <w:rFonts w:cs="Arial"/>
        </w:rPr>
        <w:t>d</w:t>
      </w:r>
      <w:r w:rsidRPr="006F01B0">
        <w:rPr>
          <w:rFonts w:cs="Arial"/>
        </w:rPr>
        <w:t xml:space="preserve"> a quick and engaging way to keep abreast of WIPO’s wide-ranging activities and free resources. </w:t>
      </w:r>
      <w:r>
        <w:rPr>
          <w:rFonts w:cs="Arial"/>
        </w:rPr>
        <w:t xml:space="preserve"> </w:t>
      </w:r>
      <w:r w:rsidRPr="006F01B0">
        <w:rPr>
          <w:rFonts w:cs="Arial"/>
        </w:rPr>
        <w:t xml:space="preserve">The </w:t>
      </w:r>
      <w:r w:rsidRPr="00BE0A3A">
        <w:rPr>
          <w:rFonts w:cs="Arial"/>
        </w:rPr>
        <w:t>WIPO Wire</w:t>
      </w:r>
      <w:r w:rsidRPr="006F01B0">
        <w:rPr>
          <w:rFonts w:cs="Arial"/>
        </w:rPr>
        <w:t xml:space="preserve"> gained over 10,000</w:t>
      </w:r>
      <w:r>
        <w:rPr>
          <w:rFonts w:cs="Arial"/>
        </w:rPr>
        <w:t> </w:t>
      </w:r>
      <w:r w:rsidRPr="006F01B0">
        <w:rPr>
          <w:rFonts w:cs="Arial"/>
        </w:rPr>
        <w:t>subscribers within the six months from its launch to 2015 year</w:t>
      </w:r>
      <w:r>
        <w:rPr>
          <w:rFonts w:cs="Arial"/>
        </w:rPr>
        <w:t>-</w:t>
      </w:r>
      <w:r w:rsidRPr="006F01B0">
        <w:rPr>
          <w:rFonts w:cs="Arial"/>
        </w:rPr>
        <w:t xml:space="preserve">end, including </w:t>
      </w:r>
      <w:r>
        <w:rPr>
          <w:rFonts w:cs="Arial"/>
        </w:rPr>
        <w:t>M</w:t>
      </w:r>
      <w:r w:rsidRPr="006F01B0">
        <w:rPr>
          <w:rFonts w:cs="Arial"/>
        </w:rPr>
        <w:t xml:space="preserve">ember </w:t>
      </w:r>
      <w:r>
        <w:rPr>
          <w:rFonts w:cs="Arial"/>
        </w:rPr>
        <w:t>S</w:t>
      </w:r>
      <w:r w:rsidRPr="006F01B0">
        <w:rPr>
          <w:rFonts w:cs="Arial"/>
        </w:rPr>
        <w:t xml:space="preserve">tate </w:t>
      </w:r>
      <w:r>
        <w:rPr>
          <w:rFonts w:cs="Arial"/>
        </w:rPr>
        <w:t>officials,</w:t>
      </w:r>
      <w:r w:rsidRPr="006F01B0">
        <w:rPr>
          <w:rFonts w:cs="Arial"/>
        </w:rPr>
        <w:t xml:space="preserve"> IP p</w:t>
      </w:r>
      <w:r>
        <w:rPr>
          <w:rFonts w:cs="Arial"/>
        </w:rPr>
        <w:t xml:space="preserve">rofessionals </w:t>
      </w:r>
      <w:r w:rsidRPr="006F01B0">
        <w:rPr>
          <w:rFonts w:cs="Arial"/>
        </w:rPr>
        <w:t xml:space="preserve">and </w:t>
      </w:r>
      <w:r>
        <w:rPr>
          <w:rFonts w:cs="Arial"/>
        </w:rPr>
        <w:t>policy-makers</w:t>
      </w:r>
      <w:r w:rsidRPr="00BB5FB6">
        <w:rPr>
          <w:rFonts w:cs="Arial"/>
        </w:rPr>
        <w:t xml:space="preserve"> </w:t>
      </w:r>
      <w:r>
        <w:rPr>
          <w:rFonts w:cs="Arial"/>
        </w:rPr>
        <w:t>from 173 countries.</w:t>
      </w:r>
    </w:p>
    <w:p w:rsidR="00F838C5" w:rsidRPr="006F01B0" w:rsidRDefault="00F838C5" w:rsidP="001363EE">
      <w:pPr>
        <w:pStyle w:val="ListParagraph"/>
        <w:tabs>
          <w:tab w:val="left" w:pos="709"/>
        </w:tabs>
        <w:ind w:left="0"/>
        <w:jc w:val="both"/>
        <w:rPr>
          <w:rFonts w:cs="Arial"/>
        </w:rPr>
      </w:pPr>
    </w:p>
    <w:p w:rsidR="00F838C5" w:rsidRPr="006F01B0" w:rsidRDefault="00F838C5" w:rsidP="00F838C5">
      <w:pPr>
        <w:pStyle w:val="ListParagraph"/>
        <w:numPr>
          <w:ilvl w:val="0"/>
          <w:numId w:val="63"/>
        </w:numPr>
        <w:tabs>
          <w:tab w:val="left" w:pos="709"/>
        </w:tabs>
        <w:ind w:left="0" w:firstLine="0"/>
        <w:jc w:val="both"/>
        <w:rPr>
          <w:rFonts w:cs="Arial"/>
        </w:rPr>
      </w:pPr>
      <w:r>
        <w:rPr>
          <w:rFonts w:cs="Arial"/>
        </w:rPr>
        <w:t>A more</w:t>
      </w:r>
      <w:r w:rsidRPr="006F01B0">
        <w:rPr>
          <w:rFonts w:cs="Arial"/>
        </w:rPr>
        <w:t xml:space="preserve"> </w:t>
      </w:r>
      <w:r w:rsidRPr="00360E63">
        <w:rPr>
          <w:rFonts w:cs="Arial"/>
        </w:rPr>
        <w:t xml:space="preserve">integrated </w:t>
      </w:r>
      <w:r>
        <w:rPr>
          <w:rFonts w:cs="Arial"/>
        </w:rPr>
        <w:t xml:space="preserve">content and media strategy </w:t>
      </w:r>
      <w:r w:rsidRPr="006F01B0">
        <w:rPr>
          <w:rFonts w:cs="Arial"/>
        </w:rPr>
        <w:t xml:space="preserve">resulted in </w:t>
      </w:r>
      <w:r>
        <w:rPr>
          <w:rFonts w:cs="Arial"/>
        </w:rPr>
        <w:t>greater</w:t>
      </w:r>
      <w:r w:rsidRPr="006F01B0">
        <w:rPr>
          <w:rFonts w:cs="Arial"/>
        </w:rPr>
        <w:t xml:space="preserve"> communications</w:t>
      </w:r>
      <w:r w:rsidRPr="00BE0A3A">
        <w:rPr>
          <w:rFonts w:cs="Arial"/>
        </w:rPr>
        <w:t xml:space="preserve"> </w:t>
      </w:r>
      <w:r w:rsidRPr="00B5146E">
        <w:rPr>
          <w:rFonts w:cs="Arial"/>
          <w:b/>
        </w:rPr>
        <w:t>impact</w:t>
      </w:r>
      <w:r w:rsidRPr="00857627">
        <w:rPr>
          <w:rFonts w:cs="Arial"/>
        </w:rPr>
        <w:t xml:space="preserve"> for WIPO’s major events and product launches</w:t>
      </w:r>
      <w:r w:rsidRPr="006F01B0">
        <w:rPr>
          <w:rFonts w:cs="Arial"/>
        </w:rPr>
        <w:t xml:space="preserve">. </w:t>
      </w:r>
      <w:r>
        <w:rPr>
          <w:rFonts w:cs="Arial"/>
        </w:rPr>
        <w:t xml:space="preserve"> </w:t>
      </w:r>
      <w:r w:rsidRPr="006F01B0">
        <w:rPr>
          <w:rFonts w:cs="Arial"/>
        </w:rPr>
        <w:t xml:space="preserve">The </w:t>
      </w:r>
      <w:r w:rsidRPr="00BE0A3A">
        <w:rPr>
          <w:rFonts w:cs="Arial"/>
        </w:rPr>
        <w:t>Global Innovation Index</w:t>
      </w:r>
      <w:r w:rsidRPr="006F01B0">
        <w:rPr>
          <w:rFonts w:cs="Arial"/>
        </w:rPr>
        <w:t xml:space="preserve"> (GII) achieved Twitter “trending” status </w:t>
      </w:r>
      <w:r>
        <w:rPr>
          <w:rFonts w:cs="Arial"/>
        </w:rPr>
        <w:t>in London</w:t>
      </w:r>
      <w:r w:rsidRPr="006F01B0">
        <w:rPr>
          <w:rFonts w:cs="Arial"/>
        </w:rPr>
        <w:t xml:space="preserve"> on the day of its 2015 </w:t>
      </w:r>
      <w:r>
        <w:rPr>
          <w:rFonts w:cs="Arial"/>
        </w:rPr>
        <w:t>United Kingdom</w:t>
      </w:r>
      <w:r w:rsidRPr="006F01B0">
        <w:rPr>
          <w:rFonts w:cs="Arial"/>
        </w:rPr>
        <w:t xml:space="preserve"> launch</w:t>
      </w:r>
      <w:r>
        <w:rPr>
          <w:rFonts w:cs="Arial"/>
        </w:rPr>
        <w:t>.  C</w:t>
      </w:r>
      <w:r w:rsidRPr="006F01B0">
        <w:rPr>
          <w:rFonts w:cs="Arial"/>
        </w:rPr>
        <w:t>overage in</w:t>
      </w:r>
      <w:r>
        <w:rPr>
          <w:rFonts w:cs="Arial"/>
        </w:rPr>
        <w:t xml:space="preserve"> some of the world’s most</w:t>
      </w:r>
      <w:r w:rsidRPr="006F01B0">
        <w:rPr>
          <w:rFonts w:cs="Arial"/>
        </w:rPr>
        <w:t xml:space="preserve"> influential </w:t>
      </w:r>
      <w:r>
        <w:rPr>
          <w:rFonts w:cs="Arial"/>
        </w:rPr>
        <w:t>media</w:t>
      </w:r>
      <w:r w:rsidRPr="006F01B0">
        <w:rPr>
          <w:rFonts w:cs="Arial"/>
        </w:rPr>
        <w:t xml:space="preserve"> helped </w:t>
      </w:r>
      <w:r>
        <w:rPr>
          <w:rFonts w:cs="Arial"/>
        </w:rPr>
        <w:t>position</w:t>
      </w:r>
      <w:r w:rsidRPr="006F01B0">
        <w:rPr>
          <w:rFonts w:cs="Arial"/>
        </w:rPr>
        <w:t xml:space="preserve"> </w:t>
      </w:r>
      <w:r>
        <w:rPr>
          <w:rFonts w:cs="Arial"/>
        </w:rPr>
        <w:t xml:space="preserve">WIPO’s flagship IP reports (the </w:t>
      </w:r>
      <w:r w:rsidRPr="006F01B0">
        <w:rPr>
          <w:rFonts w:cs="Arial"/>
        </w:rPr>
        <w:t>GII</w:t>
      </w:r>
      <w:r>
        <w:rPr>
          <w:rFonts w:cs="Arial"/>
        </w:rPr>
        <w:t>;</w:t>
      </w:r>
      <w:r w:rsidRPr="006F01B0">
        <w:rPr>
          <w:rFonts w:cs="Arial"/>
        </w:rPr>
        <w:t xml:space="preserve"> the </w:t>
      </w:r>
      <w:r w:rsidRPr="00BE0A3A">
        <w:rPr>
          <w:rFonts w:cs="Arial"/>
        </w:rPr>
        <w:t>W</w:t>
      </w:r>
      <w:r>
        <w:rPr>
          <w:rFonts w:cs="Arial"/>
        </w:rPr>
        <w:t xml:space="preserve">orld </w:t>
      </w:r>
      <w:r w:rsidRPr="00BE0A3A">
        <w:rPr>
          <w:rFonts w:cs="Arial"/>
        </w:rPr>
        <w:t>I</w:t>
      </w:r>
      <w:r>
        <w:rPr>
          <w:rFonts w:cs="Arial"/>
        </w:rPr>
        <w:t xml:space="preserve">ntellectual </w:t>
      </w:r>
      <w:r w:rsidRPr="00BE0A3A">
        <w:rPr>
          <w:rFonts w:cs="Arial"/>
        </w:rPr>
        <w:t>P</w:t>
      </w:r>
      <w:r>
        <w:rPr>
          <w:rFonts w:cs="Arial"/>
        </w:rPr>
        <w:t xml:space="preserve">roperty </w:t>
      </w:r>
      <w:r w:rsidRPr="00BE0A3A">
        <w:rPr>
          <w:rFonts w:cs="Arial"/>
        </w:rPr>
        <w:t>R</w:t>
      </w:r>
      <w:r>
        <w:rPr>
          <w:rFonts w:cs="Arial"/>
        </w:rPr>
        <w:t>eport (WIPR);</w:t>
      </w:r>
      <w:r w:rsidRPr="006F01B0">
        <w:rPr>
          <w:rFonts w:cs="Arial"/>
        </w:rPr>
        <w:t xml:space="preserve"> </w:t>
      </w:r>
      <w:r>
        <w:rPr>
          <w:rFonts w:cs="Arial"/>
        </w:rPr>
        <w:t xml:space="preserve">the PCT, Madrid and the Hague Yearly Reviews; </w:t>
      </w:r>
      <w:r w:rsidRPr="006F01B0">
        <w:rPr>
          <w:rFonts w:cs="Arial"/>
        </w:rPr>
        <w:t xml:space="preserve">and the </w:t>
      </w:r>
      <w:r w:rsidRPr="00BE0A3A">
        <w:rPr>
          <w:rFonts w:cs="Arial"/>
        </w:rPr>
        <w:t>W</w:t>
      </w:r>
      <w:r>
        <w:rPr>
          <w:rFonts w:cs="Arial"/>
        </w:rPr>
        <w:t xml:space="preserve">orld </w:t>
      </w:r>
      <w:r w:rsidRPr="00BE0A3A">
        <w:rPr>
          <w:rFonts w:cs="Arial"/>
        </w:rPr>
        <w:t>I</w:t>
      </w:r>
      <w:r>
        <w:rPr>
          <w:rFonts w:cs="Arial"/>
        </w:rPr>
        <w:t xml:space="preserve">ntellectual </w:t>
      </w:r>
      <w:r w:rsidRPr="00BE0A3A">
        <w:rPr>
          <w:rFonts w:cs="Arial"/>
        </w:rPr>
        <w:t>P</w:t>
      </w:r>
      <w:r>
        <w:rPr>
          <w:rFonts w:cs="Arial"/>
        </w:rPr>
        <w:t xml:space="preserve">roperty </w:t>
      </w:r>
      <w:r w:rsidRPr="00BE0A3A">
        <w:rPr>
          <w:rFonts w:cs="Arial"/>
        </w:rPr>
        <w:t>I</w:t>
      </w:r>
      <w:r>
        <w:rPr>
          <w:rFonts w:cs="Arial"/>
        </w:rPr>
        <w:t>ndicators)</w:t>
      </w:r>
      <w:r w:rsidRPr="006F01B0">
        <w:rPr>
          <w:rFonts w:cs="Arial"/>
        </w:rPr>
        <w:t xml:space="preserve"> as </w:t>
      </w:r>
      <w:r>
        <w:rPr>
          <w:rFonts w:cs="Arial"/>
        </w:rPr>
        <w:t>world reference sources</w:t>
      </w:r>
      <w:r w:rsidRPr="006F01B0">
        <w:rPr>
          <w:rFonts w:cs="Arial"/>
        </w:rPr>
        <w:t xml:space="preserve"> </w:t>
      </w:r>
      <w:r>
        <w:rPr>
          <w:rFonts w:cs="Arial"/>
        </w:rPr>
        <w:t>for</w:t>
      </w:r>
      <w:r w:rsidRPr="006F01B0">
        <w:rPr>
          <w:rFonts w:cs="Arial"/>
        </w:rPr>
        <w:t xml:space="preserve"> IP and innovation data. </w:t>
      </w:r>
      <w:r>
        <w:rPr>
          <w:rFonts w:cs="Arial"/>
        </w:rPr>
        <w:t xml:space="preserve"> Promotion of </w:t>
      </w:r>
      <w:r w:rsidRPr="0017525F">
        <w:rPr>
          <w:rFonts w:cs="Arial"/>
        </w:rPr>
        <w:t xml:space="preserve">the </w:t>
      </w:r>
      <w:r w:rsidRPr="00BE0A3A">
        <w:rPr>
          <w:rFonts w:cs="Arial"/>
        </w:rPr>
        <w:t xml:space="preserve">WIPR </w:t>
      </w:r>
      <w:r w:rsidRPr="0017525F">
        <w:rPr>
          <w:rFonts w:cs="Arial"/>
        </w:rPr>
        <w:t>resulted</w:t>
      </w:r>
      <w:r>
        <w:rPr>
          <w:rFonts w:cs="Arial"/>
        </w:rPr>
        <w:t xml:space="preserve"> in some 200 press articles in the week following its release</w:t>
      </w:r>
      <w:r w:rsidRPr="006F01B0">
        <w:rPr>
          <w:rFonts w:cs="Arial"/>
        </w:rPr>
        <w:t xml:space="preserve">.  Concerted press and social media outreach to promote the 2014 Dakar Ministerial Conference gained </w:t>
      </w:r>
      <w:r>
        <w:rPr>
          <w:rFonts w:cs="Arial"/>
        </w:rPr>
        <w:t xml:space="preserve">wide </w:t>
      </w:r>
      <w:r w:rsidRPr="006F01B0">
        <w:rPr>
          <w:rFonts w:cs="Arial"/>
        </w:rPr>
        <w:t>coverage on</w:t>
      </w:r>
      <w:r>
        <w:rPr>
          <w:rFonts w:cs="Arial"/>
        </w:rPr>
        <w:t xml:space="preserve"> </w:t>
      </w:r>
      <w:r w:rsidRPr="006F01B0">
        <w:rPr>
          <w:rFonts w:cs="Arial"/>
        </w:rPr>
        <w:t xml:space="preserve">African broadcast and online media, </w:t>
      </w:r>
      <w:r>
        <w:rPr>
          <w:rFonts w:cs="Arial"/>
        </w:rPr>
        <w:t>stimulating</w:t>
      </w:r>
      <w:r w:rsidRPr="006F01B0">
        <w:rPr>
          <w:rFonts w:cs="Arial"/>
        </w:rPr>
        <w:t xml:space="preserve"> public interest in IP and development issues.  </w:t>
      </w:r>
      <w:r>
        <w:rPr>
          <w:rFonts w:cs="Arial"/>
        </w:rPr>
        <w:t>For all major events, webpages were published in all six languages.  A</w:t>
      </w:r>
      <w:r w:rsidRPr="006F01B0">
        <w:rPr>
          <w:rFonts w:cs="Arial"/>
        </w:rPr>
        <w:t>dvocacy efforts in support of the Accessible Books Consortium (ABC)</w:t>
      </w:r>
      <w:r>
        <w:rPr>
          <w:rFonts w:cs="Arial"/>
        </w:rPr>
        <w:t xml:space="preserve"> were strengthened by the production of a </w:t>
      </w:r>
      <w:r w:rsidRPr="006F01B0">
        <w:rPr>
          <w:rFonts w:cs="Arial"/>
        </w:rPr>
        <w:t>c</w:t>
      </w:r>
      <w:r>
        <w:rPr>
          <w:rFonts w:cs="Arial"/>
        </w:rPr>
        <w:t>ompelling video on ABC capacity building in India.</w:t>
      </w:r>
      <w:r w:rsidRPr="006F01B0">
        <w:rPr>
          <w:rFonts w:cs="Arial"/>
        </w:rPr>
        <w:t xml:space="preserve"> </w:t>
      </w:r>
      <w:r>
        <w:rPr>
          <w:rFonts w:cs="Arial"/>
        </w:rPr>
        <w:t xml:space="preserve"> </w:t>
      </w:r>
    </w:p>
    <w:p w:rsidR="00F838C5" w:rsidRPr="006F01B0" w:rsidRDefault="00F838C5" w:rsidP="001363EE">
      <w:pPr>
        <w:pStyle w:val="ListParagraph"/>
        <w:tabs>
          <w:tab w:val="left" w:pos="709"/>
        </w:tabs>
        <w:ind w:left="0"/>
        <w:jc w:val="both"/>
        <w:rPr>
          <w:rFonts w:cs="Arial"/>
        </w:rPr>
      </w:pPr>
    </w:p>
    <w:p w:rsidR="00F838C5" w:rsidRPr="00FD3808" w:rsidRDefault="00F838C5" w:rsidP="00F838C5">
      <w:pPr>
        <w:pStyle w:val="ListParagraph"/>
        <w:numPr>
          <w:ilvl w:val="0"/>
          <w:numId w:val="63"/>
        </w:numPr>
        <w:tabs>
          <w:tab w:val="left" w:pos="709"/>
        </w:tabs>
        <w:ind w:left="0" w:firstLine="0"/>
        <w:jc w:val="both"/>
        <w:rPr>
          <w:rFonts w:cs="Arial"/>
        </w:rPr>
      </w:pPr>
      <w:r w:rsidRPr="00B5146E">
        <w:rPr>
          <w:rFonts w:cs="Arial"/>
          <w:b/>
        </w:rPr>
        <w:t>Engagement</w:t>
      </w:r>
      <w:r w:rsidRPr="00FD3808">
        <w:rPr>
          <w:rFonts w:cs="Arial"/>
        </w:rPr>
        <w:t xml:space="preserve"> by Member States and the public in the annual </w:t>
      </w:r>
      <w:r w:rsidRPr="00857627">
        <w:rPr>
          <w:rFonts w:cs="Arial"/>
        </w:rPr>
        <w:t>World IP Day</w:t>
      </w:r>
      <w:r w:rsidRPr="00FD3808">
        <w:rPr>
          <w:rFonts w:cs="Arial"/>
        </w:rPr>
        <w:t xml:space="preserve"> campaign remained at record level</w:t>
      </w:r>
      <w:r>
        <w:rPr>
          <w:rFonts w:cs="Arial"/>
        </w:rPr>
        <w:t>s for both years of the biennium</w:t>
      </w:r>
      <w:r w:rsidRPr="00FD3808">
        <w:rPr>
          <w:rFonts w:cs="Arial"/>
        </w:rPr>
        <w:t xml:space="preserve">. </w:t>
      </w:r>
      <w:r>
        <w:rPr>
          <w:rFonts w:cs="Arial"/>
        </w:rPr>
        <w:t xml:space="preserve"> </w:t>
      </w:r>
      <w:r w:rsidRPr="00FD3808">
        <w:rPr>
          <w:rFonts w:cs="Arial"/>
        </w:rPr>
        <w:t xml:space="preserve">The 2015 theme, </w:t>
      </w:r>
      <w:r w:rsidRPr="00B5146E">
        <w:rPr>
          <w:rFonts w:cs="Arial"/>
          <w:i/>
        </w:rPr>
        <w:t>Get Up, Stand Up – For Music</w:t>
      </w:r>
      <w:r>
        <w:rPr>
          <w:rFonts w:cs="Arial"/>
        </w:rPr>
        <w:t>,</w:t>
      </w:r>
      <w:r w:rsidRPr="00FD3808">
        <w:rPr>
          <w:rFonts w:cs="Arial"/>
        </w:rPr>
        <w:t xml:space="preserve"> </w:t>
      </w:r>
      <w:r>
        <w:rPr>
          <w:rFonts w:cs="Arial"/>
        </w:rPr>
        <w:t>inspired</w:t>
      </w:r>
      <w:r w:rsidRPr="00FD3808">
        <w:rPr>
          <w:rFonts w:cs="Arial"/>
        </w:rPr>
        <w:t xml:space="preserve"> some 350 </w:t>
      </w:r>
      <w:r>
        <w:rPr>
          <w:rFonts w:cs="Arial"/>
        </w:rPr>
        <w:t xml:space="preserve">IP Day </w:t>
      </w:r>
      <w:r w:rsidRPr="00FD3808">
        <w:rPr>
          <w:rFonts w:cs="Arial"/>
        </w:rPr>
        <w:t>events reported in 105 countries (up from 236 events in 93 countries in 2013)</w:t>
      </w:r>
      <w:r>
        <w:rPr>
          <w:rFonts w:cs="Arial"/>
        </w:rPr>
        <w:t>, including a well</w:t>
      </w:r>
      <w:r>
        <w:rPr>
          <w:rFonts w:cs="Arial"/>
        </w:rPr>
        <w:noBreakHyphen/>
        <w:t>attended roundtable and exhibition at WIPO headquarters</w:t>
      </w:r>
      <w:r w:rsidRPr="00FD3808">
        <w:rPr>
          <w:rFonts w:cs="Arial"/>
        </w:rPr>
        <w:t xml:space="preserve">. </w:t>
      </w:r>
      <w:r w:rsidRPr="00793C20">
        <w:rPr>
          <w:rFonts w:cs="Arial"/>
        </w:rPr>
        <w:t>WIPO’s 2015 #WorldIP</w:t>
      </w:r>
      <w:r w:rsidRPr="00E705F5">
        <w:rPr>
          <w:rFonts w:cs="Arial"/>
        </w:rPr>
        <w:t>Day tweets gained 5.2</w:t>
      </w:r>
      <w:r>
        <w:rPr>
          <w:rFonts w:cs="Arial"/>
        </w:rPr>
        <w:t> </w:t>
      </w:r>
      <w:r w:rsidRPr="00E705F5">
        <w:rPr>
          <w:rFonts w:cs="Arial"/>
        </w:rPr>
        <w:t>million potential impressions (compared to 1.55 million in 2013) and some 900 retweets.</w:t>
      </w:r>
      <w:r w:rsidRPr="00FD3808">
        <w:rPr>
          <w:rFonts w:cs="Arial"/>
        </w:rPr>
        <w:t xml:space="preserve"> </w:t>
      </w:r>
      <w:r>
        <w:rPr>
          <w:rFonts w:cs="Arial"/>
        </w:rPr>
        <w:t xml:space="preserve"> Participation was truly global with v</w:t>
      </w:r>
      <w:r w:rsidRPr="00FD3808">
        <w:rPr>
          <w:rFonts w:cs="Arial"/>
        </w:rPr>
        <w:t xml:space="preserve">iews of the </w:t>
      </w:r>
      <w:r>
        <w:rPr>
          <w:rFonts w:cs="Arial"/>
        </w:rPr>
        <w:t xml:space="preserve">webpage in Chinese exceeding </w:t>
      </w:r>
      <w:r w:rsidRPr="00FD3808">
        <w:rPr>
          <w:rFonts w:cs="Arial"/>
        </w:rPr>
        <w:t xml:space="preserve">the English </w:t>
      </w:r>
      <w:r>
        <w:rPr>
          <w:rFonts w:cs="Arial"/>
        </w:rPr>
        <w:t>version</w:t>
      </w:r>
      <w:r w:rsidRPr="00FD3808">
        <w:rPr>
          <w:rFonts w:cs="Arial"/>
        </w:rPr>
        <w:t xml:space="preserve"> in 2014</w:t>
      </w:r>
      <w:r>
        <w:rPr>
          <w:rFonts w:cs="Arial"/>
        </w:rPr>
        <w:t>;</w:t>
      </w:r>
      <w:r w:rsidRPr="00FD3808">
        <w:rPr>
          <w:rFonts w:cs="Arial"/>
        </w:rPr>
        <w:t xml:space="preserve"> </w:t>
      </w:r>
      <w:r>
        <w:rPr>
          <w:rFonts w:cs="Arial"/>
        </w:rPr>
        <w:t>while</w:t>
      </w:r>
      <w:r w:rsidRPr="00FD3808">
        <w:rPr>
          <w:rFonts w:cs="Arial"/>
        </w:rPr>
        <w:t xml:space="preserve"> the highest numbers of </w:t>
      </w:r>
      <w:r>
        <w:rPr>
          <w:rFonts w:cs="Arial"/>
        </w:rPr>
        <w:t xml:space="preserve">’likes’ of the </w:t>
      </w:r>
      <w:r w:rsidRPr="00FD3808">
        <w:rPr>
          <w:rFonts w:cs="Arial"/>
        </w:rPr>
        <w:t xml:space="preserve">Facebook page </w:t>
      </w:r>
      <w:r>
        <w:rPr>
          <w:rFonts w:cs="Arial"/>
        </w:rPr>
        <w:t xml:space="preserve">came respectively </w:t>
      </w:r>
      <w:r w:rsidRPr="00FD3808">
        <w:rPr>
          <w:rFonts w:cs="Arial"/>
        </w:rPr>
        <w:t>from India, the U</w:t>
      </w:r>
      <w:r>
        <w:rPr>
          <w:rFonts w:cs="Arial"/>
        </w:rPr>
        <w:t xml:space="preserve">nited </w:t>
      </w:r>
      <w:r w:rsidRPr="00FD3808">
        <w:rPr>
          <w:rFonts w:cs="Arial"/>
        </w:rPr>
        <w:t>S</w:t>
      </w:r>
      <w:r>
        <w:rPr>
          <w:rFonts w:cs="Arial"/>
        </w:rPr>
        <w:t>tates of America</w:t>
      </w:r>
      <w:r w:rsidRPr="00FD3808">
        <w:rPr>
          <w:rFonts w:cs="Arial"/>
        </w:rPr>
        <w:t>, Mexico, Egypt and Brazil.</w:t>
      </w:r>
    </w:p>
    <w:p w:rsidR="00F838C5" w:rsidRDefault="00F838C5" w:rsidP="001363EE">
      <w:pPr>
        <w:pStyle w:val="ListParagraph"/>
        <w:tabs>
          <w:tab w:val="left" w:pos="709"/>
        </w:tabs>
        <w:ind w:left="0"/>
        <w:jc w:val="both"/>
        <w:rPr>
          <w:rFonts w:cs="Arial"/>
        </w:rPr>
      </w:pPr>
    </w:p>
    <w:p w:rsidR="00F838C5" w:rsidRPr="00E705F5" w:rsidRDefault="00F838C5" w:rsidP="00F838C5">
      <w:pPr>
        <w:pStyle w:val="ListParagraph"/>
        <w:numPr>
          <w:ilvl w:val="0"/>
          <w:numId w:val="63"/>
        </w:numPr>
        <w:tabs>
          <w:tab w:val="left" w:pos="709"/>
        </w:tabs>
        <w:ind w:left="0" w:firstLine="0"/>
        <w:jc w:val="both"/>
        <w:rPr>
          <w:rFonts w:cs="Arial"/>
        </w:rPr>
      </w:pPr>
      <w:r w:rsidRPr="00BE0A3A">
        <w:rPr>
          <w:rFonts w:cs="Arial"/>
        </w:rPr>
        <w:t xml:space="preserve">Face-to-face communications included the popular WIPO Briefings Program.  In 2014/15, staff delivered tailored presentations to 178 visiting groups, comprising over 4,000 university students from across the globe.  Participation in local events, such as the UN Open Day, also </w:t>
      </w:r>
      <w:r>
        <w:rPr>
          <w:rFonts w:cs="Arial"/>
        </w:rPr>
        <w:t>provided opportunities for well</w:t>
      </w:r>
      <w:r>
        <w:rPr>
          <w:rFonts w:cs="Arial"/>
        </w:rPr>
        <w:noBreakHyphen/>
      </w:r>
      <w:r w:rsidRPr="00BE0A3A">
        <w:rPr>
          <w:rFonts w:cs="Arial"/>
        </w:rPr>
        <w:t>received outreach to the Geneva public.</w:t>
      </w:r>
    </w:p>
    <w:p w:rsidR="00F838C5" w:rsidRPr="00E705F5" w:rsidRDefault="00F838C5" w:rsidP="001363EE">
      <w:pPr>
        <w:pStyle w:val="ListParagraph"/>
        <w:tabs>
          <w:tab w:val="left" w:pos="709"/>
        </w:tabs>
        <w:ind w:left="0"/>
        <w:jc w:val="both"/>
        <w:rPr>
          <w:rFonts w:cs="Arial"/>
        </w:rPr>
      </w:pPr>
    </w:p>
    <w:p w:rsidR="00F838C5" w:rsidRDefault="00F838C5" w:rsidP="00F838C5">
      <w:pPr>
        <w:pStyle w:val="ListParagraph"/>
        <w:numPr>
          <w:ilvl w:val="0"/>
          <w:numId w:val="63"/>
        </w:numPr>
        <w:tabs>
          <w:tab w:val="left" w:pos="709"/>
        </w:tabs>
        <w:ind w:left="0" w:firstLine="0"/>
        <w:jc w:val="both"/>
        <w:rPr>
          <w:rFonts w:cs="Arial"/>
        </w:rPr>
      </w:pPr>
      <w:r w:rsidRPr="00E705F5">
        <w:rPr>
          <w:rFonts w:cs="Arial"/>
        </w:rPr>
        <w:t xml:space="preserve">The drive to create original, </w:t>
      </w:r>
      <w:r w:rsidRPr="00857627">
        <w:rPr>
          <w:rFonts w:cs="Arial"/>
        </w:rPr>
        <w:t>high</w:t>
      </w:r>
      <w:r w:rsidRPr="00793C20">
        <w:rPr>
          <w:rFonts w:cs="Arial"/>
        </w:rPr>
        <w:t xml:space="preserve"> </w:t>
      </w:r>
      <w:r w:rsidRPr="00857627">
        <w:rPr>
          <w:rFonts w:cs="Arial"/>
        </w:rPr>
        <w:t>quality</w:t>
      </w:r>
      <w:r w:rsidRPr="00793C20">
        <w:rPr>
          <w:rFonts w:cs="Arial"/>
        </w:rPr>
        <w:t xml:space="preserve"> </w:t>
      </w:r>
      <w:r w:rsidRPr="00B5146E">
        <w:rPr>
          <w:rFonts w:cs="Arial"/>
          <w:b/>
        </w:rPr>
        <w:t>editorial and visual content</w:t>
      </w:r>
      <w:r w:rsidRPr="00793C20">
        <w:rPr>
          <w:rFonts w:cs="Arial"/>
        </w:rPr>
        <w:t xml:space="preserve"> continued to pay dividends</w:t>
      </w:r>
      <w:r>
        <w:rPr>
          <w:rFonts w:cs="Arial"/>
        </w:rPr>
        <w:t xml:space="preserve"> in 2014/15</w:t>
      </w:r>
      <w:r w:rsidRPr="00793C20">
        <w:rPr>
          <w:rFonts w:cs="Arial"/>
        </w:rPr>
        <w:t>.  An infographic created to present</w:t>
      </w:r>
      <w:r w:rsidRPr="00E705F5">
        <w:rPr>
          <w:rFonts w:cs="Arial"/>
        </w:rPr>
        <w:t xml:space="preserve"> the 2015 GII data was </w:t>
      </w:r>
      <w:r w:rsidRPr="00BE0A3A">
        <w:rPr>
          <w:rFonts w:cs="Arial"/>
        </w:rPr>
        <w:t>retweeted over 400 times, making it WIPO’s most shared social media item to date</w:t>
      </w:r>
      <w:r w:rsidRPr="00793C20">
        <w:rPr>
          <w:rFonts w:cs="Arial"/>
        </w:rPr>
        <w:t>.</w:t>
      </w:r>
      <w:r w:rsidRPr="006F01B0">
        <w:rPr>
          <w:rFonts w:cs="Arial"/>
        </w:rPr>
        <w:t xml:space="preserve"> </w:t>
      </w:r>
      <w:r>
        <w:rPr>
          <w:rFonts w:cs="Arial"/>
        </w:rPr>
        <w:t xml:space="preserve"> O</w:t>
      </w:r>
      <w:r w:rsidRPr="006F01B0">
        <w:rPr>
          <w:rFonts w:cs="Arial"/>
        </w:rPr>
        <w:t xml:space="preserve">ver </w:t>
      </w:r>
      <w:r>
        <w:rPr>
          <w:rFonts w:cs="Arial"/>
        </w:rPr>
        <w:t>425</w:t>
      </w:r>
      <w:r w:rsidRPr="006F01B0">
        <w:rPr>
          <w:rFonts w:cs="Arial"/>
        </w:rPr>
        <w:t xml:space="preserve"> </w:t>
      </w:r>
      <w:r w:rsidRPr="0033716A">
        <w:rPr>
          <w:rFonts w:cs="Arial"/>
        </w:rPr>
        <w:t>design</w:t>
      </w:r>
      <w:r w:rsidRPr="006F01B0">
        <w:rPr>
          <w:rFonts w:cs="Arial"/>
        </w:rPr>
        <w:t xml:space="preserve"> products were created </w:t>
      </w:r>
      <w:r>
        <w:rPr>
          <w:rFonts w:cs="Arial"/>
        </w:rPr>
        <w:t xml:space="preserve">for </w:t>
      </w:r>
      <w:r w:rsidRPr="006F01B0">
        <w:rPr>
          <w:rFonts w:cs="Arial"/>
        </w:rPr>
        <w:t>print and online</w:t>
      </w:r>
      <w:r>
        <w:rPr>
          <w:rFonts w:cs="Arial"/>
        </w:rPr>
        <w:t xml:space="preserve"> use</w:t>
      </w:r>
      <w:r w:rsidRPr="006F01B0">
        <w:rPr>
          <w:rFonts w:cs="Arial"/>
        </w:rPr>
        <w:t xml:space="preserve"> in </w:t>
      </w:r>
      <w:r>
        <w:rPr>
          <w:rFonts w:cs="Arial"/>
        </w:rPr>
        <w:t>20</w:t>
      </w:r>
      <w:r w:rsidRPr="006F01B0">
        <w:rPr>
          <w:rFonts w:cs="Arial"/>
        </w:rPr>
        <w:t>14/15, including flyers, publications, web content and promotional materials in multiple language</w:t>
      </w:r>
      <w:r>
        <w:rPr>
          <w:rFonts w:cs="Arial"/>
        </w:rPr>
        <w:t>s</w:t>
      </w:r>
      <w:r w:rsidRPr="006F01B0">
        <w:rPr>
          <w:rFonts w:cs="Arial"/>
        </w:rPr>
        <w:t xml:space="preserve">. </w:t>
      </w:r>
      <w:r>
        <w:rPr>
          <w:rFonts w:cs="Arial"/>
        </w:rPr>
        <w:t xml:space="preserve"> </w:t>
      </w:r>
      <w:r w:rsidRPr="00CA0E14">
        <w:rPr>
          <w:rFonts w:cs="Arial"/>
        </w:rPr>
        <w:t xml:space="preserve">The bi-monthly </w:t>
      </w:r>
      <w:r w:rsidRPr="00857627">
        <w:rPr>
          <w:rFonts w:cs="Arial"/>
        </w:rPr>
        <w:t>WIPO Magazine</w:t>
      </w:r>
      <w:r w:rsidRPr="00CA0E14">
        <w:rPr>
          <w:rFonts w:cs="Arial"/>
        </w:rPr>
        <w:t xml:space="preserve"> </w:t>
      </w:r>
      <w:r>
        <w:rPr>
          <w:rFonts w:cs="Arial"/>
        </w:rPr>
        <w:t>reached over one million unique page views during the biennium, up 19 per cent, with readers regularly sharing the articles via social media.</w:t>
      </w:r>
      <w:r w:rsidRPr="006F01B0">
        <w:rPr>
          <w:rFonts w:cs="Arial"/>
        </w:rPr>
        <w:t xml:space="preserve"> </w:t>
      </w:r>
      <w:r>
        <w:rPr>
          <w:rFonts w:cs="Arial"/>
        </w:rPr>
        <w:t xml:space="preserve"> </w:t>
      </w:r>
      <w:r w:rsidRPr="006F01B0">
        <w:rPr>
          <w:rFonts w:cs="Arial"/>
        </w:rPr>
        <w:t>The revamped</w:t>
      </w:r>
      <w:r>
        <w:rPr>
          <w:rFonts w:cs="Arial"/>
        </w:rPr>
        <w:t>, web-based</w:t>
      </w:r>
      <w:r w:rsidRPr="006F01B0">
        <w:rPr>
          <w:rFonts w:cs="Arial"/>
        </w:rPr>
        <w:t xml:space="preserve"> </w:t>
      </w:r>
      <w:r w:rsidRPr="00857627">
        <w:rPr>
          <w:rFonts w:cs="Arial"/>
        </w:rPr>
        <w:t>Media Center</w:t>
      </w:r>
      <w:r w:rsidRPr="006F01B0">
        <w:rPr>
          <w:rFonts w:cs="Arial"/>
        </w:rPr>
        <w:t xml:space="preserve"> </w:t>
      </w:r>
      <w:r>
        <w:rPr>
          <w:rFonts w:cs="Arial"/>
        </w:rPr>
        <w:t xml:space="preserve">was </w:t>
      </w:r>
      <w:r w:rsidRPr="006F01B0">
        <w:rPr>
          <w:rFonts w:cs="Arial"/>
        </w:rPr>
        <w:t xml:space="preserve">developed as a window </w:t>
      </w:r>
      <w:r>
        <w:rPr>
          <w:rFonts w:cs="Arial"/>
        </w:rPr>
        <w:t>into</w:t>
      </w:r>
      <w:r w:rsidRPr="006F01B0">
        <w:rPr>
          <w:rFonts w:cs="Arial"/>
        </w:rPr>
        <w:t xml:space="preserve"> WIPO’s work</w:t>
      </w:r>
      <w:r>
        <w:rPr>
          <w:rFonts w:cs="Arial"/>
        </w:rPr>
        <w:t xml:space="preserve"> and how it globally </w:t>
      </w:r>
      <w:r w:rsidRPr="006F01B0">
        <w:rPr>
          <w:rFonts w:cs="Arial"/>
        </w:rPr>
        <w:t xml:space="preserve">benefits </w:t>
      </w:r>
      <w:r>
        <w:rPr>
          <w:rFonts w:cs="Arial"/>
        </w:rPr>
        <w:t>the general public</w:t>
      </w:r>
      <w:r w:rsidRPr="007C6FA3">
        <w:rPr>
          <w:rFonts w:cs="Arial"/>
        </w:rPr>
        <w:t>, u</w:t>
      </w:r>
      <w:r w:rsidRPr="006F01B0">
        <w:rPr>
          <w:rFonts w:cs="Arial"/>
        </w:rPr>
        <w:t xml:space="preserve">sing video content, short reports and longer-form storytelling. </w:t>
      </w:r>
      <w:r>
        <w:rPr>
          <w:rFonts w:cs="Arial"/>
        </w:rPr>
        <w:t xml:space="preserve"> In line with global communications trends, </w:t>
      </w:r>
      <w:r w:rsidRPr="006F01B0">
        <w:rPr>
          <w:rFonts w:cs="Arial"/>
        </w:rPr>
        <w:t xml:space="preserve">views of </w:t>
      </w:r>
      <w:r>
        <w:rPr>
          <w:rFonts w:cs="Arial"/>
        </w:rPr>
        <w:t xml:space="preserve">traditional </w:t>
      </w:r>
      <w:r w:rsidRPr="006F01B0">
        <w:rPr>
          <w:rFonts w:cs="Arial"/>
        </w:rPr>
        <w:t xml:space="preserve">press releases fell </w:t>
      </w:r>
      <w:r>
        <w:rPr>
          <w:rFonts w:cs="Arial"/>
        </w:rPr>
        <w:t xml:space="preserve">slightly (1.6 per cent), while the more accessible </w:t>
      </w:r>
      <w:r w:rsidRPr="006F01B0">
        <w:rPr>
          <w:rFonts w:cs="Arial"/>
        </w:rPr>
        <w:t>Media Center content d</w:t>
      </w:r>
      <w:r>
        <w:rPr>
          <w:rFonts w:cs="Arial"/>
        </w:rPr>
        <w:t>rew over 500,000 unique views in the biennium</w:t>
      </w:r>
      <w:r w:rsidRPr="006F01B0">
        <w:rPr>
          <w:rFonts w:cs="Arial"/>
        </w:rPr>
        <w:t xml:space="preserve">. </w:t>
      </w:r>
      <w:r>
        <w:rPr>
          <w:rFonts w:cs="Arial"/>
        </w:rPr>
        <w:t xml:space="preserve"> </w:t>
      </w:r>
    </w:p>
    <w:p w:rsidR="00F838C5" w:rsidRPr="006F01B0" w:rsidRDefault="00F838C5" w:rsidP="001363EE">
      <w:pPr>
        <w:pStyle w:val="ListParagraph"/>
        <w:tabs>
          <w:tab w:val="left" w:pos="709"/>
        </w:tabs>
        <w:ind w:left="0"/>
        <w:jc w:val="both"/>
        <w:rPr>
          <w:rFonts w:cs="Arial"/>
        </w:rPr>
      </w:pPr>
    </w:p>
    <w:p w:rsidR="00F838C5" w:rsidRPr="00BE0A3A" w:rsidRDefault="00F838C5" w:rsidP="00F838C5">
      <w:pPr>
        <w:pStyle w:val="ListParagraph"/>
        <w:numPr>
          <w:ilvl w:val="0"/>
          <w:numId w:val="63"/>
        </w:numPr>
        <w:tabs>
          <w:tab w:val="left" w:pos="709"/>
        </w:tabs>
        <w:ind w:left="0" w:firstLine="0"/>
        <w:jc w:val="both"/>
        <w:rPr>
          <w:rFonts w:cs="Arial"/>
        </w:rPr>
      </w:pPr>
      <w:r w:rsidRPr="006F01B0">
        <w:rPr>
          <w:rFonts w:cs="Arial"/>
        </w:rPr>
        <w:t xml:space="preserve">WIPO’s </w:t>
      </w:r>
      <w:r w:rsidRPr="00B5146E">
        <w:rPr>
          <w:rFonts w:cs="Arial"/>
          <w:b/>
        </w:rPr>
        <w:t>video</w:t>
      </w:r>
      <w:r w:rsidRPr="006F01B0">
        <w:rPr>
          <w:rFonts w:cs="Arial"/>
        </w:rPr>
        <w:t xml:space="preserve"> production continued to intensify in response to the global </w:t>
      </w:r>
      <w:r>
        <w:rPr>
          <w:rFonts w:cs="Arial"/>
        </w:rPr>
        <w:t>appetite for</w:t>
      </w:r>
      <w:r w:rsidRPr="006F01B0">
        <w:rPr>
          <w:rFonts w:cs="Arial"/>
        </w:rPr>
        <w:t xml:space="preserve"> video as a </w:t>
      </w:r>
      <w:r>
        <w:rPr>
          <w:rFonts w:cs="Arial"/>
        </w:rPr>
        <w:t xml:space="preserve">preferred </w:t>
      </w:r>
      <w:r w:rsidRPr="006F01B0">
        <w:rPr>
          <w:rFonts w:cs="Arial"/>
        </w:rPr>
        <w:t xml:space="preserve">communication medium. </w:t>
      </w:r>
      <w:r>
        <w:rPr>
          <w:rFonts w:cs="Arial"/>
        </w:rPr>
        <w:t xml:space="preserve"> Some 272 </w:t>
      </w:r>
      <w:r w:rsidRPr="00DC703B">
        <w:rPr>
          <w:rFonts w:cs="Arial"/>
        </w:rPr>
        <w:t xml:space="preserve">new videos were </w:t>
      </w:r>
      <w:r>
        <w:rPr>
          <w:rFonts w:cs="Arial"/>
        </w:rPr>
        <w:t xml:space="preserve">created, of which </w:t>
      </w:r>
      <w:r w:rsidRPr="00DC703B">
        <w:rPr>
          <w:rFonts w:cs="Arial"/>
        </w:rPr>
        <w:t xml:space="preserve">161 </w:t>
      </w:r>
      <w:r>
        <w:rPr>
          <w:rFonts w:cs="Arial"/>
        </w:rPr>
        <w:t xml:space="preserve">were </w:t>
      </w:r>
      <w:r w:rsidRPr="00DC703B">
        <w:rPr>
          <w:rFonts w:cs="Arial"/>
        </w:rPr>
        <w:t xml:space="preserve">posted on </w:t>
      </w:r>
      <w:r w:rsidRPr="00DC703B">
        <w:rPr>
          <w:rFonts w:cs="Arial"/>
        </w:rPr>
        <w:lastRenderedPageBreak/>
        <w:t>YouTube in 2014/15,</w:t>
      </w:r>
      <w:r w:rsidRPr="006F01B0">
        <w:rPr>
          <w:rFonts w:cs="Arial"/>
        </w:rPr>
        <w:t xml:space="preserve"> including news reporting, innovator/creator</w:t>
      </w:r>
      <w:r>
        <w:rPr>
          <w:rFonts w:cs="Arial"/>
        </w:rPr>
        <w:t xml:space="preserve"> stories and promotional pieces.</w:t>
      </w:r>
      <w:r w:rsidRPr="006F01B0">
        <w:rPr>
          <w:rFonts w:cs="Arial"/>
        </w:rPr>
        <w:t xml:space="preserve"> </w:t>
      </w:r>
      <w:r>
        <w:rPr>
          <w:rFonts w:cs="Arial"/>
        </w:rPr>
        <w:t xml:space="preserve"> While t</w:t>
      </w:r>
      <w:r w:rsidRPr="000B3F3D">
        <w:rPr>
          <w:rFonts w:cs="Arial"/>
        </w:rPr>
        <w:t xml:space="preserve">he </w:t>
      </w:r>
      <w:r>
        <w:rPr>
          <w:rFonts w:cs="Arial"/>
        </w:rPr>
        <w:t xml:space="preserve">2012/13 </w:t>
      </w:r>
      <w:r w:rsidRPr="000B3F3D">
        <w:rPr>
          <w:rFonts w:cs="Arial"/>
        </w:rPr>
        <w:t xml:space="preserve">viral spike </w:t>
      </w:r>
      <w:r>
        <w:rPr>
          <w:rFonts w:cs="Arial"/>
        </w:rPr>
        <w:t xml:space="preserve">in viewings </w:t>
      </w:r>
      <w:r w:rsidRPr="000B3F3D">
        <w:rPr>
          <w:rFonts w:cs="Arial"/>
        </w:rPr>
        <w:t xml:space="preserve">of the </w:t>
      </w:r>
      <w:r w:rsidRPr="00B5146E">
        <w:rPr>
          <w:rFonts w:cs="Arial"/>
          <w:i/>
        </w:rPr>
        <w:t>Pororo</w:t>
      </w:r>
      <w:r w:rsidRPr="000B3F3D">
        <w:rPr>
          <w:rFonts w:cs="Arial"/>
        </w:rPr>
        <w:t xml:space="preserve"> children’s cartoons subsided</w:t>
      </w:r>
      <w:r>
        <w:rPr>
          <w:rFonts w:cs="Arial"/>
        </w:rPr>
        <w:t>, t</w:t>
      </w:r>
      <w:r w:rsidRPr="000B3F3D">
        <w:rPr>
          <w:rFonts w:cs="Arial"/>
        </w:rPr>
        <w:t>he</w:t>
      </w:r>
      <w:r>
        <w:rPr>
          <w:rFonts w:cs="Arial"/>
        </w:rPr>
        <w:t xml:space="preserve"> underlying viewing figures for</w:t>
      </w:r>
      <w:r w:rsidRPr="000B3F3D">
        <w:rPr>
          <w:rFonts w:cs="Arial"/>
        </w:rPr>
        <w:t xml:space="preserve"> other (non-cartoon) videos</w:t>
      </w:r>
      <w:r>
        <w:rPr>
          <w:rFonts w:cs="Arial"/>
        </w:rPr>
        <w:t xml:space="preserve"> continued on an upward trend.  </w:t>
      </w:r>
      <w:r w:rsidRPr="006F01B0">
        <w:rPr>
          <w:rFonts w:cs="Arial"/>
        </w:rPr>
        <w:t xml:space="preserve">Total lifetime views of the WIPO YouTube channel (since its April 2010 launch) sailed past the </w:t>
      </w:r>
      <w:r>
        <w:rPr>
          <w:rFonts w:cs="Arial"/>
        </w:rPr>
        <w:t>nine</w:t>
      </w:r>
      <w:r w:rsidRPr="006F01B0">
        <w:rPr>
          <w:rFonts w:cs="Arial"/>
        </w:rPr>
        <w:t xml:space="preserve"> million milestone.  WIPO’s </w:t>
      </w:r>
      <w:r w:rsidRPr="00857627">
        <w:rPr>
          <w:rFonts w:cs="Arial"/>
        </w:rPr>
        <w:t>photos</w:t>
      </w:r>
      <w:r w:rsidRPr="00BE0A3A">
        <w:rPr>
          <w:rFonts w:cs="Arial"/>
        </w:rPr>
        <w:t xml:space="preserve"> </w:t>
      </w:r>
      <w:r w:rsidRPr="006F01B0">
        <w:rPr>
          <w:rFonts w:cs="Arial"/>
        </w:rPr>
        <w:t xml:space="preserve">on Flickr attracted </w:t>
      </w:r>
      <w:r>
        <w:rPr>
          <w:rFonts w:cs="Arial"/>
        </w:rPr>
        <w:t xml:space="preserve">over </w:t>
      </w:r>
      <w:r w:rsidRPr="00B4673D">
        <w:rPr>
          <w:rFonts w:cs="Arial"/>
        </w:rPr>
        <w:t>2</w:t>
      </w:r>
      <w:r>
        <w:rPr>
          <w:rFonts w:cs="Arial"/>
        </w:rPr>
        <w:t>.5 million</w:t>
      </w:r>
      <w:r w:rsidRPr="00B4673D">
        <w:rPr>
          <w:rFonts w:cs="Arial"/>
        </w:rPr>
        <w:t xml:space="preserve"> </w:t>
      </w:r>
      <w:r>
        <w:rPr>
          <w:rFonts w:cs="Arial"/>
        </w:rPr>
        <w:t xml:space="preserve">additional photo </w:t>
      </w:r>
      <w:r w:rsidRPr="006F01B0">
        <w:rPr>
          <w:rFonts w:cs="Arial"/>
        </w:rPr>
        <w:t>views during the 2014/15 biennium</w:t>
      </w:r>
      <w:r>
        <w:rPr>
          <w:rFonts w:cs="Arial"/>
        </w:rPr>
        <w:t>, bringing the lifetime total to more than 3.4 million as compared to 900,000 in 2012/13</w:t>
      </w:r>
      <w:r w:rsidRPr="006F01B0">
        <w:rPr>
          <w:rFonts w:cs="Arial"/>
        </w:rPr>
        <w:t>.</w:t>
      </w:r>
    </w:p>
    <w:p w:rsidR="00F838C5" w:rsidRPr="006F01B0" w:rsidRDefault="00F838C5" w:rsidP="001363EE">
      <w:pPr>
        <w:pStyle w:val="ListParagraph"/>
        <w:tabs>
          <w:tab w:val="left" w:pos="709"/>
        </w:tabs>
        <w:ind w:left="0"/>
        <w:jc w:val="both"/>
        <w:rPr>
          <w:rFonts w:cs="Arial"/>
        </w:rPr>
      </w:pPr>
    </w:p>
    <w:p w:rsidR="00F838C5" w:rsidRPr="006F01B0" w:rsidRDefault="00F838C5" w:rsidP="00F838C5">
      <w:pPr>
        <w:pStyle w:val="ListParagraph"/>
        <w:numPr>
          <w:ilvl w:val="0"/>
          <w:numId w:val="63"/>
        </w:numPr>
        <w:tabs>
          <w:tab w:val="left" w:pos="709"/>
        </w:tabs>
        <w:ind w:left="0" w:firstLine="0"/>
        <w:jc w:val="both"/>
        <w:rPr>
          <w:rFonts w:cs="Arial"/>
        </w:rPr>
      </w:pPr>
      <w:r w:rsidRPr="006F01B0">
        <w:rPr>
          <w:rFonts w:cs="Arial"/>
        </w:rPr>
        <w:t>The second phase of the</w:t>
      </w:r>
      <w:r w:rsidRPr="00BE0A3A">
        <w:rPr>
          <w:rFonts w:cs="Arial"/>
        </w:rPr>
        <w:t xml:space="preserve"> </w:t>
      </w:r>
      <w:r w:rsidRPr="0033716A">
        <w:rPr>
          <w:rFonts w:cs="Arial"/>
        </w:rPr>
        <w:t>WIPO</w:t>
      </w:r>
      <w:r w:rsidRPr="00BE0A3A">
        <w:rPr>
          <w:rFonts w:cs="Arial"/>
        </w:rPr>
        <w:t xml:space="preserve"> </w:t>
      </w:r>
      <w:r w:rsidRPr="00B5146E">
        <w:rPr>
          <w:rFonts w:cs="Arial"/>
          <w:b/>
        </w:rPr>
        <w:t>website</w:t>
      </w:r>
      <w:r w:rsidRPr="00BE0A3A">
        <w:rPr>
          <w:rFonts w:cs="Arial"/>
        </w:rPr>
        <w:t xml:space="preserve"> </w:t>
      </w:r>
      <w:r w:rsidRPr="006F01B0">
        <w:rPr>
          <w:rFonts w:cs="Arial"/>
        </w:rPr>
        <w:t>overhaul made good progress with the systematic clean-up, improvement and redesign of lower</w:t>
      </w:r>
      <w:r>
        <w:rPr>
          <w:rFonts w:cs="Arial"/>
        </w:rPr>
        <w:t>-</w:t>
      </w:r>
      <w:r w:rsidRPr="006F01B0">
        <w:rPr>
          <w:rFonts w:cs="Arial"/>
        </w:rPr>
        <w:t>level pages; improved search functionali</w:t>
      </w:r>
      <w:r>
        <w:rPr>
          <w:rFonts w:cs="Arial"/>
        </w:rPr>
        <w:t>ty; a technical upgrade of the content management s</w:t>
      </w:r>
      <w:r w:rsidRPr="006F01B0">
        <w:rPr>
          <w:rFonts w:cs="Arial"/>
        </w:rPr>
        <w:t xml:space="preserve">ystem; and preparation of further visual design improvements for implementation in 2016. </w:t>
      </w:r>
      <w:r>
        <w:rPr>
          <w:rFonts w:cs="Arial"/>
        </w:rPr>
        <w:t xml:space="preserve"> </w:t>
      </w:r>
      <w:r w:rsidRPr="006F01B0">
        <w:rPr>
          <w:rFonts w:cs="Arial"/>
        </w:rPr>
        <w:t>New web content was created, for example, for the External Office</w:t>
      </w:r>
      <w:r>
        <w:rPr>
          <w:rFonts w:cs="Arial"/>
        </w:rPr>
        <w:t>s</w:t>
      </w:r>
      <w:r w:rsidRPr="006F01B0">
        <w:rPr>
          <w:rFonts w:cs="Arial"/>
        </w:rPr>
        <w:t xml:space="preserve">; Women and IP; the Assemblies; and for all major events, products and new initiatives. </w:t>
      </w:r>
      <w:r>
        <w:rPr>
          <w:rFonts w:cs="Arial"/>
        </w:rPr>
        <w:t xml:space="preserve"> </w:t>
      </w:r>
      <w:r w:rsidRPr="006F01B0">
        <w:rPr>
          <w:rFonts w:cs="Arial"/>
        </w:rPr>
        <w:t xml:space="preserve">High priority was given to increasing the prompt translation and publishing of web content in all </w:t>
      </w:r>
      <w:r w:rsidRPr="00857627">
        <w:rPr>
          <w:rFonts w:cs="Arial"/>
        </w:rPr>
        <w:t>six</w:t>
      </w:r>
      <w:r w:rsidRPr="00F631B9">
        <w:rPr>
          <w:rFonts w:cs="Arial"/>
        </w:rPr>
        <w:t xml:space="preserve"> </w:t>
      </w:r>
      <w:r w:rsidRPr="00857627">
        <w:rPr>
          <w:rFonts w:cs="Arial"/>
        </w:rPr>
        <w:t>languages</w:t>
      </w:r>
      <w:r w:rsidRPr="006F01B0">
        <w:rPr>
          <w:rFonts w:cs="Arial"/>
        </w:rPr>
        <w:t>.  Language Division staff were trained in 2015</w:t>
      </w:r>
      <w:r>
        <w:rPr>
          <w:rFonts w:cs="Arial"/>
        </w:rPr>
        <w:t> </w:t>
      </w:r>
      <w:r w:rsidRPr="006F01B0">
        <w:rPr>
          <w:rFonts w:cs="Arial"/>
        </w:rPr>
        <w:t>to directly input Arabic, Chinese and Russian content</w:t>
      </w:r>
      <w:r>
        <w:rPr>
          <w:rFonts w:cs="Arial"/>
        </w:rPr>
        <w:t xml:space="preserve"> onto the website –</w:t>
      </w:r>
      <w:r w:rsidRPr="006F01B0">
        <w:rPr>
          <w:rFonts w:cs="Arial"/>
        </w:rPr>
        <w:t xml:space="preserve"> improv</w:t>
      </w:r>
      <w:r>
        <w:rPr>
          <w:rFonts w:cs="Arial"/>
        </w:rPr>
        <w:t>ing</w:t>
      </w:r>
      <w:r w:rsidRPr="006F01B0">
        <w:rPr>
          <w:rFonts w:cs="Arial"/>
        </w:rPr>
        <w:t xml:space="preserve"> the quality, quantity and speed of web publishing in these languages</w:t>
      </w:r>
      <w:r>
        <w:rPr>
          <w:rFonts w:cs="Arial"/>
        </w:rPr>
        <w:t xml:space="preserve">.  WIPO’s </w:t>
      </w:r>
      <w:r w:rsidRPr="00B5146E">
        <w:rPr>
          <w:rFonts w:cs="Arial"/>
          <w:b/>
        </w:rPr>
        <w:t>social media</w:t>
      </w:r>
      <w:r>
        <w:rPr>
          <w:rFonts w:cs="Arial"/>
        </w:rPr>
        <w:t xml:space="preserve"> continued to achieve strong engagement levels on Twitter, and work began on a social media strategy review for implementation in 2016/17. </w:t>
      </w:r>
    </w:p>
    <w:p w:rsidR="00F838C5" w:rsidRPr="006F01B0" w:rsidRDefault="00F838C5" w:rsidP="001363EE">
      <w:pPr>
        <w:pStyle w:val="ListParagraph"/>
        <w:tabs>
          <w:tab w:val="left" w:pos="709"/>
        </w:tabs>
        <w:ind w:left="0"/>
        <w:jc w:val="both"/>
        <w:rPr>
          <w:rFonts w:cs="Arial"/>
        </w:rPr>
      </w:pPr>
    </w:p>
    <w:p w:rsidR="00F838C5" w:rsidRPr="00BE0A3A" w:rsidRDefault="00F838C5" w:rsidP="00F838C5">
      <w:pPr>
        <w:pStyle w:val="ListParagraph"/>
        <w:numPr>
          <w:ilvl w:val="0"/>
          <w:numId w:val="63"/>
        </w:numPr>
        <w:tabs>
          <w:tab w:val="left" w:pos="709"/>
        </w:tabs>
        <w:ind w:left="0" w:firstLine="0"/>
        <w:jc w:val="both"/>
        <w:rPr>
          <w:rFonts w:cs="Arial"/>
        </w:rPr>
      </w:pPr>
      <w:r>
        <w:rPr>
          <w:rFonts w:cs="Arial"/>
        </w:rPr>
        <w:t>T</w:t>
      </w:r>
      <w:r w:rsidRPr="00BE0A3A">
        <w:rPr>
          <w:rFonts w:cs="Arial"/>
        </w:rPr>
        <w:t xml:space="preserve">he </w:t>
      </w:r>
      <w:r w:rsidRPr="00B5146E">
        <w:rPr>
          <w:rFonts w:cs="Arial"/>
          <w:b/>
        </w:rPr>
        <w:t>publications</w:t>
      </w:r>
      <w:r w:rsidRPr="00BE0A3A">
        <w:rPr>
          <w:rFonts w:cs="Arial"/>
        </w:rPr>
        <w:t xml:space="preserve"> distribution policy </w:t>
      </w:r>
      <w:r>
        <w:rPr>
          <w:rFonts w:cs="Arial"/>
        </w:rPr>
        <w:t xml:space="preserve">was implemented to </w:t>
      </w:r>
      <w:r w:rsidRPr="00BE0A3A">
        <w:rPr>
          <w:rFonts w:cs="Arial"/>
        </w:rPr>
        <w:t>ma</w:t>
      </w:r>
      <w:r>
        <w:rPr>
          <w:rFonts w:cs="Arial"/>
        </w:rPr>
        <w:t>k</w:t>
      </w:r>
      <w:r w:rsidRPr="00BE0A3A">
        <w:rPr>
          <w:rFonts w:cs="Arial"/>
        </w:rPr>
        <w:t>e all WIPO publications and studies available online for free downloading.  Efforts were stepped up to cut the production, storage and shipping of paper publications, including the introduction of an external print-on-demand service.  The new publications management system, introduced late 2015 and which replaced the obsolete stock control and order processing system</w:t>
      </w:r>
      <w:r>
        <w:rPr>
          <w:rFonts w:cs="Arial"/>
        </w:rPr>
        <w:t xml:space="preserve">, </w:t>
      </w:r>
      <w:r w:rsidRPr="00BE0A3A">
        <w:rPr>
          <w:rFonts w:cs="Arial"/>
        </w:rPr>
        <w:t>should help facilitate further cost efficiencies</w:t>
      </w:r>
      <w:r>
        <w:rPr>
          <w:rFonts w:cs="Arial"/>
        </w:rPr>
        <w:t>.</w:t>
      </w:r>
      <w:r w:rsidRPr="00BE0A3A">
        <w:rPr>
          <w:rFonts w:cs="Arial"/>
        </w:rPr>
        <w:t xml:space="preserve">  In response to requests from Member States, 15 new Depository Libraries were established in the biennium, bringing the total to 105</w:t>
      </w:r>
      <w:r>
        <w:rPr>
          <w:rFonts w:cs="Arial"/>
        </w:rPr>
        <w:t>,</w:t>
      </w:r>
      <w:r w:rsidRPr="00BE0A3A">
        <w:rPr>
          <w:rFonts w:cs="Arial"/>
        </w:rPr>
        <w:t xml:space="preserve"> while the WIPO Library welcomed 2,044 visitors and responded to 1,323 requests for information from around the world.  </w:t>
      </w:r>
    </w:p>
    <w:p w:rsidR="00F838C5" w:rsidRPr="00BE0A3A" w:rsidRDefault="00F838C5" w:rsidP="001363EE">
      <w:pPr>
        <w:pStyle w:val="ListParagraph"/>
        <w:tabs>
          <w:tab w:val="left" w:pos="709"/>
        </w:tabs>
        <w:ind w:left="0"/>
        <w:jc w:val="both"/>
        <w:rPr>
          <w:rFonts w:cs="Arial"/>
        </w:rPr>
      </w:pPr>
    </w:p>
    <w:p w:rsidR="00F838C5" w:rsidRDefault="00F838C5" w:rsidP="00F838C5">
      <w:pPr>
        <w:pStyle w:val="ListParagraph"/>
        <w:numPr>
          <w:ilvl w:val="0"/>
          <w:numId w:val="63"/>
        </w:numPr>
        <w:tabs>
          <w:tab w:val="left" w:pos="709"/>
        </w:tabs>
        <w:ind w:left="0" w:firstLine="0"/>
        <w:jc w:val="both"/>
        <w:rPr>
          <w:rFonts w:cs="Arial"/>
        </w:rPr>
      </w:pPr>
      <w:r w:rsidRPr="006F01B0">
        <w:rPr>
          <w:rFonts w:cs="Arial"/>
        </w:rPr>
        <w:t xml:space="preserve">The </w:t>
      </w:r>
      <w:r w:rsidRPr="00B5146E">
        <w:rPr>
          <w:rFonts w:cs="Arial"/>
          <w:b/>
        </w:rPr>
        <w:t>brand development</w:t>
      </w:r>
      <w:r w:rsidRPr="006F01B0">
        <w:rPr>
          <w:rFonts w:cs="Arial"/>
        </w:rPr>
        <w:t xml:space="preserve"> work carried out in </w:t>
      </w:r>
      <w:r>
        <w:rPr>
          <w:rFonts w:cs="Arial"/>
        </w:rPr>
        <w:t>2012/13</w:t>
      </w:r>
      <w:r w:rsidRPr="006F01B0">
        <w:rPr>
          <w:rFonts w:cs="Arial"/>
        </w:rPr>
        <w:t xml:space="preserve"> to strengthen recognition of WIPO’s </w:t>
      </w:r>
      <w:r w:rsidRPr="003C6C5B">
        <w:rPr>
          <w:rFonts w:cs="Arial"/>
        </w:rPr>
        <w:t>corporate identity</w:t>
      </w:r>
      <w:r w:rsidRPr="006F01B0">
        <w:rPr>
          <w:rFonts w:cs="Arial"/>
        </w:rPr>
        <w:t xml:space="preserve"> was mainstreamed in 2014/15. </w:t>
      </w:r>
      <w:r>
        <w:rPr>
          <w:rFonts w:cs="Arial"/>
        </w:rPr>
        <w:t xml:space="preserve"> E</w:t>
      </w:r>
      <w:r w:rsidRPr="006F01B0">
        <w:rPr>
          <w:rFonts w:cs="Arial"/>
        </w:rPr>
        <w:t xml:space="preserve">ditorial and design </w:t>
      </w:r>
      <w:r>
        <w:rPr>
          <w:rFonts w:cs="Arial"/>
        </w:rPr>
        <w:t xml:space="preserve">review </w:t>
      </w:r>
      <w:r w:rsidRPr="006F01B0">
        <w:rPr>
          <w:rFonts w:cs="Arial"/>
        </w:rPr>
        <w:t>processes ensured systematic attention to clarity and consistency in the expression of WIPO’s role, mission and values across the Organization’s verbal and visual communications.</w:t>
      </w:r>
      <w:r>
        <w:rPr>
          <w:rFonts w:cs="Arial"/>
        </w:rPr>
        <w:t xml:space="preserve">  The</w:t>
      </w:r>
      <w:r w:rsidRPr="006F01B0">
        <w:rPr>
          <w:rFonts w:cs="Arial"/>
        </w:rPr>
        <w:t xml:space="preserve"> </w:t>
      </w:r>
      <w:r w:rsidRPr="00857627">
        <w:rPr>
          <w:rFonts w:cs="Arial"/>
        </w:rPr>
        <w:t>stakeholder perceptions</w:t>
      </w:r>
      <w:r w:rsidRPr="006F01B0">
        <w:rPr>
          <w:rFonts w:cs="Arial"/>
        </w:rPr>
        <w:t xml:space="preserve"> survey conducted in 2014 resulted in the identification of the principal attributes on which WIPO is judged by its stakeholders, and the development of a tool for monitoring WIPO’s perceived performance in relation to “drivers” of the Organization’s reputation.</w:t>
      </w:r>
    </w:p>
    <w:p w:rsidR="00F838C5" w:rsidRPr="006F01B0" w:rsidRDefault="00F838C5" w:rsidP="001363EE">
      <w:pPr>
        <w:pStyle w:val="ListParagraph"/>
        <w:tabs>
          <w:tab w:val="left" w:pos="709"/>
        </w:tabs>
        <w:ind w:left="0"/>
        <w:jc w:val="both"/>
        <w:rPr>
          <w:rFonts w:cs="Arial"/>
        </w:rPr>
      </w:pPr>
    </w:p>
    <w:p w:rsidR="00F838C5" w:rsidRDefault="00F838C5" w:rsidP="00F838C5">
      <w:pPr>
        <w:pStyle w:val="ListParagraph"/>
        <w:numPr>
          <w:ilvl w:val="0"/>
          <w:numId w:val="63"/>
        </w:numPr>
        <w:tabs>
          <w:tab w:val="left" w:pos="709"/>
        </w:tabs>
        <w:ind w:left="0" w:firstLine="0"/>
        <w:jc w:val="both"/>
        <w:rPr>
          <w:rFonts w:cs="Arial"/>
        </w:rPr>
      </w:pPr>
      <w:r w:rsidRPr="00BE0A3A">
        <w:rPr>
          <w:rFonts w:cs="Arial"/>
        </w:rPr>
        <w:t xml:space="preserve">The strong commitment to responding promptly and effectively to all of WIPO’s diverse stakeholders remained at the heart of the Organization’s ongoing emphasis on promoting a </w:t>
      </w:r>
      <w:r w:rsidRPr="00B5146E">
        <w:rPr>
          <w:rFonts w:cs="Arial"/>
          <w:b/>
        </w:rPr>
        <w:t xml:space="preserve">service culture </w:t>
      </w:r>
      <w:r w:rsidRPr="00BE0A3A">
        <w:rPr>
          <w:rFonts w:cs="Arial"/>
        </w:rPr>
        <w:t>and included the roll out of the new WIPO Service Charter, internal presentations and awareness activities, and the second “Netiquette</w:t>
      </w:r>
      <w:r>
        <w:rPr>
          <w:rFonts w:cs="Arial"/>
        </w:rPr>
        <w:t>”</w:t>
      </w:r>
      <w:r w:rsidRPr="00BE0A3A">
        <w:rPr>
          <w:rFonts w:cs="Arial"/>
        </w:rPr>
        <w:t xml:space="preserve"> Week.  Staff in the central Customer Service Center processed 92 per cent of the 10,280</w:t>
      </w:r>
      <w:r>
        <w:rPr>
          <w:rFonts w:cs="Arial"/>
        </w:rPr>
        <w:t> </w:t>
      </w:r>
      <w:r w:rsidRPr="00BE0A3A">
        <w:rPr>
          <w:rFonts w:cs="Arial"/>
        </w:rPr>
        <w:t>enquiries they received in less than one working day, and 100 per cent of the 283 complaints received in less than eight working hours.  The WIPO Inquiry Notification System (WINS) was rolled out to Madrid Registry customer service teams, enabling the more efficient processing of over 7,000 customer queries per month</w:t>
      </w:r>
      <w:r>
        <w:rPr>
          <w:rFonts w:cs="Arial"/>
        </w:rPr>
        <w:t>, 12,000 a</w:t>
      </w:r>
      <w:r w:rsidRPr="00BE0A3A">
        <w:rPr>
          <w:rFonts w:cs="Arial"/>
        </w:rPr>
        <w:t>cross the Organization</w:t>
      </w:r>
      <w:r>
        <w:rPr>
          <w:rFonts w:cs="Arial"/>
        </w:rPr>
        <w:t xml:space="preserve"> in general.</w:t>
      </w:r>
      <w:r w:rsidRPr="00BE0A3A">
        <w:rPr>
          <w:rFonts w:cs="Arial"/>
        </w:rPr>
        <w:t xml:space="preserve">  </w:t>
      </w:r>
      <w:r w:rsidRPr="00B5146E">
        <w:rPr>
          <w:rFonts w:cs="Arial"/>
          <w:b/>
        </w:rPr>
        <w:t>Customer satisfaction</w:t>
      </w:r>
      <w:r w:rsidRPr="00BE0A3A">
        <w:rPr>
          <w:rFonts w:cs="Arial"/>
        </w:rPr>
        <w:t xml:space="preserve"> monitoring included comprehensive satisfaction surveys of PCT (for the first time in nine languages) and Madrid Registry users</w:t>
      </w:r>
      <w:r>
        <w:rPr>
          <w:rFonts w:cs="Arial"/>
        </w:rPr>
        <w:t>.</w:t>
      </w:r>
    </w:p>
    <w:p w:rsidR="00F838C5" w:rsidRPr="00725923" w:rsidRDefault="00F838C5">
      <w:pPr>
        <w:pStyle w:val="ListParagraph"/>
        <w:tabs>
          <w:tab w:val="left" w:pos="709"/>
        </w:tabs>
        <w:ind w:left="0"/>
        <w:jc w:val="both"/>
        <w:rPr>
          <w:rFonts w:cs="Arial"/>
        </w:rPr>
      </w:pPr>
    </w:p>
    <w:p w:rsidR="00F838C5" w:rsidRPr="00BE0A3A" w:rsidRDefault="00F838C5" w:rsidP="00F838C5">
      <w:pPr>
        <w:pStyle w:val="ListParagraph"/>
        <w:numPr>
          <w:ilvl w:val="0"/>
          <w:numId w:val="63"/>
        </w:numPr>
        <w:tabs>
          <w:tab w:val="left" w:pos="709"/>
        </w:tabs>
        <w:ind w:left="0" w:firstLine="0"/>
        <w:jc w:val="both"/>
        <w:rPr>
          <w:rFonts w:cs="Arial"/>
        </w:rPr>
      </w:pPr>
      <w:r w:rsidRPr="001A731B">
        <w:rPr>
          <w:rFonts w:cs="Arial"/>
        </w:rPr>
        <w:t>The design, planning and implementation of activities undertaken by Program 19 were informed by relevant DA Recommendations</w:t>
      </w:r>
      <w:r w:rsidRPr="00735967">
        <w:rPr>
          <w:rFonts w:cs="Arial"/>
        </w:rPr>
        <w:t xml:space="preserve">. </w:t>
      </w:r>
      <w:r>
        <w:rPr>
          <w:rFonts w:cs="Arial"/>
        </w:rPr>
        <w:t xml:space="preserve"> </w:t>
      </w:r>
      <w:r w:rsidRPr="00735967">
        <w:rPr>
          <w:rFonts w:cs="Arial"/>
        </w:rPr>
        <w:t xml:space="preserve">Program 19 continued to build the IP Advantage database of case studies (a </w:t>
      </w:r>
      <w:r>
        <w:rPr>
          <w:rFonts w:cs="Arial"/>
        </w:rPr>
        <w:t xml:space="preserve">CDIP-endorsed </w:t>
      </w:r>
      <w:r w:rsidRPr="00735967">
        <w:rPr>
          <w:rFonts w:cs="Arial"/>
        </w:rPr>
        <w:t>DA initiative),</w:t>
      </w:r>
      <w:r>
        <w:rPr>
          <w:rFonts w:cs="Arial"/>
        </w:rPr>
        <w:t xml:space="preserve"> which gained 468,200 page views in 2104/15 (compared to 312,000 in 2012/13);</w:t>
      </w:r>
      <w:r w:rsidRPr="00735967">
        <w:rPr>
          <w:rFonts w:cs="Arial"/>
        </w:rPr>
        <w:t xml:space="preserve"> and</w:t>
      </w:r>
      <w:r w:rsidRPr="001A731B">
        <w:rPr>
          <w:rFonts w:cs="Arial"/>
        </w:rPr>
        <w:t xml:space="preserve"> provided editorial, design, video, web and other communications support to numerous DA</w:t>
      </w:r>
      <w:r>
        <w:rPr>
          <w:rFonts w:cs="Arial"/>
        </w:rPr>
        <w:noBreakHyphen/>
      </w:r>
      <w:r w:rsidRPr="001A731B">
        <w:rPr>
          <w:rFonts w:cs="Arial"/>
        </w:rPr>
        <w:t>related products and outputs by other programs across the Organization</w:t>
      </w:r>
      <w:r>
        <w:rPr>
          <w:rFonts w:cs="Arial"/>
        </w:rPr>
        <w:t xml:space="preserve">. </w:t>
      </w:r>
    </w:p>
    <w:p w:rsidR="00F838C5" w:rsidRDefault="00F838C5" w:rsidP="001363EE">
      <w:pPr>
        <w:shd w:val="clear" w:color="auto" w:fill="FFFFFF"/>
        <w:jc w:val="both"/>
        <w:rPr>
          <w:rFonts w:cs="Arial"/>
          <w:sz w:val="22"/>
          <w:szCs w:val="22"/>
        </w:rPr>
      </w:pPr>
    </w:p>
    <w:p w:rsidR="00F838C5" w:rsidRDefault="00F838C5" w:rsidP="001363EE">
      <w:pPr>
        <w:shd w:val="clear" w:color="auto" w:fill="FFFFFF"/>
        <w:jc w:val="both"/>
        <w:rPr>
          <w:rFonts w:cs="Arial"/>
          <w:sz w:val="22"/>
          <w:szCs w:val="22"/>
        </w:rPr>
      </w:pPr>
    </w:p>
    <w:p w:rsidR="00F838C5" w:rsidRDefault="00F838C5" w:rsidP="001363EE">
      <w:pPr>
        <w:shd w:val="clear" w:color="auto" w:fill="FFFFFF"/>
        <w:jc w:val="both"/>
        <w:rPr>
          <w:rFonts w:cs="Arial"/>
          <w:sz w:val="22"/>
          <w:szCs w:val="22"/>
        </w:rPr>
      </w:pPr>
    </w:p>
    <w:p w:rsidR="00F838C5" w:rsidRPr="00263286" w:rsidRDefault="00F838C5" w:rsidP="00F838C5">
      <w:pPr>
        <w:keepNext/>
        <w:keepLines/>
        <w:shd w:val="clear" w:color="auto" w:fill="FFFFFF"/>
        <w:jc w:val="both"/>
        <w:rPr>
          <w:rFonts w:cs="Arial"/>
          <w:szCs w:val="22"/>
        </w:rPr>
      </w:pPr>
      <w:r w:rsidRPr="00263286">
        <w:rPr>
          <w:rFonts w:cs="Arial"/>
          <w:szCs w:val="22"/>
        </w:rPr>
        <w:lastRenderedPageBreak/>
        <w:t>PERFORMANCE DATA</w:t>
      </w:r>
    </w:p>
    <w:p w:rsidR="00F838C5" w:rsidRPr="00383D2D" w:rsidRDefault="00F838C5" w:rsidP="00F838C5">
      <w:pPr>
        <w:keepNext/>
        <w:keepLines/>
        <w:jc w:val="both"/>
        <w:rPr>
          <w:b/>
          <w:szCs w:val="20"/>
        </w:rPr>
      </w:pPr>
    </w:p>
    <w:tbl>
      <w:tblPr>
        <w:tblW w:w="4921" w:type="pct"/>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026"/>
        <w:gridCol w:w="59"/>
        <w:gridCol w:w="2543"/>
        <w:gridCol w:w="166"/>
        <w:gridCol w:w="1341"/>
        <w:gridCol w:w="213"/>
        <w:gridCol w:w="1976"/>
        <w:gridCol w:w="1096"/>
      </w:tblGrid>
      <w:tr w:rsidR="00F838C5" w:rsidTr="001363EE">
        <w:trPr>
          <w:trHeight w:val="435"/>
        </w:trPr>
        <w:tc>
          <w:tcPr>
            <w:tcW w:w="5000" w:type="pct"/>
            <w:gridSpan w:val="8"/>
            <w:tcBorders>
              <w:top w:val="single" w:sz="4" w:space="0" w:color="auto"/>
              <w:bottom w:val="single" w:sz="4" w:space="0" w:color="auto"/>
            </w:tcBorders>
            <w:shd w:val="clear" w:color="auto" w:fill="C6D9F1" w:themeFill="text2" w:themeFillTint="33"/>
            <w:vAlign w:val="center"/>
          </w:tcPr>
          <w:p w:rsidR="00F838C5" w:rsidRDefault="00F838C5" w:rsidP="00F838C5">
            <w:pPr>
              <w:keepNext/>
              <w:keepLines/>
              <w:tabs>
                <w:tab w:val="left" w:pos="1452"/>
              </w:tabs>
              <w:spacing w:before="120" w:after="120"/>
              <w:ind w:left="1452" w:hanging="1452"/>
              <w:rPr>
                <w:rFonts w:cs="Arial"/>
                <w:b/>
                <w:bCs/>
                <w:sz w:val="16"/>
                <w:szCs w:val="16"/>
              </w:rPr>
            </w:pPr>
            <w:r w:rsidRPr="00234BEF">
              <w:rPr>
                <w:rFonts w:cs="Arial"/>
                <w:b/>
                <w:bCs/>
                <w:sz w:val="16"/>
                <w:szCs w:val="16"/>
              </w:rPr>
              <w:t>Expected Result</w:t>
            </w:r>
            <w:r>
              <w:rPr>
                <w:rFonts w:cs="Arial"/>
                <w:b/>
                <w:bCs/>
                <w:sz w:val="16"/>
                <w:szCs w:val="16"/>
              </w:rPr>
              <w:t>:</w:t>
            </w:r>
            <w:r>
              <w:rPr>
                <w:rFonts w:cs="Arial"/>
                <w:b/>
                <w:bCs/>
                <w:sz w:val="16"/>
                <w:szCs w:val="16"/>
              </w:rPr>
              <w:tab/>
            </w:r>
            <w:r w:rsidRPr="00D46149">
              <w:rPr>
                <w:rFonts w:cs="Arial"/>
                <w:sz w:val="16"/>
                <w:szCs w:val="16"/>
              </w:rPr>
              <w:t>VIII.1 More effective communication to a broad public about intellectual property and WIPO’s role</w:t>
            </w:r>
          </w:p>
        </w:tc>
      </w:tr>
      <w:tr w:rsidR="00F838C5" w:rsidRPr="006475C7" w:rsidTr="001363EE">
        <w:tc>
          <w:tcPr>
            <w:tcW w:w="1075" w:type="pct"/>
            <w:tcBorders>
              <w:top w:val="single" w:sz="4" w:space="0" w:color="auto"/>
            </w:tcBorders>
            <w:vAlign w:val="center"/>
          </w:tcPr>
          <w:p w:rsidR="00F838C5" w:rsidRPr="006475C7" w:rsidRDefault="00F838C5" w:rsidP="00F838C5">
            <w:pPr>
              <w:keepNext/>
              <w:keepLines/>
              <w:rPr>
                <w:rFonts w:cs="Arial"/>
                <w:sz w:val="16"/>
                <w:szCs w:val="16"/>
              </w:rPr>
            </w:pPr>
            <w:r w:rsidRPr="006475C7">
              <w:rPr>
                <w:rFonts w:cs="Arial"/>
                <w:b/>
                <w:bCs/>
                <w:sz w:val="16"/>
                <w:szCs w:val="16"/>
              </w:rPr>
              <w:t>Performance Indicators</w:t>
            </w:r>
          </w:p>
        </w:tc>
        <w:tc>
          <w:tcPr>
            <w:tcW w:w="1381" w:type="pct"/>
            <w:gridSpan w:val="2"/>
            <w:tcBorders>
              <w:top w:val="single" w:sz="4" w:space="0" w:color="auto"/>
            </w:tcBorders>
            <w:shd w:val="clear" w:color="auto" w:fill="auto"/>
            <w:vAlign w:val="center"/>
          </w:tcPr>
          <w:p w:rsidR="00F838C5" w:rsidRPr="006475C7" w:rsidRDefault="00F838C5" w:rsidP="00F838C5">
            <w:pPr>
              <w:keepNext/>
              <w:keepLines/>
              <w:rPr>
                <w:rFonts w:cs="Arial"/>
                <w:b/>
                <w:bCs/>
                <w:sz w:val="16"/>
                <w:szCs w:val="16"/>
              </w:rPr>
            </w:pPr>
            <w:r w:rsidRPr="0027745B">
              <w:rPr>
                <w:rFonts w:cs="Arial"/>
                <w:b/>
                <w:bCs/>
                <w:sz w:val="16"/>
                <w:szCs w:val="16"/>
              </w:rPr>
              <w:t>Baselines</w:t>
            </w:r>
          </w:p>
        </w:tc>
        <w:tc>
          <w:tcPr>
            <w:tcW w:w="800" w:type="pct"/>
            <w:gridSpan w:val="2"/>
            <w:tcBorders>
              <w:top w:val="single" w:sz="4" w:space="0" w:color="auto"/>
            </w:tcBorders>
            <w:tcMar>
              <w:top w:w="110" w:type="dxa"/>
            </w:tcMar>
            <w:vAlign w:val="center"/>
          </w:tcPr>
          <w:p w:rsidR="00F838C5" w:rsidRPr="0027745B" w:rsidRDefault="00F838C5" w:rsidP="00F838C5">
            <w:pPr>
              <w:keepNext/>
              <w:keepLines/>
              <w:rPr>
                <w:rFonts w:cs="Arial"/>
                <w:b/>
                <w:bCs/>
                <w:sz w:val="16"/>
                <w:szCs w:val="16"/>
              </w:rPr>
            </w:pPr>
            <w:r w:rsidRPr="0027745B">
              <w:rPr>
                <w:rFonts w:cs="Arial"/>
                <w:b/>
                <w:sz w:val="16"/>
                <w:szCs w:val="16"/>
              </w:rPr>
              <w:t>Targets</w:t>
            </w:r>
          </w:p>
        </w:tc>
        <w:tc>
          <w:tcPr>
            <w:tcW w:w="1162" w:type="pct"/>
            <w:gridSpan w:val="2"/>
            <w:tcBorders>
              <w:top w:val="single" w:sz="4" w:space="0" w:color="auto"/>
            </w:tcBorders>
            <w:shd w:val="clear" w:color="auto" w:fill="FFFFFF"/>
            <w:tcMar>
              <w:top w:w="110" w:type="dxa"/>
            </w:tcMar>
            <w:vAlign w:val="center"/>
          </w:tcPr>
          <w:p w:rsidR="00F838C5" w:rsidRPr="006475C7" w:rsidRDefault="00F838C5" w:rsidP="00F838C5">
            <w:pPr>
              <w:keepNext/>
              <w:keepLines/>
              <w:rPr>
                <w:rFonts w:cs="Arial"/>
                <w:sz w:val="16"/>
                <w:szCs w:val="16"/>
              </w:rPr>
            </w:pPr>
            <w:r w:rsidRPr="006475C7">
              <w:rPr>
                <w:rFonts w:cs="Arial"/>
                <w:b/>
                <w:bCs/>
                <w:sz w:val="16"/>
                <w:szCs w:val="16"/>
              </w:rPr>
              <w:t>Performance Data</w:t>
            </w:r>
          </w:p>
        </w:tc>
        <w:tc>
          <w:tcPr>
            <w:tcW w:w="583" w:type="pct"/>
            <w:tcBorders>
              <w:top w:val="single" w:sz="4" w:space="0" w:color="auto"/>
            </w:tcBorders>
            <w:tcMar>
              <w:top w:w="110" w:type="dxa"/>
            </w:tcMar>
            <w:vAlign w:val="center"/>
          </w:tcPr>
          <w:p w:rsidR="00F838C5" w:rsidRPr="00E32FD5" w:rsidRDefault="00F838C5" w:rsidP="00F838C5">
            <w:pPr>
              <w:keepNext/>
              <w:keepLines/>
              <w:rPr>
                <w:rFonts w:cs="Arial"/>
                <w:b/>
                <w:bCs/>
                <w:sz w:val="16"/>
                <w:szCs w:val="16"/>
              </w:rPr>
            </w:pPr>
            <w:r w:rsidRPr="00E32FD5">
              <w:rPr>
                <w:rFonts w:cs="Arial"/>
                <w:b/>
                <w:bCs/>
                <w:sz w:val="16"/>
                <w:szCs w:val="16"/>
              </w:rPr>
              <w:t>TLS</w:t>
            </w:r>
          </w:p>
        </w:tc>
      </w:tr>
      <w:tr w:rsidR="00F838C5" w:rsidTr="001363EE">
        <w:trPr>
          <w:cantSplit/>
          <w:trHeight w:val="2527"/>
        </w:trPr>
        <w:tc>
          <w:tcPr>
            <w:tcW w:w="1075" w:type="pct"/>
          </w:tcPr>
          <w:p w:rsidR="00F838C5" w:rsidRPr="004354B8" w:rsidRDefault="00F838C5" w:rsidP="00F838C5">
            <w:pPr>
              <w:keepNext/>
              <w:keepLines/>
              <w:rPr>
                <w:rFonts w:cs="Arial"/>
                <w:sz w:val="16"/>
                <w:szCs w:val="16"/>
              </w:rPr>
            </w:pPr>
            <w:r w:rsidRPr="00D46149">
              <w:rPr>
                <w:rFonts w:cs="Arial"/>
                <w:sz w:val="16"/>
                <w:szCs w:val="16"/>
              </w:rPr>
              <w:t>Level of public interest generated in selected major WIPO events/</w:t>
            </w:r>
            <w:r>
              <w:rPr>
                <w:rFonts w:cs="Arial"/>
                <w:sz w:val="16"/>
                <w:szCs w:val="16"/>
              </w:rPr>
              <w:t xml:space="preserve"> </w:t>
            </w:r>
            <w:r w:rsidRPr="00D46149">
              <w:rPr>
                <w:rFonts w:cs="Arial"/>
                <w:sz w:val="16"/>
                <w:szCs w:val="16"/>
              </w:rPr>
              <w:t>achievements</w:t>
            </w:r>
          </w:p>
        </w:tc>
        <w:tc>
          <w:tcPr>
            <w:tcW w:w="1381" w:type="pct"/>
            <w:gridSpan w:val="2"/>
            <w:shd w:val="clear" w:color="auto" w:fill="auto"/>
          </w:tcPr>
          <w:p w:rsidR="00F838C5" w:rsidRDefault="00F838C5" w:rsidP="00F838C5">
            <w:pPr>
              <w:keepNext/>
              <w:keepLines/>
              <w:rPr>
                <w:rFonts w:cs="Arial"/>
                <w:color w:val="002060"/>
                <w:sz w:val="16"/>
                <w:szCs w:val="16"/>
              </w:rPr>
            </w:pPr>
            <w:r>
              <w:rPr>
                <w:rFonts w:cs="Arial"/>
                <w:i/>
                <w:color w:val="002060"/>
                <w:sz w:val="16"/>
                <w:szCs w:val="16"/>
              </w:rPr>
              <w:t>Updated Baseline end 2013</w:t>
            </w:r>
            <w:r w:rsidRPr="0027745B">
              <w:rPr>
                <w:rFonts w:cs="Arial"/>
                <w:i/>
                <w:color w:val="002060"/>
                <w:sz w:val="16"/>
                <w:szCs w:val="16"/>
              </w:rPr>
              <w:t xml:space="preserve">:  </w:t>
            </w:r>
            <w:r w:rsidRPr="00D46149">
              <w:rPr>
                <w:rFonts w:cs="Arial"/>
                <w:color w:val="002060"/>
                <w:sz w:val="16"/>
                <w:szCs w:val="16"/>
              </w:rPr>
              <w:t>Sample event= launch of annual Global Innovation Index (GII). Aggregate views (for 11 week period after 2013 launch) of all web content (webpages, press release, infographics) = 45,564 + 685  video views</w:t>
            </w:r>
          </w:p>
          <w:p w:rsidR="00F838C5" w:rsidRPr="000D5D96" w:rsidRDefault="00F838C5" w:rsidP="00F838C5">
            <w:pPr>
              <w:keepNext/>
              <w:keepLines/>
              <w:rPr>
                <w:rFonts w:cs="Arial"/>
                <w:i/>
                <w:color w:val="002060"/>
                <w:sz w:val="8"/>
                <w:szCs w:val="8"/>
              </w:rPr>
            </w:pPr>
          </w:p>
          <w:p w:rsidR="00F838C5" w:rsidRPr="004D1BF4" w:rsidRDefault="00F838C5" w:rsidP="00F838C5">
            <w:pPr>
              <w:keepNext/>
              <w:keepLines/>
              <w:rPr>
                <w:rFonts w:cs="Arial"/>
                <w:sz w:val="16"/>
                <w:szCs w:val="16"/>
              </w:rPr>
            </w:pPr>
            <w:r>
              <w:rPr>
                <w:rFonts w:cs="Arial"/>
                <w:i/>
                <w:sz w:val="16"/>
                <w:szCs w:val="16"/>
              </w:rPr>
              <w:t>Original Baseline P&amp;B 2014/15</w:t>
            </w:r>
            <w:r w:rsidRPr="0027745B">
              <w:rPr>
                <w:rFonts w:cs="Arial"/>
                <w:i/>
                <w:sz w:val="16"/>
                <w:szCs w:val="16"/>
              </w:rPr>
              <w:t>:</w:t>
            </w:r>
            <w:r>
              <w:rPr>
                <w:rFonts w:cs="Arial"/>
                <w:i/>
                <w:iCs/>
                <w:sz w:val="16"/>
                <w:szCs w:val="16"/>
              </w:rPr>
              <w:t xml:space="preserve">  </w:t>
            </w:r>
            <w:r w:rsidRPr="00D46149">
              <w:rPr>
                <w:rFonts w:cs="Arial"/>
                <w:sz w:val="16"/>
                <w:szCs w:val="16"/>
              </w:rPr>
              <w:t>(Sample event) 12,111 unique page views of press release on the 2012 Global Innovation Index (GII) in a 1 month period.</w:t>
            </w:r>
          </w:p>
        </w:tc>
        <w:tc>
          <w:tcPr>
            <w:tcW w:w="800" w:type="pct"/>
            <w:gridSpan w:val="2"/>
            <w:tcMar>
              <w:top w:w="110" w:type="dxa"/>
            </w:tcMar>
          </w:tcPr>
          <w:p w:rsidR="00F838C5" w:rsidRPr="0027745B" w:rsidRDefault="00F838C5" w:rsidP="00F838C5">
            <w:pPr>
              <w:keepNext/>
              <w:keepLines/>
              <w:rPr>
                <w:rFonts w:cs="Arial"/>
                <w:sz w:val="16"/>
                <w:szCs w:val="16"/>
              </w:rPr>
            </w:pPr>
            <w:r w:rsidRPr="00D46149">
              <w:rPr>
                <w:rFonts w:cs="Arial"/>
                <w:sz w:val="16"/>
                <w:szCs w:val="16"/>
              </w:rPr>
              <w:t>10% increase in views of relevant web page</w:t>
            </w:r>
          </w:p>
        </w:tc>
        <w:tc>
          <w:tcPr>
            <w:tcW w:w="1162" w:type="pct"/>
            <w:gridSpan w:val="2"/>
            <w:shd w:val="clear" w:color="auto" w:fill="FFFFFF"/>
            <w:tcMar>
              <w:top w:w="110" w:type="dxa"/>
            </w:tcMar>
          </w:tcPr>
          <w:p w:rsidR="00F838C5" w:rsidRDefault="00F838C5" w:rsidP="00F838C5">
            <w:pPr>
              <w:keepNext/>
              <w:keepLines/>
              <w:rPr>
                <w:rFonts w:cs="Arial"/>
                <w:sz w:val="16"/>
                <w:szCs w:val="16"/>
              </w:rPr>
            </w:pPr>
            <w:r>
              <w:rPr>
                <w:rFonts w:cs="Arial"/>
                <w:sz w:val="16"/>
                <w:szCs w:val="16"/>
              </w:rPr>
              <w:t xml:space="preserve">Annual GII launch: Aggregate views (for 11 week period after launch) totaled 53,062 web content views + </w:t>
            </w:r>
            <w:r w:rsidRPr="00FE6AD1">
              <w:rPr>
                <w:rFonts w:cs="Arial"/>
                <w:sz w:val="16"/>
                <w:szCs w:val="16"/>
              </w:rPr>
              <w:t>9,563</w:t>
            </w:r>
            <w:r>
              <w:rPr>
                <w:rFonts w:cs="Arial"/>
                <w:sz w:val="16"/>
                <w:szCs w:val="16"/>
              </w:rPr>
              <w:t xml:space="preserve"> video views for 2014; and 140,475 web content views + 10,653 video views for 2015.</w:t>
            </w:r>
          </w:p>
          <w:p w:rsidR="00F838C5" w:rsidRDefault="00F838C5" w:rsidP="00F838C5">
            <w:pPr>
              <w:keepNext/>
              <w:keepLines/>
              <w:rPr>
                <w:rFonts w:cs="Arial"/>
                <w:sz w:val="16"/>
                <w:szCs w:val="16"/>
              </w:rPr>
            </w:pPr>
          </w:p>
          <w:p w:rsidR="00F838C5" w:rsidRPr="00B70FB9" w:rsidRDefault="00F838C5" w:rsidP="00F838C5">
            <w:pPr>
              <w:keepNext/>
              <w:keepLines/>
              <w:rPr>
                <w:rFonts w:cs="Arial"/>
                <w:sz w:val="16"/>
                <w:szCs w:val="16"/>
              </w:rPr>
            </w:pPr>
            <w:r w:rsidRPr="00B70FB9">
              <w:rPr>
                <w:rFonts w:cs="Arial"/>
                <w:sz w:val="16"/>
                <w:szCs w:val="16"/>
              </w:rPr>
              <w:t>Increa</w:t>
            </w:r>
            <w:r>
              <w:rPr>
                <w:rFonts w:cs="Arial"/>
                <w:sz w:val="16"/>
                <w:szCs w:val="16"/>
              </w:rPr>
              <w:t>se (</w:t>
            </w:r>
            <w:r w:rsidRPr="00B70FB9">
              <w:rPr>
                <w:rFonts w:cs="Arial"/>
                <w:sz w:val="16"/>
                <w:szCs w:val="16"/>
              </w:rPr>
              <w:t>2015 vs. 2013</w:t>
            </w:r>
            <w:r>
              <w:rPr>
                <w:rFonts w:cs="Arial"/>
                <w:sz w:val="16"/>
                <w:szCs w:val="16"/>
              </w:rPr>
              <w:t xml:space="preserve">) = </w:t>
            </w:r>
            <w:r w:rsidRPr="00B70FB9">
              <w:rPr>
                <w:rFonts w:cs="Arial"/>
                <w:sz w:val="16"/>
                <w:szCs w:val="16"/>
              </w:rPr>
              <w:t>+208%</w:t>
            </w:r>
            <w:r>
              <w:rPr>
                <w:rFonts w:cs="Arial"/>
                <w:sz w:val="16"/>
                <w:szCs w:val="16"/>
              </w:rPr>
              <w:t xml:space="preserve"> for web content; and </w:t>
            </w:r>
          </w:p>
          <w:p w:rsidR="00F838C5" w:rsidRPr="00B70FB9" w:rsidRDefault="00F838C5" w:rsidP="00F838C5">
            <w:pPr>
              <w:keepNext/>
              <w:keepLines/>
              <w:rPr>
                <w:rFonts w:cs="Arial"/>
                <w:sz w:val="16"/>
                <w:szCs w:val="16"/>
                <w:lang w:val="es-ES_tradnl"/>
              </w:rPr>
            </w:pPr>
            <w:r w:rsidRPr="00B70FB9">
              <w:rPr>
                <w:rFonts w:cs="Arial"/>
                <w:sz w:val="16"/>
                <w:szCs w:val="16"/>
                <w:lang w:val="es-ES_tradnl"/>
              </w:rPr>
              <w:t>+1455%</w:t>
            </w:r>
            <w:r>
              <w:rPr>
                <w:rFonts w:cs="Arial"/>
                <w:sz w:val="16"/>
                <w:szCs w:val="16"/>
                <w:lang w:val="es-ES_tradnl"/>
              </w:rPr>
              <w:t xml:space="preserve"> for video.</w:t>
            </w:r>
          </w:p>
          <w:p w:rsidR="00F838C5" w:rsidRPr="00430342" w:rsidRDefault="00F838C5" w:rsidP="00F838C5">
            <w:pPr>
              <w:keepNext/>
              <w:keepLines/>
              <w:rPr>
                <w:rFonts w:cs="Arial"/>
                <w:sz w:val="16"/>
                <w:szCs w:val="16"/>
                <w:lang w:val="es-ES_tradnl"/>
              </w:rPr>
            </w:pPr>
          </w:p>
        </w:tc>
        <w:tc>
          <w:tcPr>
            <w:tcW w:w="583" w:type="pct"/>
            <w:tcMar>
              <w:top w:w="110" w:type="dxa"/>
            </w:tcMar>
          </w:tcPr>
          <w:p w:rsidR="00F838C5" w:rsidRPr="00E32FD5" w:rsidRDefault="00F838C5" w:rsidP="00F838C5">
            <w:pPr>
              <w:keepNext/>
              <w:keepLines/>
              <w:jc w:val="center"/>
              <w:rPr>
                <w:rFonts w:cs="Arial"/>
                <w:b/>
                <w:color w:val="00B050"/>
                <w:sz w:val="16"/>
                <w:szCs w:val="16"/>
              </w:rPr>
            </w:pPr>
            <w:r w:rsidRPr="008408C2">
              <w:rPr>
                <w:rFonts w:cs="Arial"/>
                <w:b/>
                <w:color w:val="00B050"/>
                <w:sz w:val="16"/>
                <w:szCs w:val="16"/>
              </w:rPr>
              <w:t xml:space="preserve">Fully </w:t>
            </w:r>
            <w:r>
              <w:rPr>
                <w:rFonts w:cs="Arial"/>
                <w:b/>
                <w:color w:val="00B050"/>
                <w:sz w:val="16"/>
                <w:szCs w:val="16"/>
              </w:rPr>
              <w:t>A</w:t>
            </w:r>
            <w:r w:rsidRPr="008408C2">
              <w:rPr>
                <w:rFonts w:cs="Arial"/>
                <w:b/>
                <w:color w:val="00B050"/>
                <w:sz w:val="16"/>
                <w:szCs w:val="16"/>
              </w:rPr>
              <w:t>chieved</w:t>
            </w:r>
          </w:p>
        </w:tc>
      </w:tr>
      <w:tr w:rsidR="00F838C5" w:rsidTr="001363EE">
        <w:trPr>
          <w:trHeight w:val="232"/>
        </w:trPr>
        <w:tc>
          <w:tcPr>
            <w:tcW w:w="1075" w:type="pct"/>
          </w:tcPr>
          <w:p w:rsidR="00F838C5" w:rsidRPr="004354B8" w:rsidRDefault="00F838C5" w:rsidP="001363EE">
            <w:pPr>
              <w:rPr>
                <w:rFonts w:cs="Arial"/>
                <w:sz w:val="16"/>
                <w:szCs w:val="16"/>
              </w:rPr>
            </w:pPr>
            <w:r w:rsidRPr="00334EB8">
              <w:rPr>
                <w:rFonts w:cs="Arial"/>
                <w:sz w:val="16"/>
                <w:szCs w:val="16"/>
              </w:rPr>
              <w:t>% of stakeholders with positive recognition of WIPO’s mission, activities and organizational image</w:t>
            </w:r>
          </w:p>
        </w:tc>
        <w:tc>
          <w:tcPr>
            <w:tcW w:w="1381" w:type="pct"/>
            <w:gridSpan w:val="2"/>
            <w:shd w:val="clear" w:color="auto" w:fill="auto"/>
          </w:tcPr>
          <w:p w:rsidR="00F838C5" w:rsidRPr="00334EB8" w:rsidRDefault="00F838C5" w:rsidP="001363EE">
            <w:pPr>
              <w:keepNext/>
              <w:rPr>
                <w:rFonts w:cs="Arial"/>
                <w:color w:val="002060"/>
                <w:sz w:val="16"/>
                <w:szCs w:val="16"/>
              </w:rPr>
            </w:pPr>
            <w:r>
              <w:rPr>
                <w:rFonts w:cs="Arial"/>
                <w:i/>
                <w:color w:val="002060"/>
                <w:sz w:val="16"/>
                <w:szCs w:val="16"/>
              </w:rPr>
              <w:t>Updated Baseline end 2013</w:t>
            </w:r>
            <w:r w:rsidRPr="0027745B">
              <w:rPr>
                <w:rFonts w:cs="Arial"/>
                <w:i/>
                <w:color w:val="002060"/>
                <w:sz w:val="16"/>
                <w:szCs w:val="16"/>
              </w:rPr>
              <w:t xml:space="preserve">: </w:t>
            </w:r>
            <w:r w:rsidRPr="00E5733B">
              <w:rPr>
                <w:rFonts w:cs="Arial"/>
                <w:color w:val="002060"/>
                <w:sz w:val="16"/>
                <w:szCs w:val="16"/>
              </w:rPr>
              <w:t>87% of survey respondents perceived WIPO’s public image as good, very good or excellent. 81% of survey respondents perceived WIPO as the global forum for the promotion of IP. (WIPO Service Orientation Survey results, August 2013).</w:t>
            </w:r>
            <w:r>
              <w:rPr>
                <w:rStyle w:val="FootnoteReference"/>
                <w:rFonts w:cs="Arial"/>
                <w:color w:val="002060"/>
                <w:sz w:val="16"/>
                <w:szCs w:val="16"/>
              </w:rPr>
              <w:footnoteReference w:id="105"/>
            </w:r>
          </w:p>
          <w:p w:rsidR="00F838C5" w:rsidRPr="000D5D96" w:rsidRDefault="00F838C5" w:rsidP="001363EE">
            <w:pPr>
              <w:keepNext/>
              <w:rPr>
                <w:rFonts w:cs="Arial"/>
                <w:i/>
                <w:color w:val="002060"/>
                <w:sz w:val="8"/>
                <w:szCs w:val="8"/>
              </w:rPr>
            </w:pPr>
          </w:p>
          <w:p w:rsidR="00F838C5" w:rsidRPr="004D1BF4" w:rsidRDefault="00F838C5" w:rsidP="001363EE">
            <w:pPr>
              <w:keepNext/>
              <w:rPr>
                <w:rFonts w:cs="Arial"/>
                <w:sz w:val="16"/>
                <w:szCs w:val="16"/>
              </w:rPr>
            </w:pPr>
            <w:r>
              <w:rPr>
                <w:rFonts w:cs="Arial"/>
                <w:i/>
                <w:sz w:val="16"/>
                <w:szCs w:val="16"/>
              </w:rPr>
              <w:t>Original Baseline P&amp;B 2014/15</w:t>
            </w:r>
            <w:r w:rsidRPr="0027745B">
              <w:rPr>
                <w:rFonts w:cs="Arial"/>
                <w:i/>
                <w:sz w:val="16"/>
                <w:szCs w:val="16"/>
              </w:rPr>
              <w:t>:</w:t>
            </w:r>
            <w:r>
              <w:rPr>
                <w:rFonts w:cs="Arial"/>
                <w:i/>
                <w:iCs/>
                <w:sz w:val="16"/>
                <w:szCs w:val="16"/>
              </w:rPr>
              <w:t xml:space="preserve">  </w:t>
            </w:r>
          </w:p>
          <w:p w:rsidR="00F838C5" w:rsidRPr="004D1BF4" w:rsidRDefault="00F838C5" w:rsidP="001363EE">
            <w:pPr>
              <w:rPr>
                <w:rFonts w:cs="Arial"/>
                <w:sz w:val="16"/>
                <w:szCs w:val="16"/>
              </w:rPr>
            </w:pPr>
            <w:r w:rsidRPr="00334EB8">
              <w:rPr>
                <w:rFonts w:cs="Arial"/>
                <w:sz w:val="16"/>
                <w:szCs w:val="16"/>
              </w:rPr>
              <w:t>65% of survey respondents perceived WIPO as the global leader in the protection and promotion of IP (WIPO Stakeholders Perceptions Survey, January 2012)</w:t>
            </w:r>
          </w:p>
        </w:tc>
        <w:tc>
          <w:tcPr>
            <w:tcW w:w="800" w:type="pct"/>
            <w:gridSpan w:val="2"/>
            <w:tcMar>
              <w:top w:w="110" w:type="dxa"/>
            </w:tcMar>
          </w:tcPr>
          <w:p w:rsidR="00F838C5" w:rsidRPr="0027745B" w:rsidRDefault="00F838C5" w:rsidP="001363EE">
            <w:pPr>
              <w:rPr>
                <w:rFonts w:cs="Arial"/>
                <w:sz w:val="16"/>
                <w:szCs w:val="16"/>
              </w:rPr>
            </w:pPr>
            <w:r w:rsidRPr="00334EB8">
              <w:rPr>
                <w:rFonts w:cs="Arial"/>
                <w:sz w:val="16"/>
                <w:szCs w:val="16"/>
              </w:rPr>
              <w:t>75%</w:t>
            </w:r>
          </w:p>
        </w:tc>
        <w:tc>
          <w:tcPr>
            <w:tcW w:w="1162" w:type="pct"/>
            <w:gridSpan w:val="2"/>
            <w:shd w:val="clear" w:color="auto" w:fill="FFFFFF"/>
            <w:tcMar>
              <w:top w:w="110" w:type="dxa"/>
            </w:tcMar>
          </w:tcPr>
          <w:p w:rsidR="00F838C5" w:rsidRPr="00ED79D1" w:rsidRDefault="00F838C5" w:rsidP="001363EE">
            <w:pPr>
              <w:rPr>
                <w:rFonts w:cs="Arial"/>
                <w:i/>
                <w:sz w:val="16"/>
                <w:szCs w:val="16"/>
                <w:highlight w:val="yellow"/>
              </w:rPr>
            </w:pPr>
            <w:r w:rsidRPr="00ED79D1">
              <w:rPr>
                <w:rFonts w:cs="Arial"/>
                <w:sz w:val="16"/>
                <w:szCs w:val="16"/>
              </w:rPr>
              <w:t>70% of survey respondents perceived WIPO as the global forum for the promotion of IP services, policy, information and cooperation</w:t>
            </w:r>
            <w:r w:rsidRPr="00ED79D1">
              <w:rPr>
                <w:sz w:val="18"/>
                <w:vertAlign w:val="superscript"/>
              </w:rPr>
              <w:footnoteReference w:id="106"/>
            </w:r>
            <w:r w:rsidRPr="00ED79D1">
              <w:rPr>
                <w:rFonts w:cs="Arial"/>
                <w:sz w:val="16"/>
                <w:szCs w:val="16"/>
              </w:rPr>
              <w:t>.  85% of survey respondents agree or strongly agree that WIPO has a good overall reputation.</w:t>
            </w:r>
            <w:r w:rsidRPr="00ED79D1">
              <w:rPr>
                <w:rFonts w:cs="Arial"/>
                <w:sz w:val="16"/>
                <w:szCs w:val="16"/>
              </w:rPr>
              <w:br/>
            </w:r>
            <w:r w:rsidRPr="00ED79D1">
              <w:rPr>
                <w:rFonts w:cs="Arial"/>
                <w:i/>
                <w:sz w:val="16"/>
                <w:szCs w:val="16"/>
              </w:rPr>
              <w:t>(Source: WIPO Stakeholders Perceptions Survey, June 2014)</w:t>
            </w:r>
          </w:p>
        </w:tc>
        <w:tc>
          <w:tcPr>
            <w:tcW w:w="583" w:type="pct"/>
            <w:tcMar>
              <w:top w:w="110" w:type="dxa"/>
            </w:tcMar>
          </w:tcPr>
          <w:p w:rsidR="00F838C5" w:rsidRPr="00ED79D1" w:rsidRDefault="00F838C5" w:rsidP="001363EE">
            <w:pPr>
              <w:keepNext/>
              <w:keepLines/>
              <w:jc w:val="center"/>
              <w:rPr>
                <w:rFonts w:cs="Arial"/>
                <w:b/>
                <w:color w:val="00B050"/>
                <w:sz w:val="16"/>
                <w:szCs w:val="16"/>
              </w:rPr>
            </w:pPr>
            <w:r w:rsidRPr="008408C2">
              <w:rPr>
                <w:rFonts w:cs="Arial"/>
                <w:b/>
                <w:color w:val="00B050"/>
                <w:sz w:val="16"/>
                <w:szCs w:val="16"/>
              </w:rPr>
              <w:t xml:space="preserve">Fully </w:t>
            </w:r>
            <w:r>
              <w:rPr>
                <w:rFonts w:cs="Arial"/>
                <w:b/>
                <w:color w:val="00B050"/>
                <w:sz w:val="16"/>
                <w:szCs w:val="16"/>
              </w:rPr>
              <w:t>A</w:t>
            </w:r>
            <w:r w:rsidRPr="008408C2">
              <w:rPr>
                <w:rFonts w:cs="Arial"/>
                <w:b/>
                <w:color w:val="00B050"/>
                <w:sz w:val="16"/>
                <w:szCs w:val="16"/>
              </w:rPr>
              <w:t>chieved</w:t>
            </w:r>
          </w:p>
        </w:tc>
      </w:tr>
      <w:tr w:rsidR="00F838C5" w:rsidTr="001363EE">
        <w:trPr>
          <w:trHeight w:val="37"/>
        </w:trPr>
        <w:tc>
          <w:tcPr>
            <w:tcW w:w="1075" w:type="pct"/>
          </w:tcPr>
          <w:p w:rsidR="00F838C5" w:rsidRPr="004354B8" w:rsidRDefault="00F838C5" w:rsidP="001363EE">
            <w:pPr>
              <w:rPr>
                <w:rFonts w:cs="Arial"/>
                <w:sz w:val="16"/>
                <w:szCs w:val="16"/>
              </w:rPr>
            </w:pPr>
            <w:r w:rsidRPr="004F4BF6">
              <w:rPr>
                <w:rFonts w:cs="Arial"/>
                <w:sz w:val="16"/>
                <w:szCs w:val="16"/>
              </w:rPr>
              <w:t>% increase in views of WIPO press, video and photographic content</w:t>
            </w:r>
          </w:p>
        </w:tc>
        <w:tc>
          <w:tcPr>
            <w:tcW w:w="1381" w:type="pct"/>
            <w:gridSpan w:val="2"/>
            <w:shd w:val="clear" w:color="auto" w:fill="auto"/>
          </w:tcPr>
          <w:p w:rsidR="00F838C5" w:rsidRDefault="00F838C5" w:rsidP="001363EE">
            <w:pPr>
              <w:rPr>
                <w:rFonts w:cs="Arial"/>
                <w:i/>
                <w:color w:val="002060"/>
                <w:sz w:val="16"/>
                <w:szCs w:val="16"/>
              </w:rPr>
            </w:pPr>
            <w:r>
              <w:rPr>
                <w:rFonts w:cs="Arial"/>
                <w:i/>
                <w:color w:val="002060"/>
                <w:sz w:val="16"/>
                <w:szCs w:val="16"/>
              </w:rPr>
              <w:t>Updated Baseline end 2013</w:t>
            </w:r>
            <w:r w:rsidRPr="007F330D">
              <w:rPr>
                <w:rFonts w:cs="Arial"/>
                <w:i/>
                <w:color w:val="002060"/>
                <w:sz w:val="16"/>
                <w:szCs w:val="16"/>
              </w:rPr>
              <w:t xml:space="preserve">:  </w:t>
            </w:r>
          </w:p>
          <w:p w:rsidR="00F838C5" w:rsidRDefault="00F838C5" w:rsidP="001363EE">
            <w:pPr>
              <w:rPr>
                <w:rFonts w:cs="Arial"/>
                <w:color w:val="002060"/>
                <w:sz w:val="16"/>
                <w:szCs w:val="16"/>
              </w:rPr>
            </w:pPr>
            <w:r w:rsidRPr="004F4BF6">
              <w:rPr>
                <w:rFonts w:cs="Arial"/>
                <w:color w:val="002060"/>
                <w:sz w:val="16"/>
                <w:szCs w:val="16"/>
              </w:rPr>
              <w:t>(i) av</w:t>
            </w:r>
            <w:r>
              <w:rPr>
                <w:rFonts w:cs="Arial"/>
                <w:color w:val="002060"/>
                <w:sz w:val="16"/>
                <w:szCs w:val="16"/>
              </w:rPr>
              <w:t>erage</w:t>
            </w:r>
            <w:r w:rsidRPr="004F4BF6">
              <w:rPr>
                <w:rFonts w:cs="Arial"/>
                <w:color w:val="002060"/>
                <w:sz w:val="16"/>
                <w:szCs w:val="16"/>
              </w:rPr>
              <w:t xml:space="preserve"> no. of unique views/press release was </w:t>
            </w:r>
            <w:r w:rsidRPr="00137091">
              <w:rPr>
                <w:rFonts w:cs="Arial"/>
                <w:color w:val="002060"/>
                <w:sz w:val="16"/>
                <w:szCs w:val="16"/>
              </w:rPr>
              <w:t>5,506</w:t>
            </w:r>
            <w:r w:rsidRPr="007312BF">
              <w:rPr>
                <w:rFonts w:cs="Arial"/>
                <w:color w:val="002060"/>
                <w:sz w:val="16"/>
                <w:szCs w:val="16"/>
              </w:rPr>
              <w:t xml:space="preserve"> (</w:t>
            </w:r>
            <w:r w:rsidRPr="00137091">
              <w:rPr>
                <w:rFonts w:cs="Arial"/>
                <w:color w:val="002060"/>
                <w:sz w:val="16"/>
                <w:szCs w:val="16"/>
              </w:rPr>
              <w:t>143,169 views for 26</w:t>
            </w:r>
            <w:r w:rsidRPr="007312BF">
              <w:rPr>
                <w:rFonts w:cs="Arial"/>
                <w:color w:val="002060"/>
                <w:sz w:val="16"/>
                <w:szCs w:val="16"/>
              </w:rPr>
              <w:t xml:space="preserve"> p</w:t>
            </w:r>
            <w:r w:rsidRPr="004F4BF6">
              <w:rPr>
                <w:rFonts w:cs="Arial"/>
                <w:color w:val="002060"/>
                <w:sz w:val="16"/>
                <w:szCs w:val="16"/>
              </w:rPr>
              <w:t>ress releases issued in 2013. All languages.)</w:t>
            </w:r>
          </w:p>
          <w:p w:rsidR="00F838C5" w:rsidRPr="004F4BF6" w:rsidRDefault="00F838C5" w:rsidP="001363EE">
            <w:pPr>
              <w:rPr>
                <w:rFonts w:cs="Arial"/>
                <w:color w:val="002060"/>
                <w:sz w:val="16"/>
                <w:szCs w:val="16"/>
              </w:rPr>
            </w:pPr>
            <w:r w:rsidRPr="004F4BF6">
              <w:rPr>
                <w:rFonts w:cs="Arial"/>
                <w:color w:val="002060"/>
                <w:sz w:val="16"/>
                <w:szCs w:val="16"/>
              </w:rPr>
              <w:t>(ii) av</w:t>
            </w:r>
            <w:r>
              <w:rPr>
                <w:rFonts w:cs="Arial"/>
                <w:color w:val="002060"/>
                <w:sz w:val="16"/>
                <w:szCs w:val="16"/>
              </w:rPr>
              <w:t>erage</w:t>
            </w:r>
            <w:r w:rsidRPr="004F4BF6">
              <w:rPr>
                <w:rFonts w:cs="Arial"/>
                <w:color w:val="002060"/>
                <w:sz w:val="16"/>
                <w:szCs w:val="16"/>
              </w:rPr>
              <w:t xml:space="preserve"> </w:t>
            </w:r>
            <w:r>
              <w:rPr>
                <w:rFonts w:cs="Arial"/>
                <w:color w:val="002060"/>
                <w:sz w:val="16"/>
                <w:szCs w:val="16"/>
              </w:rPr>
              <w:t>n</w:t>
            </w:r>
            <w:r w:rsidRPr="004F4BF6">
              <w:rPr>
                <w:rFonts w:cs="Arial"/>
                <w:color w:val="002060"/>
                <w:sz w:val="16"/>
                <w:szCs w:val="16"/>
              </w:rPr>
              <w:t>o</w:t>
            </w:r>
            <w:r>
              <w:rPr>
                <w:rFonts w:cs="Arial"/>
                <w:color w:val="002060"/>
                <w:sz w:val="16"/>
                <w:szCs w:val="16"/>
              </w:rPr>
              <w:t>.</w:t>
            </w:r>
            <w:r w:rsidRPr="004F4BF6">
              <w:rPr>
                <w:rFonts w:cs="Arial"/>
                <w:color w:val="002060"/>
                <w:sz w:val="16"/>
                <w:szCs w:val="16"/>
              </w:rPr>
              <w:t xml:space="preserve"> of views/video was </w:t>
            </w:r>
            <w:r w:rsidRPr="00E92E40">
              <w:rPr>
                <w:rFonts w:cs="Arial"/>
                <w:color w:val="002060"/>
                <w:sz w:val="16"/>
                <w:szCs w:val="16"/>
              </w:rPr>
              <w:t>16,612</w:t>
            </w:r>
            <w:r w:rsidRPr="004F4BF6">
              <w:rPr>
                <w:rFonts w:cs="Arial"/>
                <w:color w:val="002060"/>
                <w:sz w:val="16"/>
                <w:szCs w:val="16"/>
              </w:rPr>
              <w:t xml:space="preserve"> (3,787,601 views for </w:t>
            </w:r>
            <w:r>
              <w:rPr>
                <w:rFonts w:cs="Arial"/>
                <w:color w:val="002060"/>
                <w:sz w:val="16"/>
                <w:szCs w:val="16"/>
              </w:rPr>
              <w:t>228</w:t>
            </w:r>
            <w:r>
              <w:rPr>
                <w:rStyle w:val="FootnoteReference"/>
                <w:rFonts w:cs="Arial"/>
                <w:color w:val="002060"/>
                <w:sz w:val="16"/>
                <w:szCs w:val="16"/>
              </w:rPr>
              <w:footnoteReference w:id="107"/>
            </w:r>
            <w:r w:rsidRPr="004F4BF6">
              <w:rPr>
                <w:rFonts w:cs="Arial"/>
                <w:color w:val="002060"/>
                <w:sz w:val="16"/>
                <w:szCs w:val="16"/>
              </w:rPr>
              <w:t xml:space="preserve"> videos)</w:t>
            </w:r>
          </w:p>
          <w:p w:rsidR="00F838C5" w:rsidRPr="004F4BF6" w:rsidRDefault="00F838C5" w:rsidP="001363EE">
            <w:pPr>
              <w:rPr>
                <w:rFonts w:cs="Arial"/>
                <w:color w:val="002060"/>
                <w:sz w:val="16"/>
                <w:szCs w:val="16"/>
              </w:rPr>
            </w:pPr>
            <w:r w:rsidRPr="004F4BF6">
              <w:rPr>
                <w:rFonts w:cs="Arial"/>
                <w:color w:val="002060"/>
                <w:sz w:val="16"/>
                <w:szCs w:val="16"/>
              </w:rPr>
              <w:t>(iii) 900,000 lifetime photo views on Flickr</w:t>
            </w:r>
          </w:p>
          <w:p w:rsidR="00F838C5" w:rsidRPr="00861678" w:rsidRDefault="00F838C5" w:rsidP="001363EE">
            <w:pPr>
              <w:rPr>
                <w:rFonts w:cs="Arial"/>
                <w:i/>
                <w:color w:val="002060"/>
                <w:sz w:val="8"/>
                <w:szCs w:val="8"/>
              </w:rPr>
            </w:pPr>
          </w:p>
          <w:p w:rsidR="00F838C5" w:rsidRDefault="00F838C5" w:rsidP="001363EE">
            <w:pPr>
              <w:rPr>
                <w:rFonts w:cs="Arial"/>
                <w:i/>
                <w:sz w:val="16"/>
                <w:szCs w:val="16"/>
              </w:rPr>
            </w:pPr>
          </w:p>
          <w:p w:rsidR="00F838C5" w:rsidRDefault="00F838C5" w:rsidP="001363EE">
            <w:pPr>
              <w:rPr>
                <w:rFonts w:cs="Arial"/>
                <w:sz w:val="16"/>
                <w:szCs w:val="16"/>
              </w:rPr>
            </w:pPr>
            <w:r>
              <w:rPr>
                <w:rFonts w:cs="Arial"/>
                <w:i/>
                <w:sz w:val="16"/>
                <w:szCs w:val="16"/>
              </w:rPr>
              <w:t>Original Baseline P&amp;B 2014/15</w:t>
            </w:r>
            <w:r w:rsidRPr="007F330D">
              <w:rPr>
                <w:rFonts w:cs="Arial"/>
                <w:i/>
                <w:sz w:val="16"/>
                <w:szCs w:val="16"/>
              </w:rPr>
              <w:t>:</w:t>
            </w:r>
            <w:r w:rsidRPr="004D1BF4">
              <w:rPr>
                <w:rFonts w:cs="Arial"/>
                <w:sz w:val="16"/>
                <w:szCs w:val="16"/>
              </w:rPr>
              <w:t xml:space="preserve"> </w:t>
            </w:r>
            <w:r>
              <w:rPr>
                <w:rFonts w:cs="Arial"/>
                <w:sz w:val="16"/>
                <w:szCs w:val="16"/>
              </w:rPr>
              <w:t xml:space="preserve"> </w:t>
            </w:r>
          </w:p>
          <w:p w:rsidR="00F838C5" w:rsidRPr="004F4BF6" w:rsidRDefault="00F838C5" w:rsidP="001363EE">
            <w:pPr>
              <w:rPr>
                <w:rFonts w:cs="Arial"/>
                <w:sz w:val="16"/>
                <w:szCs w:val="16"/>
              </w:rPr>
            </w:pPr>
            <w:r w:rsidRPr="004F4BF6">
              <w:rPr>
                <w:rFonts w:cs="Arial"/>
                <w:sz w:val="16"/>
                <w:szCs w:val="16"/>
              </w:rPr>
              <w:t>(i) In 2012, av</w:t>
            </w:r>
            <w:r>
              <w:rPr>
                <w:rFonts w:cs="Arial"/>
                <w:sz w:val="16"/>
                <w:szCs w:val="16"/>
              </w:rPr>
              <w:t>erage</w:t>
            </w:r>
            <w:r w:rsidRPr="004F4BF6">
              <w:rPr>
                <w:rFonts w:cs="Arial"/>
                <w:sz w:val="16"/>
                <w:szCs w:val="16"/>
              </w:rPr>
              <w:t xml:space="preserve"> </w:t>
            </w:r>
            <w:r>
              <w:rPr>
                <w:rFonts w:cs="Arial"/>
                <w:sz w:val="16"/>
                <w:szCs w:val="16"/>
              </w:rPr>
              <w:t>n</w:t>
            </w:r>
            <w:r w:rsidRPr="004F4BF6">
              <w:rPr>
                <w:rFonts w:cs="Arial"/>
                <w:sz w:val="16"/>
                <w:szCs w:val="16"/>
              </w:rPr>
              <w:t>o</w:t>
            </w:r>
            <w:r>
              <w:rPr>
                <w:rFonts w:cs="Arial"/>
                <w:sz w:val="16"/>
                <w:szCs w:val="16"/>
              </w:rPr>
              <w:t>.</w:t>
            </w:r>
            <w:r w:rsidRPr="004F4BF6">
              <w:rPr>
                <w:rFonts w:cs="Arial"/>
                <w:sz w:val="16"/>
                <w:szCs w:val="16"/>
              </w:rPr>
              <w:t xml:space="preserve"> of unique views/press release was </w:t>
            </w:r>
            <w:r w:rsidRPr="0034451C">
              <w:rPr>
                <w:rFonts w:cs="Arial"/>
                <w:sz w:val="16"/>
                <w:szCs w:val="16"/>
              </w:rPr>
              <w:t>3,575</w:t>
            </w:r>
            <w:r w:rsidRPr="007312BF">
              <w:rPr>
                <w:rFonts w:cs="Arial"/>
                <w:sz w:val="16"/>
                <w:szCs w:val="16"/>
              </w:rPr>
              <w:t>. (</w:t>
            </w:r>
            <w:r w:rsidRPr="0034451C">
              <w:rPr>
                <w:rFonts w:cs="Arial"/>
                <w:sz w:val="16"/>
                <w:szCs w:val="16"/>
              </w:rPr>
              <w:t>92,958 for 26</w:t>
            </w:r>
            <w:r w:rsidRPr="004F4BF6">
              <w:rPr>
                <w:rFonts w:cs="Arial"/>
                <w:sz w:val="16"/>
                <w:szCs w:val="16"/>
              </w:rPr>
              <w:t xml:space="preserve"> articles issued in 2012)</w:t>
            </w:r>
          </w:p>
          <w:p w:rsidR="00F838C5" w:rsidRPr="004F4BF6" w:rsidRDefault="00F838C5" w:rsidP="001363EE">
            <w:pPr>
              <w:rPr>
                <w:rFonts w:cs="Arial"/>
                <w:sz w:val="16"/>
                <w:szCs w:val="16"/>
              </w:rPr>
            </w:pPr>
            <w:r w:rsidRPr="004F4BF6">
              <w:rPr>
                <w:rFonts w:cs="Arial"/>
                <w:sz w:val="16"/>
                <w:szCs w:val="16"/>
              </w:rPr>
              <w:t xml:space="preserve">(ii) In 2012, average no of views per video was </w:t>
            </w:r>
            <w:r w:rsidRPr="0034451C">
              <w:rPr>
                <w:rFonts w:cs="Arial"/>
                <w:sz w:val="16"/>
                <w:szCs w:val="16"/>
              </w:rPr>
              <w:t>3,280</w:t>
            </w:r>
            <w:r w:rsidRPr="004F4BF6">
              <w:rPr>
                <w:rFonts w:cs="Arial"/>
                <w:sz w:val="16"/>
                <w:szCs w:val="16"/>
              </w:rPr>
              <w:t xml:space="preserve"> (478,888 views for 146 total videos)</w:t>
            </w:r>
          </w:p>
          <w:p w:rsidR="00F838C5" w:rsidRPr="004D1BF4" w:rsidRDefault="00F838C5" w:rsidP="001363EE">
            <w:pPr>
              <w:rPr>
                <w:rFonts w:cs="Arial"/>
                <w:sz w:val="16"/>
                <w:szCs w:val="16"/>
              </w:rPr>
            </w:pPr>
            <w:r w:rsidRPr="004F4BF6">
              <w:rPr>
                <w:rFonts w:cs="Arial"/>
                <w:sz w:val="16"/>
                <w:szCs w:val="16"/>
              </w:rPr>
              <w:t>(iii) 155,000 total photo views on Flickr at end 201</w:t>
            </w:r>
            <w:r>
              <w:rPr>
                <w:rFonts w:cs="Arial"/>
                <w:sz w:val="16"/>
                <w:szCs w:val="16"/>
              </w:rPr>
              <w:t>2</w:t>
            </w:r>
          </w:p>
        </w:tc>
        <w:tc>
          <w:tcPr>
            <w:tcW w:w="800" w:type="pct"/>
            <w:gridSpan w:val="2"/>
            <w:tcMar>
              <w:top w:w="110" w:type="dxa"/>
            </w:tcMar>
          </w:tcPr>
          <w:p w:rsidR="00F838C5" w:rsidRDefault="00F838C5" w:rsidP="001363EE">
            <w:pPr>
              <w:rPr>
                <w:rFonts w:cs="Arial"/>
                <w:sz w:val="16"/>
                <w:szCs w:val="16"/>
              </w:rPr>
            </w:pPr>
          </w:p>
          <w:p w:rsidR="00F838C5" w:rsidRPr="004F4BF6" w:rsidRDefault="00F838C5" w:rsidP="001363EE">
            <w:pPr>
              <w:rPr>
                <w:rFonts w:cs="Arial"/>
                <w:sz w:val="16"/>
                <w:szCs w:val="16"/>
              </w:rPr>
            </w:pPr>
            <w:r w:rsidRPr="004F4BF6">
              <w:rPr>
                <w:rFonts w:cs="Arial"/>
                <w:sz w:val="16"/>
                <w:szCs w:val="16"/>
              </w:rPr>
              <w:t xml:space="preserve">(i) 10 % increase in average no. of views per press release </w:t>
            </w:r>
          </w:p>
          <w:p w:rsidR="00F838C5" w:rsidRPr="004F4BF6" w:rsidRDefault="00F838C5" w:rsidP="001363EE">
            <w:pPr>
              <w:rPr>
                <w:rFonts w:cs="Arial"/>
                <w:sz w:val="16"/>
                <w:szCs w:val="16"/>
              </w:rPr>
            </w:pPr>
          </w:p>
          <w:p w:rsidR="00F838C5" w:rsidRDefault="00F838C5" w:rsidP="001363EE">
            <w:pPr>
              <w:rPr>
                <w:rFonts w:cs="Arial"/>
                <w:sz w:val="16"/>
                <w:szCs w:val="16"/>
              </w:rPr>
            </w:pPr>
          </w:p>
          <w:p w:rsidR="00F838C5" w:rsidRDefault="00F838C5" w:rsidP="001363EE">
            <w:pPr>
              <w:rPr>
                <w:rFonts w:cs="Arial"/>
                <w:sz w:val="16"/>
                <w:szCs w:val="16"/>
              </w:rPr>
            </w:pPr>
          </w:p>
          <w:p w:rsidR="00F838C5" w:rsidRDefault="00F838C5" w:rsidP="001363EE">
            <w:pPr>
              <w:rPr>
                <w:rFonts w:cs="Arial"/>
                <w:sz w:val="16"/>
                <w:szCs w:val="16"/>
              </w:rPr>
            </w:pPr>
          </w:p>
          <w:p w:rsidR="00F838C5" w:rsidRDefault="00F838C5" w:rsidP="001363EE">
            <w:pPr>
              <w:rPr>
                <w:rFonts w:cs="Arial"/>
                <w:sz w:val="16"/>
                <w:szCs w:val="16"/>
              </w:rPr>
            </w:pPr>
          </w:p>
          <w:p w:rsidR="00F838C5" w:rsidRDefault="00F838C5" w:rsidP="001363EE">
            <w:pPr>
              <w:rPr>
                <w:rFonts w:cs="Arial"/>
                <w:sz w:val="16"/>
                <w:szCs w:val="16"/>
              </w:rPr>
            </w:pPr>
          </w:p>
          <w:p w:rsidR="00F838C5" w:rsidRDefault="00F838C5" w:rsidP="001363EE">
            <w:pPr>
              <w:rPr>
                <w:rFonts w:cs="Arial"/>
                <w:sz w:val="16"/>
                <w:szCs w:val="16"/>
              </w:rPr>
            </w:pPr>
          </w:p>
          <w:p w:rsidR="00F838C5" w:rsidRDefault="00F838C5" w:rsidP="001363EE">
            <w:pPr>
              <w:rPr>
                <w:rFonts w:cs="Arial"/>
                <w:sz w:val="16"/>
                <w:szCs w:val="16"/>
              </w:rPr>
            </w:pPr>
          </w:p>
          <w:p w:rsidR="00F838C5" w:rsidRDefault="00F838C5" w:rsidP="001363EE">
            <w:pPr>
              <w:rPr>
                <w:rFonts w:cs="Arial"/>
                <w:sz w:val="16"/>
                <w:szCs w:val="16"/>
              </w:rPr>
            </w:pPr>
          </w:p>
          <w:p w:rsidR="00F838C5" w:rsidRPr="004F4BF6" w:rsidRDefault="00F838C5" w:rsidP="001363EE">
            <w:pPr>
              <w:rPr>
                <w:rFonts w:cs="Arial"/>
                <w:sz w:val="16"/>
                <w:szCs w:val="16"/>
              </w:rPr>
            </w:pPr>
            <w:r w:rsidRPr="004F4BF6">
              <w:rPr>
                <w:rFonts w:cs="Arial"/>
                <w:sz w:val="16"/>
                <w:szCs w:val="16"/>
              </w:rPr>
              <w:t>(ii) 10% increase in average views per video on the WIPO YouTube channel</w:t>
            </w:r>
          </w:p>
          <w:p w:rsidR="00F838C5" w:rsidRPr="0027745B" w:rsidRDefault="00F838C5" w:rsidP="001363EE">
            <w:pPr>
              <w:rPr>
                <w:rFonts w:cs="Arial"/>
                <w:sz w:val="16"/>
                <w:szCs w:val="16"/>
              </w:rPr>
            </w:pPr>
            <w:r>
              <w:rPr>
                <w:rFonts w:cs="Arial"/>
                <w:sz w:val="16"/>
                <w:szCs w:val="16"/>
              </w:rPr>
              <w:t>(</w:t>
            </w:r>
            <w:r w:rsidRPr="004F4BF6">
              <w:rPr>
                <w:rFonts w:cs="Arial"/>
                <w:sz w:val="16"/>
                <w:szCs w:val="16"/>
              </w:rPr>
              <w:t>iii) Target:  300,000 additional photo views on Flickr</w:t>
            </w:r>
          </w:p>
        </w:tc>
        <w:tc>
          <w:tcPr>
            <w:tcW w:w="1162" w:type="pct"/>
            <w:gridSpan w:val="2"/>
            <w:shd w:val="clear" w:color="auto" w:fill="FFFFFF"/>
            <w:tcMar>
              <w:top w:w="110" w:type="dxa"/>
            </w:tcMar>
          </w:tcPr>
          <w:p w:rsidR="00F838C5" w:rsidRDefault="00F838C5" w:rsidP="001363EE">
            <w:pPr>
              <w:ind w:left="29"/>
              <w:rPr>
                <w:rFonts w:cs="Arial"/>
                <w:sz w:val="16"/>
                <w:szCs w:val="16"/>
              </w:rPr>
            </w:pPr>
            <w:r>
              <w:rPr>
                <w:rFonts w:cs="Arial"/>
                <w:sz w:val="16"/>
                <w:szCs w:val="16"/>
              </w:rPr>
              <w:t xml:space="preserve">In 2014/15: </w:t>
            </w:r>
          </w:p>
          <w:p w:rsidR="00F838C5" w:rsidRDefault="00F838C5" w:rsidP="001363EE">
            <w:pPr>
              <w:rPr>
                <w:rFonts w:cs="Arial"/>
                <w:sz w:val="16"/>
                <w:szCs w:val="16"/>
              </w:rPr>
            </w:pPr>
            <w:r w:rsidRPr="00ED79D1">
              <w:rPr>
                <w:rFonts w:cs="Arial"/>
                <w:sz w:val="16"/>
                <w:szCs w:val="16"/>
              </w:rPr>
              <w:t xml:space="preserve">(i) </w:t>
            </w:r>
            <w:r>
              <w:rPr>
                <w:rFonts w:cs="Arial"/>
                <w:sz w:val="16"/>
                <w:szCs w:val="16"/>
              </w:rPr>
              <w:t xml:space="preserve">the </w:t>
            </w:r>
            <w:r w:rsidRPr="00ED79D1">
              <w:rPr>
                <w:rFonts w:cs="Arial"/>
                <w:sz w:val="16"/>
                <w:szCs w:val="16"/>
              </w:rPr>
              <w:t>average no. of uni</w:t>
            </w:r>
            <w:r>
              <w:rPr>
                <w:rFonts w:cs="Arial"/>
                <w:sz w:val="16"/>
                <w:szCs w:val="16"/>
              </w:rPr>
              <w:t xml:space="preserve">que views per press release was </w:t>
            </w:r>
            <w:r w:rsidRPr="00A56846">
              <w:rPr>
                <w:rFonts w:cs="Arial"/>
                <w:sz w:val="16"/>
                <w:szCs w:val="16"/>
              </w:rPr>
              <w:t>4,4</w:t>
            </w:r>
            <w:r>
              <w:rPr>
                <w:rFonts w:cs="Arial"/>
                <w:sz w:val="16"/>
                <w:szCs w:val="16"/>
              </w:rPr>
              <w:t>67</w:t>
            </w:r>
            <w:r w:rsidRPr="00A56846">
              <w:rPr>
                <w:rFonts w:cs="Arial"/>
                <w:sz w:val="16"/>
                <w:szCs w:val="16"/>
              </w:rPr>
              <w:t xml:space="preserve"> (-</w:t>
            </w:r>
            <w:r>
              <w:rPr>
                <w:rFonts w:cs="Arial"/>
                <w:sz w:val="16"/>
                <w:szCs w:val="16"/>
              </w:rPr>
              <w:t>1.6</w:t>
            </w:r>
            <w:r w:rsidRPr="00A56846">
              <w:rPr>
                <w:rFonts w:cs="Arial"/>
                <w:sz w:val="16"/>
                <w:szCs w:val="16"/>
              </w:rPr>
              <w:t>%</w:t>
            </w:r>
            <w:r>
              <w:rPr>
                <w:rFonts w:cs="Arial"/>
                <w:sz w:val="16"/>
                <w:szCs w:val="16"/>
              </w:rPr>
              <w:t xml:space="preserve"> compared to 2012/13</w:t>
            </w:r>
            <w:r w:rsidRPr="00A56846">
              <w:rPr>
                <w:rFonts w:cs="Arial"/>
                <w:sz w:val="16"/>
                <w:szCs w:val="16"/>
              </w:rPr>
              <w:t>)</w:t>
            </w:r>
            <w:r>
              <w:rPr>
                <w:rFonts w:cs="Arial"/>
                <w:sz w:val="16"/>
                <w:szCs w:val="16"/>
              </w:rPr>
              <w:t xml:space="preserve">  </w:t>
            </w:r>
          </w:p>
          <w:p w:rsidR="00F838C5" w:rsidRDefault="00F838C5" w:rsidP="00F838C5">
            <w:pPr>
              <w:pStyle w:val="ListParagraph"/>
              <w:numPr>
                <w:ilvl w:val="0"/>
                <w:numId w:val="64"/>
              </w:numPr>
              <w:rPr>
                <w:rFonts w:cs="Arial"/>
                <w:sz w:val="16"/>
                <w:szCs w:val="16"/>
              </w:rPr>
            </w:pPr>
            <w:r w:rsidRPr="00A56846">
              <w:rPr>
                <w:rFonts w:cs="Arial"/>
                <w:sz w:val="16"/>
                <w:szCs w:val="16"/>
              </w:rPr>
              <w:t>75,173 views for 18 releases issued in 2014.</w:t>
            </w:r>
            <w:r>
              <w:rPr>
                <w:rFonts w:cs="Arial"/>
                <w:sz w:val="16"/>
                <w:szCs w:val="16"/>
              </w:rPr>
              <w:t xml:space="preserve"> (-24.2</w:t>
            </w:r>
            <w:r w:rsidRPr="00A56846">
              <w:rPr>
                <w:rFonts w:cs="Arial"/>
                <w:sz w:val="16"/>
                <w:szCs w:val="16"/>
              </w:rPr>
              <w:t>%</w:t>
            </w:r>
            <w:r>
              <w:rPr>
                <w:rFonts w:cs="Arial"/>
                <w:sz w:val="16"/>
                <w:szCs w:val="16"/>
              </w:rPr>
              <w:t xml:space="preserve"> as compared to 2013</w:t>
            </w:r>
            <w:r w:rsidRPr="00A56846">
              <w:rPr>
                <w:rFonts w:cs="Arial"/>
                <w:sz w:val="16"/>
                <w:szCs w:val="16"/>
              </w:rPr>
              <w:t>)</w:t>
            </w:r>
          </w:p>
          <w:p w:rsidR="00F838C5" w:rsidRPr="00A56846" w:rsidRDefault="00F838C5" w:rsidP="00F838C5">
            <w:pPr>
              <w:pStyle w:val="ListParagraph"/>
              <w:numPr>
                <w:ilvl w:val="0"/>
                <w:numId w:val="64"/>
              </w:numPr>
              <w:rPr>
                <w:rFonts w:cs="Arial"/>
                <w:sz w:val="16"/>
                <w:szCs w:val="16"/>
              </w:rPr>
            </w:pPr>
            <w:r w:rsidRPr="00A56846">
              <w:rPr>
                <w:rFonts w:cs="Arial"/>
                <w:sz w:val="16"/>
                <w:szCs w:val="16"/>
              </w:rPr>
              <w:t>72,232 views for 15 releases issued in 2015 (-</w:t>
            </w:r>
            <w:r>
              <w:rPr>
                <w:rFonts w:cs="Arial"/>
                <w:sz w:val="16"/>
                <w:szCs w:val="16"/>
              </w:rPr>
              <w:t>12.5</w:t>
            </w:r>
            <w:r w:rsidRPr="00A56846">
              <w:rPr>
                <w:rFonts w:cs="Arial"/>
                <w:sz w:val="16"/>
                <w:szCs w:val="16"/>
              </w:rPr>
              <w:t>%</w:t>
            </w:r>
            <w:r>
              <w:rPr>
                <w:rFonts w:cs="Arial"/>
                <w:sz w:val="16"/>
                <w:szCs w:val="16"/>
              </w:rPr>
              <w:t xml:space="preserve"> as compared to 2014</w:t>
            </w:r>
            <w:r w:rsidRPr="00A56846">
              <w:rPr>
                <w:rFonts w:cs="Arial"/>
                <w:sz w:val="16"/>
                <w:szCs w:val="16"/>
              </w:rPr>
              <w:t>)</w:t>
            </w:r>
          </w:p>
          <w:p w:rsidR="00F838C5" w:rsidRPr="00552113" w:rsidRDefault="00F838C5" w:rsidP="001363EE">
            <w:pPr>
              <w:pStyle w:val="ListParagraph"/>
              <w:ind w:left="27"/>
              <w:rPr>
                <w:sz w:val="12"/>
                <w:szCs w:val="12"/>
                <w:highlight w:val="yellow"/>
              </w:rPr>
            </w:pPr>
          </w:p>
          <w:p w:rsidR="00F838C5" w:rsidRDefault="00F838C5" w:rsidP="001363EE">
            <w:pPr>
              <w:rPr>
                <w:rFonts w:cs="Arial"/>
                <w:sz w:val="16"/>
                <w:szCs w:val="16"/>
                <w:highlight w:val="yellow"/>
              </w:rPr>
            </w:pPr>
            <w:r w:rsidRPr="00FE3C5A">
              <w:rPr>
                <w:rFonts w:cs="Arial"/>
                <w:sz w:val="16"/>
                <w:szCs w:val="16"/>
              </w:rPr>
              <w:t xml:space="preserve">(ii) </w:t>
            </w:r>
            <w:r>
              <w:rPr>
                <w:rFonts w:cs="Arial"/>
                <w:sz w:val="16"/>
                <w:szCs w:val="16"/>
              </w:rPr>
              <w:t xml:space="preserve">the </w:t>
            </w:r>
            <w:r w:rsidRPr="00FE3C5A">
              <w:rPr>
                <w:rFonts w:cs="Arial"/>
                <w:sz w:val="16"/>
                <w:szCs w:val="16"/>
              </w:rPr>
              <w:t xml:space="preserve">average views per video was </w:t>
            </w:r>
            <w:r w:rsidRPr="0034451C">
              <w:rPr>
                <w:rFonts w:cs="Arial"/>
                <w:sz w:val="16"/>
                <w:szCs w:val="16"/>
              </w:rPr>
              <w:t>12,871</w:t>
            </w:r>
            <w:r>
              <w:rPr>
                <w:rFonts w:cs="Arial"/>
                <w:sz w:val="16"/>
                <w:szCs w:val="16"/>
              </w:rPr>
              <w:t xml:space="preserve"> </w:t>
            </w:r>
            <w:r w:rsidRPr="00FE3C5A">
              <w:rPr>
                <w:rFonts w:cs="Arial"/>
                <w:sz w:val="16"/>
                <w:szCs w:val="16"/>
              </w:rPr>
              <w:t>(</w:t>
            </w:r>
            <w:r>
              <w:rPr>
                <w:rFonts w:cs="Arial"/>
                <w:sz w:val="16"/>
                <w:szCs w:val="16"/>
              </w:rPr>
              <w:t>5,006,946</w:t>
            </w:r>
            <w:r w:rsidRPr="00FE3C5A">
              <w:rPr>
                <w:rFonts w:cs="Arial"/>
                <w:sz w:val="16"/>
                <w:szCs w:val="16"/>
              </w:rPr>
              <w:t xml:space="preserve"> for 389 videos </w:t>
            </w:r>
            <w:r>
              <w:rPr>
                <w:rFonts w:cs="Arial"/>
                <w:sz w:val="16"/>
                <w:szCs w:val="16"/>
              </w:rPr>
              <w:t>end</w:t>
            </w:r>
            <w:r w:rsidRPr="00FE3C5A">
              <w:rPr>
                <w:rFonts w:cs="Arial"/>
                <w:sz w:val="16"/>
                <w:szCs w:val="16"/>
              </w:rPr>
              <w:t xml:space="preserve"> 2014/15</w:t>
            </w:r>
            <w:r>
              <w:rPr>
                <w:rFonts w:cs="Arial"/>
                <w:sz w:val="16"/>
                <w:szCs w:val="16"/>
              </w:rPr>
              <w:t>) (</w:t>
            </w:r>
            <w:r>
              <w:rPr>
                <w:rFonts w:cs="Arial"/>
                <w:sz w:val="16"/>
                <w:szCs w:val="16"/>
              </w:rPr>
              <w:noBreakHyphen/>
              <w:t>31%)</w:t>
            </w:r>
          </w:p>
          <w:p w:rsidR="00F838C5" w:rsidRDefault="00F838C5" w:rsidP="001363EE">
            <w:pPr>
              <w:rPr>
                <w:rFonts w:cs="Arial"/>
                <w:sz w:val="16"/>
                <w:szCs w:val="16"/>
                <w:highlight w:val="yellow"/>
              </w:rPr>
            </w:pPr>
          </w:p>
          <w:p w:rsidR="00F838C5" w:rsidRDefault="00F838C5" w:rsidP="001363EE">
            <w:pPr>
              <w:rPr>
                <w:rFonts w:cs="Arial"/>
                <w:sz w:val="16"/>
                <w:szCs w:val="16"/>
              </w:rPr>
            </w:pPr>
            <w:r w:rsidRPr="00FE3C5A">
              <w:rPr>
                <w:rFonts w:cs="Arial"/>
                <w:sz w:val="16"/>
                <w:szCs w:val="16"/>
              </w:rPr>
              <w:t xml:space="preserve">(iii) </w:t>
            </w:r>
            <w:r w:rsidRPr="00B4673D">
              <w:rPr>
                <w:rFonts w:cs="Arial"/>
                <w:sz w:val="16"/>
                <w:szCs w:val="16"/>
              </w:rPr>
              <w:t>2,541,702 additional</w:t>
            </w:r>
            <w:r w:rsidRPr="00FE3C5A">
              <w:rPr>
                <w:rFonts w:cs="Arial"/>
                <w:sz w:val="16"/>
                <w:szCs w:val="16"/>
              </w:rPr>
              <w:t xml:space="preserve"> photo views on Flickr </w:t>
            </w:r>
            <w:r>
              <w:rPr>
                <w:rFonts w:cs="Arial"/>
                <w:sz w:val="16"/>
                <w:szCs w:val="16"/>
              </w:rPr>
              <w:t>(+182%) (3,441,702</w:t>
            </w:r>
            <w:r w:rsidRPr="009A1083">
              <w:rPr>
                <w:rFonts w:cs="Arial"/>
                <w:sz w:val="16"/>
                <w:szCs w:val="16"/>
              </w:rPr>
              <w:t xml:space="preserve"> </w:t>
            </w:r>
            <w:r>
              <w:rPr>
                <w:rFonts w:cs="Arial"/>
                <w:sz w:val="16"/>
                <w:szCs w:val="16"/>
              </w:rPr>
              <w:t xml:space="preserve">lifetime views at end 2015) </w:t>
            </w:r>
          </w:p>
          <w:p w:rsidR="00F838C5" w:rsidRPr="008A2422" w:rsidRDefault="00F838C5" w:rsidP="001363EE">
            <w:pPr>
              <w:rPr>
                <w:rFonts w:cs="Arial"/>
                <w:sz w:val="16"/>
                <w:szCs w:val="16"/>
                <w:highlight w:val="yellow"/>
              </w:rPr>
            </w:pPr>
          </w:p>
        </w:tc>
        <w:tc>
          <w:tcPr>
            <w:tcW w:w="583" w:type="pct"/>
            <w:tcMar>
              <w:top w:w="110" w:type="dxa"/>
            </w:tcMar>
          </w:tcPr>
          <w:p w:rsidR="00F838C5" w:rsidRDefault="00F838C5" w:rsidP="001363EE">
            <w:pPr>
              <w:keepNext/>
              <w:keepLines/>
              <w:jc w:val="center"/>
              <w:rPr>
                <w:rFonts w:cs="Arial"/>
                <w:b/>
                <w:color w:val="FF0000"/>
                <w:sz w:val="16"/>
                <w:szCs w:val="16"/>
              </w:rPr>
            </w:pPr>
          </w:p>
          <w:p w:rsidR="00F838C5" w:rsidRPr="00382182" w:rsidRDefault="00F838C5" w:rsidP="001363EE">
            <w:pPr>
              <w:keepNext/>
              <w:keepLines/>
              <w:jc w:val="center"/>
              <w:rPr>
                <w:rFonts w:cs="Arial"/>
                <w:b/>
                <w:color w:val="FF0000"/>
                <w:sz w:val="16"/>
                <w:szCs w:val="16"/>
              </w:rPr>
            </w:pPr>
            <w:r>
              <w:rPr>
                <w:rFonts w:cs="Arial"/>
                <w:b/>
                <w:color w:val="FF0000"/>
                <w:sz w:val="16"/>
                <w:szCs w:val="16"/>
              </w:rPr>
              <w:t>Not A</w:t>
            </w:r>
            <w:r w:rsidRPr="00382182">
              <w:rPr>
                <w:rFonts w:cs="Arial"/>
                <w:b/>
                <w:color w:val="FF0000"/>
                <w:sz w:val="16"/>
                <w:szCs w:val="16"/>
              </w:rPr>
              <w:t>chieved</w:t>
            </w:r>
          </w:p>
          <w:p w:rsidR="00F838C5" w:rsidRDefault="00F838C5" w:rsidP="001363EE">
            <w:pPr>
              <w:keepNext/>
              <w:keepLines/>
              <w:jc w:val="center"/>
              <w:rPr>
                <w:rFonts w:cs="Arial"/>
                <w:b/>
                <w:color w:val="00B050"/>
                <w:sz w:val="16"/>
                <w:szCs w:val="16"/>
              </w:rPr>
            </w:pPr>
          </w:p>
          <w:p w:rsidR="00F838C5" w:rsidRDefault="00F838C5" w:rsidP="001363EE">
            <w:pPr>
              <w:keepNext/>
              <w:keepLines/>
              <w:jc w:val="center"/>
              <w:rPr>
                <w:rFonts w:cs="Arial"/>
                <w:b/>
                <w:color w:val="00B050"/>
                <w:sz w:val="16"/>
                <w:szCs w:val="16"/>
              </w:rPr>
            </w:pPr>
          </w:p>
          <w:p w:rsidR="00F838C5" w:rsidRDefault="00F838C5" w:rsidP="001363EE">
            <w:pPr>
              <w:keepNext/>
              <w:keepLines/>
              <w:jc w:val="center"/>
              <w:rPr>
                <w:rFonts w:cs="Arial"/>
                <w:b/>
                <w:color w:val="00B050"/>
                <w:sz w:val="16"/>
                <w:szCs w:val="16"/>
              </w:rPr>
            </w:pPr>
          </w:p>
          <w:p w:rsidR="00F838C5" w:rsidRDefault="00F838C5" w:rsidP="001363EE">
            <w:pPr>
              <w:keepNext/>
              <w:keepLines/>
              <w:jc w:val="center"/>
              <w:rPr>
                <w:rFonts w:cs="Arial"/>
                <w:b/>
                <w:color w:val="00B050"/>
                <w:sz w:val="16"/>
                <w:szCs w:val="16"/>
              </w:rPr>
            </w:pPr>
          </w:p>
          <w:p w:rsidR="00F838C5" w:rsidRDefault="00F838C5" w:rsidP="001363EE">
            <w:pPr>
              <w:keepNext/>
              <w:keepLines/>
              <w:jc w:val="center"/>
              <w:rPr>
                <w:rFonts w:cs="Arial"/>
                <w:b/>
                <w:color w:val="00B050"/>
                <w:sz w:val="16"/>
                <w:szCs w:val="16"/>
              </w:rPr>
            </w:pPr>
          </w:p>
          <w:p w:rsidR="00F838C5" w:rsidRDefault="00F838C5" w:rsidP="001363EE">
            <w:pPr>
              <w:keepNext/>
              <w:keepLines/>
              <w:jc w:val="center"/>
              <w:rPr>
                <w:rFonts w:cs="Arial"/>
                <w:b/>
                <w:color w:val="00B050"/>
                <w:sz w:val="16"/>
                <w:szCs w:val="16"/>
              </w:rPr>
            </w:pPr>
          </w:p>
          <w:p w:rsidR="00F838C5" w:rsidRDefault="00F838C5" w:rsidP="001363EE">
            <w:pPr>
              <w:keepNext/>
              <w:keepLines/>
              <w:jc w:val="center"/>
              <w:rPr>
                <w:rFonts w:cs="Arial"/>
                <w:b/>
                <w:color w:val="00B050"/>
                <w:sz w:val="16"/>
                <w:szCs w:val="16"/>
              </w:rPr>
            </w:pPr>
          </w:p>
          <w:p w:rsidR="00F838C5" w:rsidRDefault="00F838C5" w:rsidP="001363EE">
            <w:pPr>
              <w:keepNext/>
              <w:keepLines/>
              <w:jc w:val="center"/>
              <w:rPr>
                <w:rFonts w:cs="Arial"/>
                <w:b/>
                <w:color w:val="00B050"/>
                <w:sz w:val="16"/>
                <w:szCs w:val="16"/>
              </w:rPr>
            </w:pPr>
          </w:p>
          <w:p w:rsidR="00F838C5" w:rsidRDefault="00F838C5" w:rsidP="001363EE">
            <w:pPr>
              <w:keepNext/>
              <w:keepLines/>
              <w:jc w:val="center"/>
              <w:rPr>
                <w:rFonts w:cs="Arial"/>
                <w:b/>
                <w:color w:val="FF0000"/>
                <w:sz w:val="16"/>
                <w:szCs w:val="16"/>
              </w:rPr>
            </w:pPr>
          </w:p>
          <w:p w:rsidR="00F838C5" w:rsidRDefault="00F838C5" w:rsidP="001363EE">
            <w:pPr>
              <w:keepNext/>
              <w:keepLines/>
              <w:jc w:val="center"/>
              <w:rPr>
                <w:rFonts w:cs="Arial"/>
                <w:b/>
                <w:color w:val="FF0000"/>
                <w:sz w:val="16"/>
                <w:szCs w:val="16"/>
              </w:rPr>
            </w:pPr>
          </w:p>
          <w:p w:rsidR="00F838C5" w:rsidRDefault="00F838C5" w:rsidP="001363EE">
            <w:pPr>
              <w:keepNext/>
              <w:keepLines/>
              <w:jc w:val="center"/>
              <w:rPr>
                <w:rFonts w:cs="Arial"/>
                <w:b/>
                <w:color w:val="FF0000"/>
                <w:sz w:val="16"/>
                <w:szCs w:val="16"/>
              </w:rPr>
            </w:pPr>
          </w:p>
          <w:p w:rsidR="00F838C5" w:rsidRDefault="00F838C5" w:rsidP="001363EE">
            <w:pPr>
              <w:keepNext/>
              <w:keepLines/>
              <w:jc w:val="center"/>
              <w:rPr>
                <w:rFonts w:cs="Arial"/>
                <w:b/>
                <w:color w:val="FF0000"/>
                <w:sz w:val="16"/>
                <w:szCs w:val="16"/>
              </w:rPr>
            </w:pPr>
          </w:p>
          <w:p w:rsidR="00F838C5" w:rsidRPr="008C6294" w:rsidRDefault="00F838C5" w:rsidP="001363EE">
            <w:pPr>
              <w:keepNext/>
              <w:keepLines/>
              <w:jc w:val="center"/>
              <w:rPr>
                <w:rFonts w:cs="Arial"/>
                <w:b/>
                <w:color w:val="FF0000"/>
                <w:sz w:val="16"/>
                <w:szCs w:val="16"/>
              </w:rPr>
            </w:pPr>
            <w:r w:rsidRPr="008C6294">
              <w:rPr>
                <w:rFonts w:cs="Arial"/>
                <w:b/>
                <w:color w:val="FF0000"/>
                <w:sz w:val="16"/>
                <w:szCs w:val="16"/>
              </w:rPr>
              <w:t>Not</w:t>
            </w:r>
            <w:r>
              <w:rPr>
                <w:rFonts w:cs="Arial"/>
                <w:b/>
                <w:color w:val="FF0000"/>
                <w:sz w:val="16"/>
                <w:szCs w:val="16"/>
              </w:rPr>
              <w:t xml:space="preserve"> A</w:t>
            </w:r>
            <w:r w:rsidRPr="008C6294">
              <w:rPr>
                <w:rFonts w:cs="Arial"/>
                <w:b/>
                <w:color w:val="FF0000"/>
                <w:sz w:val="16"/>
                <w:szCs w:val="16"/>
              </w:rPr>
              <w:t>chieved</w:t>
            </w:r>
          </w:p>
          <w:p w:rsidR="00F838C5" w:rsidRDefault="00F838C5" w:rsidP="001363EE">
            <w:pPr>
              <w:keepNext/>
              <w:keepLines/>
              <w:jc w:val="center"/>
              <w:rPr>
                <w:rFonts w:cs="Arial"/>
                <w:b/>
                <w:color w:val="00B050"/>
                <w:sz w:val="16"/>
                <w:szCs w:val="16"/>
              </w:rPr>
            </w:pPr>
          </w:p>
          <w:p w:rsidR="00F838C5" w:rsidRDefault="00F838C5" w:rsidP="001363EE">
            <w:pPr>
              <w:keepNext/>
              <w:keepLines/>
              <w:jc w:val="center"/>
              <w:rPr>
                <w:rFonts w:cs="Arial"/>
                <w:b/>
                <w:color w:val="00B050"/>
                <w:sz w:val="16"/>
                <w:szCs w:val="16"/>
              </w:rPr>
            </w:pPr>
          </w:p>
          <w:p w:rsidR="00F838C5" w:rsidRDefault="00F838C5" w:rsidP="001363EE">
            <w:pPr>
              <w:keepNext/>
              <w:keepLines/>
              <w:jc w:val="center"/>
              <w:rPr>
                <w:rFonts w:cs="Arial"/>
                <w:b/>
                <w:color w:val="00B050"/>
                <w:sz w:val="16"/>
                <w:szCs w:val="16"/>
              </w:rPr>
            </w:pPr>
          </w:p>
          <w:p w:rsidR="00F838C5" w:rsidRDefault="00F838C5" w:rsidP="001363EE">
            <w:pPr>
              <w:keepNext/>
              <w:keepLines/>
              <w:jc w:val="center"/>
              <w:rPr>
                <w:rFonts w:cs="Arial"/>
                <w:b/>
                <w:color w:val="00B050"/>
                <w:sz w:val="16"/>
                <w:szCs w:val="16"/>
              </w:rPr>
            </w:pPr>
          </w:p>
          <w:p w:rsidR="00F838C5" w:rsidRPr="00E32FD5" w:rsidRDefault="00F838C5" w:rsidP="001363EE">
            <w:pPr>
              <w:keepNext/>
              <w:keepLines/>
              <w:jc w:val="center"/>
              <w:rPr>
                <w:rFonts w:cs="Arial"/>
                <w:b/>
                <w:color w:val="FF0000"/>
                <w:sz w:val="16"/>
                <w:szCs w:val="16"/>
              </w:rPr>
            </w:pPr>
            <w:r w:rsidRPr="008408C2">
              <w:rPr>
                <w:rFonts w:cs="Arial"/>
                <w:b/>
                <w:color w:val="00B050"/>
                <w:sz w:val="16"/>
                <w:szCs w:val="16"/>
              </w:rPr>
              <w:t xml:space="preserve">Fully </w:t>
            </w:r>
            <w:r>
              <w:rPr>
                <w:rFonts w:cs="Arial"/>
                <w:b/>
                <w:color w:val="00B050"/>
                <w:sz w:val="16"/>
                <w:szCs w:val="16"/>
              </w:rPr>
              <w:t>A</w:t>
            </w:r>
            <w:r w:rsidRPr="008408C2">
              <w:rPr>
                <w:rFonts w:cs="Arial"/>
                <w:b/>
                <w:color w:val="00B050"/>
                <w:sz w:val="16"/>
                <w:szCs w:val="16"/>
              </w:rPr>
              <w:t>chieved</w:t>
            </w:r>
          </w:p>
        </w:tc>
      </w:tr>
      <w:tr w:rsidR="00F838C5" w:rsidTr="001363EE">
        <w:trPr>
          <w:trHeight w:val="1716"/>
        </w:trPr>
        <w:tc>
          <w:tcPr>
            <w:tcW w:w="1075" w:type="pct"/>
          </w:tcPr>
          <w:p w:rsidR="00F838C5" w:rsidRPr="004354B8" w:rsidRDefault="00F838C5" w:rsidP="001363EE">
            <w:pPr>
              <w:rPr>
                <w:rFonts w:cs="Arial"/>
                <w:sz w:val="16"/>
                <w:szCs w:val="16"/>
              </w:rPr>
            </w:pPr>
            <w:r w:rsidRPr="00D46149">
              <w:rPr>
                <w:rFonts w:cs="Arial"/>
                <w:sz w:val="16"/>
                <w:szCs w:val="16"/>
              </w:rPr>
              <w:lastRenderedPageBreak/>
              <w:t>% increase in global participation in World IP Day via Facebook page (total reach of campaign)</w:t>
            </w:r>
          </w:p>
        </w:tc>
        <w:tc>
          <w:tcPr>
            <w:tcW w:w="1381" w:type="pct"/>
            <w:gridSpan w:val="2"/>
            <w:shd w:val="clear" w:color="auto" w:fill="auto"/>
          </w:tcPr>
          <w:p w:rsidR="00F838C5" w:rsidRDefault="00F838C5" w:rsidP="001363EE">
            <w:pPr>
              <w:rPr>
                <w:rFonts w:cs="Arial"/>
                <w:color w:val="002060"/>
                <w:sz w:val="16"/>
                <w:szCs w:val="16"/>
              </w:rPr>
            </w:pPr>
            <w:r>
              <w:rPr>
                <w:rFonts w:cs="Arial"/>
                <w:i/>
                <w:color w:val="002060"/>
                <w:sz w:val="16"/>
                <w:szCs w:val="16"/>
              </w:rPr>
              <w:t>Updated Baseline end 2013</w:t>
            </w:r>
            <w:r w:rsidRPr="0027745B">
              <w:rPr>
                <w:rFonts w:cs="Arial"/>
                <w:i/>
                <w:color w:val="002060"/>
                <w:sz w:val="16"/>
                <w:szCs w:val="16"/>
              </w:rPr>
              <w:t xml:space="preserve">: </w:t>
            </w:r>
            <w:r w:rsidRPr="00D46149">
              <w:rPr>
                <w:rFonts w:cs="Arial"/>
                <w:color w:val="002060"/>
                <w:sz w:val="16"/>
                <w:szCs w:val="16"/>
              </w:rPr>
              <w:t>414,121 people saw World IP Day content through our 2013 Facebook campaign (cumulative reach [constant])</w:t>
            </w:r>
            <w:r w:rsidRPr="0027745B">
              <w:rPr>
                <w:rFonts w:cs="Arial"/>
                <w:i/>
                <w:color w:val="002060"/>
                <w:sz w:val="16"/>
                <w:szCs w:val="16"/>
              </w:rPr>
              <w:t xml:space="preserve"> </w:t>
            </w:r>
          </w:p>
          <w:p w:rsidR="00F838C5" w:rsidRPr="000D5D96" w:rsidRDefault="00F838C5" w:rsidP="001363EE">
            <w:pPr>
              <w:rPr>
                <w:rFonts w:cs="Arial"/>
                <w:i/>
                <w:color w:val="002060"/>
                <w:sz w:val="8"/>
                <w:szCs w:val="8"/>
              </w:rPr>
            </w:pPr>
          </w:p>
          <w:p w:rsidR="00F838C5" w:rsidRPr="004D1BF4" w:rsidRDefault="00F838C5" w:rsidP="001363EE">
            <w:pPr>
              <w:rPr>
                <w:rFonts w:cs="Arial"/>
                <w:sz w:val="16"/>
                <w:szCs w:val="16"/>
              </w:rPr>
            </w:pPr>
            <w:r>
              <w:rPr>
                <w:rFonts w:cs="Arial"/>
                <w:i/>
                <w:sz w:val="16"/>
                <w:szCs w:val="16"/>
              </w:rPr>
              <w:t>Original Baseline P&amp;B 2014/15</w:t>
            </w:r>
            <w:r w:rsidRPr="0027745B">
              <w:rPr>
                <w:rFonts w:cs="Arial"/>
                <w:i/>
                <w:sz w:val="16"/>
                <w:szCs w:val="16"/>
              </w:rPr>
              <w:t>:</w:t>
            </w:r>
            <w:r>
              <w:rPr>
                <w:rFonts w:cs="Arial"/>
                <w:i/>
                <w:iCs/>
                <w:sz w:val="16"/>
                <w:szCs w:val="16"/>
              </w:rPr>
              <w:t xml:space="preserve">  </w:t>
            </w:r>
            <w:r w:rsidRPr="00D46149">
              <w:rPr>
                <w:rFonts w:cs="Arial"/>
                <w:iCs/>
                <w:sz w:val="16"/>
                <w:szCs w:val="16"/>
              </w:rPr>
              <w:t>379,600 people saw World IP Day content through our 2012 Facebook campaign</w:t>
            </w:r>
          </w:p>
        </w:tc>
        <w:tc>
          <w:tcPr>
            <w:tcW w:w="800" w:type="pct"/>
            <w:gridSpan w:val="2"/>
            <w:tcMar>
              <w:top w:w="110" w:type="dxa"/>
            </w:tcMar>
          </w:tcPr>
          <w:p w:rsidR="00F838C5" w:rsidRPr="0027745B" w:rsidRDefault="00F838C5" w:rsidP="001363EE">
            <w:pPr>
              <w:rPr>
                <w:rFonts w:cs="Arial"/>
                <w:sz w:val="16"/>
                <w:szCs w:val="16"/>
              </w:rPr>
            </w:pPr>
            <w:r w:rsidRPr="00D46149">
              <w:rPr>
                <w:rFonts w:cs="Arial"/>
                <w:sz w:val="16"/>
                <w:szCs w:val="16"/>
              </w:rPr>
              <w:t>30% increase in number of people who see our World IP Day Facebook content (total reach)</w:t>
            </w:r>
          </w:p>
        </w:tc>
        <w:tc>
          <w:tcPr>
            <w:tcW w:w="1162" w:type="pct"/>
            <w:gridSpan w:val="2"/>
            <w:shd w:val="clear" w:color="auto" w:fill="FFFFFF"/>
            <w:tcMar>
              <w:top w:w="110" w:type="dxa"/>
            </w:tcMar>
          </w:tcPr>
          <w:p w:rsidR="00F838C5" w:rsidRDefault="00F838C5" w:rsidP="001363EE">
            <w:pPr>
              <w:rPr>
                <w:rFonts w:cs="Arial"/>
                <w:sz w:val="16"/>
                <w:szCs w:val="16"/>
              </w:rPr>
            </w:pPr>
            <w:r>
              <w:rPr>
                <w:rFonts w:cs="Arial"/>
                <w:sz w:val="16"/>
                <w:szCs w:val="16"/>
              </w:rPr>
              <w:t xml:space="preserve">In 2014/15, a total of 1,020,128 people </w:t>
            </w:r>
            <w:r w:rsidRPr="00D430FB">
              <w:rPr>
                <w:rFonts w:cs="Arial"/>
                <w:sz w:val="16"/>
                <w:szCs w:val="16"/>
              </w:rPr>
              <w:t xml:space="preserve">saw World IP Day content through Facebook campaigns </w:t>
            </w:r>
            <w:r>
              <w:rPr>
                <w:rFonts w:cs="Arial"/>
                <w:sz w:val="16"/>
                <w:szCs w:val="16"/>
              </w:rPr>
              <w:t>(+28.5% as compared to 2012/13):</w:t>
            </w:r>
          </w:p>
          <w:p w:rsidR="00F838C5" w:rsidRDefault="00F838C5" w:rsidP="00F838C5">
            <w:pPr>
              <w:pStyle w:val="ListParagraph"/>
              <w:numPr>
                <w:ilvl w:val="0"/>
                <w:numId w:val="65"/>
              </w:numPr>
              <w:rPr>
                <w:rFonts w:cs="Arial"/>
                <w:sz w:val="16"/>
                <w:szCs w:val="16"/>
              </w:rPr>
            </w:pPr>
            <w:r w:rsidRPr="00500ACC">
              <w:rPr>
                <w:rFonts w:cs="Arial"/>
                <w:sz w:val="16"/>
                <w:szCs w:val="16"/>
              </w:rPr>
              <w:t xml:space="preserve">563,816 in 2014 </w:t>
            </w:r>
          </w:p>
          <w:p w:rsidR="00F838C5" w:rsidRPr="00500ACC" w:rsidRDefault="00F838C5" w:rsidP="00F838C5">
            <w:pPr>
              <w:pStyle w:val="ListParagraph"/>
              <w:numPr>
                <w:ilvl w:val="0"/>
                <w:numId w:val="65"/>
              </w:numPr>
              <w:rPr>
                <w:rFonts w:cs="Arial"/>
                <w:sz w:val="16"/>
                <w:szCs w:val="16"/>
              </w:rPr>
            </w:pPr>
            <w:r w:rsidRPr="00500ACC">
              <w:rPr>
                <w:rFonts w:cs="Arial"/>
                <w:sz w:val="16"/>
                <w:szCs w:val="16"/>
              </w:rPr>
              <w:t xml:space="preserve">456,312 in 2015 </w:t>
            </w:r>
          </w:p>
        </w:tc>
        <w:tc>
          <w:tcPr>
            <w:tcW w:w="583" w:type="pct"/>
            <w:tcMar>
              <w:top w:w="110" w:type="dxa"/>
            </w:tcMar>
          </w:tcPr>
          <w:p w:rsidR="00F838C5" w:rsidRDefault="00F838C5" w:rsidP="001363EE">
            <w:pPr>
              <w:keepNext/>
              <w:keepLines/>
              <w:jc w:val="center"/>
              <w:rPr>
                <w:rFonts w:cs="Arial"/>
                <w:b/>
                <w:color w:val="00B050"/>
                <w:sz w:val="16"/>
                <w:szCs w:val="16"/>
              </w:rPr>
            </w:pPr>
          </w:p>
          <w:p w:rsidR="00F838C5" w:rsidRPr="00E32FD5" w:rsidRDefault="00F838C5" w:rsidP="001363EE">
            <w:pPr>
              <w:keepNext/>
              <w:keepLines/>
              <w:jc w:val="center"/>
              <w:rPr>
                <w:rFonts w:cs="Arial"/>
                <w:b/>
                <w:color w:val="808080"/>
                <w:sz w:val="16"/>
                <w:szCs w:val="16"/>
              </w:rPr>
            </w:pPr>
            <w:r w:rsidRPr="008408C2">
              <w:rPr>
                <w:rFonts w:cs="Arial"/>
                <w:b/>
                <w:color w:val="00B050"/>
                <w:sz w:val="16"/>
                <w:szCs w:val="16"/>
              </w:rPr>
              <w:t xml:space="preserve">Fully </w:t>
            </w:r>
            <w:r>
              <w:rPr>
                <w:rFonts w:cs="Arial"/>
                <w:b/>
                <w:color w:val="00B050"/>
                <w:sz w:val="16"/>
                <w:szCs w:val="16"/>
              </w:rPr>
              <w:t>A</w:t>
            </w:r>
            <w:r w:rsidRPr="008408C2">
              <w:rPr>
                <w:rFonts w:cs="Arial"/>
                <w:b/>
                <w:color w:val="00B050"/>
                <w:sz w:val="16"/>
                <w:szCs w:val="16"/>
              </w:rPr>
              <w:t>chieved</w:t>
            </w:r>
          </w:p>
        </w:tc>
      </w:tr>
      <w:tr w:rsidR="00F838C5" w:rsidTr="001363EE">
        <w:tc>
          <w:tcPr>
            <w:tcW w:w="1075" w:type="pct"/>
          </w:tcPr>
          <w:p w:rsidR="00F838C5" w:rsidRPr="004354B8" w:rsidRDefault="00F838C5" w:rsidP="001363EE">
            <w:pPr>
              <w:rPr>
                <w:rFonts w:cs="Arial"/>
                <w:sz w:val="16"/>
                <w:szCs w:val="16"/>
              </w:rPr>
            </w:pPr>
            <w:r w:rsidRPr="00D46149">
              <w:rPr>
                <w:rFonts w:cs="Arial"/>
                <w:sz w:val="16"/>
                <w:szCs w:val="16"/>
              </w:rPr>
              <w:t>% increase in views of online publications</w:t>
            </w:r>
          </w:p>
        </w:tc>
        <w:tc>
          <w:tcPr>
            <w:tcW w:w="1381" w:type="pct"/>
            <w:gridSpan w:val="2"/>
            <w:shd w:val="clear" w:color="auto" w:fill="auto"/>
          </w:tcPr>
          <w:p w:rsidR="00F838C5" w:rsidRPr="00334EB8" w:rsidRDefault="00F838C5" w:rsidP="001363EE">
            <w:pPr>
              <w:rPr>
                <w:rFonts w:cs="Arial"/>
                <w:color w:val="002060"/>
                <w:sz w:val="16"/>
                <w:szCs w:val="16"/>
              </w:rPr>
            </w:pPr>
            <w:r w:rsidRPr="00334EB8">
              <w:rPr>
                <w:rFonts w:cs="Arial"/>
                <w:color w:val="002060"/>
                <w:sz w:val="16"/>
                <w:szCs w:val="16"/>
              </w:rPr>
              <w:t xml:space="preserve">(i) </w:t>
            </w:r>
            <w:r>
              <w:rPr>
                <w:rFonts w:cs="Arial"/>
                <w:i/>
                <w:color w:val="002060"/>
                <w:sz w:val="16"/>
                <w:szCs w:val="16"/>
              </w:rPr>
              <w:t>Updated Baseline end 2013</w:t>
            </w:r>
            <w:r w:rsidRPr="0027745B">
              <w:rPr>
                <w:rFonts w:cs="Arial"/>
                <w:i/>
                <w:color w:val="002060"/>
                <w:sz w:val="16"/>
                <w:szCs w:val="16"/>
              </w:rPr>
              <w:t xml:space="preserve">: </w:t>
            </w:r>
            <w:r w:rsidRPr="00334EB8">
              <w:rPr>
                <w:rFonts w:cs="Arial"/>
                <w:color w:val="002060"/>
                <w:sz w:val="16"/>
                <w:szCs w:val="16"/>
              </w:rPr>
              <w:t>3,940,490 downloads of free publications in 2013 (all languages)</w:t>
            </w:r>
          </w:p>
          <w:p w:rsidR="00F838C5" w:rsidRPr="00334EB8" w:rsidRDefault="00F838C5" w:rsidP="001363EE">
            <w:pPr>
              <w:rPr>
                <w:rFonts w:cs="Arial"/>
                <w:color w:val="002060"/>
                <w:sz w:val="16"/>
                <w:szCs w:val="16"/>
              </w:rPr>
            </w:pPr>
            <w:r w:rsidRPr="00334EB8">
              <w:rPr>
                <w:rFonts w:cs="Arial"/>
                <w:color w:val="002060"/>
                <w:sz w:val="16"/>
                <w:szCs w:val="16"/>
              </w:rPr>
              <w:t>(ii) 450,499 unique views of the WIPO Magazine site in 2013 (all languages)</w:t>
            </w:r>
          </w:p>
          <w:p w:rsidR="00F838C5" w:rsidRPr="000D5D96" w:rsidRDefault="00F838C5" w:rsidP="001363EE">
            <w:pPr>
              <w:rPr>
                <w:rFonts w:cs="Arial"/>
                <w:i/>
                <w:color w:val="002060"/>
                <w:sz w:val="8"/>
                <w:szCs w:val="8"/>
              </w:rPr>
            </w:pPr>
          </w:p>
          <w:p w:rsidR="00F838C5" w:rsidRPr="00334EB8" w:rsidRDefault="00F838C5" w:rsidP="001363EE">
            <w:pPr>
              <w:rPr>
                <w:rFonts w:cs="Arial"/>
                <w:iCs/>
                <w:sz w:val="16"/>
                <w:szCs w:val="16"/>
              </w:rPr>
            </w:pPr>
            <w:r w:rsidRPr="00334EB8">
              <w:rPr>
                <w:rFonts w:cs="Arial"/>
                <w:iCs/>
                <w:sz w:val="16"/>
                <w:szCs w:val="16"/>
              </w:rPr>
              <w:t xml:space="preserve">(i) </w:t>
            </w:r>
            <w:r>
              <w:rPr>
                <w:rFonts w:cs="Arial"/>
                <w:i/>
                <w:sz w:val="16"/>
                <w:szCs w:val="16"/>
              </w:rPr>
              <w:t>Original Baseline P&amp;B 2014/15</w:t>
            </w:r>
            <w:r w:rsidRPr="0027745B">
              <w:rPr>
                <w:rFonts w:cs="Arial"/>
                <w:i/>
                <w:sz w:val="16"/>
                <w:szCs w:val="16"/>
              </w:rPr>
              <w:t>:</w:t>
            </w:r>
            <w:r>
              <w:rPr>
                <w:rFonts w:cs="Arial"/>
                <w:i/>
                <w:iCs/>
                <w:sz w:val="16"/>
                <w:szCs w:val="16"/>
              </w:rPr>
              <w:t xml:space="preserve">  </w:t>
            </w:r>
            <w:r w:rsidRPr="00334EB8">
              <w:rPr>
                <w:rFonts w:cs="Arial"/>
                <w:iCs/>
                <w:sz w:val="16"/>
                <w:szCs w:val="16"/>
              </w:rPr>
              <w:t>tbd (comparable statistics not available for 2012)</w:t>
            </w:r>
          </w:p>
          <w:p w:rsidR="00F838C5" w:rsidRPr="004D1BF4" w:rsidRDefault="00F838C5" w:rsidP="001363EE">
            <w:pPr>
              <w:rPr>
                <w:rFonts w:cs="Arial"/>
                <w:sz w:val="16"/>
                <w:szCs w:val="16"/>
              </w:rPr>
            </w:pPr>
            <w:r w:rsidRPr="00334EB8">
              <w:rPr>
                <w:rFonts w:cs="Arial"/>
                <w:iCs/>
                <w:sz w:val="16"/>
                <w:szCs w:val="16"/>
              </w:rPr>
              <w:t>(ii) 409,265 unique views of the WIPO Magazine site in 2012</w:t>
            </w:r>
          </w:p>
        </w:tc>
        <w:tc>
          <w:tcPr>
            <w:tcW w:w="800" w:type="pct"/>
            <w:gridSpan w:val="2"/>
            <w:tcMar>
              <w:top w:w="110" w:type="dxa"/>
            </w:tcMar>
          </w:tcPr>
          <w:p w:rsidR="00F838C5" w:rsidRPr="00334EB8" w:rsidRDefault="00F838C5" w:rsidP="001363EE">
            <w:pPr>
              <w:rPr>
                <w:rFonts w:cs="Arial"/>
                <w:sz w:val="16"/>
                <w:szCs w:val="16"/>
              </w:rPr>
            </w:pPr>
            <w:r w:rsidRPr="00334EB8">
              <w:rPr>
                <w:rFonts w:cs="Arial"/>
                <w:sz w:val="16"/>
                <w:szCs w:val="16"/>
              </w:rPr>
              <w:t>(i) 10% increase in total publications views online</w:t>
            </w:r>
          </w:p>
          <w:p w:rsidR="00F838C5" w:rsidRDefault="00F838C5" w:rsidP="001363EE">
            <w:pPr>
              <w:rPr>
                <w:rFonts w:cs="Arial"/>
                <w:sz w:val="16"/>
                <w:szCs w:val="16"/>
              </w:rPr>
            </w:pPr>
          </w:p>
          <w:p w:rsidR="00F838C5" w:rsidRDefault="00F838C5" w:rsidP="001363EE">
            <w:pPr>
              <w:rPr>
                <w:rFonts w:cs="Arial"/>
                <w:sz w:val="16"/>
                <w:szCs w:val="16"/>
              </w:rPr>
            </w:pPr>
          </w:p>
          <w:p w:rsidR="00F838C5" w:rsidRDefault="00F838C5" w:rsidP="001363EE">
            <w:pPr>
              <w:rPr>
                <w:rFonts w:cs="Arial"/>
                <w:sz w:val="16"/>
                <w:szCs w:val="16"/>
              </w:rPr>
            </w:pPr>
          </w:p>
          <w:p w:rsidR="00F838C5" w:rsidRDefault="00F838C5" w:rsidP="001363EE">
            <w:pPr>
              <w:rPr>
                <w:rFonts w:cs="Arial"/>
                <w:sz w:val="16"/>
                <w:szCs w:val="16"/>
              </w:rPr>
            </w:pPr>
          </w:p>
          <w:p w:rsidR="00F838C5" w:rsidRDefault="00F838C5" w:rsidP="001363EE">
            <w:pPr>
              <w:rPr>
                <w:rFonts w:cs="Arial"/>
                <w:sz w:val="16"/>
                <w:szCs w:val="16"/>
              </w:rPr>
            </w:pPr>
          </w:p>
          <w:p w:rsidR="00F838C5" w:rsidRPr="0027745B" w:rsidRDefault="00F838C5" w:rsidP="001363EE">
            <w:pPr>
              <w:rPr>
                <w:rFonts w:cs="Arial"/>
                <w:sz w:val="16"/>
                <w:szCs w:val="16"/>
              </w:rPr>
            </w:pPr>
            <w:r w:rsidRPr="00334EB8">
              <w:rPr>
                <w:rFonts w:cs="Arial"/>
                <w:sz w:val="16"/>
                <w:szCs w:val="16"/>
              </w:rPr>
              <w:t>(ii) 10% increase in views of WIPO Magazine site</w:t>
            </w:r>
          </w:p>
        </w:tc>
        <w:tc>
          <w:tcPr>
            <w:tcW w:w="1162" w:type="pct"/>
            <w:gridSpan w:val="2"/>
            <w:shd w:val="clear" w:color="auto" w:fill="FFFFFF"/>
            <w:tcMar>
              <w:top w:w="110" w:type="dxa"/>
            </w:tcMar>
          </w:tcPr>
          <w:p w:rsidR="00F838C5" w:rsidRDefault="00F838C5" w:rsidP="001363EE">
            <w:pPr>
              <w:rPr>
                <w:rFonts w:cs="Arial"/>
                <w:sz w:val="16"/>
                <w:szCs w:val="16"/>
              </w:rPr>
            </w:pPr>
            <w:r>
              <w:rPr>
                <w:rFonts w:cs="Arial"/>
                <w:sz w:val="16"/>
                <w:szCs w:val="16"/>
              </w:rPr>
              <w:t>(i) New web-base statistical tools and methodologies were still under development at the end of the biennium, as a result of a delay in project implementation.</w:t>
            </w:r>
          </w:p>
          <w:p w:rsidR="00F838C5" w:rsidRDefault="00F838C5" w:rsidP="001363EE">
            <w:pPr>
              <w:rPr>
                <w:rFonts w:cs="Arial"/>
                <w:sz w:val="16"/>
                <w:szCs w:val="16"/>
              </w:rPr>
            </w:pPr>
          </w:p>
          <w:p w:rsidR="00F838C5" w:rsidRPr="00125E12" w:rsidRDefault="00F838C5" w:rsidP="001363EE">
            <w:pPr>
              <w:rPr>
                <w:rFonts w:cs="Arial"/>
                <w:sz w:val="16"/>
                <w:szCs w:val="16"/>
              </w:rPr>
            </w:pPr>
            <w:r w:rsidRPr="008E0773">
              <w:rPr>
                <w:rFonts w:cs="Arial"/>
                <w:sz w:val="16"/>
                <w:szCs w:val="16"/>
              </w:rPr>
              <w:t>(ii)</w:t>
            </w:r>
            <w:r>
              <w:rPr>
                <w:rFonts w:cs="Arial"/>
                <w:sz w:val="16"/>
                <w:szCs w:val="16"/>
              </w:rPr>
              <w:t xml:space="preserve"> </w:t>
            </w:r>
            <w:r>
              <w:rPr>
                <w:rFonts w:cs="Arial"/>
                <w:iCs/>
                <w:sz w:val="16"/>
                <w:szCs w:val="16"/>
              </w:rPr>
              <w:t>1,024,787</w:t>
            </w:r>
            <w:r w:rsidRPr="00334EB8">
              <w:rPr>
                <w:rFonts w:cs="Arial"/>
                <w:iCs/>
                <w:sz w:val="16"/>
                <w:szCs w:val="16"/>
              </w:rPr>
              <w:t xml:space="preserve"> unique vi</w:t>
            </w:r>
            <w:r>
              <w:rPr>
                <w:rFonts w:cs="Arial"/>
                <w:iCs/>
                <w:sz w:val="16"/>
                <w:szCs w:val="16"/>
              </w:rPr>
              <w:t>ews of the WIPO Magazine site over 2014/15, representing a 19.2% increase compared to 2012/13.</w:t>
            </w:r>
          </w:p>
        </w:tc>
        <w:tc>
          <w:tcPr>
            <w:tcW w:w="583" w:type="pct"/>
            <w:tcMar>
              <w:top w:w="110" w:type="dxa"/>
            </w:tcMar>
          </w:tcPr>
          <w:p w:rsidR="00F838C5" w:rsidRPr="00B5146E" w:rsidRDefault="00F838C5" w:rsidP="001363EE">
            <w:pPr>
              <w:keepNext/>
              <w:keepLines/>
              <w:jc w:val="center"/>
              <w:rPr>
                <w:rFonts w:cs="Arial"/>
                <w:b/>
                <w:sz w:val="13"/>
                <w:szCs w:val="13"/>
              </w:rPr>
            </w:pPr>
            <w:r w:rsidRPr="00B5146E">
              <w:rPr>
                <w:rFonts w:cs="Arial"/>
                <w:b/>
                <w:bCs/>
                <w:color w:val="808080"/>
                <w:sz w:val="13"/>
                <w:szCs w:val="13"/>
              </w:rPr>
              <w:t>Not Assessable</w:t>
            </w:r>
          </w:p>
          <w:p w:rsidR="00F838C5" w:rsidRDefault="00F838C5" w:rsidP="001363EE">
            <w:pPr>
              <w:keepNext/>
              <w:keepLines/>
              <w:jc w:val="center"/>
              <w:rPr>
                <w:rFonts w:cs="Arial"/>
                <w:b/>
                <w:sz w:val="16"/>
                <w:szCs w:val="16"/>
              </w:rPr>
            </w:pPr>
          </w:p>
          <w:p w:rsidR="00F838C5" w:rsidRDefault="00F838C5" w:rsidP="001363EE">
            <w:pPr>
              <w:keepNext/>
              <w:keepLines/>
              <w:jc w:val="center"/>
              <w:rPr>
                <w:rFonts w:cs="Arial"/>
                <w:b/>
                <w:sz w:val="16"/>
                <w:szCs w:val="16"/>
              </w:rPr>
            </w:pPr>
          </w:p>
          <w:p w:rsidR="00F838C5" w:rsidRDefault="00F838C5" w:rsidP="001363EE">
            <w:pPr>
              <w:keepNext/>
              <w:keepLines/>
              <w:jc w:val="center"/>
              <w:rPr>
                <w:rFonts w:cs="Arial"/>
                <w:b/>
                <w:sz w:val="16"/>
                <w:szCs w:val="16"/>
              </w:rPr>
            </w:pPr>
          </w:p>
          <w:p w:rsidR="00F838C5" w:rsidRDefault="00F838C5" w:rsidP="001363EE">
            <w:pPr>
              <w:keepNext/>
              <w:keepLines/>
              <w:jc w:val="center"/>
              <w:rPr>
                <w:rFonts w:cs="Arial"/>
                <w:b/>
                <w:sz w:val="16"/>
                <w:szCs w:val="16"/>
              </w:rPr>
            </w:pPr>
          </w:p>
          <w:p w:rsidR="00F838C5" w:rsidRDefault="00F838C5" w:rsidP="001363EE">
            <w:pPr>
              <w:keepNext/>
              <w:keepLines/>
              <w:jc w:val="center"/>
              <w:rPr>
                <w:rFonts w:cs="Arial"/>
                <w:b/>
                <w:color w:val="00B050"/>
                <w:sz w:val="16"/>
                <w:szCs w:val="16"/>
              </w:rPr>
            </w:pPr>
          </w:p>
          <w:p w:rsidR="00F838C5" w:rsidRDefault="00F838C5" w:rsidP="001363EE">
            <w:pPr>
              <w:keepNext/>
              <w:keepLines/>
              <w:jc w:val="center"/>
              <w:rPr>
                <w:rFonts w:cs="Arial"/>
                <w:b/>
                <w:color w:val="00B050"/>
                <w:sz w:val="16"/>
                <w:szCs w:val="16"/>
              </w:rPr>
            </w:pPr>
          </w:p>
          <w:p w:rsidR="00F838C5" w:rsidRDefault="00F838C5" w:rsidP="001363EE">
            <w:pPr>
              <w:keepNext/>
              <w:keepLines/>
              <w:jc w:val="center"/>
              <w:rPr>
                <w:rFonts w:cs="Arial"/>
                <w:b/>
                <w:color w:val="00B050"/>
                <w:sz w:val="16"/>
                <w:szCs w:val="16"/>
              </w:rPr>
            </w:pPr>
          </w:p>
          <w:p w:rsidR="00F838C5" w:rsidRPr="00E32FD5" w:rsidRDefault="00F838C5" w:rsidP="001363EE">
            <w:pPr>
              <w:keepNext/>
              <w:keepLines/>
              <w:jc w:val="center"/>
              <w:rPr>
                <w:rFonts w:cs="Arial"/>
                <w:b/>
                <w:sz w:val="16"/>
                <w:szCs w:val="16"/>
              </w:rPr>
            </w:pPr>
            <w:r w:rsidRPr="00E32FD5">
              <w:rPr>
                <w:rFonts w:cs="Arial"/>
                <w:b/>
                <w:color w:val="00B050"/>
                <w:sz w:val="16"/>
                <w:szCs w:val="16"/>
              </w:rPr>
              <w:t xml:space="preserve">Fully </w:t>
            </w:r>
            <w:r>
              <w:rPr>
                <w:rFonts w:cs="Arial"/>
                <w:b/>
                <w:color w:val="00B050"/>
                <w:sz w:val="16"/>
                <w:szCs w:val="16"/>
              </w:rPr>
              <w:t>A</w:t>
            </w:r>
            <w:r w:rsidRPr="00E32FD5">
              <w:rPr>
                <w:rFonts w:cs="Arial"/>
                <w:b/>
                <w:color w:val="00B050"/>
                <w:sz w:val="16"/>
                <w:szCs w:val="16"/>
              </w:rPr>
              <w:t>chieved</w:t>
            </w:r>
          </w:p>
        </w:tc>
      </w:tr>
      <w:tr w:rsidR="00F838C5" w:rsidTr="001363EE">
        <w:tc>
          <w:tcPr>
            <w:tcW w:w="1075" w:type="pct"/>
          </w:tcPr>
          <w:p w:rsidR="00F838C5" w:rsidRPr="004354B8" w:rsidRDefault="00F838C5" w:rsidP="001363EE">
            <w:pPr>
              <w:keepNext/>
              <w:keepLines/>
              <w:rPr>
                <w:rFonts w:cs="Arial"/>
                <w:sz w:val="16"/>
                <w:szCs w:val="16"/>
              </w:rPr>
            </w:pPr>
            <w:r w:rsidRPr="00870E1C">
              <w:rPr>
                <w:rFonts w:cs="Arial"/>
                <w:sz w:val="16"/>
                <w:szCs w:val="16"/>
              </w:rPr>
              <w:t>% of users satisfied with the WIPO website</w:t>
            </w:r>
          </w:p>
        </w:tc>
        <w:tc>
          <w:tcPr>
            <w:tcW w:w="1381" w:type="pct"/>
            <w:gridSpan w:val="2"/>
            <w:shd w:val="clear" w:color="auto" w:fill="auto"/>
          </w:tcPr>
          <w:p w:rsidR="00F838C5" w:rsidRPr="004D1BF4" w:rsidRDefault="00F838C5" w:rsidP="001363EE">
            <w:pPr>
              <w:keepNext/>
              <w:keepLines/>
              <w:rPr>
                <w:rFonts w:cs="Arial"/>
                <w:sz w:val="16"/>
                <w:szCs w:val="16"/>
              </w:rPr>
            </w:pPr>
            <w:r>
              <w:rPr>
                <w:rFonts w:cs="Arial"/>
                <w:sz w:val="16"/>
                <w:szCs w:val="16"/>
              </w:rPr>
              <w:t>tbd</w:t>
            </w:r>
          </w:p>
        </w:tc>
        <w:tc>
          <w:tcPr>
            <w:tcW w:w="800" w:type="pct"/>
            <w:gridSpan w:val="2"/>
            <w:tcMar>
              <w:top w:w="110" w:type="dxa"/>
            </w:tcMar>
          </w:tcPr>
          <w:p w:rsidR="00F838C5" w:rsidRPr="0027745B" w:rsidRDefault="00F838C5" w:rsidP="001363EE">
            <w:pPr>
              <w:keepNext/>
              <w:keepLines/>
              <w:rPr>
                <w:rFonts w:cs="Arial"/>
                <w:sz w:val="16"/>
                <w:szCs w:val="16"/>
              </w:rPr>
            </w:pPr>
            <w:r w:rsidRPr="00870E1C">
              <w:rPr>
                <w:rFonts w:cs="Arial"/>
                <w:sz w:val="16"/>
                <w:szCs w:val="16"/>
              </w:rPr>
              <w:t>≥ 60% are satisfied</w:t>
            </w:r>
          </w:p>
        </w:tc>
        <w:tc>
          <w:tcPr>
            <w:tcW w:w="1162" w:type="pct"/>
            <w:gridSpan w:val="2"/>
            <w:shd w:val="clear" w:color="auto" w:fill="FFFFFF"/>
            <w:tcMar>
              <w:top w:w="110" w:type="dxa"/>
            </w:tcMar>
          </w:tcPr>
          <w:p w:rsidR="00F838C5" w:rsidRPr="00861678" w:rsidRDefault="00F838C5" w:rsidP="001363EE">
            <w:pPr>
              <w:keepNext/>
              <w:keepLines/>
              <w:rPr>
                <w:rFonts w:cs="Arial"/>
                <w:sz w:val="8"/>
                <w:szCs w:val="8"/>
                <w:highlight w:val="yellow"/>
              </w:rPr>
            </w:pPr>
            <w:r>
              <w:rPr>
                <w:rFonts w:cs="Arial"/>
                <w:sz w:val="16"/>
                <w:szCs w:val="16"/>
              </w:rPr>
              <w:t>No survey was conducted in 2014/15.</w:t>
            </w:r>
          </w:p>
        </w:tc>
        <w:tc>
          <w:tcPr>
            <w:tcW w:w="583" w:type="pct"/>
            <w:tcMar>
              <w:top w:w="110" w:type="dxa"/>
            </w:tcMar>
          </w:tcPr>
          <w:p w:rsidR="00F838C5" w:rsidRPr="00E32FD5" w:rsidRDefault="00F838C5" w:rsidP="001363EE">
            <w:pPr>
              <w:keepNext/>
              <w:keepLines/>
              <w:jc w:val="center"/>
              <w:rPr>
                <w:rFonts w:cs="Arial"/>
                <w:b/>
                <w:color w:val="808080"/>
                <w:sz w:val="16"/>
                <w:szCs w:val="16"/>
              </w:rPr>
            </w:pPr>
            <w:r>
              <w:rPr>
                <w:rFonts w:cs="Arial"/>
                <w:b/>
                <w:color w:val="808080" w:themeColor="background1" w:themeShade="80"/>
                <w:sz w:val="13"/>
                <w:szCs w:val="13"/>
              </w:rPr>
              <w:t>Not A</w:t>
            </w:r>
            <w:r w:rsidRPr="00215D07">
              <w:rPr>
                <w:rFonts w:cs="Arial"/>
                <w:b/>
                <w:color w:val="808080" w:themeColor="background1" w:themeShade="80"/>
                <w:sz w:val="13"/>
                <w:szCs w:val="13"/>
              </w:rPr>
              <w:t>ssessable</w:t>
            </w:r>
          </w:p>
        </w:tc>
      </w:tr>
      <w:tr w:rsidR="00F838C5" w:rsidTr="001363EE">
        <w:tc>
          <w:tcPr>
            <w:tcW w:w="1075" w:type="pct"/>
            <w:tcBorders>
              <w:bottom w:val="single" w:sz="4" w:space="0" w:color="auto"/>
            </w:tcBorders>
          </w:tcPr>
          <w:p w:rsidR="00F838C5" w:rsidRPr="004354B8" w:rsidRDefault="00F838C5" w:rsidP="001363EE">
            <w:pPr>
              <w:rPr>
                <w:rFonts w:cs="Arial"/>
                <w:sz w:val="16"/>
                <w:szCs w:val="16"/>
              </w:rPr>
            </w:pPr>
            <w:r w:rsidRPr="00870E1C">
              <w:rPr>
                <w:rFonts w:cs="Arial"/>
                <w:sz w:val="16"/>
                <w:szCs w:val="16"/>
              </w:rPr>
              <w:t>Increased WIPO influence and engagement on social media</w:t>
            </w:r>
          </w:p>
        </w:tc>
        <w:tc>
          <w:tcPr>
            <w:tcW w:w="1381" w:type="pct"/>
            <w:gridSpan w:val="2"/>
            <w:tcBorders>
              <w:bottom w:val="single" w:sz="4" w:space="0" w:color="auto"/>
            </w:tcBorders>
            <w:shd w:val="clear" w:color="auto" w:fill="auto"/>
          </w:tcPr>
          <w:p w:rsidR="00F838C5" w:rsidRDefault="00F838C5" w:rsidP="001363EE">
            <w:pPr>
              <w:rPr>
                <w:rFonts w:cs="Arial"/>
                <w:i/>
                <w:color w:val="002060"/>
                <w:sz w:val="16"/>
                <w:szCs w:val="16"/>
              </w:rPr>
            </w:pPr>
            <w:r w:rsidRPr="007F330D">
              <w:rPr>
                <w:rFonts w:cs="Arial"/>
                <w:i/>
                <w:color w:val="002060"/>
                <w:sz w:val="16"/>
                <w:szCs w:val="16"/>
              </w:rPr>
              <w:t>Updated Baseline end 201</w:t>
            </w:r>
            <w:r>
              <w:rPr>
                <w:rFonts w:cs="Arial"/>
                <w:i/>
                <w:color w:val="002060"/>
                <w:sz w:val="16"/>
                <w:szCs w:val="16"/>
              </w:rPr>
              <w:t>3</w:t>
            </w:r>
            <w:r w:rsidRPr="007F330D">
              <w:rPr>
                <w:rFonts w:cs="Arial"/>
                <w:i/>
                <w:color w:val="002060"/>
                <w:sz w:val="16"/>
                <w:szCs w:val="16"/>
              </w:rPr>
              <w:t xml:space="preserve">:  </w:t>
            </w:r>
          </w:p>
          <w:p w:rsidR="00F838C5" w:rsidRPr="003D1593" w:rsidRDefault="00F838C5" w:rsidP="001363EE">
            <w:pPr>
              <w:rPr>
                <w:rFonts w:cs="Arial"/>
                <w:color w:val="002060"/>
                <w:sz w:val="16"/>
                <w:szCs w:val="16"/>
              </w:rPr>
            </w:pPr>
            <w:r w:rsidRPr="003D1593">
              <w:rPr>
                <w:rFonts w:cs="Arial"/>
                <w:color w:val="002060"/>
                <w:sz w:val="16"/>
                <w:szCs w:val="16"/>
              </w:rPr>
              <w:t>(i) “Klout”  influence score was 64 (out of 100) at the end of</w:t>
            </w:r>
            <w:r>
              <w:rPr>
                <w:rFonts w:cs="Arial"/>
                <w:color w:val="002060"/>
                <w:sz w:val="16"/>
                <w:szCs w:val="16"/>
              </w:rPr>
              <w:t> </w:t>
            </w:r>
            <w:r w:rsidRPr="003D1593">
              <w:rPr>
                <w:rFonts w:cs="Arial"/>
                <w:color w:val="002060"/>
                <w:sz w:val="16"/>
                <w:szCs w:val="16"/>
              </w:rPr>
              <w:t>2013</w:t>
            </w:r>
          </w:p>
          <w:p w:rsidR="00F838C5" w:rsidRPr="003254DE" w:rsidRDefault="00F838C5" w:rsidP="001363EE">
            <w:pPr>
              <w:rPr>
                <w:rFonts w:cs="Arial"/>
                <w:color w:val="002060"/>
                <w:sz w:val="16"/>
                <w:szCs w:val="16"/>
              </w:rPr>
            </w:pPr>
            <w:r w:rsidRPr="002961DB">
              <w:rPr>
                <w:rFonts w:cs="Arial"/>
                <w:color w:val="002060"/>
                <w:sz w:val="16"/>
                <w:szCs w:val="16"/>
              </w:rPr>
              <w:t>(ii) 6</w:t>
            </w:r>
            <w:r w:rsidRPr="003254DE">
              <w:rPr>
                <w:rFonts w:cs="Arial"/>
                <w:color w:val="002060"/>
                <w:sz w:val="16"/>
                <w:szCs w:val="16"/>
              </w:rPr>
              <w:t>,744 total retweets in 2013</w:t>
            </w:r>
          </w:p>
          <w:p w:rsidR="00F838C5" w:rsidRPr="005149FB" w:rsidRDefault="00F838C5" w:rsidP="001363EE">
            <w:pPr>
              <w:rPr>
                <w:rFonts w:cs="Arial"/>
                <w:color w:val="002060"/>
                <w:sz w:val="8"/>
                <w:szCs w:val="8"/>
              </w:rPr>
            </w:pPr>
          </w:p>
          <w:p w:rsidR="00F838C5" w:rsidRDefault="00F838C5" w:rsidP="001363EE">
            <w:pPr>
              <w:rPr>
                <w:rFonts w:cs="Arial"/>
                <w:iCs/>
                <w:sz w:val="16"/>
                <w:szCs w:val="16"/>
              </w:rPr>
            </w:pPr>
            <w:r w:rsidRPr="007F330D">
              <w:rPr>
                <w:rFonts w:cs="Arial"/>
                <w:i/>
                <w:sz w:val="16"/>
                <w:szCs w:val="16"/>
              </w:rPr>
              <w:t>Original Baseline P&amp;B 201</w:t>
            </w:r>
            <w:r>
              <w:rPr>
                <w:rFonts w:cs="Arial"/>
                <w:i/>
                <w:sz w:val="16"/>
                <w:szCs w:val="16"/>
              </w:rPr>
              <w:t>4</w:t>
            </w:r>
            <w:r w:rsidRPr="007F330D">
              <w:rPr>
                <w:rFonts w:cs="Arial"/>
                <w:i/>
                <w:sz w:val="16"/>
                <w:szCs w:val="16"/>
              </w:rPr>
              <w:t>/1</w:t>
            </w:r>
            <w:r>
              <w:rPr>
                <w:rFonts w:cs="Arial"/>
                <w:i/>
                <w:sz w:val="16"/>
                <w:szCs w:val="16"/>
              </w:rPr>
              <w:t>5</w:t>
            </w:r>
            <w:r w:rsidRPr="007F330D">
              <w:rPr>
                <w:rFonts w:cs="Arial"/>
                <w:i/>
                <w:sz w:val="16"/>
                <w:szCs w:val="16"/>
              </w:rPr>
              <w:t>:</w:t>
            </w:r>
            <w:r>
              <w:rPr>
                <w:rFonts w:cs="Arial"/>
                <w:i/>
                <w:iCs/>
                <w:sz w:val="16"/>
                <w:szCs w:val="16"/>
              </w:rPr>
              <w:t xml:space="preserve">  </w:t>
            </w:r>
          </w:p>
          <w:p w:rsidR="00F838C5" w:rsidRPr="00870E1C" w:rsidRDefault="00F838C5" w:rsidP="001363EE">
            <w:pPr>
              <w:rPr>
                <w:rFonts w:cs="Arial"/>
                <w:sz w:val="16"/>
                <w:szCs w:val="16"/>
              </w:rPr>
            </w:pPr>
            <w:r w:rsidRPr="00870E1C">
              <w:rPr>
                <w:rFonts w:cs="Arial"/>
                <w:sz w:val="16"/>
                <w:szCs w:val="16"/>
              </w:rPr>
              <w:t>(i) “Klout”  influence score was 62 on Jan 1, 2013</w:t>
            </w:r>
          </w:p>
          <w:p w:rsidR="00F838C5" w:rsidRPr="004D1BF4" w:rsidRDefault="00F838C5" w:rsidP="001363EE">
            <w:pPr>
              <w:rPr>
                <w:rFonts w:cs="Arial"/>
                <w:sz w:val="16"/>
                <w:szCs w:val="16"/>
              </w:rPr>
            </w:pPr>
            <w:r w:rsidRPr="00870E1C">
              <w:rPr>
                <w:rFonts w:cs="Arial"/>
                <w:sz w:val="16"/>
                <w:szCs w:val="16"/>
              </w:rPr>
              <w:t>(ii) 3,112 total retweets in 2012</w:t>
            </w:r>
          </w:p>
          <w:p w:rsidR="00F838C5" w:rsidRPr="004D1BF4" w:rsidRDefault="00F838C5" w:rsidP="001363EE">
            <w:pPr>
              <w:rPr>
                <w:rFonts w:cs="Arial"/>
                <w:sz w:val="16"/>
                <w:szCs w:val="16"/>
              </w:rPr>
            </w:pPr>
          </w:p>
        </w:tc>
        <w:tc>
          <w:tcPr>
            <w:tcW w:w="800" w:type="pct"/>
            <w:gridSpan w:val="2"/>
            <w:tcBorders>
              <w:bottom w:val="single" w:sz="4" w:space="0" w:color="auto"/>
            </w:tcBorders>
            <w:tcMar>
              <w:top w:w="110" w:type="dxa"/>
            </w:tcMar>
          </w:tcPr>
          <w:p w:rsidR="00F838C5" w:rsidRPr="00870E1C" w:rsidRDefault="00F838C5" w:rsidP="001363EE">
            <w:pPr>
              <w:ind w:firstLineChars="21" w:firstLine="34"/>
              <w:rPr>
                <w:rFonts w:cs="Arial"/>
                <w:sz w:val="16"/>
                <w:szCs w:val="16"/>
              </w:rPr>
            </w:pPr>
            <w:r w:rsidRPr="00870E1C">
              <w:rPr>
                <w:rFonts w:cs="Arial"/>
                <w:sz w:val="16"/>
                <w:szCs w:val="16"/>
              </w:rPr>
              <w:t>(i) “Klout” influence score of 73</w:t>
            </w:r>
            <w:r>
              <w:rPr>
                <w:rFonts w:cs="Arial"/>
                <w:sz w:val="16"/>
                <w:szCs w:val="16"/>
              </w:rPr>
              <w:t xml:space="preserve"> </w:t>
            </w:r>
          </w:p>
          <w:p w:rsidR="00F838C5" w:rsidRDefault="00F838C5" w:rsidP="001363EE">
            <w:pPr>
              <w:ind w:firstLineChars="21" w:firstLine="34"/>
              <w:rPr>
                <w:rFonts w:cs="Arial"/>
                <w:sz w:val="16"/>
                <w:szCs w:val="16"/>
              </w:rPr>
            </w:pPr>
          </w:p>
          <w:p w:rsidR="00F838C5" w:rsidRDefault="00F838C5" w:rsidP="001363EE">
            <w:pPr>
              <w:ind w:firstLineChars="21" w:firstLine="34"/>
              <w:rPr>
                <w:rFonts w:cs="Arial"/>
                <w:sz w:val="16"/>
                <w:szCs w:val="16"/>
              </w:rPr>
            </w:pPr>
          </w:p>
          <w:p w:rsidR="00F838C5" w:rsidRDefault="00F838C5" w:rsidP="001363EE">
            <w:pPr>
              <w:ind w:firstLineChars="21" w:firstLine="34"/>
              <w:rPr>
                <w:rFonts w:cs="Arial"/>
                <w:sz w:val="16"/>
                <w:szCs w:val="16"/>
              </w:rPr>
            </w:pPr>
          </w:p>
          <w:p w:rsidR="00F838C5" w:rsidRDefault="00F838C5" w:rsidP="001363EE">
            <w:pPr>
              <w:ind w:firstLineChars="21" w:firstLine="34"/>
              <w:rPr>
                <w:rFonts w:cs="Arial"/>
                <w:sz w:val="16"/>
                <w:szCs w:val="16"/>
              </w:rPr>
            </w:pPr>
          </w:p>
          <w:p w:rsidR="00F838C5" w:rsidRDefault="00F838C5" w:rsidP="001363EE">
            <w:pPr>
              <w:ind w:firstLineChars="21" w:firstLine="34"/>
              <w:rPr>
                <w:rFonts w:cs="Arial"/>
                <w:sz w:val="16"/>
                <w:szCs w:val="16"/>
              </w:rPr>
            </w:pPr>
          </w:p>
          <w:p w:rsidR="00F838C5" w:rsidRDefault="00F838C5" w:rsidP="001363EE">
            <w:pPr>
              <w:ind w:firstLineChars="21" w:firstLine="34"/>
              <w:rPr>
                <w:rFonts w:cs="Arial"/>
                <w:sz w:val="16"/>
                <w:szCs w:val="16"/>
              </w:rPr>
            </w:pPr>
          </w:p>
          <w:p w:rsidR="00F838C5" w:rsidRPr="0027745B" w:rsidRDefault="00F838C5" w:rsidP="001363EE">
            <w:pPr>
              <w:ind w:firstLineChars="21" w:firstLine="34"/>
              <w:rPr>
                <w:rFonts w:cs="Arial"/>
                <w:sz w:val="16"/>
                <w:szCs w:val="16"/>
              </w:rPr>
            </w:pPr>
            <w:r w:rsidRPr="00870E1C">
              <w:rPr>
                <w:rFonts w:cs="Arial"/>
                <w:sz w:val="16"/>
                <w:szCs w:val="16"/>
              </w:rPr>
              <w:t>(ii) 30% increase in total yearly number of retweets</w:t>
            </w:r>
          </w:p>
        </w:tc>
        <w:tc>
          <w:tcPr>
            <w:tcW w:w="1162" w:type="pct"/>
            <w:gridSpan w:val="2"/>
            <w:tcBorders>
              <w:bottom w:val="single" w:sz="4" w:space="0" w:color="auto"/>
            </w:tcBorders>
            <w:shd w:val="clear" w:color="auto" w:fill="FFFFFF"/>
            <w:tcMar>
              <w:top w:w="110" w:type="dxa"/>
            </w:tcMar>
          </w:tcPr>
          <w:p w:rsidR="00F838C5" w:rsidRDefault="00F838C5" w:rsidP="001363EE">
            <w:pPr>
              <w:rPr>
                <w:rFonts w:cs="Arial"/>
                <w:sz w:val="16"/>
                <w:szCs w:val="16"/>
              </w:rPr>
            </w:pPr>
            <w:r>
              <w:rPr>
                <w:rFonts w:cs="Arial"/>
                <w:sz w:val="16"/>
                <w:szCs w:val="16"/>
              </w:rPr>
              <w:t xml:space="preserve">(i) </w:t>
            </w:r>
            <w:r w:rsidRPr="00FD2994">
              <w:rPr>
                <w:rFonts w:cs="Arial"/>
                <w:sz w:val="16"/>
                <w:szCs w:val="16"/>
              </w:rPr>
              <w:t>Klout score</w:t>
            </w:r>
            <w:r>
              <w:rPr>
                <w:rFonts w:cs="Arial"/>
                <w:sz w:val="16"/>
                <w:szCs w:val="16"/>
              </w:rPr>
              <w:t>s were</w:t>
            </w:r>
            <w:r w:rsidRPr="00FD2994">
              <w:rPr>
                <w:rFonts w:cs="Arial"/>
                <w:sz w:val="16"/>
                <w:szCs w:val="16"/>
              </w:rPr>
              <w:t xml:space="preserve"> 66</w:t>
            </w:r>
            <w:r>
              <w:rPr>
                <w:rFonts w:cs="Arial"/>
                <w:sz w:val="16"/>
                <w:szCs w:val="16"/>
              </w:rPr>
              <w:t xml:space="preserve"> at end </w:t>
            </w:r>
            <w:r w:rsidRPr="00FD2994">
              <w:rPr>
                <w:rFonts w:cs="Arial"/>
                <w:sz w:val="16"/>
                <w:szCs w:val="16"/>
              </w:rPr>
              <w:t>2015</w:t>
            </w:r>
            <w:r>
              <w:rPr>
                <w:rFonts w:cs="Arial"/>
                <w:sz w:val="16"/>
                <w:szCs w:val="16"/>
              </w:rPr>
              <w:t xml:space="preserve">; and </w:t>
            </w:r>
            <w:r w:rsidRPr="00FD2994">
              <w:rPr>
                <w:rFonts w:cs="Arial"/>
                <w:sz w:val="16"/>
                <w:szCs w:val="16"/>
              </w:rPr>
              <w:t>64</w:t>
            </w:r>
            <w:r>
              <w:rPr>
                <w:rFonts w:cs="Arial"/>
                <w:sz w:val="16"/>
                <w:szCs w:val="16"/>
              </w:rPr>
              <w:t xml:space="preserve"> at end</w:t>
            </w:r>
            <w:r w:rsidRPr="00FD2994">
              <w:rPr>
                <w:rFonts w:cs="Arial"/>
                <w:sz w:val="16"/>
                <w:szCs w:val="16"/>
              </w:rPr>
              <w:t xml:space="preserve"> 2014</w:t>
            </w:r>
            <w:r>
              <w:rPr>
                <w:rFonts w:cs="Arial"/>
                <w:sz w:val="16"/>
                <w:szCs w:val="16"/>
              </w:rPr>
              <w:t xml:space="preserve">.  </w:t>
            </w:r>
            <w:r w:rsidRPr="00544B1A">
              <w:rPr>
                <w:rFonts w:cs="Arial"/>
                <w:i/>
                <w:sz w:val="16"/>
                <w:szCs w:val="16"/>
              </w:rPr>
              <w:t>Note:</w:t>
            </w:r>
            <w:r>
              <w:rPr>
                <w:rFonts w:cs="Arial"/>
                <w:i/>
                <w:sz w:val="16"/>
                <w:szCs w:val="16"/>
              </w:rPr>
              <w:t xml:space="preserve"> Indicator discontinued due to l</w:t>
            </w:r>
            <w:r w:rsidRPr="00544B1A">
              <w:rPr>
                <w:rFonts w:cs="Arial"/>
                <w:i/>
                <w:sz w:val="16"/>
                <w:szCs w:val="16"/>
              </w:rPr>
              <w:t>imited comparability &amp; relevance</w:t>
            </w:r>
            <w:r>
              <w:rPr>
                <w:rFonts w:cs="Arial"/>
                <w:i/>
                <w:sz w:val="16"/>
                <w:szCs w:val="16"/>
              </w:rPr>
              <w:t xml:space="preserve"> following changes in Klout methodology. </w:t>
            </w:r>
          </w:p>
          <w:p w:rsidR="00F838C5" w:rsidRDefault="00F838C5" w:rsidP="001363EE">
            <w:pPr>
              <w:rPr>
                <w:rFonts w:cs="Arial"/>
                <w:sz w:val="16"/>
                <w:szCs w:val="16"/>
              </w:rPr>
            </w:pPr>
          </w:p>
          <w:p w:rsidR="00F838C5" w:rsidRDefault="00F838C5" w:rsidP="001363EE">
            <w:pPr>
              <w:rPr>
                <w:rFonts w:cs="Arial"/>
                <w:sz w:val="16"/>
                <w:szCs w:val="16"/>
              </w:rPr>
            </w:pPr>
            <w:r>
              <w:rPr>
                <w:rFonts w:cs="Arial"/>
                <w:sz w:val="16"/>
                <w:szCs w:val="16"/>
              </w:rPr>
              <w:t>(ii) yearly average of 13,362 retweets, i.e. 171% increase compared to previous biennium.</w:t>
            </w:r>
          </w:p>
          <w:p w:rsidR="00F838C5" w:rsidRDefault="00F838C5" w:rsidP="001363EE">
            <w:pPr>
              <w:rPr>
                <w:rFonts w:cs="Arial"/>
                <w:sz w:val="16"/>
                <w:szCs w:val="16"/>
              </w:rPr>
            </w:pPr>
          </w:p>
        </w:tc>
        <w:tc>
          <w:tcPr>
            <w:tcW w:w="583" w:type="pct"/>
            <w:tcBorders>
              <w:bottom w:val="single" w:sz="4" w:space="0" w:color="auto"/>
            </w:tcBorders>
            <w:tcMar>
              <w:top w:w="110" w:type="dxa"/>
            </w:tcMar>
          </w:tcPr>
          <w:p w:rsidR="00F838C5" w:rsidRPr="008408C2" w:rsidRDefault="00F838C5" w:rsidP="001363EE">
            <w:pPr>
              <w:keepNext/>
              <w:jc w:val="center"/>
              <w:rPr>
                <w:rFonts w:cs="Arial"/>
                <w:b/>
                <w:sz w:val="16"/>
                <w:szCs w:val="16"/>
              </w:rPr>
            </w:pPr>
            <w:r w:rsidRPr="008408C2">
              <w:rPr>
                <w:rFonts w:cs="Arial"/>
                <w:b/>
                <w:sz w:val="16"/>
                <w:szCs w:val="16"/>
              </w:rPr>
              <w:t>Dis</w:t>
            </w:r>
            <w:r>
              <w:rPr>
                <w:rFonts w:cs="Arial"/>
                <w:b/>
                <w:sz w:val="16"/>
                <w:szCs w:val="16"/>
              </w:rPr>
              <w:t>-</w:t>
            </w:r>
            <w:r w:rsidR="006B303B">
              <w:rPr>
                <w:rFonts w:cs="Arial"/>
                <w:b/>
                <w:sz w:val="16"/>
                <w:szCs w:val="16"/>
              </w:rPr>
              <w:br/>
              <w:t>con</w:t>
            </w:r>
            <w:r w:rsidRPr="008408C2">
              <w:rPr>
                <w:rFonts w:cs="Arial"/>
                <w:b/>
                <w:sz w:val="16"/>
                <w:szCs w:val="16"/>
              </w:rPr>
              <w:t>tinued</w:t>
            </w:r>
          </w:p>
          <w:p w:rsidR="00F838C5" w:rsidRDefault="00F838C5" w:rsidP="001363EE">
            <w:pPr>
              <w:keepNext/>
              <w:jc w:val="center"/>
              <w:rPr>
                <w:rFonts w:cs="Arial"/>
                <w:b/>
                <w:color w:val="808080"/>
                <w:sz w:val="16"/>
                <w:szCs w:val="16"/>
              </w:rPr>
            </w:pPr>
          </w:p>
          <w:p w:rsidR="00F838C5" w:rsidRDefault="00F838C5" w:rsidP="001363EE">
            <w:pPr>
              <w:keepNext/>
              <w:jc w:val="center"/>
              <w:rPr>
                <w:rFonts w:cs="Arial"/>
                <w:b/>
                <w:color w:val="808080"/>
                <w:sz w:val="16"/>
                <w:szCs w:val="16"/>
              </w:rPr>
            </w:pPr>
          </w:p>
          <w:p w:rsidR="00F838C5" w:rsidRDefault="00F838C5" w:rsidP="001363EE">
            <w:pPr>
              <w:keepNext/>
              <w:jc w:val="center"/>
              <w:rPr>
                <w:rFonts w:cs="Arial"/>
                <w:b/>
                <w:color w:val="808080"/>
                <w:sz w:val="16"/>
                <w:szCs w:val="16"/>
              </w:rPr>
            </w:pPr>
          </w:p>
          <w:p w:rsidR="00F838C5" w:rsidRDefault="00F838C5" w:rsidP="001363EE">
            <w:pPr>
              <w:keepNext/>
              <w:jc w:val="center"/>
              <w:rPr>
                <w:rFonts w:cs="Arial"/>
                <w:b/>
                <w:color w:val="808080"/>
                <w:sz w:val="16"/>
                <w:szCs w:val="16"/>
              </w:rPr>
            </w:pPr>
          </w:p>
          <w:p w:rsidR="00F838C5" w:rsidRDefault="00F838C5" w:rsidP="001363EE">
            <w:pPr>
              <w:keepNext/>
              <w:jc w:val="center"/>
              <w:rPr>
                <w:rFonts w:cs="Arial"/>
                <w:b/>
                <w:color w:val="808080"/>
                <w:sz w:val="16"/>
                <w:szCs w:val="16"/>
              </w:rPr>
            </w:pPr>
          </w:p>
          <w:p w:rsidR="00F838C5" w:rsidRDefault="00F838C5" w:rsidP="001363EE">
            <w:pPr>
              <w:keepNext/>
              <w:jc w:val="center"/>
              <w:rPr>
                <w:rFonts w:cs="Arial"/>
                <w:b/>
                <w:color w:val="808080"/>
                <w:sz w:val="16"/>
                <w:szCs w:val="16"/>
              </w:rPr>
            </w:pPr>
          </w:p>
          <w:p w:rsidR="00F838C5" w:rsidRPr="00E32FD5" w:rsidRDefault="00F838C5" w:rsidP="001363EE">
            <w:pPr>
              <w:keepNext/>
              <w:jc w:val="center"/>
              <w:rPr>
                <w:rFonts w:cs="Arial"/>
                <w:b/>
                <w:color w:val="808080"/>
                <w:sz w:val="16"/>
                <w:szCs w:val="16"/>
              </w:rPr>
            </w:pPr>
          </w:p>
          <w:p w:rsidR="00F838C5" w:rsidRPr="00E32FD5" w:rsidRDefault="00F838C5" w:rsidP="001363EE">
            <w:pPr>
              <w:keepNext/>
              <w:jc w:val="center"/>
              <w:rPr>
                <w:rFonts w:cs="Arial"/>
                <w:b/>
                <w:color w:val="808080"/>
                <w:sz w:val="16"/>
                <w:szCs w:val="16"/>
              </w:rPr>
            </w:pPr>
            <w:r w:rsidRPr="00E32FD5">
              <w:rPr>
                <w:rFonts w:cs="Arial"/>
                <w:b/>
                <w:color w:val="00B050"/>
                <w:sz w:val="16"/>
                <w:szCs w:val="16"/>
              </w:rPr>
              <w:t xml:space="preserve">Fully </w:t>
            </w:r>
            <w:r>
              <w:rPr>
                <w:rFonts w:cs="Arial"/>
                <w:b/>
                <w:color w:val="00B050"/>
                <w:sz w:val="16"/>
                <w:szCs w:val="16"/>
              </w:rPr>
              <w:t>A</w:t>
            </w:r>
            <w:r w:rsidRPr="00E32FD5">
              <w:rPr>
                <w:rFonts w:cs="Arial"/>
                <w:b/>
                <w:color w:val="00B050"/>
                <w:sz w:val="16"/>
                <w:szCs w:val="16"/>
              </w:rPr>
              <w:t>chieved</w:t>
            </w:r>
          </w:p>
        </w:tc>
      </w:tr>
      <w:tr w:rsidR="00F838C5" w:rsidTr="001363EE">
        <w:tc>
          <w:tcPr>
            <w:tcW w:w="5000" w:type="pct"/>
            <w:gridSpan w:val="8"/>
            <w:tcBorders>
              <w:top w:val="single" w:sz="4" w:space="0" w:color="auto"/>
              <w:bottom w:val="single" w:sz="4" w:space="0" w:color="auto"/>
            </w:tcBorders>
            <w:shd w:val="clear" w:color="auto" w:fill="C6D9F1" w:themeFill="text2" w:themeFillTint="33"/>
            <w:vAlign w:val="center"/>
          </w:tcPr>
          <w:p w:rsidR="00F838C5" w:rsidRPr="00E32FD5" w:rsidRDefault="00F838C5" w:rsidP="001363EE">
            <w:pPr>
              <w:keepNext/>
              <w:keepLines/>
              <w:tabs>
                <w:tab w:val="left" w:pos="1452"/>
              </w:tabs>
              <w:spacing w:before="120" w:after="120"/>
              <w:ind w:left="1452" w:hanging="1452"/>
              <w:rPr>
                <w:rFonts w:cs="Arial"/>
                <w:bCs/>
                <w:sz w:val="16"/>
                <w:szCs w:val="16"/>
              </w:rPr>
            </w:pPr>
            <w:r w:rsidRPr="00E32FD5">
              <w:rPr>
                <w:rFonts w:cs="Arial"/>
                <w:b/>
                <w:bCs/>
                <w:sz w:val="16"/>
                <w:szCs w:val="16"/>
              </w:rPr>
              <w:t>Expected Result</w:t>
            </w:r>
            <w:r w:rsidRPr="00E32FD5">
              <w:rPr>
                <w:rFonts w:cs="Arial"/>
                <w:bCs/>
                <w:sz w:val="16"/>
                <w:szCs w:val="16"/>
              </w:rPr>
              <w:t>:</w:t>
            </w:r>
            <w:r w:rsidRPr="00E32FD5">
              <w:rPr>
                <w:rFonts w:cs="Arial"/>
                <w:bCs/>
                <w:sz w:val="16"/>
                <w:szCs w:val="16"/>
              </w:rPr>
              <w:tab/>
              <w:t xml:space="preserve">VIII.2 </w:t>
            </w:r>
            <w:r w:rsidRPr="00E32FD5">
              <w:rPr>
                <w:rFonts w:cs="Arial"/>
                <w:sz w:val="16"/>
                <w:szCs w:val="16"/>
              </w:rPr>
              <w:t>Improved service orientation and responsiveness to inquiries</w:t>
            </w:r>
          </w:p>
        </w:tc>
      </w:tr>
      <w:tr w:rsidR="00F838C5" w:rsidRPr="006475C7" w:rsidTr="001363EE">
        <w:tc>
          <w:tcPr>
            <w:tcW w:w="1106" w:type="pct"/>
            <w:gridSpan w:val="2"/>
            <w:tcBorders>
              <w:top w:val="single" w:sz="4" w:space="0" w:color="auto"/>
            </w:tcBorders>
            <w:vAlign w:val="center"/>
          </w:tcPr>
          <w:p w:rsidR="00F838C5" w:rsidRPr="006475C7" w:rsidRDefault="00F838C5" w:rsidP="001363EE">
            <w:pPr>
              <w:keepNext/>
              <w:keepLines/>
              <w:rPr>
                <w:rFonts w:cs="Arial"/>
                <w:sz w:val="16"/>
                <w:szCs w:val="16"/>
              </w:rPr>
            </w:pPr>
            <w:r w:rsidRPr="006475C7">
              <w:rPr>
                <w:rFonts w:cs="Arial"/>
                <w:b/>
                <w:bCs/>
                <w:sz w:val="16"/>
                <w:szCs w:val="16"/>
              </w:rPr>
              <w:t>Performance Indicators</w:t>
            </w:r>
          </w:p>
        </w:tc>
        <w:tc>
          <w:tcPr>
            <w:tcW w:w="1438" w:type="pct"/>
            <w:gridSpan w:val="2"/>
            <w:tcBorders>
              <w:top w:val="single" w:sz="4" w:space="0" w:color="auto"/>
            </w:tcBorders>
            <w:shd w:val="clear" w:color="auto" w:fill="auto"/>
            <w:vAlign w:val="center"/>
          </w:tcPr>
          <w:p w:rsidR="00F838C5" w:rsidRPr="006475C7" w:rsidRDefault="00F838C5" w:rsidP="001363EE">
            <w:pPr>
              <w:keepNext/>
              <w:keepLines/>
              <w:rPr>
                <w:rFonts w:cs="Arial"/>
                <w:b/>
                <w:bCs/>
                <w:sz w:val="16"/>
                <w:szCs w:val="16"/>
              </w:rPr>
            </w:pPr>
            <w:r w:rsidRPr="006475C7">
              <w:rPr>
                <w:rFonts w:cs="Arial"/>
                <w:b/>
                <w:bCs/>
                <w:sz w:val="16"/>
                <w:szCs w:val="16"/>
              </w:rPr>
              <w:t>Baselines</w:t>
            </w:r>
          </w:p>
        </w:tc>
        <w:tc>
          <w:tcPr>
            <w:tcW w:w="825" w:type="pct"/>
            <w:gridSpan w:val="2"/>
            <w:tcBorders>
              <w:top w:val="single" w:sz="4" w:space="0" w:color="auto"/>
            </w:tcBorders>
            <w:tcMar>
              <w:top w:w="110" w:type="dxa"/>
            </w:tcMar>
            <w:vAlign w:val="center"/>
          </w:tcPr>
          <w:p w:rsidR="00F838C5" w:rsidRPr="0027745B" w:rsidRDefault="00F838C5" w:rsidP="001363EE">
            <w:pPr>
              <w:keepNext/>
              <w:keepLines/>
              <w:rPr>
                <w:rFonts w:cs="Arial"/>
                <w:b/>
                <w:bCs/>
                <w:sz w:val="16"/>
                <w:szCs w:val="16"/>
              </w:rPr>
            </w:pPr>
            <w:r w:rsidRPr="006475C7">
              <w:rPr>
                <w:rFonts w:cs="Arial"/>
                <w:b/>
                <w:sz w:val="16"/>
                <w:szCs w:val="16"/>
              </w:rPr>
              <w:t>Targets</w:t>
            </w:r>
          </w:p>
        </w:tc>
        <w:tc>
          <w:tcPr>
            <w:tcW w:w="1049" w:type="pct"/>
            <w:tcBorders>
              <w:top w:val="single" w:sz="4" w:space="0" w:color="auto"/>
            </w:tcBorders>
            <w:shd w:val="clear" w:color="auto" w:fill="FFFFFF"/>
            <w:tcMar>
              <w:top w:w="110" w:type="dxa"/>
            </w:tcMar>
            <w:vAlign w:val="center"/>
          </w:tcPr>
          <w:p w:rsidR="00F838C5" w:rsidRPr="006475C7" w:rsidRDefault="00F838C5" w:rsidP="001363EE">
            <w:pPr>
              <w:keepNext/>
              <w:keepLines/>
              <w:rPr>
                <w:rFonts w:cs="Arial"/>
                <w:sz w:val="16"/>
                <w:szCs w:val="16"/>
              </w:rPr>
            </w:pPr>
            <w:r w:rsidRPr="006475C7">
              <w:rPr>
                <w:rFonts w:cs="Arial"/>
                <w:b/>
                <w:bCs/>
                <w:sz w:val="16"/>
                <w:szCs w:val="16"/>
              </w:rPr>
              <w:t>Performance Data</w:t>
            </w:r>
          </w:p>
        </w:tc>
        <w:tc>
          <w:tcPr>
            <w:tcW w:w="582" w:type="pct"/>
            <w:tcBorders>
              <w:top w:val="single" w:sz="4" w:space="0" w:color="auto"/>
            </w:tcBorders>
            <w:tcMar>
              <w:top w:w="110" w:type="dxa"/>
            </w:tcMar>
            <w:vAlign w:val="center"/>
          </w:tcPr>
          <w:p w:rsidR="00F838C5" w:rsidRPr="00E32FD5" w:rsidRDefault="00F838C5" w:rsidP="001363EE">
            <w:pPr>
              <w:keepNext/>
              <w:keepLines/>
              <w:rPr>
                <w:rFonts w:cs="Arial"/>
                <w:b/>
                <w:bCs/>
                <w:sz w:val="16"/>
                <w:szCs w:val="16"/>
              </w:rPr>
            </w:pPr>
            <w:r w:rsidRPr="00E32FD5">
              <w:rPr>
                <w:rFonts w:cs="Arial"/>
                <w:b/>
                <w:bCs/>
                <w:sz w:val="16"/>
                <w:szCs w:val="16"/>
              </w:rPr>
              <w:t>TLS</w:t>
            </w:r>
          </w:p>
        </w:tc>
      </w:tr>
      <w:tr w:rsidR="00F838C5" w:rsidTr="001363EE">
        <w:tc>
          <w:tcPr>
            <w:tcW w:w="1106" w:type="pct"/>
            <w:gridSpan w:val="2"/>
          </w:tcPr>
          <w:p w:rsidR="00F838C5" w:rsidRPr="004354B8" w:rsidRDefault="00F838C5" w:rsidP="001363EE">
            <w:pPr>
              <w:rPr>
                <w:rFonts w:cs="Arial"/>
                <w:sz w:val="16"/>
                <w:szCs w:val="16"/>
              </w:rPr>
            </w:pPr>
            <w:r w:rsidRPr="00870E1C">
              <w:rPr>
                <w:rFonts w:cs="Arial"/>
                <w:sz w:val="16"/>
                <w:szCs w:val="16"/>
              </w:rPr>
              <w:t xml:space="preserve">% of users satisfied with Library services </w:t>
            </w:r>
          </w:p>
        </w:tc>
        <w:tc>
          <w:tcPr>
            <w:tcW w:w="1438" w:type="pct"/>
            <w:gridSpan w:val="2"/>
            <w:shd w:val="clear" w:color="auto" w:fill="auto"/>
          </w:tcPr>
          <w:p w:rsidR="00F838C5" w:rsidRPr="00870E1C" w:rsidRDefault="00F838C5" w:rsidP="001363EE">
            <w:pPr>
              <w:rPr>
                <w:rFonts w:cs="Arial"/>
                <w:color w:val="002060"/>
                <w:sz w:val="16"/>
                <w:szCs w:val="16"/>
              </w:rPr>
            </w:pPr>
            <w:r>
              <w:rPr>
                <w:rFonts w:cs="Arial"/>
                <w:i/>
                <w:color w:val="002060"/>
                <w:sz w:val="16"/>
                <w:szCs w:val="16"/>
              </w:rPr>
              <w:t xml:space="preserve">Updated Baseline end 2013: </w:t>
            </w:r>
            <w:r>
              <w:rPr>
                <w:rFonts w:cs="Arial"/>
                <w:i/>
                <w:color w:val="002060"/>
                <w:sz w:val="16"/>
                <w:szCs w:val="16"/>
              </w:rPr>
              <w:br/>
            </w:r>
            <w:r w:rsidRPr="00870E1C">
              <w:rPr>
                <w:rFonts w:cs="Arial"/>
                <w:color w:val="002060"/>
                <w:sz w:val="16"/>
                <w:szCs w:val="16"/>
              </w:rPr>
              <w:t>94% of respondents to a feedback questionnaire sent to the registered external visitors</w:t>
            </w:r>
            <w:r>
              <w:rPr>
                <w:rFonts w:cs="Arial"/>
                <w:color w:val="002060"/>
                <w:sz w:val="16"/>
                <w:szCs w:val="16"/>
              </w:rPr>
              <w:t xml:space="preserve"> (Library users)</w:t>
            </w:r>
            <w:r w:rsidRPr="00870E1C">
              <w:rPr>
                <w:rFonts w:cs="Arial"/>
                <w:color w:val="002060"/>
                <w:sz w:val="16"/>
                <w:szCs w:val="16"/>
              </w:rPr>
              <w:t xml:space="preserve"> who had used the Library in 2013 were satisfied or highly satisfied</w:t>
            </w:r>
          </w:p>
          <w:p w:rsidR="00F838C5" w:rsidRDefault="00F838C5" w:rsidP="001363EE">
            <w:pPr>
              <w:rPr>
                <w:rFonts w:cs="Arial"/>
                <w:color w:val="002060"/>
                <w:sz w:val="16"/>
                <w:szCs w:val="16"/>
              </w:rPr>
            </w:pPr>
          </w:p>
          <w:p w:rsidR="00F838C5" w:rsidRPr="004D1BF4" w:rsidRDefault="00F838C5" w:rsidP="001363EE">
            <w:pPr>
              <w:rPr>
                <w:rFonts w:cs="Arial"/>
                <w:sz w:val="16"/>
                <w:szCs w:val="16"/>
              </w:rPr>
            </w:pPr>
            <w:r>
              <w:rPr>
                <w:rFonts w:cs="Arial"/>
                <w:i/>
                <w:sz w:val="16"/>
                <w:szCs w:val="16"/>
              </w:rPr>
              <w:t>Original Baseline P&amp;B 2014/15</w:t>
            </w:r>
            <w:r w:rsidRPr="007F330D">
              <w:rPr>
                <w:rFonts w:cs="Arial"/>
                <w:i/>
                <w:sz w:val="16"/>
                <w:szCs w:val="16"/>
              </w:rPr>
              <w:t>:</w:t>
            </w:r>
            <w:r>
              <w:t xml:space="preserve"> </w:t>
            </w:r>
            <w:r>
              <w:rPr>
                <w:rFonts w:cs="Arial"/>
                <w:sz w:val="16"/>
                <w:szCs w:val="16"/>
              </w:rPr>
              <w:t>tbd</w:t>
            </w:r>
          </w:p>
        </w:tc>
        <w:tc>
          <w:tcPr>
            <w:tcW w:w="825" w:type="pct"/>
            <w:gridSpan w:val="2"/>
            <w:tcMar>
              <w:top w:w="110" w:type="dxa"/>
            </w:tcMar>
          </w:tcPr>
          <w:p w:rsidR="00F838C5" w:rsidRPr="0027745B" w:rsidRDefault="00F838C5" w:rsidP="001363EE">
            <w:pPr>
              <w:autoSpaceDE w:val="0"/>
              <w:autoSpaceDN w:val="0"/>
              <w:adjustRightInd w:val="0"/>
              <w:rPr>
                <w:rFonts w:cs="Arial"/>
                <w:sz w:val="16"/>
                <w:szCs w:val="16"/>
              </w:rPr>
            </w:pPr>
            <w:r w:rsidRPr="00E2100A">
              <w:rPr>
                <w:rFonts w:cs="Arial"/>
                <w:sz w:val="16"/>
                <w:szCs w:val="16"/>
              </w:rPr>
              <w:t>≥ 70 % satisfied visitors and online customers</w:t>
            </w:r>
          </w:p>
        </w:tc>
        <w:tc>
          <w:tcPr>
            <w:tcW w:w="1049" w:type="pct"/>
            <w:shd w:val="clear" w:color="auto" w:fill="FFFFFF"/>
            <w:tcMar>
              <w:top w:w="110" w:type="dxa"/>
            </w:tcMar>
          </w:tcPr>
          <w:p w:rsidR="00F838C5" w:rsidRPr="00DD6FB2" w:rsidRDefault="00F838C5" w:rsidP="001363EE">
            <w:pPr>
              <w:rPr>
                <w:rFonts w:ascii="Calibri" w:hAnsi="Calibri" w:cs="Calibri"/>
                <w:sz w:val="16"/>
                <w:szCs w:val="16"/>
              </w:rPr>
            </w:pPr>
            <w:r w:rsidRPr="00857627">
              <w:rPr>
                <w:rFonts w:cs="Arial"/>
                <w:sz w:val="16"/>
                <w:szCs w:val="16"/>
              </w:rPr>
              <w:t>70% of respondents to a feedback questionnaire of Library users were highly satisfied with the services. (100% satisfied or highly satisfied)</w:t>
            </w:r>
            <w:r w:rsidRPr="00F34F7C">
              <w:rPr>
                <w:rFonts w:ascii="Calibri" w:hAnsi="Calibri" w:cs="Calibri"/>
                <w:i/>
                <w:sz w:val="16"/>
                <w:szCs w:val="16"/>
              </w:rPr>
              <w:t xml:space="preserve"> </w:t>
            </w:r>
          </w:p>
        </w:tc>
        <w:tc>
          <w:tcPr>
            <w:tcW w:w="582" w:type="pct"/>
            <w:tcMar>
              <w:top w:w="110" w:type="dxa"/>
            </w:tcMar>
          </w:tcPr>
          <w:p w:rsidR="00F838C5" w:rsidRPr="00E32FD5" w:rsidRDefault="00F838C5" w:rsidP="001363EE">
            <w:pPr>
              <w:keepNext/>
              <w:keepLines/>
              <w:jc w:val="center"/>
              <w:rPr>
                <w:rFonts w:cs="Arial"/>
                <w:b/>
                <w:color w:val="808080"/>
                <w:sz w:val="16"/>
                <w:szCs w:val="16"/>
              </w:rPr>
            </w:pPr>
            <w:r w:rsidRPr="00DD6FB2">
              <w:rPr>
                <w:rFonts w:cs="Arial"/>
                <w:b/>
                <w:color w:val="00B050"/>
                <w:sz w:val="16"/>
                <w:szCs w:val="16"/>
              </w:rPr>
              <w:t xml:space="preserve">Fully </w:t>
            </w:r>
            <w:r>
              <w:rPr>
                <w:rFonts w:cs="Arial"/>
                <w:b/>
                <w:color w:val="00B050"/>
                <w:sz w:val="16"/>
                <w:szCs w:val="16"/>
              </w:rPr>
              <w:t>A</w:t>
            </w:r>
            <w:r w:rsidRPr="00DD6FB2">
              <w:rPr>
                <w:rFonts w:cs="Arial"/>
                <w:b/>
                <w:color w:val="00B050"/>
                <w:sz w:val="16"/>
                <w:szCs w:val="16"/>
              </w:rPr>
              <w:t>chieved</w:t>
            </w:r>
          </w:p>
        </w:tc>
      </w:tr>
      <w:tr w:rsidR="00F838C5" w:rsidTr="001363EE">
        <w:tc>
          <w:tcPr>
            <w:tcW w:w="1106" w:type="pct"/>
            <w:gridSpan w:val="2"/>
          </w:tcPr>
          <w:p w:rsidR="00F838C5" w:rsidRPr="004354B8" w:rsidRDefault="00F838C5" w:rsidP="001363EE">
            <w:pPr>
              <w:rPr>
                <w:rFonts w:cs="Arial"/>
                <w:sz w:val="16"/>
                <w:szCs w:val="16"/>
              </w:rPr>
            </w:pPr>
            <w:r w:rsidRPr="004354B8">
              <w:rPr>
                <w:rFonts w:cs="Arial"/>
                <w:sz w:val="16"/>
                <w:szCs w:val="16"/>
              </w:rPr>
              <w:t>Customer/</w:t>
            </w:r>
            <w:r>
              <w:rPr>
                <w:rFonts w:cs="Arial"/>
                <w:sz w:val="16"/>
                <w:szCs w:val="16"/>
              </w:rPr>
              <w:t xml:space="preserve"> </w:t>
            </w:r>
            <w:r w:rsidRPr="004354B8">
              <w:rPr>
                <w:rFonts w:cs="Arial"/>
                <w:sz w:val="16"/>
                <w:szCs w:val="16"/>
              </w:rPr>
              <w:t>stakeholder satisfaction rate</w:t>
            </w:r>
          </w:p>
        </w:tc>
        <w:tc>
          <w:tcPr>
            <w:tcW w:w="1438" w:type="pct"/>
            <w:gridSpan w:val="2"/>
            <w:shd w:val="clear" w:color="auto" w:fill="auto"/>
          </w:tcPr>
          <w:p w:rsidR="00F838C5" w:rsidRDefault="00F838C5" w:rsidP="001363EE">
            <w:pPr>
              <w:rPr>
                <w:rFonts w:cs="Arial"/>
                <w:i/>
                <w:color w:val="002060"/>
                <w:sz w:val="16"/>
                <w:szCs w:val="16"/>
              </w:rPr>
            </w:pPr>
            <w:r>
              <w:rPr>
                <w:rFonts w:cs="Arial"/>
                <w:i/>
                <w:color w:val="002060"/>
                <w:sz w:val="16"/>
                <w:szCs w:val="16"/>
              </w:rPr>
              <w:t>Updated Baseline end 2013</w:t>
            </w:r>
            <w:r w:rsidRPr="007F330D">
              <w:rPr>
                <w:rFonts w:cs="Arial"/>
                <w:i/>
                <w:color w:val="002060"/>
                <w:sz w:val="16"/>
                <w:szCs w:val="16"/>
              </w:rPr>
              <w:t xml:space="preserve">:  </w:t>
            </w:r>
          </w:p>
          <w:p w:rsidR="00F838C5" w:rsidRDefault="00F838C5" w:rsidP="001363EE">
            <w:pPr>
              <w:rPr>
                <w:rFonts w:cs="Arial"/>
                <w:color w:val="002060"/>
                <w:sz w:val="16"/>
                <w:szCs w:val="16"/>
              </w:rPr>
            </w:pPr>
            <w:r w:rsidRPr="00870E1C">
              <w:rPr>
                <w:rFonts w:cs="Arial"/>
                <w:color w:val="002060"/>
                <w:sz w:val="16"/>
                <w:szCs w:val="16"/>
              </w:rPr>
              <w:t>84% of Madrid and Hague customers satisfied or highly satisfied</w:t>
            </w:r>
            <w:r>
              <w:rPr>
                <w:rFonts w:cs="Arial"/>
                <w:color w:val="002060"/>
                <w:sz w:val="16"/>
                <w:szCs w:val="16"/>
              </w:rPr>
              <w:t>:</w:t>
            </w:r>
          </w:p>
          <w:p w:rsidR="00F838C5" w:rsidRDefault="00F838C5" w:rsidP="001363EE">
            <w:pPr>
              <w:rPr>
                <w:rFonts w:cs="Arial"/>
                <w:color w:val="002060"/>
                <w:sz w:val="16"/>
                <w:szCs w:val="16"/>
              </w:rPr>
            </w:pPr>
            <w:r>
              <w:rPr>
                <w:rFonts w:cs="Arial"/>
                <w:color w:val="002060"/>
                <w:sz w:val="16"/>
                <w:szCs w:val="16"/>
              </w:rPr>
              <w:t>Madrid= 80%</w:t>
            </w:r>
          </w:p>
          <w:p w:rsidR="00F838C5" w:rsidRDefault="00F838C5" w:rsidP="001363EE">
            <w:pPr>
              <w:rPr>
                <w:rFonts w:cs="Arial"/>
                <w:color w:val="002060"/>
                <w:sz w:val="16"/>
                <w:szCs w:val="16"/>
              </w:rPr>
            </w:pPr>
            <w:r>
              <w:rPr>
                <w:rFonts w:cs="Arial"/>
                <w:color w:val="002060"/>
                <w:sz w:val="16"/>
                <w:szCs w:val="16"/>
              </w:rPr>
              <w:t>Hague= 88%</w:t>
            </w:r>
          </w:p>
          <w:p w:rsidR="00F838C5" w:rsidRPr="00861678" w:rsidRDefault="00F838C5" w:rsidP="001363EE">
            <w:pPr>
              <w:rPr>
                <w:rFonts w:cs="Arial"/>
                <w:i/>
                <w:sz w:val="8"/>
                <w:szCs w:val="8"/>
              </w:rPr>
            </w:pPr>
          </w:p>
          <w:p w:rsidR="00F838C5" w:rsidRPr="004D1BF4" w:rsidRDefault="00F838C5" w:rsidP="001363EE">
            <w:pPr>
              <w:rPr>
                <w:rFonts w:cs="Arial"/>
                <w:sz w:val="16"/>
                <w:szCs w:val="16"/>
              </w:rPr>
            </w:pPr>
            <w:r>
              <w:rPr>
                <w:rFonts w:cs="Arial"/>
                <w:i/>
                <w:sz w:val="16"/>
                <w:szCs w:val="16"/>
              </w:rPr>
              <w:t>Original Baseline P&amp;B 2014/15</w:t>
            </w:r>
            <w:r w:rsidRPr="007F330D">
              <w:rPr>
                <w:rFonts w:cs="Arial"/>
                <w:i/>
                <w:sz w:val="16"/>
                <w:szCs w:val="16"/>
              </w:rPr>
              <w:t>:</w:t>
            </w:r>
            <w:r>
              <w:t xml:space="preserve"> </w:t>
            </w:r>
            <w:r w:rsidRPr="00870E1C">
              <w:rPr>
                <w:rFonts w:cs="Arial"/>
                <w:sz w:val="16"/>
                <w:szCs w:val="16"/>
              </w:rPr>
              <w:t>2012 survey results: 86% of Madrid and Hague customers satisfied or highly satisfied</w:t>
            </w:r>
          </w:p>
          <w:p w:rsidR="00F838C5" w:rsidRPr="004D1BF4" w:rsidRDefault="00F838C5" w:rsidP="001363EE">
            <w:pPr>
              <w:autoSpaceDE w:val="0"/>
              <w:autoSpaceDN w:val="0"/>
              <w:adjustRightInd w:val="0"/>
              <w:rPr>
                <w:rFonts w:cs="Arial"/>
                <w:sz w:val="16"/>
                <w:szCs w:val="16"/>
              </w:rPr>
            </w:pPr>
          </w:p>
        </w:tc>
        <w:tc>
          <w:tcPr>
            <w:tcW w:w="825" w:type="pct"/>
            <w:gridSpan w:val="2"/>
            <w:tcMar>
              <w:top w:w="110" w:type="dxa"/>
            </w:tcMar>
          </w:tcPr>
          <w:p w:rsidR="00F838C5" w:rsidRPr="0027745B" w:rsidRDefault="00F838C5" w:rsidP="001363EE">
            <w:pPr>
              <w:ind w:firstLineChars="21" w:firstLine="34"/>
              <w:rPr>
                <w:rFonts w:cs="Arial"/>
                <w:sz w:val="16"/>
                <w:szCs w:val="16"/>
              </w:rPr>
            </w:pPr>
            <w:r w:rsidRPr="00870E1C">
              <w:rPr>
                <w:rFonts w:cs="Arial"/>
                <w:sz w:val="16"/>
                <w:szCs w:val="16"/>
              </w:rPr>
              <w:t>≥ 86% satisfied or highly satisfied</w:t>
            </w:r>
          </w:p>
        </w:tc>
        <w:tc>
          <w:tcPr>
            <w:tcW w:w="1049" w:type="pct"/>
            <w:shd w:val="clear" w:color="auto" w:fill="FFFFFF"/>
            <w:tcMar>
              <w:top w:w="110" w:type="dxa"/>
            </w:tcMar>
          </w:tcPr>
          <w:p w:rsidR="00F838C5" w:rsidRPr="00B608AE" w:rsidRDefault="00F838C5" w:rsidP="001363EE">
            <w:pPr>
              <w:rPr>
                <w:rFonts w:cs="Arial"/>
                <w:sz w:val="16"/>
                <w:szCs w:val="16"/>
              </w:rPr>
            </w:pPr>
            <w:r>
              <w:rPr>
                <w:rFonts w:cs="Arial"/>
                <w:sz w:val="16"/>
                <w:szCs w:val="16"/>
              </w:rPr>
              <w:t xml:space="preserve">Overall, </w:t>
            </w:r>
            <w:r w:rsidRPr="00B608AE">
              <w:rPr>
                <w:rFonts w:cs="Arial"/>
                <w:sz w:val="16"/>
                <w:szCs w:val="16"/>
              </w:rPr>
              <w:t xml:space="preserve">85% of PCT and Madrid  customers </w:t>
            </w:r>
            <w:r>
              <w:rPr>
                <w:rFonts w:cs="Arial"/>
                <w:sz w:val="16"/>
                <w:szCs w:val="16"/>
              </w:rPr>
              <w:t xml:space="preserve">were </w:t>
            </w:r>
            <w:r w:rsidRPr="00B608AE">
              <w:rPr>
                <w:rFonts w:cs="Arial"/>
                <w:sz w:val="16"/>
                <w:szCs w:val="16"/>
              </w:rPr>
              <w:t>satisfied or highly satisfied:</w:t>
            </w:r>
          </w:p>
          <w:p w:rsidR="00F838C5" w:rsidRDefault="00F838C5" w:rsidP="001363EE">
            <w:pPr>
              <w:rPr>
                <w:rFonts w:cs="Arial"/>
                <w:sz w:val="16"/>
                <w:szCs w:val="16"/>
              </w:rPr>
            </w:pPr>
          </w:p>
          <w:p w:rsidR="00F838C5" w:rsidRPr="00B608AE" w:rsidRDefault="00F838C5" w:rsidP="001363EE">
            <w:pPr>
              <w:rPr>
                <w:rFonts w:cs="Arial"/>
                <w:sz w:val="16"/>
                <w:szCs w:val="16"/>
              </w:rPr>
            </w:pPr>
            <w:r w:rsidRPr="00B758FB">
              <w:rPr>
                <w:rFonts w:cs="Arial"/>
                <w:sz w:val="16"/>
                <w:szCs w:val="16"/>
              </w:rPr>
              <w:t>PCT= 89%</w:t>
            </w:r>
          </w:p>
          <w:p w:rsidR="00F838C5" w:rsidRDefault="00F838C5" w:rsidP="001363EE">
            <w:pPr>
              <w:rPr>
                <w:rFonts w:cs="Arial"/>
                <w:sz w:val="16"/>
                <w:szCs w:val="16"/>
              </w:rPr>
            </w:pPr>
          </w:p>
          <w:p w:rsidR="00F838C5" w:rsidRPr="00B608AE" w:rsidRDefault="00F838C5" w:rsidP="001363EE">
            <w:pPr>
              <w:rPr>
                <w:rFonts w:cs="Arial"/>
                <w:sz w:val="16"/>
                <w:szCs w:val="16"/>
              </w:rPr>
            </w:pPr>
            <w:r w:rsidRPr="00B608AE">
              <w:rPr>
                <w:rFonts w:cs="Arial"/>
                <w:sz w:val="16"/>
                <w:szCs w:val="16"/>
              </w:rPr>
              <w:t>Madrid= 81%</w:t>
            </w:r>
          </w:p>
          <w:p w:rsidR="00F838C5" w:rsidRDefault="00F838C5" w:rsidP="001363EE">
            <w:pPr>
              <w:rPr>
                <w:rFonts w:cs="Arial"/>
                <w:sz w:val="16"/>
                <w:szCs w:val="16"/>
              </w:rPr>
            </w:pPr>
          </w:p>
          <w:p w:rsidR="00F838C5" w:rsidRPr="00B608AE" w:rsidRDefault="00F838C5" w:rsidP="001363EE">
            <w:pPr>
              <w:rPr>
                <w:rFonts w:cs="Arial"/>
                <w:sz w:val="16"/>
                <w:szCs w:val="16"/>
                <w:highlight w:val="yellow"/>
              </w:rPr>
            </w:pPr>
            <w:r w:rsidRPr="00B608AE">
              <w:rPr>
                <w:rFonts w:cs="Arial"/>
                <w:sz w:val="16"/>
                <w:szCs w:val="16"/>
              </w:rPr>
              <w:t>Hague customers’ satisfaction was not evaluated</w:t>
            </w:r>
            <w:r>
              <w:rPr>
                <w:rFonts w:cs="Arial"/>
                <w:sz w:val="16"/>
                <w:szCs w:val="16"/>
              </w:rPr>
              <w:t xml:space="preserve"> in 2014/15.</w:t>
            </w:r>
          </w:p>
        </w:tc>
        <w:tc>
          <w:tcPr>
            <w:tcW w:w="582" w:type="pct"/>
            <w:tcMar>
              <w:top w:w="110" w:type="dxa"/>
            </w:tcMar>
          </w:tcPr>
          <w:p w:rsidR="00F838C5" w:rsidRDefault="00F838C5" w:rsidP="001363EE">
            <w:pPr>
              <w:keepNext/>
              <w:keepLines/>
              <w:jc w:val="center"/>
              <w:rPr>
                <w:rFonts w:cs="Arial"/>
                <w:b/>
                <w:color w:val="00B050"/>
                <w:sz w:val="16"/>
                <w:szCs w:val="16"/>
              </w:rPr>
            </w:pPr>
          </w:p>
          <w:p w:rsidR="00F838C5" w:rsidRDefault="00F838C5" w:rsidP="001363EE">
            <w:pPr>
              <w:keepNext/>
              <w:keepLines/>
              <w:jc w:val="center"/>
              <w:rPr>
                <w:rFonts w:cs="Arial"/>
                <w:b/>
                <w:color w:val="00B050"/>
                <w:sz w:val="16"/>
                <w:szCs w:val="16"/>
              </w:rPr>
            </w:pPr>
          </w:p>
          <w:p w:rsidR="00F838C5" w:rsidRDefault="00F838C5" w:rsidP="001363EE">
            <w:pPr>
              <w:keepNext/>
              <w:keepLines/>
              <w:jc w:val="center"/>
              <w:rPr>
                <w:rFonts w:cs="Arial"/>
                <w:b/>
                <w:color w:val="00B050"/>
                <w:sz w:val="16"/>
                <w:szCs w:val="16"/>
              </w:rPr>
            </w:pPr>
          </w:p>
          <w:p w:rsidR="00F838C5" w:rsidRDefault="00F838C5" w:rsidP="001363EE">
            <w:pPr>
              <w:keepNext/>
              <w:keepLines/>
              <w:spacing w:before="60" w:after="60"/>
              <w:jc w:val="center"/>
              <w:rPr>
                <w:rFonts w:cs="Arial"/>
                <w:b/>
                <w:color w:val="00B050"/>
                <w:sz w:val="16"/>
                <w:szCs w:val="16"/>
              </w:rPr>
            </w:pPr>
            <w:r>
              <w:rPr>
                <w:rFonts w:cs="Arial"/>
                <w:b/>
                <w:color w:val="00B050"/>
                <w:sz w:val="16"/>
                <w:szCs w:val="16"/>
              </w:rPr>
              <w:t>Fully A</w:t>
            </w:r>
            <w:r w:rsidRPr="00E32FD5">
              <w:rPr>
                <w:rFonts w:cs="Arial"/>
                <w:b/>
                <w:color w:val="00B050"/>
                <w:sz w:val="16"/>
                <w:szCs w:val="16"/>
              </w:rPr>
              <w:t>chieved</w:t>
            </w:r>
          </w:p>
          <w:p w:rsidR="00F838C5" w:rsidRDefault="00F838C5" w:rsidP="001363EE">
            <w:pPr>
              <w:keepNext/>
              <w:keepLines/>
              <w:spacing w:before="60" w:after="60"/>
              <w:jc w:val="center"/>
              <w:rPr>
                <w:rFonts w:cs="Arial"/>
                <w:b/>
                <w:color w:val="00B050"/>
                <w:sz w:val="16"/>
                <w:szCs w:val="16"/>
              </w:rPr>
            </w:pPr>
            <w:r>
              <w:rPr>
                <w:rFonts w:cs="Arial"/>
                <w:b/>
                <w:color w:val="00B050"/>
                <w:sz w:val="16"/>
                <w:szCs w:val="16"/>
              </w:rPr>
              <w:t>Fully A</w:t>
            </w:r>
            <w:r w:rsidRPr="00E32FD5">
              <w:rPr>
                <w:rFonts w:cs="Arial"/>
                <w:b/>
                <w:color w:val="00B050"/>
                <w:sz w:val="16"/>
                <w:szCs w:val="16"/>
              </w:rPr>
              <w:t>chieved</w:t>
            </w:r>
          </w:p>
          <w:p w:rsidR="00F838C5" w:rsidRPr="00B758FB" w:rsidRDefault="00F838C5" w:rsidP="001363EE">
            <w:pPr>
              <w:keepNext/>
              <w:keepLines/>
              <w:jc w:val="center"/>
              <w:rPr>
                <w:rFonts w:cs="Arial"/>
                <w:b/>
                <w:color w:val="A6A6A6" w:themeColor="background1" w:themeShade="A6"/>
                <w:sz w:val="13"/>
                <w:szCs w:val="13"/>
              </w:rPr>
            </w:pPr>
            <w:r w:rsidRPr="00B758FB">
              <w:rPr>
                <w:rFonts w:cs="Arial"/>
                <w:b/>
                <w:color w:val="808080" w:themeColor="background1" w:themeShade="80"/>
                <w:sz w:val="13"/>
                <w:szCs w:val="13"/>
              </w:rPr>
              <w:t>Not Assessable</w:t>
            </w:r>
          </w:p>
        </w:tc>
      </w:tr>
      <w:tr w:rsidR="00F838C5" w:rsidTr="001363EE">
        <w:tc>
          <w:tcPr>
            <w:tcW w:w="1106" w:type="pct"/>
            <w:gridSpan w:val="2"/>
            <w:tcBorders>
              <w:bottom w:val="single" w:sz="4" w:space="0" w:color="auto"/>
            </w:tcBorders>
          </w:tcPr>
          <w:p w:rsidR="00F838C5" w:rsidRPr="00870E1C" w:rsidRDefault="00F838C5" w:rsidP="001363EE">
            <w:pPr>
              <w:rPr>
                <w:rFonts w:cs="Arial"/>
                <w:sz w:val="16"/>
                <w:szCs w:val="16"/>
              </w:rPr>
            </w:pPr>
            <w:r w:rsidRPr="00E2100A">
              <w:rPr>
                <w:rFonts w:cs="Arial"/>
                <w:sz w:val="16"/>
                <w:szCs w:val="16"/>
              </w:rPr>
              <w:t>Service Standards targets as defined on WIPO website</w:t>
            </w:r>
          </w:p>
        </w:tc>
        <w:tc>
          <w:tcPr>
            <w:tcW w:w="1438" w:type="pct"/>
            <w:gridSpan w:val="2"/>
            <w:tcBorders>
              <w:bottom w:val="single" w:sz="4" w:space="0" w:color="auto"/>
            </w:tcBorders>
            <w:shd w:val="clear" w:color="auto" w:fill="auto"/>
          </w:tcPr>
          <w:p w:rsidR="00F838C5" w:rsidRDefault="00F838C5" w:rsidP="001363EE">
            <w:pPr>
              <w:rPr>
                <w:rFonts w:cs="Arial"/>
                <w:i/>
                <w:color w:val="002060"/>
                <w:sz w:val="16"/>
                <w:szCs w:val="16"/>
              </w:rPr>
            </w:pPr>
            <w:r>
              <w:rPr>
                <w:rFonts w:cs="Arial"/>
                <w:i/>
                <w:color w:val="002060"/>
                <w:sz w:val="16"/>
                <w:szCs w:val="16"/>
              </w:rPr>
              <w:t xml:space="preserve">Updated Baseline end 2013: </w:t>
            </w:r>
          </w:p>
          <w:p w:rsidR="00F838C5" w:rsidRPr="00E2100A" w:rsidRDefault="00F838C5" w:rsidP="001363EE">
            <w:pPr>
              <w:rPr>
                <w:rFonts w:cs="Arial"/>
                <w:color w:val="002060"/>
                <w:sz w:val="16"/>
                <w:szCs w:val="16"/>
              </w:rPr>
            </w:pPr>
            <w:r>
              <w:rPr>
                <w:rFonts w:cs="Arial"/>
                <w:color w:val="002060"/>
                <w:sz w:val="16"/>
                <w:szCs w:val="16"/>
              </w:rPr>
              <w:t>Not baselined</w:t>
            </w:r>
          </w:p>
          <w:p w:rsidR="00F838C5" w:rsidRDefault="00F838C5" w:rsidP="001363EE">
            <w:pPr>
              <w:rPr>
                <w:rFonts w:cs="Arial"/>
                <w:color w:val="002060"/>
                <w:sz w:val="16"/>
                <w:szCs w:val="16"/>
              </w:rPr>
            </w:pPr>
          </w:p>
          <w:p w:rsidR="00F838C5" w:rsidRPr="004D1BF4" w:rsidRDefault="00F838C5" w:rsidP="001363EE">
            <w:pPr>
              <w:rPr>
                <w:rFonts w:cs="Arial"/>
                <w:sz w:val="16"/>
                <w:szCs w:val="16"/>
              </w:rPr>
            </w:pPr>
            <w:r>
              <w:rPr>
                <w:rFonts w:cs="Arial"/>
                <w:i/>
                <w:sz w:val="16"/>
                <w:szCs w:val="16"/>
              </w:rPr>
              <w:t>Original Baseline P&amp;B 2014/15</w:t>
            </w:r>
            <w:r w:rsidRPr="007F330D">
              <w:rPr>
                <w:rFonts w:cs="Arial"/>
                <w:i/>
                <w:sz w:val="16"/>
                <w:szCs w:val="16"/>
              </w:rPr>
              <w:t>:</w:t>
            </w:r>
            <w:r>
              <w:t xml:space="preserve"> </w:t>
            </w:r>
            <w:r w:rsidRPr="00E2100A">
              <w:rPr>
                <w:rFonts w:cs="Arial"/>
                <w:sz w:val="16"/>
                <w:szCs w:val="16"/>
              </w:rPr>
              <w:t>to be defined for specific areas</w:t>
            </w:r>
          </w:p>
          <w:p w:rsidR="00F838C5" w:rsidRDefault="00F838C5" w:rsidP="001363EE">
            <w:pPr>
              <w:rPr>
                <w:rFonts w:cs="Arial"/>
                <w:i/>
                <w:color w:val="002060"/>
                <w:sz w:val="16"/>
                <w:szCs w:val="16"/>
              </w:rPr>
            </w:pPr>
          </w:p>
        </w:tc>
        <w:tc>
          <w:tcPr>
            <w:tcW w:w="825" w:type="pct"/>
            <w:gridSpan w:val="2"/>
            <w:tcBorders>
              <w:bottom w:val="single" w:sz="4" w:space="0" w:color="auto"/>
            </w:tcBorders>
            <w:tcMar>
              <w:top w:w="110" w:type="dxa"/>
            </w:tcMar>
          </w:tcPr>
          <w:p w:rsidR="00F838C5" w:rsidRPr="001E6C53" w:rsidRDefault="00F838C5" w:rsidP="001363EE">
            <w:pPr>
              <w:autoSpaceDE w:val="0"/>
              <w:autoSpaceDN w:val="0"/>
              <w:adjustRightInd w:val="0"/>
              <w:rPr>
                <w:rFonts w:cs="Arial"/>
                <w:sz w:val="16"/>
                <w:szCs w:val="16"/>
              </w:rPr>
            </w:pPr>
            <w:r w:rsidRPr="001E6C53">
              <w:rPr>
                <w:rFonts w:cs="Arial"/>
                <w:i/>
                <w:sz w:val="16"/>
                <w:szCs w:val="16"/>
              </w:rPr>
              <w:t>Defined Target:</w:t>
            </w:r>
            <w:r w:rsidRPr="001E6C53">
              <w:rPr>
                <w:rFonts w:cs="Arial"/>
                <w:sz w:val="16"/>
                <w:szCs w:val="16"/>
              </w:rPr>
              <w:t xml:space="preserve"> Customer Service Center standards: </w:t>
            </w:r>
          </w:p>
          <w:p w:rsidR="00F838C5" w:rsidRPr="001E6C53" w:rsidRDefault="00F838C5" w:rsidP="001363EE">
            <w:pPr>
              <w:autoSpaceDE w:val="0"/>
              <w:autoSpaceDN w:val="0"/>
              <w:adjustRightInd w:val="0"/>
              <w:rPr>
                <w:rFonts w:cs="Arial"/>
                <w:sz w:val="16"/>
                <w:szCs w:val="16"/>
              </w:rPr>
            </w:pPr>
            <w:r w:rsidRPr="001E6C53">
              <w:rPr>
                <w:rFonts w:cs="Arial"/>
                <w:sz w:val="16"/>
                <w:szCs w:val="16"/>
              </w:rPr>
              <w:t>(i) 90% of tickets processed within 1 day</w:t>
            </w:r>
          </w:p>
          <w:p w:rsidR="00F838C5" w:rsidRPr="001E6C53" w:rsidRDefault="00F838C5" w:rsidP="001363EE">
            <w:pPr>
              <w:autoSpaceDE w:val="0"/>
              <w:autoSpaceDN w:val="0"/>
              <w:adjustRightInd w:val="0"/>
              <w:rPr>
                <w:rFonts w:cs="Arial"/>
                <w:sz w:val="16"/>
                <w:szCs w:val="16"/>
              </w:rPr>
            </w:pPr>
          </w:p>
          <w:p w:rsidR="00F838C5" w:rsidRPr="001E6C53" w:rsidRDefault="00F838C5" w:rsidP="001363EE">
            <w:pPr>
              <w:autoSpaceDE w:val="0"/>
              <w:autoSpaceDN w:val="0"/>
              <w:adjustRightInd w:val="0"/>
              <w:rPr>
                <w:rFonts w:cs="Arial"/>
                <w:sz w:val="16"/>
                <w:szCs w:val="16"/>
              </w:rPr>
            </w:pPr>
            <w:r w:rsidRPr="001E6C53">
              <w:rPr>
                <w:rFonts w:cs="Arial"/>
                <w:sz w:val="16"/>
                <w:szCs w:val="16"/>
              </w:rPr>
              <w:t xml:space="preserve">(ii) 90% of complaints </w:t>
            </w:r>
            <w:r w:rsidRPr="001E6C53">
              <w:rPr>
                <w:rFonts w:cs="Arial"/>
                <w:sz w:val="16"/>
                <w:szCs w:val="16"/>
              </w:rPr>
              <w:lastRenderedPageBreak/>
              <w:t>processed within 8 working hours</w:t>
            </w:r>
          </w:p>
          <w:p w:rsidR="00F838C5" w:rsidRPr="001E6C53" w:rsidRDefault="00F838C5" w:rsidP="001363EE">
            <w:pPr>
              <w:autoSpaceDE w:val="0"/>
              <w:autoSpaceDN w:val="0"/>
              <w:adjustRightInd w:val="0"/>
              <w:rPr>
                <w:rFonts w:cs="Arial"/>
                <w:sz w:val="16"/>
                <w:szCs w:val="16"/>
              </w:rPr>
            </w:pPr>
          </w:p>
          <w:p w:rsidR="00F838C5" w:rsidRPr="001E6C53" w:rsidRDefault="00F838C5" w:rsidP="001363EE">
            <w:pPr>
              <w:autoSpaceDE w:val="0"/>
              <w:autoSpaceDN w:val="0"/>
              <w:adjustRightInd w:val="0"/>
              <w:rPr>
                <w:rFonts w:cs="Arial"/>
                <w:sz w:val="16"/>
                <w:szCs w:val="16"/>
              </w:rPr>
            </w:pPr>
            <w:r w:rsidRPr="001E6C53">
              <w:rPr>
                <w:rFonts w:cs="Arial"/>
                <w:i/>
                <w:sz w:val="16"/>
                <w:szCs w:val="16"/>
              </w:rPr>
              <w:t>Original Target P&amp;B 2014/15</w:t>
            </w:r>
            <w:r w:rsidRPr="001E6C53">
              <w:rPr>
                <w:rFonts w:cs="Arial"/>
                <w:sz w:val="16"/>
                <w:szCs w:val="16"/>
              </w:rPr>
              <w:t>: to be defined for specific areas</w:t>
            </w:r>
          </w:p>
          <w:p w:rsidR="00F838C5" w:rsidRPr="00E2100A" w:rsidRDefault="00F838C5" w:rsidP="001363EE">
            <w:pPr>
              <w:autoSpaceDE w:val="0"/>
              <w:autoSpaceDN w:val="0"/>
              <w:adjustRightInd w:val="0"/>
              <w:rPr>
                <w:rFonts w:cs="Arial"/>
                <w:sz w:val="16"/>
                <w:szCs w:val="16"/>
              </w:rPr>
            </w:pPr>
          </w:p>
        </w:tc>
        <w:tc>
          <w:tcPr>
            <w:tcW w:w="1049" w:type="pct"/>
            <w:tcBorders>
              <w:bottom w:val="single" w:sz="4" w:space="0" w:color="auto"/>
            </w:tcBorders>
            <w:shd w:val="clear" w:color="auto" w:fill="FFFFFF"/>
            <w:tcMar>
              <w:top w:w="110" w:type="dxa"/>
            </w:tcMar>
          </w:tcPr>
          <w:p w:rsidR="00F838C5" w:rsidRPr="00B608AE" w:rsidRDefault="00F838C5" w:rsidP="001363EE">
            <w:pPr>
              <w:autoSpaceDE w:val="0"/>
              <w:autoSpaceDN w:val="0"/>
              <w:adjustRightInd w:val="0"/>
              <w:rPr>
                <w:rFonts w:cs="Arial"/>
                <w:sz w:val="16"/>
                <w:szCs w:val="16"/>
              </w:rPr>
            </w:pPr>
            <w:r>
              <w:rPr>
                <w:rFonts w:cs="Arial"/>
                <w:sz w:val="16"/>
                <w:szCs w:val="16"/>
              </w:rPr>
              <w:lastRenderedPageBreak/>
              <w:t xml:space="preserve">(i) </w:t>
            </w:r>
            <w:r w:rsidRPr="00B608AE">
              <w:rPr>
                <w:rFonts w:cs="Arial"/>
                <w:sz w:val="16"/>
                <w:szCs w:val="16"/>
              </w:rPr>
              <w:t>92% of tickets processed within 1 day</w:t>
            </w:r>
          </w:p>
          <w:p w:rsidR="00F838C5" w:rsidRPr="00B608AE" w:rsidRDefault="00F838C5" w:rsidP="001363EE">
            <w:pPr>
              <w:autoSpaceDE w:val="0"/>
              <w:autoSpaceDN w:val="0"/>
              <w:adjustRightInd w:val="0"/>
              <w:rPr>
                <w:rFonts w:cs="Arial"/>
                <w:sz w:val="16"/>
                <w:szCs w:val="16"/>
              </w:rPr>
            </w:pPr>
          </w:p>
          <w:p w:rsidR="00F838C5" w:rsidRPr="00B608AE" w:rsidRDefault="00F838C5" w:rsidP="001363EE">
            <w:pPr>
              <w:autoSpaceDE w:val="0"/>
              <w:autoSpaceDN w:val="0"/>
              <w:adjustRightInd w:val="0"/>
              <w:rPr>
                <w:rFonts w:cs="Arial"/>
                <w:sz w:val="16"/>
                <w:szCs w:val="16"/>
              </w:rPr>
            </w:pPr>
            <w:r>
              <w:rPr>
                <w:rFonts w:cs="Arial"/>
                <w:sz w:val="16"/>
                <w:szCs w:val="16"/>
              </w:rPr>
              <w:t xml:space="preserve">(ii) </w:t>
            </w:r>
            <w:r w:rsidRPr="00B608AE">
              <w:rPr>
                <w:rFonts w:cs="Arial"/>
                <w:sz w:val="16"/>
                <w:szCs w:val="16"/>
              </w:rPr>
              <w:t>100% of complaints processed within 8 working hours</w:t>
            </w:r>
          </w:p>
          <w:p w:rsidR="00F838C5" w:rsidRPr="00B608AE" w:rsidRDefault="00F838C5" w:rsidP="001363EE">
            <w:pPr>
              <w:autoSpaceDE w:val="0"/>
              <w:autoSpaceDN w:val="0"/>
              <w:adjustRightInd w:val="0"/>
              <w:rPr>
                <w:rFonts w:cs="Arial"/>
                <w:sz w:val="16"/>
                <w:szCs w:val="16"/>
              </w:rPr>
            </w:pPr>
          </w:p>
          <w:p w:rsidR="00F838C5" w:rsidRPr="00B608AE" w:rsidRDefault="00F838C5" w:rsidP="001363EE">
            <w:pPr>
              <w:rPr>
                <w:rFonts w:cs="Arial"/>
                <w:sz w:val="16"/>
                <w:szCs w:val="16"/>
              </w:rPr>
            </w:pPr>
          </w:p>
        </w:tc>
        <w:tc>
          <w:tcPr>
            <w:tcW w:w="582" w:type="pct"/>
            <w:tcBorders>
              <w:bottom w:val="single" w:sz="4" w:space="0" w:color="auto"/>
            </w:tcBorders>
            <w:tcMar>
              <w:top w:w="110" w:type="dxa"/>
            </w:tcMar>
          </w:tcPr>
          <w:p w:rsidR="00F838C5" w:rsidRDefault="00F838C5" w:rsidP="001363EE">
            <w:pPr>
              <w:keepNext/>
              <w:keepLines/>
              <w:jc w:val="center"/>
              <w:rPr>
                <w:rFonts w:cs="Arial"/>
                <w:b/>
                <w:color w:val="00B050"/>
                <w:sz w:val="16"/>
                <w:szCs w:val="16"/>
              </w:rPr>
            </w:pPr>
            <w:r w:rsidRPr="00E32FD5">
              <w:rPr>
                <w:rFonts w:cs="Arial"/>
                <w:b/>
                <w:color w:val="00B050"/>
                <w:sz w:val="16"/>
                <w:szCs w:val="16"/>
              </w:rPr>
              <w:t xml:space="preserve">Fully </w:t>
            </w:r>
            <w:r>
              <w:rPr>
                <w:rFonts w:cs="Arial"/>
                <w:b/>
                <w:color w:val="00B050"/>
                <w:sz w:val="16"/>
                <w:szCs w:val="16"/>
              </w:rPr>
              <w:t>A</w:t>
            </w:r>
            <w:r w:rsidRPr="00E32FD5">
              <w:rPr>
                <w:rFonts w:cs="Arial"/>
                <w:b/>
                <w:color w:val="00B050"/>
                <w:sz w:val="16"/>
                <w:szCs w:val="16"/>
              </w:rPr>
              <w:t>chieved</w:t>
            </w:r>
          </w:p>
          <w:p w:rsidR="00F838C5" w:rsidRDefault="00F838C5" w:rsidP="001363EE">
            <w:pPr>
              <w:keepNext/>
              <w:keepLines/>
              <w:jc w:val="center"/>
              <w:rPr>
                <w:rFonts w:cs="Arial"/>
                <w:b/>
                <w:color w:val="00B050"/>
                <w:sz w:val="16"/>
                <w:szCs w:val="16"/>
              </w:rPr>
            </w:pPr>
          </w:p>
          <w:p w:rsidR="00F838C5" w:rsidRPr="00E32FD5" w:rsidRDefault="00F838C5" w:rsidP="001363EE">
            <w:pPr>
              <w:keepNext/>
              <w:keepLines/>
              <w:jc w:val="center"/>
              <w:rPr>
                <w:rFonts w:cs="Arial"/>
                <w:b/>
                <w:bCs/>
                <w:color w:val="00B050"/>
                <w:sz w:val="16"/>
                <w:szCs w:val="16"/>
              </w:rPr>
            </w:pPr>
            <w:r w:rsidRPr="00E32FD5">
              <w:rPr>
                <w:rFonts w:cs="Arial"/>
                <w:b/>
                <w:color w:val="00B050"/>
                <w:sz w:val="16"/>
                <w:szCs w:val="16"/>
              </w:rPr>
              <w:t xml:space="preserve">Fully </w:t>
            </w:r>
            <w:r>
              <w:rPr>
                <w:rFonts w:cs="Arial"/>
                <w:b/>
                <w:color w:val="00B050"/>
                <w:sz w:val="16"/>
                <w:szCs w:val="16"/>
              </w:rPr>
              <w:t>A</w:t>
            </w:r>
            <w:r w:rsidRPr="00E32FD5">
              <w:rPr>
                <w:rFonts w:cs="Arial"/>
                <w:b/>
                <w:color w:val="00B050"/>
                <w:sz w:val="16"/>
                <w:szCs w:val="16"/>
              </w:rPr>
              <w:t>chieved</w:t>
            </w:r>
          </w:p>
        </w:tc>
      </w:tr>
    </w:tbl>
    <w:p w:rsidR="00F838C5" w:rsidRDefault="00F838C5" w:rsidP="001363EE">
      <w:pPr>
        <w:jc w:val="both"/>
        <w:rPr>
          <w:rFonts w:cs="Arial"/>
          <w:color w:val="000000"/>
          <w:sz w:val="22"/>
          <w:szCs w:val="22"/>
        </w:rPr>
      </w:pPr>
    </w:p>
    <w:p w:rsidR="00F838C5" w:rsidRDefault="00F838C5" w:rsidP="001363EE">
      <w:pPr>
        <w:jc w:val="both"/>
        <w:rPr>
          <w:rFonts w:cs="Arial"/>
          <w:color w:val="000000"/>
          <w:sz w:val="22"/>
          <w:szCs w:val="22"/>
        </w:rPr>
      </w:pPr>
    </w:p>
    <w:p w:rsidR="00F838C5" w:rsidRPr="00263286" w:rsidRDefault="00F838C5" w:rsidP="001363EE">
      <w:pPr>
        <w:keepNext/>
        <w:keepLines/>
        <w:rPr>
          <w:rFonts w:cs="Arial"/>
          <w:color w:val="000000"/>
          <w:szCs w:val="22"/>
        </w:rPr>
      </w:pPr>
      <w:r w:rsidRPr="00263286">
        <w:rPr>
          <w:rFonts w:cs="Arial"/>
          <w:color w:val="000000"/>
          <w:szCs w:val="22"/>
        </w:rPr>
        <w:t>RISK REPORTING FOR THE BIENNIUM</w:t>
      </w:r>
    </w:p>
    <w:p w:rsidR="00F838C5" w:rsidRDefault="00F838C5" w:rsidP="001363EE">
      <w:pPr>
        <w:keepNext/>
        <w:keepLines/>
      </w:pPr>
    </w:p>
    <w:tbl>
      <w:tblPr>
        <w:tblW w:w="9356" w:type="dxa"/>
        <w:tblInd w:w="108" w:type="dxa"/>
        <w:tblBorders>
          <w:top w:val="single" w:sz="4" w:space="0" w:color="auto"/>
          <w:left w:val="single" w:sz="4" w:space="0" w:color="auto"/>
          <w:bottom w:val="single" w:sz="4" w:space="0" w:color="auto"/>
          <w:right w:val="single" w:sz="4" w:space="0" w:color="auto"/>
        </w:tblBorders>
        <w:tblLayout w:type="fixed"/>
        <w:tblLook w:val="01E0" w:firstRow="1" w:lastRow="1" w:firstColumn="1" w:lastColumn="1" w:noHBand="0" w:noVBand="0"/>
      </w:tblPr>
      <w:tblGrid>
        <w:gridCol w:w="2420"/>
        <w:gridCol w:w="2200"/>
        <w:gridCol w:w="2310"/>
        <w:gridCol w:w="2426"/>
      </w:tblGrid>
      <w:tr w:rsidR="00F838C5" w:rsidTr="006B303B">
        <w:trPr>
          <w:trHeight w:val="402"/>
          <w:tblHeader/>
        </w:trPr>
        <w:tc>
          <w:tcPr>
            <w:tcW w:w="2420" w:type="dxa"/>
            <w:tcBorders>
              <w:top w:val="single" w:sz="4" w:space="0" w:color="auto"/>
              <w:bottom w:val="single" w:sz="4" w:space="0" w:color="auto"/>
            </w:tcBorders>
            <w:shd w:val="clear" w:color="auto" w:fill="C6D9F1" w:themeFill="text2" w:themeFillTint="33"/>
            <w:tcMar>
              <w:top w:w="113" w:type="dxa"/>
              <w:bottom w:w="85" w:type="dxa"/>
            </w:tcMar>
            <w:vAlign w:val="center"/>
          </w:tcPr>
          <w:p w:rsidR="00F838C5" w:rsidRPr="003C527B" w:rsidRDefault="00F838C5" w:rsidP="001363EE">
            <w:pPr>
              <w:keepNext/>
              <w:keepLines/>
              <w:autoSpaceDE w:val="0"/>
              <w:autoSpaceDN w:val="0"/>
              <w:adjustRightInd w:val="0"/>
              <w:ind w:right="-59"/>
              <w:jc w:val="center"/>
              <w:rPr>
                <w:b/>
                <w:bCs/>
                <w:sz w:val="18"/>
                <w:szCs w:val="18"/>
                <w:lang w:eastAsia="zh-CN"/>
              </w:rPr>
            </w:pPr>
            <w:r w:rsidRPr="003C527B">
              <w:rPr>
                <w:b/>
                <w:bCs/>
                <w:sz w:val="18"/>
                <w:szCs w:val="18"/>
                <w:lang w:eastAsia="zh-CN"/>
              </w:rPr>
              <w:t>Risk(s) to the Program achieving its Results</w:t>
            </w:r>
          </w:p>
        </w:tc>
        <w:tc>
          <w:tcPr>
            <w:tcW w:w="2200" w:type="dxa"/>
            <w:tcBorders>
              <w:top w:val="single" w:sz="4" w:space="0" w:color="auto"/>
              <w:bottom w:val="single" w:sz="4" w:space="0" w:color="auto"/>
            </w:tcBorders>
            <w:shd w:val="clear" w:color="auto" w:fill="C6D9F1" w:themeFill="text2" w:themeFillTint="33"/>
            <w:tcMar>
              <w:top w:w="113" w:type="dxa"/>
              <w:bottom w:w="85" w:type="dxa"/>
            </w:tcMar>
            <w:vAlign w:val="center"/>
          </w:tcPr>
          <w:p w:rsidR="00F838C5" w:rsidRPr="003C527B" w:rsidRDefault="00F838C5" w:rsidP="001363EE">
            <w:pPr>
              <w:keepNext/>
              <w:keepLines/>
              <w:autoSpaceDE w:val="0"/>
              <w:autoSpaceDN w:val="0"/>
              <w:adjustRightInd w:val="0"/>
              <w:ind w:right="-59"/>
              <w:jc w:val="center"/>
              <w:rPr>
                <w:b/>
                <w:bCs/>
                <w:sz w:val="18"/>
                <w:szCs w:val="18"/>
                <w:lang w:eastAsia="zh-CN"/>
              </w:rPr>
            </w:pPr>
            <w:r w:rsidRPr="003C527B">
              <w:rPr>
                <w:b/>
                <w:bCs/>
                <w:sz w:val="18"/>
                <w:szCs w:val="18"/>
                <w:lang w:eastAsia="zh-CN"/>
              </w:rPr>
              <w:t xml:space="preserve">Mitigation plans in place or under implementation </w:t>
            </w:r>
          </w:p>
        </w:tc>
        <w:tc>
          <w:tcPr>
            <w:tcW w:w="2310" w:type="dxa"/>
            <w:tcBorders>
              <w:top w:val="single" w:sz="4" w:space="0" w:color="auto"/>
              <w:bottom w:val="single" w:sz="4" w:space="0" w:color="auto"/>
            </w:tcBorders>
            <w:shd w:val="clear" w:color="auto" w:fill="C6D9F1" w:themeFill="text2" w:themeFillTint="33"/>
          </w:tcPr>
          <w:p w:rsidR="00F838C5" w:rsidRPr="003C527B" w:rsidRDefault="00F838C5" w:rsidP="001363EE">
            <w:pPr>
              <w:keepNext/>
              <w:keepLines/>
              <w:jc w:val="center"/>
              <w:rPr>
                <w:b/>
                <w:bCs/>
                <w:sz w:val="18"/>
                <w:szCs w:val="18"/>
              </w:rPr>
            </w:pPr>
            <w:r>
              <w:rPr>
                <w:b/>
                <w:bCs/>
                <w:sz w:val="18"/>
                <w:szCs w:val="18"/>
              </w:rPr>
              <w:t>Evolution of Risk(s) and Mitigation Strategies Over the Biennium</w:t>
            </w:r>
          </w:p>
        </w:tc>
        <w:tc>
          <w:tcPr>
            <w:tcW w:w="2426" w:type="dxa"/>
            <w:tcBorders>
              <w:top w:val="single" w:sz="4" w:space="0" w:color="auto"/>
              <w:bottom w:val="single" w:sz="4" w:space="0" w:color="auto"/>
            </w:tcBorders>
            <w:shd w:val="clear" w:color="auto" w:fill="C6D9F1" w:themeFill="text2" w:themeFillTint="33"/>
          </w:tcPr>
          <w:p w:rsidR="00F838C5" w:rsidRPr="003C527B" w:rsidRDefault="00F838C5" w:rsidP="001363EE">
            <w:pPr>
              <w:keepNext/>
              <w:keepLines/>
              <w:jc w:val="center"/>
              <w:rPr>
                <w:b/>
                <w:bCs/>
                <w:sz w:val="18"/>
                <w:szCs w:val="18"/>
              </w:rPr>
            </w:pPr>
            <w:r>
              <w:rPr>
                <w:b/>
                <w:bCs/>
                <w:sz w:val="18"/>
                <w:szCs w:val="18"/>
              </w:rPr>
              <w:t>Impact on the Program’s Performance</w:t>
            </w:r>
          </w:p>
        </w:tc>
      </w:tr>
      <w:tr w:rsidR="00F838C5" w:rsidTr="006B303B">
        <w:trPr>
          <w:trHeight w:val="782"/>
        </w:trPr>
        <w:tc>
          <w:tcPr>
            <w:tcW w:w="2420" w:type="dxa"/>
            <w:tcBorders>
              <w:top w:val="single" w:sz="4" w:space="0" w:color="auto"/>
            </w:tcBorders>
            <w:shd w:val="clear" w:color="auto" w:fill="auto"/>
            <w:tcMar>
              <w:top w:w="113" w:type="dxa"/>
              <w:bottom w:w="85" w:type="dxa"/>
            </w:tcMar>
          </w:tcPr>
          <w:p w:rsidR="00F838C5" w:rsidRPr="003C527B" w:rsidRDefault="00F838C5" w:rsidP="001363EE">
            <w:pPr>
              <w:keepNext/>
              <w:keepLines/>
              <w:autoSpaceDE w:val="0"/>
              <w:autoSpaceDN w:val="0"/>
              <w:adjustRightInd w:val="0"/>
              <w:ind w:right="-59"/>
              <w:rPr>
                <w:i/>
                <w:sz w:val="16"/>
                <w:szCs w:val="16"/>
              </w:rPr>
            </w:pPr>
            <w:r w:rsidRPr="003C527B">
              <w:rPr>
                <w:sz w:val="16"/>
                <w:szCs w:val="16"/>
                <w:lang w:eastAsia="zh-CN"/>
              </w:rPr>
              <w:t>The proliferation of new demands prevents the Program from achieving the focus and impact necessary to deliver effective communications.</w:t>
            </w:r>
          </w:p>
        </w:tc>
        <w:tc>
          <w:tcPr>
            <w:tcW w:w="2200" w:type="dxa"/>
            <w:tcBorders>
              <w:top w:val="single" w:sz="4" w:space="0" w:color="auto"/>
            </w:tcBorders>
            <w:shd w:val="clear" w:color="auto" w:fill="auto"/>
            <w:tcMar>
              <w:top w:w="113" w:type="dxa"/>
              <w:bottom w:w="85" w:type="dxa"/>
            </w:tcMar>
          </w:tcPr>
          <w:p w:rsidR="00F838C5" w:rsidRPr="003C527B" w:rsidRDefault="00F838C5" w:rsidP="001363EE">
            <w:pPr>
              <w:keepNext/>
              <w:keepLines/>
              <w:autoSpaceDE w:val="0"/>
              <w:autoSpaceDN w:val="0"/>
              <w:adjustRightInd w:val="0"/>
              <w:ind w:right="-59"/>
              <w:rPr>
                <w:i/>
                <w:sz w:val="16"/>
                <w:szCs w:val="16"/>
              </w:rPr>
            </w:pPr>
            <w:r w:rsidRPr="003C527B">
              <w:rPr>
                <w:sz w:val="16"/>
                <w:szCs w:val="16"/>
                <w:lang w:eastAsia="zh-CN"/>
              </w:rPr>
              <w:t>A limited number of major WIPO</w:t>
            </w:r>
            <w:r>
              <w:rPr>
                <w:sz w:val="16"/>
                <w:szCs w:val="16"/>
                <w:lang w:eastAsia="zh-CN"/>
              </w:rPr>
              <w:t xml:space="preserve"> </w:t>
            </w:r>
            <w:r w:rsidRPr="003C527B">
              <w:rPr>
                <w:sz w:val="16"/>
                <w:szCs w:val="16"/>
                <w:lang w:eastAsia="zh-CN"/>
              </w:rPr>
              <w:t>events/products/</w:t>
            </w:r>
            <w:r>
              <w:rPr>
                <w:sz w:val="16"/>
                <w:szCs w:val="16"/>
                <w:lang w:eastAsia="zh-CN"/>
              </w:rPr>
              <w:t xml:space="preserve"> </w:t>
            </w:r>
            <w:r w:rsidRPr="003C527B">
              <w:rPr>
                <w:sz w:val="16"/>
                <w:szCs w:val="16"/>
                <w:lang w:eastAsia="zh-CN"/>
              </w:rPr>
              <w:t xml:space="preserve">achievements will be identified each year as the agreed top priorities for promotion and marketing.  </w:t>
            </w:r>
          </w:p>
        </w:tc>
        <w:tc>
          <w:tcPr>
            <w:tcW w:w="2310" w:type="dxa"/>
            <w:tcBorders>
              <w:top w:val="single" w:sz="4" w:space="0" w:color="auto"/>
            </w:tcBorders>
          </w:tcPr>
          <w:p w:rsidR="00F838C5" w:rsidRPr="003C527B" w:rsidRDefault="00F838C5" w:rsidP="001363EE">
            <w:pPr>
              <w:keepNext/>
              <w:keepLines/>
              <w:autoSpaceDE w:val="0"/>
              <w:autoSpaceDN w:val="0"/>
              <w:adjustRightInd w:val="0"/>
              <w:ind w:right="-59"/>
              <w:rPr>
                <w:sz w:val="16"/>
                <w:szCs w:val="16"/>
                <w:lang w:eastAsia="zh-CN"/>
              </w:rPr>
            </w:pPr>
            <w:r>
              <w:rPr>
                <w:sz w:val="16"/>
                <w:szCs w:val="16"/>
                <w:lang w:eastAsia="zh-CN"/>
              </w:rPr>
              <w:t>Mitigation strategy was implemented effectively. Major events prioritized and successfully promoted included World IP Day; Global Innovation Index launch; launch of World IP Report; Assemblies; African Ministerial Conference.</w:t>
            </w:r>
          </w:p>
        </w:tc>
        <w:tc>
          <w:tcPr>
            <w:tcW w:w="2426" w:type="dxa"/>
            <w:tcBorders>
              <w:top w:val="single" w:sz="4" w:space="0" w:color="auto"/>
            </w:tcBorders>
          </w:tcPr>
          <w:p w:rsidR="00F838C5" w:rsidRPr="003C527B" w:rsidRDefault="00F838C5" w:rsidP="001363EE">
            <w:pPr>
              <w:keepNext/>
              <w:keepLines/>
              <w:autoSpaceDE w:val="0"/>
              <w:autoSpaceDN w:val="0"/>
              <w:adjustRightInd w:val="0"/>
              <w:ind w:right="-59"/>
              <w:rPr>
                <w:sz w:val="16"/>
                <w:szCs w:val="16"/>
                <w:lang w:eastAsia="zh-CN"/>
              </w:rPr>
            </w:pPr>
            <w:r>
              <w:rPr>
                <w:sz w:val="16"/>
                <w:szCs w:val="16"/>
                <w:lang w:eastAsia="zh-CN"/>
              </w:rPr>
              <w:t xml:space="preserve">Focus and impact is being achieved, as reflected in increased media/social media coverage and website traffic for all major events. </w:t>
            </w:r>
          </w:p>
        </w:tc>
      </w:tr>
      <w:tr w:rsidR="00F838C5" w:rsidTr="006B303B">
        <w:trPr>
          <w:trHeight w:val="961"/>
        </w:trPr>
        <w:tc>
          <w:tcPr>
            <w:tcW w:w="2420" w:type="dxa"/>
            <w:shd w:val="clear" w:color="auto" w:fill="auto"/>
            <w:tcMar>
              <w:top w:w="113" w:type="dxa"/>
              <w:bottom w:w="85" w:type="dxa"/>
            </w:tcMar>
          </w:tcPr>
          <w:p w:rsidR="00F838C5" w:rsidRPr="003C527B" w:rsidRDefault="00F838C5" w:rsidP="001363EE">
            <w:pPr>
              <w:keepNext/>
              <w:keepLines/>
              <w:autoSpaceDE w:val="0"/>
              <w:autoSpaceDN w:val="0"/>
              <w:adjustRightInd w:val="0"/>
              <w:ind w:right="-59"/>
              <w:rPr>
                <w:sz w:val="16"/>
                <w:szCs w:val="16"/>
              </w:rPr>
            </w:pPr>
            <w:r w:rsidRPr="003C527B">
              <w:rPr>
                <w:sz w:val="16"/>
                <w:szCs w:val="16"/>
                <w:lang w:eastAsia="zh-CN"/>
              </w:rPr>
              <w:t xml:space="preserve">WIPO is unable to keep pace with changing trends and technological developments, and therefore loses visibility and influence in the digital communications environment. </w:t>
            </w:r>
          </w:p>
        </w:tc>
        <w:tc>
          <w:tcPr>
            <w:tcW w:w="2200" w:type="dxa"/>
            <w:shd w:val="clear" w:color="auto" w:fill="auto"/>
            <w:tcMar>
              <w:top w:w="113" w:type="dxa"/>
              <w:bottom w:w="85" w:type="dxa"/>
            </w:tcMar>
          </w:tcPr>
          <w:p w:rsidR="00F838C5" w:rsidRPr="003C527B" w:rsidRDefault="00F838C5" w:rsidP="001363EE">
            <w:pPr>
              <w:keepNext/>
              <w:keepLines/>
              <w:autoSpaceDE w:val="0"/>
              <w:autoSpaceDN w:val="0"/>
              <w:adjustRightInd w:val="0"/>
              <w:ind w:right="-59"/>
              <w:rPr>
                <w:sz w:val="16"/>
                <w:szCs w:val="16"/>
              </w:rPr>
            </w:pPr>
            <w:r w:rsidRPr="003C527B">
              <w:rPr>
                <w:sz w:val="16"/>
                <w:szCs w:val="16"/>
                <w:lang w:eastAsia="zh-CN"/>
              </w:rPr>
              <w:t>Program staff are encouraged to continually acquire new skills and update their knowledge through training and self-learning; Flexible structures enable sharing of new knowledge and skills; External resources and partnerships are being used to extend the in-house capacity.</w:t>
            </w:r>
          </w:p>
        </w:tc>
        <w:tc>
          <w:tcPr>
            <w:tcW w:w="2310" w:type="dxa"/>
          </w:tcPr>
          <w:p w:rsidR="00F838C5" w:rsidRPr="003C527B" w:rsidRDefault="00F838C5" w:rsidP="001363EE">
            <w:pPr>
              <w:keepNext/>
              <w:keepLines/>
              <w:autoSpaceDE w:val="0"/>
              <w:autoSpaceDN w:val="0"/>
              <w:adjustRightInd w:val="0"/>
              <w:ind w:right="-59"/>
              <w:rPr>
                <w:sz w:val="16"/>
                <w:szCs w:val="16"/>
                <w:lang w:eastAsia="zh-CN"/>
              </w:rPr>
            </w:pPr>
            <w:r>
              <w:rPr>
                <w:sz w:val="16"/>
                <w:szCs w:val="16"/>
                <w:lang w:eastAsia="zh-CN"/>
              </w:rPr>
              <w:t xml:space="preserve">Mitigation strategies were implemented effectively. Digital skills training included web usability, web content writing, social media, web analytics, HTML.  New technology introduced to equip WIPO with high performance e-newsletter communications and marketing platform. Also, the re-profiling of print-based and clerical functions to digital-focused communications activities contributed to strengthened capacity. </w:t>
            </w:r>
          </w:p>
        </w:tc>
        <w:tc>
          <w:tcPr>
            <w:tcW w:w="2426" w:type="dxa"/>
          </w:tcPr>
          <w:p w:rsidR="00F838C5" w:rsidRPr="003C527B" w:rsidRDefault="00F838C5" w:rsidP="001363EE">
            <w:pPr>
              <w:keepNext/>
              <w:keepLines/>
              <w:autoSpaceDE w:val="0"/>
              <w:autoSpaceDN w:val="0"/>
              <w:adjustRightInd w:val="0"/>
              <w:ind w:right="-59"/>
              <w:rPr>
                <w:sz w:val="16"/>
                <w:szCs w:val="16"/>
                <w:lang w:eastAsia="zh-CN"/>
              </w:rPr>
            </w:pPr>
            <w:r>
              <w:rPr>
                <w:sz w:val="16"/>
                <w:szCs w:val="16"/>
                <w:lang w:eastAsia="zh-CN"/>
              </w:rPr>
              <w:t>No major impact on program performance except in the area of web analytics where the delayed implementation of new tools undermined the Program’s ability to measure certain key performance indicators.</w:t>
            </w:r>
          </w:p>
        </w:tc>
      </w:tr>
    </w:tbl>
    <w:p w:rsidR="00F838C5" w:rsidRDefault="00F838C5" w:rsidP="001363EE"/>
    <w:p w:rsidR="00F838C5" w:rsidRDefault="00F838C5" w:rsidP="001363EE">
      <w:pPr>
        <w:jc w:val="both"/>
        <w:rPr>
          <w:rFonts w:cs="Arial"/>
          <w:color w:val="000000"/>
          <w:sz w:val="22"/>
          <w:szCs w:val="22"/>
        </w:rPr>
      </w:pPr>
    </w:p>
    <w:p w:rsidR="00F838C5" w:rsidRPr="00263286" w:rsidRDefault="00F838C5" w:rsidP="001363EE">
      <w:pPr>
        <w:jc w:val="both"/>
        <w:rPr>
          <w:b/>
          <w:sz w:val="16"/>
          <w:szCs w:val="18"/>
        </w:rPr>
      </w:pPr>
      <w:r w:rsidRPr="00263286">
        <w:rPr>
          <w:rFonts w:cs="Arial"/>
          <w:color w:val="000000"/>
          <w:szCs w:val="22"/>
        </w:rPr>
        <w:t>RESOURCE UTILIZATION</w:t>
      </w:r>
    </w:p>
    <w:p w:rsidR="00F838C5" w:rsidRPr="008F4A6D" w:rsidRDefault="00F838C5" w:rsidP="001363EE">
      <w:pPr>
        <w:jc w:val="both"/>
        <w:rPr>
          <w:szCs w:val="20"/>
        </w:rPr>
      </w:pPr>
    </w:p>
    <w:p w:rsidR="00F838C5" w:rsidRPr="00383D2D" w:rsidRDefault="00F838C5" w:rsidP="001363EE">
      <w:pPr>
        <w:pStyle w:val="NormalWeb"/>
        <w:spacing w:before="0" w:beforeAutospacing="0" w:after="0" w:afterAutospacing="0"/>
        <w:jc w:val="center"/>
        <w:rPr>
          <w:sz w:val="20"/>
          <w:szCs w:val="20"/>
        </w:rPr>
      </w:pPr>
      <w:r w:rsidRPr="00383D2D">
        <w:rPr>
          <w:color w:val="000000"/>
          <w:sz w:val="20"/>
          <w:szCs w:val="20"/>
        </w:rPr>
        <w:t>Budget and Actual Expenditure (by result)</w:t>
      </w:r>
    </w:p>
    <w:p w:rsidR="00F838C5" w:rsidRDefault="00F838C5" w:rsidP="001363EE">
      <w:pPr>
        <w:pStyle w:val="NormalWeb"/>
        <w:spacing w:before="0" w:beforeAutospacing="0" w:after="0" w:afterAutospacing="0"/>
        <w:jc w:val="center"/>
        <w:rPr>
          <w:i/>
          <w:iCs/>
          <w:color w:val="000000"/>
          <w:sz w:val="20"/>
          <w:szCs w:val="20"/>
        </w:rPr>
      </w:pPr>
      <w:r w:rsidRPr="00383D2D">
        <w:rPr>
          <w:i/>
          <w:iCs/>
          <w:color w:val="000000"/>
          <w:sz w:val="20"/>
          <w:szCs w:val="20"/>
        </w:rPr>
        <w:t>(in thousands of Swiss francs)</w:t>
      </w:r>
    </w:p>
    <w:p w:rsidR="00F838C5" w:rsidRDefault="00F838C5" w:rsidP="001363EE">
      <w:pPr>
        <w:pStyle w:val="NormalWeb"/>
        <w:spacing w:before="0" w:beforeAutospacing="0" w:after="0" w:afterAutospacing="0"/>
        <w:jc w:val="center"/>
        <w:rPr>
          <w:i/>
          <w:iCs/>
          <w:color w:val="000000"/>
          <w:sz w:val="20"/>
          <w:szCs w:val="20"/>
        </w:rPr>
      </w:pPr>
    </w:p>
    <w:p w:rsidR="00F838C5" w:rsidRPr="00383D2D" w:rsidRDefault="00F838C5" w:rsidP="001363EE">
      <w:pPr>
        <w:pStyle w:val="NormalWeb"/>
        <w:spacing w:before="0" w:beforeAutospacing="0" w:after="0" w:afterAutospacing="0"/>
        <w:jc w:val="center"/>
        <w:rPr>
          <w:sz w:val="20"/>
          <w:szCs w:val="20"/>
        </w:rPr>
      </w:pPr>
      <w:r w:rsidRPr="00C2682F">
        <w:rPr>
          <w:noProof/>
        </w:rPr>
        <w:drawing>
          <wp:inline distT="0" distB="0" distL="0" distR="0" wp14:anchorId="4DA7119A" wp14:editId="1D5B28F3">
            <wp:extent cx="4972050" cy="1160967"/>
            <wp:effectExtent l="0" t="0" r="0" b="1270"/>
            <wp:docPr id="135"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7">
                      <a:extLst>
                        <a:ext uri="{28A0092B-C50C-407E-A947-70E740481C1C}">
                          <a14:useLocalDpi xmlns:a14="http://schemas.microsoft.com/office/drawing/2010/main" val="0"/>
                        </a:ext>
                      </a:extLst>
                    </a:blip>
                    <a:srcRect/>
                    <a:stretch>
                      <a:fillRect/>
                    </a:stretch>
                  </pic:blipFill>
                  <pic:spPr bwMode="auto">
                    <a:xfrm>
                      <a:off x="0" y="0"/>
                      <a:ext cx="4981453" cy="1163163"/>
                    </a:xfrm>
                    <a:prstGeom prst="rect">
                      <a:avLst/>
                    </a:prstGeom>
                    <a:noFill/>
                    <a:ln>
                      <a:noFill/>
                    </a:ln>
                  </pic:spPr>
                </pic:pic>
              </a:graphicData>
            </a:graphic>
          </wp:inline>
        </w:drawing>
      </w:r>
    </w:p>
    <w:p w:rsidR="00F838C5" w:rsidRDefault="00F838C5" w:rsidP="001363EE">
      <w:pPr>
        <w:jc w:val="center"/>
      </w:pPr>
    </w:p>
    <w:p w:rsidR="00F838C5" w:rsidRDefault="00F838C5" w:rsidP="001363EE">
      <w:pPr>
        <w:jc w:val="both"/>
      </w:pPr>
    </w:p>
    <w:p w:rsidR="00F838C5" w:rsidRPr="00383D2D" w:rsidRDefault="00F838C5" w:rsidP="001363EE">
      <w:pPr>
        <w:pStyle w:val="NormalWeb"/>
        <w:keepNext/>
        <w:keepLines/>
        <w:spacing w:before="0" w:beforeAutospacing="0" w:after="0" w:afterAutospacing="0"/>
        <w:jc w:val="center"/>
        <w:rPr>
          <w:sz w:val="20"/>
          <w:szCs w:val="20"/>
        </w:rPr>
      </w:pPr>
      <w:r w:rsidRPr="00383D2D">
        <w:rPr>
          <w:color w:val="000000"/>
          <w:sz w:val="20"/>
          <w:szCs w:val="20"/>
        </w:rPr>
        <w:lastRenderedPageBreak/>
        <w:t>Budget and Actual Expenditure (personnel and non-personnel)</w:t>
      </w:r>
    </w:p>
    <w:p w:rsidR="00F838C5" w:rsidRDefault="00F838C5" w:rsidP="001363EE">
      <w:pPr>
        <w:pStyle w:val="NormalWeb"/>
        <w:keepNext/>
        <w:keepLines/>
        <w:spacing w:before="0" w:beforeAutospacing="0" w:after="0" w:afterAutospacing="0"/>
        <w:jc w:val="center"/>
        <w:rPr>
          <w:i/>
          <w:iCs/>
          <w:color w:val="000000"/>
          <w:sz w:val="20"/>
          <w:szCs w:val="20"/>
        </w:rPr>
      </w:pPr>
      <w:r w:rsidRPr="00383D2D">
        <w:rPr>
          <w:i/>
          <w:iCs/>
          <w:color w:val="000000"/>
          <w:sz w:val="20"/>
          <w:szCs w:val="20"/>
        </w:rPr>
        <w:t>(in thousands of Swiss francs)</w:t>
      </w:r>
    </w:p>
    <w:p w:rsidR="00F838C5" w:rsidRDefault="00F838C5" w:rsidP="001363EE">
      <w:pPr>
        <w:pStyle w:val="NormalWeb"/>
        <w:keepNext/>
        <w:keepLines/>
        <w:spacing w:before="0" w:beforeAutospacing="0" w:after="0" w:afterAutospacing="0"/>
        <w:jc w:val="center"/>
        <w:rPr>
          <w:i/>
          <w:iCs/>
          <w:color w:val="000000"/>
          <w:sz w:val="20"/>
          <w:szCs w:val="20"/>
        </w:rPr>
      </w:pPr>
    </w:p>
    <w:p w:rsidR="00F838C5" w:rsidRPr="00383D2D" w:rsidRDefault="00F838C5" w:rsidP="001363EE">
      <w:pPr>
        <w:pStyle w:val="NormalWeb"/>
        <w:keepNext/>
        <w:keepLines/>
        <w:spacing w:before="0" w:beforeAutospacing="0" w:after="0" w:afterAutospacing="0"/>
        <w:jc w:val="center"/>
        <w:rPr>
          <w:i/>
          <w:iCs/>
          <w:color w:val="000000"/>
          <w:sz w:val="20"/>
          <w:szCs w:val="20"/>
        </w:rPr>
      </w:pPr>
      <w:r w:rsidRPr="00085AEB">
        <w:rPr>
          <w:noProof/>
        </w:rPr>
        <w:drawing>
          <wp:inline distT="0" distB="0" distL="0" distR="0" wp14:anchorId="4D3EAA40" wp14:editId="78162706">
            <wp:extent cx="4981575" cy="960506"/>
            <wp:effectExtent l="0" t="0" r="0" b="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8">
                      <a:extLst>
                        <a:ext uri="{28A0092B-C50C-407E-A947-70E740481C1C}">
                          <a14:useLocalDpi xmlns:a14="http://schemas.microsoft.com/office/drawing/2010/main" val="0"/>
                        </a:ext>
                      </a:extLst>
                    </a:blip>
                    <a:srcRect/>
                    <a:stretch>
                      <a:fillRect/>
                    </a:stretch>
                  </pic:blipFill>
                  <pic:spPr bwMode="auto">
                    <a:xfrm>
                      <a:off x="0" y="0"/>
                      <a:ext cx="5038826" cy="971545"/>
                    </a:xfrm>
                    <a:prstGeom prst="rect">
                      <a:avLst/>
                    </a:prstGeom>
                    <a:noFill/>
                    <a:ln>
                      <a:noFill/>
                    </a:ln>
                  </pic:spPr>
                </pic:pic>
              </a:graphicData>
            </a:graphic>
          </wp:inline>
        </w:drawing>
      </w:r>
    </w:p>
    <w:p w:rsidR="00F838C5" w:rsidRDefault="00F838C5" w:rsidP="001363EE">
      <w:pPr>
        <w:pStyle w:val="NormalWeb"/>
        <w:keepNext/>
        <w:keepLines/>
        <w:spacing w:before="0" w:beforeAutospacing="0" w:after="0" w:afterAutospacing="0"/>
        <w:jc w:val="both"/>
      </w:pPr>
    </w:p>
    <w:p w:rsidR="00F838C5" w:rsidRPr="00FD7155" w:rsidRDefault="00F838C5" w:rsidP="001363EE">
      <w:pPr>
        <w:autoSpaceDE w:val="0"/>
        <w:autoSpaceDN w:val="0"/>
        <w:jc w:val="center"/>
        <w:rPr>
          <w:szCs w:val="16"/>
        </w:rPr>
      </w:pPr>
    </w:p>
    <w:p w:rsidR="00F838C5" w:rsidRPr="00FD7155" w:rsidRDefault="00F838C5" w:rsidP="001363EE">
      <w:pPr>
        <w:autoSpaceDE w:val="0"/>
        <w:autoSpaceDN w:val="0"/>
        <w:jc w:val="both"/>
        <w:rPr>
          <w:szCs w:val="16"/>
        </w:rPr>
      </w:pPr>
    </w:p>
    <w:p w:rsidR="00F838C5" w:rsidRDefault="00F838C5" w:rsidP="00F33ED1">
      <w:pPr>
        <w:tabs>
          <w:tab w:val="left" w:pos="709"/>
        </w:tabs>
        <w:jc w:val="both"/>
        <w:rPr>
          <w:u w:val="single"/>
        </w:rPr>
      </w:pPr>
      <w:r>
        <w:rPr>
          <w:rFonts w:cs="Arial"/>
          <w:szCs w:val="20"/>
          <w:lang w:eastAsia="ko-KR"/>
        </w:rPr>
        <w:t>A</w:t>
      </w:r>
      <w:r w:rsidRPr="00FB7274">
        <w:rPr>
          <w:rFonts w:cs="Arial"/>
          <w:szCs w:val="20"/>
          <w:lang w:eastAsia="ko-KR"/>
        </w:rPr>
        <w:t>.</w:t>
      </w:r>
      <w:r w:rsidRPr="00FB7274">
        <w:rPr>
          <w:rFonts w:cs="Arial"/>
          <w:szCs w:val="20"/>
          <w:lang w:eastAsia="ko-KR"/>
        </w:rPr>
        <w:tab/>
      </w:r>
      <w:r>
        <w:rPr>
          <w:u w:val="single"/>
        </w:rPr>
        <w:t xml:space="preserve">2014/15 Final Budget after Transfers </w:t>
      </w:r>
    </w:p>
    <w:p w:rsidR="00F838C5" w:rsidRPr="00263286" w:rsidRDefault="00F838C5" w:rsidP="001363EE">
      <w:pPr>
        <w:pStyle w:val="ListParagraph"/>
        <w:tabs>
          <w:tab w:val="left" w:pos="709"/>
        </w:tabs>
        <w:ind w:left="0"/>
        <w:jc w:val="both"/>
        <w:rPr>
          <w:rFonts w:cs="Arial"/>
        </w:rPr>
      </w:pPr>
    </w:p>
    <w:p w:rsidR="00F838C5" w:rsidRPr="00263286" w:rsidRDefault="00F838C5" w:rsidP="00F838C5">
      <w:pPr>
        <w:pStyle w:val="ListParagraph"/>
        <w:numPr>
          <w:ilvl w:val="0"/>
          <w:numId w:val="63"/>
        </w:numPr>
        <w:tabs>
          <w:tab w:val="left" w:pos="709"/>
        </w:tabs>
        <w:ind w:left="0" w:firstLine="0"/>
        <w:jc w:val="both"/>
        <w:rPr>
          <w:rFonts w:cs="Arial"/>
        </w:rPr>
      </w:pPr>
      <w:r w:rsidRPr="00263286">
        <w:rPr>
          <w:rFonts w:cs="Arial"/>
        </w:rPr>
        <w:t>The decrease in the 2014/15 Final Budget after Transfers was mainly d</w:t>
      </w:r>
      <w:r>
        <w:rPr>
          <w:rFonts w:cs="Arial"/>
        </w:rPr>
        <w:t xml:space="preserve">ue to:  (i) the transfer of the </w:t>
      </w:r>
      <w:r w:rsidRPr="00263286">
        <w:rPr>
          <w:rFonts w:cs="Arial"/>
        </w:rPr>
        <w:t xml:space="preserve">WIPO Information Center to Program 21 (Executive Management) in the second half of 2014;  (ii) the transfer of personnel resources to support the increased workload in the Hague Registry following the accession of additional countries to the </w:t>
      </w:r>
      <w:r w:rsidRPr="00AA14AE">
        <w:rPr>
          <w:rFonts w:cs="Arial"/>
        </w:rPr>
        <w:t>Geneva (1999) Act of the Hague Agreement</w:t>
      </w:r>
      <w:r w:rsidRPr="00263286">
        <w:rPr>
          <w:rFonts w:cs="Arial"/>
        </w:rPr>
        <w:t>;  and (iii) the transfer of non</w:t>
      </w:r>
      <w:r>
        <w:rPr>
          <w:rFonts w:cs="Arial"/>
        </w:rPr>
        <w:noBreakHyphen/>
      </w:r>
      <w:r w:rsidRPr="00263286">
        <w:rPr>
          <w:rFonts w:cs="Arial"/>
        </w:rPr>
        <w:t>personnel resources for an intern (to Program 23 which centrally manages interns) to support the work of the WIPO Magazine and to assist in the preparations for World IP Day 2015.</w:t>
      </w:r>
    </w:p>
    <w:p w:rsidR="00F838C5" w:rsidRDefault="00F838C5" w:rsidP="001363EE">
      <w:pPr>
        <w:jc w:val="both"/>
        <w:rPr>
          <w:u w:val="single"/>
        </w:rPr>
      </w:pPr>
    </w:p>
    <w:p w:rsidR="00F838C5" w:rsidRDefault="00F838C5" w:rsidP="00F33ED1">
      <w:pPr>
        <w:tabs>
          <w:tab w:val="left" w:pos="709"/>
        </w:tabs>
        <w:jc w:val="both"/>
        <w:rPr>
          <w:u w:val="single"/>
        </w:rPr>
      </w:pPr>
      <w:r w:rsidRPr="00FB7274">
        <w:rPr>
          <w:rFonts w:cs="Arial"/>
          <w:szCs w:val="20"/>
          <w:lang w:eastAsia="ko-KR"/>
        </w:rPr>
        <w:t>B.</w:t>
      </w:r>
      <w:r w:rsidRPr="00FB7274">
        <w:rPr>
          <w:rFonts w:cs="Arial"/>
          <w:szCs w:val="20"/>
          <w:lang w:eastAsia="ko-KR"/>
        </w:rPr>
        <w:tab/>
      </w:r>
      <w:r>
        <w:rPr>
          <w:u w:val="single"/>
        </w:rPr>
        <w:t xml:space="preserve">2014/15 Budget Utilization </w:t>
      </w:r>
    </w:p>
    <w:p w:rsidR="00F838C5" w:rsidRPr="00263286" w:rsidRDefault="00F838C5" w:rsidP="001363EE">
      <w:pPr>
        <w:pStyle w:val="ListParagraph"/>
        <w:tabs>
          <w:tab w:val="left" w:pos="709"/>
        </w:tabs>
        <w:ind w:left="0"/>
        <w:jc w:val="both"/>
        <w:rPr>
          <w:rFonts w:cs="Arial"/>
        </w:rPr>
      </w:pPr>
    </w:p>
    <w:p w:rsidR="00F838C5" w:rsidRDefault="00F838C5" w:rsidP="00F838C5">
      <w:pPr>
        <w:pStyle w:val="ListParagraph"/>
        <w:numPr>
          <w:ilvl w:val="0"/>
          <w:numId w:val="63"/>
        </w:numPr>
        <w:tabs>
          <w:tab w:val="left" w:pos="709"/>
        </w:tabs>
        <w:ind w:left="0" w:firstLine="0"/>
        <w:jc w:val="both"/>
      </w:pPr>
      <w:r w:rsidRPr="00263286">
        <w:rPr>
          <w:rFonts w:cs="Arial"/>
        </w:rPr>
        <w:t>The slightly lower than budgeted personnel expenditure was primarily due to the retirement of staff and a subsequent delay in filling the vacated posts.  The lower than budgeted non-personnel expenditure was mainly due to the postponement of a customer feedback survey for the Hague System and the partial postponement of the implementation of two IT projects (PROdest contact database and ACD Call Distribution System) to the next biennium.</w:t>
      </w:r>
    </w:p>
    <w:p w:rsidR="008F2BDD" w:rsidRDefault="008F2BDD">
      <w:pPr>
        <w:rPr>
          <w:rFonts w:cs="Arial"/>
          <w:color w:val="000000"/>
          <w:sz w:val="22"/>
          <w:szCs w:val="22"/>
        </w:rPr>
      </w:pPr>
    </w:p>
    <w:p w:rsidR="008F2BDD" w:rsidRDefault="008F2BDD">
      <w:pPr>
        <w:rPr>
          <w:rFonts w:cs="Arial"/>
          <w:color w:val="000000"/>
          <w:sz w:val="22"/>
          <w:szCs w:val="22"/>
        </w:rPr>
      </w:pPr>
    </w:p>
    <w:p w:rsidR="005C6F8E" w:rsidRDefault="005C6F8E"/>
    <w:p w:rsidR="00D97F1C" w:rsidRDefault="00D97F1C">
      <w:r>
        <w:br w:type="page"/>
      </w:r>
    </w:p>
    <w:p w:rsidR="00D97F1C" w:rsidRPr="008B4DFF" w:rsidRDefault="00D97F1C" w:rsidP="008B4DFF">
      <w:pPr>
        <w:pStyle w:val="Heading2"/>
        <w:tabs>
          <w:tab w:val="clear" w:pos="567"/>
          <w:tab w:val="left" w:pos="1985"/>
        </w:tabs>
        <w:ind w:left="1985" w:hanging="1985"/>
        <w:jc w:val="both"/>
      </w:pPr>
      <w:bookmarkStart w:id="101" w:name="_Toc454544493"/>
      <w:r w:rsidRPr="00106EBF">
        <w:lastRenderedPageBreak/>
        <w:t>PROGRAM 20</w:t>
      </w:r>
      <w:r w:rsidRPr="00106EBF">
        <w:tab/>
        <w:t>EXTERNAL RELATIONS, PARTNERSHIPS AND EXTERNAL OFFICES</w:t>
      </w:r>
      <w:bookmarkEnd w:id="101"/>
    </w:p>
    <w:p w:rsidR="00D97F1C" w:rsidRPr="00106EBF" w:rsidRDefault="00D97F1C" w:rsidP="00D97F1C">
      <w:pPr>
        <w:ind w:left="1985" w:hanging="1985"/>
        <w:rPr>
          <w:szCs w:val="20"/>
        </w:rPr>
      </w:pPr>
    </w:p>
    <w:p w:rsidR="00805A5E" w:rsidRPr="00106EBF" w:rsidRDefault="00805A5E" w:rsidP="00547ACE">
      <w:pPr>
        <w:ind w:left="1985" w:hanging="1985"/>
        <w:rPr>
          <w:szCs w:val="20"/>
        </w:rPr>
      </w:pPr>
    </w:p>
    <w:p w:rsidR="00805A5E" w:rsidRDefault="00805A5E" w:rsidP="00547ACE">
      <w:pPr>
        <w:ind w:left="1985" w:hanging="1985"/>
        <w:rPr>
          <w:b/>
        </w:rPr>
      </w:pPr>
      <w:r w:rsidRPr="005B48CA">
        <w:rPr>
          <w:b/>
        </w:rPr>
        <w:t>Program Manager</w:t>
      </w:r>
      <w:r>
        <w:rPr>
          <w:b/>
        </w:rPr>
        <w:t>s</w:t>
      </w:r>
      <w:r w:rsidRPr="005B48CA">
        <w:rPr>
          <w:b/>
        </w:rPr>
        <w:tab/>
      </w:r>
      <w:r>
        <w:rPr>
          <w:b/>
        </w:rPr>
        <w:t>Director General</w:t>
      </w:r>
    </w:p>
    <w:p w:rsidR="00805A5E" w:rsidRDefault="00805A5E" w:rsidP="00547ACE">
      <w:pPr>
        <w:ind w:left="1985"/>
        <w:rPr>
          <w:b/>
        </w:rPr>
      </w:pPr>
      <w:r>
        <w:rPr>
          <w:b/>
        </w:rPr>
        <w:t xml:space="preserve">Mr. </w:t>
      </w:r>
      <w:r w:rsidRPr="005B48CA">
        <w:rPr>
          <w:b/>
        </w:rPr>
        <w:t>M.</w:t>
      </w:r>
      <w:r>
        <w:rPr>
          <w:b/>
        </w:rPr>
        <w:t xml:space="preserve"> </w:t>
      </w:r>
      <w:r w:rsidRPr="005B48CA">
        <w:rPr>
          <w:b/>
        </w:rPr>
        <w:t>A. Getahun</w:t>
      </w:r>
    </w:p>
    <w:p w:rsidR="00805A5E" w:rsidRDefault="00805A5E" w:rsidP="00547ACE">
      <w:pPr>
        <w:ind w:left="1985"/>
        <w:rPr>
          <w:b/>
        </w:rPr>
      </w:pPr>
      <w:r>
        <w:rPr>
          <w:b/>
        </w:rPr>
        <w:t>Mr. Y. Takagi</w:t>
      </w:r>
    </w:p>
    <w:p w:rsidR="00805A5E" w:rsidRPr="005B48CA" w:rsidRDefault="00805A5E" w:rsidP="00547ACE">
      <w:pPr>
        <w:ind w:left="1985"/>
        <w:rPr>
          <w:b/>
        </w:rPr>
      </w:pPr>
      <w:r>
        <w:rPr>
          <w:b/>
        </w:rPr>
        <w:t>Ms. B. Wang</w:t>
      </w:r>
    </w:p>
    <w:p w:rsidR="00805A5E" w:rsidRDefault="00805A5E" w:rsidP="00547ACE"/>
    <w:p w:rsidR="00805A5E" w:rsidRDefault="00805A5E" w:rsidP="00547ACE">
      <w:pPr>
        <w:jc w:val="both"/>
        <w:rPr>
          <w:bCs/>
        </w:rPr>
      </w:pPr>
      <w:r>
        <w:rPr>
          <w:bCs/>
        </w:rPr>
        <w:t>ACHIEVEMENTS IN THE 2014/15 BIENNIUM</w:t>
      </w:r>
    </w:p>
    <w:p w:rsidR="00805A5E" w:rsidRDefault="00805A5E" w:rsidP="00547ACE">
      <w:pPr>
        <w:jc w:val="both"/>
        <w:rPr>
          <w:bCs/>
        </w:rPr>
      </w:pPr>
    </w:p>
    <w:p w:rsidR="00805A5E" w:rsidRDefault="00805A5E" w:rsidP="00547ACE">
      <w:pPr>
        <w:jc w:val="both"/>
        <w:rPr>
          <w:szCs w:val="20"/>
        </w:rPr>
      </w:pPr>
    </w:p>
    <w:p w:rsidR="00805A5E" w:rsidRPr="00D41FF9" w:rsidRDefault="00805A5E" w:rsidP="00547ACE">
      <w:pPr>
        <w:spacing w:after="200" w:line="276" w:lineRule="auto"/>
        <w:jc w:val="both"/>
        <w:rPr>
          <w:rFonts w:cs="Arial"/>
          <w:color w:val="000000"/>
          <w:szCs w:val="20"/>
        </w:rPr>
      </w:pPr>
      <w:r w:rsidRPr="00D41FF9">
        <w:rPr>
          <w:rFonts w:cs="Arial"/>
          <w:color w:val="000000"/>
          <w:szCs w:val="20"/>
        </w:rPr>
        <w:t>EXTERNAL RELATIONS AND PARTNERSHIPS</w:t>
      </w:r>
      <w:r>
        <w:rPr>
          <w:rFonts w:cs="Arial"/>
          <w:color w:val="000000"/>
          <w:szCs w:val="20"/>
        </w:rPr>
        <w:t xml:space="preserve"> </w:t>
      </w:r>
      <w:r w:rsidRPr="00D66E46">
        <w:rPr>
          <w:rFonts w:cs="Arial"/>
          <w:color w:val="000000"/>
          <w:szCs w:val="20"/>
        </w:rPr>
        <w:t>(Mr. M.A. Getahun)</w:t>
      </w:r>
    </w:p>
    <w:p w:rsidR="00805A5E" w:rsidRPr="00FA06FC" w:rsidRDefault="00805A5E" w:rsidP="00743383">
      <w:pPr>
        <w:pStyle w:val="ListParagraph"/>
        <w:numPr>
          <w:ilvl w:val="0"/>
          <w:numId w:val="160"/>
        </w:numPr>
        <w:tabs>
          <w:tab w:val="left" w:pos="709"/>
        </w:tabs>
        <w:ind w:left="0" w:firstLine="0"/>
        <w:jc w:val="both"/>
      </w:pPr>
      <w:r w:rsidRPr="00491FB5">
        <w:rPr>
          <w:rFonts w:cs="Arial"/>
          <w:color w:val="000000"/>
        </w:rPr>
        <w:t xml:space="preserve">In the 2014/15 biennium, </w:t>
      </w:r>
      <w:r w:rsidRPr="00491FB5">
        <w:rPr>
          <w:rFonts w:cs="Arial"/>
        </w:rPr>
        <w:t>the UN and its Member States</w:t>
      </w:r>
      <w:r w:rsidRPr="00491FB5">
        <w:rPr>
          <w:rFonts w:cs="Arial"/>
          <w:color w:val="000000"/>
        </w:rPr>
        <w:t xml:space="preserve"> concluded</w:t>
      </w:r>
      <w:r w:rsidRPr="00491FB5">
        <w:rPr>
          <w:rFonts w:cs="Arial"/>
          <w:bCs/>
        </w:rPr>
        <w:t xml:space="preserve"> a number of major negotiating processes of relevance to WIPO’s work.</w:t>
      </w:r>
      <w:r w:rsidRPr="00491FB5">
        <w:rPr>
          <w:rFonts w:cs="Arial"/>
          <w:color w:val="000000"/>
        </w:rPr>
        <w:t xml:space="preserve">  These included </w:t>
      </w:r>
      <w:r w:rsidRPr="00491FB5">
        <w:rPr>
          <w:rFonts w:cs="Arial"/>
        </w:rPr>
        <w:t>the adoption</w:t>
      </w:r>
      <w:r w:rsidRPr="00491FB5">
        <w:rPr>
          <w:rFonts w:cs="Arial"/>
          <w:color w:val="000000"/>
        </w:rPr>
        <w:t xml:space="preserve"> of the Addis Ababa Action Agenda (AAAA) during the Third International Conference on Financing for Development Conference (FFD3); </w:t>
      </w:r>
      <w:r>
        <w:rPr>
          <w:rFonts w:cs="Arial"/>
          <w:color w:val="000000"/>
        </w:rPr>
        <w:t xml:space="preserve"> </w:t>
      </w:r>
      <w:r w:rsidRPr="00491FB5">
        <w:rPr>
          <w:rFonts w:cs="Arial"/>
          <w:color w:val="000000"/>
        </w:rPr>
        <w:t xml:space="preserve">the adoption of </w:t>
      </w:r>
      <w:r>
        <w:rPr>
          <w:rFonts w:cs="Arial"/>
          <w:color w:val="000000"/>
        </w:rPr>
        <w:t>Transforming Our World: the 2030 Agenda for Sustainable Development</w:t>
      </w:r>
      <w:r w:rsidRPr="00491FB5">
        <w:rPr>
          <w:rFonts w:cs="Arial"/>
          <w:color w:val="000000"/>
        </w:rPr>
        <w:t xml:space="preserve">; </w:t>
      </w:r>
      <w:r>
        <w:rPr>
          <w:rFonts w:cs="Arial"/>
          <w:color w:val="000000"/>
        </w:rPr>
        <w:t xml:space="preserve"> </w:t>
      </w:r>
      <w:r w:rsidRPr="00491FB5">
        <w:rPr>
          <w:rFonts w:cs="Arial"/>
          <w:color w:val="000000"/>
        </w:rPr>
        <w:t xml:space="preserve">and the adoption of the Paris Agreement </w:t>
      </w:r>
      <w:r w:rsidRPr="00491FB5">
        <w:rPr>
          <w:rFonts w:cs="Arial"/>
          <w:bCs/>
        </w:rPr>
        <w:t>under the framework of the UN Framework Convention on Climate Change (UNFCCC)</w:t>
      </w:r>
      <w:r w:rsidRPr="00491FB5">
        <w:rPr>
          <w:rFonts w:cs="Arial"/>
          <w:color w:val="000000"/>
        </w:rPr>
        <w:t>.</w:t>
      </w:r>
      <w:r w:rsidRPr="00491FB5">
        <w:rPr>
          <w:rFonts w:cs="Arial"/>
          <w:bCs/>
        </w:rPr>
        <w:t xml:space="preserve">  </w:t>
      </w:r>
      <w:r w:rsidRPr="00EE3ECC">
        <w:rPr>
          <w:rFonts w:cs="Arial"/>
          <w:color w:val="000000"/>
        </w:rPr>
        <w:t>As a specialized agency of the UN, and in line with its mandate and with WIPO DA Recommendations 30 and 40, WIPO continued to play its role in supporting these processes through its strategic engagement</w:t>
      </w:r>
      <w:r>
        <w:rPr>
          <w:rFonts w:cs="Arial"/>
          <w:color w:val="000000"/>
        </w:rPr>
        <w:t xml:space="preserve"> and </w:t>
      </w:r>
      <w:r>
        <w:rPr>
          <w:rFonts w:cs="Arial"/>
        </w:rPr>
        <w:t>the provision of</w:t>
      </w:r>
      <w:r w:rsidRPr="00491FB5">
        <w:rPr>
          <w:rFonts w:cs="Arial"/>
          <w:color w:val="000000"/>
        </w:rPr>
        <w:t xml:space="preserve"> balanced and </w:t>
      </w:r>
      <w:r>
        <w:rPr>
          <w:rFonts w:cs="Arial"/>
          <w:color w:val="000000"/>
        </w:rPr>
        <w:t>evidence</w:t>
      </w:r>
      <w:r w:rsidRPr="00491FB5">
        <w:rPr>
          <w:rFonts w:cs="Arial"/>
          <w:color w:val="000000"/>
        </w:rPr>
        <w:t>-based information</w:t>
      </w:r>
      <w:r>
        <w:rPr>
          <w:rFonts w:cs="Arial"/>
        </w:rPr>
        <w:t xml:space="preserve"> and</w:t>
      </w:r>
      <w:r w:rsidRPr="00491FB5">
        <w:rPr>
          <w:rFonts w:cs="Arial"/>
        </w:rPr>
        <w:t xml:space="preserve"> timely responses to specific requests for contributions and cooperation</w:t>
      </w:r>
      <w:r w:rsidRPr="00EE3ECC">
        <w:rPr>
          <w:rFonts w:cs="Arial"/>
          <w:color w:val="000000"/>
        </w:rPr>
        <w:t xml:space="preserve">.  </w:t>
      </w:r>
      <w:r w:rsidRPr="00D67744">
        <w:rPr>
          <w:rFonts w:cs="Arial"/>
          <w:color w:val="000000"/>
        </w:rPr>
        <w:t xml:space="preserve">In 2014/15, Program 20, including through the WIPO </w:t>
      </w:r>
      <w:r>
        <w:rPr>
          <w:rFonts w:cs="Arial"/>
          <w:color w:val="000000"/>
        </w:rPr>
        <w:t xml:space="preserve">Coordination </w:t>
      </w:r>
      <w:r w:rsidRPr="00D67744">
        <w:rPr>
          <w:rFonts w:cs="Arial"/>
          <w:color w:val="000000"/>
        </w:rPr>
        <w:t>Office</w:t>
      </w:r>
      <w:r w:rsidR="00AC5CD9">
        <w:rPr>
          <w:rFonts w:cs="Arial"/>
          <w:color w:val="000000"/>
        </w:rPr>
        <w:t xml:space="preserve"> to the UN in</w:t>
      </w:r>
      <w:r w:rsidR="00AC5CD9" w:rsidRPr="00AC5CD9">
        <w:rPr>
          <w:rFonts w:cs="Arial"/>
          <w:color w:val="000000"/>
        </w:rPr>
        <w:t xml:space="preserve"> </w:t>
      </w:r>
      <w:r w:rsidR="00AC5CD9" w:rsidRPr="00D67744">
        <w:rPr>
          <w:rFonts w:cs="Arial"/>
          <w:color w:val="000000"/>
        </w:rPr>
        <w:t>New York</w:t>
      </w:r>
      <w:r w:rsidRPr="00D67744">
        <w:rPr>
          <w:rFonts w:cs="Arial"/>
          <w:color w:val="000000"/>
        </w:rPr>
        <w:t xml:space="preserve">, </w:t>
      </w:r>
      <w:r w:rsidRPr="003E4E0F">
        <w:rPr>
          <w:rFonts w:cs="Arial"/>
          <w:color w:val="000000"/>
        </w:rPr>
        <w:t xml:space="preserve">engaged, </w:t>
      </w:r>
      <w:r w:rsidRPr="00B544BA">
        <w:rPr>
          <w:rFonts w:cs="Arial"/>
          <w:i/>
          <w:color w:val="000000"/>
        </w:rPr>
        <w:t>inter alia</w:t>
      </w:r>
      <w:r w:rsidRPr="00FA06FC">
        <w:rPr>
          <w:rFonts w:cs="Arial"/>
          <w:color w:val="000000"/>
        </w:rPr>
        <w:t>, in the following processes:</w:t>
      </w:r>
    </w:p>
    <w:p w:rsidR="00805A5E" w:rsidRPr="003E4E0F" w:rsidRDefault="00805A5E" w:rsidP="00547ACE">
      <w:pPr>
        <w:pStyle w:val="ListParagraph"/>
        <w:ind w:left="0"/>
        <w:jc w:val="both"/>
        <w:rPr>
          <w:rFonts w:cs="Arial"/>
        </w:rPr>
      </w:pPr>
    </w:p>
    <w:p w:rsidR="00805A5E" w:rsidRPr="00E37059" w:rsidRDefault="00805A5E" w:rsidP="00E37059">
      <w:pPr>
        <w:pStyle w:val="ListParagraph"/>
        <w:numPr>
          <w:ilvl w:val="0"/>
          <w:numId w:val="163"/>
        </w:numPr>
        <w:ind w:left="720"/>
        <w:jc w:val="both"/>
        <w:rPr>
          <w:rFonts w:cs="Arial"/>
        </w:rPr>
      </w:pPr>
      <w:r w:rsidRPr="003E4E0F">
        <w:rPr>
          <w:rFonts w:cs="Arial"/>
        </w:rPr>
        <w:t>Contributions to the implementation of the outcomes of the World Summit on the Information Society (WSIS) and the 10-year review of the implementation of the outcomes of WSIS in response to the Economic and Social Council (ECOSOC) resolution 2013/9, and in support of DA Recommendation 24</w:t>
      </w:r>
      <w:r w:rsidRPr="00063528">
        <w:rPr>
          <w:rFonts w:cs="Arial"/>
        </w:rPr>
        <w:t>.</w:t>
      </w:r>
      <w:r w:rsidRPr="003E4E0F">
        <w:rPr>
          <w:rFonts w:cs="Arial"/>
        </w:rPr>
        <w:t xml:space="preserve"> </w:t>
      </w:r>
      <w:r w:rsidRPr="00B544BA">
        <w:rPr>
          <w:rFonts w:cs="Arial"/>
        </w:rPr>
        <w:t xml:space="preserve">WIPO was </w:t>
      </w:r>
      <w:r w:rsidRPr="00063528">
        <w:rPr>
          <w:rFonts w:cs="Arial"/>
        </w:rPr>
        <w:t xml:space="preserve">also </w:t>
      </w:r>
      <w:r w:rsidRPr="003E4E0F">
        <w:rPr>
          <w:rFonts w:cs="Arial"/>
        </w:rPr>
        <w:t>actively engaged in the WSIS+10 High Level events in bo</w:t>
      </w:r>
      <w:r w:rsidRPr="00B544BA">
        <w:rPr>
          <w:rFonts w:cs="Arial"/>
        </w:rPr>
        <w:t>th</w:t>
      </w:r>
      <w:r w:rsidR="00AC5CD9">
        <w:rPr>
          <w:rFonts w:cs="Arial"/>
        </w:rPr>
        <w:t> </w:t>
      </w:r>
      <w:r w:rsidRPr="00B544BA">
        <w:rPr>
          <w:rFonts w:cs="Arial"/>
        </w:rPr>
        <w:t>2014 and 2015</w:t>
      </w:r>
      <w:r w:rsidRPr="00FA06FC">
        <w:rPr>
          <w:rFonts w:cs="Arial"/>
        </w:rPr>
        <w:t xml:space="preserve">, </w:t>
      </w:r>
      <w:r w:rsidR="00AC5CD9">
        <w:rPr>
          <w:rFonts w:cs="Arial"/>
        </w:rPr>
        <w:t xml:space="preserve">where </w:t>
      </w:r>
      <w:r w:rsidRPr="00E37059">
        <w:rPr>
          <w:rFonts w:cs="Arial"/>
        </w:rPr>
        <w:t xml:space="preserve">the Director General addressed the Opening Sessions.  WIPO also engaged actively in the Internet Governance Forum (IGF) in 2014 by </w:t>
      </w:r>
      <w:r w:rsidRPr="003E4E0F">
        <w:t>co-organizing two workshops on</w:t>
      </w:r>
      <w:r w:rsidRPr="00AC5CD9">
        <w:rPr>
          <w:i/>
        </w:rPr>
        <w:t xml:space="preserve"> “The Business of Creativity”</w:t>
      </w:r>
      <w:r w:rsidRPr="003E4E0F">
        <w:t xml:space="preserve"> and on </w:t>
      </w:r>
      <w:r w:rsidRPr="00AC5CD9">
        <w:rPr>
          <w:i/>
        </w:rPr>
        <w:t>“Creating, Protecting, and Providing Access to Digital Culture”.</w:t>
      </w:r>
      <w:r w:rsidRPr="00E37059">
        <w:rPr>
          <w:rFonts w:cs="Arial"/>
        </w:rPr>
        <w:t xml:space="preserve">  In 2015, a WIPO Open Forum that examined </w:t>
      </w:r>
      <w:r w:rsidRPr="00FA06FC">
        <w:t xml:space="preserve">WIPO’s work and engagement with Creative Commons (CC) along with other Intergovernmental Organizations (IGOs) </w:t>
      </w:r>
      <w:r w:rsidRPr="00063528">
        <w:t xml:space="preserve">was also organized </w:t>
      </w:r>
      <w:r w:rsidRPr="003E4E0F">
        <w:t xml:space="preserve">to promote greater open access policies </w:t>
      </w:r>
      <w:r w:rsidRPr="00063528">
        <w:t>and</w:t>
      </w:r>
      <w:r w:rsidRPr="003E4E0F">
        <w:t xml:space="preserve"> to look at WIPO’s activities in the field of software development, including </w:t>
      </w:r>
      <w:r w:rsidRPr="00063528">
        <w:t>vis-à-vis</w:t>
      </w:r>
      <w:r w:rsidRPr="003E4E0F">
        <w:t xml:space="preserve"> Open Source and the Video Games Industry</w:t>
      </w:r>
      <w:r w:rsidRPr="00E37059">
        <w:rPr>
          <w:rFonts w:cs="Arial"/>
        </w:rPr>
        <w:t>;</w:t>
      </w:r>
    </w:p>
    <w:p w:rsidR="00805A5E" w:rsidRPr="00BE6C6B" w:rsidRDefault="00805A5E" w:rsidP="00547ACE">
      <w:pPr>
        <w:jc w:val="both"/>
        <w:rPr>
          <w:rFonts w:cs="Arial"/>
          <w:i/>
        </w:rPr>
      </w:pPr>
    </w:p>
    <w:p w:rsidR="00805A5E" w:rsidRPr="0004563B" w:rsidRDefault="00805A5E" w:rsidP="00805A5E">
      <w:pPr>
        <w:pStyle w:val="ListParagraph"/>
        <w:numPr>
          <w:ilvl w:val="0"/>
          <w:numId w:val="163"/>
        </w:numPr>
        <w:ind w:left="720"/>
        <w:jc w:val="both"/>
        <w:rPr>
          <w:rFonts w:cs="Arial"/>
          <w:i/>
        </w:rPr>
      </w:pPr>
      <w:r>
        <w:rPr>
          <w:rFonts w:cs="Arial"/>
        </w:rPr>
        <w:t xml:space="preserve">Contribution to </w:t>
      </w:r>
      <w:r w:rsidRPr="00491FB5">
        <w:rPr>
          <w:rFonts w:cs="Arial"/>
        </w:rPr>
        <w:t xml:space="preserve">the 2014 </w:t>
      </w:r>
      <w:r>
        <w:rPr>
          <w:rFonts w:cs="Arial"/>
        </w:rPr>
        <w:t xml:space="preserve">and 2015 </w:t>
      </w:r>
      <w:r w:rsidRPr="00491FB5">
        <w:rPr>
          <w:rFonts w:cs="Arial"/>
        </w:rPr>
        <w:t>MDG Gap Task Force Report</w:t>
      </w:r>
      <w:r>
        <w:rPr>
          <w:rFonts w:cs="Arial"/>
        </w:rPr>
        <w:t>s, where in line with DA Recommendation 22, WIPO worked with the WTO and WHO on the sections of the Report related to access to affordable and essential medicines;</w:t>
      </w:r>
    </w:p>
    <w:p w:rsidR="00805A5E" w:rsidRPr="0004563B" w:rsidRDefault="00805A5E" w:rsidP="00547ACE">
      <w:pPr>
        <w:pStyle w:val="ListParagraph"/>
        <w:ind w:left="1080"/>
        <w:rPr>
          <w:rFonts w:cs="Arial"/>
          <w:i/>
        </w:rPr>
      </w:pPr>
    </w:p>
    <w:p w:rsidR="00805A5E" w:rsidRPr="00BE6C6B" w:rsidRDefault="00805A5E" w:rsidP="00805A5E">
      <w:pPr>
        <w:pStyle w:val="ListParagraph"/>
        <w:numPr>
          <w:ilvl w:val="0"/>
          <w:numId w:val="163"/>
        </w:numPr>
        <w:ind w:left="720"/>
        <w:jc w:val="both"/>
        <w:rPr>
          <w:rFonts w:cs="Arial"/>
          <w:i/>
        </w:rPr>
      </w:pPr>
      <w:r>
        <w:t xml:space="preserve">WIPO </w:t>
      </w:r>
      <w:r w:rsidRPr="00B03ABB">
        <w:t xml:space="preserve">contributed nine partnerships to the </w:t>
      </w:r>
      <w:r>
        <w:t>Small Island Developing States (</w:t>
      </w:r>
      <w:r w:rsidRPr="00B03ABB">
        <w:t>SIDS</w:t>
      </w:r>
      <w:r>
        <w:t>)</w:t>
      </w:r>
      <w:r w:rsidRPr="00B03ABB">
        <w:t xml:space="preserve"> Action Platform, and participated in the Interagency Consultative Group working on implementation of the SAMOA Pathway outcome document.</w:t>
      </w:r>
      <w:r w:rsidRPr="00491FB5">
        <w:rPr>
          <w:rFonts w:cs="Arial"/>
        </w:rPr>
        <w:t xml:space="preserve"> </w:t>
      </w:r>
      <w:r>
        <w:rPr>
          <w:rFonts w:cs="Arial"/>
        </w:rPr>
        <w:t xml:space="preserve"> In the context of the Third International Conference on SIDS, Samoa, September 2014, WIPO organized a side event on Using the IP System for SIDS’ Sustainable Cultural and Economic Development;</w:t>
      </w:r>
    </w:p>
    <w:p w:rsidR="00805A5E" w:rsidRPr="0004563B" w:rsidRDefault="00805A5E" w:rsidP="00547ACE">
      <w:pPr>
        <w:pStyle w:val="ListParagraph"/>
        <w:ind w:left="1080"/>
        <w:rPr>
          <w:rFonts w:cs="Arial"/>
        </w:rPr>
      </w:pPr>
    </w:p>
    <w:p w:rsidR="00805A5E" w:rsidRPr="00BE6C6B" w:rsidRDefault="00805A5E" w:rsidP="00805A5E">
      <w:pPr>
        <w:pStyle w:val="ListParagraph"/>
        <w:numPr>
          <w:ilvl w:val="0"/>
          <w:numId w:val="163"/>
        </w:numPr>
        <w:ind w:left="720"/>
        <w:jc w:val="both"/>
        <w:rPr>
          <w:rFonts w:cs="Arial"/>
          <w:i/>
        </w:rPr>
      </w:pPr>
      <w:r>
        <w:rPr>
          <w:rFonts w:cs="Arial"/>
        </w:rPr>
        <w:t>Participation in t</w:t>
      </w:r>
      <w:r w:rsidRPr="00491FB5">
        <w:rPr>
          <w:rFonts w:cs="Arial"/>
        </w:rPr>
        <w:t xml:space="preserve">he Inter-Agency Task Team on Science, Technology and Innovation for the SDGs </w:t>
      </w:r>
      <w:r>
        <w:rPr>
          <w:rFonts w:cs="Arial"/>
        </w:rPr>
        <w:t xml:space="preserve">(IATT) </w:t>
      </w:r>
      <w:r w:rsidRPr="00491FB5">
        <w:rPr>
          <w:rFonts w:cs="Arial"/>
        </w:rPr>
        <w:t>as part of the Technology Facilitation Mechanism</w:t>
      </w:r>
      <w:r>
        <w:rPr>
          <w:rFonts w:cs="Arial"/>
        </w:rPr>
        <w:t xml:space="preserve"> (TFM), as well as the</w:t>
      </w:r>
      <w:r w:rsidRPr="00491FB5">
        <w:rPr>
          <w:rFonts w:cs="Arial"/>
        </w:rPr>
        <w:t xml:space="preserve"> Inter-Agency Expert Group on Indicators for the SDGs</w:t>
      </w:r>
      <w:r>
        <w:rPr>
          <w:rFonts w:cs="Arial"/>
        </w:rPr>
        <w:t xml:space="preserve">.  WIPO participated in particular in the IATT work streams for the organization of the Multi-Stakeholder Forum on Science, Technology and Innovation for the SDGs, and the mapping exercise for an Online Platform for Technology Facilitation as part of the TFM.  WIPO, together with UNCTAD and UNIDO, co-organized an event on Synergies </w:t>
      </w:r>
      <w:r w:rsidR="00AC5CD9">
        <w:rPr>
          <w:rFonts w:cs="Arial"/>
        </w:rPr>
        <w:t>a</w:t>
      </w:r>
      <w:r>
        <w:rPr>
          <w:rFonts w:cs="Arial"/>
        </w:rPr>
        <w:t>mong Industrialization, Innovation and Trade to Foster Sustainable Development, at the UN New York in May 2015.</w:t>
      </w:r>
      <w:r w:rsidRPr="001A5A8C">
        <w:rPr>
          <w:rFonts w:cs="Arial"/>
        </w:rPr>
        <w:t xml:space="preserve"> </w:t>
      </w:r>
      <w:r>
        <w:rPr>
          <w:rFonts w:cs="Arial"/>
        </w:rPr>
        <w:t xml:space="preserve"> Also in this context, WIPO in collaboration with the UN Department of Economic and Social Affairs organized a side event on The Transformative Role of Technology and Innovation in Development, at the UN New York in October 2015;</w:t>
      </w:r>
    </w:p>
    <w:p w:rsidR="00805A5E" w:rsidRPr="00E846E0" w:rsidRDefault="00805A5E" w:rsidP="00547ACE">
      <w:pPr>
        <w:pStyle w:val="ListParagraph"/>
        <w:rPr>
          <w:rFonts w:cs="Arial"/>
          <w:i/>
        </w:rPr>
      </w:pPr>
    </w:p>
    <w:p w:rsidR="00805A5E" w:rsidRDefault="00805A5E" w:rsidP="00805A5E">
      <w:pPr>
        <w:pStyle w:val="ListParagraph"/>
        <w:numPr>
          <w:ilvl w:val="0"/>
          <w:numId w:val="163"/>
        </w:numPr>
        <w:ind w:left="720"/>
        <w:jc w:val="both"/>
        <w:rPr>
          <w:rFonts w:cs="Arial"/>
        </w:rPr>
      </w:pPr>
      <w:r w:rsidRPr="00751E52">
        <w:rPr>
          <w:rFonts w:cs="Arial"/>
        </w:rPr>
        <w:t>Work on technology in the UN Framework Convention on Climate Change (UNFCCC), in particular the UNFCCC Technology Mechanism, the Technology Executive Committee (TEC) and the Climate Technology Center and Network (CTCN).  In this context, the Program</w:t>
      </w:r>
      <w:r>
        <w:rPr>
          <w:rFonts w:cs="Arial"/>
        </w:rPr>
        <w:t xml:space="preserve"> </w:t>
      </w:r>
      <w:r w:rsidRPr="00751E52">
        <w:rPr>
          <w:rFonts w:cs="Arial"/>
        </w:rPr>
        <w:t xml:space="preserve"> supported a </w:t>
      </w:r>
      <w:r w:rsidRPr="00751E52">
        <w:rPr>
          <w:rFonts w:cs="Arial"/>
        </w:rPr>
        <w:lastRenderedPageBreak/>
        <w:t>TEC Workshop on National Systems of Innovation presenting the Global Innovation Index at the UNFCCC June 2014 Sessions and co-organized a side event with the International Renewable Energy Agency (IRENA</w:t>
      </w:r>
      <w:r>
        <w:rPr>
          <w:rFonts w:cs="Arial"/>
        </w:rPr>
        <w:t xml:space="preserve">) in 2014. In 2015, the Program organized a </w:t>
      </w:r>
      <w:r w:rsidRPr="00C63B4C">
        <w:rPr>
          <w:rFonts w:cs="Arial"/>
        </w:rPr>
        <w:t xml:space="preserve">side event on </w:t>
      </w:r>
      <w:r w:rsidRPr="00C63B4C">
        <w:rPr>
          <w:rFonts w:cs="Arial"/>
          <w:i/>
        </w:rPr>
        <w:t>"Policies and Evidence to Support Climate Change Technology Transfer and Innovation"</w:t>
      </w:r>
      <w:r w:rsidRPr="00C63B4C">
        <w:rPr>
          <w:rFonts w:cs="Arial"/>
        </w:rPr>
        <w:t xml:space="preserve"> to launch the WIPO Global Challenges Report: </w:t>
      </w:r>
      <w:r w:rsidRPr="00C63B4C">
        <w:rPr>
          <w:rFonts w:cs="Arial"/>
          <w:i/>
        </w:rPr>
        <w:t>"Innovation and Diffusion of Green Technologies:  The Role of Intellectual Property and Other Enabling Factors"</w:t>
      </w:r>
      <w:r>
        <w:rPr>
          <w:rFonts w:cs="Arial"/>
          <w:i/>
        </w:rPr>
        <w:t xml:space="preserve"> </w:t>
      </w:r>
      <w:r>
        <w:rPr>
          <w:rFonts w:cs="Arial"/>
        </w:rPr>
        <w:t>during the UNFCCC June 2015 Sessions as well as an exhibition of Innovative Clean Technologies during COP 21 in Paris, December 2015;</w:t>
      </w:r>
    </w:p>
    <w:p w:rsidR="00805A5E" w:rsidRDefault="00805A5E" w:rsidP="00547ACE">
      <w:pPr>
        <w:jc w:val="both"/>
        <w:rPr>
          <w:rFonts w:cs="Arial"/>
        </w:rPr>
      </w:pPr>
    </w:p>
    <w:p w:rsidR="00805A5E" w:rsidRPr="00BE6C6B" w:rsidRDefault="00805A5E" w:rsidP="00805A5E">
      <w:pPr>
        <w:pStyle w:val="ListParagraph"/>
        <w:numPr>
          <w:ilvl w:val="0"/>
          <w:numId w:val="163"/>
        </w:numPr>
        <w:ind w:left="720"/>
        <w:jc w:val="both"/>
        <w:rPr>
          <w:rFonts w:cs="Arial"/>
        </w:rPr>
      </w:pPr>
      <w:r>
        <w:rPr>
          <w:rFonts w:cs="Arial"/>
        </w:rPr>
        <w:t xml:space="preserve">In the context of the UN Convention on the Rights of Persons with Disabilities, and the UN campaign “2015 – Time for Global Action, For People, For Planet”, WIPO in collaboration with the UN Department of Economic and Social Affairs, organized a panel event on </w:t>
      </w:r>
      <w:r w:rsidRPr="00063528">
        <w:rPr>
          <w:rFonts w:cs="Arial"/>
          <w:i/>
        </w:rPr>
        <w:t>Innovative Technologies:  Making the world of books accessible to people who are print disabled</w:t>
      </w:r>
      <w:r>
        <w:rPr>
          <w:rFonts w:cs="Arial"/>
          <w:i/>
        </w:rPr>
        <w:t>,</w:t>
      </w:r>
      <w:r>
        <w:rPr>
          <w:rFonts w:cs="Arial"/>
        </w:rPr>
        <w:t xml:space="preserve"> at the UN in New York in March 2015;  and</w:t>
      </w:r>
    </w:p>
    <w:p w:rsidR="00805A5E" w:rsidRPr="0004563B" w:rsidRDefault="00805A5E" w:rsidP="00547ACE">
      <w:pPr>
        <w:pStyle w:val="ListParagraph"/>
        <w:ind w:left="1080"/>
        <w:rPr>
          <w:rFonts w:cs="Arial"/>
        </w:rPr>
      </w:pPr>
    </w:p>
    <w:p w:rsidR="00805A5E" w:rsidRPr="00BE6C6B" w:rsidRDefault="00805A5E" w:rsidP="00805A5E">
      <w:pPr>
        <w:pStyle w:val="ListParagraph"/>
        <w:numPr>
          <w:ilvl w:val="0"/>
          <w:numId w:val="163"/>
        </w:numPr>
        <w:ind w:left="720"/>
        <w:jc w:val="both"/>
        <w:rPr>
          <w:rFonts w:cs="Arial"/>
          <w:i/>
        </w:rPr>
      </w:pPr>
      <w:r>
        <w:rPr>
          <w:rFonts w:cs="Arial"/>
        </w:rPr>
        <w:t>Contribution</w:t>
      </w:r>
      <w:r w:rsidR="00AC5CD9">
        <w:rPr>
          <w:rFonts w:cs="Arial"/>
        </w:rPr>
        <w:t>s</w:t>
      </w:r>
      <w:r>
        <w:rPr>
          <w:rFonts w:cs="Arial"/>
        </w:rPr>
        <w:t xml:space="preserve"> to the </w:t>
      </w:r>
      <w:r w:rsidRPr="00491FB5">
        <w:rPr>
          <w:rFonts w:cs="Arial"/>
        </w:rPr>
        <w:t>UN Secretary-General (SG) report</w:t>
      </w:r>
      <w:r>
        <w:rPr>
          <w:rFonts w:cs="Arial"/>
        </w:rPr>
        <w:t>s</w:t>
      </w:r>
      <w:r w:rsidRPr="00491FB5">
        <w:rPr>
          <w:rFonts w:cs="Arial"/>
        </w:rPr>
        <w:t xml:space="preserve"> on</w:t>
      </w:r>
      <w:r>
        <w:rPr>
          <w:rFonts w:cs="Arial"/>
        </w:rPr>
        <w:t>:  (i)</w:t>
      </w:r>
      <w:r w:rsidRPr="00491FB5">
        <w:rPr>
          <w:rFonts w:cs="Arial"/>
        </w:rPr>
        <w:t xml:space="preserve"> UN System Support for the New Partnership for Africa's Development (NEPAD);</w:t>
      </w:r>
      <w:r>
        <w:rPr>
          <w:rFonts w:cs="Arial"/>
        </w:rPr>
        <w:t xml:space="preserve"> and (ii) </w:t>
      </w:r>
      <w:r w:rsidRPr="00491FB5">
        <w:rPr>
          <w:rFonts w:cs="Arial"/>
        </w:rPr>
        <w:t xml:space="preserve">the rights of persons with disabilities pursuant to the </w:t>
      </w:r>
      <w:r w:rsidR="00AC5CD9">
        <w:rPr>
          <w:rFonts w:cs="Arial"/>
        </w:rPr>
        <w:t xml:space="preserve">UN </w:t>
      </w:r>
      <w:r w:rsidRPr="00491FB5">
        <w:rPr>
          <w:rFonts w:cs="Arial"/>
        </w:rPr>
        <w:t>Human Rights Council resolution 24/3</w:t>
      </w:r>
      <w:r>
        <w:rPr>
          <w:rFonts w:cs="Arial"/>
        </w:rPr>
        <w:t xml:space="preserve">, as well as </w:t>
      </w:r>
      <w:r w:rsidR="00AC5CD9">
        <w:rPr>
          <w:rFonts w:cs="Arial"/>
        </w:rPr>
        <w:t xml:space="preserve">to </w:t>
      </w:r>
      <w:r>
        <w:rPr>
          <w:rFonts w:cs="Arial"/>
        </w:rPr>
        <w:t xml:space="preserve">the </w:t>
      </w:r>
      <w:r w:rsidRPr="00491FB5">
        <w:rPr>
          <w:rFonts w:cs="Arial"/>
        </w:rPr>
        <w:t>UN Enable Newsletter</w:t>
      </w:r>
      <w:r>
        <w:rPr>
          <w:rFonts w:cs="Arial"/>
        </w:rPr>
        <w:t xml:space="preserve"> and the r</w:t>
      </w:r>
      <w:r w:rsidRPr="00BE6C6B">
        <w:rPr>
          <w:rFonts w:cs="Arial"/>
        </w:rPr>
        <w:t xml:space="preserve">evision of the UNESCO Recommendation on the Status of Scientific Researchers (1974). </w:t>
      </w:r>
    </w:p>
    <w:p w:rsidR="00805A5E" w:rsidRPr="00491FB5" w:rsidRDefault="00805A5E" w:rsidP="00547ACE">
      <w:pPr>
        <w:pStyle w:val="ListParagraph"/>
        <w:ind w:left="0"/>
        <w:jc w:val="both"/>
        <w:rPr>
          <w:rFonts w:cs="Arial"/>
        </w:rPr>
      </w:pPr>
    </w:p>
    <w:p w:rsidR="00805A5E" w:rsidRPr="004D7417" w:rsidRDefault="00805A5E" w:rsidP="00743383">
      <w:pPr>
        <w:pStyle w:val="ListParagraph"/>
        <w:numPr>
          <w:ilvl w:val="0"/>
          <w:numId w:val="160"/>
        </w:numPr>
        <w:tabs>
          <w:tab w:val="left" w:pos="709"/>
        </w:tabs>
        <w:ind w:left="0" w:firstLine="0"/>
        <w:jc w:val="both"/>
        <w:rPr>
          <w:rFonts w:cs="Arial"/>
          <w:color w:val="000000"/>
        </w:rPr>
      </w:pPr>
      <w:r w:rsidRPr="004D7417">
        <w:rPr>
          <w:rFonts w:cs="Arial"/>
          <w:color w:val="000000"/>
        </w:rPr>
        <w:t>Throughout the biennium, WIPO also continued to promote strengthened partnerships with key institutional partner IGOs</w:t>
      </w:r>
      <w:r w:rsidR="00AC5CD9">
        <w:rPr>
          <w:rFonts w:cs="Arial"/>
          <w:color w:val="000000"/>
        </w:rPr>
        <w:t xml:space="preserve"> as follows</w:t>
      </w:r>
      <w:r w:rsidRPr="004D7417">
        <w:rPr>
          <w:rFonts w:cs="Arial"/>
          <w:color w:val="000000"/>
        </w:rPr>
        <w:t>:</w:t>
      </w:r>
    </w:p>
    <w:p w:rsidR="00805A5E" w:rsidRDefault="00805A5E" w:rsidP="00547ACE">
      <w:pPr>
        <w:pStyle w:val="ListParagraph"/>
        <w:ind w:left="0"/>
        <w:jc w:val="both"/>
        <w:rPr>
          <w:rFonts w:cs="Arial"/>
        </w:rPr>
      </w:pPr>
    </w:p>
    <w:p w:rsidR="00805A5E" w:rsidRDefault="00805A5E" w:rsidP="00805A5E">
      <w:pPr>
        <w:pStyle w:val="ListParagraph"/>
        <w:numPr>
          <w:ilvl w:val="0"/>
          <w:numId w:val="163"/>
        </w:numPr>
        <w:ind w:left="720"/>
        <w:jc w:val="both"/>
        <w:rPr>
          <w:rFonts w:cs="Arial"/>
        </w:rPr>
      </w:pPr>
      <w:r w:rsidRPr="00052FA7">
        <w:rPr>
          <w:rFonts w:cs="Arial"/>
        </w:rPr>
        <w:t xml:space="preserve">Working in cooperation with UNCTAD, the United Nations Office in Geneva (UNOG), the International Trade Center (ITC), the </w:t>
      </w:r>
      <w:r w:rsidRPr="00DA0045">
        <w:rPr>
          <w:rFonts w:cs="Arial"/>
          <w:i/>
        </w:rPr>
        <w:t>Département du Développement Économique du Canton de Genève, Université de Genève</w:t>
      </w:r>
      <w:r w:rsidRPr="00052FA7">
        <w:rPr>
          <w:rFonts w:cs="Arial"/>
        </w:rPr>
        <w:t xml:space="preserve"> (UNIGE) and the </w:t>
      </w:r>
      <w:r w:rsidRPr="00DA0045">
        <w:rPr>
          <w:rFonts w:cs="Arial"/>
          <w:i/>
        </w:rPr>
        <w:t>Fédération des Entreprises Romandes (FER)</w:t>
      </w:r>
      <w:r w:rsidRPr="00052FA7">
        <w:rPr>
          <w:rFonts w:cs="Arial"/>
        </w:rPr>
        <w:t xml:space="preserve">, WIPO </w:t>
      </w:r>
      <w:r w:rsidRPr="009A0204">
        <w:t xml:space="preserve">renewed its active participation </w:t>
      </w:r>
      <w:r w:rsidRPr="00052FA7">
        <w:rPr>
          <w:rFonts w:cs="Arial"/>
        </w:rPr>
        <w:t>in the Geneva based Global Entrepreneurship Week (GEW) and co-organized a week of events and training sessions for the GEW 2014</w:t>
      </w:r>
      <w:r>
        <w:rPr>
          <w:rFonts w:cs="Arial"/>
        </w:rPr>
        <w:t xml:space="preserve"> and 2015</w:t>
      </w:r>
      <w:r w:rsidRPr="00052FA7">
        <w:rPr>
          <w:rFonts w:cs="Arial"/>
        </w:rPr>
        <w:t xml:space="preserve">.  WIPO’s focus was primarily on innovation promotion, youth entrepreneurship and the organization of capacity building sessions on patent information, SMEs and IP. (Supporting implementation of DA Recommendations 4, 11 and 40, as well as the </w:t>
      </w:r>
      <w:r>
        <w:rPr>
          <w:rFonts w:cs="Arial"/>
        </w:rPr>
        <w:t>work of Programs 11, 14 and 30);</w:t>
      </w:r>
    </w:p>
    <w:p w:rsidR="00805A5E" w:rsidRDefault="00805A5E" w:rsidP="00547ACE">
      <w:pPr>
        <w:pStyle w:val="ListParagraph"/>
        <w:jc w:val="both"/>
        <w:rPr>
          <w:rFonts w:cs="Arial"/>
        </w:rPr>
      </w:pPr>
    </w:p>
    <w:p w:rsidR="00805A5E" w:rsidRDefault="00805A5E" w:rsidP="00805A5E">
      <w:pPr>
        <w:pStyle w:val="ListParagraph"/>
        <w:numPr>
          <w:ilvl w:val="0"/>
          <w:numId w:val="163"/>
        </w:numPr>
        <w:ind w:left="720"/>
        <w:jc w:val="both"/>
        <w:rPr>
          <w:rFonts w:cs="Arial"/>
        </w:rPr>
      </w:pPr>
      <w:r w:rsidRPr="004A220E">
        <w:rPr>
          <w:rFonts w:cs="Arial"/>
        </w:rPr>
        <w:t>Cooperation with the WHO remained a high priority throughout the biennium.  In addition to the work undertaken in cooperation with Programs 1, 14 and 18 in the context of the WIPO</w:t>
      </w:r>
      <w:r w:rsidR="00AC5CD9">
        <w:rPr>
          <w:rFonts w:cs="Arial"/>
        </w:rPr>
        <w:noBreakHyphen/>
      </w:r>
      <w:r w:rsidRPr="004A220E">
        <w:rPr>
          <w:rFonts w:cs="Arial"/>
        </w:rPr>
        <w:t>WHO</w:t>
      </w:r>
      <w:r w:rsidR="00AC5CD9">
        <w:rPr>
          <w:rFonts w:cs="Arial"/>
        </w:rPr>
        <w:noBreakHyphen/>
      </w:r>
      <w:r w:rsidRPr="004A220E">
        <w:rPr>
          <w:rFonts w:cs="Arial"/>
        </w:rPr>
        <w:t>WTO trilateral</w:t>
      </w:r>
      <w:r w:rsidR="00AC5CD9">
        <w:rPr>
          <w:rFonts w:cs="Arial"/>
        </w:rPr>
        <w:t xml:space="preserve"> cooperation</w:t>
      </w:r>
      <w:r w:rsidRPr="004A220E">
        <w:rPr>
          <w:rFonts w:cs="Arial"/>
        </w:rPr>
        <w:t xml:space="preserve">, WIPO effectively engaged at other relevant WHO meetings and processes, as well as at a series of meetings in the framework of the UN process on Non-communicable Diseases (NCDs).  With respect to Recommendation 14 on providing advice to developing countries and LDCs on the implementation and operation of the rights and obligations, and the understanding and use of flexibilities contained in the TRIPS Agreement, Program 20, in cooperation with the substantive WIPO sectors, ensured that activities undertaken with the WTO and WHO </w:t>
      </w:r>
      <w:r>
        <w:rPr>
          <w:rFonts w:cs="Arial"/>
        </w:rPr>
        <w:t>reflected this Recommendation;</w:t>
      </w:r>
    </w:p>
    <w:p w:rsidR="00805A5E" w:rsidRPr="00D67744" w:rsidRDefault="00805A5E" w:rsidP="00547ACE">
      <w:pPr>
        <w:pStyle w:val="ListParagraph"/>
        <w:ind w:left="1080"/>
        <w:rPr>
          <w:rFonts w:cs="Arial"/>
        </w:rPr>
      </w:pPr>
    </w:p>
    <w:p w:rsidR="00805A5E" w:rsidRPr="00D67744" w:rsidRDefault="00805A5E" w:rsidP="00805A5E">
      <w:pPr>
        <w:pStyle w:val="ListParagraph"/>
        <w:numPr>
          <w:ilvl w:val="0"/>
          <w:numId w:val="163"/>
        </w:numPr>
        <w:ind w:left="720"/>
        <w:contextualSpacing/>
        <w:jc w:val="both"/>
      </w:pPr>
      <w:r w:rsidRPr="00106EBF">
        <w:t>Working with Programs 1, 2, 3, 4, 9, 17 and 18</w:t>
      </w:r>
      <w:r>
        <w:t>, Program 20</w:t>
      </w:r>
      <w:r w:rsidRPr="00106EBF">
        <w:t xml:space="preserve"> ensured WIPO’s effective engagement in the WTO TRIPS Council and coordinated WIPO’s participation in WTO national, regional and international workshops on various topics</w:t>
      </w:r>
      <w:r>
        <w:t>, and in the WTO Symposium “Realizing Development Objectives of the IP System:  LDC Priority Needs for Technical and Financial Cooperation” in Geneva, and the WTO Annual Workshop on Trade and Public Health;  and</w:t>
      </w:r>
    </w:p>
    <w:p w:rsidR="00805A5E" w:rsidRPr="00BE6C6B" w:rsidRDefault="00805A5E" w:rsidP="00547ACE">
      <w:pPr>
        <w:rPr>
          <w:rFonts w:cs="Arial"/>
        </w:rPr>
      </w:pPr>
    </w:p>
    <w:p w:rsidR="00805A5E" w:rsidRDefault="00805A5E" w:rsidP="00805A5E">
      <w:pPr>
        <w:pStyle w:val="ListParagraph"/>
        <w:numPr>
          <w:ilvl w:val="0"/>
          <w:numId w:val="163"/>
        </w:numPr>
        <w:ind w:left="720"/>
        <w:jc w:val="both"/>
        <w:rPr>
          <w:rFonts w:cs="Arial"/>
        </w:rPr>
      </w:pPr>
      <w:r w:rsidRPr="004A220E">
        <w:rPr>
          <w:rFonts w:cs="Arial"/>
        </w:rPr>
        <w:t xml:space="preserve">In addition, cooperation with </w:t>
      </w:r>
      <w:r w:rsidRPr="00D67744">
        <w:rPr>
          <w:rFonts w:cs="Arial"/>
        </w:rPr>
        <w:t xml:space="preserve">other UN agencies, in particular, CERN, International Organization for Standardization (ISO), </w:t>
      </w:r>
      <w:r w:rsidRPr="00B03ABB">
        <w:t xml:space="preserve">the ITU, UNESCO, </w:t>
      </w:r>
      <w:r>
        <w:t xml:space="preserve">and </w:t>
      </w:r>
      <w:r w:rsidRPr="00B03ABB">
        <w:t xml:space="preserve">UNIDO </w:t>
      </w:r>
      <w:r>
        <w:t xml:space="preserve">were strengthened and </w:t>
      </w:r>
      <w:r w:rsidRPr="00B03ABB">
        <w:t>continued to provide mutual support to achieve WIPO’s expected results and the implementation of the WIPO Development Agenda.</w:t>
      </w:r>
      <w:r w:rsidRPr="004A220E">
        <w:rPr>
          <w:rFonts w:cs="Arial"/>
        </w:rPr>
        <w:t xml:space="preserve"> </w:t>
      </w:r>
    </w:p>
    <w:p w:rsidR="00805A5E" w:rsidRPr="00D67744" w:rsidRDefault="00805A5E" w:rsidP="00547ACE">
      <w:pPr>
        <w:pStyle w:val="ListParagraph"/>
        <w:ind w:left="0"/>
        <w:jc w:val="both"/>
        <w:rPr>
          <w:rFonts w:cs="Arial"/>
        </w:rPr>
      </w:pPr>
    </w:p>
    <w:p w:rsidR="00805A5E" w:rsidRPr="00D67744" w:rsidRDefault="00805A5E" w:rsidP="00743383">
      <w:pPr>
        <w:pStyle w:val="ListParagraph"/>
        <w:numPr>
          <w:ilvl w:val="0"/>
          <w:numId w:val="160"/>
        </w:numPr>
        <w:tabs>
          <w:tab w:val="left" w:pos="709"/>
        </w:tabs>
        <w:ind w:left="0" w:firstLine="0"/>
        <w:jc w:val="both"/>
        <w:rPr>
          <w:rFonts w:cs="Arial"/>
        </w:rPr>
      </w:pPr>
      <w:r w:rsidRPr="00D67744">
        <w:rPr>
          <w:rFonts w:cs="Arial"/>
        </w:rPr>
        <w:t>WIPO’s work to mobilize partnerships and voluntary financial contributions for IP projects continued throughout 2014</w:t>
      </w:r>
      <w:r>
        <w:rPr>
          <w:rFonts w:cs="Arial"/>
        </w:rPr>
        <w:t>/15</w:t>
      </w:r>
      <w:r w:rsidRPr="00D67744">
        <w:rPr>
          <w:rFonts w:cs="Arial"/>
        </w:rPr>
        <w:t xml:space="preserve"> and reflected the continuing and successful mainstreaming of DA Recommendation 2 in the Program’s activities.  A significant part of that work was to provide advice and guidance to WIPO projects such as WIPO GREEN, WIPO Re:Search and the </w:t>
      </w:r>
      <w:r w:rsidR="00AC5CD9">
        <w:rPr>
          <w:rFonts w:cs="Arial"/>
        </w:rPr>
        <w:t>Accessible Books Consortium (</w:t>
      </w:r>
      <w:r w:rsidRPr="00D67744">
        <w:rPr>
          <w:rFonts w:cs="Arial"/>
        </w:rPr>
        <w:t>ABC</w:t>
      </w:r>
      <w:r w:rsidR="00AC5CD9">
        <w:rPr>
          <w:rFonts w:cs="Arial"/>
        </w:rPr>
        <w:t>)</w:t>
      </w:r>
      <w:r w:rsidRPr="00D67744">
        <w:rPr>
          <w:rFonts w:cs="Arial"/>
        </w:rPr>
        <w:t xml:space="preserve"> in identifying potential donors and developing strategies to establish partnerships and attract financial support.</w:t>
      </w:r>
    </w:p>
    <w:p w:rsidR="00805A5E" w:rsidRDefault="00805A5E" w:rsidP="00743383">
      <w:pPr>
        <w:tabs>
          <w:tab w:val="left" w:pos="709"/>
        </w:tabs>
        <w:jc w:val="both"/>
        <w:rPr>
          <w:rFonts w:cs="Arial"/>
          <w:color w:val="000000"/>
          <w:szCs w:val="20"/>
        </w:rPr>
      </w:pPr>
    </w:p>
    <w:p w:rsidR="00805A5E" w:rsidRDefault="00805A5E" w:rsidP="00743383">
      <w:pPr>
        <w:tabs>
          <w:tab w:val="left" w:pos="709"/>
        </w:tabs>
        <w:jc w:val="both"/>
        <w:rPr>
          <w:rFonts w:cs="Arial"/>
          <w:color w:val="000000"/>
          <w:szCs w:val="20"/>
        </w:rPr>
      </w:pPr>
    </w:p>
    <w:p w:rsidR="00805A5E" w:rsidRPr="00D41FF9" w:rsidRDefault="00805A5E" w:rsidP="00743383">
      <w:pPr>
        <w:tabs>
          <w:tab w:val="left" w:pos="709"/>
        </w:tabs>
        <w:jc w:val="both"/>
        <w:rPr>
          <w:rFonts w:cs="Arial"/>
          <w:szCs w:val="20"/>
        </w:rPr>
      </w:pPr>
      <w:r w:rsidRPr="00D41FF9">
        <w:rPr>
          <w:rFonts w:cs="Arial"/>
          <w:szCs w:val="20"/>
        </w:rPr>
        <w:t xml:space="preserve">NGO AND INDUSTRY RELATIONS </w:t>
      </w:r>
      <w:r w:rsidRPr="00415F20">
        <w:rPr>
          <w:rFonts w:cs="Arial"/>
          <w:szCs w:val="20"/>
        </w:rPr>
        <w:t>(Director General)</w:t>
      </w:r>
    </w:p>
    <w:p w:rsidR="00805A5E" w:rsidRDefault="00805A5E" w:rsidP="00743383">
      <w:pPr>
        <w:tabs>
          <w:tab w:val="left" w:pos="709"/>
        </w:tabs>
        <w:jc w:val="both"/>
        <w:rPr>
          <w:rFonts w:cs="Arial"/>
          <w:b/>
          <w:szCs w:val="20"/>
        </w:rPr>
      </w:pPr>
    </w:p>
    <w:p w:rsidR="00805A5E" w:rsidRDefault="00805A5E" w:rsidP="00743383">
      <w:pPr>
        <w:pStyle w:val="ListParagraph"/>
        <w:numPr>
          <w:ilvl w:val="0"/>
          <w:numId w:val="160"/>
        </w:numPr>
        <w:tabs>
          <w:tab w:val="left" w:pos="709"/>
        </w:tabs>
        <w:ind w:left="0" w:firstLine="0"/>
        <w:jc w:val="both"/>
        <w:rPr>
          <w:rFonts w:cs="Arial"/>
        </w:rPr>
      </w:pPr>
      <w:r w:rsidRPr="00D41FF9">
        <w:rPr>
          <w:rFonts w:cs="Arial"/>
        </w:rPr>
        <w:t xml:space="preserve">Throughout the biennium, WIPO continued to identify and promote opportunities to enhance the engagement of non-governmental stakeholders in its activities.  In 2014 and </w:t>
      </w:r>
      <w:r>
        <w:rPr>
          <w:rFonts w:cs="Arial"/>
        </w:rPr>
        <w:t xml:space="preserve">in </w:t>
      </w:r>
      <w:r w:rsidRPr="00D41FF9">
        <w:rPr>
          <w:rFonts w:cs="Arial"/>
        </w:rPr>
        <w:t xml:space="preserve">2015, WIPO facilitated a number of different fora through which it sought the participation of and cooperation with civil society representatives, including workshops and seminars, consultations on specific projects and side-events.  Such opportunities provided for continued open, transparent and responsive interaction with these stakeholders, consistent with DA Recommendation 42.  The third and fourth annual meetings with the Director General organized exclusively for accredited NGOs were held in the spring of 2014 and 2015, respectively, providing a valuable forum for a direct exchange of views on the international </w:t>
      </w:r>
      <w:r>
        <w:rPr>
          <w:rFonts w:cs="Arial"/>
        </w:rPr>
        <w:t>IP</w:t>
      </w:r>
      <w:r w:rsidRPr="00D41FF9">
        <w:rPr>
          <w:rFonts w:cs="Arial"/>
        </w:rPr>
        <w:t xml:space="preserve"> system generally and the work of WIPO specifically.</w:t>
      </w:r>
    </w:p>
    <w:p w:rsidR="00805A5E" w:rsidRPr="00D41FF9" w:rsidRDefault="00805A5E" w:rsidP="00743383">
      <w:pPr>
        <w:pStyle w:val="ListParagraph"/>
        <w:tabs>
          <w:tab w:val="left" w:pos="709"/>
        </w:tabs>
        <w:ind w:left="0"/>
        <w:jc w:val="both"/>
        <w:rPr>
          <w:rFonts w:cs="Arial"/>
        </w:rPr>
      </w:pPr>
    </w:p>
    <w:p w:rsidR="00805A5E" w:rsidRPr="00491FB5" w:rsidRDefault="00805A5E" w:rsidP="00743383">
      <w:pPr>
        <w:pStyle w:val="ListParagraph"/>
        <w:numPr>
          <w:ilvl w:val="0"/>
          <w:numId w:val="160"/>
        </w:numPr>
        <w:tabs>
          <w:tab w:val="left" w:pos="709"/>
        </w:tabs>
        <w:ind w:left="0" w:firstLine="0"/>
        <w:jc w:val="both"/>
        <w:rPr>
          <w:rFonts w:cs="Arial"/>
        </w:rPr>
      </w:pPr>
      <w:r w:rsidRPr="00D41FF9">
        <w:rPr>
          <w:rFonts w:cs="Arial"/>
        </w:rPr>
        <w:t xml:space="preserve">In addition, WIPO maintained its close collaboration with non-governmental stakeholders through the continued development of multi-stakeholder platforms and partnerships that contribute to the promotion of </w:t>
      </w:r>
      <w:r>
        <w:rPr>
          <w:rFonts w:cs="Arial"/>
        </w:rPr>
        <w:t>IP</w:t>
      </w:r>
      <w:r w:rsidRPr="00D41FF9">
        <w:rPr>
          <w:rFonts w:cs="Arial"/>
        </w:rPr>
        <w:t xml:space="preserve"> as a tool for economic growth and development worldwide.  In particular, following the successful adoption of the Marrakesh VIP Treaty in 2013, WIPO launched a seminar series in 2014 entitled “From Policy to Practice: Implementing the Marrakesh Treaty and Making Accessible Books Available” to provide guidance to and help raise awareness among all stakeholders of the treaty provisions and practical multi-stakeholder initiatives aimed at increasing the availability of books in accessible formats, such as the Accessible Books Consortium.  Further, in 2015, a notable example of effective engagement with non-governmental stakeholders that contributed to the objective of highlighting IP as a tool for the promotion of innovation, creativity and economic transformation was the organization of a </w:t>
      </w:r>
      <w:r w:rsidRPr="00491FB5">
        <w:rPr>
          <w:rFonts w:cs="Arial"/>
        </w:rPr>
        <w:t>Young African Innovators, Creators and Entrepreneurs Workshop</w:t>
      </w:r>
      <w:r w:rsidRPr="00D41FF9">
        <w:rPr>
          <w:rFonts w:cs="Arial"/>
        </w:rPr>
        <w:t xml:space="preserve"> in the context of the Dakar 2015 African Ministerial Conference</w:t>
      </w:r>
      <w:r w:rsidRPr="00491FB5">
        <w:rPr>
          <w:rFonts w:cs="Arial"/>
        </w:rPr>
        <w:t xml:space="preserve">.  The results of this workshop, including its recommendations, were reported directly to the Ministerial Conference, which was also noted in the final </w:t>
      </w:r>
      <w:r w:rsidRPr="00923720">
        <w:rPr>
          <w:rFonts w:cs="Arial"/>
          <w:i/>
        </w:rPr>
        <w:t>Dakar Declaration on Intellectual Property for Africa</w:t>
      </w:r>
      <w:r w:rsidRPr="00491FB5">
        <w:rPr>
          <w:rFonts w:cs="Arial"/>
        </w:rPr>
        <w:t xml:space="preserve">. </w:t>
      </w:r>
    </w:p>
    <w:p w:rsidR="00805A5E" w:rsidRDefault="00805A5E" w:rsidP="00743383">
      <w:pPr>
        <w:tabs>
          <w:tab w:val="left" w:pos="709"/>
        </w:tabs>
        <w:jc w:val="both"/>
        <w:rPr>
          <w:rFonts w:cs="Arial"/>
          <w:bCs/>
          <w:szCs w:val="20"/>
        </w:rPr>
      </w:pPr>
    </w:p>
    <w:p w:rsidR="00805A5E" w:rsidRDefault="00805A5E" w:rsidP="00743383">
      <w:pPr>
        <w:tabs>
          <w:tab w:val="left" w:pos="709"/>
        </w:tabs>
        <w:jc w:val="both"/>
        <w:rPr>
          <w:rFonts w:cs="Arial"/>
          <w:bCs/>
          <w:szCs w:val="20"/>
        </w:rPr>
      </w:pPr>
      <w:r>
        <w:rPr>
          <w:rFonts w:cs="Arial"/>
          <w:bCs/>
          <w:szCs w:val="20"/>
        </w:rPr>
        <w:t>EXTERNAL OFFICES</w:t>
      </w:r>
    </w:p>
    <w:p w:rsidR="00805A5E" w:rsidRDefault="00805A5E" w:rsidP="00743383">
      <w:pPr>
        <w:tabs>
          <w:tab w:val="left" w:pos="709"/>
        </w:tabs>
        <w:jc w:val="both"/>
        <w:rPr>
          <w:rFonts w:cs="Arial"/>
          <w:bCs/>
          <w:szCs w:val="20"/>
        </w:rPr>
      </w:pPr>
    </w:p>
    <w:p w:rsidR="00805A5E" w:rsidRPr="00491FB5" w:rsidRDefault="00805A5E" w:rsidP="00743383">
      <w:pPr>
        <w:pStyle w:val="ListParagraph"/>
        <w:numPr>
          <w:ilvl w:val="0"/>
          <w:numId w:val="160"/>
        </w:numPr>
        <w:tabs>
          <w:tab w:val="left" w:pos="709"/>
        </w:tabs>
        <w:ind w:left="0" w:firstLine="0"/>
        <w:jc w:val="both"/>
        <w:rPr>
          <w:rFonts w:cs="Arial"/>
        </w:rPr>
      </w:pPr>
      <w:r w:rsidRPr="00491FB5">
        <w:rPr>
          <w:rFonts w:cs="Arial"/>
        </w:rPr>
        <w:t>WIPO’s network of External Offices form an integral part of the Organization</w:t>
      </w:r>
      <w:r>
        <w:rPr>
          <w:rFonts w:cs="Arial"/>
        </w:rPr>
        <w:t>,</w:t>
      </w:r>
      <w:r w:rsidRPr="00491FB5">
        <w:rPr>
          <w:rFonts w:cs="Arial"/>
        </w:rPr>
        <w:t xml:space="preserve"> designed to bring WIPO’s services and cooperation closer to Member States, stakeholders and partners with a view to enhancing efficiency and effectiveness of program delivery, as well as responding to the specific needs and priorities of the countries and/or regions they serve.  In 2014, the network of Offices grew to five, with the opening </w:t>
      </w:r>
      <w:r>
        <w:rPr>
          <w:rFonts w:cs="Arial"/>
        </w:rPr>
        <w:t>of the WIPO Offices in China (W</w:t>
      </w:r>
      <w:r w:rsidRPr="00491FB5">
        <w:rPr>
          <w:rFonts w:cs="Arial"/>
        </w:rPr>
        <w:t>O</w:t>
      </w:r>
      <w:r>
        <w:rPr>
          <w:rFonts w:cs="Arial"/>
        </w:rPr>
        <w:t>C</w:t>
      </w:r>
      <w:r w:rsidRPr="00491FB5">
        <w:rPr>
          <w:rFonts w:cs="Arial"/>
        </w:rPr>
        <w:t>) and in the Russian Federation (WRO)</w:t>
      </w:r>
      <w:r>
        <w:rPr>
          <w:rFonts w:cs="Arial"/>
        </w:rPr>
        <w:t xml:space="preserve"> in 2014</w:t>
      </w:r>
      <w:r w:rsidRPr="00491FB5">
        <w:rPr>
          <w:rFonts w:cs="Arial"/>
        </w:rPr>
        <w:t>.</w:t>
      </w:r>
      <w:r>
        <w:rPr>
          <w:rFonts w:cs="Arial"/>
        </w:rPr>
        <w:t xml:space="preserve">  The results achieved during the reporting period continued to underscore the contribution that External Offices bring to the implementation of the Organization’s mandate.</w:t>
      </w:r>
    </w:p>
    <w:p w:rsidR="00805A5E" w:rsidRDefault="00805A5E" w:rsidP="00743383">
      <w:pPr>
        <w:tabs>
          <w:tab w:val="left" w:pos="709"/>
        </w:tabs>
        <w:jc w:val="both"/>
        <w:rPr>
          <w:rFonts w:cs="Arial"/>
          <w:bCs/>
          <w:szCs w:val="20"/>
        </w:rPr>
      </w:pPr>
    </w:p>
    <w:p w:rsidR="00805A5E" w:rsidRDefault="00805A5E" w:rsidP="00743383">
      <w:pPr>
        <w:tabs>
          <w:tab w:val="left" w:pos="709"/>
        </w:tabs>
        <w:jc w:val="both"/>
        <w:rPr>
          <w:rFonts w:cs="Arial"/>
          <w:bCs/>
          <w:szCs w:val="20"/>
          <w:u w:val="single"/>
        </w:rPr>
      </w:pPr>
      <w:r>
        <w:rPr>
          <w:rFonts w:cs="Arial"/>
          <w:bCs/>
          <w:szCs w:val="20"/>
          <w:u w:val="single"/>
        </w:rPr>
        <w:t xml:space="preserve">WIPO Brazil Office (WBO) </w:t>
      </w:r>
      <w:r w:rsidRPr="00B544BA">
        <w:rPr>
          <w:rFonts w:cs="Arial"/>
          <w:bCs/>
          <w:szCs w:val="20"/>
          <w:u w:val="single"/>
        </w:rPr>
        <w:t>(Director General</w:t>
      </w:r>
      <w:r w:rsidR="00BD3EFD">
        <w:rPr>
          <w:rFonts w:cs="Arial"/>
          <w:bCs/>
          <w:szCs w:val="20"/>
          <w:u w:val="single"/>
        </w:rPr>
        <w:t>/Mr. N. Prasad</w:t>
      </w:r>
      <w:r w:rsidRPr="00B544BA">
        <w:rPr>
          <w:rFonts w:cs="Arial"/>
          <w:bCs/>
          <w:szCs w:val="20"/>
          <w:u w:val="single"/>
        </w:rPr>
        <w:t>)</w:t>
      </w:r>
    </w:p>
    <w:p w:rsidR="00805A5E" w:rsidRDefault="00805A5E" w:rsidP="00743383">
      <w:pPr>
        <w:tabs>
          <w:tab w:val="left" w:pos="709"/>
        </w:tabs>
        <w:jc w:val="both"/>
        <w:rPr>
          <w:rFonts w:cs="Arial"/>
          <w:bCs/>
          <w:szCs w:val="20"/>
          <w:u w:val="single"/>
        </w:rPr>
      </w:pPr>
    </w:p>
    <w:p w:rsidR="00805A5E" w:rsidRDefault="00805A5E" w:rsidP="00743383">
      <w:pPr>
        <w:pStyle w:val="ListParagraph"/>
        <w:numPr>
          <w:ilvl w:val="0"/>
          <w:numId w:val="160"/>
        </w:numPr>
        <w:tabs>
          <w:tab w:val="left" w:pos="709"/>
        </w:tabs>
        <w:ind w:left="0" w:firstLine="0"/>
        <w:jc w:val="both"/>
        <w:rPr>
          <w:rFonts w:cs="Arial"/>
        </w:rPr>
      </w:pPr>
      <w:r>
        <w:rPr>
          <w:rFonts w:cs="Arial"/>
        </w:rPr>
        <w:t>During the biennium, t</w:t>
      </w:r>
      <w:r w:rsidRPr="00AA03D6">
        <w:rPr>
          <w:rFonts w:cs="Arial"/>
        </w:rPr>
        <w:t xml:space="preserve">he </w:t>
      </w:r>
      <w:r>
        <w:rPr>
          <w:rFonts w:cs="Arial"/>
        </w:rPr>
        <w:t>WBO</w:t>
      </w:r>
      <w:r w:rsidRPr="00AA03D6">
        <w:rPr>
          <w:rFonts w:cs="Arial"/>
        </w:rPr>
        <w:t xml:space="preserve"> </w:t>
      </w:r>
      <w:r>
        <w:rPr>
          <w:rFonts w:cs="Arial"/>
        </w:rPr>
        <w:t xml:space="preserve">devoted considerable attention to strengthening national capacity in Brazil and </w:t>
      </w:r>
      <w:r w:rsidRPr="00AA03D6">
        <w:rPr>
          <w:rFonts w:cs="Arial"/>
        </w:rPr>
        <w:t>the promotion of WIPO services</w:t>
      </w:r>
      <w:r>
        <w:rPr>
          <w:rFonts w:cs="Arial"/>
        </w:rPr>
        <w:t xml:space="preserve">.  </w:t>
      </w:r>
      <w:r w:rsidRPr="00AA03D6">
        <w:rPr>
          <w:rFonts w:cs="Arial"/>
        </w:rPr>
        <w:t xml:space="preserve">In </w:t>
      </w:r>
      <w:r>
        <w:rPr>
          <w:rFonts w:cs="Arial"/>
        </w:rPr>
        <w:t>support of</w:t>
      </w:r>
      <w:r w:rsidRPr="00AA03D6">
        <w:rPr>
          <w:rFonts w:cs="Arial"/>
        </w:rPr>
        <w:t xml:space="preserve"> the National Institute of Industrial Property (INPI)</w:t>
      </w:r>
      <w:r>
        <w:rPr>
          <w:rFonts w:cs="Arial"/>
        </w:rPr>
        <w:t xml:space="preserve">, which prioritized improving its </w:t>
      </w:r>
      <w:r w:rsidRPr="00AA03D6">
        <w:rPr>
          <w:rFonts w:cs="Arial"/>
        </w:rPr>
        <w:t>productivity and efficiency</w:t>
      </w:r>
      <w:r>
        <w:rPr>
          <w:rFonts w:cs="Arial"/>
        </w:rPr>
        <w:t xml:space="preserve">, the </w:t>
      </w:r>
      <w:r w:rsidRPr="00AA03D6">
        <w:rPr>
          <w:rFonts w:cs="Arial"/>
        </w:rPr>
        <w:t xml:space="preserve">WBO assisted in the organization </w:t>
      </w:r>
      <w:r>
        <w:t xml:space="preserve">of activities designed to build capacity in the area of patent examination.  An example was the collaboration with the National Confederation of Industries on a series of workshops, which were held to inform about existing international initiatives concerning collaborative schemes for patent examination </w:t>
      </w:r>
      <w:r w:rsidRPr="00AA03D6">
        <w:rPr>
          <w:rFonts w:cs="Arial"/>
        </w:rPr>
        <w:t xml:space="preserve"> </w:t>
      </w:r>
    </w:p>
    <w:p w:rsidR="00805A5E" w:rsidRDefault="00805A5E" w:rsidP="00743383">
      <w:pPr>
        <w:pStyle w:val="ListParagraph"/>
        <w:tabs>
          <w:tab w:val="left" w:pos="709"/>
        </w:tabs>
        <w:ind w:left="0"/>
        <w:jc w:val="both"/>
        <w:rPr>
          <w:rFonts w:cs="Arial"/>
        </w:rPr>
      </w:pPr>
    </w:p>
    <w:p w:rsidR="00805A5E" w:rsidRDefault="00805A5E" w:rsidP="00743383">
      <w:pPr>
        <w:pStyle w:val="ListParagraph"/>
        <w:numPr>
          <w:ilvl w:val="0"/>
          <w:numId w:val="160"/>
        </w:numPr>
        <w:tabs>
          <w:tab w:val="left" w:pos="709"/>
        </w:tabs>
        <w:ind w:left="0" w:firstLine="0"/>
        <w:jc w:val="both"/>
        <w:rPr>
          <w:rFonts w:cs="Arial"/>
        </w:rPr>
      </w:pPr>
      <w:r w:rsidRPr="00C42345">
        <w:rPr>
          <w:rFonts w:cs="Arial"/>
        </w:rPr>
        <w:t xml:space="preserve">The Office devoted considerable energy to engaging with stakeholders in Brazil to increase awareness of the benefits of IP protection and the importance of commercialization of IP assets.  In this regard, the WBO engaged closely with the National Association of Research and Development of Innovative Enterprises (ANPEI) and was invited to participate in two committees established by it, namely, a committee concerned with fostering innovation and a committee focused on IP.  This provided a valuable platform to highlight the importance of the PCT and to explain its procedures. </w:t>
      </w:r>
    </w:p>
    <w:p w:rsidR="00805A5E" w:rsidRDefault="00805A5E" w:rsidP="00743383">
      <w:pPr>
        <w:pStyle w:val="ListParagraph"/>
        <w:tabs>
          <w:tab w:val="left" w:pos="709"/>
        </w:tabs>
        <w:ind w:left="0"/>
        <w:jc w:val="both"/>
        <w:rPr>
          <w:rFonts w:cs="Arial"/>
        </w:rPr>
      </w:pPr>
    </w:p>
    <w:p w:rsidR="00805A5E" w:rsidRDefault="00805A5E" w:rsidP="00743383">
      <w:pPr>
        <w:pStyle w:val="ListParagraph"/>
        <w:numPr>
          <w:ilvl w:val="0"/>
          <w:numId w:val="160"/>
        </w:numPr>
        <w:tabs>
          <w:tab w:val="left" w:pos="709"/>
        </w:tabs>
        <w:ind w:left="0" w:firstLine="0"/>
        <w:jc w:val="both"/>
        <w:rPr>
          <w:rFonts w:cs="Arial"/>
        </w:rPr>
      </w:pPr>
      <w:r w:rsidRPr="00B544A5">
        <w:rPr>
          <w:rFonts w:cs="Arial"/>
        </w:rPr>
        <w:t>The Brazil Funds-in-Trust (FIT) for the support of South-South Cooperation, established in 2012 and managed by the WBO, continued to provide the Office with valuable opportunities to advance initiatives, particularly in the area of technology transfer and IP commercialization.  The Regional Workshop on IP and Technology Transfer held in Uruguay in December</w:t>
      </w:r>
      <w:r>
        <w:rPr>
          <w:rFonts w:cs="Arial"/>
        </w:rPr>
        <w:t xml:space="preserve"> 2014</w:t>
      </w:r>
      <w:r w:rsidRPr="00B544A5">
        <w:rPr>
          <w:rFonts w:cs="Arial"/>
        </w:rPr>
        <w:t xml:space="preserve"> brought together several countries (Argentina, Brazil, Chile, Paraguay and Uruguay) and provided an opportunity to share information and expertise </w:t>
      </w:r>
      <w:r>
        <w:rPr>
          <w:rFonts w:cs="Arial"/>
        </w:rPr>
        <w:t>regarding the development</w:t>
      </w:r>
      <w:r w:rsidRPr="00B544A5">
        <w:rPr>
          <w:rFonts w:cs="Arial"/>
        </w:rPr>
        <w:t xml:space="preserve"> </w:t>
      </w:r>
      <w:r>
        <w:rPr>
          <w:rFonts w:cs="Arial"/>
        </w:rPr>
        <w:t xml:space="preserve">of </w:t>
      </w:r>
      <w:r w:rsidRPr="00B544A5">
        <w:rPr>
          <w:rFonts w:cs="Arial"/>
        </w:rPr>
        <w:t xml:space="preserve">national and institutional IP strategies and strategic models for fostering innovation.  The FIT also permitted the </w:t>
      </w:r>
      <w:r>
        <w:rPr>
          <w:rFonts w:cs="Arial"/>
        </w:rPr>
        <w:t>organization</w:t>
      </w:r>
      <w:r w:rsidRPr="00B544A5">
        <w:rPr>
          <w:rFonts w:cs="Arial"/>
        </w:rPr>
        <w:t xml:space="preserve"> of training programs in </w:t>
      </w:r>
      <w:r w:rsidRPr="00B544A5">
        <w:rPr>
          <w:rFonts w:cs="Arial"/>
        </w:rPr>
        <w:lastRenderedPageBreak/>
        <w:t>several regions of Brazil, which built local capacity in the areas of technology l</w:t>
      </w:r>
      <w:r>
        <w:rPr>
          <w:rFonts w:cs="Arial"/>
        </w:rPr>
        <w:t xml:space="preserve">icensing and patent drafting. </w:t>
      </w:r>
      <w:r w:rsidRPr="00B544A5">
        <w:rPr>
          <w:rFonts w:cs="Arial"/>
        </w:rPr>
        <w:t xml:space="preserve"> </w:t>
      </w:r>
    </w:p>
    <w:p w:rsidR="00805A5E" w:rsidRPr="00AA03D6" w:rsidRDefault="00805A5E" w:rsidP="00743383">
      <w:pPr>
        <w:pStyle w:val="ListParagraph"/>
        <w:tabs>
          <w:tab w:val="left" w:pos="709"/>
        </w:tabs>
        <w:ind w:left="0"/>
        <w:jc w:val="both"/>
        <w:rPr>
          <w:rFonts w:cs="Arial"/>
        </w:rPr>
      </w:pPr>
    </w:p>
    <w:p w:rsidR="00805A5E" w:rsidRPr="003C16ED" w:rsidRDefault="00805A5E" w:rsidP="00743383">
      <w:pPr>
        <w:pStyle w:val="ListParagraph"/>
        <w:numPr>
          <w:ilvl w:val="0"/>
          <w:numId w:val="160"/>
        </w:numPr>
        <w:tabs>
          <w:tab w:val="left" w:pos="709"/>
        </w:tabs>
        <w:ind w:left="0" w:firstLine="0"/>
        <w:jc w:val="both"/>
        <w:rPr>
          <w:rFonts w:cs="Arial"/>
        </w:rPr>
      </w:pPr>
      <w:r w:rsidRPr="003C16ED">
        <w:rPr>
          <w:rFonts w:cs="Arial"/>
        </w:rPr>
        <w:t>The WBO reached out to local and UN partners in Brazil on issues of mutual interest as a way of leveraging and maximizing resources to advance the mandate.  Working with UNDP and the Brazilian Innovation Agency</w:t>
      </w:r>
      <w:r>
        <w:rPr>
          <w:rFonts w:cs="Arial"/>
        </w:rPr>
        <w:t xml:space="preserve"> (</w:t>
      </w:r>
      <w:r w:rsidRPr="00AA03D6">
        <w:rPr>
          <w:rFonts w:cs="Arial"/>
        </w:rPr>
        <w:t>FINPE</w:t>
      </w:r>
      <w:r>
        <w:rPr>
          <w:rFonts w:cs="Arial"/>
        </w:rPr>
        <w:t>)</w:t>
      </w:r>
      <w:r w:rsidRPr="003C16ED">
        <w:rPr>
          <w:rFonts w:cs="Arial"/>
        </w:rPr>
        <w:t xml:space="preserve">, a project was initiated to train negotiators on issues related to technology and development.  </w:t>
      </w:r>
      <w:r w:rsidRPr="00BA1940">
        <w:rPr>
          <w:rFonts w:cs="Arial"/>
        </w:rPr>
        <w:t xml:space="preserve">To this end, under </w:t>
      </w:r>
      <w:r w:rsidRPr="00AA03D6">
        <w:rPr>
          <w:rFonts w:cs="Arial"/>
        </w:rPr>
        <w:t>a new Fund-in-Trust signed with</w:t>
      </w:r>
      <w:r>
        <w:rPr>
          <w:rFonts w:cs="Arial"/>
        </w:rPr>
        <w:t xml:space="preserve"> UNDP and</w:t>
      </w:r>
      <w:r w:rsidRPr="00AA03D6">
        <w:rPr>
          <w:rFonts w:cs="Arial"/>
        </w:rPr>
        <w:t xml:space="preserve"> FINPE</w:t>
      </w:r>
      <w:r>
        <w:rPr>
          <w:rFonts w:cs="Arial"/>
        </w:rPr>
        <w:t xml:space="preserve"> in October 2015, a T</w:t>
      </w:r>
      <w:r w:rsidRPr="00AA03D6">
        <w:rPr>
          <w:rFonts w:cs="Arial"/>
        </w:rPr>
        <w:t xml:space="preserve">raining </w:t>
      </w:r>
      <w:r>
        <w:rPr>
          <w:rFonts w:cs="Arial"/>
        </w:rPr>
        <w:t xml:space="preserve">Program for </w:t>
      </w:r>
      <w:r w:rsidRPr="00AA03D6">
        <w:rPr>
          <w:rFonts w:cs="Arial"/>
        </w:rPr>
        <w:t>Technology Development Negotiators</w:t>
      </w:r>
      <w:r>
        <w:rPr>
          <w:rFonts w:cs="Arial"/>
        </w:rPr>
        <w:t xml:space="preserve"> was held, which benefitted t</w:t>
      </w:r>
      <w:r w:rsidRPr="00AA03D6">
        <w:rPr>
          <w:rFonts w:cs="Arial"/>
        </w:rPr>
        <w:t>wenty</w:t>
      </w:r>
      <w:r>
        <w:rPr>
          <w:rFonts w:cs="Arial"/>
        </w:rPr>
        <w:noBreakHyphen/>
      </w:r>
      <w:r w:rsidRPr="00AA03D6">
        <w:rPr>
          <w:rFonts w:cs="Arial"/>
        </w:rPr>
        <w:t>eight technology managers</w:t>
      </w:r>
      <w:r>
        <w:rPr>
          <w:rFonts w:cs="Arial"/>
        </w:rPr>
        <w:t xml:space="preserve">.  </w:t>
      </w:r>
      <w:r w:rsidRPr="003C16ED">
        <w:rPr>
          <w:rFonts w:cs="Arial"/>
        </w:rPr>
        <w:t xml:space="preserve">With respect to the promotion of WIPO’s platforms, the Office </w:t>
      </w:r>
      <w:r>
        <w:rPr>
          <w:rFonts w:cs="Arial"/>
        </w:rPr>
        <w:t xml:space="preserve">continued its </w:t>
      </w:r>
      <w:r w:rsidRPr="003C16ED">
        <w:rPr>
          <w:rFonts w:cs="Arial"/>
        </w:rPr>
        <w:t>collaborat</w:t>
      </w:r>
      <w:r>
        <w:rPr>
          <w:rFonts w:cs="Arial"/>
        </w:rPr>
        <w:t>ion</w:t>
      </w:r>
      <w:r w:rsidRPr="003C16ED">
        <w:rPr>
          <w:rFonts w:cs="Arial"/>
        </w:rPr>
        <w:t xml:space="preserve"> with the Brazilian National Association of Innovation and Technology Transfer Managers (FORTEC) on WIPO GREEN, </w:t>
      </w:r>
      <w:r>
        <w:rPr>
          <w:rFonts w:cs="Arial"/>
        </w:rPr>
        <w:t xml:space="preserve">which began to show results in 2015, as the first seven </w:t>
      </w:r>
      <w:r w:rsidRPr="00D868E5">
        <w:rPr>
          <w:rFonts w:cs="Arial"/>
        </w:rPr>
        <w:t>technologies developed by Brazilian institutions/firms were uploaded in</w:t>
      </w:r>
      <w:r>
        <w:rPr>
          <w:rFonts w:cs="Arial"/>
        </w:rPr>
        <w:t>to the database</w:t>
      </w:r>
      <w:r w:rsidRPr="003C16ED">
        <w:rPr>
          <w:rFonts w:cs="Arial"/>
        </w:rPr>
        <w:t>.</w:t>
      </w:r>
    </w:p>
    <w:p w:rsidR="00805A5E" w:rsidRPr="00AA03D6" w:rsidRDefault="00805A5E" w:rsidP="00743383">
      <w:pPr>
        <w:pStyle w:val="ListParagraph"/>
        <w:tabs>
          <w:tab w:val="left" w:pos="709"/>
        </w:tabs>
        <w:ind w:left="0"/>
        <w:jc w:val="both"/>
        <w:rPr>
          <w:rFonts w:cs="Arial"/>
        </w:rPr>
      </w:pPr>
    </w:p>
    <w:p w:rsidR="00805A5E" w:rsidRPr="00AA03D6" w:rsidRDefault="00805A5E" w:rsidP="00743383">
      <w:pPr>
        <w:pStyle w:val="ListParagraph"/>
        <w:numPr>
          <w:ilvl w:val="0"/>
          <w:numId w:val="160"/>
        </w:numPr>
        <w:tabs>
          <w:tab w:val="left" w:pos="709"/>
        </w:tabs>
        <w:ind w:left="0" w:firstLine="0"/>
        <w:jc w:val="both"/>
        <w:rPr>
          <w:rFonts w:cs="Arial"/>
        </w:rPr>
      </w:pPr>
      <w:r>
        <w:rPr>
          <w:rFonts w:cs="Arial"/>
        </w:rPr>
        <w:t xml:space="preserve">The </w:t>
      </w:r>
      <w:r w:rsidRPr="00A77855">
        <w:rPr>
          <w:rFonts w:cs="Arial"/>
        </w:rPr>
        <w:t>Office also focused attention in 2014</w:t>
      </w:r>
      <w:r>
        <w:rPr>
          <w:rFonts w:cs="Arial"/>
        </w:rPr>
        <w:t>/15</w:t>
      </w:r>
      <w:r w:rsidRPr="00A77855">
        <w:rPr>
          <w:rFonts w:cs="Arial"/>
        </w:rPr>
        <w:t xml:space="preserve"> on the economic advantages conferred by geographical indications and the benefits of design protection</w:t>
      </w:r>
      <w:r>
        <w:rPr>
          <w:rFonts w:cs="Arial"/>
        </w:rPr>
        <w:t xml:space="preserve">.  A concentrated focus was also directed to the promotion of the Madrid System, with </w:t>
      </w:r>
      <w:r w:rsidRPr="00AA03D6">
        <w:rPr>
          <w:rFonts w:cs="Arial"/>
        </w:rPr>
        <w:t>Brazilian industr</w:t>
      </w:r>
      <w:r>
        <w:rPr>
          <w:rFonts w:cs="Arial"/>
        </w:rPr>
        <w:t>y</w:t>
      </w:r>
      <w:r w:rsidRPr="00AA03D6">
        <w:rPr>
          <w:rFonts w:cs="Arial"/>
        </w:rPr>
        <w:t xml:space="preserve"> particularly active in </w:t>
      </w:r>
      <w:r>
        <w:rPr>
          <w:rFonts w:cs="Arial"/>
        </w:rPr>
        <w:t>co-</w:t>
      </w:r>
      <w:r w:rsidRPr="00AA03D6">
        <w:rPr>
          <w:rFonts w:cs="Arial"/>
        </w:rPr>
        <w:t>organizing debates on the advantages of the Madrid Protocol for the competitiveness of global Brazilian companies. </w:t>
      </w:r>
      <w:r>
        <w:rPr>
          <w:rFonts w:cs="Arial"/>
        </w:rPr>
        <w:t xml:space="preserve">  </w:t>
      </w:r>
      <w:r w:rsidRPr="00AA03D6">
        <w:rPr>
          <w:rFonts w:cs="Arial"/>
        </w:rPr>
        <w:t xml:space="preserve">In addition, </w:t>
      </w:r>
      <w:r>
        <w:rPr>
          <w:rFonts w:cs="Arial"/>
        </w:rPr>
        <w:t xml:space="preserve">the </w:t>
      </w:r>
      <w:r w:rsidRPr="00AA03D6">
        <w:rPr>
          <w:rFonts w:cs="Arial"/>
        </w:rPr>
        <w:t xml:space="preserve">WBO worked in coordination with </w:t>
      </w:r>
      <w:r>
        <w:rPr>
          <w:rFonts w:cs="Arial"/>
        </w:rPr>
        <w:t>Program 7 (Arbitration, Mediation and Domain Names)</w:t>
      </w:r>
      <w:r w:rsidRPr="00AA03D6">
        <w:rPr>
          <w:rFonts w:cs="Arial"/>
        </w:rPr>
        <w:t xml:space="preserve"> </w:t>
      </w:r>
      <w:r>
        <w:rPr>
          <w:rFonts w:cs="Arial"/>
        </w:rPr>
        <w:t xml:space="preserve">to strengthen collaboration with </w:t>
      </w:r>
      <w:r w:rsidRPr="00AA03D6">
        <w:rPr>
          <w:rFonts w:cs="Arial"/>
        </w:rPr>
        <w:t>the Brazilian Franchising Association (ABF) for the promotion of mediation services in the context of franchising and technology transfer contracts</w:t>
      </w:r>
      <w:r>
        <w:rPr>
          <w:rFonts w:cs="Arial"/>
        </w:rPr>
        <w:t>.</w:t>
      </w:r>
    </w:p>
    <w:p w:rsidR="00805A5E" w:rsidRPr="00AA03D6" w:rsidRDefault="00805A5E" w:rsidP="00743383">
      <w:pPr>
        <w:pStyle w:val="ListParagraph"/>
        <w:tabs>
          <w:tab w:val="left" w:pos="709"/>
        </w:tabs>
        <w:ind w:left="0"/>
        <w:jc w:val="both"/>
        <w:rPr>
          <w:rFonts w:cs="Arial"/>
        </w:rPr>
      </w:pPr>
    </w:p>
    <w:p w:rsidR="00805A5E" w:rsidRPr="0075534B" w:rsidRDefault="00805A5E" w:rsidP="00743383">
      <w:pPr>
        <w:pStyle w:val="ListParagraph"/>
        <w:numPr>
          <w:ilvl w:val="0"/>
          <w:numId w:val="160"/>
        </w:numPr>
        <w:tabs>
          <w:tab w:val="left" w:pos="709"/>
        </w:tabs>
        <w:ind w:left="0" w:firstLine="0"/>
        <w:jc w:val="both"/>
        <w:rPr>
          <w:rFonts w:cs="Arial"/>
          <w:bCs/>
          <w:u w:val="single"/>
        </w:rPr>
      </w:pPr>
      <w:r>
        <w:rPr>
          <w:rFonts w:cs="Arial"/>
        </w:rPr>
        <w:t>I</w:t>
      </w:r>
      <w:r w:rsidRPr="00AA03D6">
        <w:rPr>
          <w:rFonts w:cs="Arial"/>
        </w:rPr>
        <w:t>n cooperation with the Federation of Industries of the State of Rio de Janeiro in Brazil (FIRJAN), Cornell University and the Technology Network of Rio de Janeiro (REDETEC), and with the support of the National Institute of Industrial Property of Brazil (INPI)</w:t>
      </w:r>
      <w:r>
        <w:rPr>
          <w:rFonts w:cs="Arial"/>
        </w:rPr>
        <w:t xml:space="preserve">, the WBO jointly organized the regional launch of the </w:t>
      </w:r>
      <w:r w:rsidRPr="00AA03D6">
        <w:rPr>
          <w:rFonts w:cs="Arial"/>
        </w:rPr>
        <w:t>2015 Global Innovation Index (GII)</w:t>
      </w:r>
      <w:r>
        <w:rPr>
          <w:rFonts w:cs="Arial"/>
        </w:rPr>
        <w:t>,</w:t>
      </w:r>
      <w:r w:rsidRPr="00AA03D6">
        <w:rPr>
          <w:rFonts w:cs="Arial"/>
        </w:rPr>
        <w:t xml:space="preserve"> which took place in Rio de Janeiro.</w:t>
      </w:r>
      <w:r>
        <w:rPr>
          <w:rFonts w:cs="Arial"/>
        </w:rPr>
        <w:t>in September 2015.</w:t>
      </w:r>
    </w:p>
    <w:p w:rsidR="00805A5E" w:rsidRDefault="00805A5E" w:rsidP="00743383">
      <w:pPr>
        <w:tabs>
          <w:tab w:val="left" w:pos="709"/>
        </w:tabs>
        <w:jc w:val="both"/>
        <w:rPr>
          <w:rFonts w:cs="Arial"/>
          <w:bCs/>
          <w:szCs w:val="20"/>
          <w:u w:val="single"/>
        </w:rPr>
      </w:pPr>
    </w:p>
    <w:p w:rsidR="00805A5E" w:rsidRDefault="00805A5E" w:rsidP="00743383">
      <w:pPr>
        <w:tabs>
          <w:tab w:val="left" w:pos="709"/>
        </w:tabs>
        <w:jc w:val="both"/>
        <w:rPr>
          <w:rFonts w:cs="Arial"/>
          <w:bCs/>
          <w:szCs w:val="20"/>
          <w:u w:val="single"/>
        </w:rPr>
      </w:pPr>
      <w:r>
        <w:rPr>
          <w:rFonts w:cs="Arial"/>
          <w:bCs/>
          <w:szCs w:val="20"/>
          <w:u w:val="single"/>
        </w:rPr>
        <w:t>WIPO Office in China (WOC) (Ms. B. Wang)</w:t>
      </w:r>
    </w:p>
    <w:p w:rsidR="00805A5E" w:rsidRDefault="00805A5E" w:rsidP="00743383">
      <w:pPr>
        <w:tabs>
          <w:tab w:val="left" w:pos="709"/>
        </w:tabs>
        <w:jc w:val="both"/>
        <w:rPr>
          <w:rFonts w:cs="Arial"/>
          <w:bCs/>
          <w:szCs w:val="20"/>
          <w:u w:val="single"/>
        </w:rPr>
      </w:pPr>
    </w:p>
    <w:p w:rsidR="00805A5E" w:rsidRDefault="00805A5E" w:rsidP="00743383">
      <w:pPr>
        <w:pStyle w:val="ListParagraph"/>
        <w:numPr>
          <w:ilvl w:val="0"/>
          <w:numId w:val="160"/>
        </w:numPr>
        <w:tabs>
          <w:tab w:val="left" w:pos="709"/>
        </w:tabs>
        <w:ind w:left="0" w:firstLine="0"/>
        <w:jc w:val="both"/>
        <w:rPr>
          <w:rFonts w:cs="Arial"/>
        </w:rPr>
      </w:pPr>
      <w:r w:rsidRPr="00427F63">
        <w:rPr>
          <w:rFonts w:cs="Arial"/>
        </w:rPr>
        <w:t xml:space="preserve">The </w:t>
      </w:r>
      <w:r>
        <w:rPr>
          <w:rFonts w:cs="Arial"/>
        </w:rPr>
        <w:t>WOC</w:t>
      </w:r>
      <w:r w:rsidRPr="00427F63">
        <w:rPr>
          <w:rFonts w:cs="Arial"/>
        </w:rPr>
        <w:t xml:space="preserve"> was established in July</w:t>
      </w:r>
      <w:r>
        <w:rPr>
          <w:rFonts w:cs="Arial"/>
        </w:rPr>
        <w:t xml:space="preserve"> 2014</w:t>
      </w:r>
      <w:r w:rsidRPr="00427F63">
        <w:rPr>
          <w:rFonts w:cs="Arial"/>
        </w:rPr>
        <w:t xml:space="preserve"> and was engaged throughout the latter half of the year in establishing itself and consolidating its administrative set-up.  In this regard, close cooperation was established with the host country, particularly the Ministry of Foreign Affairs, the State Intellectual Property Office (SIPO), the State Administration for Industry and Commerce (SAIC), the National Copyright Administration of China (NCAC) and the Beijing Municipal Government which greatly facilitated the Office’s ability to quickly become operational. </w:t>
      </w:r>
    </w:p>
    <w:p w:rsidR="00805A5E" w:rsidRPr="00EC1F51" w:rsidRDefault="00805A5E" w:rsidP="00743383">
      <w:pPr>
        <w:pStyle w:val="ListParagraph"/>
        <w:tabs>
          <w:tab w:val="left" w:pos="709"/>
        </w:tabs>
        <w:ind w:left="0"/>
        <w:jc w:val="both"/>
        <w:rPr>
          <w:rFonts w:cs="Arial"/>
        </w:rPr>
      </w:pPr>
      <w:r w:rsidRPr="00427F63">
        <w:rPr>
          <w:rFonts w:cs="Arial"/>
        </w:rPr>
        <w:t xml:space="preserve">  </w:t>
      </w:r>
    </w:p>
    <w:p w:rsidR="00805A5E" w:rsidRDefault="00805A5E" w:rsidP="00743383">
      <w:pPr>
        <w:pStyle w:val="ListParagraph"/>
        <w:numPr>
          <w:ilvl w:val="0"/>
          <w:numId w:val="160"/>
        </w:numPr>
        <w:tabs>
          <w:tab w:val="left" w:pos="709"/>
        </w:tabs>
        <w:ind w:left="0" w:firstLine="0"/>
        <w:jc w:val="both"/>
        <w:rPr>
          <w:rFonts w:cs="Arial"/>
        </w:rPr>
      </w:pPr>
      <w:r w:rsidRPr="00EC1F51">
        <w:rPr>
          <w:rFonts w:cs="Arial"/>
        </w:rPr>
        <w:t xml:space="preserve">In </w:t>
      </w:r>
      <w:r>
        <w:rPr>
          <w:rFonts w:cs="Arial"/>
        </w:rPr>
        <w:t xml:space="preserve">both </w:t>
      </w:r>
      <w:r w:rsidRPr="00EC1F51">
        <w:rPr>
          <w:rFonts w:cs="Arial"/>
        </w:rPr>
        <w:t>2014</w:t>
      </w:r>
      <w:r>
        <w:rPr>
          <w:rFonts w:cs="Arial"/>
        </w:rPr>
        <w:t xml:space="preserve"> and 2015</w:t>
      </w:r>
      <w:r w:rsidRPr="00EC1F51">
        <w:rPr>
          <w:rFonts w:cs="Arial"/>
        </w:rPr>
        <w:t xml:space="preserve">, China was the third and seventh largest user of the PCT and Madrid systems respectively and so the promotion of WIPO’s services to the market in China was a priority for the Office from the outset. </w:t>
      </w:r>
      <w:r>
        <w:rPr>
          <w:rFonts w:cs="Arial"/>
        </w:rPr>
        <w:t xml:space="preserve"> PCT applications from China saw a 38 per cent increase in 2014/15 (55,394) as compared to 2012/13 (40,134).  Madrid System applications from China saw a two percent increase in 2014/15 (4,461) as compared to 2012/13 (4,373).  Indeed, 2015 witnessed a record number of applications from China (2,401) since its accession to the System in 1989.  </w:t>
      </w:r>
      <w:r w:rsidRPr="00EC1F51">
        <w:rPr>
          <w:rFonts w:cs="Arial"/>
        </w:rPr>
        <w:t xml:space="preserve">Events were organized in and around Beijing and further afield aimed at the </w:t>
      </w:r>
      <w:r>
        <w:rPr>
          <w:rFonts w:cs="Arial"/>
        </w:rPr>
        <w:t xml:space="preserve">current and potential </w:t>
      </w:r>
      <w:r w:rsidRPr="00EC1F51">
        <w:rPr>
          <w:rFonts w:cs="Arial"/>
        </w:rPr>
        <w:t xml:space="preserve">users of WIPO’s services. </w:t>
      </w:r>
      <w:r>
        <w:rPr>
          <w:rFonts w:cs="Arial"/>
        </w:rPr>
        <w:t xml:space="preserve"> L</w:t>
      </w:r>
      <w:r w:rsidRPr="00EC1F51">
        <w:rPr>
          <w:rFonts w:cs="Arial"/>
        </w:rPr>
        <w:t>inkages with industry an</w:t>
      </w:r>
      <w:r>
        <w:rPr>
          <w:rFonts w:cs="Arial"/>
        </w:rPr>
        <w:t xml:space="preserve">d </w:t>
      </w:r>
      <w:r w:rsidRPr="00EC1F51">
        <w:rPr>
          <w:rFonts w:cs="Arial"/>
        </w:rPr>
        <w:t xml:space="preserve">other stakeholders </w:t>
      </w:r>
      <w:r>
        <w:rPr>
          <w:rFonts w:cs="Arial"/>
        </w:rPr>
        <w:t xml:space="preserve">evolved and were further strengthened during the biennium with a view to </w:t>
      </w:r>
      <w:r w:rsidRPr="00EC1F51">
        <w:rPr>
          <w:rFonts w:cs="Arial"/>
        </w:rPr>
        <w:t>broaden</w:t>
      </w:r>
      <w:r>
        <w:rPr>
          <w:rFonts w:cs="Arial"/>
        </w:rPr>
        <w:t>ing the Office’s</w:t>
      </w:r>
      <w:r w:rsidRPr="00EC1F51">
        <w:rPr>
          <w:rFonts w:cs="Arial"/>
        </w:rPr>
        <w:t xml:space="preserve"> outreach to users elsewhere in China. </w:t>
      </w:r>
    </w:p>
    <w:p w:rsidR="00805A5E" w:rsidRDefault="00805A5E" w:rsidP="00743383">
      <w:pPr>
        <w:pStyle w:val="ListParagraph"/>
        <w:tabs>
          <w:tab w:val="left" w:pos="709"/>
        </w:tabs>
        <w:ind w:left="0"/>
        <w:jc w:val="both"/>
        <w:rPr>
          <w:rFonts w:cs="Arial"/>
        </w:rPr>
      </w:pPr>
    </w:p>
    <w:p w:rsidR="00805A5E" w:rsidRPr="00EC1F51" w:rsidRDefault="00805A5E" w:rsidP="00743383">
      <w:pPr>
        <w:pStyle w:val="ListParagraph"/>
        <w:numPr>
          <w:ilvl w:val="0"/>
          <w:numId w:val="160"/>
        </w:numPr>
        <w:tabs>
          <w:tab w:val="left" w:pos="709"/>
        </w:tabs>
        <w:ind w:left="0" w:firstLine="0"/>
        <w:jc w:val="both"/>
        <w:rPr>
          <w:rFonts w:cs="Arial"/>
        </w:rPr>
      </w:pPr>
      <w:r w:rsidRPr="00EC1F51">
        <w:rPr>
          <w:rFonts w:cs="Arial"/>
        </w:rPr>
        <w:t xml:space="preserve">The year 2014 witnessed China’s ratification of the Beijing Treaty on Audiovisual Performances. </w:t>
      </w:r>
      <w:r>
        <w:rPr>
          <w:rFonts w:cs="Arial"/>
        </w:rPr>
        <w:t xml:space="preserve"> A number of events were organized by the Office in cooperation with the Chinese Government to promote wider understanding of the Treaty.  In the meantime, </w:t>
      </w:r>
      <w:r w:rsidRPr="00EC1F51">
        <w:rPr>
          <w:rFonts w:cs="Arial"/>
        </w:rPr>
        <w:t xml:space="preserve">the Office </w:t>
      </w:r>
      <w:r>
        <w:rPr>
          <w:rFonts w:cs="Arial"/>
        </w:rPr>
        <w:t xml:space="preserve">also </w:t>
      </w:r>
      <w:r w:rsidRPr="00EC1F51">
        <w:rPr>
          <w:rFonts w:cs="Arial"/>
        </w:rPr>
        <w:t xml:space="preserve">focused efforts on the promotion of the Marrakesh Treaty. </w:t>
      </w:r>
      <w:r>
        <w:rPr>
          <w:rFonts w:cs="Arial"/>
        </w:rPr>
        <w:t xml:space="preserve"> </w:t>
      </w:r>
      <w:r w:rsidRPr="00EC1F51">
        <w:rPr>
          <w:rFonts w:cs="Arial"/>
        </w:rPr>
        <w:t>A Roundtable Workshop was organized by the Office in cooperation with NCAC in December</w:t>
      </w:r>
      <w:r>
        <w:rPr>
          <w:rFonts w:cs="Arial"/>
        </w:rPr>
        <w:t xml:space="preserve"> 2014</w:t>
      </w:r>
      <w:r w:rsidRPr="00EC1F51">
        <w:rPr>
          <w:rFonts w:cs="Arial"/>
        </w:rPr>
        <w:t xml:space="preserve">, attracting officials from universities and government, at which the possibility of accession and necessary preparatory steps were discussed. </w:t>
      </w:r>
      <w:r>
        <w:rPr>
          <w:rFonts w:cs="Arial"/>
        </w:rPr>
        <w:t xml:space="preserve"> The Office also facilitated the production of the Marrakesh Treaty (Chinese version) in Braille, Daisy and audio formats.</w:t>
      </w:r>
    </w:p>
    <w:p w:rsidR="00805A5E" w:rsidRPr="00EC1F51" w:rsidRDefault="00805A5E" w:rsidP="00743383">
      <w:pPr>
        <w:pStyle w:val="ListParagraph"/>
        <w:tabs>
          <w:tab w:val="left" w:pos="709"/>
        </w:tabs>
        <w:ind w:left="0"/>
        <w:jc w:val="both"/>
        <w:rPr>
          <w:rFonts w:cs="Arial"/>
        </w:rPr>
      </w:pPr>
    </w:p>
    <w:p w:rsidR="00805A5E" w:rsidRDefault="00805A5E" w:rsidP="00743383">
      <w:pPr>
        <w:pStyle w:val="ListParagraph"/>
        <w:numPr>
          <w:ilvl w:val="0"/>
          <w:numId w:val="160"/>
        </w:numPr>
        <w:tabs>
          <w:tab w:val="left" w:pos="709"/>
        </w:tabs>
        <w:ind w:left="0" w:firstLine="0"/>
        <w:jc w:val="both"/>
        <w:rPr>
          <w:rFonts w:cs="Arial"/>
        </w:rPr>
      </w:pPr>
      <w:r w:rsidRPr="00310818">
        <w:rPr>
          <w:rFonts w:cs="Arial"/>
        </w:rPr>
        <w:t xml:space="preserve">In the area of industrial designs, the Office </w:t>
      </w:r>
      <w:r>
        <w:rPr>
          <w:rFonts w:cs="Arial"/>
        </w:rPr>
        <w:t>continued to support</w:t>
      </w:r>
      <w:r w:rsidRPr="00310818">
        <w:rPr>
          <w:rFonts w:cs="Arial"/>
        </w:rPr>
        <w:t xml:space="preserve"> China’s intention to accede to </w:t>
      </w:r>
      <w:r>
        <w:rPr>
          <w:rFonts w:cs="Arial"/>
        </w:rPr>
        <w:t>t</w:t>
      </w:r>
      <w:r w:rsidRPr="00310818">
        <w:rPr>
          <w:rFonts w:cs="Arial"/>
        </w:rPr>
        <w:t xml:space="preserve">he Hague System. </w:t>
      </w:r>
      <w:r>
        <w:rPr>
          <w:rFonts w:cs="Arial"/>
        </w:rPr>
        <w:t xml:space="preserve"> </w:t>
      </w:r>
      <w:r w:rsidRPr="00310818">
        <w:rPr>
          <w:rFonts w:cs="Arial"/>
        </w:rPr>
        <w:t xml:space="preserve">Engagement with senior officials </w:t>
      </w:r>
      <w:r>
        <w:rPr>
          <w:rFonts w:cs="Arial"/>
        </w:rPr>
        <w:t xml:space="preserve">from the administration and legislature </w:t>
      </w:r>
      <w:r w:rsidRPr="00310818">
        <w:rPr>
          <w:rFonts w:cs="Arial"/>
        </w:rPr>
        <w:t>was initiated</w:t>
      </w:r>
      <w:r>
        <w:rPr>
          <w:rFonts w:cs="Arial"/>
        </w:rPr>
        <w:t>.</w:t>
      </w:r>
      <w:r w:rsidRPr="00310818">
        <w:rPr>
          <w:rFonts w:cs="Arial"/>
        </w:rPr>
        <w:t xml:space="preserve"> </w:t>
      </w:r>
      <w:r>
        <w:rPr>
          <w:rFonts w:cs="Arial"/>
        </w:rPr>
        <w:t xml:space="preserve"> T</w:t>
      </w:r>
      <w:r w:rsidRPr="00310818">
        <w:rPr>
          <w:rFonts w:cs="Arial"/>
        </w:rPr>
        <w:t xml:space="preserve">he Office participated in an International Symposium and </w:t>
      </w:r>
      <w:r>
        <w:rPr>
          <w:rFonts w:cs="Arial"/>
        </w:rPr>
        <w:t>organized or co-organized numerous</w:t>
      </w:r>
      <w:r w:rsidRPr="00310818">
        <w:rPr>
          <w:rFonts w:cs="Arial"/>
        </w:rPr>
        <w:t xml:space="preserve"> seminar</w:t>
      </w:r>
      <w:r>
        <w:rPr>
          <w:rFonts w:cs="Arial"/>
        </w:rPr>
        <w:t>s</w:t>
      </w:r>
      <w:r w:rsidRPr="00310818">
        <w:rPr>
          <w:rFonts w:cs="Arial"/>
        </w:rPr>
        <w:t xml:space="preserve"> on industrial designs, using these as opportunities to highlight the advantages and nature of the system.</w:t>
      </w:r>
      <w:r>
        <w:rPr>
          <w:rFonts w:cs="Arial"/>
        </w:rPr>
        <w:t xml:space="preserve"> </w:t>
      </w:r>
      <w:r w:rsidRPr="00310818">
        <w:rPr>
          <w:rFonts w:cs="Arial"/>
        </w:rPr>
        <w:t xml:space="preserve"> </w:t>
      </w:r>
      <w:r>
        <w:rPr>
          <w:rFonts w:cs="Arial"/>
        </w:rPr>
        <w:t xml:space="preserve">Concurrently, the Office engaged directly with the business community to promote the Hague system.  </w:t>
      </w:r>
      <w:r w:rsidRPr="00491FB5">
        <w:rPr>
          <w:rFonts w:cs="Arial"/>
        </w:rPr>
        <w:t xml:space="preserve">As a result, </w:t>
      </w:r>
      <w:r>
        <w:rPr>
          <w:rFonts w:cs="Arial"/>
        </w:rPr>
        <w:t xml:space="preserve">the </w:t>
      </w:r>
      <w:r w:rsidRPr="00491FB5">
        <w:rPr>
          <w:rFonts w:cs="Arial"/>
        </w:rPr>
        <w:t xml:space="preserve">Chinese company Lenovo </w:t>
      </w:r>
      <w:r>
        <w:rPr>
          <w:rFonts w:cs="Arial"/>
        </w:rPr>
        <w:t>was the</w:t>
      </w:r>
      <w:r w:rsidRPr="00491FB5">
        <w:rPr>
          <w:rFonts w:cs="Arial"/>
        </w:rPr>
        <w:t xml:space="preserve"> </w:t>
      </w:r>
      <w:r>
        <w:rPr>
          <w:rFonts w:cs="Arial"/>
        </w:rPr>
        <w:t>seventh largest user of the Hague System</w:t>
      </w:r>
      <w:r w:rsidRPr="00491FB5">
        <w:rPr>
          <w:rFonts w:cs="Arial"/>
        </w:rPr>
        <w:t xml:space="preserve"> in 2014. </w:t>
      </w:r>
      <w:r>
        <w:rPr>
          <w:rFonts w:cs="Arial"/>
        </w:rPr>
        <w:t xml:space="preserve"> In 2015, </w:t>
      </w:r>
      <w:r w:rsidRPr="00491FB5">
        <w:rPr>
          <w:rFonts w:cs="Arial"/>
        </w:rPr>
        <w:t xml:space="preserve">Huawei and Xiaomi </w:t>
      </w:r>
      <w:r>
        <w:rPr>
          <w:rFonts w:cs="Arial"/>
        </w:rPr>
        <w:t xml:space="preserve">also started to use </w:t>
      </w:r>
      <w:r w:rsidRPr="00491FB5">
        <w:rPr>
          <w:rFonts w:cs="Arial"/>
        </w:rPr>
        <w:t>the Hague System.</w:t>
      </w:r>
    </w:p>
    <w:p w:rsidR="005E61AB" w:rsidRPr="00310818" w:rsidRDefault="005E61AB" w:rsidP="005E61AB">
      <w:pPr>
        <w:pStyle w:val="ListParagraph"/>
        <w:tabs>
          <w:tab w:val="left" w:pos="709"/>
        </w:tabs>
        <w:ind w:left="0"/>
        <w:jc w:val="both"/>
        <w:rPr>
          <w:rFonts w:cs="Arial"/>
        </w:rPr>
      </w:pPr>
    </w:p>
    <w:p w:rsidR="00805A5E" w:rsidRDefault="00805A5E" w:rsidP="00743383">
      <w:pPr>
        <w:pStyle w:val="ListParagraph"/>
        <w:numPr>
          <w:ilvl w:val="0"/>
          <w:numId w:val="160"/>
        </w:numPr>
        <w:tabs>
          <w:tab w:val="left" w:pos="709"/>
        </w:tabs>
        <w:ind w:left="0" w:firstLine="0"/>
        <w:jc w:val="both"/>
        <w:rPr>
          <w:rFonts w:cs="Arial"/>
        </w:rPr>
      </w:pPr>
      <w:r w:rsidRPr="00DD415A">
        <w:rPr>
          <w:rFonts w:cs="Arial"/>
        </w:rPr>
        <w:lastRenderedPageBreak/>
        <w:t xml:space="preserve">The Office was also active during the </w:t>
      </w:r>
      <w:r>
        <w:rPr>
          <w:rFonts w:cs="Arial"/>
        </w:rPr>
        <w:t>biennium</w:t>
      </w:r>
      <w:r w:rsidRPr="0034427D">
        <w:rPr>
          <w:rFonts w:cs="Arial"/>
        </w:rPr>
        <w:t xml:space="preserve"> on a variety of additional initiatives. Discussions with SAIC were advanced with respect to cooperation with China on data exchange concerning the WIPO Global Brand Database</w:t>
      </w:r>
      <w:r>
        <w:rPr>
          <w:rFonts w:cs="Arial"/>
        </w:rPr>
        <w:t>, leading to the initiation of a trial data exchange in 2015</w:t>
      </w:r>
      <w:r w:rsidRPr="0034427D">
        <w:rPr>
          <w:rFonts w:cs="Arial"/>
        </w:rPr>
        <w:t xml:space="preserve">. </w:t>
      </w:r>
      <w:r>
        <w:rPr>
          <w:rFonts w:cs="Arial"/>
        </w:rPr>
        <w:t xml:space="preserve"> </w:t>
      </w:r>
      <w:r w:rsidRPr="0034427D">
        <w:rPr>
          <w:rFonts w:cs="Arial"/>
        </w:rPr>
        <w:t>The Office continued to promote WIPO’</w:t>
      </w:r>
      <w:r w:rsidRPr="00310818">
        <w:rPr>
          <w:rFonts w:cs="Arial"/>
        </w:rPr>
        <w:t xml:space="preserve">s platforms, and it was noteworthy that the Haier Group (one of the world’s largest electronic appliance manufacturers) </w:t>
      </w:r>
      <w:r>
        <w:rPr>
          <w:rFonts w:cs="Arial"/>
        </w:rPr>
        <w:t xml:space="preserve">and the China Technology Exchange </w:t>
      </w:r>
      <w:r w:rsidRPr="00310818">
        <w:rPr>
          <w:rFonts w:cs="Arial"/>
        </w:rPr>
        <w:t xml:space="preserve">joined WIPO GREEN </w:t>
      </w:r>
      <w:r>
        <w:rPr>
          <w:rFonts w:cs="Arial"/>
        </w:rPr>
        <w:t xml:space="preserve">in 2014 </w:t>
      </w:r>
      <w:r w:rsidRPr="00310818">
        <w:rPr>
          <w:rFonts w:cs="Arial"/>
        </w:rPr>
        <w:t xml:space="preserve">following the establishment of the Office. </w:t>
      </w:r>
      <w:r>
        <w:rPr>
          <w:rFonts w:cs="Arial"/>
        </w:rPr>
        <w:t xml:space="preserve"> In addition</w:t>
      </w:r>
      <w:r w:rsidRPr="00491FB5">
        <w:rPr>
          <w:rFonts w:cs="Arial"/>
        </w:rPr>
        <w:t xml:space="preserve">, </w:t>
      </w:r>
      <w:r>
        <w:rPr>
          <w:rFonts w:cs="Arial"/>
        </w:rPr>
        <w:t xml:space="preserve">the </w:t>
      </w:r>
      <w:r w:rsidRPr="00491FB5">
        <w:rPr>
          <w:rFonts w:cs="Arial"/>
        </w:rPr>
        <w:t>WOC</w:t>
      </w:r>
      <w:r>
        <w:rPr>
          <w:rFonts w:cs="Arial"/>
        </w:rPr>
        <w:t>,</w:t>
      </w:r>
      <w:r w:rsidRPr="00491FB5">
        <w:rPr>
          <w:rFonts w:cs="Arial"/>
        </w:rPr>
        <w:t xml:space="preserve"> in cooperation with </w:t>
      </w:r>
      <w:r>
        <w:rPr>
          <w:rFonts w:cs="Arial"/>
        </w:rPr>
        <w:t xml:space="preserve">the </w:t>
      </w:r>
      <w:r w:rsidRPr="00491FB5">
        <w:rPr>
          <w:rFonts w:cs="Arial"/>
        </w:rPr>
        <w:t xml:space="preserve">WIPO Arbitration and Mediation Center (AMC), undertook a number of promotional activities and training sessions to </w:t>
      </w:r>
      <w:r>
        <w:rPr>
          <w:rFonts w:cs="Arial"/>
        </w:rPr>
        <w:t xml:space="preserve">raise awareness and </w:t>
      </w:r>
      <w:r w:rsidRPr="00491FB5">
        <w:rPr>
          <w:rFonts w:cs="Arial"/>
        </w:rPr>
        <w:t>encourage Chinese stakeholders to use t</w:t>
      </w:r>
      <w:r>
        <w:rPr>
          <w:rFonts w:cs="Arial"/>
        </w:rPr>
        <w:t>he services offered by the AMC.</w:t>
      </w:r>
    </w:p>
    <w:p w:rsidR="00805A5E" w:rsidRDefault="00805A5E" w:rsidP="00743383">
      <w:pPr>
        <w:pStyle w:val="ListParagraph"/>
        <w:tabs>
          <w:tab w:val="left" w:pos="709"/>
        </w:tabs>
        <w:ind w:left="0"/>
        <w:jc w:val="both"/>
        <w:rPr>
          <w:rFonts w:cs="Arial"/>
        </w:rPr>
      </w:pPr>
    </w:p>
    <w:p w:rsidR="00805A5E" w:rsidRDefault="00805A5E" w:rsidP="00743383">
      <w:pPr>
        <w:pStyle w:val="ListParagraph"/>
        <w:numPr>
          <w:ilvl w:val="0"/>
          <w:numId w:val="160"/>
        </w:numPr>
        <w:tabs>
          <w:tab w:val="left" w:pos="709"/>
        </w:tabs>
        <w:ind w:left="0" w:firstLine="0"/>
        <w:jc w:val="both"/>
        <w:rPr>
          <w:rFonts w:cs="Arial"/>
        </w:rPr>
      </w:pPr>
      <w:r w:rsidRPr="00310818">
        <w:rPr>
          <w:rFonts w:cs="Arial"/>
        </w:rPr>
        <w:t xml:space="preserve">Meanwhile, the Office initiated activities to promote awareness of its presence and the importance of IP and innovation to China’s development. </w:t>
      </w:r>
      <w:r>
        <w:rPr>
          <w:rFonts w:cs="Arial"/>
        </w:rPr>
        <w:t xml:space="preserve"> </w:t>
      </w:r>
      <w:r w:rsidRPr="00310818">
        <w:rPr>
          <w:rFonts w:cs="Arial"/>
        </w:rPr>
        <w:t>Prominent examples of this were the 16</w:t>
      </w:r>
      <w:r w:rsidRPr="00DD415A">
        <w:rPr>
          <w:rFonts w:cs="Arial"/>
          <w:vertAlign w:val="superscript"/>
        </w:rPr>
        <w:t>th</w:t>
      </w:r>
      <w:r>
        <w:rPr>
          <w:rFonts w:cs="Arial"/>
          <w:vertAlign w:val="superscript"/>
        </w:rPr>
        <w:t> </w:t>
      </w:r>
      <w:r w:rsidRPr="00EC1F51">
        <w:rPr>
          <w:rFonts w:cs="Arial"/>
        </w:rPr>
        <w:t>Ceremony for the WIPO-SIPO Award for the Chinese Outstanding Patented Invention and Industrial Design and the 8</w:t>
      </w:r>
      <w:r w:rsidRPr="00DD415A">
        <w:rPr>
          <w:rFonts w:cs="Arial"/>
          <w:vertAlign w:val="superscript"/>
        </w:rPr>
        <w:t xml:space="preserve">th </w:t>
      </w:r>
      <w:r w:rsidRPr="00EC1F51">
        <w:rPr>
          <w:rFonts w:cs="Arial"/>
        </w:rPr>
        <w:t>International Exhibition of Inve</w:t>
      </w:r>
      <w:r>
        <w:rPr>
          <w:rFonts w:cs="Arial"/>
        </w:rPr>
        <w:t xml:space="preserve">ntions </w:t>
      </w:r>
      <w:r w:rsidRPr="00DD415A">
        <w:rPr>
          <w:rFonts w:cs="Arial"/>
        </w:rPr>
        <w:t>hosted by the China Invention Association at which the Office also presented WIPO awards.</w:t>
      </w:r>
    </w:p>
    <w:p w:rsidR="00805A5E" w:rsidRDefault="00805A5E" w:rsidP="00743383">
      <w:pPr>
        <w:pStyle w:val="ListParagraph"/>
        <w:tabs>
          <w:tab w:val="left" w:pos="709"/>
        </w:tabs>
        <w:ind w:left="0"/>
        <w:jc w:val="both"/>
        <w:rPr>
          <w:rFonts w:cs="Arial"/>
        </w:rPr>
      </w:pPr>
    </w:p>
    <w:p w:rsidR="00805A5E" w:rsidRDefault="00805A5E" w:rsidP="00743383">
      <w:pPr>
        <w:pStyle w:val="ListParagraph"/>
        <w:numPr>
          <w:ilvl w:val="0"/>
          <w:numId w:val="160"/>
        </w:numPr>
        <w:tabs>
          <w:tab w:val="left" w:pos="709"/>
        </w:tabs>
        <w:ind w:left="0" w:firstLine="0"/>
        <w:jc w:val="both"/>
        <w:rPr>
          <w:rFonts w:cs="Arial"/>
        </w:rPr>
      </w:pPr>
      <w:r>
        <w:rPr>
          <w:rFonts w:cs="Arial"/>
        </w:rPr>
        <w:t>In November 2015, a</w:t>
      </w:r>
      <w:r w:rsidRPr="00491FB5">
        <w:rPr>
          <w:rFonts w:cs="Arial"/>
        </w:rPr>
        <w:t xml:space="preserve"> MoU </w:t>
      </w:r>
      <w:r>
        <w:rPr>
          <w:rFonts w:cs="Arial"/>
        </w:rPr>
        <w:t>was</w:t>
      </w:r>
      <w:r w:rsidRPr="00491FB5">
        <w:rPr>
          <w:rFonts w:cs="Arial"/>
        </w:rPr>
        <w:t xml:space="preserve"> signed between WIPO and NCAC, </w:t>
      </w:r>
      <w:r>
        <w:rPr>
          <w:rFonts w:cs="Arial"/>
        </w:rPr>
        <w:t xml:space="preserve">further strengthening the bi-lateral cooperation with the WOC’s host government.  </w:t>
      </w:r>
      <w:r w:rsidRPr="00491FB5">
        <w:rPr>
          <w:rFonts w:cs="Arial"/>
        </w:rPr>
        <w:t xml:space="preserve">In addition, engagement and cooperation with local governments at </w:t>
      </w:r>
      <w:r>
        <w:rPr>
          <w:rFonts w:cs="Arial"/>
        </w:rPr>
        <w:t xml:space="preserve">the </w:t>
      </w:r>
      <w:r w:rsidRPr="00491FB5">
        <w:rPr>
          <w:rFonts w:cs="Arial"/>
        </w:rPr>
        <w:t xml:space="preserve">provincial and </w:t>
      </w:r>
      <w:r>
        <w:rPr>
          <w:rFonts w:cs="Arial"/>
        </w:rPr>
        <w:t>local</w:t>
      </w:r>
      <w:r w:rsidRPr="00491FB5">
        <w:rPr>
          <w:rFonts w:cs="Arial"/>
        </w:rPr>
        <w:t xml:space="preserve"> level</w:t>
      </w:r>
      <w:r>
        <w:rPr>
          <w:rFonts w:cs="Arial"/>
        </w:rPr>
        <w:t>s</w:t>
      </w:r>
      <w:r w:rsidRPr="00491FB5">
        <w:rPr>
          <w:rFonts w:cs="Arial"/>
        </w:rPr>
        <w:t xml:space="preserve"> </w:t>
      </w:r>
      <w:r>
        <w:rPr>
          <w:rFonts w:cs="Arial"/>
        </w:rPr>
        <w:t>continued to be</w:t>
      </w:r>
      <w:r w:rsidRPr="00491FB5">
        <w:rPr>
          <w:rFonts w:cs="Arial"/>
        </w:rPr>
        <w:t xml:space="preserve"> strengthened. </w:t>
      </w:r>
      <w:r>
        <w:rPr>
          <w:rFonts w:cs="Arial"/>
        </w:rPr>
        <w:t xml:space="preserve"> Notably, t</w:t>
      </w:r>
      <w:r w:rsidRPr="00491FB5">
        <w:rPr>
          <w:rFonts w:cs="Arial"/>
        </w:rPr>
        <w:t xml:space="preserve">wo MoUs </w:t>
      </w:r>
      <w:r>
        <w:rPr>
          <w:rFonts w:cs="Arial"/>
        </w:rPr>
        <w:t>were</w:t>
      </w:r>
      <w:r w:rsidRPr="00491FB5">
        <w:rPr>
          <w:rFonts w:cs="Arial"/>
        </w:rPr>
        <w:t xml:space="preserve"> signed between WIPO and </w:t>
      </w:r>
      <w:r>
        <w:rPr>
          <w:rFonts w:cs="Arial"/>
        </w:rPr>
        <w:t xml:space="preserve">the </w:t>
      </w:r>
      <w:r w:rsidRPr="00491FB5">
        <w:rPr>
          <w:rFonts w:cs="Arial"/>
        </w:rPr>
        <w:t>Shanghai Municipal Government</w:t>
      </w:r>
      <w:r>
        <w:rPr>
          <w:rFonts w:cs="Arial"/>
        </w:rPr>
        <w:t xml:space="preserve"> </w:t>
      </w:r>
      <w:r w:rsidRPr="00491FB5">
        <w:rPr>
          <w:rFonts w:cs="Arial"/>
        </w:rPr>
        <w:t xml:space="preserve">(2014) and </w:t>
      </w:r>
      <w:r>
        <w:rPr>
          <w:rFonts w:cs="Arial"/>
        </w:rPr>
        <w:t xml:space="preserve">the </w:t>
      </w:r>
      <w:r w:rsidRPr="00491FB5">
        <w:rPr>
          <w:rFonts w:cs="Arial"/>
        </w:rPr>
        <w:t>Beijing Municipal Government (2015</w:t>
      </w:r>
      <w:r>
        <w:rPr>
          <w:rFonts w:cs="Arial"/>
        </w:rPr>
        <w:t>).</w:t>
      </w:r>
    </w:p>
    <w:p w:rsidR="00805A5E" w:rsidRPr="00491FB5" w:rsidRDefault="00805A5E" w:rsidP="00743383">
      <w:pPr>
        <w:pStyle w:val="ListParagraph"/>
        <w:tabs>
          <w:tab w:val="left" w:pos="709"/>
        </w:tabs>
        <w:ind w:left="0"/>
        <w:jc w:val="both"/>
        <w:rPr>
          <w:rFonts w:cs="Arial"/>
        </w:rPr>
      </w:pPr>
    </w:p>
    <w:p w:rsidR="00805A5E" w:rsidRDefault="00805A5E" w:rsidP="00743383">
      <w:pPr>
        <w:pStyle w:val="ListParagraph"/>
        <w:numPr>
          <w:ilvl w:val="0"/>
          <w:numId w:val="160"/>
        </w:numPr>
        <w:tabs>
          <w:tab w:val="left" w:pos="709"/>
        </w:tabs>
        <w:ind w:left="0" w:firstLine="0"/>
        <w:jc w:val="both"/>
        <w:rPr>
          <w:rFonts w:cs="Arial"/>
        </w:rPr>
      </w:pPr>
      <w:r>
        <w:rPr>
          <w:rFonts w:cs="Arial"/>
        </w:rPr>
        <w:t>I</w:t>
      </w:r>
      <w:r w:rsidRPr="00491FB5">
        <w:rPr>
          <w:rFonts w:cs="Arial"/>
        </w:rPr>
        <w:t xml:space="preserve">n the area of technical assistance and capacity building, </w:t>
      </w:r>
      <w:r>
        <w:rPr>
          <w:rFonts w:cs="Arial"/>
        </w:rPr>
        <w:t xml:space="preserve">the WOC provided support to Program 11 (WIPO Academy) for </w:t>
      </w:r>
      <w:r w:rsidRPr="00491FB5">
        <w:rPr>
          <w:rFonts w:cs="Arial"/>
        </w:rPr>
        <w:t xml:space="preserve">the opening of the first WIPO Summer School at the campus of </w:t>
      </w:r>
      <w:r>
        <w:rPr>
          <w:rFonts w:cs="Arial"/>
        </w:rPr>
        <w:t xml:space="preserve">the </w:t>
      </w:r>
      <w:r w:rsidRPr="00491FB5">
        <w:rPr>
          <w:rFonts w:cs="Arial"/>
        </w:rPr>
        <w:t>East China University of Political Science and Law in May 2015</w:t>
      </w:r>
      <w:r>
        <w:rPr>
          <w:rFonts w:cs="Arial"/>
        </w:rPr>
        <w:t>, as well as on the</w:t>
      </w:r>
      <w:r w:rsidRPr="00491FB5">
        <w:rPr>
          <w:rFonts w:cs="Arial"/>
        </w:rPr>
        <w:t xml:space="preserve"> preparation of </w:t>
      </w:r>
      <w:r>
        <w:rPr>
          <w:rFonts w:cs="Arial"/>
        </w:rPr>
        <w:t>a MoU with the</w:t>
      </w:r>
      <w:r w:rsidRPr="00491FB5">
        <w:rPr>
          <w:rFonts w:cs="Arial"/>
        </w:rPr>
        <w:t xml:space="preserve"> China IP Training Center.</w:t>
      </w:r>
    </w:p>
    <w:p w:rsidR="00805A5E" w:rsidRPr="00491FB5" w:rsidRDefault="00805A5E" w:rsidP="00743383">
      <w:pPr>
        <w:pStyle w:val="ListParagraph"/>
        <w:tabs>
          <w:tab w:val="left" w:pos="709"/>
        </w:tabs>
        <w:ind w:left="0"/>
        <w:jc w:val="both"/>
        <w:rPr>
          <w:rFonts w:cs="Arial"/>
        </w:rPr>
      </w:pPr>
    </w:p>
    <w:p w:rsidR="00805A5E" w:rsidRDefault="00805A5E" w:rsidP="00743383">
      <w:pPr>
        <w:pStyle w:val="ListParagraph"/>
        <w:numPr>
          <w:ilvl w:val="0"/>
          <w:numId w:val="160"/>
        </w:numPr>
        <w:tabs>
          <w:tab w:val="left" w:pos="709"/>
        </w:tabs>
        <w:ind w:left="0" w:firstLine="0"/>
        <w:jc w:val="both"/>
        <w:rPr>
          <w:rFonts w:cs="Arial"/>
        </w:rPr>
      </w:pPr>
      <w:r>
        <w:rPr>
          <w:rFonts w:cs="Arial"/>
        </w:rPr>
        <w:t>O</w:t>
      </w:r>
      <w:r w:rsidRPr="00491FB5">
        <w:rPr>
          <w:rFonts w:cs="Arial"/>
        </w:rPr>
        <w:t xml:space="preserve">utreach </w:t>
      </w:r>
      <w:r>
        <w:rPr>
          <w:rFonts w:cs="Arial"/>
        </w:rPr>
        <w:t xml:space="preserve">to relevant stakeholders </w:t>
      </w:r>
      <w:r w:rsidRPr="00491FB5">
        <w:rPr>
          <w:rFonts w:cs="Arial"/>
        </w:rPr>
        <w:t>with a view to raising public awareness about WIPO and IPR in China</w:t>
      </w:r>
      <w:r>
        <w:rPr>
          <w:rFonts w:cs="Arial"/>
        </w:rPr>
        <w:t xml:space="preserve"> continued to be strengthened in collaboration with Chinese IP authorities, including on the occasion of </w:t>
      </w:r>
      <w:r w:rsidRPr="00491FB5">
        <w:rPr>
          <w:rFonts w:cs="Arial"/>
        </w:rPr>
        <w:t>World IP Day</w:t>
      </w:r>
      <w:r>
        <w:rPr>
          <w:rFonts w:cs="Arial"/>
        </w:rPr>
        <w:t xml:space="preserve">.  </w:t>
      </w:r>
      <w:r w:rsidRPr="00491FB5">
        <w:rPr>
          <w:rFonts w:cs="Arial"/>
        </w:rPr>
        <w:t xml:space="preserve">In July 2015, </w:t>
      </w:r>
      <w:r>
        <w:rPr>
          <w:rFonts w:cs="Arial"/>
        </w:rPr>
        <w:t xml:space="preserve">the </w:t>
      </w:r>
      <w:r w:rsidRPr="00491FB5">
        <w:rPr>
          <w:rFonts w:cs="Arial"/>
        </w:rPr>
        <w:t xml:space="preserve">WOC organized </w:t>
      </w:r>
      <w:r>
        <w:rPr>
          <w:rFonts w:cs="Arial"/>
        </w:rPr>
        <w:t>a</w:t>
      </w:r>
      <w:r w:rsidRPr="00491FB5">
        <w:rPr>
          <w:rFonts w:cs="Arial"/>
        </w:rPr>
        <w:t xml:space="preserve"> seminar</w:t>
      </w:r>
      <w:r>
        <w:rPr>
          <w:rFonts w:cs="Arial"/>
        </w:rPr>
        <w:t xml:space="preserve"> for </w:t>
      </w:r>
      <w:r w:rsidRPr="00491FB5">
        <w:rPr>
          <w:rFonts w:cs="Arial"/>
        </w:rPr>
        <w:t xml:space="preserve">over 80 journalists. </w:t>
      </w:r>
    </w:p>
    <w:p w:rsidR="00805A5E" w:rsidRDefault="00805A5E" w:rsidP="00743383">
      <w:pPr>
        <w:pStyle w:val="ListParagraph"/>
        <w:tabs>
          <w:tab w:val="left" w:pos="709"/>
        </w:tabs>
        <w:ind w:left="0"/>
        <w:jc w:val="both"/>
        <w:rPr>
          <w:rFonts w:cs="Arial"/>
        </w:rPr>
      </w:pPr>
    </w:p>
    <w:p w:rsidR="00805A5E" w:rsidRPr="00B14350" w:rsidRDefault="00805A5E" w:rsidP="00743383">
      <w:pPr>
        <w:pStyle w:val="ListParagraph"/>
        <w:numPr>
          <w:ilvl w:val="0"/>
          <w:numId w:val="160"/>
        </w:numPr>
        <w:tabs>
          <w:tab w:val="left" w:pos="709"/>
        </w:tabs>
        <w:ind w:left="0" w:firstLine="0"/>
        <w:jc w:val="both"/>
        <w:rPr>
          <w:rFonts w:cs="Arial"/>
        </w:rPr>
      </w:pPr>
      <w:r>
        <w:rPr>
          <w:rFonts w:cs="Arial"/>
        </w:rPr>
        <w:t xml:space="preserve">In addition, the WOC continued to play an integral role in providing round-the-clock customer service.  With </w:t>
      </w:r>
      <w:r w:rsidRPr="00491FB5">
        <w:rPr>
          <w:rFonts w:cs="Arial"/>
        </w:rPr>
        <w:t xml:space="preserve">two customer service hot-lines and one customer-email box, </w:t>
      </w:r>
      <w:r>
        <w:rPr>
          <w:rFonts w:cs="Arial"/>
        </w:rPr>
        <w:t xml:space="preserve">the </w:t>
      </w:r>
      <w:r w:rsidRPr="00491FB5">
        <w:rPr>
          <w:rFonts w:cs="Arial"/>
        </w:rPr>
        <w:t>WOC answered over 700</w:t>
      </w:r>
      <w:r>
        <w:rPr>
          <w:rFonts w:cs="Arial"/>
        </w:rPr>
        <w:t> </w:t>
      </w:r>
      <w:r w:rsidRPr="00491FB5">
        <w:rPr>
          <w:rFonts w:cs="Arial"/>
        </w:rPr>
        <w:t>inquiries from users of WIPO services in China in Mandarin</w:t>
      </w:r>
      <w:r>
        <w:rPr>
          <w:rFonts w:cs="Arial"/>
        </w:rPr>
        <w:t xml:space="preserve"> during local working hours, which significantly raised satisfaction</w:t>
      </w:r>
      <w:r w:rsidRPr="00491FB5">
        <w:rPr>
          <w:rFonts w:cs="Arial"/>
        </w:rPr>
        <w:t>.</w:t>
      </w:r>
    </w:p>
    <w:p w:rsidR="00805A5E" w:rsidRPr="00543428" w:rsidRDefault="00805A5E" w:rsidP="00743383">
      <w:pPr>
        <w:pStyle w:val="ListParagraph"/>
        <w:tabs>
          <w:tab w:val="left" w:pos="709"/>
        </w:tabs>
        <w:ind w:left="0"/>
        <w:jc w:val="both"/>
        <w:rPr>
          <w:rFonts w:cs="Arial"/>
          <w:bCs/>
          <w:u w:val="single"/>
        </w:rPr>
      </w:pPr>
    </w:p>
    <w:p w:rsidR="00805A5E" w:rsidRPr="00D75538" w:rsidRDefault="00805A5E" w:rsidP="00743383">
      <w:pPr>
        <w:tabs>
          <w:tab w:val="left" w:pos="709"/>
        </w:tabs>
        <w:jc w:val="both"/>
        <w:rPr>
          <w:bCs/>
          <w:u w:val="single"/>
        </w:rPr>
      </w:pPr>
      <w:r w:rsidRPr="00D75538">
        <w:rPr>
          <w:bCs/>
          <w:u w:val="single"/>
        </w:rPr>
        <w:t>WIPO Japan Office</w:t>
      </w:r>
      <w:r>
        <w:rPr>
          <w:bCs/>
          <w:u w:val="single"/>
        </w:rPr>
        <w:t xml:space="preserve"> (WJO) (Mr. Y. Takagi)</w:t>
      </w:r>
    </w:p>
    <w:p w:rsidR="00805A5E" w:rsidRDefault="00805A5E" w:rsidP="00743383">
      <w:pPr>
        <w:tabs>
          <w:tab w:val="left" w:pos="709"/>
        </w:tabs>
        <w:jc w:val="both"/>
        <w:rPr>
          <w:bCs/>
        </w:rPr>
      </w:pPr>
    </w:p>
    <w:p w:rsidR="00805A5E" w:rsidRDefault="00805A5E" w:rsidP="00743383">
      <w:pPr>
        <w:pStyle w:val="ListParagraph"/>
        <w:numPr>
          <w:ilvl w:val="0"/>
          <w:numId w:val="160"/>
        </w:numPr>
        <w:tabs>
          <w:tab w:val="left" w:pos="709"/>
        </w:tabs>
        <w:ind w:left="0" w:firstLine="0"/>
        <w:jc w:val="both"/>
        <w:rPr>
          <w:rFonts w:cs="Arial"/>
        </w:rPr>
      </w:pPr>
      <w:r w:rsidRPr="00491FB5">
        <w:rPr>
          <w:rFonts w:cs="Arial"/>
        </w:rPr>
        <w:t>During the biennium, the WJO continued to focus its attention on WIPO</w:t>
      </w:r>
      <w:r>
        <w:rPr>
          <w:rFonts w:cs="Arial"/>
        </w:rPr>
        <w:t>’ IP systems</w:t>
      </w:r>
      <w:r w:rsidRPr="00491FB5">
        <w:rPr>
          <w:rFonts w:cs="Arial"/>
        </w:rPr>
        <w:t xml:space="preserve">, Global Databases and multi-stakeholder platforms in </w:t>
      </w:r>
      <w:r>
        <w:rPr>
          <w:rFonts w:cs="Arial"/>
        </w:rPr>
        <w:t xml:space="preserve">the </w:t>
      </w:r>
      <w:r w:rsidRPr="00491FB5">
        <w:rPr>
          <w:rFonts w:cs="Arial"/>
        </w:rPr>
        <w:t>Japan</w:t>
      </w:r>
      <w:r>
        <w:rPr>
          <w:rFonts w:cs="Arial"/>
        </w:rPr>
        <w:t>ese market</w:t>
      </w:r>
      <w:r w:rsidRPr="00491FB5">
        <w:rPr>
          <w:rFonts w:cs="Arial"/>
        </w:rPr>
        <w:t xml:space="preserve">. </w:t>
      </w:r>
      <w:r>
        <w:rPr>
          <w:rFonts w:cs="Arial"/>
        </w:rPr>
        <w:t xml:space="preserve"> </w:t>
      </w:r>
      <w:r w:rsidRPr="00491FB5">
        <w:rPr>
          <w:rFonts w:cs="Arial"/>
        </w:rPr>
        <w:t xml:space="preserve">This included the provision of timely and efficient services to users of these </w:t>
      </w:r>
      <w:r>
        <w:rPr>
          <w:rFonts w:cs="Arial"/>
        </w:rPr>
        <w:t>s</w:t>
      </w:r>
      <w:r w:rsidRPr="00491FB5">
        <w:rPr>
          <w:rFonts w:cs="Arial"/>
        </w:rPr>
        <w:t xml:space="preserve">ervices. </w:t>
      </w:r>
      <w:r>
        <w:rPr>
          <w:rFonts w:cs="Arial"/>
        </w:rPr>
        <w:t xml:space="preserve"> </w:t>
      </w:r>
      <w:r w:rsidRPr="00491FB5">
        <w:rPr>
          <w:rFonts w:cs="Arial"/>
        </w:rPr>
        <w:t>At one level, this involved the Office’s provision of advice and information to the almost 1</w:t>
      </w:r>
      <w:r>
        <w:rPr>
          <w:rFonts w:cs="Arial"/>
        </w:rPr>
        <w:t>,</w:t>
      </w:r>
      <w:r w:rsidRPr="00491FB5">
        <w:rPr>
          <w:rFonts w:cs="Arial"/>
        </w:rPr>
        <w:t xml:space="preserve">500 inquiries received by the </w:t>
      </w:r>
      <w:r>
        <w:rPr>
          <w:rFonts w:cs="Arial"/>
        </w:rPr>
        <w:t>O</w:t>
      </w:r>
      <w:r w:rsidRPr="00491FB5">
        <w:rPr>
          <w:rFonts w:cs="Arial"/>
        </w:rPr>
        <w:t>ffice</w:t>
      </w:r>
      <w:r>
        <w:rPr>
          <w:rFonts w:cs="Arial"/>
        </w:rPr>
        <w:t xml:space="preserve"> in the biennium</w:t>
      </w:r>
      <w:r w:rsidRPr="00491FB5">
        <w:rPr>
          <w:rFonts w:cs="Arial"/>
        </w:rPr>
        <w:t>.</w:t>
      </w:r>
      <w:r>
        <w:rPr>
          <w:rFonts w:cs="Arial"/>
        </w:rPr>
        <w:t xml:space="preserve"> </w:t>
      </w:r>
      <w:r w:rsidRPr="00491FB5">
        <w:rPr>
          <w:rFonts w:cs="Arial"/>
        </w:rPr>
        <w:t xml:space="preserve"> At another level, it involved reaching out to users of WIPO services and other stakeholders closely collaborating with and supported by host government institutions, industry and universities in Japan. In this regard, promotional activities included 75 presentations targeting key Japanese stakeholders </w:t>
      </w:r>
      <w:r>
        <w:rPr>
          <w:rFonts w:cs="Arial"/>
        </w:rPr>
        <w:t xml:space="preserve">and </w:t>
      </w:r>
      <w:r w:rsidRPr="00491FB5">
        <w:rPr>
          <w:rFonts w:cs="Arial"/>
        </w:rPr>
        <w:t xml:space="preserve">attracting approximately 10,000 participants. </w:t>
      </w:r>
      <w:r>
        <w:rPr>
          <w:rFonts w:cs="Arial"/>
        </w:rPr>
        <w:t xml:space="preserve"> </w:t>
      </w:r>
    </w:p>
    <w:p w:rsidR="00805A5E" w:rsidRPr="00491FB5" w:rsidRDefault="00805A5E" w:rsidP="00743383">
      <w:pPr>
        <w:pStyle w:val="ListParagraph"/>
        <w:tabs>
          <w:tab w:val="left" w:pos="709"/>
        </w:tabs>
        <w:ind w:left="0"/>
        <w:jc w:val="both"/>
        <w:rPr>
          <w:rFonts w:cs="Arial"/>
        </w:rPr>
      </w:pPr>
    </w:p>
    <w:p w:rsidR="00805A5E" w:rsidRDefault="00805A5E" w:rsidP="00743383">
      <w:pPr>
        <w:pStyle w:val="ListParagraph"/>
        <w:numPr>
          <w:ilvl w:val="0"/>
          <w:numId w:val="160"/>
        </w:numPr>
        <w:tabs>
          <w:tab w:val="left" w:pos="709"/>
        </w:tabs>
        <w:ind w:left="0" w:firstLine="0"/>
        <w:jc w:val="both"/>
        <w:rPr>
          <w:rFonts w:cs="Arial"/>
        </w:rPr>
      </w:pPr>
      <w:r>
        <w:rPr>
          <w:rFonts w:cs="Arial"/>
        </w:rPr>
        <w:t>A significant achievement in the biennium was the accession by Japan to the Hague System in February 2015 with the System entering into force in May, 2015</w:t>
      </w:r>
      <w:r w:rsidRPr="00491FB5">
        <w:rPr>
          <w:rFonts w:cs="Arial"/>
        </w:rPr>
        <w:t xml:space="preserve">.  The WJO provided potential users such as companies and law firms with the latest information on the Hague </w:t>
      </w:r>
      <w:r>
        <w:rPr>
          <w:rFonts w:cs="Arial"/>
        </w:rPr>
        <w:t>S</w:t>
      </w:r>
      <w:r w:rsidRPr="00491FB5">
        <w:rPr>
          <w:rFonts w:cs="Arial"/>
        </w:rPr>
        <w:t xml:space="preserve">ystem.  </w:t>
      </w:r>
      <w:r>
        <w:rPr>
          <w:rFonts w:cs="Arial"/>
        </w:rPr>
        <w:t xml:space="preserve">In order to facilitate use of the System, the </w:t>
      </w:r>
      <w:r w:rsidRPr="00491FB5">
        <w:rPr>
          <w:rFonts w:cs="Arial"/>
        </w:rPr>
        <w:t xml:space="preserve">WJO provided practical training on </w:t>
      </w:r>
      <w:r>
        <w:rPr>
          <w:rFonts w:cs="Arial"/>
        </w:rPr>
        <w:t>e</w:t>
      </w:r>
      <w:r w:rsidRPr="00491FB5">
        <w:rPr>
          <w:rFonts w:cs="Arial"/>
        </w:rPr>
        <w:t>-</w:t>
      </w:r>
      <w:r>
        <w:rPr>
          <w:rFonts w:cs="Arial"/>
        </w:rPr>
        <w:t>f</w:t>
      </w:r>
      <w:r w:rsidRPr="00491FB5">
        <w:rPr>
          <w:rFonts w:cs="Arial"/>
        </w:rPr>
        <w:t xml:space="preserve">iling and </w:t>
      </w:r>
      <w:r>
        <w:rPr>
          <w:rFonts w:cs="Arial"/>
        </w:rPr>
        <w:t xml:space="preserve">responded to user questions in order to </w:t>
      </w:r>
      <w:r w:rsidRPr="00491FB5">
        <w:rPr>
          <w:rFonts w:cs="Arial"/>
        </w:rPr>
        <w:t>reassure</w:t>
      </w:r>
      <w:r>
        <w:rPr>
          <w:rFonts w:cs="Arial"/>
        </w:rPr>
        <w:t xml:space="preserve"> users and increase interest in and use of the System.  By the end of the biennium, </w:t>
      </w:r>
      <w:r w:rsidRPr="00491FB5">
        <w:rPr>
          <w:rFonts w:cs="Arial"/>
        </w:rPr>
        <w:t xml:space="preserve">411 </w:t>
      </w:r>
      <w:r>
        <w:rPr>
          <w:rFonts w:cs="Arial"/>
        </w:rPr>
        <w:t>designs had already been filed</w:t>
      </w:r>
      <w:r w:rsidRPr="00491FB5">
        <w:rPr>
          <w:rFonts w:cs="Arial"/>
        </w:rPr>
        <w:t xml:space="preserve"> </w:t>
      </w:r>
      <w:r>
        <w:rPr>
          <w:rFonts w:cs="Arial"/>
        </w:rPr>
        <w:t xml:space="preserve">using the System </w:t>
      </w:r>
      <w:r w:rsidRPr="00491FB5">
        <w:rPr>
          <w:rFonts w:cs="Arial"/>
        </w:rPr>
        <w:t>in seven and half months.</w:t>
      </w:r>
    </w:p>
    <w:p w:rsidR="00805A5E" w:rsidRPr="00491FB5" w:rsidRDefault="00805A5E" w:rsidP="00743383">
      <w:pPr>
        <w:pStyle w:val="ListParagraph"/>
        <w:tabs>
          <w:tab w:val="left" w:pos="709"/>
        </w:tabs>
        <w:ind w:left="0"/>
        <w:jc w:val="both"/>
        <w:rPr>
          <w:rFonts w:cs="Arial"/>
        </w:rPr>
      </w:pPr>
    </w:p>
    <w:p w:rsidR="00805A5E" w:rsidRDefault="00805A5E" w:rsidP="00743383">
      <w:pPr>
        <w:pStyle w:val="ListParagraph"/>
        <w:numPr>
          <w:ilvl w:val="0"/>
          <w:numId w:val="160"/>
        </w:numPr>
        <w:tabs>
          <w:tab w:val="left" w:pos="709"/>
        </w:tabs>
        <w:ind w:left="0" w:firstLine="0"/>
        <w:jc w:val="both"/>
        <w:rPr>
          <w:rFonts w:cs="Arial"/>
        </w:rPr>
      </w:pPr>
      <w:r w:rsidRPr="00491FB5">
        <w:rPr>
          <w:rFonts w:cs="Arial"/>
        </w:rPr>
        <w:t xml:space="preserve">The Office was also focused more broadly </w:t>
      </w:r>
      <w:r>
        <w:rPr>
          <w:rFonts w:cs="Arial"/>
        </w:rPr>
        <w:t xml:space="preserve">on </w:t>
      </w:r>
      <w:r w:rsidRPr="00491FB5">
        <w:rPr>
          <w:rFonts w:cs="Arial"/>
        </w:rPr>
        <w:t xml:space="preserve">raising awareness of WIPO and its activities. </w:t>
      </w:r>
      <w:r>
        <w:rPr>
          <w:rFonts w:cs="Arial"/>
        </w:rPr>
        <w:t xml:space="preserve"> </w:t>
      </w:r>
      <w:r w:rsidRPr="00491FB5">
        <w:rPr>
          <w:rFonts w:cs="Arial"/>
        </w:rPr>
        <w:t xml:space="preserve">This was achieved through holding numerous meetings with Japanese stakeholders, participating in events, providing lectures at universities and through e-learning, producing key and important WIPO flyers in Japanese, and providing WIPO information on the WJO website. </w:t>
      </w:r>
      <w:r>
        <w:rPr>
          <w:rFonts w:cs="Arial"/>
        </w:rPr>
        <w:t xml:space="preserve"> </w:t>
      </w:r>
      <w:r w:rsidRPr="00491FB5">
        <w:rPr>
          <w:rFonts w:cs="Arial"/>
        </w:rPr>
        <w:t>The Office continued to play an important role in ensuring WIPO’s round-the-clock customer service.</w:t>
      </w:r>
    </w:p>
    <w:p w:rsidR="00805A5E" w:rsidRPr="00491FB5" w:rsidRDefault="00805A5E" w:rsidP="00743383">
      <w:pPr>
        <w:pStyle w:val="ListParagraph"/>
        <w:tabs>
          <w:tab w:val="left" w:pos="709"/>
        </w:tabs>
        <w:ind w:left="0"/>
        <w:jc w:val="both"/>
        <w:rPr>
          <w:rFonts w:cs="Arial"/>
        </w:rPr>
      </w:pPr>
    </w:p>
    <w:p w:rsidR="00805A5E" w:rsidRDefault="00805A5E" w:rsidP="00743383">
      <w:pPr>
        <w:pStyle w:val="ListParagraph"/>
        <w:numPr>
          <w:ilvl w:val="0"/>
          <w:numId w:val="160"/>
        </w:numPr>
        <w:tabs>
          <w:tab w:val="left" w:pos="709"/>
        </w:tabs>
        <w:ind w:left="0" w:firstLine="0"/>
        <w:jc w:val="both"/>
        <w:rPr>
          <w:rFonts w:cs="Arial"/>
        </w:rPr>
      </w:pPr>
      <w:r w:rsidRPr="00491FB5">
        <w:rPr>
          <w:rFonts w:cs="Arial"/>
        </w:rPr>
        <w:t xml:space="preserve">In addition to </w:t>
      </w:r>
      <w:r>
        <w:rPr>
          <w:rFonts w:cs="Arial"/>
        </w:rPr>
        <w:t xml:space="preserve">the promotion of the </w:t>
      </w:r>
      <w:r w:rsidRPr="00491FB5">
        <w:rPr>
          <w:rFonts w:cs="Arial"/>
        </w:rPr>
        <w:t xml:space="preserve">PCT and PATENTSCOPE, a member of the WJO </w:t>
      </w:r>
      <w:r>
        <w:rPr>
          <w:rFonts w:cs="Arial"/>
        </w:rPr>
        <w:t xml:space="preserve">who was </w:t>
      </w:r>
      <w:r w:rsidRPr="00491FB5">
        <w:rPr>
          <w:rFonts w:cs="Arial"/>
        </w:rPr>
        <w:t xml:space="preserve">fully engaged in the promotion of the Madrid </w:t>
      </w:r>
      <w:r w:rsidRPr="00FA06FC">
        <w:rPr>
          <w:rFonts w:cs="Arial"/>
        </w:rPr>
        <w:t xml:space="preserve">System made individual visits to some 200 companies and participated as a speaker in numerous seminars.  This initiative, to ensure that current and potential users </w:t>
      </w:r>
      <w:r w:rsidRPr="00FA06FC">
        <w:rPr>
          <w:rFonts w:cs="Arial"/>
        </w:rPr>
        <w:lastRenderedPageBreak/>
        <w:t>remain updated with the latest information on legislative changes and trademark databases, contributed to a significant increase in the number</w:t>
      </w:r>
      <w:r w:rsidRPr="00491FB5">
        <w:rPr>
          <w:rFonts w:cs="Arial"/>
        </w:rPr>
        <w:t xml:space="preserve"> of Madrid applications from Japan (as an Office of origin) from 1,845 in 2013 to 2,167 in 2015 (a 17</w:t>
      </w:r>
      <w:r>
        <w:rPr>
          <w:rFonts w:cs="Arial"/>
        </w:rPr>
        <w:t xml:space="preserve"> per cent</w:t>
      </w:r>
      <w:r w:rsidRPr="00491FB5">
        <w:rPr>
          <w:rFonts w:cs="Arial"/>
        </w:rPr>
        <w:t xml:space="preserve"> increase). </w:t>
      </w:r>
    </w:p>
    <w:p w:rsidR="00805A5E" w:rsidRDefault="00805A5E" w:rsidP="00743383">
      <w:pPr>
        <w:pStyle w:val="ListParagraph"/>
        <w:numPr>
          <w:ilvl w:val="0"/>
          <w:numId w:val="160"/>
        </w:numPr>
        <w:tabs>
          <w:tab w:val="left" w:pos="709"/>
        </w:tabs>
        <w:ind w:left="0" w:firstLine="0"/>
        <w:jc w:val="both"/>
        <w:rPr>
          <w:rFonts w:cs="Arial"/>
        </w:rPr>
      </w:pPr>
      <w:r w:rsidRPr="00491FB5">
        <w:rPr>
          <w:rFonts w:cs="Arial"/>
        </w:rPr>
        <w:t xml:space="preserve">Additionally, the WJO actively promoted WIPO’s multi-stakeholder platforms. The result of these efforts was reflected in the addition of four Japanese institutes as new partners of WIPO GREEN and one pharmaceutical institution as a member of WIPO Re:Search in the biennium. </w:t>
      </w:r>
      <w:r>
        <w:rPr>
          <w:rFonts w:cs="Arial"/>
        </w:rPr>
        <w:t xml:space="preserve"> </w:t>
      </w:r>
      <w:r w:rsidRPr="00491FB5">
        <w:rPr>
          <w:rFonts w:cs="Arial"/>
        </w:rPr>
        <w:t xml:space="preserve">The WJO‘s efforts also contributed to an increase in WIPO GREEN registrations. </w:t>
      </w:r>
    </w:p>
    <w:p w:rsidR="00805A5E" w:rsidRPr="00491FB5" w:rsidRDefault="00805A5E" w:rsidP="00743383">
      <w:pPr>
        <w:pStyle w:val="ListParagraph"/>
        <w:tabs>
          <w:tab w:val="left" w:pos="709"/>
        </w:tabs>
        <w:ind w:left="0"/>
        <w:jc w:val="both"/>
        <w:rPr>
          <w:rFonts w:cs="Arial"/>
        </w:rPr>
      </w:pPr>
    </w:p>
    <w:p w:rsidR="00805A5E" w:rsidRDefault="00805A5E" w:rsidP="00743383">
      <w:pPr>
        <w:pStyle w:val="ListParagraph"/>
        <w:numPr>
          <w:ilvl w:val="0"/>
          <w:numId w:val="160"/>
        </w:numPr>
        <w:tabs>
          <w:tab w:val="left" w:pos="709"/>
        </w:tabs>
        <w:ind w:left="0" w:firstLine="0"/>
        <w:jc w:val="both"/>
        <w:rPr>
          <w:rFonts w:cs="Arial"/>
        </w:rPr>
      </w:pPr>
      <w:r w:rsidRPr="00491FB5">
        <w:rPr>
          <w:rFonts w:cs="Arial"/>
        </w:rPr>
        <w:t xml:space="preserve">The WJO played a crucial role in </w:t>
      </w:r>
      <w:r>
        <w:rPr>
          <w:rFonts w:cs="Arial"/>
        </w:rPr>
        <w:t xml:space="preserve">connecting </w:t>
      </w:r>
      <w:r w:rsidRPr="00491FB5">
        <w:rPr>
          <w:rFonts w:cs="Arial"/>
        </w:rPr>
        <w:t xml:space="preserve">stakeholders in Japan with </w:t>
      </w:r>
      <w:r>
        <w:rPr>
          <w:rFonts w:cs="Arial"/>
        </w:rPr>
        <w:t>headquarters</w:t>
      </w:r>
      <w:r w:rsidRPr="00491FB5">
        <w:rPr>
          <w:rFonts w:cs="Arial"/>
        </w:rPr>
        <w:t xml:space="preserve"> through positive interaction, such as relaying their feedback to relevant sectors </w:t>
      </w:r>
      <w:r>
        <w:rPr>
          <w:rFonts w:cs="Arial"/>
        </w:rPr>
        <w:t>at headquarters</w:t>
      </w:r>
      <w:r w:rsidRPr="00491FB5">
        <w:rPr>
          <w:rFonts w:cs="Arial"/>
        </w:rPr>
        <w:t>, creating</w:t>
      </w:r>
      <w:r>
        <w:rPr>
          <w:rFonts w:cs="Arial"/>
        </w:rPr>
        <w:t xml:space="preserve"> opportunities</w:t>
      </w:r>
      <w:r w:rsidRPr="00491FB5">
        <w:rPr>
          <w:rFonts w:cs="Arial"/>
        </w:rPr>
        <w:t xml:space="preserve"> for WIPO staff to </w:t>
      </w:r>
      <w:r>
        <w:rPr>
          <w:rFonts w:cs="Arial"/>
        </w:rPr>
        <w:t xml:space="preserve">follow up with stakeholders </w:t>
      </w:r>
      <w:r w:rsidRPr="00491FB5">
        <w:rPr>
          <w:rFonts w:cs="Arial"/>
        </w:rPr>
        <w:t>about WIPO</w:t>
      </w:r>
      <w:r>
        <w:rPr>
          <w:rFonts w:cs="Arial"/>
        </w:rPr>
        <w:t>’s</w:t>
      </w:r>
      <w:r w:rsidRPr="00491FB5">
        <w:rPr>
          <w:rFonts w:cs="Arial"/>
        </w:rPr>
        <w:t xml:space="preserve"> Global Services, </w:t>
      </w:r>
      <w:r>
        <w:rPr>
          <w:rFonts w:cs="Arial"/>
        </w:rPr>
        <w:t xml:space="preserve">the </w:t>
      </w:r>
      <w:r w:rsidRPr="00491FB5">
        <w:rPr>
          <w:rFonts w:cs="Arial"/>
        </w:rPr>
        <w:t xml:space="preserve">Global Databases, the Arbitration and Mediation Center, and the World IP Report.  </w:t>
      </w:r>
    </w:p>
    <w:p w:rsidR="00805A5E" w:rsidRPr="00491FB5" w:rsidRDefault="00805A5E" w:rsidP="00743383">
      <w:pPr>
        <w:pStyle w:val="ListParagraph"/>
        <w:tabs>
          <w:tab w:val="left" w:pos="709"/>
        </w:tabs>
        <w:ind w:left="0"/>
        <w:jc w:val="both"/>
        <w:rPr>
          <w:rFonts w:cs="Arial"/>
        </w:rPr>
      </w:pPr>
      <w:r w:rsidRPr="00491FB5">
        <w:rPr>
          <w:rFonts w:cs="Arial"/>
        </w:rPr>
        <w:t xml:space="preserve">  </w:t>
      </w:r>
    </w:p>
    <w:p w:rsidR="00805A5E" w:rsidRDefault="00805A5E" w:rsidP="00743383">
      <w:pPr>
        <w:pStyle w:val="ListParagraph"/>
        <w:numPr>
          <w:ilvl w:val="0"/>
          <w:numId w:val="160"/>
        </w:numPr>
        <w:tabs>
          <w:tab w:val="left" w:pos="709"/>
        </w:tabs>
        <w:ind w:left="0" w:firstLine="0"/>
        <w:jc w:val="both"/>
        <w:rPr>
          <w:rFonts w:cs="Arial"/>
        </w:rPr>
      </w:pPr>
      <w:r w:rsidRPr="00491FB5">
        <w:rPr>
          <w:rFonts w:cs="Arial"/>
        </w:rPr>
        <w:t>The Japan Funds-in-Trust (FIT) for industrial property continued to provide the WJO with valuable opportunities to assist in the implementation of activities in Japan.</w:t>
      </w:r>
      <w:r>
        <w:rPr>
          <w:rFonts w:cs="Arial"/>
        </w:rPr>
        <w:t xml:space="preserve"> </w:t>
      </w:r>
      <w:r w:rsidRPr="00491FB5">
        <w:rPr>
          <w:rFonts w:cs="Arial"/>
        </w:rPr>
        <w:t xml:space="preserve"> The Office maintain</w:t>
      </w:r>
      <w:r>
        <w:rPr>
          <w:rFonts w:cs="Arial"/>
        </w:rPr>
        <w:t>ed</w:t>
      </w:r>
      <w:r w:rsidRPr="00491FB5">
        <w:rPr>
          <w:rFonts w:cs="Arial"/>
        </w:rPr>
        <w:t xml:space="preserve"> and update</w:t>
      </w:r>
      <w:r>
        <w:rPr>
          <w:rFonts w:cs="Arial"/>
        </w:rPr>
        <w:t>d</w:t>
      </w:r>
      <w:r w:rsidRPr="00491FB5">
        <w:rPr>
          <w:rFonts w:cs="Arial"/>
        </w:rPr>
        <w:t xml:space="preserve"> a database of </w:t>
      </w:r>
      <w:r>
        <w:rPr>
          <w:rFonts w:cs="Arial"/>
        </w:rPr>
        <w:t xml:space="preserve">case studies in which </w:t>
      </w:r>
      <w:r w:rsidRPr="00491FB5">
        <w:rPr>
          <w:rFonts w:cs="Arial"/>
        </w:rPr>
        <w:t xml:space="preserve">IP </w:t>
      </w:r>
      <w:r>
        <w:rPr>
          <w:rFonts w:cs="Arial"/>
        </w:rPr>
        <w:t xml:space="preserve">was successfully leveraged to promote </w:t>
      </w:r>
      <w:r w:rsidRPr="00FA06FC">
        <w:rPr>
          <w:rFonts w:cs="Arial"/>
        </w:rPr>
        <w:t>development (“IP</w:t>
      </w:r>
      <w:r>
        <w:rPr>
          <w:rFonts w:cs="Arial"/>
        </w:rPr>
        <w:t> </w:t>
      </w:r>
      <w:r w:rsidRPr="00FA06FC">
        <w:rPr>
          <w:rFonts w:cs="Arial"/>
        </w:rPr>
        <w:t xml:space="preserve">Advantage”) on the WIPO website.  The WJO added 22 new case studies highlighting </w:t>
      </w:r>
      <w:r w:rsidRPr="00063528">
        <w:rPr>
          <w:rFonts w:cs="Arial"/>
        </w:rPr>
        <w:t xml:space="preserve">the use of IP by </w:t>
      </w:r>
      <w:r w:rsidRPr="00FA06FC">
        <w:rPr>
          <w:rFonts w:cs="Arial"/>
        </w:rPr>
        <w:t>SMEs and entrepreneurs</w:t>
      </w:r>
      <w:r>
        <w:rPr>
          <w:rFonts w:cs="Arial"/>
        </w:rPr>
        <w:t xml:space="preserve"> to the database which</w:t>
      </w:r>
      <w:r w:rsidRPr="00491FB5">
        <w:rPr>
          <w:rFonts w:cs="Arial"/>
        </w:rPr>
        <w:t xml:space="preserve"> now </w:t>
      </w:r>
      <w:r>
        <w:rPr>
          <w:rFonts w:cs="Arial"/>
        </w:rPr>
        <w:t xml:space="preserve">contains </w:t>
      </w:r>
      <w:r w:rsidRPr="00491FB5">
        <w:rPr>
          <w:rFonts w:cs="Arial"/>
        </w:rPr>
        <w:t xml:space="preserve">over 210 cases. </w:t>
      </w:r>
      <w:r>
        <w:rPr>
          <w:rFonts w:cs="Arial"/>
        </w:rPr>
        <w:t xml:space="preserve"> </w:t>
      </w:r>
      <w:r w:rsidRPr="00491FB5">
        <w:rPr>
          <w:rFonts w:cs="Arial"/>
        </w:rPr>
        <w:t xml:space="preserve">The </w:t>
      </w:r>
      <w:r>
        <w:rPr>
          <w:rFonts w:cs="Arial"/>
        </w:rPr>
        <w:t>O</w:t>
      </w:r>
      <w:r w:rsidRPr="00491FB5">
        <w:rPr>
          <w:rFonts w:cs="Arial"/>
        </w:rPr>
        <w:t xml:space="preserve">ffice conducted </w:t>
      </w:r>
      <w:r w:rsidRPr="006541A5">
        <w:rPr>
          <w:rFonts w:cs="Arial"/>
        </w:rPr>
        <w:t xml:space="preserve">six </w:t>
      </w:r>
      <w:r w:rsidRPr="00491FB5">
        <w:rPr>
          <w:rFonts w:cs="Arial"/>
        </w:rPr>
        <w:t xml:space="preserve">presentations at universities </w:t>
      </w:r>
      <w:r>
        <w:rPr>
          <w:rFonts w:cs="Arial"/>
        </w:rPr>
        <w:t>using</w:t>
      </w:r>
      <w:r w:rsidRPr="00491FB5">
        <w:rPr>
          <w:rFonts w:cs="Arial"/>
        </w:rPr>
        <w:t xml:space="preserve"> the IP Advantage database </w:t>
      </w:r>
      <w:r>
        <w:rPr>
          <w:rFonts w:cs="Arial"/>
        </w:rPr>
        <w:t xml:space="preserve">to provide real-life </w:t>
      </w:r>
      <w:r w:rsidRPr="00491FB5">
        <w:rPr>
          <w:rFonts w:cs="Arial"/>
        </w:rPr>
        <w:t xml:space="preserve">examples of how IP </w:t>
      </w:r>
      <w:r>
        <w:rPr>
          <w:rFonts w:cs="Arial"/>
        </w:rPr>
        <w:t>contributes to</w:t>
      </w:r>
      <w:r w:rsidRPr="00491FB5">
        <w:rPr>
          <w:rFonts w:cs="Arial"/>
        </w:rPr>
        <w:t xml:space="preserve"> development. </w:t>
      </w:r>
      <w:r>
        <w:rPr>
          <w:rFonts w:cs="Arial"/>
        </w:rPr>
        <w:t xml:space="preserve"> </w:t>
      </w:r>
    </w:p>
    <w:p w:rsidR="00805A5E" w:rsidRDefault="00805A5E" w:rsidP="00743383">
      <w:pPr>
        <w:pStyle w:val="ListParagraph"/>
        <w:tabs>
          <w:tab w:val="left" w:pos="709"/>
        </w:tabs>
        <w:ind w:left="0"/>
        <w:jc w:val="both"/>
        <w:rPr>
          <w:rFonts w:cs="Arial"/>
        </w:rPr>
      </w:pPr>
    </w:p>
    <w:p w:rsidR="00805A5E" w:rsidRDefault="00805A5E" w:rsidP="00743383">
      <w:pPr>
        <w:pStyle w:val="ListParagraph"/>
        <w:numPr>
          <w:ilvl w:val="0"/>
          <w:numId w:val="160"/>
        </w:numPr>
        <w:tabs>
          <w:tab w:val="left" w:pos="709"/>
        </w:tabs>
        <w:ind w:left="0" w:firstLine="0"/>
        <w:jc w:val="both"/>
        <w:rPr>
          <w:rFonts w:cs="Arial"/>
        </w:rPr>
      </w:pPr>
      <w:r w:rsidRPr="00491FB5">
        <w:rPr>
          <w:rFonts w:cs="Arial"/>
        </w:rPr>
        <w:t xml:space="preserve">For the first time, the WJO implemented </w:t>
      </w:r>
      <w:r>
        <w:rPr>
          <w:rFonts w:cs="Arial"/>
        </w:rPr>
        <w:t xml:space="preserve">four </w:t>
      </w:r>
      <w:r w:rsidRPr="00491FB5">
        <w:rPr>
          <w:rFonts w:cs="Arial"/>
        </w:rPr>
        <w:t xml:space="preserve">short-term fellowships in coordination with </w:t>
      </w:r>
      <w:r>
        <w:rPr>
          <w:rFonts w:cs="Arial"/>
        </w:rPr>
        <w:t>counterparts at headquarters (including the WIPO Academy),</w:t>
      </w:r>
      <w:r w:rsidRPr="00491FB5">
        <w:rPr>
          <w:rFonts w:cs="Arial"/>
        </w:rPr>
        <w:t xml:space="preserve"> </w:t>
      </w:r>
      <w:r w:rsidRPr="00FA06FC">
        <w:rPr>
          <w:rFonts w:cs="Arial"/>
        </w:rPr>
        <w:t xml:space="preserve">which </w:t>
      </w:r>
      <w:r w:rsidRPr="00063528">
        <w:rPr>
          <w:rFonts w:cs="Arial"/>
        </w:rPr>
        <w:t xml:space="preserve">included </w:t>
      </w:r>
      <w:r w:rsidRPr="00FA06FC">
        <w:rPr>
          <w:rFonts w:cs="Arial"/>
        </w:rPr>
        <w:t>two weeks of training at IP law firms in Tokyo to participants from developing co</w:t>
      </w:r>
      <w:r w:rsidRPr="00491FB5">
        <w:rPr>
          <w:rFonts w:cs="Arial"/>
        </w:rPr>
        <w:t xml:space="preserve">untries in Asia and </w:t>
      </w:r>
      <w:r>
        <w:rPr>
          <w:rFonts w:cs="Arial"/>
        </w:rPr>
        <w:t xml:space="preserve">the </w:t>
      </w:r>
      <w:r w:rsidRPr="00491FB5">
        <w:rPr>
          <w:rFonts w:cs="Arial"/>
        </w:rPr>
        <w:t>Pacific.</w:t>
      </w:r>
      <w:r>
        <w:rPr>
          <w:rFonts w:cs="Arial"/>
        </w:rPr>
        <w:t xml:space="preserve">  The fellowships targeted graduates of WIPO’s Master of Law in IP, serving to solidify participants’ classroom knowledge with real-world IP experience.</w:t>
      </w:r>
    </w:p>
    <w:p w:rsidR="00805A5E" w:rsidRDefault="00805A5E" w:rsidP="00743383">
      <w:pPr>
        <w:pStyle w:val="ListParagraph"/>
        <w:tabs>
          <w:tab w:val="left" w:pos="709"/>
        </w:tabs>
        <w:ind w:left="0"/>
        <w:jc w:val="both"/>
        <w:rPr>
          <w:rFonts w:cs="Arial"/>
        </w:rPr>
      </w:pPr>
    </w:p>
    <w:p w:rsidR="00805A5E" w:rsidRPr="00491FB5" w:rsidRDefault="00805A5E" w:rsidP="00743383">
      <w:pPr>
        <w:pStyle w:val="ListParagraph"/>
        <w:numPr>
          <w:ilvl w:val="0"/>
          <w:numId w:val="160"/>
        </w:numPr>
        <w:tabs>
          <w:tab w:val="left" w:pos="709"/>
        </w:tabs>
        <w:ind w:left="0" w:firstLine="0"/>
        <w:jc w:val="both"/>
        <w:rPr>
          <w:rFonts w:cs="Arial"/>
        </w:rPr>
      </w:pPr>
      <w:r>
        <w:rPr>
          <w:rFonts w:cs="Arial"/>
        </w:rPr>
        <w:t xml:space="preserve">In addition, the WJO served as the pilot office for the implementation of the Global Office Architecture (GOA) IT solution, ensuring seamless integration and secure connectivity </w:t>
      </w:r>
      <w:r>
        <w:t>to all of WIPO’s administrative IT systems hosted at headquarters.</w:t>
      </w:r>
    </w:p>
    <w:p w:rsidR="00805A5E" w:rsidRDefault="00805A5E" w:rsidP="00743383">
      <w:pPr>
        <w:tabs>
          <w:tab w:val="left" w:pos="709"/>
        </w:tabs>
        <w:jc w:val="both"/>
        <w:rPr>
          <w:rFonts w:cs="Arial"/>
          <w:bCs/>
          <w:szCs w:val="20"/>
          <w:u w:val="single"/>
        </w:rPr>
      </w:pPr>
    </w:p>
    <w:p w:rsidR="00805A5E" w:rsidRDefault="00805A5E" w:rsidP="00743383">
      <w:pPr>
        <w:tabs>
          <w:tab w:val="left" w:pos="709"/>
        </w:tabs>
        <w:jc w:val="both"/>
        <w:rPr>
          <w:rFonts w:cs="Arial"/>
          <w:bCs/>
          <w:szCs w:val="20"/>
          <w:u w:val="single"/>
        </w:rPr>
      </w:pPr>
      <w:r>
        <w:rPr>
          <w:rFonts w:cs="Arial"/>
          <w:bCs/>
          <w:szCs w:val="20"/>
          <w:u w:val="single"/>
        </w:rPr>
        <w:t>WIPO Office in the Russian Federation (WRO) (Director General)</w:t>
      </w:r>
    </w:p>
    <w:p w:rsidR="00805A5E" w:rsidRDefault="00805A5E" w:rsidP="00743383">
      <w:pPr>
        <w:tabs>
          <w:tab w:val="left" w:pos="709"/>
        </w:tabs>
        <w:jc w:val="both"/>
        <w:rPr>
          <w:rFonts w:cs="Arial"/>
          <w:bCs/>
          <w:szCs w:val="20"/>
          <w:u w:val="single"/>
        </w:rPr>
      </w:pPr>
    </w:p>
    <w:p w:rsidR="00805A5E" w:rsidRDefault="00805A5E" w:rsidP="00743383">
      <w:pPr>
        <w:pStyle w:val="ListParagraph"/>
        <w:numPr>
          <w:ilvl w:val="0"/>
          <w:numId w:val="160"/>
        </w:numPr>
        <w:tabs>
          <w:tab w:val="left" w:pos="709"/>
        </w:tabs>
        <w:ind w:left="0" w:firstLine="0"/>
        <w:jc w:val="both"/>
        <w:rPr>
          <w:rFonts w:cs="Arial"/>
        </w:rPr>
      </w:pPr>
      <w:r w:rsidRPr="005A2228">
        <w:rPr>
          <w:rFonts w:cs="Arial"/>
        </w:rPr>
        <w:t>The WRO was established in July 2014</w:t>
      </w:r>
      <w:r>
        <w:rPr>
          <w:rFonts w:cs="Arial"/>
        </w:rPr>
        <w:t xml:space="preserve">, and as with the WOC, </w:t>
      </w:r>
      <w:r w:rsidRPr="00A065F7">
        <w:rPr>
          <w:szCs w:val="22"/>
        </w:rPr>
        <w:t xml:space="preserve">was engaged throughout the latter half of </w:t>
      </w:r>
      <w:r>
        <w:rPr>
          <w:szCs w:val="22"/>
        </w:rPr>
        <w:t>2014</w:t>
      </w:r>
      <w:r w:rsidRPr="00A065F7">
        <w:rPr>
          <w:szCs w:val="22"/>
        </w:rPr>
        <w:t xml:space="preserve"> in establishing itself and consolidating its administrative set-up.  In this regard, close cooperation was established with the host country, particularly the Federal Service for Intellectual Property (ROSPATENT), </w:t>
      </w:r>
      <w:r>
        <w:rPr>
          <w:szCs w:val="22"/>
        </w:rPr>
        <w:t xml:space="preserve">and </w:t>
      </w:r>
      <w:r w:rsidRPr="00A065F7">
        <w:rPr>
          <w:szCs w:val="22"/>
        </w:rPr>
        <w:t xml:space="preserve">the </w:t>
      </w:r>
      <w:r w:rsidRPr="001D6260">
        <w:rPr>
          <w:szCs w:val="22"/>
        </w:rPr>
        <w:t>Council of the Federation of the Federal Assembly of the Russian Federation</w:t>
      </w:r>
      <w:r w:rsidRPr="00A065F7">
        <w:rPr>
          <w:szCs w:val="22"/>
        </w:rPr>
        <w:t xml:space="preserve">, the Court for Intellectual Property Rights, </w:t>
      </w:r>
      <w:r>
        <w:rPr>
          <w:szCs w:val="22"/>
        </w:rPr>
        <w:t xml:space="preserve">and the </w:t>
      </w:r>
      <w:r w:rsidRPr="00A065F7">
        <w:rPr>
          <w:szCs w:val="22"/>
        </w:rPr>
        <w:t>Russian State Academy of Intellectual Property (RGAIS).</w:t>
      </w:r>
      <w:r>
        <w:rPr>
          <w:szCs w:val="22"/>
        </w:rPr>
        <w:t xml:space="preserve">  This cooperation greatly facilitated the Office’s ability to quickly become operational.</w:t>
      </w:r>
      <w:r w:rsidRPr="005A2228">
        <w:rPr>
          <w:rFonts w:cs="Arial"/>
        </w:rPr>
        <w:t xml:space="preserve"> </w:t>
      </w:r>
    </w:p>
    <w:p w:rsidR="00805A5E" w:rsidRDefault="00805A5E" w:rsidP="00743383">
      <w:pPr>
        <w:pStyle w:val="ListParagraph"/>
        <w:tabs>
          <w:tab w:val="left" w:pos="709"/>
        </w:tabs>
        <w:ind w:left="0"/>
        <w:jc w:val="both"/>
        <w:rPr>
          <w:rFonts w:cs="Arial"/>
        </w:rPr>
      </w:pPr>
    </w:p>
    <w:p w:rsidR="00805A5E" w:rsidRDefault="00805A5E" w:rsidP="00743383">
      <w:pPr>
        <w:pStyle w:val="ListParagraph"/>
        <w:numPr>
          <w:ilvl w:val="0"/>
          <w:numId w:val="160"/>
        </w:numPr>
        <w:tabs>
          <w:tab w:val="left" w:pos="709"/>
        </w:tabs>
        <w:ind w:left="0" w:firstLine="0"/>
        <w:jc w:val="both"/>
        <w:rPr>
          <w:rFonts w:cs="Arial"/>
        </w:rPr>
      </w:pPr>
      <w:r w:rsidRPr="00C42345">
        <w:rPr>
          <w:rFonts w:cs="Arial"/>
        </w:rPr>
        <w:t xml:space="preserve">The WRO </w:t>
      </w:r>
      <w:r>
        <w:rPr>
          <w:rFonts w:cs="Arial"/>
        </w:rPr>
        <w:t xml:space="preserve">focused during the biennium </w:t>
      </w:r>
      <w:r w:rsidRPr="00C42345">
        <w:rPr>
          <w:rFonts w:cs="Arial"/>
        </w:rPr>
        <w:t xml:space="preserve">on the promotion of WIPO’s services to the Russian market.  In this regard, the Office participated in several national events organized by ROSPATENT and WIPO as well as capacity building events in Moscow and other cities which were focused on the promotion of the PCT, Madrid and </w:t>
      </w:r>
      <w:r>
        <w:rPr>
          <w:rFonts w:cs="Arial"/>
        </w:rPr>
        <w:t xml:space="preserve">the </w:t>
      </w:r>
      <w:r w:rsidRPr="00C42345">
        <w:rPr>
          <w:rFonts w:cs="Arial"/>
        </w:rPr>
        <w:t>Hague systems.  In addition, these meetings provided an opportunity to assist the Russian Federation with the development of its TISC network, enhance the capacity of local universities and research institutions with respect to the development of IP policy and to increase awareness of the international IP system.  These for</w:t>
      </w:r>
      <w:r>
        <w:rPr>
          <w:rFonts w:cs="Arial"/>
        </w:rPr>
        <w:t>a</w:t>
      </w:r>
      <w:r w:rsidRPr="00C42345">
        <w:rPr>
          <w:rFonts w:cs="Arial"/>
        </w:rPr>
        <w:t xml:space="preserve"> also connected the recently established WRO with national stakeholders, such as the Chamber of Commerce and Industry, which the Office expects to work closely with in the future as it faces the challenge of working across Russia’s many and distant regions and areas. </w:t>
      </w:r>
      <w:r>
        <w:rPr>
          <w:rFonts w:cs="Arial"/>
        </w:rPr>
        <w:t xml:space="preserve"> </w:t>
      </w:r>
    </w:p>
    <w:p w:rsidR="00805A5E" w:rsidRDefault="00805A5E" w:rsidP="00743383">
      <w:pPr>
        <w:tabs>
          <w:tab w:val="left" w:pos="709"/>
        </w:tabs>
      </w:pPr>
    </w:p>
    <w:p w:rsidR="00805A5E" w:rsidRDefault="00805A5E" w:rsidP="00743383">
      <w:pPr>
        <w:pStyle w:val="ListParagraph"/>
        <w:numPr>
          <w:ilvl w:val="0"/>
          <w:numId w:val="160"/>
        </w:numPr>
        <w:tabs>
          <w:tab w:val="left" w:pos="709"/>
        </w:tabs>
        <w:ind w:left="0" w:firstLine="0"/>
        <w:jc w:val="both"/>
        <w:rPr>
          <w:rFonts w:cs="Arial"/>
        </w:rPr>
      </w:pPr>
      <w:r>
        <w:rPr>
          <w:rFonts w:cs="Arial"/>
        </w:rPr>
        <w:t>The Office also provided support to its host country on accession</w:t>
      </w:r>
      <w:r w:rsidRPr="005A2228">
        <w:rPr>
          <w:rFonts w:cs="Arial"/>
        </w:rPr>
        <w:t xml:space="preserve"> </w:t>
      </w:r>
      <w:r>
        <w:rPr>
          <w:rFonts w:cs="Arial"/>
        </w:rPr>
        <w:t>to the Beijing Treaty in November 2015, as well as the anticipated accessions to the Marrakesh Treaty and the Geneva Act of the Hague Agreement.</w:t>
      </w:r>
    </w:p>
    <w:p w:rsidR="00805A5E" w:rsidRDefault="00805A5E" w:rsidP="00743383">
      <w:pPr>
        <w:pStyle w:val="ListParagraph"/>
        <w:tabs>
          <w:tab w:val="left" w:pos="709"/>
        </w:tabs>
        <w:ind w:left="0"/>
        <w:jc w:val="both"/>
        <w:rPr>
          <w:rFonts w:cs="Arial"/>
        </w:rPr>
      </w:pPr>
    </w:p>
    <w:p w:rsidR="00805A5E" w:rsidRDefault="00805A5E" w:rsidP="00743383">
      <w:pPr>
        <w:pStyle w:val="ListParagraph"/>
        <w:numPr>
          <w:ilvl w:val="0"/>
          <w:numId w:val="160"/>
        </w:numPr>
        <w:tabs>
          <w:tab w:val="left" w:pos="709"/>
        </w:tabs>
        <w:ind w:left="0" w:firstLine="0"/>
        <w:jc w:val="both"/>
        <w:rPr>
          <w:rFonts w:cs="Arial"/>
        </w:rPr>
      </w:pPr>
      <w:r>
        <w:rPr>
          <w:rFonts w:cs="Arial"/>
        </w:rPr>
        <w:t>In an effort to</w:t>
      </w:r>
      <w:r w:rsidRPr="005A2228">
        <w:rPr>
          <w:rFonts w:cs="Arial"/>
        </w:rPr>
        <w:t xml:space="preserve"> enhance</w:t>
      </w:r>
      <w:r>
        <w:rPr>
          <w:rFonts w:cs="Arial"/>
        </w:rPr>
        <w:t xml:space="preserve"> the capacity of </w:t>
      </w:r>
      <w:r w:rsidRPr="005A2228">
        <w:rPr>
          <w:rFonts w:cs="Arial"/>
        </w:rPr>
        <w:t>local universities and research institutions with respect to the development of IP polic</w:t>
      </w:r>
      <w:r>
        <w:rPr>
          <w:rFonts w:cs="Arial"/>
        </w:rPr>
        <w:t>ies,</w:t>
      </w:r>
      <w:r w:rsidRPr="005A2228">
        <w:rPr>
          <w:rFonts w:cs="Arial"/>
        </w:rPr>
        <w:t xml:space="preserve"> the capacity of</w:t>
      </w:r>
      <w:r>
        <w:rPr>
          <w:rFonts w:cs="Arial"/>
        </w:rPr>
        <w:t xml:space="preserve"> SME’s in the effective use of IP for the protection of their business assets</w:t>
      </w:r>
      <w:r w:rsidRPr="005A2228">
        <w:rPr>
          <w:rFonts w:cs="Arial"/>
        </w:rPr>
        <w:t xml:space="preserve"> and to increase awareness </w:t>
      </w:r>
      <w:r>
        <w:rPr>
          <w:rFonts w:cs="Arial"/>
        </w:rPr>
        <w:t xml:space="preserve">of the international IP system among the public, the WRO supported the growth of the </w:t>
      </w:r>
      <w:r w:rsidRPr="005A2228">
        <w:rPr>
          <w:rFonts w:cs="Arial"/>
        </w:rPr>
        <w:t>TISC network</w:t>
      </w:r>
      <w:r>
        <w:rPr>
          <w:rFonts w:cs="Arial"/>
        </w:rPr>
        <w:t xml:space="preserve"> in the Russian Federation, engaging with stakeholder in distant regions of the Russian Federation.</w:t>
      </w:r>
    </w:p>
    <w:p w:rsidR="00805A5E" w:rsidRDefault="00805A5E" w:rsidP="00743383">
      <w:pPr>
        <w:pStyle w:val="ListParagraph"/>
        <w:tabs>
          <w:tab w:val="left" w:pos="709"/>
        </w:tabs>
        <w:ind w:left="0"/>
        <w:jc w:val="both"/>
        <w:rPr>
          <w:rFonts w:cs="Arial"/>
        </w:rPr>
      </w:pPr>
    </w:p>
    <w:p w:rsidR="00805A5E" w:rsidRPr="005A2228" w:rsidRDefault="00805A5E" w:rsidP="005E61AB">
      <w:pPr>
        <w:pStyle w:val="ListParagraph"/>
        <w:keepNext/>
        <w:keepLines/>
        <w:numPr>
          <w:ilvl w:val="0"/>
          <w:numId w:val="160"/>
        </w:numPr>
        <w:tabs>
          <w:tab w:val="left" w:pos="709"/>
        </w:tabs>
        <w:ind w:left="0" w:firstLine="0"/>
        <w:jc w:val="both"/>
        <w:rPr>
          <w:rFonts w:cs="Arial"/>
        </w:rPr>
      </w:pPr>
      <w:r>
        <w:rPr>
          <w:rFonts w:cs="Arial"/>
        </w:rPr>
        <w:lastRenderedPageBreak/>
        <w:t>Following the proposal of the Government of the Russian Federation, at the end of 2015, the WRO relocated to its new premises in the western part of Moscow at the Skolkovo Innovation Center, an innovation ecosystem supporting</w:t>
      </w:r>
      <w:r w:rsidRPr="00F71837">
        <w:rPr>
          <w:rFonts w:cs="Arial"/>
        </w:rPr>
        <w:t xml:space="preserve"> new technologies and innovative businesses</w:t>
      </w:r>
      <w:r>
        <w:rPr>
          <w:rFonts w:cs="Arial"/>
        </w:rPr>
        <w:t xml:space="preserve">.  The new premises were equipped with the GOA IT solution, ensuring seamless integration and secure connectivity </w:t>
      </w:r>
      <w:r>
        <w:t>to all of WIPO’s administrative IT systems hosted at headquarters.</w:t>
      </w:r>
    </w:p>
    <w:p w:rsidR="00805A5E" w:rsidRDefault="00805A5E" w:rsidP="00743383">
      <w:pPr>
        <w:tabs>
          <w:tab w:val="left" w:pos="709"/>
        </w:tabs>
        <w:jc w:val="both"/>
        <w:rPr>
          <w:rFonts w:cs="Arial"/>
          <w:bCs/>
          <w:szCs w:val="20"/>
          <w:u w:val="single"/>
        </w:rPr>
      </w:pPr>
    </w:p>
    <w:p w:rsidR="00805A5E" w:rsidRDefault="00805A5E" w:rsidP="00743383">
      <w:pPr>
        <w:tabs>
          <w:tab w:val="left" w:pos="709"/>
        </w:tabs>
        <w:jc w:val="both"/>
        <w:rPr>
          <w:rFonts w:cs="Arial"/>
          <w:szCs w:val="20"/>
        </w:rPr>
      </w:pPr>
      <w:r>
        <w:rPr>
          <w:rFonts w:cs="Arial"/>
          <w:bCs/>
          <w:szCs w:val="20"/>
          <w:u w:val="single"/>
        </w:rPr>
        <w:t>WIPO Singapore Office (WSO) (Director General</w:t>
      </w:r>
      <w:r w:rsidR="00BD3EFD">
        <w:rPr>
          <w:rFonts w:cs="Arial"/>
          <w:bCs/>
          <w:szCs w:val="20"/>
          <w:u w:val="single"/>
        </w:rPr>
        <w:t>/Mr. N. Prasad</w:t>
      </w:r>
      <w:r>
        <w:rPr>
          <w:rFonts w:cs="Arial"/>
          <w:bCs/>
          <w:szCs w:val="20"/>
          <w:u w:val="single"/>
        </w:rPr>
        <w:t>)</w:t>
      </w:r>
      <w:r w:rsidRPr="00D41FF9">
        <w:rPr>
          <w:rFonts w:cs="Arial"/>
          <w:bCs/>
          <w:szCs w:val="20"/>
        </w:rPr>
        <w:t xml:space="preserve"> </w:t>
      </w:r>
    </w:p>
    <w:p w:rsidR="00805A5E" w:rsidRPr="00650FC6" w:rsidRDefault="00805A5E" w:rsidP="00743383">
      <w:pPr>
        <w:tabs>
          <w:tab w:val="left" w:pos="709"/>
        </w:tabs>
        <w:jc w:val="both"/>
        <w:rPr>
          <w:rFonts w:cs="Arial"/>
          <w:szCs w:val="20"/>
        </w:rPr>
      </w:pPr>
    </w:p>
    <w:p w:rsidR="00805A5E" w:rsidRDefault="00805A5E" w:rsidP="00743383">
      <w:pPr>
        <w:pStyle w:val="ListParagraph"/>
        <w:numPr>
          <w:ilvl w:val="0"/>
          <w:numId w:val="160"/>
        </w:numPr>
        <w:tabs>
          <w:tab w:val="left" w:pos="709"/>
        </w:tabs>
        <w:ind w:left="0" w:firstLine="0"/>
        <w:jc w:val="both"/>
        <w:rPr>
          <w:rFonts w:cs="Arial"/>
        </w:rPr>
      </w:pPr>
      <w:r w:rsidRPr="002A4DE5">
        <w:rPr>
          <w:rFonts w:cs="Arial"/>
        </w:rPr>
        <w:t xml:space="preserve">During the 2014-2015 Biennium, the WIPO Singapore </w:t>
      </w:r>
      <w:r>
        <w:rPr>
          <w:rFonts w:cs="Arial"/>
        </w:rPr>
        <w:t xml:space="preserve">Office </w:t>
      </w:r>
      <w:r w:rsidRPr="002A4DE5">
        <w:rPr>
          <w:rFonts w:cs="Arial"/>
        </w:rPr>
        <w:t xml:space="preserve">(WSO) continued to reinforce its presence </w:t>
      </w:r>
      <w:r>
        <w:rPr>
          <w:rFonts w:cs="Arial"/>
        </w:rPr>
        <w:t xml:space="preserve">as </w:t>
      </w:r>
      <w:r w:rsidRPr="002A4DE5">
        <w:rPr>
          <w:rFonts w:cs="Arial"/>
        </w:rPr>
        <w:t xml:space="preserve">WIPO’s Service Center and IP forum for </w:t>
      </w:r>
      <w:r w:rsidRPr="002A4DE5">
        <w:rPr>
          <w:szCs w:val="22"/>
        </w:rPr>
        <w:t xml:space="preserve">Member States, international organizations, NGOs and businesses in the region and </w:t>
      </w:r>
      <w:r w:rsidRPr="002A4DE5">
        <w:rPr>
          <w:rFonts w:cs="Arial"/>
        </w:rPr>
        <w:t>its position as a key actor in the IP ecosystem in ASEAN</w:t>
      </w:r>
      <w:r>
        <w:rPr>
          <w:rFonts w:cs="Arial"/>
        </w:rPr>
        <w:t>.</w:t>
      </w:r>
      <w:r w:rsidRPr="002A4DE5">
        <w:rPr>
          <w:rFonts w:cs="Arial"/>
        </w:rPr>
        <w:t xml:space="preserve">  The Office remained active in promoting WIPO Global </w:t>
      </w:r>
      <w:r>
        <w:rPr>
          <w:rFonts w:cs="Arial"/>
        </w:rPr>
        <w:t>S</w:t>
      </w:r>
      <w:r w:rsidRPr="002A4DE5">
        <w:rPr>
          <w:rFonts w:cs="Arial"/>
        </w:rPr>
        <w:t xml:space="preserve">ervices across ASEAN. </w:t>
      </w:r>
      <w:r>
        <w:rPr>
          <w:rFonts w:cs="Arial"/>
        </w:rPr>
        <w:t xml:space="preserve"> T</w:t>
      </w:r>
      <w:r w:rsidRPr="00491FB5">
        <w:rPr>
          <w:rFonts w:cs="Arial"/>
        </w:rPr>
        <w:t xml:space="preserve">angible outcomes </w:t>
      </w:r>
      <w:r>
        <w:rPr>
          <w:rFonts w:cs="Arial"/>
        </w:rPr>
        <w:t xml:space="preserve">in ASEAN for 2014/15 included: </w:t>
      </w:r>
      <w:r w:rsidR="00BD3EFD">
        <w:rPr>
          <w:rFonts w:cs="Arial"/>
        </w:rPr>
        <w:t xml:space="preserve"> </w:t>
      </w:r>
      <w:r>
        <w:rPr>
          <w:rFonts w:cs="Arial"/>
        </w:rPr>
        <w:t xml:space="preserve">(i) a 17 per cent increase over 2012/13 in the number of PCT applications; and (ii) a four per cent increase over 2013 and a </w:t>
      </w:r>
      <w:r w:rsidRPr="00491FB5">
        <w:rPr>
          <w:rFonts w:cs="Arial"/>
        </w:rPr>
        <w:t xml:space="preserve">45 per cent </w:t>
      </w:r>
      <w:r>
        <w:rPr>
          <w:rFonts w:cs="Arial"/>
        </w:rPr>
        <w:t>increase over</w:t>
      </w:r>
      <w:r w:rsidRPr="00491FB5">
        <w:rPr>
          <w:rFonts w:cs="Arial"/>
        </w:rPr>
        <w:t xml:space="preserve"> </w:t>
      </w:r>
      <w:r>
        <w:rPr>
          <w:rFonts w:cs="Arial"/>
        </w:rPr>
        <w:t>2014 in the number of Madrid applications.</w:t>
      </w:r>
    </w:p>
    <w:p w:rsidR="00805A5E" w:rsidRDefault="00805A5E" w:rsidP="00743383">
      <w:pPr>
        <w:pStyle w:val="ListParagraph"/>
        <w:tabs>
          <w:tab w:val="left" w:pos="709"/>
        </w:tabs>
        <w:ind w:left="0"/>
        <w:jc w:val="both"/>
        <w:rPr>
          <w:rFonts w:cs="Arial"/>
        </w:rPr>
      </w:pPr>
    </w:p>
    <w:p w:rsidR="00805A5E" w:rsidRDefault="00805A5E" w:rsidP="00743383">
      <w:pPr>
        <w:pStyle w:val="ListParagraph"/>
        <w:numPr>
          <w:ilvl w:val="0"/>
          <w:numId w:val="160"/>
        </w:numPr>
        <w:tabs>
          <w:tab w:val="left" w:pos="709"/>
        </w:tabs>
        <w:ind w:left="0" w:firstLine="0"/>
        <w:jc w:val="both"/>
        <w:rPr>
          <w:rFonts w:cs="Arial"/>
        </w:rPr>
      </w:pPr>
      <w:r>
        <w:rPr>
          <w:rFonts w:cs="Arial"/>
        </w:rPr>
        <w:t>The year 2015 marked the tenth a</w:t>
      </w:r>
      <w:r w:rsidRPr="001F0F36">
        <w:rPr>
          <w:rFonts w:cs="Arial"/>
        </w:rPr>
        <w:t xml:space="preserve">nniversary of the establishment of the WIPO </w:t>
      </w:r>
      <w:r>
        <w:rPr>
          <w:rFonts w:cs="Arial"/>
        </w:rPr>
        <w:t xml:space="preserve">Singapore </w:t>
      </w:r>
      <w:r w:rsidRPr="001F0F36">
        <w:rPr>
          <w:rFonts w:cs="Arial"/>
        </w:rPr>
        <w:t>Office</w:t>
      </w:r>
      <w:r>
        <w:rPr>
          <w:rFonts w:cs="Arial"/>
        </w:rPr>
        <w:t xml:space="preserve">.  In November 2015, at an event commemorating the milestone, </w:t>
      </w:r>
      <w:r w:rsidRPr="001F0F36">
        <w:rPr>
          <w:rFonts w:cs="Arial"/>
        </w:rPr>
        <w:t xml:space="preserve">more than 130 people from across ASEAN </w:t>
      </w:r>
      <w:r>
        <w:rPr>
          <w:rFonts w:cs="Arial"/>
        </w:rPr>
        <w:t xml:space="preserve">gathered to reflect on the progress made over the past decade in the context of the </w:t>
      </w:r>
      <w:r w:rsidRPr="001F0F36">
        <w:rPr>
          <w:rFonts w:cs="Arial"/>
        </w:rPr>
        <w:t xml:space="preserve">IP </w:t>
      </w:r>
      <w:r>
        <w:rPr>
          <w:rFonts w:cs="Arial"/>
        </w:rPr>
        <w:t>landscape,</w:t>
      </w:r>
      <w:r w:rsidRPr="001F0F36">
        <w:rPr>
          <w:rFonts w:cs="Arial"/>
        </w:rPr>
        <w:t xml:space="preserve"> </w:t>
      </w:r>
      <w:r>
        <w:rPr>
          <w:rFonts w:cs="Arial"/>
        </w:rPr>
        <w:t xml:space="preserve">and consider </w:t>
      </w:r>
      <w:r w:rsidRPr="001F0F36">
        <w:rPr>
          <w:rFonts w:cs="Arial"/>
        </w:rPr>
        <w:t xml:space="preserve">the present </w:t>
      </w:r>
      <w:r>
        <w:rPr>
          <w:rFonts w:cs="Arial"/>
        </w:rPr>
        <w:t xml:space="preserve">situation </w:t>
      </w:r>
      <w:r w:rsidRPr="001F0F36">
        <w:rPr>
          <w:rFonts w:cs="Arial"/>
        </w:rPr>
        <w:t xml:space="preserve">and the likely developments in Singapore and ASEAN in the </w:t>
      </w:r>
      <w:r>
        <w:rPr>
          <w:rFonts w:cs="Arial"/>
        </w:rPr>
        <w:t>coming</w:t>
      </w:r>
      <w:r w:rsidRPr="001F0F36">
        <w:rPr>
          <w:rFonts w:cs="Arial"/>
        </w:rPr>
        <w:t>10</w:t>
      </w:r>
      <w:r>
        <w:rPr>
          <w:rFonts w:cs="Arial"/>
        </w:rPr>
        <w:t> </w:t>
      </w:r>
      <w:r w:rsidRPr="001F0F36">
        <w:rPr>
          <w:rFonts w:cs="Arial"/>
        </w:rPr>
        <w:t>years.  Attendees included more than 15 Ambassadors and High Commissioners, as well as leaders from Singapore and the region’s IP, innovation and creative communities.</w:t>
      </w:r>
    </w:p>
    <w:p w:rsidR="00805A5E" w:rsidRPr="001F0F36" w:rsidRDefault="00805A5E" w:rsidP="00743383">
      <w:pPr>
        <w:pStyle w:val="ListParagraph"/>
        <w:tabs>
          <w:tab w:val="left" w:pos="709"/>
        </w:tabs>
        <w:ind w:left="0"/>
        <w:jc w:val="both"/>
        <w:rPr>
          <w:rFonts w:cs="Arial"/>
        </w:rPr>
      </w:pPr>
    </w:p>
    <w:p w:rsidR="00805A5E" w:rsidRPr="002A4DE5" w:rsidRDefault="00805A5E" w:rsidP="00743383">
      <w:pPr>
        <w:pStyle w:val="ListParagraph"/>
        <w:numPr>
          <w:ilvl w:val="0"/>
          <w:numId w:val="160"/>
        </w:numPr>
        <w:tabs>
          <w:tab w:val="left" w:pos="709"/>
        </w:tabs>
        <w:ind w:left="0" w:firstLine="0"/>
        <w:jc w:val="both"/>
        <w:rPr>
          <w:rFonts w:cs="Arial"/>
        </w:rPr>
      </w:pPr>
      <w:r w:rsidRPr="002A4DE5">
        <w:rPr>
          <w:rFonts w:cs="Arial"/>
        </w:rPr>
        <w:t>Through its organization of</w:t>
      </w:r>
      <w:r>
        <w:rPr>
          <w:rFonts w:cs="Arial"/>
        </w:rPr>
        <w:t>,</w:t>
      </w:r>
      <w:r w:rsidRPr="002A4DE5">
        <w:rPr>
          <w:rFonts w:cs="Arial"/>
        </w:rPr>
        <w:t xml:space="preserve"> and participation in</w:t>
      </w:r>
      <w:r>
        <w:rPr>
          <w:rFonts w:cs="Arial"/>
        </w:rPr>
        <w:t>,</w:t>
      </w:r>
      <w:r w:rsidRPr="002A4DE5">
        <w:rPr>
          <w:rFonts w:cs="Arial"/>
        </w:rPr>
        <w:t xml:space="preserve"> events with numerous partners such as the Asian Legal Business (ALB) forum, relevant chambers of commerce and business associations, the Licensing Executive Society (LES), and the National University of Singapore (NUS), the WSO was able to reach out to a large number of stakeholders and users in promoting WIPO’s </w:t>
      </w:r>
      <w:r>
        <w:rPr>
          <w:rFonts w:cs="Arial"/>
        </w:rPr>
        <w:t>G</w:t>
      </w:r>
      <w:r w:rsidRPr="002A4DE5">
        <w:rPr>
          <w:rFonts w:cs="Arial"/>
        </w:rPr>
        <w:t xml:space="preserve">lobal IP </w:t>
      </w:r>
      <w:r>
        <w:rPr>
          <w:rFonts w:cs="Arial"/>
        </w:rPr>
        <w:t>S</w:t>
      </w:r>
      <w:r w:rsidRPr="002A4DE5">
        <w:rPr>
          <w:rFonts w:cs="Arial"/>
        </w:rPr>
        <w:t xml:space="preserve">ervices, WIPO GREEN, WIPO Re-Search, WIPO’s </w:t>
      </w:r>
      <w:r>
        <w:rPr>
          <w:rFonts w:cs="Arial"/>
        </w:rPr>
        <w:t>G</w:t>
      </w:r>
      <w:r w:rsidRPr="002A4DE5">
        <w:rPr>
          <w:rFonts w:cs="Arial"/>
        </w:rPr>
        <w:t xml:space="preserve">lobal </w:t>
      </w:r>
      <w:r>
        <w:rPr>
          <w:rFonts w:cs="Arial"/>
        </w:rPr>
        <w:t>D</w:t>
      </w:r>
      <w:r w:rsidRPr="002A4DE5">
        <w:rPr>
          <w:rFonts w:cs="Arial"/>
        </w:rPr>
        <w:t xml:space="preserve">atabases, the TISC program, and WIPO CASE.  </w:t>
      </w:r>
    </w:p>
    <w:p w:rsidR="00805A5E" w:rsidRPr="00491FB5" w:rsidRDefault="00805A5E" w:rsidP="00743383">
      <w:pPr>
        <w:pStyle w:val="ListParagraph"/>
        <w:tabs>
          <w:tab w:val="left" w:pos="709"/>
        </w:tabs>
        <w:ind w:left="0"/>
        <w:jc w:val="both"/>
        <w:rPr>
          <w:rFonts w:cs="Arial"/>
        </w:rPr>
      </w:pPr>
    </w:p>
    <w:p w:rsidR="00805A5E" w:rsidRDefault="00805A5E" w:rsidP="00743383">
      <w:pPr>
        <w:pStyle w:val="ListParagraph"/>
        <w:numPr>
          <w:ilvl w:val="0"/>
          <w:numId w:val="160"/>
        </w:numPr>
        <w:tabs>
          <w:tab w:val="left" w:pos="709"/>
        </w:tabs>
        <w:ind w:left="0" w:firstLine="0"/>
        <w:jc w:val="both"/>
        <w:rPr>
          <w:rFonts w:cs="Arial"/>
        </w:rPr>
      </w:pPr>
      <w:r w:rsidRPr="00537A9B">
        <w:rPr>
          <w:rFonts w:cs="Arial"/>
        </w:rPr>
        <w:t xml:space="preserve">Engagement with ASEAN continued to be enhanced </w:t>
      </w:r>
      <w:r>
        <w:rPr>
          <w:rFonts w:cs="Arial"/>
        </w:rPr>
        <w:t>throughout the biennium</w:t>
      </w:r>
      <w:r w:rsidRPr="00537A9B">
        <w:rPr>
          <w:rFonts w:cs="Arial"/>
        </w:rPr>
        <w:t>, and the WSO played an increasingly central role in coordinating activities requested by the Working Group on Intellectual Property Cooperation (AWGIPC) in the implementation of the ASEAN IPR Action Plan 2011</w:t>
      </w:r>
      <w:r>
        <w:rPr>
          <w:rFonts w:cs="Arial"/>
        </w:rPr>
        <w:noBreakHyphen/>
      </w:r>
      <w:r w:rsidRPr="00537A9B">
        <w:rPr>
          <w:rFonts w:cs="Arial"/>
        </w:rPr>
        <w:t>2015 in the context of the establishment of the ASEAN Economic Community (AEC) by the end of 2015.  In addition, workshops were organized in every ASEAN Member State to progress efforts to accede to the Madrid and the Hague systems.  Partnerships with stakeholders and partners rendered possible key events in the WSO such as the Sub-Regional Workshop for ASEAN Countries on The</w:t>
      </w:r>
      <w:r>
        <w:rPr>
          <w:rFonts w:cs="Arial"/>
        </w:rPr>
        <w:t> </w:t>
      </w:r>
      <w:r w:rsidRPr="00537A9B">
        <w:rPr>
          <w:rFonts w:cs="Arial"/>
        </w:rPr>
        <w:t xml:space="preserve">Hague System with the Office for Harmonization in the Internal Market/ EU-ASEAN Project on the Protection of Intellectual Property Rights (OHIM/ECAP III) and the WIPO - ASEAN Australia New Zealand Free Trade Area (AANZFTA) Sub Regional Workshop for ASEAN Trademark Examiners on the Madrid System. </w:t>
      </w:r>
    </w:p>
    <w:p w:rsidR="00805A5E" w:rsidRPr="00491FB5" w:rsidRDefault="00805A5E" w:rsidP="00743383">
      <w:pPr>
        <w:pStyle w:val="ListParagraph"/>
        <w:tabs>
          <w:tab w:val="left" w:pos="709"/>
        </w:tabs>
        <w:ind w:left="0"/>
        <w:jc w:val="both"/>
        <w:rPr>
          <w:rFonts w:cs="Arial"/>
        </w:rPr>
      </w:pPr>
    </w:p>
    <w:p w:rsidR="00805A5E" w:rsidRPr="00587DBE" w:rsidRDefault="00805A5E" w:rsidP="00743383">
      <w:pPr>
        <w:pStyle w:val="ListParagraph"/>
        <w:numPr>
          <w:ilvl w:val="0"/>
          <w:numId w:val="160"/>
        </w:numPr>
        <w:tabs>
          <w:tab w:val="left" w:pos="709"/>
        </w:tabs>
        <w:ind w:left="0" w:firstLine="0"/>
        <w:jc w:val="both"/>
        <w:rPr>
          <w:rFonts w:cs="Arial"/>
        </w:rPr>
      </w:pPr>
      <w:r>
        <w:rPr>
          <w:szCs w:val="22"/>
        </w:rPr>
        <w:t xml:space="preserve">In 2014/15, </w:t>
      </w:r>
      <w:r w:rsidRPr="00310A0E">
        <w:rPr>
          <w:szCs w:val="22"/>
        </w:rPr>
        <w:t>the WSO continued to manage and implement the MoU between WIPO and the Government of Singapore, which focuses on enhancing skills and knowledge of IP officials and stakeholders from Asia and the Pacific</w:t>
      </w:r>
      <w:r>
        <w:rPr>
          <w:szCs w:val="22"/>
        </w:rPr>
        <w:t>, organizing or co-organizing three regional seminars</w:t>
      </w:r>
      <w:r w:rsidRPr="00310A0E">
        <w:rPr>
          <w:szCs w:val="22"/>
        </w:rPr>
        <w:t>.</w:t>
      </w:r>
      <w:r>
        <w:rPr>
          <w:szCs w:val="22"/>
        </w:rPr>
        <w:t xml:space="preserve">  In addition, some</w:t>
      </w:r>
      <w:r w:rsidRPr="00310A0E">
        <w:rPr>
          <w:szCs w:val="22"/>
        </w:rPr>
        <w:t xml:space="preserve"> </w:t>
      </w:r>
      <w:r>
        <w:rPr>
          <w:szCs w:val="22"/>
        </w:rPr>
        <w:t>27</w:t>
      </w:r>
      <w:r w:rsidRPr="00310A0E">
        <w:rPr>
          <w:szCs w:val="22"/>
        </w:rPr>
        <w:t xml:space="preserve"> technical assistance activities were delivered to </w:t>
      </w:r>
      <w:r>
        <w:rPr>
          <w:szCs w:val="22"/>
        </w:rPr>
        <w:t>34</w:t>
      </w:r>
      <w:r w:rsidRPr="00310A0E">
        <w:rPr>
          <w:szCs w:val="22"/>
        </w:rPr>
        <w:t xml:space="preserve"> Member States to help implement effective IP administration systems, as well as assistance relating to the Madrid and Hague systems, copyright and related rights, CMOs, education, awareness and capacity building.  The WSO also organized </w:t>
      </w:r>
      <w:r>
        <w:rPr>
          <w:szCs w:val="22"/>
        </w:rPr>
        <w:t>17</w:t>
      </w:r>
      <w:r w:rsidRPr="00310A0E">
        <w:rPr>
          <w:szCs w:val="22"/>
        </w:rPr>
        <w:t xml:space="preserve"> study visits</w:t>
      </w:r>
      <w:r>
        <w:rPr>
          <w:szCs w:val="22"/>
        </w:rPr>
        <w:t xml:space="preserve"> during the biennium</w:t>
      </w:r>
      <w:r w:rsidRPr="00310A0E">
        <w:rPr>
          <w:szCs w:val="22"/>
        </w:rPr>
        <w:t xml:space="preserve">, as compared to six in 2013, for IP </w:t>
      </w:r>
      <w:r>
        <w:rPr>
          <w:szCs w:val="22"/>
        </w:rPr>
        <w:t>stakeholders</w:t>
      </w:r>
      <w:r w:rsidRPr="00310A0E">
        <w:rPr>
          <w:szCs w:val="22"/>
        </w:rPr>
        <w:t xml:space="preserve"> from across the region as well as from key institutions in Singapore.  The WSO partnered with the Intellectual Property Office of Singapore (IPOS) to organize key events and workshops, and facilitated speakers for the annual regional IP Week@SG initiative</w:t>
      </w:r>
      <w:r>
        <w:rPr>
          <w:szCs w:val="22"/>
        </w:rPr>
        <w:t>s</w:t>
      </w:r>
      <w:r w:rsidRPr="00310A0E">
        <w:rPr>
          <w:szCs w:val="22"/>
        </w:rPr>
        <w:t xml:space="preserve"> for </w:t>
      </w:r>
      <w:r>
        <w:rPr>
          <w:szCs w:val="22"/>
        </w:rPr>
        <w:t xml:space="preserve">government, </w:t>
      </w:r>
      <w:r w:rsidRPr="00310A0E">
        <w:rPr>
          <w:szCs w:val="22"/>
        </w:rPr>
        <w:t>businesses, innovators and creators.</w:t>
      </w:r>
      <w:r>
        <w:rPr>
          <w:rFonts w:cs="Arial"/>
        </w:rPr>
        <w:t xml:space="preserve">  In addition, s</w:t>
      </w:r>
      <w:r w:rsidRPr="002A4DE5">
        <w:rPr>
          <w:rFonts w:cs="Arial"/>
        </w:rPr>
        <w:t>ix workshops were organized</w:t>
      </w:r>
      <w:r>
        <w:rPr>
          <w:rFonts w:cs="Arial"/>
        </w:rPr>
        <w:t xml:space="preserve"> covering a broad range of topics.  </w:t>
      </w:r>
      <w:r w:rsidRPr="00587DBE">
        <w:rPr>
          <w:rFonts w:cs="Arial"/>
          <w:iCs/>
        </w:rPr>
        <w:t xml:space="preserve">The WSO continued its support of the activities undertaken by the WIPO </w:t>
      </w:r>
      <w:r>
        <w:rPr>
          <w:rFonts w:cs="Arial"/>
          <w:iCs/>
        </w:rPr>
        <w:t>AMC</w:t>
      </w:r>
      <w:r w:rsidRPr="00587DBE">
        <w:rPr>
          <w:rFonts w:cs="Arial"/>
          <w:iCs/>
        </w:rPr>
        <w:t xml:space="preserve"> through the latter’s presence in Singapore</w:t>
      </w:r>
      <w:r w:rsidRPr="00587DBE">
        <w:rPr>
          <w:rFonts w:cs="Arial"/>
        </w:rPr>
        <w:t>.</w:t>
      </w:r>
    </w:p>
    <w:p w:rsidR="00805A5E" w:rsidRPr="002A4DE5" w:rsidRDefault="00805A5E" w:rsidP="00743383">
      <w:pPr>
        <w:pStyle w:val="ListParagraph"/>
        <w:tabs>
          <w:tab w:val="left" w:pos="709"/>
        </w:tabs>
        <w:ind w:left="0"/>
        <w:jc w:val="both"/>
        <w:rPr>
          <w:rFonts w:cs="Arial"/>
        </w:rPr>
      </w:pPr>
    </w:p>
    <w:p w:rsidR="00805A5E" w:rsidRPr="00C42345" w:rsidRDefault="00805A5E" w:rsidP="00743383">
      <w:pPr>
        <w:pStyle w:val="ListParagraph"/>
        <w:numPr>
          <w:ilvl w:val="0"/>
          <w:numId w:val="160"/>
        </w:numPr>
        <w:tabs>
          <w:tab w:val="left" w:pos="709"/>
        </w:tabs>
        <w:ind w:left="0" w:firstLine="0"/>
        <w:jc w:val="both"/>
        <w:rPr>
          <w:rFonts w:cs="Arial"/>
        </w:rPr>
      </w:pPr>
      <w:r w:rsidRPr="00C42345">
        <w:rPr>
          <w:rFonts w:cs="Arial"/>
        </w:rPr>
        <w:t>Outreach was strengthened in 2014</w:t>
      </w:r>
      <w:r>
        <w:rPr>
          <w:rFonts w:cs="Arial"/>
        </w:rPr>
        <w:t>/15</w:t>
      </w:r>
      <w:r w:rsidRPr="00C42345">
        <w:rPr>
          <w:rFonts w:cs="Arial"/>
        </w:rPr>
        <w:t xml:space="preserve"> through WSO’s speaking engagements at key events and conferences of intergovernmental organizations, NGOs, national institutions in the region or based in Singapore, such as the ASEAN IP Association (AIPA), Asia-Pacific Economic Cooperation (APEC), the Asia-Europe Foundation (ASEF), the Malaysian IP Association (MIPA), the Economic Institute for ASEAN and East Asia (ERIA), the Confederation of International Societies of Authors and Composers (CISAC), and the Central IP and International Trade Court of Thailand.</w:t>
      </w:r>
      <w:r>
        <w:rPr>
          <w:rFonts w:cs="Arial"/>
        </w:rPr>
        <w:t xml:space="preserve">  </w:t>
      </w:r>
      <w:r w:rsidRPr="00C42345">
        <w:rPr>
          <w:rFonts w:cs="Arial"/>
        </w:rPr>
        <w:t xml:space="preserve">In this respect, the WSO received study visits by a number of delegates covering all the range of IPRs and all WIPO activities.  The office also strengthened its ties with academia through its participation in regular lectures at the National University </w:t>
      </w:r>
      <w:r w:rsidRPr="00C42345">
        <w:rPr>
          <w:rFonts w:cs="Arial"/>
        </w:rPr>
        <w:lastRenderedPageBreak/>
        <w:t>of Singapore (NUS), the Singapore Management University (SMU) and the Assas-Sorbonne Campus at I</w:t>
      </w:r>
      <w:r>
        <w:rPr>
          <w:rFonts w:cs="Arial"/>
        </w:rPr>
        <w:t>N</w:t>
      </w:r>
      <w:r w:rsidRPr="00C42345">
        <w:rPr>
          <w:rFonts w:cs="Arial"/>
        </w:rPr>
        <w:t xml:space="preserve">SEAD Singapore.  Its participation in </w:t>
      </w:r>
      <w:r>
        <w:rPr>
          <w:rFonts w:cs="Arial"/>
        </w:rPr>
        <w:t xml:space="preserve">WIPO </w:t>
      </w:r>
      <w:r w:rsidRPr="00C42345">
        <w:rPr>
          <w:rFonts w:cs="Arial"/>
        </w:rPr>
        <w:t xml:space="preserve">Summer </w:t>
      </w:r>
      <w:r>
        <w:rPr>
          <w:rFonts w:cs="Arial"/>
        </w:rPr>
        <w:t>S</w:t>
      </w:r>
      <w:r w:rsidRPr="00C42345">
        <w:rPr>
          <w:rFonts w:cs="Arial"/>
        </w:rPr>
        <w:t xml:space="preserve">chools in Singapore, the Republic of Korea and India, as well as involvement in a Master of Laws program in Australia and discussions relating to collecting societies in Japan has also broadened the geographical scope of its activities. </w:t>
      </w:r>
    </w:p>
    <w:p w:rsidR="00805A5E" w:rsidRPr="00491FB5" w:rsidRDefault="00805A5E" w:rsidP="00743383">
      <w:pPr>
        <w:pStyle w:val="ListParagraph"/>
        <w:tabs>
          <w:tab w:val="left" w:pos="709"/>
        </w:tabs>
        <w:ind w:left="0"/>
        <w:jc w:val="both"/>
        <w:rPr>
          <w:rFonts w:cs="Arial"/>
        </w:rPr>
      </w:pPr>
      <w:r w:rsidRPr="00491FB5">
        <w:rPr>
          <w:rFonts w:cs="Arial"/>
        </w:rPr>
        <w:t xml:space="preserve"> </w:t>
      </w:r>
    </w:p>
    <w:p w:rsidR="00805A5E" w:rsidRPr="00491FB5" w:rsidRDefault="00805A5E" w:rsidP="00743383">
      <w:pPr>
        <w:pStyle w:val="ListParagraph"/>
        <w:numPr>
          <w:ilvl w:val="0"/>
          <w:numId w:val="160"/>
        </w:numPr>
        <w:tabs>
          <w:tab w:val="left" w:pos="709"/>
        </w:tabs>
        <w:ind w:left="0" w:firstLine="0"/>
        <w:jc w:val="both"/>
        <w:rPr>
          <w:rFonts w:cs="Arial"/>
        </w:rPr>
      </w:pPr>
      <w:r>
        <w:rPr>
          <w:rFonts w:cs="Arial"/>
        </w:rPr>
        <w:t>In 2015</w:t>
      </w:r>
      <w:r w:rsidRPr="00491FB5">
        <w:rPr>
          <w:rFonts w:cs="Arial"/>
        </w:rPr>
        <w:t>, the WSO was integrated into the broader IT environment of WIPO under GOA</w:t>
      </w:r>
      <w:r>
        <w:rPr>
          <w:rFonts w:cs="Arial"/>
        </w:rPr>
        <w:t>, providing</w:t>
      </w:r>
      <w:r w:rsidRPr="00491FB5">
        <w:rPr>
          <w:rFonts w:cs="Arial"/>
        </w:rPr>
        <w:t xml:space="preserve"> staff with </w:t>
      </w:r>
      <w:r>
        <w:rPr>
          <w:rFonts w:cs="Arial"/>
        </w:rPr>
        <w:t xml:space="preserve">secured </w:t>
      </w:r>
      <w:r w:rsidRPr="00491FB5">
        <w:rPr>
          <w:rFonts w:cs="Arial"/>
        </w:rPr>
        <w:t xml:space="preserve">access to the full suite of </w:t>
      </w:r>
      <w:r>
        <w:t>WIPO’s administrative IT systems hosted at headquarters</w:t>
      </w:r>
      <w:r w:rsidRPr="00491FB5">
        <w:rPr>
          <w:rFonts w:cs="Arial"/>
        </w:rPr>
        <w:t xml:space="preserve">, and greatly enhanced video conferencing capability.  This capability, along with the IP Phone system that was implemented in the WSO in 2014 significantly improved communication between headquarters and the WSO.  </w:t>
      </w:r>
      <w:r w:rsidRPr="00310A0E">
        <w:rPr>
          <w:szCs w:val="22"/>
        </w:rPr>
        <w:t>The Office continued to play an important role in ensuring the WIPO round-the-clock customer service.</w:t>
      </w:r>
    </w:p>
    <w:p w:rsidR="00805A5E" w:rsidRPr="009A4846" w:rsidRDefault="00805A5E" w:rsidP="00547ACE">
      <w:pPr>
        <w:rPr>
          <w:rFonts w:cs="Arial"/>
          <w:color w:val="000000"/>
          <w:szCs w:val="20"/>
        </w:rPr>
      </w:pPr>
    </w:p>
    <w:p w:rsidR="00805A5E" w:rsidRPr="009A4846" w:rsidRDefault="00805A5E" w:rsidP="00547ACE">
      <w:pPr>
        <w:rPr>
          <w:rFonts w:cs="Arial"/>
          <w:color w:val="000000"/>
          <w:szCs w:val="20"/>
        </w:rPr>
      </w:pPr>
    </w:p>
    <w:p w:rsidR="00805A5E" w:rsidRPr="009A4846" w:rsidRDefault="00805A5E" w:rsidP="00547ACE">
      <w:pPr>
        <w:rPr>
          <w:rFonts w:cs="Arial"/>
          <w:color w:val="000000"/>
          <w:szCs w:val="20"/>
        </w:rPr>
      </w:pPr>
      <w:r w:rsidRPr="009A4846">
        <w:rPr>
          <w:rFonts w:cs="Arial"/>
          <w:color w:val="000000"/>
          <w:szCs w:val="20"/>
        </w:rPr>
        <w:t>PERFORMANCE DATA</w:t>
      </w:r>
      <w:r w:rsidRPr="009A4846">
        <w:rPr>
          <w:rStyle w:val="FootnoteReference"/>
          <w:rFonts w:cs="Arial"/>
          <w:color w:val="000000"/>
        </w:rPr>
        <w:footnoteReference w:id="108"/>
      </w:r>
    </w:p>
    <w:p w:rsidR="00805A5E" w:rsidRDefault="00805A5E" w:rsidP="00547ACE">
      <w:pPr>
        <w:rPr>
          <w:rFonts w:cs="Arial"/>
          <w:color w:val="000000"/>
          <w:szCs w:val="20"/>
        </w:rPr>
      </w:pPr>
    </w:p>
    <w:tbl>
      <w:tblPr>
        <w:tblW w:w="4966"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19"/>
        <w:gridCol w:w="21"/>
        <w:gridCol w:w="1734"/>
        <w:gridCol w:w="224"/>
        <w:gridCol w:w="13"/>
        <w:gridCol w:w="207"/>
        <w:gridCol w:w="1068"/>
        <w:gridCol w:w="17"/>
        <w:gridCol w:w="181"/>
        <w:gridCol w:w="2711"/>
        <w:gridCol w:w="93"/>
        <w:gridCol w:w="25"/>
        <w:gridCol w:w="68"/>
        <w:gridCol w:w="91"/>
        <w:gridCol w:w="10"/>
        <w:gridCol w:w="899"/>
        <w:gridCol w:w="25"/>
      </w:tblGrid>
      <w:tr w:rsidR="00805A5E" w:rsidRPr="00B35AFA" w:rsidTr="00547ACE">
        <w:trPr>
          <w:gridAfter w:val="1"/>
          <w:wAfter w:w="13" w:type="pct"/>
        </w:trPr>
        <w:tc>
          <w:tcPr>
            <w:tcW w:w="4987" w:type="pct"/>
            <w:gridSpan w:val="16"/>
            <w:tcBorders>
              <w:bottom w:val="single" w:sz="4" w:space="0" w:color="auto"/>
            </w:tcBorders>
            <w:shd w:val="clear" w:color="auto" w:fill="C6D9F1" w:themeFill="text2" w:themeFillTint="33"/>
          </w:tcPr>
          <w:p w:rsidR="00805A5E" w:rsidRPr="00B35AFA" w:rsidRDefault="00805A5E" w:rsidP="00547ACE">
            <w:pPr>
              <w:keepNext/>
              <w:keepLines/>
              <w:tabs>
                <w:tab w:val="left" w:pos="1452"/>
              </w:tabs>
              <w:spacing w:before="120" w:after="120"/>
              <w:ind w:left="1452" w:hanging="1452"/>
              <w:rPr>
                <w:rFonts w:eastAsia="SimSun" w:cs="Arial"/>
                <w:b/>
                <w:bCs/>
                <w:sz w:val="16"/>
                <w:szCs w:val="16"/>
                <w:lang w:eastAsia="zh-CN"/>
              </w:rPr>
            </w:pPr>
            <w:r w:rsidRPr="00B35AFA">
              <w:rPr>
                <w:rFonts w:eastAsia="SimSun" w:cs="Arial"/>
                <w:b/>
                <w:bCs/>
                <w:sz w:val="16"/>
                <w:szCs w:val="16"/>
                <w:lang w:eastAsia="zh-CN"/>
              </w:rPr>
              <w:t>Expected Result:</w:t>
            </w:r>
            <w:r w:rsidRPr="00B35AFA">
              <w:rPr>
                <w:rFonts w:eastAsia="SimSun" w:cs="Arial"/>
                <w:b/>
                <w:bCs/>
                <w:sz w:val="16"/>
                <w:szCs w:val="16"/>
                <w:lang w:eastAsia="zh-CN"/>
              </w:rPr>
              <w:tab/>
            </w:r>
            <w:r w:rsidRPr="002E2035">
              <w:rPr>
                <w:rFonts w:eastAsia="SimSun" w:cs="Arial"/>
                <w:color w:val="000000"/>
                <w:sz w:val="16"/>
                <w:szCs w:val="16"/>
                <w:lang w:eastAsia="zh-CN"/>
              </w:rPr>
              <w:t>II.1 Increased use of the PCT route for filing international patent applications</w:t>
            </w:r>
          </w:p>
        </w:tc>
      </w:tr>
      <w:tr w:rsidR="00805A5E" w:rsidRPr="00B35AFA" w:rsidTr="00547ACE">
        <w:trPr>
          <w:gridAfter w:val="1"/>
          <w:wAfter w:w="13" w:type="pct"/>
        </w:trPr>
        <w:tc>
          <w:tcPr>
            <w:tcW w:w="1125" w:type="pct"/>
            <w:gridSpan w:val="2"/>
            <w:tcBorders>
              <w:top w:val="single" w:sz="4" w:space="0" w:color="auto"/>
              <w:left w:val="single" w:sz="4" w:space="0" w:color="auto"/>
              <w:bottom w:val="nil"/>
              <w:right w:val="nil"/>
            </w:tcBorders>
            <w:shd w:val="clear" w:color="auto" w:fill="auto"/>
          </w:tcPr>
          <w:p w:rsidR="00805A5E" w:rsidRPr="00B35AFA" w:rsidRDefault="00805A5E" w:rsidP="00547ACE">
            <w:pPr>
              <w:rPr>
                <w:rFonts w:eastAsia="SimSun" w:cs="Arial"/>
                <w:sz w:val="16"/>
                <w:szCs w:val="16"/>
                <w:lang w:eastAsia="zh-CN"/>
              </w:rPr>
            </w:pPr>
            <w:r w:rsidRPr="00B35AFA">
              <w:rPr>
                <w:rFonts w:eastAsia="SimSun" w:cs="Arial"/>
                <w:b/>
                <w:bCs/>
                <w:sz w:val="16"/>
                <w:szCs w:val="16"/>
                <w:lang w:eastAsia="zh-CN"/>
              </w:rPr>
              <w:t>Performance Indicators</w:t>
            </w:r>
          </w:p>
        </w:tc>
        <w:tc>
          <w:tcPr>
            <w:tcW w:w="1037" w:type="pct"/>
            <w:gridSpan w:val="3"/>
            <w:tcBorders>
              <w:top w:val="single" w:sz="4" w:space="0" w:color="auto"/>
              <w:left w:val="nil"/>
              <w:bottom w:val="nil"/>
              <w:right w:val="nil"/>
            </w:tcBorders>
            <w:shd w:val="clear" w:color="auto" w:fill="auto"/>
          </w:tcPr>
          <w:p w:rsidR="00805A5E" w:rsidRPr="00B35AFA" w:rsidRDefault="00805A5E" w:rsidP="00547ACE">
            <w:pPr>
              <w:rPr>
                <w:rFonts w:eastAsia="SimSun" w:cs="Arial"/>
                <w:b/>
                <w:bCs/>
                <w:sz w:val="16"/>
                <w:szCs w:val="16"/>
                <w:lang w:eastAsia="zh-CN"/>
              </w:rPr>
            </w:pPr>
            <w:r w:rsidRPr="00B35AFA">
              <w:rPr>
                <w:rFonts w:cs="Arial"/>
                <w:b/>
                <w:bCs/>
                <w:sz w:val="16"/>
                <w:szCs w:val="16"/>
              </w:rPr>
              <w:t>Baselines</w:t>
            </w:r>
          </w:p>
        </w:tc>
        <w:tc>
          <w:tcPr>
            <w:tcW w:w="671" w:type="pct"/>
            <w:gridSpan w:val="2"/>
            <w:tcBorders>
              <w:top w:val="single" w:sz="4" w:space="0" w:color="auto"/>
              <w:left w:val="nil"/>
              <w:bottom w:val="nil"/>
              <w:right w:val="nil"/>
            </w:tcBorders>
            <w:shd w:val="clear" w:color="auto" w:fill="auto"/>
            <w:tcMar>
              <w:top w:w="110" w:type="dxa"/>
            </w:tcMar>
          </w:tcPr>
          <w:p w:rsidR="00805A5E" w:rsidRPr="00B35AFA" w:rsidRDefault="00805A5E" w:rsidP="00547ACE">
            <w:pPr>
              <w:rPr>
                <w:rFonts w:eastAsia="SimSun" w:cs="Arial"/>
                <w:b/>
                <w:sz w:val="16"/>
                <w:szCs w:val="16"/>
                <w:lang w:eastAsia="zh-CN"/>
              </w:rPr>
            </w:pPr>
            <w:r w:rsidRPr="00B35AFA">
              <w:rPr>
                <w:rFonts w:cs="Arial"/>
                <w:b/>
                <w:sz w:val="16"/>
                <w:szCs w:val="16"/>
              </w:rPr>
              <w:t>Targets</w:t>
            </w:r>
          </w:p>
        </w:tc>
        <w:tc>
          <w:tcPr>
            <w:tcW w:w="1592" w:type="pct"/>
            <w:gridSpan w:val="5"/>
            <w:tcBorders>
              <w:top w:val="single" w:sz="4" w:space="0" w:color="auto"/>
              <w:left w:val="nil"/>
              <w:bottom w:val="nil"/>
              <w:right w:val="nil"/>
            </w:tcBorders>
            <w:shd w:val="clear" w:color="auto" w:fill="FFFFFF"/>
            <w:tcMar>
              <w:top w:w="110" w:type="dxa"/>
            </w:tcMar>
          </w:tcPr>
          <w:p w:rsidR="00805A5E" w:rsidRPr="00B35AFA" w:rsidRDefault="00805A5E" w:rsidP="00547ACE">
            <w:pPr>
              <w:rPr>
                <w:rFonts w:eastAsia="SimSun" w:cs="Arial"/>
                <w:sz w:val="16"/>
                <w:szCs w:val="16"/>
                <w:lang w:eastAsia="zh-CN"/>
              </w:rPr>
            </w:pPr>
            <w:r w:rsidRPr="00B35AFA">
              <w:rPr>
                <w:rFonts w:eastAsia="SimSun" w:cs="Arial"/>
                <w:b/>
                <w:bCs/>
                <w:sz w:val="16"/>
                <w:szCs w:val="16"/>
                <w:lang w:eastAsia="zh-CN"/>
              </w:rPr>
              <w:t>Performance Data</w:t>
            </w:r>
            <w:r>
              <w:rPr>
                <w:rStyle w:val="FootnoteReference"/>
                <w:rFonts w:eastAsia="SimSun" w:cs="Arial"/>
                <w:b/>
                <w:bCs/>
                <w:szCs w:val="16"/>
                <w:lang w:eastAsia="zh-CN"/>
              </w:rPr>
              <w:footnoteReference w:id="109"/>
            </w:r>
          </w:p>
        </w:tc>
        <w:tc>
          <w:tcPr>
            <w:tcW w:w="562" w:type="pct"/>
            <w:gridSpan w:val="4"/>
            <w:tcBorders>
              <w:top w:val="single" w:sz="4" w:space="0" w:color="auto"/>
              <w:left w:val="nil"/>
              <w:bottom w:val="nil"/>
              <w:right w:val="single" w:sz="4" w:space="0" w:color="auto"/>
            </w:tcBorders>
            <w:shd w:val="clear" w:color="auto" w:fill="auto"/>
            <w:tcMar>
              <w:top w:w="110" w:type="dxa"/>
            </w:tcMar>
          </w:tcPr>
          <w:p w:rsidR="00805A5E" w:rsidRPr="00B35AFA" w:rsidRDefault="00805A5E" w:rsidP="00547ACE">
            <w:pPr>
              <w:keepNext/>
              <w:keepLines/>
              <w:jc w:val="center"/>
              <w:rPr>
                <w:rFonts w:eastAsia="SimSun" w:cs="Arial"/>
                <w:b/>
                <w:bCs/>
                <w:sz w:val="16"/>
                <w:szCs w:val="16"/>
                <w:lang w:eastAsia="zh-CN"/>
              </w:rPr>
            </w:pPr>
            <w:r w:rsidRPr="00B35AFA">
              <w:rPr>
                <w:rFonts w:eastAsia="SimSun" w:cs="Arial"/>
                <w:b/>
                <w:bCs/>
                <w:sz w:val="16"/>
                <w:szCs w:val="16"/>
                <w:lang w:eastAsia="zh-CN"/>
              </w:rPr>
              <w:t>TLS</w:t>
            </w:r>
          </w:p>
        </w:tc>
      </w:tr>
      <w:tr w:rsidR="00805A5E" w:rsidRPr="00B35AFA" w:rsidTr="00547ACE">
        <w:trPr>
          <w:gridAfter w:val="1"/>
          <w:wAfter w:w="13" w:type="pct"/>
        </w:trPr>
        <w:tc>
          <w:tcPr>
            <w:tcW w:w="1125" w:type="pct"/>
            <w:gridSpan w:val="2"/>
            <w:tcBorders>
              <w:top w:val="nil"/>
              <w:left w:val="single" w:sz="4" w:space="0" w:color="auto"/>
              <w:bottom w:val="nil"/>
              <w:right w:val="nil"/>
            </w:tcBorders>
            <w:shd w:val="clear" w:color="auto" w:fill="auto"/>
          </w:tcPr>
          <w:p w:rsidR="00805A5E" w:rsidRPr="00B35AFA" w:rsidRDefault="00805A5E" w:rsidP="00547ACE">
            <w:pPr>
              <w:rPr>
                <w:rFonts w:eastAsia="SimSun" w:cs="Arial"/>
                <w:color w:val="000000"/>
                <w:sz w:val="16"/>
                <w:szCs w:val="16"/>
                <w:lang w:eastAsia="zh-CN"/>
              </w:rPr>
            </w:pPr>
            <w:r w:rsidRPr="002E2035">
              <w:rPr>
                <w:rFonts w:eastAsia="SimSun" w:cs="Arial"/>
                <w:color w:val="000000"/>
                <w:sz w:val="16"/>
                <w:szCs w:val="16"/>
                <w:lang w:eastAsia="zh-CN"/>
              </w:rPr>
              <w:t>% of PCT filings</w:t>
            </w:r>
            <w:r>
              <w:rPr>
                <w:rStyle w:val="FootnoteReference"/>
                <w:color w:val="000000"/>
                <w:lang w:eastAsia="zh-CN"/>
              </w:rPr>
              <w:footnoteReference w:id="110"/>
            </w:r>
          </w:p>
        </w:tc>
        <w:tc>
          <w:tcPr>
            <w:tcW w:w="1037" w:type="pct"/>
            <w:gridSpan w:val="3"/>
            <w:tcBorders>
              <w:top w:val="nil"/>
              <w:left w:val="nil"/>
              <w:bottom w:val="nil"/>
              <w:right w:val="nil"/>
            </w:tcBorders>
            <w:shd w:val="clear" w:color="auto" w:fill="auto"/>
          </w:tcPr>
          <w:p w:rsidR="00805A5E" w:rsidRDefault="00805A5E" w:rsidP="00547ACE">
            <w:pPr>
              <w:rPr>
                <w:rFonts w:cs="Arial"/>
                <w:color w:val="002060"/>
                <w:sz w:val="16"/>
                <w:szCs w:val="16"/>
              </w:rPr>
            </w:pPr>
            <w:r>
              <w:rPr>
                <w:rFonts w:cs="Arial"/>
                <w:i/>
                <w:color w:val="002060"/>
                <w:sz w:val="16"/>
                <w:szCs w:val="16"/>
              </w:rPr>
              <w:t xml:space="preserve">Updated Baseline end </w:t>
            </w:r>
            <w:r w:rsidRPr="00145357">
              <w:rPr>
                <w:rFonts w:cs="Arial"/>
                <w:i/>
                <w:color w:val="002060"/>
                <w:sz w:val="16"/>
                <w:szCs w:val="16"/>
              </w:rPr>
              <w:t>2013:</w:t>
            </w:r>
            <w:r w:rsidRPr="00145357">
              <w:rPr>
                <w:rFonts w:cs="Arial"/>
                <w:color w:val="002060"/>
                <w:sz w:val="16"/>
                <w:szCs w:val="16"/>
              </w:rPr>
              <w:t xml:space="preserve">   </w:t>
            </w:r>
          </w:p>
          <w:p w:rsidR="00805A5E" w:rsidRDefault="00805A5E" w:rsidP="00547ACE">
            <w:pPr>
              <w:rPr>
                <w:rFonts w:cs="Arial"/>
                <w:color w:val="002060"/>
                <w:sz w:val="16"/>
                <w:szCs w:val="16"/>
              </w:rPr>
            </w:pPr>
            <w:r w:rsidRPr="00145357">
              <w:rPr>
                <w:rFonts w:cs="Arial"/>
                <w:color w:val="002060"/>
                <w:sz w:val="16"/>
                <w:szCs w:val="16"/>
              </w:rPr>
              <w:t xml:space="preserve">2012:  588         </w:t>
            </w:r>
          </w:p>
          <w:p w:rsidR="00805A5E" w:rsidRPr="00145357" w:rsidRDefault="00805A5E" w:rsidP="00547ACE">
            <w:pPr>
              <w:rPr>
                <w:rFonts w:cs="Arial"/>
                <w:color w:val="002060"/>
                <w:sz w:val="16"/>
                <w:szCs w:val="16"/>
              </w:rPr>
            </w:pPr>
            <w:r w:rsidRPr="00145357">
              <w:rPr>
                <w:rFonts w:cs="Arial"/>
                <w:color w:val="002060"/>
                <w:sz w:val="16"/>
                <w:szCs w:val="16"/>
              </w:rPr>
              <w:t>2013:  657 (WBO)</w:t>
            </w:r>
          </w:p>
          <w:p w:rsidR="00805A5E" w:rsidRPr="00145357" w:rsidRDefault="00805A5E" w:rsidP="00547ACE">
            <w:pPr>
              <w:spacing w:before="60"/>
              <w:ind w:right="-72"/>
              <w:rPr>
                <w:rFonts w:cs="Arial"/>
                <w:color w:val="002060"/>
                <w:sz w:val="16"/>
                <w:szCs w:val="16"/>
              </w:rPr>
            </w:pPr>
            <w:r w:rsidRPr="00145357">
              <w:rPr>
                <w:rFonts w:cs="Arial"/>
                <w:color w:val="002060"/>
                <w:sz w:val="16"/>
                <w:szCs w:val="16"/>
              </w:rPr>
              <w:t xml:space="preserve">2012:  43,523      </w:t>
            </w:r>
          </w:p>
          <w:p w:rsidR="00805A5E" w:rsidRPr="00145357" w:rsidRDefault="00805A5E" w:rsidP="00547ACE">
            <w:pPr>
              <w:ind w:right="-76"/>
              <w:rPr>
                <w:rFonts w:cs="Arial"/>
                <w:color w:val="002060"/>
                <w:sz w:val="16"/>
                <w:szCs w:val="16"/>
              </w:rPr>
            </w:pPr>
            <w:r w:rsidRPr="00145357">
              <w:rPr>
                <w:rFonts w:cs="Arial"/>
                <w:color w:val="002060"/>
                <w:sz w:val="16"/>
                <w:szCs w:val="16"/>
              </w:rPr>
              <w:t xml:space="preserve">2013:  43,771 (WJO)  </w:t>
            </w:r>
          </w:p>
          <w:p w:rsidR="00805A5E" w:rsidRPr="00145357" w:rsidRDefault="00805A5E" w:rsidP="00547ACE">
            <w:pPr>
              <w:spacing w:before="60"/>
              <w:rPr>
                <w:rFonts w:cs="Arial"/>
                <w:color w:val="002060"/>
                <w:sz w:val="16"/>
                <w:szCs w:val="16"/>
              </w:rPr>
            </w:pPr>
            <w:r w:rsidRPr="00145357">
              <w:rPr>
                <w:rFonts w:cs="Arial"/>
                <w:color w:val="002060"/>
                <w:sz w:val="16"/>
                <w:szCs w:val="16"/>
              </w:rPr>
              <w:t>2012:  1,124</w:t>
            </w:r>
          </w:p>
          <w:p w:rsidR="00805A5E" w:rsidRPr="00145357" w:rsidRDefault="00805A5E" w:rsidP="00547ACE">
            <w:pPr>
              <w:rPr>
                <w:rFonts w:cs="Arial"/>
                <w:color w:val="002060"/>
                <w:sz w:val="16"/>
                <w:szCs w:val="16"/>
              </w:rPr>
            </w:pPr>
            <w:r w:rsidRPr="00145357">
              <w:rPr>
                <w:rFonts w:cs="Arial"/>
                <w:color w:val="002060"/>
                <w:sz w:val="16"/>
                <w:szCs w:val="16"/>
              </w:rPr>
              <w:t>2013:  1,282 (WSO)</w:t>
            </w:r>
          </w:p>
          <w:p w:rsidR="00805A5E" w:rsidRPr="000D3F45" w:rsidRDefault="00805A5E" w:rsidP="00547ACE">
            <w:pPr>
              <w:rPr>
                <w:rFonts w:cs="Arial"/>
                <w:i/>
                <w:sz w:val="8"/>
                <w:szCs w:val="8"/>
              </w:rPr>
            </w:pPr>
          </w:p>
          <w:p w:rsidR="00805A5E" w:rsidRPr="00B35AFA" w:rsidRDefault="00805A5E" w:rsidP="00547ACE">
            <w:pPr>
              <w:rPr>
                <w:rFonts w:eastAsia="SimSun" w:cs="Arial"/>
                <w:color w:val="000000"/>
                <w:sz w:val="16"/>
                <w:szCs w:val="16"/>
                <w:lang w:eastAsia="zh-CN"/>
              </w:rPr>
            </w:pPr>
            <w:r>
              <w:rPr>
                <w:rFonts w:cs="Arial"/>
                <w:i/>
                <w:sz w:val="16"/>
                <w:szCs w:val="16"/>
              </w:rPr>
              <w:t>Original Baseline P&amp;B 2014/15</w:t>
            </w:r>
            <w:r w:rsidRPr="00B35AFA">
              <w:rPr>
                <w:rFonts w:cs="Arial"/>
                <w:i/>
                <w:sz w:val="16"/>
                <w:szCs w:val="16"/>
              </w:rPr>
              <w:t>:</w:t>
            </w:r>
            <w:r w:rsidRPr="00B35AFA">
              <w:rPr>
                <w:rFonts w:cs="Arial"/>
                <w:sz w:val="16"/>
                <w:szCs w:val="16"/>
              </w:rPr>
              <w:t xml:space="preserve">  </w:t>
            </w:r>
            <w:r w:rsidRPr="002E2035">
              <w:rPr>
                <w:rFonts w:cs="Arial"/>
                <w:sz w:val="16"/>
                <w:szCs w:val="16"/>
              </w:rPr>
              <w:t>519 in 2011 (WBO)</w:t>
            </w:r>
            <w:r>
              <w:rPr>
                <w:rFonts w:cs="Arial"/>
                <w:sz w:val="16"/>
                <w:szCs w:val="16"/>
              </w:rPr>
              <w:t xml:space="preserve"> </w:t>
            </w:r>
            <w:r w:rsidRPr="002E2035">
              <w:rPr>
                <w:rFonts w:cs="Arial"/>
                <w:sz w:val="16"/>
                <w:szCs w:val="16"/>
              </w:rPr>
              <w:t>tbd (WJO)</w:t>
            </w:r>
            <w:r>
              <w:rPr>
                <w:rFonts w:cs="Arial"/>
                <w:sz w:val="16"/>
                <w:szCs w:val="16"/>
              </w:rPr>
              <w:t xml:space="preserve"> </w:t>
            </w:r>
            <w:r w:rsidRPr="002E2035">
              <w:rPr>
                <w:rFonts w:cs="Arial"/>
                <w:sz w:val="16"/>
                <w:szCs w:val="16"/>
              </w:rPr>
              <w:t>tbd (WSO)</w:t>
            </w:r>
            <w:r>
              <w:rPr>
                <w:rFonts w:cs="Arial"/>
                <w:sz w:val="16"/>
                <w:szCs w:val="16"/>
              </w:rPr>
              <w:t xml:space="preserve"> </w:t>
            </w:r>
          </w:p>
        </w:tc>
        <w:tc>
          <w:tcPr>
            <w:tcW w:w="671" w:type="pct"/>
            <w:gridSpan w:val="2"/>
            <w:tcBorders>
              <w:top w:val="nil"/>
              <w:left w:val="nil"/>
              <w:bottom w:val="nil"/>
              <w:right w:val="nil"/>
            </w:tcBorders>
            <w:shd w:val="clear" w:color="auto" w:fill="auto"/>
            <w:tcMar>
              <w:top w:w="110" w:type="dxa"/>
            </w:tcMar>
          </w:tcPr>
          <w:p w:rsidR="00805A5E" w:rsidRDefault="00805A5E" w:rsidP="00547ACE">
            <w:pPr>
              <w:ind w:right="-107"/>
              <w:rPr>
                <w:rFonts w:eastAsia="SimSun" w:cs="Arial"/>
                <w:sz w:val="16"/>
                <w:szCs w:val="16"/>
                <w:lang w:eastAsia="zh-CN" w:bidi="th-TH"/>
              </w:rPr>
            </w:pPr>
            <w:r w:rsidRPr="002E2035">
              <w:rPr>
                <w:rFonts w:eastAsia="SimSun" w:cs="Arial"/>
                <w:sz w:val="16"/>
                <w:szCs w:val="16"/>
                <w:lang w:eastAsia="zh-CN" w:bidi="th-TH"/>
              </w:rPr>
              <w:t>15% increase</w:t>
            </w:r>
          </w:p>
          <w:p w:rsidR="00805A5E" w:rsidRDefault="00805A5E" w:rsidP="00547ACE">
            <w:pPr>
              <w:rPr>
                <w:rFonts w:eastAsia="SimSun" w:cs="Arial"/>
                <w:sz w:val="16"/>
                <w:szCs w:val="16"/>
                <w:lang w:eastAsia="zh-CN" w:bidi="th-TH"/>
              </w:rPr>
            </w:pPr>
            <w:r w:rsidRPr="002E2035">
              <w:rPr>
                <w:rFonts w:eastAsia="SimSun" w:cs="Arial"/>
                <w:sz w:val="16"/>
                <w:szCs w:val="16"/>
                <w:lang w:eastAsia="zh-CN" w:bidi="th-TH"/>
              </w:rPr>
              <w:t>(WBO)</w:t>
            </w:r>
          </w:p>
          <w:p w:rsidR="00805A5E" w:rsidRDefault="00805A5E" w:rsidP="00547ACE">
            <w:pPr>
              <w:rPr>
                <w:rFonts w:eastAsia="SimSun" w:cs="Arial"/>
                <w:sz w:val="16"/>
                <w:szCs w:val="16"/>
                <w:lang w:eastAsia="zh-CN" w:bidi="th-TH"/>
              </w:rPr>
            </w:pPr>
          </w:p>
          <w:p w:rsidR="00805A5E" w:rsidRDefault="00805A5E" w:rsidP="00547ACE">
            <w:pPr>
              <w:rPr>
                <w:rFonts w:eastAsia="SimSun" w:cs="Arial"/>
                <w:sz w:val="16"/>
                <w:szCs w:val="16"/>
                <w:lang w:eastAsia="zh-CN" w:bidi="th-TH"/>
              </w:rPr>
            </w:pPr>
          </w:p>
          <w:p w:rsidR="00805A5E" w:rsidRDefault="00805A5E" w:rsidP="00547ACE">
            <w:pPr>
              <w:rPr>
                <w:rFonts w:eastAsia="SimSun" w:cs="Arial"/>
                <w:sz w:val="16"/>
                <w:szCs w:val="16"/>
                <w:lang w:eastAsia="zh-CN" w:bidi="th-TH"/>
              </w:rPr>
            </w:pPr>
          </w:p>
          <w:p w:rsidR="00805A5E" w:rsidRDefault="00805A5E" w:rsidP="00547ACE">
            <w:pPr>
              <w:rPr>
                <w:rFonts w:eastAsia="SimSun" w:cs="Arial"/>
                <w:sz w:val="16"/>
                <w:szCs w:val="16"/>
                <w:lang w:eastAsia="zh-CN" w:bidi="th-TH"/>
              </w:rPr>
            </w:pPr>
            <w:r w:rsidRPr="002E2035">
              <w:rPr>
                <w:rFonts w:eastAsia="SimSun" w:cs="Arial"/>
                <w:sz w:val="16"/>
                <w:szCs w:val="16"/>
                <w:lang w:eastAsia="zh-CN" w:bidi="th-TH"/>
              </w:rPr>
              <w:t>1% increase (WJO)</w:t>
            </w:r>
          </w:p>
          <w:p w:rsidR="00805A5E" w:rsidRDefault="00805A5E" w:rsidP="00547ACE">
            <w:pPr>
              <w:rPr>
                <w:rFonts w:eastAsia="SimSun" w:cs="Arial"/>
                <w:sz w:val="16"/>
                <w:szCs w:val="16"/>
                <w:lang w:eastAsia="zh-CN" w:bidi="th-TH"/>
              </w:rPr>
            </w:pPr>
          </w:p>
          <w:p w:rsidR="00805A5E" w:rsidRDefault="00805A5E" w:rsidP="00547ACE">
            <w:pPr>
              <w:rPr>
                <w:rFonts w:eastAsia="SimSun" w:cs="Arial"/>
                <w:sz w:val="16"/>
                <w:szCs w:val="16"/>
                <w:lang w:eastAsia="zh-CN" w:bidi="th-TH"/>
              </w:rPr>
            </w:pPr>
          </w:p>
          <w:p w:rsidR="00805A5E" w:rsidRDefault="00805A5E" w:rsidP="00547ACE">
            <w:pPr>
              <w:rPr>
                <w:rFonts w:eastAsia="SimSun" w:cs="Arial"/>
                <w:sz w:val="16"/>
                <w:szCs w:val="16"/>
                <w:lang w:eastAsia="zh-CN" w:bidi="th-TH"/>
              </w:rPr>
            </w:pPr>
          </w:p>
          <w:p w:rsidR="00805A5E" w:rsidRDefault="00805A5E" w:rsidP="00547ACE">
            <w:pPr>
              <w:rPr>
                <w:rFonts w:eastAsia="SimSun" w:cs="Arial"/>
                <w:sz w:val="16"/>
                <w:szCs w:val="16"/>
                <w:lang w:eastAsia="zh-CN" w:bidi="th-TH"/>
              </w:rPr>
            </w:pPr>
          </w:p>
          <w:p w:rsidR="00805A5E" w:rsidRPr="00B35AFA" w:rsidRDefault="00805A5E" w:rsidP="00547ACE">
            <w:pPr>
              <w:rPr>
                <w:rFonts w:eastAsia="SimSun" w:cs="Arial"/>
                <w:sz w:val="16"/>
                <w:szCs w:val="16"/>
                <w:lang w:eastAsia="zh-CN" w:bidi="th-TH"/>
              </w:rPr>
            </w:pPr>
            <w:r w:rsidRPr="002E2035">
              <w:rPr>
                <w:rFonts w:eastAsia="SimSun" w:cs="Arial"/>
                <w:sz w:val="16"/>
                <w:szCs w:val="16"/>
                <w:lang w:eastAsia="zh-CN" w:bidi="th-TH"/>
              </w:rPr>
              <w:t>5% increase (WSO)</w:t>
            </w:r>
          </w:p>
        </w:tc>
        <w:tc>
          <w:tcPr>
            <w:tcW w:w="1592" w:type="pct"/>
            <w:gridSpan w:val="5"/>
            <w:tcBorders>
              <w:top w:val="nil"/>
              <w:left w:val="nil"/>
              <w:bottom w:val="nil"/>
              <w:right w:val="nil"/>
            </w:tcBorders>
            <w:shd w:val="clear" w:color="auto" w:fill="FFFFFF"/>
            <w:tcMar>
              <w:top w:w="110" w:type="dxa"/>
              <w:left w:w="29" w:type="dxa"/>
              <w:right w:w="29" w:type="dxa"/>
            </w:tcMar>
          </w:tcPr>
          <w:p w:rsidR="00805A5E" w:rsidRDefault="00805A5E" w:rsidP="00547ACE">
            <w:pPr>
              <w:rPr>
                <w:rFonts w:eastAsia="SimSun" w:cs="Arial"/>
                <w:sz w:val="16"/>
                <w:szCs w:val="16"/>
                <w:lang w:eastAsia="zh-CN"/>
              </w:rPr>
            </w:pPr>
            <w:r>
              <w:rPr>
                <w:rFonts w:eastAsia="SimSun" w:cs="Arial"/>
                <w:sz w:val="16"/>
                <w:szCs w:val="16"/>
                <w:lang w:eastAsia="zh-CN"/>
              </w:rPr>
              <w:t>2014/15: 1,128 (-9%)</w:t>
            </w:r>
          </w:p>
          <w:p w:rsidR="00805A5E" w:rsidRPr="0075534B" w:rsidRDefault="00805A5E" w:rsidP="00805A5E">
            <w:pPr>
              <w:pStyle w:val="ListParagraph"/>
              <w:numPr>
                <w:ilvl w:val="0"/>
                <w:numId w:val="161"/>
              </w:numPr>
              <w:ind w:left="347" w:hanging="347"/>
              <w:rPr>
                <w:rFonts w:eastAsia="SimSun" w:cs="Arial"/>
                <w:sz w:val="16"/>
                <w:szCs w:val="16"/>
                <w:lang w:eastAsia="zh-CN"/>
              </w:rPr>
            </w:pPr>
            <w:r w:rsidRPr="0075534B">
              <w:rPr>
                <w:rFonts w:eastAsia="SimSun" w:cs="Arial"/>
                <w:sz w:val="16"/>
                <w:szCs w:val="16"/>
                <w:lang w:eastAsia="zh-CN"/>
              </w:rPr>
              <w:t>2014:  5</w:t>
            </w:r>
            <w:r>
              <w:rPr>
                <w:rFonts w:eastAsia="SimSun" w:cs="Arial"/>
                <w:sz w:val="16"/>
                <w:szCs w:val="16"/>
                <w:lang w:eastAsia="zh-CN"/>
              </w:rPr>
              <w:t>80 (-12%)</w:t>
            </w:r>
          </w:p>
          <w:p w:rsidR="00805A5E" w:rsidRDefault="00805A5E" w:rsidP="00805A5E">
            <w:pPr>
              <w:pStyle w:val="ListParagraph"/>
              <w:numPr>
                <w:ilvl w:val="0"/>
                <w:numId w:val="161"/>
              </w:numPr>
              <w:ind w:left="347" w:hanging="347"/>
              <w:rPr>
                <w:rFonts w:eastAsia="SimSun" w:cs="Arial"/>
                <w:sz w:val="16"/>
                <w:szCs w:val="16"/>
                <w:lang w:eastAsia="zh-CN"/>
              </w:rPr>
            </w:pPr>
            <w:r w:rsidRPr="0075534B">
              <w:rPr>
                <w:rFonts w:eastAsia="SimSun" w:cs="Arial"/>
                <w:sz w:val="16"/>
                <w:szCs w:val="16"/>
                <w:lang w:eastAsia="zh-CN"/>
              </w:rPr>
              <w:t xml:space="preserve">2015:  547 </w:t>
            </w:r>
            <w:r>
              <w:rPr>
                <w:rFonts w:eastAsia="SimSun" w:cs="Arial"/>
                <w:sz w:val="16"/>
                <w:szCs w:val="16"/>
                <w:lang w:eastAsia="zh-CN"/>
              </w:rPr>
              <w:t>(-6%)</w:t>
            </w:r>
          </w:p>
          <w:p w:rsidR="00805A5E" w:rsidRPr="0075534B" w:rsidRDefault="00805A5E" w:rsidP="00547ACE">
            <w:pPr>
              <w:rPr>
                <w:rFonts w:eastAsia="SimSun" w:cs="Arial"/>
                <w:sz w:val="16"/>
                <w:szCs w:val="16"/>
                <w:lang w:eastAsia="zh-CN"/>
              </w:rPr>
            </w:pPr>
            <w:r w:rsidRPr="0075534B">
              <w:rPr>
                <w:rFonts w:eastAsia="SimSun" w:cs="Arial"/>
                <w:sz w:val="16"/>
                <w:szCs w:val="16"/>
                <w:lang w:eastAsia="zh-CN"/>
              </w:rPr>
              <w:t>(WBO)</w:t>
            </w:r>
          </w:p>
          <w:p w:rsidR="00805A5E" w:rsidRDefault="00805A5E" w:rsidP="00547ACE">
            <w:pPr>
              <w:rPr>
                <w:rFonts w:eastAsia="SimSun" w:cs="Arial"/>
                <w:sz w:val="16"/>
                <w:szCs w:val="16"/>
                <w:lang w:eastAsia="zh-CN"/>
              </w:rPr>
            </w:pPr>
          </w:p>
          <w:p w:rsidR="00805A5E" w:rsidRDefault="00805A5E" w:rsidP="00547ACE">
            <w:pPr>
              <w:rPr>
                <w:rFonts w:eastAsia="SimSun" w:cs="Arial"/>
                <w:sz w:val="16"/>
                <w:szCs w:val="16"/>
                <w:lang w:eastAsia="zh-CN"/>
              </w:rPr>
            </w:pPr>
            <w:r>
              <w:rPr>
                <w:rFonts w:eastAsia="SimSun" w:cs="Arial"/>
                <w:sz w:val="16"/>
                <w:szCs w:val="16"/>
                <w:lang w:eastAsia="zh-CN"/>
              </w:rPr>
              <w:t>2014/15:  86,616 (-1%)</w:t>
            </w:r>
          </w:p>
          <w:p w:rsidR="00805A5E" w:rsidRPr="0075534B" w:rsidRDefault="00805A5E" w:rsidP="00805A5E">
            <w:pPr>
              <w:pStyle w:val="ListParagraph"/>
              <w:numPr>
                <w:ilvl w:val="0"/>
                <w:numId w:val="161"/>
              </w:numPr>
              <w:ind w:left="347" w:hanging="347"/>
              <w:rPr>
                <w:rFonts w:eastAsia="SimSun" w:cs="Arial"/>
                <w:sz w:val="16"/>
                <w:szCs w:val="16"/>
                <w:lang w:eastAsia="zh-CN"/>
              </w:rPr>
            </w:pPr>
            <w:r w:rsidRPr="0075534B">
              <w:rPr>
                <w:rFonts w:eastAsia="SimSun" w:cs="Arial"/>
                <w:sz w:val="16"/>
                <w:szCs w:val="16"/>
                <w:lang w:eastAsia="zh-CN"/>
              </w:rPr>
              <w:t>2</w:t>
            </w:r>
            <w:r>
              <w:rPr>
                <w:rFonts w:eastAsia="SimSun" w:cs="Arial"/>
                <w:sz w:val="16"/>
                <w:szCs w:val="16"/>
                <w:lang w:eastAsia="zh-CN"/>
              </w:rPr>
              <w:t>014:  42,381</w:t>
            </w:r>
            <w:r w:rsidRPr="00EF6ED8">
              <w:rPr>
                <w:rStyle w:val="FootnoteReference"/>
                <w:rFonts w:eastAsia="SimSun" w:cs="Arial"/>
                <w:szCs w:val="16"/>
              </w:rPr>
              <w:t xml:space="preserve"> </w:t>
            </w:r>
            <w:r>
              <w:rPr>
                <w:rFonts w:eastAsia="SimSun" w:cs="Arial"/>
                <w:sz w:val="16"/>
                <w:szCs w:val="16"/>
                <w:lang w:eastAsia="zh-CN"/>
              </w:rPr>
              <w:t>(-3%)</w:t>
            </w:r>
          </w:p>
          <w:p w:rsidR="00805A5E" w:rsidRDefault="00805A5E" w:rsidP="00805A5E">
            <w:pPr>
              <w:pStyle w:val="ListParagraph"/>
              <w:numPr>
                <w:ilvl w:val="0"/>
                <w:numId w:val="161"/>
              </w:numPr>
              <w:ind w:left="347" w:right="-92" w:hanging="347"/>
              <w:rPr>
                <w:rFonts w:eastAsia="SimSun" w:cs="Arial"/>
                <w:sz w:val="16"/>
                <w:szCs w:val="16"/>
                <w:lang w:eastAsia="zh-CN"/>
              </w:rPr>
            </w:pPr>
            <w:r w:rsidRPr="0075534B">
              <w:rPr>
                <w:rFonts w:eastAsia="SimSun" w:cs="Arial"/>
                <w:sz w:val="16"/>
                <w:szCs w:val="16"/>
                <w:lang w:eastAsia="zh-CN"/>
              </w:rPr>
              <w:t xml:space="preserve">2015:  </w:t>
            </w:r>
            <w:r>
              <w:rPr>
                <w:rFonts w:eastAsia="SimSun" w:cs="Arial"/>
                <w:sz w:val="16"/>
                <w:szCs w:val="16"/>
                <w:lang w:eastAsia="zh-CN"/>
              </w:rPr>
              <w:t>44,235 (+4%)</w:t>
            </w:r>
          </w:p>
          <w:p w:rsidR="00805A5E" w:rsidRDefault="00805A5E" w:rsidP="00547ACE">
            <w:pPr>
              <w:rPr>
                <w:rFonts w:eastAsia="SimSun" w:cs="Arial"/>
                <w:sz w:val="16"/>
                <w:szCs w:val="16"/>
                <w:lang w:eastAsia="zh-CN"/>
              </w:rPr>
            </w:pPr>
            <w:r>
              <w:rPr>
                <w:rFonts w:eastAsia="SimSun" w:cs="Arial"/>
                <w:sz w:val="16"/>
                <w:szCs w:val="16"/>
                <w:lang w:eastAsia="zh-CN"/>
              </w:rPr>
              <w:t>(WJO)</w:t>
            </w:r>
          </w:p>
          <w:p w:rsidR="00805A5E" w:rsidRDefault="00805A5E" w:rsidP="00547ACE">
            <w:pPr>
              <w:rPr>
                <w:rFonts w:eastAsia="SimSun" w:cs="Arial"/>
                <w:sz w:val="16"/>
                <w:szCs w:val="16"/>
                <w:lang w:eastAsia="zh-CN"/>
              </w:rPr>
            </w:pPr>
          </w:p>
          <w:p w:rsidR="00805A5E" w:rsidRDefault="00805A5E" w:rsidP="00547ACE">
            <w:pPr>
              <w:rPr>
                <w:rFonts w:eastAsia="SimSun" w:cs="Arial"/>
                <w:sz w:val="16"/>
                <w:szCs w:val="16"/>
                <w:lang w:eastAsia="zh-CN"/>
              </w:rPr>
            </w:pPr>
            <w:r>
              <w:rPr>
                <w:rFonts w:eastAsia="SimSun" w:cs="Arial"/>
                <w:sz w:val="16"/>
                <w:szCs w:val="16"/>
                <w:lang w:eastAsia="zh-CN"/>
              </w:rPr>
              <w:t>2014/15:  2,809 (+17%)</w:t>
            </w:r>
          </w:p>
          <w:p w:rsidR="00805A5E" w:rsidRDefault="00805A5E" w:rsidP="00805A5E">
            <w:pPr>
              <w:pStyle w:val="ListParagraph"/>
              <w:numPr>
                <w:ilvl w:val="0"/>
                <w:numId w:val="161"/>
              </w:numPr>
              <w:ind w:left="347" w:right="-92" w:hanging="347"/>
              <w:rPr>
                <w:rFonts w:eastAsia="SimSun" w:cs="Arial"/>
                <w:sz w:val="16"/>
                <w:szCs w:val="16"/>
                <w:lang w:eastAsia="zh-CN"/>
              </w:rPr>
            </w:pPr>
            <w:r>
              <w:rPr>
                <w:rFonts w:eastAsia="SimSun" w:cs="Arial"/>
                <w:sz w:val="16"/>
                <w:szCs w:val="16"/>
                <w:lang w:eastAsia="zh-CN"/>
              </w:rPr>
              <w:t>2014:  1,394</w:t>
            </w:r>
            <w:r w:rsidRPr="00980EC4">
              <w:rPr>
                <w:rFonts w:eastAsia="SimSun" w:cs="Arial"/>
                <w:sz w:val="16"/>
                <w:szCs w:val="16"/>
                <w:lang w:eastAsia="zh-CN"/>
              </w:rPr>
              <w:t xml:space="preserve"> </w:t>
            </w:r>
            <w:r w:rsidRPr="00E93379">
              <w:rPr>
                <w:rFonts w:eastAsia="SimSun" w:cs="Arial"/>
                <w:sz w:val="16"/>
                <w:szCs w:val="16"/>
                <w:lang w:eastAsia="zh-CN"/>
              </w:rPr>
              <w:t>(+9%)</w:t>
            </w:r>
          </w:p>
          <w:p w:rsidR="00805A5E" w:rsidRDefault="00805A5E" w:rsidP="00805A5E">
            <w:pPr>
              <w:pStyle w:val="ListParagraph"/>
              <w:numPr>
                <w:ilvl w:val="0"/>
                <w:numId w:val="161"/>
              </w:numPr>
              <w:ind w:left="347" w:right="-92" w:hanging="347"/>
              <w:rPr>
                <w:rFonts w:eastAsia="SimSun" w:cs="Arial"/>
                <w:sz w:val="16"/>
                <w:szCs w:val="16"/>
                <w:lang w:eastAsia="zh-CN"/>
              </w:rPr>
            </w:pPr>
            <w:r>
              <w:rPr>
                <w:rFonts w:eastAsia="SimSun" w:cs="Arial"/>
                <w:sz w:val="16"/>
                <w:szCs w:val="16"/>
                <w:lang w:eastAsia="zh-CN"/>
              </w:rPr>
              <w:t xml:space="preserve">2015:  1,415  </w:t>
            </w:r>
            <w:r w:rsidRPr="00E93379">
              <w:rPr>
                <w:rFonts w:eastAsia="SimSun" w:cs="Arial"/>
                <w:sz w:val="16"/>
                <w:szCs w:val="16"/>
                <w:lang w:eastAsia="zh-CN"/>
              </w:rPr>
              <w:t>(+</w:t>
            </w:r>
            <w:r>
              <w:rPr>
                <w:rFonts w:eastAsia="SimSun" w:cs="Arial"/>
                <w:sz w:val="16"/>
                <w:szCs w:val="16"/>
                <w:lang w:eastAsia="zh-CN"/>
              </w:rPr>
              <w:t>2%</w:t>
            </w:r>
            <w:r w:rsidRPr="00E93379">
              <w:rPr>
                <w:rFonts w:eastAsia="SimSun" w:cs="Arial"/>
                <w:sz w:val="16"/>
                <w:szCs w:val="16"/>
                <w:lang w:eastAsia="zh-CN"/>
              </w:rPr>
              <w:t>)</w:t>
            </w:r>
          </w:p>
          <w:p w:rsidR="00805A5E" w:rsidRPr="00B35AFA" w:rsidRDefault="00805A5E" w:rsidP="00547ACE">
            <w:pPr>
              <w:rPr>
                <w:rFonts w:eastAsia="SimSun" w:cs="Arial"/>
                <w:sz w:val="16"/>
                <w:szCs w:val="16"/>
                <w:lang w:eastAsia="zh-CN"/>
              </w:rPr>
            </w:pPr>
            <w:r>
              <w:rPr>
                <w:rFonts w:eastAsia="SimSun" w:cs="Arial"/>
                <w:sz w:val="16"/>
                <w:szCs w:val="16"/>
                <w:lang w:eastAsia="zh-CN"/>
              </w:rPr>
              <w:t>(WSO)</w:t>
            </w:r>
          </w:p>
        </w:tc>
        <w:tc>
          <w:tcPr>
            <w:tcW w:w="562" w:type="pct"/>
            <w:gridSpan w:val="4"/>
            <w:tcBorders>
              <w:top w:val="nil"/>
              <w:left w:val="nil"/>
              <w:bottom w:val="nil"/>
              <w:right w:val="single" w:sz="4" w:space="0" w:color="auto"/>
            </w:tcBorders>
            <w:shd w:val="clear" w:color="auto" w:fill="auto"/>
            <w:tcMar>
              <w:top w:w="110" w:type="dxa"/>
            </w:tcMar>
          </w:tcPr>
          <w:p w:rsidR="00805A5E" w:rsidRDefault="00805A5E" w:rsidP="00547ACE">
            <w:pPr>
              <w:keepNext/>
              <w:keepLines/>
              <w:ind w:right="20"/>
              <w:jc w:val="center"/>
              <w:rPr>
                <w:rFonts w:eastAsia="SimSun" w:cs="Arial"/>
                <w:b/>
                <w:color w:val="FF0000"/>
                <w:sz w:val="16"/>
                <w:szCs w:val="16"/>
                <w:lang w:eastAsia="zh-CN"/>
              </w:rPr>
            </w:pPr>
            <w:r w:rsidRPr="000D3F45">
              <w:rPr>
                <w:rFonts w:eastAsia="SimSun" w:cs="Arial"/>
                <w:b/>
                <w:color w:val="FF0000"/>
                <w:sz w:val="16"/>
                <w:szCs w:val="16"/>
                <w:lang w:eastAsia="zh-CN"/>
              </w:rPr>
              <w:t>Not Achieved</w:t>
            </w:r>
          </w:p>
          <w:p w:rsidR="00805A5E" w:rsidRDefault="00805A5E" w:rsidP="00547ACE">
            <w:pPr>
              <w:keepNext/>
              <w:keepLines/>
              <w:ind w:right="20"/>
              <w:rPr>
                <w:rFonts w:eastAsia="SimSun" w:cs="Arial"/>
                <w:b/>
                <w:color w:val="FF0000"/>
                <w:sz w:val="16"/>
                <w:szCs w:val="16"/>
                <w:lang w:eastAsia="zh-CN"/>
              </w:rPr>
            </w:pPr>
          </w:p>
          <w:p w:rsidR="00805A5E" w:rsidRDefault="00805A5E" w:rsidP="00547ACE">
            <w:pPr>
              <w:keepNext/>
              <w:keepLines/>
              <w:ind w:right="20"/>
              <w:rPr>
                <w:rFonts w:eastAsia="SimSun" w:cs="Arial"/>
                <w:b/>
                <w:color w:val="FF0000"/>
                <w:sz w:val="16"/>
                <w:szCs w:val="16"/>
                <w:lang w:eastAsia="zh-CN"/>
              </w:rPr>
            </w:pPr>
          </w:p>
          <w:p w:rsidR="00805A5E" w:rsidRDefault="00805A5E" w:rsidP="00547ACE">
            <w:pPr>
              <w:keepNext/>
              <w:keepLines/>
              <w:ind w:right="20"/>
              <w:rPr>
                <w:rFonts w:eastAsia="SimSun" w:cs="Arial"/>
                <w:b/>
                <w:color w:val="FF0000"/>
                <w:sz w:val="16"/>
                <w:szCs w:val="16"/>
                <w:lang w:eastAsia="zh-CN"/>
              </w:rPr>
            </w:pPr>
          </w:p>
          <w:p w:rsidR="00805A5E" w:rsidRDefault="00805A5E" w:rsidP="00547ACE">
            <w:pPr>
              <w:keepNext/>
              <w:keepLines/>
              <w:ind w:left="71" w:right="20"/>
              <w:jc w:val="center"/>
              <w:rPr>
                <w:rFonts w:eastAsia="SimSun" w:cs="Arial"/>
                <w:b/>
                <w:color w:val="FF0000"/>
                <w:sz w:val="16"/>
                <w:szCs w:val="16"/>
                <w:lang w:eastAsia="zh-CN"/>
              </w:rPr>
            </w:pPr>
            <w:r w:rsidRPr="006477F7">
              <w:rPr>
                <w:rFonts w:eastAsia="SimSun" w:cs="Arial"/>
                <w:b/>
                <w:color w:val="FF0000"/>
                <w:sz w:val="16"/>
                <w:szCs w:val="16"/>
                <w:lang w:eastAsia="zh-CN"/>
              </w:rPr>
              <w:t>Not Achieved</w:t>
            </w:r>
          </w:p>
          <w:p w:rsidR="00805A5E" w:rsidRDefault="00805A5E" w:rsidP="00547ACE">
            <w:pPr>
              <w:keepNext/>
              <w:keepLines/>
              <w:ind w:left="71" w:right="20"/>
              <w:jc w:val="center"/>
              <w:rPr>
                <w:rFonts w:eastAsia="SimSun" w:cs="Arial"/>
                <w:b/>
                <w:bCs/>
                <w:color w:val="00B050"/>
                <w:sz w:val="16"/>
                <w:szCs w:val="16"/>
                <w:lang w:eastAsia="zh-CN"/>
              </w:rPr>
            </w:pPr>
          </w:p>
          <w:p w:rsidR="00805A5E" w:rsidRDefault="00805A5E" w:rsidP="00547ACE">
            <w:pPr>
              <w:keepNext/>
              <w:keepLines/>
              <w:ind w:left="71" w:right="20"/>
              <w:jc w:val="center"/>
              <w:rPr>
                <w:rFonts w:eastAsia="SimSun" w:cs="Arial"/>
                <w:b/>
                <w:bCs/>
                <w:color w:val="00B050"/>
                <w:sz w:val="16"/>
                <w:szCs w:val="16"/>
                <w:lang w:eastAsia="zh-CN"/>
              </w:rPr>
            </w:pPr>
          </w:p>
          <w:p w:rsidR="00805A5E" w:rsidRDefault="00805A5E" w:rsidP="00547ACE">
            <w:pPr>
              <w:keepNext/>
              <w:keepLines/>
              <w:ind w:left="71" w:right="20"/>
              <w:jc w:val="center"/>
              <w:rPr>
                <w:rFonts w:eastAsia="SimSun" w:cs="Arial"/>
                <w:b/>
                <w:bCs/>
                <w:color w:val="00B050"/>
                <w:sz w:val="16"/>
                <w:szCs w:val="16"/>
                <w:lang w:eastAsia="zh-CN"/>
              </w:rPr>
            </w:pPr>
          </w:p>
          <w:p w:rsidR="00805A5E" w:rsidRPr="006477F7" w:rsidRDefault="00805A5E" w:rsidP="00547ACE">
            <w:pPr>
              <w:keepNext/>
              <w:keepLines/>
              <w:ind w:left="71" w:right="20"/>
              <w:jc w:val="center"/>
              <w:rPr>
                <w:rFonts w:eastAsia="SimSun" w:cs="Arial"/>
                <w:b/>
                <w:bCs/>
                <w:color w:val="00B050"/>
                <w:sz w:val="16"/>
                <w:szCs w:val="16"/>
                <w:lang w:eastAsia="zh-CN"/>
              </w:rPr>
            </w:pPr>
            <w:r w:rsidRPr="006477F7">
              <w:rPr>
                <w:rFonts w:eastAsia="SimSun" w:cs="Arial"/>
                <w:b/>
                <w:bCs/>
                <w:color w:val="00B050"/>
                <w:sz w:val="16"/>
                <w:szCs w:val="16"/>
                <w:lang w:eastAsia="zh-CN"/>
              </w:rPr>
              <w:t>Fully Achieved</w:t>
            </w:r>
          </w:p>
          <w:p w:rsidR="00805A5E" w:rsidRPr="00980EC4" w:rsidRDefault="00805A5E" w:rsidP="00547ACE">
            <w:pPr>
              <w:keepNext/>
              <w:keepLines/>
              <w:ind w:left="71" w:right="20"/>
              <w:jc w:val="center"/>
              <w:rPr>
                <w:rFonts w:eastAsia="SimSun" w:cs="Arial"/>
                <w:b/>
                <w:bCs/>
                <w:color w:val="00B050"/>
                <w:sz w:val="16"/>
                <w:szCs w:val="16"/>
                <w:lang w:eastAsia="zh-CN"/>
              </w:rPr>
            </w:pPr>
          </w:p>
        </w:tc>
      </w:tr>
      <w:tr w:rsidR="00805A5E" w:rsidRPr="00B35AFA" w:rsidTr="00547ACE">
        <w:trPr>
          <w:gridAfter w:val="1"/>
          <w:wAfter w:w="13" w:type="pct"/>
        </w:trPr>
        <w:tc>
          <w:tcPr>
            <w:tcW w:w="1125" w:type="pct"/>
            <w:gridSpan w:val="2"/>
            <w:tcBorders>
              <w:top w:val="nil"/>
              <w:left w:val="single" w:sz="4" w:space="0" w:color="auto"/>
              <w:bottom w:val="single" w:sz="4" w:space="0" w:color="auto"/>
              <w:right w:val="nil"/>
            </w:tcBorders>
            <w:shd w:val="clear" w:color="auto" w:fill="auto"/>
          </w:tcPr>
          <w:p w:rsidR="00805A5E" w:rsidRPr="00BE6FAF" w:rsidRDefault="00805A5E" w:rsidP="00547ACE">
            <w:pPr>
              <w:rPr>
                <w:rFonts w:eastAsia="SimSun" w:cs="Arial"/>
                <w:color w:val="000000"/>
                <w:sz w:val="16"/>
                <w:szCs w:val="16"/>
                <w:lang w:eastAsia="zh-CN"/>
              </w:rPr>
            </w:pPr>
          </w:p>
          <w:p w:rsidR="00805A5E" w:rsidRPr="00B35AFA" w:rsidRDefault="00805A5E" w:rsidP="00547ACE">
            <w:pPr>
              <w:rPr>
                <w:rFonts w:eastAsia="SimSun" w:cs="Arial"/>
                <w:color w:val="000000"/>
                <w:sz w:val="16"/>
                <w:szCs w:val="16"/>
                <w:lang w:eastAsia="zh-CN"/>
              </w:rPr>
            </w:pPr>
            <w:r w:rsidRPr="002E2035">
              <w:rPr>
                <w:rFonts w:eastAsia="SimSun" w:cs="Arial"/>
                <w:color w:val="000000"/>
                <w:sz w:val="16"/>
                <w:szCs w:val="16"/>
                <w:lang w:eastAsia="zh-CN"/>
              </w:rPr>
              <w:t>% of policy makers, government officials, and IP Practitioners and participants in targeted workshops with enhanced understanding of the PCT and related topics</w:t>
            </w:r>
          </w:p>
        </w:tc>
        <w:tc>
          <w:tcPr>
            <w:tcW w:w="1037" w:type="pct"/>
            <w:gridSpan w:val="3"/>
            <w:tcBorders>
              <w:top w:val="nil"/>
              <w:left w:val="nil"/>
              <w:bottom w:val="single" w:sz="4" w:space="0" w:color="auto"/>
              <w:right w:val="nil"/>
            </w:tcBorders>
            <w:shd w:val="clear" w:color="auto" w:fill="auto"/>
          </w:tcPr>
          <w:p w:rsidR="00805A5E" w:rsidRPr="00BE6FAF" w:rsidRDefault="00805A5E" w:rsidP="00547ACE">
            <w:pPr>
              <w:rPr>
                <w:rFonts w:cs="Arial"/>
                <w:sz w:val="16"/>
                <w:szCs w:val="16"/>
                <w:lang w:val="pt-BR"/>
              </w:rPr>
            </w:pPr>
          </w:p>
          <w:p w:rsidR="00805A5E" w:rsidRPr="00F60CAF" w:rsidRDefault="00805A5E" w:rsidP="00547ACE">
            <w:pPr>
              <w:rPr>
                <w:rFonts w:cs="Arial"/>
                <w:sz w:val="16"/>
                <w:szCs w:val="16"/>
                <w:lang w:val="pt-BR"/>
              </w:rPr>
            </w:pPr>
            <w:r w:rsidRPr="00F60CAF">
              <w:rPr>
                <w:rFonts w:cs="Arial"/>
                <w:sz w:val="16"/>
                <w:szCs w:val="16"/>
                <w:lang w:val="pt-BR"/>
              </w:rPr>
              <w:t>n/a (W</w:t>
            </w:r>
            <w:r>
              <w:rPr>
                <w:rFonts w:cs="Arial"/>
                <w:sz w:val="16"/>
                <w:szCs w:val="16"/>
                <w:lang w:val="pt-BR"/>
              </w:rPr>
              <w:t>B</w:t>
            </w:r>
            <w:r w:rsidRPr="00F60CAF">
              <w:rPr>
                <w:rFonts w:cs="Arial"/>
                <w:sz w:val="16"/>
                <w:szCs w:val="16"/>
                <w:lang w:val="pt-BR"/>
              </w:rPr>
              <w:t>O)</w:t>
            </w:r>
          </w:p>
          <w:p w:rsidR="00805A5E" w:rsidRPr="007A3976" w:rsidRDefault="00805A5E" w:rsidP="00547ACE">
            <w:pPr>
              <w:rPr>
                <w:rFonts w:cs="Arial"/>
                <w:sz w:val="8"/>
                <w:szCs w:val="8"/>
                <w:lang w:val="pt-BR"/>
              </w:rPr>
            </w:pPr>
          </w:p>
          <w:p w:rsidR="00805A5E" w:rsidRPr="00F60CAF" w:rsidRDefault="00805A5E" w:rsidP="00547ACE">
            <w:pPr>
              <w:rPr>
                <w:rFonts w:cs="Arial"/>
                <w:sz w:val="16"/>
                <w:szCs w:val="16"/>
                <w:lang w:val="pt-BR"/>
              </w:rPr>
            </w:pPr>
            <w:r w:rsidRPr="00F60CAF">
              <w:rPr>
                <w:rFonts w:cs="Arial"/>
                <w:sz w:val="16"/>
                <w:szCs w:val="16"/>
                <w:lang w:val="pt-BR"/>
              </w:rPr>
              <w:t>n/a (WJO)</w:t>
            </w:r>
          </w:p>
          <w:p w:rsidR="00805A5E" w:rsidRPr="007A3976" w:rsidRDefault="00805A5E" w:rsidP="00547ACE">
            <w:pPr>
              <w:rPr>
                <w:rFonts w:cs="Arial"/>
                <w:sz w:val="8"/>
                <w:szCs w:val="8"/>
              </w:rPr>
            </w:pPr>
          </w:p>
          <w:p w:rsidR="00805A5E" w:rsidRPr="00B35AFA" w:rsidRDefault="00805A5E" w:rsidP="00547ACE">
            <w:pPr>
              <w:rPr>
                <w:rFonts w:eastAsia="SimSun" w:cs="Arial"/>
                <w:color w:val="000000"/>
                <w:sz w:val="16"/>
                <w:szCs w:val="16"/>
                <w:lang w:eastAsia="zh-CN"/>
              </w:rPr>
            </w:pPr>
            <w:r w:rsidRPr="00607AAB">
              <w:rPr>
                <w:rFonts w:cs="Arial"/>
                <w:sz w:val="16"/>
                <w:szCs w:val="16"/>
              </w:rPr>
              <w:t>n/a (W</w:t>
            </w:r>
            <w:r>
              <w:rPr>
                <w:rFonts w:cs="Arial"/>
                <w:sz w:val="16"/>
                <w:szCs w:val="16"/>
              </w:rPr>
              <w:t>S</w:t>
            </w:r>
            <w:r w:rsidRPr="00607AAB">
              <w:rPr>
                <w:rFonts w:cs="Arial"/>
                <w:sz w:val="16"/>
                <w:szCs w:val="16"/>
              </w:rPr>
              <w:t>O)</w:t>
            </w:r>
          </w:p>
        </w:tc>
        <w:tc>
          <w:tcPr>
            <w:tcW w:w="671" w:type="pct"/>
            <w:gridSpan w:val="2"/>
            <w:tcBorders>
              <w:top w:val="nil"/>
              <w:left w:val="nil"/>
              <w:bottom w:val="single" w:sz="4" w:space="0" w:color="auto"/>
              <w:right w:val="nil"/>
            </w:tcBorders>
            <w:shd w:val="clear" w:color="auto" w:fill="auto"/>
            <w:tcMar>
              <w:top w:w="110" w:type="dxa"/>
            </w:tcMar>
          </w:tcPr>
          <w:p w:rsidR="00805A5E" w:rsidRDefault="00805A5E" w:rsidP="00547ACE">
            <w:pPr>
              <w:rPr>
                <w:rFonts w:eastAsia="SimSun" w:cs="Arial"/>
                <w:sz w:val="4"/>
                <w:szCs w:val="4"/>
                <w:lang w:eastAsia="zh-CN"/>
              </w:rPr>
            </w:pPr>
          </w:p>
          <w:p w:rsidR="00805A5E" w:rsidRPr="00BE6FAF" w:rsidRDefault="00805A5E" w:rsidP="00547ACE">
            <w:pPr>
              <w:rPr>
                <w:rFonts w:eastAsia="SimSun" w:cs="Arial"/>
                <w:sz w:val="12"/>
                <w:szCs w:val="12"/>
                <w:lang w:eastAsia="zh-CN"/>
              </w:rPr>
            </w:pPr>
          </w:p>
          <w:p w:rsidR="00805A5E" w:rsidRDefault="00805A5E" w:rsidP="00547ACE">
            <w:pPr>
              <w:rPr>
                <w:rFonts w:eastAsia="SimSun" w:cs="Arial"/>
                <w:sz w:val="16"/>
                <w:szCs w:val="16"/>
                <w:lang w:eastAsia="zh-CN"/>
              </w:rPr>
            </w:pPr>
            <w:r w:rsidRPr="00607AAB">
              <w:rPr>
                <w:rFonts w:eastAsia="SimSun" w:cs="Arial"/>
                <w:sz w:val="16"/>
                <w:szCs w:val="16"/>
                <w:lang w:eastAsia="zh-CN"/>
              </w:rPr>
              <w:t>75% (W</w:t>
            </w:r>
            <w:r>
              <w:rPr>
                <w:rFonts w:eastAsia="SimSun" w:cs="Arial"/>
                <w:sz w:val="16"/>
                <w:szCs w:val="16"/>
                <w:lang w:eastAsia="zh-CN"/>
              </w:rPr>
              <w:t>B</w:t>
            </w:r>
            <w:r w:rsidRPr="00607AAB">
              <w:rPr>
                <w:rFonts w:eastAsia="SimSun" w:cs="Arial"/>
                <w:sz w:val="16"/>
                <w:szCs w:val="16"/>
                <w:lang w:eastAsia="zh-CN"/>
              </w:rPr>
              <w:t>O)</w:t>
            </w:r>
          </w:p>
          <w:p w:rsidR="00805A5E" w:rsidRPr="0044139A" w:rsidRDefault="00805A5E" w:rsidP="00547ACE">
            <w:pPr>
              <w:rPr>
                <w:rFonts w:eastAsia="SimSun" w:cs="Arial"/>
                <w:sz w:val="16"/>
                <w:szCs w:val="16"/>
                <w:lang w:eastAsia="zh-CN"/>
              </w:rPr>
            </w:pPr>
          </w:p>
          <w:p w:rsidR="00805A5E" w:rsidRDefault="00805A5E" w:rsidP="00547ACE">
            <w:pPr>
              <w:rPr>
                <w:rFonts w:eastAsia="SimSun" w:cs="Arial"/>
                <w:sz w:val="16"/>
                <w:szCs w:val="16"/>
                <w:lang w:eastAsia="zh-CN"/>
              </w:rPr>
            </w:pPr>
            <w:r w:rsidRPr="00607AAB">
              <w:rPr>
                <w:rFonts w:eastAsia="SimSun" w:cs="Arial"/>
                <w:sz w:val="16"/>
                <w:szCs w:val="16"/>
                <w:lang w:eastAsia="zh-CN"/>
              </w:rPr>
              <w:t>75% (WJO)</w:t>
            </w:r>
          </w:p>
          <w:p w:rsidR="00805A5E" w:rsidRPr="0044139A" w:rsidRDefault="00805A5E" w:rsidP="00547ACE">
            <w:pPr>
              <w:rPr>
                <w:rFonts w:eastAsia="SimSun" w:cs="Arial"/>
                <w:sz w:val="16"/>
                <w:szCs w:val="16"/>
                <w:lang w:eastAsia="zh-CN"/>
              </w:rPr>
            </w:pPr>
          </w:p>
          <w:p w:rsidR="00805A5E" w:rsidRPr="00B35AFA" w:rsidRDefault="00805A5E" w:rsidP="00547ACE">
            <w:pPr>
              <w:rPr>
                <w:rFonts w:eastAsia="SimSun" w:cs="Arial"/>
                <w:sz w:val="16"/>
                <w:szCs w:val="16"/>
                <w:lang w:eastAsia="zh-CN"/>
              </w:rPr>
            </w:pPr>
            <w:r w:rsidRPr="00607AAB">
              <w:rPr>
                <w:rFonts w:eastAsia="SimSun" w:cs="Arial"/>
                <w:sz w:val="16"/>
                <w:szCs w:val="16"/>
                <w:lang w:eastAsia="zh-CN"/>
              </w:rPr>
              <w:t>75% (W</w:t>
            </w:r>
            <w:r>
              <w:rPr>
                <w:rFonts w:eastAsia="SimSun" w:cs="Arial"/>
                <w:sz w:val="16"/>
                <w:szCs w:val="16"/>
                <w:lang w:eastAsia="zh-CN"/>
              </w:rPr>
              <w:t>S</w:t>
            </w:r>
            <w:r w:rsidRPr="00607AAB">
              <w:rPr>
                <w:rFonts w:eastAsia="SimSun" w:cs="Arial"/>
                <w:sz w:val="16"/>
                <w:szCs w:val="16"/>
                <w:lang w:eastAsia="zh-CN"/>
              </w:rPr>
              <w:t>O)</w:t>
            </w:r>
          </w:p>
        </w:tc>
        <w:tc>
          <w:tcPr>
            <w:tcW w:w="1592" w:type="pct"/>
            <w:gridSpan w:val="5"/>
            <w:tcBorders>
              <w:top w:val="nil"/>
              <w:left w:val="nil"/>
              <w:bottom w:val="single" w:sz="4" w:space="0" w:color="auto"/>
              <w:right w:val="nil"/>
            </w:tcBorders>
            <w:shd w:val="clear" w:color="auto" w:fill="FFFFFF"/>
            <w:tcMar>
              <w:top w:w="110" w:type="dxa"/>
            </w:tcMar>
          </w:tcPr>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115" w:type="dxa"/>
                <w:right w:w="115" w:type="dxa"/>
              </w:tblCellMar>
              <w:tblLook w:val="04A0" w:firstRow="1" w:lastRow="0" w:firstColumn="1" w:lastColumn="0" w:noHBand="0" w:noVBand="1"/>
            </w:tblPr>
            <w:tblGrid>
              <w:gridCol w:w="708"/>
              <w:gridCol w:w="720"/>
              <w:gridCol w:w="720"/>
            </w:tblGrid>
            <w:tr w:rsidR="00805A5E" w:rsidTr="00547ACE">
              <w:trPr>
                <w:trHeight w:val="20"/>
              </w:trPr>
              <w:tc>
                <w:tcPr>
                  <w:tcW w:w="708" w:type="dxa"/>
                </w:tcPr>
                <w:p w:rsidR="00805A5E" w:rsidRDefault="00805A5E" w:rsidP="00547ACE">
                  <w:pPr>
                    <w:jc w:val="center"/>
                    <w:rPr>
                      <w:rFonts w:eastAsia="SimSun" w:cs="Arial"/>
                      <w:sz w:val="16"/>
                      <w:szCs w:val="16"/>
                      <w:lang w:eastAsia="zh-CN"/>
                    </w:rPr>
                  </w:pPr>
                </w:p>
              </w:tc>
              <w:tc>
                <w:tcPr>
                  <w:tcW w:w="720" w:type="dxa"/>
                  <w:vAlign w:val="bottom"/>
                </w:tcPr>
                <w:p w:rsidR="00805A5E" w:rsidRDefault="00805A5E" w:rsidP="00547ACE">
                  <w:pPr>
                    <w:jc w:val="center"/>
                    <w:rPr>
                      <w:rFonts w:eastAsia="SimSun" w:cs="Arial"/>
                      <w:sz w:val="16"/>
                      <w:szCs w:val="16"/>
                      <w:lang w:eastAsia="zh-CN"/>
                    </w:rPr>
                  </w:pPr>
                  <w:r>
                    <w:rPr>
                      <w:rFonts w:eastAsia="SimSun" w:cs="Arial"/>
                      <w:sz w:val="16"/>
                      <w:szCs w:val="16"/>
                      <w:lang w:eastAsia="zh-CN"/>
                    </w:rPr>
                    <w:t>2014</w:t>
                  </w:r>
                </w:p>
              </w:tc>
              <w:tc>
                <w:tcPr>
                  <w:tcW w:w="720" w:type="dxa"/>
                  <w:vAlign w:val="bottom"/>
                </w:tcPr>
                <w:p w:rsidR="00805A5E" w:rsidRDefault="00805A5E" w:rsidP="00547ACE">
                  <w:pPr>
                    <w:jc w:val="center"/>
                    <w:rPr>
                      <w:rFonts w:eastAsia="SimSun" w:cs="Arial"/>
                      <w:sz w:val="16"/>
                      <w:szCs w:val="16"/>
                      <w:lang w:eastAsia="zh-CN"/>
                    </w:rPr>
                  </w:pPr>
                  <w:r>
                    <w:rPr>
                      <w:rFonts w:eastAsia="SimSun" w:cs="Arial"/>
                      <w:sz w:val="16"/>
                      <w:szCs w:val="16"/>
                      <w:lang w:eastAsia="zh-CN"/>
                    </w:rPr>
                    <w:t>2015</w:t>
                  </w:r>
                </w:p>
              </w:tc>
            </w:tr>
            <w:tr w:rsidR="00805A5E" w:rsidTr="00547ACE">
              <w:trPr>
                <w:trHeight w:val="216"/>
              </w:trPr>
              <w:tc>
                <w:tcPr>
                  <w:tcW w:w="708" w:type="dxa"/>
                  <w:vAlign w:val="center"/>
                </w:tcPr>
                <w:p w:rsidR="00805A5E" w:rsidRDefault="00805A5E" w:rsidP="00547ACE">
                  <w:pPr>
                    <w:jc w:val="center"/>
                    <w:rPr>
                      <w:rFonts w:eastAsia="SimSun" w:cs="Arial"/>
                      <w:sz w:val="16"/>
                      <w:szCs w:val="16"/>
                      <w:lang w:eastAsia="zh-CN"/>
                    </w:rPr>
                  </w:pPr>
                  <w:r>
                    <w:rPr>
                      <w:rFonts w:eastAsia="SimSun" w:cs="Arial"/>
                      <w:sz w:val="16"/>
                      <w:szCs w:val="16"/>
                      <w:lang w:eastAsia="zh-CN"/>
                    </w:rPr>
                    <w:t>WBO</w:t>
                  </w:r>
                </w:p>
              </w:tc>
              <w:tc>
                <w:tcPr>
                  <w:tcW w:w="720" w:type="dxa"/>
                  <w:vAlign w:val="center"/>
                </w:tcPr>
                <w:p w:rsidR="00805A5E" w:rsidRDefault="00805A5E" w:rsidP="00547ACE">
                  <w:pPr>
                    <w:jc w:val="center"/>
                    <w:rPr>
                      <w:rFonts w:eastAsia="SimSun" w:cs="Arial"/>
                      <w:sz w:val="16"/>
                      <w:szCs w:val="16"/>
                      <w:lang w:eastAsia="zh-CN"/>
                    </w:rPr>
                  </w:pPr>
                  <w:r>
                    <w:rPr>
                      <w:rFonts w:eastAsia="SimSun" w:cs="Arial"/>
                      <w:sz w:val="16"/>
                      <w:szCs w:val="16"/>
                      <w:lang w:eastAsia="zh-CN"/>
                    </w:rPr>
                    <w:t>80%</w:t>
                  </w:r>
                </w:p>
              </w:tc>
              <w:tc>
                <w:tcPr>
                  <w:tcW w:w="720" w:type="dxa"/>
                  <w:vAlign w:val="center"/>
                </w:tcPr>
                <w:p w:rsidR="00805A5E" w:rsidRDefault="00805A5E" w:rsidP="00547ACE">
                  <w:pPr>
                    <w:jc w:val="center"/>
                    <w:rPr>
                      <w:rFonts w:eastAsia="SimSun" w:cs="Arial"/>
                      <w:sz w:val="16"/>
                      <w:szCs w:val="16"/>
                      <w:lang w:eastAsia="zh-CN"/>
                    </w:rPr>
                  </w:pPr>
                  <w:r>
                    <w:rPr>
                      <w:rFonts w:eastAsia="SimSun" w:cs="Arial"/>
                      <w:sz w:val="16"/>
                      <w:szCs w:val="16"/>
                      <w:lang w:eastAsia="zh-CN"/>
                    </w:rPr>
                    <w:t>75%</w:t>
                  </w:r>
                </w:p>
              </w:tc>
            </w:tr>
            <w:tr w:rsidR="00805A5E" w:rsidTr="00547ACE">
              <w:trPr>
                <w:trHeight w:val="441"/>
              </w:trPr>
              <w:tc>
                <w:tcPr>
                  <w:tcW w:w="708" w:type="dxa"/>
                  <w:vAlign w:val="center"/>
                </w:tcPr>
                <w:p w:rsidR="00805A5E" w:rsidRDefault="00805A5E" w:rsidP="00547ACE">
                  <w:pPr>
                    <w:jc w:val="center"/>
                    <w:rPr>
                      <w:rFonts w:eastAsia="SimSun" w:cs="Arial"/>
                      <w:sz w:val="16"/>
                      <w:szCs w:val="16"/>
                      <w:lang w:eastAsia="zh-CN"/>
                    </w:rPr>
                  </w:pPr>
                  <w:r>
                    <w:rPr>
                      <w:rFonts w:eastAsia="SimSun" w:cs="Arial"/>
                      <w:sz w:val="16"/>
                      <w:szCs w:val="16"/>
                      <w:lang w:eastAsia="zh-CN"/>
                    </w:rPr>
                    <w:t>WJO</w:t>
                  </w:r>
                </w:p>
              </w:tc>
              <w:tc>
                <w:tcPr>
                  <w:tcW w:w="720" w:type="dxa"/>
                  <w:vAlign w:val="center"/>
                </w:tcPr>
                <w:p w:rsidR="00805A5E" w:rsidRDefault="00805A5E" w:rsidP="00547ACE">
                  <w:pPr>
                    <w:jc w:val="center"/>
                    <w:rPr>
                      <w:rFonts w:eastAsia="SimSun" w:cs="Arial"/>
                      <w:sz w:val="16"/>
                      <w:szCs w:val="16"/>
                      <w:lang w:eastAsia="zh-CN"/>
                    </w:rPr>
                  </w:pPr>
                  <w:r>
                    <w:rPr>
                      <w:rFonts w:eastAsia="SimSun" w:cs="Arial"/>
                      <w:sz w:val="16"/>
                      <w:szCs w:val="16"/>
                      <w:lang w:eastAsia="zh-CN"/>
                    </w:rPr>
                    <w:t>94%</w:t>
                  </w:r>
                </w:p>
              </w:tc>
              <w:tc>
                <w:tcPr>
                  <w:tcW w:w="720" w:type="dxa"/>
                  <w:vAlign w:val="center"/>
                </w:tcPr>
                <w:p w:rsidR="00805A5E" w:rsidRDefault="00805A5E" w:rsidP="00547ACE">
                  <w:pPr>
                    <w:jc w:val="center"/>
                    <w:rPr>
                      <w:rFonts w:eastAsia="SimSun" w:cs="Arial"/>
                      <w:sz w:val="16"/>
                      <w:szCs w:val="16"/>
                      <w:lang w:eastAsia="zh-CN"/>
                    </w:rPr>
                  </w:pPr>
                  <w:r>
                    <w:rPr>
                      <w:rFonts w:eastAsia="SimSun" w:cs="Arial"/>
                      <w:sz w:val="16"/>
                      <w:szCs w:val="16"/>
                      <w:lang w:eastAsia="zh-CN"/>
                    </w:rPr>
                    <w:t>91%</w:t>
                  </w:r>
                </w:p>
              </w:tc>
            </w:tr>
            <w:tr w:rsidR="00805A5E" w:rsidTr="00547ACE">
              <w:trPr>
                <w:trHeight w:val="288"/>
              </w:trPr>
              <w:tc>
                <w:tcPr>
                  <w:tcW w:w="708" w:type="dxa"/>
                  <w:vAlign w:val="center"/>
                </w:tcPr>
                <w:p w:rsidR="00805A5E" w:rsidRPr="00885A54" w:rsidRDefault="00805A5E" w:rsidP="00547ACE">
                  <w:pPr>
                    <w:jc w:val="center"/>
                    <w:rPr>
                      <w:rFonts w:eastAsia="SimSun" w:cs="Arial"/>
                      <w:sz w:val="16"/>
                      <w:szCs w:val="16"/>
                      <w:lang w:eastAsia="zh-CN"/>
                    </w:rPr>
                  </w:pPr>
                  <w:r w:rsidRPr="00885A54">
                    <w:rPr>
                      <w:rFonts w:eastAsia="SimSun" w:cs="Arial"/>
                      <w:sz w:val="16"/>
                      <w:szCs w:val="16"/>
                      <w:lang w:eastAsia="zh-CN"/>
                    </w:rPr>
                    <w:t>WSO</w:t>
                  </w:r>
                </w:p>
              </w:tc>
              <w:tc>
                <w:tcPr>
                  <w:tcW w:w="720" w:type="dxa"/>
                  <w:vAlign w:val="center"/>
                </w:tcPr>
                <w:p w:rsidR="00805A5E" w:rsidRDefault="00805A5E" w:rsidP="00547ACE">
                  <w:pPr>
                    <w:jc w:val="center"/>
                    <w:rPr>
                      <w:rFonts w:eastAsia="SimSun" w:cs="Arial"/>
                      <w:sz w:val="16"/>
                      <w:szCs w:val="16"/>
                      <w:lang w:eastAsia="zh-CN"/>
                    </w:rPr>
                  </w:pPr>
                  <w:r>
                    <w:rPr>
                      <w:rFonts w:eastAsia="SimSun" w:cs="Arial"/>
                      <w:sz w:val="16"/>
                      <w:szCs w:val="16"/>
                      <w:lang w:eastAsia="zh-CN"/>
                    </w:rPr>
                    <w:t>93%</w:t>
                  </w:r>
                </w:p>
              </w:tc>
              <w:tc>
                <w:tcPr>
                  <w:tcW w:w="720" w:type="dxa"/>
                  <w:vAlign w:val="center"/>
                </w:tcPr>
                <w:p w:rsidR="00805A5E" w:rsidRDefault="00805A5E" w:rsidP="00547ACE">
                  <w:pPr>
                    <w:jc w:val="center"/>
                    <w:rPr>
                      <w:rFonts w:eastAsia="SimSun" w:cs="Arial"/>
                      <w:sz w:val="16"/>
                      <w:szCs w:val="16"/>
                      <w:lang w:eastAsia="zh-CN"/>
                    </w:rPr>
                  </w:pPr>
                  <w:r>
                    <w:rPr>
                      <w:rFonts w:eastAsia="SimSun" w:cs="Arial"/>
                      <w:sz w:val="16"/>
                      <w:szCs w:val="16"/>
                      <w:lang w:eastAsia="zh-CN"/>
                    </w:rPr>
                    <w:t>95%</w:t>
                  </w:r>
                </w:p>
              </w:tc>
            </w:tr>
          </w:tbl>
          <w:p w:rsidR="00805A5E" w:rsidRPr="00B35AFA" w:rsidRDefault="00805A5E" w:rsidP="00547ACE">
            <w:pPr>
              <w:rPr>
                <w:rFonts w:eastAsia="SimSun" w:cs="Arial"/>
                <w:sz w:val="16"/>
                <w:szCs w:val="16"/>
                <w:lang w:eastAsia="zh-CN"/>
              </w:rPr>
            </w:pPr>
          </w:p>
        </w:tc>
        <w:tc>
          <w:tcPr>
            <w:tcW w:w="562" w:type="pct"/>
            <w:gridSpan w:val="4"/>
            <w:tcBorders>
              <w:top w:val="nil"/>
              <w:left w:val="nil"/>
              <w:bottom w:val="single" w:sz="4" w:space="0" w:color="auto"/>
              <w:right w:val="single" w:sz="4" w:space="0" w:color="auto"/>
            </w:tcBorders>
            <w:shd w:val="clear" w:color="auto" w:fill="auto"/>
            <w:tcMar>
              <w:top w:w="110" w:type="dxa"/>
            </w:tcMar>
          </w:tcPr>
          <w:p w:rsidR="00805A5E" w:rsidRPr="00BE6FAF" w:rsidRDefault="00805A5E" w:rsidP="00547ACE">
            <w:pPr>
              <w:keepNext/>
              <w:keepLines/>
              <w:ind w:left="71" w:right="20"/>
              <w:jc w:val="center"/>
              <w:rPr>
                <w:rFonts w:eastAsia="SimSun" w:cs="Arial"/>
                <w:b/>
                <w:bCs/>
                <w:color w:val="00B050"/>
                <w:sz w:val="8"/>
                <w:szCs w:val="8"/>
                <w:lang w:eastAsia="zh-CN"/>
              </w:rPr>
            </w:pPr>
          </w:p>
          <w:p w:rsidR="00805A5E" w:rsidRPr="000D3F45" w:rsidRDefault="00805A5E" w:rsidP="00547ACE">
            <w:pPr>
              <w:keepNext/>
              <w:keepLines/>
              <w:ind w:left="71" w:right="20"/>
              <w:jc w:val="center"/>
              <w:rPr>
                <w:rFonts w:eastAsia="SimSun" w:cs="Arial"/>
                <w:b/>
                <w:bCs/>
                <w:color w:val="00B050"/>
                <w:sz w:val="16"/>
                <w:szCs w:val="16"/>
                <w:lang w:eastAsia="zh-CN"/>
              </w:rPr>
            </w:pPr>
            <w:r w:rsidRPr="000D3F45">
              <w:rPr>
                <w:rFonts w:eastAsia="SimSun" w:cs="Arial"/>
                <w:b/>
                <w:bCs/>
                <w:color w:val="00B050"/>
                <w:sz w:val="16"/>
                <w:szCs w:val="16"/>
                <w:lang w:eastAsia="zh-CN"/>
              </w:rPr>
              <w:t>Fully Achieved</w:t>
            </w:r>
          </w:p>
          <w:p w:rsidR="00805A5E" w:rsidRPr="000D3F45" w:rsidRDefault="00805A5E" w:rsidP="00547ACE">
            <w:pPr>
              <w:keepNext/>
              <w:keepLines/>
              <w:ind w:left="71" w:right="20"/>
              <w:jc w:val="center"/>
              <w:rPr>
                <w:rFonts w:eastAsia="SimSun" w:cs="Arial"/>
                <w:b/>
                <w:bCs/>
                <w:color w:val="00B050"/>
                <w:sz w:val="16"/>
                <w:szCs w:val="16"/>
                <w:lang w:eastAsia="zh-CN"/>
              </w:rPr>
            </w:pPr>
            <w:r w:rsidRPr="000D3F45">
              <w:rPr>
                <w:rFonts w:eastAsia="SimSun" w:cs="Arial"/>
                <w:b/>
                <w:bCs/>
                <w:color w:val="00B050"/>
                <w:sz w:val="16"/>
                <w:szCs w:val="16"/>
                <w:lang w:eastAsia="zh-CN"/>
              </w:rPr>
              <w:t>Fully Achieved</w:t>
            </w:r>
          </w:p>
          <w:p w:rsidR="00805A5E" w:rsidRPr="000D3F45" w:rsidRDefault="00805A5E" w:rsidP="00547ACE">
            <w:pPr>
              <w:keepNext/>
              <w:keepLines/>
              <w:ind w:left="71" w:right="20"/>
              <w:jc w:val="center"/>
              <w:rPr>
                <w:rFonts w:eastAsia="SimSun" w:cs="Arial"/>
                <w:b/>
                <w:bCs/>
                <w:color w:val="00B050"/>
                <w:sz w:val="16"/>
                <w:szCs w:val="16"/>
                <w:lang w:eastAsia="zh-CN"/>
              </w:rPr>
            </w:pPr>
            <w:r w:rsidRPr="000D3F45">
              <w:rPr>
                <w:rFonts w:eastAsia="SimSun" w:cs="Arial"/>
                <w:b/>
                <w:bCs/>
                <w:color w:val="00B050"/>
                <w:sz w:val="16"/>
                <w:szCs w:val="16"/>
                <w:lang w:eastAsia="zh-CN"/>
              </w:rPr>
              <w:t>Fully Achieved</w:t>
            </w:r>
          </w:p>
        </w:tc>
      </w:tr>
      <w:tr w:rsidR="00805A5E" w:rsidRPr="00B35AFA" w:rsidTr="00547ACE">
        <w:trPr>
          <w:gridAfter w:val="1"/>
          <w:wAfter w:w="13" w:type="pct"/>
        </w:trPr>
        <w:tc>
          <w:tcPr>
            <w:tcW w:w="4987" w:type="pct"/>
            <w:gridSpan w:val="16"/>
            <w:tcBorders>
              <w:top w:val="single" w:sz="4" w:space="0" w:color="auto"/>
              <w:bottom w:val="single" w:sz="4" w:space="0" w:color="auto"/>
            </w:tcBorders>
            <w:shd w:val="clear" w:color="auto" w:fill="C6D9F1" w:themeFill="text2" w:themeFillTint="33"/>
          </w:tcPr>
          <w:p w:rsidR="00805A5E" w:rsidRPr="000D3F45" w:rsidRDefault="00805A5E" w:rsidP="00547ACE">
            <w:pPr>
              <w:keepNext/>
              <w:keepLines/>
              <w:tabs>
                <w:tab w:val="left" w:pos="1452"/>
              </w:tabs>
              <w:spacing w:before="120" w:after="120"/>
              <w:ind w:left="1452" w:hanging="1452"/>
              <w:rPr>
                <w:rFonts w:eastAsia="SimSun" w:cs="Arial"/>
                <w:b/>
                <w:bCs/>
                <w:sz w:val="16"/>
                <w:szCs w:val="16"/>
                <w:lang w:eastAsia="zh-CN"/>
              </w:rPr>
            </w:pPr>
            <w:r w:rsidRPr="000D3F45">
              <w:rPr>
                <w:rFonts w:eastAsia="SimSun" w:cs="Arial"/>
                <w:b/>
                <w:bCs/>
                <w:sz w:val="16"/>
                <w:szCs w:val="16"/>
                <w:lang w:eastAsia="zh-CN"/>
              </w:rPr>
              <w:t>Expected Result:</w:t>
            </w:r>
            <w:r w:rsidRPr="000D3F45">
              <w:rPr>
                <w:rFonts w:eastAsia="SimSun" w:cs="Arial"/>
                <w:b/>
                <w:bCs/>
                <w:sz w:val="16"/>
                <w:szCs w:val="16"/>
                <w:lang w:eastAsia="zh-CN"/>
              </w:rPr>
              <w:tab/>
            </w:r>
            <w:r w:rsidRPr="007A3976">
              <w:rPr>
                <w:rFonts w:eastAsia="SimSun" w:cs="Arial"/>
                <w:color w:val="000000"/>
                <w:sz w:val="16"/>
                <w:szCs w:val="16"/>
                <w:lang w:eastAsia="zh-CN"/>
              </w:rPr>
              <w:t>II.4 Wider and better use of the Hague system, including by developing countries and LDCs</w:t>
            </w:r>
          </w:p>
        </w:tc>
      </w:tr>
      <w:tr w:rsidR="00805A5E" w:rsidRPr="00B35AFA" w:rsidTr="00547ACE">
        <w:trPr>
          <w:gridAfter w:val="1"/>
          <w:wAfter w:w="13" w:type="pct"/>
        </w:trPr>
        <w:tc>
          <w:tcPr>
            <w:tcW w:w="1125" w:type="pct"/>
            <w:gridSpan w:val="2"/>
            <w:tcBorders>
              <w:top w:val="single" w:sz="4" w:space="0" w:color="auto"/>
              <w:left w:val="single" w:sz="4" w:space="0" w:color="auto"/>
              <w:bottom w:val="nil"/>
              <w:right w:val="nil"/>
            </w:tcBorders>
            <w:shd w:val="clear" w:color="auto" w:fill="auto"/>
          </w:tcPr>
          <w:p w:rsidR="00805A5E" w:rsidRPr="00B35AFA" w:rsidRDefault="00805A5E" w:rsidP="00547ACE">
            <w:pPr>
              <w:keepNext/>
              <w:keepLines/>
              <w:rPr>
                <w:rFonts w:eastAsia="SimSun" w:cs="Arial"/>
                <w:sz w:val="16"/>
                <w:szCs w:val="16"/>
                <w:lang w:eastAsia="zh-CN"/>
              </w:rPr>
            </w:pPr>
            <w:r w:rsidRPr="00B35AFA">
              <w:rPr>
                <w:rFonts w:eastAsia="SimSun" w:cs="Arial"/>
                <w:b/>
                <w:bCs/>
                <w:sz w:val="16"/>
                <w:szCs w:val="16"/>
                <w:lang w:eastAsia="zh-CN"/>
              </w:rPr>
              <w:t>Performance Indicators</w:t>
            </w:r>
          </w:p>
        </w:tc>
        <w:tc>
          <w:tcPr>
            <w:tcW w:w="1037" w:type="pct"/>
            <w:gridSpan w:val="3"/>
            <w:tcBorders>
              <w:top w:val="single" w:sz="4" w:space="0" w:color="auto"/>
              <w:left w:val="nil"/>
              <w:bottom w:val="nil"/>
              <w:right w:val="nil"/>
            </w:tcBorders>
            <w:shd w:val="clear" w:color="auto" w:fill="auto"/>
          </w:tcPr>
          <w:p w:rsidR="00805A5E" w:rsidRPr="00B35AFA" w:rsidRDefault="00805A5E" w:rsidP="00547ACE">
            <w:pPr>
              <w:keepNext/>
              <w:keepLines/>
              <w:rPr>
                <w:rFonts w:eastAsia="SimSun" w:cs="Arial"/>
                <w:b/>
                <w:bCs/>
                <w:sz w:val="16"/>
                <w:szCs w:val="16"/>
                <w:lang w:eastAsia="zh-CN"/>
              </w:rPr>
            </w:pPr>
            <w:r w:rsidRPr="00B35AFA">
              <w:rPr>
                <w:rFonts w:cs="Arial"/>
                <w:b/>
                <w:bCs/>
                <w:sz w:val="16"/>
                <w:szCs w:val="16"/>
              </w:rPr>
              <w:t>Baselines</w:t>
            </w:r>
          </w:p>
        </w:tc>
        <w:tc>
          <w:tcPr>
            <w:tcW w:w="671" w:type="pct"/>
            <w:gridSpan w:val="2"/>
            <w:tcBorders>
              <w:top w:val="single" w:sz="4" w:space="0" w:color="auto"/>
              <w:left w:val="nil"/>
              <w:bottom w:val="nil"/>
              <w:right w:val="nil"/>
            </w:tcBorders>
            <w:shd w:val="clear" w:color="auto" w:fill="auto"/>
            <w:tcMar>
              <w:top w:w="110" w:type="dxa"/>
            </w:tcMar>
          </w:tcPr>
          <w:p w:rsidR="00805A5E" w:rsidRPr="00B35AFA" w:rsidRDefault="00805A5E" w:rsidP="00547ACE">
            <w:pPr>
              <w:keepNext/>
              <w:keepLines/>
              <w:rPr>
                <w:rFonts w:eastAsia="SimSun" w:cs="Arial"/>
                <w:b/>
                <w:sz w:val="16"/>
                <w:szCs w:val="16"/>
                <w:lang w:eastAsia="zh-CN"/>
              </w:rPr>
            </w:pPr>
            <w:r w:rsidRPr="00B35AFA">
              <w:rPr>
                <w:rFonts w:cs="Arial"/>
                <w:b/>
                <w:sz w:val="16"/>
                <w:szCs w:val="16"/>
              </w:rPr>
              <w:t>Targets</w:t>
            </w:r>
          </w:p>
        </w:tc>
        <w:tc>
          <w:tcPr>
            <w:tcW w:w="1592" w:type="pct"/>
            <w:gridSpan w:val="5"/>
            <w:tcBorders>
              <w:top w:val="single" w:sz="4" w:space="0" w:color="auto"/>
              <w:left w:val="nil"/>
              <w:bottom w:val="nil"/>
              <w:right w:val="nil"/>
            </w:tcBorders>
            <w:shd w:val="clear" w:color="auto" w:fill="FFFFFF"/>
            <w:tcMar>
              <w:top w:w="110" w:type="dxa"/>
            </w:tcMar>
          </w:tcPr>
          <w:p w:rsidR="00805A5E" w:rsidRPr="00B35AFA" w:rsidRDefault="00805A5E" w:rsidP="00547ACE">
            <w:pPr>
              <w:rPr>
                <w:rFonts w:eastAsia="SimSun" w:cs="Arial"/>
                <w:sz w:val="16"/>
                <w:szCs w:val="16"/>
                <w:lang w:eastAsia="zh-CN"/>
              </w:rPr>
            </w:pPr>
            <w:r w:rsidRPr="00B35AFA">
              <w:rPr>
                <w:rFonts w:eastAsia="SimSun" w:cs="Arial"/>
                <w:b/>
                <w:bCs/>
                <w:sz w:val="16"/>
                <w:szCs w:val="16"/>
                <w:lang w:eastAsia="zh-CN"/>
              </w:rPr>
              <w:t>Performance Data</w:t>
            </w:r>
          </w:p>
        </w:tc>
        <w:tc>
          <w:tcPr>
            <w:tcW w:w="562" w:type="pct"/>
            <w:gridSpan w:val="4"/>
            <w:tcBorders>
              <w:top w:val="single" w:sz="4" w:space="0" w:color="auto"/>
              <w:left w:val="nil"/>
              <w:bottom w:val="nil"/>
              <w:right w:val="single" w:sz="4" w:space="0" w:color="auto"/>
            </w:tcBorders>
            <w:shd w:val="clear" w:color="auto" w:fill="auto"/>
            <w:tcMar>
              <w:top w:w="110" w:type="dxa"/>
            </w:tcMar>
          </w:tcPr>
          <w:p w:rsidR="00805A5E" w:rsidRPr="000D3F45" w:rsidRDefault="00805A5E" w:rsidP="00547ACE">
            <w:pPr>
              <w:keepNext/>
              <w:keepLines/>
              <w:ind w:left="71" w:right="20"/>
              <w:jc w:val="center"/>
              <w:rPr>
                <w:rFonts w:eastAsia="SimSun" w:cs="Arial"/>
                <w:b/>
                <w:bCs/>
                <w:sz w:val="16"/>
                <w:szCs w:val="16"/>
                <w:lang w:eastAsia="zh-CN"/>
              </w:rPr>
            </w:pPr>
            <w:r w:rsidRPr="000D3F45">
              <w:rPr>
                <w:rFonts w:eastAsia="SimSun" w:cs="Arial"/>
                <w:b/>
                <w:bCs/>
                <w:sz w:val="16"/>
                <w:szCs w:val="16"/>
                <w:lang w:eastAsia="zh-CN"/>
              </w:rPr>
              <w:t>TLS</w:t>
            </w:r>
          </w:p>
        </w:tc>
      </w:tr>
      <w:tr w:rsidR="00805A5E" w:rsidRPr="00B35AFA" w:rsidTr="00BA6F3B">
        <w:trPr>
          <w:gridAfter w:val="1"/>
          <w:wAfter w:w="13" w:type="pct"/>
          <w:trHeight w:val="888"/>
        </w:trPr>
        <w:tc>
          <w:tcPr>
            <w:tcW w:w="1125" w:type="pct"/>
            <w:gridSpan w:val="2"/>
            <w:tcBorders>
              <w:top w:val="nil"/>
              <w:left w:val="single" w:sz="4" w:space="0" w:color="auto"/>
              <w:bottom w:val="nil"/>
              <w:right w:val="nil"/>
            </w:tcBorders>
            <w:shd w:val="clear" w:color="auto" w:fill="auto"/>
          </w:tcPr>
          <w:p w:rsidR="00805A5E" w:rsidRPr="00B35AFA" w:rsidRDefault="00805A5E" w:rsidP="00547ACE">
            <w:pPr>
              <w:keepNext/>
              <w:keepLines/>
              <w:rPr>
                <w:rFonts w:eastAsia="SimSun" w:cs="Arial"/>
                <w:sz w:val="16"/>
                <w:szCs w:val="16"/>
                <w:lang w:eastAsia="zh-CN"/>
              </w:rPr>
            </w:pPr>
            <w:r>
              <w:rPr>
                <w:rFonts w:eastAsia="SimSun" w:cs="Arial"/>
                <w:sz w:val="16"/>
                <w:szCs w:val="16"/>
                <w:lang w:eastAsia="zh-CN"/>
              </w:rPr>
              <w:t>No.</w:t>
            </w:r>
            <w:r w:rsidRPr="00607AAB">
              <w:rPr>
                <w:rFonts w:eastAsia="SimSun" w:cs="Arial"/>
                <w:sz w:val="16"/>
                <w:szCs w:val="16"/>
                <w:lang w:eastAsia="zh-CN"/>
              </w:rPr>
              <w:t xml:space="preserve"> of countries that have formulated and/or are engaged in policies outlining their accession to the Hague Agreement</w:t>
            </w:r>
          </w:p>
        </w:tc>
        <w:tc>
          <w:tcPr>
            <w:tcW w:w="1037" w:type="pct"/>
            <w:gridSpan w:val="3"/>
            <w:tcBorders>
              <w:top w:val="nil"/>
              <w:left w:val="nil"/>
              <w:bottom w:val="nil"/>
              <w:right w:val="nil"/>
            </w:tcBorders>
            <w:shd w:val="clear" w:color="auto" w:fill="auto"/>
          </w:tcPr>
          <w:p w:rsidR="00805A5E" w:rsidRDefault="00805A5E" w:rsidP="00547ACE">
            <w:pPr>
              <w:rPr>
                <w:rFonts w:cs="Arial"/>
                <w:sz w:val="16"/>
                <w:szCs w:val="16"/>
              </w:rPr>
            </w:pPr>
            <w:r w:rsidRPr="00607AAB">
              <w:rPr>
                <w:rFonts w:cs="Arial"/>
                <w:sz w:val="16"/>
                <w:szCs w:val="16"/>
              </w:rPr>
              <w:t>n/a (WSO)</w:t>
            </w:r>
          </w:p>
          <w:p w:rsidR="00805A5E" w:rsidRPr="00B35AFA" w:rsidRDefault="00805A5E" w:rsidP="00547ACE">
            <w:pPr>
              <w:keepNext/>
              <w:keepLines/>
              <w:rPr>
                <w:rFonts w:eastAsia="SimSun" w:cs="Arial"/>
                <w:color w:val="000000"/>
                <w:sz w:val="16"/>
                <w:szCs w:val="16"/>
                <w:lang w:eastAsia="zh-CN"/>
              </w:rPr>
            </w:pPr>
          </w:p>
        </w:tc>
        <w:tc>
          <w:tcPr>
            <w:tcW w:w="671" w:type="pct"/>
            <w:gridSpan w:val="2"/>
            <w:tcBorders>
              <w:top w:val="nil"/>
              <w:left w:val="nil"/>
              <w:bottom w:val="nil"/>
              <w:right w:val="nil"/>
            </w:tcBorders>
            <w:shd w:val="clear" w:color="auto" w:fill="auto"/>
            <w:tcMar>
              <w:top w:w="110" w:type="dxa"/>
            </w:tcMar>
          </w:tcPr>
          <w:p w:rsidR="00805A5E" w:rsidRPr="00B35AFA" w:rsidRDefault="00805A5E" w:rsidP="00547ACE">
            <w:pPr>
              <w:keepNext/>
              <w:keepLines/>
              <w:rPr>
                <w:rFonts w:eastAsia="SimSun" w:cs="Arial"/>
                <w:color w:val="000000"/>
                <w:sz w:val="16"/>
                <w:szCs w:val="16"/>
                <w:lang w:eastAsia="zh-CN"/>
              </w:rPr>
            </w:pPr>
            <w:r w:rsidRPr="00607AAB">
              <w:rPr>
                <w:rFonts w:eastAsia="SimSun" w:cs="Arial"/>
                <w:color w:val="000000"/>
                <w:sz w:val="16"/>
                <w:szCs w:val="16"/>
                <w:lang w:eastAsia="zh-CN"/>
              </w:rPr>
              <w:t>7 ASEAN Member States (WSO)</w:t>
            </w:r>
          </w:p>
        </w:tc>
        <w:tc>
          <w:tcPr>
            <w:tcW w:w="1592" w:type="pct"/>
            <w:gridSpan w:val="5"/>
            <w:tcBorders>
              <w:top w:val="nil"/>
              <w:left w:val="nil"/>
              <w:bottom w:val="nil"/>
              <w:right w:val="nil"/>
            </w:tcBorders>
            <w:shd w:val="clear" w:color="auto" w:fill="FFFFFF"/>
            <w:tcMar>
              <w:top w:w="110" w:type="dxa"/>
            </w:tcMar>
          </w:tcPr>
          <w:p w:rsidR="00805A5E" w:rsidRPr="00B35AFA" w:rsidRDefault="00805A5E" w:rsidP="00547ACE">
            <w:pPr>
              <w:rPr>
                <w:rFonts w:eastAsia="SimSun" w:cs="Arial"/>
                <w:sz w:val="16"/>
                <w:szCs w:val="16"/>
                <w:lang w:eastAsia="zh-CN"/>
              </w:rPr>
            </w:pPr>
            <w:r>
              <w:rPr>
                <w:rFonts w:eastAsia="SimSun" w:cs="Arial"/>
                <w:sz w:val="16"/>
                <w:szCs w:val="16"/>
                <w:lang w:eastAsia="zh-CN"/>
              </w:rPr>
              <w:t>7 ASEAN Member States (Cambodia, Indonesia, Lao People’s Democratic Republic, Malaysia, Philippines, Thailand, Viet Nam)</w:t>
            </w:r>
          </w:p>
        </w:tc>
        <w:tc>
          <w:tcPr>
            <w:tcW w:w="562" w:type="pct"/>
            <w:gridSpan w:val="4"/>
            <w:tcBorders>
              <w:top w:val="nil"/>
              <w:left w:val="nil"/>
              <w:bottom w:val="nil"/>
              <w:right w:val="single" w:sz="4" w:space="0" w:color="auto"/>
            </w:tcBorders>
            <w:shd w:val="clear" w:color="auto" w:fill="auto"/>
            <w:tcMar>
              <w:top w:w="110" w:type="dxa"/>
            </w:tcMar>
          </w:tcPr>
          <w:p w:rsidR="00805A5E" w:rsidRPr="000D3F45" w:rsidRDefault="00805A5E" w:rsidP="00547ACE">
            <w:pPr>
              <w:keepNext/>
              <w:keepLines/>
              <w:ind w:right="20"/>
              <w:jc w:val="center"/>
              <w:rPr>
                <w:rFonts w:eastAsia="SimSun" w:cs="Arial"/>
                <w:b/>
                <w:bCs/>
                <w:color w:val="808080"/>
                <w:sz w:val="16"/>
                <w:szCs w:val="16"/>
                <w:lang w:eastAsia="zh-CN"/>
              </w:rPr>
            </w:pPr>
            <w:r w:rsidRPr="000D3F45">
              <w:rPr>
                <w:rFonts w:eastAsia="SimSun" w:cs="Arial"/>
                <w:b/>
                <w:bCs/>
                <w:color w:val="00B050"/>
                <w:sz w:val="16"/>
                <w:szCs w:val="16"/>
                <w:lang w:eastAsia="zh-CN"/>
              </w:rPr>
              <w:t>Fully Achieved</w:t>
            </w:r>
          </w:p>
        </w:tc>
      </w:tr>
      <w:tr w:rsidR="00805A5E" w:rsidRPr="00B35AFA" w:rsidTr="00BA6F3B">
        <w:tc>
          <w:tcPr>
            <w:tcW w:w="1125" w:type="pct"/>
            <w:gridSpan w:val="2"/>
            <w:tcBorders>
              <w:top w:val="nil"/>
              <w:left w:val="single" w:sz="4" w:space="0" w:color="auto"/>
              <w:bottom w:val="nil"/>
              <w:right w:val="nil"/>
            </w:tcBorders>
            <w:shd w:val="clear" w:color="auto" w:fill="auto"/>
          </w:tcPr>
          <w:p w:rsidR="00805A5E" w:rsidRPr="005D70E0" w:rsidRDefault="00805A5E" w:rsidP="00547ACE">
            <w:pPr>
              <w:rPr>
                <w:rFonts w:eastAsia="SimSun" w:cs="Arial"/>
                <w:color w:val="000000"/>
                <w:sz w:val="16"/>
                <w:szCs w:val="16"/>
                <w:lang w:eastAsia="zh-CN"/>
              </w:rPr>
            </w:pPr>
            <w:r w:rsidRPr="005D70E0">
              <w:rPr>
                <w:rFonts w:eastAsia="SimSun" w:cs="Arial"/>
                <w:color w:val="000000"/>
                <w:sz w:val="16"/>
                <w:szCs w:val="16"/>
                <w:lang w:eastAsia="zh-CN"/>
              </w:rPr>
              <w:t>% of policy makers, government officials, and IP Practitioners and participants in targeted workshops with enhanced understanding of the Hague System</w:t>
            </w:r>
          </w:p>
        </w:tc>
        <w:tc>
          <w:tcPr>
            <w:tcW w:w="1037" w:type="pct"/>
            <w:gridSpan w:val="3"/>
            <w:tcBorders>
              <w:top w:val="nil"/>
              <w:left w:val="nil"/>
              <w:bottom w:val="nil"/>
              <w:right w:val="nil"/>
            </w:tcBorders>
            <w:shd w:val="clear" w:color="auto" w:fill="auto"/>
          </w:tcPr>
          <w:p w:rsidR="00805A5E" w:rsidRPr="00F60CAF" w:rsidRDefault="00805A5E" w:rsidP="00547ACE">
            <w:pPr>
              <w:rPr>
                <w:rFonts w:cs="Arial"/>
                <w:sz w:val="16"/>
                <w:szCs w:val="16"/>
                <w:lang w:val="pt-BR"/>
              </w:rPr>
            </w:pPr>
            <w:r w:rsidRPr="00F60CAF">
              <w:rPr>
                <w:rFonts w:cs="Arial"/>
                <w:sz w:val="16"/>
                <w:szCs w:val="16"/>
                <w:lang w:val="pt-BR"/>
              </w:rPr>
              <w:t>n/a (WBO)</w:t>
            </w:r>
          </w:p>
          <w:p w:rsidR="00805A5E" w:rsidRPr="00F60CAF" w:rsidRDefault="00805A5E" w:rsidP="00547ACE">
            <w:pPr>
              <w:rPr>
                <w:rFonts w:cs="Arial"/>
                <w:sz w:val="16"/>
                <w:szCs w:val="16"/>
                <w:lang w:val="pt-BR"/>
              </w:rPr>
            </w:pPr>
            <w:r w:rsidRPr="00F60CAF">
              <w:rPr>
                <w:rFonts w:cs="Arial"/>
                <w:sz w:val="16"/>
                <w:szCs w:val="16"/>
                <w:lang w:val="pt-BR"/>
              </w:rPr>
              <w:t>n/a (WJO)</w:t>
            </w:r>
          </w:p>
          <w:p w:rsidR="00805A5E" w:rsidDel="00436D89" w:rsidRDefault="00805A5E" w:rsidP="00547ACE">
            <w:pPr>
              <w:rPr>
                <w:rFonts w:cs="Arial"/>
                <w:i/>
                <w:color w:val="002060"/>
                <w:sz w:val="16"/>
                <w:szCs w:val="16"/>
              </w:rPr>
            </w:pPr>
            <w:r w:rsidRPr="005D70E0">
              <w:rPr>
                <w:rFonts w:cs="Arial"/>
                <w:sz w:val="16"/>
                <w:szCs w:val="16"/>
              </w:rPr>
              <w:t>n/a (WSO)</w:t>
            </w:r>
          </w:p>
        </w:tc>
        <w:tc>
          <w:tcPr>
            <w:tcW w:w="671" w:type="pct"/>
            <w:gridSpan w:val="2"/>
            <w:tcBorders>
              <w:top w:val="nil"/>
              <w:left w:val="nil"/>
              <w:bottom w:val="nil"/>
              <w:right w:val="nil"/>
            </w:tcBorders>
            <w:shd w:val="clear" w:color="auto" w:fill="auto"/>
            <w:tcMar>
              <w:top w:w="110" w:type="dxa"/>
            </w:tcMar>
          </w:tcPr>
          <w:p w:rsidR="00805A5E" w:rsidRDefault="00805A5E" w:rsidP="00547ACE">
            <w:pPr>
              <w:rPr>
                <w:rFonts w:eastAsia="SimSun" w:cs="Arial"/>
                <w:color w:val="000000"/>
                <w:sz w:val="16"/>
                <w:szCs w:val="16"/>
                <w:lang w:eastAsia="zh-CN"/>
              </w:rPr>
            </w:pPr>
            <w:r w:rsidRPr="005D70E0">
              <w:rPr>
                <w:rFonts w:eastAsia="SimSun" w:cs="Arial"/>
                <w:color w:val="000000"/>
                <w:sz w:val="16"/>
                <w:szCs w:val="16"/>
                <w:lang w:eastAsia="zh-CN"/>
              </w:rPr>
              <w:t>75% (WBO)</w:t>
            </w:r>
          </w:p>
          <w:p w:rsidR="00805A5E" w:rsidRDefault="00805A5E" w:rsidP="00547ACE">
            <w:pPr>
              <w:rPr>
                <w:rFonts w:eastAsia="SimSun" w:cs="Arial"/>
                <w:color w:val="000000"/>
                <w:sz w:val="16"/>
                <w:szCs w:val="16"/>
                <w:lang w:eastAsia="zh-CN"/>
              </w:rPr>
            </w:pPr>
          </w:p>
          <w:p w:rsidR="00805A5E" w:rsidRDefault="00805A5E" w:rsidP="00547ACE">
            <w:pPr>
              <w:rPr>
                <w:rFonts w:eastAsia="SimSun" w:cs="Arial"/>
                <w:color w:val="000000"/>
                <w:sz w:val="16"/>
                <w:szCs w:val="16"/>
                <w:lang w:eastAsia="zh-CN"/>
              </w:rPr>
            </w:pPr>
            <w:r w:rsidRPr="005D70E0">
              <w:rPr>
                <w:rFonts w:eastAsia="SimSun" w:cs="Arial"/>
                <w:color w:val="000000"/>
                <w:sz w:val="16"/>
                <w:szCs w:val="16"/>
                <w:lang w:eastAsia="zh-CN"/>
              </w:rPr>
              <w:t>75% (WJO)</w:t>
            </w:r>
          </w:p>
          <w:p w:rsidR="00805A5E" w:rsidRDefault="00805A5E" w:rsidP="00547ACE">
            <w:pPr>
              <w:rPr>
                <w:rFonts w:eastAsia="SimSun" w:cs="Arial"/>
                <w:color w:val="000000"/>
                <w:sz w:val="16"/>
                <w:szCs w:val="16"/>
                <w:lang w:eastAsia="zh-CN"/>
              </w:rPr>
            </w:pPr>
          </w:p>
          <w:p w:rsidR="00805A5E" w:rsidRDefault="00805A5E" w:rsidP="00547ACE">
            <w:pPr>
              <w:rPr>
                <w:rFonts w:eastAsia="SimSun" w:cs="Arial"/>
                <w:color w:val="000000"/>
                <w:sz w:val="16"/>
                <w:szCs w:val="16"/>
                <w:lang w:eastAsia="zh-CN"/>
              </w:rPr>
            </w:pPr>
            <w:r w:rsidRPr="005D70E0">
              <w:rPr>
                <w:rFonts w:eastAsia="SimSun" w:cs="Arial"/>
                <w:color w:val="000000"/>
                <w:sz w:val="16"/>
                <w:szCs w:val="16"/>
                <w:lang w:eastAsia="zh-CN"/>
              </w:rPr>
              <w:t>75% (WSO)</w:t>
            </w:r>
          </w:p>
          <w:p w:rsidR="00805A5E" w:rsidRDefault="00805A5E" w:rsidP="00547ACE">
            <w:pPr>
              <w:rPr>
                <w:rFonts w:eastAsia="SimSun" w:cs="Arial"/>
                <w:color w:val="000000"/>
                <w:sz w:val="16"/>
                <w:szCs w:val="16"/>
                <w:lang w:eastAsia="zh-CN"/>
              </w:rPr>
            </w:pPr>
          </w:p>
          <w:p w:rsidR="00805A5E" w:rsidRPr="005D70E0" w:rsidRDefault="00805A5E" w:rsidP="00547ACE">
            <w:pPr>
              <w:rPr>
                <w:rFonts w:eastAsia="SimSun" w:cs="Arial"/>
                <w:color w:val="000000"/>
                <w:sz w:val="16"/>
                <w:szCs w:val="16"/>
                <w:lang w:eastAsia="zh-CN"/>
              </w:rPr>
            </w:pPr>
          </w:p>
        </w:tc>
        <w:tc>
          <w:tcPr>
            <w:tcW w:w="1592" w:type="pct"/>
            <w:gridSpan w:val="5"/>
            <w:tcBorders>
              <w:top w:val="nil"/>
              <w:left w:val="nil"/>
              <w:bottom w:val="nil"/>
              <w:right w:val="nil"/>
            </w:tcBorders>
            <w:shd w:val="clear" w:color="auto" w:fill="FFFFFF"/>
            <w:tcMar>
              <w:top w:w="110" w:type="dxa"/>
            </w:tcMar>
          </w:tcPr>
          <w:p w:rsidR="00805A5E" w:rsidRDefault="00805A5E" w:rsidP="00547ACE">
            <w:pPr>
              <w:rPr>
                <w:rFonts w:eastAsia="SimSun" w:cs="Arial"/>
                <w:sz w:val="16"/>
                <w:szCs w:val="16"/>
                <w:lang w:eastAsia="zh-CN"/>
              </w:rPr>
            </w:pPr>
            <w:r>
              <w:rPr>
                <w:rFonts w:eastAsia="SimSun" w:cs="Arial"/>
                <w:sz w:val="16"/>
                <w:szCs w:val="16"/>
                <w:lang w:eastAsia="zh-CN"/>
              </w:rPr>
              <w:t>75% (WBO)</w:t>
            </w:r>
          </w:p>
          <w:p w:rsidR="00805A5E" w:rsidRDefault="00805A5E" w:rsidP="00547ACE">
            <w:pPr>
              <w:rPr>
                <w:rFonts w:eastAsia="SimSun" w:cs="Arial"/>
                <w:sz w:val="16"/>
                <w:szCs w:val="16"/>
                <w:lang w:eastAsia="zh-CN"/>
              </w:rPr>
            </w:pPr>
          </w:p>
          <w:p w:rsidR="00805A5E" w:rsidRDefault="00805A5E" w:rsidP="00547ACE">
            <w:pPr>
              <w:rPr>
                <w:rFonts w:eastAsia="SimSun" w:cs="Arial"/>
                <w:sz w:val="16"/>
                <w:szCs w:val="16"/>
                <w:lang w:eastAsia="zh-CN"/>
              </w:rPr>
            </w:pPr>
            <w:r>
              <w:rPr>
                <w:rFonts w:eastAsia="SimSun" w:cs="Arial"/>
                <w:sz w:val="16"/>
                <w:szCs w:val="16"/>
                <w:lang w:eastAsia="zh-CN"/>
              </w:rPr>
              <w:t>94% (WJO)</w:t>
            </w:r>
          </w:p>
          <w:p w:rsidR="00805A5E" w:rsidRDefault="00805A5E" w:rsidP="00547ACE">
            <w:pPr>
              <w:rPr>
                <w:rFonts w:eastAsia="SimSun" w:cs="Arial"/>
                <w:sz w:val="16"/>
                <w:szCs w:val="16"/>
                <w:lang w:eastAsia="zh-CN"/>
              </w:rPr>
            </w:pPr>
          </w:p>
          <w:p w:rsidR="00805A5E" w:rsidRPr="00980EC4" w:rsidDel="00436D89" w:rsidRDefault="00805A5E" w:rsidP="00547ACE">
            <w:pPr>
              <w:rPr>
                <w:rFonts w:eastAsia="SimSun" w:cs="Arial"/>
                <w:sz w:val="16"/>
                <w:szCs w:val="16"/>
                <w:lang w:eastAsia="zh-CN"/>
              </w:rPr>
            </w:pPr>
            <w:r>
              <w:rPr>
                <w:rFonts w:eastAsia="SimSun" w:cs="Arial"/>
                <w:sz w:val="16"/>
                <w:szCs w:val="16"/>
                <w:lang w:eastAsia="zh-CN"/>
              </w:rPr>
              <w:t>85% (WSO)</w:t>
            </w:r>
          </w:p>
        </w:tc>
        <w:tc>
          <w:tcPr>
            <w:tcW w:w="575" w:type="pct"/>
            <w:gridSpan w:val="5"/>
            <w:tcBorders>
              <w:top w:val="nil"/>
              <w:left w:val="nil"/>
              <w:bottom w:val="nil"/>
              <w:right w:val="single" w:sz="4" w:space="0" w:color="auto"/>
            </w:tcBorders>
            <w:shd w:val="clear" w:color="auto" w:fill="auto"/>
            <w:tcMar>
              <w:top w:w="110" w:type="dxa"/>
            </w:tcMar>
          </w:tcPr>
          <w:p w:rsidR="00805A5E" w:rsidRPr="000D3F45" w:rsidRDefault="00805A5E" w:rsidP="00547ACE">
            <w:pPr>
              <w:keepNext/>
              <w:keepLines/>
              <w:ind w:right="20"/>
              <w:jc w:val="center"/>
              <w:rPr>
                <w:rFonts w:eastAsia="SimSun" w:cs="Arial"/>
                <w:b/>
                <w:bCs/>
                <w:color w:val="00B050"/>
                <w:sz w:val="16"/>
                <w:szCs w:val="16"/>
                <w:lang w:eastAsia="zh-CN"/>
              </w:rPr>
            </w:pPr>
            <w:r w:rsidRPr="000D3F45">
              <w:rPr>
                <w:rFonts w:eastAsia="SimSun" w:cs="Arial"/>
                <w:b/>
                <w:bCs/>
                <w:color w:val="00B050"/>
                <w:sz w:val="16"/>
                <w:szCs w:val="16"/>
                <w:lang w:eastAsia="zh-CN"/>
              </w:rPr>
              <w:t>Fully Achieved</w:t>
            </w:r>
          </w:p>
          <w:p w:rsidR="00805A5E" w:rsidRPr="000D3F45" w:rsidRDefault="00805A5E" w:rsidP="00547ACE">
            <w:pPr>
              <w:keepNext/>
              <w:keepLines/>
              <w:ind w:right="20"/>
              <w:jc w:val="center"/>
              <w:rPr>
                <w:rFonts w:eastAsia="SimSun" w:cs="Arial"/>
                <w:b/>
                <w:bCs/>
                <w:color w:val="00B050"/>
                <w:sz w:val="16"/>
                <w:szCs w:val="16"/>
                <w:lang w:eastAsia="zh-CN"/>
              </w:rPr>
            </w:pPr>
            <w:r w:rsidRPr="000D3F45">
              <w:rPr>
                <w:rFonts w:eastAsia="SimSun" w:cs="Arial"/>
                <w:b/>
                <w:bCs/>
                <w:color w:val="00B050"/>
                <w:sz w:val="16"/>
                <w:szCs w:val="16"/>
                <w:lang w:eastAsia="zh-CN"/>
              </w:rPr>
              <w:t>Fully Achieved</w:t>
            </w:r>
          </w:p>
          <w:p w:rsidR="00805A5E" w:rsidRPr="000D3F45" w:rsidRDefault="00805A5E" w:rsidP="00547ACE">
            <w:pPr>
              <w:keepNext/>
              <w:keepLines/>
              <w:ind w:right="20"/>
              <w:jc w:val="center"/>
              <w:rPr>
                <w:rFonts w:eastAsia="SimSun" w:cs="Arial"/>
                <w:b/>
                <w:bCs/>
                <w:color w:val="00B050"/>
                <w:sz w:val="16"/>
                <w:szCs w:val="16"/>
                <w:lang w:eastAsia="zh-CN"/>
              </w:rPr>
            </w:pPr>
            <w:r w:rsidRPr="000D3F45">
              <w:rPr>
                <w:rFonts w:eastAsia="SimSun" w:cs="Arial"/>
                <w:b/>
                <w:bCs/>
                <w:color w:val="00B050"/>
                <w:sz w:val="16"/>
                <w:szCs w:val="16"/>
                <w:lang w:eastAsia="zh-CN"/>
              </w:rPr>
              <w:t>Fully Achieved</w:t>
            </w:r>
          </w:p>
          <w:p w:rsidR="00805A5E" w:rsidRPr="002815EE" w:rsidRDefault="00805A5E" w:rsidP="00547ACE">
            <w:pPr>
              <w:keepNext/>
              <w:keepLines/>
              <w:ind w:left="-135" w:right="20"/>
              <w:jc w:val="center"/>
              <w:rPr>
                <w:rFonts w:eastAsia="SimSun" w:cs="Arial"/>
                <w:b/>
                <w:bCs/>
                <w:color w:val="808080"/>
                <w:sz w:val="14"/>
                <w:szCs w:val="14"/>
                <w:lang w:eastAsia="zh-CN"/>
              </w:rPr>
            </w:pPr>
          </w:p>
        </w:tc>
      </w:tr>
      <w:tr w:rsidR="00805A5E" w:rsidRPr="00B35AFA" w:rsidTr="00BA6F3B">
        <w:tc>
          <w:tcPr>
            <w:tcW w:w="1114" w:type="pct"/>
            <w:tcBorders>
              <w:top w:val="nil"/>
              <w:left w:val="single" w:sz="4" w:space="0" w:color="auto"/>
              <w:bottom w:val="single" w:sz="4" w:space="0" w:color="auto"/>
              <w:right w:val="nil"/>
            </w:tcBorders>
            <w:shd w:val="clear" w:color="auto" w:fill="auto"/>
          </w:tcPr>
          <w:p w:rsidR="00805A5E" w:rsidRPr="00607AAB" w:rsidRDefault="00805A5E" w:rsidP="00547ACE">
            <w:pPr>
              <w:rPr>
                <w:rFonts w:eastAsia="SimSun" w:cs="Arial"/>
                <w:color w:val="000000"/>
                <w:sz w:val="16"/>
                <w:szCs w:val="16"/>
                <w:lang w:eastAsia="zh-CN"/>
              </w:rPr>
            </w:pPr>
            <w:r>
              <w:rPr>
                <w:rFonts w:eastAsia="SimSun" w:cs="Arial"/>
                <w:color w:val="000000"/>
                <w:sz w:val="16"/>
                <w:szCs w:val="16"/>
                <w:lang w:eastAsia="zh-CN"/>
              </w:rPr>
              <w:t>No</w:t>
            </w:r>
            <w:r w:rsidRPr="00607AAB">
              <w:rPr>
                <w:rFonts w:eastAsia="SimSun" w:cs="Arial"/>
                <w:color w:val="000000"/>
                <w:sz w:val="16"/>
                <w:szCs w:val="16"/>
                <w:lang w:eastAsia="zh-CN"/>
              </w:rPr>
              <w:t xml:space="preserve"> of contracting parties to the Hague</w:t>
            </w:r>
            <w:r>
              <w:rPr>
                <w:rFonts w:eastAsia="SimSun" w:cs="Arial"/>
                <w:color w:val="000000"/>
                <w:sz w:val="16"/>
                <w:szCs w:val="16"/>
                <w:lang w:eastAsia="zh-CN"/>
              </w:rPr>
              <w:t xml:space="preserve"> System</w:t>
            </w:r>
            <w:r w:rsidRPr="00607AAB">
              <w:rPr>
                <w:rFonts w:eastAsia="SimSun" w:cs="Arial"/>
                <w:color w:val="000000"/>
                <w:sz w:val="16"/>
                <w:szCs w:val="16"/>
                <w:lang w:eastAsia="zh-CN"/>
              </w:rPr>
              <w:t xml:space="preserve"> in the Asia </w:t>
            </w:r>
            <w:r>
              <w:rPr>
                <w:rFonts w:eastAsia="SimSun" w:cs="Arial"/>
                <w:color w:val="000000"/>
                <w:sz w:val="16"/>
                <w:szCs w:val="16"/>
                <w:lang w:eastAsia="zh-CN"/>
              </w:rPr>
              <w:t xml:space="preserve">and the </w:t>
            </w:r>
            <w:r w:rsidRPr="00607AAB">
              <w:rPr>
                <w:rFonts w:eastAsia="SimSun" w:cs="Arial"/>
                <w:color w:val="000000"/>
                <w:sz w:val="16"/>
                <w:szCs w:val="16"/>
                <w:lang w:eastAsia="zh-CN"/>
              </w:rPr>
              <w:t>Pacific Region</w:t>
            </w:r>
          </w:p>
        </w:tc>
        <w:tc>
          <w:tcPr>
            <w:tcW w:w="1041" w:type="pct"/>
            <w:gridSpan w:val="3"/>
            <w:tcBorders>
              <w:top w:val="nil"/>
              <w:left w:val="nil"/>
              <w:bottom w:val="single" w:sz="4" w:space="0" w:color="auto"/>
              <w:right w:val="nil"/>
            </w:tcBorders>
            <w:shd w:val="clear" w:color="auto" w:fill="auto"/>
          </w:tcPr>
          <w:p w:rsidR="00805A5E" w:rsidRDefault="00805A5E" w:rsidP="00547ACE">
            <w:pPr>
              <w:rPr>
                <w:rFonts w:cs="Arial"/>
                <w:i/>
                <w:color w:val="002060"/>
                <w:sz w:val="16"/>
                <w:szCs w:val="16"/>
              </w:rPr>
            </w:pPr>
            <w:r>
              <w:rPr>
                <w:rFonts w:cs="Arial"/>
                <w:i/>
                <w:color w:val="002060"/>
                <w:sz w:val="16"/>
                <w:szCs w:val="16"/>
              </w:rPr>
              <w:t>Updated Baseline end 2013</w:t>
            </w:r>
            <w:r w:rsidRPr="00B35AFA">
              <w:rPr>
                <w:rFonts w:cs="Arial"/>
                <w:i/>
                <w:color w:val="002060"/>
                <w:sz w:val="16"/>
                <w:szCs w:val="16"/>
              </w:rPr>
              <w:t xml:space="preserve">:  </w:t>
            </w:r>
          </w:p>
          <w:p w:rsidR="00805A5E" w:rsidRPr="007816F7" w:rsidRDefault="00805A5E" w:rsidP="00547ACE">
            <w:pPr>
              <w:rPr>
                <w:rFonts w:cs="Arial"/>
                <w:color w:val="002060"/>
                <w:sz w:val="16"/>
                <w:szCs w:val="16"/>
              </w:rPr>
            </w:pPr>
            <w:r w:rsidRPr="007816F7">
              <w:rPr>
                <w:rFonts w:cs="Arial"/>
                <w:color w:val="002060"/>
                <w:sz w:val="16"/>
                <w:szCs w:val="16"/>
              </w:rPr>
              <w:t>Japan not party (WJO)</w:t>
            </w:r>
          </w:p>
          <w:p w:rsidR="00805A5E" w:rsidRPr="00436D89" w:rsidRDefault="00805A5E" w:rsidP="00BA6F3B">
            <w:pPr>
              <w:rPr>
                <w:rFonts w:cs="Arial"/>
                <w:sz w:val="16"/>
                <w:szCs w:val="16"/>
              </w:rPr>
            </w:pPr>
            <w:r>
              <w:rPr>
                <w:rFonts w:cs="Arial"/>
                <w:color w:val="002060"/>
                <w:sz w:val="16"/>
                <w:szCs w:val="16"/>
              </w:rPr>
              <w:t>2</w:t>
            </w:r>
            <w:r w:rsidRPr="007816F7">
              <w:rPr>
                <w:rFonts w:cs="Arial"/>
                <w:color w:val="002060"/>
                <w:sz w:val="16"/>
                <w:szCs w:val="16"/>
              </w:rPr>
              <w:t xml:space="preserve"> in the ASEAN region </w:t>
            </w:r>
            <w:r>
              <w:rPr>
                <w:rFonts w:cs="Arial"/>
                <w:color w:val="002060"/>
                <w:sz w:val="16"/>
                <w:szCs w:val="16"/>
              </w:rPr>
              <w:t xml:space="preserve"> (Brunei Darussalam and Singapore) </w:t>
            </w:r>
            <w:r w:rsidRPr="007816F7">
              <w:rPr>
                <w:rFonts w:cs="Arial"/>
                <w:color w:val="002060"/>
                <w:sz w:val="16"/>
                <w:szCs w:val="16"/>
              </w:rPr>
              <w:t>(WSO)</w:t>
            </w:r>
          </w:p>
        </w:tc>
        <w:tc>
          <w:tcPr>
            <w:tcW w:w="687" w:type="pct"/>
            <w:gridSpan w:val="4"/>
            <w:tcBorders>
              <w:top w:val="nil"/>
              <w:left w:val="nil"/>
              <w:bottom w:val="single" w:sz="4" w:space="0" w:color="auto"/>
              <w:right w:val="nil"/>
            </w:tcBorders>
            <w:shd w:val="clear" w:color="auto" w:fill="auto"/>
            <w:tcMar>
              <w:top w:w="110" w:type="dxa"/>
            </w:tcMar>
          </w:tcPr>
          <w:p w:rsidR="00805A5E" w:rsidRDefault="00805A5E" w:rsidP="00547ACE">
            <w:pPr>
              <w:rPr>
                <w:rFonts w:eastAsia="SimSun" w:cs="Arial"/>
                <w:color w:val="000000"/>
                <w:sz w:val="16"/>
                <w:szCs w:val="16"/>
                <w:lang w:eastAsia="zh-CN"/>
              </w:rPr>
            </w:pPr>
            <w:r w:rsidRPr="00046A4F">
              <w:rPr>
                <w:rFonts w:eastAsia="SimSun" w:cs="Arial"/>
                <w:color w:val="000000"/>
                <w:sz w:val="16"/>
                <w:szCs w:val="16"/>
                <w:lang w:eastAsia="zh-CN"/>
              </w:rPr>
              <w:t>Accession by Japan (WJO)</w:t>
            </w:r>
          </w:p>
          <w:p w:rsidR="00404344" w:rsidRDefault="00404344" w:rsidP="00547ACE">
            <w:pPr>
              <w:rPr>
                <w:rFonts w:eastAsia="SimSun" w:cs="Arial"/>
                <w:color w:val="000000"/>
                <w:sz w:val="16"/>
                <w:szCs w:val="16"/>
                <w:lang w:eastAsia="zh-CN"/>
              </w:rPr>
            </w:pPr>
          </w:p>
          <w:p w:rsidR="00805A5E" w:rsidRPr="00607AAB" w:rsidRDefault="00805A5E" w:rsidP="00547ACE">
            <w:pPr>
              <w:rPr>
                <w:rFonts w:eastAsia="SimSun" w:cs="Arial"/>
                <w:color w:val="000000"/>
                <w:sz w:val="16"/>
                <w:szCs w:val="16"/>
                <w:lang w:eastAsia="zh-CN"/>
              </w:rPr>
            </w:pPr>
            <w:r w:rsidRPr="00432581">
              <w:rPr>
                <w:rFonts w:eastAsia="SimSun" w:cs="Arial"/>
                <w:color w:val="000000"/>
                <w:sz w:val="16"/>
                <w:szCs w:val="16"/>
                <w:lang w:eastAsia="zh-CN"/>
              </w:rPr>
              <w:t>7 in the ASEAN region (WSO)</w:t>
            </w:r>
          </w:p>
        </w:tc>
        <w:tc>
          <w:tcPr>
            <w:tcW w:w="1570" w:type="pct"/>
            <w:gridSpan w:val="3"/>
            <w:tcBorders>
              <w:top w:val="nil"/>
              <w:left w:val="nil"/>
              <w:bottom w:val="single" w:sz="4" w:space="0" w:color="auto"/>
              <w:right w:val="nil"/>
            </w:tcBorders>
            <w:shd w:val="clear" w:color="auto" w:fill="FFFFFF"/>
            <w:tcMar>
              <w:top w:w="110" w:type="dxa"/>
            </w:tcMar>
          </w:tcPr>
          <w:p w:rsidR="00805A5E" w:rsidRDefault="00805A5E" w:rsidP="00547ACE">
            <w:pPr>
              <w:rPr>
                <w:rFonts w:eastAsia="SimSun" w:cs="Arial"/>
                <w:sz w:val="16"/>
                <w:szCs w:val="16"/>
                <w:lang w:eastAsia="zh-CN"/>
              </w:rPr>
            </w:pPr>
            <w:r w:rsidRPr="00132A86">
              <w:rPr>
                <w:rFonts w:eastAsia="SimSun" w:cs="Arial"/>
                <w:sz w:val="16"/>
                <w:szCs w:val="16"/>
                <w:lang w:eastAsia="zh-CN"/>
              </w:rPr>
              <w:t>Accession by Japan</w:t>
            </w:r>
            <w:r>
              <w:rPr>
                <w:rFonts w:eastAsia="SimSun" w:cs="Arial"/>
                <w:sz w:val="16"/>
                <w:szCs w:val="16"/>
                <w:lang w:eastAsia="zh-CN"/>
              </w:rPr>
              <w:t xml:space="preserve"> in 2015</w:t>
            </w:r>
            <w:r w:rsidRPr="00132A86">
              <w:rPr>
                <w:rFonts w:eastAsia="SimSun" w:cs="Arial"/>
                <w:sz w:val="16"/>
                <w:szCs w:val="16"/>
                <w:lang w:eastAsia="zh-CN"/>
              </w:rPr>
              <w:t xml:space="preserve"> (WJO)</w:t>
            </w:r>
            <w:r>
              <w:rPr>
                <w:rFonts w:eastAsia="SimSun" w:cs="Arial"/>
                <w:sz w:val="16"/>
                <w:szCs w:val="16"/>
                <w:lang w:eastAsia="zh-CN"/>
              </w:rPr>
              <w:t xml:space="preserve"> </w:t>
            </w:r>
          </w:p>
          <w:p w:rsidR="00805A5E" w:rsidRDefault="00805A5E" w:rsidP="00547ACE">
            <w:pPr>
              <w:rPr>
                <w:rFonts w:eastAsia="SimSun" w:cs="Arial"/>
                <w:sz w:val="16"/>
                <w:szCs w:val="16"/>
                <w:lang w:eastAsia="zh-CN"/>
              </w:rPr>
            </w:pPr>
          </w:p>
          <w:p w:rsidR="00404344" w:rsidRDefault="00404344" w:rsidP="00547ACE">
            <w:pPr>
              <w:rPr>
                <w:rFonts w:eastAsia="SimSun" w:cs="Arial"/>
                <w:sz w:val="16"/>
                <w:szCs w:val="16"/>
                <w:lang w:eastAsia="zh-CN"/>
              </w:rPr>
            </w:pPr>
          </w:p>
          <w:p w:rsidR="00805A5E" w:rsidRPr="00B35AFA" w:rsidRDefault="00805A5E" w:rsidP="00BA6F3B">
            <w:pPr>
              <w:rPr>
                <w:rFonts w:eastAsia="SimSun" w:cs="Arial"/>
                <w:sz w:val="16"/>
                <w:szCs w:val="16"/>
                <w:lang w:eastAsia="zh-CN"/>
              </w:rPr>
            </w:pPr>
            <w:r>
              <w:rPr>
                <w:rFonts w:eastAsia="SimSun" w:cs="Arial"/>
                <w:sz w:val="16"/>
                <w:szCs w:val="16"/>
                <w:lang w:eastAsia="zh-CN"/>
              </w:rPr>
              <w:t>No additional contracting parties to the Hague System in the ASEAN Region (WSO)</w:t>
            </w:r>
            <w:r w:rsidR="00404344" w:rsidDel="00404344">
              <w:rPr>
                <w:rFonts w:eastAsia="SimSun" w:cs="Arial"/>
                <w:sz w:val="16"/>
                <w:szCs w:val="16"/>
                <w:lang w:eastAsia="zh-CN"/>
              </w:rPr>
              <w:t xml:space="preserve"> </w:t>
            </w:r>
          </w:p>
        </w:tc>
        <w:tc>
          <w:tcPr>
            <w:tcW w:w="588" w:type="pct"/>
            <w:gridSpan w:val="6"/>
            <w:tcBorders>
              <w:top w:val="nil"/>
              <w:left w:val="nil"/>
              <w:bottom w:val="single" w:sz="4" w:space="0" w:color="auto"/>
              <w:right w:val="single" w:sz="4" w:space="0" w:color="auto"/>
            </w:tcBorders>
            <w:shd w:val="clear" w:color="auto" w:fill="auto"/>
            <w:tcMar>
              <w:top w:w="110" w:type="dxa"/>
            </w:tcMar>
          </w:tcPr>
          <w:p w:rsidR="00805A5E" w:rsidRPr="000D3F45" w:rsidRDefault="00805A5E" w:rsidP="00547ACE">
            <w:pPr>
              <w:keepNext/>
              <w:keepLines/>
              <w:ind w:left="-117" w:right="20"/>
              <w:jc w:val="center"/>
              <w:rPr>
                <w:rFonts w:eastAsia="SimSun" w:cs="Arial"/>
                <w:b/>
                <w:bCs/>
                <w:color w:val="00B050"/>
                <w:sz w:val="16"/>
                <w:szCs w:val="16"/>
                <w:lang w:eastAsia="zh-CN"/>
              </w:rPr>
            </w:pPr>
            <w:r w:rsidRPr="000D3F45">
              <w:rPr>
                <w:rFonts w:eastAsia="SimSun" w:cs="Arial"/>
                <w:b/>
                <w:bCs/>
                <w:color w:val="00B050"/>
                <w:sz w:val="16"/>
                <w:szCs w:val="16"/>
                <w:lang w:eastAsia="zh-CN"/>
              </w:rPr>
              <w:t>Fully Achieved</w:t>
            </w:r>
          </w:p>
          <w:p w:rsidR="00805A5E" w:rsidRPr="00D77B74" w:rsidRDefault="00805A5E" w:rsidP="00547ACE">
            <w:pPr>
              <w:keepNext/>
              <w:keepLines/>
              <w:ind w:left="-117" w:right="20"/>
              <w:jc w:val="center"/>
              <w:rPr>
                <w:rFonts w:eastAsia="SimSun" w:cs="Arial"/>
                <w:b/>
                <w:bCs/>
                <w:color w:val="00B050"/>
                <w:sz w:val="16"/>
                <w:szCs w:val="16"/>
                <w:lang w:eastAsia="zh-CN"/>
              </w:rPr>
            </w:pPr>
          </w:p>
          <w:p w:rsidR="00805A5E" w:rsidRPr="00D77B74" w:rsidRDefault="00805A5E" w:rsidP="00547ACE">
            <w:pPr>
              <w:keepNext/>
              <w:keepLines/>
              <w:ind w:left="-117" w:right="20"/>
              <w:jc w:val="center"/>
              <w:rPr>
                <w:rFonts w:eastAsia="SimSun" w:cs="Arial"/>
                <w:b/>
                <w:bCs/>
                <w:color w:val="00B050"/>
                <w:sz w:val="16"/>
                <w:szCs w:val="16"/>
                <w:lang w:eastAsia="zh-CN"/>
              </w:rPr>
            </w:pPr>
            <w:r w:rsidRPr="00092332">
              <w:rPr>
                <w:rFonts w:eastAsia="SimSun" w:cs="Arial"/>
                <w:b/>
                <w:bCs/>
                <w:color w:val="FF0000"/>
                <w:sz w:val="16"/>
                <w:szCs w:val="16"/>
                <w:lang w:eastAsia="zh-CN"/>
              </w:rPr>
              <w:t>Not Achieved</w:t>
            </w:r>
          </w:p>
        </w:tc>
      </w:tr>
      <w:tr w:rsidR="00404344" w:rsidRPr="00B35AFA" w:rsidTr="00BA6F3B">
        <w:tc>
          <w:tcPr>
            <w:tcW w:w="1114" w:type="pct"/>
            <w:tcBorders>
              <w:top w:val="single" w:sz="4" w:space="0" w:color="auto"/>
              <w:left w:val="single" w:sz="4" w:space="0" w:color="auto"/>
              <w:bottom w:val="single" w:sz="4" w:space="0" w:color="auto"/>
              <w:right w:val="nil"/>
            </w:tcBorders>
            <w:shd w:val="clear" w:color="auto" w:fill="auto"/>
          </w:tcPr>
          <w:p w:rsidR="00404344" w:rsidRDefault="00404344" w:rsidP="00547ACE">
            <w:pPr>
              <w:rPr>
                <w:rFonts w:eastAsia="SimSun" w:cs="Arial"/>
                <w:color w:val="000000"/>
                <w:sz w:val="16"/>
                <w:szCs w:val="16"/>
                <w:lang w:eastAsia="zh-CN"/>
              </w:rPr>
            </w:pPr>
          </w:p>
        </w:tc>
        <w:tc>
          <w:tcPr>
            <w:tcW w:w="1041" w:type="pct"/>
            <w:gridSpan w:val="3"/>
            <w:tcBorders>
              <w:top w:val="single" w:sz="4" w:space="0" w:color="auto"/>
              <w:left w:val="nil"/>
              <w:bottom w:val="single" w:sz="4" w:space="0" w:color="auto"/>
              <w:right w:val="nil"/>
            </w:tcBorders>
            <w:shd w:val="clear" w:color="auto" w:fill="auto"/>
          </w:tcPr>
          <w:p w:rsidR="00404344" w:rsidRDefault="00404344" w:rsidP="00404344">
            <w:pPr>
              <w:rPr>
                <w:rFonts w:cs="Arial"/>
                <w:sz w:val="16"/>
                <w:szCs w:val="16"/>
              </w:rPr>
            </w:pPr>
            <w:r>
              <w:rPr>
                <w:rFonts w:cs="Arial"/>
                <w:i/>
                <w:sz w:val="16"/>
                <w:szCs w:val="16"/>
              </w:rPr>
              <w:t>Original Baseline P&amp;B 2014/15</w:t>
            </w:r>
            <w:r w:rsidRPr="00B35AFA">
              <w:rPr>
                <w:rFonts w:cs="Arial"/>
                <w:i/>
                <w:sz w:val="16"/>
                <w:szCs w:val="16"/>
              </w:rPr>
              <w:t>:</w:t>
            </w:r>
            <w:r w:rsidRPr="00B35AFA">
              <w:rPr>
                <w:rFonts w:cs="Arial"/>
                <w:sz w:val="16"/>
                <w:szCs w:val="16"/>
              </w:rPr>
              <w:t xml:space="preserve"> </w:t>
            </w:r>
          </w:p>
          <w:p w:rsidR="00404344" w:rsidRDefault="00404344" w:rsidP="00404344">
            <w:pPr>
              <w:rPr>
                <w:rFonts w:cs="Arial"/>
                <w:sz w:val="16"/>
                <w:szCs w:val="16"/>
              </w:rPr>
            </w:pPr>
          </w:p>
          <w:p w:rsidR="00404344" w:rsidRDefault="00404344" w:rsidP="00404344">
            <w:pPr>
              <w:rPr>
                <w:rFonts w:cs="Arial"/>
                <w:sz w:val="16"/>
                <w:szCs w:val="16"/>
              </w:rPr>
            </w:pPr>
            <w:r w:rsidRPr="005D70E0">
              <w:rPr>
                <w:rFonts w:cs="Arial"/>
                <w:sz w:val="16"/>
                <w:szCs w:val="16"/>
              </w:rPr>
              <w:t>1 in the ASEAN region (WSO)</w:t>
            </w:r>
            <w:r w:rsidRPr="00B35AFA">
              <w:rPr>
                <w:rFonts w:cs="Arial"/>
                <w:sz w:val="16"/>
                <w:szCs w:val="16"/>
              </w:rPr>
              <w:t xml:space="preserve"> </w:t>
            </w:r>
            <w:r w:rsidRPr="00607AAB">
              <w:rPr>
                <w:rFonts w:cs="Arial"/>
                <w:sz w:val="16"/>
                <w:szCs w:val="16"/>
              </w:rPr>
              <w:t xml:space="preserve">Japan not party </w:t>
            </w:r>
          </w:p>
          <w:p w:rsidR="00404344" w:rsidRDefault="00404344" w:rsidP="00547ACE">
            <w:pPr>
              <w:rPr>
                <w:rFonts w:cs="Arial"/>
                <w:i/>
                <w:color w:val="002060"/>
                <w:sz w:val="16"/>
                <w:szCs w:val="16"/>
              </w:rPr>
            </w:pPr>
          </w:p>
        </w:tc>
        <w:tc>
          <w:tcPr>
            <w:tcW w:w="687" w:type="pct"/>
            <w:gridSpan w:val="4"/>
            <w:tcBorders>
              <w:top w:val="single" w:sz="4" w:space="0" w:color="auto"/>
              <w:left w:val="nil"/>
              <w:bottom w:val="single" w:sz="4" w:space="0" w:color="auto"/>
              <w:right w:val="nil"/>
            </w:tcBorders>
            <w:shd w:val="clear" w:color="auto" w:fill="auto"/>
            <w:tcMar>
              <w:top w:w="110" w:type="dxa"/>
            </w:tcMar>
          </w:tcPr>
          <w:p w:rsidR="00404344" w:rsidRPr="00046A4F" w:rsidRDefault="00404344" w:rsidP="00547ACE">
            <w:pPr>
              <w:rPr>
                <w:rFonts w:eastAsia="SimSun" w:cs="Arial"/>
                <w:color w:val="000000"/>
                <w:sz w:val="16"/>
                <w:szCs w:val="16"/>
                <w:lang w:eastAsia="zh-CN"/>
              </w:rPr>
            </w:pPr>
          </w:p>
        </w:tc>
        <w:tc>
          <w:tcPr>
            <w:tcW w:w="1570" w:type="pct"/>
            <w:gridSpan w:val="3"/>
            <w:tcBorders>
              <w:top w:val="single" w:sz="4" w:space="0" w:color="auto"/>
              <w:left w:val="nil"/>
              <w:bottom w:val="single" w:sz="4" w:space="0" w:color="auto"/>
              <w:right w:val="nil"/>
            </w:tcBorders>
            <w:shd w:val="clear" w:color="auto" w:fill="FFFFFF"/>
            <w:tcMar>
              <w:top w:w="110" w:type="dxa"/>
            </w:tcMar>
          </w:tcPr>
          <w:p w:rsidR="00404344" w:rsidRPr="00132A86" w:rsidRDefault="00404344" w:rsidP="00547ACE">
            <w:pPr>
              <w:rPr>
                <w:rFonts w:eastAsia="SimSun" w:cs="Arial"/>
                <w:sz w:val="16"/>
                <w:szCs w:val="16"/>
                <w:lang w:eastAsia="zh-CN"/>
              </w:rPr>
            </w:pPr>
          </w:p>
        </w:tc>
        <w:tc>
          <w:tcPr>
            <w:tcW w:w="588" w:type="pct"/>
            <w:gridSpan w:val="6"/>
            <w:tcBorders>
              <w:top w:val="single" w:sz="4" w:space="0" w:color="auto"/>
              <w:left w:val="nil"/>
              <w:bottom w:val="single" w:sz="4" w:space="0" w:color="auto"/>
              <w:right w:val="single" w:sz="4" w:space="0" w:color="auto"/>
            </w:tcBorders>
            <w:shd w:val="clear" w:color="auto" w:fill="auto"/>
            <w:tcMar>
              <w:top w:w="110" w:type="dxa"/>
            </w:tcMar>
          </w:tcPr>
          <w:p w:rsidR="00404344" w:rsidRPr="000D3F45" w:rsidRDefault="00404344" w:rsidP="00547ACE">
            <w:pPr>
              <w:keepNext/>
              <w:keepLines/>
              <w:ind w:left="-117" w:right="20"/>
              <w:jc w:val="center"/>
              <w:rPr>
                <w:rFonts w:eastAsia="SimSun" w:cs="Arial"/>
                <w:b/>
                <w:bCs/>
                <w:color w:val="00B050"/>
                <w:sz w:val="16"/>
                <w:szCs w:val="16"/>
                <w:lang w:eastAsia="zh-CN"/>
              </w:rPr>
            </w:pPr>
          </w:p>
        </w:tc>
      </w:tr>
      <w:tr w:rsidR="00805A5E" w:rsidRPr="00B35AFA" w:rsidTr="00547ACE">
        <w:tc>
          <w:tcPr>
            <w:tcW w:w="5000" w:type="pct"/>
            <w:gridSpan w:val="17"/>
            <w:tcBorders>
              <w:top w:val="single" w:sz="4" w:space="0" w:color="auto"/>
              <w:bottom w:val="single" w:sz="4" w:space="0" w:color="auto"/>
            </w:tcBorders>
            <w:shd w:val="clear" w:color="auto" w:fill="C6D9F1" w:themeFill="text2" w:themeFillTint="33"/>
          </w:tcPr>
          <w:p w:rsidR="00805A5E" w:rsidRPr="000D3F45" w:rsidRDefault="00805A5E" w:rsidP="00547ACE">
            <w:pPr>
              <w:keepNext/>
              <w:keepLines/>
              <w:tabs>
                <w:tab w:val="left" w:pos="1452"/>
              </w:tabs>
              <w:spacing w:before="120" w:after="120"/>
              <w:ind w:hanging="71"/>
              <w:rPr>
                <w:rFonts w:eastAsia="SimSun" w:cs="Arial"/>
                <w:b/>
                <w:bCs/>
                <w:sz w:val="16"/>
                <w:szCs w:val="16"/>
                <w:lang w:eastAsia="zh-CN"/>
              </w:rPr>
            </w:pPr>
            <w:r w:rsidRPr="000D3F45">
              <w:rPr>
                <w:rFonts w:eastAsia="SimSun" w:cs="Arial"/>
                <w:b/>
                <w:bCs/>
                <w:sz w:val="16"/>
                <w:szCs w:val="16"/>
                <w:lang w:eastAsia="zh-CN"/>
              </w:rPr>
              <w:t>Expected Result:</w:t>
            </w:r>
            <w:r w:rsidRPr="000D3F45">
              <w:rPr>
                <w:rFonts w:eastAsia="SimSun" w:cs="Arial"/>
                <w:b/>
                <w:bCs/>
                <w:sz w:val="16"/>
                <w:szCs w:val="16"/>
                <w:lang w:eastAsia="zh-CN"/>
              </w:rPr>
              <w:tab/>
            </w:r>
            <w:r w:rsidRPr="007A3976">
              <w:rPr>
                <w:rFonts w:eastAsia="SimSun" w:cs="Arial"/>
                <w:color w:val="000000"/>
                <w:sz w:val="16"/>
                <w:szCs w:val="16"/>
                <w:lang w:eastAsia="zh-CN"/>
              </w:rPr>
              <w:t>II.6 Wider and better use of the Madrid &amp; Lisbon systems, including by developing countries and LDCs</w:t>
            </w:r>
          </w:p>
        </w:tc>
      </w:tr>
      <w:tr w:rsidR="00805A5E" w:rsidRPr="00B35AFA" w:rsidTr="00547ACE">
        <w:tc>
          <w:tcPr>
            <w:tcW w:w="1114" w:type="pct"/>
            <w:tcBorders>
              <w:top w:val="single" w:sz="4" w:space="0" w:color="auto"/>
              <w:left w:val="single" w:sz="4" w:space="0" w:color="auto"/>
              <w:bottom w:val="nil"/>
              <w:right w:val="nil"/>
            </w:tcBorders>
            <w:shd w:val="clear" w:color="auto" w:fill="auto"/>
          </w:tcPr>
          <w:p w:rsidR="00805A5E" w:rsidRPr="00B35AFA" w:rsidRDefault="00805A5E" w:rsidP="00547ACE">
            <w:pPr>
              <w:rPr>
                <w:rFonts w:eastAsia="SimSun" w:cs="Arial"/>
                <w:sz w:val="16"/>
                <w:szCs w:val="16"/>
                <w:lang w:eastAsia="zh-CN"/>
              </w:rPr>
            </w:pPr>
            <w:r w:rsidRPr="00B35AFA">
              <w:rPr>
                <w:rFonts w:eastAsia="SimSun" w:cs="Arial"/>
                <w:b/>
                <w:bCs/>
                <w:sz w:val="16"/>
                <w:szCs w:val="16"/>
                <w:lang w:eastAsia="zh-CN"/>
              </w:rPr>
              <w:t>Performance Indicators</w:t>
            </w:r>
          </w:p>
        </w:tc>
        <w:tc>
          <w:tcPr>
            <w:tcW w:w="1157" w:type="pct"/>
            <w:gridSpan w:val="5"/>
            <w:tcBorders>
              <w:top w:val="single" w:sz="4" w:space="0" w:color="auto"/>
              <w:left w:val="nil"/>
              <w:bottom w:val="nil"/>
              <w:right w:val="nil"/>
            </w:tcBorders>
            <w:shd w:val="clear" w:color="auto" w:fill="auto"/>
          </w:tcPr>
          <w:p w:rsidR="00805A5E" w:rsidRPr="00B35AFA" w:rsidRDefault="00805A5E" w:rsidP="00547ACE">
            <w:pPr>
              <w:keepNext/>
              <w:keepLines/>
              <w:rPr>
                <w:rFonts w:eastAsia="SimSun" w:cs="Arial"/>
                <w:b/>
                <w:bCs/>
                <w:sz w:val="16"/>
                <w:szCs w:val="16"/>
                <w:lang w:eastAsia="zh-CN"/>
              </w:rPr>
            </w:pPr>
            <w:r w:rsidRPr="00B35AFA">
              <w:rPr>
                <w:rFonts w:cs="Arial"/>
                <w:b/>
                <w:bCs/>
                <w:sz w:val="16"/>
                <w:szCs w:val="16"/>
              </w:rPr>
              <w:t>Baselines</w:t>
            </w:r>
          </w:p>
        </w:tc>
        <w:tc>
          <w:tcPr>
            <w:tcW w:w="666" w:type="pct"/>
            <w:gridSpan w:val="3"/>
            <w:tcBorders>
              <w:top w:val="single" w:sz="4" w:space="0" w:color="auto"/>
              <w:left w:val="nil"/>
              <w:bottom w:val="nil"/>
              <w:right w:val="nil"/>
            </w:tcBorders>
            <w:shd w:val="clear" w:color="auto" w:fill="auto"/>
            <w:tcMar>
              <w:top w:w="110" w:type="dxa"/>
            </w:tcMar>
          </w:tcPr>
          <w:p w:rsidR="00805A5E" w:rsidRPr="00B35AFA" w:rsidRDefault="00805A5E" w:rsidP="00547ACE">
            <w:pPr>
              <w:keepNext/>
              <w:keepLines/>
              <w:rPr>
                <w:rFonts w:eastAsia="SimSun" w:cs="Arial"/>
                <w:b/>
                <w:sz w:val="16"/>
                <w:szCs w:val="16"/>
                <w:lang w:eastAsia="zh-CN"/>
              </w:rPr>
            </w:pPr>
            <w:r w:rsidRPr="00B35AFA">
              <w:rPr>
                <w:rFonts w:cs="Arial"/>
                <w:b/>
                <w:sz w:val="16"/>
                <w:szCs w:val="16"/>
              </w:rPr>
              <w:t>Targets</w:t>
            </w:r>
          </w:p>
        </w:tc>
        <w:tc>
          <w:tcPr>
            <w:tcW w:w="1475" w:type="pct"/>
            <w:gridSpan w:val="2"/>
            <w:tcBorders>
              <w:top w:val="single" w:sz="4" w:space="0" w:color="auto"/>
              <w:left w:val="nil"/>
              <w:bottom w:val="nil"/>
              <w:right w:val="nil"/>
            </w:tcBorders>
            <w:shd w:val="clear" w:color="auto" w:fill="FFFFFF"/>
            <w:tcMar>
              <w:top w:w="110" w:type="dxa"/>
            </w:tcMar>
          </w:tcPr>
          <w:p w:rsidR="00805A5E" w:rsidRPr="00B35AFA" w:rsidRDefault="00805A5E" w:rsidP="00547ACE">
            <w:pPr>
              <w:keepNext/>
              <w:keepLines/>
              <w:rPr>
                <w:rFonts w:eastAsia="SimSun" w:cs="Arial"/>
                <w:sz w:val="16"/>
                <w:szCs w:val="16"/>
                <w:lang w:eastAsia="zh-CN"/>
              </w:rPr>
            </w:pPr>
            <w:r w:rsidRPr="00B35AFA">
              <w:rPr>
                <w:rFonts w:eastAsia="SimSun" w:cs="Arial"/>
                <w:b/>
                <w:bCs/>
                <w:sz w:val="16"/>
                <w:szCs w:val="16"/>
                <w:lang w:eastAsia="zh-CN"/>
              </w:rPr>
              <w:t>Performance Data</w:t>
            </w:r>
          </w:p>
        </w:tc>
        <w:tc>
          <w:tcPr>
            <w:tcW w:w="588" w:type="pct"/>
            <w:gridSpan w:val="6"/>
            <w:tcBorders>
              <w:top w:val="single" w:sz="4" w:space="0" w:color="auto"/>
              <w:left w:val="nil"/>
              <w:bottom w:val="nil"/>
              <w:right w:val="single" w:sz="4" w:space="0" w:color="auto"/>
            </w:tcBorders>
            <w:shd w:val="clear" w:color="auto" w:fill="auto"/>
            <w:tcMar>
              <w:top w:w="110" w:type="dxa"/>
            </w:tcMar>
          </w:tcPr>
          <w:p w:rsidR="00805A5E" w:rsidRPr="000D3F45" w:rsidRDefault="00805A5E" w:rsidP="00547ACE">
            <w:pPr>
              <w:keepNext/>
              <w:keepLines/>
              <w:ind w:right="20" w:hanging="71"/>
              <w:jc w:val="center"/>
              <w:rPr>
                <w:rFonts w:eastAsia="SimSun" w:cs="Arial"/>
                <w:b/>
                <w:bCs/>
                <w:color w:val="008000"/>
                <w:sz w:val="16"/>
                <w:szCs w:val="16"/>
                <w:lang w:eastAsia="zh-CN"/>
              </w:rPr>
            </w:pPr>
            <w:r w:rsidRPr="000D3F45">
              <w:rPr>
                <w:rFonts w:eastAsia="SimSun" w:cs="Arial"/>
                <w:b/>
                <w:bCs/>
                <w:sz w:val="16"/>
                <w:szCs w:val="16"/>
                <w:lang w:eastAsia="zh-CN"/>
              </w:rPr>
              <w:t>TLS</w:t>
            </w:r>
          </w:p>
        </w:tc>
      </w:tr>
      <w:tr w:rsidR="00805A5E" w:rsidRPr="00B35AFA" w:rsidTr="00547ACE">
        <w:tc>
          <w:tcPr>
            <w:tcW w:w="1114" w:type="pct"/>
            <w:tcBorders>
              <w:top w:val="nil"/>
              <w:left w:val="single" w:sz="4" w:space="0" w:color="auto"/>
              <w:bottom w:val="nil"/>
              <w:right w:val="nil"/>
            </w:tcBorders>
            <w:shd w:val="clear" w:color="auto" w:fill="auto"/>
          </w:tcPr>
          <w:p w:rsidR="00805A5E" w:rsidRPr="00B35AFA" w:rsidRDefault="00805A5E" w:rsidP="00547ACE">
            <w:pPr>
              <w:rPr>
                <w:rFonts w:eastAsia="SimSun" w:cs="Arial"/>
                <w:color w:val="000000"/>
                <w:sz w:val="16"/>
                <w:szCs w:val="16"/>
                <w:lang w:eastAsia="zh-CN"/>
              </w:rPr>
            </w:pPr>
            <w:r w:rsidRPr="005D70E0">
              <w:rPr>
                <w:rFonts w:eastAsia="SimSun" w:cs="Arial"/>
                <w:color w:val="000000"/>
                <w:sz w:val="16"/>
                <w:szCs w:val="16"/>
                <w:lang w:eastAsia="zh-CN"/>
              </w:rPr>
              <w:t>No. of countries that have formulated and/or are engaged in policies outlining their accession to the Madrid Protocol</w:t>
            </w:r>
          </w:p>
        </w:tc>
        <w:tc>
          <w:tcPr>
            <w:tcW w:w="1157" w:type="pct"/>
            <w:gridSpan w:val="5"/>
            <w:tcBorders>
              <w:top w:val="nil"/>
              <w:left w:val="nil"/>
              <w:bottom w:val="nil"/>
              <w:right w:val="nil"/>
            </w:tcBorders>
            <w:shd w:val="clear" w:color="auto" w:fill="auto"/>
          </w:tcPr>
          <w:p w:rsidR="00805A5E" w:rsidRPr="00B35AFA" w:rsidRDefault="00805A5E" w:rsidP="00547ACE">
            <w:pPr>
              <w:keepNext/>
              <w:keepLines/>
              <w:rPr>
                <w:rFonts w:eastAsia="SimSun" w:cs="Arial"/>
                <w:color w:val="000000"/>
                <w:sz w:val="16"/>
                <w:szCs w:val="16"/>
                <w:lang w:eastAsia="zh-CN"/>
              </w:rPr>
            </w:pPr>
            <w:r w:rsidRPr="005D70E0">
              <w:rPr>
                <w:rFonts w:cs="Arial"/>
                <w:sz w:val="16"/>
                <w:szCs w:val="16"/>
              </w:rPr>
              <w:t>n/a (WSO)</w:t>
            </w:r>
          </w:p>
        </w:tc>
        <w:tc>
          <w:tcPr>
            <w:tcW w:w="666" w:type="pct"/>
            <w:gridSpan w:val="3"/>
            <w:tcBorders>
              <w:top w:val="nil"/>
              <w:left w:val="nil"/>
              <w:bottom w:val="nil"/>
              <w:right w:val="nil"/>
            </w:tcBorders>
            <w:shd w:val="clear" w:color="auto" w:fill="auto"/>
            <w:tcMar>
              <w:top w:w="110" w:type="dxa"/>
            </w:tcMar>
          </w:tcPr>
          <w:p w:rsidR="00805A5E" w:rsidRPr="00B35AFA" w:rsidRDefault="00805A5E" w:rsidP="00547ACE">
            <w:pPr>
              <w:keepNext/>
              <w:keepLines/>
              <w:rPr>
                <w:rFonts w:eastAsia="SimSun" w:cs="Arial"/>
                <w:sz w:val="16"/>
                <w:szCs w:val="16"/>
                <w:lang w:eastAsia="zh-CN"/>
              </w:rPr>
            </w:pPr>
            <w:r w:rsidRPr="005D70E0">
              <w:rPr>
                <w:rFonts w:eastAsia="SimSun" w:cs="Arial"/>
                <w:sz w:val="16"/>
                <w:szCs w:val="16"/>
                <w:lang w:eastAsia="zh-CN"/>
              </w:rPr>
              <w:t>6 ASEAN Member States (WSO)</w:t>
            </w:r>
          </w:p>
        </w:tc>
        <w:tc>
          <w:tcPr>
            <w:tcW w:w="1475" w:type="pct"/>
            <w:gridSpan w:val="2"/>
            <w:tcBorders>
              <w:top w:val="nil"/>
              <w:left w:val="nil"/>
              <w:bottom w:val="nil"/>
              <w:right w:val="nil"/>
            </w:tcBorders>
            <w:shd w:val="clear" w:color="auto" w:fill="FFFFFF"/>
            <w:tcMar>
              <w:top w:w="110" w:type="dxa"/>
            </w:tcMar>
          </w:tcPr>
          <w:p w:rsidR="00805A5E" w:rsidRPr="00B35AFA" w:rsidRDefault="00805A5E" w:rsidP="00547ACE">
            <w:pPr>
              <w:keepNext/>
              <w:keepLines/>
              <w:tabs>
                <w:tab w:val="right" w:pos="2582"/>
              </w:tabs>
              <w:rPr>
                <w:rFonts w:eastAsia="SimSun" w:cs="Arial"/>
                <w:sz w:val="16"/>
                <w:szCs w:val="16"/>
                <w:lang w:eastAsia="zh-CN"/>
              </w:rPr>
            </w:pPr>
            <w:r>
              <w:rPr>
                <w:rFonts w:eastAsia="SimSun" w:cs="Arial"/>
                <w:sz w:val="16"/>
                <w:szCs w:val="16"/>
                <w:lang w:eastAsia="zh-CN"/>
              </w:rPr>
              <w:t>6 ASEAN Member States (</w:t>
            </w:r>
            <w:r w:rsidRPr="008E272B">
              <w:rPr>
                <w:rFonts w:eastAsia="SimSun" w:cs="Arial"/>
                <w:sz w:val="16"/>
                <w:szCs w:val="16"/>
                <w:lang w:eastAsia="zh-CN"/>
              </w:rPr>
              <w:t xml:space="preserve">Brunei Darussalam, </w:t>
            </w:r>
            <w:r>
              <w:rPr>
                <w:rFonts w:eastAsia="SimSun" w:cs="Arial"/>
                <w:sz w:val="16"/>
                <w:szCs w:val="16"/>
                <w:lang w:eastAsia="zh-CN"/>
              </w:rPr>
              <w:t xml:space="preserve">Cambodia, </w:t>
            </w:r>
            <w:r w:rsidRPr="008E272B">
              <w:rPr>
                <w:rFonts w:eastAsia="SimSun" w:cs="Arial"/>
                <w:sz w:val="16"/>
                <w:szCs w:val="16"/>
                <w:lang w:eastAsia="zh-CN"/>
              </w:rPr>
              <w:t>Indonesia, Lao P</w:t>
            </w:r>
            <w:r>
              <w:rPr>
                <w:rFonts w:eastAsia="SimSun" w:cs="Arial"/>
                <w:sz w:val="16"/>
                <w:szCs w:val="16"/>
                <w:lang w:eastAsia="zh-CN"/>
              </w:rPr>
              <w:t>eople’s Democratic Republic</w:t>
            </w:r>
            <w:r w:rsidRPr="008E272B">
              <w:rPr>
                <w:rFonts w:eastAsia="SimSun" w:cs="Arial"/>
                <w:sz w:val="16"/>
                <w:szCs w:val="16"/>
                <w:lang w:eastAsia="zh-CN"/>
              </w:rPr>
              <w:t>, Malaysia, Thailand</w:t>
            </w:r>
            <w:r>
              <w:rPr>
                <w:rFonts w:eastAsia="SimSun" w:cs="Arial"/>
                <w:sz w:val="16"/>
                <w:szCs w:val="16"/>
                <w:lang w:eastAsia="zh-CN"/>
              </w:rPr>
              <w:t>) (WSO)</w:t>
            </w:r>
            <w:r>
              <w:rPr>
                <w:rFonts w:eastAsia="SimSun" w:cs="Arial"/>
                <w:sz w:val="16"/>
                <w:szCs w:val="16"/>
                <w:lang w:eastAsia="zh-CN"/>
              </w:rPr>
              <w:tab/>
            </w:r>
          </w:p>
        </w:tc>
        <w:tc>
          <w:tcPr>
            <w:tcW w:w="588" w:type="pct"/>
            <w:gridSpan w:val="6"/>
            <w:tcBorders>
              <w:top w:val="nil"/>
              <w:left w:val="nil"/>
              <w:bottom w:val="nil"/>
              <w:right w:val="single" w:sz="4" w:space="0" w:color="auto"/>
            </w:tcBorders>
            <w:shd w:val="clear" w:color="auto" w:fill="auto"/>
            <w:tcMar>
              <w:top w:w="110" w:type="dxa"/>
            </w:tcMar>
          </w:tcPr>
          <w:p w:rsidR="00805A5E" w:rsidRPr="000D3F45" w:rsidRDefault="00805A5E" w:rsidP="00547ACE">
            <w:pPr>
              <w:keepNext/>
              <w:keepLines/>
              <w:ind w:right="20" w:hanging="71"/>
              <w:jc w:val="center"/>
              <w:rPr>
                <w:rFonts w:eastAsia="SimSun" w:cs="Arial"/>
                <w:b/>
                <w:bCs/>
                <w:color w:val="808080"/>
                <w:sz w:val="16"/>
                <w:szCs w:val="16"/>
                <w:lang w:eastAsia="zh-CN"/>
              </w:rPr>
            </w:pPr>
            <w:r w:rsidRPr="00FF28A3">
              <w:rPr>
                <w:rFonts w:eastAsia="SimSun" w:cs="Arial"/>
                <w:b/>
                <w:bCs/>
                <w:color w:val="00B050"/>
                <w:sz w:val="16"/>
                <w:szCs w:val="16"/>
                <w:lang w:eastAsia="zh-CN"/>
              </w:rPr>
              <w:t>Fully Achieved</w:t>
            </w:r>
          </w:p>
        </w:tc>
      </w:tr>
      <w:tr w:rsidR="00805A5E" w:rsidRPr="00B35AFA" w:rsidTr="00547ACE">
        <w:trPr>
          <w:trHeight w:val="1195"/>
        </w:trPr>
        <w:tc>
          <w:tcPr>
            <w:tcW w:w="1114" w:type="pct"/>
            <w:tcBorders>
              <w:top w:val="nil"/>
              <w:left w:val="single" w:sz="4" w:space="0" w:color="auto"/>
              <w:bottom w:val="nil"/>
              <w:right w:val="nil"/>
            </w:tcBorders>
            <w:shd w:val="clear" w:color="auto" w:fill="auto"/>
          </w:tcPr>
          <w:p w:rsidR="00805A5E" w:rsidRDefault="00805A5E" w:rsidP="00547ACE">
            <w:pPr>
              <w:keepNext/>
              <w:keepLines/>
              <w:rPr>
                <w:rFonts w:eastAsia="SimSun" w:cs="Arial"/>
                <w:color w:val="000000"/>
                <w:sz w:val="16"/>
                <w:szCs w:val="16"/>
                <w:lang w:eastAsia="zh-CN"/>
              </w:rPr>
            </w:pPr>
            <w:r w:rsidRPr="005D70E0">
              <w:rPr>
                <w:rFonts w:eastAsia="SimSun" w:cs="Arial"/>
                <w:color w:val="000000"/>
                <w:sz w:val="16"/>
                <w:szCs w:val="16"/>
                <w:lang w:eastAsia="zh-CN"/>
              </w:rPr>
              <w:t>% of satisfied participants in targeted workshops/seminars held on Madrid related topics</w:t>
            </w:r>
          </w:p>
        </w:tc>
        <w:tc>
          <w:tcPr>
            <w:tcW w:w="1157" w:type="pct"/>
            <w:gridSpan w:val="5"/>
            <w:tcBorders>
              <w:top w:val="nil"/>
              <w:left w:val="nil"/>
              <w:bottom w:val="nil"/>
              <w:right w:val="nil"/>
            </w:tcBorders>
            <w:shd w:val="clear" w:color="auto" w:fill="auto"/>
          </w:tcPr>
          <w:p w:rsidR="00805A5E" w:rsidRPr="00B35AFA" w:rsidRDefault="00805A5E" w:rsidP="00547ACE">
            <w:pPr>
              <w:keepNext/>
              <w:keepLines/>
              <w:rPr>
                <w:rFonts w:cs="Arial"/>
                <w:i/>
                <w:color w:val="002060"/>
                <w:sz w:val="16"/>
                <w:szCs w:val="16"/>
              </w:rPr>
            </w:pPr>
            <w:r>
              <w:rPr>
                <w:rFonts w:cs="Arial"/>
                <w:i/>
                <w:color w:val="002060"/>
                <w:sz w:val="16"/>
                <w:szCs w:val="16"/>
              </w:rPr>
              <w:t>Updated Baseline end 2013</w:t>
            </w:r>
            <w:r w:rsidRPr="00B35AFA">
              <w:rPr>
                <w:rFonts w:cs="Arial"/>
                <w:i/>
                <w:color w:val="002060"/>
                <w:sz w:val="16"/>
                <w:szCs w:val="16"/>
              </w:rPr>
              <w:t xml:space="preserve">:  </w:t>
            </w:r>
          </w:p>
          <w:p w:rsidR="00805A5E" w:rsidRDefault="00805A5E" w:rsidP="00547ACE">
            <w:pPr>
              <w:keepNext/>
              <w:keepLines/>
              <w:rPr>
                <w:rFonts w:cs="Arial"/>
                <w:sz w:val="16"/>
                <w:szCs w:val="16"/>
              </w:rPr>
            </w:pPr>
            <w:r>
              <w:rPr>
                <w:rFonts w:cs="Arial"/>
                <w:i/>
                <w:sz w:val="16"/>
                <w:szCs w:val="16"/>
              </w:rPr>
              <w:t>Original Baseline P&amp;B 2014/15</w:t>
            </w:r>
            <w:r w:rsidRPr="00B35AFA">
              <w:rPr>
                <w:rFonts w:cs="Arial"/>
                <w:i/>
                <w:sz w:val="16"/>
                <w:szCs w:val="16"/>
              </w:rPr>
              <w:t>:</w:t>
            </w:r>
            <w:r w:rsidRPr="00B35AFA">
              <w:rPr>
                <w:rFonts w:cs="Arial"/>
                <w:sz w:val="16"/>
                <w:szCs w:val="16"/>
              </w:rPr>
              <w:t xml:space="preserve">  </w:t>
            </w:r>
          </w:p>
          <w:p w:rsidR="00805A5E" w:rsidRDefault="00805A5E" w:rsidP="00547ACE">
            <w:pPr>
              <w:keepNext/>
              <w:keepLines/>
              <w:rPr>
                <w:rFonts w:eastAsia="SimSun" w:cs="Arial"/>
                <w:color w:val="000000"/>
                <w:sz w:val="16"/>
                <w:szCs w:val="16"/>
                <w:lang w:eastAsia="zh-CN"/>
              </w:rPr>
            </w:pPr>
            <w:r w:rsidRPr="005D70E0">
              <w:rPr>
                <w:rFonts w:eastAsia="SimSun" w:cs="Arial"/>
                <w:color w:val="000000"/>
                <w:sz w:val="16"/>
                <w:szCs w:val="16"/>
                <w:lang w:eastAsia="zh-CN"/>
              </w:rPr>
              <w:t>65% (WBO)</w:t>
            </w:r>
          </w:p>
          <w:p w:rsidR="00805A5E" w:rsidRDefault="00805A5E" w:rsidP="00547ACE">
            <w:pPr>
              <w:keepNext/>
              <w:keepLines/>
              <w:rPr>
                <w:rFonts w:cs="Arial"/>
                <w:i/>
                <w:color w:val="002060"/>
                <w:sz w:val="16"/>
                <w:szCs w:val="16"/>
              </w:rPr>
            </w:pPr>
            <w:r w:rsidRPr="005D70E0">
              <w:rPr>
                <w:rFonts w:eastAsia="SimSun" w:cs="Arial"/>
                <w:color w:val="000000"/>
                <w:sz w:val="16"/>
                <w:szCs w:val="16"/>
                <w:lang w:eastAsia="zh-CN"/>
              </w:rPr>
              <w:t>65% (WSO)</w:t>
            </w:r>
          </w:p>
        </w:tc>
        <w:tc>
          <w:tcPr>
            <w:tcW w:w="666" w:type="pct"/>
            <w:gridSpan w:val="3"/>
            <w:tcBorders>
              <w:top w:val="nil"/>
              <w:left w:val="nil"/>
              <w:bottom w:val="nil"/>
              <w:right w:val="nil"/>
            </w:tcBorders>
            <w:shd w:val="clear" w:color="auto" w:fill="auto"/>
            <w:tcMar>
              <w:top w:w="110" w:type="dxa"/>
            </w:tcMar>
          </w:tcPr>
          <w:p w:rsidR="00805A5E" w:rsidRDefault="00805A5E" w:rsidP="00547ACE">
            <w:pPr>
              <w:keepNext/>
              <w:keepLines/>
              <w:rPr>
                <w:rFonts w:eastAsia="SimSun" w:cs="Arial"/>
                <w:sz w:val="16"/>
                <w:szCs w:val="16"/>
                <w:lang w:eastAsia="zh-CN"/>
              </w:rPr>
            </w:pPr>
            <w:r w:rsidRPr="005D70E0">
              <w:rPr>
                <w:rFonts w:eastAsia="SimSun" w:cs="Arial"/>
                <w:sz w:val="16"/>
                <w:szCs w:val="16"/>
                <w:lang w:eastAsia="zh-CN"/>
              </w:rPr>
              <w:t>&gt; 75% (WBO)</w:t>
            </w:r>
          </w:p>
          <w:p w:rsidR="00805A5E" w:rsidRPr="005D70E0" w:rsidRDefault="00805A5E" w:rsidP="00547ACE">
            <w:pPr>
              <w:keepNext/>
              <w:keepLines/>
              <w:rPr>
                <w:rFonts w:eastAsia="SimSun" w:cs="Arial"/>
                <w:sz w:val="16"/>
                <w:szCs w:val="16"/>
                <w:lang w:eastAsia="zh-CN"/>
              </w:rPr>
            </w:pPr>
            <w:r w:rsidRPr="005D70E0">
              <w:rPr>
                <w:rFonts w:eastAsia="SimSun" w:cs="Arial"/>
                <w:sz w:val="16"/>
                <w:szCs w:val="16"/>
                <w:lang w:eastAsia="zh-CN"/>
              </w:rPr>
              <w:t>&gt; 75% (WSO)</w:t>
            </w:r>
          </w:p>
        </w:tc>
        <w:tc>
          <w:tcPr>
            <w:tcW w:w="1475" w:type="pct"/>
            <w:gridSpan w:val="2"/>
            <w:tcBorders>
              <w:top w:val="nil"/>
              <w:left w:val="nil"/>
              <w:bottom w:val="nil"/>
              <w:right w:val="nil"/>
            </w:tcBorders>
            <w:shd w:val="clear" w:color="auto" w:fill="FFFFFF"/>
            <w:tcMar>
              <w:top w:w="110" w:type="dxa"/>
            </w:tcMar>
          </w:tcPr>
          <w:p w:rsidR="00805A5E" w:rsidRDefault="00805A5E" w:rsidP="00547ACE">
            <w:pPr>
              <w:keepNext/>
              <w:keepLines/>
              <w:rPr>
                <w:rFonts w:eastAsia="SimSun" w:cs="Arial"/>
                <w:sz w:val="16"/>
                <w:szCs w:val="16"/>
                <w:lang w:eastAsia="zh-CN"/>
              </w:rPr>
            </w:pPr>
            <w:r>
              <w:rPr>
                <w:rFonts w:eastAsia="SimSun" w:cs="Arial"/>
                <w:sz w:val="16"/>
                <w:szCs w:val="16"/>
                <w:lang w:eastAsia="zh-CN"/>
              </w:rPr>
              <w:t>No Madrid-related workshops/seminars were held in Brazil during the  biennium (WBO)</w:t>
            </w:r>
          </w:p>
          <w:p w:rsidR="00805A5E" w:rsidRDefault="00805A5E" w:rsidP="00547ACE">
            <w:pPr>
              <w:keepNext/>
              <w:keepLines/>
              <w:rPr>
                <w:rFonts w:eastAsia="SimSun" w:cs="Arial"/>
                <w:sz w:val="16"/>
                <w:szCs w:val="16"/>
                <w:lang w:eastAsia="zh-CN"/>
              </w:rPr>
            </w:pPr>
          </w:p>
          <w:p w:rsidR="00805A5E" w:rsidRDefault="00805A5E" w:rsidP="00547ACE">
            <w:pPr>
              <w:keepNext/>
              <w:keepLines/>
              <w:rPr>
                <w:rFonts w:eastAsia="SimSun" w:cs="Arial"/>
                <w:sz w:val="16"/>
                <w:szCs w:val="16"/>
                <w:lang w:eastAsia="zh-CN"/>
              </w:rPr>
            </w:pPr>
            <w:r>
              <w:rPr>
                <w:rFonts w:eastAsia="SimSun" w:cs="Arial"/>
                <w:sz w:val="16"/>
                <w:szCs w:val="16"/>
                <w:lang w:eastAsia="zh-CN"/>
              </w:rPr>
              <w:t>86% (WSO)</w:t>
            </w:r>
          </w:p>
        </w:tc>
        <w:tc>
          <w:tcPr>
            <w:tcW w:w="588" w:type="pct"/>
            <w:gridSpan w:val="6"/>
            <w:tcBorders>
              <w:top w:val="nil"/>
              <w:left w:val="nil"/>
              <w:bottom w:val="nil"/>
              <w:right w:val="single" w:sz="4" w:space="0" w:color="auto"/>
            </w:tcBorders>
            <w:shd w:val="clear" w:color="auto" w:fill="auto"/>
            <w:tcMar>
              <w:top w:w="110" w:type="dxa"/>
            </w:tcMar>
          </w:tcPr>
          <w:p w:rsidR="00805A5E" w:rsidRPr="00FF28A3" w:rsidRDefault="00805A5E" w:rsidP="00547ACE">
            <w:pPr>
              <w:keepNext/>
              <w:keepLines/>
              <w:ind w:right="20" w:hanging="71"/>
              <w:jc w:val="center"/>
              <w:rPr>
                <w:rFonts w:eastAsia="SimSun" w:cs="Arial"/>
                <w:b/>
                <w:bCs/>
                <w:color w:val="00B050"/>
                <w:sz w:val="16"/>
                <w:szCs w:val="16"/>
                <w:lang w:eastAsia="zh-CN"/>
              </w:rPr>
            </w:pPr>
            <w:r w:rsidRPr="00FF28A3">
              <w:rPr>
                <w:rFonts w:eastAsia="SimSun" w:cs="Arial"/>
                <w:b/>
                <w:color w:val="FF0000"/>
                <w:sz w:val="16"/>
                <w:szCs w:val="16"/>
                <w:lang w:eastAsia="zh-CN"/>
              </w:rPr>
              <w:t>Not Achieved</w:t>
            </w:r>
          </w:p>
          <w:p w:rsidR="00805A5E" w:rsidRDefault="00805A5E" w:rsidP="00547ACE">
            <w:pPr>
              <w:keepNext/>
              <w:keepLines/>
              <w:ind w:right="20" w:hanging="71"/>
              <w:rPr>
                <w:rFonts w:eastAsia="SimSun" w:cs="Arial"/>
                <w:b/>
                <w:bCs/>
                <w:color w:val="00B050"/>
                <w:sz w:val="16"/>
                <w:szCs w:val="16"/>
                <w:lang w:eastAsia="zh-CN"/>
              </w:rPr>
            </w:pPr>
          </w:p>
          <w:p w:rsidR="00805A5E" w:rsidRPr="00FF28A3" w:rsidRDefault="00805A5E" w:rsidP="00547ACE">
            <w:pPr>
              <w:keepNext/>
              <w:keepLines/>
              <w:ind w:right="20" w:hanging="71"/>
              <w:rPr>
                <w:rFonts w:eastAsia="SimSun" w:cs="Arial"/>
                <w:b/>
                <w:bCs/>
                <w:color w:val="00B050"/>
                <w:sz w:val="16"/>
                <w:szCs w:val="16"/>
                <w:lang w:eastAsia="zh-CN"/>
              </w:rPr>
            </w:pPr>
          </w:p>
          <w:p w:rsidR="00805A5E" w:rsidRPr="00FF28A3" w:rsidRDefault="00805A5E" w:rsidP="00547ACE">
            <w:pPr>
              <w:keepNext/>
              <w:keepLines/>
              <w:ind w:right="20" w:hanging="71"/>
              <w:jc w:val="center"/>
              <w:rPr>
                <w:rFonts w:eastAsia="SimSun" w:cs="Arial"/>
                <w:b/>
                <w:bCs/>
                <w:color w:val="00B050"/>
                <w:sz w:val="16"/>
                <w:szCs w:val="16"/>
                <w:lang w:eastAsia="zh-CN"/>
              </w:rPr>
            </w:pPr>
            <w:r w:rsidRPr="00FF28A3">
              <w:rPr>
                <w:rFonts w:eastAsia="SimSun" w:cs="Arial"/>
                <w:b/>
                <w:bCs/>
                <w:color w:val="00B050"/>
                <w:sz w:val="16"/>
                <w:szCs w:val="16"/>
                <w:lang w:eastAsia="zh-CN"/>
              </w:rPr>
              <w:t>Fully Achieved</w:t>
            </w:r>
          </w:p>
          <w:p w:rsidR="00805A5E" w:rsidRPr="000D3F45" w:rsidRDefault="00805A5E" w:rsidP="00547ACE">
            <w:pPr>
              <w:keepNext/>
              <w:keepLines/>
              <w:ind w:right="20" w:hanging="71"/>
              <w:jc w:val="center"/>
              <w:rPr>
                <w:rFonts w:eastAsia="SimSun" w:cs="Arial"/>
                <w:b/>
                <w:bCs/>
                <w:color w:val="00B050"/>
                <w:sz w:val="16"/>
                <w:szCs w:val="16"/>
                <w:lang w:eastAsia="zh-CN"/>
              </w:rPr>
            </w:pPr>
          </w:p>
        </w:tc>
      </w:tr>
      <w:tr w:rsidR="00805A5E" w:rsidRPr="00B35AFA" w:rsidTr="00547ACE">
        <w:tc>
          <w:tcPr>
            <w:tcW w:w="1114" w:type="pct"/>
            <w:tcBorders>
              <w:top w:val="nil"/>
              <w:left w:val="single" w:sz="4" w:space="0" w:color="auto"/>
              <w:bottom w:val="nil"/>
              <w:right w:val="nil"/>
            </w:tcBorders>
            <w:shd w:val="clear" w:color="auto" w:fill="auto"/>
          </w:tcPr>
          <w:p w:rsidR="00805A5E" w:rsidRDefault="00805A5E" w:rsidP="00547ACE">
            <w:pPr>
              <w:rPr>
                <w:rFonts w:eastAsia="SimSun" w:cs="Arial"/>
                <w:color w:val="000000"/>
                <w:sz w:val="16"/>
                <w:szCs w:val="16"/>
                <w:lang w:eastAsia="zh-CN"/>
              </w:rPr>
            </w:pPr>
            <w:r w:rsidRPr="005D70E0">
              <w:rPr>
                <w:rFonts w:eastAsia="SimSun" w:cs="Arial"/>
                <w:color w:val="000000"/>
                <w:sz w:val="16"/>
                <w:szCs w:val="16"/>
                <w:lang w:eastAsia="zh-CN"/>
              </w:rPr>
              <w:t>No. of Contracting Parties to the Madrid Protocol</w:t>
            </w:r>
          </w:p>
        </w:tc>
        <w:tc>
          <w:tcPr>
            <w:tcW w:w="1157" w:type="pct"/>
            <w:gridSpan w:val="5"/>
            <w:tcBorders>
              <w:top w:val="nil"/>
              <w:left w:val="nil"/>
              <w:bottom w:val="nil"/>
              <w:right w:val="nil"/>
            </w:tcBorders>
            <w:shd w:val="clear" w:color="auto" w:fill="auto"/>
          </w:tcPr>
          <w:p w:rsidR="00805A5E" w:rsidRDefault="00805A5E" w:rsidP="00547ACE">
            <w:pPr>
              <w:rPr>
                <w:rFonts w:cs="Arial"/>
                <w:color w:val="002060"/>
                <w:sz w:val="16"/>
                <w:szCs w:val="16"/>
              </w:rPr>
            </w:pPr>
            <w:r>
              <w:rPr>
                <w:rFonts w:cs="Arial"/>
                <w:i/>
                <w:color w:val="002060"/>
                <w:sz w:val="16"/>
                <w:szCs w:val="16"/>
              </w:rPr>
              <w:t>Updated Baseline end 2013</w:t>
            </w:r>
            <w:r w:rsidRPr="00B35AFA">
              <w:rPr>
                <w:rFonts w:cs="Arial"/>
                <w:i/>
                <w:color w:val="002060"/>
                <w:sz w:val="16"/>
                <w:szCs w:val="16"/>
              </w:rPr>
              <w:t xml:space="preserve">:  </w:t>
            </w:r>
            <w:r w:rsidRPr="00B557D2">
              <w:rPr>
                <w:rFonts w:cs="Arial"/>
                <w:color w:val="002060"/>
                <w:sz w:val="16"/>
                <w:szCs w:val="16"/>
              </w:rPr>
              <w:t xml:space="preserve">3 </w:t>
            </w:r>
            <w:r>
              <w:rPr>
                <w:rFonts w:cs="Arial"/>
                <w:color w:val="002060"/>
                <w:sz w:val="16"/>
                <w:szCs w:val="16"/>
              </w:rPr>
              <w:t xml:space="preserve">(Philippines, Singapore, Viet Nam) </w:t>
            </w:r>
            <w:r w:rsidRPr="00B557D2">
              <w:rPr>
                <w:rFonts w:cs="Arial"/>
                <w:color w:val="002060"/>
                <w:sz w:val="16"/>
                <w:szCs w:val="16"/>
              </w:rPr>
              <w:t>(WSO)</w:t>
            </w:r>
          </w:p>
          <w:p w:rsidR="00805A5E" w:rsidRDefault="00805A5E" w:rsidP="00547ACE">
            <w:pPr>
              <w:rPr>
                <w:rFonts w:cs="Arial"/>
                <w:i/>
                <w:color w:val="002060"/>
                <w:sz w:val="16"/>
                <w:szCs w:val="16"/>
              </w:rPr>
            </w:pPr>
            <w:r>
              <w:rPr>
                <w:rFonts w:cs="Arial"/>
                <w:i/>
                <w:sz w:val="16"/>
                <w:szCs w:val="16"/>
              </w:rPr>
              <w:t>Original Baseline P&amp;B 2014/15</w:t>
            </w:r>
            <w:r w:rsidRPr="00B35AFA">
              <w:rPr>
                <w:rFonts w:cs="Arial"/>
                <w:i/>
                <w:sz w:val="16"/>
                <w:szCs w:val="16"/>
              </w:rPr>
              <w:t>:</w:t>
            </w:r>
            <w:r w:rsidRPr="00B35AFA">
              <w:rPr>
                <w:rFonts w:cs="Arial"/>
                <w:sz w:val="16"/>
                <w:szCs w:val="16"/>
              </w:rPr>
              <w:t xml:space="preserve">  </w:t>
            </w:r>
            <w:r w:rsidRPr="005D70E0">
              <w:rPr>
                <w:rFonts w:cs="Arial"/>
                <w:sz w:val="16"/>
                <w:szCs w:val="16"/>
              </w:rPr>
              <w:t>3 (WSO)</w:t>
            </w:r>
          </w:p>
        </w:tc>
        <w:tc>
          <w:tcPr>
            <w:tcW w:w="666" w:type="pct"/>
            <w:gridSpan w:val="3"/>
            <w:tcBorders>
              <w:top w:val="nil"/>
              <w:left w:val="nil"/>
              <w:bottom w:val="nil"/>
              <w:right w:val="nil"/>
            </w:tcBorders>
            <w:shd w:val="clear" w:color="auto" w:fill="auto"/>
            <w:tcMar>
              <w:top w:w="110" w:type="dxa"/>
            </w:tcMar>
          </w:tcPr>
          <w:p w:rsidR="00805A5E" w:rsidRPr="005D70E0" w:rsidRDefault="00805A5E" w:rsidP="00547ACE">
            <w:pPr>
              <w:rPr>
                <w:rFonts w:eastAsia="SimSun" w:cs="Arial"/>
                <w:sz w:val="16"/>
                <w:szCs w:val="16"/>
                <w:lang w:eastAsia="zh-CN"/>
              </w:rPr>
            </w:pPr>
            <w:r w:rsidRPr="005D70E0">
              <w:rPr>
                <w:rFonts w:eastAsia="SimSun" w:cs="Arial"/>
                <w:sz w:val="16"/>
                <w:szCs w:val="16"/>
                <w:lang w:eastAsia="zh-CN"/>
              </w:rPr>
              <w:t>10 (WSO)</w:t>
            </w:r>
          </w:p>
        </w:tc>
        <w:tc>
          <w:tcPr>
            <w:tcW w:w="1475" w:type="pct"/>
            <w:gridSpan w:val="2"/>
            <w:tcBorders>
              <w:top w:val="nil"/>
              <w:left w:val="nil"/>
              <w:bottom w:val="nil"/>
              <w:right w:val="nil"/>
            </w:tcBorders>
            <w:shd w:val="clear" w:color="auto" w:fill="FFFFFF"/>
            <w:tcMar>
              <w:top w:w="110" w:type="dxa"/>
            </w:tcMar>
          </w:tcPr>
          <w:p w:rsidR="00805A5E" w:rsidRDefault="00805A5E" w:rsidP="00547ACE">
            <w:pPr>
              <w:rPr>
                <w:rFonts w:eastAsia="SimSun" w:cs="Arial"/>
                <w:sz w:val="16"/>
                <w:szCs w:val="16"/>
                <w:lang w:eastAsia="zh-CN"/>
              </w:rPr>
            </w:pPr>
            <w:r>
              <w:rPr>
                <w:rFonts w:eastAsia="SimSun" w:cs="Arial"/>
                <w:sz w:val="16"/>
                <w:szCs w:val="16"/>
                <w:lang w:eastAsia="zh-CN"/>
              </w:rPr>
              <w:t>2 additional ASEAN Member States in 2014/15 (Cambodia, Lao Democratic People’s Republic)</w:t>
            </w:r>
          </w:p>
          <w:p w:rsidR="00805A5E" w:rsidRDefault="00805A5E" w:rsidP="00547ACE">
            <w:pPr>
              <w:rPr>
                <w:rFonts w:eastAsia="SimSun" w:cs="Arial"/>
                <w:sz w:val="16"/>
                <w:szCs w:val="16"/>
                <w:lang w:eastAsia="zh-CN"/>
              </w:rPr>
            </w:pPr>
            <w:r>
              <w:rPr>
                <w:rFonts w:eastAsia="SimSun" w:cs="Arial"/>
                <w:sz w:val="16"/>
                <w:szCs w:val="16"/>
                <w:lang w:eastAsia="zh-CN"/>
              </w:rPr>
              <w:t>5 cumulative)</w:t>
            </w:r>
          </w:p>
        </w:tc>
        <w:tc>
          <w:tcPr>
            <w:tcW w:w="588" w:type="pct"/>
            <w:gridSpan w:val="6"/>
            <w:tcBorders>
              <w:top w:val="nil"/>
              <w:left w:val="nil"/>
              <w:bottom w:val="nil"/>
              <w:right w:val="single" w:sz="4" w:space="0" w:color="auto"/>
            </w:tcBorders>
            <w:shd w:val="clear" w:color="auto" w:fill="auto"/>
            <w:tcMar>
              <w:top w:w="110" w:type="dxa"/>
            </w:tcMar>
          </w:tcPr>
          <w:p w:rsidR="00805A5E" w:rsidRPr="00FF28A3" w:rsidRDefault="00805A5E" w:rsidP="00547ACE">
            <w:pPr>
              <w:keepNext/>
              <w:keepLines/>
              <w:ind w:right="20"/>
              <w:jc w:val="center"/>
              <w:rPr>
                <w:rFonts w:eastAsia="SimSun" w:cs="Arial"/>
                <w:b/>
                <w:bCs/>
                <w:color w:val="00B050"/>
                <w:sz w:val="16"/>
                <w:szCs w:val="16"/>
                <w:lang w:eastAsia="zh-CN"/>
              </w:rPr>
            </w:pPr>
            <w:r w:rsidRPr="00FF28A3">
              <w:rPr>
                <w:rFonts w:eastAsia="SimSun" w:cs="Arial"/>
                <w:b/>
                <w:bCs/>
                <w:color w:val="E36C0A" w:themeColor="accent6" w:themeShade="BF"/>
                <w:sz w:val="16"/>
                <w:szCs w:val="16"/>
                <w:lang w:eastAsia="zh-CN"/>
              </w:rPr>
              <w:t>Partially</w:t>
            </w:r>
            <w:r>
              <w:rPr>
                <w:rFonts w:eastAsia="SimSun" w:cs="Arial"/>
                <w:b/>
                <w:bCs/>
                <w:color w:val="E36C0A" w:themeColor="accent6" w:themeShade="BF"/>
                <w:sz w:val="16"/>
                <w:szCs w:val="16"/>
                <w:lang w:eastAsia="zh-CN"/>
              </w:rPr>
              <w:t xml:space="preserve"> </w:t>
            </w:r>
            <w:r w:rsidRPr="00FF28A3">
              <w:rPr>
                <w:rFonts w:eastAsia="SimSun" w:cs="Arial"/>
                <w:b/>
                <w:bCs/>
                <w:color w:val="E36C0A" w:themeColor="accent6" w:themeShade="BF"/>
                <w:sz w:val="16"/>
                <w:szCs w:val="16"/>
                <w:lang w:eastAsia="zh-CN"/>
              </w:rPr>
              <w:t>Achieved</w:t>
            </w:r>
          </w:p>
        </w:tc>
      </w:tr>
      <w:tr w:rsidR="00805A5E" w:rsidRPr="00B35AFA" w:rsidTr="00547ACE">
        <w:tc>
          <w:tcPr>
            <w:tcW w:w="1114" w:type="pct"/>
            <w:tcBorders>
              <w:top w:val="nil"/>
              <w:left w:val="single" w:sz="4" w:space="0" w:color="auto"/>
              <w:bottom w:val="nil"/>
              <w:right w:val="nil"/>
            </w:tcBorders>
            <w:shd w:val="clear" w:color="auto" w:fill="auto"/>
          </w:tcPr>
          <w:p w:rsidR="00805A5E" w:rsidRPr="00B35AFA" w:rsidRDefault="00805A5E" w:rsidP="00547ACE">
            <w:pPr>
              <w:rPr>
                <w:rFonts w:eastAsia="SimSun" w:cs="Arial"/>
                <w:color w:val="000000"/>
                <w:sz w:val="16"/>
                <w:szCs w:val="16"/>
                <w:lang w:eastAsia="zh-CN"/>
              </w:rPr>
            </w:pPr>
            <w:r>
              <w:rPr>
                <w:rFonts w:eastAsia="SimSun" w:cs="Arial"/>
                <w:color w:val="000000"/>
                <w:sz w:val="16"/>
                <w:szCs w:val="16"/>
                <w:lang w:eastAsia="zh-CN"/>
              </w:rPr>
              <w:t>No.</w:t>
            </w:r>
            <w:r w:rsidRPr="005D70E0">
              <w:rPr>
                <w:rFonts w:eastAsia="SimSun" w:cs="Arial"/>
                <w:color w:val="000000"/>
                <w:sz w:val="16"/>
                <w:szCs w:val="16"/>
                <w:lang w:eastAsia="zh-CN"/>
              </w:rPr>
              <w:t xml:space="preserve"> of new registrations (Madrid System)</w:t>
            </w:r>
          </w:p>
        </w:tc>
        <w:tc>
          <w:tcPr>
            <w:tcW w:w="1157" w:type="pct"/>
            <w:gridSpan w:val="5"/>
            <w:tcBorders>
              <w:top w:val="nil"/>
              <w:left w:val="nil"/>
              <w:bottom w:val="nil"/>
              <w:right w:val="nil"/>
            </w:tcBorders>
            <w:shd w:val="clear" w:color="auto" w:fill="auto"/>
          </w:tcPr>
          <w:p w:rsidR="00805A5E" w:rsidRDefault="00805A5E" w:rsidP="00547ACE">
            <w:pPr>
              <w:rPr>
                <w:rFonts w:cs="Arial"/>
                <w:i/>
                <w:color w:val="002060"/>
                <w:sz w:val="16"/>
                <w:szCs w:val="16"/>
              </w:rPr>
            </w:pPr>
            <w:r>
              <w:rPr>
                <w:rFonts w:cs="Arial"/>
                <w:i/>
                <w:color w:val="002060"/>
                <w:sz w:val="16"/>
                <w:szCs w:val="16"/>
              </w:rPr>
              <w:t>Updated Baseline end 2013</w:t>
            </w:r>
            <w:r w:rsidRPr="00B35AFA">
              <w:rPr>
                <w:rFonts w:cs="Arial"/>
                <w:i/>
                <w:color w:val="002060"/>
                <w:sz w:val="16"/>
                <w:szCs w:val="16"/>
              </w:rPr>
              <w:t xml:space="preserve">:  </w:t>
            </w:r>
          </w:p>
          <w:p w:rsidR="00805A5E" w:rsidRPr="007B61AB" w:rsidRDefault="00805A5E" w:rsidP="00547ACE">
            <w:pPr>
              <w:rPr>
                <w:rFonts w:cs="Arial"/>
                <w:i/>
                <w:color w:val="002060"/>
                <w:sz w:val="16"/>
                <w:szCs w:val="16"/>
              </w:rPr>
            </w:pPr>
            <w:r w:rsidRPr="00E06ADF">
              <w:rPr>
                <w:rFonts w:cs="Arial"/>
                <w:i/>
                <w:color w:val="002060"/>
                <w:sz w:val="16"/>
                <w:szCs w:val="16"/>
              </w:rPr>
              <w:t xml:space="preserve">2012: </w:t>
            </w:r>
            <w:r w:rsidRPr="004D1065">
              <w:rPr>
                <w:rFonts w:cs="Arial"/>
                <w:color w:val="002060"/>
                <w:sz w:val="16"/>
                <w:szCs w:val="16"/>
              </w:rPr>
              <w:t>2,054</w:t>
            </w:r>
            <w:r w:rsidRPr="004D1065">
              <w:rPr>
                <w:rFonts w:cs="Arial"/>
                <w:i/>
                <w:color w:val="002060"/>
                <w:sz w:val="16"/>
                <w:szCs w:val="16"/>
              </w:rPr>
              <w:t xml:space="preserve">                 2013: </w:t>
            </w:r>
            <w:r w:rsidRPr="007B61AB">
              <w:rPr>
                <w:rFonts w:cs="Arial"/>
                <w:color w:val="002060"/>
                <w:sz w:val="16"/>
                <w:szCs w:val="16"/>
              </w:rPr>
              <w:t>1,845 (WJO)</w:t>
            </w:r>
          </w:p>
          <w:p w:rsidR="00805A5E" w:rsidRDefault="00805A5E" w:rsidP="00547ACE">
            <w:pPr>
              <w:rPr>
                <w:rFonts w:cs="Arial"/>
                <w:color w:val="002060"/>
                <w:sz w:val="16"/>
                <w:szCs w:val="16"/>
              </w:rPr>
            </w:pPr>
            <w:r w:rsidRPr="00F86FD0">
              <w:rPr>
                <w:rFonts w:cs="Arial"/>
                <w:color w:val="002060"/>
                <w:sz w:val="16"/>
                <w:szCs w:val="16"/>
              </w:rPr>
              <w:t xml:space="preserve">2012 = </w:t>
            </w:r>
            <w:r>
              <w:rPr>
                <w:rFonts w:cs="Arial"/>
                <w:color w:val="002060"/>
                <w:sz w:val="16"/>
                <w:szCs w:val="16"/>
              </w:rPr>
              <w:t>327</w:t>
            </w:r>
          </w:p>
          <w:p w:rsidR="00805A5E" w:rsidRDefault="00805A5E" w:rsidP="00547ACE">
            <w:pPr>
              <w:rPr>
                <w:rFonts w:cs="Arial"/>
                <w:color w:val="002060"/>
                <w:sz w:val="16"/>
                <w:szCs w:val="16"/>
              </w:rPr>
            </w:pPr>
            <w:r w:rsidRPr="007816F7">
              <w:rPr>
                <w:rFonts w:cs="Arial"/>
                <w:color w:val="002060"/>
                <w:sz w:val="16"/>
                <w:szCs w:val="16"/>
              </w:rPr>
              <w:t xml:space="preserve">2013 = </w:t>
            </w:r>
            <w:r>
              <w:rPr>
                <w:rFonts w:cs="Arial"/>
                <w:color w:val="002060"/>
                <w:sz w:val="16"/>
                <w:szCs w:val="16"/>
              </w:rPr>
              <w:t xml:space="preserve">337 </w:t>
            </w:r>
            <w:r w:rsidRPr="00782092">
              <w:rPr>
                <w:rFonts w:cs="Arial"/>
                <w:color w:val="002060"/>
                <w:sz w:val="16"/>
                <w:szCs w:val="16"/>
              </w:rPr>
              <w:t>(WSO)</w:t>
            </w:r>
          </w:p>
          <w:p w:rsidR="00805A5E" w:rsidRDefault="00805A5E" w:rsidP="00547ACE">
            <w:pPr>
              <w:rPr>
                <w:rFonts w:cs="Arial"/>
                <w:sz w:val="16"/>
                <w:szCs w:val="16"/>
              </w:rPr>
            </w:pPr>
            <w:r>
              <w:rPr>
                <w:rFonts w:cs="Arial"/>
                <w:i/>
                <w:sz w:val="16"/>
                <w:szCs w:val="16"/>
              </w:rPr>
              <w:t>Original Baseline P&amp;B 14/15</w:t>
            </w:r>
            <w:r w:rsidRPr="00B35AFA">
              <w:rPr>
                <w:rFonts w:cs="Arial"/>
                <w:i/>
                <w:sz w:val="16"/>
                <w:szCs w:val="16"/>
              </w:rPr>
              <w:t>:</w:t>
            </w:r>
            <w:r w:rsidRPr="00B35AFA">
              <w:rPr>
                <w:rFonts w:cs="Arial"/>
                <w:sz w:val="16"/>
                <w:szCs w:val="16"/>
              </w:rPr>
              <w:t xml:space="preserve">  </w:t>
            </w:r>
          </w:p>
          <w:p w:rsidR="00805A5E" w:rsidRPr="004D1065" w:rsidRDefault="00805A5E" w:rsidP="00547ACE">
            <w:pPr>
              <w:rPr>
                <w:rFonts w:cs="Arial"/>
                <w:color w:val="002060"/>
                <w:sz w:val="16"/>
                <w:szCs w:val="16"/>
              </w:rPr>
            </w:pPr>
            <w:r w:rsidRPr="005D70E0">
              <w:rPr>
                <w:rFonts w:cs="Arial"/>
                <w:sz w:val="16"/>
                <w:szCs w:val="16"/>
              </w:rPr>
              <w:t xml:space="preserve">Madrid statistics for ASEAN, Japan </w:t>
            </w:r>
            <w:r w:rsidRPr="004D1065">
              <w:rPr>
                <w:rFonts w:cs="Arial"/>
                <w:color w:val="002060"/>
                <w:sz w:val="16"/>
                <w:szCs w:val="16"/>
              </w:rPr>
              <w:t>(WSO)</w:t>
            </w:r>
          </w:p>
          <w:p w:rsidR="00805A5E" w:rsidRDefault="00805A5E" w:rsidP="00547ACE">
            <w:pPr>
              <w:rPr>
                <w:rFonts w:cs="Arial"/>
                <w:i/>
                <w:sz w:val="16"/>
                <w:szCs w:val="16"/>
              </w:rPr>
            </w:pPr>
          </w:p>
          <w:p w:rsidR="00805A5E" w:rsidRDefault="00805A5E" w:rsidP="00547ACE">
            <w:pPr>
              <w:rPr>
                <w:rFonts w:cs="Arial"/>
                <w:sz w:val="16"/>
                <w:szCs w:val="16"/>
              </w:rPr>
            </w:pPr>
            <w:r>
              <w:rPr>
                <w:rFonts w:cs="Arial"/>
                <w:i/>
                <w:sz w:val="16"/>
                <w:szCs w:val="16"/>
              </w:rPr>
              <w:t>Original Baseline P&amp;B 2014/15:</w:t>
            </w:r>
            <w:r w:rsidRPr="005D70E0">
              <w:rPr>
                <w:rFonts w:cs="Arial"/>
                <w:sz w:val="16"/>
                <w:szCs w:val="16"/>
              </w:rPr>
              <w:t xml:space="preserve"> </w:t>
            </w:r>
          </w:p>
          <w:p w:rsidR="00805A5E" w:rsidRDefault="00805A5E" w:rsidP="00547ACE">
            <w:pPr>
              <w:rPr>
                <w:rFonts w:cs="Arial"/>
                <w:sz w:val="16"/>
                <w:szCs w:val="16"/>
              </w:rPr>
            </w:pPr>
            <w:r>
              <w:rPr>
                <w:rFonts w:cs="Arial"/>
                <w:sz w:val="16"/>
                <w:szCs w:val="16"/>
              </w:rPr>
              <w:t>Madrid statistics for ASEAN (WSO) 2012/13</w:t>
            </w:r>
          </w:p>
          <w:p w:rsidR="00805A5E" w:rsidRPr="00B35AFA" w:rsidRDefault="00805A5E" w:rsidP="00547ACE">
            <w:pPr>
              <w:rPr>
                <w:rFonts w:eastAsia="SimSun" w:cs="Arial"/>
                <w:color w:val="000000"/>
                <w:sz w:val="16"/>
                <w:szCs w:val="16"/>
                <w:lang w:eastAsia="zh-CN"/>
              </w:rPr>
            </w:pPr>
            <w:r>
              <w:rPr>
                <w:rFonts w:cs="Arial"/>
                <w:sz w:val="16"/>
                <w:szCs w:val="16"/>
              </w:rPr>
              <w:t xml:space="preserve">Madrid Statistics for ASEAN, Japan </w:t>
            </w:r>
            <w:r w:rsidRPr="005D70E0">
              <w:rPr>
                <w:rFonts w:cs="Arial"/>
                <w:sz w:val="16"/>
                <w:szCs w:val="16"/>
              </w:rPr>
              <w:t>(WJO) 2012/13</w:t>
            </w:r>
          </w:p>
        </w:tc>
        <w:tc>
          <w:tcPr>
            <w:tcW w:w="666" w:type="pct"/>
            <w:gridSpan w:val="3"/>
            <w:tcBorders>
              <w:top w:val="nil"/>
              <w:left w:val="nil"/>
              <w:bottom w:val="nil"/>
              <w:right w:val="nil"/>
            </w:tcBorders>
            <w:shd w:val="clear" w:color="auto" w:fill="auto"/>
            <w:tcMar>
              <w:top w:w="110" w:type="dxa"/>
            </w:tcMar>
          </w:tcPr>
          <w:p w:rsidR="00805A5E" w:rsidRDefault="00805A5E" w:rsidP="00547ACE">
            <w:pPr>
              <w:rPr>
                <w:rFonts w:eastAsia="SimSun" w:cs="Arial"/>
                <w:sz w:val="16"/>
                <w:szCs w:val="16"/>
                <w:lang w:eastAsia="zh-CN"/>
              </w:rPr>
            </w:pPr>
            <w:r w:rsidRPr="005D70E0">
              <w:rPr>
                <w:rFonts w:eastAsia="SimSun" w:cs="Arial"/>
                <w:sz w:val="16"/>
                <w:szCs w:val="16"/>
                <w:lang w:eastAsia="zh-CN"/>
              </w:rPr>
              <w:t>Increased fillings (WJO)</w:t>
            </w:r>
          </w:p>
          <w:p w:rsidR="00805A5E" w:rsidRDefault="00805A5E" w:rsidP="00547ACE">
            <w:pPr>
              <w:rPr>
                <w:rFonts w:eastAsia="SimSun" w:cs="Arial"/>
                <w:sz w:val="16"/>
                <w:szCs w:val="16"/>
                <w:lang w:eastAsia="zh-CN"/>
              </w:rPr>
            </w:pPr>
          </w:p>
          <w:p w:rsidR="00805A5E" w:rsidRDefault="00805A5E" w:rsidP="00547ACE">
            <w:pPr>
              <w:rPr>
                <w:rFonts w:eastAsia="SimSun" w:cs="Arial"/>
                <w:sz w:val="16"/>
                <w:szCs w:val="16"/>
                <w:lang w:eastAsia="zh-CN"/>
              </w:rPr>
            </w:pPr>
          </w:p>
          <w:p w:rsidR="00805A5E" w:rsidRDefault="00805A5E" w:rsidP="00547ACE">
            <w:pPr>
              <w:rPr>
                <w:rFonts w:eastAsia="SimSun" w:cs="Arial"/>
                <w:sz w:val="16"/>
                <w:szCs w:val="16"/>
                <w:lang w:eastAsia="zh-CN"/>
              </w:rPr>
            </w:pPr>
            <w:r>
              <w:rPr>
                <w:rFonts w:eastAsia="SimSun" w:cs="Arial"/>
                <w:sz w:val="16"/>
                <w:szCs w:val="16"/>
                <w:lang w:eastAsia="zh-CN"/>
              </w:rPr>
              <w:t>Increased filings by 5% (WSO)</w:t>
            </w:r>
            <w:r>
              <w:rPr>
                <w:rStyle w:val="FootnoteReference"/>
                <w:rFonts w:eastAsia="SimSun" w:cs="Arial"/>
                <w:szCs w:val="16"/>
                <w:lang w:eastAsia="zh-CN"/>
              </w:rPr>
              <w:footnoteReference w:id="111"/>
            </w:r>
          </w:p>
          <w:p w:rsidR="00805A5E" w:rsidRDefault="00805A5E" w:rsidP="00547ACE">
            <w:pPr>
              <w:rPr>
                <w:rFonts w:eastAsia="SimSun" w:cs="Arial"/>
                <w:sz w:val="16"/>
                <w:szCs w:val="16"/>
                <w:lang w:eastAsia="zh-CN"/>
              </w:rPr>
            </w:pPr>
          </w:p>
          <w:p w:rsidR="00805A5E" w:rsidRDefault="00805A5E" w:rsidP="00547ACE">
            <w:pPr>
              <w:rPr>
                <w:rFonts w:eastAsia="SimSun" w:cs="Arial"/>
                <w:sz w:val="16"/>
                <w:szCs w:val="16"/>
                <w:lang w:eastAsia="zh-CN"/>
              </w:rPr>
            </w:pPr>
          </w:p>
          <w:p w:rsidR="00805A5E" w:rsidRPr="00B35AFA" w:rsidRDefault="00805A5E" w:rsidP="00547ACE">
            <w:pPr>
              <w:rPr>
                <w:rFonts w:eastAsia="SimSun" w:cs="Arial"/>
                <w:sz w:val="16"/>
                <w:szCs w:val="16"/>
                <w:lang w:eastAsia="zh-CN"/>
              </w:rPr>
            </w:pPr>
          </w:p>
        </w:tc>
        <w:tc>
          <w:tcPr>
            <w:tcW w:w="1475" w:type="pct"/>
            <w:gridSpan w:val="2"/>
            <w:tcBorders>
              <w:top w:val="nil"/>
              <w:left w:val="nil"/>
              <w:bottom w:val="nil"/>
              <w:right w:val="nil"/>
            </w:tcBorders>
            <w:shd w:val="clear" w:color="auto" w:fill="FFFFFF"/>
            <w:tcMar>
              <w:top w:w="110" w:type="dxa"/>
            </w:tcMar>
          </w:tcPr>
          <w:p w:rsidR="00805A5E" w:rsidRDefault="00805A5E" w:rsidP="00547ACE">
            <w:pPr>
              <w:rPr>
                <w:rFonts w:eastAsia="SimSun" w:cs="Arial"/>
                <w:sz w:val="16"/>
                <w:szCs w:val="16"/>
                <w:lang w:eastAsia="zh-CN"/>
              </w:rPr>
            </w:pPr>
            <w:r>
              <w:rPr>
                <w:rFonts w:eastAsia="SimSun" w:cs="Arial"/>
                <w:sz w:val="16"/>
                <w:szCs w:val="16"/>
                <w:lang w:eastAsia="zh-CN"/>
              </w:rPr>
              <w:t>2014/15: 4,200 (+8%)</w:t>
            </w:r>
          </w:p>
          <w:p w:rsidR="00805A5E" w:rsidRDefault="00805A5E" w:rsidP="00547ACE">
            <w:pPr>
              <w:rPr>
                <w:rFonts w:eastAsia="SimSun" w:cs="Arial"/>
                <w:sz w:val="16"/>
                <w:szCs w:val="16"/>
                <w:lang w:eastAsia="zh-CN"/>
              </w:rPr>
            </w:pPr>
            <w:r>
              <w:rPr>
                <w:rFonts w:eastAsia="SimSun" w:cs="Arial"/>
                <w:sz w:val="16"/>
                <w:szCs w:val="16"/>
                <w:lang w:eastAsia="zh-CN"/>
              </w:rPr>
              <w:t xml:space="preserve">2014:  2,033 (+10%) </w:t>
            </w:r>
          </w:p>
          <w:p w:rsidR="00805A5E" w:rsidRDefault="00805A5E" w:rsidP="00547ACE">
            <w:pPr>
              <w:rPr>
                <w:rFonts w:eastAsia="SimSun" w:cs="Arial"/>
                <w:sz w:val="16"/>
                <w:szCs w:val="16"/>
                <w:lang w:eastAsia="zh-CN"/>
              </w:rPr>
            </w:pPr>
            <w:r>
              <w:rPr>
                <w:rFonts w:eastAsia="SimSun" w:cs="Arial"/>
                <w:sz w:val="16"/>
                <w:szCs w:val="16"/>
                <w:lang w:eastAsia="zh-CN"/>
              </w:rPr>
              <w:t>2015:  2,167 (+7%)</w:t>
            </w:r>
          </w:p>
          <w:p w:rsidR="00805A5E" w:rsidRDefault="00805A5E" w:rsidP="00547ACE">
            <w:pPr>
              <w:rPr>
                <w:rFonts w:eastAsia="SimSun" w:cs="Arial"/>
                <w:sz w:val="16"/>
                <w:szCs w:val="16"/>
                <w:lang w:eastAsia="zh-CN"/>
              </w:rPr>
            </w:pPr>
          </w:p>
          <w:p w:rsidR="00805A5E" w:rsidRDefault="00805A5E" w:rsidP="00547ACE">
            <w:pPr>
              <w:rPr>
                <w:rFonts w:eastAsia="SimSun" w:cs="Arial"/>
                <w:sz w:val="16"/>
                <w:szCs w:val="16"/>
                <w:lang w:eastAsia="zh-CN"/>
              </w:rPr>
            </w:pPr>
            <w:r>
              <w:rPr>
                <w:rFonts w:eastAsia="SimSun" w:cs="Arial"/>
                <w:sz w:val="16"/>
                <w:szCs w:val="16"/>
                <w:lang w:eastAsia="zh-CN"/>
              </w:rPr>
              <w:t>2014/15: 860 (+30%)</w:t>
            </w:r>
          </w:p>
          <w:p w:rsidR="00805A5E" w:rsidRDefault="00805A5E" w:rsidP="00547ACE">
            <w:pPr>
              <w:rPr>
                <w:rFonts w:eastAsia="SimSun" w:cs="Arial"/>
                <w:sz w:val="16"/>
                <w:szCs w:val="16"/>
                <w:lang w:eastAsia="zh-CN"/>
              </w:rPr>
            </w:pPr>
            <w:r>
              <w:rPr>
                <w:rFonts w:eastAsia="SimSun" w:cs="Arial"/>
                <w:sz w:val="16"/>
                <w:szCs w:val="16"/>
                <w:lang w:eastAsia="zh-CN"/>
              </w:rPr>
              <w:t xml:space="preserve">2014:  351 (+4%)  </w:t>
            </w:r>
          </w:p>
          <w:p w:rsidR="00805A5E" w:rsidRDefault="00805A5E" w:rsidP="00547ACE">
            <w:pPr>
              <w:rPr>
                <w:rFonts w:eastAsia="SimSun" w:cs="Arial"/>
                <w:sz w:val="16"/>
                <w:szCs w:val="16"/>
                <w:lang w:eastAsia="zh-CN"/>
              </w:rPr>
            </w:pPr>
            <w:r>
              <w:rPr>
                <w:rFonts w:eastAsia="SimSun" w:cs="Arial"/>
                <w:sz w:val="16"/>
                <w:szCs w:val="16"/>
                <w:lang w:eastAsia="zh-CN"/>
              </w:rPr>
              <w:t>2015:  509 (+44%</w:t>
            </w:r>
            <w:r>
              <w:rPr>
                <w:rStyle w:val="FootnoteReference"/>
                <w:lang w:eastAsia="zh-CN"/>
              </w:rPr>
              <w:footnoteReference w:id="112"/>
            </w:r>
            <w:r>
              <w:rPr>
                <w:rFonts w:eastAsia="SimSun" w:cs="Arial"/>
                <w:sz w:val="16"/>
                <w:szCs w:val="16"/>
                <w:lang w:eastAsia="zh-CN"/>
              </w:rPr>
              <w:t>)</w:t>
            </w:r>
          </w:p>
          <w:p w:rsidR="00805A5E" w:rsidRDefault="00805A5E" w:rsidP="00547ACE">
            <w:pPr>
              <w:rPr>
                <w:rFonts w:eastAsia="SimSun" w:cs="Arial"/>
                <w:sz w:val="16"/>
                <w:szCs w:val="16"/>
                <w:lang w:eastAsia="zh-CN"/>
              </w:rPr>
            </w:pPr>
          </w:p>
          <w:p w:rsidR="00805A5E" w:rsidRDefault="00805A5E" w:rsidP="00547ACE">
            <w:pPr>
              <w:rPr>
                <w:rFonts w:eastAsia="SimSun" w:cs="Arial"/>
                <w:sz w:val="16"/>
                <w:szCs w:val="16"/>
                <w:lang w:eastAsia="zh-CN"/>
              </w:rPr>
            </w:pPr>
          </w:p>
          <w:p w:rsidR="00805A5E" w:rsidRPr="00B35AFA" w:rsidRDefault="00805A5E" w:rsidP="00547ACE">
            <w:pPr>
              <w:rPr>
                <w:rFonts w:eastAsia="SimSun" w:cs="Arial"/>
                <w:sz w:val="16"/>
                <w:szCs w:val="16"/>
                <w:lang w:eastAsia="zh-CN"/>
              </w:rPr>
            </w:pPr>
          </w:p>
        </w:tc>
        <w:tc>
          <w:tcPr>
            <w:tcW w:w="588" w:type="pct"/>
            <w:gridSpan w:val="6"/>
            <w:tcBorders>
              <w:top w:val="nil"/>
              <w:left w:val="nil"/>
              <w:bottom w:val="nil"/>
              <w:right w:val="single" w:sz="4" w:space="0" w:color="auto"/>
            </w:tcBorders>
            <w:shd w:val="clear" w:color="auto" w:fill="auto"/>
            <w:tcMar>
              <w:top w:w="110" w:type="dxa"/>
            </w:tcMar>
          </w:tcPr>
          <w:p w:rsidR="00805A5E" w:rsidRPr="00FF28A3" w:rsidRDefault="00805A5E" w:rsidP="00547ACE">
            <w:pPr>
              <w:keepNext/>
              <w:keepLines/>
              <w:ind w:right="20" w:hanging="71"/>
              <w:jc w:val="center"/>
              <w:rPr>
                <w:rFonts w:eastAsia="SimSun" w:cs="Arial"/>
                <w:b/>
                <w:bCs/>
                <w:color w:val="00B050"/>
                <w:sz w:val="16"/>
                <w:szCs w:val="16"/>
                <w:lang w:eastAsia="zh-CN"/>
              </w:rPr>
            </w:pPr>
            <w:r w:rsidRPr="00FF28A3">
              <w:rPr>
                <w:rFonts w:eastAsia="SimSun" w:cs="Arial"/>
                <w:b/>
                <w:bCs/>
                <w:color w:val="00B050"/>
                <w:sz w:val="16"/>
                <w:szCs w:val="16"/>
                <w:lang w:eastAsia="zh-CN"/>
              </w:rPr>
              <w:t>Fully Achieved</w:t>
            </w:r>
          </w:p>
          <w:p w:rsidR="00805A5E" w:rsidRDefault="00805A5E" w:rsidP="00547ACE">
            <w:pPr>
              <w:keepNext/>
              <w:keepLines/>
              <w:ind w:right="20" w:hanging="71"/>
              <w:rPr>
                <w:rFonts w:eastAsia="SimSun" w:cs="Arial"/>
                <w:b/>
                <w:color w:val="808080"/>
                <w:sz w:val="16"/>
                <w:szCs w:val="16"/>
                <w:lang w:eastAsia="zh-CN"/>
              </w:rPr>
            </w:pPr>
          </w:p>
          <w:p w:rsidR="00805A5E" w:rsidRDefault="00805A5E" w:rsidP="00547ACE">
            <w:pPr>
              <w:keepNext/>
              <w:keepLines/>
              <w:ind w:right="20" w:hanging="71"/>
              <w:rPr>
                <w:rFonts w:eastAsia="SimSun" w:cs="Arial"/>
                <w:b/>
                <w:color w:val="808080"/>
                <w:sz w:val="16"/>
                <w:szCs w:val="16"/>
                <w:lang w:eastAsia="zh-CN"/>
              </w:rPr>
            </w:pPr>
          </w:p>
          <w:p w:rsidR="00805A5E" w:rsidRDefault="00805A5E" w:rsidP="00547ACE">
            <w:pPr>
              <w:keepNext/>
              <w:keepLines/>
              <w:ind w:right="20" w:hanging="71"/>
              <w:jc w:val="center"/>
              <w:rPr>
                <w:rFonts w:eastAsia="SimSun" w:cs="Arial"/>
                <w:b/>
                <w:bCs/>
                <w:color w:val="00B050"/>
                <w:sz w:val="16"/>
                <w:szCs w:val="16"/>
                <w:lang w:eastAsia="zh-CN"/>
              </w:rPr>
            </w:pPr>
          </w:p>
          <w:p w:rsidR="00805A5E" w:rsidRPr="00FF28A3" w:rsidRDefault="00805A5E" w:rsidP="00547ACE">
            <w:pPr>
              <w:keepNext/>
              <w:keepLines/>
              <w:ind w:right="20" w:hanging="71"/>
              <w:jc w:val="center"/>
              <w:rPr>
                <w:rFonts w:eastAsia="SimSun" w:cs="Arial"/>
                <w:b/>
                <w:bCs/>
                <w:color w:val="00B050"/>
                <w:sz w:val="16"/>
                <w:szCs w:val="16"/>
                <w:lang w:eastAsia="zh-CN"/>
              </w:rPr>
            </w:pPr>
            <w:r w:rsidRPr="00FF28A3">
              <w:rPr>
                <w:rFonts w:eastAsia="SimSun" w:cs="Arial"/>
                <w:b/>
                <w:bCs/>
                <w:color w:val="00B050"/>
                <w:sz w:val="16"/>
                <w:szCs w:val="16"/>
                <w:lang w:eastAsia="zh-CN"/>
              </w:rPr>
              <w:t>Fully Achieved</w:t>
            </w:r>
          </w:p>
          <w:p w:rsidR="00805A5E" w:rsidRPr="000D3F45" w:rsidRDefault="00805A5E" w:rsidP="00547ACE">
            <w:pPr>
              <w:keepNext/>
              <w:keepLines/>
              <w:ind w:right="20" w:hanging="71"/>
              <w:jc w:val="center"/>
              <w:rPr>
                <w:rFonts w:eastAsia="SimSun" w:cs="Arial"/>
                <w:b/>
                <w:color w:val="808080"/>
                <w:sz w:val="16"/>
                <w:szCs w:val="16"/>
                <w:lang w:eastAsia="zh-CN"/>
              </w:rPr>
            </w:pPr>
          </w:p>
        </w:tc>
      </w:tr>
      <w:tr w:rsidR="00805A5E" w:rsidRPr="00B35AFA" w:rsidTr="00547ACE">
        <w:tc>
          <w:tcPr>
            <w:tcW w:w="1114" w:type="pct"/>
            <w:tcBorders>
              <w:top w:val="nil"/>
              <w:left w:val="single" w:sz="4" w:space="0" w:color="auto"/>
              <w:bottom w:val="single" w:sz="4" w:space="0" w:color="auto"/>
              <w:right w:val="nil"/>
            </w:tcBorders>
            <w:shd w:val="clear" w:color="auto" w:fill="auto"/>
          </w:tcPr>
          <w:p w:rsidR="00805A5E" w:rsidRPr="005D70E0" w:rsidRDefault="00805A5E" w:rsidP="00547ACE">
            <w:pPr>
              <w:rPr>
                <w:rFonts w:eastAsia="SimSun" w:cs="Arial"/>
                <w:color w:val="000000"/>
                <w:sz w:val="16"/>
                <w:szCs w:val="16"/>
                <w:lang w:eastAsia="zh-CN"/>
              </w:rPr>
            </w:pPr>
            <w:r w:rsidRPr="00005B71">
              <w:rPr>
                <w:rFonts w:eastAsia="SimSun" w:cs="Arial"/>
                <w:color w:val="000000"/>
                <w:sz w:val="16"/>
                <w:szCs w:val="16"/>
                <w:lang w:eastAsia="zh-CN"/>
              </w:rPr>
              <w:t>No. of renewals (Madrid System)</w:t>
            </w:r>
          </w:p>
        </w:tc>
        <w:tc>
          <w:tcPr>
            <w:tcW w:w="1157" w:type="pct"/>
            <w:gridSpan w:val="5"/>
            <w:tcBorders>
              <w:top w:val="nil"/>
              <w:left w:val="nil"/>
              <w:bottom w:val="single" w:sz="4" w:space="0" w:color="auto"/>
              <w:right w:val="nil"/>
            </w:tcBorders>
            <w:shd w:val="clear" w:color="auto" w:fill="auto"/>
          </w:tcPr>
          <w:p w:rsidR="00805A5E" w:rsidRDefault="00805A5E" w:rsidP="00547ACE">
            <w:pPr>
              <w:rPr>
                <w:rFonts w:eastAsiaTheme="majorEastAsia" w:cs="Arial"/>
                <w:i/>
                <w:color w:val="002060"/>
                <w:sz w:val="16"/>
                <w:szCs w:val="16"/>
              </w:rPr>
            </w:pPr>
            <w:r>
              <w:rPr>
                <w:rFonts w:cs="Arial"/>
                <w:i/>
                <w:color w:val="002060"/>
                <w:sz w:val="16"/>
                <w:szCs w:val="16"/>
              </w:rPr>
              <w:t>Updated Baseline end 2013</w:t>
            </w:r>
            <w:r w:rsidRPr="00B35AFA">
              <w:rPr>
                <w:rFonts w:cs="Arial"/>
                <w:i/>
                <w:color w:val="002060"/>
                <w:sz w:val="16"/>
                <w:szCs w:val="16"/>
              </w:rPr>
              <w:t xml:space="preserve">:  </w:t>
            </w:r>
          </w:p>
          <w:p w:rsidR="00805A5E" w:rsidRDefault="00805A5E" w:rsidP="00547ACE">
            <w:pPr>
              <w:rPr>
                <w:rFonts w:cs="Arial"/>
                <w:color w:val="002060"/>
                <w:sz w:val="16"/>
                <w:szCs w:val="16"/>
              </w:rPr>
            </w:pPr>
            <w:r>
              <w:rPr>
                <w:rFonts w:cs="Arial"/>
                <w:color w:val="002060"/>
                <w:sz w:val="16"/>
                <w:szCs w:val="16"/>
              </w:rPr>
              <w:t>2012: 187</w:t>
            </w:r>
          </w:p>
          <w:p w:rsidR="00805A5E" w:rsidRPr="00D812F3" w:rsidRDefault="00805A5E" w:rsidP="00547ACE">
            <w:pPr>
              <w:rPr>
                <w:rFonts w:cs="Arial"/>
                <w:color w:val="002060"/>
                <w:sz w:val="16"/>
                <w:szCs w:val="16"/>
              </w:rPr>
            </w:pPr>
            <w:r>
              <w:rPr>
                <w:rFonts w:cs="Arial"/>
                <w:color w:val="002060"/>
                <w:sz w:val="16"/>
                <w:szCs w:val="16"/>
              </w:rPr>
              <w:t>2013: 311</w:t>
            </w:r>
            <w:r w:rsidRPr="00D812F3">
              <w:rPr>
                <w:rFonts w:cs="Arial"/>
                <w:color w:val="002060"/>
                <w:sz w:val="16"/>
                <w:szCs w:val="16"/>
              </w:rPr>
              <w:t xml:space="preserve"> (WJO)</w:t>
            </w:r>
          </w:p>
          <w:p w:rsidR="00805A5E" w:rsidRDefault="00805A5E" w:rsidP="00547ACE">
            <w:pPr>
              <w:rPr>
                <w:rFonts w:cs="Arial"/>
                <w:color w:val="002060"/>
                <w:sz w:val="16"/>
                <w:szCs w:val="16"/>
              </w:rPr>
            </w:pPr>
            <w:r>
              <w:rPr>
                <w:rFonts w:cs="Arial"/>
                <w:color w:val="002060"/>
                <w:sz w:val="16"/>
                <w:szCs w:val="16"/>
              </w:rPr>
              <w:t>2012: 51</w:t>
            </w:r>
          </w:p>
          <w:p w:rsidR="00805A5E" w:rsidRPr="004D1065" w:rsidRDefault="00805A5E" w:rsidP="00547ACE">
            <w:pPr>
              <w:rPr>
                <w:rFonts w:cs="Arial"/>
                <w:color w:val="002060"/>
                <w:sz w:val="16"/>
                <w:szCs w:val="16"/>
              </w:rPr>
            </w:pPr>
            <w:r>
              <w:rPr>
                <w:rFonts w:cs="Arial"/>
                <w:color w:val="002060"/>
                <w:sz w:val="16"/>
                <w:szCs w:val="16"/>
              </w:rPr>
              <w:t xml:space="preserve">2013: 62 </w:t>
            </w:r>
            <w:r w:rsidRPr="004D1065">
              <w:rPr>
                <w:rFonts w:cs="Arial"/>
                <w:color w:val="002060"/>
                <w:sz w:val="16"/>
                <w:szCs w:val="16"/>
              </w:rPr>
              <w:t>(WSO)</w:t>
            </w:r>
          </w:p>
          <w:p w:rsidR="00805A5E" w:rsidRDefault="00805A5E" w:rsidP="00547ACE">
            <w:pPr>
              <w:rPr>
                <w:rFonts w:eastAsiaTheme="majorEastAsia" w:cs="Arial"/>
                <w:i/>
                <w:color w:val="404040" w:themeColor="text1" w:themeTint="BF"/>
                <w:sz w:val="16"/>
                <w:szCs w:val="16"/>
              </w:rPr>
            </w:pPr>
            <w:r>
              <w:rPr>
                <w:rFonts w:cs="Arial"/>
                <w:i/>
                <w:sz w:val="16"/>
                <w:szCs w:val="16"/>
              </w:rPr>
              <w:t xml:space="preserve">Original Baseline P&amp;B 2014/15: </w:t>
            </w:r>
          </w:p>
          <w:p w:rsidR="00805A5E" w:rsidRDefault="00805A5E" w:rsidP="00547ACE">
            <w:pPr>
              <w:rPr>
                <w:rFonts w:cs="Arial"/>
                <w:sz w:val="16"/>
                <w:szCs w:val="16"/>
              </w:rPr>
            </w:pPr>
            <w:r w:rsidRPr="00005B71">
              <w:rPr>
                <w:rFonts w:cs="Arial"/>
                <w:sz w:val="16"/>
                <w:szCs w:val="16"/>
              </w:rPr>
              <w:t>Madrid statistics for ASEAN (WSO)</w:t>
            </w:r>
          </w:p>
          <w:p w:rsidR="00805A5E" w:rsidRPr="00005B71" w:rsidRDefault="00805A5E" w:rsidP="00547ACE">
            <w:pPr>
              <w:rPr>
                <w:rFonts w:cs="Arial"/>
                <w:color w:val="002060"/>
                <w:sz w:val="16"/>
                <w:szCs w:val="16"/>
              </w:rPr>
            </w:pPr>
            <w:r w:rsidRPr="005D70E0">
              <w:rPr>
                <w:rFonts w:eastAsia="SimSun" w:cs="Arial"/>
                <w:color w:val="000000"/>
                <w:sz w:val="16"/>
                <w:szCs w:val="16"/>
                <w:lang w:eastAsia="zh-CN"/>
              </w:rPr>
              <w:t>Madrid statistics for ASEAN, Japan (WJO)</w:t>
            </w:r>
          </w:p>
        </w:tc>
        <w:tc>
          <w:tcPr>
            <w:tcW w:w="666" w:type="pct"/>
            <w:gridSpan w:val="3"/>
            <w:tcBorders>
              <w:top w:val="nil"/>
              <w:left w:val="nil"/>
              <w:bottom w:val="single" w:sz="4" w:space="0" w:color="auto"/>
              <w:right w:val="nil"/>
            </w:tcBorders>
            <w:shd w:val="clear" w:color="auto" w:fill="auto"/>
            <w:tcMar>
              <w:top w:w="110" w:type="dxa"/>
            </w:tcMar>
          </w:tcPr>
          <w:p w:rsidR="00805A5E" w:rsidRDefault="00805A5E" w:rsidP="00547ACE">
            <w:pPr>
              <w:rPr>
                <w:rFonts w:eastAsia="SimSun" w:cs="Arial"/>
                <w:sz w:val="16"/>
                <w:szCs w:val="16"/>
                <w:lang w:eastAsia="zh-CN"/>
              </w:rPr>
            </w:pPr>
          </w:p>
          <w:p w:rsidR="00805A5E" w:rsidRDefault="00805A5E" w:rsidP="00547ACE">
            <w:pPr>
              <w:rPr>
                <w:rFonts w:eastAsia="SimSun" w:cs="Arial"/>
                <w:sz w:val="16"/>
                <w:szCs w:val="16"/>
                <w:lang w:eastAsia="zh-CN"/>
              </w:rPr>
            </w:pPr>
            <w:r w:rsidRPr="005D70E0">
              <w:rPr>
                <w:rFonts w:eastAsia="SimSun" w:cs="Arial"/>
                <w:sz w:val="16"/>
                <w:szCs w:val="16"/>
                <w:lang w:eastAsia="zh-CN"/>
              </w:rPr>
              <w:t>tbd (WJO)</w:t>
            </w:r>
          </w:p>
          <w:p w:rsidR="00805A5E" w:rsidRPr="000B30A0" w:rsidRDefault="00805A5E" w:rsidP="00547ACE">
            <w:pPr>
              <w:rPr>
                <w:rFonts w:eastAsia="SimSun" w:cs="Arial"/>
                <w:sz w:val="16"/>
                <w:szCs w:val="16"/>
                <w:lang w:eastAsia="zh-CN"/>
              </w:rPr>
            </w:pPr>
          </w:p>
          <w:p w:rsidR="00805A5E" w:rsidRDefault="00805A5E" w:rsidP="00547ACE">
            <w:pPr>
              <w:rPr>
                <w:rFonts w:eastAsia="SimSun" w:cs="Arial"/>
                <w:sz w:val="16"/>
                <w:szCs w:val="16"/>
                <w:lang w:eastAsia="zh-CN"/>
              </w:rPr>
            </w:pPr>
          </w:p>
          <w:p w:rsidR="00805A5E" w:rsidRDefault="00805A5E" w:rsidP="00547ACE">
            <w:pPr>
              <w:rPr>
                <w:rFonts w:eastAsia="SimSun" w:cs="Arial"/>
                <w:sz w:val="16"/>
                <w:szCs w:val="16"/>
                <w:lang w:eastAsia="zh-CN"/>
              </w:rPr>
            </w:pPr>
            <w:r w:rsidRPr="00005B71">
              <w:rPr>
                <w:rFonts w:eastAsia="SimSun" w:cs="Arial"/>
                <w:sz w:val="16"/>
                <w:szCs w:val="16"/>
                <w:lang w:eastAsia="zh-CN"/>
              </w:rPr>
              <w:t>tbd (WSO)</w:t>
            </w:r>
          </w:p>
          <w:p w:rsidR="00805A5E" w:rsidRPr="005D70E0" w:rsidRDefault="00805A5E" w:rsidP="00547ACE">
            <w:pPr>
              <w:rPr>
                <w:rFonts w:eastAsia="SimSun" w:cs="Arial"/>
                <w:sz w:val="16"/>
                <w:szCs w:val="16"/>
                <w:lang w:eastAsia="zh-CN"/>
              </w:rPr>
            </w:pPr>
          </w:p>
        </w:tc>
        <w:tc>
          <w:tcPr>
            <w:tcW w:w="1475" w:type="pct"/>
            <w:gridSpan w:val="2"/>
            <w:tcBorders>
              <w:top w:val="nil"/>
              <w:left w:val="nil"/>
              <w:bottom w:val="single" w:sz="4" w:space="0" w:color="auto"/>
              <w:right w:val="nil"/>
            </w:tcBorders>
            <w:shd w:val="clear" w:color="auto" w:fill="FFFFFF"/>
            <w:tcMar>
              <w:top w:w="110" w:type="dxa"/>
            </w:tcMar>
          </w:tcPr>
          <w:tbl>
            <w:tblPr>
              <w:tblStyle w:val="TableGrid"/>
              <w:tblW w:w="233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25"/>
              <w:gridCol w:w="1063"/>
              <w:gridCol w:w="748"/>
            </w:tblGrid>
            <w:tr w:rsidR="00805A5E" w:rsidTr="00547ACE">
              <w:trPr>
                <w:trHeight w:val="200"/>
              </w:trPr>
              <w:tc>
                <w:tcPr>
                  <w:tcW w:w="525" w:type="dxa"/>
                  <w:tcMar>
                    <w:left w:w="29" w:type="dxa"/>
                    <w:bottom w:w="29" w:type="dxa"/>
                    <w:right w:w="29" w:type="dxa"/>
                  </w:tcMar>
                </w:tcPr>
                <w:p w:rsidR="00805A5E" w:rsidRDefault="00805A5E" w:rsidP="00547ACE">
                  <w:pPr>
                    <w:jc w:val="center"/>
                    <w:rPr>
                      <w:rFonts w:eastAsia="SimSun" w:cs="Arial"/>
                      <w:sz w:val="16"/>
                      <w:szCs w:val="16"/>
                      <w:lang w:eastAsia="zh-CN"/>
                    </w:rPr>
                  </w:pPr>
                </w:p>
              </w:tc>
              <w:tc>
                <w:tcPr>
                  <w:tcW w:w="1063" w:type="dxa"/>
                  <w:tcMar>
                    <w:left w:w="29" w:type="dxa"/>
                    <w:bottom w:w="29" w:type="dxa"/>
                    <w:right w:w="29" w:type="dxa"/>
                  </w:tcMar>
                </w:tcPr>
                <w:p w:rsidR="00805A5E" w:rsidRDefault="00805A5E" w:rsidP="00547ACE">
                  <w:pPr>
                    <w:jc w:val="center"/>
                    <w:rPr>
                      <w:rFonts w:eastAsia="SimSun" w:cs="Arial"/>
                      <w:sz w:val="16"/>
                      <w:szCs w:val="16"/>
                      <w:lang w:eastAsia="zh-CN"/>
                    </w:rPr>
                  </w:pPr>
                  <w:r>
                    <w:rPr>
                      <w:rFonts w:eastAsia="SimSun" w:cs="Arial"/>
                      <w:sz w:val="16"/>
                      <w:szCs w:val="16"/>
                      <w:lang w:eastAsia="zh-CN"/>
                    </w:rPr>
                    <w:t>2014</w:t>
                  </w:r>
                </w:p>
              </w:tc>
              <w:tc>
                <w:tcPr>
                  <w:tcW w:w="748" w:type="dxa"/>
                  <w:tcMar>
                    <w:left w:w="29" w:type="dxa"/>
                    <w:bottom w:w="29" w:type="dxa"/>
                    <w:right w:w="29" w:type="dxa"/>
                  </w:tcMar>
                </w:tcPr>
                <w:p w:rsidR="00805A5E" w:rsidRDefault="00805A5E" w:rsidP="00547ACE">
                  <w:pPr>
                    <w:jc w:val="center"/>
                    <w:rPr>
                      <w:rFonts w:eastAsia="SimSun" w:cs="Arial"/>
                      <w:sz w:val="16"/>
                      <w:szCs w:val="16"/>
                      <w:lang w:eastAsia="zh-CN"/>
                    </w:rPr>
                  </w:pPr>
                  <w:r>
                    <w:rPr>
                      <w:rFonts w:eastAsia="SimSun" w:cs="Arial"/>
                      <w:sz w:val="16"/>
                      <w:szCs w:val="16"/>
                      <w:lang w:eastAsia="zh-CN"/>
                    </w:rPr>
                    <w:t>2015</w:t>
                  </w:r>
                </w:p>
              </w:tc>
            </w:tr>
            <w:tr w:rsidR="00805A5E" w:rsidTr="00547ACE">
              <w:trPr>
                <w:trHeight w:val="562"/>
              </w:trPr>
              <w:tc>
                <w:tcPr>
                  <w:tcW w:w="525" w:type="dxa"/>
                  <w:tcMar>
                    <w:left w:w="29" w:type="dxa"/>
                    <w:bottom w:w="29" w:type="dxa"/>
                    <w:right w:w="29" w:type="dxa"/>
                  </w:tcMar>
                </w:tcPr>
                <w:p w:rsidR="00805A5E" w:rsidRDefault="00805A5E" w:rsidP="00547ACE">
                  <w:pPr>
                    <w:jc w:val="center"/>
                    <w:rPr>
                      <w:rFonts w:eastAsia="SimSun" w:cs="Arial"/>
                      <w:sz w:val="16"/>
                      <w:szCs w:val="16"/>
                      <w:lang w:eastAsia="zh-CN"/>
                    </w:rPr>
                  </w:pPr>
                  <w:r>
                    <w:rPr>
                      <w:rFonts w:eastAsia="SimSun" w:cs="Arial"/>
                      <w:sz w:val="16"/>
                      <w:szCs w:val="16"/>
                      <w:lang w:eastAsia="zh-CN"/>
                    </w:rPr>
                    <w:t>WJO</w:t>
                  </w:r>
                </w:p>
              </w:tc>
              <w:tc>
                <w:tcPr>
                  <w:tcW w:w="1063" w:type="dxa"/>
                  <w:tcMar>
                    <w:left w:w="29" w:type="dxa"/>
                    <w:bottom w:w="29" w:type="dxa"/>
                    <w:right w:w="29" w:type="dxa"/>
                  </w:tcMar>
                </w:tcPr>
                <w:p w:rsidR="00805A5E" w:rsidRDefault="00805A5E" w:rsidP="00547ACE">
                  <w:pPr>
                    <w:jc w:val="center"/>
                    <w:rPr>
                      <w:rFonts w:eastAsia="SimSun" w:cs="Arial"/>
                      <w:sz w:val="16"/>
                      <w:szCs w:val="16"/>
                      <w:lang w:eastAsia="zh-CN"/>
                    </w:rPr>
                  </w:pPr>
                  <w:r>
                    <w:rPr>
                      <w:rFonts w:eastAsia="SimSun" w:cs="Arial"/>
                      <w:sz w:val="16"/>
                      <w:szCs w:val="16"/>
                      <w:lang w:eastAsia="zh-CN"/>
                    </w:rPr>
                    <w:t>+49%</w:t>
                  </w:r>
                </w:p>
                <w:p w:rsidR="00805A5E" w:rsidRPr="0044139A" w:rsidRDefault="00805A5E" w:rsidP="00547ACE">
                  <w:pPr>
                    <w:jc w:val="center"/>
                    <w:rPr>
                      <w:rFonts w:eastAsia="SimSun" w:cs="Arial"/>
                      <w:sz w:val="16"/>
                      <w:szCs w:val="16"/>
                      <w:lang w:eastAsia="zh-CN"/>
                    </w:rPr>
                  </w:pPr>
                  <w:r>
                    <w:rPr>
                      <w:rFonts w:eastAsia="SimSun" w:cs="Arial"/>
                      <w:sz w:val="16"/>
                      <w:szCs w:val="16"/>
                      <w:lang w:eastAsia="zh-CN"/>
                    </w:rPr>
                    <w:t>(</w:t>
                  </w:r>
                  <w:r w:rsidRPr="00704EF6">
                    <w:rPr>
                      <w:rFonts w:eastAsia="SimSun" w:cs="Arial"/>
                      <w:sz w:val="16"/>
                      <w:szCs w:val="16"/>
                      <w:lang w:eastAsia="zh-CN"/>
                    </w:rPr>
                    <w:t>462</w:t>
                  </w:r>
                  <w:r>
                    <w:rPr>
                      <w:rFonts w:eastAsia="SimSun" w:cs="Arial"/>
                      <w:sz w:val="16"/>
                      <w:szCs w:val="16"/>
                      <w:lang w:eastAsia="zh-CN"/>
                    </w:rPr>
                    <w:t>)</w:t>
                  </w:r>
                </w:p>
              </w:tc>
              <w:tc>
                <w:tcPr>
                  <w:tcW w:w="748" w:type="dxa"/>
                  <w:tcMar>
                    <w:left w:w="29" w:type="dxa"/>
                    <w:bottom w:w="29" w:type="dxa"/>
                    <w:right w:w="29" w:type="dxa"/>
                  </w:tcMar>
                </w:tcPr>
                <w:p w:rsidR="00805A5E" w:rsidRDefault="00805A5E" w:rsidP="00547ACE">
                  <w:pPr>
                    <w:jc w:val="center"/>
                    <w:rPr>
                      <w:rFonts w:eastAsia="SimSun" w:cs="Arial"/>
                      <w:sz w:val="16"/>
                      <w:szCs w:val="16"/>
                      <w:lang w:eastAsia="zh-CN"/>
                    </w:rPr>
                  </w:pPr>
                  <w:r>
                    <w:rPr>
                      <w:rFonts w:eastAsia="SimSun" w:cs="Arial"/>
                      <w:sz w:val="16"/>
                      <w:szCs w:val="16"/>
                      <w:lang w:eastAsia="zh-CN"/>
                    </w:rPr>
                    <w:t>+27</w:t>
                  </w:r>
                  <w:r w:rsidRPr="0026340F">
                    <w:rPr>
                      <w:rFonts w:eastAsia="SimSun" w:cs="Arial"/>
                      <w:sz w:val="16"/>
                      <w:szCs w:val="16"/>
                      <w:lang w:eastAsia="zh-CN"/>
                    </w:rPr>
                    <w:t>%</w:t>
                  </w:r>
                </w:p>
                <w:p w:rsidR="00805A5E" w:rsidRPr="0044139A" w:rsidRDefault="00805A5E" w:rsidP="00547ACE">
                  <w:pPr>
                    <w:jc w:val="center"/>
                    <w:rPr>
                      <w:rFonts w:eastAsia="SimSun" w:cs="Arial"/>
                      <w:sz w:val="16"/>
                      <w:szCs w:val="16"/>
                      <w:lang w:eastAsia="zh-CN"/>
                    </w:rPr>
                  </w:pPr>
                  <w:r>
                    <w:rPr>
                      <w:rFonts w:eastAsia="SimSun" w:cs="Arial"/>
                      <w:sz w:val="16"/>
                      <w:szCs w:val="16"/>
                      <w:lang w:eastAsia="zh-CN"/>
                    </w:rPr>
                    <w:t>(</w:t>
                  </w:r>
                  <w:r w:rsidRPr="0026340F">
                    <w:rPr>
                      <w:rFonts w:eastAsia="SimSun" w:cs="Arial"/>
                      <w:sz w:val="16"/>
                      <w:szCs w:val="16"/>
                      <w:lang w:eastAsia="zh-CN"/>
                    </w:rPr>
                    <w:t>588</w:t>
                  </w:r>
                  <w:r>
                    <w:rPr>
                      <w:rFonts w:eastAsia="SimSun" w:cs="Arial"/>
                      <w:sz w:val="16"/>
                      <w:szCs w:val="16"/>
                      <w:lang w:eastAsia="zh-CN"/>
                    </w:rPr>
                    <w:t>)</w:t>
                  </w:r>
                </w:p>
              </w:tc>
            </w:tr>
            <w:tr w:rsidR="00805A5E" w:rsidTr="00547ACE">
              <w:trPr>
                <w:trHeight w:val="494"/>
              </w:trPr>
              <w:tc>
                <w:tcPr>
                  <w:tcW w:w="525" w:type="dxa"/>
                  <w:tcMar>
                    <w:left w:w="29" w:type="dxa"/>
                    <w:bottom w:w="29" w:type="dxa"/>
                    <w:right w:w="29" w:type="dxa"/>
                  </w:tcMar>
                </w:tcPr>
                <w:p w:rsidR="00805A5E" w:rsidRDefault="00805A5E" w:rsidP="00547ACE">
                  <w:pPr>
                    <w:jc w:val="center"/>
                    <w:rPr>
                      <w:rFonts w:eastAsia="SimSun" w:cs="Arial"/>
                      <w:sz w:val="16"/>
                      <w:szCs w:val="16"/>
                      <w:lang w:eastAsia="zh-CN"/>
                    </w:rPr>
                  </w:pPr>
                  <w:r>
                    <w:rPr>
                      <w:rFonts w:eastAsia="SimSun" w:cs="Arial"/>
                      <w:sz w:val="16"/>
                      <w:szCs w:val="16"/>
                      <w:lang w:eastAsia="zh-CN"/>
                    </w:rPr>
                    <w:t>WSO</w:t>
                  </w:r>
                </w:p>
              </w:tc>
              <w:tc>
                <w:tcPr>
                  <w:tcW w:w="1063" w:type="dxa"/>
                  <w:tcMar>
                    <w:left w:w="29" w:type="dxa"/>
                    <w:bottom w:w="29" w:type="dxa"/>
                    <w:right w:w="29" w:type="dxa"/>
                  </w:tcMar>
                </w:tcPr>
                <w:p w:rsidR="00805A5E" w:rsidRDefault="00805A5E" w:rsidP="00547ACE">
                  <w:pPr>
                    <w:jc w:val="center"/>
                    <w:rPr>
                      <w:rFonts w:eastAsia="SimSun" w:cs="Arial"/>
                      <w:sz w:val="16"/>
                      <w:szCs w:val="16"/>
                      <w:lang w:eastAsia="zh-CN"/>
                    </w:rPr>
                  </w:pPr>
                  <w:r>
                    <w:rPr>
                      <w:rFonts w:eastAsia="SimSun" w:cs="Arial"/>
                      <w:sz w:val="16"/>
                      <w:szCs w:val="16"/>
                      <w:lang w:eastAsia="zh-CN"/>
                    </w:rPr>
                    <w:t>+13%</w:t>
                  </w:r>
                </w:p>
                <w:p w:rsidR="00805A5E" w:rsidRDefault="00805A5E" w:rsidP="00547ACE">
                  <w:pPr>
                    <w:jc w:val="center"/>
                    <w:rPr>
                      <w:rFonts w:eastAsia="SimSun" w:cs="Arial"/>
                      <w:sz w:val="16"/>
                      <w:szCs w:val="16"/>
                      <w:lang w:eastAsia="zh-CN"/>
                    </w:rPr>
                  </w:pPr>
                  <w:r>
                    <w:rPr>
                      <w:rFonts w:eastAsia="SimSun" w:cs="Arial"/>
                      <w:sz w:val="16"/>
                      <w:szCs w:val="16"/>
                      <w:lang w:eastAsia="zh-CN"/>
                    </w:rPr>
                    <w:t>(</w:t>
                  </w:r>
                  <w:r w:rsidRPr="00B97B20">
                    <w:rPr>
                      <w:rFonts w:eastAsia="SimSun" w:cs="Arial"/>
                      <w:sz w:val="16"/>
                      <w:szCs w:val="16"/>
                      <w:lang w:eastAsia="zh-CN"/>
                    </w:rPr>
                    <w:t>54</w:t>
                  </w:r>
                  <w:r>
                    <w:rPr>
                      <w:rFonts w:eastAsia="SimSun" w:cs="Arial"/>
                      <w:sz w:val="16"/>
                      <w:szCs w:val="16"/>
                      <w:lang w:eastAsia="zh-CN"/>
                    </w:rPr>
                    <w:t>)</w:t>
                  </w:r>
                  <w:r w:rsidRPr="00B97B20">
                    <w:rPr>
                      <w:rStyle w:val="FootnoteReference"/>
                      <w:rFonts w:eastAsia="SimSun" w:cs="Arial"/>
                      <w:szCs w:val="16"/>
                      <w:lang w:eastAsia="zh-CN"/>
                    </w:rPr>
                    <w:footnoteReference w:id="113"/>
                  </w:r>
                </w:p>
                <w:p w:rsidR="00805A5E" w:rsidRPr="009C0408" w:rsidRDefault="00805A5E" w:rsidP="00547ACE">
                  <w:pPr>
                    <w:jc w:val="center"/>
                    <w:rPr>
                      <w:rFonts w:eastAsia="SimSun" w:cs="Arial"/>
                      <w:sz w:val="8"/>
                      <w:szCs w:val="8"/>
                      <w:lang w:eastAsia="zh-CN"/>
                    </w:rPr>
                  </w:pPr>
                </w:p>
              </w:tc>
              <w:tc>
                <w:tcPr>
                  <w:tcW w:w="748" w:type="dxa"/>
                  <w:tcMar>
                    <w:left w:w="29" w:type="dxa"/>
                    <w:bottom w:w="29" w:type="dxa"/>
                    <w:right w:w="29" w:type="dxa"/>
                  </w:tcMar>
                </w:tcPr>
                <w:p w:rsidR="00805A5E" w:rsidRDefault="00805A5E" w:rsidP="00547ACE">
                  <w:pPr>
                    <w:jc w:val="center"/>
                    <w:rPr>
                      <w:rFonts w:eastAsia="SimSun" w:cs="Arial"/>
                      <w:sz w:val="16"/>
                      <w:szCs w:val="16"/>
                      <w:lang w:eastAsia="zh-CN"/>
                    </w:rPr>
                  </w:pPr>
                  <w:r>
                    <w:rPr>
                      <w:rFonts w:eastAsia="SimSun" w:cs="Arial"/>
                      <w:sz w:val="16"/>
                      <w:szCs w:val="16"/>
                      <w:lang w:eastAsia="zh-CN"/>
                    </w:rPr>
                    <w:t>+52%</w:t>
                  </w:r>
                </w:p>
                <w:p w:rsidR="00805A5E" w:rsidRPr="00B97B20" w:rsidRDefault="00805A5E" w:rsidP="00547ACE">
                  <w:pPr>
                    <w:jc w:val="center"/>
                    <w:rPr>
                      <w:rFonts w:eastAsia="SimSun" w:cs="Arial"/>
                      <w:sz w:val="16"/>
                      <w:szCs w:val="16"/>
                      <w:lang w:eastAsia="zh-CN"/>
                    </w:rPr>
                  </w:pPr>
                  <w:r>
                    <w:rPr>
                      <w:rFonts w:eastAsia="SimSun" w:cs="Arial"/>
                      <w:sz w:val="16"/>
                      <w:szCs w:val="16"/>
                      <w:lang w:eastAsia="zh-CN"/>
                    </w:rPr>
                    <w:t>(</w:t>
                  </w:r>
                  <w:r w:rsidRPr="00B97B20">
                    <w:rPr>
                      <w:rFonts w:eastAsia="SimSun" w:cs="Arial"/>
                      <w:sz w:val="16"/>
                      <w:szCs w:val="16"/>
                      <w:lang w:eastAsia="zh-CN"/>
                    </w:rPr>
                    <w:t>82</w:t>
                  </w:r>
                  <w:r>
                    <w:rPr>
                      <w:rFonts w:eastAsia="SimSun" w:cs="Arial"/>
                      <w:sz w:val="16"/>
                      <w:szCs w:val="16"/>
                      <w:lang w:eastAsia="zh-CN"/>
                    </w:rPr>
                    <w:t>)</w:t>
                  </w:r>
                </w:p>
              </w:tc>
            </w:tr>
          </w:tbl>
          <w:p w:rsidR="00805A5E" w:rsidRPr="00B35AFA" w:rsidRDefault="00805A5E" w:rsidP="00547ACE">
            <w:pPr>
              <w:rPr>
                <w:rFonts w:eastAsia="SimSun" w:cs="Arial"/>
                <w:sz w:val="16"/>
                <w:szCs w:val="16"/>
                <w:lang w:eastAsia="zh-CN"/>
              </w:rPr>
            </w:pPr>
          </w:p>
        </w:tc>
        <w:tc>
          <w:tcPr>
            <w:tcW w:w="588" w:type="pct"/>
            <w:gridSpan w:val="6"/>
            <w:tcBorders>
              <w:top w:val="nil"/>
              <w:left w:val="nil"/>
              <w:bottom w:val="single" w:sz="4" w:space="0" w:color="auto"/>
              <w:right w:val="single" w:sz="4" w:space="0" w:color="auto"/>
            </w:tcBorders>
            <w:shd w:val="clear" w:color="auto" w:fill="auto"/>
            <w:tcMar>
              <w:top w:w="110" w:type="dxa"/>
            </w:tcMar>
          </w:tcPr>
          <w:p w:rsidR="00805A5E" w:rsidRDefault="00805A5E" w:rsidP="00547ACE">
            <w:pPr>
              <w:keepNext/>
              <w:keepLines/>
              <w:ind w:left="-78" w:right="20" w:firstLine="46"/>
              <w:jc w:val="center"/>
              <w:rPr>
                <w:rFonts w:eastAsia="SimSun" w:cs="Arial"/>
                <w:b/>
                <w:bCs/>
                <w:color w:val="808080"/>
                <w:sz w:val="14"/>
                <w:szCs w:val="14"/>
                <w:lang w:eastAsia="zh-CN"/>
              </w:rPr>
            </w:pPr>
          </w:p>
          <w:p w:rsidR="00805A5E" w:rsidRPr="002815EE" w:rsidRDefault="00805A5E" w:rsidP="00547ACE">
            <w:pPr>
              <w:keepNext/>
              <w:keepLines/>
              <w:ind w:left="-78" w:right="20" w:firstLine="46"/>
              <w:jc w:val="center"/>
              <w:rPr>
                <w:rFonts w:eastAsia="SimSun" w:cs="Arial"/>
                <w:b/>
                <w:bCs/>
                <w:color w:val="808080"/>
                <w:sz w:val="14"/>
                <w:szCs w:val="14"/>
                <w:lang w:eastAsia="zh-CN"/>
              </w:rPr>
            </w:pPr>
            <w:r w:rsidRPr="002815EE">
              <w:rPr>
                <w:rFonts w:eastAsia="SimSun" w:cs="Arial"/>
                <w:b/>
                <w:bCs/>
                <w:color w:val="808080"/>
                <w:sz w:val="14"/>
                <w:szCs w:val="14"/>
                <w:lang w:eastAsia="zh-CN"/>
              </w:rPr>
              <w:t>Not</w:t>
            </w:r>
          </w:p>
          <w:p w:rsidR="00805A5E" w:rsidRPr="002815EE" w:rsidRDefault="00805A5E" w:rsidP="00547ACE">
            <w:pPr>
              <w:keepNext/>
              <w:keepLines/>
              <w:ind w:left="-78" w:right="20" w:firstLine="46"/>
              <w:jc w:val="center"/>
              <w:rPr>
                <w:rFonts w:eastAsia="SimSun" w:cs="Arial"/>
                <w:b/>
                <w:bCs/>
                <w:color w:val="808080"/>
                <w:sz w:val="14"/>
                <w:szCs w:val="14"/>
                <w:lang w:eastAsia="zh-CN"/>
              </w:rPr>
            </w:pPr>
            <w:r w:rsidRPr="002815EE">
              <w:rPr>
                <w:rFonts w:eastAsia="SimSun" w:cs="Arial"/>
                <w:b/>
                <w:bCs/>
                <w:color w:val="808080"/>
                <w:sz w:val="14"/>
                <w:szCs w:val="14"/>
                <w:lang w:eastAsia="zh-CN"/>
              </w:rPr>
              <w:t>Assessable</w:t>
            </w:r>
          </w:p>
          <w:p w:rsidR="00805A5E" w:rsidRPr="003178C3" w:rsidRDefault="00805A5E" w:rsidP="00547ACE">
            <w:pPr>
              <w:keepNext/>
              <w:keepLines/>
              <w:ind w:left="-135" w:right="20"/>
              <w:jc w:val="center"/>
              <w:rPr>
                <w:rFonts w:eastAsia="SimSun" w:cs="Arial"/>
                <w:b/>
                <w:bCs/>
                <w:color w:val="808080"/>
                <w:sz w:val="16"/>
                <w:szCs w:val="16"/>
                <w:lang w:eastAsia="zh-CN"/>
                <w14:textFill>
                  <w14:solidFill>
                    <w14:srgbClr w14:val="808080">
                      <w14:lumMod w14:val="50000"/>
                    </w14:srgbClr>
                  </w14:solidFill>
                </w14:textFill>
              </w:rPr>
            </w:pPr>
          </w:p>
          <w:p w:rsidR="00805A5E" w:rsidRPr="002815EE" w:rsidRDefault="00805A5E" w:rsidP="00547ACE">
            <w:pPr>
              <w:keepNext/>
              <w:keepLines/>
              <w:ind w:left="-78" w:right="20" w:firstLine="46"/>
              <w:jc w:val="center"/>
              <w:rPr>
                <w:rFonts w:eastAsia="SimSun" w:cs="Arial"/>
                <w:b/>
                <w:bCs/>
                <w:color w:val="808080"/>
                <w:sz w:val="14"/>
                <w:szCs w:val="14"/>
                <w:lang w:eastAsia="zh-CN"/>
              </w:rPr>
            </w:pPr>
            <w:r w:rsidRPr="002815EE">
              <w:rPr>
                <w:rFonts w:eastAsia="SimSun" w:cs="Arial"/>
                <w:b/>
                <w:bCs/>
                <w:color w:val="808080"/>
                <w:sz w:val="14"/>
                <w:szCs w:val="14"/>
                <w:lang w:eastAsia="zh-CN"/>
              </w:rPr>
              <w:t>Not Assessable</w:t>
            </w:r>
          </w:p>
          <w:p w:rsidR="00805A5E" w:rsidRPr="00DE5094" w:rsidRDefault="00805A5E" w:rsidP="00547ACE">
            <w:pPr>
              <w:keepNext/>
              <w:keepLines/>
              <w:ind w:right="20" w:hanging="71"/>
              <w:jc w:val="center"/>
              <w:rPr>
                <w:rFonts w:eastAsia="SimSun" w:cs="Arial"/>
                <w:b/>
                <w:bCs/>
                <w:color w:val="808080"/>
                <w:sz w:val="14"/>
                <w:szCs w:val="14"/>
                <w:lang w:eastAsia="zh-CN"/>
              </w:rPr>
            </w:pPr>
          </w:p>
        </w:tc>
      </w:tr>
      <w:tr w:rsidR="00805A5E" w:rsidRPr="00B35AFA" w:rsidTr="00547ACE">
        <w:tc>
          <w:tcPr>
            <w:tcW w:w="5000" w:type="pct"/>
            <w:gridSpan w:val="17"/>
            <w:tcBorders>
              <w:top w:val="single" w:sz="4" w:space="0" w:color="auto"/>
              <w:bottom w:val="single" w:sz="4" w:space="0" w:color="auto"/>
            </w:tcBorders>
            <w:shd w:val="clear" w:color="auto" w:fill="C6D9F1" w:themeFill="text2" w:themeFillTint="33"/>
          </w:tcPr>
          <w:p w:rsidR="00805A5E" w:rsidRPr="00FF28A3" w:rsidRDefault="00805A5E" w:rsidP="00547ACE">
            <w:pPr>
              <w:keepNext/>
              <w:keepLines/>
              <w:tabs>
                <w:tab w:val="left" w:pos="1452"/>
              </w:tabs>
              <w:spacing w:before="120" w:after="120"/>
              <w:ind w:left="1452" w:hanging="1452"/>
              <w:rPr>
                <w:rFonts w:eastAsia="SimSun" w:cs="Arial"/>
                <w:b/>
                <w:bCs/>
                <w:sz w:val="16"/>
                <w:szCs w:val="16"/>
                <w:lang w:eastAsia="zh-CN"/>
              </w:rPr>
            </w:pPr>
            <w:r w:rsidRPr="000D3F45">
              <w:rPr>
                <w:rFonts w:eastAsia="SimSun" w:cs="Arial"/>
                <w:b/>
                <w:bCs/>
                <w:sz w:val="16"/>
                <w:szCs w:val="16"/>
                <w:lang w:eastAsia="zh-CN"/>
              </w:rPr>
              <w:t>Expected Result:</w:t>
            </w:r>
            <w:r w:rsidRPr="000D3F45">
              <w:rPr>
                <w:rFonts w:eastAsia="SimSun" w:cs="Arial"/>
                <w:b/>
                <w:bCs/>
                <w:sz w:val="16"/>
                <w:szCs w:val="16"/>
                <w:lang w:eastAsia="zh-CN"/>
              </w:rPr>
              <w:tab/>
            </w:r>
            <w:r w:rsidRPr="007A3976">
              <w:rPr>
                <w:rFonts w:eastAsia="SimSun" w:cs="Arial"/>
                <w:color w:val="000000"/>
                <w:sz w:val="16"/>
                <w:szCs w:val="16"/>
                <w:lang w:eastAsia="zh-CN"/>
              </w:rPr>
              <w:t>II.8 International and domestic intellectual property disputes are increasingly prevented or resolved through WIPO mediation, arbitration and other alternative dispute resolution methods</w:t>
            </w:r>
          </w:p>
        </w:tc>
      </w:tr>
      <w:tr w:rsidR="00805A5E" w:rsidRPr="00B35AFA" w:rsidTr="00547ACE">
        <w:tc>
          <w:tcPr>
            <w:tcW w:w="1114" w:type="pct"/>
            <w:tcBorders>
              <w:top w:val="single" w:sz="4" w:space="0" w:color="auto"/>
              <w:left w:val="single" w:sz="4" w:space="0" w:color="auto"/>
              <w:bottom w:val="nil"/>
              <w:right w:val="nil"/>
            </w:tcBorders>
            <w:shd w:val="clear" w:color="auto" w:fill="auto"/>
          </w:tcPr>
          <w:p w:rsidR="00805A5E" w:rsidRPr="00005B71" w:rsidRDefault="00805A5E" w:rsidP="005E61AB">
            <w:pPr>
              <w:keepNext/>
              <w:keepLines/>
              <w:rPr>
                <w:rFonts w:eastAsia="SimSun" w:cs="Arial"/>
                <w:color w:val="000000"/>
                <w:sz w:val="16"/>
                <w:szCs w:val="16"/>
                <w:lang w:eastAsia="zh-CN"/>
              </w:rPr>
            </w:pPr>
            <w:r w:rsidRPr="00B35AFA">
              <w:rPr>
                <w:rFonts w:eastAsia="SimSun" w:cs="Arial"/>
                <w:b/>
                <w:bCs/>
                <w:sz w:val="16"/>
                <w:szCs w:val="16"/>
                <w:lang w:eastAsia="zh-CN"/>
              </w:rPr>
              <w:t>Performance Indicators</w:t>
            </w:r>
          </w:p>
        </w:tc>
        <w:tc>
          <w:tcPr>
            <w:tcW w:w="923" w:type="pct"/>
            <w:gridSpan w:val="2"/>
            <w:tcBorders>
              <w:top w:val="single" w:sz="4" w:space="0" w:color="auto"/>
              <w:left w:val="nil"/>
              <w:bottom w:val="nil"/>
              <w:right w:val="nil"/>
            </w:tcBorders>
            <w:shd w:val="clear" w:color="auto" w:fill="auto"/>
          </w:tcPr>
          <w:p w:rsidR="00805A5E" w:rsidRPr="00005B71" w:rsidRDefault="00805A5E" w:rsidP="00547ACE">
            <w:pPr>
              <w:rPr>
                <w:rFonts w:cs="Arial"/>
                <w:color w:val="002060"/>
                <w:sz w:val="16"/>
                <w:szCs w:val="16"/>
              </w:rPr>
            </w:pPr>
            <w:r w:rsidRPr="00B35AFA">
              <w:rPr>
                <w:rFonts w:cs="Arial"/>
                <w:b/>
                <w:bCs/>
                <w:sz w:val="16"/>
                <w:szCs w:val="16"/>
              </w:rPr>
              <w:t>Baselines</w:t>
            </w:r>
          </w:p>
        </w:tc>
        <w:tc>
          <w:tcPr>
            <w:tcW w:w="900" w:type="pct"/>
            <w:gridSpan w:val="6"/>
            <w:tcBorders>
              <w:top w:val="single" w:sz="4" w:space="0" w:color="auto"/>
              <w:left w:val="nil"/>
              <w:bottom w:val="nil"/>
              <w:right w:val="nil"/>
            </w:tcBorders>
            <w:shd w:val="clear" w:color="auto" w:fill="auto"/>
            <w:tcMar>
              <w:top w:w="110" w:type="dxa"/>
            </w:tcMar>
          </w:tcPr>
          <w:p w:rsidR="00805A5E" w:rsidRPr="00005B71" w:rsidRDefault="00805A5E" w:rsidP="00547ACE">
            <w:pPr>
              <w:rPr>
                <w:rFonts w:eastAsia="SimSun" w:cs="Arial"/>
                <w:sz w:val="16"/>
                <w:szCs w:val="16"/>
                <w:lang w:eastAsia="zh-CN"/>
              </w:rPr>
            </w:pPr>
            <w:r w:rsidRPr="00B35AFA">
              <w:rPr>
                <w:rFonts w:cs="Arial"/>
                <w:b/>
                <w:sz w:val="16"/>
                <w:szCs w:val="16"/>
              </w:rPr>
              <w:t>Targets</w:t>
            </w:r>
          </w:p>
        </w:tc>
        <w:tc>
          <w:tcPr>
            <w:tcW w:w="1475" w:type="pct"/>
            <w:gridSpan w:val="2"/>
            <w:tcBorders>
              <w:top w:val="single" w:sz="4" w:space="0" w:color="auto"/>
              <w:left w:val="nil"/>
              <w:bottom w:val="nil"/>
              <w:right w:val="nil"/>
            </w:tcBorders>
            <w:shd w:val="clear" w:color="auto" w:fill="FFFFFF"/>
            <w:tcMar>
              <w:top w:w="110" w:type="dxa"/>
            </w:tcMar>
          </w:tcPr>
          <w:p w:rsidR="00805A5E" w:rsidRPr="00B35AFA" w:rsidRDefault="00805A5E" w:rsidP="00547ACE">
            <w:pPr>
              <w:rPr>
                <w:rFonts w:eastAsia="SimSun" w:cs="Arial"/>
                <w:sz w:val="16"/>
                <w:szCs w:val="16"/>
                <w:lang w:eastAsia="zh-CN"/>
              </w:rPr>
            </w:pPr>
            <w:r w:rsidRPr="00B35AFA">
              <w:rPr>
                <w:rFonts w:eastAsia="SimSun" w:cs="Arial"/>
                <w:b/>
                <w:bCs/>
                <w:sz w:val="16"/>
                <w:szCs w:val="16"/>
                <w:lang w:eastAsia="zh-CN"/>
              </w:rPr>
              <w:t>Performance Data</w:t>
            </w:r>
          </w:p>
        </w:tc>
        <w:tc>
          <w:tcPr>
            <w:tcW w:w="588" w:type="pct"/>
            <w:gridSpan w:val="6"/>
            <w:tcBorders>
              <w:top w:val="single" w:sz="4" w:space="0" w:color="auto"/>
              <w:left w:val="nil"/>
              <w:bottom w:val="nil"/>
              <w:right w:val="single" w:sz="4" w:space="0" w:color="auto"/>
            </w:tcBorders>
            <w:shd w:val="clear" w:color="auto" w:fill="auto"/>
            <w:tcMar>
              <w:top w:w="110" w:type="dxa"/>
            </w:tcMar>
          </w:tcPr>
          <w:p w:rsidR="00805A5E" w:rsidRPr="000D3F45" w:rsidRDefault="00805A5E" w:rsidP="00547ACE">
            <w:pPr>
              <w:keepNext/>
              <w:keepLines/>
              <w:ind w:left="71" w:right="20"/>
              <w:jc w:val="center"/>
              <w:rPr>
                <w:rFonts w:eastAsia="SimSun" w:cs="Arial"/>
                <w:b/>
                <w:bCs/>
                <w:color w:val="808080"/>
                <w:sz w:val="16"/>
                <w:szCs w:val="16"/>
                <w:lang w:eastAsia="zh-CN"/>
              </w:rPr>
            </w:pPr>
            <w:r w:rsidRPr="000D3F45">
              <w:rPr>
                <w:rFonts w:eastAsia="SimSun" w:cs="Arial"/>
                <w:b/>
                <w:bCs/>
                <w:sz w:val="16"/>
                <w:szCs w:val="16"/>
                <w:lang w:eastAsia="zh-CN"/>
              </w:rPr>
              <w:t>TLS</w:t>
            </w:r>
          </w:p>
        </w:tc>
      </w:tr>
      <w:tr w:rsidR="00805A5E" w:rsidRPr="00B35AFA" w:rsidTr="00547ACE">
        <w:tc>
          <w:tcPr>
            <w:tcW w:w="1114" w:type="pct"/>
            <w:tcBorders>
              <w:top w:val="nil"/>
              <w:left w:val="single" w:sz="4" w:space="0" w:color="auto"/>
              <w:bottom w:val="single" w:sz="4" w:space="0" w:color="auto"/>
              <w:right w:val="nil"/>
            </w:tcBorders>
            <w:shd w:val="clear" w:color="auto" w:fill="auto"/>
          </w:tcPr>
          <w:p w:rsidR="00805A5E" w:rsidRPr="00005B71" w:rsidRDefault="00805A5E" w:rsidP="005E61AB">
            <w:pPr>
              <w:keepNext/>
              <w:keepLines/>
              <w:rPr>
                <w:rFonts w:eastAsia="SimSun" w:cs="Arial"/>
                <w:color w:val="000000"/>
                <w:sz w:val="16"/>
                <w:szCs w:val="16"/>
                <w:lang w:eastAsia="zh-CN"/>
              </w:rPr>
            </w:pPr>
            <w:r w:rsidRPr="00005B71">
              <w:rPr>
                <w:rFonts w:eastAsia="SimSun" w:cs="Arial"/>
                <w:color w:val="000000"/>
                <w:sz w:val="16"/>
                <w:szCs w:val="16"/>
                <w:lang w:eastAsia="zh-CN"/>
              </w:rPr>
              <w:t>Increased consideration of the use of alternative dispute resolution services in intellectual property transactions, including through the use of WIPO procedures</w:t>
            </w:r>
          </w:p>
        </w:tc>
        <w:tc>
          <w:tcPr>
            <w:tcW w:w="923" w:type="pct"/>
            <w:gridSpan w:val="2"/>
            <w:tcBorders>
              <w:top w:val="nil"/>
              <w:left w:val="nil"/>
              <w:bottom w:val="single" w:sz="4" w:space="0" w:color="auto"/>
              <w:right w:val="nil"/>
            </w:tcBorders>
            <w:shd w:val="clear" w:color="auto" w:fill="auto"/>
          </w:tcPr>
          <w:p w:rsidR="00805A5E" w:rsidDel="00862781" w:rsidRDefault="00805A5E" w:rsidP="00547ACE">
            <w:pPr>
              <w:rPr>
                <w:rFonts w:cs="Arial"/>
                <w:i/>
                <w:color w:val="002060"/>
                <w:sz w:val="16"/>
                <w:szCs w:val="16"/>
              </w:rPr>
            </w:pPr>
            <w:r w:rsidRPr="00005B71">
              <w:rPr>
                <w:rFonts w:cs="Arial"/>
                <w:sz w:val="16"/>
                <w:szCs w:val="16"/>
              </w:rPr>
              <w:t>n/a (WBO)</w:t>
            </w:r>
          </w:p>
        </w:tc>
        <w:tc>
          <w:tcPr>
            <w:tcW w:w="900" w:type="pct"/>
            <w:gridSpan w:val="6"/>
            <w:tcBorders>
              <w:top w:val="nil"/>
              <w:left w:val="nil"/>
              <w:bottom w:val="single" w:sz="4" w:space="0" w:color="auto"/>
              <w:right w:val="nil"/>
            </w:tcBorders>
            <w:shd w:val="clear" w:color="auto" w:fill="auto"/>
            <w:tcMar>
              <w:top w:w="110" w:type="dxa"/>
            </w:tcMar>
          </w:tcPr>
          <w:p w:rsidR="00805A5E" w:rsidRDefault="00805A5E" w:rsidP="00547ACE">
            <w:pPr>
              <w:rPr>
                <w:rFonts w:eastAsia="SimSun" w:cs="Arial"/>
                <w:sz w:val="16"/>
                <w:szCs w:val="16"/>
                <w:lang w:eastAsia="zh-CN"/>
              </w:rPr>
            </w:pPr>
            <w:r w:rsidRPr="00005B71">
              <w:rPr>
                <w:rFonts w:eastAsia="SimSun" w:cs="Arial"/>
                <w:sz w:val="16"/>
                <w:szCs w:val="16"/>
                <w:lang w:eastAsia="zh-CN"/>
              </w:rPr>
              <w:t>30 disputes presented by Brazilian users at INPI and 4 disputes non-residents</w:t>
            </w:r>
            <w:r>
              <w:rPr>
                <w:rFonts w:eastAsia="SimSun" w:cs="Arial"/>
                <w:sz w:val="16"/>
                <w:szCs w:val="16"/>
                <w:lang w:eastAsia="zh-CN"/>
              </w:rPr>
              <w:t xml:space="preserve"> </w:t>
            </w:r>
            <w:r w:rsidRPr="00005B71">
              <w:rPr>
                <w:rFonts w:eastAsia="SimSun" w:cs="Arial"/>
                <w:sz w:val="16"/>
                <w:szCs w:val="16"/>
                <w:lang w:eastAsia="zh-CN"/>
              </w:rPr>
              <w:t>presented at WBO to be processed by WIPO MAC (WBO)</w:t>
            </w:r>
          </w:p>
          <w:p w:rsidR="00805A5E" w:rsidRPr="00005B71" w:rsidRDefault="00805A5E" w:rsidP="00547ACE">
            <w:pPr>
              <w:rPr>
                <w:rFonts w:eastAsia="SimSun" w:cs="Arial"/>
                <w:sz w:val="16"/>
                <w:szCs w:val="16"/>
                <w:lang w:eastAsia="zh-CN"/>
              </w:rPr>
            </w:pPr>
          </w:p>
        </w:tc>
        <w:tc>
          <w:tcPr>
            <w:tcW w:w="1475" w:type="pct"/>
            <w:gridSpan w:val="2"/>
            <w:tcBorders>
              <w:top w:val="nil"/>
              <w:left w:val="nil"/>
              <w:bottom w:val="single" w:sz="4" w:space="0" w:color="auto"/>
              <w:right w:val="nil"/>
            </w:tcBorders>
            <w:shd w:val="clear" w:color="auto" w:fill="FFFFFF"/>
            <w:tcMar>
              <w:top w:w="110" w:type="dxa"/>
            </w:tcMar>
          </w:tcPr>
          <w:p w:rsidR="00805A5E" w:rsidRDefault="00805A5E" w:rsidP="00547ACE">
            <w:pPr>
              <w:rPr>
                <w:rFonts w:eastAsia="SimSun" w:cs="Arial"/>
                <w:sz w:val="16"/>
                <w:szCs w:val="16"/>
                <w:lang w:eastAsia="zh-CN"/>
              </w:rPr>
            </w:pPr>
            <w:r>
              <w:rPr>
                <w:rFonts w:eastAsia="SimSun" w:cs="Arial"/>
                <w:sz w:val="16"/>
                <w:szCs w:val="16"/>
                <w:lang w:eastAsia="zh-CN"/>
              </w:rPr>
              <w:t xml:space="preserve">Due to changes in INPI in 2014, the project on the </w:t>
            </w:r>
            <w:r w:rsidRPr="00005B71">
              <w:rPr>
                <w:rFonts w:eastAsia="SimSun" w:cs="Arial"/>
                <w:color w:val="000000"/>
                <w:sz w:val="16"/>
                <w:szCs w:val="16"/>
                <w:lang w:eastAsia="zh-CN"/>
              </w:rPr>
              <w:t xml:space="preserve">use of alternative dispute resolution services in </w:t>
            </w:r>
            <w:r>
              <w:rPr>
                <w:rFonts w:eastAsia="SimSun" w:cs="Arial"/>
                <w:color w:val="000000"/>
                <w:sz w:val="16"/>
                <w:szCs w:val="16"/>
                <w:lang w:eastAsia="zh-CN"/>
              </w:rPr>
              <w:t>IP</w:t>
            </w:r>
            <w:r w:rsidRPr="00005B71">
              <w:rPr>
                <w:rFonts w:eastAsia="SimSun" w:cs="Arial"/>
                <w:color w:val="000000"/>
                <w:sz w:val="16"/>
                <w:szCs w:val="16"/>
                <w:lang w:eastAsia="zh-CN"/>
              </w:rPr>
              <w:t xml:space="preserve"> transactions</w:t>
            </w:r>
            <w:r>
              <w:rPr>
                <w:rFonts w:eastAsia="SimSun" w:cs="Arial"/>
                <w:sz w:val="16"/>
                <w:szCs w:val="16"/>
                <w:lang w:eastAsia="zh-CN"/>
              </w:rPr>
              <w:t xml:space="preserve"> was put on hold (WBO)</w:t>
            </w:r>
          </w:p>
          <w:p w:rsidR="00805A5E" w:rsidDel="00844714" w:rsidRDefault="00805A5E" w:rsidP="00547ACE">
            <w:pPr>
              <w:rPr>
                <w:rFonts w:eastAsia="SimSun" w:cs="Arial"/>
                <w:sz w:val="16"/>
                <w:szCs w:val="16"/>
                <w:lang w:eastAsia="zh-CN"/>
              </w:rPr>
            </w:pPr>
          </w:p>
        </w:tc>
        <w:tc>
          <w:tcPr>
            <w:tcW w:w="588" w:type="pct"/>
            <w:gridSpan w:val="6"/>
            <w:tcBorders>
              <w:top w:val="nil"/>
              <w:left w:val="nil"/>
              <w:bottom w:val="single" w:sz="4" w:space="0" w:color="auto"/>
              <w:right w:val="single" w:sz="4" w:space="0" w:color="auto"/>
            </w:tcBorders>
            <w:shd w:val="clear" w:color="auto" w:fill="auto"/>
            <w:tcMar>
              <w:top w:w="110" w:type="dxa"/>
            </w:tcMar>
          </w:tcPr>
          <w:p w:rsidR="00805A5E" w:rsidRPr="000D3F45" w:rsidRDefault="00805A5E" w:rsidP="00547ACE">
            <w:pPr>
              <w:keepNext/>
              <w:keepLines/>
              <w:ind w:left="-27" w:right="20"/>
              <w:jc w:val="center"/>
              <w:rPr>
                <w:rFonts w:eastAsia="SimSun" w:cs="Arial"/>
                <w:b/>
                <w:bCs/>
                <w:color w:val="FF0000"/>
                <w:sz w:val="16"/>
                <w:szCs w:val="16"/>
                <w:lang w:eastAsia="zh-CN"/>
              </w:rPr>
            </w:pPr>
            <w:r w:rsidRPr="00FF28A3">
              <w:rPr>
                <w:rFonts w:eastAsia="SimSun" w:cs="Arial"/>
                <w:b/>
                <w:color w:val="FF0000"/>
                <w:sz w:val="16"/>
                <w:szCs w:val="16"/>
                <w:lang w:eastAsia="zh-CN"/>
              </w:rPr>
              <w:t>Not Achieved</w:t>
            </w:r>
          </w:p>
        </w:tc>
      </w:tr>
      <w:tr w:rsidR="00805A5E" w:rsidRPr="00B35AFA" w:rsidTr="00547ACE">
        <w:trPr>
          <w:trHeight w:val="610"/>
        </w:trPr>
        <w:tc>
          <w:tcPr>
            <w:tcW w:w="5000" w:type="pct"/>
            <w:gridSpan w:val="17"/>
            <w:tcBorders>
              <w:top w:val="single" w:sz="4" w:space="0" w:color="auto"/>
              <w:bottom w:val="single" w:sz="2" w:space="0" w:color="auto"/>
            </w:tcBorders>
            <w:shd w:val="clear" w:color="auto" w:fill="C6D9F1" w:themeFill="text2" w:themeFillTint="33"/>
          </w:tcPr>
          <w:p w:rsidR="00805A5E" w:rsidRPr="000D3F45" w:rsidRDefault="00805A5E" w:rsidP="00547ACE">
            <w:pPr>
              <w:tabs>
                <w:tab w:val="left" w:pos="1452"/>
              </w:tabs>
              <w:spacing w:before="120" w:after="120"/>
              <w:ind w:left="1452" w:hanging="1452"/>
              <w:rPr>
                <w:rFonts w:eastAsia="SimSun" w:cs="Arial"/>
                <w:b/>
                <w:bCs/>
                <w:sz w:val="16"/>
                <w:szCs w:val="16"/>
                <w:lang w:eastAsia="zh-CN"/>
              </w:rPr>
            </w:pPr>
            <w:r w:rsidRPr="000D3F45">
              <w:rPr>
                <w:rFonts w:eastAsia="SimSun" w:cs="Arial"/>
                <w:b/>
                <w:bCs/>
                <w:sz w:val="16"/>
                <w:szCs w:val="16"/>
                <w:lang w:eastAsia="zh-CN"/>
              </w:rPr>
              <w:t>Expected Result:</w:t>
            </w:r>
            <w:r w:rsidRPr="000D3F45">
              <w:rPr>
                <w:rFonts w:eastAsia="SimSun" w:cs="Arial"/>
                <w:b/>
                <w:bCs/>
                <w:sz w:val="16"/>
                <w:szCs w:val="16"/>
                <w:lang w:eastAsia="zh-CN"/>
              </w:rPr>
              <w:tab/>
            </w:r>
            <w:r w:rsidRPr="007A3976">
              <w:rPr>
                <w:rFonts w:eastAsia="SimSun" w:cs="Arial"/>
                <w:color w:val="000000"/>
                <w:sz w:val="16"/>
                <w:szCs w:val="16"/>
                <w:lang w:eastAsia="zh-CN"/>
              </w:rPr>
              <w:t>III.2 Enhanced human resource capacities able to deal with the broad range of requirements for the effective use of IP for development in developing countries, LDCs and countries with economies in transition</w:t>
            </w:r>
          </w:p>
        </w:tc>
      </w:tr>
      <w:tr w:rsidR="00805A5E" w:rsidRPr="00B35AFA" w:rsidTr="00547ACE">
        <w:tc>
          <w:tcPr>
            <w:tcW w:w="1114" w:type="pct"/>
            <w:tcBorders>
              <w:top w:val="single" w:sz="2" w:space="0" w:color="auto"/>
              <w:left w:val="single" w:sz="2" w:space="0" w:color="auto"/>
              <w:bottom w:val="nil"/>
              <w:right w:val="nil"/>
            </w:tcBorders>
            <w:shd w:val="clear" w:color="auto" w:fill="auto"/>
          </w:tcPr>
          <w:p w:rsidR="00805A5E" w:rsidRPr="00005B71" w:rsidRDefault="00805A5E" w:rsidP="00547ACE">
            <w:pPr>
              <w:rPr>
                <w:rFonts w:eastAsia="SimSun" w:cs="Arial"/>
                <w:color w:val="000000"/>
                <w:sz w:val="16"/>
                <w:szCs w:val="16"/>
                <w:lang w:eastAsia="zh-CN"/>
              </w:rPr>
            </w:pPr>
            <w:r w:rsidRPr="00B35AFA">
              <w:rPr>
                <w:rFonts w:eastAsia="SimSun" w:cs="Arial"/>
                <w:b/>
                <w:bCs/>
                <w:sz w:val="16"/>
                <w:szCs w:val="16"/>
                <w:lang w:eastAsia="zh-CN"/>
              </w:rPr>
              <w:t>Performance Indicators</w:t>
            </w:r>
          </w:p>
        </w:tc>
        <w:tc>
          <w:tcPr>
            <w:tcW w:w="923" w:type="pct"/>
            <w:gridSpan w:val="2"/>
            <w:tcBorders>
              <w:top w:val="single" w:sz="2" w:space="0" w:color="auto"/>
              <w:left w:val="nil"/>
              <w:bottom w:val="nil"/>
              <w:right w:val="nil"/>
            </w:tcBorders>
            <w:shd w:val="clear" w:color="auto" w:fill="auto"/>
          </w:tcPr>
          <w:p w:rsidR="00805A5E" w:rsidRDefault="00805A5E" w:rsidP="00547ACE">
            <w:pPr>
              <w:rPr>
                <w:rFonts w:cs="Arial"/>
                <w:i/>
                <w:color w:val="002060"/>
                <w:sz w:val="16"/>
                <w:szCs w:val="16"/>
              </w:rPr>
            </w:pPr>
            <w:r w:rsidRPr="00B35AFA">
              <w:rPr>
                <w:rFonts w:cs="Arial"/>
                <w:b/>
                <w:bCs/>
                <w:sz w:val="16"/>
                <w:szCs w:val="16"/>
              </w:rPr>
              <w:t>Baselines</w:t>
            </w:r>
          </w:p>
        </w:tc>
        <w:tc>
          <w:tcPr>
            <w:tcW w:w="900" w:type="pct"/>
            <w:gridSpan w:val="6"/>
            <w:tcBorders>
              <w:top w:val="single" w:sz="2" w:space="0" w:color="auto"/>
              <w:left w:val="nil"/>
              <w:bottom w:val="nil"/>
              <w:right w:val="nil"/>
            </w:tcBorders>
            <w:shd w:val="clear" w:color="auto" w:fill="auto"/>
            <w:tcMar>
              <w:top w:w="110" w:type="dxa"/>
            </w:tcMar>
          </w:tcPr>
          <w:p w:rsidR="00805A5E" w:rsidRPr="00005B71" w:rsidRDefault="00805A5E" w:rsidP="00547ACE">
            <w:pPr>
              <w:rPr>
                <w:rFonts w:eastAsia="SimSun" w:cs="Arial"/>
                <w:sz w:val="16"/>
                <w:szCs w:val="16"/>
                <w:lang w:eastAsia="zh-CN"/>
              </w:rPr>
            </w:pPr>
            <w:r w:rsidRPr="00B35AFA">
              <w:rPr>
                <w:rFonts w:cs="Arial"/>
                <w:b/>
                <w:sz w:val="16"/>
                <w:szCs w:val="16"/>
              </w:rPr>
              <w:t>Targets</w:t>
            </w:r>
          </w:p>
        </w:tc>
        <w:tc>
          <w:tcPr>
            <w:tcW w:w="1475" w:type="pct"/>
            <w:gridSpan w:val="2"/>
            <w:tcBorders>
              <w:top w:val="single" w:sz="2" w:space="0" w:color="auto"/>
              <w:left w:val="nil"/>
              <w:bottom w:val="nil"/>
              <w:right w:val="nil"/>
            </w:tcBorders>
            <w:shd w:val="clear" w:color="auto" w:fill="FFFFFF"/>
            <w:tcMar>
              <w:top w:w="110" w:type="dxa"/>
            </w:tcMar>
          </w:tcPr>
          <w:p w:rsidR="00805A5E" w:rsidRPr="00B35AFA" w:rsidRDefault="00805A5E" w:rsidP="00547ACE">
            <w:pPr>
              <w:rPr>
                <w:rFonts w:eastAsia="SimSun" w:cs="Arial"/>
                <w:sz w:val="16"/>
                <w:szCs w:val="16"/>
                <w:lang w:eastAsia="zh-CN"/>
              </w:rPr>
            </w:pPr>
            <w:r w:rsidRPr="00B35AFA">
              <w:rPr>
                <w:rFonts w:eastAsia="SimSun" w:cs="Arial"/>
                <w:b/>
                <w:bCs/>
                <w:sz w:val="16"/>
                <w:szCs w:val="16"/>
                <w:lang w:eastAsia="zh-CN"/>
              </w:rPr>
              <w:t>Performance Data</w:t>
            </w:r>
          </w:p>
        </w:tc>
        <w:tc>
          <w:tcPr>
            <w:tcW w:w="588" w:type="pct"/>
            <w:gridSpan w:val="6"/>
            <w:tcBorders>
              <w:top w:val="single" w:sz="2" w:space="0" w:color="auto"/>
              <w:left w:val="nil"/>
              <w:bottom w:val="nil"/>
              <w:right w:val="single" w:sz="2" w:space="0" w:color="auto"/>
            </w:tcBorders>
            <w:shd w:val="clear" w:color="auto" w:fill="auto"/>
            <w:tcMar>
              <w:top w:w="110" w:type="dxa"/>
            </w:tcMar>
          </w:tcPr>
          <w:p w:rsidR="00805A5E" w:rsidRPr="000D3F45" w:rsidRDefault="00805A5E" w:rsidP="00547ACE">
            <w:pPr>
              <w:keepNext/>
              <w:keepLines/>
              <w:ind w:left="71" w:right="20"/>
              <w:jc w:val="center"/>
              <w:rPr>
                <w:rFonts w:eastAsia="SimSun" w:cs="Arial"/>
                <w:b/>
                <w:bCs/>
                <w:color w:val="808080"/>
                <w:sz w:val="16"/>
                <w:szCs w:val="16"/>
                <w:lang w:eastAsia="zh-CN"/>
              </w:rPr>
            </w:pPr>
            <w:r w:rsidRPr="000D3F45">
              <w:rPr>
                <w:rFonts w:eastAsia="SimSun" w:cs="Arial"/>
                <w:b/>
                <w:bCs/>
                <w:sz w:val="16"/>
                <w:szCs w:val="16"/>
                <w:lang w:eastAsia="zh-CN"/>
              </w:rPr>
              <w:t>TLS</w:t>
            </w:r>
          </w:p>
        </w:tc>
      </w:tr>
      <w:tr w:rsidR="00805A5E" w:rsidRPr="00B35AFA" w:rsidTr="00547ACE">
        <w:tc>
          <w:tcPr>
            <w:tcW w:w="1114" w:type="pct"/>
            <w:tcBorders>
              <w:top w:val="nil"/>
              <w:left w:val="single" w:sz="2" w:space="0" w:color="auto"/>
              <w:bottom w:val="single" w:sz="2" w:space="0" w:color="auto"/>
              <w:right w:val="nil"/>
            </w:tcBorders>
            <w:shd w:val="clear" w:color="auto" w:fill="auto"/>
          </w:tcPr>
          <w:p w:rsidR="00805A5E" w:rsidRPr="00005B71" w:rsidRDefault="00805A5E" w:rsidP="00547ACE">
            <w:pPr>
              <w:rPr>
                <w:rFonts w:eastAsia="SimSun" w:cs="Arial"/>
                <w:color w:val="000000"/>
                <w:sz w:val="16"/>
                <w:szCs w:val="16"/>
                <w:lang w:eastAsia="zh-CN"/>
              </w:rPr>
            </w:pPr>
            <w:r w:rsidRPr="00005B71">
              <w:rPr>
                <w:rFonts w:eastAsia="SimSun" w:cs="Arial"/>
                <w:color w:val="000000"/>
                <w:sz w:val="16"/>
                <w:szCs w:val="16"/>
                <w:lang w:eastAsia="zh-CN"/>
              </w:rPr>
              <w:t>% of policy makers, government officials, IP practitioners and participants in targeted workshops with enhanced understanding of CMOs and how to effectively use IP for development</w:t>
            </w:r>
          </w:p>
        </w:tc>
        <w:tc>
          <w:tcPr>
            <w:tcW w:w="923" w:type="pct"/>
            <w:gridSpan w:val="2"/>
            <w:tcBorders>
              <w:top w:val="nil"/>
              <w:left w:val="nil"/>
              <w:bottom w:val="single" w:sz="2" w:space="0" w:color="auto"/>
              <w:right w:val="nil"/>
            </w:tcBorders>
            <w:shd w:val="clear" w:color="auto" w:fill="auto"/>
          </w:tcPr>
          <w:p w:rsidR="00805A5E" w:rsidRPr="00F60CAF" w:rsidRDefault="00805A5E" w:rsidP="00547ACE">
            <w:pPr>
              <w:rPr>
                <w:rFonts w:cs="Arial"/>
                <w:sz w:val="16"/>
                <w:szCs w:val="16"/>
                <w:lang w:val="pt-BR"/>
              </w:rPr>
            </w:pPr>
            <w:r w:rsidRPr="00F60CAF">
              <w:rPr>
                <w:rFonts w:cs="Arial"/>
                <w:sz w:val="16"/>
                <w:szCs w:val="16"/>
                <w:lang w:val="pt-BR"/>
              </w:rPr>
              <w:t>n/a (WBO)</w:t>
            </w:r>
          </w:p>
          <w:p w:rsidR="00805A5E" w:rsidRPr="00F60CAF" w:rsidRDefault="00805A5E" w:rsidP="00547ACE">
            <w:pPr>
              <w:rPr>
                <w:rFonts w:cs="Arial"/>
                <w:sz w:val="16"/>
                <w:szCs w:val="16"/>
                <w:lang w:val="pt-BR"/>
              </w:rPr>
            </w:pPr>
            <w:r w:rsidRPr="00F60CAF">
              <w:rPr>
                <w:rFonts w:cs="Arial"/>
                <w:sz w:val="16"/>
                <w:szCs w:val="16"/>
                <w:lang w:val="pt-BR"/>
              </w:rPr>
              <w:t>n/a (WJO)</w:t>
            </w:r>
          </w:p>
          <w:p w:rsidR="00805A5E" w:rsidRPr="00005B71" w:rsidRDefault="00805A5E" w:rsidP="00547ACE">
            <w:pPr>
              <w:rPr>
                <w:rFonts w:cs="Arial"/>
                <w:sz w:val="16"/>
                <w:szCs w:val="16"/>
              </w:rPr>
            </w:pPr>
            <w:r w:rsidRPr="00005B71">
              <w:rPr>
                <w:rFonts w:cs="Arial"/>
                <w:sz w:val="16"/>
                <w:szCs w:val="16"/>
              </w:rPr>
              <w:t>60% (WSO)</w:t>
            </w:r>
          </w:p>
          <w:p w:rsidR="00805A5E" w:rsidRDefault="00805A5E" w:rsidP="00547ACE">
            <w:pPr>
              <w:rPr>
                <w:rFonts w:cs="Arial"/>
                <w:i/>
                <w:color w:val="002060"/>
                <w:sz w:val="16"/>
                <w:szCs w:val="16"/>
              </w:rPr>
            </w:pPr>
          </w:p>
        </w:tc>
        <w:tc>
          <w:tcPr>
            <w:tcW w:w="900" w:type="pct"/>
            <w:gridSpan w:val="6"/>
            <w:tcBorders>
              <w:top w:val="nil"/>
              <w:left w:val="nil"/>
              <w:bottom w:val="single" w:sz="2" w:space="0" w:color="auto"/>
              <w:right w:val="nil"/>
            </w:tcBorders>
            <w:shd w:val="clear" w:color="auto" w:fill="auto"/>
            <w:tcMar>
              <w:top w:w="110" w:type="dxa"/>
            </w:tcMar>
          </w:tcPr>
          <w:p w:rsidR="00805A5E" w:rsidRDefault="00805A5E" w:rsidP="00547ACE">
            <w:pPr>
              <w:rPr>
                <w:rFonts w:eastAsia="SimSun" w:cs="Arial"/>
                <w:sz w:val="16"/>
                <w:szCs w:val="16"/>
                <w:lang w:eastAsia="zh-CN"/>
              </w:rPr>
            </w:pPr>
            <w:r w:rsidRPr="00005B71">
              <w:rPr>
                <w:rFonts w:eastAsia="SimSun" w:cs="Arial"/>
                <w:sz w:val="16"/>
                <w:szCs w:val="16"/>
                <w:lang w:eastAsia="zh-CN"/>
              </w:rPr>
              <w:t>75% (WBO)</w:t>
            </w:r>
          </w:p>
          <w:p w:rsidR="00805A5E" w:rsidRDefault="00805A5E" w:rsidP="00547ACE">
            <w:pPr>
              <w:rPr>
                <w:rFonts w:eastAsia="SimSun" w:cs="Arial"/>
                <w:sz w:val="16"/>
                <w:szCs w:val="16"/>
                <w:lang w:eastAsia="zh-CN"/>
              </w:rPr>
            </w:pPr>
            <w:r w:rsidRPr="00005B71">
              <w:rPr>
                <w:rFonts w:eastAsia="SimSun" w:cs="Arial"/>
                <w:sz w:val="16"/>
                <w:szCs w:val="16"/>
                <w:lang w:eastAsia="zh-CN"/>
              </w:rPr>
              <w:t>75% (WJO)</w:t>
            </w:r>
          </w:p>
          <w:p w:rsidR="00805A5E" w:rsidRDefault="00805A5E" w:rsidP="00547ACE">
            <w:pPr>
              <w:rPr>
                <w:rFonts w:eastAsia="SimSun" w:cs="Arial"/>
                <w:sz w:val="16"/>
                <w:szCs w:val="16"/>
                <w:lang w:eastAsia="zh-CN"/>
              </w:rPr>
            </w:pPr>
            <w:r w:rsidRPr="00005B71">
              <w:rPr>
                <w:rFonts w:eastAsia="SimSun" w:cs="Arial"/>
                <w:sz w:val="16"/>
                <w:szCs w:val="16"/>
                <w:lang w:eastAsia="zh-CN"/>
              </w:rPr>
              <w:t>&gt; 70% (WSO)</w:t>
            </w:r>
          </w:p>
          <w:p w:rsidR="00805A5E" w:rsidRPr="00005B71" w:rsidRDefault="00805A5E" w:rsidP="00547ACE">
            <w:pPr>
              <w:rPr>
                <w:rFonts w:eastAsia="SimSun" w:cs="Arial"/>
                <w:sz w:val="16"/>
                <w:szCs w:val="16"/>
                <w:lang w:eastAsia="zh-CN"/>
              </w:rPr>
            </w:pPr>
          </w:p>
        </w:tc>
        <w:tc>
          <w:tcPr>
            <w:tcW w:w="1475" w:type="pct"/>
            <w:gridSpan w:val="2"/>
            <w:tcBorders>
              <w:top w:val="nil"/>
              <w:left w:val="nil"/>
              <w:bottom w:val="single" w:sz="2" w:space="0" w:color="auto"/>
              <w:right w:val="nil"/>
            </w:tcBorders>
            <w:shd w:val="clear" w:color="auto" w:fill="FFFFFF"/>
            <w:tcMar>
              <w:top w:w="110" w:type="dxa"/>
            </w:tcMar>
          </w:tcPr>
          <w:p w:rsidR="00805A5E" w:rsidRPr="00FA3990" w:rsidRDefault="00805A5E" w:rsidP="00547ACE">
            <w:pPr>
              <w:rPr>
                <w:rFonts w:eastAsia="SimSun" w:cs="Arial"/>
                <w:sz w:val="16"/>
                <w:szCs w:val="16"/>
                <w:lang w:eastAsia="zh-CN"/>
              </w:rPr>
            </w:pPr>
            <w:r w:rsidRPr="00FA3990">
              <w:rPr>
                <w:rFonts w:eastAsia="SimSun" w:cs="Arial"/>
                <w:sz w:val="16"/>
                <w:szCs w:val="16"/>
                <w:lang w:eastAsia="zh-CN"/>
              </w:rPr>
              <w:t>75% (WBO)</w:t>
            </w:r>
          </w:p>
          <w:p w:rsidR="00805A5E" w:rsidRPr="00FA3990" w:rsidRDefault="00805A5E" w:rsidP="00547ACE">
            <w:pPr>
              <w:rPr>
                <w:rFonts w:eastAsia="SimSun" w:cs="Arial"/>
                <w:sz w:val="16"/>
                <w:szCs w:val="16"/>
                <w:lang w:eastAsia="zh-CN"/>
              </w:rPr>
            </w:pPr>
          </w:p>
          <w:p w:rsidR="00805A5E" w:rsidRPr="00FA3990" w:rsidRDefault="00805A5E" w:rsidP="00547ACE">
            <w:pPr>
              <w:rPr>
                <w:rFonts w:eastAsia="SimSun" w:cs="Arial"/>
                <w:sz w:val="16"/>
                <w:szCs w:val="16"/>
                <w:lang w:eastAsia="zh-CN"/>
              </w:rPr>
            </w:pPr>
            <w:r w:rsidRPr="00FA3990">
              <w:rPr>
                <w:rFonts w:eastAsia="SimSun" w:cs="Arial"/>
                <w:sz w:val="16"/>
                <w:szCs w:val="16"/>
                <w:lang w:eastAsia="zh-CN"/>
              </w:rPr>
              <w:t>100% (WJO)</w:t>
            </w:r>
          </w:p>
          <w:p w:rsidR="00805A5E" w:rsidRPr="00FA3990" w:rsidRDefault="00805A5E" w:rsidP="00547ACE">
            <w:pPr>
              <w:rPr>
                <w:rFonts w:eastAsia="SimSun" w:cs="Arial"/>
                <w:sz w:val="16"/>
                <w:szCs w:val="16"/>
                <w:lang w:eastAsia="zh-CN"/>
              </w:rPr>
            </w:pPr>
          </w:p>
          <w:p w:rsidR="00805A5E" w:rsidRPr="00980EC4" w:rsidDel="00EA6FE2" w:rsidRDefault="00805A5E" w:rsidP="00547ACE">
            <w:pPr>
              <w:rPr>
                <w:rFonts w:eastAsia="SimSun" w:cs="Arial"/>
                <w:sz w:val="16"/>
                <w:szCs w:val="16"/>
                <w:lang w:eastAsia="zh-CN"/>
              </w:rPr>
            </w:pPr>
            <w:r w:rsidRPr="00FA3990">
              <w:rPr>
                <w:rFonts w:eastAsia="SimSun" w:cs="Arial"/>
                <w:sz w:val="16"/>
                <w:szCs w:val="16"/>
                <w:lang w:eastAsia="zh-CN"/>
              </w:rPr>
              <w:t>100% (WSO)</w:t>
            </w:r>
          </w:p>
        </w:tc>
        <w:tc>
          <w:tcPr>
            <w:tcW w:w="588" w:type="pct"/>
            <w:gridSpan w:val="6"/>
            <w:tcBorders>
              <w:top w:val="nil"/>
              <w:left w:val="nil"/>
              <w:bottom w:val="single" w:sz="2" w:space="0" w:color="auto"/>
              <w:right w:val="single" w:sz="2" w:space="0" w:color="auto"/>
            </w:tcBorders>
            <w:shd w:val="clear" w:color="auto" w:fill="auto"/>
            <w:tcMar>
              <w:top w:w="110" w:type="dxa"/>
            </w:tcMar>
          </w:tcPr>
          <w:p w:rsidR="00805A5E" w:rsidRPr="00FF28A3" w:rsidRDefault="00805A5E" w:rsidP="00547ACE">
            <w:pPr>
              <w:keepNext/>
              <w:keepLines/>
              <w:ind w:right="20"/>
              <w:jc w:val="center"/>
              <w:rPr>
                <w:rFonts w:eastAsia="SimSun" w:cs="Arial"/>
                <w:b/>
                <w:bCs/>
                <w:color w:val="00B050"/>
                <w:sz w:val="16"/>
                <w:szCs w:val="16"/>
                <w:lang w:eastAsia="zh-CN"/>
              </w:rPr>
            </w:pPr>
            <w:r w:rsidRPr="00FF28A3">
              <w:rPr>
                <w:rFonts w:eastAsia="SimSun" w:cs="Arial"/>
                <w:b/>
                <w:bCs/>
                <w:color w:val="00B050"/>
                <w:sz w:val="16"/>
                <w:szCs w:val="16"/>
                <w:lang w:eastAsia="zh-CN"/>
              </w:rPr>
              <w:t>Fully Achieved</w:t>
            </w:r>
          </w:p>
          <w:p w:rsidR="00805A5E" w:rsidRPr="00FF28A3" w:rsidRDefault="00805A5E" w:rsidP="00547ACE">
            <w:pPr>
              <w:keepNext/>
              <w:keepLines/>
              <w:ind w:right="20"/>
              <w:jc w:val="center"/>
              <w:rPr>
                <w:rFonts w:eastAsia="SimSun" w:cs="Arial"/>
                <w:b/>
                <w:bCs/>
                <w:color w:val="00B050"/>
                <w:sz w:val="16"/>
                <w:szCs w:val="16"/>
                <w:lang w:eastAsia="zh-CN"/>
              </w:rPr>
            </w:pPr>
            <w:r w:rsidRPr="00FF28A3">
              <w:rPr>
                <w:rFonts w:eastAsia="SimSun" w:cs="Arial"/>
                <w:b/>
                <w:bCs/>
                <w:color w:val="00B050"/>
                <w:sz w:val="16"/>
                <w:szCs w:val="16"/>
                <w:lang w:eastAsia="zh-CN"/>
              </w:rPr>
              <w:t>Fully Achieved</w:t>
            </w:r>
          </w:p>
          <w:p w:rsidR="00805A5E" w:rsidRPr="00FF28A3" w:rsidRDefault="00805A5E" w:rsidP="00547ACE">
            <w:pPr>
              <w:keepNext/>
              <w:keepLines/>
              <w:ind w:right="20"/>
              <w:jc w:val="center"/>
              <w:rPr>
                <w:rFonts w:eastAsia="SimSun" w:cs="Arial"/>
                <w:b/>
                <w:bCs/>
                <w:color w:val="00B050"/>
                <w:sz w:val="16"/>
                <w:szCs w:val="16"/>
                <w:lang w:eastAsia="zh-CN"/>
              </w:rPr>
            </w:pPr>
            <w:r w:rsidRPr="00FF28A3">
              <w:rPr>
                <w:rFonts w:eastAsia="SimSun" w:cs="Arial"/>
                <w:b/>
                <w:bCs/>
                <w:color w:val="00B050"/>
                <w:sz w:val="16"/>
                <w:szCs w:val="16"/>
                <w:lang w:eastAsia="zh-CN"/>
              </w:rPr>
              <w:t>Fully Achieved</w:t>
            </w:r>
          </w:p>
          <w:p w:rsidR="00805A5E" w:rsidRPr="000D3F45" w:rsidRDefault="00805A5E" w:rsidP="00547ACE">
            <w:pPr>
              <w:keepNext/>
              <w:keepLines/>
              <w:ind w:left="71" w:right="20"/>
              <w:jc w:val="center"/>
              <w:rPr>
                <w:rFonts w:eastAsia="SimSun" w:cs="Arial"/>
                <w:b/>
                <w:bCs/>
                <w:color w:val="808080"/>
                <w:sz w:val="16"/>
                <w:szCs w:val="16"/>
                <w:lang w:eastAsia="zh-CN"/>
              </w:rPr>
            </w:pPr>
          </w:p>
        </w:tc>
      </w:tr>
      <w:tr w:rsidR="00805A5E" w:rsidRPr="00B35AFA" w:rsidTr="00547ACE">
        <w:tc>
          <w:tcPr>
            <w:tcW w:w="5000" w:type="pct"/>
            <w:gridSpan w:val="17"/>
            <w:tcBorders>
              <w:top w:val="single" w:sz="2" w:space="0" w:color="auto"/>
              <w:bottom w:val="single" w:sz="4" w:space="0" w:color="auto"/>
            </w:tcBorders>
            <w:shd w:val="clear" w:color="auto" w:fill="C6D9F1" w:themeFill="text2" w:themeFillTint="33"/>
          </w:tcPr>
          <w:p w:rsidR="00805A5E" w:rsidRPr="00FF28A3" w:rsidRDefault="00805A5E" w:rsidP="00547ACE">
            <w:pPr>
              <w:tabs>
                <w:tab w:val="left" w:pos="1452"/>
              </w:tabs>
              <w:spacing w:before="120" w:after="120"/>
              <w:ind w:left="1452" w:hanging="1452"/>
              <w:rPr>
                <w:rFonts w:eastAsia="SimSun" w:cs="Arial"/>
                <w:b/>
                <w:bCs/>
                <w:sz w:val="16"/>
                <w:szCs w:val="16"/>
                <w:lang w:eastAsia="zh-CN"/>
              </w:rPr>
            </w:pPr>
            <w:r w:rsidRPr="000D3F45">
              <w:rPr>
                <w:rFonts w:eastAsia="SimSun" w:cs="Arial"/>
                <w:b/>
                <w:bCs/>
                <w:sz w:val="16"/>
                <w:szCs w:val="16"/>
                <w:lang w:eastAsia="zh-CN"/>
              </w:rPr>
              <w:t>Expected Result:</w:t>
            </w:r>
            <w:r w:rsidRPr="000D3F45">
              <w:rPr>
                <w:rFonts w:eastAsia="SimSun" w:cs="Arial"/>
                <w:b/>
                <w:bCs/>
                <w:sz w:val="16"/>
                <w:szCs w:val="16"/>
                <w:lang w:eastAsia="zh-CN"/>
              </w:rPr>
              <w:tab/>
            </w:r>
            <w:r w:rsidRPr="007A3976">
              <w:rPr>
                <w:rFonts w:eastAsia="SimSun" w:cs="Arial"/>
                <w:color w:val="000000"/>
                <w:sz w:val="16"/>
                <w:szCs w:val="16"/>
                <w:lang w:eastAsia="zh-CN"/>
              </w:rPr>
              <w:t>IV.2 Enhanced access to, and use of, IP information by IP institutions and the public to promote innovation and creativity</w:t>
            </w:r>
          </w:p>
        </w:tc>
      </w:tr>
      <w:tr w:rsidR="00805A5E" w:rsidRPr="00B35AFA" w:rsidTr="00547ACE">
        <w:tc>
          <w:tcPr>
            <w:tcW w:w="1114" w:type="pct"/>
            <w:tcBorders>
              <w:top w:val="single" w:sz="4" w:space="0" w:color="auto"/>
              <w:left w:val="single" w:sz="4" w:space="0" w:color="auto"/>
              <w:bottom w:val="nil"/>
              <w:right w:val="nil"/>
            </w:tcBorders>
            <w:shd w:val="clear" w:color="auto" w:fill="auto"/>
          </w:tcPr>
          <w:p w:rsidR="00805A5E" w:rsidRPr="00005B71" w:rsidRDefault="00805A5E" w:rsidP="00547ACE">
            <w:pPr>
              <w:rPr>
                <w:rFonts w:eastAsia="SimSun" w:cs="Arial"/>
                <w:color w:val="000000"/>
                <w:sz w:val="16"/>
                <w:szCs w:val="16"/>
                <w:lang w:eastAsia="zh-CN"/>
              </w:rPr>
            </w:pPr>
            <w:r w:rsidRPr="00B35AFA">
              <w:rPr>
                <w:rFonts w:eastAsia="SimSun" w:cs="Arial"/>
                <w:b/>
                <w:bCs/>
                <w:sz w:val="16"/>
                <w:szCs w:val="16"/>
                <w:lang w:eastAsia="zh-CN"/>
              </w:rPr>
              <w:t>Performance Indicators</w:t>
            </w:r>
          </w:p>
        </w:tc>
        <w:tc>
          <w:tcPr>
            <w:tcW w:w="923" w:type="pct"/>
            <w:gridSpan w:val="2"/>
            <w:tcBorders>
              <w:top w:val="single" w:sz="4" w:space="0" w:color="auto"/>
              <w:left w:val="nil"/>
              <w:bottom w:val="nil"/>
              <w:right w:val="nil"/>
            </w:tcBorders>
            <w:shd w:val="clear" w:color="auto" w:fill="auto"/>
          </w:tcPr>
          <w:p w:rsidR="00805A5E" w:rsidRDefault="00805A5E" w:rsidP="00547ACE">
            <w:pPr>
              <w:rPr>
                <w:rFonts w:cs="Arial"/>
                <w:i/>
                <w:color w:val="002060"/>
                <w:sz w:val="16"/>
                <w:szCs w:val="16"/>
              </w:rPr>
            </w:pPr>
            <w:r w:rsidRPr="00B35AFA">
              <w:rPr>
                <w:rFonts w:cs="Arial"/>
                <w:b/>
                <w:bCs/>
                <w:sz w:val="16"/>
                <w:szCs w:val="16"/>
              </w:rPr>
              <w:t>Baselines</w:t>
            </w:r>
          </w:p>
        </w:tc>
        <w:tc>
          <w:tcPr>
            <w:tcW w:w="900" w:type="pct"/>
            <w:gridSpan w:val="6"/>
            <w:tcBorders>
              <w:top w:val="single" w:sz="4" w:space="0" w:color="auto"/>
              <w:left w:val="nil"/>
              <w:bottom w:val="nil"/>
              <w:right w:val="nil"/>
            </w:tcBorders>
            <w:shd w:val="clear" w:color="auto" w:fill="auto"/>
            <w:tcMar>
              <w:top w:w="110" w:type="dxa"/>
            </w:tcMar>
          </w:tcPr>
          <w:p w:rsidR="00805A5E" w:rsidRPr="00005B71" w:rsidRDefault="00805A5E" w:rsidP="00547ACE">
            <w:pPr>
              <w:rPr>
                <w:rFonts w:eastAsia="SimSun" w:cs="Arial"/>
                <w:sz w:val="16"/>
                <w:szCs w:val="16"/>
                <w:lang w:eastAsia="zh-CN"/>
              </w:rPr>
            </w:pPr>
            <w:r w:rsidRPr="00B35AFA">
              <w:rPr>
                <w:rFonts w:cs="Arial"/>
                <w:b/>
                <w:sz w:val="16"/>
                <w:szCs w:val="16"/>
              </w:rPr>
              <w:t>Targets</w:t>
            </w:r>
          </w:p>
        </w:tc>
        <w:tc>
          <w:tcPr>
            <w:tcW w:w="1426" w:type="pct"/>
            <w:tcBorders>
              <w:top w:val="single" w:sz="4" w:space="0" w:color="auto"/>
              <w:left w:val="nil"/>
              <w:bottom w:val="nil"/>
              <w:right w:val="nil"/>
            </w:tcBorders>
            <w:shd w:val="clear" w:color="auto" w:fill="FFFFFF"/>
            <w:tcMar>
              <w:top w:w="110" w:type="dxa"/>
            </w:tcMar>
          </w:tcPr>
          <w:p w:rsidR="00805A5E" w:rsidRPr="00B35AFA" w:rsidRDefault="00805A5E" w:rsidP="00547ACE">
            <w:pPr>
              <w:rPr>
                <w:rFonts w:eastAsia="SimSun" w:cs="Arial"/>
                <w:sz w:val="16"/>
                <w:szCs w:val="16"/>
                <w:lang w:eastAsia="zh-CN"/>
              </w:rPr>
            </w:pPr>
            <w:r w:rsidRPr="00B35AFA">
              <w:rPr>
                <w:rFonts w:eastAsia="SimSun" w:cs="Arial"/>
                <w:b/>
                <w:bCs/>
                <w:sz w:val="16"/>
                <w:szCs w:val="16"/>
                <w:lang w:eastAsia="zh-CN"/>
              </w:rPr>
              <w:t>Performance Data</w:t>
            </w:r>
            <w:r>
              <w:rPr>
                <w:rStyle w:val="FootnoteReference"/>
                <w:b/>
                <w:bCs/>
                <w:lang w:eastAsia="zh-CN"/>
              </w:rPr>
              <w:footnoteReference w:id="114"/>
            </w:r>
          </w:p>
        </w:tc>
        <w:tc>
          <w:tcPr>
            <w:tcW w:w="637" w:type="pct"/>
            <w:gridSpan w:val="7"/>
            <w:tcBorders>
              <w:top w:val="single" w:sz="4" w:space="0" w:color="auto"/>
              <w:left w:val="nil"/>
              <w:bottom w:val="nil"/>
              <w:right w:val="single" w:sz="4" w:space="0" w:color="auto"/>
            </w:tcBorders>
            <w:shd w:val="clear" w:color="auto" w:fill="auto"/>
            <w:tcMar>
              <w:top w:w="110" w:type="dxa"/>
            </w:tcMar>
          </w:tcPr>
          <w:p w:rsidR="00805A5E" w:rsidRPr="000D3F45" w:rsidRDefault="00805A5E" w:rsidP="00547ACE">
            <w:pPr>
              <w:keepNext/>
              <w:keepLines/>
              <w:ind w:left="71" w:right="20"/>
              <w:jc w:val="center"/>
              <w:rPr>
                <w:rFonts w:eastAsia="SimSun" w:cs="Arial"/>
                <w:b/>
                <w:bCs/>
                <w:color w:val="808080"/>
                <w:sz w:val="16"/>
                <w:szCs w:val="16"/>
                <w:lang w:eastAsia="zh-CN"/>
              </w:rPr>
            </w:pPr>
            <w:r w:rsidRPr="000D3F45">
              <w:rPr>
                <w:rFonts w:eastAsia="SimSun" w:cs="Arial"/>
                <w:b/>
                <w:bCs/>
                <w:sz w:val="16"/>
                <w:szCs w:val="16"/>
                <w:lang w:eastAsia="zh-CN"/>
              </w:rPr>
              <w:t>TLS</w:t>
            </w:r>
          </w:p>
        </w:tc>
      </w:tr>
      <w:tr w:rsidR="00805A5E" w:rsidRPr="00B35AFA" w:rsidTr="00547ACE">
        <w:trPr>
          <w:trHeight w:val="4192"/>
        </w:trPr>
        <w:tc>
          <w:tcPr>
            <w:tcW w:w="1114" w:type="pct"/>
            <w:tcBorders>
              <w:top w:val="nil"/>
              <w:left w:val="single" w:sz="4" w:space="0" w:color="auto"/>
              <w:bottom w:val="single" w:sz="4" w:space="0" w:color="auto"/>
              <w:right w:val="nil"/>
            </w:tcBorders>
            <w:shd w:val="clear" w:color="auto" w:fill="auto"/>
          </w:tcPr>
          <w:p w:rsidR="00805A5E" w:rsidRPr="00005B71" w:rsidRDefault="00805A5E" w:rsidP="00547ACE">
            <w:pPr>
              <w:rPr>
                <w:rFonts w:eastAsia="SimSun" w:cs="Arial"/>
                <w:color w:val="000000"/>
                <w:sz w:val="16"/>
                <w:szCs w:val="16"/>
                <w:lang w:eastAsia="zh-CN"/>
              </w:rPr>
            </w:pPr>
            <w:r w:rsidRPr="00005B71">
              <w:rPr>
                <w:rFonts w:eastAsia="SimSun" w:cs="Arial"/>
                <w:color w:val="000000"/>
                <w:sz w:val="16"/>
                <w:szCs w:val="16"/>
                <w:lang w:eastAsia="zh-CN"/>
              </w:rPr>
              <w:t>No</w:t>
            </w:r>
            <w:r>
              <w:rPr>
                <w:rFonts w:eastAsia="SimSun" w:cs="Arial"/>
                <w:color w:val="000000"/>
                <w:sz w:val="16"/>
                <w:szCs w:val="16"/>
                <w:lang w:eastAsia="zh-CN"/>
              </w:rPr>
              <w:t>.</w:t>
            </w:r>
            <w:r w:rsidRPr="00005B71">
              <w:rPr>
                <w:rFonts w:eastAsia="SimSun" w:cs="Arial"/>
                <w:color w:val="000000"/>
                <w:sz w:val="16"/>
                <w:szCs w:val="16"/>
                <w:lang w:eastAsia="zh-CN"/>
              </w:rPr>
              <w:t xml:space="preserve"> of users of WIPO's Global Databases: PATENTSCOPE and Global Brand Database</w:t>
            </w:r>
          </w:p>
        </w:tc>
        <w:tc>
          <w:tcPr>
            <w:tcW w:w="923" w:type="pct"/>
            <w:gridSpan w:val="2"/>
            <w:tcBorders>
              <w:top w:val="nil"/>
              <w:left w:val="nil"/>
              <w:bottom w:val="single" w:sz="4" w:space="0" w:color="auto"/>
              <w:right w:val="nil"/>
            </w:tcBorders>
            <w:shd w:val="clear" w:color="auto" w:fill="auto"/>
          </w:tcPr>
          <w:p w:rsidR="00805A5E" w:rsidRDefault="00805A5E" w:rsidP="00547ACE">
            <w:pPr>
              <w:rPr>
                <w:rFonts w:cs="Arial"/>
                <w:i/>
                <w:color w:val="002060"/>
                <w:sz w:val="16"/>
                <w:szCs w:val="16"/>
              </w:rPr>
            </w:pPr>
            <w:r>
              <w:rPr>
                <w:rFonts w:cs="Arial"/>
                <w:i/>
                <w:color w:val="002060"/>
                <w:sz w:val="16"/>
                <w:szCs w:val="16"/>
              </w:rPr>
              <w:t>Updated Baseline end 2013</w:t>
            </w:r>
            <w:r>
              <w:rPr>
                <w:rStyle w:val="FootnoteReference"/>
                <w:i/>
                <w:color w:val="002060"/>
              </w:rPr>
              <w:footnoteReference w:id="115"/>
            </w:r>
            <w:r w:rsidRPr="00B35AFA">
              <w:rPr>
                <w:rFonts w:cs="Arial"/>
                <w:i/>
                <w:color w:val="002060"/>
                <w:sz w:val="16"/>
                <w:szCs w:val="16"/>
              </w:rPr>
              <w:t xml:space="preserve">:  </w:t>
            </w:r>
          </w:p>
          <w:p w:rsidR="00805A5E" w:rsidRDefault="00805A5E" w:rsidP="00547ACE">
            <w:pPr>
              <w:rPr>
                <w:rFonts w:eastAsia="SimSun" w:cs="Arial"/>
                <w:sz w:val="16"/>
                <w:szCs w:val="16"/>
                <w:lang w:eastAsia="zh-CN"/>
              </w:rPr>
            </w:pPr>
            <w:r w:rsidRPr="009B1A53">
              <w:rPr>
                <w:rFonts w:eastAsia="SimSun" w:cs="Arial"/>
                <w:sz w:val="16"/>
                <w:szCs w:val="16"/>
                <w:lang w:eastAsia="zh-CN"/>
              </w:rPr>
              <w:t>PATENTSCOPE (Q</w:t>
            </w:r>
            <w:r>
              <w:rPr>
                <w:rFonts w:eastAsia="SimSun" w:cs="Arial"/>
                <w:sz w:val="16"/>
                <w:szCs w:val="16"/>
                <w:lang w:eastAsia="zh-CN"/>
              </w:rPr>
              <w:t>3</w:t>
            </w:r>
            <w:r w:rsidRPr="009B1A53">
              <w:rPr>
                <w:rFonts w:eastAsia="SimSun" w:cs="Arial"/>
                <w:sz w:val="16"/>
                <w:szCs w:val="16"/>
                <w:lang w:eastAsia="zh-CN"/>
              </w:rPr>
              <w:t xml:space="preserve"> 201</w:t>
            </w:r>
            <w:r>
              <w:rPr>
                <w:rFonts w:eastAsia="SimSun" w:cs="Arial"/>
                <w:sz w:val="16"/>
                <w:szCs w:val="16"/>
                <w:lang w:eastAsia="zh-CN"/>
              </w:rPr>
              <w:t>3</w:t>
            </w:r>
            <w:r w:rsidRPr="009B1A53">
              <w:rPr>
                <w:rFonts w:eastAsia="SimSun" w:cs="Arial"/>
                <w:sz w:val="16"/>
                <w:szCs w:val="16"/>
                <w:lang w:eastAsia="zh-CN"/>
              </w:rPr>
              <w:t>)</w:t>
            </w:r>
            <w:r>
              <w:rPr>
                <w:rFonts w:eastAsia="SimSun" w:cs="Arial"/>
                <w:sz w:val="16"/>
                <w:szCs w:val="16"/>
                <w:lang w:eastAsia="zh-CN"/>
              </w:rPr>
              <w:t>:</w:t>
            </w:r>
            <w:r w:rsidRPr="009B1A53">
              <w:rPr>
                <w:rFonts w:eastAsia="SimSun" w:cs="Arial"/>
                <w:sz w:val="16"/>
                <w:szCs w:val="16"/>
                <w:lang w:eastAsia="zh-CN"/>
              </w:rPr>
              <w:t xml:space="preserve"> </w:t>
            </w:r>
          </w:p>
          <w:p w:rsidR="00805A5E" w:rsidRPr="009B1A53" w:rsidRDefault="00805A5E" w:rsidP="00805A5E">
            <w:pPr>
              <w:pStyle w:val="ListParagraph"/>
              <w:numPr>
                <w:ilvl w:val="0"/>
                <w:numId w:val="153"/>
              </w:numPr>
              <w:ind w:left="279" w:hanging="270"/>
              <w:contextualSpacing/>
              <w:rPr>
                <w:rFonts w:eastAsia="SimSun" w:cs="Arial"/>
                <w:sz w:val="16"/>
                <w:szCs w:val="16"/>
                <w:lang w:eastAsia="zh-CN"/>
              </w:rPr>
            </w:pPr>
            <w:r>
              <w:rPr>
                <w:rFonts w:eastAsia="SimSun" w:cs="Arial"/>
                <w:sz w:val="16"/>
                <w:szCs w:val="16"/>
                <w:lang w:eastAsia="zh-CN"/>
              </w:rPr>
              <w:t>3,839</w:t>
            </w:r>
            <w:r w:rsidRPr="009B1A53">
              <w:rPr>
                <w:rFonts w:eastAsia="SimSun" w:cs="Arial"/>
                <w:sz w:val="16"/>
                <w:szCs w:val="16"/>
                <w:lang w:eastAsia="zh-CN"/>
              </w:rPr>
              <w:t xml:space="preserve"> (WBO)</w:t>
            </w:r>
          </w:p>
          <w:p w:rsidR="00805A5E" w:rsidRPr="009B1A53" w:rsidRDefault="00805A5E" w:rsidP="00805A5E">
            <w:pPr>
              <w:pStyle w:val="ListParagraph"/>
              <w:numPr>
                <w:ilvl w:val="0"/>
                <w:numId w:val="153"/>
              </w:numPr>
              <w:ind w:left="279" w:right="-39" w:hanging="270"/>
              <w:contextualSpacing/>
              <w:rPr>
                <w:rFonts w:eastAsia="SimSun" w:cs="Arial"/>
                <w:sz w:val="16"/>
                <w:szCs w:val="16"/>
                <w:lang w:eastAsia="zh-CN"/>
              </w:rPr>
            </w:pPr>
            <w:r>
              <w:rPr>
                <w:rFonts w:eastAsia="SimSun" w:cs="Arial"/>
                <w:sz w:val="16"/>
                <w:szCs w:val="16"/>
                <w:lang w:eastAsia="zh-CN"/>
              </w:rPr>
              <w:t xml:space="preserve">14,906 </w:t>
            </w:r>
            <w:r w:rsidRPr="009B1A53">
              <w:rPr>
                <w:rFonts w:eastAsia="SimSun" w:cs="Arial"/>
                <w:sz w:val="16"/>
                <w:szCs w:val="16"/>
                <w:lang w:eastAsia="zh-CN"/>
              </w:rPr>
              <w:t>(WJO)</w:t>
            </w:r>
          </w:p>
          <w:p w:rsidR="00805A5E" w:rsidRDefault="00805A5E" w:rsidP="00805A5E">
            <w:pPr>
              <w:pStyle w:val="ListParagraph"/>
              <w:numPr>
                <w:ilvl w:val="0"/>
                <w:numId w:val="153"/>
              </w:numPr>
              <w:spacing w:after="200"/>
              <w:ind w:left="279" w:hanging="270"/>
              <w:contextualSpacing/>
              <w:rPr>
                <w:rFonts w:eastAsia="SimSun" w:cs="Arial"/>
                <w:sz w:val="16"/>
                <w:szCs w:val="16"/>
                <w:lang w:eastAsia="zh-CN"/>
              </w:rPr>
            </w:pPr>
            <w:r>
              <w:rPr>
                <w:rFonts w:eastAsia="SimSun" w:cs="Arial"/>
                <w:sz w:val="16"/>
                <w:szCs w:val="16"/>
                <w:lang w:eastAsia="zh-CN"/>
              </w:rPr>
              <w:t>6,772</w:t>
            </w:r>
            <w:r w:rsidRPr="009B1A53">
              <w:rPr>
                <w:rFonts w:eastAsia="SimSun" w:cs="Arial"/>
                <w:sz w:val="16"/>
                <w:szCs w:val="16"/>
                <w:lang w:eastAsia="zh-CN"/>
              </w:rPr>
              <w:t xml:space="preserve"> (WSO)</w:t>
            </w:r>
          </w:p>
          <w:p w:rsidR="00805A5E" w:rsidRDefault="00805A5E" w:rsidP="00547ACE">
            <w:pPr>
              <w:rPr>
                <w:rFonts w:eastAsia="SimSun" w:cs="Arial"/>
                <w:sz w:val="16"/>
                <w:szCs w:val="16"/>
                <w:lang w:eastAsia="zh-CN"/>
              </w:rPr>
            </w:pPr>
            <w:r>
              <w:rPr>
                <w:rFonts w:eastAsia="SimSun" w:cs="Arial"/>
                <w:sz w:val="16"/>
                <w:szCs w:val="16"/>
                <w:lang w:eastAsia="zh-CN"/>
              </w:rPr>
              <w:t>(</w:t>
            </w:r>
            <w:r w:rsidRPr="009B1A53">
              <w:rPr>
                <w:rFonts w:eastAsia="SimSun" w:cs="Arial"/>
                <w:sz w:val="16"/>
                <w:szCs w:val="16"/>
                <w:lang w:eastAsia="zh-CN"/>
              </w:rPr>
              <w:t>Q</w:t>
            </w:r>
            <w:r>
              <w:rPr>
                <w:rFonts w:eastAsia="SimSun" w:cs="Arial"/>
                <w:sz w:val="16"/>
                <w:szCs w:val="16"/>
                <w:lang w:eastAsia="zh-CN"/>
              </w:rPr>
              <w:t>3</w:t>
            </w:r>
            <w:r w:rsidRPr="009B1A53">
              <w:rPr>
                <w:rFonts w:eastAsia="SimSun" w:cs="Arial"/>
                <w:sz w:val="16"/>
                <w:szCs w:val="16"/>
                <w:lang w:eastAsia="zh-CN"/>
              </w:rPr>
              <w:t xml:space="preserve"> 201</w:t>
            </w:r>
            <w:r>
              <w:rPr>
                <w:rFonts w:eastAsia="SimSun" w:cs="Arial"/>
                <w:sz w:val="16"/>
                <w:szCs w:val="16"/>
                <w:lang w:eastAsia="zh-CN"/>
              </w:rPr>
              <w:t>2):</w:t>
            </w:r>
            <w:r w:rsidRPr="009B1A53">
              <w:rPr>
                <w:rFonts w:eastAsia="SimSun" w:cs="Arial"/>
                <w:sz w:val="16"/>
                <w:szCs w:val="16"/>
                <w:lang w:eastAsia="zh-CN"/>
              </w:rPr>
              <w:t xml:space="preserve"> </w:t>
            </w:r>
          </w:p>
          <w:p w:rsidR="00805A5E" w:rsidRPr="009B1A53" w:rsidRDefault="00805A5E" w:rsidP="00805A5E">
            <w:pPr>
              <w:pStyle w:val="ListParagraph"/>
              <w:numPr>
                <w:ilvl w:val="0"/>
                <w:numId w:val="153"/>
              </w:numPr>
              <w:ind w:left="279" w:hanging="270"/>
              <w:contextualSpacing/>
              <w:rPr>
                <w:rFonts w:eastAsia="SimSun" w:cs="Arial"/>
                <w:sz w:val="16"/>
                <w:szCs w:val="16"/>
                <w:lang w:eastAsia="zh-CN"/>
              </w:rPr>
            </w:pPr>
            <w:r>
              <w:rPr>
                <w:rFonts w:eastAsia="SimSun" w:cs="Arial"/>
                <w:sz w:val="16"/>
                <w:szCs w:val="16"/>
                <w:lang w:eastAsia="zh-CN"/>
              </w:rPr>
              <w:t xml:space="preserve">3,891 </w:t>
            </w:r>
            <w:r w:rsidRPr="009B1A53">
              <w:rPr>
                <w:rFonts w:eastAsia="SimSun" w:cs="Arial"/>
                <w:sz w:val="16"/>
                <w:szCs w:val="16"/>
                <w:lang w:eastAsia="zh-CN"/>
              </w:rPr>
              <w:t>(WBO)</w:t>
            </w:r>
          </w:p>
          <w:p w:rsidR="00805A5E" w:rsidRPr="009B1A53" w:rsidRDefault="00805A5E" w:rsidP="00805A5E">
            <w:pPr>
              <w:pStyle w:val="ListParagraph"/>
              <w:numPr>
                <w:ilvl w:val="0"/>
                <w:numId w:val="153"/>
              </w:numPr>
              <w:ind w:left="279" w:right="-39" w:hanging="270"/>
              <w:contextualSpacing/>
              <w:rPr>
                <w:rFonts w:eastAsia="SimSun" w:cs="Arial"/>
                <w:sz w:val="16"/>
                <w:szCs w:val="16"/>
                <w:lang w:eastAsia="zh-CN"/>
              </w:rPr>
            </w:pPr>
            <w:r>
              <w:rPr>
                <w:rFonts w:eastAsia="SimSun" w:cs="Arial"/>
                <w:sz w:val="16"/>
                <w:szCs w:val="16"/>
                <w:lang w:eastAsia="zh-CN"/>
              </w:rPr>
              <w:t xml:space="preserve">15,114 </w:t>
            </w:r>
            <w:r w:rsidRPr="009B1A53">
              <w:rPr>
                <w:rFonts w:eastAsia="SimSun" w:cs="Arial"/>
                <w:sz w:val="16"/>
                <w:szCs w:val="16"/>
                <w:lang w:eastAsia="zh-CN"/>
              </w:rPr>
              <w:t>(WJO)</w:t>
            </w:r>
          </w:p>
          <w:p w:rsidR="00805A5E" w:rsidRPr="00B97F30" w:rsidRDefault="00805A5E" w:rsidP="00805A5E">
            <w:pPr>
              <w:pStyle w:val="ListParagraph"/>
              <w:numPr>
                <w:ilvl w:val="0"/>
                <w:numId w:val="153"/>
              </w:numPr>
              <w:spacing w:after="200"/>
              <w:ind w:left="279" w:hanging="270"/>
              <w:contextualSpacing/>
              <w:rPr>
                <w:rFonts w:eastAsia="SimSun" w:cs="Arial"/>
                <w:sz w:val="16"/>
                <w:szCs w:val="16"/>
                <w:lang w:eastAsia="zh-CN"/>
              </w:rPr>
            </w:pPr>
            <w:r>
              <w:rPr>
                <w:rFonts w:eastAsia="SimSun" w:cs="Arial"/>
                <w:sz w:val="16"/>
                <w:szCs w:val="16"/>
                <w:lang w:eastAsia="zh-CN"/>
              </w:rPr>
              <w:t>6,595</w:t>
            </w:r>
            <w:r w:rsidRPr="009B1A53">
              <w:rPr>
                <w:rFonts w:eastAsia="SimSun" w:cs="Arial"/>
                <w:sz w:val="16"/>
                <w:szCs w:val="16"/>
                <w:lang w:eastAsia="zh-CN"/>
              </w:rPr>
              <w:t xml:space="preserve"> (WSO)</w:t>
            </w:r>
          </w:p>
          <w:p w:rsidR="00805A5E" w:rsidRPr="00B97F30" w:rsidRDefault="00805A5E" w:rsidP="00547ACE">
            <w:pPr>
              <w:pStyle w:val="ListParagraph"/>
              <w:spacing w:after="200"/>
              <w:ind w:left="279"/>
              <w:contextualSpacing/>
              <w:rPr>
                <w:rFonts w:eastAsia="SimSun" w:cs="Arial"/>
                <w:sz w:val="16"/>
                <w:szCs w:val="16"/>
                <w:lang w:eastAsia="zh-CN"/>
              </w:rPr>
            </w:pPr>
          </w:p>
          <w:p w:rsidR="00805A5E" w:rsidRDefault="00805A5E" w:rsidP="00547ACE">
            <w:pPr>
              <w:rPr>
                <w:rFonts w:eastAsia="SimSun" w:cs="Arial"/>
                <w:sz w:val="16"/>
                <w:szCs w:val="16"/>
                <w:lang w:eastAsia="zh-CN"/>
              </w:rPr>
            </w:pPr>
            <w:r>
              <w:rPr>
                <w:rFonts w:eastAsia="SimSun" w:cs="Arial"/>
                <w:sz w:val="16"/>
                <w:szCs w:val="16"/>
                <w:lang w:eastAsia="zh-CN"/>
              </w:rPr>
              <w:t>Global Brands Database (Q 2013):</w:t>
            </w:r>
          </w:p>
          <w:p w:rsidR="00805A5E" w:rsidRPr="00152A1E" w:rsidRDefault="00805A5E" w:rsidP="00805A5E">
            <w:pPr>
              <w:pStyle w:val="ListParagraph"/>
              <w:numPr>
                <w:ilvl w:val="0"/>
                <w:numId w:val="154"/>
              </w:numPr>
              <w:ind w:left="279" w:hanging="279"/>
              <w:contextualSpacing/>
              <w:rPr>
                <w:rFonts w:eastAsia="SimSun" w:cs="Arial"/>
                <w:sz w:val="16"/>
                <w:szCs w:val="16"/>
                <w:lang w:eastAsia="zh-CN"/>
              </w:rPr>
            </w:pPr>
            <w:r w:rsidRPr="00152A1E">
              <w:rPr>
                <w:rFonts w:eastAsia="SimSun" w:cs="Arial"/>
                <w:sz w:val="16"/>
                <w:szCs w:val="16"/>
                <w:lang w:eastAsia="zh-CN"/>
              </w:rPr>
              <w:t>186 (WBO)</w:t>
            </w:r>
          </w:p>
          <w:p w:rsidR="00805A5E" w:rsidRPr="00152A1E" w:rsidRDefault="00805A5E" w:rsidP="00805A5E">
            <w:pPr>
              <w:pStyle w:val="ListParagraph"/>
              <w:numPr>
                <w:ilvl w:val="0"/>
                <w:numId w:val="154"/>
              </w:numPr>
              <w:ind w:left="279" w:hanging="279"/>
              <w:contextualSpacing/>
              <w:rPr>
                <w:rFonts w:eastAsia="SimSun" w:cs="Arial"/>
                <w:sz w:val="16"/>
                <w:szCs w:val="16"/>
                <w:lang w:eastAsia="zh-CN"/>
              </w:rPr>
            </w:pPr>
            <w:r w:rsidRPr="00152A1E">
              <w:rPr>
                <w:rFonts w:eastAsia="SimSun" w:cs="Arial"/>
                <w:sz w:val="16"/>
                <w:szCs w:val="16"/>
                <w:lang w:eastAsia="zh-CN"/>
              </w:rPr>
              <w:t>543 (WJO)</w:t>
            </w:r>
          </w:p>
          <w:p w:rsidR="00805A5E" w:rsidRPr="00152A1E" w:rsidRDefault="00805A5E" w:rsidP="00805A5E">
            <w:pPr>
              <w:pStyle w:val="ListParagraph"/>
              <w:numPr>
                <w:ilvl w:val="0"/>
                <w:numId w:val="154"/>
              </w:numPr>
              <w:ind w:left="279" w:right="-39" w:hanging="279"/>
              <w:contextualSpacing/>
              <w:rPr>
                <w:rFonts w:eastAsia="SimSun" w:cs="Arial"/>
                <w:sz w:val="16"/>
                <w:szCs w:val="16"/>
                <w:lang w:eastAsia="zh-CN"/>
              </w:rPr>
            </w:pPr>
            <w:r w:rsidRPr="00152A1E">
              <w:rPr>
                <w:rFonts w:eastAsia="SimSun" w:cs="Arial"/>
                <w:sz w:val="16"/>
                <w:szCs w:val="16"/>
                <w:lang w:eastAsia="zh-CN"/>
              </w:rPr>
              <w:t>1,711</w:t>
            </w:r>
            <w:r>
              <w:rPr>
                <w:rFonts w:eastAsia="SimSun" w:cs="Arial"/>
                <w:sz w:val="16"/>
                <w:szCs w:val="16"/>
                <w:lang w:eastAsia="zh-CN"/>
              </w:rPr>
              <w:t xml:space="preserve"> </w:t>
            </w:r>
            <w:r w:rsidRPr="00152A1E">
              <w:rPr>
                <w:rFonts w:eastAsia="SimSun" w:cs="Arial"/>
                <w:sz w:val="16"/>
                <w:szCs w:val="16"/>
                <w:lang w:eastAsia="zh-CN"/>
              </w:rPr>
              <w:t>(WSO)</w:t>
            </w:r>
          </w:p>
          <w:p w:rsidR="00805A5E" w:rsidRDefault="00805A5E" w:rsidP="00547ACE">
            <w:pPr>
              <w:pStyle w:val="ListParagraph"/>
              <w:ind w:left="360"/>
              <w:rPr>
                <w:rFonts w:eastAsia="SimSun" w:cs="Arial"/>
                <w:sz w:val="16"/>
                <w:szCs w:val="16"/>
                <w:highlight w:val="yellow"/>
                <w:lang w:eastAsia="zh-CN"/>
              </w:rPr>
            </w:pPr>
          </w:p>
          <w:p w:rsidR="00805A5E" w:rsidRDefault="00805A5E" w:rsidP="00547ACE">
            <w:pPr>
              <w:rPr>
                <w:rFonts w:eastAsia="SimSun" w:cs="Arial"/>
                <w:sz w:val="16"/>
                <w:szCs w:val="16"/>
                <w:lang w:eastAsia="zh-CN"/>
              </w:rPr>
            </w:pPr>
            <w:r>
              <w:rPr>
                <w:rFonts w:eastAsia="SimSun" w:cs="Arial"/>
                <w:sz w:val="16"/>
                <w:szCs w:val="16"/>
                <w:lang w:eastAsia="zh-CN"/>
              </w:rPr>
              <w:t>(Q3 2012):</w:t>
            </w:r>
          </w:p>
          <w:p w:rsidR="00805A5E" w:rsidRPr="00152A1E" w:rsidRDefault="00805A5E" w:rsidP="00805A5E">
            <w:pPr>
              <w:pStyle w:val="ListParagraph"/>
              <w:numPr>
                <w:ilvl w:val="0"/>
                <w:numId w:val="154"/>
              </w:numPr>
              <w:ind w:left="279" w:hanging="279"/>
              <w:contextualSpacing/>
              <w:rPr>
                <w:rFonts w:eastAsia="SimSun" w:cs="Arial"/>
                <w:sz w:val="16"/>
                <w:szCs w:val="16"/>
                <w:lang w:eastAsia="zh-CN"/>
              </w:rPr>
            </w:pPr>
            <w:r>
              <w:rPr>
                <w:rFonts w:eastAsia="SimSun" w:cs="Arial"/>
                <w:sz w:val="16"/>
                <w:szCs w:val="16"/>
                <w:lang w:eastAsia="zh-CN"/>
              </w:rPr>
              <w:t>75</w:t>
            </w:r>
            <w:r w:rsidRPr="00152A1E">
              <w:rPr>
                <w:rFonts w:eastAsia="SimSun" w:cs="Arial"/>
                <w:sz w:val="16"/>
                <w:szCs w:val="16"/>
                <w:lang w:eastAsia="zh-CN"/>
              </w:rPr>
              <w:t xml:space="preserve"> (WBO)</w:t>
            </w:r>
          </w:p>
          <w:p w:rsidR="00805A5E" w:rsidRPr="00152A1E" w:rsidRDefault="00805A5E" w:rsidP="00805A5E">
            <w:pPr>
              <w:pStyle w:val="ListParagraph"/>
              <w:numPr>
                <w:ilvl w:val="0"/>
                <w:numId w:val="154"/>
              </w:numPr>
              <w:ind w:left="279" w:hanging="279"/>
              <w:contextualSpacing/>
              <w:rPr>
                <w:rFonts w:eastAsia="SimSun" w:cs="Arial"/>
                <w:sz w:val="16"/>
                <w:szCs w:val="16"/>
                <w:lang w:eastAsia="zh-CN"/>
              </w:rPr>
            </w:pPr>
            <w:r>
              <w:rPr>
                <w:rFonts w:eastAsia="SimSun" w:cs="Arial"/>
                <w:sz w:val="16"/>
                <w:szCs w:val="16"/>
                <w:lang w:eastAsia="zh-CN"/>
              </w:rPr>
              <w:t>275</w:t>
            </w:r>
            <w:r w:rsidRPr="00152A1E">
              <w:rPr>
                <w:rFonts w:eastAsia="SimSun" w:cs="Arial"/>
                <w:sz w:val="16"/>
                <w:szCs w:val="16"/>
                <w:lang w:eastAsia="zh-CN"/>
              </w:rPr>
              <w:t xml:space="preserve"> (WJO)</w:t>
            </w:r>
          </w:p>
          <w:p w:rsidR="00805A5E" w:rsidRPr="00152A1E" w:rsidRDefault="00805A5E" w:rsidP="00805A5E">
            <w:pPr>
              <w:pStyle w:val="ListParagraph"/>
              <w:numPr>
                <w:ilvl w:val="0"/>
                <w:numId w:val="154"/>
              </w:numPr>
              <w:ind w:left="279" w:right="-39" w:hanging="279"/>
              <w:contextualSpacing/>
              <w:rPr>
                <w:rFonts w:eastAsia="SimSun" w:cs="Arial"/>
                <w:sz w:val="16"/>
                <w:szCs w:val="16"/>
                <w:lang w:eastAsia="zh-CN"/>
              </w:rPr>
            </w:pPr>
            <w:r>
              <w:rPr>
                <w:rFonts w:eastAsia="SimSun" w:cs="Arial"/>
                <w:sz w:val="16"/>
                <w:szCs w:val="16"/>
                <w:lang w:eastAsia="zh-CN"/>
              </w:rPr>
              <w:t xml:space="preserve">415 </w:t>
            </w:r>
            <w:r w:rsidRPr="00152A1E">
              <w:rPr>
                <w:rFonts w:eastAsia="SimSun" w:cs="Arial"/>
                <w:sz w:val="16"/>
                <w:szCs w:val="16"/>
                <w:lang w:eastAsia="zh-CN"/>
              </w:rPr>
              <w:t>(WSO)</w:t>
            </w:r>
          </w:p>
          <w:p w:rsidR="00805A5E" w:rsidRPr="00AD4B0B" w:rsidRDefault="00805A5E" w:rsidP="00547ACE">
            <w:pPr>
              <w:rPr>
                <w:rFonts w:eastAsia="SimSun" w:cs="Arial"/>
                <w:sz w:val="16"/>
                <w:szCs w:val="16"/>
                <w:highlight w:val="yellow"/>
                <w:lang w:eastAsia="zh-CN"/>
              </w:rPr>
            </w:pPr>
          </w:p>
          <w:p w:rsidR="00805A5E" w:rsidRDefault="00805A5E" w:rsidP="00547ACE">
            <w:pPr>
              <w:rPr>
                <w:rFonts w:cs="Arial"/>
                <w:i/>
                <w:sz w:val="16"/>
                <w:szCs w:val="16"/>
              </w:rPr>
            </w:pPr>
            <w:r>
              <w:rPr>
                <w:rFonts w:cs="Arial"/>
                <w:i/>
                <w:sz w:val="16"/>
                <w:szCs w:val="16"/>
              </w:rPr>
              <w:t>Original Baseline P&amp;B 2014/15:</w:t>
            </w:r>
          </w:p>
          <w:p w:rsidR="00805A5E" w:rsidRDefault="00805A5E" w:rsidP="00547ACE">
            <w:pPr>
              <w:rPr>
                <w:rFonts w:cs="Arial"/>
                <w:i/>
                <w:sz w:val="16"/>
                <w:szCs w:val="16"/>
              </w:rPr>
            </w:pPr>
            <w:r w:rsidRPr="00005B71">
              <w:rPr>
                <w:rFonts w:cs="Arial"/>
                <w:sz w:val="16"/>
                <w:szCs w:val="16"/>
              </w:rPr>
              <w:t>Statistics end 2013 (WBO)</w:t>
            </w:r>
            <w:r>
              <w:rPr>
                <w:rFonts w:cs="Arial"/>
                <w:i/>
                <w:sz w:val="16"/>
                <w:szCs w:val="16"/>
              </w:rPr>
              <w:t xml:space="preserve"> </w:t>
            </w:r>
          </w:p>
          <w:p w:rsidR="00805A5E" w:rsidRPr="00913773" w:rsidRDefault="00805A5E" w:rsidP="00547ACE">
            <w:pPr>
              <w:rPr>
                <w:rFonts w:cs="Arial"/>
                <w:sz w:val="16"/>
                <w:szCs w:val="16"/>
              </w:rPr>
            </w:pPr>
            <w:r w:rsidRPr="00005B71">
              <w:rPr>
                <w:rFonts w:cs="Arial"/>
                <w:sz w:val="16"/>
                <w:szCs w:val="16"/>
              </w:rPr>
              <w:t>Statistics end 2013 (WJO)</w:t>
            </w:r>
          </w:p>
          <w:p w:rsidR="00805A5E" w:rsidRDefault="00805A5E" w:rsidP="00547ACE">
            <w:pPr>
              <w:rPr>
                <w:rFonts w:cs="Arial"/>
                <w:i/>
                <w:color w:val="002060"/>
                <w:sz w:val="16"/>
                <w:szCs w:val="16"/>
              </w:rPr>
            </w:pPr>
            <w:r w:rsidRPr="00005B71">
              <w:rPr>
                <w:rFonts w:cs="Arial"/>
                <w:sz w:val="16"/>
                <w:szCs w:val="16"/>
              </w:rPr>
              <w:t>tbd (WSO)</w:t>
            </w:r>
          </w:p>
        </w:tc>
        <w:tc>
          <w:tcPr>
            <w:tcW w:w="900" w:type="pct"/>
            <w:gridSpan w:val="6"/>
            <w:tcBorders>
              <w:top w:val="nil"/>
              <w:left w:val="nil"/>
              <w:bottom w:val="single" w:sz="4" w:space="0" w:color="auto"/>
              <w:right w:val="nil"/>
            </w:tcBorders>
            <w:shd w:val="clear" w:color="auto" w:fill="auto"/>
            <w:tcMar>
              <w:top w:w="110" w:type="dxa"/>
            </w:tcMar>
          </w:tcPr>
          <w:p w:rsidR="00805A5E" w:rsidRDefault="00805A5E" w:rsidP="00547ACE">
            <w:pPr>
              <w:rPr>
                <w:rFonts w:eastAsia="SimSun" w:cs="Arial"/>
                <w:sz w:val="16"/>
                <w:szCs w:val="16"/>
                <w:lang w:eastAsia="zh-CN"/>
              </w:rPr>
            </w:pPr>
          </w:p>
          <w:p w:rsidR="00805A5E" w:rsidRDefault="00805A5E" w:rsidP="00547ACE">
            <w:pPr>
              <w:rPr>
                <w:rFonts w:eastAsia="SimSun" w:cs="Arial"/>
                <w:sz w:val="16"/>
                <w:szCs w:val="16"/>
                <w:lang w:eastAsia="zh-CN"/>
              </w:rPr>
            </w:pPr>
            <w:r w:rsidRPr="00005B71">
              <w:rPr>
                <w:rFonts w:eastAsia="SimSun" w:cs="Arial"/>
                <w:sz w:val="16"/>
                <w:szCs w:val="16"/>
                <w:lang w:eastAsia="zh-CN"/>
              </w:rPr>
              <w:t>5% (WBO)</w:t>
            </w:r>
          </w:p>
          <w:p w:rsidR="00805A5E" w:rsidRDefault="00805A5E" w:rsidP="00547ACE">
            <w:pPr>
              <w:rPr>
                <w:rFonts w:eastAsia="SimSun" w:cs="Arial"/>
                <w:sz w:val="16"/>
                <w:szCs w:val="16"/>
                <w:lang w:eastAsia="zh-CN"/>
              </w:rPr>
            </w:pPr>
          </w:p>
          <w:p w:rsidR="00805A5E" w:rsidRDefault="00805A5E" w:rsidP="00547ACE">
            <w:pPr>
              <w:rPr>
                <w:rFonts w:eastAsia="SimSun" w:cs="Arial"/>
                <w:sz w:val="16"/>
                <w:szCs w:val="16"/>
                <w:lang w:eastAsia="zh-CN"/>
              </w:rPr>
            </w:pPr>
          </w:p>
          <w:p w:rsidR="00805A5E" w:rsidRDefault="00805A5E" w:rsidP="00547ACE">
            <w:pPr>
              <w:rPr>
                <w:rFonts w:eastAsia="SimSun" w:cs="Arial"/>
                <w:sz w:val="16"/>
                <w:szCs w:val="16"/>
                <w:lang w:eastAsia="zh-CN"/>
              </w:rPr>
            </w:pPr>
          </w:p>
          <w:p w:rsidR="00805A5E" w:rsidRDefault="00805A5E" w:rsidP="00547ACE">
            <w:pPr>
              <w:rPr>
                <w:rFonts w:eastAsia="SimSun" w:cs="Arial"/>
                <w:sz w:val="16"/>
                <w:szCs w:val="16"/>
                <w:lang w:eastAsia="zh-CN"/>
              </w:rPr>
            </w:pPr>
          </w:p>
          <w:p w:rsidR="00805A5E" w:rsidRDefault="00805A5E" w:rsidP="00547ACE">
            <w:pPr>
              <w:rPr>
                <w:rFonts w:eastAsia="SimSun" w:cs="Arial"/>
                <w:sz w:val="16"/>
                <w:szCs w:val="16"/>
                <w:lang w:eastAsia="zh-CN"/>
              </w:rPr>
            </w:pPr>
            <w:r w:rsidRPr="00005B71">
              <w:rPr>
                <w:rFonts w:eastAsia="SimSun" w:cs="Arial"/>
                <w:sz w:val="16"/>
                <w:szCs w:val="16"/>
                <w:lang w:eastAsia="zh-CN"/>
              </w:rPr>
              <w:t>5% Increase (WJO)</w:t>
            </w:r>
            <w:r>
              <w:rPr>
                <w:rStyle w:val="FootnoteReference"/>
                <w:rFonts w:eastAsia="SimSun" w:cs="Arial"/>
                <w:szCs w:val="16"/>
                <w:lang w:eastAsia="zh-CN"/>
              </w:rPr>
              <w:footnoteReference w:id="116"/>
            </w:r>
          </w:p>
          <w:p w:rsidR="00805A5E" w:rsidRDefault="00805A5E" w:rsidP="00547ACE">
            <w:pPr>
              <w:rPr>
                <w:rFonts w:eastAsia="SimSun" w:cs="Arial"/>
                <w:sz w:val="16"/>
                <w:szCs w:val="16"/>
                <w:lang w:eastAsia="zh-CN"/>
              </w:rPr>
            </w:pPr>
          </w:p>
          <w:p w:rsidR="00805A5E" w:rsidRDefault="00805A5E" w:rsidP="00547ACE">
            <w:pPr>
              <w:rPr>
                <w:rFonts w:eastAsia="SimSun" w:cs="Arial"/>
                <w:sz w:val="16"/>
                <w:szCs w:val="16"/>
                <w:lang w:eastAsia="zh-CN"/>
              </w:rPr>
            </w:pPr>
          </w:p>
          <w:p w:rsidR="00805A5E" w:rsidRDefault="00805A5E" w:rsidP="00547ACE">
            <w:pPr>
              <w:rPr>
                <w:rFonts w:eastAsia="SimSun" w:cs="Arial"/>
                <w:sz w:val="16"/>
                <w:szCs w:val="16"/>
                <w:lang w:eastAsia="zh-CN"/>
              </w:rPr>
            </w:pPr>
          </w:p>
          <w:p w:rsidR="00805A5E" w:rsidRDefault="00805A5E" w:rsidP="00547ACE">
            <w:pPr>
              <w:rPr>
                <w:rFonts w:eastAsia="SimSun" w:cs="Arial"/>
                <w:sz w:val="16"/>
                <w:szCs w:val="16"/>
                <w:lang w:eastAsia="zh-CN"/>
              </w:rPr>
            </w:pPr>
            <w:r w:rsidRPr="00005B71">
              <w:rPr>
                <w:rFonts w:eastAsia="SimSun" w:cs="Arial"/>
                <w:sz w:val="16"/>
                <w:szCs w:val="16"/>
                <w:lang w:eastAsia="zh-CN"/>
              </w:rPr>
              <w:t>5% increase in ASEAN users (WSO)</w:t>
            </w:r>
          </w:p>
          <w:p w:rsidR="00805A5E" w:rsidRDefault="00805A5E" w:rsidP="00547ACE">
            <w:pPr>
              <w:rPr>
                <w:rFonts w:eastAsia="SimSun" w:cs="Arial"/>
                <w:sz w:val="16"/>
                <w:szCs w:val="16"/>
                <w:lang w:eastAsia="zh-CN"/>
              </w:rPr>
            </w:pPr>
          </w:p>
          <w:p w:rsidR="00805A5E" w:rsidRPr="00005B71" w:rsidRDefault="00805A5E" w:rsidP="00547ACE">
            <w:pPr>
              <w:rPr>
                <w:rFonts w:eastAsia="SimSun" w:cs="Arial"/>
                <w:sz w:val="16"/>
                <w:szCs w:val="16"/>
                <w:lang w:eastAsia="zh-CN"/>
              </w:rPr>
            </w:pPr>
          </w:p>
        </w:tc>
        <w:tc>
          <w:tcPr>
            <w:tcW w:w="1426" w:type="pct"/>
            <w:tcBorders>
              <w:top w:val="nil"/>
              <w:left w:val="nil"/>
              <w:bottom w:val="single" w:sz="4" w:space="0" w:color="auto"/>
              <w:right w:val="nil"/>
            </w:tcBorders>
            <w:shd w:val="clear" w:color="auto" w:fill="FFFFFF"/>
            <w:tcMar>
              <w:top w:w="110" w:type="dxa"/>
            </w:tcMar>
          </w:tcPr>
          <w:p w:rsidR="00805A5E" w:rsidRDefault="00805A5E" w:rsidP="00547ACE">
            <w:pPr>
              <w:rPr>
                <w:rFonts w:eastAsia="SimSun" w:cs="Arial"/>
                <w:sz w:val="16"/>
                <w:szCs w:val="16"/>
                <w:lang w:eastAsia="zh-CN"/>
              </w:rPr>
            </w:pPr>
            <w:r>
              <w:rPr>
                <w:rFonts w:eastAsia="SimSun" w:cs="Arial"/>
                <w:sz w:val="16"/>
                <w:szCs w:val="16"/>
                <w:lang w:eastAsia="zh-CN"/>
              </w:rPr>
              <w:t>PATENTSCOPE:</w:t>
            </w:r>
          </w:p>
          <w:p w:rsidR="00805A5E" w:rsidRDefault="00805A5E" w:rsidP="00547ACE">
            <w:pPr>
              <w:rPr>
                <w:rFonts w:eastAsia="SimSun" w:cs="Arial"/>
                <w:sz w:val="16"/>
                <w:szCs w:val="16"/>
                <w:lang w:eastAsia="zh-CN"/>
              </w:rPr>
            </w:pPr>
            <w:r>
              <w:rPr>
                <w:rFonts w:eastAsia="SimSun" w:cs="Arial"/>
                <w:sz w:val="16"/>
                <w:szCs w:val="16"/>
                <w:lang w:eastAsia="zh-CN"/>
              </w:rPr>
              <w:t>2014/15: 8,533 (+10%)</w:t>
            </w:r>
          </w:p>
          <w:p w:rsidR="00805A5E" w:rsidRPr="0075534B" w:rsidRDefault="00805A5E" w:rsidP="00805A5E">
            <w:pPr>
              <w:pStyle w:val="ListParagraph"/>
              <w:numPr>
                <w:ilvl w:val="0"/>
                <w:numId w:val="161"/>
              </w:numPr>
              <w:ind w:left="347" w:hanging="347"/>
              <w:rPr>
                <w:rFonts w:eastAsia="SimSun" w:cs="Arial"/>
                <w:sz w:val="16"/>
                <w:szCs w:val="16"/>
                <w:lang w:eastAsia="zh-CN"/>
              </w:rPr>
            </w:pPr>
            <w:r w:rsidRPr="0075534B">
              <w:rPr>
                <w:rFonts w:eastAsia="SimSun" w:cs="Arial"/>
                <w:sz w:val="16"/>
                <w:szCs w:val="16"/>
                <w:lang w:eastAsia="zh-CN"/>
              </w:rPr>
              <w:t>2</w:t>
            </w:r>
            <w:r>
              <w:rPr>
                <w:rFonts w:eastAsia="SimSun" w:cs="Arial"/>
                <w:sz w:val="16"/>
                <w:szCs w:val="16"/>
                <w:lang w:eastAsia="zh-CN"/>
              </w:rPr>
              <w:t>014:  4,688</w:t>
            </w:r>
            <w:r w:rsidDel="0067591D">
              <w:rPr>
                <w:rFonts w:eastAsia="SimSun" w:cs="Arial"/>
                <w:sz w:val="16"/>
                <w:szCs w:val="16"/>
                <w:lang w:eastAsia="zh-CN"/>
              </w:rPr>
              <w:t xml:space="preserve"> </w:t>
            </w:r>
            <w:r>
              <w:rPr>
                <w:rFonts w:eastAsia="SimSun" w:cs="Arial"/>
                <w:sz w:val="16"/>
                <w:szCs w:val="16"/>
                <w:lang w:eastAsia="zh-CN"/>
              </w:rPr>
              <w:t>(+22%)</w:t>
            </w:r>
          </w:p>
          <w:p w:rsidR="00805A5E" w:rsidRDefault="00805A5E" w:rsidP="00805A5E">
            <w:pPr>
              <w:pStyle w:val="ListParagraph"/>
              <w:numPr>
                <w:ilvl w:val="0"/>
                <w:numId w:val="161"/>
              </w:numPr>
              <w:ind w:left="347" w:hanging="347"/>
              <w:rPr>
                <w:rFonts w:eastAsia="SimSun" w:cs="Arial"/>
                <w:sz w:val="16"/>
                <w:szCs w:val="16"/>
                <w:lang w:eastAsia="zh-CN"/>
              </w:rPr>
            </w:pPr>
            <w:r w:rsidRPr="0075534B">
              <w:rPr>
                <w:rFonts w:eastAsia="SimSun" w:cs="Arial"/>
                <w:sz w:val="16"/>
                <w:szCs w:val="16"/>
                <w:lang w:eastAsia="zh-CN"/>
              </w:rPr>
              <w:t xml:space="preserve">2015:  </w:t>
            </w:r>
            <w:r>
              <w:rPr>
                <w:rFonts w:eastAsia="SimSun" w:cs="Arial"/>
                <w:sz w:val="16"/>
                <w:szCs w:val="16"/>
                <w:lang w:eastAsia="zh-CN"/>
              </w:rPr>
              <w:t>3,845 (-18%)</w:t>
            </w:r>
          </w:p>
          <w:p w:rsidR="00805A5E" w:rsidRPr="00DD4026" w:rsidRDefault="00805A5E" w:rsidP="00547ACE">
            <w:pPr>
              <w:rPr>
                <w:rFonts w:eastAsia="SimSun" w:cs="Arial"/>
                <w:sz w:val="16"/>
                <w:szCs w:val="16"/>
                <w:lang w:eastAsia="zh-CN"/>
              </w:rPr>
            </w:pPr>
            <w:r w:rsidRPr="00DD4026">
              <w:rPr>
                <w:rFonts w:eastAsia="SimSun" w:cs="Arial"/>
                <w:sz w:val="16"/>
                <w:szCs w:val="16"/>
                <w:lang w:eastAsia="zh-CN"/>
              </w:rPr>
              <w:t>(WBO)</w:t>
            </w:r>
          </w:p>
          <w:p w:rsidR="00805A5E" w:rsidRDefault="00805A5E" w:rsidP="00547ACE">
            <w:pPr>
              <w:rPr>
                <w:rFonts w:eastAsia="SimSun" w:cs="Arial"/>
                <w:sz w:val="16"/>
                <w:szCs w:val="16"/>
                <w:lang w:eastAsia="zh-CN"/>
              </w:rPr>
            </w:pPr>
          </w:p>
          <w:p w:rsidR="00805A5E" w:rsidRDefault="00805A5E" w:rsidP="00547ACE">
            <w:pPr>
              <w:rPr>
                <w:rFonts w:eastAsia="SimSun" w:cs="Arial"/>
                <w:sz w:val="16"/>
                <w:szCs w:val="16"/>
                <w:lang w:eastAsia="zh-CN"/>
              </w:rPr>
            </w:pPr>
            <w:r>
              <w:rPr>
                <w:rFonts w:eastAsia="SimSun" w:cs="Arial"/>
                <w:sz w:val="16"/>
                <w:szCs w:val="16"/>
                <w:lang w:eastAsia="zh-CN"/>
              </w:rPr>
              <w:t>2014/15: 30,743 (+2%)</w:t>
            </w:r>
          </w:p>
          <w:p w:rsidR="00805A5E" w:rsidRPr="0075534B" w:rsidRDefault="00805A5E" w:rsidP="00805A5E">
            <w:pPr>
              <w:pStyle w:val="ListParagraph"/>
              <w:numPr>
                <w:ilvl w:val="0"/>
                <w:numId w:val="161"/>
              </w:numPr>
              <w:ind w:left="347" w:hanging="347"/>
              <w:rPr>
                <w:rFonts w:eastAsia="SimSun" w:cs="Arial"/>
                <w:sz w:val="16"/>
                <w:szCs w:val="16"/>
                <w:lang w:eastAsia="zh-CN"/>
              </w:rPr>
            </w:pPr>
            <w:r w:rsidRPr="0075534B">
              <w:rPr>
                <w:rFonts w:eastAsia="SimSun" w:cs="Arial"/>
                <w:sz w:val="16"/>
                <w:szCs w:val="16"/>
                <w:lang w:eastAsia="zh-CN"/>
              </w:rPr>
              <w:t>2</w:t>
            </w:r>
            <w:r>
              <w:rPr>
                <w:rFonts w:eastAsia="SimSun" w:cs="Arial"/>
                <w:sz w:val="16"/>
                <w:szCs w:val="16"/>
                <w:lang w:eastAsia="zh-CN"/>
              </w:rPr>
              <w:t>014:  14,711</w:t>
            </w:r>
            <w:r w:rsidRPr="00EF6ED8">
              <w:rPr>
                <w:rStyle w:val="FootnoteReference"/>
                <w:rFonts w:eastAsia="SimSun" w:cs="Arial"/>
                <w:szCs w:val="16"/>
              </w:rPr>
              <w:t xml:space="preserve"> </w:t>
            </w:r>
            <w:r>
              <w:rPr>
                <w:rFonts w:eastAsia="SimSun" w:cs="Arial"/>
                <w:sz w:val="16"/>
                <w:szCs w:val="16"/>
                <w:lang w:eastAsia="zh-CN"/>
              </w:rPr>
              <w:t>(-1%)</w:t>
            </w:r>
          </w:p>
          <w:p w:rsidR="00805A5E" w:rsidRDefault="00805A5E" w:rsidP="00805A5E">
            <w:pPr>
              <w:pStyle w:val="ListParagraph"/>
              <w:numPr>
                <w:ilvl w:val="0"/>
                <w:numId w:val="161"/>
              </w:numPr>
              <w:ind w:left="347" w:right="-92" w:hanging="347"/>
              <w:rPr>
                <w:rFonts w:eastAsia="SimSun" w:cs="Arial"/>
                <w:sz w:val="16"/>
                <w:szCs w:val="16"/>
                <w:lang w:eastAsia="zh-CN"/>
              </w:rPr>
            </w:pPr>
            <w:r w:rsidRPr="0075534B">
              <w:rPr>
                <w:rFonts w:eastAsia="SimSun" w:cs="Arial"/>
                <w:sz w:val="16"/>
                <w:szCs w:val="16"/>
                <w:lang w:eastAsia="zh-CN"/>
              </w:rPr>
              <w:t xml:space="preserve">2015:  </w:t>
            </w:r>
            <w:r>
              <w:rPr>
                <w:rFonts w:eastAsia="SimSun" w:cs="Arial"/>
                <w:sz w:val="16"/>
                <w:szCs w:val="16"/>
                <w:lang w:eastAsia="zh-CN"/>
              </w:rPr>
              <w:t>16,032 (+2%</w:t>
            </w:r>
            <w:r>
              <w:rPr>
                <w:rStyle w:val="FootnoteReference"/>
                <w:rFonts w:eastAsia="SimSun" w:cs="Arial"/>
                <w:szCs w:val="16"/>
                <w:lang w:eastAsia="zh-CN"/>
              </w:rPr>
              <w:footnoteReference w:id="117"/>
            </w:r>
            <w:r>
              <w:rPr>
                <w:rFonts w:eastAsia="SimSun" w:cs="Arial"/>
                <w:sz w:val="16"/>
                <w:szCs w:val="16"/>
                <w:lang w:eastAsia="zh-CN"/>
              </w:rPr>
              <w:t>)</w:t>
            </w:r>
          </w:p>
          <w:p w:rsidR="00805A5E" w:rsidRDefault="00805A5E" w:rsidP="00547ACE">
            <w:pPr>
              <w:rPr>
                <w:rFonts w:eastAsia="SimSun" w:cs="Arial"/>
                <w:sz w:val="16"/>
                <w:szCs w:val="16"/>
                <w:lang w:eastAsia="zh-CN"/>
              </w:rPr>
            </w:pPr>
            <w:r>
              <w:rPr>
                <w:rFonts w:eastAsia="SimSun" w:cs="Arial"/>
                <w:sz w:val="16"/>
                <w:szCs w:val="16"/>
                <w:lang w:eastAsia="zh-CN"/>
              </w:rPr>
              <w:t>(WJO)</w:t>
            </w:r>
          </w:p>
          <w:p w:rsidR="00805A5E" w:rsidRDefault="00805A5E" w:rsidP="00547ACE">
            <w:pPr>
              <w:rPr>
                <w:rFonts w:eastAsia="SimSun" w:cs="Arial"/>
                <w:sz w:val="16"/>
                <w:szCs w:val="16"/>
                <w:lang w:eastAsia="zh-CN"/>
              </w:rPr>
            </w:pPr>
          </w:p>
          <w:p w:rsidR="00805A5E" w:rsidRDefault="00805A5E" w:rsidP="00547ACE">
            <w:pPr>
              <w:rPr>
                <w:rFonts w:eastAsia="SimSun" w:cs="Arial"/>
                <w:sz w:val="16"/>
                <w:szCs w:val="16"/>
                <w:lang w:eastAsia="zh-CN"/>
              </w:rPr>
            </w:pPr>
            <w:r>
              <w:rPr>
                <w:rFonts w:eastAsia="SimSun" w:cs="Arial"/>
                <w:sz w:val="16"/>
                <w:szCs w:val="16"/>
                <w:lang w:eastAsia="zh-CN"/>
              </w:rPr>
              <w:t>2014/15: 15,525 (+16%)</w:t>
            </w:r>
          </w:p>
          <w:p w:rsidR="00805A5E" w:rsidRDefault="00805A5E" w:rsidP="00805A5E">
            <w:pPr>
              <w:pStyle w:val="ListParagraph"/>
              <w:numPr>
                <w:ilvl w:val="0"/>
                <w:numId w:val="161"/>
              </w:numPr>
              <w:ind w:left="347" w:right="-92" w:hanging="347"/>
              <w:rPr>
                <w:rFonts w:eastAsia="SimSun" w:cs="Arial"/>
                <w:sz w:val="16"/>
                <w:szCs w:val="16"/>
                <w:lang w:eastAsia="zh-CN"/>
              </w:rPr>
            </w:pPr>
            <w:r>
              <w:rPr>
                <w:rFonts w:eastAsia="SimSun" w:cs="Arial"/>
                <w:sz w:val="16"/>
                <w:szCs w:val="16"/>
                <w:lang w:eastAsia="zh-CN"/>
              </w:rPr>
              <w:t>2014:  8,054 (+19%)</w:t>
            </w:r>
          </w:p>
          <w:p w:rsidR="00805A5E" w:rsidRDefault="00805A5E" w:rsidP="00805A5E">
            <w:pPr>
              <w:pStyle w:val="ListParagraph"/>
              <w:numPr>
                <w:ilvl w:val="0"/>
                <w:numId w:val="161"/>
              </w:numPr>
              <w:ind w:left="347" w:right="-92" w:hanging="347"/>
              <w:rPr>
                <w:rFonts w:eastAsia="SimSun" w:cs="Arial"/>
                <w:sz w:val="16"/>
                <w:szCs w:val="16"/>
                <w:lang w:eastAsia="zh-CN"/>
              </w:rPr>
            </w:pPr>
            <w:r>
              <w:rPr>
                <w:rFonts w:eastAsia="SimSun" w:cs="Arial"/>
                <w:sz w:val="16"/>
                <w:szCs w:val="16"/>
                <w:lang w:eastAsia="zh-CN"/>
              </w:rPr>
              <w:t>2015:  7,471 (-7.2%)</w:t>
            </w:r>
          </w:p>
          <w:p w:rsidR="00805A5E" w:rsidRDefault="00805A5E" w:rsidP="00547ACE">
            <w:pPr>
              <w:rPr>
                <w:rFonts w:eastAsia="SimSun" w:cs="Arial"/>
                <w:sz w:val="16"/>
                <w:szCs w:val="16"/>
                <w:lang w:eastAsia="zh-CN"/>
              </w:rPr>
            </w:pPr>
            <w:r>
              <w:rPr>
                <w:rFonts w:eastAsia="SimSun" w:cs="Arial"/>
                <w:sz w:val="16"/>
                <w:szCs w:val="16"/>
                <w:lang w:eastAsia="zh-CN"/>
              </w:rPr>
              <w:t>(WSO)</w:t>
            </w:r>
          </w:p>
          <w:p w:rsidR="00805A5E" w:rsidRDefault="00805A5E" w:rsidP="00547ACE">
            <w:pPr>
              <w:rPr>
                <w:rFonts w:eastAsia="SimSun" w:cs="Arial"/>
                <w:sz w:val="16"/>
                <w:szCs w:val="16"/>
                <w:lang w:eastAsia="zh-CN"/>
              </w:rPr>
            </w:pPr>
          </w:p>
          <w:p w:rsidR="00805A5E" w:rsidRDefault="00805A5E" w:rsidP="00547ACE">
            <w:pPr>
              <w:rPr>
                <w:rFonts w:eastAsia="SimSun" w:cs="Arial"/>
                <w:sz w:val="16"/>
                <w:szCs w:val="16"/>
                <w:lang w:eastAsia="zh-CN"/>
              </w:rPr>
            </w:pPr>
          </w:p>
          <w:p w:rsidR="00805A5E" w:rsidRDefault="00805A5E" w:rsidP="00547ACE">
            <w:pPr>
              <w:rPr>
                <w:rFonts w:eastAsia="SimSun" w:cs="Arial"/>
                <w:sz w:val="16"/>
                <w:szCs w:val="16"/>
                <w:lang w:eastAsia="zh-CN"/>
              </w:rPr>
            </w:pPr>
            <w:r>
              <w:rPr>
                <w:rFonts w:eastAsia="SimSun" w:cs="Arial"/>
                <w:sz w:val="16"/>
                <w:szCs w:val="16"/>
                <w:lang w:eastAsia="zh-CN"/>
              </w:rPr>
              <w:t>Global Brand Database:</w:t>
            </w:r>
          </w:p>
          <w:p w:rsidR="00805A5E" w:rsidRDefault="00805A5E" w:rsidP="00547ACE">
            <w:pPr>
              <w:rPr>
                <w:rFonts w:eastAsia="SimSun" w:cs="Arial"/>
                <w:sz w:val="16"/>
                <w:szCs w:val="16"/>
                <w:lang w:eastAsia="zh-CN"/>
              </w:rPr>
            </w:pPr>
            <w:r>
              <w:rPr>
                <w:rFonts w:eastAsia="SimSun" w:cs="Arial"/>
                <w:sz w:val="16"/>
                <w:szCs w:val="16"/>
                <w:lang w:eastAsia="zh-CN"/>
              </w:rPr>
              <w:t>2014/15: 8,533 (+302%)</w:t>
            </w:r>
          </w:p>
          <w:p w:rsidR="00805A5E" w:rsidRPr="0075534B" w:rsidRDefault="00805A5E" w:rsidP="00805A5E">
            <w:pPr>
              <w:pStyle w:val="ListParagraph"/>
              <w:numPr>
                <w:ilvl w:val="0"/>
                <w:numId w:val="161"/>
              </w:numPr>
              <w:ind w:left="347" w:hanging="347"/>
              <w:rPr>
                <w:rFonts w:eastAsia="SimSun" w:cs="Arial"/>
                <w:sz w:val="16"/>
                <w:szCs w:val="16"/>
                <w:lang w:eastAsia="zh-CN"/>
              </w:rPr>
            </w:pPr>
            <w:r w:rsidRPr="0075534B">
              <w:rPr>
                <w:rFonts w:eastAsia="SimSun" w:cs="Arial"/>
                <w:sz w:val="16"/>
                <w:szCs w:val="16"/>
                <w:lang w:eastAsia="zh-CN"/>
              </w:rPr>
              <w:t>2</w:t>
            </w:r>
            <w:r>
              <w:rPr>
                <w:rFonts w:eastAsia="SimSun" w:cs="Arial"/>
                <w:sz w:val="16"/>
                <w:szCs w:val="16"/>
                <w:lang w:eastAsia="zh-CN"/>
              </w:rPr>
              <w:t>014:  532 (+186%)</w:t>
            </w:r>
          </w:p>
          <w:p w:rsidR="00805A5E" w:rsidRDefault="00805A5E" w:rsidP="00805A5E">
            <w:pPr>
              <w:pStyle w:val="ListParagraph"/>
              <w:numPr>
                <w:ilvl w:val="0"/>
                <w:numId w:val="161"/>
              </w:numPr>
              <w:ind w:left="347" w:hanging="347"/>
              <w:rPr>
                <w:rFonts w:eastAsia="SimSun" w:cs="Arial"/>
                <w:sz w:val="16"/>
                <w:szCs w:val="16"/>
                <w:lang w:eastAsia="zh-CN"/>
              </w:rPr>
            </w:pPr>
            <w:r w:rsidRPr="0075534B">
              <w:rPr>
                <w:rFonts w:eastAsia="SimSun" w:cs="Arial"/>
                <w:sz w:val="16"/>
                <w:szCs w:val="16"/>
                <w:lang w:eastAsia="zh-CN"/>
              </w:rPr>
              <w:t xml:space="preserve">2015:  </w:t>
            </w:r>
            <w:r>
              <w:rPr>
                <w:rFonts w:eastAsia="SimSun" w:cs="Arial"/>
                <w:sz w:val="16"/>
                <w:szCs w:val="16"/>
                <w:lang w:eastAsia="zh-CN"/>
              </w:rPr>
              <w:t>516 (+164%)</w:t>
            </w:r>
          </w:p>
          <w:p w:rsidR="00805A5E" w:rsidRPr="00DD4026" w:rsidRDefault="00805A5E" w:rsidP="00547ACE">
            <w:pPr>
              <w:rPr>
                <w:rFonts w:eastAsia="SimSun" w:cs="Arial"/>
                <w:sz w:val="16"/>
                <w:szCs w:val="16"/>
                <w:lang w:eastAsia="zh-CN"/>
              </w:rPr>
            </w:pPr>
            <w:r w:rsidRPr="00DD4026">
              <w:rPr>
                <w:rFonts w:eastAsia="SimSun" w:cs="Arial"/>
                <w:sz w:val="16"/>
                <w:szCs w:val="16"/>
                <w:lang w:eastAsia="zh-CN"/>
              </w:rPr>
              <w:t>(WBO)</w:t>
            </w:r>
          </w:p>
          <w:p w:rsidR="00805A5E" w:rsidRDefault="00805A5E" w:rsidP="00547ACE">
            <w:pPr>
              <w:rPr>
                <w:rFonts w:eastAsia="SimSun" w:cs="Arial"/>
                <w:sz w:val="16"/>
                <w:szCs w:val="16"/>
                <w:lang w:eastAsia="zh-CN"/>
              </w:rPr>
            </w:pPr>
          </w:p>
          <w:p w:rsidR="00805A5E" w:rsidRDefault="00805A5E" w:rsidP="00547ACE">
            <w:pPr>
              <w:rPr>
                <w:rFonts w:eastAsia="SimSun" w:cs="Arial"/>
                <w:sz w:val="16"/>
                <w:szCs w:val="16"/>
                <w:lang w:eastAsia="zh-CN"/>
              </w:rPr>
            </w:pPr>
            <w:r>
              <w:rPr>
                <w:rFonts w:eastAsia="SimSun" w:cs="Arial"/>
                <w:sz w:val="16"/>
                <w:szCs w:val="16"/>
                <w:lang w:eastAsia="zh-CN"/>
              </w:rPr>
              <w:t>2014/15: 30,743 (+789%)</w:t>
            </w:r>
          </w:p>
          <w:p w:rsidR="00805A5E" w:rsidRPr="0075534B" w:rsidRDefault="00805A5E" w:rsidP="00805A5E">
            <w:pPr>
              <w:pStyle w:val="ListParagraph"/>
              <w:numPr>
                <w:ilvl w:val="0"/>
                <w:numId w:val="161"/>
              </w:numPr>
              <w:ind w:left="347" w:hanging="347"/>
              <w:rPr>
                <w:rFonts w:eastAsia="SimSun" w:cs="Arial"/>
                <w:sz w:val="16"/>
                <w:szCs w:val="16"/>
                <w:lang w:eastAsia="zh-CN"/>
              </w:rPr>
            </w:pPr>
            <w:r w:rsidRPr="0075534B">
              <w:rPr>
                <w:rFonts w:eastAsia="SimSun" w:cs="Arial"/>
                <w:sz w:val="16"/>
                <w:szCs w:val="16"/>
                <w:lang w:eastAsia="zh-CN"/>
              </w:rPr>
              <w:t>2</w:t>
            </w:r>
            <w:r>
              <w:rPr>
                <w:rFonts w:eastAsia="SimSun" w:cs="Arial"/>
                <w:sz w:val="16"/>
                <w:szCs w:val="16"/>
                <w:lang w:eastAsia="zh-CN"/>
              </w:rPr>
              <w:t>014:  3,096</w:t>
            </w:r>
            <w:r w:rsidRPr="00EF6ED8">
              <w:rPr>
                <w:rStyle w:val="FootnoteReference"/>
                <w:rFonts w:eastAsia="SimSun" w:cs="Arial"/>
                <w:szCs w:val="16"/>
              </w:rPr>
              <w:t xml:space="preserve"> </w:t>
            </w:r>
            <w:r>
              <w:rPr>
                <w:rFonts w:eastAsia="SimSun" w:cs="Arial"/>
                <w:sz w:val="16"/>
                <w:szCs w:val="16"/>
                <w:lang w:eastAsia="zh-CN"/>
              </w:rPr>
              <w:t>(+470%)</w:t>
            </w:r>
          </w:p>
          <w:p w:rsidR="00805A5E" w:rsidRDefault="00805A5E" w:rsidP="00805A5E">
            <w:pPr>
              <w:pStyle w:val="ListParagraph"/>
              <w:numPr>
                <w:ilvl w:val="0"/>
                <w:numId w:val="161"/>
              </w:numPr>
              <w:ind w:left="347" w:right="-92" w:hanging="347"/>
              <w:rPr>
                <w:rFonts w:eastAsia="SimSun" w:cs="Arial"/>
                <w:sz w:val="16"/>
                <w:szCs w:val="16"/>
                <w:lang w:eastAsia="zh-CN"/>
              </w:rPr>
            </w:pPr>
            <w:r w:rsidRPr="0075534B">
              <w:rPr>
                <w:rFonts w:eastAsia="SimSun" w:cs="Arial"/>
                <w:sz w:val="16"/>
                <w:szCs w:val="16"/>
                <w:lang w:eastAsia="zh-CN"/>
              </w:rPr>
              <w:t xml:space="preserve">2015:  </w:t>
            </w:r>
            <w:r>
              <w:rPr>
                <w:rFonts w:eastAsia="SimSun" w:cs="Arial"/>
                <w:sz w:val="16"/>
                <w:szCs w:val="16"/>
                <w:lang w:eastAsia="zh-CN"/>
              </w:rPr>
              <w:t>4,173 (+632%)</w:t>
            </w:r>
          </w:p>
          <w:p w:rsidR="00805A5E" w:rsidRDefault="00805A5E" w:rsidP="00547ACE">
            <w:pPr>
              <w:rPr>
                <w:rFonts w:eastAsia="SimSun" w:cs="Arial"/>
                <w:sz w:val="16"/>
                <w:szCs w:val="16"/>
                <w:lang w:eastAsia="zh-CN"/>
              </w:rPr>
            </w:pPr>
            <w:r>
              <w:rPr>
                <w:rFonts w:eastAsia="SimSun" w:cs="Arial"/>
                <w:sz w:val="16"/>
                <w:szCs w:val="16"/>
                <w:lang w:eastAsia="zh-CN"/>
              </w:rPr>
              <w:t>(WJO)</w:t>
            </w:r>
          </w:p>
          <w:p w:rsidR="00805A5E" w:rsidRDefault="00805A5E" w:rsidP="00547ACE">
            <w:pPr>
              <w:rPr>
                <w:rFonts w:eastAsia="SimSun" w:cs="Arial"/>
                <w:sz w:val="16"/>
                <w:szCs w:val="16"/>
                <w:lang w:eastAsia="zh-CN"/>
              </w:rPr>
            </w:pPr>
          </w:p>
          <w:p w:rsidR="00805A5E" w:rsidRDefault="00805A5E" w:rsidP="00547ACE">
            <w:pPr>
              <w:rPr>
                <w:rFonts w:eastAsia="SimSun" w:cs="Arial"/>
                <w:sz w:val="16"/>
                <w:szCs w:val="16"/>
                <w:lang w:eastAsia="zh-CN"/>
              </w:rPr>
            </w:pPr>
            <w:r>
              <w:rPr>
                <w:rFonts w:eastAsia="SimSun" w:cs="Arial"/>
                <w:sz w:val="16"/>
                <w:szCs w:val="16"/>
                <w:lang w:eastAsia="zh-CN"/>
              </w:rPr>
              <w:t>2014/15: 15,525 (+1,153%)</w:t>
            </w:r>
          </w:p>
          <w:p w:rsidR="00805A5E" w:rsidRDefault="00805A5E" w:rsidP="00805A5E">
            <w:pPr>
              <w:pStyle w:val="ListParagraph"/>
              <w:numPr>
                <w:ilvl w:val="0"/>
                <w:numId w:val="161"/>
              </w:numPr>
              <w:ind w:left="347" w:right="-92" w:hanging="347"/>
              <w:rPr>
                <w:rFonts w:eastAsia="SimSun" w:cs="Arial"/>
                <w:sz w:val="16"/>
                <w:szCs w:val="16"/>
                <w:lang w:eastAsia="zh-CN"/>
              </w:rPr>
            </w:pPr>
            <w:r>
              <w:rPr>
                <w:rFonts w:eastAsia="SimSun" w:cs="Arial"/>
                <w:sz w:val="16"/>
                <w:szCs w:val="16"/>
                <w:lang w:eastAsia="zh-CN"/>
              </w:rPr>
              <w:t>2014:  8,941 (+423%)</w:t>
            </w:r>
          </w:p>
          <w:p w:rsidR="00805A5E" w:rsidRDefault="00805A5E" w:rsidP="00805A5E">
            <w:pPr>
              <w:pStyle w:val="ListParagraph"/>
              <w:numPr>
                <w:ilvl w:val="0"/>
                <w:numId w:val="161"/>
              </w:numPr>
              <w:ind w:left="347" w:right="-92" w:hanging="347"/>
              <w:rPr>
                <w:rFonts w:eastAsia="SimSun" w:cs="Arial"/>
                <w:sz w:val="16"/>
                <w:szCs w:val="16"/>
                <w:lang w:eastAsia="zh-CN"/>
              </w:rPr>
            </w:pPr>
            <w:r>
              <w:rPr>
                <w:rFonts w:eastAsia="SimSun" w:cs="Arial"/>
                <w:sz w:val="16"/>
                <w:szCs w:val="16"/>
                <w:lang w:eastAsia="zh-CN"/>
              </w:rPr>
              <w:t>2015:  17,696 (+885%)</w:t>
            </w:r>
          </w:p>
          <w:p w:rsidR="00805A5E" w:rsidRPr="00AC2594" w:rsidRDefault="00805A5E" w:rsidP="00547ACE">
            <w:pPr>
              <w:rPr>
                <w:rFonts w:eastAsia="SimSun" w:cs="Arial"/>
                <w:sz w:val="16"/>
                <w:szCs w:val="16"/>
                <w:lang w:eastAsia="zh-CN"/>
              </w:rPr>
            </w:pPr>
            <w:r>
              <w:rPr>
                <w:rFonts w:eastAsia="SimSun" w:cs="Arial"/>
                <w:sz w:val="16"/>
                <w:szCs w:val="16"/>
                <w:lang w:eastAsia="zh-CN"/>
              </w:rPr>
              <w:t>(WSO)</w:t>
            </w:r>
          </w:p>
        </w:tc>
        <w:tc>
          <w:tcPr>
            <w:tcW w:w="637" w:type="pct"/>
            <w:gridSpan w:val="7"/>
            <w:tcBorders>
              <w:top w:val="nil"/>
              <w:left w:val="nil"/>
              <w:bottom w:val="single" w:sz="4" w:space="0" w:color="auto"/>
              <w:right w:val="single" w:sz="4" w:space="0" w:color="auto"/>
            </w:tcBorders>
            <w:shd w:val="clear" w:color="auto" w:fill="auto"/>
            <w:tcMar>
              <w:top w:w="110" w:type="dxa"/>
            </w:tcMar>
          </w:tcPr>
          <w:p w:rsidR="00805A5E" w:rsidRPr="007F32D1" w:rsidRDefault="00805A5E" w:rsidP="00547ACE">
            <w:pPr>
              <w:keepNext/>
              <w:keepLines/>
              <w:ind w:left="71" w:right="20"/>
              <w:jc w:val="center"/>
              <w:rPr>
                <w:rFonts w:eastAsia="SimSun" w:cs="Arial"/>
                <w:b/>
                <w:bCs/>
                <w:color w:val="00B050"/>
                <w:sz w:val="8"/>
                <w:szCs w:val="8"/>
                <w:lang w:eastAsia="zh-CN"/>
              </w:rPr>
            </w:pPr>
          </w:p>
          <w:p w:rsidR="00805A5E" w:rsidRPr="0044139A" w:rsidRDefault="00805A5E" w:rsidP="00547ACE">
            <w:pPr>
              <w:keepNext/>
              <w:keepLines/>
              <w:ind w:right="20"/>
              <w:rPr>
                <w:rFonts w:eastAsia="SimSun" w:cs="Arial"/>
                <w:b/>
                <w:bCs/>
                <w:color w:val="00B050"/>
                <w:sz w:val="8"/>
                <w:szCs w:val="8"/>
                <w:lang w:eastAsia="zh-CN"/>
              </w:rPr>
            </w:pPr>
          </w:p>
          <w:p w:rsidR="00805A5E" w:rsidRPr="00FF28A3" w:rsidRDefault="00805A5E" w:rsidP="00547ACE">
            <w:pPr>
              <w:keepNext/>
              <w:keepLines/>
              <w:ind w:right="20"/>
              <w:jc w:val="center"/>
              <w:rPr>
                <w:rFonts w:eastAsia="SimSun" w:cs="Arial"/>
                <w:b/>
                <w:bCs/>
                <w:color w:val="00B050"/>
                <w:sz w:val="16"/>
                <w:szCs w:val="16"/>
                <w:lang w:eastAsia="zh-CN"/>
              </w:rPr>
            </w:pPr>
            <w:r w:rsidRPr="00FF28A3">
              <w:rPr>
                <w:rFonts w:eastAsia="SimSun" w:cs="Arial"/>
                <w:b/>
                <w:bCs/>
                <w:color w:val="00B050"/>
                <w:sz w:val="16"/>
                <w:szCs w:val="16"/>
                <w:lang w:eastAsia="zh-CN"/>
              </w:rPr>
              <w:t>Fully Achieved</w:t>
            </w:r>
          </w:p>
          <w:p w:rsidR="00805A5E" w:rsidRDefault="00805A5E" w:rsidP="00547ACE">
            <w:pPr>
              <w:keepNext/>
              <w:keepLines/>
              <w:ind w:left="71" w:right="20"/>
              <w:jc w:val="center"/>
              <w:rPr>
                <w:rFonts w:eastAsia="SimSun" w:cs="Arial"/>
                <w:b/>
                <w:bCs/>
                <w:color w:val="00B050"/>
                <w:sz w:val="16"/>
                <w:szCs w:val="16"/>
                <w:lang w:eastAsia="zh-CN"/>
              </w:rPr>
            </w:pPr>
          </w:p>
          <w:p w:rsidR="00805A5E" w:rsidRDefault="00805A5E" w:rsidP="00547ACE">
            <w:pPr>
              <w:keepNext/>
              <w:keepLines/>
              <w:ind w:left="71" w:right="20"/>
              <w:jc w:val="center"/>
              <w:rPr>
                <w:rFonts w:eastAsia="SimSun" w:cs="Arial"/>
                <w:b/>
                <w:bCs/>
                <w:color w:val="00B050"/>
                <w:sz w:val="8"/>
                <w:szCs w:val="8"/>
                <w:lang w:eastAsia="zh-CN"/>
              </w:rPr>
            </w:pPr>
          </w:p>
          <w:p w:rsidR="00805A5E" w:rsidRDefault="00805A5E" w:rsidP="00547ACE">
            <w:pPr>
              <w:keepNext/>
              <w:keepLines/>
              <w:ind w:right="20"/>
              <w:rPr>
                <w:rFonts w:eastAsia="SimSun" w:cs="Arial"/>
                <w:b/>
                <w:bCs/>
                <w:color w:val="00B050"/>
                <w:sz w:val="16"/>
                <w:szCs w:val="16"/>
                <w:lang w:eastAsia="zh-CN"/>
              </w:rPr>
            </w:pPr>
          </w:p>
          <w:p w:rsidR="00805A5E" w:rsidRPr="005C48F0" w:rsidRDefault="00805A5E" w:rsidP="00547ACE">
            <w:pPr>
              <w:keepNext/>
              <w:keepLines/>
              <w:ind w:right="20"/>
              <w:rPr>
                <w:rFonts w:eastAsia="SimSun" w:cs="Arial"/>
                <w:b/>
                <w:bCs/>
                <w:color w:val="00B050"/>
                <w:sz w:val="8"/>
                <w:szCs w:val="8"/>
                <w:lang w:eastAsia="zh-CN"/>
              </w:rPr>
            </w:pPr>
          </w:p>
          <w:p w:rsidR="00805A5E" w:rsidRPr="00BD3F5C" w:rsidRDefault="00805A5E" w:rsidP="00547ACE">
            <w:pPr>
              <w:keepNext/>
              <w:keepLines/>
              <w:ind w:left="71" w:right="20"/>
              <w:jc w:val="center"/>
              <w:rPr>
                <w:rFonts w:eastAsia="SimSun" w:cs="Arial"/>
                <w:b/>
                <w:bCs/>
                <w:color w:val="FF0000"/>
                <w:sz w:val="16"/>
                <w:szCs w:val="16"/>
                <w:lang w:eastAsia="zh-CN"/>
              </w:rPr>
            </w:pPr>
            <w:r w:rsidRPr="00BD3F5C">
              <w:rPr>
                <w:rFonts w:eastAsia="SimSun" w:cs="Arial"/>
                <w:b/>
                <w:bCs/>
                <w:color w:val="FF0000"/>
                <w:sz w:val="16"/>
                <w:szCs w:val="16"/>
                <w:lang w:eastAsia="zh-CN"/>
              </w:rPr>
              <w:t>Not Achieved</w:t>
            </w:r>
          </w:p>
          <w:p w:rsidR="00805A5E" w:rsidRDefault="00805A5E" w:rsidP="00547ACE">
            <w:pPr>
              <w:keepNext/>
              <w:keepLines/>
              <w:ind w:left="71" w:right="20"/>
              <w:jc w:val="center"/>
              <w:rPr>
                <w:rFonts w:eastAsia="SimSun" w:cs="Arial"/>
                <w:b/>
                <w:bCs/>
                <w:color w:val="00B050"/>
                <w:sz w:val="16"/>
                <w:szCs w:val="16"/>
                <w:lang w:eastAsia="zh-CN"/>
              </w:rPr>
            </w:pPr>
          </w:p>
          <w:p w:rsidR="00805A5E" w:rsidRDefault="00805A5E" w:rsidP="00547ACE">
            <w:pPr>
              <w:keepNext/>
              <w:keepLines/>
              <w:ind w:left="71" w:right="20"/>
              <w:jc w:val="center"/>
              <w:rPr>
                <w:rFonts w:eastAsia="SimSun" w:cs="Arial"/>
                <w:b/>
                <w:bCs/>
                <w:color w:val="00B050"/>
                <w:sz w:val="16"/>
                <w:szCs w:val="16"/>
                <w:lang w:eastAsia="zh-CN"/>
              </w:rPr>
            </w:pPr>
          </w:p>
          <w:p w:rsidR="00805A5E" w:rsidRDefault="00805A5E" w:rsidP="00547ACE">
            <w:pPr>
              <w:keepNext/>
              <w:keepLines/>
              <w:ind w:left="71" w:right="20"/>
              <w:jc w:val="center"/>
              <w:rPr>
                <w:rFonts w:eastAsia="SimSun" w:cs="Arial"/>
                <w:b/>
                <w:bCs/>
                <w:color w:val="00B050"/>
                <w:sz w:val="16"/>
                <w:szCs w:val="16"/>
                <w:lang w:eastAsia="zh-CN"/>
              </w:rPr>
            </w:pPr>
          </w:p>
          <w:p w:rsidR="00805A5E" w:rsidRDefault="00805A5E" w:rsidP="00547ACE">
            <w:pPr>
              <w:keepNext/>
              <w:keepLines/>
              <w:ind w:left="71" w:right="20"/>
              <w:jc w:val="center"/>
              <w:rPr>
                <w:rFonts w:eastAsia="SimSun" w:cs="Arial"/>
                <w:b/>
                <w:bCs/>
                <w:color w:val="00B050"/>
                <w:sz w:val="16"/>
                <w:szCs w:val="16"/>
                <w:lang w:eastAsia="zh-CN"/>
              </w:rPr>
            </w:pPr>
            <w:r>
              <w:rPr>
                <w:rFonts w:eastAsia="SimSun" w:cs="Arial"/>
                <w:b/>
                <w:bCs/>
                <w:color w:val="00B050"/>
                <w:sz w:val="16"/>
                <w:szCs w:val="16"/>
                <w:lang w:eastAsia="zh-CN"/>
              </w:rPr>
              <w:t>Fully Achieved</w:t>
            </w:r>
          </w:p>
          <w:p w:rsidR="00805A5E" w:rsidRPr="0044139A" w:rsidRDefault="00805A5E" w:rsidP="00547ACE">
            <w:pPr>
              <w:keepNext/>
              <w:keepLines/>
              <w:ind w:left="71" w:right="20"/>
              <w:jc w:val="center"/>
              <w:rPr>
                <w:rFonts w:eastAsia="SimSun" w:cs="Arial"/>
                <w:b/>
                <w:bCs/>
                <w:color w:val="00B050"/>
                <w:sz w:val="8"/>
                <w:szCs w:val="8"/>
                <w:lang w:eastAsia="zh-CN"/>
              </w:rPr>
            </w:pPr>
          </w:p>
          <w:p w:rsidR="00805A5E" w:rsidRDefault="00805A5E" w:rsidP="00547ACE">
            <w:pPr>
              <w:keepNext/>
              <w:keepLines/>
              <w:ind w:right="20"/>
              <w:jc w:val="center"/>
              <w:rPr>
                <w:rFonts w:eastAsia="SimSun" w:cs="Arial"/>
                <w:b/>
                <w:bCs/>
                <w:color w:val="00B050"/>
                <w:sz w:val="16"/>
                <w:szCs w:val="16"/>
                <w:lang w:eastAsia="zh-CN"/>
              </w:rPr>
            </w:pPr>
          </w:p>
          <w:p w:rsidR="00805A5E" w:rsidRDefault="00805A5E" w:rsidP="00547ACE">
            <w:pPr>
              <w:keepNext/>
              <w:keepLines/>
              <w:ind w:right="20"/>
              <w:jc w:val="center"/>
              <w:rPr>
                <w:rFonts w:eastAsia="SimSun" w:cs="Arial"/>
                <w:b/>
                <w:bCs/>
                <w:color w:val="00B050"/>
                <w:sz w:val="16"/>
                <w:szCs w:val="16"/>
                <w:lang w:eastAsia="zh-CN"/>
              </w:rPr>
            </w:pPr>
          </w:p>
          <w:p w:rsidR="00805A5E" w:rsidRDefault="00805A5E" w:rsidP="00547ACE">
            <w:pPr>
              <w:keepNext/>
              <w:keepLines/>
              <w:ind w:right="20"/>
              <w:jc w:val="center"/>
              <w:rPr>
                <w:rFonts w:eastAsia="SimSun" w:cs="Arial"/>
                <w:b/>
                <w:bCs/>
                <w:color w:val="00B050"/>
                <w:sz w:val="16"/>
                <w:szCs w:val="16"/>
                <w:lang w:eastAsia="zh-CN"/>
              </w:rPr>
            </w:pPr>
          </w:p>
          <w:p w:rsidR="00805A5E" w:rsidRDefault="00805A5E" w:rsidP="00547ACE">
            <w:pPr>
              <w:keepNext/>
              <w:keepLines/>
              <w:ind w:right="20"/>
              <w:jc w:val="center"/>
              <w:rPr>
                <w:rFonts w:eastAsia="SimSun" w:cs="Arial"/>
                <w:b/>
                <w:bCs/>
                <w:color w:val="00B050"/>
                <w:sz w:val="16"/>
                <w:szCs w:val="16"/>
                <w:lang w:eastAsia="zh-CN"/>
              </w:rPr>
            </w:pPr>
          </w:p>
          <w:p w:rsidR="00805A5E" w:rsidRDefault="00805A5E" w:rsidP="00547ACE">
            <w:pPr>
              <w:keepNext/>
              <w:keepLines/>
              <w:ind w:left="71" w:right="20"/>
              <w:jc w:val="center"/>
              <w:rPr>
                <w:rFonts w:eastAsia="SimSun" w:cs="Arial"/>
                <w:b/>
                <w:bCs/>
                <w:color w:val="00B050"/>
                <w:sz w:val="16"/>
                <w:szCs w:val="16"/>
                <w:lang w:eastAsia="zh-CN"/>
              </w:rPr>
            </w:pPr>
            <w:r>
              <w:rPr>
                <w:rFonts w:eastAsia="SimSun" w:cs="Arial"/>
                <w:b/>
                <w:bCs/>
                <w:color w:val="00B050"/>
                <w:sz w:val="16"/>
                <w:szCs w:val="16"/>
                <w:lang w:eastAsia="zh-CN"/>
              </w:rPr>
              <w:t>Fully Achieved</w:t>
            </w:r>
          </w:p>
          <w:p w:rsidR="00805A5E" w:rsidRDefault="00805A5E" w:rsidP="00547ACE">
            <w:pPr>
              <w:keepNext/>
              <w:keepLines/>
              <w:ind w:right="20"/>
              <w:jc w:val="center"/>
              <w:rPr>
                <w:rFonts w:eastAsia="SimSun" w:cs="Arial"/>
                <w:b/>
                <w:bCs/>
                <w:color w:val="00B050"/>
                <w:sz w:val="16"/>
                <w:szCs w:val="16"/>
                <w:lang w:eastAsia="zh-CN"/>
              </w:rPr>
            </w:pPr>
          </w:p>
          <w:p w:rsidR="00805A5E" w:rsidRDefault="00805A5E" w:rsidP="00547ACE">
            <w:pPr>
              <w:keepNext/>
              <w:keepLines/>
              <w:ind w:right="20"/>
              <w:jc w:val="center"/>
              <w:rPr>
                <w:rFonts w:eastAsia="SimSun" w:cs="Arial"/>
                <w:b/>
                <w:bCs/>
                <w:color w:val="00B050"/>
                <w:sz w:val="16"/>
                <w:szCs w:val="16"/>
                <w:lang w:eastAsia="zh-CN"/>
              </w:rPr>
            </w:pPr>
          </w:p>
          <w:p w:rsidR="00805A5E" w:rsidRDefault="00805A5E" w:rsidP="00547ACE">
            <w:pPr>
              <w:keepNext/>
              <w:keepLines/>
              <w:ind w:right="20"/>
              <w:jc w:val="center"/>
              <w:rPr>
                <w:rFonts w:eastAsia="SimSun" w:cs="Arial"/>
                <w:b/>
                <w:bCs/>
                <w:color w:val="00B050"/>
                <w:sz w:val="16"/>
                <w:szCs w:val="16"/>
                <w:lang w:eastAsia="zh-CN"/>
              </w:rPr>
            </w:pPr>
          </w:p>
          <w:p w:rsidR="00805A5E" w:rsidRDefault="00805A5E" w:rsidP="00547ACE">
            <w:pPr>
              <w:keepNext/>
              <w:keepLines/>
              <w:ind w:right="20"/>
              <w:jc w:val="center"/>
              <w:rPr>
                <w:rFonts w:eastAsia="SimSun" w:cs="Arial"/>
                <w:b/>
                <w:bCs/>
                <w:color w:val="00B050"/>
                <w:sz w:val="16"/>
                <w:szCs w:val="16"/>
                <w:lang w:eastAsia="zh-CN"/>
              </w:rPr>
            </w:pPr>
          </w:p>
          <w:p w:rsidR="00805A5E" w:rsidRDefault="00805A5E" w:rsidP="00547ACE">
            <w:pPr>
              <w:keepNext/>
              <w:keepLines/>
              <w:ind w:left="71" w:right="20"/>
              <w:jc w:val="center"/>
              <w:rPr>
                <w:rFonts w:eastAsia="SimSun" w:cs="Arial"/>
                <w:b/>
                <w:bCs/>
                <w:color w:val="00B050"/>
                <w:sz w:val="16"/>
                <w:szCs w:val="16"/>
                <w:lang w:eastAsia="zh-CN"/>
              </w:rPr>
            </w:pPr>
            <w:r>
              <w:rPr>
                <w:rFonts w:eastAsia="SimSun" w:cs="Arial"/>
                <w:b/>
                <w:bCs/>
                <w:color w:val="00B050"/>
                <w:sz w:val="16"/>
                <w:szCs w:val="16"/>
                <w:lang w:eastAsia="zh-CN"/>
              </w:rPr>
              <w:t>Fully Achieved</w:t>
            </w:r>
          </w:p>
          <w:p w:rsidR="00805A5E" w:rsidRDefault="00805A5E" w:rsidP="00547ACE">
            <w:pPr>
              <w:keepNext/>
              <w:keepLines/>
              <w:ind w:right="20"/>
              <w:jc w:val="center"/>
              <w:rPr>
                <w:rFonts w:eastAsia="SimSun" w:cs="Arial"/>
                <w:b/>
                <w:bCs/>
                <w:color w:val="00B050"/>
                <w:sz w:val="16"/>
                <w:szCs w:val="16"/>
                <w:lang w:eastAsia="zh-CN"/>
              </w:rPr>
            </w:pPr>
          </w:p>
          <w:p w:rsidR="00805A5E" w:rsidRDefault="00805A5E" w:rsidP="00547ACE">
            <w:pPr>
              <w:keepNext/>
              <w:keepLines/>
              <w:ind w:right="20"/>
              <w:jc w:val="center"/>
              <w:rPr>
                <w:rFonts w:eastAsia="SimSun" w:cs="Arial"/>
                <w:b/>
                <w:bCs/>
                <w:color w:val="00B050"/>
                <w:sz w:val="16"/>
                <w:szCs w:val="16"/>
                <w:lang w:eastAsia="zh-CN"/>
              </w:rPr>
            </w:pPr>
          </w:p>
          <w:p w:rsidR="00805A5E" w:rsidRDefault="00805A5E" w:rsidP="00547ACE">
            <w:pPr>
              <w:keepNext/>
              <w:keepLines/>
              <w:ind w:right="20"/>
              <w:jc w:val="center"/>
              <w:rPr>
                <w:rFonts w:eastAsia="SimSun" w:cs="Arial"/>
                <w:b/>
                <w:bCs/>
                <w:color w:val="00B050"/>
                <w:sz w:val="16"/>
                <w:szCs w:val="16"/>
                <w:lang w:eastAsia="zh-CN"/>
              </w:rPr>
            </w:pPr>
          </w:p>
          <w:p w:rsidR="00805A5E" w:rsidRDefault="00805A5E" w:rsidP="00547ACE">
            <w:pPr>
              <w:keepNext/>
              <w:keepLines/>
              <w:ind w:left="71" w:right="20"/>
              <w:jc w:val="center"/>
              <w:rPr>
                <w:rFonts w:eastAsia="SimSun" w:cs="Arial"/>
                <w:b/>
                <w:bCs/>
                <w:color w:val="00B050"/>
                <w:sz w:val="16"/>
                <w:szCs w:val="16"/>
                <w:lang w:eastAsia="zh-CN"/>
              </w:rPr>
            </w:pPr>
            <w:r>
              <w:rPr>
                <w:rFonts w:eastAsia="SimSun" w:cs="Arial"/>
                <w:b/>
                <w:bCs/>
                <w:color w:val="00B050"/>
                <w:sz w:val="16"/>
                <w:szCs w:val="16"/>
                <w:lang w:eastAsia="zh-CN"/>
              </w:rPr>
              <w:t>Fully Achieved</w:t>
            </w:r>
          </w:p>
          <w:p w:rsidR="00805A5E" w:rsidRPr="000D3F45" w:rsidRDefault="00805A5E" w:rsidP="00547ACE">
            <w:pPr>
              <w:keepNext/>
              <w:keepLines/>
              <w:ind w:right="20"/>
              <w:jc w:val="center"/>
              <w:rPr>
                <w:rFonts w:eastAsia="SimSun" w:cs="Arial"/>
                <w:b/>
                <w:bCs/>
                <w:color w:val="00B050"/>
                <w:sz w:val="16"/>
                <w:szCs w:val="16"/>
                <w:lang w:eastAsia="zh-CN"/>
              </w:rPr>
            </w:pPr>
          </w:p>
        </w:tc>
      </w:tr>
      <w:tr w:rsidR="00805A5E" w:rsidRPr="00B35AFA" w:rsidTr="00547ACE">
        <w:tc>
          <w:tcPr>
            <w:tcW w:w="5000" w:type="pct"/>
            <w:gridSpan w:val="17"/>
            <w:tcBorders>
              <w:top w:val="single" w:sz="4" w:space="0" w:color="auto"/>
              <w:bottom w:val="single" w:sz="4" w:space="0" w:color="auto"/>
            </w:tcBorders>
            <w:shd w:val="clear" w:color="auto" w:fill="C6D9F1" w:themeFill="text2" w:themeFillTint="33"/>
          </w:tcPr>
          <w:p w:rsidR="00805A5E" w:rsidRPr="00FF28A3" w:rsidRDefault="00805A5E" w:rsidP="00547ACE">
            <w:pPr>
              <w:keepNext/>
              <w:keepLines/>
              <w:tabs>
                <w:tab w:val="left" w:pos="1452"/>
              </w:tabs>
              <w:spacing w:before="120" w:after="120"/>
              <w:ind w:left="1452" w:hanging="1452"/>
              <w:rPr>
                <w:rFonts w:eastAsia="SimSun" w:cs="Arial"/>
                <w:b/>
                <w:bCs/>
                <w:sz w:val="16"/>
                <w:szCs w:val="16"/>
                <w:lang w:eastAsia="zh-CN"/>
              </w:rPr>
            </w:pPr>
            <w:r w:rsidRPr="000D3F45">
              <w:rPr>
                <w:rFonts w:eastAsia="SimSun" w:cs="Arial"/>
                <w:b/>
                <w:bCs/>
                <w:sz w:val="16"/>
                <w:szCs w:val="16"/>
                <w:lang w:eastAsia="zh-CN"/>
              </w:rPr>
              <w:t>Expected Result:</w:t>
            </w:r>
            <w:r w:rsidRPr="000D3F45">
              <w:rPr>
                <w:rFonts w:eastAsia="SimSun" w:cs="Arial"/>
                <w:b/>
                <w:bCs/>
                <w:sz w:val="16"/>
                <w:szCs w:val="16"/>
                <w:lang w:eastAsia="zh-CN"/>
              </w:rPr>
              <w:tab/>
            </w:r>
            <w:r w:rsidRPr="007A3976">
              <w:rPr>
                <w:rFonts w:eastAsia="SimSun" w:cs="Arial"/>
                <w:color w:val="000000"/>
                <w:sz w:val="16"/>
                <w:szCs w:val="16"/>
                <w:lang w:eastAsia="zh-CN"/>
              </w:rPr>
              <w:t>VII.2 IP-based platforms and tools are used for knowledge transfer, technology adaptation and diffusion from developed to developing countries, particularly least developed countries, to address global challenges</w:t>
            </w:r>
          </w:p>
        </w:tc>
      </w:tr>
      <w:tr w:rsidR="00805A5E" w:rsidRPr="00B35AFA" w:rsidTr="00547ACE">
        <w:tc>
          <w:tcPr>
            <w:tcW w:w="1114" w:type="pct"/>
            <w:tcBorders>
              <w:top w:val="single" w:sz="4" w:space="0" w:color="auto"/>
              <w:left w:val="single" w:sz="4" w:space="0" w:color="auto"/>
              <w:bottom w:val="nil"/>
              <w:right w:val="nil"/>
            </w:tcBorders>
            <w:shd w:val="clear" w:color="auto" w:fill="auto"/>
          </w:tcPr>
          <w:p w:rsidR="00805A5E" w:rsidRPr="00005B71" w:rsidRDefault="00805A5E" w:rsidP="00547ACE">
            <w:pPr>
              <w:rPr>
                <w:rFonts w:eastAsia="SimSun" w:cs="Arial"/>
                <w:color w:val="000000"/>
                <w:sz w:val="16"/>
                <w:szCs w:val="16"/>
                <w:lang w:eastAsia="zh-CN"/>
              </w:rPr>
            </w:pPr>
            <w:r w:rsidRPr="00B35AFA">
              <w:rPr>
                <w:rFonts w:eastAsia="SimSun" w:cs="Arial"/>
                <w:b/>
                <w:bCs/>
                <w:sz w:val="16"/>
                <w:szCs w:val="16"/>
                <w:lang w:eastAsia="zh-CN"/>
              </w:rPr>
              <w:t>Performance Indicators</w:t>
            </w:r>
          </w:p>
        </w:tc>
        <w:tc>
          <w:tcPr>
            <w:tcW w:w="923" w:type="pct"/>
            <w:gridSpan w:val="2"/>
            <w:tcBorders>
              <w:top w:val="single" w:sz="4" w:space="0" w:color="auto"/>
              <w:left w:val="nil"/>
              <w:bottom w:val="nil"/>
              <w:right w:val="nil"/>
            </w:tcBorders>
            <w:shd w:val="clear" w:color="auto" w:fill="auto"/>
          </w:tcPr>
          <w:p w:rsidR="00805A5E" w:rsidRDefault="00805A5E" w:rsidP="00547ACE">
            <w:pPr>
              <w:rPr>
                <w:rFonts w:cs="Arial"/>
                <w:i/>
                <w:color w:val="002060"/>
                <w:sz w:val="16"/>
                <w:szCs w:val="16"/>
              </w:rPr>
            </w:pPr>
            <w:r w:rsidRPr="00B35AFA">
              <w:rPr>
                <w:rFonts w:cs="Arial"/>
                <w:b/>
                <w:bCs/>
                <w:sz w:val="16"/>
                <w:szCs w:val="16"/>
              </w:rPr>
              <w:t>Baselines</w:t>
            </w:r>
          </w:p>
        </w:tc>
        <w:tc>
          <w:tcPr>
            <w:tcW w:w="900" w:type="pct"/>
            <w:gridSpan w:val="6"/>
            <w:tcBorders>
              <w:top w:val="single" w:sz="4" w:space="0" w:color="auto"/>
              <w:left w:val="nil"/>
              <w:bottom w:val="nil"/>
              <w:right w:val="nil"/>
            </w:tcBorders>
            <w:shd w:val="clear" w:color="auto" w:fill="auto"/>
            <w:tcMar>
              <w:top w:w="110" w:type="dxa"/>
            </w:tcMar>
          </w:tcPr>
          <w:p w:rsidR="00805A5E" w:rsidRPr="00005B71" w:rsidRDefault="00805A5E" w:rsidP="00547ACE">
            <w:pPr>
              <w:rPr>
                <w:rFonts w:eastAsia="SimSun" w:cs="Arial"/>
                <w:sz w:val="16"/>
                <w:szCs w:val="16"/>
                <w:lang w:eastAsia="zh-CN"/>
              </w:rPr>
            </w:pPr>
            <w:r w:rsidRPr="00B35AFA">
              <w:rPr>
                <w:rFonts w:cs="Arial"/>
                <w:b/>
                <w:sz w:val="16"/>
                <w:szCs w:val="16"/>
              </w:rPr>
              <w:t>Targets</w:t>
            </w:r>
          </w:p>
        </w:tc>
        <w:tc>
          <w:tcPr>
            <w:tcW w:w="1524" w:type="pct"/>
            <w:gridSpan w:val="4"/>
            <w:tcBorders>
              <w:top w:val="single" w:sz="4" w:space="0" w:color="auto"/>
              <w:left w:val="nil"/>
              <w:bottom w:val="nil"/>
              <w:right w:val="nil"/>
            </w:tcBorders>
            <w:shd w:val="clear" w:color="auto" w:fill="FFFFFF"/>
            <w:tcMar>
              <w:top w:w="110" w:type="dxa"/>
            </w:tcMar>
          </w:tcPr>
          <w:p w:rsidR="00805A5E" w:rsidRPr="00B35AFA" w:rsidRDefault="00805A5E" w:rsidP="00547ACE">
            <w:pPr>
              <w:rPr>
                <w:rFonts w:eastAsia="SimSun" w:cs="Arial"/>
                <w:sz w:val="16"/>
                <w:szCs w:val="16"/>
                <w:lang w:eastAsia="zh-CN"/>
              </w:rPr>
            </w:pPr>
            <w:r w:rsidRPr="00B35AFA">
              <w:rPr>
                <w:rFonts w:eastAsia="SimSun" w:cs="Arial"/>
                <w:b/>
                <w:bCs/>
                <w:sz w:val="16"/>
                <w:szCs w:val="16"/>
                <w:lang w:eastAsia="zh-CN"/>
              </w:rPr>
              <w:t>Performance Data</w:t>
            </w:r>
          </w:p>
        </w:tc>
        <w:tc>
          <w:tcPr>
            <w:tcW w:w="539" w:type="pct"/>
            <w:gridSpan w:val="4"/>
            <w:tcBorders>
              <w:top w:val="single" w:sz="4" w:space="0" w:color="auto"/>
              <w:left w:val="nil"/>
              <w:bottom w:val="nil"/>
              <w:right w:val="single" w:sz="4" w:space="0" w:color="auto"/>
            </w:tcBorders>
            <w:shd w:val="clear" w:color="auto" w:fill="auto"/>
            <w:tcMar>
              <w:top w:w="110" w:type="dxa"/>
            </w:tcMar>
          </w:tcPr>
          <w:p w:rsidR="00805A5E" w:rsidRPr="00FF28A3" w:rsidRDefault="00805A5E" w:rsidP="00547ACE">
            <w:pPr>
              <w:keepNext/>
              <w:keepLines/>
              <w:ind w:left="71" w:right="20"/>
              <w:jc w:val="center"/>
              <w:rPr>
                <w:rFonts w:eastAsia="SimSun" w:cs="Arial"/>
                <w:b/>
                <w:bCs/>
                <w:color w:val="808080"/>
                <w:sz w:val="16"/>
                <w:szCs w:val="16"/>
                <w:lang w:eastAsia="zh-CN"/>
              </w:rPr>
            </w:pPr>
            <w:r w:rsidRPr="000D3F45">
              <w:rPr>
                <w:rFonts w:eastAsia="SimSun" w:cs="Arial"/>
                <w:b/>
                <w:bCs/>
                <w:sz w:val="16"/>
                <w:szCs w:val="16"/>
                <w:lang w:eastAsia="zh-CN"/>
              </w:rPr>
              <w:t>TLS</w:t>
            </w:r>
          </w:p>
        </w:tc>
      </w:tr>
      <w:tr w:rsidR="00805A5E" w:rsidRPr="00B35AFA" w:rsidTr="00547ACE">
        <w:trPr>
          <w:trHeight w:val="1330"/>
        </w:trPr>
        <w:tc>
          <w:tcPr>
            <w:tcW w:w="1114" w:type="pct"/>
            <w:tcBorders>
              <w:top w:val="nil"/>
              <w:left w:val="single" w:sz="4" w:space="0" w:color="auto"/>
              <w:bottom w:val="single" w:sz="4" w:space="0" w:color="auto"/>
              <w:right w:val="nil"/>
            </w:tcBorders>
            <w:shd w:val="clear" w:color="auto" w:fill="auto"/>
          </w:tcPr>
          <w:p w:rsidR="00805A5E" w:rsidRPr="00005B71" w:rsidRDefault="00805A5E" w:rsidP="00547ACE">
            <w:pPr>
              <w:rPr>
                <w:rFonts w:eastAsia="SimSun" w:cs="Arial"/>
                <w:color w:val="000000"/>
                <w:sz w:val="16"/>
                <w:szCs w:val="16"/>
                <w:lang w:eastAsia="zh-CN"/>
              </w:rPr>
            </w:pPr>
            <w:r w:rsidRPr="00005B71">
              <w:rPr>
                <w:rFonts w:eastAsia="SimSun" w:cs="Arial"/>
                <w:color w:val="000000"/>
                <w:sz w:val="16"/>
                <w:szCs w:val="16"/>
                <w:lang w:eastAsia="zh-CN"/>
              </w:rPr>
              <w:t>Participation of stakeholders in WIPO's platform such as WIPO GREEN and WIPO Re:Search</w:t>
            </w:r>
          </w:p>
        </w:tc>
        <w:tc>
          <w:tcPr>
            <w:tcW w:w="923" w:type="pct"/>
            <w:gridSpan w:val="2"/>
            <w:tcBorders>
              <w:top w:val="nil"/>
              <w:left w:val="nil"/>
              <w:bottom w:val="single" w:sz="4" w:space="0" w:color="auto"/>
              <w:right w:val="nil"/>
            </w:tcBorders>
            <w:shd w:val="clear" w:color="auto" w:fill="auto"/>
          </w:tcPr>
          <w:p w:rsidR="00805A5E" w:rsidRDefault="00805A5E" w:rsidP="00547ACE">
            <w:pPr>
              <w:rPr>
                <w:rFonts w:cs="Arial"/>
                <w:i/>
                <w:color w:val="002060"/>
                <w:sz w:val="16"/>
                <w:szCs w:val="16"/>
              </w:rPr>
            </w:pPr>
            <w:r>
              <w:rPr>
                <w:rFonts w:cs="Arial"/>
                <w:i/>
                <w:color w:val="002060"/>
                <w:sz w:val="16"/>
                <w:szCs w:val="16"/>
              </w:rPr>
              <w:t>Updated Baseline end 2013</w:t>
            </w:r>
            <w:r w:rsidRPr="00B35AFA">
              <w:rPr>
                <w:rFonts w:cs="Arial"/>
                <w:i/>
                <w:color w:val="002060"/>
                <w:sz w:val="16"/>
                <w:szCs w:val="16"/>
              </w:rPr>
              <w:t xml:space="preserve">:  </w:t>
            </w:r>
          </w:p>
          <w:p w:rsidR="00805A5E" w:rsidRDefault="00805A5E" w:rsidP="00547ACE">
            <w:pPr>
              <w:rPr>
                <w:rFonts w:cs="Arial"/>
                <w:color w:val="002060"/>
                <w:sz w:val="16"/>
                <w:szCs w:val="16"/>
              </w:rPr>
            </w:pPr>
            <w:r w:rsidRPr="009B1A53">
              <w:rPr>
                <w:rFonts w:cs="Arial"/>
                <w:color w:val="002060"/>
                <w:sz w:val="16"/>
                <w:szCs w:val="16"/>
              </w:rPr>
              <w:t>n/a (WBO)</w:t>
            </w:r>
          </w:p>
          <w:p w:rsidR="00805A5E" w:rsidRDefault="00805A5E" w:rsidP="00547ACE">
            <w:pPr>
              <w:rPr>
                <w:rFonts w:cs="Arial"/>
                <w:sz w:val="16"/>
                <w:szCs w:val="16"/>
              </w:rPr>
            </w:pPr>
          </w:p>
          <w:p w:rsidR="00805A5E" w:rsidRPr="00913773" w:rsidRDefault="00805A5E" w:rsidP="00547ACE">
            <w:pPr>
              <w:rPr>
                <w:rFonts w:cs="Arial"/>
                <w:sz w:val="16"/>
                <w:szCs w:val="16"/>
              </w:rPr>
            </w:pPr>
            <w:r>
              <w:rPr>
                <w:rFonts w:cs="Arial"/>
                <w:sz w:val="16"/>
                <w:szCs w:val="16"/>
              </w:rPr>
              <w:t>1 (JIPA)</w:t>
            </w:r>
            <w:r w:rsidRPr="00005B71">
              <w:rPr>
                <w:rFonts w:cs="Arial"/>
                <w:sz w:val="16"/>
                <w:szCs w:val="16"/>
              </w:rPr>
              <w:t xml:space="preserve"> (WJO)</w:t>
            </w:r>
          </w:p>
          <w:p w:rsidR="00805A5E" w:rsidRPr="009B1A53" w:rsidRDefault="00805A5E" w:rsidP="00547ACE">
            <w:pPr>
              <w:rPr>
                <w:rFonts w:cs="Arial"/>
                <w:color w:val="002060"/>
                <w:sz w:val="16"/>
                <w:szCs w:val="16"/>
              </w:rPr>
            </w:pPr>
          </w:p>
          <w:p w:rsidR="00805A5E" w:rsidRDefault="00805A5E" w:rsidP="00547ACE">
            <w:pPr>
              <w:rPr>
                <w:rFonts w:cs="Arial"/>
                <w:color w:val="002060"/>
                <w:sz w:val="16"/>
                <w:szCs w:val="16"/>
              </w:rPr>
            </w:pPr>
            <w:r w:rsidRPr="007E49B9">
              <w:rPr>
                <w:rFonts w:cs="Arial"/>
                <w:color w:val="002060"/>
                <w:sz w:val="16"/>
                <w:szCs w:val="16"/>
              </w:rPr>
              <w:t>No baseline available for WIPO GREEN due to launch of platform in November 2013</w:t>
            </w:r>
            <w:r>
              <w:rPr>
                <w:rFonts w:cs="Arial"/>
                <w:color w:val="002060"/>
                <w:sz w:val="16"/>
                <w:szCs w:val="16"/>
              </w:rPr>
              <w:t xml:space="preserve">; 848 visitors to WIPO Re:Search (WSO)                       </w:t>
            </w:r>
          </w:p>
          <w:p w:rsidR="00805A5E" w:rsidRDefault="00805A5E" w:rsidP="00547ACE">
            <w:pPr>
              <w:rPr>
                <w:rFonts w:cs="Arial"/>
                <w:i/>
                <w:sz w:val="16"/>
                <w:szCs w:val="16"/>
              </w:rPr>
            </w:pPr>
          </w:p>
          <w:p w:rsidR="00805A5E" w:rsidRPr="00F60CAF" w:rsidRDefault="00805A5E" w:rsidP="00547ACE">
            <w:pPr>
              <w:rPr>
                <w:rFonts w:cs="Arial"/>
                <w:i/>
                <w:sz w:val="16"/>
                <w:szCs w:val="16"/>
                <w:lang w:val="pt-BR"/>
              </w:rPr>
            </w:pPr>
            <w:r w:rsidRPr="00F60CAF">
              <w:rPr>
                <w:rFonts w:cs="Arial"/>
                <w:i/>
                <w:sz w:val="16"/>
                <w:szCs w:val="16"/>
                <w:lang w:val="pt-BR"/>
              </w:rPr>
              <w:t xml:space="preserve">Original Baseline P&amp;B 2014/15: </w:t>
            </w:r>
          </w:p>
          <w:p w:rsidR="00805A5E" w:rsidRPr="00F60CAF" w:rsidRDefault="00805A5E" w:rsidP="00547ACE">
            <w:pPr>
              <w:rPr>
                <w:rFonts w:cs="Arial"/>
                <w:sz w:val="16"/>
                <w:szCs w:val="16"/>
                <w:lang w:val="pt-BR"/>
              </w:rPr>
            </w:pPr>
            <w:r w:rsidRPr="00F60CAF">
              <w:rPr>
                <w:rFonts w:cs="Arial"/>
                <w:sz w:val="16"/>
                <w:szCs w:val="16"/>
                <w:lang w:val="pt-BR"/>
              </w:rPr>
              <w:t>n/a (WBO)</w:t>
            </w:r>
          </w:p>
          <w:p w:rsidR="00805A5E" w:rsidRPr="00F60CAF" w:rsidRDefault="00805A5E" w:rsidP="00547ACE">
            <w:pPr>
              <w:rPr>
                <w:rFonts w:cs="Arial"/>
                <w:sz w:val="16"/>
                <w:szCs w:val="16"/>
                <w:lang w:val="pt-BR"/>
              </w:rPr>
            </w:pPr>
            <w:r w:rsidRPr="00F60CAF">
              <w:rPr>
                <w:rFonts w:cs="Arial"/>
                <w:sz w:val="16"/>
                <w:szCs w:val="16"/>
                <w:lang w:val="pt-BR"/>
              </w:rPr>
              <w:t>n/a (WJO)</w:t>
            </w:r>
          </w:p>
          <w:p w:rsidR="00805A5E" w:rsidRPr="00F60CAF" w:rsidRDefault="00805A5E" w:rsidP="00547ACE">
            <w:pPr>
              <w:rPr>
                <w:rFonts w:cs="Arial"/>
                <w:sz w:val="16"/>
                <w:szCs w:val="16"/>
                <w:lang w:val="pt-BR"/>
              </w:rPr>
            </w:pPr>
            <w:r w:rsidRPr="00F60CAF">
              <w:rPr>
                <w:rFonts w:cs="Arial"/>
                <w:sz w:val="16"/>
                <w:szCs w:val="16"/>
                <w:lang w:val="pt-BR"/>
              </w:rPr>
              <w:t>tbd (WSO)</w:t>
            </w:r>
          </w:p>
          <w:p w:rsidR="00805A5E" w:rsidRPr="00F60CAF" w:rsidRDefault="00805A5E" w:rsidP="00547ACE">
            <w:pPr>
              <w:rPr>
                <w:rFonts w:cs="Arial"/>
                <w:sz w:val="16"/>
                <w:szCs w:val="16"/>
                <w:lang w:val="pt-BR"/>
              </w:rPr>
            </w:pPr>
          </w:p>
        </w:tc>
        <w:tc>
          <w:tcPr>
            <w:tcW w:w="900" w:type="pct"/>
            <w:gridSpan w:val="6"/>
            <w:tcBorders>
              <w:top w:val="nil"/>
              <w:left w:val="nil"/>
              <w:bottom w:val="single" w:sz="4" w:space="0" w:color="auto"/>
              <w:right w:val="nil"/>
            </w:tcBorders>
            <w:shd w:val="clear" w:color="auto" w:fill="auto"/>
            <w:tcMar>
              <w:top w:w="110" w:type="dxa"/>
            </w:tcMar>
          </w:tcPr>
          <w:p w:rsidR="00805A5E" w:rsidRDefault="00805A5E" w:rsidP="00547ACE">
            <w:pPr>
              <w:rPr>
                <w:rFonts w:eastAsia="SimSun" w:cs="Arial"/>
                <w:sz w:val="16"/>
                <w:szCs w:val="16"/>
                <w:lang w:eastAsia="zh-CN"/>
              </w:rPr>
            </w:pPr>
            <w:r w:rsidRPr="00005B71">
              <w:rPr>
                <w:rFonts w:eastAsia="SimSun" w:cs="Arial"/>
                <w:sz w:val="16"/>
                <w:szCs w:val="16"/>
                <w:lang w:eastAsia="zh-CN"/>
              </w:rPr>
              <w:t>30 technologies developed by Brazilian institutions and firms in WIPO GREEN (WBO)</w:t>
            </w:r>
          </w:p>
          <w:p w:rsidR="00805A5E" w:rsidRDefault="00805A5E" w:rsidP="00547ACE">
            <w:pPr>
              <w:rPr>
                <w:rFonts w:eastAsia="SimSun" w:cs="Arial"/>
                <w:sz w:val="16"/>
                <w:szCs w:val="16"/>
                <w:lang w:eastAsia="zh-CN"/>
              </w:rPr>
            </w:pPr>
          </w:p>
          <w:p w:rsidR="00805A5E" w:rsidRDefault="00805A5E" w:rsidP="00547ACE">
            <w:pPr>
              <w:rPr>
                <w:rFonts w:eastAsia="SimSun" w:cs="Arial"/>
                <w:sz w:val="16"/>
                <w:szCs w:val="16"/>
                <w:lang w:eastAsia="zh-CN"/>
              </w:rPr>
            </w:pPr>
            <w:r>
              <w:rPr>
                <w:rFonts w:eastAsia="SimSun" w:cs="Arial"/>
                <w:sz w:val="16"/>
                <w:szCs w:val="16"/>
                <w:lang w:eastAsia="zh-CN"/>
              </w:rPr>
              <w:t>a</w:t>
            </w:r>
            <w:r w:rsidRPr="00005B71">
              <w:rPr>
                <w:rFonts w:eastAsia="SimSun" w:cs="Arial"/>
                <w:sz w:val="16"/>
                <w:szCs w:val="16"/>
                <w:lang w:eastAsia="zh-CN"/>
              </w:rPr>
              <w:t>dditional cases to WIPO GREEN or new participation to WIPO Re:Search (WJO)</w:t>
            </w:r>
          </w:p>
          <w:p w:rsidR="00805A5E" w:rsidRDefault="00805A5E" w:rsidP="00547ACE">
            <w:pPr>
              <w:rPr>
                <w:rFonts w:eastAsia="SimSun" w:cs="Arial"/>
                <w:sz w:val="16"/>
                <w:szCs w:val="16"/>
                <w:lang w:eastAsia="zh-CN"/>
              </w:rPr>
            </w:pPr>
          </w:p>
          <w:p w:rsidR="00805A5E" w:rsidRDefault="00805A5E" w:rsidP="00547ACE">
            <w:pPr>
              <w:rPr>
                <w:rFonts w:eastAsia="SimSun" w:cs="Arial"/>
                <w:sz w:val="16"/>
                <w:szCs w:val="16"/>
                <w:lang w:eastAsia="zh-CN"/>
              </w:rPr>
            </w:pPr>
          </w:p>
          <w:p w:rsidR="00805A5E" w:rsidRDefault="00805A5E" w:rsidP="00547ACE">
            <w:pPr>
              <w:rPr>
                <w:rFonts w:eastAsia="SimSun" w:cs="Arial"/>
                <w:sz w:val="16"/>
                <w:szCs w:val="16"/>
                <w:lang w:eastAsia="zh-CN"/>
              </w:rPr>
            </w:pPr>
          </w:p>
          <w:p w:rsidR="00805A5E" w:rsidRDefault="00805A5E" w:rsidP="00547ACE">
            <w:pPr>
              <w:rPr>
                <w:rFonts w:eastAsia="SimSun" w:cs="Arial"/>
                <w:sz w:val="16"/>
                <w:szCs w:val="16"/>
                <w:lang w:eastAsia="zh-CN"/>
              </w:rPr>
            </w:pPr>
          </w:p>
          <w:p w:rsidR="00805A5E" w:rsidRDefault="00805A5E" w:rsidP="00547ACE">
            <w:pPr>
              <w:rPr>
                <w:rFonts w:eastAsia="SimSun" w:cs="Arial"/>
                <w:sz w:val="16"/>
                <w:szCs w:val="16"/>
                <w:lang w:eastAsia="zh-CN"/>
              </w:rPr>
            </w:pPr>
          </w:p>
          <w:p w:rsidR="00805A5E" w:rsidRDefault="00805A5E" w:rsidP="00547ACE">
            <w:pPr>
              <w:rPr>
                <w:rFonts w:eastAsia="SimSun" w:cs="Arial"/>
                <w:sz w:val="16"/>
                <w:szCs w:val="16"/>
                <w:lang w:eastAsia="zh-CN"/>
              </w:rPr>
            </w:pPr>
          </w:p>
          <w:p w:rsidR="00805A5E" w:rsidRDefault="00805A5E" w:rsidP="00547ACE">
            <w:pPr>
              <w:rPr>
                <w:rFonts w:eastAsia="SimSun" w:cs="Arial"/>
                <w:sz w:val="16"/>
                <w:szCs w:val="16"/>
                <w:lang w:eastAsia="zh-CN"/>
              </w:rPr>
            </w:pPr>
          </w:p>
          <w:p w:rsidR="00805A5E" w:rsidRDefault="00805A5E" w:rsidP="00547ACE">
            <w:pPr>
              <w:rPr>
                <w:rFonts w:eastAsia="SimSun" w:cs="Arial"/>
                <w:sz w:val="16"/>
                <w:szCs w:val="16"/>
                <w:lang w:eastAsia="zh-CN"/>
              </w:rPr>
            </w:pPr>
            <w:r w:rsidRPr="00005B71">
              <w:rPr>
                <w:rFonts w:eastAsia="SimSun" w:cs="Arial"/>
                <w:sz w:val="16"/>
                <w:szCs w:val="16"/>
                <w:lang w:eastAsia="zh-CN"/>
              </w:rPr>
              <w:t>5% increase in ASEAN users (WSO)</w:t>
            </w:r>
          </w:p>
          <w:p w:rsidR="00805A5E" w:rsidRPr="00005B71" w:rsidRDefault="00805A5E" w:rsidP="00547ACE">
            <w:pPr>
              <w:rPr>
                <w:rFonts w:eastAsia="SimSun" w:cs="Arial"/>
                <w:sz w:val="16"/>
                <w:szCs w:val="16"/>
                <w:lang w:eastAsia="zh-CN"/>
              </w:rPr>
            </w:pPr>
          </w:p>
        </w:tc>
        <w:tc>
          <w:tcPr>
            <w:tcW w:w="1524" w:type="pct"/>
            <w:gridSpan w:val="4"/>
            <w:tcBorders>
              <w:top w:val="nil"/>
              <w:left w:val="nil"/>
              <w:bottom w:val="single" w:sz="4" w:space="0" w:color="auto"/>
              <w:right w:val="nil"/>
            </w:tcBorders>
            <w:shd w:val="clear" w:color="auto" w:fill="FFFFFF"/>
            <w:tcMar>
              <w:top w:w="110" w:type="dxa"/>
            </w:tcMar>
          </w:tcPr>
          <w:p w:rsidR="00805A5E" w:rsidRDefault="00805A5E" w:rsidP="00547ACE">
            <w:pPr>
              <w:rPr>
                <w:rFonts w:eastAsia="SimSun" w:cs="Arial"/>
                <w:sz w:val="16"/>
                <w:szCs w:val="16"/>
                <w:lang w:eastAsia="zh-CN"/>
              </w:rPr>
            </w:pPr>
            <w:r>
              <w:rPr>
                <w:rFonts w:eastAsia="SimSun" w:cs="Arial"/>
                <w:sz w:val="16"/>
                <w:szCs w:val="16"/>
                <w:lang w:eastAsia="zh-CN"/>
              </w:rPr>
              <w:t>Some 7 new technologies developed by Brazilian institutions/firms were uploaded in WIPO GREEN in 2015 (WBO)</w:t>
            </w:r>
          </w:p>
          <w:p w:rsidR="00805A5E" w:rsidRDefault="00805A5E" w:rsidP="00547ACE">
            <w:pPr>
              <w:rPr>
                <w:rFonts w:eastAsia="SimSun" w:cs="Arial"/>
                <w:sz w:val="16"/>
                <w:szCs w:val="16"/>
                <w:lang w:eastAsia="zh-CN"/>
              </w:rPr>
            </w:pPr>
          </w:p>
          <w:p w:rsidR="00805A5E" w:rsidRDefault="00805A5E" w:rsidP="00547ACE">
            <w:pPr>
              <w:rPr>
                <w:rFonts w:eastAsia="SimSun" w:cs="Arial"/>
                <w:sz w:val="16"/>
                <w:szCs w:val="16"/>
                <w:lang w:eastAsia="zh-CN"/>
              </w:rPr>
            </w:pPr>
          </w:p>
          <w:p w:rsidR="00805A5E" w:rsidRDefault="00805A5E" w:rsidP="00547ACE">
            <w:pPr>
              <w:rPr>
                <w:rFonts w:eastAsia="SimSun" w:cs="Arial"/>
                <w:sz w:val="16"/>
                <w:szCs w:val="16"/>
                <w:lang w:eastAsia="zh-CN"/>
              </w:rPr>
            </w:pPr>
            <w:r>
              <w:rPr>
                <w:rFonts w:eastAsia="SimSun" w:cs="Arial"/>
                <w:sz w:val="16"/>
                <w:szCs w:val="16"/>
                <w:lang w:eastAsia="zh-CN"/>
              </w:rPr>
              <w:t>WIPO GREEN: 22 additional cases  in 2014/15 (50 cumulative);  4 additional partners (</w:t>
            </w:r>
            <w:r w:rsidRPr="00891471">
              <w:rPr>
                <w:rFonts w:eastAsia="SimSun" w:cs="Arial"/>
                <w:sz w:val="16"/>
                <w:szCs w:val="16"/>
                <w:lang w:eastAsia="zh-CN"/>
              </w:rPr>
              <w:t>Waseda  Institute, Team E-Kansai</w:t>
            </w:r>
            <w:r>
              <w:rPr>
                <w:rFonts w:eastAsia="SimSun" w:cs="Arial"/>
                <w:sz w:val="16"/>
                <w:szCs w:val="16"/>
                <w:lang w:eastAsia="zh-CN"/>
              </w:rPr>
              <w:t xml:space="preserve">, </w:t>
            </w:r>
            <w:r w:rsidRPr="00020387">
              <w:rPr>
                <w:rFonts w:eastAsia="SimSun" w:cs="Arial"/>
                <w:sz w:val="16"/>
                <w:szCs w:val="16"/>
                <w:lang w:eastAsia="zh-CN"/>
              </w:rPr>
              <w:t>APICI-JIPII and Teijin</w:t>
            </w:r>
            <w:r>
              <w:rPr>
                <w:rFonts w:eastAsia="SimSun" w:cs="Arial"/>
                <w:sz w:val="16"/>
                <w:szCs w:val="16"/>
                <w:lang w:eastAsia="zh-CN"/>
              </w:rPr>
              <w:t>) in 2014/15 (WJO)</w:t>
            </w:r>
          </w:p>
          <w:p w:rsidR="00805A5E" w:rsidRDefault="00805A5E" w:rsidP="00547ACE">
            <w:pPr>
              <w:rPr>
                <w:rFonts w:eastAsia="SimSun" w:cs="Arial"/>
                <w:sz w:val="16"/>
                <w:szCs w:val="16"/>
                <w:lang w:eastAsia="zh-CN"/>
              </w:rPr>
            </w:pPr>
          </w:p>
          <w:p w:rsidR="00805A5E" w:rsidRDefault="00805A5E" w:rsidP="00547ACE">
            <w:pPr>
              <w:rPr>
                <w:rFonts w:eastAsia="SimSun" w:cs="Arial"/>
                <w:sz w:val="16"/>
                <w:szCs w:val="16"/>
                <w:lang w:eastAsia="zh-CN"/>
              </w:rPr>
            </w:pPr>
            <w:r>
              <w:rPr>
                <w:rFonts w:eastAsia="SimSun" w:cs="Arial"/>
                <w:sz w:val="16"/>
                <w:szCs w:val="16"/>
                <w:lang w:eastAsia="zh-CN"/>
              </w:rPr>
              <w:t xml:space="preserve">WIPO Re: Search:  4 </w:t>
            </w:r>
            <w:r w:rsidRPr="006E1B16">
              <w:rPr>
                <w:rFonts w:eastAsia="SimSun" w:cs="Arial"/>
                <w:sz w:val="16"/>
                <w:szCs w:val="16"/>
                <w:lang w:eastAsia="zh-CN"/>
              </w:rPr>
              <w:t xml:space="preserve">companies </w:t>
            </w:r>
            <w:r>
              <w:rPr>
                <w:rFonts w:eastAsia="SimSun" w:cs="Arial"/>
                <w:sz w:val="16"/>
                <w:szCs w:val="16"/>
                <w:lang w:eastAsia="zh-CN"/>
              </w:rPr>
              <w:t>uploaded</w:t>
            </w:r>
            <w:r w:rsidRPr="006E1B16">
              <w:rPr>
                <w:rFonts w:eastAsia="SimSun" w:cs="Arial"/>
                <w:sz w:val="16"/>
                <w:szCs w:val="16"/>
                <w:lang w:eastAsia="zh-CN"/>
              </w:rPr>
              <w:t xml:space="preserve"> tec</w:t>
            </w:r>
            <w:r>
              <w:rPr>
                <w:rFonts w:eastAsia="SimSun" w:cs="Arial"/>
                <w:sz w:val="16"/>
                <w:szCs w:val="16"/>
                <w:lang w:eastAsia="zh-CN"/>
              </w:rPr>
              <w:t>h</w:t>
            </w:r>
            <w:r w:rsidRPr="006E1B16">
              <w:rPr>
                <w:rFonts w:eastAsia="SimSun" w:cs="Arial"/>
                <w:sz w:val="16"/>
                <w:szCs w:val="16"/>
                <w:lang w:eastAsia="zh-CN"/>
              </w:rPr>
              <w:t xml:space="preserve">nologies </w:t>
            </w:r>
            <w:r>
              <w:rPr>
                <w:rFonts w:eastAsia="SimSun" w:cs="Arial"/>
                <w:sz w:val="16"/>
                <w:szCs w:val="16"/>
                <w:lang w:eastAsia="zh-CN"/>
              </w:rPr>
              <w:t>with the assistance of WJO; 1 new partner (Takeda Pharmaceutical Company)</w:t>
            </w:r>
          </w:p>
          <w:p w:rsidR="00805A5E" w:rsidRDefault="00805A5E" w:rsidP="00547ACE">
            <w:pPr>
              <w:rPr>
                <w:rFonts w:eastAsia="SimSun" w:cs="Arial"/>
                <w:sz w:val="16"/>
                <w:szCs w:val="16"/>
                <w:lang w:eastAsia="zh-CN"/>
              </w:rPr>
            </w:pPr>
            <w:r>
              <w:rPr>
                <w:rFonts w:eastAsia="SimSun" w:cs="Arial"/>
                <w:sz w:val="16"/>
                <w:szCs w:val="16"/>
                <w:lang w:eastAsia="zh-CN"/>
              </w:rPr>
              <w:t>(WJO)</w:t>
            </w:r>
          </w:p>
          <w:p w:rsidR="00805A5E" w:rsidRDefault="00805A5E" w:rsidP="00547ACE">
            <w:pPr>
              <w:rPr>
                <w:rFonts w:eastAsia="SimSun" w:cs="Arial"/>
                <w:sz w:val="16"/>
                <w:szCs w:val="16"/>
                <w:lang w:eastAsia="zh-CN"/>
              </w:rPr>
            </w:pPr>
          </w:p>
          <w:p w:rsidR="00805A5E" w:rsidRDefault="00805A5E" w:rsidP="00547ACE">
            <w:pPr>
              <w:rPr>
                <w:rFonts w:eastAsia="SimSun" w:cs="Arial"/>
                <w:sz w:val="16"/>
                <w:szCs w:val="16"/>
                <w:lang w:eastAsia="zh-CN"/>
              </w:rPr>
            </w:pPr>
            <w:r>
              <w:rPr>
                <w:rFonts w:eastAsia="SimSun" w:cs="Arial"/>
                <w:sz w:val="16"/>
                <w:szCs w:val="16"/>
                <w:lang w:eastAsia="zh-CN"/>
              </w:rPr>
              <w:t>WIPO GREEN:  21 Users in 2014/15 (WSO)</w:t>
            </w:r>
          </w:p>
          <w:p w:rsidR="00805A5E" w:rsidRDefault="00805A5E" w:rsidP="00547ACE">
            <w:pPr>
              <w:rPr>
                <w:rFonts w:eastAsia="SimSun" w:cs="Arial"/>
                <w:sz w:val="16"/>
                <w:szCs w:val="16"/>
                <w:lang w:eastAsia="zh-CN"/>
              </w:rPr>
            </w:pPr>
          </w:p>
          <w:p w:rsidR="00805A5E" w:rsidRDefault="00805A5E" w:rsidP="00547ACE">
            <w:pPr>
              <w:rPr>
                <w:rFonts w:eastAsia="SimSun" w:cs="Arial"/>
                <w:sz w:val="16"/>
                <w:szCs w:val="16"/>
                <w:lang w:eastAsia="zh-CN"/>
              </w:rPr>
            </w:pPr>
            <w:r>
              <w:rPr>
                <w:rFonts w:eastAsia="SimSun" w:cs="Arial"/>
                <w:sz w:val="16"/>
                <w:szCs w:val="16"/>
                <w:lang w:eastAsia="zh-CN"/>
              </w:rPr>
              <w:t>WIPO Re:Search:</w:t>
            </w:r>
          </w:p>
          <w:p w:rsidR="00805A5E" w:rsidRDefault="00805A5E" w:rsidP="00805A5E">
            <w:pPr>
              <w:pStyle w:val="ListParagraph"/>
              <w:numPr>
                <w:ilvl w:val="0"/>
                <w:numId w:val="162"/>
              </w:numPr>
              <w:rPr>
                <w:rFonts w:eastAsia="SimSun" w:cs="Arial"/>
                <w:sz w:val="16"/>
                <w:szCs w:val="16"/>
                <w:lang w:eastAsia="zh-CN"/>
              </w:rPr>
            </w:pPr>
            <w:r w:rsidRPr="0075534B">
              <w:rPr>
                <w:rFonts w:eastAsia="SimSun" w:cs="Arial"/>
                <w:sz w:val="16"/>
                <w:szCs w:val="16"/>
                <w:lang w:eastAsia="zh-CN"/>
              </w:rPr>
              <w:t xml:space="preserve">959 ASEAN Visitors to WIPO Re:Search for 2014 (13% increase) </w:t>
            </w:r>
          </w:p>
          <w:p w:rsidR="00805A5E" w:rsidRDefault="00805A5E" w:rsidP="00805A5E">
            <w:pPr>
              <w:pStyle w:val="ListParagraph"/>
              <w:numPr>
                <w:ilvl w:val="0"/>
                <w:numId w:val="162"/>
              </w:numPr>
              <w:rPr>
                <w:rFonts w:eastAsia="SimSun" w:cs="Arial"/>
                <w:sz w:val="16"/>
                <w:szCs w:val="16"/>
                <w:lang w:eastAsia="zh-CN"/>
              </w:rPr>
            </w:pPr>
            <w:r w:rsidRPr="0075534B">
              <w:rPr>
                <w:rFonts w:eastAsia="SimSun" w:cs="Arial"/>
                <w:sz w:val="16"/>
                <w:szCs w:val="16"/>
                <w:lang w:eastAsia="zh-CN"/>
              </w:rPr>
              <w:t>417 ASEAN visitors in 2015 (</w:t>
            </w:r>
            <w:r>
              <w:rPr>
                <w:rFonts w:eastAsia="SimSun" w:cs="Arial"/>
                <w:sz w:val="16"/>
                <w:szCs w:val="16"/>
                <w:lang w:eastAsia="zh-CN"/>
              </w:rPr>
              <w:noBreakHyphen/>
            </w:r>
            <w:r w:rsidRPr="0075534B">
              <w:rPr>
                <w:rFonts w:eastAsia="SimSun" w:cs="Arial"/>
                <w:sz w:val="16"/>
                <w:szCs w:val="16"/>
                <w:lang w:eastAsia="zh-CN"/>
              </w:rPr>
              <w:t>57% decrease)</w:t>
            </w:r>
          </w:p>
          <w:p w:rsidR="00805A5E" w:rsidRPr="0075534B" w:rsidRDefault="00805A5E" w:rsidP="00547ACE">
            <w:pPr>
              <w:rPr>
                <w:rFonts w:eastAsia="SimSun" w:cs="Arial"/>
                <w:sz w:val="16"/>
                <w:szCs w:val="16"/>
                <w:lang w:eastAsia="zh-CN"/>
              </w:rPr>
            </w:pPr>
            <w:r>
              <w:rPr>
                <w:rFonts w:eastAsia="SimSun" w:cs="Arial"/>
                <w:sz w:val="16"/>
                <w:szCs w:val="16"/>
                <w:lang w:eastAsia="zh-CN"/>
              </w:rPr>
              <w:t>In addition, 1 new partner from the Philippines (Research Institute of Tropical Medicine)</w:t>
            </w:r>
          </w:p>
          <w:p w:rsidR="00805A5E" w:rsidRDefault="00805A5E" w:rsidP="00547ACE">
            <w:pPr>
              <w:rPr>
                <w:rFonts w:eastAsia="SimSun" w:cs="Arial"/>
                <w:sz w:val="16"/>
                <w:szCs w:val="16"/>
                <w:lang w:eastAsia="zh-CN"/>
              </w:rPr>
            </w:pPr>
            <w:r>
              <w:rPr>
                <w:rFonts w:eastAsia="SimSun" w:cs="Arial"/>
                <w:sz w:val="16"/>
                <w:szCs w:val="16"/>
                <w:lang w:eastAsia="zh-CN"/>
              </w:rPr>
              <w:t xml:space="preserve">(WSO) </w:t>
            </w:r>
          </w:p>
        </w:tc>
        <w:tc>
          <w:tcPr>
            <w:tcW w:w="539" w:type="pct"/>
            <w:gridSpan w:val="4"/>
            <w:tcBorders>
              <w:top w:val="nil"/>
              <w:left w:val="nil"/>
              <w:bottom w:val="single" w:sz="4" w:space="0" w:color="auto"/>
              <w:right w:val="single" w:sz="4" w:space="0" w:color="auto"/>
            </w:tcBorders>
            <w:shd w:val="clear" w:color="auto" w:fill="auto"/>
            <w:tcMar>
              <w:top w:w="110" w:type="dxa"/>
            </w:tcMar>
          </w:tcPr>
          <w:p w:rsidR="00805A5E" w:rsidRPr="000D3F45" w:rsidRDefault="00805A5E" w:rsidP="00547ACE">
            <w:pPr>
              <w:keepNext/>
              <w:keepLines/>
              <w:ind w:right="20"/>
              <w:jc w:val="center"/>
              <w:rPr>
                <w:rFonts w:eastAsia="SimSun" w:cs="Arial"/>
                <w:b/>
                <w:bCs/>
                <w:color w:val="00B050"/>
                <w:sz w:val="16"/>
                <w:szCs w:val="16"/>
                <w:lang w:eastAsia="zh-CN"/>
              </w:rPr>
            </w:pPr>
            <w:r w:rsidRPr="00FF28A3">
              <w:rPr>
                <w:rFonts w:eastAsia="SimSun" w:cs="Arial"/>
                <w:b/>
                <w:color w:val="FF0000"/>
                <w:sz w:val="16"/>
                <w:szCs w:val="16"/>
                <w:lang w:eastAsia="zh-CN"/>
              </w:rPr>
              <w:t>Not Achieved</w:t>
            </w:r>
          </w:p>
          <w:p w:rsidR="00805A5E" w:rsidRPr="000D3F45" w:rsidRDefault="00805A5E" w:rsidP="00547ACE">
            <w:pPr>
              <w:keepNext/>
              <w:keepLines/>
              <w:ind w:right="20"/>
              <w:rPr>
                <w:rFonts w:eastAsia="SimSun" w:cs="Arial"/>
                <w:b/>
                <w:bCs/>
                <w:color w:val="00B050"/>
                <w:sz w:val="16"/>
                <w:szCs w:val="16"/>
                <w:lang w:eastAsia="zh-CN"/>
              </w:rPr>
            </w:pPr>
          </w:p>
          <w:p w:rsidR="00805A5E" w:rsidRPr="000D3F45" w:rsidRDefault="00805A5E" w:rsidP="00547ACE">
            <w:pPr>
              <w:keepNext/>
              <w:keepLines/>
              <w:ind w:right="20"/>
              <w:jc w:val="center"/>
              <w:rPr>
                <w:rFonts w:eastAsia="SimSun" w:cs="Arial"/>
                <w:b/>
                <w:bCs/>
                <w:color w:val="00B050"/>
                <w:sz w:val="16"/>
                <w:szCs w:val="16"/>
                <w:lang w:eastAsia="zh-CN"/>
              </w:rPr>
            </w:pPr>
          </w:p>
          <w:p w:rsidR="00805A5E" w:rsidRDefault="00805A5E" w:rsidP="00547ACE">
            <w:pPr>
              <w:keepNext/>
              <w:keepLines/>
              <w:ind w:right="20"/>
              <w:jc w:val="center"/>
              <w:rPr>
                <w:rFonts w:eastAsia="SimSun" w:cs="Arial"/>
                <w:b/>
                <w:bCs/>
                <w:color w:val="00B050"/>
                <w:sz w:val="16"/>
                <w:szCs w:val="16"/>
                <w:lang w:eastAsia="zh-CN"/>
              </w:rPr>
            </w:pPr>
          </w:p>
          <w:p w:rsidR="00805A5E" w:rsidRDefault="00805A5E" w:rsidP="00547ACE">
            <w:pPr>
              <w:keepNext/>
              <w:keepLines/>
              <w:ind w:right="20"/>
              <w:jc w:val="center"/>
              <w:rPr>
                <w:rFonts w:eastAsia="SimSun" w:cs="Arial"/>
                <w:b/>
                <w:bCs/>
                <w:color w:val="00B050"/>
                <w:sz w:val="16"/>
                <w:szCs w:val="16"/>
                <w:lang w:eastAsia="zh-CN"/>
              </w:rPr>
            </w:pPr>
          </w:p>
          <w:p w:rsidR="00805A5E" w:rsidRDefault="00805A5E" w:rsidP="00547ACE">
            <w:pPr>
              <w:keepNext/>
              <w:keepLines/>
              <w:ind w:right="20"/>
              <w:jc w:val="center"/>
              <w:rPr>
                <w:rFonts w:eastAsia="SimSun" w:cs="Arial"/>
                <w:b/>
                <w:bCs/>
                <w:color w:val="00B050"/>
                <w:sz w:val="16"/>
                <w:szCs w:val="16"/>
                <w:lang w:eastAsia="zh-CN"/>
              </w:rPr>
            </w:pPr>
            <w:r w:rsidRPr="00FF28A3">
              <w:rPr>
                <w:rFonts w:eastAsia="SimSun" w:cs="Arial"/>
                <w:b/>
                <w:bCs/>
                <w:color w:val="00B050"/>
                <w:sz w:val="16"/>
                <w:szCs w:val="16"/>
                <w:lang w:eastAsia="zh-CN"/>
              </w:rPr>
              <w:t xml:space="preserve">Fully </w:t>
            </w:r>
            <w:r>
              <w:rPr>
                <w:rFonts w:eastAsia="SimSun" w:cs="Arial"/>
                <w:b/>
                <w:bCs/>
                <w:color w:val="00B050"/>
                <w:sz w:val="16"/>
                <w:szCs w:val="16"/>
                <w:lang w:eastAsia="zh-CN"/>
              </w:rPr>
              <w:t>A</w:t>
            </w:r>
            <w:r w:rsidRPr="00FF28A3">
              <w:rPr>
                <w:rFonts w:eastAsia="SimSun" w:cs="Arial"/>
                <w:b/>
                <w:bCs/>
                <w:color w:val="00B050"/>
                <w:sz w:val="16"/>
                <w:szCs w:val="16"/>
                <w:lang w:eastAsia="zh-CN"/>
              </w:rPr>
              <w:t>chieved</w:t>
            </w:r>
          </w:p>
          <w:p w:rsidR="00805A5E" w:rsidRDefault="00805A5E" w:rsidP="00547ACE">
            <w:pPr>
              <w:keepNext/>
              <w:keepLines/>
              <w:ind w:right="20"/>
              <w:jc w:val="center"/>
              <w:rPr>
                <w:rFonts w:eastAsia="SimSun" w:cs="Arial"/>
                <w:b/>
                <w:bCs/>
                <w:color w:val="00B050"/>
                <w:sz w:val="16"/>
                <w:szCs w:val="16"/>
                <w:lang w:eastAsia="zh-CN"/>
              </w:rPr>
            </w:pPr>
          </w:p>
          <w:p w:rsidR="00805A5E" w:rsidRDefault="00805A5E" w:rsidP="00547ACE">
            <w:pPr>
              <w:keepNext/>
              <w:keepLines/>
              <w:ind w:right="20"/>
              <w:rPr>
                <w:rFonts w:eastAsia="SimSun" w:cs="Arial"/>
                <w:b/>
                <w:bCs/>
                <w:color w:val="00B050"/>
                <w:sz w:val="16"/>
                <w:szCs w:val="16"/>
                <w:lang w:eastAsia="zh-CN"/>
              </w:rPr>
            </w:pPr>
          </w:p>
          <w:p w:rsidR="00805A5E" w:rsidRDefault="00805A5E" w:rsidP="00547ACE">
            <w:pPr>
              <w:keepNext/>
              <w:keepLines/>
              <w:ind w:right="20"/>
              <w:jc w:val="center"/>
              <w:rPr>
                <w:rFonts w:eastAsia="SimSun" w:cs="Arial"/>
                <w:b/>
                <w:bCs/>
                <w:color w:val="00B050"/>
                <w:sz w:val="16"/>
                <w:szCs w:val="16"/>
                <w:lang w:eastAsia="zh-CN"/>
              </w:rPr>
            </w:pPr>
          </w:p>
          <w:p w:rsidR="00805A5E" w:rsidRDefault="00805A5E" w:rsidP="00547ACE">
            <w:pPr>
              <w:keepNext/>
              <w:keepLines/>
              <w:ind w:right="20"/>
              <w:jc w:val="center"/>
              <w:rPr>
                <w:rFonts w:eastAsia="SimSun" w:cs="Arial"/>
                <w:b/>
                <w:bCs/>
                <w:color w:val="00B050"/>
                <w:sz w:val="16"/>
                <w:szCs w:val="16"/>
                <w:lang w:eastAsia="zh-CN"/>
              </w:rPr>
            </w:pPr>
          </w:p>
          <w:p w:rsidR="00805A5E" w:rsidRDefault="00805A5E" w:rsidP="00547ACE">
            <w:pPr>
              <w:keepNext/>
              <w:keepLines/>
              <w:ind w:right="20"/>
              <w:jc w:val="center"/>
              <w:rPr>
                <w:rFonts w:eastAsia="SimSun" w:cs="Arial"/>
                <w:b/>
                <w:bCs/>
                <w:color w:val="00B050"/>
                <w:sz w:val="16"/>
                <w:szCs w:val="16"/>
                <w:lang w:eastAsia="zh-CN"/>
              </w:rPr>
            </w:pPr>
            <w:r w:rsidRPr="00FF28A3">
              <w:rPr>
                <w:rFonts w:eastAsia="SimSun" w:cs="Arial"/>
                <w:b/>
                <w:bCs/>
                <w:color w:val="00B050"/>
                <w:sz w:val="16"/>
                <w:szCs w:val="16"/>
                <w:lang w:eastAsia="zh-CN"/>
              </w:rPr>
              <w:t xml:space="preserve">Fully </w:t>
            </w:r>
            <w:r>
              <w:rPr>
                <w:rFonts w:eastAsia="SimSun" w:cs="Arial"/>
                <w:b/>
                <w:bCs/>
                <w:color w:val="00B050"/>
                <w:sz w:val="16"/>
                <w:szCs w:val="16"/>
                <w:lang w:eastAsia="zh-CN"/>
              </w:rPr>
              <w:t>A</w:t>
            </w:r>
            <w:r w:rsidRPr="00FF28A3">
              <w:rPr>
                <w:rFonts w:eastAsia="SimSun" w:cs="Arial"/>
                <w:b/>
                <w:bCs/>
                <w:color w:val="00B050"/>
                <w:sz w:val="16"/>
                <w:szCs w:val="16"/>
                <w:lang w:eastAsia="zh-CN"/>
              </w:rPr>
              <w:t>chieved</w:t>
            </w:r>
          </w:p>
          <w:p w:rsidR="00805A5E" w:rsidRDefault="00805A5E" w:rsidP="00547ACE">
            <w:pPr>
              <w:keepNext/>
              <w:keepLines/>
              <w:ind w:right="20"/>
              <w:rPr>
                <w:rFonts w:eastAsia="SimSun" w:cs="Arial"/>
                <w:b/>
                <w:bCs/>
                <w:color w:val="808080" w:themeColor="background1" w:themeShade="80"/>
                <w:sz w:val="14"/>
                <w:szCs w:val="14"/>
                <w:lang w:eastAsia="zh-CN"/>
              </w:rPr>
            </w:pPr>
          </w:p>
          <w:p w:rsidR="00805A5E" w:rsidRDefault="00805A5E" w:rsidP="00547ACE">
            <w:pPr>
              <w:keepNext/>
              <w:keepLines/>
              <w:ind w:right="20"/>
              <w:jc w:val="center"/>
              <w:rPr>
                <w:rFonts w:eastAsia="SimSun" w:cs="Arial"/>
                <w:b/>
                <w:bCs/>
                <w:color w:val="808080" w:themeColor="background1" w:themeShade="80"/>
                <w:sz w:val="14"/>
                <w:szCs w:val="14"/>
                <w:lang w:eastAsia="zh-CN"/>
              </w:rPr>
            </w:pPr>
          </w:p>
          <w:p w:rsidR="00805A5E" w:rsidRDefault="00805A5E" w:rsidP="00547ACE">
            <w:pPr>
              <w:keepNext/>
              <w:keepLines/>
              <w:ind w:right="20"/>
              <w:jc w:val="center"/>
              <w:rPr>
                <w:rFonts w:eastAsia="SimSun" w:cs="Arial"/>
                <w:b/>
                <w:bCs/>
                <w:color w:val="808080" w:themeColor="background1" w:themeShade="80"/>
                <w:sz w:val="14"/>
                <w:szCs w:val="14"/>
                <w:lang w:eastAsia="zh-CN"/>
              </w:rPr>
            </w:pPr>
          </w:p>
          <w:p w:rsidR="00805A5E" w:rsidRPr="002815EE" w:rsidRDefault="00805A5E" w:rsidP="00547ACE">
            <w:pPr>
              <w:keepNext/>
              <w:keepLines/>
              <w:ind w:right="20"/>
              <w:jc w:val="center"/>
              <w:rPr>
                <w:rFonts w:eastAsia="SimSun" w:cs="Arial"/>
                <w:b/>
                <w:bCs/>
                <w:color w:val="808080"/>
                <w:sz w:val="14"/>
                <w:szCs w:val="14"/>
                <w:lang w:eastAsia="zh-CN"/>
              </w:rPr>
            </w:pPr>
          </w:p>
          <w:p w:rsidR="00805A5E" w:rsidRPr="002815EE" w:rsidRDefault="00805A5E" w:rsidP="00547ACE">
            <w:pPr>
              <w:keepNext/>
              <w:keepLines/>
              <w:ind w:left="-78" w:right="20" w:firstLine="46"/>
              <w:jc w:val="center"/>
              <w:rPr>
                <w:rFonts w:eastAsia="SimSun" w:cs="Arial"/>
                <w:b/>
                <w:bCs/>
                <w:color w:val="808080"/>
                <w:sz w:val="14"/>
                <w:szCs w:val="14"/>
                <w:lang w:eastAsia="zh-CN"/>
              </w:rPr>
            </w:pPr>
            <w:r w:rsidRPr="002815EE">
              <w:rPr>
                <w:rFonts w:eastAsia="SimSun" w:cs="Arial"/>
                <w:b/>
                <w:bCs/>
                <w:color w:val="808080"/>
                <w:sz w:val="14"/>
                <w:szCs w:val="14"/>
                <w:lang w:eastAsia="zh-CN"/>
              </w:rPr>
              <w:t>Not Assessable</w:t>
            </w:r>
          </w:p>
          <w:p w:rsidR="00805A5E" w:rsidRDefault="00805A5E" w:rsidP="00547ACE">
            <w:pPr>
              <w:keepNext/>
              <w:keepLines/>
              <w:ind w:right="20"/>
              <w:rPr>
                <w:rFonts w:eastAsia="SimSun" w:cs="Arial"/>
                <w:b/>
                <w:bCs/>
                <w:color w:val="00B050"/>
                <w:sz w:val="16"/>
                <w:szCs w:val="16"/>
                <w:lang w:eastAsia="zh-CN"/>
              </w:rPr>
            </w:pPr>
          </w:p>
          <w:p w:rsidR="00805A5E" w:rsidRPr="000D3F45" w:rsidRDefault="00805A5E" w:rsidP="00547ACE">
            <w:pPr>
              <w:keepNext/>
              <w:keepLines/>
              <w:ind w:right="20"/>
              <w:jc w:val="center"/>
              <w:rPr>
                <w:rFonts w:eastAsia="SimSun" w:cs="Arial"/>
                <w:b/>
                <w:bCs/>
                <w:color w:val="00B050"/>
                <w:sz w:val="16"/>
                <w:szCs w:val="16"/>
                <w:lang w:eastAsia="zh-CN"/>
              </w:rPr>
            </w:pPr>
            <w:r w:rsidRPr="00FF28A3">
              <w:rPr>
                <w:rFonts w:eastAsia="SimSun" w:cs="Arial"/>
                <w:b/>
                <w:color w:val="FF0000"/>
                <w:sz w:val="16"/>
                <w:szCs w:val="16"/>
                <w:lang w:eastAsia="zh-CN"/>
              </w:rPr>
              <w:t>Not Achieved</w:t>
            </w:r>
          </w:p>
          <w:p w:rsidR="00805A5E" w:rsidRPr="00FF28A3" w:rsidRDefault="00805A5E" w:rsidP="00547ACE">
            <w:pPr>
              <w:keepNext/>
              <w:keepLines/>
              <w:ind w:left="71" w:right="20"/>
              <w:jc w:val="center"/>
              <w:rPr>
                <w:rFonts w:eastAsia="SimSun" w:cs="Arial"/>
                <w:b/>
                <w:bCs/>
                <w:color w:val="00B050"/>
                <w:sz w:val="16"/>
                <w:szCs w:val="16"/>
                <w:lang w:eastAsia="zh-CN"/>
              </w:rPr>
            </w:pPr>
          </w:p>
        </w:tc>
      </w:tr>
      <w:tr w:rsidR="00805A5E" w:rsidRPr="00B35AFA" w:rsidTr="00547ACE">
        <w:tc>
          <w:tcPr>
            <w:tcW w:w="5000" w:type="pct"/>
            <w:gridSpan w:val="17"/>
            <w:tcBorders>
              <w:top w:val="single" w:sz="4" w:space="0" w:color="auto"/>
              <w:bottom w:val="single" w:sz="4" w:space="0" w:color="auto"/>
            </w:tcBorders>
            <w:shd w:val="clear" w:color="auto" w:fill="C6D9F1" w:themeFill="text2" w:themeFillTint="33"/>
          </w:tcPr>
          <w:p w:rsidR="00805A5E" w:rsidRPr="00FF28A3" w:rsidRDefault="00805A5E" w:rsidP="00547ACE">
            <w:pPr>
              <w:keepNext/>
              <w:keepLines/>
              <w:tabs>
                <w:tab w:val="left" w:pos="1452"/>
              </w:tabs>
              <w:spacing w:before="120" w:after="120"/>
              <w:ind w:left="1452" w:hanging="1452"/>
              <w:rPr>
                <w:rFonts w:eastAsia="SimSun" w:cs="Arial"/>
                <w:b/>
                <w:bCs/>
                <w:color w:val="808080"/>
                <w:sz w:val="16"/>
                <w:szCs w:val="16"/>
                <w:lang w:eastAsia="zh-CN"/>
              </w:rPr>
            </w:pPr>
            <w:r w:rsidRPr="000D3F45">
              <w:rPr>
                <w:rFonts w:eastAsia="SimSun" w:cs="Arial"/>
                <w:b/>
                <w:bCs/>
                <w:sz w:val="16"/>
                <w:szCs w:val="16"/>
                <w:lang w:eastAsia="zh-CN"/>
              </w:rPr>
              <w:t>Expected Result:</w:t>
            </w:r>
            <w:r w:rsidRPr="000D3F45">
              <w:rPr>
                <w:rFonts w:eastAsia="SimSun" w:cs="Arial"/>
                <w:b/>
                <w:bCs/>
                <w:sz w:val="16"/>
                <w:szCs w:val="16"/>
                <w:lang w:eastAsia="zh-CN"/>
              </w:rPr>
              <w:tab/>
            </w:r>
            <w:r w:rsidRPr="007A3976">
              <w:rPr>
                <w:rFonts w:eastAsia="SimSun" w:cs="Arial"/>
                <w:bCs/>
                <w:sz w:val="16"/>
                <w:szCs w:val="16"/>
                <w:lang w:eastAsia="zh-CN"/>
              </w:rPr>
              <w:t>VIII.1 More effective communication to a broad public about intellectual property and WIPO’s role</w:t>
            </w:r>
          </w:p>
        </w:tc>
      </w:tr>
      <w:tr w:rsidR="00805A5E" w:rsidRPr="00B35AFA" w:rsidTr="00547ACE">
        <w:tc>
          <w:tcPr>
            <w:tcW w:w="1114" w:type="pct"/>
            <w:tcBorders>
              <w:top w:val="single" w:sz="4" w:space="0" w:color="auto"/>
              <w:left w:val="single" w:sz="4" w:space="0" w:color="auto"/>
              <w:bottom w:val="nil"/>
              <w:right w:val="nil"/>
            </w:tcBorders>
            <w:shd w:val="clear" w:color="auto" w:fill="auto"/>
          </w:tcPr>
          <w:p w:rsidR="00805A5E" w:rsidRPr="00005B71" w:rsidRDefault="00805A5E" w:rsidP="00547ACE">
            <w:pPr>
              <w:rPr>
                <w:rFonts w:eastAsia="SimSun" w:cs="Arial"/>
                <w:color w:val="000000"/>
                <w:sz w:val="16"/>
                <w:szCs w:val="16"/>
                <w:lang w:eastAsia="zh-CN"/>
              </w:rPr>
            </w:pPr>
            <w:r w:rsidRPr="00B35AFA">
              <w:rPr>
                <w:rFonts w:eastAsia="SimSun" w:cs="Arial"/>
                <w:b/>
                <w:bCs/>
                <w:sz w:val="16"/>
                <w:szCs w:val="16"/>
                <w:lang w:eastAsia="zh-CN"/>
              </w:rPr>
              <w:t>Performance Indicators</w:t>
            </w:r>
          </w:p>
        </w:tc>
        <w:tc>
          <w:tcPr>
            <w:tcW w:w="923" w:type="pct"/>
            <w:gridSpan w:val="2"/>
            <w:tcBorders>
              <w:top w:val="single" w:sz="4" w:space="0" w:color="auto"/>
              <w:left w:val="nil"/>
              <w:bottom w:val="nil"/>
              <w:right w:val="nil"/>
            </w:tcBorders>
            <w:shd w:val="clear" w:color="auto" w:fill="auto"/>
          </w:tcPr>
          <w:p w:rsidR="00805A5E" w:rsidRDefault="00805A5E" w:rsidP="00547ACE">
            <w:pPr>
              <w:rPr>
                <w:rFonts w:cs="Arial"/>
                <w:i/>
                <w:color w:val="002060"/>
                <w:sz w:val="16"/>
                <w:szCs w:val="16"/>
              </w:rPr>
            </w:pPr>
            <w:r w:rsidRPr="00B35AFA">
              <w:rPr>
                <w:rFonts w:cs="Arial"/>
                <w:b/>
                <w:bCs/>
                <w:sz w:val="16"/>
                <w:szCs w:val="16"/>
              </w:rPr>
              <w:t>Baselines</w:t>
            </w:r>
          </w:p>
        </w:tc>
        <w:tc>
          <w:tcPr>
            <w:tcW w:w="900" w:type="pct"/>
            <w:gridSpan w:val="6"/>
            <w:tcBorders>
              <w:top w:val="single" w:sz="4" w:space="0" w:color="auto"/>
              <w:left w:val="nil"/>
              <w:bottom w:val="nil"/>
              <w:right w:val="nil"/>
            </w:tcBorders>
            <w:shd w:val="clear" w:color="auto" w:fill="auto"/>
            <w:tcMar>
              <w:top w:w="110" w:type="dxa"/>
            </w:tcMar>
          </w:tcPr>
          <w:p w:rsidR="00805A5E" w:rsidRPr="00005B71" w:rsidRDefault="00805A5E" w:rsidP="00547ACE">
            <w:pPr>
              <w:ind w:left="-87"/>
              <w:rPr>
                <w:rFonts w:eastAsia="SimSun" w:cs="Arial"/>
                <w:sz w:val="16"/>
                <w:szCs w:val="16"/>
                <w:lang w:eastAsia="zh-CN"/>
              </w:rPr>
            </w:pPr>
            <w:r w:rsidRPr="00B35AFA">
              <w:rPr>
                <w:rFonts w:cs="Arial"/>
                <w:b/>
                <w:sz w:val="16"/>
                <w:szCs w:val="16"/>
              </w:rPr>
              <w:t>Targets</w:t>
            </w:r>
          </w:p>
        </w:tc>
        <w:tc>
          <w:tcPr>
            <w:tcW w:w="1524" w:type="pct"/>
            <w:gridSpan w:val="4"/>
            <w:tcBorders>
              <w:top w:val="single" w:sz="4" w:space="0" w:color="auto"/>
              <w:left w:val="nil"/>
              <w:bottom w:val="nil"/>
              <w:right w:val="nil"/>
            </w:tcBorders>
            <w:shd w:val="clear" w:color="auto" w:fill="FFFFFF"/>
            <w:tcMar>
              <w:top w:w="110" w:type="dxa"/>
            </w:tcMar>
          </w:tcPr>
          <w:p w:rsidR="00805A5E" w:rsidRPr="00B35AFA" w:rsidRDefault="00805A5E" w:rsidP="00547ACE">
            <w:pPr>
              <w:rPr>
                <w:rFonts w:eastAsia="SimSun" w:cs="Arial"/>
                <w:sz w:val="16"/>
                <w:szCs w:val="16"/>
                <w:lang w:eastAsia="zh-CN"/>
              </w:rPr>
            </w:pPr>
            <w:r w:rsidRPr="00B35AFA">
              <w:rPr>
                <w:rFonts w:eastAsia="SimSun" w:cs="Arial"/>
                <w:b/>
                <w:bCs/>
                <w:sz w:val="16"/>
                <w:szCs w:val="16"/>
                <w:lang w:eastAsia="zh-CN"/>
              </w:rPr>
              <w:t>Performance Data</w:t>
            </w:r>
          </w:p>
        </w:tc>
        <w:tc>
          <w:tcPr>
            <w:tcW w:w="539" w:type="pct"/>
            <w:gridSpan w:val="4"/>
            <w:tcBorders>
              <w:top w:val="single" w:sz="4" w:space="0" w:color="auto"/>
              <w:left w:val="nil"/>
              <w:bottom w:val="nil"/>
              <w:right w:val="single" w:sz="4" w:space="0" w:color="auto"/>
            </w:tcBorders>
            <w:shd w:val="clear" w:color="auto" w:fill="auto"/>
            <w:tcMar>
              <w:top w:w="110" w:type="dxa"/>
            </w:tcMar>
          </w:tcPr>
          <w:p w:rsidR="00805A5E" w:rsidRPr="00FF28A3" w:rsidRDefault="00805A5E" w:rsidP="00547ACE">
            <w:pPr>
              <w:keepNext/>
              <w:keepLines/>
              <w:ind w:left="71" w:right="20"/>
              <w:jc w:val="center"/>
              <w:rPr>
                <w:rFonts w:eastAsia="SimSun" w:cs="Arial"/>
                <w:b/>
                <w:bCs/>
                <w:color w:val="808080"/>
                <w:sz w:val="16"/>
                <w:szCs w:val="16"/>
                <w:lang w:eastAsia="zh-CN"/>
              </w:rPr>
            </w:pPr>
            <w:r w:rsidRPr="000D3F45">
              <w:rPr>
                <w:rFonts w:eastAsia="SimSun" w:cs="Arial"/>
                <w:b/>
                <w:bCs/>
                <w:sz w:val="16"/>
                <w:szCs w:val="16"/>
                <w:lang w:eastAsia="zh-CN"/>
              </w:rPr>
              <w:t>TLS</w:t>
            </w:r>
          </w:p>
        </w:tc>
      </w:tr>
      <w:tr w:rsidR="00805A5E" w:rsidRPr="00B35AFA" w:rsidTr="00BA6F3B">
        <w:tc>
          <w:tcPr>
            <w:tcW w:w="1114" w:type="pct"/>
            <w:tcBorders>
              <w:top w:val="nil"/>
              <w:left w:val="single" w:sz="4" w:space="0" w:color="auto"/>
              <w:bottom w:val="nil"/>
              <w:right w:val="nil"/>
            </w:tcBorders>
            <w:shd w:val="clear" w:color="auto" w:fill="auto"/>
          </w:tcPr>
          <w:p w:rsidR="00805A5E" w:rsidRPr="0097448D" w:rsidRDefault="00805A5E" w:rsidP="00547ACE">
            <w:pPr>
              <w:rPr>
                <w:rFonts w:eastAsia="SimSun" w:cs="Arial"/>
                <w:color w:val="000000"/>
                <w:sz w:val="16"/>
                <w:szCs w:val="16"/>
                <w:lang w:eastAsia="zh-CN"/>
              </w:rPr>
            </w:pPr>
            <w:r w:rsidRPr="0097448D">
              <w:rPr>
                <w:rFonts w:eastAsia="SimSun" w:cs="Arial"/>
                <w:color w:val="000000"/>
                <w:sz w:val="16"/>
                <w:szCs w:val="16"/>
                <w:lang w:eastAsia="zh-CN"/>
              </w:rPr>
              <w:t>Increased traffic to the website of WIPO External Offices</w:t>
            </w:r>
          </w:p>
        </w:tc>
        <w:tc>
          <w:tcPr>
            <w:tcW w:w="923" w:type="pct"/>
            <w:gridSpan w:val="2"/>
            <w:tcBorders>
              <w:top w:val="nil"/>
              <w:left w:val="nil"/>
              <w:bottom w:val="nil"/>
              <w:right w:val="nil"/>
            </w:tcBorders>
            <w:shd w:val="clear" w:color="auto" w:fill="auto"/>
          </w:tcPr>
          <w:p w:rsidR="00805A5E" w:rsidRDefault="00805A5E" w:rsidP="00547ACE">
            <w:pPr>
              <w:rPr>
                <w:rFonts w:cs="Arial"/>
                <w:i/>
                <w:color w:val="002060"/>
                <w:sz w:val="16"/>
                <w:szCs w:val="16"/>
              </w:rPr>
            </w:pPr>
            <w:r>
              <w:rPr>
                <w:rFonts w:cs="Arial"/>
                <w:i/>
                <w:color w:val="002060"/>
                <w:sz w:val="16"/>
                <w:szCs w:val="16"/>
              </w:rPr>
              <w:t>Updated Baseline end 2013</w:t>
            </w:r>
            <w:r w:rsidRPr="00B35AFA">
              <w:rPr>
                <w:rFonts w:cs="Arial"/>
                <w:i/>
                <w:color w:val="002060"/>
                <w:sz w:val="16"/>
                <w:szCs w:val="16"/>
              </w:rPr>
              <w:t xml:space="preserve">:  </w:t>
            </w:r>
          </w:p>
          <w:p w:rsidR="00805A5E" w:rsidRPr="00360EE7" w:rsidRDefault="00805A5E" w:rsidP="00547ACE">
            <w:pPr>
              <w:rPr>
                <w:rFonts w:cs="Arial"/>
                <w:color w:val="002060"/>
                <w:sz w:val="16"/>
                <w:szCs w:val="16"/>
              </w:rPr>
            </w:pPr>
            <w:r>
              <w:rPr>
                <w:rFonts w:cs="Arial"/>
                <w:color w:val="002060"/>
                <w:sz w:val="16"/>
                <w:szCs w:val="16"/>
              </w:rPr>
              <w:t>n/a</w:t>
            </w:r>
            <w:r w:rsidRPr="00360EE7">
              <w:rPr>
                <w:rFonts w:cs="Arial"/>
                <w:color w:val="002060"/>
                <w:sz w:val="16"/>
                <w:szCs w:val="16"/>
              </w:rPr>
              <w:t xml:space="preserve"> (WBO)</w:t>
            </w:r>
          </w:p>
          <w:p w:rsidR="00805A5E" w:rsidRPr="00360EE7" w:rsidRDefault="00805A5E" w:rsidP="00547ACE">
            <w:pPr>
              <w:rPr>
                <w:rFonts w:cs="Arial"/>
                <w:color w:val="002060"/>
                <w:sz w:val="16"/>
                <w:szCs w:val="16"/>
              </w:rPr>
            </w:pPr>
            <w:r w:rsidRPr="00360EE7">
              <w:rPr>
                <w:rFonts w:cs="Arial"/>
                <w:color w:val="002060"/>
                <w:sz w:val="16"/>
                <w:szCs w:val="16"/>
              </w:rPr>
              <w:t>5,900 (WJO)</w:t>
            </w:r>
          </w:p>
          <w:p w:rsidR="00805A5E" w:rsidRPr="00360EE7" w:rsidRDefault="00805A5E" w:rsidP="00547ACE">
            <w:pPr>
              <w:rPr>
                <w:rFonts w:cs="Arial"/>
                <w:color w:val="002060"/>
                <w:sz w:val="16"/>
                <w:szCs w:val="16"/>
              </w:rPr>
            </w:pPr>
            <w:r w:rsidRPr="00360EE7">
              <w:rPr>
                <w:rFonts w:cs="Arial"/>
                <w:color w:val="002060"/>
                <w:sz w:val="16"/>
                <w:szCs w:val="16"/>
              </w:rPr>
              <w:t>9,717 page views (WSO)</w:t>
            </w:r>
          </w:p>
          <w:p w:rsidR="00805A5E" w:rsidRDefault="00805A5E" w:rsidP="00547ACE">
            <w:pPr>
              <w:rPr>
                <w:rFonts w:cs="Arial"/>
                <w:i/>
                <w:sz w:val="16"/>
                <w:szCs w:val="16"/>
              </w:rPr>
            </w:pPr>
            <w:r>
              <w:rPr>
                <w:rFonts w:cs="Arial"/>
                <w:i/>
                <w:sz w:val="16"/>
                <w:szCs w:val="16"/>
              </w:rPr>
              <w:t>Original Baseline P&amp;B 2014/15:</w:t>
            </w:r>
          </w:p>
          <w:p w:rsidR="00805A5E" w:rsidRDefault="00805A5E" w:rsidP="00547ACE">
            <w:pPr>
              <w:rPr>
                <w:rFonts w:cs="Arial"/>
                <w:i/>
                <w:sz w:val="16"/>
                <w:szCs w:val="16"/>
              </w:rPr>
            </w:pPr>
            <w:r w:rsidRPr="0097448D">
              <w:rPr>
                <w:rFonts w:cs="Arial"/>
                <w:sz w:val="16"/>
                <w:szCs w:val="16"/>
              </w:rPr>
              <w:t>tbd (WBO)</w:t>
            </w:r>
            <w:r>
              <w:rPr>
                <w:rFonts w:cs="Arial"/>
                <w:i/>
                <w:sz w:val="16"/>
                <w:szCs w:val="16"/>
              </w:rPr>
              <w:t xml:space="preserve"> </w:t>
            </w:r>
          </w:p>
          <w:p w:rsidR="00805A5E" w:rsidRPr="00360EE7" w:rsidRDefault="00805A5E" w:rsidP="00547ACE">
            <w:pPr>
              <w:rPr>
                <w:rFonts w:cs="Arial"/>
                <w:sz w:val="16"/>
                <w:szCs w:val="16"/>
              </w:rPr>
            </w:pPr>
            <w:r w:rsidRPr="0097448D">
              <w:rPr>
                <w:rFonts w:cs="Arial"/>
                <w:sz w:val="16"/>
                <w:szCs w:val="16"/>
              </w:rPr>
              <w:t>tbd (WJO)</w:t>
            </w:r>
          </w:p>
          <w:p w:rsidR="00805A5E" w:rsidRPr="00360EE7" w:rsidRDefault="00805A5E" w:rsidP="00547ACE">
            <w:pPr>
              <w:rPr>
                <w:rFonts w:cs="Arial"/>
                <w:sz w:val="16"/>
                <w:szCs w:val="16"/>
              </w:rPr>
            </w:pPr>
            <w:r>
              <w:rPr>
                <w:rFonts w:cs="Arial"/>
                <w:sz w:val="16"/>
                <w:szCs w:val="16"/>
              </w:rPr>
              <w:t>tbd (WSO)</w:t>
            </w:r>
          </w:p>
        </w:tc>
        <w:tc>
          <w:tcPr>
            <w:tcW w:w="900" w:type="pct"/>
            <w:gridSpan w:val="6"/>
            <w:tcBorders>
              <w:top w:val="nil"/>
              <w:left w:val="nil"/>
              <w:bottom w:val="nil"/>
              <w:right w:val="nil"/>
            </w:tcBorders>
            <w:shd w:val="clear" w:color="auto" w:fill="auto"/>
            <w:tcMar>
              <w:top w:w="110" w:type="dxa"/>
            </w:tcMar>
          </w:tcPr>
          <w:p w:rsidR="00805A5E" w:rsidRDefault="00805A5E" w:rsidP="00547ACE">
            <w:pPr>
              <w:ind w:left="-87"/>
              <w:rPr>
                <w:rFonts w:eastAsia="SimSun" w:cs="Arial"/>
                <w:sz w:val="16"/>
                <w:szCs w:val="16"/>
                <w:lang w:eastAsia="zh-CN"/>
              </w:rPr>
            </w:pPr>
            <w:r w:rsidRPr="0097448D">
              <w:rPr>
                <w:rFonts w:eastAsia="SimSun" w:cs="Arial"/>
                <w:sz w:val="16"/>
                <w:szCs w:val="16"/>
                <w:lang w:eastAsia="zh-CN"/>
              </w:rPr>
              <w:t>Increase</w:t>
            </w:r>
            <w:r>
              <w:rPr>
                <w:rFonts w:eastAsia="SimSun"/>
              </w:rPr>
              <w:t xml:space="preserve"> </w:t>
            </w:r>
            <w:r w:rsidRPr="0097448D">
              <w:rPr>
                <w:rFonts w:eastAsia="SimSun" w:cs="Arial"/>
                <w:sz w:val="16"/>
                <w:szCs w:val="16"/>
                <w:lang w:eastAsia="zh-CN"/>
              </w:rPr>
              <w:t>traffic by</w:t>
            </w:r>
            <w:r>
              <w:rPr>
                <w:rFonts w:eastAsia="SimSun" w:cs="Arial"/>
                <w:sz w:val="16"/>
                <w:szCs w:val="16"/>
                <w:lang w:eastAsia="zh-CN"/>
              </w:rPr>
              <w:t>:</w:t>
            </w:r>
          </w:p>
          <w:p w:rsidR="00805A5E" w:rsidRPr="00586D7C" w:rsidRDefault="00805A5E" w:rsidP="00547ACE">
            <w:pPr>
              <w:ind w:left="-87" w:right="-181"/>
              <w:rPr>
                <w:rFonts w:eastAsia="SimSun" w:cs="Arial"/>
                <w:sz w:val="16"/>
                <w:szCs w:val="16"/>
                <w:lang w:eastAsia="zh-CN"/>
              </w:rPr>
            </w:pPr>
          </w:p>
          <w:p w:rsidR="00805A5E" w:rsidRDefault="00805A5E">
            <w:pPr>
              <w:ind w:left="-87" w:right="-181"/>
              <w:rPr>
                <w:rFonts w:eastAsia="SimSun" w:cs="Arial"/>
                <w:sz w:val="16"/>
                <w:szCs w:val="16"/>
                <w:lang w:eastAsia="zh-CN"/>
              </w:rPr>
            </w:pPr>
            <w:r w:rsidRPr="0097448D">
              <w:rPr>
                <w:rFonts w:eastAsia="SimSun" w:cs="Arial"/>
                <w:sz w:val="16"/>
                <w:szCs w:val="16"/>
                <w:lang w:eastAsia="zh-CN"/>
              </w:rPr>
              <w:t>5% from Brazil</w:t>
            </w:r>
            <w:r>
              <w:rPr>
                <w:rFonts w:eastAsia="SimSun" w:cs="Arial"/>
                <w:sz w:val="16"/>
                <w:szCs w:val="16"/>
                <w:lang w:eastAsia="zh-CN"/>
              </w:rPr>
              <w:t xml:space="preserve"> </w:t>
            </w:r>
            <w:r w:rsidRPr="0097448D">
              <w:rPr>
                <w:rFonts w:eastAsia="SimSun" w:cs="Arial"/>
                <w:sz w:val="16"/>
                <w:szCs w:val="16"/>
                <w:lang w:eastAsia="zh-CN"/>
              </w:rPr>
              <w:t>(WBO)</w:t>
            </w:r>
          </w:p>
          <w:p w:rsidR="00805A5E" w:rsidRDefault="00805A5E">
            <w:pPr>
              <w:ind w:left="-87"/>
              <w:rPr>
                <w:rFonts w:eastAsia="SimSun" w:cs="Arial"/>
                <w:sz w:val="16"/>
                <w:szCs w:val="16"/>
                <w:lang w:eastAsia="zh-CN"/>
              </w:rPr>
            </w:pPr>
          </w:p>
          <w:p w:rsidR="00805A5E" w:rsidRDefault="00805A5E">
            <w:pPr>
              <w:ind w:left="-87"/>
              <w:rPr>
                <w:rFonts w:eastAsia="SimSun" w:cs="Arial"/>
                <w:sz w:val="16"/>
                <w:szCs w:val="16"/>
                <w:lang w:eastAsia="zh-CN"/>
              </w:rPr>
            </w:pPr>
            <w:r w:rsidRPr="0097448D">
              <w:rPr>
                <w:rFonts w:eastAsia="SimSun" w:cs="Arial"/>
                <w:sz w:val="16"/>
                <w:szCs w:val="16"/>
                <w:lang w:eastAsia="zh-CN"/>
              </w:rPr>
              <w:t>5% (WJO)</w:t>
            </w:r>
            <w:r>
              <w:rPr>
                <w:rStyle w:val="FootnoteReference"/>
                <w:lang w:eastAsia="zh-CN"/>
              </w:rPr>
              <w:footnoteReference w:id="118"/>
            </w:r>
          </w:p>
          <w:p w:rsidR="00805A5E" w:rsidRPr="00586D7C" w:rsidRDefault="00805A5E" w:rsidP="00547ACE">
            <w:pPr>
              <w:rPr>
                <w:rFonts w:eastAsia="SimSun" w:cs="Arial"/>
                <w:sz w:val="16"/>
                <w:szCs w:val="16"/>
                <w:lang w:eastAsia="zh-CN"/>
              </w:rPr>
            </w:pPr>
          </w:p>
          <w:p w:rsidR="00805A5E" w:rsidRDefault="00805A5E" w:rsidP="00547ACE">
            <w:pPr>
              <w:ind w:left="-87"/>
              <w:rPr>
                <w:rFonts w:eastAsia="SimSun" w:cs="Arial"/>
                <w:sz w:val="16"/>
                <w:szCs w:val="16"/>
                <w:lang w:eastAsia="zh-CN"/>
              </w:rPr>
            </w:pPr>
            <w:r w:rsidRPr="0097448D">
              <w:rPr>
                <w:rFonts w:eastAsia="SimSun" w:cs="Arial"/>
                <w:sz w:val="16"/>
                <w:szCs w:val="16"/>
                <w:lang w:eastAsia="zh-CN"/>
              </w:rPr>
              <w:t>5% from ASEAN region (WSO)</w:t>
            </w:r>
          </w:p>
          <w:p w:rsidR="00805A5E" w:rsidRPr="0097448D" w:rsidRDefault="00805A5E">
            <w:pPr>
              <w:ind w:left="-87"/>
              <w:rPr>
                <w:rFonts w:eastAsia="SimSun" w:cs="Arial"/>
                <w:sz w:val="16"/>
                <w:szCs w:val="16"/>
                <w:lang w:eastAsia="zh-CN"/>
              </w:rPr>
            </w:pPr>
          </w:p>
        </w:tc>
        <w:tc>
          <w:tcPr>
            <w:tcW w:w="1524" w:type="pct"/>
            <w:gridSpan w:val="4"/>
            <w:tcBorders>
              <w:top w:val="nil"/>
              <w:left w:val="nil"/>
              <w:bottom w:val="nil"/>
              <w:right w:val="nil"/>
            </w:tcBorders>
            <w:shd w:val="clear" w:color="auto" w:fill="FFFFFF"/>
            <w:tcMar>
              <w:top w:w="110" w:type="dxa"/>
            </w:tcMar>
          </w:tcPr>
          <w:tbl>
            <w:tblPr>
              <w:tblStyle w:val="TableGrid"/>
              <w:tblpPr w:leftFromText="180" w:rightFromText="180" w:vertAnchor="text" w:tblpY="1"/>
              <w:tblOverlap w:val="never"/>
              <w:tblW w:w="261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14" w:type="dxa"/>
                <w:right w:w="14" w:type="dxa"/>
              </w:tblCellMar>
              <w:tblLook w:val="04A0" w:firstRow="1" w:lastRow="0" w:firstColumn="1" w:lastColumn="0" w:noHBand="0" w:noVBand="1"/>
            </w:tblPr>
            <w:tblGrid>
              <w:gridCol w:w="450"/>
              <w:gridCol w:w="1080"/>
              <w:gridCol w:w="1080"/>
            </w:tblGrid>
            <w:tr w:rsidR="00805A5E" w:rsidTr="00547ACE">
              <w:tc>
                <w:tcPr>
                  <w:tcW w:w="450" w:type="dxa"/>
                  <w:tcMar>
                    <w:top w:w="29" w:type="dxa"/>
                    <w:left w:w="0" w:type="dxa"/>
                    <w:bottom w:w="29" w:type="dxa"/>
                    <w:right w:w="0" w:type="dxa"/>
                  </w:tcMar>
                </w:tcPr>
                <w:p w:rsidR="00805A5E" w:rsidRDefault="00805A5E" w:rsidP="00547ACE">
                  <w:pPr>
                    <w:jc w:val="center"/>
                    <w:rPr>
                      <w:rFonts w:eastAsia="SimSun" w:cs="Arial"/>
                      <w:sz w:val="16"/>
                      <w:szCs w:val="16"/>
                      <w:lang w:eastAsia="zh-CN"/>
                    </w:rPr>
                  </w:pPr>
                </w:p>
              </w:tc>
              <w:tc>
                <w:tcPr>
                  <w:tcW w:w="1080" w:type="dxa"/>
                  <w:tcMar>
                    <w:top w:w="29" w:type="dxa"/>
                    <w:left w:w="0" w:type="dxa"/>
                    <w:bottom w:w="29" w:type="dxa"/>
                    <w:right w:w="0" w:type="dxa"/>
                  </w:tcMar>
                </w:tcPr>
                <w:p w:rsidR="00805A5E" w:rsidRDefault="00805A5E" w:rsidP="00547ACE">
                  <w:pPr>
                    <w:jc w:val="center"/>
                    <w:rPr>
                      <w:rFonts w:eastAsia="SimSun" w:cs="Arial"/>
                      <w:sz w:val="16"/>
                      <w:szCs w:val="16"/>
                      <w:lang w:eastAsia="zh-CN"/>
                    </w:rPr>
                  </w:pPr>
                  <w:r>
                    <w:rPr>
                      <w:rFonts w:eastAsia="SimSun" w:cs="Arial"/>
                      <w:sz w:val="16"/>
                      <w:szCs w:val="16"/>
                      <w:lang w:eastAsia="zh-CN"/>
                    </w:rPr>
                    <w:t>2014</w:t>
                  </w:r>
                </w:p>
              </w:tc>
              <w:tc>
                <w:tcPr>
                  <w:tcW w:w="1080" w:type="dxa"/>
                  <w:tcMar>
                    <w:top w:w="29" w:type="dxa"/>
                    <w:left w:w="0" w:type="dxa"/>
                    <w:bottom w:w="29" w:type="dxa"/>
                    <w:right w:w="0" w:type="dxa"/>
                  </w:tcMar>
                </w:tcPr>
                <w:p w:rsidR="00805A5E" w:rsidRDefault="00805A5E" w:rsidP="00547ACE">
                  <w:pPr>
                    <w:jc w:val="center"/>
                    <w:rPr>
                      <w:rFonts w:eastAsia="SimSun" w:cs="Arial"/>
                      <w:sz w:val="16"/>
                      <w:szCs w:val="16"/>
                      <w:lang w:eastAsia="zh-CN"/>
                    </w:rPr>
                  </w:pPr>
                  <w:r>
                    <w:rPr>
                      <w:rFonts w:eastAsia="SimSun" w:cs="Arial"/>
                      <w:sz w:val="16"/>
                      <w:szCs w:val="16"/>
                      <w:lang w:eastAsia="zh-CN"/>
                    </w:rPr>
                    <w:t>2015</w:t>
                  </w:r>
                </w:p>
              </w:tc>
            </w:tr>
            <w:tr w:rsidR="00805A5E" w:rsidTr="00547ACE">
              <w:trPr>
                <w:trHeight w:val="288"/>
              </w:trPr>
              <w:tc>
                <w:tcPr>
                  <w:tcW w:w="450" w:type="dxa"/>
                  <w:tcMar>
                    <w:top w:w="29" w:type="dxa"/>
                    <w:left w:w="0" w:type="dxa"/>
                    <w:bottom w:w="29" w:type="dxa"/>
                    <w:right w:w="0" w:type="dxa"/>
                  </w:tcMar>
                  <w:vAlign w:val="center"/>
                </w:tcPr>
                <w:p w:rsidR="00805A5E" w:rsidRDefault="00805A5E" w:rsidP="00547ACE">
                  <w:pPr>
                    <w:jc w:val="center"/>
                    <w:rPr>
                      <w:rFonts w:eastAsia="SimSun" w:cs="Arial"/>
                      <w:sz w:val="16"/>
                      <w:szCs w:val="16"/>
                      <w:lang w:eastAsia="zh-CN"/>
                    </w:rPr>
                  </w:pPr>
                  <w:r>
                    <w:rPr>
                      <w:rFonts w:eastAsia="SimSun" w:cs="Arial"/>
                      <w:sz w:val="16"/>
                      <w:szCs w:val="16"/>
                      <w:lang w:eastAsia="zh-CN"/>
                    </w:rPr>
                    <w:t>WBO</w:t>
                  </w:r>
                </w:p>
              </w:tc>
              <w:tc>
                <w:tcPr>
                  <w:tcW w:w="1080" w:type="dxa"/>
                  <w:tcMar>
                    <w:top w:w="29" w:type="dxa"/>
                    <w:left w:w="0" w:type="dxa"/>
                    <w:bottom w:w="29" w:type="dxa"/>
                    <w:right w:w="0" w:type="dxa"/>
                  </w:tcMar>
                  <w:vAlign w:val="center"/>
                </w:tcPr>
                <w:p w:rsidR="00805A5E" w:rsidRPr="005624AD" w:rsidRDefault="00805A5E" w:rsidP="00547ACE">
                  <w:pPr>
                    <w:jc w:val="center"/>
                    <w:rPr>
                      <w:rFonts w:eastAsia="SimSun" w:cs="Arial"/>
                      <w:sz w:val="16"/>
                      <w:szCs w:val="16"/>
                      <w:lang w:eastAsia="zh-CN"/>
                    </w:rPr>
                  </w:pPr>
                  <w:r>
                    <w:rPr>
                      <w:rFonts w:eastAsia="SimSun" w:cs="Arial"/>
                      <w:sz w:val="16"/>
                      <w:szCs w:val="16"/>
                      <w:lang w:eastAsia="zh-CN"/>
                    </w:rPr>
                    <w:t>n/a</w:t>
                  </w:r>
                  <w:r>
                    <w:rPr>
                      <w:rStyle w:val="FootnoteReference"/>
                      <w:rFonts w:eastAsia="SimSun" w:cs="Arial"/>
                      <w:szCs w:val="16"/>
                      <w:lang w:eastAsia="zh-CN"/>
                    </w:rPr>
                    <w:footnoteReference w:id="119"/>
                  </w:r>
                </w:p>
              </w:tc>
              <w:tc>
                <w:tcPr>
                  <w:tcW w:w="1080" w:type="dxa"/>
                  <w:tcMar>
                    <w:top w:w="29" w:type="dxa"/>
                    <w:left w:w="0" w:type="dxa"/>
                    <w:bottom w:w="29" w:type="dxa"/>
                    <w:right w:w="0" w:type="dxa"/>
                  </w:tcMar>
                  <w:vAlign w:val="center"/>
                </w:tcPr>
                <w:p w:rsidR="00805A5E" w:rsidRPr="005624AD" w:rsidRDefault="00805A5E" w:rsidP="00547ACE">
                  <w:pPr>
                    <w:jc w:val="center"/>
                    <w:rPr>
                      <w:rFonts w:eastAsia="SimSun" w:cs="Arial"/>
                      <w:sz w:val="16"/>
                      <w:szCs w:val="16"/>
                      <w:lang w:eastAsia="zh-CN"/>
                    </w:rPr>
                  </w:pPr>
                  <w:r>
                    <w:rPr>
                      <w:rFonts w:eastAsia="SimSun" w:cs="Arial"/>
                      <w:sz w:val="16"/>
                      <w:szCs w:val="16"/>
                      <w:lang w:eastAsia="zh-CN"/>
                    </w:rPr>
                    <w:t>1,966</w:t>
                  </w:r>
                </w:p>
              </w:tc>
            </w:tr>
            <w:tr w:rsidR="00805A5E" w:rsidTr="00547ACE">
              <w:trPr>
                <w:trHeight w:val="288"/>
              </w:trPr>
              <w:tc>
                <w:tcPr>
                  <w:tcW w:w="450" w:type="dxa"/>
                  <w:tcMar>
                    <w:top w:w="29" w:type="dxa"/>
                    <w:left w:w="0" w:type="dxa"/>
                    <w:bottom w:w="29" w:type="dxa"/>
                    <w:right w:w="0" w:type="dxa"/>
                  </w:tcMar>
                  <w:vAlign w:val="center"/>
                </w:tcPr>
                <w:p w:rsidR="00805A5E" w:rsidRDefault="00805A5E" w:rsidP="00547ACE">
                  <w:pPr>
                    <w:jc w:val="center"/>
                    <w:rPr>
                      <w:rFonts w:eastAsia="SimSun" w:cs="Arial"/>
                      <w:sz w:val="16"/>
                      <w:szCs w:val="16"/>
                      <w:lang w:eastAsia="zh-CN"/>
                    </w:rPr>
                  </w:pPr>
                  <w:r>
                    <w:rPr>
                      <w:rFonts w:eastAsia="SimSun" w:cs="Arial"/>
                      <w:sz w:val="16"/>
                      <w:szCs w:val="16"/>
                      <w:lang w:eastAsia="zh-CN"/>
                    </w:rPr>
                    <w:t>WJO</w:t>
                  </w:r>
                </w:p>
              </w:tc>
              <w:tc>
                <w:tcPr>
                  <w:tcW w:w="1080" w:type="dxa"/>
                  <w:tcMar>
                    <w:top w:w="29" w:type="dxa"/>
                    <w:left w:w="0" w:type="dxa"/>
                    <w:bottom w:w="29" w:type="dxa"/>
                    <w:right w:w="0" w:type="dxa"/>
                  </w:tcMar>
                  <w:vAlign w:val="center"/>
                </w:tcPr>
                <w:p w:rsidR="00805A5E" w:rsidRPr="005624AD" w:rsidRDefault="00805A5E" w:rsidP="00547ACE">
                  <w:pPr>
                    <w:jc w:val="center"/>
                    <w:rPr>
                      <w:rFonts w:eastAsia="SimSun" w:cs="Arial"/>
                      <w:sz w:val="16"/>
                      <w:szCs w:val="16"/>
                      <w:lang w:eastAsia="zh-CN"/>
                    </w:rPr>
                  </w:pPr>
                  <w:r>
                    <w:rPr>
                      <w:rFonts w:eastAsia="SimSun" w:cs="Arial"/>
                      <w:sz w:val="16"/>
                      <w:szCs w:val="16"/>
                      <w:lang w:eastAsia="zh-CN"/>
                    </w:rPr>
                    <w:t xml:space="preserve">+30% </w:t>
                  </w:r>
                </w:p>
                <w:p w:rsidR="00805A5E" w:rsidRPr="005624AD" w:rsidRDefault="00805A5E" w:rsidP="00547ACE">
                  <w:pPr>
                    <w:jc w:val="center"/>
                    <w:rPr>
                      <w:rFonts w:eastAsia="SimSun" w:cs="Arial"/>
                      <w:sz w:val="16"/>
                      <w:szCs w:val="16"/>
                      <w:lang w:eastAsia="zh-CN"/>
                    </w:rPr>
                  </w:pPr>
                  <w:r w:rsidRPr="005624AD">
                    <w:rPr>
                      <w:rFonts w:eastAsia="SimSun" w:cs="Arial"/>
                      <w:sz w:val="16"/>
                      <w:szCs w:val="16"/>
                      <w:lang w:eastAsia="zh-CN"/>
                    </w:rPr>
                    <w:t>(</w:t>
                  </w:r>
                  <w:r>
                    <w:rPr>
                      <w:rFonts w:eastAsia="SimSun" w:cs="Arial"/>
                      <w:sz w:val="16"/>
                      <w:szCs w:val="16"/>
                      <w:lang w:eastAsia="zh-CN"/>
                    </w:rPr>
                    <w:t>7,650 views</w:t>
                  </w:r>
                  <w:r w:rsidRPr="005624AD">
                    <w:rPr>
                      <w:rFonts w:eastAsia="SimSun" w:cs="Arial"/>
                      <w:sz w:val="16"/>
                      <w:szCs w:val="16"/>
                      <w:lang w:eastAsia="zh-CN"/>
                    </w:rPr>
                    <w:t>)</w:t>
                  </w:r>
                </w:p>
              </w:tc>
              <w:tc>
                <w:tcPr>
                  <w:tcW w:w="1080" w:type="dxa"/>
                  <w:tcMar>
                    <w:top w:w="29" w:type="dxa"/>
                    <w:left w:w="0" w:type="dxa"/>
                    <w:bottom w:w="29" w:type="dxa"/>
                    <w:right w:w="0" w:type="dxa"/>
                  </w:tcMar>
                  <w:vAlign w:val="center"/>
                </w:tcPr>
                <w:p w:rsidR="00805A5E" w:rsidRDefault="00805A5E" w:rsidP="00547ACE">
                  <w:pPr>
                    <w:jc w:val="center"/>
                    <w:rPr>
                      <w:rFonts w:eastAsia="SimSun" w:cs="Arial"/>
                      <w:sz w:val="16"/>
                      <w:szCs w:val="16"/>
                      <w:lang w:eastAsia="zh-CN"/>
                    </w:rPr>
                  </w:pPr>
                  <w:r>
                    <w:rPr>
                      <w:rFonts w:eastAsia="SimSun" w:cs="Arial"/>
                      <w:sz w:val="16"/>
                      <w:szCs w:val="16"/>
                      <w:lang w:eastAsia="zh-CN"/>
                    </w:rPr>
                    <w:t>+13%</w:t>
                  </w:r>
                  <w:r>
                    <w:rPr>
                      <w:rStyle w:val="FootnoteReference"/>
                      <w:lang w:eastAsia="zh-CN"/>
                    </w:rPr>
                    <w:footnoteReference w:id="120"/>
                  </w:r>
                </w:p>
                <w:p w:rsidR="00805A5E" w:rsidRPr="005624AD" w:rsidRDefault="00805A5E" w:rsidP="00547ACE">
                  <w:pPr>
                    <w:jc w:val="center"/>
                    <w:rPr>
                      <w:rFonts w:eastAsia="SimSun" w:cs="Arial"/>
                      <w:sz w:val="16"/>
                      <w:szCs w:val="16"/>
                      <w:lang w:eastAsia="zh-CN"/>
                    </w:rPr>
                  </w:pPr>
                  <w:r w:rsidRPr="005624AD">
                    <w:rPr>
                      <w:rFonts w:eastAsia="SimSun" w:cs="Arial"/>
                      <w:sz w:val="16"/>
                      <w:szCs w:val="16"/>
                      <w:lang w:eastAsia="zh-CN"/>
                    </w:rPr>
                    <w:t xml:space="preserve"> (</w:t>
                  </w:r>
                  <w:r>
                    <w:rPr>
                      <w:rFonts w:eastAsia="SimSun" w:cs="Arial"/>
                      <w:sz w:val="16"/>
                      <w:szCs w:val="16"/>
                      <w:lang w:eastAsia="zh-CN"/>
                    </w:rPr>
                    <w:t>7,027 views</w:t>
                  </w:r>
                  <w:r w:rsidRPr="005624AD">
                    <w:rPr>
                      <w:rFonts w:eastAsia="SimSun" w:cs="Arial"/>
                      <w:sz w:val="16"/>
                      <w:szCs w:val="16"/>
                      <w:lang w:eastAsia="zh-CN"/>
                    </w:rPr>
                    <w:t>)</w:t>
                  </w:r>
                </w:p>
              </w:tc>
            </w:tr>
            <w:tr w:rsidR="00805A5E" w:rsidTr="00547ACE">
              <w:trPr>
                <w:trHeight w:val="288"/>
              </w:trPr>
              <w:tc>
                <w:tcPr>
                  <w:tcW w:w="450" w:type="dxa"/>
                  <w:tcMar>
                    <w:top w:w="29" w:type="dxa"/>
                    <w:left w:w="0" w:type="dxa"/>
                    <w:bottom w:w="29" w:type="dxa"/>
                    <w:right w:w="0" w:type="dxa"/>
                  </w:tcMar>
                  <w:vAlign w:val="center"/>
                </w:tcPr>
                <w:p w:rsidR="00805A5E" w:rsidRPr="00885A54" w:rsidRDefault="00805A5E" w:rsidP="00547ACE">
                  <w:pPr>
                    <w:jc w:val="center"/>
                    <w:rPr>
                      <w:rFonts w:eastAsia="SimSun" w:cs="Arial"/>
                      <w:sz w:val="16"/>
                      <w:szCs w:val="16"/>
                      <w:lang w:eastAsia="zh-CN"/>
                    </w:rPr>
                  </w:pPr>
                  <w:r w:rsidRPr="00885A54">
                    <w:rPr>
                      <w:rFonts w:eastAsia="SimSun" w:cs="Arial"/>
                      <w:sz w:val="16"/>
                      <w:szCs w:val="16"/>
                      <w:lang w:eastAsia="zh-CN"/>
                    </w:rPr>
                    <w:t>WSO</w:t>
                  </w:r>
                </w:p>
              </w:tc>
              <w:tc>
                <w:tcPr>
                  <w:tcW w:w="1080" w:type="dxa"/>
                  <w:tcMar>
                    <w:top w:w="29" w:type="dxa"/>
                    <w:left w:w="0" w:type="dxa"/>
                    <w:bottom w:w="29" w:type="dxa"/>
                    <w:right w:w="0" w:type="dxa"/>
                  </w:tcMar>
                  <w:vAlign w:val="center"/>
                </w:tcPr>
                <w:p w:rsidR="00805A5E" w:rsidRDefault="00805A5E" w:rsidP="00547ACE">
                  <w:pPr>
                    <w:jc w:val="center"/>
                    <w:rPr>
                      <w:rFonts w:eastAsia="SimSun" w:cs="Arial"/>
                      <w:sz w:val="16"/>
                      <w:szCs w:val="16"/>
                      <w:lang w:eastAsia="zh-CN"/>
                    </w:rPr>
                  </w:pPr>
                  <w:r>
                    <w:rPr>
                      <w:rFonts w:eastAsia="SimSun" w:cs="Arial"/>
                      <w:sz w:val="16"/>
                      <w:szCs w:val="16"/>
                      <w:lang w:eastAsia="zh-CN"/>
                    </w:rPr>
                    <w:t xml:space="preserve">+2% </w:t>
                  </w:r>
                </w:p>
                <w:p w:rsidR="00805A5E" w:rsidRPr="005624AD" w:rsidRDefault="00805A5E" w:rsidP="00547ACE">
                  <w:pPr>
                    <w:jc w:val="center"/>
                    <w:rPr>
                      <w:rFonts w:eastAsia="SimSun" w:cs="Arial"/>
                      <w:sz w:val="16"/>
                      <w:szCs w:val="16"/>
                      <w:lang w:eastAsia="zh-CN"/>
                    </w:rPr>
                  </w:pPr>
                  <w:r w:rsidRPr="005624AD">
                    <w:rPr>
                      <w:rFonts w:eastAsia="SimSun" w:cs="Arial"/>
                      <w:sz w:val="16"/>
                      <w:szCs w:val="16"/>
                      <w:lang w:eastAsia="zh-CN"/>
                    </w:rPr>
                    <w:t>(</w:t>
                  </w:r>
                  <w:r>
                    <w:rPr>
                      <w:rFonts w:eastAsia="SimSun" w:cs="Arial"/>
                      <w:sz w:val="16"/>
                      <w:szCs w:val="16"/>
                      <w:lang w:eastAsia="zh-CN"/>
                    </w:rPr>
                    <w:t>9,882 views</w:t>
                  </w:r>
                  <w:r w:rsidRPr="005624AD">
                    <w:rPr>
                      <w:rFonts w:eastAsia="SimSun" w:cs="Arial"/>
                      <w:sz w:val="16"/>
                      <w:szCs w:val="16"/>
                      <w:lang w:eastAsia="zh-CN"/>
                    </w:rPr>
                    <w:t>)</w:t>
                  </w:r>
                </w:p>
              </w:tc>
              <w:tc>
                <w:tcPr>
                  <w:tcW w:w="1080" w:type="dxa"/>
                  <w:tcMar>
                    <w:top w:w="29" w:type="dxa"/>
                    <w:left w:w="0" w:type="dxa"/>
                    <w:bottom w:w="29" w:type="dxa"/>
                    <w:right w:w="0" w:type="dxa"/>
                  </w:tcMar>
                  <w:vAlign w:val="center"/>
                </w:tcPr>
                <w:p w:rsidR="00805A5E" w:rsidRDefault="00805A5E" w:rsidP="00547ACE">
                  <w:pPr>
                    <w:jc w:val="center"/>
                    <w:rPr>
                      <w:rFonts w:eastAsia="SimSun" w:cs="Arial"/>
                      <w:sz w:val="16"/>
                      <w:szCs w:val="16"/>
                      <w:lang w:eastAsia="zh-CN"/>
                    </w:rPr>
                  </w:pPr>
                  <w:r w:rsidRPr="00EB130E">
                    <w:rPr>
                      <w:rFonts w:eastAsia="SimSun" w:cs="Arial"/>
                      <w:sz w:val="16"/>
                      <w:szCs w:val="16"/>
                      <w:lang w:eastAsia="zh-CN"/>
                    </w:rPr>
                    <w:t>+2%</w:t>
                  </w:r>
                </w:p>
                <w:p w:rsidR="00805A5E" w:rsidRPr="005624AD" w:rsidRDefault="00805A5E" w:rsidP="00547ACE">
                  <w:pPr>
                    <w:jc w:val="center"/>
                    <w:rPr>
                      <w:rFonts w:eastAsia="SimSun" w:cs="Arial"/>
                      <w:sz w:val="16"/>
                      <w:szCs w:val="16"/>
                      <w:lang w:eastAsia="zh-CN"/>
                    </w:rPr>
                  </w:pPr>
                  <w:r>
                    <w:rPr>
                      <w:rFonts w:eastAsia="SimSun" w:cs="Arial"/>
                      <w:sz w:val="16"/>
                      <w:szCs w:val="16"/>
                      <w:lang w:eastAsia="zh-CN"/>
                    </w:rPr>
                    <w:t>(10,042 views</w:t>
                  </w:r>
                  <w:r w:rsidRPr="005624AD">
                    <w:rPr>
                      <w:rFonts w:eastAsia="SimSun" w:cs="Arial"/>
                      <w:sz w:val="16"/>
                      <w:szCs w:val="16"/>
                      <w:lang w:eastAsia="zh-CN"/>
                    </w:rPr>
                    <w:t>)</w:t>
                  </w:r>
                </w:p>
              </w:tc>
            </w:tr>
          </w:tbl>
          <w:p w:rsidR="00805A5E" w:rsidRDefault="00805A5E" w:rsidP="00547ACE">
            <w:pPr>
              <w:rPr>
                <w:rFonts w:eastAsia="SimSun" w:cs="Arial"/>
                <w:sz w:val="16"/>
                <w:szCs w:val="16"/>
                <w:lang w:eastAsia="zh-CN"/>
              </w:rPr>
            </w:pPr>
          </w:p>
        </w:tc>
        <w:tc>
          <w:tcPr>
            <w:tcW w:w="539" w:type="pct"/>
            <w:gridSpan w:val="4"/>
            <w:tcBorders>
              <w:top w:val="nil"/>
              <w:left w:val="nil"/>
              <w:bottom w:val="nil"/>
              <w:right w:val="single" w:sz="4" w:space="0" w:color="auto"/>
            </w:tcBorders>
            <w:shd w:val="clear" w:color="auto" w:fill="auto"/>
            <w:tcMar>
              <w:top w:w="110" w:type="dxa"/>
            </w:tcMar>
          </w:tcPr>
          <w:p w:rsidR="00805A5E" w:rsidRDefault="00805A5E" w:rsidP="00547ACE">
            <w:pPr>
              <w:keepNext/>
              <w:keepLines/>
              <w:ind w:right="20"/>
              <w:rPr>
                <w:rFonts w:eastAsia="SimSun" w:cs="Arial"/>
                <w:b/>
                <w:bCs/>
                <w:color w:val="FF0000"/>
                <w:sz w:val="16"/>
                <w:szCs w:val="16"/>
                <w:lang w:eastAsia="zh-CN"/>
              </w:rPr>
            </w:pPr>
          </w:p>
          <w:p w:rsidR="00805A5E" w:rsidRPr="00586D7C" w:rsidRDefault="00805A5E" w:rsidP="00547ACE">
            <w:pPr>
              <w:keepNext/>
              <w:keepLines/>
              <w:ind w:right="20"/>
              <w:rPr>
                <w:rFonts w:eastAsia="SimSun" w:cs="Arial"/>
                <w:b/>
                <w:bCs/>
                <w:color w:val="FF0000"/>
                <w:sz w:val="8"/>
                <w:szCs w:val="8"/>
                <w:lang w:eastAsia="zh-CN"/>
              </w:rPr>
            </w:pPr>
          </w:p>
          <w:p w:rsidR="00805A5E" w:rsidRPr="00092332" w:rsidRDefault="00805A5E" w:rsidP="00547ACE">
            <w:pPr>
              <w:keepNext/>
              <w:keepLines/>
              <w:ind w:left="-117" w:right="-45" w:firstLine="19"/>
              <w:jc w:val="center"/>
              <w:rPr>
                <w:rFonts w:eastAsia="SimSun" w:cs="Arial"/>
                <w:b/>
                <w:bCs/>
                <w:color w:val="808080"/>
                <w:sz w:val="8"/>
                <w:szCs w:val="8"/>
                <w:lang w:eastAsia="zh-CN"/>
              </w:rPr>
            </w:pPr>
            <w:r w:rsidRPr="00092332">
              <w:rPr>
                <w:rFonts w:eastAsia="SimSun" w:cs="Arial"/>
                <w:b/>
                <w:bCs/>
                <w:color w:val="808080"/>
                <w:sz w:val="14"/>
                <w:szCs w:val="14"/>
                <w:lang w:eastAsia="zh-CN"/>
              </w:rPr>
              <w:t>Not Assessable</w:t>
            </w:r>
          </w:p>
          <w:p w:rsidR="00805A5E" w:rsidRPr="00C11559" w:rsidRDefault="00805A5E" w:rsidP="00547ACE">
            <w:pPr>
              <w:keepNext/>
              <w:keepLines/>
              <w:ind w:right="20"/>
              <w:jc w:val="center"/>
              <w:rPr>
                <w:rFonts w:eastAsia="SimSun" w:cs="Arial"/>
                <w:b/>
                <w:bCs/>
                <w:color w:val="00B050"/>
                <w:sz w:val="4"/>
                <w:szCs w:val="4"/>
                <w:lang w:eastAsia="zh-CN"/>
              </w:rPr>
            </w:pPr>
          </w:p>
          <w:p w:rsidR="00805A5E" w:rsidRDefault="00805A5E" w:rsidP="00547ACE">
            <w:pPr>
              <w:keepNext/>
              <w:keepLines/>
              <w:ind w:right="20"/>
              <w:jc w:val="center"/>
              <w:rPr>
                <w:rFonts w:eastAsia="SimSun" w:cs="Arial"/>
                <w:b/>
                <w:bCs/>
                <w:color w:val="00B050"/>
                <w:sz w:val="16"/>
                <w:szCs w:val="16"/>
                <w:lang w:eastAsia="zh-CN"/>
              </w:rPr>
            </w:pPr>
            <w:r w:rsidRPr="00FF28A3">
              <w:rPr>
                <w:rFonts w:eastAsia="SimSun" w:cs="Arial"/>
                <w:b/>
                <w:bCs/>
                <w:color w:val="00B050"/>
                <w:sz w:val="16"/>
                <w:szCs w:val="16"/>
                <w:lang w:eastAsia="zh-CN"/>
              </w:rPr>
              <w:t xml:space="preserve">Fully </w:t>
            </w:r>
            <w:r>
              <w:rPr>
                <w:rFonts w:eastAsia="SimSun" w:cs="Arial"/>
                <w:b/>
                <w:bCs/>
                <w:color w:val="00B050"/>
                <w:sz w:val="16"/>
                <w:szCs w:val="16"/>
                <w:lang w:eastAsia="zh-CN"/>
              </w:rPr>
              <w:t>A</w:t>
            </w:r>
            <w:r w:rsidRPr="00FF28A3">
              <w:rPr>
                <w:rFonts w:eastAsia="SimSun" w:cs="Arial"/>
                <w:b/>
                <w:bCs/>
                <w:color w:val="00B050"/>
                <w:sz w:val="16"/>
                <w:szCs w:val="16"/>
                <w:lang w:eastAsia="zh-CN"/>
              </w:rPr>
              <w:t>chieved</w:t>
            </w:r>
          </w:p>
          <w:p w:rsidR="00805A5E" w:rsidRPr="00C11559" w:rsidRDefault="00805A5E" w:rsidP="00547ACE">
            <w:pPr>
              <w:keepNext/>
              <w:keepLines/>
              <w:ind w:right="20"/>
              <w:rPr>
                <w:rFonts w:eastAsia="SimSun" w:cs="Arial"/>
                <w:b/>
                <w:bCs/>
                <w:color w:val="FF0000"/>
                <w:sz w:val="4"/>
                <w:szCs w:val="4"/>
                <w:lang w:eastAsia="zh-CN"/>
              </w:rPr>
            </w:pPr>
          </w:p>
          <w:p w:rsidR="00805A5E" w:rsidRPr="00EE0E94" w:rsidRDefault="00805A5E" w:rsidP="00547ACE">
            <w:pPr>
              <w:keepNext/>
              <w:spacing w:line="276" w:lineRule="auto"/>
              <w:ind w:right="20"/>
              <w:jc w:val="center"/>
              <w:rPr>
                <w:b/>
                <w:bCs/>
                <w:color w:val="F79646" w:themeColor="accent6"/>
                <w:sz w:val="16"/>
                <w:szCs w:val="16"/>
                <w:lang w:eastAsia="zh-CN"/>
              </w:rPr>
            </w:pPr>
            <w:r w:rsidRPr="00EE0E94">
              <w:rPr>
                <w:b/>
                <w:bCs/>
                <w:color w:val="F79646" w:themeColor="accent6"/>
                <w:sz w:val="16"/>
                <w:szCs w:val="16"/>
                <w:lang w:eastAsia="zh-CN"/>
              </w:rPr>
              <w:t>Partially Achieved</w:t>
            </w:r>
          </w:p>
          <w:p w:rsidR="00805A5E" w:rsidRPr="000D3F45" w:rsidRDefault="00805A5E" w:rsidP="00547ACE">
            <w:pPr>
              <w:keepNext/>
              <w:keepLines/>
              <w:ind w:right="20"/>
              <w:jc w:val="center"/>
              <w:rPr>
                <w:rFonts w:eastAsia="SimSun" w:cs="Arial"/>
                <w:b/>
                <w:bCs/>
                <w:color w:val="FF0000"/>
                <w:sz w:val="16"/>
                <w:szCs w:val="16"/>
                <w:lang w:eastAsia="zh-CN"/>
              </w:rPr>
            </w:pPr>
          </w:p>
        </w:tc>
      </w:tr>
      <w:tr w:rsidR="00805A5E" w:rsidRPr="00B35AFA" w:rsidTr="00BA6F3B">
        <w:tc>
          <w:tcPr>
            <w:tcW w:w="1114" w:type="pct"/>
            <w:tcBorders>
              <w:top w:val="nil"/>
              <w:left w:val="single" w:sz="4" w:space="0" w:color="auto"/>
              <w:bottom w:val="single" w:sz="4" w:space="0" w:color="auto"/>
              <w:right w:val="nil"/>
            </w:tcBorders>
            <w:shd w:val="clear" w:color="auto" w:fill="auto"/>
          </w:tcPr>
          <w:p w:rsidR="00805A5E" w:rsidRPr="0097448D" w:rsidRDefault="00805A5E" w:rsidP="00547ACE">
            <w:pPr>
              <w:rPr>
                <w:rFonts w:eastAsia="SimSun" w:cs="Arial"/>
                <w:color w:val="000000"/>
                <w:sz w:val="16"/>
                <w:szCs w:val="16"/>
                <w:lang w:eastAsia="zh-CN"/>
              </w:rPr>
            </w:pPr>
            <w:r w:rsidRPr="0097448D">
              <w:rPr>
                <w:rFonts w:eastAsia="SimSun" w:cs="Arial"/>
                <w:color w:val="000000"/>
                <w:sz w:val="16"/>
                <w:szCs w:val="16"/>
                <w:lang w:eastAsia="zh-CN"/>
              </w:rPr>
              <w:t>% of stakeholders with a positive recognition of WIPO's mission, activities and organizational image</w:t>
            </w:r>
          </w:p>
        </w:tc>
        <w:tc>
          <w:tcPr>
            <w:tcW w:w="923" w:type="pct"/>
            <w:gridSpan w:val="2"/>
            <w:tcBorders>
              <w:top w:val="nil"/>
              <w:left w:val="nil"/>
              <w:bottom w:val="single" w:sz="4" w:space="0" w:color="auto"/>
              <w:right w:val="nil"/>
            </w:tcBorders>
            <w:shd w:val="clear" w:color="auto" w:fill="auto"/>
          </w:tcPr>
          <w:p w:rsidR="00805A5E" w:rsidRPr="00F60CAF" w:rsidRDefault="00805A5E" w:rsidP="00547ACE">
            <w:pPr>
              <w:keepNext/>
              <w:keepLines/>
              <w:rPr>
                <w:rFonts w:cs="Arial"/>
                <w:sz w:val="16"/>
                <w:szCs w:val="16"/>
                <w:lang w:val="pt-BR"/>
              </w:rPr>
            </w:pPr>
            <w:r w:rsidRPr="00F60CAF">
              <w:rPr>
                <w:rFonts w:cs="Arial"/>
                <w:sz w:val="16"/>
                <w:szCs w:val="16"/>
                <w:lang w:val="pt-BR"/>
              </w:rPr>
              <w:t>n/a (W</w:t>
            </w:r>
            <w:r>
              <w:rPr>
                <w:rFonts w:cs="Arial"/>
                <w:sz w:val="16"/>
                <w:szCs w:val="16"/>
                <w:lang w:val="pt-BR"/>
              </w:rPr>
              <w:t>B</w:t>
            </w:r>
            <w:r w:rsidRPr="00F60CAF">
              <w:rPr>
                <w:rFonts w:cs="Arial"/>
                <w:sz w:val="16"/>
                <w:szCs w:val="16"/>
                <w:lang w:val="pt-BR"/>
              </w:rPr>
              <w:t>O)</w:t>
            </w:r>
          </w:p>
          <w:p w:rsidR="00805A5E" w:rsidRPr="00F60CAF" w:rsidRDefault="00805A5E" w:rsidP="00547ACE">
            <w:pPr>
              <w:keepNext/>
              <w:keepLines/>
              <w:rPr>
                <w:rFonts w:cs="Arial"/>
                <w:sz w:val="16"/>
                <w:szCs w:val="16"/>
                <w:lang w:val="pt-BR"/>
              </w:rPr>
            </w:pPr>
            <w:r w:rsidRPr="00F60CAF">
              <w:rPr>
                <w:rFonts w:cs="Arial"/>
                <w:sz w:val="16"/>
                <w:szCs w:val="16"/>
                <w:lang w:val="pt-BR"/>
              </w:rPr>
              <w:t>n/a (WJO)</w:t>
            </w:r>
          </w:p>
          <w:p w:rsidR="00805A5E" w:rsidRDefault="00805A5E" w:rsidP="00547ACE">
            <w:pPr>
              <w:keepNext/>
              <w:keepLines/>
              <w:rPr>
                <w:rFonts w:cs="Arial"/>
                <w:i/>
                <w:color w:val="002060"/>
                <w:sz w:val="16"/>
                <w:szCs w:val="16"/>
              </w:rPr>
            </w:pPr>
            <w:r w:rsidRPr="0097448D">
              <w:rPr>
                <w:rFonts w:cs="Arial"/>
                <w:sz w:val="16"/>
                <w:szCs w:val="16"/>
              </w:rPr>
              <w:t>n/a (W</w:t>
            </w:r>
            <w:r>
              <w:rPr>
                <w:rFonts w:cs="Arial"/>
                <w:sz w:val="16"/>
                <w:szCs w:val="16"/>
              </w:rPr>
              <w:t>S</w:t>
            </w:r>
            <w:r w:rsidRPr="0097448D">
              <w:rPr>
                <w:rFonts w:cs="Arial"/>
                <w:sz w:val="16"/>
                <w:szCs w:val="16"/>
              </w:rPr>
              <w:t>O)</w:t>
            </w:r>
          </w:p>
        </w:tc>
        <w:tc>
          <w:tcPr>
            <w:tcW w:w="900" w:type="pct"/>
            <w:gridSpan w:val="6"/>
            <w:tcBorders>
              <w:top w:val="nil"/>
              <w:left w:val="nil"/>
              <w:bottom w:val="single" w:sz="4" w:space="0" w:color="auto"/>
              <w:right w:val="nil"/>
            </w:tcBorders>
            <w:shd w:val="clear" w:color="auto" w:fill="auto"/>
            <w:tcMar>
              <w:top w:w="110" w:type="dxa"/>
            </w:tcMar>
          </w:tcPr>
          <w:p w:rsidR="00805A5E" w:rsidRDefault="00805A5E" w:rsidP="00547ACE">
            <w:pPr>
              <w:keepNext/>
              <w:keepLines/>
              <w:rPr>
                <w:rFonts w:eastAsia="SimSun" w:cs="Arial"/>
                <w:sz w:val="16"/>
                <w:szCs w:val="16"/>
                <w:lang w:eastAsia="zh-CN"/>
              </w:rPr>
            </w:pPr>
            <w:r w:rsidRPr="0097448D">
              <w:rPr>
                <w:rFonts w:eastAsia="SimSun" w:cs="Arial"/>
                <w:sz w:val="16"/>
                <w:szCs w:val="16"/>
                <w:lang w:eastAsia="zh-CN"/>
              </w:rPr>
              <w:t>75% WBO</w:t>
            </w:r>
          </w:p>
          <w:p w:rsidR="00805A5E" w:rsidRDefault="00805A5E" w:rsidP="00547ACE">
            <w:pPr>
              <w:keepNext/>
              <w:keepLines/>
              <w:rPr>
                <w:rFonts w:eastAsia="SimSun" w:cs="Arial"/>
                <w:sz w:val="16"/>
                <w:szCs w:val="16"/>
                <w:lang w:eastAsia="zh-CN"/>
              </w:rPr>
            </w:pPr>
          </w:p>
          <w:p w:rsidR="00805A5E" w:rsidRDefault="00805A5E" w:rsidP="00547ACE">
            <w:pPr>
              <w:keepNext/>
              <w:keepLines/>
              <w:rPr>
                <w:rFonts w:eastAsia="SimSun" w:cs="Arial"/>
                <w:sz w:val="16"/>
                <w:szCs w:val="16"/>
                <w:lang w:eastAsia="zh-CN"/>
              </w:rPr>
            </w:pPr>
            <w:r w:rsidRPr="0097448D">
              <w:rPr>
                <w:rFonts w:eastAsia="SimSun" w:cs="Arial"/>
                <w:sz w:val="16"/>
                <w:szCs w:val="16"/>
                <w:lang w:eastAsia="zh-CN"/>
              </w:rPr>
              <w:t>75% (WJO)</w:t>
            </w:r>
          </w:p>
          <w:p w:rsidR="00805A5E" w:rsidRDefault="00805A5E" w:rsidP="00547ACE">
            <w:pPr>
              <w:keepNext/>
              <w:keepLines/>
              <w:rPr>
                <w:rFonts w:eastAsia="SimSun" w:cs="Arial"/>
                <w:sz w:val="16"/>
                <w:szCs w:val="16"/>
                <w:lang w:eastAsia="zh-CN"/>
              </w:rPr>
            </w:pPr>
          </w:p>
          <w:p w:rsidR="00805A5E" w:rsidRPr="0097448D" w:rsidRDefault="00805A5E" w:rsidP="00547ACE">
            <w:pPr>
              <w:keepNext/>
              <w:keepLines/>
              <w:ind w:right="-34"/>
              <w:rPr>
                <w:rFonts w:eastAsia="SimSun" w:cs="Arial"/>
                <w:sz w:val="16"/>
                <w:szCs w:val="16"/>
                <w:lang w:eastAsia="zh-CN"/>
              </w:rPr>
            </w:pPr>
            <w:r w:rsidRPr="0097448D">
              <w:rPr>
                <w:rFonts w:eastAsia="SimSun" w:cs="Arial"/>
                <w:sz w:val="16"/>
                <w:szCs w:val="16"/>
                <w:lang w:eastAsia="zh-CN"/>
              </w:rPr>
              <w:t>&gt; 70% of participants in major WIPO events</w:t>
            </w:r>
            <w:r>
              <w:rPr>
                <w:rFonts w:eastAsia="SimSun" w:cs="Arial"/>
                <w:sz w:val="16"/>
                <w:szCs w:val="16"/>
                <w:lang w:eastAsia="zh-CN"/>
              </w:rPr>
              <w:t xml:space="preserve"> </w:t>
            </w:r>
            <w:r w:rsidRPr="0097448D">
              <w:rPr>
                <w:rFonts w:eastAsia="SimSun" w:cs="Arial"/>
                <w:sz w:val="16"/>
                <w:szCs w:val="16"/>
                <w:lang w:eastAsia="zh-CN"/>
              </w:rPr>
              <w:t>(WSO</w:t>
            </w:r>
            <w:r>
              <w:rPr>
                <w:rFonts w:eastAsia="SimSun" w:cs="Arial"/>
                <w:sz w:val="16"/>
                <w:szCs w:val="16"/>
                <w:lang w:eastAsia="zh-CN"/>
              </w:rPr>
              <w:t>)</w:t>
            </w:r>
          </w:p>
        </w:tc>
        <w:tc>
          <w:tcPr>
            <w:tcW w:w="1524" w:type="pct"/>
            <w:gridSpan w:val="4"/>
            <w:tcBorders>
              <w:top w:val="nil"/>
              <w:left w:val="nil"/>
              <w:bottom w:val="single" w:sz="4" w:space="0" w:color="auto"/>
              <w:right w:val="nil"/>
            </w:tcBorders>
            <w:shd w:val="clear" w:color="auto" w:fill="FFFFFF"/>
            <w:tcMar>
              <w:top w:w="110" w:type="dxa"/>
            </w:tcMar>
          </w:tcPr>
          <w:p w:rsidR="00805A5E" w:rsidRDefault="00805A5E" w:rsidP="00547ACE">
            <w:pPr>
              <w:keepNext/>
              <w:keepLines/>
              <w:rPr>
                <w:rFonts w:eastAsia="SimSun" w:cs="Arial"/>
                <w:sz w:val="16"/>
                <w:szCs w:val="16"/>
                <w:lang w:eastAsia="zh-CN"/>
              </w:rPr>
            </w:pPr>
            <w:r>
              <w:rPr>
                <w:rFonts w:eastAsia="SimSun" w:cs="Arial"/>
                <w:sz w:val="16"/>
                <w:szCs w:val="16"/>
                <w:lang w:eastAsia="zh-CN"/>
              </w:rPr>
              <w:t xml:space="preserve">75% (WBO) </w:t>
            </w:r>
          </w:p>
          <w:p w:rsidR="00805A5E" w:rsidRDefault="00805A5E" w:rsidP="00547ACE">
            <w:pPr>
              <w:keepNext/>
              <w:keepLines/>
              <w:rPr>
                <w:rFonts w:eastAsia="SimSun" w:cs="Arial"/>
                <w:sz w:val="16"/>
                <w:szCs w:val="16"/>
                <w:lang w:eastAsia="zh-CN"/>
              </w:rPr>
            </w:pPr>
          </w:p>
          <w:p w:rsidR="00805A5E" w:rsidRDefault="00805A5E" w:rsidP="00547ACE">
            <w:pPr>
              <w:keepNext/>
              <w:keepLines/>
              <w:rPr>
                <w:rFonts w:eastAsia="SimSun" w:cs="Arial"/>
                <w:sz w:val="16"/>
                <w:szCs w:val="16"/>
                <w:lang w:eastAsia="zh-CN"/>
              </w:rPr>
            </w:pPr>
            <w:r w:rsidRPr="00DC4314">
              <w:rPr>
                <w:rFonts w:eastAsia="SimSun" w:cs="Arial"/>
                <w:sz w:val="16"/>
                <w:szCs w:val="16"/>
                <w:lang w:eastAsia="zh-CN"/>
              </w:rPr>
              <w:t>94%</w:t>
            </w:r>
            <w:r>
              <w:rPr>
                <w:rFonts w:eastAsia="SimSun" w:cs="Arial"/>
                <w:sz w:val="16"/>
                <w:szCs w:val="16"/>
                <w:lang w:eastAsia="zh-CN"/>
              </w:rPr>
              <w:t xml:space="preserve"> </w:t>
            </w:r>
            <w:r w:rsidRPr="00DC4314">
              <w:rPr>
                <w:rFonts w:eastAsia="SimSun" w:cs="Arial"/>
                <w:sz w:val="16"/>
                <w:szCs w:val="16"/>
                <w:lang w:eastAsia="zh-CN"/>
              </w:rPr>
              <w:t>(WJO)</w:t>
            </w:r>
          </w:p>
          <w:p w:rsidR="00805A5E" w:rsidRDefault="00805A5E" w:rsidP="00547ACE">
            <w:pPr>
              <w:keepNext/>
              <w:keepLines/>
              <w:rPr>
                <w:rFonts w:eastAsia="SimSun" w:cs="Arial"/>
                <w:sz w:val="16"/>
                <w:szCs w:val="16"/>
                <w:lang w:eastAsia="zh-CN"/>
              </w:rPr>
            </w:pPr>
          </w:p>
          <w:p w:rsidR="00805A5E" w:rsidRPr="00B35AFA" w:rsidRDefault="00805A5E" w:rsidP="00547ACE">
            <w:pPr>
              <w:keepNext/>
              <w:keepLines/>
              <w:rPr>
                <w:rFonts w:eastAsia="SimSun" w:cs="Arial"/>
                <w:sz w:val="16"/>
                <w:szCs w:val="16"/>
                <w:lang w:eastAsia="zh-CN"/>
              </w:rPr>
            </w:pPr>
            <w:r>
              <w:rPr>
                <w:rFonts w:eastAsia="SimSun" w:cs="Arial"/>
                <w:sz w:val="16"/>
                <w:szCs w:val="16"/>
                <w:lang w:eastAsia="zh-CN"/>
              </w:rPr>
              <w:t>90% (WSO)</w:t>
            </w:r>
          </w:p>
        </w:tc>
        <w:tc>
          <w:tcPr>
            <w:tcW w:w="539" w:type="pct"/>
            <w:gridSpan w:val="4"/>
            <w:tcBorders>
              <w:top w:val="nil"/>
              <w:left w:val="nil"/>
              <w:bottom w:val="single" w:sz="4" w:space="0" w:color="auto"/>
              <w:right w:val="single" w:sz="4" w:space="0" w:color="auto"/>
            </w:tcBorders>
            <w:shd w:val="clear" w:color="auto" w:fill="auto"/>
            <w:tcMar>
              <w:top w:w="110" w:type="dxa"/>
            </w:tcMar>
          </w:tcPr>
          <w:p w:rsidR="00805A5E" w:rsidRPr="00FF28A3" w:rsidRDefault="00805A5E" w:rsidP="00547ACE">
            <w:pPr>
              <w:keepNext/>
              <w:keepLines/>
              <w:ind w:right="20"/>
              <w:jc w:val="center"/>
              <w:rPr>
                <w:rFonts w:eastAsia="SimSun" w:cs="Arial"/>
                <w:b/>
                <w:bCs/>
                <w:color w:val="00B050"/>
                <w:sz w:val="16"/>
                <w:szCs w:val="16"/>
                <w:lang w:eastAsia="zh-CN"/>
              </w:rPr>
            </w:pPr>
            <w:r w:rsidRPr="00FF28A3">
              <w:rPr>
                <w:rFonts w:eastAsia="SimSun" w:cs="Arial"/>
                <w:b/>
                <w:bCs/>
                <w:color w:val="00B050"/>
                <w:sz w:val="16"/>
                <w:szCs w:val="16"/>
                <w:lang w:eastAsia="zh-CN"/>
              </w:rPr>
              <w:t xml:space="preserve">Fully </w:t>
            </w:r>
            <w:r>
              <w:rPr>
                <w:rFonts w:eastAsia="SimSun" w:cs="Arial"/>
                <w:b/>
                <w:bCs/>
                <w:color w:val="00B050"/>
                <w:sz w:val="16"/>
                <w:szCs w:val="16"/>
                <w:lang w:eastAsia="zh-CN"/>
              </w:rPr>
              <w:t>A</w:t>
            </w:r>
            <w:r w:rsidRPr="00FF28A3">
              <w:rPr>
                <w:rFonts w:eastAsia="SimSun" w:cs="Arial"/>
                <w:b/>
                <w:bCs/>
                <w:color w:val="00B050"/>
                <w:sz w:val="16"/>
                <w:szCs w:val="16"/>
                <w:lang w:eastAsia="zh-CN"/>
              </w:rPr>
              <w:t>chieved</w:t>
            </w:r>
          </w:p>
          <w:p w:rsidR="00805A5E" w:rsidRPr="00FF28A3" w:rsidRDefault="00805A5E" w:rsidP="00547ACE">
            <w:pPr>
              <w:keepNext/>
              <w:keepLines/>
              <w:ind w:right="20"/>
              <w:jc w:val="center"/>
              <w:rPr>
                <w:rFonts w:eastAsia="SimSun" w:cs="Arial"/>
                <w:b/>
                <w:bCs/>
                <w:color w:val="00B050"/>
                <w:sz w:val="16"/>
                <w:szCs w:val="16"/>
                <w:lang w:eastAsia="zh-CN"/>
              </w:rPr>
            </w:pPr>
            <w:r w:rsidRPr="00FF28A3">
              <w:rPr>
                <w:rFonts w:eastAsia="SimSun" w:cs="Arial"/>
                <w:b/>
                <w:bCs/>
                <w:color w:val="00B050"/>
                <w:sz w:val="16"/>
                <w:szCs w:val="16"/>
                <w:lang w:eastAsia="zh-CN"/>
              </w:rPr>
              <w:t xml:space="preserve">Fully </w:t>
            </w:r>
            <w:r>
              <w:rPr>
                <w:rFonts w:eastAsia="SimSun" w:cs="Arial"/>
                <w:b/>
                <w:bCs/>
                <w:color w:val="00B050"/>
                <w:sz w:val="16"/>
                <w:szCs w:val="16"/>
                <w:lang w:eastAsia="zh-CN"/>
              </w:rPr>
              <w:t>A</w:t>
            </w:r>
            <w:r w:rsidRPr="00FF28A3">
              <w:rPr>
                <w:rFonts w:eastAsia="SimSun" w:cs="Arial"/>
                <w:b/>
                <w:bCs/>
                <w:color w:val="00B050"/>
                <w:sz w:val="16"/>
                <w:szCs w:val="16"/>
                <w:lang w:eastAsia="zh-CN"/>
              </w:rPr>
              <w:t>chieved</w:t>
            </w:r>
          </w:p>
          <w:p w:rsidR="00805A5E" w:rsidRPr="00FF28A3" w:rsidRDefault="00805A5E" w:rsidP="00547ACE">
            <w:pPr>
              <w:keepNext/>
              <w:keepLines/>
              <w:ind w:right="20"/>
              <w:jc w:val="center"/>
              <w:rPr>
                <w:rFonts w:eastAsia="SimSun" w:cs="Arial"/>
                <w:b/>
                <w:bCs/>
                <w:color w:val="808080"/>
                <w:sz w:val="16"/>
                <w:szCs w:val="16"/>
                <w:lang w:eastAsia="zh-CN"/>
              </w:rPr>
            </w:pPr>
            <w:r w:rsidRPr="00FF28A3">
              <w:rPr>
                <w:rFonts w:eastAsia="SimSun" w:cs="Arial"/>
                <w:b/>
                <w:bCs/>
                <w:color w:val="00B050"/>
                <w:sz w:val="16"/>
                <w:szCs w:val="16"/>
                <w:lang w:eastAsia="zh-CN"/>
              </w:rPr>
              <w:t xml:space="preserve">Fully </w:t>
            </w:r>
            <w:r>
              <w:rPr>
                <w:rFonts w:eastAsia="SimSun" w:cs="Arial"/>
                <w:b/>
                <w:bCs/>
                <w:color w:val="00B050"/>
                <w:sz w:val="16"/>
                <w:szCs w:val="16"/>
                <w:lang w:eastAsia="zh-CN"/>
              </w:rPr>
              <w:t>A</w:t>
            </w:r>
            <w:r w:rsidRPr="00FF28A3">
              <w:rPr>
                <w:rFonts w:eastAsia="SimSun" w:cs="Arial"/>
                <w:b/>
                <w:bCs/>
                <w:color w:val="00B050"/>
                <w:sz w:val="16"/>
                <w:szCs w:val="16"/>
                <w:lang w:eastAsia="zh-CN"/>
              </w:rPr>
              <w:t>chieved</w:t>
            </w:r>
          </w:p>
        </w:tc>
      </w:tr>
      <w:tr w:rsidR="00805A5E" w:rsidRPr="00B35AFA" w:rsidTr="00547ACE">
        <w:tc>
          <w:tcPr>
            <w:tcW w:w="5000" w:type="pct"/>
            <w:gridSpan w:val="17"/>
            <w:tcBorders>
              <w:top w:val="single" w:sz="4" w:space="0" w:color="auto"/>
              <w:bottom w:val="single" w:sz="4" w:space="0" w:color="auto"/>
            </w:tcBorders>
            <w:shd w:val="clear" w:color="auto" w:fill="C6D9F1" w:themeFill="text2" w:themeFillTint="33"/>
          </w:tcPr>
          <w:p w:rsidR="00805A5E" w:rsidRPr="00FF28A3" w:rsidRDefault="00805A5E" w:rsidP="00547ACE">
            <w:pPr>
              <w:tabs>
                <w:tab w:val="left" w:pos="1452"/>
              </w:tabs>
              <w:spacing w:before="120" w:after="120"/>
              <w:ind w:left="1452" w:hanging="1452"/>
              <w:rPr>
                <w:rFonts w:eastAsia="SimSun" w:cs="Arial"/>
                <w:b/>
                <w:bCs/>
                <w:sz w:val="16"/>
                <w:szCs w:val="16"/>
                <w:lang w:eastAsia="zh-CN"/>
              </w:rPr>
            </w:pPr>
            <w:r w:rsidRPr="000D3F45">
              <w:rPr>
                <w:rFonts w:eastAsia="SimSun" w:cs="Arial"/>
                <w:b/>
                <w:bCs/>
                <w:sz w:val="16"/>
                <w:szCs w:val="16"/>
                <w:lang w:eastAsia="zh-CN"/>
              </w:rPr>
              <w:t>Expected Result:</w:t>
            </w:r>
            <w:r w:rsidRPr="000D3F45">
              <w:rPr>
                <w:rFonts w:eastAsia="SimSun" w:cs="Arial"/>
                <w:b/>
                <w:bCs/>
                <w:sz w:val="16"/>
                <w:szCs w:val="16"/>
                <w:lang w:eastAsia="zh-CN"/>
              </w:rPr>
              <w:tab/>
            </w:r>
            <w:r w:rsidRPr="007A3976">
              <w:rPr>
                <w:rFonts w:eastAsia="SimSun" w:cs="Arial"/>
                <w:bCs/>
                <w:sz w:val="16"/>
                <w:szCs w:val="16"/>
                <w:lang w:eastAsia="zh-CN"/>
              </w:rPr>
              <w:t>VIII.2 Improved service orientation and responsiveness to inquiries</w:t>
            </w:r>
          </w:p>
        </w:tc>
      </w:tr>
      <w:tr w:rsidR="00805A5E" w:rsidRPr="00B35AFA" w:rsidTr="00547ACE">
        <w:tc>
          <w:tcPr>
            <w:tcW w:w="1114" w:type="pct"/>
            <w:tcBorders>
              <w:top w:val="single" w:sz="4" w:space="0" w:color="auto"/>
              <w:left w:val="single" w:sz="4" w:space="0" w:color="auto"/>
              <w:bottom w:val="nil"/>
              <w:right w:val="nil"/>
            </w:tcBorders>
            <w:shd w:val="clear" w:color="auto" w:fill="auto"/>
          </w:tcPr>
          <w:p w:rsidR="00805A5E" w:rsidRPr="0097448D" w:rsidRDefault="00805A5E" w:rsidP="00547ACE">
            <w:pPr>
              <w:rPr>
                <w:rFonts w:eastAsia="SimSun" w:cs="Arial"/>
                <w:color w:val="000000"/>
                <w:sz w:val="16"/>
                <w:szCs w:val="16"/>
                <w:lang w:eastAsia="zh-CN"/>
              </w:rPr>
            </w:pPr>
            <w:r w:rsidRPr="00B35AFA">
              <w:rPr>
                <w:rFonts w:eastAsia="SimSun" w:cs="Arial"/>
                <w:b/>
                <w:bCs/>
                <w:sz w:val="16"/>
                <w:szCs w:val="16"/>
                <w:lang w:eastAsia="zh-CN"/>
              </w:rPr>
              <w:t>Performance Indicators</w:t>
            </w:r>
          </w:p>
        </w:tc>
        <w:tc>
          <w:tcPr>
            <w:tcW w:w="923" w:type="pct"/>
            <w:gridSpan w:val="2"/>
            <w:tcBorders>
              <w:top w:val="single" w:sz="4" w:space="0" w:color="auto"/>
              <w:left w:val="nil"/>
              <w:bottom w:val="nil"/>
              <w:right w:val="nil"/>
            </w:tcBorders>
            <w:shd w:val="clear" w:color="auto" w:fill="auto"/>
          </w:tcPr>
          <w:p w:rsidR="00805A5E" w:rsidRDefault="00805A5E" w:rsidP="00547ACE">
            <w:pPr>
              <w:rPr>
                <w:rFonts w:cs="Arial"/>
                <w:i/>
                <w:color w:val="002060"/>
                <w:sz w:val="16"/>
                <w:szCs w:val="16"/>
              </w:rPr>
            </w:pPr>
            <w:r w:rsidRPr="00B35AFA">
              <w:rPr>
                <w:rFonts w:cs="Arial"/>
                <w:b/>
                <w:bCs/>
                <w:sz w:val="16"/>
                <w:szCs w:val="16"/>
              </w:rPr>
              <w:t>Baselines</w:t>
            </w:r>
          </w:p>
        </w:tc>
        <w:tc>
          <w:tcPr>
            <w:tcW w:w="900" w:type="pct"/>
            <w:gridSpan w:val="6"/>
            <w:tcBorders>
              <w:top w:val="single" w:sz="4" w:space="0" w:color="auto"/>
              <w:left w:val="nil"/>
              <w:bottom w:val="nil"/>
              <w:right w:val="nil"/>
            </w:tcBorders>
            <w:shd w:val="clear" w:color="auto" w:fill="auto"/>
            <w:tcMar>
              <w:top w:w="110" w:type="dxa"/>
            </w:tcMar>
          </w:tcPr>
          <w:p w:rsidR="00805A5E" w:rsidRPr="0097448D" w:rsidRDefault="00805A5E" w:rsidP="00547ACE">
            <w:pPr>
              <w:rPr>
                <w:rFonts w:eastAsia="SimSun" w:cs="Arial"/>
                <w:sz w:val="16"/>
                <w:szCs w:val="16"/>
                <w:lang w:eastAsia="zh-CN"/>
              </w:rPr>
            </w:pPr>
            <w:r w:rsidRPr="00B35AFA">
              <w:rPr>
                <w:rFonts w:cs="Arial"/>
                <w:b/>
                <w:sz w:val="16"/>
                <w:szCs w:val="16"/>
              </w:rPr>
              <w:t>Targets</w:t>
            </w:r>
          </w:p>
        </w:tc>
        <w:tc>
          <w:tcPr>
            <w:tcW w:w="1577" w:type="pct"/>
            <w:gridSpan w:val="6"/>
            <w:tcBorders>
              <w:top w:val="single" w:sz="4" w:space="0" w:color="auto"/>
              <w:left w:val="nil"/>
              <w:bottom w:val="nil"/>
              <w:right w:val="nil"/>
            </w:tcBorders>
            <w:shd w:val="clear" w:color="auto" w:fill="FFFFFF"/>
            <w:tcMar>
              <w:top w:w="110" w:type="dxa"/>
            </w:tcMar>
          </w:tcPr>
          <w:p w:rsidR="00805A5E" w:rsidRPr="00B35AFA" w:rsidRDefault="00805A5E" w:rsidP="00547ACE">
            <w:pPr>
              <w:rPr>
                <w:rFonts w:eastAsia="SimSun" w:cs="Arial"/>
                <w:sz w:val="16"/>
                <w:szCs w:val="16"/>
                <w:lang w:eastAsia="zh-CN"/>
              </w:rPr>
            </w:pPr>
            <w:r w:rsidRPr="00B35AFA">
              <w:rPr>
                <w:rFonts w:eastAsia="SimSun" w:cs="Arial"/>
                <w:b/>
                <w:bCs/>
                <w:sz w:val="16"/>
                <w:szCs w:val="16"/>
                <w:lang w:eastAsia="zh-CN"/>
              </w:rPr>
              <w:t>Performance Data</w:t>
            </w:r>
          </w:p>
        </w:tc>
        <w:tc>
          <w:tcPr>
            <w:tcW w:w="486" w:type="pct"/>
            <w:gridSpan w:val="2"/>
            <w:tcBorders>
              <w:top w:val="single" w:sz="4" w:space="0" w:color="auto"/>
              <w:left w:val="nil"/>
              <w:bottom w:val="nil"/>
              <w:right w:val="single" w:sz="4" w:space="0" w:color="auto"/>
            </w:tcBorders>
            <w:shd w:val="clear" w:color="auto" w:fill="auto"/>
            <w:tcMar>
              <w:top w:w="110" w:type="dxa"/>
            </w:tcMar>
          </w:tcPr>
          <w:p w:rsidR="00805A5E" w:rsidRPr="000D3F45" w:rsidRDefault="00805A5E" w:rsidP="00547ACE">
            <w:pPr>
              <w:keepNext/>
              <w:keepLines/>
              <w:ind w:left="71" w:right="20"/>
              <w:jc w:val="center"/>
              <w:rPr>
                <w:rFonts w:eastAsia="SimSun" w:cs="Arial"/>
                <w:b/>
                <w:bCs/>
                <w:color w:val="808080"/>
                <w:sz w:val="16"/>
                <w:szCs w:val="16"/>
                <w:lang w:eastAsia="zh-CN"/>
              </w:rPr>
            </w:pPr>
            <w:r w:rsidRPr="000D3F45">
              <w:rPr>
                <w:rFonts w:eastAsia="SimSun" w:cs="Arial"/>
                <w:b/>
                <w:bCs/>
                <w:sz w:val="16"/>
                <w:szCs w:val="16"/>
                <w:lang w:eastAsia="zh-CN"/>
              </w:rPr>
              <w:t>TLS</w:t>
            </w:r>
          </w:p>
        </w:tc>
      </w:tr>
      <w:tr w:rsidR="00805A5E" w:rsidRPr="004C0C4E" w:rsidTr="00547ACE">
        <w:trPr>
          <w:trHeight w:val="1258"/>
        </w:trPr>
        <w:tc>
          <w:tcPr>
            <w:tcW w:w="1114" w:type="pct"/>
            <w:tcBorders>
              <w:top w:val="nil"/>
              <w:left w:val="single" w:sz="4" w:space="0" w:color="auto"/>
              <w:bottom w:val="single" w:sz="4" w:space="0" w:color="auto"/>
              <w:right w:val="nil"/>
            </w:tcBorders>
            <w:shd w:val="clear" w:color="auto" w:fill="auto"/>
          </w:tcPr>
          <w:p w:rsidR="00805A5E" w:rsidRPr="0097448D" w:rsidRDefault="00805A5E" w:rsidP="00547ACE">
            <w:pPr>
              <w:rPr>
                <w:rFonts w:eastAsia="SimSun" w:cs="Arial"/>
                <w:color w:val="000000"/>
                <w:sz w:val="16"/>
                <w:szCs w:val="16"/>
                <w:lang w:eastAsia="zh-CN"/>
              </w:rPr>
            </w:pPr>
            <w:r w:rsidRPr="0097448D">
              <w:rPr>
                <w:rFonts w:eastAsia="SimSun" w:cs="Arial"/>
                <w:color w:val="000000"/>
                <w:sz w:val="16"/>
                <w:szCs w:val="16"/>
                <w:lang w:eastAsia="zh-CN"/>
              </w:rPr>
              <w:t>Customer/stakeholder satisfaction rate</w:t>
            </w:r>
          </w:p>
        </w:tc>
        <w:tc>
          <w:tcPr>
            <w:tcW w:w="923" w:type="pct"/>
            <w:gridSpan w:val="2"/>
            <w:tcBorders>
              <w:top w:val="nil"/>
              <w:left w:val="nil"/>
              <w:bottom w:val="single" w:sz="4" w:space="0" w:color="auto"/>
              <w:right w:val="nil"/>
            </w:tcBorders>
            <w:shd w:val="clear" w:color="auto" w:fill="auto"/>
          </w:tcPr>
          <w:p w:rsidR="00805A5E" w:rsidRPr="00F60CAF" w:rsidRDefault="00805A5E" w:rsidP="00547ACE">
            <w:pPr>
              <w:rPr>
                <w:rFonts w:cs="Arial"/>
                <w:sz w:val="16"/>
                <w:szCs w:val="16"/>
                <w:lang w:val="pt-BR"/>
              </w:rPr>
            </w:pPr>
            <w:r w:rsidRPr="00F60CAF">
              <w:rPr>
                <w:rFonts w:cs="Arial"/>
                <w:sz w:val="16"/>
                <w:szCs w:val="16"/>
                <w:lang w:val="pt-BR"/>
              </w:rPr>
              <w:t>n/a (WBO)</w:t>
            </w:r>
          </w:p>
          <w:p w:rsidR="00805A5E" w:rsidRPr="00F60CAF" w:rsidRDefault="00805A5E" w:rsidP="00547ACE">
            <w:pPr>
              <w:rPr>
                <w:rFonts w:cs="Arial"/>
                <w:sz w:val="16"/>
                <w:szCs w:val="16"/>
                <w:lang w:val="pt-BR"/>
              </w:rPr>
            </w:pPr>
            <w:r w:rsidRPr="00F60CAF">
              <w:rPr>
                <w:rFonts w:cs="Arial"/>
                <w:sz w:val="16"/>
                <w:szCs w:val="16"/>
                <w:lang w:val="pt-BR"/>
              </w:rPr>
              <w:t>n/a (WJO)</w:t>
            </w:r>
          </w:p>
          <w:p w:rsidR="00805A5E" w:rsidRDefault="00805A5E" w:rsidP="00547ACE">
            <w:pPr>
              <w:rPr>
                <w:rFonts w:cs="Arial"/>
                <w:i/>
                <w:color w:val="002060"/>
                <w:sz w:val="16"/>
                <w:szCs w:val="16"/>
              </w:rPr>
            </w:pPr>
            <w:r w:rsidRPr="0097448D">
              <w:rPr>
                <w:rFonts w:cs="Arial"/>
                <w:sz w:val="16"/>
                <w:szCs w:val="16"/>
              </w:rPr>
              <w:t>n/a (WSO)</w:t>
            </w:r>
          </w:p>
        </w:tc>
        <w:tc>
          <w:tcPr>
            <w:tcW w:w="900" w:type="pct"/>
            <w:gridSpan w:val="6"/>
            <w:tcBorders>
              <w:top w:val="nil"/>
              <w:left w:val="nil"/>
              <w:bottom w:val="single" w:sz="4" w:space="0" w:color="auto"/>
              <w:right w:val="nil"/>
            </w:tcBorders>
            <w:shd w:val="clear" w:color="auto" w:fill="auto"/>
            <w:tcMar>
              <w:top w:w="110" w:type="dxa"/>
            </w:tcMar>
          </w:tcPr>
          <w:p w:rsidR="00805A5E" w:rsidRDefault="00805A5E" w:rsidP="00547ACE">
            <w:pPr>
              <w:rPr>
                <w:rFonts w:eastAsia="SimSun" w:cs="Arial"/>
                <w:sz w:val="16"/>
                <w:szCs w:val="16"/>
                <w:lang w:eastAsia="zh-CN"/>
              </w:rPr>
            </w:pPr>
            <w:r w:rsidRPr="0097448D">
              <w:rPr>
                <w:rFonts w:eastAsia="SimSun" w:cs="Arial"/>
                <w:sz w:val="16"/>
                <w:szCs w:val="16"/>
                <w:lang w:eastAsia="zh-CN"/>
              </w:rPr>
              <w:t>tbd (WBO)</w:t>
            </w:r>
          </w:p>
          <w:p w:rsidR="00805A5E" w:rsidRDefault="00805A5E" w:rsidP="00547ACE">
            <w:pPr>
              <w:rPr>
                <w:rFonts w:eastAsia="SimSun" w:cs="Arial"/>
                <w:sz w:val="16"/>
                <w:szCs w:val="16"/>
                <w:lang w:eastAsia="zh-CN"/>
              </w:rPr>
            </w:pPr>
            <w:r w:rsidRPr="0097448D">
              <w:rPr>
                <w:rFonts w:eastAsia="SimSun" w:cs="Arial"/>
                <w:sz w:val="16"/>
                <w:szCs w:val="16"/>
                <w:lang w:eastAsia="zh-CN"/>
              </w:rPr>
              <w:t>tbd (WJO)</w:t>
            </w:r>
          </w:p>
          <w:p w:rsidR="00805A5E" w:rsidRPr="0097448D" w:rsidRDefault="00805A5E" w:rsidP="00547ACE">
            <w:pPr>
              <w:rPr>
                <w:rFonts w:eastAsia="SimSun" w:cs="Arial"/>
                <w:sz w:val="16"/>
                <w:szCs w:val="16"/>
                <w:lang w:eastAsia="zh-CN"/>
              </w:rPr>
            </w:pPr>
            <w:r w:rsidRPr="0097448D">
              <w:rPr>
                <w:rFonts w:eastAsia="SimSun" w:cs="Arial"/>
                <w:sz w:val="16"/>
                <w:szCs w:val="16"/>
                <w:lang w:eastAsia="zh-CN"/>
              </w:rPr>
              <w:t>&gt; 90% of callers are satisfied with the service WSO provides (WSO)</w:t>
            </w:r>
          </w:p>
        </w:tc>
        <w:tc>
          <w:tcPr>
            <w:tcW w:w="1577" w:type="pct"/>
            <w:gridSpan w:val="6"/>
            <w:tcBorders>
              <w:top w:val="nil"/>
              <w:left w:val="nil"/>
              <w:bottom w:val="single" w:sz="4" w:space="0" w:color="auto"/>
              <w:right w:val="nil"/>
            </w:tcBorders>
            <w:shd w:val="clear" w:color="auto" w:fill="FFFFFF"/>
            <w:tcMar>
              <w:top w:w="110" w:type="dxa"/>
            </w:tcMar>
          </w:tcPr>
          <w:p w:rsidR="00805A5E" w:rsidRDefault="00805A5E" w:rsidP="00547ACE">
            <w:pPr>
              <w:rPr>
                <w:rFonts w:eastAsia="SimSun" w:cs="Arial"/>
                <w:sz w:val="16"/>
                <w:szCs w:val="16"/>
                <w:lang w:eastAsia="zh-CN"/>
              </w:rPr>
            </w:pPr>
            <w:r>
              <w:rPr>
                <w:rFonts w:eastAsia="SimSun" w:cs="Arial"/>
                <w:sz w:val="16"/>
                <w:szCs w:val="16"/>
                <w:lang w:eastAsia="zh-CN"/>
              </w:rPr>
              <w:t>No data available (WBO)</w:t>
            </w:r>
          </w:p>
          <w:p w:rsidR="00805A5E" w:rsidRDefault="00805A5E" w:rsidP="00547ACE">
            <w:pPr>
              <w:rPr>
                <w:rFonts w:eastAsia="SimSun" w:cs="Arial"/>
                <w:sz w:val="16"/>
                <w:szCs w:val="16"/>
                <w:lang w:eastAsia="zh-CN"/>
              </w:rPr>
            </w:pPr>
          </w:p>
          <w:p w:rsidR="00805A5E" w:rsidRDefault="00805A5E" w:rsidP="00547ACE">
            <w:pPr>
              <w:rPr>
                <w:rFonts w:eastAsia="SimSun" w:cs="Arial"/>
                <w:sz w:val="16"/>
                <w:szCs w:val="16"/>
                <w:lang w:eastAsia="zh-CN"/>
              </w:rPr>
            </w:pPr>
            <w:r>
              <w:rPr>
                <w:rFonts w:eastAsia="SimSun" w:cs="Arial"/>
                <w:sz w:val="16"/>
                <w:szCs w:val="16"/>
                <w:lang w:eastAsia="zh-CN"/>
              </w:rPr>
              <w:t>95% of callers are satisfied (WJO)</w:t>
            </w:r>
          </w:p>
          <w:p w:rsidR="00805A5E" w:rsidRDefault="00805A5E" w:rsidP="00547ACE">
            <w:pPr>
              <w:rPr>
                <w:rFonts w:eastAsia="SimSun" w:cs="Arial"/>
                <w:sz w:val="16"/>
                <w:szCs w:val="16"/>
                <w:lang w:eastAsia="zh-CN"/>
              </w:rPr>
            </w:pPr>
          </w:p>
          <w:p w:rsidR="00805A5E" w:rsidRPr="001234DE" w:rsidRDefault="00805A5E" w:rsidP="00547ACE">
            <w:pPr>
              <w:rPr>
                <w:rFonts w:eastAsia="SimSun" w:cs="Arial"/>
                <w:sz w:val="16"/>
                <w:szCs w:val="16"/>
                <w:lang w:eastAsia="zh-CN"/>
              </w:rPr>
            </w:pPr>
            <w:r>
              <w:rPr>
                <w:rFonts w:eastAsia="SimSun" w:cs="Arial"/>
                <w:sz w:val="16"/>
                <w:szCs w:val="16"/>
                <w:lang w:eastAsia="zh-CN"/>
              </w:rPr>
              <w:t>93% of callers are satisfied (WSO)</w:t>
            </w:r>
          </w:p>
        </w:tc>
        <w:tc>
          <w:tcPr>
            <w:tcW w:w="486" w:type="pct"/>
            <w:gridSpan w:val="2"/>
            <w:tcBorders>
              <w:top w:val="nil"/>
              <w:left w:val="nil"/>
              <w:bottom w:val="single" w:sz="4" w:space="0" w:color="auto"/>
              <w:right w:val="single" w:sz="4" w:space="0" w:color="auto"/>
            </w:tcBorders>
            <w:shd w:val="clear" w:color="auto" w:fill="auto"/>
            <w:tcMar>
              <w:top w:w="110" w:type="dxa"/>
            </w:tcMar>
          </w:tcPr>
          <w:p w:rsidR="00805A5E" w:rsidRPr="00234B94" w:rsidRDefault="00805A5E" w:rsidP="00547ACE">
            <w:pPr>
              <w:keepNext/>
              <w:keepLines/>
              <w:ind w:left="-117" w:right="20"/>
              <w:jc w:val="center"/>
              <w:rPr>
                <w:rFonts w:eastAsia="SimSun" w:cs="Arial"/>
                <w:b/>
                <w:bCs/>
                <w:color w:val="808080" w:themeColor="background1" w:themeShade="80"/>
                <w:sz w:val="14"/>
                <w:szCs w:val="14"/>
                <w:lang w:eastAsia="zh-CN"/>
              </w:rPr>
            </w:pPr>
            <w:r w:rsidRPr="00234B94">
              <w:rPr>
                <w:rFonts w:eastAsia="SimSun" w:cs="Arial"/>
                <w:b/>
                <w:bCs/>
                <w:color w:val="808080" w:themeColor="background1" w:themeShade="80"/>
                <w:sz w:val="14"/>
                <w:szCs w:val="14"/>
                <w:lang w:eastAsia="zh-CN"/>
              </w:rPr>
              <w:t>Not Assessable</w:t>
            </w:r>
          </w:p>
          <w:p w:rsidR="00805A5E" w:rsidRPr="00234B94" w:rsidRDefault="00805A5E" w:rsidP="00547ACE">
            <w:pPr>
              <w:keepNext/>
              <w:keepLines/>
              <w:ind w:left="-117" w:right="20"/>
              <w:jc w:val="center"/>
              <w:rPr>
                <w:rFonts w:eastAsia="SimSun" w:cs="Arial"/>
                <w:b/>
                <w:bCs/>
                <w:color w:val="808080" w:themeColor="background1" w:themeShade="80"/>
                <w:sz w:val="14"/>
                <w:szCs w:val="14"/>
                <w:lang w:eastAsia="zh-CN"/>
              </w:rPr>
            </w:pPr>
            <w:r w:rsidRPr="00234B94">
              <w:rPr>
                <w:rFonts w:eastAsia="SimSun" w:cs="Arial"/>
                <w:b/>
                <w:bCs/>
                <w:color w:val="808080" w:themeColor="background1" w:themeShade="80"/>
                <w:sz w:val="14"/>
                <w:szCs w:val="14"/>
                <w:lang w:eastAsia="zh-CN"/>
              </w:rPr>
              <w:t>Not Assessable</w:t>
            </w:r>
          </w:p>
          <w:p w:rsidR="00805A5E" w:rsidRPr="000D3F45" w:rsidRDefault="00805A5E" w:rsidP="00547ACE">
            <w:pPr>
              <w:keepNext/>
              <w:keepLines/>
              <w:ind w:left="-117" w:right="20"/>
              <w:jc w:val="center"/>
              <w:rPr>
                <w:rFonts w:eastAsia="SimSun" w:cs="Arial"/>
                <w:b/>
                <w:bCs/>
                <w:sz w:val="16"/>
                <w:szCs w:val="16"/>
                <w:lang w:eastAsia="zh-CN"/>
              </w:rPr>
            </w:pPr>
            <w:r w:rsidRPr="00FF28A3">
              <w:rPr>
                <w:rFonts w:eastAsia="SimSun" w:cs="Arial"/>
                <w:b/>
                <w:bCs/>
                <w:color w:val="00B050"/>
                <w:sz w:val="16"/>
                <w:szCs w:val="16"/>
                <w:lang w:eastAsia="zh-CN"/>
              </w:rPr>
              <w:t xml:space="preserve">Fully </w:t>
            </w:r>
            <w:r>
              <w:rPr>
                <w:rFonts w:eastAsia="SimSun" w:cs="Arial"/>
                <w:b/>
                <w:bCs/>
                <w:color w:val="00B050"/>
                <w:sz w:val="16"/>
                <w:szCs w:val="16"/>
                <w:lang w:eastAsia="zh-CN"/>
              </w:rPr>
              <w:t>A</w:t>
            </w:r>
            <w:r w:rsidRPr="00FF28A3">
              <w:rPr>
                <w:rFonts w:eastAsia="SimSun" w:cs="Arial"/>
                <w:b/>
                <w:bCs/>
                <w:color w:val="00B050"/>
                <w:sz w:val="16"/>
                <w:szCs w:val="16"/>
                <w:lang w:eastAsia="zh-CN"/>
              </w:rPr>
              <w:t>chieved</w:t>
            </w:r>
          </w:p>
        </w:tc>
      </w:tr>
      <w:tr w:rsidR="00805A5E" w:rsidRPr="00B35AFA" w:rsidTr="00547ACE">
        <w:trPr>
          <w:trHeight w:val="1510"/>
        </w:trPr>
        <w:tc>
          <w:tcPr>
            <w:tcW w:w="1114" w:type="pct"/>
            <w:tcBorders>
              <w:top w:val="single" w:sz="4" w:space="0" w:color="auto"/>
              <w:left w:val="single" w:sz="4" w:space="0" w:color="auto"/>
              <w:bottom w:val="single" w:sz="4" w:space="0" w:color="auto"/>
              <w:right w:val="nil"/>
            </w:tcBorders>
            <w:shd w:val="clear" w:color="auto" w:fill="auto"/>
          </w:tcPr>
          <w:p w:rsidR="00805A5E" w:rsidRPr="0097448D" w:rsidRDefault="00805A5E" w:rsidP="00547ACE">
            <w:pPr>
              <w:rPr>
                <w:rFonts w:eastAsia="SimSun" w:cs="Arial"/>
                <w:color w:val="000000"/>
                <w:sz w:val="16"/>
                <w:szCs w:val="16"/>
                <w:lang w:eastAsia="zh-CN"/>
              </w:rPr>
            </w:pPr>
            <w:r w:rsidRPr="0097448D">
              <w:rPr>
                <w:rFonts w:eastAsia="SimSun" w:cs="Arial"/>
                <w:color w:val="000000"/>
                <w:sz w:val="16"/>
                <w:szCs w:val="16"/>
                <w:lang w:eastAsia="zh-CN"/>
              </w:rPr>
              <w:t>Processing time of information inquiries</w:t>
            </w:r>
          </w:p>
        </w:tc>
        <w:tc>
          <w:tcPr>
            <w:tcW w:w="923" w:type="pct"/>
            <w:gridSpan w:val="2"/>
            <w:tcBorders>
              <w:top w:val="single" w:sz="4" w:space="0" w:color="auto"/>
              <w:left w:val="nil"/>
              <w:bottom w:val="single" w:sz="4" w:space="0" w:color="auto"/>
              <w:right w:val="nil"/>
            </w:tcBorders>
            <w:shd w:val="clear" w:color="auto" w:fill="auto"/>
          </w:tcPr>
          <w:p w:rsidR="00805A5E" w:rsidRPr="00F60CAF" w:rsidRDefault="00805A5E" w:rsidP="00547ACE">
            <w:pPr>
              <w:spacing w:after="120"/>
              <w:rPr>
                <w:rFonts w:cs="Arial"/>
                <w:sz w:val="16"/>
                <w:szCs w:val="16"/>
                <w:lang w:val="pt-BR"/>
              </w:rPr>
            </w:pPr>
            <w:r w:rsidRPr="00F60CAF">
              <w:rPr>
                <w:rFonts w:cs="Arial"/>
                <w:sz w:val="16"/>
                <w:szCs w:val="16"/>
                <w:lang w:val="pt-BR"/>
              </w:rPr>
              <w:t>n/a (WBO)</w:t>
            </w:r>
          </w:p>
          <w:p w:rsidR="00805A5E" w:rsidRPr="00F60CAF" w:rsidRDefault="00805A5E" w:rsidP="00547ACE">
            <w:pPr>
              <w:spacing w:after="120"/>
              <w:rPr>
                <w:rFonts w:cs="Arial"/>
                <w:sz w:val="16"/>
                <w:szCs w:val="16"/>
                <w:lang w:val="pt-BR"/>
              </w:rPr>
            </w:pPr>
            <w:r w:rsidRPr="00F60CAF">
              <w:rPr>
                <w:rFonts w:cs="Arial"/>
                <w:sz w:val="16"/>
                <w:szCs w:val="16"/>
                <w:lang w:val="pt-BR"/>
              </w:rPr>
              <w:t>n/a (WJO)</w:t>
            </w:r>
          </w:p>
          <w:p w:rsidR="00805A5E" w:rsidRPr="00254AD1" w:rsidRDefault="00805A5E" w:rsidP="00547ACE">
            <w:pPr>
              <w:spacing w:after="120"/>
              <w:rPr>
                <w:rFonts w:cs="Arial"/>
                <w:sz w:val="16"/>
                <w:szCs w:val="16"/>
              </w:rPr>
            </w:pPr>
            <w:r>
              <w:rPr>
                <w:rFonts w:cs="Arial"/>
                <w:sz w:val="16"/>
                <w:szCs w:val="16"/>
              </w:rPr>
              <w:t>n/a (WSO)</w:t>
            </w:r>
          </w:p>
        </w:tc>
        <w:tc>
          <w:tcPr>
            <w:tcW w:w="900" w:type="pct"/>
            <w:gridSpan w:val="6"/>
            <w:tcBorders>
              <w:top w:val="single" w:sz="4" w:space="0" w:color="auto"/>
              <w:left w:val="nil"/>
              <w:bottom w:val="single" w:sz="4" w:space="0" w:color="auto"/>
              <w:right w:val="nil"/>
            </w:tcBorders>
            <w:shd w:val="clear" w:color="auto" w:fill="auto"/>
            <w:tcMar>
              <w:top w:w="110" w:type="dxa"/>
            </w:tcMar>
          </w:tcPr>
          <w:p w:rsidR="00805A5E" w:rsidRDefault="00805A5E" w:rsidP="00547ACE">
            <w:pPr>
              <w:spacing w:after="120"/>
              <w:rPr>
                <w:rFonts w:eastAsia="SimSun" w:cs="Arial"/>
                <w:sz w:val="16"/>
                <w:szCs w:val="16"/>
                <w:lang w:eastAsia="zh-CN"/>
              </w:rPr>
            </w:pPr>
            <w:r w:rsidRPr="0097448D">
              <w:rPr>
                <w:rFonts w:eastAsia="SimSun" w:cs="Arial"/>
                <w:sz w:val="16"/>
                <w:szCs w:val="16"/>
                <w:lang w:eastAsia="zh-CN"/>
              </w:rPr>
              <w:t>Tbd (WBO)</w:t>
            </w:r>
          </w:p>
          <w:p w:rsidR="00805A5E" w:rsidRDefault="00805A5E" w:rsidP="00547ACE">
            <w:pPr>
              <w:spacing w:after="120"/>
              <w:rPr>
                <w:rFonts w:eastAsia="SimSun" w:cs="Arial"/>
                <w:sz w:val="16"/>
                <w:szCs w:val="16"/>
                <w:lang w:eastAsia="zh-CN"/>
              </w:rPr>
            </w:pPr>
            <w:r w:rsidRPr="0097448D">
              <w:rPr>
                <w:rFonts w:eastAsia="SimSun" w:cs="Arial"/>
                <w:sz w:val="16"/>
                <w:szCs w:val="16"/>
                <w:lang w:eastAsia="zh-CN"/>
              </w:rPr>
              <w:t>Tbd (WJO)</w:t>
            </w:r>
          </w:p>
          <w:p w:rsidR="00805A5E" w:rsidRPr="0097448D" w:rsidRDefault="00805A5E" w:rsidP="00547ACE">
            <w:pPr>
              <w:spacing w:after="120"/>
              <w:rPr>
                <w:rFonts w:eastAsia="SimSun" w:cs="Arial"/>
                <w:sz w:val="16"/>
                <w:szCs w:val="16"/>
                <w:lang w:eastAsia="zh-CN"/>
              </w:rPr>
            </w:pPr>
            <w:r w:rsidRPr="0097448D">
              <w:rPr>
                <w:rFonts w:eastAsia="SimSun" w:cs="Arial"/>
                <w:sz w:val="16"/>
                <w:szCs w:val="16"/>
                <w:lang w:eastAsia="zh-CN"/>
              </w:rPr>
              <w:t>Response prepared within 3 working days in 95% of cases (WSO)</w:t>
            </w:r>
          </w:p>
        </w:tc>
        <w:tc>
          <w:tcPr>
            <w:tcW w:w="1577" w:type="pct"/>
            <w:gridSpan w:val="6"/>
            <w:tcBorders>
              <w:top w:val="single" w:sz="4" w:space="0" w:color="auto"/>
              <w:left w:val="nil"/>
              <w:bottom w:val="single" w:sz="4" w:space="0" w:color="auto"/>
              <w:right w:val="nil"/>
            </w:tcBorders>
            <w:shd w:val="clear" w:color="auto" w:fill="FFFFFF"/>
            <w:tcMar>
              <w:top w:w="110" w:type="dxa"/>
            </w:tcMar>
          </w:tcPr>
          <w:p w:rsidR="00805A5E" w:rsidRDefault="00805A5E" w:rsidP="00547ACE">
            <w:pPr>
              <w:spacing w:after="120"/>
              <w:rPr>
                <w:rFonts w:eastAsia="SimSun" w:cs="Arial"/>
                <w:sz w:val="16"/>
                <w:szCs w:val="16"/>
                <w:lang w:eastAsia="zh-CN"/>
              </w:rPr>
            </w:pPr>
            <w:r>
              <w:rPr>
                <w:rFonts w:eastAsia="SimSun" w:cs="Arial"/>
                <w:sz w:val="16"/>
                <w:szCs w:val="16"/>
                <w:lang w:eastAsia="zh-CN"/>
              </w:rPr>
              <w:t>Data not available (WBO)</w:t>
            </w:r>
          </w:p>
          <w:p w:rsidR="00805A5E" w:rsidRDefault="00805A5E" w:rsidP="00547ACE">
            <w:pPr>
              <w:spacing w:after="120"/>
              <w:rPr>
                <w:rFonts w:eastAsia="SimSun" w:cs="Arial"/>
                <w:sz w:val="16"/>
                <w:szCs w:val="16"/>
                <w:lang w:eastAsia="zh-CN"/>
              </w:rPr>
            </w:pPr>
            <w:r w:rsidRPr="00DC4314">
              <w:rPr>
                <w:rFonts w:eastAsia="SimSun" w:cs="Arial"/>
                <w:sz w:val="16"/>
                <w:szCs w:val="16"/>
                <w:lang w:eastAsia="zh-CN"/>
              </w:rPr>
              <w:t>Response prepared within 3 working days in 9</w:t>
            </w:r>
            <w:r>
              <w:rPr>
                <w:rFonts w:eastAsia="SimSun" w:cs="Arial"/>
                <w:sz w:val="16"/>
                <w:szCs w:val="16"/>
                <w:lang w:eastAsia="zh-CN"/>
              </w:rPr>
              <w:t>9</w:t>
            </w:r>
            <w:r w:rsidRPr="00DC4314">
              <w:rPr>
                <w:rFonts w:eastAsia="SimSun" w:cs="Arial"/>
                <w:sz w:val="16"/>
                <w:szCs w:val="16"/>
                <w:lang w:eastAsia="zh-CN"/>
              </w:rPr>
              <w:t>% of cases</w:t>
            </w:r>
            <w:r>
              <w:rPr>
                <w:rFonts w:eastAsia="SimSun" w:cs="Arial"/>
                <w:sz w:val="16"/>
                <w:szCs w:val="16"/>
                <w:lang w:eastAsia="zh-CN"/>
              </w:rPr>
              <w:t xml:space="preserve"> (WJO)</w:t>
            </w:r>
          </w:p>
          <w:p w:rsidR="00805A5E" w:rsidRPr="00B35AFA" w:rsidRDefault="00805A5E" w:rsidP="00547ACE">
            <w:pPr>
              <w:spacing w:after="120"/>
              <w:rPr>
                <w:rFonts w:eastAsia="SimSun" w:cs="Arial"/>
                <w:sz w:val="16"/>
                <w:szCs w:val="16"/>
                <w:lang w:eastAsia="zh-CN"/>
              </w:rPr>
            </w:pPr>
            <w:r>
              <w:rPr>
                <w:rFonts w:eastAsia="SimSun" w:cs="Arial"/>
                <w:sz w:val="16"/>
                <w:szCs w:val="16"/>
                <w:lang w:eastAsia="zh-CN"/>
              </w:rPr>
              <w:t>Responses prepared within 3 working days in 95% of cases (WSO)</w:t>
            </w:r>
          </w:p>
        </w:tc>
        <w:tc>
          <w:tcPr>
            <w:tcW w:w="486" w:type="pct"/>
            <w:gridSpan w:val="2"/>
            <w:tcBorders>
              <w:top w:val="single" w:sz="4" w:space="0" w:color="auto"/>
              <w:left w:val="nil"/>
              <w:bottom w:val="single" w:sz="4" w:space="0" w:color="auto"/>
              <w:right w:val="single" w:sz="4" w:space="0" w:color="auto"/>
            </w:tcBorders>
            <w:shd w:val="clear" w:color="auto" w:fill="auto"/>
            <w:tcMar>
              <w:top w:w="110" w:type="dxa"/>
            </w:tcMar>
          </w:tcPr>
          <w:p w:rsidR="00805A5E" w:rsidRPr="00FF28A3" w:rsidRDefault="00805A5E" w:rsidP="00547ACE">
            <w:pPr>
              <w:keepNext/>
              <w:keepLines/>
              <w:ind w:left="-117" w:right="20"/>
              <w:jc w:val="center"/>
              <w:rPr>
                <w:rFonts w:eastAsia="SimSun" w:cs="Arial"/>
                <w:b/>
                <w:bCs/>
                <w:color w:val="808080"/>
                <w:sz w:val="14"/>
                <w:szCs w:val="14"/>
                <w:lang w:eastAsia="zh-CN"/>
              </w:rPr>
            </w:pPr>
            <w:r w:rsidRPr="00B008F1">
              <w:rPr>
                <w:rFonts w:eastAsia="SimSun" w:cs="Arial"/>
                <w:b/>
                <w:bCs/>
                <w:color w:val="808080" w:themeColor="background1" w:themeShade="80"/>
                <w:sz w:val="14"/>
                <w:szCs w:val="14"/>
                <w:lang w:eastAsia="zh-CN"/>
              </w:rPr>
              <w:t>Not Assessable</w:t>
            </w:r>
          </w:p>
          <w:p w:rsidR="00805A5E" w:rsidRPr="00B008F1" w:rsidRDefault="00805A5E" w:rsidP="00547ACE">
            <w:pPr>
              <w:keepNext/>
              <w:keepLines/>
              <w:ind w:left="-117" w:right="20"/>
              <w:jc w:val="center"/>
              <w:rPr>
                <w:rFonts w:eastAsia="SimSun" w:cs="Arial"/>
                <w:b/>
                <w:bCs/>
                <w:color w:val="808080" w:themeColor="background1" w:themeShade="80"/>
                <w:sz w:val="14"/>
                <w:szCs w:val="14"/>
                <w:lang w:eastAsia="zh-CN"/>
              </w:rPr>
            </w:pPr>
            <w:r w:rsidRPr="00B008F1">
              <w:rPr>
                <w:rFonts w:eastAsia="SimSun" w:cs="Arial"/>
                <w:b/>
                <w:bCs/>
                <w:color w:val="808080" w:themeColor="background1" w:themeShade="80"/>
                <w:sz w:val="14"/>
                <w:szCs w:val="14"/>
                <w:lang w:eastAsia="zh-CN"/>
              </w:rPr>
              <w:t>Not Assessable</w:t>
            </w:r>
          </w:p>
          <w:p w:rsidR="00805A5E" w:rsidRPr="00FB41E8" w:rsidRDefault="00805A5E" w:rsidP="00547ACE">
            <w:pPr>
              <w:keepNext/>
              <w:keepLines/>
              <w:ind w:left="-117" w:right="20"/>
              <w:jc w:val="center"/>
              <w:rPr>
                <w:rFonts w:eastAsia="SimSun" w:cs="Arial"/>
                <w:b/>
                <w:bCs/>
                <w:color w:val="00B050"/>
                <w:sz w:val="12"/>
                <w:szCs w:val="16"/>
                <w:lang w:eastAsia="zh-CN"/>
              </w:rPr>
            </w:pPr>
          </w:p>
          <w:p w:rsidR="00805A5E" w:rsidRPr="00FF28A3" w:rsidRDefault="00805A5E" w:rsidP="00547ACE">
            <w:pPr>
              <w:keepNext/>
              <w:keepLines/>
              <w:ind w:left="-117" w:right="20"/>
              <w:jc w:val="center"/>
              <w:rPr>
                <w:rFonts w:eastAsia="SimSun" w:cs="Arial"/>
                <w:b/>
                <w:bCs/>
                <w:color w:val="808080"/>
                <w:sz w:val="16"/>
                <w:szCs w:val="16"/>
                <w:lang w:eastAsia="zh-CN"/>
              </w:rPr>
            </w:pPr>
            <w:r w:rsidRPr="00FF28A3">
              <w:rPr>
                <w:rFonts w:eastAsia="SimSun" w:cs="Arial"/>
                <w:b/>
                <w:bCs/>
                <w:color w:val="00B050"/>
                <w:sz w:val="16"/>
                <w:szCs w:val="16"/>
                <w:lang w:eastAsia="zh-CN"/>
              </w:rPr>
              <w:t xml:space="preserve">Fully </w:t>
            </w:r>
            <w:r>
              <w:rPr>
                <w:rFonts w:eastAsia="SimSun" w:cs="Arial"/>
                <w:b/>
                <w:bCs/>
                <w:color w:val="00B050"/>
                <w:sz w:val="16"/>
                <w:szCs w:val="16"/>
                <w:lang w:eastAsia="zh-CN"/>
              </w:rPr>
              <w:t>A</w:t>
            </w:r>
            <w:r w:rsidRPr="00FF28A3">
              <w:rPr>
                <w:rFonts w:eastAsia="SimSun" w:cs="Arial"/>
                <w:b/>
                <w:bCs/>
                <w:color w:val="00B050"/>
                <w:sz w:val="16"/>
                <w:szCs w:val="16"/>
                <w:lang w:eastAsia="zh-CN"/>
              </w:rPr>
              <w:t>chieved</w:t>
            </w:r>
          </w:p>
        </w:tc>
      </w:tr>
      <w:tr w:rsidR="00805A5E" w:rsidRPr="00B35AFA" w:rsidTr="00547ACE">
        <w:tc>
          <w:tcPr>
            <w:tcW w:w="5000" w:type="pct"/>
            <w:gridSpan w:val="17"/>
            <w:tcBorders>
              <w:top w:val="single" w:sz="4" w:space="0" w:color="auto"/>
              <w:bottom w:val="single" w:sz="4" w:space="0" w:color="auto"/>
            </w:tcBorders>
            <w:shd w:val="clear" w:color="auto" w:fill="C6D9F1" w:themeFill="text2" w:themeFillTint="33"/>
          </w:tcPr>
          <w:p w:rsidR="00805A5E" w:rsidRPr="00FF28A3" w:rsidRDefault="00805A5E" w:rsidP="00547ACE">
            <w:pPr>
              <w:keepNext/>
              <w:keepLines/>
              <w:tabs>
                <w:tab w:val="left" w:pos="1452"/>
              </w:tabs>
              <w:spacing w:before="120" w:after="120"/>
              <w:ind w:left="1452" w:hanging="1452"/>
              <w:rPr>
                <w:rFonts w:eastAsia="SimSun" w:cs="Arial"/>
                <w:b/>
                <w:bCs/>
                <w:color w:val="808080"/>
                <w:sz w:val="16"/>
                <w:szCs w:val="16"/>
                <w:lang w:eastAsia="zh-CN"/>
              </w:rPr>
            </w:pPr>
            <w:r w:rsidRPr="000D3F45">
              <w:rPr>
                <w:rFonts w:eastAsia="SimSun" w:cs="Arial"/>
                <w:b/>
                <w:bCs/>
                <w:sz w:val="16"/>
                <w:szCs w:val="16"/>
                <w:lang w:eastAsia="zh-CN"/>
              </w:rPr>
              <w:t>Expected Result:</w:t>
            </w:r>
            <w:r w:rsidRPr="000D3F45">
              <w:rPr>
                <w:rFonts w:eastAsia="SimSun" w:cs="Arial"/>
                <w:b/>
                <w:bCs/>
                <w:sz w:val="16"/>
                <w:szCs w:val="16"/>
                <w:lang w:eastAsia="zh-CN"/>
              </w:rPr>
              <w:tab/>
            </w:r>
            <w:r w:rsidRPr="007A3976">
              <w:rPr>
                <w:rFonts w:eastAsia="SimSun" w:cs="Arial"/>
                <w:bCs/>
                <w:sz w:val="16"/>
                <w:szCs w:val="16"/>
                <w:lang w:eastAsia="zh-CN"/>
              </w:rPr>
              <w:t>VIII.4 Open, transparent and responsive interaction with non-governmental stakeholders</w:t>
            </w:r>
          </w:p>
        </w:tc>
      </w:tr>
      <w:tr w:rsidR="00805A5E" w:rsidRPr="00B35AFA" w:rsidTr="00547ACE">
        <w:tc>
          <w:tcPr>
            <w:tcW w:w="1114" w:type="pct"/>
            <w:tcBorders>
              <w:top w:val="single" w:sz="4" w:space="0" w:color="auto"/>
              <w:left w:val="single" w:sz="4" w:space="0" w:color="auto"/>
              <w:bottom w:val="nil"/>
              <w:right w:val="nil"/>
            </w:tcBorders>
            <w:shd w:val="clear" w:color="auto" w:fill="auto"/>
          </w:tcPr>
          <w:p w:rsidR="00805A5E" w:rsidRPr="0097448D" w:rsidRDefault="00805A5E" w:rsidP="00547ACE">
            <w:pPr>
              <w:rPr>
                <w:rFonts w:eastAsia="SimSun" w:cs="Arial"/>
                <w:color w:val="000000"/>
                <w:sz w:val="16"/>
                <w:szCs w:val="16"/>
                <w:lang w:eastAsia="zh-CN"/>
              </w:rPr>
            </w:pPr>
            <w:r w:rsidRPr="00B35AFA">
              <w:rPr>
                <w:rFonts w:eastAsia="SimSun" w:cs="Arial"/>
                <w:b/>
                <w:bCs/>
                <w:sz w:val="16"/>
                <w:szCs w:val="16"/>
                <w:lang w:eastAsia="zh-CN"/>
              </w:rPr>
              <w:t>Performance Indicators</w:t>
            </w:r>
          </w:p>
        </w:tc>
        <w:tc>
          <w:tcPr>
            <w:tcW w:w="923" w:type="pct"/>
            <w:gridSpan w:val="2"/>
            <w:tcBorders>
              <w:top w:val="single" w:sz="4" w:space="0" w:color="auto"/>
              <w:left w:val="nil"/>
              <w:bottom w:val="nil"/>
              <w:right w:val="nil"/>
            </w:tcBorders>
            <w:shd w:val="clear" w:color="auto" w:fill="auto"/>
          </w:tcPr>
          <w:p w:rsidR="00805A5E" w:rsidRDefault="00805A5E" w:rsidP="00547ACE">
            <w:pPr>
              <w:rPr>
                <w:rFonts w:cs="Arial"/>
                <w:i/>
                <w:color w:val="002060"/>
                <w:sz w:val="16"/>
                <w:szCs w:val="16"/>
              </w:rPr>
            </w:pPr>
            <w:r w:rsidRPr="00B35AFA">
              <w:rPr>
                <w:rFonts w:cs="Arial"/>
                <w:b/>
                <w:bCs/>
                <w:sz w:val="16"/>
                <w:szCs w:val="16"/>
              </w:rPr>
              <w:t>Baselines</w:t>
            </w:r>
          </w:p>
        </w:tc>
        <w:tc>
          <w:tcPr>
            <w:tcW w:w="900" w:type="pct"/>
            <w:gridSpan w:val="6"/>
            <w:tcBorders>
              <w:top w:val="single" w:sz="4" w:space="0" w:color="auto"/>
              <w:left w:val="nil"/>
              <w:bottom w:val="nil"/>
              <w:right w:val="nil"/>
            </w:tcBorders>
            <w:shd w:val="clear" w:color="auto" w:fill="auto"/>
            <w:tcMar>
              <w:top w:w="110" w:type="dxa"/>
            </w:tcMar>
          </w:tcPr>
          <w:p w:rsidR="00805A5E" w:rsidRPr="0097448D" w:rsidRDefault="00805A5E" w:rsidP="00547ACE">
            <w:pPr>
              <w:rPr>
                <w:rFonts w:eastAsia="SimSun" w:cs="Arial"/>
                <w:sz w:val="16"/>
                <w:szCs w:val="16"/>
                <w:lang w:eastAsia="zh-CN"/>
              </w:rPr>
            </w:pPr>
            <w:r w:rsidRPr="00B35AFA">
              <w:rPr>
                <w:rFonts w:cs="Arial"/>
                <w:b/>
                <w:sz w:val="16"/>
                <w:szCs w:val="16"/>
              </w:rPr>
              <w:t>Targets</w:t>
            </w:r>
          </w:p>
        </w:tc>
        <w:tc>
          <w:tcPr>
            <w:tcW w:w="1572" w:type="pct"/>
            <w:gridSpan w:val="5"/>
            <w:tcBorders>
              <w:top w:val="single" w:sz="4" w:space="0" w:color="auto"/>
              <w:left w:val="nil"/>
              <w:bottom w:val="nil"/>
              <w:right w:val="nil"/>
            </w:tcBorders>
            <w:shd w:val="clear" w:color="auto" w:fill="FFFFFF"/>
            <w:tcMar>
              <w:top w:w="110" w:type="dxa"/>
            </w:tcMar>
          </w:tcPr>
          <w:p w:rsidR="00805A5E" w:rsidRPr="00B35AFA" w:rsidRDefault="00805A5E" w:rsidP="00547ACE">
            <w:pPr>
              <w:rPr>
                <w:rFonts w:eastAsia="SimSun" w:cs="Arial"/>
                <w:sz w:val="16"/>
                <w:szCs w:val="16"/>
                <w:lang w:eastAsia="zh-CN"/>
              </w:rPr>
            </w:pPr>
            <w:r w:rsidRPr="00B35AFA">
              <w:rPr>
                <w:rFonts w:eastAsia="SimSun" w:cs="Arial"/>
                <w:b/>
                <w:bCs/>
                <w:sz w:val="16"/>
                <w:szCs w:val="16"/>
                <w:lang w:eastAsia="zh-CN"/>
              </w:rPr>
              <w:t>Performance Data</w:t>
            </w:r>
          </w:p>
        </w:tc>
        <w:tc>
          <w:tcPr>
            <w:tcW w:w="490" w:type="pct"/>
            <w:gridSpan w:val="3"/>
            <w:tcBorders>
              <w:top w:val="single" w:sz="4" w:space="0" w:color="auto"/>
              <w:left w:val="nil"/>
              <w:bottom w:val="nil"/>
              <w:right w:val="single" w:sz="4" w:space="0" w:color="auto"/>
            </w:tcBorders>
            <w:shd w:val="clear" w:color="auto" w:fill="auto"/>
            <w:tcMar>
              <w:top w:w="110" w:type="dxa"/>
            </w:tcMar>
          </w:tcPr>
          <w:p w:rsidR="00805A5E" w:rsidRPr="00FF28A3" w:rsidRDefault="00805A5E" w:rsidP="00547ACE">
            <w:pPr>
              <w:keepNext/>
              <w:keepLines/>
              <w:ind w:left="71" w:right="20"/>
              <w:jc w:val="center"/>
              <w:rPr>
                <w:rFonts w:eastAsia="SimSun" w:cs="Arial"/>
                <w:b/>
                <w:bCs/>
                <w:color w:val="808080"/>
                <w:sz w:val="16"/>
                <w:szCs w:val="16"/>
                <w:lang w:eastAsia="zh-CN"/>
              </w:rPr>
            </w:pPr>
            <w:r w:rsidRPr="000D3F45">
              <w:rPr>
                <w:rFonts w:eastAsia="SimSun" w:cs="Arial"/>
                <w:b/>
                <w:bCs/>
                <w:sz w:val="16"/>
                <w:szCs w:val="16"/>
                <w:lang w:eastAsia="zh-CN"/>
              </w:rPr>
              <w:t>TLS</w:t>
            </w:r>
          </w:p>
        </w:tc>
      </w:tr>
      <w:tr w:rsidR="00805A5E" w:rsidRPr="00B35AFA" w:rsidTr="00547ACE">
        <w:tc>
          <w:tcPr>
            <w:tcW w:w="1114" w:type="pct"/>
            <w:tcBorders>
              <w:top w:val="nil"/>
              <w:left w:val="single" w:sz="4" w:space="0" w:color="auto"/>
              <w:bottom w:val="single" w:sz="4" w:space="0" w:color="auto"/>
              <w:right w:val="nil"/>
            </w:tcBorders>
            <w:shd w:val="clear" w:color="auto" w:fill="auto"/>
          </w:tcPr>
          <w:p w:rsidR="00805A5E" w:rsidRPr="0097448D" w:rsidRDefault="00805A5E" w:rsidP="00547ACE">
            <w:pPr>
              <w:rPr>
                <w:rFonts w:eastAsia="SimSun" w:cs="Arial"/>
                <w:color w:val="000000"/>
                <w:sz w:val="16"/>
                <w:szCs w:val="16"/>
                <w:lang w:eastAsia="zh-CN"/>
              </w:rPr>
            </w:pPr>
            <w:r w:rsidRPr="0097448D">
              <w:rPr>
                <w:rFonts w:eastAsia="SimSun" w:cs="Arial"/>
                <w:color w:val="000000"/>
                <w:sz w:val="16"/>
                <w:szCs w:val="16"/>
                <w:lang w:eastAsia="zh-CN"/>
              </w:rPr>
              <w:t>Increased, effective engagement of non-governmental stakeholders at WIPO events and vice-versa</w:t>
            </w:r>
          </w:p>
        </w:tc>
        <w:tc>
          <w:tcPr>
            <w:tcW w:w="923" w:type="pct"/>
            <w:gridSpan w:val="2"/>
            <w:tcBorders>
              <w:top w:val="nil"/>
              <w:left w:val="nil"/>
              <w:bottom w:val="single" w:sz="4" w:space="0" w:color="auto"/>
              <w:right w:val="nil"/>
            </w:tcBorders>
            <w:shd w:val="clear" w:color="auto" w:fill="auto"/>
          </w:tcPr>
          <w:p w:rsidR="00805A5E" w:rsidRDefault="00805A5E" w:rsidP="00547ACE">
            <w:pPr>
              <w:spacing w:after="160"/>
              <w:rPr>
                <w:rFonts w:cs="Arial"/>
                <w:i/>
                <w:color w:val="002060"/>
                <w:sz w:val="16"/>
                <w:szCs w:val="16"/>
              </w:rPr>
            </w:pPr>
            <w:r>
              <w:rPr>
                <w:rFonts w:cs="Arial"/>
                <w:i/>
                <w:color w:val="002060"/>
                <w:sz w:val="16"/>
                <w:szCs w:val="16"/>
              </w:rPr>
              <w:t>Updated Baseline end 2013</w:t>
            </w:r>
            <w:r w:rsidRPr="00B35AFA">
              <w:rPr>
                <w:rFonts w:cs="Arial"/>
                <w:i/>
                <w:color w:val="002060"/>
                <w:sz w:val="16"/>
                <w:szCs w:val="16"/>
              </w:rPr>
              <w:t xml:space="preserve">:  </w:t>
            </w:r>
          </w:p>
          <w:p w:rsidR="00805A5E" w:rsidRPr="0097448D" w:rsidRDefault="00805A5E" w:rsidP="00547ACE">
            <w:pPr>
              <w:spacing w:after="160"/>
              <w:rPr>
                <w:rFonts w:cs="Arial"/>
                <w:color w:val="002060"/>
                <w:sz w:val="16"/>
                <w:szCs w:val="16"/>
              </w:rPr>
            </w:pPr>
            <w:r w:rsidRPr="0097448D">
              <w:rPr>
                <w:rFonts w:cs="Arial"/>
                <w:color w:val="002060"/>
                <w:sz w:val="16"/>
                <w:szCs w:val="16"/>
              </w:rPr>
              <w:t>As at December 31, 2013, 227 representatives of permanently accredited non-governmental organizations observers attended WIPO committee meetings</w:t>
            </w:r>
          </w:p>
          <w:p w:rsidR="00805A5E" w:rsidRDefault="00805A5E" w:rsidP="00547ACE">
            <w:pPr>
              <w:rPr>
                <w:rFonts w:cs="Arial"/>
                <w:i/>
                <w:color w:val="002060"/>
                <w:sz w:val="16"/>
                <w:szCs w:val="16"/>
              </w:rPr>
            </w:pPr>
            <w:r>
              <w:rPr>
                <w:rFonts w:cs="Arial"/>
                <w:i/>
                <w:sz w:val="16"/>
                <w:szCs w:val="16"/>
              </w:rPr>
              <w:t xml:space="preserve">Original Baseline P&amp;B 2014/15: </w:t>
            </w:r>
            <w:r w:rsidRPr="0097448D">
              <w:rPr>
                <w:rFonts w:cs="Arial"/>
                <w:sz w:val="16"/>
                <w:szCs w:val="16"/>
              </w:rPr>
              <w:t>tbd</w:t>
            </w:r>
          </w:p>
        </w:tc>
        <w:tc>
          <w:tcPr>
            <w:tcW w:w="900" w:type="pct"/>
            <w:gridSpan w:val="6"/>
            <w:tcBorders>
              <w:top w:val="nil"/>
              <w:left w:val="nil"/>
              <w:bottom w:val="single" w:sz="4" w:space="0" w:color="auto"/>
              <w:right w:val="nil"/>
            </w:tcBorders>
            <w:shd w:val="clear" w:color="auto" w:fill="auto"/>
            <w:tcMar>
              <w:top w:w="110" w:type="dxa"/>
            </w:tcMar>
          </w:tcPr>
          <w:p w:rsidR="00805A5E" w:rsidRDefault="00805A5E" w:rsidP="00547ACE">
            <w:pPr>
              <w:rPr>
                <w:rFonts w:eastAsia="SimSun" w:cs="Arial"/>
                <w:sz w:val="16"/>
                <w:szCs w:val="16"/>
                <w:lang w:eastAsia="zh-CN"/>
              </w:rPr>
            </w:pPr>
            <w:r w:rsidRPr="0097448D">
              <w:rPr>
                <w:rFonts w:eastAsia="SimSun" w:cs="Arial"/>
                <w:sz w:val="16"/>
                <w:szCs w:val="16"/>
                <w:lang w:eastAsia="zh-CN"/>
              </w:rPr>
              <w:t>10% increase in engagement of diverse stakeholders</w:t>
            </w:r>
          </w:p>
          <w:p w:rsidR="00805A5E" w:rsidRPr="0097448D" w:rsidRDefault="00805A5E" w:rsidP="00547ACE">
            <w:pPr>
              <w:rPr>
                <w:rFonts w:eastAsia="SimSun" w:cs="Arial"/>
                <w:sz w:val="16"/>
                <w:szCs w:val="16"/>
                <w:lang w:eastAsia="zh-CN"/>
              </w:rPr>
            </w:pPr>
          </w:p>
        </w:tc>
        <w:tc>
          <w:tcPr>
            <w:tcW w:w="1572" w:type="pct"/>
            <w:gridSpan w:val="5"/>
            <w:tcBorders>
              <w:top w:val="nil"/>
              <w:left w:val="nil"/>
              <w:bottom w:val="single" w:sz="4" w:space="0" w:color="auto"/>
              <w:right w:val="nil"/>
            </w:tcBorders>
            <w:shd w:val="clear" w:color="auto" w:fill="FFFFFF"/>
            <w:tcMar>
              <w:top w:w="110" w:type="dxa"/>
            </w:tcMar>
          </w:tcPr>
          <w:p w:rsidR="00805A5E" w:rsidRPr="00BD6BF7" w:rsidRDefault="00805A5E" w:rsidP="00547ACE">
            <w:pPr>
              <w:rPr>
                <w:rFonts w:eastAsia="SimSun" w:cs="Arial"/>
                <w:sz w:val="16"/>
                <w:szCs w:val="16"/>
                <w:lang w:eastAsia="zh-CN"/>
              </w:rPr>
            </w:pPr>
            <w:r w:rsidRPr="00BD6BF7">
              <w:rPr>
                <w:rFonts w:eastAsia="SimSun" w:cs="Arial"/>
                <w:sz w:val="16"/>
                <w:szCs w:val="16"/>
                <w:lang w:eastAsia="zh-CN"/>
              </w:rPr>
              <w:t>In 2014, 292 representatives of permanently accredited NGOs attended WIPO committee meetings</w:t>
            </w:r>
            <w:r>
              <w:rPr>
                <w:rFonts w:eastAsia="SimSun" w:cs="Arial"/>
                <w:sz w:val="16"/>
                <w:szCs w:val="16"/>
                <w:lang w:eastAsia="zh-CN"/>
              </w:rPr>
              <w:t xml:space="preserve"> (13)</w:t>
            </w:r>
            <w:r w:rsidRPr="00BD6BF7">
              <w:rPr>
                <w:rFonts w:eastAsia="SimSun" w:cs="Arial"/>
                <w:sz w:val="16"/>
                <w:szCs w:val="16"/>
                <w:lang w:eastAsia="zh-CN"/>
              </w:rPr>
              <w:t>, which comprised 71.4</w:t>
            </w:r>
            <w:r>
              <w:rPr>
                <w:rFonts w:eastAsia="SimSun" w:cs="Arial"/>
                <w:sz w:val="16"/>
                <w:szCs w:val="16"/>
                <w:lang w:eastAsia="zh-CN"/>
              </w:rPr>
              <w:t xml:space="preserve"> per cent</w:t>
            </w:r>
            <w:r w:rsidRPr="00BD6BF7">
              <w:rPr>
                <w:rFonts w:eastAsia="SimSun" w:cs="Arial"/>
                <w:sz w:val="16"/>
                <w:szCs w:val="16"/>
                <w:lang w:eastAsia="zh-CN"/>
              </w:rPr>
              <w:t xml:space="preserve"> of the total number of observers present at those meetings.</w:t>
            </w:r>
          </w:p>
          <w:p w:rsidR="00805A5E" w:rsidRPr="00BD6BF7" w:rsidRDefault="00805A5E" w:rsidP="00547ACE">
            <w:pPr>
              <w:rPr>
                <w:rFonts w:eastAsia="SimSun" w:cs="Arial"/>
                <w:sz w:val="16"/>
                <w:szCs w:val="16"/>
                <w:lang w:eastAsia="zh-CN"/>
              </w:rPr>
            </w:pPr>
          </w:p>
          <w:p w:rsidR="00805A5E" w:rsidRPr="0097448D" w:rsidRDefault="00805A5E" w:rsidP="00547ACE">
            <w:pPr>
              <w:rPr>
                <w:rFonts w:eastAsia="SimSun" w:cs="Arial"/>
                <w:sz w:val="16"/>
                <w:szCs w:val="16"/>
                <w:lang w:eastAsia="zh-CN"/>
              </w:rPr>
            </w:pPr>
            <w:r w:rsidRPr="00BD6BF7">
              <w:rPr>
                <w:rFonts w:eastAsia="SimSun" w:cs="Arial"/>
                <w:sz w:val="16"/>
                <w:szCs w:val="16"/>
                <w:lang w:eastAsia="zh-CN"/>
              </w:rPr>
              <w:t>In 2015, 196 representatives of permanently accredited NGOs attended WIPO committee meetings, which comprised 85.3</w:t>
            </w:r>
            <w:r>
              <w:rPr>
                <w:rFonts w:eastAsia="SimSun" w:cs="Arial"/>
                <w:sz w:val="16"/>
                <w:szCs w:val="16"/>
                <w:lang w:eastAsia="zh-CN"/>
              </w:rPr>
              <w:t xml:space="preserve"> per cent</w:t>
            </w:r>
            <w:r w:rsidRPr="00BD6BF7">
              <w:rPr>
                <w:rFonts w:eastAsia="SimSun" w:cs="Arial"/>
                <w:sz w:val="16"/>
                <w:szCs w:val="16"/>
                <w:lang w:eastAsia="zh-CN"/>
              </w:rPr>
              <w:t xml:space="preserve"> of the total number of observers present at those meetings, resulting in a 13.9</w:t>
            </w:r>
            <w:r>
              <w:rPr>
                <w:rFonts w:eastAsia="SimSun" w:cs="Arial"/>
                <w:sz w:val="16"/>
                <w:szCs w:val="16"/>
                <w:lang w:eastAsia="zh-CN"/>
              </w:rPr>
              <w:t xml:space="preserve"> percentage point</w:t>
            </w:r>
            <w:r w:rsidRPr="00BD6BF7">
              <w:rPr>
                <w:rFonts w:eastAsia="SimSun" w:cs="Arial"/>
                <w:sz w:val="16"/>
                <w:szCs w:val="16"/>
                <w:lang w:eastAsia="zh-CN"/>
              </w:rPr>
              <w:t xml:space="preserve"> increase over 2014</w:t>
            </w:r>
          </w:p>
        </w:tc>
        <w:tc>
          <w:tcPr>
            <w:tcW w:w="490" w:type="pct"/>
            <w:gridSpan w:val="3"/>
            <w:tcBorders>
              <w:top w:val="nil"/>
              <w:left w:val="nil"/>
              <w:bottom w:val="single" w:sz="4" w:space="0" w:color="auto"/>
              <w:right w:val="single" w:sz="4" w:space="0" w:color="auto"/>
            </w:tcBorders>
            <w:shd w:val="clear" w:color="auto" w:fill="auto"/>
            <w:tcMar>
              <w:top w:w="110" w:type="dxa"/>
            </w:tcMar>
          </w:tcPr>
          <w:p w:rsidR="00805A5E" w:rsidRPr="00FF28A3" w:rsidRDefault="00805A5E" w:rsidP="00547ACE">
            <w:pPr>
              <w:keepNext/>
              <w:keepLines/>
              <w:ind w:left="-107" w:right="20"/>
              <w:jc w:val="center"/>
              <w:rPr>
                <w:rFonts w:eastAsia="SimSun" w:cs="Arial"/>
                <w:b/>
                <w:bCs/>
                <w:color w:val="00B050"/>
                <w:sz w:val="16"/>
                <w:szCs w:val="16"/>
                <w:lang w:eastAsia="zh-CN"/>
              </w:rPr>
            </w:pPr>
            <w:r w:rsidRPr="00FF28A3">
              <w:rPr>
                <w:rFonts w:eastAsia="SimSun" w:cs="Arial"/>
                <w:b/>
                <w:bCs/>
                <w:color w:val="00B050"/>
                <w:sz w:val="16"/>
                <w:szCs w:val="16"/>
                <w:lang w:eastAsia="zh-CN"/>
              </w:rPr>
              <w:t xml:space="preserve">Fully </w:t>
            </w:r>
            <w:r>
              <w:rPr>
                <w:rFonts w:eastAsia="SimSun" w:cs="Arial"/>
                <w:b/>
                <w:bCs/>
                <w:color w:val="00B050"/>
                <w:sz w:val="16"/>
                <w:szCs w:val="16"/>
                <w:lang w:eastAsia="zh-CN"/>
              </w:rPr>
              <w:t>A</w:t>
            </w:r>
            <w:r w:rsidRPr="00FF28A3">
              <w:rPr>
                <w:rFonts w:eastAsia="SimSun" w:cs="Arial"/>
                <w:b/>
                <w:bCs/>
                <w:color w:val="00B050"/>
                <w:sz w:val="16"/>
                <w:szCs w:val="16"/>
                <w:lang w:eastAsia="zh-CN"/>
              </w:rPr>
              <w:t>chieved</w:t>
            </w:r>
          </w:p>
        </w:tc>
      </w:tr>
      <w:tr w:rsidR="00805A5E" w:rsidRPr="00B35AFA" w:rsidTr="00547ACE">
        <w:tc>
          <w:tcPr>
            <w:tcW w:w="5000" w:type="pct"/>
            <w:gridSpan w:val="17"/>
            <w:tcBorders>
              <w:top w:val="single" w:sz="4" w:space="0" w:color="auto"/>
              <w:bottom w:val="single" w:sz="4" w:space="0" w:color="auto"/>
            </w:tcBorders>
            <w:shd w:val="clear" w:color="auto" w:fill="C6D9F1" w:themeFill="text2" w:themeFillTint="33"/>
          </w:tcPr>
          <w:p w:rsidR="00805A5E" w:rsidRPr="00FF28A3" w:rsidRDefault="00805A5E" w:rsidP="00547ACE">
            <w:pPr>
              <w:keepNext/>
              <w:keepLines/>
              <w:tabs>
                <w:tab w:val="left" w:pos="1452"/>
              </w:tabs>
              <w:spacing w:before="120" w:after="120"/>
              <w:ind w:left="1452" w:hanging="1452"/>
              <w:rPr>
                <w:rFonts w:eastAsia="SimSun" w:cs="Arial"/>
                <w:b/>
                <w:bCs/>
                <w:color w:val="808080"/>
                <w:sz w:val="16"/>
                <w:szCs w:val="16"/>
                <w:lang w:eastAsia="zh-CN"/>
              </w:rPr>
            </w:pPr>
            <w:r w:rsidRPr="000D3F45">
              <w:rPr>
                <w:rFonts w:eastAsia="SimSun" w:cs="Arial"/>
                <w:b/>
                <w:bCs/>
                <w:sz w:val="16"/>
                <w:szCs w:val="16"/>
                <w:lang w:eastAsia="zh-CN"/>
              </w:rPr>
              <w:t>Expected Result:</w:t>
            </w:r>
            <w:r w:rsidRPr="000D3F45">
              <w:rPr>
                <w:rFonts w:eastAsia="SimSun" w:cs="Arial"/>
                <w:b/>
                <w:bCs/>
                <w:sz w:val="16"/>
                <w:szCs w:val="16"/>
                <w:lang w:eastAsia="zh-CN"/>
              </w:rPr>
              <w:tab/>
            </w:r>
            <w:r w:rsidRPr="007A3976">
              <w:rPr>
                <w:rFonts w:eastAsia="SimSun" w:cs="Arial"/>
                <w:bCs/>
                <w:sz w:val="16"/>
                <w:szCs w:val="16"/>
                <w:lang w:eastAsia="zh-CN"/>
              </w:rPr>
              <w:t>VIII.5 WIPO effectively interacts and partners with UN and other IGO processes and negotiations</w:t>
            </w:r>
          </w:p>
        </w:tc>
      </w:tr>
      <w:tr w:rsidR="00805A5E" w:rsidRPr="00B35AFA" w:rsidTr="00547ACE">
        <w:tc>
          <w:tcPr>
            <w:tcW w:w="1114" w:type="pct"/>
            <w:tcBorders>
              <w:top w:val="single" w:sz="4" w:space="0" w:color="auto"/>
              <w:left w:val="single" w:sz="4" w:space="0" w:color="auto"/>
              <w:bottom w:val="nil"/>
              <w:right w:val="nil"/>
            </w:tcBorders>
            <w:shd w:val="clear" w:color="auto" w:fill="auto"/>
          </w:tcPr>
          <w:p w:rsidR="00805A5E" w:rsidRPr="0097448D" w:rsidRDefault="00805A5E" w:rsidP="00547ACE">
            <w:pPr>
              <w:rPr>
                <w:rFonts w:eastAsia="SimSun" w:cs="Arial"/>
                <w:color w:val="000000"/>
                <w:sz w:val="16"/>
                <w:szCs w:val="16"/>
                <w:lang w:eastAsia="zh-CN"/>
              </w:rPr>
            </w:pPr>
            <w:r w:rsidRPr="00B35AFA">
              <w:rPr>
                <w:rFonts w:eastAsia="SimSun" w:cs="Arial"/>
                <w:b/>
                <w:bCs/>
                <w:sz w:val="16"/>
                <w:szCs w:val="16"/>
                <w:lang w:eastAsia="zh-CN"/>
              </w:rPr>
              <w:t>Performance Indicators</w:t>
            </w:r>
          </w:p>
        </w:tc>
        <w:tc>
          <w:tcPr>
            <w:tcW w:w="923" w:type="pct"/>
            <w:gridSpan w:val="2"/>
            <w:tcBorders>
              <w:top w:val="single" w:sz="4" w:space="0" w:color="auto"/>
              <w:left w:val="nil"/>
              <w:bottom w:val="nil"/>
              <w:right w:val="nil"/>
            </w:tcBorders>
            <w:shd w:val="clear" w:color="auto" w:fill="auto"/>
          </w:tcPr>
          <w:p w:rsidR="00805A5E" w:rsidRDefault="00805A5E" w:rsidP="00547ACE">
            <w:pPr>
              <w:rPr>
                <w:rFonts w:cs="Arial"/>
                <w:i/>
                <w:color w:val="002060"/>
                <w:sz w:val="16"/>
                <w:szCs w:val="16"/>
              </w:rPr>
            </w:pPr>
            <w:r w:rsidRPr="00B35AFA">
              <w:rPr>
                <w:rFonts w:cs="Arial"/>
                <w:b/>
                <w:bCs/>
                <w:sz w:val="16"/>
                <w:szCs w:val="16"/>
              </w:rPr>
              <w:t>Baselines</w:t>
            </w:r>
          </w:p>
        </w:tc>
        <w:tc>
          <w:tcPr>
            <w:tcW w:w="900" w:type="pct"/>
            <w:gridSpan w:val="6"/>
            <w:tcBorders>
              <w:top w:val="single" w:sz="4" w:space="0" w:color="auto"/>
              <w:left w:val="nil"/>
              <w:bottom w:val="nil"/>
              <w:right w:val="nil"/>
            </w:tcBorders>
            <w:shd w:val="clear" w:color="auto" w:fill="auto"/>
            <w:tcMar>
              <w:top w:w="110" w:type="dxa"/>
            </w:tcMar>
          </w:tcPr>
          <w:p w:rsidR="00805A5E" w:rsidRPr="0097448D" w:rsidRDefault="00805A5E" w:rsidP="00547ACE">
            <w:pPr>
              <w:rPr>
                <w:rFonts w:eastAsia="SimSun" w:cs="Arial"/>
                <w:sz w:val="16"/>
                <w:szCs w:val="16"/>
                <w:lang w:eastAsia="zh-CN"/>
              </w:rPr>
            </w:pPr>
            <w:r w:rsidRPr="00B35AFA">
              <w:rPr>
                <w:rFonts w:cs="Arial"/>
                <w:b/>
                <w:sz w:val="16"/>
                <w:szCs w:val="16"/>
              </w:rPr>
              <w:t>Targets</w:t>
            </w:r>
          </w:p>
        </w:tc>
        <w:tc>
          <w:tcPr>
            <w:tcW w:w="1577" w:type="pct"/>
            <w:gridSpan w:val="6"/>
            <w:tcBorders>
              <w:top w:val="single" w:sz="4" w:space="0" w:color="auto"/>
              <w:left w:val="nil"/>
              <w:bottom w:val="nil"/>
              <w:right w:val="nil"/>
            </w:tcBorders>
            <w:shd w:val="clear" w:color="auto" w:fill="FFFFFF"/>
            <w:tcMar>
              <w:top w:w="110" w:type="dxa"/>
            </w:tcMar>
          </w:tcPr>
          <w:p w:rsidR="00805A5E" w:rsidRDefault="00805A5E" w:rsidP="00547ACE">
            <w:pPr>
              <w:rPr>
                <w:rFonts w:eastAsia="SimSun" w:cs="Arial"/>
                <w:sz w:val="16"/>
                <w:szCs w:val="16"/>
                <w:lang w:eastAsia="zh-CN"/>
              </w:rPr>
            </w:pPr>
            <w:r w:rsidRPr="00B35AFA">
              <w:rPr>
                <w:rFonts w:eastAsia="SimSun" w:cs="Arial"/>
                <w:b/>
                <w:bCs/>
                <w:sz w:val="16"/>
                <w:szCs w:val="16"/>
                <w:lang w:eastAsia="zh-CN"/>
              </w:rPr>
              <w:t>Performance Data</w:t>
            </w:r>
          </w:p>
        </w:tc>
        <w:tc>
          <w:tcPr>
            <w:tcW w:w="486" w:type="pct"/>
            <w:gridSpan w:val="2"/>
            <w:tcBorders>
              <w:top w:val="single" w:sz="4" w:space="0" w:color="auto"/>
              <w:left w:val="nil"/>
              <w:bottom w:val="nil"/>
              <w:right w:val="single" w:sz="4" w:space="0" w:color="auto"/>
            </w:tcBorders>
            <w:shd w:val="clear" w:color="auto" w:fill="auto"/>
            <w:tcMar>
              <w:top w:w="110" w:type="dxa"/>
            </w:tcMar>
          </w:tcPr>
          <w:p w:rsidR="00805A5E" w:rsidRPr="00FF28A3" w:rsidRDefault="00805A5E" w:rsidP="00547ACE">
            <w:pPr>
              <w:keepNext/>
              <w:keepLines/>
              <w:ind w:left="71" w:right="20"/>
              <w:jc w:val="center"/>
              <w:rPr>
                <w:rFonts w:eastAsia="SimSun" w:cs="Arial"/>
                <w:b/>
                <w:bCs/>
                <w:color w:val="808080"/>
                <w:sz w:val="16"/>
                <w:szCs w:val="16"/>
                <w:lang w:eastAsia="zh-CN"/>
              </w:rPr>
            </w:pPr>
            <w:r w:rsidRPr="000D3F45">
              <w:rPr>
                <w:rFonts w:eastAsia="SimSun" w:cs="Arial"/>
                <w:b/>
                <w:bCs/>
                <w:sz w:val="16"/>
                <w:szCs w:val="16"/>
                <w:lang w:eastAsia="zh-CN"/>
              </w:rPr>
              <w:t>TLS</w:t>
            </w:r>
          </w:p>
        </w:tc>
      </w:tr>
      <w:tr w:rsidR="00805A5E" w:rsidRPr="00B35AFA" w:rsidTr="00547ACE">
        <w:trPr>
          <w:trHeight w:val="1887"/>
        </w:trPr>
        <w:tc>
          <w:tcPr>
            <w:tcW w:w="1114" w:type="pct"/>
            <w:tcBorders>
              <w:top w:val="nil"/>
              <w:left w:val="single" w:sz="4" w:space="0" w:color="auto"/>
              <w:bottom w:val="nil"/>
              <w:right w:val="nil"/>
            </w:tcBorders>
            <w:shd w:val="clear" w:color="auto" w:fill="auto"/>
          </w:tcPr>
          <w:p w:rsidR="00805A5E" w:rsidRPr="0097448D" w:rsidRDefault="00805A5E" w:rsidP="00547ACE">
            <w:pPr>
              <w:rPr>
                <w:rFonts w:eastAsia="SimSun" w:cs="Arial"/>
                <w:color w:val="000000"/>
                <w:sz w:val="16"/>
                <w:szCs w:val="16"/>
                <w:lang w:eastAsia="zh-CN"/>
              </w:rPr>
            </w:pPr>
            <w:r w:rsidRPr="0097448D">
              <w:rPr>
                <w:rFonts w:eastAsia="SimSun" w:cs="Arial"/>
                <w:color w:val="000000"/>
                <w:sz w:val="16"/>
                <w:szCs w:val="16"/>
                <w:lang w:eastAsia="zh-CN"/>
              </w:rPr>
              <w:t>Use of WIPO's contribution in reports, resolutions and documents from targeted processes</w:t>
            </w:r>
          </w:p>
        </w:tc>
        <w:tc>
          <w:tcPr>
            <w:tcW w:w="923" w:type="pct"/>
            <w:gridSpan w:val="2"/>
            <w:tcBorders>
              <w:top w:val="nil"/>
              <w:left w:val="nil"/>
              <w:bottom w:val="nil"/>
              <w:right w:val="nil"/>
            </w:tcBorders>
            <w:shd w:val="clear" w:color="auto" w:fill="auto"/>
          </w:tcPr>
          <w:p w:rsidR="00805A5E" w:rsidRDefault="00805A5E" w:rsidP="00547ACE">
            <w:pPr>
              <w:rPr>
                <w:rFonts w:cs="Arial"/>
                <w:i/>
                <w:sz w:val="16"/>
                <w:szCs w:val="16"/>
              </w:rPr>
            </w:pPr>
            <w:r>
              <w:rPr>
                <w:rFonts w:cs="Arial"/>
                <w:i/>
                <w:color w:val="002060"/>
                <w:sz w:val="16"/>
                <w:szCs w:val="16"/>
              </w:rPr>
              <w:t>Updated Baseline end 2013</w:t>
            </w:r>
            <w:r w:rsidRPr="00B35AFA">
              <w:rPr>
                <w:rFonts w:cs="Arial"/>
                <w:i/>
                <w:color w:val="002060"/>
                <w:sz w:val="16"/>
                <w:szCs w:val="16"/>
              </w:rPr>
              <w:t xml:space="preserve">:  </w:t>
            </w:r>
            <w:r w:rsidRPr="0097448D">
              <w:rPr>
                <w:rFonts w:cs="Arial"/>
                <w:color w:val="002060"/>
                <w:sz w:val="16"/>
                <w:szCs w:val="16"/>
              </w:rPr>
              <w:t>38 submissions in 2012/13, all of which were satisfactorily reflected.</w:t>
            </w:r>
          </w:p>
          <w:p w:rsidR="00805A5E" w:rsidRDefault="00805A5E" w:rsidP="00547ACE">
            <w:pPr>
              <w:rPr>
                <w:rFonts w:cs="Arial"/>
                <w:i/>
                <w:sz w:val="16"/>
                <w:szCs w:val="16"/>
              </w:rPr>
            </w:pPr>
            <w:r>
              <w:rPr>
                <w:rFonts w:cs="Arial"/>
                <w:i/>
                <w:sz w:val="16"/>
                <w:szCs w:val="16"/>
              </w:rPr>
              <w:t xml:space="preserve">Original Baseline P&amp;B 2014/15: </w:t>
            </w:r>
          </w:p>
          <w:p w:rsidR="00805A5E" w:rsidRDefault="00805A5E" w:rsidP="00547ACE">
            <w:pPr>
              <w:rPr>
                <w:rFonts w:cs="Arial"/>
                <w:i/>
                <w:color w:val="002060"/>
                <w:sz w:val="16"/>
                <w:szCs w:val="16"/>
              </w:rPr>
            </w:pPr>
            <w:r w:rsidRPr="0097448D">
              <w:rPr>
                <w:rFonts w:cs="Arial"/>
                <w:sz w:val="16"/>
                <w:szCs w:val="16"/>
              </w:rPr>
              <w:t>20 out of 24 (end of</w:t>
            </w:r>
            <w:r>
              <w:rPr>
                <w:rFonts w:cs="Arial"/>
                <w:sz w:val="16"/>
                <w:szCs w:val="16"/>
              </w:rPr>
              <w:t xml:space="preserve"> </w:t>
            </w:r>
            <w:r w:rsidRPr="0097448D">
              <w:rPr>
                <w:rFonts w:cs="Arial"/>
                <w:sz w:val="16"/>
                <w:szCs w:val="16"/>
              </w:rPr>
              <w:t>2011)</w:t>
            </w:r>
          </w:p>
        </w:tc>
        <w:tc>
          <w:tcPr>
            <w:tcW w:w="900" w:type="pct"/>
            <w:gridSpan w:val="6"/>
            <w:tcBorders>
              <w:top w:val="nil"/>
              <w:left w:val="nil"/>
              <w:bottom w:val="nil"/>
              <w:right w:val="nil"/>
            </w:tcBorders>
            <w:shd w:val="clear" w:color="auto" w:fill="auto"/>
            <w:tcMar>
              <w:top w:w="110" w:type="dxa"/>
            </w:tcMar>
          </w:tcPr>
          <w:p w:rsidR="00805A5E" w:rsidRPr="00825E63" w:rsidRDefault="00805A5E" w:rsidP="00547ACE">
            <w:pPr>
              <w:rPr>
                <w:rFonts w:eastAsia="SimSun" w:cs="Arial"/>
                <w:sz w:val="16"/>
                <w:szCs w:val="16"/>
                <w:lang w:eastAsia="zh-CN"/>
              </w:rPr>
            </w:pPr>
            <w:r w:rsidRPr="00825E63">
              <w:rPr>
                <w:rFonts w:eastAsia="SimSun" w:cs="Arial"/>
                <w:sz w:val="16"/>
                <w:szCs w:val="16"/>
                <w:lang w:eastAsia="zh-CN"/>
              </w:rPr>
              <w:t>100% use</w:t>
            </w:r>
          </w:p>
        </w:tc>
        <w:tc>
          <w:tcPr>
            <w:tcW w:w="1577" w:type="pct"/>
            <w:gridSpan w:val="6"/>
            <w:tcBorders>
              <w:top w:val="nil"/>
              <w:left w:val="nil"/>
              <w:bottom w:val="nil"/>
              <w:right w:val="nil"/>
            </w:tcBorders>
            <w:shd w:val="clear" w:color="auto" w:fill="FFFFFF"/>
            <w:tcMar>
              <w:top w:w="110" w:type="dxa"/>
            </w:tcMar>
          </w:tcPr>
          <w:p w:rsidR="00805A5E" w:rsidRDefault="00805A5E" w:rsidP="00547ACE">
            <w:pPr>
              <w:rPr>
                <w:rFonts w:eastAsia="SimSun" w:cs="Arial"/>
                <w:sz w:val="16"/>
                <w:szCs w:val="16"/>
                <w:lang w:eastAsia="zh-CN"/>
              </w:rPr>
            </w:pPr>
            <w:r>
              <w:rPr>
                <w:rFonts w:eastAsia="SimSun" w:cs="Arial"/>
                <w:sz w:val="16"/>
                <w:szCs w:val="16"/>
                <w:lang w:eastAsia="zh-CN"/>
              </w:rPr>
              <w:t>33 submissions in 2014/15, all of which were satisfactorily reflected.</w:t>
            </w:r>
          </w:p>
        </w:tc>
        <w:tc>
          <w:tcPr>
            <w:tcW w:w="486" w:type="pct"/>
            <w:gridSpan w:val="2"/>
            <w:tcBorders>
              <w:top w:val="nil"/>
              <w:left w:val="nil"/>
              <w:bottom w:val="nil"/>
              <w:right w:val="single" w:sz="4" w:space="0" w:color="auto"/>
            </w:tcBorders>
            <w:shd w:val="clear" w:color="auto" w:fill="auto"/>
            <w:tcMar>
              <w:top w:w="110" w:type="dxa"/>
            </w:tcMar>
          </w:tcPr>
          <w:p w:rsidR="00805A5E" w:rsidRPr="00FF28A3" w:rsidRDefault="00805A5E" w:rsidP="00547ACE">
            <w:pPr>
              <w:keepNext/>
              <w:keepLines/>
              <w:ind w:left="-116" w:right="20"/>
              <w:jc w:val="center"/>
              <w:rPr>
                <w:rFonts w:eastAsia="SimSun" w:cs="Arial"/>
                <w:b/>
                <w:bCs/>
                <w:color w:val="00B050"/>
                <w:sz w:val="16"/>
                <w:szCs w:val="16"/>
                <w:lang w:eastAsia="zh-CN"/>
              </w:rPr>
            </w:pPr>
            <w:r w:rsidRPr="00FF28A3">
              <w:rPr>
                <w:rFonts w:eastAsia="SimSun" w:cs="Arial"/>
                <w:b/>
                <w:bCs/>
                <w:color w:val="00B050"/>
                <w:sz w:val="16"/>
                <w:szCs w:val="16"/>
                <w:lang w:eastAsia="zh-CN"/>
              </w:rPr>
              <w:t xml:space="preserve">Fully </w:t>
            </w:r>
            <w:r>
              <w:rPr>
                <w:rFonts w:eastAsia="SimSun" w:cs="Arial"/>
                <w:b/>
                <w:bCs/>
                <w:color w:val="00B050"/>
                <w:sz w:val="16"/>
                <w:szCs w:val="16"/>
                <w:lang w:eastAsia="zh-CN"/>
              </w:rPr>
              <w:t>A</w:t>
            </w:r>
            <w:r w:rsidRPr="00FF28A3">
              <w:rPr>
                <w:rFonts w:eastAsia="SimSun" w:cs="Arial"/>
                <w:b/>
                <w:bCs/>
                <w:color w:val="00B050"/>
                <w:sz w:val="16"/>
                <w:szCs w:val="16"/>
                <w:lang w:eastAsia="zh-CN"/>
              </w:rPr>
              <w:t>chieved</w:t>
            </w:r>
          </w:p>
        </w:tc>
      </w:tr>
      <w:tr w:rsidR="00805A5E" w:rsidRPr="00B35AFA" w:rsidTr="00547ACE">
        <w:tc>
          <w:tcPr>
            <w:tcW w:w="1114" w:type="pct"/>
            <w:tcBorders>
              <w:top w:val="nil"/>
              <w:left w:val="single" w:sz="4" w:space="0" w:color="auto"/>
              <w:bottom w:val="nil"/>
              <w:right w:val="nil"/>
            </w:tcBorders>
            <w:shd w:val="clear" w:color="auto" w:fill="auto"/>
          </w:tcPr>
          <w:p w:rsidR="00805A5E" w:rsidRDefault="00805A5E" w:rsidP="00547ACE">
            <w:pPr>
              <w:keepNext/>
              <w:keepLines/>
              <w:rPr>
                <w:rFonts w:eastAsia="SimSun" w:cs="Arial"/>
                <w:color w:val="000000"/>
                <w:sz w:val="16"/>
                <w:szCs w:val="16"/>
                <w:lang w:eastAsia="zh-CN"/>
              </w:rPr>
            </w:pPr>
            <w:r w:rsidRPr="00825E63">
              <w:rPr>
                <w:rFonts w:eastAsia="SimSun" w:cs="Arial"/>
                <w:color w:val="000000"/>
                <w:sz w:val="16"/>
                <w:szCs w:val="16"/>
                <w:lang w:eastAsia="zh-CN"/>
              </w:rPr>
              <w:t>% of responses to external requests for contributions from the UN, IGOs etc. submitted on time</w:t>
            </w:r>
          </w:p>
        </w:tc>
        <w:tc>
          <w:tcPr>
            <w:tcW w:w="923" w:type="pct"/>
            <w:gridSpan w:val="2"/>
            <w:tcBorders>
              <w:top w:val="nil"/>
              <w:left w:val="nil"/>
              <w:bottom w:val="nil"/>
              <w:right w:val="nil"/>
            </w:tcBorders>
            <w:shd w:val="clear" w:color="auto" w:fill="auto"/>
          </w:tcPr>
          <w:p w:rsidR="00805A5E" w:rsidRDefault="00805A5E" w:rsidP="00547ACE">
            <w:pPr>
              <w:keepNext/>
              <w:keepLines/>
              <w:rPr>
                <w:rFonts w:cs="Arial"/>
                <w:color w:val="002060"/>
                <w:sz w:val="16"/>
                <w:szCs w:val="16"/>
              </w:rPr>
            </w:pPr>
            <w:r>
              <w:rPr>
                <w:rFonts w:cs="Arial"/>
                <w:i/>
                <w:color w:val="002060"/>
                <w:sz w:val="16"/>
                <w:szCs w:val="16"/>
              </w:rPr>
              <w:t>Updated Baseline end 2013</w:t>
            </w:r>
            <w:r w:rsidRPr="00B35AFA">
              <w:rPr>
                <w:rFonts w:cs="Arial"/>
                <w:i/>
                <w:color w:val="002060"/>
                <w:sz w:val="16"/>
                <w:szCs w:val="16"/>
              </w:rPr>
              <w:t xml:space="preserve">:  </w:t>
            </w:r>
            <w:r w:rsidRPr="00825E63">
              <w:rPr>
                <w:rFonts w:cs="Arial"/>
                <w:color w:val="002060"/>
                <w:sz w:val="16"/>
                <w:szCs w:val="16"/>
              </w:rPr>
              <w:t>90.5% processed within 5 working days.</w:t>
            </w:r>
          </w:p>
          <w:p w:rsidR="00805A5E" w:rsidRDefault="00805A5E" w:rsidP="00547ACE">
            <w:pPr>
              <w:keepNext/>
              <w:keepLines/>
              <w:rPr>
                <w:rFonts w:cs="Arial"/>
                <w:i/>
                <w:sz w:val="16"/>
                <w:szCs w:val="16"/>
              </w:rPr>
            </w:pPr>
            <w:r>
              <w:rPr>
                <w:rFonts w:cs="Arial"/>
                <w:i/>
                <w:sz w:val="16"/>
                <w:szCs w:val="16"/>
              </w:rPr>
              <w:t xml:space="preserve">Original Baseline P&amp;B 2014/15: </w:t>
            </w:r>
          </w:p>
          <w:p w:rsidR="00805A5E" w:rsidDel="001B4F90" w:rsidRDefault="00805A5E" w:rsidP="00547ACE">
            <w:pPr>
              <w:keepNext/>
              <w:keepLines/>
              <w:rPr>
                <w:rFonts w:cs="Arial"/>
                <w:i/>
                <w:color w:val="002060"/>
                <w:sz w:val="16"/>
                <w:szCs w:val="16"/>
              </w:rPr>
            </w:pPr>
            <w:r w:rsidRPr="00825E63">
              <w:rPr>
                <w:rFonts w:eastAsia="SimSun" w:cs="Arial"/>
                <w:color w:val="000000"/>
                <w:sz w:val="16"/>
                <w:szCs w:val="16"/>
                <w:lang w:eastAsia="zh-CN"/>
              </w:rPr>
              <w:t>tbd (data 2012)</w:t>
            </w:r>
          </w:p>
        </w:tc>
        <w:tc>
          <w:tcPr>
            <w:tcW w:w="900" w:type="pct"/>
            <w:gridSpan w:val="6"/>
            <w:tcBorders>
              <w:top w:val="nil"/>
              <w:left w:val="nil"/>
              <w:bottom w:val="nil"/>
              <w:right w:val="nil"/>
            </w:tcBorders>
            <w:shd w:val="clear" w:color="auto" w:fill="auto"/>
            <w:tcMar>
              <w:top w:w="110" w:type="dxa"/>
            </w:tcMar>
          </w:tcPr>
          <w:p w:rsidR="00805A5E" w:rsidRPr="00825E63" w:rsidRDefault="00805A5E" w:rsidP="00547ACE">
            <w:pPr>
              <w:keepNext/>
              <w:keepLines/>
              <w:rPr>
                <w:rFonts w:eastAsia="SimSun" w:cs="Arial"/>
                <w:sz w:val="16"/>
                <w:szCs w:val="16"/>
                <w:lang w:eastAsia="zh-CN"/>
              </w:rPr>
            </w:pPr>
            <w:r w:rsidRPr="00825E63">
              <w:rPr>
                <w:rFonts w:eastAsia="SimSun" w:cs="Arial"/>
                <w:sz w:val="16"/>
                <w:szCs w:val="16"/>
                <w:lang w:eastAsia="zh-CN"/>
              </w:rPr>
              <w:t>100%</w:t>
            </w:r>
          </w:p>
        </w:tc>
        <w:tc>
          <w:tcPr>
            <w:tcW w:w="1577" w:type="pct"/>
            <w:gridSpan w:val="6"/>
            <w:tcBorders>
              <w:top w:val="nil"/>
              <w:left w:val="nil"/>
              <w:bottom w:val="nil"/>
              <w:right w:val="nil"/>
            </w:tcBorders>
            <w:shd w:val="clear" w:color="auto" w:fill="FFFFFF"/>
            <w:tcMar>
              <w:top w:w="110" w:type="dxa"/>
            </w:tcMar>
          </w:tcPr>
          <w:p w:rsidR="00805A5E" w:rsidRPr="00504E61" w:rsidRDefault="00805A5E" w:rsidP="00547ACE">
            <w:pPr>
              <w:keepNext/>
              <w:keepLines/>
              <w:rPr>
                <w:rFonts w:eastAsia="SimSun" w:cs="Arial"/>
                <w:sz w:val="16"/>
                <w:szCs w:val="16"/>
                <w:lang w:eastAsia="zh-CN"/>
              </w:rPr>
            </w:pPr>
            <w:r>
              <w:rPr>
                <w:rFonts w:eastAsia="SimSun" w:cs="Arial"/>
                <w:sz w:val="16"/>
                <w:szCs w:val="16"/>
                <w:lang w:eastAsia="zh-CN"/>
              </w:rPr>
              <w:t>254 of 273 (93</w:t>
            </w:r>
            <w:r w:rsidRPr="00860F5A">
              <w:rPr>
                <w:rFonts w:eastAsia="SimSun" w:cs="Arial"/>
                <w:sz w:val="16"/>
                <w:szCs w:val="16"/>
                <w:lang w:eastAsia="zh-CN"/>
              </w:rPr>
              <w:t>%) responses submitted on time (within 5 working days)</w:t>
            </w:r>
          </w:p>
        </w:tc>
        <w:tc>
          <w:tcPr>
            <w:tcW w:w="486" w:type="pct"/>
            <w:gridSpan w:val="2"/>
            <w:tcBorders>
              <w:top w:val="nil"/>
              <w:left w:val="nil"/>
              <w:bottom w:val="nil"/>
              <w:right w:val="single" w:sz="4" w:space="0" w:color="auto"/>
            </w:tcBorders>
            <w:shd w:val="clear" w:color="auto" w:fill="auto"/>
            <w:tcMar>
              <w:top w:w="110" w:type="dxa"/>
            </w:tcMar>
          </w:tcPr>
          <w:p w:rsidR="00805A5E" w:rsidRPr="00FF28A3" w:rsidRDefault="00805A5E" w:rsidP="00547ACE">
            <w:pPr>
              <w:keepNext/>
              <w:keepLines/>
              <w:ind w:left="-116" w:right="20"/>
              <w:jc w:val="center"/>
              <w:rPr>
                <w:rFonts w:eastAsia="SimSun" w:cs="Arial"/>
                <w:b/>
                <w:bCs/>
                <w:color w:val="00B050"/>
                <w:sz w:val="16"/>
                <w:szCs w:val="16"/>
                <w:lang w:eastAsia="zh-CN"/>
              </w:rPr>
            </w:pPr>
            <w:r w:rsidRPr="00FF28A3">
              <w:rPr>
                <w:rFonts w:eastAsia="SimSun" w:cs="Arial"/>
                <w:b/>
                <w:bCs/>
                <w:color w:val="00B050"/>
                <w:sz w:val="16"/>
                <w:szCs w:val="16"/>
                <w:lang w:eastAsia="zh-CN"/>
              </w:rPr>
              <w:t xml:space="preserve">Fully </w:t>
            </w:r>
            <w:r>
              <w:rPr>
                <w:rFonts w:eastAsia="SimSun" w:cs="Arial"/>
                <w:b/>
                <w:bCs/>
                <w:color w:val="00B050"/>
                <w:sz w:val="16"/>
                <w:szCs w:val="16"/>
                <w:lang w:eastAsia="zh-CN"/>
              </w:rPr>
              <w:t>A</w:t>
            </w:r>
            <w:r w:rsidRPr="00FF28A3">
              <w:rPr>
                <w:rFonts w:eastAsia="SimSun" w:cs="Arial"/>
                <w:b/>
                <w:bCs/>
                <w:color w:val="00B050"/>
                <w:sz w:val="16"/>
                <w:szCs w:val="16"/>
                <w:lang w:eastAsia="zh-CN"/>
              </w:rPr>
              <w:t>chieved</w:t>
            </w:r>
          </w:p>
        </w:tc>
      </w:tr>
      <w:tr w:rsidR="00805A5E" w:rsidRPr="00B35AFA" w:rsidTr="00C45B74">
        <w:trPr>
          <w:trHeight w:val="500"/>
        </w:trPr>
        <w:tc>
          <w:tcPr>
            <w:tcW w:w="1114" w:type="pct"/>
            <w:tcBorders>
              <w:top w:val="nil"/>
              <w:left w:val="single" w:sz="4" w:space="0" w:color="auto"/>
              <w:bottom w:val="single" w:sz="4" w:space="0" w:color="auto"/>
              <w:right w:val="nil"/>
            </w:tcBorders>
            <w:shd w:val="clear" w:color="auto" w:fill="auto"/>
          </w:tcPr>
          <w:p w:rsidR="00805A5E" w:rsidRPr="0097448D" w:rsidRDefault="00805A5E" w:rsidP="00547ACE">
            <w:pPr>
              <w:rPr>
                <w:rFonts w:eastAsia="SimSun" w:cs="Arial"/>
                <w:color w:val="000000"/>
                <w:sz w:val="16"/>
                <w:szCs w:val="16"/>
                <w:lang w:eastAsia="zh-CN"/>
              </w:rPr>
            </w:pPr>
            <w:r>
              <w:rPr>
                <w:rFonts w:eastAsia="SimSun" w:cs="Arial"/>
                <w:color w:val="000000"/>
                <w:sz w:val="16"/>
                <w:szCs w:val="16"/>
                <w:lang w:eastAsia="zh-CN"/>
              </w:rPr>
              <w:t>No.</w:t>
            </w:r>
            <w:r w:rsidRPr="00825E63">
              <w:rPr>
                <w:rFonts w:eastAsia="SimSun" w:cs="Arial"/>
                <w:color w:val="000000"/>
                <w:sz w:val="16"/>
                <w:szCs w:val="16"/>
                <w:lang w:eastAsia="zh-CN"/>
              </w:rPr>
              <w:t xml:space="preserve"> of IP Programs implemented jointly with other UN bodies and other IGOs</w:t>
            </w:r>
          </w:p>
        </w:tc>
        <w:tc>
          <w:tcPr>
            <w:tcW w:w="923" w:type="pct"/>
            <w:gridSpan w:val="2"/>
            <w:tcBorders>
              <w:top w:val="nil"/>
              <w:left w:val="nil"/>
              <w:bottom w:val="single" w:sz="4" w:space="0" w:color="auto"/>
              <w:right w:val="nil"/>
            </w:tcBorders>
            <w:shd w:val="clear" w:color="auto" w:fill="auto"/>
          </w:tcPr>
          <w:p w:rsidR="00805A5E" w:rsidRDefault="00805A5E" w:rsidP="00547ACE">
            <w:pPr>
              <w:rPr>
                <w:rFonts w:cs="Arial"/>
                <w:i/>
                <w:color w:val="002060"/>
                <w:sz w:val="16"/>
                <w:szCs w:val="16"/>
              </w:rPr>
            </w:pPr>
            <w:r w:rsidRPr="00825E63">
              <w:rPr>
                <w:rFonts w:cs="Arial"/>
                <w:sz w:val="16"/>
                <w:szCs w:val="16"/>
              </w:rPr>
              <w:t>0 (zero) (WSO)</w:t>
            </w:r>
          </w:p>
        </w:tc>
        <w:tc>
          <w:tcPr>
            <w:tcW w:w="900" w:type="pct"/>
            <w:gridSpan w:val="6"/>
            <w:tcBorders>
              <w:top w:val="nil"/>
              <w:left w:val="nil"/>
              <w:bottom w:val="single" w:sz="4" w:space="0" w:color="auto"/>
              <w:right w:val="nil"/>
            </w:tcBorders>
            <w:shd w:val="clear" w:color="auto" w:fill="auto"/>
            <w:tcMar>
              <w:top w:w="110" w:type="dxa"/>
            </w:tcMar>
          </w:tcPr>
          <w:p w:rsidR="00805A5E" w:rsidRPr="00825E63" w:rsidRDefault="00805A5E" w:rsidP="00547ACE">
            <w:pPr>
              <w:rPr>
                <w:rFonts w:eastAsia="SimSun" w:cs="Arial"/>
                <w:sz w:val="16"/>
                <w:szCs w:val="16"/>
                <w:lang w:eastAsia="zh-CN"/>
              </w:rPr>
            </w:pPr>
            <w:r w:rsidRPr="00825E63">
              <w:rPr>
                <w:rFonts w:eastAsia="SimSun" w:cs="Arial"/>
                <w:sz w:val="16"/>
                <w:szCs w:val="16"/>
                <w:lang w:eastAsia="zh-CN"/>
              </w:rPr>
              <w:t>2 (WSO)</w:t>
            </w:r>
          </w:p>
        </w:tc>
        <w:tc>
          <w:tcPr>
            <w:tcW w:w="1577" w:type="pct"/>
            <w:gridSpan w:val="6"/>
            <w:tcBorders>
              <w:top w:val="nil"/>
              <w:left w:val="nil"/>
              <w:bottom w:val="single" w:sz="4" w:space="0" w:color="auto"/>
              <w:right w:val="nil"/>
            </w:tcBorders>
            <w:shd w:val="clear" w:color="auto" w:fill="FFFFFF"/>
            <w:tcMar>
              <w:top w:w="110" w:type="dxa"/>
            </w:tcMar>
          </w:tcPr>
          <w:p w:rsidR="00805A5E" w:rsidRDefault="00805A5E" w:rsidP="00805A5E">
            <w:pPr>
              <w:pStyle w:val="ListParagraph"/>
              <w:numPr>
                <w:ilvl w:val="0"/>
                <w:numId w:val="159"/>
              </w:numPr>
              <w:spacing w:after="60"/>
              <w:ind w:left="357" w:hanging="357"/>
              <w:rPr>
                <w:rFonts w:eastAsia="SimSun" w:cs="Arial"/>
                <w:sz w:val="16"/>
                <w:szCs w:val="16"/>
                <w:lang w:eastAsia="zh-CN"/>
              </w:rPr>
            </w:pPr>
            <w:r w:rsidRPr="00B97F30">
              <w:rPr>
                <w:rFonts w:eastAsia="SimSun" w:cs="Arial"/>
                <w:sz w:val="16"/>
                <w:szCs w:val="16"/>
                <w:lang w:eastAsia="zh-CN"/>
              </w:rPr>
              <w:t xml:space="preserve">2 events with UN agencies (UNEP and UNIDO) </w:t>
            </w:r>
          </w:p>
          <w:p w:rsidR="00805A5E" w:rsidRDefault="00805A5E" w:rsidP="00805A5E">
            <w:pPr>
              <w:pStyle w:val="ListParagraph"/>
              <w:numPr>
                <w:ilvl w:val="0"/>
                <w:numId w:val="159"/>
              </w:numPr>
              <w:spacing w:after="60"/>
              <w:ind w:left="357" w:hanging="357"/>
              <w:rPr>
                <w:rFonts w:eastAsia="SimSun" w:cs="Arial"/>
                <w:sz w:val="16"/>
                <w:szCs w:val="16"/>
                <w:lang w:eastAsia="zh-CN"/>
              </w:rPr>
            </w:pPr>
            <w:r>
              <w:rPr>
                <w:rFonts w:eastAsia="SimSun" w:cs="Arial"/>
                <w:sz w:val="16"/>
                <w:szCs w:val="16"/>
                <w:lang w:eastAsia="zh-CN"/>
              </w:rPr>
              <w:t>M</w:t>
            </w:r>
            <w:r w:rsidRPr="00B97F30">
              <w:rPr>
                <w:rFonts w:eastAsia="SimSun" w:cs="Arial"/>
                <w:sz w:val="16"/>
                <w:szCs w:val="16"/>
                <w:lang w:eastAsia="zh-CN"/>
              </w:rPr>
              <w:t xml:space="preserve">ultiple events with ASEAN-Australia-New Zealand Free Trade Agreement (AANZFTA), the ASEAN Secretariat, Asia-Pacific Economic Cooperation (APEC) and </w:t>
            </w:r>
            <w:r w:rsidRPr="00167BCF">
              <w:rPr>
                <w:rFonts w:eastAsia="SimSun" w:cs="Arial"/>
                <w:sz w:val="16"/>
                <w:szCs w:val="16"/>
                <w:lang w:eastAsia="zh-CN"/>
              </w:rPr>
              <w:t>Office for Harmonization in the Internal Market</w:t>
            </w:r>
            <w:r>
              <w:rPr>
                <w:rFonts w:eastAsia="SimSun" w:cs="Arial"/>
                <w:sz w:val="16"/>
                <w:szCs w:val="16"/>
                <w:lang w:eastAsia="zh-CN"/>
              </w:rPr>
              <w:t xml:space="preserve">/ </w:t>
            </w:r>
            <w:r w:rsidRPr="009A12E0">
              <w:rPr>
                <w:rFonts w:eastAsia="SimSun" w:cs="Arial"/>
                <w:sz w:val="16"/>
                <w:szCs w:val="16"/>
                <w:lang w:eastAsia="zh-CN"/>
              </w:rPr>
              <w:t>EU-ASEAN Project on the Protection of Intellectual Property Rights</w:t>
            </w:r>
            <w:r w:rsidRPr="00167BCF">
              <w:rPr>
                <w:rFonts w:eastAsia="SimSun" w:cs="Arial"/>
                <w:sz w:val="16"/>
                <w:szCs w:val="16"/>
                <w:lang w:eastAsia="zh-CN"/>
              </w:rPr>
              <w:t xml:space="preserve"> </w:t>
            </w:r>
            <w:r>
              <w:rPr>
                <w:rFonts w:eastAsia="SimSun" w:cs="Arial"/>
                <w:sz w:val="16"/>
                <w:szCs w:val="16"/>
                <w:lang w:eastAsia="zh-CN"/>
              </w:rPr>
              <w:t>(</w:t>
            </w:r>
            <w:r w:rsidRPr="00B97F30">
              <w:rPr>
                <w:rFonts w:eastAsia="SimSun" w:cs="Arial"/>
                <w:sz w:val="16"/>
                <w:szCs w:val="16"/>
                <w:lang w:eastAsia="zh-CN"/>
              </w:rPr>
              <w:t>OHIM/ECAP</w:t>
            </w:r>
            <w:r>
              <w:rPr>
                <w:rFonts w:eastAsia="SimSun" w:cs="Arial"/>
                <w:sz w:val="16"/>
                <w:szCs w:val="16"/>
                <w:lang w:eastAsia="zh-CN"/>
              </w:rPr>
              <w:t>)</w:t>
            </w:r>
            <w:r w:rsidRPr="00B97F30">
              <w:rPr>
                <w:rFonts w:eastAsia="SimSun" w:cs="Arial"/>
                <w:sz w:val="16"/>
                <w:szCs w:val="16"/>
                <w:lang w:eastAsia="zh-CN"/>
              </w:rPr>
              <w:t xml:space="preserve"> III</w:t>
            </w:r>
          </w:p>
          <w:p w:rsidR="00805A5E" w:rsidRPr="00705749" w:rsidRDefault="00805A5E" w:rsidP="00805A5E">
            <w:pPr>
              <w:pStyle w:val="ListParagraph"/>
              <w:numPr>
                <w:ilvl w:val="0"/>
                <w:numId w:val="159"/>
              </w:numPr>
              <w:spacing w:after="60"/>
              <w:ind w:left="357" w:hanging="357"/>
              <w:rPr>
                <w:rFonts w:eastAsia="SimSun" w:cs="Arial"/>
                <w:sz w:val="16"/>
                <w:szCs w:val="16"/>
                <w:lang w:eastAsia="zh-CN"/>
              </w:rPr>
            </w:pPr>
            <w:r w:rsidRPr="00705749">
              <w:rPr>
                <w:rFonts w:eastAsia="SimSun" w:cs="Arial"/>
                <w:sz w:val="16"/>
                <w:szCs w:val="16"/>
                <w:lang w:eastAsia="zh-CN"/>
              </w:rPr>
              <w:t xml:space="preserve">1 </w:t>
            </w:r>
            <w:r>
              <w:rPr>
                <w:rFonts w:eastAsia="SimSun" w:cs="Arial"/>
                <w:sz w:val="16"/>
                <w:szCs w:val="16"/>
                <w:lang w:eastAsia="zh-CN"/>
              </w:rPr>
              <w:t>forum</w:t>
            </w:r>
            <w:r w:rsidRPr="00705749">
              <w:rPr>
                <w:rFonts w:eastAsia="SimSun" w:cs="Arial"/>
                <w:sz w:val="16"/>
                <w:szCs w:val="16"/>
                <w:lang w:eastAsia="zh-CN"/>
              </w:rPr>
              <w:t xml:space="preserve"> of the IP Technical Assistance Providers</w:t>
            </w:r>
          </w:p>
          <w:p w:rsidR="00805A5E" w:rsidRDefault="00805A5E" w:rsidP="00805A5E">
            <w:pPr>
              <w:pStyle w:val="ListParagraph"/>
              <w:numPr>
                <w:ilvl w:val="0"/>
                <w:numId w:val="159"/>
              </w:numPr>
              <w:spacing w:after="60"/>
              <w:ind w:left="357" w:hanging="357"/>
              <w:rPr>
                <w:rFonts w:eastAsia="SimSun" w:cs="Arial"/>
                <w:sz w:val="16"/>
                <w:szCs w:val="16"/>
                <w:lang w:eastAsia="zh-CN"/>
              </w:rPr>
            </w:pPr>
            <w:r w:rsidRPr="00705749">
              <w:rPr>
                <w:rFonts w:eastAsia="SimSun" w:cs="Arial"/>
                <w:sz w:val="16"/>
                <w:szCs w:val="16"/>
                <w:lang w:eastAsia="zh-CN"/>
              </w:rPr>
              <w:t>Joint event with the Pacific Economic Cooperation Council (PECC) attended by eight other international organizations and IGOs</w:t>
            </w:r>
          </w:p>
          <w:p w:rsidR="00965C8C" w:rsidRPr="008E4ED7" w:rsidRDefault="00965C8C" w:rsidP="00965C8C">
            <w:pPr>
              <w:pStyle w:val="ListParagraph"/>
              <w:numPr>
                <w:ilvl w:val="0"/>
                <w:numId w:val="159"/>
              </w:numPr>
              <w:spacing w:after="60"/>
              <w:ind w:left="357" w:hanging="357"/>
              <w:rPr>
                <w:rFonts w:eastAsia="SimSun" w:cs="Arial"/>
                <w:i/>
                <w:sz w:val="16"/>
                <w:szCs w:val="16"/>
                <w:lang w:eastAsia="zh-CN"/>
              </w:rPr>
            </w:pPr>
            <w:r>
              <w:rPr>
                <w:rFonts w:eastAsia="SimSun" w:cs="Arial"/>
                <w:i/>
                <w:sz w:val="16"/>
                <w:szCs w:val="16"/>
                <w:lang w:eastAsia="zh-CN"/>
              </w:rPr>
              <w:tab/>
            </w:r>
            <w:r>
              <w:rPr>
                <w:rFonts w:eastAsia="SimSun" w:cs="Arial"/>
                <w:i/>
                <w:sz w:val="16"/>
                <w:szCs w:val="16"/>
                <w:lang w:eastAsia="zh-CN"/>
              </w:rPr>
              <w:tab/>
            </w:r>
            <w:r w:rsidRPr="008E4ED7">
              <w:rPr>
                <w:rFonts w:eastAsia="SimSun" w:cs="Arial"/>
                <w:i/>
                <w:sz w:val="16"/>
                <w:szCs w:val="16"/>
                <w:lang w:eastAsia="zh-CN"/>
              </w:rPr>
              <w:t>(cont. next page)</w:t>
            </w:r>
          </w:p>
          <w:p w:rsidR="00805A5E" w:rsidRPr="00C45B74" w:rsidRDefault="00805A5E" w:rsidP="00BA6F3B">
            <w:pPr>
              <w:pStyle w:val="ListParagraph"/>
              <w:spacing w:after="60"/>
              <w:ind w:left="357"/>
              <w:rPr>
                <w:rFonts w:eastAsia="SimSun" w:cs="Arial"/>
                <w:sz w:val="16"/>
                <w:szCs w:val="16"/>
                <w:lang w:eastAsia="zh-CN"/>
              </w:rPr>
            </w:pPr>
          </w:p>
        </w:tc>
        <w:tc>
          <w:tcPr>
            <w:tcW w:w="486" w:type="pct"/>
            <w:gridSpan w:val="2"/>
            <w:tcBorders>
              <w:top w:val="nil"/>
              <w:left w:val="nil"/>
              <w:bottom w:val="single" w:sz="4" w:space="0" w:color="auto"/>
              <w:right w:val="single" w:sz="4" w:space="0" w:color="auto"/>
            </w:tcBorders>
            <w:shd w:val="clear" w:color="auto" w:fill="auto"/>
            <w:tcMar>
              <w:top w:w="110" w:type="dxa"/>
            </w:tcMar>
          </w:tcPr>
          <w:p w:rsidR="00805A5E" w:rsidRPr="000D3F45" w:rsidRDefault="00805A5E" w:rsidP="00547ACE">
            <w:pPr>
              <w:keepNext/>
              <w:keepLines/>
              <w:ind w:left="-116" w:right="20"/>
              <w:jc w:val="center"/>
              <w:rPr>
                <w:rFonts w:eastAsia="SimSun" w:cs="Arial"/>
                <w:b/>
                <w:bCs/>
                <w:color w:val="00B050"/>
                <w:sz w:val="16"/>
                <w:szCs w:val="16"/>
                <w:lang w:eastAsia="zh-CN"/>
              </w:rPr>
            </w:pPr>
            <w:r w:rsidRPr="00FF28A3">
              <w:rPr>
                <w:rFonts w:eastAsia="SimSun" w:cs="Arial"/>
                <w:b/>
                <w:bCs/>
                <w:color w:val="00B050"/>
                <w:sz w:val="16"/>
                <w:szCs w:val="16"/>
                <w:lang w:eastAsia="zh-CN"/>
              </w:rPr>
              <w:t xml:space="preserve">Fully </w:t>
            </w:r>
            <w:r>
              <w:rPr>
                <w:rFonts w:eastAsia="SimSun" w:cs="Arial"/>
                <w:b/>
                <w:bCs/>
                <w:color w:val="00B050"/>
                <w:sz w:val="16"/>
                <w:szCs w:val="16"/>
                <w:lang w:eastAsia="zh-CN"/>
              </w:rPr>
              <w:t>A</w:t>
            </w:r>
            <w:r w:rsidRPr="00FF28A3">
              <w:rPr>
                <w:rFonts w:eastAsia="SimSun" w:cs="Arial"/>
                <w:b/>
                <w:bCs/>
                <w:color w:val="00B050"/>
                <w:sz w:val="16"/>
                <w:szCs w:val="16"/>
                <w:lang w:eastAsia="zh-CN"/>
              </w:rPr>
              <w:t>chieved</w:t>
            </w:r>
          </w:p>
        </w:tc>
      </w:tr>
      <w:tr w:rsidR="00C45B74" w:rsidRPr="00B35AFA" w:rsidTr="00C45B74">
        <w:trPr>
          <w:trHeight w:val="500"/>
        </w:trPr>
        <w:tc>
          <w:tcPr>
            <w:tcW w:w="1114" w:type="pct"/>
            <w:tcBorders>
              <w:top w:val="single" w:sz="4" w:space="0" w:color="auto"/>
              <w:left w:val="single" w:sz="4" w:space="0" w:color="auto"/>
              <w:bottom w:val="single" w:sz="4" w:space="0" w:color="auto"/>
              <w:right w:val="nil"/>
            </w:tcBorders>
            <w:shd w:val="clear" w:color="auto" w:fill="auto"/>
          </w:tcPr>
          <w:p w:rsidR="00C45B74" w:rsidRDefault="00C45B74" w:rsidP="00547ACE">
            <w:pPr>
              <w:rPr>
                <w:rFonts w:eastAsia="SimSun" w:cs="Arial"/>
                <w:color w:val="000000"/>
                <w:sz w:val="16"/>
                <w:szCs w:val="16"/>
                <w:lang w:eastAsia="zh-CN"/>
              </w:rPr>
            </w:pPr>
          </w:p>
        </w:tc>
        <w:tc>
          <w:tcPr>
            <w:tcW w:w="923" w:type="pct"/>
            <w:gridSpan w:val="2"/>
            <w:tcBorders>
              <w:top w:val="single" w:sz="4" w:space="0" w:color="auto"/>
              <w:left w:val="nil"/>
              <w:bottom w:val="single" w:sz="4" w:space="0" w:color="auto"/>
              <w:right w:val="nil"/>
            </w:tcBorders>
            <w:shd w:val="clear" w:color="auto" w:fill="auto"/>
          </w:tcPr>
          <w:p w:rsidR="00C45B74" w:rsidRPr="00825E63" w:rsidRDefault="00C45B74" w:rsidP="00547ACE">
            <w:pPr>
              <w:rPr>
                <w:rFonts w:cs="Arial"/>
                <w:sz w:val="16"/>
                <w:szCs w:val="16"/>
              </w:rPr>
            </w:pPr>
          </w:p>
        </w:tc>
        <w:tc>
          <w:tcPr>
            <w:tcW w:w="900" w:type="pct"/>
            <w:gridSpan w:val="6"/>
            <w:tcBorders>
              <w:top w:val="single" w:sz="4" w:space="0" w:color="auto"/>
              <w:left w:val="nil"/>
              <w:bottom w:val="single" w:sz="4" w:space="0" w:color="auto"/>
              <w:right w:val="nil"/>
            </w:tcBorders>
            <w:shd w:val="clear" w:color="auto" w:fill="auto"/>
            <w:tcMar>
              <w:top w:w="110" w:type="dxa"/>
            </w:tcMar>
          </w:tcPr>
          <w:p w:rsidR="00C45B74" w:rsidRPr="00825E63" w:rsidRDefault="00C45B74" w:rsidP="00547ACE">
            <w:pPr>
              <w:rPr>
                <w:rFonts w:eastAsia="SimSun" w:cs="Arial"/>
                <w:sz w:val="16"/>
                <w:szCs w:val="16"/>
                <w:lang w:eastAsia="zh-CN"/>
              </w:rPr>
            </w:pPr>
          </w:p>
        </w:tc>
        <w:tc>
          <w:tcPr>
            <w:tcW w:w="1577" w:type="pct"/>
            <w:gridSpan w:val="6"/>
            <w:tcBorders>
              <w:top w:val="single" w:sz="4" w:space="0" w:color="auto"/>
              <w:left w:val="nil"/>
              <w:bottom w:val="single" w:sz="4" w:space="0" w:color="auto"/>
              <w:right w:val="nil"/>
            </w:tcBorders>
            <w:shd w:val="clear" w:color="auto" w:fill="FFFFFF"/>
            <w:tcMar>
              <w:top w:w="110" w:type="dxa"/>
            </w:tcMar>
          </w:tcPr>
          <w:p w:rsidR="00965C8C" w:rsidRDefault="00965C8C" w:rsidP="00965C8C">
            <w:pPr>
              <w:pStyle w:val="ListParagraph"/>
              <w:numPr>
                <w:ilvl w:val="0"/>
                <w:numId w:val="159"/>
              </w:numPr>
              <w:spacing w:after="60"/>
              <w:ind w:left="357" w:hanging="357"/>
              <w:rPr>
                <w:rFonts w:eastAsia="SimSun" w:cs="Arial"/>
                <w:sz w:val="16"/>
                <w:szCs w:val="16"/>
                <w:lang w:eastAsia="zh-CN"/>
              </w:rPr>
            </w:pPr>
            <w:r>
              <w:rPr>
                <w:rFonts w:eastAsia="SimSun" w:cs="Arial"/>
                <w:sz w:val="16"/>
                <w:szCs w:val="16"/>
                <w:lang w:eastAsia="zh-CN"/>
              </w:rPr>
              <w:t>Participation in 1</w:t>
            </w:r>
            <w:r w:rsidRPr="00705749">
              <w:rPr>
                <w:rFonts w:eastAsia="SimSun" w:cs="Arial"/>
                <w:sz w:val="16"/>
                <w:szCs w:val="16"/>
                <w:lang w:eastAsia="zh-CN"/>
              </w:rPr>
              <w:t xml:space="preserve"> event </w:t>
            </w:r>
            <w:r>
              <w:rPr>
                <w:rFonts w:eastAsia="SimSun" w:cs="Arial"/>
                <w:sz w:val="16"/>
                <w:szCs w:val="16"/>
                <w:lang w:eastAsia="zh-CN"/>
              </w:rPr>
              <w:t>with</w:t>
            </w:r>
            <w:r w:rsidRPr="00705749">
              <w:rPr>
                <w:rFonts w:eastAsia="SimSun" w:cs="Arial"/>
                <w:sz w:val="16"/>
                <w:szCs w:val="16"/>
                <w:lang w:eastAsia="zh-CN"/>
              </w:rPr>
              <w:t xml:space="preserve"> the United Nations Association of Singapor</w:t>
            </w:r>
            <w:r>
              <w:rPr>
                <w:rFonts w:eastAsia="SimSun" w:cs="Arial"/>
                <w:sz w:val="16"/>
                <w:szCs w:val="16"/>
                <w:lang w:eastAsia="zh-CN"/>
              </w:rPr>
              <w:t>e (UNAS)</w:t>
            </w:r>
            <w:r w:rsidRPr="00705749">
              <w:rPr>
                <w:rFonts w:eastAsia="SimSun" w:cs="Arial"/>
                <w:sz w:val="16"/>
                <w:szCs w:val="16"/>
                <w:lang w:eastAsia="zh-CN"/>
              </w:rPr>
              <w:t xml:space="preserve"> </w:t>
            </w:r>
            <w:r>
              <w:rPr>
                <w:rFonts w:eastAsia="SimSun" w:cs="Arial"/>
                <w:sz w:val="16"/>
                <w:szCs w:val="16"/>
                <w:lang w:eastAsia="zh-CN"/>
              </w:rPr>
              <w:t xml:space="preserve"> </w:t>
            </w:r>
            <w:r>
              <w:rPr>
                <w:rFonts w:eastAsia="SimSun" w:cs="Arial"/>
                <w:sz w:val="16"/>
                <w:szCs w:val="16"/>
                <w:lang w:eastAsia="zh-CN"/>
              </w:rPr>
              <w:br/>
            </w:r>
          </w:p>
          <w:p w:rsidR="00C45B74" w:rsidRPr="00B97F30" w:rsidRDefault="00C45B74" w:rsidP="00C45B74">
            <w:pPr>
              <w:pStyle w:val="ListParagraph"/>
              <w:numPr>
                <w:ilvl w:val="0"/>
                <w:numId w:val="159"/>
              </w:numPr>
              <w:spacing w:after="60"/>
              <w:ind w:left="357" w:hanging="357"/>
              <w:rPr>
                <w:rFonts w:eastAsia="SimSun" w:cs="Arial"/>
                <w:sz w:val="16"/>
                <w:szCs w:val="16"/>
                <w:lang w:eastAsia="zh-CN"/>
              </w:rPr>
            </w:pPr>
            <w:r>
              <w:rPr>
                <w:rFonts w:eastAsia="SimSun" w:cs="Arial"/>
                <w:sz w:val="16"/>
                <w:szCs w:val="16"/>
                <w:lang w:eastAsia="zh-CN"/>
              </w:rPr>
              <w:t xml:space="preserve">Participation in 1 </w:t>
            </w:r>
            <w:r w:rsidRPr="00705749">
              <w:rPr>
                <w:rFonts w:eastAsia="SimSun" w:cs="Arial"/>
                <w:sz w:val="16"/>
                <w:szCs w:val="16"/>
                <w:lang w:eastAsia="zh-CN"/>
              </w:rPr>
              <w:t xml:space="preserve">event of the Policy Partnership on Science, Technology and Innovation group from the Asia-Pacific Economic Cooperation (APEC) </w:t>
            </w:r>
            <w:r w:rsidRPr="006C78A5">
              <w:rPr>
                <w:rFonts w:eastAsia="SimSun" w:cs="Arial"/>
                <w:sz w:val="16"/>
                <w:szCs w:val="16"/>
                <w:lang w:eastAsia="zh-CN"/>
              </w:rPr>
              <w:t>(WSO)</w:t>
            </w:r>
          </w:p>
        </w:tc>
        <w:tc>
          <w:tcPr>
            <w:tcW w:w="486" w:type="pct"/>
            <w:gridSpan w:val="2"/>
            <w:tcBorders>
              <w:top w:val="single" w:sz="4" w:space="0" w:color="auto"/>
              <w:left w:val="nil"/>
              <w:bottom w:val="single" w:sz="4" w:space="0" w:color="auto"/>
              <w:right w:val="single" w:sz="4" w:space="0" w:color="auto"/>
            </w:tcBorders>
            <w:shd w:val="clear" w:color="auto" w:fill="auto"/>
            <w:tcMar>
              <w:top w:w="110" w:type="dxa"/>
            </w:tcMar>
          </w:tcPr>
          <w:p w:rsidR="00C45B74" w:rsidRPr="00FF28A3" w:rsidRDefault="00C45B74" w:rsidP="00547ACE">
            <w:pPr>
              <w:keepNext/>
              <w:keepLines/>
              <w:ind w:left="-116" w:right="20"/>
              <w:jc w:val="center"/>
              <w:rPr>
                <w:rFonts w:eastAsia="SimSun" w:cs="Arial"/>
                <w:b/>
                <w:bCs/>
                <w:color w:val="00B050"/>
                <w:sz w:val="16"/>
                <w:szCs w:val="16"/>
                <w:lang w:eastAsia="zh-CN"/>
              </w:rPr>
            </w:pPr>
          </w:p>
        </w:tc>
      </w:tr>
    </w:tbl>
    <w:p w:rsidR="00805A5E" w:rsidRDefault="00805A5E" w:rsidP="00B1262D">
      <w:pPr>
        <w:rPr>
          <w:rFonts w:cs="Arial"/>
          <w:color w:val="000000"/>
          <w:sz w:val="22"/>
          <w:szCs w:val="22"/>
        </w:rPr>
      </w:pPr>
    </w:p>
    <w:p w:rsidR="00B1262D" w:rsidRDefault="00B1262D" w:rsidP="00B1262D">
      <w:pPr>
        <w:rPr>
          <w:rFonts w:cs="Arial"/>
          <w:color w:val="000000"/>
          <w:sz w:val="22"/>
          <w:szCs w:val="22"/>
        </w:rPr>
      </w:pPr>
    </w:p>
    <w:p w:rsidR="00B1262D" w:rsidRDefault="00805A5E" w:rsidP="00B1262D">
      <w:pPr>
        <w:rPr>
          <w:rFonts w:cs="Arial"/>
          <w:color w:val="000000"/>
          <w:szCs w:val="22"/>
        </w:rPr>
      </w:pPr>
      <w:r w:rsidRPr="009A4846">
        <w:rPr>
          <w:rFonts w:cs="Arial"/>
          <w:color w:val="000000"/>
          <w:szCs w:val="22"/>
        </w:rPr>
        <w:t>RISK REPORTING FOR THE BIENNIUM</w:t>
      </w:r>
    </w:p>
    <w:p w:rsidR="00B1262D" w:rsidRPr="009A4846" w:rsidRDefault="00B1262D" w:rsidP="00B1262D">
      <w:pPr>
        <w:rPr>
          <w:rFonts w:cs="Arial"/>
          <w:color w:val="000000"/>
          <w:szCs w:val="22"/>
        </w:rPr>
      </w:pPr>
    </w:p>
    <w:tbl>
      <w:tblPr>
        <w:tblW w:w="9498"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2396"/>
        <w:gridCol w:w="2224"/>
        <w:gridCol w:w="2310"/>
        <w:gridCol w:w="2568"/>
      </w:tblGrid>
      <w:tr w:rsidR="00805A5E" w:rsidRPr="003C527B" w:rsidTr="00547ACE">
        <w:trPr>
          <w:trHeight w:val="621"/>
        </w:trPr>
        <w:tc>
          <w:tcPr>
            <w:tcW w:w="2396" w:type="dxa"/>
            <w:tcBorders>
              <w:top w:val="single" w:sz="4" w:space="0" w:color="auto"/>
              <w:left w:val="single" w:sz="4" w:space="0" w:color="auto"/>
              <w:bottom w:val="single" w:sz="4" w:space="0" w:color="auto"/>
              <w:right w:val="nil"/>
            </w:tcBorders>
            <w:shd w:val="clear" w:color="auto" w:fill="C6D9F1" w:themeFill="text2" w:themeFillTint="33"/>
            <w:vAlign w:val="center"/>
          </w:tcPr>
          <w:p w:rsidR="00805A5E" w:rsidRPr="003C527B" w:rsidRDefault="00805A5E" w:rsidP="00547ACE">
            <w:pPr>
              <w:keepNext/>
              <w:keepLines/>
              <w:jc w:val="center"/>
              <w:rPr>
                <w:b/>
                <w:bCs/>
                <w:iCs/>
                <w:sz w:val="18"/>
                <w:szCs w:val="14"/>
              </w:rPr>
            </w:pPr>
            <w:r w:rsidRPr="003C527B">
              <w:rPr>
                <w:b/>
                <w:bCs/>
                <w:iCs/>
                <w:sz w:val="18"/>
                <w:szCs w:val="14"/>
              </w:rPr>
              <w:t>Risk(s) to the Program achieving its Results</w:t>
            </w:r>
          </w:p>
        </w:tc>
        <w:tc>
          <w:tcPr>
            <w:tcW w:w="2224" w:type="dxa"/>
            <w:tcBorders>
              <w:top w:val="single" w:sz="4" w:space="0" w:color="auto"/>
              <w:left w:val="nil"/>
              <w:bottom w:val="single" w:sz="4" w:space="0" w:color="auto"/>
              <w:right w:val="nil"/>
            </w:tcBorders>
            <w:shd w:val="clear" w:color="auto" w:fill="C6D9F1" w:themeFill="text2" w:themeFillTint="33"/>
            <w:vAlign w:val="center"/>
          </w:tcPr>
          <w:p w:rsidR="00805A5E" w:rsidRPr="003C527B" w:rsidRDefault="00805A5E" w:rsidP="00547ACE">
            <w:pPr>
              <w:keepNext/>
              <w:keepLines/>
              <w:jc w:val="center"/>
              <w:rPr>
                <w:b/>
                <w:bCs/>
                <w:iCs/>
                <w:sz w:val="18"/>
                <w:szCs w:val="14"/>
              </w:rPr>
            </w:pPr>
            <w:r w:rsidRPr="003C527B">
              <w:rPr>
                <w:b/>
                <w:bCs/>
                <w:iCs/>
                <w:sz w:val="18"/>
                <w:szCs w:val="14"/>
              </w:rPr>
              <w:t>Mitigation plans in place or under implementation</w:t>
            </w:r>
          </w:p>
        </w:tc>
        <w:tc>
          <w:tcPr>
            <w:tcW w:w="2310" w:type="dxa"/>
            <w:tcBorders>
              <w:top w:val="single" w:sz="4" w:space="0" w:color="auto"/>
              <w:left w:val="nil"/>
              <w:bottom w:val="single" w:sz="4" w:space="0" w:color="auto"/>
              <w:right w:val="nil"/>
            </w:tcBorders>
            <w:shd w:val="clear" w:color="auto" w:fill="C6D9F1" w:themeFill="text2" w:themeFillTint="33"/>
          </w:tcPr>
          <w:p w:rsidR="00805A5E" w:rsidRPr="003C527B" w:rsidRDefault="00805A5E" w:rsidP="00547ACE">
            <w:pPr>
              <w:keepNext/>
              <w:keepLines/>
              <w:jc w:val="center"/>
              <w:rPr>
                <w:b/>
                <w:bCs/>
                <w:sz w:val="18"/>
                <w:szCs w:val="18"/>
              </w:rPr>
            </w:pPr>
            <w:r>
              <w:rPr>
                <w:b/>
                <w:bCs/>
                <w:sz w:val="18"/>
                <w:szCs w:val="18"/>
              </w:rPr>
              <w:t>Evolution of Risk(s) and Mitigation Strategies Over the Biennium</w:t>
            </w:r>
          </w:p>
        </w:tc>
        <w:tc>
          <w:tcPr>
            <w:tcW w:w="2568" w:type="dxa"/>
            <w:tcBorders>
              <w:top w:val="single" w:sz="4" w:space="0" w:color="auto"/>
              <w:left w:val="nil"/>
              <w:bottom w:val="single" w:sz="4" w:space="0" w:color="auto"/>
              <w:right w:val="single" w:sz="4" w:space="0" w:color="auto"/>
            </w:tcBorders>
            <w:shd w:val="clear" w:color="auto" w:fill="C6D9F1" w:themeFill="text2" w:themeFillTint="33"/>
          </w:tcPr>
          <w:p w:rsidR="00805A5E" w:rsidRPr="003C527B" w:rsidRDefault="00805A5E" w:rsidP="00547ACE">
            <w:pPr>
              <w:keepNext/>
              <w:keepLines/>
              <w:jc w:val="center"/>
              <w:rPr>
                <w:b/>
                <w:bCs/>
                <w:sz w:val="18"/>
                <w:szCs w:val="18"/>
              </w:rPr>
            </w:pPr>
            <w:r>
              <w:rPr>
                <w:b/>
                <w:bCs/>
                <w:sz w:val="18"/>
                <w:szCs w:val="18"/>
              </w:rPr>
              <w:t>Impact on the Program’s Performance</w:t>
            </w:r>
          </w:p>
        </w:tc>
      </w:tr>
      <w:tr w:rsidR="00805A5E" w:rsidRPr="003C527B" w:rsidTr="00547ACE">
        <w:trPr>
          <w:trHeight w:val="776"/>
        </w:trPr>
        <w:tc>
          <w:tcPr>
            <w:tcW w:w="2396" w:type="dxa"/>
            <w:tcBorders>
              <w:top w:val="single" w:sz="4" w:space="0" w:color="auto"/>
            </w:tcBorders>
            <w:shd w:val="clear" w:color="auto" w:fill="auto"/>
            <w:tcMar>
              <w:top w:w="113" w:type="dxa"/>
              <w:bottom w:w="85" w:type="dxa"/>
            </w:tcMar>
          </w:tcPr>
          <w:p w:rsidR="00805A5E" w:rsidRPr="003C527B" w:rsidRDefault="00805A5E" w:rsidP="00547ACE">
            <w:pPr>
              <w:keepNext/>
              <w:keepLines/>
              <w:tabs>
                <w:tab w:val="left" w:pos="3465"/>
              </w:tabs>
              <w:rPr>
                <w:sz w:val="16"/>
              </w:rPr>
            </w:pPr>
            <w:r w:rsidRPr="003C527B">
              <w:rPr>
                <w:sz w:val="16"/>
                <w:lang w:eastAsia="zh-CN"/>
              </w:rPr>
              <w:t xml:space="preserve">WIPO’s effective interaction with and relevance to UN and other IGO and NGO processes is </w:t>
            </w:r>
            <w:r>
              <w:rPr>
                <w:sz w:val="16"/>
                <w:lang w:eastAsia="zh-CN"/>
              </w:rPr>
              <w:t>depende</w:t>
            </w:r>
            <w:r w:rsidRPr="003C527B">
              <w:rPr>
                <w:sz w:val="16"/>
                <w:lang w:eastAsia="zh-CN"/>
              </w:rPr>
              <w:t>nt upon acceptance that WIPO is a credible and reliable source of support, assistance and information.</w:t>
            </w:r>
          </w:p>
        </w:tc>
        <w:tc>
          <w:tcPr>
            <w:tcW w:w="2224" w:type="dxa"/>
            <w:tcBorders>
              <w:top w:val="single" w:sz="4" w:space="0" w:color="auto"/>
            </w:tcBorders>
            <w:shd w:val="clear" w:color="auto" w:fill="auto"/>
            <w:tcMar>
              <w:top w:w="113" w:type="dxa"/>
              <w:bottom w:w="85" w:type="dxa"/>
            </w:tcMar>
          </w:tcPr>
          <w:p w:rsidR="00805A5E" w:rsidRPr="003C527B" w:rsidRDefault="00805A5E" w:rsidP="00547ACE">
            <w:pPr>
              <w:keepNext/>
              <w:keepLines/>
              <w:autoSpaceDE w:val="0"/>
              <w:autoSpaceDN w:val="0"/>
              <w:adjustRightInd w:val="0"/>
              <w:ind w:right="-59"/>
              <w:rPr>
                <w:sz w:val="16"/>
              </w:rPr>
            </w:pPr>
            <w:r w:rsidRPr="003C527B">
              <w:rPr>
                <w:sz w:val="16"/>
                <w:lang w:eastAsia="zh-CN"/>
              </w:rPr>
              <w:t>Ensuring that WIPO contributions are factual, empirically based, balanced, reflective of the views of all stakeholders and timely and well targeted.  Development of partnerships to increase the impact of WIPO contributions</w:t>
            </w:r>
          </w:p>
        </w:tc>
        <w:tc>
          <w:tcPr>
            <w:tcW w:w="2310" w:type="dxa"/>
            <w:tcBorders>
              <w:top w:val="single" w:sz="4" w:space="0" w:color="auto"/>
            </w:tcBorders>
          </w:tcPr>
          <w:p w:rsidR="00805A5E" w:rsidRPr="00650FC6" w:rsidRDefault="00805A5E" w:rsidP="00547ACE">
            <w:pPr>
              <w:rPr>
                <w:sz w:val="16"/>
                <w:szCs w:val="16"/>
              </w:rPr>
            </w:pPr>
            <w:r>
              <w:rPr>
                <w:sz w:val="16"/>
                <w:szCs w:val="16"/>
              </w:rPr>
              <w:t>The risk was accentuated as m</w:t>
            </w:r>
            <w:r w:rsidRPr="00650FC6">
              <w:rPr>
                <w:sz w:val="16"/>
                <w:szCs w:val="16"/>
              </w:rPr>
              <w:t>ajor UN processes in the biennium resulted in increa</w:t>
            </w:r>
            <w:r>
              <w:rPr>
                <w:sz w:val="16"/>
                <w:szCs w:val="16"/>
              </w:rPr>
              <w:t>singly detailed and complex</w:t>
            </w:r>
            <w:r w:rsidRPr="00650FC6">
              <w:rPr>
                <w:sz w:val="16"/>
                <w:szCs w:val="16"/>
              </w:rPr>
              <w:t xml:space="preserve"> requests for contributions.  To ensure </w:t>
            </w:r>
            <w:r>
              <w:rPr>
                <w:sz w:val="16"/>
                <w:szCs w:val="16"/>
              </w:rPr>
              <w:t xml:space="preserve">appropriate mitigation, </w:t>
            </w:r>
            <w:r w:rsidRPr="00650FC6">
              <w:rPr>
                <w:sz w:val="16"/>
                <w:szCs w:val="16"/>
              </w:rPr>
              <w:t>more intensive coordination was emphasized, both internally and with external partners.</w:t>
            </w:r>
          </w:p>
        </w:tc>
        <w:tc>
          <w:tcPr>
            <w:tcW w:w="2568" w:type="dxa"/>
            <w:tcBorders>
              <w:top w:val="single" w:sz="4" w:space="0" w:color="auto"/>
            </w:tcBorders>
          </w:tcPr>
          <w:p w:rsidR="00805A5E" w:rsidRPr="00650FC6" w:rsidRDefault="00805A5E" w:rsidP="00547ACE">
            <w:pPr>
              <w:rPr>
                <w:sz w:val="16"/>
                <w:szCs w:val="16"/>
              </w:rPr>
            </w:pPr>
            <w:r>
              <w:rPr>
                <w:sz w:val="16"/>
              </w:rPr>
              <w:t xml:space="preserve">No material impact on the Program’s performance. </w:t>
            </w:r>
          </w:p>
        </w:tc>
      </w:tr>
      <w:tr w:rsidR="00805A5E" w:rsidRPr="003C527B" w:rsidTr="00547ACE">
        <w:trPr>
          <w:trHeight w:val="939"/>
        </w:trPr>
        <w:tc>
          <w:tcPr>
            <w:tcW w:w="2396" w:type="dxa"/>
            <w:shd w:val="clear" w:color="auto" w:fill="auto"/>
            <w:tcMar>
              <w:top w:w="113" w:type="dxa"/>
              <w:bottom w:w="85" w:type="dxa"/>
            </w:tcMar>
          </w:tcPr>
          <w:p w:rsidR="00805A5E" w:rsidRPr="003C527B" w:rsidRDefault="00805A5E" w:rsidP="00547ACE">
            <w:pPr>
              <w:keepNext/>
              <w:keepLines/>
              <w:tabs>
                <w:tab w:val="left" w:pos="3465"/>
              </w:tabs>
              <w:rPr>
                <w:sz w:val="16"/>
                <w:lang w:eastAsia="zh-CN"/>
              </w:rPr>
            </w:pPr>
            <w:r w:rsidRPr="003C527B">
              <w:rPr>
                <w:sz w:val="16"/>
                <w:lang w:eastAsia="zh-CN"/>
              </w:rPr>
              <w:t>Resource mobilization targets are not met resulting in an inability to initiate specific IP for development projects.</w:t>
            </w:r>
          </w:p>
        </w:tc>
        <w:tc>
          <w:tcPr>
            <w:tcW w:w="2224" w:type="dxa"/>
            <w:shd w:val="clear" w:color="auto" w:fill="auto"/>
            <w:tcMar>
              <w:top w:w="113" w:type="dxa"/>
              <w:bottom w:w="85" w:type="dxa"/>
            </w:tcMar>
          </w:tcPr>
          <w:p w:rsidR="00805A5E" w:rsidRPr="003C527B" w:rsidRDefault="00805A5E" w:rsidP="00547ACE">
            <w:pPr>
              <w:keepNext/>
              <w:keepLines/>
              <w:rPr>
                <w:sz w:val="16"/>
                <w:lang w:eastAsia="zh-CN"/>
              </w:rPr>
            </w:pPr>
            <w:r w:rsidRPr="003C527B">
              <w:rPr>
                <w:sz w:val="16"/>
              </w:rPr>
              <w:t xml:space="preserve">Ensure high quality projects for resource mobilization which are well targeted to donor funding.  Further develop organizational capacity to mobilize and manage extra budgetary resources.  Increase understanding of donor priorities and contacts with donors.  </w:t>
            </w:r>
          </w:p>
        </w:tc>
        <w:tc>
          <w:tcPr>
            <w:tcW w:w="2310" w:type="dxa"/>
          </w:tcPr>
          <w:p w:rsidR="00805A5E" w:rsidRPr="00650FC6" w:rsidRDefault="00805A5E" w:rsidP="00547ACE">
            <w:pPr>
              <w:rPr>
                <w:sz w:val="16"/>
                <w:szCs w:val="16"/>
              </w:rPr>
            </w:pPr>
            <w:r>
              <w:rPr>
                <w:sz w:val="16"/>
                <w:szCs w:val="16"/>
              </w:rPr>
              <w:t>This risk is a continuing risk for the Program, which was effectively addressed by the mitigation measures as planned.</w:t>
            </w:r>
          </w:p>
        </w:tc>
        <w:tc>
          <w:tcPr>
            <w:tcW w:w="2568" w:type="dxa"/>
          </w:tcPr>
          <w:p w:rsidR="00805A5E" w:rsidRDefault="00805A5E" w:rsidP="00547ACE">
            <w:pPr>
              <w:rPr>
                <w:sz w:val="16"/>
                <w:szCs w:val="16"/>
              </w:rPr>
            </w:pPr>
            <w:r>
              <w:rPr>
                <w:sz w:val="16"/>
                <w:szCs w:val="16"/>
              </w:rPr>
              <w:t>No material impact on the Program’s performance.</w:t>
            </w:r>
          </w:p>
          <w:p w:rsidR="00805A5E" w:rsidRPr="00650FC6" w:rsidRDefault="00805A5E" w:rsidP="00547ACE">
            <w:pPr>
              <w:rPr>
                <w:sz w:val="16"/>
                <w:szCs w:val="16"/>
              </w:rPr>
            </w:pPr>
          </w:p>
        </w:tc>
      </w:tr>
      <w:tr w:rsidR="00805A5E" w:rsidRPr="003C527B" w:rsidTr="00547ACE">
        <w:trPr>
          <w:trHeight w:val="939"/>
        </w:trPr>
        <w:tc>
          <w:tcPr>
            <w:tcW w:w="2396" w:type="dxa"/>
            <w:shd w:val="clear" w:color="auto" w:fill="auto"/>
            <w:tcMar>
              <w:top w:w="113" w:type="dxa"/>
              <w:bottom w:w="85" w:type="dxa"/>
            </w:tcMar>
          </w:tcPr>
          <w:p w:rsidR="00805A5E" w:rsidRPr="003C527B" w:rsidRDefault="00805A5E" w:rsidP="00547ACE">
            <w:pPr>
              <w:keepNext/>
              <w:keepLines/>
              <w:autoSpaceDE w:val="0"/>
              <w:autoSpaceDN w:val="0"/>
              <w:adjustRightInd w:val="0"/>
              <w:ind w:right="-59"/>
              <w:rPr>
                <w:sz w:val="16"/>
                <w:szCs w:val="16"/>
              </w:rPr>
            </w:pPr>
            <w:r w:rsidRPr="003C527B">
              <w:rPr>
                <w:sz w:val="16"/>
                <w:szCs w:val="16"/>
              </w:rPr>
              <w:t>Security concerns and/or natural disaster jeopardize External Offices in achieving Expected Results</w:t>
            </w:r>
          </w:p>
        </w:tc>
        <w:tc>
          <w:tcPr>
            <w:tcW w:w="2224" w:type="dxa"/>
            <w:shd w:val="clear" w:color="auto" w:fill="auto"/>
            <w:tcMar>
              <w:top w:w="113" w:type="dxa"/>
              <w:bottom w:w="85" w:type="dxa"/>
            </w:tcMar>
          </w:tcPr>
          <w:p w:rsidR="00805A5E" w:rsidRPr="003C527B" w:rsidRDefault="00805A5E" w:rsidP="00547ACE">
            <w:pPr>
              <w:keepNext/>
              <w:keepLines/>
              <w:autoSpaceDE w:val="0"/>
              <w:autoSpaceDN w:val="0"/>
              <w:adjustRightInd w:val="0"/>
              <w:ind w:right="-59"/>
              <w:rPr>
                <w:sz w:val="16"/>
                <w:szCs w:val="16"/>
              </w:rPr>
            </w:pPr>
            <w:r w:rsidRPr="003C527B">
              <w:rPr>
                <w:sz w:val="16"/>
                <w:szCs w:val="16"/>
              </w:rPr>
              <w:t>Close cooperation with the host government and extension of WIPO business continuity plan to include External Offices</w:t>
            </w:r>
          </w:p>
        </w:tc>
        <w:tc>
          <w:tcPr>
            <w:tcW w:w="2310" w:type="dxa"/>
          </w:tcPr>
          <w:p w:rsidR="00805A5E" w:rsidRPr="003C527B" w:rsidRDefault="00805A5E" w:rsidP="00547ACE">
            <w:pPr>
              <w:keepNext/>
              <w:keepLines/>
              <w:rPr>
                <w:sz w:val="16"/>
              </w:rPr>
            </w:pPr>
            <w:r>
              <w:rPr>
                <w:sz w:val="16"/>
              </w:rPr>
              <w:t xml:space="preserve">This is a continuous risk, which was effectively mitigated through the envisaged mitigation measures, including closer cooperation with relevant Authorities and enhanced disaster preparedness measures such as the procurement of survival supplies and the creation of an internal communication tree.  </w:t>
            </w:r>
          </w:p>
        </w:tc>
        <w:tc>
          <w:tcPr>
            <w:tcW w:w="2568" w:type="dxa"/>
          </w:tcPr>
          <w:p w:rsidR="00805A5E" w:rsidRPr="003C527B" w:rsidRDefault="00805A5E" w:rsidP="00547ACE">
            <w:pPr>
              <w:keepNext/>
              <w:keepLines/>
              <w:rPr>
                <w:sz w:val="16"/>
              </w:rPr>
            </w:pPr>
            <w:r>
              <w:rPr>
                <w:sz w:val="16"/>
              </w:rPr>
              <w:t xml:space="preserve">No material impact on the Program’s performance. </w:t>
            </w:r>
          </w:p>
        </w:tc>
      </w:tr>
    </w:tbl>
    <w:p w:rsidR="00805A5E" w:rsidRDefault="00805A5E" w:rsidP="00547ACE">
      <w:pPr>
        <w:rPr>
          <w:rFonts w:cs="Arial"/>
          <w:color w:val="000000"/>
          <w:sz w:val="22"/>
          <w:szCs w:val="20"/>
        </w:rPr>
      </w:pPr>
    </w:p>
    <w:p w:rsidR="00805A5E" w:rsidRDefault="00805A5E" w:rsidP="00547ACE">
      <w:pPr>
        <w:rPr>
          <w:rFonts w:cs="Arial"/>
          <w:color w:val="000000"/>
          <w:sz w:val="22"/>
          <w:szCs w:val="20"/>
        </w:rPr>
      </w:pPr>
    </w:p>
    <w:p w:rsidR="00805A5E" w:rsidRPr="009A4846" w:rsidRDefault="00805A5E" w:rsidP="00547ACE">
      <w:pPr>
        <w:keepNext/>
        <w:keepLines/>
        <w:rPr>
          <w:rFonts w:cs="Arial"/>
          <w:color w:val="000000"/>
          <w:szCs w:val="20"/>
        </w:rPr>
      </w:pPr>
      <w:r w:rsidRPr="009A4846">
        <w:rPr>
          <w:rFonts w:cs="Arial"/>
          <w:color w:val="000000"/>
          <w:szCs w:val="20"/>
        </w:rPr>
        <w:t>RESOURCE UTILIZATION</w:t>
      </w:r>
      <w:r w:rsidRPr="009A4846">
        <w:rPr>
          <w:rFonts w:cs="Arial"/>
          <w:color w:val="000000"/>
          <w:szCs w:val="20"/>
        </w:rPr>
        <w:tab/>
      </w:r>
    </w:p>
    <w:p w:rsidR="00805A5E" w:rsidRPr="00FB7274" w:rsidRDefault="00805A5E" w:rsidP="00547ACE">
      <w:pPr>
        <w:pStyle w:val="NormalWeb"/>
        <w:keepNext/>
        <w:keepLines/>
        <w:spacing w:before="0" w:beforeAutospacing="0" w:after="0" w:afterAutospacing="0"/>
        <w:jc w:val="center"/>
        <w:rPr>
          <w:sz w:val="20"/>
          <w:szCs w:val="20"/>
        </w:rPr>
      </w:pPr>
      <w:r w:rsidRPr="00FB7274">
        <w:rPr>
          <w:color w:val="000000"/>
          <w:sz w:val="20"/>
          <w:szCs w:val="20"/>
        </w:rPr>
        <w:t xml:space="preserve">Budget and Actual Expenditure (by result) </w:t>
      </w:r>
    </w:p>
    <w:p w:rsidR="00805A5E" w:rsidRPr="00FB7274" w:rsidRDefault="00805A5E" w:rsidP="00547ACE">
      <w:pPr>
        <w:pStyle w:val="NormalWeb"/>
        <w:keepNext/>
        <w:keepLines/>
        <w:spacing w:before="0" w:beforeAutospacing="0" w:after="0" w:afterAutospacing="0"/>
        <w:jc w:val="center"/>
        <w:rPr>
          <w:i/>
          <w:iCs/>
          <w:color w:val="000000"/>
          <w:sz w:val="20"/>
          <w:szCs w:val="20"/>
        </w:rPr>
      </w:pPr>
      <w:r w:rsidRPr="00FB7274">
        <w:rPr>
          <w:i/>
          <w:iCs/>
          <w:color w:val="000000"/>
          <w:sz w:val="20"/>
          <w:szCs w:val="20"/>
        </w:rPr>
        <w:t>(in thousands of Swiss francs)</w:t>
      </w:r>
    </w:p>
    <w:p w:rsidR="00805A5E" w:rsidRPr="000E1A74" w:rsidRDefault="00805A5E" w:rsidP="00547ACE">
      <w:pPr>
        <w:pStyle w:val="NormalWeb"/>
        <w:keepNext/>
        <w:keepLines/>
        <w:spacing w:before="0" w:beforeAutospacing="0" w:after="0" w:afterAutospacing="0"/>
        <w:jc w:val="center"/>
        <w:rPr>
          <w:szCs w:val="20"/>
        </w:rPr>
      </w:pPr>
    </w:p>
    <w:p w:rsidR="00805A5E" w:rsidRDefault="00805A5E" w:rsidP="00547ACE">
      <w:pPr>
        <w:jc w:val="center"/>
      </w:pPr>
      <w:r w:rsidRPr="00A73DA9">
        <w:rPr>
          <w:noProof/>
        </w:rPr>
        <w:drawing>
          <wp:inline distT="0" distB="0" distL="0" distR="0" wp14:anchorId="04E3FFDA" wp14:editId="39DB0C9C">
            <wp:extent cx="4974336" cy="5360771"/>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9">
                      <a:extLst>
                        <a:ext uri="{28A0092B-C50C-407E-A947-70E740481C1C}">
                          <a14:useLocalDpi xmlns:a14="http://schemas.microsoft.com/office/drawing/2010/main" val="0"/>
                        </a:ext>
                      </a:extLst>
                    </a:blip>
                    <a:srcRect/>
                    <a:stretch>
                      <a:fillRect/>
                    </a:stretch>
                  </pic:blipFill>
                  <pic:spPr bwMode="auto">
                    <a:xfrm>
                      <a:off x="0" y="0"/>
                      <a:ext cx="4980621" cy="5367544"/>
                    </a:xfrm>
                    <a:prstGeom prst="rect">
                      <a:avLst/>
                    </a:prstGeom>
                    <a:noFill/>
                    <a:ln>
                      <a:noFill/>
                    </a:ln>
                  </pic:spPr>
                </pic:pic>
              </a:graphicData>
            </a:graphic>
          </wp:inline>
        </w:drawing>
      </w:r>
    </w:p>
    <w:p w:rsidR="00805A5E" w:rsidRDefault="00805A5E" w:rsidP="00547ACE">
      <w:pPr>
        <w:jc w:val="center"/>
      </w:pPr>
    </w:p>
    <w:p w:rsidR="00805A5E" w:rsidRDefault="00805A5E" w:rsidP="00547ACE">
      <w:pPr>
        <w:pStyle w:val="NormalWeb"/>
        <w:keepNext/>
        <w:keepLines/>
        <w:spacing w:before="0" w:beforeAutospacing="0" w:after="0" w:afterAutospacing="0"/>
        <w:jc w:val="center"/>
        <w:rPr>
          <w:sz w:val="20"/>
          <w:szCs w:val="20"/>
        </w:rPr>
      </w:pPr>
      <w:r>
        <w:rPr>
          <w:color w:val="000000"/>
          <w:sz w:val="20"/>
          <w:szCs w:val="20"/>
        </w:rPr>
        <w:t xml:space="preserve">Budget and Actual Expenditure (personnel and non-personnel) </w:t>
      </w:r>
    </w:p>
    <w:p w:rsidR="00805A5E" w:rsidRDefault="00805A5E" w:rsidP="00547ACE">
      <w:pPr>
        <w:pStyle w:val="NormalWeb"/>
        <w:keepNext/>
        <w:keepLines/>
        <w:spacing w:before="0" w:beforeAutospacing="0" w:after="0" w:afterAutospacing="0"/>
        <w:jc w:val="center"/>
        <w:rPr>
          <w:i/>
          <w:iCs/>
          <w:color w:val="000000"/>
          <w:sz w:val="20"/>
          <w:szCs w:val="20"/>
        </w:rPr>
      </w:pPr>
      <w:r>
        <w:rPr>
          <w:i/>
          <w:iCs/>
          <w:color w:val="000000"/>
          <w:sz w:val="20"/>
          <w:szCs w:val="20"/>
        </w:rPr>
        <w:t>(in thousands of Swiss francs)</w:t>
      </w:r>
    </w:p>
    <w:p w:rsidR="00805A5E" w:rsidRDefault="00805A5E" w:rsidP="00547ACE">
      <w:pPr>
        <w:pStyle w:val="NormalWeb"/>
        <w:keepNext/>
        <w:keepLines/>
        <w:spacing w:before="0" w:beforeAutospacing="0" w:after="0" w:afterAutospacing="0"/>
        <w:jc w:val="center"/>
      </w:pPr>
    </w:p>
    <w:p w:rsidR="00805A5E" w:rsidRPr="004C0C4E" w:rsidRDefault="00805A5E" w:rsidP="00547ACE">
      <w:pPr>
        <w:jc w:val="center"/>
        <w:rPr>
          <w:rFonts w:cs="Arial"/>
          <w:i/>
          <w:szCs w:val="16"/>
        </w:rPr>
      </w:pPr>
      <w:r w:rsidRPr="001F69F2">
        <w:rPr>
          <w:noProof/>
        </w:rPr>
        <w:drawing>
          <wp:inline distT="0" distB="0" distL="0" distR="0" wp14:anchorId="237FA247" wp14:editId="72813CF4">
            <wp:extent cx="4974336" cy="956864"/>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0">
                      <a:extLst>
                        <a:ext uri="{28A0092B-C50C-407E-A947-70E740481C1C}">
                          <a14:useLocalDpi xmlns:a14="http://schemas.microsoft.com/office/drawing/2010/main" val="0"/>
                        </a:ext>
                      </a:extLst>
                    </a:blip>
                    <a:srcRect/>
                    <a:stretch>
                      <a:fillRect/>
                    </a:stretch>
                  </pic:blipFill>
                  <pic:spPr bwMode="auto">
                    <a:xfrm>
                      <a:off x="0" y="0"/>
                      <a:ext cx="5034891" cy="968512"/>
                    </a:xfrm>
                    <a:prstGeom prst="rect">
                      <a:avLst/>
                    </a:prstGeom>
                    <a:noFill/>
                    <a:ln>
                      <a:noFill/>
                    </a:ln>
                  </pic:spPr>
                </pic:pic>
              </a:graphicData>
            </a:graphic>
          </wp:inline>
        </w:drawing>
      </w:r>
    </w:p>
    <w:p w:rsidR="00805A5E" w:rsidRDefault="00805A5E" w:rsidP="00547ACE">
      <w:pPr>
        <w:rPr>
          <w:rFonts w:cs="Arial"/>
          <w:i/>
          <w:szCs w:val="16"/>
        </w:rPr>
      </w:pPr>
    </w:p>
    <w:p w:rsidR="00805A5E" w:rsidRDefault="00805A5E" w:rsidP="00547ACE">
      <w:pPr>
        <w:rPr>
          <w:rFonts w:cs="Arial"/>
          <w:i/>
          <w:szCs w:val="16"/>
        </w:rPr>
      </w:pPr>
    </w:p>
    <w:p w:rsidR="00805A5E" w:rsidRDefault="00805A5E" w:rsidP="00547ACE">
      <w:pPr>
        <w:rPr>
          <w:rFonts w:cs="Arial"/>
          <w:szCs w:val="20"/>
          <w:u w:val="single"/>
        </w:rPr>
      </w:pPr>
      <w:r w:rsidRPr="00FB7274">
        <w:rPr>
          <w:rFonts w:cs="Arial"/>
          <w:szCs w:val="20"/>
        </w:rPr>
        <w:t>A.</w:t>
      </w:r>
      <w:r w:rsidRPr="00FB7274">
        <w:rPr>
          <w:rFonts w:cs="Arial"/>
          <w:szCs w:val="20"/>
        </w:rPr>
        <w:tab/>
      </w:r>
      <w:r w:rsidRPr="00FB7274">
        <w:rPr>
          <w:rFonts w:cs="Arial"/>
          <w:szCs w:val="20"/>
          <w:u w:val="single"/>
        </w:rPr>
        <w:t>2014/15</w:t>
      </w:r>
      <w:r>
        <w:rPr>
          <w:rFonts w:cs="Arial"/>
          <w:szCs w:val="20"/>
          <w:u w:val="single"/>
        </w:rPr>
        <w:t xml:space="preserve"> Final </w:t>
      </w:r>
      <w:r w:rsidRPr="00FB7274">
        <w:rPr>
          <w:rFonts w:cs="Arial"/>
          <w:szCs w:val="20"/>
          <w:u w:val="single"/>
        </w:rPr>
        <w:t xml:space="preserve">Budget after Transfers </w:t>
      </w:r>
    </w:p>
    <w:p w:rsidR="00805A5E" w:rsidRDefault="00805A5E" w:rsidP="00547ACE">
      <w:pPr>
        <w:rPr>
          <w:rFonts w:cs="Arial"/>
          <w:szCs w:val="20"/>
          <w:u w:val="single"/>
        </w:rPr>
      </w:pPr>
    </w:p>
    <w:p w:rsidR="00805A5E" w:rsidRDefault="00805A5E" w:rsidP="00743383">
      <w:pPr>
        <w:pStyle w:val="ListParagraph"/>
        <w:numPr>
          <w:ilvl w:val="0"/>
          <w:numId w:val="160"/>
        </w:numPr>
        <w:tabs>
          <w:tab w:val="left" w:pos="709"/>
        </w:tabs>
        <w:ind w:left="0" w:firstLine="0"/>
        <w:jc w:val="both"/>
        <w:rPr>
          <w:rFonts w:cs="Arial"/>
        </w:rPr>
      </w:pPr>
      <w:r w:rsidRPr="0042136A">
        <w:rPr>
          <w:rFonts w:cs="Arial"/>
        </w:rPr>
        <w:t xml:space="preserve">The net </w:t>
      </w:r>
      <w:r>
        <w:rPr>
          <w:rFonts w:cs="Arial"/>
        </w:rPr>
        <w:t>decrease in personnel resources</w:t>
      </w:r>
      <w:r w:rsidRPr="0042136A">
        <w:rPr>
          <w:rFonts w:cs="Arial"/>
        </w:rPr>
        <w:t xml:space="preserve"> in the 2014/15 </w:t>
      </w:r>
      <w:r>
        <w:rPr>
          <w:rFonts w:cs="Arial"/>
        </w:rPr>
        <w:t xml:space="preserve">Final </w:t>
      </w:r>
      <w:r w:rsidRPr="0042136A">
        <w:rPr>
          <w:rFonts w:cs="Arial"/>
        </w:rPr>
        <w:t xml:space="preserve">Budget after Transfers reflects </w:t>
      </w:r>
      <w:r w:rsidRPr="0042136A">
        <w:rPr>
          <w:rFonts w:cs="Arial"/>
          <w:lang w:eastAsia="ko-KR"/>
        </w:rPr>
        <w:t>the transfer of</w:t>
      </w:r>
      <w:r w:rsidRPr="00152A1E">
        <w:rPr>
          <w:rFonts w:cs="Arial"/>
          <w:lang w:eastAsia="ko-KR"/>
        </w:rPr>
        <w:t xml:space="preserve"> personnel resources to Program 9 to </w:t>
      </w:r>
      <w:r>
        <w:rPr>
          <w:rFonts w:cs="Arial"/>
          <w:lang w:eastAsia="ko-KR"/>
        </w:rPr>
        <w:t xml:space="preserve">reinforce the activities of the </w:t>
      </w:r>
      <w:r w:rsidRPr="00152A1E">
        <w:rPr>
          <w:rFonts w:cs="Arial"/>
          <w:lang w:eastAsia="ko-KR"/>
        </w:rPr>
        <w:t xml:space="preserve">Africa Bureau </w:t>
      </w:r>
      <w:r>
        <w:rPr>
          <w:rFonts w:cs="Arial"/>
          <w:lang w:eastAsia="ko-KR"/>
        </w:rPr>
        <w:t>(</w:t>
      </w:r>
      <w:r w:rsidRPr="00152A1E">
        <w:rPr>
          <w:rFonts w:cs="Arial"/>
          <w:lang w:eastAsia="ko-KR"/>
        </w:rPr>
        <w:t xml:space="preserve">reflected </w:t>
      </w:r>
      <w:r>
        <w:rPr>
          <w:rFonts w:cs="Arial"/>
          <w:lang w:eastAsia="ko-KR"/>
        </w:rPr>
        <w:t xml:space="preserve">as a decrease </w:t>
      </w:r>
      <w:r w:rsidRPr="00152A1E">
        <w:rPr>
          <w:rFonts w:cs="Arial"/>
          <w:lang w:eastAsia="ko-KR"/>
        </w:rPr>
        <w:t>under Result VIII.4 (Open, transparent and responsive interactions with NGOs)</w:t>
      </w:r>
      <w:r>
        <w:rPr>
          <w:rFonts w:cs="Arial"/>
          <w:lang w:eastAsia="ko-KR"/>
        </w:rPr>
        <w:t>.</w:t>
      </w:r>
    </w:p>
    <w:p w:rsidR="00805A5E" w:rsidRDefault="00805A5E" w:rsidP="00743383">
      <w:pPr>
        <w:pStyle w:val="ListParagraph"/>
        <w:tabs>
          <w:tab w:val="left" w:pos="709"/>
        </w:tabs>
        <w:ind w:left="0"/>
        <w:contextualSpacing/>
        <w:jc w:val="both"/>
        <w:rPr>
          <w:rFonts w:cs="Arial"/>
        </w:rPr>
      </w:pPr>
    </w:p>
    <w:p w:rsidR="00805A5E" w:rsidRPr="005B48CA" w:rsidRDefault="00805A5E" w:rsidP="00743383">
      <w:pPr>
        <w:pStyle w:val="ListParagraph"/>
        <w:numPr>
          <w:ilvl w:val="0"/>
          <w:numId w:val="160"/>
        </w:numPr>
        <w:tabs>
          <w:tab w:val="left" w:pos="709"/>
        </w:tabs>
        <w:ind w:left="0" w:firstLine="0"/>
        <w:jc w:val="both"/>
        <w:rPr>
          <w:rFonts w:cs="Arial"/>
          <w:u w:val="single"/>
        </w:rPr>
      </w:pPr>
      <w:r>
        <w:rPr>
          <w:rFonts w:cs="Arial"/>
        </w:rPr>
        <w:t xml:space="preserve">The net increase in non-personnel resources in the 2014/15 Budget after Transfers is due primarily to:  (i) </w:t>
      </w:r>
      <w:r w:rsidRPr="0042136A">
        <w:rPr>
          <w:rFonts w:cs="Arial"/>
        </w:rPr>
        <w:t xml:space="preserve">the </w:t>
      </w:r>
      <w:r>
        <w:rPr>
          <w:rFonts w:cs="Arial"/>
        </w:rPr>
        <w:t>initial allocation</w:t>
      </w:r>
      <w:r w:rsidRPr="0042136A">
        <w:rPr>
          <w:rFonts w:cs="Arial"/>
        </w:rPr>
        <w:t xml:space="preserve"> of resources to the W</w:t>
      </w:r>
      <w:r>
        <w:rPr>
          <w:rFonts w:cs="Arial"/>
        </w:rPr>
        <w:t>OC</w:t>
      </w:r>
      <w:r w:rsidRPr="0042136A">
        <w:rPr>
          <w:rFonts w:cs="Arial"/>
        </w:rPr>
        <w:t xml:space="preserve"> and WRO</w:t>
      </w:r>
      <w:r>
        <w:rPr>
          <w:rFonts w:cs="Arial"/>
        </w:rPr>
        <w:t>;  (ii) the transfer of additional funds to the WOC for infrastructure work under the GOA project;  and (iii) the transfer of additional funds to the External Offices for the participation of the heads of the External Offices in the WIPO General Assemblies</w:t>
      </w:r>
      <w:r w:rsidRPr="00152A1E">
        <w:rPr>
          <w:rFonts w:cs="Arial"/>
          <w:lang w:eastAsia="ko-KR"/>
        </w:rPr>
        <w:t>.</w:t>
      </w:r>
    </w:p>
    <w:p w:rsidR="00805A5E" w:rsidRPr="007C6C81" w:rsidRDefault="00805A5E" w:rsidP="00743383">
      <w:pPr>
        <w:pStyle w:val="ListParagraph"/>
        <w:tabs>
          <w:tab w:val="left" w:pos="709"/>
        </w:tabs>
        <w:ind w:left="0"/>
        <w:jc w:val="both"/>
        <w:rPr>
          <w:rFonts w:cs="Arial"/>
          <w:u w:val="single"/>
        </w:rPr>
      </w:pPr>
    </w:p>
    <w:p w:rsidR="00805A5E" w:rsidRPr="007C6C81" w:rsidRDefault="00805A5E" w:rsidP="00743383">
      <w:pPr>
        <w:pStyle w:val="ListParagraph"/>
        <w:numPr>
          <w:ilvl w:val="0"/>
          <w:numId w:val="160"/>
        </w:numPr>
        <w:tabs>
          <w:tab w:val="left" w:pos="709"/>
        </w:tabs>
        <w:ind w:left="0" w:firstLine="0"/>
        <w:jc w:val="both"/>
        <w:rPr>
          <w:rFonts w:cs="Arial"/>
          <w:u w:val="single"/>
        </w:rPr>
      </w:pPr>
      <w:r w:rsidRPr="005B48CA">
        <w:t>The</w:t>
      </w:r>
      <w:r w:rsidRPr="00152A1E">
        <w:rPr>
          <w:rFonts w:cs="Arial"/>
          <w:lang w:eastAsia="ko-KR"/>
        </w:rPr>
        <w:t xml:space="preserve"> adjustments across </w:t>
      </w:r>
      <w:r>
        <w:rPr>
          <w:rFonts w:cs="Arial"/>
          <w:lang w:eastAsia="ko-KR"/>
        </w:rPr>
        <w:t xml:space="preserve">Expected </w:t>
      </w:r>
      <w:r w:rsidRPr="00152A1E">
        <w:rPr>
          <w:rFonts w:cs="Arial"/>
          <w:lang w:eastAsia="ko-KR"/>
        </w:rPr>
        <w:t xml:space="preserve">Results are primarily due to: (i) the initial allocation of resources </w:t>
      </w:r>
      <w:r>
        <w:rPr>
          <w:rFonts w:cs="Arial"/>
          <w:lang w:eastAsia="ko-KR"/>
        </w:rPr>
        <w:t>for</w:t>
      </w:r>
      <w:r w:rsidRPr="00152A1E">
        <w:rPr>
          <w:rFonts w:cs="Arial"/>
          <w:lang w:eastAsia="ko-KR"/>
        </w:rPr>
        <w:t xml:space="preserve"> the W</w:t>
      </w:r>
      <w:r>
        <w:rPr>
          <w:rFonts w:cs="Arial"/>
          <w:lang w:eastAsia="ko-KR"/>
        </w:rPr>
        <w:t>OC</w:t>
      </w:r>
      <w:r w:rsidRPr="00152A1E">
        <w:rPr>
          <w:rFonts w:cs="Arial"/>
          <w:lang w:eastAsia="ko-KR"/>
        </w:rPr>
        <w:t xml:space="preserve"> and WRO, </w:t>
      </w:r>
      <w:r>
        <w:rPr>
          <w:rFonts w:cs="Arial"/>
          <w:lang w:eastAsia="ko-KR"/>
        </w:rPr>
        <w:t xml:space="preserve">which are reflected, </w:t>
      </w:r>
      <w:r w:rsidRPr="00152A1E">
        <w:rPr>
          <w:rFonts w:cs="Arial"/>
          <w:lang w:eastAsia="ko-KR"/>
        </w:rPr>
        <w:t>in particular</w:t>
      </w:r>
      <w:r>
        <w:rPr>
          <w:rFonts w:cs="Arial"/>
          <w:lang w:eastAsia="ko-KR"/>
        </w:rPr>
        <w:t>,</w:t>
      </w:r>
      <w:r w:rsidRPr="00152A1E">
        <w:rPr>
          <w:rFonts w:cs="Arial"/>
          <w:lang w:eastAsia="ko-KR"/>
        </w:rPr>
        <w:t xml:space="preserve"> under Results II.1 (Increased use of the PCT) and II.6 (Wider and better use of the Madrid and Lisbon Systems); (ii) the increased focus of the External Offices on more effective communication about WIPO’s Global IP Services reflected under Result VIII.1 (More effective communication to a broad public) and improved customer service reflected under VIII.2 (Improved service orientation and responsiveness to inquiries);</w:t>
      </w:r>
      <w:r>
        <w:rPr>
          <w:rFonts w:cs="Arial"/>
          <w:lang w:eastAsia="ko-KR"/>
        </w:rPr>
        <w:t xml:space="preserve"> and, </w:t>
      </w:r>
      <w:r w:rsidRPr="00152A1E">
        <w:rPr>
          <w:rFonts w:cs="Arial"/>
          <w:lang w:eastAsia="ko-KR"/>
        </w:rPr>
        <w:t>(iii) the redistribution of resources from VIII.4 (Open, transparent and responsive interactions with NGOs) to VIII.5 (WIPO effectively interacts and partners with UN and other IGO processes) following the internal reorganization of the Program</w:t>
      </w:r>
      <w:r>
        <w:rPr>
          <w:rFonts w:cs="Arial"/>
          <w:lang w:eastAsia="ko-KR"/>
        </w:rPr>
        <w:t>.</w:t>
      </w:r>
      <w:r w:rsidRPr="00152A1E">
        <w:rPr>
          <w:rFonts w:cs="Arial"/>
          <w:lang w:eastAsia="ko-KR"/>
        </w:rPr>
        <w:t xml:space="preserve">  </w:t>
      </w:r>
    </w:p>
    <w:p w:rsidR="00805A5E" w:rsidRPr="00FB7274" w:rsidRDefault="00805A5E" w:rsidP="00743383">
      <w:pPr>
        <w:tabs>
          <w:tab w:val="left" w:pos="709"/>
        </w:tabs>
        <w:rPr>
          <w:rFonts w:cs="Arial"/>
          <w:szCs w:val="20"/>
          <w:lang w:eastAsia="ko-KR"/>
        </w:rPr>
      </w:pPr>
    </w:p>
    <w:p w:rsidR="00805A5E" w:rsidRDefault="00805A5E" w:rsidP="00743383">
      <w:pPr>
        <w:tabs>
          <w:tab w:val="left" w:pos="709"/>
        </w:tabs>
        <w:jc w:val="both"/>
        <w:rPr>
          <w:rFonts w:cs="Arial"/>
          <w:szCs w:val="20"/>
          <w:u w:val="single"/>
          <w:lang w:eastAsia="ko-KR"/>
        </w:rPr>
      </w:pPr>
      <w:r w:rsidRPr="00FB7274">
        <w:rPr>
          <w:rFonts w:cs="Arial"/>
          <w:szCs w:val="20"/>
          <w:lang w:eastAsia="ko-KR"/>
        </w:rPr>
        <w:t>B.</w:t>
      </w:r>
      <w:r w:rsidRPr="00FB7274">
        <w:rPr>
          <w:rFonts w:cs="Arial"/>
          <w:szCs w:val="20"/>
          <w:lang w:eastAsia="ko-KR"/>
        </w:rPr>
        <w:tab/>
      </w:r>
      <w:r w:rsidRPr="00FB7274">
        <w:rPr>
          <w:rFonts w:cs="Arial"/>
          <w:szCs w:val="20"/>
          <w:u w:val="single"/>
        </w:rPr>
        <w:t>2014/15</w:t>
      </w:r>
      <w:r>
        <w:rPr>
          <w:rFonts w:cs="Arial"/>
          <w:szCs w:val="20"/>
          <w:u w:val="single"/>
        </w:rPr>
        <w:t xml:space="preserve"> </w:t>
      </w:r>
      <w:r>
        <w:rPr>
          <w:rFonts w:cs="Arial"/>
          <w:szCs w:val="20"/>
          <w:u w:val="single"/>
          <w:lang w:eastAsia="ko-KR"/>
        </w:rPr>
        <w:t>Budget U</w:t>
      </w:r>
      <w:r w:rsidRPr="00FB7274">
        <w:rPr>
          <w:rFonts w:cs="Arial"/>
          <w:szCs w:val="20"/>
          <w:u w:val="single"/>
          <w:lang w:eastAsia="ko-KR"/>
        </w:rPr>
        <w:t xml:space="preserve">tilization </w:t>
      </w:r>
    </w:p>
    <w:p w:rsidR="00805A5E" w:rsidRDefault="00805A5E" w:rsidP="00743383">
      <w:pPr>
        <w:tabs>
          <w:tab w:val="left" w:pos="709"/>
        </w:tabs>
        <w:jc w:val="both"/>
        <w:rPr>
          <w:rFonts w:cs="Arial"/>
          <w:szCs w:val="20"/>
          <w:u w:val="single"/>
          <w:lang w:eastAsia="ko-KR"/>
        </w:rPr>
      </w:pPr>
    </w:p>
    <w:p w:rsidR="00805A5E" w:rsidRDefault="00805A5E" w:rsidP="00743383">
      <w:pPr>
        <w:pStyle w:val="ListParagraph"/>
        <w:numPr>
          <w:ilvl w:val="0"/>
          <w:numId w:val="160"/>
        </w:numPr>
        <w:tabs>
          <w:tab w:val="left" w:pos="709"/>
        </w:tabs>
        <w:ind w:left="0" w:firstLine="0"/>
        <w:jc w:val="both"/>
      </w:pPr>
      <w:r w:rsidRPr="005821DA">
        <w:rPr>
          <w:color w:val="000000"/>
          <w:lang w:eastAsia="zh-CN"/>
        </w:rPr>
        <w:t>Overall budget utilization for the biennium 2014/15 amounted to 81 per cent.  This</w:t>
      </w:r>
      <w:r w:rsidRPr="005821DA">
        <w:rPr>
          <w:rFonts w:cs="Arial"/>
          <w:lang w:eastAsia="ko-KR"/>
        </w:rPr>
        <w:t xml:space="preserve"> is primarily due to:  (i) the openings of the WOC and WRO in July 2014, i.e. mid-year, reflected in particular under Results II.1 (Increased use of the PCT), II.6 (Wider and better use of the Madrid and Lisbon Systems) and III.2 (Enhanced human resources capacities);  (ii) the postponement of the activities related to the project on the use of alternative dispute resolution services in IP transactions in the WBO as reflected in Result II.8 (International and domestic IP disputes);  (iii) certain capacity building activities reflected under III.2</w:t>
      </w:r>
      <w:r>
        <w:rPr>
          <w:rFonts w:cs="Arial"/>
          <w:lang w:eastAsia="ko-KR"/>
        </w:rPr>
        <w:t> </w:t>
      </w:r>
      <w:r w:rsidRPr="005821DA">
        <w:rPr>
          <w:rFonts w:cs="Arial"/>
          <w:lang w:eastAsia="ko-KR"/>
        </w:rPr>
        <w:t>(Enhanced human resources capacities) being undertaken by other Programs directly in the countries/regions;  and (iv) the implementation of cost efficiency measures as regards staff missions, in particular under VIII.5 (WIPO effectively interacts and partners with UN and other IGO processes).</w:t>
      </w:r>
    </w:p>
    <w:p w:rsidR="00805A5E" w:rsidRDefault="00805A5E" w:rsidP="00743383">
      <w:pPr>
        <w:tabs>
          <w:tab w:val="left" w:pos="709"/>
        </w:tabs>
      </w:pPr>
    </w:p>
    <w:p w:rsidR="008D43FD" w:rsidRDefault="008D43FD" w:rsidP="00743383">
      <w:pPr>
        <w:tabs>
          <w:tab w:val="left" w:pos="709"/>
        </w:tabs>
      </w:pPr>
      <w:r>
        <w:br w:type="page"/>
      </w:r>
    </w:p>
    <w:p w:rsidR="008D43FD" w:rsidRDefault="008D43FD" w:rsidP="005A7878">
      <w:pPr>
        <w:pStyle w:val="StyleHeading214ptAuto"/>
        <w:rPr>
          <w:rFonts w:ascii="Arial" w:hAnsi="Arial" w:cs="Arial"/>
          <w:sz w:val="20"/>
          <w:szCs w:val="20"/>
        </w:rPr>
      </w:pPr>
      <w:bookmarkStart w:id="102" w:name="_Toc454544494"/>
      <w:bookmarkStart w:id="103" w:name="_Toc367350601"/>
      <w:r w:rsidRPr="00E07FBB">
        <w:rPr>
          <w:rFonts w:ascii="Arial" w:hAnsi="Arial" w:cs="Arial"/>
          <w:sz w:val="20"/>
          <w:szCs w:val="20"/>
        </w:rPr>
        <w:t>STRATEGIC GOAL IX</w:t>
      </w:r>
      <w:bookmarkEnd w:id="102"/>
    </w:p>
    <w:p w:rsidR="008D43FD" w:rsidRPr="003E2D93" w:rsidRDefault="008D43FD" w:rsidP="003E2D93">
      <w:pPr>
        <w:jc w:val="center"/>
      </w:pPr>
    </w:p>
    <w:p w:rsidR="008D43FD" w:rsidRPr="003E2D93" w:rsidRDefault="008D43FD" w:rsidP="003E2D93">
      <w:pPr>
        <w:jc w:val="center"/>
      </w:pPr>
      <w:r w:rsidRPr="003E2D93">
        <w:rPr>
          <w:b/>
        </w:rPr>
        <w:t>EFFICIENT ADMINISTRATIVE AND FINANCIAL SUPPORT</w:t>
      </w:r>
      <w:bookmarkEnd w:id="103"/>
    </w:p>
    <w:p w:rsidR="008D43FD" w:rsidRPr="003E2D93" w:rsidRDefault="008D43FD" w:rsidP="003E2D93">
      <w:pPr>
        <w:jc w:val="center"/>
      </w:pPr>
    </w:p>
    <w:p w:rsidR="005A0381" w:rsidRPr="003E2D93" w:rsidRDefault="005A0381" w:rsidP="005A0381">
      <w:pPr>
        <w:jc w:val="center"/>
      </w:pPr>
    </w:p>
    <w:p w:rsidR="005A0381" w:rsidRPr="00551736" w:rsidRDefault="005A0381" w:rsidP="005A0381">
      <w:pPr>
        <w:jc w:val="center"/>
        <w:rPr>
          <w:b/>
        </w:rPr>
      </w:pPr>
      <w:r>
        <w:rPr>
          <w:b/>
        </w:rPr>
        <w:t>Biennial</w:t>
      </w:r>
      <w:r w:rsidRPr="00551736">
        <w:rPr>
          <w:b/>
        </w:rPr>
        <w:t xml:space="preserve"> Performance Dashboard </w:t>
      </w:r>
    </w:p>
    <w:p w:rsidR="005A0381" w:rsidRPr="003E2D93" w:rsidRDefault="005A0381" w:rsidP="005A0381">
      <w:pPr>
        <w:jc w:val="center"/>
        <w:rPr>
          <w:b/>
        </w:rPr>
      </w:pPr>
    </w:p>
    <w:p w:rsidR="005A0381" w:rsidRDefault="005A0381" w:rsidP="005A0381">
      <w:pPr>
        <w:autoSpaceDE w:val="0"/>
        <w:autoSpaceDN w:val="0"/>
        <w:adjustRightInd w:val="0"/>
        <w:jc w:val="both"/>
        <w:rPr>
          <w:rFonts w:cs="Arial"/>
        </w:rPr>
      </w:pPr>
      <w:r>
        <w:rPr>
          <w:rFonts w:cs="Arial"/>
        </w:rPr>
        <w:t xml:space="preserve">The dashboard below provides a summary of the achievements of the expected results in the biennium 2014/15 as measured by the indicators under the Programs contributing to this Strategic Goal.  </w:t>
      </w:r>
    </w:p>
    <w:p w:rsidR="005A0381" w:rsidRDefault="005A0381" w:rsidP="005A0381">
      <w:pPr>
        <w:jc w:val="center"/>
      </w:pPr>
    </w:p>
    <w:p w:rsidR="005A0381" w:rsidRDefault="005A0381" w:rsidP="005A0381">
      <w:pPr>
        <w:jc w:val="center"/>
      </w:pPr>
      <w:r>
        <w:rPr>
          <w:noProof/>
        </w:rPr>
        <w:drawing>
          <wp:inline distT="0" distB="0" distL="0" distR="0" wp14:anchorId="630C6190" wp14:editId="6D07B3FE">
            <wp:extent cx="5006139" cy="2651760"/>
            <wp:effectExtent l="0" t="0" r="4445"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1" cstate="print">
                      <a:extLst>
                        <a:ext uri="{28A0092B-C50C-407E-A947-70E740481C1C}">
                          <a14:useLocalDpi xmlns:a14="http://schemas.microsoft.com/office/drawing/2010/main" val="0"/>
                        </a:ext>
                      </a:extLst>
                    </a:blip>
                    <a:srcRect/>
                    <a:stretch>
                      <a:fillRect/>
                    </a:stretch>
                  </pic:blipFill>
                  <pic:spPr bwMode="auto">
                    <a:xfrm>
                      <a:off x="0" y="0"/>
                      <a:ext cx="5006139" cy="2651760"/>
                    </a:xfrm>
                    <a:prstGeom prst="rect">
                      <a:avLst/>
                    </a:prstGeom>
                    <a:noFill/>
                  </pic:spPr>
                </pic:pic>
              </a:graphicData>
            </a:graphic>
          </wp:inline>
        </w:drawing>
      </w:r>
    </w:p>
    <w:p w:rsidR="005A0381" w:rsidRPr="00CB5A85" w:rsidRDefault="005A0381" w:rsidP="005A0381">
      <w:pPr>
        <w:jc w:val="center"/>
        <w:rPr>
          <w:szCs w:val="20"/>
        </w:rPr>
      </w:pPr>
    </w:p>
    <w:tbl>
      <w:tblPr>
        <w:tblW w:w="4942"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2862"/>
        <w:gridCol w:w="4032"/>
        <w:gridCol w:w="1693"/>
        <w:gridCol w:w="873"/>
      </w:tblGrid>
      <w:tr w:rsidR="005A0381" w:rsidRPr="00AF5E7C" w:rsidTr="00547ACE">
        <w:trPr>
          <w:cantSplit/>
          <w:trHeight w:val="317"/>
          <w:tblHeader/>
        </w:trPr>
        <w:tc>
          <w:tcPr>
            <w:tcW w:w="1513" w:type="pct"/>
            <w:tcBorders>
              <w:top w:val="single" w:sz="4" w:space="0" w:color="auto"/>
              <w:bottom w:val="single" w:sz="4" w:space="0" w:color="auto"/>
            </w:tcBorders>
            <w:shd w:val="clear" w:color="auto" w:fill="DAEEF3" w:themeFill="accent5" w:themeFillTint="33"/>
            <w:tcMar>
              <w:top w:w="113" w:type="dxa"/>
              <w:bottom w:w="85" w:type="dxa"/>
            </w:tcMar>
            <w:vAlign w:val="center"/>
          </w:tcPr>
          <w:p w:rsidR="005A0381" w:rsidRPr="005967EA" w:rsidRDefault="005A0381" w:rsidP="00547ACE">
            <w:pPr>
              <w:spacing w:after="120"/>
              <w:rPr>
                <w:rFonts w:cs="Arial"/>
                <w:b/>
                <w:bCs/>
                <w:sz w:val="18"/>
                <w:szCs w:val="18"/>
              </w:rPr>
            </w:pPr>
            <w:r w:rsidRPr="005967EA">
              <w:rPr>
                <w:rFonts w:cs="Arial"/>
                <w:b/>
                <w:bCs/>
                <w:sz w:val="18"/>
                <w:szCs w:val="18"/>
              </w:rPr>
              <w:t>Expected Results</w:t>
            </w:r>
          </w:p>
        </w:tc>
        <w:tc>
          <w:tcPr>
            <w:tcW w:w="2131" w:type="pct"/>
            <w:tcBorders>
              <w:top w:val="single" w:sz="4" w:space="0" w:color="auto"/>
              <w:bottom w:val="single" w:sz="4" w:space="0" w:color="auto"/>
            </w:tcBorders>
            <w:shd w:val="clear" w:color="auto" w:fill="DAEEF3" w:themeFill="accent5" w:themeFillTint="33"/>
            <w:tcMar>
              <w:top w:w="113" w:type="dxa"/>
              <w:bottom w:w="85" w:type="dxa"/>
            </w:tcMar>
            <w:vAlign w:val="center"/>
          </w:tcPr>
          <w:p w:rsidR="005A0381" w:rsidRPr="005967EA" w:rsidRDefault="005A0381" w:rsidP="00547ACE">
            <w:pPr>
              <w:spacing w:after="120"/>
              <w:rPr>
                <w:rFonts w:cs="Arial"/>
                <w:b/>
                <w:sz w:val="18"/>
                <w:szCs w:val="18"/>
              </w:rPr>
            </w:pPr>
            <w:r w:rsidRPr="005967EA">
              <w:rPr>
                <w:rFonts w:cs="Arial"/>
                <w:b/>
                <w:sz w:val="18"/>
                <w:szCs w:val="18"/>
              </w:rPr>
              <w:t>Performance Indicators</w:t>
            </w:r>
          </w:p>
        </w:tc>
        <w:tc>
          <w:tcPr>
            <w:tcW w:w="895" w:type="pct"/>
            <w:tcBorders>
              <w:top w:val="single" w:sz="4" w:space="0" w:color="auto"/>
              <w:bottom w:val="single" w:sz="4" w:space="0" w:color="auto"/>
            </w:tcBorders>
            <w:shd w:val="clear" w:color="auto" w:fill="DAEEF3" w:themeFill="accent5" w:themeFillTint="33"/>
            <w:tcMar>
              <w:top w:w="113" w:type="dxa"/>
              <w:bottom w:w="85" w:type="dxa"/>
            </w:tcMar>
            <w:vAlign w:val="center"/>
          </w:tcPr>
          <w:p w:rsidR="005A0381" w:rsidRPr="005967EA" w:rsidRDefault="005A0381" w:rsidP="00547ACE">
            <w:pPr>
              <w:spacing w:after="120"/>
              <w:ind w:left="85"/>
              <w:jc w:val="center"/>
              <w:rPr>
                <w:rFonts w:cs="Arial"/>
                <w:sz w:val="18"/>
                <w:szCs w:val="18"/>
              </w:rPr>
            </w:pPr>
            <w:r w:rsidRPr="005967EA">
              <w:rPr>
                <w:rFonts w:cs="Arial"/>
                <w:b/>
                <w:bCs/>
                <w:sz w:val="18"/>
                <w:szCs w:val="18"/>
              </w:rPr>
              <w:t>Responsible Program(s)</w:t>
            </w:r>
          </w:p>
        </w:tc>
        <w:tc>
          <w:tcPr>
            <w:tcW w:w="461" w:type="pct"/>
            <w:tcBorders>
              <w:top w:val="single" w:sz="4" w:space="0" w:color="auto"/>
              <w:bottom w:val="single" w:sz="4" w:space="0" w:color="auto"/>
            </w:tcBorders>
            <w:shd w:val="clear" w:color="auto" w:fill="DAEEF3" w:themeFill="accent5" w:themeFillTint="33"/>
            <w:vAlign w:val="center"/>
          </w:tcPr>
          <w:p w:rsidR="005A0381" w:rsidRPr="005967EA" w:rsidRDefault="005A0381" w:rsidP="00547ACE">
            <w:pPr>
              <w:spacing w:after="120"/>
              <w:ind w:left="85" w:hanging="85"/>
              <w:jc w:val="center"/>
              <w:rPr>
                <w:rFonts w:cs="Arial"/>
                <w:b/>
                <w:bCs/>
                <w:sz w:val="18"/>
                <w:szCs w:val="18"/>
              </w:rPr>
            </w:pPr>
            <w:r>
              <w:rPr>
                <w:rFonts w:cs="Arial"/>
                <w:b/>
                <w:bCs/>
                <w:sz w:val="18"/>
                <w:szCs w:val="18"/>
              </w:rPr>
              <w:t>TLS</w:t>
            </w:r>
          </w:p>
        </w:tc>
      </w:tr>
      <w:tr w:rsidR="005A0381" w:rsidRPr="00AF5E7C" w:rsidTr="00547ACE">
        <w:trPr>
          <w:cantSplit/>
          <w:trHeight w:val="704"/>
        </w:trPr>
        <w:tc>
          <w:tcPr>
            <w:tcW w:w="1513" w:type="pct"/>
            <w:tcBorders>
              <w:top w:val="single" w:sz="4" w:space="0" w:color="auto"/>
            </w:tcBorders>
            <w:shd w:val="clear" w:color="auto" w:fill="auto"/>
            <w:tcMar>
              <w:top w:w="113" w:type="dxa"/>
              <w:bottom w:w="85" w:type="dxa"/>
            </w:tcMar>
          </w:tcPr>
          <w:p w:rsidR="005A0381" w:rsidRPr="00815648" w:rsidRDefault="005A0381" w:rsidP="00547ACE">
            <w:pPr>
              <w:rPr>
                <w:rFonts w:cs="Arial"/>
                <w:sz w:val="16"/>
                <w:szCs w:val="16"/>
              </w:rPr>
            </w:pPr>
            <w:r w:rsidRPr="00815648">
              <w:rPr>
                <w:rFonts w:cs="Arial"/>
                <w:sz w:val="16"/>
                <w:szCs w:val="16"/>
              </w:rPr>
              <w:t>IX.1</w:t>
            </w:r>
            <w:r>
              <w:rPr>
                <w:rFonts w:cs="Arial"/>
                <w:sz w:val="16"/>
                <w:szCs w:val="16"/>
              </w:rPr>
              <w:t xml:space="preserve"> </w:t>
            </w:r>
            <w:r w:rsidRPr="00815648">
              <w:rPr>
                <w:rFonts w:cs="Arial"/>
                <w:sz w:val="16"/>
                <w:szCs w:val="16"/>
              </w:rPr>
              <w:t xml:space="preserve"> Effective, efficient, quality and customer-oriented support services both to internal clients and to external stakeholders</w:t>
            </w:r>
          </w:p>
        </w:tc>
        <w:tc>
          <w:tcPr>
            <w:tcW w:w="2131" w:type="pct"/>
            <w:tcBorders>
              <w:top w:val="single" w:sz="4" w:space="0" w:color="auto"/>
            </w:tcBorders>
            <w:shd w:val="clear" w:color="auto" w:fill="auto"/>
            <w:tcMar>
              <w:top w:w="113" w:type="dxa"/>
              <w:bottom w:w="85" w:type="dxa"/>
            </w:tcMar>
          </w:tcPr>
          <w:p w:rsidR="005A0381" w:rsidRPr="00815648" w:rsidRDefault="005A0381" w:rsidP="00547ACE">
            <w:pPr>
              <w:rPr>
                <w:rFonts w:cs="Arial"/>
                <w:sz w:val="16"/>
                <w:szCs w:val="16"/>
              </w:rPr>
            </w:pPr>
            <w:r w:rsidRPr="00815648">
              <w:rPr>
                <w:rFonts w:cs="Arial"/>
                <w:sz w:val="16"/>
                <w:szCs w:val="16"/>
              </w:rPr>
              <w:t>Provision of financial and management reports and analysis required by senior management, Program Managers and Member States in accordance with agreed deadlines</w:t>
            </w:r>
          </w:p>
        </w:tc>
        <w:tc>
          <w:tcPr>
            <w:tcW w:w="895" w:type="pct"/>
            <w:tcBorders>
              <w:top w:val="single" w:sz="4" w:space="0" w:color="auto"/>
            </w:tcBorders>
            <w:shd w:val="clear" w:color="auto" w:fill="FFFFFF"/>
            <w:tcMar>
              <w:top w:w="113" w:type="dxa"/>
              <w:bottom w:w="85" w:type="dxa"/>
            </w:tcMar>
          </w:tcPr>
          <w:p w:rsidR="005A0381" w:rsidRPr="00AF5E7C" w:rsidRDefault="005A0381" w:rsidP="00547ACE">
            <w:pPr>
              <w:jc w:val="center"/>
              <w:rPr>
                <w:rFonts w:cs="Arial"/>
                <w:sz w:val="16"/>
                <w:szCs w:val="16"/>
              </w:rPr>
            </w:pPr>
            <w:r>
              <w:rPr>
                <w:rFonts w:cs="Arial"/>
                <w:sz w:val="16"/>
                <w:szCs w:val="16"/>
              </w:rPr>
              <w:t>Program 22</w:t>
            </w:r>
          </w:p>
        </w:tc>
        <w:tc>
          <w:tcPr>
            <w:tcW w:w="461" w:type="pct"/>
            <w:tcBorders>
              <w:top w:val="single" w:sz="4" w:space="0" w:color="auto"/>
            </w:tcBorders>
            <w:shd w:val="clear" w:color="auto" w:fill="FFFFFF"/>
          </w:tcPr>
          <w:p w:rsidR="005A0381" w:rsidRPr="00CC3F44" w:rsidRDefault="005A0381" w:rsidP="00547ACE">
            <w:pPr>
              <w:jc w:val="center"/>
            </w:pPr>
            <w:r w:rsidRPr="00CC3F44">
              <w:rPr>
                <w:rFonts w:cs="Arial"/>
                <w:color w:val="008000"/>
                <w:sz w:val="22"/>
                <w:szCs w:val="22"/>
              </w:rPr>
              <w:sym w:font="Wingdings" w:char="F06C"/>
            </w:r>
            <w:r w:rsidRPr="00CC3F44">
              <w:rPr>
                <w:rFonts w:cs="Arial"/>
                <w:color w:val="008000"/>
                <w:sz w:val="22"/>
                <w:szCs w:val="22"/>
              </w:rPr>
              <w:sym w:font="Wingdings" w:char="F06C"/>
            </w:r>
            <w:r w:rsidRPr="00CC3F44">
              <w:rPr>
                <w:rFonts w:cs="Arial"/>
                <w:color w:val="008000"/>
                <w:sz w:val="22"/>
                <w:szCs w:val="22"/>
              </w:rPr>
              <w:sym w:font="Wingdings" w:char="F06C"/>
            </w:r>
            <w:r w:rsidRPr="00CC3F44">
              <w:rPr>
                <w:rFonts w:cs="Arial"/>
                <w:color w:val="FF0000"/>
                <w:sz w:val="22"/>
                <w:szCs w:val="22"/>
              </w:rPr>
              <w:sym w:font="Wingdings" w:char="F06C"/>
            </w:r>
          </w:p>
        </w:tc>
      </w:tr>
      <w:tr w:rsidR="005A0381" w:rsidRPr="00AF5E7C" w:rsidTr="00547ACE">
        <w:trPr>
          <w:cantSplit/>
        </w:trPr>
        <w:tc>
          <w:tcPr>
            <w:tcW w:w="1513" w:type="pct"/>
            <w:shd w:val="clear" w:color="auto" w:fill="auto"/>
            <w:tcMar>
              <w:top w:w="113" w:type="dxa"/>
              <w:bottom w:w="85" w:type="dxa"/>
            </w:tcMar>
          </w:tcPr>
          <w:p w:rsidR="005A0381" w:rsidRPr="00AF5E7C" w:rsidRDefault="005A0381" w:rsidP="00547ACE">
            <w:pPr>
              <w:rPr>
                <w:rFonts w:cs="Arial"/>
                <w:sz w:val="16"/>
                <w:szCs w:val="16"/>
              </w:rPr>
            </w:pPr>
          </w:p>
        </w:tc>
        <w:tc>
          <w:tcPr>
            <w:tcW w:w="2131" w:type="pct"/>
            <w:shd w:val="clear" w:color="auto" w:fill="auto"/>
            <w:tcMar>
              <w:top w:w="113" w:type="dxa"/>
              <w:bottom w:w="85" w:type="dxa"/>
            </w:tcMar>
          </w:tcPr>
          <w:p w:rsidR="005A0381" w:rsidRPr="00815648" w:rsidRDefault="005A0381" w:rsidP="00547ACE">
            <w:pPr>
              <w:rPr>
                <w:rFonts w:cs="Arial"/>
                <w:sz w:val="16"/>
                <w:szCs w:val="16"/>
              </w:rPr>
            </w:pPr>
            <w:r w:rsidRPr="00815648">
              <w:rPr>
                <w:rFonts w:cs="Arial"/>
                <w:sz w:val="16"/>
                <w:szCs w:val="16"/>
              </w:rPr>
              <w:t>Resolution of internal/external queries received in accordance with established timeframes</w:t>
            </w:r>
          </w:p>
        </w:tc>
        <w:tc>
          <w:tcPr>
            <w:tcW w:w="895" w:type="pct"/>
            <w:shd w:val="clear" w:color="auto" w:fill="FFFFFF"/>
            <w:tcMar>
              <w:top w:w="113" w:type="dxa"/>
              <w:bottom w:w="85" w:type="dxa"/>
            </w:tcMar>
          </w:tcPr>
          <w:p w:rsidR="005A0381" w:rsidRPr="00AF5E7C" w:rsidRDefault="005A0381" w:rsidP="00547ACE">
            <w:pPr>
              <w:jc w:val="center"/>
              <w:rPr>
                <w:rFonts w:cs="Arial"/>
                <w:sz w:val="16"/>
                <w:szCs w:val="16"/>
                <w:lang w:bidi="th-TH"/>
              </w:rPr>
            </w:pPr>
            <w:r>
              <w:rPr>
                <w:rFonts w:cs="Arial"/>
                <w:sz w:val="16"/>
                <w:szCs w:val="16"/>
              </w:rPr>
              <w:t>Program 22</w:t>
            </w:r>
          </w:p>
        </w:tc>
        <w:tc>
          <w:tcPr>
            <w:tcW w:w="461" w:type="pct"/>
            <w:shd w:val="clear" w:color="auto" w:fill="FFFFFF"/>
          </w:tcPr>
          <w:p w:rsidR="005A0381" w:rsidRPr="00CC3F44" w:rsidRDefault="005A0381" w:rsidP="00547ACE">
            <w:pPr>
              <w:jc w:val="center"/>
              <w:rPr>
                <w:rFonts w:cs="Arial"/>
                <w:color w:val="A6A6A6" w:themeColor="background1" w:themeShade="A6"/>
                <w:sz w:val="22"/>
                <w:szCs w:val="22"/>
              </w:rPr>
            </w:pPr>
            <w:r w:rsidRPr="00CC3F44">
              <w:rPr>
                <w:rFonts w:cs="Arial"/>
                <w:color w:val="008000"/>
                <w:sz w:val="22"/>
                <w:szCs w:val="22"/>
              </w:rPr>
              <w:sym w:font="Wingdings" w:char="F06C"/>
            </w:r>
            <w:r w:rsidRPr="00CC3F44">
              <w:rPr>
                <w:rFonts w:cs="Arial"/>
                <w:color w:val="008000"/>
                <w:sz w:val="22"/>
                <w:szCs w:val="22"/>
              </w:rPr>
              <w:sym w:font="Wingdings" w:char="F06C"/>
            </w:r>
          </w:p>
        </w:tc>
      </w:tr>
      <w:tr w:rsidR="005A0381" w:rsidRPr="00AF5E7C" w:rsidTr="00547ACE">
        <w:trPr>
          <w:cantSplit/>
          <w:trHeight w:val="247"/>
        </w:trPr>
        <w:tc>
          <w:tcPr>
            <w:tcW w:w="1513" w:type="pct"/>
            <w:shd w:val="clear" w:color="auto" w:fill="auto"/>
            <w:tcMar>
              <w:top w:w="113" w:type="dxa"/>
              <w:bottom w:w="85" w:type="dxa"/>
            </w:tcMar>
          </w:tcPr>
          <w:p w:rsidR="005A0381" w:rsidRPr="00AF5E7C" w:rsidRDefault="005A0381" w:rsidP="00547ACE">
            <w:pPr>
              <w:rPr>
                <w:rFonts w:cs="Arial"/>
                <w:sz w:val="16"/>
                <w:szCs w:val="16"/>
              </w:rPr>
            </w:pPr>
          </w:p>
        </w:tc>
        <w:tc>
          <w:tcPr>
            <w:tcW w:w="2131" w:type="pct"/>
            <w:shd w:val="clear" w:color="auto" w:fill="auto"/>
            <w:tcMar>
              <w:top w:w="113" w:type="dxa"/>
              <w:bottom w:w="85" w:type="dxa"/>
            </w:tcMar>
          </w:tcPr>
          <w:p w:rsidR="005A0381" w:rsidRPr="000963F7" w:rsidRDefault="005A0381" w:rsidP="00547ACE">
            <w:pPr>
              <w:rPr>
                <w:rFonts w:cs="Arial"/>
                <w:bCs/>
                <w:sz w:val="16"/>
                <w:szCs w:val="16"/>
              </w:rPr>
            </w:pPr>
            <w:r w:rsidRPr="000963F7">
              <w:rPr>
                <w:rFonts w:cs="Arial"/>
                <w:bCs/>
                <w:sz w:val="16"/>
                <w:szCs w:val="16"/>
              </w:rPr>
              <w:t>% of staff satisfied with human resource services</w:t>
            </w:r>
          </w:p>
        </w:tc>
        <w:tc>
          <w:tcPr>
            <w:tcW w:w="895" w:type="pct"/>
            <w:shd w:val="clear" w:color="auto" w:fill="FFFFFF"/>
            <w:tcMar>
              <w:top w:w="113" w:type="dxa"/>
              <w:bottom w:w="85" w:type="dxa"/>
            </w:tcMar>
          </w:tcPr>
          <w:p w:rsidR="005A0381" w:rsidRDefault="005A0381" w:rsidP="00547ACE">
            <w:pPr>
              <w:jc w:val="center"/>
              <w:rPr>
                <w:rFonts w:cs="Arial"/>
                <w:sz w:val="16"/>
                <w:szCs w:val="16"/>
              </w:rPr>
            </w:pPr>
            <w:r>
              <w:rPr>
                <w:rFonts w:cs="Arial"/>
                <w:sz w:val="16"/>
                <w:szCs w:val="16"/>
              </w:rPr>
              <w:t>Program 23</w:t>
            </w:r>
          </w:p>
        </w:tc>
        <w:tc>
          <w:tcPr>
            <w:tcW w:w="461" w:type="pct"/>
            <w:shd w:val="clear" w:color="auto" w:fill="FFFFFF"/>
          </w:tcPr>
          <w:p w:rsidR="005A0381" w:rsidRPr="00CC3F44" w:rsidRDefault="005A0381" w:rsidP="00547ACE">
            <w:pPr>
              <w:jc w:val="center"/>
            </w:pPr>
            <w:r w:rsidRPr="00CC3F44">
              <w:rPr>
                <w:rFonts w:cs="Arial"/>
                <w:color w:val="A6A6A6" w:themeColor="background1" w:themeShade="A6"/>
                <w:sz w:val="22"/>
                <w:szCs w:val="22"/>
              </w:rPr>
              <w:sym w:font="Wingdings" w:char="F06C"/>
            </w:r>
          </w:p>
        </w:tc>
      </w:tr>
      <w:tr w:rsidR="005A0381" w:rsidRPr="00AF5E7C" w:rsidTr="00547ACE">
        <w:trPr>
          <w:cantSplit/>
          <w:trHeight w:val="436"/>
        </w:trPr>
        <w:tc>
          <w:tcPr>
            <w:tcW w:w="1513" w:type="pct"/>
            <w:shd w:val="clear" w:color="auto" w:fill="auto"/>
            <w:tcMar>
              <w:top w:w="113" w:type="dxa"/>
              <w:bottom w:w="85" w:type="dxa"/>
            </w:tcMar>
          </w:tcPr>
          <w:p w:rsidR="005A0381" w:rsidRPr="00AF5E7C" w:rsidRDefault="005A0381" w:rsidP="00547ACE">
            <w:pPr>
              <w:rPr>
                <w:rFonts w:cs="Arial"/>
                <w:sz w:val="16"/>
                <w:szCs w:val="16"/>
              </w:rPr>
            </w:pPr>
          </w:p>
        </w:tc>
        <w:tc>
          <w:tcPr>
            <w:tcW w:w="2131" w:type="pct"/>
            <w:shd w:val="clear" w:color="auto" w:fill="auto"/>
            <w:tcMar>
              <w:top w:w="113" w:type="dxa"/>
              <w:bottom w:w="85" w:type="dxa"/>
            </w:tcMar>
          </w:tcPr>
          <w:p w:rsidR="005A0381" w:rsidRPr="00336796" w:rsidRDefault="005A0381" w:rsidP="00547ACE">
            <w:pPr>
              <w:rPr>
                <w:rFonts w:cs="Arial"/>
                <w:sz w:val="16"/>
                <w:szCs w:val="16"/>
              </w:rPr>
            </w:pPr>
            <w:r w:rsidRPr="00336796">
              <w:rPr>
                <w:rFonts w:cs="Arial"/>
                <w:sz w:val="16"/>
                <w:szCs w:val="16"/>
              </w:rPr>
              <w:t>Timely, accurate, and efficient human resources operations services</w:t>
            </w:r>
          </w:p>
        </w:tc>
        <w:tc>
          <w:tcPr>
            <w:tcW w:w="895" w:type="pct"/>
            <w:shd w:val="clear" w:color="auto" w:fill="FFFFFF"/>
            <w:tcMar>
              <w:top w:w="113" w:type="dxa"/>
              <w:bottom w:w="85" w:type="dxa"/>
            </w:tcMar>
          </w:tcPr>
          <w:p w:rsidR="005A0381" w:rsidRDefault="005A0381" w:rsidP="00547ACE">
            <w:pPr>
              <w:jc w:val="center"/>
              <w:rPr>
                <w:rFonts w:cs="Arial"/>
                <w:sz w:val="16"/>
                <w:szCs w:val="16"/>
              </w:rPr>
            </w:pPr>
            <w:r>
              <w:rPr>
                <w:rFonts w:cs="Arial"/>
                <w:sz w:val="16"/>
                <w:szCs w:val="16"/>
              </w:rPr>
              <w:t>Program 23</w:t>
            </w:r>
          </w:p>
        </w:tc>
        <w:tc>
          <w:tcPr>
            <w:tcW w:w="461" w:type="pct"/>
            <w:shd w:val="clear" w:color="auto" w:fill="FFFFFF"/>
          </w:tcPr>
          <w:p w:rsidR="005A0381" w:rsidRPr="00CC3F44" w:rsidRDefault="005A0381" w:rsidP="00547ACE">
            <w:pPr>
              <w:jc w:val="center"/>
              <w:rPr>
                <w:rFonts w:cs="Arial"/>
                <w:color w:val="A6A6A6" w:themeColor="background1" w:themeShade="A6"/>
                <w:sz w:val="22"/>
                <w:szCs w:val="22"/>
              </w:rPr>
            </w:pPr>
            <w:r w:rsidRPr="00CC3F44">
              <w:rPr>
                <w:rFonts w:cs="Arial"/>
                <w:color w:val="008000"/>
                <w:sz w:val="22"/>
                <w:szCs w:val="22"/>
              </w:rPr>
              <w:sym w:font="Wingdings" w:char="F06C"/>
            </w:r>
          </w:p>
        </w:tc>
      </w:tr>
      <w:tr w:rsidR="005A0381" w:rsidRPr="00AF5E7C" w:rsidTr="00547ACE">
        <w:trPr>
          <w:cantSplit/>
          <w:trHeight w:val="472"/>
        </w:trPr>
        <w:tc>
          <w:tcPr>
            <w:tcW w:w="1513" w:type="pct"/>
            <w:shd w:val="clear" w:color="auto" w:fill="auto"/>
            <w:tcMar>
              <w:top w:w="113" w:type="dxa"/>
              <w:bottom w:w="85" w:type="dxa"/>
            </w:tcMar>
          </w:tcPr>
          <w:p w:rsidR="005A0381" w:rsidRPr="00AF5E7C" w:rsidRDefault="005A0381" w:rsidP="00547ACE">
            <w:pPr>
              <w:rPr>
                <w:rFonts w:cs="Arial"/>
                <w:sz w:val="16"/>
                <w:szCs w:val="16"/>
              </w:rPr>
            </w:pPr>
          </w:p>
        </w:tc>
        <w:tc>
          <w:tcPr>
            <w:tcW w:w="2131" w:type="pct"/>
            <w:shd w:val="clear" w:color="auto" w:fill="auto"/>
            <w:tcMar>
              <w:top w:w="113" w:type="dxa"/>
              <w:bottom w:w="85" w:type="dxa"/>
            </w:tcMar>
          </w:tcPr>
          <w:p w:rsidR="005A0381" w:rsidRPr="00A4590B" w:rsidRDefault="005A0381" w:rsidP="00547ACE">
            <w:pPr>
              <w:rPr>
                <w:rFonts w:cs="Arial"/>
                <w:sz w:val="16"/>
                <w:szCs w:val="16"/>
              </w:rPr>
            </w:pPr>
            <w:r w:rsidRPr="00A4590B">
              <w:rPr>
                <w:rFonts w:cs="Arial"/>
                <w:sz w:val="16"/>
                <w:szCs w:val="16"/>
              </w:rPr>
              <w:t>Completion of New Conference Hall Project in accordance with quality requirements, on time and within budgetary limits</w:t>
            </w:r>
          </w:p>
        </w:tc>
        <w:tc>
          <w:tcPr>
            <w:tcW w:w="895" w:type="pct"/>
            <w:shd w:val="clear" w:color="auto" w:fill="FFFFFF"/>
            <w:tcMar>
              <w:top w:w="113" w:type="dxa"/>
              <w:bottom w:w="85" w:type="dxa"/>
            </w:tcMar>
          </w:tcPr>
          <w:p w:rsidR="005A0381" w:rsidRPr="00AF5E7C" w:rsidRDefault="005A0381" w:rsidP="00547ACE">
            <w:pPr>
              <w:jc w:val="center"/>
              <w:rPr>
                <w:rFonts w:cs="Arial"/>
                <w:sz w:val="16"/>
                <w:szCs w:val="16"/>
                <w:lang w:bidi="th-TH"/>
              </w:rPr>
            </w:pPr>
            <w:r>
              <w:rPr>
                <w:rFonts w:cs="Arial"/>
                <w:sz w:val="16"/>
                <w:szCs w:val="16"/>
              </w:rPr>
              <w:t>Program 29</w:t>
            </w:r>
          </w:p>
        </w:tc>
        <w:tc>
          <w:tcPr>
            <w:tcW w:w="461" w:type="pct"/>
            <w:shd w:val="clear" w:color="auto" w:fill="FFFFFF"/>
          </w:tcPr>
          <w:p w:rsidR="005A0381" w:rsidRPr="00CC3F44" w:rsidRDefault="005A0381" w:rsidP="00547ACE">
            <w:pPr>
              <w:jc w:val="center"/>
            </w:pPr>
            <w:r w:rsidRPr="00CC3F44">
              <w:rPr>
                <w:rFonts w:cs="Arial"/>
                <w:color w:val="008000"/>
                <w:sz w:val="22"/>
                <w:szCs w:val="22"/>
              </w:rPr>
              <w:sym w:font="Wingdings" w:char="F06C"/>
            </w:r>
          </w:p>
        </w:tc>
      </w:tr>
      <w:tr w:rsidR="005A0381" w:rsidRPr="00AF5E7C" w:rsidTr="00547ACE">
        <w:trPr>
          <w:cantSplit/>
          <w:trHeight w:val="400"/>
        </w:trPr>
        <w:tc>
          <w:tcPr>
            <w:tcW w:w="1513" w:type="pct"/>
            <w:shd w:val="clear" w:color="auto" w:fill="auto"/>
            <w:tcMar>
              <w:top w:w="113" w:type="dxa"/>
              <w:bottom w:w="85" w:type="dxa"/>
            </w:tcMar>
          </w:tcPr>
          <w:p w:rsidR="005A0381" w:rsidRPr="00815648" w:rsidRDefault="005A0381" w:rsidP="00547ACE">
            <w:pPr>
              <w:rPr>
                <w:rFonts w:cs="Arial"/>
                <w:sz w:val="16"/>
                <w:szCs w:val="16"/>
              </w:rPr>
            </w:pPr>
          </w:p>
        </w:tc>
        <w:tc>
          <w:tcPr>
            <w:tcW w:w="2131" w:type="pct"/>
            <w:shd w:val="clear" w:color="auto" w:fill="auto"/>
            <w:tcMar>
              <w:top w:w="113" w:type="dxa"/>
              <w:bottom w:w="85" w:type="dxa"/>
            </w:tcMar>
          </w:tcPr>
          <w:p w:rsidR="005A0381" w:rsidRPr="00A4590B" w:rsidRDefault="005A0381" w:rsidP="00547ACE">
            <w:pPr>
              <w:rPr>
                <w:rFonts w:cs="Arial"/>
                <w:sz w:val="16"/>
                <w:szCs w:val="16"/>
              </w:rPr>
            </w:pPr>
            <w:r w:rsidRPr="00A4590B">
              <w:rPr>
                <w:rFonts w:cs="Arial"/>
                <w:sz w:val="16"/>
                <w:szCs w:val="16"/>
              </w:rPr>
              <w:t>Use of conference hall as preferred location for meetings and events by Member States</w:t>
            </w:r>
          </w:p>
        </w:tc>
        <w:tc>
          <w:tcPr>
            <w:tcW w:w="895" w:type="pct"/>
            <w:shd w:val="clear" w:color="auto" w:fill="FFFFFF"/>
            <w:tcMar>
              <w:top w:w="113" w:type="dxa"/>
              <w:bottom w:w="85" w:type="dxa"/>
            </w:tcMar>
          </w:tcPr>
          <w:p w:rsidR="005A0381" w:rsidRPr="00AF5E7C" w:rsidRDefault="005A0381" w:rsidP="00547ACE">
            <w:pPr>
              <w:jc w:val="center"/>
              <w:rPr>
                <w:rFonts w:cs="Arial"/>
                <w:sz w:val="16"/>
                <w:szCs w:val="16"/>
                <w:lang w:bidi="th-TH"/>
              </w:rPr>
            </w:pPr>
            <w:r>
              <w:rPr>
                <w:rFonts w:cs="Arial"/>
                <w:sz w:val="16"/>
                <w:szCs w:val="16"/>
              </w:rPr>
              <w:t>Program 29</w:t>
            </w:r>
          </w:p>
        </w:tc>
        <w:tc>
          <w:tcPr>
            <w:tcW w:w="461" w:type="pct"/>
            <w:shd w:val="clear" w:color="auto" w:fill="FFFFFF"/>
          </w:tcPr>
          <w:p w:rsidR="005A0381" w:rsidRPr="00CC3F44" w:rsidRDefault="005A0381" w:rsidP="00547ACE">
            <w:pPr>
              <w:jc w:val="center"/>
              <w:rPr>
                <w:rFonts w:cs="Arial"/>
                <w:color w:val="A6A6A6" w:themeColor="background1" w:themeShade="A6"/>
                <w:sz w:val="22"/>
                <w:szCs w:val="22"/>
              </w:rPr>
            </w:pPr>
            <w:r w:rsidRPr="00CC3F44">
              <w:rPr>
                <w:rFonts w:cs="Arial"/>
                <w:color w:val="008000"/>
                <w:sz w:val="22"/>
                <w:szCs w:val="22"/>
              </w:rPr>
              <w:sym w:font="Wingdings" w:char="F06C"/>
            </w:r>
          </w:p>
        </w:tc>
      </w:tr>
      <w:tr w:rsidR="005A0381" w:rsidRPr="00AF5E7C" w:rsidTr="00547ACE">
        <w:trPr>
          <w:cantSplit/>
          <w:trHeight w:val="436"/>
        </w:trPr>
        <w:tc>
          <w:tcPr>
            <w:tcW w:w="1513" w:type="pct"/>
            <w:shd w:val="clear" w:color="auto" w:fill="auto"/>
            <w:tcMar>
              <w:top w:w="113" w:type="dxa"/>
              <w:bottom w:w="85" w:type="dxa"/>
            </w:tcMar>
          </w:tcPr>
          <w:p w:rsidR="005A0381" w:rsidRPr="00D81234" w:rsidRDefault="005A0381" w:rsidP="00547ACE">
            <w:pPr>
              <w:rPr>
                <w:rFonts w:cs="Arial"/>
                <w:sz w:val="16"/>
                <w:szCs w:val="16"/>
              </w:rPr>
            </w:pPr>
          </w:p>
        </w:tc>
        <w:tc>
          <w:tcPr>
            <w:tcW w:w="2131" w:type="pct"/>
            <w:shd w:val="clear" w:color="auto" w:fill="auto"/>
            <w:tcMar>
              <w:top w:w="113" w:type="dxa"/>
              <w:bottom w:w="85" w:type="dxa"/>
            </w:tcMar>
          </w:tcPr>
          <w:p w:rsidR="005A0381" w:rsidRPr="00F7400E" w:rsidRDefault="005A0381" w:rsidP="00547ACE">
            <w:pPr>
              <w:rPr>
                <w:rFonts w:cs="Arial"/>
                <w:bCs/>
                <w:sz w:val="16"/>
                <w:szCs w:val="16"/>
              </w:rPr>
            </w:pPr>
            <w:r w:rsidRPr="00F7400E">
              <w:rPr>
                <w:rFonts w:cs="Arial"/>
                <w:bCs/>
                <w:sz w:val="16"/>
                <w:szCs w:val="16"/>
              </w:rPr>
              <w:t>Cost savings for goods and services procured by WIPO (derived from RFPs or direct negotiations)</w:t>
            </w:r>
          </w:p>
        </w:tc>
        <w:tc>
          <w:tcPr>
            <w:tcW w:w="895" w:type="pct"/>
            <w:shd w:val="clear" w:color="auto" w:fill="FFFFFF"/>
            <w:tcMar>
              <w:top w:w="113" w:type="dxa"/>
              <w:bottom w:w="85" w:type="dxa"/>
            </w:tcMar>
          </w:tcPr>
          <w:p w:rsidR="005A0381" w:rsidRDefault="005A0381" w:rsidP="00547ACE">
            <w:pPr>
              <w:jc w:val="center"/>
              <w:rPr>
                <w:rFonts w:cs="Arial"/>
                <w:sz w:val="16"/>
                <w:szCs w:val="16"/>
                <w:lang w:bidi="th-TH"/>
              </w:rPr>
            </w:pPr>
            <w:r>
              <w:rPr>
                <w:rFonts w:cs="Arial"/>
                <w:sz w:val="16"/>
                <w:szCs w:val="16"/>
                <w:lang w:bidi="th-TH"/>
              </w:rPr>
              <w:t>Program 24</w:t>
            </w:r>
          </w:p>
        </w:tc>
        <w:tc>
          <w:tcPr>
            <w:tcW w:w="461" w:type="pct"/>
            <w:shd w:val="clear" w:color="auto" w:fill="FFFFFF"/>
          </w:tcPr>
          <w:p w:rsidR="005A0381" w:rsidRPr="00CC3F44" w:rsidRDefault="005A0381" w:rsidP="00547ACE">
            <w:pPr>
              <w:jc w:val="center"/>
            </w:pPr>
            <w:r w:rsidRPr="00CC3F44">
              <w:rPr>
                <w:rFonts w:cs="Arial"/>
                <w:color w:val="008000"/>
                <w:sz w:val="22"/>
                <w:szCs w:val="22"/>
              </w:rPr>
              <w:sym w:font="Wingdings" w:char="F06C"/>
            </w:r>
          </w:p>
        </w:tc>
      </w:tr>
      <w:tr w:rsidR="005A0381" w:rsidRPr="00AF5E7C" w:rsidTr="00547ACE">
        <w:trPr>
          <w:cantSplit/>
          <w:trHeight w:val="427"/>
        </w:trPr>
        <w:tc>
          <w:tcPr>
            <w:tcW w:w="1513" w:type="pct"/>
            <w:shd w:val="clear" w:color="auto" w:fill="auto"/>
            <w:tcMar>
              <w:top w:w="113" w:type="dxa"/>
              <w:bottom w:w="85" w:type="dxa"/>
            </w:tcMar>
          </w:tcPr>
          <w:p w:rsidR="005A0381" w:rsidRPr="00D81234" w:rsidRDefault="005A0381" w:rsidP="00547ACE">
            <w:pPr>
              <w:rPr>
                <w:rFonts w:cs="Arial"/>
                <w:sz w:val="16"/>
                <w:szCs w:val="16"/>
              </w:rPr>
            </w:pPr>
          </w:p>
        </w:tc>
        <w:tc>
          <w:tcPr>
            <w:tcW w:w="2131" w:type="pct"/>
            <w:shd w:val="clear" w:color="auto" w:fill="auto"/>
            <w:tcMar>
              <w:top w:w="113" w:type="dxa"/>
              <w:bottom w:w="85" w:type="dxa"/>
            </w:tcMar>
          </w:tcPr>
          <w:p w:rsidR="005A0381" w:rsidRPr="00F7400E" w:rsidRDefault="005A0381" w:rsidP="00547ACE">
            <w:pPr>
              <w:rPr>
                <w:rFonts w:cs="Arial"/>
                <w:sz w:val="16"/>
                <w:szCs w:val="16"/>
              </w:rPr>
            </w:pPr>
            <w:r>
              <w:rPr>
                <w:rFonts w:cs="Arial"/>
                <w:sz w:val="16"/>
                <w:szCs w:val="16"/>
              </w:rPr>
              <w:t>%</w:t>
            </w:r>
            <w:r w:rsidRPr="00F7400E">
              <w:rPr>
                <w:rFonts w:cs="Arial"/>
                <w:sz w:val="16"/>
                <w:szCs w:val="16"/>
              </w:rPr>
              <w:t xml:space="preserve"> of internal clients satisfied with procurement services</w:t>
            </w:r>
          </w:p>
        </w:tc>
        <w:tc>
          <w:tcPr>
            <w:tcW w:w="895" w:type="pct"/>
            <w:shd w:val="clear" w:color="auto" w:fill="FFFFFF"/>
            <w:tcMar>
              <w:top w:w="113" w:type="dxa"/>
              <w:bottom w:w="85" w:type="dxa"/>
            </w:tcMar>
          </w:tcPr>
          <w:p w:rsidR="005A0381" w:rsidRDefault="005A0381" w:rsidP="00547ACE">
            <w:pPr>
              <w:jc w:val="center"/>
            </w:pPr>
            <w:r w:rsidRPr="003253B4">
              <w:rPr>
                <w:rFonts w:cs="Arial"/>
                <w:sz w:val="16"/>
                <w:szCs w:val="16"/>
                <w:lang w:bidi="th-TH"/>
              </w:rPr>
              <w:t>Program 24</w:t>
            </w:r>
          </w:p>
        </w:tc>
        <w:tc>
          <w:tcPr>
            <w:tcW w:w="461" w:type="pct"/>
            <w:shd w:val="clear" w:color="auto" w:fill="FFFFFF"/>
          </w:tcPr>
          <w:p w:rsidR="005A0381" w:rsidRPr="00CC3F44" w:rsidRDefault="005A0381" w:rsidP="00547ACE">
            <w:pPr>
              <w:jc w:val="center"/>
              <w:rPr>
                <w:rFonts w:cs="Arial"/>
                <w:color w:val="A6A6A6" w:themeColor="background1" w:themeShade="A6"/>
                <w:sz w:val="22"/>
                <w:szCs w:val="22"/>
              </w:rPr>
            </w:pPr>
            <w:r w:rsidRPr="00CC3F44">
              <w:rPr>
                <w:rFonts w:cs="Arial"/>
                <w:color w:val="008000"/>
                <w:sz w:val="22"/>
                <w:szCs w:val="22"/>
              </w:rPr>
              <w:sym w:font="Wingdings" w:char="F06C"/>
            </w:r>
          </w:p>
        </w:tc>
      </w:tr>
      <w:tr w:rsidR="005A0381" w:rsidRPr="00AF5E7C" w:rsidTr="00547ACE">
        <w:trPr>
          <w:cantSplit/>
          <w:trHeight w:val="436"/>
        </w:trPr>
        <w:tc>
          <w:tcPr>
            <w:tcW w:w="1513" w:type="pct"/>
            <w:shd w:val="clear" w:color="auto" w:fill="auto"/>
            <w:tcMar>
              <w:top w:w="113" w:type="dxa"/>
              <w:bottom w:w="85" w:type="dxa"/>
            </w:tcMar>
          </w:tcPr>
          <w:p w:rsidR="005A0381" w:rsidRPr="00D81234" w:rsidRDefault="005A0381" w:rsidP="00547ACE">
            <w:pPr>
              <w:rPr>
                <w:rFonts w:cs="Arial"/>
                <w:sz w:val="16"/>
                <w:szCs w:val="16"/>
              </w:rPr>
            </w:pPr>
          </w:p>
        </w:tc>
        <w:tc>
          <w:tcPr>
            <w:tcW w:w="2131" w:type="pct"/>
            <w:shd w:val="clear" w:color="auto" w:fill="auto"/>
            <w:tcMar>
              <w:top w:w="113" w:type="dxa"/>
              <w:bottom w:w="85" w:type="dxa"/>
            </w:tcMar>
          </w:tcPr>
          <w:p w:rsidR="005A0381" w:rsidRPr="00F7400E" w:rsidRDefault="005A0381" w:rsidP="00547ACE">
            <w:pPr>
              <w:rPr>
                <w:rFonts w:cs="Arial"/>
                <w:sz w:val="16"/>
                <w:szCs w:val="16"/>
              </w:rPr>
            </w:pPr>
            <w:r w:rsidRPr="00F7400E">
              <w:rPr>
                <w:rFonts w:cs="Arial"/>
                <w:sz w:val="16"/>
                <w:szCs w:val="16"/>
              </w:rPr>
              <w:t>Processing time of travel related requests (eTA, ER, Visas)</w:t>
            </w:r>
          </w:p>
        </w:tc>
        <w:tc>
          <w:tcPr>
            <w:tcW w:w="895" w:type="pct"/>
            <w:shd w:val="clear" w:color="auto" w:fill="FFFFFF"/>
            <w:tcMar>
              <w:top w:w="113" w:type="dxa"/>
              <w:bottom w:w="85" w:type="dxa"/>
            </w:tcMar>
          </w:tcPr>
          <w:p w:rsidR="005A0381" w:rsidRDefault="005A0381" w:rsidP="00547ACE">
            <w:pPr>
              <w:jc w:val="center"/>
            </w:pPr>
            <w:r w:rsidRPr="003253B4">
              <w:rPr>
                <w:rFonts w:cs="Arial"/>
                <w:sz w:val="16"/>
                <w:szCs w:val="16"/>
                <w:lang w:bidi="th-TH"/>
              </w:rPr>
              <w:t>Program 24</w:t>
            </w:r>
          </w:p>
        </w:tc>
        <w:tc>
          <w:tcPr>
            <w:tcW w:w="461" w:type="pct"/>
            <w:shd w:val="clear" w:color="auto" w:fill="FFFFFF"/>
          </w:tcPr>
          <w:p w:rsidR="005A0381" w:rsidRPr="00CC3F44" w:rsidRDefault="005A0381" w:rsidP="00547ACE">
            <w:pPr>
              <w:jc w:val="center"/>
            </w:pPr>
            <w:r w:rsidRPr="00CC3F44">
              <w:rPr>
                <w:rFonts w:cs="Arial"/>
                <w:color w:val="008000"/>
                <w:sz w:val="22"/>
                <w:szCs w:val="22"/>
              </w:rPr>
              <w:sym w:font="Wingdings" w:char="F06C"/>
            </w:r>
          </w:p>
        </w:tc>
      </w:tr>
      <w:tr w:rsidR="005A0381" w:rsidRPr="00AF5E7C" w:rsidTr="00547ACE">
        <w:trPr>
          <w:cantSplit/>
          <w:trHeight w:val="247"/>
        </w:trPr>
        <w:tc>
          <w:tcPr>
            <w:tcW w:w="1513" w:type="pct"/>
            <w:shd w:val="clear" w:color="auto" w:fill="auto"/>
            <w:tcMar>
              <w:top w:w="113" w:type="dxa"/>
              <w:bottom w:w="85" w:type="dxa"/>
            </w:tcMar>
          </w:tcPr>
          <w:p w:rsidR="005A0381" w:rsidRPr="00D81234" w:rsidRDefault="005A0381" w:rsidP="00547ACE">
            <w:pPr>
              <w:rPr>
                <w:rFonts w:cs="Arial"/>
                <w:sz w:val="16"/>
                <w:szCs w:val="16"/>
              </w:rPr>
            </w:pPr>
          </w:p>
        </w:tc>
        <w:tc>
          <w:tcPr>
            <w:tcW w:w="2131" w:type="pct"/>
            <w:shd w:val="clear" w:color="auto" w:fill="auto"/>
            <w:tcMar>
              <w:top w:w="113" w:type="dxa"/>
              <w:bottom w:w="85" w:type="dxa"/>
            </w:tcMar>
          </w:tcPr>
          <w:p w:rsidR="005A0381" w:rsidRPr="00F7400E" w:rsidRDefault="005A0381" w:rsidP="00547ACE">
            <w:pPr>
              <w:rPr>
                <w:color w:val="000000"/>
                <w:sz w:val="16"/>
                <w:szCs w:val="16"/>
              </w:rPr>
            </w:pPr>
            <w:r w:rsidRPr="00F7400E">
              <w:rPr>
                <w:color w:val="000000"/>
                <w:sz w:val="16"/>
                <w:szCs w:val="16"/>
              </w:rPr>
              <w:t>Average ticket cost (TMC and UNDP tickets)</w:t>
            </w:r>
          </w:p>
        </w:tc>
        <w:tc>
          <w:tcPr>
            <w:tcW w:w="895" w:type="pct"/>
            <w:shd w:val="clear" w:color="auto" w:fill="FFFFFF"/>
            <w:tcMar>
              <w:top w:w="113" w:type="dxa"/>
              <w:bottom w:w="85" w:type="dxa"/>
            </w:tcMar>
          </w:tcPr>
          <w:p w:rsidR="005A0381" w:rsidRDefault="005A0381" w:rsidP="00547ACE">
            <w:pPr>
              <w:jc w:val="center"/>
            </w:pPr>
            <w:r w:rsidRPr="003253B4">
              <w:rPr>
                <w:rFonts w:cs="Arial"/>
                <w:sz w:val="16"/>
                <w:szCs w:val="16"/>
                <w:lang w:bidi="th-TH"/>
              </w:rPr>
              <w:t>Program 24</w:t>
            </w:r>
          </w:p>
        </w:tc>
        <w:tc>
          <w:tcPr>
            <w:tcW w:w="461" w:type="pct"/>
            <w:shd w:val="clear" w:color="auto" w:fill="FFFFFF"/>
          </w:tcPr>
          <w:p w:rsidR="005A0381" w:rsidRPr="00CC3F44" w:rsidRDefault="005A0381" w:rsidP="00547ACE">
            <w:pPr>
              <w:jc w:val="center"/>
              <w:rPr>
                <w:rFonts w:cs="Arial"/>
                <w:color w:val="A6A6A6" w:themeColor="background1" w:themeShade="A6"/>
                <w:sz w:val="22"/>
                <w:szCs w:val="22"/>
              </w:rPr>
            </w:pPr>
            <w:r w:rsidRPr="00CC3F44">
              <w:rPr>
                <w:rFonts w:cs="Arial"/>
                <w:color w:val="008000"/>
                <w:sz w:val="22"/>
                <w:szCs w:val="22"/>
              </w:rPr>
              <w:sym w:font="Wingdings" w:char="F06C"/>
            </w:r>
          </w:p>
        </w:tc>
      </w:tr>
      <w:tr w:rsidR="005A0381" w:rsidRPr="00AF5E7C" w:rsidTr="00547ACE">
        <w:trPr>
          <w:cantSplit/>
          <w:trHeight w:val="516"/>
        </w:trPr>
        <w:tc>
          <w:tcPr>
            <w:tcW w:w="1513" w:type="pct"/>
            <w:shd w:val="clear" w:color="auto" w:fill="auto"/>
            <w:tcMar>
              <w:top w:w="113" w:type="dxa"/>
              <w:bottom w:w="85" w:type="dxa"/>
            </w:tcMar>
          </w:tcPr>
          <w:p w:rsidR="005A0381" w:rsidRPr="00D81234" w:rsidRDefault="005A0381" w:rsidP="00547ACE">
            <w:pPr>
              <w:rPr>
                <w:rFonts w:cs="Arial"/>
                <w:sz w:val="16"/>
                <w:szCs w:val="16"/>
              </w:rPr>
            </w:pPr>
          </w:p>
        </w:tc>
        <w:tc>
          <w:tcPr>
            <w:tcW w:w="2131" w:type="pct"/>
            <w:shd w:val="clear" w:color="auto" w:fill="auto"/>
            <w:tcMar>
              <w:top w:w="113" w:type="dxa"/>
              <w:bottom w:w="85" w:type="dxa"/>
            </w:tcMar>
          </w:tcPr>
          <w:p w:rsidR="005A0381" w:rsidRPr="00366144" w:rsidRDefault="005A0381" w:rsidP="00547ACE">
            <w:pPr>
              <w:rPr>
                <w:color w:val="000000"/>
                <w:sz w:val="16"/>
                <w:szCs w:val="16"/>
              </w:rPr>
            </w:pPr>
            <w:r>
              <w:rPr>
                <w:color w:val="000000"/>
                <w:sz w:val="16"/>
                <w:szCs w:val="16"/>
              </w:rPr>
              <w:t>A</w:t>
            </w:r>
            <w:r w:rsidRPr="00366144">
              <w:rPr>
                <w:color w:val="000000"/>
                <w:sz w:val="16"/>
                <w:szCs w:val="16"/>
              </w:rPr>
              <w:t>ll types of space on the WIPO campus</w:t>
            </w:r>
            <w:r>
              <w:rPr>
                <w:color w:val="000000"/>
                <w:sz w:val="16"/>
                <w:szCs w:val="16"/>
              </w:rPr>
              <w:t xml:space="preserve"> (workplaces, storage and archiving) are effectively managed</w:t>
            </w:r>
          </w:p>
        </w:tc>
        <w:tc>
          <w:tcPr>
            <w:tcW w:w="895" w:type="pct"/>
            <w:shd w:val="clear" w:color="auto" w:fill="FFFFFF"/>
            <w:tcMar>
              <w:top w:w="113" w:type="dxa"/>
              <w:bottom w:w="85" w:type="dxa"/>
            </w:tcMar>
          </w:tcPr>
          <w:p w:rsidR="005A0381" w:rsidRDefault="005A0381" w:rsidP="00547ACE">
            <w:pPr>
              <w:jc w:val="center"/>
            </w:pPr>
            <w:r w:rsidRPr="003253B4">
              <w:rPr>
                <w:rFonts w:cs="Arial"/>
                <w:sz w:val="16"/>
                <w:szCs w:val="16"/>
                <w:lang w:bidi="th-TH"/>
              </w:rPr>
              <w:t>Program 24</w:t>
            </w:r>
          </w:p>
        </w:tc>
        <w:tc>
          <w:tcPr>
            <w:tcW w:w="461" w:type="pct"/>
            <w:shd w:val="clear" w:color="auto" w:fill="FFFFFF"/>
          </w:tcPr>
          <w:p w:rsidR="005A0381" w:rsidRPr="00CC3F44" w:rsidRDefault="005A0381" w:rsidP="00547ACE">
            <w:pPr>
              <w:jc w:val="center"/>
            </w:pPr>
            <w:r w:rsidRPr="00CC3F44">
              <w:rPr>
                <w:rFonts w:cs="Arial"/>
                <w:color w:val="008000"/>
                <w:sz w:val="22"/>
                <w:szCs w:val="22"/>
              </w:rPr>
              <w:sym w:font="Wingdings" w:char="F06C"/>
            </w:r>
          </w:p>
        </w:tc>
      </w:tr>
      <w:tr w:rsidR="005A0381" w:rsidRPr="00AF5E7C" w:rsidTr="00547ACE">
        <w:trPr>
          <w:cantSplit/>
          <w:trHeight w:val="516"/>
        </w:trPr>
        <w:tc>
          <w:tcPr>
            <w:tcW w:w="1513" w:type="pct"/>
            <w:shd w:val="clear" w:color="auto" w:fill="auto"/>
            <w:tcMar>
              <w:top w:w="113" w:type="dxa"/>
              <w:bottom w:w="85" w:type="dxa"/>
            </w:tcMar>
          </w:tcPr>
          <w:p w:rsidR="005A0381" w:rsidRPr="00D81234" w:rsidRDefault="005A0381" w:rsidP="00547ACE">
            <w:pPr>
              <w:rPr>
                <w:rFonts w:cs="Arial"/>
                <w:sz w:val="16"/>
                <w:szCs w:val="16"/>
              </w:rPr>
            </w:pPr>
          </w:p>
        </w:tc>
        <w:tc>
          <w:tcPr>
            <w:tcW w:w="2131" w:type="pct"/>
            <w:shd w:val="clear" w:color="auto" w:fill="auto"/>
            <w:tcMar>
              <w:top w:w="113" w:type="dxa"/>
              <w:bottom w:w="85" w:type="dxa"/>
            </w:tcMar>
          </w:tcPr>
          <w:p w:rsidR="005A0381" w:rsidRDefault="005A0381" w:rsidP="00547ACE">
            <w:pPr>
              <w:rPr>
                <w:color w:val="000000"/>
                <w:sz w:val="16"/>
                <w:szCs w:val="16"/>
              </w:rPr>
            </w:pPr>
            <w:r>
              <w:rPr>
                <w:color w:val="000000"/>
                <w:sz w:val="16"/>
                <w:szCs w:val="16"/>
              </w:rPr>
              <w:t>Buildings i</w:t>
            </w:r>
            <w:r w:rsidRPr="00366144">
              <w:rPr>
                <w:color w:val="000000"/>
                <w:sz w:val="16"/>
                <w:szCs w:val="16"/>
              </w:rPr>
              <w:t>n the WIPO campus</w:t>
            </w:r>
            <w:r>
              <w:rPr>
                <w:color w:val="000000"/>
                <w:sz w:val="16"/>
                <w:szCs w:val="16"/>
              </w:rPr>
              <w:t xml:space="preserve"> are renovated/modernized/</w:t>
            </w:r>
          </w:p>
          <w:p w:rsidR="005A0381" w:rsidRPr="00366144" w:rsidRDefault="005A0381" w:rsidP="00547ACE">
            <w:pPr>
              <w:rPr>
                <w:color w:val="000000"/>
                <w:sz w:val="16"/>
                <w:szCs w:val="16"/>
              </w:rPr>
            </w:pPr>
            <w:r>
              <w:rPr>
                <w:color w:val="000000"/>
                <w:sz w:val="16"/>
                <w:szCs w:val="16"/>
              </w:rPr>
              <w:t>transformed to remain fit for purpose</w:t>
            </w:r>
          </w:p>
        </w:tc>
        <w:tc>
          <w:tcPr>
            <w:tcW w:w="895" w:type="pct"/>
            <w:shd w:val="clear" w:color="auto" w:fill="FFFFFF"/>
            <w:tcMar>
              <w:top w:w="113" w:type="dxa"/>
              <w:bottom w:w="85" w:type="dxa"/>
            </w:tcMar>
          </w:tcPr>
          <w:p w:rsidR="005A0381" w:rsidRDefault="005A0381" w:rsidP="00547ACE">
            <w:pPr>
              <w:jc w:val="center"/>
            </w:pPr>
            <w:r w:rsidRPr="003253B4">
              <w:rPr>
                <w:rFonts w:cs="Arial"/>
                <w:sz w:val="16"/>
                <w:szCs w:val="16"/>
                <w:lang w:bidi="th-TH"/>
              </w:rPr>
              <w:t>Program 24</w:t>
            </w:r>
          </w:p>
        </w:tc>
        <w:tc>
          <w:tcPr>
            <w:tcW w:w="461" w:type="pct"/>
            <w:shd w:val="clear" w:color="auto" w:fill="FFFFFF"/>
          </w:tcPr>
          <w:p w:rsidR="005A0381" w:rsidRPr="00CC3F44" w:rsidRDefault="005A0381" w:rsidP="00547ACE">
            <w:pPr>
              <w:jc w:val="center"/>
              <w:rPr>
                <w:rFonts w:cs="Arial"/>
                <w:color w:val="A6A6A6" w:themeColor="background1" w:themeShade="A6"/>
                <w:sz w:val="22"/>
                <w:szCs w:val="22"/>
              </w:rPr>
            </w:pPr>
            <w:r w:rsidRPr="00CC3F44">
              <w:rPr>
                <w:rFonts w:cs="Arial"/>
                <w:color w:val="008000"/>
                <w:sz w:val="22"/>
                <w:szCs w:val="22"/>
              </w:rPr>
              <w:sym w:font="Wingdings" w:char="F06C"/>
            </w:r>
          </w:p>
        </w:tc>
      </w:tr>
      <w:tr w:rsidR="005A0381" w:rsidRPr="00AF5E7C" w:rsidTr="00547ACE">
        <w:trPr>
          <w:cantSplit/>
          <w:trHeight w:val="481"/>
        </w:trPr>
        <w:tc>
          <w:tcPr>
            <w:tcW w:w="1513" w:type="pct"/>
            <w:shd w:val="clear" w:color="auto" w:fill="auto"/>
            <w:tcMar>
              <w:top w:w="113" w:type="dxa"/>
              <w:bottom w:w="85" w:type="dxa"/>
            </w:tcMar>
          </w:tcPr>
          <w:p w:rsidR="005A0381" w:rsidRPr="00D81234" w:rsidRDefault="005A0381" w:rsidP="00547ACE">
            <w:pPr>
              <w:rPr>
                <w:rFonts w:cs="Arial"/>
                <w:sz w:val="16"/>
                <w:szCs w:val="16"/>
              </w:rPr>
            </w:pPr>
          </w:p>
        </w:tc>
        <w:tc>
          <w:tcPr>
            <w:tcW w:w="2131" w:type="pct"/>
            <w:shd w:val="clear" w:color="auto" w:fill="auto"/>
            <w:tcMar>
              <w:top w:w="113" w:type="dxa"/>
              <w:bottom w:w="85" w:type="dxa"/>
            </w:tcMar>
          </w:tcPr>
          <w:p w:rsidR="005A0381" w:rsidRPr="00366144" w:rsidRDefault="005A0381" w:rsidP="00547ACE">
            <w:pPr>
              <w:rPr>
                <w:color w:val="000000"/>
                <w:sz w:val="16"/>
                <w:szCs w:val="16"/>
              </w:rPr>
            </w:pPr>
            <w:r>
              <w:rPr>
                <w:color w:val="000000"/>
                <w:sz w:val="16"/>
                <w:szCs w:val="16"/>
              </w:rPr>
              <w:t>A</w:t>
            </w:r>
            <w:r w:rsidRPr="00366144">
              <w:rPr>
                <w:color w:val="000000"/>
                <w:sz w:val="16"/>
                <w:szCs w:val="16"/>
              </w:rPr>
              <w:t xml:space="preserve">ll types of </w:t>
            </w:r>
            <w:r>
              <w:rPr>
                <w:color w:val="000000"/>
                <w:sz w:val="16"/>
                <w:szCs w:val="16"/>
              </w:rPr>
              <w:t xml:space="preserve">critical </w:t>
            </w:r>
            <w:r w:rsidRPr="00366144">
              <w:rPr>
                <w:color w:val="000000"/>
                <w:sz w:val="16"/>
                <w:szCs w:val="16"/>
              </w:rPr>
              <w:t xml:space="preserve">technical installations </w:t>
            </w:r>
            <w:r>
              <w:rPr>
                <w:color w:val="000000"/>
                <w:sz w:val="16"/>
                <w:szCs w:val="16"/>
              </w:rPr>
              <w:t xml:space="preserve">comply with applicable </w:t>
            </w:r>
            <w:r w:rsidRPr="00366144">
              <w:rPr>
                <w:color w:val="000000"/>
                <w:sz w:val="16"/>
                <w:szCs w:val="16"/>
              </w:rPr>
              <w:t xml:space="preserve">technical standards </w:t>
            </w:r>
          </w:p>
        </w:tc>
        <w:tc>
          <w:tcPr>
            <w:tcW w:w="895" w:type="pct"/>
            <w:shd w:val="clear" w:color="auto" w:fill="FFFFFF"/>
            <w:tcMar>
              <w:top w:w="113" w:type="dxa"/>
              <w:bottom w:w="85" w:type="dxa"/>
            </w:tcMar>
          </w:tcPr>
          <w:p w:rsidR="005A0381" w:rsidRDefault="005A0381" w:rsidP="00547ACE">
            <w:pPr>
              <w:jc w:val="center"/>
              <w:rPr>
                <w:rFonts w:cs="Arial"/>
                <w:sz w:val="16"/>
                <w:szCs w:val="16"/>
                <w:lang w:bidi="th-TH"/>
              </w:rPr>
            </w:pPr>
            <w:r w:rsidRPr="003253B4">
              <w:rPr>
                <w:rFonts w:cs="Arial"/>
                <w:sz w:val="16"/>
                <w:szCs w:val="16"/>
                <w:lang w:bidi="th-TH"/>
              </w:rPr>
              <w:t>Program 24</w:t>
            </w:r>
          </w:p>
        </w:tc>
        <w:tc>
          <w:tcPr>
            <w:tcW w:w="461" w:type="pct"/>
            <w:shd w:val="clear" w:color="auto" w:fill="FFFFFF"/>
          </w:tcPr>
          <w:p w:rsidR="005A0381" w:rsidRPr="00CC3F44" w:rsidRDefault="005A0381" w:rsidP="00547ACE">
            <w:pPr>
              <w:jc w:val="center"/>
            </w:pPr>
            <w:r w:rsidRPr="00CC3F44">
              <w:rPr>
                <w:rFonts w:cs="Arial"/>
                <w:color w:val="008000"/>
                <w:sz w:val="22"/>
                <w:szCs w:val="22"/>
              </w:rPr>
              <w:sym w:font="Wingdings" w:char="F06C"/>
            </w:r>
          </w:p>
        </w:tc>
      </w:tr>
      <w:tr w:rsidR="005A0381" w:rsidRPr="00AF5E7C" w:rsidTr="00547ACE">
        <w:trPr>
          <w:cantSplit/>
          <w:trHeight w:val="436"/>
        </w:trPr>
        <w:tc>
          <w:tcPr>
            <w:tcW w:w="1513" w:type="pct"/>
            <w:shd w:val="clear" w:color="auto" w:fill="auto"/>
            <w:tcMar>
              <w:top w:w="113" w:type="dxa"/>
              <w:bottom w:w="85" w:type="dxa"/>
            </w:tcMar>
          </w:tcPr>
          <w:p w:rsidR="005A0381" w:rsidRPr="00D81234" w:rsidRDefault="005A0381" w:rsidP="00547ACE">
            <w:pPr>
              <w:rPr>
                <w:rFonts w:cs="Arial"/>
                <w:sz w:val="16"/>
                <w:szCs w:val="16"/>
              </w:rPr>
            </w:pPr>
          </w:p>
        </w:tc>
        <w:tc>
          <w:tcPr>
            <w:tcW w:w="2131" w:type="pct"/>
            <w:shd w:val="clear" w:color="auto" w:fill="auto"/>
            <w:tcMar>
              <w:top w:w="113" w:type="dxa"/>
              <w:bottom w:w="85" w:type="dxa"/>
            </w:tcMar>
          </w:tcPr>
          <w:p w:rsidR="005A0381" w:rsidRPr="009D0FB2" w:rsidRDefault="005A0381" w:rsidP="00547ACE">
            <w:pPr>
              <w:rPr>
                <w:color w:val="000000"/>
                <w:sz w:val="16"/>
                <w:szCs w:val="16"/>
              </w:rPr>
            </w:pPr>
            <w:r w:rsidRPr="0070048B">
              <w:rPr>
                <w:color w:val="000000"/>
                <w:sz w:val="16"/>
                <w:szCs w:val="16"/>
              </w:rPr>
              <w:t>ICT Systems are cost-effectively hosted and managed in line with business demands</w:t>
            </w:r>
          </w:p>
        </w:tc>
        <w:tc>
          <w:tcPr>
            <w:tcW w:w="895" w:type="pct"/>
            <w:shd w:val="clear" w:color="auto" w:fill="FFFFFF"/>
            <w:tcMar>
              <w:top w:w="113" w:type="dxa"/>
              <w:bottom w:w="85" w:type="dxa"/>
            </w:tcMar>
          </w:tcPr>
          <w:p w:rsidR="005A0381" w:rsidRDefault="005A0381" w:rsidP="00547ACE">
            <w:pPr>
              <w:jc w:val="center"/>
              <w:rPr>
                <w:rFonts w:cs="Arial"/>
                <w:sz w:val="16"/>
                <w:szCs w:val="16"/>
                <w:lang w:bidi="th-TH"/>
              </w:rPr>
            </w:pPr>
            <w:r>
              <w:rPr>
                <w:rFonts w:cs="Arial"/>
                <w:sz w:val="16"/>
                <w:szCs w:val="16"/>
                <w:lang w:bidi="th-TH"/>
              </w:rPr>
              <w:t>Program 25</w:t>
            </w:r>
          </w:p>
        </w:tc>
        <w:tc>
          <w:tcPr>
            <w:tcW w:w="461" w:type="pct"/>
            <w:shd w:val="clear" w:color="auto" w:fill="FFFFFF"/>
          </w:tcPr>
          <w:p w:rsidR="005A0381" w:rsidRPr="00CC3F44" w:rsidRDefault="005A0381" w:rsidP="00547ACE">
            <w:pPr>
              <w:jc w:val="center"/>
              <w:rPr>
                <w:rFonts w:cs="Arial"/>
                <w:color w:val="A6A6A6" w:themeColor="background1" w:themeShade="A6"/>
                <w:sz w:val="22"/>
                <w:szCs w:val="22"/>
              </w:rPr>
            </w:pPr>
            <w:r w:rsidRPr="00CC3F44">
              <w:rPr>
                <w:rFonts w:cs="Arial"/>
                <w:color w:val="008000"/>
                <w:sz w:val="22"/>
                <w:szCs w:val="22"/>
              </w:rPr>
              <w:sym w:font="Wingdings" w:char="F06C"/>
            </w:r>
            <w:r w:rsidRPr="00CC3F44">
              <w:rPr>
                <w:rFonts w:cs="Arial"/>
                <w:color w:val="008000"/>
                <w:sz w:val="22"/>
                <w:szCs w:val="22"/>
              </w:rPr>
              <w:sym w:font="Wingdings" w:char="F06C"/>
            </w:r>
            <w:r w:rsidRPr="00CC3F44">
              <w:rPr>
                <w:rFonts w:cs="Arial"/>
                <w:color w:val="008000"/>
                <w:sz w:val="22"/>
                <w:szCs w:val="22"/>
              </w:rPr>
              <w:sym w:font="Wingdings" w:char="F06C"/>
            </w:r>
            <w:r w:rsidRPr="00CC3F44">
              <w:rPr>
                <w:rFonts w:cs="Arial"/>
                <w:color w:val="008000"/>
                <w:sz w:val="22"/>
                <w:szCs w:val="22"/>
              </w:rPr>
              <w:sym w:font="Wingdings" w:char="F06C"/>
            </w:r>
          </w:p>
        </w:tc>
      </w:tr>
      <w:tr w:rsidR="005A0381" w:rsidRPr="00AF5E7C" w:rsidTr="00547ACE">
        <w:trPr>
          <w:cantSplit/>
          <w:trHeight w:val="427"/>
        </w:trPr>
        <w:tc>
          <w:tcPr>
            <w:tcW w:w="1513" w:type="pct"/>
            <w:shd w:val="clear" w:color="auto" w:fill="auto"/>
            <w:tcMar>
              <w:top w:w="113" w:type="dxa"/>
              <w:bottom w:w="85" w:type="dxa"/>
            </w:tcMar>
          </w:tcPr>
          <w:p w:rsidR="005A0381" w:rsidRPr="00D81234" w:rsidRDefault="005A0381" w:rsidP="00547ACE">
            <w:pPr>
              <w:rPr>
                <w:rFonts w:cs="Arial"/>
                <w:sz w:val="16"/>
                <w:szCs w:val="16"/>
              </w:rPr>
            </w:pPr>
          </w:p>
        </w:tc>
        <w:tc>
          <w:tcPr>
            <w:tcW w:w="2131" w:type="pct"/>
            <w:shd w:val="clear" w:color="auto" w:fill="auto"/>
            <w:tcMar>
              <w:top w:w="113" w:type="dxa"/>
              <w:bottom w:w="85" w:type="dxa"/>
            </w:tcMar>
          </w:tcPr>
          <w:p w:rsidR="005A0381" w:rsidRPr="0070048B" w:rsidRDefault="005A0381" w:rsidP="00547ACE">
            <w:pPr>
              <w:rPr>
                <w:rFonts w:cs="Arial"/>
                <w:sz w:val="16"/>
                <w:szCs w:val="16"/>
              </w:rPr>
            </w:pPr>
            <w:r w:rsidRPr="0070048B">
              <w:rPr>
                <w:rFonts w:cs="Arial"/>
                <w:sz w:val="16"/>
                <w:szCs w:val="16"/>
              </w:rPr>
              <w:t>No. of SLAs for hosted systems and services that are compliant with ICT SLA framework</w:t>
            </w:r>
          </w:p>
        </w:tc>
        <w:tc>
          <w:tcPr>
            <w:tcW w:w="895" w:type="pct"/>
            <w:shd w:val="clear" w:color="auto" w:fill="FFFFFF"/>
            <w:tcMar>
              <w:top w:w="113" w:type="dxa"/>
              <w:bottom w:w="85" w:type="dxa"/>
            </w:tcMar>
          </w:tcPr>
          <w:p w:rsidR="005A0381" w:rsidRPr="00E536B5" w:rsidRDefault="005A0381" w:rsidP="00547ACE">
            <w:pPr>
              <w:jc w:val="center"/>
              <w:rPr>
                <w:rFonts w:cs="Arial"/>
                <w:sz w:val="16"/>
                <w:szCs w:val="16"/>
                <w:lang w:bidi="th-TH"/>
              </w:rPr>
            </w:pPr>
            <w:r w:rsidRPr="00294C60">
              <w:rPr>
                <w:rFonts w:cs="Arial"/>
                <w:sz w:val="16"/>
                <w:szCs w:val="16"/>
                <w:lang w:bidi="th-TH"/>
              </w:rPr>
              <w:t>Program 25</w:t>
            </w:r>
          </w:p>
        </w:tc>
        <w:tc>
          <w:tcPr>
            <w:tcW w:w="461" w:type="pct"/>
            <w:shd w:val="clear" w:color="auto" w:fill="FFFFFF"/>
          </w:tcPr>
          <w:p w:rsidR="005A0381" w:rsidRPr="00CC3F44" w:rsidRDefault="005A0381" w:rsidP="00547ACE">
            <w:pPr>
              <w:jc w:val="center"/>
            </w:pPr>
            <w:r w:rsidRPr="00CC3F44">
              <w:rPr>
                <w:rFonts w:cs="Arial"/>
                <w:color w:val="008000"/>
                <w:sz w:val="22"/>
                <w:szCs w:val="22"/>
              </w:rPr>
              <w:sym w:font="Wingdings" w:char="F06C"/>
            </w:r>
          </w:p>
        </w:tc>
      </w:tr>
      <w:tr w:rsidR="005A0381" w:rsidRPr="00AF5E7C" w:rsidTr="00547ACE">
        <w:trPr>
          <w:cantSplit/>
          <w:trHeight w:val="346"/>
        </w:trPr>
        <w:tc>
          <w:tcPr>
            <w:tcW w:w="1513" w:type="pct"/>
            <w:shd w:val="clear" w:color="auto" w:fill="auto"/>
            <w:tcMar>
              <w:top w:w="113" w:type="dxa"/>
              <w:bottom w:w="85" w:type="dxa"/>
            </w:tcMar>
          </w:tcPr>
          <w:p w:rsidR="005A0381" w:rsidRPr="00D81234" w:rsidRDefault="005A0381" w:rsidP="00547ACE">
            <w:pPr>
              <w:rPr>
                <w:rFonts w:cs="Arial"/>
                <w:sz w:val="16"/>
                <w:szCs w:val="16"/>
              </w:rPr>
            </w:pPr>
          </w:p>
        </w:tc>
        <w:tc>
          <w:tcPr>
            <w:tcW w:w="2131" w:type="pct"/>
            <w:shd w:val="clear" w:color="auto" w:fill="auto"/>
            <w:tcMar>
              <w:top w:w="113" w:type="dxa"/>
              <w:bottom w:w="85" w:type="dxa"/>
            </w:tcMar>
          </w:tcPr>
          <w:p w:rsidR="005A0381" w:rsidRPr="0070048B" w:rsidRDefault="005A0381" w:rsidP="00547ACE">
            <w:pPr>
              <w:rPr>
                <w:rFonts w:cs="Arial"/>
                <w:sz w:val="16"/>
                <w:szCs w:val="16"/>
              </w:rPr>
            </w:pPr>
            <w:r w:rsidRPr="0070048B">
              <w:rPr>
                <w:rFonts w:cs="Arial"/>
                <w:sz w:val="16"/>
                <w:szCs w:val="16"/>
              </w:rPr>
              <w:t>ICT Service Continuity of critical systems</w:t>
            </w:r>
          </w:p>
        </w:tc>
        <w:tc>
          <w:tcPr>
            <w:tcW w:w="895" w:type="pct"/>
            <w:shd w:val="clear" w:color="auto" w:fill="FFFFFF"/>
            <w:tcMar>
              <w:top w:w="113" w:type="dxa"/>
              <w:bottom w:w="85" w:type="dxa"/>
            </w:tcMar>
          </w:tcPr>
          <w:p w:rsidR="005A0381" w:rsidRPr="00E536B5" w:rsidRDefault="005A0381" w:rsidP="00547ACE">
            <w:pPr>
              <w:jc w:val="center"/>
              <w:rPr>
                <w:rFonts w:cs="Arial"/>
                <w:sz w:val="16"/>
                <w:szCs w:val="16"/>
                <w:lang w:bidi="th-TH"/>
              </w:rPr>
            </w:pPr>
            <w:r w:rsidRPr="00294C60">
              <w:rPr>
                <w:rFonts w:cs="Arial"/>
                <w:sz w:val="16"/>
                <w:szCs w:val="16"/>
                <w:lang w:bidi="th-TH"/>
              </w:rPr>
              <w:t>Program 25</w:t>
            </w:r>
          </w:p>
        </w:tc>
        <w:tc>
          <w:tcPr>
            <w:tcW w:w="461" w:type="pct"/>
            <w:shd w:val="clear" w:color="auto" w:fill="FFFFFF"/>
          </w:tcPr>
          <w:p w:rsidR="005A0381" w:rsidRPr="00CC3F44" w:rsidRDefault="005A0381" w:rsidP="00547ACE">
            <w:pPr>
              <w:jc w:val="center"/>
              <w:rPr>
                <w:rFonts w:cs="Arial"/>
                <w:color w:val="A6A6A6" w:themeColor="background1" w:themeShade="A6"/>
                <w:sz w:val="22"/>
                <w:szCs w:val="22"/>
              </w:rPr>
            </w:pPr>
            <w:r w:rsidRPr="00CC3F44">
              <w:rPr>
                <w:rFonts w:cs="Arial"/>
                <w:color w:val="008000"/>
                <w:sz w:val="22"/>
                <w:szCs w:val="22"/>
              </w:rPr>
              <w:sym w:font="Wingdings" w:char="F06C"/>
            </w:r>
          </w:p>
        </w:tc>
      </w:tr>
      <w:tr w:rsidR="005A0381" w:rsidRPr="00AF5E7C" w:rsidTr="00547ACE">
        <w:trPr>
          <w:cantSplit/>
          <w:trHeight w:val="516"/>
        </w:trPr>
        <w:tc>
          <w:tcPr>
            <w:tcW w:w="1513" w:type="pct"/>
            <w:shd w:val="clear" w:color="auto" w:fill="auto"/>
            <w:tcMar>
              <w:top w:w="113" w:type="dxa"/>
              <w:bottom w:w="85" w:type="dxa"/>
            </w:tcMar>
          </w:tcPr>
          <w:p w:rsidR="005A0381" w:rsidRPr="00D81234" w:rsidRDefault="005A0381" w:rsidP="00547ACE">
            <w:pPr>
              <w:rPr>
                <w:rFonts w:cs="Arial"/>
                <w:sz w:val="16"/>
                <w:szCs w:val="16"/>
              </w:rPr>
            </w:pPr>
          </w:p>
        </w:tc>
        <w:tc>
          <w:tcPr>
            <w:tcW w:w="2131" w:type="pct"/>
            <w:shd w:val="clear" w:color="auto" w:fill="auto"/>
            <w:tcMar>
              <w:top w:w="113" w:type="dxa"/>
              <w:bottom w:w="85" w:type="dxa"/>
            </w:tcMar>
          </w:tcPr>
          <w:p w:rsidR="005A0381" w:rsidRPr="0070048B" w:rsidRDefault="005A0381" w:rsidP="00547ACE">
            <w:pPr>
              <w:rPr>
                <w:rFonts w:cs="Arial"/>
                <w:sz w:val="16"/>
                <w:szCs w:val="16"/>
              </w:rPr>
            </w:pPr>
            <w:r w:rsidRPr="0070048B">
              <w:rPr>
                <w:rFonts w:cs="Arial"/>
                <w:sz w:val="16"/>
                <w:szCs w:val="16"/>
              </w:rPr>
              <w:t>% end-users and business sectors who are satisfied with ICT services</w:t>
            </w:r>
          </w:p>
        </w:tc>
        <w:tc>
          <w:tcPr>
            <w:tcW w:w="895" w:type="pct"/>
            <w:shd w:val="clear" w:color="auto" w:fill="FFFFFF"/>
            <w:tcMar>
              <w:top w:w="113" w:type="dxa"/>
              <w:bottom w:w="85" w:type="dxa"/>
            </w:tcMar>
          </w:tcPr>
          <w:p w:rsidR="005A0381" w:rsidRPr="00E536B5" w:rsidRDefault="005A0381" w:rsidP="00547ACE">
            <w:pPr>
              <w:jc w:val="center"/>
              <w:rPr>
                <w:rFonts w:cs="Arial"/>
                <w:sz w:val="16"/>
                <w:szCs w:val="16"/>
                <w:lang w:bidi="th-TH"/>
              </w:rPr>
            </w:pPr>
            <w:r w:rsidRPr="00294C60">
              <w:rPr>
                <w:rFonts w:cs="Arial"/>
                <w:sz w:val="16"/>
                <w:szCs w:val="16"/>
                <w:lang w:bidi="th-TH"/>
              </w:rPr>
              <w:t>Program 25</w:t>
            </w:r>
          </w:p>
        </w:tc>
        <w:tc>
          <w:tcPr>
            <w:tcW w:w="461" w:type="pct"/>
            <w:shd w:val="clear" w:color="auto" w:fill="FFFFFF"/>
          </w:tcPr>
          <w:p w:rsidR="005A0381" w:rsidRPr="00CC3F44" w:rsidRDefault="005A0381" w:rsidP="00547ACE">
            <w:pPr>
              <w:jc w:val="center"/>
            </w:pPr>
            <w:r w:rsidRPr="00CC3F44">
              <w:rPr>
                <w:rFonts w:cs="Arial"/>
                <w:color w:val="008000"/>
                <w:sz w:val="22"/>
                <w:szCs w:val="22"/>
              </w:rPr>
              <w:sym w:font="Wingdings" w:char="F06C"/>
            </w:r>
          </w:p>
        </w:tc>
      </w:tr>
      <w:tr w:rsidR="005A0381" w:rsidRPr="00AF5E7C" w:rsidTr="00547ACE">
        <w:trPr>
          <w:cantSplit/>
          <w:trHeight w:val="526"/>
        </w:trPr>
        <w:tc>
          <w:tcPr>
            <w:tcW w:w="1513" w:type="pct"/>
            <w:shd w:val="clear" w:color="auto" w:fill="auto"/>
            <w:tcMar>
              <w:top w:w="113" w:type="dxa"/>
              <w:bottom w:w="85" w:type="dxa"/>
            </w:tcMar>
          </w:tcPr>
          <w:p w:rsidR="005A0381" w:rsidRPr="00D81234" w:rsidRDefault="005A0381" w:rsidP="00547ACE">
            <w:pPr>
              <w:rPr>
                <w:rFonts w:cs="Arial"/>
                <w:sz w:val="16"/>
                <w:szCs w:val="16"/>
              </w:rPr>
            </w:pPr>
          </w:p>
        </w:tc>
        <w:tc>
          <w:tcPr>
            <w:tcW w:w="2131" w:type="pct"/>
            <w:shd w:val="clear" w:color="auto" w:fill="auto"/>
            <w:tcMar>
              <w:top w:w="113" w:type="dxa"/>
              <w:bottom w:w="85" w:type="dxa"/>
            </w:tcMar>
          </w:tcPr>
          <w:p w:rsidR="005A0381" w:rsidRPr="0070048B" w:rsidRDefault="005A0381" w:rsidP="00547ACE">
            <w:pPr>
              <w:rPr>
                <w:color w:val="000000"/>
                <w:sz w:val="16"/>
                <w:szCs w:val="16"/>
              </w:rPr>
            </w:pPr>
            <w:r w:rsidRPr="0070048B">
              <w:rPr>
                <w:color w:val="000000"/>
                <w:sz w:val="16"/>
                <w:szCs w:val="16"/>
              </w:rPr>
              <w:t>Comprehensive and integrated communication technologies are easily accessible to staff</w:t>
            </w:r>
          </w:p>
        </w:tc>
        <w:tc>
          <w:tcPr>
            <w:tcW w:w="895" w:type="pct"/>
            <w:shd w:val="clear" w:color="auto" w:fill="FFFFFF"/>
            <w:tcMar>
              <w:top w:w="113" w:type="dxa"/>
              <w:bottom w:w="85" w:type="dxa"/>
            </w:tcMar>
          </w:tcPr>
          <w:p w:rsidR="005A0381" w:rsidRPr="00E536B5" w:rsidRDefault="005A0381" w:rsidP="00547ACE">
            <w:pPr>
              <w:jc w:val="center"/>
              <w:rPr>
                <w:rFonts w:cs="Arial"/>
                <w:sz w:val="16"/>
                <w:szCs w:val="16"/>
                <w:lang w:bidi="th-TH"/>
              </w:rPr>
            </w:pPr>
            <w:r w:rsidRPr="00294C60">
              <w:rPr>
                <w:rFonts w:cs="Arial"/>
                <w:sz w:val="16"/>
                <w:szCs w:val="16"/>
                <w:lang w:bidi="th-TH"/>
              </w:rPr>
              <w:t>Program 25</w:t>
            </w:r>
          </w:p>
        </w:tc>
        <w:tc>
          <w:tcPr>
            <w:tcW w:w="461" w:type="pct"/>
            <w:shd w:val="clear" w:color="auto" w:fill="FFFFFF"/>
          </w:tcPr>
          <w:p w:rsidR="005A0381" w:rsidRPr="00CC3F44" w:rsidRDefault="005A0381" w:rsidP="00547ACE">
            <w:pPr>
              <w:jc w:val="center"/>
              <w:rPr>
                <w:rFonts w:cs="Arial"/>
                <w:color w:val="A6A6A6" w:themeColor="background1" w:themeShade="A6"/>
                <w:sz w:val="22"/>
                <w:szCs w:val="22"/>
              </w:rPr>
            </w:pPr>
            <w:r w:rsidRPr="00CC3F44">
              <w:rPr>
                <w:rFonts w:cs="Arial"/>
                <w:color w:val="008000"/>
                <w:sz w:val="22"/>
                <w:szCs w:val="22"/>
              </w:rPr>
              <w:sym w:font="Wingdings" w:char="F06C"/>
            </w:r>
          </w:p>
        </w:tc>
      </w:tr>
      <w:tr w:rsidR="005A0381" w:rsidRPr="00AF5E7C" w:rsidTr="00547ACE">
        <w:trPr>
          <w:cantSplit/>
          <w:trHeight w:val="517"/>
        </w:trPr>
        <w:tc>
          <w:tcPr>
            <w:tcW w:w="1513" w:type="pct"/>
            <w:shd w:val="clear" w:color="auto" w:fill="auto"/>
            <w:tcMar>
              <w:top w:w="113" w:type="dxa"/>
              <w:bottom w:w="85" w:type="dxa"/>
            </w:tcMar>
          </w:tcPr>
          <w:p w:rsidR="005A0381" w:rsidRPr="00D81234" w:rsidRDefault="005A0381" w:rsidP="00547ACE">
            <w:pPr>
              <w:rPr>
                <w:rFonts w:cs="Arial"/>
                <w:sz w:val="16"/>
                <w:szCs w:val="16"/>
              </w:rPr>
            </w:pPr>
          </w:p>
        </w:tc>
        <w:tc>
          <w:tcPr>
            <w:tcW w:w="2131" w:type="pct"/>
            <w:shd w:val="clear" w:color="auto" w:fill="auto"/>
            <w:tcMar>
              <w:top w:w="113" w:type="dxa"/>
              <w:bottom w:w="85" w:type="dxa"/>
            </w:tcMar>
          </w:tcPr>
          <w:p w:rsidR="005A0381" w:rsidRPr="00DE7DBA" w:rsidRDefault="005A0381" w:rsidP="00547ACE">
            <w:pPr>
              <w:rPr>
                <w:rFonts w:cs="Arial"/>
                <w:bCs/>
                <w:sz w:val="16"/>
                <w:szCs w:val="16"/>
              </w:rPr>
            </w:pPr>
            <w:r w:rsidRPr="00DE7DBA">
              <w:rPr>
                <w:rFonts w:cs="Arial"/>
                <w:bCs/>
                <w:sz w:val="16"/>
                <w:szCs w:val="16"/>
              </w:rPr>
              <w:t>% of internal and external participants satisfied with WIPO Conference Services</w:t>
            </w:r>
          </w:p>
        </w:tc>
        <w:tc>
          <w:tcPr>
            <w:tcW w:w="895" w:type="pct"/>
            <w:shd w:val="clear" w:color="auto" w:fill="FFFFFF"/>
            <w:tcMar>
              <w:top w:w="113" w:type="dxa"/>
              <w:bottom w:w="85" w:type="dxa"/>
            </w:tcMar>
          </w:tcPr>
          <w:p w:rsidR="005A0381" w:rsidRDefault="005A0381" w:rsidP="00547ACE">
            <w:pPr>
              <w:jc w:val="center"/>
              <w:rPr>
                <w:rFonts w:cs="Arial"/>
                <w:sz w:val="16"/>
                <w:szCs w:val="16"/>
                <w:lang w:bidi="th-TH"/>
              </w:rPr>
            </w:pPr>
            <w:r>
              <w:rPr>
                <w:rFonts w:cs="Arial"/>
                <w:sz w:val="16"/>
                <w:szCs w:val="16"/>
                <w:lang w:bidi="th-TH"/>
              </w:rPr>
              <w:t>Program 27</w:t>
            </w:r>
          </w:p>
        </w:tc>
        <w:tc>
          <w:tcPr>
            <w:tcW w:w="461" w:type="pct"/>
            <w:shd w:val="clear" w:color="auto" w:fill="FFFFFF"/>
          </w:tcPr>
          <w:p w:rsidR="005A0381" w:rsidRPr="00CC3F44" w:rsidRDefault="005A0381" w:rsidP="00547ACE">
            <w:pPr>
              <w:jc w:val="center"/>
            </w:pPr>
            <w:r w:rsidRPr="00CC3F44">
              <w:rPr>
                <w:rFonts w:cs="Arial"/>
                <w:color w:val="008000"/>
                <w:sz w:val="22"/>
                <w:szCs w:val="22"/>
              </w:rPr>
              <w:sym w:font="Wingdings" w:char="F06C"/>
            </w:r>
          </w:p>
        </w:tc>
      </w:tr>
      <w:tr w:rsidR="005A0381" w:rsidRPr="00AF5E7C" w:rsidTr="00547ACE">
        <w:trPr>
          <w:cantSplit/>
          <w:trHeight w:val="346"/>
        </w:trPr>
        <w:tc>
          <w:tcPr>
            <w:tcW w:w="1513" w:type="pct"/>
            <w:shd w:val="clear" w:color="auto" w:fill="auto"/>
            <w:tcMar>
              <w:top w:w="113" w:type="dxa"/>
              <w:bottom w:w="85" w:type="dxa"/>
            </w:tcMar>
          </w:tcPr>
          <w:p w:rsidR="005A0381" w:rsidRPr="00D81234" w:rsidRDefault="005A0381" w:rsidP="00547ACE">
            <w:pPr>
              <w:rPr>
                <w:rFonts w:cs="Arial"/>
                <w:sz w:val="16"/>
                <w:szCs w:val="16"/>
              </w:rPr>
            </w:pPr>
          </w:p>
        </w:tc>
        <w:tc>
          <w:tcPr>
            <w:tcW w:w="2131" w:type="pct"/>
            <w:shd w:val="clear" w:color="auto" w:fill="auto"/>
            <w:tcMar>
              <w:top w:w="113" w:type="dxa"/>
              <w:bottom w:w="85" w:type="dxa"/>
            </w:tcMar>
          </w:tcPr>
          <w:p w:rsidR="005A0381" w:rsidRPr="00DE7DBA" w:rsidRDefault="005A0381" w:rsidP="00547ACE">
            <w:pPr>
              <w:rPr>
                <w:rFonts w:cs="Arial"/>
                <w:sz w:val="16"/>
                <w:szCs w:val="16"/>
              </w:rPr>
            </w:pPr>
            <w:r w:rsidRPr="00DE7DBA">
              <w:rPr>
                <w:rFonts w:cs="Arial"/>
                <w:sz w:val="16"/>
                <w:szCs w:val="16"/>
              </w:rPr>
              <w:t>Effective implementation of WIPO Language Policy</w:t>
            </w:r>
          </w:p>
        </w:tc>
        <w:tc>
          <w:tcPr>
            <w:tcW w:w="895" w:type="pct"/>
            <w:shd w:val="clear" w:color="auto" w:fill="FFFFFF"/>
            <w:tcMar>
              <w:top w:w="113" w:type="dxa"/>
              <w:bottom w:w="85" w:type="dxa"/>
            </w:tcMar>
          </w:tcPr>
          <w:p w:rsidR="005A0381" w:rsidRPr="00E536B5" w:rsidRDefault="005A0381" w:rsidP="00547ACE">
            <w:pPr>
              <w:jc w:val="center"/>
              <w:rPr>
                <w:rFonts w:cs="Arial"/>
                <w:sz w:val="16"/>
                <w:szCs w:val="16"/>
                <w:lang w:bidi="th-TH"/>
              </w:rPr>
            </w:pPr>
            <w:r w:rsidRPr="00F90173">
              <w:rPr>
                <w:rFonts w:cs="Arial"/>
                <w:sz w:val="16"/>
                <w:szCs w:val="16"/>
                <w:lang w:bidi="th-TH"/>
              </w:rPr>
              <w:t>Program 27</w:t>
            </w:r>
          </w:p>
        </w:tc>
        <w:tc>
          <w:tcPr>
            <w:tcW w:w="461" w:type="pct"/>
            <w:shd w:val="clear" w:color="auto" w:fill="FFFFFF"/>
          </w:tcPr>
          <w:p w:rsidR="005A0381" w:rsidRPr="00CC3F44" w:rsidRDefault="005A0381" w:rsidP="00547ACE">
            <w:pPr>
              <w:jc w:val="center"/>
              <w:rPr>
                <w:rFonts w:cs="Arial"/>
                <w:color w:val="A6A6A6" w:themeColor="background1" w:themeShade="A6"/>
                <w:sz w:val="22"/>
                <w:szCs w:val="22"/>
              </w:rPr>
            </w:pPr>
            <w:r w:rsidRPr="00CC3F44">
              <w:rPr>
                <w:rFonts w:cs="Arial"/>
                <w:color w:val="008000"/>
                <w:sz w:val="22"/>
                <w:szCs w:val="22"/>
              </w:rPr>
              <w:sym w:font="Wingdings" w:char="F06C"/>
            </w:r>
            <w:r w:rsidRPr="00CC3F44">
              <w:rPr>
                <w:rFonts w:cs="Arial"/>
                <w:color w:val="008000"/>
                <w:sz w:val="22"/>
                <w:szCs w:val="22"/>
              </w:rPr>
              <w:sym w:font="Wingdings" w:char="F06C"/>
            </w:r>
          </w:p>
        </w:tc>
      </w:tr>
      <w:tr w:rsidR="005A0381" w:rsidRPr="00AF5E7C" w:rsidTr="00547ACE">
        <w:trPr>
          <w:cantSplit/>
          <w:trHeight w:val="346"/>
        </w:trPr>
        <w:tc>
          <w:tcPr>
            <w:tcW w:w="1513" w:type="pct"/>
            <w:shd w:val="clear" w:color="auto" w:fill="auto"/>
            <w:tcMar>
              <w:top w:w="113" w:type="dxa"/>
              <w:bottom w:w="85" w:type="dxa"/>
            </w:tcMar>
          </w:tcPr>
          <w:p w:rsidR="005A0381" w:rsidRPr="00D81234" w:rsidRDefault="005A0381" w:rsidP="00547ACE">
            <w:pPr>
              <w:rPr>
                <w:rFonts w:cs="Arial"/>
                <w:sz w:val="16"/>
                <w:szCs w:val="16"/>
              </w:rPr>
            </w:pPr>
          </w:p>
        </w:tc>
        <w:tc>
          <w:tcPr>
            <w:tcW w:w="2131" w:type="pct"/>
            <w:shd w:val="clear" w:color="auto" w:fill="auto"/>
            <w:tcMar>
              <w:top w:w="113" w:type="dxa"/>
              <w:bottom w:w="85" w:type="dxa"/>
            </w:tcMar>
          </w:tcPr>
          <w:p w:rsidR="005A0381" w:rsidRPr="00DE7DBA" w:rsidRDefault="005A0381" w:rsidP="00547ACE">
            <w:pPr>
              <w:rPr>
                <w:rFonts w:cs="Arial"/>
                <w:sz w:val="16"/>
                <w:szCs w:val="16"/>
              </w:rPr>
            </w:pPr>
            <w:r w:rsidRPr="00DE7DBA">
              <w:rPr>
                <w:rFonts w:cs="Arial"/>
                <w:sz w:val="16"/>
                <w:szCs w:val="16"/>
              </w:rPr>
              <w:t>Cost per word of translation</w:t>
            </w:r>
          </w:p>
        </w:tc>
        <w:tc>
          <w:tcPr>
            <w:tcW w:w="895" w:type="pct"/>
            <w:shd w:val="clear" w:color="auto" w:fill="FFFFFF"/>
            <w:tcMar>
              <w:top w:w="113" w:type="dxa"/>
              <w:bottom w:w="85" w:type="dxa"/>
            </w:tcMar>
          </w:tcPr>
          <w:p w:rsidR="005A0381" w:rsidRPr="00E536B5" w:rsidRDefault="005A0381" w:rsidP="00547ACE">
            <w:pPr>
              <w:jc w:val="center"/>
              <w:rPr>
                <w:rFonts w:cs="Arial"/>
                <w:sz w:val="16"/>
                <w:szCs w:val="16"/>
                <w:lang w:bidi="th-TH"/>
              </w:rPr>
            </w:pPr>
            <w:r w:rsidRPr="00F90173">
              <w:rPr>
                <w:rFonts w:cs="Arial"/>
                <w:sz w:val="16"/>
                <w:szCs w:val="16"/>
                <w:lang w:bidi="th-TH"/>
              </w:rPr>
              <w:t>Program 27</w:t>
            </w:r>
          </w:p>
        </w:tc>
        <w:tc>
          <w:tcPr>
            <w:tcW w:w="461" w:type="pct"/>
            <w:shd w:val="clear" w:color="auto" w:fill="FFFFFF"/>
          </w:tcPr>
          <w:p w:rsidR="005A0381" w:rsidRPr="00CC3F44" w:rsidRDefault="005A0381" w:rsidP="00547ACE">
            <w:pPr>
              <w:jc w:val="center"/>
            </w:pPr>
            <w:r w:rsidRPr="00CC3F44">
              <w:rPr>
                <w:rFonts w:cs="Arial"/>
                <w:color w:val="008000"/>
                <w:sz w:val="22"/>
                <w:szCs w:val="22"/>
              </w:rPr>
              <w:sym w:font="Wingdings" w:char="F06C"/>
            </w:r>
          </w:p>
        </w:tc>
      </w:tr>
      <w:tr w:rsidR="005A0381" w:rsidRPr="00AF5E7C" w:rsidTr="00547ACE">
        <w:trPr>
          <w:cantSplit/>
          <w:trHeight w:val="337"/>
        </w:trPr>
        <w:tc>
          <w:tcPr>
            <w:tcW w:w="1513" w:type="pct"/>
            <w:shd w:val="clear" w:color="auto" w:fill="auto"/>
            <w:tcMar>
              <w:top w:w="113" w:type="dxa"/>
              <w:bottom w:w="85" w:type="dxa"/>
            </w:tcMar>
          </w:tcPr>
          <w:p w:rsidR="005A0381" w:rsidRPr="00D81234" w:rsidRDefault="005A0381" w:rsidP="00547ACE">
            <w:pPr>
              <w:rPr>
                <w:rFonts w:cs="Arial"/>
                <w:sz w:val="16"/>
                <w:szCs w:val="16"/>
              </w:rPr>
            </w:pPr>
          </w:p>
        </w:tc>
        <w:tc>
          <w:tcPr>
            <w:tcW w:w="2131" w:type="pct"/>
            <w:shd w:val="clear" w:color="auto" w:fill="auto"/>
            <w:tcMar>
              <w:top w:w="113" w:type="dxa"/>
              <w:bottom w:w="85" w:type="dxa"/>
            </w:tcMar>
          </w:tcPr>
          <w:p w:rsidR="005A0381" w:rsidRPr="00DE7DBA" w:rsidRDefault="005A0381" w:rsidP="00547ACE">
            <w:pPr>
              <w:rPr>
                <w:rFonts w:cs="Arial"/>
                <w:sz w:val="16"/>
                <w:szCs w:val="16"/>
              </w:rPr>
            </w:pPr>
            <w:r w:rsidRPr="00DE7DBA">
              <w:rPr>
                <w:rFonts w:cs="Arial"/>
                <w:sz w:val="16"/>
                <w:szCs w:val="16"/>
              </w:rPr>
              <w:t>Quality of translation</w:t>
            </w:r>
          </w:p>
        </w:tc>
        <w:tc>
          <w:tcPr>
            <w:tcW w:w="895" w:type="pct"/>
            <w:shd w:val="clear" w:color="auto" w:fill="FFFFFF"/>
            <w:tcMar>
              <w:top w:w="113" w:type="dxa"/>
              <w:bottom w:w="85" w:type="dxa"/>
            </w:tcMar>
          </w:tcPr>
          <w:p w:rsidR="005A0381" w:rsidRPr="00E536B5" w:rsidRDefault="005A0381" w:rsidP="00547ACE">
            <w:pPr>
              <w:jc w:val="center"/>
              <w:rPr>
                <w:rFonts w:cs="Arial"/>
                <w:sz w:val="16"/>
                <w:szCs w:val="16"/>
                <w:lang w:bidi="th-TH"/>
              </w:rPr>
            </w:pPr>
            <w:r w:rsidRPr="00F90173">
              <w:rPr>
                <w:rFonts w:cs="Arial"/>
                <w:sz w:val="16"/>
                <w:szCs w:val="16"/>
                <w:lang w:bidi="th-TH"/>
              </w:rPr>
              <w:t>Program 27</w:t>
            </w:r>
          </w:p>
        </w:tc>
        <w:tc>
          <w:tcPr>
            <w:tcW w:w="461" w:type="pct"/>
            <w:shd w:val="clear" w:color="auto" w:fill="FFFFFF"/>
          </w:tcPr>
          <w:p w:rsidR="005A0381" w:rsidRPr="00CC3F44" w:rsidRDefault="005A0381" w:rsidP="00547ACE">
            <w:pPr>
              <w:jc w:val="center"/>
              <w:rPr>
                <w:rFonts w:cs="Arial"/>
                <w:color w:val="A6A6A6" w:themeColor="background1" w:themeShade="A6"/>
                <w:sz w:val="22"/>
                <w:szCs w:val="22"/>
              </w:rPr>
            </w:pPr>
            <w:r w:rsidRPr="00CC3F44">
              <w:rPr>
                <w:rFonts w:cs="Arial"/>
                <w:color w:val="A6A6A6" w:themeColor="background1" w:themeShade="A6"/>
                <w:sz w:val="22"/>
                <w:szCs w:val="22"/>
              </w:rPr>
              <w:sym w:font="Wingdings" w:char="F06C"/>
            </w:r>
          </w:p>
        </w:tc>
      </w:tr>
      <w:tr w:rsidR="005A0381" w:rsidRPr="00AF5E7C" w:rsidTr="00547ACE">
        <w:trPr>
          <w:cantSplit/>
          <w:trHeight w:val="436"/>
        </w:trPr>
        <w:tc>
          <w:tcPr>
            <w:tcW w:w="1513" w:type="pct"/>
            <w:shd w:val="clear" w:color="auto" w:fill="auto"/>
            <w:tcMar>
              <w:top w:w="113" w:type="dxa"/>
              <w:bottom w:w="85" w:type="dxa"/>
            </w:tcMar>
          </w:tcPr>
          <w:p w:rsidR="005A0381" w:rsidRPr="00D81234" w:rsidRDefault="005A0381" w:rsidP="00547ACE">
            <w:pPr>
              <w:rPr>
                <w:rFonts w:cs="Arial"/>
                <w:sz w:val="16"/>
                <w:szCs w:val="16"/>
              </w:rPr>
            </w:pPr>
          </w:p>
        </w:tc>
        <w:tc>
          <w:tcPr>
            <w:tcW w:w="2131" w:type="pct"/>
            <w:shd w:val="clear" w:color="auto" w:fill="auto"/>
            <w:tcMar>
              <w:top w:w="113" w:type="dxa"/>
              <w:bottom w:w="85" w:type="dxa"/>
            </w:tcMar>
          </w:tcPr>
          <w:p w:rsidR="005A0381" w:rsidRPr="00DE7DBA" w:rsidRDefault="005A0381" w:rsidP="00547ACE">
            <w:pPr>
              <w:rPr>
                <w:color w:val="000000"/>
                <w:sz w:val="16"/>
                <w:szCs w:val="16"/>
              </w:rPr>
            </w:pPr>
            <w:r w:rsidRPr="00DE7DBA">
              <w:rPr>
                <w:color w:val="000000"/>
                <w:sz w:val="16"/>
                <w:szCs w:val="16"/>
              </w:rPr>
              <w:t>Reduction in printing costs (per page)</w:t>
            </w:r>
          </w:p>
        </w:tc>
        <w:tc>
          <w:tcPr>
            <w:tcW w:w="895" w:type="pct"/>
            <w:shd w:val="clear" w:color="auto" w:fill="FFFFFF"/>
            <w:tcMar>
              <w:top w:w="113" w:type="dxa"/>
              <w:bottom w:w="85" w:type="dxa"/>
            </w:tcMar>
          </w:tcPr>
          <w:p w:rsidR="005A0381" w:rsidRPr="00E536B5" w:rsidRDefault="005A0381" w:rsidP="00547ACE">
            <w:pPr>
              <w:jc w:val="center"/>
              <w:rPr>
                <w:rFonts w:cs="Arial"/>
                <w:sz w:val="16"/>
                <w:szCs w:val="16"/>
                <w:lang w:bidi="th-TH"/>
              </w:rPr>
            </w:pPr>
            <w:r w:rsidRPr="00F90173">
              <w:rPr>
                <w:rFonts w:cs="Arial"/>
                <w:sz w:val="16"/>
                <w:szCs w:val="16"/>
                <w:lang w:bidi="th-TH"/>
              </w:rPr>
              <w:t>Program 27</w:t>
            </w:r>
          </w:p>
        </w:tc>
        <w:tc>
          <w:tcPr>
            <w:tcW w:w="461" w:type="pct"/>
            <w:shd w:val="clear" w:color="auto" w:fill="FFFFFF"/>
          </w:tcPr>
          <w:p w:rsidR="005A0381" w:rsidRPr="00CC3F44" w:rsidRDefault="005A0381" w:rsidP="00547ACE">
            <w:pPr>
              <w:jc w:val="center"/>
            </w:pPr>
            <w:r w:rsidRPr="00CC3F44">
              <w:rPr>
                <w:rFonts w:cs="Arial"/>
                <w:color w:val="008000"/>
                <w:sz w:val="22"/>
                <w:szCs w:val="22"/>
              </w:rPr>
              <w:sym w:font="Wingdings" w:char="F06C"/>
            </w:r>
          </w:p>
        </w:tc>
      </w:tr>
      <w:tr w:rsidR="005A0381" w:rsidRPr="00AF5E7C" w:rsidTr="00547ACE">
        <w:trPr>
          <w:cantSplit/>
          <w:trHeight w:val="517"/>
        </w:trPr>
        <w:tc>
          <w:tcPr>
            <w:tcW w:w="1513" w:type="pct"/>
            <w:shd w:val="clear" w:color="auto" w:fill="auto"/>
            <w:tcMar>
              <w:top w:w="113" w:type="dxa"/>
              <w:bottom w:w="85" w:type="dxa"/>
            </w:tcMar>
          </w:tcPr>
          <w:p w:rsidR="005A0381" w:rsidRPr="00D81234" w:rsidRDefault="005A0381" w:rsidP="00547ACE">
            <w:pPr>
              <w:rPr>
                <w:rFonts w:cs="Arial"/>
                <w:sz w:val="16"/>
                <w:szCs w:val="16"/>
              </w:rPr>
            </w:pPr>
          </w:p>
        </w:tc>
        <w:tc>
          <w:tcPr>
            <w:tcW w:w="2131" w:type="pct"/>
            <w:shd w:val="clear" w:color="auto" w:fill="auto"/>
            <w:tcMar>
              <w:top w:w="113" w:type="dxa"/>
              <w:bottom w:w="85" w:type="dxa"/>
            </w:tcMar>
          </w:tcPr>
          <w:p w:rsidR="005A0381" w:rsidRPr="009F16FD" w:rsidRDefault="005A0381" w:rsidP="00547ACE">
            <w:pPr>
              <w:rPr>
                <w:color w:val="000000"/>
                <w:sz w:val="16"/>
                <w:szCs w:val="16"/>
              </w:rPr>
            </w:pPr>
            <w:r w:rsidRPr="005408E4">
              <w:rPr>
                <w:rFonts w:cs="Arial"/>
                <w:sz w:val="16"/>
                <w:szCs w:val="16"/>
              </w:rPr>
              <w:t>Timely publication of documents for committees and working groups</w:t>
            </w:r>
          </w:p>
        </w:tc>
        <w:tc>
          <w:tcPr>
            <w:tcW w:w="895" w:type="pct"/>
            <w:shd w:val="clear" w:color="auto" w:fill="FFFFFF"/>
            <w:tcMar>
              <w:top w:w="113" w:type="dxa"/>
              <w:bottom w:w="85" w:type="dxa"/>
            </w:tcMar>
          </w:tcPr>
          <w:p w:rsidR="005A0381" w:rsidRPr="00F90173" w:rsidRDefault="005A0381" w:rsidP="00547ACE">
            <w:pPr>
              <w:jc w:val="center"/>
              <w:rPr>
                <w:rFonts w:cs="Arial"/>
                <w:sz w:val="16"/>
                <w:szCs w:val="16"/>
                <w:lang w:bidi="th-TH"/>
              </w:rPr>
            </w:pPr>
            <w:r w:rsidRPr="00F90173">
              <w:rPr>
                <w:rFonts w:cs="Arial"/>
                <w:sz w:val="16"/>
                <w:szCs w:val="16"/>
                <w:lang w:bidi="th-TH"/>
              </w:rPr>
              <w:t>Program 27</w:t>
            </w:r>
          </w:p>
        </w:tc>
        <w:tc>
          <w:tcPr>
            <w:tcW w:w="461" w:type="pct"/>
            <w:shd w:val="clear" w:color="auto" w:fill="FFFFFF"/>
          </w:tcPr>
          <w:p w:rsidR="005A0381" w:rsidRPr="00CC3F44" w:rsidRDefault="005A0381" w:rsidP="00547ACE">
            <w:pPr>
              <w:jc w:val="center"/>
              <w:rPr>
                <w:rFonts w:cs="Arial"/>
                <w:color w:val="A6A6A6" w:themeColor="background1" w:themeShade="A6"/>
                <w:sz w:val="22"/>
                <w:szCs w:val="22"/>
              </w:rPr>
            </w:pPr>
            <w:r w:rsidRPr="00CC3F44">
              <w:rPr>
                <w:rFonts w:cs="Arial"/>
                <w:color w:val="008000"/>
                <w:sz w:val="22"/>
                <w:szCs w:val="22"/>
              </w:rPr>
              <w:sym w:font="Wingdings" w:char="F06C"/>
            </w:r>
          </w:p>
        </w:tc>
      </w:tr>
      <w:tr w:rsidR="005A0381" w:rsidRPr="00AF5E7C" w:rsidTr="00547ACE">
        <w:trPr>
          <w:cantSplit/>
          <w:trHeight w:val="516"/>
        </w:trPr>
        <w:tc>
          <w:tcPr>
            <w:tcW w:w="1513" w:type="pct"/>
            <w:shd w:val="clear" w:color="auto" w:fill="auto"/>
            <w:tcMar>
              <w:top w:w="113" w:type="dxa"/>
              <w:bottom w:w="85" w:type="dxa"/>
            </w:tcMar>
          </w:tcPr>
          <w:p w:rsidR="005A0381" w:rsidRPr="00D81234" w:rsidRDefault="005A0381" w:rsidP="00547ACE">
            <w:pPr>
              <w:rPr>
                <w:rFonts w:cs="Arial"/>
                <w:sz w:val="16"/>
                <w:szCs w:val="16"/>
              </w:rPr>
            </w:pPr>
            <w:r w:rsidRPr="00D81234">
              <w:rPr>
                <w:rFonts w:cs="Arial"/>
                <w:sz w:val="16"/>
                <w:szCs w:val="16"/>
              </w:rPr>
              <w:t xml:space="preserve">IX.2 </w:t>
            </w:r>
            <w:r>
              <w:rPr>
                <w:rFonts w:cs="Arial"/>
                <w:sz w:val="16"/>
                <w:szCs w:val="16"/>
              </w:rPr>
              <w:t xml:space="preserve"> </w:t>
            </w:r>
            <w:r w:rsidRPr="00D81234">
              <w:rPr>
                <w:rFonts w:cs="Arial"/>
                <w:sz w:val="16"/>
                <w:szCs w:val="16"/>
              </w:rPr>
              <w:t>A</w:t>
            </w:r>
            <w:r>
              <w:rPr>
                <w:rFonts w:cs="Arial"/>
                <w:sz w:val="16"/>
                <w:szCs w:val="16"/>
              </w:rPr>
              <w:t xml:space="preserve">n agile and </w:t>
            </w:r>
            <w:r w:rsidRPr="00D81234">
              <w:rPr>
                <w:rFonts w:cs="Arial"/>
                <w:sz w:val="16"/>
                <w:szCs w:val="16"/>
              </w:rPr>
              <w:t>smooth functioning Secretariat with a well managed and appropriately skilled workforce which is effectively delivering results</w:t>
            </w:r>
          </w:p>
        </w:tc>
        <w:tc>
          <w:tcPr>
            <w:tcW w:w="2131" w:type="pct"/>
            <w:shd w:val="clear" w:color="auto" w:fill="auto"/>
            <w:tcMar>
              <w:top w:w="113" w:type="dxa"/>
              <w:bottom w:w="85" w:type="dxa"/>
            </w:tcMar>
          </w:tcPr>
          <w:p w:rsidR="005A0381" w:rsidRPr="00D81234" w:rsidRDefault="005A0381" w:rsidP="00547ACE">
            <w:pPr>
              <w:rPr>
                <w:rFonts w:cs="Arial"/>
                <w:sz w:val="16"/>
                <w:szCs w:val="16"/>
              </w:rPr>
            </w:pPr>
            <w:r w:rsidRPr="00D81234">
              <w:rPr>
                <w:rFonts w:cs="Arial"/>
                <w:sz w:val="16"/>
                <w:szCs w:val="16"/>
              </w:rPr>
              <w:t>% of queries for legal advice and services which receive prompt, independent and reliable responses from the Office of the Legal Counsel</w:t>
            </w:r>
          </w:p>
        </w:tc>
        <w:tc>
          <w:tcPr>
            <w:tcW w:w="895" w:type="pct"/>
            <w:shd w:val="clear" w:color="auto" w:fill="FFFFFF"/>
            <w:tcMar>
              <w:top w:w="113" w:type="dxa"/>
              <w:bottom w:w="85" w:type="dxa"/>
            </w:tcMar>
          </w:tcPr>
          <w:p w:rsidR="005A0381" w:rsidRPr="00AF5E7C" w:rsidRDefault="005A0381" w:rsidP="00547ACE">
            <w:pPr>
              <w:jc w:val="center"/>
              <w:rPr>
                <w:rFonts w:cs="Arial"/>
                <w:sz w:val="16"/>
                <w:szCs w:val="16"/>
                <w:lang w:bidi="th-TH"/>
              </w:rPr>
            </w:pPr>
            <w:r>
              <w:rPr>
                <w:rFonts w:cs="Arial"/>
                <w:sz w:val="16"/>
                <w:szCs w:val="16"/>
                <w:lang w:bidi="th-TH"/>
              </w:rPr>
              <w:t>Program 21</w:t>
            </w:r>
          </w:p>
        </w:tc>
        <w:tc>
          <w:tcPr>
            <w:tcW w:w="461" w:type="pct"/>
            <w:shd w:val="clear" w:color="auto" w:fill="FFFFFF"/>
          </w:tcPr>
          <w:p w:rsidR="005A0381" w:rsidRPr="00CC3F44" w:rsidRDefault="005A0381" w:rsidP="00547ACE">
            <w:pPr>
              <w:jc w:val="center"/>
            </w:pPr>
            <w:r w:rsidRPr="00CC3F44">
              <w:rPr>
                <w:rFonts w:cs="Arial"/>
                <w:color w:val="008000"/>
                <w:sz w:val="22"/>
                <w:szCs w:val="22"/>
              </w:rPr>
              <w:sym w:font="Wingdings" w:char="F06C"/>
            </w:r>
          </w:p>
        </w:tc>
      </w:tr>
      <w:tr w:rsidR="005A0381" w:rsidRPr="00AF5E7C" w:rsidTr="00547ACE">
        <w:trPr>
          <w:cantSplit/>
          <w:trHeight w:val="335"/>
        </w:trPr>
        <w:tc>
          <w:tcPr>
            <w:tcW w:w="1513" w:type="pct"/>
            <w:shd w:val="clear" w:color="auto" w:fill="auto"/>
            <w:tcMar>
              <w:top w:w="113" w:type="dxa"/>
              <w:bottom w:w="85" w:type="dxa"/>
            </w:tcMar>
          </w:tcPr>
          <w:p w:rsidR="005A0381" w:rsidRPr="00815648" w:rsidRDefault="005A0381" w:rsidP="00547ACE">
            <w:pPr>
              <w:rPr>
                <w:rFonts w:cs="Arial"/>
                <w:sz w:val="16"/>
                <w:szCs w:val="16"/>
              </w:rPr>
            </w:pPr>
          </w:p>
        </w:tc>
        <w:tc>
          <w:tcPr>
            <w:tcW w:w="2131" w:type="pct"/>
            <w:shd w:val="clear" w:color="auto" w:fill="auto"/>
            <w:tcMar>
              <w:top w:w="113" w:type="dxa"/>
              <w:bottom w:w="85" w:type="dxa"/>
            </w:tcMar>
          </w:tcPr>
          <w:p w:rsidR="005A0381" w:rsidRPr="00815648" w:rsidRDefault="005A0381" w:rsidP="00547ACE">
            <w:pPr>
              <w:rPr>
                <w:rFonts w:cs="Arial"/>
                <w:sz w:val="16"/>
                <w:szCs w:val="16"/>
              </w:rPr>
            </w:pPr>
            <w:r w:rsidRPr="00815648">
              <w:rPr>
                <w:rFonts w:cs="Arial"/>
                <w:sz w:val="16"/>
                <w:szCs w:val="16"/>
              </w:rPr>
              <w:t>Satisfactory financial report from the External Auditors confirms the conformity of financial operations to the provisions of the applicable WIPO conventions and treaties, the WIPO Financial Regulations and Rules and IPSAS</w:t>
            </w:r>
          </w:p>
        </w:tc>
        <w:tc>
          <w:tcPr>
            <w:tcW w:w="895" w:type="pct"/>
            <w:shd w:val="clear" w:color="auto" w:fill="FFFFFF"/>
            <w:tcMar>
              <w:top w:w="113" w:type="dxa"/>
              <w:bottom w:w="85" w:type="dxa"/>
            </w:tcMar>
          </w:tcPr>
          <w:p w:rsidR="005A0381" w:rsidRPr="00AF5E7C" w:rsidRDefault="005A0381" w:rsidP="00547ACE">
            <w:pPr>
              <w:jc w:val="center"/>
              <w:rPr>
                <w:rFonts w:cs="Arial"/>
                <w:sz w:val="16"/>
                <w:szCs w:val="16"/>
                <w:lang w:bidi="th-TH"/>
              </w:rPr>
            </w:pPr>
            <w:r>
              <w:rPr>
                <w:rFonts w:cs="Arial"/>
                <w:sz w:val="16"/>
                <w:szCs w:val="16"/>
                <w:lang w:bidi="th-TH"/>
              </w:rPr>
              <w:t>Program 22</w:t>
            </w:r>
          </w:p>
        </w:tc>
        <w:tc>
          <w:tcPr>
            <w:tcW w:w="461" w:type="pct"/>
            <w:shd w:val="clear" w:color="auto" w:fill="FFFFFF"/>
          </w:tcPr>
          <w:p w:rsidR="005A0381" w:rsidRPr="00CC3F44" w:rsidRDefault="005A0381" w:rsidP="00547ACE">
            <w:pPr>
              <w:jc w:val="center"/>
              <w:rPr>
                <w:rFonts w:cs="Arial"/>
                <w:color w:val="A6A6A6" w:themeColor="background1" w:themeShade="A6"/>
                <w:sz w:val="22"/>
                <w:szCs w:val="22"/>
              </w:rPr>
            </w:pPr>
            <w:r w:rsidRPr="00CC3F44">
              <w:rPr>
                <w:rFonts w:cs="Arial"/>
                <w:color w:val="008000"/>
                <w:sz w:val="22"/>
                <w:szCs w:val="22"/>
              </w:rPr>
              <w:sym w:font="Wingdings" w:char="F06C"/>
            </w:r>
            <w:r w:rsidRPr="00CC3F44">
              <w:rPr>
                <w:rFonts w:cs="Arial"/>
                <w:color w:val="A6A6A6" w:themeColor="background1" w:themeShade="A6"/>
                <w:sz w:val="22"/>
                <w:szCs w:val="22"/>
              </w:rPr>
              <w:sym w:font="Wingdings" w:char="F06C"/>
            </w:r>
          </w:p>
        </w:tc>
      </w:tr>
      <w:tr w:rsidR="005A0381" w:rsidRPr="00AF5E7C" w:rsidTr="00547ACE">
        <w:trPr>
          <w:cantSplit/>
          <w:trHeight w:val="335"/>
        </w:trPr>
        <w:tc>
          <w:tcPr>
            <w:tcW w:w="1513" w:type="pct"/>
            <w:shd w:val="clear" w:color="auto" w:fill="auto"/>
            <w:tcMar>
              <w:top w:w="113" w:type="dxa"/>
              <w:bottom w:w="85" w:type="dxa"/>
            </w:tcMar>
          </w:tcPr>
          <w:p w:rsidR="005A0381" w:rsidRPr="00815648" w:rsidRDefault="005A0381" w:rsidP="00547ACE">
            <w:pPr>
              <w:rPr>
                <w:rFonts w:cs="Arial"/>
                <w:sz w:val="16"/>
                <w:szCs w:val="16"/>
              </w:rPr>
            </w:pPr>
          </w:p>
        </w:tc>
        <w:tc>
          <w:tcPr>
            <w:tcW w:w="2131" w:type="pct"/>
            <w:shd w:val="clear" w:color="auto" w:fill="auto"/>
            <w:tcMar>
              <w:top w:w="113" w:type="dxa"/>
              <w:bottom w:w="85" w:type="dxa"/>
            </w:tcMar>
          </w:tcPr>
          <w:p w:rsidR="005A0381" w:rsidRPr="00815648" w:rsidRDefault="005A0381" w:rsidP="00547ACE">
            <w:pPr>
              <w:rPr>
                <w:rFonts w:cs="Arial"/>
                <w:sz w:val="16"/>
                <w:szCs w:val="16"/>
              </w:rPr>
            </w:pPr>
            <w:r w:rsidRPr="00815648">
              <w:rPr>
                <w:rFonts w:cs="Arial"/>
                <w:sz w:val="16"/>
                <w:szCs w:val="16"/>
              </w:rPr>
              <w:t>Return on invested funds in line with benchmarks established by the Investment Advisory Committee</w:t>
            </w:r>
          </w:p>
        </w:tc>
        <w:tc>
          <w:tcPr>
            <w:tcW w:w="895" w:type="pct"/>
            <w:shd w:val="clear" w:color="auto" w:fill="FFFFFF"/>
            <w:tcMar>
              <w:top w:w="113" w:type="dxa"/>
              <w:bottom w:w="85" w:type="dxa"/>
            </w:tcMar>
          </w:tcPr>
          <w:p w:rsidR="005A0381" w:rsidRPr="00AF5E7C" w:rsidRDefault="005A0381" w:rsidP="00547ACE">
            <w:pPr>
              <w:jc w:val="center"/>
              <w:rPr>
                <w:rFonts w:cs="Arial"/>
                <w:sz w:val="16"/>
                <w:szCs w:val="16"/>
                <w:lang w:bidi="th-TH"/>
              </w:rPr>
            </w:pPr>
            <w:r>
              <w:rPr>
                <w:rFonts w:cs="Arial"/>
                <w:sz w:val="16"/>
                <w:szCs w:val="16"/>
                <w:lang w:bidi="th-TH"/>
              </w:rPr>
              <w:t>Program 22</w:t>
            </w:r>
          </w:p>
        </w:tc>
        <w:tc>
          <w:tcPr>
            <w:tcW w:w="461" w:type="pct"/>
            <w:shd w:val="clear" w:color="auto" w:fill="FFFFFF"/>
          </w:tcPr>
          <w:p w:rsidR="005A0381" w:rsidRPr="00CC3F44" w:rsidRDefault="005A0381" w:rsidP="00547ACE">
            <w:pPr>
              <w:jc w:val="center"/>
            </w:pPr>
            <w:r w:rsidRPr="00CC3F44">
              <w:rPr>
                <w:rFonts w:cs="Arial"/>
                <w:color w:val="008000"/>
                <w:sz w:val="22"/>
                <w:szCs w:val="22"/>
              </w:rPr>
              <w:sym w:font="Wingdings" w:char="F06C"/>
            </w:r>
          </w:p>
        </w:tc>
      </w:tr>
      <w:tr w:rsidR="005A0381" w:rsidRPr="00AF5E7C" w:rsidTr="00547ACE">
        <w:trPr>
          <w:cantSplit/>
          <w:trHeight w:val="335"/>
        </w:trPr>
        <w:tc>
          <w:tcPr>
            <w:tcW w:w="1513" w:type="pct"/>
            <w:shd w:val="clear" w:color="auto" w:fill="auto"/>
            <w:tcMar>
              <w:top w:w="113" w:type="dxa"/>
              <w:bottom w:w="85" w:type="dxa"/>
            </w:tcMar>
          </w:tcPr>
          <w:p w:rsidR="005A0381" w:rsidRPr="00815648" w:rsidRDefault="005A0381" w:rsidP="00547ACE">
            <w:pPr>
              <w:rPr>
                <w:rFonts w:cs="Arial"/>
                <w:sz w:val="16"/>
                <w:szCs w:val="16"/>
              </w:rPr>
            </w:pPr>
          </w:p>
        </w:tc>
        <w:tc>
          <w:tcPr>
            <w:tcW w:w="2131" w:type="pct"/>
            <w:shd w:val="clear" w:color="auto" w:fill="auto"/>
            <w:tcMar>
              <w:top w:w="113" w:type="dxa"/>
              <w:bottom w:w="85" w:type="dxa"/>
            </w:tcMar>
          </w:tcPr>
          <w:p w:rsidR="005A0381" w:rsidRPr="00815648" w:rsidRDefault="005A0381" w:rsidP="00547ACE">
            <w:pPr>
              <w:rPr>
                <w:rFonts w:cs="Arial"/>
                <w:sz w:val="16"/>
                <w:szCs w:val="16"/>
              </w:rPr>
            </w:pPr>
            <w:r w:rsidRPr="00815648">
              <w:rPr>
                <w:rFonts w:cs="Arial"/>
                <w:sz w:val="16"/>
                <w:szCs w:val="16"/>
              </w:rPr>
              <w:t>Payments (including Madrid and Hague fees) made on time</w:t>
            </w:r>
          </w:p>
        </w:tc>
        <w:tc>
          <w:tcPr>
            <w:tcW w:w="895" w:type="pct"/>
            <w:shd w:val="clear" w:color="auto" w:fill="FFFFFF"/>
            <w:tcMar>
              <w:top w:w="113" w:type="dxa"/>
              <w:bottom w:w="85" w:type="dxa"/>
            </w:tcMar>
          </w:tcPr>
          <w:p w:rsidR="005A0381" w:rsidRPr="00AF5E7C" w:rsidRDefault="005A0381" w:rsidP="00547ACE">
            <w:pPr>
              <w:jc w:val="center"/>
              <w:rPr>
                <w:rFonts w:cs="Arial"/>
                <w:sz w:val="16"/>
                <w:szCs w:val="16"/>
                <w:lang w:bidi="th-TH"/>
              </w:rPr>
            </w:pPr>
            <w:r>
              <w:rPr>
                <w:rFonts w:cs="Arial"/>
                <w:sz w:val="16"/>
                <w:szCs w:val="16"/>
                <w:lang w:bidi="th-TH"/>
              </w:rPr>
              <w:t>Program 22</w:t>
            </w:r>
          </w:p>
        </w:tc>
        <w:tc>
          <w:tcPr>
            <w:tcW w:w="461" w:type="pct"/>
            <w:shd w:val="clear" w:color="auto" w:fill="FFFFFF"/>
          </w:tcPr>
          <w:p w:rsidR="005A0381" w:rsidRPr="00CC3F44" w:rsidRDefault="005A0381" w:rsidP="00547ACE">
            <w:pPr>
              <w:jc w:val="center"/>
              <w:rPr>
                <w:rFonts w:cs="Arial"/>
                <w:color w:val="A6A6A6" w:themeColor="background1" w:themeShade="A6"/>
                <w:sz w:val="22"/>
                <w:szCs w:val="22"/>
              </w:rPr>
            </w:pPr>
            <w:r w:rsidRPr="00CC3F44">
              <w:rPr>
                <w:rFonts w:cs="Arial"/>
                <w:color w:val="008000"/>
                <w:sz w:val="22"/>
                <w:szCs w:val="22"/>
              </w:rPr>
              <w:sym w:font="Wingdings" w:char="F06C"/>
            </w:r>
          </w:p>
        </w:tc>
      </w:tr>
      <w:tr w:rsidR="005A0381" w:rsidRPr="00AF5E7C" w:rsidTr="00547ACE">
        <w:trPr>
          <w:cantSplit/>
          <w:trHeight w:val="335"/>
        </w:trPr>
        <w:tc>
          <w:tcPr>
            <w:tcW w:w="1513" w:type="pct"/>
            <w:shd w:val="clear" w:color="auto" w:fill="auto"/>
            <w:tcMar>
              <w:top w:w="113" w:type="dxa"/>
              <w:bottom w:w="85" w:type="dxa"/>
            </w:tcMar>
          </w:tcPr>
          <w:p w:rsidR="005A0381" w:rsidRPr="00815648" w:rsidRDefault="005A0381" w:rsidP="00547ACE">
            <w:pPr>
              <w:rPr>
                <w:rFonts w:cs="Arial"/>
                <w:sz w:val="16"/>
                <w:szCs w:val="16"/>
              </w:rPr>
            </w:pPr>
          </w:p>
        </w:tc>
        <w:tc>
          <w:tcPr>
            <w:tcW w:w="2131" w:type="pct"/>
            <w:shd w:val="clear" w:color="auto" w:fill="auto"/>
            <w:tcMar>
              <w:top w:w="113" w:type="dxa"/>
              <w:bottom w:w="85" w:type="dxa"/>
            </w:tcMar>
          </w:tcPr>
          <w:p w:rsidR="005A0381" w:rsidRPr="00603C51" w:rsidRDefault="005A0381" w:rsidP="00547ACE">
            <w:pPr>
              <w:rPr>
                <w:rFonts w:cs="Arial"/>
                <w:sz w:val="16"/>
                <w:szCs w:val="16"/>
              </w:rPr>
            </w:pPr>
            <w:r>
              <w:rPr>
                <w:rFonts w:cs="Arial"/>
                <w:sz w:val="16"/>
                <w:szCs w:val="16"/>
              </w:rPr>
              <w:t>%</w:t>
            </w:r>
            <w:r w:rsidRPr="00603C51">
              <w:rPr>
                <w:rFonts w:cs="Arial"/>
                <w:sz w:val="16"/>
                <w:szCs w:val="16"/>
              </w:rPr>
              <w:t xml:space="preserve"> of staff </w:t>
            </w:r>
            <w:r>
              <w:rPr>
                <w:rFonts w:cs="Arial"/>
                <w:sz w:val="16"/>
                <w:szCs w:val="16"/>
              </w:rPr>
              <w:t xml:space="preserve"> </w:t>
            </w:r>
            <w:r w:rsidRPr="00603C51">
              <w:rPr>
                <w:rFonts w:cs="Arial"/>
                <w:sz w:val="16"/>
                <w:szCs w:val="16"/>
              </w:rPr>
              <w:t>trained expressing satisfaction with training (induction courses, ERP related training, RBM related training)</w:t>
            </w:r>
          </w:p>
        </w:tc>
        <w:tc>
          <w:tcPr>
            <w:tcW w:w="895" w:type="pct"/>
            <w:shd w:val="clear" w:color="auto" w:fill="FFFFFF"/>
            <w:tcMar>
              <w:top w:w="113" w:type="dxa"/>
              <w:bottom w:w="85" w:type="dxa"/>
            </w:tcMar>
          </w:tcPr>
          <w:p w:rsidR="005A0381" w:rsidRPr="00AF5E7C" w:rsidRDefault="005A0381" w:rsidP="00547ACE">
            <w:pPr>
              <w:jc w:val="center"/>
              <w:rPr>
                <w:rFonts w:cs="Arial"/>
                <w:sz w:val="16"/>
                <w:szCs w:val="16"/>
                <w:lang w:bidi="th-TH"/>
              </w:rPr>
            </w:pPr>
            <w:r>
              <w:rPr>
                <w:rFonts w:cs="Arial"/>
                <w:sz w:val="16"/>
                <w:szCs w:val="16"/>
                <w:lang w:bidi="th-TH"/>
              </w:rPr>
              <w:t>Program 22</w:t>
            </w:r>
          </w:p>
        </w:tc>
        <w:tc>
          <w:tcPr>
            <w:tcW w:w="461" w:type="pct"/>
            <w:shd w:val="clear" w:color="auto" w:fill="FFFFFF"/>
          </w:tcPr>
          <w:p w:rsidR="005A0381" w:rsidRPr="00CC3F44" w:rsidRDefault="005A0381" w:rsidP="00547ACE">
            <w:pPr>
              <w:jc w:val="center"/>
            </w:pPr>
            <w:r w:rsidRPr="00CC3F44">
              <w:rPr>
                <w:rFonts w:cs="Arial"/>
                <w:color w:val="008000"/>
                <w:sz w:val="22"/>
                <w:szCs w:val="22"/>
              </w:rPr>
              <w:sym w:font="Wingdings" w:char="F06C"/>
            </w:r>
          </w:p>
        </w:tc>
      </w:tr>
      <w:tr w:rsidR="005A0381" w:rsidRPr="00AF5E7C" w:rsidTr="00547ACE">
        <w:trPr>
          <w:cantSplit/>
          <w:trHeight w:val="335"/>
        </w:trPr>
        <w:tc>
          <w:tcPr>
            <w:tcW w:w="1513" w:type="pct"/>
            <w:shd w:val="clear" w:color="auto" w:fill="auto"/>
            <w:tcMar>
              <w:top w:w="113" w:type="dxa"/>
              <w:bottom w:w="85" w:type="dxa"/>
            </w:tcMar>
          </w:tcPr>
          <w:p w:rsidR="005A0381" w:rsidRPr="00815648" w:rsidRDefault="005A0381" w:rsidP="00547ACE">
            <w:pPr>
              <w:rPr>
                <w:rFonts w:cs="Arial"/>
                <w:sz w:val="16"/>
                <w:szCs w:val="16"/>
              </w:rPr>
            </w:pPr>
          </w:p>
        </w:tc>
        <w:tc>
          <w:tcPr>
            <w:tcW w:w="2131" w:type="pct"/>
            <w:shd w:val="clear" w:color="auto" w:fill="auto"/>
            <w:tcMar>
              <w:top w:w="113" w:type="dxa"/>
              <w:bottom w:w="85" w:type="dxa"/>
            </w:tcMar>
          </w:tcPr>
          <w:p w:rsidR="005A0381" w:rsidRPr="00513D62" w:rsidRDefault="005A0381" w:rsidP="00547ACE">
            <w:pPr>
              <w:rPr>
                <w:rFonts w:cs="Arial"/>
                <w:sz w:val="16"/>
                <w:szCs w:val="16"/>
              </w:rPr>
            </w:pPr>
            <w:r w:rsidRPr="00513D62">
              <w:rPr>
                <w:rFonts w:cs="Arial"/>
                <w:sz w:val="16"/>
                <w:szCs w:val="16"/>
              </w:rPr>
              <w:t xml:space="preserve">% of </w:t>
            </w:r>
            <w:r>
              <w:rPr>
                <w:rFonts w:cs="Arial"/>
                <w:sz w:val="16"/>
                <w:szCs w:val="16"/>
              </w:rPr>
              <w:t>(</w:t>
            </w:r>
            <w:r w:rsidRPr="00513D62">
              <w:rPr>
                <w:rFonts w:cs="Arial"/>
                <w:sz w:val="16"/>
                <w:szCs w:val="16"/>
              </w:rPr>
              <w:t>WIPO</w:t>
            </w:r>
            <w:r>
              <w:rPr>
                <w:rFonts w:cs="Arial"/>
                <w:sz w:val="16"/>
                <w:szCs w:val="16"/>
              </w:rPr>
              <w:t>)</w:t>
            </w:r>
            <w:r w:rsidRPr="00513D62">
              <w:rPr>
                <w:rFonts w:cs="Arial"/>
                <w:sz w:val="16"/>
                <w:szCs w:val="16"/>
              </w:rPr>
              <w:t xml:space="preserve"> respondents who perceive that WIPO is accountable for its results</w:t>
            </w:r>
          </w:p>
        </w:tc>
        <w:tc>
          <w:tcPr>
            <w:tcW w:w="895" w:type="pct"/>
            <w:shd w:val="clear" w:color="auto" w:fill="FFFFFF"/>
            <w:tcMar>
              <w:top w:w="113" w:type="dxa"/>
              <w:bottom w:w="85" w:type="dxa"/>
            </w:tcMar>
          </w:tcPr>
          <w:p w:rsidR="005A0381" w:rsidRPr="00AF5E7C" w:rsidRDefault="005A0381" w:rsidP="00547ACE">
            <w:pPr>
              <w:jc w:val="center"/>
              <w:rPr>
                <w:rFonts w:cs="Arial"/>
                <w:sz w:val="16"/>
                <w:szCs w:val="16"/>
                <w:lang w:bidi="th-TH"/>
              </w:rPr>
            </w:pPr>
            <w:r>
              <w:rPr>
                <w:rFonts w:cs="Arial"/>
                <w:sz w:val="16"/>
                <w:szCs w:val="16"/>
                <w:lang w:bidi="th-TH"/>
              </w:rPr>
              <w:t>Program 22</w:t>
            </w:r>
          </w:p>
        </w:tc>
        <w:tc>
          <w:tcPr>
            <w:tcW w:w="461" w:type="pct"/>
            <w:shd w:val="clear" w:color="auto" w:fill="FFFFFF"/>
          </w:tcPr>
          <w:p w:rsidR="005A0381" w:rsidRPr="00CC3F44" w:rsidRDefault="005A0381" w:rsidP="00547ACE">
            <w:pPr>
              <w:jc w:val="center"/>
              <w:rPr>
                <w:rFonts w:cs="Arial"/>
                <w:color w:val="A6A6A6" w:themeColor="background1" w:themeShade="A6"/>
                <w:sz w:val="22"/>
                <w:szCs w:val="22"/>
              </w:rPr>
            </w:pPr>
            <w:r w:rsidRPr="00CC3F44">
              <w:rPr>
                <w:rFonts w:cs="Arial"/>
                <w:color w:val="008000"/>
                <w:sz w:val="22"/>
                <w:szCs w:val="22"/>
              </w:rPr>
              <w:sym w:font="Wingdings" w:char="F06C"/>
            </w:r>
          </w:p>
        </w:tc>
      </w:tr>
      <w:tr w:rsidR="005A0381" w:rsidRPr="00AF5E7C" w:rsidTr="00547ACE">
        <w:trPr>
          <w:cantSplit/>
          <w:trHeight w:val="335"/>
        </w:trPr>
        <w:tc>
          <w:tcPr>
            <w:tcW w:w="1513" w:type="pct"/>
            <w:shd w:val="clear" w:color="auto" w:fill="auto"/>
            <w:tcMar>
              <w:top w:w="113" w:type="dxa"/>
              <w:bottom w:w="85" w:type="dxa"/>
            </w:tcMar>
          </w:tcPr>
          <w:p w:rsidR="005A0381" w:rsidRPr="00815648" w:rsidRDefault="005A0381" w:rsidP="00547ACE">
            <w:pPr>
              <w:rPr>
                <w:rFonts w:cs="Arial"/>
                <w:sz w:val="16"/>
                <w:szCs w:val="16"/>
              </w:rPr>
            </w:pPr>
          </w:p>
        </w:tc>
        <w:tc>
          <w:tcPr>
            <w:tcW w:w="2131" w:type="pct"/>
            <w:shd w:val="clear" w:color="auto" w:fill="auto"/>
            <w:tcMar>
              <w:top w:w="113" w:type="dxa"/>
              <w:bottom w:w="85" w:type="dxa"/>
            </w:tcMar>
          </w:tcPr>
          <w:p w:rsidR="005A0381" w:rsidRPr="00513D62" w:rsidRDefault="005A0381" w:rsidP="00547ACE">
            <w:pPr>
              <w:rPr>
                <w:rFonts w:cs="Arial"/>
                <w:sz w:val="16"/>
                <w:szCs w:val="16"/>
              </w:rPr>
            </w:pPr>
            <w:r w:rsidRPr="00513D62">
              <w:rPr>
                <w:rFonts w:cs="Arial"/>
                <w:sz w:val="16"/>
                <w:szCs w:val="16"/>
              </w:rPr>
              <w:t>% of WIPO Programs using performance data for managing Program performance</w:t>
            </w:r>
          </w:p>
        </w:tc>
        <w:tc>
          <w:tcPr>
            <w:tcW w:w="895" w:type="pct"/>
            <w:shd w:val="clear" w:color="auto" w:fill="FFFFFF"/>
            <w:tcMar>
              <w:top w:w="113" w:type="dxa"/>
              <w:bottom w:w="85" w:type="dxa"/>
            </w:tcMar>
          </w:tcPr>
          <w:p w:rsidR="005A0381" w:rsidRPr="00AF5E7C" w:rsidRDefault="005A0381" w:rsidP="00547ACE">
            <w:pPr>
              <w:jc w:val="center"/>
              <w:rPr>
                <w:rFonts w:cs="Arial"/>
                <w:sz w:val="16"/>
                <w:szCs w:val="16"/>
                <w:lang w:bidi="th-TH"/>
              </w:rPr>
            </w:pPr>
            <w:r>
              <w:rPr>
                <w:rFonts w:cs="Arial"/>
                <w:sz w:val="16"/>
                <w:szCs w:val="16"/>
                <w:lang w:bidi="th-TH"/>
              </w:rPr>
              <w:t>Program 22</w:t>
            </w:r>
          </w:p>
        </w:tc>
        <w:tc>
          <w:tcPr>
            <w:tcW w:w="461" w:type="pct"/>
            <w:shd w:val="clear" w:color="auto" w:fill="FFFFFF"/>
          </w:tcPr>
          <w:p w:rsidR="005A0381" w:rsidRPr="00CC3F44" w:rsidRDefault="005A0381" w:rsidP="00547ACE">
            <w:pPr>
              <w:jc w:val="center"/>
            </w:pPr>
            <w:r w:rsidRPr="00CC3F44">
              <w:rPr>
                <w:rFonts w:cs="Arial"/>
                <w:color w:val="008000"/>
                <w:sz w:val="22"/>
                <w:szCs w:val="22"/>
              </w:rPr>
              <w:sym w:font="Wingdings" w:char="F06C"/>
            </w:r>
          </w:p>
        </w:tc>
      </w:tr>
      <w:tr w:rsidR="005A0381" w:rsidRPr="00AF5E7C" w:rsidTr="00547ACE">
        <w:trPr>
          <w:cantSplit/>
          <w:trHeight w:val="265"/>
        </w:trPr>
        <w:tc>
          <w:tcPr>
            <w:tcW w:w="1513" w:type="pct"/>
            <w:shd w:val="clear" w:color="auto" w:fill="auto"/>
            <w:tcMar>
              <w:top w:w="113" w:type="dxa"/>
              <w:bottom w:w="85" w:type="dxa"/>
            </w:tcMar>
          </w:tcPr>
          <w:p w:rsidR="005A0381" w:rsidRPr="001316A4" w:rsidRDefault="005A0381" w:rsidP="00547ACE">
            <w:pPr>
              <w:rPr>
                <w:rFonts w:cs="Arial"/>
                <w:sz w:val="16"/>
                <w:szCs w:val="16"/>
              </w:rPr>
            </w:pPr>
          </w:p>
        </w:tc>
        <w:tc>
          <w:tcPr>
            <w:tcW w:w="2131" w:type="pct"/>
            <w:shd w:val="clear" w:color="auto" w:fill="auto"/>
            <w:tcMar>
              <w:top w:w="113" w:type="dxa"/>
              <w:bottom w:w="85" w:type="dxa"/>
            </w:tcMar>
          </w:tcPr>
          <w:p w:rsidR="005A0381" w:rsidRPr="00336796" w:rsidRDefault="005A0381" w:rsidP="00547ACE">
            <w:pPr>
              <w:rPr>
                <w:rFonts w:cs="Arial"/>
                <w:sz w:val="16"/>
                <w:szCs w:val="16"/>
              </w:rPr>
            </w:pPr>
            <w:r w:rsidRPr="00336796">
              <w:rPr>
                <w:rFonts w:cs="Arial"/>
                <w:sz w:val="16"/>
                <w:szCs w:val="16"/>
              </w:rPr>
              <w:t>Recruitment lead time</w:t>
            </w:r>
          </w:p>
        </w:tc>
        <w:tc>
          <w:tcPr>
            <w:tcW w:w="895" w:type="pct"/>
            <w:shd w:val="clear" w:color="auto" w:fill="FFFFFF"/>
            <w:tcMar>
              <w:top w:w="113" w:type="dxa"/>
              <w:bottom w:w="85" w:type="dxa"/>
            </w:tcMar>
          </w:tcPr>
          <w:p w:rsidR="005A0381" w:rsidRDefault="005A0381" w:rsidP="00547ACE">
            <w:pPr>
              <w:jc w:val="center"/>
              <w:rPr>
                <w:rFonts w:cs="Arial"/>
                <w:sz w:val="16"/>
                <w:szCs w:val="16"/>
                <w:lang w:bidi="th-TH"/>
              </w:rPr>
            </w:pPr>
            <w:r>
              <w:rPr>
                <w:rFonts w:cs="Arial"/>
                <w:sz w:val="16"/>
                <w:szCs w:val="16"/>
                <w:lang w:bidi="th-TH"/>
              </w:rPr>
              <w:t>Program 23</w:t>
            </w:r>
          </w:p>
        </w:tc>
        <w:tc>
          <w:tcPr>
            <w:tcW w:w="461" w:type="pct"/>
            <w:shd w:val="clear" w:color="auto" w:fill="FFFFFF"/>
          </w:tcPr>
          <w:p w:rsidR="005A0381" w:rsidRPr="00CC3F44" w:rsidRDefault="005A0381" w:rsidP="00547ACE">
            <w:pPr>
              <w:jc w:val="center"/>
              <w:rPr>
                <w:rFonts w:cs="Arial"/>
                <w:color w:val="A6A6A6" w:themeColor="background1" w:themeShade="A6"/>
                <w:sz w:val="22"/>
                <w:szCs w:val="22"/>
              </w:rPr>
            </w:pPr>
            <w:r w:rsidRPr="00CC3F44">
              <w:rPr>
                <w:rFonts w:cs="Arial"/>
                <w:color w:val="008000"/>
                <w:sz w:val="22"/>
                <w:szCs w:val="22"/>
              </w:rPr>
              <w:sym w:font="Wingdings" w:char="F06C"/>
            </w:r>
          </w:p>
        </w:tc>
      </w:tr>
      <w:tr w:rsidR="005A0381" w:rsidRPr="00AF5E7C" w:rsidTr="00547ACE">
        <w:trPr>
          <w:cantSplit/>
          <w:trHeight w:val="335"/>
        </w:trPr>
        <w:tc>
          <w:tcPr>
            <w:tcW w:w="1513" w:type="pct"/>
            <w:shd w:val="clear" w:color="auto" w:fill="auto"/>
            <w:tcMar>
              <w:top w:w="113" w:type="dxa"/>
              <w:bottom w:w="85" w:type="dxa"/>
            </w:tcMar>
          </w:tcPr>
          <w:p w:rsidR="005A0381" w:rsidRPr="001316A4" w:rsidRDefault="005A0381" w:rsidP="00547ACE">
            <w:pPr>
              <w:rPr>
                <w:rFonts w:cs="Arial"/>
                <w:sz w:val="16"/>
                <w:szCs w:val="16"/>
              </w:rPr>
            </w:pPr>
          </w:p>
        </w:tc>
        <w:tc>
          <w:tcPr>
            <w:tcW w:w="2131" w:type="pct"/>
            <w:shd w:val="clear" w:color="auto" w:fill="auto"/>
            <w:tcMar>
              <w:top w:w="113" w:type="dxa"/>
              <w:bottom w:w="85" w:type="dxa"/>
            </w:tcMar>
          </w:tcPr>
          <w:p w:rsidR="005A0381" w:rsidRPr="00336796" w:rsidRDefault="005A0381" w:rsidP="00547ACE">
            <w:pPr>
              <w:rPr>
                <w:rFonts w:cs="Arial"/>
                <w:sz w:val="16"/>
                <w:szCs w:val="16"/>
              </w:rPr>
            </w:pPr>
            <w:r w:rsidRPr="00336796">
              <w:rPr>
                <w:rFonts w:cs="Arial"/>
                <w:sz w:val="16"/>
                <w:szCs w:val="16"/>
              </w:rPr>
              <w:t>% of organizational units with existing workforce plans linked to annual workplans</w:t>
            </w:r>
          </w:p>
        </w:tc>
        <w:tc>
          <w:tcPr>
            <w:tcW w:w="895" w:type="pct"/>
            <w:shd w:val="clear" w:color="auto" w:fill="FFFFFF"/>
            <w:tcMar>
              <w:top w:w="113" w:type="dxa"/>
              <w:bottom w:w="85" w:type="dxa"/>
            </w:tcMar>
          </w:tcPr>
          <w:p w:rsidR="005A0381" w:rsidRPr="00E536B5" w:rsidRDefault="005A0381" w:rsidP="00547ACE">
            <w:pPr>
              <w:jc w:val="center"/>
              <w:rPr>
                <w:rFonts w:cs="Arial"/>
                <w:sz w:val="16"/>
                <w:szCs w:val="16"/>
                <w:lang w:bidi="th-TH"/>
              </w:rPr>
            </w:pPr>
            <w:r w:rsidRPr="00856E91">
              <w:rPr>
                <w:rFonts w:cs="Arial"/>
                <w:sz w:val="16"/>
                <w:szCs w:val="16"/>
                <w:lang w:bidi="th-TH"/>
              </w:rPr>
              <w:t>Program 23</w:t>
            </w:r>
          </w:p>
        </w:tc>
        <w:tc>
          <w:tcPr>
            <w:tcW w:w="461" w:type="pct"/>
            <w:shd w:val="clear" w:color="auto" w:fill="FFFFFF"/>
          </w:tcPr>
          <w:p w:rsidR="005A0381" w:rsidRPr="00CC3F44" w:rsidRDefault="005A0381" w:rsidP="00547ACE">
            <w:pPr>
              <w:jc w:val="center"/>
            </w:pPr>
            <w:r w:rsidRPr="00CC3F44">
              <w:rPr>
                <w:rFonts w:cs="Arial"/>
                <w:color w:val="008000"/>
                <w:sz w:val="22"/>
                <w:szCs w:val="22"/>
              </w:rPr>
              <w:sym w:font="Wingdings" w:char="F06C"/>
            </w:r>
          </w:p>
        </w:tc>
      </w:tr>
      <w:tr w:rsidR="005A0381" w:rsidRPr="00AF5E7C" w:rsidTr="00547ACE">
        <w:trPr>
          <w:cantSplit/>
          <w:trHeight w:val="335"/>
        </w:trPr>
        <w:tc>
          <w:tcPr>
            <w:tcW w:w="1513" w:type="pct"/>
            <w:shd w:val="clear" w:color="auto" w:fill="auto"/>
            <w:tcMar>
              <w:top w:w="113" w:type="dxa"/>
              <w:bottom w:w="85" w:type="dxa"/>
            </w:tcMar>
          </w:tcPr>
          <w:p w:rsidR="005A0381" w:rsidRPr="001316A4" w:rsidRDefault="005A0381" w:rsidP="00547ACE">
            <w:pPr>
              <w:rPr>
                <w:rFonts w:cs="Arial"/>
                <w:sz w:val="16"/>
                <w:szCs w:val="16"/>
              </w:rPr>
            </w:pPr>
          </w:p>
        </w:tc>
        <w:tc>
          <w:tcPr>
            <w:tcW w:w="2131" w:type="pct"/>
            <w:shd w:val="clear" w:color="auto" w:fill="auto"/>
            <w:tcMar>
              <w:top w:w="113" w:type="dxa"/>
              <w:bottom w:w="85" w:type="dxa"/>
            </w:tcMar>
          </w:tcPr>
          <w:p w:rsidR="005A0381" w:rsidRPr="00336796" w:rsidRDefault="005A0381" w:rsidP="00547ACE">
            <w:pPr>
              <w:rPr>
                <w:rFonts w:cs="Arial"/>
                <w:sz w:val="16"/>
                <w:szCs w:val="16"/>
              </w:rPr>
            </w:pPr>
            <w:r w:rsidRPr="00336796">
              <w:rPr>
                <w:rFonts w:cs="Arial"/>
                <w:sz w:val="16"/>
                <w:szCs w:val="16"/>
              </w:rPr>
              <w:t>% of newly recruited staff that fits organizational needs</w:t>
            </w:r>
          </w:p>
        </w:tc>
        <w:tc>
          <w:tcPr>
            <w:tcW w:w="895" w:type="pct"/>
            <w:shd w:val="clear" w:color="auto" w:fill="FFFFFF"/>
            <w:tcMar>
              <w:top w:w="113" w:type="dxa"/>
              <w:bottom w:w="85" w:type="dxa"/>
            </w:tcMar>
          </w:tcPr>
          <w:p w:rsidR="005A0381" w:rsidRPr="00E536B5" w:rsidRDefault="005A0381" w:rsidP="00547ACE">
            <w:pPr>
              <w:jc w:val="center"/>
              <w:rPr>
                <w:rFonts w:cs="Arial"/>
                <w:sz w:val="16"/>
                <w:szCs w:val="16"/>
                <w:lang w:bidi="th-TH"/>
              </w:rPr>
            </w:pPr>
            <w:r w:rsidRPr="00856E91">
              <w:rPr>
                <w:rFonts w:cs="Arial"/>
                <w:sz w:val="16"/>
                <w:szCs w:val="16"/>
                <w:lang w:bidi="th-TH"/>
              </w:rPr>
              <w:t>Program 23</w:t>
            </w:r>
          </w:p>
        </w:tc>
        <w:tc>
          <w:tcPr>
            <w:tcW w:w="461" w:type="pct"/>
            <w:shd w:val="clear" w:color="auto" w:fill="FFFFFF"/>
          </w:tcPr>
          <w:p w:rsidR="005A0381" w:rsidRPr="00CC3F44" w:rsidRDefault="005A0381" w:rsidP="00547ACE">
            <w:pPr>
              <w:jc w:val="center"/>
              <w:rPr>
                <w:rFonts w:cs="Arial"/>
                <w:color w:val="A6A6A6" w:themeColor="background1" w:themeShade="A6"/>
                <w:sz w:val="22"/>
                <w:szCs w:val="22"/>
              </w:rPr>
            </w:pPr>
            <w:r w:rsidRPr="00CC3F44">
              <w:rPr>
                <w:rFonts w:cs="Arial"/>
                <w:color w:val="008000"/>
                <w:sz w:val="22"/>
                <w:szCs w:val="22"/>
              </w:rPr>
              <w:sym w:font="Wingdings" w:char="F06C"/>
            </w:r>
          </w:p>
        </w:tc>
      </w:tr>
      <w:tr w:rsidR="005A0381" w:rsidRPr="00AF5E7C" w:rsidTr="00547ACE">
        <w:trPr>
          <w:cantSplit/>
          <w:trHeight w:val="335"/>
        </w:trPr>
        <w:tc>
          <w:tcPr>
            <w:tcW w:w="1513" w:type="pct"/>
            <w:shd w:val="clear" w:color="auto" w:fill="auto"/>
            <w:tcMar>
              <w:top w:w="113" w:type="dxa"/>
              <w:bottom w:w="85" w:type="dxa"/>
            </w:tcMar>
          </w:tcPr>
          <w:p w:rsidR="005A0381" w:rsidRPr="001316A4" w:rsidRDefault="005A0381" w:rsidP="00547ACE">
            <w:pPr>
              <w:rPr>
                <w:rFonts w:cs="Arial"/>
                <w:sz w:val="16"/>
                <w:szCs w:val="16"/>
              </w:rPr>
            </w:pPr>
          </w:p>
        </w:tc>
        <w:tc>
          <w:tcPr>
            <w:tcW w:w="2131" w:type="pct"/>
            <w:shd w:val="clear" w:color="auto" w:fill="auto"/>
            <w:tcMar>
              <w:top w:w="113" w:type="dxa"/>
              <w:bottom w:w="85" w:type="dxa"/>
            </w:tcMar>
          </w:tcPr>
          <w:p w:rsidR="005A0381" w:rsidRPr="00336796" w:rsidRDefault="005A0381" w:rsidP="00547ACE">
            <w:pPr>
              <w:rPr>
                <w:rFonts w:cs="Arial"/>
                <w:sz w:val="16"/>
                <w:szCs w:val="16"/>
              </w:rPr>
            </w:pPr>
            <w:r w:rsidRPr="00336796">
              <w:rPr>
                <w:color w:val="000000"/>
                <w:sz w:val="16"/>
                <w:szCs w:val="16"/>
              </w:rPr>
              <w:t xml:space="preserve">% of staff </w:t>
            </w:r>
            <w:r>
              <w:rPr>
                <w:color w:val="000000"/>
                <w:sz w:val="16"/>
                <w:szCs w:val="16"/>
              </w:rPr>
              <w:t xml:space="preserve"> </w:t>
            </w:r>
            <w:r w:rsidRPr="00336796">
              <w:rPr>
                <w:color w:val="000000"/>
                <w:sz w:val="16"/>
                <w:szCs w:val="16"/>
              </w:rPr>
              <w:t>whose performance is evaluated against their individual objectives and competencies</w:t>
            </w:r>
          </w:p>
        </w:tc>
        <w:tc>
          <w:tcPr>
            <w:tcW w:w="895" w:type="pct"/>
            <w:shd w:val="clear" w:color="auto" w:fill="FFFFFF"/>
            <w:tcMar>
              <w:top w:w="113" w:type="dxa"/>
              <w:bottom w:w="85" w:type="dxa"/>
            </w:tcMar>
          </w:tcPr>
          <w:p w:rsidR="005A0381" w:rsidRPr="00E536B5" w:rsidRDefault="005A0381" w:rsidP="00547ACE">
            <w:pPr>
              <w:jc w:val="center"/>
              <w:rPr>
                <w:rFonts w:cs="Arial"/>
                <w:sz w:val="16"/>
                <w:szCs w:val="16"/>
                <w:lang w:bidi="th-TH"/>
              </w:rPr>
            </w:pPr>
            <w:r w:rsidRPr="00856E91">
              <w:rPr>
                <w:rFonts w:cs="Arial"/>
                <w:sz w:val="16"/>
                <w:szCs w:val="16"/>
                <w:lang w:bidi="th-TH"/>
              </w:rPr>
              <w:t>Program 23</w:t>
            </w:r>
          </w:p>
        </w:tc>
        <w:tc>
          <w:tcPr>
            <w:tcW w:w="461" w:type="pct"/>
            <w:shd w:val="clear" w:color="auto" w:fill="FFFFFF"/>
          </w:tcPr>
          <w:p w:rsidR="005A0381" w:rsidRPr="00CC3F44" w:rsidRDefault="005A0381" w:rsidP="00547ACE">
            <w:pPr>
              <w:jc w:val="center"/>
            </w:pPr>
            <w:r w:rsidRPr="00CC3F44">
              <w:rPr>
                <w:rFonts w:cs="Arial"/>
                <w:color w:val="008000"/>
                <w:sz w:val="22"/>
                <w:szCs w:val="22"/>
              </w:rPr>
              <w:sym w:font="Wingdings" w:char="F06C"/>
            </w:r>
          </w:p>
        </w:tc>
      </w:tr>
      <w:tr w:rsidR="005A0381" w:rsidRPr="00AF5E7C" w:rsidTr="00547ACE">
        <w:trPr>
          <w:cantSplit/>
          <w:trHeight w:val="335"/>
        </w:trPr>
        <w:tc>
          <w:tcPr>
            <w:tcW w:w="1513" w:type="pct"/>
            <w:shd w:val="clear" w:color="auto" w:fill="auto"/>
            <w:tcMar>
              <w:top w:w="113" w:type="dxa"/>
              <w:bottom w:w="85" w:type="dxa"/>
            </w:tcMar>
          </w:tcPr>
          <w:p w:rsidR="005A0381" w:rsidRPr="001316A4" w:rsidRDefault="005A0381" w:rsidP="00547ACE">
            <w:pPr>
              <w:rPr>
                <w:rFonts w:cs="Arial"/>
                <w:sz w:val="16"/>
                <w:szCs w:val="16"/>
              </w:rPr>
            </w:pPr>
          </w:p>
        </w:tc>
        <w:tc>
          <w:tcPr>
            <w:tcW w:w="2131" w:type="pct"/>
            <w:shd w:val="clear" w:color="auto" w:fill="auto"/>
            <w:tcMar>
              <w:top w:w="113" w:type="dxa"/>
              <w:bottom w:w="85" w:type="dxa"/>
            </w:tcMar>
          </w:tcPr>
          <w:p w:rsidR="005A0381" w:rsidRPr="00336796" w:rsidRDefault="005A0381" w:rsidP="00547ACE">
            <w:pPr>
              <w:rPr>
                <w:color w:val="000000"/>
                <w:sz w:val="16"/>
                <w:szCs w:val="16"/>
              </w:rPr>
            </w:pPr>
            <w:r w:rsidRPr="00336796">
              <w:rPr>
                <w:color w:val="000000"/>
                <w:sz w:val="16"/>
                <w:szCs w:val="16"/>
              </w:rPr>
              <w:t>% of critical individual and collective training needs that have been fulfilled</w:t>
            </w:r>
          </w:p>
        </w:tc>
        <w:tc>
          <w:tcPr>
            <w:tcW w:w="895" w:type="pct"/>
            <w:shd w:val="clear" w:color="auto" w:fill="FFFFFF"/>
            <w:tcMar>
              <w:top w:w="113" w:type="dxa"/>
              <w:bottom w:w="85" w:type="dxa"/>
            </w:tcMar>
          </w:tcPr>
          <w:p w:rsidR="005A0381" w:rsidRDefault="005A0381" w:rsidP="00547ACE">
            <w:pPr>
              <w:jc w:val="center"/>
              <w:rPr>
                <w:rFonts w:cs="Arial"/>
                <w:sz w:val="16"/>
                <w:szCs w:val="16"/>
                <w:lang w:bidi="th-TH"/>
              </w:rPr>
            </w:pPr>
            <w:r>
              <w:rPr>
                <w:rFonts w:cs="Arial"/>
                <w:sz w:val="16"/>
                <w:szCs w:val="16"/>
                <w:lang w:bidi="th-TH"/>
              </w:rPr>
              <w:t>Program 23</w:t>
            </w:r>
          </w:p>
        </w:tc>
        <w:tc>
          <w:tcPr>
            <w:tcW w:w="461" w:type="pct"/>
            <w:shd w:val="clear" w:color="auto" w:fill="FFFFFF"/>
          </w:tcPr>
          <w:p w:rsidR="005A0381" w:rsidRPr="00CC3F44" w:rsidRDefault="005A0381" w:rsidP="00547ACE">
            <w:pPr>
              <w:jc w:val="center"/>
              <w:rPr>
                <w:rFonts w:cs="Arial"/>
                <w:color w:val="A6A6A6" w:themeColor="background1" w:themeShade="A6"/>
                <w:sz w:val="22"/>
                <w:szCs w:val="22"/>
              </w:rPr>
            </w:pPr>
            <w:r w:rsidRPr="00CC3F44">
              <w:rPr>
                <w:rFonts w:cs="Arial"/>
                <w:color w:val="E26B0A"/>
                <w:sz w:val="22"/>
                <w:szCs w:val="22"/>
              </w:rPr>
              <w:sym w:font="Wingdings" w:char="F06C"/>
            </w:r>
            <w:r w:rsidRPr="00CC3F44">
              <w:rPr>
                <w:rFonts w:cs="Arial"/>
                <w:color w:val="008000"/>
                <w:sz w:val="22"/>
                <w:szCs w:val="22"/>
              </w:rPr>
              <w:sym w:font="Wingdings" w:char="F06C"/>
            </w:r>
          </w:p>
        </w:tc>
      </w:tr>
      <w:tr w:rsidR="005A0381" w:rsidRPr="00AF5E7C" w:rsidTr="00547ACE">
        <w:trPr>
          <w:cantSplit/>
          <w:trHeight w:val="335"/>
        </w:trPr>
        <w:tc>
          <w:tcPr>
            <w:tcW w:w="1513" w:type="pct"/>
            <w:shd w:val="clear" w:color="auto" w:fill="auto"/>
            <w:tcMar>
              <w:top w:w="113" w:type="dxa"/>
              <w:bottom w:w="85" w:type="dxa"/>
            </w:tcMar>
          </w:tcPr>
          <w:p w:rsidR="005A0381" w:rsidRPr="001316A4" w:rsidRDefault="005A0381" w:rsidP="00547ACE">
            <w:pPr>
              <w:rPr>
                <w:rFonts w:cs="Arial"/>
                <w:sz w:val="16"/>
                <w:szCs w:val="16"/>
              </w:rPr>
            </w:pPr>
          </w:p>
        </w:tc>
        <w:tc>
          <w:tcPr>
            <w:tcW w:w="2131" w:type="pct"/>
            <w:shd w:val="clear" w:color="auto" w:fill="auto"/>
            <w:tcMar>
              <w:top w:w="113" w:type="dxa"/>
              <w:bottom w:w="85" w:type="dxa"/>
            </w:tcMar>
          </w:tcPr>
          <w:p w:rsidR="005A0381" w:rsidRPr="00336796" w:rsidRDefault="005A0381" w:rsidP="00547ACE">
            <w:pPr>
              <w:rPr>
                <w:color w:val="000000"/>
                <w:sz w:val="16"/>
                <w:szCs w:val="16"/>
              </w:rPr>
            </w:pPr>
            <w:r w:rsidRPr="00924D5B">
              <w:rPr>
                <w:color w:val="000000"/>
                <w:sz w:val="16"/>
                <w:szCs w:val="16"/>
              </w:rPr>
              <w:t>Average no. of sick leave days per employee (absenteeism)</w:t>
            </w:r>
          </w:p>
        </w:tc>
        <w:tc>
          <w:tcPr>
            <w:tcW w:w="895" w:type="pct"/>
            <w:shd w:val="clear" w:color="auto" w:fill="FFFFFF"/>
            <w:tcMar>
              <w:top w:w="113" w:type="dxa"/>
              <w:bottom w:w="85" w:type="dxa"/>
            </w:tcMar>
          </w:tcPr>
          <w:p w:rsidR="005A0381" w:rsidRDefault="005A0381" w:rsidP="00547ACE">
            <w:pPr>
              <w:jc w:val="center"/>
              <w:rPr>
                <w:rFonts w:cs="Arial"/>
                <w:sz w:val="16"/>
                <w:szCs w:val="16"/>
                <w:lang w:bidi="th-TH"/>
              </w:rPr>
            </w:pPr>
            <w:r>
              <w:rPr>
                <w:rFonts w:cs="Arial"/>
                <w:sz w:val="16"/>
                <w:szCs w:val="16"/>
                <w:lang w:bidi="th-TH"/>
              </w:rPr>
              <w:t>Program 23</w:t>
            </w:r>
          </w:p>
        </w:tc>
        <w:tc>
          <w:tcPr>
            <w:tcW w:w="461" w:type="pct"/>
            <w:shd w:val="clear" w:color="auto" w:fill="FFFFFF"/>
          </w:tcPr>
          <w:p w:rsidR="005A0381" w:rsidRPr="00CC3F44" w:rsidRDefault="005A0381" w:rsidP="00547ACE">
            <w:pPr>
              <w:jc w:val="center"/>
              <w:rPr>
                <w:color w:val="E26B0A"/>
              </w:rPr>
            </w:pPr>
            <w:r w:rsidRPr="00CC3F44">
              <w:rPr>
                <w:rFonts w:cs="Arial"/>
                <w:color w:val="E26B0A"/>
                <w:sz w:val="22"/>
                <w:szCs w:val="22"/>
              </w:rPr>
              <w:sym w:font="Wingdings" w:char="F06C"/>
            </w:r>
          </w:p>
        </w:tc>
      </w:tr>
      <w:tr w:rsidR="005A0381" w:rsidRPr="00AF5E7C" w:rsidTr="00547ACE">
        <w:trPr>
          <w:cantSplit/>
          <w:trHeight w:val="301"/>
        </w:trPr>
        <w:tc>
          <w:tcPr>
            <w:tcW w:w="1513" w:type="pct"/>
            <w:shd w:val="clear" w:color="auto" w:fill="auto"/>
            <w:tcMar>
              <w:top w:w="113" w:type="dxa"/>
              <w:bottom w:w="85" w:type="dxa"/>
            </w:tcMar>
          </w:tcPr>
          <w:p w:rsidR="005A0381" w:rsidRPr="001316A4" w:rsidRDefault="005A0381" w:rsidP="00547ACE">
            <w:pPr>
              <w:rPr>
                <w:rFonts w:cs="Arial"/>
                <w:sz w:val="16"/>
                <w:szCs w:val="16"/>
              </w:rPr>
            </w:pPr>
          </w:p>
        </w:tc>
        <w:tc>
          <w:tcPr>
            <w:tcW w:w="2131" w:type="pct"/>
            <w:shd w:val="clear" w:color="auto" w:fill="auto"/>
            <w:tcMar>
              <w:top w:w="113" w:type="dxa"/>
              <w:bottom w:w="85" w:type="dxa"/>
            </w:tcMar>
          </w:tcPr>
          <w:p w:rsidR="005A0381" w:rsidRPr="00336796" w:rsidRDefault="005A0381" w:rsidP="00547ACE">
            <w:pPr>
              <w:rPr>
                <w:color w:val="000000"/>
                <w:sz w:val="16"/>
                <w:szCs w:val="16"/>
              </w:rPr>
            </w:pPr>
            <w:r w:rsidRPr="00924D5B">
              <w:rPr>
                <w:color w:val="000000"/>
                <w:sz w:val="16"/>
                <w:szCs w:val="16"/>
              </w:rPr>
              <w:t>% of women in professional and higher positions</w:t>
            </w:r>
          </w:p>
        </w:tc>
        <w:tc>
          <w:tcPr>
            <w:tcW w:w="895" w:type="pct"/>
            <w:shd w:val="clear" w:color="auto" w:fill="FFFFFF"/>
            <w:tcMar>
              <w:top w:w="113" w:type="dxa"/>
              <w:bottom w:w="85" w:type="dxa"/>
            </w:tcMar>
          </w:tcPr>
          <w:p w:rsidR="005A0381" w:rsidRDefault="005A0381" w:rsidP="00547ACE">
            <w:pPr>
              <w:jc w:val="center"/>
              <w:rPr>
                <w:rFonts w:cs="Arial"/>
                <w:sz w:val="16"/>
                <w:szCs w:val="16"/>
                <w:lang w:bidi="th-TH"/>
              </w:rPr>
            </w:pPr>
            <w:r>
              <w:rPr>
                <w:rFonts w:cs="Arial"/>
                <w:sz w:val="16"/>
                <w:szCs w:val="16"/>
                <w:lang w:bidi="th-TH"/>
              </w:rPr>
              <w:t>Program 23</w:t>
            </w:r>
          </w:p>
        </w:tc>
        <w:tc>
          <w:tcPr>
            <w:tcW w:w="461" w:type="pct"/>
            <w:shd w:val="clear" w:color="auto" w:fill="FFFFFF"/>
          </w:tcPr>
          <w:p w:rsidR="005A0381" w:rsidRPr="00CC3F44" w:rsidRDefault="005A0381" w:rsidP="00547ACE">
            <w:pPr>
              <w:jc w:val="center"/>
              <w:rPr>
                <w:rFonts w:cs="Arial"/>
                <w:color w:val="A6A6A6" w:themeColor="background1" w:themeShade="A6"/>
                <w:sz w:val="22"/>
                <w:szCs w:val="22"/>
              </w:rPr>
            </w:pPr>
            <w:r w:rsidRPr="00CC3F44">
              <w:rPr>
                <w:rFonts w:cs="Arial"/>
                <w:color w:val="008000"/>
                <w:sz w:val="22"/>
                <w:szCs w:val="22"/>
              </w:rPr>
              <w:sym w:font="Wingdings" w:char="F06C"/>
            </w:r>
            <w:r w:rsidRPr="00CC3F44">
              <w:rPr>
                <w:rFonts w:cs="Arial"/>
                <w:color w:val="FF0000"/>
                <w:sz w:val="22"/>
                <w:szCs w:val="22"/>
              </w:rPr>
              <w:sym w:font="Wingdings" w:char="F06C"/>
            </w:r>
            <w:r w:rsidRPr="00CC3F44">
              <w:rPr>
                <w:rFonts w:cs="Arial"/>
                <w:color w:val="FF0000"/>
                <w:sz w:val="22"/>
                <w:szCs w:val="22"/>
              </w:rPr>
              <w:sym w:font="Wingdings" w:char="F06C"/>
            </w:r>
            <w:r w:rsidRPr="00CC3F44">
              <w:rPr>
                <w:rFonts w:cs="Arial"/>
                <w:color w:val="FF0000"/>
                <w:sz w:val="22"/>
                <w:szCs w:val="22"/>
              </w:rPr>
              <w:sym w:font="Wingdings" w:char="F06C"/>
            </w:r>
          </w:p>
        </w:tc>
      </w:tr>
      <w:tr w:rsidR="005A0381" w:rsidRPr="00AF5E7C" w:rsidTr="00547ACE">
        <w:trPr>
          <w:cantSplit/>
          <w:trHeight w:val="436"/>
        </w:trPr>
        <w:tc>
          <w:tcPr>
            <w:tcW w:w="1513" w:type="pct"/>
            <w:shd w:val="clear" w:color="auto" w:fill="auto"/>
            <w:tcMar>
              <w:top w:w="113" w:type="dxa"/>
              <w:bottom w:w="85" w:type="dxa"/>
            </w:tcMar>
          </w:tcPr>
          <w:p w:rsidR="005A0381" w:rsidRPr="001316A4" w:rsidRDefault="005A0381" w:rsidP="00547ACE">
            <w:pPr>
              <w:rPr>
                <w:rFonts w:cs="Arial"/>
                <w:sz w:val="16"/>
                <w:szCs w:val="16"/>
              </w:rPr>
            </w:pPr>
          </w:p>
        </w:tc>
        <w:tc>
          <w:tcPr>
            <w:tcW w:w="2131" w:type="pct"/>
            <w:shd w:val="clear" w:color="auto" w:fill="auto"/>
            <w:tcMar>
              <w:top w:w="113" w:type="dxa"/>
              <w:bottom w:w="85" w:type="dxa"/>
            </w:tcMar>
          </w:tcPr>
          <w:p w:rsidR="005A0381" w:rsidRDefault="005A0381" w:rsidP="00547ACE">
            <w:pPr>
              <w:rPr>
                <w:color w:val="000000"/>
                <w:sz w:val="16"/>
                <w:szCs w:val="16"/>
              </w:rPr>
            </w:pPr>
            <w:r>
              <w:rPr>
                <w:color w:val="000000"/>
                <w:sz w:val="16"/>
                <w:szCs w:val="16"/>
              </w:rPr>
              <w:t xml:space="preserve">Geographical diversity - </w:t>
            </w:r>
          </w:p>
          <w:p w:rsidR="005A0381" w:rsidRPr="00336796" w:rsidRDefault="005A0381" w:rsidP="00547ACE">
            <w:pPr>
              <w:rPr>
                <w:color w:val="000000"/>
                <w:sz w:val="16"/>
                <w:szCs w:val="16"/>
              </w:rPr>
            </w:pPr>
            <w:r>
              <w:rPr>
                <w:color w:val="000000"/>
                <w:sz w:val="16"/>
                <w:szCs w:val="16"/>
              </w:rPr>
              <w:t>% of Member States represented</w:t>
            </w:r>
          </w:p>
        </w:tc>
        <w:tc>
          <w:tcPr>
            <w:tcW w:w="895" w:type="pct"/>
            <w:shd w:val="clear" w:color="auto" w:fill="FFFFFF"/>
            <w:tcMar>
              <w:top w:w="113" w:type="dxa"/>
              <w:bottom w:w="85" w:type="dxa"/>
            </w:tcMar>
          </w:tcPr>
          <w:p w:rsidR="005A0381" w:rsidRDefault="005A0381" w:rsidP="00547ACE">
            <w:pPr>
              <w:jc w:val="center"/>
              <w:rPr>
                <w:rFonts w:cs="Arial"/>
                <w:sz w:val="16"/>
                <w:szCs w:val="16"/>
                <w:lang w:bidi="th-TH"/>
              </w:rPr>
            </w:pPr>
            <w:r>
              <w:rPr>
                <w:rFonts w:cs="Arial"/>
                <w:sz w:val="16"/>
                <w:szCs w:val="16"/>
                <w:lang w:bidi="th-TH"/>
              </w:rPr>
              <w:t>Program 23</w:t>
            </w:r>
          </w:p>
        </w:tc>
        <w:tc>
          <w:tcPr>
            <w:tcW w:w="461" w:type="pct"/>
            <w:shd w:val="clear" w:color="auto" w:fill="FFFFFF"/>
          </w:tcPr>
          <w:p w:rsidR="005A0381" w:rsidRPr="00CC3F44" w:rsidRDefault="005A0381" w:rsidP="00547ACE">
            <w:pPr>
              <w:jc w:val="center"/>
              <w:rPr>
                <w:color w:val="A6A6A6"/>
              </w:rPr>
            </w:pPr>
            <w:r w:rsidRPr="00CC3F44">
              <w:rPr>
                <w:rFonts w:cs="Arial"/>
                <w:color w:val="A6A6A6" w:themeColor="background1" w:themeShade="A6"/>
                <w:sz w:val="22"/>
                <w:szCs w:val="22"/>
              </w:rPr>
              <w:sym w:font="Wingdings" w:char="F06C"/>
            </w:r>
          </w:p>
        </w:tc>
      </w:tr>
      <w:tr w:rsidR="005A0381" w:rsidRPr="00AF5E7C" w:rsidTr="00547ACE">
        <w:trPr>
          <w:cantSplit/>
          <w:trHeight w:val="335"/>
        </w:trPr>
        <w:tc>
          <w:tcPr>
            <w:tcW w:w="1513" w:type="pct"/>
            <w:vMerge w:val="restart"/>
            <w:shd w:val="clear" w:color="auto" w:fill="auto"/>
            <w:tcMar>
              <w:top w:w="113" w:type="dxa"/>
              <w:bottom w:w="85" w:type="dxa"/>
            </w:tcMar>
          </w:tcPr>
          <w:p w:rsidR="005A0381" w:rsidRPr="001316A4" w:rsidRDefault="005A0381" w:rsidP="00547ACE">
            <w:pPr>
              <w:rPr>
                <w:rFonts w:cs="Arial"/>
                <w:sz w:val="16"/>
                <w:szCs w:val="16"/>
              </w:rPr>
            </w:pPr>
            <w:r w:rsidRPr="001316A4">
              <w:rPr>
                <w:rFonts w:cs="Arial"/>
                <w:sz w:val="16"/>
                <w:szCs w:val="16"/>
              </w:rPr>
              <w:t xml:space="preserve">IX.3 </w:t>
            </w:r>
            <w:r>
              <w:rPr>
                <w:rFonts w:cs="Arial"/>
                <w:sz w:val="16"/>
                <w:szCs w:val="16"/>
              </w:rPr>
              <w:t xml:space="preserve"> </w:t>
            </w:r>
            <w:r w:rsidRPr="001316A4">
              <w:rPr>
                <w:rFonts w:cs="Arial"/>
                <w:sz w:val="16"/>
                <w:szCs w:val="16"/>
              </w:rPr>
              <w:t>An enabling working environment supported by an effective regulatory framework and appropriate channels to address staff concerns</w:t>
            </w:r>
          </w:p>
        </w:tc>
        <w:tc>
          <w:tcPr>
            <w:tcW w:w="2131" w:type="pct"/>
            <w:shd w:val="clear" w:color="auto" w:fill="auto"/>
            <w:tcMar>
              <w:top w:w="113" w:type="dxa"/>
              <w:bottom w:w="85" w:type="dxa"/>
            </w:tcMar>
          </w:tcPr>
          <w:p w:rsidR="005A0381" w:rsidRPr="001316A4" w:rsidRDefault="005A0381" w:rsidP="00547ACE">
            <w:pPr>
              <w:rPr>
                <w:rFonts w:cs="Arial"/>
                <w:sz w:val="16"/>
                <w:szCs w:val="16"/>
              </w:rPr>
            </w:pPr>
            <w:r w:rsidRPr="001316A4">
              <w:rPr>
                <w:rFonts w:cs="Arial"/>
                <w:sz w:val="16"/>
                <w:szCs w:val="16"/>
              </w:rPr>
              <w:t>% of WIPO staff aware of services available from Ombuds-Office and informal conflict resolution mechanism</w:t>
            </w:r>
          </w:p>
        </w:tc>
        <w:tc>
          <w:tcPr>
            <w:tcW w:w="895" w:type="pct"/>
            <w:shd w:val="clear" w:color="auto" w:fill="FFFFFF"/>
            <w:tcMar>
              <w:top w:w="113" w:type="dxa"/>
              <w:bottom w:w="85" w:type="dxa"/>
            </w:tcMar>
          </w:tcPr>
          <w:p w:rsidR="005A0381" w:rsidRPr="00AF5E7C" w:rsidRDefault="005A0381" w:rsidP="00547ACE">
            <w:pPr>
              <w:jc w:val="center"/>
              <w:rPr>
                <w:rFonts w:cs="Arial"/>
                <w:sz w:val="16"/>
                <w:szCs w:val="16"/>
                <w:lang w:bidi="th-TH"/>
              </w:rPr>
            </w:pPr>
            <w:r>
              <w:rPr>
                <w:rFonts w:cs="Arial"/>
                <w:sz w:val="16"/>
                <w:szCs w:val="16"/>
                <w:lang w:bidi="th-TH"/>
              </w:rPr>
              <w:t>Program 21</w:t>
            </w:r>
          </w:p>
        </w:tc>
        <w:tc>
          <w:tcPr>
            <w:tcW w:w="461" w:type="pct"/>
            <w:shd w:val="clear" w:color="auto" w:fill="FFFFFF"/>
          </w:tcPr>
          <w:p w:rsidR="005A0381" w:rsidRPr="00CC3F44" w:rsidRDefault="005A0381" w:rsidP="00547ACE">
            <w:pPr>
              <w:jc w:val="center"/>
              <w:rPr>
                <w:rFonts w:cs="Arial"/>
                <w:color w:val="A6A6A6" w:themeColor="background1" w:themeShade="A6"/>
                <w:sz w:val="22"/>
                <w:szCs w:val="22"/>
              </w:rPr>
            </w:pPr>
            <w:r w:rsidRPr="00CC3F44">
              <w:rPr>
                <w:rFonts w:cs="Arial"/>
                <w:color w:val="A6A6A6" w:themeColor="background1" w:themeShade="A6"/>
                <w:sz w:val="22"/>
                <w:szCs w:val="22"/>
              </w:rPr>
              <w:sym w:font="Wingdings" w:char="F06C"/>
            </w:r>
          </w:p>
        </w:tc>
      </w:tr>
      <w:tr w:rsidR="005A0381" w:rsidRPr="00AF5E7C" w:rsidTr="00547ACE">
        <w:trPr>
          <w:cantSplit/>
          <w:trHeight w:val="335"/>
        </w:trPr>
        <w:tc>
          <w:tcPr>
            <w:tcW w:w="1513" w:type="pct"/>
            <w:vMerge/>
            <w:shd w:val="clear" w:color="auto" w:fill="auto"/>
            <w:tcMar>
              <w:top w:w="113" w:type="dxa"/>
              <w:bottom w:w="85" w:type="dxa"/>
            </w:tcMar>
          </w:tcPr>
          <w:p w:rsidR="005A0381" w:rsidRPr="00AF5E7C" w:rsidRDefault="005A0381" w:rsidP="00547ACE">
            <w:pPr>
              <w:rPr>
                <w:rFonts w:cs="Arial"/>
                <w:sz w:val="16"/>
                <w:szCs w:val="16"/>
              </w:rPr>
            </w:pPr>
          </w:p>
        </w:tc>
        <w:tc>
          <w:tcPr>
            <w:tcW w:w="2131" w:type="pct"/>
            <w:shd w:val="clear" w:color="auto" w:fill="auto"/>
            <w:tcMar>
              <w:top w:w="113" w:type="dxa"/>
              <w:bottom w:w="85" w:type="dxa"/>
            </w:tcMar>
          </w:tcPr>
          <w:p w:rsidR="005A0381" w:rsidRPr="00D738DB" w:rsidRDefault="005A0381" w:rsidP="00547ACE">
            <w:pPr>
              <w:rPr>
                <w:rFonts w:cs="Arial"/>
                <w:sz w:val="16"/>
                <w:szCs w:val="16"/>
              </w:rPr>
            </w:pPr>
            <w:r>
              <w:rPr>
                <w:rFonts w:cs="Arial"/>
                <w:sz w:val="16"/>
                <w:szCs w:val="16"/>
              </w:rPr>
              <w:t>%</w:t>
            </w:r>
            <w:r w:rsidRPr="00D738DB">
              <w:rPr>
                <w:rFonts w:cs="Arial"/>
                <w:sz w:val="16"/>
                <w:szCs w:val="16"/>
              </w:rPr>
              <w:t xml:space="preserve"> of </w:t>
            </w:r>
            <w:r>
              <w:rPr>
                <w:rFonts w:cs="Arial"/>
                <w:sz w:val="16"/>
                <w:szCs w:val="16"/>
              </w:rPr>
              <w:t xml:space="preserve">survey </w:t>
            </w:r>
            <w:r w:rsidRPr="00D738DB">
              <w:rPr>
                <w:rFonts w:cs="Arial"/>
                <w:sz w:val="16"/>
                <w:szCs w:val="16"/>
              </w:rPr>
              <w:t>respond</w:t>
            </w:r>
            <w:r>
              <w:rPr>
                <w:rFonts w:cs="Arial"/>
                <w:sz w:val="16"/>
                <w:szCs w:val="16"/>
              </w:rPr>
              <w:t>ents</w:t>
            </w:r>
            <w:r w:rsidRPr="00D738DB">
              <w:rPr>
                <w:rFonts w:cs="Arial"/>
                <w:sz w:val="16"/>
                <w:szCs w:val="16"/>
              </w:rPr>
              <w:t xml:space="preserve"> being aware of WIPO ethics principles and policies</w:t>
            </w:r>
          </w:p>
        </w:tc>
        <w:tc>
          <w:tcPr>
            <w:tcW w:w="895" w:type="pct"/>
            <w:shd w:val="clear" w:color="auto" w:fill="FFFFFF"/>
            <w:tcMar>
              <w:top w:w="113" w:type="dxa"/>
              <w:bottom w:w="85" w:type="dxa"/>
            </w:tcMar>
          </w:tcPr>
          <w:p w:rsidR="005A0381" w:rsidRPr="00AF5E7C" w:rsidRDefault="005A0381" w:rsidP="00547ACE">
            <w:pPr>
              <w:jc w:val="center"/>
              <w:rPr>
                <w:rFonts w:cs="Arial"/>
                <w:sz w:val="16"/>
                <w:szCs w:val="16"/>
                <w:lang w:bidi="th-TH"/>
              </w:rPr>
            </w:pPr>
            <w:r>
              <w:rPr>
                <w:rFonts w:cs="Arial"/>
                <w:sz w:val="16"/>
                <w:szCs w:val="16"/>
                <w:lang w:bidi="th-TH"/>
              </w:rPr>
              <w:t>Program 21</w:t>
            </w:r>
          </w:p>
        </w:tc>
        <w:tc>
          <w:tcPr>
            <w:tcW w:w="461" w:type="pct"/>
            <w:shd w:val="clear" w:color="auto" w:fill="FFFFFF"/>
          </w:tcPr>
          <w:p w:rsidR="005A0381" w:rsidRPr="00CC3F44" w:rsidRDefault="005A0381" w:rsidP="00547ACE">
            <w:pPr>
              <w:jc w:val="center"/>
            </w:pPr>
            <w:r w:rsidRPr="00CC3F44">
              <w:rPr>
                <w:rFonts w:cs="Arial"/>
                <w:color w:val="A6A6A6" w:themeColor="background1" w:themeShade="A6"/>
                <w:sz w:val="22"/>
                <w:szCs w:val="22"/>
              </w:rPr>
              <w:sym w:font="Wingdings" w:char="F06C"/>
            </w:r>
          </w:p>
        </w:tc>
      </w:tr>
      <w:tr w:rsidR="005A0381" w:rsidRPr="00AF5E7C" w:rsidTr="00547ACE">
        <w:trPr>
          <w:cantSplit/>
          <w:trHeight w:val="335"/>
        </w:trPr>
        <w:tc>
          <w:tcPr>
            <w:tcW w:w="1513" w:type="pct"/>
            <w:shd w:val="clear" w:color="auto" w:fill="auto"/>
            <w:tcMar>
              <w:top w:w="113" w:type="dxa"/>
              <w:bottom w:w="85" w:type="dxa"/>
            </w:tcMar>
          </w:tcPr>
          <w:p w:rsidR="005A0381" w:rsidRPr="00603C51" w:rsidRDefault="005A0381" w:rsidP="00547ACE">
            <w:pPr>
              <w:rPr>
                <w:rFonts w:cs="Arial"/>
                <w:sz w:val="16"/>
                <w:szCs w:val="16"/>
              </w:rPr>
            </w:pPr>
          </w:p>
        </w:tc>
        <w:tc>
          <w:tcPr>
            <w:tcW w:w="2131" w:type="pct"/>
            <w:shd w:val="clear" w:color="auto" w:fill="auto"/>
            <w:tcMar>
              <w:top w:w="113" w:type="dxa"/>
              <w:bottom w:w="85" w:type="dxa"/>
            </w:tcMar>
          </w:tcPr>
          <w:p w:rsidR="005A0381" w:rsidRPr="00603C51" w:rsidRDefault="005A0381" w:rsidP="00547ACE">
            <w:pPr>
              <w:rPr>
                <w:rFonts w:cs="Arial"/>
                <w:sz w:val="16"/>
                <w:szCs w:val="16"/>
              </w:rPr>
            </w:pPr>
            <w:r w:rsidRPr="00603C51">
              <w:rPr>
                <w:rFonts w:cs="Arial"/>
                <w:sz w:val="16"/>
                <w:szCs w:val="16"/>
              </w:rPr>
              <w:t>Financial Regulations and Rules and relevant Office Instructions up to date</w:t>
            </w:r>
          </w:p>
        </w:tc>
        <w:tc>
          <w:tcPr>
            <w:tcW w:w="895" w:type="pct"/>
            <w:shd w:val="clear" w:color="auto" w:fill="FFFFFF"/>
            <w:tcMar>
              <w:top w:w="113" w:type="dxa"/>
              <w:bottom w:w="85" w:type="dxa"/>
            </w:tcMar>
          </w:tcPr>
          <w:p w:rsidR="005A0381" w:rsidRPr="00AF5E7C" w:rsidRDefault="005A0381" w:rsidP="00547ACE">
            <w:pPr>
              <w:jc w:val="center"/>
              <w:rPr>
                <w:rFonts w:cs="Arial"/>
                <w:sz w:val="16"/>
                <w:szCs w:val="16"/>
                <w:lang w:bidi="th-TH"/>
              </w:rPr>
            </w:pPr>
            <w:r>
              <w:rPr>
                <w:rFonts w:cs="Arial"/>
                <w:sz w:val="16"/>
                <w:szCs w:val="16"/>
                <w:lang w:bidi="th-TH"/>
              </w:rPr>
              <w:t>Program 22</w:t>
            </w:r>
          </w:p>
        </w:tc>
        <w:tc>
          <w:tcPr>
            <w:tcW w:w="461" w:type="pct"/>
            <w:shd w:val="clear" w:color="auto" w:fill="FFFFFF"/>
          </w:tcPr>
          <w:p w:rsidR="005A0381" w:rsidRPr="00CC3F44" w:rsidRDefault="005A0381" w:rsidP="00547ACE">
            <w:pPr>
              <w:jc w:val="center"/>
              <w:rPr>
                <w:rFonts w:cs="Arial"/>
                <w:color w:val="A6A6A6" w:themeColor="background1" w:themeShade="A6"/>
                <w:sz w:val="22"/>
                <w:szCs w:val="22"/>
              </w:rPr>
            </w:pPr>
            <w:r w:rsidRPr="00CC3F44">
              <w:rPr>
                <w:rFonts w:cs="Arial"/>
                <w:color w:val="008000"/>
                <w:sz w:val="22"/>
                <w:szCs w:val="22"/>
              </w:rPr>
              <w:sym w:font="Wingdings" w:char="F06C"/>
            </w:r>
          </w:p>
        </w:tc>
      </w:tr>
      <w:tr w:rsidR="005A0381" w:rsidRPr="00AF5E7C" w:rsidTr="00547ACE">
        <w:trPr>
          <w:cantSplit/>
          <w:trHeight w:val="256"/>
        </w:trPr>
        <w:tc>
          <w:tcPr>
            <w:tcW w:w="1513" w:type="pct"/>
            <w:vMerge w:val="restart"/>
            <w:shd w:val="clear" w:color="auto" w:fill="auto"/>
            <w:tcMar>
              <w:top w:w="113" w:type="dxa"/>
              <w:bottom w:w="85" w:type="dxa"/>
            </w:tcMar>
          </w:tcPr>
          <w:p w:rsidR="005A0381" w:rsidRPr="00592A10" w:rsidRDefault="005A0381" w:rsidP="00547ACE">
            <w:pPr>
              <w:rPr>
                <w:rFonts w:cs="Arial"/>
                <w:sz w:val="16"/>
                <w:szCs w:val="16"/>
              </w:rPr>
            </w:pPr>
            <w:r w:rsidRPr="00592A10">
              <w:rPr>
                <w:rFonts w:cs="Arial"/>
                <w:sz w:val="16"/>
                <w:szCs w:val="16"/>
              </w:rPr>
              <w:t xml:space="preserve">IX.4 </w:t>
            </w:r>
            <w:r>
              <w:rPr>
                <w:rFonts w:cs="Arial"/>
                <w:sz w:val="16"/>
                <w:szCs w:val="16"/>
              </w:rPr>
              <w:t xml:space="preserve"> </w:t>
            </w:r>
            <w:r w:rsidRPr="00592A10">
              <w:rPr>
                <w:rFonts w:cs="Arial"/>
                <w:sz w:val="16"/>
                <w:szCs w:val="16"/>
              </w:rPr>
              <w:t>An environmentally and socially responsible Organization in which WIPO staff, delegates, visitors and information and physical assets are safe and secure</w:t>
            </w:r>
          </w:p>
        </w:tc>
        <w:tc>
          <w:tcPr>
            <w:tcW w:w="2131" w:type="pct"/>
            <w:shd w:val="clear" w:color="auto" w:fill="auto"/>
            <w:tcMar>
              <w:top w:w="113" w:type="dxa"/>
              <w:bottom w:w="85" w:type="dxa"/>
            </w:tcMar>
          </w:tcPr>
          <w:p w:rsidR="005A0381" w:rsidRPr="006A3FC3" w:rsidRDefault="005A0381" w:rsidP="00547ACE">
            <w:pPr>
              <w:rPr>
                <w:color w:val="000000"/>
                <w:sz w:val="16"/>
                <w:szCs w:val="16"/>
              </w:rPr>
            </w:pPr>
            <w:r>
              <w:rPr>
                <w:color w:val="000000"/>
                <w:sz w:val="16"/>
                <w:szCs w:val="16"/>
              </w:rPr>
              <w:t>Improved p</w:t>
            </w:r>
            <w:r w:rsidRPr="006A3FC3">
              <w:rPr>
                <w:color w:val="000000"/>
                <w:sz w:val="16"/>
                <w:szCs w:val="16"/>
              </w:rPr>
              <w:t>hysical access</w:t>
            </w:r>
            <w:r>
              <w:rPr>
                <w:color w:val="000000"/>
                <w:sz w:val="16"/>
                <w:szCs w:val="16"/>
              </w:rPr>
              <w:t xml:space="preserve"> to</w:t>
            </w:r>
            <w:r w:rsidRPr="006A3FC3">
              <w:rPr>
                <w:color w:val="000000"/>
                <w:sz w:val="16"/>
                <w:szCs w:val="16"/>
              </w:rPr>
              <w:t xml:space="preserve"> the WIPO campus</w:t>
            </w:r>
          </w:p>
        </w:tc>
        <w:tc>
          <w:tcPr>
            <w:tcW w:w="895" w:type="pct"/>
            <w:shd w:val="clear" w:color="auto" w:fill="FFFFFF"/>
            <w:tcMar>
              <w:top w:w="113" w:type="dxa"/>
              <w:bottom w:w="85" w:type="dxa"/>
            </w:tcMar>
          </w:tcPr>
          <w:p w:rsidR="005A0381" w:rsidRPr="00AF5E7C" w:rsidRDefault="005A0381" w:rsidP="00547ACE">
            <w:pPr>
              <w:jc w:val="center"/>
              <w:rPr>
                <w:rFonts w:cs="Arial"/>
                <w:sz w:val="16"/>
                <w:szCs w:val="16"/>
                <w:lang w:bidi="th-TH"/>
              </w:rPr>
            </w:pPr>
            <w:r>
              <w:rPr>
                <w:rFonts w:cs="Arial"/>
                <w:sz w:val="16"/>
                <w:szCs w:val="16"/>
                <w:lang w:bidi="th-TH"/>
              </w:rPr>
              <w:t>Program 24</w:t>
            </w:r>
          </w:p>
        </w:tc>
        <w:tc>
          <w:tcPr>
            <w:tcW w:w="461" w:type="pct"/>
            <w:shd w:val="clear" w:color="auto" w:fill="FFFFFF"/>
          </w:tcPr>
          <w:p w:rsidR="005A0381" w:rsidRPr="00CC3F44" w:rsidRDefault="005A0381" w:rsidP="00547ACE">
            <w:pPr>
              <w:jc w:val="center"/>
            </w:pPr>
            <w:r w:rsidRPr="00CC3F44">
              <w:rPr>
                <w:rFonts w:cs="Arial"/>
                <w:color w:val="FF0000"/>
                <w:sz w:val="22"/>
                <w:szCs w:val="22"/>
              </w:rPr>
              <w:sym w:font="Wingdings" w:char="F06C"/>
            </w:r>
          </w:p>
        </w:tc>
      </w:tr>
      <w:tr w:rsidR="005A0381" w:rsidRPr="00AF5E7C" w:rsidTr="00547ACE">
        <w:trPr>
          <w:cantSplit/>
          <w:trHeight w:val="335"/>
        </w:trPr>
        <w:tc>
          <w:tcPr>
            <w:tcW w:w="1513" w:type="pct"/>
            <w:vMerge/>
            <w:shd w:val="clear" w:color="auto" w:fill="auto"/>
            <w:tcMar>
              <w:top w:w="113" w:type="dxa"/>
              <w:bottom w:w="85" w:type="dxa"/>
            </w:tcMar>
          </w:tcPr>
          <w:p w:rsidR="005A0381" w:rsidRPr="00AF5E7C" w:rsidRDefault="005A0381" w:rsidP="00547ACE">
            <w:pPr>
              <w:rPr>
                <w:rFonts w:cs="Arial"/>
                <w:sz w:val="16"/>
                <w:szCs w:val="16"/>
              </w:rPr>
            </w:pPr>
          </w:p>
        </w:tc>
        <w:tc>
          <w:tcPr>
            <w:tcW w:w="2131" w:type="pct"/>
            <w:shd w:val="clear" w:color="auto" w:fill="auto"/>
            <w:tcMar>
              <w:top w:w="113" w:type="dxa"/>
              <w:bottom w:w="85" w:type="dxa"/>
            </w:tcMar>
          </w:tcPr>
          <w:p w:rsidR="005A0381" w:rsidRPr="006A3FC3" w:rsidRDefault="005A0381" w:rsidP="00547ACE">
            <w:pPr>
              <w:rPr>
                <w:color w:val="000000"/>
                <w:sz w:val="16"/>
                <w:szCs w:val="16"/>
              </w:rPr>
            </w:pPr>
            <w:r>
              <w:rPr>
                <w:color w:val="000000"/>
                <w:sz w:val="16"/>
                <w:szCs w:val="16"/>
              </w:rPr>
              <w:t xml:space="preserve">Reduced impact of WIPO buildings on the environment </w:t>
            </w:r>
          </w:p>
        </w:tc>
        <w:tc>
          <w:tcPr>
            <w:tcW w:w="895" w:type="pct"/>
            <w:shd w:val="clear" w:color="auto" w:fill="FFFFFF"/>
            <w:tcMar>
              <w:top w:w="113" w:type="dxa"/>
              <w:bottom w:w="85" w:type="dxa"/>
            </w:tcMar>
          </w:tcPr>
          <w:p w:rsidR="005A0381" w:rsidRDefault="005A0381" w:rsidP="00547ACE">
            <w:pPr>
              <w:jc w:val="center"/>
              <w:rPr>
                <w:rFonts w:cs="Arial"/>
                <w:sz w:val="16"/>
                <w:szCs w:val="16"/>
                <w:lang w:bidi="th-TH"/>
              </w:rPr>
            </w:pPr>
            <w:r>
              <w:rPr>
                <w:rFonts w:cs="Arial"/>
                <w:sz w:val="16"/>
                <w:szCs w:val="16"/>
                <w:lang w:bidi="th-TH"/>
              </w:rPr>
              <w:t>Program 24</w:t>
            </w:r>
          </w:p>
        </w:tc>
        <w:tc>
          <w:tcPr>
            <w:tcW w:w="461" w:type="pct"/>
            <w:shd w:val="clear" w:color="auto" w:fill="FFFFFF"/>
          </w:tcPr>
          <w:p w:rsidR="005A0381" w:rsidRPr="00CC3F44" w:rsidRDefault="005A0381" w:rsidP="00547ACE">
            <w:pPr>
              <w:jc w:val="center"/>
              <w:rPr>
                <w:rFonts w:cs="Arial"/>
                <w:color w:val="A6A6A6" w:themeColor="background1" w:themeShade="A6"/>
                <w:sz w:val="22"/>
                <w:szCs w:val="22"/>
              </w:rPr>
            </w:pPr>
            <w:r w:rsidRPr="00CC3F44">
              <w:rPr>
                <w:rFonts w:cs="Arial"/>
                <w:color w:val="008000"/>
                <w:sz w:val="22"/>
                <w:szCs w:val="22"/>
              </w:rPr>
              <w:sym w:font="Wingdings" w:char="F06C"/>
            </w:r>
          </w:p>
        </w:tc>
      </w:tr>
      <w:tr w:rsidR="005A0381" w:rsidRPr="00AF5E7C" w:rsidTr="00547ACE">
        <w:trPr>
          <w:cantSplit/>
          <w:trHeight w:val="335"/>
        </w:trPr>
        <w:tc>
          <w:tcPr>
            <w:tcW w:w="1513" w:type="pct"/>
            <w:vMerge/>
            <w:shd w:val="clear" w:color="auto" w:fill="auto"/>
            <w:tcMar>
              <w:top w:w="113" w:type="dxa"/>
              <w:bottom w:w="85" w:type="dxa"/>
            </w:tcMar>
          </w:tcPr>
          <w:p w:rsidR="005A0381" w:rsidRPr="00AF5E7C" w:rsidRDefault="005A0381" w:rsidP="00547ACE">
            <w:pPr>
              <w:rPr>
                <w:rFonts w:cs="Arial"/>
                <w:sz w:val="16"/>
                <w:szCs w:val="16"/>
              </w:rPr>
            </w:pPr>
          </w:p>
        </w:tc>
        <w:tc>
          <w:tcPr>
            <w:tcW w:w="2131" w:type="pct"/>
            <w:shd w:val="clear" w:color="auto" w:fill="auto"/>
            <w:tcMar>
              <w:top w:w="113" w:type="dxa"/>
              <w:bottom w:w="85" w:type="dxa"/>
            </w:tcMar>
          </w:tcPr>
          <w:p w:rsidR="005A0381" w:rsidRPr="00366144" w:rsidRDefault="005A0381" w:rsidP="00547ACE">
            <w:pPr>
              <w:rPr>
                <w:color w:val="000000"/>
                <w:sz w:val="16"/>
                <w:szCs w:val="16"/>
              </w:rPr>
            </w:pPr>
            <w:r>
              <w:rPr>
                <w:color w:val="000000"/>
                <w:sz w:val="16"/>
                <w:szCs w:val="16"/>
              </w:rPr>
              <w:t xml:space="preserve">WIPO premises comply with </w:t>
            </w:r>
            <w:r w:rsidRPr="00366144">
              <w:rPr>
                <w:rFonts w:cs="Arial"/>
                <w:sz w:val="16"/>
                <w:szCs w:val="16"/>
                <w:lang w:bidi="th-TH"/>
              </w:rPr>
              <w:t>recommendations in 2009 audit by Institute of Safety and Security (Neuchatel)</w:t>
            </w:r>
            <w:r>
              <w:rPr>
                <w:rFonts w:cs="Arial"/>
                <w:sz w:val="16"/>
                <w:szCs w:val="16"/>
                <w:lang w:bidi="th-TH"/>
              </w:rPr>
              <w:t xml:space="preserve"> </w:t>
            </w:r>
            <w:r w:rsidRPr="00366144">
              <w:rPr>
                <w:color w:val="000000"/>
                <w:sz w:val="16"/>
                <w:szCs w:val="16"/>
              </w:rPr>
              <w:t>and UN H-MOSS peripheral security measures</w:t>
            </w:r>
          </w:p>
        </w:tc>
        <w:tc>
          <w:tcPr>
            <w:tcW w:w="895" w:type="pct"/>
            <w:shd w:val="clear" w:color="auto" w:fill="FFFFFF"/>
            <w:tcMar>
              <w:top w:w="113" w:type="dxa"/>
              <w:bottom w:w="85" w:type="dxa"/>
            </w:tcMar>
          </w:tcPr>
          <w:p w:rsidR="005A0381" w:rsidRDefault="005A0381" w:rsidP="00547ACE">
            <w:pPr>
              <w:jc w:val="center"/>
              <w:rPr>
                <w:rFonts w:cs="Arial"/>
                <w:sz w:val="16"/>
                <w:szCs w:val="16"/>
                <w:lang w:bidi="th-TH"/>
              </w:rPr>
            </w:pPr>
            <w:r>
              <w:rPr>
                <w:rFonts w:cs="Arial"/>
                <w:sz w:val="16"/>
                <w:szCs w:val="16"/>
                <w:lang w:bidi="th-TH"/>
              </w:rPr>
              <w:t>Program 24</w:t>
            </w:r>
          </w:p>
        </w:tc>
        <w:tc>
          <w:tcPr>
            <w:tcW w:w="461" w:type="pct"/>
            <w:shd w:val="clear" w:color="auto" w:fill="FFFFFF"/>
          </w:tcPr>
          <w:p w:rsidR="005A0381" w:rsidRPr="00CC3F44" w:rsidRDefault="005A0381" w:rsidP="00547ACE">
            <w:pPr>
              <w:jc w:val="center"/>
            </w:pPr>
            <w:r w:rsidRPr="00CC3F44">
              <w:rPr>
                <w:rFonts w:cs="Arial"/>
                <w:color w:val="008000"/>
                <w:sz w:val="22"/>
                <w:szCs w:val="22"/>
              </w:rPr>
              <w:sym w:font="Wingdings" w:char="F06C"/>
            </w:r>
          </w:p>
        </w:tc>
      </w:tr>
      <w:tr w:rsidR="005A0381" w:rsidRPr="00AF5E7C" w:rsidTr="00547ACE">
        <w:trPr>
          <w:cantSplit/>
          <w:trHeight w:val="335"/>
        </w:trPr>
        <w:tc>
          <w:tcPr>
            <w:tcW w:w="1513" w:type="pct"/>
            <w:shd w:val="clear" w:color="auto" w:fill="auto"/>
            <w:tcMar>
              <w:top w:w="113" w:type="dxa"/>
              <w:bottom w:w="85" w:type="dxa"/>
            </w:tcMar>
          </w:tcPr>
          <w:p w:rsidR="005A0381" w:rsidRPr="00AF5E7C" w:rsidRDefault="005A0381" w:rsidP="00547ACE">
            <w:pPr>
              <w:rPr>
                <w:rFonts w:cs="Arial"/>
                <w:sz w:val="16"/>
                <w:szCs w:val="16"/>
              </w:rPr>
            </w:pPr>
          </w:p>
        </w:tc>
        <w:tc>
          <w:tcPr>
            <w:tcW w:w="2131" w:type="pct"/>
            <w:shd w:val="clear" w:color="auto" w:fill="auto"/>
            <w:tcMar>
              <w:top w:w="113" w:type="dxa"/>
              <w:bottom w:w="85" w:type="dxa"/>
            </w:tcMar>
          </w:tcPr>
          <w:p w:rsidR="005A0381" w:rsidRPr="00A12622" w:rsidRDefault="005A0381" w:rsidP="00547ACE">
            <w:pPr>
              <w:rPr>
                <w:color w:val="000000"/>
                <w:sz w:val="16"/>
                <w:szCs w:val="16"/>
              </w:rPr>
            </w:pPr>
            <w:r w:rsidRPr="00A12622">
              <w:rPr>
                <w:color w:val="000000"/>
                <w:sz w:val="16"/>
                <w:szCs w:val="16"/>
              </w:rPr>
              <w:t>Information security is reinforced to protect against increasing attacks on the Internet</w:t>
            </w:r>
          </w:p>
        </w:tc>
        <w:tc>
          <w:tcPr>
            <w:tcW w:w="895" w:type="pct"/>
            <w:shd w:val="clear" w:color="auto" w:fill="FFFFFF"/>
            <w:tcMar>
              <w:top w:w="113" w:type="dxa"/>
              <w:bottom w:w="85" w:type="dxa"/>
            </w:tcMar>
          </w:tcPr>
          <w:p w:rsidR="005A0381" w:rsidRPr="003325B8" w:rsidRDefault="005A0381" w:rsidP="00547ACE">
            <w:pPr>
              <w:jc w:val="center"/>
              <w:rPr>
                <w:rFonts w:cs="Arial"/>
                <w:sz w:val="16"/>
                <w:szCs w:val="16"/>
                <w:lang w:bidi="th-TH"/>
              </w:rPr>
            </w:pPr>
            <w:r w:rsidRPr="00375290">
              <w:rPr>
                <w:rFonts w:cs="Arial"/>
                <w:sz w:val="16"/>
                <w:szCs w:val="16"/>
                <w:lang w:bidi="th-TH"/>
              </w:rPr>
              <w:t>Program 2</w:t>
            </w:r>
            <w:r>
              <w:rPr>
                <w:rFonts w:cs="Arial"/>
                <w:sz w:val="16"/>
                <w:szCs w:val="16"/>
                <w:lang w:bidi="th-TH"/>
              </w:rPr>
              <w:t>5</w:t>
            </w:r>
          </w:p>
        </w:tc>
        <w:tc>
          <w:tcPr>
            <w:tcW w:w="461" w:type="pct"/>
            <w:shd w:val="clear" w:color="auto" w:fill="FFFFFF"/>
          </w:tcPr>
          <w:p w:rsidR="005A0381" w:rsidRPr="00CC3F44" w:rsidRDefault="005A0381" w:rsidP="00547ACE">
            <w:pPr>
              <w:jc w:val="center"/>
              <w:rPr>
                <w:rFonts w:cs="Arial"/>
                <w:color w:val="A6A6A6" w:themeColor="background1" w:themeShade="A6"/>
                <w:sz w:val="22"/>
                <w:szCs w:val="22"/>
              </w:rPr>
            </w:pPr>
            <w:r w:rsidRPr="00CC3F44">
              <w:rPr>
                <w:rFonts w:cs="Arial"/>
                <w:color w:val="008000"/>
                <w:sz w:val="22"/>
                <w:szCs w:val="22"/>
              </w:rPr>
              <w:sym w:font="Wingdings" w:char="F06C"/>
            </w:r>
          </w:p>
        </w:tc>
      </w:tr>
      <w:tr w:rsidR="005A0381" w:rsidRPr="00AF5E7C" w:rsidTr="00547ACE">
        <w:trPr>
          <w:cantSplit/>
          <w:trHeight w:val="335"/>
        </w:trPr>
        <w:tc>
          <w:tcPr>
            <w:tcW w:w="1513" w:type="pct"/>
            <w:shd w:val="clear" w:color="auto" w:fill="auto"/>
            <w:tcMar>
              <w:top w:w="113" w:type="dxa"/>
              <w:bottom w:w="85" w:type="dxa"/>
            </w:tcMar>
          </w:tcPr>
          <w:p w:rsidR="005A0381" w:rsidRPr="00AF5E7C" w:rsidRDefault="005A0381" w:rsidP="00547ACE">
            <w:pPr>
              <w:rPr>
                <w:rFonts w:cs="Arial"/>
                <w:sz w:val="16"/>
                <w:szCs w:val="16"/>
              </w:rPr>
            </w:pPr>
          </w:p>
        </w:tc>
        <w:tc>
          <w:tcPr>
            <w:tcW w:w="2131" w:type="pct"/>
            <w:shd w:val="clear" w:color="auto" w:fill="auto"/>
            <w:tcMar>
              <w:top w:w="113" w:type="dxa"/>
              <w:bottom w:w="85" w:type="dxa"/>
            </w:tcMar>
          </w:tcPr>
          <w:p w:rsidR="005A0381" w:rsidRPr="00A12622" w:rsidRDefault="005A0381" w:rsidP="00547ACE">
            <w:pPr>
              <w:rPr>
                <w:color w:val="000000"/>
                <w:sz w:val="16"/>
                <w:szCs w:val="16"/>
              </w:rPr>
            </w:pPr>
            <w:r w:rsidRPr="00A12622">
              <w:rPr>
                <w:color w:val="000000"/>
                <w:sz w:val="16"/>
                <w:szCs w:val="16"/>
              </w:rPr>
              <w:t>Status of ISO 27001 Certification and Information Risk management processes</w:t>
            </w:r>
          </w:p>
        </w:tc>
        <w:tc>
          <w:tcPr>
            <w:tcW w:w="895" w:type="pct"/>
            <w:shd w:val="clear" w:color="auto" w:fill="FFFFFF"/>
            <w:tcMar>
              <w:top w:w="113" w:type="dxa"/>
              <w:bottom w:w="85" w:type="dxa"/>
            </w:tcMar>
          </w:tcPr>
          <w:p w:rsidR="005A0381" w:rsidRPr="003325B8" w:rsidRDefault="005A0381" w:rsidP="00547ACE">
            <w:pPr>
              <w:jc w:val="center"/>
              <w:rPr>
                <w:rFonts w:cs="Arial"/>
                <w:sz w:val="16"/>
                <w:szCs w:val="16"/>
                <w:lang w:bidi="th-TH"/>
              </w:rPr>
            </w:pPr>
            <w:r w:rsidRPr="00375290">
              <w:rPr>
                <w:rFonts w:cs="Arial"/>
                <w:sz w:val="16"/>
                <w:szCs w:val="16"/>
                <w:lang w:bidi="th-TH"/>
              </w:rPr>
              <w:t>Program 2</w:t>
            </w:r>
            <w:r>
              <w:rPr>
                <w:rFonts w:cs="Arial"/>
                <w:sz w:val="16"/>
                <w:szCs w:val="16"/>
                <w:lang w:bidi="th-TH"/>
              </w:rPr>
              <w:t>5</w:t>
            </w:r>
          </w:p>
        </w:tc>
        <w:tc>
          <w:tcPr>
            <w:tcW w:w="461" w:type="pct"/>
            <w:shd w:val="clear" w:color="auto" w:fill="FFFFFF"/>
          </w:tcPr>
          <w:p w:rsidR="005A0381" w:rsidRPr="00CC3F44" w:rsidRDefault="005A0381" w:rsidP="00547ACE">
            <w:pPr>
              <w:jc w:val="center"/>
            </w:pPr>
            <w:r w:rsidRPr="00CC3F44">
              <w:rPr>
                <w:rFonts w:cs="Arial"/>
                <w:color w:val="008000"/>
                <w:sz w:val="22"/>
                <w:szCs w:val="22"/>
              </w:rPr>
              <w:sym w:font="Wingdings" w:char="F06C"/>
            </w:r>
            <w:r w:rsidRPr="00CC3F44">
              <w:rPr>
                <w:rFonts w:cs="Arial"/>
                <w:color w:val="008000"/>
                <w:sz w:val="22"/>
                <w:szCs w:val="22"/>
              </w:rPr>
              <w:sym w:font="Wingdings" w:char="F06C"/>
            </w:r>
            <w:r w:rsidRPr="00CC3F44">
              <w:rPr>
                <w:rFonts w:cs="Arial"/>
                <w:color w:val="008000"/>
                <w:sz w:val="22"/>
                <w:szCs w:val="22"/>
              </w:rPr>
              <w:sym w:font="Wingdings" w:char="F06C"/>
            </w:r>
          </w:p>
        </w:tc>
      </w:tr>
      <w:tr w:rsidR="005A0381" w:rsidRPr="00AF5E7C" w:rsidTr="00547ACE">
        <w:trPr>
          <w:cantSplit/>
          <w:trHeight w:val="335"/>
        </w:trPr>
        <w:tc>
          <w:tcPr>
            <w:tcW w:w="1513" w:type="pct"/>
            <w:shd w:val="clear" w:color="auto" w:fill="auto"/>
            <w:tcMar>
              <w:top w:w="113" w:type="dxa"/>
              <w:bottom w:w="85" w:type="dxa"/>
            </w:tcMar>
          </w:tcPr>
          <w:p w:rsidR="005A0381" w:rsidRPr="00AF5E7C" w:rsidRDefault="005A0381" w:rsidP="00547ACE">
            <w:pPr>
              <w:rPr>
                <w:rFonts w:cs="Arial"/>
                <w:sz w:val="16"/>
                <w:szCs w:val="16"/>
              </w:rPr>
            </w:pPr>
          </w:p>
        </w:tc>
        <w:tc>
          <w:tcPr>
            <w:tcW w:w="2131" w:type="pct"/>
            <w:shd w:val="clear" w:color="auto" w:fill="auto"/>
            <w:tcMar>
              <w:top w:w="113" w:type="dxa"/>
              <w:bottom w:w="85" w:type="dxa"/>
            </w:tcMar>
          </w:tcPr>
          <w:p w:rsidR="005A0381" w:rsidRPr="00A12622" w:rsidRDefault="005A0381" w:rsidP="00547ACE">
            <w:pPr>
              <w:rPr>
                <w:color w:val="000000"/>
                <w:sz w:val="16"/>
                <w:szCs w:val="16"/>
              </w:rPr>
            </w:pPr>
            <w:r w:rsidRPr="00A12622">
              <w:rPr>
                <w:color w:val="000000"/>
                <w:sz w:val="16"/>
                <w:szCs w:val="16"/>
              </w:rPr>
              <w:t>Effectiveness of Information Security controls (internal and external facing)</w:t>
            </w:r>
          </w:p>
        </w:tc>
        <w:tc>
          <w:tcPr>
            <w:tcW w:w="895" w:type="pct"/>
            <w:shd w:val="clear" w:color="auto" w:fill="FFFFFF"/>
            <w:tcMar>
              <w:top w:w="113" w:type="dxa"/>
              <w:bottom w:w="85" w:type="dxa"/>
            </w:tcMar>
          </w:tcPr>
          <w:p w:rsidR="005A0381" w:rsidRPr="003325B8" w:rsidRDefault="005A0381" w:rsidP="00547ACE">
            <w:pPr>
              <w:jc w:val="center"/>
              <w:rPr>
                <w:rFonts w:cs="Arial"/>
                <w:sz w:val="16"/>
                <w:szCs w:val="16"/>
                <w:lang w:bidi="th-TH"/>
              </w:rPr>
            </w:pPr>
            <w:r w:rsidRPr="00375290">
              <w:rPr>
                <w:rFonts w:cs="Arial"/>
                <w:sz w:val="16"/>
                <w:szCs w:val="16"/>
                <w:lang w:bidi="th-TH"/>
              </w:rPr>
              <w:t>Program 2</w:t>
            </w:r>
            <w:r>
              <w:rPr>
                <w:rFonts w:cs="Arial"/>
                <w:sz w:val="16"/>
                <w:szCs w:val="16"/>
                <w:lang w:bidi="th-TH"/>
              </w:rPr>
              <w:t>5</w:t>
            </w:r>
          </w:p>
        </w:tc>
        <w:tc>
          <w:tcPr>
            <w:tcW w:w="461" w:type="pct"/>
            <w:shd w:val="clear" w:color="auto" w:fill="FFFFFF"/>
          </w:tcPr>
          <w:p w:rsidR="005A0381" w:rsidRPr="00CC3F44" w:rsidRDefault="005A0381" w:rsidP="00547ACE">
            <w:pPr>
              <w:jc w:val="center"/>
              <w:rPr>
                <w:rFonts w:cs="Arial"/>
                <w:color w:val="A6A6A6" w:themeColor="background1" w:themeShade="A6"/>
                <w:sz w:val="22"/>
                <w:szCs w:val="22"/>
              </w:rPr>
            </w:pPr>
            <w:r w:rsidRPr="00CC3F44">
              <w:rPr>
                <w:rFonts w:cs="Arial"/>
                <w:color w:val="008000"/>
                <w:sz w:val="22"/>
                <w:szCs w:val="22"/>
              </w:rPr>
              <w:sym w:font="Wingdings" w:char="F06C"/>
            </w:r>
          </w:p>
        </w:tc>
      </w:tr>
      <w:tr w:rsidR="005A0381" w:rsidRPr="00AF5E7C" w:rsidTr="00547ACE">
        <w:trPr>
          <w:cantSplit/>
          <w:trHeight w:val="335"/>
        </w:trPr>
        <w:tc>
          <w:tcPr>
            <w:tcW w:w="1513" w:type="pct"/>
            <w:shd w:val="clear" w:color="auto" w:fill="auto"/>
            <w:tcMar>
              <w:top w:w="113" w:type="dxa"/>
              <w:bottom w:w="85" w:type="dxa"/>
            </w:tcMar>
          </w:tcPr>
          <w:p w:rsidR="005A0381" w:rsidRPr="00AF5E7C" w:rsidRDefault="005A0381" w:rsidP="00547ACE">
            <w:pPr>
              <w:rPr>
                <w:rFonts w:cs="Arial"/>
                <w:sz w:val="16"/>
                <w:szCs w:val="16"/>
              </w:rPr>
            </w:pPr>
          </w:p>
        </w:tc>
        <w:tc>
          <w:tcPr>
            <w:tcW w:w="2131" w:type="pct"/>
            <w:shd w:val="clear" w:color="auto" w:fill="auto"/>
            <w:tcMar>
              <w:top w:w="113" w:type="dxa"/>
              <w:bottom w:w="85" w:type="dxa"/>
            </w:tcMar>
          </w:tcPr>
          <w:p w:rsidR="005A0381" w:rsidRPr="00592A10" w:rsidRDefault="005A0381" w:rsidP="00547ACE">
            <w:pPr>
              <w:rPr>
                <w:rFonts w:cs="Arial"/>
                <w:sz w:val="16"/>
                <w:szCs w:val="16"/>
              </w:rPr>
            </w:pPr>
            <w:r w:rsidRPr="00592A10">
              <w:rPr>
                <w:rFonts w:cs="Arial"/>
                <w:sz w:val="16"/>
                <w:szCs w:val="16"/>
              </w:rPr>
              <w:t>% of WIPO staff, delegates &amp; visitors reporting a work related injury or incident</w:t>
            </w:r>
          </w:p>
        </w:tc>
        <w:tc>
          <w:tcPr>
            <w:tcW w:w="895" w:type="pct"/>
            <w:shd w:val="clear" w:color="auto" w:fill="FFFFFF"/>
            <w:tcMar>
              <w:top w:w="113" w:type="dxa"/>
              <w:bottom w:w="85" w:type="dxa"/>
            </w:tcMar>
          </w:tcPr>
          <w:p w:rsidR="005A0381" w:rsidRPr="00AF5E7C" w:rsidRDefault="005A0381" w:rsidP="00547ACE">
            <w:pPr>
              <w:jc w:val="center"/>
              <w:rPr>
                <w:rFonts w:cs="Arial"/>
                <w:sz w:val="16"/>
                <w:szCs w:val="16"/>
                <w:lang w:bidi="th-TH"/>
              </w:rPr>
            </w:pPr>
            <w:r>
              <w:rPr>
                <w:rFonts w:cs="Arial"/>
                <w:sz w:val="16"/>
                <w:szCs w:val="16"/>
                <w:lang w:bidi="th-TH"/>
              </w:rPr>
              <w:t>Program 28</w:t>
            </w:r>
          </w:p>
        </w:tc>
        <w:tc>
          <w:tcPr>
            <w:tcW w:w="461" w:type="pct"/>
            <w:shd w:val="clear" w:color="auto" w:fill="FFFFFF"/>
          </w:tcPr>
          <w:p w:rsidR="005A0381" w:rsidRPr="00CC3F44" w:rsidRDefault="005A0381" w:rsidP="00547ACE">
            <w:pPr>
              <w:jc w:val="center"/>
            </w:pPr>
            <w:r w:rsidRPr="00CC3F44">
              <w:rPr>
                <w:rFonts w:cs="Arial"/>
                <w:color w:val="008000"/>
                <w:sz w:val="22"/>
                <w:szCs w:val="22"/>
              </w:rPr>
              <w:sym w:font="Wingdings" w:char="F06C"/>
            </w:r>
          </w:p>
        </w:tc>
      </w:tr>
      <w:tr w:rsidR="005A0381" w:rsidRPr="00AF5E7C" w:rsidTr="00547ACE">
        <w:trPr>
          <w:cantSplit/>
          <w:trHeight w:val="335"/>
        </w:trPr>
        <w:tc>
          <w:tcPr>
            <w:tcW w:w="1513" w:type="pct"/>
            <w:shd w:val="clear" w:color="auto" w:fill="auto"/>
            <w:tcMar>
              <w:top w:w="113" w:type="dxa"/>
              <w:bottom w:w="85" w:type="dxa"/>
            </w:tcMar>
          </w:tcPr>
          <w:p w:rsidR="005A0381" w:rsidRPr="00AF5E7C" w:rsidRDefault="005A0381" w:rsidP="00547ACE">
            <w:pPr>
              <w:rPr>
                <w:rFonts w:cs="Arial"/>
                <w:sz w:val="16"/>
                <w:szCs w:val="16"/>
              </w:rPr>
            </w:pPr>
          </w:p>
        </w:tc>
        <w:tc>
          <w:tcPr>
            <w:tcW w:w="2131" w:type="pct"/>
            <w:shd w:val="clear" w:color="auto" w:fill="auto"/>
            <w:tcMar>
              <w:top w:w="113" w:type="dxa"/>
              <w:bottom w:w="85" w:type="dxa"/>
            </w:tcMar>
          </w:tcPr>
          <w:p w:rsidR="005A0381" w:rsidRPr="00592A10" w:rsidRDefault="005A0381" w:rsidP="00547ACE">
            <w:pPr>
              <w:rPr>
                <w:rFonts w:cs="Arial"/>
                <w:sz w:val="16"/>
                <w:szCs w:val="16"/>
              </w:rPr>
            </w:pPr>
            <w:r w:rsidRPr="00592A10">
              <w:rPr>
                <w:rFonts w:cs="Arial"/>
                <w:sz w:val="16"/>
                <w:szCs w:val="16"/>
              </w:rPr>
              <w:t>% of timely requests for safety &amp; security assistance at conferences or events held in or outside of Geneva</w:t>
            </w:r>
          </w:p>
        </w:tc>
        <w:tc>
          <w:tcPr>
            <w:tcW w:w="895" w:type="pct"/>
            <w:shd w:val="clear" w:color="auto" w:fill="FFFFFF"/>
            <w:tcMar>
              <w:top w:w="113" w:type="dxa"/>
              <w:bottom w:w="85" w:type="dxa"/>
            </w:tcMar>
          </w:tcPr>
          <w:p w:rsidR="005A0381" w:rsidRPr="00AF5E7C" w:rsidRDefault="005A0381" w:rsidP="00547ACE">
            <w:pPr>
              <w:jc w:val="center"/>
              <w:rPr>
                <w:rFonts w:cs="Arial"/>
                <w:sz w:val="16"/>
                <w:szCs w:val="16"/>
                <w:lang w:bidi="th-TH"/>
              </w:rPr>
            </w:pPr>
            <w:r>
              <w:rPr>
                <w:rFonts w:cs="Arial"/>
                <w:sz w:val="16"/>
                <w:szCs w:val="16"/>
                <w:lang w:bidi="th-TH"/>
              </w:rPr>
              <w:t>Program 28</w:t>
            </w:r>
          </w:p>
        </w:tc>
        <w:tc>
          <w:tcPr>
            <w:tcW w:w="461" w:type="pct"/>
            <w:shd w:val="clear" w:color="auto" w:fill="FFFFFF"/>
          </w:tcPr>
          <w:p w:rsidR="005A0381" w:rsidRPr="00CC3F44" w:rsidRDefault="005A0381" w:rsidP="00547ACE">
            <w:pPr>
              <w:jc w:val="center"/>
              <w:rPr>
                <w:rFonts w:cs="Arial"/>
                <w:color w:val="A6A6A6" w:themeColor="background1" w:themeShade="A6"/>
                <w:sz w:val="22"/>
                <w:szCs w:val="22"/>
              </w:rPr>
            </w:pPr>
            <w:r w:rsidRPr="00CC3F44">
              <w:rPr>
                <w:rFonts w:cs="Arial"/>
                <w:color w:val="008000"/>
                <w:sz w:val="22"/>
                <w:szCs w:val="22"/>
              </w:rPr>
              <w:sym w:font="Wingdings" w:char="F06C"/>
            </w:r>
          </w:p>
        </w:tc>
      </w:tr>
      <w:tr w:rsidR="005A0381" w:rsidRPr="00AF5E7C" w:rsidTr="00547ACE">
        <w:trPr>
          <w:cantSplit/>
          <w:trHeight w:val="335"/>
        </w:trPr>
        <w:tc>
          <w:tcPr>
            <w:tcW w:w="1513" w:type="pct"/>
            <w:shd w:val="clear" w:color="auto" w:fill="auto"/>
            <w:tcMar>
              <w:top w:w="113" w:type="dxa"/>
              <w:bottom w:w="85" w:type="dxa"/>
            </w:tcMar>
          </w:tcPr>
          <w:p w:rsidR="005A0381" w:rsidRPr="00AF5E7C" w:rsidRDefault="005A0381" w:rsidP="00547ACE">
            <w:pPr>
              <w:rPr>
                <w:rFonts w:cs="Arial"/>
                <w:sz w:val="16"/>
                <w:szCs w:val="16"/>
              </w:rPr>
            </w:pPr>
          </w:p>
        </w:tc>
        <w:tc>
          <w:tcPr>
            <w:tcW w:w="2131" w:type="pct"/>
            <w:shd w:val="clear" w:color="auto" w:fill="auto"/>
            <w:tcMar>
              <w:top w:w="113" w:type="dxa"/>
              <w:bottom w:w="85" w:type="dxa"/>
            </w:tcMar>
          </w:tcPr>
          <w:p w:rsidR="005A0381" w:rsidRPr="00A4590B" w:rsidRDefault="005A0381" w:rsidP="00547ACE">
            <w:pPr>
              <w:rPr>
                <w:rFonts w:cs="Arial"/>
                <w:sz w:val="16"/>
                <w:szCs w:val="16"/>
              </w:rPr>
            </w:pPr>
            <w:r w:rsidRPr="00A4590B">
              <w:rPr>
                <w:rFonts w:cs="Arial"/>
                <w:sz w:val="16"/>
                <w:szCs w:val="16"/>
              </w:rPr>
              <w:t>Monitoring of physical accessibility measures ensuring that the new conference hall and related facilities are in full compliance with the applicable standards during construction</w:t>
            </w:r>
          </w:p>
        </w:tc>
        <w:tc>
          <w:tcPr>
            <w:tcW w:w="895" w:type="pct"/>
            <w:shd w:val="clear" w:color="auto" w:fill="FFFFFF"/>
            <w:tcMar>
              <w:top w:w="113" w:type="dxa"/>
              <w:bottom w:w="85" w:type="dxa"/>
            </w:tcMar>
          </w:tcPr>
          <w:p w:rsidR="005A0381" w:rsidRPr="00AF5E7C" w:rsidRDefault="005A0381" w:rsidP="00547ACE">
            <w:pPr>
              <w:jc w:val="center"/>
              <w:rPr>
                <w:rFonts w:cs="Arial"/>
                <w:sz w:val="16"/>
                <w:szCs w:val="16"/>
                <w:lang w:bidi="th-TH"/>
              </w:rPr>
            </w:pPr>
            <w:r>
              <w:rPr>
                <w:rFonts w:cs="Arial"/>
                <w:sz w:val="16"/>
                <w:szCs w:val="16"/>
                <w:lang w:bidi="th-TH"/>
              </w:rPr>
              <w:t>Program 29</w:t>
            </w:r>
          </w:p>
        </w:tc>
        <w:tc>
          <w:tcPr>
            <w:tcW w:w="461" w:type="pct"/>
            <w:shd w:val="clear" w:color="auto" w:fill="FFFFFF"/>
          </w:tcPr>
          <w:p w:rsidR="005A0381" w:rsidRPr="00CC3F44" w:rsidRDefault="005A0381" w:rsidP="00547ACE">
            <w:pPr>
              <w:jc w:val="center"/>
            </w:pPr>
            <w:r w:rsidRPr="00CC3F44">
              <w:rPr>
                <w:rFonts w:cs="Arial"/>
                <w:color w:val="A6A6A6"/>
                <w:sz w:val="22"/>
                <w:szCs w:val="22"/>
              </w:rPr>
              <w:sym w:font="Wingdings" w:char="F06C"/>
            </w:r>
          </w:p>
        </w:tc>
      </w:tr>
      <w:tr w:rsidR="005A0381" w:rsidRPr="00AF5E7C" w:rsidTr="00547ACE">
        <w:trPr>
          <w:cantSplit/>
          <w:trHeight w:val="335"/>
        </w:trPr>
        <w:tc>
          <w:tcPr>
            <w:tcW w:w="1513" w:type="pct"/>
            <w:shd w:val="clear" w:color="auto" w:fill="auto"/>
            <w:tcMar>
              <w:top w:w="113" w:type="dxa"/>
              <w:bottom w:w="85" w:type="dxa"/>
            </w:tcMar>
          </w:tcPr>
          <w:p w:rsidR="005A0381" w:rsidRPr="00AF5E7C" w:rsidRDefault="005A0381" w:rsidP="00547ACE">
            <w:pPr>
              <w:rPr>
                <w:rFonts w:cs="Arial"/>
                <w:sz w:val="16"/>
                <w:szCs w:val="16"/>
              </w:rPr>
            </w:pPr>
          </w:p>
        </w:tc>
        <w:tc>
          <w:tcPr>
            <w:tcW w:w="2131" w:type="pct"/>
            <w:shd w:val="clear" w:color="auto" w:fill="auto"/>
            <w:tcMar>
              <w:top w:w="113" w:type="dxa"/>
              <w:bottom w:w="85" w:type="dxa"/>
            </w:tcMar>
          </w:tcPr>
          <w:p w:rsidR="005A0381" w:rsidRPr="00A4590B" w:rsidRDefault="005A0381" w:rsidP="00547ACE">
            <w:pPr>
              <w:rPr>
                <w:rFonts w:cs="Arial"/>
                <w:sz w:val="16"/>
                <w:szCs w:val="16"/>
              </w:rPr>
            </w:pPr>
            <w:r w:rsidRPr="00A4590B">
              <w:rPr>
                <w:rFonts w:cs="Arial"/>
                <w:sz w:val="16"/>
                <w:szCs w:val="16"/>
              </w:rPr>
              <w:t>Monitoring of environmentally sound measures and energy consumption reduction measures implemented during construction</w:t>
            </w:r>
          </w:p>
        </w:tc>
        <w:tc>
          <w:tcPr>
            <w:tcW w:w="895" w:type="pct"/>
            <w:shd w:val="clear" w:color="auto" w:fill="FFFFFF"/>
            <w:tcMar>
              <w:top w:w="113" w:type="dxa"/>
              <w:bottom w:w="85" w:type="dxa"/>
            </w:tcMar>
          </w:tcPr>
          <w:p w:rsidR="005A0381" w:rsidRPr="00AF5E7C" w:rsidRDefault="005A0381" w:rsidP="00547ACE">
            <w:pPr>
              <w:jc w:val="center"/>
              <w:rPr>
                <w:rFonts w:cs="Arial"/>
                <w:sz w:val="16"/>
                <w:szCs w:val="16"/>
                <w:lang w:bidi="th-TH"/>
              </w:rPr>
            </w:pPr>
            <w:r>
              <w:rPr>
                <w:rFonts w:cs="Arial"/>
                <w:sz w:val="16"/>
                <w:szCs w:val="16"/>
                <w:lang w:bidi="th-TH"/>
              </w:rPr>
              <w:t>Program 29</w:t>
            </w:r>
          </w:p>
        </w:tc>
        <w:tc>
          <w:tcPr>
            <w:tcW w:w="461" w:type="pct"/>
            <w:shd w:val="clear" w:color="auto" w:fill="FFFFFF"/>
          </w:tcPr>
          <w:p w:rsidR="005A0381" w:rsidRPr="00CC3F44" w:rsidRDefault="005A0381" w:rsidP="00547ACE">
            <w:pPr>
              <w:jc w:val="center"/>
              <w:rPr>
                <w:rFonts w:cs="Arial"/>
                <w:color w:val="A6A6A6" w:themeColor="background1" w:themeShade="A6"/>
                <w:sz w:val="22"/>
                <w:szCs w:val="22"/>
              </w:rPr>
            </w:pPr>
            <w:r w:rsidRPr="00CC3F44">
              <w:rPr>
                <w:rFonts w:cs="Arial"/>
                <w:color w:val="A6A6A6"/>
                <w:sz w:val="22"/>
                <w:szCs w:val="22"/>
              </w:rPr>
              <w:sym w:font="Wingdings" w:char="F06C"/>
            </w:r>
          </w:p>
        </w:tc>
      </w:tr>
      <w:tr w:rsidR="005A0381" w:rsidRPr="00AF5E7C" w:rsidTr="00547ACE">
        <w:trPr>
          <w:cantSplit/>
          <w:trHeight w:val="335"/>
        </w:trPr>
        <w:tc>
          <w:tcPr>
            <w:tcW w:w="1513" w:type="pct"/>
            <w:shd w:val="clear" w:color="auto" w:fill="auto"/>
            <w:tcMar>
              <w:top w:w="113" w:type="dxa"/>
              <w:bottom w:w="85" w:type="dxa"/>
            </w:tcMar>
          </w:tcPr>
          <w:p w:rsidR="005A0381" w:rsidRPr="00AF5E7C" w:rsidRDefault="005A0381" w:rsidP="00547ACE">
            <w:pPr>
              <w:rPr>
                <w:rFonts w:cs="Arial"/>
                <w:sz w:val="16"/>
                <w:szCs w:val="16"/>
              </w:rPr>
            </w:pPr>
          </w:p>
        </w:tc>
        <w:tc>
          <w:tcPr>
            <w:tcW w:w="2131" w:type="pct"/>
            <w:shd w:val="clear" w:color="auto" w:fill="auto"/>
            <w:tcMar>
              <w:top w:w="113" w:type="dxa"/>
              <w:bottom w:w="85" w:type="dxa"/>
            </w:tcMar>
          </w:tcPr>
          <w:p w:rsidR="005A0381" w:rsidRPr="00A4590B" w:rsidRDefault="005A0381" w:rsidP="00547ACE">
            <w:pPr>
              <w:rPr>
                <w:rFonts w:cs="Arial"/>
                <w:sz w:val="16"/>
                <w:szCs w:val="16"/>
              </w:rPr>
            </w:pPr>
            <w:r w:rsidRPr="00A4590B">
              <w:rPr>
                <w:rFonts w:cs="Arial"/>
                <w:sz w:val="16"/>
                <w:szCs w:val="16"/>
              </w:rPr>
              <w:t>Completion of UN H-MOSS peripheral security measures for the new conference hall</w:t>
            </w:r>
          </w:p>
        </w:tc>
        <w:tc>
          <w:tcPr>
            <w:tcW w:w="895" w:type="pct"/>
            <w:shd w:val="clear" w:color="auto" w:fill="FFFFFF"/>
            <w:tcMar>
              <w:top w:w="113" w:type="dxa"/>
              <w:bottom w:w="85" w:type="dxa"/>
            </w:tcMar>
          </w:tcPr>
          <w:p w:rsidR="005A0381" w:rsidRPr="00AF5E7C" w:rsidRDefault="005A0381" w:rsidP="00547ACE">
            <w:pPr>
              <w:jc w:val="center"/>
              <w:rPr>
                <w:rFonts w:cs="Arial"/>
                <w:sz w:val="16"/>
                <w:szCs w:val="16"/>
                <w:lang w:bidi="th-TH"/>
              </w:rPr>
            </w:pPr>
            <w:r>
              <w:rPr>
                <w:rFonts w:cs="Arial"/>
                <w:sz w:val="16"/>
                <w:szCs w:val="16"/>
                <w:lang w:bidi="th-TH"/>
              </w:rPr>
              <w:t>Program 29</w:t>
            </w:r>
          </w:p>
        </w:tc>
        <w:tc>
          <w:tcPr>
            <w:tcW w:w="461" w:type="pct"/>
            <w:shd w:val="clear" w:color="auto" w:fill="FFFFFF"/>
          </w:tcPr>
          <w:p w:rsidR="005A0381" w:rsidRPr="00CC3F44" w:rsidRDefault="005A0381" w:rsidP="00547ACE">
            <w:pPr>
              <w:jc w:val="center"/>
            </w:pPr>
            <w:r w:rsidRPr="00CC3F44">
              <w:rPr>
                <w:rFonts w:cs="Arial"/>
                <w:color w:val="008000"/>
                <w:sz w:val="22"/>
                <w:szCs w:val="22"/>
              </w:rPr>
              <w:sym w:font="Wingdings" w:char="F06C"/>
            </w:r>
          </w:p>
        </w:tc>
      </w:tr>
      <w:tr w:rsidR="005A0381" w:rsidRPr="00AF5E7C" w:rsidTr="00547ACE">
        <w:trPr>
          <w:cantSplit/>
          <w:trHeight w:val="335"/>
        </w:trPr>
        <w:tc>
          <w:tcPr>
            <w:tcW w:w="1513" w:type="pct"/>
            <w:vMerge w:val="restart"/>
            <w:shd w:val="clear" w:color="auto" w:fill="auto"/>
            <w:tcMar>
              <w:top w:w="113" w:type="dxa"/>
              <w:bottom w:w="85" w:type="dxa"/>
            </w:tcMar>
          </w:tcPr>
          <w:p w:rsidR="005A0381" w:rsidRPr="00604261" w:rsidRDefault="005A0381" w:rsidP="00547ACE">
            <w:pPr>
              <w:rPr>
                <w:rFonts w:cs="Arial"/>
                <w:sz w:val="16"/>
                <w:szCs w:val="16"/>
              </w:rPr>
            </w:pPr>
            <w:r w:rsidRPr="00604261">
              <w:rPr>
                <w:rFonts w:cs="Arial"/>
                <w:sz w:val="16"/>
                <w:szCs w:val="16"/>
              </w:rPr>
              <w:t>IX.8</w:t>
            </w:r>
            <w:r>
              <w:rPr>
                <w:rFonts w:cs="Arial"/>
                <w:sz w:val="16"/>
                <w:szCs w:val="16"/>
              </w:rPr>
              <w:t xml:space="preserve">  </w:t>
            </w:r>
            <w:r w:rsidRPr="00604261">
              <w:rPr>
                <w:rFonts w:cs="Arial"/>
                <w:sz w:val="16"/>
                <w:szCs w:val="16"/>
              </w:rPr>
              <w:t>Improved accountability, organizational learning, value for money, stewardship, internal control and corporate governance through assistance from effective and independent oversight</w:t>
            </w:r>
          </w:p>
        </w:tc>
        <w:tc>
          <w:tcPr>
            <w:tcW w:w="2131" w:type="pct"/>
            <w:shd w:val="clear" w:color="auto" w:fill="auto"/>
            <w:tcMar>
              <w:top w:w="113" w:type="dxa"/>
              <w:bottom w:w="85" w:type="dxa"/>
            </w:tcMar>
          </w:tcPr>
          <w:p w:rsidR="005A0381" w:rsidRPr="00604261" w:rsidRDefault="005A0381" w:rsidP="00547ACE">
            <w:pPr>
              <w:rPr>
                <w:rFonts w:cs="Arial"/>
                <w:b/>
                <w:sz w:val="16"/>
                <w:szCs w:val="16"/>
              </w:rPr>
            </w:pPr>
            <w:r w:rsidRPr="00604261">
              <w:rPr>
                <w:rFonts w:cs="Arial"/>
                <w:sz w:val="16"/>
                <w:szCs w:val="16"/>
              </w:rPr>
              <w:t>No</w:t>
            </w:r>
            <w:r>
              <w:rPr>
                <w:rFonts w:cs="Arial"/>
                <w:sz w:val="16"/>
                <w:szCs w:val="16"/>
              </w:rPr>
              <w:t>.</w:t>
            </w:r>
            <w:r w:rsidRPr="00604261">
              <w:rPr>
                <w:rFonts w:cs="Arial"/>
                <w:sz w:val="16"/>
                <w:szCs w:val="16"/>
              </w:rPr>
              <w:t xml:space="preserve"> interference and perceived independence by key stakeholders</w:t>
            </w:r>
          </w:p>
        </w:tc>
        <w:tc>
          <w:tcPr>
            <w:tcW w:w="895" w:type="pct"/>
            <w:shd w:val="clear" w:color="auto" w:fill="FFFFFF"/>
            <w:tcMar>
              <w:top w:w="113" w:type="dxa"/>
              <w:bottom w:w="85" w:type="dxa"/>
            </w:tcMar>
          </w:tcPr>
          <w:p w:rsidR="005A0381" w:rsidRPr="00AF5E7C" w:rsidRDefault="005A0381" w:rsidP="00547ACE">
            <w:pPr>
              <w:jc w:val="center"/>
              <w:rPr>
                <w:rFonts w:cs="Arial"/>
                <w:sz w:val="16"/>
                <w:szCs w:val="16"/>
                <w:lang w:bidi="th-TH"/>
              </w:rPr>
            </w:pPr>
            <w:r>
              <w:rPr>
                <w:rFonts w:cs="Arial"/>
                <w:sz w:val="16"/>
                <w:szCs w:val="16"/>
                <w:lang w:bidi="th-TH"/>
              </w:rPr>
              <w:t>Program 26</w:t>
            </w:r>
          </w:p>
        </w:tc>
        <w:tc>
          <w:tcPr>
            <w:tcW w:w="461" w:type="pct"/>
            <w:shd w:val="clear" w:color="auto" w:fill="FFFFFF"/>
          </w:tcPr>
          <w:p w:rsidR="005A0381" w:rsidRPr="00CC3F44" w:rsidRDefault="005A0381" w:rsidP="00547ACE">
            <w:pPr>
              <w:jc w:val="center"/>
              <w:rPr>
                <w:rFonts w:cs="Arial"/>
                <w:color w:val="A6A6A6" w:themeColor="background1" w:themeShade="A6"/>
                <w:sz w:val="22"/>
                <w:szCs w:val="22"/>
              </w:rPr>
            </w:pPr>
            <w:r w:rsidRPr="00CC3F44">
              <w:rPr>
                <w:rFonts w:cs="Arial"/>
                <w:color w:val="008000"/>
                <w:sz w:val="22"/>
                <w:szCs w:val="22"/>
              </w:rPr>
              <w:sym w:font="Wingdings" w:char="F06C"/>
            </w:r>
          </w:p>
        </w:tc>
      </w:tr>
      <w:tr w:rsidR="005A0381" w:rsidRPr="00AF5E7C" w:rsidTr="00547ACE">
        <w:trPr>
          <w:cantSplit/>
          <w:trHeight w:val="335"/>
        </w:trPr>
        <w:tc>
          <w:tcPr>
            <w:tcW w:w="1513" w:type="pct"/>
            <w:vMerge/>
            <w:shd w:val="clear" w:color="auto" w:fill="auto"/>
            <w:tcMar>
              <w:top w:w="113" w:type="dxa"/>
              <w:bottom w:w="85" w:type="dxa"/>
            </w:tcMar>
          </w:tcPr>
          <w:p w:rsidR="005A0381" w:rsidRPr="00AF5E7C" w:rsidRDefault="005A0381" w:rsidP="00547ACE">
            <w:pPr>
              <w:rPr>
                <w:rFonts w:cs="Arial"/>
                <w:sz w:val="16"/>
                <w:szCs w:val="16"/>
              </w:rPr>
            </w:pPr>
          </w:p>
        </w:tc>
        <w:tc>
          <w:tcPr>
            <w:tcW w:w="2131" w:type="pct"/>
            <w:shd w:val="clear" w:color="auto" w:fill="auto"/>
            <w:tcMar>
              <w:top w:w="113" w:type="dxa"/>
              <w:bottom w:w="85" w:type="dxa"/>
            </w:tcMar>
          </w:tcPr>
          <w:p w:rsidR="005A0381" w:rsidRPr="00604261" w:rsidRDefault="005A0381" w:rsidP="00547ACE">
            <w:pPr>
              <w:rPr>
                <w:rFonts w:cs="Arial"/>
                <w:sz w:val="16"/>
                <w:szCs w:val="16"/>
              </w:rPr>
            </w:pPr>
            <w:r w:rsidRPr="00604261">
              <w:rPr>
                <w:rFonts w:cs="Arial"/>
                <w:sz w:val="16"/>
                <w:szCs w:val="16"/>
              </w:rPr>
              <w:t>EFFECTIVENESS % of work of IAOD which covers high risk/high relevance areas</w:t>
            </w:r>
          </w:p>
        </w:tc>
        <w:tc>
          <w:tcPr>
            <w:tcW w:w="895" w:type="pct"/>
            <w:shd w:val="clear" w:color="auto" w:fill="FFFFFF"/>
            <w:tcMar>
              <w:top w:w="113" w:type="dxa"/>
              <w:bottom w:w="85" w:type="dxa"/>
            </w:tcMar>
          </w:tcPr>
          <w:p w:rsidR="005A0381" w:rsidRPr="00AF5E7C" w:rsidRDefault="005A0381" w:rsidP="00547ACE">
            <w:pPr>
              <w:jc w:val="center"/>
              <w:rPr>
                <w:rFonts w:cs="Arial"/>
                <w:sz w:val="16"/>
                <w:szCs w:val="16"/>
                <w:lang w:bidi="th-TH"/>
              </w:rPr>
            </w:pPr>
            <w:r>
              <w:rPr>
                <w:rFonts w:cs="Arial"/>
                <w:sz w:val="16"/>
                <w:szCs w:val="16"/>
                <w:lang w:bidi="th-TH"/>
              </w:rPr>
              <w:t>Program 26</w:t>
            </w:r>
          </w:p>
        </w:tc>
        <w:tc>
          <w:tcPr>
            <w:tcW w:w="461" w:type="pct"/>
            <w:shd w:val="clear" w:color="auto" w:fill="FFFFFF"/>
          </w:tcPr>
          <w:p w:rsidR="005A0381" w:rsidRPr="00CC3F44" w:rsidRDefault="005A0381" w:rsidP="00547ACE">
            <w:pPr>
              <w:jc w:val="center"/>
            </w:pPr>
            <w:r w:rsidRPr="00CC3F44">
              <w:rPr>
                <w:rFonts w:cs="Arial"/>
                <w:color w:val="008000"/>
                <w:sz w:val="22"/>
                <w:szCs w:val="22"/>
              </w:rPr>
              <w:sym w:font="Wingdings" w:char="F06C"/>
            </w:r>
          </w:p>
        </w:tc>
      </w:tr>
      <w:tr w:rsidR="005A0381" w:rsidRPr="00AF5E7C" w:rsidTr="00547ACE">
        <w:trPr>
          <w:cantSplit/>
          <w:trHeight w:val="335"/>
        </w:trPr>
        <w:tc>
          <w:tcPr>
            <w:tcW w:w="1513" w:type="pct"/>
            <w:vMerge/>
            <w:shd w:val="clear" w:color="auto" w:fill="auto"/>
            <w:tcMar>
              <w:top w:w="113" w:type="dxa"/>
              <w:bottom w:w="85" w:type="dxa"/>
            </w:tcMar>
          </w:tcPr>
          <w:p w:rsidR="005A0381" w:rsidRPr="00AF5E7C" w:rsidRDefault="005A0381" w:rsidP="00547ACE">
            <w:pPr>
              <w:rPr>
                <w:rFonts w:cs="Arial"/>
                <w:sz w:val="16"/>
                <w:szCs w:val="16"/>
              </w:rPr>
            </w:pPr>
          </w:p>
        </w:tc>
        <w:tc>
          <w:tcPr>
            <w:tcW w:w="2131" w:type="pct"/>
            <w:shd w:val="clear" w:color="auto" w:fill="auto"/>
            <w:tcMar>
              <w:top w:w="113" w:type="dxa"/>
              <w:bottom w:w="85" w:type="dxa"/>
            </w:tcMar>
          </w:tcPr>
          <w:p w:rsidR="005A0381" w:rsidRPr="00604261" w:rsidRDefault="005A0381" w:rsidP="00547ACE">
            <w:pPr>
              <w:rPr>
                <w:rFonts w:cs="Arial"/>
                <w:sz w:val="16"/>
                <w:szCs w:val="16"/>
              </w:rPr>
            </w:pPr>
            <w:r w:rsidRPr="00604261">
              <w:rPr>
                <w:rFonts w:cs="Arial"/>
                <w:sz w:val="16"/>
                <w:szCs w:val="16"/>
              </w:rPr>
              <w:t xml:space="preserve">EFFICIENCY: </w:t>
            </w:r>
            <w:r>
              <w:rPr>
                <w:rFonts w:cs="Arial"/>
                <w:sz w:val="16"/>
                <w:szCs w:val="16"/>
              </w:rPr>
              <w:t xml:space="preserve"> </w:t>
            </w:r>
            <w:r w:rsidRPr="00604261">
              <w:rPr>
                <w:rFonts w:cs="Arial"/>
                <w:sz w:val="16"/>
                <w:szCs w:val="16"/>
              </w:rPr>
              <w:t>(a) Timely and qualitative completion of oversight reports</w:t>
            </w:r>
            <w:r>
              <w:rPr>
                <w:rFonts w:cs="Arial"/>
                <w:sz w:val="16"/>
                <w:szCs w:val="16"/>
              </w:rPr>
              <w:t xml:space="preserve">; </w:t>
            </w:r>
            <w:r w:rsidRPr="00604261">
              <w:rPr>
                <w:rFonts w:cs="Arial"/>
                <w:sz w:val="16"/>
                <w:szCs w:val="16"/>
              </w:rPr>
              <w:t xml:space="preserve"> (b) Number of audits &amp; evaluations completed as per oversight workplan; </w:t>
            </w:r>
            <w:r>
              <w:rPr>
                <w:rFonts w:cs="Arial"/>
                <w:sz w:val="16"/>
                <w:szCs w:val="16"/>
              </w:rPr>
              <w:t xml:space="preserve"> </w:t>
            </w:r>
            <w:r w:rsidRPr="00604261">
              <w:rPr>
                <w:rFonts w:cs="Arial"/>
                <w:sz w:val="16"/>
                <w:szCs w:val="16"/>
              </w:rPr>
              <w:t>(c) Number of complaints/reports of possible misconduct handled</w:t>
            </w:r>
          </w:p>
        </w:tc>
        <w:tc>
          <w:tcPr>
            <w:tcW w:w="895" w:type="pct"/>
            <w:shd w:val="clear" w:color="auto" w:fill="FFFFFF"/>
            <w:tcMar>
              <w:top w:w="113" w:type="dxa"/>
              <w:bottom w:w="85" w:type="dxa"/>
            </w:tcMar>
          </w:tcPr>
          <w:p w:rsidR="005A0381" w:rsidRPr="00AF5E7C" w:rsidRDefault="005A0381" w:rsidP="00547ACE">
            <w:pPr>
              <w:jc w:val="center"/>
              <w:rPr>
                <w:rFonts w:cs="Arial"/>
                <w:sz w:val="16"/>
                <w:szCs w:val="16"/>
                <w:lang w:bidi="th-TH"/>
              </w:rPr>
            </w:pPr>
            <w:r>
              <w:rPr>
                <w:rFonts w:cs="Arial"/>
                <w:sz w:val="16"/>
                <w:szCs w:val="16"/>
                <w:lang w:bidi="th-TH"/>
              </w:rPr>
              <w:t>Program 26</w:t>
            </w:r>
          </w:p>
        </w:tc>
        <w:tc>
          <w:tcPr>
            <w:tcW w:w="461" w:type="pct"/>
            <w:shd w:val="clear" w:color="auto" w:fill="FFFFFF"/>
          </w:tcPr>
          <w:p w:rsidR="005A0381" w:rsidRPr="00CC3F44" w:rsidRDefault="005A0381" w:rsidP="00547ACE">
            <w:pPr>
              <w:jc w:val="center"/>
              <w:rPr>
                <w:rFonts w:cs="Arial"/>
                <w:color w:val="A6A6A6" w:themeColor="background1" w:themeShade="A6"/>
                <w:sz w:val="22"/>
                <w:szCs w:val="22"/>
              </w:rPr>
            </w:pPr>
            <w:r w:rsidRPr="00CC3F44">
              <w:rPr>
                <w:rFonts w:cs="Arial"/>
                <w:color w:val="008000"/>
                <w:sz w:val="22"/>
                <w:szCs w:val="22"/>
              </w:rPr>
              <w:sym w:font="Wingdings" w:char="F06C"/>
            </w:r>
            <w:r w:rsidRPr="00CC3F44">
              <w:rPr>
                <w:rFonts w:cs="Arial"/>
                <w:color w:val="008000"/>
                <w:sz w:val="22"/>
                <w:szCs w:val="22"/>
              </w:rPr>
              <w:sym w:font="Wingdings" w:char="F06C"/>
            </w:r>
            <w:r w:rsidRPr="00CC3F44">
              <w:rPr>
                <w:rFonts w:cs="Arial"/>
                <w:color w:val="008000"/>
                <w:sz w:val="22"/>
                <w:szCs w:val="22"/>
              </w:rPr>
              <w:sym w:font="Wingdings" w:char="F06C"/>
            </w:r>
            <w:r w:rsidRPr="00CC3F44">
              <w:rPr>
                <w:rFonts w:cs="Arial"/>
                <w:color w:val="008000"/>
                <w:sz w:val="22"/>
                <w:szCs w:val="22"/>
              </w:rPr>
              <w:sym w:font="Wingdings" w:char="F06C"/>
            </w:r>
          </w:p>
        </w:tc>
      </w:tr>
      <w:tr w:rsidR="005A0381" w:rsidRPr="00AF5E7C" w:rsidTr="00547ACE">
        <w:trPr>
          <w:cantSplit/>
          <w:trHeight w:val="335"/>
        </w:trPr>
        <w:tc>
          <w:tcPr>
            <w:tcW w:w="1513" w:type="pct"/>
            <w:shd w:val="clear" w:color="auto" w:fill="auto"/>
            <w:tcMar>
              <w:top w:w="113" w:type="dxa"/>
              <w:bottom w:w="85" w:type="dxa"/>
            </w:tcMar>
          </w:tcPr>
          <w:p w:rsidR="005A0381" w:rsidRPr="00AF5E7C" w:rsidRDefault="005A0381" w:rsidP="00547ACE">
            <w:pPr>
              <w:rPr>
                <w:rFonts w:cs="Arial"/>
                <w:sz w:val="16"/>
                <w:szCs w:val="16"/>
              </w:rPr>
            </w:pPr>
          </w:p>
        </w:tc>
        <w:tc>
          <w:tcPr>
            <w:tcW w:w="2131" w:type="pct"/>
            <w:shd w:val="clear" w:color="auto" w:fill="auto"/>
            <w:tcMar>
              <w:top w:w="113" w:type="dxa"/>
              <w:bottom w:w="85" w:type="dxa"/>
            </w:tcMar>
          </w:tcPr>
          <w:p w:rsidR="005A0381" w:rsidRPr="00604261" w:rsidRDefault="005A0381" w:rsidP="00547ACE">
            <w:pPr>
              <w:rPr>
                <w:rFonts w:cs="Arial"/>
                <w:sz w:val="16"/>
                <w:szCs w:val="16"/>
              </w:rPr>
            </w:pPr>
            <w:r w:rsidRPr="00604261">
              <w:rPr>
                <w:rFonts w:cs="Arial"/>
                <w:sz w:val="16"/>
                <w:szCs w:val="16"/>
              </w:rPr>
              <w:t>RELEVANCE, ADDED VALUE &amp; STEWARDSHIP</w:t>
            </w:r>
            <w:r>
              <w:rPr>
                <w:rFonts w:cs="Arial"/>
                <w:sz w:val="16"/>
                <w:szCs w:val="16"/>
              </w:rPr>
              <w:t xml:space="preserve"> </w:t>
            </w:r>
            <w:r>
              <w:rPr>
                <w:rFonts w:cs="Arial"/>
                <w:sz w:val="16"/>
                <w:szCs w:val="16"/>
              </w:rPr>
              <w:noBreakHyphen/>
            </w:r>
            <w:r w:rsidRPr="00604261">
              <w:rPr>
                <w:rFonts w:cs="Arial"/>
                <w:sz w:val="16"/>
                <w:szCs w:val="16"/>
              </w:rPr>
              <w:t xml:space="preserve"> Tangible cost savings or improvements made in business processes and systems</w:t>
            </w:r>
          </w:p>
        </w:tc>
        <w:tc>
          <w:tcPr>
            <w:tcW w:w="895" w:type="pct"/>
            <w:shd w:val="clear" w:color="auto" w:fill="FFFFFF"/>
            <w:tcMar>
              <w:top w:w="113" w:type="dxa"/>
              <w:bottom w:w="85" w:type="dxa"/>
            </w:tcMar>
          </w:tcPr>
          <w:p w:rsidR="005A0381" w:rsidRPr="00AF5E7C" w:rsidRDefault="005A0381" w:rsidP="00547ACE">
            <w:pPr>
              <w:jc w:val="center"/>
              <w:rPr>
                <w:rFonts w:cs="Arial"/>
                <w:sz w:val="16"/>
                <w:szCs w:val="16"/>
                <w:lang w:bidi="th-TH"/>
              </w:rPr>
            </w:pPr>
            <w:r>
              <w:rPr>
                <w:rFonts w:cs="Arial"/>
                <w:sz w:val="16"/>
                <w:szCs w:val="16"/>
                <w:lang w:bidi="th-TH"/>
              </w:rPr>
              <w:t>Program 26</w:t>
            </w:r>
          </w:p>
        </w:tc>
        <w:tc>
          <w:tcPr>
            <w:tcW w:w="461" w:type="pct"/>
            <w:shd w:val="clear" w:color="auto" w:fill="FFFFFF"/>
          </w:tcPr>
          <w:p w:rsidR="005A0381" w:rsidRPr="00CC3F44" w:rsidRDefault="005A0381" w:rsidP="00547ACE">
            <w:pPr>
              <w:jc w:val="center"/>
              <w:rPr>
                <w:color w:val="0070C0"/>
              </w:rPr>
            </w:pPr>
            <w:r w:rsidRPr="00CC3F44">
              <w:rPr>
                <w:rFonts w:cs="Arial"/>
                <w:color w:val="A6A6A6"/>
                <w:sz w:val="22"/>
                <w:szCs w:val="22"/>
              </w:rPr>
              <w:sym w:font="Wingdings" w:char="F06C"/>
            </w:r>
          </w:p>
        </w:tc>
      </w:tr>
      <w:tr w:rsidR="005A0381" w:rsidRPr="00AF5E7C" w:rsidTr="00547ACE">
        <w:trPr>
          <w:cantSplit/>
          <w:trHeight w:val="335"/>
        </w:trPr>
        <w:tc>
          <w:tcPr>
            <w:tcW w:w="1513" w:type="pct"/>
            <w:shd w:val="clear" w:color="auto" w:fill="auto"/>
            <w:tcMar>
              <w:top w:w="113" w:type="dxa"/>
              <w:bottom w:w="85" w:type="dxa"/>
            </w:tcMar>
          </w:tcPr>
          <w:p w:rsidR="005A0381" w:rsidRPr="00AF5E7C" w:rsidRDefault="005A0381" w:rsidP="00547ACE">
            <w:pPr>
              <w:rPr>
                <w:rFonts w:cs="Arial"/>
                <w:sz w:val="16"/>
                <w:szCs w:val="16"/>
              </w:rPr>
            </w:pPr>
          </w:p>
        </w:tc>
        <w:tc>
          <w:tcPr>
            <w:tcW w:w="2131" w:type="pct"/>
            <w:shd w:val="clear" w:color="auto" w:fill="auto"/>
            <w:tcMar>
              <w:top w:w="113" w:type="dxa"/>
              <w:bottom w:w="85" w:type="dxa"/>
            </w:tcMar>
          </w:tcPr>
          <w:p w:rsidR="005A0381" w:rsidRPr="00604261" w:rsidRDefault="005A0381" w:rsidP="00547ACE">
            <w:pPr>
              <w:rPr>
                <w:rFonts w:cs="Arial"/>
                <w:sz w:val="16"/>
                <w:szCs w:val="16"/>
              </w:rPr>
            </w:pPr>
            <w:r w:rsidRPr="00604261">
              <w:rPr>
                <w:rFonts w:cs="Arial"/>
                <w:sz w:val="16"/>
                <w:szCs w:val="16"/>
              </w:rPr>
              <w:t>ORGANIZATIONAL LEARNING</w:t>
            </w:r>
            <w:r>
              <w:rPr>
                <w:rFonts w:cs="Arial"/>
                <w:sz w:val="16"/>
                <w:szCs w:val="16"/>
              </w:rPr>
              <w:t xml:space="preserve"> </w:t>
            </w:r>
            <w:r>
              <w:rPr>
                <w:rFonts w:cs="Arial"/>
                <w:sz w:val="16"/>
                <w:szCs w:val="16"/>
              </w:rPr>
              <w:noBreakHyphen/>
              <w:t xml:space="preserve"> </w:t>
            </w:r>
            <w:r w:rsidRPr="00604261">
              <w:rPr>
                <w:rFonts w:cs="Arial"/>
                <w:sz w:val="16"/>
                <w:szCs w:val="16"/>
              </w:rPr>
              <w:t>Uptake of Lessons and Recommend</w:t>
            </w:r>
            <w:r>
              <w:rPr>
                <w:rFonts w:cs="Arial"/>
                <w:sz w:val="16"/>
                <w:szCs w:val="16"/>
              </w:rPr>
              <w:t>ations from Oversight Processes</w:t>
            </w:r>
          </w:p>
        </w:tc>
        <w:tc>
          <w:tcPr>
            <w:tcW w:w="895" w:type="pct"/>
            <w:shd w:val="clear" w:color="auto" w:fill="FFFFFF"/>
            <w:tcMar>
              <w:top w:w="113" w:type="dxa"/>
              <w:bottom w:w="85" w:type="dxa"/>
            </w:tcMar>
          </w:tcPr>
          <w:p w:rsidR="005A0381" w:rsidRPr="00AF5E7C" w:rsidRDefault="005A0381" w:rsidP="00547ACE">
            <w:pPr>
              <w:jc w:val="center"/>
              <w:rPr>
                <w:rFonts w:cs="Arial"/>
                <w:sz w:val="16"/>
                <w:szCs w:val="16"/>
                <w:lang w:bidi="th-TH"/>
              </w:rPr>
            </w:pPr>
            <w:r>
              <w:rPr>
                <w:rFonts w:cs="Arial"/>
                <w:sz w:val="16"/>
                <w:szCs w:val="16"/>
                <w:lang w:bidi="th-TH"/>
              </w:rPr>
              <w:t>Program 26</w:t>
            </w:r>
          </w:p>
        </w:tc>
        <w:tc>
          <w:tcPr>
            <w:tcW w:w="461" w:type="pct"/>
            <w:shd w:val="clear" w:color="auto" w:fill="FFFFFF"/>
          </w:tcPr>
          <w:p w:rsidR="005A0381" w:rsidRPr="00CC3F44" w:rsidRDefault="005A0381" w:rsidP="00547ACE">
            <w:pPr>
              <w:jc w:val="center"/>
              <w:rPr>
                <w:rFonts w:cs="Arial"/>
                <w:color w:val="A6A6A6" w:themeColor="background1" w:themeShade="A6"/>
                <w:sz w:val="22"/>
                <w:szCs w:val="22"/>
              </w:rPr>
            </w:pPr>
            <w:r w:rsidRPr="00CC3F44">
              <w:rPr>
                <w:rFonts w:cs="Arial"/>
                <w:color w:val="008000"/>
                <w:sz w:val="22"/>
                <w:szCs w:val="22"/>
              </w:rPr>
              <w:sym w:font="Wingdings" w:char="F06C"/>
            </w:r>
            <w:r w:rsidRPr="00CC3F44">
              <w:rPr>
                <w:rFonts w:cs="Arial"/>
                <w:color w:val="E26B0A"/>
                <w:sz w:val="22"/>
                <w:szCs w:val="22"/>
              </w:rPr>
              <w:sym w:font="Wingdings" w:char="F06C"/>
            </w:r>
          </w:p>
        </w:tc>
      </w:tr>
    </w:tbl>
    <w:p w:rsidR="005A0381" w:rsidRPr="00A22FCB" w:rsidRDefault="005A0381" w:rsidP="005A0381"/>
    <w:p w:rsidR="005A0381" w:rsidRDefault="005A0381" w:rsidP="005A0381"/>
    <w:p w:rsidR="008D43FD" w:rsidRDefault="008D43FD"/>
    <w:p w:rsidR="00D97F1C" w:rsidRDefault="00D97F1C">
      <w:r>
        <w:br w:type="page"/>
      </w:r>
    </w:p>
    <w:p w:rsidR="00D97F1C" w:rsidRPr="001243AF" w:rsidRDefault="00D97F1C" w:rsidP="00D97F1C">
      <w:pPr>
        <w:pStyle w:val="Heading2"/>
        <w:tabs>
          <w:tab w:val="clear" w:pos="567"/>
          <w:tab w:val="left" w:pos="1985"/>
        </w:tabs>
      </w:pPr>
      <w:bookmarkStart w:id="104" w:name="_Toc454544495"/>
      <w:r w:rsidRPr="001243AF">
        <w:t xml:space="preserve">PROGRAM </w:t>
      </w:r>
      <w:r>
        <w:t>2</w:t>
      </w:r>
      <w:r w:rsidRPr="001243AF">
        <w:t>1</w:t>
      </w:r>
      <w:r>
        <w:tab/>
      </w:r>
      <w:r>
        <w:tab/>
        <w:t>EXECUTIVE MANAGEMENT</w:t>
      </w:r>
      <w:bookmarkEnd w:id="104"/>
    </w:p>
    <w:p w:rsidR="00D97F1C" w:rsidRPr="00383D2D" w:rsidRDefault="00D97F1C" w:rsidP="00D97F1C">
      <w:pPr>
        <w:rPr>
          <w:szCs w:val="20"/>
        </w:rPr>
      </w:pPr>
    </w:p>
    <w:p w:rsidR="00D97F1C" w:rsidRPr="00ED310D" w:rsidRDefault="00D97F1C" w:rsidP="00D97F1C">
      <w:pPr>
        <w:tabs>
          <w:tab w:val="left" w:pos="1985"/>
        </w:tabs>
        <w:rPr>
          <w:b/>
          <w:szCs w:val="22"/>
        </w:rPr>
      </w:pPr>
      <w:r w:rsidRPr="00ED310D">
        <w:rPr>
          <w:b/>
          <w:szCs w:val="22"/>
        </w:rPr>
        <w:t>Program Manager</w:t>
      </w:r>
      <w:r w:rsidRPr="00ED310D">
        <w:rPr>
          <w:b/>
          <w:szCs w:val="22"/>
        </w:rPr>
        <w:tab/>
        <w:t>Director General</w:t>
      </w:r>
    </w:p>
    <w:p w:rsidR="00D97F1C" w:rsidRPr="00BC2ECD" w:rsidRDefault="00D97F1C" w:rsidP="00D97F1C">
      <w:pPr>
        <w:rPr>
          <w:sz w:val="22"/>
          <w:szCs w:val="20"/>
        </w:rPr>
      </w:pPr>
    </w:p>
    <w:p w:rsidR="00F11DB9" w:rsidRPr="001C6F4D" w:rsidRDefault="00F11DB9" w:rsidP="00F11DB9">
      <w:pPr>
        <w:rPr>
          <w:szCs w:val="20"/>
        </w:rPr>
      </w:pPr>
    </w:p>
    <w:p w:rsidR="00F11DB9" w:rsidRPr="007F434F" w:rsidRDefault="00F11DB9" w:rsidP="00F11DB9">
      <w:pPr>
        <w:rPr>
          <w:bCs/>
          <w:szCs w:val="22"/>
        </w:rPr>
      </w:pPr>
      <w:r w:rsidRPr="007F434F">
        <w:rPr>
          <w:bCs/>
          <w:szCs w:val="22"/>
        </w:rPr>
        <w:t>ACHIEVEMENTS IN THE 2014/15 BIENNIUM</w:t>
      </w:r>
    </w:p>
    <w:p w:rsidR="00F11DB9" w:rsidRDefault="00F11DB9" w:rsidP="00F11DB9">
      <w:pPr>
        <w:jc w:val="both"/>
      </w:pPr>
    </w:p>
    <w:p w:rsidR="00F11DB9" w:rsidRPr="00155FE9" w:rsidRDefault="00F11DB9" w:rsidP="00CE367A">
      <w:pPr>
        <w:pStyle w:val="Default"/>
        <w:numPr>
          <w:ilvl w:val="0"/>
          <w:numId w:val="34"/>
        </w:numPr>
        <w:tabs>
          <w:tab w:val="left" w:pos="709"/>
        </w:tabs>
        <w:ind w:left="0" w:firstLine="0"/>
        <w:jc w:val="both"/>
        <w:rPr>
          <w:color w:val="auto"/>
          <w:sz w:val="20"/>
          <w:szCs w:val="20"/>
        </w:rPr>
      </w:pPr>
      <w:r>
        <w:rPr>
          <w:sz w:val="20"/>
          <w:szCs w:val="20"/>
        </w:rPr>
        <w:t xml:space="preserve">Effective engagement with Member States remains a critical element in achieving progress towards the realization of the Organization’s nine Strategic </w:t>
      </w:r>
      <w:r w:rsidRPr="00155FE9">
        <w:rPr>
          <w:color w:val="auto"/>
          <w:sz w:val="20"/>
          <w:szCs w:val="20"/>
        </w:rPr>
        <w:t xml:space="preserve">Goals. </w:t>
      </w:r>
      <w:r>
        <w:rPr>
          <w:color w:val="auto"/>
          <w:sz w:val="20"/>
          <w:szCs w:val="20"/>
        </w:rPr>
        <w:t xml:space="preserve"> </w:t>
      </w:r>
      <w:r w:rsidRPr="00155FE9">
        <w:rPr>
          <w:color w:val="auto"/>
          <w:sz w:val="20"/>
          <w:szCs w:val="20"/>
        </w:rPr>
        <w:t>The biennium 2014/15 highlighted challenges in many areas as Member States sought to achieve consensus around the Strategic Goals.</w:t>
      </w:r>
      <w:r>
        <w:rPr>
          <w:color w:val="auto"/>
          <w:sz w:val="20"/>
          <w:szCs w:val="20"/>
        </w:rPr>
        <w:t xml:space="preserve"> </w:t>
      </w:r>
      <w:r w:rsidRPr="00155FE9">
        <w:rPr>
          <w:color w:val="auto"/>
          <w:sz w:val="20"/>
          <w:szCs w:val="20"/>
        </w:rPr>
        <w:t xml:space="preserve"> In this regard, the Director General led focused discussions with Member States in various fora to assist and provide the space in which consensus could be achieved. </w:t>
      </w:r>
      <w:r>
        <w:rPr>
          <w:color w:val="auto"/>
          <w:sz w:val="20"/>
          <w:szCs w:val="20"/>
        </w:rPr>
        <w:t xml:space="preserve"> </w:t>
      </w:r>
      <w:r w:rsidRPr="00155FE9">
        <w:rPr>
          <w:color w:val="auto"/>
          <w:sz w:val="20"/>
          <w:szCs w:val="20"/>
        </w:rPr>
        <w:t xml:space="preserve">Progress was realized in some areas, notably the consensus achieved by Member States after several years of difficult negotiation on the way forward for opening new External Offices in WIPO.  In other areas, particularly on the normative front, there was still a considerable distance to travel by Member States on many issues. </w:t>
      </w:r>
      <w:r>
        <w:rPr>
          <w:color w:val="auto"/>
          <w:sz w:val="20"/>
          <w:szCs w:val="20"/>
        </w:rPr>
        <w:t xml:space="preserve"> T</w:t>
      </w:r>
      <w:r w:rsidRPr="00155FE9">
        <w:rPr>
          <w:color w:val="auto"/>
          <w:sz w:val="20"/>
          <w:szCs w:val="20"/>
        </w:rPr>
        <w:t xml:space="preserve">hese same mechanisms of communication, such as briefings for Ambassadors, provided an invaluable means by which to receive feedback and advice for enhancing progress on many issues. </w:t>
      </w:r>
    </w:p>
    <w:p w:rsidR="00F11DB9" w:rsidRPr="00155FE9" w:rsidRDefault="00F11DB9" w:rsidP="00F11DB9">
      <w:pPr>
        <w:pStyle w:val="Default"/>
        <w:tabs>
          <w:tab w:val="left" w:pos="709"/>
        </w:tabs>
        <w:jc w:val="both"/>
        <w:rPr>
          <w:color w:val="auto"/>
          <w:sz w:val="20"/>
          <w:szCs w:val="20"/>
        </w:rPr>
      </w:pPr>
    </w:p>
    <w:p w:rsidR="00F11DB9" w:rsidRPr="00155FE9" w:rsidRDefault="00F11DB9" w:rsidP="00CE367A">
      <w:pPr>
        <w:pStyle w:val="Default"/>
        <w:numPr>
          <w:ilvl w:val="0"/>
          <w:numId w:val="34"/>
        </w:numPr>
        <w:tabs>
          <w:tab w:val="left" w:pos="709"/>
        </w:tabs>
        <w:ind w:left="0" w:firstLine="0"/>
        <w:jc w:val="both"/>
        <w:rPr>
          <w:color w:val="auto"/>
          <w:sz w:val="20"/>
          <w:szCs w:val="20"/>
        </w:rPr>
      </w:pPr>
      <w:r w:rsidRPr="00CE367A">
        <w:rPr>
          <w:sz w:val="20"/>
          <w:szCs w:val="20"/>
        </w:rPr>
        <w:t>Internal</w:t>
      </w:r>
      <w:r w:rsidRPr="00155FE9">
        <w:rPr>
          <w:color w:val="auto"/>
          <w:sz w:val="20"/>
          <w:szCs w:val="20"/>
        </w:rPr>
        <w:t xml:space="preserve"> engagement also formed an important part of program implementation, driving progress towards realizing the Strategic Goals. </w:t>
      </w:r>
      <w:r>
        <w:rPr>
          <w:color w:val="auto"/>
          <w:sz w:val="20"/>
          <w:szCs w:val="20"/>
        </w:rPr>
        <w:t xml:space="preserve"> </w:t>
      </w:r>
      <w:r w:rsidRPr="00155FE9">
        <w:rPr>
          <w:color w:val="auto"/>
          <w:sz w:val="20"/>
          <w:szCs w:val="20"/>
        </w:rPr>
        <w:t xml:space="preserve">Reaching out to staff, through regular briefings by the Director General and in other fora, formed a critical part of explaining and seeking buy-in to necessary change. </w:t>
      </w:r>
      <w:r>
        <w:rPr>
          <w:color w:val="auto"/>
          <w:sz w:val="20"/>
          <w:szCs w:val="20"/>
        </w:rPr>
        <w:t>R</w:t>
      </w:r>
      <w:r w:rsidRPr="00155FE9">
        <w:rPr>
          <w:color w:val="auto"/>
          <w:sz w:val="20"/>
          <w:szCs w:val="20"/>
        </w:rPr>
        <w:t xml:space="preserve">egular sessions of the Senior Management Team (SMT) provided direction to organizational units, operationalizing strategic decisions. </w:t>
      </w:r>
      <w:r>
        <w:rPr>
          <w:color w:val="auto"/>
          <w:sz w:val="20"/>
          <w:szCs w:val="20"/>
        </w:rPr>
        <w:t xml:space="preserve"> </w:t>
      </w:r>
      <w:r w:rsidRPr="00155FE9">
        <w:rPr>
          <w:color w:val="auto"/>
          <w:sz w:val="20"/>
          <w:szCs w:val="20"/>
        </w:rPr>
        <w:t xml:space="preserve">The Director General’s second term provided an opportunity to inject new energy and ideas into the SMT with the introduction of four new members while retaining the experience of four members of the previous SMT. </w:t>
      </w:r>
      <w:r>
        <w:rPr>
          <w:color w:val="auto"/>
          <w:sz w:val="20"/>
          <w:szCs w:val="20"/>
        </w:rPr>
        <w:t xml:space="preserve"> </w:t>
      </w:r>
      <w:r w:rsidRPr="00155FE9">
        <w:rPr>
          <w:color w:val="auto"/>
          <w:sz w:val="20"/>
          <w:szCs w:val="20"/>
        </w:rPr>
        <w:t xml:space="preserve">The SMT was also expanded </w:t>
      </w:r>
      <w:r>
        <w:rPr>
          <w:color w:val="auto"/>
          <w:sz w:val="20"/>
          <w:szCs w:val="20"/>
        </w:rPr>
        <w:t>to include</w:t>
      </w:r>
      <w:r w:rsidRPr="00155FE9">
        <w:rPr>
          <w:color w:val="auto"/>
          <w:sz w:val="20"/>
          <w:szCs w:val="20"/>
        </w:rPr>
        <w:t xml:space="preserve"> managers responsible for human resources and legal affairs, important cross-cutting elements in strategic decision making. </w:t>
      </w:r>
      <w:r>
        <w:rPr>
          <w:color w:val="auto"/>
          <w:sz w:val="20"/>
          <w:szCs w:val="20"/>
        </w:rPr>
        <w:t xml:space="preserve"> W</w:t>
      </w:r>
      <w:r w:rsidRPr="00155FE9">
        <w:rPr>
          <w:color w:val="auto"/>
          <w:sz w:val="20"/>
          <w:szCs w:val="20"/>
        </w:rPr>
        <w:t xml:space="preserve">ith successful completion of the Strategic Realignment Program in 2013, the SMT played a </w:t>
      </w:r>
      <w:r>
        <w:rPr>
          <w:color w:val="auto"/>
          <w:sz w:val="20"/>
          <w:szCs w:val="20"/>
        </w:rPr>
        <w:t>key</w:t>
      </w:r>
      <w:r w:rsidRPr="00155FE9">
        <w:rPr>
          <w:color w:val="auto"/>
          <w:sz w:val="20"/>
          <w:szCs w:val="20"/>
        </w:rPr>
        <w:t xml:space="preserve"> role in ensuring that gains</w:t>
      </w:r>
      <w:r>
        <w:rPr>
          <w:color w:val="auto"/>
          <w:sz w:val="20"/>
          <w:szCs w:val="20"/>
        </w:rPr>
        <w:t>,</w:t>
      </w:r>
      <w:r w:rsidRPr="00155FE9">
        <w:rPr>
          <w:color w:val="auto"/>
          <w:sz w:val="20"/>
          <w:szCs w:val="20"/>
        </w:rPr>
        <w:t xml:space="preserve"> in terms of culture and values, efficiency in business processes and better alignment of programs</w:t>
      </w:r>
      <w:r>
        <w:rPr>
          <w:color w:val="auto"/>
          <w:sz w:val="20"/>
          <w:szCs w:val="20"/>
        </w:rPr>
        <w:t xml:space="preserve">, </w:t>
      </w:r>
      <w:r w:rsidRPr="00155FE9">
        <w:rPr>
          <w:color w:val="auto"/>
          <w:sz w:val="20"/>
          <w:szCs w:val="20"/>
        </w:rPr>
        <w:t>structure and resources to Strategic Goals</w:t>
      </w:r>
      <w:r>
        <w:rPr>
          <w:color w:val="auto"/>
          <w:sz w:val="20"/>
          <w:szCs w:val="20"/>
        </w:rPr>
        <w:t>,</w:t>
      </w:r>
      <w:r w:rsidRPr="00155FE9">
        <w:rPr>
          <w:color w:val="auto"/>
          <w:sz w:val="20"/>
          <w:szCs w:val="20"/>
        </w:rPr>
        <w:t xml:space="preserve"> were maintained. </w:t>
      </w:r>
    </w:p>
    <w:p w:rsidR="00F11DB9" w:rsidRPr="00155FE9" w:rsidRDefault="00F11DB9" w:rsidP="00F11DB9">
      <w:pPr>
        <w:tabs>
          <w:tab w:val="left" w:pos="709"/>
        </w:tabs>
        <w:jc w:val="both"/>
        <w:rPr>
          <w:szCs w:val="20"/>
        </w:rPr>
      </w:pPr>
    </w:p>
    <w:p w:rsidR="00F11DB9" w:rsidRPr="0056507A" w:rsidRDefault="00F11DB9" w:rsidP="00CE367A">
      <w:pPr>
        <w:pStyle w:val="Default"/>
        <w:numPr>
          <w:ilvl w:val="0"/>
          <w:numId w:val="34"/>
        </w:numPr>
        <w:tabs>
          <w:tab w:val="left" w:pos="709"/>
        </w:tabs>
        <w:ind w:left="0" w:firstLine="0"/>
        <w:jc w:val="both"/>
        <w:rPr>
          <w:sz w:val="20"/>
          <w:szCs w:val="20"/>
        </w:rPr>
      </w:pPr>
      <w:r w:rsidRPr="00155FE9">
        <w:rPr>
          <w:color w:val="auto"/>
          <w:sz w:val="20"/>
          <w:szCs w:val="20"/>
        </w:rPr>
        <w:t xml:space="preserve">The </w:t>
      </w:r>
      <w:r w:rsidRPr="00A26C66">
        <w:rPr>
          <w:color w:val="auto"/>
          <w:sz w:val="20"/>
          <w:szCs w:val="20"/>
        </w:rPr>
        <w:t>Office of the Legal Counsel (</w:t>
      </w:r>
      <w:r w:rsidRPr="00155FE9">
        <w:rPr>
          <w:color w:val="auto"/>
          <w:sz w:val="20"/>
          <w:szCs w:val="20"/>
        </w:rPr>
        <w:t>OLC</w:t>
      </w:r>
      <w:r>
        <w:rPr>
          <w:color w:val="auto"/>
          <w:sz w:val="20"/>
          <w:szCs w:val="20"/>
        </w:rPr>
        <w:t>)</w:t>
      </w:r>
      <w:r w:rsidRPr="00155FE9">
        <w:rPr>
          <w:color w:val="auto"/>
          <w:sz w:val="20"/>
          <w:szCs w:val="20"/>
        </w:rPr>
        <w:t xml:space="preserve"> continued to deliver prompt and reliable legal advice and services consistent with statutory requirements and applicable law on constitutional, contract,</w:t>
      </w:r>
      <w:r>
        <w:rPr>
          <w:color w:val="auto"/>
          <w:sz w:val="20"/>
          <w:szCs w:val="20"/>
        </w:rPr>
        <w:t xml:space="preserve"> and</w:t>
      </w:r>
      <w:r w:rsidRPr="00155FE9">
        <w:rPr>
          <w:color w:val="auto"/>
          <w:sz w:val="20"/>
          <w:szCs w:val="20"/>
        </w:rPr>
        <w:t xml:space="preserve"> treaty law,</w:t>
      </w:r>
      <w:r>
        <w:rPr>
          <w:color w:val="auto"/>
          <w:sz w:val="20"/>
          <w:szCs w:val="20"/>
        </w:rPr>
        <w:t xml:space="preserve"> as well as</w:t>
      </w:r>
      <w:r w:rsidRPr="00155FE9">
        <w:rPr>
          <w:color w:val="auto"/>
          <w:sz w:val="20"/>
          <w:szCs w:val="20"/>
        </w:rPr>
        <w:t xml:space="preserve"> administrative and human resource related matters, to the Director General, the Secretariat and Member States in the context of strong and, in some areas, increasing demand.</w:t>
      </w:r>
      <w:r>
        <w:rPr>
          <w:color w:val="auto"/>
          <w:sz w:val="20"/>
          <w:szCs w:val="20"/>
        </w:rPr>
        <w:t xml:space="preserve"> </w:t>
      </w:r>
      <w:r w:rsidRPr="00155FE9">
        <w:rPr>
          <w:color w:val="auto"/>
          <w:sz w:val="20"/>
          <w:szCs w:val="20"/>
        </w:rPr>
        <w:t xml:space="preserve"> The OLC</w:t>
      </w:r>
      <w:r>
        <w:rPr>
          <w:color w:val="auto"/>
          <w:sz w:val="20"/>
          <w:szCs w:val="20"/>
        </w:rPr>
        <w:t xml:space="preserve"> was</w:t>
      </w:r>
      <w:r w:rsidRPr="00155FE9">
        <w:rPr>
          <w:color w:val="auto"/>
          <w:sz w:val="20"/>
          <w:szCs w:val="20"/>
        </w:rPr>
        <w:t xml:space="preserve"> closely involved in the process for the nomination and appointment of the Director General in 2014</w:t>
      </w:r>
      <w:r>
        <w:rPr>
          <w:color w:val="auto"/>
          <w:sz w:val="20"/>
          <w:szCs w:val="20"/>
        </w:rPr>
        <w:t>,</w:t>
      </w:r>
      <w:r w:rsidRPr="00155FE9">
        <w:rPr>
          <w:color w:val="auto"/>
          <w:sz w:val="20"/>
          <w:szCs w:val="20"/>
        </w:rPr>
        <w:t xml:space="preserve"> as well as providing legal support and assistance to the Diplomatic Conference for the Adoption of a New Act of the Lisbon Agreement in May 2015.  A key challenge</w:t>
      </w:r>
      <w:r>
        <w:rPr>
          <w:color w:val="auto"/>
          <w:sz w:val="20"/>
          <w:szCs w:val="20"/>
        </w:rPr>
        <w:t xml:space="preserve"> in 2014/15</w:t>
      </w:r>
      <w:r w:rsidRPr="00155FE9">
        <w:rPr>
          <w:color w:val="auto"/>
          <w:sz w:val="20"/>
          <w:szCs w:val="20"/>
        </w:rPr>
        <w:t xml:space="preserve"> </w:t>
      </w:r>
      <w:r>
        <w:rPr>
          <w:sz w:val="20"/>
          <w:szCs w:val="20"/>
        </w:rPr>
        <w:t xml:space="preserve">was the commencement of the new administration of justice system, which came into force on January 1, 2014.  The OLC was able to seamlessly adapt to the new system in representing </w:t>
      </w:r>
      <w:r w:rsidRPr="00155FE9">
        <w:rPr>
          <w:color w:val="auto"/>
          <w:sz w:val="20"/>
          <w:szCs w:val="20"/>
        </w:rPr>
        <w:t xml:space="preserve">the Administration in staff appeals and complaints. </w:t>
      </w:r>
      <w:r>
        <w:rPr>
          <w:color w:val="auto"/>
          <w:sz w:val="20"/>
          <w:szCs w:val="20"/>
        </w:rPr>
        <w:t xml:space="preserve"> </w:t>
      </w:r>
      <w:r w:rsidRPr="00155FE9">
        <w:rPr>
          <w:color w:val="auto"/>
          <w:sz w:val="20"/>
          <w:szCs w:val="20"/>
        </w:rPr>
        <w:t xml:space="preserve">The OLC ensured that the depositary functions of WIPO-administered treaties were carried out efficiently despite the increased requests for advice. </w:t>
      </w:r>
      <w:r>
        <w:rPr>
          <w:color w:val="auto"/>
          <w:sz w:val="20"/>
          <w:szCs w:val="20"/>
        </w:rPr>
        <w:t xml:space="preserve"> In 2014/15, t</w:t>
      </w:r>
      <w:r w:rsidRPr="00155FE9">
        <w:rPr>
          <w:color w:val="auto"/>
          <w:sz w:val="20"/>
          <w:szCs w:val="20"/>
        </w:rPr>
        <w:t xml:space="preserve">he WIPO Lex database of </w:t>
      </w:r>
      <w:r>
        <w:rPr>
          <w:color w:val="auto"/>
          <w:sz w:val="20"/>
          <w:szCs w:val="20"/>
        </w:rPr>
        <w:t>IP</w:t>
      </w:r>
      <w:r w:rsidRPr="00155FE9">
        <w:rPr>
          <w:color w:val="auto"/>
          <w:sz w:val="20"/>
          <w:szCs w:val="20"/>
        </w:rPr>
        <w:t xml:space="preserve"> legal information was accessed by more than 3.3 million users worldwide</w:t>
      </w:r>
      <w:r>
        <w:rPr>
          <w:color w:val="auto"/>
          <w:sz w:val="20"/>
          <w:szCs w:val="20"/>
        </w:rPr>
        <w:t>,</w:t>
      </w:r>
      <w:r w:rsidRPr="00155FE9">
        <w:rPr>
          <w:color w:val="auto"/>
          <w:sz w:val="20"/>
          <w:szCs w:val="20"/>
        </w:rPr>
        <w:t xml:space="preserve"> compared to 2.2 million </w:t>
      </w:r>
      <w:r>
        <w:rPr>
          <w:color w:val="auto"/>
          <w:sz w:val="20"/>
          <w:szCs w:val="20"/>
        </w:rPr>
        <w:t>in 2012/13</w:t>
      </w:r>
      <w:r w:rsidRPr="00155FE9">
        <w:rPr>
          <w:color w:val="auto"/>
          <w:sz w:val="20"/>
          <w:szCs w:val="20"/>
        </w:rPr>
        <w:t xml:space="preserve">. </w:t>
      </w:r>
      <w:r>
        <w:rPr>
          <w:color w:val="auto"/>
          <w:sz w:val="20"/>
          <w:szCs w:val="20"/>
        </w:rPr>
        <w:t xml:space="preserve"> T</w:t>
      </w:r>
      <w:r w:rsidRPr="00155FE9">
        <w:rPr>
          <w:color w:val="auto"/>
          <w:sz w:val="20"/>
          <w:szCs w:val="20"/>
        </w:rPr>
        <w:t>he OLC devoted considerable focus to engaging with non-governmental stakeholders</w:t>
      </w:r>
      <w:r>
        <w:rPr>
          <w:color w:val="auto"/>
          <w:sz w:val="20"/>
          <w:szCs w:val="20"/>
        </w:rPr>
        <w:t>, i</w:t>
      </w:r>
      <w:r w:rsidRPr="00155FE9">
        <w:rPr>
          <w:color w:val="auto"/>
          <w:sz w:val="20"/>
          <w:szCs w:val="20"/>
        </w:rPr>
        <w:t>n particular</w:t>
      </w:r>
      <w:r>
        <w:rPr>
          <w:color w:val="auto"/>
          <w:sz w:val="20"/>
          <w:szCs w:val="20"/>
        </w:rPr>
        <w:t xml:space="preserve"> through</w:t>
      </w:r>
      <w:r w:rsidRPr="00155FE9">
        <w:rPr>
          <w:color w:val="auto"/>
          <w:sz w:val="20"/>
          <w:szCs w:val="20"/>
        </w:rPr>
        <w:t xml:space="preserve"> </w:t>
      </w:r>
      <w:r>
        <w:rPr>
          <w:color w:val="auto"/>
          <w:sz w:val="20"/>
          <w:szCs w:val="20"/>
        </w:rPr>
        <w:t xml:space="preserve">the </w:t>
      </w:r>
      <w:r w:rsidRPr="00155FE9">
        <w:rPr>
          <w:color w:val="auto"/>
          <w:sz w:val="20"/>
          <w:szCs w:val="20"/>
        </w:rPr>
        <w:t>annual meetings of accredited non-governmental organizations with the Director General in 2014 and</w:t>
      </w:r>
      <w:r>
        <w:rPr>
          <w:color w:val="auto"/>
          <w:sz w:val="20"/>
          <w:szCs w:val="20"/>
        </w:rPr>
        <w:t> </w:t>
      </w:r>
      <w:r w:rsidRPr="00155FE9">
        <w:rPr>
          <w:color w:val="auto"/>
          <w:sz w:val="20"/>
          <w:szCs w:val="20"/>
        </w:rPr>
        <w:t>2015</w:t>
      </w:r>
      <w:r>
        <w:rPr>
          <w:color w:val="auto"/>
          <w:sz w:val="20"/>
          <w:szCs w:val="20"/>
        </w:rPr>
        <w:t>.</w:t>
      </w:r>
      <w:r w:rsidRPr="00155FE9">
        <w:rPr>
          <w:color w:val="auto"/>
          <w:sz w:val="20"/>
          <w:szCs w:val="20"/>
        </w:rPr>
        <w:t xml:space="preserve"> </w:t>
      </w:r>
    </w:p>
    <w:p w:rsidR="00F11DB9" w:rsidRPr="0056507A" w:rsidRDefault="00F11DB9" w:rsidP="00F11DB9">
      <w:pPr>
        <w:pStyle w:val="Default"/>
        <w:tabs>
          <w:tab w:val="left" w:pos="709"/>
        </w:tabs>
        <w:jc w:val="both"/>
        <w:rPr>
          <w:sz w:val="20"/>
          <w:szCs w:val="20"/>
        </w:rPr>
      </w:pPr>
    </w:p>
    <w:p w:rsidR="00F11DB9" w:rsidRPr="0009115F" w:rsidRDefault="00F11DB9" w:rsidP="00CE367A">
      <w:pPr>
        <w:pStyle w:val="Default"/>
        <w:numPr>
          <w:ilvl w:val="0"/>
          <w:numId w:val="34"/>
        </w:numPr>
        <w:tabs>
          <w:tab w:val="left" w:pos="709"/>
        </w:tabs>
        <w:ind w:left="0" w:firstLine="0"/>
        <w:jc w:val="both"/>
        <w:rPr>
          <w:sz w:val="20"/>
          <w:szCs w:val="20"/>
        </w:rPr>
      </w:pPr>
      <w:r w:rsidRPr="00155FE9">
        <w:rPr>
          <w:color w:val="auto"/>
          <w:sz w:val="20"/>
          <w:szCs w:val="20"/>
        </w:rPr>
        <w:t xml:space="preserve">The </w:t>
      </w:r>
      <w:r w:rsidRPr="00A26C66">
        <w:rPr>
          <w:color w:val="auto"/>
          <w:sz w:val="20"/>
          <w:szCs w:val="20"/>
        </w:rPr>
        <w:t xml:space="preserve">Assemblies Affairs and Documentation Division (AADD) </w:t>
      </w:r>
      <w:r w:rsidRPr="00155FE9">
        <w:rPr>
          <w:color w:val="auto"/>
          <w:sz w:val="20"/>
          <w:szCs w:val="20"/>
        </w:rPr>
        <w:t xml:space="preserve">coordinated the organization of the </w:t>
      </w:r>
      <w:r>
        <w:rPr>
          <w:color w:val="auto"/>
          <w:sz w:val="20"/>
          <w:szCs w:val="20"/>
        </w:rPr>
        <w:t>regular</w:t>
      </w:r>
      <w:r w:rsidRPr="00155FE9">
        <w:rPr>
          <w:color w:val="auto"/>
          <w:sz w:val="20"/>
          <w:szCs w:val="20"/>
        </w:rPr>
        <w:t xml:space="preserve"> sessions of the Assemblies in 2014 and 2015, in addition to two extraordinary sessions </w:t>
      </w:r>
      <w:r>
        <w:rPr>
          <w:color w:val="auto"/>
          <w:sz w:val="20"/>
          <w:szCs w:val="20"/>
        </w:rPr>
        <w:t>in March</w:t>
      </w:r>
      <w:r w:rsidR="00100A4A">
        <w:rPr>
          <w:color w:val="auto"/>
          <w:sz w:val="20"/>
          <w:szCs w:val="20"/>
        </w:rPr>
        <w:t> </w:t>
      </w:r>
      <w:r>
        <w:rPr>
          <w:color w:val="auto"/>
          <w:sz w:val="20"/>
          <w:szCs w:val="20"/>
        </w:rPr>
        <w:t>2014 (</w:t>
      </w:r>
      <w:r w:rsidRPr="00155FE9">
        <w:rPr>
          <w:color w:val="auto"/>
          <w:sz w:val="20"/>
          <w:szCs w:val="20"/>
        </w:rPr>
        <w:t>Coordination Committee</w:t>
      </w:r>
      <w:r>
        <w:rPr>
          <w:color w:val="auto"/>
          <w:sz w:val="20"/>
          <w:szCs w:val="20"/>
        </w:rPr>
        <w:t>) and May</w:t>
      </w:r>
      <w:r w:rsidRPr="00155FE9">
        <w:rPr>
          <w:color w:val="auto"/>
          <w:sz w:val="20"/>
          <w:szCs w:val="20"/>
        </w:rPr>
        <w:t xml:space="preserve"> 2014 </w:t>
      </w:r>
      <w:r>
        <w:rPr>
          <w:color w:val="auto"/>
          <w:sz w:val="20"/>
          <w:szCs w:val="20"/>
        </w:rPr>
        <w:t>(</w:t>
      </w:r>
      <w:r w:rsidRPr="00155FE9">
        <w:rPr>
          <w:color w:val="auto"/>
          <w:sz w:val="20"/>
          <w:szCs w:val="20"/>
        </w:rPr>
        <w:t>General Assembly</w:t>
      </w:r>
      <w:r>
        <w:rPr>
          <w:color w:val="auto"/>
          <w:sz w:val="20"/>
          <w:szCs w:val="20"/>
        </w:rPr>
        <w:t>)</w:t>
      </w:r>
      <w:r w:rsidRPr="00155FE9">
        <w:rPr>
          <w:color w:val="auto"/>
          <w:sz w:val="20"/>
          <w:szCs w:val="20"/>
        </w:rPr>
        <w:t xml:space="preserve">.  Around 1,000 delegates from more than 200 Member States and Observers attended each of the </w:t>
      </w:r>
      <w:r>
        <w:rPr>
          <w:color w:val="auto"/>
          <w:sz w:val="20"/>
          <w:szCs w:val="20"/>
        </w:rPr>
        <w:t>regular</w:t>
      </w:r>
      <w:r w:rsidRPr="00155FE9">
        <w:rPr>
          <w:color w:val="auto"/>
          <w:sz w:val="20"/>
          <w:szCs w:val="20"/>
        </w:rPr>
        <w:t xml:space="preserve"> sessions.  Organizational innovations and rationalizations continued to be introduced and/or refined (e.g. webcasting, electronic registration, badges with pictures, new travel procedures) to enhance the effectiveness of the meetings, to reduce their cost and carbon footprint</w:t>
      </w:r>
      <w:r>
        <w:rPr>
          <w:color w:val="auto"/>
          <w:sz w:val="20"/>
          <w:szCs w:val="20"/>
        </w:rPr>
        <w:t>,</w:t>
      </w:r>
      <w:r w:rsidRPr="00155FE9">
        <w:rPr>
          <w:color w:val="auto"/>
          <w:sz w:val="20"/>
          <w:szCs w:val="20"/>
        </w:rPr>
        <w:t xml:space="preserve"> as well as to promote more openness and accessibility of the proceedings.  Documentation was delivered well in advance.</w:t>
      </w:r>
      <w:r>
        <w:rPr>
          <w:color w:val="auto"/>
          <w:sz w:val="20"/>
          <w:szCs w:val="20"/>
        </w:rPr>
        <w:t xml:space="preserve"> </w:t>
      </w:r>
      <w:r w:rsidRPr="00155FE9">
        <w:rPr>
          <w:color w:val="auto"/>
          <w:sz w:val="20"/>
          <w:szCs w:val="20"/>
        </w:rPr>
        <w:t xml:space="preserve"> The attention to improving efficiency and the Member States’ experience of the Assemblies was reflected in the very high satisfaction levels achieved in surveys</w:t>
      </w:r>
      <w:r>
        <w:rPr>
          <w:color w:val="auto"/>
          <w:sz w:val="20"/>
          <w:szCs w:val="20"/>
        </w:rPr>
        <w:t>.</w:t>
      </w:r>
      <w:r w:rsidRPr="0009115F">
        <w:rPr>
          <w:sz w:val="20"/>
          <w:szCs w:val="20"/>
        </w:rPr>
        <w:t xml:space="preserve"> </w:t>
      </w:r>
    </w:p>
    <w:p w:rsidR="00F11DB9" w:rsidRPr="0056507A" w:rsidRDefault="00F11DB9" w:rsidP="00F11DB9">
      <w:pPr>
        <w:pStyle w:val="Default"/>
        <w:tabs>
          <w:tab w:val="left" w:pos="709"/>
        </w:tabs>
        <w:jc w:val="both"/>
        <w:rPr>
          <w:sz w:val="20"/>
          <w:szCs w:val="20"/>
        </w:rPr>
      </w:pPr>
    </w:p>
    <w:p w:rsidR="00F11DB9" w:rsidRPr="0056507A" w:rsidRDefault="00F11DB9" w:rsidP="00CE367A">
      <w:pPr>
        <w:pStyle w:val="Default"/>
        <w:numPr>
          <w:ilvl w:val="0"/>
          <w:numId w:val="34"/>
        </w:numPr>
        <w:tabs>
          <w:tab w:val="left" w:pos="709"/>
        </w:tabs>
        <w:ind w:left="0" w:firstLine="0"/>
        <w:jc w:val="both"/>
        <w:rPr>
          <w:sz w:val="20"/>
          <w:szCs w:val="20"/>
        </w:rPr>
      </w:pPr>
      <w:r w:rsidRPr="0056507A">
        <w:rPr>
          <w:sz w:val="20"/>
          <w:szCs w:val="20"/>
        </w:rPr>
        <w:t>WIPO continued to engage actively with the UN system, including in the Chief Executives Board for Coordination (CEB) and in its two committees – the High Level Committee on Management (HLCM) and the High Level Committee on Programmes (HLCP)</w:t>
      </w:r>
      <w:r>
        <w:rPr>
          <w:sz w:val="20"/>
          <w:szCs w:val="20"/>
        </w:rPr>
        <w:t xml:space="preserve">, </w:t>
      </w:r>
      <w:r w:rsidRPr="0056507A">
        <w:rPr>
          <w:sz w:val="20"/>
          <w:szCs w:val="20"/>
        </w:rPr>
        <w:t>provid</w:t>
      </w:r>
      <w:r>
        <w:rPr>
          <w:sz w:val="20"/>
          <w:szCs w:val="20"/>
        </w:rPr>
        <w:t>ing</w:t>
      </w:r>
      <w:r w:rsidRPr="0056507A">
        <w:rPr>
          <w:sz w:val="20"/>
          <w:szCs w:val="20"/>
        </w:rPr>
        <w:t xml:space="preserve"> an important opportunity for WIPO to highlight its perspectives within UN System deliberations, to share good administrative and operational practices, as well as the opportunity to involve the Organization in assisting to build coherence across the UN System. </w:t>
      </w:r>
    </w:p>
    <w:p w:rsidR="00F11DB9" w:rsidRPr="0056507A" w:rsidRDefault="00F11DB9" w:rsidP="00F11DB9">
      <w:pPr>
        <w:tabs>
          <w:tab w:val="left" w:pos="709"/>
        </w:tabs>
        <w:jc w:val="both"/>
        <w:rPr>
          <w:szCs w:val="20"/>
        </w:rPr>
      </w:pPr>
    </w:p>
    <w:p w:rsidR="00F11DB9" w:rsidRPr="00CE367A" w:rsidRDefault="00F11DB9" w:rsidP="00CE367A">
      <w:pPr>
        <w:pStyle w:val="Default"/>
        <w:numPr>
          <w:ilvl w:val="0"/>
          <w:numId w:val="34"/>
        </w:numPr>
        <w:tabs>
          <w:tab w:val="left" w:pos="709"/>
        </w:tabs>
        <w:ind w:left="0" w:firstLine="0"/>
        <w:jc w:val="both"/>
        <w:rPr>
          <w:sz w:val="20"/>
          <w:szCs w:val="20"/>
        </w:rPr>
      </w:pPr>
      <w:r w:rsidRPr="00CE367A">
        <w:rPr>
          <w:sz w:val="20"/>
          <w:szCs w:val="20"/>
        </w:rPr>
        <w:t>In December 2014, the ODG was allocated responsibility for the overall coordination of all External Offices and the supervisory responsibility for the WIPO Singapore Office and the WIPO Brazil Office.  A dedicated series of initiatives were launched in January 2015 to ensure greater functional coherence and the full integration of the External Offices into the work of the Organization.  These included the first ever meeting of Heads of Offices at headquarters, numerous working groups to examine organizational policy impact on External Offices, regular bi-monthly video conferences, the roll out of a new IT architecture to provide seamless connectivity between Offices and headquarters, and the revamping of webpages of the Offices.  Indications were immediately evident that a new culture of External Offices is being inculcated in WIPO, which has positively impacted on mandate implementation.</w:t>
      </w:r>
    </w:p>
    <w:p w:rsidR="00F11DB9" w:rsidRPr="00155FE9" w:rsidRDefault="00F11DB9" w:rsidP="00F11DB9">
      <w:pPr>
        <w:tabs>
          <w:tab w:val="left" w:pos="709"/>
        </w:tabs>
        <w:jc w:val="both"/>
        <w:rPr>
          <w:szCs w:val="20"/>
        </w:rPr>
      </w:pPr>
    </w:p>
    <w:p w:rsidR="00F11DB9" w:rsidRPr="00D25462" w:rsidRDefault="00F11DB9" w:rsidP="00CE367A">
      <w:pPr>
        <w:pStyle w:val="Default"/>
        <w:numPr>
          <w:ilvl w:val="0"/>
          <w:numId w:val="34"/>
        </w:numPr>
        <w:tabs>
          <w:tab w:val="left" w:pos="709"/>
        </w:tabs>
        <w:ind w:left="0" w:firstLine="0"/>
        <w:jc w:val="both"/>
        <w:rPr>
          <w:color w:val="auto"/>
          <w:sz w:val="20"/>
          <w:szCs w:val="20"/>
        </w:rPr>
      </w:pPr>
      <w:r w:rsidRPr="00155FE9">
        <w:rPr>
          <w:color w:val="auto"/>
          <w:sz w:val="20"/>
          <w:szCs w:val="20"/>
        </w:rPr>
        <w:t xml:space="preserve">The Ethics Office was impacted by the absence of a Chief Ethics Officer from April to July 2014.  A Chief Ethics Officer </w:t>
      </w:r>
      <w:r w:rsidRPr="00155FE9">
        <w:rPr>
          <w:i/>
          <w:iCs/>
          <w:color w:val="auto"/>
          <w:sz w:val="20"/>
          <w:szCs w:val="20"/>
        </w:rPr>
        <w:t xml:space="preserve">ad interim </w:t>
      </w:r>
      <w:r w:rsidRPr="00155FE9">
        <w:rPr>
          <w:color w:val="auto"/>
          <w:sz w:val="20"/>
          <w:szCs w:val="20"/>
        </w:rPr>
        <w:t xml:space="preserve">was designated </w:t>
      </w:r>
      <w:r>
        <w:rPr>
          <w:color w:val="auto"/>
          <w:sz w:val="20"/>
          <w:szCs w:val="20"/>
        </w:rPr>
        <w:t>from</w:t>
      </w:r>
      <w:r w:rsidRPr="00155FE9">
        <w:rPr>
          <w:color w:val="auto"/>
          <w:sz w:val="20"/>
          <w:szCs w:val="20"/>
        </w:rPr>
        <w:t xml:space="preserve"> August </w:t>
      </w:r>
      <w:r>
        <w:rPr>
          <w:color w:val="auto"/>
          <w:sz w:val="20"/>
          <w:szCs w:val="20"/>
        </w:rPr>
        <w:t xml:space="preserve">2014 until </w:t>
      </w:r>
      <w:r w:rsidRPr="00155FE9">
        <w:rPr>
          <w:color w:val="auto"/>
          <w:sz w:val="20"/>
          <w:szCs w:val="20"/>
        </w:rPr>
        <w:t xml:space="preserve">September 2015 when </w:t>
      </w:r>
      <w:r>
        <w:rPr>
          <w:color w:val="auto"/>
          <w:sz w:val="20"/>
          <w:szCs w:val="20"/>
        </w:rPr>
        <w:t>the new Chief Ethics Officer was appointed.</w:t>
      </w:r>
      <w:r w:rsidRPr="00155FE9">
        <w:rPr>
          <w:color w:val="auto"/>
          <w:sz w:val="20"/>
          <w:szCs w:val="20"/>
        </w:rPr>
        <w:t xml:space="preserve">  </w:t>
      </w:r>
      <w:r>
        <w:rPr>
          <w:color w:val="auto"/>
          <w:sz w:val="20"/>
          <w:szCs w:val="20"/>
        </w:rPr>
        <w:t>T</w:t>
      </w:r>
      <w:r w:rsidRPr="00155FE9">
        <w:rPr>
          <w:color w:val="auto"/>
          <w:sz w:val="20"/>
          <w:szCs w:val="20"/>
        </w:rPr>
        <w:t xml:space="preserve">he Ethics Office continued to implement its Declaration of Interest </w:t>
      </w:r>
      <w:r>
        <w:rPr>
          <w:color w:val="auto"/>
          <w:sz w:val="20"/>
          <w:szCs w:val="20"/>
        </w:rPr>
        <w:t>P</w:t>
      </w:r>
      <w:r w:rsidRPr="00155FE9">
        <w:rPr>
          <w:color w:val="auto"/>
          <w:sz w:val="20"/>
          <w:szCs w:val="20"/>
        </w:rPr>
        <w:t>olicy, which notably includes the disclosure of financial interests in compliance with IPSAS</w:t>
      </w:r>
      <w:r>
        <w:rPr>
          <w:color w:val="auto"/>
          <w:sz w:val="20"/>
          <w:szCs w:val="20"/>
        </w:rPr>
        <w:t xml:space="preserve"> and </w:t>
      </w:r>
      <w:r w:rsidRPr="00155FE9">
        <w:rPr>
          <w:color w:val="auto"/>
          <w:sz w:val="20"/>
          <w:szCs w:val="20"/>
        </w:rPr>
        <w:t xml:space="preserve">oversaw the </w:t>
      </w:r>
      <w:r w:rsidR="00B007A4" w:rsidRPr="003D42DB">
        <w:rPr>
          <w:bCs/>
          <w:color w:val="auto"/>
          <w:sz w:val="20"/>
          <w:szCs w:val="20"/>
        </w:rPr>
        <w:t>Policy to Protect Against Retaliation for Cooperating in an Oversight Activity or Reporting Misconduct or Other Wrongdoing</w:t>
      </w:r>
      <w:r w:rsidR="00B007A4">
        <w:rPr>
          <w:color w:val="auto"/>
          <w:sz w:val="20"/>
          <w:szCs w:val="20"/>
        </w:rPr>
        <w:t xml:space="preserve"> (</w:t>
      </w:r>
      <w:r>
        <w:rPr>
          <w:color w:val="auto"/>
          <w:sz w:val="20"/>
          <w:szCs w:val="20"/>
        </w:rPr>
        <w:t>Whistleblower Protection Policy</w:t>
      </w:r>
      <w:r w:rsidR="00B007A4">
        <w:rPr>
          <w:color w:val="auto"/>
          <w:sz w:val="20"/>
          <w:szCs w:val="20"/>
        </w:rPr>
        <w:t>)</w:t>
      </w:r>
      <w:r w:rsidRPr="00155FE9">
        <w:rPr>
          <w:color w:val="auto"/>
          <w:sz w:val="20"/>
          <w:szCs w:val="20"/>
        </w:rPr>
        <w:t xml:space="preserve">, which articulates the value placed on the participation of all staff in the Organization’s oversight by affording protection against retaliation. </w:t>
      </w:r>
      <w:r>
        <w:rPr>
          <w:color w:val="auto"/>
          <w:sz w:val="20"/>
          <w:szCs w:val="20"/>
        </w:rPr>
        <w:t xml:space="preserve"> </w:t>
      </w:r>
      <w:r w:rsidRPr="00155FE9">
        <w:rPr>
          <w:color w:val="auto"/>
          <w:sz w:val="20"/>
          <w:szCs w:val="20"/>
        </w:rPr>
        <w:t xml:space="preserve">The WIPO Code of Ethics continued to provide a common platform of guiding principles and values expected to be observed by WIPO staff in the conduct of their functions, and the Office provided advisory services to staff at all levels on its implementation. </w:t>
      </w:r>
      <w:r>
        <w:rPr>
          <w:color w:val="auto"/>
          <w:sz w:val="20"/>
          <w:szCs w:val="20"/>
        </w:rPr>
        <w:t xml:space="preserve"> </w:t>
      </w:r>
      <w:r w:rsidRPr="00155FE9">
        <w:rPr>
          <w:color w:val="auto"/>
          <w:sz w:val="20"/>
          <w:szCs w:val="20"/>
        </w:rPr>
        <w:t xml:space="preserve">In addition, mandatory ethics training </w:t>
      </w:r>
      <w:r>
        <w:rPr>
          <w:color w:val="auto"/>
          <w:sz w:val="20"/>
          <w:szCs w:val="20"/>
        </w:rPr>
        <w:t xml:space="preserve">was provided </w:t>
      </w:r>
      <w:r w:rsidRPr="00155FE9">
        <w:rPr>
          <w:color w:val="auto"/>
          <w:sz w:val="20"/>
          <w:szCs w:val="20"/>
        </w:rPr>
        <w:t xml:space="preserve">to staff upon joining the Organization, ensuring that new colleagues are well versed in the ethics culture of WIPO.  Engagement with the Ethics Network of Multilateral Organizations was </w:t>
      </w:r>
      <w:r>
        <w:rPr>
          <w:color w:val="auto"/>
          <w:sz w:val="20"/>
          <w:szCs w:val="20"/>
        </w:rPr>
        <w:t xml:space="preserve">also </w:t>
      </w:r>
      <w:r w:rsidRPr="00155FE9">
        <w:rPr>
          <w:color w:val="auto"/>
          <w:sz w:val="20"/>
          <w:szCs w:val="20"/>
        </w:rPr>
        <w:t xml:space="preserve">intensified </w:t>
      </w:r>
    </w:p>
    <w:p w:rsidR="00F11DB9" w:rsidRPr="0056507A" w:rsidRDefault="00F11DB9" w:rsidP="00F11DB9">
      <w:pPr>
        <w:pStyle w:val="Default"/>
        <w:tabs>
          <w:tab w:val="left" w:pos="709"/>
        </w:tabs>
        <w:jc w:val="both"/>
        <w:rPr>
          <w:sz w:val="20"/>
          <w:szCs w:val="20"/>
        </w:rPr>
      </w:pPr>
    </w:p>
    <w:p w:rsidR="00F11DB9" w:rsidRDefault="00F11DB9" w:rsidP="00CE367A">
      <w:pPr>
        <w:pStyle w:val="Default"/>
        <w:numPr>
          <w:ilvl w:val="0"/>
          <w:numId w:val="34"/>
        </w:numPr>
        <w:tabs>
          <w:tab w:val="left" w:pos="709"/>
        </w:tabs>
        <w:ind w:left="0" w:firstLine="0"/>
        <w:jc w:val="both"/>
        <w:rPr>
          <w:sz w:val="20"/>
          <w:szCs w:val="20"/>
        </w:rPr>
      </w:pPr>
      <w:r>
        <w:rPr>
          <w:sz w:val="20"/>
          <w:szCs w:val="20"/>
        </w:rPr>
        <w:t xml:space="preserve">The Office of the Ombudsperson, an integral part of the Organization’s accountability and integrity framework, was strengthened with the entering into force of the new administration of justice system on January 1, 2014.  A key aspect of this reform was the recognition of the importance of conflict prevention by inclusion of informal conflict resolution in the Staff Regulations and </w:t>
      </w:r>
      <w:r w:rsidRPr="00155FE9">
        <w:rPr>
          <w:color w:val="auto"/>
          <w:sz w:val="20"/>
          <w:szCs w:val="20"/>
        </w:rPr>
        <w:t xml:space="preserve">Rules. </w:t>
      </w:r>
      <w:r>
        <w:rPr>
          <w:color w:val="auto"/>
          <w:sz w:val="20"/>
          <w:szCs w:val="20"/>
        </w:rPr>
        <w:t xml:space="preserve"> </w:t>
      </w:r>
      <w:r w:rsidRPr="00155FE9">
        <w:rPr>
          <w:color w:val="auto"/>
          <w:sz w:val="20"/>
          <w:szCs w:val="20"/>
        </w:rPr>
        <w:t>Complementing this change, the Office focused on building awareness and conflict competency among staff through training initiatives</w:t>
      </w:r>
      <w:r>
        <w:rPr>
          <w:color w:val="auto"/>
          <w:sz w:val="20"/>
          <w:szCs w:val="20"/>
        </w:rPr>
        <w:t>,</w:t>
      </w:r>
      <w:r w:rsidRPr="00155FE9">
        <w:rPr>
          <w:color w:val="auto"/>
          <w:sz w:val="20"/>
          <w:szCs w:val="20"/>
        </w:rPr>
        <w:t xml:space="preserve"> which included</w:t>
      </w:r>
      <w:r>
        <w:rPr>
          <w:color w:val="auto"/>
          <w:sz w:val="20"/>
          <w:szCs w:val="20"/>
        </w:rPr>
        <w:t xml:space="preserve">: </w:t>
      </w:r>
      <w:r w:rsidRPr="00155FE9">
        <w:rPr>
          <w:color w:val="auto"/>
          <w:sz w:val="20"/>
          <w:szCs w:val="20"/>
        </w:rPr>
        <w:t>workshops on nonviolent communication</w:t>
      </w:r>
      <w:r>
        <w:rPr>
          <w:color w:val="auto"/>
          <w:sz w:val="20"/>
          <w:szCs w:val="20"/>
        </w:rPr>
        <w:t xml:space="preserve">; </w:t>
      </w:r>
      <w:r w:rsidRPr="00155FE9">
        <w:rPr>
          <w:color w:val="auto"/>
          <w:sz w:val="20"/>
          <w:szCs w:val="20"/>
        </w:rPr>
        <w:t>an organization-wide roll-out of a two-day conflict management training for 631 staff</w:t>
      </w:r>
      <w:r>
        <w:rPr>
          <w:color w:val="auto"/>
          <w:sz w:val="20"/>
          <w:szCs w:val="20"/>
        </w:rPr>
        <w:t xml:space="preserve">; </w:t>
      </w:r>
      <w:r w:rsidRPr="00155FE9">
        <w:rPr>
          <w:color w:val="auto"/>
          <w:sz w:val="20"/>
          <w:szCs w:val="20"/>
        </w:rPr>
        <w:t>and orientation programs</w:t>
      </w:r>
      <w:r>
        <w:rPr>
          <w:color w:val="auto"/>
          <w:sz w:val="20"/>
          <w:szCs w:val="20"/>
        </w:rPr>
        <w:t xml:space="preserve"> </w:t>
      </w:r>
      <w:r w:rsidRPr="00155FE9">
        <w:rPr>
          <w:color w:val="auto"/>
          <w:sz w:val="20"/>
          <w:szCs w:val="20"/>
        </w:rPr>
        <w:t>for new staff.</w:t>
      </w:r>
      <w:r>
        <w:rPr>
          <w:color w:val="auto"/>
          <w:sz w:val="20"/>
          <w:szCs w:val="20"/>
        </w:rPr>
        <w:t xml:space="preserve"> </w:t>
      </w:r>
      <w:r w:rsidRPr="00155FE9">
        <w:rPr>
          <w:color w:val="auto"/>
          <w:sz w:val="20"/>
          <w:szCs w:val="20"/>
        </w:rPr>
        <w:t xml:space="preserve"> </w:t>
      </w:r>
    </w:p>
    <w:p w:rsidR="00F11DB9" w:rsidRPr="0056507A" w:rsidRDefault="00F11DB9" w:rsidP="00F11DB9">
      <w:pPr>
        <w:pStyle w:val="Default"/>
        <w:tabs>
          <w:tab w:val="left" w:pos="709"/>
        </w:tabs>
        <w:jc w:val="both"/>
        <w:rPr>
          <w:sz w:val="20"/>
          <w:szCs w:val="20"/>
        </w:rPr>
      </w:pPr>
    </w:p>
    <w:p w:rsidR="00F11DB9" w:rsidRPr="00155FE9" w:rsidRDefault="00F11DB9" w:rsidP="00CE367A">
      <w:pPr>
        <w:pStyle w:val="Default"/>
        <w:numPr>
          <w:ilvl w:val="0"/>
          <w:numId w:val="34"/>
        </w:numPr>
        <w:tabs>
          <w:tab w:val="left" w:pos="709"/>
        </w:tabs>
        <w:ind w:left="0" w:firstLine="0"/>
        <w:jc w:val="both"/>
        <w:rPr>
          <w:color w:val="auto"/>
          <w:sz w:val="20"/>
          <w:szCs w:val="20"/>
        </w:rPr>
      </w:pPr>
      <w:r w:rsidRPr="00155FE9">
        <w:rPr>
          <w:color w:val="auto"/>
          <w:sz w:val="20"/>
          <w:szCs w:val="20"/>
        </w:rPr>
        <w:t xml:space="preserve">In </w:t>
      </w:r>
      <w:r w:rsidRPr="00CE367A">
        <w:rPr>
          <w:sz w:val="20"/>
          <w:szCs w:val="20"/>
        </w:rPr>
        <w:t>May</w:t>
      </w:r>
      <w:r w:rsidRPr="00155FE9">
        <w:rPr>
          <w:color w:val="auto"/>
          <w:sz w:val="20"/>
          <w:szCs w:val="20"/>
        </w:rPr>
        <w:t xml:space="preserve"> 2014, the role of Business Continuity Coordinator was established in the ODG.</w:t>
      </w:r>
      <w:r>
        <w:rPr>
          <w:color w:val="auto"/>
          <w:sz w:val="20"/>
          <w:szCs w:val="20"/>
        </w:rPr>
        <w:t xml:space="preserve"> </w:t>
      </w:r>
      <w:r w:rsidRPr="00155FE9">
        <w:rPr>
          <w:color w:val="auto"/>
          <w:sz w:val="20"/>
          <w:szCs w:val="20"/>
        </w:rPr>
        <w:t xml:space="preserve"> Considerable progress was made to put in place required elements of a dedicated organizational resilience system, such as the publication of an Organizational Resilience Policy and Strategy</w:t>
      </w:r>
      <w:r>
        <w:rPr>
          <w:color w:val="auto"/>
          <w:sz w:val="20"/>
          <w:szCs w:val="20"/>
        </w:rPr>
        <w:t>,</w:t>
      </w:r>
      <w:r w:rsidRPr="00155FE9">
        <w:rPr>
          <w:color w:val="auto"/>
          <w:sz w:val="20"/>
          <w:szCs w:val="20"/>
        </w:rPr>
        <w:t xml:space="preserve"> and the implementation and launch of the </w:t>
      </w:r>
      <w:r>
        <w:rPr>
          <w:color w:val="auto"/>
          <w:sz w:val="20"/>
          <w:szCs w:val="20"/>
        </w:rPr>
        <w:t>O</w:t>
      </w:r>
      <w:r w:rsidRPr="00155FE9">
        <w:rPr>
          <w:color w:val="auto"/>
          <w:sz w:val="20"/>
          <w:szCs w:val="20"/>
        </w:rPr>
        <w:t>rganization's first Emergency Notifications System (E</w:t>
      </w:r>
      <w:r>
        <w:rPr>
          <w:color w:val="auto"/>
          <w:sz w:val="20"/>
          <w:szCs w:val="20"/>
        </w:rPr>
        <w:t>N</w:t>
      </w:r>
      <w:r w:rsidRPr="00155FE9">
        <w:rPr>
          <w:color w:val="auto"/>
          <w:sz w:val="20"/>
          <w:szCs w:val="20"/>
        </w:rPr>
        <w:t>S).  Building on these policy foundations, a</w:t>
      </w:r>
      <w:r>
        <w:rPr>
          <w:color w:val="auto"/>
          <w:sz w:val="20"/>
          <w:szCs w:val="20"/>
        </w:rPr>
        <w:t xml:space="preserve"> b</w:t>
      </w:r>
      <w:r w:rsidRPr="00155FE9">
        <w:rPr>
          <w:color w:val="auto"/>
          <w:sz w:val="20"/>
          <w:szCs w:val="20"/>
        </w:rPr>
        <w:t xml:space="preserve">usiness </w:t>
      </w:r>
      <w:r>
        <w:rPr>
          <w:color w:val="auto"/>
          <w:sz w:val="20"/>
          <w:szCs w:val="20"/>
        </w:rPr>
        <w:t>i</w:t>
      </w:r>
      <w:r w:rsidRPr="00155FE9">
        <w:rPr>
          <w:color w:val="auto"/>
          <w:sz w:val="20"/>
          <w:szCs w:val="20"/>
        </w:rPr>
        <w:t xml:space="preserve">mpact </w:t>
      </w:r>
      <w:r>
        <w:rPr>
          <w:color w:val="auto"/>
          <w:sz w:val="20"/>
          <w:szCs w:val="20"/>
        </w:rPr>
        <w:t>a</w:t>
      </w:r>
      <w:r w:rsidRPr="00155FE9">
        <w:rPr>
          <w:color w:val="auto"/>
          <w:sz w:val="20"/>
          <w:szCs w:val="20"/>
        </w:rPr>
        <w:t>nalysis was initiated to identify the Organization’s priorities and expectations for recovery and reconstitution in the event of a disruptive event.  These elements are expected to provide a solid basis for further evolution of the system in the coming biennium.</w:t>
      </w:r>
    </w:p>
    <w:p w:rsidR="00F11DB9" w:rsidRPr="0056507A" w:rsidRDefault="00F11DB9" w:rsidP="00F11DB9">
      <w:pPr>
        <w:pStyle w:val="Default"/>
        <w:tabs>
          <w:tab w:val="left" w:pos="709"/>
        </w:tabs>
        <w:jc w:val="both"/>
        <w:rPr>
          <w:sz w:val="20"/>
          <w:szCs w:val="20"/>
        </w:rPr>
      </w:pPr>
    </w:p>
    <w:p w:rsidR="00F11DB9" w:rsidRPr="00155FE9" w:rsidRDefault="00F11DB9" w:rsidP="00CE367A">
      <w:pPr>
        <w:pStyle w:val="Default"/>
        <w:numPr>
          <w:ilvl w:val="0"/>
          <w:numId w:val="34"/>
        </w:numPr>
        <w:tabs>
          <w:tab w:val="left" w:pos="709"/>
        </w:tabs>
        <w:ind w:left="0" w:firstLine="0"/>
        <w:jc w:val="both"/>
        <w:rPr>
          <w:color w:val="auto"/>
          <w:sz w:val="20"/>
          <w:szCs w:val="20"/>
        </w:rPr>
      </w:pPr>
      <w:r w:rsidRPr="00155FE9">
        <w:rPr>
          <w:color w:val="auto"/>
          <w:sz w:val="20"/>
          <w:szCs w:val="20"/>
        </w:rPr>
        <w:t xml:space="preserve">In </w:t>
      </w:r>
      <w:r w:rsidRPr="00CE367A">
        <w:rPr>
          <w:sz w:val="20"/>
          <w:szCs w:val="20"/>
        </w:rPr>
        <w:t>February</w:t>
      </w:r>
      <w:r w:rsidRPr="00155FE9">
        <w:rPr>
          <w:color w:val="auto"/>
          <w:sz w:val="20"/>
          <w:szCs w:val="20"/>
        </w:rPr>
        <w:t xml:space="preserve"> 2014, with the appointment of the Chief of Protocol and Event Management, events activities were merged with </w:t>
      </w:r>
      <w:r>
        <w:rPr>
          <w:color w:val="auto"/>
          <w:sz w:val="20"/>
          <w:szCs w:val="20"/>
        </w:rPr>
        <w:t>P</w:t>
      </w:r>
      <w:r w:rsidRPr="00155FE9">
        <w:rPr>
          <w:color w:val="auto"/>
          <w:sz w:val="20"/>
          <w:szCs w:val="20"/>
        </w:rPr>
        <w:t xml:space="preserve">rotocol to enhance and optimize engagement with Member States and other stakeholders. </w:t>
      </w:r>
      <w:r>
        <w:rPr>
          <w:color w:val="auto"/>
          <w:sz w:val="20"/>
          <w:szCs w:val="20"/>
        </w:rPr>
        <w:t xml:space="preserve"> </w:t>
      </w:r>
      <w:r w:rsidRPr="00155FE9">
        <w:rPr>
          <w:color w:val="auto"/>
          <w:sz w:val="20"/>
          <w:szCs w:val="20"/>
        </w:rPr>
        <w:t xml:space="preserve">The </w:t>
      </w:r>
      <w:r>
        <w:rPr>
          <w:color w:val="auto"/>
          <w:sz w:val="20"/>
          <w:szCs w:val="20"/>
        </w:rPr>
        <w:t xml:space="preserve">General </w:t>
      </w:r>
      <w:r w:rsidRPr="00155FE9">
        <w:rPr>
          <w:color w:val="auto"/>
          <w:sz w:val="20"/>
          <w:szCs w:val="20"/>
        </w:rPr>
        <w:t xml:space="preserve">Assemblies in 2014 and 2015 saw a significant increase in the number of events and side-events requested and organized, including the inauguration of the new WIPO Conference Hall in 2014. </w:t>
      </w:r>
      <w:r>
        <w:rPr>
          <w:color w:val="auto"/>
          <w:sz w:val="20"/>
          <w:szCs w:val="20"/>
        </w:rPr>
        <w:t xml:space="preserve"> </w:t>
      </w:r>
      <w:r w:rsidRPr="00155FE9">
        <w:rPr>
          <w:color w:val="auto"/>
          <w:sz w:val="20"/>
          <w:szCs w:val="20"/>
        </w:rPr>
        <w:t xml:space="preserve">These events were positively received, as reflected in Delegates’ satisfaction levels.  </w:t>
      </w:r>
      <w:r>
        <w:rPr>
          <w:color w:val="auto"/>
          <w:sz w:val="20"/>
          <w:szCs w:val="20"/>
        </w:rPr>
        <w:t>T</w:t>
      </w:r>
      <w:r w:rsidRPr="00155FE9">
        <w:rPr>
          <w:color w:val="auto"/>
          <w:sz w:val="20"/>
          <w:szCs w:val="20"/>
        </w:rPr>
        <w:t>he numbers of events held in WIPO, including national days, increased</w:t>
      </w:r>
      <w:r>
        <w:rPr>
          <w:color w:val="auto"/>
          <w:sz w:val="20"/>
          <w:szCs w:val="20"/>
        </w:rPr>
        <w:t xml:space="preserve"> in 2015, thereby</w:t>
      </w:r>
      <w:r w:rsidRPr="00155FE9">
        <w:rPr>
          <w:color w:val="auto"/>
          <w:sz w:val="20"/>
          <w:szCs w:val="20"/>
        </w:rPr>
        <w:t xml:space="preserve"> fulfilling an important role of the WIPO Campus as a meeting space for Member States and other stakeholders.</w:t>
      </w:r>
    </w:p>
    <w:p w:rsidR="00F11DB9" w:rsidRPr="0056507A" w:rsidRDefault="00F11DB9" w:rsidP="00F11DB9">
      <w:pPr>
        <w:pStyle w:val="Default"/>
        <w:tabs>
          <w:tab w:val="left" w:pos="709"/>
        </w:tabs>
        <w:jc w:val="both"/>
        <w:rPr>
          <w:sz w:val="20"/>
          <w:szCs w:val="20"/>
        </w:rPr>
      </w:pPr>
    </w:p>
    <w:p w:rsidR="00F11DB9" w:rsidRPr="00CE367A" w:rsidRDefault="00F11DB9" w:rsidP="00CE367A">
      <w:pPr>
        <w:pStyle w:val="Default"/>
        <w:numPr>
          <w:ilvl w:val="0"/>
          <w:numId w:val="34"/>
        </w:numPr>
        <w:tabs>
          <w:tab w:val="left" w:pos="709"/>
        </w:tabs>
        <w:ind w:left="0" w:firstLine="0"/>
        <w:jc w:val="both"/>
        <w:rPr>
          <w:sz w:val="20"/>
          <w:szCs w:val="20"/>
        </w:rPr>
      </w:pPr>
      <w:r w:rsidRPr="00CE367A">
        <w:rPr>
          <w:sz w:val="20"/>
          <w:szCs w:val="20"/>
        </w:rPr>
        <w:t>The Program, including the work of the ODG, continued to play a key role in providing the overall strategic guidance and oversight to facilitate the mainstreaming and implementation of the WIPO Development Agenda by all relevant Sectors within WIPO.</w:t>
      </w:r>
    </w:p>
    <w:p w:rsidR="00F11DB9" w:rsidRDefault="00F11DB9" w:rsidP="00F11DB9">
      <w:pPr>
        <w:rPr>
          <w:rFonts w:eastAsia="SimSun" w:cs="Arial"/>
          <w:sz w:val="22"/>
          <w:lang w:eastAsia="zh-CN"/>
        </w:rPr>
      </w:pPr>
    </w:p>
    <w:p w:rsidR="00F11DB9" w:rsidRDefault="00F11DB9" w:rsidP="00F11DB9">
      <w:pPr>
        <w:rPr>
          <w:rFonts w:eastAsia="SimSun" w:cs="Arial"/>
          <w:sz w:val="22"/>
          <w:lang w:eastAsia="zh-CN"/>
        </w:rPr>
      </w:pPr>
    </w:p>
    <w:p w:rsidR="00F11DB9" w:rsidRPr="007F434F" w:rsidRDefault="00F11DB9" w:rsidP="00F11DB9">
      <w:pPr>
        <w:keepNext/>
        <w:keepLines/>
        <w:rPr>
          <w:rFonts w:eastAsia="SimSun" w:cs="Arial"/>
          <w:iCs/>
          <w:szCs w:val="20"/>
          <w:lang w:eastAsia="zh-CN"/>
        </w:rPr>
      </w:pPr>
      <w:r w:rsidRPr="007F434F">
        <w:rPr>
          <w:rFonts w:eastAsia="SimSun" w:cs="Arial"/>
          <w:lang w:eastAsia="zh-CN"/>
        </w:rPr>
        <w:t>PERFORMANCE DATA</w:t>
      </w:r>
    </w:p>
    <w:p w:rsidR="00F11DB9" w:rsidRDefault="00F11DB9" w:rsidP="00F11DB9">
      <w:pPr>
        <w:keepNext/>
        <w:keepLines/>
        <w:rPr>
          <w:rFonts w:cs="Arial"/>
          <w:color w:val="000000"/>
          <w:sz w:val="22"/>
          <w:szCs w:val="22"/>
        </w:rPr>
      </w:pPr>
    </w:p>
    <w:tbl>
      <w:tblPr>
        <w:tblW w:w="4962"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267"/>
        <w:gridCol w:w="2680"/>
        <w:gridCol w:w="1155"/>
        <w:gridCol w:w="104"/>
        <w:gridCol w:w="2306"/>
        <w:gridCol w:w="986"/>
      </w:tblGrid>
      <w:tr w:rsidR="00F11DB9" w:rsidRPr="00011B74" w:rsidTr="00F11DB9">
        <w:trPr>
          <w:trHeight w:val="488"/>
        </w:trPr>
        <w:tc>
          <w:tcPr>
            <w:tcW w:w="5000" w:type="pct"/>
            <w:gridSpan w:val="6"/>
            <w:tcBorders>
              <w:top w:val="single" w:sz="4" w:space="0" w:color="auto"/>
              <w:bottom w:val="single" w:sz="4" w:space="0" w:color="auto"/>
            </w:tcBorders>
            <w:shd w:val="clear" w:color="auto" w:fill="C6D9F1" w:themeFill="text2" w:themeFillTint="33"/>
            <w:vAlign w:val="center"/>
          </w:tcPr>
          <w:p w:rsidR="00F11DB9" w:rsidRPr="00A67F47" w:rsidRDefault="00F11DB9" w:rsidP="00F11DB9">
            <w:pPr>
              <w:keepNext/>
              <w:keepLines/>
              <w:tabs>
                <w:tab w:val="left" w:pos="1452"/>
              </w:tabs>
              <w:ind w:left="1452" w:hanging="1452"/>
              <w:rPr>
                <w:rFonts w:eastAsia="SimSun" w:cs="Arial"/>
                <w:b/>
                <w:bCs/>
                <w:sz w:val="16"/>
                <w:szCs w:val="16"/>
                <w:lang w:eastAsia="zh-CN"/>
              </w:rPr>
            </w:pPr>
            <w:r w:rsidRPr="00A67F47">
              <w:rPr>
                <w:rFonts w:eastAsia="SimSun" w:cs="Arial"/>
                <w:b/>
                <w:bCs/>
                <w:sz w:val="16"/>
                <w:szCs w:val="16"/>
                <w:lang w:eastAsia="zh-CN"/>
              </w:rPr>
              <w:t>Expected Result:</w:t>
            </w:r>
            <w:r w:rsidRPr="00A67F47">
              <w:rPr>
                <w:rFonts w:eastAsia="SimSun" w:cs="Arial"/>
                <w:b/>
                <w:bCs/>
                <w:sz w:val="16"/>
                <w:szCs w:val="16"/>
                <w:lang w:eastAsia="zh-CN"/>
              </w:rPr>
              <w:tab/>
            </w:r>
            <w:r w:rsidRPr="004D109D">
              <w:rPr>
                <w:rFonts w:eastAsia="SimSun" w:cs="Arial"/>
                <w:color w:val="000000"/>
                <w:sz w:val="16"/>
                <w:szCs w:val="16"/>
                <w:lang w:eastAsia="zh-CN"/>
              </w:rPr>
              <w:t>IV.2 Enhanced access to, and use of, IP information by IP institutions and the public to promote innovation and creativity</w:t>
            </w:r>
          </w:p>
        </w:tc>
      </w:tr>
      <w:tr w:rsidR="00F11DB9" w:rsidRPr="00717972" w:rsidTr="00F11DB9">
        <w:tc>
          <w:tcPr>
            <w:tcW w:w="1193" w:type="pct"/>
            <w:tcBorders>
              <w:top w:val="single" w:sz="4" w:space="0" w:color="auto"/>
            </w:tcBorders>
            <w:shd w:val="clear" w:color="auto" w:fill="auto"/>
            <w:vAlign w:val="center"/>
          </w:tcPr>
          <w:p w:rsidR="00F11DB9" w:rsidRPr="00A67F47" w:rsidRDefault="00F11DB9" w:rsidP="00F11DB9">
            <w:pPr>
              <w:keepNext/>
              <w:keepLines/>
              <w:rPr>
                <w:rFonts w:eastAsia="SimSun" w:cs="Arial"/>
                <w:sz w:val="16"/>
                <w:szCs w:val="16"/>
                <w:lang w:eastAsia="zh-CN"/>
              </w:rPr>
            </w:pPr>
            <w:r w:rsidRPr="00A67F47">
              <w:rPr>
                <w:rFonts w:eastAsia="SimSun" w:cs="Arial"/>
                <w:b/>
                <w:bCs/>
                <w:sz w:val="16"/>
                <w:szCs w:val="16"/>
                <w:lang w:eastAsia="zh-CN"/>
              </w:rPr>
              <w:t>Performance Indicators</w:t>
            </w:r>
          </w:p>
        </w:tc>
        <w:tc>
          <w:tcPr>
            <w:tcW w:w="1411" w:type="pct"/>
            <w:tcBorders>
              <w:top w:val="single" w:sz="4" w:space="0" w:color="auto"/>
            </w:tcBorders>
            <w:shd w:val="clear" w:color="auto" w:fill="auto"/>
            <w:vAlign w:val="center"/>
          </w:tcPr>
          <w:p w:rsidR="00F11DB9" w:rsidRPr="00A67F47" w:rsidRDefault="00F11DB9" w:rsidP="00F11DB9">
            <w:pPr>
              <w:keepNext/>
              <w:keepLines/>
              <w:rPr>
                <w:rFonts w:eastAsia="SimSun" w:cs="Arial"/>
                <w:b/>
                <w:bCs/>
                <w:sz w:val="16"/>
                <w:szCs w:val="16"/>
                <w:lang w:eastAsia="zh-CN"/>
              </w:rPr>
            </w:pPr>
            <w:r w:rsidRPr="0027745B">
              <w:rPr>
                <w:rFonts w:cs="Arial"/>
                <w:b/>
                <w:bCs/>
                <w:sz w:val="16"/>
                <w:szCs w:val="16"/>
              </w:rPr>
              <w:t>Baselines</w:t>
            </w:r>
          </w:p>
        </w:tc>
        <w:tc>
          <w:tcPr>
            <w:tcW w:w="608" w:type="pct"/>
            <w:tcBorders>
              <w:top w:val="single" w:sz="4" w:space="0" w:color="auto"/>
            </w:tcBorders>
            <w:shd w:val="clear" w:color="auto" w:fill="auto"/>
            <w:tcMar>
              <w:top w:w="110" w:type="dxa"/>
            </w:tcMar>
            <w:vAlign w:val="center"/>
          </w:tcPr>
          <w:p w:rsidR="00F11DB9" w:rsidRPr="0027745B" w:rsidRDefault="00F11DB9" w:rsidP="00F11DB9">
            <w:pPr>
              <w:keepNext/>
              <w:keepLines/>
              <w:rPr>
                <w:rFonts w:eastAsia="SimSun" w:cs="Arial"/>
                <w:b/>
                <w:sz w:val="16"/>
                <w:szCs w:val="16"/>
                <w:lang w:eastAsia="zh-CN"/>
              </w:rPr>
            </w:pPr>
            <w:r w:rsidRPr="0027745B">
              <w:rPr>
                <w:rFonts w:cs="Arial"/>
                <w:b/>
                <w:sz w:val="16"/>
                <w:szCs w:val="16"/>
              </w:rPr>
              <w:t>Target</w:t>
            </w:r>
            <w:r>
              <w:rPr>
                <w:rFonts w:cs="Arial"/>
                <w:b/>
                <w:sz w:val="16"/>
                <w:szCs w:val="16"/>
              </w:rPr>
              <w:t>s</w:t>
            </w:r>
          </w:p>
        </w:tc>
        <w:tc>
          <w:tcPr>
            <w:tcW w:w="1269" w:type="pct"/>
            <w:gridSpan w:val="2"/>
            <w:tcBorders>
              <w:top w:val="single" w:sz="4" w:space="0" w:color="auto"/>
            </w:tcBorders>
            <w:shd w:val="clear" w:color="auto" w:fill="FFFFFF"/>
            <w:tcMar>
              <w:top w:w="110" w:type="dxa"/>
            </w:tcMar>
            <w:vAlign w:val="center"/>
          </w:tcPr>
          <w:p w:rsidR="00F11DB9" w:rsidRPr="00A67F47" w:rsidRDefault="00F11DB9" w:rsidP="00F11DB9">
            <w:pPr>
              <w:keepNext/>
              <w:keepLines/>
              <w:rPr>
                <w:rFonts w:eastAsia="SimSun" w:cs="Arial"/>
                <w:sz w:val="16"/>
                <w:szCs w:val="16"/>
                <w:lang w:eastAsia="zh-CN"/>
              </w:rPr>
            </w:pPr>
            <w:r w:rsidRPr="00A67F47">
              <w:rPr>
                <w:rFonts w:eastAsia="SimSun" w:cs="Arial"/>
                <w:b/>
                <w:bCs/>
                <w:sz w:val="16"/>
                <w:szCs w:val="16"/>
                <w:lang w:eastAsia="zh-CN"/>
              </w:rPr>
              <w:t>Performance Data</w:t>
            </w:r>
          </w:p>
        </w:tc>
        <w:tc>
          <w:tcPr>
            <w:tcW w:w="519" w:type="pct"/>
            <w:tcBorders>
              <w:top w:val="single" w:sz="4" w:space="0" w:color="auto"/>
            </w:tcBorders>
            <w:shd w:val="clear" w:color="auto" w:fill="auto"/>
            <w:tcMar>
              <w:top w:w="110" w:type="dxa"/>
            </w:tcMar>
            <w:vAlign w:val="center"/>
          </w:tcPr>
          <w:p w:rsidR="00F11DB9" w:rsidRPr="0027745B" w:rsidRDefault="00F11DB9" w:rsidP="00F11DB9">
            <w:pPr>
              <w:keepNext/>
              <w:keepLines/>
              <w:jc w:val="center"/>
              <w:rPr>
                <w:rFonts w:eastAsia="SimSun" w:cs="Arial"/>
                <w:b/>
                <w:bCs/>
                <w:sz w:val="16"/>
                <w:szCs w:val="16"/>
                <w:lang w:eastAsia="zh-CN"/>
              </w:rPr>
            </w:pPr>
            <w:r w:rsidRPr="00A67F47">
              <w:rPr>
                <w:rFonts w:eastAsia="SimSun" w:cs="Arial"/>
                <w:b/>
                <w:bCs/>
                <w:sz w:val="16"/>
                <w:szCs w:val="16"/>
                <w:lang w:eastAsia="zh-CN"/>
              </w:rPr>
              <w:t>TLS</w:t>
            </w:r>
          </w:p>
        </w:tc>
      </w:tr>
      <w:tr w:rsidR="00F11DB9" w:rsidRPr="00011B74" w:rsidTr="00F11DB9">
        <w:tc>
          <w:tcPr>
            <w:tcW w:w="1193" w:type="pct"/>
            <w:shd w:val="clear" w:color="auto" w:fill="auto"/>
          </w:tcPr>
          <w:p w:rsidR="00F11DB9" w:rsidRPr="00A67F47" w:rsidRDefault="00F11DB9" w:rsidP="00F11DB9">
            <w:pPr>
              <w:keepNext/>
              <w:keepLines/>
              <w:rPr>
                <w:rFonts w:eastAsia="SimSun" w:cs="Arial"/>
                <w:color w:val="000000"/>
                <w:sz w:val="16"/>
                <w:szCs w:val="16"/>
                <w:lang w:eastAsia="zh-CN"/>
              </w:rPr>
            </w:pPr>
            <w:r w:rsidRPr="004D109D">
              <w:rPr>
                <w:rFonts w:eastAsia="SimSun" w:cs="Arial"/>
                <w:color w:val="000000"/>
                <w:sz w:val="16"/>
                <w:szCs w:val="16"/>
                <w:lang w:eastAsia="zh-CN"/>
              </w:rPr>
              <w:t>Increase in the no. of WIPO Lex users</w:t>
            </w:r>
          </w:p>
        </w:tc>
        <w:tc>
          <w:tcPr>
            <w:tcW w:w="1411" w:type="pct"/>
            <w:shd w:val="clear" w:color="auto" w:fill="auto"/>
          </w:tcPr>
          <w:p w:rsidR="00F11DB9" w:rsidRPr="0027745B" w:rsidRDefault="00F11DB9" w:rsidP="00F11DB9">
            <w:pPr>
              <w:keepNext/>
              <w:keepLines/>
              <w:rPr>
                <w:rFonts w:eastAsiaTheme="minorHAnsi" w:cs="Arial"/>
                <w:i/>
                <w:color w:val="002060"/>
                <w:sz w:val="16"/>
                <w:szCs w:val="16"/>
              </w:rPr>
            </w:pPr>
            <w:r>
              <w:rPr>
                <w:rFonts w:cs="Arial"/>
                <w:i/>
                <w:color w:val="002060"/>
                <w:sz w:val="16"/>
                <w:szCs w:val="16"/>
              </w:rPr>
              <w:t>Updated Baseline end 2013</w:t>
            </w:r>
            <w:r w:rsidRPr="0027745B">
              <w:rPr>
                <w:rFonts w:cs="Arial"/>
                <w:i/>
                <w:color w:val="002060"/>
                <w:sz w:val="16"/>
                <w:szCs w:val="16"/>
              </w:rPr>
              <w:t xml:space="preserve">: </w:t>
            </w:r>
            <w:r>
              <w:rPr>
                <w:rFonts w:cs="Arial"/>
                <w:i/>
                <w:color w:val="002060"/>
                <w:sz w:val="16"/>
                <w:szCs w:val="16"/>
              </w:rPr>
              <w:t xml:space="preserve"> </w:t>
            </w:r>
            <w:r w:rsidRPr="00ED310D">
              <w:rPr>
                <w:rFonts w:cs="Arial"/>
                <w:color w:val="002060"/>
                <w:sz w:val="16"/>
                <w:szCs w:val="16"/>
              </w:rPr>
              <w:t>Total of 2,236,486 users in 2012/13 (</w:t>
            </w:r>
            <w:r w:rsidRPr="00841E1F">
              <w:rPr>
                <w:rFonts w:cs="Arial"/>
                <w:color w:val="002060"/>
                <w:sz w:val="16"/>
                <w:szCs w:val="16"/>
              </w:rPr>
              <w:t xml:space="preserve">1,461,841 </w:t>
            </w:r>
            <w:r w:rsidRPr="005D6392">
              <w:rPr>
                <w:rFonts w:cs="Arial"/>
                <w:color w:val="002060"/>
                <w:sz w:val="16"/>
                <w:szCs w:val="16"/>
              </w:rPr>
              <w:t xml:space="preserve">in </w:t>
            </w:r>
            <w:r w:rsidRPr="004A4D1A">
              <w:rPr>
                <w:rFonts w:cs="Arial"/>
                <w:color w:val="002060"/>
                <w:sz w:val="16"/>
                <w:szCs w:val="16"/>
              </w:rPr>
              <w:t>2013</w:t>
            </w:r>
            <w:r w:rsidRPr="005F4EC4">
              <w:rPr>
                <w:rFonts w:cs="Arial"/>
                <w:color w:val="002060"/>
                <w:sz w:val="16"/>
                <w:szCs w:val="16"/>
              </w:rPr>
              <w:t xml:space="preserve">; 774,645  in </w:t>
            </w:r>
            <w:r w:rsidRPr="007851D6">
              <w:rPr>
                <w:rFonts w:cs="Arial"/>
                <w:color w:val="002060"/>
                <w:sz w:val="16"/>
                <w:szCs w:val="16"/>
              </w:rPr>
              <w:t>2012</w:t>
            </w:r>
            <w:r w:rsidRPr="008D5A02">
              <w:rPr>
                <w:rFonts w:cs="Arial"/>
                <w:color w:val="002060"/>
                <w:sz w:val="16"/>
                <w:szCs w:val="16"/>
              </w:rPr>
              <w:t>)</w:t>
            </w:r>
          </w:p>
          <w:p w:rsidR="00F11DB9" w:rsidRPr="00861678" w:rsidRDefault="00F11DB9" w:rsidP="00F11DB9">
            <w:pPr>
              <w:keepNext/>
              <w:keepLines/>
              <w:rPr>
                <w:rFonts w:cs="Arial"/>
                <w:i/>
                <w:color w:val="002060"/>
                <w:sz w:val="8"/>
                <w:szCs w:val="8"/>
              </w:rPr>
            </w:pPr>
          </w:p>
          <w:p w:rsidR="00F11DB9" w:rsidRPr="00A67F47" w:rsidRDefault="00F11DB9" w:rsidP="00F11DB9">
            <w:pPr>
              <w:keepNext/>
              <w:keepLines/>
              <w:rPr>
                <w:rFonts w:eastAsia="SimSun" w:cs="Arial"/>
                <w:color w:val="000000"/>
                <w:sz w:val="16"/>
                <w:szCs w:val="16"/>
                <w:lang w:eastAsia="zh-CN"/>
              </w:rPr>
            </w:pPr>
            <w:r>
              <w:rPr>
                <w:rFonts w:cs="Arial"/>
                <w:i/>
                <w:sz w:val="16"/>
                <w:szCs w:val="16"/>
              </w:rPr>
              <w:t>Original Baseline P&amp;B 2014/15</w:t>
            </w:r>
            <w:r w:rsidRPr="0027745B">
              <w:rPr>
                <w:rFonts w:cs="Arial"/>
                <w:i/>
                <w:sz w:val="16"/>
                <w:szCs w:val="16"/>
              </w:rPr>
              <w:t>:</w:t>
            </w:r>
            <w:r>
              <w:rPr>
                <w:rFonts w:cs="Arial"/>
                <w:sz w:val="16"/>
                <w:szCs w:val="16"/>
              </w:rPr>
              <w:t xml:space="preserve">  </w:t>
            </w:r>
            <w:r w:rsidRPr="004D109D">
              <w:rPr>
                <w:rFonts w:cs="Arial"/>
                <w:sz w:val="16"/>
                <w:szCs w:val="16"/>
              </w:rPr>
              <w:t>1,123,930</w:t>
            </w:r>
            <w:r>
              <w:rPr>
                <w:rStyle w:val="FootnoteReference"/>
                <w:rFonts w:cs="Arial"/>
                <w:sz w:val="16"/>
                <w:szCs w:val="16"/>
              </w:rPr>
              <w:footnoteReference w:id="121"/>
            </w:r>
          </w:p>
        </w:tc>
        <w:tc>
          <w:tcPr>
            <w:tcW w:w="608" w:type="pct"/>
            <w:shd w:val="clear" w:color="auto" w:fill="auto"/>
            <w:tcMar>
              <w:top w:w="110" w:type="dxa"/>
            </w:tcMar>
          </w:tcPr>
          <w:p w:rsidR="00F11DB9" w:rsidRPr="0027745B" w:rsidRDefault="00F11DB9" w:rsidP="00F11DB9">
            <w:pPr>
              <w:keepNext/>
              <w:keepLines/>
              <w:rPr>
                <w:rFonts w:eastAsia="SimSun" w:cs="Arial"/>
                <w:sz w:val="16"/>
                <w:szCs w:val="16"/>
                <w:lang w:eastAsia="zh-CN"/>
              </w:rPr>
            </w:pPr>
            <w:r>
              <w:rPr>
                <w:rFonts w:eastAsia="SimSun" w:cs="Arial"/>
                <w:sz w:val="16"/>
                <w:szCs w:val="16"/>
                <w:lang w:eastAsia="zh-CN"/>
              </w:rPr>
              <w:t>20</w:t>
            </w:r>
            <w:r w:rsidRPr="0027745B">
              <w:rPr>
                <w:rFonts w:eastAsia="SimSun" w:cs="Arial"/>
                <w:sz w:val="16"/>
                <w:szCs w:val="16"/>
                <w:lang w:eastAsia="zh-CN"/>
              </w:rPr>
              <w:t>%</w:t>
            </w:r>
          </w:p>
          <w:p w:rsidR="00F11DB9" w:rsidRPr="0027745B" w:rsidRDefault="00F11DB9" w:rsidP="00F11DB9">
            <w:pPr>
              <w:keepNext/>
              <w:keepLines/>
              <w:rPr>
                <w:rFonts w:eastAsia="SimSun" w:cs="Arial"/>
                <w:sz w:val="16"/>
                <w:szCs w:val="16"/>
                <w:lang w:eastAsia="zh-CN" w:bidi="th-TH"/>
              </w:rPr>
            </w:pPr>
          </w:p>
        </w:tc>
        <w:tc>
          <w:tcPr>
            <w:tcW w:w="1269" w:type="pct"/>
            <w:gridSpan w:val="2"/>
            <w:shd w:val="clear" w:color="auto" w:fill="FFFFFF"/>
            <w:tcMar>
              <w:top w:w="110" w:type="dxa"/>
            </w:tcMar>
          </w:tcPr>
          <w:p w:rsidR="00F11DB9" w:rsidRDefault="00F11DB9" w:rsidP="00F11DB9">
            <w:pPr>
              <w:keepNext/>
              <w:keepLines/>
              <w:rPr>
                <w:sz w:val="16"/>
                <w:szCs w:val="16"/>
              </w:rPr>
            </w:pPr>
            <w:r>
              <w:rPr>
                <w:sz w:val="16"/>
                <w:szCs w:val="16"/>
              </w:rPr>
              <w:t>A total of</w:t>
            </w:r>
            <w:r w:rsidRPr="00AA4A59">
              <w:rPr>
                <w:sz w:val="16"/>
                <w:szCs w:val="16"/>
              </w:rPr>
              <w:t xml:space="preserve"> 3,350,643</w:t>
            </w:r>
            <w:r>
              <w:rPr>
                <w:sz w:val="16"/>
                <w:szCs w:val="16"/>
              </w:rPr>
              <w:t xml:space="preserve"> users</w:t>
            </w:r>
            <w:r w:rsidRPr="00AA4A59">
              <w:rPr>
                <w:sz w:val="16"/>
                <w:szCs w:val="16"/>
              </w:rPr>
              <w:t xml:space="preserve"> in 2014/15</w:t>
            </w:r>
            <w:r>
              <w:rPr>
                <w:sz w:val="16"/>
                <w:szCs w:val="16"/>
              </w:rPr>
              <w:t xml:space="preserve"> (</w:t>
            </w:r>
            <w:r w:rsidRPr="00380898">
              <w:rPr>
                <w:sz w:val="16"/>
                <w:szCs w:val="16"/>
              </w:rPr>
              <w:t>49.8%</w:t>
            </w:r>
            <w:r w:rsidRPr="007A0FBB">
              <w:rPr>
                <w:sz w:val="16"/>
                <w:szCs w:val="16"/>
              </w:rPr>
              <w:t xml:space="preserve"> increase</w:t>
            </w:r>
            <w:r>
              <w:rPr>
                <w:sz w:val="16"/>
                <w:szCs w:val="16"/>
              </w:rPr>
              <w:t xml:space="preserve"> over 2012/13)</w:t>
            </w:r>
          </w:p>
          <w:p w:rsidR="00F11DB9" w:rsidRPr="00624A49" w:rsidRDefault="00F11DB9" w:rsidP="00F11DB9">
            <w:pPr>
              <w:pStyle w:val="ListParagraph"/>
              <w:keepNext/>
              <w:keepLines/>
              <w:numPr>
                <w:ilvl w:val="0"/>
                <w:numId w:val="32"/>
              </w:numPr>
              <w:contextualSpacing/>
              <w:rPr>
                <w:rFonts w:eastAsia="SimSun" w:cs="Arial"/>
                <w:sz w:val="16"/>
                <w:szCs w:val="16"/>
                <w:lang w:eastAsia="zh-CN"/>
              </w:rPr>
            </w:pPr>
            <w:r w:rsidRPr="00624A49">
              <w:rPr>
                <w:sz w:val="16"/>
                <w:szCs w:val="16"/>
              </w:rPr>
              <w:t>1,506,508</w:t>
            </w:r>
            <w:r>
              <w:rPr>
                <w:sz w:val="16"/>
                <w:szCs w:val="16"/>
              </w:rPr>
              <w:t xml:space="preserve"> (</w:t>
            </w:r>
            <w:r w:rsidRPr="00624A49">
              <w:rPr>
                <w:sz w:val="16"/>
                <w:szCs w:val="16"/>
              </w:rPr>
              <w:t>2014</w:t>
            </w:r>
            <w:r>
              <w:rPr>
                <w:sz w:val="16"/>
                <w:szCs w:val="16"/>
              </w:rPr>
              <w:t>)</w:t>
            </w:r>
          </w:p>
          <w:p w:rsidR="00F11DB9" w:rsidRPr="00624A49" w:rsidRDefault="00F11DB9" w:rsidP="00F11DB9">
            <w:pPr>
              <w:pStyle w:val="ListParagraph"/>
              <w:keepNext/>
              <w:keepLines/>
              <w:numPr>
                <w:ilvl w:val="0"/>
                <w:numId w:val="32"/>
              </w:numPr>
              <w:contextualSpacing/>
              <w:rPr>
                <w:rFonts w:eastAsia="SimSun" w:cs="Arial"/>
                <w:sz w:val="16"/>
                <w:szCs w:val="16"/>
                <w:lang w:eastAsia="zh-CN"/>
              </w:rPr>
            </w:pPr>
            <w:r w:rsidRPr="00624A49">
              <w:rPr>
                <w:sz w:val="16"/>
                <w:szCs w:val="16"/>
              </w:rPr>
              <w:t xml:space="preserve">1,844,135 </w:t>
            </w:r>
            <w:r>
              <w:rPr>
                <w:sz w:val="16"/>
                <w:szCs w:val="16"/>
              </w:rPr>
              <w:t>(</w:t>
            </w:r>
            <w:r w:rsidRPr="00624A49">
              <w:rPr>
                <w:sz w:val="16"/>
                <w:szCs w:val="16"/>
              </w:rPr>
              <w:t xml:space="preserve">2015) </w:t>
            </w:r>
          </w:p>
          <w:p w:rsidR="00F11DB9" w:rsidRPr="00624A49" w:rsidRDefault="00F11DB9" w:rsidP="00F11DB9">
            <w:pPr>
              <w:keepNext/>
              <w:keepLines/>
              <w:rPr>
                <w:rFonts w:eastAsia="SimSun" w:cs="Arial"/>
                <w:sz w:val="16"/>
                <w:szCs w:val="16"/>
                <w:lang w:eastAsia="zh-CN"/>
              </w:rPr>
            </w:pPr>
          </w:p>
        </w:tc>
        <w:tc>
          <w:tcPr>
            <w:tcW w:w="519" w:type="pct"/>
            <w:shd w:val="clear" w:color="auto" w:fill="auto"/>
            <w:tcMar>
              <w:top w:w="110" w:type="dxa"/>
            </w:tcMar>
          </w:tcPr>
          <w:p w:rsidR="00F11DB9" w:rsidRPr="004D109D" w:rsidRDefault="00F11DB9" w:rsidP="00F11DB9">
            <w:pPr>
              <w:keepNext/>
              <w:keepLines/>
              <w:jc w:val="center"/>
              <w:rPr>
                <w:rFonts w:eastAsia="SimSun" w:cs="Arial"/>
                <w:b/>
                <w:bCs/>
                <w:color w:val="808080"/>
                <w:sz w:val="16"/>
                <w:szCs w:val="16"/>
                <w:lang w:eastAsia="zh-CN"/>
              </w:rPr>
            </w:pPr>
            <w:r w:rsidRPr="00AA4A59">
              <w:rPr>
                <w:rFonts w:eastAsia="SimSun" w:cs="Arial"/>
                <w:b/>
                <w:bCs/>
                <w:color w:val="00B050"/>
                <w:sz w:val="16"/>
                <w:szCs w:val="16"/>
                <w:lang w:eastAsia="zh-CN"/>
              </w:rPr>
              <w:t>Fully Achieved</w:t>
            </w:r>
          </w:p>
        </w:tc>
      </w:tr>
      <w:tr w:rsidR="00F11DB9" w:rsidRPr="00011B74" w:rsidTr="00F11DB9">
        <w:trPr>
          <w:trHeight w:val="396"/>
        </w:trPr>
        <w:tc>
          <w:tcPr>
            <w:tcW w:w="5000" w:type="pct"/>
            <w:gridSpan w:val="6"/>
            <w:tcBorders>
              <w:top w:val="single" w:sz="4" w:space="0" w:color="auto"/>
              <w:bottom w:val="single" w:sz="4" w:space="0" w:color="auto"/>
            </w:tcBorders>
            <w:shd w:val="clear" w:color="auto" w:fill="C6D9F1" w:themeFill="text2" w:themeFillTint="33"/>
            <w:vAlign w:val="center"/>
          </w:tcPr>
          <w:p w:rsidR="00F11DB9" w:rsidRPr="00A67F47" w:rsidRDefault="00F11DB9" w:rsidP="00F11DB9">
            <w:pPr>
              <w:keepNext/>
              <w:keepLines/>
              <w:tabs>
                <w:tab w:val="left" w:pos="1452"/>
              </w:tabs>
              <w:ind w:left="1452" w:hanging="1452"/>
              <w:rPr>
                <w:rFonts w:eastAsia="SimSun" w:cs="Arial"/>
                <w:b/>
                <w:bCs/>
                <w:sz w:val="16"/>
                <w:szCs w:val="16"/>
                <w:lang w:eastAsia="zh-CN"/>
              </w:rPr>
            </w:pPr>
            <w:r w:rsidRPr="00A67F47">
              <w:rPr>
                <w:rFonts w:eastAsia="SimSun" w:cs="Arial"/>
                <w:b/>
                <w:bCs/>
                <w:sz w:val="16"/>
                <w:szCs w:val="16"/>
                <w:lang w:eastAsia="zh-CN"/>
              </w:rPr>
              <w:t>Expected Result:</w:t>
            </w:r>
            <w:r w:rsidRPr="00A67F47">
              <w:rPr>
                <w:rFonts w:eastAsia="SimSun" w:cs="Arial"/>
                <w:b/>
                <w:bCs/>
                <w:sz w:val="16"/>
                <w:szCs w:val="16"/>
                <w:lang w:eastAsia="zh-CN"/>
              </w:rPr>
              <w:tab/>
            </w:r>
            <w:r w:rsidRPr="004D109D">
              <w:rPr>
                <w:rFonts w:eastAsia="SimSun" w:cs="Arial"/>
                <w:sz w:val="16"/>
                <w:szCs w:val="16"/>
                <w:lang w:eastAsia="zh-CN"/>
              </w:rPr>
              <w:t>VIII.3 Effective engagement with Member States</w:t>
            </w:r>
          </w:p>
        </w:tc>
      </w:tr>
      <w:tr w:rsidR="00F11DB9" w:rsidRPr="0068183D" w:rsidTr="00F11DB9">
        <w:tc>
          <w:tcPr>
            <w:tcW w:w="1193" w:type="pct"/>
            <w:tcBorders>
              <w:top w:val="single" w:sz="4" w:space="0" w:color="auto"/>
              <w:left w:val="single" w:sz="4" w:space="0" w:color="auto"/>
              <w:bottom w:val="nil"/>
            </w:tcBorders>
            <w:shd w:val="clear" w:color="auto" w:fill="auto"/>
            <w:vAlign w:val="center"/>
          </w:tcPr>
          <w:p w:rsidR="00F11DB9" w:rsidRPr="00A67F47" w:rsidRDefault="00F11DB9" w:rsidP="00F11DB9">
            <w:pPr>
              <w:keepNext/>
              <w:keepLines/>
              <w:rPr>
                <w:rFonts w:eastAsia="SimSun" w:cs="Arial"/>
                <w:sz w:val="16"/>
                <w:szCs w:val="16"/>
                <w:lang w:eastAsia="zh-CN"/>
              </w:rPr>
            </w:pPr>
            <w:r w:rsidRPr="00A67F47">
              <w:rPr>
                <w:rFonts w:eastAsia="SimSun" w:cs="Arial"/>
                <w:b/>
                <w:bCs/>
                <w:sz w:val="16"/>
                <w:szCs w:val="16"/>
                <w:lang w:eastAsia="zh-CN"/>
              </w:rPr>
              <w:t>Performance Indicators</w:t>
            </w:r>
          </w:p>
        </w:tc>
        <w:tc>
          <w:tcPr>
            <w:tcW w:w="1411" w:type="pct"/>
            <w:tcBorders>
              <w:top w:val="single" w:sz="4" w:space="0" w:color="auto"/>
              <w:bottom w:val="nil"/>
            </w:tcBorders>
            <w:shd w:val="clear" w:color="auto" w:fill="auto"/>
            <w:vAlign w:val="center"/>
          </w:tcPr>
          <w:p w:rsidR="00F11DB9" w:rsidRPr="00A67F47" w:rsidRDefault="00F11DB9" w:rsidP="00F11DB9">
            <w:pPr>
              <w:keepNext/>
              <w:keepLines/>
              <w:rPr>
                <w:rFonts w:eastAsia="SimSun" w:cs="Arial"/>
                <w:b/>
                <w:bCs/>
                <w:sz w:val="16"/>
                <w:szCs w:val="16"/>
                <w:lang w:eastAsia="zh-CN"/>
              </w:rPr>
            </w:pPr>
            <w:r w:rsidRPr="00A67F47">
              <w:rPr>
                <w:rFonts w:cs="Arial"/>
                <w:b/>
                <w:bCs/>
                <w:sz w:val="16"/>
                <w:szCs w:val="16"/>
              </w:rPr>
              <w:t>Baselines</w:t>
            </w:r>
          </w:p>
        </w:tc>
        <w:tc>
          <w:tcPr>
            <w:tcW w:w="663" w:type="pct"/>
            <w:gridSpan w:val="2"/>
            <w:tcBorders>
              <w:top w:val="single" w:sz="4" w:space="0" w:color="auto"/>
              <w:bottom w:val="nil"/>
            </w:tcBorders>
            <w:shd w:val="clear" w:color="auto" w:fill="auto"/>
            <w:tcMar>
              <w:top w:w="110" w:type="dxa"/>
            </w:tcMar>
            <w:vAlign w:val="center"/>
          </w:tcPr>
          <w:p w:rsidR="00F11DB9" w:rsidRPr="0027745B" w:rsidRDefault="00F11DB9" w:rsidP="00F11DB9">
            <w:pPr>
              <w:keepNext/>
              <w:keepLines/>
              <w:rPr>
                <w:rFonts w:eastAsia="SimSun" w:cs="Arial"/>
                <w:b/>
                <w:sz w:val="16"/>
                <w:szCs w:val="16"/>
                <w:lang w:eastAsia="zh-CN"/>
              </w:rPr>
            </w:pPr>
            <w:r w:rsidRPr="00A67F47">
              <w:rPr>
                <w:rFonts w:cs="Arial"/>
                <w:b/>
                <w:sz w:val="16"/>
                <w:szCs w:val="16"/>
              </w:rPr>
              <w:t>Target</w:t>
            </w:r>
            <w:r>
              <w:rPr>
                <w:rFonts w:cs="Arial"/>
                <w:b/>
                <w:sz w:val="16"/>
                <w:szCs w:val="16"/>
              </w:rPr>
              <w:t>s</w:t>
            </w:r>
          </w:p>
        </w:tc>
        <w:tc>
          <w:tcPr>
            <w:tcW w:w="1214" w:type="pct"/>
            <w:tcBorders>
              <w:top w:val="single" w:sz="4" w:space="0" w:color="auto"/>
              <w:bottom w:val="nil"/>
            </w:tcBorders>
            <w:shd w:val="clear" w:color="auto" w:fill="FFFFFF"/>
            <w:tcMar>
              <w:top w:w="110" w:type="dxa"/>
            </w:tcMar>
            <w:vAlign w:val="center"/>
          </w:tcPr>
          <w:p w:rsidR="00F11DB9" w:rsidRPr="00A67F47" w:rsidRDefault="00F11DB9" w:rsidP="00F11DB9">
            <w:pPr>
              <w:rPr>
                <w:rFonts w:eastAsia="SimSun" w:cs="Arial"/>
                <w:sz w:val="16"/>
                <w:szCs w:val="16"/>
                <w:lang w:eastAsia="zh-CN"/>
              </w:rPr>
            </w:pPr>
            <w:r w:rsidRPr="00A67F47">
              <w:rPr>
                <w:rFonts w:eastAsia="SimSun" w:cs="Arial"/>
                <w:b/>
                <w:bCs/>
                <w:sz w:val="16"/>
                <w:szCs w:val="16"/>
                <w:lang w:eastAsia="zh-CN"/>
              </w:rPr>
              <w:t>Performance Data</w:t>
            </w:r>
          </w:p>
        </w:tc>
        <w:tc>
          <w:tcPr>
            <w:tcW w:w="519" w:type="pct"/>
            <w:tcBorders>
              <w:top w:val="single" w:sz="4" w:space="0" w:color="auto"/>
              <w:bottom w:val="nil"/>
              <w:right w:val="single" w:sz="4" w:space="0" w:color="auto"/>
            </w:tcBorders>
            <w:shd w:val="clear" w:color="auto" w:fill="auto"/>
            <w:tcMar>
              <w:top w:w="110" w:type="dxa"/>
            </w:tcMar>
            <w:vAlign w:val="center"/>
          </w:tcPr>
          <w:p w:rsidR="00F11DB9" w:rsidRPr="0027745B" w:rsidRDefault="00F11DB9" w:rsidP="00F11DB9">
            <w:pPr>
              <w:keepNext/>
              <w:keepLines/>
              <w:jc w:val="center"/>
              <w:rPr>
                <w:rFonts w:eastAsia="SimSun" w:cs="Arial"/>
                <w:b/>
                <w:bCs/>
                <w:sz w:val="16"/>
                <w:szCs w:val="16"/>
                <w:lang w:eastAsia="zh-CN"/>
              </w:rPr>
            </w:pPr>
            <w:r w:rsidRPr="00A67F47">
              <w:rPr>
                <w:rFonts w:eastAsia="SimSun" w:cs="Arial"/>
                <w:b/>
                <w:bCs/>
                <w:sz w:val="16"/>
                <w:szCs w:val="16"/>
                <w:lang w:eastAsia="zh-CN"/>
              </w:rPr>
              <w:t>TLS</w:t>
            </w:r>
          </w:p>
        </w:tc>
      </w:tr>
      <w:tr w:rsidR="00F11DB9" w:rsidRPr="00011B74" w:rsidTr="00F11DB9">
        <w:tc>
          <w:tcPr>
            <w:tcW w:w="1193" w:type="pct"/>
            <w:tcBorders>
              <w:top w:val="nil"/>
              <w:left w:val="single" w:sz="4" w:space="0" w:color="auto"/>
              <w:bottom w:val="nil"/>
            </w:tcBorders>
            <w:shd w:val="clear" w:color="auto" w:fill="auto"/>
          </w:tcPr>
          <w:p w:rsidR="00F11DB9" w:rsidRPr="00A67F47" w:rsidRDefault="00F11DB9" w:rsidP="00F11DB9">
            <w:pPr>
              <w:keepNext/>
              <w:keepLines/>
              <w:rPr>
                <w:rFonts w:eastAsia="SimSun" w:cs="Arial"/>
                <w:sz w:val="16"/>
                <w:szCs w:val="16"/>
                <w:lang w:eastAsia="zh-CN"/>
              </w:rPr>
            </w:pPr>
            <w:r w:rsidRPr="004D109D">
              <w:rPr>
                <w:rFonts w:eastAsia="SimSun" w:cs="Arial"/>
                <w:sz w:val="16"/>
                <w:szCs w:val="16"/>
                <w:lang w:eastAsia="zh-CN"/>
              </w:rPr>
              <w:t>% of Committee Meetings for which pre-Committee information meetings for Member States are held</w:t>
            </w:r>
          </w:p>
        </w:tc>
        <w:tc>
          <w:tcPr>
            <w:tcW w:w="1411" w:type="pct"/>
            <w:tcBorders>
              <w:top w:val="nil"/>
              <w:bottom w:val="nil"/>
            </w:tcBorders>
            <w:shd w:val="clear" w:color="auto" w:fill="auto"/>
          </w:tcPr>
          <w:p w:rsidR="00F11DB9" w:rsidRPr="0027745B" w:rsidRDefault="00F11DB9" w:rsidP="00F11DB9">
            <w:pPr>
              <w:rPr>
                <w:rFonts w:eastAsiaTheme="minorHAnsi" w:cs="Arial"/>
                <w:i/>
                <w:color w:val="002060"/>
                <w:sz w:val="16"/>
                <w:szCs w:val="16"/>
              </w:rPr>
            </w:pPr>
            <w:r>
              <w:rPr>
                <w:rFonts w:cs="Arial"/>
                <w:i/>
                <w:color w:val="002060"/>
                <w:sz w:val="16"/>
                <w:szCs w:val="16"/>
              </w:rPr>
              <w:t>Updated Baseline end 2013</w:t>
            </w:r>
            <w:r w:rsidRPr="0027745B">
              <w:rPr>
                <w:rFonts w:cs="Arial"/>
                <w:i/>
                <w:color w:val="002060"/>
                <w:sz w:val="16"/>
                <w:szCs w:val="16"/>
              </w:rPr>
              <w:t xml:space="preserve">:  </w:t>
            </w:r>
            <w:r w:rsidRPr="007851D6">
              <w:rPr>
                <w:rFonts w:cs="Arial"/>
                <w:color w:val="002060"/>
                <w:sz w:val="16"/>
                <w:szCs w:val="16"/>
              </w:rPr>
              <w:t>81% from a survey of secretaries of committees.</w:t>
            </w:r>
          </w:p>
          <w:p w:rsidR="00F11DB9" w:rsidRPr="00861678" w:rsidRDefault="00F11DB9" w:rsidP="00F11DB9">
            <w:pPr>
              <w:rPr>
                <w:rFonts w:cs="Arial"/>
                <w:i/>
                <w:color w:val="002060"/>
                <w:sz w:val="8"/>
                <w:szCs w:val="8"/>
              </w:rPr>
            </w:pPr>
          </w:p>
          <w:p w:rsidR="00F11DB9" w:rsidRPr="00A67F47" w:rsidRDefault="00F11DB9" w:rsidP="00F11DB9">
            <w:pPr>
              <w:keepNext/>
              <w:keepLines/>
              <w:rPr>
                <w:rFonts w:eastAsia="SimSun" w:cs="Arial"/>
                <w:color w:val="000000"/>
                <w:sz w:val="16"/>
                <w:szCs w:val="16"/>
                <w:lang w:eastAsia="zh-CN"/>
              </w:rPr>
            </w:pPr>
            <w:r>
              <w:rPr>
                <w:rFonts w:cs="Arial"/>
                <w:i/>
                <w:sz w:val="16"/>
                <w:szCs w:val="16"/>
              </w:rPr>
              <w:t>Original Baseline P&amp;B 2014/15</w:t>
            </w:r>
            <w:r w:rsidRPr="0027745B">
              <w:rPr>
                <w:rFonts w:cs="Arial"/>
                <w:i/>
                <w:sz w:val="16"/>
                <w:szCs w:val="16"/>
              </w:rPr>
              <w:t>:</w:t>
            </w:r>
            <w:r>
              <w:rPr>
                <w:rFonts w:cs="Arial"/>
                <w:sz w:val="16"/>
                <w:szCs w:val="16"/>
              </w:rPr>
              <w:t xml:space="preserve">  </w:t>
            </w:r>
            <w:r w:rsidRPr="004D109D">
              <w:rPr>
                <w:rFonts w:cs="Arial"/>
                <w:sz w:val="16"/>
                <w:szCs w:val="16"/>
              </w:rPr>
              <w:t>80%</w:t>
            </w:r>
          </w:p>
        </w:tc>
        <w:tc>
          <w:tcPr>
            <w:tcW w:w="663" w:type="pct"/>
            <w:gridSpan w:val="2"/>
            <w:tcBorders>
              <w:top w:val="nil"/>
              <w:bottom w:val="nil"/>
            </w:tcBorders>
            <w:shd w:val="clear" w:color="auto" w:fill="auto"/>
            <w:tcMar>
              <w:top w:w="110" w:type="dxa"/>
            </w:tcMar>
          </w:tcPr>
          <w:p w:rsidR="00F11DB9" w:rsidRPr="0027745B" w:rsidRDefault="00F11DB9" w:rsidP="00F11DB9">
            <w:pPr>
              <w:keepNext/>
              <w:keepLines/>
              <w:rPr>
                <w:rFonts w:eastAsia="SimSun" w:cs="Arial"/>
                <w:color w:val="000000"/>
                <w:sz w:val="16"/>
                <w:szCs w:val="16"/>
                <w:lang w:eastAsia="zh-CN"/>
              </w:rPr>
            </w:pPr>
            <w:r w:rsidRPr="004D109D">
              <w:rPr>
                <w:rFonts w:eastAsia="SimSun" w:cs="Arial"/>
                <w:color w:val="000000"/>
                <w:sz w:val="16"/>
                <w:szCs w:val="16"/>
                <w:lang w:eastAsia="zh-CN"/>
              </w:rPr>
              <w:t>90%</w:t>
            </w:r>
          </w:p>
        </w:tc>
        <w:tc>
          <w:tcPr>
            <w:tcW w:w="1214" w:type="pct"/>
            <w:tcBorders>
              <w:top w:val="nil"/>
              <w:bottom w:val="nil"/>
            </w:tcBorders>
            <w:shd w:val="clear" w:color="auto" w:fill="FFFFFF"/>
            <w:tcMar>
              <w:top w:w="110" w:type="dxa"/>
            </w:tcMar>
          </w:tcPr>
          <w:p w:rsidR="00F11DB9" w:rsidRPr="00A67F47" w:rsidRDefault="00F11DB9" w:rsidP="00F11DB9">
            <w:pPr>
              <w:rPr>
                <w:rFonts w:eastAsia="SimSun" w:cs="Arial"/>
                <w:sz w:val="16"/>
                <w:szCs w:val="16"/>
                <w:lang w:eastAsia="zh-CN"/>
              </w:rPr>
            </w:pPr>
            <w:r>
              <w:rPr>
                <w:rFonts w:eastAsia="SimSun" w:cs="Arial"/>
                <w:sz w:val="16"/>
                <w:szCs w:val="16"/>
                <w:lang w:eastAsia="zh-CN"/>
              </w:rPr>
              <w:t>97% from a survey of secretaries of committees</w:t>
            </w:r>
          </w:p>
        </w:tc>
        <w:tc>
          <w:tcPr>
            <w:tcW w:w="519" w:type="pct"/>
            <w:tcBorders>
              <w:top w:val="nil"/>
              <w:bottom w:val="nil"/>
              <w:right w:val="single" w:sz="4" w:space="0" w:color="auto"/>
            </w:tcBorders>
            <w:shd w:val="clear" w:color="auto" w:fill="auto"/>
            <w:tcMar>
              <w:top w:w="110" w:type="dxa"/>
            </w:tcMar>
          </w:tcPr>
          <w:p w:rsidR="00F11DB9" w:rsidRPr="00303667" w:rsidRDefault="00F11DB9" w:rsidP="00F11DB9">
            <w:pPr>
              <w:keepNext/>
              <w:keepLines/>
              <w:jc w:val="center"/>
              <w:rPr>
                <w:rFonts w:eastAsia="SimSun" w:cs="Arial"/>
                <w:b/>
                <w:color w:val="00B050"/>
                <w:sz w:val="16"/>
                <w:szCs w:val="16"/>
                <w:lang w:eastAsia="zh-CN"/>
              </w:rPr>
            </w:pPr>
            <w:r>
              <w:rPr>
                <w:rFonts w:eastAsia="SimSun" w:cs="Arial"/>
                <w:b/>
                <w:color w:val="00B050"/>
                <w:sz w:val="16"/>
                <w:szCs w:val="16"/>
                <w:lang w:eastAsia="zh-CN"/>
              </w:rPr>
              <w:t>Fully Achieved</w:t>
            </w:r>
          </w:p>
        </w:tc>
      </w:tr>
      <w:tr w:rsidR="00F11DB9" w:rsidRPr="00011B74" w:rsidTr="00F11DB9">
        <w:tc>
          <w:tcPr>
            <w:tcW w:w="1193" w:type="pct"/>
            <w:tcBorders>
              <w:top w:val="nil"/>
              <w:left w:val="single" w:sz="4" w:space="0" w:color="auto"/>
              <w:bottom w:val="nil"/>
            </w:tcBorders>
            <w:shd w:val="clear" w:color="auto" w:fill="auto"/>
          </w:tcPr>
          <w:p w:rsidR="00F11DB9" w:rsidRPr="00BC56C6" w:rsidRDefault="00F11DB9" w:rsidP="00F11DB9">
            <w:pPr>
              <w:rPr>
                <w:rFonts w:eastAsia="SimSun" w:cs="Arial"/>
                <w:color w:val="000000"/>
                <w:sz w:val="16"/>
                <w:szCs w:val="16"/>
                <w:lang w:eastAsia="zh-CN"/>
              </w:rPr>
            </w:pPr>
            <w:r w:rsidRPr="002B0985">
              <w:rPr>
                <w:rFonts w:eastAsia="SimSun" w:cs="Arial"/>
                <w:color w:val="000000"/>
                <w:sz w:val="16"/>
                <w:szCs w:val="16"/>
                <w:lang w:eastAsia="zh-CN"/>
              </w:rPr>
              <w:t>% of letters to the DG from Member States are responded to within 2 weeks</w:t>
            </w:r>
          </w:p>
        </w:tc>
        <w:tc>
          <w:tcPr>
            <w:tcW w:w="1411" w:type="pct"/>
            <w:tcBorders>
              <w:top w:val="nil"/>
              <w:bottom w:val="nil"/>
            </w:tcBorders>
            <w:shd w:val="clear" w:color="auto" w:fill="auto"/>
          </w:tcPr>
          <w:p w:rsidR="00F11DB9" w:rsidRPr="0027745B" w:rsidRDefault="00F11DB9" w:rsidP="00F11DB9">
            <w:pPr>
              <w:rPr>
                <w:rFonts w:eastAsiaTheme="minorHAnsi" w:cs="Arial"/>
                <w:i/>
                <w:color w:val="002060"/>
                <w:sz w:val="16"/>
                <w:szCs w:val="16"/>
              </w:rPr>
            </w:pPr>
            <w:r>
              <w:rPr>
                <w:rFonts w:cs="Arial"/>
                <w:i/>
                <w:color w:val="002060"/>
                <w:sz w:val="16"/>
                <w:szCs w:val="16"/>
              </w:rPr>
              <w:t>Updated Baseline end 2013</w:t>
            </w:r>
            <w:r w:rsidRPr="0027745B">
              <w:rPr>
                <w:rFonts w:cs="Arial"/>
                <w:i/>
                <w:color w:val="002060"/>
                <w:sz w:val="16"/>
                <w:szCs w:val="16"/>
              </w:rPr>
              <w:t xml:space="preserve">:  </w:t>
            </w:r>
            <w:r w:rsidRPr="007851D6">
              <w:rPr>
                <w:rFonts w:cs="Arial"/>
                <w:color w:val="002060"/>
                <w:sz w:val="16"/>
                <w:szCs w:val="16"/>
              </w:rPr>
              <w:t>81% from an assessment of incoming and outgoing correspondence</w:t>
            </w:r>
          </w:p>
          <w:p w:rsidR="00F11DB9" w:rsidRPr="00861678" w:rsidRDefault="00F11DB9" w:rsidP="00F11DB9">
            <w:pPr>
              <w:rPr>
                <w:rFonts w:cs="Arial"/>
                <w:i/>
                <w:color w:val="002060"/>
                <w:sz w:val="8"/>
                <w:szCs w:val="8"/>
              </w:rPr>
            </w:pPr>
          </w:p>
          <w:p w:rsidR="00F11DB9" w:rsidRDefault="00F11DB9" w:rsidP="00F11DB9">
            <w:pPr>
              <w:rPr>
                <w:rFonts w:cs="Arial"/>
                <w:i/>
                <w:color w:val="002060"/>
                <w:sz w:val="16"/>
                <w:szCs w:val="16"/>
              </w:rPr>
            </w:pPr>
            <w:r>
              <w:rPr>
                <w:rFonts w:cs="Arial"/>
                <w:i/>
                <w:sz w:val="16"/>
                <w:szCs w:val="16"/>
              </w:rPr>
              <w:t>Original Baseline P&amp;B 2014/15</w:t>
            </w:r>
            <w:r w:rsidRPr="0027745B">
              <w:rPr>
                <w:rFonts w:cs="Arial"/>
                <w:i/>
                <w:sz w:val="16"/>
                <w:szCs w:val="16"/>
              </w:rPr>
              <w:t>:</w:t>
            </w:r>
            <w:r>
              <w:rPr>
                <w:rFonts w:cs="Arial"/>
                <w:sz w:val="16"/>
                <w:szCs w:val="16"/>
              </w:rPr>
              <w:t xml:space="preserve">  </w:t>
            </w:r>
            <w:r w:rsidRPr="002B0985">
              <w:rPr>
                <w:rFonts w:cs="Arial"/>
                <w:sz w:val="16"/>
                <w:szCs w:val="16"/>
              </w:rPr>
              <w:t>80%</w:t>
            </w:r>
          </w:p>
        </w:tc>
        <w:tc>
          <w:tcPr>
            <w:tcW w:w="663" w:type="pct"/>
            <w:gridSpan w:val="2"/>
            <w:tcBorders>
              <w:top w:val="nil"/>
              <w:bottom w:val="nil"/>
            </w:tcBorders>
            <w:shd w:val="clear" w:color="auto" w:fill="auto"/>
            <w:tcMar>
              <w:top w:w="110" w:type="dxa"/>
            </w:tcMar>
          </w:tcPr>
          <w:p w:rsidR="00F11DB9" w:rsidRPr="00BC56C6" w:rsidRDefault="00F11DB9" w:rsidP="00F11DB9">
            <w:pPr>
              <w:rPr>
                <w:rFonts w:eastAsia="SimSun" w:cs="Arial"/>
                <w:color w:val="000000"/>
                <w:sz w:val="16"/>
                <w:szCs w:val="16"/>
                <w:lang w:eastAsia="zh-CN"/>
              </w:rPr>
            </w:pPr>
            <w:r w:rsidRPr="002B0985">
              <w:rPr>
                <w:rFonts w:eastAsia="SimSun" w:cs="Arial"/>
                <w:color w:val="000000"/>
                <w:sz w:val="16"/>
                <w:szCs w:val="16"/>
                <w:lang w:eastAsia="zh-CN"/>
              </w:rPr>
              <w:t>80%</w:t>
            </w:r>
          </w:p>
        </w:tc>
        <w:tc>
          <w:tcPr>
            <w:tcW w:w="1214" w:type="pct"/>
            <w:tcBorders>
              <w:top w:val="nil"/>
              <w:bottom w:val="nil"/>
            </w:tcBorders>
            <w:shd w:val="clear" w:color="auto" w:fill="FFFFFF"/>
            <w:tcMar>
              <w:top w:w="110" w:type="dxa"/>
            </w:tcMar>
          </w:tcPr>
          <w:p w:rsidR="00F11DB9" w:rsidRPr="00BC56C6" w:rsidRDefault="00F11DB9" w:rsidP="00F11DB9">
            <w:pPr>
              <w:rPr>
                <w:rFonts w:eastAsia="SimSun" w:cs="Arial"/>
                <w:sz w:val="16"/>
                <w:szCs w:val="16"/>
                <w:lang w:eastAsia="zh-CN"/>
              </w:rPr>
            </w:pPr>
            <w:r>
              <w:rPr>
                <w:rFonts w:eastAsia="SimSun" w:cs="Arial"/>
                <w:sz w:val="16"/>
                <w:szCs w:val="16"/>
                <w:lang w:eastAsia="zh-CN"/>
              </w:rPr>
              <w:t>80% from an assessment of incoming and outgoing correspondence</w:t>
            </w:r>
          </w:p>
        </w:tc>
        <w:tc>
          <w:tcPr>
            <w:tcW w:w="519" w:type="pct"/>
            <w:tcBorders>
              <w:top w:val="nil"/>
              <w:bottom w:val="nil"/>
              <w:right w:val="single" w:sz="4" w:space="0" w:color="auto"/>
            </w:tcBorders>
            <w:shd w:val="clear" w:color="auto" w:fill="auto"/>
            <w:tcMar>
              <w:top w:w="110" w:type="dxa"/>
            </w:tcMar>
          </w:tcPr>
          <w:p w:rsidR="00F11DB9" w:rsidRPr="002B0985" w:rsidRDefault="00F11DB9" w:rsidP="00F11DB9">
            <w:pPr>
              <w:keepNext/>
              <w:keepLines/>
              <w:jc w:val="center"/>
              <w:rPr>
                <w:rFonts w:eastAsia="SimSun" w:cs="Arial"/>
                <w:b/>
                <w:color w:val="00B050"/>
                <w:sz w:val="16"/>
                <w:szCs w:val="16"/>
                <w:lang w:eastAsia="zh-CN"/>
              </w:rPr>
            </w:pPr>
            <w:r>
              <w:rPr>
                <w:rFonts w:eastAsia="SimSun" w:cs="Arial"/>
                <w:b/>
                <w:color w:val="00B050"/>
                <w:sz w:val="16"/>
                <w:szCs w:val="16"/>
                <w:lang w:eastAsia="zh-CN"/>
              </w:rPr>
              <w:t>Fully Achieved</w:t>
            </w:r>
          </w:p>
        </w:tc>
      </w:tr>
      <w:tr w:rsidR="00F11DB9" w:rsidRPr="00011B74" w:rsidTr="00F11DB9">
        <w:tc>
          <w:tcPr>
            <w:tcW w:w="1193" w:type="pct"/>
            <w:tcBorders>
              <w:top w:val="nil"/>
              <w:left w:val="single" w:sz="4" w:space="0" w:color="auto"/>
              <w:bottom w:val="nil"/>
            </w:tcBorders>
            <w:shd w:val="clear" w:color="auto" w:fill="auto"/>
          </w:tcPr>
          <w:p w:rsidR="00F11DB9" w:rsidRPr="00A67F47" w:rsidRDefault="00F11DB9" w:rsidP="00F11DB9">
            <w:pPr>
              <w:rPr>
                <w:rFonts w:eastAsia="SimSun" w:cs="Arial"/>
                <w:color w:val="000000"/>
                <w:sz w:val="16"/>
                <w:szCs w:val="16"/>
                <w:lang w:eastAsia="zh-CN"/>
              </w:rPr>
            </w:pPr>
            <w:r w:rsidRPr="00BC56C6">
              <w:rPr>
                <w:rFonts w:eastAsia="SimSun" w:cs="Arial"/>
                <w:color w:val="000000"/>
                <w:sz w:val="16"/>
                <w:szCs w:val="16"/>
                <w:lang w:eastAsia="zh-CN"/>
              </w:rPr>
              <w:t>% of adherence and other WIPO Treaty-related actions by Member States processed in a timely manner</w:t>
            </w:r>
          </w:p>
        </w:tc>
        <w:tc>
          <w:tcPr>
            <w:tcW w:w="1411" w:type="pct"/>
            <w:tcBorders>
              <w:top w:val="nil"/>
              <w:bottom w:val="nil"/>
            </w:tcBorders>
            <w:shd w:val="clear" w:color="auto" w:fill="auto"/>
          </w:tcPr>
          <w:p w:rsidR="00F11DB9" w:rsidRPr="00BC56C6" w:rsidRDefault="00F11DB9" w:rsidP="00F11DB9">
            <w:pPr>
              <w:rPr>
                <w:rFonts w:eastAsiaTheme="minorHAnsi" w:cs="Arial"/>
                <w:color w:val="002060"/>
                <w:sz w:val="16"/>
                <w:szCs w:val="16"/>
              </w:rPr>
            </w:pPr>
            <w:r>
              <w:rPr>
                <w:rFonts w:cs="Arial"/>
                <w:i/>
                <w:color w:val="002060"/>
                <w:sz w:val="16"/>
                <w:szCs w:val="16"/>
              </w:rPr>
              <w:t>Updated Baseline end 2013</w:t>
            </w:r>
            <w:r w:rsidRPr="0027745B">
              <w:rPr>
                <w:rFonts w:cs="Arial"/>
                <w:i/>
                <w:color w:val="002060"/>
                <w:sz w:val="16"/>
                <w:szCs w:val="16"/>
              </w:rPr>
              <w:t xml:space="preserve">:  </w:t>
            </w:r>
            <w:r w:rsidRPr="00BC56C6">
              <w:rPr>
                <w:rFonts w:cs="Arial"/>
                <w:color w:val="002060"/>
                <w:sz w:val="16"/>
                <w:szCs w:val="16"/>
              </w:rPr>
              <w:t>98%</w:t>
            </w:r>
            <w:r>
              <w:rPr>
                <w:rFonts w:cs="Arial"/>
                <w:color w:val="002060"/>
                <w:sz w:val="16"/>
                <w:szCs w:val="16"/>
              </w:rPr>
              <w:t xml:space="preserve"> </w:t>
            </w:r>
            <w:r w:rsidRPr="00567588">
              <w:rPr>
                <w:rFonts w:cs="Arial"/>
                <w:sz w:val="16"/>
                <w:szCs w:val="16"/>
                <w:lang w:bidi="th-TH"/>
              </w:rPr>
              <w:t>of notifications of adherence and other treaty related actions processed within three days.</w:t>
            </w:r>
          </w:p>
          <w:p w:rsidR="00F11DB9" w:rsidRPr="00861678" w:rsidRDefault="00F11DB9" w:rsidP="00F11DB9">
            <w:pPr>
              <w:rPr>
                <w:rFonts w:cs="Arial"/>
                <w:i/>
                <w:color w:val="002060"/>
                <w:sz w:val="8"/>
                <w:szCs w:val="8"/>
              </w:rPr>
            </w:pPr>
          </w:p>
          <w:p w:rsidR="00F11DB9" w:rsidRPr="00A67F47" w:rsidRDefault="00F11DB9" w:rsidP="00F11DB9">
            <w:pPr>
              <w:rPr>
                <w:rFonts w:eastAsia="SimSun" w:cs="Arial"/>
                <w:color w:val="000000"/>
                <w:sz w:val="16"/>
                <w:szCs w:val="16"/>
                <w:lang w:eastAsia="zh-CN"/>
              </w:rPr>
            </w:pPr>
            <w:r>
              <w:rPr>
                <w:rFonts w:cs="Arial"/>
                <w:i/>
                <w:sz w:val="16"/>
                <w:szCs w:val="16"/>
              </w:rPr>
              <w:t>Original Baseline P&amp;B 2014/15</w:t>
            </w:r>
            <w:r w:rsidRPr="0027745B">
              <w:rPr>
                <w:rFonts w:cs="Arial"/>
                <w:i/>
                <w:sz w:val="16"/>
                <w:szCs w:val="16"/>
              </w:rPr>
              <w:t>:</w:t>
            </w:r>
            <w:r>
              <w:rPr>
                <w:rFonts w:cs="Arial"/>
                <w:sz w:val="16"/>
                <w:szCs w:val="16"/>
              </w:rPr>
              <w:t xml:space="preserve">  </w:t>
            </w:r>
            <w:r w:rsidRPr="00BC56C6">
              <w:rPr>
                <w:rFonts w:cs="Arial"/>
                <w:sz w:val="16"/>
                <w:szCs w:val="16"/>
              </w:rPr>
              <w:t>95% processed within three days (end of 2012)</w:t>
            </w:r>
          </w:p>
        </w:tc>
        <w:tc>
          <w:tcPr>
            <w:tcW w:w="663" w:type="pct"/>
            <w:gridSpan w:val="2"/>
            <w:tcBorders>
              <w:top w:val="nil"/>
              <w:bottom w:val="nil"/>
            </w:tcBorders>
            <w:shd w:val="clear" w:color="auto" w:fill="auto"/>
            <w:tcMar>
              <w:top w:w="110" w:type="dxa"/>
            </w:tcMar>
          </w:tcPr>
          <w:p w:rsidR="00F11DB9" w:rsidRPr="0027745B" w:rsidRDefault="00F11DB9" w:rsidP="00F11DB9">
            <w:pPr>
              <w:rPr>
                <w:rFonts w:eastAsia="SimSun" w:cs="Arial"/>
                <w:color w:val="000000"/>
                <w:sz w:val="16"/>
                <w:szCs w:val="16"/>
                <w:lang w:eastAsia="zh-CN"/>
              </w:rPr>
            </w:pPr>
            <w:r w:rsidRPr="00BC56C6">
              <w:rPr>
                <w:rFonts w:eastAsia="SimSun" w:cs="Arial"/>
                <w:color w:val="000000"/>
                <w:sz w:val="16"/>
                <w:szCs w:val="16"/>
                <w:lang w:eastAsia="zh-CN"/>
              </w:rPr>
              <w:t>90 % processed within three days</w:t>
            </w:r>
          </w:p>
        </w:tc>
        <w:tc>
          <w:tcPr>
            <w:tcW w:w="1214" w:type="pct"/>
            <w:tcBorders>
              <w:top w:val="nil"/>
              <w:bottom w:val="nil"/>
            </w:tcBorders>
            <w:shd w:val="clear" w:color="auto" w:fill="FFFFFF"/>
            <w:tcMar>
              <w:top w:w="110" w:type="dxa"/>
            </w:tcMar>
          </w:tcPr>
          <w:p w:rsidR="00F11DB9" w:rsidRPr="00A67F47" w:rsidRDefault="00F11DB9" w:rsidP="00F11DB9">
            <w:pPr>
              <w:rPr>
                <w:rFonts w:eastAsia="SimSun" w:cs="Arial"/>
                <w:sz w:val="16"/>
                <w:szCs w:val="16"/>
                <w:lang w:eastAsia="zh-CN"/>
              </w:rPr>
            </w:pPr>
            <w:r w:rsidRPr="004C5AC2">
              <w:rPr>
                <w:sz w:val="16"/>
                <w:szCs w:val="16"/>
              </w:rPr>
              <w:t>90% of notifications of adherence and other treaty related actions processed within three days.</w:t>
            </w:r>
          </w:p>
        </w:tc>
        <w:tc>
          <w:tcPr>
            <w:tcW w:w="519" w:type="pct"/>
            <w:tcBorders>
              <w:top w:val="nil"/>
              <w:bottom w:val="nil"/>
              <w:right w:val="single" w:sz="4" w:space="0" w:color="auto"/>
            </w:tcBorders>
            <w:shd w:val="clear" w:color="auto" w:fill="auto"/>
            <w:tcMar>
              <w:top w:w="110" w:type="dxa"/>
            </w:tcMar>
          </w:tcPr>
          <w:p w:rsidR="00F11DB9" w:rsidRPr="002B0985" w:rsidRDefault="00F11DB9" w:rsidP="00F11DB9">
            <w:pPr>
              <w:keepNext/>
              <w:keepLines/>
              <w:jc w:val="center"/>
              <w:rPr>
                <w:rFonts w:eastAsia="SimSun" w:cs="Arial"/>
                <w:b/>
                <w:color w:val="00B050"/>
                <w:sz w:val="16"/>
                <w:szCs w:val="16"/>
                <w:lang w:eastAsia="zh-CN"/>
              </w:rPr>
            </w:pPr>
            <w:r>
              <w:rPr>
                <w:rFonts w:eastAsia="SimSun" w:cs="Arial"/>
                <w:b/>
                <w:color w:val="00B050"/>
                <w:sz w:val="16"/>
                <w:szCs w:val="16"/>
                <w:lang w:eastAsia="zh-CN"/>
              </w:rPr>
              <w:t>Fully Achieved</w:t>
            </w:r>
          </w:p>
        </w:tc>
      </w:tr>
      <w:tr w:rsidR="00F11DB9" w:rsidRPr="00011B74" w:rsidTr="00F11DB9">
        <w:tc>
          <w:tcPr>
            <w:tcW w:w="1193" w:type="pct"/>
            <w:tcBorders>
              <w:top w:val="nil"/>
              <w:left w:val="single" w:sz="4" w:space="0" w:color="auto"/>
              <w:bottom w:val="nil"/>
            </w:tcBorders>
            <w:shd w:val="clear" w:color="auto" w:fill="auto"/>
          </w:tcPr>
          <w:p w:rsidR="00F11DB9" w:rsidRPr="00BC56C6" w:rsidRDefault="00F11DB9" w:rsidP="00F11DB9">
            <w:pPr>
              <w:rPr>
                <w:rFonts w:eastAsia="SimSun" w:cs="Arial"/>
                <w:color w:val="000000"/>
                <w:sz w:val="16"/>
                <w:szCs w:val="16"/>
                <w:lang w:eastAsia="zh-CN"/>
              </w:rPr>
            </w:pPr>
            <w:r w:rsidRPr="00BC56C6">
              <w:rPr>
                <w:rFonts w:eastAsia="SimSun" w:cs="Arial"/>
                <w:color w:val="000000"/>
                <w:sz w:val="16"/>
                <w:szCs w:val="16"/>
                <w:lang w:eastAsia="zh-CN"/>
              </w:rPr>
              <w:t>Member States satisfaction levels with the preparation and functioning of the Assemblies</w:t>
            </w:r>
          </w:p>
        </w:tc>
        <w:tc>
          <w:tcPr>
            <w:tcW w:w="1411" w:type="pct"/>
            <w:tcBorders>
              <w:top w:val="nil"/>
              <w:bottom w:val="nil"/>
            </w:tcBorders>
            <w:shd w:val="clear" w:color="auto" w:fill="auto"/>
          </w:tcPr>
          <w:p w:rsidR="00F11DB9" w:rsidRDefault="00F11DB9" w:rsidP="00F11DB9">
            <w:pPr>
              <w:rPr>
                <w:rFonts w:cs="Arial"/>
                <w:i/>
                <w:color w:val="002060"/>
                <w:sz w:val="8"/>
                <w:szCs w:val="8"/>
              </w:rPr>
            </w:pPr>
            <w:r>
              <w:rPr>
                <w:rFonts w:cs="Arial"/>
                <w:i/>
                <w:color w:val="002060"/>
                <w:sz w:val="16"/>
                <w:szCs w:val="16"/>
              </w:rPr>
              <w:t>Updated Baseline end 2013</w:t>
            </w:r>
            <w:r w:rsidRPr="0027745B">
              <w:rPr>
                <w:rFonts w:cs="Arial"/>
                <w:i/>
                <w:color w:val="002060"/>
                <w:sz w:val="16"/>
                <w:szCs w:val="16"/>
              </w:rPr>
              <w:t xml:space="preserve">:  </w:t>
            </w:r>
            <w:r w:rsidRPr="00CF33C3">
              <w:rPr>
                <w:rFonts w:eastAsia="SimSun" w:cs="Arial"/>
                <w:sz w:val="16"/>
                <w:szCs w:val="16"/>
                <w:lang w:eastAsia="zh-CN"/>
              </w:rPr>
              <w:t>88% from the 2012 WIPO Assemblies survey</w:t>
            </w:r>
            <w:r>
              <w:rPr>
                <w:rFonts w:eastAsia="SimSun" w:cs="Arial"/>
                <w:sz w:val="16"/>
                <w:szCs w:val="16"/>
                <w:lang w:eastAsia="zh-CN"/>
              </w:rPr>
              <w:t xml:space="preserve"> (a survey was not possible in 2013 due to exceptional circumstances; survey will be reintroduced in 2014).</w:t>
            </w:r>
          </w:p>
          <w:p w:rsidR="00F11DB9" w:rsidRPr="00861678" w:rsidRDefault="00F11DB9" w:rsidP="00F11DB9">
            <w:pPr>
              <w:rPr>
                <w:rFonts w:cs="Arial"/>
                <w:i/>
                <w:color w:val="002060"/>
                <w:sz w:val="8"/>
                <w:szCs w:val="8"/>
              </w:rPr>
            </w:pPr>
          </w:p>
          <w:p w:rsidR="00F11DB9" w:rsidRDefault="00F11DB9" w:rsidP="00F11DB9">
            <w:pPr>
              <w:rPr>
                <w:rFonts w:cs="Arial"/>
                <w:sz w:val="16"/>
                <w:szCs w:val="16"/>
              </w:rPr>
            </w:pPr>
            <w:r>
              <w:rPr>
                <w:rFonts w:cs="Arial"/>
                <w:i/>
                <w:sz w:val="16"/>
                <w:szCs w:val="16"/>
              </w:rPr>
              <w:t>Original Baseline P&amp;B 2014/15</w:t>
            </w:r>
            <w:r w:rsidRPr="0027745B">
              <w:rPr>
                <w:rFonts w:cs="Arial"/>
                <w:i/>
                <w:sz w:val="16"/>
                <w:szCs w:val="16"/>
              </w:rPr>
              <w:t>:</w:t>
            </w:r>
            <w:r>
              <w:rPr>
                <w:rFonts w:cs="Arial"/>
                <w:sz w:val="16"/>
                <w:szCs w:val="16"/>
              </w:rPr>
              <w:t xml:space="preserve">  </w:t>
            </w:r>
            <w:r w:rsidRPr="002B0985">
              <w:rPr>
                <w:rFonts w:cs="Arial"/>
                <w:sz w:val="16"/>
                <w:szCs w:val="16"/>
              </w:rPr>
              <w:t>88% satisfied with arrangements</w:t>
            </w:r>
          </w:p>
          <w:p w:rsidR="00F11DB9" w:rsidRDefault="00F11DB9" w:rsidP="00F11DB9">
            <w:pPr>
              <w:rPr>
                <w:rFonts w:cs="Arial"/>
                <w:i/>
                <w:color w:val="002060"/>
                <w:sz w:val="16"/>
                <w:szCs w:val="16"/>
              </w:rPr>
            </w:pPr>
          </w:p>
        </w:tc>
        <w:tc>
          <w:tcPr>
            <w:tcW w:w="663" w:type="pct"/>
            <w:gridSpan w:val="2"/>
            <w:tcBorders>
              <w:top w:val="nil"/>
              <w:bottom w:val="nil"/>
            </w:tcBorders>
            <w:shd w:val="clear" w:color="auto" w:fill="auto"/>
            <w:tcMar>
              <w:top w:w="110" w:type="dxa"/>
            </w:tcMar>
          </w:tcPr>
          <w:p w:rsidR="00F11DB9" w:rsidRPr="00BC56C6" w:rsidRDefault="00F11DB9" w:rsidP="00F11DB9">
            <w:pPr>
              <w:rPr>
                <w:rFonts w:eastAsia="SimSun" w:cs="Arial"/>
                <w:color w:val="000000"/>
                <w:sz w:val="16"/>
                <w:szCs w:val="16"/>
                <w:lang w:eastAsia="zh-CN"/>
              </w:rPr>
            </w:pPr>
            <w:r w:rsidRPr="002B0985">
              <w:rPr>
                <w:rFonts w:eastAsia="SimSun" w:cs="Arial"/>
                <w:color w:val="000000"/>
                <w:sz w:val="16"/>
                <w:szCs w:val="16"/>
                <w:lang w:eastAsia="zh-CN"/>
              </w:rPr>
              <w:t>85% satisfied with arrangements</w:t>
            </w:r>
          </w:p>
        </w:tc>
        <w:tc>
          <w:tcPr>
            <w:tcW w:w="1214" w:type="pct"/>
            <w:tcBorders>
              <w:top w:val="nil"/>
              <w:bottom w:val="nil"/>
            </w:tcBorders>
            <w:shd w:val="clear" w:color="auto" w:fill="FFFFFF"/>
            <w:tcMar>
              <w:top w:w="110" w:type="dxa"/>
            </w:tcMar>
          </w:tcPr>
          <w:p w:rsidR="00F11DB9" w:rsidRDefault="00F11DB9" w:rsidP="00F11DB9">
            <w:pPr>
              <w:rPr>
                <w:rFonts w:eastAsia="SimSun" w:cs="Arial"/>
                <w:sz w:val="16"/>
                <w:szCs w:val="16"/>
                <w:lang w:eastAsia="zh-CN"/>
              </w:rPr>
            </w:pPr>
            <w:r>
              <w:rPr>
                <w:rFonts w:eastAsia="SimSun" w:cs="Arial"/>
                <w:sz w:val="16"/>
                <w:szCs w:val="16"/>
                <w:lang w:eastAsia="zh-CN"/>
              </w:rPr>
              <w:t>87% (2014 WIPO Assemblies Survey</w:t>
            </w:r>
            <w:r>
              <w:rPr>
                <w:rStyle w:val="FootnoteReference"/>
                <w:rFonts w:eastAsia="SimSun" w:cs="Arial"/>
                <w:sz w:val="16"/>
                <w:szCs w:val="16"/>
                <w:lang w:eastAsia="zh-CN"/>
              </w:rPr>
              <w:footnoteReference w:id="122"/>
            </w:r>
            <w:r>
              <w:rPr>
                <w:rFonts w:eastAsia="SimSun" w:cs="Arial"/>
                <w:sz w:val="16"/>
                <w:szCs w:val="16"/>
                <w:lang w:eastAsia="zh-CN"/>
              </w:rPr>
              <w:t>)</w:t>
            </w:r>
          </w:p>
          <w:p w:rsidR="00F11DB9" w:rsidRDefault="00F11DB9" w:rsidP="00F11DB9">
            <w:pPr>
              <w:rPr>
                <w:rFonts w:eastAsia="SimSun" w:cs="Arial"/>
                <w:sz w:val="16"/>
                <w:szCs w:val="16"/>
                <w:lang w:eastAsia="zh-CN"/>
              </w:rPr>
            </w:pPr>
          </w:p>
          <w:p w:rsidR="00F11DB9" w:rsidRPr="00BC56C6" w:rsidRDefault="00F11DB9" w:rsidP="00F11DB9">
            <w:pPr>
              <w:rPr>
                <w:rFonts w:eastAsia="SimSun" w:cs="Arial"/>
                <w:sz w:val="16"/>
                <w:szCs w:val="16"/>
                <w:lang w:eastAsia="zh-CN"/>
              </w:rPr>
            </w:pPr>
            <w:r>
              <w:rPr>
                <w:rFonts w:eastAsia="SimSun" w:cs="Arial"/>
                <w:sz w:val="16"/>
                <w:szCs w:val="16"/>
                <w:lang w:eastAsia="zh-CN"/>
              </w:rPr>
              <w:t xml:space="preserve">90% (2015 WIPO Assemblies Survey) </w:t>
            </w:r>
          </w:p>
        </w:tc>
        <w:tc>
          <w:tcPr>
            <w:tcW w:w="519" w:type="pct"/>
            <w:tcBorders>
              <w:top w:val="nil"/>
              <w:bottom w:val="nil"/>
              <w:right w:val="single" w:sz="4" w:space="0" w:color="auto"/>
            </w:tcBorders>
            <w:shd w:val="clear" w:color="auto" w:fill="auto"/>
            <w:tcMar>
              <w:top w:w="110" w:type="dxa"/>
            </w:tcMar>
          </w:tcPr>
          <w:p w:rsidR="00F11DB9" w:rsidRPr="00BC56C6" w:rsidRDefault="00F11DB9" w:rsidP="00F11DB9">
            <w:pPr>
              <w:keepNext/>
              <w:keepLines/>
              <w:jc w:val="center"/>
              <w:rPr>
                <w:rFonts w:eastAsia="SimSun" w:cs="Arial"/>
                <w:b/>
                <w:color w:val="FF0000"/>
                <w:sz w:val="16"/>
                <w:szCs w:val="16"/>
                <w:lang w:eastAsia="zh-CN"/>
              </w:rPr>
            </w:pPr>
            <w:r w:rsidRPr="00B34D82">
              <w:rPr>
                <w:rFonts w:eastAsia="SimSun" w:cs="Arial"/>
                <w:b/>
                <w:color w:val="00B050"/>
                <w:sz w:val="16"/>
                <w:szCs w:val="16"/>
                <w:lang w:eastAsia="zh-CN"/>
              </w:rPr>
              <w:t>Fully Achieved</w:t>
            </w:r>
          </w:p>
        </w:tc>
      </w:tr>
      <w:tr w:rsidR="00F11DB9" w:rsidRPr="00011B74" w:rsidTr="00F11DB9">
        <w:tc>
          <w:tcPr>
            <w:tcW w:w="1193" w:type="pct"/>
            <w:tcBorders>
              <w:top w:val="nil"/>
              <w:left w:val="single" w:sz="4" w:space="0" w:color="auto"/>
              <w:bottom w:val="single" w:sz="4" w:space="0" w:color="auto"/>
            </w:tcBorders>
            <w:shd w:val="clear" w:color="auto" w:fill="auto"/>
          </w:tcPr>
          <w:p w:rsidR="00F11DB9" w:rsidRPr="002B0985" w:rsidRDefault="00F11DB9" w:rsidP="00F11DB9">
            <w:pPr>
              <w:rPr>
                <w:rFonts w:eastAsia="SimSun" w:cs="Arial"/>
                <w:color w:val="000000"/>
                <w:sz w:val="16"/>
                <w:szCs w:val="16"/>
                <w:lang w:eastAsia="zh-CN"/>
              </w:rPr>
            </w:pPr>
            <w:r w:rsidRPr="002B0985">
              <w:rPr>
                <w:rFonts w:eastAsia="SimSun" w:cs="Arial"/>
                <w:color w:val="000000"/>
                <w:sz w:val="16"/>
                <w:szCs w:val="16"/>
                <w:lang w:eastAsia="zh-CN"/>
              </w:rPr>
              <w:t>Timeliness of publication of Assemblies documents</w:t>
            </w:r>
          </w:p>
        </w:tc>
        <w:tc>
          <w:tcPr>
            <w:tcW w:w="1411" w:type="pct"/>
            <w:tcBorders>
              <w:top w:val="nil"/>
              <w:bottom w:val="single" w:sz="4" w:space="0" w:color="auto"/>
            </w:tcBorders>
            <w:shd w:val="clear" w:color="auto" w:fill="auto"/>
          </w:tcPr>
          <w:p w:rsidR="00F11DB9" w:rsidRDefault="00F11DB9" w:rsidP="00F11DB9">
            <w:pPr>
              <w:rPr>
                <w:rFonts w:eastAsia="SimSun" w:cs="Arial"/>
                <w:sz w:val="16"/>
                <w:szCs w:val="16"/>
                <w:lang w:eastAsia="zh-CN"/>
              </w:rPr>
            </w:pPr>
            <w:r>
              <w:rPr>
                <w:rFonts w:cs="Arial"/>
                <w:i/>
                <w:color w:val="002060"/>
                <w:sz w:val="16"/>
                <w:szCs w:val="16"/>
              </w:rPr>
              <w:t>Updated Baseline end 2013</w:t>
            </w:r>
            <w:r w:rsidRPr="0027745B">
              <w:rPr>
                <w:rFonts w:cs="Arial"/>
                <w:i/>
                <w:color w:val="002060"/>
                <w:sz w:val="16"/>
                <w:szCs w:val="16"/>
              </w:rPr>
              <w:t xml:space="preserve">:  </w:t>
            </w:r>
            <w:r w:rsidRPr="00CF33C3">
              <w:rPr>
                <w:rFonts w:eastAsia="SimSun" w:cs="Arial"/>
                <w:sz w:val="16"/>
                <w:szCs w:val="16"/>
                <w:lang w:eastAsia="zh-CN"/>
              </w:rPr>
              <w:t xml:space="preserve">For the </w:t>
            </w:r>
            <w:r>
              <w:rPr>
                <w:rFonts w:eastAsia="SimSun" w:cs="Arial"/>
                <w:sz w:val="16"/>
                <w:szCs w:val="16"/>
                <w:lang w:eastAsia="zh-CN"/>
              </w:rPr>
              <w:t xml:space="preserve">regular </w:t>
            </w:r>
            <w:r w:rsidRPr="00CF33C3">
              <w:rPr>
                <w:rFonts w:eastAsia="SimSun" w:cs="Arial"/>
                <w:sz w:val="16"/>
                <w:szCs w:val="16"/>
                <w:lang w:eastAsia="zh-CN"/>
              </w:rPr>
              <w:t>Assemblies</w:t>
            </w:r>
            <w:r>
              <w:rPr>
                <w:rFonts w:eastAsia="SimSun" w:cs="Arial"/>
                <w:sz w:val="16"/>
                <w:szCs w:val="16"/>
                <w:lang w:eastAsia="zh-CN"/>
              </w:rPr>
              <w:t xml:space="preserve">, 95% of </w:t>
            </w:r>
            <w:r w:rsidRPr="00CF33C3">
              <w:rPr>
                <w:rFonts w:eastAsia="SimSun" w:cs="Arial"/>
                <w:sz w:val="16"/>
                <w:szCs w:val="16"/>
                <w:lang w:eastAsia="zh-CN"/>
              </w:rPr>
              <w:t xml:space="preserve">all documents were published at least two months in advance of the Assemblies.  </w:t>
            </w:r>
          </w:p>
          <w:p w:rsidR="00F11DB9" w:rsidRPr="00861678" w:rsidRDefault="00F11DB9" w:rsidP="00F11DB9">
            <w:pPr>
              <w:rPr>
                <w:rFonts w:cs="Arial"/>
                <w:i/>
                <w:color w:val="002060"/>
                <w:sz w:val="8"/>
                <w:szCs w:val="8"/>
              </w:rPr>
            </w:pPr>
          </w:p>
          <w:p w:rsidR="00F11DB9" w:rsidRPr="00ED310D" w:rsidRDefault="00F11DB9" w:rsidP="00F11DB9">
            <w:pPr>
              <w:rPr>
                <w:rFonts w:cs="Arial"/>
                <w:sz w:val="16"/>
                <w:szCs w:val="16"/>
              </w:rPr>
            </w:pPr>
            <w:r>
              <w:rPr>
                <w:rFonts w:cs="Arial"/>
                <w:i/>
                <w:sz w:val="16"/>
                <w:szCs w:val="16"/>
              </w:rPr>
              <w:t>Original Baseline P&amp;B 2014/15</w:t>
            </w:r>
            <w:r w:rsidRPr="0027745B">
              <w:rPr>
                <w:rFonts w:cs="Arial"/>
                <w:i/>
                <w:sz w:val="16"/>
                <w:szCs w:val="16"/>
              </w:rPr>
              <w:t>:</w:t>
            </w:r>
            <w:r>
              <w:rPr>
                <w:rFonts w:cs="Arial"/>
                <w:sz w:val="16"/>
                <w:szCs w:val="16"/>
              </w:rPr>
              <w:t xml:space="preserve">  </w:t>
            </w:r>
            <w:r w:rsidRPr="002B0985">
              <w:rPr>
                <w:rFonts w:cs="Arial"/>
                <w:sz w:val="16"/>
                <w:szCs w:val="16"/>
              </w:rPr>
              <w:t>100% relevant documents published two months before the Assemblies</w:t>
            </w:r>
          </w:p>
        </w:tc>
        <w:tc>
          <w:tcPr>
            <w:tcW w:w="663" w:type="pct"/>
            <w:gridSpan w:val="2"/>
            <w:tcBorders>
              <w:top w:val="nil"/>
              <w:bottom w:val="single" w:sz="4" w:space="0" w:color="auto"/>
            </w:tcBorders>
            <w:shd w:val="clear" w:color="auto" w:fill="auto"/>
            <w:tcMar>
              <w:top w:w="110" w:type="dxa"/>
            </w:tcMar>
          </w:tcPr>
          <w:p w:rsidR="00F11DB9" w:rsidRPr="002B0985" w:rsidRDefault="00F11DB9" w:rsidP="00F11DB9">
            <w:pPr>
              <w:rPr>
                <w:rFonts w:eastAsia="SimSun" w:cs="Arial"/>
                <w:color w:val="000000"/>
                <w:sz w:val="16"/>
                <w:szCs w:val="16"/>
                <w:lang w:eastAsia="zh-CN"/>
              </w:rPr>
            </w:pPr>
            <w:r w:rsidRPr="002B0985">
              <w:rPr>
                <w:rFonts w:eastAsia="SimSun" w:cs="Arial"/>
                <w:color w:val="000000"/>
                <w:sz w:val="16"/>
                <w:szCs w:val="16"/>
                <w:lang w:eastAsia="zh-CN"/>
              </w:rPr>
              <w:t>100% relevant documents published two months before the Assemblies</w:t>
            </w:r>
          </w:p>
        </w:tc>
        <w:tc>
          <w:tcPr>
            <w:tcW w:w="1214" w:type="pct"/>
            <w:tcBorders>
              <w:top w:val="nil"/>
              <w:bottom w:val="single" w:sz="4" w:space="0" w:color="auto"/>
            </w:tcBorders>
            <w:shd w:val="clear" w:color="auto" w:fill="FFFFFF"/>
            <w:tcMar>
              <w:top w:w="110" w:type="dxa"/>
            </w:tcMar>
          </w:tcPr>
          <w:p w:rsidR="00F11DB9" w:rsidRDefault="00F11DB9" w:rsidP="00F11DB9">
            <w:pPr>
              <w:rPr>
                <w:rFonts w:eastAsia="SimSun" w:cs="Arial"/>
                <w:sz w:val="16"/>
                <w:szCs w:val="16"/>
                <w:lang w:eastAsia="zh-CN"/>
              </w:rPr>
            </w:pPr>
            <w:r>
              <w:rPr>
                <w:rFonts w:eastAsia="SimSun" w:cs="Arial"/>
                <w:sz w:val="16"/>
                <w:szCs w:val="16"/>
                <w:lang w:eastAsia="zh-CN"/>
              </w:rPr>
              <w:t>In 2014/15, 97% of all relevant documents were published two months before the Assemblies:</w:t>
            </w:r>
          </w:p>
          <w:p w:rsidR="00F11DB9" w:rsidRDefault="00F11DB9" w:rsidP="00F11DB9">
            <w:pPr>
              <w:pStyle w:val="ListParagraph"/>
              <w:numPr>
                <w:ilvl w:val="0"/>
                <w:numId w:val="31"/>
              </w:numPr>
              <w:contextualSpacing/>
              <w:rPr>
                <w:rFonts w:eastAsia="SimSun" w:cs="Arial"/>
                <w:sz w:val="16"/>
                <w:szCs w:val="16"/>
                <w:lang w:eastAsia="zh-CN"/>
              </w:rPr>
            </w:pPr>
            <w:r>
              <w:rPr>
                <w:rFonts w:eastAsia="SimSun" w:cs="Arial"/>
                <w:sz w:val="16"/>
                <w:szCs w:val="16"/>
                <w:lang w:eastAsia="zh-CN"/>
              </w:rPr>
              <w:t>95% for the 2014 Assemblies</w:t>
            </w:r>
          </w:p>
          <w:p w:rsidR="00F11DB9" w:rsidRPr="00E0287F" w:rsidRDefault="00F11DB9" w:rsidP="00F11DB9">
            <w:pPr>
              <w:pStyle w:val="ListParagraph"/>
              <w:numPr>
                <w:ilvl w:val="0"/>
                <w:numId w:val="31"/>
              </w:numPr>
              <w:contextualSpacing/>
              <w:rPr>
                <w:rFonts w:eastAsia="SimSun" w:cs="Arial"/>
                <w:sz w:val="16"/>
                <w:szCs w:val="16"/>
                <w:lang w:eastAsia="zh-CN"/>
              </w:rPr>
            </w:pPr>
            <w:r>
              <w:rPr>
                <w:rFonts w:eastAsia="SimSun" w:cs="Arial"/>
                <w:sz w:val="16"/>
                <w:szCs w:val="16"/>
                <w:lang w:eastAsia="zh-CN"/>
              </w:rPr>
              <w:t>99.5% for the 2015 Assemblies</w:t>
            </w:r>
          </w:p>
        </w:tc>
        <w:tc>
          <w:tcPr>
            <w:tcW w:w="519" w:type="pct"/>
            <w:tcBorders>
              <w:top w:val="nil"/>
              <w:bottom w:val="single" w:sz="4" w:space="0" w:color="auto"/>
              <w:right w:val="single" w:sz="4" w:space="0" w:color="auto"/>
            </w:tcBorders>
            <w:shd w:val="clear" w:color="auto" w:fill="auto"/>
            <w:tcMar>
              <w:top w:w="110" w:type="dxa"/>
            </w:tcMar>
          </w:tcPr>
          <w:p w:rsidR="00F11DB9" w:rsidRPr="00BC56C6" w:rsidRDefault="00F11DB9" w:rsidP="00F11DB9">
            <w:pPr>
              <w:keepNext/>
              <w:keepLines/>
              <w:jc w:val="center"/>
              <w:rPr>
                <w:rFonts w:eastAsia="SimSun" w:cs="Arial"/>
                <w:b/>
                <w:color w:val="FF0000"/>
                <w:sz w:val="16"/>
                <w:szCs w:val="16"/>
                <w:lang w:eastAsia="zh-CN"/>
              </w:rPr>
            </w:pPr>
            <w:r w:rsidRPr="00B34D82">
              <w:rPr>
                <w:rFonts w:eastAsia="SimSun" w:cs="Arial"/>
                <w:b/>
                <w:color w:val="00B050"/>
                <w:sz w:val="16"/>
                <w:szCs w:val="16"/>
                <w:lang w:eastAsia="zh-CN"/>
              </w:rPr>
              <w:t>Fully Achieved</w:t>
            </w:r>
          </w:p>
        </w:tc>
      </w:tr>
      <w:tr w:rsidR="00F11DB9" w:rsidRPr="00011B74" w:rsidTr="00F11DB9">
        <w:trPr>
          <w:trHeight w:val="430"/>
        </w:trPr>
        <w:tc>
          <w:tcPr>
            <w:tcW w:w="5000" w:type="pct"/>
            <w:gridSpan w:val="6"/>
            <w:tcBorders>
              <w:top w:val="single" w:sz="4" w:space="0" w:color="auto"/>
              <w:bottom w:val="single" w:sz="4" w:space="0" w:color="auto"/>
            </w:tcBorders>
            <w:shd w:val="clear" w:color="auto" w:fill="C6D9F1" w:themeFill="text2" w:themeFillTint="33"/>
            <w:vAlign w:val="center"/>
          </w:tcPr>
          <w:p w:rsidR="00F11DB9" w:rsidRPr="00A67F47" w:rsidRDefault="00F11DB9" w:rsidP="00F11DB9">
            <w:pPr>
              <w:keepNext/>
              <w:keepLines/>
              <w:tabs>
                <w:tab w:val="left" w:pos="1452"/>
              </w:tabs>
              <w:ind w:left="1452" w:hanging="1452"/>
              <w:rPr>
                <w:rFonts w:eastAsia="SimSun" w:cs="Arial"/>
                <w:b/>
                <w:bCs/>
                <w:sz w:val="16"/>
                <w:szCs w:val="16"/>
                <w:lang w:eastAsia="zh-CN"/>
              </w:rPr>
            </w:pPr>
            <w:r w:rsidRPr="00A67F47">
              <w:rPr>
                <w:rFonts w:eastAsia="SimSun" w:cs="Arial"/>
                <w:b/>
                <w:bCs/>
                <w:sz w:val="16"/>
                <w:szCs w:val="16"/>
                <w:lang w:eastAsia="zh-CN"/>
              </w:rPr>
              <w:t>Expected Result:</w:t>
            </w:r>
            <w:r w:rsidRPr="00A67F47">
              <w:rPr>
                <w:rFonts w:eastAsia="SimSun" w:cs="Arial"/>
                <w:b/>
                <w:bCs/>
                <w:sz w:val="16"/>
                <w:szCs w:val="16"/>
                <w:lang w:eastAsia="zh-CN"/>
              </w:rPr>
              <w:tab/>
            </w:r>
            <w:r w:rsidRPr="002B0985">
              <w:rPr>
                <w:rFonts w:eastAsia="SimSun" w:cs="Arial"/>
                <w:color w:val="000000"/>
                <w:sz w:val="16"/>
                <w:szCs w:val="16"/>
                <w:lang w:eastAsia="zh-CN"/>
              </w:rPr>
              <w:t>VIII.5 WIPO effectively interacts and partners with UN and other IGO processes and negotiations</w:t>
            </w:r>
          </w:p>
        </w:tc>
      </w:tr>
      <w:tr w:rsidR="00F11DB9" w:rsidRPr="00011B74" w:rsidTr="00F11DB9">
        <w:tc>
          <w:tcPr>
            <w:tcW w:w="1193" w:type="pct"/>
            <w:tcBorders>
              <w:top w:val="single" w:sz="4" w:space="0" w:color="auto"/>
            </w:tcBorders>
            <w:shd w:val="clear" w:color="auto" w:fill="auto"/>
            <w:vAlign w:val="center"/>
          </w:tcPr>
          <w:p w:rsidR="00F11DB9" w:rsidRPr="00A67F47" w:rsidRDefault="00F11DB9" w:rsidP="00F11DB9">
            <w:pPr>
              <w:keepNext/>
              <w:keepLines/>
              <w:rPr>
                <w:rFonts w:eastAsia="SimSun" w:cs="Arial"/>
                <w:sz w:val="16"/>
                <w:szCs w:val="16"/>
                <w:lang w:eastAsia="zh-CN"/>
              </w:rPr>
            </w:pPr>
            <w:r w:rsidRPr="00A67F47">
              <w:rPr>
                <w:rFonts w:eastAsia="SimSun" w:cs="Arial"/>
                <w:b/>
                <w:bCs/>
                <w:sz w:val="16"/>
                <w:szCs w:val="16"/>
                <w:lang w:eastAsia="zh-CN"/>
              </w:rPr>
              <w:t>Performance Indicators</w:t>
            </w:r>
          </w:p>
        </w:tc>
        <w:tc>
          <w:tcPr>
            <w:tcW w:w="1411" w:type="pct"/>
            <w:tcBorders>
              <w:top w:val="single" w:sz="4" w:space="0" w:color="auto"/>
            </w:tcBorders>
            <w:shd w:val="clear" w:color="auto" w:fill="auto"/>
            <w:vAlign w:val="center"/>
          </w:tcPr>
          <w:p w:rsidR="00F11DB9" w:rsidRPr="00A67F47" w:rsidRDefault="00F11DB9" w:rsidP="00F11DB9">
            <w:pPr>
              <w:keepNext/>
              <w:keepLines/>
              <w:rPr>
                <w:rFonts w:eastAsia="SimSun" w:cs="Arial"/>
                <w:b/>
                <w:bCs/>
                <w:sz w:val="16"/>
                <w:szCs w:val="16"/>
                <w:lang w:eastAsia="zh-CN"/>
              </w:rPr>
            </w:pPr>
            <w:r w:rsidRPr="00A67F47">
              <w:rPr>
                <w:rFonts w:cs="Arial"/>
                <w:b/>
                <w:bCs/>
                <w:sz w:val="16"/>
                <w:szCs w:val="16"/>
              </w:rPr>
              <w:t>Baselines</w:t>
            </w:r>
          </w:p>
        </w:tc>
        <w:tc>
          <w:tcPr>
            <w:tcW w:w="608" w:type="pct"/>
            <w:tcBorders>
              <w:top w:val="single" w:sz="4" w:space="0" w:color="auto"/>
            </w:tcBorders>
            <w:shd w:val="clear" w:color="auto" w:fill="auto"/>
            <w:tcMar>
              <w:top w:w="110" w:type="dxa"/>
            </w:tcMar>
            <w:vAlign w:val="center"/>
          </w:tcPr>
          <w:p w:rsidR="00F11DB9" w:rsidRPr="0027745B" w:rsidRDefault="00F11DB9" w:rsidP="00F11DB9">
            <w:pPr>
              <w:keepNext/>
              <w:keepLines/>
              <w:rPr>
                <w:rFonts w:eastAsia="SimSun" w:cs="Arial"/>
                <w:b/>
                <w:sz w:val="16"/>
                <w:szCs w:val="16"/>
                <w:lang w:eastAsia="zh-CN"/>
              </w:rPr>
            </w:pPr>
            <w:r w:rsidRPr="00A67F47">
              <w:rPr>
                <w:rFonts w:cs="Arial"/>
                <w:b/>
                <w:sz w:val="16"/>
                <w:szCs w:val="16"/>
              </w:rPr>
              <w:t>Target</w:t>
            </w:r>
            <w:r>
              <w:rPr>
                <w:rFonts w:cs="Arial"/>
                <w:b/>
                <w:sz w:val="16"/>
                <w:szCs w:val="16"/>
              </w:rPr>
              <w:t>s</w:t>
            </w:r>
          </w:p>
        </w:tc>
        <w:tc>
          <w:tcPr>
            <w:tcW w:w="1269" w:type="pct"/>
            <w:gridSpan w:val="2"/>
            <w:tcBorders>
              <w:top w:val="single" w:sz="4" w:space="0" w:color="auto"/>
            </w:tcBorders>
            <w:shd w:val="clear" w:color="auto" w:fill="FFFFFF"/>
            <w:tcMar>
              <w:top w:w="110" w:type="dxa"/>
            </w:tcMar>
            <w:vAlign w:val="center"/>
          </w:tcPr>
          <w:p w:rsidR="00F11DB9" w:rsidRPr="00A67F47" w:rsidRDefault="00F11DB9" w:rsidP="00F11DB9">
            <w:pPr>
              <w:keepNext/>
              <w:keepLines/>
              <w:rPr>
                <w:rFonts w:eastAsia="SimSun" w:cs="Arial"/>
                <w:sz w:val="16"/>
                <w:szCs w:val="16"/>
                <w:lang w:eastAsia="zh-CN"/>
              </w:rPr>
            </w:pPr>
            <w:r w:rsidRPr="00A67F47">
              <w:rPr>
                <w:rFonts w:eastAsia="SimSun" w:cs="Arial"/>
                <w:b/>
                <w:bCs/>
                <w:sz w:val="16"/>
                <w:szCs w:val="16"/>
                <w:lang w:eastAsia="zh-CN"/>
              </w:rPr>
              <w:t>Performance Data</w:t>
            </w:r>
          </w:p>
        </w:tc>
        <w:tc>
          <w:tcPr>
            <w:tcW w:w="519" w:type="pct"/>
            <w:tcBorders>
              <w:top w:val="single" w:sz="4" w:space="0" w:color="auto"/>
            </w:tcBorders>
            <w:shd w:val="clear" w:color="auto" w:fill="auto"/>
            <w:tcMar>
              <w:top w:w="110" w:type="dxa"/>
            </w:tcMar>
            <w:vAlign w:val="center"/>
          </w:tcPr>
          <w:p w:rsidR="00F11DB9" w:rsidRPr="00A67F47" w:rsidRDefault="00F11DB9" w:rsidP="00F11DB9">
            <w:pPr>
              <w:keepNext/>
              <w:keepLines/>
              <w:jc w:val="center"/>
              <w:rPr>
                <w:rFonts w:eastAsia="SimSun" w:cs="Arial"/>
                <w:b/>
                <w:bCs/>
                <w:color w:val="008000"/>
                <w:sz w:val="16"/>
                <w:szCs w:val="16"/>
                <w:lang w:eastAsia="zh-CN"/>
              </w:rPr>
            </w:pPr>
            <w:r w:rsidRPr="00A67F47">
              <w:rPr>
                <w:rFonts w:eastAsia="SimSun" w:cs="Arial"/>
                <w:b/>
                <w:bCs/>
                <w:sz w:val="16"/>
                <w:szCs w:val="16"/>
                <w:lang w:eastAsia="zh-CN"/>
              </w:rPr>
              <w:t>TLS</w:t>
            </w:r>
          </w:p>
        </w:tc>
      </w:tr>
      <w:tr w:rsidR="00F11DB9" w:rsidRPr="00A71AB2" w:rsidTr="00F11DB9">
        <w:tc>
          <w:tcPr>
            <w:tcW w:w="1193" w:type="pct"/>
            <w:shd w:val="clear" w:color="auto" w:fill="auto"/>
          </w:tcPr>
          <w:p w:rsidR="00F11DB9" w:rsidRPr="00A71AB2" w:rsidRDefault="00F11DB9" w:rsidP="00F11DB9">
            <w:pPr>
              <w:keepNext/>
              <w:keepLines/>
              <w:rPr>
                <w:rFonts w:eastAsia="SimSun" w:cs="Arial"/>
                <w:color w:val="000000"/>
                <w:sz w:val="16"/>
                <w:szCs w:val="16"/>
                <w:lang w:eastAsia="zh-CN"/>
              </w:rPr>
            </w:pPr>
            <w:r w:rsidRPr="00A71AB2">
              <w:rPr>
                <w:rFonts w:eastAsia="SimSun" w:cs="Arial"/>
                <w:color w:val="000000"/>
                <w:sz w:val="16"/>
                <w:szCs w:val="16"/>
                <w:lang w:eastAsia="zh-CN"/>
              </w:rPr>
              <w:t>New joint initiatives with other UN agencies</w:t>
            </w:r>
          </w:p>
        </w:tc>
        <w:tc>
          <w:tcPr>
            <w:tcW w:w="1411" w:type="pct"/>
            <w:shd w:val="clear" w:color="auto" w:fill="auto"/>
          </w:tcPr>
          <w:p w:rsidR="00F11DB9" w:rsidRPr="00A71AB2" w:rsidRDefault="00F11DB9" w:rsidP="00F11DB9">
            <w:pPr>
              <w:rPr>
                <w:rFonts w:eastAsiaTheme="minorHAnsi" w:cs="Arial"/>
                <w:i/>
                <w:color w:val="002060"/>
                <w:sz w:val="16"/>
                <w:szCs w:val="16"/>
              </w:rPr>
            </w:pPr>
            <w:r w:rsidRPr="00A71AB2">
              <w:rPr>
                <w:rFonts w:cs="Arial"/>
                <w:i/>
                <w:color w:val="002060"/>
                <w:sz w:val="16"/>
                <w:szCs w:val="16"/>
              </w:rPr>
              <w:t xml:space="preserve">Updated Baseline end 2013:  </w:t>
            </w:r>
            <w:r w:rsidRPr="00A71AB2">
              <w:rPr>
                <w:rFonts w:cs="Arial"/>
                <w:sz w:val="16"/>
                <w:szCs w:val="16"/>
                <w:lang w:bidi="th-TH"/>
              </w:rPr>
              <w:t>Two new initiatives undertaken by the Director General (Director General Chaired the HLCM in 2012; launch by the Director General of the Global Innovation Index at ECOSOC in Geneva in 2013).</w:t>
            </w:r>
          </w:p>
          <w:p w:rsidR="00F11DB9" w:rsidRPr="00A71AB2" w:rsidRDefault="00F11DB9" w:rsidP="00F11DB9">
            <w:pPr>
              <w:rPr>
                <w:rFonts w:cs="Arial"/>
                <w:i/>
                <w:color w:val="002060"/>
                <w:sz w:val="16"/>
                <w:szCs w:val="16"/>
              </w:rPr>
            </w:pPr>
          </w:p>
          <w:p w:rsidR="00F11DB9" w:rsidRPr="00A71AB2" w:rsidRDefault="00F11DB9" w:rsidP="00F11DB9">
            <w:pPr>
              <w:keepNext/>
              <w:keepLines/>
              <w:rPr>
                <w:rFonts w:cs="Arial"/>
                <w:sz w:val="16"/>
                <w:szCs w:val="16"/>
              </w:rPr>
            </w:pPr>
            <w:r w:rsidRPr="00A71AB2">
              <w:rPr>
                <w:rFonts w:cs="Arial"/>
                <w:i/>
                <w:sz w:val="16"/>
                <w:szCs w:val="16"/>
              </w:rPr>
              <w:t>Original Baseline P&amp;B 2014/15:</w:t>
            </w:r>
            <w:r w:rsidRPr="00A71AB2">
              <w:rPr>
                <w:rFonts w:cs="Arial"/>
                <w:sz w:val="16"/>
                <w:szCs w:val="16"/>
              </w:rPr>
              <w:t xml:space="preserve">  Two</w:t>
            </w:r>
          </w:p>
          <w:p w:rsidR="00F11DB9" w:rsidRPr="00A71AB2" w:rsidRDefault="00F11DB9" w:rsidP="00F11DB9">
            <w:pPr>
              <w:keepNext/>
              <w:keepLines/>
              <w:rPr>
                <w:rFonts w:eastAsia="SimSun" w:cs="Arial"/>
                <w:color w:val="000000"/>
                <w:sz w:val="16"/>
                <w:szCs w:val="16"/>
                <w:lang w:eastAsia="zh-CN"/>
              </w:rPr>
            </w:pPr>
          </w:p>
        </w:tc>
        <w:tc>
          <w:tcPr>
            <w:tcW w:w="608" w:type="pct"/>
            <w:shd w:val="clear" w:color="auto" w:fill="auto"/>
            <w:tcMar>
              <w:top w:w="110" w:type="dxa"/>
            </w:tcMar>
          </w:tcPr>
          <w:p w:rsidR="00F11DB9" w:rsidRPr="00A71AB2" w:rsidRDefault="00F11DB9" w:rsidP="00F11DB9">
            <w:pPr>
              <w:keepNext/>
              <w:keepLines/>
              <w:rPr>
                <w:rFonts w:eastAsia="SimSun" w:cs="Arial"/>
                <w:sz w:val="16"/>
                <w:szCs w:val="16"/>
                <w:lang w:eastAsia="zh-CN"/>
              </w:rPr>
            </w:pPr>
            <w:r w:rsidRPr="00A71AB2">
              <w:rPr>
                <w:rFonts w:eastAsia="SimSun" w:cs="Arial"/>
                <w:sz w:val="16"/>
                <w:szCs w:val="16"/>
                <w:lang w:eastAsia="zh-CN"/>
              </w:rPr>
              <w:t>Two</w:t>
            </w:r>
          </w:p>
        </w:tc>
        <w:tc>
          <w:tcPr>
            <w:tcW w:w="1269" w:type="pct"/>
            <w:gridSpan w:val="2"/>
            <w:shd w:val="clear" w:color="auto" w:fill="FFFFFF"/>
            <w:tcMar>
              <w:top w:w="110" w:type="dxa"/>
            </w:tcMar>
          </w:tcPr>
          <w:p w:rsidR="00F11DB9" w:rsidRDefault="00F11DB9" w:rsidP="00F11DB9">
            <w:pPr>
              <w:keepNext/>
              <w:keepLines/>
              <w:rPr>
                <w:rFonts w:cs="Arial"/>
                <w:sz w:val="16"/>
                <w:szCs w:val="16"/>
                <w:lang w:bidi="th-TH"/>
              </w:rPr>
            </w:pPr>
            <w:r w:rsidRPr="00A71AB2">
              <w:rPr>
                <w:rFonts w:eastAsia="SimSun" w:cs="Arial"/>
                <w:sz w:val="16"/>
                <w:szCs w:val="16"/>
                <w:lang w:eastAsia="zh-CN"/>
              </w:rPr>
              <w:t xml:space="preserve">Two </w:t>
            </w:r>
            <w:r w:rsidRPr="00A71AB2">
              <w:rPr>
                <w:rFonts w:cs="Arial"/>
                <w:sz w:val="16"/>
                <w:szCs w:val="16"/>
                <w:lang w:bidi="th-TH"/>
              </w:rPr>
              <w:t>new initiatives und</w:t>
            </w:r>
            <w:r>
              <w:rPr>
                <w:rFonts w:cs="Arial"/>
                <w:sz w:val="16"/>
                <w:szCs w:val="16"/>
                <w:lang w:bidi="th-TH"/>
              </w:rPr>
              <w:t>ertaken by the Director General:</w:t>
            </w:r>
          </w:p>
          <w:p w:rsidR="00F11DB9" w:rsidRDefault="00F11DB9" w:rsidP="00F11DB9">
            <w:pPr>
              <w:pStyle w:val="ListParagraph"/>
              <w:keepNext/>
              <w:keepLines/>
              <w:numPr>
                <w:ilvl w:val="0"/>
                <w:numId w:val="30"/>
              </w:numPr>
              <w:contextualSpacing/>
              <w:rPr>
                <w:rFonts w:eastAsia="SimSun" w:cs="Arial"/>
                <w:sz w:val="16"/>
                <w:szCs w:val="16"/>
                <w:lang w:eastAsia="zh-CN"/>
              </w:rPr>
            </w:pPr>
            <w:r w:rsidRPr="004019AF">
              <w:rPr>
                <w:rFonts w:eastAsia="SimSun" w:cs="Arial"/>
                <w:sz w:val="16"/>
                <w:szCs w:val="16"/>
                <w:lang w:eastAsia="zh-CN"/>
              </w:rPr>
              <w:t xml:space="preserve">Application for Observer Status to the International Organization for Migration (IOM) in 2014; </w:t>
            </w:r>
          </w:p>
          <w:p w:rsidR="00F11DB9" w:rsidRPr="004019AF" w:rsidRDefault="00F11DB9" w:rsidP="00F11DB9">
            <w:pPr>
              <w:pStyle w:val="ListParagraph"/>
              <w:keepNext/>
              <w:keepLines/>
              <w:numPr>
                <w:ilvl w:val="0"/>
                <w:numId w:val="30"/>
              </w:numPr>
              <w:contextualSpacing/>
              <w:rPr>
                <w:rFonts w:eastAsia="SimSun" w:cs="Arial"/>
                <w:sz w:val="16"/>
                <w:szCs w:val="16"/>
                <w:lang w:eastAsia="zh-CN"/>
              </w:rPr>
            </w:pPr>
            <w:r w:rsidRPr="004019AF">
              <w:rPr>
                <w:rFonts w:eastAsia="SimSun" w:cs="Arial"/>
                <w:sz w:val="16"/>
                <w:szCs w:val="16"/>
                <w:lang w:eastAsia="zh-CN"/>
              </w:rPr>
              <w:t xml:space="preserve">Membership in 2015 of the </w:t>
            </w:r>
            <w:r w:rsidRPr="004019AF">
              <w:rPr>
                <w:rFonts w:cs="Arial"/>
                <w:bCs/>
                <w:sz w:val="16"/>
                <w:szCs w:val="16"/>
              </w:rPr>
              <w:t xml:space="preserve">United Nations Interagency Working Group on a Technology Facilitation Mechanism </w:t>
            </w:r>
            <w:r>
              <w:rPr>
                <w:rFonts w:cs="Arial"/>
                <w:bCs/>
                <w:sz w:val="16"/>
                <w:szCs w:val="16"/>
              </w:rPr>
              <w:t>(IAWG)</w:t>
            </w:r>
            <w:r w:rsidRPr="004019AF">
              <w:rPr>
                <w:rFonts w:cs="Arial"/>
                <w:bCs/>
                <w:sz w:val="16"/>
                <w:szCs w:val="16"/>
              </w:rPr>
              <w:t xml:space="preserve">(established by the </w:t>
            </w:r>
            <w:r w:rsidRPr="004019AF">
              <w:rPr>
                <w:rFonts w:cs="Arial"/>
                <w:sz w:val="16"/>
                <w:szCs w:val="16"/>
              </w:rPr>
              <w:t>Addis Ababa Action Agenda)</w:t>
            </w:r>
            <w:r w:rsidRPr="004019AF">
              <w:rPr>
                <w:rFonts w:eastAsia="SimSun" w:cs="Arial"/>
                <w:sz w:val="16"/>
                <w:szCs w:val="16"/>
                <w:lang w:eastAsia="zh-CN"/>
              </w:rPr>
              <w:t xml:space="preserve"> </w:t>
            </w:r>
          </w:p>
        </w:tc>
        <w:tc>
          <w:tcPr>
            <w:tcW w:w="519" w:type="pct"/>
            <w:shd w:val="clear" w:color="auto" w:fill="auto"/>
            <w:tcMar>
              <w:top w:w="110" w:type="dxa"/>
            </w:tcMar>
          </w:tcPr>
          <w:p w:rsidR="00F11DB9" w:rsidRPr="00A71AB2" w:rsidRDefault="00F11DB9" w:rsidP="00F11DB9">
            <w:pPr>
              <w:keepNext/>
              <w:keepLines/>
              <w:jc w:val="center"/>
              <w:rPr>
                <w:rFonts w:eastAsia="SimSun" w:cs="Arial"/>
                <w:bCs/>
                <w:color w:val="808080"/>
                <w:sz w:val="16"/>
                <w:szCs w:val="16"/>
                <w:lang w:eastAsia="zh-CN"/>
              </w:rPr>
            </w:pPr>
            <w:r>
              <w:rPr>
                <w:rFonts w:eastAsia="SimSun" w:cs="Arial"/>
                <w:b/>
                <w:color w:val="00B050"/>
                <w:sz w:val="16"/>
                <w:szCs w:val="16"/>
                <w:lang w:eastAsia="zh-CN"/>
              </w:rPr>
              <w:t>Fully Achieved</w:t>
            </w:r>
          </w:p>
        </w:tc>
      </w:tr>
      <w:tr w:rsidR="00F11DB9" w:rsidRPr="00011B74" w:rsidTr="00F11DB9">
        <w:trPr>
          <w:trHeight w:val="429"/>
        </w:trPr>
        <w:tc>
          <w:tcPr>
            <w:tcW w:w="5000" w:type="pct"/>
            <w:gridSpan w:val="6"/>
            <w:tcBorders>
              <w:top w:val="single" w:sz="4" w:space="0" w:color="auto"/>
              <w:bottom w:val="single" w:sz="4" w:space="0" w:color="auto"/>
            </w:tcBorders>
            <w:shd w:val="clear" w:color="auto" w:fill="C6D9F1" w:themeFill="text2" w:themeFillTint="33"/>
            <w:vAlign w:val="center"/>
          </w:tcPr>
          <w:p w:rsidR="00F11DB9" w:rsidRPr="00A67F47" w:rsidRDefault="00F11DB9" w:rsidP="00F11DB9">
            <w:pPr>
              <w:keepNext/>
              <w:keepLines/>
              <w:tabs>
                <w:tab w:val="left" w:pos="1452"/>
              </w:tabs>
              <w:ind w:left="1452" w:hanging="1452"/>
              <w:rPr>
                <w:rFonts w:eastAsia="SimSun" w:cs="Arial"/>
                <w:b/>
                <w:bCs/>
                <w:sz w:val="16"/>
                <w:szCs w:val="16"/>
                <w:lang w:eastAsia="zh-CN"/>
              </w:rPr>
            </w:pPr>
            <w:r w:rsidRPr="00A67F47">
              <w:rPr>
                <w:rFonts w:eastAsia="SimSun" w:cs="Arial"/>
                <w:b/>
                <w:bCs/>
                <w:sz w:val="16"/>
                <w:szCs w:val="16"/>
                <w:lang w:eastAsia="zh-CN"/>
              </w:rPr>
              <w:t>Expected Result:</w:t>
            </w:r>
            <w:r w:rsidRPr="00A67F47">
              <w:rPr>
                <w:rFonts w:eastAsia="SimSun" w:cs="Arial"/>
                <w:b/>
                <w:bCs/>
                <w:sz w:val="16"/>
                <w:szCs w:val="16"/>
                <w:lang w:eastAsia="zh-CN"/>
              </w:rPr>
              <w:tab/>
            </w:r>
            <w:r w:rsidRPr="002B0985">
              <w:rPr>
                <w:rFonts w:eastAsia="SimSun" w:cs="Arial"/>
                <w:color w:val="000000"/>
                <w:sz w:val="16"/>
                <w:szCs w:val="16"/>
                <w:lang w:eastAsia="zh-CN"/>
              </w:rPr>
              <w:t>IX.2 An agile and smooth functioning Secretariat with a well managed and appropriately skilled workforce which is effectively delivering results</w:t>
            </w:r>
          </w:p>
        </w:tc>
      </w:tr>
      <w:tr w:rsidR="00F11DB9" w:rsidRPr="00011B74" w:rsidTr="00F11DB9">
        <w:tc>
          <w:tcPr>
            <w:tcW w:w="1193" w:type="pct"/>
            <w:tcBorders>
              <w:top w:val="single" w:sz="4" w:space="0" w:color="auto"/>
              <w:bottom w:val="single" w:sz="4" w:space="0" w:color="auto"/>
            </w:tcBorders>
            <w:shd w:val="clear" w:color="auto" w:fill="auto"/>
            <w:vAlign w:val="center"/>
          </w:tcPr>
          <w:p w:rsidR="00F11DB9" w:rsidRPr="002B0985" w:rsidRDefault="00F11DB9" w:rsidP="00F11DB9">
            <w:pPr>
              <w:rPr>
                <w:rFonts w:eastAsia="SimSun" w:cs="Arial"/>
                <w:color w:val="000000"/>
                <w:sz w:val="16"/>
                <w:szCs w:val="16"/>
                <w:lang w:eastAsia="zh-CN"/>
              </w:rPr>
            </w:pPr>
            <w:r w:rsidRPr="00A67F47">
              <w:rPr>
                <w:rFonts w:eastAsia="SimSun" w:cs="Arial"/>
                <w:b/>
                <w:bCs/>
                <w:sz w:val="16"/>
                <w:szCs w:val="16"/>
                <w:lang w:eastAsia="zh-CN"/>
              </w:rPr>
              <w:t>Performance Indicators</w:t>
            </w:r>
          </w:p>
        </w:tc>
        <w:tc>
          <w:tcPr>
            <w:tcW w:w="1411" w:type="pct"/>
            <w:tcBorders>
              <w:top w:val="single" w:sz="4" w:space="0" w:color="auto"/>
              <w:bottom w:val="single" w:sz="4" w:space="0" w:color="auto"/>
            </w:tcBorders>
            <w:shd w:val="clear" w:color="auto" w:fill="auto"/>
            <w:vAlign w:val="center"/>
          </w:tcPr>
          <w:p w:rsidR="00F11DB9" w:rsidRDefault="00F11DB9" w:rsidP="00F11DB9">
            <w:pPr>
              <w:rPr>
                <w:rFonts w:cs="Arial"/>
                <w:i/>
                <w:color w:val="002060"/>
                <w:sz w:val="16"/>
                <w:szCs w:val="16"/>
              </w:rPr>
            </w:pPr>
            <w:r w:rsidRPr="00A67F47">
              <w:rPr>
                <w:rFonts w:cs="Arial"/>
                <w:b/>
                <w:bCs/>
                <w:sz w:val="16"/>
                <w:szCs w:val="16"/>
              </w:rPr>
              <w:t>Baselines</w:t>
            </w:r>
          </w:p>
        </w:tc>
        <w:tc>
          <w:tcPr>
            <w:tcW w:w="608" w:type="pct"/>
            <w:tcBorders>
              <w:top w:val="single" w:sz="4" w:space="0" w:color="auto"/>
              <w:bottom w:val="single" w:sz="4" w:space="0" w:color="auto"/>
            </w:tcBorders>
            <w:shd w:val="clear" w:color="auto" w:fill="auto"/>
            <w:tcMar>
              <w:top w:w="110" w:type="dxa"/>
            </w:tcMar>
            <w:vAlign w:val="center"/>
          </w:tcPr>
          <w:p w:rsidR="00F11DB9" w:rsidRPr="002B0985" w:rsidRDefault="00F11DB9" w:rsidP="00F11DB9">
            <w:pPr>
              <w:rPr>
                <w:rFonts w:eastAsia="SimSun" w:cs="Arial"/>
                <w:sz w:val="16"/>
                <w:szCs w:val="16"/>
                <w:lang w:eastAsia="zh-CN"/>
              </w:rPr>
            </w:pPr>
            <w:r w:rsidRPr="00A67F47">
              <w:rPr>
                <w:rFonts w:cs="Arial"/>
                <w:b/>
                <w:sz w:val="16"/>
                <w:szCs w:val="16"/>
              </w:rPr>
              <w:t>Target</w:t>
            </w:r>
            <w:r>
              <w:rPr>
                <w:rFonts w:cs="Arial"/>
                <w:b/>
                <w:sz w:val="16"/>
                <w:szCs w:val="16"/>
              </w:rPr>
              <w:t>s</w:t>
            </w:r>
          </w:p>
        </w:tc>
        <w:tc>
          <w:tcPr>
            <w:tcW w:w="1269" w:type="pct"/>
            <w:gridSpan w:val="2"/>
            <w:tcBorders>
              <w:top w:val="single" w:sz="4" w:space="0" w:color="auto"/>
              <w:bottom w:val="single" w:sz="4" w:space="0" w:color="auto"/>
            </w:tcBorders>
            <w:shd w:val="clear" w:color="auto" w:fill="FFFFFF"/>
            <w:tcMar>
              <w:top w:w="110" w:type="dxa"/>
            </w:tcMar>
            <w:vAlign w:val="center"/>
          </w:tcPr>
          <w:p w:rsidR="00F11DB9" w:rsidRPr="000D10EA" w:rsidRDefault="00F11DB9" w:rsidP="00F11DB9">
            <w:pPr>
              <w:rPr>
                <w:rFonts w:eastAsia="SimSun" w:cs="Arial"/>
                <w:sz w:val="16"/>
                <w:szCs w:val="16"/>
                <w:lang w:eastAsia="zh-CN"/>
              </w:rPr>
            </w:pPr>
            <w:r w:rsidRPr="00A67F47">
              <w:rPr>
                <w:rFonts w:eastAsia="SimSun" w:cs="Arial"/>
                <w:b/>
                <w:bCs/>
                <w:sz w:val="16"/>
                <w:szCs w:val="16"/>
                <w:lang w:eastAsia="zh-CN"/>
              </w:rPr>
              <w:t>Performance Data</w:t>
            </w:r>
          </w:p>
        </w:tc>
        <w:tc>
          <w:tcPr>
            <w:tcW w:w="519" w:type="pct"/>
            <w:tcBorders>
              <w:top w:val="single" w:sz="4" w:space="0" w:color="auto"/>
              <w:bottom w:val="single" w:sz="4" w:space="0" w:color="auto"/>
            </w:tcBorders>
            <w:shd w:val="clear" w:color="auto" w:fill="auto"/>
            <w:tcMar>
              <w:top w:w="110" w:type="dxa"/>
            </w:tcMar>
            <w:vAlign w:val="center"/>
          </w:tcPr>
          <w:p w:rsidR="00F11DB9" w:rsidRDefault="00F11DB9" w:rsidP="00F11DB9">
            <w:pPr>
              <w:keepNext/>
              <w:keepLines/>
              <w:jc w:val="center"/>
              <w:rPr>
                <w:rFonts w:eastAsia="SimSun" w:cs="Arial"/>
                <w:b/>
                <w:color w:val="00B050"/>
                <w:sz w:val="16"/>
                <w:szCs w:val="16"/>
                <w:lang w:eastAsia="zh-CN"/>
              </w:rPr>
            </w:pPr>
            <w:r w:rsidRPr="00A67F47">
              <w:rPr>
                <w:rFonts w:eastAsia="SimSun" w:cs="Arial"/>
                <w:b/>
                <w:bCs/>
                <w:sz w:val="16"/>
                <w:szCs w:val="16"/>
                <w:lang w:eastAsia="zh-CN"/>
              </w:rPr>
              <w:t>TLS</w:t>
            </w:r>
          </w:p>
        </w:tc>
      </w:tr>
      <w:tr w:rsidR="00F11DB9" w:rsidRPr="00011B74" w:rsidTr="00F11DB9">
        <w:tc>
          <w:tcPr>
            <w:tcW w:w="1193" w:type="pct"/>
            <w:tcBorders>
              <w:top w:val="single" w:sz="4" w:space="0" w:color="auto"/>
              <w:bottom w:val="single" w:sz="4" w:space="0" w:color="auto"/>
            </w:tcBorders>
            <w:shd w:val="clear" w:color="auto" w:fill="auto"/>
          </w:tcPr>
          <w:p w:rsidR="00F11DB9" w:rsidRPr="002B0985" w:rsidRDefault="00F11DB9" w:rsidP="00F11DB9">
            <w:pPr>
              <w:rPr>
                <w:rFonts w:eastAsia="SimSun" w:cs="Arial"/>
                <w:color w:val="000000"/>
                <w:sz w:val="16"/>
                <w:szCs w:val="16"/>
                <w:lang w:eastAsia="zh-CN"/>
              </w:rPr>
            </w:pPr>
            <w:r w:rsidRPr="002B0985">
              <w:rPr>
                <w:rFonts w:eastAsia="SimSun" w:cs="Arial"/>
                <w:color w:val="000000"/>
                <w:sz w:val="16"/>
                <w:szCs w:val="16"/>
                <w:lang w:eastAsia="zh-CN"/>
              </w:rPr>
              <w:t>% of queries for legal advice and services which receive prompt, independent and reliable responses from the Office of the Legal Counsel</w:t>
            </w:r>
          </w:p>
        </w:tc>
        <w:tc>
          <w:tcPr>
            <w:tcW w:w="1411" w:type="pct"/>
            <w:tcBorders>
              <w:top w:val="single" w:sz="4" w:space="0" w:color="auto"/>
              <w:bottom w:val="single" w:sz="4" w:space="0" w:color="auto"/>
            </w:tcBorders>
            <w:shd w:val="clear" w:color="auto" w:fill="auto"/>
          </w:tcPr>
          <w:p w:rsidR="00F11DB9" w:rsidRPr="0027745B" w:rsidRDefault="00F11DB9" w:rsidP="00F11DB9">
            <w:pPr>
              <w:rPr>
                <w:rFonts w:eastAsiaTheme="minorHAnsi" w:cs="Arial"/>
                <w:i/>
                <w:color w:val="002060"/>
                <w:sz w:val="16"/>
                <w:szCs w:val="16"/>
              </w:rPr>
            </w:pPr>
            <w:r>
              <w:rPr>
                <w:rFonts w:cs="Arial"/>
                <w:i/>
                <w:color w:val="002060"/>
                <w:sz w:val="16"/>
                <w:szCs w:val="16"/>
              </w:rPr>
              <w:t>Updated Baseline end 2013</w:t>
            </w:r>
            <w:r w:rsidRPr="0027745B">
              <w:rPr>
                <w:rFonts w:cs="Arial"/>
                <w:i/>
                <w:color w:val="002060"/>
                <w:sz w:val="16"/>
                <w:szCs w:val="16"/>
              </w:rPr>
              <w:t xml:space="preserve">:  </w:t>
            </w:r>
            <w:r w:rsidRPr="005D6392">
              <w:rPr>
                <w:rFonts w:cs="Arial"/>
                <w:color w:val="002060"/>
                <w:sz w:val="16"/>
                <w:szCs w:val="16"/>
              </w:rPr>
              <w:t>Despite an increase in the number of requests for advice as well as the fields covered, 98% of the queries received prompt and reliable responses from the OLC.</w:t>
            </w:r>
          </w:p>
          <w:p w:rsidR="00F11DB9" w:rsidRPr="00861678" w:rsidRDefault="00F11DB9" w:rsidP="00F11DB9">
            <w:pPr>
              <w:rPr>
                <w:rFonts w:cs="Arial"/>
                <w:i/>
                <w:color w:val="002060"/>
                <w:sz w:val="8"/>
                <w:szCs w:val="8"/>
              </w:rPr>
            </w:pPr>
          </w:p>
          <w:p w:rsidR="00F11DB9" w:rsidRPr="00ED310D" w:rsidRDefault="00F11DB9" w:rsidP="00F11DB9">
            <w:pPr>
              <w:rPr>
                <w:rFonts w:cs="Arial"/>
                <w:sz w:val="16"/>
                <w:szCs w:val="16"/>
              </w:rPr>
            </w:pPr>
            <w:r>
              <w:rPr>
                <w:rFonts w:cs="Arial"/>
                <w:i/>
                <w:sz w:val="16"/>
                <w:szCs w:val="16"/>
              </w:rPr>
              <w:t>Original Baseline P&amp;B 2014/15</w:t>
            </w:r>
            <w:r w:rsidRPr="0027745B">
              <w:rPr>
                <w:rFonts w:cs="Arial"/>
                <w:i/>
                <w:sz w:val="16"/>
                <w:szCs w:val="16"/>
              </w:rPr>
              <w:t>:</w:t>
            </w:r>
            <w:r>
              <w:rPr>
                <w:rFonts w:cs="Arial"/>
                <w:sz w:val="16"/>
                <w:szCs w:val="16"/>
              </w:rPr>
              <w:t xml:space="preserve">  </w:t>
            </w:r>
            <w:r w:rsidRPr="002B0985">
              <w:rPr>
                <w:rFonts w:cs="Arial"/>
                <w:sz w:val="16"/>
                <w:szCs w:val="16"/>
              </w:rPr>
              <w:t>100%</w:t>
            </w:r>
            <w:r>
              <w:rPr>
                <w:rFonts w:cs="Arial"/>
                <w:sz w:val="16"/>
                <w:szCs w:val="16"/>
              </w:rPr>
              <w:br/>
            </w:r>
          </w:p>
        </w:tc>
        <w:tc>
          <w:tcPr>
            <w:tcW w:w="608" w:type="pct"/>
            <w:tcBorders>
              <w:top w:val="single" w:sz="4" w:space="0" w:color="auto"/>
              <w:bottom w:val="single" w:sz="4" w:space="0" w:color="auto"/>
            </w:tcBorders>
            <w:shd w:val="clear" w:color="auto" w:fill="auto"/>
            <w:tcMar>
              <w:top w:w="110" w:type="dxa"/>
            </w:tcMar>
          </w:tcPr>
          <w:p w:rsidR="00F11DB9" w:rsidRPr="002B0985" w:rsidRDefault="00F11DB9" w:rsidP="00F11DB9">
            <w:pPr>
              <w:rPr>
                <w:rFonts w:eastAsia="SimSun" w:cs="Arial"/>
                <w:sz w:val="16"/>
                <w:szCs w:val="16"/>
                <w:lang w:eastAsia="zh-CN"/>
              </w:rPr>
            </w:pPr>
            <w:r w:rsidRPr="002B0985">
              <w:rPr>
                <w:rFonts w:eastAsia="SimSun" w:cs="Arial"/>
                <w:sz w:val="16"/>
                <w:szCs w:val="16"/>
                <w:lang w:eastAsia="zh-CN"/>
              </w:rPr>
              <w:t>90%</w:t>
            </w:r>
          </w:p>
        </w:tc>
        <w:tc>
          <w:tcPr>
            <w:tcW w:w="1269" w:type="pct"/>
            <w:gridSpan w:val="2"/>
            <w:tcBorders>
              <w:top w:val="single" w:sz="4" w:space="0" w:color="auto"/>
              <w:bottom w:val="single" w:sz="4" w:space="0" w:color="auto"/>
            </w:tcBorders>
            <w:shd w:val="clear" w:color="auto" w:fill="FFFFFF"/>
            <w:tcMar>
              <w:top w:w="110" w:type="dxa"/>
            </w:tcMar>
          </w:tcPr>
          <w:p w:rsidR="00F11DB9" w:rsidRPr="002B0985" w:rsidRDefault="00F11DB9" w:rsidP="00F11DB9">
            <w:pPr>
              <w:rPr>
                <w:rFonts w:eastAsia="SimSun" w:cs="Arial"/>
                <w:sz w:val="16"/>
                <w:szCs w:val="16"/>
                <w:lang w:eastAsia="zh-CN"/>
              </w:rPr>
            </w:pPr>
            <w:r w:rsidRPr="000D10EA">
              <w:rPr>
                <w:rFonts w:eastAsia="SimSun" w:cs="Arial"/>
                <w:sz w:val="16"/>
                <w:szCs w:val="16"/>
                <w:lang w:eastAsia="zh-CN"/>
              </w:rPr>
              <w:t>In the context of strong and increasing demand for its services, the OLC continued to provide prompt</w:t>
            </w:r>
            <w:r>
              <w:rPr>
                <w:rFonts w:eastAsia="SimSun" w:cs="Arial"/>
                <w:sz w:val="16"/>
                <w:szCs w:val="16"/>
                <w:lang w:eastAsia="zh-CN"/>
              </w:rPr>
              <w:t xml:space="preserve">, </w:t>
            </w:r>
            <w:r w:rsidRPr="002B0985">
              <w:rPr>
                <w:rFonts w:eastAsia="SimSun" w:cs="Arial"/>
                <w:color w:val="000000"/>
                <w:sz w:val="16"/>
                <w:szCs w:val="16"/>
                <w:lang w:eastAsia="zh-CN"/>
              </w:rPr>
              <w:t>independent</w:t>
            </w:r>
            <w:r w:rsidRPr="000D10EA">
              <w:rPr>
                <w:rFonts w:eastAsia="SimSun" w:cs="Arial"/>
                <w:sz w:val="16"/>
                <w:szCs w:val="16"/>
                <w:lang w:eastAsia="zh-CN"/>
              </w:rPr>
              <w:t xml:space="preserve"> and reliable responses </w:t>
            </w:r>
            <w:r>
              <w:rPr>
                <w:rFonts w:eastAsia="SimSun" w:cs="Arial"/>
                <w:sz w:val="16"/>
                <w:szCs w:val="16"/>
                <w:lang w:eastAsia="zh-CN"/>
              </w:rPr>
              <w:t>to</w:t>
            </w:r>
            <w:r w:rsidRPr="000D10EA">
              <w:rPr>
                <w:rFonts w:eastAsia="SimSun" w:cs="Arial"/>
                <w:sz w:val="16"/>
                <w:szCs w:val="16"/>
                <w:lang w:eastAsia="zh-CN"/>
              </w:rPr>
              <w:t xml:space="preserve"> 95% of queries and requests for advice received</w:t>
            </w:r>
            <w:r>
              <w:rPr>
                <w:rFonts w:eastAsia="SimSun" w:cs="Arial"/>
                <w:sz w:val="16"/>
                <w:szCs w:val="16"/>
                <w:lang w:eastAsia="zh-CN"/>
              </w:rPr>
              <w:t xml:space="preserve"> in 2014/15</w:t>
            </w:r>
            <w:r w:rsidRPr="000D10EA">
              <w:rPr>
                <w:rFonts w:eastAsia="SimSun" w:cs="Arial"/>
                <w:sz w:val="16"/>
                <w:szCs w:val="16"/>
                <w:lang w:eastAsia="zh-CN"/>
              </w:rPr>
              <w:t>.</w:t>
            </w:r>
          </w:p>
        </w:tc>
        <w:tc>
          <w:tcPr>
            <w:tcW w:w="519" w:type="pct"/>
            <w:tcBorders>
              <w:top w:val="single" w:sz="4" w:space="0" w:color="auto"/>
              <w:bottom w:val="single" w:sz="4" w:space="0" w:color="auto"/>
            </w:tcBorders>
            <w:shd w:val="clear" w:color="auto" w:fill="auto"/>
            <w:tcMar>
              <w:top w:w="110" w:type="dxa"/>
            </w:tcMar>
          </w:tcPr>
          <w:p w:rsidR="00F11DB9" w:rsidRPr="002B0985" w:rsidRDefault="00F11DB9" w:rsidP="00F11DB9">
            <w:pPr>
              <w:keepNext/>
              <w:keepLines/>
              <w:jc w:val="center"/>
              <w:rPr>
                <w:rFonts w:eastAsia="SimSun" w:cs="Arial"/>
                <w:b/>
                <w:color w:val="00B050"/>
                <w:sz w:val="16"/>
                <w:szCs w:val="16"/>
                <w:lang w:eastAsia="zh-CN"/>
              </w:rPr>
            </w:pPr>
            <w:r>
              <w:rPr>
                <w:rFonts w:eastAsia="SimSun" w:cs="Arial"/>
                <w:b/>
                <w:color w:val="00B050"/>
                <w:sz w:val="16"/>
                <w:szCs w:val="16"/>
                <w:lang w:eastAsia="zh-CN"/>
              </w:rPr>
              <w:t>Fully Achieved</w:t>
            </w:r>
          </w:p>
        </w:tc>
      </w:tr>
      <w:tr w:rsidR="00F11DB9" w:rsidRPr="00011B74" w:rsidTr="00F11DB9">
        <w:trPr>
          <w:trHeight w:val="493"/>
        </w:trPr>
        <w:tc>
          <w:tcPr>
            <w:tcW w:w="5000" w:type="pct"/>
            <w:gridSpan w:val="6"/>
            <w:tcBorders>
              <w:top w:val="single" w:sz="4" w:space="0" w:color="auto"/>
              <w:bottom w:val="single" w:sz="4" w:space="0" w:color="auto"/>
            </w:tcBorders>
            <w:shd w:val="clear" w:color="auto" w:fill="C6D9F1" w:themeFill="text2" w:themeFillTint="33"/>
            <w:vAlign w:val="center"/>
          </w:tcPr>
          <w:p w:rsidR="00F11DB9" w:rsidRPr="00A67F47" w:rsidRDefault="00F11DB9" w:rsidP="00F11DB9">
            <w:pPr>
              <w:keepNext/>
              <w:keepLines/>
              <w:tabs>
                <w:tab w:val="left" w:pos="1452"/>
              </w:tabs>
              <w:ind w:left="1452" w:hanging="1452"/>
              <w:rPr>
                <w:rFonts w:eastAsia="SimSun" w:cs="Arial"/>
                <w:b/>
                <w:bCs/>
                <w:sz w:val="16"/>
                <w:szCs w:val="16"/>
                <w:lang w:eastAsia="zh-CN"/>
              </w:rPr>
            </w:pPr>
            <w:r w:rsidRPr="00A67F47">
              <w:rPr>
                <w:rFonts w:eastAsia="SimSun" w:cs="Arial"/>
                <w:b/>
                <w:bCs/>
                <w:sz w:val="16"/>
                <w:szCs w:val="16"/>
                <w:lang w:eastAsia="zh-CN"/>
              </w:rPr>
              <w:t>Expected Result:</w:t>
            </w:r>
            <w:r w:rsidRPr="00A67F47">
              <w:rPr>
                <w:rFonts w:eastAsia="SimSun" w:cs="Arial"/>
                <w:b/>
                <w:bCs/>
                <w:sz w:val="16"/>
                <w:szCs w:val="16"/>
                <w:lang w:eastAsia="zh-CN"/>
              </w:rPr>
              <w:tab/>
            </w:r>
            <w:r w:rsidRPr="00742C72">
              <w:rPr>
                <w:rFonts w:eastAsia="SimSun" w:cs="Arial"/>
                <w:color w:val="000000"/>
                <w:sz w:val="16"/>
                <w:szCs w:val="16"/>
                <w:lang w:eastAsia="zh-CN"/>
              </w:rPr>
              <w:t>IX.3 An enabling working environment supported by an effective regulatory framework and appropriate channels to address staff concerns</w:t>
            </w:r>
          </w:p>
        </w:tc>
      </w:tr>
      <w:tr w:rsidR="00F11DB9" w:rsidRPr="00011B74" w:rsidTr="00F11DB9">
        <w:tc>
          <w:tcPr>
            <w:tcW w:w="1193" w:type="pct"/>
            <w:tcBorders>
              <w:top w:val="single" w:sz="4" w:space="0" w:color="auto"/>
              <w:bottom w:val="nil"/>
            </w:tcBorders>
            <w:shd w:val="clear" w:color="auto" w:fill="auto"/>
            <w:vAlign w:val="center"/>
          </w:tcPr>
          <w:p w:rsidR="00F11DB9" w:rsidRPr="00742C72" w:rsidRDefault="00F11DB9" w:rsidP="00F11DB9">
            <w:pPr>
              <w:rPr>
                <w:rFonts w:eastAsia="SimSun" w:cs="Arial"/>
                <w:color w:val="000000"/>
                <w:sz w:val="16"/>
                <w:szCs w:val="16"/>
                <w:lang w:eastAsia="zh-CN"/>
              </w:rPr>
            </w:pPr>
            <w:r w:rsidRPr="00A67F47">
              <w:rPr>
                <w:rFonts w:eastAsia="SimSun" w:cs="Arial"/>
                <w:b/>
                <w:bCs/>
                <w:sz w:val="16"/>
                <w:szCs w:val="16"/>
                <w:lang w:eastAsia="zh-CN"/>
              </w:rPr>
              <w:t>Performance Indicators</w:t>
            </w:r>
          </w:p>
        </w:tc>
        <w:tc>
          <w:tcPr>
            <w:tcW w:w="1411" w:type="pct"/>
            <w:tcBorders>
              <w:top w:val="single" w:sz="4" w:space="0" w:color="auto"/>
              <w:bottom w:val="nil"/>
            </w:tcBorders>
            <w:shd w:val="clear" w:color="auto" w:fill="auto"/>
            <w:vAlign w:val="center"/>
          </w:tcPr>
          <w:p w:rsidR="00F11DB9" w:rsidRDefault="00F11DB9" w:rsidP="00F11DB9">
            <w:pPr>
              <w:rPr>
                <w:rFonts w:cs="Arial"/>
                <w:i/>
                <w:color w:val="002060"/>
                <w:sz w:val="16"/>
                <w:szCs w:val="16"/>
              </w:rPr>
            </w:pPr>
            <w:r w:rsidRPr="00A67F47">
              <w:rPr>
                <w:rFonts w:cs="Arial"/>
                <w:b/>
                <w:bCs/>
                <w:sz w:val="16"/>
                <w:szCs w:val="16"/>
              </w:rPr>
              <w:t>Baselines</w:t>
            </w:r>
          </w:p>
        </w:tc>
        <w:tc>
          <w:tcPr>
            <w:tcW w:w="608" w:type="pct"/>
            <w:tcBorders>
              <w:top w:val="single" w:sz="4" w:space="0" w:color="auto"/>
              <w:bottom w:val="nil"/>
            </w:tcBorders>
            <w:shd w:val="clear" w:color="auto" w:fill="auto"/>
            <w:tcMar>
              <w:top w:w="110" w:type="dxa"/>
            </w:tcMar>
            <w:vAlign w:val="center"/>
          </w:tcPr>
          <w:p w:rsidR="00F11DB9" w:rsidRPr="00742C72" w:rsidRDefault="00F11DB9" w:rsidP="00F11DB9">
            <w:pPr>
              <w:rPr>
                <w:rFonts w:eastAsia="SimSun" w:cs="Arial"/>
                <w:sz w:val="16"/>
                <w:szCs w:val="16"/>
                <w:lang w:eastAsia="zh-CN"/>
              </w:rPr>
            </w:pPr>
            <w:r w:rsidRPr="00A67F47">
              <w:rPr>
                <w:rFonts w:cs="Arial"/>
                <w:b/>
                <w:sz w:val="16"/>
                <w:szCs w:val="16"/>
              </w:rPr>
              <w:t>Target</w:t>
            </w:r>
            <w:r>
              <w:rPr>
                <w:rFonts w:cs="Arial"/>
                <w:b/>
                <w:sz w:val="16"/>
                <w:szCs w:val="16"/>
              </w:rPr>
              <w:t>s</w:t>
            </w:r>
          </w:p>
        </w:tc>
        <w:tc>
          <w:tcPr>
            <w:tcW w:w="1269" w:type="pct"/>
            <w:gridSpan w:val="2"/>
            <w:tcBorders>
              <w:top w:val="single" w:sz="4" w:space="0" w:color="auto"/>
              <w:bottom w:val="nil"/>
            </w:tcBorders>
            <w:shd w:val="clear" w:color="auto" w:fill="FFFFFF"/>
            <w:tcMar>
              <w:top w:w="110" w:type="dxa"/>
            </w:tcMar>
            <w:vAlign w:val="center"/>
          </w:tcPr>
          <w:p w:rsidR="00F11DB9" w:rsidRDefault="00F11DB9" w:rsidP="00F11DB9">
            <w:pPr>
              <w:rPr>
                <w:rFonts w:eastAsia="SimSun" w:cs="Arial"/>
                <w:sz w:val="16"/>
                <w:szCs w:val="16"/>
                <w:lang w:eastAsia="zh-CN"/>
              </w:rPr>
            </w:pPr>
            <w:r w:rsidRPr="00A67F47">
              <w:rPr>
                <w:rFonts w:eastAsia="SimSun" w:cs="Arial"/>
                <w:b/>
                <w:bCs/>
                <w:sz w:val="16"/>
                <w:szCs w:val="16"/>
                <w:lang w:eastAsia="zh-CN"/>
              </w:rPr>
              <w:t>Performance Data</w:t>
            </w:r>
          </w:p>
        </w:tc>
        <w:tc>
          <w:tcPr>
            <w:tcW w:w="519" w:type="pct"/>
            <w:tcBorders>
              <w:top w:val="single" w:sz="4" w:space="0" w:color="auto"/>
              <w:bottom w:val="nil"/>
            </w:tcBorders>
            <w:shd w:val="clear" w:color="auto" w:fill="auto"/>
            <w:tcMar>
              <w:top w:w="110" w:type="dxa"/>
            </w:tcMar>
            <w:vAlign w:val="center"/>
          </w:tcPr>
          <w:p w:rsidR="00F11DB9" w:rsidRPr="004019AF" w:rsidRDefault="00F11DB9" w:rsidP="00F11DB9">
            <w:pPr>
              <w:keepNext/>
              <w:keepLines/>
              <w:jc w:val="center"/>
              <w:rPr>
                <w:rFonts w:eastAsia="SimSun" w:cs="Arial"/>
                <w:b/>
                <w:color w:val="808080" w:themeColor="background1" w:themeShade="80"/>
                <w:sz w:val="14"/>
                <w:szCs w:val="14"/>
                <w:lang w:eastAsia="zh-CN"/>
              </w:rPr>
            </w:pPr>
            <w:r w:rsidRPr="00A67F47">
              <w:rPr>
                <w:rFonts w:eastAsia="SimSun" w:cs="Arial"/>
                <w:b/>
                <w:bCs/>
                <w:sz w:val="16"/>
                <w:szCs w:val="16"/>
                <w:lang w:eastAsia="zh-CN"/>
              </w:rPr>
              <w:t>TLS</w:t>
            </w:r>
          </w:p>
        </w:tc>
      </w:tr>
      <w:tr w:rsidR="00F11DB9" w:rsidRPr="00011B74" w:rsidTr="00F11DB9">
        <w:tc>
          <w:tcPr>
            <w:tcW w:w="1193" w:type="pct"/>
            <w:tcBorders>
              <w:top w:val="single" w:sz="4" w:space="0" w:color="auto"/>
              <w:bottom w:val="nil"/>
            </w:tcBorders>
            <w:shd w:val="clear" w:color="auto" w:fill="auto"/>
          </w:tcPr>
          <w:p w:rsidR="00F11DB9" w:rsidRPr="002B0985" w:rsidRDefault="00F11DB9" w:rsidP="00F11DB9">
            <w:pPr>
              <w:rPr>
                <w:rFonts w:eastAsia="SimSun" w:cs="Arial"/>
                <w:color w:val="000000"/>
                <w:sz w:val="16"/>
                <w:szCs w:val="16"/>
                <w:lang w:eastAsia="zh-CN"/>
              </w:rPr>
            </w:pPr>
            <w:r w:rsidRPr="00742C72">
              <w:rPr>
                <w:rFonts w:eastAsia="SimSun" w:cs="Arial"/>
                <w:color w:val="000000"/>
                <w:sz w:val="16"/>
                <w:szCs w:val="16"/>
                <w:lang w:eastAsia="zh-CN"/>
              </w:rPr>
              <w:t>% of WIPO staff aware of services available from Ombuds-Office and informal conflict resolution mechanism</w:t>
            </w:r>
          </w:p>
        </w:tc>
        <w:tc>
          <w:tcPr>
            <w:tcW w:w="1411" w:type="pct"/>
            <w:tcBorders>
              <w:top w:val="single" w:sz="4" w:space="0" w:color="auto"/>
              <w:bottom w:val="nil"/>
            </w:tcBorders>
            <w:shd w:val="clear" w:color="auto" w:fill="auto"/>
          </w:tcPr>
          <w:p w:rsidR="00F11DB9" w:rsidRPr="0032365E" w:rsidRDefault="00F11DB9" w:rsidP="00F11DB9">
            <w:pPr>
              <w:rPr>
                <w:rFonts w:cs="Arial"/>
                <w:color w:val="002060"/>
                <w:sz w:val="16"/>
                <w:szCs w:val="16"/>
              </w:rPr>
            </w:pPr>
            <w:r>
              <w:rPr>
                <w:rFonts w:cs="Arial"/>
                <w:i/>
                <w:color w:val="002060"/>
                <w:sz w:val="16"/>
                <w:szCs w:val="16"/>
              </w:rPr>
              <w:t>Updated Baseline end 2013</w:t>
            </w:r>
            <w:r w:rsidRPr="0027745B">
              <w:rPr>
                <w:rFonts w:cs="Arial"/>
                <w:i/>
                <w:color w:val="002060"/>
                <w:sz w:val="16"/>
                <w:szCs w:val="16"/>
              </w:rPr>
              <w:t xml:space="preserve">:  </w:t>
            </w:r>
            <w:r w:rsidRPr="0032365E">
              <w:rPr>
                <w:rFonts w:cs="Arial"/>
                <w:color w:val="002060"/>
                <w:sz w:val="16"/>
                <w:szCs w:val="16"/>
              </w:rPr>
              <w:t xml:space="preserve">2013 </w:t>
            </w:r>
            <w:r>
              <w:rPr>
                <w:rFonts w:cs="Arial"/>
                <w:color w:val="002060"/>
                <w:sz w:val="16"/>
                <w:szCs w:val="16"/>
              </w:rPr>
              <w:t xml:space="preserve">Staff </w:t>
            </w:r>
            <w:r w:rsidRPr="0032365E">
              <w:rPr>
                <w:rFonts w:cs="Arial"/>
                <w:color w:val="002060"/>
                <w:sz w:val="16"/>
                <w:szCs w:val="16"/>
              </w:rPr>
              <w:t>Feedback Survey: 63%</w:t>
            </w:r>
          </w:p>
          <w:p w:rsidR="00F11DB9" w:rsidRPr="0032365E" w:rsidRDefault="00F11DB9" w:rsidP="00F11DB9">
            <w:pPr>
              <w:rPr>
                <w:rFonts w:cs="Arial"/>
                <w:color w:val="002060"/>
                <w:sz w:val="16"/>
                <w:szCs w:val="16"/>
              </w:rPr>
            </w:pPr>
            <w:r w:rsidRPr="0032365E">
              <w:rPr>
                <w:rFonts w:cs="Arial"/>
                <w:color w:val="002060"/>
                <w:sz w:val="16"/>
                <w:szCs w:val="16"/>
              </w:rPr>
              <w:t>familiar with Ombuds-function,</w:t>
            </w:r>
          </w:p>
          <w:p w:rsidR="00F11DB9" w:rsidRDefault="00F11DB9" w:rsidP="00F11DB9">
            <w:pPr>
              <w:rPr>
                <w:rFonts w:cs="Arial"/>
                <w:color w:val="002060"/>
                <w:sz w:val="16"/>
                <w:szCs w:val="16"/>
              </w:rPr>
            </w:pPr>
            <w:r w:rsidRPr="0032365E">
              <w:rPr>
                <w:rFonts w:cs="Arial"/>
                <w:color w:val="002060"/>
                <w:sz w:val="16"/>
                <w:szCs w:val="16"/>
              </w:rPr>
              <w:t>32% somewhat familiar</w:t>
            </w:r>
          </w:p>
          <w:p w:rsidR="00F11DB9" w:rsidRDefault="00F11DB9" w:rsidP="00F11DB9">
            <w:pPr>
              <w:rPr>
                <w:rFonts w:cs="Arial"/>
                <w:color w:val="002060"/>
                <w:sz w:val="16"/>
                <w:szCs w:val="16"/>
              </w:rPr>
            </w:pPr>
          </w:p>
          <w:p w:rsidR="00F11DB9" w:rsidRPr="0032365E" w:rsidRDefault="00F11DB9" w:rsidP="00F11DB9">
            <w:pPr>
              <w:rPr>
                <w:rFonts w:eastAsiaTheme="minorHAnsi" w:cs="Arial"/>
                <w:color w:val="002060"/>
                <w:sz w:val="16"/>
                <w:szCs w:val="16"/>
              </w:rPr>
            </w:pPr>
            <w:r w:rsidRPr="00567588">
              <w:rPr>
                <w:rFonts w:cs="Arial"/>
                <w:sz w:val="16"/>
                <w:szCs w:val="16"/>
                <w:lang w:bidi="th-TH"/>
              </w:rPr>
              <w:t>77% as per the 2012 user feedback survey (conducted in March 2013)</w:t>
            </w:r>
            <w:r>
              <w:rPr>
                <w:rFonts w:cs="Arial"/>
                <w:sz w:val="16"/>
                <w:szCs w:val="16"/>
                <w:lang w:bidi="th-TH"/>
              </w:rPr>
              <w:t>.</w:t>
            </w:r>
          </w:p>
          <w:p w:rsidR="00F11DB9" w:rsidRPr="00861678" w:rsidRDefault="00F11DB9" w:rsidP="00F11DB9">
            <w:pPr>
              <w:rPr>
                <w:rFonts w:cs="Arial"/>
                <w:i/>
                <w:color w:val="002060"/>
                <w:sz w:val="8"/>
                <w:szCs w:val="8"/>
              </w:rPr>
            </w:pPr>
          </w:p>
          <w:p w:rsidR="00F11DB9" w:rsidRDefault="00F11DB9" w:rsidP="00F11DB9">
            <w:pPr>
              <w:rPr>
                <w:rFonts w:cs="Arial"/>
                <w:i/>
                <w:color w:val="002060"/>
                <w:sz w:val="16"/>
                <w:szCs w:val="16"/>
              </w:rPr>
            </w:pPr>
            <w:r>
              <w:rPr>
                <w:rFonts w:cs="Arial"/>
                <w:i/>
                <w:sz w:val="16"/>
                <w:szCs w:val="16"/>
              </w:rPr>
              <w:t>Original Baseline P&amp;B 2014/15</w:t>
            </w:r>
            <w:r w:rsidRPr="0027745B">
              <w:rPr>
                <w:rFonts w:cs="Arial"/>
                <w:i/>
                <w:sz w:val="16"/>
                <w:szCs w:val="16"/>
              </w:rPr>
              <w:t>:</w:t>
            </w:r>
            <w:r>
              <w:rPr>
                <w:rFonts w:cs="Arial"/>
                <w:sz w:val="16"/>
                <w:szCs w:val="16"/>
              </w:rPr>
              <w:t xml:space="preserve">  </w:t>
            </w:r>
            <w:r w:rsidRPr="00742C72">
              <w:rPr>
                <w:rFonts w:cs="Arial"/>
                <w:sz w:val="16"/>
                <w:szCs w:val="16"/>
              </w:rPr>
              <w:t>2011 Staff Feedback Survey:  44% of staff familiar with Ombuds function, 49% somewhat familiar</w:t>
            </w:r>
          </w:p>
        </w:tc>
        <w:tc>
          <w:tcPr>
            <w:tcW w:w="608" w:type="pct"/>
            <w:tcBorders>
              <w:top w:val="single" w:sz="4" w:space="0" w:color="auto"/>
              <w:bottom w:val="nil"/>
            </w:tcBorders>
            <w:shd w:val="clear" w:color="auto" w:fill="auto"/>
            <w:tcMar>
              <w:top w:w="110" w:type="dxa"/>
            </w:tcMar>
          </w:tcPr>
          <w:p w:rsidR="00F11DB9" w:rsidRPr="002B0985" w:rsidRDefault="00F11DB9" w:rsidP="00F11DB9">
            <w:pPr>
              <w:rPr>
                <w:rFonts w:eastAsia="SimSun" w:cs="Arial"/>
                <w:sz w:val="16"/>
                <w:szCs w:val="16"/>
                <w:lang w:eastAsia="zh-CN"/>
              </w:rPr>
            </w:pPr>
            <w:r w:rsidRPr="00742C72">
              <w:rPr>
                <w:rFonts w:eastAsia="SimSun" w:cs="Arial"/>
                <w:sz w:val="16"/>
                <w:szCs w:val="16"/>
                <w:lang w:eastAsia="zh-CN"/>
              </w:rPr>
              <w:t>Increase of staff awareness to 60%</w:t>
            </w:r>
          </w:p>
        </w:tc>
        <w:tc>
          <w:tcPr>
            <w:tcW w:w="1269" w:type="pct"/>
            <w:gridSpan w:val="2"/>
            <w:tcBorders>
              <w:top w:val="single" w:sz="4" w:space="0" w:color="auto"/>
              <w:bottom w:val="nil"/>
            </w:tcBorders>
            <w:shd w:val="clear" w:color="auto" w:fill="FFFFFF"/>
            <w:tcMar>
              <w:top w:w="110" w:type="dxa"/>
            </w:tcMar>
          </w:tcPr>
          <w:p w:rsidR="00F11DB9" w:rsidRPr="002B0985" w:rsidRDefault="00F11DB9" w:rsidP="00F11DB9">
            <w:pPr>
              <w:rPr>
                <w:rFonts w:eastAsia="SimSun" w:cs="Arial"/>
                <w:sz w:val="16"/>
                <w:szCs w:val="16"/>
                <w:lang w:eastAsia="zh-CN"/>
              </w:rPr>
            </w:pPr>
            <w:r>
              <w:rPr>
                <w:rFonts w:eastAsia="SimSun" w:cs="Arial"/>
                <w:sz w:val="16"/>
                <w:szCs w:val="16"/>
                <w:lang w:eastAsia="zh-CN"/>
              </w:rPr>
              <w:t>The Staff feedback survey planned for 2015 was not conducted.</w:t>
            </w:r>
          </w:p>
        </w:tc>
        <w:tc>
          <w:tcPr>
            <w:tcW w:w="519" w:type="pct"/>
            <w:tcBorders>
              <w:top w:val="single" w:sz="4" w:space="0" w:color="auto"/>
              <w:bottom w:val="nil"/>
            </w:tcBorders>
            <w:shd w:val="clear" w:color="auto" w:fill="auto"/>
            <w:tcMar>
              <w:top w:w="110" w:type="dxa"/>
            </w:tcMar>
          </w:tcPr>
          <w:p w:rsidR="00F11DB9" w:rsidRPr="006556FF" w:rsidRDefault="00F11DB9" w:rsidP="00F11DB9">
            <w:pPr>
              <w:keepNext/>
              <w:keepLines/>
              <w:jc w:val="center"/>
              <w:rPr>
                <w:rFonts w:eastAsia="SimSun" w:cs="Arial"/>
                <w:b/>
                <w:color w:val="00B050"/>
                <w:sz w:val="13"/>
                <w:szCs w:val="13"/>
                <w:lang w:eastAsia="zh-CN"/>
              </w:rPr>
            </w:pPr>
            <w:r w:rsidRPr="006556FF">
              <w:rPr>
                <w:rFonts w:eastAsia="SimSun" w:cs="Arial"/>
                <w:b/>
                <w:color w:val="808080" w:themeColor="background1" w:themeShade="80"/>
                <w:sz w:val="13"/>
                <w:szCs w:val="13"/>
                <w:lang w:eastAsia="zh-CN"/>
              </w:rPr>
              <w:t>Not Assessable</w:t>
            </w:r>
          </w:p>
        </w:tc>
      </w:tr>
      <w:tr w:rsidR="00F11DB9" w:rsidRPr="00011B74" w:rsidTr="00F11DB9">
        <w:tc>
          <w:tcPr>
            <w:tcW w:w="1193" w:type="pct"/>
            <w:tcBorders>
              <w:top w:val="nil"/>
              <w:bottom w:val="single" w:sz="4" w:space="0" w:color="auto"/>
            </w:tcBorders>
            <w:shd w:val="clear" w:color="auto" w:fill="auto"/>
          </w:tcPr>
          <w:p w:rsidR="00F11DB9" w:rsidRPr="00742C72" w:rsidRDefault="00F11DB9" w:rsidP="00F11DB9">
            <w:pPr>
              <w:rPr>
                <w:rFonts w:eastAsia="SimSun" w:cs="Arial"/>
                <w:color w:val="000000"/>
                <w:sz w:val="16"/>
                <w:szCs w:val="16"/>
                <w:lang w:eastAsia="zh-CN"/>
              </w:rPr>
            </w:pPr>
            <w:r w:rsidRPr="00742C72">
              <w:rPr>
                <w:rFonts w:eastAsia="SimSun" w:cs="Arial"/>
                <w:color w:val="000000"/>
                <w:sz w:val="16"/>
                <w:szCs w:val="16"/>
                <w:lang w:eastAsia="zh-CN"/>
              </w:rPr>
              <w:t>% of survey respondents being aware of WIPO ethics principles and policies</w:t>
            </w:r>
          </w:p>
        </w:tc>
        <w:tc>
          <w:tcPr>
            <w:tcW w:w="1411" w:type="pct"/>
            <w:tcBorders>
              <w:top w:val="nil"/>
              <w:bottom w:val="single" w:sz="4" w:space="0" w:color="auto"/>
            </w:tcBorders>
            <w:shd w:val="clear" w:color="auto" w:fill="auto"/>
          </w:tcPr>
          <w:p w:rsidR="00F11DB9" w:rsidRPr="005722DD" w:rsidRDefault="00F11DB9" w:rsidP="00F11DB9">
            <w:pPr>
              <w:rPr>
                <w:rFonts w:eastAsiaTheme="minorHAnsi" w:cs="Arial"/>
                <w:color w:val="002060"/>
                <w:sz w:val="16"/>
                <w:szCs w:val="16"/>
              </w:rPr>
            </w:pPr>
            <w:r>
              <w:rPr>
                <w:rFonts w:cs="Arial"/>
                <w:i/>
                <w:color w:val="002060"/>
                <w:sz w:val="16"/>
                <w:szCs w:val="16"/>
              </w:rPr>
              <w:t>Updated Baseline end 2013</w:t>
            </w:r>
            <w:r w:rsidRPr="0027745B">
              <w:rPr>
                <w:rFonts w:cs="Arial"/>
                <w:i/>
                <w:color w:val="002060"/>
                <w:sz w:val="16"/>
                <w:szCs w:val="16"/>
              </w:rPr>
              <w:t xml:space="preserve">:  </w:t>
            </w:r>
            <w:r w:rsidRPr="00ED310D">
              <w:rPr>
                <w:rFonts w:cs="Arial"/>
                <w:color w:val="002060"/>
                <w:sz w:val="16"/>
                <w:szCs w:val="16"/>
              </w:rPr>
              <w:t>98% from the SRP Core Values Survey (conducted from January to February 2013).</w:t>
            </w:r>
          </w:p>
          <w:p w:rsidR="00F11DB9" w:rsidRPr="00861678" w:rsidRDefault="00F11DB9" w:rsidP="00F11DB9">
            <w:pPr>
              <w:rPr>
                <w:rFonts w:cs="Arial"/>
                <w:i/>
                <w:color w:val="002060"/>
                <w:sz w:val="8"/>
                <w:szCs w:val="8"/>
              </w:rPr>
            </w:pPr>
          </w:p>
          <w:p w:rsidR="00F11DB9" w:rsidRDefault="00F11DB9" w:rsidP="00F11DB9">
            <w:pPr>
              <w:rPr>
                <w:rFonts w:cs="Arial"/>
                <w:sz w:val="16"/>
                <w:szCs w:val="16"/>
              </w:rPr>
            </w:pPr>
            <w:r>
              <w:rPr>
                <w:rFonts w:cs="Arial"/>
                <w:i/>
                <w:sz w:val="16"/>
                <w:szCs w:val="16"/>
              </w:rPr>
              <w:t>Original Baseline P&amp;B 2014/15</w:t>
            </w:r>
            <w:r w:rsidRPr="0027745B">
              <w:rPr>
                <w:rFonts w:cs="Arial"/>
                <w:i/>
                <w:sz w:val="16"/>
                <w:szCs w:val="16"/>
              </w:rPr>
              <w:t>:</w:t>
            </w:r>
            <w:r>
              <w:rPr>
                <w:rFonts w:cs="Arial"/>
                <w:sz w:val="16"/>
                <w:szCs w:val="16"/>
              </w:rPr>
              <w:t xml:space="preserve">  </w:t>
            </w:r>
            <w:r w:rsidRPr="00742C72">
              <w:rPr>
                <w:rFonts w:cs="Arial"/>
                <w:sz w:val="16"/>
                <w:szCs w:val="16"/>
              </w:rPr>
              <w:t>70%</w:t>
            </w:r>
          </w:p>
          <w:p w:rsidR="00F11DB9" w:rsidRDefault="00F11DB9" w:rsidP="00F11DB9">
            <w:pPr>
              <w:rPr>
                <w:rFonts w:cs="Arial"/>
                <w:i/>
                <w:color w:val="002060"/>
                <w:sz w:val="16"/>
                <w:szCs w:val="16"/>
              </w:rPr>
            </w:pPr>
          </w:p>
        </w:tc>
        <w:tc>
          <w:tcPr>
            <w:tcW w:w="608" w:type="pct"/>
            <w:tcBorders>
              <w:top w:val="nil"/>
              <w:bottom w:val="single" w:sz="4" w:space="0" w:color="auto"/>
            </w:tcBorders>
            <w:shd w:val="clear" w:color="auto" w:fill="auto"/>
            <w:tcMar>
              <w:top w:w="110" w:type="dxa"/>
            </w:tcMar>
          </w:tcPr>
          <w:p w:rsidR="00F11DB9" w:rsidRPr="00742C72" w:rsidRDefault="00F11DB9" w:rsidP="00F11DB9">
            <w:pPr>
              <w:rPr>
                <w:rFonts w:eastAsia="SimSun" w:cs="Arial"/>
                <w:sz w:val="16"/>
                <w:szCs w:val="16"/>
                <w:lang w:eastAsia="zh-CN"/>
              </w:rPr>
            </w:pPr>
            <w:r w:rsidRPr="00742C72">
              <w:rPr>
                <w:rFonts w:eastAsia="SimSun" w:cs="Arial"/>
                <w:sz w:val="16"/>
                <w:szCs w:val="16"/>
                <w:lang w:eastAsia="zh-CN"/>
              </w:rPr>
              <w:t>75%</w:t>
            </w:r>
          </w:p>
        </w:tc>
        <w:tc>
          <w:tcPr>
            <w:tcW w:w="1269" w:type="pct"/>
            <w:gridSpan w:val="2"/>
            <w:tcBorders>
              <w:top w:val="nil"/>
              <w:bottom w:val="single" w:sz="4" w:space="0" w:color="auto"/>
            </w:tcBorders>
            <w:shd w:val="clear" w:color="auto" w:fill="FFFFFF"/>
            <w:tcMar>
              <w:top w:w="110" w:type="dxa"/>
            </w:tcMar>
          </w:tcPr>
          <w:p w:rsidR="00F11DB9" w:rsidRPr="002B0985" w:rsidRDefault="00F11DB9" w:rsidP="00F11DB9">
            <w:pPr>
              <w:rPr>
                <w:rFonts w:eastAsia="SimSun" w:cs="Arial"/>
                <w:sz w:val="16"/>
                <w:szCs w:val="16"/>
                <w:lang w:eastAsia="zh-CN"/>
              </w:rPr>
            </w:pPr>
            <w:r>
              <w:rPr>
                <w:rFonts w:eastAsia="SimSun" w:cs="Arial"/>
                <w:sz w:val="16"/>
                <w:szCs w:val="16"/>
                <w:lang w:eastAsia="zh-CN"/>
              </w:rPr>
              <w:t>The Staff survey planned for the biennium was not conducted.</w:t>
            </w:r>
          </w:p>
        </w:tc>
        <w:tc>
          <w:tcPr>
            <w:tcW w:w="519" w:type="pct"/>
            <w:tcBorders>
              <w:top w:val="nil"/>
              <w:bottom w:val="single" w:sz="4" w:space="0" w:color="auto"/>
            </w:tcBorders>
            <w:shd w:val="clear" w:color="auto" w:fill="auto"/>
            <w:tcMar>
              <w:top w:w="110" w:type="dxa"/>
            </w:tcMar>
          </w:tcPr>
          <w:p w:rsidR="00F11DB9" w:rsidRPr="006556FF" w:rsidRDefault="00F11DB9" w:rsidP="00F11DB9">
            <w:pPr>
              <w:keepNext/>
              <w:keepLines/>
              <w:jc w:val="center"/>
              <w:rPr>
                <w:rFonts w:eastAsia="SimSun" w:cs="Arial"/>
                <w:b/>
                <w:color w:val="00B050"/>
                <w:sz w:val="13"/>
                <w:szCs w:val="13"/>
                <w:lang w:eastAsia="zh-CN"/>
              </w:rPr>
            </w:pPr>
            <w:r w:rsidRPr="006556FF">
              <w:rPr>
                <w:rFonts w:eastAsia="SimSun" w:cs="Arial"/>
                <w:b/>
                <w:color w:val="808080" w:themeColor="background1" w:themeShade="80"/>
                <w:sz w:val="13"/>
                <w:szCs w:val="13"/>
                <w:lang w:eastAsia="zh-CN"/>
              </w:rPr>
              <w:t>Not Assessable</w:t>
            </w:r>
          </w:p>
        </w:tc>
      </w:tr>
    </w:tbl>
    <w:p w:rsidR="00F11DB9" w:rsidRDefault="00F11DB9" w:rsidP="00F11DB9">
      <w:pPr>
        <w:rPr>
          <w:rFonts w:cs="Arial"/>
          <w:color w:val="000000"/>
          <w:sz w:val="22"/>
          <w:szCs w:val="22"/>
        </w:rPr>
      </w:pPr>
    </w:p>
    <w:p w:rsidR="00F11DB9" w:rsidRPr="007F434F" w:rsidRDefault="00F11DB9" w:rsidP="00F11DB9">
      <w:pPr>
        <w:keepNext/>
        <w:keepLines/>
        <w:rPr>
          <w:rFonts w:cs="Arial"/>
          <w:color w:val="000000"/>
          <w:szCs w:val="22"/>
        </w:rPr>
      </w:pPr>
      <w:r w:rsidRPr="007F434F">
        <w:rPr>
          <w:rFonts w:cs="Arial"/>
          <w:color w:val="000000"/>
          <w:szCs w:val="22"/>
        </w:rPr>
        <w:t>RISK REPORTING FOR THE BIENNIUM</w:t>
      </w:r>
    </w:p>
    <w:p w:rsidR="00F11DB9" w:rsidRDefault="00F11DB9" w:rsidP="00F11DB9">
      <w:pPr>
        <w:keepNext/>
        <w:keepLines/>
      </w:pPr>
    </w:p>
    <w:tbl>
      <w:tblPr>
        <w:tblW w:w="9356"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2552"/>
        <w:gridCol w:w="2268"/>
        <w:gridCol w:w="2268"/>
        <w:gridCol w:w="2268"/>
      </w:tblGrid>
      <w:tr w:rsidR="00F11DB9" w:rsidRPr="003C527B" w:rsidTr="00100A4A">
        <w:trPr>
          <w:trHeight w:val="412"/>
        </w:trPr>
        <w:tc>
          <w:tcPr>
            <w:tcW w:w="2552" w:type="dxa"/>
            <w:tcBorders>
              <w:top w:val="single" w:sz="4" w:space="0" w:color="auto"/>
              <w:bottom w:val="single" w:sz="4" w:space="0" w:color="auto"/>
            </w:tcBorders>
            <w:shd w:val="clear" w:color="auto" w:fill="C6D9F1" w:themeFill="text2" w:themeFillTint="33"/>
            <w:tcMar>
              <w:top w:w="113" w:type="dxa"/>
              <w:bottom w:w="85" w:type="dxa"/>
            </w:tcMar>
            <w:vAlign w:val="center"/>
          </w:tcPr>
          <w:p w:rsidR="00F11DB9" w:rsidRPr="003C527B" w:rsidRDefault="00F11DB9" w:rsidP="00F11DB9">
            <w:pPr>
              <w:keepNext/>
              <w:keepLines/>
              <w:jc w:val="center"/>
              <w:rPr>
                <w:lang w:eastAsia="zh-CN"/>
              </w:rPr>
            </w:pPr>
            <w:r w:rsidRPr="003C527B">
              <w:rPr>
                <w:b/>
                <w:bCs/>
                <w:iCs/>
                <w:sz w:val="18"/>
                <w:szCs w:val="18"/>
              </w:rPr>
              <w:t>Risk(s) to the Program achieving its Results</w:t>
            </w:r>
          </w:p>
        </w:tc>
        <w:tc>
          <w:tcPr>
            <w:tcW w:w="2268" w:type="dxa"/>
            <w:tcBorders>
              <w:top w:val="single" w:sz="4" w:space="0" w:color="auto"/>
              <w:bottom w:val="single" w:sz="4" w:space="0" w:color="auto"/>
            </w:tcBorders>
            <w:shd w:val="clear" w:color="auto" w:fill="C6D9F1" w:themeFill="text2" w:themeFillTint="33"/>
            <w:tcMar>
              <w:top w:w="113" w:type="dxa"/>
              <w:bottom w:w="85" w:type="dxa"/>
            </w:tcMar>
            <w:vAlign w:val="center"/>
          </w:tcPr>
          <w:p w:rsidR="00F11DB9" w:rsidRPr="003C527B" w:rsidRDefault="00F11DB9" w:rsidP="00F11DB9">
            <w:pPr>
              <w:keepNext/>
              <w:keepLines/>
              <w:jc w:val="center"/>
              <w:rPr>
                <w:lang w:eastAsia="zh-CN"/>
              </w:rPr>
            </w:pPr>
            <w:r w:rsidRPr="003C527B">
              <w:rPr>
                <w:b/>
                <w:bCs/>
                <w:iCs/>
                <w:sz w:val="18"/>
                <w:szCs w:val="18"/>
              </w:rPr>
              <w:t>Mitigation plans in</w:t>
            </w:r>
            <w:r>
              <w:rPr>
                <w:b/>
                <w:bCs/>
                <w:iCs/>
                <w:sz w:val="18"/>
                <w:szCs w:val="18"/>
              </w:rPr>
              <w:t> </w:t>
            </w:r>
            <w:r w:rsidRPr="003C527B">
              <w:rPr>
                <w:b/>
                <w:bCs/>
                <w:iCs/>
                <w:sz w:val="18"/>
                <w:szCs w:val="18"/>
              </w:rPr>
              <w:t>place or under implementation</w:t>
            </w:r>
          </w:p>
        </w:tc>
        <w:tc>
          <w:tcPr>
            <w:tcW w:w="2268" w:type="dxa"/>
            <w:tcBorders>
              <w:top w:val="single" w:sz="4" w:space="0" w:color="auto"/>
              <w:bottom w:val="single" w:sz="4" w:space="0" w:color="auto"/>
            </w:tcBorders>
            <w:shd w:val="clear" w:color="auto" w:fill="C6D9F1" w:themeFill="text2" w:themeFillTint="33"/>
          </w:tcPr>
          <w:p w:rsidR="00F11DB9" w:rsidRPr="003C527B" w:rsidRDefault="00F11DB9" w:rsidP="00F11DB9">
            <w:pPr>
              <w:keepNext/>
              <w:keepLines/>
              <w:jc w:val="center"/>
              <w:rPr>
                <w:b/>
                <w:bCs/>
                <w:sz w:val="18"/>
                <w:szCs w:val="18"/>
              </w:rPr>
            </w:pPr>
            <w:r>
              <w:rPr>
                <w:b/>
                <w:bCs/>
                <w:sz w:val="18"/>
                <w:szCs w:val="18"/>
              </w:rPr>
              <w:t>Evolution of Risk(s) and Mitigation Strategies Over the Biennium</w:t>
            </w:r>
          </w:p>
        </w:tc>
        <w:tc>
          <w:tcPr>
            <w:tcW w:w="2268" w:type="dxa"/>
            <w:tcBorders>
              <w:top w:val="single" w:sz="4" w:space="0" w:color="auto"/>
              <w:bottom w:val="single" w:sz="4" w:space="0" w:color="auto"/>
            </w:tcBorders>
            <w:shd w:val="clear" w:color="auto" w:fill="C6D9F1" w:themeFill="text2" w:themeFillTint="33"/>
          </w:tcPr>
          <w:p w:rsidR="00F11DB9" w:rsidRPr="003C527B" w:rsidRDefault="00F11DB9" w:rsidP="00F11DB9">
            <w:pPr>
              <w:keepNext/>
              <w:keepLines/>
              <w:jc w:val="center"/>
              <w:rPr>
                <w:b/>
                <w:bCs/>
                <w:sz w:val="18"/>
                <w:szCs w:val="18"/>
              </w:rPr>
            </w:pPr>
            <w:r>
              <w:rPr>
                <w:b/>
                <w:bCs/>
                <w:sz w:val="18"/>
                <w:szCs w:val="18"/>
              </w:rPr>
              <w:t>Impact on the Program’s Performance</w:t>
            </w:r>
          </w:p>
        </w:tc>
      </w:tr>
      <w:tr w:rsidR="00F11DB9" w:rsidRPr="003C527B" w:rsidTr="00100A4A">
        <w:tc>
          <w:tcPr>
            <w:tcW w:w="2552" w:type="dxa"/>
            <w:tcBorders>
              <w:top w:val="single" w:sz="4" w:space="0" w:color="auto"/>
            </w:tcBorders>
            <w:shd w:val="clear" w:color="auto" w:fill="auto"/>
            <w:tcMar>
              <w:top w:w="113" w:type="dxa"/>
              <w:bottom w:w="85" w:type="dxa"/>
            </w:tcMar>
          </w:tcPr>
          <w:p w:rsidR="00F11DB9" w:rsidRPr="003C527B" w:rsidRDefault="00F11DB9" w:rsidP="00F11DB9">
            <w:pPr>
              <w:keepNext/>
              <w:keepLines/>
              <w:rPr>
                <w:sz w:val="16"/>
                <w:szCs w:val="16"/>
                <w:lang w:eastAsia="zh-CN"/>
              </w:rPr>
            </w:pPr>
            <w:r w:rsidRPr="003C527B">
              <w:rPr>
                <w:sz w:val="16"/>
                <w:szCs w:val="16"/>
                <w:lang w:eastAsia="zh-CN"/>
              </w:rPr>
              <w:t>WIPO has made significant investments in and realized rapid progress and gains through the Strategic Realignment Program, which concluded in early 2013.  If there is not a sustained focus on improvement by the senior management, staff and Member States, the Organization risks the gains made by the SRP being diminished.  Initiatives which include new processes (e.g. business continuity management and risk management) are at particular risk.</w:t>
            </w:r>
          </w:p>
          <w:p w:rsidR="00F11DB9" w:rsidRPr="003C527B" w:rsidRDefault="00F11DB9" w:rsidP="00F11DB9">
            <w:pPr>
              <w:keepNext/>
              <w:keepLines/>
              <w:rPr>
                <w:sz w:val="16"/>
                <w:szCs w:val="16"/>
                <w:lang w:eastAsia="zh-CN"/>
              </w:rPr>
            </w:pPr>
          </w:p>
        </w:tc>
        <w:tc>
          <w:tcPr>
            <w:tcW w:w="2268" w:type="dxa"/>
            <w:tcBorders>
              <w:top w:val="single" w:sz="4" w:space="0" w:color="auto"/>
            </w:tcBorders>
            <w:shd w:val="clear" w:color="auto" w:fill="auto"/>
            <w:tcMar>
              <w:top w:w="113" w:type="dxa"/>
              <w:bottom w:w="85" w:type="dxa"/>
            </w:tcMar>
          </w:tcPr>
          <w:p w:rsidR="00F11DB9" w:rsidRPr="003C527B" w:rsidRDefault="00F11DB9" w:rsidP="00F11DB9">
            <w:pPr>
              <w:keepNext/>
              <w:keepLines/>
              <w:rPr>
                <w:sz w:val="16"/>
                <w:szCs w:val="16"/>
              </w:rPr>
            </w:pPr>
            <w:r w:rsidRPr="003C527B">
              <w:rPr>
                <w:sz w:val="16"/>
                <w:szCs w:val="16"/>
              </w:rPr>
              <w:t xml:space="preserve">From the outset, the governance structure of the SRP included SMT oversight and regular IAOC reporting which has helped entrench responsibility for the mainstreaming of the SRP. </w:t>
            </w:r>
          </w:p>
          <w:p w:rsidR="00F11DB9" w:rsidRPr="003C527B" w:rsidRDefault="00F11DB9" w:rsidP="00F11DB9">
            <w:pPr>
              <w:keepNext/>
              <w:keepLines/>
              <w:rPr>
                <w:sz w:val="16"/>
                <w:szCs w:val="16"/>
              </w:rPr>
            </w:pPr>
          </w:p>
          <w:p w:rsidR="00F11DB9" w:rsidRPr="003C527B" w:rsidRDefault="00F11DB9" w:rsidP="00F11DB9">
            <w:pPr>
              <w:keepNext/>
              <w:keepLines/>
              <w:rPr>
                <w:sz w:val="16"/>
                <w:szCs w:val="16"/>
                <w:lang w:eastAsia="zh-CN"/>
              </w:rPr>
            </w:pPr>
            <w:r w:rsidRPr="003C527B">
              <w:rPr>
                <w:sz w:val="16"/>
                <w:szCs w:val="16"/>
              </w:rPr>
              <w:t>As the Organization enters the post-SRP period, continued strong focus from Senior Management will ensure that the Core Values and the outcomes of each initiative are maintained and built on for the benefit of WIPO and its stakeholders.</w:t>
            </w:r>
          </w:p>
        </w:tc>
        <w:tc>
          <w:tcPr>
            <w:tcW w:w="2268" w:type="dxa"/>
            <w:tcBorders>
              <w:top w:val="single" w:sz="4" w:space="0" w:color="auto"/>
            </w:tcBorders>
          </w:tcPr>
          <w:p w:rsidR="00F11DB9" w:rsidRPr="003C527B" w:rsidRDefault="00F11DB9" w:rsidP="00F11DB9">
            <w:pPr>
              <w:keepNext/>
              <w:keepLines/>
              <w:rPr>
                <w:sz w:val="16"/>
                <w:szCs w:val="16"/>
              </w:rPr>
            </w:pPr>
            <w:r>
              <w:rPr>
                <w:rFonts w:cs="Arial"/>
                <w:sz w:val="16"/>
                <w:szCs w:val="16"/>
              </w:rPr>
              <w:t>This risk steadily reduced over the course of the biennium, primarily as a result of the pro-active follow up strategies in place, which included embedding responsibility for new and robust functions to further evolve and develop the initiatives seeded within the context of the SRP, including risk management, business continuity, ethics and integrity, internal communication etc.).</w:t>
            </w:r>
          </w:p>
        </w:tc>
        <w:tc>
          <w:tcPr>
            <w:tcW w:w="2268" w:type="dxa"/>
            <w:tcBorders>
              <w:top w:val="single" w:sz="4" w:space="0" w:color="auto"/>
            </w:tcBorders>
          </w:tcPr>
          <w:p w:rsidR="00F11DB9" w:rsidRPr="003C527B" w:rsidRDefault="00F11DB9" w:rsidP="00F11DB9">
            <w:pPr>
              <w:keepNext/>
              <w:keepLines/>
              <w:rPr>
                <w:sz w:val="16"/>
                <w:szCs w:val="16"/>
              </w:rPr>
            </w:pPr>
            <w:r>
              <w:rPr>
                <w:rFonts w:cs="Arial"/>
                <w:sz w:val="16"/>
                <w:szCs w:val="16"/>
              </w:rPr>
              <w:t xml:space="preserve">The impact on the Program’s performance was not material, however, the impact on the performance of the respective Programs where these SRP initiatives have found their homes, as well as on the performance of the Organization overall continued to be very positive, contributing significantly to the continued strengthening of transparency, accountability and providing an enabling platform for WIPO to serve its customers and stakeholders </w:t>
            </w:r>
          </w:p>
        </w:tc>
      </w:tr>
      <w:tr w:rsidR="00F11DB9" w:rsidRPr="003C527B" w:rsidTr="00100A4A">
        <w:trPr>
          <w:trHeight w:val="1349"/>
        </w:trPr>
        <w:tc>
          <w:tcPr>
            <w:tcW w:w="2552" w:type="dxa"/>
            <w:shd w:val="clear" w:color="auto" w:fill="auto"/>
            <w:tcMar>
              <w:top w:w="113" w:type="dxa"/>
              <w:bottom w:w="85" w:type="dxa"/>
            </w:tcMar>
          </w:tcPr>
          <w:p w:rsidR="00F11DB9" w:rsidRPr="003C527B" w:rsidRDefault="00F11DB9" w:rsidP="00F11DB9">
            <w:pPr>
              <w:keepNext/>
              <w:keepLines/>
              <w:rPr>
                <w:sz w:val="16"/>
                <w:szCs w:val="16"/>
              </w:rPr>
            </w:pPr>
            <w:r w:rsidRPr="003C527B">
              <w:rPr>
                <w:sz w:val="16"/>
                <w:szCs w:val="16"/>
              </w:rPr>
              <w:t>WIPO's effective engagement with Member States is of paramount importance to achieve timely results.  At risk is reduced progress in WIPO’s inter-governmental processes, including in normative discussions and increased cost or extended schedules for implementing approved Programs.  As the international rule-making body for IP, such a situation would negatively impact WIPO’s credibility.</w:t>
            </w:r>
          </w:p>
          <w:p w:rsidR="00F11DB9" w:rsidRPr="003C527B" w:rsidRDefault="00F11DB9" w:rsidP="00F11DB9">
            <w:pPr>
              <w:keepNext/>
              <w:keepLines/>
              <w:rPr>
                <w:sz w:val="16"/>
                <w:szCs w:val="16"/>
                <w:lang w:eastAsia="zh-CN"/>
              </w:rPr>
            </w:pPr>
          </w:p>
        </w:tc>
        <w:tc>
          <w:tcPr>
            <w:tcW w:w="2268" w:type="dxa"/>
            <w:shd w:val="clear" w:color="auto" w:fill="auto"/>
            <w:tcMar>
              <w:top w:w="113" w:type="dxa"/>
              <w:bottom w:w="85" w:type="dxa"/>
            </w:tcMar>
          </w:tcPr>
          <w:p w:rsidR="00F11DB9" w:rsidRPr="003C527B" w:rsidRDefault="00F11DB9" w:rsidP="00F11DB9">
            <w:pPr>
              <w:keepNext/>
              <w:keepLines/>
              <w:rPr>
                <w:sz w:val="16"/>
                <w:szCs w:val="16"/>
                <w:lang w:eastAsia="zh-CN"/>
              </w:rPr>
            </w:pPr>
            <w:r w:rsidRPr="003C527B">
              <w:rPr>
                <w:sz w:val="16"/>
                <w:szCs w:val="16"/>
                <w:lang w:eastAsia="zh-CN"/>
              </w:rPr>
              <w:t>Continued close, trusted and transparent coordination between the Secretariat and Member States.</w:t>
            </w:r>
          </w:p>
        </w:tc>
        <w:tc>
          <w:tcPr>
            <w:tcW w:w="2268" w:type="dxa"/>
          </w:tcPr>
          <w:p w:rsidR="00F11DB9" w:rsidRPr="003C527B" w:rsidRDefault="00F11DB9" w:rsidP="00F11DB9">
            <w:pPr>
              <w:keepNext/>
              <w:keepLines/>
              <w:rPr>
                <w:sz w:val="16"/>
                <w:szCs w:val="16"/>
                <w:lang w:eastAsia="zh-CN"/>
              </w:rPr>
            </w:pPr>
            <w:r w:rsidRPr="00115E53">
              <w:rPr>
                <w:sz w:val="16"/>
                <w:szCs w:val="16"/>
                <w:lang w:eastAsia="zh-CN"/>
              </w:rPr>
              <w:t>The overall risk for the Program as described has not changed materially during the period under consideration.  The same applies to the mitigation plans in place, which will continue to be relevant for the 2016/17 biennium</w:t>
            </w:r>
            <w:r>
              <w:rPr>
                <w:sz w:val="16"/>
                <w:szCs w:val="16"/>
                <w:lang w:eastAsia="zh-CN"/>
              </w:rPr>
              <w:t>.</w:t>
            </w:r>
          </w:p>
        </w:tc>
        <w:tc>
          <w:tcPr>
            <w:tcW w:w="2268" w:type="dxa"/>
          </w:tcPr>
          <w:p w:rsidR="00F11DB9" w:rsidRPr="003C527B" w:rsidRDefault="00F11DB9">
            <w:pPr>
              <w:keepNext/>
              <w:keepLines/>
              <w:rPr>
                <w:sz w:val="16"/>
                <w:szCs w:val="16"/>
                <w:lang w:eastAsia="zh-CN"/>
              </w:rPr>
            </w:pPr>
            <w:r>
              <w:rPr>
                <w:sz w:val="16"/>
                <w:szCs w:val="16"/>
                <w:lang w:eastAsia="zh-CN"/>
              </w:rPr>
              <w:t>The risks that are inherent to the normative activities of the Organization are constantly mitigated through continued close, trusted and transparent coordination between the Secretariat and Member States.  No material impact was observed on the Program’s performance.</w:t>
            </w:r>
          </w:p>
        </w:tc>
      </w:tr>
    </w:tbl>
    <w:p w:rsidR="00F11DB9" w:rsidRDefault="00F11DB9" w:rsidP="00F11DB9">
      <w:pPr>
        <w:rPr>
          <w:rFonts w:cs="Arial"/>
          <w:color w:val="000000"/>
          <w:sz w:val="22"/>
          <w:szCs w:val="22"/>
        </w:rPr>
      </w:pPr>
    </w:p>
    <w:p w:rsidR="00F11DB9" w:rsidRDefault="00F11DB9" w:rsidP="00F11DB9">
      <w:pPr>
        <w:rPr>
          <w:rFonts w:cs="Arial"/>
          <w:color w:val="000000"/>
          <w:sz w:val="22"/>
          <w:szCs w:val="22"/>
        </w:rPr>
      </w:pPr>
    </w:p>
    <w:p w:rsidR="00F11DB9" w:rsidRPr="007F434F" w:rsidRDefault="00F11DB9" w:rsidP="00F11DB9">
      <w:pPr>
        <w:rPr>
          <w:b/>
          <w:sz w:val="16"/>
          <w:szCs w:val="18"/>
        </w:rPr>
      </w:pPr>
      <w:r w:rsidRPr="007F434F">
        <w:rPr>
          <w:rFonts w:cs="Arial"/>
          <w:color w:val="000000"/>
          <w:szCs w:val="22"/>
        </w:rPr>
        <w:t>RESOURCE UTILIZATION</w:t>
      </w:r>
      <w:r w:rsidRPr="007F434F">
        <w:rPr>
          <w:rFonts w:cs="Arial"/>
          <w:color w:val="000000"/>
          <w:szCs w:val="22"/>
        </w:rPr>
        <w:tab/>
      </w:r>
    </w:p>
    <w:p w:rsidR="00F11DB9" w:rsidRDefault="00F11DB9" w:rsidP="00F11DB9">
      <w:pPr>
        <w:rPr>
          <w:szCs w:val="20"/>
        </w:rPr>
      </w:pPr>
    </w:p>
    <w:p w:rsidR="00F11DB9" w:rsidRPr="00383D2D" w:rsidRDefault="00F11DB9" w:rsidP="00F11DB9">
      <w:pPr>
        <w:pStyle w:val="NormalWeb"/>
        <w:spacing w:before="0" w:beforeAutospacing="0" w:after="0" w:afterAutospacing="0"/>
        <w:jc w:val="center"/>
        <w:rPr>
          <w:sz w:val="20"/>
          <w:szCs w:val="20"/>
        </w:rPr>
      </w:pPr>
      <w:r w:rsidRPr="00383D2D">
        <w:rPr>
          <w:color w:val="000000"/>
          <w:sz w:val="20"/>
          <w:szCs w:val="20"/>
        </w:rPr>
        <w:t xml:space="preserve">Budget and Actual Expenditure (by result) </w:t>
      </w:r>
    </w:p>
    <w:p w:rsidR="00F11DB9" w:rsidRDefault="00F11DB9" w:rsidP="00F11DB9">
      <w:pPr>
        <w:pStyle w:val="NormalWeb"/>
        <w:spacing w:before="0" w:beforeAutospacing="0" w:after="0" w:afterAutospacing="0"/>
        <w:jc w:val="center"/>
        <w:rPr>
          <w:i/>
          <w:iCs/>
          <w:color w:val="000000"/>
          <w:sz w:val="20"/>
          <w:szCs w:val="20"/>
        </w:rPr>
      </w:pPr>
      <w:r w:rsidRPr="00383D2D">
        <w:rPr>
          <w:i/>
          <w:iCs/>
          <w:color w:val="000000"/>
          <w:sz w:val="20"/>
          <w:szCs w:val="20"/>
        </w:rPr>
        <w:t>(in thousands of Swiss francs)</w:t>
      </w:r>
    </w:p>
    <w:p w:rsidR="00F11DB9" w:rsidRPr="007F434F" w:rsidRDefault="00F11DB9" w:rsidP="00F11DB9">
      <w:pPr>
        <w:pStyle w:val="NormalWeb"/>
        <w:spacing w:before="0" w:beforeAutospacing="0" w:after="0" w:afterAutospacing="0"/>
        <w:jc w:val="center"/>
        <w:rPr>
          <w:szCs w:val="20"/>
        </w:rPr>
      </w:pPr>
    </w:p>
    <w:p w:rsidR="00F11DB9" w:rsidRDefault="00F11DB9" w:rsidP="00F11DB9">
      <w:pPr>
        <w:jc w:val="center"/>
      </w:pPr>
      <w:r w:rsidRPr="00EA4E63">
        <w:rPr>
          <w:noProof/>
        </w:rPr>
        <w:drawing>
          <wp:inline distT="0" distB="0" distL="0" distR="0" wp14:anchorId="5B90F994" wp14:editId="63C38897">
            <wp:extent cx="4802188" cy="2428875"/>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2">
                      <a:extLst>
                        <a:ext uri="{28A0092B-C50C-407E-A947-70E740481C1C}">
                          <a14:useLocalDpi xmlns:a14="http://schemas.microsoft.com/office/drawing/2010/main" val="0"/>
                        </a:ext>
                      </a:extLst>
                    </a:blip>
                    <a:srcRect/>
                    <a:stretch>
                      <a:fillRect/>
                    </a:stretch>
                  </pic:blipFill>
                  <pic:spPr bwMode="auto">
                    <a:xfrm>
                      <a:off x="0" y="0"/>
                      <a:ext cx="4801978" cy="2428769"/>
                    </a:xfrm>
                    <a:prstGeom prst="rect">
                      <a:avLst/>
                    </a:prstGeom>
                    <a:noFill/>
                    <a:ln>
                      <a:noFill/>
                    </a:ln>
                  </pic:spPr>
                </pic:pic>
              </a:graphicData>
            </a:graphic>
          </wp:inline>
        </w:drawing>
      </w:r>
    </w:p>
    <w:p w:rsidR="00F11DB9" w:rsidRDefault="00F11DB9" w:rsidP="00F11DB9"/>
    <w:p w:rsidR="00F11DB9" w:rsidRDefault="00F11DB9" w:rsidP="00F11DB9"/>
    <w:p w:rsidR="00F11DB9" w:rsidRPr="00383D2D" w:rsidRDefault="00F11DB9" w:rsidP="00F11DB9">
      <w:pPr>
        <w:pStyle w:val="NormalWeb"/>
        <w:keepNext/>
        <w:keepLines/>
        <w:spacing w:before="0" w:beforeAutospacing="0" w:after="0" w:afterAutospacing="0"/>
        <w:jc w:val="center"/>
        <w:rPr>
          <w:sz w:val="20"/>
          <w:szCs w:val="20"/>
        </w:rPr>
      </w:pPr>
      <w:r w:rsidRPr="00383D2D">
        <w:rPr>
          <w:color w:val="000000"/>
          <w:sz w:val="20"/>
          <w:szCs w:val="20"/>
        </w:rPr>
        <w:t xml:space="preserve">Budget and Actual Expenditure (personnel and non-personnel) </w:t>
      </w:r>
    </w:p>
    <w:p w:rsidR="00F11DB9" w:rsidRPr="00383D2D" w:rsidRDefault="00F11DB9" w:rsidP="00F11DB9">
      <w:pPr>
        <w:pStyle w:val="NormalWeb"/>
        <w:keepNext/>
        <w:keepLines/>
        <w:spacing w:before="0" w:beforeAutospacing="0" w:after="0" w:afterAutospacing="0"/>
        <w:jc w:val="center"/>
        <w:rPr>
          <w:i/>
          <w:iCs/>
          <w:color w:val="000000"/>
          <w:sz w:val="20"/>
          <w:szCs w:val="20"/>
        </w:rPr>
      </w:pPr>
      <w:r w:rsidRPr="00383D2D">
        <w:rPr>
          <w:i/>
          <w:iCs/>
          <w:color w:val="000000"/>
          <w:sz w:val="20"/>
          <w:szCs w:val="20"/>
        </w:rPr>
        <w:t>(in thousands of Swiss francs)</w:t>
      </w:r>
    </w:p>
    <w:p w:rsidR="00F11DB9" w:rsidRDefault="00F11DB9" w:rsidP="00F11DB9">
      <w:pPr>
        <w:pStyle w:val="NormalWeb"/>
        <w:keepNext/>
        <w:keepLines/>
        <w:spacing w:before="0" w:beforeAutospacing="0" w:after="0" w:afterAutospacing="0"/>
        <w:jc w:val="center"/>
      </w:pPr>
    </w:p>
    <w:p w:rsidR="00F11DB9" w:rsidRPr="008F4A6D" w:rsidRDefault="00F11DB9" w:rsidP="00F11DB9">
      <w:pPr>
        <w:widowControl w:val="0"/>
        <w:autoSpaceDE w:val="0"/>
        <w:autoSpaceDN w:val="0"/>
        <w:adjustRightInd w:val="0"/>
        <w:jc w:val="center"/>
        <w:rPr>
          <w:rFonts w:cs="Arial"/>
          <w:szCs w:val="20"/>
        </w:rPr>
      </w:pPr>
      <w:r w:rsidRPr="00EA4E63">
        <w:rPr>
          <w:noProof/>
        </w:rPr>
        <w:drawing>
          <wp:inline distT="0" distB="0" distL="0" distR="0" wp14:anchorId="5F5C0349" wp14:editId="67F70014">
            <wp:extent cx="5003320" cy="1003393"/>
            <wp:effectExtent l="0" t="0" r="6985" b="635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3">
                      <a:extLst>
                        <a:ext uri="{28A0092B-C50C-407E-A947-70E740481C1C}">
                          <a14:useLocalDpi xmlns:a14="http://schemas.microsoft.com/office/drawing/2010/main" val="0"/>
                        </a:ext>
                      </a:extLst>
                    </a:blip>
                    <a:srcRect/>
                    <a:stretch>
                      <a:fillRect/>
                    </a:stretch>
                  </pic:blipFill>
                  <pic:spPr bwMode="auto">
                    <a:xfrm>
                      <a:off x="0" y="0"/>
                      <a:ext cx="5023362" cy="1007412"/>
                    </a:xfrm>
                    <a:prstGeom prst="rect">
                      <a:avLst/>
                    </a:prstGeom>
                    <a:noFill/>
                    <a:ln>
                      <a:noFill/>
                    </a:ln>
                  </pic:spPr>
                </pic:pic>
              </a:graphicData>
            </a:graphic>
          </wp:inline>
        </w:drawing>
      </w:r>
    </w:p>
    <w:p w:rsidR="00F11DB9" w:rsidRDefault="00F11DB9" w:rsidP="00F11DB9">
      <w:pPr>
        <w:widowControl w:val="0"/>
        <w:autoSpaceDE w:val="0"/>
        <w:autoSpaceDN w:val="0"/>
        <w:adjustRightInd w:val="0"/>
        <w:rPr>
          <w:rFonts w:cs="Arial"/>
          <w:szCs w:val="20"/>
        </w:rPr>
      </w:pPr>
    </w:p>
    <w:p w:rsidR="00F11DB9" w:rsidRPr="001C6F4D" w:rsidRDefault="00F11DB9" w:rsidP="00F11DB9">
      <w:pPr>
        <w:widowControl w:val="0"/>
        <w:autoSpaceDE w:val="0"/>
        <w:autoSpaceDN w:val="0"/>
        <w:adjustRightInd w:val="0"/>
        <w:rPr>
          <w:rFonts w:cs="Arial"/>
          <w:szCs w:val="20"/>
        </w:rPr>
      </w:pPr>
    </w:p>
    <w:p w:rsidR="00F11DB9" w:rsidRDefault="00F11DB9" w:rsidP="00F33ED1">
      <w:pPr>
        <w:tabs>
          <w:tab w:val="left" w:pos="709"/>
        </w:tabs>
        <w:rPr>
          <w:rFonts w:cs="Arial"/>
          <w:u w:val="single"/>
        </w:rPr>
      </w:pPr>
      <w:r w:rsidRPr="00420F90">
        <w:rPr>
          <w:rFonts w:cs="Arial"/>
          <w:szCs w:val="20"/>
        </w:rPr>
        <w:t>A.</w:t>
      </w:r>
      <w:r w:rsidRPr="00420F90">
        <w:rPr>
          <w:rFonts w:cs="Arial"/>
        </w:rPr>
        <w:tab/>
      </w:r>
      <w:r>
        <w:rPr>
          <w:rFonts w:cs="Arial"/>
          <w:szCs w:val="20"/>
          <w:u w:val="single"/>
          <w:lang w:eastAsia="ko-KR"/>
        </w:rPr>
        <w:t xml:space="preserve">2014/15 Final </w:t>
      </w:r>
      <w:r w:rsidRPr="00420F90">
        <w:rPr>
          <w:rFonts w:cs="Arial"/>
          <w:u w:val="single"/>
        </w:rPr>
        <w:t xml:space="preserve">Budget after Transfers </w:t>
      </w:r>
    </w:p>
    <w:p w:rsidR="00F11DB9" w:rsidRDefault="00F11DB9" w:rsidP="00F11DB9">
      <w:pPr>
        <w:autoSpaceDE w:val="0"/>
        <w:autoSpaceDN w:val="0"/>
        <w:jc w:val="both"/>
        <w:rPr>
          <w:rFonts w:cs="Arial"/>
          <w:szCs w:val="20"/>
          <w:lang w:eastAsia="ko-KR"/>
        </w:rPr>
      </w:pPr>
    </w:p>
    <w:p w:rsidR="00F11DB9" w:rsidRPr="00CE367A" w:rsidRDefault="00F11DB9" w:rsidP="00CE367A">
      <w:pPr>
        <w:pStyle w:val="Default"/>
        <w:numPr>
          <w:ilvl w:val="0"/>
          <w:numId w:val="34"/>
        </w:numPr>
        <w:tabs>
          <w:tab w:val="left" w:pos="709"/>
        </w:tabs>
        <w:ind w:left="0" w:firstLine="0"/>
        <w:jc w:val="both"/>
        <w:rPr>
          <w:sz w:val="20"/>
          <w:szCs w:val="20"/>
        </w:rPr>
      </w:pPr>
      <w:r w:rsidRPr="00CE367A">
        <w:rPr>
          <w:sz w:val="20"/>
          <w:szCs w:val="20"/>
        </w:rPr>
        <w:t xml:space="preserve">The increase in personnel resources under the Final Budget after Transfers was primarily due to: </w:t>
      </w:r>
    </w:p>
    <w:p w:rsidR="00F11DB9" w:rsidRPr="00CE367A" w:rsidRDefault="00F11DB9" w:rsidP="00C25166">
      <w:pPr>
        <w:tabs>
          <w:tab w:val="left" w:pos="993"/>
        </w:tabs>
        <w:autoSpaceDE w:val="0"/>
        <w:autoSpaceDN w:val="0"/>
        <w:ind w:left="993" w:hanging="426"/>
        <w:jc w:val="both"/>
        <w:rPr>
          <w:rFonts w:cs="Arial"/>
          <w:szCs w:val="20"/>
          <w:lang w:eastAsia="ko-KR"/>
        </w:rPr>
      </w:pPr>
    </w:p>
    <w:p w:rsidR="00F11DB9" w:rsidRDefault="00F11DB9" w:rsidP="0069693E">
      <w:pPr>
        <w:pStyle w:val="ListParagraph"/>
        <w:numPr>
          <w:ilvl w:val="0"/>
          <w:numId w:val="33"/>
        </w:numPr>
        <w:autoSpaceDE w:val="0"/>
        <w:autoSpaceDN w:val="0"/>
        <w:spacing w:after="120"/>
        <w:ind w:left="1134" w:hanging="567"/>
        <w:contextualSpacing/>
        <w:jc w:val="both"/>
        <w:rPr>
          <w:rFonts w:cs="Arial"/>
          <w:lang w:eastAsia="ko-KR"/>
        </w:rPr>
      </w:pPr>
      <w:r w:rsidRPr="00CE367A">
        <w:rPr>
          <w:rFonts w:cs="Arial"/>
          <w:lang w:eastAsia="ko-KR"/>
        </w:rPr>
        <w:t>the transfer of posts into the Program following the merger of the events function with the protocol function reflected under Expected Result VIII.3 (Effective engagement with Member States);</w:t>
      </w:r>
    </w:p>
    <w:p w:rsidR="0069693E" w:rsidRPr="00CE367A" w:rsidRDefault="0069693E" w:rsidP="0069693E">
      <w:pPr>
        <w:pStyle w:val="ListParagraph"/>
        <w:autoSpaceDE w:val="0"/>
        <w:autoSpaceDN w:val="0"/>
        <w:spacing w:after="120"/>
        <w:ind w:left="1134"/>
        <w:contextualSpacing/>
        <w:jc w:val="both"/>
        <w:rPr>
          <w:rFonts w:cs="Arial"/>
          <w:lang w:eastAsia="ko-KR"/>
        </w:rPr>
      </w:pPr>
    </w:p>
    <w:p w:rsidR="00F11DB9" w:rsidRDefault="00F11DB9" w:rsidP="0069693E">
      <w:pPr>
        <w:pStyle w:val="ListParagraph"/>
        <w:numPr>
          <w:ilvl w:val="0"/>
          <w:numId w:val="33"/>
        </w:numPr>
        <w:autoSpaceDE w:val="0"/>
        <w:autoSpaceDN w:val="0"/>
        <w:spacing w:after="120"/>
        <w:ind w:left="1134" w:hanging="567"/>
        <w:contextualSpacing/>
        <w:jc w:val="both"/>
        <w:rPr>
          <w:rFonts w:cs="Arial"/>
          <w:lang w:eastAsia="ko-KR"/>
        </w:rPr>
      </w:pPr>
      <w:r w:rsidRPr="00CE367A">
        <w:rPr>
          <w:rFonts w:cs="Arial"/>
          <w:lang w:eastAsia="ko-KR"/>
        </w:rPr>
        <w:t xml:space="preserve">the establishment of a Business Continuity Coordinator role reflected under Expected Result IV.2 (Enhanced access to, and use of, IP information);  and, </w:t>
      </w:r>
    </w:p>
    <w:p w:rsidR="0069693E" w:rsidRPr="00CE367A" w:rsidRDefault="0069693E" w:rsidP="0069693E">
      <w:pPr>
        <w:pStyle w:val="ListParagraph"/>
        <w:autoSpaceDE w:val="0"/>
        <w:autoSpaceDN w:val="0"/>
        <w:spacing w:after="120"/>
        <w:ind w:left="1134"/>
        <w:contextualSpacing/>
        <w:jc w:val="both"/>
        <w:rPr>
          <w:rFonts w:cs="Arial"/>
          <w:lang w:eastAsia="ko-KR"/>
        </w:rPr>
      </w:pPr>
    </w:p>
    <w:p w:rsidR="00F11DB9" w:rsidRPr="00CE367A" w:rsidRDefault="00F11DB9" w:rsidP="0069693E">
      <w:pPr>
        <w:pStyle w:val="ListParagraph"/>
        <w:numPr>
          <w:ilvl w:val="0"/>
          <w:numId w:val="33"/>
        </w:numPr>
        <w:autoSpaceDE w:val="0"/>
        <w:autoSpaceDN w:val="0"/>
        <w:ind w:left="1134" w:hanging="567"/>
        <w:contextualSpacing/>
        <w:jc w:val="both"/>
        <w:rPr>
          <w:rFonts w:cs="Arial"/>
          <w:lang w:eastAsia="ko-KR"/>
        </w:rPr>
      </w:pPr>
      <w:r w:rsidRPr="00CE367A">
        <w:rPr>
          <w:rFonts w:cs="Arial"/>
          <w:lang w:eastAsia="ko-KR"/>
        </w:rPr>
        <w:t xml:space="preserve">the strengthening of the OLC to meet the increasing demand for legal services reflected under Expected Results VIII.3 (Effective engagement with Member States) and VIII.5 (WIPO effectively interacts and partners with UN and other IGO processes).  </w:t>
      </w:r>
    </w:p>
    <w:p w:rsidR="00F11DB9" w:rsidRPr="00CE367A" w:rsidRDefault="00F11DB9" w:rsidP="00CE367A">
      <w:pPr>
        <w:autoSpaceDE w:val="0"/>
        <w:autoSpaceDN w:val="0"/>
        <w:ind w:left="180"/>
        <w:jc w:val="both"/>
        <w:rPr>
          <w:rFonts w:cs="Arial"/>
          <w:szCs w:val="20"/>
          <w:lang w:eastAsia="ko-KR"/>
        </w:rPr>
      </w:pPr>
    </w:p>
    <w:p w:rsidR="00F11DB9" w:rsidRPr="00CE367A" w:rsidRDefault="00F11DB9" w:rsidP="00CE367A">
      <w:pPr>
        <w:pStyle w:val="Default"/>
        <w:numPr>
          <w:ilvl w:val="0"/>
          <w:numId w:val="34"/>
        </w:numPr>
        <w:tabs>
          <w:tab w:val="left" w:pos="709"/>
        </w:tabs>
        <w:ind w:left="0" w:firstLine="0"/>
        <w:jc w:val="both"/>
        <w:rPr>
          <w:sz w:val="20"/>
          <w:szCs w:val="20"/>
          <w:lang w:eastAsia="ko-KR"/>
        </w:rPr>
      </w:pPr>
      <w:r w:rsidRPr="00CE367A">
        <w:rPr>
          <w:color w:val="auto"/>
          <w:sz w:val="20"/>
          <w:szCs w:val="20"/>
        </w:rPr>
        <w:t>The</w:t>
      </w:r>
      <w:r w:rsidRPr="00CE367A">
        <w:rPr>
          <w:sz w:val="20"/>
          <w:szCs w:val="20"/>
          <w:lang w:eastAsia="ko-KR"/>
        </w:rPr>
        <w:t xml:space="preserve"> increase in non-personnel resources was primarily due to additional requirements in support of enhanced effective engagement with Member States (Expected Result VIII.3).</w:t>
      </w:r>
    </w:p>
    <w:p w:rsidR="00F11DB9" w:rsidRPr="00CE367A" w:rsidRDefault="00F11DB9" w:rsidP="00F11DB9">
      <w:pPr>
        <w:autoSpaceDE w:val="0"/>
        <w:autoSpaceDN w:val="0"/>
        <w:jc w:val="both"/>
        <w:rPr>
          <w:rFonts w:cs="Arial"/>
          <w:szCs w:val="20"/>
          <w:lang w:eastAsia="ko-KR"/>
        </w:rPr>
      </w:pPr>
    </w:p>
    <w:p w:rsidR="00F11DB9" w:rsidRPr="00CE367A" w:rsidRDefault="00F11DB9" w:rsidP="00CE367A">
      <w:pPr>
        <w:pStyle w:val="Default"/>
        <w:numPr>
          <w:ilvl w:val="0"/>
          <w:numId w:val="34"/>
        </w:numPr>
        <w:tabs>
          <w:tab w:val="left" w:pos="709"/>
        </w:tabs>
        <w:ind w:left="0" w:firstLine="0"/>
        <w:jc w:val="both"/>
        <w:rPr>
          <w:sz w:val="20"/>
          <w:szCs w:val="20"/>
          <w:lang w:eastAsia="ko-KR"/>
        </w:rPr>
      </w:pPr>
      <w:r w:rsidRPr="00CE367A">
        <w:rPr>
          <w:color w:val="auto"/>
          <w:sz w:val="20"/>
          <w:szCs w:val="20"/>
        </w:rPr>
        <w:t>In</w:t>
      </w:r>
      <w:r w:rsidRPr="00CE367A">
        <w:rPr>
          <w:sz w:val="20"/>
          <w:szCs w:val="20"/>
          <w:lang w:eastAsia="ko-KR"/>
        </w:rPr>
        <w:t xml:space="preserve"> addition to the above, the shifts of resources across Expected Results, in particular Expected Result IX.2 (An agile and smooth functioning Secretariat), also reflect the new and more accurate methodology for allocation of personnel resources resulting from enhancements made to the EPM planning system for the 2014 and 2015 workplanning exercises.</w:t>
      </w:r>
    </w:p>
    <w:p w:rsidR="00F11DB9" w:rsidRPr="00CE367A" w:rsidRDefault="00F11DB9" w:rsidP="00F11DB9">
      <w:pPr>
        <w:autoSpaceDE w:val="0"/>
        <w:autoSpaceDN w:val="0"/>
        <w:jc w:val="both"/>
        <w:rPr>
          <w:rFonts w:cs="Arial"/>
          <w:szCs w:val="20"/>
          <w:lang w:eastAsia="ko-KR"/>
        </w:rPr>
      </w:pPr>
    </w:p>
    <w:p w:rsidR="00F11DB9" w:rsidRPr="00CE367A" w:rsidRDefault="00F11DB9" w:rsidP="00F33ED1">
      <w:pPr>
        <w:tabs>
          <w:tab w:val="left" w:pos="709"/>
        </w:tabs>
        <w:jc w:val="both"/>
        <w:rPr>
          <w:rFonts w:cs="Arial"/>
          <w:szCs w:val="20"/>
          <w:u w:val="single"/>
          <w:lang w:eastAsia="ko-KR"/>
        </w:rPr>
      </w:pPr>
      <w:r w:rsidRPr="00CE367A">
        <w:rPr>
          <w:rFonts w:cs="Arial"/>
          <w:szCs w:val="20"/>
          <w:lang w:eastAsia="ko-KR"/>
        </w:rPr>
        <w:t>B.</w:t>
      </w:r>
      <w:r w:rsidRPr="00CE367A">
        <w:rPr>
          <w:rFonts w:cs="Arial"/>
          <w:szCs w:val="20"/>
          <w:lang w:eastAsia="ko-KR"/>
        </w:rPr>
        <w:tab/>
      </w:r>
      <w:r w:rsidRPr="00CE367A">
        <w:rPr>
          <w:rFonts w:cs="Arial"/>
          <w:szCs w:val="20"/>
          <w:u w:val="single"/>
          <w:lang w:eastAsia="ko-KR"/>
        </w:rPr>
        <w:t xml:space="preserve">2014/15 Budget Utilization </w:t>
      </w:r>
    </w:p>
    <w:p w:rsidR="00F11DB9" w:rsidRPr="00CE367A" w:rsidRDefault="00F11DB9" w:rsidP="00F11DB9">
      <w:pPr>
        <w:tabs>
          <w:tab w:val="left" w:pos="709"/>
        </w:tabs>
        <w:jc w:val="both"/>
        <w:rPr>
          <w:rFonts w:cs="Arial"/>
          <w:szCs w:val="20"/>
          <w:u w:val="single"/>
          <w:lang w:eastAsia="ko-KR"/>
        </w:rPr>
      </w:pPr>
    </w:p>
    <w:p w:rsidR="00F11DB9" w:rsidRPr="00CE367A" w:rsidRDefault="00F11DB9" w:rsidP="00CE367A">
      <w:pPr>
        <w:pStyle w:val="Default"/>
        <w:numPr>
          <w:ilvl w:val="0"/>
          <w:numId w:val="34"/>
        </w:numPr>
        <w:tabs>
          <w:tab w:val="left" w:pos="709"/>
        </w:tabs>
        <w:ind w:left="0" w:firstLine="0"/>
        <w:jc w:val="both"/>
        <w:rPr>
          <w:sz w:val="20"/>
          <w:szCs w:val="20"/>
          <w:u w:val="single"/>
          <w:lang w:eastAsia="ko-KR"/>
        </w:rPr>
      </w:pPr>
      <w:r w:rsidRPr="00CE367A">
        <w:rPr>
          <w:color w:val="auto"/>
          <w:sz w:val="20"/>
          <w:szCs w:val="20"/>
        </w:rPr>
        <w:t>The</w:t>
      </w:r>
      <w:r w:rsidRPr="00CE367A">
        <w:rPr>
          <w:sz w:val="20"/>
          <w:szCs w:val="20"/>
        </w:rPr>
        <w:t xml:space="preserve"> lower than budgeted personnel expenditure was primarily due to: (i) the absence of a Chief Ethics Officer during the first eight months of 2015;  and (ii) ongoing recruitment processes, in particular in the Offices of the Legal Counsel and Ombudsperson.  This also led to lower expenditure under the related non-personnel resources.</w:t>
      </w:r>
    </w:p>
    <w:p w:rsidR="00F11DB9" w:rsidRPr="00CE367A" w:rsidRDefault="00F11DB9">
      <w:pPr>
        <w:rPr>
          <w:szCs w:val="20"/>
        </w:rPr>
      </w:pPr>
    </w:p>
    <w:p w:rsidR="005C6F8E" w:rsidRDefault="005C6F8E"/>
    <w:p w:rsidR="00361A1E" w:rsidRDefault="00361A1E">
      <w:r>
        <w:br w:type="page"/>
      </w:r>
    </w:p>
    <w:p w:rsidR="00361A1E" w:rsidRPr="001243AF" w:rsidRDefault="00361A1E" w:rsidP="00CD55B6">
      <w:pPr>
        <w:pStyle w:val="Heading2"/>
        <w:tabs>
          <w:tab w:val="clear" w:pos="567"/>
          <w:tab w:val="left" w:pos="1985"/>
        </w:tabs>
      </w:pPr>
      <w:bookmarkStart w:id="105" w:name="_Toc454544496"/>
      <w:r w:rsidRPr="001243AF">
        <w:t xml:space="preserve">PROGRAM </w:t>
      </w:r>
      <w:r>
        <w:t>22</w:t>
      </w:r>
      <w:r>
        <w:tab/>
      </w:r>
      <w:r>
        <w:tab/>
        <w:t>PROGRAM AND RESOURCE MANAGEMENT</w:t>
      </w:r>
      <w:bookmarkEnd w:id="105"/>
    </w:p>
    <w:p w:rsidR="00361A1E" w:rsidRPr="00383D2D" w:rsidRDefault="00361A1E" w:rsidP="000E148D">
      <w:pPr>
        <w:rPr>
          <w:szCs w:val="20"/>
        </w:rPr>
      </w:pPr>
    </w:p>
    <w:p w:rsidR="00361A1E" w:rsidRPr="00CD55B6" w:rsidRDefault="00361A1E" w:rsidP="00CD55B6">
      <w:pPr>
        <w:tabs>
          <w:tab w:val="left" w:pos="1985"/>
        </w:tabs>
        <w:rPr>
          <w:b/>
          <w:szCs w:val="22"/>
        </w:rPr>
      </w:pPr>
      <w:r w:rsidRPr="00CD55B6">
        <w:rPr>
          <w:b/>
          <w:szCs w:val="22"/>
        </w:rPr>
        <w:t>Program Manager</w:t>
      </w:r>
      <w:r w:rsidRPr="00CD55B6">
        <w:rPr>
          <w:b/>
          <w:szCs w:val="22"/>
        </w:rPr>
        <w:tab/>
        <w:t>Mr. A. Sundaram</w:t>
      </w:r>
    </w:p>
    <w:p w:rsidR="00361A1E" w:rsidRPr="008F4A6D" w:rsidRDefault="00361A1E" w:rsidP="000E148D">
      <w:pPr>
        <w:rPr>
          <w:szCs w:val="20"/>
        </w:rPr>
      </w:pPr>
    </w:p>
    <w:p w:rsidR="00361A1E" w:rsidRDefault="00361A1E" w:rsidP="000E148D">
      <w:pPr>
        <w:rPr>
          <w:szCs w:val="20"/>
        </w:rPr>
      </w:pPr>
    </w:p>
    <w:p w:rsidR="001346E3" w:rsidRPr="00B361ED" w:rsidRDefault="001346E3" w:rsidP="001363EE">
      <w:pPr>
        <w:rPr>
          <w:bCs/>
          <w:szCs w:val="22"/>
        </w:rPr>
      </w:pPr>
      <w:r w:rsidRPr="00B361ED">
        <w:rPr>
          <w:bCs/>
          <w:szCs w:val="22"/>
        </w:rPr>
        <w:t>ACHIEVEMENTS IN THE 2014/15 BIENNIUM</w:t>
      </w:r>
    </w:p>
    <w:p w:rsidR="001346E3" w:rsidRPr="00C63F93" w:rsidRDefault="001346E3" w:rsidP="001363EE">
      <w:pPr>
        <w:tabs>
          <w:tab w:val="num" w:pos="540"/>
        </w:tabs>
        <w:rPr>
          <w:bCs/>
          <w:sz w:val="22"/>
          <w:szCs w:val="22"/>
        </w:rPr>
      </w:pPr>
    </w:p>
    <w:p w:rsidR="001346E3" w:rsidRPr="005A5271" w:rsidRDefault="001346E3" w:rsidP="001346E3">
      <w:pPr>
        <w:pStyle w:val="ListParagraph"/>
        <w:numPr>
          <w:ilvl w:val="0"/>
          <w:numId w:val="44"/>
        </w:numPr>
        <w:tabs>
          <w:tab w:val="left" w:pos="709"/>
        </w:tabs>
        <w:ind w:left="0" w:firstLine="0"/>
        <w:jc w:val="both"/>
        <w:rPr>
          <w:bCs/>
          <w:szCs w:val="22"/>
        </w:rPr>
      </w:pPr>
      <w:r w:rsidRPr="005A5271">
        <w:rPr>
          <w:bCs/>
          <w:szCs w:val="22"/>
        </w:rPr>
        <w:t>Building on the strides made in 2012/13, WIPO’s program and financial management continued to be strengthened in 2014/15.  In order to utilize resources more effectively, to establish best practice as regards planning, performance management, facilitation and support for operational activities across the Organization and to strengthen the “second line of defense</w:t>
      </w:r>
      <w:r w:rsidRPr="005A5271">
        <w:rPr>
          <w:rStyle w:val="FootnoteReference"/>
          <w:bCs/>
          <w:szCs w:val="22"/>
        </w:rPr>
        <w:footnoteReference w:id="123"/>
      </w:r>
      <w:r w:rsidRPr="005A5271">
        <w:rPr>
          <w:bCs/>
          <w:szCs w:val="22"/>
        </w:rPr>
        <w:t>”, a strategic restructuring within the Program which was undertaken in November 2013, was fully embedded in 2014.  This involved (i) the merger of the Program Management and Performance Section and the Budget Section, to create the Program Performance and Budget Division (PPBD), which allowed for a more holistic approach to program management;  (ii) the refining of the role of the “Office of the Controller”, which enabled separation and assignment of clear responsibilities for risk management coordination, compliance and internal controls, the review and maintenance of the financial regulatory framework and follow-up on oversight recommendations;  and (iii) the incorporation of the management and support of the Organization’s administrative applications into Program 22, allowing for synergy and effective mainstreaming of the systems delivered by the ERP portfolio of projects.</w:t>
      </w:r>
    </w:p>
    <w:p w:rsidR="001346E3" w:rsidRPr="00CD55B6" w:rsidRDefault="001346E3" w:rsidP="001363EE">
      <w:pPr>
        <w:tabs>
          <w:tab w:val="left" w:pos="709"/>
        </w:tabs>
        <w:jc w:val="both"/>
        <w:rPr>
          <w:bCs/>
          <w:szCs w:val="22"/>
        </w:rPr>
      </w:pPr>
    </w:p>
    <w:p w:rsidR="001346E3" w:rsidRPr="00CD55B6" w:rsidRDefault="001346E3" w:rsidP="001346E3">
      <w:pPr>
        <w:pStyle w:val="ListParagraph"/>
        <w:numPr>
          <w:ilvl w:val="0"/>
          <w:numId w:val="44"/>
        </w:numPr>
        <w:tabs>
          <w:tab w:val="left" w:pos="709"/>
        </w:tabs>
        <w:ind w:left="0" w:firstLine="0"/>
        <w:jc w:val="both"/>
        <w:rPr>
          <w:bCs/>
          <w:szCs w:val="22"/>
        </w:rPr>
      </w:pPr>
      <w:r>
        <w:rPr>
          <w:bCs/>
          <w:szCs w:val="22"/>
        </w:rPr>
        <w:t>Good progress was made during the biennium</w:t>
      </w:r>
      <w:r w:rsidRPr="00CD55B6">
        <w:rPr>
          <w:bCs/>
          <w:szCs w:val="22"/>
        </w:rPr>
        <w:t xml:space="preserve"> with respect to further embedding a results-based culture and strengthening WIPO’s performance management cycle.  The</w:t>
      </w:r>
      <w:r>
        <w:rPr>
          <w:bCs/>
          <w:szCs w:val="22"/>
        </w:rPr>
        <w:t xml:space="preserve"> biennial and annual </w:t>
      </w:r>
      <w:r w:rsidRPr="00CD55B6">
        <w:rPr>
          <w:bCs/>
          <w:szCs w:val="22"/>
        </w:rPr>
        <w:t>workplanning process</w:t>
      </w:r>
      <w:r>
        <w:rPr>
          <w:bCs/>
          <w:szCs w:val="22"/>
        </w:rPr>
        <w:t>es</w:t>
      </w:r>
      <w:r w:rsidRPr="00CD55B6">
        <w:rPr>
          <w:bCs/>
          <w:szCs w:val="22"/>
        </w:rPr>
        <w:t xml:space="preserve"> continued to be enhanced</w:t>
      </w:r>
      <w:r>
        <w:rPr>
          <w:bCs/>
          <w:szCs w:val="22"/>
        </w:rPr>
        <w:t xml:space="preserve"> in 2014/15.  In 2014, </w:t>
      </w:r>
      <w:r w:rsidRPr="00CD55B6">
        <w:rPr>
          <w:bCs/>
          <w:szCs w:val="22"/>
        </w:rPr>
        <w:t>position level planning</w:t>
      </w:r>
      <w:r>
        <w:rPr>
          <w:bCs/>
          <w:szCs w:val="22"/>
        </w:rPr>
        <w:t xml:space="preserve"> was introduced </w:t>
      </w:r>
      <w:r w:rsidRPr="00CD55B6">
        <w:rPr>
          <w:bCs/>
          <w:szCs w:val="22"/>
        </w:rPr>
        <w:t xml:space="preserve">driving linkages between the Programs’ expected results and individual staff objectives closer together </w:t>
      </w:r>
      <w:r>
        <w:rPr>
          <w:bCs/>
          <w:szCs w:val="22"/>
        </w:rPr>
        <w:t>leading to increased</w:t>
      </w:r>
      <w:r w:rsidRPr="00CD55B6">
        <w:rPr>
          <w:bCs/>
          <w:szCs w:val="22"/>
        </w:rPr>
        <w:t xml:space="preserve"> transparency and accuracy with regard to personnel resource allocation and utilization.</w:t>
      </w:r>
    </w:p>
    <w:p w:rsidR="001346E3" w:rsidRPr="00CD55B6" w:rsidRDefault="001346E3" w:rsidP="001363EE">
      <w:pPr>
        <w:tabs>
          <w:tab w:val="left" w:pos="709"/>
        </w:tabs>
        <w:jc w:val="both"/>
        <w:rPr>
          <w:bCs/>
          <w:szCs w:val="22"/>
        </w:rPr>
      </w:pPr>
    </w:p>
    <w:p w:rsidR="001346E3" w:rsidRPr="00831D9D" w:rsidRDefault="001346E3" w:rsidP="001346E3">
      <w:pPr>
        <w:pStyle w:val="ListParagraph"/>
        <w:numPr>
          <w:ilvl w:val="0"/>
          <w:numId w:val="44"/>
        </w:numPr>
        <w:tabs>
          <w:tab w:val="left" w:pos="709"/>
        </w:tabs>
        <w:ind w:left="0" w:firstLine="0"/>
        <w:jc w:val="both"/>
        <w:rPr>
          <w:bCs/>
          <w:szCs w:val="22"/>
        </w:rPr>
      </w:pPr>
      <w:r w:rsidRPr="00CD55B6">
        <w:rPr>
          <w:bCs/>
          <w:szCs w:val="22"/>
        </w:rPr>
        <w:t xml:space="preserve">The evolution of the ERP EPM planning system was integral to the progress made </w:t>
      </w:r>
      <w:r>
        <w:rPr>
          <w:bCs/>
          <w:szCs w:val="22"/>
        </w:rPr>
        <w:t>during the biennium</w:t>
      </w:r>
      <w:r w:rsidRPr="00CD55B6">
        <w:rPr>
          <w:bCs/>
          <w:szCs w:val="22"/>
        </w:rPr>
        <w:t>.  To this end, the year 2014 saw the launch of two new key modules to support WIPO’s performance cycle, namely the ‘Implementation and Monitoring’ and the ‘Performance Assessment’ modules</w:t>
      </w:r>
      <w:r>
        <w:rPr>
          <w:bCs/>
          <w:szCs w:val="22"/>
        </w:rPr>
        <w:t>, both of which enable a more proactive and improved approach to program management and assessment</w:t>
      </w:r>
      <w:r w:rsidRPr="00CD55B6">
        <w:rPr>
          <w:bCs/>
          <w:szCs w:val="22"/>
        </w:rPr>
        <w:t>.  In addition, th</w:t>
      </w:r>
      <w:r>
        <w:rPr>
          <w:bCs/>
          <w:szCs w:val="22"/>
        </w:rPr>
        <w:t>ese</w:t>
      </w:r>
      <w:r w:rsidRPr="00CD55B6">
        <w:rPr>
          <w:bCs/>
          <w:szCs w:val="22"/>
        </w:rPr>
        <w:t xml:space="preserve"> tool</w:t>
      </w:r>
      <w:r>
        <w:rPr>
          <w:bCs/>
          <w:szCs w:val="22"/>
        </w:rPr>
        <w:t>s</w:t>
      </w:r>
      <w:r w:rsidRPr="00CD55B6">
        <w:rPr>
          <w:bCs/>
          <w:szCs w:val="22"/>
        </w:rPr>
        <w:t xml:space="preserve"> also enabled the ability for improved comparative analysis between the approved workplans and the changes throughout the year, enhancing program management and inf</w:t>
      </w:r>
      <w:r>
        <w:rPr>
          <w:bCs/>
          <w:szCs w:val="22"/>
        </w:rPr>
        <w:t xml:space="preserve">orming future planning cycles, including the planning for the biennium 2016/17.  </w:t>
      </w:r>
    </w:p>
    <w:p w:rsidR="001346E3" w:rsidRPr="00CD55B6" w:rsidRDefault="001346E3" w:rsidP="001363EE">
      <w:pPr>
        <w:tabs>
          <w:tab w:val="left" w:pos="709"/>
        </w:tabs>
        <w:jc w:val="both"/>
        <w:rPr>
          <w:bCs/>
          <w:szCs w:val="22"/>
        </w:rPr>
      </w:pPr>
    </w:p>
    <w:p w:rsidR="001346E3" w:rsidRDefault="001346E3" w:rsidP="001346E3">
      <w:pPr>
        <w:pStyle w:val="ListParagraph"/>
        <w:numPr>
          <w:ilvl w:val="0"/>
          <w:numId w:val="44"/>
        </w:numPr>
        <w:tabs>
          <w:tab w:val="left" w:pos="709"/>
        </w:tabs>
        <w:ind w:left="0" w:firstLine="0"/>
        <w:jc w:val="both"/>
        <w:rPr>
          <w:bCs/>
          <w:szCs w:val="22"/>
        </w:rPr>
      </w:pPr>
      <w:r w:rsidRPr="00CD55B6">
        <w:rPr>
          <w:bCs/>
          <w:szCs w:val="22"/>
        </w:rPr>
        <w:t xml:space="preserve">Further integration of the ERP components in </w:t>
      </w:r>
      <w:r>
        <w:rPr>
          <w:bCs/>
          <w:szCs w:val="22"/>
        </w:rPr>
        <w:t>2014/15</w:t>
      </w:r>
      <w:r w:rsidRPr="00CD55B6">
        <w:rPr>
          <w:bCs/>
          <w:szCs w:val="22"/>
        </w:rPr>
        <w:t xml:space="preserve"> also enabled improved reporting capabilities and analytical tools.  For the first time in 2014, the Administrative Integrated Management System (AIMS) financial and the EPM planning systems were integrated, allowing for improved reporting on budget versus actual expenditure from EPM.  In addition, the ERP Human Resources (HR)/Payroll system was brought into operation in January of 2014, and integration with the EPM planning system was completed in April, resulting in significantly enhanced position management capabilities.  </w:t>
      </w:r>
      <w:r>
        <w:rPr>
          <w:bCs/>
          <w:szCs w:val="22"/>
        </w:rPr>
        <w:t>The</w:t>
      </w:r>
      <w:r w:rsidRPr="00CD55B6">
        <w:rPr>
          <w:bCs/>
          <w:szCs w:val="22"/>
        </w:rPr>
        <w:t xml:space="preserve"> Business Intelligence </w:t>
      </w:r>
      <w:r>
        <w:rPr>
          <w:bCs/>
          <w:szCs w:val="22"/>
        </w:rPr>
        <w:t xml:space="preserve">(BI) </w:t>
      </w:r>
      <w:r w:rsidRPr="00CD55B6">
        <w:rPr>
          <w:bCs/>
          <w:szCs w:val="22"/>
        </w:rPr>
        <w:t>module</w:t>
      </w:r>
      <w:r>
        <w:rPr>
          <w:bCs/>
          <w:szCs w:val="22"/>
        </w:rPr>
        <w:t xml:space="preserve"> evolved during the biennium</w:t>
      </w:r>
      <w:r w:rsidRPr="00CD55B6">
        <w:rPr>
          <w:bCs/>
          <w:szCs w:val="22"/>
        </w:rPr>
        <w:t>, with initial management dashboards having been developed and released to core administrative areas (HRMD, Procurement and Travel, and Program Planning and Finance)</w:t>
      </w:r>
      <w:r>
        <w:rPr>
          <w:bCs/>
          <w:szCs w:val="22"/>
        </w:rPr>
        <w:t xml:space="preserve"> in 2014 and released </w:t>
      </w:r>
      <w:r>
        <w:rPr>
          <w:rFonts w:cs="Arial"/>
        </w:rPr>
        <w:t>organization wide in 2015.   A Risk Management dashboard was also developed and released in 2015.</w:t>
      </w:r>
      <w:r w:rsidRPr="00CD55B6">
        <w:rPr>
          <w:bCs/>
          <w:szCs w:val="22"/>
        </w:rPr>
        <w:t xml:space="preserve"> </w:t>
      </w:r>
    </w:p>
    <w:p w:rsidR="001346E3" w:rsidRDefault="001346E3" w:rsidP="001363EE">
      <w:pPr>
        <w:pStyle w:val="ListParagraph"/>
        <w:tabs>
          <w:tab w:val="left" w:pos="709"/>
        </w:tabs>
        <w:ind w:left="0"/>
        <w:jc w:val="both"/>
        <w:rPr>
          <w:bCs/>
          <w:szCs w:val="22"/>
        </w:rPr>
      </w:pPr>
    </w:p>
    <w:p w:rsidR="001346E3" w:rsidRPr="00123ED4" w:rsidRDefault="001346E3" w:rsidP="001346E3">
      <w:pPr>
        <w:pStyle w:val="ListParagraph"/>
        <w:numPr>
          <w:ilvl w:val="0"/>
          <w:numId w:val="44"/>
        </w:numPr>
        <w:tabs>
          <w:tab w:val="left" w:pos="709"/>
        </w:tabs>
        <w:ind w:left="0" w:firstLine="0"/>
        <w:jc w:val="both"/>
        <w:rPr>
          <w:bCs/>
          <w:szCs w:val="22"/>
        </w:rPr>
      </w:pPr>
      <w:r>
        <w:rPr>
          <w:bCs/>
          <w:szCs w:val="22"/>
        </w:rPr>
        <w:t>Other enhancements to the ERP portfolio of products during the biennium, which enabled strengthened and more efficient management functionalities, included: (i) a major upgrade of the AIMS</w:t>
      </w:r>
      <w:r w:rsidRPr="001966BB">
        <w:rPr>
          <w:bCs/>
          <w:szCs w:val="22"/>
        </w:rPr>
        <w:t xml:space="preserve"> financial system to version 9.2 </w:t>
      </w:r>
      <w:r>
        <w:rPr>
          <w:bCs/>
          <w:szCs w:val="22"/>
        </w:rPr>
        <w:t>that would ensure WIPO’s systems have the latest functionality with a view to reducing support costs</w:t>
      </w:r>
      <w:r w:rsidRPr="001966BB">
        <w:rPr>
          <w:bCs/>
          <w:szCs w:val="22"/>
        </w:rPr>
        <w:t xml:space="preserve">; </w:t>
      </w:r>
      <w:r>
        <w:rPr>
          <w:bCs/>
          <w:szCs w:val="22"/>
        </w:rPr>
        <w:t xml:space="preserve">(ii) </w:t>
      </w:r>
      <w:r w:rsidRPr="001966BB">
        <w:rPr>
          <w:bCs/>
          <w:szCs w:val="22"/>
        </w:rPr>
        <w:t>the release of a f</w:t>
      </w:r>
      <w:r w:rsidRPr="001966BB">
        <w:rPr>
          <w:rFonts w:cs="Arial"/>
        </w:rPr>
        <w:t xml:space="preserve">irst phase of </w:t>
      </w:r>
      <w:r>
        <w:rPr>
          <w:rFonts w:cs="Arial"/>
        </w:rPr>
        <w:t xml:space="preserve">HR </w:t>
      </w:r>
      <w:r w:rsidRPr="001966BB">
        <w:rPr>
          <w:rFonts w:cs="Arial"/>
        </w:rPr>
        <w:t xml:space="preserve">self-service, allowing personal information changes to be made by staff, </w:t>
      </w:r>
      <w:r>
        <w:rPr>
          <w:rFonts w:cs="Arial"/>
        </w:rPr>
        <w:t>reducing</w:t>
      </w:r>
      <w:r w:rsidRPr="001966BB">
        <w:rPr>
          <w:rFonts w:cs="Arial"/>
        </w:rPr>
        <w:t xml:space="preserve"> paper flows and manual data entry by HR operations; (ii) the payment </w:t>
      </w:r>
      <w:r>
        <w:rPr>
          <w:rFonts w:cs="Arial"/>
        </w:rPr>
        <w:t>o</w:t>
      </w:r>
      <w:r w:rsidRPr="001966BB">
        <w:rPr>
          <w:rFonts w:cs="Arial"/>
        </w:rPr>
        <w:t xml:space="preserve">f non-Geneva based staff through the PeopleSoft payroll system; (iii) an improved education grant process ; (iv) </w:t>
      </w:r>
      <w:r>
        <w:rPr>
          <w:rFonts w:cs="Arial"/>
        </w:rPr>
        <w:t>full</w:t>
      </w:r>
      <w:r w:rsidRPr="001966BB">
        <w:rPr>
          <w:rFonts w:cs="Arial"/>
        </w:rPr>
        <w:t xml:space="preserve"> integration of PCT Translation with </w:t>
      </w:r>
      <w:r>
        <w:rPr>
          <w:rFonts w:cs="Arial"/>
        </w:rPr>
        <w:t>the AIMS Financial System</w:t>
      </w:r>
      <w:r w:rsidRPr="001966BB">
        <w:rPr>
          <w:rFonts w:cs="Arial"/>
        </w:rPr>
        <w:t xml:space="preserve"> </w:t>
      </w:r>
      <w:r>
        <w:rPr>
          <w:rFonts w:cs="Arial"/>
        </w:rPr>
        <w:t>reducing manual workflows</w:t>
      </w:r>
      <w:r w:rsidRPr="001966BB">
        <w:rPr>
          <w:rFonts w:cs="Arial"/>
        </w:rPr>
        <w:t xml:space="preserve">; (v) </w:t>
      </w:r>
      <w:r>
        <w:rPr>
          <w:rFonts w:cs="Arial"/>
        </w:rPr>
        <w:t xml:space="preserve">the creation of a single training portal for ERP, ICT and HRMD; (vi) absence and overtime data integrated into BI; (vii) the introduction of data </w:t>
      </w:r>
      <w:r w:rsidRPr="001966BB">
        <w:rPr>
          <w:rFonts w:cs="Arial"/>
        </w:rPr>
        <w:t>control dashboards into BI</w:t>
      </w:r>
      <w:r>
        <w:rPr>
          <w:rFonts w:cs="Arial"/>
        </w:rPr>
        <w:t xml:space="preserve"> to</w:t>
      </w:r>
      <w:r w:rsidRPr="001966BB">
        <w:rPr>
          <w:rFonts w:cs="Arial"/>
        </w:rPr>
        <w:t xml:space="preserve"> ensure consistency across applications, and </w:t>
      </w:r>
      <w:r>
        <w:rPr>
          <w:rFonts w:cs="Arial"/>
        </w:rPr>
        <w:t xml:space="preserve">proactively </w:t>
      </w:r>
      <w:r w:rsidRPr="001966BB">
        <w:rPr>
          <w:rFonts w:cs="Arial"/>
        </w:rPr>
        <w:t>highlight discrepancies for investigation / resolution</w:t>
      </w:r>
      <w:r>
        <w:rPr>
          <w:rFonts w:cs="Arial"/>
        </w:rPr>
        <w:t>.</w:t>
      </w:r>
    </w:p>
    <w:p w:rsidR="001346E3" w:rsidRDefault="001346E3" w:rsidP="001363EE">
      <w:pPr>
        <w:pStyle w:val="ListParagraph"/>
        <w:tabs>
          <w:tab w:val="left" w:pos="709"/>
        </w:tabs>
        <w:ind w:left="0"/>
        <w:jc w:val="both"/>
        <w:rPr>
          <w:bCs/>
          <w:szCs w:val="22"/>
        </w:rPr>
      </w:pPr>
    </w:p>
    <w:p w:rsidR="001346E3" w:rsidRPr="00F6119A" w:rsidRDefault="001346E3" w:rsidP="001346E3">
      <w:pPr>
        <w:pStyle w:val="ListParagraph"/>
        <w:numPr>
          <w:ilvl w:val="0"/>
          <w:numId w:val="44"/>
        </w:numPr>
        <w:tabs>
          <w:tab w:val="left" w:pos="709"/>
        </w:tabs>
        <w:ind w:left="0" w:firstLine="0"/>
        <w:jc w:val="both"/>
        <w:rPr>
          <w:bCs/>
          <w:szCs w:val="22"/>
        </w:rPr>
      </w:pPr>
      <w:r w:rsidRPr="00F6119A">
        <w:rPr>
          <w:bCs/>
          <w:szCs w:val="22"/>
        </w:rPr>
        <w:t xml:space="preserve">In accordance with the Risk Management Roadmap, a formalized and coherent risk management and internal controls framework for the Organization </w:t>
      </w:r>
      <w:r>
        <w:rPr>
          <w:bCs/>
          <w:szCs w:val="22"/>
        </w:rPr>
        <w:t>was developed</w:t>
      </w:r>
      <w:r w:rsidRPr="00F6119A">
        <w:rPr>
          <w:bCs/>
          <w:szCs w:val="22"/>
        </w:rPr>
        <w:t xml:space="preserve">, including WIPO’s Accountability Framework, WIPO’s Risk Appetite Statement, establishment of the Risk Management Group (RMG), </w:t>
      </w:r>
      <w:r>
        <w:rPr>
          <w:bCs/>
          <w:szCs w:val="22"/>
        </w:rPr>
        <w:t xml:space="preserve">issuance of </w:t>
      </w:r>
      <w:r w:rsidRPr="00F6119A">
        <w:rPr>
          <w:bCs/>
          <w:szCs w:val="22"/>
        </w:rPr>
        <w:t xml:space="preserve">the Risk Management Policy, and the </w:t>
      </w:r>
      <w:r>
        <w:rPr>
          <w:bCs/>
          <w:szCs w:val="22"/>
        </w:rPr>
        <w:t xml:space="preserve">development of a </w:t>
      </w:r>
      <w:r w:rsidRPr="00F6119A">
        <w:rPr>
          <w:bCs/>
          <w:szCs w:val="22"/>
        </w:rPr>
        <w:t xml:space="preserve">Risk Management and Internal Controls Manual.  </w:t>
      </w:r>
    </w:p>
    <w:p w:rsidR="001346E3" w:rsidRPr="00F6119A" w:rsidRDefault="001346E3" w:rsidP="001363EE">
      <w:pPr>
        <w:pStyle w:val="ListParagraph"/>
        <w:tabs>
          <w:tab w:val="left" w:pos="709"/>
        </w:tabs>
        <w:ind w:left="0"/>
        <w:jc w:val="both"/>
        <w:rPr>
          <w:bCs/>
          <w:szCs w:val="22"/>
        </w:rPr>
      </w:pPr>
    </w:p>
    <w:p w:rsidR="001346E3" w:rsidRPr="00CD55B6" w:rsidRDefault="001346E3" w:rsidP="001346E3">
      <w:pPr>
        <w:pStyle w:val="ListParagraph"/>
        <w:numPr>
          <w:ilvl w:val="0"/>
          <w:numId w:val="44"/>
        </w:numPr>
        <w:tabs>
          <w:tab w:val="left" w:pos="709"/>
        </w:tabs>
        <w:ind w:left="0" w:firstLine="0"/>
        <w:jc w:val="both"/>
        <w:rPr>
          <w:bCs/>
          <w:szCs w:val="22"/>
        </w:rPr>
      </w:pPr>
      <w:r w:rsidRPr="00F6119A">
        <w:rPr>
          <w:bCs/>
          <w:szCs w:val="22"/>
        </w:rPr>
        <w:t xml:space="preserve">In order to facilitate real-time access to risk and control information, </w:t>
      </w:r>
      <w:r>
        <w:rPr>
          <w:bCs/>
          <w:szCs w:val="22"/>
        </w:rPr>
        <w:t xml:space="preserve">to </w:t>
      </w:r>
      <w:r w:rsidRPr="00F6119A">
        <w:rPr>
          <w:bCs/>
          <w:szCs w:val="22"/>
        </w:rPr>
        <w:t>support proactive risk and control management, as well as to render efficient responses to audit bodies, an Enterprise Risk Management (ERM) tool was implemented in the second half of 2014 and used to support the 2015</w:t>
      </w:r>
      <w:r w:rsidR="0069693E">
        <w:rPr>
          <w:bCs/>
          <w:szCs w:val="22"/>
        </w:rPr>
        <w:t> </w:t>
      </w:r>
      <w:r w:rsidRPr="00F6119A">
        <w:rPr>
          <w:bCs/>
          <w:szCs w:val="22"/>
        </w:rPr>
        <w:t>workplanning process as well as the 2016/17 Program and Budget process.  The processes of monitoring and reporting risks and internal controls were also strengthened, with (i) the introduction of semi-annual risk reviews and reports, (ii) the continued integration of risk management within the program performance management processes, and (iii) the development of an internal control framework, utilizing ERM to record WIPO’s identified and assessed controls.</w:t>
      </w:r>
    </w:p>
    <w:p w:rsidR="001346E3" w:rsidRPr="00CD55B6" w:rsidRDefault="001346E3" w:rsidP="001363EE">
      <w:pPr>
        <w:pStyle w:val="ListParagraph"/>
        <w:tabs>
          <w:tab w:val="left" w:pos="709"/>
        </w:tabs>
        <w:ind w:left="0"/>
        <w:jc w:val="both"/>
        <w:rPr>
          <w:bCs/>
          <w:szCs w:val="22"/>
        </w:rPr>
      </w:pPr>
    </w:p>
    <w:p w:rsidR="001346E3" w:rsidRDefault="001346E3" w:rsidP="001346E3">
      <w:pPr>
        <w:pStyle w:val="ListParagraph"/>
        <w:numPr>
          <w:ilvl w:val="0"/>
          <w:numId w:val="44"/>
        </w:numPr>
        <w:tabs>
          <w:tab w:val="left" w:pos="709"/>
        </w:tabs>
        <w:ind w:left="0" w:firstLine="0"/>
        <w:jc w:val="both"/>
        <w:rPr>
          <w:bCs/>
          <w:szCs w:val="22"/>
        </w:rPr>
      </w:pPr>
      <w:r w:rsidRPr="005402BF">
        <w:rPr>
          <w:bCs/>
          <w:szCs w:val="22"/>
        </w:rPr>
        <w:t>The regulatory framework continued to be updated, with a number of O</w:t>
      </w:r>
      <w:r>
        <w:rPr>
          <w:bCs/>
          <w:szCs w:val="22"/>
        </w:rPr>
        <w:t xml:space="preserve">ffice </w:t>
      </w:r>
      <w:r w:rsidRPr="005402BF">
        <w:rPr>
          <w:bCs/>
          <w:szCs w:val="22"/>
        </w:rPr>
        <w:t>I</w:t>
      </w:r>
      <w:r>
        <w:rPr>
          <w:bCs/>
          <w:szCs w:val="22"/>
        </w:rPr>
        <w:t>nstructions (OIs)</w:t>
      </w:r>
      <w:r w:rsidRPr="005402BF">
        <w:rPr>
          <w:bCs/>
          <w:szCs w:val="22"/>
        </w:rPr>
        <w:t xml:space="preserve"> reviewed</w:t>
      </w:r>
      <w:r>
        <w:rPr>
          <w:bCs/>
          <w:szCs w:val="22"/>
        </w:rPr>
        <w:t xml:space="preserve"> and/or</w:t>
      </w:r>
      <w:r w:rsidRPr="005402BF">
        <w:rPr>
          <w:bCs/>
          <w:szCs w:val="22"/>
        </w:rPr>
        <w:t xml:space="preserve">  issued (</w:t>
      </w:r>
      <w:r w:rsidRPr="00CD55B6">
        <w:rPr>
          <w:bCs/>
          <w:szCs w:val="22"/>
        </w:rPr>
        <w:t xml:space="preserve">procurement, official hospitality, travel, home leave, salary advances, cash guidelines for external offices, </w:t>
      </w:r>
      <w:r w:rsidRPr="005402BF">
        <w:rPr>
          <w:bCs/>
          <w:szCs w:val="22"/>
        </w:rPr>
        <w:t xml:space="preserve">reserves, property management, voluntary contributions, </w:t>
      </w:r>
      <w:r>
        <w:rPr>
          <w:bCs/>
          <w:szCs w:val="22"/>
        </w:rPr>
        <w:t>Policy on Usage of Mobile Telecommunication Devices, Establishment of the Risk Management Group, Risk Management Policy</w:t>
      </w:r>
      <w:r w:rsidRPr="005402BF">
        <w:rPr>
          <w:bCs/>
          <w:szCs w:val="22"/>
        </w:rPr>
        <w:t xml:space="preserve">). The Financial Regulations and Rules (FRR) were reviewed and revised, as agreed by Member States, and a new electronic tool was put in place to support the management of programmatic designations. </w:t>
      </w:r>
    </w:p>
    <w:p w:rsidR="001346E3" w:rsidRDefault="001346E3" w:rsidP="001363EE">
      <w:pPr>
        <w:tabs>
          <w:tab w:val="left" w:pos="709"/>
        </w:tabs>
        <w:jc w:val="both"/>
        <w:rPr>
          <w:bCs/>
          <w:szCs w:val="22"/>
        </w:rPr>
      </w:pPr>
    </w:p>
    <w:p w:rsidR="001346E3" w:rsidRPr="00F6119A" w:rsidRDefault="001346E3" w:rsidP="001346E3">
      <w:pPr>
        <w:pStyle w:val="ListParagraph"/>
        <w:numPr>
          <w:ilvl w:val="0"/>
          <w:numId w:val="44"/>
        </w:numPr>
        <w:tabs>
          <w:tab w:val="left" w:pos="709"/>
        </w:tabs>
        <w:ind w:left="0" w:firstLine="0"/>
        <w:jc w:val="both"/>
        <w:rPr>
          <w:bCs/>
          <w:szCs w:val="22"/>
        </w:rPr>
      </w:pPr>
      <w:r w:rsidRPr="00F6119A">
        <w:rPr>
          <w:bCs/>
          <w:szCs w:val="22"/>
        </w:rPr>
        <w:t xml:space="preserve">The comprehensive study of WIPO’s treasury practices and risks, launched in 2013, was completed in spring 2014, resulting in a series of recommendations, including with regard to the practice of hedging as a means to reduce exposure to foreign currency fluctuations in the PCT. </w:t>
      </w:r>
      <w:r w:rsidR="0034162F">
        <w:rPr>
          <w:bCs/>
          <w:szCs w:val="22"/>
        </w:rPr>
        <w:t xml:space="preserve"> </w:t>
      </w:r>
      <w:r w:rsidRPr="00F6119A">
        <w:rPr>
          <w:bCs/>
          <w:szCs w:val="22"/>
        </w:rPr>
        <w:t>A comprehensive review of the proposed hedging strategy was carried out in 2015 with a final decision taken to build a hedging model</w:t>
      </w:r>
      <w:r>
        <w:rPr>
          <w:bCs/>
          <w:szCs w:val="22"/>
        </w:rPr>
        <w:t>,</w:t>
      </w:r>
      <w:r w:rsidRPr="00F6119A">
        <w:rPr>
          <w:bCs/>
          <w:szCs w:val="22"/>
        </w:rPr>
        <w:t xml:space="preserve"> which will simulate the effects of hedging on the results of the </w:t>
      </w:r>
      <w:r>
        <w:rPr>
          <w:bCs/>
          <w:szCs w:val="22"/>
        </w:rPr>
        <w:t>2014/</w:t>
      </w:r>
      <w:r w:rsidRPr="00F6119A">
        <w:rPr>
          <w:bCs/>
          <w:szCs w:val="22"/>
        </w:rPr>
        <w:t xml:space="preserve">15 biennium and </w:t>
      </w:r>
      <w:r>
        <w:rPr>
          <w:bCs/>
          <w:szCs w:val="22"/>
        </w:rPr>
        <w:t>those of the year</w:t>
      </w:r>
      <w:r w:rsidRPr="00F6119A">
        <w:rPr>
          <w:bCs/>
          <w:szCs w:val="22"/>
        </w:rPr>
        <w:t xml:space="preserve"> 2016.  Following extensive research amongst various banks and financial institutions and a study of the many investment policies in operation throughout the UN system, a new investment policy for the Organization was prepared and approved </w:t>
      </w:r>
      <w:r>
        <w:rPr>
          <w:bCs/>
          <w:szCs w:val="22"/>
        </w:rPr>
        <w:t xml:space="preserve">by </w:t>
      </w:r>
      <w:r w:rsidR="000F4114">
        <w:rPr>
          <w:bCs/>
          <w:szCs w:val="22"/>
        </w:rPr>
        <w:t>M</w:t>
      </w:r>
      <w:r>
        <w:rPr>
          <w:bCs/>
          <w:szCs w:val="22"/>
        </w:rPr>
        <w:t xml:space="preserve">ember States </w:t>
      </w:r>
      <w:r w:rsidRPr="00F6119A">
        <w:rPr>
          <w:bCs/>
          <w:szCs w:val="22"/>
        </w:rPr>
        <w:t xml:space="preserve">in 2015.  </w:t>
      </w:r>
      <w:r>
        <w:rPr>
          <w:bCs/>
          <w:szCs w:val="22"/>
        </w:rPr>
        <w:t>I</w:t>
      </w:r>
      <w:r w:rsidRPr="00F6119A">
        <w:rPr>
          <w:bCs/>
          <w:szCs w:val="22"/>
        </w:rPr>
        <w:t xml:space="preserve">ts implementation </w:t>
      </w:r>
      <w:r>
        <w:rPr>
          <w:bCs/>
          <w:szCs w:val="22"/>
        </w:rPr>
        <w:t xml:space="preserve">commenced </w:t>
      </w:r>
      <w:r w:rsidRPr="00F6119A">
        <w:rPr>
          <w:bCs/>
          <w:szCs w:val="22"/>
        </w:rPr>
        <w:t xml:space="preserve">in </w:t>
      </w:r>
      <w:r>
        <w:rPr>
          <w:bCs/>
          <w:szCs w:val="22"/>
        </w:rPr>
        <w:t>late</w:t>
      </w:r>
      <w:r w:rsidRPr="00F6119A">
        <w:rPr>
          <w:bCs/>
          <w:szCs w:val="22"/>
        </w:rPr>
        <w:t xml:space="preserve"> 2015 with the preparation of an Expressions of Interest for investment fund management.  Additional treasury-related initiatives implemented included: </w:t>
      </w:r>
      <w:r>
        <w:rPr>
          <w:bCs/>
          <w:szCs w:val="22"/>
        </w:rPr>
        <w:t>i</w:t>
      </w:r>
      <w:r w:rsidRPr="00F6119A">
        <w:rPr>
          <w:bCs/>
          <w:szCs w:val="22"/>
        </w:rPr>
        <w:t>) enhanced cash management to minimize the impact of the negative interest rates currently prevailing in Switzerland</w:t>
      </w:r>
      <w:r>
        <w:rPr>
          <w:bCs/>
          <w:szCs w:val="22"/>
        </w:rPr>
        <w:t xml:space="preserve"> including</w:t>
      </w:r>
      <w:r w:rsidRPr="00F6119A">
        <w:rPr>
          <w:bCs/>
          <w:szCs w:val="22"/>
        </w:rPr>
        <w:t xml:space="preserve"> work </w:t>
      </w:r>
      <w:r>
        <w:rPr>
          <w:bCs/>
          <w:szCs w:val="22"/>
        </w:rPr>
        <w:t>towards</w:t>
      </w:r>
      <w:r w:rsidRPr="00F6119A">
        <w:rPr>
          <w:bCs/>
          <w:szCs w:val="22"/>
        </w:rPr>
        <w:t xml:space="preserve"> the establishment of two new banking relationships; </w:t>
      </w:r>
      <w:r>
        <w:rPr>
          <w:bCs/>
          <w:szCs w:val="22"/>
        </w:rPr>
        <w:t>ii</w:t>
      </w:r>
      <w:r w:rsidRPr="00F6119A">
        <w:rPr>
          <w:bCs/>
          <w:szCs w:val="22"/>
        </w:rPr>
        <w:t xml:space="preserve">) efforts made to increase the number of payees receiving payments from WIPO through electronic means; </w:t>
      </w:r>
      <w:r>
        <w:rPr>
          <w:bCs/>
          <w:szCs w:val="22"/>
        </w:rPr>
        <w:t>iii</w:t>
      </w:r>
      <w:r w:rsidRPr="00F6119A">
        <w:rPr>
          <w:bCs/>
          <w:szCs w:val="22"/>
        </w:rPr>
        <w:t xml:space="preserve">) introduction of two additional credit cards for payment by the Organization; and </w:t>
      </w:r>
      <w:r>
        <w:rPr>
          <w:bCs/>
          <w:szCs w:val="22"/>
        </w:rPr>
        <w:t>iv</w:t>
      </w:r>
      <w:r w:rsidRPr="00F6119A">
        <w:rPr>
          <w:bCs/>
          <w:szCs w:val="22"/>
        </w:rPr>
        <w:t>) introduction of a Dynamic Currency Converter allowing a credit card holder to be debited in his/her local currency</w:t>
      </w:r>
      <w:r>
        <w:rPr>
          <w:bCs/>
          <w:szCs w:val="22"/>
        </w:rPr>
        <w:t xml:space="preserve"> with a view to </w:t>
      </w:r>
      <w:r w:rsidRPr="00F6119A">
        <w:rPr>
          <w:bCs/>
          <w:szCs w:val="22"/>
        </w:rPr>
        <w:t>reduc</w:t>
      </w:r>
      <w:r>
        <w:rPr>
          <w:bCs/>
          <w:szCs w:val="22"/>
        </w:rPr>
        <w:t>ing</w:t>
      </w:r>
      <w:r w:rsidRPr="00F6119A">
        <w:rPr>
          <w:bCs/>
          <w:szCs w:val="22"/>
        </w:rPr>
        <w:t xml:space="preserve"> credit card commissions for the Organization.</w:t>
      </w:r>
    </w:p>
    <w:p w:rsidR="001346E3" w:rsidRPr="00F6119A" w:rsidRDefault="001346E3" w:rsidP="001363EE">
      <w:pPr>
        <w:pStyle w:val="ListParagraph"/>
        <w:tabs>
          <w:tab w:val="left" w:pos="709"/>
        </w:tabs>
        <w:ind w:left="0"/>
        <w:jc w:val="both"/>
        <w:rPr>
          <w:bCs/>
          <w:szCs w:val="22"/>
        </w:rPr>
      </w:pPr>
    </w:p>
    <w:p w:rsidR="001346E3" w:rsidRPr="00F6119A" w:rsidRDefault="001346E3" w:rsidP="001346E3">
      <w:pPr>
        <w:pStyle w:val="ListParagraph"/>
        <w:numPr>
          <w:ilvl w:val="0"/>
          <w:numId w:val="44"/>
        </w:numPr>
        <w:tabs>
          <w:tab w:val="left" w:pos="709"/>
        </w:tabs>
        <w:ind w:left="0" w:firstLine="0"/>
        <w:jc w:val="both"/>
        <w:rPr>
          <w:bCs/>
          <w:szCs w:val="22"/>
        </w:rPr>
      </w:pPr>
      <w:r w:rsidRPr="00F6119A">
        <w:rPr>
          <w:bCs/>
          <w:szCs w:val="22"/>
        </w:rPr>
        <w:t>With regard to the PCT, two new International Search Authorities (ISAs) were appointed in 2014, requiring new payments and system changes.  New members have joined Madrid and Hague (eight in total) which has involved an adaptation of systems whilst new distributions have been introduced following the adherence of Benelux and later, Australia to the Madrid E-Filing service (IRPI).</w:t>
      </w:r>
    </w:p>
    <w:p w:rsidR="001346E3" w:rsidRPr="00123ED4" w:rsidRDefault="001346E3" w:rsidP="001363EE">
      <w:pPr>
        <w:pStyle w:val="ListParagraph"/>
        <w:tabs>
          <w:tab w:val="left" w:pos="709"/>
        </w:tabs>
        <w:ind w:left="0"/>
        <w:jc w:val="both"/>
        <w:rPr>
          <w:bCs/>
          <w:szCs w:val="22"/>
        </w:rPr>
      </w:pPr>
    </w:p>
    <w:p w:rsidR="001346E3" w:rsidRPr="00F6119A" w:rsidRDefault="001346E3" w:rsidP="001346E3">
      <w:pPr>
        <w:pStyle w:val="ListParagraph"/>
        <w:numPr>
          <w:ilvl w:val="0"/>
          <w:numId w:val="44"/>
        </w:numPr>
        <w:tabs>
          <w:tab w:val="left" w:pos="709"/>
        </w:tabs>
        <w:ind w:left="0" w:firstLine="0"/>
        <w:jc w:val="both"/>
        <w:rPr>
          <w:bCs/>
          <w:szCs w:val="22"/>
        </w:rPr>
      </w:pPr>
      <w:r w:rsidRPr="00F6119A">
        <w:rPr>
          <w:bCs/>
          <w:szCs w:val="22"/>
        </w:rPr>
        <w:t xml:space="preserve">Under the MOU with the USPTO, EPO and the IB, the pilot project to establish whether the management of foreign exchange risks associated with the payment of search fees can be improved was successfully launched and was, more recently, extended for </w:t>
      </w:r>
      <w:r>
        <w:rPr>
          <w:bCs/>
          <w:szCs w:val="22"/>
        </w:rPr>
        <w:t>two years.</w:t>
      </w:r>
      <w:r w:rsidRPr="00F6119A">
        <w:rPr>
          <w:bCs/>
          <w:szCs w:val="22"/>
        </w:rPr>
        <w:t xml:space="preserve">  An evaluation of the project is planned in 2016 as part of the analysis of the netting proposal</w:t>
      </w:r>
      <w:r>
        <w:rPr>
          <w:bCs/>
          <w:szCs w:val="22"/>
        </w:rPr>
        <w:t>,</w:t>
      </w:r>
      <w:r w:rsidRPr="00F6119A">
        <w:rPr>
          <w:bCs/>
          <w:szCs w:val="22"/>
        </w:rPr>
        <w:t xml:space="preserve"> which was one of the recommendations arising from the treasury study.</w:t>
      </w:r>
    </w:p>
    <w:p w:rsidR="001346E3" w:rsidRDefault="001346E3" w:rsidP="001363EE">
      <w:pPr>
        <w:rPr>
          <w:bCs/>
          <w:szCs w:val="22"/>
        </w:rPr>
      </w:pPr>
    </w:p>
    <w:p w:rsidR="001346E3" w:rsidRDefault="001346E3" w:rsidP="001363EE">
      <w:pPr>
        <w:rPr>
          <w:rFonts w:cs="Arial"/>
          <w:sz w:val="22"/>
          <w:szCs w:val="22"/>
        </w:rPr>
      </w:pPr>
    </w:p>
    <w:p w:rsidR="001346E3" w:rsidRDefault="001346E3" w:rsidP="001363EE">
      <w:pPr>
        <w:rPr>
          <w:rFonts w:cs="Arial"/>
          <w:sz w:val="22"/>
          <w:szCs w:val="22"/>
        </w:rPr>
      </w:pPr>
    </w:p>
    <w:p w:rsidR="001346E3" w:rsidRDefault="001346E3" w:rsidP="001363EE">
      <w:pPr>
        <w:rPr>
          <w:rFonts w:cs="Arial"/>
          <w:sz w:val="22"/>
          <w:szCs w:val="22"/>
        </w:rPr>
      </w:pPr>
    </w:p>
    <w:p w:rsidR="001346E3" w:rsidRDefault="001346E3" w:rsidP="001363EE">
      <w:pPr>
        <w:rPr>
          <w:rFonts w:cs="Arial"/>
          <w:sz w:val="22"/>
          <w:szCs w:val="22"/>
        </w:rPr>
      </w:pPr>
    </w:p>
    <w:p w:rsidR="001346E3" w:rsidRPr="00B361ED" w:rsidRDefault="001346E3" w:rsidP="00E55863">
      <w:pPr>
        <w:keepNext/>
        <w:keepLines/>
        <w:rPr>
          <w:rFonts w:cs="Arial"/>
          <w:szCs w:val="22"/>
        </w:rPr>
      </w:pPr>
      <w:r w:rsidRPr="00B361ED">
        <w:rPr>
          <w:rFonts w:cs="Arial"/>
          <w:szCs w:val="22"/>
        </w:rPr>
        <w:t>PERFORMANCE DATA</w:t>
      </w:r>
    </w:p>
    <w:p w:rsidR="001346E3" w:rsidRDefault="001346E3" w:rsidP="00E55863">
      <w:pPr>
        <w:keepNext/>
        <w:keepLines/>
        <w:rPr>
          <w:rFonts w:cs="Arial"/>
          <w:color w:val="000000"/>
          <w:sz w:val="22"/>
          <w:szCs w:val="22"/>
        </w:rPr>
      </w:pPr>
    </w:p>
    <w:tbl>
      <w:tblPr>
        <w:tblW w:w="4888" w:type="pct"/>
        <w:tblInd w:w="108" w:type="dxa"/>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2041"/>
        <w:gridCol w:w="1782"/>
        <w:gridCol w:w="1473"/>
        <w:gridCol w:w="2927"/>
        <w:gridCol w:w="1134"/>
      </w:tblGrid>
      <w:tr w:rsidR="001346E3" w:rsidRPr="001C67B1" w:rsidTr="001363EE">
        <w:trPr>
          <w:cantSplit/>
        </w:trPr>
        <w:tc>
          <w:tcPr>
            <w:tcW w:w="5000" w:type="pct"/>
            <w:gridSpan w:val="5"/>
            <w:tcBorders>
              <w:top w:val="single" w:sz="4" w:space="0" w:color="auto"/>
              <w:bottom w:val="single" w:sz="4" w:space="0" w:color="auto"/>
            </w:tcBorders>
            <w:shd w:val="clear" w:color="auto" w:fill="C6D9F1" w:themeFill="text2" w:themeFillTint="33"/>
            <w:vAlign w:val="center"/>
            <w:hideMark/>
          </w:tcPr>
          <w:p w:rsidR="001346E3" w:rsidRPr="001C67B1" w:rsidRDefault="001346E3" w:rsidP="00E55863">
            <w:pPr>
              <w:keepNext/>
              <w:keepLines/>
              <w:tabs>
                <w:tab w:val="left" w:pos="1452"/>
              </w:tabs>
              <w:spacing w:before="120" w:after="120"/>
              <w:ind w:left="1452" w:hanging="1452"/>
              <w:rPr>
                <w:rFonts w:cs="Arial"/>
                <w:b/>
                <w:bCs/>
                <w:sz w:val="16"/>
                <w:szCs w:val="16"/>
              </w:rPr>
            </w:pPr>
            <w:r w:rsidRPr="001C67B1">
              <w:rPr>
                <w:rFonts w:cs="Arial"/>
                <w:b/>
                <w:bCs/>
                <w:sz w:val="16"/>
                <w:szCs w:val="16"/>
              </w:rPr>
              <w:t>Expected Result:</w:t>
            </w:r>
            <w:r w:rsidRPr="001C67B1">
              <w:rPr>
                <w:rFonts w:cs="Arial"/>
                <w:b/>
                <w:bCs/>
                <w:sz w:val="16"/>
                <w:szCs w:val="16"/>
              </w:rPr>
              <w:tab/>
            </w:r>
            <w:r w:rsidRPr="003B27D5">
              <w:rPr>
                <w:rFonts w:cs="Arial"/>
                <w:sz w:val="16"/>
                <w:szCs w:val="16"/>
                <w:lang w:bidi="th-TH"/>
              </w:rPr>
              <w:t>IX.1 Effective, efficient, quality and customer-oriented support services both to internal clients and to external stakeholders</w:t>
            </w:r>
          </w:p>
        </w:tc>
      </w:tr>
      <w:tr w:rsidR="001346E3" w:rsidRPr="001C67B1" w:rsidTr="0069693E">
        <w:trPr>
          <w:cantSplit/>
        </w:trPr>
        <w:tc>
          <w:tcPr>
            <w:tcW w:w="1091" w:type="pct"/>
            <w:tcBorders>
              <w:top w:val="single" w:sz="4" w:space="0" w:color="auto"/>
            </w:tcBorders>
            <w:vAlign w:val="center"/>
            <w:hideMark/>
          </w:tcPr>
          <w:p w:rsidR="001346E3" w:rsidRPr="001C67B1" w:rsidRDefault="001346E3" w:rsidP="00E55863">
            <w:pPr>
              <w:keepNext/>
              <w:keepLines/>
              <w:rPr>
                <w:rFonts w:cs="Arial"/>
                <w:sz w:val="16"/>
                <w:szCs w:val="16"/>
              </w:rPr>
            </w:pPr>
            <w:r w:rsidRPr="001C67B1">
              <w:rPr>
                <w:rFonts w:cs="Arial"/>
                <w:b/>
                <w:bCs/>
                <w:sz w:val="16"/>
                <w:szCs w:val="16"/>
              </w:rPr>
              <w:t>Performance Indicators</w:t>
            </w:r>
          </w:p>
        </w:tc>
        <w:tc>
          <w:tcPr>
            <w:tcW w:w="952" w:type="pct"/>
            <w:tcBorders>
              <w:top w:val="single" w:sz="4" w:space="0" w:color="auto"/>
            </w:tcBorders>
            <w:vAlign w:val="center"/>
            <w:hideMark/>
          </w:tcPr>
          <w:p w:rsidR="001346E3" w:rsidRPr="001C67B1" w:rsidRDefault="001346E3" w:rsidP="00E55863">
            <w:pPr>
              <w:keepNext/>
              <w:keepLines/>
              <w:rPr>
                <w:rFonts w:cs="Arial"/>
                <w:b/>
                <w:bCs/>
                <w:sz w:val="16"/>
                <w:szCs w:val="16"/>
              </w:rPr>
            </w:pPr>
            <w:r w:rsidRPr="001C67B1">
              <w:rPr>
                <w:rFonts w:cs="Arial"/>
                <w:b/>
                <w:bCs/>
                <w:sz w:val="16"/>
                <w:szCs w:val="16"/>
              </w:rPr>
              <w:t>Baselines</w:t>
            </w:r>
          </w:p>
        </w:tc>
        <w:tc>
          <w:tcPr>
            <w:tcW w:w="787" w:type="pct"/>
            <w:tcBorders>
              <w:top w:val="single" w:sz="4" w:space="0" w:color="auto"/>
            </w:tcBorders>
            <w:tcMar>
              <w:top w:w="110" w:type="dxa"/>
              <w:left w:w="108" w:type="dxa"/>
              <w:bottom w:w="0" w:type="dxa"/>
              <w:right w:w="108" w:type="dxa"/>
            </w:tcMar>
            <w:vAlign w:val="center"/>
            <w:hideMark/>
          </w:tcPr>
          <w:p w:rsidR="001346E3" w:rsidRPr="001C67B1" w:rsidRDefault="001346E3" w:rsidP="00E55863">
            <w:pPr>
              <w:keepNext/>
              <w:keepLines/>
              <w:rPr>
                <w:rFonts w:cs="Arial"/>
                <w:b/>
                <w:sz w:val="16"/>
                <w:szCs w:val="16"/>
              </w:rPr>
            </w:pPr>
            <w:r w:rsidRPr="001C67B1">
              <w:rPr>
                <w:rFonts w:cs="Arial"/>
                <w:b/>
                <w:sz w:val="16"/>
                <w:szCs w:val="16"/>
              </w:rPr>
              <w:t>Target</w:t>
            </w:r>
            <w:r>
              <w:rPr>
                <w:rFonts w:cs="Arial"/>
                <w:b/>
                <w:sz w:val="16"/>
                <w:szCs w:val="16"/>
              </w:rPr>
              <w:t>s</w:t>
            </w:r>
          </w:p>
        </w:tc>
        <w:tc>
          <w:tcPr>
            <w:tcW w:w="1564" w:type="pct"/>
            <w:tcBorders>
              <w:top w:val="single" w:sz="4" w:space="0" w:color="auto"/>
            </w:tcBorders>
            <w:shd w:val="clear" w:color="auto" w:fill="FFFFFF"/>
            <w:tcMar>
              <w:top w:w="110" w:type="dxa"/>
              <w:left w:w="108" w:type="dxa"/>
              <w:bottom w:w="0" w:type="dxa"/>
              <w:right w:w="108" w:type="dxa"/>
            </w:tcMar>
            <w:vAlign w:val="center"/>
            <w:hideMark/>
          </w:tcPr>
          <w:p w:rsidR="001346E3" w:rsidRPr="001C67B1" w:rsidRDefault="001346E3" w:rsidP="00E55863">
            <w:pPr>
              <w:keepNext/>
              <w:keepLines/>
              <w:rPr>
                <w:rFonts w:cs="Arial"/>
                <w:sz w:val="16"/>
                <w:szCs w:val="16"/>
              </w:rPr>
            </w:pPr>
            <w:r w:rsidRPr="001C67B1">
              <w:rPr>
                <w:rFonts w:cs="Arial"/>
                <w:b/>
                <w:bCs/>
                <w:sz w:val="16"/>
                <w:szCs w:val="16"/>
              </w:rPr>
              <w:t>Performance Data</w:t>
            </w:r>
          </w:p>
        </w:tc>
        <w:tc>
          <w:tcPr>
            <w:tcW w:w="606" w:type="pct"/>
            <w:tcBorders>
              <w:top w:val="single" w:sz="4" w:space="0" w:color="auto"/>
            </w:tcBorders>
            <w:tcMar>
              <w:top w:w="110" w:type="dxa"/>
              <w:left w:w="108" w:type="dxa"/>
              <w:bottom w:w="0" w:type="dxa"/>
              <w:right w:w="108" w:type="dxa"/>
            </w:tcMar>
            <w:vAlign w:val="center"/>
            <w:hideMark/>
          </w:tcPr>
          <w:p w:rsidR="001346E3" w:rsidRPr="001C67B1" w:rsidRDefault="001346E3" w:rsidP="00E55863">
            <w:pPr>
              <w:keepNext/>
              <w:keepLines/>
              <w:jc w:val="center"/>
              <w:rPr>
                <w:rFonts w:cs="Arial"/>
                <w:b/>
                <w:bCs/>
                <w:sz w:val="16"/>
                <w:szCs w:val="16"/>
              </w:rPr>
            </w:pPr>
            <w:r w:rsidRPr="001C67B1">
              <w:rPr>
                <w:rFonts w:cs="Arial"/>
                <w:b/>
                <w:bCs/>
                <w:sz w:val="16"/>
                <w:szCs w:val="16"/>
              </w:rPr>
              <w:t>TLS</w:t>
            </w:r>
          </w:p>
        </w:tc>
      </w:tr>
      <w:tr w:rsidR="001346E3" w:rsidRPr="001C67B1" w:rsidTr="0069693E">
        <w:trPr>
          <w:cantSplit/>
        </w:trPr>
        <w:tc>
          <w:tcPr>
            <w:tcW w:w="1091" w:type="pct"/>
            <w:hideMark/>
          </w:tcPr>
          <w:p w:rsidR="001346E3" w:rsidRPr="001C67B1" w:rsidRDefault="001346E3" w:rsidP="00E55863">
            <w:pPr>
              <w:keepNext/>
              <w:keepLines/>
              <w:rPr>
                <w:rFonts w:cs="Arial"/>
                <w:sz w:val="16"/>
                <w:szCs w:val="16"/>
                <w:lang w:bidi="th-TH"/>
              </w:rPr>
            </w:pPr>
            <w:r w:rsidRPr="009B40F6">
              <w:rPr>
                <w:rFonts w:cs="Arial"/>
                <w:sz w:val="16"/>
                <w:szCs w:val="16"/>
                <w:lang w:bidi="th-TH"/>
              </w:rPr>
              <w:t>Provision of financial and management reports and analysis required by senior management, Program Managers and Member States in accordance with agreed deadlines</w:t>
            </w:r>
          </w:p>
        </w:tc>
        <w:tc>
          <w:tcPr>
            <w:tcW w:w="952" w:type="pct"/>
            <w:hideMark/>
          </w:tcPr>
          <w:p w:rsidR="001346E3" w:rsidRPr="00845557" w:rsidRDefault="001346E3" w:rsidP="00E55863">
            <w:pPr>
              <w:keepNext/>
              <w:keepLines/>
              <w:rPr>
                <w:rFonts w:cs="Arial"/>
                <w:sz w:val="16"/>
                <w:szCs w:val="16"/>
              </w:rPr>
            </w:pPr>
            <w:r w:rsidRPr="00845557">
              <w:rPr>
                <w:rFonts w:cs="Arial"/>
                <w:sz w:val="16"/>
                <w:szCs w:val="16"/>
              </w:rPr>
              <w:t xml:space="preserve">Monthly closure to be completed 10 working days after month end (except January where monthly close is determined by progress of annual close)  </w:t>
            </w:r>
            <w:r w:rsidRPr="00472AA6">
              <w:t xml:space="preserve"> </w:t>
            </w:r>
          </w:p>
          <w:p w:rsidR="001346E3" w:rsidRPr="001C67B1" w:rsidRDefault="001346E3" w:rsidP="00E55863">
            <w:pPr>
              <w:keepNext/>
              <w:keepLines/>
              <w:rPr>
                <w:rFonts w:cs="Arial"/>
                <w:i/>
                <w:sz w:val="8"/>
                <w:szCs w:val="8"/>
              </w:rPr>
            </w:pPr>
          </w:p>
          <w:p w:rsidR="001346E3" w:rsidRPr="001C67B1" w:rsidRDefault="001346E3" w:rsidP="00E55863">
            <w:pPr>
              <w:keepNext/>
              <w:keepLines/>
              <w:rPr>
                <w:rFonts w:cs="Arial"/>
                <w:sz w:val="16"/>
                <w:szCs w:val="16"/>
                <w:lang w:bidi="th-TH"/>
              </w:rPr>
            </w:pPr>
            <w:r w:rsidRPr="00E6255D">
              <w:rPr>
                <w:rFonts w:cs="Arial"/>
                <w:sz w:val="16"/>
                <w:szCs w:val="16"/>
                <w:lang w:bidi="th-TH"/>
              </w:rPr>
              <w:t xml:space="preserve">Static online reports available overnight;  quarterly Observatory reports within </w:t>
            </w:r>
            <w:r>
              <w:rPr>
                <w:rFonts w:cs="Arial"/>
                <w:sz w:val="16"/>
                <w:szCs w:val="16"/>
                <w:lang w:bidi="th-TH"/>
              </w:rPr>
              <w:t>2 weeks</w:t>
            </w:r>
            <w:r w:rsidRPr="00E6255D">
              <w:rPr>
                <w:rFonts w:cs="Arial"/>
                <w:sz w:val="16"/>
                <w:szCs w:val="16"/>
                <w:lang w:bidi="th-TH"/>
              </w:rPr>
              <w:t xml:space="preserve"> of closure;  monthly standard reports within </w:t>
            </w:r>
            <w:r>
              <w:rPr>
                <w:rFonts w:cs="Arial"/>
                <w:sz w:val="16"/>
                <w:szCs w:val="16"/>
                <w:lang w:bidi="th-TH"/>
              </w:rPr>
              <w:t>1 week</w:t>
            </w:r>
            <w:r w:rsidRPr="00E6255D">
              <w:rPr>
                <w:rFonts w:cs="Arial"/>
                <w:sz w:val="16"/>
                <w:szCs w:val="16"/>
                <w:lang w:bidi="th-TH"/>
              </w:rPr>
              <w:t xml:space="preserve"> of closure</w:t>
            </w:r>
          </w:p>
        </w:tc>
        <w:tc>
          <w:tcPr>
            <w:tcW w:w="787" w:type="pct"/>
            <w:tcMar>
              <w:top w:w="110" w:type="dxa"/>
              <w:left w:w="108" w:type="dxa"/>
              <w:bottom w:w="0" w:type="dxa"/>
              <w:right w:w="108" w:type="dxa"/>
            </w:tcMar>
            <w:hideMark/>
          </w:tcPr>
          <w:p w:rsidR="001346E3" w:rsidRPr="00845557" w:rsidRDefault="001346E3" w:rsidP="00E55863">
            <w:pPr>
              <w:keepNext/>
              <w:keepLines/>
              <w:rPr>
                <w:rFonts w:cs="Arial"/>
                <w:sz w:val="16"/>
                <w:szCs w:val="16"/>
              </w:rPr>
            </w:pPr>
            <w:r w:rsidRPr="00845557">
              <w:rPr>
                <w:rFonts w:cs="Arial"/>
                <w:sz w:val="16"/>
                <w:szCs w:val="16"/>
              </w:rPr>
              <w:t>Same as baselines</w:t>
            </w:r>
          </w:p>
          <w:p w:rsidR="001346E3" w:rsidRPr="00845557" w:rsidRDefault="001346E3" w:rsidP="00E55863">
            <w:pPr>
              <w:keepNext/>
              <w:keepLines/>
              <w:rPr>
                <w:rFonts w:cs="Arial"/>
                <w:sz w:val="16"/>
                <w:szCs w:val="16"/>
              </w:rPr>
            </w:pPr>
          </w:p>
          <w:p w:rsidR="001346E3" w:rsidRPr="001C67B1" w:rsidRDefault="001346E3" w:rsidP="00E55863">
            <w:pPr>
              <w:keepNext/>
              <w:keepLines/>
              <w:rPr>
                <w:rFonts w:cs="Arial"/>
                <w:sz w:val="16"/>
                <w:szCs w:val="16"/>
                <w:lang w:bidi="th-TH"/>
              </w:rPr>
            </w:pPr>
            <w:r w:rsidRPr="00845557">
              <w:rPr>
                <w:rFonts w:cs="Arial"/>
                <w:sz w:val="16"/>
                <w:szCs w:val="16"/>
              </w:rPr>
              <w:t>Parameterized interactive online reports available as result of ERP/BI work in the course of 14/15; quarterly Observatory reports within 2 weeks of closure; monthly standard reports within 1 week of closure</w:t>
            </w:r>
            <w:r w:rsidRPr="00845557">
              <w:rPr>
                <w:rFonts w:cs="Arial"/>
                <w:i/>
                <w:sz w:val="16"/>
                <w:szCs w:val="16"/>
              </w:rPr>
              <w:t xml:space="preserve">  </w:t>
            </w:r>
          </w:p>
        </w:tc>
        <w:tc>
          <w:tcPr>
            <w:tcW w:w="1564" w:type="pct"/>
            <w:shd w:val="clear" w:color="auto" w:fill="FFFFFF"/>
            <w:tcMar>
              <w:top w:w="110" w:type="dxa"/>
              <w:left w:w="108" w:type="dxa"/>
              <w:bottom w:w="0" w:type="dxa"/>
              <w:right w:w="108" w:type="dxa"/>
            </w:tcMar>
          </w:tcPr>
          <w:p w:rsidR="001346E3" w:rsidRDefault="001346E3" w:rsidP="00E55863">
            <w:pPr>
              <w:keepNext/>
              <w:keepLines/>
              <w:rPr>
                <w:rFonts w:cs="Arial"/>
                <w:sz w:val="16"/>
                <w:szCs w:val="16"/>
                <w:lang w:bidi="th-TH"/>
              </w:rPr>
            </w:pPr>
            <w:r>
              <w:rPr>
                <w:rFonts w:cs="Arial"/>
                <w:sz w:val="16"/>
                <w:szCs w:val="16"/>
                <w:lang w:bidi="th-TH"/>
              </w:rPr>
              <w:t>Closed on the 10</w:t>
            </w:r>
            <w:r w:rsidRPr="00EC039A">
              <w:rPr>
                <w:rFonts w:cs="Arial"/>
                <w:sz w:val="16"/>
                <w:szCs w:val="16"/>
                <w:vertAlign w:val="superscript"/>
                <w:lang w:bidi="th-TH"/>
              </w:rPr>
              <w:t>th</w:t>
            </w:r>
            <w:r>
              <w:rPr>
                <w:rFonts w:cs="Arial"/>
                <w:sz w:val="16"/>
                <w:szCs w:val="16"/>
                <w:lang w:bidi="th-TH"/>
              </w:rPr>
              <w:t xml:space="preserve"> working day or earlier for 10 months. Exceptions were January (as per baseline) and October, as a result of the system upgrade.</w:t>
            </w:r>
          </w:p>
          <w:p w:rsidR="001346E3" w:rsidRDefault="001346E3" w:rsidP="00E55863">
            <w:pPr>
              <w:keepNext/>
              <w:keepLines/>
              <w:rPr>
                <w:rFonts w:cs="Arial"/>
                <w:sz w:val="16"/>
                <w:szCs w:val="16"/>
                <w:lang w:bidi="th-TH"/>
              </w:rPr>
            </w:pPr>
          </w:p>
          <w:p w:rsidR="001346E3" w:rsidRDefault="001346E3" w:rsidP="00E55863">
            <w:pPr>
              <w:keepNext/>
              <w:keepLines/>
              <w:rPr>
                <w:rFonts w:cs="Arial"/>
                <w:sz w:val="16"/>
                <w:szCs w:val="16"/>
                <w:lang w:bidi="th-TH"/>
              </w:rPr>
            </w:pPr>
            <w:r>
              <w:rPr>
                <w:rFonts w:cs="Arial"/>
                <w:sz w:val="16"/>
                <w:szCs w:val="16"/>
                <w:lang w:bidi="th-TH"/>
              </w:rPr>
              <w:t>I</w:t>
            </w:r>
            <w:r w:rsidRPr="00E921F1">
              <w:rPr>
                <w:rFonts w:cs="Arial"/>
                <w:sz w:val="16"/>
                <w:szCs w:val="16"/>
                <w:lang w:bidi="th-TH"/>
              </w:rPr>
              <w:t xml:space="preserve">nitial management dashboards </w:t>
            </w:r>
            <w:r>
              <w:rPr>
                <w:rFonts w:cs="Arial"/>
                <w:sz w:val="16"/>
                <w:szCs w:val="16"/>
                <w:lang w:bidi="th-TH"/>
              </w:rPr>
              <w:t>were</w:t>
            </w:r>
            <w:r w:rsidRPr="00E921F1">
              <w:rPr>
                <w:rFonts w:cs="Arial"/>
                <w:sz w:val="16"/>
                <w:szCs w:val="16"/>
                <w:lang w:bidi="th-TH"/>
              </w:rPr>
              <w:t xml:space="preserve"> developed and released to core administrative areas (HRMD, Procurement and Travel, and Program Planning and Finance) in 2014 and released organization wide in 2015.   A Risk Management dashboard was also developed and released in 2015.</w:t>
            </w:r>
          </w:p>
          <w:p w:rsidR="001346E3" w:rsidRDefault="001346E3" w:rsidP="00E55863">
            <w:pPr>
              <w:keepNext/>
              <w:keepLines/>
              <w:rPr>
                <w:rFonts w:cs="Arial"/>
                <w:sz w:val="16"/>
                <w:szCs w:val="16"/>
                <w:lang w:bidi="th-TH"/>
              </w:rPr>
            </w:pPr>
          </w:p>
          <w:p w:rsidR="001346E3" w:rsidRDefault="001346E3" w:rsidP="00E55863">
            <w:pPr>
              <w:keepNext/>
              <w:keepLines/>
              <w:rPr>
                <w:rFonts w:cs="Arial"/>
                <w:sz w:val="16"/>
                <w:szCs w:val="16"/>
                <w:lang w:bidi="th-TH"/>
              </w:rPr>
            </w:pPr>
            <w:r>
              <w:rPr>
                <w:rFonts w:cs="Arial"/>
                <w:sz w:val="16"/>
                <w:szCs w:val="16"/>
                <w:lang w:bidi="th-TH"/>
              </w:rPr>
              <w:t>On average, quarterly and monthly standard reports within 6 working days of closure</w:t>
            </w:r>
          </w:p>
          <w:p w:rsidR="001346E3" w:rsidRDefault="001346E3" w:rsidP="00E55863">
            <w:pPr>
              <w:keepNext/>
              <w:keepLines/>
              <w:rPr>
                <w:rFonts w:cs="Arial"/>
                <w:sz w:val="16"/>
                <w:szCs w:val="16"/>
                <w:lang w:bidi="th-TH"/>
              </w:rPr>
            </w:pPr>
          </w:p>
          <w:p w:rsidR="001346E3" w:rsidRPr="002D19CE" w:rsidRDefault="001346E3" w:rsidP="00E55863">
            <w:pPr>
              <w:keepNext/>
              <w:keepLines/>
              <w:rPr>
                <w:rFonts w:cs="Arial"/>
                <w:sz w:val="16"/>
                <w:szCs w:val="16"/>
                <w:lang w:bidi="th-TH"/>
              </w:rPr>
            </w:pPr>
            <w:r>
              <w:rPr>
                <w:rFonts w:cs="Arial"/>
                <w:sz w:val="16"/>
                <w:szCs w:val="16"/>
                <w:lang w:bidi="th-TH"/>
              </w:rPr>
              <w:t>Quarterly Observatory Reports on average within 1 month of closure</w:t>
            </w:r>
          </w:p>
        </w:tc>
        <w:tc>
          <w:tcPr>
            <w:tcW w:w="606" w:type="pct"/>
            <w:tcMar>
              <w:top w:w="110" w:type="dxa"/>
              <w:left w:w="108" w:type="dxa"/>
              <w:bottom w:w="0" w:type="dxa"/>
              <w:right w:w="108" w:type="dxa"/>
            </w:tcMar>
          </w:tcPr>
          <w:p w:rsidR="001346E3" w:rsidRPr="00AC49FF" w:rsidRDefault="001346E3" w:rsidP="00E55863">
            <w:pPr>
              <w:keepNext/>
              <w:keepLines/>
              <w:jc w:val="center"/>
              <w:rPr>
                <w:rFonts w:cs="Arial"/>
                <w:b/>
                <w:bCs/>
                <w:color w:val="008000"/>
                <w:sz w:val="16"/>
                <w:szCs w:val="16"/>
              </w:rPr>
            </w:pPr>
            <w:r w:rsidRPr="00AC49FF">
              <w:rPr>
                <w:rFonts w:cs="Arial"/>
                <w:b/>
                <w:bCs/>
                <w:color w:val="008000"/>
                <w:sz w:val="16"/>
                <w:szCs w:val="16"/>
              </w:rPr>
              <w:t>Fully Achieved</w:t>
            </w:r>
          </w:p>
          <w:p w:rsidR="001346E3" w:rsidRPr="00AC49FF" w:rsidRDefault="001346E3" w:rsidP="00E55863">
            <w:pPr>
              <w:keepNext/>
              <w:keepLines/>
              <w:jc w:val="center"/>
              <w:rPr>
                <w:rFonts w:cs="Arial"/>
                <w:b/>
                <w:bCs/>
                <w:color w:val="008000"/>
                <w:sz w:val="16"/>
                <w:szCs w:val="16"/>
              </w:rPr>
            </w:pPr>
          </w:p>
          <w:p w:rsidR="001346E3" w:rsidRPr="00AC49FF" w:rsidRDefault="001346E3" w:rsidP="00E55863">
            <w:pPr>
              <w:keepNext/>
              <w:keepLines/>
              <w:jc w:val="center"/>
              <w:rPr>
                <w:rFonts w:cs="Arial"/>
                <w:b/>
                <w:bCs/>
                <w:color w:val="008000"/>
                <w:sz w:val="16"/>
                <w:szCs w:val="16"/>
              </w:rPr>
            </w:pPr>
          </w:p>
          <w:p w:rsidR="001346E3" w:rsidRDefault="001346E3" w:rsidP="00E55863">
            <w:pPr>
              <w:keepNext/>
              <w:keepLines/>
              <w:jc w:val="center"/>
              <w:rPr>
                <w:rFonts w:cs="Arial"/>
                <w:b/>
                <w:bCs/>
                <w:color w:val="008000"/>
                <w:sz w:val="16"/>
                <w:szCs w:val="16"/>
              </w:rPr>
            </w:pPr>
          </w:p>
          <w:p w:rsidR="001346E3" w:rsidRDefault="001346E3" w:rsidP="00E55863">
            <w:pPr>
              <w:keepNext/>
              <w:keepLines/>
              <w:jc w:val="center"/>
              <w:rPr>
                <w:rFonts w:cs="Arial"/>
                <w:b/>
                <w:bCs/>
                <w:color w:val="008000"/>
                <w:sz w:val="16"/>
                <w:szCs w:val="16"/>
              </w:rPr>
            </w:pPr>
          </w:p>
          <w:p w:rsidR="001346E3" w:rsidRPr="00AC49FF" w:rsidRDefault="001346E3" w:rsidP="00E55863">
            <w:pPr>
              <w:keepNext/>
              <w:keepLines/>
              <w:jc w:val="center"/>
              <w:rPr>
                <w:rFonts w:cs="Arial"/>
                <w:b/>
                <w:bCs/>
                <w:color w:val="008000"/>
                <w:sz w:val="16"/>
                <w:szCs w:val="16"/>
              </w:rPr>
            </w:pPr>
            <w:r w:rsidRPr="00AC49FF">
              <w:rPr>
                <w:rFonts w:cs="Arial"/>
                <w:b/>
                <w:bCs/>
                <w:color w:val="008000"/>
                <w:sz w:val="16"/>
                <w:szCs w:val="16"/>
              </w:rPr>
              <w:t>Fully Achieved</w:t>
            </w:r>
          </w:p>
          <w:p w:rsidR="001346E3" w:rsidRDefault="001346E3" w:rsidP="00E55863">
            <w:pPr>
              <w:keepNext/>
              <w:keepLines/>
              <w:jc w:val="center"/>
              <w:rPr>
                <w:rFonts w:cs="Arial"/>
                <w:b/>
                <w:bCs/>
                <w:color w:val="008000"/>
                <w:sz w:val="16"/>
                <w:szCs w:val="16"/>
              </w:rPr>
            </w:pPr>
          </w:p>
          <w:p w:rsidR="001346E3" w:rsidRDefault="001346E3" w:rsidP="00E55863">
            <w:pPr>
              <w:keepNext/>
              <w:keepLines/>
              <w:jc w:val="center"/>
              <w:rPr>
                <w:rFonts w:cs="Arial"/>
                <w:b/>
                <w:bCs/>
                <w:color w:val="008000"/>
                <w:sz w:val="16"/>
                <w:szCs w:val="16"/>
              </w:rPr>
            </w:pPr>
          </w:p>
          <w:p w:rsidR="001346E3" w:rsidRDefault="001346E3" w:rsidP="00E55863">
            <w:pPr>
              <w:keepNext/>
              <w:keepLines/>
              <w:jc w:val="center"/>
              <w:rPr>
                <w:rFonts w:cs="Arial"/>
                <w:b/>
                <w:bCs/>
                <w:color w:val="008000"/>
                <w:sz w:val="16"/>
                <w:szCs w:val="16"/>
              </w:rPr>
            </w:pPr>
          </w:p>
          <w:p w:rsidR="001346E3" w:rsidRDefault="001346E3" w:rsidP="00E55863">
            <w:pPr>
              <w:keepNext/>
              <w:keepLines/>
              <w:jc w:val="center"/>
              <w:rPr>
                <w:rFonts w:cs="Arial"/>
                <w:b/>
                <w:bCs/>
                <w:color w:val="008000"/>
                <w:sz w:val="16"/>
                <w:szCs w:val="16"/>
              </w:rPr>
            </w:pPr>
          </w:p>
          <w:p w:rsidR="001346E3" w:rsidRDefault="001346E3" w:rsidP="00E55863">
            <w:pPr>
              <w:keepNext/>
              <w:keepLines/>
              <w:jc w:val="center"/>
              <w:rPr>
                <w:rFonts w:cs="Arial"/>
                <w:b/>
                <w:bCs/>
                <w:color w:val="008000"/>
                <w:sz w:val="16"/>
                <w:szCs w:val="16"/>
              </w:rPr>
            </w:pPr>
          </w:p>
          <w:p w:rsidR="001346E3" w:rsidRDefault="001346E3" w:rsidP="00E55863">
            <w:pPr>
              <w:keepNext/>
              <w:keepLines/>
              <w:jc w:val="center"/>
              <w:rPr>
                <w:rFonts w:cs="Arial"/>
                <w:b/>
                <w:bCs/>
                <w:color w:val="008000"/>
                <w:sz w:val="16"/>
                <w:szCs w:val="16"/>
              </w:rPr>
            </w:pPr>
          </w:p>
          <w:p w:rsidR="001346E3" w:rsidRDefault="001346E3" w:rsidP="00E55863">
            <w:pPr>
              <w:keepNext/>
              <w:keepLines/>
              <w:rPr>
                <w:rFonts w:cs="Arial"/>
                <w:b/>
                <w:bCs/>
                <w:color w:val="008000"/>
                <w:sz w:val="16"/>
                <w:szCs w:val="16"/>
              </w:rPr>
            </w:pPr>
          </w:p>
          <w:p w:rsidR="001346E3" w:rsidRDefault="001346E3" w:rsidP="00E55863">
            <w:pPr>
              <w:keepNext/>
              <w:keepLines/>
              <w:jc w:val="center"/>
              <w:rPr>
                <w:rFonts w:cs="Arial"/>
                <w:b/>
                <w:bCs/>
                <w:color w:val="008000"/>
                <w:sz w:val="16"/>
                <w:szCs w:val="16"/>
              </w:rPr>
            </w:pPr>
          </w:p>
          <w:p w:rsidR="001346E3" w:rsidRPr="00AC49FF" w:rsidRDefault="001346E3" w:rsidP="00E55863">
            <w:pPr>
              <w:keepNext/>
              <w:keepLines/>
              <w:jc w:val="center"/>
              <w:rPr>
                <w:rFonts w:cs="Arial"/>
                <w:b/>
                <w:bCs/>
                <w:color w:val="008000"/>
                <w:sz w:val="16"/>
                <w:szCs w:val="16"/>
              </w:rPr>
            </w:pPr>
            <w:r w:rsidRPr="00AC49FF">
              <w:rPr>
                <w:rFonts w:cs="Arial"/>
                <w:b/>
                <w:bCs/>
                <w:color w:val="008000"/>
                <w:sz w:val="16"/>
                <w:szCs w:val="16"/>
              </w:rPr>
              <w:t>Fully Achieved</w:t>
            </w:r>
          </w:p>
          <w:p w:rsidR="001346E3" w:rsidRDefault="001346E3" w:rsidP="00E55863">
            <w:pPr>
              <w:keepNext/>
              <w:keepLines/>
              <w:jc w:val="center"/>
              <w:rPr>
                <w:rFonts w:cs="Arial"/>
                <w:bCs/>
                <w:color w:val="808080"/>
                <w:sz w:val="16"/>
                <w:szCs w:val="16"/>
              </w:rPr>
            </w:pPr>
          </w:p>
          <w:p w:rsidR="001346E3" w:rsidRDefault="001346E3" w:rsidP="00E55863">
            <w:pPr>
              <w:keepNext/>
              <w:keepLines/>
              <w:jc w:val="center"/>
              <w:rPr>
                <w:rFonts w:cs="Arial"/>
                <w:bCs/>
                <w:color w:val="808080"/>
                <w:sz w:val="16"/>
                <w:szCs w:val="16"/>
              </w:rPr>
            </w:pPr>
          </w:p>
          <w:p w:rsidR="001346E3" w:rsidRPr="0016443F" w:rsidRDefault="001346E3" w:rsidP="00E55863">
            <w:pPr>
              <w:keepNext/>
              <w:keepLines/>
              <w:jc w:val="center"/>
              <w:rPr>
                <w:rFonts w:cs="Arial"/>
                <w:b/>
                <w:bCs/>
                <w:color w:val="FF0000"/>
                <w:sz w:val="16"/>
                <w:szCs w:val="16"/>
              </w:rPr>
            </w:pPr>
            <w:r w:rsidRPr="0016443F">
              <w:rPr>
                <w:rFonts w:cs="Arial"/>
                <w:b/>
                <w:bCs/>
                <w:color w:val="FF0000"/>
                <w:sz w:val="16"/>
                <w:szCs w:val="16"/>
              </w:rPr>
              <w:t>Not Achieved</w:t>
            </w:r>
          </w:p>
        </w:tc>
      </w:tr>
      <w:tr w:rsidR="001346E3" w:rsidRPr="001C67B1" w:rsidTr="0069693E">
        <w:trPr>
          <w:cantSplit/>
          <w:trHeight w:val="2653"/>
        </w:trPr>
        <w:tc>
          <w:tcPr>
            <w:tcW w:w="1091" w:type="pct"/>
            <w:hideMark/>
          </w:tcPr>
          <w:p w:rsidR="001346E3" w:rsidRDefault="001346E3" w:rsidP="001363EE">
            <w:pPr>
              <w:rPr>
                <w:rFonts w:cs="Arial"/>
                <w:sz w:val="16"/>
                <w:szCs w:val="16"/>
                <w:lang w:bidi="th-TH"/>
              </w:rPr>
            </w:pPr>
            <w:r w:rsidRPr="009B40F6">
              <w:rPr>
                <w:rFonts w:cs="Arial"/>
                <w:sz w:val="16"/>
                <w:szCs w:val="16"/>
                <w:lang w:bidi="th-TH"/>
              </w:rPr>
              <w:t>Resolution of internal/external queries received in accordance with established timeframes</w:t>
            </w:r>
          </w:p>
          <w:p w:rsidR="001346E3" w:rsidRPr="001C67B1" w:rsidRDefault="001346E3" w:rsidP="001363EE">
            <w:pPr>
              <w:rPr>
                <w:rFonts w:cs="Arial"/>
                <w:sz w:val="16"/>
                <w:szCs w:val="16"/>
                <w:lang w:bidi="th-TH"/>
              </w:rPr>
            </w:pPr>
          </w:p>
        </w:tc>
        <w:tc>
          <w:tcPr>
            <w:tcW w:w="952" w:type="pct"/>
            <w:hideMark/>
          </w:tcPr>
          <w:p w:rsidR="001346E3" w:rsidRDefault="001346E3" w:rsidP="001363EE">
            <w:pPr>
              <w:rPr>
                <w:rFonts w:cs="Arial"/>
                <w:sz w:val="16"/>
                <w:szCs w:val="16"/>
                <w:lang w:bidi="th-TH"/>
              </w:rPr>
            </w:pPr>
            <w:r w:rsidRPr="00E6255D">
              <w:rPr>
                <w:rFonts w:cs="Arial"/>
                <w:sz w:val="16"/>
                <w:szCs w:val="16"/>
                <w:lang w:bidi="th-TH"/>
              </w:rPr>
              <w:t xml:space="preserve">75% of tickets to be closed (resolved) within 3 days of receipt </w:t>
            </w:r>
          </w:p>
          <w:p w:rsidR="001346E3" w:rsidRDefault="001346E3" w:rsidP="001363EE">
            <w:pPr>
              <w:rPr>
                <w:rFonts w:cs="Arial"/>
                <w:sz w:val="16"/>
                <w:szCs w:val="16"/>
                <w:lang w:bidi="th-TH"/>
              </w:rPr>
            </w:pPr>
          </w:p>
          <w:p w:rsidR="001346E3" w:rsidRDefault="001346E3" w:rsidP="001363EE">
            <w:pPr>
              <w:rPr>
                <w:rFonts w:cs="Arial"/>
                <w:sz w:val="16"/>
                <w:szCs w:val="16"/>
                <w:lang w:bidi="th-TH"/>
              </w:rPr>
            </w:pPr>
            <w:r w:rsidRPr="00E6255D">
              <w:rPr>
                <w:rFonts w:cs="Arial"/>
                <w:sz w:val="16"/>
                <w:szCs w:val="16"/>
                <w:lang w:bidi="th-TH"/>
              </w:rPr>
              <w:t>Provide advice and/or respond to budgetary files and queries within 72 hours</w:t>
            </w:r>
          </w:p>
          <w:p w:rsidR="001346E3" w:rsidRPr="001C67B1" w:rsidRDefault="001346E3" w:rsidP="001363EE">
            <w:pPr>
              <w:rPr>
                <w:rFonts w:cs="Arial"/>
                <w:sz w:val="16"/>
                <w:szCs w:val="16"/>
                <w:lang w:bidi="th-TH"/>
              </w:rPr>
            </w:pPr>
          </w:p>
        </w:tc>
        <w:tc>
          <w:tcPr>
            <w:tcW w:w="787" w:type="pct"/>
            <w:tcMar>
              <w:top w:w="110" w:type="dxa"/>
              <w:left w:w="108" w:type="dxa"/>
              <w:bottom w:w="0" w:type="dxa"/>
              <w:right w:w="108" w:type="dxa"/>
            </w:tcMar>
            <w:hideMark/>
          </w:tcPr>
          <w:p w:rsidR="001346E3" w:rsidRDefault="001346E3" w:rsidP="001363EE">
            <w:pPr>
              <w:rPr>
                <w:rFonts w:cs="Arial"/>
                <w:sz w:val="16"/>
                <w:szCs w:val="16"/>
              </w:rPr>
            </w:pPr>
            <w:r w:rsidRPr="00E6255D">
              <w:rPr>
                <w:rFonts w:cs="Arial"/>
                <w:sz w:val="16"/>
                <w:szCs w:val="16"/>
              </w:rPr>
              <w:t>Same as baselines</w:t>
            </w:r>
          </w:p>
          <w:p w:rsidR="001346E3" w:rsidRDefault="001346E3" w:rsidP="001363EE">
            <w:pPr>
              <w:rPr>
                <w:rFonts w:cs="Arial"/>
                <w:sz w:val="16"/>
                <w:szCs w:val="16"/>
              </w:rPr>
            </w:pPr>
          </w:p>
          <w:p w:rsidR="001346E3" w:rsidRPr="001C67B1" w:rsidRDefault="001346E3" w:rsidP="001363EE">
            <w:pPr>
              <w:rPr>
                <w:rFonts w:cs="Arial"/>
                <w:sz w:val="16"/>
                <w:szCs w:val="16"/>
                <w:lang w:bidi="th-TH"/>
              </w:rPr>
            </w:pPr>
            <w:r w:rsidRPr="00E6255D">
              <w:rPr>
                <w:rFonts w:cs="Arial"/>
                <w:sz w:val="16"/>
                <w:szCs w:val="16"/>
              </w:rPr>
              <w:t>Provide advice and/or respond to budgetary files and queries within 48 hours</w:t>
            </w:r>
          </w:p>
        </w:tc>
        <w:tc>
          <w:tcPr>
            <w:tcW w:w="1564" w:type="pct"/>
            <w:shd w:val="clear" w:color="auto" w:fill="FFFFFF"/>
            <w:tcMar>
              <w:top w:w="110" w:type="dxa"/>
              <w:left w:w="108" w:type="dxa"/>
              <w:bottom w:w="0" w:type="dxa"/>
              <w:right w:w="108" w:type="dxa"/>
            </w:tcMar>
          </w:tcPr>
          <w:p w:rsidR="001346E3" w:rsidRDefault="001346E3" w:rsidP="001363EE">
            <w:pPr>
              <w:rPr>
                <w:rFonts w:cs="Arial"/>
                <w:sz w:val="16"/>
                <w:szCs w:val="16"/>
              </w:rPr>
            </w:pPr>
            <w:r>
              <w:rPr>
                <w:rFonts w:cs="Arial"/>
                <w:sz w:val="16"/>
                <w:szCs w:val="16"/>
              </w:rPr>
              <w:t xml:space="preserve">In 2014/15, on average 84.5% </w:t>
            </w:r>
            <w:r w:rsidRPr="00633FA9">
              <w:rPr>
                <w:rFonts w:cs="Arial"/>
                <w:sz w:val="16"/>
                <w:szCs w:val="16"/>
              </w:rPr>
              <w:t xml:space="preserve">of tickets registered in the WINS system were closed </w:t>
            </w:r>
            <w:r>
              <w:rPr>
                <w:rFonts w:cs="Arial"/>
                <w:sz w:val="16"/>
                <w:szCs w:val="16"/>
              </w:rPr>
              <w:t>within 3 days:</w:t>
            </w:r>
          </w:p>
          <w:p w:rsidR="001346E3" w:rsidRPr="008F1718" w:rsidRDefault="001346E3" w:rsidP="001363EE">
            <w:pPr>
              <w:rPr>
                <w:rFonts w:cs="Arial"/>
                <w:sz w:val="6"/>
                <w:szCs w:val="6"/>
              </w:rPr>
            </w:pPr>
          </w:p>
          <w:p w:rsidR="001346E3" w:rsidRDefault="001346E3" w:rsidP="001346E3">
            <w:pPr>
              <w:pStyle w:val="ListParagraph"/>
              <w:numPr>
                <w:ilvl w:val="0"/>
                <w:numId w:val="47"/>
              </w:numPr>
              <w:spacing w:after="60"/>
              <w:rPr>
                <w:rFonts w:cs="Arial"/>
                <w:sz w:val="16"/>
                <w:szCs w:val="16"/>
              </w:rPr>
            </w:pPr>
            <w:r w:rsidRPr="009D1C01">
              <w:rPr>
                <w:rFonts w:cs="Arial"/>
                <w:sz w:val="16"/>
                <w:szCs w:val="16"/>
              </w:rPr>
              <w:t xml:space="preserve">In 2014, 86% within 3 days, of which 71% on the same day, 6% within 2 days and 9% within 3 days.  </w:t>
            </w:r>
          </w:p>
          <w:p w:rsidR="001346E3" w:rsidRPr="009D1C01" w:rsidRDefault="001346E3" w:rsidP="001346E3">
            <w:pPr>
              <w:pStyle w:val="ListParagraph"/>
              <w:numPr>
                <w:ilvl w:val="0"/>
                <w:numId w:val="47"/>
              </w:numPr>
              <w:rPr>
                <w:rFonts w:cs="Arial"/>
                <w:sz w:val="16"/>
                <w:szCs w:val="16"/>
              </w:rPr>
            </w:pPr>
            <w:r w:rsidRPr="009D1C01">
              <w:rPr>
                <w:rFonts w:cs="Arial"/>
                <w:sz w:val="16"/>
                <w:szCs w:val="16"/>
              </w:rPr>
              <w:t>In 2015, 85% within 3 days, of which 67% the same day, 12% within 2 days and 6% within 3 days.</w:t>
            </w:r>
          </w:p>
          <w:p w:rsidR="001346E3" w:rsidRPr="00633FA9" w:rsidRDefault="001346E3" w:rsidP="001363EE">
            <w:pPr>
              <w:rPr>
                <w:rFonts w:cs="Arial"/>
                <w:sz w:val="16"/>
                <w:szCs w:val="16"/>
              </w:rPr>
            </w:pPr>
          </w:p>
          <w:p w:rsidR="001346E3" w:rsidRDefault="001346E3" w:rsidP="001363EE">
            <w:pPr>
              <w:rPr>
                <w:rFonts w:cs="Arial"/>
                <w:sz w:val="16"/>
                <w:szCs w:val="16"/>
              </w:rPr>
            </w:pPr>
          </w:p>
          <w:p w:rsidR="001346E3" w:rsidRDefault="001346E3" w:rsidP="001363EE">
            <w:pPr>
              <w:rPr>
                <w:rFonts w:cs="Arial"/>
                <w:sz w:val="16"/>
                <w:szCs w:val="16"/>
              </w:rPr>
            </w:pPr>
          </w:p>
          <w:p w:rsidR="001346E3" w:rsidRPr="001C67B1" w:rsidRDefault="001346E3" w:rsidP="001363EE">
            <w:pPr>
              <w:rPr>
                <w:rFonts w:cs="Arial"/>
                <w:sz w:val="16"/>
                <w:szCs w:val="16"/>
              </w:rPr>
            </w:pPr>
            <w:r>
              <w:rPr>
                <w:rFonts w:cs="Arial"/>
                <w:sz w:val="16"/>
                <w:szCs w:val="16"/>
              </w:rPr>
              <w:t>In 2014/15, the Program Performance and Budget Division (PPBD) received approximately 2,200 files requiring programmatic and/or budgetary validation.  The average response time was 1.9 days.</w:t>
            </w:r>
          </w:p>
        </w:tc>
        <w:tc>
          <w:tcPr>
            <w:tcW w:w="606" w:type="pct"/>
            <w:tcMar>
              <w:top w:w="110" w:type="dxa"/>
              <w:left w:w="108" w:type="dxa"/>
              <w:bottom w:w="0" w:type="dxa"/>
              <w:right w:w="108" w:type="dxa"/>
            </w:tcMar>
          </w:tcPr>
          <w:p w:rsidR="001346E3" w:rsidRDefault="001346E3" w:rsidP="001363EE">
            <w:pPr>
              <w:keepNext/>
              <w:keepLines/>
              <w:jc w:val="center"/>
              <w:rPr>
                <w:rFonts w:cs="Arial"/>
                <w:b/>
                <w:bCs/>
                <w:color w:val="008000"/>
                <w:sz w:val="16"/>
                <w:szCs w:val="16"/>
              </w:rPr>
            </w:pPr>
            <w:r w:rsidRPr="00AC49FF">
              <w:rPr>
                <w:rFonts w:cs="Arial"/>
                <w:b/>
                <w:bCs/>
                <w:color w:val="008000"/>
                <w:sz w:val="16"/>
                <w:szCs w:val="16"/>
              </w:rPr>
              <w:t>Fully Achieved</w:t>
            </w:r>
          </w:p>
          <w:p w:rsidR="001346E3" w:rsidRDefault="001346E3" w:rsidP="001363EE">
            <w:pPr>
              <w:keepNext/>
              <w:keepLines/>
              <w:jc w:val="center"/>
              <w:rPr>
                <w:rFonts w:cs="Arial"/>
                <w:b/>
                <w:bCs/>
                <w:color w:val="008000"/>
                <w:sz w:val="16"/>
                <w:szCs w:val="16"/>
              </w:rPr>
            </w:pPr>
          </w:p>
          <w:p w:rsidR="001346E3" w:rsidRDefault="001346E3" w:rsidP="001363EE">
            <w:pPr>
              <w:keepNext/>
              <w:keepLines/>
              <w:jc w:val="center"/>
              <w:rPr>
                <w:rFonts w:cs="Arial"/>
                <w:b/>
                <w:bCs/>
                <w:color w:val="008000"/>
                <w:sz w:val="16"/>
                <w:szCs w:val="16"/>
              </w:rPr>
            </w:pPr>
          </w:p>
          <w:p w:rsidR="001346E3" w:rsidRDefault="001346E3" w:rsidP="001363EE">
            <w:pPr>
              <w:keepNext/>
              <w:keepLines/>
              <w:jc w:val="center"/>
              <w:rPr>
                <w:rFonts w:cs="Arial"/>
                <w:b/>
                <w:bCs/>
                <w:color w:val="008000"/>
                <w:sz w:val="16"/>
                <w:szCs w:val="16"/>
              </w:rPr>
            </w:pPr>
          </w:p>
          <w:p w:rsidR="001346E3" w:rsidRDefault="001346E3" w:rsidP="001363EE">
            <w:pPr>
              <w:keepNext/>
              <w:keepLines/>
              <w:jc w:val="center"/>
              <w:rPr>
                <w:rFonts w:cs="Arial"/>
                <w:b/>
                <w:bCs/>
                <w:color w:val="008000"/>
                <w:sz w:val="16"/>
                <w:szCs w:val="16"/>
              </w:rPr>
            </w:pPr>
          </w:p>
          <w:p w:rsidR="001346E3" w:rsidRDefault="001346E3" w:rsidP="001363EE">
            <w:pPr>
              <w:keepNext/>
              <w:keepLines/>
              <w:jc w:val="center"/>
              <w:rPr>
                <w:rFonts w:cs="Arial"/>
                <w:b/>
                <w:bCs/>
                <w:color w:val="008000"/>
                <w:sz w:val="16"/>
                <w:szCs w:val="16"/>
              </w:rPr>
            </w:pPr>
          </w:p>
          <w:p w:rsidR="001346E3" w:rsidRDefault="001346E3" w:rsidP="001363EE">
            <w:pPr>
              <w:keepNext/>
              <w:keepLines/>
              <w:jc w:val="center"/>
              <w:rPr>
                <w:rFonts w:cs="Arial"/>
                <w:b/>
                <w:bCs/>
                <w:color w:val="008000"/>
                <w:sz w:val="16"/>
                <w:szCs w:val="16"/>
              </w:rPr>
            </w:pPr>
          </w:p>
          <w:p w:rsidR="001346E3" w:rsidRDefault="001346E3" w:rsidP="001363EE">
            <w:pPr>
              <w:keepNext/>
              <w:keepLines/>
              <w:jc w:val="center"/>
              <w:rPr>
                <w:rFonts w:cs="Arial"/>
                <w:b/>
                <w:bCs/>
                <w:color w:val="008000"/>
                <w:sz w:val="16"/>
                <w:szCs w:val="16"/>
              </w:rPr>
            </w:pPr>
          </w:p>
          <w:p w:rsidR="001346E3" w:rsidRDefault="001346E3" w:rsidP="001363EE">
            <w:pPr>
              <w:keepNext/>
              <w:keepLines/>
              <w:jc w:val="center"/>
              <w:rPr>
                <w:rFonts w:cs="Arial"/>
                <w:b/>
                <w:bCs/>
                <w:color w:val="008000"/>
                <w:sz w:val="16"/>
                <w:szCs w:val="16"/>
              </w:rPr>
            </w:pPr>
          </w:p>
          <w:p w:rsidR="001346E3" w:rsidRDefault="001346E3" w:rsidP="001363EE">
            <w:pPr>
              <w:keepNext/>
              <w:keepLines/>
              <w:jc w:val="center"/>
              <w:rPr>
                <w:rFonts w:cs="Arial"/>
                <w:b/>
                <w:bCs/>
                <w:color w:val="008000"/>
                <w:sz w:val="16"/>
                <w:szCs w:val="16"/>
              </w:rPr>
            </w:pPr>
          </w:p>
          <w:p w:rsidR="001346E3" w:rsidRDefault="001346E3" w:rsidP="001363EE">
            <w:pPr>
              <w:keepNext/>
              <w:keepLines/>
              <w:jc w:val="center"/>
              <w:rPr>
                <w:rFonts w:cs="Arial"/>
                <w:b/>
                <w:bCs/>
                <w:color w:val="008000"/>
                <w:sz w:val="16"/>
                <w:szCs w:val="16"/>
              </w:rPr>
            </w:pPr>
          </w:p>
          <w:p w:rsidR="001346E3" w:rsidRDefault="001346E3" w:rsidP="001363EE">
            <w:pPr>
              <w:keepNext/>
              <w:keepLines/>
              <w:jc w:val="center"/>
              <w:rPr>
                <w:rFonts w:cs="Arial"/>
                <w:b/>
                <w:bCs/>
                <w:color w:val="008000"/>
                <w:sz w:val="16"/>
                <w:szCs w:val="16"/>
              </w:rPr>
            </w:pPr>
          </w:p>
          <w:p w:rsidR="001346E3" w:rsidRDefault="001346E3" w:rsidP="001363EE">
            <w:pPr>
              <w:keepNext/>
              <w:keepLines/>
              <w:jc w:val="center"/>
              <w:rPr>
                <w:rFonts w:cs="Arial"/>
                <w:b/>
                <w:bCs/>
                <w:color w:val="008000"/>
                <w:sz w:val="16"/>
                <w:szCs w:val="16"/>
              </w:rPr>
            </w:pPr>
          </w:p>
          <w:p w:rsidR="001346E3" w:rsidRDefault="001346E3" w:rsidP="001363EE">
            <w:pPr>
              <w:keepNext/>
              <w:keepLines/>
              <w:jc w:val="center"/>
              <w:rPr>
                <w:rFonts w:cs="Arial"/>
                <w:b/>
                <w:bCs/>
                <w:color w:val="008000"/>
                <w:sz w:val="16"/>
                <w:szCs w:val="16"/>
              </w:rPr>
            </w:pPr>
          </w:p>
          <w:p w:rsidR="001346E3" w:rsidRPr="00AC49FF" w:rsidRDefault="001346E3" w:rsidP="001363EE">
            <w:pPr>
              <w:keepNext/>
              <w:keepLines/>
              <w:jc w:val="center"/>
              <w:rPr>
                <w:rFonts w:cs="Arial"/>
                <w:b/>
                <w:bCs/>
                <w:color w:val="008000"/>
                <w:sz w:val="16"/>
                <w:szCs w:val="16"/>
              </w:rPr>
            </w:pPr>
            <w:r w:rsidRPr="00AC49FF">
              <w:rPr>
                <w:rFonts w:cs="Arial"/>
                <w:b/>
                <w:bCs/>
                <w:color w:val="008000"/>
                <w:sz w:val="16"/>
                <w:szCs w:val="16"/>
              </w:rPr>
              <w:t>Fully Achieved</w:t>
            </w:r>
          </w:p>
        </w:tc>
      </w:tr>
      <w:tr w:rsidR="001346E3" w:rsidRPr="001C67B1" w:rsidTr="001363EE">
        <w:trPr>
          <w:cantSplit/>
        </w:trPr>
        <w:tc>
          <w:tcPr>
            <w:tcW w:w="5000" w:type="pct"/>
            <w:gridSpan w:val="5"/>
            <w:tcBorders>
              <w:top w:val="single" w:sz="4" w:space="0" w:color="auto"/>
              <w:left w:val="single" w:sz="4" w:space="0" w:color="auto"/>
              <w:bottom w:val="single" w:sz="4" w:space="0" w:color="auto"/>
              <w:right w:val="single" w:sz="4" w:space="0" w:color="auto"/>
            </w:tcBorders>
            <w:shd w:val="clear" w:color="auto" w:fill="C6D9F1" w:themeFill="text2" w:themeFillTint="33"/>
          </w:tcPr>
          <w:p w:rsidR="001346E3" w:rsidRPr="003B27D5" w:rsidRDefault="001346E3" w:rsidP="001363EE">
            <w:pPr>
              <w:keepNext/>
              <w:keepLines/>
              <w:tabs>
                <w:tab w:val="left" w:pos="1452"/>
              </w:tabs>
              <w:spacing w:before="120" w:after="120"/>
              <w:ind w:left="1452" w:hanging="1452"/>
              <w:rPr>
                <w:rFonts w:cs="Arial"/>
                <w:bCs/>
                <w:sz w:val="16"/>
                <w:szCs w:val="16"/>
              </w:rPr>
            </w:pPr>
            <w:r w:rsidRPr="001C67B1">
              <w:rPr>
                <w:rFonts w:cs="Arial"/>
                <w:b/>
                <w:bCs/>
                <w:sz w:val="16"/>
                <w:szCs w:val="16"/>
              </w:rPr>
              <w:t>Expected Result:</w:t>
            </w:r>
            <w:r w:rsidRPr="001C67B1">
              <w:rPr>
                <w:rFonts w:cs="Arial"/>
                <w:b/>
                <w:bCs/>
                <w:sz w:val="16"/>
                <w:szCs w:val="16"/>
              </w:rPr>
              <w:tab/>
            </w:r>
            <w:r w:rsidRPr="003B27D5">
              <w:rPr>
                <w:rFonts w:cs="Arial"/>
                <w:bCs/>
                <w:sz w:val="16"/>
                <w:szCs w:val="16"/>
              </w:rPr>
              <w:t>IX.2 An agile and smooth functioning Secretariat with a well</w:t>
            </w:r>
            <w:r>
              <w:rPr>
                <w:rFonts w:cs="Arial"/>
                <w:bCs/>
                <w:sz w:val="16"/>
                <w:szCs w:val="16"/>
              </w:rPr>
              <w:t>-</w:t>
            </w:r>
            <w:r w:rsidRPr="003B27D5">
              <w:rPr>
                <w:rFonts w:cs="Arial"/>
                <w:bCs/>
                <w:sz w:val="16"/>
                <w:szCs w:val="16"/>
              </w:rPr>
              <w:t>managed and appropriately skilled workforce which is effectively delivering results</w:t>
            </w:r>
          </w:p>
        </w:tc>
      </w:tr>
      <w:tr w:rsidR="001346E3" w:rsidRPr="001C67B1" w:rsidTr="0069693E">
        <w:trPr>
          <w:cantSplit/>
        </w:trPr>
        <w:tc>
          <w:tcPr>
            <w:tcW w:w="1091" w:type="pct"/>
            <w:tcBorders>
              <w:top w:val="single" w:sz="4" w:space="0" w:color="auto"/>
              <w:left w:val="single" w:sz="4" w:space="0" w:color="auto"/>
            </w:tcBorders>
          </w:tcPr>
          <w:p w:rsidR="001346E3" w:rsidRPr="003B27D5" w:rsidRDefault="001346E3" w:rsidP="001363EE">
            <w:pPr>
              <w:rPr>
                <w:rFonts w:cs="Arial"/>
                <w:b/>
                <w:bCs/>
                <w:sz w:val="16"/>
                <w:szCs w:val="16"/>
              </w:rPr>
            </w:pPr>
            <w:r w:rsidRPr="003B27D5">
              <w:rPr>
                <w:rFonts w:cs="Arial"/>
                <w:b/>
                <w:bCs/>
                <w:sz w:val="16"/>
                <w:szCs w:val="16"/>
              </w:rPr>
              <w:t>Performance Indicators</w:t>
            </w:r>
          </w:p>
        </w:tc>
        <w:tc>
          <w:tcPr>
            <w:tcW w:w="952" w:type="pct"/>
            <w:tcBorders>
              <w:top w:val="single" w:sz="4" w:space="0" w:color="auto"/>
            </w:tcBorders>
            <w:hideMark/>
          </w:tcPr>
          <w:p w:rsidR="001346E3" w:rsidRPr="003B27D5" w:rsidRDefault="001346E3" w:rsidP="001363EE">
            <w:pPr>
              <w:rPr>
                <w:rFonts w:cs="Arial"/>
                <w:b/>
                <w:bCs/>
                <w:sz w:val="16"/>
                <w:szCs w:val="16"/>
              </w:rPr>
            </w:pPr>
            <w:r w:rsidRPr="003B27D5">
              <w:rPr>
                <w:rFonts w:cs="Arial"/>
                <w:b/>
                <w:bCs/>
                <w:sz w:val="16"/>
                <w:szCs w:val="16"/>
              </w:rPr>
              <w:t>Baselines</w:t>
            </w:r>
          </w:p>
        </w:tc>
        <w:tc>
          <w:tcPr>
            <w:tcW w:w="787" w:type="pct"/>
            <w:tcBorders>
              <w:top w:val="single" w:sz="4" w:space="0" w:color="auto"/>
            </w:tcBorders>
            <w:tcMar>
              <w:top w:w="110" w:type="dxa"/>
              <w:left w:w="108" w:type="dxa"/>
              <w:bottom w:w="0" w:type="dxa"/>
              <w:right w:w="108" w:type="dxa"/>
            </w:tcMar>
            <w:hideMark/>
          </w:tcPr>
          <w:p w:rsidR="001346E3" w:rsidRPr="003B27D5" w:rsidRDefault="001346E3" w:rsidP="001363EE">
            <w:pPr>
              <w:autoSpaceDE w:val="0"/>
              <w:autoSpaceDN w:val="0"/>
              <w:adjustRightInd w:val="0"/>
              <w:rPr>
                <w:rFonts w:cs="Arial"/>
                <w:b/>
                <w:bCs/>
                <w:sz w:val="16"/>
                <w:szCs w:val="16"/>
              </w:rPr>
            </w:pPr>
            <w:r w:rsidRPr="003B27D5">
              <w:rPr>
                <w:rFonts w:cs="Arial"/>
                <w:b/>
                <w:bCs/>
                <w:sz w:val="16"/>
                <w:szCs w:val="16"/>
              </w:rPr>
              <w:t>Targets</w:t>
            </w:r>
          </w:p>
        </w:tc>
        <w:tc>
          <w:tcPr>
            <w:tcW w:w="1564" w:type="pct"/>
            <w:tcBorders>
              <w:top w:val="single" w:sz="4" w:space="0" w:color="auto"/>
            </w:tcBorders>
            <w:shd w:val="clear" w:color="auto" w:fill="FFFFFF"/>
            <w:tcMar>
              <w:top w:w="110" w:type="dxa"/>
              <w:left w:w="108" w:type="dxa"/>
              <w:bottom w:w="0" w:type="dxa"/>
              <w:right w:w="108" w:type="dxa"/>
            </w:tcMar>
            <w:hideMark/>
          </w:tcPr>
          <w:p w:rsidR="001346E3" w:rsidRPr="003B27D5" w:rsidRDefault="001346E3" w:rsidP="001363EE">
            <w:pPr>
              <w:rPr>
                <w:rFonts w:cs="Arial"/>
                <w:b/>
                <w:bCs/>
                <w:sz w:val="16"/>
                <w:szCs w:val="16"/>
              </w:rPr>
            </w:pPr>
            <w:r w:rsidRPr="003B27D5">
              <w:rPr>
                <w:rFonts w:cs="Arial"/>
                <w:b/>
                <w:bCs/>
                <w:sz w:val="16"/>
                <w:szCs w:val="16"/>
              </w:rPr>
              <w:t>Performance Data</w:t>
            </w:r>
          </w:p>
        </w:tc>
        <w:tc>
          <w:tcPr>
            <w:tcW w:w="606" w:type="pct"/>
            <w:tcBorders>
              <w:top w:val="single" w:sz="4" w:space="0" w:color="auto"/>
              <w:right w:val="single" w:sz="4" w:space="0" w:color="auto"/>
            </w:tcBorders>
            <w:tcMar>
              <w:top w:w="110" w:type="dxa"/>
              <w:left w:w="108" w:type="dxa"/>
              <w:bottom w:w="0" w:type="dxa"/>
              <w:right w:w="108" w:type="dxa"/>
            </w:tcMar>
            <w:hideMark/>
          </w:tcPr>
          <w:p w:rsidR="001346E3" w:rsidRPr="003B27D5" w:rsidRDefault="001346E3" w:rsidP="001363EE">
            <w:pPr>
              <w:keepNext/>
              <w:keepLines/>
              <w:jc w:val="center"/>
              <w:rPr>
                <w:rFonts w:cs="Arial"/>
                <w:b/>
                <w:bCs/>
                <w:sz w:val="16"/>
                <w:szCs w:val="16"/>
              </w:rPr>
            </w:pPr>
            <w:r w:rsidRPr="003B27D5">
              <w:rPr>
                <w:rFonts w:cs="Arial"/>
                <w:b/>
                <w:bCs/>
                <w:sz w:val="16"/>
                <w:szCs w:val="16"/>
              </w:rPr>
              <w:t>TLS</w:t>
            </w:r>
          </w:p>
        </w:tc>
      </w:tr>
      <w:tr w:rsidR="001346E3" w:rsidRPr="001C67B1" w:rsidTr="0069693E">
        <w:trPr>
          <w:cantSplit/>
        </w:trPr>
        <w:tc>
          <w:tcPr>
            <w:tcW w:w="1091" w:type="pct"/>
            <w:tcBorders>
              <w:left w:val="single" w:sz="4" w:space="0" w:color="auto"/>
            </w:tcBorders>
          </w:tcPr>
          <w:p w:rsidR="001346E3" w:rsidRPr="001C67B1" w:rsidRDefault="001346E3" w:rsidP="001363EE">
            <w:pPr>
              <w:rPr>
                <w:rFonts w:cs="Arial"/>
                <w:sz w:val="16"/>
                <w:szCs w:val="16"/>
                <w:lang w:bidi="th-TH"/>
              </w:rPr>
            </w:pPr>
            <w:r w:rsidRPr="009B40F6">
              <w:rPr>
                <w:rFonts w:cs="Arial"/>
                <w:sz w:val="16"/>
                <w:szCs w:val="16"/>
                <w:lang w:bidi="th-TH"/>
              </w:rPr>
              <w:t>Satisfactory financial report from the External Auditors confirms the conformity of financial operations to the provisions of the applicable WIPO conventions and treaties, the WIPO Financial Regulations and Rules and IPSAS</w:t>
            </w:r>
          </w:p>
        </w:tc>
        <w:tc>
          <w:tcPr>
            <w:tcW w:w="952" w:type="pct"/>
          </w:tcPr>
          <w:p w:rsidR="001346E3" w:rsidRPr="001C67B1" w:rsidRDefault="001346E3" w:rsidP="001363EE">
            <w:pPr>
              <w:rPr>
                <w:rFonts w:cs="Arial"/>
                <w:i/>
                <w:color w:val="002060"/>
                <w:sz w:val="16"/>
                <w:szCs w:val="16"/>
              </w:rPr>
            </w:pPr>
            <w:r w:rsidRPr="00E6255D">
              <w:rPr>
                <w:rFonts w:cs="Arial"/>
                <w:sz w:val="16"/>
                <w:szCs w:val="16"/>
                <w:lang w:bidi="th-TH"/>
              </w:rPr>
              <w:t>Clean audit report received for 2012 and 2013 and answers provided to all audit recommendations</w:t>
            </w:r>
          </w:p>
        </w:tc>
        <w:tc>
          <w:tcPr>
            <w:tcW w:w="787" w:type="pct"/>
            <w:tcMar>
              <w:top w:w="110" w:type="dxa"/>
              <w:left w:w="108" w:type="dxa"/>
              <w:bottom w:w="0" w:type="dxa"/>
              <w:right w:w="108" w:type="dxa"/>
            </w:tcMar>
          </w:tcPr>
          <w:p w:rsidR="001346E3" w:rsidRPr="001C67B1" w:rsidRDefault="001346E3" w:rsidP="001363EE">
            <w:pPr>
              <w:autoSpaceDE w:val="0"/>
              <w:autoSpaceDN w:val="0"/>
              <w:adjustRightInd w:val="0"/>
              <w:rPr>
                <w:rFonts w:cs="Arial"/>
                <w:sz w:val="16"/>
                <w:szCs w:val="16"/>
              </w:rPr>
            </w:pPr>
            <w:r w:rsidRPr="00E6255D">
              <w:rPr>
                <w:rFonts w:cs="Arial"/>
                <w:sz w:val="16"/>
                <w:szCs w:val="16"/>
              </w:rPr>
              <w:t>Clean audit report for both years of the biennium</w:t>
            </w:r>
          </w:p>
        </w:tc>
        <w:tc>
          <w:tcPr>
            <w:tcW w:w="1564" w:type="pct"/>
            <w:shd w:val="clear" w:color="auto" w:fill="FFFFFF"/>
            <w:tcMar>
              <w:top w:w="110" w:type="dxa"/>
              <w:left w:w="108" w:type="dxa"/>
              <w:bottom w:w="0" w:type="dxa"/>
              <w:right w:w="108" w:type="dxa"/>
            </w:tcMar>
          </w:tcPr>
          <w:p w:rsidR="001346E3" w:rsidRDefault="001346E3" w:rsidP="001363EE">
            <w:pPr>
              <w:rPr>
                <w:rFonts w:cs="Arial"/>
                <w:sz w:val="16"/>
                <w:szCs w:val="16"/>
              </w:rPr>
            </w:pPr>
            <w:r>
              <w:rPr>
                <w:rFonts w:cs="Arial"/>
                <w:sz w:val="16"/>
                <w:szCs w:val="16"/>
              </w:rPr>
              <w:t xml:space="preserve">Clean audit report received for 2014. </w:t>
            </w:r>
          </w:p>
          <w:p w:rsidR="001346E3" w:rsidRDefault="001346E3" w:rsidP="001363EE">
            <w:pPr>
              <w:rPr>
                <w:rFonts w:cs="Arial"/>
                <w:sz w:val="16"/>
                <w:szCs w:val="16"/>
              </w:rPr>
            </w:pPr>
          </w:p>
          <w:p w:rsidR="001346E3" w:rsidRDefault="001346E3" w:rsidP="001363EE">
            <w:pPr>
              <w:rPr>
                <w:rFonts w:cs="Arial"/>
                <w:sz w:val="16"/>
                <w:szCs w:val="16"/>
              </w:rPr>
            </w:pPr>
            <w:r>
              <w:rPr>
                <w:rFonts w:cs="Arial"/>
                <w:sz w:val="16"/>
                <w:szCs w:val="16"/>
              </w:rPr>
              <w:t>At the time of publication, the results of the 2015 audit had yet to be released.</w:t>
            </w:r>
          </w:p>
          <w:p w:rsidR="001346E3" w:rsidRDefault="001346E3" w:rsidP="001363EE">
            <w:pPr>
              <w:rPr>
                <w:rFonts w:cs="Arial"/>
                <w:sz w:val="16"/>
                <w:szCs w:val="16"/>
              </w:rPr>
            </w:pPr>
          </w:p>
          <w:p w:rsidR="001346E3" w:rsidRDefault="001346E3" w:rsidP="001363EE">
            <w:pPr>
              <w:rPr>
                <w:rFonts w:cs="Arial"/>
                <w:sz w:val="16"/>
                <w:szCs w:val="16"/>
              </w:rPr>
            </w:pPr>
            <w:r>
              <w:rPr>
                <w:rFonts w:cs="Arial"/>
                <w:sz w:val="16"/>
                <w:szCs w:val="16"/>
              </w:rPr>
              <w:t xml:space="preserve">Answers provided to all audit recommendations received during 2014 and 2015.   </w:t>
            </w:r>
          </w:p>
          <w:p w:rsidR="001346E3" w:rsidRPr="001C67B1" w:rsidRDefault="001346E3" w:rsidP="001363EE">
            <w:pPr>
              <w:rPr>
                <w:rFonts w:cs="Arial"/>
                <w:sz w:val="16"/>
                <w:szCs w:val="16"/>
              </w:rPr>
            </w:pPr>
          </w:p>
        </w:tc>
        <w:tc>
          <w:tcPr>
            <w:tcW w:w="606" w:type="pct"/>
            <w:tcBorders>
              <w:right w:val="single" w:sz="4" w:space="0" w:color="auto"/>
            </w:tcBorders>
            <w:tcMar>
              <w:top w:w="110" w:type="dxa"/>
              <w:left w:w="108" w:type="dxa"/>
              <w:bottom w:w="0" w:type="dxa"/>
              <w:right w:w="108" w:type="dxa"/>
            </w:tcMar>
          </w:tcPr>
          <w:p w:rsidR="001346E3" w:rsidRDefault="001346E3" w:rsidP="001363EE">
            <w:pPr>
              <w:keepNext/>
              <w:keepLines/>
              <w:jc w:val="center"/>
              <w:rPr>
                <w:rFonts w:cs="Arial"/>
                <w:b/>
                <w:bCs/>
                <w:color w:val="008000"/>
                <w:sz w:val="16"/>
                <w:szCs w:val="16"/>
              </w:rPr>
            </w:pPr>
            <w:r w:rsidRPr="00AC49FF">
              <w:rPr>
                <w:rFonts w:cs="Arial"/>
                <w:b/>
                <w:bCs/>
                <w:color w:val="008000"/>
                <w:sz w:val="16"/>
                <w:szCs w:val="16"/>
              </w:rPr>
              <w:t>Fully Achieved</w:t>
            </w:r>
          </w:p>
          <w:p w:rsidR="001346E3" w:rsidRDefault="001346E3" w:rsidP="001363EE">
            <w:pPr>
              <w:keepNext/>
              <w:keepLines/>
              <w:jc w:val="center"/>
              <w:rPr>
                <w:rFonts w:cs="Arial"/>
                <w:b/>
                <w:bCs/>
                <w:color w:val="008000"/>
                <w:sz w:val="16"/>
                <w:szCs w:val="16"/>
              </w:rPr>
            </w:pPr>
          </w:p>
          <w:p w:rsidR="001346E3" w:rsidRPr="003B27D5" w:rsidRDefault="001346E3" w:rsidP="001363EE">
            <w:pPr>
              <w:keepNext/>
              <w:keepLines/>
              <w:jc w:val="center"/>
              <w:rPr>
                <w:rFonts w:cs="Arial"/>
                <w:bCs/>
                <w:color w:val="404040" w:themeColor="text1" w:themeTint="BF"/>
                <w:sz w:val="16"/>
                <w:szCs w:val="16"/>
              </w:rPr>
            </w:pPr>
            <w:r w:rsidRPr="00CA0C0E">
              <w:rPr>
                <w:rFonts w:cs="Arial"/>
                <w:b/>
                <w:bCs/>
                <w:color w:val="A6A6A6" w:themeColor="background1" w:themeShade="A6"/>
                <w:sz w:val="16"/>
                <w:szCs w:val="16"/>
              </w:rPr>
              <w:t>Not Assessable</w:t>
            </w:r>
          </w:p>
        </w:tc>
      </w:tr>
      <w:tr w:rsidR="001346E3" w:rsidRPr="001C67B1" w:rsidTr="0069693E">
        <w:trPr>
          <w:cantSplit/>
        </w:trPr>
        <w:tc>
          <w:tcPr>
            <w:tcW w:w="1091" w:type="pct"/>
            <w:tcBorders>
              <w:left w:val="single" w:sz="4" w:space="0" w:color="auto"/>
            </w:tcBorders>
          </w:tcPr>
          <w:p w:rsidR="001346E3" w:rsidRPr="001C67B1" w:rsidRDefault="001346E3" w:rsidP="001363EE">
            <w:pPr>
              <w:rPr>
                <w:rFonts w:cs="Arial"/>
                <w:sz w:val="16"/>
                <w:szCs w:val="16"/>
                <w:lang w:bidi="th-TH"/>
              </w:rPr>
            </w:pPr>
            <w:r w:rsidRPr="009B40F6">
              <w:rPr>
                <w:rFonts w:cs="Arial"/>
                <w:sz w:val="16"/>
                <w:szCs w:val="16"/>
                <w:lang w:bidi="th-TH"/>
              </w:rPr>
              <w:t>Return on invested funds in line with benchmarks established by the Investment Advisory Committee (IAC)</w:t>
            </w:r>
          </w:p>
        </w:tc>
        <w:tc>
          <w:tcPr>
            <w:tcW w:w="952" w:type="pct"/>
          </w:tcPr>
          <w:p w:rsidR="001346E3" w:rsidRDefault="001346E3" w:rsidP="001363EE">
            <w:pPr>
              <w:rPr>
                <w:rFonts w:cs="Arial"/>
                <w:sz w:val="16"/>
                <w:szCs w:val="16"/>
                <w:lang w:bidi="th-TH"/>
              </w:rPr>
            </w:pPr>
            <w:r w:rsidRPr="00E6255D">
              <w:rPr>
                <w:rFonts w:cs="Arial"/>
                <w:sz w:val="16"/>
                <w:szCs w:val="16"/>
                <w:lang w:bidi="th-TH"/>
              </w:rPr>
              <w:t>Return on invested funds in line with the benchmark established by the IAC in 2012/13</w:t>
            </w:r>
          </w:p>
          <w:p w:rsidR="001346E3" w:rsidRDefault="001346E3" w:rsidP="001363EE">
            <w:pPr>
              <w:rPr>
                <w:rFonts w:cs="Arial"/>
                <w:sz w:val="16"/>
                <w:szCs w:val="16"/>
                <w:lang w:bidi="th-TH"/>
              </w:rPr>
            </w:pPr>
          </w:p>
          <w:p w:rsidR="001346E3" w:rsidRPr="001C67B1" w:rsidRDefault="001346E3" w:rsidP="001363EE">
            <w:pPr>
              <w:rPr>
                <w:rFonts w:cs="Arial"/>
                <w:i/>
                <w:color w:val="002060"/>
                <w:sz w:val="16"/>
                <w:szCs w:val="16"/>
              </w:rPr>
            </w:pPr>
          </w:p>
        </w:tc>
        <w:tc>
          <w:tcPr>
            <w:tcW w:w="787" w:type="pct"/>
            <w:tcMar>
              <w:top w:w="110" w:type="dxa"/>
              <w:left w:w="108" w:type="dxa"/>
              <w:bottom w:w="0" w:type="dxa"/>
              <w:right w:w="108" w:type="dxa"/>
            </w:tcMar>
          </w:tcPr>
          <w:p w:rsidR="001346E3" w:rsidRDefault="001346E3" w:rsidP="001363EE">
            <w:pPr>
              <w:autoSpaceDE w:val="0"/>
              <w:autoSpaceDN w:val="0"/>
              <w:adjustRightInd w:val="0"/>
              <w:rPr>
                <w:rFonts w:cs="Arial"/>
                <w:sz w:val="16"/>
                <w:szCs w:val="16"/>
              </w:rPr>
            </w:pPr>
            <w:r w:rsidRPr="00E6255D">
              <w:rPr>
                <w:rFonts w:cs="Arial"/>
                <w:sz w:val="16"/>
                <w:szCs w:val="16"/>
              </w:rPr>
              <w:t>Return on invested funds in line with the benchmark established by IAC in 2014/15</w:t>
            </w:r>
          </w:p>
          <w:p w:rsidR="001346E3" w:rsidRPr="001C67B1" w:rsidRDefault="001346E3" w:rsidP="001363EE">
            <w:pPr>
              <w:autoSpaceDE w:val="0"/>
              <w:autoSpaceDN w:val="0"/>
              <w:adjustRightInd w:val="0"/>
              <w:rPr>
                <w:rFonts w:cs="Arial"/>
                <w:sz w:val="16"/>
                <w:szCs w:val="16"/>
              </w:rPr>
            </w:pPr>
          </w:p>
        </w:tc>
        <w:tc>
          <w:tcPr>
            <w:tcW w:w="1564" w:type="pct"/>
            <w:shd w:val="clear" w:color="auto" w:fill="FFFFFF"/>
            <w:tcMar>
              <w:top w:w="110" w:type="dxa"/>
              <w:left w:w="108" w:type="dxa"/>
              <w:bottom w:w="0" w:type="dxa"/>
              <w:right w:w="108" w:type="dxa"/>
            </w:tcMar>
          </w:tcPr>
          <w:p w:rsidR="001346E3" w:rsidRDefault="001346E3" w:rsidP="001363EE">
            <w:pPr>
              <w:rPr>
                <w:rFonts w:cs="Arial"/>
                <w:sz w:val="16"/>
                <w:szCs w:val="16"/>
              </w:rPr>
            </w:pPr>
            <w:r>
              <w:rPr>
                <w:rFonts w:cs="Arial"/>
                <w:sz w:val="16"/>
                <w:szCs w:val="16"/>
              </w:rPr>
              <w:t>This was achieved during the biennium.   Investments continued to be with Swiss authorities, in line with the benchmark established in 2014/15.</w:t>
            </w:r>
          </w:p>
          <w:p w:rsidR="001346E3" w:rsidRDefault="001346E3" w:rsidP="001363EE">
            <w:pPr>
              <w:rPr>
                <w:rFonts w:cs="Arial"/>
                <w:sz w:val="16"/>
                <w:szCs w:val="16"/>
              </w:rPr>
            </w:pPr>
          </w:p>
          <w:p w:rsidR="001346E3" w:rsidRPr="001C67B1" w:rsidRDefault="001346E3" w:rsidP="001363EE">
            <w:pPr>
              <w:rPr>
                <w:rFonts w:cs="Arial"/>
                <w:sz w:val="16"/>
                <w:szCs w:val="16"/>
              </w:rPr>
            </w:pPr>
            <w:r>
              <w:rPr>
                <w:rFonts w:cs="Arial"/>
                <w:sz w:val="16"/>
                <w:szCs w:val="16"/>
              </w:rPr>
              <w:t>New benchmarks are to be established by the IAC following the introduction of a new investment policy in autumn 2015.</w:t>
            </w:r>
          </w:p>
        </w:tc>
        <w:tc>
          <w:tcPr>
            <w:tcW w:w="606" w:type="pct"/>
            <w:tcBorders>
              <w:right w:val="single" w:sz="4" w:space="0" w:color="auto"/>
            </w:tcBorders>
            <w:tcMar>
              <w:top w:w="110" w:type="dxa"/>
              <w:left w:w="108" w:type="dxa"/>
              <w:bottom w:w="0" w:type="dxa"/>
              <w:right w:w="108" w:type="dxa"/>
            </w:tcMar>
          </w:tcPr>
          <w:p w:rsidR="001346E3" w:rsidRPr="003B27D5" w:rsidRDefault="001346E3" w:rsidP="001363EE">
            <w:pPr>
              <w:keepNext/>
              <w:keepLines/>
              <w:jc w:val="center"/>
              <w:rPr>
                <w:rFonts w:cs="Arial"/>
                <w:bCs/>
                <w:color w:val="404040" w:themeColor="text1" w:themeTint="BF"/>
                <w:sz w:val="16"/>
                <w:szCs w:val="16"/>
              </w:rPr>
            </w:pPr>
            <w:r w:rsidRPr="00AC49FF">
              <w:rPr>
                <w:rFonts w:cs="Arial"/>
                <w:b/>
                <w:bCs/>
                <w:color w:val="008000"/>
                <w:sz w:val="16"/>
                <w:szCs w:val="16"/>
              </w:rPr>
              <w:t>Fully Achieved</w:t>
            </w:r>
          </w:p>
        </w:tc>
      </w:tr>
      <w:tr w:rsidR="001346E3" w:rsidRPr="001C67B1" w:rsidTr="0069693E">
        <w:trPr>
          <w:cantSplit/>
        </w:trPr>
        <w:tc>
          <w:tcPr>
            <w:tcW w:w="1091" w:type="pct"/>
            <w:tcBorders>
              <w:left w:val="single" w:sz="4" w:space="0" w:color="auto"/>
            </w:tcBorders>
          </w:tcPr>
          <w:p w:rsidR="001346E3" w:rsidRPr="001C67B1" w:rsidRDefault="001346E3" w:rsidP="001363EE">
            <w:pPr>
              <w:rPr>
                <w:rFonts w:cs="Arial"/>
                <w:sz w:val="16"/>
                <w:szCs w:val="16"/>
                <w:lang w:bidi="th-TH"/>
              </w:rPr>
            </w:pPr>
            <w:r w:rsidRPr="009B40F6">
              <w:rPr>
                <w:rFonts w:cs="Arial"/>
                <w:sz w:val="16"/>
                <w:szCs w:val="16"/>
                <w:lang w:bidi="th-TH"/>
              </w:rPr>
              <w:t>Payments (including Madrid and Hague fees) made on time</w:t>
            </w:r>
          </w:p>
        </w:tc>
        <w:tc>
          <w:tcPr>
            <w:tcW w:w="952" w:type="pct"/>
          </w:tcPr>
          <w:p w:rsidR="001346E3" w:rsidRDefault="001346E3" w:rsidP="001363EE">
            <w:pPr>
              <w:rPr>
                <w:rFonts w:cs="Arial"/>
                <w:sz w:val="16"/>
                <w:szCs w:val="16"/>
                <w:lang w:bidi="th-TH"/>
              </w:rPr>
            </w:pPr>
            <w:r w:rsidRPr="00A7446B">
              <w:rPr>
                <w:rFonts w:cs="Arial"/>
                <w:sz w:val="16"/>
                <w:szCs w:val="16"/>
                <w:lang w:bidi="th-TH"/>
              </w:rPr>
              <w:t>90% of payments made within seven days of payment terms or receipt date (in case of late receipting) for those without other workflow issues (e.g. PO not dispatched, etc...)</w:t>
            </w:r>
          </w:p>
          <w:p w:rsidR="001346E3" w:rsidRPr="001C67B1" w:rsidRDefault="001346E3" w:rsidP="001363EE">
            <w:pPr>
              <w:rPr>
                <w:rFonts w:cs="Arial"/>
                <w:i/>
                <w:color w:val="002060"/>
                <w:sz w:val="16"/>
                <w:szCs w:val="16"/>
              </w:rPr>
            </w:pPr>
          </w:p>
        </w:tc>
        <w:tc>
          <w:tcPr>
            <w:tcW w:w="787" w:type="pct"/>
            <w:tcMar>
              <w:top w:w="110" w:type="dxa"/>
              <w:left w:w="108" w:type="dxa"/>
              <w:bottom w:w="0" w:type="dxa"/>
              <w:right w:w="108" w:type="dxa"/>
            </w:tcMar>
          </w:tcPr>
          <w:p w:rsidR="001346E3" w:rsidRPr="001C67B1" w:rsidRDefault="001346E3" w:rsidP="001363EE">
            <w:pPr>
              <w:autoSpaceDE w:val="0"/>
              <w:autoSpaceDN w:val="0"/>
              <w:adjustRightInd w:val="0"/>
              <w:rPr>
                <w:rFonts w:cs="Arial"/>
                <w:sz w:val="16"/>
                <w:szCs w:val="16"/>
              </w:rPr>
            </w:pPr>
            <w:r w:rsidRPr="00A7446B">
              <w:rPr>
                <w:rFonts w:cs="Arial"/>
                <w:sz w:val="16"/>
                <w:szCs w:val="16"/>
              </w:rPr>
              <w:t>90% of payments to be made within two three days of receipt of invoice</w:t>
            </w:r>
          </w:p>
        </w:tc>
        <w:tc>
          <w:tcPr>
            <w:tcW w:w="1564" w:type="pct"/>
            <w:shd w:val="clear" w:color="auto" w:fill="FFFFFF"/>
            <w:tcMar>
              <w:top w:w="110" w:type="dxa"/>
              <w:left w:w="108" w:type="dxa"/>
              <w:bottom w:w="0" w:type="dxa"/>
              <w:right w:w="108" w:type="dxa"/>
            </w:tcMar>
          </w:tcPr>
          <w:p w:rsidR="001346E3" w:rsidRDefault="001346E3" w:rsidP="001363EE">
            <w:pPr>
              <w:rPr>
                <w:rFonts w:cs="Arial"/>
                <w:sz w:val="16"/>
                <w:szCs w:val="16"/>
              </w:rPr>
            </w:pPr>
            <w:r>
              <w:rPr>
                <w:rFonts w:cs="Arial"/>
                <w:sz w:val="16"/>
                <w:szCs w:val="16"/>
              </w:rPr>
              <w:t>All invoices were paid in accordance with baselines except for ex-post facto invoices or where there was no requisition in the system.</w:t>
            </w:r>
          </w:p>
          <w:p w:rsidR="001346E3" w:rsidRDefault="001346E3" w:rsidP="001363EE">
            <w:pPr>
              <w:rPr>
                <w:rFonts w:cs="Arial"/>
                <w:sz w:val="16"/>
                <w:szCs w:val="16"/>
              </w:rPr>
            </w:pPr>
          </w:p>
          <w:p w:rsidR="001346E3" w:rsidRDefault="001346E3" w:rsidP="001363EE">
            <w:pPr>
              <w:rPr>
                <w:rFonts w:cs="Arial"/>
                <w:sz w:val="16"/>
                <w:szCs w:val="16"/>
              </w:rPr>
            </w:pPr>
            <w:r>
              <w:rPr>
                <w:rFonts w:cs="Arial"/>
                <w:sz w:val="16"/>
                <w:szCs w:val="16"/>
              </w:rPr>
              <w:t>Monthly distributions were paid/credited to a current account/applied against contributions in the following month as required by Regulations.</w:t>
            </w:r>
          </w:p>
          <w:p w:rsidR="001346E3" w:rsidRPr="001C67B1" w:rsidRDefault="001346E3" w:rsidP="001363EE">
            <w:pPr>
              <w:rPr>
                <w:rFonts w:cs="Arial"/>
                <w:sz w:val="16"/>
                <w:szCs w:val="16"/>
              </w:rPr>
            </w:pPr>
          </w:p>
        </w:tc>
        <w:tc>
          <w:tcPr>
            <w:tcW w:w="606" w:type="pct"/>
            <w:tcBorders>
              <w:right w:val="single" w:sz="4" w:space="0" w:color="auto"/>
            </w:tcBorders>
            <w:tcMar>
              <w:top w:w="110" w:type="dxa"/>
              <w:left w:w="108" w:type="dxa"/>
              <w:bottom w:w="0" w:type="dxa"/>
              <w:right w:w="108" w:type="dxa"/>
            </w:tcMar>
          </w:tcPr>
          <w:p w:rsidR="001346E3" w:rsidRPr="003B27D5" w:rsidRDefault="001346E3" w:rsidP="001363EE">
            <w:pPr>
              <w:keepNext/>
              <w:keepLines/>
              <w:jc w:val="center"/>
              <w:rPr>
                <w:rFonts w:cs="Arial"/>
                <w:bCs/>
                <w:color w:val="404040" w:themeColor="text1" w:themeTint="BF"/>
                <w:sz w:val="16"/>
                <w:szCs w:val="16"/>
              </w:rPr>
            </w:pPr>
            <w:r w:rsidRPr="00AC49FF">
              <w:rPr>
                <w:rFonts w:cs="Arial"/>
                <w:b/>
                <w:bCs/>
                <w:color w:val="008000"/>
                <w:sz w:val="16"/>
                <w:szCs w:val="16"/>
              </w:rPr>
              <w:t>Fully Achieved</w:t>
            </w:r>
          </w:p>
        </w:tc>
      </w:tr>
      <w:tr w:rsidR="001346E3" w:rsidRPr="001C67B1" w:rsidTr="0069693E">
        <w:trPr>
          <w:cantSplit/>
        </w:trPr>
        <w:tc>
          <w:tcPr>
            <w:tcW w:w="1091" w:type="pct"/>
            <w:tcBorders>
              <w:left w:val="single" w:sz="4" w:space="0" w:color="auto"/>
            </w:tcBorders>
          </w:tcPr>
          <w:p w:rsidR="001346E3" w:rsidRPr="001C67B1" w:rsidRDefault="001346E3" w:rsidP="001363EE">
            <w:pPr>
              <w:rPr>
                <w:rFonts w:cs="Arial"/>
                <w:sz w:val="16"/>
                <w:szCs w:val="16"/>
                <w:lang w:bidi="th-TH"/>
              </w:rPr>
            </w:pPr>
            <w:r w:rsidRPr="009B40F6">
              <w:rPr>
                <w:rFonts w:cs="Arial"/>
                <w:sz w:val="16"/>
                <w:szCs w:val="16"/>
                <w:lang w:bidi="th-TH"/>
              </w:rPr>
              <w:t xml:space="preserve">% of staff </w:t>
            </w:r>
            <w:r>
              <w:rPr>
                <w:rFonts w:cs="Arial"/>
                <w:sz w:val="16"/>
                <w:szCs w:val="16"/>
                <w:lang w:bidi="th-TH"/>
              </w:rPr>
              <w:t xml:space="preserve"> </w:t>
            </w:r>
            <w:r w:rsidRPr="009B40F6">
              <w:rPr>
                <w:rFonts w:cs="Arial"/>
                <w:sz w:val="16"/>
                <w:szCs w:val="16"/>
                <w:lang w:bidi="th-TH"/>
              </w:rPr>
              <w:t>trained expressing satisfaction with training (induction courses, ERP related training, RBM related training)</w:t>
            </w:r>
          </w:p>
        </w:tc>
        <w:tc>
          <w:tcPr>
            <w:tcW w:w="952" w:type="pct"/>
          </w:tcPr>
          <w:p w:rsidR="001346E3" w:rsidRDefault="001346E3" w:rsidP="001363EE">
            <w:pPr>
              <w:rPr>
                <w:rFonts w:cs="Arial"/>
                <w:color w:val="002060"/>
                <w:sz w:val="16"/>
                <w:szCs w:val="16"/>
              </w:rPr>
            </w:pPr>
            <w:r w:rsidRPr="001C67B1">
              <w:rPr>
                <w:rFonts w:cs="Arial"/>
                <w:i/>
                <w:color w:val="002060"/>
                <w:sz w:val="16"/>
                <w:szCs w:val="16"/>
              </w:rPr>
              <w:t>Updated Baseline end 201</w:t>
            </w:r>
            <w:r>
              <w:rPr>
                <w:rFonts w:cs="Arial"/>
                <w:i/>
                <w:color w:val="002060"/>
                <w:sz w:val="16"/>
                <w:szCs w:val="16"/>
              </w:rPr>
              <w:t>3</w:t>
            </w:r>
            <w:r w:rsidRPr="001C67B1">
              <w:rPr>
                <w:rFonts w:cs="Arial"/>
                <w:i/>
                <w:color w:val="002060"/>
                <w:sz w:val="16"/>
                <w:szCs w:val="16"/>
              </w:rPr>
              <w:t xml:space="preserve">: </w:t>
            </w:r>
          </w:p>
          <w:p w:rsidR="001346E3" w:rsidRDefault="001346E3" w:rsidP="001363EE">
            <w:pPr>
              <w:rPr>
                <w:rFonts w:cs="Arial"/>
                <w:color w:val="002060"/>
                <w:sz w:val="16"/>
                <w:szCs w:val="16"/>
              </w:rPr>
            </w:pPr>
            <w:r w:rsidRPr="00432B1E">
              <w:rPr>
                <w:rFonts w:cs="Arial"/>
                <w:color w:val="002060"/>
                <w:sz w:val="16"/>
                <w:szCs w:val="16"/>
              </w:rPr>
              <w:t>Induction courses:</w:t>
            </w:r>
            <w:r>
              <w:rPr>
                <w:rFonts w:cs="Arial"/>
                <w:color w:val="002060"/>
                <w:sz w:val="16"/>
                <w:szCs w:val="16"/>
              </w:rPr>
              <w:t xml:space="preserve"> 94%</w:t>
            </w:r>
          </w:p>
          <w:p w:rsidR="001346E3" w:rsidRDefault="001346E3" w:rsidP="001363EE">
            <w:pPr>
              <w:rPr>
                <w:rFonts w:cs="Arial"/>
                <w:color w:val="002060"/>
                <w:sz w:val="16"/>
                <w:szCs w:val="16"/>
              </w:rPr>
            </w:pPr>
            <w:r>
              <w:rPr>
                <w:rFonts w:cs="Arial"/>
                <w:color w:val="002060"/>
                <w:sz w:val="16"/>
                <w:szCs w:val="16"/>
              </w:rPr>
              <w:t>RBM/ERP related training: 96%</w:t>
            </w:r>
          </w:p>
          <w:p w:rsidR="001346E3" w:rsidRPr="001C67B1" w:rsidRDefault="001346E3" w:rsidP="001363EE">
            <w:pPr>
              <w:rPr>
                <w:rFonts w:cs="Arial"/>
                <w:i/>
                <w:color w:val="002060"/>
                <w:sz w:val="16"/>
                <w:szCs w:val="16"/>
              </w:rPr>
            </w:pPr>
            <w:r>
              <w:rPr>
                <w:rFonts w:cs="Arial"/>
                <w:color w:val="002060"/>
                <w:sz w:val="16"/>
                <w:szCs w:val="16"/>
              </w:rPr>
              <w:t xml:space="preserve"> </w:t>
            </w:r>
            <w:r w:rsidRPr="001C67B1">
              <w:rPr>
                <w:rFonts w:cs="Arial"/>
                <w:i/>
                <w:color w:val="002060"/>
                <w:sz w:val="16"/>
                <w:szCs w:val="16"/>
              </w:rPr>
              <w:t xml:space="preserve"> </w:t>
            </w:r>
          </w:p>
          <w:p w:rsidR="001346E3" w:rsidRPr="001C67B1" w:rsidRDefault="001346E3" w:rsidP="001363EE">
            <w:pPr>
              <w:rPr>
                <w:rFonts w:cs="Arial"/>
                <w:i/>
                <w:sz w:val="8"/>
                <w:szCs w:val="8"/>
              </w:rPr>
            </w:pPr>
          </w:p>
          <w:p w:rsidR="001346E3" w:rsidRPr="001C67B1" w:rsidRDefault="001346E3" w:rsidP="001363EE">
            <w:pPr>
              <w:rPr>
                <w:rFonts w:cs="Arial"/>
                <w:i/>
                <w:color w:val="002060"/>
                <w:sz w:val="16"/>
                <w:szCs w:val="16"/>
              </w:rPr>
            </w:pPr>
            <w:r>
              <w:rPr>
                <w:rFonts w:cs="Arial"/>
                <w:i/>
                <w:sz w:val="16"/>
                <w:szCs w:val="16"/>
              </w:rPr>
              <w:t>Original Baseline P&amp;B 2014</w:t>
            </w:r>
            <w:r w:rsidRPr="001C67B1">
              <w:rPr>
                <w:rFonts w:cs="Arial"/>
                <w:i/>
                <w:sz w:val="16"/>
                <w:szCs w:val="16"/>
              </w:rPr>
              <w:t>/1</w:t>
            </w:r>
            <w:r>
              <w:rPr>
                <w:rFonts w:cs="Arial"/>
                <w:i/>
                <w:sz w:val="16"/>
                <w:szCs w:val="16"/>
              </w:rPr>
              <w:t>5</w:t>
            </w:r>
            <w:r w:rsidRPr="001C67B1">
              <w:rPr>
                <w:rFonts w:cs="Arial"/>
                <w:i/>
                <w:sz w:val="16"/>
                <w:szCs w:val="16"/>
              </w:rPr>
              <w:t>:</w:t>
            </w:r>
            <w:r>
              <w:rPr>
                <w:rFonts w:cs="Arial"/>
                <w:sz w:val="16"/>
                <w:szCs w:val="16"/>
                <w:lang w:bidi="th-TH"/>
              </w:rPr>
              <w:t xml:space="preserve">  tbd</w:t>
            </w:r>
          </w:p>
        </w:tc>
        <w:tc>
          <w:tcPr>
            <w:tcW w:w="787" w:type="pct"/>
            <w:tcMar>
              <w:top w:w="110" w:type="dxa"/>
              <w:left w:w="108" w:type="dxa"/>
              <w:bottom w:w="0" w:type="dxa"/>
              <w:right w:w="108" w:type="dxa"/>
            </w:tcMar>
          </w:tcPr>
          <w:p w:rsidR="001346E3" w:rsidRPr="00123ED4" w:rsidRDefault="001346E3" w:rsidP="001363EE">
            <w:pPr>
              <w:autoSpaceDE w:val="0"/>
              <w:autoSpaceDN w:val="0"/>
              <w:adjustRightInd w:val="0"/>
              <w:rPr>
                <w:rFonts w:cs="Arial"/>
                <w:sz w:val="16"/>
                <w:szCs w:val="16"/>
              </w:rPr>
            </w:pPr>
            <w:r w:rsidRPr="00123ED4">
              <w:rPr>
                <w:rFonts w:cs="Arial"/>
                <w:sz w:val="16"/>
                <w:szCs w:val="16"/>
              </w:rPr>
              <w:t>85%</w:t>
            </w:r>
          </w:p>
        </w:tc>
        <w:tc>
          <w:tcPr>
            <w:tcW w:w="1564" w:type="pct"/>
            <w:shd w:val="clear" w:color="auto" w:fill="FFFFFF"/>
            <w:tcMar>
              <w:top w:w="110" w:type="dxa"/>
              <w:left w:w="108" w:type="dxa"/>
              <w:bottom w:w="0" w:type="dxa"/>
              <w:right w:w="108" w:type="dxa"/>
            </w:tcMar>
          </w:tcPr>
          <w:p w:rsidR="001346E3" w:rsidRPr="00123ED4" w:rsidRDefault="001346E3" w:rsidP="001346E3">
            <w:pPr>
              <w:pStyle w:val="ListParagraph"/>
              <w:numPr>
                <w:ilvl w:val="0"/>
                <w:numId w:val="45"/>
              </w:numPr>
              <w:rPr>
                <w:rFonts w:cs="Arial"/>
                <w:sz w:val="16"/>
                <w:szCs w:val="16"/>
              </w:rPr>
            </w:pPr>
            <w:r w:rsidRPr="00123ED4">
              <w:rPr>
                <w:rFonts w:cs="Arial"/>
                <w:sz w:val="16"/>
                <w:szCs w:val="16"/>
              </w:rPr>
              <w:t xml:space="preserve">Induction courses: 94% </w:t>
            </w:r>
          </w:p>
          <w:p w:rsidR="001346E3" w:rsidRPr="00123ED4" w:rsidRDefault="001346E3" w:rsidP="001346E3">
            <w:pPr>
              <w:pStyle w:val="ListParagraph"/>
              <w:numPr>
                <w:ilvl w:val="0"/>
                <w:numId w:val="45"/>
              </w:numPr>
              <w:rPr>
                <w:rFonts w:cs="Arial"/>
                <w:sz w:val="16"/>
                <w:szCs w:val="16"/>
              </w:rPr>
            </w:pPr>
            <w:r w:rsidRPr="00123ED4">
              <w:rPr>
                <w:rFonts w:cs="Arial"/>
                <w:sz w:val="16"/>
                <w:szCs w:val="16"/>
              </w:rPr>
              <w:t>RBM/ERP-related training: 94%</w:t>
            </w:r>
          </w:p>
          <w:p w:rsidR="001346E3" w:rsidRPr="00123ED4" w:rsidRDefault="001346E3" w:rsidP="001346E3">
            <w:pPr>
              <w:pStyle w:val="ListParagraph"/>
              <w:numPr>
                <w:ilvl w:val="0"/>
                <w:numId w:val="45"/>
              </w:numPr>
              <w:rPr>
                <w:rFonts w:cs="Arial"/>
                <w:sz w:val="16"/>
                <w:szCs w:val="16"/>
              </w:rPr>
            </w:pPr>
            <w:r w:rsidRPr="00123ED4">
              <w:rPr>
                <w:rFonts w:cs="Arial"/>
                <w:sz w:val="16"/>
                <w:szCs w:val="16"/>
              </w:rPr>
              <w:t xml:space="preserve">ERM related training </w:t>
            </w:r>
            <w:r>
              <w:rPr>
                <w:rFonts w:cs="Arial"/>
                <w:sz w:val="16"/>
                <w:szCs w:val="16"/>
              </w:rPr>
              <w:t>87</w:t>
            </w:r>
            <w:r w:rsidRPr="00123ED4">
              <w:rPr>
                <w:rFonts w:cs="Arial"/>
                <w:sz w:val="16"/>
                <w:szCs w:val="16"/>
              </w:rPr>
              <w:t>% (2015 only)</w:t>
            </w:r>
          </w:p>
          <w:p w:rsidR="001346E3" w:rsidRPr="00123ED4" w:rsidRDefault="001346E3" w:rsidP="001346E3">
            <w:pPr>
              <w:pStyle w:val="ListParagraph"/>
              <w:numPr>
                <w:ilvl w:val="0"/>
                <w:numId w:val="45"/>
              </w:numPr>
              <w:rPr>
                <w:rFonts w:cs="Arial"/>
                <w:sz w:val="16"/>
                <w:szCs w:val="16"/>
              </w:rPr>
            </w:pPr>
            <w:r w:rsidRPr="00123ED4">
              <w:rPr>
                <w:rFonts w:cs="Arial"/>
                <w:sz w:val="16"/>
                <w:szCs w:val="16"/>
              </w:rPr>
              <w:t>Project Management in a Results-based Environment: 97% (64%-excellent; 33% -good)</w:t>
            </w:r>
          </w:p>
        </w:tc>
        <w:tc>
          <w:tcPr>
            <w:tcW w:w="606" w:type="pct"/>
            <w:tcBorders>
              <w:right w:val="single" w:sz="4" w:space="0" w:color="auto"/>
            </w:tcBorders>
            <w:tcMar>
              <w:top w:w="110" w:type="dxa"/>
              <w:left w:w="108" w:type="dxa"/>
              <w:bottom w:w="0" w:type="dxa"/>
              <w:right w:w="108" w:type="dxa"/>
            </w:tcMar>
          </w:tcPr>
          <w:p w:rsidR="001346E3" w:rsidRPr="003B27D5" w:rsidRDefault="001346E3" w:rsidP="001363EE">
            <w:pPr>
              <w:keepNext/>
              <w:keepLines/>
              <w:jc w:val="center"/>
              <w:rPr>
                <w:rFonts w:cs="Arial"/>
                <w:bCs/>
                <w:color w:val="404040" w:themeColor="text1" w:themeTint="BF"/>
                <w:sz w:val="16"/>
                <w:szCs w:val="16"/>
              </w:rPr>
            </w:pPr>
            <w:r w:rsidRPr="00AC49FF">
              <w:rPr>
                <w:rFonts w:cs="Arial"/>
                <w:b/>
                <w:bCs/>
                <w:color w:val="008000"/>
                <w:sz w:val="16"/>
                <w:szCs w:val="16"/>
              </w:rPr>
              <w:t>Fully Achieved</w:t>
            </w:r>
          </w:p>
        </w:tc>
      </w:tr>
      <w:tr w:rsidR="001346E3" w:rsidRPr="001C67B1" w:rsidTr="0069693E">
        <w:trPr>
          <w:cantSplit/>
        </w:trPr>
        <w:tc>
          <w:tcPr>
            <w:tcW w:w="1091" w:type="pct"/>
            <w:tcBorders>
              <w:left w:val="single" w:sz="4" w:space="0" w:color="auto"/>
            </w:tcBorders>
          </w:tcPr>
          <w:p w:rsidR="001346E3" w:rsidRPr="001C67B1" w:rsidRDefault="001346E3" w:rsidP="001363EE">
            <w:pPr>
              <w:rPr>
                <w:rFonts w:cs="Arial"/>
                <w:sz w:val="16"/>
                <w:szCs w:val="16"/>
                <w:lang w:bidi="th-TH"/>
              </w:rPr>
            </w:pPr>
            <w:r w:rsidRPr="001C67B1">
              <w:rPr>
                <w:rFonts w:cs="Arial"/>
                <w:sz w:val="16"/>
                <w:szCs w:val="16"/>
                <w:lang w:bidi="th-TH"/>
              </w:rPr>
              <w:t>% of WIPO respondents who perceive that WIPO is accountable for its results</w:t>
            </w:r>
          </w:p>
        </w:tc>
        <w:tc>
          <w:tcPr>
            <w:tcW w:w="952" w:type="pct"/>
          </w:tcPr>
          <w:p w:rsidR="001346E3" w:rsidRPr="001C67B1" w:rsidRDefault="001346E3" w:rsidP="001363EE">
            <w:pPr>
              <w:rPr>
                <w:rFonts w:cs="Arial"/>
                <w:i/>
                <w:color w:val="002060"/>
                <w:sz w:val="16"/>
                <w:szCs w:val="16"/>
              </w:rPr>
            </w:pPr>
            <w:r w:rsidRPr="001C67B1">
              <w:rPr>
                <w:rFonts w:cs="Arial"/>
                <w:i/>
                <w:color w:val="002060"/>
                <w:sz w:val="16"/>
                <w:szCs w:val="16"/>
              </w:rPr>
              <w:t>Updated Baseline end 201</w:t>
            </w:r>
            <w:r>
              <w:rPr>
                <w:rFonts w:cs="Arial"/>
                <w:i/>
                <w:color w:val="002060"/>
                <w:sz w:val="16"/>
                <w:szCs w:val="16"/>
              </w:rPr>
              <w:t xml:space="preserve">3: </w:t>
            </w:r>
            <w:r w:rsidRPr="003A16A3">
              <w:rPr>
                <w:rFonts w:cs="Arial"/>
                <w:color w:val="002060"/>
                <w:sz w:val="16"/>
                <w:szCs w:val="16"/>
              </w:rPr>
              <w:t>80.7%</w:t>
            </w:r>
            <w:r w:rsidRPr="001C67B1">
              <w:rPr>
                <w:rFonts w:cs="Arial"/>
                <w:i/>
                <w:color w:val="002060"/>
                <w:sz w:val="16"/>
                <w:szCs w:val="16"/>
              </w:rPr>
              <w:t xml:space="preserve">  </w:t>
            </w:r>
          </w:p>
          <w:p w:rsidR="001346E3" w:rsidRPr="001C67B1" w:rsidRDefault="001346E3" w:rsidP="001363EE">
            <w:pPr>
              <w:rPr>
                <w:rFonts w:cs="Arial"/>
                <w:i/>
                <w:sz w:val="8"/>
                <w:szCs w:val="8"/>
              </w:rPr>
            </w:pPr>
          </w:p>
          <w:p w:rsidR="001346E3" w:rsidRPr="001C67B1" w:rsidRDefault="001346E3" w:rsidP="001363EE">
            <w:pPr>
              <w:rPr>
                <w:rFonts w:cs="Arial"/>
                <w:sz w:val="16"/>
                <w:szCs w:val="16"/>
                <w:lang w:bidi="th-TH"/>
              </w:rPr>
            </w:pPr>
            <w:r>
              <w:rPr>
                <w:rFonts w:cs="Arial"/>
                <w:i/>
                <w:sz w:val="16"/>
                <w:szCs w:val="16"/>
              </w:rPr>
              <w:t>Original Baseline P&amp;B 2014</w:t>
            </w:r>
            <w:r w:rsidRPr="001C67B1">
              <w:rPr>
                <w:rFonts w:cs="Arial"/>
                <w:i/>
                <w:sz w:val="16"/>
                <w:szCs w:val="16"/>
              </w:rPr>
              <w:t>/1</w:t>
            </w:r>
            <w:r>
              <w:rPr>
                <w:rFonts w:cs="Arial"/>
                <w:i/>
                <w:sz w:val="16"/>
                <w:szCs w:val="16"/>
              </w:rPr>
              <w:t>5</w:t>
            </w:r>
            <w:r w:rsidRPr="001C67B1">
              <w:rPr>
                <w:rFonts w:cs="Arial"/>
                <w:i/>
                <w:sz w:val="16"/>
                <w:szCs w:val="16"/>
              </w:rPr>
              <w:t>:</w:t>
            </w:r>
            <w:r>
              <w:rPr>
                <w:rFonts w:cs="Arial"/>
                <w:sz w:val="16"/>
                <w:szCs w:val="16"/>
                <w:lang w:bidi="th-TH"/>
              </w:rPr>
              <w:t xml:space="preserve"> 75% </w:t>
            </w:r>
          </w:p>
        </w:tc>
        <w:tc>
          <w:tcPr>
            <w:tcW w:w="787" w:type="pct"/>
            <w:tcMar>
              <w:top w:w="110" w:type="dxa"/>
              <w:left w:w="108" w:type="dxa"/>
              <w:bottom w:w="0" w:type="dxa"/>
              <w:right w:w="108" w:type="dxa"/>
            </w:tcMar>
          </w:tcPr>
          <w:p w:rsidR="001346E3" w:rsidRPr="001C67B1" w:rsidRDefault="001346E3" w:rsidP="001363EE">
            <w:pPr>
              <w:autoSpaceDE w:val="0"/>
              <w:autoSpaceDN w:val="0"/>
              <w:adjustRightInd w:val="0"/>
              <w:rPr>
                <w:rFonts w:cs="Arial"/>
                <w:sz w:val="16"/>
                <w:szCs w:val="16"/>
              </w:rPr>
            </w:pPr>
            <w:r>
              <w:rPr>
                <w:rFonts w:cs="Arial"/>
                <w:sz w:val="16"/>
                <w:szCs w:val="16"/>
              </w:rPr>
              <w:t>80%</w:t>
            </w:r>
          </w:p>
        </w:tc>
        <w:tc>
          <w:tcPr>
            <w:tcW w:w="1564" w:type="pct"/>
            <w:shd w:val="clear" w:color="auto" w:fill="FFFFFF"/>
            <w:tcMar>
              <w:top w:w="110" w:type="dxa"/>
              <w:left w:w="108" w:type="dxa"/>
              <w:bottom w:w="0" w:type="dxa"/>
              <w:right w:w="108" w:type="dxa"/>
            </w:tcMar>
          </w:tcPr>
          <w:p w:rsidR="001346E3" w:rsidRPr="00746EA1" w:rsidRDefault="000474D7" w:rsidP="001363EE">
            <w:pPr>
              <w:rPr>
                <w:rFonts w:cs="Arial"/>
                <w:color w:val="FF0000"/>
                <w:sz w:val="16"/>
                <w:szCs w:val="16"/>
              </w:rPr>
            </w:pPr>
            <w:r w:rsidRPr="00DC6C10">
              <w:rPr>
                <w:rFonts w:cs="Arial"/>
                <w:sz w:val="16"/>
                <w:szCs w:val="16"/>
              </w:rPr>
              <w:t>94% (30% strongly agree; 64% agree) of respondents</w:t>
            </w:r>
            <w:r>
              <w:rPr>
                <w:rStyle w:val="FootnoteReference"/>
                <w:rFonts w:cs="Arial"/>
                <w:sz w:val="16"/>
                <w:szCs w:val="16"/>
              </w:rPr>
              <w:footnoteReference w:id="124"/>
            </w:r>
            <w:r w:rsidRPr="00DC6C10">
              <w:rPr>
                <w:rFonts w:cs="Arial"/>
                <w:sz w:val="16"/>
                <w:szCs w:val="16"/>
              </w:rPr>
              <w:t xml:space="preserve"> indicated</w:t>
            </w:r>
            <w:r w:rsidRPr="00646A5E">
              <w:rPr>
                <w:rFonts w:cs="Arial"/>
                <w:sz w:val="16"/>
                <w:szCs w:val="16"/>
              </w:rPr>
              <w:t xml:space="preserve"> that performance data are used for </w:t>
            </w:r>
            <w:r w:rsidRPr="00DC6C10">
              <w:rPr>
                <w:rFonts w:cs="Arial"/>
                <w:sz w:val="16"/>
                <w:szCs w:val="16"/>
              </w:rPr>
              <w:t xml:space="preserve">accountability to Member States. </w:t>
            </w:r>
            <w:r>
              <w:rPr>
                <w:rFonts w:cs="Arial"/>
                <w:i/>
                <w:sz w:val="16"/>
                <w:szCs w:val="16"/>
              </w:rPr>
              <w:t>(</w:t>
            </w:r>
            <w:r w:rsidRPr="00DC6C10">
              <w:rPr>
                <w:rFonts w:cs="Arial"/>
                <w:i/>
                <w:sz w:val="16"/>
                <w:szCs w:val="16"/>
              </w:rPr>
              <w:t>as per the 2014/15 PPR Validation Report)</w:t>
            </w:r>
            <w:r w:rsidRPr="00DC6C10" w:rsidDel="00E972E2">
              <w:rPr>
                <w:rFonts w:cs="Arial"/>
                <w:sz w:val="16"/>
                <w:szCs w:val="16"/>
              </w:rPr>
              <w:t xml:space="preserve"> </w:t>
            </w:r>
          </w:p>
        </w:tc>
        <w:tc>
          <w:tcPr>
            <w:tcW w:w="606" w:type="pct"/>
            <w:tcBorders>
              <w:right w:val="single" w:sz="4" w:space="0" w:color="auto"/>
            </w:tcBorders>
            <w:tcMar>
              <w:top w:w="110" w:type="dxa"/>
              <w:left w:w="108" w:type="dxa"/>
              <w:bottom w:w="0" w:type="dxa"/>
              <w:right w:w="108" w:type="dxa"/>
            </w:tcMar>
          </w:tcPr>
          <w:p w:rsidR="001346E3" w:rsidRPr="00A43A93" w:rsidRDefault="000474D7" w:rsidP="001363EE">
            <w:pPr>
              <w:keepNext/>
              <w:keepLines/>
              <w:jc w:val="center"/>
              <w:rPr>
                <w:rFonts w:cs="Arial"/>
                <w:b/>
                <w:bCs/>
                <w:color w:val="404040" w:themeColor="text1" w:themeTint="BF"/>
                <w:sz w:val="16"/>
                <w:szCs w:val="16"/>
              </w:rPr>
            </w:pPr>
            <w:r w:rsidRPr="00AC49FF">
              <w:rPr>
                <w:rFonts w:cs="Arial"/>
                <w:b/>
                <w:bCs/>
                <w:color w:val="008000"/>
                <w:sz w:val="16"/>
                <w:szCs w:val="16"/>
              </w:rPr>
              <w:t>Fully Achieved</w:t>
            </w:r>
          </w:p>
        </w:tc>
      </w:tr>
      <w:tr w:rsidR="001346E3" w:rsidRPr="001C67B1" w:rsidTr="0069693E">
        <w:trPr>
          <w:cantSplit/>
        </w:trPr>
        <w:tc>
          <w:tcPr>
            <w:tcW w:w="1091" w:type="pct"/>
            <w:tcBorders>
              <w:left w:val="single" w:sz="4" w:space="0" w:color="auto"/>
            </w:tcBorders>
          </w:tcPr>
          <w:p w:rsidR="001346E3" w:rsidRDefault="001346E3" w:rsidP="001363EE">
            <w:pPr>
              <w:rPr>
                <w:rFonts w:cs="Arial"/>
                <w:sz w:val="16"/>
                <w:szCs w:val="16"/>
                <w:lang w:bidi="th-TH"/>
              </w:rPr>
            </w:pPr>
            <w:r w:rsidRPr="001C67B1">
              <w:rPr>
                <w:rFonts w:cs="Arial"/>
                <w:sz w:val="16"/>
                <w:szCs w:val="16"/>
                <w:lang w:bidi="th-TH"/>
              </w:rPr>
              <w:t>% of WIPO Programs using performance data for managing Program performance</w:t>
            </w:r>
          </w:p>
          <w:p w:rsidR="001346E3" w:rsidRPr="001C67B1" w:rsidRDefault="001346E3" w:rsidP="001363EE">
            <w:pPr>
              <w:rPr>
                <w:rFonts w:cs="Arial"/>
                <w:sz w:val="16"/>
                <w:szCs w:val="16"/>
                <w:lang w:bidi="th-TH"/>
              </w:rPr>
            </w:pPr>
          </w:p>
        </w:tc>
        <w:tc>
          <w:tcPr>
            <w:tcW w:w="952" w:type="pct"/>
            <w:hideMark/>
          </w:tcPr>
          <w:p w:rsidR="000474D7" w:rsidRDefault="001346E3" w:rsidP="000474D7">
            <w:pPr>
              <w:rPr>
                <w:rFonts w:cs="Arial"/>
                <w:i/>
                <w:color w:val="002060"/>
                <w:sz w:val="16"/>
                <w:szCs w:val="16"/>
              </w:rPr>
            </w:pPr>
            <w:r w:rsidRPr="001C67B1">
              <w:rPr>
                <w:rFonts w:cs="Arial"/>
                <w:i/>
                <w:color w:val="002060"/>
                <w:sz w:val="16"/>
                <w:szCs w:val="16"/>
              </w:rPr>
              <w:t>Updated Baseline end 201</w:t>
            </w:r>
            <w:r>
              <w:rPr>
                <w:rFonts w:cs="Arial"/>
                <w:i/>
                <w:color w:val="002060"/>
                <w:sz w:val="16"/>
                <w:szCs w:val="16"/>
              </w:rPr>
              <w:t>3</w:t>
            </w:r>
            <w:r w:rsidRPr="001C67B1">
              <w:rPr>
                <w:rFonts w:cs="Arial"/>
                <w:i/>
                <w:color w:val="002060"/>
                <w:sz w:val="16"/>
                <w:szCs w:val="16"/>
              </w:rPr>
              <w:t xml:space="preserve">: </w:t>
            </w:r>
            <w:r w:rsidR="000474D7" w:rsidRPr="00E972E2">
              <w:rPr>
                <w:rFonts w:cs="Arial"/>
                <w:i/>
                <w:color w:val="002060"/>
                <w:sz w:val="16"/>
                <w:szCs w:val="16"/>
              </w:rPr>
              <w:t xml:space="preserve">79% (as per 2012/13 PPR Validation Report) </w:t>
            </w:r>
          </w:p>
          <w:p w:rsidR="000474D7" w:rsidRDefault="000474D7" w:rsidP="000474D7">
            <w:pPr>
              <w:rPr>
                <w:rFonts w:cs="Arial"/>
                <w:i/>
                <w:color w:val="002060"/>
                <w:sz w:val="16"/>
                <w:szCs w:val="16"/>
              </w:rPr>
            </w:pPr>
          </w:p>
          <w:p w:rsidR="001346E3" w:rsidRPr="001C67B1" w:rsidRDefault="001346E3" w:rsidP="001363EE">
            <w:pPr>
              <w:rPr>
                <w:rFonts w:cs="Arial"/>
                <w:i/>
                <w:color w:val="002060"/>
                <w:sz w:val="16"/>
                <w:szCs w:val="16"/>
              </w:rPr>
            </w:pPr>
            <w:r w:rsidRPr="00432B1E">
              <w:rPr>
                <w:rFonts w:cs="Arial"/>
                <w:color w:val="002060"/>
                <w:sz w:val="16"/>
                <w:szCs w:val="16"/>
              </w:rPr>
              <w:t>55%</w:t>
            </w:r>
            <w:r w:rsidRPr="00432B1E">
              <w:rPr>
                <w:rStyle w:val="FootnoteReference"/>
                <w:rFonts w:cs="Arial"/>
                <w:color w:val="002060"/>
                <w:sz w:val="16"/>
                <w:szCs w:val="16"/>
              </w:rPr>
              <w:footnoteReference w:id="125"/>
            </w:r>
            <w:r w:rsidRPr="00432B1E">
              <w:rPr>
                <w:rFonts w:cs="Arial"/>
                <w:color w:val="002060"/>
                <w:sz w:val="16"/>
                <w:szCs w:val="16"/>
              </w:rPr>
              <w:t xml:space="preserve"> (as per 2010/11 PPR Validation Report)</w:t>
            </w:r>
          </w:p>
          <w:p w:rsidR="001346E3" w:rsidRPr="001C67B1" w:rsidRDefault="001346E3" w:rsidP="001363EE">
            <w:pPr>
              <w:rPr>
                <w:rFonts w:cs="Arial"/>
                <w:i/>
                <w:sz w:val="8"/>
                <w:szCs w:val="8"/>
              </w:rPr>
            </w:pPr>
          </w:p>
          <w:p w:rsidR="001346E3" w:rsidRPr="001C67B1" w:rsidRDefault="001346E3" w:rsidP="001363EE">
            <w:pPr>
              <w:rPr>
                <w:rFonts w:cs="Arial"/>
                <w:sz w:val="16"/>
                <w:szCs w:val="16"/>
                <w:lang w:bidi="th-TH"/>
              </w:rPr>
            </w:pPr>
            <w:r>
              <w:rPr>
                <w:rFonts w:cs="Arial"/>
                <w:i/>
                <w:sz w:val="16"/>
                <w:szCs w:val="16"/>
              </w:rPr>
              <w:t>Original Baseline P&amp;B 2014</w:t>
            </w:r>
            <w:r w:rsidRPr="001C67B1">
              <w:rPr>
                <w:rFonts w:cs="Arial"/>
                <w:i/>
                <w:sz w:val="16"/>
                <w:szCs w:val="16"/>
              </w:rPr>
              <w:t>/1</w:t>
            </w:r>
            <w:r>
              <w:rPr>
                <w:rFonts w:cs="Arial"/>
                <w:i/>
                <w:sz w:val="16"/>
                <w:szCs w:val="16"/>
              </w:rPr>
              <w:t>5</w:t>
            </w:r>
            <w:r w:rsidRPr="001C67B1">
              <w:rPr>
                <w:rFonts w:cs="Arial"/>
                <w:i/>
                <w:sz w:val="16"/>
                <w:szCs w:val="16"/>
              </w:rPr>
              <w:t>:</w:t>
            </w:r>
            <w:r>
              <w:rPr>
                <w:rFonts w:cs="Arial"/>
                <w:sz w:val="16"/>
                <w:szCs w:val="16"/>
                <w:lang w:bidi="th-TH"/>
              </w:rPr>
              <w:t xml:space="preserve">  50</w:t>
            </w:r>
          </w:p>
        </w:tc>
        <w:tc>
          <w:tcPr>
            <w:tcW w:w="787" w:type="pct"/>
            <w:tcMar>
              <w:top w:w="110" w:type="dxa"/>
              <w:left w:w="108" w:type="dxa"/>
              <w:bottom w:w="0" w:type="dxa"/>
              <w:right w:w="108" w:type="dxa"/>
            </w:tcMar>
            <w:hideMark/>
          </w:tcPr>
          <w:p w:rsidR="001346E3" w:rsidRPr="001C67B1" w:rsidRDefault="001346E3" w:rsidP="001363EE">
            <w:pPr>
              <w:autoSpaceDE w:val="0"/>
              <w:autoSpaceDN w:val="0"/>
              <w:adjustRightInd w:val="0"/>
              <w:rPr>
                <w:rFonts w:cs="Arial"/>
                <w:sz w:val="16"/>
                <w:szCs w:val="16"/>
              </w:rPr>
            </w:pPr>
            <w:r>
              <w:rPr>
                <w:rFonts w:cs="Arial"/>
                <w:sz w:val="16"/>
                <w:szCs w:val="16"/>
              </w:rPr>
              <w:t>7</w:t>
            </w:r>
            <w:r w:rsidRPr="001C67B1">
              <w:rPr>
                <w:rFonts w:cs="Arial"/>
                <w:sz w:val="16"/>
                <w:szCs w:val="16"/>
              </w:rPr>
              <w:t>0</w:t>
            </w:r>
          </w:p>
        </w:tc>
        <w:tc>
          <w:tcPr>
            <w:tcW w:w="1564" w:type="pct"/>
            <w:shd w:val="clear" w:color="auto" w:fill="FFFFFF"/>
            <w:tcMar>
              <w:top w:w="110" w:type="dxa"/>
              <w:left w:w="108" w:type="dxa"/>
              <w:bottom w:w="0" w:type="dxa"/>
              <w:right w:w="108" w:type="dxa"/>
            </w:tcMar>
          </w:tcPr>
          <w:p w:rsidR="000474D7" w:rsidRPr="00646A5E" w:rsidRDefault="000474D7" w:rsidP="00E37059">
            <w:pPr>
              <w:pStyle w:val="ListParagraph"/>
              <w:numPr>
                <w:ilvl w:val="0"/>
                <w:numId w:val="81"/>
              </w:numPr>
              <w:spacing w:after="60"/>
              <w:ind w:left="357" w:hanging="357"/>
              <w:rPr>
                <w:rFonts w:cs="Arial"/>
                <w:sz w:val="16"/>
                <w:szCs w:val="16"/>
              </w:rPr>
            </w:pPr>
            <w:r w:rsidRPr="00DC6C10">
              <w:rPr>
                <w:rFonts w:cs="Arial"/>
                <w:sz w:val="16"/>
                <w:szCs w:val="16"/>
              </w:rPr>
              <w:t>94% (30% strongly agree; 64% agree) of respondents</w:t>
            </w:r>
            <w:r>
              <w:rPr>
                <w:rStyle w:val="FootnoteReference"/>
                <w:rFonts w:cs="Arial"/>
                <w:sz w:val="16"/>
                <w:szCs w:val="16"/>
              </w:rPr>
              <w:footnoteReference w:id="126"/>
            </w:r>
            <w:r w:rsidRPr="00DC6C10">
              <w:rPr>
                <w:rFonts w:cs="Arial"/>
                <w:sz w:val="16"/>
                <w:szCs w:val="16"/>
              </w:rPr>
              <w:t xml:space="preserve"> </w:t>
            </w:r>
            <w:r w:rsidRPr="00646A5E">
              <w:rPr>
                <w:rFonts w:cs="Arial"/>
                <w:sz w:val="16"/>
                <w:szCs w:val="16"/>
              </w:rPr>
              <w:t>indicated that performance data are used to regularly monitor the implementation of Program Activities</w:t>
            </w:r>
          </w:p>
          <w:p w:rsidR="000474D7" w:rsidRPr="00DC6C10" w:rsidRDefault="000474D7" w:rsidP="000474D7">
            <w:pPr>
              <w:pStyle w:val="ListParagraph"/>
              <w:numPr>
                <w:ilvl w:val="0"/>
                <w:numId w:val="81"/>
              </w:numPr>
              <w:ind w:left="360"/>
              <w:rPr>
                <w:rFonts w:cs="Arial"/>
                <w:sz w:val="16"/>
                <w:szCs w:val="16"/>
              </w:rPr>
            </w:pPr>
            <w:r w:rsidRPr="00646A5E">
              <w:rPr>
                <w:rFonts w:cs="Arial"/>
                <w:sz w:val="16"/>
                <w:szCs w:val="16"/>
              </w:rPr>
              <w:t>85% (27% strongly agree; 58% agree)</w:t>
            </w:r>
            <w:r>
              <w:rPr>
                <w:rFonts w:cs="Arial"/>
                <w:sz w:val="16"/>
                <w:szCs w:val="16"/>
              </w:rPr>
              <w:t xml:space="preserve"> </w:t>
            </w:r>
            <w:r w:rsidRPr="00DC6C10">
              <w:rPr>
                <w:rFonts w:cs="Arial"/>
                <w:sz w:val="16"/>
                <w:szCs w:val="16"/>
              </w:rPr>
              <w:t>of respondents</w:t>
            </w:r>
            <w:r>
              <w:rPr>
                <w:rStyle w:val="FootnoteReference"/>
                <w:rFonts w:cs="Arial"/>
                <w:sz w:val="16"/>
                <w:szCs w:val="16"/>
              </w:rPr>
              <w:footnoteReference w:id="127"/>
            </w:r>
            <w:r w:rsidRPr="00DC6C10">
              <w:rPr>
                <w:rFonts w:cs="Arial"/>
                <w:sz w:val="16"/>
                <w:szCs w:val="16"/>
              </w:rPr>
              <w:t xml:space="preserve"> </w:t>
            </w:r>
            <w:r w:rsidRPr="00646A5E">
              <w:rPr>
                <w:rFonts w:cs="Arial"/>
                <w:sz w:val="16"/>
                <w:szCs w:val="16"/>
              </w:rPr>
              <w:t xml:space="preserve">indicated that performance data are used for </w:t>
            </w:r>
            <w:r w:rsidRPr="00DC6C10">
              <w:rPr>
                <w:rFonts w:cs="Arial"/>
                <w:sz w:val="16"/>
                <w:szCs w:val="16"/>
              </w:rPr>
              <w:t>decision-making purposes</w:t>
            </w:r>
          </w:p>
          <w:p w:rsidR="001346E3" w:rsidRPr="00746EA1" w:rsidRDefault="000474D7" w:rsidP="000474D7">
            <w:pPr>
              <w:rPr>
                <w:rFonts w:cs="Arial"/>
                <w:color w:val="FF0000"/>
                <w:sz w:val="16"/>
                <w:szCs w:val="16"/>
              </w:rPr>
            </w:pPr>
            <w:r w:rsidRPr="00DC6C10">
              <w:rPr>
                <w:rFonts w:cs="Arial"/>
                <w:i/>
                <w:sz w:val="16"/>
                <w:szCs w:val="16"/>
              </w:rPr>
              <w:t>(Data are as per the 2014/15 PPR Validation Report)</w:t>
            </w:r>
          </w:p>
        </w:tc>
        <w:tc>
          <w:tcPr>
            <w:tcW w:w="606" w:type="pct"/>
            <w:tcBorders>
              <w:right w:val="single" w:sz="4" w:space="0" w:color="auto"/>
            </w:tcBorders>
            <w:tcMar>
              <w:top w:w="110" w:type="dxa"/>
              <w:left w:w="108" w:type="dxa"/>
              <w:bottom w:w="0" w:type="dxa"/>
              <w:right w:w="108" w:type="dxa"/>
            </w:tcMar>
          </w:tcPr>
          <w:p w:rsidR="001346E3" w:rsidRPr="003B27D5" w:rsidRDefault="000474D7" w:rsidP="001363EE">
            <w:pPr>
              <w:keepNext/>
              <w:keepLines/>
              <w:jc w:val="center"/>
              <w:rPr>
                <w:rFonts w:cs="Arial"/>
                <w:bCs/>
                <w:color w:val="404040" w:themeColor="text1" w:themeTint="BF"/>
                <w:sz w:val="16"/>
                <w:szCs w:val="16"/>
              </w:rPr>
            </w:pPr>
            <w:r w:rsidRPr="00AC49FF">
              <w:rPr>
                <w:rFonts w:cs="Arial"/>
                <w:b/>
                <w:bCs/>
                <w:color w:val="008000"/>
                <w:sz w:val="16"/>
                <w:szCs w:val="16"/>
              </w:rPr>
              <w:t>Fully Achieved</w:t>
            </w:r>
          </w:p>
        </w:tc>
      </w:tr>
      <w:tr w:rsidR="001346E3" w:rsidRPr="003B27D5" w:rsidTr="001363EE">
        <w:tc>
          <w:tcPr>
            <w:tcW w:w="5000" w:type="pct"/>
            <w:gridSpan w:val="5"/>
            <w:tcBorders>
              <w:top w:val="single" w:sz="4" w:space="0" w:color="auto"/>
              <w:left w:val="single" w:sz="4" w:space="0" w:color="auto"/>
              <w:bottom w:val="single" w:sz="4" w:space="0" w:color="auto"/>
              <w:right w:val="single" w:sz="4" w:space="0" w:color="auto"/>
            </w:tcBorders>
            <w:shd w:val="clear" w:color="auto" w:fill="C6D9F1" w:themeFill="text2" w:themeFillTint="33"/>
          </w:tcPr>
          <w:p w:rsidR="001346E3" w:rsidRPr="003B27D5" w:rsidRDefault="001346E3" w:rsidP="001363EE">
            <w:pPr>
              <w:tabs>
                <w:tab w:val="left" w:pos="1452"/>
              </w:tabs>
              <w:spacing w:before="120" w:after="120"/>
              <w:ind w:left="1452" w:hanging="1452"/>
              <w:rPr>
                <w:rFonts w:cs="Arial"/>
                <w:b/>
                <w:bCs/>
                <w:sz w:val="16"/>
                <w:szCs w:val="16"/>
              </w:rPr>
            </w:pPr>
            <w:r w:rsidRPr="001C67B1">
              <w:rPr>
                <w:rFonts w:cs="Arial"/>
                <w:b/>
                <w:bCs/>
                <w:sz w:val="16"/>
                <w:szCs w:val="16"/>
              </w:rPr>
              <w:t>Expected Result:</w:t>
            </w:r>
            <w:r w:rsidRPr="001C67B1">
              <w:rPr>
                <w:rFonts w:cs="Arial"/>
                <w:b/>
                <w:bCs/>
                <w:sz w:val="16"/>
                <w:szCs w:val="16"/>
              </w:rPr>
              <w:tab/>
            </w:r>
            <w:r w:rsidRPr="009B40F6">
              <w:rPr>
                <w:rFonts w:cs="Arial"/>
                <w:bCs/>
                <w:sz w:val="16"/>
                <w:szCs w:val="16"/>
              </w:rPr>
              <w:t>IX.3 An enabling working environment supported by an effective regulatory framework and appropriate channels to address staff concerns</w:t>
            </w:r>
          </w:p>
        </w:tc>
      </w:tr>
      <w:tr w:rsidR="001346E3" w:rsidRPr="003B27D5" w:rsidTr="0069693E">
        <w:tc>
          <w:tcPr>
            <w:tcW w:w="1091" w:type="pct"/>
            <w:tcBorders>
              <w:top w:val="single" w:sz="4" w:space="0" w:color="auto"/>
              <w:left w:val="single" w:sz="4" w:space="0" w:color="auto"/>
            </w:tcBorders>
          </w:tcPr>
          <w:p w:rsidR="001346E3" w:rsidRPr="001C67B1" w:rsidRDefault="001346E3" w:rsidP="001363EE">
            <w:pPr>
              <w:rPr>
                <w:rFonts w:cs="Arial"/>
                <w:sz w:val="16"/>
                <w:szCs w:val="16"/>
                <w:lang w:bidi="th-TH"/>
              </w:rPr>
            </w:pPr>
            <w:r w:rsidRPr="003B27D5">
              <w:rPr>
                <w:rFonts w:cs="Arial"/>
                <w:b/>
                <w:bCs/>
                <w:sz w:val="16"/>
                <w:szCs w:val="16"/>
              </w:rPr>
              <w:t>Performance Indicators</w:t>
            </w:r>
          </w:p>
        </w:tc>
        <w:tc>
          <w:tcPr>
            <w:tcW w:w="952" w:type="pct"/>
            <w:tcBorders>
              <w:top w:val="single" w:sz="4" w:space="0" w:color="auto"/>
            </w:tcBorders>
            <w:hideMark/>
          </w:tcPr>
          <w:p w:rsidR="001346E3" w:rsidRPr="001C67B1" w:rsidRDefault="001346E3" w:rsidP="001363EE">
            <w:pPr>
              <w:rPr>
                <w:rFonts w:cs="Arial"/>
                <w:sz w:val="16"/>
                <w:szCs w:val="16"/>
                <w:lang w:bidi="th-TH"/>
              </w:rPr>
            </w:pPr>
            <w:r w:rsidRPr="003B27D5">
              <w:rPr>
                <w:rFonts w:cs="Arial"/>
                <w:b/>
                <w:bCs/>
                <w:sz w:val="16"/>
                <w:szCs w:val="16"/>
              </w:rPr>
              <w:t>Baselines</w:t>
            </w:r>
          </w:p>
        </w:tc>
        <w:tc>
          <w:tcPr>
            <w:tcW w:w="787" w:type="pct"/>
            <w:tcBorders>
              <w:top w:val="single" w:sz="4" w:space="0" w:color="auto"/>
            </w:tcBorders>
            <w:tcMar>
              <w:top w:w="110" w:type="dxa"/>
              <w:left w:w="108" w:type="dxa"/>
              <w:bottom w:w="0" w:type="dxa"/>
              <w:right w:w="108" w:type="dxa"/>
            </w:tcMar>
            <w:hideMark/>
          </w:tcPr>
          <w:p w:rsidR="001346E3" w:rsidRPr="001C67B1" w:rsidRDefault="001346E3" w:rsidP="001363EE">
            <w:pPr>
              <w:autoSpaceDE w:val="0"/>
              <w:autoSpaceDN w:val="0"/>
              <w:adjustRightInd w:val="0"/>
              <w:rPr>
                <w:rFonts w:cs="Arial"/>
                <w:sz w:val="16"/>
                <w:szCs w:val="16"/>
              </w:rPr>
            </w:pPr>
            <w:r w:rsidRPr="003B27D5">
              <w:rPr>
                <w:rFonts w:cs="Arial"/>
                <w:b/>
                <w:bCs/>
                <w:sz w:val="16"/>
                <w:szCs w:val="16"/>
              </w:rPr>
              <w:t>Targets</w:t>
            </w:r>
          </w:p>
        </w:tc>
        <w:tc>
          <w:tcPr>
            <w:tcW w:w="1564" w:type="pct"/>
            <w:tcBorders>
              <w:top w:val="single" w:sz="4" w:space="0" w:color="auto"/>
            </w:tcBorders>
            <w:shd w:val="clear" w:color="auto" w:fill="FFFFFF"/>
            <w:tcMar>
              <w:top w:w="110" w:type="dxa"/>
              <w:left w:w="108" w:type="dxa"/>
              <w:bottom w:w="0" w:type="dxa"/>
              <w:right w:w="108" w:type="dxa"/>
            </w:tcMar>
            <w:hideMark/>
          </w:tcPr>
          <w:p w:rsidR="001346E3" w:rsidRPr="001C67B1" w:rsidRDefault="001346E3" w:rsidP="001363EE">
            <w:pPr>
              <w:rPr>
                <w:rFonts w:cs="Arial"/>
                <w:sz w:val="16"/>
                <w:szCs w:val="16"/>
              </w:rPr>
            </w:pPr>
            <w:r w:rsidRPr="003B27D5">
              <w:rPr>
                <w:rFonts w:cs="Arial"/>
                <w:b/>
                <w:bCs/>
                <w:sz w:val="16"/>
                <w:szCs w:val="16"/>
              </w:rPr>
              <w:t>Performance Data</w:t>
            </w:r>
          </w:p>
        </w:tc>
        <w:tc>
          <w:tcPr>
            <w:tcW w:w="606" w:type="pct"/>
            <w:tcBorders>
              <w:top w:val="single" w:sz="4" w:space="0" w:color="auto"/>
              <w:right w:val="single" w:sz="4" w:space="0" w:color="auto"/>
            </w:tcBorders>
            <w:tcMar>
              <w:top w:w="110" w:type="dxa"/>
              <w:left w:w="108" w:type="dxa"/>
              <w:bottom w:w="0" w:type="dxa"/>
              <w:right w:w="108" w:type="dxa"/>
            </w:tcMar>
            <w:hideMark/>
          </w:tcPr>
          <w:p w:rsidR="001346E3" w:rsidRPr="003B27D5" w:rsidRDefault="001346E3" w:rsidP="001363EE">
            <w:pPr>
              <w:jc w:val="center"/>
              <w:rPr>
                <w:rFonts w:cs="Arial"/>
                <w:bCs/>
                <w:color w:val="404040" w:themeColor="text1" w:themeTint="BF"/>
                <w:sz w:val="16"/>
                <w:szCs w:val="16"/>
              </w:rPr>
            </w:pPr>
            <w:r w:rsidRPr="003B27D5">
              <w:rPr>
                <w:rFonts w:cs="Arial"/>
                <w:b/>
                <w:bCs/>
                <w:sz w:val="16"/>
                <w:szCs w:val="16"/>
              </w:rPr>
              <w:t>TLS</w:t>
            </w:r>
          </w:p>
        </w:tc>
      </w:tr>
      <w:tr w:rsidR="001346E3" w:rsidRPr="003B27D5" w:rsidTr="0069693E">
        <w:tc>
          <w:tcPr>
            <w:tcW w:w="1091" w:type="pct"/>
            <w:tcBorders>
              <w:left w:val="single" w:sz="4" w:space="0" w:color="auto"/>
            </w:tcBorders>
          </w:tcPr>
          <w:p w:rsidR="001346E3" w:rsidRDefault="001346E3" w:rsidP="001363EE">
            <w:pPr>
              <w:rPr>
                <w:rFonts w:cs="Arial"/>
                <w:sz w:val="16"/>
                <w:szCs w:val="16"/>
                <w:lang w:bidi="th-TH"/>
              </w:rPr>
            </w:pPr>
            <w:r w:rsidRPr="003B27D5">
              <w:rPr>
                <w:rFonts w:cs="Arial"/>
                <w:sz w:val="16"/>
                <w:szCs w:val="16"/>
                <w:lang w:bidi="th-TH"/>
              </w:rPr>
              <w:t>Financial Regulations and Rules</w:t>
            </w:r>
            <w:r>
              <w:rPr>
                <w:rFonts w:cs="Arial"/>
                <w:sz w:val="16"/>
                <w:szCs w:val="16"/>
                <w:lang w:bidi="th-TH"/>
              </w:rPr>
              <w:t xml:space="preserve"> </w:t>
            </w:r>
            <w:r w:rsidRPr="003B27D5">
              <w:rPr>
                <w:rFonts w:cs="Arial"/>
                <w:sz w:val="16"/>
                <w:szCs w:val="16"/>
                <w:lang w:bidi="th-TH"/>
              </w:rPr>
              <w:t>and relevant Office Instructions (OIs) up to date</w:t>
            </w:r>
          </w:p>
          <w:p w:rsidR="001346E3" w:rsidRPr="003B27D5" w:rsidRDefault="001346E3" w:rsidP="001363EE">
            <w:pPr>
              <w:rPr>
                <w:rFonts w:cs="Arial"/>
                <w:sz w:val="16"/>
                <w:szCs w:val="16"/>
                <w:lang w:bidi="th-TH"/>
              </w:rPr>
            </w:pPr>
          </w:p>
        </w:tc>
        <w:tc>
          <w:tcPr>
            <w:tcW w:w="952" w:type="pct"/>
          </w:tcPr>
          <w:p w:rsidR="001346E3" w:rsidRPr="001C67B1" w:rsidRDefault="001346E3" w:rsidP="001363EE">
            <w:pPr>
              <w:rPr>
                <w:rFonts w:cs="Arial"/>
                <w:i/>
                <w:color w:val="002060"/>
                <w:sz w:val="16"/>
                <w:szCs w:val="16"/>
              </w:rPr>
            </w:pPr>
            <w:r w:rsidRPr="001C67B1">
              <w:rPr>
                <w:rFonts w:cs="Arial"/>
                <w:i/>
                <w:color w:val="002060"/>
                <w:sz w:val="16"/>
                <w:szCs w:val="16"/>
              </w:rPr>
              <w:t>Updated Baseline end 201</w:t>
            </w:r>
            <w:r>
              <w:rPr>
                <w:rFonts w:cs="Arial"/>
                <w:i/>
                <w:color w:val="002060"/>
                <w:sz w:val="16"/>
                <w:szCs w:val="16"/>
              </w:rPr>
              <w:t>3</w:t>
            </w:r>
            <w:r w:rsidRPr="001C67B1">
              <w:rPr>
                <w:rFonts w:cs="Arial"/>
                <w:i/>
                <w:color w:val="002060"/>
                <w:sz w:val="16"/>
                <w:szCs w:val="16"/>
              </w:rPr>
              <w:t xml:space="preserve">: </w:t>
            </w:r>
            <w:r w:rsidRPr="009B40F6">
              <w:rPr>
                <w:rFonts w:cs="Arial"/>
                <w:sz w:val="16"/>
                <w:szCs w:val="16"/>
                <w:lang w:bidi="th-TH"/>
              </w:rPr>
              <w:t>OIs issued in 2012 and 2013. FRR</w:t>
            </w:r>
            <w:r>
              <w:rPr>
                <w:rFonts w:cs="Arial"/>
                <w:sz w:val="16"/>
                <w:szCs w:val="16"/>
                <w:lang w:bidi="th-TH"/>
              </w:rPr>
              <w:t>s</w:t>
            </w:r>
            <w:r w:rsidRPr="009B40F6">
              <w:rPr>
                <w:rFonts w:cs="Arial"/>
                <w:sz w:val="16"/>
                <w:szCs w:val="16"/>
                <w:lang w:bidi="th-TH"/>
              </w:rPr>
              <w:t xml:space="preserve"> amended in 2012 </w:t>
            </w:r>
            <w:r>
              <w:rPr>
                <w:rFonts w:cs="Arial"/>
                <w:sz w:val="16"/>
                <w:szCs w:val="16"/>
                <w:lang w:bidi="th-TH"/>
              </w:rPr>
              <w:t xml:space="preserve">and 2013 </w:t>
            </w:r>
            <w:r w:rsidRPr="009B40F6">
              <w:rPr>
                <w:rFonts w:cs="Arial"/>
                <w:sz w:val="16"/>
                <w:szCs w:val="16"/>
                <w:lang w:bidi="th-TH"/>
              </w:rPr>
              <w:t>as deemed necessary</w:t>
            </w:r>
          </w:p>
          <w:p w:rsidR="001346E3" w:rsidRPr="001C67B1" w:rsidRDefault="001346E3" w:rsidP="001363EE">
            <w:pPr>
              <w:rPr>
                <w:rFonts w:cs="Arial"/>
                <w:i/>
                <w:sz w:val="8"/>
                <w:szCs w:val="8"/>
              </w:rPr>
            </w:pPr>
          </w:p>
          <w:p w:rsidR="001346E3" w:rsidRDefault="001346E3" w:rsidP="001363EE">
            <w:pPr>
              <w:rPr>
                <w:rFonts w:cs="Arial"/>
                <w:sz w:val="16"/>
                <w:szCs w:val="16"/>
                <w:lang w:bidi="th-TH"/>
              </w:rPr>
            </w:pPr>
            <w:r>
              <w:rPr>
                <w:rFonts w:cs="Arial"/>
                <w:i/>
                <w:sz w:val="16"/>
                <w:szCs w:val="16"/>
              </w:rPr>
              <w:t>Original Baseline P&amp;B 2014</w:t>
            </w:r>
            <w:r w:rsidRPr="001C67B1">
              <w:rPr>
                <w:rFonts w:cs="Arial"/>
                <w:i/>
                <w:sz w:val="16"/>
                <w:szCs w:val="16"/>
              </w:rPr>
              <w:t>/1</w:t>
            </w:r>
            <w:r>
              <w:rPr>
                <w:rFonts w:cs="Arial"/>
                <w:i/>
                <w:sz w:val="16"/>
                <w:szCs w:val="16"/>
              </w:rPr>
              <w:t>5</w:t>
            </w:r>
            <w:r w:rsidRPr="001C67B1">
              <w:rPr>
                <w:rFonts w:cs="Arial"/>
                <w:i/>
                <w:sz w:val="16"/>
                <w:szCs w:val="16"/>
              </w:rPr>
              <w:t>:</w:t>
            </w:r>
            <w:r>
              <w:rPr>
                <w:rFonts w:cs="Arial"/>
                <w:sz w:val="16"/>
                <w:szCs w:val="16"/>
                <w:lang w:bidi="th-TH"/>
              </w:rPr>
              <w:t xml:space="preserve">  </w:t>
            </w:r>
            <w:r w:rsidRPr="009B40F6">
              <w:rPr>
                <w:rFonts w:cs="Arial"/>
                <w:sz w:val="16"/>
                <w:szCs w:val="16"/>
                <w:lang w:bidi="th-TH"/>
              </w:rPr>
              <w:t>OIs issued in 2012 and 2013. FRR amended in 2012 as deemed necessary</w:t>
            </w:r>
          </w:p>
          <w:p w:rsidR="001346E3" w:rsidRPr="001C67B1" w:rsidRDefault="001346E3" w:rsidP="001363EE">
            <w:pPr>
              <w:rPr>
                <w:rFonts w:cs="Arial"/>
                <w:i/>
                <w:color w:val="002060"/>
                <w:sz w:val="16"/>
                <w:szCs w:val="16"/>
              </w:rPr>
            </w:pPr>
          </w:p>
        </w:tc>
        <w:tc>
          <w:tcPr>
            <w:tcW w:w="787" w:type="pct"/>
            <w:tcMar>
              <w:top w:w="110" w:type="dxa"/>
              <w:left w:w="108" w:type="dxa"/>
              <w:bottom w:w="0" w:type="dxa"/>
              <w:right w:w="108" w:type="dxa"/>
            </w:tcMar>
          </w:tcPr>
          <w:p w:rsidR="001346E3" w:rsidRPr="001C67B1" w:rsidRDefault="001346E3" w:rsidP="001363EE">
            <w:pPr>
              <w:autoSpaceDE w:val="0"/>
              <w:autoSpaceDN w:val="0"/>
              <w:adjustRightInd w:val="0"/>
              <w:rPr>
                <w:rFonts w:cs="Arial"/>
                <w:sz w:val="16"/>
                <w:szCs w:val="16"/>
              </w:rPr>
            </w:pPr>
            <w:r w:rsidRPr="009B40F6">
              <w:rPr>
                <w:rFonts w:cs="Arial"/>
                <w:sz w:val="16"/>
                <w:szCs w:val="16"/>
              </w:rPr>
              <w:t>Review and revision of regulatory framework if/as appropriate</w:t>
            </w:r>
          </w:p>
        </w:tc>
        <w:tc>
          <w:tcPr>
            <w:tcW w:w="1564" w:type="pct"/>
            <w:shd w:val="clear" w:color="auto" w:fill="FFFFFF"/>
            <w:tcMar>
              <w:top w:w="110" w:type="dxa"/>
              <w:left w:w="108" w:type="dxa"/>
              <w:bottom w:w="0" w:type="dxa"/>
              <w:right w:w="108" w:type="dxa"/>
            </w:tcMar>
          </w:tcPr>
          <w:p w:rsidR="001346E3" w:rsidRPr="00FE13B1" w:rsidRDefault="001346E3" w:rsidP="001363EE">
            <w:pPr>
              <w:spacing w:after="120"/>
              <w:contextualSpacing/>
              <w:rPr>
                <w:rFonts w:cs="Arial"/>
                <w:sz w:val="16"/>
                <w:szCs w:val="16"/>
              </w:rPr>
            </w:pPr>
            <w:r w:rsidRPr="00FE13B1">
              <w:rPr>
                <w:rFonts w:cs="Arial"/>
                <w:sz w:val="16"/>
                <w:szCs w:val="16"/>
              </w:rPr>
              <w:t>Review and/or issuance of OIs, including those dealing with:</w:t>
            </w:r>
          </w:p>
          <w:p w:rsidR="001346E3" w:rsidRDefault="001346E3" w:rsidP="001346E3">
            <w:pPr>
              <w:pStyle w:val="ListParagraph"/>
              <w:numPr>
                <w:ilvl w:val="0"/>
                <w:numId w:val="46"/>
              </w:numPr>
              <w:spacing w:after="200"/>
              <w:ind w:left="598" w:hanging="284"/>
              <w:contextualSpacing/>
              <w:rPr>
                <w:rFonts w:cs="Arial"/>
                <w:sz w:val="16"/>
                <w:szCs w:val="16"/>
              </w:rPr>
            </w:pPr>
            <w:r>
              <w:rPr>
                <w:rFonts w:cs="Arial"/>
                <w:sz w:val="16"/>
                <w:szCs w:val="16"/>
              </w:rPr>
              <w:t>Procurement General Principles and Basic Rules</w:t>
            </w:r>
          </w:p>
          <w:p w:rsidR="001346E3" w:rsidRDefault="001346E3" w:rsidP="001346E3">
            <w:pPr>
              <w:pStyle w:val="ListParagraph"/>
              <w:numPr>
                <w:ilvl w:val="0"/>
                <w:numId w:val="46"/>
              </w:numPr>
              <w:spacing w:after="200"/>
              <w:ind w:left="598" w:hanging="284"/>
              <w:contextualSpacing/>
              <w:rPr>
                <w:rFonts w:cs="Arial"/>
                <w:sz w:val="16"/>
                <w:szCs w:val="16"/>
              </w:rPr>
            </w:pPr>
            <w:r>
              <w:rPr>
                <w:rFonts w:cs="Arial"/>
                <w:sz w:val="16"/>
                <w:szCs w:val="16"/>
              </w:rPr>
              <w:t>Salary Advances</w:t>
            </w:r>
          </w:p>
          <w:p w:rsidR="001346E3" w:rsidRDefault="001346E3" w:rsidP="001346E3">
            <w:pPr>
              <w:pStyle w:val="ListParagraph"/>
              <w:numPr>
                <w:ilvl w:val="0"/>
                <w:numId w:val="46"/>
              </w:numPr>
              <w:spacing w:after="200"/>
              <w:ind w:left="598" w:hanging="284"/>
              <w:contextualSpacing/>
              <w:rPr>
                <w:rFonts w:cs="Arial"/>
                <w:sz w:val="16"/>
                <w:szCs w:val="16"/>
              </w:rPr>
            </w:pPr>
            <w:r>
              <w:rPr>
                <w:rFonts w:cs="Arial"/>
                <w:sz w:val="16"/>
                <w:szCs w:val="16"/>
              </w:rPr>
              <w:t>Policy on Usage of Mobile Telecommunication Devices</w:t>
            </w:r>
          </w:p>
          <w:p w:rsidR="001346E3" w:rsidRDefault="001346E3" w:rsidP="001346E3">
            <w:pPr>
              <w:pStyle w:val="ListParagraph"/>
              <w:numPr>
                <w:ilvl w:val="0"/>
                <w:numId w:val="46"/>
              </w:numPr>
              <w:spacing w:after="200"/>
              <w:ind w:left="598" w:hanging="284"/>
              <w:contextualSpacing/>
              <w:rPr>
                <w:rFonts w:cs="Arial"/>
                <w:sz w:val="16"/>
                <w:szCs w:val="16"/>
              </w:rPr>
            </w:pPr>
            <w:r>
              <w:rPr>
                <w:rFonts w:cs="Arial"/>
                <w:sz w:val="16"/>
                <w:szCs w:val="16"/>
              </w:rPr>
              <w:t>Establishment of the Risk Management Group</w:t>
            </w:r>
          </w:p>
          <w:p w:rsidR="001346E3" w:rsidRDefault="001346E3" w:rsidP="001346E3">
            <w:pPr>
              <w:pStyle w:val="ListParagraph"/>
              <w:numPr>
                <w:ilvl w:val="0"/>
                <w:numId w:val="46"/>
              </w:numPr>
              <w:spacing w:after="200"/>
              <w:ind w:left="598" w:hanging="284"/>
              <w:contextualSpacing/>
              <w:rPr>
                <w:rFonts w:cs="Arial"/>
                <w:sz w:val="16"/>
                <w:szCs w:val="16"/>
              </w:rPr>
            </w:pPr>
            <w:r>
              <w:rPr>
                <w:rFonts w:cs="Arial"/>
                <w:sz w:val="16"/>
                <w:szCs w:val="16"/>
              </w:rPr>
              <w:t>Home leave</w:t>
            </w:r>
          </w:p>
          <w:p w:rsidR="0069693E" w:rsidRDefault="0069693E" w:rsidP="0069693E">
            <w:pPr>
              <w:pStyle w:val="ListParagraph"/>
              <w:spacing w:after="200"/>
              <w:ind w:left="598"/>
              <w:contextualSpacing/>
              <w:rPr>
                <w:rFonts w:cs="Arial"/>
                <w:sz w:val="16"/>
                <w:szCs w:val="16"/>
              </w:rPr>
            </w:pPr>
          </w:p>
          <w:p w:rsidR="001346E3" w:rsidRDefault="001346E3" w:rsidP="001346E3">
            <w:pPr>
              <w:pStyle w:val="ListParagraph"/>
              <w:numPr>
                <w:ilvl w:val="0"/>
                <w:numId w:val="46"/>
              </w:numPr>
              <w:spacing w:after="200"/>
              <w:ind w:left="598" w:hanging="284"/>
              <w:contextualSpacing/>
              <w:rPr>
                <w:rFonts w:cs="Arial"/>
                <w:sz w:val="16"/>
                <w:szCs w:val="16"/>
              </w:rPr>
            </w:pPr>
            <w:r>
              <w:rPr>
                <w:rFonts w:cs="Arial"/>
                <w:sz w:val="16"/>
                <w:szCs w:val="16"/>
              </w:rPr>
              <w:t>WIPO Risk Management Policy</w:t>
            </w:r>
          </w:p>
          <w:p w:rsidR="001346E3" w:rsidRDefault="001346E3" w:rsidP="001346E3">
            <w:pPr>
              <w:pStyle w:val="ListParagraph"/>
              <w:keepNext/>
              <w:keepLines/>
              <w:numPr>
                <w:ilvl w:val="0"/>
                <w:numId w:val="46"/>
              </w:numPr>
              <w:spacing w:after="200"/>
              <w:ind w:left="596" w:hanging="284"/>
              <w:contextualSpacing/>
              <w:rPr>
                <w:rFonts w:cs="Arial"/>
                <w:sz w:val="16"/>
                <w:szCs w:val="16"/>
              </w:rPr>
            </w:pPr>
            <w:r>
              <w:rPr>
                <w:rFonts w:cs="Arial"/>
                <w:sz w:val="16"/>
                <w:szCs w:val="16"/>
              </w:rPr>
              <w:t>Cash Management and Financial Guidelines for WIPO’s External Offices Scope and Purposes</w:t>
            </w:r>
          </w:p>
          <w:p w:rsidR="001346E3" w:rsidRDefault="001346E3" w:rsidP="001346E3">
            <w:pPr>
              <w:pStyle w:val="ListParagraph"/>
              <w:numPr>
                <w:ilvl w:val="0"/>
                <w:numId w:val="46"/>
              </w:numPr>
              <w:spacing w:after="200"/>
              <w:ind w:left="598" w:hanging="284"/>
              <w:contextualSpacing/>
              <w:rPr>
                <w:rFonts w:cs="Arial"/>
                <w:sz w:val="16"/>
                <w:szCs w:val="16"/>
              </w:rPr>
            </w:pPr>
            <w:r>
              <w:rPr>
                <w:rFonts w:cs="Arial"/>
                <w:sz w:val="16"/>
                <w:szCs w:val="16"/>
              </w:rPr>
              <w:t>Official Hospitality</w:t>
            </w:r>
          </w:p>
          <w:p w:rsidR="001346E3" w:rsidRDefault="001346E3" w:rsidP="001346E3">
            <w:pPr>
              <w:pStyle w:val="ListParagraph"/>
              <w:numPr>
                <w:ilvl w:val="0"/>
                <w:numId w:val="46"/>
              </w:numPr>
              <w:spacing w:after="200"/>
              <w:ind w:left="598" w:hanging="284"/>
              <w:contextualSpacing/>
              <w:rPr>
                <w:rFonts w:cs="Arial"/>
                <w:sz w:val="16"/>
                <w:szCs w:val="16"/>
              </w:rPr>
            </w:pPr>
            <w:r>
              <w:rPr>
                <w:rFonts w:cs="Arial"/>
                <w:sz w:val="16"/>
                <w:szCs w:val="16"/>
              </w:rPr>
              <w:t>Official Travel and Related Expenses</w:t>
            </w:r>
          </w:p>
          <w:p w:rsidR="001346E3" w:rsidRDefault="001346E3" w:rsidP="001346E3">
            <w:pPr>
              <w:pStyle w:val="ListParagraph"/>
              <w:numPr>
                <w:ilvl w:val="0"/>
                <w:numId w:val="46"/>
              </w:numPr>
              <w:spacing w:after="200"/>
              <w:ind w:left="598" w:hanging="284"/>
              <w:contextualSpacing/>
              <w:rPr>
                <w:rFonts w:cs="Arial"/>
                <w:sz w:val="16"/>
                <w:szCs w:val="16"/>
              </w:rPr>
            </w:pPr>
            <w:r>
              <w:rPr>
                <w:rFonts w:cs="Arial"/>
                <w:sz w:val="16"/>
                <w:szCs w:val="16"/>
              </w:rPr>
              <w:t>Policy on Reserves</w:t>
            </w:r>
          </w:p>
          <w:p w:rsidR="001346E3" w:rsidRDefault="001346E3" w:rsidP="001346E3">
            <w:pPr>
              <w:pStyle w:val="ListParagraph"/>
              <w:numPr>
                <w:ilvl w:val="0"/>
                <w:numId w:val="46"/>
              </w:numPr>
              <w:spacing w:after="200"/>
              <w:ind w:left="598" w:hanging="284"/>
              <w:contextualSpacing/>
              <w:rPr>
                <w:rFonts w:cs="Arial"/>
                <w:sz w:val="16"/>
                <w:szCs w:val="16"/>
              </w:rPr>
            </w:pPr>
            <w:r>
              <w:rPr>
                <w:rFonts w:cs="Arial"/>
                <w:sz w:val="16"/>
                <w:szCs w:val="16"/>
              </w:rPr>
              <w:t>WIPO Policy on Property Management</w:t>
            </w:r>
          </w:p>
          <w:p w:rsidR="001346E3" w:rsidRDefault="001346E3" w:rsidP="001346E3">
            <w:pPr>
              <w:pStyle w:val="ListParagraph"/>
              <w:numPr>
                <w:ilvl w:val="0"/>
                <w:numId w:val="46"/>
              </w:numPr>
              <w:spacing w:after="120"/>
              <w:ind w:left="596" w:hanging="284"/>
              <w:rPr>
                <w:rFonts w:cs="Arial"/>
                <w:sz w:val="16"/>
                <w:szCs w:val="16"/>
              </w:rPr>
            </w:pPr>
            <w:r>
              <w:rPr>
                <w:rFonts w:cs="Arial"/>
                <w:sz w:val="16"/>
                <w:szCs w:val="16"/>
              </w:rPr>
              <w:t>WIPO Policy on the Management of Voluntary Contributions</w:t>
            </w:r>
          </w:p>
          <w:p w:rsidR="001346E3" w:rsidRPr="00FE13B1" w:rsidRDefault="001346E3" w:rsidP="001363EE">
            <w:pPr>
              <w:spacing w:after="120"/>
              <w:rPr>
                <w:rFonts w:cs="Arial"/>
                <w:sz w:val="16"/>
                <w:szCs w:val="16"/>
              </w:rPr>
            </w:pPr>
            <w:r w:rsidRPr="00FE13B1">
              <w:rPr>
                <w:rFonts w:cs="Arial"/>
                <w:sz w:val="16"/>
                <w:szCs w:val="16"/>
              </w:rPr>
              <w:t>Review and amendments to the FRRs in October 2014 and in October 2015</w:t>
            </w:r>
          </w:p>
          <w:p w:rsidR="001346E3" w:rsidRPr="002B41FE" w:rsidRDefault="001346E3" w:rsidP="001363EE">
            <w:pPr>
              <w:spacing w:after="200"/>
              <w:contextualSpacing/>
              <w:rPr>
                <w:rFonts w:cs="Arial"/>
                <w:sz w:val="16"/>
                <w:szCs w:val="16"/>
              </w:rPr>
            </w:pPr>
            <w:r w:rsidRPr="00FE13B1">
              <w:rPr>
                <w:rFonts w:cs="Arial"/>
                <w:sz w:val="16"/>
                <w:szCs w:val="16"/>
              </w:rPr>
              <w:t>Review of Programmatic and Administrative Designations and UNDP Signatories, and introduction of an electronic application to manage programmatic designations</w:t>
            </w:r>
          </w:p>
        </w:tc>
        <w:tc>
          <w:tcPr>
            <w:tcW w:w="606" w:type="pct"/>
            <w:tcBorders>
              <w:right w:val="single" w:sz="4" w:space="0" w:color="auto"/>
            </w:tcBorders>
            <w:tcMar>
              <w:top w:w="110" w:type="dxa"/>
              <w:left w:w="108" w:type="dxa"/>
              <w:bottom w:w="0" w:type="dxa"/>
              <w:right w:w="108" w:type="dxa"/>
            </w:tcMar>
          </w:tcPr>
          <w:p w:rsidR="001346E3" w:rsidRPr="003B27D5" w:rsidRDefault="001346E3" w:rsidP="001363EE">
            <w:pPr>
              <w:jc w:val="center"/>
              <w:rPr>
                <w:rFonts w:cs="Arial"/>
                <w:bCs/>
                <w:color w:val="404040" w:themeColor="text1" w:themeTint="BF"/>
                <w:sz w:val="16"/>
                <w:szCs w:val="16"/>
              </w:rPr>
            </w:pPr>
            <w:r w:rsidRPr="00AC49FF">
              <w:rPr>
                <w:rFonts w:cs="Arial"/>
                <w:b/>
                <w:bCs/>
                <w:color w:val="008000"/>
                <w:sz w:val="16"/>
                <w:szCs w:val="16"/>
              </w:rPr>
              <w:t>Fully Achieved</w:t>
            </w:r>
          </w:p>
        </w:tc>
      </w:tr>
    </w:tbl>
    <w:p w:rsidR="001346E3" w:rsidRDefault="001346E3" w:rsidP="001363EE">
      <w:pPr>
        <w:rPr>
          <w:rFonts w:cs="Arial"/>
          <w:color w:val="000000"/>
          <w:sz w:val="22"/>
          <w:szCs w:val="22"/>
        </w:rPr>
      </w:pPr>
    </w:p>
    <w:p w:rsidR="001346E3" w:rsidRDefault="001346E3" w:rsidP="001363EE">
      <w:pPr>
        <w:rPr>
          <w:rFonts w:cs="Arial"/>
          <w:color w:val="000000"/>
          <w:sz w:val="22"/>
          <w:szCs w:val="22"/>
        </w:rPr>
      </w:pPr>
    </w:p>
    <w:p w:rsidR="001346E3" w:rsidRDefault="001346E3" w:rsidP="001363EE">
      <w:pPr>
        <w:keepNext/>
        <w:keepLines/>
        <w:rPr>
          <w:rFonts w:cs="Arial"/>
          <w:color w:val="000000"/>
          <w:sz w:val="22"/>
          <w:szCs w:val="22"/>
        </w:rPr>
      </w:pPr>
      <w:r>
        <w:rPr>
          <w:rFonts w:cs="Arial"/>
          <w:color w:val="000000"/>
          <w:sz w:val="22"/>
          <w:szCs w:val="22"/>
        </w:rPr>
        <w:t>RISK REPORTING FOR THE BIENNIUM</w:t>
      </w:r>
    </w:p>
    <w:p w:rsidR="001346E3" w:rsidRDefault="001346E3" w:rsidP="001363EE">
      <w:pPr>
        <w:keepNext/>
        <w:keepLines/>
      </w:pPr>
    </w:p>
    <w:tbl>
      <w:tblPr>
        <w:tblW w:w="0" w:type="auto"/>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2368"/>
        <w:gridCol w:w="2175"/>
        <w:gridCol w:w="2264"/>
        <w:gridCol w:w="2549"/>
      </w:tblGrid>
      <w:tr w:rsidR="001346E3" w:rsidRPr="00021359" w:rsidTr="0069693E">
        <w:trPr>
          <w:trHeight w:val="651"/>
        </w:trPr>
        <w:tc>
          <w:tcPr>
            <w:tcW w:w="2368" w:type="dxa"/>
            <w:tcBorders>
              <w:top w:val="single" w:sz="4" w:space="0" w:color="auto"/>
              <w:bottom w:val="single" w:sz="4" w:space="0" w:color="auto"/>
            </w:tcBorders>
            <w:shd w:val="clear" w:color="auto" w:fill="C6D9F1" w:themeFill="text2" w:themeFillTint="33"/>
            <w:vAlign w:val="center"/>
          </w:tcPr>
          <w:p w:rsidR="001346E3" w:rsidRPr="00021359" w:rsidRDefault="001346E3" w:rsidP="001363EE">
            <w:pPr>
              <w:keepNext/>
              <w:keepLines/>
              <w:jc w:val="center"/>
              <w:rPr>
                <w:b/>
                <w:bCs/>
                <w:sz w:val="18"/>
                <w:szCs w:val="18"/>
              </w:rPr>
            </w:pPr>
            <w:r w:rsidRPr="00021359">
              <w:rPr>
                <w:b/>
                <w:bCs/>
                <w:sz w:val="18"/>
                <w:szCs w:val="18"/>
              </w:rPr>
              <w:t>Risk(s) to the Program achieving its Results</w:t>
            </w:r>
          </w:p>
        </w:tc>
        <w:tc>
          <w:tcPr>
            <w:tcW w:w="2175" w:type="dxa"/>
            <w:tcBorders>
              <w:top w:val="single" w:sz="4" w:space="0" w:color="auto"/>
              <w:bottom w:val="single" w:sz="4" w:space="0" w:color="auto"/>
            </w:tcBorders>
            <w:shd w:val="clear" w:color="auto" w:fill="C6D9F1" w:themeFill="text2" w:themeFillTint="33"/>
            <w:vAlign w:val="center"/>
          </w:tcPr>
          <w:p w:rsidR="001346E3" w:rsidRPr="00021359" w:rsidRDefault="001346E3" w:rsidP="001363EE">
            <w:pPr>
              <w:keepNext/>
              <w:keepLines/>
              <w:jc w:val="center"/>
              <w:rPr>
                <w:b/>
                <w:bCs/>
                <w:sz w:val="18"/>
                <w:szCs w:val="18"/>
              </w:rPr>
            </w:pPr>
            <w:r w:rsidRPr="00021359">
              <w:rPr>
                <w:b/>
                <w:bCs/>
                <w:sz w:val="18"/>
                <w:szCs w:val="18"/>
              </w:rPr>
              <w:t>Mitigation plans in place or under implementation</w:t>
            </w:r>
          </w:p>
        </w:tc>
        <w:tc>
          <w:tcPr>
            <w:tcW w:w="2264" w:type="dxa"/>
            <w:tcBorders>
              <w:top w:val="single" w:sz="4" w:space="0" w:color="auto"/>
              <w:bottom w:val="single" w:sz="4" w:space="0" w:color="auto"/>
            </w:tcBorders>
            <w:shd w:val="clear" w:color="auto" w:fill="C6D9F1" w:themeFill="text2" w:themeFillTint="33"/>
          </w:tcPr>
          <w:p w:rsidR="001346E3" w:rsidRPr="003C527B" w:rsidRDefault="001346E3" w:rsidP="001363EE">
            <w:pPr>
              <w:keepNext/>
              <w:keepLines/>
              <w:jc w:val="center"/>
              <w:rPr>
                <w:b/>
                <w:bCs/>
                <w:sz w:val="18"/>
                <w:szCs w:val="18"/>
              </w:rPr>
            </w:pPr>
            <w:r>
              <w:rPr>
                <w:b/>
                <w:bCs/>
                <w:sz w:val="18"/>
                <w:szCs w:val="18"/>
              </w:rPr>
              <w:t>Evolution of Risk(s) and Mitigation Strategies Over the Biennium</w:t>
            </w:r>
          </w:p>
        </w:tc>
        <w:tc>
          <w:tcPr>
            <w:tcW w:w="2549" w:type="dxa"/>
            <w:tcBorders>
              <w:top w:val="single" w:sz="4" w:space="0" w:color="auto"/>
              <w:bottom w:val="single" w:sz="4" w:space="0" w:color="auto"/>
            </w:tcBorders>
            <w:shd w:val="clear" w:color="auto" w:fill="C6D9F1" w:themeFill="text2" w:themeFillTint="33"/>
          </w:tcPr>
          <w:p w:rsidR="001346E3" w:rsidRPr="003C527B" w:rsidRDefault="001346E3" w:rsidP="001363EE">
            <w:pPr>
              <w:keepNext/>
              <w:keepLines/>
              <w:jc w:val="center"/>
              <w:rPr>
                <w:b/>
                <w:bCs/>
                <w:sz w:val="18"/>
                <w:szCs w:val="18"/>
              </w:rPr>
            </w:pPr>
            <w:r>
              <w:rPr>
                <w:b/>
                <w:bCs/>
                <w:sz w:val="18"/>
                <w:szCs w:val="18"/>
              </w:rPr>
              <w:t>Impact on the Program’s Performance</w:t>
            </w:r>
          </w:p>
        </w:tc>
      </w:tr>
      <w:tr w:rsidR="001346E3" w:rsidRPr="00D64651" w:rsidTr="0069693E">
        <w:trPr>
          <w:trHeight w:val="459"/>
        </w:trPr>
        <w:tc>
          <w:tcPr>
            <w:tcW w:w="2368" w:type="dxa"/>
            <w:tcBorders>
              <w:top w:val="single" w:sz="4" w:space="0" w:color="auto"/>
            </w:tcBorders>
            <w:shd w:val="clear" w:color="auto" w:fill="auto"/>
            <w:tcMar>
              <w:top w:w="113" w:type="dxa"/>
              <w:bottom w:w="85" w:type="dxa"/>
            </w:tcMar>
          </w:tcPr>
          <w:p w:rsidR="001346E3" w:rsidRPr="00F62675" w:rsidRDefault="001346E3" w:rsidP="001363EE">
            <w:pPr>
              <w:rPr>
                <w:rFonts w:ascii="Tahoma" w:hAnsi="Tahoma" w:cs="Tahoma"/>
                <w:sz w:val="16"/>
                <w:szCs w:val="16"/>
              </w:rPr>
            </w:pPr>
            <w:r w:rsidRPr="00F62675">
              <w:rPr>
                <w:sz w:val="16"/>
                <w:szCs w:val="16"/>
              </w:rPr>
              <w:t xml:space="preserve">A continuing global economic and financial crisis may result in income levels being significantly lower than planned. </w:t>
            </w:r>
            <w:r>
              <w:rPr>
                <w:sz w:val="16"/>
                <w:szCs w:val="16"/>
              </w:rPr>
              <w:t xml:space="preserve"> </w:t>
            </w:r>
            <w:r w:rsidRPr="00F62675">
              <w:rPr>
                <w:sz w:val="16"/>
                <w:szCs w:val="16"/>
              </w:rPr>
              <w:t>This combined with an inability to react promptly in order to reduce expenditure to an appropriate level would potentially create a deficit and have detrimental impact on Program delivery.</w:t>
            </w:r>
          </w:p>
        </w:tc>
        <w:tc>
          <w:tcPr>
            <w:tcW w:w="2175" w:type="dxa"/>
            <w:tcBorders>
              <w:top w:val="single" w:sz="4" w:space="0" w:color="auto"/>
            </w:tcBorders>
            <w:shd w:val="clear" w:color="auto" w:fill="auto"/>
            <w:tcMar>
              <w:top w:w="113" w:type="dxa"/>
              <w:bottom w:w="85" w:type="dxa"/>
            </w:tcMar>
          </w:tcPr>
          <w:p w:rsidR="001346E3" w:rsidRPr="00F62675" w:rsidRDefault="001346E3" w:rsidP="001363EE">
            <w:pPr>
              <w:autoSpaceDE w:val="0"/>
              <w:autoSpaceDN w:val="0"/>
              <w:adjustRightInd w:val="0"/>
              <w:ind w:right="-59"/>
              <w:rPr>
                <w:sz w:val="16"/>
                <w:szCs w:val="16"/>
                <w:lang w:eastAsia="zh-CN"/>
              </w:rPr>
            </w:pPr>
            <w:r w:rsidRPr="00F62675">
              <w:rPr>
                <w:sz w:val="16"/>
                <w:szCs w:val="16"/>
                <w:lang w:eastAsia="zh-CN"/>
              </w:rPr>
              <w:t>The Organization maintains the amount of reserves at the appropriate level (around 18</w:t>
            </w:r>
            <w:r w:rsidR="0034162F">
              <w:rPr>
                <w:sz w:val="16"/>
                <w:szCs w:val="16"/>
                <w:lang w:eastAsia="zh-CN"/>
              </w:rPr>
              <w:t xml:space="preserve"> per cent</w:t>
            </w:r>
            <w:r w:rsidRPr="00F62675">
              <w:rPr>
                <w:sz w:val="16"/>
                <w:szCs w:val="16"/>
                <w:lang w:eastAsia="zh-CN"/>
              </w:rPr>
              <w:t xml:space="preserve"> of the biennial budget) to be in a position to face a potential decrease in income.</w:t>
            </w:r>
          </w:p>
          <w:p w:rsidR="001346E3" w:rsidRPr="00F62675" w:rsidRDefault="001346E3" w:rsidP="001363EE">
            <w:pPr>
              <w:autoSpaceDE w:val="0"/>
              <w:autoSpaceDN w:val="0"/>
              <w:adjustRightInd w:val="0"/>
              <w:ind w:right="-59"/>
              <w:rPr>
                <w:rFonts w:ascii="Tahoma" w:hAnsi="Tahoma" w:cs="Tahoma"/>
                <w:sz w:val="16"/>
                <w:szCs w:val="16"/>
              </w:rPr>
            </w:pPr>
            <w:r w:rsidRPr="00F62675">
              <w:rPr>
                <w:sz w:val="16"/>
                <w:szCs w:val="16"/>
                <w:lang w:eastAsia="zh-CN"/>
              </w:rPr>
              <w:br/>
              <w:t xml:space="preserve">The Secretariat monitors expenditure closely through a strengthened income and expenditure monitoring process and by means of the Crisis Management Group. </w:t>
            </w:r>
          </w:p>
        </w:tc>
        <w:tc>
          <w:tcPr>
            <w:tcW w:w="2264" w:type="dxa"/>
            <w:tcBorders>
              <w:top w:val="single" w:sz="4" w:space="0" w:color="auto"/>
            </w:tcBorders>
          </w:tcPr>
          <w:p w:rsidR="001346E3" w:rsidRDefault="001346E3" w:rsidP="001363EE">
            <w:pPr>
              <w:autoSpaceDE w:val="0"/>
              <w:autoSpaceDN w:val="0"/>
              <w:adjustRightInd w:val="0"/>
              <w:ind w:right="-59"/>
              <w:rPr>
                <w:sz w:val="16"/>
                <w:szCs w:val="16"/>
                <w:lang w:eastAsia="zh-CN"/>
              </w:rPr>
            </w:pPr>
            <w:r>
              <w:rPr>
                <w:sz w:val="16"/>
                <w:szCs w:val="16"/>
                <w:lang w:eastAsia="zh-CN"/>
              </w:rPr>
              <w:t>Income levels were higher than expected over the course of the biennium, and appropriate mitigation actions continued to be taken in respect of the risk identified.</w:t>
            </w:r>
          </w:p>
          <w:p w:rsidR="001346E3" w:rsidRDefault="001346E3" w:rsidP="001363EE">
            <w:pPr>
              <w:autoSpaceDE w:val="0"/>
              <w:autoSpaceDN w:val="0"/>
              <w:adjustRightInd w:val="0"/>
              <w:ind w:right="-59"/>
              <w:rPr>
                <w:sz w:val="16"/>
                <w:szCs w:val="16"/>
                <w:lang w:eastAsia="zh-CN"/>
              </w:rPr>
            </w:pPr>
          </w:p>
          <w:p w:rsidR="001346E3" w:rsidRDefault="001346E3" w:rsidP="001363EE">
            <w:pPr>
              <w:autoSpaceDE w:val="0"/>
              <w:autoSpaceDN w:val="0"/>
              <w:adjustRightInd w:val="0"/>
              <w:ind w:right="-59"/>
              <w:rPr>
                <w:sz w:val="16"/>
                <w:szCs w:val="16"/>
                <w:lang w:eastAsia="zh-CN"/>
              </w:rPr>
            </w:pPr>
            <w:r>
              <w:rPr>
                <w:sz w:val="16"/>
                <w:szCs w:val="16"/>
                <w:lang w:eastAsia="zh-CN"/>
              </w:rPr>
              <w:t>The reserve target level was reviewed by Member States as part of the review of WIPO’s Policy on Reserves, and this target was increased to 22</w:t>
            </w:r>
            <w:r w:rsidR="0034162F">
              <w:rPr>
                <w:sz w:val="16"/>
                <w:szCs w:val="16"/>
                <w:lang w:eastAsia="zh-CN"/>
              </w:rPr>
              <w:t xml:space="preserve"> per cent</w:t>
            </w:r>
            <w:r>
              <w:rPr>
                <w:sz w:val="16"/>
                <w:szCs w:val="16"/>
                <w:lang w:eastAsia="zh-CN"/>
              </w:rPr>
              <w:t xml:space="preserve"> in order to better mitigate this risk.</w:t>
            </w:r>
          </w:p>
          <w:p w:rsidR="001346E3" w:rsidRDefault="001346E3" w:rsidP="001363EE">
            <w:pPr>
              <w:autoSpaceDE w:val="0"/>
              <w:autoSpaceDN w:val="0"/>
              <w:adjustRightInd w:val="0"/>
              <w:ind w:right="-59"/>
              <w:rPr>
                <w:sz w:val="16"/>
                <w:szCs w:val="16"/>
                <w:lang w:eastAsia="zh-CN"/>
              </w:rPr>
            </w:pPr>
          </w:p>
          <w:p w:rsidR="001346E3" w:rsidRDefault="001346E3" w:rsidP="001363EE">
            <w:pPr>
              <w:autoSpaceDE w:val="0"/>
              <w:autoSpaceDN w:val="0"/>
              <w:adjustRightInd w:val="0"/>
              <w:ind w:right="-59"/>
              <w:rPr>
                <w:sz w:val="16"/>
                <w:szCs w:val="16"/>
                <w:lang w:eastAsia="zh-CN"/>
              </w:rPr>
            </w:pPr>
            <w:r>
              <w:rPr>
                <w:sz w:val="16"/>
                <w:szCs w:val="16"/>
                <w:lang w:eastAsia="zh-CN"/>
              </w:rPr>
              <w:t>The Organization, through the newly established Risk Management Group (RMG), continued to monitor the evolution of income and expenditures closely.</w:t>
            </w:r>
          </w:p>
          <w:p w:rsidR="001346E3" w:rsidRDefault="001346E3" w:rsidP="001363EE">
            <w:pPr>
              <w:autoSpaceDE w:val="0"/>
              <w:autoSpaceDN w:val="0"/>
              <w:adjustRightInd w:val="0"/>
              <w:ind w:right="-59"/>
              <w:rPr>
                <w:sz w:val="16"/>
                <w:szCs w:val="16"/>
                <w:lang w:eastAsia="zh-CN"/>
              </w:rPr>
            </w:pPr>
          </w:p>
          <w:p w:rsidR="001346E3" w:rsidRPr="00F62675" w:rsidRDefault="001346E3" w:rsidP="001363EE">
            <w:pPr>
              <w:autoSpaceDE w:val="0"/>
              <w:autoSpaceDN w:val="0"/>
              <w:adjustRightInd w:val="0"/>
              <w:ind w:right="-59"/>
              <w:rPr>
                <w:sz w:val="16"/>
                <w:szCs w:val="16"/>
                <w:lang w:eastAsia="zh-CN"/>
              </w:rPr>
            </w:pPr>
            <w:r w:rsidRPr="008A63E7">
              <w:rPr>
                <w:sz w:val="16"/>
                <w:szCs w:val="16"/>
                <w:lang w:eastAsia="zh-CN"/>
              </w:rPr>
              <w:t>On January 15, 2015, the Swiss National Bank unpegged the Swiss franc from its minimum exchange rate of CHF1.20 per 1 Euro and introduced negative interest rates for retail customers.  Enhanced cash management procedures have been introduced in order to minimize the impact of negative interest rates on WIPO’s cash balances.</w:t>
            </w:r>
          </w:p>
        </w:tc>
        <w:tc>
          <w:tcPr>
            <w:tcW w:w="2549" w:type="dxa"/>
            <w:tcBorders>
              <w:top w:val="single" w:sz="4" w:space="0" w:color="auto"/>
            </w:tcBorders>
          </w:tcPr>
          <w:p w:rsidR="001346E3" w:rsidRDefault="001346E3" w:rsidP="001363EE">
            <w:pPr>
              <w:autoSpaceDE w:val="0"/>
              <w:autoSpaceDN w:val="0"/>
              <w:adjustRightInd w:val="0"/>
              <w:ind w:right="-59"/>
              <w:rPr>
                <w:sz w:val="16"/>
                <w:szCs w:val="16"/>
                <w:lang w:eastAsia="zh-CN"/>
              </w:rPr>
            </w:pPr>
            <w:r>
              <w:rPr>
                <w:sz w:val="16"/>
                <w:szCs w:val="16"/>
                <w:lang w:eastAsia="zh-CN"/>
              </w:rPr>
              <w:t>This risk and its evolution did not have any material impact on the Program’s performance in 2014/15.</w:t>
            </w:r>
          </w:p>
          <w:p w:rsidR="001346E3" w:rsidRDefault="001346E3" w:rsidP="001363EE">
            <w:pPr>
              <w:autoSpaceDE w:val="0"/>
              <w:autoSpaceDN w:val="0"/>
              <w:adjustRightInd w:val="0"/>
              <w:ind w:right="-59"/>
              <w:rPr>
                <w:sz w:val="16"/>
                <w:szCs w:val="16"/>
                <w:lang w:eastAsia="zh-CN"/>
              </w:rPr>
            </w:pPr>
          </w:p>
          <w:p w:rsidR="001346E3" w:rsidRDefault="001346E3" w:rsidP="001363EE">
            <w:pPr>
              <w:autoSpaceDE w:val="0"/>
              <w:autoSpaceDN w:val="0"/>
              <w:adjustRightInd w:val="0"/>
              <w:ind w:right="-59"/>
              <w:rPr>
                <w:sz w:val="16"/>
                <w:szCs w:val="16"/>
                <w:lang w:eastAsia="zh-CN"/>
              </w:rPr>
            </w:pPr>
          </w:p>
          <w:p w:rsidR="001346E3" w:rsidRDefault="001346E3" w:rsidP="001363EE">
            <w:pPr>
              <w:autoSpaceDE w:val="0"/>
              <w:autoSpaceDN w:val="0"/>
              <w:adjustRightInd w:val="0"/>
              <w:ind w:right="-59"/>
              <w:rPr>
                <w:sz w:val="16"/>
                <w:szCs w:val="16"/>
                <w:lang w:eastAsia="zh-CN"/>
              </w:rPr>
            </w:pPr>
          </w:p>
          <w:p w:rsidR="001346E3" w:rsidRDefault="001346E3" w:rsidP="001363EE">
            <w:pPr>
              <w:autoSpaceDE w:val="0"/>
              <w:autoSpaceDN w:val="0"/>
              <w:adjustRightInd w:val="0"/>
              <w:ind w:right="-59"/>
              <w:rPr>
                <w:sz w:val="16"/>
                <w:szCs w:val="16"/>
                <w:lang w:eastAsia="zh-CN"/>
              </w:rPr>
            </w:pPr>
          </w:p>
          <w:p w:rsidR="001346E3" w:rsidRDefault="001346E3" w:rsidP="001363EE">
            <w:pPr>
              <w:autoSpaceDE w:val="0"/>
              <w:autoSpaceDN w:val="0"/>
              <w:adjustRightInd w:val="0"/>
              <w:ind w:right="-59"/>
              <w:rPr>
                <w:sz w:val="16"/>
                <w:szCs w:val="16"/>
                <w:lang w:eastAsia="zh-CN"/>
              </w:rPr>
            </w:pPr>
          </w:p>
          <w:p w:rsidR="001346E3" w:rsidRDefault="001346E3" w:rsidP="001363EE">
            <w:pPr>
              <w:autoSpaceDE w:val="0"/>
              <w:autoSpaceDN w:val="0"/>
              <w:adjustRightInd w:val="0"/>
              <w:ind w:right="-59"/>
              <w:rPr>
                <w:sz w:val="16"/>
                <w:szCs w:val="16"/>
                <w:lang w:eastAsia="zh-CN"/>
              </w:rPr>
            </w:pPr>
          </w:p>
          <w:p w:rsidR="001346E3" w:rsidRDefault="001346E3" w:rsidP="001363EE">
            <w:pPr>
              <w:autoSpaceDE w:val="0"/>
              <w:autoSpaceDN w:val="0"/>
              <w:adjustRightInd w:val="0"/>
              <w:ind w:right="-59"/>
              <w:rPr>
                <w:sz w:val="16"/>
                <w:szCs w:val="16"/>
                <w:lang w:eastAsia="zh-CN"/>
              </w:rPr>
            </w:pPr>
          </w:p>
          <w:p w:rsidR="001346E3" w:rsidRDefault="001346E3" w:rsidP="001363EE">
            <w:pPr>
              <w:autoSpaceDE w:val="0"/>
              <w:autoSpaceDN w:val="0"/>
              <w:adjustRightInd w:val="0"/>
              <w:ind w:right="-59"/>
              <w:rPr>
                <w:sz w:val="16"/>
                <w:szCs w:val="16"/>
                <w:lang w:eastAsia="zh-CN"/>
              </w:rPr>
            </w:pPr>
          </w:p>
          <w:p w:rsidR="001346E3" w:rsidRDefault="001346E3" w:rsidP="001363EE">
            <w:pPr>
              <w:autoSpaceDE w:val="0"/>
              <w:autoSpaceDN w:val="0"/>
              <w:adjustRightInd w:val="0"/>
              <w:ind w:right="-59"/>
              <w:rPr>
                <w:sz w:val="16"/>
                <w:szCs w:val="16"/>
                <w:lang w:eastAsia="zh-CN"/>
              </w:rPr>
            </w:pPr>
          </w:p>
          <w:p w:rsidR="001346E3" w:rsidRDefault="001346E3" w:rsidP="001363EE">
            <w:pPr>
              <w:autoSpaceDE w:val="0"/>
              <w:autoSpaceDN w:val="0"/>
              <w:adjustRightInd w:val="0"/>
              <w:ind w:right="-59"/>
              <w:rPr>
                <w:sz w:val="16"/>
                <w:szCs w:val="16"/>
                <w:lang w:eastAsia="zh-CN"/>
              </w:rPr>
            </w:pPr>
          </w:p>
          <w:p w:rsidR="001346E3" w:rsidRDefault="001346E3" w:rsidP="001363EE">
            <w:pPr>
              <w:autoSpaceDE w:val="0"/>
              <w:autoSpaceDN w:val="0"/>
              <w:adjustRightInd w:val="0"/>
              <w:ind w:right="-59"/>
              <w:rPr>
                <w:sz w:val="16"/>
                <w:szCs w:val="16"/>
                <w:lang w:eastAsia="zh-CN"/>
              </w:rPr>
            </w:pPr>
          </w:p>
          <w:p w:rsidR="001346E3" w:rsidRDefault="001346E3" w:rsidP="001363EE">
            <w:pPr>
              <w:autoSpaceDE w:val="0"/>
              <w:autoSpaceDN w:val="0"/>
              <w:adjustRightInd w:val="0"/>
              <w:ind w:right="-59"/>
              <w:rPr>
                <w:sz w:val="16"/>
                <w:szCs w:val="16"/>
                <w:lang w:eastAsia="zh-CN"/>
              </w:rPr>
            </w:pPr>
          </w:p>
          <w:p w:rsidR="001346E3" w:rsidRDefault="001346E3" w:rsidP="001363EE">
            <w:pPr>
              <w:autoSpaceDE w:val="0"/>
              <w:autoSpaceDN w:val="0"/>
              <w:adjustRightInd w:val="0"/>
              <w:ind w:right="-59"/>
              <w:rPr>
                <w:sz w:val="16"/>
                <w:szCs w:val="16"/>
                <w:lang w:eastAsia="zh-CN"/>
              </w:rPr>
            </w:pPr>
          </w:p>
          <w:p w:rsidR="001346E3" w:rsidRDefault="001346E3" w:rsidP="001363EE">
            <w:pPr>
              <w:autoSpaceDE w:val="0"/>
              <w:autoSpaceDN w:val="0"/>
              <w:adjustRightInd w:val="0"/>
              <w:ind w:right="-59"/>
              <w:rPr>
                <w:sz w:val="16"/>
                <w:szCs w:val="16"/>
                <w:lang w:eastAsia="zh-CN"/>
              </w:rPr>
            </w:pPr>
          </w:p>
          <w:p w:rsidR="001346E3" w:rsidRDefault="001346E3" w:rsidP="001363EE">
            <w:pPr>
              <w:autoSpaceDE w:val="0"/>
              <w:autoSpaceDN w:val="0"/>
              <w:adjustRightInd w:val="0"/>
              <w:ind w:right="-59"/>
              <w:rPr>
                <w:sz w:val="16"/>
                <w:szCs w:val="16"/>
                <w:lang w:eastAsia="zh-CN"/>
              </w:rPr>
            </w:pPr>
          </w:p>
          <w:p w:rsidR="001346E3" w:rsidRDefault="001346E3" w:rsidP="001363EE">
            <w:pPr>
              <w:autoSpaceDE w:val="0"/>
              <w:autoSpaceDN w:val="0"/>
              <w:adjustRightInd w:val="0"/>
              <w:ind w:right="-59"/>
              <w:rPr>
                <w:sz w:val="16"/>
                <w:szCs w:val="16"/>
                <w:lang w:eastAsia="zh-CN"/>
              </w:rPr>
            </w:pPr>
          </w:p>
          <w:p w:rsidR="001346E3" w:rsidRDefault="001346E3" w:rsidP="001363EE">
            <w:pPr>
              <w:autoSpaceDE w:val="0"/>
              <w:autoSpaceDN w:val="0"/>
              <w:adjustRightInd w:val="0"/>
              <w:ind w:right="-59"/>
              <w:rPr>
                <w:sz w:val="16"/>
                <w:szCs w:val="16"/>
                <w:lang w:eastAsia="zh-CN"/>
              </w:rPr>
            </w:pPr>
          </w:p>
          <w:p w:rsidR="001346E3" w:rsidRDefault="001346E3" w:rsidP="001363EE">
            <w:pPr>
              <w:autoSpaceDE w:val="0"/>
              <w:autoSpaceDN w:val="0"/>
              <w:adjustRightInd w:val="0"/>
              <w:ind w:right="-59"/>
              <w:rPr>
                <w:sz w:val="16"/>
                <w:szCs w:val="16"/>
                <w:lang w:eastAsia="zh-CN"/>
              </w:rPr>
            </w:pPr>
          </w:p>
          <w:p w:rsidR="001346E3" w:rsidRDefault="001346E3" w:rsidP="001363EE">
            <w:pPr>
              <w:autoSpaceDE w:val="0"/>
              <w:autoSpaceDN w:val="0"/>
              <w:adjustRightInd w:val="0"/>
              <w:ind w:right="-59"/>
              <w:rPr>
                <w:sz w:val="16"/>
                <w:szCs w:val="16"/>
                <w:lang w:eastAsia="zh-CN"/>
              </w:rPr>
            </w:pPr>
          </w:p>
          <w:p w:rsidR="001346E3" w:rsidRPr="00F62675" w:rsidRDefault="001346E3" w:rsidP="001363EE">
            <w:pPr>
              <w:autoSpaceDE w:val="0"/>
              <w:autoSpaceDN w:val="0"/>
              <w:adjustRightInd w:val="0"/>
              <w:ind w:right="-59"/>
              <w:rPr>
                <w:sz w:val="16"/>
                <w:szCs w:val="16"/>
                <w:lang w:eastAsia="zh-CN"/>
              </w:rPr>
            </w:pPr>
            <w:r>
              <w:rPr>
                <w:sz w:val="16"/>
                <w:szCs w:val="16"/>
                <w:lang w:eastAsia="zh-CN"/>
              </w:rPr>
              <w:t>T</w:t>
            </w:r>
            <w:r w:rsidRPr="008A63E7">
              <w:rPr>
                <w:sz w:val="16"/>
                <w:szCs w:val="16"/>
                <w:lang w:eastAsia="zh-CN"/>
              </w:rPr>
              <w:t>he removal of the peg has had an overall detrimental effect on the Swiss franc equivalent of income originally received in Euros and has also meant that the possibility of earning interest on surplus cash has been significantly reduced.</w:t>
            </w:r>
          </w:p>
        </w:tc>
      </w:tr>
    </w:tbl>
    <w:p w:rsidR="001346E3" w:rsidRPr="008111DF" w:rsidRDefault="001346E3" w:rsidP="001363EE">
      <w:pPr>
        <w:rPr>
          <w:rFonts w:cs="Arial"/>
          <w:color w:val="000000"/>
          <w:szCs w:val="22"/>
        </w:rPr>
      </w:pPr>
    </w:p>
    <w:p w:rsidR="001346E3" w:rsidRPr="008111DF" w:rsidRDefault="001346E3" w:rsidP="001363EE">
      <w:pPr>
        <w:rPr>
          <w:rFonts w:cs="Arial"/>
          <w:color w:val="000000"/>
          <w:szCs w:val="22"/>
        </w:rPr>
      </w:pPr>
    </w:p>
    <w:p w:rsidR="001346E3" w:rsidRPr="008111DF" w:rsidRDefault="001346E3" w:rsidP="001363EE">
      <w:pPr>
        <w:keepNext/>
        <w:keepLines/>
        <w:rPr>
          <w:b/>
          <w:sz w:val="16"/>
          <w:szCs w:val="18"/>
        </w:rPr>
      </w:pPr>
      <w:r w:rsidRPr="008111DF">
        <w:rPr>
          <w:rFonts w:cs="Arial"/>
          <w:color w:val="000000"/>
          <w:szCs w:val="22"/>
        </w:rPr>
        <w:t>RESOURCE UTILIZATION</w:t>
      </w:r>
      <w:r w:rsidRPr="008111DF">
        <w:rPr>
          <w:rFonts w:cs="Arial"/>
          <w:color w:val="000000"/>
          <w:szCs w:val="22"/>
        </w:rPr>
        <w:tab/>
      </w:r>
    </w:p>
    <w:p w:rsidR="001346E3" w:rsidRPr="008111DF" w:rsidRDefault="001346E3" w:rsidP="001363EE">
      <w:pPr>
        <w:keepNext/>
        <w:keepLines/>
        <w:rPr>
          <w:sz w:val="18"/>
          <w:szCs w:val="20"/>
        </w:rPr>
      </w:pPr>
    </w:p>
    <w:p w:rsidR="001346E3" w:rsidRDefault="001346E3" w:rsidP="001363EE">
      <w:pPr>
        <w:pStyle w:val="NormalWeb"/>
        <w:keepNext/>
        <w:keepLines/>
        <w:spacing w:before="0" w:beforeAutospacing="0" w:after="0" w:afterAutospacing="0"/>
        <w:jc w:val="center"/>
        <w:rPr>
          <w:color w:val="000000"/>
          <w:sz w:val="20"/>
          <w:szCs w:val="20"/>
        </w:rPr>
      </w:pPr>
    </w:p>
    <w:p w:rsidR="001346E3" w:rsidRPr="00383D2D" w:rsidRDefault="001346E3" w:rsidP="001363EE">
      <w:pPr>
        <w:pStyle w:val="NormalWeb"/>
        <w:keepNext/>
        <w:keepLines/>
        <w:spacing w:before="0" w:beforeAutospacing="0" w:after="0" w:afterAutospacing="0"/>
        <w:jc w:val="center"/>
        <w:rPr>
          <w:sz w:val="20"/>
          <w:szCs w:val="20"/>
        </w:rPr>
      </w:pPr>
      <w:r w:rsidRPr="00383D2D">
        <w:rPr>
          <w:color w:val="000000"/>
          <w:sz w:val="20"/>
          <w:szCs w:val="20"/>
        </w:rPr>
        <w:t xml:space="preserve">Budget and Actual Expenditure (by result) </w:t>
      </w:r>
    </w:p>
    <w:p w:rsidR="001346E3" w:rsidRDefault="001346E3" w:rsidP="001363EE">
      <w:pPr>
        <w:pStyle w:val="NormalWeb"/>
        <w:keepNext/>
        <w:keepLines/>
        <w:spacing w:before="0" w:beforeAutospacing="0" w:after="0" w:afterAutospacing="0"/>
        <w:jc w:val="center"/>
        <w:rPr>
          <w:i/>
          <w:iCs/>
          <w:color w:val="000000"/>
          <w:sz w:val="20"/>
          <w:szCs w:val="20"/>
        </w:rPr>
      </w:pPr>
      <w:r w:rsidRPr="00383D2D">
        <w:rPr>
          <w:i/>
          <w:iCs/>
          <w:color w:val="000000"/>
          <w:sz w:val="20"/>
          <w:szCs w:val="20"/>
        </w:rPr>
        <w:t>(in thousands of Swiss francs)</w:t>
      </w:r>
    </w:p>
    <w:p w:rsidR="001346E3" w:rsidRPr="00D72E68" w:rsidRDefault="001346E3" w:rsidP="001363EE">
      <w:pPr>
        <w:pStyle w:val="NormalWeb"/>
        <w:keepNext/>
        <w:keepLines/>
        <w:spacing w:before="0" w:beforeAutospacing="0" w:after="0" w:afterAutospacing="0"/>
        <w:jc w:val="center"/>
        <w:rPr>
          <w:sz w:val="16"/>
          <w:szCs w:val="20"/>
        </w:rPr>
      </w:pPr>
    </w:p>
    <w:p w:rsidR="001346E3" w:rsidRDefault="001346E3" w:rsidP="001363EE">
      <w:pPr>
        <w:keepNext/>
        <w:keepLines/>
        <w:jc w:val="center"/>
      </w:pPr>
      <w:r w:rsidRPr="008B3D4B">
        <w:rPr>
          <w:noProof/>
        </w:rPr>
        <w:drawing>
          <wp:inline distT="0" distB="0" distL="0" distR="0" wp14:anchorId="09CAE313" wp14:editId="47760148">
            <wp:extent cx="4731026" cy="2394698"/>
            <wp:effectExtent l="0" t="0" r="0" b="5715"/>
            <wp:docPr id="909" name="Picture 9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4">
                      <a:extLst>
                        <a:ext uri="{28A0092B-C50C-407E-A947-70E740481C1C}">
                          <a14:useLocalDpi xmlns:a14="http://schemas.microsoft.com/office/drawing/2010/main" val="0"/>
                        </a:ext>
                      </a:extLst>
                    </a:blip>
                    <a:srcRect/>
                    <a:stretch>
                      <a:fillRect/>
                    </a:stretch>
                  </pic:blipFill>
                  <pic:spPr bwMode="auto">
                    <a:xfrm>
                      <a:off x="0" y="0"/>
                      <a:ext cx="4737521" cy="2397986"/>
                    </a:xfrm>
                    <a:prstGeom prst="rect">
                      <a:avLst/>
                    </a:prstGeom>
                    <a:noFill/>
                    <a:ln>
                      <a:noFill/>
                    </a:ln>
                  </pic:spPr>
                </pic:pic>
              </a:graphicData>
            </a:graphic>
          </wp:inline>
        </w:drawing>
      </w:r>
    </w:p>
    <w:p w:rsidR="001346E3" w:rsidRPr="008111DF" w:rsidRDefault="001346E3" w:rsidP="001363EE">
      <w:pPr>
        <w:keepNext/>
        <w:keepLines/>
        <w:jc w:val="center"/>
        <w:rPr>
          <w:szCs w:val="20"/>
        </w:rPr>
      </w:pPr>
    </w:p>
    <w:p w:rsidR="001346E3" w:rsidRPr="008111DF" w:rsidRDefault="001346E3" w:rsidP="001363EE">
      <w:pPr>
        <w:keepNext/>
        <w:keepLines/>
        <w:rPr>
          <w:szCs w:val="20"/>
        </w:rPr>
      </w:pPr>
    </w:p>
    <w:p w:rsidR="001346E3" w:rsidRPr="008111DF" w:rsidRDefault="001346E3" w:rsidP="001363EE">
      <w:pPr>
        <w:pStyle w:val="NormalWeb"/>
        <w:keepNext/>
        <w:keepLines/>
        <w:spacing w:before="0" w:beforeAutospacing="0" w:after="0" w:afterAutospacing="0"/>
        <w:jc w:val="center"/>
        <w:rPr>
          <w:sz w:val="20"/>
          <w:szCs w:val="20"/>
        </w:rPr>
      </w:pPr>
      <w:r w:rsidRPr="008111DF">
        <w:rPr>
          <w:color w:val="000000"/>
          <w:sz w:val="20"/>
          <w:szCs w:val="20"/>
        </w:rPr>
        <w:t xml:space="preserve">Budget and Actual Expenditure (personnel and non-personnel) </w:t>
      </w:r>
    </w:p>
    <w:p w:rsidR="001346E3" w:rsidRPr="008111DF" w:rsidRDefault="001346E3" w:rsidP="001363EE">
      <w:pPr>
        <w:pStyle w:val="NormalWeb"/>
        <w:keepNext/>
        <w:keepLines/>
        <w:spacing w:before="0" w:beforeAutospacing="0" w:after="0" w:afterAutospacing="0"/>
        <w:jc w:val="center"/>
        <w:rPr>
          <w:i/>
          <w:iCs/>
          <w:color w:val="000000"/>
          <w:sz w:val="20"/>
          <w:szCs w:val="20"/>
        </w:rPr>
      </w:pPr>
      <w:r w:rsidRPr="008111DF">
        <w:rPr>
          <w:i/>
          <w:iCs/>
          <w:color w:val="000000"/>
          <w:sz w:val="20"/>
          <w:szCs w:val="20"/>
        </w:rPr>
        <w:t>(in thousands of Swiss francs)</w:t>
      </w:r>
    </w:p>
    <w:p w:rsidR="001346E3" w:rsidRPr="008111DF" w:rsidRDefault="001346E3" w:rsidP="001363EE">
      <w:pPr>
        <w:pStyle w:val="NormalWeb"/>
        <w:keepNext/>
        <w:keepLines/>
        <w:spacing w:before="0" w:beforeAutospacing="0" w:after="0" w:afterAutospacing="0"/>
        <w:jc w:val="center"/>
        <w:rPr>
          <w:i/>
          <w:iCs/>
          <w:color w:val="000000"/>
          <w:sz w:val="20"/>
          <w:szCs w:val="20"/>
        </w:rPr>
      </w:pPr>
    </w:p>
    <w:p w:rsidR="001346E3" w:rsidRDefault="001346E3" w:rsidP="001363EE">
      <w:pPr>
        <w:pStyle w:val="NormalWeb"/>
        <w:keepNext/>
        <w:keepLines/>
        <w:spacing w:before="0" w:beforeAutospacing="0" w:after="0" w:afterAutospacing="0"/>
        <w:jc w:val="center"/>
      </w:pPr>
      <w:r w:rsidRPr="00077D6F">
        <w:rPr>
          <w:noProof/>
        </w:rPr>
        <w:drawing>
          <wp:inline distT="0" distB="0" distL="0" distR="0" wp14:anchorId="151BF589" wp14:editId="6CA73C18">
            <wp:extent cx="4754880" cy="915165"/>
            <wp:effectExtent l="0" t="0" r="7620" b="0"/>
            <wp:docPr id="910" name="Picture 9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5">
                      <a:extLst>
                        <a:ext uri="{28A0092B-C50C-407E-A947-70E740481C1C}">
                          <a14:useLocalDpi xmlns:a14="http://schemas.microsoft.com/office/drawing/2010/main" val="0"/>
                        </a:ext>
                      </a:extLst>
                    </a:blip>
                    <a:srcRect/>
                    <a:stretch>
                      <a:fillRect/>
                    </a:stretch>
                  </pic:blipFill>
                  <pic:spPr bwMode="auto">
                    <a:xfrm>
                      <a:off x="0" y="0"/>
                      <a:ext cx="4759739" cy="916100"/>
                    </a:xfrm>
                    <a:prstGeom prst="rect">
                      <a:avLst/>
                    </a:prstGeom>
                    <a:noFill/>
                    <a:ln>
                      <a:noFill/>
                    </a:ln>
                  </pic:spPr>
                </pic:pic>
              </a:graphicData>
            </a:graphic>
          </wp:inline>
        </w:drawing>
      </w:r>
    </w:p>
    <w:p w:rsidR="001346E3" w:rsidRDefault="001346E3" w:rsidP="001363EE">
      <w:pPr>
        <w:widowControl w:val="0"/>
        <w:autoSpaceDE w:val="0"/>
        <w:autoSpaceDN w:val="0"/>
        <w:adjustRightInd w:val="0"/>
        <w:rPr>
          <w:rFonts w:cs="Arial"/>
          <w:szCs w:val="20"/>
        </w:rPr>
      </w:pPr>
    </w:p>
    <w:p w:rsidR="001346E3" w:rsidRPr="001C6F4D" w:rsidRDefault="001346E3" w:rsidP="001363EE">
      <w:pPr>
        <w:widowControl w:val="0"/>
        <w:autoSpaceDE w:val="0"/>
        <w:autoSpaceDN w:val="0"/>
        <w:adjustRightInd w:val="0"/>
        <w:rPr>
          <w:rFonts w:cs="Arial"/>
          <w:szCs w:val="20"/>
        </w:rPr>
      </w:pPr>
    </w:p>
    <w:p w:rsidR="001346E3" w:rsidRDefault="001346E3" w:rsidP="00F33ED1">
      <w:pPr>
        <w:keepNext/>
        <w:keepLines/>
        <w:tabs>
          <w:tab w:val="left" w:pos="709"/>
        </w:tabs>
        <w:rPr>
          <w:rFonts w:cs="Arial"/>
          <w:u w:val="single"/>
        </w:rPr>
      </w:pPr>
      <w:r w:rsidRPr="00420F90">
        <w:rPr>
          <w:rFonts w:cs="Arial"/>
          <w:szCs w:val="20"/>
        </w:rPr>
        <w:t>A.</w:t>
      </w:r>
      <w:r w:rsidRPr="00420F90">
        <w:rPr>
          <w:rFonts w:cs="Arial"/>
        </w:rPr>
        <w:tab/>
      </w:r>
      <w:r w:rsidRPr="00420F90">
        <w:rPr>
          <w:rFonts w:cs="Arial"/>
          <w:u w:val="single"/>
        </w:rPr>
        <w:t>201</w:t>
      </w:r>
      <w:r>
        <w:rPr>
          <w:rFonts w:cs="Arial"/>
          <w:u w:val="single"/>
        </w:rPr>
        <w:t xml:space="preserve">4/15 Final </w:t>
      </w:r>
      <w:r w:rsidRPr="00420F90">
        <w:rPr>
          <w:rFonts w:cs="Arial"/>
          <w:u w:val="single"/>
        </w:rPr>
        <w:t xml:space="preserve">Budget after Transfers </w:t>
      </w:r>
    </w:p>
    <w:p w:rsidR="001346E3" w:rsidRDefault="001346E3" w:rsidP="001363EE">
      <w:pPr>
        <w:keepNext/>
        <w:keepLines/>
        <w:rPr>
          <w:rFonts w:cs="Arial"/>
          <w:u w:val="single"/>
        </w:rPr>
      </w:pPr>
    </w:p>
    <w:p w:rsidR="001346E3" w:rsidRPr="00A51DF8" w:rsidRDefault="001346E3" w:rsidP="001346E3">
      <w:pPr>
        <w:pStyle w:val="ListParagraph"/>
        <w:numPr>
          <w:ilvl w:val="0"/>
          <w:numId w:val="44"/>
        </w:numPr>
        <w:tabs>
          <w:tab w:val="left" w:pos="709"/>
        </w:tabs>
        <w:ind w:left="0" w:firstLine="0"/>
        <w:jc w:val="both"/>
        <w:rPr>
          <w:rFonts w:cs="Arial"/>
        </w:rPr>
      </w:pPr>
      <w:r w:rsidRPr="00A51DF8">
        <w:rPr>
          <w:rFonts w:cs="Arial"/>
        </w:rPr>
        <w:t xml:space="preserve">The overall increase in personnel resources in the 2014/15 Final Budget after Transfers is the net result of ongoing regularizations of continuing functions and the redeployment of one temporary position (asset management function) into the </w:t>
      </w:r>
      <w:r>
        <w:rPr>
          <w:rFonts w:cs="Arial"/>
        </w:rPr>
        <w:t>P</w:t>
      </w:r>
      <w:r w:rsidRPr="00A51DF8">
        <w:rPr>
          <w:rFonts w:cs="Arial"/>
        </w:rPr>
        <w:t>rogram.</w:t>
      </w:r>
    </w:p>
    <w:p w:rsidR="001346E3" w:rsidRPr="00A51DF8" w:rsidRDefault="001346E3" w:rsidP="001363EE">
      <w:pPr>
        <w:jc w:val="both"/>
        <w:rPr>
          <w:rFonts w:cs="Arial"/>
          <w:szCs w:val="20"/>
        </w:rPr>
      </w:pPr>
    </w:p>
    <w:p w:rsidR="001346E3" w:rsidRPr="00A51DF8" w:rsidRDefault="001346E3" w:rsidP="001346E3">
      <w:pPr>
        <w:pStyle w:val="ListParagraph"/>
        <w:numPr>
          <w:ilvl w:val="0"/>
          <w:numId w:val="44"/>
        </w:numPr>
        <w:tabs>
          <w:tab w:val="left" w:pos="709"/>
        </w:tabs>
        <w:ind w:left="0" w:firstLine="0"/>
        <w:jc w:val="both"/>
        <w:rPr>
          <w:rFonts w:cs="Arial"/>
          <w:u w:val="single"/>
        </w:rPr>
      </w:pPr>
      <w:r w:rsidRPr="00A51DF8">
        <w:rPr>
          <w:rFonts w:cs="Arial"/>
        </w:rPr>
        <w:t>The shift in resources between the Expected Results is primarily due to the fact that resources dedicated to the mainstreaming of the new modules and capabilities of the ERP system were linked to ER IX.2</w:t>
      </w:r>
      <w:r>
        <w:rPr>
          <w:rFonts w:cs="Arial"/>
        </w:rPr>
        <w:t xml:space="preserve"> (Agile and smooth functioning Secretariat)</w:t>
      </w:r>
      <w:r w:rsidRPr="00A51DF8">
        <w:rPr>
          <w:rFonts w:cs="Arial"/>
        </w:rPr>
        <w:t xml:space="preserve"> in the 2014/15 Approved Budget</w:t>
      </w:r>
      <w:r>
        <w:rPr>
          <w:rFonts w:cs="Arial"/>
        </w:rPr>
        <w:t xml:space="preserve">. </w:t>
      </w:r>
      <w:r w:rsidRPr="00A51DF8">
        <w:rPr>
          <w:rFonts w:cs="Arial"/>
        </w:rPr>
        <w:t xml:space="preserve"> </w:t>
      </w:r>
      <w:r>
        <w:rPr>
          <w:rFonts w:cs="Arial"/>
        </w:rPr>
        <w:t>S</w:t>
      </w:r>
      <w:r w:rsidRPr="00A51DF8">
        <w:rPr>
          <w:rFonts w:cs="Arial"/>
        </w:rPr>
        <w:t xml:space="preserve">ince these activities </w:t>
      </w:r>
      <w:r>
        <w:rPr>
          <w:rFonts w:cs="Arial"/>
        </w:rPr>
        <w:t>were</w:t>
      </w:r>
      <w:r w:rsidRPr="00A51DF8">
        <w:rPr>
          <w:rFonts w:cs="Arial"/>
        </w:rPr>
        <w:t xml:space="preserve"> primarily service related, </w:t>
      </w:r>
      <w:r>
        <w:rPr>
          <w:rFonts w:cs="Arial"/>
        </w:rPr>
        <w:t xml:space="preserve">however, </w:t>
      </w:r>
      <w:r w:rsidRPr="00A51DF8">
        <w:rPr>
          <w:rFonts w:cs="Arial"/>
        </w:rPr>
        <w:t>they were more accurately reflected under ER IX.1</w:t>
      </w:r>
      <w:r w:rsidR="0069693E">
        <w:rPr>
          <w:rFonts w:cs="Arial"/>
        </w:rPr>
        <w:t xml:space="preserve"> </w:t>
      </w:r>
      <w:r>
        <w:rPr>
          <w:rFonts w:cs="Arial"/>
        </w:rPr>
        <w:t>(</w:t>
      </w:r>
      <w:r w:rsidRPr="005C117F">
        <w:rPr>
          <w:rFonts w:cs="Arial"/>
        </w:rPr>
        <w:t>Effective, efficient, quality and customer-oriented support services</w:t>
      </w:r>
      <w:r>
        <w:rPr>
          <w:rFonts w:cs="Arial"/>
        </w:rPr>
        <w:t>)</w:t>
      </w:r>
      <w:r w:rsidRPr="00A51DF8">
        <w:rPr>
          <w:rFonts w:cs="Arial"/>
        </w:rPr>
        <w:t xml:space="preserve">in the 2014/15 Final Budget after Transfers. </w:t>
      </w:r>
      <w:r>
        <w:rPr>
          <w:rFonts w:cs="Arial"/>
        </w:rPr>
        <w:t xml:space="preserve"> </w:t>
      </w:r>
      <w:r w:rsidRPr="00A51DF8">
        <w:rPr>
          <w:rFonts w:cs="Arial"/>
        </w:rPr>
        <w:t xml:space="preserve">The increase under ER IX.8 </w:t>
      </w:r>
      <w:r>
        <w:rPr>
          <w:rFonts w:cs="Arial"/>
        </w:rPr>
        <w:t xml:space="preserve">(Improved accountability, internal control and corporate governance) </w:t>
      </w:r>
      <w:r w:rsidRPr="00A51DF8">
        <w:rPr>
          <w:rFonts w:cs="Arial"/>
        </w:rPr>
        <w:t>is primarily due to the increased support provided by the Program to the work of the External Auditors.</w:t>
      </w:r>
    </w:p>
    <w:p w:rsidR="001346E3" w:rsidRDefault="001346E3" w:rsidP="001363EE">
      <w:pPr>
        <w:autoSpaceDE w:val="0"/>
        <w:autoSpaceDN w:val="0"/>
        <w:jc w:val="both"/>
        <w:rPr>
          <w:rFonts w:cs="Arial"/>
          <w:szCs w:val="20"/>
          <w:lang w:eastAsia="ko-KR"/>
        </w:rPr>
      </w:pPr>
    </w:p>
    <w:p w:rsidR="001346E3" w:rsidRDefault="001346E3" w:rsidP="00F33ED1">
      <w:pPr>
        <w:tabs>
          <w:tab w:val="left" w:pos="709"/>
        </w:tabs>
        <w:jc w:val="both"/>
        <w:rPr>
          <w:rFonts w:cs="Arial"/>
          <w:szCs w:val="20"/>
          <w:u w:val="single"/>
          <w:lang w:eastAsia="ko-KR"/>
        </w:rPr>
      </w:pPr>
      <w:r>
        <w:rPr>
          <w:rFonts w:cs="Arial"/>
          <w:szCs w:val="20"/>
          <w:lang w:eastAsia="ko-KR"/>
        </w:rPr>
        <w:t>B.</w:t>
      </w:r>
      <w:r>
        <w:rPr>
          <w:rFonts w:cs="Arial"/>
          <w:szCs w:val="20"/>
          <w:lang w:eastAsia="ko-KR"/>
        </w:rPr>
        <w:tab/>
      </w:r>
      <w:r>
        <w:rPr>
          <w:rFonts w:cs="Arial"/>
          <w:szCs w:val="20"/>
          <w:u w:val="single"/>
          <w:lang w:eastAsia="ko-KR"/>
        </w:rPr>
        <w:t xml:space="preserve">2014/15 Budget Utilization </w:t>
      </w:r>
    </w:p>
    <w:p w:rsidR="001346E3" w:rsidRDefault="001346E3" w:rsidP="001363EE">
      <w:pPr>
        <w:jc w:val="both"/>
      </w:pPr>
    </w:p>
    <w:p w:rsidR="001346E3" w:rsidRDefault="001346E3" w:rsidP="001346E3">
      <w:pPr>
        <w:pStyle w:val="ListParagraph"/>
        <w:numPr>
          <w:ilvl w:val="0"/>
          <w:numId w:val="44"/>
        </w:numPr>
        <w:tabs>
          <w:tab w:val="left" w:pos="709"/>
        </w:tabs>
        <w:ind w:left="0" w:firstLine="0"/>
        <w:jc w:val="both"/>
      </w:pPr>
      <w:r>
        <w:t>Budget utilization is within the expected range for the biennium.</w:t>
      </w:r>
    </w:p>
    <w:p w:rsidR="001346E3" w:rsidRPr="001C6F4D" w:rsidRDefault="001346E3" w:rsidP="000E148D">
      <w:pPr>
        <w:rPr>
          <w:szCs w:val="20"/>
        </w:rPr>
      </w:pPr>
    </w:p>
    <w:p w:rsidR="00D97F1C" w:rsidRDefault="00D97F1C">
      <w:r>
        <w:br w:type="page"/>
      </w:r>
    </w:p>
    <w:p w:rsidR="00E55863" w:rsidRPr="00C66D90" w:rsidRDefault="00E55863" w:rsidP="007854A1">
      <w:pPr>
        <w:pStyle w:val="Heading2"/>
        <w:tabs>
          <w:tab w:val="clear" w:pos="567"/>
          <w:tab w:val="left" w:pos="1985"/>
        </w:tabs>
        <w:ind w:left="0" w:firstLine="0"/>
        <w:jc w:val="both"/>
        <w:rPr>
          <w:szCs w:val="20"/>
        </w:rPr>
      </w:pPr>
      <w:bookmarkStart w:id="106" w:name="_Toc422210512"/>
      <w:bookmarkStart w:id="107" w:name="_Toc454544497"/>
      <w:r w:rsidRPr="00C66D90">
        <w:rPr>
          <w:szCs w:val="20"/>
        </w:rPr>
        <w:t>PROGRAM 23</w:t>
      </w:r>
      <w:r w:rsidRPr="00C66D90">
        <w:rPr>
          <w:szCs w:val="20"/>
        </w:rPr>
        <w:tab/>
        <w:t>HUMAN RESOURCES MANAGEMENT AND DEVELOPMENT</w:t>
      </w:r>
      <w:bookmarkEnd w:id="106"/>
      <w:bookmarkEnd w:id="107"/>
    </w:p>
    <w:p w:rsidR="00E55863" w:rsidRPr="00C66D90" w:rsidRDefault="00E55863" w:rsidP="007854A1">
      <w:pPr>
        <w:tabs>
          <w:tab w:val="left" w:pos="1985"/>
        </w:tabs>
        <w:jc w:val="both"/>
        <w:rPr>
          <w:rFonts w:cs="Arial"/>
          <w:sz w:val="22"/>
          <w:szCs w:val="20"/>
        </w:rPr>
      </w:pPr>
    </w:p>
    <w:p w:rsidR="00E55863" w:rsidRPr="00784FF4" w:rsidRDefault="00E55863" w:rsidP="007854A1">
      <w:pPr>
        <w:tabs>
          <w:tab w:val="left" w:pos="1985"/>
        </w:tabs>
        <w:jc w:val="both"/>
        <w:rPr>
          <w:rFonts w:cs="Arial"/>
          <w:b/>
          <w:szCs w:val="20"/>
        </w:rPr>
      </w:pPr>
      <w:r w:rsidRPr="00784FF4">
        <w:rPr>
          <w:rFonts w:cs="Arial"/>
          <w:b/>
          <w:szCs w:val="20"/>
        </w:rPr>
        <w:t>Program Manager</w:t>
      </w:r>
      <w:r w:rsidRPr="00784FF4">
        <w:rPr>
          <w:rFonts w:cs="Arial"/>
          <w:b/>
          <w:szCs w:val="20"/>
        </w:rPr>
        <w:tab/>
      </w:r>
      <w:r>
        <w:rPr>
          <w:rFonts w:cs="Arial"/>
          <w:b/>
          <w:szCs w:val="20"/>
        </w:rPr>
        <w:t>Director General</w:t>
      </w:r>
    </w:p>
    <w:p w:rsidR="00E55863" w:rsidRPr="00797FCA" w:rsidRDefault="00E55863" w:rsidP="007854A1">
      <w:pPr>
        <w:jc w:val="both"/>
        <w:rPr>
          <w:rFonts w:cs="Arial"/>
          <w:szCs w:val="20"/>
        </w:rPr>
      </w:pPr>
    </w:p>
    <w:p w:rsidR="00E55863" w:rsidRPr="00784FF4" w:rsidRDefault="00E55863" w:rsidP="007854A1">
      <w:pPr>
        <w:jc w:val="both"/>
        <w:rPr>
          <w:rFonts w:cs="Arial"/>
          <w:bCs/>
          <w:szCs w:val="20"/>
        </w:rPr>
      </w:pPr>
      <w:r>
        <w:rPr>
          <w:rFonts w:cs="Arial"/>
          <w:bCs/>
          <w:szCs w:val="20"/>
        </w:rPr>
        <w:t>ACHIEVEMENTS IN THE 2014/15 BIENNIUM</w:t>
      </w:r>
    </w:p>
    <w:p w:rsidR="00E55863" w:rsidRPr="00797FCA" w:rsidRDefault="00E55863" w:rsidP="007854A1">
      <w:pPr>
        <w:jc w:val="both"/>
        <w:rPr>
          <w:rFonts w:cs="Arial"/>
          <w:szCs w:val="22"/>
        </w:rPr>
      </w:pPr>
    </w:p>
    <w:p w:rsidR="00E55863" w:rsidRDefault="00E55863" w:rsidP="007854A1">
      <w:pPr>
        <w:jc w:val="both"/>
        <w:rPr>
          <w:rFonts w:cs="Arial"/>
          <w:szCs w:val="20"/>
        </w:rPr>
      </w:pPr>
    </w:p>
    <w:p w:rsidR="00E55863" w:rsidRDefault="00E55863" w:rsidP="00E55863">
      <w:pPr>
        <w:pStyle w:val="ListParagraph"/>
        <w:numPr>
          <w:ilvl w:val="0"/>
          <w:numId w:val="72"/>
        </w:numPr>
        <w:tabs>
          <w:tab w:val="left" w:pos="709"/>
        </w:tabs>
        <w:ind w:left="0" w:firstLine="0"/>
        <w:jc w:val="both"/>
        <w:rPr>
          <w:rFonts w:cs="Arial"/>
        </w:rPr>
      </w:pPr>
      <w:r w:rsidRPr="00173627">
        <w:rPr>
          <w:rFonts w:cs="Arial"/>
        </w:rPr>
        <w:t>The 2014/15 biennium saw the</w:t>
      </w:r>
      <w:r>
        <w:rPr>
          <w:rFonts w:cs="Arial"/>
        </w:rPr>
        <w:t xml:space="preserve"> first biennium of</w:t>
      </w:r>
      <w:r w:rsidRPr="00173627">
        <w:rPr>
          <w:rFonts w:cs="Arial"/>
        </w:rPr>
        <w:t xml:space="preserve"> implementation of the Human Resource (HR) Strategy</w:t>
      </w:r>
      <w:r>
        <w:rPr>
          <w:rFonts w:cs="Arial"/>
        </w:rPr>
        <w:t>,</w:t>
      </w:r>
      <w:r w:rsidRPr="00173627">
        <w:rPr>
          <w:rFonts w:cs="Arial"/>
        </w:rPr>
        <w:t xml:space="preserve"> which was approved by Member States in 2013.  </w:t>
      </w:r>
      <w:r>
        <w:rPr>
          <w:rFonts w:cs="Arial"/>
        </w:rPr>
        <w:t xml:space="preserve">Although the work of the Program remained largely operational, the Program </w:t>
      </w:r>
      <w:r w:rsidRPr="00F74AE9">
        <w:rPr>
          <w:rFonts w:cs="Arial"/>
        </w:rPr>
        <w:t>continued its engagement with staff and managers</w:t>
      </w:r>
      <w:r>
        <w:rPr>
          <w:rFonts w:cs="Arial"/>
        </w:rPr>
        <w:t xml:space="preserve"> to ensure the efficient and effective delivery of results.</w:t>
      </w:r>
    </w:p>
    <w:p w:rsidR="00E55863" w:rsidRDefault="00E55863" w:rsidP="007854A1">
      <w:pPr>
        <w:jc w:val="both"/>
        <w:rPr>
          <w:rFonts w:cs="Arial"/>
          <w:szCs w:val="20"/>
        </w:rPr>
      </w:pPr>
    </w:p>
    <w:p w:rsidR="00E55863" w:rsidRDefault="00E55863" w:rsidP="00E55863">
      <w:pPr>
        <w:pStyle w:val="ListParagraph"/>
        <w:numPr>
          <w:ilvl w:val="0"/>
          <w:numId w:val="72"/>
        </w:numPr>
        <w:tabs>
          <w:tab w:val="left" w:pos="709"/>
        </w:tabs>
        <w:ind w:left="0" w:firstLine="0"/>
        <w:jc w:val="both"/>
        <w:rPr>
          <w:rFonts w:cs="Arial"/>
        </w:rPr>
      </w:pPr>
      <w:r w:rsidRPr="005A5052" w:rsidDel="00696517">
        <w:rPr>
          <w:rFonts w:cs="Arial"/>
        </w:rPr>
        <w:t xml:space="preserve">Efforts to improve geographical </w:t>
      </w:r>
      <w:r w:rsidRPr="005A5052">
        <w:rPr>
          <w:rFonts w:cs="Arial"/>
        </w:rPr>
        <w:t xml:space="preserve">and gender </w:t>
      </w:r>
      <w:r w:rsidRPr="005A5052" w:rsidDel="00696517">
        <w:rPr>
          <w:rFonts w:cs="Arial"/>
        </w:rPr>
        <w:t xml:space="preserve">diversity in staffing </w:t>
      </w:r>
      <w:r>
        <w:rPr>
          <w:rFonts w:cs="Arial"/>
        </w:rPr>
        <w:t>were intensified</w:t>
      </w:r>
      <w:r w:rsidRPr="005A5052">
        <w:rPr>
          <w:rFonts w:cs="Arial"/>
        </w:rPr>
        <w:t xml:space="preserve"> in 2014/15</w:t>
      </w:r>
      <w:r w:rsidRPr="005A5052" w:rsidDel="00696517">
        <w:rPr>
          <w:rFonts w:cs="Arial"/>
        </w:rPr>
        <w:t xml:space="preserve">.  Changes to the Staff Regulations and Rules </w:t>
      </w:r>
      <w:r>
        <w:rPr>
          <w:rFonts w:cs="Arial"/>
        </w:rPr>
        <w:t xml:space="preserve">(SRR) </w:t>
      </w:r>
      <w:r w:rsidRPr="005A5052" w:rsidDel="00696517">
        <w:rPr>
          <w:rFonts w:cs="Arial"/>
        </w:rPr>
        <w:t>were introduced as of November 1, 2014</w:t>
      </w:r>
      <w:r>
        <w:rPr>
          <w:rFonts w:cs="Arial"/>
        </w:rPr>
        <w:t>,</w:t>
      </w:r>
      <w:r w:rsidRPr="005A5052" w:rsidDel="00696517">
        <w:rPr>
          <w:rFonts w:cs="Arial"/>
        </w:rPr>
        <w:t xml:space="preserve"> requiring Appointment Boards to draw up a list of recommended candidates with the rationale for the recommendation rather than selected names in order of preference, thus allowing the Director General to exercise his discretion in filling posts to address gender and diversity imbalances.  </w:t>
      </w:r>
      <w:r w:rsidRPr="005A5052">
        <w:rPr>
          <w:rFonts w:cs="Arial"/>
        </w:rPr>
        <w:t>The engagement of Member States was sought</w:t>
      </w:r>
      <w:r>
        <w:rPr>
          <w:rFonts w:cs="Arial"/>
        </w:rPr>
        <w:t xml:space="preserve"> to raise awareness</w:t>
      </w:r>
      <w:r w:rsidRPr="005A5052">
        <w:rPr>
          <w:rFonts w:cs="Arial"/>
        </w:rPr>
        <w:t xml:space="preserve"> and WIPO External Offices were proactively encouraged to </w:t>
      </w:r>
      <w:r>
        <w:rPr>
          <w:rFonts w:cs="Arial"/>
        </w:rPr>
        <w:t xml:space="preserve">promote </w:t>
      </w:r>
      <w:r w:rsidRPr="005A5052">
        <w:rPr>
          <w:rFonts w:cs="Arial"/>
        </w:rPr>
        <w:t>WIPO as an ‘employer of choice’.  To this end, an information stand and session were organized during the Assemblies in 2014.  A</w:t>
      </w:r>
      <w:r>
        <w:rPr>
          <w:rFonts w:cs="Arial"/>
        </w:rPr>
        <w:t> </w:t>
      </w:r>
      <w:r w:rsidRPr="005A5052">
        <w:rPr>
          <w:rFonts w:cs="Arial"/>
        </w:rPr>
        <w:t>diversity candidate roster was established, providing pre-screened, qualified candidates from unrepresented Member States for temporary and fixed-term positions.  In addition, WIPO continued to strengthen its outreach through campaigns</w:t>
      </w:r>
      <w:r>
        <w:rPr>
          <w:rFonts w:cs="Arial"/>
        </w:rPr>
        <w:t xml:space="preserve"> </w:t>
      </w:r>
      <w:r w:rsidRPr="005A5052">
        <w:rPr>
          <w:rFonts w:cs="Arial"/>
        </w:rPr>
        <w:t>and social media (e.g. LinkedIn).  O</w:t>
      </w:r>
      <w:r>
        <w:rPr>
          <w:rFonts w:cs="Arial"/>
        </w:rPr>
        <w:t xml:space="preserve">ther initiatives included:  (i) the development of a </w:t>
      </w:r>
      <w:r w:rsidRPr="005A5052">
        <w:rPr>
          <w:rFonts w:cs="Arial"/>
        </w:rPr>
        <w:t>WIPO career website</w:t>
      </w:r>
      <w:r>
        <w:rPr>
          <w:rStyle w:val="FootnoteReference"/>
          <w:rFonts w:cs="Arial"/>
        </w:rPr>
        <w:footnoteReference w:id="128"/>
      </w:r>
      <w:r w:rsidRPr="005A5052">
        <w:rPr>
          <w:rFonts w:cs="Arial"/>
        </w:rPr>
        <w:t xml:space="preserve">;  (ii) the </w:t>
      </w:r>
      <w:r>
        <w:rPr>
          <w:rFonts w:cs="Arial"/>
        </w:rPr>
        <w:t>development</w:t>
      </w:r>
      <w:r w:rsidRPr="005A5052">
        <w:rPr>
          <w:rFonts w:cs="Arial"/>
        </w:rPr>
        <w:t xml:space="preserve"> of a more user-friendly recruitment tool;  (iii) the identification of focal points at national IP </w:t>
      </w:r>
      <w:r>
        <w:rPr>
          <w:rFonts w:cs="Arial"/>
        </w:rPr>
        <w:t>O</w:t>
      </w:r>
      <w:r w:rsidRPr="005A5052">
        <w:rPr>
          <w:rFonts w:cs="Arial"/>
        </w:rPr>
        <w:t xml:space="preserve">ffices and strategic national platforms for targeted advertising of WIPO jobs;  and (iv) the establishment of direct mailing lists for applicants from unrepresented and poorly represented Member States.  </w:t>
      </w:r>
      <w:r>
        <w:rPr>
          <w:rFonts w:cs="Arial"/>
        </w:rPr>
        <w:t>As a result of these intensified efforts, a</w:t>
      </w:r>
      <w:r w:rsidRPr="005A5052">
        <w:rPr>
          <w:rFonts w:cs="Arial"/>
        </w:rPr>
        <w:t xml:space="preserve">t the end of 2015, the percentage of staff members from Western Europe decreased to less than half of the staff in the Professional and higher categories, while the </w:t>
      </w:r>
      <w:r>
        <w:rPr>
          <w:rFonts w:cs="Arial"/>
        </w:rPr>
        <w:t>proportion</w:t>
      </w:r>
      <w:r w:rsidRPr="005A5052">
        <w:rPr>
          <w:rFonts w:cs="Arial"/>
        </w:rPr>
        <w:t xml:space="preserve"> of nationals from other regions, in particular Asia and the Pacific, Eastern and Central Europe and Central Asia, and North America</w:t>
      </w:r>
      <w:r>
        <w:rPr>
          <w:rFonts w:cs="Arial"/>
        </w:rPr>
        <w:t>,</w:t>
      </w:r>
      <w:r w:rsidRPr="005A5052">
        <w:rPr>
          <w:rFonts w:cs="Arial"/>
        </w:rPr>
        <w:t xml:space="preserve"> increased.</w:t>
      </w:r>
    </w:p>
    <w:p w:rsidR="00E55863" w:rsidRPr="005A5052" w:rsidRDefault="00E55863" w:rsidP="007854A1">
      <w:pPr>
        <w:pStyle w:val="ListParagraph"/>
        <w:tabs>
          <w:tab w:val="left" w:pos="709"/>
        </w:tabs>
        <w:ind w:left="0"/>
        <w:jc w:val="both"/>
        <w:rPr>
          <w:rFonts w:cs="Arial"/>
        </w:rPr>
      </w:pPr>
    </w:p>
    <w:p w:rsidR="00E55863" w:rsidRPr="002C4396" w:rsidRDefault="00E55863" w:rsidP="007854A1">
      <w:pPr>
        <w:pStyle w:val="Caption"/>
        <w:keepNext/>
        <w:jc w:val="center"/>
        <w:rPr>
          <w:b w:val="0"/>
          <w:i/>
          <w:sz w:val="16"/>
          <w:szCs w:val="16"/>
        </w:rPr>
      </w:pPr>
      <w:r w:rsidRPr="002C4396">
        <w:rPr>
          <w:b w:val="0"/>
          <w:i/>
          <w:sz w:val="16"/>
          <w:szCs w:val="16"/>
        </w:rPr>
        <w:t>Percentage of Professional and Higher Category Staff by Region 2012-2015</w:t>
      </w:r>
    </w:p>
    <w:p w:rsidR="00E55863" w:rsidRDefault="00E55863" w:rsidP="007854A1">
      <w:pPr>
        <w:pStyle w:val="Default"/>
        <w:tabs>
          <w:tab w:val="left" w:pos="709"/>
        </w:tabs>
        <w:jc w:val="center"/>
        <w:rPr>
          <w:color w:val="auto"/>
          <w:szCs w:val="20"/>
        </w:rPr>
      </w:pPr>
      <w:r>
        <w:rPr>
          <w:noProof/>
          <w:sz w:val="20"/>
          <w:szCs w:val="20"/>
          <w:lang w:eastAsia="en-US"/>
        </w:rPr>
        <w:drawing>
          <wp:inline distT="0" distB="0" distL="0" distR="0" wp14:anchorId="66B94ED1" wp14:editId="6E11898E">
            <wp:extent cx="4776471" cy="2266950"/>
            <wp:effectExtent l="0" t="0" r="5080" b="0"/>
            <wp:docPr id="150" name="Picture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6">
                      <a:extLst>
                        <a:ext uri="{28A0092B-C50C-407E-A947-70E740481C1C}">
                          <a14:useLocalDpi xmlns:a14="http://schemas.microsoft.com/office/drawing/2010/main" val="0"/>
                        </a:ext>
                      </a:extLst>
                    </a:blip>
                    <a:stretch>
                      <a:fillRect/>
                    </a:stretch>
                  </pic:blipFill>
                  <pic:spPr bwMode="auto">
                    <a:xfrm>
                      <a:off x="0" y="0"/>
                      <a:ext cx="4783803" cy="2270430"/>
                    </a:xfrm>
                    <a:prstGeom prst="rect">
                      <a:avLst/>
                    </a:prstGeom>
                    <a:noFill/>
                  </pic:spPr>
                </pic:pic>
              </a:graphicData>
            </a:graphic>
          </wp:inline>
        </w:drawing>
      </w:r>
    </w:p>
    <w:p w:rsidR="00E55863" w:rsidRPr="0093051A" w:rsidRDefault="00E55863" w:rsidP="007854A1">
      <w:pPr>
        <w:pStyle w:val="Default"/>
        <w:tabs>
          <w:tab w:val="left" w:pos="709"/>
        </w:tabs>
        <w:jc w:val="center"/>
        <w:rPr>
          <w:color w:val="auto"/>
          <w:szCs w:val="20"/>
        </w:rPr>
      </w:pPr>
    </w:p>
    <w:p w:rsidR="00E55863" w:rsidRPr="005A5052" w:rsidRDefault="00E55863" w:rsidP="00E55863">
      <w:pPr>
        <w:pStyle w:val="ListParagraph"/>
        <w:numPr>
          <w:ilvl w:val="0"/>
          <w:numId w:val="72"/>
        </w:numPr>
        <w:tabs>
          <w:tab w:val="left" w:pos="709"/>
        </w:tabs>
        <w:ind w:left="0" w:firstLine="0"/>
        <w:jc w:val="both"/>
        <w:rPr>
          <w:rFonts w:cs="Arial"/>
        </w:rPr>
      </w:pPr>
      <w:r w:rsidRPr="005A5052">
        <w:rPr>
          <w:rFonts w:cs="Arial"/>
        </w:rPr>
        <w:t xml:space="preserve">In 2014, WIPO issued its first Gender Equality Policy, with the twin objectives of mainstreaming the gender perspective in </w:t>
      </w:r>
      <w:r>
        <w:rPr>
          <w:rFonts w:cs="Arial"/>
        </w:rPr>
        <w:t xml:space="preserve">WIPO </w:t>
      </w:r>
      <w:r w:rsidRPr="005A5052">
        <w:rPr>
          <w:rFonts w:cs="Arial"/>
        </w:rPr>
        <w:t xml:space="preserve">activities, and a time-specific goal for achieving gender balance at all staffing levels.  Accordingly, a network of </w:t>
      </w:r>
      <w:r>
        <w:rPr>
          <w:rFonts w:cs="Arial"/>
        </w:rPr>
        <w:t>g</w:t>
      </w:r>
      <w:r w:rsidRPr="005A5052">
        <w:rPr>
          <w:rFonts w:cs="Arial"/>
        </w:rPr>
        <w:t xml:space="preserve">ender </w:t>
      </w:r>
      <w:r>
        <w:rPr>
          <w:rFonts w:cs="Arial"/>
        </w:rPr>
        <w:t>f</w:t>
      </w:r>
      <w:r w:rsidRPr="005A5052">
        <w:rPr>
          <w:rFonts w:cs="Arial"/>
        </w:rPr>
        <w:t xml:space="preserve">ocal </w:t>
      </w:r>
      <w:r>
        <w:rPr>
          <w:rFonts w:cs="Arial"/>
        </w:rPr>
        <w:t>p</w:t>
      </w:r>
      <w:r w:rsidRPr="005A5052">
        <w:rPr>
          <w:rFonts w:cs="Arial"/>
        </w:rPr>
        <w:t xml:space="preserve">oints covering all WIPO Programs was established, and WIPO joined the Geneva Champions network in its collective commitment to promote women in the workplace.  Internally, </w:t>
      </w:r>
      <w:r>
        <w:rPr>
          <w:rFonts w:cs="Arial"/>
        </w:rPr>
        <w:t xml:space="preserve">recruitment </w:t>
      </w:r>
      <w:r w:rsidRPr="005A5052">
        <w:rPr>
          <w:rFonts w:cs="Arial"/>
        </w:rPr>
        <w:t>efforts were intensified to redress the gender gap in staffing.  Initiatives, such as the Gender at Work lunch time talks, and a pilot program for the career development of women in middle-management, were launched to promote gender equality in the workplac</w:t>
      </w:r>
      <w:r>
        <w:rPr>
          <w:rFonts w:cs="Arial"/>
        </w:rPr>
        <w:t>e.  The latter involved five P4 </w:t>
      </w:r>
      <w:r w:rsidRPr="005A5052">
        <w:rPr>
          <w:rFonts w:cs="Arial"/>
        </w:rPr>
        <w:t>female staff, all with supervisory functions and outstanding performance records.  Preliminary feedback was very encouraging</w:t>
      </w:r>
      <w:r>
        <w:rPr>
          <w:rFonts w:cs="Arial"/>
        </w:rPr>
        <w:t xml:space="preserve">, and </w:t>
      </w:r>
      <w:r w:rsidRPr="00AD2E09">
        <w:rPr>
          <w:rFonts w:cs="Arial"/>
        </w:rPr>
        <w:t xml:space="preserve">an evaluation of the pilot </w:t>
      </w:r>
      <w:r>
        <w:rPr>
          <w:rFonts w:cs="Arial"/>
        </w:rPr>
        <w:t>was</w:t>
      </w:r>
      <w:r w:rsidRPr="00AD2E09">
        <w:rPr>
          <w:rFonts w:cs="Arial"/>
        </w:rPr>
        <w:t xml:space="preserve"> conducted by IOD with a report due in 2016.  </w:t>
      </w:r>
      <w:r w:rsidRPr="005A5052">
        <w:rPr>
          <w:rFonts w:cs="Arial"/>
        </w:rPr>
        <w:t xml:space="preserve">  While the percentage of women at the P4 level (46.1 per cent) represented a 2.7 percentage point increase over the 2013 baseline, fully achieving the target, gender balance targets remained challenging at the more senior management leve</w:t>
      </w:r>
      <w:r w:rsidRPr="00AD2E09">
        <w:rPr>
          <w:rFonts w:cs="Arial"/>
        </w:rPr>
        <w:t xml:space="preserve">ls.  New appointments of women at P5 and D1 levels succeeded in avoiding any widening of the gender gap following separations of female staff at these levels, </w:t>
      </w:r>
      <w:r>
        <w:rPr>
          <w:rFonts w:cs="Arial"/>
        </w:rPr>
        <w:t>however</w:t>
      </w:r>
      <w:r w:rsidRPr="005A5052">
        <w:rPr>
          <w:rFonts w:cs="Arial"/>
        </w:rPr>
        <w:t xml:space="preserve"> women at the D2</w:t>
      </w:r>
      <w:r>
        <w:rPr>
          <w:rFonts w:cs="Arial"/>
        </w:rPr>
        <w:t> </w:t>
      </w:r>
      <w:r w:rsidRPr="005A5052">
        <w:rPr>
          <w:rFonts w:cs="Arial"/>
        </w:rPr>
        <w:t>level saw a decrease of 11.1</w:t>
      </w:r>
      <w:r>
        <w:rPr>
          <w:rFonts w:cs="Arial"/>
        </w:rPr>
        <w:t> </w:t>
      </w:r>
      <w:r w:rsidRPr="005A5052">
        <w:rPr>
          <w:rFonts w:cs="Arial"/>
        </w:rPr>
        <w:t>percent</w:t>
      </w:r>
      <w:r>
        <w:rPr>
          <w:rFonts w:cs="Arial"/>
        </w:rPr>
        <w:t>age points</w:t>
      </w:r>
      <w:r w:rsidRPr="005A5052">
        <w:rPr>
          <w:rFonts w:cs="Arial"/>
        </w:rPr>
        <w:t xml:space="preserve">, as compared to 2013.  </w:t>
      </w:r>
    </w:p>
    <w:p w:rsidR="00E55863" w:rsidRDefault="00E55863" w:rsidP="007854A1">
      <w:pPr>
        <w:jc w:val="both"/>
      </w:pPr>
    </w:p>
    <w:p w:rsidR="00E55863" w:rsidRPr="00D43A2A" w:rsidRDefault="00E55863" w:rsidP="007854A1">
      <w:pPr>
        <w:pStyle w:val="Caption"/>
        <w:keepNext/>
        <w:jc w:val="center"/>
        <w:rPr>
          <w:b w:val="0"/>
          <w:i/>
        </w:rPr>
      </w:pPr>
      <w:r w:rsidRPr="00D43A2A">
        <w:rPr>
          <w:b w:val="0"/>
          <w:i/>
        </w:rPr>
        <w:t>Percentage of Professional and Higher Category Staff by Gender 2012-15</w:t>
      </w:r>
    </w:p>
    <w:p w:rsidR="00E55863" w:rsidRDefault="00E55863" w:rsidP="007854A1">
      <w:pPr>
        <w:jc w:val="center"/>
      </w:pPr>
      <w:r>
        <w:rPr>
          <w:noProof/>
        </w:rPr>
        <w:drawing>
          <wp:inline distT="0" distB="0" distL="0" distR="0" wp14:anchorId="31D7006D" wp14:editId="20382865">
            <wp:extent cx="4333875" cy="2414798"/>
            <wp:effectExtent l="0" t="0" r="0" b="5080"/>
            <wp:docPr id="151" name="Picture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R gender.png"/>
                    <pic:cNvPicPr/>
                  </pic:nvPicPr>
                  <pic:blipFill>
                    <a:blip r:embed="rId177">
                      <a:extLst>
                        <a:ext uri="{28A0092B-C50C-407E-A947-70E740481C1C}">
                          <a14:useLocalDpi xmlns:a14="http://schemas.microsoft.com/office/drawing/2010/main" val="0"/>
                        </a:ext>
                      </a:extLst>
                    </a:blip>
                    <a:stretch>
                      <a:fillRect/>
                    </a:stretch>
                  </pic:blipFill>
                  <pic:spPr>
                    <a:xfrm>
                      <a:off x="0" y="0"/>
                      <a:ext cx="4335172" cy="2415520"/>
                    </a:xfrm>
                    <a:prstGeom prst="rect">
                      <a:avLst/>
                    </a:prstGeom>
                  </pic:spPr>
                </pic:pic>
              </a:graphicData>
            </a:graphic>
          </wp:inline>
        </w:drawing>
      </w:r>
    </w:p>
    <w:p w:rsidR="00E55863" w:rsidRDefault="00E55863" w:rsidP="007854A1">
      <w:pPr>
        <w:jc w:val="center"/>
      </w:pPr>
    </w:p>
    <w:p w:rsidR="00E55863" w:rsidRPr="005A5052" w:rsidRDefault="00E55863" w:rsidP="00E55863">
      <w:pPr>
        <w:pStyle w:val="ListParagraph"/>
        <w:numPr>
          <w:ilvl w:val="0"/>
          <w:numId w:val="72"/>
        </w:numPr>
        <w:tabs>
          <w:tab w:val="left" w:pos="709"/>
        </w:tabs>
        <w:ind w:left="0" w:firstLine="0"/>
        <w:jc w:val="both"/>
        <w:rPr>
          <w:rFonts w:cs="Arial"/>
        </w:rPr>
      </w:pPr>
      <w:r w:rsidRPr="005A5052">
        <w:rPr>
          <w:rFonts w:cs="Arial"/>
        </w:rPr>
        <w:t xml:space="preserve">Progress </w:t>
      </w:r>
      <w:r>
        <w:rPr>
          <w:rFonts w:cs="Arial"/>
        </w:rPr>
        <w:t xml:space="preserve">also </w:t>
      </w:r>
      <w:r w:rsidRPr="005A5052">
        <w:rPr>
          <w:rFonts w:cs="Arial"/>
        </w:rPr>
        <w:t xml:space="preserve">continued to be made on mainstreaming organizational design and workforce planning as fully integrated key business activities.  Achievements for the biennium included:  </w:t>
      </w:r>
      <w:r>
        <w:t>(</w:t>
      </w:r>
      <w:r w:rsidRPr="00797FCA">
        <w:t>i)</w:t>
      </w:r>
      <w:r>
        <w:t> </w:t>
      </w:r>
      <w:r w:rsidRPr="00797FCA">
        <w:t xml:space="preserve">increased manager engagement </w:t>
      </w:r>
      <w:r>
        <w:t>i</w:t>
      </w:r>
      <w:r w:rsidRPr="00797FCA">
        <w:t>n workforce planning</w:t>
      </w:r>
      <w:r>
        <w:t xml:space="preserve"> </w:t>
      </w:r>
      <w:r w:rsidRPr="00797FCA">
        <w:t xml:space="preserve">through delivery of introductory workshops </w:t>
      </w:r>
      <w:r>
        <w:t>as well as development of related guidelines</w:t>
      </w:r>
      <w:r w:rsidRPr="00797FCA">
        <w:t xml:space="preserve">; </w:t>
      </w:r>
      <w:r>
        <w:t>(</w:t>
      </w:r>
      <w:r w:rsidRPr="00797FCA">
        <w:t>ii)</w:t>
      </w:r>
      <w:r>
        <w:t xml:space="preserve"> development of</w:t>
      </w:r>
      <w:r w:rsidRPr="00797FCA">
        <w:t xml:space="preserve"> 2014</w:t>
      </w:r>
      <w:r>
        <w:t>/</w:t>
      </w:r>
      <w:r w:rsidRPr="00797FCA">
        <w:t>15 workforce action plans</w:t>
      </w:r>
      <w:r>
        <w:t xml:space="preserve"> for each organizational unit to</w:t>
      </w:r>
      <w:r w:rsidRPr="00797FCA">
        <w:t xml:space="preserve"> capture key HR-related </w:t>
      </w:r>
      <w:r>
        <w:t>actions to meet business needs</w:t>
      </w:r>
      <w:r w:rsidRPr="00797FCA">
        <w:t xml:space="preserve">; </w:t>
      </w:r>
      <w:r>
        <w:t xml:space="preserve"> (iii</w:t>
      </w:r>
      <w:r w:rsidRPr="00797FCA">
        <w:t xml:space="preserve">) </w:t>
      </w:r>
      <w:r w:rsidRPr="005A5052">
        <w:rPr>
          <w:rFonts w:cs="Arial"/>
        </w:rPr>
        <w:t xml:space="preserve">an organization-wide exercise to </w:t>
      </w:r>
      <w:r>
        <w:rPr>
          <w:rFonts w:cs="Arial"/>
        </w:rPr>
        <w:t xml:space="preserve">update all job descriptions, ensuring that they accurately reflect business priorities;  </w:t>
      </w:r>
      <w:r>
        <w:t>and (iv) a more systematic and closer alignment of job descriptions and annual workplans.</w:t>
      </w:r>
      <w:r w:rsidRPr="005A5052">
        <w:rPr>
          <w:rFonts w:cs="Arial"/>
        </w:rPr>
        <w:t xml:space="preserve"> </w:t>
      </w:r>
      <w:r>
        <w:rPr>
          <w:rFonts w:cs="Arial"/>
        </w:rPr>
        <w:t xml:space="preserve"> </w:t>
      </w:r>
      <w:r w:rsidRPr="005A5052">
        <w:rPr>
          <w:rFonts w:cs="Arial"/>
        </w:rPr>
        <w:t xml:space="preserve">New </w:t>
      </w:r>
      <w:r>
        <w:rPr>
          <w:rFonts w:cs="Arial"/>
        </w:rPr>
        <w:t>p</w:t>
      </w:r>
      <w:r w:rsidRPr="005A5052">
        <w:rPr>
          <w:rFonts w:cs="Arial"/>
        </w:rPr>
        <w:t xml:space="preserve">ost </w:t>
      </w:r>
      <w:r>
        <w:rPr>
          <w:rFonts w:cs="Arial"/>
        </w:rPr>
        <w:t>m</w:t>
      </w:r>
      <w:r w:rsidRPr="005A5052">
        <w:rPr>
          <w:rFonts w:cs="Arial"/>
        </w:rPr>
        <w:t xml:space="preserve">anagement </w:t>
      </w:r>
      <w:r>
        <w:rPr>
          <w:rFonts w:cs="Arial"/>
        </w:rPr>
        <w:t>g</w:t>
      </w:r>
      <w:r w:rsidRPr="005A5052">
        <w:rPr>
          <w:rFonts w:cs="Arial"/>
        </w:rPr>
        <w:t xml:space="preserve">uidelines were also issued to ensure that planning assumptions are systematically revisited and that upcoming cross-organizational priorities are considered </w:t>
      </w:r>
      <w:r>
        <w:rPr>
          <w:rFonts w:cs="Arial"/>
        </w:rPr>
        <w:t xml:space="preserve">prior to filling vacant </w:t>
      </w:r>
      <w:r w:rsidRPr="005A5052">
        <w:rPr>
          <w:rFonts w:cs="Arial"/>
        </w:rPr>
        <w:t>post</w:t>
      </w:r>
      <w:r>
        <w:rPr>
          <w:rFonts w:cs="Arial"/>
        </w:rPr>
        <w:t>s</w:t>
      </w:r>
      <w:r w:rsidRPr="005A5052">
        <w:rPr>
          <w:rFonts w:cs="Arial"/>
        </w:rPr>
        <w:t xml:space="preserve">.  As part of workforce planning, managers were encouraged to consider the optimal mix of resources to efficiently address their business needs. </w:t>
      </w:r>
    </w:p>
    <w:p w:rsidR="00E55863" w:rsidRDefault="00E55863" w:rsidP="007854A1"/>
    <w:p w:rsidR="00E55863" w:rsidRPr="005A5052" w:rsidRDefault="00E55863" w:rsidP="00E55863">
      <w:pPr>
        <w:pStyle w:val="ListParagraph"/>
        <w:numPr>
          <w:ilvl w:val="0"/>
          <w:numId w:val="72"/>
        </w:numPr>
        <w:tabs>
          <w:tab w:val="left" w:pos="709"/>
        </w:tabs>
        <w:ind w:left="0" w:firstLine="0"/>
        <w:jc w:val="both"/>
        <w:rPr>
          <w:rFonts w:cs="Arial"/>
        </w:rPr>
      </w:pPr>
      <w:r w:rsidRPr="005A5052">
        <w:rPr>
          <w:rFonts w:cs="Arial"/>
        </w:rPr>
        <w:t xml:space="preserve">The regularization process for long-serving temporary employees (LSTEs) was completed in 2014, with 31 LSTEs regularized </w:t>
      </w:r>
      <w:r>
        <w:rPr>
          <w:rFonts w:cs="Arial"/>
        </w:rPr>
        <w:t xml:space="preserve">in 2014 </w:t>
      </w:r>
      <w:r w:rsidRPr="005A5052">
        <w:rPr>
          <w:rFonts w:cs="Arial"/>
        </w:rPr>
        <w:t xml:space="preserve">following a competition.  </w:t>
      </w:r>
      <w:r>
        <w:rPr>
          <w:rFonts w:cs="Arial"/>
        </w:rPr>
        <w:t>In addition, 40</w:t>
      </w:r>
      <w:r w:rsidRPr="005A5052">
        <w:rPr>
          <w:rFonts w:cs="Arial"/>
        </w:rPr>
        <w:t xml:space="preserve"> </w:t>
      </w:r>
      <w:r>
        <w:rPr>
          <w:rFonts w:cs="Arial"/>
        </w:rPr>
        <w:t xml:space="preserve">fixed term posts were advertised for the regularization of </w:t>
      </w:r>
      <w:r w:rsidRPr="005A5052">
        <w:rPr>
          <w:rFonts w:cs="Arial"/>
        </w:rPr>
        <w:t>continuing functions during the biennium</w:t>
      </w:r>
      <w:r>
        <w:rPr>
          <w:rFonts w:cs="Arial"/>
        </w:rPr>
        <w:t xml:space="preserve"> (17 in 2014 and </w:t>
      </w:r>
      <w:r w:rsidR="008111AA">
        <w:rPr>
          <w:rFonts w:cs="Arial"/>
        </w:rPr>
        <w:t>2</w:t>
      </w:r>
      <w:r>
        <w:rPr>
          <w:rFonts w:cs="Arial"/>
        </w:rPr>
        <w:t>3 in 2015), 30 of which were completed by the end of 2015</w:t>
      </w:r>
      <w:r w:rsidRPr="005A5052">
        <w:rPr>
          <w:rFonts w:cs="Arial"/>
        </w:rPr>
        <w:t xml:space="preserve">.  </w:t>
      </w:r>
    </w:p>
    <w:p w:rsidR="00E55863" w:rsidRDefault="00E55863" w:rsidP="007854A1">
      <w:pPr>
        <w:pStyle w:val="ListParagraph"/>
        <w:tabs>
          <w:tab w:val="left" w:pos="709"/>
        </w:tabs>
        <w:ind w:left="0"/>
        <w:jc w:val="both"/>
        <w:rPr>
          <w:rFonts w:cs="Arial"/>
        </w:rPr>
      </w:pPr>
    </w:p>
    <w:p w:rsidR="00E55863" w:rsidRPr="005A5052" w:rsidRDefault="00E55863" w:rsidP="00E55863">
      <w:pPr>
        <w:pStyle w:val="ListParagraph"/>
        <w:numPr>
          <w:ilvl w:val="0"/>
          <w:numId w:val="72"/>
        </w:numPr>
        <w:tabs>
          <w:tab w:val="left" w:pos="709"/>
        </w:tabs>
        <w:ind w:left="0" w:firstLine="0"/>
        <w:jc w:val="both"/>
        <w:rPr>
          <w:rFonts w:cs="Arial"/>
        </w:rPr>
      </w:pPr>
      <w:r>
        <w:rPr>
          <w:rFonts w:cs="Arial"/>
        </w:rPr>
        <w:t xml:space="preserve">The biennium continued to witness a significant level of recruitment activity, which resulted in a slower </w:t>
      </w:r>
      <w:r w:rsidRPr="005A5052">
        <w:rPr>
          <w:rFonts w:cs="Arial"/>
        </w:rPr>
        <w:t>average recruitment time for the biennium of 19.77 weeks, as compared to 16.03 weeks for 2012/13.  For the biennium, there were</w:t>
      </w:r>
      <w:r>
        <w:rPr>
          <w:rFonts w:cs="Arial"/>
        </w:rPr>
        <w:t xml:space="preserve"> a total of 255 competitions (183</w:t>
      </w:r>
      <w:r w:rsidRPr="005A5052">
        <w:rPr>
          <w:rFonts w:cs="Arial"/>
        </w:rPr>
        <w:t xml:space="preserve"> for fixed-term posts</w:t>
      </w:r>
      <w:r>
        <w:rPr>
          <w:rFonts w:cs="Arial"/>
        </w:rPr>
        <w:t>, a 29 per cent increase from 2012/13,</w:t>
      </w:r>
      <w:r w:rsidRPr="005A5052">
        <w:rPr>
          <w:rFonts w:cs="Arial"/>
        </w:rPr>
        <w:t xml:space="preserve"> and </w:t>
      </w:r>
      <w:r>
        <w:rPr>
          <w:rFonts w:cs="Arial"/>
        </w:rPr>
        <w:t>72</w:t>
      </w:r>
      <w:r w:rsidRPr="005A5052">
        <w:rPr>
          <w:rFonts w:cs="Arial"/>
        </w:rPr>
        <w:t xml:space="preserve"> for temporary positions</w:t>
      </w:r>
      <w:r>
        <w:rPr>
          <w:rFonts w:cs="Arial"/>
        </w:rPr>
        <w:t>)</w:t>
      </w:r>
      <w:r w:rsidRPr="005A5052">
        <w:rPr>
          <w:rFonts w:cs="Arial"/>
        </w:rPr>
        <w:t xml:space="preserve">.  In total, some </w:t>
      </w:r>
      <w:r>
        <w:rPr>
          <w:rFonts w:cs="Arial"/>
        </w:rPr>
        <w:t>30,320</w:t>
      </w:r>
      <w:r w:rsidRPr="005A5052">
        <w:rPr>
          <w:rFonts w:cs="Arial"/>
        </w:rPr>
        <w:t xml:space="preserve"> applications were received. </w:t>
      </w:r>
    </w:p>
    <w:p w:rsidR="00E55863" w:rsidRPr="00173627" w:rsidRDefault="00E55863" w:rsidP="007854A1">
      <w:pPr>
        <w:jc w:val="both"/>
        <w:rPr>
          <w:rFonts w:cs="Arial"/>
          <w:szCs w:val="20"/>
        </w:rPr>
      </w:pPr>
    </w:p>
    <w:p w:rsidR="00E55863" w:rsidRPr="005A5052" w:rsidRDefault="00E55863" w:rsidP="00E55863">
      <w:pPr>
        <w:pStyle w:val="ListParagraph"/>
        <w:numPr>
          <w:ilvl w:val="0"/>
          <w:numId w:val="72"/>
        </w:numPr>
        <w:tabs>
          <w:tab w:val="left" w:pos="709"/>
        </w:tabs>
        <w:ind w:left="0" w:firstLine="0"/>
        <w:jc w:val="both"/>
        <w:rPr>
          <w:rFonts w:cs="Arial"/>
        </w:rPr>
      </w:pPr>
      <w:r>
        <w:rPr>
          <w:rFonts w:cs="Arial"/>
        </w:rPr>
        <w:t>M</w:t>
      </w:r>
      <w:r w:rsidRPr="00F26ACE">
        <w:rPr>
          <w:rFonts w:cs="Arial"/>
        </w:rPr>
        <w:t>odernization of HRMD systems and processes continued during the biennium.  Development of a new integrated recruitment platform (using Taleo) was launched in 2015 and is expected to deliver further efficiencies in recruitment.  Early in 2014, the first phase of the ERP, aimed at integrating data and processes within HRMD and with other WIPO administrati</w:t>
      </w:r>
      <w:r>
        <w:rPr>
          <w:rFonts w:cs="Arial"/>
        </w:rPr>
        <w:t>ve and management</w:t>
      </w:r>
      <w:r w:rsidRPr="00F26ACE">
        <w:rPr>
          <w:rFonts w:cs="Arial"/>
        </w:rPr>
        <w:t xml:space="preserve"> functions, was completed</w:t>
      </w:r>
      <w:r>
        <w:rPr>
          <w:rFonts w:cs="Arial"/>
        </w:rPr>
        <w:t>.  F</w:t>
      </w:r>
      <w:r w:rsidRPr="00F26ACE">
        <w:rPr>
          <w:rFonts w:cs="Arial"/>
        </w:rPr>
        <w:t xml:space="preserve">urther </w:t>
      </w:r>
      <w:r>
        <w:rPr>
          <w:rFonts w:cs="Arial"/>
        </w:rPr>
        <w:t>enhancements</w:t>
      </w:r>
      <w:r w:rsidRPr="00F26ACE">
        <w:rPr>
          <w:rFonts w:cs="Arial"/>
        </w:rPr>
        <w:t xml:space="preserve"> delivered throughout the biennium</w:t>
      </w:r>
      <w:r>
        <w:rPr>
          <w:rFonts w:cs="Arial"/>
        </w:rPr>
        <w:t xml:space="preserve"> included</w:t>
      </w:r>
      <w:r w:rsidRPr="00F26ACE">
        <w:rPr>
          <w:rFonts w:cs="Arial"/>
        </w:rPr>
        <w:t xml:space="preserve"> </w:t>
      </w:r>
      <w:r w:rsidRPr="005A5052">
        <w:rPr>
          <w:rFonts w:cs="Arial"/>
        </w:rPr>
        <w:t xml:space="preserve">the development </w:t>
      </w:r>
      <w:r>
        <w:rPr>
          <w:rFonts w:cs="Arial"/>
        </w:rPr>
        <w:t xml:space="preserve">and launch </w:t>
      </w:r>
      <w:r w:rsidRPr="005A5052">
        <w:rPr>
          <w:rFonts w:cs="Arial"/>
        </w:rPr>
        <w:t>of the “Business Intelligence” HR management dashboard</w:t>
      </w:r>
      <w:r>
        <w:rPr>
          <w:rFonts w:cs="Arial"/>
        </w:rPr>
        <w:t xml:space="preserve"> and </w:t>
      </w:r>
      <w:r w:rsidRPr="00F26ACE">
        <w:rPr>
          <w:rFonts w:cs="Arial"/>
        </w:rPr>
        <w:t>self-service functionalities such as on-line personal information update and education grant requests</w:t>
      </w:r>
      <w:r>
        <w:rPr>
          <w:rFonts w:cs="Arial"/>
          <w:sz w:val="22"/>
          <w:szCs w:val="22"/>
        </w:rPr>
        <w:t>,</w:t>
      </w:r>
      <w:r w:rsidRPr="005A5052">
        <w:rPr>
          <w:rFonts w:cs="Arial"/>
        </w:rPr>
        <w:t xml:space="preserve"> reinforcing self-responsibility while minimizing labor-intensive HR tasks.</w:t>
      </w:r>
    </w:p>
    <w:p w:rsidR="00E55863" w:rsidRPr="00173627" w:rsidRDefault="00E55863" w:rsidP="007854A1">
      <w:pPr>
        <w:pStyle w:val="ListParagraph"/>
        <w:tabs>
          <w:tab w:val="left" w:pos="709"/>
        </w:tabs>
        <w:ind w:left="0"/>
        <w:jc w:val="both"/>
        <w:rPr>
          <w:rFonts w:cs="Arial"/>
        </w:rPr>
      </w:pPr>
    </w:p>
    <w:p w:rsidR="00E55863" w:rsidRPr="005A5052" w:rsidRDefault="00E55863" w:rsidP="00E55863">
      <w:pPr>
        <w:pStyle w:val="ListParagraph"/>
        <w:numPr>
          <w:ilvl w:val="0"/>
          <w:numId w:val="72"/>
        </w:numPr>
        <w:tabs>
          <w:tab w:val="left" w:pos="709"/>
        </w:tabs>
        <w:ind w:left="0" w:firstLine="0"/>
        <w:jc w:val="both"/>
        <w:rPr>
          <w:rFonts w:cs="Arial"/>
        </w:rPr>
      </w:pPr>
      <w:r w:rsidRPr="005A5052">
        <w:rPr>
          <w:rFonts w:cs="Arial"/>
        </w:rPr>
        <w:t xml:space="preserve">A tender for employees’ health, accident and loss of earnings insurance resulted in a new contract with lower premiums.   </w:t>
      </w:r>
      <w:r>
        <w:rPr>
          <w:rFonts w:cs="Arial"/>
        </w:rPr>
        <w:t>In 2015, t</w:t>
      </w:r>
      <w:r w:rsidRPr="005A5052">
        <w:rPr>
          <w:rFonts w:cs="Arial"/>
        </w:rPr>
        <w:t xml:space="preserve">he </w:t>
      </w:r>
      <w:r>
        <w:rPr>
          <w:rFonts w:cs="Arial"/>
        </w:rPr>
        <w:t xml:space="preserve">contract for </w:t>
      </w:r>
      <w:r w:rsidRPr="005A5052">
        <w:rPr>
          <w:rFonts w:cs="Arial"/>
        </w:rPr>
        <w:t xml:space="preserve">life insurance was renegotiated for a lower premium </w:t>
      </w:r>
      <w:r>
        <w:rPr>
          <w:rFonts w:cs="Arial"/>
        </w:rPr>
        <w:t>to go into effect in</w:t>
      </w:r>
      <w:r w:rsidRPr="005A5052">
        <w:rPr>
          <w:rFonts w:cs="Arial"/>
        </w:rPr>
        <w:t xml:space="preserve"> 2016.  Occupational health-related services were also </w:t>
      </w:r>
      <w:r>
        <w:rPr>
          <w:rFonts w:cs="Arial"/>
        </w:rPr>
        <w:t>provided by the</w:t>
      </w:r>
      <w:r w:rsidRPr="005A5052">
        <w:rPr>
          <w:rFonts w:cs="Arial"/>
        </w:rPr>
        <w:t xml:space="preserve"> WIPO Medical and Social Welfare Unit or in collaboration with the UNOG Medical Services.  </w:t>
      </w:r>
    </w:p>
    <w:p w:rsidR="00E55863" w:rsidRDefault="00E55863" w:rsidP="007854A1">
      <w:pPr>
        <w:pStyle w:val="ListParagraph"/>
        <w:tabs>
          <w:tab w:val="left" w:pos="709"/>
        </w:tabs>
        <w:ind w:left="0"/>
        <w:jc w:val="both"/>
        <w:rPr>
          <w:rFonts w:cs="Arial"/>
        </w:rPr>
      </w:pPr>
    </w:p>
    <w:p w:rsidR="00E55863" w:rsidRPr="005A5052" w:rsidRDefault="00E55863" w:rsidP="00E55863">
      <w:pPr>
        <w:pStyle w:val="ListParagraph"/>
        <w:numPr>
          <w:ilvl w:val="0"/>
          <w:numId w:val="72"/>
        </w:numPr>
        <w:tabs>
          <w:tab w:val="left" w:pos="709"/>
        </w:tabs>
        <w:ind w:left="0" w:firstLine="0"/>
        <w:jc w:val="both"/>
        <w:rPr>
          <w:rFonts w:cs="Arial"/>
        </w:rPr>
      </w:pPr>
      <w:r w:rsidRPr="00C46C44">
        <w:rPr>
          <w:rFonts w:cs="Arial"/>
        </w:rPr>
        <w:t xml:space="preserve">Growing maturity in WIPO’s performance management processes led to further enhancements of the </w:t>
      </w:r>
      <w:r w:rsidRPr="00C66D90">
        <w:rPr>
          <w:rFonts w:cs="Arial"/>
        </w:rPr>
        <w:t>Performance Management and Staff Development System (PMSDS)</w:t>
      </w:r>
      <w:r w:rsidRPr="00C46C44">
        <w:rPr>
          <w:rFonts w:cs="Arial"/>
        </w:rPr>
        <w:t>.</w:t>
      </w:r>
      <w:r w:rsidRPr="005A5052">
        <w:rPr>
          <w:rFonts w:cs="Arial"/>
        </w:rPr>
        <w:t xml:space="preserve">  </w:t>
      </w:r>
      <w:r w:rsidRPr="00C66D90">
        <w:rPr>
          <w:rFonts w:cs="Arial"/>
        </w:rPr>
        <w:t>The existing PMSDS Guidelines were replaced by a new Office Instruction (OI) and related PMSDS Handbooks to separate regulatory provisions from guidance.  In addition, changes were introduced to align PMSDS with the S</w:t>
      </w:r>
      <w:r>
        <w:rPr>
          <w:rFonts w:cs="Arial"/>
        </w:rPr>
        <w:t>RR</w:t>
      </w:r>
      <w:r w:rsidRPr="00C66D90">
        <w:rPr>
          <w:rFonts w:cs="Arial"/>
        </w:rPr>
        <w:t>, and related OIs, and to provide additional clarification on PMSDS-related matters based on experience gained through the application of the system.</w:t>
      </w:r>
      <w:r w:rsidRPr="005A5052">
        <w:rPr>
          <w:rFonts w:cs="Arial"/>
        </w:rPr>
        <w:t xml:space="preserve">  Compliance with the system continued to be very high, with 93.1 per cent of staff </w:t>
      </w:r>
      <w:r>
        <w:rPr>
          <w:rFonts w:cs="Arial"/>
        </w:rPr>
        <w:t xml:space="preserve">in 2014 and 92.8 per cent of staff in 2015 </w:t>
      </w:r>
      <w:r w:rsidRPr="005A5052">
        <w:rPr>
          <w:rFonts w:cs="Arial"/>
        </w:rPr>
        <w:t xml:space="preserve">covered by PMSDS evaluated against individual objectives and competencies.  </w:t>
      </w:r>
    </w:p>
    <w:p w:rsidR="00E55863" w:rsidRPr="005A5052" w:rsidRDefault="00E55863" w:rsidP="007854A1">
      <w:pPr>
        <w:pStyle w:val="ListParagraph"/>
        <w:tabs>
          <w:tab w:val="left" w:pos="709"/>
        </w:tabs>
        <w:ind w:left="0"/>
        <w:jc w:val="both"/>
        <w:rPr>
          <w:rFonts w:cs="Arial"/>
        </w:rPr>
      </w:pPr>
    </w:p>
    <w:p w:rsidR="00E55863" w:rsidRPr="005A5052" w:rsidRDefault="00E55863" w:rsidP="00E55863">
      <w:pPr>
        <w:pStyle w:val="ListParagraph"/>
        <w:numPr>
          <w:ilvl w:val="0"/>
          <w:numId w:val="72"/>
        </w:numPr>
        <w:tabs>
          <w:tab w:val="left" w:pos="709"/>
        </w:tabs>
        <w:ind w:left="0" w:firstLine="0"/>
        <w:jc w:val="both"/>
        <w:rPr>
          <w:rFonts w:cs="Arial"/>
        </w:rPr>
      </w:pPr>
      <w:r w:rsidRPr="005A5052">
        <w:rPr>
          <w:rFonts w:cs="Arial"/>
        </w:rPr>
        <w:t>WIPO’s Rewards and Recognition Program (RRP) continued with a second pilot carried out in 2014</w:t>
      </w:r>
      <w:r>
        <w:rPr>
          <w:rFonts w:cs="Arial"/>
        </w:rPr>
        <w:t> </w:t>
      </w:r>
      <w:r w:rsidRPr="005A5052">
        <w:rPr>
          <w:rFonts w:cs="Arial"/>
        </w:rPr>
        <w:t xml:space="preserve">and </w:t>
      </w:r>
      <w:r>
        <w:rPr>
          <w:rFonts w:cs="Arial"/>
        </w:rPr>
        <w:t>subsequently</w:t>
      </w:r>
      <w:r w:rsidRPr="005A5052">
        <w:rPr>
          <w:rFonts w:cs="Arial"/>
        </w:rPr>
        <w:t xml:space="preserve"> evaluated by IOD.  Two-thirds of respondents indicated that the </w:t>
      </w:r>
      <w:r>
        <w:rPr>
          <w:rFonts w:cs="Arial"/>
        </w:rPr>
        <w:t>RRP</w:t>
      </w:r>
      <w:r w:rsidRPr="005A5052">
        <w:rPr>
          <w:rFonts w:cs="Arial"/>
        </w:rPr>
        <w:t xml:space="preserve"> was relevant in recognizing good performance.  Based on IOD recommendations for better transparency and staff involvement, a new handbook on “Showing Recognition” was issued</w:t>
      </w:r>
      <w:r>
        <w:rPr>
          <w:rFonts w:cs="Arial"/>
        </w:rPr>
        <w:t>,</w:t>
      </w:r>
      <w:r w:rsidRPr="005A5052">
        <w:rPr>
          <w:rFonts w:cs="Arial"/>
        </w:rPr>
        <w:t xml:space="preserve"> and an Intranet page was developed.  </w:t>
      </w:r>
      <w:r w:rsidR="00923977">
        <w:rPr>
          <w:rFonts w:cs="Arial"/>
        </w:rPr>
        <w:t>In addition, a</w:t>
      </w:r>
      <w:r w:rsidRPr="005A5052">
        <w:rPr>
          <w:rFonts w:cs="Arial"/>
        </w:rPr>
        <w:t xml:space="preserve"> new category of award was established with direct staff participation in the nomination of candidates and the selection of awardees.  Following the two pilot implementations, a formal policy on RRP was issued in 2015.  </w:t>
      </w:r>
    </w:p>
    <w:p w:rsidR="00E55863" w:rsidRPr="00173627" w:rsidRDefault="00E55863" w:rsidP="007854A1">
      <w:pPr>
        <w:pStyle w:val="ListParagraph"/>
        <w:tabs>
          <w:tab w:val="left" w:pos="709"/>
        </w:tabs>
        <w:ind w:left="0"/>
        <w:jc w:val="both"/>
        <w:rPr>
          <w:rFonts w:cs="Arial"/>
        </w:rPr>
      </w:pPr>
    </w:p>
    <w:p w:rsidR="00E55863" w:rsidRPr="00D43A2A" w:rsidRDefault="00E55863" w:rsidP="00E55863">
      <w:pPr>
        <w:pStyle w:val="ListParagraph"/>
        <w:numPr>
          <w:ilvl w:val="0"/>
          <w:numId w:val="72"/>
        </w:numPr>
        <w:tabs>
          <w:tab w:val="left" w:pos="709"/>
        </w:tabs>
        <w:ind w:left="0" w:firstLine="0"/>
        <w:jc w:val="both"/>
        <w:rPr>
          <w:rFonts w:cs="Arial"/>
        </w:rPr>
      </w:pPr>
      <w:r w:rsidRPr="00B53C32">
        <w:rPr>
          <w:rFonts w:cs="Arial"/>
        </w:rPr>
        <w:t>In</w:t>
      </w:r>
      <w:r w:rsidRPr="00D43A2A">
        <w:rPr>
          <w:rFonts w:cs="Arial"/>
        </w:rPr>
        <w:t xml:space="preserve"> 2014, implementation of the new Learning and Development Policy to facilitate staff development and reduction of skills gaps </w:t>
      </w:r>
      <w:r w:rsidR="00923977">
        <w:rPr>
          <w:rFonts w:cs="Arial"/>
        </w:rPr>
        <w:t>started</w:t>
      </w:r>
      <w:r w:rsidRPr="00D43A2A">
        <w:rPr>
          <w:rFonts w:cs="Arial"/>
        </w:rPr>
        <w:t xml:space="preserve">.   </w:t>
      </w:r>
      <w:r w:rsidR="00923977">
        <w:rPr>
          <w:rFonts w:cs="Arial"/>
        </w:rPr>
        <w:t>N</w:t>
      </w:r>
      <w:r w:rsidRPr="00D43A2A">
        <w:rPr>
          <w:rFonts w:cs="Arial"/>
        </w:rPr>
        <w:t>ew initiatives on conflict resolution, stress management, quality management, project management and accreditation of prior learning were launched in order to increase managerial capacity</w:t>
      </w:r>
      <w:r w:rsidR="00923977">
        <w:rPr>
          <w:rFonts w:cs="Arial"/>
        </w:rPr>
        <w:t xml:space="preserve"> and to support career development</w:t>
      </w:r>
      <w:r w:rsidRPr="00D43A2A">
        <w:rPr>
          <w:rFonts w:cs="Arial"/>
        </w:rPr>
        <w:t xml:space="preserve">.  For the first time in 2015, </w:t>
      </w:r>
      <w:r>
        <w:rPr>
          <w:rFonts w:cs="Arial"/>
        </w:rPr>
        <w:t xml:space="preserve">the average number of training days per </w:t>
      </w:r>
      <w:r w:rsidRPr="00D43A2A">
        <w:rPr>
          <w:rFonts w:cs="Arial"/>
        </w:rPr>
        <w:t>staff</w:t>
      </w:r>
      <w:r>
        <w:rPr>
          <w:rStyle w:val="FootnoteReference"/>
          <w:rFonts w:cs="Arial"/>
        </w:rPr>
        <w:footnoteReference w:id="129"/>
      </w:r>
      <w:r>
        <w:rPr>
          <w:rFonts w:cs="Arial"/>
        </w:rPr>
        <w:t xml:space="preserve"> increased to</w:t>
      </w:r>
      <w:r w:rsidRPr="00D43A2A">
        <w:rPr>
          <w:rFonts w:cs="Arial"/>
        </w:rPr>
        <w:t xml:space="preserve"> six</w:t>
      </w:r>
      <w:r>
        <w:rPr>
          <w:rFonts w:cs="Arial"/>
        </w:rPr>
        <w:t>, as compared to five in 2014</w:t>
      </w:r>
      <w:r w:rsidRPr="00D43A2A">
        <w:rPr>
          <w:rFonts w:cs="Arial"/>
        </w:rPr>
        <w:t xml:space="preserve"> (one day more than the reported UN practice of five days).</w:t>
      </w:r>
      <w:r w:rsidRPr="00B53C32">
        <w:rPr>
          <w:rFonts w:cs="Arial"/>
        </w:rPr>
        <w:t xml:space="preserve"> </w:t>
      </w:r>
      <w:r>
        <w:rPr>
          <w:rFonts w:cs="Arial"/>
        </w:rPr>
        <w:t xml:space="preserve">  This increase was due in part to the launch of the Conflict Management training in 2015, </w:t>
      </w:r>
      <w:r w:rsidR="00923977">
        <w:rPr>
          <w:rFonts w:cs="Arial"/>
        </w:rPr>
        <w:t xml:space="preserve">in </w:t>
      </w:r>
      <w:r>
        <w:rPr>
          <w:rFonts w:cs="Arial"/>
        </w:rPr>
        <w:t xml:space="preserve">which </w:t>
      </w:r>
      <w:r w:rsidR="00923977">
        <w:rPr>
          <w:rFonts w:cs="Arial"/>
        </w:rPr>
        <w:t xml:space="preserve">about half of </w:t>
      </w:r>
      <w:r>
        <w:rPr>
          <w:rFonts w:cs="Arial"/>
        </w:rPr>
        <w:t>WIPO staff</w:t>
      </w:r>
      <w:r w:rsidR="00923977">
        <w:rPr>
          <w:rFonts w:cs="Arial"/>
        </w:rPr>
        <w:t>participated</w:t>
      </w:r>
      <w:r>
        <w:rPr>
          <w:rFonts w:cs="Arial"/>
        </w:rPr>
        <w:t xml:space="preserve">. </w:t>
      </w:r>
      <w:r w:rsidRPr="00B53C32">
        <w:rPr>
          <w:rFonts w:cs="Arial"/>
        </w:rPr>
        <w:t xml:space="preserve"> </w:t>
      </w:r>
    </w:p>
    <w:p w:rsidR="00E55863" w:rsidRPr="005A5052" w:rsidRDefault="00E55863" w:rsidP="007854A1">
      <w:pPr>
        <w:pStyle w:val="ListParagraph"/>
        <w:tabs>
          <w:tab w:val="left" w:pos="709"/>
        </w:tabs>
        <w:ind w:left="0"/>
        <w:jc w:val="both"/>
        <w:rPr>
          <w:rFonts w:cs="Arial"/>
        </w:rPr>
      </w:pPr>
    </w:p>
    <w:p w:rsidR="00E55863" w:rsidRPr="00BF06A9" w:rsidRDefault="00E55863" w:rsidP="00E55863">
      <w:pPr>
        <w:pStyle w:val="ListParagraph"/>
        <w:numPr>
          <w:ilvl w:val="0"/>
          <w:numId w:val="72"/>
        </w:numPr>
        <w:tabs>
          <w:tab w:val="left" w:pos="709"/>
        </w:tabs>
        <w:ind w:left="0" w:firstLine="0"/>
        <w:jc w:val="both"/>
        <w:rPr>
          <w:rFonts w:cs="Arial"/>
        </w:rPr>
      </w:pPr>
      <w:r w:rsidRPr="00BF06A9">
        <w:rPr>
          <w:rFonts w:cs="Arial"/>
        </w:rPr>
        <w:t>In the context of HR policy development and following the first comprehensive overhaul of the Staff Regulations and Rules in more than 40 years in 2012, further review and adjustments of the S</w:t>
      </w:r>
      <w:r>
        <w:rPr>
          <w:rFonts w:cs="Arial"/>
        </w:rPr>
        <w:t>RR</w:t>
      </w:r>
      <w:r w:rsidRPr="00BF06A9">
        <w:rPr>
          <w:rFonts w:cs="Arial"/>
        </w:rPr>
        <w:t xml:space="preserve"> were carried out throughout 2014 and 2015 and the related HR policy framework was established.  The changes carried out during the biennium allowed WIPO to maintain a sound regulatory framework aligned with best practices in the UN common system and fully adapted to support the changing needs and priorities of the Organization. </w:t>
      </w:r>
      <w:r>
        <w:rPr>
          <w:rFonts w:cs="Arial"/>
        </w:rPr>
        <w:t xml:space="preserve"> In 2014, the National Professional Officer (NPO) category was incorporated into the SRR to meet the needs of the WIPO External Offices.  The year 2015 saw the first temporary appointment of an NPO in the WBO.</w:t>
      </w:r>
    </w:p>
    <w:p w:rsidR="00E55863" w:rsidRPr="005A5052" w:rsidRDefault="00E55863" w:rsidP="007854A1">
      <w:pPr>
        <w:pStyle w:val="ListParagraph"/>
        <w:tabs>
          <w:tab w:val="left" w:pos="709"/>
        </w:tabs>
        <w:ind w:left="0"/>
        <w:jc w:val="both"/>
        <w:rPr>
          <w:rFonts w:cs="Arial"/>
        </w:rPr>
      </w:pPr>
    </w:p>
    <w:p w:rsidR="00E55863" w:rsidRDefault="00E55863" w:rsidP="00E55863">
      <w:pPr>
        <w:pStyle w:val="ListParagraph"/>
        <w:numPr>
          <w:ilvl w:val="0"/>
          <w:numId w:val="72"/>
        </w:numPr>
        <w:tabs>
          <w:tab w:val="left" w:pos="709"/>
        </w:tabs>
        <w:ind w:left="0" w:firstLine="0"/>
        <w:jc w:val="both"/>
        <w:rPr>
          <w:rFonts w:cs="Arial"/>
        </w:rPr>
      </w:pPr>
      <w:r w:rsidRPr="005A5052">
        <w:rPr>
          <w:rFonts w:cs="Arial"/>
        </w:rPr>
        <w:t xml:space="preserve">The new Joint Advisory Group (JAG), for which HRMD provides the </w:t>
      </w:r>
      <w:r>
        <w:rPr>
          <w:rFonts w:cs="Arial"/>
        </w:rPr>
        <w:t>s</w:t>
      </w:r>
      <w:r w:rsidRPr="005A5052">
        <w:rPr>
          <w:rFonts w:cs="Arial"/>
        </w:rPr>
        <w:t>ecretariat, was established in June 2014 to advise the Director General on personnel or administrative matters.  Staff may directly petition the JAG, creating an additional channel of staff-management communication.</w:t>
      </w:r>
    </w:p>
    <w:p w:rsidR="00E55863" w:rsidRDefault="00E55863" w:rsidP="007854A1">
      <w:pPr>
        <w:pStyle w:val="ListParagraph"/>
        <w:tabs>
          <w:tab w:val="left" w:pos="709"/>
        </w:tabs>
        <w:ind w:left="0"/>
        <w:jc w:val="both"/>
        <w:rPr>
          <w:rFonts w:cs="Arial"/>
        </w:rPr>
      </w:pPr>
    </w:p>
    <w:p w:rsidR="00E55863" w:rsidRDefault="00E55863" w:rsidP="007854A1">
      <w:pPr>
        <w:keepNext/>
        <w:keepLines/>
        <w:jc w:val="both"/>
        <w:rPr>
          <w:rFonts w:cs="Arial"/>
          <w:sz w:val="22"/>
          <w:szCs w:val="22"/>
        </w:rPr>
      </w:pPr>
      <w:r>
        <w:rPr>
          <w:rFonts w:cs="Arial"/>
          <w:sz w:val="22"/>
          <w:szCs w:val="22"/>
        </w:rPr>
        <w:t>PERFORMANCE DATA</w:t>
      </w:r>
    </w:p>
    <w:p w:rsidR="00E55863" w:rsidRDefault="00E55863" w:rsidP="007854A1">
      <w:pPr>
        <w:keepNext/>
        <w:keepLines/>
        <w:jc w:val="both"/>
        <w:rPr>
          <w:rFonts w:cs="Arial"/>
          <w:sz w:val="22"/>
          <w:szCs w:val="22"/>
        </w:rPr>
      </w:pPr>
    </w:p>
    <w:tbl>
      <w:tblPr>
        <w:tblW w:w="4884" w:type="pct"/>
        <w:tblInd w:w="108" w:type="dxa"/>
        <w:tblBorders>
          <w:top w:val="single" w:sz="4" w:space="0" w:color="auto"/>
          <w:left w:val="single" w:sz="4" w:space="0" w:color="auto"/>
          <w:bottom w:val="single" w:sz="4" w:space="0" w:color="auto"/>
          <w:right w:val="single" w:sz="4" w:space="0" w:color="auto"/>
        </w:tblBorders>
        <w:tblLayout w:type="fixed"/>
        <w:tblCellMar>
          <w:left w:w="115" w:type="dxa"/>
          <w:right w:w="115" w:type="dxa"/>
        </w:tblCellMar>
        <w:tblLook w:val="0000" w:firstRow="0" w:lastRow="0" w:firstColumn="0" w:lastColumn="0" w:noHBand="0" w:noVBand="0"/>
      </w:tblPr>
      <w:tblGrid>
        <w:gridCol w:w="2078"/>
        <w:gridCol w:w="2914"/>
        <w:gridCol w:w="1403"/>
        <w:gridCol w:w="258"/>
        <w:gridCol w:w="1575"/>
        <w:gridCol w:w="142"/>
        <w:gridCol w:w="6"/>
        <w:gridCol w:w="987"/>
      </w:tblGrid>
      <w:tr w:rsidR="00E55863" w:rsidRPr="00797FCA" w:rsidTr="005F75C8">
        <w:tc>
          <w:tcPr>
            <w:tcW w:w="5000" w:type="pct"/>
            <w:gridSpan w:val="8"/>
            <w:tcBorders>
              <w:top w:val="single" w:sz="4" w:space="0" w:color="auto"/>
              <w:bottom w:val="single" w:sz="4" w:space="0" w:color="auto"/>
            </w:tcBorders>
            <w:shd w:val="clear" w:color="auto" w:fill="C6D9F1" w:themeFill="text2" w:themeFillTint="33"/>
            <w:vAlign w:val="center"/>
          </w:tcPr>
          <w:p w:rsidR="00E55863" w:rsidRPr="00797FCA" w:rsidRDefault="00E55863" w:rsidP="007854A1">
            <w:pPr>
              <w:keepNext/>
              <w:keepLines/>
              <w:tabs>
                <w:tab w:val="left" w:pos="1452"/>
              </w:tabs>
              <w:spacing w:before="120" w:after="120"/>
              <w:ind w:left="1452" w:hanging="1452"/>
              <w:jc w:val="both"/>
              <w:rPr>
                <w:rFonts w:cs="Arial"/>
                <w:b/>
                <w:bCs/>
                <w:sz w:val="16"/>
                <w:szCs w:val="16"/>
              </w:rPr>
            </w:pPr>
            <w:r w:rsidRPr="00797FCA">
              <w:rPr>
                <w:rFonts w:cs="Arial"/>
                <w:b/>
                <w:bCs/>
                <w:sz w:val="16"/>
                <w:szCs w:val="16"/>
              </w:rPr>
              <w:t>Expected Result:</w:t>
            </w:r>
            <w:r w:rsidRPr="00797FCA">
              <w:rPr>
                <w:rFonts w:cs="Arial"/>
                <w:b/>
                <w:bCs/>
                <w:sz w:val="16"/>
                <w:szCs w:val="16"/>
              </w:rPr>
              <w:tab/>
            </w:r>
            <w:r w:rsidRPr="00797FCA">
              <w:rPr>
                <w:rFonts w:cs="Arial"/>
                <w:sz w:val="16"/>
                <w:szCs w:val="16"/>
              </w:rPr>
              <w:t>IX.1 Effective, efficient, quality and customer-oriented support services both to internal clients and to external stakeholders</w:t>
            </w:r>
          </w:p>
        </w:tc>
      </w:tr>
      <w:tr w:rsidR="00E55863" w:rsidRPr="00797FCA" w:rsidTr="00BA6F3B">
        <w:trPr>
          <w:trHeight w:val="144"/>
        </w:trPr>
        <w:tc>
          <w:tcPr>
            <w:tcW w:w="1110" w:type="pct"/>
            <w:tcBorders>
              <w:top w:val="single" w:sz="4" w:space="0" w:color="auto"/>
            </w:tcBorders>
            <w:shd w:val="clear" w:color="auto" w:fill="auto"/>
            <w:tcMar>
              <w:left w:w="115" w:type="dxa"/>
              <w:right w:w="115" w:type="dxa"/>
            </w:tcMar>
            <w:vAlign w:val="center"/>
          </w:tcPr>
          <w:p w:rsidR="00E55863" w:rsidRPr="00797FCA" w:rsidRDefault="00E55863" w:rsidP="007854A1">
            <w:pPr>
              <w:keepNext/>
              <w:keepLines/>
              <w:spacing w:after="120"/>
              <w:rPr>
                <w:rFonts w:cs="Arial"/>
                <w:sz w:val="16"/>
                <w:szCs w:val="16"/>
              </w:rPr>
            </w:pPr>
            <w:r w:rsidRPr="00797FCA">
              <w:rPr>
                <w:rFonts w:cs="Arial"/>
                <w:b/>
                <w:bCs/>
                <w:sz w:val="16"/>
                <w:szCs w:val="16"/>
              </w:rPr>
              <w:t>Performance Indicators</w:t>
            </w:r>
          </w:p>
        </w:tc>
        <w:tc>
          <w:tcPr>
            <w:tcW w:w="1556" w:type="pct"/>
            <w:tcBorders>
              <w:top w:val="single" w:sz="4" w:space="0" w:color="auto"/>
            </w:tcBorders>
            <w:shd w:val="clear" w:color="auto" w:fill="auto"/>
            <w:tcMar>
              <w:left w:w="115" w:type="dxa"/>
              <w:right w:w="115" w:type="dxa"/>
            </w:tcMar>
            <w:vAlign w:val="center"/>
          </w:tcPr>
          <w:p w:rsidR="00E55863" w:rsidRPr="00797FCA" w:rsidRDefault="00E55863" w:rsidP="007854A1">
            <w:pPr>
              <w:keepNext/>
              <w:keepLines/>
              <w:spacing w:after="120"/>
              <w:rPr>
                <w:rFonts w:cs="Arial"/>
                <w:b/>
                <w:bCs/>
                <w:sz w:val="16"/>
                <w:szCs w:val="16"/>
              </w:rPr>
            </w:pPr>
            <w:r w:rsidRPr="00797FCA">
              <w:rPr>
                <w:rFonts w:cs="Arial"/>
                <w:b/>
                <w:bCs/>
                <w:sz w:val="16"/>
                <w:szCs w:val="16"/>
              </w:rPr>
              <w:t>Baselines</w:t>
            </w:r>
          </w:p>
        </w:tc>
        <w:tc>
          <w:tcPr>
            <w:tcW w:w="887" w:type="pct"/>
            <w:gridSpan w:val="2"/>
            <w:tcBorders>
              <w:top w:val="single" w:sz="4" w:space="0" w:color="auto"/>
            </w:tcBorders>
            <w:shd w:val="clear" w:color="auto" w:fill="auto"/>
            <w:tcMar>
              <w:top w:w="110" w:type="dxa"/>
              <w:left w:w="115" w:type="dxa"/>
              <w:right w:w="115" w:type="dxa"/>
            </w:tcMar>
            <w:vAlign w:val="center"/>
          </w:tcPr>
          <w:p w:rsidR="00E55863" w:rsidRPr="00797FCA" w:rsidRDefault="00E55863" w:rsidP="007854A1">
            <w:pPr>
              <w:keepNext/>
              <w:keepLines/>
              <w:spacing w:after="120"/>
              <w:rPr>
                <w:rFonts w:cs="Arial"/>
                <w:b/>
                <w:sz w:val="16"/>
                <w:szCs w:val="16"/>
              </w:rPr>
            </w:pPr>
            <w:r w:rsidRPr="00797FCA">
              <w:rPr>
                <w:rFonts w:cs="Arial"/>
                <w:b/>
                <w:sz w:val="16"/>
                <w:szCs w:val="16"/>
              </w:rPr>
              <w:t>Targets</w:t>
            </w:r>
          </w:p>
        </w:tc>
        <w:tc>
          <w:tcPr>
            <w:tcW w:w="917" w:type="pct"/>
            <w:gridSpan w:val="2"/>
            <w:tcBorders>
              <w:top w:val="single" w:sz="4" w:space="0" w:color="auto"/>
            </w:tcBorders>
            <w:shd w:val="clear" w:color="auto" w:fill="FFFFFF"/>
            <w:tcMar>
              <w:top w:w="110" w:type="dxa"/>
              <w:left w:w="115" w:type="dxa"/>
              <w:right w:w="115" w:type="dxa"/>
            </w:tcMar>
            <w:vAlign w:val="center"/>
          </w:tcPr>
          <w:p w:rsidR="00E55863" w:rsidRPr="00797FCA" w:rsidRDefault="00E55863" w:rsidP="007854A1">
            <w:pPr>
              <w:keepNext/>
              <w:keepLines/>
              <w:spacing w:after="120"/>
              <w:rPr>
                <w:rFonts w:cs="Arial"/>
                <w:sz w:val="16"/>
                <w:szCs w:val="16"/>
              </w:rPr>
            </w:pPr>
            <w:r w:rsidRPr="00797FCA">
              <w:rPr>
                <w:rFonts w:cs="Arial"/>
                <w:b/>
                <w:bCs/>
                <w:sz w:val="16"/>
                <w:szCs w:val="16"/>
              </w:rPr>
              <w:t>Performance Data</w:t>
            </w:r>
          </w:p>
        </w:tc>
        <w:tc>
          <w:tcPr>
            <w:tcW w:w="530" w:type="pct"/>
            <w:gridSpan w:val="2"/>
            <w:tcBorders>
              <w:top w:val="single" w:sz="4" w:space="0" w:color="auto"/>
            </w:tcBorders>
            <w:shd w:val="clear" w:color="auto" w:fill="auto"/>
            <w:tcMar>
              <w:top w:w="110" w:type="dxa"/>
              <w:left w:w="115" w:type="dxa"/>
              <w:right w:w="115" w:type="dxa"/>
            </w:tcMar>
            <w:vAlign w:val="center"/>
          </w:tcPr>
          <w:p w:rsidR="00E55863" w:rsidRPr="00797FCA" w:rsidRDefault="00E55863" w:rsidP="007854A1">
            <w:pPr>
              <w:keepNext/>
              <w:keepLines/>
              <w:spacing w:after="120"/>
              <w:jc w:val="center"/>
              <w:rPr>
                <w:rFonts w:cs="Arial"/>
                <w:b/>
                <w:bCs/>
                <w:sz w:val="16"/>
                <w:szCs w:val="16"/>
              </w:rPr>
            </w:pPr>
            <w:r w:rsidRPr="00797FCA">
              <w:rPr>
                <w:rFonts w:cs="Arial"/>
                <w:b/>
                <w:bCs/>
                <w:sz w:val="16"/>
                <w:szCs w:val="16"/>
              </w:rPr>
              <w:t>TLS</w:t>
            </w:r>
          </w:p>
        </w:tc>
      </w:tr>
      <w:tr w:rsidR="00E55863" w:rsidRPr="00797FCA" w:rsidTr="00BA6F3B">
        <w:trPr>
          <w:trHeight w:val="144"/>
        </w:trPr>
        <w:tc>
          <w:tcPr>
            <w:tcW w:w="1110" w:type="pct"/>
            <w:shd w:val="clear" w:color="auto" w:fill="auto"/>
          </w:tcPr>
          <w:p w:rsidR="00E55863" w:rsidRPr="00797FCA" w:rsidRDefault="00E55863" w:rsidP="007854A1">
            <w:pPr>
              <w:keepNext/>
              <w:keepLines/>
              <w:rPr>
                <w:rFonts w:cs="Arial"/>
                <w:sz w:val="16"/>
                <w:szCs w:val="16"/>
              </w:rPr>
            </w:pPr>
            <w:r w:rsidRPr="00797FCA">
              <w:rPr>
                <w:rFonts w:cs="Arial"/>
                <w:sz w:val="16"/>
                <w:szCs w:val="16"/>
              </w:rPr>
              <w:t>% of staff satisfied with human resource services</w:t>
            </w:r>
          </w:p>
        </w:tc>
        <w:tc>
          <w:tcPr>
            <w:tcW w:w="1556" w:type="pct"/>
            <w:shd w:val="clear" w:color="auto" w:fill="auto"/>
          </w:tcPr>
          <w:p w:rsidR="00E55863" w:rsidRPr="00797FCA" w:rsidRDefault="00E55863" w:rsidP="007854A1">
            <w:pPr>
              <w:keepNext/>
              <w:keepLines/>
              <w:rPr>
                <w:rFonts w:cs="Arial"/>
                <w:color w:val="002060"/>
                <w:sz w:val="16"/>
                <w:szCs w:val="16"/>
                <w:lang w:bidi="th-TH"/>
              </w:rPr>
            </w:pPr>
            <w:r w:rsidRPr="00797FCA">
              <w:rPr>
                <w:rFonts w:cs="Arial"/>
                <w:i/>
                <w:color w:val="002060"/>
                <w:sz w:val="16"/>
                <w:szCs w:val="16"/>
              </w:rPr>
              <w:t xml:space="preserve">Updated Baseline end 2013:  </w:t>
            </w:r>
            <w:r w:rsidRPr="00797FCA">
              <w:rPr>
                <w:rFonts w:cs="Arial"/>
                <w:color w:val="002060"/>
                <w:sz w:val="16"/>
                <w:szCs w:val="16"/>
                <w:lang w:bidi="th-TH"/>
              </w:rPr>
              <w:t>Highly satisfied:  31.2%</w:t>
            </w:r>
          </w:p>
          <w:p w:rsidR="00E55863" w:rsidRPr="00797FCA" w:rsidRDefault="00E55863" w:rsidP="007854A1">
            <w:pPr>
              <w:keepNext/>
              <w:keepLines/>
              <w:rPr>
                <w:rFonts w:cs="Arial"/>
                <w:color w:val="002060"/>
                <w:sz w:val="16"/>
                <w:szCs w:val="16"/>
                <w:lang w:bidi="th-TH"/>
              </w:rPr>
            </w:pPr>
            <w:r w:rsidRPr="00797FCA">
              <w:rPr>
                <w:rFonts w:cs="Arial"/>
                <w:color w:val="002060"/>
                <w:sz w:val="16"/>
                <w:szCs w:val="16"/>
                <w:lang w:bidi="th-TH"/>
              </w:rPr>
              <w:t xml:space="preserve">Satisfied: </w:t>
            </w:r>
            <w:r>
              <w:rPr>
                <w:rFonts w:cs="Arial"/>
                <w:color w:val="002060"/>
                <w:sz w:val="16"/>
                <w:szCs w:val="16"/>
                <w:lang w:bidi="th-TH"/>
              </w:rPr>
              <w:t xml:space="preserve">46.2 </w:t>
            </w:r>
            <w:r w:rsidRPr="00797FCA">
              <w:rPr>
                <w:rFonts w:cs="Arial"/>
                <w:color w:val="002060"/>
                <w:sz w:val="16"/>
                <w:szCs w:val="16"/>
                <w:lang w:bidi="th-TH"/>
              </w:rPr>
              <w:t>%</w:t>
            </w:r>
          </w:p>
          <w:p w:rsidR="00E55863" w:rsidRPr="00797FCA" w:rsidRDefault="00E55863" w:rsidP="007854A1">
            <w:pPr>
              <w:keepNext/>
              <w:keepLines/>
              <w:rPr>
                <w:rFonts w:cs="Arial"/>
                <w:color w:val="002060"/>
                <w:sz w:val="16"/>
                <w:szCs w:val="16"/>
                <w:lang w:bidi="th-TH"/>
              </w:rPr>
            </w:pPr>
            <w:r w:rsidRPr="00797FCA">
              <w:rPr>
                <w:rFonts w:cs="Arial"/>
                <w:color w:val="002060"/>
                <w:sz w:val="16"/>
                <w:szCs w:val="16"/>
                <w:lang w:bidi="th-TH"/>
              </w:rPr>
              <w:t xml:space="preserve">Dissatisfied: </w:t>
            </w:r>
            <w:r>
              <w:rPr>
                <w:rFonts w:cs="Arial"/>
                <w:color w:val="002060"/>
                <w:sz w:val="16"/>
                <w:szCs w:val="16"/>
                <w:lang w:bidi="th-TH"/>
              </w:rPr>
              <w:t xml:space="preserve">18.9 </w:t>
            </w:r>
            <w:r w:rsidRPr="00797FCA">
              <w:rPr>
                <w:rFonts w:cs="Arial"/>
                <w:color w:val="002060"/>
                <w:sz w:val="16"/>
                <w:szCs w:val="16"/>
                <w:lang w:bidi="th-TH"/>
              </w:rPr>
              <w:t>%</w:t>
            </w:r>
          </w:p>
          <w:p w:rsidR="00E55863" w:rsidRPr="00797FCA" w:rsidRDefault="00E55863" w:rsidP="007854A1">
            <w:pPr>
              <w:keepNext/>
              <w:keepLines/>
              <w:rPr>
                <w:rFonts w:cs="Arial"/>
                <w:i/>
                <w:color w:val="002060"/>
                <w:sz w:val="16"/>
                <w:szCs w:val="16"/>
              </w:rPr>
            </w:pPr>
            <w:r w:rsidRPr="00797FCA">
              <w:rPr>
                <w:rFonts w:cs="Arial"/>
                <w:color w:val="002060"/>
                <w:sz w:val="16"/>
                <w:szCs w:val="16"/>
                <w:lang w:bidi="th-TH"/>
              </w:rPr>
              <w:t xml:space="preserve">Highly dissatisfied:  </w:t>
            </w:r>
            <w:r>
              <w:rPr>
                <w:rFonts w:cs="Arial"/>
                <w:color w:val="002060"/>
                <w:sz w:val="16"/>
                <w:szCs w:val="16"/>
                <w:lang w:bidi="th-TH"/>
              </w:rPr>
              <w:t xml:space="preserve">3.7 </w:t>
            </w:r>
            <w:r w:rsidRPr="00797FCA">
              <w:rPr>
                <w:rFonts w:cs="Arial"/>
                <w:color w:val="002060"/>
                <w:sz w:val="16"/>
                <w:szCs w:val="16"/>
                <w:lang w:bidi="th-TH"/>
              </w:rPr>
              <w:t>%</w:t>
            </w:r>
          </w:p>
          <w:p w:rsidR="00E55863" w:rsidRPr="00797FCA" w:rsidRDefault="00E55863" w:rsidP="007854A1">
            <w:pPr>
              <w:keepNext/>
              <w:keepLines/>
              <w:rPr>
                <w:rFonts w:cs="Arial"/>
                <w:i/>
                <w:color w:val="002060"/>
                <w:sz w:val="8"/>
                <w:szCs w:val="8"/>
              </w:rPr>
            </w:pPr>
          </w:p>
          <w:p w:rsidR="00E55863" w:rsidRPr="00797FCA" w:rsidRDefault="00E55863" w:rsidP="007854A1">
            <w:pPr>
              <w:keepNext/>
              <w:keepLines/>
              <w:rPr>
                <w:rFonts w:cs="Arial"/>
                <w:sz w:val="16"/>
                <w:szCs w:val="16"/>
              </w:rPr>
            </w:pPr>
            <w:r w:rsidRPr="00797FCA">
              <w:rPr>
                <w:rFonts w:cs="Arial"/>
                <w:i/>
                <w:sz w:val="16"/>
                <w:szCs w:val="16"/>
              </w:rPr>
              <w:t>Original Baseline P&amp;B 2014/15:</w:t>
            </w:r>
            <w:r w:rsidRPr="00797FCA">
              <w:rPr>
                <w:rFonts w:cs="Arial"/>
                <w:sz w:val="16"/>
                <w:szCs w:val="16"/>
              </w:rPr>
              <w:t xml:space="preserve">  Highly satisfied:  31.2%</w:t>
            </w:r>
          </w:p>
          <w:p w:rsidR="00E55863" w:rsidRPr="00797FCA" w:rsidRDefault="00E55863" w:rsidP="007854A1">
            <w:pPr>
              <w:keepNext/>
              <w:keepLines/>
              <w:rPr>
                <w:rFonts w:cs="Arial"/>
                <w:sz w:val="16"/>
                <w:szCs w:val="16"/>
              </w:rPr>
            </w:pPr>
            <w:r w:rsidRPr="00797FCA">
              <w:rPr>
                <w:rFonts w:cs="Arial"/>
                <w:sz w:val="16"/>
                <w:szCs w:val="16"/>
              </w:rPr>
              <w:t>Satisfied: 48.8%</w:t>
            </w:r>
          </w:p>
          <w:p w:rsidR="00E55863" w:rsidRPr="00797FCA" w:rsidRDefault="00E55863" w:rsidP="007854A1">
            <w:pPr>
              <w:keepNext/>
              <w:keepLines/>
              <w:rPr>
                <w:rFonts w:cs="Arial"/>
                <w:sz w:val="16"/>
                <w:szCs w:val="16"/>
              </w:rPr>
            </w:pPr>
            <w:r w:rsidRPr="00797FCA">
              <w:rPr>
                <w:rFonts w:cs="Arial"/>
                <w:sz w:val="16"/>
                <w:szCs w:val="16"/>
              </w:rPr>
              <w:t>Dissatisfied: 17.1%</w:t>
            </w:r>
          </w:p>
          <w:p w:rsidR="00E55863" w:rsidRPr="00797FCA" w:rsidRDefault="00E55863" w:rsidP="007854A1">
            <w:pPr>
              <w:keepNext/>
              <w:keepLines/>
              <w:rPr>
                <w:rFonts w:cs="Arial"/>
                <w:sz w:val="16"/>
                <w:szCs w:val="16"/>
              </w:rPr>
            </w:pPr>
            <w:r w:rsidRPr="00797FCA">
              <w:rPr>
                <w:rFonts w:cs="Arial"/>
                <w:sz w:val="16"/>
                <w:szCs w:val="16"/>
              </w:rPr>
              <w:t>Highly dissatisfied:  2.9%</w:t>
            </w:r>
          </w:p>
        </w:tc>
        <w:tc>
          <w:tcPr>
            <w:tcW w:w="887" w:type="pct"/>
            <w:gridSpan w:val="2"/>
            <w:shd w:val="clear" w:color="auto" w:fill="auto"/>
            <w:tcMar>
              <w:top w:w="110" w:type="dxa"/>
            </w:tcMar>
          </w:tcPr>
          <w:p w:rsidR="00E55863" w:rsidRPr="00797FCA" w:rsidRDefault="00E55863" w:rsidP="007854A1">
            <w:pPr>
              <w:keepNext/>
              <w:keepLines/>
              <w:rPr>
                <w:rFonts w:cs="Arial"/>
                <w:sz w:val="16"/>
                <w:szCs w:val="16"/>
                <w:lang w:bidi="th-TH"/>
              </w:rPr>
            </w:pPr>
            <w:r w:rsidRPr="00E46637">
              <w:rPr>
                <w:rFonts w:cs="Arial"/>
                <w:sz w:val="16"/>
                <w:szCs w:val="16"/>
              </w:rPr>
              <w:t>85 % highly satisfied or satisfied</w:t>
            </w:r>
          </w:p>
        </w:tc>
        <w:tc>
          <w:tcPr>
            <w:tcW w:w="917" w:type="pct"/>
            <w:gridSpan w:val="2"/>
            <w:shd w:val="clear" w:color="auto" w:fill="FFFFFF"/>
            <w:tcMar>
              <w:top w:w="110" w:type="dxa"/>
            </w:tcMar>
          </w:tcPr>
          <w:p w:rsidR="00E55863" w:rsidRPr="00797FCA" w:rsidRDefault="00E55863" w:rsidP="007854A1">
            <w:pPr>
              <w:keepNext/>
              <w:keepLines/>
              <w:rPr>
                <w:rFonts w:cs="Arial"/>
                <w:sz w:val="16"/>
                <w:szCs w:val="16"/>
              </w:rPr>
            </w:pPr>
            <w:r>
              <w:rPr>
                <w:rFonts w:cs="Arial"/>
                <w:sz w:val="16"/>
                <w:szCs w:val="16"/>
              </w:rPr>
              <w:t>No survey was conducted in 2014/15</w:t>
            </w:r>
          </w:p>
        </w:tc>
        <w:tc>
          <w:tcPr>
            <w:tcW w:w="530" w:type="pct"/>
            <w:gridSpan w:val="2"/>
            <w:shd w:val="clear" w:color="auto" w:fill="auto"/>
            <w:tcMar>
              <w:top w:w="110" w:type="dxa"/>
            </w:tcMar>
          </w:tcPr>
          <w:p w:rsidR="00E55863" w:rsidRPr="00EB00A9" w:rsidRDefault="00E55863" w:rsidP="007854A1">
            <w:pPr>
              <w:keepNext/>
              <w:keepLines/>
              <w:ind w:right="-114"/>
              <w:jc w:val="center"/>
              <w:rPr>
                <w:rFonts w:cs="Arial"/>
                <w:b/>
                <w:bCs/>
                <w:sz w:val="16"/>
                <w:szCs w:val="16"/>
              </w:rPr>
            </w:pPr>
            <w:r w:rsidRPr="00EB00A9">
              <w:rPr>
                <w:rFonts w:cs="Arial"/>
                <w:b/>
                <w:bCs/>
                <w:color w:val="808080" w:themeColor="background1" w:themeShade="80"/>
                <w:sz w:val="16"/>
                <w:szCs w:val="16"/>
              </w:rPr>
              <w:t>Not Assessable</w:t>
            </w:r>
          </w:p>
        </w:tc>
      </w:tr>
      <w:tr w:rsidR="00E55863" w:rsidRPr="00797FCA" w:rsidTr="00BA6F3B">
        <w:tc>
          <w:tcPr>
            <w:tcW w:w="1110" w:type="pct"/>
            <w:shd w:val="clear" w:color="auto" w:fill="auto"/>
          </w:tcPr>
          <w:p w:rsidR="00E55863" w:rsidRPr="00797FCA" w:rsidRDefault="00E55863" w:rsidP="007854A1">
            <w:pPr>
              <w:keepNext/>
              <w:keepLines/>
              <w:rPr>
                <w:rFonts w:cs="Arial"/>
                <w:sz w:val="16"/>
                <w:szCs w:val="16"/>
              </w:rPr>
            </w:pPr>
            <w:r w:rsidRPr="00797FCA">
              <w:rPr>
                <w:rFonts w:cs="Arial"/>
                <w:sz w:val="16"/>
                <w:szCs w:val="16"/>
              </w:rPr>
              <w:t>Timely, accurate, and efficient human resources operations services</w:t>
            </w:r>
          </w:p>
        </w:tc>
        <w:tc>
          <w:tcPr>
            <w:tcW w:w="1556" w:type="pct"/>
            <w:shd w:val="clear" w:color="auto" w:fill="auto"/>
          </w:tcPr>
          <w:p w:rsidR="00E55863" w:rsidRPr="00797FCA" w:rsidRDefault="00E55863" w:rsidP="007854A1">
            <w:pPr>
              <w:keepNext/>
              <w:keepLines/>
              <w:rPr>
                <w:rFonts w:cs="Arial"/>
                <w:sz w:val="16"/>
                <w:szCs w:val="16"/>
              </w:rPr>
            </w:pPr>
            <w:r w:rsidRPr="00797FCA">
              <w:rPr>
                <w:rFonts w:cs="Arial"/>
                <w:sz w:val="16"/>
                <w:szCs w:val="16"/>
              </w:rPr>
              <w:t>Seven working days</w:t>
            </w:r>
          </w:p>
          <w:p w:rsidR="00E55863" w:rsidRPr="00797FCA" w:rsidRDefault="00E55863" w:rsidP="007854A1">
            <w:pPr>
              <w:keepNext/>
              <w:keepLines/>
              <w:rPr>
                <w:rFonts w:cs="Arial"/>
                <w:sz w:val="16"/>
                <w:szCs w:val="16"/>
              </w:rPr>
            </w:pPr>
          </w:p>
        </w:tc>
        <w:tc>
          <w:tcPr>
            <w:tcW w:w="887" w:type="pct"/>
            <w:gridSpan w:val="2"/>
            <w:shd w:val="clear" w:color="auto" w:fill="auto"/>
            <w:tcMar>
              <w:top w:w="110" w:type="dxa"/>
            </w:tcMar>
          </w:tcPr>
          <w:p w:rsidR="00E55863" w:rsidRPr="00797FCA" w:rsidRDefault="00E55863" w:rsidP="007854A1">
            <w:pPr>
              <w:keepNext/>
              <w:keepLines/>
              <w:rPr>
                <w:rFonts w:cs="Arial"/>
                <w:sz w:val="16"/>
                <w:szCs w:val="16"/>
              </w:rPr>
            </w:pPr>
            <w:r w:rsidRPr="00E46637">
              <w:rPr>
                <w:rFonts w:cs="Arial"/>
                <w:sz w:val="16"/>
                <w:szCs w:val="16"/>
              </w:rPr>
              <w:t>Five working days</w:t>
            </w:r>
          </w:p>
        </w:tc>
        <w:tc>
          <w:tcPr>
            <w:tcW w:w="917" w:type="pct"/>
            <w:gridSpan w:val="2"/>
            <w:shd w:val="clear" w:color="auto" w:fill="FFFFFF"/>
            <w:tcMar>
              <w:top w:w="110" w:type="dxa"/>
            </w:tcMar>
          </w:tcPr>
          <w:p w:rsidR="00E55863" w:rsidRPr="00797FCA" w:rsidRDefault="00E55863" w:rsidP="007854A1">
            <w:pPr>
              <w:keepNext/>
              <w:keepLines/>
              <w:rPr>
                <w:rFonts w:cs="Arial"/>
                <w:sz w:val="16"/>
                <w:szCs w:val="16"/>
              </w:rPr>
            </w:pPr>
            <w:r w:rsidRPr="003D183B">
              <w:rPr>
                <w:rFonts w:cs="Arial"/>
                <w:sz w:val="16"/>
                <w:szCs w:val="16"/>
              </w:rPr>
              <w:t xml:space="preserve">100% of queries registered in the WINS ticketing system were responded to in five working days </w:t>
            </w:r>
          </w:p>
        </w:tc>
        <w:tc>
          <w:tcPr>
            <w:tcW w:w="530" w:type="pct"/>
            <w:gridSpan w:val="2"/>
            <w:shd w:val="clear" w:color="auto" w:fill="auto"/>
            <w:tcMar>
              <w:top w:w="110" w:type="dxa"/>
            </w:tcMar>
          </w:tcPr>
          <w:p w:rsidR="00E55863" w:rsidRPr="00EB00A9" w:rsidRDefault="00E55863" w:rsidP="007854A1">
            <w:pPr>
              <w:keepNext/>
              <w:keepLines/>
              <w:jc w:val="center"/>
              <w:rPr>
                <w:rFonts w:cs="Arial"/>
                <w:b/>
                <w:bCs/>
                <w:sz w:val="16"/>
                <w:szCs w:val="16"/>
              </w:rPr>
            </w:pPr>
            <w:r w:rsidRPr="00EB00A9">
              <w:rPr>
                <w:rFonts w:cs="Arial"/>
                <w:b/>
                <w:bCs/>
                <w:color w:val="00B050"/>
                <w:sz w:val="16"/>
                <w:szCs w:val="16"/>
              </w:rPr>
              <w:t>Fully Achieved</w:t>
            </w:r>
          </w:p>
        </w:tc>
      </w:tr>
      <w:tr w:rsidR="00E55863" w:rsidRPr="00797FCA" w:rsidTr="005F75C8">
        <w:tc>
          <w:tcPr>
            <w:tcW w:w="5000" w:type="pct"/>
            <w:gridSpan w:val="8"/>
            <w:tcBorders>
              <w:top w:val="single" w:sz="4" w:space="0" w:color="auto"/>
              <w:bottom w:val="single" w:sz="4" w:space="0" w:color="auto"/>
            </w:tcBorders>
            <w:shd w:val="clear" w:color="auto" w:fill="C6D9F1" w:themeFill="text2" w:themeFillTint="33"/>
            <w:vAlign w:val="center"/>
          </w:tcPr>
          <w:p w:rsidR="00E55863" w:rsidRPr="00797FCA" w:rsidRDefault="00E55863" w:rsidP="007854A1">
            <w:pPr>
              <w:tabs>
                <w:tab w:val="left" w:pos="1452"/>
              </w:tabs>
              <w:spacing w:before="120" w:after="120"/>
              <w:ind w:left="1452" w:hanging="1452"/>
              <w:rPr>
                <w:rFonts w:cs="Arial"/>
                <w:b/>
                <w:bCs/>
                <w:sz w:val="16"/>
                <w:szCs w:val="16"/>
              </w:rPr>
            </w:pPr>
            <w:r w:rsidRPr="00797FCA">
              <w:rPr>
                <w:rFonts w:cs="Arial"/>
                <w:b/>
                <w:bCs/>
                <w:sz w:val="16"/>
                <w:szCs w:val="16"/>
              </w:rPr>
              <w:t>Expected Result:</w:t>
            </w:r>
            <w:r w:rsidRPr="00797FCA">
              <w:rPr>
                <w:rFonts w:cs="Arial"/>
                <w:b/>
                <w:bCs/>
                <w:sz w:val="16"/>
                <w:szCs w:val="16"/>
              </w:rPr>
              <w:tab/>
            </w:r>
            <w:r w:rsidRPr="00797FCA">
              <w:rPr>
                <w:rFonts w:cs="Arial"/>
                <w:sz w:val="16"/>
                <w:szCs w:val="16"/>
              </w:rPr>
              <w:t>IX.2 An agile and smooth functioning Secretariat with a well</w:t>
            </w:r>
            <w:r>
              <w:rPr>
                <w:rFonts w:cs="Arial"/>
                <w:sz w:val="16"/>
                <w:szCs w:val="16"/>
              </w:rPr>
              <w:t>-</w:t>
            </w:r>
            <w:r w:rsidRPr="00797FCA">
              <w:rPr>
                <w:rFonts w:cs="Arial"/>
                <w:sz w:val="16"/>
                <w:szCs w:val="16"/>
              </w:rPr>
              <w:t>managed and appropriately skilled workforce which is effectively delivering results</w:t>
            </w:r>
          </w:p>
        </w:tc>
      </w:tr>
      <w:tr w:rsidR="00E55863" w:rsidRPr="00797FCA" w:rsidTr="005F75C8">
        <w:tc>
          <w:tcPr>
            <w:tcW w:w="1110" w:type="pct"/>
            <w:tcBorders>
              <w:top w:val="single" w:sz="4" w:space="0" w:color="auto"/>
            </w:tcBorders>
            <w:shd w:val="clear" w:color="auto" w:fill="auto"/>
            <w:vAlign w:val="center"/>
          </w:tcPr>
          <w:p w:rsidR="00E55863" w:rsidRPr="00797FCA" w:rsidRDefault="00E55863" w:rsidP="007854A1">
            <w:pPr>
              <w:rPr>
                <w:rFonts w:cs="Arial"/>
                <w:sz w:val="16"/>
                <w:szCs w:val="16"/>
              </w:rPr>
            </w:pPr>
            <w:r w:rsidRPr="00797FCA">
              <w:rPr>
                <w:rFonts w:cs="Arial"/>
                <w:b/>
                <w:bCs/>
                <w:sz w:val="16"/>
                <w:szCs w:val="16"/>
              </w:rPr>
              <w:t>Performance Indicators</w:t>
            </w:r>
          </w:p>
        </w:tc>
        <w:tc>
          <w:tcPr>
            <w:tcW w:w="1556" w:type="pct"/>
            <w:tcBorders>
              <w:top w:val="single" w:sz="4" w:space="0" w:color="auto"/>
            </w:tcBorders>
            <w:shd w:val="clear" w:color="auto" w:fill="auto"/>
            <w:vAlign w:val="center"/>
          </w:tcPr>
          <w:p w:rsidR="00E55863" w:rsidRPr="00797FCA" w:rsidRDefault="00E55863" w:rsidP="007854A1">
            <w:pPr>
              <w:rPr>
                <w:rFonts w:cs="Arial"/>
                <w:b/>
                <w:bCs/>
                <w:sz w:val="16"/>
                <w:szCs w:val="16"/>
              </w:rPr>
            </w:pPr>
            <w:r w:rsidRPr="00797FCA">
              <w:rPr>
                <w:rFonts w:cs="Arial"/>
                <w:b/>
                <w:bCs/>
                <w:sz w:val="16"/>
                <w:szCs w:val="16"/>
              </w:rPr>
              <w:t>Baselines</w:t>
            </w:r>
          </w:p>
        </w:tc>
        <w:tc>
          <w:tcPr>
            <w:tcW w:w="887" w:type="pct"/>
            <w:gridSpan w:val="2"/>
            <w:tcBorders>
              <w:top w:val="single" w:sz="4" w:space="0" w:color="auto"/>
            </w:tcBorders>
            <w:shd w:val="clear" w:color="auto" w:fill="auto"/>
            <w:tcMar>
              <w:top w:w="110" w:type="dxa"/>
            </w:tcMar>
            <w:vAlign w:val="center"/>
          </w:tcPr>
          <w:p w:rsidR="00E55863" w:rsidRPr="00797FCA" w:rsidRDefault="00E55863" w:rsidP="007854A1">
            <w:pPr>
              <w:rPr>
                <w:rFonts w:cs="Arial"/>
                <w:b/>
                <w:sz w:val="16"/>
                <w:szCs w:val="16"/>
              </w:rPr>
            </w:pPr>
            <w:r w:rsidRPr="00797FCA">
              <w:rPr>
                <w:rFonts w:cs="Arial"/>
                <w:b/>
                <w:sz w:val="16"/>
                <w:szCs w:val="16"/>
              </w:rPr>
              <w:t>Targets</w:t>
            </w:r>
          </w:p>
        </w:tc>
        <w:tc>
          <w:tcPr>
            <w:tcW w:w="920" w:type="pct"/>
            <w:gridSpan w:val="3"/>
            <w:tcBorders>
              <w:top w:val="single" w:sz="4" w:space="0" w:color="auto"/>
            </w:tcBorders>
            <w:shd w:val="clear" w:color="auto" w:fill="FFFFFF"/>
            <w:tcMar>
              <w:top w:w="110" w:type="dxa"/>
            </w:tcMar>
            <w:vAlign w:val="center"/>
          </w:tcPr>
          <w:p w:rsidR="00E55863" w:rsidRPr="00797FCA" w:rsidRDefault="00E55863" w:rsidP="007854A1">
            <w:pPr>
              <w:rPr>
                <w:rFonts w:cs="Arial"/>
                <w:sz w:val="16"/>
                <w:szCs w:val="16"/>
              </w:rPr>
            </w:pPr>
            <w:r w:rsidRPr="00797FCA">
              <w:rPr>
                <w:rFonts w:cs="Arial"/>
                <w:b/>
                <w:bCs/>
                <w:sz w:val="16"/>
                <w:szCs w:val="16"/>
              </w:rPr>
              <w:t>Performance Data</w:t>
            </w:r>
          </w:p>
        </w:tc>
        <w:tc>
          <w:tcPr>
            <w:tcW w:w="527" w:type="pct"/>
            <w:tcBorders>
              <w:top w:val="single" w:sz="4" w:space="0" w:color="auto"/>
            </w:tcBorders>
            <w:shd w:val="clear" w:color="auto" w:fill="auto"/>
            <w:tcMar>
              <w:top w:w="110" w:type="dxa"/>
            </w:tcMar>
            <w:vAlign w:val="center"/>
          </w:tcPr>
          <w:p w:rsidR="00E55863" w:rsidRPr="00797FCA" w:rsidRDefault="00E55863" w:rsidP="007854A1">
            <w:pPr>
              <w:jc w:val="center"/>
              <w:rPr>
                <w:rFonts w:cs="Arial"/>
                <w:b/>
                <w:bCs/>
                <w:sz w:val="16"/>
                <w:szCs w:val="16"/>
              </w:rPr>
            </w:pPr>
            <w:r w:rsidRPr="00797FCA">
              <w:rPr>
                <w:rFonts w:cs="Arial"/>
                <w:b/>
                <w:bCs/>
                <w:sz w:val="16"/>
                <w:szCs w:val="16"/>
              </w:rPr>
              <w:t>TLS</w:t>
            </w:r>
          </w:p>
        </w:tc>
      </w:tr>
      <w:tr w:rsidR="00E55863" w:rsidRPr="00797FCA" w:rsidTr="005F75C8">
        <w:trPr>
          <w:trHeight w:val="1285"/>
        </w:trPr>
        <w:tc>
          <w:tcPr>
            <w:tcW w:w="1110" w:type="pct"/>
            <w:shd w:val="clear" w:color="auto" w:fill="auto"/>
          </w:tcPr>
          <w:p w:rsidR="00E55863" w:rsidRPr="00797FCA" w:rsidRDefault="00E55863" w:rsidP="007854A1">
            <w:pPr>
              <w:rPr>
                <w:rFonts w:cs="Arial"/>
                <w:sz w:val="16"/>
                <w:szCs w:val="16"/>
              </w:rPr>
            </w:pPr>
            <w:r w:rsidRPr="00797FCA">
              <w:rPr>
                <w:rFonts w:cs="Arial"/>
                <w:sz w:val="16"/>
                <w:szCs w:val="16"/>
              </w:rPr>
              <w:t>Recruitment lead time</w:t>
            </w:r>
          </w:p>
        </w:tc>
        <w:tc>
          <w:tcPr>
            <w:tcW w:w="1556" w:type="pct"/>
            <w:shd w:val="clear" w:color="auto" w:fill="auto"/>
          </w:tcPr>
          <w:p w:rsidR="00E55863" w:rsidRPr="003322D2" w:rsidRDefault="00E55863" w:rsidP="007854A1">
            <w:pPr>
              <w:rPr>
                <w:rFonts w:cs="Arial"/>
                <w:color w:val="002060"/>
                <w:sz w:val="16"/>
                <w:szCs w:val="16"/>
              </w:rPr>
            </w:pPr>
            <w:r w:rsidRPr="00797FCA">
              <w:rPr>
                <w:rFonts w:cs="Arial"/>
                <w:i/>
                <w:color w:val="002060"/>
                <w:sz w:val="16"/>
                <w:szCs w:val="16"/>
              </w:rPr>
              <w:t xml:space="preserve">Updated Baseline end 2013:  </w:t>
            </w:r>
            <w:r w:rsidRPr="003322D2">
              <w:rPr>
                <w:rFonts w:cs="Arial"/>
                <w:color w:val="002060"/>
                <w:sz w:val="16"/>
                <w:szCs w:val="16"/>
              </w:rPr>
              <w:t>Biennium Average:  16.03 weeks (as of March 19, 2014)</w:t>
            </w:r>
          </w:p>
          <w:p w:rsidR="00E55863" w:rsidRDefault="00E55863" w:rsidP="007854A1">
            <w:pPr>
              <w:pStyle w:val="ListParagraph"/>
              <w:ind w:left="0"/>
              <w:rPr>
                <w:rFonts w:cs="Arial"/>
                <w:color w:val="002060"/>
                <w:sz w:val="16"/>
                <w:szCs w:val="16"/>
              </w:rPr>
            </w:pPr>
            <w:r w:rsidRPr="003322D2">
              <w:rPr>
                <w:rFonts w:cs="Arial"/>
                <w:color w:val="002060"/>
                <w:sz w:val="16"/>
                <w:szCs w:val="16"/>
              </w:rPr>
              <w:t>2012: 16.5 weeks</w:t>
            </w:r>
          </w:p>
          <w:p w:rsidR="00E55863" w:rsidRDefault="00E55863" w:rsidP="007854A1">
            <w:pPr>
              <w:pStyle w:val="ListParagraph"/>
              <w:ind w:left="0"/>
              <w:rPr>
                <w:i/>
                <w:sz w:val="8"/>
                <w:szCs w:val="8"/>
              </w:rPr>
            </w:pPr>
            <w:r w:rsidRPr="003322D2">
              <w:rPr>
                <w:rFonts w:cs="Arial"/>
                <w:color w:val="002060"/>
                <w:sz w:val="16"/>
                <w:szCs w:val="16"/>
              </w:rPr>
              <w:t>2013: 15.56 weeks</w:t>
            </w:r>
          </w:p>
          <w:p w:rsidR="00E55863" w:rsidRPr="00797FCA" w:rsidRDefault="00E55863" w:rsidP="007854A1">
            <w:pPr>
              <w:rPr>
                <w:rFonts w:cs="Arial"/>
                <w:i/>
                <w:color w:val="002060"/>
                <w:sz w:val="8"/>
                <w:szCs w:val="8"/>
              </w:rPr>
            </w:pPr>
          </w:p>
          <w:p w:rsidR="00E55863" w:rsidRPr="00797FCA" w:rsidRDefault="00E55863" w:rsidP="007854A1">
            <w:pPr>
              <w:rPr>
                <w:rFonts w:cs="Arial"/>
                <w:sz w:val="16"/>
                <w:szCs w:val="16"/>
              </w:rPr>
            </w:pPr>
            <w:r w:rsidRPr="00797FCA">
              <w:rPr>
                <w:rFonts w:cs="Arial"/>
                <w:i/>
                <w:sz w:val="16"/>
                <w:szCs w:val="16"/>
              </w:rPr>
              <w:t>Original Baseline P&amp;B 2014/15:</w:t>
            </w:r>
            <w:r w:rsidRPr="00797FCA">
              <w:rPr>
                <w:rFonts w:cs="Arial"/>
                <w:sz w:val="16"/>
                <w:szCs w:val="16"/>
              </w:rPr>
              <w:t xml:space="preserve">  21 weeks</w:t>
            </w:r>
          </w:p>
        </w:tc>
        <w:tc>
          <w:tcPr>
            <w:tcW w:w="887" w:type="pct"/>
            <w:gridSpan w:val="2"/>
            <w:shd w:val="clear" w:color="auto" w:fill="auto"/>
            <w:tcMar>
              <w:top w:w="110" w:type="dxa"/>
            </w:tcMar>
          </w:tcPr>
          <w:p w:rsidR="00E55863" w:rsidRPr="00797FCA" w:rsidRDefault="00E55863" w:rsidP="007854A1">
            <w:pPr>
              <w:rPr>
                <w:rFonts w:cs="Arial"/>
                <w:sz w:val="16"/>
                <w:szCs w:val="16"/>
              </w:rPr>
            </w:pPr>
            <w:r w:rsidRPr="00784FF4">
              <w:rPr>
                <w:rFonts w:cs="Arial"/>
                <w:sz w:val="16"/>
                <w:szCs w:val="16"/>
              </w:rPr>
              <w:t>19 weeks</w:t>
            </w:r>
          </w:p>
        </w:tc>
        <w:tc>
          <w:tcPr>
            <w:tcW w:w="920" w:type="pct"/>
            <w:gridSpan w:val="3"/>
            <w:shd w:val="clear" w:color="auto" w:fill="FFFFFF"/>
            <w:tcMar>
              <w:top w:w="110" w:type="dxa"/>
            </w:tcMar>
          </w:tcPr>
          <w:p w:rsidR="00E55863" w:rsidRDefault="00E55863" w:rsidP="007854A1">
            <w:pPr>
              <w:ind w:right="-204"/>
              <w:rPr>
                <w:rFonts w:cs="Arial"/>
                <w:sz w:val="16"/>
                <w:szCs w:val="16"/>
              </w:rPr>
            </w:pPr>
            <w:r w:rsidRPr="00CD5342">
              <w:rPr>
                <w:rFonts w:cs="Arial"/>
                <w:sz w:val="16"/>
                <w:szCs w:val="16"/>
              </w:rPr>
              <w:t xml:space="preserve">Biennium Average: </w:t>
            </w:r>
          </w:p>
          <w:p w:rsidR="00E55863" w:rsidRPr="00CD5342" w:rsidRDefault="00E55863" w:rsidP="007854A1">
            <w:pPr>
              <w:ind w:right="-113"/>
              <w:rPr>
                <w:rFonts w:cs="Arial"/>
                <w:sz w:val="16"/>
                <w:szCs w:val="16"/>
              </w:rPr>
            </w:pPr>
            <w:r w:rsidRPr="00CD5342">
              <w:rPr>
                <w:rFonts w:cs="Arial"/>
                <w:sz w:val="16"/>
                <w:szCs w:val="16"/>
              </w:rPr>
              <w:t>1</w:t>
            </w:r>
            <w:r>
              <w:rPr>
                <w:rFonts w:cs="Arial"/>
                <w:sz w:val="16"/>
                <w:szCs w:val="16"/>
              </w:rPr>
              <w:t>9.77</w:t>
            </w:r>
          </w:p>
          <w:p w:rsidR="00E55863" w:rsidRPr="00CD5342" w:rsidRDefault="00E55863" w:rsidP="007854A1">
            <w:pPr>
              <w:rPr>
                <w:rFonts w:cs="Arial"/>
                <w:sz w:val="16"/>
                <w:szCs w:val="16"/>
              </w:rPr>
            </w:pPr>
            <w:r w:rsidRPr="00CD5342">
              <w:rPr>
                <w:rFonts w:cs="Arial"/>
                <w:sz w:val="16"/>
                <w:szCs w:val="16"/>
              </w:rPr>
              <w:t>2014: 17.28 weeks</w:t>
            </w:r>
            <w:r>
              <w:rPr>
                <w:rStyle w:val="FootnoteReference"/>
                <w:rFonts w:cs="Arial"/>
                <w:sz w:val="16"/>
                <w:szCs w:val="16"/>
              </w:rPr>
              <w:footnoteReference w:id="130"/>
            </w:r>
            <w:r>
              <w:rPr>
                <w:rFonts w:cs="Arial"/>
                <w:sz w:val="16"/>
                <w:szCs w:val="16"/>
              </w:rPr>
              <w:t xml:space="preserve"> (includes 29 LSTEs)</w:t>
            </w:r>
          </w:p>
          <w:p w:rsidR="00E55863" w:rsidRDefault="00E55863" w:rsidP="007854A1">
            <w:pPr>
              <w:rPr>
                <w:rFonts w:cs="Arial"/>
                <w:sz w:val="16"/>
                <w:szCs w:val="16"/>
              </w:rPr>
            </w:pPr>
            <w:r w:rsidRPr="00CD5342">
              <w:rPr>
                <w:rFonts w:cs="Arial"/>
                <w:sz w:val="16"/>
                <w:szCs w:val="16"/>
              </w:rPr>
              <w:t xml:space="preserve">2015: </w:t>
            </w:r>
            <w:r>
              <w:rPr>
                <w:rFonts w:cs="Arial"/>
                <w:sz w:val="16"/>
                <w:szCs w:val="16"/>
              </w:rPr>
              <w:t xml:space="preserve">22.29 </w:t>
            </w:r>
            <w:r w:rsidRPr="00CD5342">
              <w:rPr>
                <w:rFonts w:cs="Arial"/>
                <w:sz w:val="16"/>
                <w:szCs w:val="16"/>
              </w:rPr>
              <w:t>weeks</w:t>
            </w:r>
            <w:r>
              <w:rPr>
                <w:rStyle w:val="FootnoteReference"/>
                <w:rFonts w:cs="Arial"/>
                <w:sz w:val="16"/>
                <w:szCs w:val="16"/>
              </w:rPr>
              <w:footnoteReference w:id="131"/>
            </w:r>
          </w:p>
          <w:p w:rsidR="00E55863" w:rsidRPr="00797FCA" w:rsidRDefault="00E55863" w:rsidP="007854A1">
            <w:pPr>
              <w:rPr>
                <w:rFonts w:cs="Arial"/>
                <w:sz w:val="16"/>
                <w:szCs w:val="16"/>
              </w:rPr>
            </w:pPr>
            <w:r>
              <w:rPr>
                <w:rFonts w:cs="Arial"/>
                <w:sz w:val="16"/>
                <w:szCs w:val="16"/>
              </w:rPr>
              <w:t>(no LSTEs in 2015)</w:t>
            </w:r>
          </w:p>
        </w:tc>
        <w:tc>
          <w:tcPr>
            <w:tcW w:w="527" w:type="pct"/>
            <w:shd w:val="clear" w:color="auto" w:fill="auto"/>
            <w:tcMar>
              <w:top w:w="110" w:type="dxa"/>
            </w:tcMar>
          </w:tcPr>
          <w:p w:rsidR="00E55863" w:rsidRPr="00EB00A9" w:rsidRDefault="00E55863" w:rsidP="007854A1">
            <w:pPr>
              <w:jc w:val="center"/>
              <w:rPr>
                <w:rFonts w:cs="Arial"/>
                <w:b/>
                <w:bCs/>
                <w:color w:val="00B050"/>
                <w:sz w:val="16"/>
                <w:szCs w:val="16"/>
              </w:rPr>
            </w:pPr>
            <w:r w:rsidRPr="00EB00A9">
              <w:rPr>
                <w:rFonts w:cs="Arial"/>
                <w:b/>
                <w:bCs/>
                <w:color w:val="00B050"/>
                <w:sz w:val="16"/>
                <w:szCs w:val="16"/>
              </w:rPr>
              <w:t>Fully Achieved</w:t>
            </w:r>
          </w:p>
        </w:tc>
      </w:tr>
      <w:tr w:rsidR="00E55863" w:rsidRPr="00797FCA" w:rsidTr="005F75C8">
        <w:trPr>
          <w:trHeight w:val="709"/>
        </w:trPr>
        <w:tc>
          <w:tcPr>
            <w:tcW w:w="1110" w:type="pct"/>
            <w:shd w:val="clear" w:color="auto" w:fill="auto"/>
          </w:tcPr>
          <w:p w:rsidR="00E55863" w:rsidRPr="00797FCA" w:rsidRDefault="00E55863" w:rsidP="007854A1">
            <w:pPr>
              <w:rPr>
                <w:rFonts w:cs="Arial"/>
                <w:sz w:val="16"/>
                <w:szCs w:val="16"/>
              </w:rPr>
            </w:pPr>
            <w:r w:rsidRPr="00797FCA">
              <w:rPr>
                <w:rFonts w:cs="Arial"/>
                <w:sz w:val="16"/>
                <w:szCs w:val="16"/>
              </w:rPr>
              <w:t>% of organizational units with existing workforce plans linked to annual workplans</w:t>
            </w:r>
          </w:p>
        </w:tc>
        <w:tc>
          <w:tcPr>
            <w:tcW w:w="1556" w:type="pct"/>
            <w:shd w:val="clear" w:color="auto" w:fill="auto"/>
          </w:tcPr>
          <w:p w:rsidR="00E55863" w:rsidRPr="00797FCA" w:rsidRDefault="00E55863" w:rsidP="007854A1">
            <w:pPr>
              <w:rPr>
                <w:rFonts w:cs="Arial"/>
                <w:color w:val="002060"/>
                <w:sz w:val="16"/>
                <w:szCs w:val="16"/>
                <w:lang w:bidi="th-TH"/>
              </w:rPr>
            </w:pPr>
            <w:r w:rsidRPr="00797FCA">
              <w:rPr>
                <w:rFonts w:cs="Arial"/>
                <w:i/>
                <w:color w:val="002060"/>
                <w:sz w:val="16"/>
                <w:szCs w:val="16"/>
              </w:rPr>
              <w:t xml:space="preserve">Updated Baseline end 2013:  </w:t>
            </w:r>
            <w:r w:rsidRPr="00797FCA">
              <w:rPr>
                <w:rFonts w:cs="Arial"/>
                <w:color w:val="002060"/>
                <w:sz w:val="16"/>
                <w:szCs w:val="16"/>
              </w:rPr>
              <w:t>0 (zero)</w:t>
            </w:r>
          </w:p>
          <w:p w:rsidR="00E55863" w:rsidRPr="00797FCA" w:rsidRDefault="00E55863" w:rsidP="007854A1">
            <w:pPr>
              <w:rPr>
                <w:rFonts w:cs="Arial"/>
                <w:i/>
                <w:color w:val="002060"/>
                <w:sz w:val="8"/>
                <w:szCs w:val="8"/>
              </w:rPr>
            </w:pPr>
          </w:p>
          <w:p w:rsidR="00E55863" w:rsidRPr="00CB34C5" w:rsidRDefault="00E55863" w:rsidP="007854A1">
            <w:pPr>
              <w:rPr>
                <w:rFonts w:cs="Arial"/>
                <w:sz w:val="16"/>
                <w:szCs w:val="16"/>
              </w:rPr>
            </w:pPr>
            <w:r w:rsidRPr="00797FCA">
              <w:rPr>
                <w:rFonts w:cs="Arial"/>
                <w:i/>
                <w:sz w:val="16"/>
                <w:szCs w:val="16"/>
              </w:rPr>
              <w:t>Original Baseline P&amp;B 2014/15:</w:t>
            </w:r>
            <w:r w:rsidRPr="00797FCA">
              <w:rPr>
                <w:rFonts w:cs="Arial"/>
                <w:sz w:val="16"/>
                <w:szCs w:val="16"/>
              </w:rPr>
              <w:t xml:space="preserve">  tbd</w:t>
            </w:r>
          </w:p>
        </w:tc>
        <w:tc>
          <w:tcPr>
            <w:tcW w:w="887" w:type="pct"/>
            <w:gridSpan w:val="2"/>
            <w:shd w:val="clear" w:color="auto" w:fill="auto"/>
            <w:tcMar>
              <w:top w:w="110" w:type="dxa"/>
            </w:tcMar>
          </w:tcPr>
          <w:p w:rsidR="00E55863" w:rsidRPr="00797FCA" w:rsidRDefault="00E55863" w:rsidP="007854A1">
            <w:pPr>
              <w:autoSpaceDE w:val="0"/>
              <w:autoSpaceDN w:val="0"/>
              <w:adjustRightInd w:val="0"/>
              <w:rPr>
                <w:rFonts w:cs="Arial"/>
                <w:sz w:val="16"/>
                <w:szCs w:val="16"/>
              </w:rPr>
            </w:pPr>
            <w:r w:rsidRPr="00784FF4">
              <w:rPr>
                <w:rFonts w:cs="Arial"/>
                <w:sz w:val="16"/>
                <w:szCs w:val="16"/>
              </w:rPr>
              <w:t xml:space="preserve">70% </w:t>
            </w:r>
          </w:p>
          <w:p w:rsidR="00E55863" w:rsidRPr="00784FF4" w:rsidRDefault="00E55863" w:rsidP="007854A1">
            <w:pPr>
              <w:rPr>
                <w:rFonts w:cs="Arial"/>
                <w:sz w:val="16"/>
                <w:szCs w:val="16"/>
              </w:rPr>
            </w:pPr>
          </w:p>
        </w:tc>
        <w:tc>
          <w:tcPr>
            <w:tcW w:w="920" w:type="pct"/>
            <w:gridSpan w:val="3"/>
            <w:shd w:val="clear" w:color="auto" w:fill="FFFFFF"/>
            <w:tcMar>
              <w:top w:w="110" w:type="dxa"/>
            </w:tcMar>
          </w:tcPr>
          <w:p w:rsidR="00E55863" w:rsidRPr="00CD5342" w:rsidRDefault="00E55863" w:rsidP="007854A1">
            <w:pPr>
              <w:rPr>
                <w:rFonts w:cs="Arial"/>
                <w:sz w:val="16"/>
                <w:szCs w:val="16"/>
              </w:rPr>
            </w:pPr>
            <w:r w:rsidRPr="00CD5342">
              <w:rPr>
                <w:rFonts w:cs="Arial"/>
                <w:sz w:val="16"/>
                <w:szCs w:val="16"/>
              </w:rPr>
              <w:t>90%</w:t>
            </w:r>
          </w:p>
        </w:tc>
        <w:tc>
          <w:tcPr>
            <w:tcW w:w="527" w:type="pct"/>
            <w:shd w:val="clear" w:color="auto" w:fill="auto"/>
            <w:tcMar>
              <w:top w:w="110" w:type="dxa"/>
            </w:tcMar>
          </w:tcPr>
          <w:p w:rsidR="00E55863" w:rsidRPr="00EB00A9" w:rsidRDefault="00E55863" w:rsidP="007854A1">
            <w:pPr>
              <w:jc w:val="center"/>
              <w:rPr>
                <w:rFonts w:cs="Arial"/>
                <w:b/>
                <w:bCs/>
                <w:color w:val="00B050"/>
                <w:sz w:val="16"/>
                <w:szCs w:val="16"/>
              </w:rPr>
            </w:pPr>
            <w:r w:rsidRPr="00EB00A9">
              <w:rPr>
                <w:rFonts w:cs="Arial"/>
                <w:b/>
                <w:bCs/>
                <w:color w:val="00B050"/>
                <w:sz w:val="16"/>
                <w:szCs w:val="16"/>
              </w:rPr>
              <w:t>Fully Achieved</w:t>
            </w:r>
          </w:p>
        </w:tc>
      </w:tr>
      <w:tr w:rsidR="00E55863" w:rsidRPr="00797FCA" w:rsidTr="005F75C8">
        <w:tc>
          <w:tcPr>
            <w:tcW w:w="1110" w:type="pct"/>
            <w:shd w:val="clear" w:color="auto" w:fill="auto"/>
          </w:tcPr>
          <w:p w:rsidR="00E55863" w:rsidRPr="00797FCA" w:rsidRDefault="00E55863" w:rsidP="007854A1">
            <w:pPr>
              <w:rPr>
                <w:rFonts w:cs="Arial"/>
                <w:sz w:val="16"/>
                <w:szCs w:val="16"/>
              </w:rPr>
            </w:pPr>
            <w:r w:rsidRPr="00797FCA">
              <w:rPr>
                <w:rFonts w:cs="Arial"/>
                <w:sz w:val="16"/>
                <w:szCs w:val="16"/>
              </w:rPr>
              <w:t>% of newly recruited staff that fits organizational needs</w:t>
            </w:r>
          </w:p>
        </w:tc>
        <w:tc>
          <w:tcPr>
            <w:tcW w:w="1556" w:type="pct"/>
            <w:shd w:val="clear" w:color="auto" w:fill="auto"/>
          </w:tcPr>
          <w:p w:rsidR="00E55863" w:rsidRPr="00797FCA" w:rsidRDefault="00E55863" w:rsidP="007854A1">
            <w:pPr>
              <w:rPr>
                <w:rFonts w:cs="Arial"/>
                <w:sz w:val="16"/>
                <w:szCs w:val="16"/>
              </w:rPr>
            </w:pPr>
            <w:r w:rsidRPr="00797FCA">
              <w:rPr>
                <w:rFonts w:cs="Arial"/>
                <w:sz w:val="16"/>
                <w:szCs w:val="16"/>
              </w:rPr>
              <w:t>tbd</w:t>
            </w:r>
          </w:p>
          <w:p w:rsidR="00E55863" w:rsidRPr="00797FCA" w:rsidRDefault="00E55863" w:rsidP="007854A1">
            <w:pPr>
              <w:rPr>
                <w:rFonts w:cs="Arial"/>
                <w:i/>
                <w:color w:val="002060"/>
                <w:sz w:val="16"/>
                <w:szCs w:val="16"/>
              </w:rPr>
            </w:pPr>
          </w:p>
        </w:tc>
        <w:tc>
          <w:tcPr>
            <w:tcW w:w="887" w:type="pct"/>
            <w:gridSpan w:val="2"/>
            <w:shd w:val="clear" w:color="auto" w:fill="auto"/>
            <w:tcMar>
              <w:top w:w="110" w:type="dxa"/>
            </w:tcMar>
          </w:tcPr>
          <w:p w:rsidR="00E55863" w:rsidRPr="00784FF4" w:rsidRDefault="00E55863" w:rsidP="007854A1">
            <w:pPr>
              <w:rPr>
                <w:rFonts w:cs="Arial"/>
                <w:sz w:val="16"/>
                <w:szCs w:val="16"/>
              </w:rPr>
            </w:pPr>
            <w:r w:rsidRPr="00784FF4">
              <w:rPr>
                <w:rFonts w:cs="Arial"/>
                <w:sz w:val="16"/>
                <w:szCs w:val="16"/>
              </w:rPr>
              <w:t>80% satisfactory performance after probation</w:t>
            </w:r>
          </w:p>
        </w:tc>
        <w:tc>
          <w:tcPr>
            <w:tcW w:w="920" w:type="pct"/>
            <w:gridSpan w:val="3"/>
            <w:shd w:val="clear" w:color="auto" w:fill="FFFFFF"/>
            <w:tcMar>
              <w:top w:w="110" w:type="dxa"/>
            </w:tcMar>
          </w:tcPr>
          <w:p w:rsidR="00E55863" w:rsidRPr="00CD5342" w:rsidRDefault="00E55863" w:rsidP="007854A1">
            <w:pPr>
              <w:rPr>
                <w:rFonts w:cs="Arial"/>
                <w:sz w:val="16"/>
                <w:szCs w:val="16"/>
              </w:rPr>
            </w:pPr>
            <w:r w:rsidRPr="00CD5342">
              <w:rPr>
                <w:rFonts w:cs="Arial"/>
                <w:sz w:val="16"/>
                <w:szCs w:val="16"/>
              </w:rPr>
              <w:t>94.4% of staff who joined in 2013</w:t>
            </w:r>
            <w:r>
              <w:rPr>
                <w:rFonts w:cs="Arial"/>
                <w:sz w:val="16"/>
                <w:szCs w:val="16"/>
              </w:rPr>
              <w:t xml:space="preserve"> and 20</w:t>
            </w:r>
            <w:r w:rsidRPr="00CD5342">
              <w:rPr>
                <w:rFonts w:cs="Arial"/>
                <w:sz w:val="16"/>
                <w:szCs w:val="16"/>
              </w:rPr>
              <w:t>14 had a satisfactory performance under PMSDS</w:t>
            </w:r>
          </w:p>
        </w:tc>
        <w:tc>
          <w:tcPr>
            <w:tcW w:w="527" w:type="pct"/>
            <w:shd w:val="clear" w:color="auto" w:fill="auto"/>
            <w:tcMar>
              <w:top w:w="110" w:type="dxa"/>
            </w:tcMar>
          </w:tcPr>
          <w:p w:rsidR="00E55863" w:rsidRPr="00EB00A9" w:rsidRDefault="00E55863" w:rsidP="007854A1">
            <w:pPr>
              <w:jc w:val="center"/>
              <w:rPr>
                <w:rFonts w:cs="Arial"/>
                <w:b/>
                <w:bCs/>
                <w:color w:val="00B050"/>
                <w:sz w:val="16"/>
                <w:szCs w:val="16"/>
              </w:rPr>
            </w:pPr>
            <w:r w:rsidRPr="00EB00A9">
              <w:rPr>
                <w:rFonts w:cs="Arial"/>
                <w:b/>
                <w:bCs/>
                <w:color w:val="00B050"/>
                <w:sz w:val="16"/>
                <w:szCs w:val="16"/>
              </w:rPr>
              <w:t>Fully Achieved</w:t>
            </w:r>
          </w:p>
        </w:tc>
      </w:tr>
      <w:tr w:rsidR="00E55863" w:rsidRPr="00797FCA" w:rsidTr="005F75C8">
        <w:tc>
          <w:tcPr>
            <w:tcW w:w="1110" w:type="pct"/>
            <w:tcBorders>
              <w:bottom w:val="single" w:sz="4" w:space="0" w:color="auto"/>
            </w:tcBorders>
            <w:shd w:val="clear" w:color="auto" w:fill="auto"/>
          </w:tcPr>
          <w:p w:rsidR="00E55863" w:rsidRPr="00797FCA" w:rsidRDefault="00E55863" w:rsidP="007854A1">
            <w:pPr>
              <w:rPr>
                <w:rFonts w:cs="Arial"/>
                <w:sz w:val="16"/>
                <w:szCs w:val="16"/>
              </w:rPr>
            </w:pPr>
            <w:r w:rsidRPr="00797FCA">
              <w:rPr>
                <w:rFonts w:cs="Arial"/>
                <w:sz w:val="16"/>
                <w:szCs w:val="16"/>
              </w:rPr>
              <w:t xml:space="preserve">% of staff </w:t>
            </w:r>
            <w:r>
              <w:rPr>
                <w:rFonts w:cs="Arial"/>
                <w:sz w:val="16"/>
                <w:szCs w:val="16"/>
              </w:rPr>
              <w:t xml:space="preserve"> </w:t>
            </w:r>
            <w:r w:rsidRPr="00797FCA">
              <w:rPr>
                <w:rFonts w:cs="Arial"/>
                <w:sz w:val="16"/>
                <w:szCs w:val="16"/>
              </w:rPr>
              <w:t>whose performance is evaluated against their individual objectives and competencies</w:t>
            </w:r>
          </w:p>
        </w:tc>
        <w:tc>
          <w:tcPr>
            <w:tcW w:w="1556" w:type="pct"/>
            <w:tcBorders>
              <w:bottom w:val="single" w:sz="4" w:space="0" w:color="auto"/>
            </w:tcBorders>
            <w:shd w:val="clear" w:color="auto" w:fill="auto"/>
          </w:tcPr>
          <w:p w:rsidR="00E55863" w:rsidRPr="003322D2" w:rsidRDefault="00E55863" w:rsidP="007854A1">
            <w:pPr>
              <w:rPr>
                <w:rFonts w:cs="Arial"/>
                <w:color w:val="002060"/>
                <w:sz w:val="16"/>
                <w:szCs w:val="16"/>
              </w:rPr>
            </w:pPr>
            <w:r w:rsidRPr="00797FCA">
              <w:rPr>
                <w:rFonts w:cs="Arial"/>
                <w:i/>
                <w:color w:val="002060"/>
                <w:sz w:val="16"/>
                <w:szCs w:val="16"/>
              </w:rPr>
              <w:t xml:space="preserve">Updated Baseline end 2013:  </w:t>
            </w:r>
            <w:r w:rsidRPr="003322D2">
              <w:rPr>
                <w:rFonts w:cs="Arial"/>
                <w:color w:val="002060"/>
                <w:sz w:val="16"/>
                <w:szCs w:val="16"/>
              </w:rPr>
              <w:t>Biennium:  90.75% of staff covered under PMSDS was evaluated against individual objectives and competencies</w:t>
            </w:r>
          </w:p>
          <w:p w:rsidR="00E55863" w:rsidRPr="003322D2" w:rsidRDefault="00E55863" w:rsidP="007854A1">
            <w:pPr>
              <w:rPr>
                <w:rFonts w:cs="Arial"/>
                <w:color w:val="002060"/>
                <w:sz w:val="16"/>
                <w:szCs w:val="16"/>
              </w:rPr>
            </w:pPr>
          </w:p>
          <w:p w:rsidR="00E55863" w:rsidRPr="003322D2" w:rsidRDefault="00E55863" w:rsidP="007854A1">
            <w:pPr>
              <w:rPr>
                <w:rFonts w:cs="Arial"/>
                <w:color w:val="002060"/>
                <w:sz w:val="16"/>
                <w:szCs w:val="16"/>
              </w:rPr>
            </w:pPr>
            <w:r w:rsidRPr="003322D2">
              <w:rPr>
                <w:rFonts w:cs="Arial"/>
                <w:color w:val="002060"/>
                <w:sz w:val="16"/>
                <w:szCs w:val="16"/>
              </w:rPr>
              <w:t>2012:  91% of staff covered under PMSDS were evaluated against individual objectives and competencies (as at end April 2012)</w:t>
            </w:r>
          </w:p>
          <w:p w:rsidR="00E55863" w:rsidRDefault="00E55863" w:rsidP="007854A1">
            <w:pPr>
              <w:rPr>
                <w:rFonts w:cs="Arial"/>
                <w:color w:val="002060"/>
                <w:sz w:val="16"/>
                <w:szCs w:val="16"/>
              </w:rPr>
            </w:pPr>
          </w:p>
          <w:p w:rsidR="00E55863" w:rsidRPr="003322D2" w:rsidRDefault="00E55863" w:rsidP="007854A1">
            <w:pPr>
              <w:rPr>
                <w:rFonts w:cs="Arial"/>
                <w:color w:val="002060"/>
                <w:sz w:val="16"/>
                <w:szCs w:val="16"/>
                <w:lang w:bidi="th-TH"/>
              </w:rPr>
            </w:pPr>
            <w:r w:rsidRPr="003322D2">
              <w:rPr>
                <w:rFonts w:cs="Arial"/>
                <w:color w:val="002060"/>
                <w:sz w:val="16"/>
                <w:szCs w:val="16"/>
              </w:rPr>
              <w:t>2013:  90.5% of staff covered under PMSDS were evaluated against individual objectives and competencies (as at end April 2013)</w:t>
            </w:r>
          </w:p>
          <w:p w:rsidR="00E55863" w:rsidRPr="00797FCA" w:rsidRDefault="00E55863" w:rsidP="007854A1">
            <w:pPr>
              <w:rPr>
                <w:rFonts w:cs="Arial"/>
                <w:i/>
                <w:color w:val="002060"/>
                <w:sz w:val="8"/>
                <w:szCs w:val="8"/>
              </w:rPr>
            </w:pPr>
          </w:p>
          <w:p w:rsidR="00E55863" w:rsidRDefault="00E55863" w:rsidP="007854A1">
            <w:pPr>
              <w:rPr>
                <w:rFonts w:cs="Arial"/>
                <w:sz w:val="16"/>
                <w:szCs w:val="16"/>
              </w:rPr>
            </w:pPr>
            <w:r w:rsidRPr="00797FCA">
              <w:rPr>
                <w:rFonts w:cs="Arial"/>
                <w:i/>
                <w:sz w:val="16"/>
                <w:szCs w:val="16"/>
              </w:rPr>
              <w:t>Original Baseline P&amp;B 2014/15:</w:t>
            </w:r>
            <w:r w:rsidRPr="00797FCA">
              <w:rPr>
                <w:rFonts w:cs="Arial"/>
                <w:sz w:val="16"/>
                <w:szCs w:val="16"/>
              </w:rPr>
              <w:t xml:space="preserve">  81% (2012)</w:t>
            </w:r>
          </w:p>
          <w:p w:rsidR="005F75C8" w:rsidRDefault="005F75C8" w:rsidP="007854A1">
            <w:pPr>
              <w:rPr>
                <w:rFonts w:cs="Arial"/>
                <w:sz w:val="16"/>
                <w:szCs w:val="16"/>
              </w:rPr>
            </w:pPr>
          </w:p>
          <w:p w:rsidR="00E55863" w:rsidRPr="00797FCA" w:rsidRDefault="00E55863" w:rsidP="007854A1">
            <w:pPr>
              <w:rPr>
                <w:rFonts w:cs="Arial"/>
                <w:sz w:val="16"/>
                <w:szCs w:val="16"/>
              </w:rPr>
            </w:pPr>
          </w:p>
        </w:tc>
        <w:tc>
          <w:tcPr>
            <w:tcW w:w="887" w:type="pct"/>
            <w:gridSpan w:val="2"/>
            <w:tcBorders>
              <w:bottom w:val="single" w:sz="4" w:space="0" w:color="auto"/>
            </w:tcBorders>
            <w:shd w:val="clear" w:color="auto" w:fill="auto"/>
            <w:tcMar>
              <w:top w:w="110" w:type="dxa"/>
            </w:tcMar>
          </w:tcPr>
          <w:p w:rsidR="00E55863" w:rsidRPr="00797FCA" w:rsidRDefault="00E55863" w:rsidP="007854A1">
            <w:pPr>
              <w:rPr>
                <w:rFonts w:cs="Arial"/>
                <w:sz w:val="16"/>
                <w:szCs w:val="16"/>
              </w:rPr>
            </w:pPr>
            <w:r w:rsidRPr="00784FF4">
              <w:rPr>
                <w:rFonts w:cs="Arial"/>
                <w:sz w:val="16"/>
                <w:szCs w:val="16"/>
              </w:rPr>
              <w:t>90%</w:t>
            </w:r>
          </w:p>
        </w:tc>
        <w:tc>
          <w:tcPr>
            <w:tcW w:w="920" w:type="pct"/>
            <w:gridSpan w:val="3"/>
            <w:tcBorders>
              <w:bottom w:val="single" w:sz="4" w:space="0" w:color="auto"/>
            </w:tcBorders>
            <w:shd w:val="clear" w:color="auto" w:fill="FFFFFF"/>
            <w:tcMar>
              <w:top w:w="110" w:type="dxa"/>
            </w:tcMar>
          </w:tcPr>
          <w:p w:rsidR="00E55863" w:rsidRPr="00CD5342" w:rsidRDefault="00E55863" w:rsidP="007854A1">
            <w:pPr>
              <w:rPr>
                <w:rFonts w:cs="Arial"/>
                <w:sz w:val="16"/>
                <w:szCs w:val="16"/>
              </w:rPr>
            </w:pPr>
            <w:r w:rsidRPr="00CD5342">
              <w:rPr>
                <w:rFonts w:cs="Arial"/>
                <w:sz w:val="16"/>
                <w:szCs w:val="16"/>
              </w:rPr>
              <w:t>2014: 93.1%</w:t>
            </w:r>
          </w:p>
          <w:p w:rsidR="00E55863" w:rsidRPr="00CD5342" w:rsidRDefault="00E55863" w:rsidP="007854A1">
            <w:pPr>
              <w:rPr>
                <w:rFonts w:cs="Arial"/>
                <w:sz w:val="16"/>
                <w:szCs w:val="16"/>
              </w:rPr>
            </w:pPr>
            <w:r w:rsidRPr="00CD5342">
              <w:rPr>
                <w:rFonts w:cs="Arial"/>
                <w:sz w:val="16"/>
                <w:szCs w:val="16"/>
              </w:rPr>
              <w:t>2015: 9</w:t>
            </w:r>
            <w:r>
              <w:rPr>
                <w:rFonts w:cs="Arial"/>
                <w:sz w:val="16"/>
                <w:szCs w:val="16"/>
              </w:rPr>
              <w:t>2.8</w:t>
            </w:r>
            <w:r w:rsidRPr="00CD5342">
              <w:rPr>
                <w:rFonts w:cs="Arial"/>
                <w:sz w:val="16"/>
                <w:szCs w:val="16"/>
              </w:rPr>
              <w:t>%</w:t>
            </w:r>
          </w:p>
          <w:p w:rsidR="00E55863" w:rsidRPr="00CD5342" w:rsidRDefault="00E55863" w:rsidP="007854A1">
            <w:pPr>
              <w:rPr>
                <w:rFonts w:cs="Arial"/>
                <w:sz w:val="16"/>
                <w:szCs w:val="16"/>
              </w:rPr>
            </w:pPr>
          </w:p>
        </w:tc>
        <w:tc>
          <w:tcPr>
            <w:tcW w:w="527" w:type="pct"/>
            <w:tcBorders>
              <w:bottom w:val="single" w:sz="4" w:space="0" w:color="auto"/>
            </w:tcBorders>
            <w:shd w:val="clear" w:color="auto" w:fill="auto"/>
            <w:tcMar>
              <w:top w:w="110" w:type="dxa"/>
            </w:tcMar>
          </w:tcPr>
          <w:p w:rsidR="00E55863" w:rsidRPr="00EB00A9" w:rsidRDefault="00E55863" w:rsidP="007854A1">
            <w:pPr>
              <w:jc w:val="center"/>
              <w:rPr>
                <w:rFonts w:cs="Arial"/>
                <w:b/>
                <w:bCs/>
                <w:color w:val="808080"/>
                <w:sz w:val="16"/>
                <w:szCs w:val="16"/>
              </w:rPr>
            </w:pPr>
            <w:r w:rsidRPr="00EB00A9">
              <w:rPr>
                <w:rFonts w:cs="Arial"/>
                <w:b/>
                <w:bCs/>
                <w:color w:val="00B050"/>
                <w:sz w:val="16"/>
                <w:szCs w:val="16"/>
              </w:rPr>
              <w:t>Fully Achieved</w:t>
            </w:r>
          </w:p>
        </w:tc>
      </w:tr>
      <w:tr w:rsidR="00E55863" w:rsidRPr="00797FCA" w:rsidTr="005F75C8">
        <w:tc>
          <w:tcPr>
            <w:tcW w:w="5000" w:type="pct"/>
            <w:gridSpan w:val="8"/>
            <w:tcBorders>
              <w:top w:val="single" w:sz="4" w:space="0" w:color="auto"/>
              <w:bottom w:val="single" w:sz="4" w:space="0" w:color="auto"/>
            </w:tcBorders>
            <w:shd w:val="clear" w:color="auto" w:fill="B8CCE4" w:themeFill="accent1" w:themeFillTint="66"/>
            <w:vAlign w:val="center"/>
          </w:tcPr>
          <w:p w:rsidR="00E55863" w:rsidRPr="006226B4" w:rsidRDefault="00E55863" w:rsidP="007854A1">
            <w:pPr>
              <w:tabs>
                <w:tab w:val="left" w:pos="1452"/>
              </w:tabs>
              <w:spacing w:before="120" w:after="120"/>
              <w:ind w:left="1452" w:hanging="1452"/>
              <w:rPr>
                <w:rFonts w:cs="Arial"/>
                <w:bCs/>
                <w:sz w:val="16"/>
                <w:szCs w:val="16"/>
              </w:rPr>
            </w:pPr>
            <w:r w:rsidRPr="007D6773">
              <w:rPr>
                <w:rFonts w:cs="Arial"/>
                <w:b/>
                <w:bCs/>
                <w:sz w:val="16"/>
                <w:szCs w:val="16"/>
              </w:rPr>
              <w:t>Expected Result:</w:t>
            </w:r>
            <w:r w:rsidRPr="006226B4">
              <w:rPr>
                <w:rFonts w:cs="Arial"/>
                <w:bCs/>
                <w:sz w:val="16"/>
                <w:szCs w:val="16"/>
              </w:rPr>
              <w:tab/>
            </w:r>
            <w:r w:rsidRPr="007D6773">
              <w:rPr>
                <w:rFonts w:cs="Arial"/>
                <w:bCs/>
                <w:sz w:val="16"/>
                <w:szCs w:val="16"/>
              </w:rPr>
              <w:t>IX.2 An agile and smooth functioning Secretariat with a well-managed and appropriately skilled workforce which is effectively delivering results</w:t>
            </w:r>
          </w:p>
        </w:tc>
      </w:tr>
      <w:tr w:rsidR="00E55863" w:rsidRPr="00797FCA" w:rsidTr="005F75C8">
        <w:tc>
          <w:tcPr>
            <w:tcW w:w="1110" w:type="pct"/>
            <w:tcBorders>
              <w:top w:val="single" w:sz="4" w:space="0" w:color="auto"/>
            </w:tcBorders>
            <w:shd w:val="clear" w:color="auto" w:fill="auto"/>
            <w:vAlign w:val="center"/>
          </w:tcPr>
          <w:p w:rsidR="00E55863" w:rsidRPr="00797FCA" w:rsidRDefault="00E55863" w:rsidP="007854A1">
            <w:pPr>
              <w:rPr>
                <w:rFonts w:cs="Arial"/>
                <w:sz w:val="16"/>
                <w:szCs w:val="16"/>
              </w:rPr>
            </w:pPr>
            <w:r w:rsidRPr="00797FCA">
              <w:rPr>
                <w:rFonts w:cs="Arial"/>
                <w:b/>
                <w:bCs/>
                <w:sz w:val="16"/>
                <w:szCs w:val="16"/>
              </w:rPr>
              <w:t>Performance Indicators</w:t>
            </w:r>
          </w:p>
        </w:tc>
        <w:tc>
          <w:tcPr>
            <w:tcW w:w="1556" w:type="pct"/>
            <w:tcBorders>
              <w:top w:val="single" w:sz="4" w:space="0" w:color="auto"/>
            </w:tcBorders>
            <w:shd w:val="clear" w:color="auto" w:fill="auto"/>
            <w:vAlign w:val="center"/>
          </w:tcPr>
          <w:p w:rsidR="00E55863" w:rsidRPr="00797FCA" w:rsidRDefault="00E55863" w:rsidP="007854A1">
            <w:pPr>
              <w:rPr>
                <w:rFonts w:cs="Arial"/>
                <w:b/>
                <w:bCs/>
                <w:sz w:val="16"/>
                <w:szCs w:val="16"/>
              </w:rPr>
            </w:pPr>
            <w:r w:rsidRPr="00797FCA">
              <w:rPr>
                <w:rFonts w:cs="Arial"/>
                <w:b/>
                <w:bCs/>
                <w:sz w:val="16"/>
                <w:szCs w:val="16"/>
              </w:rPr>
              <w:t>Baselines</w:t>
            </w:r>
          </w:p>
        </w:tc>
        <w:tc>
          <w:tcPr>
            <w:tcW w:w="749" w:type="pct"/>
            <w:tcBorders>
              <w:top w:val="single" w:sz="4" w:space="0" w:color="auto"/>
            </w:tcBorders>
            <w:shd w:val="clear" w:color="auto" w:fill="auto"/>
            <w:tcMar>
              <w:top w:w="110" w:type="dxa"/>
            </w:tcMar>
            <w:vAlign w:val="center"/>
          </w:tcPr>
          <w:p w:rsidR="00E55863" w:rsidRPr="00797FCA" w:rsidRDefault="00E55863" w:rsidP="007854A1">
            <w:pPr>
              <w:rPr>
                <w:rFonts w:cs="Arial"/>
                <w:b/>
                <w:sz w:val="16"/>
                <w:szCs w:val="16"/>
              </w:rPr>
            </w:pPr>
            <w:r w:rsidRPr="00797FCA">
              <w:rPr>
                <w:rFonts w:cs="Arial"/>
                <w:b/>
                <w:sz w:val="16"/>
                <w:szCs w:val="16"/>
              </w:rPr>
              <w:t>Targets</w:t>
            </w:r>
          </w:p>
        </w:tc>
        <w:tc>
          <w:tcPr>
            <w:tcW w:w="979" w:type="pct"/>
            <w:gridSpan w:val="2"/>
            <w:tcBorders>
              <w:top w:val="single" w:sz="4" w:space="0" w:color="auto"/>
            </w:tcBorders>
            <w:shd w:val="clear" w:color="auto" w:fill="FFFFFF"/>
            <w:tcMar>
              <w:top w:w="110" w:type="dxa"/>
            </w:tcMar>
            <w:vAlign w:val="center"/>
          </w:tcPr>
          <w:p w:rsidR="00E55863" w:rsidRPr="00797FCA" w:rsidRDefault="00E55863" w:rsidP="007854A1">
            <w:pPr>
              <w:rPr>
                <w:rFonts w:cs="Arial"/>
                <w:sz w:val="16"/>
                <w:szCs w:val="16"/>
              </w:rPr>
            </w:pPr>
            <w:r w:rsidRPr="00797FCA">
              <w:rPr>
                <w:rFonts w:cs="Arial"/>
                <w:b/>
                <w:bCs/>
                <w:sz w:val="16"/>
                <w:szCs w:val="16"/>
              </w:rPr>
              <w:t>Performance Data</w:t>
            </w:r>
          </w:p>
        </w:tc>
        <w:tc>
          <w:tcPr>
            <w:tcW w:w="606" w:type="pct"/>
            <w:gridSpan w:val="3"/>
            <w:tcBorders>
              <w:top w:val="single" w:sz="4" w:space="0" w:color="auto"/>
            </w:tcBorders>
            <w:shd w:val="clear" w:color="auto" w:fill="auto"/>
            <w:tcMar>
              <w:top w:w="110" w:type="dxa"/>
            </w:tcMar>
            <w:vAlign w:val="center"/>
          </w:tcPr>
          <w:p w:rsidR="00E55863" w:rsidRPr="00797FCA" w:rsidRDefault="00E55863" w:rsidP="007854A1">
            <w:pPr>
              <w:jc w:val="center"/>
              <w:rPr>
                <w:rFonts w:cs="Arial"/>
                <w:b/>
                <w:bCs/>
                <w:sz w:val="16"/>
                <w:szCs w:val="16"/>
              </w:rPr>
            </w:pPr>
            <w:r w:rsidRPr="00797FCA">
              <w:rPr>
                <w:rFonts w:cs="Arial"/>
                <w:b/>
                <w:bCs/>
                <w:sz w:val="16"/>
                <w:szCs w:val="16"/>
              </w:rPr>
              <w:t>TLS</w:t>
            </w:r>
          </w:p>
        </w:tc>
      </w:tr>
      <w:tr w:rsidR="00E55863" w:rsidRPr="00797FCA" w:rsidTr="005F75C8">
        <w:tc>
          <w:tcPr>
            <w:tcW w:w="1110" w:type="pct"/>
            <w:shd w:val="clear" w:color="auto" w:fill="auto"/>
          </w:tcPr>
          <w:p w:rsidR="00E55863" w:rsidRPr="00797FCA" w:rsidRDefault="00E55863" w:rsidP="007854A1">
            <w:pPr>
              <w:rPr>
                <w:rFonts w:cs="Arial"/>
                <w:sz w:val="16"/>
                <w:szCs w:val="16"/>
              </w:rPr>
            </w:pPr>
            <w:r w:rsidRPr="00797FCA">
              <w:rPr>
                <w:rFonts w:cs="Arial"/>
                <w:sz w:val="16"/>
                <w:szCs w:val="16"/>
              </w:rPr>
              <w:t>% of critical individual and collective training needs that have been fulfilled</w:t>
            </w:r>
          </w:p>
        </w:tc>
        <w:tc>
          <w:tcPr>
            <w:tcW w:w="1556" w:type="pct"/>
            <w:shd w:val="clear" w:color="auto" w:fill="auto"/>
          </w:tcPr>
          <w:p w:rsidR="00E55863" w:rsidRPr="00797FCA" w:rsidRDefault="00E55863" w:rsidP="007854A1">
            <w:pPr>
              <w:rPr>
                <w:rFonts w:cs="Arial"/>
                <w:color w:val="002060"/>
                <w:sz w:val="16"/>
                <w:szCs w:val="16"/>
                <w:lang w:bidi="th-TH"/>
              </w:rPr>
            </w:pPr>
            <w:r w:rsidRPr="00797FCA">
              <w:rPr>
                <w:rFonts w:cs="Arial"/>
                <w:i/>
                <w:color w:val="002060"/>
                <w:sz w:val="16"/>
                <w:szCs w:val="16"/>
              </w:rPr>
              <w:t xml:space="preserve">Updated Baseline end 2013:  </w:t>
            </w:r>
            <w:r w:rsidRPr="00797FCA">
              <w:rPr>
                <w:rFonts w:cs="Arial"/>
                <w:color w:val="002060"/>
                <w:sz w:val="16"/>
                <w:szCs w:val="16"/>
              </w:rPr>
              <w:t>no assessment available</w:t>
            </w:r>
          </w:p>
          <w:p w:rsidR="00E55863" w:rsidRPr="00797FCA" w:rsidRDefault="00E55863" w:rsidP="007854A1">
            <w:pPr>
              <w:rPr>
                <w:rFonts w:cs="Arial"/>
                <w:i/>
                <w:color w:val="002060"/>
                <w:sz w:val="8"/>
                <w:szCs w:val="8"/>
              </w:rPr>
            </w:pPr>
          </w:p>
          <w:p w:rsidR="00E55863" w:rsidRPr="00797FCA" w:rsidRDefault="00E55863" w:rsidP="007854A1">
            <w:pPr>
              <w:rPr>
                <w:rFonts w:cs="Arial"/>
                <w:sz w:val="16"/>
                <w:szCs w:val="16"/>
              </w:rPr>
            </w:pPr>
            <w:r w:rsidRPr="00797FCA">
              <w:rPr>
                <w:rFonts w:cs="Arial"/>
                <w:i/>
                <w:sz w:val="16"/>
                <w:szCs w:val="16"/>
              </w:rPr>
              <w:t>Original Baseline P&amp;B 2014/15:</w:t>
            </w:r>
            <w:r w:rsidRPr="00797FCA">
              <w:rPr>
                <w:rFonts w:cs="Arial"/>
                <w:sz w:val="16"/>
                <w:szCs w:val="16"/>
              </w:rPr>
              <w:t xml:space="preserve"> no assessment available (will be available end 2013)</w:t>
            </w:r>
          </w:p>
          <w:p w:rsidR="00E55863" w:rsidRPr="00797FCA" w:rsidRDefault="00E55863" w:rsidP="007854A1">
            <w:pPr>
              <w:rPr>
                <w:rFonts w:cs="Arial"/>
                <w:i/>
                <w:color w:val="002060"/>
                <w:sz w:val="16"/>
                <w:szCs w:val="16"/>
              </w:rPr>
            </w:pPr>
          </w:p>
        </w:tc>
        <w:tc>
          <w:tcPr>
            <w:tcW w:w="749" w:type="pct"/>
            <w:shd w:val="clear" w:color="auto" w:fill="auto"/>
            <w:tcMar>
              <w:top w:w="110" w:type="dxa"/>
            </w:tcMar>
          </w:tcPr>
          <w:p w:rsidR="00E55863" w:rsidRDefault="00E55863" w:rsidP="007854A1">
            <w:pPr>
              <w:rPr>
                <w:rFonts w:cs="Arial"/>
                <w:sz w:val="16"/>
                <w:szCs w:val="16"/>
              </w:rPr>
            </w:pPr>
            <w:r w:rsidRPr="00797FCA">
              <w:rPr>
                <w:rFonts w:cs="Arial"/>
                <w:sz w:val="16"/>
                <w:szCs w:val="16"/>
              </w:rPr>
              <w:t xml:space="preserve">Critical individual training needs: </w:t>
            </w:r>
          </w:p>
          <w:p w:rsidR="00E55863" w:rsidRPr="00797FCA" w:rsidRDefault="00E55863" w:rsidP="007854A1">
            <w:pPr>
              <w:rPr>
                <w:rFonts w:cs="Arial"/>
                <w:sz w:val="16"/>
                <w:szCs w:val="16"/>
              </w:rPr>
            </w:pPr>
            <w:r w:rsidRPr="00797FCA">
              <w:rPr>
                <w:rFonts w:cs="Arial"/>
                <w:sz w:val="16"/>
                <w:szCs w:val="16"/>
              </w:rPr>
              <w:t>80% fulfilled</w:t>
            </w:r>
          </w:p>
          <w:p w:rsidR="00E55863" w:rsidRPr="00797FCA" w:rsidRDefault="00E55863" w:rsidP="007854A1">
            <w:pPr>
              <w:rPr>
                <w:rFonts w:cs="Arial"/>
                <w:sz w:val="16"/>
                <w:szCs w:val="16"/>
              </w:rPr>
            </w:pPr>
          </w:p>
          <w:p w:rsidR="00E55863" w:rsidRDefault="00E55863" w:rsidP="007854A1">
            <w:pPr>
              <w:rPr>
                <w:rFonts w:cs="Arial"/>
                <w:sz w:val="16"/>
                <w:szCs w:val="16"/>
              </w:rPr>
            </w:pPr>
            <w:r w:rsidRPr="00797FCA">
              <w:rPr>
                <w:rFonts w:cs="Arial"/>
                <w:sz w:val="16"/>
                <w:szCs w:val="16"/>
              </w:rPr>
              <w:t xml:space="preserve">Critical collective training needs: </w:t>
            </w:r>
          </w:p>
          <w:p w:rsidR="00E55863" w:rsidRDefault="00E55863" w:rsidP="007854A1">
            <w:pPr>
              <w:rPr>
                <w:rFonts w:cs="Arial"/>
                <w:sz w:val="16"/>
                <w:szCs w:val="16"/>
              </w:rPr>
            </w:pPr>
            <w:r w:rsidRPr="00797FCA">
              <w:rPr>
                <w:rFonts w:cs="Arial"/>
                <w:sz w:val="16"/>
                <w:szCs w:val="16"/>
              </w:rPr>
              <w:t>80% of the needs are addressed through a training program</w:t>
            </w:r>
          </w:p>
          <w:p w:rsidR="00E55863" w:rsidRPr="00784FF4" w:rsidRDefault="00E55863" w:rsidP="007854A1">
            <w:pPr>
              <w:rPr>
                <w:rFonts w:cs="Arial"/>
                <w:sz w:val="16"/>
                <w:szCs w:val="16"/>
              </w:rPr>
            </w:pPr>
          </w:p>
        </w:tc>
        <w:tc>
          <w:tcPr>
            <w:tcW w:w="979" w:type="pct"/>
            <w:gridSpan w:val="2"/>
            <w:shd w:val="clear" w:color="auto" w:fill="FFFFFF"/>
            <w:tcMar>
              <w:top w:w="110" w:type="dxa"/>
            </w:tcMar>
          </w:tcPr>
          <w:p w:rsidR="00E55863" w:rsidRDefault="00E55863" w:rsidP="007854A1">
            <w:pPr>
              <w:rPr>
                <w:rFonts w:cs="Arial"/>
                <w:sz w:val="16"/>
                <w:szCs w:val="16"/>
              </w:rPr>
            </w:pPr>
            <w:r>
              <w:rPr>
                <w:rFonts w:cs="Arial"/>
                <w:sz w:val="16"/>
                <w:szCs w:val="16"/>
              </w:rPr>
              <w:t>60.94%</w:t>
            </w:r>
          </w:p>
          <w:p w:rsidR="00E55863" w:rsidRDefault="00E55863" w:rsidP="007854A1">
            <w:pPr>
              <w:rPr>
                <w:rFonts w:cs="Arial"/>
                <w:sz w:val="16"/>
                <w:szCs w:val="16"/>
              </w:rPr>
            </w:pPr>
          </w:p>
          <w:p w:rsidR="00E55863" w:rsidRDefault="00E55863" w:rsidP="007854A1">
            <w:pPr>
              <w:rPr>
                <w:rFonts w:cs="Arial"/>
                <w:sz w:val="16"/>
                <w:szCs w:val="16"/>
              </w:rPr>
            </w:pPr>
          </w:p>
          <w:p w:rsidR="00E55863" w:rsidRDefault="00E55863" w:rsidP="007854A1">
            <w:pPr>
              <w:rPr>
                <w:rFonts w:cs="Arial"/>
                <w:sz w:val="16"/>
                <w:szCs w:val="16"/>
              </w:rPr>
            </w:pPr>
          </w:p>
          <w:p w:rsidR="00E55863" w:rsidRDefault="00E55863" w:rsidP="007854A1">
            <w:pPr>
              <w:rPr>
                <w:rFonts w:cs="Arial"/>
                <w:sz w:val="16"/>
                <w:szCs w:val="16"/>
              </w:rPr>
            </w:pPr>
          </w:p>
          <w:p w:rsidR="00E55863" w:rsidRPr="00797FCA" w:rsidRDefault="00E55863" w:rsidP="007854A1">
            <w:pPr>
              <w:rPr>
                <w:rFonts w:cs="Arial"/>
                <w:sz w:val="16"/>
                <w:szCs w:val="16"/>
              </w:rPr>
            </w:pPr>
            <w:r>
              <w:rPr>
                <w:rFonts w:cs="Arial"/>
                <w:sz w:val="16"/>
                <w:szCs w:val="16"/>
              </w:rPr>
              <w:t>81.04%</w:t>
            </w:r>
          </w:p>
        </w:tc>
        <w:tc>
          <w:tcPr>
            <w:tcW w:w="606" w:type="pct"/>
            <w:gridSpan w:val="3"/>
            <w:shd w:val="clear" w:color="auto" w:fill="auto"/>
            <w:tcMar>
              <w:top w:w="110" w:type="dxa"/>
            </w:tcMar>
          </w:tcPr>
          <w:p w:rsidR="00E55863" w:rsidRPr="001A0A8D" w:rsidRDefault="00E55863" w:rsidP="007854A1">
            <w:pPr>
              <w:jc w:val="center"/>
              <w:rPr>
                <w:rFonts w:cs="Arial"/>
                <w:b/>
                <w:bCs/>
                <w:color w:val="FF0000"/>
                <w:sz w:val="16"/>
                <w:szCs w:val="16"/>
              </w:rPr>
            </w:pPr>
            <w:r w:rsidRPr="001A0A8D">
              <w:rPr>
                <w:rFonts w:cs="Arial"/>
                <w:b/>
                <w:bCs/>
                <w:color w:val="E36C0A" w:themeColor="accent6" w:themeShade="BF"/>
                <w:sz w:val="16"/>
                <w:szCs w:val="16"/>
              </w:rPr>
              <w:t>Partially Achieved</w:t>
            </w:r>
            <w:r w:rsidRPr="001A0A8D" w:rsidDel="00B3069D">
              <w:rPr>
                <w:rFonts w:cs="Arial"/>
                <w:b/>
                <w:bCs/>
                <w:color w:val="FFC000"/>
                <w:sz w:val="16"/>
                <w:szCs w:val="16"/>
              </w:rPr>
              <w:t xml:space="preserve"> </w:t>
            </w:r>
          </w:p>
          <w:p w:rsidR="00E55863" w:rsidRPr="00EB00A9" w:rsidRDefault="00E55863" w:rsidP="007854A1">
            <w:pPr>
              <w:jc w:val="center"/>
              <w:rPr>
                <w:rFonts w:cs="Arial"/>
                <w:b/>
                <w:bCs/>
                <w:color w:val="FF0000"/>
                <w:sz w:val="16"/>
                <w:szCs w:val="16"/>
              </w:rPr>
            </w:pPr>
          </w:p>
          <w:p w:rsidR="00E55863" w:rsidRDefault="00E55863" w:rsidP="007854A1">
            <w:pPr>
              <w:jc w:val="center"/>
              <w:rPr>
                <w:rFonts w:cs="Arial"/>
                <w:b/>
                <w:bCs/>
                <w:color w:val="00B050"/>
                <w:sz w:val="16"/>
                <w:szCs w:val="16"/>
              </w:rPr>
            </w:pPr>
          </w:p>
          <w:p w:rsidR="00E55863" w:rsidRDefault="00E55863" w:rsidP="007854A1">
            <w:pPr>
              <w:jc w:val="center"/>
              <w:rPr>
                <w:rFonts w:cs="Arial"/>
                <w:b/>
                <w:bCs/>
                <w:color w:val="00B050"/>
                <w:sz w:val="16"/>
                <w:szCs w:val="16"/>
              </w:rPr>
            </w:pPr>
          </w:p>
          <w:p w:rsidR="00E55863" w:rsidRPr="001A0A8D" w:rsidDel="00AF185F" w:rsidRDefault="00E55863" w:rsidP="007854A1">
            <w:pPr>
              <w:jc w:val="center"/>
              <w:rPr>
                <w:rFonts w:cs="Arial"/>
                <w:b/>
                <w:bCs/>
                <w:color w:val="FF0000"/>
                <w:sz w:val="16"/>
                <w:szCs w:val="16"/>
              </w:rPr>
            </w:pPr>
            <w:r w:rsidRPr="001A0A8D">
              <w:rPr>
                <w:rFonts w:cs="Arial"/>
                <w:b/>
                <w:bCs/>
                <w:color w:val="00B050"/>
                <w:sz w:val="16"/>
                <w:szCs w:val="16"/>
              </w:rPr>
              <w:t>Fully Achieved</w:t>
            </w:r>
          </w:p>
        </w:tc>
      </w:tr>
      <w:tr w:rsidR="00E55863" w:rsidRPr="00797FCA" w:rsidTr="005F75C8">
        <w:tc>
          <w:tcPr>
            <w:tcW w:w="1110" w:type="pct"/>
            <w:shd w:val="clear" w:color="auto" w:fill="auto"/>
          </w:tcPr>
          <w:p w:rsidR="00E55863" w:rsidRPr="00797FCA" w:rsidRDefault="00E55863" w:rsidP="007854A1">
            <w:pPr>
              <w:keepNext/>
              <w:keepLines/>
              <w:rPr>
                <w:rFonts w:cs="Arial"/>
                <w:sz w:val="16"/>
                <w:szCs w:val="16"/>
              </w:rPr>
            </w:pPr>
            <w:r w:rsidRPr="00797FCA">
              <w:rPr>
                <w:rFonts w:cs="Arial"/>
                <w:sz w:val="16"/>
                <w:szCs w:val="16"/>
              </w:rPr>
              <w:t>Average no. of sick leave days per employee (absenteeism)</w:t>
            </w:r>
          </w:p>
        </w:tc>
        <w:tc>
          <w:tcPr>
            <w:tcW w:w="1556" w:type="pct"/>
            <w:shd w:val="clear" w:color="auto" w:fill="auto"/>
          </w:tcPr>
          <w:p w:rsidR="00E55863" w:rsidRPr="002F18EA" w:rsidRDefault="00E55863" w:rsidP="007854A1">
            <w:pPr>
              <w:rPr>
                <w:rFonts w:cs="Arial"/>
                <w:color w:val="002060"/>
                <w:sz w:val="16"/>
                <w:szCs w:val="16"/>
                <w:lang w:bidi="th-TH"/>
              </w:rPr>
            </w:pPr>
            <w:r w:rsidRPr="00797FCA">
              <w:rPr>
                <w:rFonts w:cs="Arial"/>
                <w:i/>
                <w:color w:val="002060"/>
                <w:sz w:val="16"/>
                <w:szCs w:val="16"/>
              </w:rPr>
              <w:t xml:space="preserve">Updated Baseline end 2013:  </w:t>
            </w:r>
            <w:r w:rsidRPr="002F18EA">
              <w:rPr>
                <w:rFonts w:cs="Arial"/>
                <w:color w:val="002060"/>
                <w:sz w:val="16"/>
                <w:szCs w:val="16"/>
                <w:lang w:bidi="th-TH"/>
              </w:rPr>
              <w:t>For the biennium: 10.34</w:t>
            </w:r>
          </w:p>
          <w:p w:rsidR="00E55863" w:rsidRPr="002F18EA" w:rsidRDefault="00E55863" w:rsidP="00E55863">
            <w:pPr>
              <w:pStyle w:val="ListParagraph"/>
              <w:numPr>
                <w:ilvl w:val="0"/>
                <w:numId w:val="71"/>
              </w:numPr>
              <w:rPr>
                <w:rFonts w:cs="Arial"/>
                <w:color w:val="002060"/>
                <w:sz w:val="16"/>
                <w:szCs w:val="16"/>
                <w:lang w:bidi="th-TH"/>
              </w:rPr>
            </w:pPr>
            <w:r w:rsidRPr="002F18EA">
              <w:rPr>
                <w:rFonts w:cs="Arial"/>
                <w:color w:val="002060"/>
                <w:sz w:val="16"/>
                <w:szCs w:val="16"/>
                <w:lang w:bidi="th-TH"/>
              </w:rPr>
              <w:t>2012:  9.07</w:t>
            </w:r>
          </w:p>
          <w:p w:rsidR="00E55863" w:rsidRPr="002F18EA" w:rsidRDefault="00E55863" w:rsidP="00E55863">
            <w:pPr>
              <w:pStyle w:val="ListParagraph"/>
              <w:numPr>
                <w:ilvl w:val="0"/>
                <w:numId w:val="71"/>
              </w:numPr>
              <w:rPr>
                <w:rFonts w:cs="Arial"/>
                <w:color w:val="002060"/>
                <w:sz w:val="16"/>
                <w:szCs w:val="16"/>
                <w:lang w:bidi="th-TH"/>
              </w:rPr>
            </w:pPr>
            <w:r w:rsidRPr="002F18EA">
              <w:rPr>
                <w:rFonts w:cs="Arial"/>
                <w:color w:val="002060"/>
                <w:sz w:val="16"/>
                <w:szCs w:val="16"/>
                <w:lang w:bidi="th-TH"/>
              </w:rPr>
              <w:t>2013:  11.6</w:t>
            </w:r>
          </w:p>
          <w:p w:rsidR="00E55863" w:rsidRPr="00797FCA" w:rsidRDefault="00E55863" w:rsidP="007854A1">
            <w:pPr>
              <w:rPr>
                <w:rFonts w:cs="Arial"/>
                <w:i/>
                <w:color w:val="002060"/>
                <w:sz w:val="8"/>
                <w:szCs w:val="8"/>
              </w:rPr>
            </w:pPr>
          </w:p>
          <w:p w:rsidR="00E55863" w:rsidRPr="00797FCA" w:rsidRDefault="00E55863" w:rsidP="007854A1">
            <w:pPr>
              <w:rPr>
                <w:rFonts w:cs="Arial"/>
                <w:sz w:val="16"/>
                <w:szCs w:val="16"/>
              </w:rPr>
            </w:pPr>
            <w:r w:rsidRPr="00797FCA">
              <w:rPr>
                <w:rFonts w:cs="Arial"/>
                <w:i/>
                <w:sz w:val="16"/>
                <w:szCs w:val="16"/>
              </w:rPr>
              <w:t>Original Baseline P&amp;B 2014/15:</w:t>
            </w:r>
            <w:r w:rsidRPr="00797FCA">
              <w:rPr>
                <w:rFonts w:cs="Arial"/>
                <w:sz w:val="16"/>
                <w:szCs w:val="16"/>
              </w:rPr>
              <w:t xml:space="preserve">  9.07 (Dec 2012)</w:t>
            </w:r>
          </w:p>
          <w:p w:rsidR="00E55863" w:rsidRPr="00797FCA" w:rsidRDefault="00E55863" w:rsidP="007854A1">
            <w:pPr>
              <w:rPr>
                <w:rFonts w:cs="Arial"/>
                <w:i/>
                <w:color w:val="002060"/>
                <w:sz w:val="16"/>
                <w:szCs w:val="16"/>
              </w:rPr>
            </w:pPr>
          </w:p>
        </w:tc>
        <w:tc>
          <w:tcPr>
            <w:tcW w:w="749" w:type="pct"/>
            <w:shd w:val="clear" w:color="auto" w:fill="auto"/>
            <w:tcMar>
              <w:top w:w="110" w:type="dxa"/>
            </w:tcMar>
          </w:tcPr>
          <w:p w:rsidR="00E55863" w:rsidRPr="00784FF4" w:rsidRDefault="00E55863" w:rsidP="007854A1">
            <w:pPr>
              <w:keepNext/>
              <w:keepLines/>
              <w:rPr>
                <w:rFonts w:cs="Arial"/>
                <w:sz w:val="16"/>
                <w:szCs w:val="16"/>
              </w:rPr>
            </w:pPr>
            <w:r w:rsidRPr="009C736D">
              <w:rPr>
                <w:rFonts w:cs="Arial"/>
                <w:sz w:val="16"/>
                <w:szCs w:val="16"/>
              </w:rPr>
              <w:t>9</w:t>
            </w:r>
          </w:p>
        </w:tc>
        <w:tc>
          <w:tcPr>
            <w:tcW w:w="979" w:type="pct"/>
            <w:gridSpan w:val="2"/>
            <w:shd w:val="clear" w:color="auto" w:fill="FFFFFF"/>
            <w:tcMar>
              <w:top w:w="110" w:type="dxa"/>
            </w:tcMar>
          </w:tcPr>
          <w:p w:rsidR="00E55863" w:rsidRDefault="00E55863" w:rsidP="007854A1">
            <w:pPr>
              <w:rPr>
                <w:rFonts w:cs="Arial"/>
                <w:sz w:val="16"/>
                <w:szCs w:val="16"/>
              </w:rPr>
            </w:pPr>
            <w:r>
              <w:rPr>
                <w:rFonts w:cs="Arial"/>
                <w:sz w:val="16"/>
                <w:szCs w:val="16"/>
              </w:rPr>
              <w:t>2014: 11.2</w:t>
            </w:r>
            <w:r>
              <w:rPr>
                <w:rStyle w:val="FootnoteReference"/>
                <w:rFonts w:cs="Arial"/>
                <w:sz w:val="16"/>
                <w:szCs w:val="16"/>
              </w:rPr>
              <w:footnoteReference w:id="132"/>
            </w:r>
          </w:p>
          <w:p w:rsidR="00E55863" w:rsidRPr="00797FCA" w:rsidRDefault="00E55863" w:rsidP="007854A1">
            <w:pPr>
              <w:rPr>
                <w:rFonts w:cs="Arial"/>
                <w:sz w:val="16"/>
                <w:szCs w:val="16"/>
              </w:rPr>
            </w:pPr>
            <w:r>
              <w:rPr>
                <w:rFonts w:cs="Arial"/>
                <w:sz w:val="16"/>
                <w:szCs w:val="16"/>
              </w:rPr>
              <w:t>2015: 10.5</w:t>
            </w:r>
          </w:p>
        </w:tc>
        <w:tc>
          <w:tcPr>
            <w:tcW w:w="606" w:type="pct"/>
            <w:gridSpan w:val="3"/>
            <w:shd w:val="clear" w:color="auto" w:fill="auto"/>
            <w:tcMar>
              <w:top w:w="110" w:type="dxa"/>
            </w:tcMar>
          </w:tcPr>
          <w:p w:rsidR="00E55863" w:rsidRPr="001A0A8D" w:rsidDel="00AF185F" w:rsidRDefault="00E55863" w:rsidP="007854A1">
            <w:pPr>
              <w:keepNext/>
              <w:keepLines/>
              <w:jc w:val="center"/>
              <w:rPr>
                <w:rFonts w:cs="Arial"/>
                <w:b/>
                <w:bCs/>
                <w:color w:val="FF0000"/>
                <w:sz w:val="16"/>
                <w:szCs w:val="16"/>
              </w:rPr>
            </w:pPr>
            <w:r w:rsidRPr="001A0A8D">
              <w:rPr>
                <w:rFonts w:cs="Arial"/>
                <w:b/>
                <w:bCs/>
                <w:color w:val="E36C0A" w:themeColor="accent6" w:themeShade="BF"/>
                <w:sz w:val="16"/>
                <w:szCs w:val="16"/>
              </w:rPr>
              <w:t>Partially Achieved</w:t>
            </w:r>
          </w:p>
        </w:tc>
      </w:tr>
      <w:tr w:rsidR="00E55863" w:rsidRPr="00797FCA" w:rsidTr="005F75C8">
        <w:tc>
          <w:tcPr>
            <w:tcW w:w="1110" w:type="pct"/>
            <w:shd w:val="clear" w:color="auto" w:fill="auto"/>
          </w:tcPr>
          <w:p w:rsidR="00E55863" w:rsidRPr="00797FCA" w:rsidRDefault="00E55863" w:rsidP="007854A1">
            <w:pPr>
              <w:keepNext/>
              <w:keepLines/>
              <w:rPr>
                <w:rFonts w:cs="Arial"/>
                <w:sz w:val="16"/>
                <w:szCs w:val="16"/>
              </w:rPr>
            </w:pPr>
            <w:r w:rsidRPr="00797FCA">
              <w:rPr>
                <w:rFonts w:cs="Arial"/>
                <w:sz w:val="16"/>
                <w:szCs w:val="16"/>
              </w:rPr>
              <w:t>% of women in professional and higher positions</w:t>
            </w:r>
          </w:p>
        </w:tc>
        <w:tc>
          <w:tcPr>
            <w:tcW w:w="1556" w:type="pct"/>
            <w:shd w:val="clear" w:color="auto" w:fill="auto"/>
          </w:tcPr>
          <w:p w:rsidR="00E55863" w:rsidRPr="00797FCA" w:rsidDel="00A15D98" w:rsidRDefault="00E55863" w:rsidP="007854A1">
            <w:pPr>
              <w:rPr>
                <w:rFonts w:cs="Arial"/>
                <w:color w:val="002060"/>
                <w:sz w:val="16"/>
                <w:szCs w:val="16"/>
              </w:rPr>
            </w:pPr>
            <w:r w:rsidRPr="00797FCA">
              <w:rPr>
                <w:rFonts w:cs="Arial"/>
                <w:i/>
                <w:color w:val="002060"/>
                <w:sz w:val="16"/>
                <w:szCs w:val="16"/>
              </w:rPr>
              <w:t xml:space="preserve">Updated Baseline end 2013:  </w:t>
            </w:r>
          </w:p>
          <w:tbl>
            <w:tblPr>
              <w:tblW w:w="2383" w:type="dxa"/>
              <w:tblLayout w:type="fixed"/>
              <w:tblLook w:val="04A0" w:firstRow="1" w:lastRow="0" w:firstColumn="1" w:lastColumn="0" w:noHBand="0" w:noVBand="1"/>
            </w:tblPr>
            <w:tblGrid>
              <w:gridCol w:w="580"/>
              <w:gridCol w:w="670"/>
              <w:gridCol w:w="1133"/>
            </w:tblGrid>
            <w:tr w:rsidR="00E55863" w:rsidRPr="0020416E" w:rsidTr="007854A1">
              <w:trPr>
                <w:trHeight w:val="255"/>
              </w:trPr>
              <w:tc>
                <w:tcPr>
                  <w:tcW w:w="580" w:type="dxa"/>
                  <w:tcBorders>
                    <w:top w:val="nil"/>
                    <w:left w:val="nil"/>
                    <w:bottom w:val="nil"/>
                    <w:right w:val="nil"/>
                  </w:tcBorders>
                  <w:shd w:val="clear" w:color="auto" w:fill="auto"/>
                  <w:noWrap/>
                  <w:vAlign w:val="bottom"/>
                  <w:hideMark/>
                </w:tcPr>
                <w:p w:rsidR="00E55863" w:rsidRPr="00A15D98" w:rsidRDefault="00E55863" w:rsidP="007854A1">
                  <w:pPr>
                    <w:rPr>
                      <w:rFonts w:cs="Arial"/>
                      <w:color w:val="002060"/>
                      <w:sz w:val="16"/>
                      <w:szCs w:val="16"/>
                    </w:rPr>
                  </w:pPr>
                </w:p>
              </w:tc>
              <w:tc>
                <w:tcPr>
                  <w:tcW w:w="670" w:type="dxa"/>
                  <w:tcBorders>
                    <w:top w:val="nil"/>
                    <w:left w:val="nil"/>
                    <w:bottom w:val="nil"/>
                    <w:right w:val="nil"/>
                  </w:tcBorders>
                  <w:shd w:val="clear" w:color="auto" w:fill="auto"/>
                  <w:noWrap/>
                  <w:vAlign w:val="bottom"/>
                  <w:hideMark/>
                </w:tcPr>
                <w:p w:rsidR="00E55863" w:rsidRPr="00A15D98" w:rsidRDefault="00E55863" w:rsidP="007854A1">
                  <w:pPr>
                    <w:rPr>
                      <w:rFonts w:cs="Arial"/>
                      <w:color w:val="002060"/>
                      <w:sz w:val="16"/>
                      <w:szCs w:val="16"/>
                    </w:rPr>
                  </w:pPr>
                  <w:r w:rsidRPr="00A15D98">
                    <w:rPr>
                      <w:rFonts w:cs="Arial"/>
                      <w:color w:val="002060"/>
                      <w:sz w:val="16"/>
                      <w:szCs w:val="16"/>
                    </w:rPr>
                    <w:t>2012:</w:t>
                  </w:r>
                </w:p>
              </w:tc>
              <w:tc>
                <w:tcPr>
                  <w:tcW w:w="1133" w:type="dxa"/>
                  <w:tcBorders>
                    <w:top w:val="nil"/>
                    <w:left w:val="nil"/>
                    <w:bottom w:val="nil"/>
                    <w:right w:val="nil"/>
                  </w:tcBorders>
                  <w:shd w:val="clear" w:color="auto" w:fill="auto"/>
                  <w:noWrap/>
                  <w:vAlign w:val="bottom"/>
                  <w:hideMark/>
                </w:tcPr>
                <w:p w:rsidR="00E55863" w:rsidRPr="00A15D98" w:rsidRDefault="00E55863" w:rsidP="007854A1">
                  <w:pPr>
                    <w:rPr>
                      <w:rFonts w:cs="Arial"/>
                      <w:color w:val="002060"/>
                      <w:sz w:val="16"/>
                      <w:szCs w:val="16"/>
                    </w:rPr>
                  </w:pPr>
                  <w:r w:rsidRPr="00A15D98">
                    <w:rPr>
                      <w:rFonts w:cs="Arial"/>
                      <w:color w:val="002060"/>
                      <w:sz w:val="16"/>
                      <w:szCs w:val="16"/>
                    </w:rPr>
                    <w:t>2013:</w:t>
                  </w:r>
                </w:p>
              </w:tc>
            </w:tr>
            <w:tr w:rsidR="00E55863" w:rsidRPr="0020416E" w:rsidTr="007854A1">
              <w:trPr>
                <w:trHeight w:val="255"/>
              </w:trPr>
              <w:tc>
                <w:tcPr>
                  <w:tcW w:w="580" w:type="dxa"/>
                  <w:tcBorders>
                    <w:top w:val="nil"/>
                    <w:left w:val="nil"/>
                    <w:bottom w:val="nil"/>
                    <w:right w:val="nil"/>
                  </w:tcBorders>
                  <w:shd w:val="clear" w:color="auto" w:fill="auto"/>
                  <w:noWrap/>
                  <w:vAlign w:val="bottom"/>
                  <w:hideMark/>
                </w:tcPr>
                <w:p w:rsidR="00E55863" w:rsidRPr="00A15D98" w:rsidRDefault="00E55863" w:rsidP="007854A1">
                  <w:pPr>
                    <w:rPr>
                      <w:rFonts w:cs="Arial"/>
                      <w:color w:val="002060"/>
                      <w:sz w:val="16"/>
                      <w:szCs w:val="16"/>
                    </w:rPr>
                  </w:pPr>
                  <w:r w:rsidRPr="00A15D98">
                    <w:rPr>
                      <w:rFonts w:cs="Arial"/>
                      <w:color w:val="002060"/>
                      <w:sz w:val="16"/>
                      <w:szCs w:val="16"/>
                    </w:rPr>
                    <w:t xml:space="preserve">P4 - </w:t>
                  </w:r>
                </w:p>
              </w:tc>
              <w:tc>
                <w:tcPr>
                  <w:tcW w:w="670" w:type="dxa"/>
                  <w:tcBorders>
                    <w:top w:val="nil"/>
                    <w:left w:val="nil"/>
                    <w:bottom w:val="nil"/>
                    <w:right w:val="nil"/>
                  </w:tcBorders>
                  <w:shd w:val="clear" w:color="auto" w:fill="auto"/>
                  <w:noWrap/>
                  <w:vAlign w:val="bottom"/>
                  <w:hideMark/>
                </w:tcPr>
                <w:p w:rsidR="00E55863" w:rsidRPr="00A15D98" w:rsidRDefault="00E55863" w:rsidP="007854A1">
                  <w:pPr>
                    <w:rPr>
                      <w:rFonts w:cs="Arial"/>
                      <w:color w:val="002060"/>
                      <w:sz w:val="16"/>
                      <w:szCs w:val="16"/>
                    </w:rPr>
                  </w:pPr>
                  <w:r w:rsidRPr="00A15D98">
                    <w:rPr>
                      <w:rFonts w:cs="Arial"/>
                      <w:color w:val="002060"/>
                      <w:sz w:val="16"/>
                      <w:szCs w:val="16"/>
                    </w:rPr>
                    <w:t>44.4%</w:t>
                  </w:r>
                </w:p>
              </w:tc>
              <w:tc>
                <w:tcPr>
                  <w:tcW w:w="1133" w:type="dxa"/>
                  <w:tcBorders>
                    <w:top w:val="nil"/>
                    <w:left w:val="nil"/>
                    <w:bottom w:val="nil"/>
                    <w:right w:val="nil"/>
                  </w:tcBorders>
                  <w:shd w:val="clear" w:color="auto" w:fill="auto"/>
                  <w:noWrap/>
                  <w:vAlign w:val="bottom"/>
                  <w:hideMark/>
                </w:tcPr>
                <w:p w:rsidR="00E55863" w:rsidRPr="00A15D98" w:rsidRDefault="00E55863" w:rsidP="007854A1">
                  <w:pPr>
                    <w:rPr>
                      <w:rFonts w:cs="Arial"/>
                      <w:color w:val="002060"/>
                      <w:sz w:val="16"/>
                      <w:szCs w:val="16"/>
                    </w:rPr>
                  </w:pPr>
                  <w:r w:rsidRPr="00A15D98">
                    <w:rPr>
                      <w:rFonts w:cs="Arial"/>
                      <w:color w:val="002060"/>
                      <w:sz w:val="16"/>
                      <w:szCs w:val="16"/>
                    </w:rPr>
                    <w:t>43.4%</w:t>
                  </w:r>
                </w:p>
              </w:tc>
            </w:tr>
            <w:tr w:rsidR="00E55863" w:rsidRPr="0020416E" w:rsidTr="007854A1">
              <w:trPr>
                <w:trHeight w:val="255"/>
              </w:trPr>
              <w:tc>
                <w:tcPr>
                  <w:tcW w:w="580" w:type="dxa"/>
                  <w:tcBorders>
                    <w:top w:val="nil"/>
                    <w:left w:val="nil"/>
                    <w:bottom w:val="nil"/>
                    <w:right w:val="nil"/>
                  </w:tcBorders>
                  <w:shd w:val="clear" w:color="auto" w:fill="auto"/>
                  <w:noWrap/>
                  <w:vAlign w:val="bottom"/>
                  <w:hideMark/>
                </w:tcPr>
                <w:p w:rsidR="00E55863" w:rsidRPr="00A15D98" w:rsidRDefault="00E55863" w:rsidP="007854A1">
                  <w:pPr>
                    <w:rPr>
                      <w:rFonts w:cs="Arial"/>
                      <w:color w:val="002060"/>
                      <w:sz w:val="16"/>
                      <w:szCs w:val="16"/>
                    </w:rPr>
                  </w:pPr>
                  <w:r w:rsidRPr="00A15D98">
                    <w:rPr>
                      <w:rFonts w:cs="Arial"/>
                      <w:color w:val="002060"/>
                      <w:sz w:val="16"/>
                      <w:szCs w:val="16"/>
                    </w:rPr>
                    <w:t xml:space="preserve">P5 - </w:t>
                  </w:r>
                </w:p>
              </w:tc>
              <w:tc>
                <w:tcPr>
                  <w:tcW w:w="670" w:type="dxa"/>
                  <w:tcBorders>
                    <w:top w:val="nil"/>
                    <w:left w:val="nil"/>
                    <w:bottom w:val="nil"/>
                    <w:right w:val="nil"/>
                  </w:tcBorders>
                  <w:shd w:val="clear" w:color="auto" w:fill="auto"/>
                  <w:noWrap/>
                  <w:vAlign w:val="bottom"/>
                  <w:hideMark/>
                </w:tcPr>
                <w:p w:rsidR="00E55863" w:rsidRPr="00A15D98" w:rsidRDefault="00E55863" w:rsidP="007854A1">
                  <w:pPr>
                    <w:rPr>
                      <w:rFonts w:cs="Arial"/>
                      <w:color w:val="002060"/>
                      <w:sz w:val="16"/>
                      <w:szCs w:val="16"/>
                    </w:rPr>
                  </w:pPr>
                  <w:r w:rsidRPr="00A15D98">
                    <w:rPr>
                      <w:rFonts w:cs="Arial"/>
                      <w:color w:val="002060"/>
                      <w:sz w:val="16"/>
                      <w:szCs w:val="16"/>
                    </w:rPr>
                    <w:t>30.3%</w:t>
                  </w:r>
                </w:p>
              </w:tc>
              <w:tc>
                <w:tcPr>
                  <w:tcW w:w="1133" w:type="dxa"/>
                  <w:tcBorders>
                    <w:top w:val="nil"/>
                    <w:left w:val="nil"/>
                    <w:bottom w:val="nil"/>
                    <w:right w:val="nil"/>
                  </w:tcBorders>
                  <w:shd w:val="clear" w:color="auto" w:fill="auto"/>
                  <w:noWrap/>
                  <w:vAlign w:val="bottom"/>
                  <w:hideMark/>
                </w:tcPr>
                <w:p w:rsidR="00E55863" w:rsidRPr="00A15D98" w:rsidRDefault="00E55863" w:rsidP="007854A1">
                  <w:pPr>
                    <w:rPr>
                      <w:rFonts w:cs="Arial"/>
                      <w:color w:val="002060"/>
                      <w:sz w:val="16"/>
                      <w:szCs w:val="16"/>
                    </w:rPr>
                  </w:pPr>
                  <w:r w:rsidRPr="00A15D98">
                    <w:rPr>
                      <w:rFonts w:cs="Arial"/>
                      <w:color w:val="002060"/>
                      <w:sz w:val="16"/>
                      <w:szCs w:val="16"/>
                    </w:rPr>
                    <w:t>34.3%</w:t>
                  </w:r>
                </w:p>
              </w:tc>
            </w:tr>
            <w:tr w:rsidR="00E55863" w:rsidRPr="0020416E" w:rsidTr="007854A1">
              <w:trPr>
                <w:trHeight w:val="255"/>
              </w:trPr>
              <w:tc>
                <w:tcPr>
                  <w:tcW w:w="580" w:type="dxa"/>
                  <w:tcBorders>
                    <w:top w:val="nil"/>
                    <w:left w:val="nil"/>
                    <w:bottom w:val="nil"/>
                    <w:right w:val="nil"/>
                  </w:tcBorders>
                  <w:shd w:val="clear" w:color="auto" w:fill="auto"/>
                  <w:noWrap/>
                  <w:vAlign w:val="bottom"/>
                  <w:hideMark/>
                </w:tcPr>
                <w:p w:rsidR="00E55863" w:rsidRPr="00A15D98" w:rsidRDefault="00E55863" w:rsidP="007854A1">
                  <w:pPr>
                    <w:rPr>
                      <w:rFonts w:cs="Arial"/>
                      <w:color w:val="002060"/>
                      <w:sz w:val="16"/>
                      <w:szCs w:val="16"/>
                    </w:rPr>
                  </w:pPr>
                  <w:r w:rsidRPr="00A15D98">
                    <w:rPr>
                      <w:rFonts w:cs="Arial"/>
                      <w:color w:val="002060"/>
                      <w:sz w:val="16"/>
                      <w:szCs w:val="16"/>
                    </w:rPr>
                    <w:t xml:space="preserve">D1 - </w:t>
                  </w:r>
                </w:p>
              </w:tc>
              <w:tc>
                <w:tcPr>
                  <w:tcW w:w="670" w:type="dxa"/>
                  <w:tcBorders>
                    <w:top w:val="nil"/>
                    <w:left w:val="nil"/>
                    <w:bottom w:val="nil"/>
                    <w:right w:val="nil"/>
                  </w:tcBorders>
                  <w:shd w:val="clear" w:color="auto" w:fill="auto"/>
                  <w:noWrap/>
                  <w:vAlign w:val="bottom"/>
                  <w:hideMark/>
                </w:tcPr>
                <w:p w:rsidR="00E55863" w:rsidRPr="00A15D98" w:rsidRDefault="00E55863" w:rsidP="007854A1">
                  <w:pPr>
                    <w:rPr>
                      <w:rFonts w:cs="Arial"/>
                      <w:color w:val="002060"/>
                      <w:sz w:val="16"/>
                      <w:szCs w:val="16"/>
                    </w:rPr>
                  </w:pPr>
                  <w:r w:rsidRPr="00A15D98">
                    <w:rPr>
                      <w:rFonts w:cs="Arial"/>
                      <w:color w:val="002060"/>
                      <w:sz w:val="16"/>
                      <w:szCs w:val="16"/>
                    </w:rPr>
                    <w:t>24.4%</w:t>
                  </w:r>
                </w:p>
              </w:tc>
              <w:tc>
                <w:tcPr>
                  <w:tcW w:w="1133" w:type="dxa"/>
                  <w:tcBorders>
                    <w:top w:val="nil"/>
                    <w:left w:val="nil"/>
                    <w:bottom w:val="nil"/>
                    <w:right w:val="nil"/>
                  </w:tcBorders>
                  <w:shd w:val="clear" w:color="auto" w:fill="auto"/>
                  <w:noWrap/>
                  <w:vAlign w:val="bottom"/>
                  <w:hideMark/>
                </w:tcPr>
                <w:p w:rsidR="00E55863" w:rsidRPr="00A15D98" w:rsidRDefault="00E55863" w:rsidP="007854A1">
                  <w:pPr>
                    <w:rPr>
                      <w:rFonts w:cs="Arial"/>
                      <w:color w:val="002060"/>
                      <w:sz w:val="16"/>
                      <w:szCs w:val="16"/>
                    </w:rPr>
                  </w:pPr>
                  <w:r w:rsidRPr="00A15D98">
                    <w:rPr>
                      <w:rFonts w:cs="Arial"/>
                      <w:color w:val="002060"/>
                      <w:sz w:val="16"/>
                      <w:szCs w:val="16"/>
                    </w:rPr>
                    <w:t>26.8%</w:t>
                  </w:r>
                </w:p>
              </w:tc>
            </w:tr>
            <w:tr w:rsidR="00E55863" w:rsidRPr="0020416E" w:rsidTr="007854A1">
              <w:trPr>
                <w:trHeight w:val="255"/>
              </w:trPr>
              <w:tc>
                <w:tcPr>
                  <w:tcW w:w="580" w:type="dxa"/>
                  <w:tcBorders>
                    <w:top w:val="nil"/>
                    <w:left w:val="nil"/>
                    <w:bottom w:val="nil"/>
                    <w:right w:val="nil"/>
                  </w:tcBorders>
                  <w:shd w:val="clear" w:color="auto" w:fill="auto"/>
                  <w:noWrap/>
                  <w:vAlign w:val="bottom"/>
                  <w:hideMark/>
                </w:tcPr>
                <w:p w:rsidR="00E55863" w:rsidRPr="00A15D98" w:rsidRDefault="00E55863" w:rsidP="007854A1">
                  <w:pPr>
                    <w:rPr>
                      <w:rFonts w:cs="Arial"/>
                      <w:color w:val="002060"/>
                      <w:sz w:val="16"/>
                      <w:szCs w:val="16"/>
                    </w:rPr>
                  </w:pPr>
                  <w:r w:rsidRPr="00A15D98">
                    <w:rPr>
                      <w:rFonts w:cs="Arial"/>
                      <w:color w:val="002060"/>
                      <w:sz w:val="16"/>
                      <w:szCs w:val="16"/>
                    </w:rPr>
                    <w:t xml:space="preserve">D2 - </w:t>
                  </w:r>
                </w:p>
              </w:tc>
              <w:tc>
                <w:tcPr>
                  <w:tcW w:w="670" w:type="dxa"/>
                  <w:tcBorders>
                    <w:top w:val="nil"/>
                    <w:left w:val="nil"/>
                    <w:bottom w:val="nil"/>
                    <w:right w:val="nil"/>
                  </w:tcBorders>
                  <w:shd w:val="clear" w:color="auto" w:fill="auto"/>
                  <w:noWrap/>
                  <w:vAlign w:val="bottom"/>
                  <w:hideMark/>
                </w:tcPr>
                <w:p w:rsidR="00E55863" w:rsidRPr="00A15D98" w:rsidRDefault="00E55863" w:rsidP="007854A1">
                  <w:pPr>
                    <w:rPr>
                      <w:rFonts w:cs="Arial"/>
                      <w:color w:val="002060"/>
                      <w:sz w:val="16"/>
                      <w:szCs w:val="16"/>
                    </w:rPr>
                  </w:pPr>
                  <w:r w:rsidRPr="00A15D98">
                    <w:rPr>
                      <w:rFonts w:cs="Arial"/>
                      <w:color w:val="002060"/>
                      <w:sz w:val="16"/>
                      <w:szCs w:val="16"/>
                    </w:rPr>
                    <w:t>23.1%</w:t>
                  </w:r>
                </w:p>
              </w:tc>
              <w:tc>
                <w:tcPr>
                  <w:tcW w:w="1133" w:type="dxa"/>
                  <w:tcBorders>
                    <w:top w:val="nil"/>
                    <w:left w:val="nil"/>
                    <w:bottom w:val="nil"/>
                    <w:right w:val="nil"/>
                  </w:tcBorders>
                  <w:shd w:val="clear" w:color="auto" w:fill="auto"/>
                  <w:noWrap/>
                  <w:vAlign w:val="bottom"/>
                  <w:hideMark/>
                </w:tcPr>
                <w:p w:rsidR="00E55863" w:rsidRPr="00A15D98" w:rsidRDefault="00E55863" w:rsidP="007854A1">
                  <w:pPr>
                    <w:rPr>
                      <w:rFonts w:cs="Arial"/>
                      <w:color w:val="002060"/>
                      <w:sz w:val="16"/>
                      <w:szCs w:val="16"/>
                    </w:rPr>
                  </w:pPr>
                  <w:r w:rsidRPr="00A15D98">
                    <w:rPr>
                      <w:rFonts w:cs="Arial"/>
                      <w:color w:val="002060"/>
                      <w:sz w:val="16"/>
                      <w:szCs w:val="16"/>
                    </w:rPr>
                    <w:t>33.3%</w:t>
                  </w:r>
                </w:p>
              </w:tc>
            </w:tr>
          </w:tbl>
          <w:p w:rsidR="00E55863" w:rsidRPr="00797FCA" w:rsidRDefault="00E55863" w:rsidP="007854A1">
            <w:pPr>
              <w:rPr>
                <w:rFonts w:cs="Arial"/>
                <w:color w:val="002060"/>
                <w:sz w:val="16"/>
                <w:szCs w:val="16"/>
                <w:lang w:bidi="th-TH"/>
              </w:rPr>
            </w:pPr>
          </w:p>
          <w:p w:rsidR="00E55863" w:rsidRPr="00797FCA" w:rsidRDefault="00E55863" w:rsidP="007854A1">
            <w:pPr>
              <w:rPr>
                <w:rFonts w:cs="Arial"/>
                <w:i/>
                <w:color w:val="002060"/>
                <w:sz w:val="8"/>
                <w:szCs w:val="8"/>
              </w:rPr>
            </w:pPr>
          </w:p>
          <w:p w:rsidR="00E55863" w:rsidRDefault="00E55863" w:rsidP="007854A1">
            <w:pPr>
              <w:rPr>
                <w:rFonts w:cs="Arial"/>
                <w:sz w:val="16"/>
                <w:szCs w:val="16"/>
              </w:rPr>
            </w:pPr>
            <w:r w:rsidRPr="00797FCA">
              <w:rPr>
                <w:rFonts w:cs="Arial"/>
                <w:i/>
                <w:sz w:val="16"/>
                <w:szCs w:val="16"/>
              </w:rPr>
              <w:t>Original Baseline P&amp;B 2014/15:</w:t>
            </w:r>
            <w:r w:rsidRPr="00797FCA">
              <w:rPr>
                <w:rFonts w:cs="Arial"/>
                <w:sz w:val="16"/>
                <w:szCs w:val="16"/>
              </w:rPr>
              <w:t xml:space="preserve">  </w:t>
            </w:r>
          </w:p>
          <w:p w:rsidR="00E55863" w:rsidRPr="00797FCA" w:rsidRDefault="00E55863" w:rsidP="007854A1">
            <w:pPr>
              <w:rPr>
                <w:rFonts w:cs="Arial"/>
                <w:sz w:val="16"/>
                <w:szCs w:val="16"/>
              </w:rPr>
            </w:pPr>
            <w:r w:rsidRPr="00797FCA">
              <w:rPr>
                <w:rFonts w:cs="Arial"/>
                <w:sz w:val="16"/>
                <w:szCs w:val="16"/>
              </w:rPr>
              <w:t>P4 – 44.1%</w:t>
            </w:r>
          </w:p>
          <w:p w:rsidR="00E55863" w:rsidRPr="00797FCA" w:rsidRDefault="00E55863" w:rsidP="007854A1">
            <w:pPr>
              <w:rPr>
                <w:rFonts w:cs="Arial"/>
                <w:sz w:val="16"/>
                <w:szCs w:val="16"/>
              </w:rPr>
            </w:pPr>
            <w:r w:rsidRPr="00797FCA">
              <w:rPr>
                <w:rFonts w:cs="Arial"/>
                <w:sz w:val="16"/>
                <w:szCs w:val="16"/>
              </w:rPr>
              <w:t>P5 – 31.8%</w:t>
            </w:r>
          </w:p>
          <w:p w:rsidR="00E55863" w:rsidRPr="00797FCA" w:rsidRDefault="00E55863" w:rsidP="007854A1">
            <w:pPr>
              <w:rPr>
                <w:rFonts w:cs="Arial"/>
                <w:sz w:val="16"/>
                <w:szCs w:val="16"/>
              </w:rPr>
            </w:pPr>
            <w:r w:rsidRPr="00797FCA">
              <w:rPr>
                <w:rFonts w:cs="Arial"/>
                <w:sz w:val="16"/>
                <w:szCs w:val="16"/>
              </w:rPr>
              <w:t>D1 – 26.2%</w:t>
            </w:r>
          </w:p>
          <w:p w:rsidR="00E55863" w:rsidRPr="00797FCA" w:rsidRDefault="00E55863" w:rsidP="007854A1">
            <w:pPr>
              <w:rPr>
                <w:rFonts w:cs="Arial"/>
                <w:sz w:val="16"/>
                <w:szCs w:val="16"/>
              </w:rPr>
            </w:pPr>
            <w:r w:rsidRPr="00797FCA">
              <w:rPr>
                <w:rFonts w:cs="Arial"/>
                <w:sz w:val="16"/>
                <w:szCs w:val="16"/>
              </w:rPr>
              <w:t>D2 – 23.1%</w:t>
            </w:r>
          </w:p>
          <w:p w:rsidR="00E55863" w:rsidRPr="00797FCA" w:rsidRDefault="00E55863" w:rsidP="007854A1">
            <w:pPr>
              <w:rPr>
                <w:rFonts w:cs="Arial"/>
                <w:sz w:val="16"/>
                <w:szCs w:val="16"/>
              </w:rPr>
            </w:pPr>
            <w:r w:rsidRPr="00797FCA">
              <w:rPr>
                <w:rFonts w:cs="Arial"/>
                <w:sz w:val="16"/>
                <w:szCs w:val="16"/>
              </w:rPr>
              <w:t>(Dec 2012)</w:t>
            </w:r>
          </w:p>
          <w:p w:rsidR="00E55863" w:rsidRPr="00797FCA" w:rsidRDefault="00E55863" w:rsidP="007854A1">
            <w:pPr>
              <w:rPr>
                <w:rFonts w:cs="Arial"/>
                <w:sz w:val="16"/>
                <w:szCs w:val="16"/>
              </w:rPr>
            </w:pPr>
          </w:p>
        </w:tc>
        <w:tc>
          <w:tcPr>
            <w:tcW w:w="749" w:type="pct"/>
            <w:shd w:val="clear" w:color="auto" w:fill="auto"/>
            <w:tcMar>
              <w:top w:w="110" w:type="dxa"/>
            </w:tcMar>
          </w:tcPr>
          <w:p w:rsidR="00E55863" w:rsidRDefault="00E55863" w:rsidP="007854A1">
            <w:pPr>
              <w:keepNext/>
              <w:keepLines/>
              <w:spacing w:after="160"/>
              <w:rPr>
                <w:rFonts w:cs="Arial"/>
                <w:sz w:val="16"/>
                <w:szCs w:val="16"/>
              </w:rPr>
            </w:pPr>
          </w:p>
          <w:p w:rsidR="00E55863" w:rsidRPr="00784FF4" w:rsidRDefault="00E55863" w:rsidP="007854A1">
            <w:pPr>
              <w:keepNext/>
              <w:keepLines/>
              <w:spacing w:after="160"/>
              <w:rPr>
                <w:rFonts w:cs="Arial"/>
                <w:sz w:val="16"/>
                <w:szCs w:val="16"/>
              </w:rPr>
            </w:pPr>
            <w:r w:rsidRPr="00784FF4">
              <w:rPr>
                <w:rFonts w:cs="Arial"/>
                <w:sz w:val="16"/>
                <w:szCs w:val="16"/>
              </w:rPr>
              <w:t>P4 – 46%</w:t>
            </w:r>
          </w:p>
          <w:p w:rsidR="00E55863" w:rsidRPr="00784FF4" w:rsidRDefault="00E55863" w:rsidP="007854A1">
            <w:pPr>
              <w:keepNext/>
              <w:keepLines/>
              <w:spacing w:after="160"/>
              <w:rPr>
                <w:rFonts w:cs="Arial"/>
                <w:sz w:val="16"/>
                <w:szCs w:val="16"/>
              </w:rPr>
            </w:pPr>
            <w:r w:rsidRPr="00784FF4">
              <w:rPr>
                <w:rFonts w:cs="Arial"/>
                <w:sz w:val="16"/>
                <w:szCs w:val="16"/>
              </w:rPr>
              <w:t>P5 – 35%</w:t>
            </w:r>
          </w:p>
          <w:p w:rsidR="00E55863" w:rsidRPr="00784FF4" w:rsidRDefault="00E55863" w:rsidP="007854A1">
            <w:pPr>
              <w:keepNext/>
              <w:keepLines/>
              <w:spacing w:after="160"/>
              <w:rPr>
                <w:rFonts w:cs="Arial"/>
                <w:sz w:val="16"/>
                <w:szCs w:val="16"/>
              </w:rPr>
            </w:pPr>
            <w:r w:rsidRPr="00784FF4">
              <w:rPr>
                <w:rFonts w:cs="Arial"/>
                <w:sz w:val="16"/>
                <w:szCs w:val="16"/>
              </w:rPr>
              <w:t>D1 – 30%</w:t>
            </w:r>
          </w:p>
          <w:p w:rsidR="00E55863" w:rsidRPr="00784FF4" w:rsidRDefault="00E55863" w:rsidP="007854A1">
            <w:pPr>
              <w:keepNext/>
              <w:keepLines/>
              <w:spacing w:after="160"/>
              <w:rPr>
                <w:rFonts w:cs="Arial"/>
                <w:sz w:val="16"/>
                <w:szCs w:val="16"/>
              </w:rPr>
            </w:pPr>
            <w:r w:rsidRPr="00784FF4">
              <w:rPr>
                <w:rFonts w:cs="Arial"/>
                <w:sz w:val="16"/>
                <w:szCs w:val="16"/>
              </w:rPr>
              <w:t>D2 – 30%</w:t>
            </w:r>
          </w:p>
        </w:tc>
        <w:tc>
          <w:tcPr>
            <w:tcW w:w="979" w:type="pct"/>
            <w:gridSpan w:val="2"/>
            <w:shd w:val="clear" w:color="auto" w:fill="FFFFFF"/>
            <w:tcMar>
              <w:top w:w="110" w:type="dxa"/>
            </w:tcMar>
          </w:tcPr>
          <w:tbl>
            <w:tblPr>
              <w:tblW w:w="2067" w:type="dxa"/>
              <w:tblLayout w:type="fixed"/>
              <w:tblCellMar>
                <w:left w:w="14" w:type="dxa"/>
                <w:right w:w="14" w:type="dxa"/>
              </w:tblCellMar>
              <w:tblLook w:val="04A0" w:firstRow="1" w:lastRow="0" w:firstColumn="1" w:lastColumn="0" w:noHBand="0" w:noVBand="1"/>
            </w:tblPr>
            <w:tblGrid>
              <w:gridCol w:w="394"/>
              <w:gridCol w:w="540"/>
              <w:gridCol w:w="1133"/>
            </w:tblGrid>
            <w:tr w:rsidR="00E55863" w:rsidRPr="00A15D98" w:rsidTr="007854A1">
              <w:trPr>
                <w:trHeight w:val="255"/>
              </w:trPr>
              <w:tc>
                <w:tcPr>
                  <w:tcW w:w="394" w:type="dxa"/>
                  <w:tcBorders>
                    <w:top w:val="nil"/>
                    <w:left w:val="nil"/>
                    <w:bottom w:val="nil"/>
                    <w:right w:val="nil"/>
                  </w:tcBorders>
                  <w:shd w:val="clear" w:color="auto" w:fill="auto"/>
                  <w:noWrap/>
                  <w:vAlign w:val="bottom"/>
                  <w:hideMark/>
                </w:tcPr>
                <w:p w:rsidR="00E55863" w:rsidRPr="00042396" w:rsidRDefault="00E55863" w:rsidP="007854A1">
                  <w:pPr>
                    <w:rPr>
                      <w:rFonts w:cs="Arial"/>
                      <w:sz w:val="16"/>
                      <w:szCs w:val="16"/>
                    </w:rPr>
                  </w:pPr>
                </w:p>
              </w:tc>
              <w:tc>
                <w:tcPr>
                  <w:tcW w:w="540" w:type="dxa"/>
                  <w:tcBorders>
                    <w:top w:val="nil"/>
                    <w:left w:val="nil"/>
                    <w:bottom w:val="nil"/>
                    <w:right w:val="nil"/>
                  </w:tcBorders>
                  <w:shd w:val="clear" w:color="auto" w:fill="auto"/>
                  <w:noWrap/>
                  <w:hideMark/>
                </w:tcPr>
                <w:p w:rsidR="00E55863" w:rsidRPr="00042396" w:rsidRDefault="00E55863" w:rsidP="007854A1">
                  <w:pPr>
                    <w:rPr>
                      <w:rFonts w:cs="Arial"/>
                      <w:sz w:val="16"/>
                      <w:szCs w:val="16"/>
                    </w:rPr>
                  </w:pPr>
                  <w:r w:rsidRPr="00042396">
                    <w:rPr>
                      <w:rFonts w:cs="Arial"/>
                      <w:sz w:val="16"/>
                      <w:szCs w:val="16"/>
                    </w:rPr>
                    <w:t>2014:</w:t>
                  </w:r>
                </w:p>
              </w:tc>
              <w:tc>
                <w:tcPr>
                  <w:tcW w:w="1133" w:type="dxa"/>
                  <w:tcBorders>
                    <w:top w:val="nil"/>
                    <w:left w:val="nil"/>
                    <w:bottom w:val="nil"/>
                    <w:right w:val="nil"/>
                  </w:tcBorders>
                  <w:shd w:val="clear" w:color="auto" w:fill="auto"/>
                  <w:noWrap/>
                  <w:hideMark/>
                </w:tcPr>
                <w:p w:rsidR="00E55863" w:rsidRPr="00042396" w:rsidRDefault="00E55863" w:rsidP="007854A1">
                  <w:pPr>
                    <w:rPr>
                      <w:rFonts w:cs="Arial"/>
                      <w:sz w:val="16"/>
                      <w:szCs w:val="16"/>
                    </w:rPr>
                  </w:pPr>
                  <w:r w:rsidRPr="00042396">
                    <w:rPr>
                      <w:rFonts w:cs="Arial"/>
                      <w:sz w:val="16"/>
                      <w:szCs w:val="16"/>
                    </w:rPr>
                    <w:t>2015:</w:t>
                  </w:r>
                </w:p>
              </w:tc>
            </w:tr>
            <w:tr w:rsidR="00E55863" w:rsidRPr="00A15D98" w:rsidTr="007854A1">
              <w:trPr>
                <w:trHeight w:val="255"/>
              </w:trPr>
              <w:tc>
                <w:tcPr>
                  <w:tcW w:w="394" w:type="dxa"/>
                  <w:tcBorders>
                    <w:top w:val="nil"/>
                    <w:left w:val="nil"/>
                    <w:bottom w:val="nil"/>
                    <w:right w:val="nil"/>
                  </w:tcBorders>
                  <w:shd w:val="clear" w:color="auto" w:fill="auto"/>
                  <w:noWrap/>
                  <w:vAlign w:val="bottom"/>
                  <w:hideMark/>
                </w:tcPr>
                <w:p w:rsidR="00E55863" w:rsidRPr="00042396" w:rsidRDefault="00E55863" w:rsidP="007854A1">
                  <w:pPr>
                    <w:rPr>
                      <w:rFonts w:cs="Arial"/>
                      <w:sz w:val="16"/>
                      <w:szCs w:val="16"/>
                    </w:rPr>
                  </w:pPr>
                  <w:r w:rsidRPr="00042396">
                    <w:rPr>
                      <w:rFonts w:cs="Arial"/>
                      <w:sz w:val="16"/>
                      <w:szCs w:val="16"/>
                    </w:rPr>
                    <w:t xml:space="preserve">P4 - </w:t>
                  </w:r>
                </w:p>
              </w:tc>
              <w:tc>
                <w:tcPr>
                  <w:tcW w:w="540" w:type="dxa"/>
                  <w:tcBorders>
                    <w:top w:val="nil"/>
                    <w:left w:val="nil"/>
                    <w:bottom w:val="nil"/>
                    <w:right w:val="nil"/>
                  </w:tcBorders>
                  <w:shd w:val="clear" w:color="auto" w:fill="auto"/>
                  <w:noWrap/>
                  <w:vAlign w:val="bottom"/>
                  <w:hideMark/>
                </w:tcPr>
                <w:p w:rsidR="00E55863" w:rsidRPr="00042396" w:rsidRDefault="00E55863" w:rsidP="007854A1">
                  <w:pPr>
                    <w:rPr>
                      <w:rFonts w:cs="Arial"/>
                      <w:sz w:val="16"/>
                      <w:szCs w:val="16"/>
                    </w:rPr>
                  </w:pPr>
                  <w:r w:rsidRPr="00042396">
                    <w:rPr>
                      <w:rFonts w:cs="Arial"/>
                      <w:sz w:val="16"/>
                      <w:szCs w:val="16"/>
                    </w:rPr>
                    <w:t>44.4%</w:t>
                  </w:r>
                </w:p>
              </w:tc>
              <w:tc>
                <w:tcPr>
                  <w:tcW w:w="1133" w:type="dxa"/>
                  <w:tcBorders>
                    <w:top w:val="nil"/>
                    <w:left w:val="nil"/>
                    <w:bottom w:val="nil"/>
                    <w:right w:val="nil"/>
                  </w:tcBorders>
                  <w:shd w:val="clear" w:color="auto" w:fill="auto"/>
                  <w:noWrap/>
                  <w:vAlign w:val="bottom"/>
                  <w:hideMark/>
                </w:tcPr>
                <w:p w:rsidR="00E55863" w:rsidRPr="00042396" w:rsidRDefault="00E55863" w:rsidP="007854A1">
                  <w:pPr>
                    <w:rPr>
                      <w:rFonts w:cs="Arial"/>
                      <w:sz w:val="16"/>
                      <w:szCs w:val="16"/>
                    </w:rPr>
                  </w:pPr>
                  <w:r w:rsidRPr="00042396">
                    <w:rPr>
                      <w:rFonts w:cs="Arial"/>
                      <w:sz w:val="16"/>
                      <w:szCs w:val="16"/>
                    </w:rPr>
                    <w:t>46.1%</w:t>
                  </w:r>
                </w:p>
              </w:tc>
            </w:tr>
            <w:tr w:rsidR="00E55863" w:rsidRPr="00A15D98" w:rsidTr="007854A1">
              <w:trPr>
                <w:trHeight w:val="255"/>
              </w:trPr>
              <w:tc>
                <w:tcPr>
                  <w:tcW w:w="394" w:type="dxa"/>
                  <w:tcBorders>
                    <w:top w:val="nil"/>
                    <w:left w:val="nil"/>
                    <w:bottom w:val="nil"/>
                    <w:right w:val="nil"/>
                  </w:tcBorders>
                  <w:shd w:val="clear" w:color="auto" w:fill="auto"/>
                  <w:noWrap/>
                  <w:vAlign w:val="bottom"/>
                  <w:hideMark/>
                </w:tcPr>
                <w:p w:rsidR="00E55863" w:rsidRPr="00042396" w:rsidRDefault="00E55863" w:rsidP="007854A1">
                  <w:pPr>
                    <w:rPr>
                      <w:rFonts w:cs="Arial"/>
                      <w:sz w:val="16"/>
                      <w:szCs w:val="16"/>
                    </w:rPr>
                  </w:pPr>
                </w:p>
                <w:p w:rsidR="00E55863" w:rsidRPr="00042396" w:rsidRDefault="00E55863" w:rsidP="007854A1">
                  <w:pPr>
                    <w:rPr>
                      <w:rFonts w:cs="Arial"/>
                      <w:sz w:val="16"/>
                      <w:szCs w:val="16"/>
                    </w:rPr>
                  </w:pPr>
                  <w:r w:rsidRPr="00042396">
                    <w:rPr>
                      <w:rFonts w:cs="Arial"/>
                      <w:sz w:val="16"/>
                      <w:szCs w:val="16"/>
                    </w:rPr>
                    <w:t xml:space="preserve">P5 - </w:t>
                  </w:r>
                </w:p>
              </w:tc>
              <w:tc>
                <w:tcPr>
                  <w:tcW w:w="540" w:type="dxa"/>
                  <w:tcBorders>
                    <w:top w:val="nil"/>
                    <w:left w:val="nil"/>
                    <w:bottom w:val="nil"/>
                    <w:right w:val="nil"/>
                  </w:tcBorders>
                  <w:shd w:val="clear" w:color="auto" w:fill="auto"/>
                  <w:noWrap/>
                  <w:vAlign w:val="bottom"/>
                  <w:hideMark/>
                </w:tcPr>
                <w:p w:rsidR="00E55863" w:rsidRPr="00042396" w:rsidRDefault="00E55863" w:rsidP="007854A1">
                  <w:pPr>
                    <w:rPr>
                      <w:rFonts w:cs="Arial"/>
                      <w:sz w:val="16"/>
                      <w:szCs w:val="16"/>
                    </w:rPr>
                  </w:pPr>
                  <w:r w:rsidRPr="00042396">
                    <w:rPr>
                      <w:rFonts w:cs="Arial"/>
                      <w:sz w:val="16"/>
                      <w:szCs w:val="16"/>
                    </w:rPr>
                    <w:t>34.4%</w:t>
                  </w:r>
                </w:p>
              </w:tc>
              <w:tc>
                <w:tcPr>
                  <w:tcW w:w="1133" w:type="dxa"/>
                  <w:tcBorders>
                    <w:top w:val="nil"/>
                    <w:left w:val="nil"/>
                    <w:bottom w:val="nil"/>
                    <w:right w:val="nil"/>
                  </w:tcBorders>
                  <w:shd w:val="clear" w:color="auto" w:fill="auto"/>
                  <w:noWrap/>
                  <w:vAlign w:val="bottom"/>
                  <w:hideMark/>
                </w:tcPr>
                <w:p w:rsidR="00E55863" w:rsidRPr="00042396" w:rsidRDefault="00E55863" w:rsidP="007854A1">
                  <w:pPr>
                    <w:rPr>
                      <w:rFonts w:cs="Arial"/>
                      <w:sz w:val="16"/>
                      <w:szCs w:val="16"/>
                    </w:rPr>
                  </w:pPr>
                  <w:r w:rsidRPr="00042396">
                    <w:rPr>
                      <w:rFonts w:cs="Arial"/>
                      <w:sz w:val="16"/>
                      <w:szCs w:val="16"/>
                    </w:rPr>
                    <w:t>34.1%</w:t>
                  </w:r>
                </w:p>
              </w:tc>
            </w:tr>
            <w:tr w:rsidR="00E55863" w:rsidRPr="00A15D98" w:rsidTr="007854A1">
              <w:trPr>
                <w:trHeight w:val="255"/>
              </w:trPr>
              <w:tc>
                <w:tcPr>
                  <w:tcW w:w="394" w:type="dxa"/>
                  <w:tcBorders>
                    <w:top w:val="nil"/>
                    <w:left w:val="nil"/>
                    <w:bottom w:val="nil"/>
                    <w:right w:val="nil"/>
                  </w:tcBorders>
                  <w:shd w:val="clear" w:color="auto" w:fill="auto"/>
                  <w:noWrap/>
                  <w:vAlign w:val="bottom"/>
                  <w:hideMark/>
                </w:tcPr>
                <w:p w:rsidR="00E55863" w:rsidRPr="00042396" w:rsidRDefault="00E55863" w:rsidP="007854A1">
                  <w:pPr>
                    <w:rPr>
                      <w:rFonts w:cs="Arial"/>
                      <w:sz w:val="16"/>
                      <w:szCs w:val="16"/>
                    </w:rPr>
                  </w:pPr>
                </w:p>
                <w:p w:rsidR="00E55863" w:rsidRPr="00042396" w:rsidRDefault="00E55863" w:rsidP="007854A1">
                  <w:pPr>
                    <w:rPr>
                      <w:rFonts w:cs="Arial"/>
                      <w:sz w:val="16"/>
                      <w:szCs w:val="16"/>
                    </w:rPr>
                  </w:pPr>
                  <w:r w:rsidRPr="00042396">
                    <w:rPr>
                      <w:rFonts w:cs="Arial"/>
                      <w:sz w:val="16"/>
                      <w:szCs w:val="16"/>
                    </w:rPr>
                    <w:t xml:space="preserve">D1 - </w:t>
                  </w:r>
                </w:p>
              </w:tc>
              <w:tc>
                <w:tcPr>
                  <w:tcW w:w="540" w:type="dxa"/>
                  <w:tcBorders>
                    <w:top w:val="nil"/>
                    <w:left w:val="nil"/>
                    <w:bottom w:val="nil"/>
                    <w:right w:val="nil"/>
                  </w:tcBorders>
                  <w:shd w:val="clear" w:color="auto" w:fill="auto"/>
                  <w:noWrap/>
                  <w:vAlign w:val="bottom"/>
                  <w:hideMark/>
                </w:tcPr>
                <w:p w:rsidR="00E55863" w:rsidRPr="00042396" w:rsidRDefault="00E55863" w:rsidP="007854A1">
                  <w:pPr>
                    <w:rPr>
                      <w:rFonts w:cs="Arial"/>
                      <w:sz w:val="16"/>
                      <w:szCs w:val="16"/>
                    </w:rPr>
                  </w:pPr>
                  <w:r w:rsidRPr="00042396">
                    <w:rPr>
                      <w:rFonts w:cs="Arial"/>
                      <w:sz w:val="16"/>
                      <w:szCs w:val="16"/>
                    </w:rPr>
                    <w:t>26.7%</w:t>
                  </w:r>
                </w:p>
              </w:tc>
              <w:tc>
                <w:tcPr>
                  <w:tcW w:w="1133" w:type="dxa"/>
                  <w:tcBorders>
                    <w:top w:val="nil"/>
                    <w:left w:val="nil"/>
                    <w:bottom w:val="nil"/>
                    <w:right w:val="nil"/>
                  </w:tcBorders>
                  <w:shd w:val="clear" w:color="auto" w:fill="auto"/>
                  <w:noWrap/>
                  <w:vAlign w:val="bottom"/>
                  <w:hideMark/>
                </w:tcPr>
                <w:p w:rsidR="00E55863" w:rsidRPr="00042396" w:rsidRDefault="00E55863" w:rsidP="007854A1">
                  <w:pPr>
                    <w:rPr>
                      <w:rFonts w:cs="Arial"/>
                      <w:sz w:val="16"/>
                      <w:szCs w:val="16"/>
                    </w:rPr>
                  </w:pPr>
                  <w:r w:rsidRPr="00042396">
                    <w:rPr>
                      <w:rFonts w:cs="Arial"/>
                      <w:sz w:val="16"/>
                      <w:szCs w:val="16"/>
                    </w:rPr>
                    <w:t>26.5%</w:t>
                  </w:r>
                </w:p>
              </w:tc>
            </w:tr>
            <w:tr w:rsidR="00E55863" w:rsidRPr="00A15D98" w:rsidTr="007854A1">
              <w:trPr>
                <w:trHeight w:val="255"/>
              </w:trPr>
              <w:tc>
                <w:tcPr>
                  <w:tcW w:w="394" w:type="dxa"/>
                  <w:tcBorders>
                    <w:top w:val="nil"/>
                    <w:left w:val="nil"/>
                    <w:bottom w:val="nil"/>
                    <w:right w:val="nil"/>
                  </w:tcBorders>
                  <w:shd w:val="clear" w:color="auto" w:fill="auto"/>
                  <w:noWrap/>
                  <w:vAlign w:val="bottom"/>
                  <w:hideMark/>
                </w:tcPr>
                <w:p w:rsidR="00E55863" w:rsidRPr="00042396" w:rsidRDefault="00E55863" w:rsidP="007854A1">
                  <w:pPr>
                    <w:rPr>
                      <w:rFonts w:cs="Arial"/>
                      <w:sz w:val="16"/>
                      <w:szCs w:val="16"/>
                    </w:rPr>
                  </w:pPr>
                </w:p>
                <w:p w:rsidR="00E55863" w:rsidRPr="00042396" w:rsidRDefault="00E55863" w:rsidP="007854A1">
                  <w:pPr>
                    <w:rPr>
                      <w:rFonts w:cs="Arial"/>
                      <w:sz w:val="16"/>
                      <w:szCs w:val="16"/>
                    </w:rPr>
                  </w:pPr>
                  <w:r w:rsidRPr="00042396">
                    <w:rPr>
                      <w:rFonts w:cs="Arial"/>
                      <w:sz w:val="16"/>
                      <w:szCs w:val="16"/>
                    </w:rPr>
                    <w:t xml:space="preserve">D2 - </w:t>
                  </w:r>
                </w:p>
              </w:tc>
              <w:tc>
                <w:tcPr>
                  <w:tcW w:w="540" w:type="dxa"/>
                  <w:tcBorders>
                    <w:top w:val="nil"/>
                    <w:left w:val="nil"/>
                    <w:bottom w:val="nil"/>
                    <w:right w:val="nil"/>
                  </w:tcBorders>
                  <w:shd w:val="clear" w:color="auto" w:fill="auto"/>
                  <w:noWrap/>
                  <w:vAlign w:val="bottom"/>
                  <w:hideMark/>
                </w:tcPr>
                <w:p w:rsidR="00E55863" w:rsidRPr="00042396" w:rsidRDefault="00E55863" w:rsidP="007854A1">
                  <w:pPr>
                    <w:rPr>
                      <w:rFonts w:cs="Arial"/>
                      <w:sz w:val="16"/>
                      <w:szCs w:val="16"/>
                    </w:rPr>
                  </w:pPr>
                  <w:r w:rsidRPr="00042396">
                    <w:rPr>
                      <w:rFonts w:cs="Arial"/>
                      <w:sz w:val="16"/>
                      <w:szCs w:val="16"/>
                    </w:rPr>
                    <w:t>22.2%</w:t>
                  </w:r>
                </w:p>
              </w:tc>
              <w:tc>
                <w:tcPr>
                  <w:tcW w:w="1133" w:type="dxa"/>
                  <w:tcBorders>
                    <w:top w:val="nil"/>
                    <w:left w:val="nil"/>
                    <w:bottom w:val="nil"/>
                    <w:right w:val="nil"/>
                  </w:tcBorders>
                  <w:shd w:val="clear" w:color="auto" w:fill="auto"/>
                  <w:noWrap/>
                  <w:vAlign w:val="bottom"/>
                  <w:hideMark/>
                </w:tcPr>
                <w:p w:rsidR="00E55863" w:rsidRPr="00042396" w:rsidRDefault="00E55863" w:rsidP="007854A1">
                  <w:pPr>
                    <w:rPr>
                      <w:rFonts w:cs="Arial"/>
                      <w:sz w:val="16"/>
                      <w:szCs w:val="16"/>
                    </w:rPr>
                  </w:pPr>
                  <w:r w:rsidRPr="00042396">
                    <w:rPr>
                      <w:rFonts w:cs="Arial"/>
                      <w:sz w:val="16"/>
                      <w:szCs w:val="16"/>
                    </w:rPr>
                    <w:t>22.2%</w:t>
                  </w:r>
                </w:p>
              </w:tc>
            </w:tr>
          </w:tbl>
          <w:p w:rsidR="00E55863" w:rsidRDefault="00E55863" w:rsidP="007854A1">
            <w:pPr>
              <w:pStyle w:val="PlainText"/>
              <w:keepNext/>
              <w:keepLines/>
              <w:spacing w:after="160"/>
              <w:rPr>
                <w:rFonts w:ascii="Arial" w:hAnsi="Arial" w:cs="Arial"/>
                <w:color w:val="auto"/>
                <w:sz w:val="16"/>
                <w:szCs w:val="16"/>
              </w:rPr>
            </w:pPr>
          </w:p>
          <w:p w:rsidR="00E55863" w:rsidRDefault="00E55863" w:rsidP="007854A1">
            <w:pPr>
              <w:pStyle w:val="PlainText"/>
              <w:keepNext/>
              <w:keepLines/>
              <w:spacing w:after="160"/>
              <w:rPr>
                <w:rFonts w:ascii="Arial" w:hAnsi="Arial" w:cs="Arial"/>
                <w:color w:val="auto"/>
                <w:sz w:val="16"/>
                <w:szCs w:val="16"/>
              </w:rPr>
            </w:pPr>
          </w:p>
          <w:p w:rsidR="00E55863" w:rsidRPr="00797FCA" w:rsidRDefault="00E55863" w:rsidP="007854A1">
            <w:pPr>
              <w:pStyle w:val="PlainText"/>
              <w:keepNext/>
              <w:keepLines/>
              <w:spacing w:after="160"/>
              <w:rPr>
                <w:rFonts w:ascii="Arial" w:hAnsi="Arial" w:cs="Arial"/>
                <w:sz w:val="16"/>
                <w:szCs w:val="16"/>
              </w:rPr>
            </w:pPr>
          </w:p>
        </w:tc>
        <w:tc>
          <w:tcPr>
            <w:tcW w:w="606" w:type="pct"/>
            <w:gridSpan w:val="3"/>
            <w:shd w:val="clear" w:color="auto" w:fill="auto"/>
            <w:tcMar>
              <w:top w:w="110" w:type="dxa"/>
            </w:tcMar>
          </w:tcPr>
          <w:p w:rsidR="00E55863" w:rsidRDefault="00E55863" w:rsidP="007854A1">
            <w:pPr>
              <w:keepNext/>
              <w:keepLines/>
              <w:rPr>
                <w:rFonts w:cs="Arial"/>
                <w:b/>
                <w:bCs/>
                <w:color w:val="00B050"/>
                <w:sz w:val="16"/>
                <w:szCs w:val="16"/>
              </w:rPr>
            </w:pPr>
          </w:p>
          <w:p w:rsidR="00E55863" w:rsidRPr="001A0A8D" w:rsidRDefault="00E55863" w:rsidP="007854A1">
            <w:pPr>
              <w:keepNext/>
              <w:keepLines/>
              <w:jc w:val="center"/>
              <w:rPr>
                <w:rFonts w:cs="Arial"/>
                <w:b/>
                <w:bCs/>
                <w:color w:val="00B050"/>
                <w:sz w:val="16"/>
                <w:szCs w:val="16"/>
              </w:rPr>
            </w:pPr>
            <w:r w:rsidRPr="001A0A8D">
              <w:rPr>
                <w:rFonts w:cs="Arial"/>
                <w:b/>
                <w:bCs/>
                <w:color w:val="00B050"/>
                <w:sz w:val="16"/>
                <w:szCs w:val="16"/>
              </w:rPr>
              <w:t>Fully Achieved</w:t>
            </w:r>
          </w:p>
          <w:p w:rsidR="00E55863" w:rsidRPr="000B54D5" w:rsidRDefault="00E55863" w:rsidP="007854A1">
            <w:pPr>
              <w:keepNext/>
              <w:keepLines/>
              <w:jc w:val="center"/>
              <w:rPr>
                <w:rFonts w:cs="Arial"/>
                <w:b/>
                <w:bCs/>
                <w:color w:val="FF0000"/>
                <w:sz w:val="16"/>
                <w:szCs w:val="16"/>
              </w:rPr>
            </w:pPr>
            <w:r w:rsidRPr="000B54D5">
              <w:rPr>
                <w:rFonts w:cs="Arial"/>
                <w:b/>
                <w:bCs/>
                <w:color w:val="FF0000"/>
                <w:sz w:val="16"/>
                <w:szCs w:val="16"/>
              </w:rPr>
              <w:t>Not Achieved</w:t>
            </w:r>
          </w:p>
          <w:p w:rsidR="00E55863" w:rsidRPr="001A0A8D" w:rsidRDefault="00E55863" w:rsidP="007854A1">
            <w:pPr>
              <w:keepNext/>
              <w:keepLines/>
              <w:jc w:val="center"/>
              <w:rPr>
                <w:rFonts w:cs="Arial"/>
                <w:b/>
                <w:bCs/>
                <w:color w:val="FF0000"/>
                <w:sz w:val="16"/>
                <w:szCs w:val="16"/>
              </w:rPr>
            </w:pPr>
            <w:r w:rsidRPr="001A0A8D">
              <w:rPr>
                <w:rFonts w:cs="Arial"/>
                <w:b/>
                <w:bCs/>
                <w:color w:val="FF0000"/>
                <w:sz w:val="16"/>
                <w:szCs w:val="16"/>
              </w:rPr>
              <w:t>Not Achieved</w:t>
            </w:r>
          </w:p>
          <w:p w:rsidR="00E55863" w:rsidRDefault="00E55863" w:rsidP="007854A1">
            <w:pPr>
              <w:keepNext/>
              <w:keepLines/>
              <w:jc w:val="center"/>
              <w:rPr>
                <w:rFonts w:cs="Arial"/>
                <w:b/>
                <w:bCs/>
                <w:color w:val="FF0000"/>
                <w:sz w:val="16"/>
                <w:szCs w:val="16"/>
              </w:rPr>
            </w:pPr>
            <w:r w:rsidRPr="001A0A8D">
              <w:rPr>
                <w:rFonts w:cs="Arial"/>
                <w:b/>
                <w:bCs/>
                <w:color w:val="FF0000"/>
                <w:sz w:val="16"/>
                <w:szCs w:val="16"/>
              </w:rPr>
              <w:t>Not Achieved</w:t>
            </w:r>
          </w:p>
          <w:p w:rsidR="00E55863" w:rsidRDefault="00E55863" w:rsidP="007854A1">
            <w:pPr>
              <w:keepNext/>
              <w:keepLines/>
              <w:jc w:val="center"/>
              <w:rPr>
                <w:rFonts w:cs="Arial"/>
                <w:b/>
                <w:bCs/>
                <w:color w:val="FF0000"/>
                <w:sz w:val="16"/>
                <w:szCs w:val="16"/>
              </w:rPr>
            </w:pPr>
          </w:p>
          <w:p w:rsidR="00E55863" w:rsidRDefault="00E55863" w:rsidP="007854A1">
            <w:pPr>
              <w:keepNext/>
              <w:keepLines/>
              <w:jc w:val="center"/>
              <w:rPr>
                <w:rFonts w:cs="Arial"/>
                <w:b/>
                <w:bCs/>
                <w:color w:val="FF0000"/>
                <w:sz w:val="16"/>
                <w:szCs w:val="16"/>
              </w:rPr>
            </w:pPr>
          </w:p>
          <w:p w:rsidR="00E55863" w:rsidRPr="001A0A8D" w:rsidRDefault="00E55863" w:rsidP="007854A1">
            <w:pPr>
              <w:keepNext/>
              <w:keepLines/>
              <w:rPr>
                <w:rFonts w:cs="Arial"/>
                <w:b/>
                <w:bCs/>
                <w:color w:val="808080"/>
                <w:sz w:val="16"/>
                <w:szCs w:val="16"/>
              </w:rPr>
            </w:pPr>
          </w:p>
        </w:tc>
      </w:tr>
      <w:tr w:rsidR="00E55863" w:rsidRPr="0042593C" w:rsidTr="005F75C8">
        <w:tc>
          <w:tcPr>
            <w:tcW w:w="1110" w:type="pct"/>
            <w:shd w:val="clear" w:color="auto" w:fill="auto"/>
          </w:tcPr>
          <w:p w:rsidR="00E55863" w:rsidRPr="00797FCA" w:rsidRDefault="00E55863" w:rsidP="007854A1">
            <w:pPr>
              <w:rPr>
                <w:rFonts w:cs="Arial"/>
                <w:sz w:val="16"/>
                <w:szCs w:val="16"/>
              </w:rPr>
            </w:pPr>
            <w:r w:rsidRPr="00797FCA">
              <w:rPr>
                <w:rFonts w:cs="Arial"/>
                <w:sz w:val="16"/>
                <w:szCs w:val="16"/>
              </w:rPr>
              <w:t xml:space="preserve">Geographical diversity -  </w:t>
            </w:r>
          </w:p>
          <w:p w:rsidR="00E55863" w:rsidRPr="00797FCA" w:rsidRDefault="00E55863" w:rsidP="007854A1">
            <w:pPr>
              <w:rPr>
                <w:rFonts w:cs="Arial"/>
                <w:sz w:val="16"/>
                <w:szCs w:val="16"/>
              </w:rPr>
            </w:pPr>
            <w:r w:rsidRPr="00797FCA">
              <w:rPr>
                <w:rFonts w:cs="Arial"/>
                <w:sz w:val="16"/>
                <w:szCs w:val="16"/>
              </w:rPr>
              <w:t>% of staff</w:t>
            </w:r>
            <w:r>
              <w:rPr>
                <w:rStyle w:val="FootnoteReference"/>
                <w:rFonts w:cs="Arial"/>
                <w:sz w:val="16"/>
                <w:szCs w:val="16"/>
              </w:rPr>
              <w:footnoteReference w:id="133"/>
            </w:r>
            <w:r w:rsidRPr="00797FCA">
              <w:rPr>
                <w:rFonts w:cs="Arial"/>
                <w:sz w:val="16"/>
                <w:szCs w:val="16"/>
              </w:rPr>
              <w:t xml:space="preserve"> per region</w:t>
            </w:r>
          </w:p>
        </w:tc>
        <w:tc>
          <w:tcPr>
            <w:tcW w:w="1556" w:type="pct"/>
            <w:shd w:val="clear" w:color="auto" w:fill="auto"/>
          </w:tcPr>
          <w:p w:rsidR="00E55863" w:rsidRDefault="00E55863" w:rsidP="007854A1">
            <w:pPr>
              <w:rPr>
                <w:rFonts w:cs="Arial"/>
                <w:i/>
                <w:color w:val="002060"/>
                <w:sz w:val="16"/>
                <w:szCs w:val="16"/>
              </w:rPr>
            </w:pPr>
            <w:r w:rsidRPr="00797FCA">
              <w:rPr>
                <w:rFonts w:cs="Arial"/>
                <w:i/>
                <w:color w:val="002060"/>
                <w:sz w:val="16"/>
                <w:szCs w:val="16"/>
              </w:rPr>
              <w:t xml:space="preserve">Updated Baseline end 2013: </w:t>
            </w:r>
          </w:p>
          <w:p w:rsidR="00E55863" w:rsidRPr="00797FCA" w:rsidRDefault="00E55863" w:rsidP="007854A1">
            <w:pPr>
              <w:rPr>
                <w:rFonts w:cs="Arial"/>
                <w:color w:val="002060"/>
                <w:sz w:val="16"/>
                <w:szCs w:val="16"/>
              </w:rPr>
            </w:pPr>
            <w:r w:rsidRPr="00797FCA">
              <w:rPr>
                <w:rFonts w:cs="Arial"/>
                <w:color w:val="002060"/>
                <w:sz w:val="16"/>
                <w:szCs w:val="16"/>
              </w:rPr>
              <w:t>Africa 11.</w:t>
            </w:r>
            <w:r>
              <w:rPr>
                <w:rFonts w:cs="Arial"/>
                <w:color w:val="002060"/>
                <w:sz w:val="16"/>
                <w:szCs w:val="16"/>
              </w:rPr>
              <w:t>4</w:t>
            </w:r>
            <w:r w:rsidRPr="00797FCA">
              <w:rPr>
                <w:rFonts w:cs="Arial"/>
                <w:color w:val="002060"/>
                <w:sz w:val="16"/>
                <w:szCs w:val="16"/>
              </w:rPr>
              <w:t xml:space="preserve">% </w:t>
            </w:r>
          </w:p>
          <w:p w:rsidR="00E55863" w:rsidRPr="00797FCA" w:rsidRDefault="00E55863" w:rsidP="007854A1">
            <w:pPr>
              <w:rPr>
                <w:rFonts w:cs="Arial"/>
                <w:color w:val="002060"/>
                <w:sz w:val="16"/>
                <w:szCs w:val="16"/>
              </w:rPr>
            </w:pPr>
            <w:r w:rsidRPr="00797FCA">
              <w:rPr>
                <w:rFonts w:cs="Arial"/>
                <w:color w:val="002060"/>
                <w:sz w:val="16"/>
                <w:szCs w:val="16"/>
              </w:rPr>
              <w:t xml:space="preserve">Asia &amp; </w:t>
            </w:r>
            <w:r>
              <w:rPr>
                <w:rFonts w:cs="Arial"/>
                <w:color w:val="002060"/>
                <w:sz w:val="16"/>
                <w:szCs w:val="16"/>
              </w:rPr>
              <w:t xml:space="preserve">the </w:t>
            </w:r>
            <w:r w:rsidRPr="00797FCA">
              <w:rPr>
                <w:rFonts w:cs="Arial"/>
                <w:color w:val="002060"/>
                <w:sz w:val="16"/>
                <w:szCs w:val="16"/>
              </w:rPr>
              <w:t xml:space="preserve">Pacific 13.7% </w:t>
            </w:r>
          </w:p>
          <w:p w:rsidR="00E55863" w:rsidRPr="00797FCA" w:rsidRDefault="00E55863" w:rsidP="007854A1">
            <w:pPr>
              <w:rPr>
                <w:rFonts w:cs="Arial"/>
                <w:color w:val="002060"/>
                <w:sz w:val="16"/>
                <w:szCs w:val="16"/>
              </w:rPr>
            </w:pPr>
            <w:r w:rsidRPr="00797FCA">
              <w:rPr>
                <w:rFonts w:cs="Arial"/>
                <w:color w:val="002060"/>
                <w:sz w:val="16"/>
                <w:szCs w:val="16"/>
              </w:rPr>
              <w:t xml:space="preserve">Eastern &amp; Central Europe &amp; Central Asia </w:t>
            </w:r>
            <w:r>
              <w:rPr>
                <w:rFonts w:cs="Arial"/>
                <w:color w:val="002060"/>
                <w:sz w:val="16"/>
                <w:szCs w:val="16"/>
              </w:rPr>
              <w:t>5</w:t>
            </w:r>
            <w:r w:rsidRPr="00797FCA">
              <w:rPr>
                <w:rFonts w:cs="Arial"/>
                <w:color w:val="002060"/>
                <w:sz w:val="16"/>
                <w:szCs w:val="16"/>
              </w:rPr>
              <w:t>.</w:t>
            </w:r>
            <w:r>
              <w:rPr>
                <w:rFonts w:cs="Arial"/>
                <w:color w:val="002060"/>
                <w:sz w:val="16"/>
                <w:szCs w:val="16"/>
              </w:rPr>
              <w:t>9</w:t>
            </w:r>
            <w:r w:rsidRPr="00797FCA">
              <w:rPr>
                <w:rFonts w:cs="Arial"/>
                <w:color w:val="002060"/>
                <w:sz w:val="16"/>
                <w:szCs w:val="16"/>
              </w:rPr>
              <w:t xml:space="preserve">% </w:t>
            </w:r>
          </w:p>
          <w:p w:rsidR="00E55863" w:rsidRPr="00797FCA" w:rsidRDefault="00E55863" w:rsidP="007854A1">
            <w:pPr>
              <w:rPr>
                <w:rFonts w:cs="Arial"/>
                <w:color w:val="002060"/>
                <w:sz w:val="16"/>
                <w:szCs w:val="16"/>
              </w:rPr>
            </w:pPr>
            <w:r w:rsidRPr="00797FCA">
              <w:rPr>
                <w:rFonts w:cs="Arial"/>
                <w:color w:val="002060"/>
                <w:sz w:val="16"/>
                <w:szCs w:val="16"/>
              </w:rPr>
              <w:t xml:space="preserve">Latin America </w:t>
            </w:r>
            <w:r>
              <w:rPr>
                <w:rFonts w:cs="Arial"/>
                <w:color w:val="002060"/>
                <w:sz w:val="16"/>
                <w:szCs w:val="16"/>
              </w:rPr>
              <w:t>&amp;</w:t>
            </w:r>
            <w:r w:rsidRPr="00797FCA">
              <w:rPr>
                <w:rFonts w:cs="Arial"/>
                <w:color w:val="002060"/>
                <w:sz w:val="16"/>
                <w:szCs w:val="16"/>
              </w:rPr>
              <w:t xml:space="preserve"> the Caribbean 8.6% </w:t>
            </w:r>
          </w:p>
          <w:p w:rsidR="00E55863" w:rsidRPr="00797FCA" w:rsidRDefault="00E55863" w:rsidP="007854A1">
            <w:pPr>
              <w:rPr>
                <w:rFonts w:cs="Arial"/>
                <w:color w:val="002060"/>
                <w:sz w:val="16"/>
                <w:szCs w:val="16"/>
              </w:rPr>
            </w:pPr>
            <w:r w:rsidRPr="00797FCA">
              <w:rPr>
                <w:rFonts w:cs="Arial"/>
                <w:color w:val="002060"/>
                <w:sz w:val="16"/>
                <w:szCs w:val="16"/>
              </w:rPr>
              <w:t xml:space="preserve">Middle East 1.2% </w:t>
            </w:r>
          </w:p>
          <w:p w:rsidR="00E55863" w:rsidRPr="00797FCA" w:rsidRDefault="00E55863" w:rsidP="007854A1">
            <w:pPr>
              <w:rPr>
                <w:rFonts w:cs="Arial"/>
                <w:color w:val="002060"/>
                <w:sz w:val="16"/>
                <w:szCs w:val="16"/>
                <w:lang w:bidi="th-TH"/>
              </w:rPr>
            </w:pPr>
            <w:r w:rsidRPr="00797FCA">
              <w:rPr>
                <w:rFonts w:cs="Arial"/>
                <w:color w:val="002060"/>
                <w:sz w:val="16"/>
                <w:szCs w:val="16"/>
              </w:rPr>
              <w:t>North America 8.</w:t>
            </w:r>
            <w:r>
              <w:rPr>
                <w:rFonts w:cs="Arial"/>
                <w:color w:val="002060"/>
                <w:sz w:val="16"/>
                <w:szCs w:val="16"/>
              </w:rPr>
              <w:t>2</w:t>
            </w:r>
            <w:r w:rsidRPr="00797FCA">
              <w:rPr>
                <w:rFonts w:cs="Arial"/>
                <w:color w:val="002060"/>
                <w:sz w:val="16"/>
                <w:szCs w:val="16"/>
              </w:rPr>
              <w:t>% Western Europe 51.</w:t>
            </w:r>
            <w:r>
              <w:rPr>
                <w:rFonts w:cs="Arial"/>
                <w:color w:val="002060"/>
                <w:sz w:val="16"/>
                <w:szCs w:val="16"/>
              </w:rPr>
              <w:t>0</w:t>
            </w:r>
            <w:r w:rsidRPr="00797FCA">
              <w:rPr>
                <w:rFonts w:cs="Arial"/>
                <w:color w:val="002060"/>
                <w:sz w:val="16"/>
                <w:szCs w:val="16"/>
              </w:rPr>
              <w:t>%</w:t>
            </w:r>
          </w:p>
          <w:p w:rsidR="00E55863" w:rsidRPr="00797FCA" w:rsidRDefault="00E55863" w:rsidP="007854A1">
            <w:pPr>
              <w:rPr>
                <w:rFonts w:cs="Arial"/>
                <w:i/>
                <w:color w:val="002060"/>
                <w:sz w:val="8"/>
                <w:szCs w:val="8"/>
              </w:rPr>
            </w:pPr>
          </w:p>
          <w:p w:rsidR="00E55863" w:rsidRPr="00797FCA" w:rsidRDefault="00E55863" w:rsidP="007854A1">
            <w:pPr>
              <w:rPr>
                <w:rFonts w:cs="Arial"/>
                <w:sz w:val="16"/>
                <w:szCs w:val="16"/>
              </w:rPr>
            </w:pPr>
            <w:r w:rsidRPr="00797FCA">
              <w:rPr>
                <w:rFonts w:cs="Arial"/>
                <w:i/>
                <w:sz w:val="16"/>
                <w:szCs w:val="16"/>
              </w:rPr>
              <w:t>Original Baseline P&amp;B 2014/15:</w:t>
            </w:r>
            <w:r w:rsidRPr="00797FCA">
              <w:rPr>
                <w:rFonts w:cs="Arial"/>
                <w:sz w:val="16"/>
                <w:szCs w:val="16"/>
              </w:rPr>
              <w:t xml:space="preserve">  Africa 11.0% </w:t>
            </w:r>
          </w:p>
          <w:p w:rsidR="00E55863" w:rsidRPr="00797FCA" w:rsidRDefault="00E55863" w:rsidP="007854A1">
            <w:pPr>
              <w:rPr>
                <w:rFonts w:cs="Arial"/>
                <w:sz w:val="16"/>
                <w:szCs w:val="16"/>
              </w:rPr>
            </w:pPr>
            <w:r w:rsidRPr="00797FCA">
              <w:rPr>
                <w:rFonts w:cs="Arial"/>
                <w:sz w:val="16"/>
                <w:szCs w:val="16"/>
              </w:rPr>
              <w:t>Asia &amp;</w:t>
            </w:r>
            <w:r>
              <w:rPr>
                <w:rFonts w:cs="Arial"/>
                <w:sz w:val="16"/>
                <w:szCs w:val="16"/>
              </w:rPr>
              <w:t xml:space="preserve"> the</w:t>
            </w:r>
            <w:r w:rsidRPr="00797FCA">
              <w:rPr>
                <w:rFonts w:cs="Arial"/>
                <w:sz w:val="16"/>
                <w:szCs w:val="16"/>
              </w:rPr>
              <w:t xml:space="preserve"> Pacific 13.7% </w:t>
            </w:r>
          </w:p>
          <w:p w:rsidR="00E55863" w:rsidRPr="00797FCA" w:rsidRDefault="00E55863" w:rsidP="007854A1">
            <w:pPr>
              <w:rPr>
                <w:rFonts w:cs="Arial"/>
                <w:sz w:val="16"/>
                <w:szCs w:val="16"/>
              </w:rPr>
            </w:pPr>
            <w:r w:rsidRPr="00797FCA">
              <w:rPr>
                <w:rFonts w:cs="Arial"/>
                <w:sz w:val="16"/>
                <w:szCs w:val="16"/>
              </w:rPr>
              <w:t xml:space="preserve">Eastern &amp; Central Europe &amp; Central Asia 6.2% </w:t>
            </w:r>
          </w:p>
          <w:p w:rsidR="00E55863" w:rsidRPr="00797FCA" w:rsidRDefault="00E55863" w:rsidP="007854A1">
            <w:pPr>
              <w:rPr>
                <w:rFonts w:cs="Arial"/>
                <w:sz w:val="16"/>
                <w:szCs w:val="16"/>
              </w:rPr>
            </w:pPr>
            <w:r w:rsidRPr="00797FCA">
              <w:rPr>
                <w:rFonts w:cs="Arial"/>
                <w:sz w:val="16"/>
                <w:szCs w:val="16"/>
              </w:rPr>
              <w:t>Latin America &amp; the Caribbean</w:t>
            </w:r>
            <w:r>
              <w:rPr>
                <w:rFonts w:cs="Arial"/>
                <w:sz w:val="16"/>
                <w:szCs w:val="16"/>
              </w:rPr>
              <w:t xml:space="preserve"> </w:t>
            </w:r>
            <w:r w:rsidRPr="00797FCA">
              <w:rPr>
                <w:rFonts w:cs="Arial"/>
                <w:sz w:val="16"/>
                <w:szCs w:val="16"/>
              </w:rPr>
              <w:t xml:space="preserve">8.6% </w:t>
            </w:r>
          </w:p>
          <w:p w:rsidR="00E55863" w:rsidRPr="00797FCA" w:rsidRDefault="00E55863" w:rsidP="007854A1">
            <w:pPr>
              <w:rPr>
                <w:rFonts w:cs="Arial"/>
                <w:sz w:val="16"/>
                <w:szCs w:val="16"/>
              </w:rPr>
            </w:pPr>
            <w:r w:rsidRPr="00797FCA">
              <w:rPr>
                <w:rFonts w:cs="Arial"/>
                <w:sz w:val="16"/>
                <w:szCs w:val="16"/>
              </w:rPr>
              <w:t xml:space="preserve">Middle East 1.2% </w:t>
            </w:r>
          </w:p>
          <w:p w:rsidR="00E55863" w:rsidRDefault="00E55863" w:rsidP="007854A1">
            <w:pPr>
              <w:rPr>
                <w:rFonts w:cs="Arial"/>
                <w:sz w:val="16"/>
                <w:szCs w:val="16"/>
              </w:rPr>
            </w:pPr>
            <w:r w:rsidRPr="00797FCA">
              <w:rPr>
                <w:rFonts w:cs="Arial"/>
                <w:sz w:val="16"/>
                <w:szCs w:val="16"/>
              </w:rPr>
              <w:t xml:space="preserve">North America 8.0% </w:t>
            </w:r>
          </w:p>
          <w:p w:rsidR="00E55863" w:rsidRDefault="00E55863" w:rsidP="007854A1">
            <w:pPr>
              <w:rPr>
                <w:rFonts w:cs="Arial"/>
                <w:sz w:val="16"/>
                <w:szCs w:val="16"/>
              </w:rPr>
            </w:pPr>
            <w:r w:rsidRPr="00797FCA">
              <w:rPr>
                <w:rFonts w:cs="Arial"/>
                <w:sz w:val="16"/>
                <w:szCs w:val="16"/>
              </w:rPr>
              <w:t>Western Europe 51.2%</w:t>
            </w:r>
          </w:p>
          <w:p w:rsidR="00E55863" w:rsidRPr="00797FCA" w:rsidRDefault="00E55863" w:rsidP="007854A1">
            <w:pPr>
              <w:rPr>
                <w:rFonts w:cs="Arial"/>
                <w:sz w:val="16"/>
                <w:szCs w:val="16"/>
              </w:rPr>
            </w:pPr>
          </w:p>
        </w:tc>
        <w:tc>
          <w:tcPr>
            <w:tcW w:w="749" w:type="pct"/>
            <w:shd w:val="clear" w:color="auto" w:fill="auto"/>
            <w:tcMar>
              <w:top w:w="110" w:type="dxa"/>
            </w:tcMar>
          </w:tcPr>
          <w:p w:rsidR="00E55863" w:rsidRPr="00797FCA" w:rsidRDefault="00E55863" w:rsidP="007854A1">
            <w:pPr>
              <w:rPr>
                <w:rFonts w:cs="Arial"/>
                <w:sz w:val="16"/>
                <w:szCs w:val="16"/>
              </w:rPr>
            </w:pPr>
            <w:r w:rsidRPr="004F5DC4">
              <w:rPr>
                <w:rFonts w:cs="Arial"/>
                <w:sz w:val="16"/>
                <w:szCs w:val="16"/>
              </w:rPr>
              <w:t>Tbd</w:t>
            </w:r>
            <w:r>
              <w:rPr>
                <w:rStyle w:val="FootnoteReference"/>
                <w:rFonts w:cs="Arial"/>
                <w:sz w:val="16"/>
                <w:szCs w:val="16"/>
              </w:rPr>
              <w:footnoteReference w:id="134"/>
            </w:r>
          </w:p>
        </w:tc>
        <w:tc>
          <w:tcPr>
            <w:tcW w:w="979" w:type="pct"/>
            <w:gridSpan w:val="2"/>
            <w:shd w:val="clear" w:color="auto" w:fill="FFFFFF"/>
            <w:tcMar>
              <w:top w:w="110" w:type="dxa"/>
            </w:tcMar>
          </w:tcPr>
          <w:p w:rsidR="00E55863" w:rsidRPr="00CD5342" w:rsidRDefault="00E55863" w:rsidP="007854A1">
            <w:pPr>
              <w:rPr>
                <w:rFonts w:cs="Arial"/>
                <w:sz w:val="16"/>
                <w:szCs w:val="16"/>
              </w:rPr>
            </w:pPr>
            <w:r w:rsidRPr="00CD5342">
              <w:rPr>
                <w:rFonts w:cs="Arial"/>
                <w:sz w:val="16"/>
                <w:szCs w:val="16"/>
              </w:rPr>
              <w:t>Africa</w:t>
            </w:r>
            <w:r>
              <w:rPr>
                <w:rFonts w:cs="Arial"/>
                <w:sz w:val="16"/>
                <w:szCs w:val="16"/>
              </w:rPr>
              <w:t xml:space="preserve">: </w:t>
            </w:r>
            <w:r w:rsidRPr="00CD5342">
              <w:rPr>
                <w:rFonts w:cs="Arial"/>
                <w:sz w:val="16"/>
                <w:szCs w:val="16"/>
              </w:rPr>
              <w:t xml:space="preserve">10.7% </w:t>
            </w:r>
          </w:p>
          <w:p w:rsidR="00E55863" w:rsidRPr="00CD5342" w:rsidRDefault="00E55863" w:rsidP="007854A1">
            <w:pPr>
              <w:rPr>
                <w:rFonts w:cs="Arial"/>
                <w:sz w:val="16"/>
                <w:szCs w:val="16"/>
              </w:rPr>
            </w:pPr>
            <w:r w:rsidRPr="00CD5342">
              <w:rPr>
                <w:rFonts w:cs="Arial"/>
                <w:sz w:val="16"/>
                <w:szCs w:val="16"/>
              </w:rPr>
              <w:t>Asia &amp; the Pacific</w:t>
            </w:r>
            <w:r>
              <w:rPr>
                <w:rFonts w:cs="Arial"/>
                <w:sz w:val="16"/>
                <w:szCs w:val="16"/>
              </w:rPr>
              <w:t xml:space="preserve">: </w:t>
            </w:r>
            <w:r w:rsidRPr="00CD5342">
              <w:rPr>
                <w:rFonts w:cs="Arial"/>
                <w:sz w:val="16"/>
                <w:szCs w:val="16"/>
              </w:rPr>
              <w:t xml:space="preserve">14.3% </w:t>
            </w:r>
          </w:p>
          <w:p w:rsidR="00E55863" w:rsidRPr="00CD5342" w:rsidRDefault="00E55863" w:rsidP="007854A1">
            <w:pPr>
              <w:rPr>
                <w:rFonts w:cs="Arial"/>
                <w:sz w:val="16"/>
                <w:szCs w:val="16"/>
              </w:rPr>
            </w:pPr>
            <w:r w:rsidRPr="00CD5342">
              <w:rPr>
                <w:rFonts w:cs="Arial"/>
                <w:sz w:val="16"/>
                <w:szCs w:val="16"/>
              </w:rPr>
              <w:t>Eastern &amp; Central Europe &amp; Central Asia</w:t>
            </w:r>
            <w:r>
              <w:rPr>
                <w:rFonts w:cs="Arial"/>
                <w:sz w:val="16"/>
                <w:szCs w:val="16"/>
              </w:rPr>
              <w:t xml:space="preserve">: </w:t>
            </w:r>
            <w:r w:rsidRPr="00CD5342">
              <w:rPr>
                <w:rFonts w:cs="Arial"/>
                <w:sz w:val="16"/>
                <w:szCs w:val="16"/>
              </w:rPr>
              <w:t xml:space="preserve">6.9% </w:t>
            </w:r>
          </w:p>
          <w:p w:rsidR="00E55863" w:rsidRPr="00CD5342" w:rsidRDefault="00E55863" w:rsidP="007854A1">
            <w:pPr>
              <w:rPr>
                <w:rFonts w:cs="Arial"/>
                <w:sz w:val="16"/>
                <w:szCs w:val="16"/>
              </w:rPr>
            </w:pPr>
            <w:r w:rsidRPr="00CD5342">
              <w:rPr>
                <w:rFonts w:cs="Arial"/>
                <w:sz w:val="16"/>
                <w:szCs w:val="16"/>
              </w:rPr>
              <w:t xml:space="preserve">Latin America </w:t>
            </w:r>
            <w:r>
              <w:rPr>
                <w:rFonts w:cs="Arial"/>
                <w:sz w:val="16"/>
                <w:szCs w:val="16"/>
              </w:rPr>
              <w:t xml:space="preserve">&amp; </w:t>
            </w:r>
            <w:r w:rsidRPr="00CD5342">
              <w:rPr>
                <w:rFonts w:cs="Arial"/>
                <w:sz w:val="16"/>
                <w:szCs w:val="16"/>
              </w:rPr>
              <w:t>the Caribbean</w:t>
            </w:r>
            <w:r>
              <w:rPr>
                <w:rFonts w:cs="Arial"/>
                <w:sz w:val="16"/>
                <w:szCs w:val="16"/>
              </w:rPr>
              <w:t xml:space="preserve">: </w:t>
            </w:r>
            <w:r w:rsidRPr="00CD5342">
              <w:rPr>
                <w:rFonts w:cs="Arial"/>
                <w:sz w:val="16"/>
                <w:szCs w:val="16"/>
              </w:rPr>
              <w:t xml:space="preserve">8.4% </w:t>
            </w:r>
          </w:p>
          <w:p w:rsidR="00E55863" w:rsidRPr="00CD5342" w:rsidRDefault="00E55863" w:rsidP="007854A1">
            <w:pPr>
              <w:rPr>
                <w:rFonts w:cs="Arial"/>
                <w:sz w:val="16"/>
                <w:szCs w:val="16"/>
              </w:rPr>
            </w:pPr>
            <w:r w:rsidRPr="00CD5342">
              <w:rPr>
                <w:rFonts w:cs="Arial"/>
                <w:sz w:val="16"/>
                <w:szCs w:val="16"/>
              </w:rPr>
              <w:t>Middle East</w:t>
            </w:r>
            <w:r>
              <w:rPr>
                <w:rFonts w:cs="Arial"/>
                <w:sz w:val="16"/>
                <w:szCs w:val="16"/>
              </w:rPr>
              <w:t>:</w:t>
            </w:r>
            <w:r w:rsidRPr="00CD5342">
              <w:rPr>
                <w:rFonts w:cs="Arial"/>
                <w:sz w:val="16"/>
                <w:szCs w:val="16"/>
              </w:rPr>
              <w:t xml:space="preserve"> 1.1% </w:t>
            </w:r>
          </w:p>
          <w:p w:rsidR="00E55863" w:rsidRPr="00CD5342" w:rsidRDefault="00E55863" w:rsidP="007854A1">
            <w:pPr>
              <w:rPr>
                <w:rFonts w:cs="Arial"/>
                <w:sz w:val="16"/>
                <w:szCs w:val="16"/>
              </w:rPr>
            </w:pPr>
            <w:r w:rsidRPr="00CD5342">
              <w:rPr>
                <w:rFonts w:cs="Arial"/>
                <w:sz w:val="16"/>
                <w:szCs w:val="16"/>
              </w:rPr>
              <w:t>North America</w:t>
            </w:r>
            <w:r>
              <w:rPr>
                <w:rFonts w:cs="Arial"/>
                <w:sz w:val="16"/>
                <w:szCs w:val="16"/>
              </w:rPr>
              <w:t>:</w:t>
            </w:r>
            <w:r w:rsidRPr="00CD5342">
              <w:rPr>
                <w:rFonts w:cs="Arial"/>
                <w:sz w:val="16"/>
                <w:szCs w:val="16"/>
              </w:rPr>
              <w:t xml:space="preserve"> 9.0% Western Europe</w:t>
            </w:r>
            <w:r>
              <w:rPr>
                <w:rFonts w:cs="Arial"/>
                <w:sz w:val="16"/>
                <w:szCs w:val="16"/>
              </w:rPr>
              <w:t>:</w:t>
            </w:r>
            <w:r w:rsidRPr="00CD5342">
              <w:rPr>
                <w:rFonts w:cs="Arial"/>
                <w:sz w:val="16"/>
                <w:szCs w:val="16"/>
              </w:rPr>
              <w:t xml:space="preserve"> 49.5%</w:t>
            </w:r>
          </w:p>
          <w:p w:rsidR="00E55863" w:rsidRPr="00797FCA" w:rsidRDefault="00E55863" w:rsidP="007854A1">
            <w:pPr>
              <w:rPr>
                <w:rFonts w:cs="Arial"/>
                <w:color w:val="002060"/>
                <w:sz w:val="16"/>
                <w:szCs w:val="16"/>
                <w:lang w:bidi="th-TH"/>
              </w:rPr>
            </w:pPr>
            <w:r w:rsidRPr="00CD5342">
              <w:rPr>
                <w:rFonts w:cs="Arial"/>
                <w:sz w:val="16"/>
                <w:szCs w:val="16"/>
              </w:rPr>
              <w:t>(Dec 2015)</w:t>
            </w:r>
          </w:p>
          <w:p w:rsidR="00E55863" w:rsidRPr="00797FCA" w:rsidRDefault="00E55863" w:rsidP="007854A1">
            <w:pPr>
              <w:rPr>
                <w:rFonts w:cs="Arial"/>
                <w:sz w:val="16"/>
                <w:szCs w:val="16"/>
              </w:rPr>
            </w:pPr>
          </w:p>
        </w:tc>
        <w:tc>
          <w:tcPr>
            <w:tcW w:w="606" w:type="pct"/>
            <w:gridSpan w:val="3"/>
            <w:shd w:val="clear" w:color="auto" w:fill="auto"/>
            <w:tcMar>
              <w:top w:w="110" w:type="dxa"/>
            </w:tcMar>
          </w:tcPr>
          <w:p w:rsidR="00E55863" w:rsidRPr="000B54D5" w:rsidRDefault="00E55863" w:rsidP="007854A1">
            <w:pPr>
              <w:keepNext/>
              <w:keepLines/>
              <w:ind w:left="-46"/>
              <w:jc w:val="center"/>
              <w:rPr>
                <w:rFonts w:cs="Arial"/>
                <w:b/>
                <w:bCs/>
                <w:color w:val="BFBFBF" w:themeColor="background1" w:themeShade="BF"/>
                <w:sz w:val="13"/>
                <w:szCs w:val="13"/>
              </w:rPr>
            </w:pPr>
            <w:r w:rsidRPr="000B54D5">
              <w:rPr>
                <w:rFonts w:cs="Arial"/>
                <w:b/>
                <w:bCs/>
                <w:color w:val="808080" w:themeColor="background1" w:themeShade="80"/>
                <w:sz w:val="13"/>
                <w:szCs w:val="13"/>
              </w:rPr>
              <w:t>Not Assessable</w:t>
            </w:r>
          </w:p>
        </w:tc>
      </w:tr>
    </w:tbl>
    <w:p w:rsidR="00E55863" w:rsidRDefault="00E55863" w:rsidP="00E55863">
      <w:pPr>
        <w:keepNext/>
        <w:keepLines/>
        <w:rPr>
          <w:rFonts w:cs="Arial"/>
          <w:color w:val="000000"/>
          <w:sz w:val="22"/>
          <w:szCs w:val="22"/>
        </w:rPr>
      </w:pPr>
      <w:r>
        <w:rPr>
          <w:rFonts w:cs="Arial"/>
          <w:color w:val="000000"/>
          <w:sz w:val="22"/>
          <w:szCs w:val="22"/>
        </w:rPr>
        <w:t>RISK REPORTING FOR THE BIENNIUM</w:t>
      </w:r>
    </w:p>
    <w:p w:rsidR="00E55863" w:rsidRDefault="00E55863" w:rsidP="00E55863">
      <w:pPr>
        <w:keepNext/>
        <w:keepLines/>
      </w:pPr>
    </w:p>
    <w:tbl>
      <w:tblPr>
        <w:tblW w:w="0" w:type="auto"/>
        <w:jc w:val="center"/>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2474"/>
        <w:gridCol w:w="2170"/>
        <w:gridCol w:w="2273"/>
        <w:gridCol w:w="2547"/>
      </w:tblGrid>
      <w:tr w:rsidR="00E55863" w:rsidTr="005F75C8">
        <w:trPr>
          <w:trHeight w:val="638"/>
          <w:jc w:val="center"/>
        </w:trPr>
        <w:tc>
          <w:tcPr>
            <w:tcW w:w="2474" w:type="dxa"/>
            <w:tcBorders>
              <w:top w:val="single" w:sz="4" w:space="0" w:color="auto"/>
              <w:left w:val="single" w:sz="4" w:space="0" w:color="auto"/>
              <w:bottom w:val="single" w:sz="4" w:space="0" w:color="auto"/>
              <w:right w:val="nil"/>
            </w:tcBorders>
            <w:shd w:val="clear" w:color="auto" w:fill="C6D9F1" w:themeFill="text2" w:themeFillTint="33"/>
            <w:vAlign w:val="center"/>
            <w:hideMark/>
          </w:tcPr>
          <w:p w:rsidR="00E55863" w:rsidRDefault="00E55863" w:rsidP="00E55863">
            <w:pPr>
              <w:keepNext/>
              <w:keepLines/>
              <w:autoSpaceDE w:val="0"/>
              <w:autoSpaceDN w:val="0"/>
              <w:adjustRightInd w:val="0"/>
              <w:spacing w:line="276" w:lineRule="auto"/>
              <w:ind w:right="-59"/>
              <w:jc w:val="center"/>
              <w:rPr>
                <w:b/>
                <w:bCs/>
                <w:iCs/>
                <w:sz w:val="18"/>
                <w:szCs w:val="18"/>
              </w:rPr>
            </w:pPr>
            <w:r>
              <w:rPr>
                <w:b/>
                <w:bCs/>
                <w:iCs/>
                <w:sz w:val="18"/>
                <w:szCs w:val="18"/>
              </w:rPr>
              <w:t>Risk(s) to the Program achieving its Results</w:t>
            </w:r>
          </w:p>
        </w:tc>
        <w:tc>
          <w:tcPr>
            <w:tcW w:w="2170" w:type="dxa"/>
            <w:tcBorders>
              <w:top w:val="single" w:sz="4" w:space="0" w:color="auto"/>
              <w:left w:val="nil"/>
              <w:bottom w:val="single" w:sz="4" w:space="0" w:color="auto"/>
              <w:right w:val="nil"/>
            </w:tcBorders>
            <w:shd w:val="clear" w:color="auto" w:fill="C6D9F1" w:themeFill="text2" w:themeFillTint="33"/>
            <w:vAlign w:val="center"/>
            <w:hideMark/>
          </w:tcPr>
          <w:p w:rsidR="00E55863" w:rsidRDefault="00E55863" w:rsidP="00E55863">
            <w:pPr>
              <w:keepNext/>
              <w:keepLines/>
              <w:autoSpaceDE w:val="0"/>
              <w:autoSpaceDN w:val="0"/>
              <w:adjustRightInd w:val="0"/>
              <w:spacing w:line="276" w:lineRule="auto"/>
              <w:ind w:right="-59"/>
              <w:jc w:val="center"/>
              <w:rPr>
                <w:b/>
                <w:bCs/>
                <w:iCs/>
                <w:sz w:val="18"/>
                <w:szCs w:val="18"/>
              </w:rPr>
            </w:pPr>
            <w:r>
              <w:rPr>
                <w:b/>
                <w:bCs/>
                <w:iCs/>
                <w:sz w:val="18"/>
                <w:szCs w:val="18"/>
              </w:rPr>
              <w:t xml:space="preserve">Mitigation plans in place or under implementation </w:t>
            </w:r>
          </w:p>
        </w:tc>
        <w:tc>
          <w:tcPr>
            <w:tcW w:w="2273" w:type="dxa"/>
            <w:tcBorders>
              <w:top w:val="single" w:sz="4" w:space="0" w:color="auto"/>
              <w:left w:val="nil"/>
              <w:bottom w:val="single" w:sz="4" w:space="0" w:color="auto"/>
              <w:right w:val="nil"/>
            </w:tcBorders>
            <w:shd w:val="clear" w:color="auto" w:fill="C6D9F1" w:themeFill="text2" w:themeFillTint="33"/>
            <w:hideMark/>
          </w:tcPr>
          <w:p w:rsidR="00E55863" w:rsidRDefault="00E55863" w:rsidP="00E55863">
            <w:pPr>
              <w:keepNext/>
              <w:keepLines/>
              <w:spacing w:line="276" w:lineRule="auto"/>
              <w:jc w:val="center"/>
              <w:rPr>
                <w:b/>
                <w:bCs/>
                <w:sz w:val="18"/>
                <w:szCs w:val="18"/>
              </w:rPr>
            </w:pPr>
            <w:r>
              <w:rPr>
                <w:b/>
                <w:bCs/>
                <w:sz w:val="18"/>
                <w:szCs w:val="18"/>
              </w:rPr>
              <w:t>Evolution of Risk(s) and Mitigation Strategies Over the Biennium</w:t>
            </w:r>
          </w:p>
        </w:tc>
        <w:tc>
          <w:tcPr>
            <w:tcW w:w="2547" w:type="dxa"/>
            <w:tcBorders>
              <w:top w:val="single" w:sz="4" w:space="0" w:color="auto"/>
              <w:left w:val="nil"/>
              <w:bottom w:val="single" w:sz="4" w:space="0" w:color="auto"/>
              <w:right w:val="single" w:sz="4" w:space="0" w:color="auto"/>
            </w:tcBorders>
            <w:shd w:val="clear" w:color="auto" w:fill="C6D9F1" w:themeFill="text2" w:themeFillTint="33"/>
            <w:hideMark/>
          </w:tcPr>
          <w:p w:rsidR="00E55863" w:rsidRDefault="00E55863" w:rsidP="00E55863">
            <w:pPr>
              <w:keepNext/>
              <w:keepLines/>
              <w:spacing w:line="276" w:lineRule="auto"/>
              <w:jc w:val="center"/>
              <w:rPr>
                <w:b/>
                <w:bCs/>
                <w:sz w:val="18"/>
                <w:szCs w:val="18"/>
              </w:rPr>
            </w:pPr>
            <w:r>
              <w:rPr>
                <w:b/>
                <w:bCs/>
                <w:sz w:val="18"/>
                <w:szCs w:val="18"/>
              </w:rPr>
              <w:t>Impact on the Program’s Performance</w:t>
            </w:r>
          </w:p>
        </w:tc>
      </w:tr>
      <w:tr w:rsidR="00E55863" w:rsidTr="005F75C8">
        <w:trPr>
          <w:trHeight w:val="1320"/>
          <w:jc w:val="center"/>
        </w:trPr>
        <w:tc>
          <w:tcPr>
            <w:tcW w:w="2474" w:type="dxa"/>
            <w:tcBorders>
              <w:top w:val="single" w:sz="4" w:space="0" w:color="auto"/>
              <w:left w:val="single" w:sz="4" w:space="0" w:color="auto"/>
              <w:bottom w:val="nil"/>
              <w:right w:val="nil"/>
            </w:tcBorders>
            <w:tcMar>
              <w:top w:w="113" w:type="dxa"/>
              <w:left w:w="108" w:type="dxa"/>
              <w:bottom w:w="85" w:type="dxa"/>
              <w:right w:w="108" w:type="dxa"/>
            </w:tcMar>
            <w:hideMark/>
          </w:tcPr>
          <w:p w:rsidR="00E55863" w:rsidRDefault="00E55863" w:rsidP="00923977">
            <w:pPr>
              <w:autoSpaceDE w:val="0"/>
              <w:autoSpaceDN w:val="0"/>
              <w:adjustRightInd w:val="0"/>
              <w:ind w:right="-57"/>
              <w:rPr>
                <w:sz w:val="16"/>
                <w:szCs w:val="16"/>
              </w:rPr>
            </w:pPr>
            <w:r>
              <w:rPr>
                <w:sz w:val="16"/>
                <w:szCs w:val="16"/>
              </w:rPr>
              <w:t>Rapidly evolving external business environment requiring new processes, skills and IT solutions, may lead to misalignment of workforce in critical WIPO business areas.  This could lead to high costs for additional short term staff, process inefficiencies, backlogs in critical business areas, and a diminished WIPO reputation.</w:t>
            </w:r>
          </w:p>
        </w:tc>
        <w:tc>
          <w:tcPr>
            <w:tcW w:w="2170" w:type="dxa"/>
            <w:tcBorders>
              <w:top w:val="single" w:sz="4" w:space="0" w:color="auto"/>
              <w:left w:val="nil"/>
              <w:bottom w:val="nil"/>
              <w:right w:val="nil"/>
            </w:tcBorders>
            <w:tcMar>
              <w:top w:w="113" w:type="dxa"/>
              <w:left w:w="108" w:type="dxa"/>
              <w:bottom w:w="85" w:type="dxa"/>
              <w:right w:w="108" w:type="dxa"/>
            </w:tcMar>
            <w:hideMark/>
          </w:tcPr>
          <w:p w:rsidR="00E55863" w:rsidRDefault="00E55863" w:rsidP="00923977">
            <w:pPr>
              <w:autoSpaceDE w:val="0"/>
              <w:autoSpaceDN w:val="0"/>
              <w:adjustRightInd w:val="0"/>
              <w:ind w:right="-59"/>
              <w:rPr>
                <w:sz w:val="16"/>
                <w:szCs w:val="16"/>
              </w:rPr>
            </w:pPr>
            <w:r>
              <w:rPr>
                <w:sz w:val="16"/>
                <w:szCs w:val="16"/>
              </w:rPr>
              <w:t>Gradual development of a more responsive and flexible workforce with a structure able to respond to fluctuations in demand;  Detailed analysis and needs assessment in terms of skills and workforce strength, followed by implementation plans including reallocation of staff, adequate staff training, recruitment of critical skills and outsourcing.</w:t>
            </w:r>
          </w:p>
        </w:tc>
        <w:tc>
          <w:tcPr>
            <w:tcW w:w="2273" w:type="dxa"/>
            <w:tcBorders>
              <w:top w:val="single" w:sz="4" w:space="0" w:color="auto"/>
              <w:left w:val="nil"/>
              <w:bottom w:val="nil"/>
              <w:right w:val="nil"/>
            </w:tcBorders>
            <w:hideMark/>
          </w:tcPr>
          <w:p w:rsidR="00E55863" w:rsidRDefault="00E55863" w:rsidP="00923977">
            <w:pPr>
              <w:autoSpaceDE w:val="0"/>
              <w:autoSpaceDN w:val="0"/>
              <w:adjustRightInd w:val="0"/>
              <w:ind w:right="-59"/>
              <w:rPr>
                <w:b/>
                <w:color w:val="FF0000"/>
                <w:sz w:val="16"/>
                <w:szCs w:val="16"/>
              </w:rPr>
            </w:pPr>
            <w:r>
              <w:rPr>
                <w:sz w:val="16"/>
                <w:szCs w:val="16"/>
              </w:rPr>
              <w:t>The institutionalization of workforce planning combined with new post management guidelines ensured that the Organization regularly considered the Organization’s evolving need for human resources and that new/changed needs were addressed in a proactive manner through realignment, training, and outsourcing as appropriate.</w:t>
            </w:r>
          </w:p>
        </w:tc>
        <w:tc>
          <w:tcPr>
            <w:tcW w:w="2547" w:type="dxa"/>
            <w:tcBorders>
              <w:top w:val="single" w:sz="4" w:space="0" w:color="auto"/>
              <w:left w:val="nil"/>
              <w:bottom w:val="nil"/>
              <w:right w:val="single" w:sz="4" w:space="0" w:color="auto"/>
            </w:tcBorders>
          </w:tcPr>
          <w:p w:rsidR="00E55863" w:rsidRDefault="00E55863" w:rsidP="00923977">
            <w:pPr>
              <w:autoSpaceDE w:val="0"/>
              <w:autoSpaceDN w:val="0"/>
              <w:adjustRightInd w:val="0"/>
              <w:ind w:right="-59"/>
              <w:rPr>
                <w:sz w:val="16"/>
                <w:szCs w:val="16"/>
              </w:rPr>
            </w:pPr>
            <w:r>
              <w:rPr>
                <w:sz w:val="16"/>
                <w:szCs w:val="16"/>
              </w:rPr>
              <w:t>The Program’s performance over the biennium was enhanced by the mitigation measures put in place, which contributed to more effective human resource management and talent sourcing strategies.</w:t>
            </w:r>
          </w:p>
        </w:tc>
      </w:tr>
      <w:tr w:rsidR="00E55863" w:rsidTr="005F75C8">
        <w:trPr>
          <w:trHeight w:val="1049"/>
          <w:jc w:val="center"/>
        </w:trPr>
        <w:tc>
          <w:tcPr>
            <w:tcW w:w="2474" w:type="dxa"/>
            <w:tcBorders>
              <w:top w:val="nil"/>
              <w:left w:val="single" w:sz="4" w:space="0" w:color="auto"/>
              <w:bottom w:val="single" w:sz="4" w:space="0" w:color="auto"/>
              <w:right w:val="nil"/>
            </w:tcBorders>
            <w:tcMar>
              <w:top w:w="113" w:type="dxa"/>
              <w:left w:w="108" w:type="dxa"/>
              <w:bottom w:w="85" w:type="dxa"/>
              <w:right w:w="108" w:type="dxa"/>
            </w:tcMar>
            <w:hideMark/>
          </w:tcPr>
          <w:p w:rsidR="00E55863" w:rsidRDefault="00E55863" w:rsidP="00923977">
            <w:pPr>
              <w:autoSpaceDE w:val="0"/>
              <w:autoSpaceDN w:val="0"/>
              <w:adjustRightInd w:val="0"/>
              <w:ind w:right="-59"/>
              <w:rPr>
                <w:sz w:val="16"/>
                <w:szCs w:val="16"/>
              </w:rPr>
            </w:pPr>
            <w:r>
              <w:rPr>
                <w:sz w:val="16"/>
                <w:szCs w:val="16"/>
              </w:rPr>
              <w:t>New functionalities from the ERP implementation may lead to a disruption of services as staff learn new procedures.  The implementation may not incorporate enough business process review and re-engineering, and primarily be a system application replacement project.</w:t>
            </w:r>
          </w:p>
        </w:tc>
        <w:tc>
          <w:tcPr>
            <w:tcW w:w="2170" w:type="dxa"/>
            <w:tcBorders>
              <w:top w:val="nil"/>
              <w:left w:val="nil"/>
              <w:bottom w:val="single" w:sz="4" w:space="0" w:color="auto"/>
              <w:right w:val="nil"/>
            </w:tcBorders>
            <w:tcMar>
              <w:top w:w="113" w:type="dxa"/>
              <w:left w:w="108" w:type="dxa"/>
              <w:bottom w:w="85" w:type="dxa"/>
              <w:right w:w="108" w:type="dxa"/>
            </w:tcMar>
            <w:hideMark/>
          </w:tcPr>
          <w:p w:rsidR="00E55863" w:rsidRDefault="00E55863" w:rsidP="00923977">
            <w:pPr>
              <w:autoSpaceDE w:val="0"/>
              <w:autoSpaceDN w:val="0"/>
              <w:adjustRightInd w:val="0"/>
              <w:ind w:right="-59"/>
              <w:rPr>
                <w:sz w:val="16"/>
                <w:szCs w:val="16"/>
              </w:rPr>
            </w:pPr>
            <w:r>
              <w:rPr>
                <w:sz w:val="16"/>
                <w:szCs w:val="16"/>
              </w:rPr>
              <w:t xml:space="preserve">Careful HR staff and end user training, regular communication plans, close monitoring of ERP project team progress, and early warning of problem areas to be managed.  Continuous improvement of business processes as part of the configuration and development of the technical solution. </w:t>
            </w:r>
          </w:p>
        </w:tc>
        <w:tc>
          <w:tcPr>
            <w:tcW w:w="2273" w:type="dxa"/>
            <w:tcBorders>
              <w:top w:val="nil"/>
              <w:left w:val="nil"/>
              <w:bottom w:val="single" w:sz="4" w:space="0" w:color="auto"/>
              <w:right w:val="nil"/>
            </w:tcBorders>
          </w:tcPr>
          <w:p w:rsidR="00E55863" w:rsidRDefault="00E55863" w:rsidP="00923977">
            <w:pPr>
              <w:autoSpaceDE w:val="0"/>
              <w:autoSpaceDN w:val="0"/>
              <w:adjustRightInd w:val="0"/>
              <w:ind w:right="-59"/>
              <w:rPr>
                <w:sz w:val="16"/>
                <w:szCs w:val="16"/>
              </w:rPr>
            </w:pPr>
            <w:r>
              <w:rPr>
                <w:sz w:val="16"/>
                <w:szCs w:val="16"/>
              </w:rPr>
              <w:t xml:space="preserve">The risk materialized due to the need to internally </w:t>
            </w:r>
            <w:r w:rsidRPr="003E0D02">
              <w:rPr>
                <w:sz w:val="16"/>
                <w:szCs w:val="16"/>
              </w:rPr>
              <w:t xml:space="preserve">compensate </w:t>
            </w:r>
            <w:r>
              <w:rPr>
                <w:sz w:val="16"/>
                <w:szCs w:val="16"/>
              </w:rPr>
              <w:t>for constraints in project implementation. In order to address this, a</w:t>
            </w:r>
            <w:r w:rsidRPr="003E0D02">
              <w:rPr>
                <w:sz w:val="16"/>
                <w:szCs w:val="16"/>
              </w:rPr>
              <w:t xml:space="preserve">dditional measures were taken, notably the addition of a business analyst. </w:t>
            </w:r>
          </w:p>
        </w:tc>
        <w:tc>
          <w:tcPr>
            <w:tcW w:w="2547" w:type="dxa"/>
            <w:tcBorders>
              <w:top w:val="nil"/>
              <w:left w:val="nil"/>
              <w:bottom w:val="single" w:sz="4" w:space="0" w:color="auto"/>
              <w:right w:val="single" w:sz="4" w:space="0" w:color="auto"/>
            </w:tcBorders>
          </w:tcPr>
          <w:p w:rsidR="00E55863" w:rsidRDefault="00E55863" w:rsidP="00923977">
            <w:pPr>
              <w:autoSpaceDE w:val="0"/>
              <w:autoSpaceDN w:val="0"/>
              <w:adjustRightInd w:val="0"/>
              <w:ind w:right="-59"/>
              <w:rPr>
                <w:sz w:val="16"/>
                <w:szCs w:val="16"/>
              </w:rPr>
            </w:pPr>
            <w:r>
              <w:rPr>
                <w:sz w:val="16"/>
                <w:szCs w:val="16"/>
              </w:rPr>
              <w:t>The risk as it materialized resulted in certain</w:t>
            </w:r>
            <w:r w:rsidRPr="003E0D02">
              <w:rPr>
                <w:sz w:val="16"/>
                <w:szCs w:val="16"/>
              </w:rPr>
              <w:t xml:space="preserve"> delays in recruitment</w:t>
            </w:r>
            <w:r>
              <w:rPr>
                <w:sz w:val="16"/>
                <w:szCs w:val="16"/>
              </w:rPr>
              <w:t xml:space="preserve"> but r</w:t>
            </w:r>
            <w:r w:rsidRPr="003E0D02">
              <w:rPr>
                <w:sz w:val="16"/>
                <w:szCs w:val="16"/>
              </w:rPr>
              <w:t xml:space="preserve">isk mitigation  </w:t>
            </w:r>
            <w:r>
              <w:rPr>
                <w:sz w:val="16"/>
                <w:szCs w:val="16"/>
              </w:rPr>
              <w:t>minimized the impact</w:t>
            </w:r>
            <w:r w:rsidRPr="003E0D02">
              <w:rPr>
                <w:sz w:val="16"/>
                <w:szCs w:val="16"/>
              </w:rPr>
              <w:t>.</w:t>
            </w:r>
          </w:p>
        </w:tc>
      </w:tr>
    </w:tbl>
    <w:p w:rsidR="00E55863" w:rsidRDefault="00E55863" w:rsidP="007854A1">
      <w:pPr>
        <w:keepNext/>
        <w:keepLines/>
        <w:rPr>
          <w:rFonts w:cs="Arial"/>
          <w:color w:val="000000"/>
          <w:sz w:val="22"/>
          <w:szCs w:val="22"/>
        </w:rPr>
      </w:pPr>
    </w:p>
    <w:p w:rsidR="00E55863" w:rsidRDefault="00E55863" w:rsidP="007854A1">
      <w:pPr>
        <w:keepNext/>
        <w:keepLines/>
        <w:rPr>
          <w:rFonts w:cs="Arial"/>
          <w:color w:val="000000"/>
          <w:sz w:val="22"/>
          <w:szCs w:val="22"/>
        </w:rPr>
      </w:pPr>
    </w:p>
    <w:p w:rsidR="00E55863" w:rsidRDefault="00E55863" w:rsidP="007854A1">
      <w:pPr>
        <w:keepNext/>
        <w:keepLines/>
        <w:rPr>
          <w:rFonts w:cs="Arial"/>
          <w:szCs w:val="20"/>
        </w:rPr>
      </w:pPr>
      <w:r>
        <w:rPr>
          <w:rFonts w:cs="Arial"/>
          <w:color w:val="000000"/>
          <w:sz w:val="22"/>
          <w:szCs w:val="22"/>
        </w:rPr>
        <w:t>RESOURCE UTILIZATION</w:t>
      </w:r>
    </w:p>
    <w:p w:rsidR="00E55863" w:rsidRDefault="00E55863" w:rsidP="007854A1">
      <w:pPr>
        <w:pStyle w:val="NormalWeb"/>
        <w:keepNext/>
        <w:keepLines/>
        <w:spacing w:before="0" w:beforeAutospacing="0" w:after="0" w:afterAutospacing="0"/>
        <w:jc w:val="center"/>
        <w:rPr>
          <w:color w:val="000000"/>
          <w:sz w:val="20"/>
          <w:szCs w:val="20"/>
        </w:rPr>
      </w:pPr>
    </w:p>
    <w:p w:rsidR="00E55863" w:rsidRDefault="00E55863" w:rsidP="007854A1">
      <w:pPr>
        <w:pStyle w:val="NormalWeb"/>
        <w:keepNext/>
        <w:keepLines/>
        <w:spacing w:before="0" w:beforeAutospacing="0" w:after="0" w:afterAutospacing="0"/>
        <w:jc w:val="center"/>
        <w:rPr>
          <w:sz w:val="20"/>
          <w:szCs w:val="20"/>
        </w:rPr>
      </w:pPr>
      <w:r>
        <w:rPr>
          <w:color w:val="000000"/>
          <w:sz w:val="20"/>
          <w:szCs w:val="20"/>
        </w:rPr>
        <w:t xml:space="preserve">Budget and Actual Expenditure (by result) </w:t>
      </w:r>
    </w:p>
    <w:p w:rsidR="00E55863" w:rsidRDefault="00E55863" w:rsidP="007854A1">
      <w:pPr>
        <w:pStyle w:val="NormalWeb"/>
        <w:keepNext/>
        <w:keepLines/>
        <w:spacing w:before="0" w:beforeAutospacing="0" w:after="0" w:afterAutospacing="0"/>
        <w:jc w:val="center"/>
        <w:rPr>
          <w:i/>
          <w:iCs/>
          <w:color w:val="000000"/>
          <w:sz w:val="20"/>
          <w:szCs w:val="20"/>
        </w:rPr>
      </w:pPr>
      <w:r>
        <w:rPr>
          <w:i/>
          <w:iCs/>
          <w:color w:val="000000"/>
          <w:sz w:val="20"/>
          <w:szCs w:val="20"/>
        </w:rPr>
        <w:t>(in thousands of Swiss francs)</w:t>
      </w:r>
    </w:p>
    <w:p w:rsidR="00E55863" w:rsidRDefault="00E55863" w:rsidP="007854A1">
      <w:pPr>
        <w:pStyle w:val="NormalWeb"/>
        <w:keepNext/>
        <w:keepLines/>
        <w:spacing w:before="0" w:beforeAutospacing="0" w:after="0" w:afterAutospacing="0"/>
        <w:jc w:val="center"/>
        <w:rPr>
          <w:sz w:val="20"/>
          <w:szCs w:val="20"/>
        </w:rPr>
      </w:pPr>
    </w:p>
    <w:p w:rsidR="00E55863" w:rsidRDefault="00E55863" w:rsidP="007854A1">
      <w:pPr>
        <w:keepNext/>
        <w:keepLines/>
        <w:jc w:val="center"/>
        <w:rPr>
          <w:rFonts w:cs="Arial"/>
        </w:rPr>
      </w:pPr>
      <w:r>
        <w:rPr>
          <w:noProof/>
        </w:rPr>
        <w:drawing>
          <wp:inline distT="0" distB="0" distL="0" distR="0" wp14:anchorId="25727985" wp14:editId="33AC9A17">
            <wp:extent cx="4925684" cy="1557194"/>
            <wp:effectExtent l="0" t="0" r="8890" b="5080"/>
            <wp:docPr id="152" name="Pictur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8">
                      <a:extLst>
                        <a:ext uri="{28A0092B-C50C-407E-A947-70E740481C1C}">
                          <a14:useLocalDpi xmlns:a14="http://schemas.microsoft.com/office/drawing/2010/main" val="0"/>
                        </a:ext>
                      </a:extLst>
                    </a:blip>
                    <a:srcRect/>
                    <a:stretch>
                      <a:fillRect/>
                    </a:stretch>
                  </pic:blipFill>
                  <pic:spPr bwMode="auto">
                    <a:xfrm>
                      <a:off x="0" y="0"/>
                      <a:ext cx="4938906" cy="1561374"/>
                    </a:xfrm>
                    <a:prstGeom prst="rect">
                      <a:avLst/>
                    </a:prstGeom>
                    <a:noFill/>
                    <a:ln>
                      <a:noFill/>
                    </a:ln>
                  </pic:spPr>
                </pic:pic>
              </a:graphicData>
            </a:graphic>
          </wp:inline>
        </w:drawing>
      </w:r>
    </w:p>
    <w:p w:rsidR="00E55863" w:rsidRDefault="00E55863" w:rsidP="007854A1">
      <w:pPr>
        <w:jc w:val="center"/>
        <w:rPr>
          <w:rFonts w:cs="Arial"/>
        </w:rPr>
      </w:pPr>
    </w:p>
    <w:p w:rsidR="00E55863" w:rsidRDefault="00E55863" w:rsidP="007854A1">
      <w:pPr>
        <w:rPr>
          <w:rFonts w:cs="Arial"/>
        </w:rPr>
      </w:pPr>
    </w:p>
    <w:p w:rsidR="00E55863" w:rsidRDefault="00E55863" w:rsidP="007854A1">
      <w:pPr>
        <w:pStyle w:val="NormalWeb"/>
        <w:keepNext/>
        <w:keepLines/>
        <w:spacing w:before="0" w:beforeAutospacing="0" w:after="0" w:afterAutospacing="0"/>
        <w:jc w:val="center"/>
        <w:rPr>
          <w:sz w:val="20"/>
          <w:szCs w:val="20"/>
        </w:rPr>
      </w:pPr>
      <w:r>
        <w:rPr>
          <w:color w:val="000000"/>
          <w:sz w:val="20"/>
          <w:szCs w:val="20"/>
        </w:rPr>
        <w:t xml:space="preserve">Budget and Actual Expenditure (personnel and non-personnel) </w:t>
      </w:r>
    </w:p>
    <w:p w:rsidR="00E55863" w:rsidRDefault="00E55863" w:rsidP="007854A1">
      <w:pPr>
        <w:pStyle w:val="NormalWeb"/>
        <w:keepNext/>
        <w:keepLines/>
        <w:spacing w:before="0" w:beforeAutospacing="0" w:after="0" w:afterAutospacing="0"/>
        <w:jc w:val="center"/>
        <w:rPr>
          <w:i/>
          <w:iCs/>
          <w:color w:val="000000"/>
          <w:sz w:val="20"/>
          <w:szCs w:val="20"/>
        </w:rPr>
      </w:pPr>
      <w:r>
        <w:rPr>
          <w:i/>
          <w:iCs/>
          <w:color w:val="000000"/>
          <w:sz w:val="20"/>
          <w:szCs w:val="20"/>
        </w:rPr>
        <w:t>(in thousands of Swiss francs)</w:t>
      </w:r>
    </w:p>
    <w:p w:rsidR="00E55863" w:rsidRDefault="00E55863" w:rsidP="007854A1">
      <w:pPr>
        <w:pStyle w:val="NormalWeb"/>
        <w:keepNext/>
        <w:keepLines/>
        <w:spacing w:before="0" w:beforeAutospacing="0" w:after="0" w:afterAutospacing="0"/>
        <w:jc w:val="center"/>
      </w:pPr>
    </w:p>
    <w:p w:rsidR="00E55863" w:rsidRDefault="00E55863" w:rsidP="007854A1">
      <w:pPr>
        <w:keepNext/>
        <w:autoSpaceDE w:val="0"/>
        <w:autoSpaceDN w:val="0"/>
        <w:jc w:val="center"/>
        <w:rPr>
          <w:rFonts w:cs="Arial"/>
          <w:sz w:val="16"/>
          <w:szCs w:val="16"/>
        </w:rPr>
      </w:pPr>
    </w:p>
    <w:p w:rsidR="00E55863" w:rsidRDefault="00E55863" w:rsidP="007854A1">
      <w:pPr>
        <w:widowControl w:val="0"/>
        <w:autoSpaceDE w:val="0"/>
        <w:autoSpaceDN w:val="0"/>
        <w:adjustRightInd w:val="0"/>
        <w:jc w:val="center"/>
        <w:rPr>
          <w:rFonts w:cs="Arial"/>
          <w:szCs w:val="20"/>
        </w:rPr>
      </w:pPr>
      <w:r>
        <w:rPr>
          <w:noProof/>
        </w:rPr>
        <w:drawing>
          <wp:inline distT="0" distB="0" distL="0" distR="0" wp14:anchorId="7FA035B9" wp14:editId="403A0473">
            <wp:extent cx="4908430" cy="943929"/>
            <wp:effectExtent l="0" t="0" r="6985" b="8890"/>
            <wp:docPr id="153" name="Picture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9">
                      <a:extLst>
                        <a:ext uri="{28A0092B-C50C-407E-A947-70E740481C1C}">
                          <a14:useLocalDpi xmlns:a14="http://schemas.microsoft.com/office/drawing/2010/main" val="0"/>
                        </a:ext>
                      </a:extLst>
                    </a:blip>
                    <a:srcRect/>
                    <a:stretch>
                      <a:fillRect/>
                    </a:stretch>
                  </pic:blipFill>
                  <pic:spPr bwMode="auto">
                    <a:xfrm>
                      <a:off x="0" y="0"/>
                      <a:ext cx="4926107" cy="947328"/>
                    </a:xfrm>
                    <a:prstGeom prst="rect">
                      <a:avLst/>
                    </a:prstGeom>
                    <a:noFill/>
                    <a:ln>
                      <a:noFill/>
                    </a:ln>
                  </pic:spPr>
                </pic:pic>
              </a:graphicData>
            </a:graphic>
          </wp:inline>
        </w:drawing>
      </w:r>
    </w:p>
    <w:p w:rsidR="00E55863" w:rsidRDefault="00E55863" w:rsidP="007854A1">
      <w:pPr>
        <w:rPr>
          <w:rFonts w:cs="Arial"/>
          <w:szCs w:val="20"/>
        </w:rPr>
      </w:pPr>
    </w:p>
    <w:p w:rsidR="00E55863" w:rsidRDefault="00E55863" w:rsidP="007854A1">
      <w:pPr>
        <w:keepNext/>
        <w:keepLines/>
        <w:rPr>
          <w:rFonts w:cs="Arial"/>
          <w:szCs w:val="20"/>
        </w:rPr>
      </w:pPr>
    </w:p>
    <w:p w:rsidR="00E55863" w:rsidRDefault="00E55863" w:rsidP="007854A1">
      <w:pPr>
        <w:pStyle w:val="NormalWeb"/>
        <w:keepNext/>
        <w:keepLines/>
        <w:spacing w:before="0" w:beforeAutospacing="0" w:after="0" w:afterAutospacing="0"/>
        <w:jc w:val="center"/>
        <w:rPr>
          <w:color w:val="000000"/>
          <w:sz w:val="20"/>
          <w:szCs w:val="20"/>
        </w:rPr>
      </w:pPr>
    </w:p>
    <w:p w:rsidR="00E55863" w:rsidRDefault="00E55863" w:rsidP="00F33ED1">
      <w:pPr>
        <w:tabs>
          <w:tab w:val="left" w:pos="709"/>
        </w:tabs>
        <w:rPr>
          <w:rFonts w:cs="Arial"/>
          <w:u w:val="single"/>
        </w:rPr>
      </w:pPr>
      <w:r>
        <w:rPr>
          <w:rFonts w:cs="Arial"/>
          <w:szCs w:val="20"/>
        </w:rPr>
        <w:t>A.</w:t>
      </w:r>
      <w:r>
        <w:rPr>
          <w:rFonts w:cs="Arial"/>
        </w:rPr>
        <w:tab/>
      </w:r>
      <w:r>
        <w:rPr>
          <w:rFonts w:cs="Arial"/>
          <w:u w:val="single"/>
        </w:rPr>
        <w:t xml:space="preserve">2014/15 Final Budget after Transfers </w:t>
      </w:r>
    </w:p>
    <w:p w:rsidR="00E55863" w:rsidRPr="004575D5" w:rsidRDefault="00E55863" w:rsidP="007854A1">
      <w:pPr>
        <w:pStyle w:val="ListParagraph"/>
        <w:tabs>
          <w:tab w:val="left" w:pos="709"/>
        </w:tabs>
        <w:ind w:left="0"/>
        <w:jc w:val="both"/>
        <w:rPr>
          <w:rFonts w:cs="Arial"/>
        </w:rPr>
      </w:pPr>
    </w:p>
    <w:p w:rsidR="00E55863" w:rsidRPr="004575D5" w:rsidRDefault="00E55863" w:rsidP="00E55863">
      <w:pPr>
        <w:pStyle w:val="ListParagraph"/>
        <w:numPr>
          <w:ilvl w:val="0"/>
          <w:numId w:val="72"/>
        </w:numPr>
        <w:tabs>
          <w:tab w:val="left" w:pos="709"/>
        </w:tabs>
        <w:ind w:left="0" w:firstLine="0"/>
        <w:jc w:val="both"/>
        <w:rPr>
          <w:rFonts w:cs="Arial"/>
        </w:rPr>
      </w:pPr>
      <w:r>
        <w:rPr>
          <w:rFonts w:cs="Arial"/>
        </w:rPr>
        <w:t>The overall increase in the 2014/15 Final Budget after Transfers was primarily due to:  the funding of (i) temporary resourcing solutions to cover for long-term absences;  (ii) increased costs of UN shared activities;  (iii) additional resources for the WIPO Appeal Board;  (iv) the launch of new initiatives including the WIPO RRP;  (v) increased insurance costs for delegates and participants in WIPO meetings;  and (vi) redeployment of resources for ICT specialized training previously under Program 25.</w:t>
      </w:r>
    </w:p>
    <w:p w:rsidR="00E55863" w:rsidRDefault="00E55863" w:rsidP="007854A1">
      <w:pPr>
        <w:rPr>
          <w:rFonts w:cs="Arial"/>
          <w:u w:val="single"/>
        </w:rPr>
      </w:pPr>
    </w:p>
    <w:p w:rsidR="00E55863" w:rsidRDefault="00E55863" w:rsidP="00F33ED1">
      <w:pPr>
        <w:tabs>
          <w:tab w:val="left" w:pos="709"/>
        </w:tabs>
        <w:jc w:val="both"/>
        <w:rPr>
          <w:rFonts w:cs="Arial"/>
          <w:szCs w:val="20"/>
          <w:u w:val="single"/>
          <w:lang w:eastAsia="ko-KR"/>
        </w:rPr>
      </w:pPr>
      <w:r>
        <w:rPr>
          <w:rFonts w:cs="Arial"/>
          <w:szCs w:val="20"/>
          <w:lang w:eastAsia="ko-KR"/>
        </w:rPr>
        <w:t>B.</w:t>
      </w:r>
      <w:r>
        <w:rPr>
          <w:rFonts w:cs="Arial"/>
          <w:szCs w:val="20"/>
          <w:lang w:eastAsia="ko-KR"/>
        </w:rPr>
        <w:tab/>
      </w:r>
      <w:r>
        <w:rPr>
          <w:rFonts w:cs="Arial"/>
          <w:szCs w:val="20"/>
          <w:u w:val="single"/>
          <w:lang w:eastAsia="ko-KR"/>
        </w:rPr>
        <w:t xml:space="preserve">2014/15 Budget utilization </w:t>
      </w:r>
    </w:p>
    <w:p w:rsidR="00E55863" w:rsidRDefault="00E55863" w:rsidP="007854A1">
      <w:pPr>
        <w:tabs>
          <w:tab w:val="left" w:pos="709"/>
        </w:tabs>
        <w:jc w:val="both"/>
        <w:rPr>
          <w:rFonts w:cs="Arial"/>
          <w:szCs w:val="20"/>
          <w:u w:val="single"/>
          <w:lang w:eastAsia="ko-KR"/>
        </w:rPr>
      </w:pPr>
    </w:p>
    <w:p w:rsidR="00E55863" w:rsidRDefault="00E55863" w:rsidP="00E55863">
      <w:pPr>
        <w:pStyle w:val="ListParagraph"/>
        <w:numPr>
          <w:ilvl w:val="0"/>
          <w:numId w:val="72"/>
        </w:numPr>
        <w:tabs>
          <w:tab w:val="left" w:pos="709"/>
        </w:tabs>
        <w:ind w:left="0" w:firstLine="0"/>
        <w:jc w:val="both"/>
      </w:pPr>
      <w:r>
        <w:t xml:space="preserve">The non-personnel budget utilization rate amounted to 91 per cent and reflected savings resulting primarily from the </w:t>
      </w:r>
      <w:r w:rsidRPr="004575D5">
        <w:rPr>
          <w:color w:val="000000"/>
        </w:rPr>
        <w:t xml:space="preserve">renegotiation of new insurance contracts and </w:t>
      </w:r>
      <w:r w:rsidRPr="004575D5">
        <w:rPr>
          <w:rFonts w:cs="Arial"/>
        </w:rPr>
        <w:t>lower than anticipated spending on:  (i)</w:t>
      </w:r>
      <w:r>
        <w:rPr>
          <w:rFonts w:cs="Arial"/>
        </w:rPr>
        <w:t> </w:t>
      </w:r>
      <w:r w:rsidRPr="004575D5">
        <w:rPr>
          <w:rFonts w:cs="Arial"/>
        </w:rPr>
        <w:t>maternity and sickness backup;  (ii) the ILO Administrative Tribunal; (iii) language training;  and (iv)</w:t>
      </w:r>
      <w:r>
        <w:rPr>
          <w:rFonts w:cs="Arial"/>
        </w:rPr>
        <w:t> </w:t>
      </w:r>
      <w:r w:rsidRPr="004575D5">
        <w:rPr>
          <w:rFonts w:cs="Arial"/>
        </w:rPr>
        <w:t>classification activities.</w:t>
      </w:r>
    </w:p>
    <w:p w:rsidR="00E55863" w:rsidRPr="00F5556E" w:rsidRDefault="00E55863" w:rsidP="007854A1">
      <w:pPr>
        <w:rPr>
          <w:rFonts w:cs="Arial"/>
          <w:sz w:val="22"/>
          <w:szCs w:val="22"/>
        </w:rPr>
      </w:pPr>
    </w:p>
    <w:p w:rsidR="00D97F1C" w:rsidRDefault="00D97F1C"/>
    <w:p w:rsidR="00E43AF7" w:rsidRDefault="00E43AF7">
      <w:r>
        <w:br w:type="page"/>
      </w:r>
    </w:p>
    <w:p w:rsidR="00E43AF7" w:rsidRPr="00AD47BD" w:rsidRDefault="00E43AF7" w:rsidP="008D1891">
      <w:pPr>
        <w:pStyle w:val="Heading2"/>
        <w:tabs>
          <w:tab w:val="clear" w:pos="567"/>
          <w:tab w:val="left" w:pos="1985"/>
        </w:tabs>
        <w:ind w:left="1985" w:hanging="1985"/>
      </w:pPr>
      <w:bookmarkStart w:id="108" w:name="_Toc454544498"/>
      <w:r w:rsidRPr="00AD47BD">
        <w:t>PROGRAM 24</w:t>
      </w:r>
      <w:r w:rsidRPr="00AD47BD">
        <w:tab/>
        <w:t>GENERAL SUPPORT SERVICES</w:t>
      </w:r>
      <w:bookmarkEnd w:id="108"/>
    </w:p>
    <w:p w:rsidR="00E43AF7" w:rsidRPr="005C1F88" w:rsidRDefault="00E43AF7" w:rsidP="008D1891">
      <w:pPr>
        <w:ind w:left="1985" w:hanging="1985"/>
        <w:rPr>
          <w:rFonts w:cs="Arial"/>
          <w:b/>
          <w:szCs w:val="20"/>
        </w:rPr>
      </w:pPr>
    </w:p>
    <w:p w:rsidR="00E43AF7" w:rsidRPr="005C1F88" w:rsidRDefault="00E43AF7" w:rsidP="008D1891">
      <w:pPr>
        <w:ind w:left="1985" w:hanging="1985"/>
        <w:rPr>
          <w:rFonts w:cs="Arial"/>
          <w:b/>
          <w:szCs w:val="20"/>
        </w:rPr>
      </w:pPr>
      <w:r w:rsidRPr="005C1F88">
        <w:rPr>
          <w:rFonts w:cs="Arial"/>
          <w:b/>
          <w:szCs w:val="20"/>
        </w:rPr>
        <w:t>Program Manager</w:t>
      </w:r>
      <w:r w:rsidRPr="005C1F88">
        <w:rPr>
          <w:rFonts w:cs="Arial"/>
          <w:b/>
          <w:szCs w:val="20"/>
        </w:rPr>
        <w:tab/>
      </w:r>
      <w:r w:rsidRPr="005C1F88">
        <w:rPr>
          <w:rFonts w:cs="Arial"/>
          <w:b/>
          <w:bCs/>
          <w:szCs w:val="20"/>
        </w:rPr>
        <w:t>Mr. A. Sundaram</w:t>
      </w:r>
    </w:p>
    <w:p w:rsidR="001363EE" w:rsidRDefault="001363EE" w:rsidP="001363EE">
      <w:pPr>
        <w:ind w:left="2268" w:hanging="2268"/>
        <w:rPr>
          <w:rFonts w:cs="Arial"/>
          <w:b/>
          <w:bCs/>
          <w:szCs w:val="20"/>
        </w:rPr>
      </w:pPr>
    </w:p>
    <w:p w:rsidR="001363EE" w:rsidRPr="00D71DB6" w:rsidRDefault="001363EE" w:rsidP="001363EE">
      <w:pPr>
        <w:rPr>
          <w:szCs w:val="20"/>
        </w:rPr>
      </w:pPr>
    </w:p>
    <w:p w:rsidR="001363EE" w:rsidRPr="00AD47BD" w:rsidRDefault="001363EE" w:rsidP="001363EE">
      <w:pPr>
        <w:rPr>
          <w:rFonts w:cs="Arial"/>
          <w:szCs w:val="20"/>
        </w:rPr>
      </w:pPr>
      <w:r>
        <w:rPr>
          <w:bCs/>
          <w:szCs w:val="20"/>
        </w:rPr>
        <w:t>ACHIEVEMENTS IN THE 2014/15 BIENNIUM</w:t>
      </w:r>
    </w:p>
    <w:p w:rsidR="001363EE" w:rsidRPr="005C1F88" w:rsidRDefault="001363EE" w:rsidP="001363EE">
      <w:pPr>
        <w:rPr>
          <w:rFonts w:cs="Arial"/>
          <w:bCs/>
          <w:color w:val="000000"/>
          <w:szCs w:val="20"/>
        </w:rPr>
      </w:pPr>
    </w:p>
    <w:p w:rsidR="001363EE" w:rsidRPr="00FF1C2D" w:rsidRDefault="001363EE" w:rsidP="001363EE">
      <w:pPr>
        <w:pStyle w:val="ListParagraph"/>
        <w:numPr>
          <w:ilvl w:val="0"/>
          <w:numId w:val="66"/>
        </w:numPr>
        <w:tabs>
          <w:tab w:val="left" w:pos="709"/>
        </w:tabs>
        <w:ind w:left="0" w:firstLine="0"/>
        <w:jc w:val="both"/>
        <w:rPr>
          <w:rFonts w:cs="Arial"/>
          <w:bCs/>
        </w:rPr>
      </w:pPr>
      <w:r w:rsidRPr="00FF1C2D">
        <w:rPr>
          <w:rFonts w:cs="Arial"/>
          <w:bCs/>
        </w:rPr>
        <w:t>In addition to providing strategic guidance and support in the areas of Administration and Management in WIPO, the Program includes Procurement and Travel, and Premises Infrastructure services.</w:t>
      </w:r>
    </w:p>
    <w:p w:rsidR="001363EE" w:rsidRDefault="001363EE" w:rsidP="001363EE">
      <w:pPr>
        <w:jc w:val="both"/>
        <w:rPr>
          <w:bCs/>
          <w:sz w:val="22"/>
          <w:szCs w:val="22"/>
        </w:rPr>
      </w:pPr>
    </w:p>
    <w:p w:rsidR="001363EE" w:rsidRDefault="001363EE" w:rsidP="001363EE">
      <w:pPr>
        <w:pStyle w:val="ListParagraph"/>
        <w:numPr>
          <w:ilvl w:val="0"/>
          <w:numId w:val="66"/>
        </w:numPr>
        <w:tabs>
          <w:tab w:val="left" w:pos="709"/>
        </w:tabs>
        <w:ind w:left="0" w:firstLine="0"/>
        <w:jc w:val="both"/>
        <w:rPr>
          <w:rFonts w:eastAsia="MS Mincho" w:cs="Arial"/>
          <w:lang w:eastAsia="ja-JP" w:bidi="th-TH"/>
        </w:rPr>
      </w:pPr>
      <w:r>
        <w:rPr>
          <w:rFonts w:eastAsia="MS Mincho" w:cs="Arial"/>
          <w:lang w:eastAsia="ja-JP" w:bidi="th-TH"/>
        </w:rPr>
        <w:t>In 2014/15, procurement and travel made good progress towards achieving targets through a series of measures with a view to optimizing the cost of WIPO procured goods and services and streamlining its processes.  These measures included:  (i) a new policy for Individual Contractual Services (ICS) as well as the incorporation of the management of ICS into the Procurement and Travel Division;  (ii) a new legal framework for procurement, as well as the publications of a new Office Instruction (OI) in 2014 on Procurement General Principles and Basic Rules and a Procurement Manual;  (iii) the creation of a vendor contract database;  (iv) the implementation of annual procurement plans;  and (v) the launch of an Online Booking Tool (OBT) for travel aimed at reducing both the transaction fee and the average air ticket fare through the use of more restrictive fares and more advanced ticketing.</w:t>
      </w:r>
    </w:p>
    <w:p w:rsidR="001363EE" w:rsidRDefault="001363EE" w:rsidP="001363EE">
      <w:pPr>
        <w:jc w:val="both"/>
        <w:rPr>
          <w:rFonts w:eastAsia="MS Mincho" w:cs="Arial"/>
          <w:szCs w:val="20"/>
          <w:lang w:eastAsia="ja-JP" w:bidi="th-TH"/>
        </w:rPr>
      </w:pPr>
    </w:p>
    <w:p w:rsidR="001363EE" w:rsidRDefault="001363EE" w:rsidP="001363EE">
      <w:pPr>
        <w:pStyle w:val="ListParagraph"/>
        <w:numPr>
          <w:ilvl w:val="0"/>
          <w:numId w:val="66"/>
        </w:numPr>
        <w:tabs>
          <w:tab w:val="left" w:pos="709"/>
        </w:tabs>
        <w:ind w:left="0" w:firstLine="0"/>
        <w:jc w:val="both"/>
        <w:rPr>
          <w:rFonts w:eastAsia="MS Mincho" w:cs="Arial"/>
          <w:lang w:eastAsia="ja-JP" w:bidi="th-TH"/>
        </w:rPr>
      </w:pPr>
      <w:r>
        <w:rPr>
          <w:rFonts w:eastAsia="MS Mincho" w:cs="Arial"/>
          <w:lang w:eastAsia="ja-JP" w:bidi="th-TH"/>
        </w:rPr>
        <w:t xml:space="preserve">As a result of these measures, savings for procured goods and services continued to be yielded from more </w:t>
      </w:r>
      <w:r w:rsidRPr="00FF1C2D">
        <w:rPr>
          <w:rFonts w:cs="Arial"/>
          <w:bCs/>
        </w:rPr>
        <w:t>stringent</w:t>
      </w:r>
      <w:r>
        <w:rPr>
          <w:rFonts w:eastAsia="MS Mincho" w:cs="Arial"/>
          <w:lang w:eastAsia="ja-JP" w:bidi="th-TH"/>
        </w:rPr>
        <w:t xml:space="preserve"> and direct price negotiations, which resulted in overall savings of 3.8 million Swiss francs in 2015 and 2.6 million Swiss francs in 2014.  The percentage of </w:t>
      </w:r>
      <w:r>
        <w:rPr>
          <w:color w:val="000000"/>
        </w:rPr>
        <w:t>collaborative procurement with the Common Procurement Activity Group</w:t>
      </w:r>
      <w:r>
        <w:rPr>
          <w:rFonts w:eastAsia="MS Mincho" w:cs="Arial"/>
          <w:lang w:eastAsia="ja-JP" w:bidi="th-TH"/>
        </w:rPr>
        <w:t xml:space="preserve"> also increased with 5.8 per cent of goods procured through this collaboration.  As regards travel expenditure, the average ticket cost was reduced by 14 per cent in 2015 to 1,484 Swiss francs from 1,728 Swiss francs in 2013, a significant savings over the biennium.  Since the implementation of the new OBT in December 2014, the total average transaction fee also decreased by 20 per cent, despite the increase in the agency fee resulting from a change in the supplier.  The tables below illustrate the achievements in 2014/15 with regard to procurement and travel.</w:t>
      </w:r>
    </w:p>
    <w:p w:rsidR="001363EE" w:rsidRPr="009D2B82" w:rsidRDefault="001363EE" w:rsidP="001363EE">
      <w:pPr>
        <w:rPr>
          <w:rFonts w:eastAsia="MS Mincho" w:cs="Arial"/>
          <w:szCs w:val="20"/>
          <w:lang w:eastAsia="ja-JP" w:bidi="th-TH"/>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82"/>
        <w:gridCol w:w="4889"/>
      </w:tblGrid>
      <w:tr w:rsidR="001363EE" w:rsidTr="001363EE">
        <w:trPr>
          <w:jc w:val="center"/>
        </w:trPr>
        <w:tc>
          <w:tcPr>
            <w:tcW w:w="4684" w:type="dxa"/>
          </w:tcPr>
          <w:p w:rsidR="001363EE" w:rsidRDefault="001363EE" w:rsidP="001363EE">
            <w:pPr>
              <w:spacing w:after="200" w:line="276" w:lineRule="auto"/>
            </w:pPr>
            <w:r>
              <w:rPr>
                <w:noProof/>
              </w:rPr>
              <w:drawing>
                <wp:inline distT="0" distB="0" distL="0" distR="0" wp14:anchorId="0CC98E91" wp14:editId="2B6EFB89">
                  <wp:extent cx="2384756" cy="2056405"/>
                  <wp:effectExtent l="0" t="0" r="0" b="1270"/>
                  <wp:docPr id="138" name="Picture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0">
                            <a:extLst>
                              <a:ext uri="{28A0092B-C50C-407E-A947-70E740481C1C}">
                                <a14:useLocalDpi xmlns:a14="http://schemas.microsoft.com/office/drawing/2010/main" val="0"/>
                              </a:ext>
                            </a:extLst>
                          </a:blip>
                          <a:srcRect/>
                          <a:stretch>
                            <a:fillRect/>
                          </a:stretch>
                        </pic:blipFill>
                        <pic:spPr bwMode="auto">
                          <a:xfrm>
                            <a:off x="0" y="0"/>
                            <a:ext cx="2387376" cy="2058664"/>
                          </a:xfrm>
                          <a:prstGeom prst="rect">
                            <a:avLst/>
                          </a:prstGeom>
                          <a:noFill/>
                        </pic:spPr>
                      </pic:pic>
                    </a:graphicData>
                  </a:graphic>
                </wp:inline>
              </w:drawing>
            </w:r>
          </w:p>
        </w:tc>
        <w:tc>
          <w:tcPr>
            <w:tcW w:w="4892" w:type="dxa"/>
          </w:tcPr>
          <w:p w:rsidR="001363EE" w:rsidRDefault="001363EE" w:rsidP="001363EE">
            <w:pPr>
              <w:spacing w:after="200" w:line="276" w:lineRule="auto"/>
            </w:pPr>
            <w:r>
              <w:rPr>
                <w:noProof/>
              </w:rPr>
              <w:drawing>
                <wp:inline distT="0" distB="0" distL="0" distR="0" wp14:anchorId="5BB48CB6" wp14:editId="38870912">
                  <wp:extent cx="2397024" cy="2062887"/>
                  <wp:effectExtent l="0" t="0" r="3810" b="0"/>
                  <wp:docPr id="139" name="Pictur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1">
                            <a:extLst>
                              <a:ext uri="{28A0092B-C50C-407E-A947-70E740481C1C}">
                                <a14:useLocalDpi xmlns:a14="http://schemas.microsoft.com/office/drawing/2010/main" val="0"/>
                              </a:ext>
                            </a:extLst>
                          </a:blip>
                          <a:srcRect/>
                          <a:stretch>
                            <a:fillRect/>
                          </a:stretch>
                        </pic:blipFill>
                        <pic:spPr bwMode="auto">
                          <a:xfrm>
                            <a:off x="0" y="0"/>
                            <a:ext cx="2397799" cy="2063554"/>
                          </a:xfrm>
                          <a:prstGeom prst="rect">
                            <a:avLst/>
                          </a:prstGeom>
                          <a:noFill/>
                        </pic:spPr>
                      </pic:pic>
                    </a:graphicData>
                  </a:graphic>
                </wp:inline>
              </w:drawing>
            </w:r>
          </w:p>
        </w:tc>
      </w:tr>
    </w:tbl>
    <w:p w:rsidR="001363EE" w:rsidRDefault="001363EE" w:rsidP="001363EE">
      <w:pPr>
        <w:spacing w:line="276" w:lineRule="auto"/>
      </w:pPr>
    </w:p>
    <w:p w:rsidR="001363EE" w:rsidRDefault="001363EE" w:rsidP="001363EE">
      <w:pPr>
        <w:pStyle w:val="ListParagraph"/>
        <w:numPr>
          <w:ilvl w:val="0"/>
          <w:numId w:val="66"/>
        </w:numPr>
        <w:tabs>
          <w:tab w:val="left" w:pos="709"/>
        </w:tabs>
        <w:ind w:left="0" w:firstLine="0"/>
        <w:jc w:val="both"/>
      </w:pPr>
      <w:r>
        <w:t xml:space="preserve">A </w:t>
      </w:r>
      <w:r w:rsidRPr="00FF1C2D">
        <w:rPr>
          <w:rFonts w:cs="Arial"/>
          <w:bCs/>
        </w:rPr>
        <w:t>substantial</w:t>
      </w:r>
      <w:r>
        <w:t xml:space="preserve"> effort was made in the biennium to reduce travel expenditure, leading to a decrease in both the number of tickets issued and the number of late travel submissions.  Finally, through close monitoring of the administrative processes related to procurement and travel, the average lead time to process purchase requisitions was reduced by half over the last five years, resulting in greater efficiency and more agility in procuring goods and services.  It should also be noted that the percentage of locally sourced goods and services for development activities increased to 57 per cent in 2015, a </w:t>
      </w:r>
      <w:r w:rsidR="00103F66">
        <w:t>nine</w:t>
      </w:r>
      <w:r>
        <w:t xml:space="preserve"> per cent increase over 2013 and a 12 per cent increase over 2014.</w:t>
      </w:r>
    </w:p>
    <w:p w:rsidR="001363EE" w:rsidRDefault="001363EE" w:rsidP="001363EE">
      <w:pPr>
        <w:pStyle w:val="ListParagraph"/>
        <w:tabs>
          <w:tab w:val="left" w:pos="709"/>
        </w:tabs>
        <w:ind w:left="0"/>
        <w:jc w:val="both"/>
      </w:pPr>
    </w:p>
    <w:p w:rsidR="001363EE" w:rsidRPr="00D71DB6" w:rsidRDefault="001363EE" w:rsidP="001363EE">
      <w:pPr>
        <w:pStyle w:val="ListParagraph"/>
        <w:numPr>
          <w:ilvl w:val="0"/>
          <w:numId w:val="66"/>
        </w:numPr>
        <w:tabs>
          <w:tab w:val="left" w:pos="709"/>
        </w:tabs>
        <w:ind w:left="0" w:firstLine="0"/>
        <w:jc w:val="both"/>
        <w:rPr>
          <w:rFonts w:cs="Arial"/>
        </w:rPr>
      </w:pPr>
      <w:r w:rsidRPr="00D71DB6">
        <w:rPr>
          <w:rFonts w:cs="Arial"/>
        </w:rPr>
        <w:t xml:space="preserve">As regards </w:t>
      </w:r>
      <w:r>
        <w:rPr>
          <w:rFonts w:cs="Arial"/>
        </w:rPr>
        <w:t xml:space="preserve">office </w:t>
      </w:r>
      <w:r w:rsidRPr="00D71DB6">
        <w:rPr>
          <w:rFonts w:cs="Arial"/>
        </w:rPr>
        <w:t xml:space="preserve">space management in the headquarters buildings, at the end of 2015, an adequate balance between occupied (about 85 per cent) and non-occupied (about 15 per cent) workplaces was maintained for the third consecutive year, despite the fact that the balance was not evenly reached across all buildings, as explained in previous reports.  The implementation </w:t>
      </w:r>
      <w:r w:rsidRPr="00B061E3">
        <w:rPr>
          <w:rFonts w:cs="Arial"/>
        </w:rPr>
        <w:t>of a more efficient and cost-effective use of storage and parking areas on- and off-site allowed for the termination of the leases for three off-site storage areas and off-site parking spaces, as well as a reduction in quantities of office supplies, for a total savings in 2014/15 of about 219,000 Swiss francs.  Finally, a total of 390,000</w:t>
      </w:r>
      <w:r w:rsidR="00103F66">
        <w:rPr>
          <w:rFonts w:cs="Arial"/>
        </w:rPr>
        <w:t> </w:t>
      </w:r>
      <w:r w:rsidRPr="00B061E3">
        <w:rPr>
          <w:rFonts w:cs="Arial"/>
        </w:rPr>
        <w:t xml:space="preserve">Swiss francs revenue was generated during the biennium from the rental of certain spaces to other entities (the data center, roof spaces for telephony antennas, bank teller machine and one office for the </w:t>
      </w:r>
      <w:r w:rsidRPr="00B061E3">
        <w:rPr>
          <w:rFonts w:cs="Arial"/>
          <w:i/>
        </w:rPr>
        <w:t xml:space="preserve">European </w:t>
      </w:r>
      <w:r>
        <w:rPr>
          <w:rFonts w:cs="Arial"/>
          <w:i/>
        </w:rPr>
        <w:t xml:space="preserve">Co-operative Association of International Civil Servants </w:t>
      </w:r>
      <w:r w:rsidRPr="00B061E3">
        <w:rPr>
          <w:rFonts w:cs="Arial"/>
        </w:rPr>
        <w:t>(AMFIE)).</w:t>
      </w:r>
    </w:p>
    <w:p w:rsidR="001363EE" w:rsidRPr="00D71DB6" w:rsidRDefault="001363EE" w:rsidP="001363EE">
      <w:pPr>
        <w:tabs>
          <w:tab w:val="left" w:pos="709"/>
        </w:tabs>
        <w:jc w:val="both"/>
        <w:rPr>
          <w:rFonts w:cs="Arial"/>
          <w:szCs w:val="20"/>
        </w:rPr>
      </w:pPr>
    </w:p>
    <w:p w:rsidR="001363EE" w:rsidRPr="00D71DB6" w:rsidRDefault="001363EE" w:rsidP="001363EE">
      <w:pPr>
        <w:pStyle w:val="ListParagraph"/>
        <w:numPr>
          <w:ilvl w:val="0"/>
          <w:numId w:val="66"/>
        </w:numPr>
        <w:tabs>
          <w:tab w:val="left" w:pos="709"/>
        </w:tabs>
        <w:ind w:left="0" w:firstLine="0"/>
        <w:jc w:val="both"/>
        <w:rPr>
          <w:rFonts w:cs="Arial"/>
        </w:rPr>
      </w:pPr>
      <w:r w:rsidRPr="00D71DB6">
        <w:rPr>
          <w:rFonts w:cs="Arial"/>
        </w:rPr>
        <w:t xml:space="preserve">In </w:t>
      </w:r>
      <w:r w:rsidRPr="00FF1C2D">
        <w:rPr>
          <w:rFonts w:cs="Arial"/>
          <w:bCs/>
        </w:rPr>
        <w:t>respect</w:t>
      </w:r>
      <w:r w:rsidRPr="00D71DB6">
        <w:rPr>
          <w:rFonts w:cs="Arial"/>
        </w:rPr>
        <w:t xml:space="preserve"> of technical installations, regular maintenance of main and/or critical technical installations was undertaken throughout the year in accordance with the established schedule.  The first detailed roster of all critical installations was completed in 2014, which will strengthen the future analysis of the wider preventative maintenance program of infrastructure and installations.  </w:t>
      </w:r>
      <w:r>
        <w:rPr>
          <w:rFonts w:cs="Arial"/>
        </w:rPr>
        <w:t xml:space="preserve">The year </w:t>
      </w:r>
      <w:r w:rsidRPr="00D71DB6">
        <w:rPr>
          <w:rFonts w:cs="Arial"/>
        </w:rPr>
        <w:t xml:space="preserve">2015 was the first </w:t>
      </w:r>
      <w:r>
        <w:rPr>
          <w:rFonts w:cs="Arial"/>
        </w:rPr>
        <w:t xml:space="preserve">time </w:t>
      </w:r>
      <w:r w:rsidRPr="00D71DB6">
        <w:rPr>
          <w:rFonts w:cs="Arial"/>
        </w:rPr>
        <w:t>a periodical update of the roster was carried out, thereby establishing the basis for future periodical updates.</w:t>
      </w:r>
    </w:p>
    <w:p w:rsidR="001363EE" w:rsidRPr="00D71DB6" w:rsidRDefault="001363EE" w:rsidP="001363EE">
      <w:pPr>
        <w:tabs>
          <w:tab w:val="left" w:pos="709"/>
        </w:tabs>
        <w:jc w:val="both"/>
        <w:rPr>
          <w:rFonts w:cs="Arial"/>
          <w:szCs w:val="20"/>
        </w:rPr>
      </w:pPr>
    </w:p>
    <w:p w:rsidR="001363EE" w:rsidRPr="00D71DB6" w:rsidRDefault="001363EE" w:rsidP="001363EE">
      <w:pPr>
        <w:pStyle w:val="ListParagraph"/>
        <w:numPr>
          <w:ilvl w:val="0"/>
          <w:numId w:val="66"/>
        </w:numPr>
        <w:tabs>
          <w:tab w:val="left" w:pos="709"/>
        </w:tabs>
        <w:ind w:left="0" w:firstLine="0"/>
        <w:jc w:val="both"/>
        <w:rPr>
          <w:rFonts w:cs="Arial"/>
        </w:rPr>
      </w:pPr>
      <w:r w:rsidRPr="00D71DB6">
        <w:rPr>
          <w:rFonts w:cs="Arial"/>
        </w:rPr>
        <w:t xml:space="preserve">In </w:t>
      </w:r>
      <w:r w:rsidRPr="00FF1C2D">
        <w:rPr>
          <w:rFonts w:cs="Arial"/>
          <w:bCs/>
        </w:rPr>
        <w:t>respect</w:t>
      </w:r>
      <w:r w:rsidRPr="00D71DB6">
        <w:rPr>
          <w:rFonts w:cs="Arial"/>
        </w:rPr>
        <w:t xml:space="preserve"> of the upgrading of older facilities, significant progress was made not only through the reserve-funded Capital Master Plan (CMP) projects, but also through a number of less significant and more technical improvements (please see details in the performance table).</w:t>
      </w:r>
    </w:p>
    <w:p w:rsidR="001363EE" w:rsidRPr="00D71DB6" w:rsidRDefault="001363EE" w:rsidP="001363EE">
      <w:pPr>
        <w:tabs>
          <w:tab w:val="left" w:pos="709"/>
        </w:tabs>
        <w:jc w:val="both"/>
        <w:rPr>
          <w:rFonts w:cs="Arial"/>
          <w:szCs w:val="20"/>
        </w:rPr>
      </w:pPr>
    </w:p>
    <w:p w:rsidR="001363EE" w:rsidRPr="00D71DB6" w:rsidRDefault="001363EE" w:rsidP="001363EE">
      <w:pPr>
        <w:pStyle w:val="ListParagraph"/>
        <w:numPr>
          <w:ilvl w:val="0"/>
          <w:numId w:val="66"/>
        </w:numPr>
        <w:tabs>
          <w:tab w:val="left" w:pos="709"/>
        </w:tabs>
        <w:ind w:left="0" w:firstLine="0"/>
        <w:jc w:val="both"/>
        <w:rPr>
          <w:rFonts w:eastAsiaTheme="minorHAnsi" w:cs="Arial"/>
        </w:rPr>
      </w:pPr>
      <w:r w:rsidRPr="008247B3">
        <w:rPr>
          <w:rFonts w:eastAsiaTheme="minorHAnsi" w:cs="Arial"/>
        </w:rPr>
        <w:t>Energy consumption</w:t>
      </w:r>
      <w:r w:rsidR="00047E88">
        <w:rPr>
          <w:rFonts w:eastAsiaTheme="minorHAnsi" w:cs="Arial"/>
        </w:rPr>
        <w:t>,</w:t>
      </w:r>
      <w:r w:rsidR="00047E88" w:rsidRPr="00047E88">
        <w:rPr>
          <w:rFonts w:eastAsiaTheme="minorHAnsi" w:cs="Arial"/>
        </w:rPr>
        <w:t xml:space="preserve"> </w:t>
      </w:r>
      <w:r w:rsidR="00047E88">
        <w:rPr>
          <w:rFonts w:eastAsiaTheme="minorHAnsi" w:cs="Arial"/>
        </w:rPr>
        <w:t xml:space="preserve">in particularily </w:t>
      </w:r>
      <w:r w:rsidRPr="008247B3">
        <w:rPr>
          <w:rFonts w:eastAsiaTheme="minorHAnsi" w:cs="Arial"/>
        </w:rPr>
        <w:t>electricity and water</w:t>
      </w:r>
      <w:r w:rsidR="00047E88">
        <w:rPr>
          <w:rFonts w:eastAsiaTheme="minorHAnsi" w:cs="Arial"/>
        </w:rPr>
        <w:t>,</w:t>
      </w:r>
      <w:r w:rsidRPr="008247B3">
        <w:rPr>
          <w:rFonts w:eastAsiaTheme="minorHAnsi" w:cs="Arial"/>
        </w:rPr>
        <w:t xml:space="preserve"> was reduced by five per cent and 33 per cent respectively, compared to the 2012/13 biennium, de</w:t>
      </w:r>
      <w:r w:rsidRPr="00D71DB6">
        <w:rPr>
          <w:rFonts w:eastAsiaTheme="minorHAnsi" w:cs="Arial"/>
        </w:rPr>
        <w:t xml:space="preserve">spite the additional consumption due to the new WIPO Conference Hall as from September 2014. </w:t>
      </w:r>
      <w:r>
        <w:rPr>
          <w:rFonts w:eastAsiaTheme="minorHAnsi" w:cs="Arial"/>
        </w:rPr>
        <w:t xml:space="preserve"> The </w:t>
      </w:r>
      <w:r w:rsidRPr="005D0C9A">
        <w:rPr>
          <w:rFonts w:eastAsiaTheme="minorHAnsi" w:cs="Arial"/>
        </w:rPr>
        <w:t>last phase of the major shift towards a locally generated and more environmentally friendly cooling technology</w:t>
      </w:r>
      <w:r>
        <w:rPr>
          <w:rFonts w:eastAsiaTheme="minorHAnsi" w:cs="Arial"/>
        </w:rPr>
        <w:t xml:space="preserve">, </w:t>
      </w:r>
      <w:r w:rsidRPr="00D71DB6">
        <w:rPr>
          <w:rFonts w:eastAsiaTheme="minorHAnsi" w:cs="Arial"/>
        </w:rPr>
        <w:t>the Geneva Lake-</w:t>
      </w:r>
      <w:r w:rsidRPr="008F69BE">
        <w:rPr>
          <w:rFonts w:eastAsiaTheme="minorHAnsi" w:cs="Arial"/>
        </w:rPr>
        <w:t>produced chilled water</w:t>
      </w:r>
      <w:r>
        <w:rPr>
          <w:rFonts w:eastAsiaTheme="minorHAnsi" w:cs="Arial"/>
        </w:rPr>
        <w:t>, was completed on the WIPO Campus during the biennium through connection or upgrade of installations</w:t>
      </w:r>
      <w:r w:rsidRPr="005D0C9A">
        <w:rPr>
          <w:rFonts w:eastAsiaTheme="minorHAnsi" w:cs="Arial"/>
        </w:rPr>
        <w:t>.</w:t>
      </w:r>
      <w:r w:rsidRPr="00D71DB6">
        <w:rPr>
          <w:rFonts w:eastAsiaTheme="minorHAnsi" w:cs="Arial"/>
        </w:rPr>
        <w:t xml:space="preserve"> </w:t>
      </w:r>
      <w:r>
        <w:rPr>
          <w:rFonts w:eastAsiaTheme="minorHAnsi" w:cs="Arial"/>
        </w:rPr>
        <w:t xml:space="preserve"> </w:t>
      </w:r>
      <w:r w:rsidRPr="00D71DB6">
        <w:rPr>
          <w:rFonts w:eastAsiaTheme="minorHAnsi" w:cs="Arial"/>
        </w:rPr>
        <w:t>While the energy consumption and the associated cost for this cooling technology in all WIPO buildings increased by 35 and 34 per cent, respectively, compared to the previous biennium, the building volume covered has approximately doubled during the same period</w:t>
      </w:r>
      <w:r w:rsidRPr="00D20EA6">
        <w:rPr>
          <w:rFonts w:eastAsiaTheme="minorHAnsi" w:cs="Arial"/>
        </w:rPr>
        <w:t xml:space="preserve">. </w:t>
      </w:r>
      <w:r w:rsidRPr="008247B3">
        <w:rPr>
          <w:rFonts w:eastAsiaTheme="minorHAnsi" w:cs="Arial"/>
        </w:rPr>
        <w:t xml:space="preserve"> Furthermore, the increased cost was largely compensated by reductions in consumption of other sources of energy (electricity and water) </w:t>
      </w:r>
      <w:r w:rsidRPr="00220CEF">
        <w:rPr>
          <w:rFonts w:eastAsiaTheme="minorHAnsi" w:cs="Arial"/>
        </w:rPr>
        <w:t>and</w:t>
      </w:r>
      <w:r w:rsidRPr="00D20EA6">
        <w:rPr>
          <w:rFonts w:eastAsiaTheme="minorHAnsi" w:cs="Arial"/>
        </w:rPr>
        <w:t xml:space="preserve"> </w:t>
      </w:r>
      <w:r w:rsidRPr="008247B3">
        <w:rPr>
          <w:rFonts w:eastAsiaTheme="minorHAnsi" w:cs="Arial"/>
        </w:rPr>
        <w:t xml:space="preserve">stabilized consumption of natural gas for heating, resulting in an overall savings of about </w:t>
      </w:r>
      <w:r>
        <w:rPr>
          <w:rFonts w:eastAsiaTheme="minorHAnsi" w:cs="Arial"/>
        </w:rPr>
        <w:t>479,000</w:t>
      </w:r>
      <w:r w:rsidRPr="008247B3">
        <w:rPr>
          <w:rFonts w:eastAsiaTheme="minorHAnsi" w:cs="Arial"/>
        </w:rPr>
        <w:t xml:space="preserve"> Swiss francs, as compared to the previous biennium.  Finally, the electricity provider which was under contract with WIPO until end 2014, reimbursed a percentage of unused electricity over the</w:t>
      </w:r>
      <w:r w:rsidRPr="00D71DB6">
        <w:rPr>
          <w:rFonts w:eastAsiaTheme="minorHAnsi" w:cs="Arial"/>
        </w:rPr>
        <w:t xml:space="preserve"> year of reference (2014), amounting to 24,300 Swiss francs.  </w:t>
      </w:r>
    </w:p>
    <w:p w:rsidR="001363EE" w:rsidRPr="00D71DB6" w:rsidRDefault="001363EE" w:rsidP="001363EE">
      <w:pPr>
        <w:tabs>
          <w:tab w:val="left" w:pos="709"/>
          <w:tab w:val="left" w:pos="1440"/>
        </w:tabs>
        <w:jc w:val="both"/>
        <w:rPr>
          <w:rFonts w:cs="Arial"/>
          <w:szCs w:val="20"/>
        </w:rPr>
      </w:pPr>
    </w:p>
    <w:p w:rsidR="001363EE" w:rsidRPr="00B061E3" w:rsidRDefault="001363EE" w:rsidP="001363EE">
      <w:pPr>
        <w:pStyle w:val="ListParagraph"/>
        <w:numPr>
          <w:ilvl w:val="0"/>
          <w:numId w:val="66"/>
        </w:numPr>
        <w:tabs>
          <w:tab w:val="left" w:pos="709"/>
        </w:tabs>
        <w:ind w:left="0" w:firstLine="0"/>
        <w:jc w:val="both"/>
        <w:rPr>
          <w:rFonts w:cs="Arial"/>
        </w:rPr>
      </w:pPr>
      <w:r w:rsidRPr="00D71DB6">
        <w:rPr>
          <w:rFonts w:cs="Arial"/>
        </w:rPr>
        <w:t xml:space="preserve">In respect of asset management, the biennium was the first time the new procedure for carrying out an </w:t>
      </w:r>
      <w:r w:rsidRPr="00B061E3">
        <w:rPr>
          <w:rFonts w:cs="Arial"/>
        </w:rPr>
        <w:t>externalized inventory of assets was implemented.  In 2014, the assets concerned were those valued above 1,000 Swiss francs, as well as works of art and attractive items, regardless of value.  In 2015, the assets concerned were those valued above 5,000 Swiss francs.  This two-phased approach aligned to the biennium framework was aimed at structuring the asset management for both physical recording as well as reporting and financial reporting.  By the end of the biennium, a new policy on asset management was issued, to serve as a basis to establish a more solid system under the framework of the Financial Rules and Regulations.</w:t>
      </w:r>
    </w:p>
    <w:p w:rsidR="001363EE" w:rsidRPr="00B061E3" w:rsidRDefault="001363EE" w:rsidP="001363EE">
      <w:pPr>
        <w:tabs>
          <w:tab w:val="left" w:pos="709"/>
        </w:tabs>
        <w:jc w:val="both"/>
        <w:rPr>
          <w:rFonts w:cs="Arial"/>
          <w:szCs w:val="20"/>
        </w:rPr>
      </w:pPr>
    </w:p>
    <w:p w:rsidR="001363EE" w:rsidRPr="00B061E3" w:rsidRDefault="001363EE" w:rsidP="001363EE">
      <w:pPr>
        <w:pStyle w:val="ListParagraph"/>
        <w:numPr>
          <w:ilvl w:val="0"/>
          <w:numId w:val="66"/>
        </w:numPr>
        <w:tabs>
          <w:tab w:val="left" w:pos="709"/>
        </w:tabs>
        <w:ind w:left="0" w:firstLine="0"/>
        <w:jc w:val="both"/>
        <w:rPr>
          <w:rFonts w:cs="Arial"/>
        </w:rPr>
      </w:pPr>
      <w:r w:rsidRPr="00B061E3">
        <w:rPr>
          <w:rFonts w:cs="Arial"/>
        </w:rPr>
        <w:t xml:space="preserve">The year </w:t>
      </w:r>
      <w:r w:rsidRPr="00FF1C2D">
        <w:rPr>
          <w:rFonts w:cs="Arial"/>
          <w:bCs/>
        </w:rPr>
        <w:t>2015</w:t>
      </w:r>
      <w:r w:rsidRPr="00B061E3">
        <w:rPr>
          <w:rFonts w:cs="Arial"/>
        </w:rPr>
        <w:t xml:space="preserve"> was the first year with a significant increase in the number and complexity of </w:t>
      </w:r>
      <w:r>
        <w:rPr>
          <w:rFonts w:cs="Arial"/>
        </w:rPr>
        <w:t xml:space="preserve">cultural and other </w:t>
      </w:r>
      <w:r w:rsidRPr="00B061E3">
        <w:rPr>
          <w:rFonts w:cs="Arial"/>
        </w:rPr>
        <w:t>events (including simultaneous cultural events).  In 2015, six Member State national day celebrations were hosted on WIPO premises.  In addition, on several occasions, various spaces (including the new WIPO Conference Hall) were rented to external entities, in some cases against payment of a rental fee and/or reimbursement of expenditure incurred in support of those events.</w:t>
      </w:r>
      <w:r w:rsidRPr="00B061E3">
        <w:rPr>
          <w:rStyle w:val="FootnoteReference"/>
          <w:rFonts w:cs="Arial"/>
        </w:rPr>
        <w:footnoteReference w:id="135"/>
      </w:r>
      <w:r w:rsidRPr="00B061E3">
        <w:rPr>
          <w:rFonts w:cs="Arial"/>
        </w:rPr>
        <w:t xml:space="preserve">  </w:t>
      </w:r>
    </w:p>
    <w:p w:rsidR="001363EE" w:rsidRPr="00B061E3" w:rsidRDefault="001363EE" w:rsidP="001363EE">
      <w:pPr>
        <w:tabs>
          <w:tab w:val="left" w:pos="709"/>
        </w:tabs>
        <w:jc w:val="both"/>
        <w:rPr>
          <w:rFonts w:cs="Arial"/>
          <w:szCs w:val="20"/>
        </w:rPr>
      </w:pPr>
    </w:p>
    <w:p w:rsidR="001363EE" w:rsidRDefault="001363EE" w:rsidP="001363EE">
      <w:pPr>
        <w:pStyle w:val="ListParagraph"/>
        <w:numPr>
          <w:ilvl w:val="0"/>
          <w:numId w:val="66"/>
        </w:numPr>
        <w:tabs>
          <w:tab w:val="left" w:pos="709"/>
        </w:tabs>
        <w:ind w:left="0" w:firstLine="0"/>
        <w:jc w:val="both"/>
        <w:rPr>
          <w:rFonts w:cs="Arial"/>
        </w:rPr>
      </w:pPr>
      <w:r w:rsidRPr="00FF1C2D">
        <w:rPr>
          <w:rFonts w:cs="Arial"/>
          <w:bCs/>
        </w:rPr>
        <w:t>Under</w:t>
      </w:r>
      <w:r w:rsidRPr="00B061E3">
        <w:rPr>
          <w:rFonts w:cs="Arial"/>
        </w:rPr>
        <w:t xml:space="preserve"> the WIPO Accessibility Project, and based on recommendations resulting</w:t>
      </w:r>
      <w:r w:rsidRPr="00D71DB6">
        <w:rPr>
          <w:rFonts w:cs="Arial"/>
        </w:rPr>
        <w:t xml:space="preserve"> from audits carried out in 2012 and 2013, a number of improvement measures were implemented during the biennium in several </w:t>
      </w:r>
      <w:r w:rsidRPr="00D20EA6">
        <w:rPr>
          <w:rFonts w:cs="Arial"/>
        </w:rPr>
        <w:t>buildings.  In addition, several features, which had been included in the scope of the New Conference Hall Project and renovation of several levels of the AB Building, were also implemented in the course of 2014</w:t>
      </w:r>
      <w:r>
        <w:rPr>
          <w:rFonts w:cs="Arial"/>
        </w:rPr>
        <w:t> </w:t>
      </w:r>
      <w:r w:rsidRPr="00D20EA6">
        <w:rPr>
          <w:rFonts w:cs="Arial"/>
        </w:rPr>
        <w:t>during the construction and/or renovation phases.  Improvements included:  (i) additional ramps for</w:t>
      </w:r>
      <w:r w:rsidRPr="00D71DB6">
        <w:rPr>
          <w:rFonts w:cs="Arial"/>
        </w:rPr>
        <w:t xml:space="preserve"> wheelchair access (access to interpreters booths in a new meeting room in the NB, access to the podium in the new WIPO Conference Hall, access to interpreters booths in two new meeting rooms on the renovated floor of the AB Building); </w:t>
      </w:r>
      <w:r>
        <w:rPr>
          <w:rFonts w:cs="Arial"/>
        </w:rPr>
        <w:t xml:space="preserve"> </w:t>
      </w:r>
      <w:r w:rsidRPr="00D71DB6">
        <w:rPr>
          <w:rFonts w:cs="Arial"/>
        </w:rPr>
        <w:t xml:space="preserve">and (ii) the lowering of badge readers to be at the level of wheelchair access in the AB, PCT and NB Buildings and the new WIPO Conference Hall, some of which were implemented at no major cost and/or where the features could be integrated in other infrastructure or installations improvement at minimal extra cost.  </w:t>
      </w:r>
      <w:r>
        <w:rPr>
          <w:rFonts w:cs="Arial"/>
        </w:rPr>
        <w:t>In addition, in 2015, a presentation was organized for the staff and for representatives of other Geneva-based UN agencies in order to show the enhancements made in the various buildings and share experience on the methodology used to choose and implement measures.</w:t>
      </w:r>
    </w:p>
    <w:p w:rsidR="001363EE" w:rsidRPr="00D71DB6" w:rsidRDefault="001363EE" w:rsidP="001363EE">
      <w:pPr>
        <w:tabs>
          <w:tab w:val="left" w:pos="709"/>
        </w:tabs>
        <w:jc w:val="both"/>
        <w:rPr>
          <w:rFonts w:cs="Arial"/>
          <w:szCs w:val="20"/>
        </w:rPr>
      </w:pPr>
    </w:p>
    <w:p w:rsidR="001363EE" w:rsidRPr="00D71DB6" w:rsidRDefault="001363EE" w:rsidP="001363EE">
      <w:pPr>
        <w:pStyle w:val="ListParagraph"/>
        <w:numPr>
          <w:ilvl w:val="0"/>
          <w:numId w:val="66"/>
        </w:numPr>
        <w:tabs>
          <w:tab w:val="left" w:pos="709"/>
        </w:tabs>
        <w:ind w:left="0" w:firstLine="0"/>
        <w:jc w:val="both"/>
      </w:pPr>
      <w:r w:rsidRPr="00D71DB6">
        <w:rPr>
          <w:rFonts w:cs="Arial"/>
        </w:rPr>
        <w:t xml:space="preserve">Under the framework of the </w:t>
      </w:r>
      <w:r w:rsidRPr="00D20EA6">
        <w:rPr>
          <w:rFonts w:cs="Arial"/>
        </w:rPr>
        <w:t>WIPO Environmental Responsibility initiati</w:t>
      </w:r>
      <w:r>
        <w:rPr>
          <w:rFonts w:cs="Arial"/>
        </w:rPr>
        <w:t>ve</w:t>
      </w:r>
      <w:r w:rsidRPr="00D71DB6">
        <w:rPr>
          <w:rFonts w:cs="Arial"/>
        </w:rPr>
        <w:t>, a number of activities were undertaken during the biennium, aimed at raising environmental awareness amongst staff and/or taking concrete and practical actions.  These actions related to premises-related issues</w:t>
      </w:r>
      <w:r>
        <w:rPr>
          <w:rFonts w:cs="Arial"/>
        </w:rPr>
        <w:t xml:space="preserve"> and the</w:t>
      </w:r>
      <w:r w:rsidRPr="00D71DB6">
        <w:rPr>
          <w:rFonts w:cs="Arial"/>
        </w:rPr>
        <w:t xml:space="preserve"> use of alternative mean</w:t>
      </w:r>
      <w:r>
        <w:rPr>
          <w:rFonts w:cs="Arial"/>
        </w:rPr>
        <w:t xml:space="preserve">s of commuting to and from work.  Premises-related issues included:  (i) </w:t>
      </w:r>
      <w:r w:rsidRPr="00D71DB6">
        <w:rPr>
          <w:rFonts w:cs="Arial"/>
        </w:rPr>
        <w:t>upgrading of technical installations to more ecological solutions</w:t>
      </w:r>
      <w:r>
        <w:rPr>
          <w:rFonts w:cs="Arial"/>
        </w:rPr>
        <w:t xml:space="preserve">; </w:t>
      </w:r>
      <w:r w:rsidRPr="00D71DB6">
        <w:rPr>
          <w:rFonts w:cs="Arial"/>
        </w:rPr>
        <w:t xml:space="preserve"> </w:t>
      </w:r>
      <w:r>
        <w:rPr>
          <w:rFonts w:cs="Arial"/>
        </w:rPr>
        <w:t xml:space="preserve">(ii) </w:t>
      </w:r>
      <w:r w:rsidRPr="00D71DB6">
        <w:rPr>
          <w:rFonts w:cs="Arial"/>
        </w:rPr>
        <w:t>upgrading of electrical installations</w:t>
      </w:r>
      <w:r>
        <w:rPr>
          <w:rFonts w:cs="Arial"/>
        </w:rPr>
        <w:t>,</w:t>
      </w:r>
      <w:r w:rsidRPr="00D71DB6">
        <w:rPr>
          <w:rFonts w:cs="Arial"/>
        </w:rPr>
        <w:t xml:space="preserve"> reducing electricity consumption under the framework of an agreement with the local electricity provider until 2014</w:t>
      </w:r>
      <w:r>
        <w:rPr>
          <w:rFonts w:cs="Arial"/>
        </w:rPr>
        <w:t xml:space="preserve">; </w:t>
      </w:r>
      <w:r w:rsidRPr="00D71DB6">
        <w:rPr>
          <w:rFonts w:cs="Arial"/>
        </w:rPr>
        <w:t xml:space="preserve"> </w:t>
      </w:r>
      <w:r>
        <w:rPr>
          <w:rFonts w:cs="Arial"/>
        </w:rPr>
        <w:t xml:space="preserve">(iii) NB </w:t>
      </w:r>
      <w:r w:rsidRPr="00D71DB6">
        <w:rPr>
          <w:rFonts w:cs="Arial"/>
        </w:rPr>
        <w:t>renewal of the electricity tariff with the highest percentage of contribution to renewable electricity production in the Canton of Geneva in 2014</w:t>
      </w:r>
      <w:r>
        <w:rPr>
          <w:rFonts w:cs="Arial"/>
        </w:rPr>
        <w:t xml:space="preserve">; </w:t>
      </w:r>
      <w:r w:rsidRPr="00D71DB6">
        <w:rPr>
          <w:rFonts w:cs="Arial"/>
        </w:rPr>
        <w:t xml:space="preserve"> </w:t>
      </w:r>
      <w:r>
        <w:rPr>
          <w:rFonts w:cs="Arial"/>
        </w:rPr>
        <w:t xml:space="preserve">(iv) </w:t>
      </w:r>
      <w:r w:rsidRPr="00D71DB6">
        <w:rPr>
          <w:rFonts w:cs="Arial"/>
        </w:rPr>
        <w:t>introduction of a new environmentally friendly scheme with the new electricity provider since January 2015</w:t>
      </w:r>
      <w:r>
        <w:rPr>
          <w:rFonts w:cs="Arial"/>
        </w:rPr>
        <w:t xml:space="preserve">. </w:t>
      </w:r>
      <w:r w:rsidRPr="00D71DB6">
        <w:rPr>
          <w:rFonts w:cs="Arial"/>
        </w:rPr>
        <w:t xml:space="preserve"> </w:t>
      </w:r>
      <w:r>
        <w:rPr>
          <w:rFonts w:cs="Arial"/>
        </w:rPr>
        <w:t>Actions related to alternative means of commuting included:  (i) </w:t>
      </w:r>
      <w:r w:rsidRPr="00D71DB6">
        <w:rPr>
          <w:rFonts w:cs="Arial"/>
        </w:rPr>
        <w:t>mobility days or months on public transport</w:t>
      </w:r>
      <w:r>
        <w:rPr>
          <w:rFonts w:cs="Arial"/>
        </w:rPr>
        <w:t xml:space="preserve">;  (ii) </w:t>
      </w:r>
      <w:r w:rsidRPr="00D71DB6">
        <w:rPr>
          <w:rFonts w:cs="Arial"/>
        </w:rPr>
        <w:t>free rental of electrical bikes</w:t>
      </w:r>
      <w:r>
        <w:rPr>
          <w:rFonts w:cs="Arial"/>
        </w:rPr>
        <w:t xml:space="preserve">; </w:t>
      </w:r>
      <w:r w:rsidRPr="00D71DB6">
        <w:rPr>
          <w:rFonts w:cs="Arial"/>
        </w:rPr>
        <w:t xml:space="preserve"> and </w:t>
      </w:r>
      <w:r>
        <w:rPr>
          <w:rFonts w:cs="Arial"/>
        </w:rPr>
        <w:t xml:space="preserve">(iii) </w:t>
      </w:r>
      <w:r w:rsidRPr="00D71DB6">
        <w:rPr>
          <w:rFonts w:cs="Arial"/>
        </w:rPr>
        <w:t xml:space="preserve">bike repairs.  In addition, WIPO </w:t>
      </w:r>
      <w:r w:rsidRPr="008F69BE">
        <w:rPr>
          <w:rFonts w:cs="Arial"/>
        </w:rPr>
        <w:t xml:space="preserve">participated in a number of initiatives within the UN-Interagency context, mainly through the United Nations Environment Programme (UNEP) and the Sustainable UN (“SUN”), e.g. participation in the annual collection of data for the Greenhouse Gas (GHG) Calculator, as well as participation in various meetings and fora.  In line with WIPO’s commitment to </w:t>
      </w:r>
      <w:r w:rsidRPr="00220CEF">
        <w:rPr>
          <w:rFonts w:cs="Arial"/>
        </w:rPr>
        <w:t>off-setting</w:t>
      </w:r>
      <w:r w:rsidRPr="008F69BE">
        <w:rPr>
          <w:rFonts w:cs="Arial"/>
        </w:rPr>
        <w:t xml:space="preserve"> carbon emissions </w:t>
      </w:r>
      <w:r w:rsidRPr="008F69BE">
        <w:t>the 2015 International Annual Meeting on Language Arrangements, Documentation and Publications (IAMLADP) was held in June 2015 on the WIPO Campus and was declared a “green” meeting by UNEP in line with UN references. In addition,  in the context of the UN goal to achieve carbon neutrality by 2020, to which WIPO made a commitment</w:t>
      </w:r>
      <w:r w:rsidRPr="00D71DB6">
        <w:t xml:space="preserve"> in September 2014, WIPO purchased </w:t>
      </w:r>
      <w:r>
        <w:t xml:space="preserve">compensation certificates via the United Nations Framework Convention on Climate Change (UNFCCC)  </w:t>
      </w:r>
      <w:r w:rsidRPr="00D71DB6">
        <w:t>from 2014 until 2020</w:t>
      </w:r>
      <w:r>
        <w:t xml:space="preserve">. These certificates were calculated </w:t>
      </w:r>
      <w:r w:rsidRPr="00D71DB6">
        <w:t xml:space="preserve">from the data used for the 2014 GHG calculator established by UNEP for the purposes of the UN contribution to the COP21 in November 2015.  As a consequence, WIPO </w:t>
      </w:r>
      <w:r>
        <w:t>was</w:t>
      </w:r>
      <w:r w:rsidRPr="00D71DB6">
        <w:t xml:space="preserve"> in a position to declare that it has compensated its carbon emissions </w:t>
      </w:r>
      <w:r>
        <w:t xml:space="preserve">until 2020. The 2014/15 biennium was therefore </w:t>
      </w:r>
      <w:r w:rsidRPr="00D71DB6">
        <w:t>the first biennium for this type of achievement by WIPO under the UN-wide 2020 objective.</w:t>
      </w:r>
    </w:p>
    <w:p w:rsidR="001363EE" w:rsidRDefault="001363EE" w:rsidP="001363EE">
      <w:pPr>
        <w:tabs>
          <w:tab w:val="left" w:pos="709"/>
        </w:tabs>
        <w:jc w:val="both"/>
        <w:rPr>
          <w:rFonts w:cs="Arial"/>
          <w:szCs w:val="20"/>
        </w:rPr>
      </w:pPr>
    </w:p>
    <w:p w:rsidR="001363EE" w:rsidRPr="00D71DB6" w:rsidRDefault="001363EE" w:rsidP="001363EE">
      <w:pPr>
        <w:tabs>
          <w:tab w:val="left" w:pos="709"/>
        </w:tabs>
        <w:jc w:val="both"/>
        <w:rPr>
          <w:rFonts w:cs="Arial"/>
          <w:szCs w:val="20"/>
        </w:rPr>
      </w:pPr>
    </w:p>
    <w:p w:rsidR="001363EE" w:rsidRDefault="001363EE" w:rsidP="001363EE">
      <w:r>
        <w:t>P</w:t>
      </w:r>
      <w:r w:rsidRPr="005E6AFC">
        <w:t>ERFORMANCE DATA</w:t>
      </w:r>
    </w:p>
    <w:p w:rsidR="001363EE" w:rsidRPr="00A8525E" w:rsidRDefault="001363EE" w:rsidP="001363EE">
      <w:pPr>
        <w:rPr>
          <w:b/>
          <w:sz w:val="16"/>
          <w:szCs w:val="16"/>
        </w:rPr>
      </w:pPr>
    </w:p>
    <w:tbl>
      <w:tblPr>
        <w:tblW w:w="4867"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056"/>
        <w:gridCol w:w="76"/>
        <w:gridCol w:w="61"/>
        <w:gridCol w:w="2061"/>
        <w:gridCol w:w="272"/>
        <w:gridCol w:w="7"/>
        <w:gridCol w:w="1209"/>
        <w:gridCol w:w="496"/>
        <w:gridCol w:w="76"/>
        <w:gridCol w:w="1908"/>
        <w:gridCol w:w="138"/>
        <w:gridCol w:w="956"/>
      </w:tblGrid>
      <w:tr w:rsidR="001363EE" w:rsidTr="001363EE">
        <w:trPr>
          <w:cantSplit/>
        </w:trPr>
        <w:tc>
          <w:tcPr>
            <w:tcW w:w="5000" w:type="pct"/>
            <w:gridSpan w:val="12"/>
            <w:tcBorders>
              <w:top w:val="single" w:sz="4" w:space="0" w:color="auto"/>
              <w:bottom w:val="single" w:sz="4" w:space="0" w:color="auto"/>
            </w:tcBorders>
            <w:shd w:val="clear" w:color="auto" w:fill="C6D9F1" w:themeFill="text2" w:themeFillTint="33"/>
            <w:vAlign w:val="center"/>
          </w:tcPr>
          <w:p w:rsidR="001363EE" w:rsidRDefault="001363EE" w:rsidP="001363EE">
            <w:pPr>
              <w:keepNext/>
              <w:keepLines/>
              <w:tabs>
                <w:tab w:val="left" w:pos="1452"/>
              </w:tabs>
              <w:spacing w:before="120" w:after="120"/>
              <w:ind w:left="1452" w:hanging="1452"/>
              <w:rPr>
                <w:rFonts w:cs="Arial"/>
                <w:b/>
                <w:bCs/>
                <w:sz w:val="16"/>
                <w:szCs w:val="16"/>
              </w:rPr>
            </w:pPr>
            <w:r w:rsidRPr="00234BEF">
              <w:rPr>
                <w:rFonts w:cs="Arial"/>
                <w:b/>
                <w:bCs/>
                <w:sz w:val="16"/>
                <w:szCs w:val="16"/>
              </w:rPr>
              <w:t>Expected Result</w:t>
            </w:r>
            <w:r>
              <w:rPr>
                <w:rFonts w:cs="Arial"/>
                <w:b/>
                <w:bCs/>
                <w:sz w:val="16"/>
                <w:szCs w:val="16"/>
              </w:rPr>
              <w:t>:</w:t>
            </w:r>
            <w:r>
              <w:rPr>
                <w:rFonts w:cs="Arial"/>
                <w:b/>
                <w:bCs/>
                <w:sz w:val="16"/>
                <w:szCs w:val="16"/>
              </w:rPr>
              <w:tab/>
            </w:r>
            <w:r w:rsidRPr="00F62987">
              <w:rPr>
                <w:rFonts w:cs="Arial"/>
                <w:sz w:val="16"/>
                <w:szCs w:val="16"/>
              </w:rPr>
              <w:t>VIII.5 WIPO effectively interacts and partners with UN and other IGO processes and negotiations</w:t>
            </w:r>
          </w:p>
        </w:tc>
      </w:tr>
      <w:tr w:rsidR="001363EE" w:rsidRPr="006550F0" w:rsidTr="005F75C8">
        <w:trPr>
          <w:cantSplit/>
        </w:trPr>
        <w:tc>
          <w:tcPr>
            <w:tcW w:w="1144" w:type="pct"/>
            <w:gridSpan w:val="2"/>
            <w:tcBorders>
              <w:top w:val="single" w:sz="4" w:space="0" w:color="auto"/>
            </w:tcBorders>
            <w:shd w:val="clear" w:color="auto" w:fill="auto"/>
            <w:vAlign w:val="center"/>
          </w:tcPr>
          <w:p w:rsidR="001363EE" w:rsidRPr="006550F0" w:rsidRDefault="001363EE" w:rsidP="001363EE">
            <w:pPr>
              <w:rPr>
                <w:rFonts w:cs="Arial"/>
                <w:sz w:val="16"/>
                <w:szCs w:val="16"/>
              </w:rPr>
            </w:pPr>
            <w:r w:rsidRPr="006550F0">
              <w:rPr>
                <w:rFonts w:cs="Arial"/>
                <w:b/>
                <w:bCs/>
                <w:sz w:val="16"/>
                <w:szCs w:val="16"/>
              </w:rPr>
              <w:t>Performance Indicators</w:t>
            </w:r>
          </w:p>
        </w:tc>
        <w:tc>
          <w:tcPr>
            <w:tcW w:w="1289" w:type="pct"/>
            <w:gridSpan w:val="4"/>
            <w:tcBorders>
              <w:top w:val="single" w:sz="4" w:space="0" w:color="auto"/>
            </w:tcBorders>
            <w:shd w:val="clear" w:color="auto" w:fill="auto"/>
            <w:vAlign w:val="center"/>
          </w:tcPr>
          <w:p w:rsidR="001363EE" w:rsidRPr="006550F0" w:rsidRDefault="001363EE" w:rsidP="001363EE">
            <w:pPr>
              <w:rPr>
                <w:rFonts w:cs="Arial"/>
                <w:b/>
                <w:bCs/>
                <w:sz w:val="16"/>
                <w:szCs w:val="16"/>
              </w:rPr>
            </w:pPr>
            <w:r w:rsidRPr="006550F0">
              <w:rPr>
                <w:rFonts w:cs="Arial"/>
                <w:b/>
                <w:bCs/>
                <w:sz w:val="16"/>
                <w:szCs w:val="16"/>
              </w:rPr>
              <w:t>Baselines</w:t>
            </w:r>
          </w:p>
        </w:tc>
        <w:tc>
          <w:tcPr>
            <w:tcW w:w="956" w:type="pct"/>
            <w:gridSpan w:val="3"/>
            <w:tcBorders>
              <w:top w:val="single" w:sz="4" w:space="0" w:color="auto"/>
            </w:tcBorders>
            <w:shd w:val="clear" w:color="auto" w:fill="auto"/>
            <w:tcMar>
              <w:top w:w="110" w:type="dxa"/>
            </w:tcMar>
            <w:vAlign w:val="center"/>
          </w:tcPr>
          <w:p w:rsidR="001363EE" w:rsidRPr="006550F0" w:rsidRDefault="001363EE" w:rsidP="001363EE">
            <w:pPr>
              <w:rPr>
                <w:rFonts w:cs="Arial"/>
                <w:b/>
                <w:sz w:val="16"/>
                <w:szCs w:val="16"/>
              </w:rPr>
            </w:pPr>
            <w:r w:rsidRPr="006550F0">
              <w:rPr>
                <w:rFonts w:cs="Arial"/>
                <w:b/>
                <w:sz w:val="16"/>
                <w:szCs w:val="16"/>
              </w:rPr>
              <w:t>Target</w:t>
            </w:r>
            <w:r>
              <w:rPr>
                <w:rFonts w:cs="Arial"/>
                <w:b/>
                <w:sz w:val="16"/>
                <w:szCs w:val="16"/>
              </w:rPr>
              <w:t>s</w:t>
            </w:r>
          </w:p>
        </w:tc>
        <w:tc>
          <w:tcPr>
            <w:tcW w:w="1024" w:type="pct"/>
            <w:tcBorders>
              <w:top w:val="single" w:sz="4" w:space="0" w:color="auto"/>
            </w:tcBorders>
            <w:shd w:val="clear" w:color="auto" w:fill="FFFFFF"/>
            <w:tcMar>
              <w:top w:w="110" w:type="dxa"/>
            </w:tcMar>
            <w:vAlign w:val="center"/>
          </w:tcPr>
          <w:p w:rsidR="001363EE" w:rsidRPr="006550F0" w:rsidRDefault="001363EE" w:rsidP="001363EE">
            <w:pPr>
              <w:rPr>
                <w:rFonts w:cs="Arial"/>
                <w:sz w:val="16"/>
                <w:szCs w:val="16"/>
              </w:rPr>
            </w:pPr>
            <w:r w:rsidRPr="006550F0">
              <w:rPr>
                <w:rFonts w:cs="Arial"/>
                <w:b/>
                <w:bCs/>
                <w:sz w:val="16"/>
                <w:szCs w:val="16"/>
              </w:rPr>
              <w:t>Performance Data</w:t>
            </w:r>
          </w:p>
        </w:tc>
        <w:tc>
          <w:tcPr>
            <w:tcW w:w="587" w:type="pct"/>
            <w:gridSpan w:val="2"/>
            <w:tcBorders>
              <w:top w:val="single" w:sz="4" w:space="0" w:color="auto"/>
            </w:tcBorders>
            <w:shd w:val="clear" w:color="auto" w:fill="auto"/>
            <w:tcMar>
              <w:top w:w="110" w:type="dxa"/>
            </w:tcMar>
            <w:vAlign w:val="center"/>
          </w:tcPr>
          <w:p w:rsidR="001363EE" w:rsidRPr="006550F0" w:rsidRDefault="001363EE" w:rsidP="001363EE">
            <w:pPr>
              <w:keepNext/>
              <w:keepLines/>
              <w:jc w:val="center"/>
              <w:rPr>
                <w:rFonts w:cs="Arial"/>
                <w:b/>
                <w:bCs/>
                <w:sz w:val="16"/>
                <w:szCs w:val="16"/>
              </w:rPr>
            </w:pPr>
            <w:r w:rsidRPr="006550F0">
              <w:rPr>
                <w:rFonts w:cs="Arial"/>
                <w:b/>
                <w:bCs/>
                <w:sz w:val="16"/>
                <w:szCs w:val="16"/>
              </w:rPr>
              <w:t>TLS</w:t>
            </w:r>
          </w:p>
        </w:tc>
      </w:tr>
      <w:tr w:rsidR="001363EE" w:rsidTr="005F75C8">
        <w:trPr>
          <w:cantSplit/>
        </w:trPr>
        <w:tc>
          <w:tcPr>
            <w:tcW w:w="1144" w:type="pct"/>
            <w:gridSpan w:val="2"/>
            <w:shd w:val="clear" w:color="auto" w:fill="auto"/>
          </w:tcPr>
          <w:p w:rsidR="001363EE" w:rsidRPr="00FE03FF" w:rsidRDefault="001363EE" w:rsidP="001363EE">
            <w:pPr>
              <w:rPr>
                <w:rFonts w:cs="Arial"/>
                <w:sz w:val="16"/>
                <w:szCs w:val="16"/>
              </w:rPr>
            </w:pPr>
            <w:r w:rsidRPr="004B7039">
              <w:rPr>
                <w:rFonts w:cs="Arial"/>
                <w:sz w:val="16"/>
                <w:szCs w:val="16"/>
              </w:rPr>
              <w:t>HLCM and Subsidiary Networks Closed Recommendations</w:t>
            </w:r>
          </w:p>
        </w:tc>
        <w:tc>
          <w:tcPr>
            <w:tcW w:w="1289" w:type="pct"/>
            <w:gridSpan w:val="4"/>
            <w:shd w:val="clear" w:color="auto" w:fill="auto"/>
          </w:tcPr>
          <w:p w:rsidR="001363EE" w:rsidRPr="00252B78" w:rsidRDefault="001363EE" w:rsidP="001363EE">
            <w:pPr>
              <w:rPr>
                <w:color w:val="002060"/>
                <w:sz w:val="16"/>
                <w:szCs w:val="16"/>
              </w:rPr>
            </w:pPr>
            <w:r w:rsidRPr="00252B78">
              <w:rPr>
                <w:i/>
                <w:color w:val="002060"/>
                <w:sz w:val="16"/>
                <w:szCs w:val="16"/>
              </w:rPr>
              <w:t>Updated Baseline end 2013:</w:t>
            </w:r>
            <w:r w:rsidRPr="00252B78">
              <w:rPr>
                <w:color w:val="002060"/>
                <w:sz w:val="16"/>
                <w:szCs w:val="16"/>
              </w:rPr>
              <w:t xml:space="preserve"> </w:t>
            </w:r>
            <w:r>
              <w:rPr>
                <w:color w:val="002060"/>
                <w:sz w:val="16"/>
                <w:szCs w:val="16"/>
              </w:rPr>
              <w:t xml:space="preserve"> 13 of the 36 outstanding </w:t>
            </w:r>
            <w:r w:rsidRPr="00A97199">
              <w:rPr>
                <w:color w:val="002060"/>
                <w:sz w:val="16"/>
                <w:szCs w:val="16"/>
              </w:rPr>
              <w:t>Joint Inspection Unit</w:t>
            </w:r>
            <w:r>
              <w:rPr>
                <w:color w:val="002060"/>
                <w:sz w:val="16"/>
                <w:szCs w:val="16"/>
              </w:rPr>
              <w:t xml:space="preserve"> (JIU)</w:t>
            </w:r>
            <w:r w:rsidRPr="00A97199">
              <w:rPr>
                <w:color w:val="002060"/>
                <w:sz w:val="16"/>
                <w:szCs w:val="16"/>
              </w:rPr>
              <w:t>/</w:t>
            </w:r>
            <w:r>
              <w:rPr>
                <w:color w:val="002060"/>
                <w:sz w:val="16"/>
                <w:szCs w:val="16"/>
              </w:rPr>
              <w:t xml:space="preserve"> </w:t>
            </w:r>
            <w:r w:rsidRPr="00A97199">
              <w:rPr>
                <w:color w:val="002060"/>
                <w:sz w:val="16"/>
                <w:szCs w:val="16"/>
              </w:rPr>
              <w:t xml:space="preserve">Legislative Body </w:t>
            </w:r>
            <w:r>
              <w:rPr>
                <w:color w:val="002060"/>
                <w:sz w:val="16"/>
                <w:szCs w:val="16"/>
              </w:rPr>
              <w:t>recommendations were closed in 2013 (36%)</w:t>
            </w:r>
          </w:p>
          <w:p w:rsidR="001363EE" w:rsidRPr="008225D9" w:rsidRDefault="001363EE" w:rsidP="001363EE">
            <w:pPr>
              <w:rPr>
                <w:rFonts w:cs="Arial"/>
                <w:i/>
                <w:sz w:val="8"/>
                <w:szCs w:val="8"/>
              </w:rPr>
            </w:pPr>
          </w:p>
          <w:p w:rsidR="001363EE" w:rsidRPr="00E813BA" w:rsidRDefault="001363EE" w:rsidP="001363EE">
            <w:pPr>
              <w:rPr>
                <w:rFonts w:cstheme="minorBidi"/>
                <w:szCs w:val="22"/>
              </w:rPr>
            </w:pPr>
            <w:r>
              <w:rPr>
                <w:rFonts w:cs="Arial"/>
                <w:i/>
                <w:sz w:val="16"/>
                <w:szCs w:val="16"/>
              </w:rPr>
              <w:t xml:space="preserve">Original </w:t>
            </w:r>
            <w:r w:rsidRPr="004608BD">
              <w:rPr>
                <w:rFonts w:cs="Arial"/>
                <w:i/>
                <w:sz w:val="16"/>
                <w:szCs w:val="16"/>
              </w:rPr>
              <w:t>Baseline</w:t>
            </w:r>
            <w:r>
              <w:rPr>
                <w:rFonts w:cs="Arial"/>
                <w:i/>
                <w:sz w:val="16"/>
                <w:szCs w:val="16"/>
              </w:rPr>
              <w:t xml:space="preserve"> P&amp;B 2014/15:  </w:t>
            </w:r>
            <w:r w:rsidRPr="005C1F88">
              <w:rPr>
                <w:rFonts w:cs="Arial"/>
                <w:sz w:val="16"/>
                <w:szCs w:val="16"/>
              </w:rPr>
              <w:t>Percentage of closed recommendations on January 1 2013</w:t>
            </w:r>
          </w:p>
        </w:tc>
        <w:tc>
          <w:tcPr>
            <w:tcW w:w="956" w:type="pct"/>
            <w:gridSpan w:val="3"/>
            <w:shd w:val="clear" w:color="auto" w:fill="auto"/>
            <w:tcMar>
              <w:top w:w="110" w:type="dxa"/>
            </w:tcMar>
          </w:tcPr>
          <w:p w:rsidR="001363EE" w:rsidRPr="006550F0" w:rsidRDefault="001363EE" w:rsidP="001363EE">
            <w:pPr>
              <w:rPr>
                <w:rFonts w:cs="Arial"/>
                <w:sz w:val="16"/>
                <w:szCs w:val="16"/>
                <w:lang w:bidi="th-TH"/>
              </w:rPr>
            </w:pPr>
            <w:r w:rsidRPr="00E813BA">
              <w:rPr>
                <w:rFonts w:cs="Arial"/>
                <w:sz w:val="16"/>
                <w:szCs w:val="16"/>
                <w:lang w:bidi="th-TH"/>
              </w:rPr>
              <w:t>Percentage of closed recommendations on December 31,</w:t>
            </w:r>
            <w:r>
              <w:rPr>
                <w:rFonts w:cs="Arial"/>
                <w:sz w:val="16"/>
                <w:szCs w:val="16"/>
                <w:lang w:bidi="th-TH"/>
              </w:rPr>
              <w:t> </w:t>
            </w:r>
            <w:r w:rsidRPr="00E813BA">
              <w:rPr>
                <w:rFonts w:cs="Arial"/>
                <w:sz w:val="16"/>
                <w:szCs w:val="16"/>
                <w:lang w:bidi="th-TH"/>
              </w:rPr>
              <w:t>201</w:t>
            </w:r>
            <w:r>
              <w:rPr>
                <w:rFonts w:cs="Arial"/>
                <w:sz w:val="16"/>
                <w:szCs w:val="16"/>
                <w:lang w:bidi="th-TH"/>
              </w:rPr>
              <w:t>5</w:t>
            </w:r>
            <w:r>
              <w:rPr>
                <w:rStyle w:val="FootnoteReference"/>
                <w:rFonts w:cs="Arial"/>
                <w:sz w:val="16"/>
                <w:szCs w:val="16"/>
                <w:lang w:bidi="th-TH"/>
              </w:rPr>
              <w:footnoteReference w:id="136"/>
            </w:r>
          </w:p>
        </w:tc>
        <w:tc>
          <w:tcPr>
            <w:tcW w:w="1024" w:type="pct"/>
            <w:shd w:val="clear" w:color="auto" w:fill="FFFFFF"/>
            <w:tcMar>
              <w:top w:w="110" w:type="dxa"/>
            </w:tcMar>
          </w:tcPr>
          <w:p w:rsidR="001363EE" w:rsidRPr="008F69BE" w:rsidRDefault="001363EE" w:rsidP="001363EE">
            <w:pPr>
              <w:rPr>
                <w:rFonts w:cs="Arial"/>
                <w:sz w:val="16"/>
                <w:szCs w:val="16"/>
                <w:lang w:bidi="th-TH"/>
              </w:rPr>
            </w:pPr>
            <w:r w:rsidRPr="00220CEF">
              <w:rPr>
                <w:rFonts w:cs="Arial"/>
                <w:sz w:val="16"/>
                <w:szCs w:val="16"/>
                <w:lang w:bidi="th-TH"/>
              </w:rPr>
              <w:t>In 2014/15, 64 per cent (2</w:t>
            </w:r>
            <w:r>
              <w:rPr>
                <w:rFonts w:cs="Arial"/>
                <w:sz w:val="16"/>
                <w:szCs w:val="16"/>
                <w:lang w:bidi="th-TH"/>
              </w:rPr>
              <w:t>3 </w:t>
            </w:r>
            <w:r w:rsidRPr="00220CEF">
              <w:rPr>
                <w:rFonts w:cs="Arial"/>
                <w:sz w:val="16"/>
                <w:szCs w:val="16"/>
                <w:lang w:bidi="th-TH"/>
              </w:rPr>
              <w:t>out of 3</w:t>
            </w:r>
            <w:r>
              <w:rPr>
                <w:rFonts w:cs="Arial"/>
                <w:sz w:val="16"/>
                <w:szCs w:val="16"/>
                <w:lang w:bidi="th-TH"/>
              </w:rPr>
              <w:t>6</w:t>
            </w:r>
            <w:r w:rsidRPr="00220CEF">
              <w:rPr>
                <w:rFonts w:cs="Arial"/>
                <w:sz w:val="16"/>
                <w:szCs w:val="16"/>
                <w:lang w:bidi="th-TH"/>
              </w:rPr>
              <w:t xml:space="preserve">) of the outstanding Joint Inspection Unit (JIU) recommendations addressed to the WIPO Legislative Bodies were closed.  </w:t>
            </w:r>
          </w:p>
        </w:tc>
        <w:tc>
          <w:tcPr>
            <w:tcW w:w="587" w:type="pct"/>
            <w:gridSpan w:val="2"/>
            <w:shd w:val="clear" w:color="auto" w:fill="auto"/>
            <w:tcMar>
              <w:top w:w="110" w:type="dxa"/>
            </w:tcMar>
          </w:tcPr>
          <w:p w:rsidR="001363EE" w:rsidRPr="000F5A62" w:rsidRDefault="001363EE" w:rsidP="001363EE">
            <w:pPr>
              <w:jc w:val="center"/>
              <w:rPr>
                <w:sz w:val="13"/>
                <w:szCs w:val="13"/>
              </w:rPr>
            </w:pPr>
            <w:r w:rsidRPr="00B34482">
              <w:rPr>
                <w:rFonts w:cs="Arial"/>
                <w:b/>
                <w:bCs/>
                <w:color w:val="808080"/>
                <w:sz w:val="13"/>
                <w:szCs w:val="13"/>
              </w:rPr>
              <w:t>Not Assessable</w:t>
            </w:r>
          </w:p>
          <w:p w:rsidR="001363EE" w:rsidRPr="00D4506D" w:rsidRDefault="001363EE" w:rsidP="001363EE">
            <w:pPr>
              <w:keepNext/>
              <w:keepLines/>
              <w:jc w:val="center"/>
              <w:rPr>
                <w:rFonts w:cs="Arial"/>
                <w:b/>
                <w:bCs/>
                <w:color w:val="808080"/>
                <w:sz w:val="16"/>
                <w:szCs w:val="16"/>
              </w:rPr>
            </w:pPr>
          </w:p>
        </w:tc>
      </w:tr>
      <w:tr w:rsidR="001363EE" w:rsidTr="005F75C8">
        <w:trPr>
          <w:cantSplit/>
        </w:trPr>
        <w:tc>
          <w:tcPr>
            <w:tcW w:w="1144" w:type="pct"/>
            <w:gridSpan w:val="2"/>
            <w:shd w:val="clear" w:color="auto" w:fill="auto"/>
          </w:tcPr>
          <w:p w:rsidR="001363EE" w:rsidRPr="00FE03FF" w:rsidRDefault="001363EE" w:rsidP="001363EE">
            <w:pPr>
              <w:rPr>
                <w:rFonts w:cs="Arial"/>
                <w:sz w:val="16"/>
                <w:szCs w:val="16"/>
              </w:rPr>
            </w:pPr>
            <w:r w:rsidRPr="004B7039">
              <w:rPr>
                <w:rFonts w:cs="Arial"/>
                <w:sz w:val="16"/>
                <w:szCs w:val="16"/>
              </w:rPr>
              <w:t>% of locally sourced good</w:t>
            </w:r>
            <w:r>
              <w:rPr>
                <w:rFonts w:cs="Arial"/>
                <w:sz w:val="16"/>
                <w:szCs w:val="16"/>
              </w:rPr>
              <w:t>s</w:t>
            </w:r>
            <w:r w:rsidRPr="004B7039">
              <w:rPr>
                <w:rFonts w:cs="Arial"/>
                <w:sz w:val="16"/>
                <w:szCs w:val="16"/>
              </w:rPr>
              <w:t xml:space="preserve"> and services compared to total amount procured for development activity</w:t>
            </w:r>
          </w:p>
        </w:tc>
        <w:tc>
          <w:tcPr>
            <w:tcW w:w="1289" w:type="pct"/>
            <w:gridSpan w:val="4"/>
            <w:shd w:val="clear" w:color="auto" w:fill="auto"/>
          </w:tcPr>
          <w:p w:rsidR="001363EE" w:rsidRDefault="001363EE" w:rsidP="001363EE">
            <w:pPr>
              <w:rPr>
                <w:color w:val="002060"/>
                <w:sz w:val="16"/>
                <w:szCs w:val="16"/>
              </w:rPr>
            </w:pPr>
            <w:r>
              <w:rPr>
                <w:i/>
                <w:color w:val="002060"/>
                <w:sz w:val="16"/>
                <w:szCs w:val="16"/>
              </w:rPr>
              <w:t>Updated Baseline end 20</w:t>
            </w:r>
            <w:r w:rsidRPr="006550F0">
              <w:rPr>
                <w:i/>
                <w:color w:val="002060"/>
                <w:sz w:val="16"/>
                <w:szCs w:val="16"/>
              </w:rPr>
              <w:t>1</w:t>
            </w:r>
            <w:r>
              <w:rPr>
                <w:i/>
                <w:color w:val="002060"/>
                <w:sz w:val="16"/>
                <w:szCs w:val="16"/>
              </w:rPr>
              <w:t>3</w:t>
            </w:r>
            <w:r w:rsidRPr="006550F0">
              <w:rPr>
                <w:i/>
                <w:color w:val="002060"/>
                <w:sz w:val="16"/>
                <w:szCs w:val="16"/>
              </w:rPr>
              <w:t>:</w:t>
            </w:r>
            <w:r>
              <w:rPr>
                <w:i/>
                <w:color w:val="002060"/>
                <w:sz w:val="16"/>
                <w:szCs w:val="16"/>
              </w:rPr>
              <w:t xml:space="preserve">  </w:t>
            </w:r>
            <w:r w:rsidRPr="005C1F88">
              <w:rPr>
                <w:color w:val="002060"/>
                <w:sz w:val="16"/>
                <w:szCs w:val="16"/>
              </w:rPr>
              <w:t>48%</w:t>
            </w:r>
            <w:r w:rsidRPr="006550F0">
              <w:rPr>
                <w:color w:val="002060"/>
                <w:sz w:val="16"/>
                <w:szCs w:val="16"/>
              </w:rPr>
              <w:t xml:space="preserve"> </w:t>
            </w:r>
          </w:p>
          <w:p w:rsidR="001363EE" w:rsidRPr="00E813BA" w:rsidRDefault="001363EE" w:rsidP="001363EE">
            <w:pPr>
              <w:rPr>
                <w:rFonts w:cstheme="minorBidi"/>
                <w:color w:val="002060"/>
                <w:sz w:val="16"/>
                <w:szCs w:val="16"/>
              </w:rPr>
            </w:pPr>
          </w:p>
          <w:p w:rsidR="001363EE" w:rsidRPr="00E813BA" w:rsidRDefault="001363EE" w:rsidP="001363EE">
            <w:pPr>
              <w:rPr>
                <w:rFonts w:cstheme="minorBidi"/>
                <w:szCs w:val="22"/>
              </w:rPr>
            </w:pPr>
            <w:r>
              <w:rPr>
                <w:rFonts w:cs="Arial"/>
                <w:i/>
                <w:sz w:val="16"/>
                <w:szCs w:val="16"/>
              </w:rPr>
              <w:t xml:space="preserve">Original </w:t>
            </w:r>
            <w:r w:rsidRPr="004608BD">
              <w:rPr>
                <w:rFonts w:cs="Arial"/>
                <w:i/>
                <w:sz w:val="16"/>
                <w:szCs w:val="16"/>
              </w:rPr>
              <w:t>Baseline</w:t>
            </w:r>
            <w:r>
              <w:rPr>
                <w:rFonts w:cs="Arial"/>
                <w:i/>
                <w:sz w:val="16"/>
                <w:szCs w:val="16"/>
              </w:rPr>
              <w:t xml:space="preserve"> P&amp;B 2014/15:  </w:t>
            </w:r>
            <w:r w:rsidRPr="005C1F88">
              <w:rPr>
                <w:rFonts w:cs="Arial"/>
                <w:sz w:val="16"/>
                <w:szCs w:val="16"/>
              </w:rPr>
              <w:t>2013 result</w:t>
            </w:r>
          </w:p>
        </w:tc>
        <w:tc>
          <w:tcPr>
            <w:tcW w:w="956" w:type="pct"/>
            <w:gridSpan w:val="3"/>
            <w:shd w:val="clear" w:color="auto" w:fill="auto"/>
            <w:tcMar>
              <w:top w:w="110" w:type="dxa"/>
            </w:tcMar>
          </w:tcPr>
          <w:p w:rsidR="001363EE" w:rsidRPr="006550F0" w:rsidRDefault="001363EE" w:rsidP="001363EE">
            <w:pPr>
              <w:rPr>
                <w:rFonts w:ascii="ArialMT" w:hAnsi="ArialMT" w:cs="ArialMT"/>
                <w:sz w:val="16"/>
                <w:szCs w:val="16"/>
              </w:rPr>
            </w:pPr>
            <w:r w:rsidRPr="004A242B">
              <w:rPr>
                <w:rFonts w:cs="Arial"/>
                <w:sz w:val="16"/>
                <w:szCs w:val="16"/>
                <w:lang w:bidi="th-TH"/>
              </w:rPr>
              <w:t>2013 + 5%</w:t>
            </w:r>
          </w:p>
        </w:tc>
        <w:tc>
          <w:tcPr>
            <w:tcW w:w="1024" w:type="pct"/>
            <w:shd w:val="clear" w:color="auto" w:fill="FFFFFF"/>
            <w:tcMar>
              <w:top w:w="110" w:type="dxa"/>
            </w:tcMar>
          </w:tcPr>
          <w:p w:rsidR="001363EE" w:rsidRDefault="001363EE" w:rsidP="001363EE">
            <w:pPr>
              <w:rPr>
                <w:rFonts w:cs="Arial"/>
                <w:sz w:val="16"/>
                <w:szCs w:val="16"/>
                <w:lang w:bidi="th-TH"/>
              </w:rPr>
            </w:pPr>
            <w:r>
              <w:rPr>
                <w:rFonts w:cs="Arial"/>
                <w:sz w:val="16"/>
                <w:szCs w:val="16"/>
                <w:lang w:bidi="th-TH"/>
              </w:rPr>
              <w:t>2014 : 45%</w:t>
            </w:r>
          </w:p>
          <w:p w:rsidR="001363EE" w:rsidRDefault="001363EE" w:rsidP="001363EE">
            <w:pPr>
              <w:rPr>
                <w:rFonts w:cs="Arial"/>
                <w:sz w:val="16"/>
                <w:szCs w:val="16"/>
                <w:highlight w:val="yellow"/>
                <w:lang w:bidi="th-TH"/>
              </w:rPr>
            </w:pPr>
          </w:p>
          <w:p w:rsidR="001363EE" w:rsidRDefault="001363EE" w:rsidP="001363EE">
            <w:pPr>
              <w:rPr>
                <w:rFonts w:cs="Arial"/>
                <w:sz w:val="16"/>
                <w:szCs w:val="16"/>
                <w:highlight w:val="yellow"/>
                <w:lang w:bidi="th-TH"/>
              </w:rPr>
            </w:pPr>
          </w:p>
          <w:p w:rsidR="001363EE" w:rsidRPr="006550F0" w:rsidRDefault="001363EE" w:rsidP="001363EE">
            <w:pPr>
              <w:rPr>
                <w:rFonts w:cs="Arial"/>
                <w:sz w:val="16"/>
                <w:szCs w:val="16"/>
                <w:lang w:bidi="th-TH"/>
              </w:rPr>
            </w:pPr>
            <w:r w:rsidRPr="00B50DDE">
              <w:rPr>
                <w:rFonts w:cs="Arial"/>
                <w:sz w:val="16"/>
                <w:szCs w:val="16"/>
                <w:lang w:bidi="th-TH"/>
              </w:rPr>
              <w:t>2015 :</w:t>
            </w:r>
            <w:r>
              <w:rPr>
                <w:rFonts w:cs="Arial"/>
                <w:sz w:val="16"/>
                <w:szCs w:val="16"/>
                <w:lang w:bidi="th-TH"/>
              </w:rPr>
              <w:t xml:space="preserve"> 57%</w:t>
            </w:r>
          </w:p>
        </w:tc>
        <w:tc>
          <w:tcPr>
            <w:tcW w:w="587" w:type="pct"/>
            <w:gridSpan w:val="2"/>
            <w:shd w:val="clear" w:color="auto" w:fill="auto"/>
            <w:tcMar>
              <w:top w:w="110" w:type="dxa"/>
            </w:tcMar>
          </w:tcPr>
          <w:p w:rsidR="001363EE" w:rsidRDefault="001363EE" w:rsidP="001363EE">
            <w:pPr>
              <w:jc w:val="center"/>
              <w:rPr>
                <w:rFonts w:cs="Arial"/>
                <w:b/>
                <w:bCs/>
                <w:color w:val="FF0000"/>
                <w:sz w:val="16"/>
                <w:szCs w:val="16"/>
              </w:rPr>
            </w:pPr>
            <w:r>
              <w:rPr>
                <w:rFonts w:cs="Arial"/>
                <w:b/>
                <w:bCs/>
                <w:color w:val="FF0000"/>
                <w:sz w:val="16"/>
                <w:szCs w:val="16"/>
              </w:rPr>
              <w:t>Not Achieved</w:t>
            </w:r>
          </w:p>
          <w:p w:rsidR="001363EE" w:rsidRDefault="001363EE" w:rsidP="001363EE">
            <w:pPr>
              <w:keepNext/>
              <w:keepLines/>
              <w:jc w:val="center"/>
              <w:rPr>
                <w:rFonts w:cs="Arial"/>
                <w:b/>
                <w:bCs/>
                <w:color w:val="FF0000"/>
                <w:sz w:val="16"/>
                <w:szCs w:val="16"/>
              </w:rPr>
            </w:pPr>
          </w:p>
          <w:p w:rsidR="001363EE" w:rsidRPr="00BA6F3B" w:rsidRDefault="001363EE" w:rsidP="001363EE">
            <w:pPr>
              <w:jc w:val="center"/>
              <w:rPr>
                <w:color w:val="00B050"/>
              </w:rPr>
            </w:pPr>
            <w:r w:rsidRPr="00BA6F3B">
              <w:rPr>
                <w:rFonts w:cs="Arial"/>
                <w:b/>
                <w:bCs/>
                <w:color w:val="00B050"/>
                <w:sz w:val="16"/>
                <w:szCs w:val="16"/>
              </w:rPr>
              <w:t>Fully Achieved</w:t>
            </w:r>
          </w:p>
          <w:p w:rsidR="001363EE" w:rsidRPr="00AD47BD" w:rsidRDefault="001363EE" w:rsidP="001363EE">
            <w:pPr>
              <w:keepNext/>
              <w:keepLines/>
              <w:jc w:val="center"/>
              <w:rPr>
                <w:rFonts w:cs="Arial"/>
                <w:b/>
                <w:bCs/>
                <w:color w:val="FF0000"/>
                <w:sz w:val="16"/>
                <w:szCs w:val="16"/>
              </w:rPr>
            </w:pPr>
          </w:p>
        </w:tc>
      </w:tr>
      <w:tr w:rsidR="001363EE" w:rsidRPr="0017565C" w:rsidTr="005F75C8">
        <w:trPr>
          <w:cantSplit/>
        </w:trPr>
        <w:tc>
          <w:tcPr>
            <w:tcW w:w="1144" w:type="pct"/>
            <w:gridSpan w:val="2"/>
            <w:shd w:val="clear" w:color="auto" w:fill="auto"/>
          </w:tcPr>
          <w:p w:rsidR="001363EE" w:rsidRPr="00FE03FF" w:rsidRDefault="001363EE" w:rsidP="001363EE">
            <w:pPr>
              <w:rPr>
                <w:rFonts w:cs="Arial"/>
                <w:sz w:val="16"/>
                <w:szCs w:val="16"/>
              </w:rPr>
            </w:pPr>
            <w:r w:rsidRPr="004B7039">
              <w:rPr>
                <w:rFonts w:cs="Arial"/>
                <w:sz w:val="16"/>
                <w:szCs w:val="16"/>
              </w:rPr>
              <w:t>% of spend subject to UN leverage (either common tender or piggy backing)</w:t>
            </w:r>
          </w:p>
        </w:tc>
        <w:tc>
          <w:tcPr>
            <w:tcW w:w="1289" w:type="pct"/>
            <w:gridSpan w:val="4"/>
            <w:shd w:val="clear" w:color="auto" w:fill="auto"/>
          </w:tcPr>
          <w:p w:rsidR="001363EE" w:rsidRPr="006550F0" w:rsidRDefault="001363EE" w:rsidP="001363EE">
            <w:pPr>
              <w:rPr>
                <w:color w:val="002060"/>
                <w:sz w:val="16"/>
                <w:szCs w:val="16"/>
              </w:rPr>
            </w:pPr>
            <w:r>
              <w:rPr>
                <w:i/>
                <w:color w:val="002060"/>
                <w:sz w:val="16"/>
                <w:szCs w:val="16"/>
              </w:rPr>
              <w:t>Updated Baseline end 20</w:t>
            </w:r>
            <w:r w:rsidRPr="006550F0">
              <w:rPr>
                <w:i/>
                <w:color w:val="002060"/>
                <w:sz w:val="16"/>
                <w:szCs w:val="16"/>
              </w:rPr>
              <w:t>1</w:t>
            </w:r>
            <w:r>
              <w:rPr>
                <w:i/>
                <w:color w:val="002060"/>
                <w:sz w:val="16"/>
                <w:szCs w:val="16"/>
              </w:rPr>
              <w:t>3</w:t>
            </w:r>
            <w:r w:rsidRPr="006550F0">
              <w:rPr>
                <w:i/>
                <w:color w:val="002060"/>
                <w:sz w:val="16"/>
                <w:szCs w:val="16"/>
              </w:rPr>
              <w:t>:</w:t>
            </w:r>
            <w:r>
              <w:rPr>
                <w:i/>
                <w:color w:val="002060"/>
                <w:sz w:val="16"/>
                <w:szCs w:val="16"/>
              </w:rPr>
              <w:t xml:space="preserve">  </w:t>
            </w:r>
            <w:r w:rsidRPr="005C1F88">
              <w:rPr>
                <w:color w:val="002060"/>
                <w:sz w:val="16"/>
                <w:szCs w:val="16"/>
              </w:rPr>
              <w:t>4%</w:t>
            </w:r>
            <w:r w:rsidRPr="006550F0">
              <w:rPr>
                <w:color w:val="002060"/>
                <w:sz w:val="16"/>
                <w:szCs w:val="16"/>
              </w:rPr>
              <w:t xml:space="preserve"> </w:t>
            </w:r>
          </w:p>
          <w:p w:rsidR="001363EE" w:rsidRPr="008225D9" w:rsidRDefault="001363EE" w:rsidP="001363EE">
            <w:pPr>
              <w:rPr>
                <w:rFonts w:cs="Arial"/>
                <w:i/>
                <w:sz w:val="8"/>
                <w:szCs w:val="8"/>
              </w:rPr>
            </w:pPr>
          </w:p>
          <w:p w:rsidR="001363EE" w:rsidRPr="00E813BA" w:rsidRDefault="001363EE" w:rsidP="001363EE">
            <w:pPr>
              <w:rPr>
                <w:rFonts w:cstheme="minorBidi"/>
                <w:szCs w:val="22"/>
              </w:rPr>
            </w:pPr>
            <w:r>
              <w:rPr>
                <w:rFonts w:cs="Arial"/>
                <w:i/>
                <w:sz w:val="16"/>
                <w:szCs w:val="16"/>
              </w:rPr>
              <w:t xml:space="preserve">Original </w:t>
            </w:r>
            <w:r w:rsidRPr="004608BD">
              <w:rPr>
                <w:rFonts w:cs="Arial"/>
                <w:i/>
                <w:sz w:val="16"/>
                <w:szCs w:val="16"/>
              </w:rPr>
              <w:t>Baseline</w:t>
            </w:r>
            <w:r>
              <w:rPr>
                <w:rFonts w:cs="Arial"/>
                <w:i/>
                <w:sz w:val="16"/>
                <w:szCs w:val="16"/>
              </w:rPr>
              <w:t xml:space="preserve"> P&amp;B 2014/15:  </w:t>
            </w:r>
            <w:r w:rsidRPr="005C1F88">
              <w:rPr>
                <w:rFonts w:cs="Arial"/>
                <w:sz w:val="16"/>
                <w:szCs w:val="16"/>
              </w:rPr>
              <w:t>2013 result</w:t>
            </w:r>
          </w:p>
        </w:tc>
        <w:tc>
          <w:tcPr>
            <w:tcW w:w="956" w:type="pct"/>
            <w:gridSpan w:val="3"/>
            <w:shd w:val="clear" w:color="auto" w:fill="auto"/>
            <w:tcMar>
              <w:top w:w="110" w:type="dxa"/>
            </w:tcMar>
          </w:tcPr>
          <w:p w:rsidR="001363EE" w:rsidRPr="004A242B" w:rsidRDefault="001363EE" w:rsidP="001363EE">
            <w:pPr>
              <w:rPr>
                <w:color w:val="002060"/>
                <w:sz w:val="16"/>
                <w:szCs w:val="16"/>
              </w:rPr>
            </w:pPr>
            <w:r w:rsidRPr="004A242B">
              <w:rPr>
                <w:color w:val="002060"/>
                <w:sz w:val="16"/>
                <w:szCs w:val="16"/>
              </w:rPr>
              <w:t xml:space="preserve">Defined Target: 4% </w:t>
            </w:r>
          </w:p>
          <w:p w:rsidR="001363EE" w:rsidRPr="004A242B" w:rsidRDefault="001363EE" w:rsidP="001363EE">
            <w:pPr>
              <w:rPr>
                <w:rFonts w:cs="Arial"/>
                <w:sz w:val="8"/>
                <w:szCs w:val="8"/>
              </w:rPr>
            </w:pPr>
          </w:p>
          <w:p w:rsidR="001363EE" w:rsidRDefault="001363EE" w:rsidP="001363EE">
            <w:pPr>
              <w:rPr>
                <w:rFonts w:cs="Arial"/>
                <w:sz w:val="16"/>
                <w:szCs w:val="16"/>
              </w:rPr>
            </w:pPr>
            <w:r w:rsidRPr="004A242B">
              <w:rPr>
                <w:rFonts w:cs="Arial"/>
                <w:sz w:val="16"/>
                <w:szCs w:val="16"/>
              </w:rPr>
              <w:t>Original Target P&amp;B 2014/15: tbd</w:t>
            </w:r>
          </w:p>
          <w:p w:rsidR="001363EE" w:rsidRPr="00E813BA" w:rsidRDefault="001363EE" w:rsidP="001363EE">
            <w:pPr>
              <w:rPr>
                <w:rFonts w:cstheme="minorBidi"/>
                <w:szCs w:val="22"/>
              </w:rPr>
            </w:pPr>
          </w:p>
        </w:tc>
        <w:tc>
          <w:tcPr>
            <w:tcW w:w="1024" w:type="pct"/>
            <w:shd w:val="clear" w:color="auto" w:fill="FFFFFF"/>
            <w:tcMar>
              <w:top w:w="110" w:type="dxa"/>
            </w:tcMar>
          </w:tcPr>
          <w:p w:rsidR="001363EE" w:rsidRDefault="001363EE" w:rsidP="001363EE">
            <w:pPr>
              <w:rPr>
                <w:rFonts w:cs="Arial"/>
                <w:sz w:val="16"/>
                <w:szCs w:val="16"/>
                <w:lang w:bidi="th-TH"/>
              </w:rPr>
            </w:pPr>
            <w:r>
              <w:rPr>
                <w:rFonts w:cs="Arial"/>
                <w:sz w:val="16"/>
                <w:szCs w:val="16"/>
                <w:lang w:bidi="th-TH"/>
              </w:rPr>
              <w:t>2014: 4.15%</w:t>
            </w:r>
          </w:p>
          <w:p w:rsidR="001363EE" w:rsidRPr="006550F0" w:rsidRDefault="001363EE" w:rsidP="001363EE">
            <w:pPr>
              <w:rPr>
                <w:rFonts w:cs="Arial"/>
                <w:sz w:val="16"/>
                <w:szCs w:val="16"/>
                <w:lang w:bidi="th-TH"/>
              </w:rPr>
            </w:pPr>
            <w:r>
              <w:rPr>
                <w:rFonts w:cs="Arial"/>
                <w:sz w:val="16"/>
                <w:szCs w:val="16"/>
                <w:lang w:bidi="th-TH"/>
              </w:rPr>
              <w:t>2015: 5.8%</w:t>
            </w:r>
          </w:p>
        </w:tc>
        <w:tc>
          <w:tcPr>
            <w:tcW w:w="587" w:type="pct"/>
            <w:gridSpan w:val="2"/>
            <w:shd w:val="clear" w:color="auto" w:fill="auto"/>
          </w:tcPr>
          <w:p w:rsidR="001363EE" w:rsidRPr="00BA6F3B" w:rsidRDefault="001363EE" w:rsidP="001363EE">
            <w:pPr>
              <w:jc w:val="center"/>
              <w:rPr>
                <w:color w:val="00B050"/>
              </w:rPr>
            </w:pPr>
            <w:r w:rsidRPr="00BA6F3B">
              <w:rPr>
                <w:rFonts w:cs="Arial"/>
                <w:b/>
                <w:bCs/>
                <w:color w:val="00B050"/>
                <w:sz w:val="16"/>
                <w:szCs w:val="16"/>
              </w:rPr>
              <w:t>Fully Achieved</w:t>
            </w:r>
          </w:p>
          <w:p w:rsidR="001363EE" w:rsidRPr="00AD47BD" w:rsidRDefault="001363EE" w:rsidP="001363EE">
            <w:pPr>
              <w:keepNext/>
              <w:keepLines/>
              <w:jc w:val="center"/>
              <w:rPr>
                <w:rFonts w:cs="Arial"/>
                <w:b/>
                <w:bCs/>
                <w:color w:val="22DE4F"/>
                <w:sz w:val="16"/>
                <w:szCs w:val="16"/>
              </w:rPr>
            </w:pPr>
          </w:p>
        </w:tc>
      </w:tr>
      <w:tr w:rsidR="001363EE" w:rsidTr="001363EE">
        <w:trPr>
          <w:cantSplit/>
        </w:trPr>
        <w:tc>
          <w:tcPr>
            <w:tcW w:w="5000" w:type="pct"/>
            <w:gridSpan w:val="12"/>
            <w:tcBorders>
              <w:top w:val="single" w:sz="4" w:space="0" w:color="auto"/>
              <w:bottom w:val="single" w:sz="4" w:space="0" w:color="auto"/>
            </w:tcBorders>
            <w:shd w:val="clear" w:color="auto" w:fill="C6D9F1" w:themeFill="text2" w:themeFillTint="33"/>
            <w:vAlign w:val="center"/>
          </w:tcPr>
          <w:p w:rsidR="001363EE" w:rsidRDefault="001363EE" w:rsidP="001363EE">
            <w:pPr>
              <w:keepNext/>
              <w:keepLines/>
              <w:tabs>
                <w:tab w:val="left" w:pos="1452"/>
              </w:tabs>
              <w:spacing w:before="120" w:after="120"/>
              <w:ind w:left="1452" w:hanging="1452"/>
              <w:rPr>
                <w:rFonts w:cs="Arial"/>
                <w:b/>
                <w:bCs/>
                <w:sz w:val="16"/>
                <w:szCs w:val="16"/>
              </w:rPr>
            </w:pPr>
            <w:r w:rsidRPr="00234BEF">
              <w:rPr>
                <w:rFonts w:cs="Arial"/>
                <w:b/>
                <w:bCs/>
                <w:sz w:val="16"/>
                <w:szCs w:val="16"/>
              </w:rPr>
              <w:t>Expected Result</w:t>
            </w:r>
            <w:r>
              <w:rPr>
                <w:rFonts w:cs="Arial"/>
                <w:b/>
                <w:bCs/>
                <w:sz w:val="16"/>
                <w:szCs w:val="16"/>
              </w:rPr>
              <w:t>:</w:t>
            </w:r>
            <w:r>
              <w:rPr>
                <w:rFonts w:cs="Arial"/>
                <w:b/>
                <w:bCs/>
                <w:sz w:val="16"/>
                <w:szCs w:val="16"/>
              </w:rPr>
              <w:tab/>
            </w:r>
            <w:r w:rsidRPr="00F62987">
              <w:rPr>
                <w:rFonts w:cs="Arial"/>
                <w:sz w:val="16"/>
                <w:szCs w:val="16"/>
              </w:rPr>
              <w:t>IX.1 Effective, efficient, quality and customer-oriented support services both to internal clients and to external stakeholders</w:t>
            </w:r>
          </w:p>
        </w:tc>
      </w:tr>
      <w:tr w:rsidR="001363EE" w:rsidRPr="0028218A" w:rsidTr="005F75C8">
        <w:trPr>
          <w:cantSplit/>
        </w:trPr>
        <w:tc>
          <w:tcPr>
            <w:tcW w:w="1144" w:type="pct"/>
            <w:gridSpan w:val="2"/>
            <w:tcBorders>
              <w:top w:val="single" w:sz="4" w:space="0" w:color="auto"/>
            </w:tcBorders>
            <w:shd w:val="clear" w:color="auto" w:fill="auto"/>
            <w:vAlign w:val="center"/>
          </w:tcPr>
          <w:p w:rsidR="001363EE" w:rsidRPr="0028218A" w:rsidRDefault="001363EE" w:rsidP="001363EE">
            <w:pPr>
              <w:keepNext/>
              <w:keepLines/>
              <w:rPr>
                <w:rFonts w:cs="Arial"/>
                <w:sz w:val="16"/>
                <w:szCs w:val="16"/>
              </w:rPr>
            </w:pPr>
            <w:r w:rsidRPr="0028218A">
              <w:rPr>
                <w:rFonts w:cs="Arial"/>
                <w:b/>
                <w:bCs/>
                <w:sz w:val="16"/>
                <w:szCs w:val="16"/>
              </w:rPr>
              <w:t>Performance Indicators</w:t>
            </w:r>
          </w:p>
        </w:tc>
        <w:tc>
          <w:tcPr>
            <w:tcW w:w="1289" w:type="pct"/>
            <w:gridSpan w:val="4"/>
            <w:tcBorders>
              <w:top w:val="single" w:sz="4" w:space="0" w:color="auto"/>
            </w:tcBorders>
            <w:shd w:val="clear" w:color="auto" w:fill="auto"/>
            <w:vAlign w:val="center"/>
          </w:tcPr>
          <w:p w:rsidR="001363EE" w:rsidRPr="0028218A" w:rsidRDefault="001363EE" w:rsidP="001363EE">
            <w:pPr>
              <w:keepNext/>
              <w:keepLines/>
              <w:rPr>
                <w:rFonts w:cs="Arial"/>
                <w:b/>
                <w:bCs/>
                <w:sz w:val="16"/>
                <w:szCs w:val="16"/>
              </w:rPr>
            </w:pPr>
            <w:r w:rsidRPr="0028218A">
              <w:rPr>
                <w:rFonts w:cs="Arial"/>
                <w:b/>
                <w:bCs/>
                <w:sz w:val="16"/>
                <w:szCs w:val="16"/>
              </w:rPr>
              <w:t>Baselines</w:t>
            </w:r>
          </w:p>
        </w:tc>
        <w:tc>
          <w:tcPr>
            <w:tcW w:w="915" w:type="pct"/>
            <w:gridSpan w:val="2"/>
            <w:tcBorders>
              <w:top w:val="single" w:sz="4" w:space="0" w:color="auto"/>
            </w:tcBorders>
            <w:shd w:val="clear" w:color="auto" w:fill="auto"/>
            <w:tcMar>
              <w:top w:w="110" w:type="dxa"/>
            </w:tcMar>
            <w:vAlign w:val="center"/>
          </w:tcPr>
          <w:p w:rsidR="001363EE" w:rsidRPr="0028218A" w:rsidRDefault="001363EE" w:rsidP="001363EE">
            <w:pPr>
              <w:keepNext/>
              <w:keepLines/>
              <w:rPr>
                <w:rFonts w:cs="Arial"/>
                <w:b/>
                <w:sz w:val="16"/>
                <w:szCs w:val="16"/>
              </w:rPr>
            </w:pPr>
            <w:r w:rsidRPr="0028218A">
              <w:rPr>
                <w:rFonts w:cs="Arial"/>
                <w:b/>
                <w:sz w:val="16"/>
                <w:szCs w:val="16"/>
              </w:rPr>
              <w:t>Target</w:t>
            </w:r>
            <w:r>
              <w:rPr>
                <w:rFonts w:cs="Arial"/>
                <w:b/>
                <w:sz w:val="16"/>
                <w:szCs w:val="16"/>
              </w:rPr>
              <w:t>s</w:t>
            </w:r>
          </w:p>
        </w:tc>
        <w:tc>
          <w:tcPr>
            <w:tcW w:w="1065" w:type="pct"/>
            <w:gridSpan w:val="2"/>
            <w:tcBorders>
              <w:top w:val="single" w:sz="4" w:space="0" w:color="auto"/>
            </w:tcBorders>
            <w:shd w:val="clear" w:color="auto" w:fill="FFFFFF"/>
            <w:tcMar>
              <w:top w:w="110" w:type="dxa"/>
            </w:tcMar>
            <w:vAlign w:val="center"/>
          </w:tcPr>
          <w:p w:rsidR="001363EE" w:rsidRPr="0028218A" w:rsidRDefault="001363EE" w:rsidP="001363EE">
            <w:pPr>
              <w:keepNext/>
              <w:keepLines/>
              <w:rPr>
                <w:rFonts w:cs="Arial"/>
                <w:sz w:val="16"/>
                <w:szCs w:val="16"/>
              </w:rPr>
            </w:pPr>
            <w:r w:rsidRPr="0028218A">
              <w:rPr>
                <w:rFonts w:cs="Arial"/>
                <w:b/>
                <w:bCs/>
                <w:sz w:val="16"/>
                <w:szCs w:val="16"/>
              </w:rPr>
              <w:t>Performance Data</w:t>
            </w:r>
          </w:p>
        </w:tc>
        <w:tc>
          <w:tcPr>
            <w:tcW w:w="587" w:type="pct"/>
            <w:gridSpan w:val="2"/>
            <w:tcBorders>
              <w:top w:val="single" w:sz="4" w:space="0" w:color="auto"/>
            </w:tcBorders>
            <w:shd w:val="clear" w:color="auto" w:fill="auto"/>
            <w:tcMar>
              <w:top w:w="110" w:type="dxa"/>
            </w:tcMar>
            <w:vAlign w:val="center"/>
          </w:tcPr>
          <w:p w:rsidR="001363EE" w:rsidRPr="0028218A" w:rsidRDefault="001363EE" w:rsidP="001363EE">
            <w:pPr>
              <w:keepNext/>
              <w:keepLines/>
              <w:jc w:val="center"/>
              <w:rPr>
                <w:rFonts w:cs="Arial"/>
                <w:b/>
                <w:bCs/>
                <w:sz w:val="16"/>
                <w:szCs w:val="16"/>
              </w:rPr>
            </w:pPr>
            <w:r w:rsidRPr="0028218A">
              <w:rPr>
                <w:rFonts w:cs="Arial"/>
                <w:b/>
                <w:bCs/>
                <w:sz w:val="16"/>
                <w:szCs w:val="16"/>
              </w:rPr>
              <w:t>TLS</w:t>
            </w:r>
          </w:p>
        </w:tc>
      </w:tr>
      <w:tr w:rsidR="001363EE" w:rsidRPr="003C3247" w:rsidTr="005F75C8">
        <w:trPr>
          <w:cantSplit/>
        </w:trPr>
        <w:tc>
          <w:tcPr>
            <w:tcW w:w="1144" w:type="pct"/>
            <w:gridSpan w:val="2"/>
            <w:shd w:val="clear" w:color="auto" w:fill="auto"/>
          </w:tcPr>
          <w:p w:rsidR="001363EE" w:rsidRPr="00FE03FF" w:rsidRDefault="001363EE" w:rsidP="001363EE">
            <w:pPr>
              <w:keepNext/>
              <w:keepLines/>
              <w:rPr>
                <w:rFonts w:cs="Arial"/>
                <w:sz w:val="16"/>
                <w:szCs w:val="16"/>
              </w:rPr>
            </w:pPr>
            <w:r w:rsidRPr="00F62987">
              <w:rPr>
                <w:rFonts w:cs="Arial"/>
                <w:sz w:val="16"/>
                <w:szCs w:val="16"/>
              </w:rPr>
              <w:t>Cost savings for goods and services procured by WIPO (derived from RFPs or direct negotiations)</w:t>
            </w:r>
          </w:p>
        </w:tc>
        <w:tc>
          <w:tcPr>
            <w:tcW w:w="1289" w:type="pct"/>
            <w:gridSpan w:val="4"/>
            <w:shd w:val="clear" w:color="auto" w:fill="auto"/>
          </w:tcPr>
          <w:p w:rsidR="001363EE" w:rsidRDefault="001363EE" w:rsidP="001363EE">
            <w:pPr>
              <w:keepNext/>
              <w:keepLines/>
              <w:rPr>
                <w:color w:val="002060"/>
                <w:sz w:val="16"/>
                <w:szCs w:val="16"/>
              </w:rPr>
            </w:pPr>
            <w:r>
              <w:rPr>
                <w:i/>
                <w:color w:val="002060"/>
                <w:sz w:val="16"/>
                <w:szCs w:val="16"/>
              </w:rPr>
              <w:t>Updated Baseline end 20</w:t>
            </w:r>
            <w:r w:rsidRPr="006550F0">
              <w:rPr>
                <w:i/>
                <w:color w:val="002060"/>
                <w:sz w:val="16"/>
                <w:szCs w:val="16"/>
              </w:rPr>
              <w:t>1</w:t>
            </w:r>
            <w:r>
              <w:rPr>
                <w:i/>
                <w:color w:val="002060"/>
                <w:sz w:val="16"/>
                <w:szCs w:val="16"/>
              </w:rPr>
              <w:t>3</w:t>
            </w:r>
            <w:r w:rsidRPr="006550F0">
              <w:rPr>
                <w:i/>
                <w:color w:val="002060"/>
                <w:sz w:val="16"/>
                <w:szCs w:val="16"/>
              </w:rPr>
              <w:t>:</w:t>
            </w:r>
            <w:r>
              <w:t xml:space="preserve"> </w:t>
            </w:r>
            <w:r w:rsidRPr="005C1F88">
              <w:rPr>
                <w:color w:val="002060"/>
                <w:sz w:val="16"/>
                <w:szCs w:val="16"/>
              </w:rPr>
              <w:t>531,000 Swiss francs</w:t>
            </w:r>
            <w:r w:rsidRPr="006550F0">
              <w:rPr>
                <w:color w:val="002060"/>
                <w:sz w:val="16"/>
                <w:szCs w:val="16"/>
              </w:rPr>
              <w:t xml:space="preserve"> </w:t>
            </w:r>
          </w:p>
          <w:p w:rsidR="001363EE" w:rsidRPr="004D5A82" w:rsidRDefault="001363EE" w:rsidP="001363EE">
            <w:pPr>
              <w:keepNext/>
              <w:keepLines/>
              <w:rPr>
                <w:rFonts w:cstheme="minorBidi"/>
                <w:color w:val="002060"/>
                <w:sz w:val="16"/>
                <w:szCs w:val="16"/>
              </w:rPr>
            </w:pPr>
          </w:p>
          <w:p w:rsidR="001363EE" w:rsidRPr="00E813BA" w:rsidRDefault="001363EE" w:rsidP="001363EE">
            <w:pPr>
              <w:keepNext/>
              <w:keepLines/>
              <w:rPr>
                <w:rFonts w:cstheme="minorBidi"/>
                <w:szCs w:val="22"/>
              </w:rPr>
            </w:pPr>
            <w:r>
              <w:rPr>
                <w:rFonts w:cs="Arial"/>
                <w:i/>
                <w:sz w:val="16"/>
                <w:szCs w:val="16"/>
              </w:rPr>
              <w:t xml:space="preserve">Original </w:t>
            </w:r>
            <w:r w:rsidRPr="004608BD">
              <w:rPr>
                <w:rFonts w:cs="Arial"/>
                <w:i/>
                <w:sz w:val="16"/>
                <w:szCs w:val="16"/>
              </w:rPr>
              <w:t>Baseline</w:t>
            </w:r>
            <w:r>
              <w:rPr>
                <w:rFonts w:cs="Arial"/>
                <w:i/>
                <w:sz w:val="16"/>
                <w:szCs w:val="16"/>
              </w:rPr>
              <w:t xml:space="preserve"> P&amp;B 2014/15:</w:t>
            </w:r>
            <w:r>
              <w:t xml:space="preserve"> </w:t>
            </w:r>
            <w:r w:rsidRPr="005C1F88">
              <w:rPr>
                <w:rFonts w:cs="Arial"/>
                <w:sz w:val="16"/>
                <w:szCs w:val="16"/>
              </w:rPr>
              <w:t>2013 result</w:t>
            </w:r>
          </w:p>
        </w:tc>
        <w:tc>
          <w:tcPr>
            <w:tcW w:w="915" w:type="pct"/>
            <w:gridSpan w:val="2"/>
            <w:shd w:val="clear" w:color="auto" w:fill="auto"/>
            <w:tcMar>
              <w:top w:w="110" w:type="dxa"/>
            </w:tcMar>
          </w:tcPr>
          <w:p w:rsidR="001363EE" w:rsidRPr="006550F0" w:rsidRDefault="001363EE" w:rsidP="001363EE">
            <w:pPr>
              <w:keepNext/>
              <w:keepLines/>
              <w:rPr>
                <w:rFonts w:cs="Arial"/>
                <w:sz w:val="16"/>
                <w:szCs w:val="16"/>
              </w:rPr>
            </w:pPr>
            <w:r w:rsidRPr="004D5A82">
              <w:rPr>
                <w:rFonts w:cs="Arial"/>
                <w:sz w:val="16"/>
                <w:szCs w:val="16"/>
              </w:rPr>
              <w:t>2013 + 5%</w:t>
            </w:r>
          </w:p>
        </w:tc>
        <w:tc>
          <w:tcPr>
            <w:tcW w:w="1065" w:type="pct"/>
            <w:gridSpan w:val="2"/>
            <w:shd w:val="clear" w:color="auto" w:fill="FFFFFF"/>
            <w:tcMar>
              <w:top w:w="110" w:type="dxa"/>
            </w:tcMar>
          </w:tcPr>
          <w:p w:rsidR="001363EE" w:rsidRDefault="001363EE" w:rsidP="001363EE">
            <w:pPr>
              <w:keepNext/>
              <w:keepLines/>
              <w:rPr>
                <w:rFonts w:cs="Arial"/>
                <w:sz w:val="16"/>
                <w:szCs w:val="16"/>
                <w:lang w:bidi="th-TH"/>
              </w:rPr>
            </w:pPr>
            <w:r>
              <w:rPr>
                <w:rFonts w:cs="Arial"/>
                <w:sz w:val="16"/>
                <w:szCs w:val="16"/>
                <w:lang w:bidi="th-TH"/>
              </w:rPr>
              <w:t>2,663,000 Swiss francs (2014)</w:t>
            </w:r>
          </w:p>
          <w:p w:rsidR="001363EE" w:rsidRPr="00A84FA2" w:rsidRDefault="001363EE" w:rsidP="001363EE">
            <w:pPr>
              <w:keepNext/>
              <w:keepLines/>
              <w:rPr>
                <w:rFonts w:cs="Arial"/>
                <w:sz w:val="6"/>
                <w:szCs w:val="6"/>
                <w:lang w:bidi="th-TH"/>
              </w:rPr>
            </w:pPr>
          </w:p>
          <w:p w:rsidR="001363EE" w:rsidRPr="006550F0" w:rsidRDefault="001363EE" w:rsidP="001363EE">
            <w:pPr>
              <w:keepNext/>
              <w:keepLines/>
              <w:rPr>
                <w:rFonts w:cs="Arial"/>
                <w:sz w:val="16"/>
                <w:szCs w:val="16"/>
                <w:lang w:bidi="th-TH"/>
              </w:rPr>
            </w:pPr>
            <w:r>
              <w:rPr>
                <w:rFonts w:cs="Arial"/>
                <w:sz w:val="16"/>
                <w:szCs w:val="16"/>
                <w:lang w:bidi="th-TH"/>
              </w:rPr>
              <w:t>3,826,361 Swiss francs (2015)</w:t>
            </w:r>
          </w:p>
        </w:tc>
        <w:tc>
          <w:tcPr>
            <w:tcW w:w="587" w:type="pct"/>
            <w:gridSpan w:val="2"/>
            <w:shd w:val="clear" w:color="auto" w:fill="auto"/>
            <w:tcMar>
              <w:top w:w="110" w:type="dxa"/>
            </w:tcMar>
          </w:tcPr>
          <w:p w:rsidR="001363EE" w:rsidRPr="003D6AD7" w:rsidRDefault="001363EE" w:rsidP="001363EE">
            <w:pPr>
              <w:keepNext/>
              <w:keepLines/>
              <w:jc w:val="center"/>
              <w:rPr>
                <w:rFonts w:cs="Arial"/>
                <w:b/>
                <w:bCs/>
                <w:color w:val="00B050"/>
                <w:sz w:val="16"/>
                <w:szCs w:val="16"/>
              </w:rPr>
            </w:pPr>
            <w:r>
              <w:rPr>
                <w:rFonts w:cs="Arial"/>
                <w:b/>
                <w:bCs/>
                <w:color w:val="00B050"/>
                <w:sz w:val="16"/>
                <w:szCs w:val="16"/>
              </w:rPr>
              <w:t>Fully A</w:t>
            </w:r>
            <w:r w:rsidRPr="003D6AD7">
              <w:rPr>
                <w:rFonts w:cs="Arial"/>
                <w:b/>
                <w:bCs/>
                <w:color w:val="00B050"/>
                <w:sz w:val="16"/>
                <w:szCs w:val="16"/>
              </w:rPr>
              <w:t>chieved</w:t>
            </w:r>
          </w:p>
        </w:tc>
      </w:tr>
      <w:tr w:rsidR="001363EE" w:rsidRPr="003C3247" w:rsidTr="005F75C8">
        <w:trPr>
          <w:cantSplit/>
        </w:trPr>
        <w:tc>
          <w:tcPr>
            <w:tcW w:w="1144" w:type="pct"/>
            <w:gridSpan w:val="2"/>
            <w:shd w:val="clear" w:color="auto" w:fill="auto"/>
          </w:tcPr>
          <w:p w:rsidR="001363EE" w:rsidRPr="00F62987" w:rsidRDefault="001363EE" w:rsidP="001363EE">
            <w:pPr>
              <w:rPr>
                <w:rFonts w:cs="Arial"/>
                <w:sz w:val="16"/>
                <w:szCs w:val="16"/>
              </w:rPr>
            </w:pPr>
            <w:r w:rsidRPr="004D5A82">
              <w:rPr>
                <w:rFonts w:cs="Arial"/>
                <w:sz w:val="16"/>
                <w:szCs w:val="16"/>
              </w:rPr>
              <w:t>% of internal clients satisfied with procurement services</w:t>
            </w:r>
          </w:p>
        </w:tc>
        <w:tc>
          <w:tcPr>
            <w:tcW w:w="1289" w:type="pct"/>
            <w:gridSpan w:val="4"/>
            <w:shd w:val="clear" w:color="auto" w:fill="auto"/>
          </w:tcPr>
          <w:p w:rsidR="001363EE" w:rsidRDefault="001363EE" w:rsidP="001363EE">
            <w:pPr>
              <w:rPr>
                <w:color w:val="002060"/>
                <w:sz w:val="16"/>
                <w:szCs w:val="16"/>
              </w:rPr>
            </w:pPr>
            <w:r>
              <w:rPr>
                <w:i/>
                <w:color w:val="002060"/>
                <w:sz w:val="16"/>
                <w:szCs w:val="16"/>
              </w:rPr>
              <w:t>Updated Baseline end 20</w:t>
            </w:r>
            <w:r w:rsidRPr="006550F0">
              <w:rPr>
                <w:i/>
                <w:color w:val="002060"/>
                <w:sz w:val="16"/>
                <w:szCs w:val="16"/>
              </w:rPr>
              <w:t>1</w:t>
            </w:r>
            <w:r>
              <w:rPr>
                <w:i/>
                <w:color w:val="002060"/>
                <w:sz w:val="16"/>
                <w:szCs w:val="16"/>
              </w:rPr>
              <w:t>3</w:t>
            </w:r>
            <w:r w:rsidRPr="006550F0">
              <w:rPr>
                <w:i/>
                <w:color w:val="002060"/>
                <w:sz w:val="16"/>
                <w:szCs w:val="16"/>
              </w:rPr>
              <w:t>:</w:t>
            </w:r>
            <w:r>
              <w:rPr>
                <w:i/>
                <w:color w:val="002060"/>
                <w:sz w:val="16"/>
                <w:szCs w:val="16"/>
              </w:rPr>
              <w:t xml:space="preserve"> </w:t>
            </w:r>
            <w:r w:rsidRPr="005C1F88">
              <w:rPr>
                <w:color w:val="002060"/>
                <w:sz w:val="16"/>
                <w:szCs w:val="16"/>
              </w:rPr>
              <w:t>73%</w:t>
            </w:r>
            <w:r w:rsidRPr="006550F0">
              <w:rPr>
                <w:color w:val="002060"/>
                <w:sz w:val="16"/>
                <w:szCs w:val="16"/>
              </w:rPr>
              <w:t xml:space="preserve"> </w:t>
            </w:r>
          </w:p>
          <w:p w:rsidR="001363EE" w:rsidRPr="004D5A82" w:rsidRDefault="001363EE" w:rsidP="001363EE">
            <w:pPr>
              <w:rPr>
                <w:rFonts w:cstheme="minorBidi"/>
                <w:color w:val="002060"/>
                <w:sz w:val="16"/>
                <w:szCs w:val="16"/>
              </w:rPr>
            </w:pPr>
          </w:p>
          <w:p w:rsidR="001363EE" w:rsidRPr="00E813BA" w:rsidRDefault="001363EE" w:rsidP="001363EE">
            <w:pPr>
              <w:rPr>
                <w:szCs w:val="22"/>
              </w:rPr>
            </w:pPr>
            <w:r>
              <w:rPr>
                <w:rFonts w:cs="Arial"/>
                <w:i/>
                <w:sz w:val="16"/>
                <w:szCs w:val="16"/>
              </w:rPr>
              <w:t xml:space="preserve">Original </w:t>
            </w:r>
            <w:r w:rsidRPr="004608BD">
              <w:rPr>
                <w:rFonts w:cs="Arial"/>
                <w:i/>
                <w:sz w:val="16"/>
                <w:szCs w:val="16"/>
              </w:rPr>
              <w:t>Baseline</w:t>
            </w:r>
            <w:r>
              <w:rPr>
                <w:rFonts w:cs="Arial"/>
                <w:i/>
                <w:sz w:val="16"/>
                <w:szCs w:val="16"/>
              </w:rPr>
              <w:t xml:space="preserve"> P&amp;B 2014/15:  </w:t>
            </w:r>
            <w:r w:rsidRPr="005C1F88">
              <w:rPr>
                <w:rFonts w:cs="Arial"/>
                <w:sz w:val="16"/>
                <w:szCs w:val="16"/>
              </w:rPr>
              <w:t>2012 result</w:t>
            </w:r>
          </w:p>
        </w:tc>
        <w:tc>
          <w:tcPr>
            <w:tcW w:w="915" w:type="pct"/>
            <w:gridSpan w:val="2"/>
            <w:shd w:val="clear" w:color="auto" w:fill="auto"/>
            <w:tcMar>
              <w:top w:w="110" w:type="dxa"/>
            </w:tcMar>
          </w:tcPr>
          <w:p w:rsidR="001363EE" w:rsidRPr="006550F0" w:rsidRDefault="001363EE" w:rsidP="001363EE">
            <w:pPr>
              <w:rPr>
                <w:rFonts w:cs="Arial"/>
                <w:sz w:val="16"/>
                <w:szCs w:val="16"/>
              </w:rPr>
            </w:pPr>
            <w:r w:rsidRPr="004D5A82">
              <w:rPr>
                <w:rFonts w:cs="Arial"/>
                <w:sz w:val="16"/>
                <w:szCs w:val="16"/>
              </w:rPr>
              <w:t>2012 + 5%</w:t>
            </w:r>
          </w:p>
        </w:tc>
        <w:tc>
          <w:tcPr>
            <w:tcW w:w="1065" w:type="pct"/>
            <w:gridSpan w:val="2"/>
            <w:shd w:val="clear" w:color="auto" w:fill="FFFFFF"/>
            <w:tcMar>
              <w:top w:w="110" w:type="dxa"/>
            </w:tcMar>
          </w:tcPr>
          <w:p w:rsidR="001363EE" w:rsidRPr="006550F0" w:rsidRDefault="001363EE" w:rsidP="001363EE">
            <w:pPr>
              <w:rPr>
                <w:rFonts w:cs="Arial"/>
                <w:sz w:val="16"/>
                <w:szCs w:val="16"/>
                <w:lang w:bidi="th-TH"/>
              </w:rPr>
            </w:pPr>
            <w:r>
              <w:rPr>
                <w:rFonts w:cs="Arial"/>
                <w:sz w:val="16"/>
                <w:szCs w:val="16"/>
                <w:lang w:bidi="th-TH"/>
              </w:rPr>
              <w:t xml:space="preserve">89% </w:t>
            </w:r>
          </w:p>
        </w:tc>
        <w:tc>
          <w:tcPr>
            <w:tcW w:w="587" w:type="pct"/>
            <w:gridSpan w:val="2"/>
            <w:shd w:val="clear" w:color="auto" w:fill="auto"/>
            <w:tcMar>
              <w:top w:w="110" w:type="dxa"/>
            </w:tcMar>
          </w:tcPr>
          <w:p w:rsidR="001363EE" w:rsidRPr="003D6AD7" w:rsidRDefault="001363EE" w:rsidP="001363EE">
            <w:pPr>
              <w:keepNext/>
              <w:keepLines/>
              <w:jc w:val="center"/>
              <w:rPr>
                <w:rFonts w:cs="Arial"/>
                <w:b/>
                <w:bCs/>
                <w:color w:val="00B050"/>
                <w:sz w:val="16"/>
                <w:szCs w:val="16"/>
              </w:rPr>
            </w:pPr>
            <w:r>
              <w:rPr>
                <w:rFonts w:cs="Arial"/>
                <w:b/>
                <w:bCs/>
                <w:color w:val="00B050"/>
                <w:sz w:val="16"/>
                <w:szCs w:val="16"/>
              </w:rPr>
              <w:t>Fully A</w:t>
            </w:r>
            <w:r w:rsidRPr="003D6AD7">
              <w:rPr>
                <w:rFonts w:cs="Arial"/>
                <w:b/>
                <w:bCs/>
                <w:color w:val="00B050"/>
                <w:sz w:val="16"/>
                <w:szCs w:val="16"/>
              </w:rPr>
              <w:t>chieved</w:t>
            </w:r>
          </w:p>
        </w:tc>
      </w:tr>
      <w:tr w:rsidR="001363EE" w:rsidRPr="003C3247" w:rsidTr="005F75C8">
        <w:trPr>
          <w:cantSplit/>
        </w:trPr>
        <w:tc>
          <w:tcPr>
            <w:tcW w:w="1144" w:type="pct"/>
            <w:gridSpan w:val="2"/>
            <w:shd w:val="clear" w:color="auto" w:fill="auto"/>
          </w:tcPr>
          <w:p w:rsidR="001363EE" w:rsidRPr="00F62987" w:rsidRDefault="001363EE" w:rsidP="001363EE">
            <w:pPr>
              <w:rPr>
                <w:rFonts w:cs="Arial"/>
                <w:sz w:val="16"/>
                <w:szCs w:val="16"/>
              </w:rPr>
            </w:pPr>
            <w:r w:rsidRPr="004D5A82">
              <w:rPr>
                <w:rFonts w:cs="Arial"/>
                <w:sz w:val="16"/>
                <w:szCs w:val="16"/>
              </w:rPr>
              <w:t>Processing time of travel related requests (eTA, ER, Visas)</w:t>
            </w:r>
          </w:p>
        </w:tc>
        <w:tc>
          <w:tcPr>
            <w:tcW w:w="1289" w:type="pct"/>
            <w:gridSpan w:val="4"/>
            <w:shd w:val="clear" w:color="auto" w:fill="auto"/>
          </w:tcPr>
          <w:p w:rsidR="001363EE" w:rsidRPr="005C1F88" w:rsidRDefault="001363EE" w:rsidP="001363EE">
            <w:pPr>
              <w:rPr>
                <w:rFonts w:cs="Arial"/>
                <w:sz w:val="16"/>
                <w:szCs w:val="16"/>
              </w:rPr>
            </w:pPr>
            <w:r w:rsidRPr="005C1F88">
              <w:rPr>
                <w:rFonts w:cs="Arial"/>
                <w:sz w:val="16"/>
                <w:szCs w:val="16"/>
              </w:rPr>
              <w:t xml:space="preserve">Processing time of travel related requests:  </w:t>
            </w:r>
          </w:p>
          <w:p w:rsidR="001363EE" w:rsidRPr="005C1F88" w:rsidRDefault="001363EE" w:rsidP="001363EE">
            <w:pPr>
              <w:rPr>
                <w:rFonts w:cs="Arial"/>
                <w:sz w:val="16"/>
                <w:szCs w:val="16"/>
              </w:rPr>
            </w:pPr>
            <w:r w:rsidRPr="005C1F88">
              <w:rPr>
                <w:rFonts w:cs="Arial"/>
                <w:sz w:val="16"/>
                <w:szCs w:val="16"/>
              </w:rPr>
              <w:t>eTA = 1day</w:t>
            </w:r>
          </w:p>
          <w:p w:rsidR="001363EE" w:rsidRPr="005C1F88" w:rsidRDefault="001363EE" w:rsidP="001363EE">
            <w:pPr>
              <w:rPr>
                <w:rFonts w:cs="Arial"/>
                <w:sz w:val="16"/>
                <w:szCs w:val="16"/>
              </w:rPr>
            </w:pPr>
            <w:r w:rsidRPr="005C1F88">
              <w:rPr>
                <w:rFonts w:cs="Arial"/>
                <w:sz w:val="16"/>
                <w:szCs w:val="16"/>
              </w:rPr>
              <w:t>ER = 2 hours</w:t>
            </w:r>
          </w:p>
          <w:p w:rsidR="001363EE" w:rsidRPr="004B7039" w:rsidRDefault="001363EE" w:rsidP="001363EE">
            <w:pPr>
              <w:rPr>
                <w:rFonts w:cs="Arial"/>
                <w:i/>
                <w:sz w:val="16"/>
                <w:szCs w:val="16"/>
              </w:rPr>
            </w:pPr>
            <w:r w:rsidRPr="005C1F88">
              <w:rPr>
                <w:rFonts w:cs="Arial"/>
                <w:sz w:val="16"/>
                <w:szCs w:val="16"/>
              </w:rPr>
              <w:t>Visa for 3rd party = 2 days</w:t>
            </w:r>
            <w:r>
              <w:rPr>
                <w:rFonts w:cs="Arial"/>
                <w:sz w:val="16"/>
                <w:szCs w:val="16"/>
              </w:rPr>
              <w:t xml:space="preserve"> (baseline 2013)</w:t>
            </w:r>
          </w:p>
        </w:tc>
        <w:tc>
          <w:tcPr>
            <w:tcW w:w="915" w:type="pct"/>
            <w:gridSpan w:val="2"/>
            <w:shd w:val="clear" w:color="auto" w:fill="auto"/>
            <w:tcMar>
              <w:top w:w="110" w:type="dxa"/>
            </w:tcMar>
          </w:tcPr>
          <w:p w:rsidR="001363EE" w:rsidRPr="004B7039" w:rsidRDefault="001363EE" w:rsidP="001363EE">
            <w:pPr>
              <w:rPr>
                <w:rFonts w:cs="Arial"/>
                <w:sz w:val="16"/>
                <w:szCs w:val="16"/>
              </w:rPr>
            </w:pPr>
            <w:r w:rsidRPr="004B7039">
              <w:rPr>
                <w:rFonts w:cs="Arial"/>
                <w:sz w:val="16"/>
                <w:szCs w:val="16"/>
              </w:rPr>
              <w:t>eTA = 1/2 day</w:t>
            </w:r>
          </w:p>
          <w:p w:rsidR="001363EE" w:rsidRPr="004B7039" w:rsidRDefault="001363EE" w:rsidP="001363EE">
            <w:pPr>
              <w:rPr>
                <w:rFonts w:cs="Arial"/>
                <w:sz w:val="16"/>
                <w:szCs w:val="16"/>
              </w:rPr>
            </w:pPr>
            <w:r w:rsidRPr="004B7039">
              <w:rPr>
                <w:rFonts w:cs="Arial"/>
                <w:sz w:val="16"/>
                <w:szCs w:val="16"/>
              </w:rPr>
              <w:t>ER = 1 hour</w:t>
            </w:r>
          </w:p>
          <w:p w:rsidR="001363EE" w:rsidRPr="006550F0" w:rsidRDefault="001363EE" w:rsidP="001363EE">
            <w:pPr>
              <w:rPr>
                <w:rFonts w:cs="Arial"/>
                <w:sz w:val="16"/>
                <w:szCs w:val="16"/>
              </w:rPr>
            </w:pPr>
            <w:r w:rsidRPr="004B7039">
              <w:rPr>
                <w:rFonts w:cs="Arial"/>
                <w:sz w:val="16"/>
                <w:szCs w:val="16"/>
              </w:rPr>
              <w:t>Visas = 2 days</w:t>
            </w:r>
          </w:p>
        </w:tc>
        <w:tc>
          <w:tcPr>
            <w:tcW w:w="1065" w:type="pct"/>
            <w:gridSpan w:val="2"/>
            <w:shd w:val="clear" w:color="auto" w:fill="FFFFFF"/>
            <w:tcMar>
              <w:top w:w="110" w:type="dxa"/>
            </w:tcMar>
          </w:tcPr>
          <w:p w:rsidR="001363EE" w:rsidRPr="004B7039" w:rsidRDefault="001363EE" w:rsidP="001363EE">
            <w:pPr>
              <w:rPr>
                <w:rFonts w:cs="Arial"/>
                <w:sz w:val="16"/>
                <w:szCs w:val="16"/>
              </w:rPr>
            </w:pPr>
            <w:r w:rsidRPr="004B7039">
              <w:rPr>
                <w:rFonts w:cs="Arial"/>
                <w:sz w:val="16"/>
                <w:szCs w:val="16"/>
              </w:rPr>
              <w:t>eTA = 1/2 day</w:t>
            </w:r>
          </w:p>
          <w:p w:rsidR="001363EE" w:rsidRPr="004B7039" w:rsidRDefault="001363EE" w:rsidP="001363EE">
            <w:pPr>
              <w:rPr>
                <w:rFonts w:cs="Arial"/>
                <w:sz w:val="16"/>
                <w:szCs w:val="16"/>
              </w:rPr>
            </w:pPr>
            <w:r w:rsidRPr="004B7039">
              <w:rPr>
                <w:rFonts w:cs="Arial"/>
                <w:sz w:val="16"/>
                <w:szCs w:val="16"/>
              </w:rPr>
              <w:t xml:space="preserve">ER = </w:t>
            </w:r>
            <w:r>
              <w:rPr>
                <w:rFonts w:cs="Arial"/>
                <w:sz w:val="16"/>
                <w:szCs w:val="16"/>
              </w:rPr>
              <w:t>&lt;</w:t>
            </w:r>
            <w:r w:rsidRPr="004B7039">
              <w:rPr>
                <w:rFonts w:cs="Arial"/>
                <w:sz w:val="16"/>
                <w:szCs w:val="16"/>
              </w:rPr>
              <w:t>1 hour</w:t>
            </w:r>
          </w:p>
          <w:p w:rsidR="001363EE" w:rsidRPr="006550F0" w:rsidRDefault="001363EE" w:rsidP="001363EE">
            <w:pPr>
              <w:rPr>
                <w:rFonts w:cs="Arial"/>
                <w:sz w:val="16"/>
                <w:szCs w:val="16"/>
                <w:lang w:bidi="th-TH"/>
              </w:rPr>
            </w:pPr>
            <w:r w:rsidRPr="004B7039">
              <w:rPr>
                <w:rFonts w:cs="Arial"/>
                <w:sz w:val="16"/>
                <w:szCs w:val="16"/>
              </w:rPr>
              <w:t xml:space="preserve">Visas </w:t>
            </w:r>
            <w:r>
              <w:rPr>
                <w:rFonts w:cs="Arial"/>
                <w:sz w:val="16"/>
                <w:szCs w:val="16"/>
              </w:rPr>
              <w:t>&lt; 1day</w:t>
            </w:r>
          </w:p>
        </w:tc>
        <w:tc>
          <w:tcPr>
            <w:tcW w:w="587" w:type="pct"/>
            <w:gridSpan w:val="2"/>
            <w:shd w:val="clear" w:color="auto" w:fill="auto"/>
            <w:tcMar>
              <w:top w:w="110" w:type="dxa"/>
            </w:tcMar>
          </w:tcPr>
          <w:p w:rsidR="001363EE" w:rsidRPr="003D6AD7" w:rsidRDefault="001363EE" w:rsidP="001363EE">
            <w:pPr>
              <w:keepNext/>
              <w:keepLines/>
              <w:jc w:val="center"/>
              <w:rPr>
                <w:rFonts w:cs="Arial"/>
                <w:b/>
                <w:bCs/>
                <w:color w:val="00B050"/>
                <w:sz w:val="16"/>
                <w:szCs w:val="16"/>
              </w:rPr>
            </w:pPr>
            <w:r>
              <w:rPr>
                <w:rFonts w:cs="Arial"/>
                <w:b/>
                <w:bCs/>
                <w:color w:val="00B050"/>
                <w:sz w:val="16"/>
                <w:szCs w:val="16"/>
              </w:rPr>
              <w:t>Fully A</w:t>
            </w:r>
            <w:r w:rsidRPr="003D6AD7">
              <w:rPr>
                <w:rFonts w:cs="Arial"/>
                <w:b/>
                <w:bCs/>
                <w:color w:val="00B050"/>
                <w:sz w:val="16"/>
                <w:szCs w:val="16"/>
              </w:rPr>
              <w:t>chieved</w:t>
            </w:r>
          </w:p>
        </w:tc>
      </w:tr>
      <w:tr w:rsidR="001363EE" w:rsidRPr="003C3247" w:rsidTr="005F75C8">
        <w:trPr>
          <w:cantSplit/>
        </w:trPr>
        <w:tc>
          <w:tcPr>
            <w:tcW w:w="1144" w:type="pct"/>
            <w:gridSpan w:val="2"/>
            <w:shd w:val="clear" w:color="auto" w:fill="auto"/>
          </w:tcPr>
          <w:p w:rsidR="001363EE" w:rsidRPr="00F62987" w:rsidRDefault="001363EE" w:rsidP="001363EE">
            <w:pPr>
              <w:rPr>
                <w:rFonts w:cs="Arial"/>
                <w:sz w:val="16"/>
                <w:szCs w:val="16"/>
              </w:rPr>
            </w:pPr>
            <w:r w:rsidRPr="004D5A82">
              <w:rPr>
                <w:rFonts w:cs="Arial"/>
                <w:sz w:val="16"/>
                <w:szCs w:val="16"/>
              </w:rPr>
              <w:t>Average ticket cost (TMC and UNDP tickets)</w:t>
            </w:r>
          </w:p>
        </w:tc>
        <w:tc>
          <w:tcPr>
            <w:tcW w:w="1289" w:type="pct"/>
            <w:gridSpan w:val="4"/>
            <w:shd w:val="clear" w:color="auto" w:fill="auto"/>
          </w:tcPr>
          <w:p w:rsidR="001363EE" w:rsidRDefault="001363EE" w:rsidP="001363EE">
            <w:pPr>
              <w:rPr>
                <w:color w:val="002060"/>
                <w:sz w:val="16"/>
                <w:szCs w:val="16"/>
              </w:rPr>
            </w:pPr>
            <w:r>
              <w:rPr>
                <w:i/>
                <w:color w:val="002060"/>
                <w:sz w:val="16"/>
                <w:szCs w:val="16"/>
              </w:rPr>
              <w:t>Updated Baseline end 20</w:t>
            </w:r>
            <w:r w:rsidRPr="006550F0">
              <w:rPr>
                <w:i/>
                <w:color w:val="002060"/>
                <w:sz w:val="16"/>
                <w:szCs w:val="16"/>
              </w:rPr>
              <w:t>1</w:t>
            </w:r>
            <w:r>
              <w:rPr>
                <w:i/>
                <w:color w:val="002060"/>
                <w:sz w:val="16"/>
                <w:szCs w:val="16"/>
              </w:rPr>
              <w:t>3</w:t>
            </w:r>
            <w:r w:rsidRPr="006550F0">
              <w:rPr>
                <w:i/>
                <w:color w:val="002060"/>
                <w:sz w:val="16"/>
                <w:szCs w:val="16"/>
              </w:rPr>
              <w:t>:</w:t>
            </w:r>
            <w:r>
              <w:rPr>
                <w:i/>
                <w:color w:val="002060"/>
                <w:sz w:val="16"/>
                <w:szCs w:val="16"/>
              </w:rPr>
              <w:t xml:space="preserve"> </w:t>
            </w:r>
            <w:r w:rsidRPr="005C1F88">
              <w:rPr>
                <w:color w:val="002060"/>
                <w:sz w:val="16"/>
                <w:szCs w:val="16"/>
              </w:rPr>
              <w:t>2013=1</w:t>
            </w:r>
            <w:r>
              <w:rPr>
                <w:color w:val="002060"/>
                <w:sz w:val="16"/>
                <w:szCs w:val="16"/>
              </w:rPr>
              <w:t>,</w:t>
            </w:r>
            <w:r w:rsidRPr="005C1F88">
              <w:rPr>
                <w:color w:val="002060"/>
                <w:sz w:val="16"/>
                <w:szCs w:val="16"/>
              </w:rPr>
              <w:t>728</w:t>
            </w:r>
            <w:r>
              <w:rPr>
                <w:color w:val="002060"/>
                <w:sz w:val="16"/>
                <w:szCs w:val="16"/>
              </w:rPr>
              <w:t xml:space="preserve"> Swiss francs</w:t>
            </w:r>
            <w:r w:rsidRPr="006550F0">
              <w:rPr>
                <w:color w:val="002060"/>
                <w:sz w:val="16"/>
                <w:szCs w:val="16"/>
              </w:rPr>
              <w:t xml:space="preserve"> </w:t>
            </w:r>
          </w:p>
          <w:p w:rsidR="001363EE" w:rsidRPr="004D5A82" w:rsidRDefault="001363EE" w:rsidP="001363EE">
            <w:pPr>
              <w:rPr>
                <w:rFonts w:cstheme="minorBidi"/>
                <w:color w:val="002060"/>
                <w:sz w:val="16"/>
                <w:szCs w:val="16"/>
              </w:rPr>
            </w:pPr>
          </w:p>
          <w:p w:rsidR="001363EE" w:rsidRPr="00E813BA" w:rsidRDefault="001363EE" w:rsidP="001363EE">
            <w:pPr>
              <w:rPr>
                <w:szCs w:val="22"/>
              </w:rPr>
            </w:pPr>
            <w:r>
              <w:rPr>
                <w:rFonts w:cs="Arial"/>
                <w:i/>
                <w:sz w:val="16"/>
                <w:szCs w:val="16"/>
              </w:rPr>
              <w:t xml:space="preserve">Original </w:t>
            </w:r>
            <w:r w:rsidRPr="004608BD">
              <w:rPr>
                <w:rFonts w:cs="Arial"/>
                <w:i/>
                <w:sz w:val="16"/>
                <w:szCs w:val="16"/>
              </w:rPr>
              <w:t>Baseline</w:t>
            </w:r>
            <w:r>
              <w:rPr>
                <w:rFonts w:cs="Arial"/>
                <w:i/>
                <w:sz w:val="16"/>
                <w:szCs w:val="16"/>
              </w:rPr>
              <w:t xml:space="preserve"> P&amp;B 2014/15:</w:t>
            </w:r>
            <w:r>
              <w:t xml:space="preserve"> </w:t>
            </w:r>
            <w:r w:rsidRPr="00AC2A2B">
              <w:rPr>
                <w:rFonts w:cs="Arial"/>
                <w:sz w:val="16"/>
                <w:szCs w:val="16"/>
              </w:rPr>
              <w:t>cost (baseline 2013)</w:t>
            </w:r>
          </w:p>
        </w:tc>
        <w:tc>
          <w:tcPr>
            <w:tcW w:w="915" w:type="pct"/>
            <w:gridSpan w:val="2"/>
            <w:shd w:val="clear" w:color="auto" w:fill="auto"/>
            <w:tcMar>
              <w:top w:w="110" w:type="dxa"/>
            </w:tcMar>
          </w:tcPr>
          <w:p w:rsidR="001363EE" w:rsidRPr="006550F0" w:rsidRDefault="001363EE" w:rsidP="001363EE">
            <w:pPr>
              <w:rPr>
                <w:rFonts w:cs="Arial"/>
                <w:sz w:val="16"/>
                <w:szCs w:val="16"/>
              </w:rPr>
            </w:pPr>
            <w:r w:rsidRPr="004B7039">
              <w:rPr>
                <w:rFonts w:cs="Arial"/>
                <w:sz w:val="16"/>
                <w:szCs w:val="16"/>
              </w:rPr>
              <w:t>Reduced average ticket cost</w:t>
            </w:r>
          </w:p>
        </w:tc>
        <w:tc>
          <w:tcPr>
            <w:tcW w:w="1065" w:type="pct"/>
            <w:gridSpan w:val="2"/>
            <w:shd w:val="clear" w:color="auto" w:fill="FFFFFF"/>
            <w:tcMar>
              <w:top w:w="110" w:type="dxa"/>
            </w:tcMar>
          </w:tcPr>
          <w:p w:rsidR="001363EE" w:rsidRDefault="001363EE" w:rsidP="001363EE">
            <w:pPr>
              <w:rPr>
                <w:rFonts w:cs="Arial"/>
                <w:sz w:val="16"/>
                <w:szCs w:val="16"/>
                <w:lang w:bidi="th-TH"/>
              </w:rPr>
            </w:pPr>
            <w:r>
              <w:rPr>
                <w:rFonts w:cs="Arial"/>
                <w:sz w:val="16"/>
                <w:szCs w:val="16"/>
                <w:lang w:bidi="th-TH"/>
              </w:rPr>
              <w:t>1,598 Swiss francs (2014)</w:t>
            </w:r>
          </w:p>
          <w:p w:rsidR="001363EE" w:rsidRPr="00A84FA2" w:rsidRDefault="001363EE" w:rsidP="001363EE">
            <w:pPr>
              <w:rPr>
                <w:rFonts w:cs="Arial"/>
                <w:sz w:val="6"/>
                <w:szCs w:val="6"/>
                <w:lang w:bidi="th-TH"/>
              </w:rPr>
            </w:pPr>
          </w:p>
          <w:p w:rsidR="001363EE" w:rsidRPr="006550F0" w:rsidRDefault="001363EE" w:rsidP="001363EE">
            <w:pPr>
              <w:rPr>
                <w:rFonts w:cs="Arial"/>
                <w:sz w:val="16"/>
                <w:szCs w:val="16"/>
                <w:lang w:bidi="th-TH"/>
              </w:rPr>
            </w:pPr>
            <w:r>
              <w:rPr>
                <w:rFonts w:cs="Arial"/>
                <w:sz w:val="16"/>
                <w:szCs w:val="16"/>
                <w:lang w:bidi="th-TH"/>
              </w:rPr>
              <w:t>1,481 Swiss francs (2015)</w:t>
            </w:r>
          </w:p>
        </w:tc>
        <w:tc>
          <w:tcPr>
            <w:tcW w:w="587" w:type="pct"/>
            <w:gridSpan w:val="2"/>
            <w:shd w:val="clear" w:color="auto" w:fill="auto"/>
            <w:tcMar>
              <w:top w:w="110" w:type="dxa"/>
            </w:tcMar>
          </w:tcPr>
          <w:p w:rsidR="001363EE" w:rsidRPr="003D6AD7" w:rsidRDefault="001363EE" w:rsidP="001363EE">
            <w:pPr>
              <w:keepNext/>
              <w:keepLines/>
              <w:jc w:val="center"/>
              <w:rPr>
                <w:rFonts w:cs="Arial"/>
                <w:b/>
                <w:bCs/>
                <w:color w:val="00B050"/>
                <w:sz w:val="16"/>
                <w:szCs w:val="16"/>
              </w:rPr>
            </w:pPr>
            <w:r>
              <w:rPr>
                <w:rFonts w:cs="Arial"/>
                <w:b/>
                <w:bCs/>
                <w:color w:val="00B050"/>
                <w:sz w:val="16"/>
                <w:szCs w:val="16"/>
              </w:rPr>
              <w:t>Fully A</w:t>
            </w:r>
            <w:r w:rsidRPr="003D6AD7">
              <w:rPr>
                <w:rFonts w:cs="Arial"/>
                <w:b/>
                <w:bCs/>
                <w:color w:val="00B050"/>
                <w:sz w:val="16"/>
                <w:szCs w:val="16"/>
              </w:rPr>
              <w:t>chieved</w:t>
            </w:r>
          </w:p>
        </w:tc>
      </w:tr>
      <w:tr w:rsidR="001363EE" w:rsidRPr="003C3247" w:rsidTr="005F75C8">
        <w:trPr>
          <w:cantSplit/>
        </w:trPr>
        <w:tc>
          <w:tcPr>
            <w:tcW w:w="1144" w:type="pct"/>
            <w:gridSpan w:val="2"/>
            <w:shd w:val="clear" w:color="auto" w:fill="auto"/>
          </w:tcPr>
          <w:p w:rsidR="001363EE" w:rsidRPr="00F62987" w:rsidRDefault="001363EE" w:rsidP="001363EE">
            <w:pPr>
              <w:rPr>
                <w:rFonts w:cs="Arial"/>
                <w:sz w:val="16"/>
                <w:szCs w:val="16"/>
              </w:rPr>
            </w:pPr>
            <w:r w:rsidRPr="004D5A82">
              <w:rPr>
                <w:rFonts w:cs="Arial"/>
                <w:sz w:val="16"/>
                <w:szCs w:val="16"/>
              </w:rPr>
              <w:t>All types of space on the WIPO campus (workplaces, storage and archiving) are effectively managed</w:t>
            </w:r>
          </w:p>
        </w:tc>
        <w:tc>
          <w:tcPr>
            <w:tcW w:w="1289" w:type="pct"/>
            <w:gridSpan w:val="4"/>
            <w:shd w:val="clear" w:color="auto" w:fill="auto"/>
          </w:tcPr>
          <w:p w:rsidR="001363EE" w:rsidRDefault="001363EE" w:rsidP="001363EE">
            <w:pPr>
              <w:rPr>
                <w:i/>
                <w:color w:val="002060"/>
                <w:sz w:val="16"/>
                <w:szCs w:val="16"/>
              </w:rPr>
            </w:pPr>
            <w:r w:rsidRPr="005C1F88">
              <w:rPr>
                <w:i/>
                <w:color w:val="002060"/>
                <w:sz w:val="16"/>
                <w:szCs w:val="16"/>
              </w:rPr>
              <w:t>Updated Baseline end 2013:</w:t>
            </w:r>
            <w:r>
              <w:rPr>
                <w:i/>
                <w:color w:val="002060"/>
                <w:sz w:val="16"/>
                <w:szCs w:val="16"/>
              </w:rPr>
              <w:t xml:space="preserve"> </w:t>
            </w:r>
            <w:r w:rsidRPr="005C1F88">
              <w:rPr>
                <w:color w:val="002060"/>
                <w:sz w:val="16"/>
                <w:szCs w:val="16"/>
              </w:rPr>
              <w:t>80 workplaces (No additional rental office space was required during the biennium.)</w:t>
            </w:r>
            <w:r>
              <w:rPr>
                <w:i/>
                <w:color w:val="002060"/>
                <w:sz w:val="16"/>
                <w:szCs w:val="16"/>
              </w:rPr>
              <w:t xml:space="preserve"> </w:t>
            </w:r>
          </w:p>
          <w:p w:rsidR="001363EE" w:rsidRPr="004D5A82" w:rsidRDefault="001363EE" w:rsidP="001363EE">
            <w:pPr>
              <w:rPr>
                <w:rFonts w:cstheme="minorBidi"/>
                <w:color w:val="002060"/>
                <w:sz w:val="16"/>
                <w:szCs w:val="16"/>
              </w:rPr>
            </w:pPr>
          </w:p>
          <w:p w:rsidR="001363EE" w:rsidRDefault="001363EE" w:rsidP="001363EE">
            <w:pPr>
              <w:rPr>
                <w:rFonts w:cs="Arial"/>
                <w:i/>
                <w:sz w:val="16"/>
                <w:szCs w:val="16"/>
              </w:rPr>
            </w:pPr>
            <w:r>
              <w:rPr>
                <w:rFonts w:cs="Arial"/>
                <w:i/>
                <w:sz w:val="16"/>
                <w:szCs w:val="16"/>
              </w:rPr>
              <w:t xml:space="preserve">Original </w:t>
            </w:r>
            <w:r w:rsidRPr="004608BD">
              <w:rPr>
                <w:rFonts w:cs="Arial"/>
                <w:i/>
                <w:sz w:val="16"/>
                <w:szCs w:val="16"/>
              </w:rPr>
              <w:t>Baseline</w:t>
            </w:r>
            <w:r>
              <w:rPr>
                <w:rFonts w:cs="Arial"/>
                <w:i/>
                <w:sz w:val="16"/>
                <w:szCs w:val="16"/>
              </w:rPr>
              <w:t xml:space="preserve"> P&amp;B 2014/15:</w:t>
            </w:r>
            <w:r>
              <w:t xml:space="preserve"> </w:t>
            </w:r>
            <w:r w:rsidRPr="005C1F88">
              <w:rPr>
                <w:rFonts w:cs="Arial"/>
                <w:sz w:val="16"/>
                <w:szCs w:val="16"/>
              </w:rPr>
              <w:t>Maintain number of workplaces throughout buildings in order to accommodate service expansion and changes in WIPO activities (number of employees at end 2013); maximum of 80 rented workplaces (end 2013);  6 off-site storage/archiving areas (end 2013)</w:t>
            </w:r>
          </w:p>
          <w:p w:rsidR="001363EE" w:rsidRPr="00E813BA" w:rsidRDefault="001363EE" w:rsidP="001363EE">
            <w:pPr>
              <w:rPr>
                <w:szCs w:val="22"/>
              </w:rPr>
            </w:pPr>
          </w:p>
        </w:tc>
        <w:tc>
          <w:tcPr>
            <w:tcW w:w="915" w:type="pct"/>
            <w:gridSpan w:val="2"/>
            <w:shd w:val="clear" w:color="auto" w:fill="auto"/>
            <w:tcMar>
              <w:top w:w="110" w:type="dxa"/>
            </w:tcMar>
          </w:tcPr>
          <w:p w:rsidR="001363EE" w:rsidRPr="006550F0" w:rsidRDefault="001363EE" w:rsidP="001363EE">
            <w:pPr>
              <w:rPr>
                <w:rFonts w:cs="Arial"/>
                <w:sz w:val="16"/>
                <w:szCs w:val="16"/>
              </w:rPr>
            </w:pPr>
            <w:r w:rsidRPr="004B7039">
              <w:rPr>
                <w:rFonts w:cs="Arial"/>
                <w:sz w:val="16"/>
                <w:szCs w:val="16"/>
              </w:rPr>
              <w:t>Maximum of 80</w:t>
            </w:r>
            <w:r>
              <w:rPr>
                <w:rFonts w:cs="Arial"/>
                <w:sz w:val="16"/>
                <w:szCs w:val="16"/>
              </w:rPr>
              <w:t> </w:t>
            </w:r>
            <w:r w:rsidRPr="004B7039">
              <w:rPr>
                <w:rFonts w:cs="Arial"/>
                <w:sz w:val="16"/>
                <w:szCs w:val="16"/>
              </w:rPr>
              <w:t>rented workplaces (out of a total of 1,582 workplaces); 6</w:t>
            </w:r>
            <w:r>
              <w:rPr>
                <w:rFonts w:cs="Arial"/>
                <w:sz w:val="16"/>
                <w:szCs w:val="16"/>
              </w:rPr>
              <w:t> </w:t>
            </w:r>
            <w:r w:rsidRPr="004B7039">
              <w:rPr>
                <w:rFonts w:cs="Arial"/>
                <w:sz w:val="16"/>
                <w:szCs w:val="16"/>
              </w:rPr>
              <w:t>storage/</w:t>
            </w:r>
            <w:r>
              <w:rPr>
                <w:rFonts w:cs="Arial"/>
                <w:sz w:val="16"/>
                <w:szCs w:val="16"/>
              </w:rPr>
              <w:t xml:space="preserve"> </w:t>
            </w:r>
            <w:r w:rsidRPr="004B7039">
              <w:rPr>
                <w:rFonts w:cs="Arial"/>
                <w:sz w:val="16"/>
                <w:szCs w:val="16"/>
              </w:rPr>
              <w:t>archiving area</w:t>
            </w:r>
          </w:p>
        </w:tc>
        <w:tc>
          <w:tcPr>
            <w:tcW w:w="1065" w:type="pct"/>
            <w:gridSpan w:val="2"/>
            <w:shd w:val="clear" w:color="auto" w:fill="FFFFFF"/>
            <w:tcMar>
              <w:top w:w="110" w:type="dxa"/>
            </w:tcMar>
          </w:tcPr>
          <w:p w:rsidR="001363EE" w:rsidRPr="00386FBE" w:rsidRDefault="001363EE" w:rsidP="001363EE">
            <w:pPr>
              <w:rPr>
                <w:rFonts w:cs="Arial"/>
                <w:sz w:val="16"/>
                <w:szCs w:val="16"/>
                <w:highlight w:val="yellow"/>
                <w:lang w:bidi="th-TH"/>
              </w:rPr>
            </w:pPr>
            <w:r w:rsidRPr="00D60CD6">
              <w:rPr>
                <w:rFonts w:cs="Arial"/>
                <w:sz w:val="16"/>
                <w:szCs w:val="16"/>
                <w:lang w:bidi="th-TH"/>
              </w:rPr>
              <w:t xml:space="preserve">80 rented workplaces (out of a total of </w:t>
            </w:r>
            <w:r>
              <w:rPr>
                <w:rFonts w:cs="Arial"/>
                <w:sz w:val="16"/>
                <w:szCs w:val="16"/>
                <w:lang w:bidi="th-TH"/>
              </w:rPr>
              <w:t>1,645</w:t>
            </w:r>
            <w:r w:rsidRPr="00D60CD6">
              <w:rPr>
                <w:rFonts w:cs="Arial"/>
                <w:sz w:val="16"/>
                <w:szCs w:val="16"/>
                <w:lang w:bidi="th-TH"/>
              </w:rPr>
              <w:t xml:space="preserve"> workplaces); </w:t>
            </w:r>
            <w:r>
              <w:rPr>
                <w:rFonts w:cs="Arial"/>
                <w:sz w:val="16"/>
                <w:szCs w:val="16"/>
                <w:lang w:bidi="th-TH"/>
              </w:rPr>
              <w:t xml:space="preserve">4 </w:t>
            </w:r>
            <w:r w:rsidRPr="00D60CD6">
              <w:rPr>
                <w:rFonts w:cs="Arial"/>
                <w:sz w:val="16"/>
                <w:szCs w:val="16"/>
                <w:lang w:bidi="th-TH"/>
              </w:rPr>
              <w:t xml:space="preserve">storage /archiving areas due to termination of the lease for </w:t>
            </w:r>
            <w:r>
              <w:rPr>
                <w:rFonts w:cs="Arial"/>
                <w:sz w:val="16"/>
                <w:szCs w:val="16"/>
                <w:lang w:bidi="th-TH"/>
              </w:rPr>
              <w:t xml:space="preserve">two </w:t>
            </w:r>
            <w:r w:rsidRPr="00D60CD6">
              <w:rPr>
                <w:rFonts w:cs="Arial"/>
                <w:sz w:val="16"/>
                <w:szCs w:val="16"/>
                <w:lang w:bidi="th-TH"/>
              </w:rPr>
              <w:t>off-site storage area</w:t>
            </w:r>
            <w:r>
              <w:rPr>
                <w:rFonts w:cs="Arial"/>
                <w:sz w:val="16"/>
                <w:szCs w:val="16"/>
                <w:lang w:bidi="th-TH"/>
              </w:rPr>
              <w:t>s</w:t>
            </w:r>
            <w:r w:rsidRPr="00D60CD6">
              <w:rPr>
                <w:rFonts w:cs="Arial"/>
                <w:sz w:val="16"/>
                <w:szCs w:val="16"/>
                <w:lang w:bidi="th-TH"/>
              </w:rPr>
              <w:t>.</w:t>
            </w:r>
            <w:r>
              <w:rPr>
                <w:rFonts w:cs="Arial"/>
                <w:sz w:val="16"/>
                <w:szCs w:val="16"/>
                <w:lang w:bidi="th-TH"/>
              </w:rPr>
              <w:t xml:space="preserve"> </w:t>
            </w:r>
            <w:r w:rsidRPr="00D60CD6">
              <w:rPr>
                <w:rFonts w:cs="Arial"/>
                <w:sz w:val="16"/>
                <w:szCs w:val="16"/>
                <w:lang w:bidi="th-TH"/>
              </w:rPr>
              <w:t xml:space="preserve"> In addition, termination of the lease for a stand-alone self-contained space in a warehouse storage, and termination of the rental of </w:t>
            </w:r>
            <w:r>
              <w:rPr>
                <w:rFonts w:cs="Arial"/>
                <w:sz w:val="16"/>
                <w:szCs w:val="16"/>
                <w:lang w:bidi="th-TH"/>
              </w:rPr>
              <w:t>57</w:t>
            </w:r>
            <w:r w:rsidRPr="00D60CD6">
              <w:rPr>
                <w:rFonts w:cs="Arial"/>
                <w:sz w:val="16"/>
                <w:szCs w:val="16"/>
                <w:lang w:bidi="th-TH"/>
              </w:rPr>
              <w:t xml:space="preserve"> off-site parking spaces.</w:t>
            </w:r>
          </w:p>
        </w:tc>
        <w:tc>
          <w:tcPr>
            <w:tcW w:w="587" w:type="pct"/>
            <w:gridSpan w:val="2"/>
            <w:shd w:val="clear" w:color="auto" w:fill="auto"/>
            <w:tcMar>
              <w:top w:w="110" w:type="dxa"/>
            </w:tcMar>
          </w:tcPr>
          <w:p w:rsidR="001363EE" w:rsidRDefault="001363EE" w:rsidP="001363EE">
            <w:pPr>
              <w:pStyle w:val="Default"/>
              <w:jc w:val="center"/>
              <w:rPr>
                <w:color w:val="00AF50"/>
                <w:sz w:val="16"/>
                <w:szCs w:val="16"/>
              </w:rPr>
            </w:pPr>
            <w:r>
              <w:rPr>
                <w:b/>
                <w:bCs/>
                <w:color w:val="00AF50"/>
                <w:sz w:val="16"/>
                <w:szCs w:val="16"/>
              </w:rPr>
              <w:t>Fully Achieved</w:t>
            </w:r>
          </w:p>
          <w:p w:rsidR="001363EE" w:rsidRPr="003C3247" w:rsidRDefault="001363EE" w:rsidP="001363EE">
            <w:pPr>
              <w:keepNext/>
              <w:keepLines/>
              <w:jc w:val="center"/>
              <w:rPr>
                <w:rFonts w:cs="Arial"/>
                <w:bCs/>
                <w:color w:val="FF0000"/>
                <w:sz w:val="16"/>
                <w:szCs w:val="16"/>
              </w:rPr>
            </w:pPr>
          </w:p>
        </w:tc>
      </w:tr>
      <w:tr w:rsidR="001363EE" w:rsidRPr="003C3247" w:rsidTr="001363EE">
        <w:trPr>
          <w:cantSplit/>
          <w:trHeight w:val="530"/>
        </w:trPr>
        <w:tc>
          <w:tcPr>
            <w:tcW w:w="5000" w:type="pct"/>
            <w:gridSpan w:val="12"/>
            <w:tcBorders>
              <w:top w:val="single" w:sz="4" w:space="0" w:color="auto"/>
              <w:bottom w:val="single" w:sz="4" w:space="0" w:color="auto"/>
            </w:tcBorders>
            <w:shd w:val="clear" w:color="auto" w:fill="C6D9F1" w:themeFill="text2" w:themeFillTint="33"/>
            <w:vAlign w:val="center"/>
          </w:tcPr>
          <w:p w:rsidR="001363EE" w:rsidRPr="007A1AB3" w:rsidDel="007A1AB3" w:rsidRDefault="001363EE" w:rsidP="001363EE">
            <w:pPr>
              <w:pStyle w:val="Default"/>
              <w:rPr>
                <w:b/>
                <w:bCs/>
                <w:color w:val="00AF50"/>
                <w:sz w:val="16"/>
                <w:szCs w:val="16"/>
              </w:rPr>
            </w:pPr>
            <w:r w:rsidRPr="00234BEF">
              <w:rPr>
                <w:b/>
                <w:bCs/>
                <w:sz w:val="16"/>
                <w:szCs w:val="16"/>
              </w:rPr>
              <w:t>Expected Result</w:t>
            </w:r>
            <w:r>
              <w:rPr>
                <w:b/>
                <w:bCs/>
                <w:sz w:val="16"/>
                <w:szCs w:val="16"/>
              </w:rPr>
              <w:t>:</w:t>
            </w:r>
            <w:r>
              <w:rPr>
                <w:b/>
                <w:bCs/>
                <w:sz w:val="16"/>
                <w:szCs w:val="16"/>
              </w:rPr>
              <w:tab/>
            </w:r>
            <w:r w:rsidRPr="00F62987">
              <w:rPr>
                <w:sz w:val="16"/>
                <w:szCs w:val="16"/>
              </w:rPr>
              <w:t>IX.1 Effective, efficient, quality and customer-oriented support services both to internal clients and to external stakeholders</w:t>
            </w:r>
          </w:p>
        </w:tc>
      </w:tr>
      <w:tr w:rsidR="001363EE" w:rsidRPr="003C3247" w:rsidTr="005F75C8">
        <w:tc>
          <w:tcPr>
            <w:tcW w:w="1103" w:type="pct"/>
            <w:tcBorders>
              <w:top w:val="single" w:sz="4" w:space="0" w:color="auto"/>
            </w:tcBorders>
            <w:shd w:val="clear" w:color="auto" w:fill="auto"/>
            <w:vAlign w:val="center"/>
          </w:tcPr>
          <w:p w:rsidR="001363EE" w:rsidRPr="0028218A" w:rsidRDefault="001363EE" w:rsidP="001363EE">
            <w:pPr>
              <w:keepNext/>
              <w:keepLines/>
              <w:rPr>
                <w:rFonts w:cs="Arial"/>
                <w:sz w:val="16"/>
                <w:szCs w:val="16"/>
              </w:rPr>
            </w:pPr>
            <w:r w:rsidRPr="0028218A">
              <w:rPr>
                <w:rFonts w:cs="Arial"/>
                <w:b/>
                <w:bCs/>
                <w:sz w:val="16"/>
                <w:szCs w:val="16"/>
              </w:rPr>
              <w:t>Performance Indicators</w:t>
            </w:r>
          </w:p>
        </w:tc>
        <w:tc>
          <w:tcPr>
            <w:tcW w:w="1326" w:type="pct"/>
            <w:gridSpan w:val="4"/>
            <w:tcBorders>
              <w:top w:val="single" w:sz="4" w:space="0" w:color="auto"/>
            </w:tcBorders>
            <w:shd w:val="clear" w:color="auto" w:fill="auto"/>
            <w:vAlign w:val="center"/>
          </w:tcPr>
          <w:p w:rsidR="001363EE" w:rsidRPr="0028218A" w:rsidRDefault="001363EE" w:rsidP="001363EE">
            <w:pPr>
              <w:keepNext/>
              <w:keepLines/>
              <w:rPr>
                <w:rFonts w:cs="Arial"/>
                <w:b/>
                <w:bCs/>
                <w:sz w:val="16"/>
                <w:szCs w:val="16"/>
              </w:rPr>
            </w:pPr>
            <w:r w:rsidRPr="0028218A">
              <w:rPr>
                <w:rFonts w:cs="Arial"/>
                <w:b/>
                <w:bCs/>
                <w:sz w:val="16"/>
                <w:szCs w:val="16"/>
              </w:rPr>
              <w:t>Baselines</w:t>
            </w:r>
          </w:p>
        </w:tc>
        <w:tc>
          <w:tcPr>
            <w:tcW w:w="919" w:type="pct"/>
            <w:gridSpan w:val="3"/>
            <w:tcBorders>
              <w:top w:val="single" w:sz="4" w:space="0" w:color="auto"/>
            </w:tcBorders>
            <w:shd w:val="clear" w:color="auto" w:fill="auto"/>
            <w:tcMar>
              <w:top w:w="110" w:type="dxa"/>
            </w:tcMar>
            <w:vAlign w:val="center"/>
          </w:tcPr>
          <w:p w:rsidR="001363EE" w:rsidRPr="0028218A" w:rsidRDefault="001363EE" w:rsidP="001363EE">
            <w:pPr>
              <w:keepNext/>
              <w:keepLines/>
              <w:rPr>
                <w:rFonts w:cs="Arial"/>
                <w:b/>
                <w:sz w:val="16"/>
                <w:szCs w:val="16"/>
              </w:rPr>
            </w:pPr>
            <w:r w:rsidRPr="0028218A">
              <w:rPr>
                <w:rFonts w:cs="Arial"/>
                <w:b/>
                <w:sz w:val="16"/>
                <w:szCs w:val="16"/>
              </w:rPr>
              <w:t>Target</w:t>
            </w:r>
            <w:r>
              <w:rPr>
                <w:rFonts w:cs="Arial"/>
                <w:b/>
                <w:sz w:val="16"/>
                <w:szCs w:val="16"/>
              </w:rPr>
              <w:t>s</w:t>
            </w:r>
          </w:p>
        </w:tc>
        <w:tc>
          <w:tcPr>
            <w:tcW w:w="1065" w:type="pct"/>
            <w:gridSpan w:val="2"/>
            <w:tcBorders>
              <w:top w:val="single" w:sz="4" w:space="0" w:color="auto"/>
            </w:tcBorders>
            <w:shd w:val="clear" w:color="auto" w:fill="FFFFFF"/>
            <w:tcMar>
              <w:top w:w="110" w:type="dxa"/>
            </w:tcMar>
            <w:vAlign w:val="center"/>
          </w:tcPr>
          <w:p w:rsidR="001363EE" w:rsidRPr="0028218A" w:rsidRDefault="001363EE" w:rsidP="001363EE">
            <w:pPr>
              <w:keepNext/>
              <w:keepLines/>
              <w:rPr>
                <w:rFonts w:cs="Arial"/>
                <w:sz w:val="16"/>
                <w:szCs w:val="16"/>
              </w:rPr>
            </w:pPr>
            <w:r w:rsidRPr="0028218A">
              <w:rPr>
                <w:rFonts w:cs="Arial"/>
                <w:b/>
                <w:bCs/>
                <w:sz w:val="16"/>
                <w:szCs w:val="16"/>
              </w:rPr>
              <w:t>Performance Data</w:t>
            </w:r>
          </w:p>
        </w:tc>
        <w:tc>
          <w:tcPr>
            <w:tcW w:w="587" w:type="pct"/>
            <w:gridSpan w:val="2"/>
            <w:tcBorders>
              <w:top w:val="single" w:sz="4" w:space="0" w:color="auto"/>
            </w:tcBorders>
            <w:shd w:val="clear" w:color="auto" w:fill="auto"/>
            <w:tcMar>
              <w:top w:w="110" w:type="dxa"/>
            </w:tcMar>
            <w:vAlign w:val="center"/>
          </w:tcPr>
          <w:p w:rsidR="001363EE" w:rsidRPr="0028218A" w:rsidRDefault="001363EE" w:rsidP="001363EE">
            <w:pPr>
              <w:keepNext/>
              <w:keepLines/>
              <w:jc w:val="center"/>
              <w:rPr>
                <w:rFonts w:cs="Arial"/>
                <w:b/>
                <w:bCs/>
                <w:sz w:val="16"/>
                <w:szCs w:val="16"/>
              </w:rPr>
            </w:pPr>
            <w:r w:rsidRPr="0028218A">
              <w:rPr>
                <w:rFonts w:cs="Arial"/>
                <w:b/>
                <w:bCs/>
                <w:sz w:val="16"/>
                <w:szCs w:val="16"/>
              </w:rPr>
              <w:t>TLS</w:t>
            </w:r>
          </w:p>
        </w:tc>
      </w:tr>
      <w:tr w:rsidR="001363EE" w:rsidRPr="003C3247" w:rsidTr="005F75C8">
        <w:tc>
          <w:tcPr>
            <w:tcW w:w="1103" w:type="pct"/>
            <w:shd w:val="clear" w:color="auto" w:fill="auto"/>
          </w:tcPr>
          <w:p w:rsidR="001363EE" w:rsidRPr="00F62987" w:rsidRDefault="001363EE" w:rsidP="001363EE">
            <w:pPr>
              <w:rPr>
                <w:rFonts w:cs="Arial"/>
                <w:sz w:val="16"/>
                <w:szCs w:val="16"/>
              </w:rPr>
            </w:pPr>
            <w:r w:rsidRPr="004D5A82">
              <w:rPr>
                <w:rFonts w:cs="Arial"/>
                <w:sz w:val="16"/>
                <w:szCs w:val="16"/>
              </w:rPr>
              <w:t>Buildings in the WIPO c</w:t>
            </w:r>
            <w:r>
              <w:rPr>
                <w:rFonts w:cs="Arial"/>
                <w:sz w:val="16"/>
                <w:szCs w:val="16"/>
              </w:rPr>
              <w:t>ampus are renovated/modernized/</w:t>
            </w:r>
            <w:r w:rsidRPr="004D5A82">
              <w:rPr>
                <w:rFonts w:cs="Arial"/>
                <w:sz w:val="16"/>
                <w:szCs w:val="16"/>
              </w:rPr>
              <w:t>transformed to remain fit for purpose</w:t>
            </w:r>
          </w:p>
        </w:tc>
        <w:tc>
          <w:tcPr>
            <w:tcW w:w="1326" w:type="pct"/>
            <w:gridSpan w:val="4"/>
            <w:shd w:val="clear" w:color="auto" w:fill="auto"/>
          </w:tcPr>
          <w:p w:rsidR="001363EE" w:rsidRPr="00022AC8" w:rsidRDefault="001363EE" w:rsidP="001363EE">
            <w:pPr>
              <w:rPr>
                <w:color w:val="002060"/>
                <w:sz w:val="16"/>
                <w:szCs w:val="16"/>
              </w:rPr>
            </w:pPr>
            <w:r w:rsidRPr="00022AC8">
              <w:rPr>
                <w:i/>
                <w:color w:val="002060"/>
                <w:sz w:val="16"/>
                <w:szCs w:val="16"/>
              </w:rPr>
              <w:t>Updated Baseline end 2013</w:t>
            </w:r>
            <w:r w:rsidRPr="006B6FD7">
              <w:rPr>
                <w:i/>
                <w:color w:val="002060"/>
                <w:sz w:val="16"/>
                <w:szCs w:val="16"/>
              </w:rPr>
              <w:t>:</w:t>
            </w:r>
            <w:r>
              <w:t xml:space="preserve"> </w:t>
            </w:r>
            <w:r w:rsidRPr="00022AC8">
              <w:rPr>
                <w:color w:val="002060"/>
                <w:sz w:val="16"/>
                <w:szCs w:val="16"/>
              </w:rPr>
              <w:t>The cooling installations in GBI and GB II Buildings using the Geneva Lake Water system were upgraded and completed in 2012 and June 2013 respectively.</w:t>
            </w:r>
          </w:p>
          <w:p w:rsidR="001363EE" w:rsidRPr="00022AC8" w:rsidRDefault="001363EE" w:rsidP="001363EE">
            <w:pPr>
              <w:rPr>
                <w:color w:val="002060"/>
                <w:sz w:val="16"/>
                <w:szCs w:val="16"/>
              </w:rPr>
            </w:pPr>
          </w:p>
          <w:p w:rsidR="001363EE" w:rsidRDefault="001363EE" w:rsidP="001363EE">
            <w:pPr>
              <w:rPr>
                <w:rFonts w:cstheme="minorBidi"/>
                <w:color w:val="002060"/>
                <w:sz w:val="16"/>
                <w:szCs w:val="16"/>
              </w:rPr>
            </w:pPr>
            <w:r w:rsidRPr="00022AC8">
              <w:rPr>
                <w:color w:val="002060"/>
                <w:sz w:val="16"/>
                <w:szCs w:val="16"/>
              </w:rPr>
              <w:t>The electrical installations in the oldest building (GBI) started to be upgraded in 2012 to comply with recently enacted local legislation, with the added benefit of setting a technical framework for reducing electricity consumption.  It was completed in 2013.</w:t>
            </w:r>
            <w:r w:rsidRPr="006B6FD7">
              <w:rPr>
                <w:color w:val="002060"/>
                <w:sz w:val="16"/>
                <w:szCs w:val="16"/>
              </w:rPr>
              <w:t xml:space="preserve"> </w:t>
            </w:r>
          </w:p>
          <w:p w:rsidR="001363EE" w:rsidRPr="004D5A82" w:rsidRDefault="001363EE" w:rsidP="001363EE">
            <w:pPr>
              <w:rPr>
                <w:rFonts w:cstheme="minorBidi"/>
                <w:color w:val="002060"/>
                <w:sz w:val="16"/>
                <w:szCs w:val="16"/>
              </w:rPr>
            </w:pPr>
          </w:p>
          <w:p w:rsidR="001363EE" w:rsidRPr="00E813BA" w:rsidRDefault="001363EE" w:rsidP="001363EE">
            <w:pPr>
              <w:rPr>
                <w:szCs w:val="22"/>
              </w:rPr>
            </w:pPr>
            <w:r>
              <w:rPr>
                <w:rFonts w:cs="Arial"/>
                <w:i/>
                <w:sz w:val="16"/>
                <w:szCs w:val="16"/>
              </w:rPr>
              <w:t xml:space="preserve">Original </w:t>
            </w:r>
            <w:r w:rsidRPr="004608BD">
              <w:rPr>
                <w:rFonts w:cs="Arial"/>
                <w:i/>
                <w:sz w:val="16"/>
                <w:szCs w:val="16"/>
              </w:rPr>
              <w:t>Baseline</w:t>
            </w:r>
            <w:r>
              <w:rPr>
                <w:rFonts w:cs="Arial"/>
                <w:i/>
                <w:sz w:val="16"/>
                <w:szCs w:val="16"/>
              </w:rPr>
              <w:t xml:space="preserve"> P&amp;B 2014/15: </w:t>
            </w:r>
            <w:r w:rsidRPr="005C1F88">
              <w:rPr>
                <w:rFonts w:cs="Arial"/>
                <w:sz w:val="16"/>
                <w:szCs w:val="16"/>
              </w:rPr>
              <w:t>6-year plan for first phase of implementation of required major renovation, transformation and/or modernization of premises on WIPO campus</w:t>
            </w:r>
          </w:p>
        </w:tc>
        <w:tc>
          <w:tcPr>
            <w:tcW w:w="919" w:type="pct"/>
            <w:gridSpan w:val="3"/>
            <w:shd w:val="clear" w:color="auto" w:fill="auto"/>
            <w:tcMar>
              <w:top w:w="110" w:type="dxa"/>
            </w:tcMar>
          </w:tcPr>
          <w:p w:rsidR="001363EE" w:rsidRPr="006550F0" w:rsidRDefault="001363EE" w:rsidP="001363EE">
            <w:pPr>
              <w:rPr>
                <w:rFonts w:cs="Arial"/>
                <w:sz w:val="16"/>
                <w:szCs w:val="16"/>
              </w:rPr>
            </w:pPr>
            <w:r w:rsidRPr="004B7039">
              <w:rPr>
                <w:rFonts w:cs="Arial"/>
                <w:sz w:val="16"/>
                <w:szCs w:val="16"/>
              </w:rPr>
              <w:t>Implementation of major renovation, transformation and/or modernization projects according to 6-year plan</w:t>
            </w:r>
          </w:p>
        </w:tc>
        <w:tc>
          <w:tcPr>
            <w:tcW w:w="1065" w:type="pct"/>
            <w:gridSpan w:val="2"/>
            <w:shd w:val="clear" w:color="auto" w:fill="FFFFFF"/>
            <w:tcMar>
              <w:top w:w="110" w:type="dxa"/>
            </w:tcMar>
          </w:tcPr>
          <w:p w:rsidR="001363EE" w:rsidRDefault="001363EE" w:rsidP="001363EE">
            <w:pPr>
              <w:pStyle w:val="Default"/>
              <w:rPr>
                <w:sz w:val="16"/>
                <w:szCs w:val="16"/>
              </w:rPr>
            </w:pPr>
            <w:r>
              <w:rPr>
                <w:sz w:val="16"/>
                <w:szCs w:val="16"/>
              </w:rPr>
              <w:t>See Appendix III: Progress Report on the Capital Master Plan (CMP) in 2014</w:t>
            </w:r>
            <w:r>
              <w:rPr>
                <w:rStyle w:val="FootnoteReference"/>
                <w:sz w:val="16"/>
                <w:szCs w:val="16"/>
              </w:rPr>
              <w:footnoteReference w:id="137"/>
            </w:r>
            <w:r>
              <w:rPr>
                <w:sz w:val="16"/>
                <w:szCs w:val="16"/>
              </w:rPr>
              <w:t xml:space="preserve"> and</w:t>
            </w:r>
            <w:r w:rsidR="00C457B7">
              <w:rPr>
                <w:sz w:val="16"/>
                <w:szCs w:val="16"/>
              </w:rPr>
              <w:t> </w:t>
            </w:r>
            <w:r>
              <w:rPr>
                <w:sz w:val="16"/>
                <w:szCs w:val="16"/>
              </w:rPr>
              <w:t xml:space="preserve">2015. </w:t>
            </w:r>
          </w:p>
          <w:p w:rsidR="001363EE" w:rsidRDefault="001363EE" w:rsidP="001363EE">
            <w:pPr>
              <w:rPr>
                <w:rFonts w:cs="Arial"/>
                <w:sz w:val="16"/>
                <w:szCs w:val="16"/>
                <w:lang w:bidi="th-TH"/>
              </w:rPr>
            </w:pPr>
          </w:p>
          <w:p w:rsidR="001363EE" w:rsidRDefault="001363EE" w:rsidP="001363EE">
            <w:pPr>
              <w:pStyle w:val="Default"/>
              <w:rPr>
                <w:sz w:val="16"/>
                <w:szCs w:val="16"/>
              </w:rPr>
            </w:pPr>
            <w:r>
              <w:rPr>
                <w:sz w:val="16"/>
                <w:szCs w:val="16"/>
              </w:rPr>
              <w:t>In addition to the CMP, the following modernization and transformation projects were implemented in</w:t>
            </w:r>
            <w:r w:rsidR="00C457B7">
              <w:rPr>
                <w:sz w:val="16"/>
                <w:szCs w:val="16"/>
              </w:rPr>
              <w:t> </w:t>
            </w:r>
            <w:r>
              <w:rPr>
                <w:sz w:val="16"/>
                <w:szCs w:val="16"/>
              </w:rPr>
              <w:t xml:space="preserve">2014:  </w:t>
            </w:r>
          </w:p>
          <w:p w:rsidR="001363EE" w:rsidRDefault="001363EE" w:rsidP="001363EE">
            <w:pPr>
              <w:pStyle w:val="Default"/>
              <w:rPr>
                <w:sz w:val="16"/>
                <w:szCs w:val="16"/>
              </w:rPr>
            </w:pPr>
            <w:r w:rsidRPr="004509AD">
              <w:rPr>
                <w:sz w:val="16"/>
                <w:szCs w:val="16"/>
              </w:rPr>
              <w:t>(i</w:t>
            </w:r>
            <w:r>
              <w:rPr>
                <w:sz w:val="16"/>
                <w:szCs w:val="16"/>
              </w:rPr>
              <w:t>) main structural work for multimedia studio;  (ii) upgrade of technical installations and technical management systems (electrical; water distribution system;</w:t>
            </w:r>
            <w:r w:rsidR="00103F66">
              <w:rPr>
                <w:sz w:val="16"/>
                <w:szCs w:val="16"/>
              </w:rPr>
              <w:t xml:space="preserve">  </w:t>
            </w:r>
            <w:r>
              <w:rPr>
                <w:sz w:val="16"/>
                <w:szCs w:val="16"/>
              </w:rPr>
              <w:t xml:space="preserve">increase in power and cooling capacity in NB data center; replacement of cooling tower for redundancy cooling; upgrade of lightning rod in PCT and GBII buildings); (iii) upgrade of ventilation system for AB building (11th and 13th floors); and (iv) upgrade of technical alarms in NB.  </w:t>
            </w:r>
          </w:p>
          <w:p w:rsidR="001363EE" w:rsidRDefault="001363EE" w:rsidP="001363EE">
            <w:pPr>
              <w:pStyle w:val="Default"/>
              <w:rPr>
                <w:sz w:val="16"/>
                <w:szCs w:val="16"/>
              </w:rPr>
            </w:pPr>
          </w:p>
          <w:p w:rsidR="001363EE" w:rsidRDefault="001363EE" w:rsidP="001363EE">
            <w:pPr>
              <w:pStyle w:val="Default"/>
              <w:rPr>
                <w:sz w:val="16"/>
                <w:szCs w:val="16"/>
              </w:rPr>
            </w:pPr>
            <w:r>
              <w:rPr>
                <w:sz w:val="16"/>
                <w:szCs w:val="16"/>
              </w:rPr>
              <w:t xml:space="preserve">The following modernization and transformation projects were implemented in 2015:  </w:t>
            </w:r>
          </w:p>
          <w:p w:rsidR="001363EE" w:rsidRDefault="001363EE" w:rsidP="001363EE">
            <w:pPr>
              <w:pStyle w:val="Default"/>
              <w:rPr>
                <w:sz w:val="16"/>
                <w:szCs w:val="16"/>
              </w:rPr>
            </w:pPr>
            <w:r w:rsidRPr="004509AD">
              <w:rPr>
                <w:sz w:val="16"/>
                <w:szCs w:val="16"/>
              </w:rPr>
              <w:t>(i</w:t>
            </w:r>
            <w:r>
              <w:rPr>
                <w:sz w:val="16"/>
                <w:szCs w:val="16"/>
              </w:rPr>
              <w:t>) upgrade of electrical installations and replacement of light fixtures on various floors and underground levels of AB Building; (ii) creation of new service doors to facilitate access by vehicles to NB ground floor; (iii) upgrade of ventilation and cooling installation in AB and PCT Buildings;  (iv) renovation of one set of used water pipes in AB Building; (v) replacement of industrial dishwasher in PCT cafeteria.</w:t>
            </w:r>
          </w:p>
          <w:p w:rsidR="001363EE" w:rsidRPr="006550F0" w:rsidRDefault="001363EE" w:rsidP="001363EE">
            <w:pPr>
              <w:pStyle w:val="Default"/>
              <w:rPr>
                <w:sz w:val="16"/>
                <w:szCs w:val="16"/>
                <w:lang w:bidi="th-TH"/>
              </w:rPr>
            </w:pPr>
          </w:p>
        </w:tc>
        <w:tc>
          <w:tcPr>
            <w:tcW w:w="587" w:type="pct"/>
            <w:gridSpan w:val="2"/>
            <w:shd w:val="clear" w:color="auto" w:fill="auto"/>
            <w:tcMar>
              <w:top w:w="110" w:type="dxa"/>
            </w:tcMar>
          </w:tcPr>
          <w:p w:rsidR="001363EE" w:rsidRDefault="001363EE" w:rsidP="001363EE">
            <w:pPr>
              <w:pStyle w:val="Default"/>
              <w:jc w:val="center"/>
              <w:rPr>
                <w:color w:val="00AF50"/>
                <w:sz w:val="16"/>
                <w:szCs w:val="16"/>
              </w:rPr>
            </w:pPr>
            <w:r w:rsidRPr="007A1AB3">
              <w:rPr>
                <w:b/>
                <w:bCs/>
                <w:color w:val="00AF50"/>
                <w:sz w:val="16"/>
                <w:szCs w:val="16"/>
              </w:rPr>
              <w:t>Fully</w:t>
            </w:r>
            <w:r>
              <w:rPr>
                <w:b/>
                <w:bCs/>
                <w:color w:val="00AF50"/>
                <w:sz w:val="16"/>
                <w:szCs w:val="16"/>
              </w:rPr>
              <w:t xml:space="preserve"> Achieved</w:t>
            </w:r>
          </w:p>
          <w:p w:rsidR="001363EE" w:rsidRPr="003C3247" w:rsidRDefault="001363EE" w:rsidP="001363EE">
            <w:pPr>
              <w:keepNext/>
              <w:keepLines/>
              <w:jc w:val="center"/>
              <w:rPr>
                <w:rFonts w:cs="Arial"/>
                <w:bCs/>
                <w:color w:val="FF0000"/>
                <w:sz w:val="16"/>
                <w:szCs w:val="16"/>
              </w:rPr>
            </w:pPr>
          </w:p>
        </w:tc>
      </w:tr>
      <w:tr w:rsidR="001363EE" w:rsidRPr="003C3247" w:rsidTr="005F75C8">
        <w:trPr>
          <w:cantSplit/>
        </w:trPr>
        <w:tc>
          <w:tcPr>
            <w:tcW w:w="1103" w:type="pct"/>
            <w:tcBorders>
              <w:bottom w:val="single" w:sz="4" w:space="0" w:color="auto"/>
            </w:tcBorders>
            <w:shd w:val="clear" w:color="auto" w:fill="auto"/>
          </w:tcPr>
          <w:p w:rsidR="001363EE" w:rsidRPr="00FE03FF" w:rsidRDefault="001363EE" w:rsidP="001363EE">
            <w:pPr>
              <w:rPr>
                <w:rFonts w:cs="Arial"/>
                <w:sz w:val="16"/>
                <w:szCs w:val="16"/>
              </w:rPr>
            </w:pPr>
            <w:r w:rsidRPr="004D5A82">
              <w:rPr>
                <w:rFonts w:cs="Arial"/>
                <w:sz w:val="16"/>
                <w:szCs w:val="16"/>
              </w:rPr>
              <w:t>All types of critical technical installations comply with applicable technical standards</w:t>
            </w:r>
          </w:p>
        </w:tc>
        <w:tc>
          <w:tcPr>
            <w:tcW w:w="1326" w:type="pct"/>
            <w:gridSpan w:val="4"/>
            <w:tcBorders>
              <w:bottom w:val="single" w:sz="4" w:space="0" w:color="auto"/>
            </w:tcBorders>
            <w:shd w:val="clear" w:color="auto" w:fill="auto"/>
          </w:tcPr>
          <w:p w:rsidR="001363EE" w:rsidRDefault="001363EE" w:rsidP="001363EE">
            <w:pPr>
              <w:rPr>
                <w:rFonts w:cs="Arial"/>
                <w:sz w:val="16"/>
                <w:szCs w:val="16"/>
              </w:rPr>
            </w:pPr>
            <w:r w:rsidRPr="005C1F88">
              <w:rPr>
                <w:rFonts w:cs="Arial"/>
                <w:sz w:val="16"/>
                <w:szCs w:val="16"/>
              </w:rPr>
              <w:t>Compliance of technical installations with applicable standards and definition of critical installations</w:t>
            </w:r>
          </w:p>
          <w:p w:rsidR="001363EE" w:rsidRPr="00E813BA" w:rsidRDefault="001363EE" w:rsidP="001363EE">
            <w:pPr>
              <w:rPr>
                <w:rFonts w:cstheme="minorBidi"/>
                <w:szCs w:val="22"/>
              </w:rPr>
            </w:pPr>
          </w:p>
        </w:tc>
        <w:tc>
          <w:tcPr>
            <w:tcW w:w="919" w:type="pct"/>
            <w:gridSpan w:val="3"/>
            <w:tcBorders>
              <w:bottom w:val="single" w:sz="4" w:space="0" w:color="auto"/>
            </w:tcBorders>
            <w:shd w:val="clear" w:color="auto" w:fill="auto"/>
            <w:tcMar>
              <w:top w:w="110" w:type="dxa"/>
            </w:tcMar>
          </w:tcPr>
          <w:p w:rsidR="001363EE" w:rsidRPr="006550F0" w:rsidRDefault="001363EE" w:rsidP="001363EE">
            <w:pPr>
              <w:rPr>
                <w:rFonts w:cs="Arial"/>
                <w:sz w:val="16"/>
                <w:szCs w:val="16"/>
              </w:rPr>
            </w:pPr>
            <w:r w:rsidRPr="004D5A82">
              <w:rPr>
                <w:rFonts w:cs="Arial"/>
                <w:sz w:val="16"/>
                <w:szCs w:val="16"/>
              </w:rPr>
              <w:t>Verification and/or improve/replace (if required) of critical technical installations as necessary</w:t>
            </w:r>
          </w:p>
        </w:tc>
        <w:tc>
          <w:tcPr>
            <w:tcW w:w="1065" w:type="pct"/>
            <w:gridSpan w:val="2"/>
            <w:tcBorders>
              <w:bottom w:val="single" w:sz="4" w:space="0" w:color="auto"/>
            </w:tcBorders>
            <w:shd w:val="clear" w:color="auto" w:fill="FFFFFF"/>
            <w:tcMar>
              <w:top w:w="110" w:type="dxa"/>
            </w:tcMar>
          </w:tcPr>
          <w:p w:rsidR="001363EE" w:rsidRDefault="001363EE" w:rsidP="001363EE">
            <w:pPr>
              <w:pStyle w:val="Default"/>
              <w:rPr>
                <w:sz w:val="16"/>
                <w:szCs w:val="16"/>
              </w:rPr>
            </w:pPr>
            <w:r>
              <w:rPr>
                <w:sz w:val="16"/>
                <w:szCs w:val="16"/>
              </w:rPr>
              <w:t>Critical installations periodically verified.  The first detailed inventory of all critical installations was completed in 2014.  Inventory is regularly updated as needed since 2015.</w:t>
            </w:r>
          </w:p>
          <w:p w:rsidR="001363EE" w:rsidRPr="006550F0" w:rsidRDefault="001363EE" w:rsidP="001363EE">
            <w:pPr>
              <w:rPr>
                <w:rFonts w:cs="Arial"/>
                <w:sz w:val="16"/>
                <w:szCs w:val="16"/>
              </w:rPr>
            </w:pPr>
          </w:p>
        </w:tc>
        <w:tc>
          <w:tcPr>
            <w:tcW w:w="587" w:type="pct"/>
            <w:gridSpan w:val="2"/>
            <w:tcBorders>
              <w:bottom w:val="single" w:sz="4" w:space="0" w:color="auto"/>
            </w:tcBorders>
            <w:shd w:val="clear" w:color="auto" w:fill="auto"/>
            <w:tcMar>
              <w:top w:w="110" w:type="dxa"/>
            </w:tcMar>
          </w:tcPr>
          <w:p w:rsidR="001363EE" w:rsidRDefault="001363EE" w:rsidP="001363EE">
            <w:pPr>
              <w:pStyle w:val="Default"/>
              <w:jc w:val="center"/>
              <w:rPr>
                <w:color w:val="00AF50"/>
                <w:sz w:val="16"/>
                <w:szCs w:val="16"/>
              </w:rPr>
            </w:pPr>
            <w:r w:rsidRPr="007C7EB7">
              <w:rPr>
                <w:b/>
                <w:bCs/>
                <w:color w:val="00AF50"/>
                <w:sz w:val="16"/>
                <w:szCs w:val="16"/>
              </w:rPr>
              <w:t>Fully</w:t>
            </w:r>
            <w:r>
              <w:rPr>
                <w:b/>
                <w:bCs/>
                <w:color w:val="00AF50"/>
                <w:sz w:val="16"/>
                <w:szCs w:val="16"/>
              </w:rPr>
              <w:t xml:space="preserve"> Achieved</w:t>
            </w:r>
          </w:p>
          <w:p w:rsidR="001363EE" w:rsidRDefault="001363EE" w:rsidP="001363EE">
            <w:pPr>
              <w:pStyle w:val="Default"/>
              <w:jc w:val="center"/>
              <w:rPr>
                <w:color w:val="00AF50"/>
                <w:sz w:val="16"/>
                <w:szCs w:val="16"/>
              </w:rPr>
            </w:pPr>
            <w:r>
              <w:rPr>
                <w:b/>
                <w:bCs/>
                <w:color w:val="00AF50"/>
                <w:sz w:val="16"/>
                <w:szCs w:val="16"/>
              </w:rPr>
              <w:t xml:space="preserve"> </w:t>
            </w:r>
          </w:p>
          <w:p w:rsidR="001363EE" w:rsidRPr="003C3247" w:rsidRDefault="001363EE" w:rsidP="001363EE">
            <w:pPr>
              <w:keepNext/>
              <w:keepLines/>
              <w:jc w:val="center"/>
              <w:rPr>
                <w:rFonts w:cs="Arial"/>
                <w:bCs/>
                <w:color w:val="808080" w:themeColor="background1" w:themeShade="80"/>
                <w:sz w:val="16"/>
                <w:szCs w:val="16"/>
              </w:rPr>
            </w:pPr>
          </w:p>
        </w:tc>
      </w:tr>
      <w:tr w:rsidR="001363EE" w:rsidTr="001363EE">
        <w:trPr>
          <w:cantSplit/>
        </w:trPr>
        <w:tc>
          <w:tcPr>
            <w:tcW w:w="5000" w:type="pct"/>
            <w:gridSpan w:val="12"/>
            <w:tcBorders>
              <w:top w:val="single" w:sz="4" w:space="0" w:color="auto"/>
              <w:bottom w:val="single" w:sz="4" w:space="0" w:color="auto"/>
            </w:tcBorders>
            <w:shd w:val="clear" w:color="auto" w:fill="C6D9F1" w:themeFill="text2" w:themeFillTint="33"/>
            <w:vAlign w:val="center"/>
          </w:tcPr>
          <w:p w:rsidR="001363EE" w:rsidRDefault="001363EE" w:rsidP="001363EE">
            <w:pPr>
              <w:keepNext/>
              <w:keepLines/>
              <w:tabs>
                <w:tab w:val="left" w:pos="1452"/>
              </w:tabs>
              <w:spacing w:before="120" w:after="120"/>
              <w:ind w:left="1452" w:hanging="1452"/>
              <w:rPr>
                <w:rFonts w:cs="Arial"/>
                <w:b/>
                <w:bCs/>
                <w:sz w:val="16"/>
                <w:szCs w:val="16"/>
              </w:rPr>
            </w:pPr>
            <w:r w:rsidRPr="00234BEF">
              <w:rPr>
                <w:rFonts w:cs="Arial"/>
                <w:b/>
                <w:bCs/>
                <w:sz w:val="16"/>
                <w:szCs w:val="16"/>
              </w:rPr>
              <w:t>Expected Result</w:t>
            </w:r>
            <w:r>
              <w:rPr>
                <w:rFonts w:cs="Arial"/>
                <w:b/>
                <w:bCs/>
                <w:sz w:val="16"/>
                <w:szCs w:val="16"/>
              </w:rPr>
              <w:t>:</w:t>
            </w:r>
            <w:r>
              <w:rPr>
                <w:rFonts w:cs="Arial"/>
                <w:b/>
                <w:bCs/>
                <w:sz w:val="16"/>
                <w:szCs w:val="16"/>
              </w:rPr>
              <w:tab/>
            </w:r>
            <w:r w:rsidRPr="00F62987">
              <w:rPr>
                <w:rFonts w:cs="Arial"/>
                <w:sz w:val="16"/>
                <w:szCs w:val="16"/>
              </w:rPr>
              <w:t>IX.4 An environmentally and socially responsible Organization in which WIPO staff, delegates, visitors and information and physical assets are safe and secure</w:t>
            </w:r>
          </w:p>
        </w:tc>
      </w:tr>
      <w:tr w:rsidR="001363EE" w:rsidRPr="003C3247" w:rsidTr="005F75C8">
        <w:trPr>
          <w:cantSplit/>
        </w:trPr>
        <w:tc>
          <w:tcPr>
            <w:tcW w:w="1177" w:type="pct"/>
            <w:gridSpan w:val="3"/>
            <w:tcBorders>
              <w:top w:val="single" w:sz="4" w:space="0" w:color="auto"/>
            </w:tcBorders>
            <w:shd w:val="clear" w:color="auto" w:fill="auto"/>
            <w:vAlign w:val="center"/>
          </w:tcPr>
          <w:p w:rsidR="001363EE" w:rsidRPr="003C3247" w:rsidRDefault="001363EE" w:rsidP="001363EE">
            <w:pPr>
              <w:keepNext/>
              <w:keepLines/>
              <w:rPr>
                <w:rFonts w:cs="Arial"/>
                <w:sz w:val="16"/>
                <w:szCs w:val="16"/>
              </w:rPr>
            </w:pPr>
            <w:r w:rsidRPr="003C3247">
              <w:rPr>
                <w:rFonts w:cs="Arial"/>
                <w:b/>
                <w:bCs/>
                <w:sz w:val="16"/>
                <w:szCs w:val="16"/>
              </w:rPr>
              <w:t>Performance Indicators</w:t>
            </w:r>
          </w:p>
        </w:tc>
        <w:tc>
          <w:tcPr>
            <w:tcW w:w="1106" w:type="pct"/>
            <w:tcBorders>
              <w:top w:val="single" w:sz="4" w:space="0" w:color="auto"/>
            </w:tcBorders>
            <w:shd w:val="clear" w:color="auto" w:fill="auto"/>
            <w:vAlign w:val="center"/>
          </w:tcPr>
          <w:p w:rsidR="001363EE" w:rsidRPr="003C3247" w:rsidRDefault="001363EE" w:rsidP="001363EE">
            <w:pPr>
              <w:keepNext/>
              <w:keepLines/>
              <w:rPr>
                <w:rFonts w:cs="Arial"/>
                <w:b/>
                <w:bCs/>
                <w:sz w:val="16"/>
                <w:szCs w:val="16"/>
              </w:rPr>
            </w:pPr>
            <w:r w:rsidRPr="003C3247">
              <w:rPr>
                <w:rFonts w:cs="Arial"/>
                <w:b/>
                <w:bCs/>
                <w:sz w:val="16"/>
                <w:szCs w:val="16"/>
              </w:rPr>
              <w:t>Baselines</w:t>
            </w:r>
          </w:p>
        </w:tc>
        <w:tc>
          <w:tcPr>
            <w:tcW w:w="799" w:type="pct"/>
            <w:gridSpan w:val="3"/>
            <w:tcBorders>
              <w:top w:val="single" w:sz="4" w:space="0" w:color="auto"/>
            </w:tcBorders>
            <w:shd w:val="clear" w:color="auto" w:fill="auto"/>
            <w:tcMar>
              <w:top w:w="110" w:type="dxa"/>
            </w:tcMar>
            <w:vAlign w:val="center"/>
          </w:tcPr>
          <w:p w:rsidR="001363EE" w:rsidRPr="003C3247" w:rsidRDefault="001363EE" w:rsidP="001363EE">
            <w:pPr>
              <w:keepNext/>
              <w:keepLines/>
              <w:rPr>
                <w:rFonts w:cs="Arial"/>
                <w:b/>
                <w:sz w:val="16"/>
                <w:szCs w:val="16"/>
              </w:rPr>
            </w:pPr>
            <w:r w:rsidRPr="003C3247">
              <w:rPr>
                <w:rFonts w:cs="Arial"/>
                <w:b/>
                <w:sz w:val="16"/>
                <w:szCs w:val="16"/>
              </w:rPr>
              <w:t>Target</w:t>
            </w:r>
            <w:r>
              <w:rPr>
                <w:rFonts w:cs="Arial"/>
                <w:b/>
                <w:sz w:val="16"/>
                <w:szCs w:val="16"/>
              </w:rPr>
              <w:t>s</w:t>
            </w:r>
          </w:p>
        </w:tc>
        <w:tc>
          <w:tcPr>
            <w:tcW w:w="1405" w:type="pct"/>
            <w:gridSpan w:val="4"/>
            <w:tcBorders>
              <w:top w:val="single" w:sz="4" w:space="0" w:color="auto"/>
            </w:tcBorders>
            <w:shd w:val="clear" w:color="auto" w:fill="FFFFFF"/>
            <w:tcMar>
              <w:top w:w="110" w:type="dxa"/>
            </w:tcMar>
            <w:vAlign w:val="center"/>
          </w:tcPr>
          <w:p w:rsidR="001363EE" w:rsidRPr="003C3247" w:rsidRDefault="001363EE" w:rsidP="001363EE">
            <w:pPr>
              <w:keepNext/>
              <w:keepLines/>
              <w:rPr>
                <w:rFonts w:cs="Arial"/>
                <w:sz w:val="16"/>
                <w:szCs w:val="16"/>
              </w:rPr>
            </w:pPr>
            <w:r w:rsidRPr="003C3247">
              <w:rPr>
                <w:rFonts w:cs="Arial"/>
                <w:b/>
                <w:bCs/>
                <w:sz w:val="16"/>
                <w:szCs w:val="16"/>
              </w:rPr>
              <w:t>Performance Data</w:t>
            </w:r>
          </w:p>
        </w:tc>
        <w:tc>
          <w:tcPr>
            <w:tcW w:w="513" w:type="pct"/>
            <w:tcBorders>
              <w:top w:val="single" w:sz="4" w:space="0" w:color="auto"/>
            </w:tcBorders>
            <w:shd w:val="clear" w:color="auto" w:fill="auto"/>
            <w:tcMar>
              <w:top w:w="110" w:type="dxa"/>
            </w:tcMar>
            <w:vAlign w:val="center"/>
          </w:tcPr>
          <w:p w:rsidR="001363EE" w:rsidRPr="003C3247" w:rsidRDefault="001363EE" w:rsidP="001363EE">
            <w:pPr>
              <w:keepNext/>
              <w:keepLines/>
              <w:jc w:val="center"/>
              <w:rPr>
                <w:rFonts w:cs="Arial"/>
                <w:b/>
                <w:bCs/>
                <w:sz w:val="16"/>
                <w:szCs w:val="16"/>
              </w:rPr>
            </w:pPr>
            <w:r w:rsidRPr="003C3247">
              <w:rPr>
                <w:rFonts w:cs="Arial"/>
                <w:b/>
                <w:bCs/>
                <w:sz w:val="16"/>
                <w:szCs w:val="16"/>
              </w:rPr>
              <w:t>TLS</w:t>
            </w:r>
          </w:p>
        </w:tc>
      </w:tr>
      <w:tr w:rsidR="001363EE" w:rsidTr="00BA6F3B">
        <w:trPr>
          <w:cantSplit/>
          <w:trHeight w:val="3633"/>
        </w:trPr>
        <w:tc>
          <w:tcPr>
            <w:tcW w:w="1177" w:type="pct"/>
            <w:gridSpan w:val="3"/>
            <w:shd w:val="clear" w:color="auto" w:fill="auto"/>
          </w:tcPr>
          <w:p w:rsidR="001363EE" w:rsidRPr="00FE03FF" w:rsidRDefault="001363EE" w:rsidP="001363EE">
            <w:pPr>
              <w:rPr>
                <w:rFonts w:cs="Arial"/>
                <w:sz w:val="16"/>
                <w:szCs w:val="16"/>
              </w:rPr>
            </w:pPr>
            <w:r w:rsidRPr="00F62987">
              <w:rPr>
                <w:rFonts w:cs="Arial"/>
                <w:sz w:val="16"/>
                <w:szCs w:val="16"/>
              </w:rPr>
              <w:t>Improved physical access to the WIPO campus</w:t>
            </w:r>
          </w:p>
        </w:tc>
        <w:tc>
          <w:tcPr>
            <w:tcW w:w="1106" w:type="pct"/>
            <w:shd w:val="clear" w:color="auto" w:fill="auto"/>
          </w:tcPr>
          <w:p w:rsidR="001363EE" w:rsidRPr="00F62987" w:rsidRDefault="001363EE" w:rsidP="001363EE">
            <w:pPr>
              <w:rPr>
                <w:color w:val="002060"/>
                <w:sz w:val="16"/>
                <w:szCs w:val="16"/>
                <w:highlight w:val="yellow"/>
              </w:rPr>
            </w:pPr>
            <w:r w:rsidRPr="00AC2A2B">
              <w:rPr>
                <w:i/>
                <w:color w:val="002060"/>
                <w:sz w:val="16"/>
                <w:szCs w:val="16"/>
              </w:rPr>
              <w:t>Updated Baseline end 2013:</w:t>
            </w:r>
            <w:r>
              <w:t xml:space="preserve"> </w:t>
            </w:r>
            <w:r w:rsidRPr="00AC2A2B">
              <w:rPr>
                <w:color w:val="002060"/>
                <w:sz w:val="16"/>
                <w:szCs w:val="16"/>
              </w:rPr>
              <w:t xml:space="preserve">The 5-year plan was not established at the end of 2013. </w:t>
            </w:r>
            <w:r w:rsidRPr="006B6FD7">
              <w:rPr>
                <w:color w:val="002060"/>
                <w:sz w:val="16"/>
                <w:szCs w:val="16"/>
                <w:highlight w:val="yellow"/>
              </w:rPr>
              <w:t xml:space="preserve"> </w:t>
            </w:r>
          </w:p>
          <w:p w:rsidR="001363EE" w:rsidRPr="008225D9" w:rsidRDefault="001363EE" w:rsidP="001363EE">
            <w:pPr>
              <w:rPr>
                <w:rFonts w:cs="Arial"/>
                <w:i/>
                <w:sz w:val="8"/>
                <w:szCs w:val="8"/>
              </w:rPr>
            </w:pPr>
          </w:p>
          <w:p w:rsidR="001363EE" w:rsidRPr="00FE03FF" w:rsidRDefault="001363EE" w:rsidP="001363EE">
            <w:pPr>
              <w:rPr>
                <w:rFonts w:cs="Arial"/>
                <w:sz w:val="16"/>
                <w:szCs w:val="16"/>
              </w:rPr>
            </w:pPr>
            <w:r>
              <w:rPr>
                <w:rFonts w:cs="Arial"/>
                <w:i/>
                <w:sz w:val="16"/>
                <w:szCs w:val="16"/>
              </w:rPr>
              <w:t xml:space="preserve">Original </w:t>
            </w:r>
            <w:r w:rsidRPr="004608BD">
              <w:rPr>
                <w:rFonts w:cs="Arial"/>
                <w:i/>
                <w:sz w:val="16"/>
                <w:szCs w:val="16"/>
              </w:rPr>
              <w:t>Baseline</w:t>
            </w:r>
            <w:r>
              <w:rPr>
                <w:rFonts w:cs="Arial"/>
                <w:i/>
                <w:sz w:val="16"/>
                <w:szCs w:val="16"/>
              </w:rPr>
              <w:t xml:space="preserve"> P&amp;B 2014/15:</w:t>
            </w:r>
            <w:r>
              <w:rPr>
                <w:rFonts w:cs="Arial"/>
                <w:sz w:val="16"/>
                <w:szCs w:val="16"/>
              </w:rPr>
              <w:br/>
            </w:r>
            <w:r w:rsidRPr="005C1F88">
              <w:rPr>
                <w:rFonts w:cs="Arial"/>
                <w:sz w:val="16"/>
                <w:szCs w:val="16"/>
              </w:rPr>
              <w:t>5-year plan for implementation of recommendations in 2012 Physical Accessibility Audit (plan established at end 2013)</w:t>
            </w:r>
          </w:p>
        </w:tc>
        <w:tc>
          <w:tcPr>
            <w:tcW w:w="799" w:type="pct"/>
            <w:gridSpan w:val="3"/>
            <w:shd w:val="clear" w:color="auto" w:fill="auto"/>
            <w:tcMar>
              <w:top w:w="110" w:type="dxa"/>
            </w:tcMar>
          </w:tcPr>
          <w:p w:rsidR="001363EE" w:rsidRPr="008225D9" w:rsidRDefault="001363EE" w:rsidP="00BA6F3B">
            <w:pPr>
              <w:rPr>
                <w:rFonts w:cs="Arial"/>
                <w:sz w:val="16"/>
                <w:szCs w:val="16"/>
              </w:rPr>
            </w:pPr>
            <w:r w:rsidRPr="00F62987">
              <w:rPr>
                <w:rFonts w:cs="Arial"/>
                <w:sz w:val="16"/>
                <w:szCs w:val="16"/>
              </w:rPr>
              <w:t>Implementation of audit recommendations according to 5</w:t>
            </w:r>
            <w:r w:rsidR="00103F66">
              <w:rPr>
                <w:rFonts w:cs="Arial"/>
                <w:sz w:val="16"/>
                <w:szCs w:val="16"/>
              </w:rPr>
              <w:noBreakHyphen/>
            </w:r>
            <w:r w:rsidRPr="00F62987">
              <w:rPr>
                <w:rFonts w:cs="Arial"/>
                <w:sz w:val="16"/>
                <w:szCs w:val="16"/>
              </w:rPr>
              <w:t>year plan</w:t>
            </w:r>
          </w:p>
        </w:tc>
        <w:tc>
          <w:tcPr>
            <w:tcW w:w="1405" w:type="pct"/>
            <w:gridSpan w:val="4"/>
            <w:shd w:val="clear" w:color="auto" w:fill="FFFFFF"/>
            <w:tcMar>
              <w:top w:w="110" w:type="dxa"/>
            </w:tcMar>
          </w:tcPr>
          <w:p w:rsidR="001363EE" w:rsidRDefault="001363EE" w:rsidP="001363EE">
            <w:pPr>
              <w:pStyle w:val="Default"/>
              <w:rPr>
                <w:sz w:val="16"/>
                <w:szCs w:val="16"/>
              </w:rPr>
            </w:pPr>
            <w:r>
              <w:rPr>
                <w:sz w:val="16"/>
                <w:szCs w:val="16"/>
              </w:rPr>
              <w:t xml:space="preserve">The 5-year plan was not established by the end of 2015 due to the lack of available resources and the worksite for the new WIPO Conference Hall. </w:t>
            </w:r>
          </w:p>
          <w:p w:rsidR="001363EE" w:rsidRDefault="001363EE">
            <w:pPr>
              <w:rPr>
                <w:sz w:val="16"/>
                <w:szCs w:val="16"/>
              </w:rPr>
            </w:pPr>
            <w:r>
              <w:rPr>
                <w:sz w:val="16"/>
                <w:szCs w:val="16"/>
              </w:rPr>
              <w:t xml:space="preserve">Enhancements included: </w:t>
            </w:r>
          </w:p>
          <w:p w:rsidR="001363EE" w:rsidRPr="009F6073" w:rsidRDefault="001363EE" w:rsidP="001363EE">
            <w:pPr>
              <w:rPr>
                <w:sz w:val="16"/>
                <w:szCs w:val="16"/>
              </w:rPr>
            </w:pPr>
            <w:r>
              <w:rPr>
                <w:sz w:val="16"/>
                <w:szCs w:val="16"/>
              </w:rPr>
              <w:t xml:space="preserve">(i) additional ramps for wheelchair access (access to interpreters booths in a new meeting room in NB); and (ii) lowering badge readers to be at level of wheelchair access in AB, PCT and NB Buildings.  Some of these features were implemented at no major cost and/or where features could be integrated in other infrastructure or installations improvement at minimal extra cost. </w:t>
            </w:r>
          </w:p>
        </w:tc>
        <w:tc>
          <w:tcPr>
            <w:tcW w:w="513" w:type="pct"/>
            <w:shd w:val="clear" w:color="auto" w:fill="auto"/>
            <w:tcMar>
              <w:top w:w="110" w:type="dxa"/>
            </w:tcMar>
          </w:tcPr>
          <w:p w:rsidR="001363EE" w:rsidRDefault="001363EE" w:rsidP="001363EE">
            <w:pPr>
              <w:pStyle w:val="Default"/>
              <w:jc w:val="center"/>
              <w:rPr>
                <w:sz w:val="16"/>
                <w:szCs w:val="16"/>
              </w:rPr>
            </w:pPr>
            <w:r>
              <w:rPr>
                <w:b/>
                <w:bCs/>
                <w:color w:val="FF0000"/>
                <w:sz w:val="16"/>
                <w:szCs w:val="16"/>
              </w:rPr>
              <w:t xml:space="preserve">Not </w:t>
            </w:r>
            <w:r w:rsidRPr="001A12BB">
              <w:rPr>
                <w:b/>
                <w:bCs/>
                <w:color w:val="FF0000"/>
                <w:sz w:val="16"/>
                <w:szCs w:val="16"/>
              </w:rPr>
              <w:t>Achieved</w:t>
            </w:r>
          </w:p>
          <w:p w:rsidR="001363EE" w:rsidRPr="0087507C" w:rsidRDefault="001363EE" w:rsidP="001363EE">
            <w:pPr>
              <w:keepNext/>
              <w:keepLines/>
              <w:jc w:val="center"/>
              <w:rPr>
                <w:rFonts w:cs="Arial"/>
                <w:b/>
                <w:color w:val="FF0000"/>
                <w:sz w:val="16"/>
                <w:szCs w:val="16"/>
              </w:rPr>
            </w:pPr>
          </w:p>
        </w:tc>
      </w:tr>
      <w:tr w:rsidR="001363EE" w:rsidTr="005F75C8">
        <w:trPr>
          <w:cantSplit/>
        </w:trPr>
        <w:tc>
          <w:tcPr>
            <w:tcW w:w="1177" w:type="pct"/>
            <w:gridSpan w:val="3"/>
            <w:shd w:val="clear" w:color="auto" w:fill="auto"/>
          </w:tcPr>
          <w:p w:rsidR="001363EE" w:rsidRPr="00F62987" w:rsidRDefault="001363EE" w:rsidP="001363EE">
            <w:pPr>
              <w:rPr>
                <w:rFonts w:cs="Arial"/>
                <w:sz w:val="16"/>
                <w:szCs w:val="16"/>
              </w:rPr>
            </w:pPr>
            <w:r w:rsidRPr="00F62987">
              <w:rPr>
                <w:rFonts w:cs="Arial"/>
                <w:sz w:val="16"/>
                <w:szCs w:val="16"/>
              </w:rPr>
              <w:t>Reduced impact of WIPO buildings on the environment</w:t>
            </w:r>
          </w:p>
        </w:tc>
        <w:tc>
          <w:tcPr>
            <w:tcW w:w="1106" w:type="pct"/>
            <w:shd w:val="clear" w:color="auto" w:fill="auto"/>
          </w:tcPr>
          <w:p w:rsidR="001363EE" w:rsidRPr="006550F0" w:rsidRDefault="001363EE" w:rsidP="001363EE">
            <w:pPr>
              <w:rPr>
                <w:rFonts w:cs="Arial"/>
                <w:sz w:val="16"/>
                <w:szCs w:val="16"/>
                <w:lang w:bidi="th-TH"/>
              </w:rPr>
            </w:pPr>
            <w:r w:rsidRPr="001027B6">
              <w:rPr>
                <w:i/>
                <w:color w:val="002060"/>
                <w:sz w:val="16"/>
                <w:szCs w:val="16"/>
              </w:rPr>
              <w:t>Updated Baseline end 2013:</w:t>
            </w:r>
            <w:r w:rsidRPr="001027B6">
              <w:rPr>
                <w:color w:val="002060"/>
                <w:sz w:val="16"/>
                <w:szCs w:val="16"/>
              </w:rPr>
              <w:t xml:space="preserve"> 2% reduction in electricity consumption due to the implementation of a variety of measures aimed at upgrading installations;  7% reduction in water consumption due to upgrading of cooling installation in one of the data centers</w:t>
            </w:r>
          </w:p>
          <w:p w:rsidR="001363EE" w:rsidRDefault="001363EE" w:rsidP="001363EE">
            <w:pPr>
              <w:rPr>
                <w:color w:val="002060"/>
                <w:sz w:val="16"/>
                <w:szCs w:val="16"/>
                <w:highlight w:val="yellow"/>
              </w:rPr>
            </w:pPr>
          </w:p>
          <w:p w:rsidR="001363EE" w:rsidRPr="00F62987" w:rsidRDefault="001363EE" w:rsidP="001363EE">
            <w:pPr>
              <w:rPr>
                <w:rFonts w:cstheme="minorBidi"/>
                <w:color w:val="002060"/>
                <w:sz w:val="16"/>
                <w:szCs w:val="16"/>
                <w:highlight w:val="yellow"/>
              </w:rPr>
            </w:pPr>
          </w:p>
          <w:p w:rsidR="001363EE" w:rsidRPr="00E813BA" w:rsidRDefault="001363EE" w:rsidP="001363EE">
            <w:pPr>
              <w:rPr>
                <w:szCs w:val="22"/>
              </w:rPr>
            </w:pPr>
            <w:r>
              <w:rPr>
                <w:rFonts w:cs="Arial"/>
                <w:i/>
                <w:sz w:val="16"/>
                <w:szCs w:val="16"/>
              </w:rPr>
              <w:t xml:space="preserve">Original </w:t>
            </w:r>
            <w:r w:rsidRPr="004608BD">
              <w:rPr>
                <w:rFonts w:cs="Arial"/>
                <w:i/>
                <w:sz w:val="16"/>
                <w:szCs w:val="16"/>
              </w:rPr>
              <w:t>Baseline</w:t>
            </w:r>
            <w:r>
              <w:rPr>
                <w:rFonts w:cs="Arial"/>
                <w:i/>
                <w:sz w:val="16"/>
                <w:szCs w:val="16"/>
              </w:rPr>
              <w:t xml:space="preserve"> P&amp;B 2014/15:</w:t>
            </w:r>
            <w:r>
              <w:t xml:space="preserve"> </w:t>
            </w:r>
            <w:r w:rsidRPr="005C1F88">
              <w:rPr>
                <w:rFonts w:cs="Arial"/>
                <w:sz w:val="16"/>
                <w:szCs w:val="16"/>
              </w:rPr>
              <w:t>Annual electricity and water consumption (at end 2013</w:t>
            </w:r>
            <w:r>
              <w:rPr>
                <w:rFonts w:cs="Arial"/>
                <w:sz w:val="16"/>
                <w:szCs w:val="16"/>
              </w:rPr>
              <w:t>)</w:t>
            </w:r>
          </w:p>
        </w:tc>
        <w:tc>
          <w:tcPr>
            <w:tcW w:w="799" w:type="pct"/>
            <w:gridSpan w:val="3"/>
            <w:shd w:val="clear" w:color="auto" w:fill="auto"/>
            <w:tcMar>
              <w:top w:w="110" w:type="dxa"/>
            </w:tcMar>
          </w:tcPr>
          <w:p w:rsidR="001363EE" w:rsidRPr="00F62987" w:rsidRDefault="001363EE" w:rsidP="001363EE">
            <w:pPr>
              <w:rPr>
                <w:rFonts w:cs="Arial"/>
                <w:sz w:val="16"/>
                <w:szCs w:val="16"/>
              </w:rPr>
            </w:pPr>
            <w:r w:rsidRPr="00F62987">
              <w:rPr>
                <w:rFonts w:cs="Arial"/>
                <w:sz w:val="16"/>
                <w:szCs w:val="16"/>
              </w:rPr>
              <w:t>4% reduction in electricity consumption and 10% reduction in water consumption by end-2015</w:t>
            </w:r>
          </w:p>
        </w:tc>
        <w:tc>
          <w:tcPr>
            <w:tcW w:w="1405" w:type="pct"/>
            <w:gridSpan w:val="4"/>
            <w:shd w:val="clear" w:color="auto" w:fill="FFFFFF"/>
            <w:tcMar>
              <w:top w:w="110" w:type="dxa"/>
            </w:tcMar>
          </w:tcPr>
          <w:p w:rsidR="001363EE" w:rsidRDefault="001363EE" w:rsidP="001363EE">
            <w:pPr>
              <w:pStyle w:val="Default"/>
              <w:rPr>
                <w:sz w:val="16"/>
                <w:szCs w:val="16"/>
              </w:rPr>
            </w:pPr>
            <w:r>
              <w:rPr>
                <w:sz w:val="16"/>
                <w:szCs w:val="16"/>
              </w:rPr>
              <w:t xml:space="preserve">5% reduction in electricity consumption and 33% reduction in water in 2014/15 as compared to 2012/13, despite the addition of the new WIPO Conference Hall as from September 2014. </w:t>
            </w:r>
          </w:p>
          <w:p w:rsidR="001363EE" w:rsidRDefault="001363EE" w:rsidP="001363EE">
            <w:pPr>
              <w:rPr>
                <w:rFonts w:cs="Arial"/>
                <w:sz w:val="16"/>
                <w:szCs w:val="16"/>
              </w:rPr>
            </w:pPr>
          </w:p>
          <w:p w:rsidR="001363EE" w:rsidRDefault="001363EE" w:rsidP="001363EE">
            <w:pPr>
              <w:rPr>
                <w:sz w:val="16"/>
                <w:szCs w:val="16"/>
              </w:rPr>
            </w:pPr>
            <w:r w:rsidRPr="008F69BE">
              <w:rPr>
                <w:rFonts w:cs="Arial"/>
                <w:sz w:val="16"/>
                <w:szCs w:val="16"/>
              </w:rPr>
              <w:t xml:space="preserve">The </w:t>
            </w:r>
            <w:r w:rsidRPr="008F69BE">
              <w:rPr>
                <w:sz w:val="16"/>
                <w:szCs w:val="16"/>
              </w:rPr>
              <w:t>cooling system using the Geneva Lake produced chilled water implemented in the AB and PCT Buildings (under the CMP, see the Appendices) was handed over in 2014 and 2015, respectively</w:t>
            </w:r>
            <w:r>
              <w:rPr>
                <w:sz w:val="16"/>
                <w:szCs w:val="16"/>
              </w:rPr>
              <w:t>, and has been fully integrated in building maintenance scheme.</w:t>
            </w:r>
          </w:p>
          <w:p w:rsidR="001363EE" w:rsidRDefault="001363EE" w:rsidP="001363EE">
            <w:pPr>
              <w:rPr>
                <w:rFonts w:cs="Arial"/>
                <w:sz w:val="16"/>
                <w:szCs w:val="16"/>
              </w:rPr>
            </w:pPr>
          </w:p>
          <w:p w:rsidR="001363EE" w:rsidRDefault="001363EE" w:rsidP="001363EE">
            <w:pPr>
              <w:pStyle w:val="Default"/>
              <w:rPr>
                <w:sz w:val="16"/>
                <w:szCs w:val="16"/>
              </w:rPr>
            </w:pPr>
            <w:r>
              <w:rPr>
                <w:sz w:val="16"/>
                <w:szCs w:val="16"/>
              </w:rPr>
              <w:t xml:space="preserve">An upgrade of the cooling system using the Geneva Lake to produce chilled water was implemented in the NB in 2014. </w:t>
            </w:r>
          </w:p>
          <w:p w:rsidR="001363EE" w:rsidRDefault="001363EE" w:rsidP="001363EE">
            <w:pPr>
              <w:rPr>
                <w:rFonts w:cs="Arial"/>
                <w:sz w:val="16"/>
                <w:szCs w:val="16"/>
              </w:rPr>
            </w:pPr>
          </w:p>
          <w:p w:rsidR="001363EE" w:rsidRDefault="001363EE" w:rsidP="001363EE">
            <w:pPr>
              <w:pStyle w:val="Default"/>
              <w:rPr>
                <w:sz w:val="16"/>
                <w:szCs w:val="16"/>
              </w:rPr>
            </w:pPr>
            <w:r>
              <w:rPr>
                <w:sz w:val="16"/>
                <w:szCs w:val="16"/>
              </w:rPr>
              <w:t xml:space="preserve">Additional environmentally-sound measures included the following main measures: (i) reduction of artificial light consumption by replacement of traditional light fixtures by new fixtures using LED technology, (ii) lighting activated by presence detection during off-hours on office floors in various areas of various older buildings, </w:t>
            </w:r>
          </w:p>
          <w:p w:rsidR="001363EE" w:rsidRPr="00720FD9" w:rsidRDefault="001363EE" w:rsidP="001363EE">
            <w:pPr>
              <w:rPr>
                <w:rFonts w:cs="Arial"/>
                <w:sz w:val="16"/>
                <w:szCs w:val="16"/>
              </w:rPr>
            </w:pPr>
          </w:p>
        </w:tc>
        <w:tc>
          <w:tcPr>
            <w:tcW w:w="513" w:type="pct"/>
            <w:shd w:val="clear" w:color="auto" w:fill="auto"/>
            <w:tcMar>
              <w:top w:w="110" w:type="dxa"/>
            </w:tcMar>
          </w:tcPr>
          <w:p w:rsidR="001363EE" w:rsidRDefault="001363EE" w:rsidP="001363EE">
            <w:pPr>
              <w:pStyle w:val="Default"/>
              <w:jc w:val="center"/>
              <w:rPr>
                <w:color w:val="00AF50"/>
                <w:sz w:val="16"/>
                <w:szCs w:val="16"/>
              </w:rPr>
            </w:pPr>
            <w:r>
              <w:rPr>
                <w:b/>
                <w:bCs/>
                <w:color w:val="00AF50"/>
                <w:sz w:val="16"/>
                <w:szCs w:val="16"/>
              </w:rPr>
              <w:t>Fully Achieved</w:t>
            </w:r>
          </w:p>
          <w:p w:rsidR="001363EE" w:rsidRPr="006550F0" w:rsidRDefault="001363EE" w:rsidP="001363EE">
            <w:pPr>
              <w:keepNext/>
              <w:keepLines/>
              <w:jc w:val="center"/>
              <w:rPr>
                <w:rFonts w:ascii="Calibri" w:hAnsi="Calibri" w:cs="Arial"/>
                <w:sz w:val="16"/>
                <w:szCs w:val="16"/>
              </w:rPr>
            </w:pPr>
          </w:p>
        </w:tc>
      </w:tr>
      <w:tr w:rsidR="001363EE" w:rsidTr="005F75C8">
        <w:trPr>
          <w:cantSplit/>
        </w:trPr>
        <w:tc>
          <w:tcPr>
            <w:tcW w:w="1177" w:type="pct"/>
            <w:gridSpan w:val="3"/>
            <w:tcBorders>
              <w:bottom w:val="single" w:sz="4" w:space="0" w:color="auto"/>
            </w:tcBorders>
            <w:shd w:val="clear" w:color="auto" w:fill="auto"/>
          </w:tcPr>
          <w:p w:rsidR="001363EE" w:rsidRPr="00F62987" w:rsidRDefault="001363EE" w:rsidP="001363EE">
            <w:pPr>
              <w:rPr>
                <w:rFonts w:cs="Arial"/>
                <w:sz w:val="16"/>
                <w:szCs w:val="16"/>
              </w:rPr>
            </w:pPr>
            <w:r w:rsidRPr="00F62987">
              <w:rPr>
                <w:rFonts w:cs="Arial"/>
                <w:sz w:val="16"/>
                <w:szCs w:val="16"/>
              </w:rPr>
              <w:t>WIPO premises comply with recommendations in 2009 audit by Institute of Safety and Security (Neuchatel) and UN H-MOSS peripheral security measure</w:t>
            </w:r>
            <w:r>
              <w:rPr>
                <w:rFonts w:cs="Arial"/>
                <w:sz w:val="16"/>
                <w:szCs w:val="16"/>
              </w:rPr>
              <w:t>s</w:t>
            </w:r>
          </w:p>
        </w:tc>
        <w:tc>
          <w:tcPr>
            <w:tcW w:w="1106" w:type="pct"/>
            <w:tcBorders>
              <w:bottom w:val="single" w:sz="4" w:space="0" w:color="auto"/>
            </w:tcBorders>
            <w:shd w:val="clear" w:color="auto" w:fill="auto"/>
          </w:tcPr>
          <w:p w:rsidR="001363EE" w:rsidRDefault="001363EE" w:rsidP="001363EE">
            <w:pPr>
              <w:rPr>
                <w:rFonts w:cs="Arial"/>
                <w:sz w:val="16"/>
                <w:szCs w:val="16"/>
              </w:rPr>
            </w:pPr>
            <w:r w:rsidRPr="005C1F88">
              <w:rPr>
                <w:rFonts w:cs="Arial"/>
                <w:sz w:val="16"/>
                <w:szCs w:val="16"/>
              </w:rPr>
              <w:t>6-year plan for implementation of recommendations in 2009 audit by Institute of Safety and Security (Neuchatel)</w:t>
            </w:r>
          </w:p>
          <w:p w:rsidR="001363EE" w:rsidRPr="00E813BA" w:rsidRDefault="001363EE" w:rsidP="001363EE">
            <w:pPr>
              <w:rPr>
                <w:szCs w:val="22"/>
              </w:rPr>
            </w:pPr>
          </w:p>
        </w:tc>
        <w:tc>
          <w:tcPr>
            <w:tcW w:w="799" w:type="pct"/>
            <w:gridSpan w:val="3"/>
            <w:tcBorders>
              <w:bottom w:val="single" w:sz="4" w:space="0" w:color="auto"/>
            </w:tcBorders>
            <w:shd w:val="clear" w:color="auto" w:fill="auto"/>
            <w:tcMar>
              <w:top w:w="110" w:type="dxa"/>
            </w:tcMar>
          </w:tcPr>
          <w:p w:rsidR="001363EE" w:rsidRPr="00F62987" w:rsidRDefault="001363EE" w:rsidP="001363EE">
            <w:pPr>
              <w:rPr>
                <w:rFonts w:cs="Arial"/>
                <w:sz w:val="16"/>
                <w:szCs w:val="16"/>
              </w:rPr>
            </w:pPr>
            <w:r w:rsidRPr="00F62987">
              <w:rPr>
                <w:rFonts w:cs="Arial"/>
                <w:sz w:val="16"/>
                <w:szCs w:val="16"/>
              </w:rPr>
              <w:t>Implementation of audit recommendations according to 6-year plan phasing and peripheral security measures by end-2015</w:t>
            </w:r>
          </w:p>
        </w:tc>
        <w:tc>
          <w:tcPr>
            <w:tcW w:w="1405" w:type="pct"/>
            <w:gridSpan w:val="4"/>
            <w:tcBorders>
              <w:bottom w:val="single" w:sz="4" w:space="0" w:color="auto"/>
            </w:tcBorders>
            <w:shd w:val="clear" w:color="auto" w:fill="FFFFFF"/>
            <w:tcMar>
              <w:top w:w="110" w:type="dxa"/>
            </w:tcMar>
          </w:tcPr>
          <w:p w:rsidR="001363EE" w:rsidRDefault="001363EE" w:rsidP="001363EE">
            <w:pPr>
              <w:pStyle w:val="Default"/>
              <w:rPr>
                <w:sz w:val="16"/>
                <w:szCs w:val="16"/>
              </w:rPr>
            </w:pPr>
            <w:r>
              <w:rPr>
                <w:sz w:val="16"/>
                <w:szCs w:val="16"/>
              </w:rPr>
              <w:t xml:space="preserve">See Appendix III Progress Report on the Capital Master Plan (CMP) in 2014 and 2015 </w:t>
            </w:r>
          </w:p>
          <w:p w:rsidR="001363EE" w:rsidRDefault="001363EE" w:rsidP="001363EE">
            <w:pPr>
              <w:pStyle w:val="ListParagraph"/>
              <w:ind w:left="0"/>
              <w:rPr>
                <w:rFonts w:cs="Arial"/>
                <w:sz w:val="16"/>
                <w:szCs w:val="16"/>
              </w:rPr>
            </w:pPr>
          </w:p>
          <w:p w:rsidR="001363EE" w:rsidRDefault="001363EE" w:rsidP="001363EE">
            <w:pPr>
              <w:pStyle w:val="Default"/>
              <w:rPr>
                <w:sz w:val="16"/>
                <w:szCs w:val="16"/>
              </w:rPr>
            </w:pPr>
            <w:r>
              <w:rPr>
                <w:sz w:val="16"/>
                <w:szCs w:val="16"/>
              </w:rPr>
              <w:t xml:space="preserve">In addition to the implementation of the recommendation covered by the CMP, the following recommendations were implemented:  </w:t>
            </w:r>
          </w:p>
          <w:p w:rsidR="001363EE" w:rsidRDefault="001363EE" w:rsidP="001363EE">
            <w:pPr>
              <w:pStyle w:val="ListParagraph"/>
              <w:ind w:left="0"/>
              <w:rPr>
                <w:sz w:val="16"/>
                <w:szCs w:val="16"/>
              </w:rPr>
            </w:pPr>
            <w:r>
              <w:rPr>
                <w:sz w:val="16"/>
                <w:szCs w:val="16"/>
              </w:rPr>
              <w:t xml:space="preserve">(i) modernization of fire detection system (the latest generation of detectors) in the four basement levels of AB parking garage; and  </w:t>
            </w:r>
          </w:p>
          <w:p w:rsidR="001363EE" w:rsidRDefault="001363EE">
            <w:pPr>
              <w:pStyle w:val="ListParagraph"/>
              <w:ind w:left="0"/>
              <w:rPr>
                <w:sz w:val="16"/>
                <w:szCs w:val="16"/>
              </w:rPr>
            </w:pPr>
            <w:r>
              <w:rPr>
                <w:sz w:val="16"/>
                <w:szCs w:val="16"/>
              </w:rPr>
              <w:t>(ii) upgrading of emergency lighting system on certain floors of the GBI Building.</w:t>
            </w:r>
          </w:p>
          <w:p w:rsidR="001363EE" w:rsidRPr="00AC2A2B" w:rsidRDefault="001363EE">
            <w:pPr>
              <w:pStyle w:val="ListParagraph"/>
              <w:ind w:left="0"/>
              <w:rPr>
                <w:rFonts w:cs="Arial"/>
                <w:sz w:val="16"/>
                <w:szCs w:val="16"/>
              </w:rPr>
            </w:pPr>
          </w:p>
        </w:tc>
        <w:tc>
          <w:tcPr>
            <w:tcW w:w="513" w:type="pct"/>
            <w:tcBorders>
              <w:bottom w:val="single" w:sz="4" w:space="0" w:color="auto"/>
            </w:tcBorders>
            <w:shd w:val="clear" w:color="auto" w:fill="auto"/>
            <w:tcMar>
              <w:top w:w="110" w:type="dxa"/>
            </w:tcMar>
          </w:tcPr>
          <w:p w:rsidR="001363EE" w:rsidRDefault="001363EE" w:rsidP="001363EE">
            <w:pPr>
              <w:pStyle w:val="Default"/>
              <w:jc w:val="center"/>
              <w:rPr>
                <w:color w:val="00AF50"/>
                <w:sz w:val="16"/>
                <w:szCs w:val="16"/>
              </w:rPr>
            </w:pPr>
            <w:r>
              <w:rPr>
                <w:b/>
                <w:bCs/>
                <w:color w:val="00AF50"/>
                <w:sz w:val="16"/>
                <w:szCs w:val="16"/>
              </w:rPr>
              <w:t>Fully Achieved</w:t>
            </w:r>
          </w:p>
          <w:p w:rsidR="001363EE" w:rsidRPr="006550F0" w:rsidRDefault="001363EE" w:rsidP="001363EE">
            <w:pPr>
              <w:keepNext/>
              <w:keepLines/>
              <w:jc w:val="center"/>
              <w:rPr>
                <w:rFonts w:ascii="Calibri" w:hAnsi="Calibri" w:cs="Arial"/>
                <w:sz w:val="16"/>
                <w:szCs w:val="16"/>
              </w:rPr>
            </w:pPr>
          </w:p>
        </w:tc>
      </w:tr>
    </w:tbl>
    <w:p w:rsidR="001363EE" w:rsidRDefault="001363EE" w:rsidP="001363EE">
      <w:pPr>
        <w:rPr>
          <w:rFonts w:cs="Arial"/>
          <w:color w:val="000000"/>
          <w:szCs w:val="22"/>
        </w:rPr>
      </w:pPr>
    </w:p>
    <w:p w:rsidR="001363EE" w:rsidRDefault="001363EE" w:rsidP="001363EE">
      <w:pPr>
        <w:rPr>
          <w:rFonts w:cs="Arial"/>
          <w:color w:val="000000"/>
          <w:szCs w:val="22"/>
        </w:rPr>
      </w:pPr>
    </w:p>
    <w:p w:rsidR="001363EE" w:rsidRPr="005804F3" w:rsidRDefault="001363EE" w:rsidP="001363EE">
      <w:pPr>
        <w:keepNext/>
        <w:keepLines/>
        <w:rPr>
          <w:rFonts w:cs="Arial"/>
          <w:color w:val="000000"/>
          <w:szCs w:val="22"/>
        </w:rPr>
      </w:pPr>
      <w:r w:rsidRPr="005804F3">
        <w:rPr>
          <w:rFonts w:cs="Arial"/>
          <w:color w:val="000000"/>
          <w:szCs w:val="22"/>
        </w:rPr>
        <w:t>RISK REPORTING FOR THE BIENNIUM</w:t>
      </w:r>
    </w:p>
    <w:p w:rsidR="001363EE" w:rsidRDefault="001363EE" w:rsidP="001363EE">
      <w:pPr>
        <w:keepNext/>
        <w:keepLines/>
      </w:pPr>
    </w:p>
    <w:tbl>
      <w:tblPr>
        <w:tblW w:w="0" w:type="auto"/>
        <w:jc w:val="center"/>
        <w:tblInd w:w="-197"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2752"/>
        <w:gridCol w:w="2201"/>
        <w:gridCol w:w="2310"/>
        <w:gridCol w:w="2186"/>
      </w:tblGrid>
      <w:tr w:rsidR="001363EE" w:rsidRPr="0012568F" w:rsidTr="00C457B7">
        <w:trPr>
          <w:trHeight w:val="430"/>
          <w:jc w:val="center"/>
        </w:trPr>
        <w:tc>
          <w:tcPr>
            <w:tcW w:w="2752" w:type="dxa"/>
            <w:tcBorders>
              <w:top w:val="single" w:sz="4" w:space="0" w:color="auto"/>
              <w:bottom w:val="single" w:sz="4" w:space="0" w:color="auto"/>
            </w:tcBorders>
            <w:shd w:val="clear" w:color="auto" w:fill="C6D9F1" w:themeFill="text2" w:themeFillTint="33"/>
            <w:tcMar>
              <w:top w:w="113" w:type="dxa"/>
              <w:bottom w:w="85" w:type="dxa"/>
            </w:tcMar>
            <w:vAlign w:val="center"/>
          </w:tcPr>
          <w:p w:rsidR="001363EE" w:rsidRPr="006D6B33" w:rsidRDefault="001363EE" w:rsidP="001363EE">
            <w:pPr>
              <w:keepNext/>
              <w:keepLines/>
              <w:autoSpaceDE w:val="0"/>
              <w:autoSpaceDN w:val="0"/>
              <w:adjustRightInd w:val="0"/>
              <w:ind w:right="-59"/>
              <w:rPr>
                <w:b/>
                <w:iCs/>
                <w:sz w:val="18"/>
                <w:szCs w:val="18"/>
              </w:rPr>
            </w:pPr>
            <w:r w:rsidRPr="006D6B33">
              <w:rPr>
                <w:b/>
                <w:iCs/>
                <w:sz w:val="18"/>
                <w:szCs w:val="18"/>
              </w:rPr>
              <w:t>Risk(s) to the Program achieving its Results</w:t>
            </w:r>
          </w:p>
        </w:tc>
        <w:tc>
          <w:tcPr>
            <w:tcW w:w="2201" w:type="dxa"/>
            <w:tcBorders>
              <w:top w:val="single" w:sz="4" w:space="0" w:color="auto"/>
              <w:bottom w:val="single" w:sz="4" w:space="0" w:color="auto"/>
            </w:tcBorders>
            <w:shd w:val="clear" w:color="auto" w:fill="C6D9F1" w:themeFill="text2" w:themeFillTint="33"/>
            <w:tcMar>
              <w:top w:w="113" w:type="dxa"/>
              <w:bottom w:w="85" w:type="dxa"/>
            </w:tcMar>
            <w:vAlign w:val="center"/>
          </w:tcPr>
          <w:p w:rsidR="001363EE" w:rsidRPr="006D6B33" w:rsidDel="00C90E42" w:rsidRDefault="001363EE" w:rsidP="001363EE">
            <w:pPr>
              <w:keepNext/>
              <w:keepLines/>
              <w:autoSpaceDE w:val="0"/>
              <w:autoSpaceDN w:val="0"/>
              <w:adjustRightInd w:val="0"/>
              <w:ind w:right="-59"/>
              <w:rPr>
                <w:b/>
                <w:iCs/>
                <w:sz w:val="18"/>
                <w:szCs w:val="18"/>
              </w:rPr>
            </w:pPr>
            <w:r w:rsidRPr="006D6B33">
              <w:rPr>
                <w:b/>
                <w:iCs/>
                <w:sz w:val="18"/>
                <w:szCs w:val="18"/>
              </w:rPr>
              <w:t xml:space="preserve">Mitigation plans in place or under implementation </w:t>
            </w:r>
          </w:p>
        </w:tc>
        <w:tc>
          <w:tcPr>
            <w:tcW w:w="2310" w:type="dxa"/>
            <w:tcBorders>
              <w:top w:val="single" w:sz="4" w:space="0" w:color="auto"/>
              <w:bottom w:val="single" w:sz="4" w:space="0" w:color="auto"/>
            </w:tcBorders>
            <w:shd w:val="clear" w:color="auto" w:fill="C6D9F1" w:themeFill="text2" w:themeFillTint="33"/>
          </w:tcPr>
          <w:p w:rsidR="001363EE" w:rsidRPr="003C527B" w:rsidRDefault="001363EE" w:rsidP="001363EE">
            <w:pPr>
              <w:jc w:val="center"/>
              <w:rPr>
                <w:b/>
                <w:bCs/>
                <w:sz w:val="18"/>
                <w:szCs w:val="18"/>
              </w:rPr>
            </w:pPr>
            <w:r>
              <w:rPr>
                <w:b/>
                <w:bCs/>
                <w:sz w:val="18"/>
                <w:szCs w:val="18"/>
              </w:rPr>
              <w:t>Evolution of Risk(s) and Mitigation Strategies Over the Biennium</w:t>
            </w:r>
          </w:p>
        </w:tc>
        <w:tc>
          <w:tcPr>
            <w:tcW w:w="2186" w:type="dxa"/>
            <w:tcBorders>
              <w:top w:val="single" w:sz="4" w:space="0" w:color="auto"/>
              <w:bottom w:val="single" w:sz="4" w:space="0" w:color="auto"/>
            </w:tcBorders>
            <w:shd w:val="clear" w:color="auto" w:fill="C6D9F1" w:themeFill="text2" w:themeFillTint="33"/>
          </w:tcPr>
          <w:p w:rsidR="001363EE" w:rsidRPr="003C527B" w:rsidRDefault="001363EE" w:rsidP="001363EE">
            <w:pPr>
              <w:jc w:val="center"/>
              <w:rPr>
                <w:b/>
                <w:bCs/>
                <w:sz w:val="18"/>
                <w:szCs w:val="18"/>
              </w:rPr>
            </w:pPr>
            <w:r>
              <w:rPr>
                <w:b/>
                <w:bCs/>
                <w:sz w:val="18"/>
                <w:szCs w:val="18"/>
              </w:rPr>
              <w:t>Impact on the Program’s Performance</w:t>
            </w:r>
          </w:p>
        </w:tc>
      </w:tr>
      <w:tr w:rsidR="001363EE" w:rsidRPr="0012568F" w:rsidTr="00C457B7">
        <w:trPr>
          <w:trHeight w:val="609"/>
          <w:jc w:val="center"/>
        </w:trPr>
        <w:tc>
          <w:tcPr>
            <w:tcW w:w="2752" w:type="dxa"/>
            <w:tcBorders>
              <w:top w:val="single" w:sz="4" w:space="0" w:color="auto"/>
            </w:tcBorders>
            <w:shd w:val="clear" w:color="auto" w:fill="auto"/>
            <w:tcMar>
              <w:top w:w="113" w:type="dxa"/>
              <w:bottom w:w="85" w:type="dxa"/>
            </w:tcMar>
          </w:tcPr>
          <w:p w:rsidR="001363EE" w:rsidRPr="006D6B33" w:rsidRDefault="001363EE" w:rsidP="001363EE">
            <w:pPr>
              <w:keepNext/>
              <w:keepLines/>
              <w:rPr>
                <w:sz w:val="16"/>
                <w:szCs w:val="16"/>
              </w:rPr>
            </w:pPr>
            <w:r w:rsidRPr="006D6B33">
              <w:rPr>
                <w:sz w:val="16"/>
                <w:szCs w:val="16"/>
              </w:rPr>
              <w:t>Failure of key suppliers triggers a disruption to the service pro</w:t>
            </w:r>
            <w:r>
              <w:rPr>
                <w:sz w:val="16"/>
                <w:szCs w:val="16"/>
              </w:rPr>
              <w:t>vided to our external customers</w:t>
            </w:r>
          </w:p>
        </w:tc>
        <w:tc>
          <w:tcPr>
            <w:tcW w:w="2201" w:type="dxa"/>
            <w:tcBorders>
              <w:top w:val="single" w:sz="4" w:space="0" w:color="auto"/>
            </w:tcBorders>
            <w:shd w:val="clear" w:color="auto" w:fill="auto"/>
            <w:tcMar>
              <w:top w:w="113" w:type="dxa"/>
              <w:bottom w:w="85" w:type="dxa"/>
            </w:tcMar>
          </w:tcPr>
          <w:p w:rsidR="001363EE" w:rsidRPr="006D6B33" w:rsidRDefault="001363EE" w:rsidP="001363EE">
            <w:pPr>
              <w:keepNext/>
              <w:keepLines/>
              <w:autoSpaceDE w:val="0"/>
              <w:autoSpaceDN w:val="0"/>
              <w:adjustRightInd w:val="0"/>
              <w:ind w:right="-59"/>
              <w:rPr>
                <w:sz w:val="16"/>
                <w:szCs w:val="16"/>
              </w:rPr>
            </w:pPr>
            <w:r w:rsidRPr="006D6B33">
              <w:rPr>
                <w:sz w:val="16"/>
                <w:szCs w:val="16"/>
              </w:rPr>
              <w:t xml:space="preserve">PTD and WIPO Programs should develop a contingency plan for contracts that are considered to be of high risk and </w:t>
            </w:r>
            <w:r>
              <w:rPr>
                <w:sz w:val="16"/>
                <w:szCs w:val="16"/>
              </w:rPr>
              <w:t>vital for a continued operation</w:t>
            </w:r>
          </w:p>
          <w:p w:rsidR="001363EE" w:rsidRPr="006D6B33" w:rsidRDefault="001363EE" w:rsidP="001363EE">
            <w:pPr>
              <w:keepNext/>
              <w:keepLines/>
              <w:autoSpaceDE w:val="0"/>
              <w:autoSpaceDN w:val="0"/>
              <w:adjustRightInd w:val="0"/>
              <w:ind w:right="-59"/>
              <w:rPr>
                <w:sz w:val="16"/>
                <w:szCs w:val="16"/>
              </w:rPr>
            </w:pPr>
          </w:p>
        </w:tc>
        <w:tc>
          <w:tcPr>
            <w:tcW w:w="2310" w:type="dxa"/>
            <w:tcBorders>
              <w:top w:val="single" w:sz="4" w:space="0" w:color="auto"/>
            </w:tcBorders>
          </w:tcPr>
          <w:p w:rsidR="001363EE" w:rsidRPr="006D6B33" w:rsidRDefault="001363EE" w:rsidP="001363EE">
            <w:pPr>
              <w:keepNext/>
              <w:keepLines/>
              <w:autoSpaceDE w:val="0"/>
              <w:autoSpaceDN w:val="0"/>
              <w:adjustRightInd w:val="0"/>
              <w:ind w:right="-59"/>
              <w:rPr>
                <w:sz w:val="16"/>
                <w:szCs w:val="16"/>
              </w:rPr>
            </w:pPr>
            <w:r w:rsidRPr="007735D0">
              <w:rPr>
                <w:sz w:val="16"/>
                <w:szCs w:val="16"/>
              </w:rPr>
              <w:t xml:space="preserve">This risk is a continuing one for the Organization, which has been better identified through the listing of “critical” suppliers in Programs’ procurement plans, in consultation with PTD. </w:t>
            </w:r>
            <w:r>
              <w:rPr>
                <w:sz w:val="16"/>
                <w:szCs w:val="16"/>
              </w:rPr>
              <w:t xml:space="preserve"> </w:t>
            </w:r>
            <w:r w:rsidRPr="007735D0">
              <w:rPr>
                <w:sz w:val="16"/>
                <w:szCs w:val="16"/>
              </w:rPr>
              <w:t>Due consideration is given during the review of procurement plans to addressing service disruptions, and these are also reflected in contractual conditions where appropriate.</w:t>
            </w:r>
            <w:r>
              <w:rPr>
                <w:sz w:val="16"/>
                <w:szCs w:val="16"/>
              </w:rPr>
              <w:t xml:space="preserve"> </w:t>
            </w:r>
            <w:r w:rsidRPr="007735D0">
              <w:rPr>
                <w:sz w:val="16"/>
                <w:szCs w:val="16"/>
              </w:rPr>
              <w:t xml:space="preserve"> Formal contingency plans will continue to be worked on with Programs with PTD’s involvement.</w:t>
            </w:r>
          </w:p>
        </w:tc>
        <w:tc>
          <w:tcPr>
            <w:tcW w:w="2186" w:type="dxa"/>
            <w:tcBorders>
              <w:top w:val="single" w:sz="4" w:space="0" w:color="auto"/>
            </w:tcBorders>
          </w:tcPr>
          <w:p w:rsidR="001363EE" w:rsidRPr="006D6B33" w:rsidRDefault="001363EE" w:rsidP="001363EE">
            <w:pPr>
              <w:keepNext/>
              <w:keepLines/>
              <w:autoSpaceDE w:val="0"/>
              <w:autoSpaceDN w:val="0"/>
              <w:adjustRightInd w:val="0"/>
              <w:ind w:right="-59"/>
              <w:rPr>
                <w:sz w:val="16"/>
                <w:szCs w:val="16"/>
              </w:rPr>
            </w:pPr>
            <w:r>
              <w:rPr>
                <w:sz w:val="16"/>
                <w:szCs w:val="16"/>
              </w:rPr>
              <w:t>This risk and its evolution did not have any material impact on the Program’s performance in 2014/15..</w:t>
            </w:r>
          </w:p>
        </w:tc>
      </w:tr>
      <w:tr w:rsidR="001363EE" w:rsidRPr="0012568F" w:rsidTr="00C457B7">
        <w:trPr>
          <w:trHeight w:val="1139"/>
          <w:jc w:val="center"/>
        </w:trPr>
        <w:tc>
          <w:tcPr>
            <w:tcW w:w="2752" w:type="dxa"/>
            <w:shd w:val="clear" w:color="auto" w:fill="auto"/>
            <w:tcMar>
              <w:top w:w="113" w:type="dxa"/>
              <w:bottom w:w="85" w:type="dxa"/>
            </w:tcMar>
          </w:tcPr>
          <w:p w:rsidR="001363EE" w:rsidRPr="006D6B33" w:rsidRDefault="001363EE" w:rsidP="001363EE">
            <w:pPr>
              <w:rPr>
                <w:sz w:val="16"/>
                <w:szCs w:val="16"/>
                <w:highlight w:val="yellow"/>
              </w:rPr>
            </w:pPr>
            <w:r w:rsidRPr="006D6B33">
              <w:rPr>
                <w:sz w:val="16"/>
                <w:szCs w:val="16"/>
              </w:rPr>
              <w:t>External event or incident prevents occupation of one or more buildings for a prolonged period, potentially causing disruption to external services and leading to wasted resources affect</w:t>
            </w:r>
            <w:r>
              <w:rPr>
                <w:sz w:val="16"/>
                <w:szCs w:val="16"/>
              </w:rPr>
              <w:t>ing negatively Program delivery</w:t>
            </w:r>
            <w:r w:rsidRPr="006D6B33">
              <w:rPr>
                <w:sz w:val="16"/>
                <w:szCs w:val="16"/>
                <w:highlight w:val="yellow"/>
              </w:rPr>
              <w:br/>
            </w:r>
          </w:p>
        </w:tc>
        <w:tc>
          <w:tcPr>
            <w:tcW w:w="2201" w:type="dxa"/>
            <w:shd w:val="clear" w:color="auto" w:fill="auto"/>
            <w:tcMar>
              <w:top w:w="113" w:type="dxa"/>
              <w:bottom w:w="85" w:type="dxa"/>
            </w:tcMar>
          </w:tcPr>
          <w:p w:rsidR="001363EE" w:rsidRPr="006D6B33" w:rsidRDefault="001363EE" w:rsidP="001363EE">
            <w:pPr>
              <w:autoSpaceDE w:val="0"/>
              <w:autoSpaceDN w:val="0"/>
              <w:adjustRightInd w:val="0"/>
              <w:ind w:right="-59"/>
              <w:rPr>
                <w:sz w:val="16"/>
                <w:szCs w:val="16"/>
              </w:rPr>
            </w:pPr>
            <w:r w:rsidRPr="006D6B33">
              <w:rPr>
                <w:sz w:val="16"/>
                <w:szCs w:val="16"/>
              </w:rPr>
              <w:t>Develop renovation and major maintenance plan of all premises and continue to undertake – or reinforce as needed</w:t>
            </w:r>
            <w:r>
              <w:rPr>
                <w:sz w:val="16"/>
                <w:szCs w:val="16"/>
              </w:rPr>
              <w:t> </w:t>
            </w:r>
            <w:r w:rsidRPr="006D6B33">
              <w:rPr>
                <w:sz w:val="16"/>
                <w:szCs w:val="16"/>
              </w:rPr>
              <w:t xml:space="preserve">– regular maintenance of all key technical installations. </w:t>
            </w:r>
            <w:r>
              <w:rPr>
                <w:sz w:val="16"/>
                <w:szCs w:val="16"/>
              </w:rPr>
              <w:t xml:space="preserve"> </w:t>
            </w:r>
            <w:r w:rsidRPr="006D6B33">
              <w:rPr>
                <w:sz w:val="16"/>
                <w:szCs w:val="16"/>
              </w:rPr>
              <w:t xml:space="preserve">Regularly review and update the business continuity plan and activate as necessary. </w:t>
            </w:r>
            <w:r>
              <w:rPr>
                <w:sz w:val="16"/>
                <w:szCs w:val="16"/>
              </w:rPr>
              <w:t xml:space="preserve"> Identify back-up office options</w:t>
            </w:r>
          </w:p>
        </w:tc>
        <w:tc>
          <w:tcPr>
            <w:tcW w:w="2310" w:type="dxa"/>
          </w:tcPr>
          <w:p w:rsidR="001363EE" w:rsidRDefault="001363EE" w:rsidP="001363EE">
            <w:pPr>
              <w:autoSpaceDE w:val="0"/>
              <w:autoSpaceDN w:val="0"/>
              <w:adjustRightInd w:val="0"/>
              <w:ind w:right="-59"/>
              <w:rPr>
                <w:sz w:val="16"/>
                <w:szCs w:val="16"/>
              </w:rPr>
            </w:pPr>
            <w:r>
              <w:rPr>
                <w:sz w:val="16"/>
                <w:szCs w:val="16"/>
              </w:rPr>
              <w:t>This is a continuing risk for the Organization, with appropriate mitigation strategies in place to address it.  The subject was also integrated under the WIPO Business Continuity Plan and the WIPO Resilience Plan.</w:t>
            </w:r>
          </w:p>
          <w:p w:rsidR="001363EE" w:rsidRDefault="001363EE" w:rsidP="001363EE">
            <w:pPr>
              <w:autoSpaceDE w:val="0"/>
              <w:autoSpaceDN w:val="0"/>
              <w:adjustRightInd w:val="0"/>
              <w:ind w:right="-59"/>
              <w:rPr>
                <w:sz w:val="16"/>
                <w:szCs w:val="16"/>
              </w:rPr>
            </w:pPr>
          </w:p>
          <w:p w:rsidR="001363EE" w:rsidRDefault="001363EE" w:rsidP="001363EE">
            <w:pPr>
              <w:autoSpaceDE w:val="0"/>
              <w:autoSpaceDN w:val="0"/>
              <w:adjustRightInd w:val="0"/>
              <w:ind w:right="-59"/>
              <w:rPr>
                <w:sz w:val="16"/>
                <w:szCs w:val="16"/>
              </w:rPr>
            </w:pPr>
            <w:r>
              <w:rPr>
                <w:sz w:val="16"/>
                <w:szCs w:val="16"/>
              </w:rPr>
              <w:t>First phase of the renovation and major maintenance plan were established.</w:t>
            </w:r>
          </w:p>
          <w:p w:rsidR="001363EE" w:rsidRDefault="001363EE" w:rsidP="001363EE">
            <w:pPr>
              <w:autoSpaceDE w:val="0"/>
              <w:autoSpaceDN w:val="0"/>
              <w:adjustRightInd w:val="0"/>
              <w:ind w:right="-59"/>
              <w:rPr>
                <w:sz w:val="16"/>
                <w:szCs w:val="16"/>
              </w:rPr>
            </w:pPr>
          </w:p>
          <w:p w:rsidR="001363EE" w:rsidRPr="006D6B33" w:rsidRDefault="001363EE" w:rsidP="001363EE">
            <w:pPr>
              <w:autoSpaceDE w:val="0"/>
              <w:autoSpaceDN w:val="0"/>
              <w:adjustRightInd w:val="0"/>
              <w:ind w:right="-59"/>
              <w:rPr>
                <w:sz w:val="16"/>
                <w:szCs w:val="16"/>
              </w:rPr>
            </w:pPr>
            <w:r>
              <w:rPr>
                <w:sz w:val="16"/>
                <w:szCs w:val="16"/>
              </w:rPr>
              <w:t xml:space="preserve">Back up office options consist first of the existing off-site rented premises, other more remote premises remain to be identified. </w:t>
            </w:r>
          </w:p>
        </w:tc>
        <w:tc>
          <w:tcPr>
            <w:tcW w:w="2186" w:type="dxa"/>
          </w:tcPr>
          <w:p w:rsidR="001363EE" w:rsidRPr="006D6B33" w:rsidRDefault="001363EE" w:rsidP="001363EE">
            <w:pPr>
              <w:autoSpaceDE w:val="0"/>
              <w:autoSpaceDN w:val="0"/>
              <w:adjustRightInd w:val="0"/>
              <w:ind w:right="-59"/>
              <w:rPr>
                <w:sz w:val="16"/>
                <w:szCs w:val="16"/>
              </w:rPr>
            </w:pPr>
            <w:r>
              <w:rPr>
                <w:sz w:val="16"/>
                <w:szCs w:val="16"/>
              </w:rPr>
              <w:t>This risk and its evolution did not have any material impact on the Program’s performance in 2014/15.</w:t>
            </w:r>
          </w:p>
        </w:tc>
      </w:tr>
    </w:tbl>
    <w:p w:rsidR="001363EE" w:rsidRDefault="001363EE" w:rsidP="001363EE"/>
    <w:p w:rsidR="001363EE" w:rsidRDefault="001363EE" w:rsidP="001363EE">
      <w:pPr>
        <w:rPr>
          <w:rFonts w:cs="Arial"/>
          <w:color w:val="000000"/>
          <w:szCs w:val="22"/>
        </w:rPr>
      </w:pPr>
    </w:p>
    <w:p w:rsidR="001363EE" w:rsidRDefault="001363EE" w:rsidP="001363EE">
      <w:pPr>
        <w:keepNext/>
        <w:keepLines/>
        <w:rPr>
          <w:b/>
          <w:sz w:val="18"/>
          <w:szCs w:val="18"/>
        </w:rPr>
      </w:pPr>
      <w:r>
        <w:rPr>
          <w:rFonts w:cs="Arial"/>
          <w:color w:val="000000"/>
          <w:szCs w:val="22"/>
        </w:rPr>
        <w:t>RESOURCE UTILIZATION</w:t>
      </w:r>
    </w:p>
    <w:p w:rsidR="001363EE" w:rsidRDefault="001363EE" w:rsidP="001363EE">
      <w:pPr>
        <w:keepNext/>
        <w:keepLines/>
        <w:rPr>
          <w:rFonts w:cs="Arial"/>
          <w:szCs w:val="22"/>
        </w:rPr>
      </w:pPr>
    </w:p>
    <w:p w:rsidR="001363EE" w:rsidRPr="00383D2D" w:rsidRDefault="001363EE" w:rsidP="001363EE">
      <w:pPr>
        <w:pStyle w:val="NormalWeb"/>
        <w:keepNext/>
        <w:keepLines/>
        <w:spacing w:before="0" w:beforeAutospacing="0" w:after="0" w:afterAutospacing="0"/>
        <w:jc w:val="center"/>
        <w:rPr>
          <w:sz w:val="20"/>
          <w:szCs w:val="20"/>
        </w:rPr>
      </w:pPr>
      <w:r w:rsidRPr="00383D2D">
        <w:rPr>
          <w:color w:val="000000"/>
          <w:sz w:val="20"/>
          <w:szCs w:val="20"/>
        </w:rPr>
        <w:t xml:space="preserve">Budget and Actual Expenditure (by result) </w:t>
      </w:r>
    </w:p>
    <w:p w:rsidR="001363EE" w:rsidRDefault="001363EE" w:rsidP="001363EE">
      <w:pPr>
        <w:pStyle w:val="NormalWeb"/>
        <w:keepNext/>
        <w:keepLines/>
        <w:spacing w:before="0" w:beforeAutospacing="0" w:after="0" w:afterAutospacing="0"/>
        <w:jc w:val="center"/>
        <w:rPr>
          <w:i/>
          <w:iCs/>
          <w:color w:val="000000"/>
          <w:sz w:val="20"/>
          <w:szCs w:val="20"/>
        </w:rPr>
      </w:pPr>
      <w:r w:rsidRPr="00383D2D">
        <w:rPr>
          <w:i/>
          <w:iCs/>
          <w:color w:val="000000"/>
          <w:sz w:val="20"/>
          <w:szCs w:val="20"/>
        </w:rPr>
        <w:t>(in thousands of Swiss francs)</w:t>
      </w:r>
    </w:p>
    <w:p w:rsidR="001363EE" w:rsidRPr="0087507C" w:rsidRDefault="001363EE" w:rsidP="001363EE">
      <w:pPr>
        <w:keepNext/>
        <w:keepLines/>
        <w:rPr>
          <w:rFonts w:cs="Arial"/>
          <w:sz w:val="18"/>
          <w:szCs w:val="22"/>
        </w:rPr>
      </w:pPr>
    </w:p>
    <w:p w:rsidR="001363EE" w:rsidRDefault="001363EE" w:rsidP="001363EE">
      <w:pPr>
        <w:keepNext/>
        <w:keepLines/>
        <w:jc w:val="center"/>
        <w:rPr>
          <w:rFonts w:cs="Arial"/>
          <w:szCs w:val="22"/>
        </w:rPr>
      </w:pPr>
      <w:r w:rsidRPr="00A14080">
        <w:rPr>
          <w:noProof/>
        </w:rPr>
        <w:drawing>
          <wp:inline distT="0" distB="0" distL="0" distR="0" wp14:anchorId="2F73C10C" wp14:editId="06C1A41B">
            <wp:extent cx="5095875" cy="2025320"/>
            <wp:effectExtent l="0" t="0" r="0" b="0"/>
            <wp:docPr id="140"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2">
                      <a:extLst>
                        <a:ext uri="{28A0092B-C50C-407E-A947-70E740481C1C}">
                          <a14:useLocalDpi xmlns:a14="http://schemas.microsoft.com/office/drawing/2010/main" val="0"/>
                        </a:ext>
                      </a:extLst>
                    </a:blip>
                    <a:srcRect/>
                    <a:stretch>
                      <a:fillRect/>
                    </a:stretch>
                  </pic:blipFill>
                  <pic:spPr bwMode="auto">
                    <a:xfrm>
                      <a:off x="0" y="0"/>
                      <a:ext cx="5104369" cy="2028696"/>
                    </a:xfrm>
                    <a:prstGeom prst="rect">
                      <a:avLst/>
                    </a:prstGeom>
                    <a:noFill/>
                    <a:ln>
                      <a:noFill/>
                    </a:ln>
                  </pic:spPr>
                </pic:pic>
              </a:graphicData>
            </a:graphic>
          </wp:inline>
        </w:drawing>
      </w:r>
    </w:p>
    <w:p w:rsidR="001363EE" w:rsidRDefault="001363EE" w:rsidP="001363EE">
      <w:pPr>
        <w:pStyle w:val="NormalWeb"/>
        <w:keepNext/>
        <w:keepLines/>
        <w:spacing w:before="0" w:beforeAutospacing="0" w:after="0" w:afterAutospacing="0"/>
        <w:jc w:val="center"/>
        <w:rPr>
          <w:color w:val="000000"/>
          <w:sz w:val="20"/>
          <w:szCs w:val="20"/>
        </w:rPr>
      </w:pPr>
    </w:p>
    <w:p w:rsidR="006230DD" w:rsidRDefault="006230DD" w:rsidP="001363EE">
      <w:pPr>
        <w:pStyle w:val="NormalWeb"/>
        <w:keepNext/>
        <w:keepLines/>
        <w:spacing w:before="0" w:beforeAutospacing="0" w:after="0" w:afterAutospacing="0"/>
        <w:jc w:val="center"/>
        <w:rPr>
          <w:color w:val="000000"/>
          <w:sz w:val="20"/>
          <w:szCs w:val="20"/>
        </w:rPr>
      </w:pPr>
    </w:p>
    <w:p w:rsidR="001363EE" w:rsidRPr="00383D2D" w:rsidRDefault="001363EE" w:rsidP="006230DD">
      <w:pPr>
        <w:pStyle w:val="NormalWeb"/>
        <w:keepNext/>
        <w:keepLines/>
        <w:spacing w:before="0" w:beforeAutospacing="0" w:after="0" w:afterAutospacing="0"/>
        <w:jc w:val="center"/>
        <w:rPr>
          <w:sz w:val="20"/>
          <w:szCs w:val="20"/>
        </w:rPr>
      </w:pPr>
      <w:r w:rsidRPr="00383D2D">
        <w:rPr>
          <w:color w:val="000000"/>
          <w:sz w:val="20"/>
          <w:szCs w:val="20"/>
        </w:rPr>
        <w:t xml:space="preserve">Budget and Actual Expenditure (personnel and non-personnel) </w:t>
      </w:r>
    </w:p>
    <w:p w:rsidR="001363EE" w:rsidRPr="00383D2D" w:rsidRDefault="001363EE" w:rsidP="006230DD">
      <w:pPr>
        <w:pStyle w:val="NormalWeb"/>
        <w:keepNext/>
        <w:keepLines/>
        <w:spacing w:before="0" w:beforeAutospacing="0" w:after="0" w:afterAutospacing="0"/>
        <w:jc w:val="center"/>
        <w:rPr>
          <w:i/>
          <w:iCs/>
          <w:color w:val="000000"/>
          <w:sz w:val="20"/>
          <w:szCs w:val="20"/>
        </w:rPr>
      </w:pPr>
      <w:r w:rsidRPr="00383D2D">
        <w:rPr>
          <w:i/>
          <w:iCs/>
          <w:color w:val="000000"/>
          <w:sz w:val="20"/>
          <w:szCs w:val="20"/>
        </w:rPr>
        <w:t>(in thousands of Swiss francs)</w:t>
      </w:r>
    </w:p>
    <w:p w:rsidR="001363EE" w:rsidRPr="0087507C" w:rsidRDefault="001363EE" w:rsidP="006230DD">
      <w:pPr>
        <w:keepNext/>
        <w:keepLines/>
        <w:rPr>
          <w:rFonts w:cs="Arial"/>
          <w:szCs w:val="22"/>
        </w:rPr>
      </w:pPr>
    </w:p>
    <w:p w:rsidR="001363EE" w:rsidRPr="008704A4" w:rsidRDefault="001363EE" w:rsidP="006230DD">
      <w:pPr>
        <w:keepNext/>
        <w:keepLines/>
        <w:widowControl w:val="0"/>
        <w:autoSpaceDE w:val="0"/>
        <w:autoSpaceDN w:val="0"/>
        <w:adjustRightInd w:val="0"/>
        <w:jc w:val="center"/>
        <w:rPr>
          <w:rFonts w:cs="Arial"/>
          <w:szCs w:val="20"/>
        </w:rPr>
      </w:pPr>
      <w:r w:rsidRPr="00270FBD">
        <w:rPr>
          <w:noProof/>
        </w:rPr>
        <w:drawing>
          <wp:inline distT="0" distB="0" distL="0" distR="0" wp14:anchorId="4DC162DE" wp14:editId="0EFACE4B">
            <wp:extent cx="5076825" cy="999856"/>
            <wp:effectExtent l="0" t="0" r="0" b="0"/>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3">
                      <a:extLst>
                        <a:ext uri="{28A0092B-C50C-407E-A947-70E740481C1C}">
                          <a14:useLocalDpi xmlns:a14="http://schemas.microsoft.com/office/drawing/2010/main" val="0"/>
                        </a:ext>
                      </a:extLst>
                    </a:blip>
                    <a:srcRect/>
                    <a:stretch>
                      <a:fillRect/>
                    </a:stretch>
                  </pic:blipFill>
                  <pic:spPr bwMode="auto">
                    <a:xfrm>
                      <a:off x="0" y="0"/>
                      <a:ext cx="5119292" cy="1008220"/>
                    </a:xfrm>
                    <a:prstGeom prst="rect">
                      <a:avLst/>
                    </a:prstGeom>
                    <a:noFill/>
                    <a:ln>
                      <a:noFill/>
                    </a:ln>
                  </pic:spPr>
                </pic:pic>
              </a:graphicData>
            </a:graphic>
          </wp:inline>
        </w:drawing>
      </w:r>
    </w:p>
    <w:p w:rsidR="001363EE" w:rsidRDefault="001363EE" w:rsidP="006230DD">
      <w:pPr>
        <w:keepNext/>
        <w:keepLines/>
        <w:rPr>
          <w:rFonts w:cs="Arial"/>
          <w:szCs w:val="20"/>
        </w:rPr>
      </w:pPr>
    </w:p>
    <w:p w:rsidR="001363EE" w:rsidRDefault="001363EE" w:rsidP="006230DD">
      <w:pPr>
        <w:keepNext/>
        <w:keepLines/>
        <w:rPr>
          <w:rFonts w:cs="Arial"/>
          <w:szCs w:val="20"/>
        </w:rPr>
      </w:pPr>
    </w:p>
    <w:p w:rsidR="001363EE" w:rsidRDefault="001363EE" w:rsidP="00F33ED1">
      <w:pPr>
        <w:tabs>
          <w:tab w:val="left" w:pos="709"/>
        </w:tabs>
        <w:rPr>
          <w:rFonts w:cs="Arial"/>
          <w:szCs w:val="20"/>
          <w:u w:val="single"/>
        </w:rPr>
      </w:pPr>
      <w:r w:rsidRPr="008704A4">
        <w:rPr>
          <w:rFonts w:cs="Arial"/>
          <w:szCs w:val="20"/>
        </w:rPr>
        <w:t>A.</w:t>
      </w:r>
      <w:r w:rsidRPr="008704A4">
        <w:rPr>
          <w:rFonts w:cs="Arial"/>
          <w:szCs w:val="20"/>
        </w:rPr>
        <w:tab/>
      </w:r>
      <w:r w:rsidRPr="008704A4">
        <w:rPr>
          <w:rFonts w:cs="Arial"/>
          <w:szCs w:val="20"/>
          <w:u w:val="single"/>
        </w:rPr>
        <w:t>2014/15</w:t>
      </w:r>
      <w:r>
        <w:rPr>
          <w:rFonts w:cs="Arial"/>
          <w:szCs w:val="20"/>
          <w:u w:val="single"/>
        </w:rPr>
        <w:t xml:space="preserve"> Final </w:t>
      </w:r>
      <w:r w:rsidRPr="008704A4">
        <w:rPr>
          <w:rFonts w:cs="Arial"/>
          <w:szCs w:val="20"/>
          <w:u w:val="single"/>
        </w:rPr>
        <w:t>Budget after Transfers</w:t>
      </w:r>
    </w:p>
    <w:p w:rsidR="001363EE" w:rsidRPr="008704A4" w:rsidRDefault="001363EE" w:rsidP="001363EE">
      <w:pPr>
        <w:rPr>
          <w:rFonts w:cs="Arial"/>
          <w:szCs w:val="20"/>
          <w:u w:val="single"/>
        </w:rPr>
      </w:pPr>
      <w:r w:rsidRPr="008704A4">
        <w:rPr>
          <w:rFonts w:cs="Arial"/>
          <w:szCs w:val="20"/>
          <w:u w:val="single"/>
        </w:rPr>
        <w:t xml:space="preserve"> </w:t>
      </w:r>
    </w:p>
    <w:p w:rsidR="001363EE" w:rsidRDefault="001363EE" w:rsidP="001363EE">
      <w:pPr>
        <w:pStyle w:val="ListParagraph"/>
        <w:numPr>
          <w:ilvl w:val="0"/>
          <w:numId w:val="66"/>
        </w:numPr>
        <w:tabs>
          <w:tab w:val="left" w:pos="709"/>
        </w:tabs>
        <w:ind w:left="0" w:firstLine="0"/>
        <w:jc w:val="both"/>
        <w:rPr>
          <w:rFonts w:cs="Arial"/>
          <w:color w:val="000000"/>
        </w:rPr>
      </w:pPr>
      <w:r w:rsidRPr="0061405F">
        <w:rPr>
          <w:rFonts w:cs="Arial"/>
          <w:color w:val="000000"/>
        </w:rPr>
        <w:t xml:space="preserve">The </w:t>
      </w:r>
      <w:r w:rsidRPr="00FF1C2D">
        <w:rPr>
          <w:rFonts w:cs="Arial"/>
          <w:bCs/>
        </w:rPr>
        <w:t>increase</w:t>
      </w:r>
      <w:r w:rsidRPr="0061405F">
        <w:rPr>
          <w:rFonts w:cs="Arial"/>
          <w:color w:val="000000"/>
        </w:rPr>
        <w:t xml:space="preserve"> in the 2014/15 Final Budget after Transfers (non-personnel resources) reflects the additional resource a</w:t>
      </w:r>
      <w:r>
        <w:rPr>
          <w:rFonts w:cs="Arial"/>
          <w:color w:val="000000"/>
        </w:rPr>
        <w:t xml:space="preserve">llocation into the Program for the:  </w:t>
      </w:r>
      <w:r w:rsidRPr="0061405F">
        <w:rPr>
          <w:rFonts w:cs="Arial"/>
          <w:color w:val="000000"/>
        </w:rPr>
        <w:t>(</w:t>
      </w:r>
      <w:r>
        <w:rPr>
          <w:rFonts w:cs="Arial"/>
          <w:color w:val="000000"/>
        </w:rPr>
        <w:t>i</w:t>
      </w:r>
      <w:r w:rsidRPr="008F69BE">
        <w:rPr>
          <w:rFonts w:cs="Arial"/>
          <w:color w:val="000000"/>
        </w:rPr>
        <w:t>) furnishment</w:t>
      </w:r>
      <w:r w:rsidRPr="0061405F">
        <w:rPr>
          <w:rFonts w:cs="Arial"/>
          <w:color w:val="000000"/>
        </w:rPr>
        <w:t xml:space="preserve"> of the AM </w:t>
      </w:r>
      <w:r>
        <w:rPr>
          <w:rFonts w:cs="Arial"/>
          <w:color w:val="000000"/>
        </w:rPr>
        <w:t>building;  and (i</w:t>
      </w:r>
      <w:r w:rsidRPr="0061405F">
        <w:rPr>
          <w:rFonts w:cs="Arial"/>
          <w:color w:val="000000"/>
        </w:rPr>
        <w:t>i)</w:t>
      </w:r>
      <w:r>
        <w:rPr>
          <w:rFonts w:cs="Arial"/>
          <w:color w:val="000000"/>
        </w:rPr>
        <w:t> </w:t>
      </w:r>
      <w:r w:rsidRPr="0061405F">
        <w:rPr>
          <w:rFonts w:cs="Arial"/>
          <w:color w:val="000000"/>
        </w:rPr>
        <w:t>replenishment of various equipment and stocks such as mobile exhibition panels</w:t>
      </w:r>
      <w:r>
        <w:rPr>
          <w:rFonts w:cs="Arial"/>
          <w:color w:val="000000"/>
        </w:rPr>
        <w:t>, electrical equipment,</w:t>
      </w:r>
      <w:r w:rsidRPr="0061405F">
        <w:rPr>
          <w:rFonts w:cs="Arial"/>
          <w:color w:val="000000"/>
        </w:rPr>
        <w:t xml:space="preserve"> office partitions and carpets. </w:t>
      </w:r>
      <w:r>
        <w:rPr>
          <w:rFonts w:cs="Arial"/>
          <w:color w:val="000000"/>
        </w:rPr>
        <w:t xml:space="preserve"> </w:t>
      </w:r>
      <w:r w:rsidRPr="0061405F">
        <w:rPr>
          <w:rFonts w:cs="Arial"/>
          <w:color w:val="000000"/>
        </w:rPr>
        <w:t xml:space="preserve">This increase was compensated by the implementation of cost efficiency measures and the transfer of resources to Program 28 for the installation of the custom anti-intrusion fence below the </w:t>
      </w:r>
      <w:r>
        <w:rPr>
          <w:rFonts w:cs="Arial"/>
          <w:color w:val="000000"/>
        </w:rPr>
        <w:t xml:space="preserve">new WIPO </w:t>
      </w:r>
      <w:r w:rsidRPr="0061405F">
        <w:rPr>
          <w:rFonts w:cs="Arial"/>
          <w:color w:val="000000"/>
        </w:rPr>
        <w:t>C</w:t>
      </w:r>
      <w:r>
        <w:rPr>
          <w:rFonts w:cs="Arial"/>
          <w:color w:val="000000"/>
        </w:rPr>
        <w:t xml:space="preserve">onference </w:t>
      </w:r>
      <w:r w:rsidRPr="0061405F">
        <w:rPr>
          <w:rFonts w:cs="Arial"/>
          <w:color w:val="000000"/>
        </w:rPr>
        <w:t>H</w:t>
      </w:r>
      <w:r>
        <w:rPr>
          <w:rFonts w:cs="Arial"/>
          <w:color w:val="000000"/>
        </w:rPr>
        <w:t>all</w:t>
      </w:r>
      <w:r w:rsidRPr="0061405F">
        <w:rPr>
          <w:rFonts w:cs="Arial"/>
          <w:color w:val="000000"/>
        </w:rPr>
        <w:t>.</w:t>
      </w:r>
    </w:p>
    <w:p w:rsidR="001363EE" w:rsidRDefault="001363EE" w:rsidP="001363EE">
      <w:pPr>
        <w:pStyle w:val="ListParagraph"/>
        <w:tabs>
          <w:tab w:val="left" w:pos="709"/>
        </w:tabs>
        <w:ind w:left="0"/>
        <w:jc w:val="both"/>
        <w:rPr>
          <w:rFonts w:cs="Arial"/>
          <w:color w:val="000000"/>
        </w:rPr>
      </w:pPr>
    </w:p>
    <w:p w:rsidR="001363EE" w:rsidRPr="0061405F" w:rsidRDefault="001363EE" w:rsidP="001363EE">
      <w:pPr>
        <w:pStyle w:val="ListParagraph"/>
        <w:numPr>
          <w:ilvl w:val="0"/>
          <w:numId w:val="66"/>
        </w:numPr>
        <w:tabs>
          <w:tab w:val="left" w:pos="709"/>
        </w:tabs>
        <w:ind w:left="0" w:firstLine="0"/>
        <w:jc w:val="both"/>
        <w:rPr>
          <w:rFonts w:cs="Arial"/>
          <w:color w:val="000000"/>
        </w:rPr>
      </w:pPr>
      <w:r w:rsidRPr="0061405F">
        <w:rPr>
          <w:rFonts w:cs="Arial"/>
          <w:color w:val="000000"/>
        </w:rPr>
        <w:t xml:space="preserve">The </w:t>
      </w:r>
      <w:r w:rsidRPr="00FF1C2D">
        <w:rPr>
          <w:rFonts w:cs="Arial"/>
          <w:bCs/>
        </w:rPr>
        <w:t>slight</w:t>
      </w:r>
      <w:r w:rsidRPr="0061405F">
        <w:rPr>
          <w:rFonts w:cs="Arial"/>
          <w:color w:val="000000"/>
        </w:rPr>
        <w:t xml:space="preserve"> increase in the 2014/15 Final Budget after Transfers (personnel resources) reflects</w:t>
      </w:r>
      <w:r>
        <w:rPr>
          <w:rFonts w:cs="Arial"/>
          <w:color w:val="000000"/>
        </w:rPr>
        <w:t xml:space="preserve">, on the one hand, </w:t>
      </w:r>
      <w:r w:rsidRPr="0061405F">
        <w:rPr>
          <w:rFonts w:cs="Arial"/>
          <w:color w:val="000000"/>
        </w:rPr>
        <w:t xml:space="preserve">the redeployment of additional resources into the </w:t>
      </w:r>
      <w:r>
        <w:rPr>
          <w:rFonts w:cs="Arial"/>
          <w:color w:val="000000"/>
        </w:rPr>
        <w:t>P</w:t>
      </w:r>
      <w:r w:rsidRPr="0061405F">
        <w:rPr>
          <w:rFonts w:cs="Arial"/>
          <w:color w:val="000000"/>
        </w:rPr>
        <w:t>rogram to</w:t>
      </w:r>
      <w:r>
        <w:rPr>
          <w:rFonts w:cs="Arial"/>
          <w:color w:val="000000"/>
        </w:rPr>
        <w:t xml:space="preserve">: </w:t>
      </w:r>
      <w:r w:rsidRPr="0061405F">
        <w:rPr>
          <w:rFonts w:cs="Arial"/>
          <w:color w:val="000000"/>
        </w:rPr>
        <w:t xml:space="preserve"> (i) support the WIPO Appeals Board</w:t>
      </w:r>
      <w:r>
        <w:rPr>
          <w:rFonts w:cs="Arial"/>
          <w:color w:val="000000"/>
        </w:rPr>
        <w:t xml:space="preserve">;  </w:t>
      </w:r>
      <w:r w:rsidRPr="0061405F">
        <w:rPr>
          <w:rFonts w:cs="Arial"/>
          <w:color w:val="000000"/>
        </w:rPr>
        <w:t xml:space="preserve"> (ii) establis</w:t>
      </w:r>
      <w:r>
        <w:rPr>
          <w:rFonts w:cs="Arial"/>
          <w:color w:val="000000"/>
        </w:rPr>
        <w:t xml:space="preserve">h an ICS certifier function in procurement;  </w:t>
      </w:r>
      <w:r w:rsidRPr="0061405F">
        <w:rPr>
          <w:rFonts w:cs="Arial"/>
          <w:color w:val="000000"/>
        </w:rPr>
        <w:t xml:space="preserve">and (iii) strengthen </w:t>
      </w:r>
      <w:r>
        <w:rPr>
          <w:rFonts w:cs="Arial"/>
          <w:color w:val="000000"/>
        </w:rPr>
        <w:t>administrative support for renovation projects</w:t>
      </w:r>
      <w:r w:rsidRPr="0061405F">
        <w:rPr>
          <w:rFonts w:cs="Arial"/>
          <w:color w:val="000000"/>
        </w:rPr>
        <w:t xml:space="preserve">. </w:t>
      </w:r>
      <w:r>
        <w:rPr>
          <w:rFonts w:cs="Arial"/>
          <w:color w:val="000000"/>
        </w:rPr>
        <w:t>On the other hand, t</w:t>
      </w:r>
      <w:r w:rsidRPr="0061405F">
        <w:rPr>
          <w:rFonts w:cs="Arial"/>
          <w:color w:val="000000"/>
        </w:rPr>
        <w:t xml:space="preserve">his was partially offset by the redeployment of resources from the </w:t>
      </w:r>
      <w:r>
        <w:rPr>
          <w:rFonts w:cs="Arial"/>
          <w:color w:val="000000"/>
        </w:rPr>
        <w:t>P</w:t>
      </w:r>
      <w:r w:rsidRPr="0061405F">
        <w:rPr>
          <w:rFonts w:cs="Arial"/>
          <w:color w:val="000000"/>
        </w:rPr>
        <w:t>rogram</w:t>
      </w:r>
      <w:r>
        <w:rPr>
          <w:rFonts w:cs="Arial"/>
          <w:color w:val="000000"/>
        </w:rPr>
        <w:t xml:space="preserve"> to support business needs in Program 16</w:t>
      </w:r>
      <w:r w:rsidRPr="0061405F">
        <w:rPr>
          <w:rFonts w:cs="Arial"/>
          <w:color w:val="000000"/>
        </w:rPr>
        <w:t xml:space="preserve">, </w:t>
      </w:r>
      <w:r>
        <w:rPr>
          <w:rFonts w:cs="Arial"/>
          <w:color w:val="000000"/>
        </w:rPr>
        <w:t>Program 22</w:t>
      </w:r>
      <w:r w:rsidRPr="0061405F">
        <w:rPr>
          <w:rFonts w:cs="Arial"/>
          <w:color w:val="000000"/>
        </w:rPr>
        <w:t xml:space="preserve"> and Program 28. </w:t>
      </w:r>
    </w:p>
    <w:p w:rsidR="001363EE" w:rsidRDefault="001363EE" w:rsidP="001363EE">
      <w:pPr>
        <w:jc w:val="both"/>
        <w:rPr>
          <w:rFonts w:cs="Arial"/>
          <w:color w:val="000000"/>
          <w:szCs w:val="20"/>
        </w:rPr>
      </w:pPr>
    </w:p>
    <w:p w:rsidR="001363EE" w:rsidRPr="0061405F" w:rsidRDefault="001363EE" w:rsidP="001363EE">
      <w:pPr>
        <w:pStyle w:val="ListParagraph"/>
        <w:numPr>
          <w:ilvl w:val="0"/>
          <w:numId w:val="66"/>
        </w:numPr>
        <w:tabs>
          <w:tab w:val="left" w:pos="709"/>
        </w:tabs>
        <w:ind w:left="0" w:firstLine="0"/>
        <w:jc w:val="both"/>
        <w:rPr>
          <w:rFonts w:cs="Arial"/>
          <w:color w:val="000000"/>
        </w:rPr>
      </w:pPr>
      <w:r w:rsidRPr="00FF1C2D">
        <w:rPr>
          <w:rFonts w:cs="Arial"/>
          <w:bCs/>
        </w:rPr>
        <w:t>The</w:t>
      </w:r>
      <w:r w:rsidRPr="0061405F">
        <w:rPr>
          <w:rFonts w:cs="Arial"/>
          <w:color w:val="000000"/>
        </w:rPr>
        <w:t xml:space="preserve"> shift in resources between the Expected Results is primarily due to the redistribution of personnel resources from</w:t>
      </w:r>
      <w:r>
        <w:rPr>
          <w:rFonts w:cs="Arial"/>
          <w:color w:val="000000"/>
        </w:rPr>
        <w:t xml:space="preserve"> </w:t>
      </w:r>
      <w:r w:rsidRPr="0061405F">
        <w:rPr>
          <w:rFonts w:cs="Arial"/>
          <w:color w:val="000000"/>
        </w:rPr>
        <w:t>Expected Result IX.1</w:t>
      </w:r>
      <w:r>
        <w:rPr>
          <w:rFonts w:cs="Arial"/>
          <w:color w:val="000000"/>
        </w:rPr>
        <w:t xml:space="preserve"> (Effective, efficient, quality and customer-oriented support service) </w:t>
      </w:r>
      <w:r w:rsidRPr="0061405F">
        <w:rPr>
          <w:rFonts w:cs="Arial"/>
          <w:color w:val="000000"/>
        </w:rPr>
        <w:t>to</w:t>
      </w:r>
      <w:r w:rsidRPr="00B5692C">
        <w:t xml:space="preserve"> </w:t>
      </w:r>
      <w:r w:rsidRPr="00B5692C">
        <w:rPr>
          <w:rFonts w:cs="Arial"/>
          <w:color w:val="000000"/>
        </w:rPr>
        <w:t>Expected Result IX.4</w:t>
      </w:r>
      <w:r>
        <w:rPr>
          <w:rFonts w:cs="Arial"/>
          <w:color w:val="000000"/>
        </w:rPr>
        <w:t xml:space="preserve"> (An environmentally and socially responsible Organization) in order to </w:t>
      </w:r>
      <w:r w:rsidRPr="0061405F">
        <w:rPr>
          <w:rFonts w:cs="Arial"/>
          <w:color w:val="000000"/>
        </w:rPr>
        <w:t>implement environmental activities and increase safety of staff, visitors and assets</w:t>
      </w:r>
      <w:r>
        <w:rPr>
          <w:rFonts w:cs="Arial"/>
          <w:color w:val="000000"/>
        </w:rPr>
        <w:t>, and</w:t>
      </w:r>
      <w:r w:rsidRPr="0061405F">
        <w:rPr>
          <w:rFonts w:cs="Arial"/>
          <w:color w:val="000000"/>
        </w:rPr>
        <w:t xml:space="preserve"> </w:t>
      </w:r>
      <w:r>
        <w:rPr>
          <w:rFonts w:cs="Arial"/>
          <w:color w:val="000000"/>
        </w:rPr>
        <w:t xml:space="preserve">to </w:t>
      </w:r>
      <w:r w:rsidRPr="00B5692C">
        <w:rPr>
          <w:rFonts w:cs="Arial"/>
          <w:color w:val="000000"/>
        </w:rPr>
        <w:t>Expected Result VIII.5</w:t>
      </w:r>
      <w:r>
        <w:rPr>
          <w:rFonts w:cs="Arial"/>
          <w:color w:val="000000"/>
        </w:rPr>
        <w:t xml:space="preserve"> (WIPO effectively interacts and partners with UN and other IGO processes) to</w:t>
      </w:r>
      <w:r w:rsidRPr="0061405F">
        <w:rPr>
          <w:rFonts w:cs="Arial"/>
          <w:color w:val="000000"/>
        </w:rPr>
        <w:t xml:space="preserve"> enhance eng</w:t>
      </w:r>
      <w:r>
        <w:rPr>
          <w:rFonts w:cs="Arial"/>
          <w:color w:val="000000"/>
        </w:rPr>
        <w:t xml:space="preserve">agement with other UN Agencies </w:t>
      </w:r>
      <w:r w:rsidRPr="0061405F">
        <w:rPr>
          <w:rFonts w:cs="Arial"/>
          <w:color w:val="000000"/>
        </w:rPr>
        <w:t>in</w:t>
      </w:r>
      <w:r>
        <w:rPr>
          <w:rFonts w:cs="Arial"/>
          <w:color w:val="000000"/>
        </w:rPr>
        <w:t xml:space="preserve"> respect of:  (i) </w:t>
      </w:r>
      <w:r w:rsidRPr="0061405F">
        <w:rPr>
          <w:rFonts w:cs="Arial"/>
          <w:color w:val="000000"/>
        </w:rPr>
        <w:t>procurement</w:t>
      </w:r>
      <w:r>
        <w:rPr>
          <w:rFonts w:cs="Arial"/>
          <w:color w:val="000000"/>
        </w:rPr>
        <w:t xml:space="preserve">; </w:t>
      </w:r>
      <w:r w:rsidRPr="0061405F">
        <w:rPr>
          <w:rFonts w:cs="Arial"/>
          <w:color w:val="000000"/>
        </w:rPr>
        <w:t xml:space="preserve"> </w:t>
      </w:r>
      <w:r>
        <w:rPr>
          <w:rFonts w:cs="Arial"/>
          <w:color w:val="000000"/>
        </w:rPr>
        <w:t xml:space="preserve">and </w:t>
      </w:r>
      <w:r w:rsidRPr="0061405F">
        <w:rPr>
          <w:rFonts w:cs="Arial"/>
          <w:color w:val="000000"/>
        </w:rPr>
        <w:t>(ii) mainten</w:t>
      </w:r>
      <w:r>
        <w:rPr>
          <w:rFonts w:cs="Arial"/>
          <w:color w:val="000000"/>
        </w:rPr>
        <w:t xml:space="preserve">ance and renovation of premises. </w:t>
      </w:r>
    </w:p>
    <w:p w:rsidR="001363EE" w:rsidRDefault="001363EE" w:rsidP="001363EE">
      <w:pPr>
        <w:autoSpaceDE w:val="0"/>
        <w:autoSpaceDN w:val="0"/>
        <w:jc w:val="both"/>
        <w:rPr>
          <w:rFonts w:cs="Arial"/>
          <w:szCs w:val="20"/>
          <w:lang w:eastAsia="ko-KR"/>
        </w:rPr>
      </w:pPr>
    </w:p>
    <w:p w:rsidR="001363EE" w:rsidRPr="008704A4" w:rsidRDefault="001363EE" w:rsidP="00F33ED1">
      <w:pPr>
        <w:tabs>
          <w:tab w:val="left" w:pos="709"/>
        </w:tabs>
        <w:jc w:val="both"/>
        <w:rPr>
          <w:rFonts w:cs="Arial"/>
          <w:szCs w:val="20"/>
          <w:u w:val="single"/>
          <w:lang w:eastAsia="ko-KR"/>
        </w:rPr>
      </w:pPr>
      <w:r w:rsidRPr="008704A4">
        <w:rPr>
          <w:rFonts w:cs="Arial"/>
          <w:szCs w:val="20"/>
          <w:lang w:eastAsia="ko-KR"/>
        </w:rPr>
        <w:t>B.</w:t>
      </w:r>
      <w:r w:rsidRPr="008704A4">
        <w:rPr>
          <w:rFonts w:cs="Arial"/>
          <w:szCs w:val="20"/>
          <w:lang w:eastAsia="ko-KR"/>
        </w:rPr>
        <w:tab/>
      </w:r>
      <w:r w:rsidRPr="008704A4">
        <w:rPr>
          <w:rFonts w:cs="Arial"/>
          <w:szCs w:val="20"/>
          <w:u w:val="single"/>
        </w:rPr>
        <w:t>2014/15</w:t>
      </w:r>
      <w:r>
        <w:rPr>
          <w:rFonts w:cs="Arial"/>
          <w:szCs w:val="20"/>
          <w:u w:val="single"/>
        </w:rPr>
        <w:t xml:space="preserve"> </w:t>
      </w:r>
      <w:r>
        <w:rPr>
          <w:rFonts w:cs="Arial"/>
          <w:szCs w:val="20"/>
          <w:u w:val="single"/>
          <w:lang w:eastAsia="ko-KR"/>
        </w:rPr>
        <w:t>Budget U</w:t>
      </w:r>
      <w:r w:rsidRPr="008704A4">
        <w:rPr>
          <w:rFonts w:cs="Arial"/>
          <w:szCs w:val="20"/>
          <w:u w:val="single"/>
          <w:lang w:eastAsia="ko-KR"/>
        </w:rPr>
        <w:t>tilization</w:t>
      </w:r>
    </w:p>
    <w:p w:rsidR="001363EE" w:rsidRDefault="001363EE" w:rsidP="001363EE"/>
    <w:p w:rsidR="001363EE" w:rsidRDefault="001363EE" w:rsidP="001363EE">
      <w:pPr>
        <w:pStyle w:val="ListParagraph"/>
        <w:numPr>
          <w:ilvl w:val="0"/>
          <w:numId w:val="66"/>
        </w:numPr>
        <w:tabs>
          <w:tab w:val="left" w:pos="709"/>
        </w:tabs>
        <w:ind w:left="0" w:firstLine="0"/>
        <w:jc w:val="both"/>
      </w:pPr>
      <w:r w:rsidRPr="005804F3">
        <w:rPr>
          <w:rFonts w:cs="Arial"/>
          <w:bCs/>
        </w:rPr>
        <w:t>Budget</w:t>
      </w:r>
      <w:r>
        <w:t xml:space="preserve"> utilization is within the expected range for the biennium.</w:t>
      </w:r>
    </w:p>
    <w:p w:rsidR="00E43AF7" w:rsidRPr="005C1F88" w:rsidRDefault="00E43AF7" w:rsidP="008D1891">
      <w:pPr>
        <w:ind w:left="2268" w:hanging="2268"/>
        <w:rPr>
          <w:rFonts w:cs="Arial"/>
          <w:b/>
          <w:bCs/>
          <w:szCs w:val="20"/>
        </w:rPr>
      </w:pPr>
    </w:p>
    <w:p w:rsidR="005E4C4F" w:rsidRDefault="005E4C4F">
      <w:r>
        <w:br w:type="page"/>
      </w:r>
    </w:p>
    <w:p w:rsidR="005E4C4F" w:rsidRPr="001243AF" w:rsidRDefault="005E4C4F" w:rsidP="00271CFB">
      <w:pPr>
        <w:pStyle w:val="Heading2"/>
        <w:tabs>
          <w:tab w:val="clear" w:pos="567"/>
          <w:tab w:val="left" w:pos="2268"/>
        </w:tabs>
        <w:ind w:left="1985" w:hanging="1985"/>
      </w:pPr>
      <w:bookmarkStart w:id="109" w:name="_Toc454544499"/>
      <w:r w:rsidRPr="001243AF">
        <w:t xml:space="preserve">PROGRAM </w:t>
      </w:r>
      <w:r>
        <w:t>25</w:t>
      </w:r>
      <w:r>
        <w:tab/>
        <w:t>INFORMATION AND COMMUNICATION TECHNOLOGY</w:t>
      </w:r>
      <w:bookmarkEnd w:id="109"/>
    </w:p>
    <w:p w:rsidR="005E4C4F" w:rsidRPr="00383D2D" w:rsidRDefault="005E4C4F" w:rsidP="00271CFB">
      <w:pPr>
        <w:ind w:left="1985" w:hanging="1985"/>
        <w:rPr>
          <w:szCs w:val="20"/>
        </w:rPr>
      </w:pPr>
    </w:p>
    <w:p w:rsidR="005E4C4F" w:rsidRPr="0005022A" w:rsidRDefault="005E4C4F" w:rsidP="00271CFB">
      <w:pPr>
        <w:ind w:left="1985" w:hanging="1985"/>
        <w:rPr>
          <w:b/>
          <w:szCs w:val="20"/>
        </w:rPr>
      </w:pPr>
      <w:r w:rsidRPr="0005022A">
        <w:rPr>
          <w:b/>
          <w:szCs w:val="20"/>
        </w:rPr>
        <w:t>Program Manager</w:t>
      </w:r>
      <w:r w:rsidRPr="0005022A">
        <w:rPr>
          <w:b/>
          <w:szCs w:val="20"/>
        </w:rPr>
        <w:tab/>
        <w:t>Mr. A. Sundaram</w:t>
      </w:r>
    </w:p>
    <w:p w:rsidR="005E4C4F" w:rsidRPr="008F4A6D" w:rsidRDefault="005E4C4F" w:rsidP="000E148D">
      <w:pPr>
        <w:rPr>
          <w:szCs w:val="20"/>
        </w:rPr>
      </w:pPr>
    </w:p>
    <w:p w:rsidR="005E4C4F" w:rsidRPr="001C6F4D" w:rsidRDefault="005E4C4F" w:rsidP="000E148D">
      <w:pPr>
        <w:rPr>
          <w:szCs w:val="20"/>
        </w:rPr>
      </w:pPr>
    </w:p>
    <w:p w:rsidR="001346E3" w:rsidRPr="00B83CD4" w:rsidRDefault="001346E3" w:rsidP="001363EE">
      <w:pPr>
        <w:rPr>
          <w:bCs/>
          <w:szCs w:val="20"/>
        </w:rPr>
      </w:pPr>
      <w:r w:rsidRPr="00B83CD4">
        <w:rPr>
          <w:bCs/>
          <w:szCs w:val="20"/>
        </w:rPr>
        <w:t>ACHIEVEMENTS IN THE 2014/15 BIENNIUM</w:t>
      </w:r>
    </w:p>
    <w:p w:rsidR="001346E3" w:rsidRPr="00B83CD4" w:rsidRDefault="001346E3" w:rsidP="001363EE">
      <w:pPr>
        <w:jc w:val="both"/>
        <w:rPr>
          <w:rFonts w:cs="Arial"/>
          <w:color w:val="000000" w:themeColor="text1"/>
          <w:szCs w:val="20"/>
        </w:rPr>
      </w:pPr>
    </w:p>
    <w:p w:rsidR="001346E3" w:rsidRPr="004E648B" w:rsidRDefault="001346E3" w:rsidP="001346E3">
      <w:pPr>
        <w:pStyle w:val="ONUME"/>
        <w:numPr>
          <w:ilvl w:val="0"/>
          <w:numId w:val="48"/>
        </w:numPr>
        <w:tabs>
          <w:tab w:val="left" w:pos="709"/>
        </w:tabs>
        <w:ind w:left="0" w:firstLine="0"/>
        <w:jc w:val="both"/>
      </w:pPr>
      <w:r w:rsidRPr="005C5BC9">
        <w:t xml:space="preserve">Information and Communication Technology (ICT) continued to play two vital roles during the biennium.  Externally, it provided responsive, reliable and secured platforms for the delivery of global IP services, as well as the technical facilities for the </w:t>
      </w:r>
      <w:r>
        <w:t>n</w:t>
      </w:r>
      <w:r w:rsidRPr="005C5BC9">
        <w:t>ew WIPO Conference Hall and other conference facilities.  Internally, it provided efficient and cost-effective solutions to sustain WIPO’s daily operations both at headquarters and the External Offices (EOs).</w:t>
      </w:r>
    </w:p>
    <w:p w:rsidR="001346E3" w:rsidRPr="00575F8F" w:rsidRDefault="001346E3" w:rsidP="001346E3">
      <w:pPr>
        <w:pStyle w:val="ONUME"/>
        <w:numPr>
          <w:ilvl w:val="0"/>
          <w:numId w:val="48"/>
        </w:numPr>
        <w:tabs>
          <w:tab w:val="left" w:pos="709"/>
        </w:tabs>
        <w:ind w:left="0" w:firstLine="0"/>
        <w:jc w:val="both"/>
      </w:pPr>
      <w:r w:rsidRPr="00575F8F">
        <w:t>Building on the progress made in the previous biennium, the following achievements highlight the progress in the field of Infrastructure Services and Business Solution Services (including Internet Services) in 2014/15:</w:t>
      </w:r>
    </w:p>
    <w:p w:rsidR="001346E3" w:rsidRPr="0032144A" w:rsidRDefault="001346E3" w:rsidP="001346E3">
      <w:pPr>
        <w:pStyle w:val="ONUME"/>
        <w:numPr>
          <w:ilvl w:val="0"/>
          <w:numId w:val="52"/>
        </w:numPr>
        <w:tabs>
          <w:tab w:val="left" w:pos="1134"/>
        </w:tabs>
        <w:ind w:left="567" w:firstLine="0"/>
        <w:jc w:val="both"/>
      </w:pPr>
      <w:r>
        <w:t>ICT infrastructure resilience and service continuity were further enhanced, in particular the successful establishment and testing of a h</w:t>
      </w:r>
      <w:r w:rsidRPr="0032144A">
        <w:t xml:space="preserve">igh level ICT disaster recovery capability </w:t>
      </w:r>
      <w:r>
        <w:t>to</w:t>
      </w:r>
      <w:r w:rsidRPr="0032144A">
        <w:t xml:space="preserve"> support the PCT System</w:t>
      </w:r>
      <w:r>
        <w:t xml:space="preserve">, whereby PCT systems and processes would not be affected should </w:t>
      </w:r>
      <w:r w:rsidRPr="0032144A">
        <w:t>WIPO’s data center</w:t>
      </w:r>
      <w:r>
        <w:t xml:space="preserve"> be compromised.  S</w:t>
      </w:r>
      <w:r w:rsidRPr="0032144A">
        <w:t xml:space="preserve">imilar capabilities </w:t>
      </w:r>
      <w:r>
        <w:t xml:space="preserve">will be applied to </w:t>
      </w:r>
      <w:r w:rsidRPr="0032144A">
        <w:t>other critical operations</w:t>
      </w:r>
      <w:r w:rsidRPr="00A06C67">
        <w:t xml:space="preserve"> </w:t>
      </w:r>
      <w:r>
        <w:t>in the future</w:t>
      </w:r>
      <w:r w:rsidRPr="0032144A">
        <w:t>.</w:t>
      </w:r>
    </w:p>
    <w:p w:rsidR="001346E3" w:rsidRDefault="001346E3" w:rsidP="001346E3">
      <w:pPr>
        <w:pStyle w:val="ONUME"/>
        <w:numPr>
          <w:ilvl w:val="0"/>
          <w:numId w:val="52"/>
        </w:numPr>
        <w:tabs>
          <w:tab w:val="left" w:pos="1134"/>
        </w:tabs>
        <w:ind w:left="567" w:firstLine="0"/>
        <w:jc w:val="both"/>
      </w:pPr>
      <w:r>
        <w:t>A</w:t>
      </w:r>
      <w:r w:rsidRPr="0032144A">
        <w:t xml:space="preserve"> new Global Office Architecture (GOA) solution for WIPO’s </w:t>
      </w:r>
      <w:r>
        <w:t>EOs</w:t>
      </w:r>
      <w:r w:rsidRPr="0032144A">
        <w:t xml:space="preserve"> was designed to provide secure connectivity to all </w:t>
      </w:r>
      <w:r>
        <w:t xml:space="preserve">of </w:t>
      </w:r>
      <w:r w:rsidRPr="0032144A">
        <w:t>WIPO’s administrative IT systems hosted at headquarters, together with central</w:t>
      </w:r>
      <w:r>
        <w:t>ized and consistent IT services.  By the end of</w:t>
      </w:r>
      <w:r w:rsidRPr="0032144A">
        <w:t xml:space="preserve"> 2015, </w:t>
      </w:r>
      <w:r>
        <w:t xml:space="preserve">the </w:t>
      </w:r>
      <w:r w:rsidRPr="0032144A">
        <w:t xml:space="preserve">GOA </w:t>
      </w:r>
      <w:r>
        <w:t>had been</w:t>
      </w:r>
      <w:r w:rsidRPr="0032144A">
        <w:t xml:space="preserve"> rolled out to </w:t>
      </w:r>
      <w:r>
        <w:t>three EOs</w:t>
      </w:r>
      <w:r w:rsidRPr="0032144A">
        <w:t xml:space="preserve"> </w:t>
      </w:r>
      <w:r>
        <w:t>(</w:t>
      </w:r>
      <w:r w:rsidRPr="0032144A">
        <w:t>WJO, WSO and WRO</w:t>
      </w:r>
      <w:r>
        <w:t>)</w:t>
      </w:r>
      <w:r w:rsidRPr="0032144A">
        <w:t>.</w:t>
      </w:r>
    </w:p>
    <w:p w:rsidR="001346E3" w:rsidRPr="0032144A" w:rsidRDefault="001346E3" w:rsidP="001346E3">
      <w:pPr>
        <w:pStyle w:val="ONUME"/>
        <w:numPr>
          <w:ilvl w:val="0"/>
          <w:numId w:val="52"/>
        </w:numPr>
        <w:tabs>
          <w:tab w:val="left" w:pos="1134"/>
        </w:tabs>
        <w:ind w:left="567" w:firstLine="0"/>
        <w:jc w:val="both"/>
      </w:pPr>
      <w:r>
        <w:t>ICT infrastructure for the new WIPO Conference Hall was</w:t>
      </w:r>
      <w:r w:rsidRPr="0032144A">
        <w:t xml:space="preserve"> delivered in time</w:t>
      </w:r>
      <w:r>
        <w:t xml:space="preserve"> for the twenty-second session of the PBC and the fifty-fourth series of meetings of the WIPO Assemblies in 2014</w:t>
      </w:r>
      <w:r w:rsidRPr="0032144A">
        <w:t>.</w:t>
      </w:r>
    </w:p>
    <w:p w:rsidR="001346E3" w:rsidRPr="0032144A" w:rsidRDefault="001346E3" w:rsidP="001346E3">
      <w:pPr>
        <w:pStyle w:val="ONUME"/>
        <w:numPr>
          <w:ilvl w:val="0"/>
          <w:numId w:val="52"/>
        </w:numPr>
        <w:tabs>
          <w:tab w:val="left" w:pos="1134"/>
        </w:tabs>
        <w:ind w:left="567" w:firstLine="0"/>
        <w:jc w:val="both"/>
      </w:pPr>
      <w:r w:rsidRPr="0032144A">
        <w:t xml:space="preserve">Outsourcing of network and server infrastructure management to the United Nations International Computing Center was completed </w:t>
      </w:r>
      <w:r>
        <w:t>to ensure</w:t>
      </w:r>
      <w:r w:rsidRPr="0032144A">
        <w:t xml:space="preserve"> proper 24/7 coverage and timely updates.</w:t>
      </w:r>
    </w:p>
    <w:p w:rsidR="001346E3" w:rsidRPr="0032144A" w:rsidRDefault="001346E3" w:rsidP="001346E3">
      <w:pPr>
        <w:pStyle w:val="ONUME"/>
        <w:numPr>
          <w:ilvl w:val="0"/>
          <w:numId w:val="52"/>
        </w:numPr>
        <w:tabs>
          <w:tab w:val="left" w:pos="1134"/>
        </w:tabs>
        <w:ind w:left="567" w:firstLine="0"/>
        <w:jc w:val="both"/>
      </w:pPr>
      <w:r>
        <w:t>Through close collaboration with key business stakeholders, s</w:t>
      </w:r>
      <w:r w:rsidRPr="0032144A">
        <w:t xml:space="preserve">pecific </w:t>
      </w:r>
      <w:r>
        <w:t>S</w:t>
      </w:r>
      <w:r w:rsidRPr="0032144A">
        <w:t xml:space="preserve">ervice </w:t>
      </w:r>
      <w:r>
        <w:t>D</w:t>
      </w:r>
      <w:r w:rsidRPr="0032144A">
        <w:t xml:space="preserve">elivery </w:t>
      </w:r>
      <w:r>
        <w:t>A</w:t>
      </w:r>
      <w:r w:rsidRPr="0032144A">
        <w:t>greements</w:t>
      </w:r>
      <w:r>
        <w:t xml:space="preserve"> (SDAs)</w:t>
      </w:r>
      <w:r w:rsidRPr="0032144A">
        <w:t xml:space="preserve"> </w:t>
      </w:r>
      <w:r>
        <w:t>were established in 2014 to explicitly capture the ICT needs for the specific business areas, as well as to enable more systematic tracking and monitoring</w:t>
      </w:r>
      <w:r w:rsidRPr="0032144A">
        <w:t>.</w:t>
      </w:r>
    </w:p>
    <w:p w:rsidR="001346E3" w:rsidRPr="0032144A" w:rsidRDefault="001346E3" w:rsidP="001346E3">
      <w:pPr>
        <w:pStyle w:val="ONUME"/>
        <w:numPr>
          <w:ilvl w:val="0"/>
          <w:numId w:val="52"/>
        </w:numPr>
        <w:tabs>
          <w:tab w:val="left" w:pos="1134"/>
        </w:tabs>
        <w:ind w:left="567" w:firstLine="0"/>
        <w:jc w:val="both"/>
      </w:pPr>
      <w:r w:rsidRPr="0032144A">
        <w:t>An advanced fax system, introduced to seamlessly integrate with computer systems for Madrid</w:t>
      </w:r>
      <w:r>
        <w:t>, as well as</w:t>
      </w:r>
      <w:r w:rsidRPr="0032144A">
        <w:t xml:space="preserve"> internal administrative systems, resulted in greater efficiency and significantly reduced </w:t>
      </w:r>
      <w:r>
        <w:t xml:space="preserve">fax </w:t>
      </w:r>
      <w:r w:rsidRPr="0032144A">
        <w:t>error rates</w:t>
      </w:r>
      <w:r>
        <w:t>, which formerly required substantial amount of time to repeatedly resend the faxes</w:t>
      </w:r>
      <w:r w:rsidRPr="0032144A">
        <w:t>.</w:t>
      </w:r>
    </w:p>
    <w:p w:rsidR="001346E3" w:rsidRPr="0032144A" w:rsidRDefault="001346E3" w:rsidP="001346E3">
      <w:pPr>
        <w:pStyle w:val="ONUME"/>
        <w:numPr>
          <w:ilvl w:val="0"/>
          <w:numId w:val="52"/>
        </w:numPr>
        <w:tabs>
          <w:tab w:val="left" w:pos="1134"/>
        </w:tabs>
        <w:ind w:left="567" w:firstLine="0"/>
        <w:jc w:val="both"/>
      </w:pPr>
      <w:r>
        <w:t>I</w:t>
      </w:r>
      <w:r w:rsidRPr="0032144A">
        <w:t>n response to recommendations made in the 2014 Joint Inspection Unit’s Review of Management and Administration in the World Intellectual Property Organization and subsequent internal evaluations</w:t>
      </w:r>
      <w:r>
        <w:t>, in 2015, a</w:t>
      </w:r>
      <w:r w:rsidRPr="0032144A">
        <w:t xml:space="preserve"> Knowledge Management Strategy</w:t>
      </w:r>
      <w:r w:rsidRPr="00257BEC">
        <w:footnoteReference w:id="138"/>
      </w:r>
      <w:r w:rsidRPr="0032144A">
        <w:t xml:space="preserve"> was developed</w:t>
      </w:r>
      <w:r>
        <w:t xml:space="preserve"> to:  (i) foster a knowledge management culture in WIPO;  (ii) implement an Organization-wide set of knowledge management processes and tools;  (iii) identify and publish a “single source of truth” for knowledge and information assets:  and (iv) ensure the alignment and integration of knowledge management with WIPO’s Organizational Resilience Strategy.</w:t>
      </w:r>
      <w:r w:rsidRPr="0032144A" w:rsidDel="00B676D0">
        <w:t xml:space="preserve"> </w:t>
      </w:r>
    </w:p>
    <w:p w:rsidR="001346E3" w:rsidRPr="0032144A" w:rsidRDefault="001346E3" w:rsidP="001346E3">
      <w:pPr>
        <w:pStyle w:val="ONUME"/>
        <w:numPr>
          <w:ilvl w:val="0"/>
          <w:numId w:val="52"/>
        </w:numPr>
        <w:tabs>
          <w:tab w:val="left" w:pos="1134"/>
        </w:tabs>
        <w:ind w:left="567" w:firstLine="0"/>
        <w:jc w:val="both"/>
      </w:pPr>
      <w:r>
        <w:t>P</w:t>
      </w:r>
      <w:r w:rsidRPr="0032144A">
        <w:t xml:space="preserve">rocesses </w:t>
      </w:r>
      <w:r>
        <w:t xml:space="preserve">for the transition operationalization and mainstreaming of </w:t>
      </w:r>
      <w:r w:rsidRPr="0032144A">
        <w:t xml:space="preserve">ICT projects were </w:t>
      </w:r>
      <w:r>
        <w:t>formally defined</w:t>
      </w:r>
      <w:r w:rsidRPr="0032144A">
        <w:t xml:space="preserve">, </w:t>
      </w:r>
      <w:r>
        <w:t xml:space="preserve">in order to ensure a more systematic and smoother transition flow.  </w:t>
      </w:r>
    </w:p>
    <w:p w:rsidR="001346E3" w:rsidRDefault="001346E3" w:rsidP="001346E3">
      <w:pPr>
        <w:pStyle w:val="ONUME"/>
        <w:numPr>
          <w:ilvl w:val="0"/>
          <w:numId w:val="52"/>
        </w:numPr>
        <w:tabs>
          <w:tab w:val="left" w:pos="1134"/>
        </w:tabs>
        <w:ind w:left="567" w:firstLine="0"/>
        <w:jc w:val="both"/>
      </w:pPr>
      <w:r>
        <w:t>S</w:t>
      </w:r>
      <w:r w:rsidRPr="0032144A">
        <w:t xml:space="preserve">ervice contracts and operational processes were reviewed </w:t>
      </w:r>
      <w:r>
        <w:t xml:space="preserve"> and measures taken to ensure more cost-effective operations</w:t>
      </w:r>
      <w:r w:rsidRPr="0032144A">
        <w:t>,</w:t>
      </w:r>
      <w:r>
        <w:t xml:space="preserve"> which</w:t>
      </w:r>
      <w:r w:rsidRPr="0032144A">
        <w:t xml:space="preserve"> result</w:t>
      </w:r>
      <w:r>
        <w:t>ed</w:t>
      </w:r>
      <w:r w:rsidRPr="0032144A">
        <w:t xml:space="preserve"> in savings of approximately 460,000 </w:t>
      </w:r>
      <w:r w:rsidRPr="00265108">
        <w:t xml:space="preserve">Swiss </w:t>
      </w:r>
      <w:r>
        <w:t>f</w:t>
      </w:r>
      <w:r w:rsidRPr="00265108">
        <w:t>rancs</w:t>
      </w:r>
      <w:r>
        <w:t xml:space="preserve"> as compared to 2013</w:t>
      </w:r>
      <w:r w:rsidRPr="00265108">
        <w:t>.</w:t>
      </w:r>
    </w:p>
    <w:p w:rsidR="001346E3" w:rsidRDefault="001346E3" w:rsidP="001346E3">
      <w:pPr>
        <w:pStyle w:val="ONUME"/>
        <w:numPr>
          <w:ilvl w:val="0"/>
          <w:numId w:val="48"/>
        </w:numPr>
        <w:tabs>
          <w:tab w:val="left" w:pos="709"/>
        </w:tabs>
        <w:spacing w:after="0"/>
        <w:ind w:left="0" w:firstLine="0"/>
        <w:jc w:val="both"/>
      </w:pPr>
      <w:r w:rsidRPr="00575F8F">
        <w:t xml:space="preserve">As regards information assurance, the biennium 2014/15 saw a strategic organizational restructuring with the incorporation of the Information Security Section (ISS) under the newly created Safety and Information Assurance Division (SIAD), </w:t>
      </w:r>
      <w:r>
        <w:t xml:space="preserve">which </w:t>
      </w:r>
      <w:r w:rsidRPr="00575F8F">
        <w:t>allow</w:t>
      </w:r>
      <w:r>
        <w:t>s</w:t>
      </w:r>
      <w:r w:rsidRPr="00575F8F">
        <w:t xml:space="preserve"> for a better integration between physical and information security.</w:t>
      </w:r>
    </w:p>
    <w:p w:rsidR="001346E3" w:rsidRPr="00575F8F" w:rsidRDefault="001346E3" w:rsidP="001363EE">
      <w:pPr>
        <w:pStyle w:val="ONUME"/>
        <w:tabs>
          <w:tab w:val="left" w:pos="709"/>
        </w:tabs>
        <w:spacing w:after="0"/>
        <w:jc w:val="both"/>
      </w:pPr>
    </w:p>
    <w:p w:rsidR="001346E3" w:rsidRDefault="001346E3" w:rsidP="001346E3">
      <w:pPr>
        <w:pStyle w:val="ONUME"/>
        <w:numPr>
          <w:ilvl w:val="0"/>
          <w:numId w:val="48"/>
        </w:numPr>
        <w:tabs>
          <w:tab w:val="left" w:pos="709"/>
        </w:tabs>
        <w:spacing w:after="0"/>
        <w:ind w:left="0" w:firstLine="0"/>
        <w:jc w:val="both"/>
      </w:pPr>
      <w:r w:rsidRPr="00575F8F">
        <w:t>Whilst much of the work in relation to information assurance remained operational, the biennium 2014/15 saw several key achievements, which greatly contributed to enhancing the protection and security of WIPO’s information systems.</w:t>
      </w:r>
    </w:p>
    <w:p w:rsidR="001346E3" w:rsidRDefault="001346E3" w:rsidP="001363EE">
      <w:pPr>
        <w:pStyle w:val="ListParagraph"/>
      </w:pPr>
    </w:p>
    <w:p w:rsidR="001346E3" w:rsidRDefault="001346E3" w:rsidP="001346E3">
      <w:pPr>
        <w:pStyle w:val="ONUME"/>
        <w:numPr>
          <w:ilvl w:val="0"/>
          <w:numId w:val="48"/>
        </w:numPr>
        <w:tabs>
          <w:tab w:val="left" w:pos="709"/>
        </w:tabs>
        <w:spacing w:after="0"/>
        <w:ind w:left="0" w:firstLine="0"/>
        <w:jc w:val="both"/>
      </w:pPr>
      <w:r w:rsidRPr="00675531">
        <w:t>As part of the continuous improvement process promoted by the ISO 27001 Standard, in October 2014, the PCT underwent the second round of external surveillance audits for the ISO 27001 certification, and at the same time migrated the certification from the 2005 version to the latest ISO 27001:2013.  In October 2015, the certification was expanded to include both the Madrid and the Hague operations, in addition to PCT.  No major or minor non-conformities were noted.</w:t>
      </w:r>
    </w:p>
    <w:p w:rsidR="001346E3" w:rsidRPr="00675531" w:rsidRDefault="001346E3" w:rsidP="001363EE">
      <w:pPr>
        <w:pStyle w:val="ONUME"/>
        <w:tabs>
          <w:tab w:val="left" w:pos="709"/>
        </w:tabs>
        <w:spacing w:after="0"/>
        <w:jc w:val="both"/>
      </w:pPr>
    </w:p>
    <w:p w:rsidR="001346E3" w:rsidRDefault="001346E3" w:rsidP="001346E3">
      <w:pPr>
        <w:pStyle w:val="ONUME"/>
        <w:numPr>
          <w:ilvl w:val="0"/>
          <w:numId w:val="48"/>
        </w:numPr>
        <w:tabs>
          <w:tab w:val="left" w:pos="709"/>
        </w:tabs>
        <w:spacing w:after="0"/>
        <w:ind w:left="0" w:firstLine="0"/>
        <w:jc w:val="both"/>
      </w:pPr>
      <w:r w:rsidRPr="00675531">
        <w:t xml:space="preserve">Following the organizational restructuring, </w:t>
      </w:r>
      <w:r w:rsidR="00824E3C">
        <w:t xml:space="preserve">resulting in the establishment of a new Division responsible for Information Assurance and Security (SIAD), </w:t>
      </w:r>
      <w:r w:rsidRPr="00675531">
        <w:t>the year 2015 saw the development and approval of an Information Assurance (IA) Strategy aimed at ensuring the provision of high quality and secure IP solutions to its Member States and customers.</w:t>
      </w:r>
    </w:p>
    <w:p w:rsidR="001346E3" w:rsidRPr="00675531" w:rsidRDefault="001346E3" w:rsidP="001363EE">
      <w:pPr>
        <w:pStyle w:val="ONUME"/>
        <w:tabs>
          <w:tab w:val="left" w:pos="709"/>
        </w:tabs>
        <w:spacing w:after="0"/>
        <w:jc w:val="both"/>
      </w:pPr>
    </w:p>
    <w:p w:rsidR="001346E3" w:rsidRDefault="001346E3" w:rsidP="001346E3">
      <w:pPr>
        <w:pStyle w:val="ONUME"/>
        <w:numPr>
          <w:ilvl w:val="0"/>
          <w:numId w:val="48"/>
        </w:numPr>
        <w:tabs>
          <w:tab w:val="left" w:pos="709"/>
        </w:tabs>
        <w:spacing w:after="0"/>
        <w:ind w:left="0" w:firstLine="0"/>
        <w:jc w:val="both"/>
      </w:pPr>
      <w:r w:rsidRPr="00575F8F">
        <w:t xml:space="preserve">In addition, significant steps were taken </w:t>
      </w:r>
      <w:r>
        <w:t>to improve</w:t>
      </w:r>
      <w:r w:rsidRPr="00575F8F">
        <w:t xml:space="preserve"> technical security capabilities in the areas of privileged account management, security event and information management, monitoring and alerting for Indicators of Compromise (IOCs), and incident response and management.  </w:t>
      </w:r>
      <w:r>
        <w:t xml:space="preserve">In 2014, a project to fully implement the ArcSight Security Event and Information Management (SEIM) system was completed, providing greater visibility on potential security </w:t>
      </w:r>
      <w:r w:rsidRPr="001B776F">
        <w:t xml:space="preserve">events within WIPO’s </w:t>
      </w:r>
      <w:r w:rsidRPr="00820960">
        <w:t xml:space="preserve">IT </w:t>
      </w:r>
      <w:r w:rsidRPr="001B776F">
        <w:t>network, and</w:t>
      </w:r>
      <w:r>
        <w:t xml:space="preserve"> enabling more effective and efficient incident response.  </w:t>
      </w:r>
      <w:r w:rsidRPr="00575F8F">
        <w:t xml:space="preserve">The deployment and integration of </w:t>
      </w:r>
      <w:r>
        <w:t>such</w:t>
      </w:r>
      <w:r w:rsidRPr="00575F8F">
        <w:t xml:space="preserve"> technical solutions greatly reduced the time required to detect and respond to potential cyber-attacks or data compromises.  As a result</w:t>
      </w:r>
      <w:r>
        <w:t xml:space="preserve">, the </w:t>
      </w:r>
      <w:r w:rsidRPr="00575F8F">
        <w:t>number of serious incidents was minimal, with only one major incident each year for th</w:t>
      </w:r>
      <w:r>
        <w:t>e</w:t>
      </w:r>
      <w:r w:rsidRPr="00575F8F">
        <w:t xml:space="preserve"> biennium, neither of which resulted in data loss or compromise.  </w:t>
      </w:r>
    </w:p>
    <w:p w:rsidR="001346E3" w:rsidRDefault="001346E3" w:rsidP="001363EE">
      <w:pPr>
        <w:pStyle w:val="ListParagraph"/>
      </w:pPr>
    </w:p>
    <w:p w:rsidR="001346E3" w:rsidRDefault="00824E3C" w:rsidP="001346E3">
      <w:pPr>
        <w:pStyle w:val="ONUME"/>
        <w:numPr>
          <w:ilvl w:val="0"/>
          <w:numId w:val="48"/>
        </w:numPr>
        <w:tabs>
          <w:tab w:val="left" w:pos="709"/>
        </w:tabs>
        <w:spacing w:after="0"/>
        <w:ind w:left="0" w:firstLine="0"/>
        <w:jc w:val="both"/>
      </w:pPr>
      <w:r>
        <w:t>The SIAD</w:t>
      </w:r>
      <w:r w:rsidR="001346E3" w:rsidRPr="001B776F">
        <w:t xml:space="preserve"> also contributed to the selection and implementation of</w:t>
      </w:r>
      <w:r w:rsidR="001346E3">
        <w:t xml:space="preserve"> an Enterprise Risk Management solution (Acuity Stream) in 2014</w:t>
      </w:r>
      <w:r w:rsidR="00C457B7">
        <w:t xml:space="preserve"> </w:t>
      </w:r>
      <w:r w:rsidR="001346E3">
        <w:t>to enhance enterprise risk management capabilities within WIPO, and to enable the complete integration of the ISO-based risk management processes within the organizational risk management approaches</w:t>
      </w:r>
      <w:r w:rsidR="001346E3" w:rsidRPr="005365B2">
        <w:t>.  In 2015, the use of the ERM solution</w:t>
      </w:r>
      <w:r w:rsidR="00C457B7">
        <w:t xml:space="preserve"> </w:t>
      </w:r>
      <w:r w:rsidR="001346E3" w:rsidRPr="005365B2">
        <w:t>- Acuity Stream was expanded for the management of ISO related information risks as part of the scope expansion of the ISO 27001 certification</w:t>
      </w:r>
      <w:r w:rsidR="001346E3">
        <w:t>.</w:t>
      </w:r>
      <w:r w:rsidR="001346E3" w:rsidRPr="005365B2" w:rsidDel="005365B2">
        <w:t xml:space="preserve"> </w:t>
      </w:r>
    </w:p>
    <w:p w:rsidR="001346E3" w:rsidRDefault="001346E3" w:rsidP="001363EE">
      <w:pPr>
        <w:pStyle w:val="ListParagraph"/>
      </w:pPr>
    </w:p>
    <w:p w:rsidR="001346E3" w:rsidRDefault="001346E3" w:rsidP="001346E3">
      <w:pPr>
        <w:pStyle w:val="ONUME"/>
        <w:numPr>
          <w:ilvl w:val="0"/>
          <w:numId w:val="48"/>
        </w:numPr>
        <w:tabs>
          <w:tab w:val="left" w:pos="709"/>
        </w:tabs>
        <w:spacing w:after="0"/>
        <w:ind w:left="0" w:firstLine="0"/>
        <w:jc w:val="both"/>
      </w:pPr>
      <w:r w:rsidRPr="005365B2">
        <w:t>Simula</w:t>
      </w:r>
      <w:r w:rsidRPr="00675531">
        <w:t xml:space="preserve">ted phishing campaigns, first launched in 2014, continued to raise user awareness of information security threats, as evidenced by a sharp increase in users reporting phishing (from </w:t>
      </w:r>
      <w:r>
        <w:t>one</w:t>
      </w:r>
      <w:r w:rsidRPr="00675531">
        <w:t xml:space="preserve"> per cent in 2014 to 59 per cent in 2015), as well as a ten per cent decline in users that fell for phishing campaigns (from an average of 17 per cent in 2014 to an average of </w:t>
      </w:r>
      <w:r>
        <w:t>seven</w:t>
      </w:r>
      <w:r w:rsidRPr="00675531">
        <w:t xml:space="preserve"> per cent in 2015).</w:t>
      </w:r>
    </w:p>
    <w:p w:rsidR="001346E3" w:rsidRDefault="001346E3" w:rsidP="001363EE">
      <w:pPr>
        <w:pStyle w:val="ListParagraph"/>
      </w:pPr>
    </w:p>
    <w:p w:rsidR="001346E3" w:rsidRDefault="001346E3" w:rsidP="001346E3">
      <w:pPr>
        <w:pStyle w:val="ONUME"/>
        <w:numPr>
          <w:ilvl w:val="0"/>
          <w:numId w:val="48"/>
        </w:numPr>
        <w:tabs>
          <w:tab w:val="left" w:pos="709"/>
        </w:tabs>
        <w:ind w:left="0" w:firstLine="0"/>
        <w:jc w:val="both"/>
        <w:rPr>
          <w:color w:val="000000" w:themeColor="text1"/>
        </w:rPr>
      </w:pPr>
      <w:r>
        <w:t>T</w:t>
      </w:r>
      <w:r w:rsidRPr="00675531">
        <w:t>hrough the provision of high quality risk assessments and risk remediation assistance</w:t>
      </w:r>
      <w:r>
        <w:t>,</w:t>
      </w:r>
      <w:r w:rsidRPr="00675531">
        <w:t xml:space="preserve"> ISS also supported several business initiatives</w:t>
      </w:r>
      <w:r>
        <w:t xml:space="preserve">, such as </w:t>
      </w:r>
      <w:r w:rsidRPr="00675531">
        <w:t>the GOA, WIPO’s mobile-device environment, and the cloud-based recruitment solution, Taleo</w:t>
      </w:r>
      <w:r>
        <w:t>, and collaborated closely with the PCT development teams to formulate and implement a Secure Development LifeCycle approach for application development, ensuring that information security requirements and controls are addressed from the beginning of a development project, thus reducing dramatically the amount of re-work required to pass security testing of the applications.</w:t>
      </w:r>
    </w:p>
    <w:p w:rsidR="001346E3" w:rsidRDefault="001346E3" w:rsidP="001363EE">
      <w:pPr>
        <w:spacing w:after="200"/>
        <w:rPr>
          <w:rFonts w:cs="Arial"/>
          <w:color w:val="000000" w:themeColor="text1"/>
          <w:sz w:val="22"/>
          <w:szCs w:val="22"/>
        </w:rPr>
      </w:pPr>
      <w:r>
        <w:rPr>
          <w:rFonts w:cs="Arial"/>
          <w:color w:val="000000" w:themeColor="text1"/>
          <w:sz w:val="22"/>
          <w:szCs w:val="22"/>
        </w:rPr>
        <w:br w:type="page"/>
      </w:r>
    </w:p>
    <w:p w:rsidR="001346E3" w:rsidRPr="00257BEC" w:rsidRDefault="001346E3" w:rsidP="001363EE">
      <w:pPr>
        <w:spacing w:after="200"/>
        <w:rPr>
          <w:rFonts w:cs="Arial"/>
          <w:color w:val="000000" w:themeColor="text1"/>
          <w:szCs w:val="22"/>
        </w:rPr>
      </w:pPr>
      <w:r w:rsidRPr="00257BEC">
        <w:rPr>
          <w:rFonts w:cs="Arial"/>
          <w:color w:val="000000" w:themeColor="text1"/>
          <w:szCs w:val="22"/>
        </w:rPr>
        <w:t>PERFORMANCE DATA</w:t>
      </w:r>
    </w:p>
    <w:tbl>
      <w:tblPr>
        <w:tblW w:w="4814"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583"/>
        <w:gridCol w:w="477"/>
        <w:gridCol w:w="1834"/>
        <w:gridCol w:w="1493"/>
        <w:gridCol w:w="11"/>
        <w:gridCol w:w="2685"/>
        <w:gridCol w:w="1132"/>
      </w:tblGrid>
      <w:tr w:rsidR="001346E3" w:rsidRPr="007B1B92" w:rsidTr="001363EE">
        <w:trPr>
          <w:cantSplit/>
        </w:trPr>
        <w:tc>
          <w:tcPr>
            <w:tcW w:w="5000" w:type="pct"/>
            <w:gridSpan w:val="7"/>
            <w:tcBorders>
              <w:top w:val="single" w:sz="4" w:space="0" w:color="auto"/>
              <w:bottom w:val="single" w:sz="4" w:space="0" w:color="auto"/>
            </w:tcBorders>
            <w:shd w:val="clear" w:color="auto" w:fill="C6D9F1" w:themeFill="text2" w:themeFillTint="33"/>
            <w:vAlign w:val="center"/>
          </w:tcPr>
          <w:p w:rsidR="001346E3" w:rsidRPr="007B1B92" w:rsidRDefault="001346E3" w:rsidP="001363EE">
            <w:pPr>
              <w:keepNext/>
              <w:keepLines/>
              <w:tabs>
                <w:tab w:val="left" w:pos="1452"/>
              </w:tabs>
              <w:spacing w:before="120" w:after="120"/>
              <w:ind w:left="1452" w:hanging="1452"/>
              <w:rPr>
                <w:rFonts w:cs="Arial"/>
                <w:b/>
                <w:bCs/>
                <w:color w:val="000000" w:themeColor="text1"/>
                <w:sz w:val="16"/>
                <w:szCs w:val="16"/>
              </w:rPr>
            </w:pPr>
            <w:r w:rsidRPr="007B1B92">
              <w:rPr>
                <w:rFonts w:cs="Arial"/>
                <w:b/>
                <w:bCs/>
                <w:color w:val="000000" w:themeColor="text1"/>
                <w:sz w:val="16"/>
                <w:szCs w:val="16"/>
              </w:rPr>
              <w:t>Expected Result:</w:t>
            </w:r>
            <w:r w:rsidRPr="007B1B92">
              <w:rPr>
                <w:rFonts w:cs="Arial"/>
                <w:b/>
                <w:bCs/>
                <w:color w:val="000000" w:themeColor="text1"/>
                <w:sz w:val="16"/>
                <w:szCs w:val="16"/>
              </w:rPr>
              <w:tab/>
            </w:r>
            <w:r w:rsidRPr="00367545">
              <w:rPr>
                <w:rFonts w:cs="Arial"/>
                <w:color w:val="000000" w:themeColor="text1"/>
                <w:sz w:val="16"/>
                <w:szCs w:val="16"/>
              </w:rPr>
              <w:t>IX.1 Effective, efficient, quality and customer-oriented support services both to internal clients and to external stakeholders</w:t>
            </w:r>
          </w:p>
        </w:tc>
      </w:tr>
      <w:tr w:rsidR="001346E3" w:rsidRPr="007B1B92" w:rsidTr="001363EE">
        <w:trPr>
          <w:cantSplit/>
        </w:trPr>
        <w:tc>
          <w:tcPr>
            <w:tcW w:w="859" w:type="pct"/>
            <w:tcBorders>
              <w:top w:val="single" w:sz="4" w:space="0" w:color="auto"/>
              <w:left w:val="single" w:sz="4" w:space="0" w:color="auto"/>
              <w:bottom w:val="nil"/>
            </w:tcBorders>
            <w:shd w:val="clear" w:color="auto" w:fill="auto"/>
            <w:vAlign w:val="center"/>
          </w:tcPr>
          <w:p w:rsidR="001346E3" w:rsidRPr="007B1B92" w:rsidRDefault="001346E3" w:rsidP="001363EE">
            <w:pPr>
              <w:rPr>
                <w:rFonts w:cs="Arial"/>
                <w:color w:val="000000" w:themeColor="text1"/>
                <w:sz w:val="16"/>
                <w:szCs w:val="16"/>
              </w:rPr>
            </w:pPr>
            <w:r w:rsidRPr="007B1B92">
              <w:rPr>
                <w:rFonts w:cs="Arial"/>
                <w:b/>
                <w:bCs/>
                <w:color w:val="000000" w:themeColor="text1"/>
                <w:sz w:val="16"/>
                <w:szCs w:val="16"/>
              </w:rPr>
              <w:t>Performance Indicators</w:t>
            </w:r>
          </w:p>
        </w:tc>
        <w:tc>
          <w:tcPr>
            <w:tcW w:w="1254" w:type="pct"/>
            <w:gridSpan w:val="2"/>
            <w:tcBorders>
              <w:top w:val="single" w:sz="4" w:space="0" w:color="auto"/>
              <w:bottom w:val="nil"/>
            </w:tcBorders>
            <w:shd w:val="clear" w:color="auto" w:fill="auto"/>
            <w:vAlign w:val="center"/>
          </w:tcPr>
          <w:p w:rsidR="001346E3" w:rsidRPr="007B1B92" w:rsidRDefault="001346E3" w:rsidP="001363EE">
            <w:pPr>
              <w:rPr>
                <w:rFonts w:cs="Arial"/>
                <w:b/>
                <w:bCs/>
                <w:color w:val="000000" w:themeColor="text1"/>
                <w:sz w:val="16"/>
                <w:szCs w:val="16"/>
              </w:rPr>
            </w:pPr>
            <w:r w:rsidRPr="007B1B92">
              <w:rPr>
                <w:rFonts w:cs="Arial"/>
                <w:b/>
                <w:bCs/>
                <w:sz w:val="16"/>
                <w:szCs w:val="16"/>
              </w:rPr>
              <w:t>Baselines</w:t>
            </w:r>
          </w:p>
        </w:tc>
        <w:tc>
          <w:tcPr>
            <w:tcW w:w="810" w:type="pct"/>
            <w:tcBorders>
              <w:top w:val="single" w:sz="4" w:space="0" w:color="auto"/>
              <w:bottom w:val="nil"/>
            </w:tcBorders>
            <w:shd w:val="clear" w:color="auto" w:fill="auto"/>
            <w:tcMar>
              <w:top w:w="110" w:type="dxa"/>
            </w:tcMar>
            <w:vAlign w:val="center"/>
          </w:tcPr>
          <w:p w:rsidR="001346E3" w:rsidRPr="007B1B92" w:rsidRDefault="001346E3" w:rsidP="001363EE">
            <w:pPr>
              <w:rPr>
                <w:rFonts w:cs="Arial"/>
                <w:b/>
                <w:color w:val="000000" w:themeColor="text1"/>
                <w:sz w:val="16"/>
                <w:szCs w:val="16"/>
              </w:rPr>
            </w:pPr>
            <w:r w:rsidRPr="007B1B92">
              <w:rPr>
                <w:rFonts w:cs="Arial"/>
                <w:b/>
                <w:sz w:val="16"/>
                <w:szCs w:val="16"/>
              </w:rPr>
              <w:t>Targets</w:t>
            </w:r>
          </w:p>
        </w:tc>
        <w:tc>
          <w:tcPr>
            <w:tcW w:w="1461" w:type="pct"/>
            <w:gridSpan w:val="2"/>
            <w:tcBorders>
              <w:top w:val="single" w:sz="4" w:space="0" w:color="auto"/>
              <w:bottom w:val="nil"/>
            </w:tcBorders>
            <w:shd w:val="clear" w:color="auto" w:fill="FFFFFF"/>
            <w:tcMar>
              <w:top w:w="110" w:type="dxa"/>
            </w:tcMar>
            <w:vAlign w:val="center"/>
          </w:tcPr>
          <w:p w:rsidR="001346E3" w:rsidRPr="007B1B92" w:rsidRDefault="001346E3" w:rsidP="001363EE">
            <w:pPr>
              <w:rPr>
                <w:rFonts w:cs="Arial"/>
                <w:color w:val="000000" w:themeColor="text1"/>
                <w:sz w:val="16"/>
                <w:szCs w:val="16"/>
              </w:rPr>
            </w:pPr>
            <w:r w:rsidRPr="007B1B92">
              <w:rPr>
                <w:rFonts w:cs="Arial"/>
                <w:b/>
                <w:bCs/>
                <w:color w:val="000000" w:themeColor="text1"/>
                <w:sz w:val="16"/>
                <w:szCs w:val="16"/>
              </w:rPr>
              <w:t>Performance Data</w:t>
            </w:r>
          </w:p>
        </w:tc>
        <w:tc>
          <w:tcPr>
            <w:tcW w:w="616" w:type="pct"/>
            <w:tcBorders>
              <w:top w:val="single" w:sz="4" w:space="0" w:color="auto"/>
              <w:bottom w:val="nil"/>
              <w:right w:val="single" w:sz="4" w:space="0" w:color="auto"/>
            </w:tcBorders>
            <w:shd w:val="clear" w:color="auto" w:fill="auto"/>
            <w:tcMar>
              <w:top w:w="110" w:type="dxa"/>
            </w:tcMar>
            <w:vAlign w:val="center"/>
          </w:tcPr>
          <w:p w:rsidR="001346E3" w:rsidRPr="007B1B92" w:rsidRDefault="001346E3" w:rsidP="001363EE">
            <w:pPr>
              <w:keepNext/>
              <w:keepLines/>
              <w:jc w:val="center"/>
              <w:rPr>
                <w:rFonts w:cs="Arial"/>
                <w:b/>
                <w:bCs/>
                <w:color w:val="000000" w:themeColor="text1"/>
                <w:sz w:val="16"/>
                <w:szCs w:val="16"/>
              </w:rPr>
            </w:pPr>
            <w:r w:rsidRPr="007B1B92">
              <w:rPr>
                <w:rFonts w:cs="Arial"/>
                <w:b/>
                <w:bCs/>
                <w:color w:val="000000" w:themeColor="text1"/>
                <w:sz w:val="16"/>
                <w:szCs w:val="16"/>
              </w:rPr>
              <w:t>TLS</w:t>
            </w:r>
          </w:p>
        </w:tc>
      </w:tr>
      <w:tr w:rsidR="001346E3" w:rsidRPr="007B1B92" w:rsidTr="001363EE">
        <w:trPr>
          <w:cantSplit/>
        </w:trPr>
        <w:tc>
          <w:tcPr>
            <w:tcW w:w="859" w:type="pct"/>
            <w:tcBorders>
              <w:top w:val="nil"/>
              <w:left w:val="single" w:sz="4" w:space="0" w:color="auto"/>
              <w:bottom w:val="nil"/>
            </w:tcBorders>
            <w:shd w:val="clear" w:color="auto" w:fill="auto"/>
          </w:tcPr>
          <w:p w:rsidR="001346E3" w:rsidRPr="007B1B92" w:rsidRDefault="001346E3" w:rsidP="001363EE">
            <w:pPr>
              <w:rPr>
                <w:rFonts w:cs="Arial"/>
                <w:color w:val="000000" w:themeColor="text1"/>
                <w:sz w:val="16"/>
                <w:szCs w:val="16"/>
              </w:rPr>
            </w:pPr>
            <w:r w:rsidRPr="004972A9">
              <w:rPr>
                <w:rFonts w:cs="Arial"/>
                <w:color w:val="000000" w:themeColor="text1"/>
                <w:sz w:val="16"/>
                <w:szCs w:val="16"/>
              </w:rPr>
              <w:t>ICT Systems are cost-effectively hosted and managed in line with business demands</w:t>
            </w:r>
          </w:p>
        </w:tc>
        <w:tc>
          <w:tcPr>
            <w:tcW w:w="1254" w:type="pct"/>
            <w:gridSpan w:val="2"/>
            <w:tcBorders>
              <w:top w:val="nil"/>
              <w:bottom w:val="nil"/>
            </w:tcBorders>
            <w:shd w:val="clear" w:color="auto" w:fill="auto"/>
          </w:tcPr>
          <w:p w:rsidR="001346E3" w:rsidRDefault="001346E3" w:rsidP="001363EE">
            <w:pPr>
              <w:rPr>
                <w:color w:val="002060"/>
                <w:sz w:val="16"/>
                <w:szCs w:val="16"/>
              </w:rPr>
            </w:pPr>
            <w:r>
              <w:rPr>
                <w:i/>
                <w:color w:val="002060"/>
                <w:sz w:val="16"/>
                <w:szCs w:val="16"/>
              </w:rPr>
              <w:t>Updated Baseline end 2013</w:t>
            </w:r>
            <w:r w:rsidRPr="006550F0">
              <w:rPr>
                <w:i/>
                <w:color w:val="002060"/>
                <w:sz w:val="16"/>
                <w:szCs w:val="16"/>
              </w:rPr>
              <w:t>:</w:t>
            </w:r>
            <w:r w:rsidRPr="006550F0">
              <w:rPr>
                <w:color w:val="002060"/>
                <w:sz w:val="16"/>
                <w:szCs w:val="16"/>
              </w:rPr>
              <w:t xml:space="preserve"> </w:t>
            </w:r>
            <w:r>
              <w:rPr>
                <w:color w:val="002060"/>
                <w:sz w:val="16"/>
                <w:szCs w:val="16"/>
              </w:rPr>
              <w:t xml:space="preserve"> </w:t>
            </w:r>
          </w:p>
          <w:p w:rsidR="001346E3" w:rsidRDefault="001346E3" w:rsidP="001363EE">
            <w:pPr>
              <w:rPr>
                <w:color w:val="002060"/>
                <w:sz w:val="16"/>
                <w:szCs w:val="16"/>
              </w:rPr>
            </w:pPr>
          </w:p>
          <w:p w:rsidR="001346E3" w:rsidRDefault="001346E3" w:rsidP="001363EE">
            <w:pPr>
              <w:tabs>
                <w:tab w:val="left" w:pos="129"/>
                <w:tab w:val="left" w:pos="391"/>
              </w:tabs>
              <w:ind w:right="-130"/>
              <w:rPr>
                <w:color w:val="002060"/>
                <w:sz w:val="16"/>
                <w:szCs w:val="16"/>
              </w:rPr>
            </w:pPr>
            <w:r w:rsidRPr="004972A9">
              <w:rPr>
                <w:color w:val="002060"/>
                <w:sz w:val="16"/>
                <w:szCs w:val="16"/>
              </w:rPr>
              <w:t xml:space="preserve">Enterprise </w:t>
            </w:r>
            <w:r>
              <w:rPr>
                <w:color w:val="002060"/>
                <w:sz w:val="16"/>
                <w:szCs w:val="16"/>
              </w:rPr>
              <w:t>s</w:t>
            </w:r>
            <w:r w:rsidRPr="004972A9">
              <w:rPr>
                <w:color w:val="002060"/>
                <w:sz w:val="16"/>
                <w:szCs w:val="16"/>
              </w:rPr>
              <w:t xml:space="preserve">erver </w:t>
            </w:r>
            <w:r>
              <w:rPr>
                <w:color w:val="002060"/>
                <w:sz w:val="16"/>
                <w:szCs w:val="16"/>
              </w:rPr>
              <w:t>s</w:t>
            </w:r>
            <w:r w:rsidRPr="004972A9">
              <w:rPr>
                <w:color w:val="002060"/>
                <w:sz w:val="16"/>
                <w:szCs w:val="16"/>
              </w:rPr>
              <w:t xml:space="preserve">upport </w:t>
            </w:r>
            <w:r>
              <w:rPr>
                <w:color w:val="002060"/>
                <w:sz w:val="16"/>
                <w:szCs w:val="16"/>
              </w:rPr>
              <w:t>m</w:t>
            </w:r>
            <w:r w:rsidRPr="004972A9">
              <w:rPr>
                <w:color w:val="002060"/>
                <w:sz w:val="16"/>
                <w:szCs w:val="16"/>
              </w:rPr>
              <w:t xml:space="preserve">onthly cost: </w:t>
            </w:r>
            <w:r>
              <w:rPr>
                <w:color w:val="002060"/>
                <w:sz w:val="16"/>
                <w:szCs w:val="16"/>
              </w:rPr>
              <w:t xml:space="preserve"> </w:t>
            </w:r>
            <w:r w:rsidRPr="004972A9">
              <w:rPr>
                <w:color w:val="002060"/>
                <w:sz w:val="16"/>
                <w:szCs w:val="16"/>
              </w:rPr>
              <w:t>$280;</w:t>
            </w:r>
            <w:r>
              <w:rPr>
                <w:color w:val="002060"/>
                <w:sz w:val="16"/>
                <w:szCs w:val="16"/>
              </w:rPr>
              <w:t xml:space="preserve">  </w:t>
            </w:r>
            <w:r w:rsidRPr="004972A9">
              <w:rPr>
                <w:color w:val="002060"/>
                <w:sz w:val="16"/>
                <w:szCs w:val="16"/>
              </w:rPr>
              <w:t xml:space="preserve">Virtual </w:t>
            </w:r>
            <w:r>
              <w:rPr>
                <w:color w:val="002060"/>
                <w:sz w:val="16"/>
                <w:szCs w:val="16"/>
              </w:rPr>
              <w:t>s</w:t>
            </w:r>
            <w:r w:rsidRPr="004972A9">
              <w:rPr>
                <w:color w:val="002060"/>
                <w:sz w:val="16"/>
                <w:szCs w:val="16"/>
              </w:rPr>
              <w:t xml:space="preserve">erver </w:t>
            </w:r>
            <w:r>
              <w:rPr>
                <w:color w:val="002060"/>
                <w:sz w:val="16"/>
                <w:szCs w:val="16"/>
              </w:rPr>
              <w:t>m</w:t>
            </w:r>
            <w:r w:rsidRPr="004972A9">
              <w:rPr>
                <w:color w:val="002060"/>
                <w:sz w:val="16"/>
                <w:szCs w:val="16"/>
              </w:rPr>
              <w:t>onthly cost</w:t>
            </w:r>
            <w:r>
              <w:rPr>
                <w:color w:val="002060"/>
                <w:sz w:val="16"/>
                <w:szCs w:val="16"/>
              </w:rPr>
              <w:t>:</w:t>
            </w:r>
            <w:r w:rsidRPr="004972A9">
              <w:rPr>
                <w:color w:val="002060"/>
                <w:sz w:val="16"/>
                <w:szCs w:val="16"/>
              </w:rPr>
              <w:t xml:space="preserve"> </w:t>
            </w:r>
            <w:r>
              <w:rPr>
                <w:color w:val="002060"/>
                <w:sz w:val="16"/>
                <w:szCs w:val="16"/>
              </w:rPr>
              <w:t xml:space="preserve"> </w:t>
            </w:r>
            <w:r w:rsidRPr="004972A9">
              <w:rPr>
                <w:color w:val="002060"/>
                <w:sz w:val="16"/>
                <w:szCs w:val="16"/>
              </w:rPr>
              <w:t xml:space="preserve">$229 </w:t>
            </w:r>
          </w:p>
          <w:p w:rsidR="001346E3" w:rsidRPr="006550F0" w:rsidRDefault="001346E3" w:rsidP="001363EE">
            <w:pPr>
              <w:tabs>
                <w:tab w:val="left" w:pos="129"/>
                <w:tab w:val="left" w:pos="391"/>
              </w:tabs>
              <w:ind w:right="-130"/>
              <w:rPr>
                <w:color w:val="002060"/>
                <w:sz w:val="16"/>
                <w:szCs w:val="16"/>
              </w:rPr>
            </w:pPr>
            <w:r w:rsidRPr="004972A9">
              <w:rPr>
                <w:color w:val="002060"/>
                <w:sz w:val="16"/>
                <w:szCs w:val="16"/>
              </w:rPr>
              <w:t>(2 core &amp; 8GB);</w:t>
            </w:r>
            <w:r>
              <w:rPr>
                <w:color w:val="002060"/>
                <w:sz w:val="16"/>
                <w:szCs w:val="16"/>
              </w:rPr>
              <w:t xml:space="preserve"> </w:t>
            </w:r>
            <w:r w:rsidRPr="004972A9">
              <w:rPr>
                <w:color w:val="002060"/>
                <w:sz w:val="16"/>
                <w:szCs w:val="16"/>
              </w:rPr>
              <w:t xml:space="preserve"> High-</w:t>
            </w:r>
            <w:r>
              <w:rPr>
                <w:color w:val="002060"/>
                <w:sz w:val="16"/>
                <w:szCs w:val="16"/>
              </w:rPr>
              <w:t>p</w:t>
            </w:r>
            <w:r w:rsidRPr="004972A9">
              <w:rPr>
                <w:color w:val="002060"/>
                <w:sz w:val="16"/>
                <w:szCs w:val="16"/>
              </w:rPr>
              <w:t>erf</w:t>
            </w:r>
            <w:r>
              <w:rPr>
                <w:color w:val="002060"/>
                <w:sz w:val="16"/>
                <w:szCs w:val="16"/>
              </w:rPr>
              <w:t>ormance</w:t>
            </w:r>
            <w:r w:rsidRPr="004972A9">
              <w:rPr>
                <w:color w:val="002060"/>
                <w:sz w:val="16"/>
                <w:szCs w:val="16"/>
              </w:rPr>
              <w:t xml:space="preserve"> </w:t>
            </w:r>
            <w:r>
              <w:rPr>
                <w:color w:val="002060"/>
                <w:sz w:val="16"/>
                <w:szCs w:val="16"/>
              </w:rPr>
              <w:t>s</w:t>
            </w:r>
            <w:r w:rsidRPr="004972A9">
              <w:rPr>
                <w:color w:val="002060"/>
                <w:sz w:val="16"/>
                <w:szCs w:val="16"/>
              </w:rPr>
              <w:t xml:space="preserve">torage </w:t>
            </w:r>
            <w:r>
              <w:rPr>
                <w:color w:val="002060"/>
                <w:sz w:val="16"/>
                <w:szCs w:val="16"/>
              </w:rPr>
              <w:t>a</w:t>
            </w:r>
            <w:r w:rsidRPr="004972A9">
              <w:rPr>
                <w:color w:val="002060"/>
                <w:sz w:val="16"/>
                <w:szCs w:val="16"/>
              </w:rPr>
              <w:t xml:space="preserve">verage </w:t>
            </w:r>
            <w:r>
              <w:rPr>
                <w:color w:val="002060"/>
                <w:sz w:val="16"/>
                <w:szCs w:val="16"/>
              </w:rPr>
              <w:t>m</w:t>
            </w:r>
            <w:r w:rsidRPr="004972A9">
              <w:rPr>
                <w:color w:val="002060"/>
                <w:sz w:val="16"/>
                <w:szCs w:val="16"/>
              </w:rPr>
              <w:t>onthly cost:</w:t>
            </w:r>
            <w:r>
              <w:rPr>
                <w:color w:val="002060"/>
                <w:sz w:val="16"/>
                <w:szCs w:val="16"/>
              </w:rPr>
              <w:t xml:space="preserve">  $</w:t>
            </w:r>
            <w:r w:rsidRPr="004972A9">
              <w:rPr>
                <w:color w:val="002060"/>
                <w:sz w:val="16"/>
                <w:szCs w:val="16"/>
              </w:rPr>
              <w:t>420/TB</w:t>
            </w:r>
            <w:r>
              <w:rPr>
                <w:color w:val="002060"/>
                <w:sz w:val="16"/>
                <w:szCs w:val="16"/>
              </w:rPr>
              <w:t xml:space="preserve">; </w:t>
            </w:r>
            <w:r w:rsidRPr="004972A9">
              <w:rPr>
                <w:color w:val="002060"/>
                <w:sz w:val="16"/>
                <w:szCs w:val="16"/>
              </w:rPr>
              <w:t xml:space="preserve">Backup </w:t>
            </w:r>
            <w:r>
              <w:rPr>
                <w:color w:val="002060"/>
                <w:sz w:val="16"/>
                <w:szCs w:val="16"/>
              </w:rPr>
              <w:t>a</w:t>
            </w:r>
            <w:r w:rsidRPr="004972A9">
              <w:rPr>
                <w:color w:val="002060"/>
                <w:sz w:val="16"/>
                <w:szCs w:val="16"/>
              </w:rPr>
              <w:t xml:space="preserve">verage </w:t>
            </w:r>
            <w:r>
              <w:rPr>
                <w:color w:val="002060"/>
                <w:sz w:val="16"/>
                <w:szCs w:val="16"/>
              </w:rPr>
              <w:t>m</w:t>
            </w:r>
            <w:r w:rsidRPr="004972A9">
              <w:rPr>
                <w:color w:val="002060"/>
                <w:sz w:val="16"/>
                <w:szCs w:val="16"/>
              </w:rPr>
              <w:t xml:space="preserve">onthly cost: </w:t>
            </w:r>
            <w:r>
              <w:rPr>
                <w:color w:val="002060"/>
                <w:sz w:val="16"/>
                <w:szCs w:val="16"/>
              </w:rPr>
              <w:t xml:space="preserve"> $</w:t>
            </w:r>
            <w:r w:rsidRPr="004972A9">
              <w:rPr>
                <w:color w:val="002060"/>
                <w:sz w:val="16"/>
                <w:szCs w:val="16"/>
              </w:rPr>
              <w:t>53.9</w:t>
            </w:r>
            <w:r>
              <w:rPr>
                <w:color w:val="002060"/>
                <w:sz w:val="16"/>
                <w:szCs w:val="16"/>
              </w:rPr>
              <w:t>0</w:t>
            </w:r>
          </w:p>
          <w:p w:rsidR="001346E3" w:rsidRPr="008225D9" w:rsidRDefault="001346E3" w:rsidP="001363EE">
            <w:pPr>
              <w:rPr>
                <w:rFonts w:cs="Arial"/>
                <w:i/>
                <w:sz w:val="8"/>
                <w:szCs w:val="8"/>
              </w:rPr>
            </w:pPr>
          </w:p>
          <w:p w:rsidR="001346E3" w:rsidRPr="007B1B92" w:rsidRDefault="001346E3" w:rsidP="001363EE">
            <w:pPr>
              <w:rPr>
                <w:rFonts w:cs="Arial"/>
                <w:color w:val="000000" w:themeColor="text1"/>
                <w:sz w:val="16"/>
                <w:szCs w:val="16"/>
              </w:rPr>
            </w:pPr>
            <w:r>
              <w:rPr>
                <w:rFonts w:cs="Arial"/>
                <w:i/>
                <w:sz w:val="16"/>
                <w:szCs w:val="16"/>
              </w:rPr>
              <w:t xml:space="preserve">Original </w:t>
            </w:r>
            <w:r w:rsidRPr="004608BD">
              <w:rPr>
                <w:rFonts w:cs="Arial"/>
                <w:i/>
                <w:sz w:val="16"/>
                <w:szCs w:val="16"/>
              </w:rPr>
              <w:t>Baseline</w:t>
            </w:r>
            <w:r>
              <w:rPr>
                <w:rFonts w:cs="Arial"/>
                <w:i/>
                <w:sz w:val="16"/>
                <w:szCs w:val="16"/>
              </w:rPr>
              <w:t xml:space="preserve"> P&amp;B 2014/15:</w:t>
            </w:r>
            <w:r>
              <w:rPr>
                <w:rFonts w:cs="Arial"/>
                <w:color w:val="000000" w:themeColor="text1"/>
                <w:sz w:val="16"/>
                <w:szCs w:val="16"/>
              </w:rPr>
              <w:t xml:space="preserve">  </w:t>
            </w:r>
            <w:r w:rsidRPr="004972A9">
              <w:rPr>
                <w:rFonts w:cs="Arial"/>
                <w:color w:val="000000" w:themeColor="text1"/>
                <w:sz w:val="16"/>
                <w:szCs w:val="16"/>
              </w:rPr>
              <w:t>Unit costs for physical, virtual servers, for storage and backup</w:t>
            </w:r>
          </w:p>
        </w:tc>
        <w:tc>
          <w:tcPr>
            <w:tcW w:w="810" w:type="pct"/>
            <w:tcBorders>
              <w:top w:val="nil"/>
              <w:bottom w:val="nil"/>
            </w:tcBorders>
            <w:shd w:val="clear" w:color="auto" w:fill="auto"/>
            <w:tcMar>
              <w:top w:w="110" w:type="dxa"/>
            </w:tcMar>
          </w:tcPr>
          <w:p w:rsidR="001346E3" w:rsidRPr="007B1B92" w:rsidRDefault="001346E3" w:rsidP="001363EE">
            <w:pPr>
              <w:rPr>
                <w:rFonts w:cs="Arial"/>
                <w:color w:val="000000" w:themeColor="text1"/>
                <w:sz w:val="16"/>
                <w:szCs w:val="16"/>
              </w:rPr>
            </w:pPr>
            <w:r w:rsidRPr="004972A9">
              <w:rPr>
                <w:rFonts w:cs="Arial"/>
                <w:color w:val="000000" w:themeColor="text1"/>
                <w:sz w:val="16"/>
                <w:szCs w:val="16"/>
              </w:rPr>
              <w:t>Unit costs of infrastructure hosting are at the level or below the baseline</w:t>
            </w:r>
          </w:p>
        </w:tc>
        <w:tc>
          <w:tcPr>
            <w:tcW w:w="1461" w:type="pct"/>
            <w:gridSpan w:val="2"/>
            <w:tcBorders>
              <w:top w:val="nil"/>
              <w:bottom w:val="nil"/>
            </w:tcBorders>
            <w:shd w:val="clear" w:color="auto" w:fill="FFFFFF"/>
            <w:tcMar>
              <w:top w:w="110" w:type="dxa"/>
            </w:tcMar>
          </w:tcPr>
          <w:p w:rsidR="001346E3" w:rsidRDefault="001346E3" w:rsidP="001363EE">
            <w:pPr>
              <w:rPr>
                <w:rFonts w:cs="Arial"/>
                <w:color w:val="000000" w:themeColor="text1"/>
                <w:sz w:val="16"/>
                <w:szCs w:val="16"/>
              </w:rPr>
            </w:pPr>
            <w:r>
              <w:rPr>
                <w:rFonts w:cs="Arial"/>
                <w:color w:val="000000" w:themeColor="text1"/>
                <w:sz w:val="16"/>
                <w:szCs w:val="16"/>
              </w:rPr>
              <w:t>2014: Rates unchanged from baseline.  New rates negotiated.</w:t>
            </w:r>
          </w:p>
          <w:p w:rsidR="001346E3" w:rsidRDefault="001346E3" w:rsidP="001363EE">
            <w:pPr>
              <w:rPr>
                <w:rFonts w:cs="Arial"/>
                <w:color w:val="000000" w:themeColor="text1"/>
                <w:sz w:val="16"/>
                <w:szCs w:val="16"/>
              </w:rPr>
            </w:pPr>
          </w:p>
          <w:p w:rsidR="001346E3" w:rsidRPr="00917AEC" w:rsidRDefault="001346E3" w:rsidP="001363EE">
            <w:pPr>
              <w:rPr>
                <w:rFonts w:cs="Arial"/>
                <w:color w:val="000000" w:themeColor="text1"/>
                <w:sz w:val="16"/>
                <w:szCs w:val="16"/>
              </w:rPr>
            </w:pPr>
            <w:r w:rsidRPr="00917AEC">
              <w:rPr>
                <w:rFonts w:cs="Arial"/>
                <w:color w:val="000000" w:themeColor="text1"/>
                <w:sz w:val="16"/>
                <w:szCs w:val="16"/>
              </w:rPr>
              <w:t xml:space="preserve">2015: Enterprise </w:t>
            </w:r>
            <w:r>
              <w:rPr>
                <w:rFonts w:cs="Arial"/>
                <w:color w:val="000000" w:themeColor="text1"/>
                <w:sz w:val="16"/>
                <w:szCs w:val="16"/>
              </w:rPr>
              <w:t>s</w:t>
            </w:r>
            <w:r w:rsidRPr="00917AEC">
              <w:rPr>
                <w:rFonts w:cs="Arial"/>
                <w:color w:val="000000" w:themeColor="text1"/>
                <w:sz w:val="16"/>
                <w:szCs w:val="16"/>
              </w:rPr>
              <w:t xml:space="preserve">erver </w:t>
            </w:r>
            <w:r>
              <w:rPr>
                <w:rFonts w:cs="Arial"/>
                <w:color w:val="000000" w:themeColor="text1"/>
                <w:sz w:val="16"/>
                <w:szCs w:val="16"/>
              </w:rPr>
              <w:t>s</w:t>
            </w:r>
            <w:r w:rsidRPr="00917AEC">
              <w:rPr>
                <w:rFonts w:cs="Arial"/>
                <w:color w:val="000000" w:themeColor="text1"/>
                <w:sz w:val="16"/>
                <w:szCs w:val="16"/>
              </w:rPr>
              <w:t xml:space="preserve">upport </w:t>
            </w:r>
            <w:r>
              <w:rPr>
                <w:rFonts w:cs="Arial"/>
                <w:color w:val="000000" w:themeColor="text1"/>
                <w:sz w:val="16"/>
                <w:szCs w:val="16"/>
              </w:rPr>
              <w:t>m</w:t>
            </w:r>
            <w:r w:rsidRPr="00917AEC">
              <w:rPr>
                <w:rFonts w:cs="Arial"/>
                <w:color w:val="000000" w:themeColor="text1"/>
                <w:sz w:val="16"/>
                <w:szCs w:val="16"/>
              </w:rPr>
              <w:t>onthly cost: 250 Swiss francs</w:t>
            </w:r>
          </w:p>
          <w:p w:rsidR="001346E3" w:rsidRDefault="001346E3" w:rsidP="001363EE">
            <w:pPr>
              <w:rPr>
                <w:rFonts w:cs="Arial"/>
                <w:color w:val="000000" w:themeColor="text1"/>
                <w:sz w:val="16"/>
                <w:szCs w:val="16"/>
              </w:rPr>
            </w:pPr>
          </w:p>
          <w:p w:rsidR="001346E3" w:rsidRPr="00917AEC" w:rsidRDefault="001346E3" w:rsidP="001363EE">
            <w:pPr>
              <w:rPr>
                <w:rFonts w:cs="Arial"/>
                <w:color w:val="000000" w:themeColor="text1"/>
                <w:sz w:val="16"/>
                <w:szCs w:val="16"/>
              </w:rPr>
            </w:pPr>
            <w:r w:rsidRPr="00917AEC">
              <w:rPr>
                <w:rFonts w:cs="Arial"/>
                <w:color w:val="000000" w:themeColor="text1"/>
                <w:sz w:val="16"/>
                <w:szCs w:val="16"/>
              </w:rPr>
              <w:t xml:space="preserve">Virtual </w:t>
            </w:r>
            <w:r>
              <w:rPr>
                <w:rFonts w:cs="Arial"/>
                <w:color w:val="000000" w:themeColor="text1"/>
                <w:sz w:val="16"/>
                <w:szCs w:val="16"/>
              </w:rPr>
              <w:t>s</w:t>
            </w:r>
            <w:r w:rsidRPr="00917AEC">
              <w:rPr>
                <w:rFonts w:cs="Arial"/>
                <w:color w:val="000000" w:themeColor="text1"/>
                <w:sz w:val="16"/>
                <w:szCs w:val="16"/>
              </w:rPr>
              <w:t xml:space="preserve">erver </w:t>
            </w:r>
            <w:r>
              <w:rPr>
                <w:rFonts w:cs="Arial"/>
                <w:color w:val="000000" w:themeColor="text1"/>
                <w:sz w:val="16"/>
                <w:szCs w:val="16"/>
              </w:rPr>
              <w:t>m</w:t>
            </w:r>
            <w:r w:rsidRPr="00917AEC">
              <w:rPr>
                <w:rFonts w:cs="Arial"/>
                <w:color w:val="000000" w:themeColor="text1"/>
                <w:sz w:val="16"/>
                <w:szCs w:val="16"/>
              </w:rPr>
              <w:t xml:space="preserve">onthly cost: </w:t>
            </w:r>
          </w:p>
          <w:p w:rsidR="001346E3" w:rsidRPr="00917AEC" w:rsidRDefault="001346E3" w:rsidP="001363EE">
            <w:pPr>
              <w:rPr>
                <w:rFonts w:cs="Arial"/>
                <w:color w:val="000000" w:themeColor="text1"/>
                <w:sz w:val="16"/>
                <w:szCs w:val="16"/>
              </w:rPr>
            </w:pPr>
            <w:r w:rsidRPr="00917AEC">
              <w:rPr>
                <w:rFonts w:cs="Arial"/>
                <w:color w:val="000000" w:themeColor="text1"/>
                <w:sz w:val="16"/>
                <w:szCs w:val="16"/>
              </w:rPr>
              <w:t>189 Swiss francs</w:t>
            </w:r>
          </w:p>
          <w:p w:rsidR="001346E3" w:rsidRDefault="001346E3" w:rsidP="001363EE">
            <w:pPr>
              <w:rPr>
                <w:rFonts w:cs="Arial"/>
                <w:color w:val="000000" w:themeColor="text1"/>
                <w:sz w:val="16"/>
                <w:szCs w:val="16"/>
              </w:rPr>
            </w:pPr>
          </w:p>
          <w:p w:rsidR="001346E3" w:rsidRDefault="001346E3" w:rsidP="001363EE">
            <w:pPr>
              <w:rPr>
                <w:rFonts w:cs="Arial"/>
                <w:color w:val="000000" w:themeColor="text1"/>
                <w:sz w:val="16"/>
                <w:szCs w:val="16"/>
              </w:rPr>
            </w:pPr>
            <w:r w:rsidRPr="00820960">
              <w:rPr>
                <w:sz w:val="16"/>
                <w:szCs w:val="16"/>
              </w:rPr>
              <w:t xml:space="preserve">High-performance storage  monthly cost: </w:t>
            </w:r>
            <w:r w:rsidRPr="00820960">
              <w:rPr>
                <w:rFonts w:cs="Arial"/>
                <w:sz w:val="16"/>
                <w:szCs w:val="16"/>
              </w:rPr>
              <w:t xml:space="preserve">240 Swiss </w:t>
            </w:r>
            <w:r>
              <w:rPr>
                <w:rFonts w:cs="Arial"/>
                <w:color w:val="000000" w:themeColor="text1"/>
                <w:sz w:val="16"/>
                <w:szCs w:val="16"/>
              </w:rPr>
              <w:t>francs</w:t>
            </w:r>
            <w:r w:rsidRPr="000D4E00">
              <w:rPr>
                <w:rFonts w:cs="Arial"/>
                <w:color w:val="000000" w:themeColor="text1"/>
                <w:sz w:val="16"/>
                <w:szCs w:val="16"/>
              </w:rPr>
              <w:t xml:space="preserve"> /</w:t>
            </w:r>
            <w:r>
              <w:rPr>
                <w:rFonts w:cs="Arial"/>
                <w:color w:val="000000" w:themeColor="text1"/>
                <w:sz w:val="16"/>
                <w:szCs w:val="16"/>
              </w:rPr>
              <w:t>TB</w:t>
            </w:r>
          </w:p>
          <w:p w:rsidR="001346E3" w:rsidRDefault="001346E3" w:rsidP="001363EE">
            <w:pPr>
              <w:rPr>
                <w:rFonts w:cs="Arial"/>
                <w:color w:val="000000" w:themeColor="text1"/>
                <w:sz w:val="16"/>
                <w:szCs w:val="16"/>
              </w:rPr>
            </w:pPr>
          </w:p>
          <w:p w:rsidR="001346E3" w:rsidRDefault="001346E3" w:rsidP="001363EE">
            <w:pPr>
              <w:rPr>
                <w:rFonts w:cs="Arial"/>
                <w:color w:val="000000" w:themeColor="text1"/>
                <w:sz w:val="16"/>
                <w:szCs w:val="16"/>
              </w:rPr>
            </w:pPr>
            <w:r>
              <w:rPr>
                <w:rFonts w:cs="Arial"/>
                <w:color w:val="000000" w:themeColor="text1"/>
                <w:sz w:val="16"/>
                <w:szCs w:val="16"/>
              </w:rPr>
              <w:t>Backup average monthly cost</w:t>
            </w:r>
            <w:r w:rsidRPr="000D4E00">
              <w:rPr>
                <w:rFonts w:cs="Arial"/>
                <w:color w:val="000000" w:themeColor="text1"/>
                <w:sz w:val="16"/>
                <w:szCs w:val="16"/>
              </w:rPr>
              <w:t xml:space="preserve">: </w:t>
            </w:r>
            <w:r>
              <w:rPr>
                <w:rFonts w:cs="Arial"/>
                <w:color w:val="000000" w:themeColor="text1"/>
                <w:sz w:val="16"/>
                <w:szCs w:val="16"/>
              </w:rPr>
              <w:t>41.10 Swiss francs</w:t>
            </w:r>
            <w:r w:rsidRPr="000D4E00">
              <w:rPr>
                <w:rFonts w:cs="Arial"/>
                <w:color w:val="000000" w:themeColor="text1"/>
                <w:sz w:val="16"/>
                <w:szCs w:val="16"/>
              </w:rPr>
              <w:t xml:space="preserve"> </w:t>
            </w:r>
          </w:p>
          <w:p w:rsidR="001346E3" w:rsidRDefault="001346E3" w:rsidP="001363EE">
            <w:pPr>
              <w:rPr>
                <w:rFonts w:cs="Arial"/>
                <w:color w:val="000000" w:themeColor="text1"/>
                <w:sz w:val="16"/>
                <w:szCs w:val="16"/>
              </w:rPr>
            </w:pPr>
          </w:p>
          <w:p w:rsidR="001346E3" w:rsidRPr="007B1B92" w:rsidRDefault="001346E3" w:rsidP="001363EE">
            <w:pPr>
              <w:rPr>
                <w:rFonts w:cs="Arial"/>
                <w:color w:val="000000" w:themeColor="text1"/>
                <w:sz w:val="16"/>
                <w:szCs w:val="16"/>
              </w:rPr>
            </w:pPr>
            <w:r w:rsidRPr="000D4E00">
              <w:rPr>
                <w:rFonts w:cs="Arial"/>
                <w:color w:val="000000" w:themeColor="text1"/>
                <w:sz w:val="16"/>
                <w:szCs w:val="16"/>
              </w:rPr>
              <w:t>N</w:t>
            </w:r>
            <w:r>
              <w:rPr>
                <w:rFonts w:cs="Arial"/>
                <w:color w:val="000000" w:themeColor="text1"/>
                <w:sz w:val="16"/>
                <w:szCs w:val="16"/>
              </w:rPr>
              <w:t>umber</w:t>
            </w:r>
            <w:r w:rsidRPr="000D4E00">
              <w:rPr>
                <w:rFonts w:cs="Arial"/>
                <w:color w:val="000000" w:themeColor="text1"/>
                <w:sz w:val="16"/>
                <w:szCs w:val="16"/>
              </w:rPr>
              <w:t xml:space="preserve"> of service incidents with medium or high impact:</w:t>
            </w:r>
            <w:r>
              <w:rPr>
                <w:rFonts w:cs="Arial"/>
                <w:color w:val="000000" w:themeColor="text1"/>
                <w:sz w:val="16"/>
                <w:szCs w:val="16"/>
              </w:rPr>
              <w:t xml:space="preserve"> </w:t>
            </w:r>
            <w:r w:rsidRPr="000D4E00">
              <w:rPr>
                <w:rFonts w:cs="Arial"/>
                <w:color w:val="000000" w:themeColor="text1"/>
                <w:sz w:val="16"/>
                <w:szCs w:val="16"/>
              </w:rPr>
              <w:t>1.75 per month</w:t>
            </w:r>
          </w:p>
        </w:tc>
        <w:tc>
          <w:tcPr>
            <w:tcW w:w="616" w:type="pct"/>
            <w:tcBorders>
              <w:top w:val="nil"/>
              <w:bottom w:val="nil"/>
              <w:right w:val="single" w:sz="4" w:space="0" w:color="auto"/>
            </w:tcBorders>
            <w:shd w:val="clear" w:color="auto" w:fill="auto"/>
            <w:tcMar>
              <w:top w:w="110" w:type="dxa"/>
            </w:tcMar>
          </w:tcPr>
          <w:p w:rsidR="001346E3" w:rsidRDefault="001346E3" w:rsidP="001363EE">
            <w:pPr>
              <w:keepNext/>
              <w:keepLines/>
              <w:jc w:val="center"/>
              <w:rPr>
                <w:rFonts w:cs="Arial"/>
                <w:b/>
                <w:bCs/>
                <w:color w:val="00B050"/>
                <w:sz w:val="16"/>
                <w:szCs w:val="16"/>
              </w:rPr>
            </w:pPr>
          </w:p>
          <w:p w:rsidR="001346E3" w:rsidRDefault="001346E3" w:rsidP="001363EE">
            <w:pPr>
              <w:keepNext/>
              <w:keepLines/>
              <w:jc w:val="center"/>
              <w:rPr>
                <w:rFonts w:cs="Arial"/>
                <w:b/>
                <w:bCs/>
                <w:color w:val="00B050"/>
                <w:sz w:val="16"/>
                <w:szCs w:val="16"/>
              </w:rPr>
            </w:pPr>
          </w:p>
          <w:p w:rsidR="001346E3" w:rsidRDefault="001346E3" w:rsidP="001363EE">
            <w:pPr>
              <w:keepNext/>
              <w:keepLines/>
              <w:rPr>
                <w:rFonts w:cs="Arial"/>
                <w:b/>
                <w:bCs/>
                <w:color w:val="00B050"/>
                <w:sz w:val="16"/>
                <w:szCs w:val="16"/>
              </w:rPr>
            </w:pPr>
          </w:p>
          <w:p w:rsidR="001346E3" w:rsidRDefault="001346E3" w:rsidP="001363EE">
            <w:pPr>
              <w:keepNext/>
              <w:keepLines/>
              <w:jc w:val="center"/>
              <w:rPr>
                <w:rFonts w:cs="Arial"/>
                <w:b/>
                <w:bCs/>
                <w:color w:val="00B050"/>
                <w:sz w:val="16"/>
                <w:szCs w:val="16"/>
              </w:rPr>
            </w:pPr>
            <w:r w:rsidRPr="00334532">
              <w:rPr>
                <w:rFonts w:cs="Arial"/>
                <w:b/>
                <w:bCs/>
                <w:color w:val="00B050"/>
                <w:sz w:val="16"/>
                <w:szCs w:val="16"/>
              </w:rPr>
              <w:t>Fully Achieved</w:t>
            </w:r>
          </w:p>
          <w:p w:rsidR="001346E3" w:rsidRDefault="001346E3" w:rsidP="001363EE">
            <w:pPr>
              <w:keepNext/>
              <w:keepLines/>
              <w:rPr>
                <w:rFonts w:cs="Arial"/>
                <w:b/>
                <w:bCs/>
                <w:color w:val="00B050"/>
                <w:sz w:val="16"/>
                <w:szCs w:val="16"/>
              </w:rPr>
            </w:pPr>
          </w:p>
          <w:p w:rsidR="001346E3" w:rsidRPr="00917AEC" w:rsidRDefault="001346E3" w:rsidP="001363EE">
            <w:pPr>
              <w:keepNext/>
              <w:keepLines/>
              <w:jc w:val="center"/>
              <w:rPr>
                <w:rFonts w:cs="Arial"/>
                <w:b/>
                <w:bCs/>
                <w:color w:val="00B050"/>
                <w:sz w:val="16"/>
                <w:szCs w:val="16"/>
              </w:rPr>
            </w:pPr>
            <w:r w:rsidRPr="00334532">
              <w:rPr>
                <w:rFonts w:cs="Arial"/>
                <w:b/>
                <w:bCs/>
                <w:color w:val="00B050"/>
                <w:sz w:val="16"/>
                <w:szCs w:val="16"/>
              </w:rPr>
              <w:t>Fully Achieved</w:t>
            </w:r>
          </w:p>
          <w:p w:rsidR="001346E3" w:rsidRDefault="001346E3" w:rsidP="001363EE">
            <w:pPr>
              <w:keepNext/>
              <w:keepLines/>
              <w:rPr>
                <w:rFonts w:cs="Arial"/>
                <w:b/>
                <w:bCs/>
                <w:color w:val="00B050"/>
                <w:sz w:val="16"/>
                <w:szCs w:val="16"/>
              </w:rPr>
            </w:pPr>
          </w:p>
          <w:p w:rsidR="001346E3" w:rsidRDefault="001346E3" w:rsidP="001363EE">
            <w:pPr>
              <w:keepNext/>
              <w:keepLines/>
              <w:jc w:val="center"/>
              <w:rPr>
                <w:rFonts w:cs="Arial"/>
                <w:b/>
                <w:bCs/>
                <w:color w:val="00B050"/>
                <w:sz w:val="16"/>
                <w:szCs w:val="16"/>
              </w:rPr>
            </w:pPr>
            <w:r w:rsidRPr="00334532">
              <w:rPr>
                <w:rFonts w:cs="Arial"/>
                <w:b/>
                <w:bCs/>
                <w:color w:val="00B050"/>
                <w:sz w:val="16"/>
                <w:szCs w:val="16"/>
              </w:rPr>
              <w:t>Fully Achieved</w:t>
            </w:r>
          </w:p>
          <w:p w:rsidR="001346E3" w:rsidRDefault="001346E3" w:rsidP="001363EE">
            <w:pPr>
              <w:keepNext/>
              <w:keepLines/>
              <w:rPr>
                <w:rFonts w:cs="Arial"/>
                <w:b/>
                <w:bCs/>
                <w:color w:val="FF0000"/>
                <w:sz w:val="16"/>
                <w:szCs w:val="16"/>
              </w:rPr>
            </w:pPr>
          </w:p>
          <w:p w:rsidR="001346E3" w:rsidRPr="005116EE" w:rsidRDefault="001346E3" w:rsidP="001363EE">
            <w:pPr>
              <w:keepNext/>
              <w:keepLines/>
              <w:rPr>
                <w:rFonts w:cs="Arial"/>
                <w:b/>
                <w:bCs/>
                <w:color w:val="FF0000"/>
                <w:sz w:val="16"/>
                <w:szCs w:val="16"/>
              </w:rPr>
            </w:pPr>
          </w:p>
          <w:p w:rsidR="001346E3" w:rsidRDefault="001346E3" w:rsidP="001363EE">
            <w:pPr>
              <w:keepNext/>
              <w:keepLines/>
              <w:jc w:val="center"/>
              <w:rPr>
                <w:rFonts w:cs="Arial"/>
                <w:b/>
                <w:bCs/>
                <w:color w:val="FF0000"/>
                <w:sz w:val="16"/>
                <w:szCs w:val="16"/>
              </w:rPr>
            </w:pPr>
            <w:r w:rsidRPr="00102CD5">
              <w:rPr>
                <w:rFonts w:cs="Arial"/>
                <w:b/>
                <w:bCs/>
                <w:color w:val="00B050"/>
                <w:sz w:val="16"/>
                <w:szCs w:val="16"/>
              </w:rPr>
              <w:t>Fully Achieved</w:t>
            </w:r>
          </w:p>
          <w:p w:rsidR="001346E3" w:rsidRDefault="001346E3" w:rsidP="001363EE">
            <w:pPr>
              <w:keepNext/>
              <w:keepLines/>
              <w:rPr>
                <w:rFonts w:cs="Arial"/>
                <w:b/>
                <w:bCs/>
                <w:color w:val="FF0000"/>
                <w:sz w:val="16"/>
                <w:szCs w:val="16"/>
              </w:rPr>
            </w:pPr>
          </w:p>
          <w:p w:rsidR="001346E3" w:rsidRPr="00EA2F10" w:rsidRDefault="001346E3" w:rsidP="001363EE">
            <w:pPr>
              <w:keepNext/>
              <w:keepLines/>
              <w:jc w:val="center"/>
              <w:rPr>
                <w:rFonts w:cs="Arial"/>
                <w:b/>
                <w:bCs/>
                <w:color w:val="00B050"/>
                <w:sz w:val="13"/>
                <w:szCs w:val="13"/>
              </w:rPr>
            </w:pPr>
          </w:p>
        </w:tc>
      </w:tr>
      <w:tr w:rsidR="001346E3" w:rsidRPr="007B1B92" w:rsidTr="001363EE">
        <w:trPr>
          <w:cantSplit/>
        </w:trPr>
        <w:tc>
          <w:tcPr>
            <w:tcW w:w="859" w:type="pct"/>
            <w:tcBorders>
              <w:top w:val="nil"/>
              <w:left w:val="single" w:sz="4" w:space="0" w:color="auto"/>
              <w:bottom w:val="nil"/>
            </w:tcBorders>
            <w:shd w:val="clear" w:color="auto" w:fill="auto"/>
          </w:tcPr>
          <w:p w:rsidR="001346E3" w:rsidRPr="0092581A" w:rsidRDefault="001346E3" w:rsidP="001363EE">
            <w:pPr>
              <w:ind w:leftChars="-11" w:left="-22"/>
              <w:rPr>
                <w:rFonts w:cs="Arial"/>
                <w:color w:val="000000" w:themeColor="text1"/>
                <w:sz w:val="16"/>
                <w:szCs w:val="16"/>
              </w:rPr>
            </w:pPr>
            <w:r w:rsidRPr="0092581A">
              <w:rPr>
                <w:rFonts w:cs="Arial"/>
                <w:color w:val="000000" w:themeColor="text1"/>
                <w:sz w:val="16"/>
                <w:szCs w:val="16"/>
              </w:rPr>
              <w:t>No. of SLAs for hosted systems and services that are compliant with ICT SLA framework</w:t>
            </w:r>
          </w:p>
        </w:tc>
        <w:tc>
          <w:tcPr>
            <w:tcW w:w="1254" w:type="pct"/>
            <w:gridSpan w:val="2"/>
            <w:tcBorders>
              <w:top w:val="nil"/>
              <w:bottom w:val="nil"/>
            </w:tcBorders>
            <w:shd w:val="clear" w:color="auto" w:fill="auto"/>
          </w:tcPr>
          <w:p w:rsidR="001346E3" w:rsidRDefault="001346E3" w:rsidP="001363EE">
            <w:pPr>
              <w:rPr>
                <w:rFonts w:cs="Arial"/>
                <w:color w:val="000000" w:themeColor="text1"/>
                <w:sz w:val="16"/>
                <w:szCs w:val="16"/>
              </w:rPr>
            </w:pPr>
            <w:r w:rsidRPr="0092581A">
              <w:rPr>
                <w:rFonts w:cs="Arial"/>
                <w:color w:val="000000" w:themeColor="text1"/>
                <w:sz w:val="16"/>
                <w:szCs w:val="16"/>
              </w:rPr>
              <w:t>Standard ICT SLA Framework in place</w:t>
            </w:r>
          </w:p>
          <w:p w:rsidR="001346E3" w:rsidRDefault="001346E3" w:rsidP="001363EE">
            <w:pPr>
              <w:rPr>
                <w:rFonts w:cs="Arial"/>
                <w:color w:val="000000" w:themeColor="text1"/>
                <w:sz w:val="16"/>
                <w:szCs w:val="16"/>
              </w:rPr>
            </w:pPr>
          </w:p>
          <w:p w:rsidR="001346E3" w:rsidRDefault="001346E3" w:rsidP="001363EE">
            <w:pPr>
              <w:rPr>
                <w:rFonts w:cs="Arial"/>
                <w:color w:val="000000" w:themeColor="text1"/>
                <w:sz w:val="16"/>
                <w:szCs w:val="16"/>
              </w:rPr>
            </w:pPr>
          </w:p>
          <w:p w:rsidR="001346E3" w:rsidRDefault="001346E3" w:rsidP="001363EE">
            <w:pPr>
              <w:rPr>
                <w:i/>
                <w:color w:val="002060"/>
                <w:sz w:val="16"/>
                <w:szCs w:val="16"/>
              </w:rPr>
            </w:pPr>
          </w:p>
        </w:tc>
        <w:tc>
          <w:tcPr>
            <w:tcW w:w="810" w:type="pct"/>
            <w:tcBorders>
              <w:top w:val="nil"/>
              <w:bottom w:val="nil"/>
            </w:tcBorders>
            <w:shd w:val="clear" w:color="auto" w:fill="auto"/>
            <w:tcMar>
              <w:top w:w="110" w:type="dxa"/>
            </w:tcMar>
          </w:tcPr>
          <w:p w:rsidR="001346E3" w:rsidRPr="0092581A" w:rsidRDefault="001346E3" w:rsidP="001363EE">
            <w:pPr>
              <w:ind w:leftChars="-11" w:left="-22"/>
              <w:rPr>
                <w:rFonts w:cs="Arial"/>
                <w:color w:val="000000" w:themeColor="text1"/>
                <w:sz w:val="16"/>
                <w:szCs w:val="16"/>
              </w:rPr>
            </w:pPr>
            <w:r w:rsidRPr="0092581A">
              <w:rPr>
                <w:rFonts w:cs="Arial"/>
                <w:color w:val="000000" w:themeColor="text1"/>
                <w:sz w:val="16"/>
                <w:szCs w:val="16"/>
              </w:rPr>
              <w:t>% of SLAs that comply with the ICT Framework</w:t>
            </w:r>
          </w:p>
        </w:tc>
        <w:tc>
          <w:tcPr>
            <w:tcW w:w="1461" w:type="pct"/>
            <w:gridSpan w:val="2"/>
            <w:tcBorders>
              <w:top w:val="nil"/>
              <w:bottom w:val="nil"/>
            </w:tcBorders>
            <w:shd w:val="clear" w:color="auto" w:fill="FFFFFF"/>
            <w:tcMar>
              <w:top w:w="110" w:type="dxa"/>
            </w:tcMar>
          </w:tcPr>
          <w:p w:rsidR="001346E3" w:rsidRPr="0092581A" w:rsidRDefault="001346E3" w:rsidP="001363EE">
            <w:pPr>
              <w:rPr>
                <w:rFonts w:cs="Arial"/>
                <w:color w:val="000000" w:themeColor="text1"/>
                <w:sz w:val="16"/>
                <w:szCs w:val="16"/>
              </w:rPr>
            </w:pPr>
            <w:r>
              <w:rPr>
                <w:rFonts w:cs="Arial"/>
                <w:color w:val="000000" w:themeColor="text1"/>
                <w:sz w:val="16"/>
                <w:szCs w:val="16"/>
              </w:rPr>
              <w:t xml:space="preserve">In 2014/15, </w:t>
            </w:r>
            <w:r w:rsidRPr="000D4E00">
              <w:rPr>
                <w:rFonts w:cs="Arial"/>
                <w:color w:val="000000" w:themeColor="text1"/>
                <w:sz w:val="16"/>
                <w:szCs w:val="16"/>
              </w:rPr>
              <w:t>11 new SDAs signed</w:t>
            </w:r>
            <w:r>
              <w:rPr>
                <w:rFonts w:cs="Arial"/>
                <w:color w:val="000000" w:themeColor="text1"/>
                <w:sz w:val="16"/>
                <w:szCs w:val="16"/>
              </w:rPr>
              <w:t xml:space="preserve"> </w:t>
            </w:r>
            <w:r w:rsidRPr="000D4E00">
              <w:rPr>
                <w:rFonts w:cs="Arial"/>
                <w:color w:val="000000" w:themeColor="text1"/>
                <w:sz w:val="16"/>
                <w:szCs w:val="16"/>
              </w:rPr>
              <w:t>(Enterprise Communication System, IRIS, IRPI, PCT, PEARL, SIGAGIP, P</w:t>
            </w:r>
            <w:r>
              <w:rPr>
                <w:rFonts w:cs="Arial"/>
                <w:color w:val="000000" w:themeColor="text1"/>
                <w:sz w:val="16"/>
                <w:szCs w:val="16"/>
              </w:rPr>
              <w:t>ATENT</w:t>
            </w:r>
            <w:r w:rsidRPr="000D4E00">
              <w:rPr>
                <w:rFonts w:cs="Arial"/>
                <w:color w:val="000000" w:themeColor="text1"/>
                <w:sz w:val="16"/>
                <w:szCs w:val="16"/>
              </w:rPr>
              <w:t>S</w:t>
            </w:r>
            <w:r>
              <w:rPr>
                <w:rFonts w:cs="Arial"/>
                <w:color w:val="000000" w:themeColor="text1"/>
                <w:sz w:val="16"/>
                <w:szCs w:val="16"/>
              </w:rPr>
              <w:t>COPE</w:t>
            </w:r>
            <w:r w:rsidRPr="000D4E00">
              <w:rPr>
                <w:rFonts w:cs="Arial"/>
                <w:color w:val="000000" w:themeColor="text1"/>
                <w:sz w:val="16"/>
                <w:szCs w:val="16"/>
              </w:rPr>
              <w:t>, CASE, DAS, External Collaboration Platform, GOA) in compliance with the ICT framework (100%)</w:t>
            </w:r>
          </w:p>
        </w:tc>
        <w:tc>
          <w:tcPr>
            <w:tcW w:w="616" w:type="pct"/>
            <w:tcBorders>
              <w:top w:val="nil"/>
              <w:bottom w:val="nil"/>
              <w:right w:val="single" w:sz="4" w:space="0" w:color="auto"/>
            </w:tcBorders>
            <w:shd w:val="clear" w:color="auto" w:fill="auto"/>
            <w:tcMar>
              <w:top w:w="110" w:type="dxa"/>
            </w:tcMar>
          </w:tcPr>
          <w:p w:rsidR="001346E3" w:rsidRDefault="001346E3" w:rsidP="001363EE">
            <w:pPr>
              <w:keepNext/>
              <w:keepLines/>
              <w:jc w:val="center"/>
              <w:rPr>
                <w:rFonts w:cs="Arial"/>
                <w:b/>
                <w:bCs/>
                <w:color w:val="00B050"/>
                <w:sz w:val="16"/>
                <w:szCs w:val="16"/>
              </w:rPr>
            </w:pPr>
            <w:r w:rsidRPr="00334532">
              <w:rPr>
                <w:rFonts w:cs="Arial"/>
                <w:b/>
                <w:bCs/>
                <w:color w:val="00B050"/>
                <w:sz w:val="16"/>
                <w:szCs w:val="16"/>
              </w:rPr>
              <w:t>Fully Achieved</w:t>
            </w:r>
          </w:p>
          <w:p w:rsidR="001346E3" w:rsidRPr="0092581A" w:rsidRDefault="001346E3" w:rsidP="001363EE">
            <w:pPr>
              <w:keepNext/>
              <w:keepLines/>
              <w:jc w:val="center"/>
              <w:rPr>
                <w:rFonts w:cs="Arial"/>
                <w:b/>
                <w:bCs/>
                <w:color w:val="000000" w:themeColor="text1"/>
                <w:sz w:val="16"/>
                <w:szCs w:val="16"/>
              </w:rPr>
            </w:pPr>
          </w:p>
        </w:tc>
      </w:tr>
      <w:tr w:rsidR="001346E3" w:rsidRPr="007B1B92" w:rsidTr="001363EE">
        <w:trPr>
          <w:cantSplit/>
        </w:trPr>
        <w:tc>
          <w:tcPr>
            <w:tcW w:w="859" w:type="pct"/>
            <w:tcBorders>
              <w:top w:val="nil"/>
              <w:left w:val="single" w:sz="4" w:space="0" w:color="auto"/>
              <w:bottom w:val="nil"/>
            </w:tcBorders>
            <w:shd w:val="clear" w:color="auto" w:fill="auto"/>
          </w:tcPr>
          <w:p w:rsidR="001346E3" w:rsidRPr="007B1B92" w:rsidRDefault="001346E3" w:rsidP="001363EE">
            <w:pPr>
              <w:ind w:leftChars="-11" w:left="-22"/>
              <w:rPr>
                <w:rFonts w:cs="Arial"/>
                <w:color w:val="000000" w:themeColor="text1"/>
                <w:sz w:val="16"/>
                <w:szCs w:val="16"/>
              </w:rPr>
            </w:pPr>
            <w:r>
              <w:rPr>
                <w:rFonts w:cs="Arial"/>
                <w:color w:val="000000" w:themeColor="text1"/>
                <w:sz w:val="16"/>
                <w:szCs w:val="16"/>
              </w:rPr>
              <w:t>I</w:t>
            </w:r>
            <w:r w:rsidRPr="004972A9">
              <w:rPr>
                <w:rFonts w:cs="Arial"/>
                <w:color w:val="000000" w:themeColor="text1"/>
                <w:sz w:val="16"/>
                <w:szCs w:val="16"/>
              </w:rPr>
              <w:t>CT Service Continuity of critical systems</w:t>
            </w:r>
          </w:p>
        </w:tc>
        <w:tc>
          <w:tcPr>
            <w:tcW w:w="1254" w:type="pct"/>
            <w:gridSpan w:val="2"/>
            <w:tcBorders>
              <w:top w:val="nil"/>
              <w:bottom w:val="nil"/>
            </w:tcBorders>
            <w:shd w:val="clear" w:color="auto" w:fill="auto"/>
          </w:tcPr>
          <w:p w:rsidR="001346E3" w:rsidRDefault="001346E3" w:rsidP="001363EE">
            <w:pPr>
              <w:rPr>
                <w:color w:val="002060"/>
                <w:sz w:val="16"/>
                <w:szCs w:val="16"/>
              </w:rPr>
            </w:pPr>
            <w:r>
              <w:rPr>
                <w:i/>
                <w:color w:val="002060"/>
                <w:sz w:val="16"/>
                <w:szCs w:val="16"/>
              </w:rPr>
              <w:t>Updated Baseline end 2013</w:t>
            </w:r>
            <w:r w:rsidRPr="006550F0">
              <w:rPr>
                <w:i/>
                <w:color w:val="002060"/>
                <w:sz w:val="16"/>
                <w:szCs w:val="16"/>
              </w:rPr>
              <w:t>:</w:t>
            </w:r>
            <w:r w:rsidRPr="006550F0">
              <w:rPr>
                <w:color w:val="002060"/>
                <w:sz w:val="16"/>
                <w:szCs w:val="16"/>
              </w:rPr>
              <w:t xml:space="preserve"> </w:t>
            </w:r>
            <w:r>
              <w:rPr>
                <w:color w:val="002060"/>
                <w:sz w:val="16"/>
                <w:szCs w:val="16"/>
              </w:rPr>
              <w:t>2</w:t>
            </w:r>
            <w:r w:rsidRPr="00615410">
              <w:rPr>
                <w:color w:val="002060"/>
                <w:sz w:val="16"/>
                <w:szCs w:val="16"/>
              </w:rPr>
              <w:t xml:space="preserve"> closely linked Data Centers</w:t>
            </w:r>
            <w:r>
              <w:rPr>
                <w:color w:val="002060"/>
                <w:sz w:val="16"/>
                <w:szCs w:val="16"/>
              </w:rPr>
              <w:t xml:space="preserve"> established;  </w:t>
            </w:r>
            <w:r w:rsidRPr="00615410">
              <w:rPr>
                <w:color w:val="002060"/>
                <w:sz w:val="16"/>
                <w:szCs w:val="16"/>
              </w:rPr>
              <w:t>server infrastructure and network architecture Centers</w:t>
            </w:r>
            <w:r>
              <w:rPr>
                <w:color w:val="002060"/>
                <w:sz w:val="16"/>
                <w:szCs w:val="16"/>
              </w:rPr>
              <w:t xml:space="preserve"> partially developed to support the 2 centers; </w:t>
            </w:r>
            <w:r w:rsidRPr="00615410">
              <w:rPr>
                <w:color w:val="002060"/>
                <w:sz w:val="16"/>
                <w:szCs w:val="16"/>
              </w:rPr>
              <w:t xml:space="preserve"> 38 core ICT services were assessed and suitable measures implemented for mitigating risks and ensuring their enhanced availability. </w:t>
            </w:r>
            <w:r>
              <w:rPr>
                <w:color w:val="002060"/>
                <w:sz w:val="16"/>
                <w:szCs w:val="16"/>
              </w:rPr>
              <w:t xml:space="preserve"> </w:t>
            </w:r>
          </w:p>
          <w:p w:rsidR="001346E3" w:rsidRPr="00FD1BA8" w:rsidRDefault="001346E3" w:rsidP="001363EE">
            <w:pPr>
              <w:rPr>
                <w:rFonts w:cs="Arial"/>
                <w:i/>
                <w:sz w:val="8"/>
                <w:szCs w:val="8"/>
              </w:rPr>
            </w:pPr>
          </w:p>
          <w:p w:rsidR="001346E3" w:rsidRPr="0092581A" w:rsidRDefault="001346E3" w:rsidP="001363EE">
            <w:pPr>
              <w:ind w:leftChars="-11" w:left="-22"/>
              <w:rPr>
                <w:rFonts w:cs="Arial"/>
                <w:color w:val="000000" w:themeColor="text1"/>
                <w:sz w:val="16"/>
                <w:szCs w:val="16"/>
              </w:rPr>
            </w:pPr>
            <w:r>
              <w:rPr>
                <w:rFonts w:cs="Arial"/>
                <w:i/>
                <w:sz w:val="16"/>
                <w:szCs w:val="16"/>
              </w:rPr>
              <w:t xml:space="preserve">Original </w:t>
            </w:r>
            <w:r w:rsidRPr="004608BD">
              <w:rPr>
                <w:rFonts w:cs="Arial"/>
                <w:i/>
                <w:sz w:val="16"/>
                <w:szCs w:val="16"/>
              </w:rPr>
              <w:t>Baseline</w:t>
            </w:r>
            <w:r>
              <w:rPr>
                <w:rFonts w:cs="Arial"/>
                <w:i/>
                <w:sz w:val="16"/>
                <w:szCs w:val="16"/>
              </w:rPr>
              <w:t xml:space="preserve"> P&amp;B 2014/15:  </w:t>
            </w:r>
            <w:r w:rsidRPr="0092581A">
              <w:rPr>
                <w:rFonts w:cs="Arial"/>
                <w:color w:val="000000" w:themeColor="text1"/>
                <w:sz w:val="16"/>
                <w:szCs w:val="16"/>
              </w:rPr>
              <w:t>Data backed-up offline, data restore may require several days</w:t>
            </w:r>
          </w:p>
        </w:tc>
        <w:tc>
          <w:tcPr>
            <w:tcW w:w="810" w:type="pct"/>
            <w:tcBorders>
              <w:top w:val="nil"/>
              <w:bottom w:val="nil"/>
            </w:tcBorders>
            <w:shd w:val="clear" w:color="auto" w:fill="auto"/>
            <w:tcMar>
              <w:top w:w="110" w:type="dxa"/>
            </w:tcMar>
          </w:tcPr>
          <w:p w:rsidR="001346E3" w:rsidRPr="007B1B92" w:rsidRDefault="001346E3" w:rsidP="001363EE">
            <w:pPr>
              <w:ind w:leftChars="-11" w:left="-22"/>
              <w:rPr>
                <w:rFonts w:cs="Arial"/>
                <w:color w:val="000000" w:themeColor="text1"/>
                <w:sz w:val="16"/>
                <w:szCs w:val="16"/>
              </w:rPr>
            </w:pPr>
            <w:r w:rsidRPr="0092581A">
              <w:rPr>
                <w:rFonts w:cs="Arial"/>
                <w:color w:val="000000" w:themeColor="text1"/>
                <w:sz w:val="16"/>
                <w:szCs w:val="16"/>
              </w:rPr>
              <w:t>Critical systems can be recovered in a timely manner without data loss in the event of localized major disruptions</w:t>
            </w:r>
          </w:p>
        </w:tc>
        <w:tc>
          <w:tcPr>
            <w:tcW w:w="1461" w:type="pct"/>
            <w:gridSpan w:val="2"/>
            <w:tcBorders>
              <w:top w:val="nil"/>
              <w:bottom w:val="nil"/>
            </w:tcBorders>
            <w:shd w:val="clear" w:color="auto" w:fill="FFFFFF"/>
            <w:tcMar>
              <w:top w:w="110" w:type="dxa"/>
            </w:tcMar>
          </w:tcPr>
          <w:p w:rsidR="001346E3" w:rsidRDefault="001346E3" w:rsidP="001363EE">
            <w:pPr>
              <w:rPr>
                <w:rFonts w:cs="Arial"/>
                <w:color w:val="000000" w:themeColor="text1"/>
                <w:sz w:val="16"/>
                <w:szCs w:val="16"/>
              </w:rPr>
            </w:pPr>
            <w:r w:rsidRPr="000D4E00">
              <w:rPr>
                <w:rFonts w:cs="Arial" w:hint="eastAsia"/>
                <w:color w:val="000000" w:themeColor="text1"/>
                <w:sz w:val="16"/>
                <w:szCs w:val="16"/>
              </w:rPr>
              <w:t xml:space="preserve">Server, Storage, Backup and Network Infrastructure extended </w:t>
            </w:r>
            <w:r>
              <w:rPr>
                <w:rFonts w:cs="Arial"/>
                <w:color w:val="000000" w:themeColor="text1"/>
                <w:sz w:val="16"/>
                <w:szCs w:val="16"/>
              </w:rPr>
              <w:t xml:space="preserve">for core ICT services.  In 2014/15, 12 additional core ICT services </w:t>
            </w:r>
            <w:r w:rsidRPr="000D4E00">
              <w:rPr>
                <w:rFonts w:cs="Arial" w:hint="eastAsia"/>
                <w:color w:val="000000" w:themeColor="text1"/>
                <w:sz w:val="16"/>
                <w:szCs w:val="16"/>
              </w:rPr>
              <w:t xml:space="preserve">were assessed and suitable measures implemented for service continuity. </w:t>
            </w:r>
          </w:p>
          <w:p w:rsidR="001346E3" w:rsidRDefault="001346E3" w:rsidP="001363EE">
            <w:pPr>
              <w:rPr>
                <w:rFonts w:cs="Arial"/>
                <w:color w:val="000000" w:themeColor="text1"/>
                <w:sz w:val="16"/>
                <w:szCs w:val="16"/>
              </w:rPr>
            </w:pPr>
          </w:p>
          <w:p w:rsidR="001346E3" w:rsidRPr="00082F80" w:rsidRDefault="001346E3" w:rsidP="001363EE">
            <w:pPr>
              <w:rPr>
                <w:rFonts w:cs="Arial"/>
                <w:color w:val="000000" w:themeColor="text1"/>
                <w:sz w:val="16"/>
                <w:szCs w:val="16"/>
              </w:rPr>
            </w:pPr>
            <w:r w:rsidRPr="000D4E00">
              <w:rPr>
                <w:rFonts w:cs="Arial" w:hint="eastAsia"/>
                <w:color w:val="000000" w:themeColor="text1"/>
                <w:sz w:val="16"/>
                <w:szCs w:val="16"/>
              </w:rPr>
              <w:t>ICT Service Continuity capability validated in 2015 through successful 1-day D</w:t>
            </w:r>
            <w:r>
              <w:rPr>
                <w:rFonts w:cs="Arial"/>
                <w:color w:val="000000" w:themeColor="text1"/>
                <w:sz w:val="16"/>
                <w:szCs w:val="16"/>
              </w:rPr>
              <w:t xml:space="preserve">isaster </w:t>
            </w:r>
            <w:r w:rsidRPr="000D4E00">
              <w:rPr>
                <w:rFonts w:cs="Arial" w:hint="eastAsia"/>
                <w:color w:val="000000" w:themeColor="text1"/>
                <w:sz w:val="16"/>
                <w:szCs w:val="16"/>
              </w:rPr>
              <w:t>R</w:t>
            </w:r>
            <w:r>
              <w:rPr>
                <w:rFonts w:cs="Arial"/>
                <w:color w:val="000000" w:themeColor="text1"/>
                <w:sz w:val="16"/>
                <w:szCs w:val="16"/>
              </w:rPr>
              <w:t>ecovery (DR)</w:t>
            </w:r>
            <w:r w:rsidRPr="000D4E00">
              <w:rPr>
                <w:rFonts w:cs="Arial" w:hint="eastAsia"/>
                <w:color w:val="000000" w:themeColor="text1"/>
                <w:sz w:val="16"/>
                <w:szCs w:val="16"/>
              </w:rPr>
              <w:t xml:space="preserve"> test</w:t>
            </w:r>
            <w:r>
              <w:rPr>
                <w:rFonts w:cs="Arial"/>
                <w:color w:val="000000" w:themeColor="text1"/>
                <w:sz w:val="16"/>
                <w:szCs w:val="16"/>
              </w:rPr>
              <w:t>; P</w:t>
            </w:r>
            <w:r w:rsidRPr="00102CD5">
              <w:rPr>
                <w:sz w:val="16"/>
                <w:szCs w:val="16"/>
              </w:rPr>
              <w:t>CT Failover exercise was completed in 30</w:t>
            </w:r>
            <w:r>
              <w:rPr>
                <w:sz w:val="16"/>
                <w:szCs w:val="16"/>
              </w:rPr>
              <w:t> </w:t>
            </w:r>
            <w:r w:rsidRPr="00102CD5">
              <w:rPr>
                <w:sz w:val="16"/>
                <w:szCs w:val="16"/>
              </w:rPr>
              <w:t>minutes</w:t>
            </w:r>
          </w:p>
        </w:tc>
        <w:tc>
          <w:tcPr>
            <w:tcW w:w="616" w:type="pct"/>
            <w:tcBorders>
              <w:top w:val="nil"/>
              <w:bottom w:val="nil"/>
              <w:right w:val="single" w:sz="4" w:space="0" w:color="auto"/>
            </w:tcBorders>
            <w:shd w:val="clear" w:color="auto" w:fill="auto"/>
            <w:tcMar>
              <w:top w:w="110" w:type="dxa"/>
            </w:tcMar>
          </w:tcPr>
          <w:p w:rsidR="001346E3" w:rsidRDefault="001346E3" w:rsidP="001363EE">
            <w:pPr>
              <w:keepNext/>
              <w:keepLines/>
              <w:jc w:val="center"/>
              <w:rPr>
                <w:rFonts w:cs="Arial"/>
                <w:b/>
                <w:bCs/>
                <w:color w:val="00B050"/>
                <w:sz w:val="16"/>
                <w:szCs w:val="16"/>
              </w:rPr>
            </w:pPr>
            <w:r w:rsidRPr="00334532">
              <w:rPr>
                <w:rFonts w:cs="Arial"/>
                <w:b/>
                <w:bCs/>
                <w:color w:val="00B050"/>
                <w:sz w:val="16"/>
                <w:szCs w:val="16"/>
              </w:rPr>
              <w:t>Fully Achieved</w:t>
            </w:r>
          </w:p>
          <w:p w:rsidR="001346E3" w:rsidRPr="0092581A" w:rsidRDefault="001346E3" w:rsidP="001363EE">
            <w:pPr>
              <w:keepNext/>
              <w:keepLines/>
              <w:jc w:val="center"/>
              <w:rPr>
                <w:rFonts w:cs="Arial"/>
                <w:b/>
                <w:bCs/>
                <w:color w:val="00B050"/>
                <w:sz w:val="16"/>
                <w:szCs w:val="16"/>
              </w:rPr>
            </w:pPr>
          </w:p>
        </w:tc>
      </w:tr>
      <w:tr w:rsidR="001346E3" w:rsidRPr="007B1B92" w:rsidTr="001363EE">
        <w:trPr>
          <w:cantSplit/>
        </w:trPr>
        <w:tc>
          <w:tcPr>
            <w:tcW w:w="859" w:type="pct"/>
            <w:tcBorders>
              <w:top w:val="nil"/>
              <w:left w:val="single" w:sz="4" w:space="0" w:color="auto"/>
              <w:bottom w:val="nil"/>
            </w:tcBorders>
            <w:shd w:val="clear" w:color="auto" w:fill="auto"/>
          </w:tcPr>
          <w:p w:rsidR="001346E3" w:rsidRDefault="001346E3" w:rsidP="001363EE">
            <w:pPr>
              <w:ind w:leftChars="-11" w:left="-22"/>
              <w:rPr>
                <w:rFonts w:cs="Arial"/>
                <w:color w:val="000000" w:themeColor="text1"/>
                <w:sz w:val="16"/>
                <w:szCs w:val="16"/>
              </w:rPr>
            </w:pPr>
            <w:r w:rsidRPr="0092581A">
              <w:rPr>
                <w:rFonts w:cs="Arial"/>
                <w:color w:val="000000" w:themeColor="text1"/>
                <w:sz w:val="16"/>
                <w:szCs w:val="16"/>
              </w:rPr>
              <w:t>% end-users and business sectors who are satisfied with ICT services</w:t>
            </w:r>
          </w:p>
        </w:tc>
        <w:tc>
          <w:tcPr>
            <w:tcW w:w="1254" w:type="pct"/>
            <w:gridSpan w:val="2"/>
            <w:tcBorders>
              <w:top w:val="nil"/>
              <w:bottom w:val="nil"/>
            </w:tcBorders>
            <w:shd w:val="clear" w:color="auto" w:fill="auto"/>
          </w:tcPr>
          <w:p w:rsidR="001346E3" w:rsidRDefault="001346E3" w:rsidP="001363EE">
            <w:pPr>
              <w:rPr>
                <w:color w:val="002060"/>
                <w:sz w:val="16"/>
                <w:szCs w:val="16"/>
              </w:rPr>
            </w:pPr>
            <w:r>
              <w:rPr>
                <w:i/>
                <w:color w:val="002060"/>
                <w:sz w:val="16"/>
                <w:szCs w:val="16"/>
              </w:rPr>
              <w:t>Updated Baseline end 2013</w:t>
            </w:r>
            <w:r w:rsidRPr="006550F0">
              <w:rPr>
                <w:i/>
                <w:color w:val="002060"/>
                <w:sz w:val="16"/>
                <w:szCs w:val="16"/>
              </w:rPr>
              <w:t>:</w:t>
            </w:r>
            <w:r w:rsidRPr="006550F0">
              <w:rPr>
                <w:color w:val="002060"/>
                <w:sz w:val="16"/>
                <w:szCs w:val="16"/>
              </w:rPr>
              <w:t xml:space="preserve"> </w:t>
            </w:r>
            <w:r>
              <w:rPr>
                <w:color w:val="002060"/>
                <w:sz w:val="16"/>
                <w:szCs w:val="16"/>
              </w:rPr>
              <w:t xml:space="preserve"> </w:t>
            </w:r>
          </w:p>
          <w:p w:rsidR="001346E3" w:rsidRPr="0092581A" w:rsidRDefault="001346E3" w:rsidP="001363EE">
            <w:pPr>
              <w:ind w:leftChars="-11" w:left="-22"/>
              <w:rPr>
                <w:color w:val="002060"/>
                <w:sz w:val="16"/>
                <w:szCs w:val="16"/>
              </w:rPr>
            </w:pPr>
            <w:r w:rsidRPr="0092581A">
              <w:rPr>
                <w:color w:val="002060"/>
                <w:sz w:val="16"/>
                <w:szCs w:val="16"/>
              </w:rPr>
              <w:t>2013 Helpdesk Survey: "Highly satisfied" rating by 64% of participants</w:t>
            </w:r>
          </w:p>
          <w:p w:rsidR="001346E3" w:rsidRDefault="001346E3" w:rsidP="001363EE">
            <w:pPr>
              <w:ind w:leftChars="-11" w:left="-22"/>
              <w:rPr>
                <w:rFonts w:cs="Arial"/>
                <w:color w:val="000000" w:themeColor="text1"/>
                <w:sz w:val="16"/>
                <w:szCs w:val="16"/>
              </w:rPr>
            </w:pPr>
          </w:p>
          <w:p w:rsidR="001346E3" w:rsidRDefault="001346E3" w:rsidP="001363EE">
            <w:pPr>
              <w:ind w:leftChars="-11" w:left="-22"/>
              <w:rPr>
                <w:rFonts w:cs="Arial"/>
                <w:i/>
                <w:sz w:val="16"/>
                <w:szCs w:val="16"/>
              </w:rPr>
            </w:pPr>
            <w:r>
              <w:rPr>
                <w:rFonts w:cs="Arial"/>
                <w:i/>
                <w:sz w:val="16"/>
                <w:szCs w:val="16"/>
              </w:rPr>
              <w:t xml:space="preserve">Original </w:t>
            </w:r>
            <w:r w:rsidRPr="004608BD">
              <w:rPr>
                <w:rFonts w:cs="Arial"/>
                <w:i/>
                <w:sz w:val="16"/>
                <w:szCs w:val="16"/>
              </w:rPr>
              <w:t>Baseline</w:t>
            </w:r>
            <w:r>
              <w:rPr>
                <w:rFonts w:cs="Arial"/>
                <w:i/>
                <w:sz w:val="16"/>
                <w:szCs w:val="16"/>
              </w:rPr>
              <w:t xml:space="preserve"> P&amp;B 2014/15:  </w:t>
            </w:r>
          </w:p>
          <w:p w:rsidR="001346E3" w:rsidRPr="00830423" w:rsidRDefault="001346E3" w:rsidP="001363EE">
            <w:pPr>
              <w:rPr>
                <w:rFonts w:cs="Arial"/>
                <w:color w:val="000000" w:themeColor="text1"/>
                <w:sz w:val="16"/>
                <w:szCs w:val="16"/>
              </w:rPr>
            </w:pPr>
            <w:r w:rsidRPr="0092581A">
              <w:rPr>
                <w:rFonts w:cs="Arial"/>
                <w:color w:val="000000" w:themeColor="text1"/>
                <w:sz w:val="16"/>
                <w:szCs w:val="16"/>
              </w:rPr>
              <w:t>Business managers' satisfaction at the beginning of the biennium</w:t>
            </w:r>
          </w:p>
        </w:tc>
        <w:tc>
          <w:tcPr>
            <w:tcW w:w="810" w:type="pct"/>
            <w:tcBorders>
              <w:top w:val="nil"/>
              <w:bottom w:val="nil"/>
            </w:tcBorders>
            <w:shd w:val="clear" w:color="auto" w:fill="auto"/>
            <w:tcMar>
              <w:top w:w="110" w:type="dxa"/>
            </w:tcMar>
          </w:tcPr>
          <w:p w:rsidR="001346E3" w:rsidRPr="0092581A" w:rsidRDefault="001346E3" w:rsidP="001363EE">
            <w:pPr>
              <w:ind w:leftChars="-11" w:left="-22"/>
              <w:rPr>
                <w:rFonts w:cs="Arial"/>
                <w:color w:val="000000" w:themeColor="text1"/>
                <w:sz w:val="16"/>
                <w:szCs w:val="16"/>
              </w:rPr>
            </w:pPr>
            <w:r w:rsidRPr="0092581A">
              <w:rPr>
                <w:rFonts w:cs="Arial"/>
                <w:color w:val="000000" w:themeColor="text1"/>
                <w:sz w:val="16"/>
                <w:szCs w:val="16"/>
              </w:rPr>
              <w:t>Maintain or improve against the baseline</w:t>
            </w:r>
          </w:p>
        </w:tc>
        <w:tc>
          <w:tcPr>
            <w:tcW w:w="1461" w:type="pct"/>
            <w:gridSpan w:val="2"/>
            <w:tcBorders>
              <w:top w:val="nil"/>
              <w:bottom w:val="nil"/>
            </w:tcBorders>
            <w:shd w:val="clear" w:color="auto" w:fill="FFFFFF"/>
            <w:tcMar>
              <w:top w:w="110" w:type="dxa"/>
            </w:tcMar>
          </w:tcPr>
          <w:p w:rsidR="001346E3" w:rsidRDefault="001346E3" w:rsidP="001363EE">
            <w:pPr>
              <w:rPr>
                <w:rFonts w:cs="Arial"/>
                <w:color w:val="000000" w:themeColor="text1"/>
                <w:sz w:val="16"/>
                <w:szCs w:val="16"/>
              </w:rPr>
            </w:pPr>
            <w:r>
              <w:rPr>
                <w:rFonts w:cs="Arial"/>
                <w:color w:val="000000" w:themeColor="text1"/>
                <w:sz w:val="16"/>
                <w:szCs w:val="16"/>
              </w:rPr>
              <w:t>2014 Helpdesk Survey:  67% “Highly Satisfied”</w:t>
            </w:r>
          </w:p>
          <w:p w:rsidR="001346E3" w:rsidRDefault="001346E3" w:rsidP="001363EE">
            <w:pPr>
              <w:rPr>
                <w:rFonts w:cs="Arial"/>
                <w:color w:val="000000" w:themeColor="text1"/>
                <w:sz w:val="16"/>
                <w:szCs w:val="16"/>
              </w:rPr>
            </w:pPr>
          </w:p>
          <w:p w:rsidR="001346E3" w:rsidRPr="000D4E00" w:rsidDel="00447A37" w:rsidRDefault="001346E3" w:rsidP="001363EE">
            <w:pPr>
              <w:rPr>
                <w:rFonts w:cs="Arial"/>
                <w:color w:val="000000" w:themeColor="text1"/>
                <w:sz w:val="16"/>
                <w:szCs w:val="16"/>
              </w:rPr>
            </w:pPr>
            <w:r>
              <w:rPr>
                <w:rFonts w:cs="Arial"/>
                <w:color w:val="000000" w:themeColor="text1"/>
                <w:sz w:val="16"/>
                <w:szCs w:val="16"/>
              </w:rPr>
              <w:t xml:space="preserve">2015 Helpdesk Survey:  </w:t>
            </w:r>
            <w:r w:rsidRPr="0082723D">
              <w:rPr>
                <w:rFonts w:cs="Arial"/>
                <w:color w:val="000000" w:themeColor="text1"/>
                <w:sz w:val="16"/>
                <w:szCs w:val="16"/>
              </w:rPr>
              <w:t>97% "Satisfied or Completely Satisfied" with 70.5% "Completely Satisfied</w:t>
            </w:r>
            <w:r>
              <w:rPr>
                <w:rStyle w:val="FootnoteReference"/>
                <w:rFonts w:cs="Arial"/>
                <w:color w:val="000000" w:themeColor="text1"/>
                <w:sz w:val="16"/>
                <w:szCs w:val="16"/>
              </w:rPr>
              <w:footnoteReference w:id="139"/>
            </w:r>
            <w:r w:rsidRPr="0082723D">
              <w:rPr>
                <w:rFonts w:cs="Arial"/>
                <w:color w:val="000000" w:themeColor="text1"/>
                <w:sz w:val="16"/>
                <w:szCs w:val="16"/>
              </w:rPr>
              <w:t>"</w:t>
            </w:r>
          </w:p>
        </w:tc>
        <w:tc>
          <w:tcPr>
            <w:tcW w:w="616" w:type="pct"/>
            <w:tcBorders>
              <w:top w:val="nil"/>
              <w:bottom w:val="nil"/>
              <w:right w:val="single" w:sz="4" w:space="0" w:color="auto"/>
            </w:tcBorders>
            <w:shd w:val="clear" w:color="auto" w:fill="auto"/>
            <w:tcMar>
              <w:top w:w="110" w:type="dxa"/>
            </w:tcMar>
          </w:tcPr>
          <w:p w:rsidR="001346E3" w:rsidRDefault="001346E3" w:rsidP="001363EE">
            <w:pPr>
              <w:keepNext/>
              <w:keepLines/>
              <w:jc w:val="center"/>
              <w:rPr>
                <w:rFonts w:cs="Arial"/>
                <w:b/>
                <w:bCs/>
                <w:color w:val="00B050"/>
                <w:sz w:val="16"/>
                <w:szCs w:val="16"/>
              </w:rPr>
            </w:pPr>
            <w:r w:rsidRPr="00334532">
              <w:rPr>
                <w:rFonts w:cs="Arial"/>
                <w:b/>
                <w:bCs/>
                <w:color w:val="00B050"/>
                <w:sz w:val="16"/>
                <w:szCs w:val="16"/>
              </w:rPr>
              <w:t>Fully Achieved</w:t>
            </w:r>
          </w:p>
          <w:p w:rsidR="001346E3" w:rsidRPr="00334532" w:rsidRDefault="001346E3" w:rsidP="001363EE">
            <w:pPr>
              <w:keepNext/>
              <w:keepLines/>
              <w:jc w:val="center"/>
              <w:rPr>
                <w:rFonts w:cs="Arial"/>
                <w:b/>
                <w:bCs/>
                <w:color w:val="00B050"/>
                <w:sz w:val="16"/>
                <w:szCs w:val="16"/>
              </w:rPr>
            </w:pPr>
          </w:p>
        </w:tc>
      </w:tr>
      <w:tr w:rsidR="001346E3" w:rsidRPr="007B1B92" w:rsidTr="001363EE">
        <w:trPr>
          <w:cantSplit/>
        </w:trPr>
        <w:tc>
          <w:tcPr>
            <w:tcW w:w="859" w:type="pct"/>
            <w:tcBorders>
              <w:top w:val="nil"/>
              <w:left w:val="single" w:sz="4" w:space="0" w:color="auto"/>
              <w:bottom w:val="single" w:sz="4" w:space="0" w:color="auto"/>
            </w:tcBorders>
            <w:shd w:val="clear" w:color="auto" w:fill="auto"/>
          </w:tcPr>
          <w:p w:rsidR="001346E3" w:rsidRDefault="001346E3" w:rsidP="001363EE">
            <w:pPr>
              <w:ind w:leftChars="-11" w:left="-22"/>
              <w:rPr>
                <w:rFonts w:cs="Arial"/>
                <w:color w:val="000000" w:themeColor="text1"/>
                <w:sz w:val="16"/>
                <w:szCs w:val="16"/>
              </w:rPr>
            </w:pPr>
            <w:r w:rsidRPr="0092581A">
              <w:rPr>
                <w:rFonts w:cs="Arial"/>
                <w:color w:val="000000" w:themeColor="text1"/>
                <w:sz w:val="16"/>
                <w:szCs w:val="16"/>
              </w:rPr>
              <w:t>Comprehensive and integrated communication technologies easily accessible to staff</w:t>
            </w:r>
          </w:p>
        </w:tc>
        <w:tc>
          <w:tcPr>
            <w:tcW w:w="1254" w:type="pct"/>
            <w:gridSpan w:val="2"/>
            <w:tcBorders>
              <w:top w:val="nil"/>
              <w:bottom w:val="single" w:sz="4" w:space="0" w:color="auto"/>
            </w:tcBorders>
            <w:shd w:val="clear" w:color="auto" w:fill="auto"/>
          </w:tcPr>
          <w:p w:rsidR="001346E3" w:rsidRDefault="001346E3" w:rsidP="001363EE">
            <w:pPr>
              <w:rPr>
                <w:i/>
                <w:color w:val="002060"/>
                <w:sz w:val="16"/>
                <w:szCs w:val="16"/>
              </w:rPr>
            </w:pPr>
            <w:r>
              <w:rPr>
                <w:rFonts w:cs="Arial"/>
                <w:color w:val="000000" w:themeColor="text1"/>
                <w:sz w:val="16"/>
                <w:szCs w:val="16"/>
              </w:rPr>
              <w:t>Available on desktops (and laptops)</w:t>
            </w:r>
          </w:p>
        </w:tc>
        <w:tc>
          <w:tcPr>
            <w:tcW w:w="810" w:type="pct"/>
            <w:tcBorders>
              <w:top w:val="nil"/>
              <w:bottom w:val="single" w:sz="4" w:space="0" w:color="auto"/>
            </w:tcBorders>
            <w:shd w:val="clear" w:color="auto" w:fill="auto"/>
            <w:tcMar>
              <w:top w:w="110" w:type="dxa"/>
            </w:tcMar>
          </w:tcPr>
          <w:p w:rsidR="001346E3" w:rsidRPr="0092581A" w:rsidRDefault="001346E3" w:rsidP="001363EE">
            <w:pPr>
              <w:ind w:leftChars="-11" w:left="-22"/>
              <w:rPr>
                <w:rFonts w:cs="Arial"/>
                <w:color w:val="000000" w:themeColor="text1"/>
                <w:sz w:val="16"/>
                <w:szCs w:val="16"/>
              </w:rPr>
            </w:pPr>
            <w:r>
              <w:rPr>
                <w:rFonts w:cs="Arial"/>
                <w:color w:val="000000" w:themeColor="text1"/>
                <w:sz w:val="16"/>
                <w:szCs w:val="16"/>
              </w:rPr>
              <w:t>Available on other mobile devices</w:t>
            </w:r>
          </w:p>
        </w:tc>
        <w:tc>
          <w:tcPr>
            <w:tcW w:w="1461" w:type="pct"/>
            <w:gridSpan w:val="2"/>
            <w:tcBorders>
              <w:top w:val="nil"/>
              <w:bottom w:val="single" w:sz="4" w:space="0" w:color="auto"/>
            </w:tcBorders>
            <w:shd w:val="clear" w:color="auto" w:fill="FFFFFF"/>
            <w:tcMar>
              <w:top w:w="110" w:type="dxa"/>
            </w:tcMar>
          </w:tcPr>
          <w:p w:rsidR="001346E3" w:rsidRPr="000D4E00" w:rsidDel="00447A37" w:rsidRDefault="001346E3" w:rsidP="001363EE">
            <w:pPr>
              <w:rPr>
                <w:rFonts w:cs="Arial"/>
                <w:color w:val="000000" w:themeColor="text1"/>
                <w:sz w:val="16"/>
                <w:szCs w:val="16"/>
              </w:rPr>
            </w:pPr>
            <w:r w:rsidRPr="000D4E00">
              <w:rPr>
                <w:rFonts w:cs="Arial" w:hint="eastAsia"/>
                <w:color w:val="000000" w:themeColor="text1"/>
                <w:sz w:val="16"/>
                <w:szCs w:val="16"/>
              </w:rPr>
              <w:t xml:space="preserve">Access to Intranet and Corporate voice-mail via WIPO mobiles; Direct voice and video communications between External Offices and WIPO HQ; Fixed phone dialing from desktop; Capability to send and receive faxes via email. </w:t>
            </w:r>
          </w:p>
        </w:tc>
        <w:tc>
          <w:tcPr>
            <w:tcW w:w="616" w:type="pct"/>
            <w:tcBorders>
              <w:top w:val="nil"/>
              <w:bottom w:val="single" w:sz="4" w:space="0" w:color="auto"/>
              <w:right w:val="single" w:sz="4" w:space="0" w:color="auto"/>
            </w:tcBorders>
            <w:shd w:val="clear" w:color="auto" w:fill="auto"/>
            <w:tcMar>
              <w:top w:w="110" w:type="dxa"/>
            </w:tcMar>
          </w:tcPr>
          <w:p w:rsidR="001346E3" w:rsidRDefault="001346E3" w:rsidP="001363EE">
            <w:pPr>
              <w:keepNext/>
              <w:keepLines/>
              <w:jc w:val="center"/>
              <w:rPr>
                <w:rFonts w:cs="Arial"/>
                <w:b/>
                <w:bCs/>
                <w:color w:val="00B050"/>
                <w:sz w:val="16"/>
                <w:szCs w:val="16"/>
              </w:rPr>
            </w:pPr>
            <w:r w:rsidRPr="00334532">
              <w:rPr>
                <w:rFonts w:cs="Arial"/>
                <w:b/>
                <w:bCs/>
                <w:color w:val="00B050"/>
                <w:sz w:val="16"/>
                <w:szCs w:val="16"/>
              </w:rPr>
              <w:t>Fully Achieved</w:t>
            </w:r>
          </w:p>
          <w:p w:rsidR="001346E3" w:rsidRPr="00334532" w:rsidRDefault="001346E3" w:rsidP="001363EE">
            <w:pPr>
              <w:keepNext/>
              <w:keepLines/>
              <w:jc w:val="center"/>
              <w:rPr>
                <w:rFonts w:cs="Arial"/>
                <w:b/>
                <w:bCs/>
                <w:color w:val="00B050"/>
                <w:sz w:val="16"/>
                <w:szCs w:val="16"/>
              </w:rPr>
            </w:pPr>
          </w:p>
        </w:tc>
      </w:tr>
      <w:tr w:rsidR="001346E3" w:rsidRPr="007B1B92" w:rsidTr="001363EE">
        <w:trPr>
          <w:cantSplit/>
        </w:trPr>
        <w:tc>
          <w:tcPr>
            <w:tcW w:w="5000" w:type="pct"/>
            <w:gridSpan w:val="7"/>
            <w:tcBorders>
              <w:top w:val="single" w:sz="4" w:space="0" w:color="auto"/>
              <w:bottom w:val="single" w:sz="4" w:space="0" w:color="auto"/>
            </w:tcBorders>
            <w:shd w:val="clear" w:color="auto" w:fill="C6D9F1" w:themeFill="text2" w:themeFillTint="33"/>
            <w:vAlign w:val="center"/>
          </w:tcPr>
          <w:p w:rsidR="001346E3" w:rsidRPr="007B1B92" w:rsidRDefault="001346E3" w:rsidP="001363EE">
            <w:pPr>
              <w:keepNext/>
              <w:keepLines/>
              <w:tabs>
                <w:tab w:val="left" w:pos="1452"/>
              </w:tabs>
              <w:spacing w:before="120" w:after="120"/>
              <w:rPr>
                <w:rFonts w:cs="Arial"/>
                <w:b/>
                <w:bCs/>
                <w:color w:val="000000" w:themeColor="text1"/>
                <w:sz w:val="16"/>
                <w:szCs w:val="16"/>
              </w:rPr>
            </w:pPr>
            <w:r w:rsidRPr="007B1B92">
              <w:rPr>
                <w:rFonts w:cs="Arial"/>
                <w:b/>
                <w:bCs/>
                <w:color w:val="000000" w:themeColor="text1"/>
                <w:sz w:val="16"/>
                <w:szCs w:val="16"/>
              </w:rPr>
              <w:t>Expected Result:</w:t>
            </w:r>
            <w:r w:rsidRPr="007B1B92">
              <w:rPr>
                <w:rFonts w:cs="Arial"/>
                <w:b/>
                <w:bCs/>
                <w:color w:val="000000" w:themeColor="text1"/>
                <w:sz w:val="16"/>
                <w:szCs w:val="16"/>
              </w:rPr>
              <w:tab/>
            </w:r>
            <w:r w:rsidRPr="00367545">
              <w:rPr>
                <w:rFonts w:cs="Arial"/>
                <w:color w:val="000000" w:themeColor="text1"/>
                <w:sz w:val="16"/>
                <w:szCs w:val="16"/>
              </w:rPr>
              <w:t>IX.4 An environmentally and socially responsible Organization in which WIPO staff, delegates, visitors and information and physical assets are safe and secure</w:t>
            </w:r>
          </w:p>
        </w:tc>
      </w:tr>
      <w:tr w:rsidR="001346E3" w:rsidRPr="007B1B92" w:rsidTr="001363EE">
        <w:trPr>
          <w:cantSplit/>
        </w:trPr>
        <w:tc>
          <w:tcPr>
            <w:tcW w:w="1118" w:type="pct"/>
            <w:gridSpan w:val="2"/>
            <w:tcBorders>
              <w:top w:val="single" w:sz="4" w:space="0" w:color="auto"/>
            </w:tcBorders>
            <w:shd w:val="clear" w:color="auto" w:fill="auto"/>
            <w:vAlign w:val="center"/>
          </w:tcPr>
          <w:p w:rsidR="001346E3" w:rsidRPr="007B1B92" w:rsidRDefault="001346E3" w:rsidP="001363EE">
            <w:pPr>
              <w:rPr>
                <w:rFonts w:cs="Arial"/>
                <w:color w:val="000000" w:themeColor="text1"/>
                <w:sz w:val="16"/>
                <w:szCs w:val="16"/>
              </w:rPr>
            </w:pPr>
            <w:r w:rsidRPr="007B1B92">
              <w:rPr>
                <w:rFonts w:cs="Arial"/>
                <w:b/>
                <w:bCs/>
                <w:color w:val="000000" w:themeColor="text1"/>
                <w:sz w:val="16"/>
                <w:szCs w:val="16"/>
              </w:rPr>
              <w:t>Performance Indicators</w:t>
            </w:r>
          </w:p>
        </w:tc>
        <w:tc>
          <w:tcPr>
            <w:tcW w:w="995" w:type="pct"/>
            <w:tcBorders>
              <w:top w:val="single" w:sz="4" w:space="0" w:color="auto"/>
            </w:tcBorders>
            <w:shd w:val="clear" w:color="auto" w:fill="auto"/>
            <w:vAlign w:val="center"/>
          </w:tcPr>
          <w:p w:rsidR="001346E3" w:rsidRPr="007B1B92" w:rsidRDefault="001346E3" w:rsidP="001363EE">
            <w:pPr>
              <w:rPr>
                <w:rFonts w:cs="Arial"/>
                <w:b/>
                <w:bCs/>
                <w:color w:val="000000" w:themeColor="text1"/>
                <w:sz w:val="16"/>
                <w:szCs w:val="16"/>
              </w:rPr>
            </w:pPr>
            <w:r w:rsidRPr="007B1B92">
              <w:rPr>
                <w:rFonts w:cs="Arial"/>
                <w:b/>
                <w:bCs/>
                <w:sz w:val="16"/>
                <w:szCs w:val="16"/>
              </w:rPr>
              <w:t>Baselines</w:t>
            </w:r>
          </w:p>
        </w:tc>
        <w:tc>
          <w:tcPr>
            <w:tcW w:w="816" w:type="pct"/>
            <w:gridSpan w:val="2"/>
            <w:tcBorders>
              <w:top w:val="single" w:sz="4" w:space="0" w:color="auto"/>
            </w:tcBorders>
            <w:shd w:val="clear" w:color="auto" w:fill="auto"/>
            <w:tcMar>
              <w:top w:w="110" w:type="dxa"/>
            </w:tcMar>
            <w:vAlign w:val="center"/>
          </w:tcPr>
          <w:p w:rsidR="001346E3" w:rsidRPr="007B1B92" w:rsidRDefault="001346E3" w:rsidP="001363EE">
            <w:pPr>
              <w:rPr>
                <w:rFonts w:cs="Arial"/>
                <w:b/>
                <w:color w:val="000000" w:themeColor="text1"/>
                <w:sz w:val="16"/>
                <w:szCs w:val="16"/>
              </w:rPr>
            </w:pPr>
            <w:r w:rsidRPr="007B1B92">
              <w:rPr>
                <w:rFonts w:cs="Arial"/>
                <w:b/>
                <w:sz w:val="16"/>
                <w:szCs w:val="16"/>
              </w:rPr>
              <w:t>Targets</w:t>
            </w:r>
          </w:p>
        </w:tc>
        <w:tc>
          <w:tcPr>
            <w:tcW w:w="1457" w:type="pct"/>
            <w:tcBorders>
              <w:top w:val="single" w:sz="4" w:space="0" w:color="auto"/>
            </w:tcBorders>
            <w:shd w:val="clear" w:color="auto" w:fill="FFFFFF"/>
            <w:tcMar>
              <w:top w:w="110" w:type="dxa"/>
            </w:tcMar>
            <w:vAlign w:val="center"/>
          </w:tcPr>
          <w:p w:rsidR="001346E3" w:rsidRPr="007B1B92" w:rsidRDefault="001346E3" w:rsidP="001363EE">
            <w:pPr>
              <w:rPr>
                <w:rFonts w:cs="Arial"/>
                <w:color w:val="000000" w:themeColor="text1"/>
                <w:sz w:val="16"/>
                <w:szCs w:val="16"/>
              </w:rPr>
            </w:pPr>
            <w:r w:rsidRPr="007B1B92">
              <w:rPr>
                <w:rFonts w:cs="Arial"/>
                <w:b/>
                <w:bCs/>
                <w:color w:val="000000" w:themeColor="text1"/>
                <w:sz w:val="16"/>
                <w:szCs w:val="16"/>
              </w:rPr>
              <w:t>Performance Data</w:t>
            </w:r>
          </w:p>
        </w:tc>
        <w:tc>
          <w:tcPr>
            <w:tcW w:w="614" w:type="pct"/>
            <w:tcBorders>
              <w:top w:val="single" w:sz="4" w:space="0" w:color="auto"/>
            </w:tcBorders>
            <w:shd w:val="clear" w:color="auto" w:fill="auto"/>
            <w:tcMar>
              <w:top w:w="110" w:type="dxa"/>
            </w:tcMar>
            <w:vAlign w:val="center"/>
          </w:tcPr>
          <w:p w:rsidR="001346E3" w:rsidRPr="007B1B92" w:rsidRDefault="001346E3" w:rsidP="001363EE">
            <w:pPr>
              <w:keepNext/>
              <w:keepLines/>
              <w:jc w:val="center"/>
              <w:rPr>
                <w:rFonts w:cs="Arial"/>
                <w:b/>
                <w:bCs/>
                <w:color w:val="000000" w:themeColor="text1"/>
                <w:sz w:val="16"/>
                <w:szCs w:val="16"/>
              </w:rPr>
            </w:pPr>
            <w:r w:rsidRPr="007B1B92">
              <w:rPr>
                <w:rFonts w:cs="Arial"/>
                <w:b/>
                <w:bCs/>
                <w:color w:val="000000" w:themeColor="text1"/>
                <w:sz w:val="16"/>
                <w:szCs w:val="16"/>
              </w:rPr>
              <w:t>TLS</w:t>
            </w:r>
          </w:p>
        </w:tc>
      </w:tr>
      <w:tr w:rsidR="001346E3" w:rsidRPr="0082723D" w:rsidTr="001363EE">
        <w:trPr>
          <w:cantSplit/>
        </w:trPr>
        <w:tc>
          <w:tcPr>
            <w:tcW w:w="1118" w:type="pct"/>
            <w:gridSpan w:val="2"/>
            <w:shd w:val="clear" w:color="auto" w:fill="auto"/>
          </w:tcPr>
          <w:p w:rsidR="001346E3" w:rsidRPr="0082723D" w:rsidRDefault="001346E3" w:rsidP="001363EE">
            <w:pPr>
              <w:ind w:leftChars="-11" w:left="-22"/>
              <w:rPr>
                <w:rFonts w:cs="Arial"/>
                <w:color w:val="000000" w:themeColor="text1"/>
                <w:sz w:val="16"/>
                <w:szCs w:val="16"/>
              </w:rPr>
            </w:pPr>
            <w:r w:rsidRPr="0082723D">
              <w:rPr>
                <w:rFonts w:cs="Arial"/>
                <w:color w:val="000000" w:themeColor="text1"/>
                <w:sz w:val="16"/>
                <w:szCs w:val="16"/>
              </w:rPr>
              <w:t>Information security is reinforced  to protect against increasing attacks on the Internet</w:t>
            </w:r>
          </w:p>
        </w:tc>
        <w:tc>
          <w:tcPr>
            <w:tcW w:w="995" w:type="pct"/>
            <w:shd w:val="clear" w:color="auto" w:fill="auto"/>
          </w:tcPr>
          <w:p w:rsidR="001346E3" w:rsidRPr="0082723D" w:rsidRDefault="001346E3" w:rsidP="001363EE">
            <w:pPr>
              <w:ind w:leftChars="-11" w:left="-22"/>
              <w:rPr>
                <w:rFonts w:cs="Arial"/>
                <w:color w:val="000000" w:themeColor="text1"/>
                <w:sz w:val="16"/>
                <w:szCs w:val="16"/>
              </w:rPr>
            </w:pPr>
            <w:r w:rsidRPr="0082723D">
              <w:rPr>
                <w:rFonts w:cs="Arial"/>
                <w:color w:val="000000" w:themeColor="text1"/>
                <w:sz w:val="16"/>
                <w:szCs w:val="16"/>
              </w:rPr>
              <w:t>No major breaches to WIPO information systems</w:t>
            </w:r>
          </w:p>
        </w:tc>
        <w:tc>
          <w:tcPr>
            <w:tcW w:w="816" w:type="pct"/>
            <w:gridSpan w:val="2"/>
            <w:shd w:val="clear" w:color="auto" w:fill="auto"/>
            <w:tcMar>
              <w:top w:w="110" w:type="dxa"/>
            </w:tcMar>
          </w:tcPr>
          <w:p w:rsidR="001346E3" w:rsidRPr="0082723D" w:rsidRDefault="001346E3" w:rsidP="001363EE">
            <w:pPr>
              <w:ind w:leftChars="14" w:left="28"/>
              <w:rPr>
                <w:rFonts w:cs="Arial"/>
                <w:color w:val="000000" w:themeColor="text1"/>
                <w:sz w:val="16"/>
                <w:szCs w:val="16"/>
              </w:rPr>
            </w:pPr>
            <w:r w:rsidRPr="0082723D">
              <w:rPr>
                <w:rFonts w:cs="Arial"/>
                <w:color w:val="000000" w:themeColor="text1"/>
                <w:sz w:val="16"/>
                <w:szCs w:val="16"/>
              </w:rPr>
              <w:t>No major breaches to WIPO information systems</w:t>
            </w:r>
          </w:p>
        </w:tc>
        <w:tc>
          <w:tcPr>
            <w:tcW w:w="1457" w:type="pct"/>
            <w:shd w:val="clear" w:color="auto" w:fill="FFFFFF"/>
            <w:tcMar>
              <w:top w:w="110" w:type="dxa"/>
            </w:tcMar>
          </w:tcPr>
          <w:p w:rsidR="001346E3" w:rsidRPr="00777EA9" w:rsidRDefault="001346E3" w:rsidP="001363EE">
            <w:pPr>
              <w:rPr>
                <w:rFonts w:cs="Arial"/>
                <w:color w:val="000000" w:themeColor="text1"/>
                <w:sz w:val="16"/>
                <w:szCs w:val="16"/>
              </w:rPr>
            </w:pPr>
            <w:r w:rsidRPr="00777EA9">
              <w:rPr>
                <w:rFonts w:cs="Arial"/>
                <w:color w:val="000000" w:themeColor="text1"/>
                <w:sz w:val="16"/>
                <w:szCs w:val="16"/>
              </w:rPr>
              <w:t xml:space="preserve">No major breaches </w:t>
            </w:r>
            <w:r>
              <w:rPr>
                <w:rFonts w:cs="Arial"/>
                <w:color w:val="000000" w:themeColor="text1"/>
                <w:sz w:val="16"/>
                <w:szCs w:val="16"/>
              </w:rPr>
              <w:t xml:space="preserve">to WIPO information systems </w:t>
            </w:r>
            <w:r w:rsidRPr="00777EA9">
              <w:rPr>
                <w:rFonts w:cs="Arial"/>
                <w:color w:val="000000" w:themeColor="text1"/>
                <w:sz w:val="16"/>
                <w:szCs w:val="16"/>
              </w:rPr>
              <w:t>during the 2014/15 biennium</w:t>
            </w:r>
          </w:p>
        </w:tc>
        <w:tc>
          <w:tcPr>
            <w:tcW w:w="614" w:type="pct"/>
            <w:shd w:val="clear" w:color="auto" w:fill="auto"/>
            <w:tcMar>
              <w:top w:w="110" w:type="dxa"/>
            </w:tcMar>
          </w:tcPr>
          <w:p w:rsidR="001346E3" w:rsidRDefault="001346E3" w:rsidP="001363EE">
            <w:pPr>
              <w:keepNext/>
              <w:keepLines/>
              <w:jc w:val="center"/>
              <w:rPr>
                <w:rFonts w:cs="Arial"/>
                <w:b/>
                <w:bCs/>
                <w:color w:val="00B050"/>
                <w:sz w:val="16"/>
                <w:szCs w:val="16"/>
              </w:rPr>
            </w:pPr>
            <w:r w:rsidRPr="00334532">
              <w:rPr>
                <w:rFonts w:cs="Arial"/>
                <w:b/>
                <w:bCs/>
                <w:color w:val="00B050"/>
                <w:sz w:val="16"/>
                <w:szCs w:val="16"/>
              </w:rPr>
              <w:t>Fully Achieved</w:t>
            </w:r>
          </w:p>
          <w:p w:rsidR="001346E3" w:rsidRPr="00777EA9" w:rsidRDefault="001346E3" w:rsidP="001363EE">
            <w:pPr>
              <w:keepNext/>
              <w:keepLines/>
              <w:jc w:val="center"/>
              <w:rPr>
                <w:rFonts w:cs="Arial"/>
                <w:bCs/>
                <w:color w:val="000000" w:themeColor="text1"/>
                <w:sz w:val="16"/>
                <w:szCs w:val="16"/>
              </w:rPr>
            </w:pPr>
          </w:p>
        </w:tc>
      </w:tr>
      <w:tr w:rsidR="001346E3" w:rsidRPr="0082723D" w:rsidTr="001363EE">
        <w:trPr>
          <w:cantSplit/>
        </w:trPr>
        <w:tc>
          <w:tcPr>
            <w:tcW w:w="1118" w:type="pct"/>
            <w:gridSpan w:val="2"/>
            <w:shd w:val="clear" w:color="auto" w:fill="auto"/>
          </w:tcPr>
          <w:p w:rsidR="001346E3" w:rsidRPr="0082723D" w:rsidRDefault="001346E3" w:rsidP="001363EE">
            <w:pPr>
              <w:ind w:leftChars="-11" w:left="-22"/>
              <w:rPr>
                <w:rFonts w:cs="Arial"/>
                <w:color w:val="000000" w:themeColor="text1"/>
                <w:sz w:val="16"/>
                <w:szCs w:val="16"/>
              </w:rPr>
            </w:pPr>
            <w:r w:rsidRPr="0082723D">
              <w:rPr>
                <w:rFonts w:cs="Arial"/>
                <w:color w:val="000000" w:themeColor="text1"/>
                <w:sz w:val="16"/>
                <w:szCs w:val="16"/>
              </w:rPr>
              <w:t>Status of ISO 27001 Certification and Information Risk management processes</w:t>
            </w:r>
          </w:p>
        </w:tc>
        <w:tc>
          <w:tcPr>
            <w:tcW w:w="995" w:type="pct"/>
            <w:shd w:val="clear" w:color="auto" w:fill="auto"/>
          </w:tcPr>
          <w:p w:rsidR="001346E3" w:rsidRPr="0082723D" w:rsidRDefault="001346E3" w:rsidP="001363EE">
            <w:pPr>
              <w:rPr>
                <w:color w:val="002060"/>
                <w:sz w:val="16"/>
                <w:szCs w:val="16"/>
              </w:rPr>
            </w:pPr>
            <w:r w:rsidRPr="0082723D">
              <w:rPr>
                <w:i/>
                <w:color w:val="002060"/>
                <w:sz w:val="16"/>
                <w:szCs w:val="16"/>
              </w:rPr>
              <w:t>Updated Baseline end 2013:</w:t>
            </w:r>
            <w:r w:rsidRPr="0082723D">
              <w:rPr>
                <w:color w:val="002060"/>
                <w:sz w:val="16"/>
                <w:szCs w:val="16"/>
              </w:rPr>
              <w:t xml:space="preserve"> </w:t>
            </w:r>
            <w:r>
              <w:rPr>
                <w:color w:val="002060"/>
                <w:sz w:val="16"/>
                <w:szCs w:val="16"/>
              </w:rPr>
              <w:t xml:space="preserve"> </w:t>
            </w:r>
          </w:p>
          <w:p w:rsidR="001346E3" w:rsidRPr="0082723D" w:rsidRDefault="001346E3" w:rsidP="001363EE">
            <w:pPr>
              <w:rPr>
                <w:color w:val="002060"/>
                <w:sz w:val="16"/>
                <w:szCs w:val="16"/>
              </w:rPr>
            </w:pPr>
            <w:r w:rsidRPr="0082723D">
              <w:rPr>
                <w:color w:val="002060"/>
                <w:sz w:val="16"/>
                <w:szCs w:val="16"/>
              </w:rPr>
              <w:t>156 outstanding mitigation activities</w:t>
            </w:r>
          </w:p>
          <w:p w:rsidR="001346E3" w:rsidRPr="0082723D" w:rsidRDefault="001346E3" w:rsidP="001363EE">
            <w:pPr>
              <w:ind w:leftChars="-11" w:left="-22"/>
              <w:rPr>
                <w:color w:val="002060"/>
                <w:sz w:val="16"/>
                <w:szCs w:val="16"/>
              </w:rPr>
            </w:pPr>
          </w:p>
          <w:p w:rsidR="001346E3" w:rsidRDefault="001346E3" w:rsidP="001363EE">
            <w:pPr>
              <w:ind w:leftChars="-11" w:left="-22"/>
              <w:rPr>
                <w:color w:val="002060"/>
                <w:sz w:val="16"/>
                <w:szCs w:val="16"/>
              </w:rPr>
            </w:pPr>
            <w:r w:rsidRPr="0082723D">
              <w:rPr>
                <w:color w:val="002060"/>
                <w:sz w:val="16"/>
                <w:szCs w:val="16"/>
              </w:rPr>
              <w:t>The Information Security Risk Registry was updated biannually and was reviewed in detail in the context of the ISO 27001 certification of the PCT operations</w:t>
            </w:r>
            <w:r>
              <w:rPr>
                <w:color w:val="002060"/>
                <w:sz w:val="16"/>
                <w:szCs w:val="16"/>
              </w:rPr>
              <w:t>.</w:t>
            </w:r>
            <w:r w:rsidRPr="0082723D">
              <w:rPr>
                <w:color w:val="002060"/>
                <w:sz w:val="16"/>
                <w:szCs w:val="16"/>
              </w:rPr>
              <w:t xml:space="preserve"> </w:t>
            </w:r>
          </w:p>
          <w:p w:rsidR="001346E3" w:rsidRDefault="001346E3" w:rsidP="001363EE">
            <w:pPr>
              <w:ind w:leftChars="-11" w:left="-22"/>
              <w:rPr>
                <w:color w:val="002060"/>
                <w:sz w:val="16"/>
                <w:szCs w:val="16"/>
              </w:rPr>
            </w:pPr>
          </w:p>
          <w:p w:rsidR="001346E3" w:rsidRPr="0082723D" w:rsidRDefault="001346E3" w:rsidP="001363EE">
            <w:pPr>
              <w:ind w:leftChars="-11" w:left="-22"/>
              <w:rPr>
                <w:color w:val="002060"/>
                <w:sz w:val="16"/>
                <w:szCs w:val="16"/>
              </w:rPr>
            </w:pPr>
            <w:r w:rsidRPr="0082723D">
              <w:rPr>
                <w:color w:val="002060"/>
                <w:sz w:val="16"/>
                <w:szCs w:val="16"/>
              </w:rPr>
              <w:t>PCT certified to ISO27001:2005 (October 2013);</w:t>
            </w:r>
          </w:p>
          <w:p w:rsidR="001346E3" w:rsidRPr="0082723D" w:rsidRDefault="001346E3" w:rsidP="001363EE">
            <w:pPr>
              <w:ind w:leftChars="-11" w:left="-22"/>
              <w:rPr>
                <w:color w:val="002060"/>
                <w:sz w:val="16"/>
                <w:szCs w:val="16"/>
              </w:rPr>
            </w:pPr>
          </w:p>
          <w:p w:rsidR="001346E3" w:rsidRPr="0082723D" w:rsidRDefault="001346E3" w:rsidP="001363EE">
            <w:pPr>
              <w:ind w:leftChars="-11" w:left="-22"/>
              <w:rPr>
                <w:rFonts w:cs="Arial"/>
                <w:i/>
                <w:sz w:val="16"/>
                <w:szCs w:val="16"/>
              </w:rPr>
            </w:pPr>
            <w:r w:rsidRPr="0082723D">
              <w:rPr>
                <w:rFonts w:cs="Arial"/>
                <w:i/>
                <w:sz w:val="16"/>
                <w:szCs w:val="16"/>
              </w:rPr>
              <w:t>Original Baseline P&amp;B 2014/15:</w:t>
            </w:r>
            <w:r>
              <w:rPr>
                <w:rFonts w:cs="Arial"/>
                <w:color w:val="000000" w:themeColor="text1"/>
                <w:sz w:val="16"/>
                <w:szCs w:val="16"/>
              </w:rPr>
              <w:t xml:space="preserve">  </w:t>
            </w:r>
          </w:p>
          <w:p w:rsidR="001346E3" w:rsidRPr="0082723D" w:rsidRDefault="001346E3" w:rsidP="001363EE">
            <w:pPr>
              <w:ind w:leftChars="-11" w:left="-22"/>
              <w:rPr>
                <w:rFonts w:cs="Arial"/>
                <w:color w:val="000000" w:themeColor="text1"/>
                <w:sz w:val="16"/>
                <w:szCs w:val="16"/>
              </w:rPr>
            </w:pPr>
            <w:r w:rsidRPr="0082723D">
              <w:rPr>
                <w:rFonts w:cs="Arial"/>
                <w:color w:val="000000" w:themeColor="text1"/>
                <w:sz w:val="16"/>
                <w:szCs w:val="16"/>
              </w:rPr>
              <w:t>No. of outstanding risk mitigation activities at commencement of biennium; PCT Section ISO 27001 certified</w:t>
            </w:r>
          </w:p>
        </w:tc>
        <w:tc>
          <w:tcPr>
            <w:tcW w:w="816" w:type="pct"/>
            <w:gridSpan w:val="2"/>
            <w:shd w:val="clear" w:color="auto" w:fill="auto"/>
            <w:tcMar>
              <w:top w:w="110" w:type="dxa"/>
            </w:tcMar>
          </w:tcPr>
          <w:p w:rsidR="001346E3" w:rsidRDefault="001346E3" w:rsidP="001363EE">
            <w:pPr>
              <w:rPr>
                <w:rFonts w:cs="Arial"/>
                <w:color w:val="000000" w:themeColor="text1"/>
                <w:sz w:val="16"/>
                <w:szCs w:val="16"/>
              </w:rPr>
            </w:pPr>
            <w:r w:rsidRPr="0082723D">
              <w:rPr>
                <w:rFonts w:cs="Arial"/>
                <w:color w:val="000000" w:themeColor="text1"/>
                <w:sz w:val="16"/>
                <w:szCs w:val="16"/>
              </w:rPr>
              <w:t>90% of baseline resolved within biennium;</w:t>
            </w:r>
            <w:r>
              <w:rPr>
                <w:rFonts w:cs="Arial"/>
                <w:color w:val="000000" w:themeColor="text1"/>
                <w:sz w:val="16"/>
                <w:szCs w:val="16"/>
              </w:rPr>
              <w:t xml:space="preserve">  </w:t>
            </w:r>
          </w:p>
          <w:p w:rsidR="001346E3" w:rsidRDefault="001346E3" w:rsidP="001363EE">
            <w:pPr>
              <w:rPr>
                <w:rFonts w:cs="Arial"/>
                <w:color w:val="000000" w:themeColor="text1"/>
                <w:sz w:val="16"/>
                <w:szCs w:val="16"/>
              </w:rPr>
            </w:pPr>
          </w:p>
          <w:p w:rsidR="001346E3" w:rsidRDefault="001346E3" w:rsidP="001363EE">
            <w:pPr>
              <w:rPr>
                <w:rFonts w:cs="Arial"/>
                <w:color w:val="000000" w:themeColor="text1"/>
                <w:sz w:val="16"/>
                <w:szCs w:val="16"/>
              </w:rPr>
            </w:pPr>
          </w:p>
          <w:p w:rsidR="001346E3" w:rsidRDefault="001346E3" w:rsidP="001363EE">
            <w:pPr>
              <w:rPr>
                <w:rFonts w:cs="Arial"/>
                <w:color w:val="000000" w:themeColor="text1"/>
                <w:sz w:val="16"/>
                <w:szCs w:val="16"/>
              </w:rPr>
            </w:pPr>
          </w:p>
          <w:p w:rsidR="001346E3" w:rsidRDefault="001346E3" w:rsidP="001363EE">
            <w:pPr>
              <w:rPr>
                <w:rFonts w:cs="Arial"/>
                <w:color w:val="000000" w:themeColor="text1"/>
                <w:sz w:val="16"/>
                <w:szCs w:val="16"/>
              </w:rPr>
            </w:pPr>
          </w:p>
          <w:p w:rsidR="001346E3" w:rsidRDefault="001346E3" w:rsidP="001363EE">
            <w:pPr>
              <w:rPr>
                <w:rFonts w:cs="Arial"/>
                <w:color w:val="000000" w:themeColor="text1"/>
                <w:sz w:val="16"/>
                <w:szCs w:val="16"/>
              </w:rPr>
            </w:pPr>
          </w:p>
          <w:p w:rsidR="001346E3" w:rsidRDefault="001346E3" w:rsidP="001363EE">
            <w:pPr>
              <w:rPr>
                <w:rFonts w:cs="Arial"/>
                <w:color w:val="000000" w:themeColor="text1"/>
                <w:sz w:val="16"/>
                <w:szCs w:val="16"/>
              </w:rPr>
            </w:pPr>
          </w:p>
          <w:p w:rsidR="001346E3" w:rsidRDefault="001346E3" w:rsidP="001363EE">
            <w:pPr>
              <w:rPr>
                <w:rFonts w:cs="Arial"/>
                <w:color w:val="000000" w:themeColor="text1"/>
                <w:sz w:val="16"/>
                <w:szCs w:val="16"/>
              </w:rPr>
            </w:pPr>
          </w:p>
          <w:p w:rsidR="001346E3" w:rsidRDefault="001346E3" w:rsidP="001363EE">
            <w:pPr>
              <w:rPr>
                <w:rFonts w:cs="Arial"/>
                <w:color w:val="000000" w:themeColor="text1"/>
                <w:sz w:val="16"/>
                <w:szCs w:val="16"/>
              </w:rPr>
            </w:pPr>
            <w:r w:rsidRPr="0082723D">
              <w:rPr>
                <w:rFonts w:cs="Arial"/>
                <w:color w:val="000000" w:themeColor="text1"/>
                <w:sz w:val="16"/>
                <w:szCs w:val="16"/>
              </w:rPr>
              <w:t xml:space="preserve">60% of new risks mitigated within 3 months of identification;  organizational units certified, as needed; </w:t>
            </w:r>
          </w:p>
          <w:p w:rsidR="001346E3" w:rsidRDefault="001346E3" w:rsidP="001363EE">
            <w:pPr>
              <w:ind w:leftChars="-11" w:left="-22"/>
              <w:rPr>
                <w:rFonts w:cs="Arial"/>
                <w:color w:val="000000" w:themeColor="text1"/>
                <w:sz w:val="16"/>
                <w:szCs w:val="16"/>
              </w:rPr>
            </w:pPr>
          </w:p>
          <w:p w:rsidR="001346E3" w:rsidRDefault="001346E3" w:rsidP="001363EE">
            <w:pPr>
              <w:ind w:leftChars="-11" w:left="-22"/>
              <w:rPr>
                <w:rFonts w:cs="Arial"/>
                <w:color w:val="000000" w:themeColor="text1"/>
                <w:sz w:val="16"/>
                <w:szCs w:val="16"/>
              </w:rPr>
            </w:pPr>
          </w:p>
          <w:p w:rsidR="001346E3" w:rsidRDefault="001346E3" w:rsidP="001363EE">
            <w:pPr>
              <w:ind w:leftChars="-11" w:left="-22"/>
              <w:rPr>
                <w:rFonts w:cs="Arial"/>
                <w:color w:val="000000" w:themeColor="text1"/>
                <w:sz w:val="16"/>
                <w:szCs w:val="16"/>
              </w:rPr>
            </w:pPr>
          </w:p>
          <w:p w:rsidR="001346E3" w:rsidRDefault="001346E3" w:rsidP="001363EE">
            <w:pPr>
              <w:ind w:leftChars="-11" w:left="-22"/>
              <w:rPr>
                <w:rFonts w:cs="Arial"/>
                <w:color w:val="000000" w:themeColor="text1"/>
                <w:sz w:val="16"/>
                <w:szCs w:val="16"/>
              </w:rPr>
            </w:pPr>
          </w:p>
          <w:p w:rsidR="001346E3" w:rsidRDefault="001346E3" w:rsidP="001363EE">
            <w:pPr>
              <w:ind w:leftChars="-11" w:left="-22"/>
              <w:rPr>
                <w:rFonts w:cs="Arial"/>
                <w:color w:val="000000" w:themeColor="text1"/>
                <w:sz w:val="16"/>
                <w:szCs w:val="16"/>
              </w:rPr>
            </w:pPr>
          </w:p>
          <w:p w:rsidR="001346E3" w:rsidRDefault="001346E3" w:rsidP="001363EE">
            <w:pPr>
              <w:ind w:leftChars="-11" w:left="-22"/>
              <w:rPr>
                <w:rFonts w:cs="Arial"/>
                <w:color w:val="000000" w:themeColor="text1"/>
                <w:sz w:val="16"/>
                <w:szCs w:val="16"/>
              </w:rPr>
            </w:pPr>
          </w:p>
          <w:p w:rsidR="001346E3" w:rsidRDefault="001346E3" w:rsidP="001363EE">
            <w:pPr>
              <w:ind w:leftChars="-11" w:left="-22"/>
              <w:rPr>
                <w:rFonts w:cs="Arial"/>
                <w:color w:val="000000" w:themeColor="text1"/>
                <w:sz w:val="16"/>
                <w:szCs w:val="16"/>
              </w:rPr>
            </w:pPr>
          </w:p>
          <w:p w:rsidR="001346E3" w:rsidRPr="0082723D" w:rsidRDefault="001346E3" w:rsidP="001363EE">
            <w:pPr>
              <w:rPr>
                <w:rFonts w:cs="Arial"/>
                <w:color w:val="000000" w:themeColor="text1"/>
                <w:sz w:val="16"/>
                <w:szCs w:val="16"/>
              </w:rPr>
            </w:pPr>
            <w:r w:rsidRPr="0082723D">
              <w:rPr>
                <w:rFonts w:cs="Arial"/>
                <w:color w:val="000000" w:themeColor="text1"/>
                <w:sz w:val="16"/>
                <w:szCs w:val="16"/>
              </w:rPr>
              <w:t>PCT certification maintained</w:t>
            </w:r>
          </w:p>
        </w:tc>
        <w:tc>
          <w:tcPr>
            <w:tcW w:w="1457" w:type="pct"/>
            <w:shd w:val="clear" w:color="auto" w:fill="FFFFFF"/>
            <w:tcMar>
              <w:top w:w="110" w:type="dxa"/>
            </w:tcMar>
          </w:tcPr>
          <w:p w:rsidR="001346E3" w:rsidRDefault="001346E3" w:rsidP="001363EE">
            <w:pPr>
              <w:rPr>
                <w:rFonts w:cs="Arial"/>
                <w:color w:val="000000" w:themeColor="text1"/>
                <w:sz w:val="16"/>
                <w:szCs w:val="16"/>
              </w:rPr>
            </w:pPr>
            <w:r w:rsidRPr="00777EA9">
              <w:rPr>
                <w:rFonts w:cs="Arial"/>
                <w:color w:val="000000" w:themeColor="text1"/>
                <w:sz w:val="16"/>
                <w:szCs w:val="16"/>
              </w:rPr>
              <w:t>100% of</w:t>
            </w:r>
            <w:r>
              <w:rPr>
                <w:rFonts w:cs="Arial"/>
                <w:color w:val="000000" w:themeColor="text1"/>
                <w:sz w:val="16"/>
                <w:szCs w:val="16"/>
              </w:rPr>
              <w:t xml:space="preserve"> outstanding</w:t>
            </w:r>
            <w:r w:rsidRPr="00777EA9">
              <w:rPr>
                <w:rFonts w:cs="Arial"/>
                <w:color w:val="000000" w:themeColor="text1"/>
                <w:sz w:val="16"/>
                <w:szCs w:val="16"/>
              </w:rPr>
              <w:t xml:space="preserve"> baseline risks </w:t>
            </w:r>
            <w:r>
              <w:rPr>
                <w:rFonts w:cs="Arial"/>
                <w:color w:val="000000" w:themeColor="text1"/>
                <w:sz w:val="16"/>
                <w:szCs w:val="16"/>
              </w:rPr>
              <w:t xml:space="preserve">were </w:t>
            </w:r>
            <w:r w:rsidRPr="00777EA9">
              <w:rPr>
                <w:rFonts w:cs="Arial"/>
                <w:color w:val="000000" w:themeColor="text1"/>
                <w:sz w:val="16"/>
                <w:szCs w:val="16"/>
              </w:rPr>
              <w:t>mitigated by end biennium</w:t>
            </w:r>
            <w:r>
              <w:rPr>
                <w:rFonts w:cs="Arial"/>
                <w:color w:val="000000" w:themeColor="text1"/>
                <w:sz w:val="16"/>
                <w:szCs w:val="16"/>
              </w:rPr>
              <w:t>:</w:t>
            </w:r>
            <w:r w:rsidRPr="00777EA9">
              <w:rPr>
                <w:rFonts w:cs="Arial"/>
                <w:color w:val="000000" w:themeColor="text1"/>
                <w:sz w:val="16"/>
                <w:szCs w:val="16"/>
              </w:rPr>
              <w:t xml:space="preserve"> </w:t>
            </w:r>
          </w:p>
          <w:p w:rsidR="001346E3" w:rsidRPr="0002022E" w:rsidRDefault="001346E3" w:rsidP="001346E3">
            <w:pPr>
              <w:pStyle w:val="ListParagraph"/>
              <w:numPr>
                <w:ilvl w:val="0"/>
                <w:numId w:val="50"/>
              </w:numPr>
              <w:rPr>
                <w:rFonts w:cs="Arial"/>
                <w:color w:val="000000" w:themeColor="text1"/>
                <w:sz w:val="16"/>
                <w:szCs w:val="16"/>
              </w:rPr>
            </w:pPr>
            <w:r w:rsidRPr="0002022E">
              <w:rPr>
                <w:rFonts w:cs="Arial"/>
                <w:color w:val="000000" w:themeColor="text1"/>
                <w:sz w:val="16"/>
                <w:szCs w:val="16"/>
              </w:rPr>
              <w:t>2014:  89% of 156 baseline risks mitigated; 17</w:t>
            </w:r>
            <w:r>
              <w:rPr>
                <w:rFonts w:cs="Arial"/>
                <w:color w:val="000000" w:themeColor="text1"/>
                <w:sz w:val="16"/>
                <w:szCs w:val="16"/>
              </w:rPr>
              <w:t> </w:t>
            </w:r>
            <w:r w:rsidRPr="0002022E">
              <w:rPr>
                <w:rFonts w:cs="Arial"/>
                <w:color w:val="000000" w:themeColor="text1"/>
                <w:sz w:val="16"/>
                <w:szCs w:val="16"/>
              </w:rPr>
              <w:t>remaining</w:t>
            </w:r>
          </w:p>
          <w:p w:rsidR="001346E3" w:rsidRPr="0002022E" w:rsidRDefault="001346E3" w:rsidP="001346E3">
            <w:pPr>
              <w:pStyle w:val="ListParagraph"/>
              <w:numPr>
                <w:ilvl w:val="0"/>
                <w:numId w:val="50"/>
              </w:numPr>
              <w:rPr>
                <w:rFonts w:cs="Arial"/>
                <w:color w:val="000000" w:themeColor="text1"/>
                <w:sz w:val="16"/>
                <w:szCs w:val="16"/>
              </w:rPr>
            </w:pPr>
            <w:r w:rsidRPr="0002022E">
              <w:rPr>
                <w:rFonts w:cs="Arial"/>
                <w:color w:val="000000" w:themeColor="text1"/>
                <w:sz w:val="16"/>
                <w:szCs w:val="16"/>
              </w:rPr>
              <w:t>2015: 100% of 23 risks (including 17 remaining baseline risks) mitigated</w:t>
            </w:r>
          </w:p>
          <w:p w:rsidR="001346E3" w:rsidRDefault="001346E3" w:rsidP="001363EE">
            <w:pPr>
              <w:rPr>
                <w:rFonts w:cs="Arial"/>
                <w:color w:val="000000" w:themeColor="text1"/>
                <w:sz w:val="16"/>
                <w:szCs w:val="16"/>
              </w:rPr>
            </w:pPr>
          </w:p>
          <w:p w:rsidR="001346E3" w:rsidRDefault="001346E3" w:rsidP="001363EE">
            <w:pPr>
              <w:rPr>
                <w:rFonts w:cs="Arial"/>
                <w:sz w:val="16"/>
                <w:szCs w:val="16"/>
              </w:rPr>
            </w:pPr>
            <w:r>
              <w:rPr>
                <w:rFonts w:cs="Arial"/>
                <w:color w:val="000000" w:themeColor="text1"/>
                <w:sz w:val="16"/>
                <w:szCs w:val="16"/>
              </w:rPr>
              <w:t xml:space="preserve">In 2014/15, </w:t>
            </w:r>
            <w:r w:rsidRPr="00CF208F">
              <w:rPr>
                <w:rFonts w:cs="Arial"/>
                <w:sz w:val="16"/>
                <w:szCs w:val="16"/>
              </w:rPr>
              <w:t xml:space="preserve">37 new ISO27001 risks </w:t>
            </w:r>
            <w:r>
              <w:rPr>
                <w:rFonts w:cs="Arial"/>
                <w:sz w:val="16"/>
                <w:szCs w:val="16"/>
              </w:rPr>
              <w:t xml:space="preserve">were </w:t>
            </w:r>
            <w:r w:rsidRPr="00CF208F">
              <w:rPr>
                <w:rFonts w:cs="Arial"/>
                <w:sz w:val="16"/>
                <w:szCs w:val="16"/>
              </w:rPr>
              <w:t xml:space="preserve">identified, </w:t>
            </w:r>
            <w:r>
              <w:rPr>
                <w:rFonts w:cs="Arial"/>
                <w:sz w:val="16"/>
                <w:szCs w:val="16"/>
              </w:rPr>
              <w:t xml:space="preserve">of which </w:t>
            </w:r>
            <w:r w:rsidRPr="00CF208F">
              <w:rPr>
                <w:rFonts w:cs="Arial"/>
                <w:sz w:val="16"/>
                <w:szCs w:val="16"/>
              </w:rPr>
              <w:t>25</w:t>
            </w:r>
            <w:r>
              <w:rPr>
                <w:rFonts w:cs="Arial"/>
                <w:sz w:val="16"/>
                <w:szCs w:val="16"/>
              </w:rPr>
              <w:t> </w:t>
            </w:r>
            <w:r w:rsidRPr="00CF208F">
              <w:rPr>
                <w:rFonts w:cs="Arial"/>
                <w:sz w:val="16"/>
                <w:szCs w:val="16"/>
              </w:rPr>
              <w:t xml:space="preserve">(67%) </w:t>
            </w:r>
            <w:r>
              <w:rPr>
                <w:rFonts w:cs="Arial"/>
                <w:sz w:val="16"/>
                <w:szCs w:val="16"/>
              </w:rPr>
              <w:t xml:space="preserve">were </w:t>
            </w:r>
            <w:r w:rsidRPr="00CF208F">
              <w:rPr>
                <w:rFonts w:cs="Arial"/>
                <w:sz w:val="16"/>
                <w:szCs w:val="16"/>
              </w:rPr>
              <w:t xml:space="preserve">remediated </w:t>
            </w:r>
            <w:r>
              <w:rPr>
                <w:rFonts w:cs="Arial"/>
                <w:sz w:val="16"/>
                <w:szCs w:val="16"/>
              </w:rPr>
              <w:t>with</w:t>
            </w:r>
            <w:r w:rsidRPr="00CF208F">
              <w:rPr>
                <w:rFonts w:cs="Arial"/>
                <w:sz w:val="16"/>
                <w:szCs w:val="16"/>
              </w:rPr>
              <w:t>in 3</w:t>
            </w:r>
            <w:r>
              <w:rPr>
                <w:rFonts w:cs="Arial"/>
                <w:sz w:val="16"/>
                <w:szCs w:val="16"/>
              </w:rPr>
              <w:t> </w:t>
            </w:r>
            <w:r w:rsidRPr="00CF208F">
              <w:rPr>
                <w:rFonts w:cs="Arial"/>
                <w:sz w:val="16"/>
                <w:szCs w:val="16"/>
              </w:rPr>
              <w:t>months of identification</w:t>
            </w:r>
          </w:p>
          <w:p w:rsidR="001346E3" w:rsidRDefault="001346E3" w:rsidP="001346E3">
            <w:pPr>
              <w:pStyle w:val="ListParagraph"/>
              <w:numPr>
                <w:ilvl w:val="0"/>
                <w:numId w:val="51"/>
              </w:numPr>
              <w:rPr>
                <w:rFonts w:cs="Arial"/>
                <w:sz w:val="16"/>
                <w:szCs w:val="16"/>
              </w:rPr>
            </w:pPr>
            <w:r>
              <w:rPr>
                <w:rFonts w:cs="Arial"/>
                <w:sz w:val="16"/>
                <w:szCs w:val="16"/>
              </w:rPr>
              <w:t>8 out of 12 (66%) in 2014</w:t>
            </w:r>
          </w:p>
          <w:p w:rsidR="001346E3" w:rsidRPr="00B863F6" w:rsidRDefault="001346E3" w:rsidP="001346E3">
            <w:pPr>
              <w:pStyle w:val="ListParagraph"/>
              <w:numPr>
                <w:ilvl w:val="0"/>
                <w:numId w:val="51"/>
              </w:numPr>
              <w:rPr>
                <w:rFonts w:cs="Arial"/>
                <w:sz w:val="16"/>
                <w:szCs w:val="16"/>
              </w:rPr>
            </w:pPr>
            <w:r>
              <w:rPr>
                <w:rFonts w:cs="Arial"/>
                <w:sz w:val="16"/>
                <w:szCs w:val="16"/>
              </w:rPr>
              <w:t>17 out of 25 (68%) in 2015</w:t>
            </w:r>
          </w:p>
          <w:p w:rsidR="001346E3" w:rsidRPr="00777EA9" w:rsidRDefault="001346E3" w:rsidP="001363EE">
            <w:pPr>
              <w:ind w:left="173"/>
              <w:rPr>
                <w:rFonts w:cs="Arial"/>
                <w:color w:val="000000" w:themeColor="text1"/>
                <w:sz w:val="16"/>
                <w:szCs w:val="16"/>
              </w:rPr>
            </w:pPr>
          </w:p>
          <w:p w:rsidR="001346E3" w:rsidRDefault="001346E3" w:rsidP="001363EE">
            <w:pPr>
              <w:rPr>
                <w:rFonts w:cs="Arial"/>
                <w:color w:val="000000" w:themeColor="text1"/>
                <w:sz w:val="16"/>
                <w:szCs w:val="16"/>
              </w:rPr>
            </w:pPr>
            <w:r>
              <w:rPr>
                <w:rFonts w:cs="Arial"/>
                <w:color w:val="000000" w:themeColor="text1"/>
                <w:sz w:val="16"/>
                <w:szCs w:val="16"/>
              </w:rPr>
              <w:t xml:space="preserve">The </w:t>
            </w:r>
            <w:r w:rsidRPr="00777EA9">
              <w:rPr>
                <w:rFonts w:cs="Arial"/>
                <w:color w:val="000000" w:themeColor="text1"/>
                <w:sz w:val="16"/>
                <w:szCs w:val="16"/>
              </w:rPr>
              <w:t xml:space="preserve">Information Security Risk Register </w:t>
            </w:r>
            <w:r>
              <w:rPr>
                <w:rFonts w:cs="Arial"/>
                <w:color w:val="000000" w:themeColor="text1"/>
                <w:sz w:val="16"/>
                <w:szCs w:val="16"/>
              </w:rPr>
              <w:t xml:space="preserve">was </w:t>
            </w:r>
            <w:r w:rsidRPr="00777EA9">
              <w:rPr>
                <w:rFonts w:cs="Arial"/>
                <w:color w:val="000000" w:themeColor="text1"/>
                <w:sz w:val="16"/>
                <w:szCs w:val="16"/>
              </w:rPr>
              <w:t>updated bi</w:t>
            </w:r>
            <w:r>
              <w:rPr>
                <w:rFonts w:cs="Arial"/>
                <w:color w:val="000000" w:themeColor="text1"/>
                <w:sz w:val="16"/>
                <w:szCs w:val="16"/>
              </w:rPr>
              <w:t>-</w:t>
            </w:r>
            <w:r w:rsidRPr="00777EA9">
              <w:rPr>
                <w:rFonts w:cs="Arial"/>
                <w:color w:val="000000" w:themeColor="text1"/>
                <w:sz w:val="16"/>
                <w:szCs w:val="16"/>
              </w:rPr>
              <w:t xml:space="preserve">annually, and expanded to include Madrid and Hague related Information Risks as part of the certification process; </w:t>
            </w:r>
          </w:p>
          <w:p w:rsidR="001346E3" w:rsidRDefault="001346E3" w:rsidP="001363EE">
            <w:pPr>
              <w:rPr>
                <w:rFonts w:cs="Arial"/>
                <w:color w:val="000000" w:themeColor="text1"/>
                <w:sz w:val="16"/>
                <w:szCs w:val="16"/>
              </w:rPr>
            </w:pPr>
          </w:p>
          <w:p w:rsidR="001346E3" w:rsidRPr="00777EA9" w:rsidRDefault="001346E3" w:rsidP="001363EE">
            <w:pPr>
              <w:rPr>
                <w:rFonts w:cs="Arial"/>
                <w:color w:val="000000" w:themeColor="text1"/>
                <w:sz w:val="16"/>
                <w:szCs w:val="16"/>
              </w:rPr>
            </w:pPr>
            <w:r w:rsidRPr="00777EA9">
              <w:rPr>
                <w:rFonts w:cs="Arial"/>
                <w:color w:val="000000" w:themeColor="text1"/>
                <w:sz w:val="16"/>
                <w:szCs w:val="16"/>
              </w:rPr>
              <w:t>PCT Certification to ISO 27001:2005 successfully transitioned to</w:t>
            </w:r>
            <w:r>
              <w:rPr>
                <w:rFonts w:cs="Arial"/>
                <w:color w:val="000000" w:themeColor="text1"/>
                <w:sz w:val="16"/>
                <w:szCs w:val="16"/>
              </w:rPr>
              <w:t xml:space="preserve"> version</w:t>
            </w:r>
            <w:r w:rsidRPr="00777EA9">
              <w:rPr>
                <w:rFonts w:cs="Arial"/>
                <w:color w:val="000000" w:themeColor="text1"/>
                <w:sz w:val="16"/>
                <w:szCs w:val="16"/>
              </w:rPr>
              <w:t xml:space="preserve"> ISO 27001:2013</w:t>
            </w:r>
            <w:r>
              <w:rPr>
                <w:rFonts w:cs="Arial"/>
                <w:color w:val="000000" w:themeColor="text1"/>
                <w:sz w:val="16"/>
                <w:szCs w:val="16"/>
              </w:rPr>
              <w:t>.</w:t>
            </w:r>
            <w:r w:rsidRPr="00777EA9">
              <w:rPr>
                <w:rFonts w:cs="Arial"/>
                <w:color w:val="000000" w:themeColor="text1"/>
                <w:sz w:val="16"/>
                <w:szCs w:val="16"/>
              </w:rPr>
              <w:t xml:space="preserve"> </w:t>
            </w:r>
            <w:r>
              <w:rPr>
                <w:rFonts w:cs="Arial"/>
                <w:color w:val="000000" w:themeColor="text1"/>
                <w:sz w:val="16"/>
                <w:szCs w:val="16"/>
              </w:rPr>
              <w:t xml:space="preserve"> C</w:t>
            </w:r>
            <w:r w:rsidRPr="00777EA9">
              <w:rPr>
                <w:rFonts w:cs="Arial"/>
                <w:color w:val="000000" w:themeColor="text1"/>
                <w:sz w:val="16"/>
                <w:szCs w:val="16"/>
              </w:rPr>
              <w:t xml:space="preserve">ertification </w:t>
            </w:r>
            <w:r>
              <w:rPr>
                <w:rFonts w:cs="Arial"/>
                <w:color w:val="000000" w:themeColor="text1"/>
                <w:sz w:val="16"/>
                <w:szCs w:val="16"/>
              </w:rPr>
              <w:t xml:space="preserve">was </w:t>
            </w:r>
            <w:r w:rsidRPr="00777EA9">
              <w:rPr>
                <w:rFonts w:cs="Arial"/>
                <w:color w:val="000000" w:themeColor="text1"/>
                <w:sz w:val="16"/>
                <w:szCs w:val="16"/>
              </w:rPr>
              <w:t xml:space="preserve">renewed </w:t>
            </w:r>
            <w:r>
              <w:rPr>
                <w:rFonts w:cs="Arial"/>
                <w:color w:val="000000" w:themeColor="text1"/>
                <w:sz w:val="16"/>
                <w:szCs w:val="16"/>
              </w:rPr>
              <w:t xml:space="preserve">in </w:t>
            </w:r>
            <w:r w:rsidRPr="00777EA9">
              <w:rPr>
                <w:rFonts w:cs="Arial"/>
                <w:color w:val="000000" w:themeColor="text1"/>
                <w:sz w:val="16"/>
                <w:szCs w:val="16"/>
              </w:rPr>
              <w:t>October 2015</w:t>
            </w:r>
            <w:r>
              <w:rPr>
                <w:rFonts w:cs="Arial"/>
                <w:color w:val="000000" w:themeColor="text1"/>
                <w:sz w:val="16"/>
                <w:szCs w:val="16"/>
              </w:rPr>
              <w:t>, and the c</w:t>
            </w:r>
            <w:r w:rsidRPr="00777EA9">
              <w:rPr>
                <w:rFonts w:cs="Arial"/>
                <w:color w:val="000000" w:themeColor="text1"/>
                <w:sz w:val="16"/>
                <w:szCs w:val="16"/>
              </w:rPr>
              <w:t xml:space="preserve">ertification scope </w:t>
            </w:r>
            <w:r>
              <w:rPr>
                <w:rFonts w:cs="Arial"/>
                <w:color w:val="000000" w:themeColor="text1"/>
                <w:sz w:val="16"/>
                <w:szCs w:val="16"/>
              </w:rPr>
              <w:t xml:space="preserve">was </w:t>
            </w:r>
            <w:r w:rsidRPr="00777EA9">
              <w:rPr>
                <w:rFonts w:cs="Arial"/>
                <w:color w:val="000000" w:themeColor="text1"/>
                <w:sz w:val="16"/>
                <w:szCs w:val="16"/>
              </w:rPr>
              <w:t>extended to include Madrid and Hague October 2015</w:t>
            </w:r>
            <w:r>
              <w:rPr>
                <w:rFonts w:cs="Arial"/>
                <w:color w:val="000000" w:themeColor="text1"/>
                <w:sz w:val="16"/>
                <w:szCs w:val="16"/>
              </w:rPr>
              <w:t>.</w:t>
            </w:r>
            <w:r w:rsidRPr="00777EA9">
              <w:rPr>
                <w:rFonts w:cs="Arial"/>
                <w:color w:val="000000" w:themeColor="text1"/>
                <w:sz w:val="16"/>
                <w:szCs w:val="16"/>
              </w:rPr>
              <w:t xml:space="preserve"> </w:t>
            </w:r>
          </w:p>
        </w:tc>
        <w:tc>
          <w:tcPr>
            <w:tcW w:w="614" w:type="pct"/>
            <w:shd w:val="clear" w:color="auto" w:fill="auto"/>
            <w:tcMar>
              <w:top w:w="110" w:type="dxa"/>
            </w:tcMar>
          </w:tcPr>
          <w:p w:rsidR="001346E3" w:rsidRDefault="001346E3" w:rsidP="001363EE">
            <w:pPr>
              <w:keepNext/>
              <w:keepLines/>
              <w:jc w:val="center"/>
              <w:rPr>
                <w:rFonts w:cs="Arial"/>
                <w:b/>
                <w:bCs/>
                <w:color w:val="00B050"/>
                <w:sz w:val="16"/>
                <w:szCs w:val="16"/>
              </w:rPr>
            </w:pPr>
            <w:r w:rsidRPr="00334532">
              <w:rPr>
                <w:rFonts w:cs="Arial"/>
                <w:b/>
                <w:bCs/>
                <w:color w:val="00B050"/>
                <w:sz w:val="16"/>
                <w:szCs w:val="16"/>
              </w:rPr>
              <w:t>Fully Achieved</w:t>
            </w:r>
          </w:p>
          <w:p w:rsidR="001346E3" w:rsidRDefault="001346E3" w:rsidP="001363EE">
            <w:pPr>
              <w:keepNext/>
              <w:keepLines/>
              <w:jc w:val="center"/>
              <w:rPr>
                <w:rFonts w:cs="Arial"/>
                <w:bCs/>
                <w:color w:val="000000" w:themeColor="text1"/>
                <w:sz w:val="16"/>
                <w:szCs w:val="16"/>
              </w:rPr>
            </w:pPr>
          </w:p>
          <w:p w:rsidR="001346E3" w:rsidRDefault="001346E3" w:rsidP="001363EE">
            <w:pPr>
              <w:keepNext/>
              <w:keepLines/>
              <w:jc w:val="center"/>
              <w:rPr>
                <w:rFonts w:cs="Arial"/>
                <w:bCs/>
                <w:color w:val="000000" w:themeColor="text1"/>
                <w:sz w:val="16"/>
                <w:szCs w:val="16"/>
              </w:rPr>
            </w:pPr>
          </w:p>
          <w:p w:rsidR="001346E3" w:rsidRDefault="001346E3" w:rsidP="001363EE">
            <w:pPr>
              <w:keepNext/>
              <w:keepLines/>
              <w:jc w:val="center"/>
              <w:rPr>
                <w:rFonts w:cs="Arial"/>
                <w:bCs/>
                <w:color w:val="000000" w:themeColor="text1"/>
                <w:sz w:val="16"/>
                <w:szCs w:val="16"/>
              </w:rPr>
            </w:pPr>
          </w:p>
          <w:p w:rsidR="001346E3" w:rsidRDefault="001346E3" w:rsidP="001363EE">
            <w:pPr>
              <w:keepNext/>
              <w:keepLines/>
              <w:jc w:val="center"/>
              <w:rPr>
                <w:rFonts w:cs="Arial"/>
                <w:bCs/>
                <w:color w:val="000000" w:themeColor="text1"/>
                <w:sz w:val="16"/>
                <w:szCs w:val="16"/>
              </w:rPr>
            </w:pPr>
          </w:p>
          <w:p w:rsidR="001346E3" w:rsidRDefault="001346E3" w:rsidP="001363EE">
            <w:pPr>
              <w:keepNext/>
              <w:keepLines/>
              <w:jc w:val="center"/>
              <w:rPr>
                <w:rFonts w:cs="Arial"/>
                <w:bCs/>
                <w:color w:val="000000" w:themeColor="text1"/>
                <w:sz w:val="16"/>
                <w:szCs w:val="16"/>
              </w:rPr>
            </w:pPr>
          </w:p>
          <w:p w:rsidR="001346E3" w:rsidRDefault="001346E3" w:rsidP="001363EE">
            <w:pPr>
              <w:keepNext/>
              <w:keepLines/>
              <w:jc w:val="center"/>
              <w:rPr>
                <w:rFonts w:cs="Arial"/>
                <w:bCs/>
                <w:color w:val="000000" w:themeColor="text1"/>
                <w:sz w:val="16"/>
                <w:szCs w:val="16"/>
              </w:rPr>
            </w:pPr>
          </w:p>
          <w:p w:rsidR="001346E3" w:rsidRDefault="001346E3" w:rsidP="001363EE">
            <w:pPr>
              <w:keepNext/>
              <w:keepLines/>
              <w:jc w:val="center"/>
              <w:rPr>
                <w:rFonts w:cs="Arial"/>
                <w:bCs/>
                <w:color w:val="000000" w:themeColor="text1"/>
                <w:sz w:val="16"/>
                <w:szCs w:val="16"/>
              </w:rPr>
            </w:pPr>
          </w:p>
          <w:p w:rsidR="001346E3" w:rsidRDefault="001346E3" w:rsidP="001363EE">
            <w:pPr>
              <w:keepNext/>
              <w:keepLines/>
              <w:jc w:val="center"/>
              <w:rPr>
                <w:rFonts w:cs="Arial"/>
                <w:bCs/>
                <w:color w:val="000000" w:themeColor="text1"/>
                <w:sz w:val="16"/>
                <w:szCs w:val="16"/>
              </w:rPr>
            </w:pPr>
          </w:p>
          <w:p w:rsidR="001346E3" w:rsidRDefault="001346E3" w:rsidP="001363EE">
            <w:pPr>
              <w:keepNext/>
              <w:keepLines/>
              <w:jc w:val="center"/>
              <w:rPr>
                <w:rFonts w:cs="Arial"/>
                <w:b/>
                <w:bCs/>
                <w:color w:val="00B050"/>
                <w:sz w:val="16"/>
                <w:szCs w:val="16"/>
              </w:rPr>
            </w:pPr>
            <w:r w:rsidRPr="00830423">
              <w:rPr>
                <w:rFonts w:cs="Arial"/>
                <w:b/>
                <w:bCs/>
                <w:color w:val="00B050"/>
                <w:sz w:val="16"/>
                <w:szCs w:val="16"/>
              </w:rPr>
              <w:t>Fully Achieved</w:t>
            </w:r>
          </w:p>
          <w:p w:rsidR="001346E3" w:rsidRDefault="001346E3" w:rsidP="001363EE">
            <w:pPr>
              <w:keepNext/>
              <w:keepLines/>
              <w:jc w:val="center"/>
              <w:rPr>
                <w:rFonts w:cs="Arial"/>
                <w:b/>
                <w:bCs/>
                <w:color w:val="00B050"/>
                <w:sz w:val="16"/>
                <w:szCs w:val="16"/>
              </w:rPr>
            </w:pPr>
          </w:p>
          <w:p w:rsidR="001346E3" w:rsidRDefault="001346E3" w:rsidP="001363EE">
            <w:pPr>
              <w:keepNext/>
              <w:keepLines/>
              <w:jc w:val="center"/>
              <w:rPr>
                <w:rFonts w:cs="Arial"/>
                <w:b/>
                <w:bCs/>
                <w:color w:val="00B050"/>
                <w:sz w:val="16"/>
                <w:szCs w:val="16"/>
              </w:rPr>
            </w:pPr>
          </w:p>
          <w:p w:rsidR="001346E3" w:rsidRDefault="001346E3" w:rsidP="001363EE">
            <w:pPr>
              <w:keepNext/>
              <w:keepLines/>
              <w:jc w:val="center"/>
              <w:rPr>
                <w:rFonts w:cs="Arial"/>
                <w:b/>
                <w:bCs/>
                <w:color w:val="00B050"/>
                <w:sz w:val="16"/>
                <w:szCs w:val="16"/>
              </w:rPr>
            </w:pPr>
          </w:p>
          <w:p w:rsidR="001346E3" w:rsidRDefault="001346E3" w:rsidP="001363EE">
            <w:pPr>
              <w:keepNext/>
              <w:keepLines/>
              <w:jc w:val="center"/>
              <w:rPr>
                <w:rFonts w:cs="Arial"/>
                <w:b/>
                <w:bCs/>
                <w:color w:val="00B050"/>
                <w:sz w:val="16"/>
                <w:szCs w:val="16"/>
              </w:rPr>
            </w:pPr>
          </w:p>
          <w:p w:rsidR="001346E3" w:rsidRDefault="001346E3" w:rsidP="001363EE">
            <w:pPr>
              <w:keepNext/>
              <w:keepLines/>
              <w:jc w:val="center"/>
              <w:rPr>
                <w:rFonts w:cs="Arial"/>
                <w:b/>
                <w:bCs/>
                <w:color w:val="00B050"/>
                <w:sz w:val="16"/>
                <w:szCs w:val="16"/>
              </w:rPr>
            </w:pPr>
          </w:p>
          <w:p w:rsidR="001346E3" w:rsidRDefault="001346E3" w:rsidP="001363EE">
            <w:pPr>
              <w:keepNext/>
              <w:keepLines/>
              <w:jc w:val="center"/>
              <w:rPr>
                <w:rFonts w:cs="Arial"/>
                <w:b/>
                <w:bCs/>
                <w:color w:val="00B050"/>
                <w:sz w:val="16"/>
                <w:szCs w:val="16"/>
              </w:rPr>
            </w:pPr>
          </w:p>
          <w:p w:rsidR="001346E3" w:rsidRDefault="001346E3" w:rsidP="001363EE">
            <w:pPr>
              <w:keepNext/>
              <w:keepLines/>
              <w:jc w:val="center"/>
              <w:rPr>
                <w:rFonts w:cs="Arial"/>
                <w:b/>
                <w:bCs/>
                <w:color w:val="00B050"/>
                <w:sz w:val="16"/>
                <w:szCs w:val="16"/>
              </w:rPr>
            </w:pPr>
          </w:p>
          <w:p w:rsidR="001346E3" w:rsidRDefault="001346E3" w:rsidP="001363EE">
            <w:pPr>
              <w:keepNext/>
              <w:keepLines/>
              <w:jc w:val="center"/>
              <w:rPr>
                <w:rFonts w:cs="Arial"/>
                <w:b/>
                <w:bCs/>
                <w:color w:val="00B050"/>
                <w:sz w:val="16"/>
                <w:szCs w:val="16"/>
              </w:rPr>
            </w:pPr>
          </w:p>
          <w:p w:rsidR="001346E3" w:rsidRDefault="001346E3" w:rsidP="001363EE">
            <w:pPr>
              <w:keepNext/>
              <w:keepLines/>
              <w:jc w:val="center"/>
              <w:rPr>
                <w:rFonts w:cs="Arial"/>
                <w:b/>
                <w:bCs/>
                <w:color w:val="00B050"/>
                <w:sz w:val="16"/>
                <w:szCs w:val="16"/>
              </w:rPr>
            </w:pPr>
          </w:p>
          <w:p w:rsidR="001346E3" w:rsidRDefault="001346E3" w:rsidP="001363EE">
            <w:pPr>
              <w:keepNext/>
              <w:keepLines/>
              <w:jc w:val="center"/>
              <w:rPr>
                <w:rFonts w:cs="Arial"/>
                <w:b/>
                <w:bCs/>
                <w:color w:val="00B050"/>
                <w:sz w:val="16"/>
                <w:szCs w:val="16"/>
              </w:rPr>
            </w:pPr>
          </w:p>
          <w:p w:rsidR="001346E3" w:rsidRDefault="001346E3" w:rsidP="001363EE">
            <w:pPr>
              <w:keepNext/>
              <w:keepLines/>
              <w:jc w:val="center"/>
              <w:rPr>
                <w:rFonts w:cs="Arial"/>
                <w:b/>
                <w:bCs/>
                <w:color w:val="00B050"/>
                <w:sz w:val="16"/>
                <w:szCs w:val="16"/>
              </w:rPr>
            </w:pPr>
          </w:p>
          <w:p w:rsidR="001346E3" w:rsidRDefault="001346E3" w:rsidP="001363EE">
            <w:pPr>
              <w:keepNext/>
              <w:keepLines/>
              <w:jc w:val="center"/>
              <w:rPr>
                <w:rFonts w:cs="Arial"/>
                <w:b/>
                <w:bCs/>
                <w:color w:val="00B050"/>
                <w:sz w:val="16"/>
                <w:szCs w:val="16"/>
              </w:rPr>
            </w:pPr>
          </w:p>
          <w:p w:rsidR="001346E3" w:rsidRDefault="001346E3" w:rsidP="001363EE">
            <w:pPr>
              <w:keepNext/>
              <w:keepLines/>
              <w:jc w:val="center"/>
              <w:rPr>
                <w:rFonts w:cs="Arial"/>
                <w:b/>
                <w:bCs/>
                <w:color w:val="00B050"/>
                <w:sz w:val="16"/>
                <w:szCs w:val="16"/>
              </w:rPr>
            </w:pPr>
            <w:r w:rsidRPr="00830423">
              <w:rPr>
                <w:rFonts w:cs="Arial"/>
                <w:b/>
                <w:bCs/>
                <w:color w:val="00B050"/>
                <w:sz w:val="16"/>
                <w:szCs w:val="16"/>
              </w:rPr>
              <w:t>Fully Achieved</w:t>
            </w:r>
          </w:p>
          <w:p w:rsidR="001346E3" w:rsidRPr="00777EA9" w:rsidRDefault="001346E3" w:rsidP="001363EE">
            <w:pPr>
              <w:keepNext/>
              <w:keepLines/>
              <w:jc w:val="center"/>
              <w:rPr>
                <w:rFonts w:cs="Arial"/>
                <w:bCs/>
                <w:color w:val="000000" w:themeColor="text1"/>
                <w:sz w:val="16"/>
                <w:szCs w:val="16"/>
              </w:rPr>
            </w:pPr>
          </w:p>
        </w:tc>
      </w:tr>
      <w:tr w:rsidR="001346E3" w:rsidRPr="0082723D" w:rsidTr="001363EE">
        <w:trPr>
          <w:cantSplit/>
        </w:trPr>
        <w:tc>
          <w:tcPr>
            <w:tcW w:w="1118" w:type="pct"/>
            <w:gridSpan w:val="2"/>
            <w:tcBorders>
              <w:bottom w:val="single" w:sz="4" w:space="0" w:color="auto"/>
            </w:tcBorders>
            <w:shd w:val="clear" w:color="auto" w:fill="auto"/>
          </w:tcPr>
          <w:p w:rsidR="001346E3" w:rsidRPr="0082723D" w:rsidRDefault="001346E3" w:rsidP="001363EE">
            <w:pPr>
              <w:ind w:leftChars="-11" w:left="-22"/>
              <w:rPr>
                <w:rFonts w:cs="Arial"/>
                <w:color w:val="000000" w:themeColor="text1"/>
                <w:sz w:val="16"/>
                <w:szCs w:val="16"/>
              </w:rPr>
            </w:pPr>
            <w:r w:rsidRPr="0082723D">
              <w:rPr>
                <w:rFonts w:cs="Arial"/>
                <w:color w:val="000000" w:themeColor="text1"/>
                <w:sz w:val="16"/>
                <w:szCs w:val="16"/>
              </w:rPr>
              <w:t xml:space="preserve">Effectiveness of Information Security controls (internal and external facing) </w:t>
            </w:r>
          </w:p>
        </w:tc>
        <w:tc>
          <w:tcPr>
            <w:tcW w:w="995" w:type="pct"/>
            <w:tcBorders>
              <w:bottom w:val="single" w:sz="4" w:space="0" w:color="auto"/>
            </w:tcBorders>
            <w:shd w:val="clear" w:color="auto" w:fill="auto"/>
          </w:tcPr>
          <w:p w:rsidR="001346E3" w:rsidRPr="0082723D" w:rsidRDefault="001346E3" w:rsidP="001363EE">
            <w:pPr>
              <w:ind w:leftChars="-11" w:left="-22"/>
              <w:rPr>
                <w:rFonts w:cs="Arial"/>
                <w:color w:val="000000" w:themeColor="text1"/>
                <w:sz w:val="16"/>
                <w:szCs w:val="16"/>
              </w:rPr>
            </w:pPr>
            <w:r w:rsidRPr="0082723D">
              <w:rPr>
                <w:rFonts w:cs="Arial"/>
                <w:color w:val="000000" w:themeColor="text1"/>
                <w:sz w:val="16"/>
                <w:szCs w:val="16"/>
              </w:rPr>
              <w:t>5 or less incidents per year</w:t>
            </w:r>
          </w:p>
        </w:tc>
        <w:tc>
          <w:tcPr>
            <w:tcW w:w="816" w:type="pct"/>
            <w:gridSpan w:val="2"/>
            <w:tcBorders>
              <w:bottom w:val="single" w:sz="4" w:space="0" w:color="auto"/>
            </w:tcBorders>
            <w:shd w:val="clear" w:color="auto" w:fill="auto"/>
            <w:tcMar>
              <w:top w:w="110" w:type="dxa"/>
            </w:tcMar>
          </w:tcPr>
          <w:p w:rsidR="001346E3" w:rsidRPr="0082723D" w:rsidRDefault="001346E3" w:rsidP="001363EE">
            <w:pPr>
              <w:rPr>
                <w:rFonts w:cs="Arial"/>
                <w:color w:val="000000" w:themeColor="text1"/>
                <w:sz w:val="16"/>
                <w:szCs w:val="16"/>
              </w:rPr>
            </w:pPr>
            <w:r w:rsidRPr="0082723D">
              <w:rPr>
                <w:rFonts w:cs="Arial"/>
                <w:color w:val="000000" w:themeColor="text1"/>
                <w:sz w:val="16"/>
                <w:szCs w:val="16"/>
              </w:rPr>
              <w:t xml:space="preserve">2 or less incidents per year </w:t>
            </w:r>
          </w:p>
        </w:tc>
        <w:tc>
          <w:tcPr>
            <w:tcW w:w="1457" w:type="pct"/>
            <w:tcBorders>
              <w:bottom w:val="single" w:sz="4" w:space="0" w:color="auto"/>
            </w:tcBorders>
            <w:shd w:val="clear" w:color="auto" w:fill="FFFFFF"/>
            <w:tcMar>
              <w:top w:w="110" w:type="dxa"/>
            </w:tcMar>
          </w:tcPr>
          <w:p w:rsidR="001346E3" w:rsidRDefault="001346E3" w:rsidP="001363EE">
            <w:pPr>
              <w:rPr>
                <w:rFonts w:cs="Arial"/>
                <w:color w:val="000000" w:themeColor="text1"/>
                <w:sz w:val="16"/>
                <w:szCs w:val="16"/>
              </w:rPr>
            </w:pPr>
            <w:r>
              <w:rPr>
                <w:rFonts w:cs="Arial"/>
                <w:color w:val="000000" w:themeColor="text1"/>
                <w:sz w:val="16"/>
                <w:szCs w:val="16"/>
              </w:rPr>
              <w:t>1</w:t>
            </w:r>
            <w:r w:rsidRPr="00777EA9">
              <w:rPr>
                <w:rFonts w:cs="Arial"/>
                <w:color w:val="000000" w:themeColor="text1"/>
                <w:sz w:val="16"/>
                <w:szCs w:val="16"/>
              </w:rPr>
              <w:t xml:space="preserve"> </w:t>
            </w:r>
            <w:r>
              <w:rPr>
                <w:rFonts w:cs="Arial"/>
                <w:color w:val="000000" w:themeColor="text1"/>
                <w:sz w:val="16"/>
                <w:szCs w:val="16"/>
              </w:rPr>
              <w:t xml:space="preserve">major </w:t>
            </w:r>
            <w:r w:rsidRPr="00777EA9">
              <w:rPr>
                <w:rFonts w:cs="Arial"/>
                <w:color w:val="000000" w:themeColor="text1"/>
                <w:sz w:val="16"/>
                <w:szCs w:val="16"/>
              </w:rPr>
              <w:t xml:space="preserve">incident recorded per year in the biennium </w:t>
            </w:r>
          </w:p>
          <w:p w:rsidR="001346E3" w:rsidRDefault="001346E3" w:rsidP="001363EE">
            <w:pPr>
              <w:rPr>
                <w:rFonts w:cs="Arial"/>
                <w:color w:val="000000" w:themeColor="text1"/>
                <w:sz w:val="16"/>
                <w:szCs w:val="16"/>
              </w:rPr>
            </w:pPr>
          </w:p>
          <w:p w:rsidR="001346E3" w:rsidRPr="00777EA9" w:rsidRDefault="001346E3" w:rsidP="001363EE">
            <w:pPr>
              <w:rPr>
                <w:rFonts w:cs="Arial"/>
                <w:color w:val="000000" w:themeColor="text1"/>
                <w:sz w:val="16"/>
                <w:szCs w:val="16"/>
              </w:rPr>
            </w:pPr>
            <w:r>
              <w:rPr>
                <w:rFonts w:cs="Arial"/>
                <w:color w:val="000000" w:themeColor="text1"/>
                <w:sz w:val="16"/>
                <w:szCs w:val="16"/>
              </w:rPr>
              <w:t>I</w:t>
            </w:r>
            <w:r w:rsidRPr="00777EA9">
              <w:rPr>
                <w:rFonts w:cs="Arial"/>
                <w:color w:val="000000" w:themeColor="text1"/>
                <w:sz w:val="16"/>
                <w:szCs w:val="16"/>
              </w:rPr>
              <w:t xml:space="preserve">ncidents </w:t>
            </w:r>
            <w:r>
              <w:rPr>
                <w:rFonts w:cs="Arial"/>
                <w:color w:val="000000" w:themeColor="text1"/>
                <w:sz w:val="16"/>
                <w:szCs w:val="16"/>
              </w:rPr>
              <w:t xml:space="preserve">were </w:t>
            </w:r>
            <w:r w:rsidRPr="00777EA9">
              <w:rPr>
                <w:rFonts w:cs="Arial"/>
                <w:color w:val="000000" w:themeColor="text1"/>
                <w:sz w:val="16"/>
                <w:szCs w:val="16"/>
              </w:rPr>
              <w:t>managed and resolved within acceptable timeframes, in accordance with the Information Security Incident Management Policy</w:t>
            </w:r>
            <w:r>
              <w:rPr>
                <w:rFonts w:cs="Arial"/>
                <w:color w:val="000000" w:themeColor="text1"/>
                <w:sz w:val="16"/>
                <w:szCs w:val="16"/>
              </w:rPr>
              <w:t>.</w:t>
            </w:r>
          </w:p>
        </w:tc>
        <w:tc>
          <w:tcPr>
            <w:tcW w:w="614" w:type="pct"/>
            <w:tcBorders>
              <w:bottom w:val="single" w:sz="4" w:space="0" w:color="auto"/>
            </w:tcBorders>
            <w:shd w:val="clear" w:color="auto" w:fill="auto"/>
            <w:tcMar>
              <w:top w:w="110" w:type="dxa"/>
            </w:tcMar>
          </w:tcPr>
          <w:p w:rsidR="001346E3" w:rsidRDefault="001346E3" w:rsidP="001363EE">
            <w:pPr>
              <w:keepNext/>
              <w:keepLines/>
              <w:jc w:val="center"/>
              <w:rPr>
                <w:rFonts w:cs="Arial"/>
                <w:b/>
                <w:bCs/>
                <w:color w:val="00B050"/>
                <w:sz w:val="16"/>
                <w:szCs w:val="16"/>
              </w:rPr>
            </w:pPr>
            <w:r w:rsidRPr="00334532">
              <w:rPr>
                <w:rFonts w:cs="Arial"/>
                <w:b/>
                <w:bCs/>
                <w:color w:val="00B050"/>
                <w:sz w:val="16"/>
                <w:szCs w:val="16"/>
              </w:rPr>
              <w:t>Fully Achieved</w:t>
            </w:r>
          </w:p>
          <w:p w:rsidR="001346E3" w:rsidRPr="00777EA9" w:rsidRDefault="001346E3" w:rsidP="001363EE">
            <w:pPr>
              <w:keepNext/>
              <w:keepLines/>
              <w:jc w:val="center"/>
              <w:rPr>
                <w:rFonts w:cs="Arial"/>
                <w:bCs/>
                <w:color w:val="000000" w:themeColor="text1"/>
                <w:sz w:val="16"/>
                <w:szCs w:val="16"/>
              </w:rPr>
            </w:pPr>
          </w:p>
        </w:tc>
      </w:tr>
    </w:tbl>
    <w:p w:rsidR="001346E3" w:rsidRDefault="001346E3" w:rsidP="001363EE">
      <w:pPr>
        <w:rPr>
          <w:bCs/>
          <w:sz w:val="22"/>
          <w:szCs w:val="22"/>
        </w:rPr>
      </w:pPr>
    </w:p>
    <w:p w:rsidR="001346E3" w:rsidRDefault="001346E3" w:rsidP="001363EE">
      <w:pPr>
        <w:rPr>
          <w:bCs/>
          <w:sz w:val="22"/>
          <w:szCs w:val="22"/>
        </w:rPr>
      </w:pPr>
    </w:p>
    <w:p w:rsidR="001346E3" w:rsidRPr="00257BEC" w:rsidRDefault="001346E3" w:rsidP="001363EE">
      <w:pPr>
        <w:rPr>
          <w:rFonts w:cs="Arial"/>
          <w:color w:val="000000"/>
          <w:szCs w:val="22"/>
        </w:rPr>
      </w:pPr>
      <w:r w:rsidRPr="00257BEC">
        <w:rPr>
          <w:rFonts w:cs="Arial"/>
          <w:color w:val="000000"/>
          <w:szCs w:val="22"/>
        </w:rPr>
        <w:t>RISK REPORTING FOR THE BIENNIUM</w:t>
      </w:r>
    </w:p>
    <w:p w:rsidR="001346E3" w:rsidRDefault="001346E3" w:rsidP="001363EE"/>
    <w:tbl>
      <w:tblPr>
        <w:tblW w:w="9214"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2474"/>
        <w:gridCol w:w="2063"/>
        <w:gridCol w:w="2551"/>
        <w:gridCol w:w="2126"/>
      </w:tblGrid>
      <w:tr w:rsidR="001346E3" w:rsidRPr="00583D1D" w:rsidTr="00AD6C96">
        <w:trPr>
          <w:trHeight w:val="380"/>
          <w:tblHeader/>
        </w:trPr>
        <w:tc>
          <w:tcPr>
            <w:tcW w:w="2474" w:type="dxa"/>
            <w:tcBorders>
              <w:top w:val="single" w:sz="4" w:space="0" w:color="auto"/>
              <w:bottom w:val="single" w:sz="4" w:space="0" w:color="auto"/>
            </w:tcBorders>
            <w:shd w:val="clear" w:color="auto" w:fill="C6D9F1" w:themeFill="text2" w:themeFillTint="33"/>
            <w:tcMar>
              <w:top w:w="113" w:type="dxa"/>
              <w:bottom w:w="85" w:type="dxa"/>
            </w:tcMar>
            <w:vAlign w:val="center"/>
          </w:tcPr>
          <w:p w:rsidR="001346E3" w:rsidRPr="00826E8B" w:rsidRDefault="001346E3" w:rsidP="001363EE">
            <w:pPr>
              <w:autoSpaceDE w:val="0"/>
              <w:autoSpaceDN w:val="0"/>
              <w:adjustRightInd w:val="0"/>
              <w:ind w:right="-59"/>
              <w:jc w:val="center"/>
              <w:rPr>
                <w:b/>
                <w:iCs/>
                <w:sz w:val="18"/>
                <w:szCs w:val="18"/>
                <w:lang w:eastAsia="zh-CN"/>
              </w:rPr>
            </w:pPr>
            <w:r w:rsidRPr="00826E8B">
              <w:rPr>
                <w:b/>
                <w:iCs/>
                <w:sz w:val="18"/>
                <w:szCs w:val="18"/>
                <w:lang w:eastAsia="zh-CN"/>
              </w:rPr>
              <w:t>Risk(s) to the Program achieving its Results</w:t>
            </w:r>
          </w:p>
        </w:tc>
        <w:tc>
          <w:tcPr>
            <w:tcW w:w="2063" w:type="dxa"/>
            <w:tcBorders>
              <w:top w:val="single" w:sz="4" w:space="0" w:color="auto"/>
              <w:bottom w:val="single" w:sz="4" w:space="0" w:color="auto"/>
            </w:tcBorders>
            <w:shd w:val="clear" w:color="auto" w:fill="C6D9F1" w:themeFill="text2" w:themeFillTint="33"/>
            <w:tcMar>
              <w:top w:w="113" w:type="dxa"/>
              <w:bottom w:w="85" w:type="dxa"/>
            </w:tcMar>
            <w:vAlign w:val="center"/>
          </w:tcPr>
          <w:p w:rsidR="001346E3" w:rsidRPr="00826E8B" w:rsidRDefault="001346E3" w:rsidP="001363EE">
            <w:pPr>
              <w:autoSpaceDE w:val="0"/>
              <w:autoSpaceDN w:val="0"/>
              <w:adjustRightInd w:val="0"/>
              <w:ind w:right="-59"/>
              <w:jc w:val="center"/>
              <w:rPr>
                <w:b/>
                <w:iCs/>
                <w:sz w:val="18"/>
                <w:szCs w:val="18"/>
                <w:lang w:eastAsia="zh-CN"/>
              </w:rPr>
            </w:pPr>
            <w:r w:rsidRPr="00826E8B">
              <w:rPr>
                <w:b/>
                <w:iCs/>
                <w:sz w:val="18"/>
                <w:szCs w:val="18"/>
                <w:lang w:eastAsia="zh-CN"/>
              </w:rPr>
              <w:t xml:space="preserve">Mitigation plans in place or under implementation </w:t>
            </w:r>
          </w:p>
        </w:tc>
        <w:tc>
          <w:tcPr>
            <w:tcW w:w="2551" w:type="dxa"/>
            <w:tcBorders>
              <w:top w:val="single" w:sz="4" w:space="0" w:color="auto"/>
              <w:bottom w:val="single" w:sz="4" w:space="0" w:color="auto"/>
            </w:tcBorders>
            <w:shd w:val="clear" w:color="auto" w:fill="C6D9F1" w:themeFill="text2" w:themeFillTint="33"/>
          </w:tcPr>
          <w:p w:rsidR="001346E3" w:rsidRPr="003C527B" w:rsidRDefault="001346E3" w:rsidP="001363EE">
            <w:pPr>
              <w:jc w:val="center"/>
              <w:rPr>
                <w:b/>
                <w:bCs/>
                <w:sz w:val="18"/>
                <w:szCs w:val="18"/>
              </w:rPr>
            </w:pPr>
            <w:r>
              <w:rPr>
                <w:b/>
                <w:bCs/>
                <w:sz w:val="18"/>
                <w:szCs w:val="18"/>
              </w:rPr>
              <w:t>Evolution of Risk(s) and Mitigation Strategies Over the Biennium</w:t>
            </w:r>
          </w:p>
        </w:tc>
        <w:tc>
          <w:tcPr>
            <w:tcW w:w="2126" w:type="dxa"/>
            <w:tcBorders>
              <w:top w:val="single" w:sz="4" w:space="0" w:color="auto"/>
              <w:bottom w:val="single" w:sz="4" w:space="0" w:color="auto"/>
            </w:tcBorders>
            <w:shd w:val="clear" w:color="auto" w:fill="C6D9F1" w:themeFill="text2" w:themeFillTint="33"/>
          </w:tcPr>
          <w:p w:rsidR="001346E3" w:rsidRPr="003C527B" w:rsidRDefault="001346E3" w:rsidP="001363EE">
            <w:pPr>
              <w:jc w:val="center"/>
              <w:rPr>
                <w:b/>
                <w:bCs/>
                <w:sz w:val="18"/>
                <w:szCs w:val="18"/>
              </w:rPr>
            </w:pPr>
            <w:r>
              <w:rPr>
                <w:b/>
                <w:bCs/>
                <w:sz w:val="18"/>
                <w:szCs w:val="18"/>
              </w:rPr>
              <w:t>Impact on the Program’s Performance</w:t>
            </w:r>
          </w:p>
        </w:tc>
      </w:tr>
      <w:tr w:rsidR="001346E3" w:rsidRPr="00583D1D" w:rsidTr="00AD6C96">
        <w:trPr>
          <w:trHeight w:val="985"/>
        </w:trPr>
        <w:tc>
          <w:tcPr>
            <w:tcW w:w="2474" w:type="dxa"/>
            <w:tcBorders>
              <w:top w:val="single" w:sz="4" w:space="0" w:color="auto"/>
            </w:tcBorders>
            <w:shd w:val="clear" w:color="auto" w:fill="auto"/>
            <w:tcMar>
              <w:top w:w="113" w:type="dxa"/>
              <w:bottom w:w="85" w:type="dxa"/>
            </w:tcMar>
          </w:tcPr>
          <w:p w:rsidR="001346E3" w:rsidRPr="00014456" w:rsidRDefault="001346E3" w:rsidP="001363EE">
            <w:pPr>
              <w:autoSpaceDE w:val="0"/>
              <w:autoSpaceDN w:val="0"/>
              <w:adjustRightInd w:val="0"/>
              <w:ind w:right="-59"/>
              <w:rPr>
                <w:sz w:val="16"/>
                <w:szCs w:val="16"/>
                <w:lang w:eastAsia="zh-CN"/>
              </w:rPr>
            </w:pPr>
            <w:r w:rsidRPr="00014456">
              <w:rPr>
                <w:sz w:val="16"/>
                <w:szCs w:val="16"/>
              </w:rPr>
              <w:t>PCT and related Information Systems experience unacceptable level of interruptions, resulting in the inability to accept PCT filings and subsequently the effect on processing and publication of those applications.  Reputation would be affected negatively</w:t>
            </w:r>
          </w:p>
        </w:tc>
        <w:tc>
          <w:tcPr>
            <w:tcW w:w="2063" w:type="dxa"/>
            <w:tcBorders>
              <w:top w:val="single" w:sz="4" w:space="0" w:color="auto"/>
            </w:tcBorders>
            <w:shd w:val="clear" w:color="auto" w:fill="auto"/>
            <w:tcMar>
              <w:top w:w="113" w:type="dxa"/>
              <w:bottom w:w="85" w:type="dxa"/>
            </w:tcMar>
          </w:tcPr>
          <w:p w:rsidR="001346E3" w:rsidRPr="00014456" w:rsidRDefault="001346E3" w:rsidP="001363EE">
            <w:pPr>
              <w:autoSpaceDE w:val="0"/>
              <w:autoSpaceDN w:val="0"/>
              <w:adjustRightInd w:val="0"/>
              <w:ind w:right="-59"/>
              <w:rPr>
                <w:sz w:val="16"/>
                <w:szCs w:val="16"/>
                <w:lang w:eastAsia="zh-CN"/>
              </w:rPr>
            </w:pPr>
            <w:r w:rsidRPr="00014456">
              <w:rPr>
                <w:sz w:val="16"/>
                <w:szCs w:val="16"/>
              </w:rPr>
              <w:t>Introduce redundant infrastructure at separate locations, and further develop and refine business continuity plan</w:t>
            </w:r>
          </w:p>
        </w:tc>
        <w:tc>
          <w:tcPr>
            <w:tcW w:w="2551" w:type="dxa"/>
            <w:tcBorders>
              <w:top w:val="single" w:sz="4" w:space="0" w:color="auto"/>
            </w:tcBorders>
          </w:tcPr>
          <w:p w:rsidR="001346E3" w:rsidRPr="00014456" w:rsidRDefault="001346E3" w:rsidP="001363EE">
            <w:pPr>
              <w:autoSpaceDE w:val="0"/>
              <w:autoSpaceDN w:val="0"/>
              <w:adjustRightInd w:val="0"/>
              <w:ind w:right="-59"/>
              <w:rPr>
                <w:sz w:val="16"/>
                <w:szCs w:val="16"/>
              </w:rPr>
            </w:pPr>
            <w:r>
              <w:rPr>
                <w:rFonts w:cs="Arial"/>
                <w:color w:val="000000" w:themeColor="text1"/>
                <w:sz w:val="16"/>
                <w:szCs w:val="16"/>
              </w:rPr>
              <w:t>Redundant ICT infrastructure was established in two locations, enabling PCT to continue its operations even in the event that could adversely affect WIPO’s main buildings and its data center.</w:t>
            </w:r>
          </w:p>
        </w:tc>
        <w:tc>
          <w:tcPr>
            <w:tcW w:w="2126" w:type="dxa"/>
            <w:tcBorders>
              <w:top w:val="single" w:sz="4" w:space="0" w:color="auto"/>
            </w:tcBorders>
          </w:tcPr>
          <w:p w:rsidR="001346E3" w:rsidRPr="00014456" w:rsidRDefault="001346E3" w:rsidP="001363EE">
            <w:pPr>
              <w:autoSpaceDE w:val="0"/>
              <w:autoSpaceDN w:val="0"/>
              <w:adjustRightInd w:val="0"/>
              <w:ind w:right="-59"/>
              <w:rPr>
                <w:sz w:val="16"/>
                <w:szCs w:val="16"/>
              </w:rPr>
            </w:pPr>
            <w:r>
              <w:rPr>
                <w:sz w:val="16"/>
                <w:szCs w:val="16"/>
                <w:lang w:eastAsia="zh-CN"/>
              </w:rPr>
              <w:t>This risk and its evolution did not have any material impact on the Program’s performance in 2014/15.</w:t>
            </w:r>
          </w:p>
        </w:tc>
      </w:tr>
      <w:tr w:rsidR="001346E3" w:rsidRPr="00145F3B" w:rsidTr="00AD6C96">
        <w:trPr>
          <w:trHeight w:val="1060"/>
        </w:trPr>
        <w:tc>
          <w:tcPr>
            <w:tcW w:w="2474" w:type="dxa"/>
            <w:shd w:val="clear" w:color="auto" w:fill="auto"/>
            <w:tcMar>
              <w:top w:w="113" w:type="dxa"/>
              <w:bottom w:w="85" w:type="dxa"/>
            </w:tcMar>
          </w:tcPr>
          <w:p w:rsidR="001346E3" w:rsidRPr="00145F3B" w:rsidRDefault="001346E3" w:rsidP="001363EE">
            <w:pPr>
              <w:autoSpaceDE w:val="0"/>
              <w:autoSpaceDN w:val="0"/>
              <w:adjustRightInd w:val="0"/>
              <w:ind w:right="-59"/>
              <w:rPr>
                <w:sz w:val="16"/>
                <w:szCs w:val="16"/>
                <w:lang w:eastAsia="zh-CN"/>
              </w:rPr>
            </w:pPr>
            <w:r w:rsidRPr="00145F3B">
              <w:rPr>
                <w:sz w:val="16"/>
                <w:szCs w:val="16"/>
              </w:rPr>
              <w:t>Cyber-attacks against WIPO information systems cause Information systems’ security to be compromised, with the risk of malicious or accidental exposure of confidential information.  WIPO’s reputation and operations would be seriously affected</w:t>
            </w:r>
          </w:p>
        </w:tc>
        <w:tc>
          <w:tcPr>
            <w:tcW w:w="2063" w:type="dxa"/>
            <w:shd w:val="clear" w:color="auto" w:fill="auto"/>
            <w:tcMar>
              <w:top w:w="113" w:type="dxa"/>
              <w:bottom w:w="85" w:type="dxa"/>
            </w:tcMar>
          </w:tcPr>
          <w:p w:rsidR="001346E3" w:rsidRPr="00145F3B" w:rsidRDefault="001346E3" w:rsidP="001363EE">
            <w:pPr>
              <w:autoSpaceDE w:val="0"/>
              <w:autoSpaceDN w:val="0"/>
              <w:adjustRightInd w:val="0"/>
              <w:ind w:right="-59"/>
              <w:rPr>
                <w:sz w:val="16"/>
                <w:szCs w:val="16"/>
                <w:lang w:eastAsia="zh-CN"/>
              </w:rPr>
            </w:pPr>
            <w:r w:rsidRPr="00145F3B">
              <w:rPr>
                <w:sz w:val="16"/>
                <w:szCs w:val="16"/>
              </w:rPr>
              <w:t>Segregation of WIPO web contents and applications based on different confidentiality requirements and intended usages;  introduce separate IT infrastructure and security measures accordingly.  High level of IT Security activity</w:t>
            </w:r>
          </w:p>
        </w:tc>
        <w:tc>
          <w:tcPr>
            <w:tcW w:w="2551" w:type="dxa"/>
          </w:tcPr>
          <w:p w:rsidR="001346E3" w:rsidRPr="00777EA9" w:rsidRDefault="001346E3" w:rsidP="001363EE">
            <w:pPr>
              <w:autoSpaceDE w:val="0"/>
              <w:autoSpaceDN w:val="0"/>
              <w:adjustRightInd w:val="0"/>
              <w:ind w:right="-59"/>
              <w:rPr>
                <w:color w:val="000000" w:themeColor="text1"/>
                <w:sz w:val="16"/>
                <w:szCs w:val="16"/>
              </w:rPr>
            </w:pPr>
            <w:r w:rsidRPr="00777EA9">
              <w:rPr>
                <w:color w:val="000000" w:themeColor="text1"/>
                <w:sz w:val="16"/>
                <w:szCs w:val="16"/>
              </w:rPr>
              <w:t>WIPO continue</w:t>
            </w:r>
            <w:r>
              <w:rPr>
                <w:color w:val="000000" w:themeColor="text1"/>
                <w:sz w:val="16"/>
                <w:szCs w:val="16"/>
              </w:rPr>
              <w:t>d</w:t>
            </w:r>
            <w:r w:rsidRPr="00777EA9">
              <w:rPr>
                <w:color w:val="000000" w:themeColor="text1"/>
                <w:sz w:val="16"/>
                <w:szCs w:val="16"/>
              </w:rPr>
              <w:t xml:space="preserve"> to experience opportunistic and targeted cyber-attacks from various threat actors determined to compromise and steal WIPO information.</w:t>
            </w:r>
          </w:p>
          <w:p w:rsidR="001346E3" w:rsidRPr="00777EA9" w:rsidRDefault="001346E3" w:rsidP="001363EE">
            <w:pPr>
              <w:autoSpaceDE w:val="0"/>
              <w:autoSpaceDN w:val="0"/>
              <w:adjustRightInd w:val="0"/>
              <w:ind w:right="-59"/>
              <w:rPr>
                <w:color w:val="000000" w:themeColor="text1"/>
                <w:sz w:val="16"/>
                <w:szCs w:val="16"/>
              </w:rPr>
            </w:pPr>
            <w:r w:rsidRPr="00777EA9">
              <w:rPr>
                <w:color w:val="000000" w:themeColor="text1"/>
                <w:sz w:val="16"/>
                <w:szCs w:val="16"/>
              </w:rPr>
              <w:t>Several procedural and technical controls were implemented in 2014/15 to ensure resiliency of WIPO’s information systems against cyber-attacks.</w:t>
            </w:r>
          </w:p>
          <w:p w:rsidR="001346E3" w:rsidRPr="00777EA9" w:rsidRDefault="001346E3" w:rsidP="001363EE">
            <w:pPr>
              <w:autoSpaceDE w:val="0"/>
              <w:autoSpaceDN w:val="0"/>
              <w:adjustRightInd w:val="0"/>
              <w:ind w:right="-59"/>
              <w:rPr>
                <w:color w:val="000000" w:themeColor="text1"/>
                <w:sz w:val="16"/>
                <w:szCs w:val="16"/>
              </w:rPr>
            </w:pPr>
            <w:r w:rsidRPr="00777EA9">
              <w:rPr>
                <w:color w:val="000000" w:themeColor="text1"/>
                <w:sz w:val="16"/>
                <w:szCs w:val="16"/>
              </w:rPr>
              <w:t>The phased implementation of the fit-for-purpose Information Assurance Strategy will allow WIPO to continually strengthen its information security posture and organization</w:t>
            </w:r>
            <w:r>
              <w:rPr>
                <w:color w:val="000000" w:themeColor="text1"/>
                <w:sz w:val="16"/>
                <w:szCs w:val="16"/>
              </w:rPr>
              <w:t xml:space="preserve">al </w:t>
            </w:r>
            <w:r w:rsidRPr="00777EA9">
              <w:rPr>
                <w:color w:val="000000" w:themeColor="text1"/>
                <w:sz w:val="16"/>
                <w:szCs w:val="16"/>
              </w:rPr>
              <w:t>resilience in the areas of IA governance, people, process and technology.</w:t>
            </w:r>
          </w:p>
        </w:tc>
        <w:tc>
          <w:tcPr>
            <w:tcW w:w="2126" w:type="dxa"/>
          </w:tcPr>
          <w:p w:rsidR="001346E3" w:rsidRPr="00777EA9" w:rsidRDefault="001346E3" w:rsidP="001363EE">
            <w:pPr>
              <w:autoSpaceDE w:val="0"/>
              <w:autoSpaceDN w:val="0"/>
              <w:adjustRightInd w:val="0"/>
              <w:ind w:right="-59"/>
              <w:rPr>
                <w:color w:val="000000" w:themeColor="text1"/>
                <w:sz w:val="16"/>
                <w:szCs w:val="16"/>
              </w:rPr>
            </w:pPr>
            <w:r w:rsidRPr="00777EA9">
              <w:rPr>
                <w:color w:val="000000" w:themeColor="text1"/>
                <w:sz w:val="16"/>
                <w:szCs w:val="16"/>
              </w:rPr>
              <w:t>The 2014 and 2015 workplans and risk register sufficiently addressed the impact of risks during the reporting period</w:t>
            </w:r>
            <w:r>
              <w:rPr>
                <w:color w:val="000000" w:themeColor="text1"/>
                <w:sz w:val="16"/>
                <w:szCs w:val="16"/>
              </w:rPr>
              <w:t xml:space="preserve">; there was no </w:t>
            </w:r>
            <w:r>
              <w:rPr>
                <w:sz w:val="16"/>
                <w:szCs w:val="16"/>
                <w:lang w:eastAsia="zh-CN"/>
              </w:rPr>
              <w:t>material impact on the Program’s performance in 2014/15.</w:t>
            </w:r>
          </w:p>
        </w:tc>
      </w:tr>
    </w:tbl>
    <w:p w:rsidR="001346E3" w:rsidRPr="009665C9" w:rsidRDefault="001346E3" w:rsidP="001363EE">
      <w:pPr>
        <w:keepNext/>
        <w:keepLines/>
        <w:rPr>
          <w:rFonts w:cs="Arial"/>
          <w:color w:val="000000"/>
          <w:szCs w:val="22"/>
        </w:rPr>
      </w:pPr>
    </w:p>
    <w:p w:rsidR="001346E3" w:rsidRPr="009665C9" w:rsidRDefault="001346E3" w:rsidP="001363EE">
      <w:pPr>
        <w:keepNext/>
        <w:keepLines/>
        <w:rPr>
          <w:rFonts w:cs="Arial"/>
          <w:color w:val="000000"/>
          <w:szCs w:val="22"/>
        </w:rPr>
      </w:pPr>
    </w:p>
    <w:p w:rsidR="001346E3" w:rsidRPr="00257BEC" w:rsidRDefault="001346E3" w:rsidP="001363EE">
      <w:pPr>
        <w:keepNext/>
        <w:keepLines/>
        <w:rPr>
          <w:szCs w:val="20"/>
        </w:rPr>
      </w:pPr>
      <w:r w:rsidRPr="00257BEC">
        <w:rPr>
          <w:rFonts w:cs="Arial"/>
          <w:color w:val="000000"/>
          <w:szCs w:val="22"/>
        </w:rPr>
        <w:t>RESOURCE UTILIZATION</w:t>
      </w:r>
    </w:p>
    <w:p w:rsidR="001346E3" w:rsidRPr="008F4A6D" w:rsidRDefault="001346E3" w:rsidP="001363EE">
      <w:pPr>
        <w:keepNext/>
        <w:keepLines/>
        <w:rPr>
          <w:szCs w:val="20"/>
        </w:rPr>
      </w:pPr>
    </w:p>
    <w:p w:rsidR="001346E3" w:rsidRPr="00383D2D" w:rsidRDefault="001346E3" w:rsidP="001363EE">
      <w:pPr>
        <w:pStyle w:val="NormalWeb"/>
        <w:keepNext/>
        <w:keepLines/>
        <w:spacing w:before="0" w:beforeAutospacing="0" w:after="0" w:afterAutospacing="0"/>
        <w:jc w:val="center"/>
        <w:rPr>
          <w:sz w:val="20"/>
          <w:szCs w:val="20"/>
        </w:rPr>
      </w:pPr>
      <w:r w:rsidRPr="00383D2D">
        <w:rPr>
          <w:color w:val="000000"/>
          <w:sz w:val="20"/>
          <w:szCs w:val="20"/>
        </w:rPr>
        <w:t xml:space="preserve">Budget and Actual Expenditure (by result) </w:t>
      </w:r>
    </w:p>
    <w:p w:rsidR="001346E3" w:rsidRDefault="001346E3" w:rsidP="001363EE">
      <w:pPr>
        <w:pStyle w:val="NormalWeb"/>
        <w:keepNext/>
        <w:keepLines/>
        <w:spacing w:before="0" w:beforeAutospacing="0" w:after="0" w:afterAutospacing="0"/>
        <w:jc w:val="center"/>
        <w:rPr>
          <w:i/>
          <w:iCs/>
          <w:color w:val="000000"/>
          <w:sz w:val="20"/>
          <w:szCs w:val="20"/>
        </w:rPr>
      </w:pPr>
      <w:r w:rsidRPr="00383D2D">
        <w:rPr>
          <w:i/>
          <w:iCs/>
          <w:color w:val="000000"/>
          <w:sz w:val="20"/>
          <w:szCs w:val="20"/>
        </w:rPr>
        <w:t>(in thousands of Swiss francs)</w:t>
      </w:r>
    </w:p>
    <w:p w:rsidR="001346E3" w:rsidRPr="00383D2D" w:rsidRDefault="001346E3" w:rsidP="001363EE">
      <w:pPr>
        <w:pStyle w:val="NormalWeb"/>
        <w:keepNext/>
        <w:keepLines/>
        <w:spacing w:before="0" w:beforeAutospacing="0" w:after="0" w:afterAutospacing="0"/>
        <w:jc w:val="center"/>
        <w:rPr>
          <w:sz w:val="20"/>
          <w:szCs w:val="20"/>
        </w:rPr>
      </w:pPr>
    </w:p>
    <w:p w:rsidR="001346E3" w:rsidRDefault="001346E3" w:rsidP="001363EE">
      <w:pPr>
        <w:keepNext/>
        <w:keepLines/>
        <w:jc w:val="center"/>
      </w:pPr>
      <w:r w:rsidRPr="008344B2">
        <w:rPr>
          <w:noProof/>
        </w:rPr>
        <w:drawing>
          <wp:inline distT="0" distB="0" distL="0" distR="0" wp14:anchorId="46C8DF73" wp14:editId="23310E34">
            <wp:extent cx="4635610" cy="1248931"/>
            <wp:effectExtent l="0" t="0" r="0" b="8890"/>
            <wp:docPr id="911" name="Picture 9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4">
                      <a:extLst>
                        <a:ext uri="{28A0092B-C50C-407E-A947-70E740481C1C}">
                          <a14:useLocalDpi xmlns:a14="http://schemas.microsoft.com/office/drawing/2010/main" val="0"/>
                        </a:ext>
                      </a:extLst>
                    </a:blip>
                    <a:srcRect/>
                    <a:stretch>
                      <a:fillRect/>
                    </a:stretch>
                  </pic:blipFill>
                  <pic:spPr bwMode="auto">
                    <a:xfrm>
                      <a:off x="0" y="0"/>
                      <a:ext cx="4641799" cy="1250598"/>
                    </a:xfrm>
                    <a:prstGeom prst="rect">
                      <a:avLst/>
                    </a:prstGeom>
                    <a:noFill/>
                    <a:ln>
                      <a:noFill/>
                    </a:ln>
                  </pic:spPr>
                </pic:pic>
              </a:graphicData>
            </a:graphic>
          </wp:inline>
        </w:drawing>
      </w:r>
    </w:p>
    <w:p w:rsidR="001346E3" w:rsidRDefault="001346E3" w:rsidP="001363EE">
      <w:pPr>
        <w:pStyle w:val="NormalWeb"/>
        <w:keepNext/>
        <w:keepLines/>
        <w:spacing w:before="0" w:beforeAutospacing="0" w:after="0" w:afterAutospacing="0"/>
        <w:rPr>
          <w:color w:val="000000"/>
          <w:sz w:val="20"/>
          <w:szCs w:val="20"/>
        </w:rPr>
      </w:pPr>
    </w:p>
    <w:p w:rsidR="001346E3" w:rsidRPr="00383D2D" w:rsidRDefault="001346E3" w:rsidP="001363EE">
      <w:pPr>
        <w:pStyle w:val="NormalWeb"/>
        <w:keepNext/>
        <w:keepLines/>
        <w:spacing w:before="0" w:beforeAutospacing="0" w:after="0" w:afterAutospacing="0"/>
        <w:jc w:val="center"/>
        <w:rPr>
          <w:sz w:val="20"/>
          <w:szCs w:val="20"/>
        </w:rPr>
      </w:pPr>
      <w:r w:rsidRPr="00383D2D">
        <w:rPr>
          <w:color w:val="000000"/>
          <w:sz w:val="20"/>
          <w:szCs w:val="20"/>
        </w:rPr>
        <w:t xml:space="preserve">Budget and Actual Expenditure (personnel and non-personnel) </w:t>
      </w:r>
    </w:p>
    <w:p w:rsidR="001346E3" w:rsidRPr="00383D2D" w:rsidRDefault="001346E3" w:rsidP="001363EE">
      <w:pPr>
        <w:pStyle w:val="NormalWeb"/>
        <w:keepNext/>
        <w:keepLines/>
        <w:spacing w:before="0" w:beforeAutospacing="0" w:after="0" w:afterAutospacing="0"/>
        <w:jc w:val="center"/>
        <w:rPr>
          <w:i/>
          <w:iCs/>
          <w:color w:val="000000"/>
          <w:sz w:val="20"/>
          <w:szCs w:val="20"/>
        </w:rPr>
      </w:pPr>
      <w:r w:rsidRPr="00383D2D">
        <w:rPr>
          <w:i/>
          <w:iCs/>
          <w:color w:val="000000"/>
          <w:sz w:val="20"/>
          <w:szCs w:val="20"/>
        </w:rPr>
        <w:t>(in thousands of Swiss francs)</w:t>
      </w:r>
    </w:p>
    <w:p w:rsidR="001346E3" w:rsidRDefault="001346E3" w:rsidP="001363EE">
      <w:pPr>
        <w:pStyle w:val="NormalWeb"/>
        <w:keepNext/>
        <w:keepLines/>
        <w:spacing w:before="0" w:beforeAutospacing="0" w:after="0" w:afterAutospacing="0"/>
        <w:jc w:val="center"/>
      </w:pPr>
    </w:p>
    <w:p w:rsidR="001346E3" w:rsidRPr="008F4A6D" w:rsidRDefault="001346E3" w:rsidP="001363EE">
      <w:pPr>
        <w:widowControl w:val="0"/>
        <w:autoSpaceDE w:val="0"/>
        <w:autoSpaceDN w:val="0"/>
        <w:adjustRightInd w:val="0"/>
        <w:jc w:val="center"/>
        <w:rPr>
          <w:rFonts w:cs="Arial"/>
          <w:szCs w:val="20"/>
        </w:rPr>
      </w:pPr>
      <w:r w:rsidRPr="008344B2">
        <w:rPr>
          <w:noProof/>
        </w:rPr>
        <w:drawing>
          <wp:inline distT="0" distB="0" distL="0" distR="0" wp14:anchorId="2BFAA90C" wp14:editId="4A340820">
            <wp:extent cx="4778734" cy="880087"/>
            <wp:effectExtent l="0" t="0" r="3175" b="0"/>
            <wp:docPr id="912" name="Picture 9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5">
                      <a:extLst>
                        <a:ext uri="{28A0092B-C50C-407E-A947-70E740481C1C}">
                          <a14:useLocalDpi xmlns:a14="http://schemas.microsoft.com/office/drawing/2010/main" val="0"/>
                        </a:ext>
                      </a:extLst>
                    </a:blip>
                    <a:srcRect/>
                    <a:stretch>
                      <a:fillRect/>
                    </a:stretch>
                  </pic:blipFill>
                  <pic:spPr bwMode="auto">
                    <a:xfrm>
                      <a:off x="0" y="0"/>
                      <a:ext cx="4793990" cy="882897"/>
                    </a:xfrm>
                    <a:prstGeom prst="rect">
                      <a:avLst/>
                    </a:prstGeom>
                    <a:noFill/>
                    <a:ln>
                      <a:noFill/>
                    </a:ln>
                  </pic:spPr>
                </pic:pic>
              </a:graphicData>
            </a:graphic>
          </wp:inline>
        </w:drawing>
      </w:r>
    </w:p>
    <w:p w:rsidR="001346E3" w:rsidRDefault="001346E3" w:rsidP="001363EE">
      <w:pPr>
        <w:widowControl w:val="0"/>
        <w:autoSpaceDE w:val="0"/>
        <w:autoSpaceDN w:val="0"/>
        <w:adjustRightInd w:val="0"/>
        <w:rPr>
          <w:rFonts w:cs="Arial"/>
          <w:szCs w:val="20"/>
        </w:rPr>
      </w:pPr>
    </w:p>
    <w:p w:rsidR="001346E3" w:rsidRPr="001C6F4D" w:rsidRDefault="001346E3" w:rsidP="001363EE">
      <w:pPr>
        <w:widowControl w:val="0"/>
        <w:autoSpaceDE w:val="0"/>
        <w:autoSpaceDN w:val="0"/>
        <w:adjustRightInd w:val="0"/>
        <w:rPr>
          <w:rFonts w:cs="Arial"/>
          <w:szCs w:val="20"/>
        </w:rPr>
      </w:pPr>
    </w:p>
    <w:p w:rsidR="001346E3" w:rsidRPr="00CA655E" w:rsidRDefault="001346E3" w:rsidP="00F33ED1">
      <w:pPr>
        <w:pStyle w:val="ListParagraph"/>
        <w:numPr>
          <w:ilvl w:val="0"/>
          <w:numId w:val="49"/>
        </w:numPr>
        <w:tabs>
          <w:tab w:val="left" w:pos="709"/>
        </w:tabs>
        <w:ind w:left="709" w:hanging="709"/>
        <w:jc w:val="both"/>
        <w:rPr>
          <w:u w:val="single"/>
        </w:rPr>
      </w:pPr>
      <w:r w:rsidRPr="00CA655E">
        <w:rPr>
          <w:u w:val="single"/>
        </w:rPr>
        <w:t xml:space="preserve">2014/15 Final Budget after Transfers </w:t>
      </w:r>
    </w:p>
    <w:p w:rsidR="001346E3" w:rsidRPr="00CA655E" w:rsidRDefault="001346E3" w:rsidP="001363EE">
      <w:pPr>
        <w:jc w:val="both"/>
        <w:rPr>
          <w:szCs w:val="20"/>
        </w:rPr>
      </w:pPr>
    </w:p>
    <w:p w:rsidR="001346E3" w:rsidRDefault="001346E3" w:rsidP="001346E3">
      <w:pPr>
        <w:pStyle w:val="ONUME"/>
        <w:numPr>
          <w:ilvl w:val="0"/>
          <w:numId w:val="48"/>
        </w:numPr>
        <w:tabs>
          <w:tab w:val="left" w:pos="709"/>
        </w:tabs>
        <w:spacing w:after="0"/>
        <w:ind w:left="0" w:firstLine="0"/>
        <w:jc w:val="both"/>
      </w:pPr>
      <w:r w:rsidRPr="00CA655E">
        <w:t>The overall increase in the 2014/15 Final Budget after Transfers resulted primarily from the increase in non-personnel resources allocated to Expected Result IX.1</w:t>
      </w:r>
      <w:r>
        <w:t xml:space="preserve"> (</w:t>
      </w:r>
      <w:r w:rsidRPr="00F930E1">
        <w:t>Effective, efficient, quality and customer-oriented support services</w:t>
      </w:r>
      <w:r>
        <w:t>)</w:t>
      </w:r>
      <w:r w:rsidRPr="00CA655E">
        <w:t>, in order to cover the</w:t>
      </w:r>
      <w:r>
        <w:t xml:space="preserve">: </w:t>
      </w:r>
      <w:r w:rsidRPr="00CA655E">
        <w:t xml:space="preserve"> (i) implementation of a resilient infrastructure in the WIPO external offices</w:t>
      </w:r>
      <w:r>
        <w:t xml:space="preserve">; </w:t>
      </w:r>
      <w:r w:rsidRPr="00CA655E">
        <w:t xml:space="preserve"> (ii) procurement of licenses for enterprise content management and the configuration management database</w:t>
      </w:r>
      <w:r>
        <w:t xml:space="preserve">; </w:t>
      </w:r>
      <w:r w:rsidRPr="00CA655E">
        <w:t xml:space="preserve"> (iii) purchase of laptops to equip the WIPO CAM facility as a "hot site" in the case of a local emergency event</w:t>
      </w:r>
      <w:r>
        <w:t xml:space="preserve">; </w:t>
      </w:r>
      <w:r w:rsidRPr="00CA655E">
        <w:t xml:space="preserve"> (iv) costs related to the study o</w:t>
      </w:r>
      <w:r>
        <w:t>n</w:t>
      </w:r>
      <w:r w:rsidRPr="00CA655E">
        <w:t xml:space="preserve"> identity access management</w:t>
      </w:r>
      <w:r>
        <w:t xml:space="preserve">; </w:t>
      </w:r>
      <w:r w:rsidRPr="00CA655E">
        <w:t xml:space="preserve"> (v) purchase of information security solutions for increased capabilities of protection and incident response</w:t>
      </w:r>
      <w:r>
        <w:t xml:space="preserve">; </w:t>
      </w:r>
      <w:r w:rsidRPr="00CA655E">
        <w:t xml:space="preserve"> and (vi) replacement of various IT equipment such as mobile phones, laptops and monitors.</w:t>
      </w:r>
    </w:p>
    <w:p w:rsidR="001346E3" w:rsidRPr="00CA655E" w:rsidRDefault="001346E3" w:rsidP="001363EE">
      <w:pPr>
        <w:pStyle w:val="ONUME"/>
        <w:tabs>
          <w:tab w:val="left" w:pos="709"/>
        </w:tabs>
        <w:spacing w:after="0"/>
        <w:jc w:val="both"/>
      </w:pPr>
    </w:p>
    <w:p w:rsidR="001346E3" w:rsidRPr="00CA655E" w:rsidRDefault="001346E3" w:rsidP="00AD6C96">
      <w:pPr>
        <w:pStyle w:val="ONUME"/>
        <w:keepNext/>
        <w:keepLines/>
        <w:numPr>
          <w:ilvl w:val="0"/>
          <w:numId w:val="48"/>
        </w:numPr>
        <w:tabs>
          <w:tab w:val="left" w:pos="709"/>
        </w:tabs>
        <w:spacing w:after="0"/>
        <w:ind w:left="0" w:firstLine="0"/>
        <w:jc w:val="both"/>
      </w:pPr>
      <w:r w:rsidRPr="00CA655E">
        <w:t xml:space="preserve">The net increase in personnel resources was primarily driven by, on the one hand, reclassifications and completed regularizations of continuing functions, and on the other hand, the redeployment of a temporary position to Procurement and Travel in Program 24 for the establishment of an ICS certifier function. </w:t>
      </w:r>
    </w:p>
    <w:p w:rsidR="001346E3" w:rsidRPr="00CA655E" w:rsidRDefault="001346E3" w:rsidP="00AD6C96">
      <w:pPr>
        <w:keepNext/>
        <w:keepLines/>
        <w:jc w:val="both"/>
        <w:rPr>
          <w:szCs w:val="20"/>
        </w:rPr>
      </w:pPr>
    </w:p>
    <w:p w:rsidR="001346E3" w:rsidRPr="00CA655E" w:rsidRDefault="001346E3" w:rsidP="00F33ED1">
      <w:pPr>
        <w:pStyle w:val="ListParagraph"/>
        <w:numPr>
          <w:ilvl w:val="0"/>
          <w:numId w:val="49"/>
        </w:numPr>
        <w:ind w:left="709" w:hanging="709"/>
        <w:jc w:val="both"/>
        <w:rPr>
          <w:u w:val="single"/>
        </w:rPr>
      </w:pPr>
      <w:r w:rsidRPr="00CA655E">
        <w:rPr>
          <w:u w:val="single"/>
        </w:rPr>
        <w:t xml:space="preserve">2014/15 Budget Utilization </w:t>
      </w:r>
    </w:p>
    <w:p w:rsidR="001346E3" w:rsidRPr="00CA655E" w:rsidRDefault="001346E3" w:rsidP="001363EE">
      <w:pPr>
        <w:jc w:val="both"/>
        <w:rPr>
          <w:szCs w:val="20"/>
        </w:rPr>
      </w:pPr>
    </w:p>
    <w:p w:rsidR="001346E3" w:rsidRDefault="001346E3" w:rsidP="001346E3">
      <w:pPr>
        <w:pStyle w:val="ONUME"/>
        <w:numPr>
          <w:ilvl w:val="0"/>
          <w:numId w:val="48"/>
        </w:numPr>
        <w:tabs>
          <w:tab w:val="left" w:pos="709"/>
        </w:tabs>
        <w:ind w:left="0" w:firstLine="0"/>
        <w:jc w:val="both"/>
      </w:pPr>
      <w:r w:rsidRPr="00CA655E">
        <w:t>Budget utilization is within the expected range for the biennium.</w:t>
      </w:r>
    </w:p>
    <w:p w:rsidR="005E4C4F" w:rsidRDefault="005E4C4F"/>
    <w:p w:rsidR="00FF768F" w:rsidRDefault="00FF768F">
      <w:r>
        <w:br w:type="page"/>
      </w:r>
    </w:p>
    <w:p w:rsidR="00671363" w:rsidRPr="007F6F24" w:rsidRDefault="00671363" w:rsidP="00B9043D">
      <w:pPr>
        <w:pStyle w:val="Heading2"/>
        <w:tabs>
          <w:tab w:val="clear" w:pos="567"/>
          <w:tab w:val="clear" w:pos="9072"/>
        </w:tabs>
        <w:spacing w:before="240" w:after="60"/>
        <w:ind w:left="1985" w:hanging="1985"/>
        <w:rPr>
          <w:rFonts w:eastAsia="SimSun"/>
          <w:bCs w:val="0"/>
          <w:caps/>
          <w:szCs w:val="22"/>
          <w:lang w:eastAsia="zh-CN"/>
        </w:rPr>
      </w:pPr>
      <w:bookmarkStart w:id="110" w:name="_Toc422210515"/>
      <w:bookmarkStart w:id="111" w:name="_Toc454544500"/>
      <w:r w:rsidRPr="007F6F24">
        <w:rPr>
          <w:rFonts w:eastAsia="SimSun"/>
          <w:bCs w:val="0"/>
          <w:caps/>
          <w:szCs w:val="22"/>
          <w:lang w:eastAsia="zh-CN"/>
        </w:rPr>
        <w:t>PROGRAM 26</w:t>
      </w:r>
      <w:r w:rsidRPr="007F6F24">
        <w:rPr>
          <w:rFonts w:eastAsia="SimSun"/>
          <w:bCs w:val="0"/>
          <w:caps/>
          <w:szCs w:val="22"/>
          <w:lang w:eastAsia="zh-CN"/>
        </w:rPr>
        <w:tab/>
        <w:t>INTERNAL OVERSIGHT</w:t>
      </w:r>
      <w:bookmarkEnd w:id="110"/>
      <w:bookmarkEnd w:id="111"/>
    </w:p>
    <w:p w:rsidR="00671363" w:rsidRPr="00C3328E" w:rsidRDefault="00671363" w:rsidP="00B9043D">
      <w:pPr>
        <w:tabs>
          <w:tab w:val="left" w:pos="1985"/>
        </w:tabs>
        <w:rPr>
          <w:szCs w:val="20"/>
        </w:rPr>
      </w:pPr>
    </w:p>
    <w:p w:rsidR="00671363" w:rsidRPr="00C3328E" w:rsidRDefault="00671363" w:rsidP="00B9043D">
      <w:pPr>
        <w:tabs>
          <w:tab w:val="left" w:pos="1985"/>
        </w:tabs>
        <w:rPr>
          <w:b/>
          <w:szCs w:val="20"/>
        </w:rPr>
      </w:pPr>
      <w:r w:rsidRPr="00C3328E">
        <w:rPr>
          <w:b/>
          <w:szCs w:val="20"/>
        </w:rPr>
        <w:t>Program Manager</w:t>
      </w:r>
      <w:r>
        <w:rPr>
          <w:b/>
          <w:szCs w:val="20"/>
        </w:rPr>
        <w:tab/>
      </w:r>
      <w:r w:rsidRPr="00544CDC">
        <w:rPr>
          <w:b/>
          <w:szCs w:val="20"/>
        </w:rPr>
        <w:t xml:space="preserve">Mr. </w:t>
      </w:r>
      <w:r>
        <w:rPr>
          <w:b/>
          <w:szCs w:val="20"/>
        </w:rPr>
        <w:t>T. Efendioglu (Acting Director IOD)</w:t>
      </w:r>
    </w:p>
    <w:p w:rsidR="00671363" w:rsidRDefault="00671363" w:rsidP="00B9043D">
      <w:pPr>
        <w:rPr>
          <w:szCs w:val="20"/>
        </w:rPr>
      </w:pPr>
    </w:p>
    <w:p w:rsidR="00671363" w:rsidRPr="00C3328E" w:rsidRDefault="00671363" w:rsidP="00B9043D">
      <w:pPr>
        <w:rPr>
          <w:szCs w:val="20"/>
        </w:rPr>
      </w:pPr>
    </w:p>
    <w:p w:rsidR="00671363" w:rsidRPr="006A6733" w:rsidRDefault="00671363" w:rsidP="00B9043D">
      <w:pPr>
        <w:rPr>
          <w:bCs/>
          <w:szCs w:val="20"/>
        </w:rPr>
      </w:pPr>
      <w:r w:rsidRPr="006A6733">
        <w:rPr>
          <w:bCs/>
          <w:szCs w:val="20"/>
        </w:rPr>
        <w:t>ACHIEVEMENTS IN THE 2014/15 BIENNIUM</w:t>
      </w:r>
    </w:p>
    <w:p w:rsidR="00671363" w:rsidRPr="00C3328E" w:rsidRDefault="00671363" w:rsidP="00671363">
      <w:pPr>
        <w:tabs>
          <w:tab w:val="left" w:pos="709"/>
        </w:tabs>
        <w:rPr>
          <w:szCs w:val="20"/>
        </w:rPr>
      </w:pPr>
    </w:p>
    <w:p w:rsidR="00671363" w:rsidRDefault="00671363" w:rsidP="00671363">
      <w:pPr>
        <w:pStyle w:val="ListParagraph"/>
        <w:numPr>
          <w:ilvl w:val="0"/>
          <w:numId w:val="21"/>
        </w:numPr>
        <w:tabs>
          <w:tab w:val="left" w:pos="709"/>
        </w:tabs>
        <w:ind w:left="0" w:firstLine="0"/>
        <w:jc w:val="both"/>
        <w:rPr>
          <w:rFonts w:cs="Arial"/>
        </w:rPr>
      </w:pPr>
      <w:r w:rsidRPr="00C04464">
        <w:rPr>
          <w:rFonts w:cs="Arial"/>
        </w:rPr>
        <w:t>The Internal Oversight Division (IOD) went through three successful external quality assessments</w:t>
      </w:r>
      <w:r>
        <w:rPr>
          <w:rFonts w:cs="Arial"/>
        </w:rPr>
        <w:t xml:space="preserve"> (EQAs)</w:t>
      </w:r>
      <w:r w:rsidRPr="00C04464">
        <w:rPr>
          <w:rFonts w:cs="Arial"/>
        </w:rPr>
        <w:t xml:space="preserve"> of, respectively, its audit</w:t>
      </w:r>
      <w:r>
        <w:rPr>
          <w:rStyle w:val="FootnoteReference"/>
          <w:rFonts w:cs="Arial"/>
        </w:rPr>
        <w:footnoteReference w:id="140"/>
      </w:r>
      <w:r w:rsidRPr="00C04464">
        <w:rPr>
          <w:rFonts w:cs="Arial"/>
        </w:rPr>
        <w:t>, evaluation</w:t>
      </w:r>
      <w:r>
        <w:rPr>
          <w:rStyle w:val="FootnoteReference"/>
          <w:rFonts w:cs="Arial"/>
        </w:rPr>
        <w:footnoteReference w:id="141"/>
      </w:r>
      <w:r w:rsidRPr="00C04464">
        <w:rPr>
          <w:rFonts w:cs="Arial"/>
        </w:rPr>
        <w:t xml:space="preserve"> and investigation</w:t>
      </w:r>
      <w:r>
        <w:rPr>
          <w:rStyle w:val="FootnoteReference"/>
          <w:rFonts w:cs="Arial"/>
        </w:rPr>
        <w:footnoteReference w:id="142"/>
      </w:r>
      <w:r w:rsidRPr="00C04464">
        <w:rPr>
          <w:rFonts w:cs="Arial"/>
        </w:rPr>
        <w:t xml:space="preserve"> functions</w:t>
      </w:r>
      <w:r>
        <w:rPr>
          <w:rFonts w:cs="Arial"/>
        </w:rPr>
        <w:t xml:space="preserve"> in 2014/15</w:t>
      </w:r>
      <w:r w:rsidRPr="00C04464">
        <w:rPr>
          <w:rFonts w:cs="Arial"/>
        </w:rPr>
        <w:t xml:space="preserve">.  All disciplines were found by the independent external assessors to be in general conformance with the standards </w:t>
      </w:r>
      <w:r>
        <w:rPr>
          <w:rFonts w:cs="Arial"/>
        </w:rPr>
        <w:t>for each</w:t>
      </w:r>
      <w:r w:rsidRPr="00C04464">
        <w:rPr>
          <w:rFonts w:cs="Arial"/>
        </w:rPr>
        <w:t xml:space="preserve"> profession</w:t>
      </w:r>
      <w:r>
        <w:rPr>
          <w:rStyle w:val="FootnoteReference"/>
          <w:rFonts w:cs="Arial"/>
        </w:rPr>
        <w:footnoteReference w:id="143"/>
      </w:r>
      <w:r w:rsidRPr="00C04464">
        <w:rPr>
          <w:rFonts w:cs="Arial"/>
        </w:rPr>
        <w:t xml:space="preserve">. </w:t>
      </w:r>
    </w:p>
    <w:p w:rsidR="00671363" w:rsidRPr="00C04464" w:rsidRDefault="00671363" w:rsidP="00671363">
      <w:pPr>
        <w:pStyle w:val="ListParagraph"/>
        <w:tabs>
          <w:tab w:val="left" w:pos="709"/>
        </w:tabs>
        <w:ind w:left="0"/>
        <w:jc w:val="both"/>
        <w:rPr>
          <w:rFonts w:cs="Arial"/>
        </w:rPr>
      </w:pPr>
      <w:r w:rsidRPr="00C04464">
        <w:rPr>
          <w:rFonts w:cs="Arial"/>
        </w:rPr>
        <w:t xml:space="preserve"> </w:t>
      </w:r>
    </w:p>
    <w:p w:rsidR="00671363" w:rsidRDefault="00671363" w:rsidP="00671363">
      <w:pPr>
        <w:pStyle w:val="ListParagraph"/>
        <w:numPr>
          <w:ilvl w:val="0"/>
          <w:numId w:val="21"/>
        </w:numPr>
        <w:tabs>
          <w:tab w:val="left" w:pos="709"/>
        </w:tabs>
        <w:ind w:left="0" w:firstLine="0"/>
        <w:jc w:val="both"/>
        <w:rPr>
          <w:rFonts w:cs="Arial"/>
        </w:rPr>
      </w:pPr>
      <w:r w:rsidRPr="00C04464">
        <w:rPr>
          <w:rFonts w:cs="Arial"/>
        </w:rPr>
        <w:t xml:space="preserve">IOD also contributed to the revision of WIPO’s Internal Oversight Charter which was approved by the General Assembly on September 30, 2014.  The </w:t>
      </w:r>
      <w:r>
        <w:rPr>
          <w:rFonts w:cs="Arial"/>
        </w:rPr>
        <w:t>revision resulted in:</w:t>
      </w:r>
      <w:r w:rsidRPr="00C04464">
        <w:rPr>
          <w:rFonts w:cs="Arial"/>
        </w:rPr>
        <w:t xml:space="preserve">  </w:t>
      </w:r>
      <w:r>
        <w:rPr>
          <w:rFonts w:cs="Arial"/>
        </w:rPr>
        <w:t>(i) the c</w:t>
      </w:r>
      <w:r w:rsidRPr="00C04464">
        <w:rPr>
          <w:rFonts w:cs="Arial"/>
        </w:rPr>
        <w:t xml:space="preserve">hange of name to “Internal Oversight Division (IOD)”;  </w:t>
      </w:r>
      <w:r>
        <w:rPr>
          <w:rFonts w:cs="Arial"/>
        </w:rPr>
        <w:t xml:space="preserve">(ii) </w:t>
      </w:r>
      <w:r w:rsidRPr="00C04464">
        <w:rPr>
          <w:rFonts w:cs="Arial"/>
        </w:rPr>
        <w:t xml:space="preserve">International </w:t>
      </w:r>
      <w:r>
        <w:rPr>
          <w:rFonts w:cs="Arial"/>
        </w:rPr>
        <w:t>S</w:t>
      </w:r>
      <w:r w:rsidRPr="00C04464">
        <w:rPr>
          <w:rFonts w:cs="Arial"/>
        </w:rPr>
        <w:t>tandards</w:t>
      </w:r>
      <w:r>
        <w:rPr>
          <w:rFonts w:cs="Arial"/>
        </w:rPr>
        <w:t>/UN Guidelines and Norms</w:t>
      </w:r>
      <w:r w:rsidRPr="00C04464">
        <w:rPr>
          <w:rFonts w:cs="Arial"/>
        </w:rPr>
        <w:t xml:space="preserve"> for internal audit, evaluation and investigation made mandatory;  </w:t>
      </w:r>
      <w:r>
        <w:rPr>
          <w:rFonts w:cs="Arial"/>
        </w:rPr>
        <w:t xml:space="preserve">(iii) greater involvement of </w:t>
      </w:r>
      <w:r w:rsidRPr="00C04464">
        <w:rPr>
          <w:rFonts w:cs="Arial"/>
        </w:rPr>
        <w:t xml:space="preserve">the Independent Advisory Oversight Committee (IAOC) in the preparation of IOD’s work plan;  </w:t>
      </w:r>
      <w:r>
        <w:rPr>
          <w:rFonts w:cs="Arial"/>
        </w:rPr>
        <w:t xml:space="preserve">(iv) the public disclosure of </w:t>
      </w:r>
      <w:r w:rsidRPr="00C04464">
        <w:rPr>
          <w:rFonts w:cs="Arial"/>
        </w:rPr>
        <w:t xml:space="preserve"> internal audit</w:t>
      </w:r>
      <w:r>
        <w:rPr>
          <w:rFonts w:cs="Arial"/>
        </w:rPr>
        <w:t xml:space="preserve">, </w:t>
      </w:r>
      <w:r w:rsidRPr="00C04464">
        <w:rPr>
          <w:rFonts w:cs="Arial"/>
        </w:rPr>
        <w:t>evaluation</w:t>
      </w:r>
      <w:r>
        <w:rPr>
          <w:rFonts w:cs="Arial"/>
        </w:rPr>
        <w:t xml:space="preserve"> and management implication</w:t>
      </w:r>
      <w:r w:rsidRPr="00C04464">
        <w:rPr>
          <w:rFonts w:cs="Arial"/>
        </w:rPr>
        <w:t xml:space="preserve"> reports.  WIPO </w:t>
      </w:r>
      <w:r>
        <w:rPr>
          <w:rFonts w:cs="Arial"/>
        </w:rPr>
        <w:t>was</w:t>
      </w:r>
      <w:r w:rsidRPr="00C04464">
        <w:rPr>
          <w:rFonts w:cs="Arial"/>
        </w:rPr>
        <w:t xml:space="preserve"> the first </w:t>
      </w:r>
      <w:r>
        <w:rPr>
          <w:rFonts w:cs="Arial"/>
        </w:rPr>
        <w:t xml:space="preserve">UN </w:t>
      </w:r>
      <w:r w:rsidRPr="00C04464">
        <w:rPr>
          <w:rFonts w:cs="Arial"/>
        </w:rPr>
        <w:t>specialized agency to approve such a practice</w:t>
      </w:r>
      <w:r>
        <w:rPr>
          <w:rFonts w:cs="Arial"/>
        </w:rPr>
        <w:t>,</w:t>
      </w:r>
      <w:r w:rsidRPr="00C04464">
        <w:rPr>
          <w:rFonts w:cs="Arial"/>
        </w:rPr>
        <w:t xml:space="preserve"> which is now common in the UN Secretariat, its Funds and Programs.  </w:t>
      </w:r>
    </w:p>
    <w:p w:rsidR="00671363" w:rsidRPr="00C04464" w:rsidRDefault="00671363" w:rsidP="00671363">
      <w:pPr>
        <w:pStyle w:val="ListParagraph"/>
        <w:tabs>
          <w:tab w:val="left" w:pos="709"/>
        </w:tabs>
        <w:ind w:left="0"/>
        <w:jc w:val="both"/>
        <w:rPr>
          <w:rFonts w:cs="Arial"/>
        </w:rPr>
      </w:pPr>
    </w:p>
    <w:p w:rsidR="00671363" w:rsidRDefault="00671363" w:rsidP="00671363">
      <w:pPr>
        <w:pStyle w:val="ListParagraph"/>
        <w:numPr>
          <w:ilvl w:val="0"/>
          <w:numId w:val="21"/>
        </w:numPr>
        <w:tabs>
          <w:tab w:val="left" w:pos="709"/>
        </w:tabs>
        <w:ind w:left="0" w:firstLine="0"/>
        <w:jc w:val="both"/>
        <w:rPr>
          <w:rFonts w:cs="Arial"/>
        </w:rPr>
      </w:pPr>
      <w:r w:rsidRPr="00C04464">
        <w:rPr>
          <w:rFonts w:cs="Arial"/>
        </w:rPr>
        <w:t>IOD issued</w:t>
      </w:r>
      <w:r>
        <w:rPr>
          <w:rFonts w:cs="Arial"/>
        </w:rPr>
        <w:t xml:space="preserve"> 13 audit </w:t>
      </w:r>
      <w:r w:rsidRPr="00C04464">
        <w:rPr>
          <w:rFonts w:cs="Arial"/>
        </w:rPr>
        <w:t>reports</w:t>
      </w:r>
      <w:r>
        <w:rPr>
          <w:rFonts w:cs="Arial"/>
        </w:rPr>
        <w:t xml:space="preserve">, seven </w:t>
      </w:r>
      <w:r w:rsidRPr="00C04464">
        <w:rPr>
          <w:rFonts w:cs="Arial"/>
        </w:rPr>
        <w:t>evaluation</w:t>
      </w:r>
      <w:r>
        <w:rPr>
          <w:rFonts w:cs="Arial"/>
        </w:rPr>
        <w:t xml:space="preserve"> reports</w:t>
      </w:r>
      <w:r w:rsidRPr="00C04464">
        <w:rPr>
          <w:rFonts w:cs="Arial"/>
        </w:rPr>
        <w:t xml:space="preserve"> </w:t>
      </w:r>
      <w:r>
        <w:rPr>
          <w:rFonts w:cs="Arial"/>
        </w:rPr>
        <w:t>and the</w:t>
      </w:r>
      <w:r w:rsidRPr="00C04464">
        <w:rPr>
          <w:rFonts w:cs="Arial"/>
        </w:rPr>
        <w:t xml:space="preserve"> validation of the </w:t>
      </w:r>
      <w:r w:rsidRPr="000F4AFC">
        <w:rPr>
          <w:rFonts w:cs="Arial"/>
        </w:rPr>
        <w:t>end-biennial PPR</w:t>
      </w:r>
      <w:r>
        <w:rPr>
          <w:rFonts w:cs="Arial"/>
        </w:rPr>
        <w:t> </w:t>
      </w:r>
      <w:r w:rsidRPr="000F4AFC">
        <w:rPr>
          <w:rFonts w:cs="Arial"/>
        </w:rPr>
        <w:t>2012/13 (WO/PBC/22/9)</w:t>
      </w:r>
      <w:r>
        <w:rPr>
          <w:rFonts w:cs="Arial"/>
        </w:rPr>
        <w:t xml:space="preserve">, with a total of </w:t>
      </w:r>
      <w:r w:rsidRPr="00C04464">
        <w:rPr>
          <w:rFonts w:cs="Arial"/>
        </w:rPr>
        <w:t>161 recommendations for improvements</w:t>
      </w:r>
      <w:r>
        <w:rPr>
          <w:rFonts w:cs="Arial"/>
        </w:rPr>
        <w:t xml:space="preserve"> </w:t>
      </w:r>
      <w:r w:rsidRPr="00C04464">
        <w:rPr>
          <w:rFonts w:cs="Arial"/>
        </w:rPr>
        <w:t>(74 in 2014 and 87</w:t>
      </w:r>
      <w:r>
        <w:rPr>
          <w:rFonts w:cs="Arial"/>
        </w:rPr>
        <w:t> </w:t>
      </w:r>
      <w:r w:rsidRPr="00C04464">
        <w:rPr>
          <w:rFonts w:cs="Arial"/>
        </w:rPr>
        <w:t>in 2015</w:t>
      </w:r>
      <w:r>
        <w:rPr>
          <w:rFonts w:cs="Arial"/>
        </w:rPr>
        <w:t>)</w:t>
      </w:r>
      <w:r w:rsidRPr="00C04464">
        <w:rPr>
          <w:rFonts w:cs="Arial"/>
        </w:rPr>
        <w:t xml:space="preserve">.  </w:t>
      </w:r>
      <w:r>
        <w:rPr>
          <w:rFonts w:cs="Arial"/>
        </w:rPr>
        <w:t xml:space="preserve">IOD’s </w:t>
      </w:r>
      <w:r w:rsidRPr="00C04464">
        <w:rPr>
          <w:rFonts w:cs="Arial"/>
        </w:rPr>
        <w:t xml:space="preserve">Oversight Plan </w:t>
      </w:r>
      <w:r>
        <w:rPr>
          <w:rFonts w:cs="Arial"/>
        </w:rPr>
        <w:t xml:space="preserve">was </w:t>
      </w:r>
      <w:r w:rsidRPr="00C04464">
        <w:rPr>
          <w:rFonts w:cs="Arial"/>
        </w:rPr>
        <w:t xml:space="preserve">developed using IOD’s risk assessment </w:t>
      </w:r>
      <w:r>
        <w:rPr>
          <w:rFonts w:cs="Arial"/>
        </w:rPr>
        <w:t xml:space="preserve">methodology and the WIPO corporate risk registers, taking into account </w:t>
      </w:r>
      <w:r w:rsidRPr="00C04464">
        <w:rPr>
          <w:rFonts w:cs="Arial"/>
        </w:rPr>
        <w:t xml:space="preserve">WIPO’s operational entities and relevant business processes, as well as input received from Member States, the IAOC, Senior Management and the External Auditor.  Audit and </w:t>
      </w:r>
      <w:r>
        <w:rPr>
          <w:rFonts w:cs="Arial"/>
        </w:rPr>
        <w:t>e</w:t>
      </w:r>
      <w:r w:rsidRPr="00C04464">
        <w:rPr>
          <w:rFonts w:cs="Arial"/>
        </w:rPr>
        <w:t xml:space="preserve">valuation </w:t>
      </w:r>
      <w:r>
        <w:rPr>
          <w:rFonts w:cs="Arial"/>
        </w:rPr>
        <w:t xml:space="preserve">activities </w:t>
      </w:r>
      <w:r w:rsidRPr="00C04464">
        <w:rPr>
          <w:rFonts w:cs="Arial"/>
        </w:rPr>
        <w:t xml:space="preserve">covered </w:t>
      </w:r>
      <w:r>
        <w:rPr>
          <w:rFonts w:cs="Arial"/>
        </w:rPr>
        <w:t xml:space="preserve">various </w:t>
      </w:r>
      <w:r w:rsidRPr="00C04464">
        <w:rPr>
          <w:rFonts w:cs="Arial"/>
        </w:rPr>
        <w:t>program and project management</w:t>
      </w:r>
      <w:r>
        <w:rPr>
          <w:rFonts w:cs="Arial"/>
        </w:rPr>
        <w:t xml:space="preserve"> areas</w:t>
      </w:r>
      <w:r w:rsidRPr="00C04464">
        <w:rPr>
          <w:rFonts w:cs="Arial"/>
        </w:rPr>
        <w:t>,</w:t>
      </w:r>
      <w:r>
        <w:rPr>
          <w:rFonts w:cs="Arial"/>
        </w:rPr>
        <w:t xml:space="preserve"> including</w:t>
      </w:r>
      <w:r w:rsidRPr="00C04464">
        <w:rPr>
          <w:rFonts w:cs="Arial"/>
        </w:rPr>
        <w:t xml:space="preserve"> results based management, data management, safety and security, rewards and recognition, knowledge management</w:t>
      </w:r>
      <w:r>
        <w:rPr>
          <w:rFonts w:cs="Arial"/>
        </w:rPr>
        <w:t>, events management</w:t>
      </w:r>
      <w:r w:rsidRPr="00C04464">
        <w:rPr>
          <w:rFonts w:cs="Arial"/>
        </w:rPr>
        <w:t xml:space="preserve"> and asset management in the Organization.</w:t>
      </w:r>
    </w:p>
    <w:p w:rsidR="00671363" w:rsidRPr="00C04464" w:rsidRDefault="00671363" w:rsidP="00671363">
      <w:pPr>
        <w:pStyle w:val="ListParagraph"/>
        <w:tabs>
          <w:tab w:val="left" w:pos="709"/>
        </w:tabs>
        <w:ind w:left="0"/>
        <w:jc w:val="both"/>
        <w:rPr>
          <w:rFonts w:cs="Arial"/>
        </w:rPr>
      </w:pPr>
    </w:p>
    <w:p w:rsidR="00671363" w:rsidRDefault="00671363" w:rsidP="00671363">
      <w:pPr>
        <w:pStyle w:val="ListParagraph"/>
        <w:numPr>
          <w:ilvl w:val="0"/>
          <w:numId w:val="21"/>
        </w:numPr>
        <w:tabs>
          <w:tab w:val="left" w:pos="709"/>
        </w:tabs>
        <w:ind w:left="0" w:firstLine="0"/>
        <w:jc w:val="both"/>
        <w:rPr>
          <w:rFonts w:cs="Arial"/>
        </w:rPr>
      </w:pPr>
      <w:r w:rsidRPr="00C04464">
        <w:rPr>
          <w:rFonts w:cs="Arial"/>
        </w:rPr>
        <w:t xml:space="preserve">IOD registered 53 cases for investigative activities and closed 43 in the 2014/15 biennium.  On average, all cases were closed within the timeframe set by WIPO’s </w:t>
      </w:r>
      <w:r>
        <w:rPr>
          <w:rFonts w:cs="Arial"/>
        </w:rPr>
        <w:t>I</w:t>
      </w:r>
      <w:r w:rsidRPr="00C04464">
        <w:rPr>
          <w:rFonts w:cs="Arial"/>
        </w:rPr>
        <w:t xml:space="preserve">nvestigation </w:t>
      </w:r>
      <w:r>
        <w:rPr>
          <w:rFonts w:cs="Arial"/>
        </w:rPr>
        <w:t>P</w:t>
      </w:r>
      <w:r w:rsidRPr="00C04464">
        <w:rPr>
          <w:rFonts w:cs="Arial"/>
        </w:rPr>
        <w:t>olicy.  More than 50</w:t>
      </w:r>
      <w:r w:rsidR="008F399E">
        <w:rPr>
          <w:rFonts w:cs="Arial"/>
        </w:rPr>
        <w:t> </w:t>
      </w:r>
      <w:r w:rsidRPr="00C04464">
        <w:rPr>
          <w:rFonts w:cs="Arial"/>
        </w:rPr>
        <w:t xml:space="preserve">per cent of the cases </w:t>
      </w:r>
      <w:r>
        <w:rPr>
          <w:rFonts w:cs="Arial"/>
        </w:rPr>
        <w:t>dealt with</w:t>
      </w:r>
      <w:r w:rsidRPr="00C04464">
        <w:rPr>
          <w:rFonts w:cs="Arial"/>
        </w:rPr>
        <w:t xml:space="preserve"> harassment, </w:t>
      </w:r>
      <w:r w:rsidRPr="000F4AFC">
        <w:rPr>
          <w:rFonts w:cs="Arial"/>
        </w:rPr>
        <w:t>statements/activities incompatible with the obligations of an international civil servant and fraud on benefits/entitlements</w:t>
      </w:r>
      <w:r w:rsidRPr="00C04464">
        <w:rPr>
          <w:rFonts w:cs="Arial"/>
        </w:rPr>
        <w:t>.</w:t>
      </w:r>
      <w:r>
        <w:rPr>
          <w:rFonts w:cs="Arial"/>
        </w:rPr>
        <w:t xml:space="preserve"> </w:t>
      </w:r>
    </w:p>
    <w:p w:rsidR="00671363" w:rsidRPr="00C04464" w:rsidRDefault="00671363" w:rsidP="00671363">
      <w:pPr>
        <w:pStyle w:val="ListParagraph"/>
        <w:tabs>
          <w:tab w:val="left" w:pos="709"/>
        </w:tabs>
        <w:ind w:left="0"/>
        <w:jc w:val="both"/>
        <w:rPr>
          <w:rFonts w:cs="Arial"/>
        </w:rPr>
      </w:pPr>
    </w:p>
    <w:p w:rsidR="00671363" w:rsidRDefault="00671363" w:rsidP="00671363">
      <w:pPr>
        <w:pStyle w:val="ListParagraph"/>
        <w:numPr>
          <w:ilvl w:val="0"/>
          <w:numId w:val="21"/>
        </w:numPr>
        <w:tabs>
          <w:tab w:val="left" w:pos="709"/>
        </w:tabs>
        <w:ind w:left="0" w:firstLine="0"/>
        <w:jc w:val="both"/>
        <w:rPr>
          <w:rFonts w:cs="Arial"/>
        </w:rPr>
      </w:pPr>
      <w:r>
        <w:rPr>
          <w:rFonts w:cs="Arial"/>
        </w:rPr>
        <w:t>A</w:t>
      </w:r>
      <w:r w:rsidRPr="00C04464">
        <w:rPr>
          <w:rFonts w:cs="Arial"/>
        </w:rPr>
        <w:t xml:space="preserve">imed at building and </w:t>
      </w:r>
      <w:r>
        <w:rPr>
          <w:rFonts w:cs="Arial"/>
        </w:rPr>
        <w:t>strengthening</w:t>
      </w:r>
      <w:r w:rsidRPr="00C04464">
        <w:rPr>
          <w:rFonts w:cs="Arial"/>
        </w:rPr>
        <w:t xml:space="preserve"> a culture of learning and a strong commitment to accountability</w:t>
      </w:r>
      <w:r w:rsidRPr="005533DB">
        <w:rPr>
          <w:rFonts w:cs="Arial"/>
        </w:rPr>
        <w:t xml:space="preserve"> </w:t>
      </w:r>
      <w:r w:rsidRPr="00C04464">
        <w:rPr>
          <w:rFonts w:cs="Arial"/>
        </w:rPr>
        <w:t>while contributing to the fostering of improved organizational processes and operations</w:t>
      </w:r>
      <w:r>
        <w:rPr>
          <w:rFonts w:cs="Arial"/>
        </w:rPr>
        <w:t xml:space="preserve">, </w:t>
      </w:r>
      <w:r w:rsidRPr="00C04464">
        <w:rPr>
          <w:rFonts w:cs="Arial"/>
        </w:rPr>
        <w:t>an Evaluation Seminar of WIPO</w:t>
      </w:r>
      <w:r>
        <w:rPr>
          <w:rFonts w:cs="Arial"/>
        </w:rPr>
        <w:t xml:space="preserve"> was organized in 2015.  The seminar was generally well-received among the participants</w:t>
      </w:r>
      <w:r w:rsidRPr="00C04464">
        <w:rPr>
          <w:rFonts w:cs="Arial"/>
        </w:rPr>
        <w:t>.</w:t>
      </w:r>
    </w:p>
    <w:p w:rsidR="00671363" w:rsidRPr="00C04464" w:rsidRDefault="00671363" w:rsidP="00671363">
      <w:pPr>
        <w:pStyle w:val="ListParagraph"/>
        <w:tabs>
          <w:tab w:val="left" w:pos="709"/>
        </w:tabs>
        <w:ind w:left="0"/>
        <w:jc w:val="both"/>
        <w:rPr>
          <w:rFonts w:cs="Arial"/>
        </w:rPr>
      </w:pPr>
    </w:p>
    <w:p w:rsidR="00671363" w:rsidRDefault="00671363" w:rsidP="00671363">
      <w:pPr>
        <w:pStyle w:val="ListParagraph"/>
        <w:numPr>
          <w:ilvl w:val="0"/>
          <w:numId w:val="21"/>
        </w:numPr>
        <w:tabs>
          <w:tab w:val="left" w:pos="709"/>
        </w:tabs>
        <w:ind w:left="0" w:firstLine="0"/>
        <w:jc w:val="both"/>
        <w:rPr>
          <w:rFonts w:cs="Arial"/>
        </w:rPr>
      </w:pPr>
      <w:r w:rsidRPr="00C04464">
        <w:rPr>
          <w:rFonts w:cs="Arial"/>
        </w:rPr>
        <w:t xml:space="preserve">To </w:t>
      </w:r>
      <w:r>
        <w:rPr>
          <w:rFonts w:cs="Arial"/>
        </w:rPr>
        <w:t xml:space="preserve">gain a better understanding of </w:t>
      </w:r>
      <w:r w:rsidRPr="00C04464">
        <w:rPr>
          <w:rFonts w:cs="Arial"/>
        </w:rPr>
        <w:t xml:space="preserve">expectations </w:t>
      </w:r>
      <w:r>
        <w:rPr>
          <w:rFonts w:cs="Arial"/>
        </w:rPr>
        <w:t xml:space="preserve">from colleagues </w:t>
      </w:r>
      <w:r w:rsidRPr="00C04464">
        <w:rPr>
          <w:rFonts w:cs="Arial"/>
        </w:rPr>
        <w:t xml:space="preserve">and get their feedback on oversight work, IOD </w:t>
      </w:r>
      <w:r>
        <w:rPr>
          <w:rFonts w:cs="Arial"/>
        </w:rPr>
        <w:t xml:space="preserve">continued to </w:t>
      </w:r>
      <w:r w:rsidRPr="00C04464">
        <w:rPr>
          <w:rFonts w:cs="Arial"/>
        </w:rPr>
        <w:t xml:space="preserve">use client satisfaction surveys </w:t>
      </w:r>
      <w:r>
        <w:rPr>
          <w:rFonts w:cs="Arial"/>
        </w:rPr>
        <w:t xml:space="preserve">that were originally launched in 2013.  Such surveys, which reflected an 84 per cent average satisfaction rate, enabled IOD to better measure stakeholders’ expectations of its performance and </w:t>
      </w:r>
      <w:r w:rsidRPr="00C04464">
        <w:rPr>
          <w:rFonts w:cs="Arial"/>
        </w:rPr>
        <w:t xml:space="preserve">better identify areas of improvement </w:t>
      </w:r>
      <w:r>
        <w:rPr>
          <w:rFonts w:cs="Arial"/>
        </w:rPr>
        <w:t xml:space="preserve">to </w:t>
      </w:r>
      <w:r w:rsidRPr="00C04464">
        <w:rPr>
          <w:rFonts w:cs="Arial"/>
        </w:rPr>
        <w:t>further enhance the quality of its work.</w:t>
      </w:r>
    </w:p>
    <w:p w:rsidR="00671363" w:rsidRPr="00C04464" w:rsidRDefault="00671363" w:rsidP="00671363">
      <w:pPr>
        <w:pStyle w:val="ListParagraph"/>
        <w:tabs>
          <w:tab w:val="left" w:pos="709"/>
        </w:tabs>
        <w:ind w:left="0"/>
        <w:jc w:val="both"/>
        <w:rPr>
          <w:rFonts w:cs="Arial"/>
        </w:rPr>
      </w:pPr>
    </w:p>
    <w:p w:rsidR="00671363" w:rsidRDefault="00671363" w:rsidP="00671363">
      <w:pPr>
        <w:pStyle w:val="ListParagraph"/>
        <w:numPr>
          <w:ilvl w:val="0"/>
          <w:numId w:val="21"/>
        </w:numPr>
        <w:tabs>
          <w:tab w:val="left" w:pos="709"/>
        </w:tabs>
        <w:ind w:left="0" w:firstLine="0"/>
        <w:jc w:val="both"/>
        <w:rPr>
          <w:rFonts w:cs="Arial"/>
        </w:rPr>
      </w:pPr>
      <w:r>
        <w:rPr>
          <w:rFonts w:cs="Arial"/>
        </w:rPr>
        <w:t>During the biennium, I</w:t>
      </w:r>
      <w:r w:rsidRPr="00C04464">
        <w:rPr>
          <w:rFonts w:cs="Arial"/>
        </w:rPr>
        <w:t xml:space="preserve">OD continued to reach out to </w:t>
      </w:r>
      <w:r>
        <w:rPr>
          <w:rFonts w:cs="Arial"/>
        </w:rPr>
        <w:t>s</w:t>
      </w:r>
      <w:r w:rsidRPr="00C04464">
        <w:rPr>
          <w:rFonts w:cs="Arial"/>
        </w:rPr>
        <w:t xml:space="preserve">taff, </w:t>
      </w:r>
      <w:r>
        <w:rPr>
          <w:rFonts w:cs="Arial"/>
        </w:rPr>
        <w:t>m</w:t>
      </w:r>
      <w:r w:rsidRPr="00C04464">
        <w:rPr>
          <w:rFonts w:cs="Arial"/>
        </w:rPr>
        <w:t xml:space="preserve">anagement and Member States through various presentations and the issuance of four Newsletters.  IOD also organized the annual meeting of Heads of Internal Audit in </w:t>
      </w:r>
      <w:r>
        <w:rPr>
          <w:rFonts w:cs="Arial"/>
        </w:rPr>
        <w:t xml:space="preserve">International </w:t>
      </w:r>
      <w:r w:rsidRPr="00C04464">
        <w:rPr>
          <w:rFonts w:cs="Arial"/>
        </w:rPr>
        <w:t xml:space="preserve">Organizations </w:t>
      </w:r>
      <w:r>
        <w:rPr>
          <w:rFonts w:cs="Arial"/>
        </w:rPr>
        <w:t>in Europe</w:t>
      </w:r>
      <w:r w:rsidRPr="00C04464">
        <w:rPr>
          <w:rFonts w:cs="Arial"/>
        </w:rPr>
        <w:t xml:space="preserve"> (HOIA).</w:t>
      </w:r>
    </w:p>
    <w:p w:rsidR="00671363" w:rsidRPr="00C04464" w:rsidRDefault="00671363" w:rsidP="00671363">
      <w:pPr>
        <w:pStyle w:val="ListParagraph"/>
        <w:tabs>
          <w:tab w:val="left" w:pos="709"/>
        </w:tabs>
        <w:ind w:left="0"/>
        <w:jc w:val="both"/>
        <w:rPr>
          <w:rFonts w:cs="Arial"/>
        </w:rPr>
      </w:pPr>
    </w:p>
    <w:p w:rsidR="00671363" w:rsidRDefault="00671363" w:rsidP="00671363">
      <w:pPr>
        <w:pStyle w:val="ListParagraph"/>
        <w:numPr>
          <w:ilvl w:val="0"/>
          <w:numId w:val="21"/>
        </w:numPr>
        <w:tabs>
          <w:tab w:val="left" w:pos="709"/>
        </w:tabs>
        <w:ind w:left="0" w:firstLine="0"/>
        <w:jc w:val="both"/>
        <w:rPr>
          <w:rFonts w:cs="Arial"/>
        </w:rPr>
      </w:pPr>
      <w:r w:rsidRPr="00C04464">
        <w:rPr>
          <w:rFonts w:cs="Arial"/>
        </w:rPr>
        <w:t xml:space="preserve">IOD followed up on previous years’ oversight recommendations to ensure </w:t>
      </w:r>
      <w:r>
        <w:rPr>
          <w:rFonts w:cs="Arial"/>
        </w:rPr>
        <w:t>effective follow-up by</w:t>
      </w:r>
      <w:r w:rsidRPr="00C04464">
        <w:rPr>
          <w:rFonts w:cs="Arial"/>
        </w:rPr>
        <w:t xml:space="preserve"> management</w:t>
      </w:r>
      <w:r>
        <w:rPr>
          <w:rFonts w:cs="Arial"/>
        </w:rPr>
        <w:t>, confirming that a</w:t>
      </w:r>
      <w:r w:rsidRPr="00C04464">
        <w:rPr>
          <w:rFonts w:cs="Arial"/>
        </w:rPr>
        <w:t xml:space="preserve"> total of </w:t>
      </w:r>
      <w:r>
        <w:rPr>
          <w:rFonts w:cs="Arial"/>
        </w:rPr>
        <w:t xml:space="preserve">186 </w:t>
      </w:r>
      <w:r w:rsidRPr="00C04464">
        <w:rPr>
          <w:rFonts w:cs="Arial"/>
        </w:rPr>
        <w:t>oversight recommendations were closed (</w:t>
      </w:r>
      <w:r>
        <w:rPr>
          <w:rFonts w:cs="Arial"/>
        </w:rPr>
        <w:t>94</w:t>
      </w:r>
      <w:r w:rsidRPr="00C04464">
        <w:rPr>
          <w:rFonts w:cs="Arial"/>
        </w:rPr>
        <w:t xml:space="preserve"> in 2014 and </w:t>
      </w:r>
      <w:r>
        <w:rPr>
          <w:rFonts w:cs="Arial"/>
        </w:rPr>
        <w:t>92</w:t>
      </w:r>
      <w:r w:rsidRPr="00C04464">
        <w:rPr>
          <w:rFonts w:cs="Arial"/>
        </w:rPr>
        <w:t xml:space="preserve"> in</w:t>
      </w:r>
      <w:r>
        <w:rPr>
          <w:rFonts w:cs="Arial"/>
        </w:rPr>
        <w:t> </w:t>
      </w:r>
      <w:r w:rsidRPr="00C04464">
        <w:rPr>
          <w:rFonts w:cs="Arial"/>
        </w:rPr>
        <w:t>2015)</w:t>
      </w:r>
      <w:r>
        <w:rPr>
          <w:rStyle w:val="FootnoteReference"/>
          <w:rFonts w:cs="Arial"/>
        </w:rPr>
        <w:footnoteReference w:id="144"/>
      </w:r>
      <w:r w:rsidRPr="00C04464">
        <w:rPr>
          <w:rFonts w:cs="Arial"/>
        </w:rPr>
        <w:t xml:space="preserve">.  IOD continued to provide WIPO management </w:t>
      </w:r>
      <w:r>
        <w:rPr>
          <w:rFonts w:cs="Arial"/>
        </w:rPr>
        <w:t xml:space="preserve">with professional </w:t>
      </w:r>
      <w:r w:rsidRPr="00C04464">
        <w:rPr>
          <w:rFonts w:cs="Arial"/>
        </w:rPr>
        <w:t xml:space="preserve">advice </w:t>
      </w:r>
      <w:r>
        <w:rPr>
          <w:rFonts w:cs="Arial"/>
        </w:rPr>
        <w:t xml:space="preserve">and feedback </w:t>
      </w:r>
      <w:r w:rsidRPr="00C04464">
        <w:rPr>
          <w:rFonts w:cs="Arial"/>
        </w:rPr>
        <w:t>on governance, risk</w:t>
      </w:r>
      <w:r>
        <w:rPr>
          <w:rFonts w:cs="Arial"/>
        </w:rPr>
        <w:t xml:space="preserve"> management and internal </w:t>
      </w:r>
      <w:r w:rsidRPr="00C04464">
        <w:rPr>
          <w:rFonts w:cs="Arial"/>
        </w:rPr>
        <w:t xml:space="preserve">controls </w:t>
      </w:r>
      <w:r>
        <w:rPr>
          <w:rFonts w:cs="Arial"/>
        </w:rPr>
        <w:t xml:space="preserve">and other issues such as </w:t>
      </w:r>
      <w:r w:rsidRPr="00C04464">
        <w:rPr>
          <w:rFonts w:cs="Arial"/>
        </w:rPr>
        <w:t xml:space="preserve">drafting </w:t>
      </w:r>
      <w:r>
        <w:rPr>
          <w:rFonts w:cs="Arial"/>
        </w:rPr>
        <w:t xml:space="preserve">or revision of </w:t>
      </w:r>
      <w:r w:rsidRPr="00C04464">
        <w:rPr>
          <w:rFonts w:cs="Arial"/>
        </w:rPr>
        <w:t xml:space="preserve">policies, </w:t>
      </w:r>
      <w:r>
        <w:rPr>
          <w:rFonts w:cs="Arial"/>
        </w:rPr>
        <w:t>O</w:t>
      </w:r>
      <w:r w:rsidRPr="00C04464">
        <w:rPr>
          <w:rFonts w:cs="Arial"/>
        </w:rPr>
        <w:t xml:space="preserve">ffice </w:t>
      </w:r>
      <w:r>
        <w:rPr>
          <w:rFonts w:cs="Arial"/>
        </w:rPr>
        <w:t>I</w:t>
      </w:r>
      <w:r w:rsidRPr="00C04464">
        <w:rPr>
          <w:rFonts w:cs="Arial"/>
        </w:rPr>
        <w:t>nstructions</w:t>
      </w:r>
      <w:r>
        <w:rPr>
          <w:rFonts w:cs="Arial"/>
        </w:rPr>
        <w:t xml:space="preserve"> (OIs)</w:t>
      </w:r>
      <w:r w:rsidRPr="00C04464">
        <w:rPr>
          <w:rFonts w:cs="Arial"/>
        </w:rPr>
        <w:t xml:space="preserve"> and/or guidelines</w:t>
      </w:r>
      <w:r>
        <w:rPr>
          <w:rFonts w:cs="Arial"/>
        </w:rPr>
        <w:t xml:space="preserve"> and the preparation of external reviews</w:t>
      </w:r>
      <w:r w:rsidRPr="00C04464">
        <w:rPr>
          <w:rFonts w:cs="Arial"/>
        </w:rPr>
        <w:t xml:space="preserve">. </w:t>
      </w:r>
    </w:p>
    <w:p w:rsidR="00671363" w:rsidRPr="00C04464" w:rsidRDefault="00671363" w:rsidP="00671363">
      <w:pPr>
        <w:pStyle w:val="ListParagraph"/>
        <w:tabs>
          <w:tab w:val="left" w:pos="709"/>
        </w:tabs>
        <w:ind w:left="0"/>
        <w:jc w:val="both"/>
        <w:rPr>
          <w:rFonts w:cs="Arial"/>
        </w:rPr>
      </w:pPr>
    </w:p>
    <w:p w:rsidR="00671363" w:rsidRDefault="00671363" w:rsidP="00671363">
      <w:pPr>
        <w:pStyle w:val="ListParagraph"/>
        <w:numPr>
          <w:ilvl w:val="0"/>
          <w:numId w:val="21"/>
        </w:numPr>
        <w:tabs>
          <w:tab w:val="left" w:pos="709"/>
        </w:tabs>
        <w:ind w:left="0" w:firstLine="0"/>
        <w:jc w:val="both"/>
        <w:rPr>
          <w:rFonts w:cs="Arial"/>
        </w:rPr>
      </w:pPr>
      <w:r w:rsidRPr="00C04464">
        <w:rPr>
          <w:rFonts w:cs="Arial"/>
        </w:rPr>
        <w:t>IOD’s work continued to be closely reviewed by the IAOC.  IOD benefitted from the IAOC’s guidance in the implementation of its oversight plan.</w:t>
      </w:r>
    </w:p>
    <w:p w:rsidR="00671363" w:rsidRPr="003E3E95" w:rsidRDefault="00671363" w:rsidP="00B9043D">
      <w:pPr>
        <w:jc w:val="both"/>
        <w:rPr>
          <w:rFonts w:cs="Arial"/>
          <w:szCs w:val="20"/>
        </w:rPr>
      </w:pPr>
    </w:p>
    <w:p w:rsidR="00671363" w:rsidRPr="003E3E95" w:rsidRDefault="00671363" w:rsidP="00B9043D">
      <w:pPr>
        <w:jc w:val="both"/>
        <w:rPr>
          <w:rFonts w:cs="Arial"/>
          <w:szCs w:val="20"/>
        </w:rPr>
      </w:pPr>
    </w:p>
    <w:p w:rsidR="00671363" w:rsidRPr="006A6733" w:rsidRDefault="00671363" w:rsidP="00B9043D">
      <w:pPr>
        <w:jc w:val="both"/>
        <w:rPr>
          <w:rFonts w:cs="Arial"/>
          <w:szCs w:val="20"/>
        </w:rPr>
      </w:pPr>
      <w:r w:rsidRPr="006A6733">
        <w:rPr>
          <w:rFonts w:cs="Arial"/>
          <w:szCs w:val="20"/>
        </w:rPr>
        <w:t>PERFORMANCE DATA</w:t>
      </w:r>
    </w:p>
    <w:p w:rsidR="00671363" w:rsidRPr="00C3328E" w:rsidRDefault="00671363" w:rsidP="00B9043D">
      <w:pPr>
        <w:jc w:val="both"/>
        <w:rPr>
          <w:rFonts w:cs="Arial"/>
          <w:szCs w:val="20"/>
        </w:rPr>
      </w:pPr>
    </w:p>
    <w:tbl>
      <w:tblPr>
        <w:tblW w:w="4867"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133"/>
        <w:gridCol w:w="1979"/>
        <w:gridCol w:w="1979"/>
        <w:gridCol w:w="2128"/>
        <w:gridCol w:w="1097"/>
      </w:tblGrid>
      <w:tr w:rsidR="00671363" w:rsidRPr="0020416E" w:rsidTr="00B9043D">
        <w:tc>
          <w:tcPr>
            <w:tcW w:w="5000" w:type="pct"/>
            <w:gridSpan w:val="5"/>
            <w:tcBorders>
              <w:top w:val="single" w:sz="4" w:space="0" w:color="auto"/>
              <w:bottom w:val="single" w:sz="4" w:space="0" w:color="auto"/>
            </w:tcBorders>
            <w:shd w:val="clear" w:color="auto" w:fill="C6D9F1" w:themeFill="text2" w:themeFillTint="33"/>
            <w:vAlign w:val="center"/>
          </w:tcPr>
          <w:p w:rsidR="00671363" w:rsidRPr="0020416E" w:rsidRDefault="00671363" w:rsidP="00B9043D">
            <w:pPr>
              <w:keepNext/>
              <w:keepLines/>
              <w:tabs>
                <w:tab w:val="left" w:pos="1452"/>
              </w:tabs>
              <w:spacing w:before="120" w:after="120"/>
              <w:ind w:left="1452" w:hanging="1452"/>
              <w:rPr>
                <w:rFonts w:cs="Arial"/>
                <w:b/>
                <w:bCs/>
                <w:sz w:val="16"/>
                <w:szCs w:val="16"/>
              </w:rPr>
            </w:pPr>
            <w:r w:rsidRPr="0020416E">
              <w:rPr>
                <w:rFonts w:cs="Arial"/>
                <w:b/>
                <w:bCs/>
                <w:sz w:val="16"/>
                <w:szCs w:val="16"/>
              </w:rPr>
              <w:t>Expected Result:</w:t>
            </w:r>
            <w:r w:rsidRPr="0020416E">
              <w:rPr>
                <w:rFonts w:cs="Arial"/>
                <w:b/>
                <w:bCs/>
                <w:sz w:val="16"/>
                <w:szCs w:val="16"/>
              </w:rPr>
              <w:tab/>
            </w:r>
            <w:r w:rsidRPr="00C3328E">
              <w:rPr>
                <w:rFonts w:cs="Arial"/>
                <w:sz w:val="16"/>
                <w:szCs w:val="16"/>
                <w:lang w:bidi="th-TH"/>
              </w:rPr>
              <w:t>IX.8 Improved accountability, organizational learning, value for money, stewardship, internal control and corporate governance through assistance from effective and independent oversight</w:t>
            </w:r>
          </w:p>
        </w:tc>
      </w:tr>
      <w:tr w:rsidR="00671363" w:rsidRPr="0020416E" w:rsidTr="00B9043D">
        <w:tc>
          <w:tcPr>
            <w:tcW w:w="1145" w:type="pct"/>
            <w:tcBorders>
              <w:top w:val="single" w:sz="4" w:space="0" w:color="auto"/>
              <w:left w:val="single" w:sz="4" w:space="0" w:color="auto"/>
              <w:bottom w:val="nil"/>
            </w:tcBorders>
            <w:shd w:val="clear" w:color="auto" w:fill="auto"/>
            <w:vAlign w:val="center"/>
          </w:tcPr>
          <w:p w:rsidR="00671363" w:rsidRPr="0020416E" w:rsidRDefault="00671363" w:rsidP="00B9043D">
            <w:pPr>
              <w:rPr>
                <w:rFonts w:cs="Arial"/>
                <w:sz w:val="16"/>
                <w:szCs w:val="16"/>
              </w:rPr>
            </w:pPr>
            <w:r w:rsidRPr="0020416E">
              <w:rPr>
                <w:rFonts w:cs="Arial"/>
                <w:b/>
                <w:bCs/>
                <w:sz w:val="16"/>
                <w:szCs w:val="16"/>
              </w:rPr>
              <w:t>Performance Indicators</w:t>
            </w:r>
          </w:p>
        </w:tc>
        <w:tc>
          <w:tcPr>
            <w:tcW w:w="1062" w:type="pct"/>
            <w:tcBorders>
              <w:top w:val="single" w:sz="4" w:space="0" w:color="auto"/>
              <w:bottom w:val="nil"/>
            </w:tcBorders>
            <w:shd w:val="clear" w:color="auto" w:fill="auto"/>
            <w:vAlign w:val="center"/>
          </w:tcPr>
          <w:p w:rsidR="00671363" w:rsidRPr="0020416E" w:rsidRDefault="00671363" w:rsidP="00B9043D">
            <w:pPr>
              <w:rPr>
                <w:rFonts w:cs="Arial"/>
                <w:b/>
                <w:bCs/>
                <w:sz w:val="16"/>
                <w:szCs w:val="16"/>
              </w:rPr>
            </w:pPr>
            <w:r w:rsidRPr="0020416E">
              <w:rPr>
                <w:rFonts w:cs="Arial"/>
                <w:b/>
                <w:bCs/>
                <w:sz w:val="16"/>
                <w:szCs w:val="16"/>
              </w:rPr>
              <w:t>Baselines</w:t>
            </w:r>
          </w:p>
        </w:tc>
        <w:tc>
          <w:tcPr>
            <w:tcW w:w="1062" w:type="pct"/>
            <w:tcBorders>
              <w:top w:val="single" w:sz="4" w:space="0" w:color="auto"/>
              <w:bottom w:val="nil"/>
            </w:tcBorders>
            <w:shd w:val="clear" w:color="auto" w:fill="auto"/>
            <w:tcMar>
              <w:top w:w="110" w:type="dxa"/>
            </w:tcMar>
            <w:vAlign w:val="center"/>
          </w:tcPr>
          <w:p w:rsidR="00671363" w:rsidRPr="0020416E" w:rsidRDefault="00671363" w:rsidP="00B9043D">
            <w:pPr>
              <w:rPr>
                <w:rFonts w:cs="Arial"/>
                <w:b/>
                <w:sz w:val="16"/>
                <w:szCs w:val="16"/>
              </w:rPr>
            </w:pPr>
            <w:r w:rsidRPr="0020416E">
              <w:rPr>
                <w:rFonts w:cs="Arial"/>
                <w:b/>
                <w:sz w:val="16"/>
                <w:szCs w:val="16"/>
              </w:rPr>
              <w:t>Targets</w:t>
            </w:r>
          </w:p>
        </w:tc>
        <w:tc>
          <w:tcPr>
            <w:tcW w:w="1142" w:type="pct"/>
            <w:tcBorders>
              <w:top w:val="single" w:sz="4" w:space="0" w:color="auto"/>
              <w:bottom w:val="nil"/>
            </w:tcBorders>
            <w:shd w:val="clear" w:color="auto" w:fill="FFFFFF"/>
            <w:tcMar>
              <w:top w:w="110" w:type="dxa"/>
            </w:tcMar>
            <w:vAlign w:val="center"/>
          </w:tcPr>
          <w:p w:rsidR="00671363" w:rsidRPr="0020416E" w:rsidRDefault="00671363" w:rsidP="00B9043D">
            <w:pPr>
              <w:rPr>
                <w:rFonts w:cs="Arial"/>
                <w:sz w:val="16"/>
                <w:szCs w:val="16"/>
              </w:rPr>
            </w:pPr>
            <w:r w:rsidRPr="0020416E">
              <w:rPr>
                <w:rFonts w:cs="Arial"/>
                <w:b/>
                <w:bCs/>
                <w:sz w:val="16"/>
                <w:szCs w:val="16"/>
              </w:rPr>
              <w:t>Performance Data</w:t>
            </w:r>
          </w:p>
        </w:tc>
        <w:tc>
          <w:tcPr>
            <w:tcW w:w="589" w:type="pct"/>
            <w:tcBorders>
              <w:top w:val="single" w:sz="4" w:space="0" w:color="auto"/>
              <w:bottom w:val="nil"/>
              <w:right w:val="single" w:sz="4" w:space="0" w:color="auto"/>
            </w:tcBorders>
            <w:shd w:val="clear" w:color="auto" w:fill="auto"/>
            <w:tcMar>
              <w:top w:w="110" w:type="dxa"/>
            </w:tcMar>
            <w:vAlign w:val="center"/>
          </w:tcPr>
          <w:p w:rsidR="00671363" w:rsidRPr="0020416E" w:rsidRDefault="00671363" w:rsidP="00B9043D">
            <w:pPr>
              <w:keepNext/>
              <w:keepLines/>
              <w:jc w:val="center"/>
              <w:rPr>
                <w:rFonts w:cs="Arial"/>
                <w:b/>
                <w:bCs/>
                <w:sz w:val="16"/>
                <w:szCs w:val="16"/>
              </w:rPr>
            </w:pPr>
            <w:r w:rsidRPr="0020416E">
              <w:rPr>
                <w:rFonts w:cs="Arial"/>
                <w:b/>
                <w:bCs/>
                <w:sz w:val="16"/>
                <w:szCs w:val="16"/>
              </w:rPr>
              <w:t>TLS</w:t>
            </w:r>
          </w:p>
        </w:tc>
      </w:tr>
      <w:tr w:rsidR="00671363" w:rsidRPr="0020416E" w:rsidTr="00B9043D">
        <w:trPr>
          <w:trHeight w:val="1328"/>
        </w:trPr>
        <w:tc>
          <w:tcPr>
            <w:tcW w:w="1145" w:type="pct"/>
            <w:tcBorders>
              <w:top w:val="nil"/>
              <w:left w:val="single" w:sz="4" w:space="0" w:color="auto"/>
              <w:bottom w:val="nil"/>
            </w:tcBorders>
            <w:shd w:val="clear" w:color="auto" w:fill="auto"/>
          </w:tcPr>
          <w:p w:rsidR="00671363" w:rsidRPr="0020416E" w:rsidRDefault="00671363" w:rsidP="00B9043D">
            <w:pPr>
              <w:keepNext/>
              <w:keepLines/>
              <w:rPr>
                <w:rFonts w:cs="Arial"/>
                <w:sz w:val="16"/>
                <w:szCs w:val="16"/>
                <w:lang w:bidi="th-TH"/>
              </w:rPr>
            </w:pPr>
            <w:r w:rsidRPr="00C3328E">
              <w:rPr>
                <w:rFonts w:cs="Arial"/>
                <w:sz w:val="16"/>
                <w:szCs w:val="16"/>
                <w:lang w:bidi="th-TH"/>
              </w:rPr>
              <w:t>No</w:t>
            </w:r>
            <w:r>
              <w:rPr>
                <w:rFonts w:cs="Arial"/>
                <w:sz w:val="16"/>
                <w:szCs w:val="16"/>
                <w:lang w:bidi="th-TH"/>
              </w:rPr>
              <w:t xml:space="preserve"> </w:t>
            </w:r>
            <w:r w:rsidRPr="00C3328E">
              <w:rPr>
                <w:rFonts w:cs="Arial"/>
                <w:sz w:val="16"/>
                <w:szCs w:val="16"/>
                <w:lang w:bidi="th-TH"/>
              </w:rPr>
              <w:t>interference and perceived independence by key stakeholders</w:t>
            </w:r>
          </w:p>
        </w:tc>
        <w:tc>
          <w:tcPr>
            <w:tcW w:w="1062" w:type="pct"/>
            <w:tcBorders>
              <w:top w:val="nil"/>
              <w:bottom w:val="nil"/>
            </w:tcBorders>
            <w:shd w:val="clear" w:color="auto" w:fill="auto"/>
          </w:tcPr>
          <w:p w:rsidR="00671363" w:rsidRPr="0020416E" w:rsidRDefault="00671363" w:rsidP="00B9043D">
            <w:pPr>
              <w:keepNext/>
              <w:keepLines/>
              <w:rPr>
                <w:rFonts w:cs="Arial"/>
                <w:i/>
                <w:color w:val="002060"/>
                <w:sz w:val="16"/>
                <w:szCs w:val="16"/>
              </w:rPr>
            </w:pPr>
            <w:r>
              <w:rPr>
                <w:rFonts w:cs="Arial"/>
                <w:i/>
                <w:color w:val="002060"/>
                <w:sz w:val="16"/>
                <w:szCs w:val="16"/>
              </w:rPr>
              <w:t>Updated Baseline end 2013</w:t>
            </w:r>
            <w:r w:rsidRPr="0020416E">
              <w:rPr>
                <w:rFonts w:cs="Arial"/>
                <w:i/>
                <w:color w:val="002060"/>
                <w:sz w:val="16"/>
                <w:szCs w:val="16"/>
              </w:rPr>
              <w:t xml:space="preserve">:  </w:t>
            </w:r>
            <w:r w:rsidRPr="00C3328E">
              <w:rPr>
                <w:rFonts w:cs="Arial"/>
                <w:sz w:val="16"/>
                <w:szCs w:val="16"/>
                <w:lang w:bidi="th-TH"/>
              </w:rPr>
              <w:t>No interference in IOD's work</w:t>
            </w:r>
          </w:p>
          <w:p w:rsidR="00671363" w:rsidRPr="0020416E" w:rsidRDefault="00671363" w:rsidP="00B9043D">
            <w:pPr>
              <w:keepNext/>
              <w:keepLines/>
              <w:rPr>
                <w:rFonts w:cs="Arial"/>
                <w:i/>
                <w:color w:val="002060"/>
                <w:sz w:val="8"/>
                <w:szCs w:val="8"/>
              </w:rPr>
            </w:pPr>
          </w:p>
          <w:p w:rsidR="00671363" w:rsidRPr="0020416E" w:rsidRDefault="00671363" w:rsidP="00B9043D">
            <w:pPr>
              <w:keepNext/>
              <w:keepLines/>
              <w:rPr>
                <w:rFonts w:cs="Arial"/>
                <w:sz w:val="16"/>
                <w:szCs w:val="16"/>
                <w:lang w:bidi="th-TH"/>
              </w:rPr>
            </w:pPr>
            <w:r>
              <w:rPr>
                <w:rFonts w:cs="Arial"/>
                <w:i/>
                <w:sz w:val="16"/>
                <w:szCs w:val="16"/>
              </w:rPr>
              <w:t>Original Baseline P&amp;B 2014/15</w:t>
            </w:r>
            <w:r w:rsidRPr="0020416E">
              <w:rPr>
                <w:rFonts w:cs="Arial"/>
                <w:i/>
                <w:sz w:val="16"/>
                <w:szCs w:val="16"/>
              </w:rPr>
              <w:t>:</w:t>
            </w:r>
            <w:r w:rsidRPr="0020416E">
              <w:rPr>
                <w:rFonts w:cs="Arial"/>
                <w:sz w:val="16"/>
                <w:szCs w:val="16"/>
              </w:rPr>
              <w:br/>
            </w:r>
            <w:r w:rsidRPr="00C3328E">
              <w:rPr>
                <w:rFonts w:cs="Arial"/>
                <w:sz w:val="16"/>
                <w:szCs w:val="16"/>
                <w:lang w:bidi="th-TH"/>
              </w:rPr>
              <w:t>No interference in IOD's work</w:t>
            </w:r>
          </w:p>
        </w:tc>
        <w:tc>
          <w:tcPr>
            <w:tcW w:w="1062" w:type="pct"/>
            <w:tcBorders>
              <w:top w:val="nil"/>
              <w:bottom w:val="nil"/>
            </w:tcBorders>
            <w:shd w:val="clear" w:color="auto" w:fill="auto"/>
            <w:tcMar>
              <w:top w:w="110" w:type="dxa"/>
            </w:tcMar>
          </w:tcPr>
          <w:p w:rsidR="00671363" w:rsidRPr="0020416E" w:rsidRDefault="00671363" w:rsidP="00B9043D">
            <w:pPr>
              <w:keepNext/>
              <w:keepLines/>
              <w:rPr>
                <w:rFonts w:cs="Arial"/>
                <w:sz w:val="16"/>
                <w:szCs w:val="16"/>
                <w:lang w:bidi="th-TH"/>
              </w:rPr>
            </w:pPr>
            <w:r w:rsidRPr="00C3328E">
              <w:rPr>
                <w:rFonts w:cs="Arial"/>
                <w:sz w:val="16"/>
                <w:szCs w:val="16"/>
              </w:rPr>
              <w:t>Full independence and perceived independence by key stakeholders (Clients/IAOC/MS)</w:t>
            </w:r>
          </w:p>
        </w:tc>
        <w:tc>
          <w:tcPr>
            <w:tcW w:w="1142" w:type="pct"/>
            <w:tcBorders>
              <w:top w:val="nil"/>
              <w:bottom w:val="nil"/>
            </w:tcBorders>
            <w:shd w:val="clear" w:color="auto" w:fill="FFFFFF"/>
            <w:tcMar>
              <w:top w:w="110" w:type="dxa"/>
            </w:tcMar>
          </w:tcPr>
          <w:p w:rsidR="00671363" w:rsidRPr="00776203" w:rsidRDefault="00671363" w:rsidP="00B9043D">
            <w:pPr>
              <w:rPr>
                <w:rFonts w:cs="Arial"/>
                <w:sz w:val="16"/>
                <w:szCs w:val="16"/>
                <w:lang w:bidi="th-TH"/>
              </w:rPr>
            </w:pPr>
            <w:r w:rsidRPr="00776203">
              <w:rPr>
                <w:rFonts w:cs="Arial"/>
                <w:sz w:val="16"/>
                <w:szCs w:val="16"/>
                <w:lang w:bidi="th-TH"/>
              </w:rPr>
              <w:t xml:space="preserve">No interference in IOD's work, as reflected in </w:t>
            </w:r>
            <w:r>
              <w:rPr>
                <w:rFonts w:cs="Arial"/>
                <w:sz w:val="16"/>
                <w:szCs w:val="16"/>
                <w:lang w:bidi="th-TH"/>
              </w:rPr>
              <w:t xml:space="preserve">the </w:t>
            </w:r>
            <w:r w:rsidRPr="00776203">
              <w:rPr>
                <w:rFonts w:cs="Arial"/>
                <w:sz w:val="16"/>
                <w:szCs w:val="16"/>
                <w:lang w:bidi="th-TH"/>
              </w:rPr>
              <w:t>annual report</w:t>
            </w:r>
            <w:r>
              <w:rPr>
                <w:rFonts w:cs="Arial"/>
                <w:sz w:val="16"/>
                <w:szCs w:val="16"/>
                <w:lang w:bidi="th-TH"/>
              </w:rPr>
              <w:t>s</w:t>
            </w:r>
            <w:r w:rsidRPr="00776203">
              <w:rPr>
                <w:rFonts w:cs="Arial"/>
                <w:sz w:val="16"/>
                <w:szCs w:val="16"/>
                <w:lang w:bidi="th-TH"/>
              </w:rPr>
              <w:t xml:space="preserve"> WO/PBC/22/4</w:t>
            </w:r>
            <w:r>
              <w:rPr>
                <w:rFonts w:cs="Arial"/>
                <w:sz w:val="16"/>
                <w:szCs w:val="16"/>
                <w:lang w:bidi="th-TH"/>
              </w:rPr>
              <w:t xml:space="preserve"> and WO/PBC/24/6</w:t>
            </w:r>
            <w:r w:rsidRPr="00776203">
              <w:rPr>
                <w:rFonts w:cs="Arial"/>
                <w:sz w:val="16"/>
                <w:szCs w:val="16"/>
                <w:lang w:bidi="th-TH"/>
              </w:rPr>
              <w:t xml:space="preserve">. </w:t>
            </w:r>
          </w:p>
          <w:p w:rsidR="00671363" w:rsidRDefault="00671363" w:rsidP="00B9043D">
            <w:pPr>
              <w:rPr>
                <w:rFonts w:cs="Arial"/>
                <w:sz w:val="16"/>
                <w:szCs w:val="16"/>
                <w:lang w:bidi="th-TH"/>
              </w:rPr>
            </w:pPr>
          </w:p>
          <w:p w:rsidR="00671363" w:rsidRDefault="00671363" w:rsidP="00B9043D">
            <w:pPr>
              <w:rPr>
                <w:rFonts w:cs="Arial"/>
                <w:sz w:val="16"/>
                <w:szCs w:val="16"/>
                <w:lang w:bidi="th-TH"/>
              </w:rPr>
            </w:pPr>
            <w:r>
              <w:rPr>
                <w:rFonts w:cs="Arial"/>
                <w:sz w:val="16"/>
                <w:szCs w:val="16"/>
                <w:lang w:bidi="th-TH"/>
              </w:rPr>
              <w:t>The Director of IOD met regularly with the Director General, IAOC and as and when required with Member States Representatives.</w:t>
            </w:r>
          </w:p>
          <w:p w:rsidR="00671363" w:rsidRDefault="00671363" w:rsidP="00B9043D">
            <w:pPr>
              <w:rPr>
                <w:rFonts w:cs="Arial"/>
                <w:sz w:val="16"/>
                <w:szCs w:val="16"/>
                <w:lang w:bidi="th-TH"/>
              </w:rPr>
            </w:pPr>
          </w:p>
          <w:p w:rsidR="00671363" w:rsidRPr="00776203" w:rsidRDefault="00671363" w:rsidP="00B9043D">
            <w:pPr>
              <w:rPr>
                <w:rFonts w:cs="Arial"/>
                <w:sz w:val="16"/>
                <w:szCs w:val="16"/>
                <w:lang w:bidi="th-TH"/>
              </w:rPr>
            </w:pPr>
            <w:r>
              <w:rPr>
                <w:rFonts w:cs="Arial"/>
                <w:sz w:val="16"/>
                <w:szCs w:val="16"/>
                <w:lang w:bidi="th-TH"/>
              </w:rPr>
              <w:t xml:space="preserve">Cases of perceived impaired independence were referred to the IAOC in accordance with paragraph 18 of the Charter.  </w:t>
            </w:r>
          </w:p>
        </w:tc>
        <w:tc>
          <w:tcPr>
            <w:tcW w:w="589" w:type="pct"/>
            <w:tcBorders>
              <w:top w:val="nil"/>
              <w:bottom w:val="nil"/>
              <w:right w:val="single" w:sz="4" w:space="0" w:color="auto"/>
            </w:tcBorders>
            <w:shd w:val="clear" w:color="auto" w:fill="auto"/>
            <w:tcMar>
              <w:top w:w="110" w:type="dxa"/>
            </w:tcMar>
          </w:tcPr>
          <w:p w:rsidR="00671363" w:rsidRPr="009F50E9" w:rsidRDefault="00671363" w:rsidP="00B9043D">
            <w:pPr>
              <w:keepNext/>
              <w:keepLines/>
              <w:jc w:val="center"/>
              <w:rPr>
                <w:rFonts w:cs="Arial"/>
                <w:b/>
                <w:bCs/>
                <w:color w:val="00B050"/>
                <w:sz w:val="16"/>
                <w:szCs w:val="16"/>
              </w:rPr>
            </w:pPr>
            <w:r w:rsidRPr="009F50E9">
              <w:rPr>
                <w:rFonts w:cs="Arial"/>
                <w:b/>
                <w:bCs/>
                <w:color w:val="00B050"/>
                <w:sz w:val="16"/>
                <w:szCs w:val="16"/>
              </w:rPr>
              <w:t>Fully Achieved</w:t>
            </w:r>
          </w:p>
        </w:tc>
      </w:tr>
      <w:tr w:rsidR="00671363" w:rsidRPr="0020416E" w:rsidTr="00895440">
        <w:tc>
          <w:tcPr>
            <w:tcW w:w="1145" w:type="pct"/>
            <w:tcBorders>
              <w:top w:val="nil"/>
              <w:left w:val="single" w:sz="4" w:space="0" w:color="auto"/>
              <w:bottom w:val="nil"/>
            </w:tcBorders>
            <w:shd w:val="clear" w:color="auto" w:fill="auto"/>
          </w:tcPr>
          <w:p w:rsidR="00671363" w:rsidRPr="00C3328E" w:rsidRDefault="00671363" w:rsidP="00B9043D">
            <w:pPr>
              <w:rPr>
                <w:rFonts w:cs="Arial"/>
                <w:sz w:val="16"/>
                <w:szCs w:val="16"/>
                <w:lang w:bidi="th-TH"/>
              </w:rPr>
            </w:pPr>
            <w:r w:rsidRPr="00C3328E">
              <w:rPr>
                <w:rFonts w:cs="Arial"/>
                <w:sz w:val="16"/>
                <w:szCs w:val="16"/>
                <w:lang w:bidi="th-TH"/>
              </w:rPr>
              <w:t xml:space="preserve">EFFECTIVENESS </w:t>
            </w:r>
          </w:p>
          <w:p w:rsidR="00671363" w:rsidRPr="0020416E" w:rsidRDefault="00671363" w:rsidP="00B9043D">
            <w:pPr>
              <w:rPr>
                <w:rFonts w:cs="Arial"/>
                <w:sz w:val="16"/>
                <w:szCs w:val="16"/>
                <w:lang w:bidi="th-TH"/>
              </w:rPr>
            </w:pPr>
            <w:r w:rsidRPr="00C3328E">
              <w:rPr>
                <w:rFonts w:cs="Arial"/>
                <w:sz w:val="16"/>
                <w:szCs w:val="16"/>
                <w:lang w:bidi="th-TH"/>
              </w:rPr>
              <w:t>% of work of I</w:t>
            </w:r>
            <w:r>
              <w:rPr>
                <w:rFonts w:cs="Arial"/>
                <w:sz w:val="16"/>
                <w:szCs w:val="16"/>
                <w:lang w:bidi="th-TH"/>
              </w:rPr>
              <w:t>O</w:t>
            </w:r>
            <w:r w:rsidRPr="00C3328E">
              <w:rPr>
                <w:rFonts w:cs="Arial"/>
                <w:sz w:val="16"/>
                <w:szCs w:val="16"/>
                <w:lang w:bidi="th-TH"/>
              </w:rPr>
              <w:t>D which covers high risk/high relevance areas</w:t>
            </w:r>
          </w:p>
        </w:tc>
        <w:tc>
          <w:tcPr>
            <w:tcW w:w="1062" w:type="pct"/>
            <w:tcBorders>
              <w:top w:val="nil"/>
              <w:bottom w:val="nil"/>
            </w:tcBorders>
            <w:shd w:val="clear" w:color="auto" w:fill="auto"/>
          </w:tcPr>
          <w:p w:rsidR="00671363" w:rsidRPr="0020416E" w:rsidRDefault="00671363" w:rsidP="00B9043D">
            <w:pPr>
              <w:keepNext/>
              <w:keepLines/>
              <w:rPr>
                <w:rFonts w:cs="Arial"/>
                <w:i/>
                <w:color w:val="002060"/>
                <w:sz w:val="16"/>
                <w:szCs w:val="16"/>
              </w:rPr>
            </w:pPr>
            <w:r>
              <w:rPr>
                <w:rFonts w:cs="Arial"/>
                <w:i/>
                <w:color w:val="002060"/>
                <w:sz w:val="16"/>
                <w:szCs w:val="16"/>
              </w:rPr>
              <w:t>Updated Baseline end 2013</w:t>
            </w:r>
            <w:r w:rsidRPr="0020416E">
              <w:rPr>
                <w:rFonts w:cs="Arial"/>
                <w:i/>
                <w:color w:val="002060"/>
                <w:sz w:val="16"/>
                <w:szCs w:val="16"/>
              </w:rPr>
              <w:t xml:space="preserve">:  </w:t>
            </w:r>
            <w:r w:rsidRPr="00C3328E">
              <w:rPr>
                <w:rFonts w:cs="Arial"/>
                <w:sz w:val="16"/>
                <w:szCs w:val="16"/>
                <w:lang w:bidi="th-TH"/>
              </w:rPr>
              <w:t>All work (100%) covers  high risk/high relevance areas</w:t>
            </w:r>
          </w:p>
          <w:p w:rsidR="00671363" w:rsidRPr="0020416E" w:rsidRDefault="00671363" w:rsidP="00B9043D">
            <w:pPr>
              <w:keepNext/>
              <w:keepLines/>
              <w:rPr>
                <w:rFonts w:cs="Arial"/>
                <w:i/>
                <w:color w:val="002060"/>
                <w:sz w:val="8"/>
                <w:szCs w:val="8"/>
              </w:rPr>
            </w:pPr>
          </w:p>
          <w:p w:rsidR="00671363" w:rsidRPr="0020416E" w:rsidRDefault="00671363" w:rsidP="00B9043D">
            <w:pPr>
              <w:rPr>
                <w:rFonts w:cs="Arial"/>
                <w:sz w:val="16"/>
                <w:szCs w:val="16"/>
                <w:lang w:bidi="th-TH"/>
              </w:rPr>
            </w:pPr>
            <w:r>
              <w:rPr>
                <w:rFonts w:cs="Arial"/>
                <w:i/>
                <w:sz w:val="16"/>
                <w:szCs w:val="16"/>
              </w:rPr>
              <w:t>Original Baseline P&amp;B 2014/15</w:t>
            </w:r>
            <w:r w:rsidRPr="0020416E">
              <w:rPr>
                <w:rFonts w:cs="Arial"/>
                <w:i/>
                <w:sz w:val="16"/>
                <w:szCs w:val="16"/>
              </w:rPr>
              <w:t>:</w:t>
            </w:r>
            <w:r w:rsidRPr="0020416E">
              <w:rPr>
                <w:rFonts w:cs="Arial"/>
                <w:sz w:val="16"/>
                <w:szCs w:val="16"/>
              </w:rPr>
              <w:br/>
            </w:r>
            <w:r w:rsidRPr="00C3328E">
              <w:rPr>
                <w:rFonts w:cs="Arial"/>
                <w:sz w:val="16"/>
                <w:szCs w:val="16"/>
                <w:lang w:bidi="th-TH"/>
              </w:rPr>
              <w:t>All work (100%) covers  high risk/high relevance areas</w:t>
            </w:r>
          </w:p>
        </w:tc>
        <w:tc>
          <w:tcPr>
            <w:tcW w:w="1062" w:type="pct"/>
            <w:tcBorders>
              <w:top w:val="nil"/>
              <w:bottom w:val="nil"/>
            </w:tcBorders>
            <w:shd w:val="clear" w:color="auto" w:fill="auto"/>
            <w:tcMar>
              <w:top w:w="110" w:type="dxa"/>
            </w:tcMar>
          </w:tcPr>
          <w:p w:rsidR="00671363" w:rsidRPr="0020416E" w:rsidRDefault="00671363" w:rsidP="00B9043D">
            <w:pPr>
              <w:rPr>
                <w:rFonts w:cs="Arial"/>
                <w:sz w:val="16"/>
                <w:szCs w:val="16"/>
                <w:lang w:bidi="th-TH"/>
              </w:rPr>
            </w:pPr>
            <w:r w:rsidRPr="00C3328E">
              <w:rPr>
                <w:rFonts w:cs="Arial"/>
                <w:sz w:val="16"/>
                <w:szCs w:val="16"/>
              </w:rPr>
              <w:t>All work (100%) covers  high risk/high relevance areas</w:t>
            </w:r>
          </w:p>
        </w:tc>
        <w:tc>
          <w:tcPr>
            <w:tcW w:w="1142" w:type="pct"/>
            <w:tcBorders>
              <w:top w:val="nil"/>
              <w:bottom w:val="nil"/>
            </w:tcBorders>
            <w:shd w:val="clear" w:color="auto" w:fill="FFFFFF"/>
            <w:tcMar>
              <w:top w:w="110" w:type="dxa"/>
            </w:tcMar>
          </w:tcPr>
          <w:p w:rsidR="00671363" w:rsidRDefault="00671363" w:rsidP="00B9043D">
            <w:pPr>
              <w:rPr>
                <w:rFonts w:cs="Arial"/>
                <w:sz w:val="16"/>
                <w:szCs w:val="16"/>
              </w:rPr>
            </w:pPr>
            <w:r w:rsidRPr="00C3328E">
              <w:rPr>
                <w:rFonts w:cs="Arial"/>
                <w:sz w:val="16"/>
                <w:szCs w:val="16"/>
                <w:lang w:bidi="th-TH"/>
              </w:rPr>
              <w:t>All work (100%) covers high risk/high relevance areas</w:t>
            </w:r>
            <w:r w:rsidRPr="009E4D98">
              <w:rPr>
                <w:rFonts w:cs="Arial"/>
                <w:sz w:val="16"/>
                <w:szCs w:val="16"/>
              </w:rPr>
              <w:t xml:space="preserve"> </w:t>
            </w:r>
          </w:p>
          <w:p w:rsidR="00671363" w:rsidRPr="0020416E" w:rsidRDefault="00671363" w:rsidP="00B9043D">
            <w:pPr>
              <w:rPr>
                <w:rFonts w:cs="Arial"/>
                <w:sz w:val="16"/>
                <w:szCs w:val="16"/>
              </w:rPr>
            </w:pPr>
          </w:p>
        </w:tc>
        <w:tc>
          <w:tcPr>
            <w:tcW w:w="589" w:type="pct"/>
            <w:tcBorders>
              <w:top w:val="nil"/>
              <w:bottom w:val="nil"/>
              <w:right w:val="single" w:sz="4" w:space="0" w:color="auto"/>
            </w:tcBorders>
            <w:shd w:val="clear" w:color="auto" w:fill="auto"/>
            <w:tcMar>
              <w:top w:w="110" w:type="dxa"/>
            </w:tcMar>
          </w:tcPr>
          <w:p w:rsidR="00671363" w:rsidRPr="009F50E9" w:rsidRDefault="00671363" w:rsidP="00B9043D">
            <w:pPr>
              <w:keepNext/>
              <w:keepLines/>
              <w:jc w:val="center"/>
              <w:rPr>
                <w:rFonts w:cs="Arial"/>
                <w:bCs/>
                <w:color w:val="00B050"/>
                <w:sz w:val="16"/>
                <w:szCs w:val="16"/>
              </w:rPr>
            </w:pPr>
            <w:r w:rsidRPr="009F50E9">
              <w:rPr>
                <w:rFonts w:cs="Arial"/>
                <w:b/>
                <w:bCs/>
                <w:color w:val="00B050"/>
                <w:sz w:val="16"/>
                <w:szCs w:val="16"/>
              </w:rPr>
              <w:t>Fully Achieved</w:t>
            </w:r>
          </w:p>
        </w:tc>
      </w:tr>
      <w:tr w:rsidR="00671363" w:rsidRPr="0020416E" w:rsidTr="00895440">
        <w:tc>
          <w:tcPr>
            <w:tcW w:w="1145" w:type="pct"/>
            <w:tcBorders>
              <w:top w:val="nil"/>
              <w:left w:val="single" w:sz="4" w:space="0" w:color="auto"/>
              <w:bottom w:val="single" w:sz="4" w:space="0" w:color="auto"/>
            </w:tcBorders>
            <w:shd w:val="clear" w:color="auto" w:fill="auto"/>
          </w:tcPr>
          <w:p w:rsidR="00671363" w:rsidRPr="00C3328E" w:rsidRDefault="00671363" w:rsidP="00B9043D">
            <w:pPr>
              <w:rPr>
                <w:rFonts w:cs="Arial"/>
                <w:sz w:val="16"/>
                <w:szCs w:val="16"/>
                <w:lang w:bidi="th-TH"/>
              </w:rPr>
            </w:pPr>
            <w:r w:rsidRPr="00C3328E">
              <w:rPr>
                <w:rFonts w:cs="Arial"/>
                <w:sz w:val="16"/>
                <w:szCs w:val="16"/>
                <w:lang w:bidi="th-TH"/>
              </w:rPr>
              <w:t xml:space="preserve">EFFICIENCY: </w:t>
            </w:r>
          </w:p>
          <w:p w:rsidR="00671363" w:rsidRPr="00C3328E" w:rsidRDefault="00671363" w:rsidP="00B9043D">
            <w:pPr>
              <w:rPr>
                <w:rFonts w:cs="Arial"/>
                <w:sz w:val="16"/>
                <w:szCs w:val="16"/>
                <w:lang w:bidi="th-TH"/>
              </w:rPr>
            </w:pPr>
            <w:r w:rsidRPr="00C3328E">
              <w:rPr>
                <w:rFonts w:cs="Arial"/>
                <w:sz w:val="16"/>
                <w:szCs w:val="16"/>
                <w:lang w:bidi="th-TH"/>
              </w:rPr>
              <w:t xml:space="preserve">(a) Timely and qualitative completion of oversight reports, </w:t>
            </w:r>
          </w:p>
          <w:p w:rsidR="00671363" w:rsidRPr="00C3328E" w:rsidRDefault="00671363" w:rsidP="00B9043D">
            <w:pPr>
              <w:rPr>
                <w:rFonts w:cs="Arial"/>
                <w:sz w:val="16"/>
                <w:szCs w:val="16"/>
                <w:lang w:bidi="th-TH"/>
              </w:rPr>
            </w:pPr>
            <w:r w:rsidRPr="00C3328E">
              <w:rPr>
                <w:rFonts w:cs="Arial"/>
                <w:sz w:val="16"/>
                <w:szCs w:val="16"/>
                <w:lang w:bidi="th-TH"/>
              </w:rPr>
              <w:t xml:space="preserve">(b) Number of audits &amp; evaluations completed as per oversight workplan; </w:t>
            </w:r>
          </w:p>
          <w:p w:rsidR="00671363" w:rsidRPr="0020416E" w:rsidRDefault="00671363" w:rsidP="00B9043D">
            <w:pPr>
              <w:rPr>
                <w:rFonts w:cs="Arial"/>
                <w:sz w:val="16"/>
                <w:szCs w:val="16"/>
                <w:lang w:bidi="th-TH"/>
              </w:rPr>
            </w:pPr>
            <w:r w:rsidRPr="00C3328E">
              <w:rPr>
                <w:rFonts w:cs="Arial"/>
                <w:sz w:val="16"/>
                <w:szCs w:val="16"/>
                <w:lang w:bidi="th-TH"/>
              </w:rPr>
              <w:t>(c) Number of complaints/reports of possible misconduct handle</w:t>
            </w:r>
            <w:r>
              <w:rPr>
                <w:rFonts w:cs="Arial"/>
                <w:sz w:val="16"/>
                <w:szCs w:val="16"/>
                <w:lang w:bidi="th-TH"/>
              </w:rPr>
              <w:t>d</w:t>
            </w:r>
          </w:p>
        </w:tc>
        <w:tc>
          <w:tcPr>
            <w:tcW w:w="1062" w:type="pct"/>
            <w:tcBorders>
              <w:top w:val="nil"/>
              <w:bottom w:val="single" w:sz="4" w:space="0" w:color="auto"/>
            </w:tcBorders>
            <w:shd w:val="clear" w:color="auto" w:fill="auto"/>
          </w:tcPr>
          <w:p w:rsidR="00671363" w:rsidRDefault="00671363" w:rsidP="00B9043D">
            <w:pPr>
              <w:keepNext/>
              <w:keepLines/>
              <w:rPr>
                <w:rFonts w:cs="Arial"/>
                <w:color w:val="002060"/>
                <w:sz w:val="16"/>
                <w:szCs w:val="16"/>
              </w:rPr>
            </w:pPr>
            <w:r>
              <w:rPr>
                <w:rFonts w:cs="Arial"/>
                <w:i/>
                <w:color w:val="002060"/>
                <w:sz w:val="16"/>
                <w:szCs w:val="16"/>
              </w:rPr>
              <w:t>Updated Baseline end 2013</w:t>
            </w:r>
            <w:r w:rsidRPr="0020416E">
              <w:rPr>
                <w:rFonts w:cs="Arial"/>
                <w:i/>
                <w:color w:val="002060"/>
                <w:sz w:val="16"/>
                <w:szCs w:val="16"/>
              </w:rPr>
              <w:t xml:space="preserve">:  </w:t>
            </w:r>
            <w:r w:rsidRPr="00BE05A8">
              <w:rPr>
                <w:rFonts w:cs="Arial"/>
                <w:color w:val="002060"/>
                <w:sz w:val="16"/>
                <w:szCs w:val="16"/>
              </w:rPr>
              <w:t>(a) Investigations completed on average in 3</w:t>
            </w:r>
            <w:r>
              <w:rPr>
                <w:rFonts w:cs="Arial"/>
                <w:color w:val="002060"/>
                <w:sz w:val="16"/>
                <w:szCs w:val="16"/>
              </w:rPr>
              <w:t> </w:t>
            </w:r>
            <w:r w:rsidRPr="00BE05A8">
              <w:rPr>
                <w:rFonts w:cs="Arial"/>
                <w:color w:val="002060"/>
                <w:sz w:val="16"/>
                <w:szCs w:val="16"/>
              </w:rPr>
              <w:t>months</w:t>
            </w:r>
            <w:r>
              <w:rPr>
                <w:rFonts w:cs="Arial"/>
                <w:color w:val="002060"/>
                <w:sz w:val="16"/>
                <w:szCs w:val="16"/>
              </w:rPr>
              <w:t>;</w:t>
            </w:r>
          </w:p>
          <w:p w:rsidR="00671363" w:rsidRPr="00BE05A8" w:rsidRDefault="00671363" w:rsidP="00B9043D">
            <w:pPr>
              <w:keepNext/>
              <w:keepLines/>
              <w:rPr>
                <w:rFonts w:cs="Arial"/>
                <w:color w:val="002060"/>
                <w:sz w:val="16"/>
                <w:szCs w:val="16"/>
              </w:rPr>
            </w:pPr>
          </w:p>
          <w:p w:rsidR="00671363" w:rsidRDefault="00671363" w:rsidP="00B9043D">
            <w:pPr>
              <w:keepNext/>
              <w:keepLines/>
              <w:rPr>
                <w:rFonts w:cs="Arial"/>
                <w:color w:val="002060"/>
                <w:sz w:val="16"/>
                <w:szCs w:val="16"/>
              </w:rPr>
            </w:pPr>
            <w:r w:rsidRPr="00BE05A8">
              <w:rPr>
                <w:rFonts w:cs="Arial"/>
                <w:color w:val="002060"/>
                <w:sz w:val="16"/>
                <w:szCs w:val="16"/>
              </w:rPr>
              <w:t xml:space="preserve">(b) </w:t>
            </w:r>
            <w:r>
              <w:rPr>
                <w:rFonts w:cs="Arial"/>
                <w:color w:val="002060"/>
                <w:sz w:val="16"/>
                <w:szCs w:val="16"/>
              </w:rPr>
              <w:t>7</w:t>
            </w:r>
            <w:r w:rsidRPr="00BE05A8">
              <w:rPr>
                <w:rFonts w:cs="Arial"/>
                <w:color w:val="002060"/>
                <w:sz w:val="16"/>
                <w:szCs w:val="16"/>
              </w:rPr>
              <w:t xml:space="preserve"> audits</w:t>
            </w:r>
            <w:r>
              <w:rPr>
                <w:rFonts w:cs="Arial"/>
                <w:color w:val="002060"/>
                <w:sz w:val="16"/>
                <w:szCs w:val="16"/>
              </w:rPr>
              <w:t xml:space="preserve"> and 2 evaluations;</w:t>
            </w:r>
          </w:p>
          <w:p w:rsidR="00671363" w:rsidRPr="00BE05A8" w:rsidRDefault="00671363" w:rsidP="00B9043D">
            <w:pPr>
              <w:keepNext/>
              <w:keepLines/>
              <w:rPr>
                <w:rFonts w:cs="Arial"/>
                <w:color w:val="002060"/>
                <w:sz w:val="16"/>
                <w:szCs w:val="16"/>
              </w:rPr>
            </w:pPr>
          </w:p>
          <w:p w:rsidR="00671363" w:rsidRDefault="00671363" w:rsidP="00B9043D">
            <w:pPr>
              <w:keepNext/>
              <w:keepLines/>
              <w:rPr>
                <w:rFonts w:cs="Arial"/>
                <w:color w:val="002060"/>
                <w:sz w:val="16"/>
                <w:szCs w:val="16"/>
              </w:rPr>
            </w:pPr>
            <w:r w:rsidRPr="00BE05A8">
              <w:rPr>
                <w:rFonts w:cs="Arial"/>
                <w:color w:val="002060"/>
                <w:sz w:val="16"/>
                <w:szCs w:val="16"/>
              </w:rPr>
              <w:t>(c)19 investigations</w:t>
            </w:r>
            <w:r>
              <w:rPr>
                <w:rFonts w:cs="Arial"/>
                <w:color w:val="002060"/>
                <w:sz w:val="16"/>
                <w:szCs w:val="16"/>
              </w:rPr>
              <w:t>;</w:t>
            </w:r>
          </w:p>
          <w:p w:rsidR="00671363" w:rsidRDefault="00671363" w:rsidP="00B9043D">
            <w:pPr>
              <w:keepNext/>
              <w:keepLines/>
              <w:rPr>
                <w:rFonts w:cs="Arial"/>
                <w:color w:val="002060"/>
                <w:sz w:val="16"/>
                <w:szCs w:val="16"/>
              </w:rPr>
            </w:pPr>
          </w:p>
          <w:p w:rsidR="00671363" w:rsidRPr="00BE05A8" w:rsidRDefault="00671363" w:rsidP="00B9043D">
            <w:pPr>
              <w:keepNext/>
              <w:keepLines/>
              <w:rPr>
                <w:rFonts w:cs="Arial"/>
                <w:color w:val="002060"/>
                <w:sz w:val="16"/>
                <w:szCs w:val="16"/>
              </w:rPr>
            </w:pPr>
            <w:r>
              <w:rPr>
                <w:rFonts w:cs="Arial"/>
                <w:color w:val="002060"/>
                <w:sz w:val="16"/>
                <w:szCs w:val="16"/>
              </w:rPr>
              <w:t>(d) all work done in accordance with standards</w:t>
            </w:r>
          </w:p>
          <w:p w:rsidR="00671363" w:rsidRPr="0020416E" w:rsidRDefault="00671363" w:rsidP="00B9043D">
            <w:pPr>
              <w:keepNext/>
              <w:keepLines/>
              <w:rPr>
                <w:rFonts w:cs="Arial"/>
                <w:i/>
                <w:color w:val="002060"/>
                <w:sz w:val="8"/>
                <w:szCs w:val="8"/>
              </w:rPr>
            </w:pPr>
          </w:p>
          <w:p w:rsidR="00671363" w:rsidRPr="00C3328E" w:rsidRDefault="00671363" w:rsidP="00B9043D">
            <w:pPr>
              <w:rPr>
                <w:rFonts w:cs="Arial"/>
                <w:sz w:val="16"/>
                <w:szCs w:val="16"/>
                <w:lang w:bidi="th-TH"/>
              </w:rPr>
            </w:pPr>
            <w:r>
              <w:rPr>
                <w:rFonts w:cs="Arial"/>
                <w:i/>
                <w:sz w:val="16"/>
                <w:szCs w:val="16"/>
              </w:rPr>
              <w:t>Original Baseline P&amp;B 2014/15</w:t>
            </w:r>
            <w:r w:rsidRPr="0020416E">
              <w:rPr>
                <w:rFonts w:cs="Arial"/>
                <w:i/>
                <w:sz w:val="16"/>
                <w:szCs w:val="16"/>
              </w:rPr>
              <w:t>:</w:t>
            </w:r>
            <w:r w:rsidRPr="0020416E">
              <w:rPr>
                <w:rFonts w:cs="Arial"/>
                <w:sz w:val="16"/>
                <w:szCs w:val="16"/>
              </w:rPr>
              <w:br/>
            </w:r>
            <w:r w:rsidRPr="00C3328E">
              <w:rPr>
                <w:rFonts w:cs="Arial"/>
                <w:sz w:val="16"/>
                <w:szCs w:val="16"/>
                <w:lang w:bidi="th-TH"/>
              </w:rPr>
              <w:t xml:space="preserve">(a) Investigations, audits/evaluations completed on average in 10  and </w:t>
            </w:r>
            <w:r>
              <w:rPr>
                <w:rFonts w:cs="Arial"/>
                <w:sz w:val="16"/>
                <w:szCs w:val="16"/>
                <w:lang w:bidi="th-TH"/>
              </w:rPr>
              <w:t>five</w:t>
            </w:r>
            <w:r w:rsidRPr="00C3328E">
              <w:rPr>
                <w:rFonts w:cs="Arial"/>
                <w:sz w:val="16"/>
                <w:szCs w:val="16"/>
                <w:lang w:bidi="th-TH"/>
              </w:rPr>
              <w:t xml:space="preserve"> months in 2012; </w:t>
            </w:r>
          </w:p>
          <w:p w:rsidR="00671363" w:rsidRPr="00C3328E" w:rsidRDefault="00671363" w:rsidP="00B9043D">
            <w:pPr>
              <w:rPr>
                <w:rFonts w:cs="Arial"/>
                <w:sz w:val="16"/>
                <w:szCs w:val="16"/>
                <w:lang w:bidi="th-TH"/>
              </w:rPr>
            </w:pPr>
            <w:r w:rsidRPr="00C3328E">
              <w:rPr>
                <w:rFonts w:cs="Arial"/>
                <w:sz w:val="16"/>
                <w:szCs w:val="16"/>
                <w:lang w:bidi="th-TH"/>
              </w:rPr>
              <w:t xml:space="preserve">(b) </w:t>
            </w:r>
            <w:r>
              <w:rPr>
                <w:rFonts w:cs="Arial"/>
                <w:sz w:val="16"/>
                <w:szCs w:val="16"/>
                <w:lang w:bidi="th-TH"/>
              </w:rPr>
              <w:t>three</w:t>
            </w:r>
            <w:r w:rsidRPr="00C3328E">
              <w:rPr>
                <w:rFonts w:cs="Arial"/>
                <w:sz w:val="16"/>
                <w:szCs w:val="16"/>
                <w:lang w:bidi="th-TH"/>
              </w:rPr>
              <w:t xml:space="preserve"> audits and </w:t>
            </w:r>
            <w:r>
              <w:rPr>
                <w:rFonts w:cs="Arial"/>
                <w:sz w:val="16"/>
                <w:szCs w:val="16"/>
                <w:lang w:bidi="th-TH"/>
              </w:rPr>
              <w:t>five </w:t>
            </w:r>
            <w:r w:rsidRPr="00C3328E">
              <w:rPr>
                <w:rFonts w:cs="Arial"/>
                <w:sz w:val="16"/>
                <w:szCs w:val="16"/>
                <w:lang w:bidi="th-TH"/>
              </w:rPr>
              <w:t>evaluations completed</w:t>
            </w:r>
            <w:r>
              <w:rPr>
                <w:rFonts w:cs="Arial"/>
                <w:sz w:val="16"/>
                <w:szCs w:val="16"/>
                <w:lang w:bidi="th-TH"/>
              </w:rPr>
              <w:t> </w:t>
            </w:r>
            <w:r w:rsidRPr="00C3328E">
              <w:rPr>
                <w:rFonts w:cs="Arial"/>
                <w:sz w:val="16"/>
                <w:szCs w:val="16"/>
                <w:lang w:bidi="th-TH"/>
              </w:rPr>
              <w:t xml:space="preserve">in 2012; </w:t>
            </w:r>
          </w:p>
          <w:p w:rsidR="00671363" w:rsidRPr="00C3328E" w:rsidRDefault="00671363" w:rsidP="00B9043D">
            <w:pPr>
              <w:rPr>
                <w:rFonts w:cs="Arial"/>
                <w:sz w:val="16"/>
                <w:szCs w:val="16"/>
                <w:lang w:bidi="th-TH"/>
              </w:rPr>
            </w:pPr>
            <w:r w:rsidRPr="00C3328E">
              <w:rPr>
                <w:rFonts w:cs="Arial"/>
                <w:sz w:val="16"/>
                <w:szCs w:val="16"/>
                <w:lang w:bidi="th-TH"/>
              </w:rPr>
              <w:t xml:space="preserve">(c) 15 investigations closed in 2011 and 23 in 2012; </w:t>
            </w:r>
          </w:p>
          <w:p w:rsidR="00671363" w:rsidRPr="0020416E" w:rsidRDefault="00671363" w:rsidP="00B9043D">
            <w:pPr>
              <w:rPr>
                <w:rFonts w:cs="Arial"/>
                <w:sz w:val="16"/>
                <w:szCs w:val="16"/>
                <w:lang w:bidi="th-TH"/>
              </w:rPr>
            </w:pPr>
            <w:r w:rsidRPr="00C3328E">
              <w:rPr>
                <w:rFonts w:cs="Arial"/>
                <w:sz w:val="16"/>
                <w:szCs w:val="16"/>
                <w:lang w:bidi="th-TH"/>
              </w:rPr>
              <w:t>(d) all oversight work done in accordance with standards</w:t>
            </w:r>
          </w:p>
        </w:tc>
        <w:tc>
          <w:tcPr>
            <w:tcW w:w="1062" w:type="pct"/>
            <w:tcBorders>
              <w:top w:val="nil"/>
              <w:bottom w:val="single" w:sz="4" w:space="0" w:color="auto"/>
            </w:tcBorders>
            <w:shd w:val="clear" w:color="auto" w:fill="auto"/>
            <w:tcMar>
              <w:top w:w="110" w:type="dxa"/>
            </w:tcMar>
          </w:tcPr>
          <w:p w:rsidR="00671363" w:rsidRDefault="00671363" w:rsidP="00B9043D">
            <w:pPr>
              <w:autoSpaceDE w:val="0"/>
              <w:autoSpaceDN w:val="0"/>
              <w:adjustRightInd w:val="0"/>
              <w:rPr>
                <w:rFonts w:cs="Arial"/>
                <w:sz w:val="16"/>
                <w:szCs w:val="16"/>
              </w:rPr>
            </w:pPr>
            <w:r>
              <w:rPr>
                <w:rFonts w:cs="Arial"/>
                <w:sz w:val="16"/>
                <w:szCs w:val="16"/>
              </w:rPr>
              <w:t>(</w:t>
            </w:r>
            <w:r w:rsidRPr="00C3328E">
              <w:rPr>
                <w:rFonts w:cs="Arial"/>
                <w:sz w:val="16"/>
                <w:szCs w:val="16"/>
              </w:rPr>
              <w:t xml:space="preserve">a) Investigations completed in </w:t>
            </w:r>
            <w:r>
              <w:rPr>
                <w:rFonts w:cs="Arial"/>
                <w:sz w:val="16"/>
                <w:szCs w:val="16"/>
              </w:rPr>
              <w:t>six</w:t>
            </w:r>
            <w:r w:rsidRPr="00C3328E">
              <w:rPr>
                <w:rFonts w:cs="Arial"/>
                <w:sz w:val="16"/>
                <w:szCs w:val="16"/>
              </w:rPr>
              <w:t xml:space="preserve"> months on average, audits  and evaluations in 5 months;</w:t>
            </w:r>
          </w:p>
          <w:p w:rsidR="00671363" w:rsidRPr="00C3328E" w:rsidRDefault="00671363" w:rsidP="00B9043D">
            <w:pPr>
              <w:autoSpaceDE w:val="0"/>
              <w:autoSpaceDN w:val="0"/>
              <w:adjustRightInd w:val="0"/>
              <w:rPr>
                <w:rFonts w:cs="Arial"/>
                <w:sz w:val="16"/>
                <w:szCs w:val="16"/>
              </w:rPr>
            </w:pPr>
          </w:p>
          <w:p w:rsidR="00671363" w:rsidRDefault="00671363" w:rsidP="00B9043D">
            <w:pPr>
              <w:autoSpaceDE w:val="0"/>
              <w:autoSpaceDN w:val="0"/>
              <w:adjustRightInd w:val="0"/>
              <w:rPr>
                <w:rFonts w:cs="Arial"/>
                <w:sz w:val="16"/>
                <w:szCs w:val="16"/>
              </w:rPr>
            </w:pPr>
            <w:r w:rsidRPr="00C3328E">
              <w:rPr>
                <w:rFonts w:cs="Arial"/>
                <w:sz w:val="16"/>
                <w:szCs w:val="16"/>
              </w:rPr>
              <w:t xml:space="preserve">(b) 12 audits and </w:t>
            </w:r>
            <w:r>
              <w:rPr>
                <w:rFonts w:cs="Arial"/>
                <w:sz w:val="16"/>
                <w:szCs w:val="16"/>
              </w:rPr>
              <w:t>six</w:t>
            </w:r>
            <w:r w:rsidRPr="00C3328E">
              <w:rPr>
                <w:rFonts w:cs="Arial"/>
                <w:sz w:val="16"/>
                <w:szCs w:val="16"/>
              </w:rPr>
              <w:t xml:space="preserve"> evaluations completed;</w:t>
            </w:r>
          </w:p>
          <w:p w:rsidR="00671363" w:rsidRPr="00C3328E" w:rsidRDefault="00671363" w:rsidP="00B9043D">
            <w:pPr>
              <w:autoSpaceDE w:val="0"/>
              <w:autoSpaceDN w:val="0"/>
              <w:adjustRightInd w:val="0"/>
              <w:rPr>
                <w:rFonts w:cs="Arial"/>
                <w:sz w:val="16"/>
                <w:szCs w:val="16"/>
              </w:rPr>
            </w:pPr>
          </w:p>
          <w:p w:rsidR="00671363" w:rsidRDefault="00671363" w:rsidP="00B9043D">
            <w:pPr>
              <w:autoSpaceDE w:val="0"/>
              <w:autoSpaceDN w:val="0"/>
              <w:adjustRightInd w:val="0"/>
              <w:rPr>
                <w:rFonts w:cs="Arial"/>
                <w:sz w:val="16"/>
                <w:szCs w:val="16"/>
              </w:rPr>
            </w:pPr>
            <w:r w:rsidRPr="00C3328E">
              <w:rPr>
                <w:rFonts w:cs="Arial"/>
                <w:sz w:val="16"/>
                <w:szCs w:val="16"/>
              </w:rPr>
              <w:t xml:space="preserve">(c) At least 15 investigations closed; </w:t>
            </w:r>
          </w:p>
          <w:p w:rsidR="00671363" w:rsidRPr="00C3328E" w:rsidRDefault="00671363" w:rsidP="00B9043D">
            <w:pPr>
              <w:autoSpaceDE w:val="0"/>
              <w:autoSpaceDN w:val="0"/>
              <w:adjustRightInd w:val="0"/>
              <w:rPr>
                <w:rFonts w:cs="Arial"/>
                <w:sz w:val="16"/>
                <w:szCs w:val="16"/>
              </w:rPr>
            </w:pPr>
          </w:p>
          <w:p w:rsidR="00671363" w:rsidRPr="0020416E" w:rsidRDefault="00671363" w:rsidP="00B9043D">
            <w:pPr>
              <w:autoSpaceDE w:val="0"/>
              <w:autoSpaceDN w:val="0"/>
              <w:adjustRightInd w:val="0"/>
              <w:rPr>
                <w:rFonts w:cs="Arial"/>
                <w:sz w:val="16"/>
                <w:szCs w:val="16"/>
              </w:rPr>
            </w:pPr>
            <w:r w:rsidRPr="00C3328E">
              <w:rPr>
                <w:rFonts w:cs="Arial"/>
                <w:sz w:val="16"/>
                <w:szCs w:val="16"/>
              </w:rPr>
              <w:t>(d)compliance with standards</w:t>
            </w:r>
          </w:p>
        </w:tc>
        <w:tc>
          <w:tcPr>
            <w:tcW w:w="1142" w:type="pct"/>
            <w:tcBorders>
              <w:top w:val="nil"/>
              <w:bottom w:val="single" w:sz="4" w:space="0" w:color="auto"/>
            </w:tcBorders>
            <w:shd w:val="clear" w:color="auto" w:fill="FFFFFF"/>
            <w:tcMar>
              <w:top w:w="110" w:type="dxa"/>
            </w:tcMar>
          </w:tcPr>
          <w:p w:rsidR="00671363" w:rsidRDefault="00671363" w:rsidP="00B9043D">
            <w:pPr>
              <w:rPr>
                <w:rFonts w:cs="Arial"/>
                <w:sz w:val="16"/>
                <w:szCs w:val="16"/>
                <w:lang w:bidi="th-TH"/>
              </w:rPr>
            </w:pPr>
            <w:r>
              <w:rPr>
                <w:rFonts w:cs="Arial"/>
                <w:sz w:val="16"/>
                <w:szCs w:val="16"/>
                <w:lang w:bidi="th-TH"/>
              </w:rPr>
              <w:t>In 2014/15:</w:t>
            </w:r>
          </w:p>
          <w:p w:rsidR="00671363" w:rsidRDefault="00671363" w:rsidP="00B9043D">
            <w:pPr>
              <w:rPr>
                <w:rFonts w:cs="Arial"/>
                <w:sz w:val="16"/>
                <w:szCs w:val="16"/>
                <w:lang w:bidi="th-TH"/>
              </w:rPr>
            </w:pPr>
          </w:p>
          <w:p w:rsidR="00671363" w:rsidRDefault="00671363" w:rsidP="00B9043D">
            <w:pPr>
              <w:rPr>
                <w:rFonts w:cs="Arial"/>
                <w:sz w:val="16"/>
                <w:szCs w:val="16"/>
                <w:lang w:bidi="th-TH"/>
              </w:rPr>
            </w:pPr>
            <w:r>
              <w:rPr>
                <w:rFonts w:cs="Arial"/>
                <w:sz w:val="16"/>
                <w:szCs w:val="16"/>
                <w:lang w:bidi="th-TH"/>
              </w:rPr>
              <w:t>(a)Investigations open and closed during the period were generally completed within less than five months</w:t>
            </w:r>
          </w:p>
          <w:p w:rsidR="00671363" w:rsidRDefault="00671363" w:rsidP="00B9043D">
            <w:pPr>
              <w:rPr>
                <w:rFonts w:cs="Arial"/>
                <w:sz w:val="16"/>
                <w:szCs w:val="16"/>
                <w:lang w:bidi="th-TH"/>
              </w:rPr>
            </w:pPr>
          </w:p>
          <w:p w:rsidR="00671363" w:rsidRDefault="00671363" w:rsidP="00B9043D">
            <w:pPr>
              <w:rPr>
                <w:rFonts w:cs="Arial"/>
                <w:sz w:val="16"/>
                <w:szCs w:val="16"/>
                <w:lang w:bidi="th-TH"/>
              </w:rPr>
            </w:pPr>
            <w:r>
              <w:rPr>
                <w:rFonts w:cs="Arial"/>
                <w:sz w:val="16"/>
                <w:szCs w:val="16"/>
                <w:lang w:bidi="th-TH"/>
              </w:rPr>
              <w:t>(b) 13 audit reports, seven evaluation reports, and the validation of the PPR 2012/13 completed</w:t>
            </w:r>
            <w:r w:rsidRPr="00C3328E">
              <w:rPr>
                <w:rFonts w:cs="Arial"/>
                <w:sz w:val="16"/>
                <w:szCs w:val="16"/>
                <w:lang w:bidi="th-TH"/>
              </w:rPr>
              <w:t xml:space="preserve"> </w:t>
            </w:r>
          </w:p>
          <w:p w:rsidR="00671363" w:rsidRDefault="00671363" w:rsidP="00B9043D">
            <w:pPr>
              <w:rPr>
                <w:rFonts w:cs="Arial"/>
                <w:sz w:val="16"/>
                <w:szCs w:val="16"/>
                <w:lang w:bidi="th-TH"/>
              </w:rPr>
            </w:pPr>
          </w:p>
          <w:p w:rsidR="00671363" w:rsidRDefault="00671363" w:rsidP="00B9043D">
            <w:pPr>
              <w:rPr>
                <w:rFonts w:cs="Arial"/>
                <w:sz w:val="16"/>
                <w:szCs w:val="16"/>
                <w:lang w:bidi="th-TH"/>
              </w:rPr>
            </w:pPr>
            <w:r>
              <w:rPr>
                <w:rFonts w:cs="Arial"/>
                <w:sz w:val="16"/>
                <w:szCs w:val="16"/>
                <w:lang w:bidi="th-TH"/>
              </w:rPr>
              <w:t>(c) 43 investigations closed over the period</w:t>
            </w:r>
          </w:p>
          <w:p w:rsidR="00671363" w:rsidRDefault="00671363" w:rsidP="00B9043D">
            <w:pPr>
              <w:rPr>
                <w:rFonts w:cs="Arial"/>
                <w:sz w:val="16"/>
                <w:szCs w:val="16"/>
                <w:lang w:bidi="th-TH"/>
              </w:rPr>
            </w:pPr>
          </w:p>
          <w:p w:rsidR="00671363" w:rsidRPr="0020416E" w:rsidRDefault="00671363" w:rsidP="00B9043D">
            <w:pPr>
              <w:rPr>
                <w:rFonts w:cs="Arial"/>
                <w:sz w:val="16"/>
                <w:szCs w:val="16"/>
                <w:lang w:bidi="th-TH"/>
              </w:rPr>
            </w:pPr>
            <w:r>
              <w:rPr>
                <w:rFonts w:cs="Arial"/>
                <w:sz w:val="16"/>
                <w:szCs w:val="16"/>
                <w:lang w:bidi="th-TH"/>
              </w:rPr>
              <w:t xml:space="preserve">(d) general compliance with the standards confirmed by the EQAs of the three functions </w:t>
            </w:r>
          </w:p>
        </w:tc>
        <w:tc>
          <w:tcPr>
            <w:tcW w:w="589" w:type="pct"/>
            <w:tcBorders>
              <w:top w:val="nil"/>
              <w:bottom w:val="single" w:sz="4" w:space="0" w:color="auto"/>
              <w:right w:val="single" w:sz="4" w:space="0" w:color="auto"/>
            </w:tcBorders>
            <w:shd w:val="clear" w:color="auto" w:fill="auto"/>
            <w:tcMar>
              <w:top w:w="110" w:type="dxa"/>
            </w:tcMar>
          </w:tcPr>
          <w:p w:rsidR="00671363" w:rsidRDefault="00671363" w:rsidP="00B9043D">
            <w:pPr>
              <w:keepNext/>
              <w:keepLines/>
              <w:jc w:val="center"/>
              <w:rPr>
                <w:rFonts w:cs="Arial"/>
                <w:b/>
                <w:bCs/>
                <w:color w:val="00B050"/>
                <w:sz w:val="16"/>
                <w:szCs w:val="16"/>
              </w:rPr>
            </w:pPr>
          </w:p>
          <w:p w:rsidR="00671363" w:rsidRDefault="00671363" w:rsidP="00B9043D">
            <w:pPr>
              <w:keepNext/>
              <w:keepLines/>
              <w:jc w:val="center"/>
              <w:rPr>
                <w:rFonts w:cs="Arial"/>
                <w:b/>
                <w:bCs/>
                <w:color w:val="00B050"/>
                <w:sz w:val="16"/>
                <w:szCs w:val="16"/>
              </w:rPr>
            </w:pPr>
          </w:p>
          <w:p w:rsidR="00671363" w:rsidRDefault="00671363" w:rsidP="00B9043D">
            <w:pPr>
              <w:keepNext/>
              <w:keepLines/>
              <w:jc w:val="center"/>
              <w:rPr>
                <w:rFonts w:cs="Arial"/>
                <w:b/>
                <w:bCs/>
                <w:color w:val="00B050"/>
                <w:sz w:val="16"/>
                <w:szCs w:val="16"/>
              </w:rPr>
            </w:pPr>
            <w:r w:rsidRPr="0033635A">
              <w:rPr>
                <w:rFonts w:cs="Arial"/>
                <w:b/>
                <w:bCs/>
                <w:color w:val="00B050"/>
                <w:sz w:val="16"/>
                <w:szCs w:val="16"/>
              </w:rPr>
              <w:t>Fully Achieved</w:t>
            </w:r>
          </w:p>
          <w:p w:rsidR="00671363" w:rsidRDefault="00671363" w:rsidP="00B9043D">
            <w:pPr>
              <w:keepNext/>
              <w:keepLines/>
              <w:jc w:val="center"/>
              <w:rPr>
                <w:rFonts w:cs="Arial"/>
                <w:b/>
                <w:bCs/>
                <w:color w:val="00B050"/>
                <w:sz w:val="16"/>
                <w:szCs w:val="16"/>
              </w:rPr>
            </w:pPr>
          </w:p>
          <w:p w:rsidR="00671363" w:rsidRDefault="00671363" w:rsidP="00B9043D">
            <w:pPr>
              <w:keepNext/>
              <w:keepLines/>
              <w:jc w:val="center"/>
              <w:rPr>
                <w:rFonts w:cs="Arial"/>
                <w:b/>
                <w:bCs/>
                <w:color w:val="00B050"/>
                <w:sz w:val="16"/>
                <w:szCs w:val="16"/>
              </w:rPr>
            </w:pPr>
          </w:p>
          <w:p w:rsidR="00671363" w:rsidRDefault="00671363" w:rsidP="00B9043D">
            <w:pPr>
              <w:keepNext/>
              <w:keepLines/>
              <w:rPr>
                <w:rFonts w:cs="Arial"/>
                <w:b/>
                <w:bCs/>
                <w:color w:val="00B050"/>
                <w:sz w:val="16"/>
                <w:szCs w:val="16"/>
              </w:rPr>
            </w:pPr>
          </w:p>
          <w:p w:rsidR="00671363" w:rsidRDefault="00671363" w:rsidP="00B9043D">
            <w:pPr>
              <w:keepNext/>
              <w:keepLines/>
              <w:jc w:val="center"/>
              <w:rPr>
                <w:rFonts w:cs="Arial"/>
                <w:b/>
                <w:bCs/>
                <w:color w:val="00B050"/>
                <w:sz w:val="16"/>
                <w:szCs w:val="16"/>
              </w:rPr>
            </w:pPr>
            <w:r w:rsidRPr="0033635A">
              <w:rPr>
                <w:rFonts w:cs="Arial"/>
                <w:b/>
                <w:bCs/>
                <w:color w:val="00B050"/>
                <w:sz w:val="16"/>
                <w:szCs w:val="16"/>
              </w:rPr>
              <w:t>Fully Achieved</w:t>
            </w:r>
          </w:p>
          <w:p w:rsidR="00671363" w:rsidRDefault="00671363" w:rsidP="00B9043D">
            <w:pPr>
              <w:keepNext/>
              <w:keepLines/>
              <w:jc w:val="center"/>
              <w:rPr>
                <w:rFonts w:cs="Arial"/>
                <w:b/>
                <w:bCs/>
                <w:color w:val="00B050"/>
                <w:sz w:val="16"/>
                <w:szCs w:val="16"/>
              </w:rPr>
            </w:pPr>
          </w:p>
          <w:p w:rsidR="00671363" w:rsidRDefault="00671363" w:rsidP="00B9043D">
            <w:pPr>
              <w:keepNext/>
              <w:keepLines/>
              <w:jc w:val="center"/>
              <w:rPr>
                <w:rFonts w:cs="Arial"/>
                <w:b/>
                <w:bCs/>
                <w:color w:val="00B050"/>
                <w:sz w:val="16"/>
                <w:szCs w:val="16"/>
              </w:rPr>
            </w:pPr>
          </w:p>
          <w:p w:rsidR="00671363" w:rsidRDefault="00671363" w:rsidP="00B9043D">
            <w:pPr>
              <w:keepNext/>
              <w:keepLines/>
              <w:jc w:val="center"/>
              <w:rPr>
                <w:rFonts w:cs="Arial"/>
                <w:b/>
                <w:bCs/>
                <w:color w:val="00B050"/>
                <w:sz w:val="16"/>
                <w:szCs w:val="16"/>
              </w:rPr>
            </w:pPr>
          </w:p>
          <w:p w:rsidR="00671363" w:rsidRDefault="00671363" w:rsidP="00B9043D">
            <w:pPr>
              <w:keepNext/>
              <w:keepLines/>
              <w:jc w:val="center"/>
              <w:rPr>
                <w:rFonts w:cs="Arial"/>
                <w:b/>
                <w:bCs/>
                <w:color w:val="00B050"/>
                <w:sz w:val="16"/>
                <w:szCs w:val="16"/>
              </w:rPr>
            </w:pPr>
            <w:r w:rsidRPr="0033635A">
              <w:rPr>
                <w:rFonts w:cs="Arial"/>
                <w:b/>
                <w:bCs/>
                <w:color w:val="00B050"/>
                <w:sz w:val="16"/>
                <w:szCs w:val="16"/>
              </w:rPr>
              <w:t>Fully Achieved</w:t>
            </w:r>
          </w:p>
          <w:p w:rsidR="00671363" w:rsidRDefault="00671363" w:rsidP="00B9043D">
            <w:pPr>
              <w:keepNext/>
              <w:keepLines/>
              <w:jc w:val="center"/>
              <w:rPr>
                <w:rFonts w:cs="Arial"/>
                <w:b/>
                <w:bCs/>
                <w:color w:val="00B050"/>
                <w:sz w:val="16"/>
                <w:szCs w:val="16"/>
              </w:rPr>
            </w:pPr>
          </w:p>
          <w:p w:rsidR="00671363" w:rsidRDefault="00671363" w:rsidP="00B9043D">
            <w:pPr>
              <w:keepNext/>
              <w:keepLines/>
              <w:jc w:val="center"/>
              <w:rPr>
                <w:rFonts w:cs="Arial"/>
                <w:b/>
                <w:bCs/>
                <w:color w:val="00B050"/>
                <w:sz w:val="16"/>
                <w:szCs w:val="16"/>
              </w:rPr>
            </w:pPr>
          </w:p>
          <w:p w:rsidR="00671363" w:rsidRPr="0020416E" w:rsidRDefault="00671363" w:rsidP="00B9043D">
            <w:pPr>
              <w:keepNext/>
              <w:keepLines/>
              <w:jc w:val="center"/>
              <w:rPr>
                <w:rFonts w:cs="Arial"/>
                <w:bCs/>
                <w:color w:val="808080"/>
                <w:sz w:val="16"/>
                <w:szCs w:val="16"/>
              </w:rPr>
            </w:pPr>
            <w:r w:rsidRPr="0033635A">
              <w:rPr>
                <w:rFonts w:cs="Arial"/>
                <w:b/>
                <w:bCs/>
                <w:color w:val="00B050"/>
                <w:sz w:val="16"/>
                <w:szCs w:val="16"/>
              </w:rPr>
              <w:t>Fully Achieved</w:t>
            </w:r>
          </w:p>
        </w:tc>
      </w:tr>
      <w:tr w:rsidR="00671363" w:rsidRPr="0020416E" w:rsidTr="00895440">
        <w:trPr>
          <w:cantSplit/>
        </w:trPr>
        <w:tc>
          <w:tcPr>
            <w:tcW w:w="1145" w:type="pct"/>
            <w:tcBorders>
              <w:top w:val="single" w:sz="4" w:space="0" w:color="auto"/>
              <w:left w:val="single" w:sz="4" w:space="0" w:color="auto"/>
              <w:bottom w:val="nil"/>
            </w:tcBorders>
            <w:shd w:val="clear" w:color="auto" w:fill="auto"/>
          </w:tcPr>
          <w:p w:rsidR="00671363" w:rsidRPr="00C3328E" w:rsidRDefault="00671363" w:rsidP="00B9043D">
            <w:pPr>
              <w:rPr>
                <w:rFonts w:cs="Arial"/>
                <w:sz w:val="16"/>
                <w:szCs w:val="16"/>
                <w:lang w:bidi="th-TH"/>
              </w:rPr>
            </w:pPr>
            <w:r w:rsidRPr="00C3328E">
              <w:rPr>
                <w:rFonts w:cs="Arial"/>
                <w:sz w:val="16"/>
                <w:szCs w:val="16"/>
                <w:lang w:bidi="th-TH"/>
              </w:rPr>
              <w:t>RELEVANCE, ADDED VALUE &amp; STEWARDSHIP- Tangible cost savings or improvements made in business processes and systems</w:t>
            </w:r>
          </w:p>
        </w:tc>
        <w:tc>
          <w:tcPr>
            <w:tcW w:w="1062" w:type="pct"/>
            <w:tcBorders>
              <w:top w:val="single" w:sz="4" w:space="0" w:color="auto"/>
              <w:bottom w:val="nil"/>
            </w:tcBorders>
            <w:shd w:val="clear" w:color="auto" w:fill="auto"/>
          </w:tcPr>
          <w:p w:rsidR="00671363" w:rsidRDefault="00671363" w:rsidP="00B9043D">
            <w:pPr>
              <w:autoSpaceDE w:val="0"/>
              <w:autoSpaceDN w:val="0"/>
              <w:adjustRightInd w:val="0"/>
              <w:rPr>
                <w:rFonts w:cs="Arial"/>
                <w:i/>
                <w:color w:val="002060"/>
                <w:sz w:val="16"/>
                <w:szCs w:val="16"/>
              </w:rPr>
            </w:pPr>
            <w:r>
              <w:rPr>
                <w:rFonts w:cs="Arial"/>
                <w:sz w:val="16"/>
                <w:szCs w:val="16"/>
              </w:rPr>
              <w:t>IOD recommendations led to issuance of  10 OIs/ICs for improvements in internal controls, business processes and operations</w:t>
            </w:r>
          </w:p>
        </w:tc>
        <w:tc>
          <w:tcPr>
            <w:tcW w:w="1062" w:type="pct"/>
            <w:tcBorders>
              <w:top w:val="single" w:sz="4" w:space="0" w:color="auto"/>
              <w:bottom w:val="nil"/>
            </w:tcBorders>
            <w:shd w:val="clear" w:color="auto" w:fill="auto"/>
            <w:tcMar>
              <w:top w:w="110" w:type="dxa"/>
            </w:tcMar>
          </w:tcPr>
          <w:p w:rsidR="00671363" w:rsidRDefault="00671363" w:rsidP="00B9043D">
            <w:pPr>
              <w:autoSpaceDE w:val="0"/>
              <w:autoSpaceDN w:val="0"/>
              <w:adjustRightInd w:val="0"/>
              <w:rPr>
                <w:rFonts w:cs="Arial"/>
                <w:sz w:val="16"/>
                <w:szCs w:val="16"/>
              </w:rPr>
            </w:pPr>
            <w:r w:rsidRPr="00C3328E">
              <w:rPr>
                <w:rFonts w:cs="Arial"/>
                <w:sz w:val="16"/>
                <w:szCs w:val="16"/>
              </w:rPr>
              <w:t>tbd</w:t>
            </w:r>
          </w:p>
          <w:p w:rsidR="00671363" w:rsidRPr="00C3328E" w:rsidRDefault="00671363" w:rsidP="00B9043D">
            <w:pPr>
              <w:autoSpaceDE w:val="0"/>
              <w:autoSpaceDN w:val="0"/>
              <w:adjustRightInd w:val="0"/>
              <w:rPr>
                <w:rFonts w:cs="Arial"/>
                <w:sz w:val="16"/>
                <w:szCs w:val="16"/>
              </w:rPr>
            </w:pPr>
          </w:p>
        </w:tc>
        <w:tc>
          <w:tcPr>
            <w:tcW w:w="1142" w:type="pct"/>
            <w:tcBorders>
              <w:top w:val="single" w:sz="4" w:space="0" w:color="auto"/>
              <w:bottom w:val="nil"/>
            </w:tcBorders>
            <w:shd w:val="clear" w:color="auto" w:fill="FFFFFF"/>
            <w:tcMar>
              <w:top w:w="110" w:type="dxa"/>
            </w:tcMar>
          </w:tcPr>
          <w:p w:rsidR="00671363" w:rsidRPr="00C3328E" w:rsidRDefault="00671363" w:rsidP="00B9043D">
            <w:pPr>
              <w:autoSpaceDE w:val="0"/>
              <w:autoSpaceDN w:val="0"/>
              <w:adjustRightInd w:val="0"/>
              <w:rPr>
                <w:rFonts w:cs="Arial"/>
                <w:sz w:val="16"/>
                <w:szCs w:val="16"/>
                <w:lang w:bidi="th-TH"/>
              </w:rPr>
            </w:pPr>
            <w:r>
              <w:rPr>
                <w:rFonts w:cs="Arial"/>
                <w:sz w:val="16"/>
                <w:szCs w:val="16"/>
              </w:rPr>
              <w:t>IOD recommendations led to the issuance of  10 OIs/ICs for improvements in internal controls, business processes and operations</w:t>
            </w:r>
          </w:p>
        </w:tc>
        <w:tc>
          <w:tcPr>
            <w:tcW w:w="589" w:type="pct"/>
            <w:tcBorders>
              <w:top w:val="single" w:sz="4" w:space="0" w:color="auto"/>
              <w:bottom w:val="nil"/>
              <w:right w:val="single" w:sz="4" w:space="0" w:color="auto"/>
            </w:tcBorders>
            <w:shd w:val="clear" w:color="auto" w:fill="auto"/>
            <w:tcMar>
              <w:top w:w="110" w:type="dxa"/>
            </w:tcMar>
          </w:tcPr>
          <w:p w:rsidR="00671363" w:rsidRPr="000368FE" w:rsidRDefault="00671363" w:rsidP="00B9043D">
            <w:pPr>
              <w:keepNext/>
              <w:keepLines/>
              <w:jc w:val="center"/>
              <w:rPr>
                <w:rFonts w:cs="Arial"/>
                <w:b/>
                <w:bCs/>
                <w:color w:val="808080"/>
                <w:sz w:val="16"/>
                <w:szCs w:val="16"/>
              </w:rPr>
            </w:pPr>
            <w:r>
              <w:rPr>
                <w:rFonts w:cs="Arial"/>
                <w:b/>
                <w:bCs/>
                <w:color w:val="808080"/>
                <w:sz w:val="16"/>
                <w:szCs w:val="16"/>
              </w:rPr>
              <w:t>Not Assessable</w:t>
            </w:r>
          </w:p>
        </w:tc>
      </w:tr>
      <w:tr w:rsidR="00671363" w:rsidRPr="0020416E" w:rsidTr="00B9043D">
        <w:tc>
          <w:tcPr>
            <w:tcW w:w="1145" w:type="pct"/>
            <w:tcBorders>
              <w:top w:val="nil"/>
              <w:left w:val="single" w:sz="4" w:space="0" w:color="auto"/>
              <w:bottom w:val="single" w:sz="4" w:space="0" w:color="auto"/>
            </w:tcBorders>
            <w:shd w:val="clear" w:color="auto" w:fill="auto"/>
          </w:tcPr>
          <w:p w:rsidR="00671363" w:rsidRPr="00C3328E" w:rsidRDefault="00671363" w:rsidP="00B9043D">
            <w:pPr>
              <w:rPr>
                <w:rFonts w:cs="Arial"/>
                <w:sz w:val="16"/>
                <w:szCs w:val="16"/>
                <w:lang w:bidi="th-TH"/>
              </w:rPr>
            </w:pPr>
            <w:r w:rsidRPr="00C3328E">
              <w:rPr>
                <w:rFonts w:cs="Arial"/>
                <w:sz w:val="16"/>
                <w:szCs w:val="16"/>
                <w:lang w:bidi="th-TH"/>
              </w:rPr>
              <w:t>ORGANIZATIONAL LEARNING-Uptake of Lessons and Recommendations from Oversight Processes.</w:t>
            </w:r>
          </w:p>
        </w:tc>
        <w:tc>
          <w:tcPr>
            <w:tcW w:w="1062" w:type="pct"/>
            <w:tcBorders>
              <w:top w:val="nil"/>
              <w:bottom w:val="single" w:sz="4" w:space="0" w:color="auto"/>
            </w:tcBorders>
            <w:shd w:val="clear" w:color="auto" w:fill="auto"/>
          </w:tcPr>
          <w:p w:rsidR="00671363" w:rsidRPr="00D46D06" w:rsidRDefault="00671363" w:rsidP="00B9043D">
            <w:pPr>
              <w:keepNext/>
              <w:keepLines/>
              <w:rPr>
                <w:rFonts w:cs="Arial"/>
                <w:sz w:val="16"/>
                <w:szCs w:val="16"/>
                <w:lang w:bidi="th-TH"/>
              </w:rPr>
            </w:pPr>
            <w:r w:rsidRPr="00D46D06">
              <w:rPr>
                <w:rFonts w:cs="Arial"/>
                <w:sz w:val="16"/>
                <w:szCs w:val="16"/>
                <w:lang w:bidi="th-TH"/>
              </w:rPr>
              <w:t>90% of recommendations accepted</w:t>
            </w:r>
          </w:p>
          <w:p w:rsidR="00671363" w:rsidRDefault="00671363" w:rsidP="00B9043D">
            <w:pPr>
              <w:keepNext/>
              <w:keepLines/>
              <w:rPr>
                <w:rFonts w:cs="Arial"/>
                <w:sz w:val="16"/>
                <w:szCs w:val="16"/>
                <w:lang w:bidi="th-TH"/>
              </w:rPr>
            </w:pPr>
          </w:p>
          <w:p w:rsidR="00671363" w:rsidRPr="00D46D06" w:rsidRDefault="00671363" w:rsidP="00B9043D">
            <w:pPr>
              <w:keepNext/>
              <w:keepLines/>
              <w:rPr>
                <w:rFonts w:cs="Arial"/>
                <w:i/>
                <w:color w:val="002060"/>
                <w:sz w:val="16"/>
                <w:szCs w:val="16"/>
              </w:rPr>
            </w:pPr>
            <w:r w:rsidRPr="00D46D06">
              <w:rPr>
                <w:rFonts w:cs="Arial"/>
                <w:sz w:val="16"/>
                <w:szCs w:val="16"/>
                <w:lang w:bidi="th-TH"/>
              </w:rPr>
              <w:t>90% of recommendations implemented in two years’ time</w:t>
            </w:r>
          </w:p>
        </w:tc>
        <w:tc>
          <w:tcPr>
            <w:tcW w:w="1062" w:type="pct"/>
            <w:tcBorders>
              <w:top w:val="nil"/>
              <w:bottom w:val="single" w:sz="4" w:space="0" w:color="auto"/>
            </w:tcBorders>
            <w:shd w:val="clear" w:color="auto" w:fill="auto"/>
            <w:tcMar>
              <w:top w:w="110" w:type="dxa"/>
            </w:tcMar>
          </w:tcPr>
          <w:p w:rsidR="00671363" w:rsidRPr="00D46D06" w:rsidRDefault="00671363" w:rsidP="00B9043D">
            <w:pPr>
              <w:autoSpaceDE w:val="0"/>
              <w:autoSpaceDN w:val="0"/>
              <w:adjustRightInd w:val="0"/>
              <w:rPr>
                <w:rFonts w:cs="Arial"/>
                <w:sz w:val="16"/>
                <w:szCs w:val="16"/>
              </w:rPr>
            </w:pPr>
            <w:r w:rsidRPr="00D46D06">
              <w:rPr>
                <w:rFonts w:cs="Arial"/>
                <w:sz w:val="16"/>
                <w:szCs w:val="16"/>
              </w:rPr>
              <w:t xml:space="preserve">90% of recommendations accepted </w:t>
            </w:r>
          </w:p>
          <w:p w:rsidR="00671363" w:rsidRDefault="00671363" w:rsidP="00B9043D">
            <w:pPr>
              <w:autoSpaceDE w:val="0"/>
              <w:autoSpaceDN w:val="0"/>
              <w:adjustRightInd w:val="0"/>
              <w:rPr>
                <w:rFonts w:cs="Arial"/>
                <w:sz w:val="16"/>
                <w:szCs w:val="16"/>
              </w:rPr>
            </w:pPr>
          </w:p>
          <w:p w:rsidR="00671363" w:rsidRPr="00D46D06" w:rsidRDefault="00671363" w:rsidP="00B9043D">
            <w:pPr>
              <w:autoSpaceDE w:val="0"/>
              <w:autoSpaceDN w:val="0"/>
              <w:adjustRightInd w:val="0"/>
              <w:rPr>
                <w:rFonts w:cs="Arial"/>
                <w:sz w:val="16"/>
                <w:szCs w:val="16"/>
              </w:rPr>
            </w:pPr>
            <w:r w:rsidRPr="00D46D06">
              <w:rPr>
                <w:rFonts w:cs="Arial"/>
                <w:sz w:val="16"/>
                <w:szCs w:val="16"/>
              </w:rPr>
              <w:t xml:space="preserve">90% of recommendations implemented in two years </w:t>
            </w:r>
          </w:p>
        </w:tc>
        <w:tc>
          <w:tcPr>
            <w:tcW w:w="1142" w:type="pct"/>
            <w:tcBorders>
              <w:top w:val="nil"/>
              <w:bottom w:val="single" w:sz="4" w:space="0" w:color="auto"/>
            </w:tcBorders>
            <w:shd w:val="clear" w:color="auto" w:fill="FFFFFF"/>
            <w:tcMar>
              <w:top w:w="110" w:type="dxa"/>
            </w:tcMar>
          </w:tcPr>
          <w:p w:rsidR="00671363" w:rsidRDefault="00671363" w:rsidP="00B9043D">
            <w:pPr>
              <w:rPr>
                <w:rFonts w:cs="Arial"/>
                <w:sz w:val="16"/>
                <w:szCs w:val="16"/>
              </w:rPr>
            </w:pPr>
            <w:r>
              <w:rPr>
                <w:rFonts w:cs="Arial"/>
                <w:sz w:val="16"/>
                <w:szCs w:val="16"/>
              </w:rPr>
              <w:t xml:space="preserve">More than 95% of recommendations have been accepted </w:t>
            </w:r>
          </w:p>
          <w:p w:rsidR="00671363" w:rsidRDefault="00671363" w:rsidP="00B9043D">
            <w:pPr>
              <w:rPr>
                <w:rFonts w:cs="Arial"/>
                <w:sz w:val="16"/>
                <w:szCs w:val="16"/>
              </w:rPr>
            </w:pPr>
          </w:p>
          <w:p w:rsidR="00671363" w:rsidRPr="004004BA" w:rsidRDefault="00671363" w:rsidP="00B9043D">
            <w:pPr>
              <w:rPr>
                <w:rFonts w:cs="Arial"/>
                <w:sz w:val="16"/>
                <w:szCs w:val="16"/>
                <w:lang w:bidi="th-TH"/>
              </w:rPr>
            </w:pPr>
            <w:r>
              <w:rPr>
                <w:rFonts w:cs="Arial"/>
                <w:sz w:val="16"/>
                <w:szCs w:val="16"/>
              </w:rPr>
              <w:t xml:space="preserve">40% implemented within two years. </w:t>
            </w:r>
          </w:p>
        </w:tc>
        <w:tc>
          <w:tcPr>
            <w:tcW w:w="589" w:type="pct"/>
            <w:tcBorders>
              <w:top w:val="nil"/>
              <w:bottom w:val="single" w:sz="4" w:space="0" w:color="auto"/>
              <w:right w:val="single" w:sz="4" w:space="0" w:color="auto"/>
            </w:tcBorders>
            <w:shd w:val="clear" w:color="auto" w:fill="auto"/>
            <w:tcMar>
              <w:top w:w="110" w:type="dxa"/>
            </w:tcMar>
          </w:tcPr>
          <w:p w:rsidR="00671363" w:rsidRDefault="00671363" w:rsidP="00B9043D">
            <w:pPr>
              <w:keepNext/>
              <w:keepLines/>
              <w:jc w:val="center"/>
              <w:rPr>
                <w:rFonts w:cs="Arial"/>
                <w:b/>
                <w:bCs/>
                <w:color w:val="E36C0A" w:themeColor="accent6" w:themeShade="BF"/>
                <w:sz w:val="16"/>
                <w:szCs w:val="16"/>
              </w:rPr>
            </w:pPr>
            <w:r w:rsidRPr="0033635A">
              <w:rPr>
                <w:rFonts w:cs="Arial"/>
                <w:b/>
                <w:bCs/>
                <w:color w:val="00B050"/>
                <w:sz w:val="16"/>
                <w:szCs w:val="16"/>
              </w:rPr>
              <w:t>Fully Achieved</w:t>
            </w:r>
          </w:p>
          <w:p w:rsidR="00671363" w:rsidRDefault="00671363" w:rsidP="00B9043D">
            <w:pPr>
              <w:keepNext/>
              <w:keepLines/>
              <w:rPr>
                <w:rFonts w:cs="Arial"/>
                <w:b/>
                <w:bCs/>
                <w:color w:val="E36C0A" w:themeColor="accent6" w:themeShade="BF"/>
                <w:sz w:val="16"/>
                <w:szCs w:val="16"/>
              </w:rPr>
            </w:pPr>
          </w:p>
          <w:p w:rsidR="00671363" w:rsidRDefault="00671363" w:rsidP="00B9043D">
            <w:pPr>
              <w:keepNext/>
              <w:keepLines/>
              <w:jc w:val="center"/>
              <w:rPr>
                <w:rFonts w:cs="Arial"/>
                <w:b/>
                <w:bCs/>
                <w:color w:val="E36C0A" w:themeColor="accent6" w:themeShade="BF"/>
                <w:sz w:val="16"/>
                <w:szCs w:val="16"/>
              </w:rPr>
            </w:pPr>
          </w:p>
          <w:p w:rsidR="00671363" w:rsidRPr="00C04464" w:rsidRDefault="00671363" w:rsidP="00B9043D">
            <w:pPr>
              <w:keepNext/>
              <w:keepLines/>
              <w:jc w:val="center"/>
              <w:rPr>
                <w:rFonts w:cs="Arial"/>
                <w:b/>
                <w:bCs/>
                <w:color w:val="E36C0A" w:themeColor="accent6" w:themeShade="BF"/>
                <w:sz w:val="16"/>
                <w:szCs w:val="16"/>
              </w:rPr>
            </w:pPr>
            <w:r w:rsidRPr="00C04464">
              <w:rPr>
                <w:rFonts w:cs="Arial"/>
                <w:b/>
                <w:bCs/>
                <w:color w:val="E36C0A" w:themeColor="accent6" w:themeShade="BF"/>
                <w:sz w:val="16"/>
                <w:szCs w:val="16"/>
              </w:rPr>
              <w:t>Partially</w:t>
            </w:r>
          </w:p>
          <w:p w:rsidR="00671363" w:rsidRPr="0033635A" w:rsidRDefault="00671363" w:rsidP="00B9043D">
            <w:pPr>
              <w:keepNext/>
              <w:keepLines/>
              <w:jc w:val="center"/>
              <w:rPr>
                <w:rFonts w:cs="Arial"/>
                <w:b/>
                <w:bCs/>
                <w:color w:val="FFC000"/>
                <w:sz w:val="16"/>
                <w:szCs w:val="16"/>
              </w:rPr>
            </w:pPr>
            <w:r w:rsidRPr="00C04464">
              <w:rPr>
                <w:rFonts w:cs="Arial"/>
                <w:b/>
                <w:bCs/>
                <w:color w:val="E36C0A" w:themeColor="accent6" w:themeShade="BF"/>
                <w:sz w:val="16"/>
                <w:szCs w:val="16"/>
              </w:rPr>
              <w:t>Achieved</w:t>
            </w:r>
          </w:p>
        </w:tc>
      </w:tr>
    </w:tbl>
    <w:p w:rsidR="00671363" w:rsidRPr="003E3E95" w:rsidRDefault="00671363" w:rsidP="00B9043D">
      <w:pPr>
        <w:keepNext/>
        <w:keepLines/>
        <w:rPr>
          <w:rFonts w:cs="Arial"/>
          <w:color w:val="000000"/>
          <w:szCs w:val="22"/>
        </w:rPr>
      </w:pPr>
    </w:p>
    <w:p w:rsidR="00671363" w:rsidRPr="003E3E95" w:rsidRDefault="00671363" w:rsidP="00B9043D">
      <w:pPr>
        <w:keepNext/>
        <w:keepLines/>
        <w:rPr>
          <w:rFonts w:cs="Arial"/>
          <w:color w:val="000000"/>
          <w:szCs w:val="22"/>
        </w:rPr>
      </w:pPr>
    </w:p>
    <w:p w:rsidR="00671363" w:rsidRPr="00BB185D" w:rsidRDefault="00671363" w:rsidP="00B9043D">
      <w:pPr>
        <w:keepNext/>
        <w:keepLines/>
        <w:rPr>
          <w:rFonts w:cs="Arial"/>
          <w:color w:val="000000"/>
          <w:szCs w:val="22"/>
        </w:rPr>
      </w:pPr>
      <w:r w:rsidRPr="00BB185D">
        <w:rPr>
          <w:rFonts w:cs="Arial"/>
          <w:color w:val="000000"/>
          <w:szCs w:val="22"/>
        </w:rPr>
        <w:t>RISK REPORTING FOR THE BIENNIUM</w:t>
      </w:r>
    </w:p>
    <w:p w:rsidR="00671363" w:rsidRPr="00BB185D" w:rsidRDefault="00671363" w:rsidP="00B9043D">
      <w:pPr>
        <w:keepNext/>
        <w:keepLines/>
        <w:rPr>
          <w:sz w:val="18"/>
        </w:rPr>
      </w:pPr>
    </w:p>
    <w:tbl>
      <w:tblPr>
        <w:tblW w:w="0" w:type="auto"/>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2435"/>
        <w:gridCol w:w="1974"/>
        <w:gridCol w:w="2679"/>
        <w:gridCol w:w="2268"/>
      </w:tblGrid>
      <w:tr w:rsidR="00671363" w:rsidTr="008F399E">
        <w:trPr>
          <w:trHeight w:val="424"/>
        </w:trPr>
        <w:tc>
          <w:tcPr>
            <w:tcW w:w="2435" w:type="dxa"/>
            <w:tcBorders>
              <w:top w:val="single" w:sz="4" w:space="0" w:color="auto"/>
              <w:bottom w:val="single" w:sz="4" w:space="0" w:color="auto"/>
            </w:tcBorders>
            <w:shd w:val="clear" w:color="auto" w:fill="C6D9F1" w:themeFill="text2" w:themeFillTint="33"/>
            <w:tcMar>
              <w:top w:w="113" w:type="dxa"/>
              <w:bottom w:w="85" w:type="dxa"/>
            </w:tcMar>
            <w:vAlign w:val="center"/>
          </w:tcPr>
          <w:p w:rsidR="00671363" w:rsidRPr="00E5288B" w:rsidRDefault="00671363" w:rsidP="00B9043D">
            <w:pPr>
              <w:jc w:val="center"/>
              <w:rPr>
                <w:b/>
                <w:sz w:val="18"/>
                <w:szCs w:val="18"/>
                <w:lang w:eastAsia="zh-CN"/>
              </w:rPr>
            </w:pPr>
            <w:r w:rsidRPr="00E5288B">
              <w:rPr>
                <w:b/>
                <w:sz w:val="18"/>
                <w:szCs w:val="18"/>
                <w:lang w:eastAsia="zh-CN"/>
              </w:rPr>
              <w:t>Risk(s) to the Program achieving its Results</w:t>
            </w:r>
          </w:p>
        </w:tc>
        <w:tc>
          <w:tcPr>
            <w:tcW w:w="1974" w:type="dxa"/>
            <w:tcBorders>
              <w:top w:val="single" w:sz="4" w:space="0" w:color="auto"/>
              <w:bottom w:val="single" w:sz="4" w:space="0" w:color="auto"/>
            </w:tcBorders>
            <w:shd w:val="clear" w:color="auto" w:fill="C6D9F1" w:themeFill="text2" w:themeFillTint="33"/>
            <w:tcMar>
              <w:top w:w="113" w:type="dxa"/>
              <w:bottom w:w="85" w:type="dxa"/>
            </w:tcMar>
            <w:vAlign w:val="center"/>
          </w:tcPr>
          <w:p w:rsidR="00671363" w:rsidRPr="00E5288B" w:rsidRDefault="00671363" w:rsidP="00B9043D">
            <w:pPr>
              <w:jc w:val="center"/>
              <w:rPr>
                <w:b/>
                <w:sz w:val="18"/>
                <w:szCs w:val="18"/>
                <w:lang w:eastAsia="zh-CN"/>
              </w:rPr>
            </w:pPr>
            <w:r w:rsidRPr="00E5288B">
              <w:rPr>
                <w:b/>
                <w:sz w:val="18"/>
                <w:szCs w:val="18"/>
                <w:lang w:eastAsia="zh-CN"/>
              </w:rPr>
              <w:t xml:space="preserve">Mitigation plans in place or under implementation </w:t>
            </w:r>
          </w:p>
        </w:tc>
        <w:tc>
          <w:tcPr>
            <w:tcW w:w="2679" w:type="dxa"/>
            <w:tcBorders>
              <w:top w:val="single" w:sz="4" w:space="0" w:color="auto"/>
              <w:bottom w:val="single" w:sz="4" w:space="0" w:color="auto"/>
            </w:tcBorders>
            <w:shd w:val="clear" w:color="auto" w:fill="C6D9F1" w:themeFill="text2" w:themeFillTint="33"/>
          </w:tcPr>
          <w:p w:rsidR="00671363" w:rsidRPr="003C527B" w:rsidRDefault="00671363" w:rsidP="00B9043D">
            <w:pPr>
              <w:jc w:val="center"/>
              <w:rPr>
                <w:b/>
                <w:bCs/>
                <w:sz w:val="18"/>
                <w:szCs w:val="18"/>
              </w:rPr>
            </w:pPr>
            <w:r>
              <w:rPr>
                <w:b/>
                <w:bCs/>
                <w:sz w:val="18"/>
                <w:szCs w:val="18"/>
              </w:rPr>
              <w:t>Evolution of Risk(s) and Mitigation Strategies Over the Biennium</w:t>
            </w:r>
          </w:p>
        </w:tc>
        <w:tc>
          <w:tcPr>
            <w:tcW w:w="2268" w:type="dxa"/>
            <w:tcBorders>
              <w:top w:val="single" w:sz="4" w:space="0" w:color="auto"/>
              <w:bottom w:val="single" w:sz="4" w:space="0" w:color="auto"/>
            </w:tcBorders>
            <w:shd w:val="clear" w:color="auto" w:fill="C6D9F1" w:themeFill="text2" w:themeFillTint="33"/>
          </w:tcPr>
          <w:p w:rsidR="00671363" w:rsidRPr="003C527B" w:rsidRDefault="00671363" w:rsidP="00B9043D">
            <w:pPr>
              <w:jc w:val="center"/>
              <w:rPr>
                <w:b/>
                <w:bCs/>
                <w:sz w:val="18"/>
                <w:szCs w:val="18"/>
              </w:rPr>
            </w:pPr>
            <w:r>
              <w:rPr>
                <w:b/>
                <w:bCs/>
                <w:sz w:val="18"/>
                <w:szCs w:val="18"/>
              </w:rPr>
              <w:t>Impact on the Program’s Performance</w:t>
            </w:r>
          </w:p>
        </w:tc>
      </w:tr>
      <w:tr w:rsidR="00671363" w:rsidTr="008F399E">
        <w:trPr>
          <w:trHeight w:val="799"/>
        </w:trPr>
        <w:tc>
          <w:tcPr>
            <w:tcW w:w="2435" w:type="dxa"/>
            <w:tcBorders>
              <w:top w:val="single" w:sz="4" w:space="0" w:color="auto"/>
            </w:tcBorders>
            <w:shd w:val="clear" w:color="auto" w:fill="auto"/>
            <w:tcMar>
              <w:top w:w="113" w:type="dxa"/>
              <w:bottom w:w="85" w:type="dxa"/>
            </w:tcMar>
          </w:tcPr>
          <w:p w:rsidR="00671363" w:rsidRPr="00E5288B" w:rsidRDefault="00671363" w:rsidP="00B9043D">
            <w:pPr>
              <w:rPr>
                <w:bCs/>
                <w:i/>
                <w:iCs/>
                <w:sz w:val="16"/>
                <w:szCs w:val="16"/>
                <w:lang w:eastAsia="zh-CN"/>
              </w:rPr>
            </w:pPr>
            <w:r w:rsidRPr="00E5288B">
              <w:rPr>
                <w:sz w:val="16"/>
                <w:szCs w:val="16"/>
              </w:rPr>
              <w:t>Internal oversight ac</w:t>
            </w:r>
            <w:r>
              <w:rPr>
                <w:sz w:val="16"/>
                <w:szCs w:val="16"/>
              </w:rPr>
              <w:t>tivity is not independent and I</w:t>
            </w:r>
            <w:r w:rsidRPr="00E5288B">
              <w:rPr>
                <w:sz w:val="16"/>
                <w:szCs w:val="16"/>
              </w:rPr>
              <w:t>OD staff are not objective in performing their work.  Impartiality and credibility of the work undertaken would be at stake.  Trust in the oversight function would be diminished.</w:t>
            </w:r>
          </w:p>
        </w:tc>
        <w:tc>
          <w:tcPr>
            <w:tcW w:w="1974" w:type="dxa"/>
            <w:tcBorders>
              <w:top w:val="single" w:sz="4" w:space="0" w:color="auto"/>
            </w:tcBorders>
            <w:shd w:val="clear" w:color="auto" w:fill="auto"/>
            <w:tcMar>
              <w:top w:w="113" w:type="dxa"/>
              <w:bottom w:w="85" w:type="dxa"/>
            </w:tcMar>
          </w:tcPr>
          <w:p w:rsidR="00671363" w:rsidRPr="00E5288B" w:rsidRDefault="00671363" w:rsidP="00B9043D">
            <w:pPr>
              <w:rPr>
                <w:bCs/>
                <w:i/>
                <w:iCs/>
                <w:sz w:val="16"/>
                <w:szCs w:val="16"/>
                <w:lang w:eastAsia="zh-CN"/>
              </w:rPr>
            </w:pPr>
            <w:r>
              <w:rPr>
                <w:sz w:val="16"/>
                <w:szCs w:val="16"/>
              </w:rPr>
              <w:t>I</w:t>
            </w:r>
            <w:r w:rsidRPr="00E5288B">
              <w:rPr>
                <w:sz w:val="16"/>
                <w:szCs w:val="16"/>
              </w:rPr>
              <w:t>OD and its staff will abide by the Internal Oversight Charter; regularly report to the IAOC;  and provide annual reports to the WIPO General Assembly on its independence</w:t>
            </w:r>
          </w:p>
        </w:tc>
        <w:tc>
          <w:tcPr>
            <w:tcW w:w="2679" w:type="dxa"/>
            <w:tcBorders>
              <w:top w:val="single" w:sz="4" w:space="0" w:color="auto"/>
            </w:tcBorders>
          </w:tcPr>
          <w:p w:rsidR="00671363" w:rsidRPr="00E5288B" w:rsidRDefault="00671363" w:rsidP="00B9043D">
            <w:pPr>
              <w:rPr>
                <w:sz w:val="16"/>
                <w:szCs w:val="16"/>
              </w:rPr>
            </w:pPr>
            <w:r>
              <w:rPr>
                <w:sz w:val="16"/>
                <w:szCs w:val="16"/>
              </w:rPr>
              <w:t>IOD and its staff abide by the</w:t>
            </w:r>
            <w:r w:rsidRPr="00E5288B">
              <w:rPr>
                <w:sz w:val="16"/>
                <w:szCs w:val="16"/>
              </w:rPr>
              <w:t xml:space="preserve"> Internal Oversight Charter</w:t>
            </w:r>
            <w:r>
              <w:rPr>
                <w:sz w:val="16"/>
                <w:szCs w:val="16"/>
              </w:rPr>
              <w:t xml:space="preserve"> and professional codes of conduct as appropriate.  In the biennium, cases in which the IOD Director or staff perceived that there could be a conflict of interest, were </w:t>
            </w:r>
            <w:r>
              <w:rPr>
                <w:rFonts w:cs="Arial"/>
                <w:sz w:val="16"/>
                <w:szCs w:val="16"/>
                <w:lang w:bidi="th-TH"/>
              </w:rPr>
              <w:t xml:space="preserve">referred to the IAOC in accordance with paragraph 18 of the Charter for </w:t>
            </w:r>
            <w:r>
              <w:rPr>
                <w:sz w:val="16"/>
                <w:szCs w:val="16"/>
              </w:rPr>
              <w:t>advice on how to proceed.</w:t>
            </w:r>
          </w:p>
        </w:tc>
        <w:tc>
          <w:tcPr>
            <w:tcW w:w="2268" w:type="dxa"/>
            <w:tcBorders>
              <w:top w:val="single" w:sz="4" w:space="0" w:color="auto"/>
            </w:tcBorders>
          </w:tcPr>
          <w:p w:rsidR="00671363" w:rsidRPr="00E5288B" w:rsidRDefault="00671363" w:rsidP="00B9043D">
            <w:pPr>
              <w:rPr>
                <w:sz w:val="16"/>
                <w:szCs w:val="16"/>
              </w:rPr>
            </w:pPr>
            <w:r>
              <w:rPr>
                <w:sz w:val="16"/>
                <w:szCs w:val="16"/>
              </w:rPr>
              <w:t>T</w:t>
            </w:r>
            <w:r w:rsidRPr="00DF1232">
              <w:rPr>
                <w:sz w:val="16"/>
                <w:szCs w:val="16"/>
              </w:rPr>
              <w:t xml:space="preserve">he mitigation plans in place ensured that the impact on the achievement of the Program’s expected results and </w:t>
            </w:r>
            <w:r>
              <w:rPr>
                <w:sz w:val="16"/>
                <w:szCs w:val="16"/>
              </w:rPr>
              <w:t>targets</w:t>
            </w:r>
            <w:r w:rsidRPr="00DF1232">
              <w:rPr>
                <w:sz w:val="16"/>
                <w:szCs w:val="16"/>
              </w:rPr>
              <w:t xml:space="preserve"> was minimized</w:t>
            </w:r>
          </w:p>
        </w:tc>
      </w:tr>
      <w:tr w:rsidR="00671363" w:rsidTr="008F399E">
        <w:trPr>
          <w:trHeight w:val="937"/>
        </w:trPr>
        <w:tc>
          <w:tcPr>
            <w:tcW w:w="2435" w:type="dxa"/>
            <w:shd w:val="clear" w:color="auto" w:fill="auto"/>
            <w:tcMar>
              <w:top w:w="113" w:type="dxa"/>
              <w:bottom w:w="85" w:type="dxa"/>
            </w:tcMar>
          </w:tcPr>
          <w:p w:rsidR="00671363" w:rsidRPr="00E5288B" w:rsidRDefault="00671363" w:rsidP="00B9043D">
            <w:pPr>
              <w:rPr>
                <w:sz w:val="16"/>
                <w:szCs w:val="16"/>
              </w:rPr>
            </w:pPr>
            <w:r>
              <w:rPr>
                <w:sz w:val="16"/>
                <w:szCs w:val="16"/>
              </w:rPr>
              <w:t>I</w:t>
            </w:r>
            <w:r w:rsidRPr="00E5288B">
              <w:rPr>
                <w:sz w:val="16"/>
                <w:szCs w:val="16"/>
              </w:rPr>
              <w:t>OD's work is not relevant and does not assist the Organization in reaching its results.  The oversight plan does not target areas that are of interest for the Organization in reaching its objectives.  Investigations are not completed in a timely manner.</w:t>
            </w:r>
          </w:p>
        </w:tc>
        <w:tc>
          <w:tcPr>
            <w:tcW w:w="1974" w:type="dxa"/>
            <w:shd w:val="clear" w:color="auto" w:fill="auto"/>
            <w:tcMar>
              <w:top w:w="113" w:type="dxa"/>
              <w:bottom w:w="85" w:type="dxa"/>
            </w:tcMar>
          </w:tcPr>
          <w:p w:rsidR="00671363" w:rsidRPr="00E5288B" w:rsidRDefault="00671363" w:rsidP="00B9043D">
            <w:pPr>
              <w:rPr>
                <w:sz w:val="16"/>
                <w:szCs w:val="16"/>
              </w:rPr>
            </w:pPr>
            <w:r w:rsidRPr="00E5288B">
              <w:rPr>
                <w:sz w:val="16"/>
                <w:szCs w:val="16"/>
              </w:rPr>
              <w:t xml:space="preserve">Professional planning for audit, evaluation and investigations; Input to </w:t>
            </w:r>
            <w:r w:rsidRPr="00C71EF6">
              <w:rPr>
                <w:sz w:val="16"/>
                <w:szCs w:val="16"/>
              </w:rPr>
              <w:t>oversight plan by Director General, Senior Management, Member States; and coordination with other Sectors.</w:t>
            </w:r>
            <w:r>
              <w:rPr>
                <w:sz w:val="16"/>
                <w:szCs w:val="16"/>
              </w:rPr>
              <w:t xml:space="preserve"> </w:t>
            </w:r>
          </w:p>
        </w:tc>
        <w:tc>
          <w:tcPr>
            <w:tcW w:w="2679" w:type="dxa"/>
          </w:tcPr>
          <w:p w:rsidR="00671363" w:rsidRDefault="00671363" w:rsidP="00B9043D">
            <w:pPr>
              <w:rPr>
                <w:sz w:val="16"/>
                <w:szCs w:val="16"/>
              </w:rPr>
            </w:pPr>
            <w:r w:rsidRPr="00AC6B95">
              <w:rPr>
                <w:sz w:val="16"/>
                <w:szCs w:val="16"/>
              </w:rPr>
              <w:t>IOD’s Oversight Plan was developed using IOD’s risk assessment methodology and the WIPO corporate risk registers, taking into account WIPO’s operational entities and relevant business processes, as well as input received from Member States, the IAOC, Senior Management and the External Auditor.</w:t>
            </w:r>
            <w:r>
              <w:rPr>
                <w:sz w:val="16"/>
                <w:szCs w:val="16"/>
              </w:rPr>
              <w:t xml:space="preserve"> </w:t>
            </w:r>
          </w:p>
          <w:p w:rsidR="00671363" w:rsidRDefault="00671363" w:rsidP="00B9043D">
            <w:pPr>
              <w:rPr>
                <w:sz w:val="16"/>
                <w:szCs w:val="16"/>
              </w:rPr>
            </w:pPr>
          </w:p>
          <w:p w:rsidR="00671363" w:rsidRPr="00E5288B" w:rsidRDefault="00671363">
            <w:pPr>
              <w:rPr>
                <w:sz w:val="16"/>
                <w:szCs w:val="16"/>
              </w:rPr>
            </w:pPr>
            <w:r>
              <w:rPr>
                <w:sz w:val="16"/>
                <w:szCs w:val="16"/>
              </w:rPr>
              <w:t xml:space="preserve">In the biennium 2014/15 IOD experiencing challenges in completing investigations in a timely manner due to (i) an increase in the number of investigations, (ii) lack of </w:t>
            </w:r>
            <w:r w:rsidRPr="00C71EF6">
              <w:rPr>
                <w:sz w:val="16"/>
                <w:szCs w:val="16"/>
              </w:rPr>
              <w:t>cooperation on the part of staff members</w:t>
            </w:r>
            <w:r>
              <w:rPr>
                <w:sz w:val="16"/>
                <w:szCs w:val="16"/>
              </w:rPr>
              <w:t xml:space="preserve">, as well as (iii) insufficient </w:t>
            </w:r>
            <w:r w:rsidRPr="00C71EF6">
              <w:rPr>
                <w:sz w:val="16"/>
                <w:szCs w:val="16"/>
              </w:rPr>
              <w:t>staffing to deal with</w:t>
            </w:r>
            <w:r>
              <w:rPr>
                <w:sz w:val="16"/>
                <w:szCs w:val="16"/>
              </w:rPr>
              <w:t xml:space="preserve"> the </w:t>
            </w:r>
            <w:r w:rsidRPr="00C71EF6">
              <w:rPr>
                <w:sz w:val="16"/>
                <w:szCs w:val="16"/>
              </w:rPr>
              <w:t xml:space="preserve"> increasing workload.</w:t>
            </w:r>
            <w:r w:rsidRPr="00C04464">
              <w:rPr>
                <w:rFonts w:cs="Arial"/>
                <w:szCs w:val="20"/>
              </w:rPr>
              <w:t xml:space="preserve">  </w:t>
            </w:r>
            <w:r>
              <w:rPr>
                <w:sz w:val="16"/>
                <w:szCs w:val="16"/>
              </w:rPr>
              <w:t xml:space="preserve"> As a  means to mitigate this risk, flexible resourcing was employed to manage the increasing investigation workload</w:t>
            </w:r>
          </w:p>
        </w:tc>
        <w:tc>
          <w:tcPr>
            <w:tcW w:w="2268" w:type="dxa"/>
          </w:tcPr>
          <w:p w:rsidR="00671363" w:rsidRPr="00E5288B" w:rsidRDefault="00671363" w:rsidP="00B9043D">
            <w:pPr>
              <w:rPr>
                <w:sz w:val="16"/>
                <w:szCs w:val="16"/>
              </w:rPr>
            </w:pPr>
            <w:r>
              <w:rPr>
                <w:sz w:val="16"/>
                <w:szCs w:val="16"/>
              </w:rPr>
              <w:t xml:space="preserve">Although the average time for completion of investigations increased as compared to the 2013 baseline, </w:t>
            </w:r>
            <w:r w:rsidRPr="006C5531">
              <w:rPr>
                <w:sz w:val="16"/>
                <w:szCs w:val="16"/>
              </w:rPr>
              <w:t xml:space="preserve">all </w:t>
            </w:r>
            <w:r>
              <w:rPr>
                <w:sz w:val="16"/>
                <w:szCs w:val="16"/>
              </w:rPr>
              <w:t xml:space="preserve">investigation </w:t>
            </w:r>
            <w:r w:rsidRPr="006C5531">
              <w:rPr>
                <w:sz w:val="16"/>
                <w:szCs w:val="16"/>
              </w:rPr>
              <w:t>cases were closed within the timeframe set by WIPO’s Investigation Policy</w:t>
            </w:r>
            <w:r>
              <w:rPr>
                <w:sz w:val="16"/>
                <w:szCs w:val="16"/>
              </w:rPr>
              <w:t>, and the target set for the biennium was fully achieved.</w:t>
            </w:r>
          </w:p>
        </w:tc>
      </w:tr>
    </w:tbl>
    <w:p w:rsidR="00671363" w:rsidRDefault="00671363" w:rsidP="00671363">
      <w:pPr>
        <w:rPr>
          <w:rFonts w:cs="Arial"/>
          <w:color w:val="000000"/>
          <w:sz w:val="22"/>
          <w:szCs w:val="22"/>
        </w:rPr>
      </w:pPr>
    </w:p>
    <w:p w:rsidR="00671363" w:rsidRDefault="00671363" w:rsidP="00671363">
      <w:pPr>
        <w:rPr>
          <w:rFonts w:cs="Arial"/>
          <w:color w:val="000000"/>
          <w:sz w:val="22"/>
          <w:szCs w:val="22"/>
        </w:rPr>
      </w:pPr>
    </w:p>
    <w:p w:rsidR="00671363" w:rsidRPr="00BB185D" w:rsidRDefault="00671363" w:rsidP="00895440">
      <w:pPr>
        <w:keepNext/>
        <w:keepLines/>
        <w:rPr>
          <w:rFonts w:cs="Arial"/>
          <w:color w:val="000000"/>
          <w:szCs w:val="22"/>
        </w:rPr>
      </w:pPr>
      <w:r w:rsidRPr="00BB185D">
        <w:rPr>
          <w:rFonts w:cs="Arial"/>
          <w:color w:val="000000"/>
          <w:szCs w:val="22"/>
        </w:rPr>
        <w:t>RESOURCE UTILIZATION</w:t>
      </w:r>
      <w:r w:rsidRPr="00BB185D">
        <w:rPr>
          <w:rFonts w:cs="Arial"/>
          <w:color w:val="000000"/>
          <w:szCs w:val="22"/>
        </w:rPr>
        <w:tab/>
      </w:r>
    </w:p>
    <w:p w:rsidR="00671363" w:rsidRPr="00BB185D" w:rsidRDefault="00671363" w:rsidP="00895440">
      <w:pPr>
        <w:keepNext/>
        <w:keepLines/>
        <w:rPr>
          <w:rFonts w:cs="Arial"/>
          <w:color w:val="000000"/>
          <w:sz w:val="18"/>
          <w:szCs w:val="22"/>
        </w:rPr>
      </w:pPr>
    </w:p>
    <w:p w:rsidR="00671363" w:rsidRPr="00383D2D" w:rsidRDefault="00671363" w:rsidP="00895440">
      <w:pPr>
        <w:pStyle w:val="NormalWeb"/>
        <w:keepNext/>
        <w:keepLines/>
        <w:spacing w:before="0" w:beforeAutospacing="0" w:after="0" w:afterAutospacing="0"/>
        <w:jc w:val="center"/>
        <w:rPr>
          <w:sz w:val="20"/>
          <w:szCs w:val="20"/>
        </w:rPr>
      </w:pPr>
      <w:r w:rsidRPr="00383D2D">
        <w:rPr>
          <w:color w:val="000000"/>
          <w:sz w:val="20"/>
          <w:szCs w:val="20"/>
        </w:rPr>
        <w:t xml:space="preserve">Budget and Actual Expenditure (by result) </w:t>
      </w:r>
    </w:p>
    <w:p w:rsidR="00671363" w:rsidRDefault="00671363" w:rsidP="00895440">
      <w:pPr>
        <w:pStyle w:val="NormalWeb"/>
        <w:keepNext/>
        <w:keepLines/>
        <w:spacing w:before="0" w:beforeAutospacing="0" w:after="0" w:afterAutospacing="0"/>
        <w:jc w:val="center"/>
        <w:rPr>
          <w:i/>
          <w:iCs/>
          <w:color w:val="000000"/>
          <w:sz w:val="20"/>
          <w:szCs w:val="20"/>
        </w:rPr>
      </w:pPr>
      <w:r w:rsidRPr="00383D2D">
        <w:rPr>
          <w:i/>
          <w:iCs/>
          <w:color w:val="000000"/>
          <w:sz w:val="20"/>
          <w:szCs w:val="20"/>
        </w:rPr>
        <w:t>(in thousands of Swiss francs)</w:t>
      </w:r>
    </w:p>
    <w:p w:rsidR="00671363" w:rsidRPr="00383D2D" w:rsidRDefault="00671363" w:rsidP="00895440">
      <w:pPr>
        <w:pStyle w:val="NormalWeb"/>
        <w:keepNext/>
        <w:keepLines/>
        <w:spacing w:before="0" w:beforeAutospacing="0" w:after="0" w:afterAutospacing="0"/>
        <w:jc w:val="center"/>
        <w:rPr>
          <w:sz w:val="20"/>
          <w:szCs w:val="20"/>
        </w:rPr>
      </w:pPr>
    </w:p>
    <w:p w:rsidR="00671363" w:rsidRDefault="00671363" w:rsidP="00895440">
      <w:pPr>
        <w:keepNext/>
        <w:keepLines/>
        <w:jc w:val="center"/>
      </w:pPr>
      <w:r w:rsidRPr="00537F2E">
        <w:rPr>
          <w:noProof/>
        </w:rPr>
        <w:drawing>
          <wp:inline distT="0" distB="0" distL="0" distR="0" wp14:anchorId="49289A80" wp14:editId="35BC0967">
            <wp:extent cx="5029200" cy="1061462"/>
            <wp:effectExtent l="0" t="0" r="0" b="5715"/>
            <wp:docPr id="899" name="Picture 8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6">
                      <a:extLst>
                        <a:ext uri="{28A0092B-C50C-407E-A947-70E740481C1C}">
                          <a14:useLocalDpi xmlns:a14="http://schemas.microsoft.com/office/drawing/2010/main" val="0"/>
                        </a:ext>
                      </a:extLst>
                    </a:blip>
                    <a:srcRect/>
                    <a:stretch>
                      <a:fillRect/>
                    </a:stretch>
                  </pic:blipFill>
                  <pic:spPr bwMode="auto">
                    <a:xfrm>
                      <a:off x="0" y="0"/>
                      <a:ext cx="5027762" cy="1061159"/>
                    </a:xfrm>
                    <a:prstGeom prst="rect">
                      <a:avLst/>
                    </a:prstGeom>
                    <a:noFill/>
                    <a:ln>
                      <a:noFill/>
                    </a:ln>
                  </pic:spPr>
                </pic:pic>
              </a:graphicData>
            </a:graphic>
          </wp:inline>
        </w:drawing>
      </w:r>
    </w:p>
    <w:p w:rsidR="00671363" w:rsidRDefault="00671363" w:rsidP="00895440">
      <w:pPr>
        <w:keepNext/>
        <w:keepLines/>
        <w:jc w:val="center"/>
      </w:pPr>
    </w:p>
    <w:p w:rsidR="00671363" w:rsidRPr="00383D2D" w:rsidRDefault="00671363" w:rsidP="00895440">
      <w:pPr>
        <w:pStyle w:val="NormalWeb"/>
        <w:keepNext/>
        <w:keepLines/>
        <w:spacing w:before="0" w:beforeAutospacing="0" w:after="0" w:afterAutospacing="0"/>
        <w:jc w:val="center"/>
        <w:rPr>
          <w:sz w:val="20"/>
          <w:szCs w:val="20"/>
        </w:rPr>
      </w:pPr>
      <w:r w:rsidRPr="00383D2D">
        <w:rPr>
          <w:color w:val="000000"/>
          <w:sz w:val="20"/>
          <w:szCs w:val="20"/>
        </w:rPr>
        <w:t xml:space="preserve">Budget and Actual Expenditure (personnel and non-personnel) </w:t>
      </w:r>
    </w:p>
    <w:p w:rsidR="00671363" w:rsidRPr="00383D2D" w:rsidRDefault="00671363" w:rsidP="00895440">
      <w:pPr>
        <w:pStyle w:val="NormalWeb"/>
        <w:keepNext/>
        <w:keepLines/>
        <w:spacing w:before="0" w:beforeAutospacing="0" w:after="0" w:afterAutospacing="0"/>
        <w:jc w:val="center"/>
        <w:rPr>
          <w:i/>
          <w:iCs/>
          <w:color w:val="000000"/>
          <w:sz w:val="20"/>
          <w:szCs w:val="20"/>
        </w:rPr>
      </w:pPr>
      <w:r w:rsidRPr="00383D2D">
        <w:rPr>
          <w:i/>
          <w:iCs/>
          <w:color w:val="000000"/>
          <w:sz w:val="20"/>
          <w:szCs w:val="20"/>
        </w:rPr>
        <w:t>(in thousands of Swiss francs)</w:t>
      </w:r>
    </w:p>
    <w:p w:rsidR="00671363" w:rsidRDefault="00671363" w:rsidP="00B9043D">
      <w:pPr>
        <w:pStyle w:val="NormalWeb"/>
        <w:keepNext/>
        <w:keepLines/>
        <w:spacing w:before="0" w:beforeAutospacing="0" w:after="0" w:afterAutospacing="0"/>
        <w:jc w:val="center"/>
      </w:pPr>
    </w:p>
    <w:p w:rsidR="00671363" w:rsidRPr="008F4A6D" w:rsidRDefault="00671363" w:rsidP="00B9043D">
      <w:pPr>
        <w:widowControl w:val="0"/>
        <w:autoSpaceDE w:val="0"/>
        <w:autoSpaceDN w:val="0"/>
        <w:adjustRightInd w:val="0"/>
        <w:jc w:val="center"/>
        <w:rPr>
          <w:rFonts w:cs="Arial"/>
          <w:szCs w:val="20"/>
        </w:rPr>
      </w:pPr>
      <w:r w:rsidRPr="006F2609">
        <w:rPr>
          <w:noProof/>
        </w:rPr>
        <w:drawing>
          <wp:inline distT="0" distB="0" distL="0" distR="0" wp14:anchorId="09C17349" wp14:editId="5D707A34">
            <wp:extent cx="5138382" cy="965608"/>
            <wp:effectExtent l="0" t="0" r="5715" b="6350"/>
            <wp:docPr id="900" name="Picture 9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7">
                      <a:extLst>
                        <a:ext uri="{28A0092B-C50C-407E-A947-70E740481C1C}">
                          <a14:useLocalDpi xmlns:a14="http://schemas.microsoft.com/office/drawing/2010/main" val="0"/>
                        </a:ext>
                      </a:extLst>
                    </a:blip>
                    <a:srcRect/>
                    <a:stretch>
                      <a:fillRect/>
                    </a:stretch>
                  </pic:blipFill>
                  <pic:spPr bwMode="auto">
                    <a:xfrm>
                      <a:off x="0" y="0"/>
                      <a:ext cx="5161820" cy="970012"/>
                    </a:xfrm>
                    <a:prstGeom prst="rect">
                      <a:avLst/>
                    </a:prstGeom>
                    <a:noFill/>
                    <a:ln>
                      <a:noFill/>
                    </a:ln>
                  </pic:spPr>
                </pic:pic>
              </a:graphicData>
            </a:graphic>
          </wp:inline>
        </w:drawing>
      </w:r>
    </w:p>
    <w:p w:rsidR="00671363" w:rsidRDefault="00671363" w:rsidP="00B9043D">
      <w:pPr>
        <w:widowControl w:val="0"/>
        <w:autoSpaceDE w:val="0"/>
        <w:autoSpaceDN w:val="0"/>
        <w:adjustRightInd w:val="0"/>
        <w:rPr>
          <w:rFonts w:cs="Arial"/>
          <w:szCs w:val="20"/>
        </w:rPr>
      </w:pPr>
    </w:p>
    <w:p w:rsidR="00671363" w:rsidRPr="001C6F4D" w:rsidRDefault="00671363" w:rsidP="00B9043D">
      <w:pPr>
        <w:widowControl w:val="0"/>
        <w:autoSpaceDE w:val="0"/>
        <w:autoSpaceDN w:val="0"/>
        <w:adjustRightInd w:val="0"/>
        <w:rPr>
          <w:rFonts w:cs="Arial"/>
          <w:szCs w:val="20"/>
        </w:rPr>
      </w:pPr>
    </w:p>
    <w:p w:rsidR="00671363" w:rsidRDefault="00671363" w:rsidP="00F33ED1">
      <w:pPr>
        <w:ind w:left="709" w:hanging="709"/>
        <w:rPr>
          <w:rFonts w:cs="Arial"/>
          <w:u w:val="single"/>
        </w:rPr>
      </w:pPr>
      <w:r w:rsidRPr="00420F90">
        <w:rPr>
          <w:rFonts w:cs="Arial"/>
          <w:szCs w:val="20"/>
        </w:rPr>
        <w:t>A.</w:t>
      </w:r>
      <w:r w:rsidRPr="00420F90">
        <w:rPr>
          <w:rFonts w:cs="Arial"/>
        </w:rPr>
        <w:tab/>
      </w:r>
      <w:r w:rsidRPr="00420F90">
        <w:rPr>
          <w:rFonts w:cs="Arial"/>
          <w:u w:val="single"/>
        </w:rPr>
        <w:t>201</w:t>
      </w:r>
      <w:r>
        <w:rPr>
          <w:rFonts w:cs="Arial"/>
          <w:u w:val="single"/>
        </w:rPr>
        <w:t xml:space="preserve">4/15 Final </w:t>
      </w:r>
      <w:r w:rsidRPr="00420F90">
        <w:rPr>
          <w:rFonts w:cs="Arial"/>
          <w:u w:val="single"/>
        </w:rPr>
        <w:t xml:space="preserve">Budget after Transfers </w:t>
      </w:r>
    </w:p>
    <w:p w:rsidR="00671363" w:rsidRDefault="00671363" w:rsidP="00B9043D">
      <w:pPr>
        <w:jc w:val="both"/>
        <w:rPr>
          <w:rFonts w:cs="Arial"/>
          <w:u w:val="single"/>
        </w:rPr>
      </w:pPr>
    </w:p>
    <w:p w:rsidR="00671363" w:rsidRPr="00111740" w:rsidRDefault="00671363" w:rsidP="002F1586">
      <w:pPr>
        <w:tabs>
          <w:tab w:val="left" w:pos="709"/>
        </w:tabs>
        <w:jc w:val="both"/>
        <w:rPr>
          <w:rFonts w:cs="Arial"/>
        </w:rPr>
      </w:pPr>
      <w:r>
        <w:rPr>
          <w:rFonts w:cs="Arial"/>
        </w:rPr>
        <w:t>26.10</w:t>
      </w:r>
      <w:r>
        <w:rPr>
          <w:rFonts w:cs="Arial"/>
        </w:rPr>
        <w:tab/>
      </w:r>
      <w:r w:rsidRPr="00111740">
        <w:rPr>
          <w:rFonts w:cs="Arial"/>
        </w:rPr>
        <w:t xml:space="preserve">The </w:t>
      </w:r>
      <w:r>
        <w:rPr>
          <w:rFonts w:cs="Arial"/>
        </w:rPr>
        <w:t>Final B</w:t>
      </w:r>
      <w:r w:rsidRPr="00111740">
        <w:rPr>
          <w:rFonts w:cs="Arial"/>
        </w:rPr>
        <w:t xml:space="preserve">udget after </w:t>
      </w:r>
      <w:r>
        <w:rPr>
          <w:rFonts w:cs="Arial"/>
        </w:rPr>
        <w:t>T</w:t>
      </w:r>
      <w:r w:rsidRPr="00111740">
        <w:rPr>
          <w:rFonts w:cs="Arial"/>
        </w:rPr>
        <w:t xml:space="preserve">ransfers </w:t>
      </w:r>
      <w:r>
        <w:rPr>
          <w:rFonts w:cs="Arial"/>
        </w:rPr>
        <w:t>reflects a slight downward adjustment made for cost efficiency gains.</w:t>
      </w:r>
    </w:p>
    <w:p w:rsidR="00671363" w:rsidRDefault="00671363" w:rsidP="002F1586">
      <w:pPr>
        <w:tabs>
          <w:tab w:val="left" w:pos="709"/>
        </w:tabs>
        <w:autoSpaceDE w:val="0"/>
        <w:autoSpaceDN w:val="0"/>
        <w:jc w:val="both"/>
        <w:rPr>
          <w:rFonts w:cs="Arial"/>
          <w:szCs w:val="20"/>
          <w:lang w:eastAsia="ko-KR"/>
        </w:rPr>
      </w:pPr>
    </w:p>
    <w:p w:rsidR="00671363" w:rsidRDefault="00671363" w:rsidP="00F33ED1">
      <w:pPr>
        <w:tabs>
          <w:tab w:val="left" w:pos="709"/>
        </w:tabs>
        <w:ind w:left="709" w:hanging="709"/>
        <w:jc w:val="both"/>
        <w:rPr>
          <w:rFonts w:cs="Arial"/>
          <w:szCs w:val="20"/>
          <w:u w:val="single"/>
          <w:lang w:eastAsia="ko-KR"/>
        </w:rPr>
      </w:pPr>
      <w:r>
        <w:rPr>
          <w:rFonts w:cs="Arial"/>
          <w:szCs w:val="20"/>
          <w:lang w:eastAsia="ko-KR"/>
        </w:rPr>
        <w:t>B.</w:t>
      </w:r>
      <w:r>
        <w:rPr>
          <w:rFonts w:cs="Arial"/>
          <w:szCs w:val="20"/>
          <w:lang w:eastAsia="ko-KR"/>
        </w:rPr>
        <w:tab/>
      </w:r>
      <w:r w:rsidRPr="00420F90">
        <w:rPr>
          <w:rFonts w:cs="Arial"/>
          <w:u w:val="single"/>
        </w:rPr>
        <w:t>201</w:t>
      </w:r>
      <w:r>
        <w:rPr>
          <w:rFonts w:cs="Arial"/>
          <w:u w:val="single"/>
        </w:rPr>
        <w:t xml:space="preserve">4/15 </w:t>
      </w:r>
      <w:r>
        <w:rPr>
          <w:rFonts w:cs="Arial"/>
          <w:szCs w:val="20"/>
          <w:u w:val="single"/>
          <w:lang w:eastAsia="ko-KR"/>
        </w:rPr>
        <w:t xml:space="preserve">Budget Utilization </w:t>
      </w:r>
    </w:p>
    <w:p w:rsidR="00671363" w:rsidRDefault="00671363" w:rsidP="002F1586">
      <w:pPr>
        <w:tabs>
          <w:tab w:val="left" w:pos="709"/>
        </w:tabs>
        <w:jc w:val="both"/>
        <w:rPr>
          <w:rFonts w:cs="Arial"/>
          <w:szCs w:val="20"/>
          <w:u w:val="single"/>
          <w:lang w:eastAsia="ko-KR"/>
        </w:rPr>
      </w:pPr>
    </w:p>
    <w:p w:rsidR="00671363" w:rsidRDefault="00671363" w:rsidP="002F1586">
      <w:pPr>
        <w:tabs>
          <w:tab w:val="left" w:pos="709"/>
        </w:tabs>
        <w:jc w:val="both"/>
      </w:pPr>
      <w:r>
        <w:t>26.11</w:t>
      </w:r>
      <w:r>
        <w:tab/>
        <w:t>Budget utilization of personnel resources was slightly lower than planned due primarily to the departure of the Director of IOD at the end of April 2015.  The utilization of non-personnel resources reflects the postponement to 2016 of the payment of a large investigation outsourced to a third party, which was originally expected to be paid in 2015.</w:t>
      </w:r>
    </w:p>
    <w:p w:rsidR="00671363" w:rsidRDefault="00671363" w:rsidP="002F1586">
      <w:pPr>
        <w:tabs>
          <w:tab w:val="left" w:pos="709"/>
        </w:tabs>
      </w:pPr>
    </w:p>
    <w:p w:rsidR="00671363" w:rsidRPr="00C3328E" w:rsidRDefault="00671363" w:rsidP="000E148D">
      <w:pPr>
        <w:rPr>
          <w:szCs w:val="20"/>
        </w:rPr>
      </w:pPr>
    </w:p>
    <w:p w:rsidR="00FF768F" w:rsidRDefault="00FF768F">
      <w:r>
        <w:br w:type="page"/>
      </w:r>
    </w:p>
    <w:p w:rsidR="004E366B" w:rsidRPr="000B3AA7" w:rsidRDefault="00127901" w:rsidP="00127901">
      <w:pPr>
        <w:pStyle w:val="Heading2"/>
        <w:tabs>
          <w:tab w:val="clear" w:pos="567"/>
          <w:tab w:val="left" w:pos="1985"/>
        </w:tabs>
        <w:ind w:left="1985" w:hanging="1985"/>
        <w:jc w:val="both"/>
      </w:pPr>
      <w:bookmarkStart w:id="112" w:name="_Toc454544501"/>
      <w:r>
        <w:t>PROGRAM 27</w:t>
      </w:r>
      <w:r>
        <w:tab/>
      </w:r>
      <w:r w:rsidR="004E366B" w:rsidRPr="000B3AA7">
        <w:t>CONFERENCE AND LANGUAGE SERVICES</w:t>
      </w:r>
      <w:bookmarkEnd w:id="112"/>
    </w:p>
    <w:p w:rsidR="004E366B" w:rsidRPr="000B3AA7" w:rsidRDefault="004E366B" w:rsidP="00271CFB">
      <w:pPr>
        <w:jc w:val="both"/>
        <w:rPr>
          <w:szCs w:val="20"/>
        </w:rPr>
      </w:pPr>
    </w:p>
    <w:p w:rsidR="004E366B" w:rsidRPr="00C950D6" w:rsidRDefault="004E366B" w:rsidP="00271CFB">
      <w:pPr>
        <w:tabs>
          <w:tab w:val="left" w:pos="1985"/>
        </w:tabs>
        <w:jc w:val="both"/>
        <w:rPr>
          <w:b/>
          <w:szCs w:val="22"/>
        </w:rPr>
      </w:pPr>
      <w:r w:rsidRPr="00C950D6">
        <w:rPr>
          <w:b/>
          <w:szCs w:val="22"/>
        </w:rPr>
        <w:t>Program Manager</w:t>
      </w:r>
      <w:r w:rsidRPr="00C950D6">
        <w:rPr>
          <w:b/>
          <w:szCs w:val="22"/>
        </w:rPr>
        <w:tab/>
        <w:t>Mr. A. Sundaram</w:t>
      </w:r>
    </w:p>
    <w:p w:rsidR="004E366B" w:rsidRPr="000B3AA7" w:rsidRDefault="004E366B" w:rsidP="00271CFB">
      <w:pPr>
        <w:jc w:val="both"/>
        <w:rPr>
          <w:szCs w:val="20"/>
        </w:rPr>
      </w:pPr>
    </w:p>
    <w:p w:rsidR="004E366B" w:rsidRPr="000B3AA7" w:rsidRDefault="004E366B" w:rsidP="00271CFB">
      <w:pPr>
        <w:jc w:val="both"/>
        <w:rPr>
          <w:szCs w:val="20"/>
        </w:rPr>
      </w:pPr>
    </w:p>
    <w:p w:rsidR="00E321A5" w:rsidRPr="00BE5A7B" w:rsidRDefault="00E321A5" w:rsidP="007854A1">
      <w:pPr>
        <w:jc w:val="both"/>
        <w:rPr>
          <w:bCs/>
          <w:szCs w:val="20"/>
        </w:rPr>
      </w:pPr>
      <w:r w:rsidRPr="00BE5A7B">
        <w:rPr>
          <w:bCs/>
          <w:szCs w:val="20"/>
        </w:rPr>
        <w:t>ACHIEVEMENTS IN THE 2014/15 BIENNIUM</w:t>
      </w:r>
    </w:p>
    <w:p w:rsidR="00E321A5" w:rsidRPr="00BE5A7B" w:rsidRDefault="00E321A5" w:rsidP="007854A1">
      <w:pPr>
        <w:keepNext/>
        <w:jc w:val="both"/>
        <w:rPr>
          <w:rFonts w:cs="Arial"/>
          <w:szCs w:val="20"/>
        </w:rPr>
      </w:pPr>
    </w:p>
    <w:p w:rsidR="00E321A5" w:rsidRPr="00BE5A7B" w:rsidRDefault="00E321A5" w:rsidP="00E321A5">
      <w:pPr>
        <w:pStyle w:val="ListParagraph"/>
        <w:numPr>
          <w:ilvl w:val="0"/>
          <w:numId w:val="73"/>
        </w:numPr>
        <w:tabs>
          <w:tab w:val="left" w:pos="709"/>
        </w:tabs>
        <w:ind w:left="0" w:firstLine="0"/>
        <w:jc w:val="both"/>
        <w:rPr>
          <w:rFonts w:cs="Arial"/>
          <w:bCs/>
          <w:lang w:eastAsia="zh-CN"/>
        </w:rPr>
      </w:pPr>
      <w:r w:rsidRPr="00883E76">
        <w:rPr>
          <w:rFonts w:cs="Arial"/>
          <w:bCs/>
          <w:lang w:eastAsia="zh-CN"/>
        </w:rPr>
        <w:t xml:space="preserve">During the biennium, the Secretariat continued to effectively implement the WIPO Language Policy </w:t>
      </w:r>
      <w:r w:rsidRPr="00BE5A7B">
        <w:rPr>
          <w:rFonts w:cs="Arial"/>
          <w:bCs/>
          <w:lang w:eastAsia="zh-CN"/>
        </w:rPr>
        <w:t xml:space="preserve">by extending the six language coverage to Working Groups </w:t>
      </w:r>
      <w:r w:rsidRPr="00883E76">
        <w:rPr>
          <w:rFonts w:cs="Arial"/>
          <w:bCs/>
          <w:lang w:eastAsia="zh-CN"/>
        </w:rPr>
        <w:t xml:space="preserve">in a phased and cost-effective approach.  According to the timeline </w:t>
      </w:r>
      <w:r w:rsidRPr="00BE5A7B">
        <w:rPr>
          <w:rFonts w:cs="Arial"/>
          <w:bCs/>
          <w:lang w:eastAsia="zh-CN"/>
        </w:rPr>
        <w:t>set by Member States</w:t>
      </w:r>
      <w:r w:rsidRPr="00883E76">
        <w:rPr>
          <w:rFonts w:cs="Arial"/>
          <w:bCs/>
          <w:lang w:eastAsia="zh-CN"/>
        </w:rPr>
        <w:t xml:space="preserve">, coverage was extended in 2014/15 to:  (i) </w:t>
      </w:r>
      <w:r w:rsidRPr="00BE5A7B">
        <w:rPr>
          <w:rFonts w:cs="Arial"/>
          <w:bCs/>
          <w:lang w:eastAsia="zh-CN"/>
        </w:rPr>
        <w:t xml:space="preserve">the PCT Working Group;  (ii) the Working Group on the Legal Development of the Hague System for the International Registration of Industrial Designs;  (iii) the Working Group on the Legal Development of the Madrid System for the International Registration of Marks;  </w:t>
      </w:r>
      <w:r>
        <w:rPr>
          <w:rFonts w:cs="Arial"/>
          <w:bCs/>
          <w:lang w:eastAsia="zh-CN"/>
        </w:rPr>
        <w:t xml:space="preserve">and </w:t>
      </w:r>
      <w:r w:rsidRPr="00BE5A7B">
        <w:rPr>
          <w:rFonts w:cs="Arial"/>
          <w:bCs/>
          <w:lang w:eastAsia="zh-CN"/>
        </w:rPr>
        <w:t>(iv) the IPC Revision Working Group.</w:t>
      </w:r>
      <w:r w:rsidRPr="00883E76">
        <w:rPr>
          <w:rFonts w:cs="Arial"/>
          <w:bCs/>
          <w:lang w:eastAsia="zh-CN"/>
        </w:rPr>
        <w:t xml:space="preserve">  </w:t>
      </w:r>
    </w:p>
    <w:p w:rsidR="00E321A5" w:rsidRPr="00BE5A7B" w:rsidRDefault="00E321A5" w:rsidP="007854A1">
      <w:pPr>
        <w:jc w:val="both"/>
        <w:rPr>
          <w:rFonts w:cs="Arial"/>
          <w:bCs/>
          <w:szCs w:val="20"/>
          <w:lang w:eastAsia="zh-CN"/>
        </w:rPr>
      </w:pPr>
    </w:p>
    <w:p w:rsidR="00E321A5" w:rsidRPr="004A5E3A" w:rsidRDefault="00E321A5" w:rsidP="00E321A5">
      <w:pPr>
        <w:pStyle w:val="ListParagraph"/>
        <w:numPr>
          <w:ilvl w:val="0"/>
          <w:numId w:val="73"/>
        </w:numPr>
        <w:tabs>
          <w:tab w:val="left" w:pos="709"/>
        </w:tabs>
        <w:ind w:left="0" w:firstLine="0"/>
        <w:jc w:val="both"/>
        <w:rPr>
          <w:rFonts w:cs="Arial"/>
          <w:bCs/>
          <w:lang w:eastAsia="zh-CN"/>
        </w:rPr>
      </w:pPr>
      <w:r w:rsidRPr="00070896">
        <w:rPr>
          <w:rFonts w:cs="Arial"/>
          <w:bCs/>
          <w:lang w:eastAsia="zh-CN"/>
        </w:rPr>
        <w:t xml:space="preserve">Language services continued placing a </w:t>
      </w:r>
      <w:r>
        <w:rPr>
          <w:rFonts w:cs="Arial"/>
          <w:bCs/>
          <w:lang w:eastAsia="zh-CN"/>
        </w:rPr>
        <w:t xml:space="preserve">high level of </w:t>
      </w:r>
      <w:r w:rsidRPr="00070896">
        <w:rPr>
          <w:rFonts w:cs="Arial"/>
          <w:bCs/>
          <w:lang w:eastAsia="zh-CN"/>
        </w:rPr>
        <w:t>reliance on outsourcing of translation services</w:t>
      </w:r>
      <w:r>
        <w:rPr>
          <w:rFonts w:cs="Arial"/>
          <w:bCs/>
          <w:lang w:eastAsia="zh-CN"/>
        </w:rPr>
        <w:t xml:space="preserve"> in 2014/15, with 59 and </w:t>
      </w:r>
      <w:r w:rsidRPr="00BE5A7B">
        <w:rPr>
          <w:rFonts w:cs="Arial"/>
          <w:bCs/>
          <w:lang w:eastAsia="zh-CN"/>
        </w:rPr>
        <w:t>54 per cent</w:t>
      </w:r>
      <w:r w:rsidRPr="007B51AF">
        <w:rPr>
          <w:rFonts w:cs="Arial"/>
          <w:bCs/>
          <w:lang w:eastAsia="zh-CN"/>
        </w:rPr>
        <w:t xml:space="preserve"> </w:t>
      </w:r>
      <w:r w:rsidRPr="00070896">
        <w:rPr>
          <w:rFonts w:cs="Arial"/>
          <w:bCs/>
          <w:lang w:eastAsia="zh-CN"/>
        </w:rPr>
        <w:t>of the workload outsourced to individual and institutional translators</w:t>
      </w:r>
      <w:r>
        <w:rPr>
          <w:rFonts w:cs="Arial"/>
          <w:bCs/>
          <w:lang w:eastAsia="zh-CN"/>
        </w:rPr>
        <w:t xml:space="preserve"> in 2014 and 2015 respectively, as compared to 56 per cent in 2013.  </w:t>
      </w:r>
      <w:r w:rsidRPr="00070896">
        <w:rPr>
          <w:rFonts w:cs="Arial"/>
          <w:bCs/>
          <w:lang w:eastAsia="zh-CN"/>
        </w:rPr>
        <w:t>In order to ensure the quality of translation, quality control measures were further enhanced with the help of the internal core team of translators and revisers.  New measures and work processes were developed and streamlined across all languages</w:t>
      </w:r>
      <w:r>
        <w:rPr>
          <w:rFonts w:cs="Arial"/>
          <w:bCs/>
          <w:lang w:eastAsia="zh-CN"/>
        </w:rPr>
        <w:t xml:space="preserve"> in 2014/15</w:t>
      </w:r>
      <w:r w:rsidRPr="00070896">
        <w:rPr>
          <w:rFonts w:cs="Arial"/>
          <w:bCs/>
          <w:lang w:eastAsia="zh-CN"/>
        </w:rPr>
        <w:t xml:space="preserve">.  </w:t>
      </w:r>
    </w:p>
    <w:p w:rsidR="00E321A5" w:rsidRPr="00BE5A7B" w:rsidRDefault="00E321A5" w:rsidP="007854A1">
      <w:pPr>
        <w:jc w:val="both"/>
        <w:rPr>
          <w:rFonts w:cs="Arial"/>
          <w:bCs/>
          <w:szCs w:val="20"/>
        </w:rPr>
      </w:pPr>
    </w:p>
    <w:p w:rsidR="00E321A5" w:rsidRDefault="00E321A5" w:rsidP="00E321A5">
      <w:pPr>
        <w:pStyle w:val="ListParagraph"/>
        <w:numPr>
          <w:ilvl w:val="0"/>
          <w:numId w:val="73"/>
        </w:numPr>
        <w:tabs>
          <w:tab w:val="left" w:pos="709"/>
        </w:tabs>
        <w:ind w:left="0" w:firstLine="0"/>
        <w:jc w:val="both"/>
        <w:rPr>
          <w:rFonts w:cs="Arial"/>
          <w:bCs/>
          <w:lang w:eastAsia="zh-CN"/>
        </w:rPr>
      </w:pPr>
      <w:r w:rsidRPr="00BE5A7B">
        <w:rPr>
          <w:rFonts w:cs="Arial"/>
          <w:bCs/>
          <w:lang w:eastAsia="zh-CN"/>
        </w:rPr>
        <w:t>In addition</w:t>
      </w:r>
      <w:r>
        <w:rPr>
          <w:rFonts w:cs="Arial"/>
          <w:bCs/>
          <w:lang w:eastAsia="zh-CN"/>
        </w:rPr>
        <w:t>,</w:t>
      </w:r>
      <w:r w:rsidRPr="00BE5A7B">
        <w:rPr>
          <w:rFonts w:cs="Arial"/>
          <w:bCs/>
          <w:lang w:eastAsia="zh-CN"/>
        </w:rPr>
        <w:t xml:space="preserve"> </w:t>
      </w:r>
      <w:r>
        <w:rPr>
          <w:rFonts w:cs="Arial"/>
          <w:bCs/>
          <w:lang w:eastAsia="zh-CN"/>
        </w:rPr>
        <w:t xml:space="preserve">quality control procedures for translation, including </w:t>
      </w:r>
      <w:r w:rsidRPr="00BE5A7B">
        <w:rPr>
          <w:rFonts w:cs="Arial"/>
          <w:bCs/>
          <w:lang w:eastAsia="zh-CN"/>
        </w:rPr>
        <w:t>the concept of “quality at source”</w:t>
      </w:r>
      <w:r>
        <w:rPr>
          <w:rFonts w:cs="Arial"/>
          <w:bCs/>
          <w:lang w:eastAsia="zh-CN"/>
        </w:rPr>
        <w:t xml:space="preserve">, was further strengthened in 2014/15 by a general revision of the contractual relationship with external translators.  </w:t>
      </w:r>
      <w:r w:rsidRPr="00070896">
        <w:rPr>
          <w:rFonts w:cs="Arial"/>
          <w:bCs/>
          <w:lang w:eastAsia="zh-CN"/>
        </w:rPr>
        <w:t xml:space="preserve">While retaining only those translators who conform to set standards, new individual translators were engaged only after an intensive examination process. </w:t>
      </w:r>
      <w:r>
        <w:rPr>
          <w:rFonts w:cs="Arial"/>
          <w:bCs/>
          <w:lang w:eastAsia="zh-CN"/>
        </w:rPr>
        <w:t xml:space="preserve"> </w:t>
      </w:r>
      <w:r w:rsidRPr="00070896">
        <w:rPr>
          <w:rFonts w:cs="Arial"/>
          <w:bCs/>
          <w:lang w:eastAsia="zh-CN"/>
        </w:rPr>
        <w:t>Furthermore, systems were introduced to link payments with the quality and timely delivery of outsourced translations</w:t>
      </w:r>
      <w:r>
        <w:rPr>
          <w:rFonts w:cs="Arial"/>
          <w:bCs/>
          <w:lang w:eastAsia="zh-CN"/>
        </w:rPr>
        <w:t xml:space="preserve">. </w:t>
      </w:r>
      <w:r w:rsidRPr="00BE5A7B">
        <w:rPr>
          <w:rFonts w:cs="Arial"/>
          <w:bCs/>
          <w:lang w:eastAsia="zh-CN"/>
        </w:rPr>
        <w:t xml:space="preserve"> </w:t>
      </w:r>
      <w:r>
        <w:rPr>
          <w:rFonts w:cs="Arial"/>
          <w:bCs/>
          <w:lang w:eastAsia="zh-CN"/>
        </w:rPr>
        <w:t>As a result, t</w:t>
      </w:r>
      <w:r w:rsidRPr="00070896">
        <w:rPr>
          <w:rFonts w:cs="Arial"/>
          <w:bCs/>
          <w:lang w:eastAsia="zh-CN"/>
        </w:rPr>
        <w:t xml:space="preserve">he overall </w:t>
      </w:r>
      <w:r>
        <w:rPr>
          <w:rFonts w:cs="Arial"/>
          <w:bCs/>
          <w:lang w:eastAsia="zh-CN"/>
        </w:rPr>
        <w:t xml:space="preserve">rate of translation subject to a quality control check </w:t>
      </w:r>
      <w:r w:rsidRPr="00070896">
        <w:rPr>
          <w:rFonts w:cs="Arial"/>
          <w:bCs/>
          <w:lang w:eastAsia="zh-CN"/>
        </w:rPr>
        <w:t>rose from less than 10 per cent before the implementation of the Language Policy (end of 2011) to 39</w:t>
      </w:r>
      <w:r>
        <w:rPr>
          <w:rFonts w:cs="Arial"/>
          <w:bCs/>
          <w:lang w:eastAsia="zh-CN"/>
        </w:rPr>
        <w:t> </w:t>
      </w:r>
      <w:r w:rsidRPr="00070896">
        <w:rPr>
          <w:rFonts w:cs="Arial"/>
          <w:bCs/>
          <w:lang w:eastAsia="zh-CN"/>
        </w:rPr>
        <w:t>per cent in 2014</w:t>
      </w:r>
      <w:r>
        <w:rPr>
          <w:rFonts w:cs="Arial"/>
          <w:bCs/>
          <w:lang w:eastAsia="zh-CN"/>
        </w:rPr>
        <w:t xml:space="preserve"> and to 60 per cent by the end of the biennium</w:t>
      </w:r>
      <w:r w:rsidRPr="00070896">
        <w:rPr>
          <w:rFonts w:cs="Arial"/>
          <w:bCs/>
          <w:lang w:eastAsia="zh-CN"/>
        </w:rPr>
        <w:t>.</w:t>
      </w:r>
    </w:p>
    <w:p w:rsidR="00E321A5" w:rsidRDefault="00E321A5" w:rsidP="007854A1">
      <w:pPr>
        <w:pStyle w:val="ListParagraph"/>
        <w:tabs>
          <w:tab w:val="left" w:pos="709"/>
        </w:tabs>
        <w:ind w:left="0"/>
        <w:jc w:val="both"/>
        <w:rPr>
          <w:rFonts w:cs="Arial"/>
          <w:bCs/>
          <w:lang w:eastAsia="zh-CN"/>
        </w:rPr>
      </w:pPr>
    </w:p>
    <w:p w:rsidR="00E321A5" w:rsidRPr="00AE790A" w:rsidRDefault="00E321A5" w:rsidP="00E321A5">
      <w:pPr>
        <w:pStyle w:val="ListParagraph"/>
        <w:numPr>
          <w:ilvl w:val="0"/>
          <w:numId w:val="73"/>
        </w:numPr>
        <w:tabs>
          <w:tab w:val="left" w:pos="709"/>
        </w:tabs>
        <w:ind w:left="0" w:firstLine="0"/>
        <w:jc w:val="both"/>
        <w:rPr>
          <w:rFonts w:cs="Arial"/>
          <w:bCs/>
          <w:lang w:eastAsia="zh-CN"/>
        </w:rPr>
      </w:pPr>
      <w:r>
        <w:rPr>
          <w:rFonts w:cs="Arial"/>
          <w:bCs/>
          <w:lang w:eastAsia="zh-CN"/>
        </w:rPr>
        <w:t>Additional agencies were also selected through international tenders to cover Arabic, Chinese and Russian translations, taking into consideration the experiences gained in outsourcing translation work into French and Spanish.</w:t>
      </w:r>
    </w:p>
    <w:p w:rsidR="00E321A5" w:rsidRDefault="00E321A5" w:rsidP="007854A1">
      <w:pPr>
        <w:pStyle w:val="ListParagraph"/>
        <w:tabs>
          <w:tab w:val="left" w:pos="709"/>
        </w:tabs>
        <w:ind w:left="0"/>
        <w:jc w:val="both"/>
        <w:rPr>
          <w:rFonts w:cs="Arial"/>
          <w:bCs/>
          <w:lang w:eastAsia="zh-CN"/>
        </w:rPr>
      </w:pPr>
    </w:p>
    <w:p w:rsidR="00E321A5" w:rsidRPr="00A42E04" w:rsidRDefault="00E321A5" w:rsidP="00E321A5">
      <w:pPr>
        <w:pStyle w:val="ListParagraph"/>
        <w:numPr>
          <w:ilvl w:val="0"/>
          <w:numId w:val="73"/>
        </w:numPr>
        <w:tabs>
          <w:tab w:val="left" w:pos="709"/>
        </w:tabs>
        <w:ind w:left="0" w:firstLine="0"/>
        <w:jc w:val="both"/>
        <w:rPr>
          <w:rFonts w:cs="Arial"/>
          <w:bCs/>
          <w:lang w:eastAsia="zh-CN"/>
        </w:rPr>
      </w:pPr>
      <w:r w:rsidRPr="00A42E04">
        <w:rPr>
          <w:rFonts w:cs="Arial"/>
          <w:bCs/>
          <w:lang w:eastAsia="zh-CN"/>
        </w:rPr>
        <w:t xml:space="preserve">Building on the new Computer-Assisted Translation and Terminological (CATT) tools, which were </w:t>
      </w:r>
      <w:r>
        <w:rPr>
          <w:rFonts w:cs="Arial"/>
          <w:bCs/>
          <w:lang w:eastAsia="zh-CN"/>
        </w:rPr>
        <w:t>introduced</w:t>
      </w:r>
      <w:r w:rsidRPr="00A42E04">
        <w:rPr>
          <w:rFonts w:cs="Arial"/>
          <w:bCs/>
          <w:lang w:eastAsia="zh-CN"/>
        </w:rPr>
        <w:t xml:space="preserve"> in 2014, the Program embarked on a terminology project, aiming at publishing terminology assets, for the first time, in all six UN languages, through the newly launched WIPO Pearl terminology platform, which currently includes only PCT terminological entries.  In 2015, substantial work was carried out to create, validate and enlarge its TermBase.  By the end of the biennium, some 12,704 terms in the six official UN languages were pre-validated for publishing on the common terminology platform subject to completion of the technical design and testing work.</w:t>
      </w:r>
    </w:p>
    <w:p w:rsidR="00E321A5" w:rsidRDefault="00E321A5" w:rsidP="007854A1">
      <w:pPr>
        <w:pStyle w:val="ListParagraph"/>
        <w:tabs>
          <w:tab w:val="left" w:pos="709"/>
        </w:tabs>
        <w:ind w:left="0"/>
        <w:jc w:val="both"/>
        <w:rPr>
          <w:rFonts w:cs="Arial"/>
          <w:bCs/>
          <w:lang w:eastAsia="zh-CN"/>
        </w:rPr>
      </w:pPr>
    </w:p>
    <w:p w:rsidR="00E321A5" w:rsidRDefault="00E321A5" w:rsidP="00E321A5">
      <w:pPr>
        <w:pStyle w:val="ListParagraph"/>
        <w:numPr>
          <w:ilvl w:val="0"/>
          <w:numId w:val="73"/>
        </w:numPr>
        <w:tabs>
          <w:tab w:val="left" w:pos="709"/>
        </w:tabs>
        <w:ind w:left="0" w:firstLine="0"/>
        <w:jc w:val="both"/>
        <w:rPr>
          <w:rFonts w:cs="Arial"/>
          <w:bCs/>
          <w:lang w:eastAsia="zh-CN"/>
        </w:rPr>
      </w:pPr>
      <w:r>
        <w:rPr>
          <w:rFonts w:cs="Arial"/>
          <w:bCs/>
          <w:lang w:eastAsia="zh-CN"/>
        </w:rPr>
        <w:t>Finally, b</w:t>
      </w:r>
      <w:r w:rsidRPr="00AE790A">
        <w:rPr>
          <w:rFonts w:cs="Arial"/>
          <w:bCs/>
          <w:lang w:eastAsia="zh-CN"/>
        </w:rPr>
        <w:t>y rigorously continuing to apply the rationalization and control measures on the number and size of documents for all meetings in 2014/15</w:t>
      </w:r>
      <w:r w:rsidRPr="00FD4496">
        <w:rPr>
          <w:rFonts w:cs="Arial"/>
          <w:bCs/>
          <w:lang w:eastAsia="zh-CN"/>
        </w:rPr>
        <w:t>, the translation volume saw an 8.5 per cent decrease (30.35 million words in 2014/15 as compared to 33.17 million words in 2012/13), despite the extended language coverage to four major Working Groups</w:t>
      </w:r>
      <w:r>
        <w:rPr>
          <w:rFonts w:cs="Arial"/>
          <w:bCs/>
          <w:lang w:eastAsia="zh-CN"/>
        </w:rPr>
        <w:t xml:space="preserve"> during the biennium</w:t>
      </w:r>
      <w:r w:rsidRPr="00AE790A">
        <w:rPr>
          <w:rFonts w:cs="Arial"/>
          <w:bCs/>
          <w:lang w:eastAsia="zh-CN"/>
        </w:rPr>
        <w:t>.  These measures and initiatives contributed to the achievement of cost efficiencies in 2014/15</w:t>
      </w:r>
      <w:r w:rsidRPr="00FD4496">
        <w:rPr>
          <w:rFonts w:cs="Arial"/>
          <w:bCs/>
          <w:lang w:eastAsia="zh-CN"/>
        </w:rPr>
        <w:t>, with the per word cost of translation significantly reduced from 0.63 Swiss francs in 2013 to 0.59 and 0.57 Swiss francs in 2014 and 2015</w:t>
      </w:r>
      <w:r>
        <w:rPr>
          <w:rFonts w:cs="Arial"/>
          <w:bCs/>
          <w:lang w:eastAsia="zh-CN"/>
        </w:rPr>
        <w:t> </w:t>
      </w:r>
      <w:r w:rsidRPr="00FD4496">
        <w:rPr>
          <w:rFonts w:cs="Arial"/>
          <w:bCs/>
          <w:lang w:eastAsia="zh-CN"/>
        </w:rPr>
        <w:t>respectively.</w:t>
      </w:r>
      <w:r w:rsidRPr="00DF4FB2">
        <w:rPr>
          <w:rFonts w:cs="Arial"/>
          <w:bCs/>
          <w:lang w:eastAsia="zh-CN"/>
        </w:rPr>
        <w:t xml:space="preserve"> </w:t>
      </w:r>
      <w:r>
        <w:rPr>
          <w:rFonts w:cs="Arial"/>
          <w:bCs/>
          <w:lang w:eastAsia="zh-CN"/>
        </w:rPr>
        <w:t xml:space="preserve"> </w:t>
      </w:r>
    </w:p>
    <w:p w:rsidR="00E321A5" w:rsidRDefault="00E321A5" w:rsidP="007854A1">
      <w:pPr>
        <w:tabs>
          <w:tab w:val="left" w:pos="709"/>
        </w:tabs>
        <w:jc w:val="both"/>
        <w:rPr>
          <w:rFonts w:cs="Arial"/>
          <w:bCs/>
          <w:lang w:eastAsia="zh-CN"/>
        </w:rPr>
      </w:pPr>
    </w:p>
    <w:p w:rsidR="00E321A5" w:rsidRDefault="00E321A5" w:rsidP="007854A1">
      <w:pPr>
        <w:pStyle w:val="Caption"/>
        <w:keepNext/>
        <w:jc w:val="center"/>
      </w:pPr>
      <w:r w:rsidRPr="00085D8E">
        <w:rPr>
          <w:b w:val="0"/>
          <w:i/>
          <w:sz w:val="16"/>
          <w:szCs w:val="16"/>
        </w:rPr>
        <w:t>Volume of Translation 2012-2015</w:t>
      </w:r>
      <w:r>
        <w:tab/>
      </w:r>
      <w:r w:rsidRPr="00085D8E">
        <w:rPr>
          <w:b w:val="0"/>
          <w:i/>
          <w:sz w:val="16"/>
          <w:szCs w:val="16"/>
        </w:rPr>
        <w:t>Cost of Translation per Word 2013-2015</w:t>
      </w:r>
    </w:p>
    <w:p w:rsidR="00E321A5" w:rsidRPr="00085D8E" w:rsidRDefault="00E321A5" w:rsidP="007854A1">
      <w:pPr>
        <w:tabs>
          <w:tab w:val="left" w:pos="709"/>
        </w:tabs>
        <w:jc w:val="center"/>
        <w:rPr>
          <w:rFonts w:cs="Arial"/>
          <w:bCs/>
          <w:lang w:eastAsia="zh-CN"/>
        </w:rPr>
      </w:pPr>
      <w:r>
        <w:rPr>
          <w:rFonts w:cs="Arial"/>
          <w:bCs/>
          <w:noProof/>
        </w:rPr>
        <w:drawing>
          <wp:inline distT="0" distB="0" distL="0" distR="0" wp14:anchorId="3F0D100E" wp14:editId="732DC9E4">
            <wp:extent cx="4086225" cy="1299506"/>
            <wp:effectExtent l="0" t="0" r="0" b="0"/>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inting.png"/>
                    <pic:cNvPicPr/>
                  </pic:nvPicPr>
                  <pic:blipFill>
                    <a:blip r:embed="rId188">
                      <a:extLst>
                        <a:ext uri="{28A0092B-C50C-407E-A947-70E740481C1C}">
                          <a14:useLocalDpi xmlns:a14="http://schemas.microsoft.com/office/drawing/2010/main" val="0"/>
                        </a:ext>
                      </a:extLst>
                    </a:blip>
                    <a:stretch>
                      <a:fillRect/>
                    </a:stretch>
                  </pic:blipFill>
                  <pic:spPr>
                    <a:xfrm>
                      <a:off x="0" y="0"/>
                      <a:ext cx="4088596" cy="1300260"/>
                    </a:xfrm>
                    <a:prstGeom prst="rect">
                      <a:avLst/>
                    </a:prstGeom>
                  </pic:spPr>
                </pic:pic>
              </a:graphicData>
            </a:graphic>
          </wp:inline>
        </w:drawing>
      </w:r>
    </w:p>
    <w:p w:rsidR="00E321A5" w:rsidRDefault="00E321A5" w:rsidP="007854A1">
      <w:pPr>
        <w:pStyle w:val="ListParagraph"/>
        <w:tabs>
          <w:tab w:val="left" w:pos="709"/>
        </w:tabs>
        <w:ind w:left="0"/>
        <w:jc w:val="both"/>
        <w:rPr>
          <w:rFonts w:cs="Arial"/>
          <w:bCs/>
          <w:lang w:eastAsia="zh-CN"/>
        </w:rPr>
      </w:pPr>
    </w:p>
    <w:p w:rsidR="00E321A5" w:rsidRDefault="00E321A5" w:rsidP="00E321A5">
      <w:pPr>
        <w:pStyle w:val="ListParagraph"/>
        <w:numPr>
          <w:ilvl w:val="0"/>
          <w:numId w:val="73"/>
        </w:numPr>
        <w:tabs>
          <w:tab w:val="left" w:pos="709"/>
        </w:tabs>
        <w:ind w:left="0" w:firstLine="0"/>
        <w:jc w:val="both"/>
        <w:rPr>
          <w:rFonts w:cs="Arial"/>
          <w:bCs/>
          <w:lang w:eastAsia="zh-CN"/>
        </w:rPr>
      </w:pPr>
      <w:r w:rsidRPr="009168A1">
        <w:rPr>
          <w:rFonts w:cs="Arial"/>
          <w:bCs/>
          <w:lang w:eastAsia="zh-CN"/>
        </w:rPr>
        <w:t>Efficient and quality interpretation service continued to be provided to all WIPO meetings and other events, at headquarters and in other locations, as required.</w:t>
      </w:r>
    </w:p>
    <w:p w:rsidR="00E321A5" w:rsidRDefault="00E321A5" w:rsidP="007854A1">
      <w:pPr>
        <w:pStyle w:val="ListParagraph"/>
        <w:tabs>
          <w:tab w:val="left" w:pos="709"/>
        </w:tabs>
        <w:ind w:left="0"/>
        <w:jc w:val="both"/>
        <w:rPr>
          <w:rFonts w:cs="Arial"/>
          <w:bCs/>
          <w:lang w:eastAsia="zh-CN"/>
        </w:rPr>
      </w:pPr>
    </w:p>
    <w:p w:rsidR="00E321A5" w:rsidRDefault="00E321A5" w:rsidP="00E321A5">
      <w:pPr>
        <w:pStyle w:val="ListParagraph"/>
        <w:numPr>
          <w:ilvl w:val="0"/>
          <w:numId w:val="73"/>
        </w:numPr>
        <w:tabs>
          <w:tab w:val="left" w:pos="709"/>
        </w:tabs>
        <w:ind w:left="0" w:firstLine="0"/>
        <w:jc w:val="both"/>
        <w:rPr>
          <w:lang w:eastAsia="zh-CN"/>
        </w:rPr>
      </w:pPr>
      <w:r w:rsidRPr="009168A1">
        <w:rPr>
          <w:lang w:eastAsia="zh-CN"/>
        </w:rPr>
        <w:t xml:space="preserve">After several years of marked growth, the biennium 2014/15 saw a stabilization in the number of meetings organized in Geneva </w:t>
      </w:r>
      <w:r>
        <w:rPr>
          <w:lang w:eastAsia="zh-CN"/>
        </w:rPr>
        <w:t xml:space="preserve">with </w:t>
      </w:r>
      <w:r w:rsidRPr="009168A1">
        <w:rPr>
          <w:lang w:eastAsia="zh-CN"/>
        </w:rPr>
        <w:t xml:space="preserve">209 principal </w:t>
      </w:r>
      <w:r>
        <w:rPr>
          <w:lang w:eastAsia="zh-CN"/>
        </w:rPr>
        <w:t>meetings</w:t>
      </w:r>
      <w:r w:rsidRPr="009168A1">
        <w:rPr>
          <w:lang w:eastAsia="zh-CN"/>
        </w:rPr>
        <w:t>, including the Diplomatic Conference for the Adoption of a New Ac</w:t>
      </w:r>
      <w:r w:rsidRPr="00127841">
        <w:rPr>
          <w:lang w:eastAsia="zh-CN"/>
        </w:rPr>
        <w:t>t of the Lisbon Agreement for the Protection of Appellations of Origin and their International Registration, as compared to 260 in 2012/13.  Conference support was also provided for an annual average of 5,600 (some 5,400 in 2014; 5</w:t>
      </w:r>
      <w:r>
        <w:rPr>
          <w:lang w:eastAsia="zh-CN"/>
        </w:rPr>
        <w:t>,</w:t>
      </w:r>
      <w:r w:rsidRPr="00127841">
        <w:rPr>
          <w:lang w:eastAsia="zh-CN"/>
        </w:rPr>
        <w:t>800 in 2015) ad-hoc meetings (</w:t>
      </w:r>
      <w:r>
        <w:rPr>
          <w:lang w:eastAsia="zh-CN"/>
        </w:rPr>
        <w:t xml:space="preserve">informal </w:t>
      </w:r>
      <w:r w:rsidRPr="00127841">
        <w:rPr>
          <w:lang w:eastAsia="zh-CN"/>
        </w:rPr>
        <w:t xml:space="preserve">consultations, bilateral meetings, presentations, side events, official visits and internal meetings) on the WIPO premises in Geneva; stable as compared with 11,200 in the 2012/13 biennium.  Some 140 of these meetings were serviced outside the standard meeting hours, i.e. beyond 6.30 p.m. or during weekends, as compared to 167 in 2012/13.  </w:t>
      </w:r>
    </w:p>
    <w:p w:rsidR="00E321A5" w:rsidRPr="009168A1" w:rsidRDefault="00E321A5" w:rsidP="007854A1">
      <w:pPr>
        <w:tabs>
          <w:tab w:val="left" w:pos="709"/>
        </w:tabs>
        <w:jc w:val="both"/>
        <w:rPr>
          <w:rFonts w:cs="Arial"/>
          <w:bCs/>
          <w:lang w:eastAsia="zh-CN"/>
        </w:rPr>
      </w:pPr>
    </w:p>
    <w:p w:rsidR="00E321A5" w:rsidRDefault="00E321A5" w:rsidP="00E321A5">
      <w:pPr>
        <w:pStyle w:val="ListParagraph"/>
        <w:numPr>
          <w:ilvl w:val="0"/>
          <w:numId w:val="73"/>
        </w:numPr>
        <w:tabs>
          <w:tab w:val="left" w:pos="709"/>
        </w:tabs>
        <w:ind w:left="0" w:firstLine="0"/>
        <w:jc w:val="both"/>
      </w:pPr>
      <w:r w:rsidRPr="00127841">
        <w:rPr>
          <w:lang w:eastAsia="zh-CN"/>
        </w:rPr>
        <w:t>Of particular note in the biennium was the smooth transition to the new conference facilities and registration infrastructure, both inaugurated</w:t>
      </w:r>
      <w:r>
        <w:t xml:space="preserve"> in the last quarter of 2014.  In 2015, following a series of </w:t>
      </w:r>
      <w:r w:rsidRPr="00BE5A7B">
        <w:t xml:space="preserve">consultations with relevant internal </w:t>
      </w:r>
      <w:r>
        <w:t xml:space="preserve">stakeholders, the terms and </w:t>
      </w:r>
      <w:r w:rsidRPr="00BE5A7B">
        <w:t xml:space="preserve">conditions of use required </w:t>
      </w:r>
      <w:r>
        <w:t xml:space="preserve">for the </w:t>
      </w:r>
      <w:r w:rsidRPr="00F22C5A">
        <w:t xml:space="preserve">rental </w:t>
      </w:r>
      <w:r>
        <w:t xml:space="preserve">of the </w:t>
      </w:r>
      <w:r w:rsidRPr="00F22C5A">
        <w:t xml:space="preserve">new WIPO Conference Hall and adjacent facilities to Member States or external entities for activities other than WIPO meetings </w:t>
      </w:r>
      <w:r>
        <w:t xml:space="preserve">were established and </w:t>
      </w:r>
      <w:r w:rsidRPr="00BE5A7B">
        <w:t xml:space="preserve">five </w:t>
      </w:r>
      <w:r>
        <w:t>such events accommodated</w:t>
      </w:r>
      <w:r>
        <w:rPr>
          <w:rStyle w:val="FootnoteReference"/>
          <w:rFonts w:cs="Arial"/>
        </w:rPr>
        <w:footnoteReference w:id="145"/>
      </w:r>
      <w:r>
        <w:t>.</w:t>
      </w:r>
      <w:r w:rsidRPr="00BE5A7B">
        <w:t xml:space="preserve">  </w:t>
      </w:r>
    </w:p>
    <w:p w:rsidR="00E321A5" w:rsidRPr="00BE5A7B" w:rsidRDefault="00E321A5" w:rsidP="007854A1">
      <w:pPr>
        <w:pStyle w:val="ListParagraph"/>
        <w:tabs>
          <w:tab w:val="left" w:pos="709"/>
        </w:tabs>
        <w:ind w:left="0"/>
        <w:jc w:val="both"/>
      </w:pPr>
    </w:p>
    <w:p w:rsidR="00E321A5" w:rsidRDefault="00E321A5" w:rsidP="00E321A5">
      <w:pPr>
        <w:pStyle w:val="ListParagraph"/>
        <w:numPr>
          <w:ilvl w:val="0"/>
          <w:numId w:val="73"/>
        </w:numPr>
        <w:tabs>
          <w:tab w:val="left" w:pos="709"/>
        </w:tabs>
        <w:ind w:left="0" w:firstLine="0"/>
        <w:jc w:val="both"/>
      </w:pPr>
      <w:r>
        <w:t xml:space="preserve">With regard to the timely availability of meeting documents, the monitoring of publication dates implemented in 2014, and follow-up mechanisms deployed with meeting secretariats were effective in improving timeliness over the course of the biennium, with a 28 percentage point improvement in 2015 (69 per cent of documents published </w:t>
      </w:r>
      <w:r w:rsidRPr="008063BB">
        <w:t>two months before the relevant meetings</w:t>
      </w:r>
      <w:r>
        <w:t xml:space="preserve">, as compared to 41 per cent in 2014). </w:t>
      </w:r>
    </w:p>
    <w:p w:rsidR="00E321A5" w:rsidRPr="00BE5A7B" w:rsidRDefault="00E321A5" w:rsidP="007854A1">
      <w:pPr>
        <w:jc w:val="both"/>
      </w:pPr>
      <w:r w:rsidRPr="00BE5A7B">
        <w:rPr>
          <w:rFonts w:cs="Arial"/>
          <w:szCs w:val="20"/>
        </w:rPr>
        <w:t xml:space="preserve"> </w:t>
      </w:r>
    </w:p>
    <w:p w:rsidR="00E321A5" w:rsidRPr="00127841" w:rsidRDefault="00E321A5" w:rsidP="00E321A5">
      <w:pPr>
        <w:pStyle w:val="ListParagraph"/>
        <w:numPr>
          <w:ilvl w:val="0"/>
          <w:numId w:val="73"/>
        </w:numPr>
        <w:tabs>
          <w:tab w:val="left" w:pos="709"/>
        </w:tabs>
        <w:ind w:left="0" w:firstLine="0"/>
        <w:jc w:val="both"/>
      </w:pPr>
      <w:r w:rsidRPr="00127841">
        <w:t>Following the adoption of the Records Management and Archiving Policy in 2012/13, good progress was made in 2014/15 with regard to the establishment of retention schedules of records and enhancement of records management and archiving.  To this end, Livelink, the software used for records management and archiving, was successfully upgraded in 2015, which ensured:  (i) its compatibility with Windows 7 and Windows Server 2012;  (ii) business continuity for the registration and storage of WIPO records and archives;  and (iii) a better solution for archiving the documents of various sectors.</w:t>
      </w:r>
    </w:p>
    <w:p w:rsidR="00E321A5" w:rsidRPr="00127841" w:rsidRDefault="00E321A5" w:rsidP="007854A1">
      <w:pPr>
        <w:pStyle w:val="ListParagraph"/>
        <w:tabs>
          <w:tab w:val="left" w:pos="709"/>
        </w:tabs>
        <w:ind w:left="0"/>
        <w:jc w:val="both"/>
      </w:pPr>
    </w:p>
    <w:p w:rsidR="00E321A5" w:rsidRPr="00127841" w:rsidRDefault="00E321A5" w:rsidP="00E321A5">
      <w:pPr>
        <w:pStyle w:val="ListParagraph"/>
        <w:numPr>
          <w:ilvl w:val="0"/>
          <w:numId w:val="73"/>
        </w:numPr>
        <w:tabs>
          <w:tab w:val="left" w:pos="709"/>
        </w:tabs>
        <w:ind w:left="0" w:firstLine="0"/>
        <w:jc w:val="both"/>
      </w:pPr>
      <w:r w:rsidRPr="00127841">
        <w:t xml:space="preserve">The Program continued its efforts to reduce mailing costs through tariff negotiations with external providers, an increased use of more cost-effective mailing options (e.g. registered mail as opposed to express mail), and by introducing a system of grouping addresses, which resulted in a </w:t>
      </w:r>
      <w:r>
        <w:t>four</w:t>
      </w:r>
      <w:r w:rsidRPr="00127841">
        <w:t xml:space="preserve"> per cent decrease in the number of items sent in 2015 as compared to 2014.  Overall, these concerted efforts resulted in an overall decrease in mailing costs of 7.2 per cent in 2015 as compared to 2014 and 11 per cent  as compared to 2013.</w:t>
      </w:r>
    </w:p>
    <w:p w:rsidR="00E321A5" w:rsidRPr="00127841" w:rsidRDefault="00E321A5" w:rsidP="007854A1">
      <w:pPr>
        <w:pStyle w:val="ListParagraph"/>
        <w:tabs>
          <w:tab w:val="left" w:pos="709"/>
        </w:tabs>
        <w:ind w:left="0"/>
        <w:jc w:val="both"/>
      </w:pPr>
    </w:p>
    <w:p w:rsidR="00E321A5" w:rsidRPr="00BE5A7B" w:rsidRDefault="00E321A5" w:rsidP="00E321A5">
      <w:pPr>
        <w:pStyle w:val="ListParagraph"/>
        <w:numPr>
          <w:ilvl w:val="0"/>
          <w:numId w:val="73"/>
        </w:numPr>
        <w:tabs>
          <w:tab w:val="left" w:pos="709"/>
        </w:tabs>
        <w:ind w:left="0" w:firstLine="0"/>
        <w:jc w:val="both"/>
        <w:rPr>
          <w:rFonts w:cs="Arial"/>
          <w:bCs/>
          <w:lang w:eastAsia="zh-CN"/>
        </w:rPr>
      </w:pPr>
      <w:r w:rsidRPr="00127841">
        <w:t>In 2014/15, WIPO continued to provide printing services in an efficient and timely manner.  The printing workload remained at similar levels in both years of the biennium.  Moreover, the 2</w:t>
      </w:r>
      <w:r>
        <w:t>5</w:t>
      </w:r>
      <w:r w:rsidRPr="00127841">
        <w:t xml:space="preserve"> per cent decrease in the printing cost per page realized in 2014 as a result of the renegotiation of leasing services</w:t>
      </w:r>
      <w:r>
        <w:rPr>
          <w:rFonts w:cs="Arial"/>
          <w:bCs/>
          <w:lang w:eastAsia="zh-CN"/>
        </w:rPr>
        <w:t xml:space="preserve"> was maintained at </w:t>
      </w:r>
      <w:r w:rsidRPr="00BE5A7B">
        <w:rPr>
          <w:rFonts w:cs="Arial"/>
          <w:bCs/>
          <w:lang w:eastAsia="zh-CN"/>
        </w:rPr>
        <w:t>0.1</w:t>
      </w:r>
      <w:r>
        <w:rPr>
          <w:rFonts w:cs="Arial"/>
          <w:bCs/>
          <w:lang w:eastAsia="zh-CN"/>
        </w:rPr>
        <w:t>5</w:t>
      </w:r>
      <w:r w:rsidRPr="00BE5A7B">
        <w:rPr>
          <w:rFonts w:cs="Arial"/>
          <w:bCs/>
          <w:lang w:eastAsia="zh-CN"/>
        </w:rPr>
        <w:t xml:space="preserve"> Swiss francs</w:t>
      </w:r>
      <w:r>
        <w:rPr>
          <w:rFonts w:cs="Arial"/>
          <w:bCs/>
          <w:lang w:eastAsia="zh-CN"/>
        </w:rPr>
        <w:t xml:space="preserve"> in 2015, </w:t>
      </w:r>
      <w:r w:rsidRPr="00BE5A7B">
        <w:rPr>
          <w:rFonts w:cs="Arial"/>
          <w:bCs/>
          <w:lang w:eastAsia="zh-CN"/>
        </w:rPr>
        <w:t>as compared to 0.</w:t>
      </w:r>
      <w:r>
        <w:rPr>
          <w:rFonts w:cs="Arial"/>
          <w:bCs/>
          <w:lang w:eastAsia="zh-CN"/>
        </w:rPr>
        <w:t>20</w:t>
      </w:r>
      <w:r>
        <w:rPr>
          <w:rStyle w:val="FootnoteReference"/>
          <w:rFonts w:cs="Arial"/>
          <w:bCs/>
          <w:lang w:eastAsia="zh-CN"/>
        </w:rPr>
        <w:footnoteReference w:id="146"/>
      </w:r>
      <w:r w:rsidRPr="00BE5A7B">
        <w:rPr>
          <w:rFonts w:cs="Arial"/>
          <w:bCs/>
          <w:lang w:eastAsia="zh-CN"/>
        </w:rPr>
        <w:t xml:space="preserve"> Swiss francs </w:t>
      </w:r>
      <w:r>
        <w:rPr>
          <w:rFonts w:cs="Arial"/>
          <w:bCs/>
          <w:lang w:eastAsia="zh-CN"/>
        </w:rPr>
        <w:t>at the end of</w:t>
      </w:r>
      <w:r w:rsidRPr="00BE5A7B">
        <w:rPr>
          <w:rFonts w:cs="Arial"/>
          <w:bCs/>
          <w:lang w:eastAsia="zh-CN"/>
        </w:rPr>
        <w:t xml:space="preserve"> 2013</w:t>
      </w:r>
      <w:r>
        <w:rPr>
          <w:rFonts w:cs="Arial"/>
          <w:bCs/>
          <w:lang w:eastAsia="zh-CN"/>
        </w:rPr>
        <w:t>.</w:t>
      </w:r>
    </w:p>
    <w:p w:rsidR="00E321A5" w:rsidRDefault="00E321A5" w:rsidP="007854A1">
      <w:pPr>
        <w:spacing w:after="200" w:line="276" w:lineRule="auto"/>
        <w:rPr>
          <w:rFonts w:cs="Arial"/>
          <w:szCs w:val="20"/>
        </w:rPr>
      </w:pPr>
    </w:p>
    <w:p w:rsidR="00E321A5" w:rsidRDefault="00E321A5">
      <w:pPr>
        <w:spacing w:after="200" w:line="276" w:lineRule="auto"/>
        <w:rPr>
          <w:rFonts w:cs="Arial"/>
          <w:szCs w:val="20"/>
        </w:rPr>
      </w:pPr>
    </w:p>
    <w:p w:rsidR="00E321A5" w:rsidRPr="00B8205F" w:rsidRDefault="00E321A5" w:rsidP="00E321A5">
      <w:pPr>
        <w:keepNext/>
        <w:keepLines/>
        <w:spacing w:after="200" w:line="276" w:lineRule="auto"/>
        <w:rPr>
          <w:rFonts w:cs="Arial"/>
          <w:szCs w:val="20"/>
        </w:rPr>
      </w:pPr>
      <w:r w:rsidRPr="00BE5A7B">
        <w:rPr>
          <w:rFonts w:cs="Arial"/>
          <w:szCs w:val="20"/>
        </w:rPr>
        <w:t>PERFORMANCE DATA</w:t>
      </w:r>
    </w:p>
    <w:tbl>
      <w:tblPr>
        <w:tblW w:w="4888"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127"/>
        <w:gridCol w:w="2126"/>
        <w:gridCol w:w="1559"/>
        <w:gridCol w:w="2553"/>
        <w:gridCol w:w="992"/>
      </w:tblGrid>
      <w:tr w:rsidR="00E321A5" w:rsidRPr="00C7008C" w:rsidTr="007854A1">
        <w:trPr>
          <w:cantSplit/>
        </w:trPr>
        <w:tc>
          <w:tcPr>
            <w:tcW w:w="5000" w:type="pct"/>
            <w:gridSpan w:val="5"/>
            <w:tcBorders>
              <w:top w:val="single" w:sz="4" w:space="0" w:color="auto"/>
              <w:bottom w:val="single" w:sz="4" w:space="0" w:color="auto"/>
            </w:tcBorders>
            <w:shd w:val="clear" w:color="auto" w:fill="C6D9F1" w:themeFill="text2" w:themeFillTint="33"/>
            <w:vAlign w:val="center"/>
          </w:tcPr>
          <w:p w:rsidR="00E321A5" w:rsidRPr="00C7008C" w:rsidRDefault="00E321A5" w:rsidP="00E321A5">
            <w:pPr>
              <w:keepNext/>
              <w:keepLines/>
              <w:tabs>
                <w:tab w:val="left" w:pos="1452"/>
              </w:tabs>
              <w:spacing w:before="120" w:after="120"/>
              <w:ind w:left="1452" w:hanging="1452"/>
              <w:rPr>
                <w:rFonts w:cs="Arial"/>
                <w:b/>
                <w:bCs/>
                <w:sz w:val="16"/>
                <w:szCs w:val="16"/>
              </w:rPr>
            </w:pPr>
            <w:r w:rsidRPr="00C7008C">
              <w:rPr>
                <w:rFonts w:cs="Arial"/>
                <w:b/>
                <w:bCs/>
                <w:sz w:val="16"/>
                <w:szCs w:val="16"/>
              </w:rPr>
              <w:t>Expected Result:</w:t>
            </w:r>
            <w:r w:rsidRPr="00C7008C">
              <w:rPr>
                <w:rFonts w:cs="Arial"/>
                <w:b/>
                <w:bCs/>
                <w:sz w:val="16"/>
                <w:szCs w:val="16"/>
              </w:rPr>
              <w:tab/>
            </w:r>
            <w:r w:rsidRPr="00A5586F">
              <w:rPr>
                <w:rFonts w:cs="Arial"/>
                <w:sz w:val="16"/>
                <w:szCs w:val="16"/>
              </w:rPr>
              <w:t>IX.1 Effective, efficient, quality and customer-oriented support services both to internal clients and to external stakeholders</w:t>
            </w:r>
          </w:p>
        </w:tc>
      </w:tr>
      <w:tr w:rsidR="00E321A5" w:rsidRPr="00C7008C" w:rsidTr="007854A1">
        <w:trPr>
          <w:cantSplit/>
        </w:trPr>
        <w:tc>
          <w:tcPr>
            <w:tcW w:w="1137" w:type="pct"/>
            <w:tcBorders>
              <w:top w:val="single" w:sz="4" w:space="0" w:color="auto"/>
              <w:bottom w:val="nil"/>
              <w:right w:val="nil"/>
            </w:tcBorders>
            <w:shd w:val="clear" w:color="auto" w:fill="auto"/>
            <w:vAlign w:val="center"/>
          </w:tcPr>
          <w:p w:rsidR="00E321A5" w:rsidRPr="00C7008C" w:rsidRDefault="00E321A5" w:rsidP="00E321A5">
            <w:pPr>
              <w:keepNext/>
              <w:keepLines/>
              <w:rPr>
                <w:rFonts w:cs="Arial"/>
                <w:sz w:val="16"/>
                <w:szCs w:val="16"/>
              </w:rPr>
            </w:pPr>
            <w:r w:rsidRPr="00C7008C">
              <w:rPr>
                <w:rFonts w:cs="Arial"/>
                <w:b/>
                <w:bCs/>
                <w:sz w:val="16"/>
                <w:szCs w:val="16"/>
              </w:rPr>
              <w:t>Performance Indicators</w:t>
            </w:r>
          </w:p>
        </w:tc>
        <w:tc>
          <w:tcPr>
            <w:tcW w:w="1136" w:type="pct"/>
            <w:tcBorders>
              <w:top w:val="single" w:sz="4" w:space="0" w:color="auto"/>
              <w:left w:val="nil"/>
              <w:bottom w:val="nil"/>
              <w:right w:val="nil"/>
            </w:tcBorders>
            <w:shd w:val="clear" w:color="auto" w:fill="auto"/>
            <w:vAlign w:val="center"/>
          </w:tcPr>
          <w:p w:rsidR="00E321A5" w:rsidRPr="00C7008C" w:rsidRDefault="00E321A5" w:rsidP="00E321A5">
            <w:pPr>
              <w:keepNext/>
              <w:keepLines/>
              <w:rPr>
                <w:rFonts w:cs="Arial"/>
                <w:b/>
                <w:bCs/>
                <w:sz w:val="16"/>
                <w:szCs w:val="16"/>
              </w:rPr>
            </w:pPr>
            <w:r w:rsidRPr="00C7008C">
              <w:rPr>
                <w:rFonts w:cs="Arial"/>
                <w:b/>
                <w:bCs/>
                <w:sz w:val="16"/>
                <w:szCs w:val="16"/>
              </w:rPr>
              <w:t>Baselines</w:t>
            </w:r>
          </w:p>
        </w:tc>
        <w:tc>
          <w:tcPr>
            <w:tcW w:w="833" w:type="pct"/>
            <w:tcBorders>
              <w:top w:val="single" w:sz="4" w:space="0" w:color="auto"/>
              <w:left w:val="nil"/>
              <w:bottom w:val="nil"/>
              <w:right w:val="nil"/>
            </w:tcBorders>
            <w:shd w:val="clear" w:color="auto" w:fill="auto"/>
            <w:tcMar>
              <w:top w:w="110" w:type="dxa"/>
            </w:tcMar>
            <w:vAlign w:val="center"/>
          </w:tcPr>
          <w:p w:rsidR="00E321A5" w:rsidRPr="00C7008C" w:rsidRDefault="00E321A5" w:rsidP="00E321A5">
            <w:pPr>
              <w:keepNext/>
              <w:keepLines/>
              <w:rPr>
                <w:rFonts w:cs="Arial"/>
                <w:b/>
                <w:sz w:val="16"/>
                <w:szCs w:val="16"/>
              </w:rPr>
            </w:pPr>
            <w:r w:rsidRPr="00C7008C">
              <w:rPr>
                <w:rFonts w:cs="Arial"/>
                <w:b/>
                <w:sz w:val="16"/>
                <w:szCs w:val="16"/>
              </w:rPr>
              <w:t>Target</w:t>
            </w:r>
            <w:r>
              <w:rPr>
                <w:rFonts w:cs="Arial"/>
                <w:b/>
                <w:sz w:val="16"/>
                <w:szCs w:val="16"/>
              </w:rPr>
              <w:t>s</w:t>
            </w:r>
          </w:p>
        </w:tc>
        <w:tc>
          <w:tcPr>
            <w:tcW w:w="1364" w:type="pct"/>
            <w:tcBorders>
              <w:top w:val="single" w:sz="4" w:space="0" w:color="auto"/>
              <w:left w:val="nil"/>
              <w:bottom w:val="nil"/>
              <w:right w:val="nil"/>
            </w:tcBorders>
            <w:shd w:val="clear" w:color="auto" w:fill="FFFFFF"/>
            <w:tcMar>
              <w:top w:w="110" w:type="dxa"/>
            </w:tcMar>
            <w:vAlign w:val="center"/>
          </w:tcPr>
          <w:p w:rsidR="00E321A5" w:rsidRPr="00C7008C" w:rsidRDefault="00E321A5" w:rsidP="00E321A5">
            <w:pPr>
              <w:keepNext/>
              <w:keepLines/>
              <w:rPr>
                <w:rFonts w:cs="Arial"/>
                <w:sz w:val="16"/>
                <w:szCs w:val="16"/>
              </w:rPr>
            </w:pPr>
            <w:r w:rsidRPr="00C7008C">
              <w:rPr>
                <w:rFonts w:cs="Arial"/>
                <w:b/>
                <w:bCs/>
                <w:sz w:val="16"/>
                <w:szCs w:val="16"/>
              </w:rPr>
              <w:t>Performance Data</w:t>
            </w:r>
          </w:p>
        </w:tc>
        <w:tc>
          <w:tcPr>
            <w:tcW w:w="530" w:type="pct"/>
            <w:tcBorders>
              <w:top w:val="single" w:sz="4" w:space="0" w:color="auto"/>
              <w:left w:val="nil"/>
              <w:bottom w:val="nil"/>
            </w:tcBorders>
            <w:shd w:val="clear" w:color="auto" w:fill="auto"/>
            <w:tcMar>
              <w:top w:w="110" w:type="dxa"/>
            </w:tcMar>
            <w:vAlign w:val="center"/>
          </w:tcPr>
          <w:p w:rsidR="00E321A5" w:rsidRPr="00C7008C" w:rsidRDefault="00E321A5" w:rsidP="00E321A5">
            <w:pPr>
              <w:keepNext/>
              <w:keepLines/>
              <w:jc w:val="center"/>
              <w:rPr>
                <w:rFonts w:cs="Arial"/>
                <w:b/>
                <w:bCs/>
                <w:sz w:val="16"/>
                <w:szCs w:val="16"/>
              </w:rPr>
            </w:pPr>
            <w:r w:rsidRPr="00C7008C">
              <w:rPr>
                <w:rFonts w:cs="Arial"/>
                <w:b/>
                <w:bCs/>
                <w:sz w:val="16"/>
                <w:szCs w:val="16"/>
              </w:rPr>
              <w:t>TLS</w:t>
            </w:r>
          </w:p>
        </w:tc>
      </w:tr>
      <w:tr w:rsidR="00E321A5" w:rsidRPr="00C7008C" w:rsidTr="007854A1">
        <w:trPr>
          <w:cantSplit/>
        </w:trPr>
        <w:tc>
          <w:tcPr>
            <w:tcW w:w="1137" w:type="pct"/>
            <w:tcBorders>
              <w:top w:val="nil"/>
            </w:tcBorders>
            <w:shd w:val="clear" w:color="auto" w:fill="auto"/>
          </w:tcPr>
          <w:p w:rsidR="00E321A5" w:rsidRPr="00C7008C" w:rsidRDefault="00E321A5" w:rsidP="00E321A5">
            <w:pPr>
              <w:keepNext/>
              <w:keepLines/>
              <w:ind w:leftChars="-1" w:left="1" w:hangingChars="2" w:hanging="3"/>
              <w:rPr>
                <w:rFonts w:cs="Arial"/>
                <w:sz w:val="16"/>
                <w:szCs w:val="16"/>
              </w:rPr>
            </w:pPr>
            <w:r w:rsidRPr="00991DB4">
              <w:rPr>
                <w:rFonts w:cs="Arial"/>
                <w:sz w:val="16"/>
                <w:szCs w:val="16"/>
              </w:rPr>
              <w:t>% of internal and external participants satisfied with WIPO Conference Services</w:t>
            </w:r>
          </w:p>
        </w:tc>
        <w:tc>
          <w:tcPr>
            <w:tcW w:w="1136" w:type="pct"/>
            <w:tcBorders>
              <w:top w:val="nil"/>
            </w:tcBorders>
            <w:shd w:val="clear" w:color="auto" w:fill="auto"/>
          </w:tcPr>
          <w:p w:rsidR="00E321A5" w:rsidRPr="00C7008C" w:rsidRDefault="00E321A5" w:rsidP="00E321A5">
            <w:pPr>
              <w:keepNext/>
              <w:keepLines/>
              <w:autoSpaceDE w:val="0"/>
              <w:autoSpaceDN w:val="0"/>
              <w:adjustRightInd w:val="0"/>
              <w:rPr>
                <w:rFonts w:eastAsia="Batang" w:cs="Arial"/>
                <w:color w:val="002060"/>
                <w:sz w:val="16"/>
                <w:szCs w:val="16"/>
                <w:lang w:eastAsia="ja-JP"/>
              </w:rPr>
            </w:pPr>
            <w:r w:rsidRPr="00C7008C">
              <w:rPr>
                <w:rFonts w:eastAsia="Batang" w:cs="Arial"/>
                <w:i/>
                <w:color w:val="002060"/>
                <w:sz w:val="16"/>
                <w:szCs w:val="16"/>
                <w:lang w:eastAsia="ja-JP"/>
              </w:rPr>
              <w:t>Updated Baseline end 201</w:t>
            </w:r>
            <w:r>
              <w:rPr>
                <w:rFonts w:eastAsia="Batang" w:cs="Arial"/>
                <w:i/>
                <w:color w:val="002060"/>
                <w:sz w:val="16"/>
                <w:szCs w:val="16"/>
                <w:lang w:eastAsia="ja-JP"/>
              </w:rPr>
              <w:t>3</w:t>
            </w:r>
            <w:r w:rsidRPr="00C7008C">
              <w:rPr>
                <w:rFonts w:eastAsia="Batang" w:cs="Arial"/>
                <w:i/>
                <w:color w:val="002060"/>
                <w:sz w:val="16"/>
                <w:szCs w:val="16"/>
                <w:lang w:eastAsia="ja-JP"/>
              </w:rPr>
              <w:t xml:space="preserve">: </w:t>
            </w:r>
            <w:r w:rsidRPr="00C7008C">
              <w:rPr>
                <w:rFonts w:eastAsia="Batang" w:cs="Arial"/>
                <w:i/>
                <w:sz w:val="16"/>
                <w:szCs w:val="16"/>
                <w:lang w:eastAsia="ja-JP"/>
              </w:rPr>
              <w:t xml:space="preserve"> </w:t>
            </w:r>
            <w:r w:rsidRPr="00E17788">
              <w:rPr>
                <w:rFonts w:eastAsia="Batang" w:cs="Arial"/>
                <w:sz w:val="16"/>
                <w:szCs w:val="16"/>
                <w:lang w:eastAsia="ja-JP"/>
              </w:rPr>
              <w:t>Results of a satisfaction survey, conducted in 2013 indicated that 98% of users considered the overall quality of WIPO’s conference services either excellent (64%) or good (34%).</w:t>
            </w:r>
          </w:p>
          <w:p w:rsidR="00E321A5" w:rsidRPr="00C7008C" w:rsidRDefault="00E321A5" w:rsidP="00E321A5">
            <w:pPr>
              <w:keepNext/>
              <w:keepLines/>
              <w:rPr>
                <w:rFonts w:cs="Arial"/>
                <w:i/>
                <w:sz w:val="8"/>
                <w:szCs w:val="8"/>
              </w:rPr>
            </w:pPr>
          </w:p>
          <w:p w:rsidR="00E321A5" w:rsidRPr="00C7008C" w:rsidRDefault="00E321A5" w:rsidP="00E321A5">
            <w:pPr>
              <w:keepNext/>
              <w:keepLines/>
              <w:rPr>
                <w:rFonts w:cs="Arial"/>
                <w:sz w:val="16"/>
                <w:szCs w:val="16"/>
              </w:rPr>
            </w:pPr>
            <w:r w:rsidRPr="00C7008C">
              <w:rPr>
                <w:rFonts w:cs="Arial"/>
                <w:i/>
                <w:sz w:val="16"/>
                <w:szCs w:val="16"/>
              </w:rPr>
              <w:t>Original Baseline P&amp;B 201</w:t>
            </w:r>
            <w:r>
              <w:rPr>
                <w:rFonts w:cs="Arial"/>
                <w:i/>
                <w:sz w:val="16"/>
                <w:szCs w:val="16"/>
              </w:rPr>
              <w:t>4</w:t>
            </w:r>
            <w:r w:rsidRPr="00C7008C">
              <w:rPr>
                <w:rFonts w:cs="Arial"/>
                <w:i/>
                <w:sz w:val="16"/>
                <w:szCs w:val="16"/>
              </w:rPr>
              <w:t>/1</w:t>
            </w:r>
            <w:r>
              <w:rPr>
                <w:rFonts w:cs="Arial"/>
                <w:i/>
                <w:sz w:val="16"/>
                <w:szCs w:val="16"/>
              </w:rPr>
              <w:t>5</w:t>
            </w:r>
            <w:r w:rsidRPr="00C7008C">
              <w:rPr>
                <w:rFonts w:cs="Arial"/>
                <w:i/>
                <w:sz w:val="16"/>
                <w:szCs w:val="16"/>
              </w:rPr>
              <w:t>:</w:t>
            </w:r>
            <w:r w:rsidRPr="00C7008C">
              <w:rPr>
                <w:rFonts w:cs="Arial"/>
                <w:sz w:val="16"/>
                <w:szCs w:val="16"/>
              </w:rPr>
              <w:br/>
            </w:r>
            <w:r w:rsidRPr="00991DB4">
              <w:rPr>
                <w:rFonts w:cs="Arial"/>
                <w:sz w:val="16"/>
                <w:szCs w:val="16"/>
              </w:rPr>
              <w:t>Rate at end 2013</w:t>
            </w:r>
          </w:p>
        </w:tc>
        <w:tc>
          <w:tcPr>
            <w:tcW w:w="833" w:type="pct"/>
            <w:tcBorders>
              <w:top w:val="nil"/>
            </w:tcBorders>
            <w:shd w:val="clear" w:color="auto" w:fill="auto"/>
            <w:tcMar>
              <w:top w:w="110" w:type="dxa"/>
            </w:tcMar>
          </w:tcPr>
          <w:p w:rsidR="00E321A5" w:rsidRPr="00C7008C" w:rsidRDefault="00E321A5" w:rsidP="00E321A5">
            <w:pPr>
              <w:keepNext/>
              <w:keepLines/>
              <w:rPr>
                <w:rFonts w:cs="Arial"/>
                <w:sz w:val="16"/>
                <w:szCs w:val="16"/>
              </w:rPr>
            </w:pPr>
            <w:r w:rsidRPr="00991DB4">
              <w:rPr>
                <w:rFonts w:cs="Arial"/>
                <w:sz w:val="16"/>
                <w:szCs w:val="16"/>
              </w:rPr>
              <w:t>10% increase in rate by 2015</w:t>
            </w:r>
          </w:p>
        </w:tc>
        <w:tc>
          <w:tcPr>
            <w:tcW w:w="1364" w:type="pct"/>
            <w:tcBorders>
              <w:top w:val="nil"/>
            </w:tcBorders>
            <w:shd w:val="clear" w:color="auto" w:fill="FFFFFF"/>
            <w:tcMar>
              <w:top w:w="110" w:type="dxa"/>
            </w:tcMar>
          </w:tcPr>
          <w:p w:rsidR="00E321A5" w:rsidRDefault="00E321A5" w:rsidP="00E321A5">
            <w:pPr>
              <w:keepNext/>
              <w:keepLines/>
              <w:rPr>
                <w:rFonts w:eastAsia="Batang" w:cs="Arial"/>
                <w:sz w:val="16"/>
                <w:szCs w:val="16"/>
                <w:lang w:eastAsia="ja-JP"/>
              </w:rPr>
            </w:pPr>
            <w:r w:rsidRPr="00E17788">
              <w:rPr>
                <w:rFonts w:eastAsia="Batang" w:cs="Arial"/>
                <w:sz w:val="16"/>
                <w:szCs w:val="16"/>
                <w:lang w:eastAsia="ja-JP"/>
              </w:rPr>
              <w:t xml:space="preserve">Results of a satisfaction survey, conducted in </w:t>
            </w:r>
            <w:r>
              <w:rPr>
                <w:rFonts w:eastAsia="Batang" w:cs="Arial"/>
                <w:sz w:val="16"/>
                <w:szCs w:val="16"/>
                <w:lang w:eastAsia="ja-JP"/>
              </w:rPr>
              <w:t xml:space="preserve">2014 and in </w:t>
            </w:r>
            <w:r w:rsidRPr="00E17788">
              <w:rPr>
                <w:rFonts w:eastAsia="Batang" w:cs="Arial"/>
                <w:sz w:val="16"/>
                <w:szCs w:val="16"/>
                <w:lang w:eastAsia="ja-JP"/>
              </w:rPr>
              <w:t>201</w:t>
            </w:r>
            <w:r>
              <w:rPr>
                <w:rFonts w:eastAsia="Batang" w:cs="Arial"/>
                <w:sz w:val="16"/>
                <w:szCs w:val="16"/>
                <w:lang w:eastAsia="ja-JP"/>
              </w:rPr>
              <w:t>5,</w:t>
            </w:r>
            <w:r w:rsidRPr="00E17788">
              <w:rPr>
                <w:rFonts w:eastAsia="Batang" w:cs="Arial"/>
                <w:sz w:val="16"/>
                <w:szCs w:val="16"/>
                <w:lang w:eastAsia="ja-JP"/>
              </w:rPr>
              <w:t xml:space="preserve"> indicated that </w:t>
            </w:r>
            <w:r>
              <w:rPr>
                <w:rFonts w:cs="Arial"/>
                <w:sz w:val="16"/>
                <w:szCs w:val="16"/>
              </w:rPr>
              <w:t xml:space="preserve">97% </w:t>
            </w:r>
            <w:r w:rsidRPr="00E17788">
              <w:rPr>
                <w:rFonts w:eastAsia="Batang" w:cs="Arial"/>
                <w:sz w:val="16"/>
                <w:szCs w:val="16"/>
                <w:lang w:eastAsia="ja-JP"/>
              </w:rPr>
              <w:t>of users considered the overall quality of WIPO’s conference services either</w:t>
            </w:r>
            <w:r>
              <w:rPr>
                <w:rFonts w:eastAsia="Batang" w:cs="Arial"/>
                <w:sz w:val="16"/>
                <w:szCs w:val="16"/>
                <w:lang w:eastAsia="ja-JP"/>
              </w:rPr>
              <w:t xml:space="preserve"> excellent or good in both years:</w:t>
            </w:r>
          </w:p>
          <w:p w:rsidR="00E321A5" w:rsidRPr="00883E76" w:rsidRDefault="00E321A5" w:rsidP="00E321A5">
            <w:pPr>
              <w:pStyle w:val="ListParagraph"/>
              <w:keepNext/>
              <w:keepLines/>
              <w:numPr>
                <w:ilvl w:val="0"/>
                <w:numId w:val="75"/>
              </w:numPr>
              <w:rPr>
                <w:rFonts w:eastAsia="Batang" w:cs="Arial"/>
                <w:sz w:val="16"/>
                <w:szCs w:val="16"/>
                <w:lang w:eastAsia="ja-JP"/>
              </w:rPr>
            </w:pPr>
            <w:r w:rsidRPr="00883E76">
              <w:rPr>
                <w:rFonts w:eastAsia="Batang" w:cs="Arial"/>
                <w:sz w:val="16"/>
                <w:szCs w:val="16"/>
                <w:lang w:eastAsia="ja-JP"/>
              </w:rPr>
              <w:t>2014:  excellent (48%) or good (49%);</w:t>
            </w:r>
          </w:p>
          <w:p w:rsidR="00E321A5" w:rsidRPr="00883E76" w:rsidRDefault="00E321A5" w:rsidP="00E321A5">
            <w:pPr>
              <w:pStyle w:val="ListParagraph"/>
              <w:keepNext/>
              <w:keepLines/>
              <w:numPr>
                <w:ilvl w:val="0"/>
                <w:numId w:val="75"/>
              </w:numPr>
              <w:rPr>
                <w:rFonts w:eastAsia="Batang" w:cs="Arial"/>
                <w:color w:val="002060"/>
                <w:sz w:val="16"/>
                <w:szCs w:val="16"/>
                <w:lang w:eastAsia="ja-JP"/>
              </w:rPr>
            </w:pPr>
            <w:r w:rsidRPr="00883E76">
              <w:rPr>
                <w:rFonts w:eastAsia="Batang" w:cs="Arial"/>
                <w:sz w:val="16"/>
                <w:szCs w:val="16"/>
                <w:lang w:eastAsia="ja-JP"/>
              </w:rPr>
              <w:t>2015:  excellent (60%) or good (37%).</w:t>
            </w:r>
          </w:p>
          <w:p w:rsidR="00E321A5" w:rsidRPr="00C7008C" w:rsidRDefault="00E321A5" w:rsidP="00E321A5">
            <w:pPr>
              <w:keepNext/>
              <w:keepLines/>
              <w:rPr>
                <w:rFonts w:cs="Arial"/>
                <w:sz w:val="16"/>
                <w:szCs w:val="16"/>
              </w:rPr>
            </w:pPr>
          </w:p>
        </w:tc>
        <w:tc>
          <w:tcPr>
            <w:tcW w:w="530" w:type="pct"/>
            <w:tcBorders>
              <w:top w:val="nil"/>
            </w:tcBorders>
            <w:shd w:val="clear" w:color="auto" w:fill="auto"/>
            <w:tcMar>
              <w:top w:w="110" w:type="dxa"/>
            </w:tcMar>
          </w:tcPr>
          <w:p w:rsidR="00E321A5" w:rsidRPr="00991DB4" w:rsidRDefault="00E321A5" w:rsidP="00E321A5">
            <w:pPr>
              <w:keepNext/>
              <w:keepLines/>
              <w:jc w:val="center"/>
              <w:rPr>
                <w:rFonts w:cs="Arial"/>
                <w:b/>
                <w:bCs/>
                <w:sz w:val="16"/>
                <w:szCs w:val="16"/>
              </w:rPr>
            </w:pPr>
            <w:r w:rsidRPr="008E2AE5">
              <w:rPr>
                <w:rFonts w:cs="Arial"/>
                <w:b/>
                <w:bCs/>
                <w:color w:val="00B050"/>
                <w:sz w:val="16"/>
                <w:szCs w:val="16"/>
              </w:rPr>
              <w:t>Fully Achieved</w:t>
            </w:r>
          </w:p>
        </w:tc>
      </w:tr>
      <w:tr w:rsidR="00E321A5" w:rsidRPr="00C7008C" w:rsidTr="007854A1">
        <w:trPr>
          <w:cantSplit/>
        </w:trPr>
        <w:tc>
          <w:tcPr>
            <w:tcW w:w="1137" w:type="pct"/>
            <w:shd w:val="clear" w:color="auto" w:fill="auto"/>
          </w:tcPr>
          <w:p w:rsidR="00E321A5" w:rsidRPr="00C7008C" w:rsidRDefault="00E321A5" w:rsidP="007854A1">
            <w:pPr>
              <w:rPr>
                <w:rFonts w:cs="Arial"/>
                <w:sz w:val="16"/>
                <w:szCs w:val="16"/>
              </w:rPr>
            </w:pPr>
            <w:r w:rsidRPr="00991DB4">
              <w:rPr>
                <w:rFonts w:cs="Arial"/>
                <w:sz w:val="16"/>
                <w:szCs w:val="16"/>
              </w:rPr>
              <w:t>Effective implementation of WIPO Language Policy</w:t>
            </w:r>
          </w:p>
        </w:tc>
        <w:tc>
          <w:tcPr>
            <w:tcW w:w="1136" w:type="pct"/>
            <w:shd w:val="clear" w:color="auto" w:fill="auto"/>
          </w:tcPr>
          <w:p w:rsidR="00E321A5" w:rsidRDefault="00E321A5" w:rsidP="007854A1">
            <w:pPr>
              <w:rPr>
                <w:rFonts w:cs="Arial"/>
                <w:i/>
                <w:sz w:val="8"/>
                <w:szCs w:val="8"/>
              </w:rPr>
            </w:pPr>
            <w:r w:rsidRPr="00C7008C">
              <w:rPr>
                <w:rFonts w:eastAsia="Batang" w:cs="Arial"/>
                <w:i/>
                <w:color w:val="002060"/>
                <w:sz w:val="16"/>
                <w:szCs w:val="16"/>
                <w:lang w:eastAsia="ja-JP"/>
              </w:rPr>
              <w:t>Updated Baseline end 201</w:t>
            </w:r>
            <w:r>
              <w:rPr>
                <w:rFonts w:eastAsia="Batang" w:cs="Arial"/>
                <w:i/>
                <w:color w:val="002060"/>
                <w:sz w:val="16"/>
                <w:szCs w:val="16"/>
                <w:lang w:eastAsia="ja-JP"/>
              </w:rPr>
              <w:t>3</w:t>
            </w:r>
            <w:r w:rsidRPr="00C7008C">
              <w:rPr>
                <w:rFonts w:eastAsia="Batang" w:cs="Arial"/>
                <w:i/>
                <w:color w:val="002060"/>
                <w:sz w:val="16"/>
                <w:szCs w:val="16"/>
                <w:lang w:eastAsia="ja-JP"/>
              </w:rPr>
              <w:t xml:space="preserve">: </w:t>
            </w:r>
            <w:r w:rsidRPr="00C7008C">
              <w:rPr>
                <w:rFonts w:eastAsia="Batang" w:cs="Arial"/>
                <w:i/>
                <w:sz w:val="16"/>
                <w:szCs w:val="16"/>
                <w:lang w:eastAsia="ja-JP"/>
              </w:rPr>
              <w:t xml:space="preserve"> </w:t>
            </w:r>
            <w:r w:rsidRPr="00FC467A">
              <w:rPr>
                <w:rFonts w:cs="Arial"/>
                <w:color w:val="002060"/>
                <w:sz w:val="16"/>
                <w:szCs w:val="16"/>
              </w:rPr>
              <w:t>The language policy was extended to all WIPO Standing Committees and Main Bodies.</w:t>
            </w:r>
          </w:p>
          <w:p w:rsidR="00E321A5" w:rsidRPr="00C7008C" w:rsidRDefault="00E321A5" w:rsidP="007854A1">
            <w:pPr>
              <w:rPr>
                <w:rFonts w:cs="Arial"/>
                <w:i/>
                <w:sz w:val="8"/>
                <w:szCs w:val="8"/>
              </w:rPr>
            </w:pPr>
          </w:p>
          <w:p w:rsidR="00E321A5" w:rsidRPr="00991DB4" w:rsidRDefault="00E321A5" w:rsidP="007854A1">
            <w:pPr>
              <w:rPr>
                <w:rFonts w:cs="Arial"/>
                <w:sz w:val="16"/>
                <w:szCs w:val="16"/>
              </w:rPr>
            </w:pPr>
            <w:r w:rsidRPr="00C7008C">
              <w:rPr>
                <w:rFonts w:cs="Arial"/>
                <w:i/>
                <w:sz w:val="16"/>
                <w:szCs w:val="16"/>
              </w:rPr>
              <w:t>Original Baseline P&amp;B 201</w:t>
            </w:r>
            <w:r>
              <w:rPr>
                <w:rFonts w:cs="Arial"/>
                <w:i/>
                <w:sz w:val="16"/>
                <w:szCs w:val="16"/>
              </w:rPr>
              <w:t>4</w:t>
            </w:r>
            <w:r w:rsidRPr="00C7008C">
              <w:rPr>
                <w:rFonts w:cs="Arial"/>
                <w:i/>
                <w:sz w:val="16"/>
                <w:szCs w:val="16"/>
              </w:rPr>
              <w:t>/1</w:t>
            </w:r>
            <w:r>
              <w:rPr>
                <w:rFonts w:cs="Arial"/>
                <w:i/>
                <w:sz w:val="16"/>
                <w:szCs w:val="16"/>
              </w:rPr>
              <w:t>5</w:t>
            </w:r>
            <w:r w:rsidRPr="00C7008C">
              <w:rPr>
                <w:rFonts w:cs="Arial"/>
                <w:i/>
                <w:sz w:val="16"/>
                <w:szCs w:val="16"/>
              </w:rPr>
              <w:t>:</w:t>
            </w:r>
            <w:r w:rsidRPr="00C7008C">
              <w:rPr>
                <w:rFonts w:cs="Arial"/>
                <w:sz w:val="16"/>
                <w:szCs w:val="16"/>
              </w:rPr>
              <w:br/>
            </w:r>
            <w:r w:rsidRPr="00991DB4">
              <w:rPr>
                <w:rFonts w:cs="Arial"/>
                <w:sz w:val="16"/>
                <w:szCs w:val="16"/>
              </w:rPr>
              <w:t>Language coverage limited to certain Committees/Main bodies;</w:t>
            </w:r>
          </w:p>
          <w:p w:rsidR="00E321A5" w:rsidRPr="00C7008C" w:rsidRDefault="00E321A5" w:rsidP="007854A1">
            <w:pPr>
              <w:rPr>
                <w:rFonts w:cs="Arial"/>
                <w:sz w:val="16"/>
                <w:szCs w:val="16"/>
              </w:rPr>
            </w:pPr>
            <w:r w:rsidRPr="00991DB4">
              <w:rPr>
                <w:rFonts w:cs="Arial"/>
                <w:sz w:val="16"/>
                <w:szCs w:val="16"/>
              </w:rPr>
              <w:t>Variable length of documents</w:t>
            </w:r>
          </w:p>
        </w:tc>
        <w:tc>
          <w:tcPr>
            <w:tcW w:w="833" w:type="pct"/>
            <w:shd w:val="clear" w:color="auto" w:fill="auto"/>
            <w:tcMar>
              <w:top w:w="110" w:type="dxa"/>
            </w:tcMar>
          </w:tcPr>
          <w:p w:rsidR="00E321A5" w:rsidRDefault="00E321A5" w:rsidP="007854A1">
            <w:pPr>
              <w:autoSpaceDE w:val="0"/>
              <w:autoSpaceDN w:val="0"/>
              <w:adjustRightInd w:val="0"/>
              <w:rPr>
                <w:rFonts w:cs="Arial"/>
                <w:sz w:val="16"/>
                <w:szCs w:val="16"/>
              </w:rPr>
            </w:pPr>
            <w:r w:rsidRPr="00991DB4">
              <w:rPr>
                <w:rFonts w:cs="Arial"/>
                <w:sz w:val="16"/>
                <w:szCs w:val="16"/>
              </w:rPr>
              <w:t>Quality translation to be made available for all Committees/Main Bodies;</w:t>
            </w:r>
          </w:p>
          <w:p w:rsidR="00E321A5" w:rsidRPr="00991DB4" w:rsidRDefault="00E321A5" w:rsidP="007854A1">
            <w:pPr>
              <w:autoSpaceDE w:val="0"/>
              <w:autoSpaceDN w:val="0"/>
              <w:adjustRightInd w:val="0"/>
              <w:rPr>
                <w:rFonts w:cs="Arial"/>
                <w:sz w:val="16"/>
                <w:szCs w:val="16"/>
              </w:rPr>
            </w:pPr>
          </w:p>
          <w:p w:rsidR="00E321A5" w:rsidRDefault="00E321A5" w:rsidP="007854A1">
            <w:pPr>
              <w:rPr>
                <w:rFonts w:cs="Arial"/>
                <w:sz w:val="16"/>
                <w:szCs w:val="16"/>
              </w:rPr>
            </w:pPr>
          </w:p>
          <w:p w:rsidR="00E321A5" w:rsidRDefault="00E321A5" w:rsidP="007854A1">
            <w:pPr>
              <w:rPr>
                <w:rFonts w:cs="Arial"/>
                <w:sz w:val="16"/>
                <w:szCs w:val="16"/>
              </w:rPr>
            </w:pPr>
          </w:p>
          <w:p w:rsidR="00E321A5" w:rsidRDefault="00E321A5" w:rsidP="007854A1">
            <w:pPr>
              <w:rPr>
                <w:rFonts w:cs="Arial"/>
                <w:sz w:val="16"/>
                <w:szCs w:val="16"/>
              </w:rPr>
            </w:pPr>
          </w:p>
          <w:p w:rsidR="00E321A5" w:rsidRDefault="00E321A5" w:rsidP="007854A1">
            <w:pPr>
              <w:rPr>
                <w:rFonts w:cs="Arial"/>
                <w:sz w:val="16"/>
                <w:szCs w:val="16"/>
              </w:rPr>
            </w:pPr>
          </w:p>
          <w:p w:rsidR="00E321A5" w:rsidRDefault="00E321A5" w:rsidP="007854A1">
            <w:pPr>
              <w:rPr>
                <w:rFonts w:cs="Arial"/>
                <w:sz w:val="16"/>
                <w:szCs w:val="16"/>
              </w:rPr>
            </w:pPr>
          </w:p>
          <w:p w:rsidR="00E321A5" w:rsidRDefault="00E321A5" w:rsidP="007854A1">
            <w:pPr>
              <w:rPr>
                <w:rFonts w:cs="Arial"/>
                <w:sz w:val="16"/>
                <w:szCs w:val="16"/>
              </w:rPr>
            </w:pPr>
          </w:p>
          <w:p w:rsidR="00E321A5" w:rsidRDefault="00E321A5" w:rsidP="007854A1">
            <w:pPr>
              <w:rPr>
                <w:rFonts w:cs="Arial"/>
                <w:sz w:val="16"/>
                <w:szCs w:val="16"/>
              </w:rPr>
            </w:pPr>
          </w:p>
          <w:p w:rsidR="00E321A5" w:rsidRDefault="00E321A5" w:rsidP="007854A1">
            <w:pPr>
              <w:rPr>
                <w:rFonts w:cs="Arial"/>
                <w:sz w:val="16"/>
                <w:szCs w:val="16"/>
              </w:rPr>
            </w:pPr>
          </w:p>
          <w:p w:rsidR="00E321A5" w:rsidRDefault="00E321A5" w:rsidP="007854A1">
            <w:pPr>
              <w:rPr>
                <w:rFonts w:cs="Arial"/>
                <w:sz w:val="16"/>
                <w:szCs w:val="16"/>
              </w:rPr>
            </w:pPr>
          </w:p>
          <w:p w:rsidR="00E321A5" w:rsidRDefault="00E321A5" w:rsidP="007854A1">
            <w:pPr>
              <w:rPr>
                <w:rFonts w:cs="Arial"/>
                <w:sz w:val="16"/>
                <w:szCs w:val="16"/>
              </w:rPr>
            </w:pPr>
          </w:p>
          <w:p w:rsidR="00E321A5" w:rsidRPr="00C7008C" w:rsidRDefault="00E321A5" w:rsidP="007854A1">
            <w:pPr>
              <w:rPr>
                <w:rFonts w:cs="Arial"/>
                <w:sz w:val="16"/>
                <w:szCs w:val="16"/>
              </w:rPr>
            </w:pPr>
            <w:r w:rsidRPr="00991DB4">
              <w:rPr>
                <w:rFonts w:cs="Arial"/>
                <w:sz w:val="16"/>
                <w:szCs w:val="16"/>
              </w:rPr>
              <w:t>Length of documents for Committees/</w:t>
            </w:r>
            <w:r>
              <w:rPr>
                <w:rFonts w:cs="Arial"/>
                <w:sz w:val="16"/>
                <w:szCs w:val="16"/>
              </w:rPr>
              <w:t xml:space="preserve"> </w:t>
            </w:r>
            <w:r w:rsidRPr="00991DB4">
              <w:rPr>
                <w:rFonts w:cs="Arial"/>
                <w:sz w:val="16"/>
                <w:szCs w:val="16"/>
              </w:rPr>
              <w:t>Main Bodies reduced to 3</w:t>
            </w:r>
            <w:r>
              <w:rPr>
                <w:rFonts w:cs="Arial"/>
                <w:sz w:val="16"/>
                <w:szCs w:val="16"/>
              </w:rPr>
              <w:t>,</w:t>
            </w:r>
            <w:r w:rsidRPr="00991DB4">
              <w:rPr>
                <w:rFonts w:cs="Arial"/>
                <w:sz w:val="16"/>
                <w:szCs w:val="16"/>
              </w:rPr>
              <w:t>300 words</w:t>
            </w:r>
          </w:p>
        </w:tc>
        <w:tc>
          <w:tcPr>
            <w:tcW w:w="1364" w:type="pct"/>
            <w:shd w:val="clear" w:color="auto" w:fill="FFFFFF"/>
            <w:tcMar>
              <w:top w:w="110" w:type="dxa"/>
            </w:tcMar>
          </w:tcPr>
          <w:p w:rsidR="00E321A5" w:rsidRDefault="00E321A5" w:rsidP="007854A1">
            <w:pPr>
              <w:rPr>
                <w:rFonts w:cs="Arial"/>
                <w:sz w:val="16"/>
                <w:szCs w:val="16"/>
              </w:rPr>
            </w:pPr>
            <w:r>
              <w:rPr>
                <w:rFonts w:cs="Arial"/>
                <w:sz w:val="16"/>
                <w:szCs w:val="16"/>
              </w:rPr>
              <w:t xml:space="preserve">In addition to all </w:t>
            </w:r>
            <w:r w:rsidRPr="00991DB4">
              <w:rPr>
                <w:rFonts w:cs="Arial"/>
                <w:sz w:val="16"/>
                <w:szCs w:val="16"/>
              </w:rPr>
              <w:t>Committees/</w:t>
            </w:r>
            <w:r>
              <w:rPr>
                <w:rFonts w:cs="Arial"/>
                <w:sz w:val="16"/>
                <w:szCs w:val="16"/>
              </w:rPr>
              <w:t xml:space="preserve"> </w:t>
            </w:r>
            <w:r w:rsidRPr="00991DB4">
              <w:rPr>
                <w:rFonts w:cs="Arial"/>
                <w:sz w:val="16"/>
                <w:szCs w:val="16"/>
              </w:rPr>
              <w:t>Main Bodies</w:t>
            </w:r>
            <w:r>
              <w:rPr>
                <w:rFonts w:cs="Arial"/>
                <w:sz w:val="16"/>
                <w:szCs w:val="16"/>
              </w:rPr>
              <w:t xml:space="preserve">, the six-language coverage was extended in 2014/15 to four Working Groups:  </w:t>
            </w:r>
            <w:r w:rsidRPr="00BE5A7B">
              <w:rPr>
                <w:rFonts w:cs="Arial"/>
                <w:sz w:val="16"/>
                <w:szCs w:val="16"/>
              </w:rPr>
              <w:t>(i) the PCT Working Group;  (ii)</w:t>
            </w:r>
            <w:r w:rsidR="008F399E">
              <w:rPr>
                <w:rFonts w:cs="Arial"/>
                <w:sz w:val="16"/>
                <w:szCs w:val="16"/>
              </w:rPr>
              <w:t> </w:t>
            </w:r>
            <w:r w:rsidRPr="00BE5A7B">
              <w:rPr>
                <w:rFonts w:cs="Arial"/>
                <w:sz w:val="16"/>
                <w:szCs w:val="16"/>
              </w:rPr>
              <w:t xml:space="preserve">the Working Group on the Legal Development of the Hague System for the International Registration of Industrial Designs;  (iii) the Working Group on the Legal Development of the Madrid System for the International Registration of Marks;  </w:t>
            </w:r>
            <w:r>
              <w:rPr>
                <w:rFonts w:cs="Arial"/>
                <w:sz w:val="16"/>
                <w:szCs w:val="16"/>
              </w:rPr>
              <w:t xml:space="preserve">and </w:t>
            </w:r>
            <w:r w:rsidRPr="00BE5A7B">
              <w:rPr>
                <w:rFonts w:cs="Arial"/>
                <w:sz w:val="16"/>
                <w:szCs w:val="16"/>
              </w:rPr>
              <w:t>(iv)</w:t>
            </w:r>
            <w:r w:rsidR="008F399E">
              <w:rPr>
                <w:rFonts w:cs="Arial"/>
                <w:sz w:val="16"/>
                <w:szCs w:val="16"/>
              </w:rPr>
              <w:t> </w:t>
            </w:r>
            <w:r w:rsidRPr="00BE5A7B">
              <w:rPr>
                <w:rFonts w:cs="Arial"/>
                <w:sz w:val="16"/>
                <w:szCs w:val="16"/>
              </w:rPr>
              <w:t>the IPC Revision Working Group.</w:t>
            </w:r>
          </w:p>
          <w:p w:rsidR="00E321A5" w:rsidRPr="00207AF8" w:rsidRDefault="00E321A5" w:rsidP="007854A1">
            <w:pPr>
              <w:rPr>
                <w:rFonts w:cs="Arial"/>
                <w:sz w:val="16"/>
                <w:szCs w:val="16"/>
              </w:rPr>
            </w:pPr>
          </w:p>
          <w:p w:rsidR="00E321A5" w:rsidRPr="00C7008C" w:rsidRDefault="00E321A5" w:rsidP="007854A1">
            <w:pPr>
              <w:rPr>
                <w:rFonts w:cs="Arial"/>
                <w:sz w:val="16"/>
                <w:szCs w:val="16"/>
              </w:rPr>
            </w:pPr>
            <w:r w:rsidRPr="00A42E04">
              <w:rPr>
                <w:rFonts w:cs="Arial"/>
                <w:sz w:val="16"/>
                <w:szCs w:val="16"/>
              </w:rPr>
              <w:t xml:space="preserve">Around 87% of the documents received for translation (3,489 out of a total of 4,030 documents) were kept under 3,300 words.  The rest which went beyond this word limit mainly concerned publications,  verbatim reports or other annual reports, documents containing compilation of practices in Member States, and those prepared in response to specific requests by Member States, which </w:t>
            </w:r>
            <w:r>
              <w:rPr>
                <w:rFonts w:cs="Arial"/>
                <w:sz w:val="16"/>
                <w:szCs w:val="16"/>
              </w:rPr>
              <w:t>are not</w:t>
            </w:r>
            <w:r w:rsidRPr="00A42E04">
              <w:rPr>
                <w:rFonts w:cs="Arial"/>
                <w:sz w:val="16"/>
                <w:szCs w:val="16"/>
              </w:rPr>
              <w:t xml:space="preserve"> subject to such limitation on document length</w:t>
            </w:r>
            <w:r>
              <w:rPr>
                <w:rFonts w:cs="Arial"/>
                <w:sz w:val="16"/>
                <w:szCs w:val="16"/>
              </w:rPr>
              <w:t>.</w:t>
            </w:r>
            <w:r w:rsidRPr="00A42E04">
              <w:rPr>
                <w:rFonts w:cs="Arial"/>
                <w:sz w:val="16"/>
                <w:szCs w:val="16"/>
              </w:rPr>
              <w:t>.</w:t>
            </w:r>
          </w:p>
        </w:tc>
        <w:tc>
          <w:tcPr>
            <w:tcW w:w="530" w:type="pct"/>
            <w:shd w:val="clear" w:color="auto" w:fill="auto"/>
            <w:tcMar>
              <w:top w:w="110" w:type="dxa"/>
            </w:tcMar>
          </w:tcPr>
          <w:p w:rsidR="00E321A5" w:rsidRDefault="00E321A5" w:rsidP="007854A1">
            <w:pPr>
              <w:jc w:val="center"/>
              <w:rPr>
                <w:rFonts w:cs="Arial"/>
                <w:b/>
                <w:bCs/>
                <w:color w:val="00B050"/>
                <w:sz w:val="16"/>
                <w:szCs w:val="16"/>
              </w:rPr>
            </w:pPr>
            <w:r>
              <w:rPr>
                <w:rFonts w:cs="Arial"/>
                <w:b/>
                <w:bCs/>
                <w:color w:val="00B050"/>
                <w:sz w:val="16"/>
                <w:szCs w:val="16"/>
              </w:rPr>
              <w:t>Fully Achieved</w:t>
            </w:r>
          </w:p>
          <w:p w:rsidR="00E321A5" w:rsidRDefault="00E321A5" w:rsidP="007854A1">
            <w:pPr>
              <w:jc w:val="center"/>
              <w:rPr>
                <w:rFonts w:cs="Arial"/>
                <w:b/>
                <w:bCs/>
                <w:color w:val="00B050"/>
                <w:sz w:val="16"/>
                <w:szCs w:val="16"/>
              </w:rPr>
            </w:pPr>
          </w:p>
          <w:p w:rsidR="00E321A5" w:rsidRDefault="00E321A5" w:rsidP="007854A1">
            <w:pPr>
              <w:jc w:val="center"/>
              <w:rPr>
                <w:rFonts w:cs="Arial"/>
                <w:b/>
                <w:bCs/>
                <w:color w:val="00B050"/>
                <w:sz w:val="16"/>
                <w:szCs w:val="16"/>
              </w:rPr>
            </w:pPr>
          </w:p>
          <w:p w:rsidR="00E321A5" w:rsidRDefault="00E321A5" w:rsidP="007854A1">
            <w:pPr>
              <w:jc w:val="center"/>
              <w:rPr>
                <w:rFonts w:cs="Arial"/>
                <w:b/>
                <w:bCs/>
                <w:color w:val="00B050"/>
                <w:sz w:val="16"/>
                <w:szCs w:val="16"/>
              </w:rPr>
            </w:pPr>
          </w:p>
          <w:p w:rsidR="00E321A5" w:rsidRDefault="00E321A5" w:rsidP="007854A1">
            <w:pPr>
              <w:jc w:val="center"/>
              <w:rPr>
                <w:rFonts w:cs="Arial"/>
                <w:b/>
                <w:bCs/>
                <w:color w:val="00B050"/>
                <w:sz w:val="16"/>
                <w:szCs w:val="16"/>
              </w:rPr>
            </w:pPr>
          </w:p>
          <w:p w:rsidR="00E321A5" w:rsidRDefault="00E321A5" w:rsidP="007854A1">
            <w:pPr>
              <w:jc w:val="center"/>
              <w:rPr>
                <w:rFonts w:cs="Arial"/>
                <w:b/>
                <w:bCs/>
                <w:color w:val="00B050"/>
                <w:sz w:val="16"/>
                <w:szCs w:val="16"/>
              </w:rPr>
            </w:pPr>
          </w:p>
          <w:p w:rsidR="00E321A5" w:rsidRDefault="00E321A5" w:rsidP="007854A1">
            <w:pPr>
              <w:jc w:val="center"/>
              <w:rPr>
                <w:rFonts w:cs="Arial"/>
                <w:b/>
                <w:bCs/>
                <w:color w:val="00B050"/>
                <w:sz w:val="16"/>
                <w:szCs w:val="16"/>
              </w:rPr>
            </w:pPr>
          </w:p>
          <w:p w:rsidR="00E321A5" w:rsidRDefault="00E321A5" w:rsidP="007854A1">
            <w:pPr>
              <w:jc w:val="center"/>
              <w:rPr>
                <w:rFonts w:cs="Arial"/>
                <w:b/>
                <w:bCs/>
                <w:color w:val="00B050"/>
                <w:sz w:val="16"/>
                <w:szCs w:val="16"/>
              </w:rPr>
            </w:pPr>
          </w:p>
          <w:p w:rsidR="00E321A5" w:rsidRDefault="00E321A5" w:rsidP="007854A1">
            <w:pPr>
              <w:jc w:val="center"/>
              <w:rPr>
                <w:rFonts w:cs="Arial"/>
                <w:b/>
                <w:bCs/>
                <w:color w:val="00B050"/>
                <w:sz w:val="16"/>
                <w:szCs w:val="16"/>
              </w:rPr>
            </w:pPr>
          </w:p>
          <w:p w:rsidR="00E321A5" w:rsidRDefault="00E321A5" w:rsidP="007854A1">
            <w:pPr>
              <w:jc w:val="center"/>
              <w:rPr>
                <w:rFonts w:cs="Arial"/>
                <w:b/>
                <w:bCs/>
                <w:color w:val="00B050"/>
                <w:sz w:val="16"/>
                <w:szCs w:val="16"/>
              </w:rPr>
            </w:pPr>
          </w:p>
          <w:p w:rsidR="00E321A5" w:rsidRDefault="00E321A5" w:rsidP="007854A1">
            <w:pPr>
              <w:jc w:val="center"/>
              <w:rPr>
                <w:rFonts w:cs="Arial"/>
                <w:b/>
                <w:bCs/>
                <w:color w:val="00B050"/>
                <w:sz w:val="16"/>
                <w:szCs w:val="16"/>
              </w:rPr>
            </w:pPr>
          </w:p>
          <w:p w:rsidR="00E321A5" w:rsidRDefault="00E321A5" w:rsidP="007854A1">
            <w:pPr>
              <w:jc w:val="center"/>
              <w:rPr>
                <w:rFonts w:cs="Arial"/>
                <w:b/>
                <w:bCs/>
                <w:color w:val="00B050"/>
                <w:sz w:val="16"/>
                <w:szCs w:val="16"/>
              </w:rPr>
            </w:pPr>
          </w:p>
          <w:p w:rsidR="00E321A5" w:rsidRDefault="00E321A5" w:rsidP="007854A1">
            <w:pPr>
              <w:jc w:val="center"/>
              <w:rPr>
                <w:rFonts w:cs="Arial"/>
                <w:b/>
                <w:bCs/>
                <w:color w:val="00B050"/>
                <w:sz w:val="16"/>
                <w:szCs w:val="16"/>
              </w:rPr>
            </w:pPr>
          </w:p>
          <w:p w:rsidR="00E321A5" w:rsidRDefault="00E321A5" w:rsidP="007854A1">
            <w:pPr>
              <w:jc w:val="center"/>
              <w:rPr>
                <w:rFonts w:cs="Arial"/>
                <w:b/>
                <w:bCs/>
                <w:color w:val="00B050"/>
                <w:sz w:val="16"/>
                <w:szCs w:val="16"/>
              </w:rPr>
            </w:pPr>
          </w:p>
          <w:p w:rsidR="00E321A5" w:rsidRDefault="00E321A5" w:rsidP="007854A1">
            <w:pPr>
              <w:jc w:val="center"/>
              <w:rPr>
                <w:rFonts w:cs="Arial"/>
                <w:b/>
                <w:bCs/>
                <w:color w:val="00B050"/>
                <w:sz w:val="16"/>
                <w:szCs w:val="16"/>
              </w:rPr>
            </w:pPr>
          </w:p>
          <w:p w:rsidR="00E321A5" w:rsidRDefault="00E321A5" w:rsidP="007854A1">
            <w:pPr>
              <w:jc w:val="center"/>
              <w:rPr>
                <w:rFonts w:cs="Arial"/>
                <w:b/>
                <w:bCs/>
                <w:color w:val="00B050"/>
                <w:sz w:val="16"/>
                <w:szCs w:val="16"/>
              </w:rPr>
            </w:pPr>
          </w:p>
          <w:p w:rsidR="00E321A5" w:rsidRPr="00C7008C" w:rsidRDefault="00E321A5" w:rsidP="007854A1">
            <w:pPr>
              <w:jc w:val="center"/>
              <w:rPr>
                <w:rFonts w:cs="Arial"/>
                <w:bCs/>
                <w:color w:val="808080"/>
                <w:sz w:val="16"/>
                <w:szCs w:val="16"/>
              </w:rPr>
            </w:pPr>
            <w:r>
              <w:rPr>
                <w:rFonts w:cs="Arial"/>
                <w:b/>
                <w:bCs/>
                <w:color w:val="00B050"/>
                <w:sz w:val="16"/>
                <w:szCs w:val="16"/>
              </w:rPr>
              <w:t>Fully Achieved</w:t>
            </w:r>
          </w:p>
        </w:tc>
      </w:tr>
      <w:tr w:rsidR="00E321A5" w:rsidRPr="00C7008C" w:rsidTr="007854A1">
        <w:trPr>
          <w:cantSplit/>
        </w:trPr>
        <w:tc>
          <w:tcPr>
            <w:tcW w:w="1137" w:type="pct"/>
            <w:shd w:val="clear" w:color="auto" w:fill="auto"/>
          </w:tcPr>
          <w:p w:rsidR="00E321A5" w:rsidRPr="00C7008C" w:rsidRDefault="00E321A5" w:rsidP="007854A1">
            <w:pPr>
              <w:rPr>
                <w:rFonts w:cs="Arial"/>
                <w:sz w:val="16"/>
                <w:szCs w:val="16"/>
              </w:rPr>
            </w:pPr>
            <w:r w:rsidRPr="00991DB4">
              <w:rPr>
                <w:rFonts w:cs="Arial"/>
                <w:spacing w:val="-4"/>
                <w:sz w:val="16"/>
                <w:szCs w:val="16"/>
              </w:rPr>
              <w:t>Cost per word of translation</w:t>
            </w:r>
          </w:p>
        </w:tc>
        <w:tc>
          <w:tcPr>
            <w:tcW w:w="1136" w:type="pct"/>
            <w:shd w:val="clear" w:color="auto" w:fill="auto"/>
          </w:tcPr>
          <w:p w:rsidR="00E321A5" w:rsidRPr="00C7008C" w:rsidRDefault="00E321A5" w:rsidP="007854A1">
            <w:pPr>
              <w:autoSpaceDE w:val="0"/>
              <w:autoSpaceDN w:val="0"/>
              <w:adjustRightInd w:val="0"/>
              <w:rPr>
                <w:rFonts w:eastAsia="Batang" w:cs="Arial"/>
                <w:color w:val="002060"/>
                <w:sz w:val="16"/>
                <w:szCs w:val="16"/>
                <w:lang w:eastAsia="ja-JP"/>
              </w:rPr>
            </w:pPr>
            <w:r w:rsidRPr="00C7008C">
              <w:rPr>
                <w:rFonts w:eastAsia="Batang" w:cs="Arial"/>
                <w:i/>
                <w:color w:val="002060"/>
                <w:sz w:val="16"/>
                <w:szCs w:val="16"/>
                <w:lang w:eastAsia="ja-JP"/>
              </w:rPr>
              <w:t>Updated Baseline end 201</w:t>
            </w:r>
            <w:r>
              <w:rPr>
                <w:rFonts w:eastAsia="Batang" w:cs="Arial"/>
                <w:i/>
                <w:color w:val="002060"/>
                <w:sz w:val="16"/>
                <w:szCs w:val="16"/>
                <w:lang w:eastAsia="ja-JP"/>
              </w:rPr>
              <w:t>3</w:t>
            </w:r>
            <w:r w:rsidRPr="00C7008C">
              <w:rPr>
                <w:rFonts w:eastAsia="Batang" w:cs="Arial"/>
                <w:i/>
                <w:color w:val="002060"/>
                <w:sz w:val="16"/>
                <w:szCs w:val="16"/>
                <w:lang w:eastAsia="ja-JP"/>
              </w:rPr>
              <w:t xml:space="preserve">: </w:t>
            </w:r>
            <w:r w:rsidRPr="00C7008C">
              <w:rPr>
                <w:rFonts w:eastAsia="Batang" w:cs="Arial"/>
                <w:i/>
                <w:sz w:val="16"/>
                <w:szCs w:val="16"/>
                <w:lang w:eastAsia="ja-JP"/>
              </w:rPr>
              <w:t xml:space="preserve"> </w:t>
            </w:r>
            <w:r w:rsidRPr="00991DB4">
              <w:rPr>
                <w:rFonts w:cs="Arial"/>
                <w:color w:val="002060"/>
                <w:sz w:val="16"/>
                <w:szCs w:val="16"/>
              </w:rPr>
              <w:t xml:space="preserve">0.63 </w:t>
            </w:r>
            <w:r>
              <w:rPr>
                <w:rFonts w:cs="Arial"/>
                <w:color w:val="002060"/>
                <w:sz w:val="16"/>
                <w:szCs w:val="16"/>
              </w:rPr>
              <w:t xml:space="preserve">Swiss francs </w:t>
            </w:r>
            <w:r w:rsidRPr="00991DB4">
              <w:rPr>
                <w:rFonts w:cs="Arial"/>
                <w:color w:val="002060"/>
                <w:sz w:val="16"/>
                <w:szCs w:val="16"/>
              </w:rPr>
              <w:t>per word</w:t>
            </w:r>
            <w:r>
              <w:rPr>
                <w:rFonts w:cs="Arial"/>
                <w:color w:val="002060"/>
                <w:sz w:val="16"/>
                <w:szCs w:val="16"/>
              </w:rPr>
              <w:t xml:space="preserve"> on average</w:t>
            </w:r>
          </w:p>
          <w:p w:rsidR="00E321A5" w:rsidRPr="00C7008C" w:rsidRDefault="00E321A5" w:rsidP="007854A1">
            <w:pPr>
              <w:keepNext/>
              <w:rPr>
                <w:rFonts w:cs="Arial"/>
                <w:i/>
                <w:sz w:val="8"/>
                <w:szCs w:val="8"/>
              </w:rPr>
            </w:pPr>
          </w:p>
          <w:p w:rsidR="00E321A5" w:rsidRPr="00C7008C" w:rsidRDefault="00E321A5" w:rsidP="007854A1">
            <w:pPr>
              <w:rPr>
                <w:rFonts w:cs="Arial"/>
                <w:sz w:val="16"/>
                <w:szCs w:val="16"/>
              </w:rPr>
            </w:pPr>
            <w:r w:rsidRPr="00C7008C">
              <w:rPr>
                <w:rFonts w:cs="Arial"/>
                <w:i/>
                <w:sz w:val="16"/>
                <w:szCs w:val="16"/>
              </w:rPr>
              <w:t>Original Baseline P&amp;B 201</w:t>
            </w:r>
            <w:r>
              <w:rPr>
                <w:rFonts w:cs="Arial"/>
                <w:i/>
                <w:sz w:val="16"/>
                <w:szCs w:val="16"/>
              </w:rPr>
              <w:t>4</w:t>
            </w:r>
            <w:r w:rsidRPr="00C7008C">
              <w:rPr>
                <w:rFonts w:cs="Arial"/>
                <w:i/>
                <w:sz w:val="16"/>
                <w:szCs w:val="16"/>
              </w:rPr>
              <w:t>/1</w:t>
            </w:r>
            <w:r>
              <w:rPr>
                <w:rFonts w:cs="Arial"/>
                <w:i/>
                <w:sz w:val="16"/>
                <w:szCs w:val="16"/>
              </w:rPr>
              <w:t>5</w:t>
            </w:r>
            <w:r w:rsidRPr="00C7008C">
              <w:rPr>
                <w:rFonts w:cs="Arial"/>
                <w:i/>
                <w:sz w:val="16"/>
                <w:szCs w:val="16"/>
              </w:rPr>
              <w:t>:</w:t>
            </w:r>
            <w:r w:rsidRPr="00C7008C">
              <w:rPr>
                <w:rFonts w:cs="Arial"/>
                <w:sz w:val="16"/>
                <w:szCs w:val="16"/>
              </w:rPr>
              <w:br/>
            </w:r>
            <w:r>
              <w:rPr>
                <w:rFonts w:cs="Arial"/>
                <w:sz w:val="16"/>
                <w:szCs w:val="16"/>
              </w:rPr>
              <w:t>tbd</w:t>
            </w:r>
          </w:p>
          <w:p w:rsidR="00E321A5" w:rsidRPr="00C7008C" w:rsidRDefault="00E321A5" w:rsidP="007854A1">
            <w:pPr>
              <w:rPr>
                <w:rFonts w:cs="Arial"/>
                <w:sz w:val="16"/>
                <w:szCs w:val="16"/>
              </w:rPr>
            </w:pPr>
          </w:p>
        </w:tc>
        <w:tc>
          <w:tcPr>
            <w:tcW w:w="833" w:type="pct"/>
            <w:shd w:val="clear" w:color="auto" w:fill="auto"/>
            <w:tcMar>
              <w:top w:w="110" w:type="dxa"/>
            </w:tcMar>
          </w:tcPr>
          <w:p w:rsidR="00E321A5" w:rsidRPr="00991DB4" w:rsidRDefault="00E321A5" w:rsidP="007854A1">
            <w:pPr>
              <w:rPr>
                <w:rFonts w:eastAsia="Batang" w:cs="Arial"/>
                <w:i/>
                <w:color w:val="002060"/>
                <w:sz w:val="16"/>
                <w:szCs w:val="16"/>
                <w:lang w:eastAsia="ja-JP"/>
              </w:rPr>
            </w:pPr>
            <w:r>
              <w:rPr>
                <w:rFonts w:eastAsia="Batang" w:cs="Arial"/>
                <w:i/>
                <w:color w:val="002060"/>
                <w:sz w:val="16"/>
                <w:szCs w:val="16"/>
                <w:lang w:eastAsia="ja-JP"/>
              </w:rPr>
              <w:t>Defined</w:t>
            </w:r>
            <w:r w:rsidRPr="00991DB4">
              <w:rPr>
                <w:rFonts w:eastAsia="Batang" w:cs="Arial"/>
                <w:i/>
                <w:color w:val="002060"/>
                <w:sz w:val="16"/>
                <w:szCs w:val="16"/>
                <w:lang w:eastAsia="ja-JP"/>
              </w:rPr>
              <w:t xml:space="preserve"> target:</w:t>
            </w:r>
          </w:p>
          <w:p w:rsidR="00E321A5" w:rsidRDefault="00E321A5" w:rsidP="007854A1">
            <w:pPr>
              <w:rPr>
                <w:rFonts w:eastAsia="Batang" w:cs="Arial"/>
                <w:color w:val="002060"/>
                <w:sz w:val="16"/>
                <w:szCs w:val="16"/>
                <w:lang w:eastAsia="ja-JP"/>
              </w:rPr>
            </w:pPr>
            <w:r w:rsidRPr="00991DB4">
              <w:rPr>
                <w:rFonts w:eastAsia="Batang" w:cs="Arial"/>
                <w:color w:val="002060"/>
                <w:sz w:val="16"/>
                <w:szCs w:val="16"/>
                <w:lang w:eastAsia="ja-JP"/>
              </w:rPr>
              <w:t>Maintain the average rate of translation</w:t>
            </w:r>
          </w:p>
          <w:p w:rsidR="00E321A5" w:rsidRDefault="00E321A5" w:rsidP="007854A1">
            <w:pPr>
              <w:rPr>
                <w:rFonts w:eastAsia="Batang" w:cs="Arial"/>
                <w:color w:val="002060"/>
                <w:sz w:val="16"/>
                <w:szCs w:val="16"/>
                <w:lang w:eastAsia="ja-JP"/>
              </w:rPr>
            </w:pPr>
          </w:p>
          <w:p w:rsidR="00E321A5" w:rsidRPr="00AD21F2" w:rsidRDefault="00E321A5" w:rsidP="007854A1">
            <w:pPr>
              <w:rPr>
                <w:rFonts w:eastAsia="Batang" w:cs="Arial"/>
                <w:sz w:val="16"/>
                <w:szCs w:val="16"/>
                <w:lang w:eastAsia="ja-JP"/>
              </w:rPr>
            </w:pPr>
            <w:r w:rsidRPr="00AD21F2">
              <w:rPr>
                <w:rFonts w:eastAsia="Batang" w:cs="Arial"/>
                <w:i/>
                <w:sz w:val="16"/>
                <w:szCs w:val="16"/>
                <w:lang w:eastAsia="ja-JP"/>
              </w:rPr>
              <w:t>Original target</w:t>
            </w:r>
            <w:r w:rsidRPr="00AD21F2">
              <w:rPr>
                <w:rFonts w:eastAsia="Batang" w:cs="Arial"/>
                <w:sz w:val="16"/>
                <w:szCs w:val="16"/>
                <w:lang w:eastAsia="ja-JP"/>
              </w:rPr>
              <w:t xml:space="preserve"> </w:t>
            </w:r>
            <w:r w:rsidRPr="00AD21F2">
              <w:rPr>
                <w:rFonts w:eastAsia="Batang" w:cs="Arial"/>
                <w:i/>
                <w:sz w:val="16"/>
                <w:szCs w:val="16"/>
                <w:lang w:eastAsia="ja-JP"/>
              </w:rPr>
              <w:t>P&amp;B 2014/15:</w:t>
            </w:r>
            <w:r w:rsidRPr="00AD21F2">
              <w:rPr>
                <w:rFonts w:eastAsia="Batang" w:cs="Arial"/>
                <w:sz w:val="16"/>
                <w:szCs w:val="16"/>
                <w:lang w:eastAsia="ja-JP"/>
              </w:rPr>
              <w:t xml:space="preserve"> tbd</w:t>
            </w:r>
          </w:p>
          <w:p w:rsidR="00E321A5" w:rsidRPr="00991DB4" w:rsidRDefault="00E321A5" w:rsidP="007854A1">
            <w:pPr>
              <w:rPr>
                <w:rFonts w:cs="Arial"/>
                <w:sz w:val="16"/>
                <w:szCs w:val="16"/>
              </w:rPr>
            </w:pPr>
          </w:p>
        </w:tc>
        <w:tc>
          <w:tcPr>
            <w:tcW w:w="1364" w:type="pct"/>
            <w:shd w:val="clear" w:color="auto" w:fill="FFFFFF"/>
            <w:tcMar>
              <w:top w:w="110" w:type="dxa"/>
            </w:tcMar>
          </w:tcPr>
          <w:p w:rsidR="00E321A5" w:rsidRDefault="00E321A5" w:rsidP="007854A1">
            <w:pPr>
              <w:rPr>
                <w:rFonts w:cs="Arial"/>
                <w:sz w:val="16"/>
                <w:szCs w:val="16"/>
              </w:rPr>
            </w:pPr>
            <w:r>
              <w:rPr>
                <w:rFonts w:cs="Arial"/>
                <w:sz w:val="16"/>
                <w:szCs w:val="16"/>
              </w:rPr>
              <w:t>The translation cost per word was:</w:t>
            </w:r>
          </w:p>
          <w:p w:rsidR="00E321A5" w:rsidRDefault="00E321A5" w:rsidP="007854A1">
            <w:pPr>
              <w:rPr>
                <w:rFonts w:cs="Arial"/>
                <w:sz w:val="16"/>
                <w:szCs w:val="16"/>
              </w:rPr>
            </w:pPr>
            <w:r>
              <w:rPr>
                <w:rFonts w:cs="Arial"/>
                <w:sz w:val="16"/>
                <w:szCs w:val="16"/>
              </w:rPr>
              <w:t xml:space="preserve">- </w:t>
            </w:r>
            <w:r w:rsidRPr="005730A7">
              <w:rPr>
                <w:rFonts w:cs="Arial"/>
                <w:sz w:val="16"/>
                <w:szCs w:val="16"/>
              </w:rPr>
              <w:t>0.59 Swiss francs in 2014</w:t>
            </w:r>
            <w:r>
              <w:rPr>
                <w:rFonts w:cs="Arial"/>
                <w:sz w:val="16"/>
                <w:szCs w:val="16"/>
              </w:rPr>
              <w:t xml:space="preserve"> (6.3% decrease as compared to 2013)</w:t>
            </w:r>
          </w:p>
          <w:p w:rsidR="00E321A5" w:rsidRDefault="00E321A5" w:rsidP="007854A1">
            <w:pPr>
              <w:rPr>
                <w:rFonts w:cs="Arial"/>
                <w:sz w:val="16"/>
                <w:szCs w:val="16"/>
              </w:rPr>
            </w:pPr>
            <w:r w:rsidRPr="005D30E9">
              <w:rPr>
                <w:rFonts w:cs="Arial"/>
                <w:sz w:val="16"/>
                <w:szCs w:val="16"/>
              </w:rPr>
              <w:t>-</w:t>
            </w:r>
            <w:r>
              <w:rPr>
                <w:rFonts w:cs="Arial"/>
                <w:sz w:val="16"/>
                <w:szCs w:val="16"/>
              </w:rPr>
              <w:t xml:space="preserve"> </w:t>
            </w:r>
            <w:r w:rsidRPr="00F91053">
              <w:rPr>
                <w:rFonts w:cs="Arial"/>
                <w:sz w:val="16"/>
                <w:szCs w:val="16"/>
              </w:rPr>
              <w:t>0.57 Swiss francs in 2015</w:t>
            </w:r>
            <w:r>
              <w:rPr>
                <w:rFonts w:cs="Arial"/>
                <w:sz w:val="16"/>
                <w:szCs w:val="16"/>
              </w:rPr>
              <w:t xml:space="preserve"> (3.4% decrease as compared to 2014)</w:t>
            </w:r>
            <w:r w:rsidRPr="00F91053">
              <w:rPr>
                <w:rFonts w:cs="Arial"/>
                <w:sz w:val="16"/>
                <w:szCs w:val="16"/>
              </w:rPr>
              <w:t xml:space="preserve"> </w:t>
            </w:r>
          </w:p>
          <w:p w:rsidR="00E321A5" w:rsidRDefault="00E321A5" w:rsidP="007854A1">
            <w:pPr>
              <w:rPr>
                <w:rFonts w:cs="Arial"/>
                <w:sz w:val="16"/>
                <w:szCs w:val="16"/>
              </w:rPr>
            </w:pPr>
          </w:p>
          <w:p w:rsidR="00E321A5" w:rsidRDefault="00E321A5" w:rsidP="007854A1">
            <w:pPr>
              <w:rPr>
                <w:rFonts w:cs="Arial"/>
                <w:sz w:val="16"/>
                <w:szCs w:val="16"/>
              </w:rPr>
            </w:pPr>
            <w:r>
              <w:rPr>
                <w:rFonts w:cs="Arial"/>
                <w:sz w:val="16"/>
                <w:szCs w:val="16"/>
              </w:rPr>
              <w:t>A total of 15.03 million words (45,537 UN standard pages) were translated in 2014, and 15.32 million words (46,420 pages) in 2015.</w:t>
            </w:r>
          </w:p>
          <w:p w:rsidR="00E321A5" w:rsidRPr="00F91053" w:rsidRDefault="00E321A5" w:rsidP="007854A1">
            <w:pPr>
              <w:rPr>
                <w:rFonts w:cs="Arial"/>
                <w:sz w:val="16"/>
                <w:szCs w:val="16"/>
              </w:rPr>
            </w:pPr>
          </w:p>
        </w:tc>
        <w:tc>
          <w:tcPr>
            <w:tcW w:w="530" w:type="pct"/>
            <w:shd w:val="clear" w:color="auto" w:fill="auto"/>
            <w:tcMar>
              <w:top w:w="110" w:type="dxa"/>
            </w:tcMar>
          </w:tcPr>
          <w:p w:rsidR="00E321A5" w:rsidRPr="00C7008C" w:rsidRDefault="00E321A5" w:rsidP="007854A1">
            <w:pPr>
              <w:keepNext/>
              <w:keepLines/>
              <w:jc w:val="center"/>
              <w:rPr>
                <w:rFonts w:cs="Arial"/>
                <w:bCs/>
                <w:color w:val="808080"/>
                <w:sz w:val="16"/>
                <w:szCs w:val="16"/>
              </w:rPr>
            </w:pPr>
            <w:r>
              <w:rPr>
                <w:rFonts w:cs="Arial"/>
                <w:b/>
                <w:bCs/>
                <w:color w:val="00B050"/>
                <w:sz w:val="16"/>
                <w:szCs w:val="16"/>
              </w:rPr>
              <w:t>Fully Achieved</w:t>
            </w:r>
          </w:p>
        </w:tc>
      </w:tr>
      <w:tr w:rsidR="00E321A5" w:rsidRPr="00C7008C" w:rsidTr="007854A1">
        <w:trPr>
          <w:cantSplit/>
        </w:trPr>
        <w:tc>
          <w:tcPr>
            <w:tcW w:w="1137" w:type="pct"/>
            <w:shd w:val="clear" w:color="auto" w:fill="auto"/>
          </w:tcPr>
          <w:p w:rsidR="00E321A5" w:rsidRPr="00C7008C" w:rsidRDefault="00E321A5" w:rsidP="007854A1">
            <w:pPr>
              <w:rPr>
                <w:rFonts w:cs="Arial"/>
                <w:sz w:val="16"/>
                <w:szCs w:val="16"/>
              </w:rPr>
            </w:pPr>
            <w:r w:rsidRPr="00991DB4">
              <w:rPr>
                <w:rFonts w:cs="Arial"/>
                <w:sz w:val="16"/>
                <w:szCs w:val="16"/>
              </w:rPr>
              <w:t>Quality of translation</w:t>
            </w:r>
          </w:p>
        </w:tc>
        <w:tc>
          <w:tcPr>
            <w:tcW w:w="1136" w:type="pct"/>
            <w:shd w:val="clear" w:color="auto" w:fill="auto"/>
          </w:tcPr>
          <w:p w:rsidR="00E321A5" w:rsidRPr="00991DB4" w:rsidRDefault="00E321A5" w:rsidP="007854A1">
            <w:pPr>
              <w:autoSpaceDE w:val="0"/>
              <w:autoSpaceDN w:val="0"/>
              <w:adjustRightInd w:val="0"/>
              <w:rPr>
                <w:rFonts w:eastAsia="Batang" w:cs="Arial"/>
                <w:color w:val="002060"/>
                <w:sz w:val="16"/>
                <w:szCs w:val="16"/>
                <w:lang w:eastAsia="ja-JP"/>
              </w:rPr>
            </w:pPr>
            <w:r w:rsidRPr="00C7008C">
              <w:rPr>
                <w:rFonts w:eastAsia="Batang" w:cs="Arial"/>
                <w:i/>
                <w:color w:val="002060"/>
                <w:sz w:val="16"/>
                <w:szCs w:val="16"/>
                <w:lang w:eastAsia="ja-JP"/>
              </w:rPr>
              <w:t>Updated Baseline end 201</w:t>
            </w:r>
            <w:r>
              <w:rPr>
                <w:rFonts w:eastAsia="Batang" w:cs="Arial"/>
                <w:i/>
                <w:color w:val="002060"/>
                <w:sz w:val="16"/>
                <w:szCs w:val="16"/>
                <w:lang w:eastAsia="ja-JP"/>
              </w:rPr>
              <w:t>3</w:t>
            </w:r>
            <w:r w:rsidRPr="00C7008C">
              <w:rPr>
                <w:rFonts w:eastAsia="Batang" w:cs="Arial"/>
                <w:i/>
                <w:color w:val="002060"/>
                <w:sz w:val="16"/>
                <w:szCs w:val="16"/>
                <w:lang w:eastAsia="ja-JP"/>
              </w:rPr>
              <w:t xml:space="preserve">: </w:t>
            </w:r>
            <w:r w:rsidRPr="00991DB4">
              <w:rPr>
                <w:rFonts w:eastAsia="Batang" w:cs="Arial"/>
                <w:color w:val="002060"/>
                <w:sz w:val="16"/>
                <w:szCs w:val="16"/>
                <w:lang w:eastAsia="ja-JP"/>
              </w:rPr>
              <w:t>96% of documents which respect quality criteria</w:t>
            </w:r>
            <w:r w:rsidRPr="00991DB4">
              <w:rPr>
                <w:rFonts w:eastAsia="Batang" w:cs="Arial"/>
                <w:sz w:val="16"/>
                <w:szCs w:val="16"/>
                <w:lang w:eastAsia="ja-JP"/>
              </w:rPr>
              <w:t xml:space="preserve"> </w:t>
            </w:r>
          </w:p>
          <w:p w:rsidR="00E321A5" w:rsidRPr="00C7008C" w:rsidRDefault="00E321A5" w:rsidP="007854A1">
            <w:pPr>
              <w:keepNext/>
              <w:rPr>
                <w:rFonts w:cs="Arial"/>
                <w:i/>
                <w:sz w:val="8"/>
                <w:szCs w:val="8"/>
              </w:rPr>
            </w:pPr>
          </w:p>
          <w:p w:rsidR="00E321A5" w:rsidRPr="00991DB4" w:rsidRDefault="00E321A5" w:rsidP="007854A1">
            <w:pPr>
              <w:rPr>
                <w:rFonts w:cs="Arial"/>
                <w:sz w:val="16"/>
                <w:szCs w:val="16"/>
              </w:rPr>
            </w:pPr>
            <w:r w:rsidRPr="00C7008C">
              <w:rPr>
                <w:rFonts w:cs="Arial"/>
                <w:i/>
                <w:sz w:val="16"/>
                <w:szCs w:val="16"/>
              </w:rPr>
              <w:t>Original Baseline P&amp;B 201</w:t>
            </w:r>
            <w:r>
              <w:rPr>
                <w:rFonts w:cs="Arial"/>
                <w:i/>
                <w:sz w:val="16"/>
                <w:szCs w:val="16"/>
              </w:rPr>
              <w:t>4</w:t>
            </w:r>
            <w:r w:rsidRPr="00C7008C">
              <w:rPr>
                <w:rFonts w:cs="Arial"/>
                <w:i/>
                <w:sz w:val="16"/>
                <w:szCs w:val="16"/>
              </w:rPr>
              <w:t>/1</w:t>
            </w:r>
            <w:r>
              <w:rPr>
                <w:rFonts w:cs="Arial"/>
                <w:i/>
                <w:sz w:val="16"/>
                <w:szCs w:val="16"/>
              </w:rPr>
              <w:t>5</w:t>
            </w:r>
            <w:r w:rsidRPr="00C7008C">
              <w:rPr>
                <w:rFonts w:cs="Arial"/>
                <w:i/>
                <w:sz w:val="16"/>
                <w:szCs w:val="16"/>
              </w:rPr>
              <w:t>:</w:t>
            </w:r>
            <w:r>
              <w:rPr>
                <w:rFonts w:cs="Arial"/>
                <w:i/>
                <w:sz w:val="16"/>
                <w:szCs w:val="16"/>
              </w:rPr>
              <w:t xml:space="preserve"> </w:t>
            </w:r>
            <w:r w:rsidRPr="00991DB4">
              <w:rPr>
                <w:rFonts w:cs="Arial"/>
                <w:sz w:val="16"/>
                <w:szCs w:val="16"/>
              </w:rPr>
              <w:t>% of documents which respect quality criteria</w:t>
            </w:r>
          </w:p>
        </w:tc>
        <w:tc>
          <w:tcPr>
            <w:tcW w:w="833" w:type="pct"/>
            <w:shd w:val="clear" w:color="auto" w:fill="auto"/>
            <w:tcMar>
              <w:top w:w="110" w:type="dxa"/>
            </w:tcMar>
          </w:tcPr>
          <w:p w:rsidR="00E321A5" w:rsidRDefault="00E321A5" w:rsidP="007854A1">
            <w:pPr>
              <w:autoSpaceDE w:val="0"/>
              <w:autoSpaceDN w:val="0"/>
              <w:adjustRightInd w:val="0"/>
              <w:rPr>
                <w:rFonts w:eastAsia="Batang" w:cs="Arial"/>
                <w:sz w:val="16"/>
                <w:szCs w:val="16"/>
                <w:lang w:eastAsia="ja-JP"/>
              </w:rPr>
            </w:pPr>
            <w:r w:rsidRPr="00991DB4">
              <w:rPr>
                <w:rFonts w:eastAsia="Batang" w:cs="Arial"/>
                <w:sz w:val="16"/>
                <w:szCs w:val="16"/>
                <w:lang w:eastAsia="ja-JP"/>
              </w:rPr>
              <w:t>% of documents which respect quality criteria</w:t>
            </w:r>
          </w:p>
          <w:p w:rsidR="00E321A5" w:rsidRDefault="00E321A5" w:rsidP="007854A1">
            <w:pPr>
              <w:autoSpaceDE w:val="0"/>
              <w:autoSpaceDN w:val="0"/>
              <w:adjustRightInd w:val="0"/>
              <w:rPr>
                <w:rFonts w:eastAsia="Batang" w:cs="Arial"/>
                <w:sz w:val="16"/>
                <w:szCs w:val="16"/>
                <w:lang w:eastAsia="ja-JP"/>
              </w:rPr>
            </w:pPr>
          </w:p>
          <w:p w:rsidR="00E321A5" w:rsidRPr="00C7008C" w:rsidRDefault="00E321A5" w:rsidP="007854A1">
            <w:pPr>
              <w:autoSpaceDE w:val="0"/>
              <w:autoSpaceDN w:val="0"/>
              <w:adjustRightInd w:val="0"/>
              <w:rPr>
                <w:rFonts w:eastAsia="Batang" w:cs="Arial"/>
                <w:sz w:val="16"/>
                <w:szCs w:val="16"/>
                <w:lang w:eastAsia="ja-JP"/>
              </w:rPr>
            </w:pPr>
          </w:p>
        </w:tc>
        <w:tc>
          <w:tcPr>
            <w:tcW w:w="1364" w:type="pct"/>
            <w:shd w:val="clear" w:color="auto" w:fill="FFFFFF"/>
            <w:tcMar>
              <w:top w:w="110" w:type="dxa"/>
            </w:tcMar>
          </w:tcPr>
          <w:p w:rsidR="00E321A5" w:rsidRPr="00C7008C" w:rsidRDefault="00E321A5" w:rsidP="007854A1">
            <w:pPr>
              <w:rPr>
                <w:rFonts w:cs="Arial"/>
                <w:sz w:val="16"/>
                <w:szCs w:val="16"/>
              </w:rPr>
            </w:pPr>
            <w:r>
              <w:rPr>
                <w:rFonts w:cs="Arial"/>
                <w:sz w:val="16"/>
                <w:szCs w:val="16"/>
              </w:rPr>
              <w:t>In 2014/15, the rate of user satisfaction concerning the quality of translation was 96%. .</w:t>
            </w:r>
          </w:p>
        </w:tc>
        <w:tc>
          <w:tcPr>
            <w:tcW w:w="530" w:type="pct"/>
            <w:shd w:val="clear" w:color="auto" w:fill="auto"/>
            <w:tcMar>
              <w:top w:w="110" w:type="dxa"/>
            </w:tcMar>
          </w:tcPr>
          <w:p w:rsidR="00E321A5" w:rsidRPr="008D48A9" w:rsidRDefault="00E321A5" w:rsidP="007854A1">
            <w:pPr>
              <w:keepNext/>
              <w:keepLines/>
              <w:ind w:right="-72"/>
              <w:jc w:val="center"/>
              <w:rPr>
                <w:rFonts w:cs="Arial"/>
                <w:bCs/>
                <w:color w:val="808080"/>
                <w:sz w:val="14"/>
                <w:szCs w:val="14"/>
              </w:rPr>
            </w:pPr>
            <w:r w:rsidRPr="008D48A9">
              <w:rPr>
                <w:rFonts w:cs="Arial"/>
                <w:b/>
                <w:bCs/>
                <w:color w:val="808080" w:themeColor="background1" w:themeShade="80"/>
                <w:sz w:val="14"/>
                <w:szCs w:val="14"/>
              </w:rPr>
              <w:t>Not Assessable</w:t>
            </w:r>
          </w:p>
        </w:tc>
      </w:tr>
      <w:tr w:rsidR="00E321A5" w:rsidRPr="00C7008C" w:rsidTr="007854A1">
        <w:trPr>
          <w:cantSplit/>
        </w:trPr>
        <w:tc>
          <w:tcPr>
            <w:tcW w:w="1137" w:type="pct"/>
            <w:shd w:val="clear" w:color="auto" w:fill="auto"/>
          </w:tcPr>
          <w:p w:rsidR="00E321A5" w:rsidRPr="00C7008C" w:rsidRDefault="00E321A5" w:rsidP="007854A1">
            <w:pPr>
              <w:rPr>
                <w:rFonts w:cs="Arial"/>
                <w:sz w:val="16"/>
                <w:szCs w:val="16"/>
              </w:rPr>
            </w:pPr>
            <w:r w:rsidRPr="00A22BD8">
              <w:rPr>
                <w:rFonts w:cs="Arial"/>
                <w:sz w:val="16"/>
                <w:szCs w:val="16"/>
              </w:rPr>
              <w:t xml:space="preserve">Reduction in printing costs (per page) </w:t>
            </w:r>
          </w:p>
        </w:tc>
        <w:tc>
          <w:tcPr>
            <w:tcW w:w="1136" w:type="pct"/>
            <w:shd w:val="clear" w:color="auto" w:fill="auto"/>
          </w:tcPr>
          <w:p w:rsidR="00E321A5" w:rsidRPr="00991DB4" w:rsidRDefault="00E321A5" w:rsidP="007854A1">
            <w:pPr>
              <w:autoSpaceDE w:val="0"/>
              <w:autoSpaceDN w:val="0"/>
              <w:adjustRightInd w:val="0"/>
              <w:rPr>
                <w:rFonts w:eastAsia="Batang" w:cs="Arial"/>
                <w:color w:val="002060"/>
                <w:sz w:val="16"/>
                <w:szCs w:val="16"/>
                <w:lang w:eastAsia="ja-JP"/>
              </w:rPr>
            </w:pPr>
            <w:r w:rsidRPr="00C7008C">
              <w:rPr>
                <w:rFonts w:eastAsia="Batang" w:cs="Arial"/>
                <w:i/>
                <w:color w:val="002060"/>
                <w:sz w:val="16"/>
                <w:szCs w:val="16"/>
                <w:lang w:eastAsia="ja-JP"/>
              </w:rPr>
              <w:t>Updated Baseline end 201</w:t>
            </w:r>
            <w:r>
              <w:rPr>
                <w:rFonts w:eastAsia="Batang" w:cs="Arial"/>
                <w:i/>
                <w:color w:val="002060"/>
                <w:sz w:val="16"/>
                <w:szCs w:val="16"/>
                <w:lang w:eastAsia="ja-JP"/>
              </w:rPr>
              <w:t>3</w:t>
            </w:r>
            <w:r w:rsidRPr="00C7008C">
              <w:rPr>
                <w:rFonts w:eastAsia="Batang" w:cs="Arial"/>
                <w:i/>
                <w:color w:val="002060"/>
                <w:sz w:val="16"/>
                <w:szCs w:val="16"/>
                <w:lang w:eastAsia="ja-JP"/>
              </w:rPr>
              <w:t xml:space="preserve">: </w:t>
            </w:r>
            <w:r w:rsidRPr="00A22BD8">
              <w:rPr>
                <w:rFonts w:eastAsia="Batang" w:cs="Arial"/>
                <w:color w:val="002060"/>
                <w:sz w:val="16"/>
                <w:szCs w:val="16"/>
                <w:lang w:eastAsia="ja-JP"/>
              </w:rPr>
              <w:t>0.</w:t>
            </w:r>
            <w:r>
              <w:rPr>
                <w:rFonts w:eastAsia="Batang" w:cs="Arial"/>
                <w:color w:val="002060"/>
                <w:sz w:val="16"/>
                <w:szCs w:val="16"/>
                <w:lang w:eastAsia="ja-JP"/>
              </w:rPr>
              <w:t>20</w:t>
            </w:r>
            <w:r w:rsidRPr="00A22BD8">
              <w:rPr>
                <w:rFonts w:eastAsia="Batang" w:cs="Arial"/>
                <w:color w:val="002060"/>
                <w:sz w:val="16"/>
                <w:szCs w:val="16"/>
                <w:lang w:eastAsia="ja-JP"/>
              </w:rPr>
              <w:t xml:space="preserve"> </w:t>
            </w:r>
            <w:r>
              <w:rPr>
                <w:rFonts w:eastAsia="Batang" w:cs="Arial"/>
                <w:color w:val="002060"/>
                <w:sz w:val="16"/>
                <w:szCs w:val="16"/>
                <w:lang w:eastAsia="ja-JP"/>
              </w:rPr>
              <w:t>Swiss francs</w:t>
            </w:r>
            <w:r w:rsidRPr="00A22BD8">
              <w:rPr>
                <w:rFonts w:eastAsia="Batang" w:cs="Arial"/>
                <w:color w:val="002060"/>
                <w:sz w:val="16"/>
                <w:szCs w:val="16"/>
                <w:lang w:eastAsia="ja-JP"/>
              </w:rPr>
              <w:t xml:space="preserve"> average cost per page in 2013</w:t>
            </w:r>
            <w:r>
              <w:rPr>
                <w:rStyle w:val="FootnoteReference"/>
                <w:rFonts w:eastAsia="Batang" w:cs="Arial"/>
                <w:color w:val="002060"/>
                <w:sz w:val="16"/>
                <w:szCs w:val="16"/>
                <w:lang w:eastAsia="ja-JP"/>
              </w:rPr>
              <w:footnoteReference w:id="147"/>
            </w:r>
          </w:p>
          <w:p w:rsidR="00E321A5" w:rsidRPr="00C7008C" w:rsidRDefault="00E321A5" w:rsidP="007854A1">
            <w:pPr>
              <w:keepNext/>
              <w:rPr>
                <w:rFonts w:cs="Arial"/>
                <w:i/>
                <w:sz w:val="8"/>
                <w:szCs w:val="8"/>
              </w:rPr>
            </w:pPr>
          </w:p>
          <w:p w:rsidR="00E321A5" w:rsidRPr="00480D9B" w:rsidRDefault="00E321A5" w:rsidP="007854A1">
            <w:pPr>
              <w:rPr>
                <w:rFonts w:cs="Arial"/>
                <w:sz w:val="16"/>
                <w:szCs w:val="16"/>
              </w:rPr>
            </w:pPr>
            <w:r w:rsidRPr="00C7008C">
              <w:rPr>
                <w:rFonts w:cs="Arial"/>
                <w:i/>
                <w:sz w:val="16"/>
                <w:szCs w:val="16"/>
              </w:rPr>
              <w:t>Original Baseline P&amp;B 201</w:t>
            </w:r>
            <w:r>
              <w:rPr>
                <w:rFonts w:cs="Arial"/>
                <w:i/>
                <w:sz w:val="16"/>
                <w:szCs w:val="16"/>
              </w:rPr>
              <w:t>4</w:t>
            </w:r>
            <w:r w:rsidRPr="00C7008C">
              <w:rPr>
                <w:rFonts w:cs="Arial"/>
                <w:i/>
                <w:sz w:val="16"/>
                <w:szCs w:val="16"/>
              </w:rPr>
              <w:t>/1</w:t>
            </w:r>
            <w:r>
              <w:rPr>
                <w:rFonts w:cs="Arial"/>
                <w:i/>
                <w:sz w:val="16"/>
                <w:szCs w:val="16"/>
              </w:rPr>
              <w:t>5</w:t>
            </w:r>
            <w:r w:rsidRPr="00C7008C">
              <w:rPr>
                <w:rFonts w:cs="Arial"/>
                <w:i/>
                <w:sz w:val="16"/>
                <w:szCs w:val="16"/>
              </w:rPr>
              <w:t>:</w:t>
            </w:r>
            <w:r>
              <w:rPr>
                <w:rFonts w:cs="Arial"/>
                <w:i/>
                <w:sz w:val="16"/>
                <w:szCs w:val="16"/>
              </w:rPr>
              <w:t xml:space="preserve"> </w:t>
            </w:r>
            <w:r>
              <w:rPr>
                <w:rFonts w:cs="Arial"/>
                <w:sz w:val="16"/>
                <w:szCs w:val="16"/>
              </w:rPr>
              <w:t>tbd</w:t>
            </w:r>
          </w:p>
        </w:tc>
        <w:tc>
          <w:tcPr>
            <w:tcW w:w="833" w:type="pct"/>
            <w:shd w:val="clear" w:color="auto" w:fill="auto"/>
            <w:tcMar>
              <w:top w:w="110" w:type="dxa"/>
            </w:tcMar>
          </w:tcPr>
          <w:p w:rsidR="00E321A5" w:rsidRPr="00AD21F2" w:rsidRDefault="00E321A5" w:rsidP="007854A1">
            <w:pPr>
              <w:rPr>
                <w:rFonts w:eastAsia="Batang" w:cs="Arial"/>
                <w:i/>
                <w:color w:val="002060"/>
                <w:sz w:val="16"/>
                <w:szCs w:val="16"/>
                <w:lang w:eastAsia="ja-JP"/>
              </w:rPr>
            </w:pPr>
            <w:r w:rsidRPr="00AD21F2">
              <w:rPr>
                <w:rFonts w:eastAsia="Batang" w:cs="Arial"/>
                <w:i/>
                <w:color w:val="002060"/>
                <w:sz w:val="16"/>
                <w:szCs w:val="16"/>
                <w:lang w:eastAsia="ja-JP"/>
              </w:rPr>
              <w:t>Define</w:t>
            </w:r>
            <w:r>
              <w:rPr>
                <w:rFonts w:eastAsia="Batang" w:cs="Arial"/>
                <w:i/>
                <w:color w:val="002060"/>
                <w:sz w:val="16"/>
                <w:szCs w:val="16"/>
                <w:lang w:eastAsia="ja-JP"/>
              </w:rPr>
              <w:t>d</w:t>
            </w:r>
            <w:r w:rsidRPr="00AD21F2">
              <w:rPr>
                <w:rFonts w:eastAsia="Batang" w:cs="Arial"/>
                <w:i/>
                <w:color w:val="002060"/>
                <w:sz w:val="16"/>
                <w:szCs w:val="16"/>
                <w:lang w:eastAsia="ja-JP"/>
              </w:rPr>
              <w:t xml:space="preserve"> target: </w:t>
            </w:r>
          </w:p>
          <w:p w:rsidR="00E321A5" w:rsidRDefault="00E321A5" w:rsidP="007854A1">
            <w:pPr>
              <w:rPr>
                <w:rFonts w:eastAsia="Batang" w:cs="Arial"/>
                <w:color w:val="002060"/>
                <w:sz w:val="16"/>
                <w:szCs w:val="16"/>
                <w:lang w:eastAsia="ja-JP"/>
              </w:rPr>
            </w:pPr>
            <w:r w:rsidRPr="00AD21F2">
              <w:rPr>
                <w:rFonts w:eastAsia="Batang" w:cs="Arial"/>
                <w:color w:val="002060"/>
                <w:sz w:val="16"/>
                <w:szCs w:val="16"/>
                <w:lang w:eastAsia="ja-JP"/>
              </w:rPr>
              <w:t xml:space="preserve">5% </w:t>
            </w:r>
            <w:r>
              <w:rPr>
                <w:rFonts w:eastAsia="Batang" w:cs="Arial"/>
                <w:color w:val="002060"/>
                <w:sz w:val="16"/>
                <w:szCs w:val="16"/>
                <w:lang w:eastAsia="ja-JP"/>
              </w:rPr>
              <w:t>r</w:t>
            </w:r>
            <w:r w:rsidRPr="00AD21F2">
              <w:rPr>
                <w:rFonts w:eastAsia="Batang" w:cs="Arial"/>
                <w:color w:val="002060"/>
                <w:sz w:val="16"/>
                <w:szCs w:val="16"/>
                <w:lang w:eastAsia="ja-JP"/>
              </w:rPr>
              <w:t>eduction in</w:t>
            </w:r>
            <w:r>
              <w:rPr>
                <w:rFonts w:eastAsia="Batang" w:cs="Arial"/>
                <w:color w:val="002060"/>
                <w:sz w:val="16"/>
                <w:szCs w:val="16"/>
                <w:lang w:eastAsia="ja-JP"/>
              </w:rPr>
              <w:t xml:space="preserve"> the average cost per page</w:t>
            </w:r>
            <w:r w:rsidRPr="00AD21F2">
              <w:rPr>
                <w:rFonts w:eastAsia="Batang" w:cs="Arial"/>
                <w:color w:val="002060"/>
                <w:sz w:val="16"/>
                <w:szCs w:val="16"/>
                <w:lang w:eastAsia="ja-JP"/>
              </w:rPr>
              <w:t xml:space="preserve"> </w:t>
            </w:r>
          </w:p>
          <w:p w:rsidR="00E321A5" w:rsidRDefault="00E321A5" w:rsidP="007854A1">
            <w:pPr>
              <w:rPr>
                <w:rFonts w:cs="Arial"/>
                <w:sz w:val="16"/>
                <w:szCs w:val="16"/>
              </w:rPr>
            </w:pPr>
          </w:p>
          <w:p w:rsidR="00E321A5" w:rsidRPr="00AD21F2" w:rsidRDefault="00E321A5" w:rsidP="007854A1">
            <w:pPr>
              <w:rPr>
                <w:rFonts w:eastAsia="Batang" w:cs="Arial"/>
                <w:sz w:val="16"/>
                <w:szCs w:val="16"/>
                <w:lang w:eastAsia="ja-JP"/>
              </w:rPr>
            </w:pPr>
            <w:r w:rsidRPr="00AD21F2">
              <w:rPr>
                <w:rFonts w:eastAsia="Batang" w:cs="Arial"/>
                <w:i/>
                <w:sz w:val="16"/>
                <w:szCs w:val="16"/>
                <w:lang w:eastAsia="ja-JP"/>
              </w:rPr>
              <w:t>Original target</w:t>
            </w:r>
            <w:r w:rsidRPr="00AD21F2">
              <w:rPr>
                <w:rFonts w:eastAsia="Batang" w:cs="Arial"/>
                <w:sz w:val="16"/>
                <w:szCs w:val="16"/>
                <w:lang w:eastAsia="ja-JP"/>
              </w:rPr>
              <w:t xml:space="preserve"> </w:t>
            </w:r>
            <w:r w:rsidRPr="00AD21F2">
              <w:rPr>
                <w:rFonts w:eastAsia="Batang" w:cs="Arial"/>
                <w:i/>
                <w:sz w:val="16"/>
                <w:szCs w:val="16"/>
                <w:lang w:eastAsia="ja-JP"/>
              </w:rPr>
              <w:t>P&amp;B 2014/15:</w:t>
            </w:r>
            <w:r w:rsidRPr="00AD21F2">
              <w:rPr>
                <w:rFonts w:eastAsia="Batang" w:cs="Arial"/>
                <w:sz w:val="16"/>
                <w:szCs w:val="16"/>
                <w:lang w:eastAsia="ja-JP"/>
              </w:rPr>
              <w:t xml:space="preserve"> tbd</w:t>
            </w:r>
          </w:p>
          <w:p w:rsidR="00E321A5" w:rsidRPr="00C7008C" w:rsidRDefault="00E321A5" w:rsidP="007854A1">
            <w:pPr>
              <w:rPr>
                <w:rFonts w:cs="Arial"/>
                <w:sz w:val="16"/>
                <w:szCs w:val="16"/>
              </w:rPr>
            </w:pPr>
          </w:p>
        </w:tc>
        <w:tc>
          <w:tcPr>
            <w:tcW w:w="1364" w:type="pct"/>
            <w:shd w:val="clear" w:color="auto" w:fill="FFFFFF"/>
            <w:tcMar>
              <w:top w:w="110" w:type="dxa"/>
            </w:tcMar>
          </w:tcPr>
          <w:p w:rsidR="00E321A5" w:rsidRPr="00C7008C" w:rsidRDefault="00E321A5" w:rsidP="007854A1">
            <w:pPr>
              <w:rPr>
                <w:rFonts w:cs="Arial"/>
                <w:sz w:val="16"/>
                <w:szCs w:val="16"/>
              </w:rPr>
            </w:pPr>
            <w:r>
              <w:rPr>
                <w:rFonts w:cs="Arial"/>
                <w:sz w:val="16"/>
                <w:szCs w:val="16"/>
              </w:rPr>
              <w:t>0.15 Swiss francs average cost per page in both 2014</w:t>
            </w:r>
            <w:r>
              <w:rPr>
                <w:rStyle w:val="FootnoteReference"/>
                <w:rFonts w:cs="Arial"/>
                <w:sz w:val="16"/>
                <w:szCs w:val="16"/>
              </w:rPr>
              <w:footnoteReference w:id="148"/>
            </w:r>
            <w:r>
              <w:rPr>
                <w:rFonts w:cs="Arial"/>
                <w:sz w:val="16"/>
                <w:szCs w:val="16"/>
              </w:rPr>
              <w:t xml:space="preserve"> and 2015 (25% reduction).  </w:t>
            </w:r>
          </w:p>
        </w:tc>
        <w:tc>
          <w:tcPr>
            <w:tcW w:w="530" w:type="pct"/>
            <w:shd w:val="clear" w:color="auto" w:fill="auto"/>
            <w:tcMar>
              <w:top w:w="110" w:type="dxa"/>
            </w:tcMar>
          </w:tcPr>
          <w:p w:rsidR="00E321A5" w:rsidRPr="00C7008C" w:rsidRDefault="00E321A5" w:rsidP="007854A1">
            <w:pPr>
              <w:keepNext/>
              <w:keepLines/>
              <w:jc w:val="center"/>
              <w:rPr>
                <w:rFonts w:cs="Arial"/>
                <w:bCs/>
                <w:color w:val="808080"/>
                <w:sz w:val="16"/>
                <w:szCs w:val="16"/>
              </w:rPr>
            </w:pPr>
            <w:r>
              <w:rPr>
                <w:rFonts w:cs="Arial"/>
                <w:b/>
                <w:bCs/>
                <w:color w:val="00B050"/>
                <w:sz w:val="16"/>
                <w:szCs w:val="16"/>
              </w:rPr>
              <w:t>Fully Achieved</w:t>
            </w:r>
          </w:p>
        </w:tc>
      </w:tr>
      <w:tr w:rsidR="00E321A5" w:rsidRPr="00C7008C" w:rsidTr="007854A1">
        <w:trPr>
          <w:cantSplit/>
        </w:trPr>
        <w:tc>
          <w:tcPr>
            <w:tcW w:w="1137" w:type="pct"/>
            <w:shd w:val="clear" w:color="auto" w:fill="auto"/>
          </w:tcPr>
          <w:p w:rsidR="00E321A5" w:rsidRPr="00A22BD8" w:rsidRDefault="00E321A5" w:rsidP="007854A1">
            <w:pPr>
              <w:rPr>
                <w:rFonts w:cs="Arial"/>
                <w:sz w:val="16"/>
                <w:szCs w:val="16"/>
              </w:rPr>
            </w:pPr>
            <w:r w:rsidRPr="00A22BD8">
              <w:rPr>
                <w:rFonts w:cs="Arial"/>
                <w:sz w:val="16"/>
                <w:szCs w:val="16"/>
              </w:rPr>
              <w:t>Timely publication of documents for committees and working groups</w:t>
            </w:r>
          </w:p>
        </w:tc>
        <w:tc>
          <w:tcPr>
            <w:tcW w:w="1136" w:type="pct"/>
            <w:shd w:val="clear" w:color="auto" w:fill="auto"/>
          </w:tcPr>
          <w:p w:rsidR="00E321A5" w:rsidRPr="00991DB4" w:rsidRDefault="00E321A5" w:rsidP="007854A1">
            <w:pPr>
              <w:autoSpaceDE w:val="0"/>
              <w:autoSpaceDN w:val="0"/>
              <w:adjustRightInd w:val="0"/>
              <w:rPr>
                <w:rFonts w:eastAsia="Batang" w:cs="Arial"/>
                <w:color w:val="002060"/>
                <w:sz w:val="16"/>
                <w:szCs w:val="16"/>
                <w:lang w:eastAsia="ja-JP"/>
              </w:rPr>
            </w:pPr>
            <w:r w:rsidRPr="00C7008C">
              <w:rPr>
                <w:rFonts w:eastAsia="Batang" w:cs="Arial"/>
                <w:i/>
                <w:color w:val="002060"/>
                <w:sz w:val="16"/>
                <w:szCs w:val="16"/>
                <w:lang w:eastAsia="ja-JP"/>
              </w:rPr>
              <w:t>Updated Baseline end 201</w:t>
            </w:r>
            <w:r>
              <w:rPr>
                <w:rFonts w:eastAsia="Batang" w:cs="Arial"/>
                <w:i/>
                <w:color w:val="002060"/>
                <w:sz w:val="16"/>
                <w:szCs w:val="16"/>
                <w:lang w:eastAsia="ja-JP"/>
              </w:rPr>
              <w:t>3</w:t>
            </w:r>
            <w:r w:rsidRPr="00C7008C">
              <w:rPr>
                <w:rFonts w:eastAsia="Batang" w:cs="Arial"/>
                <w:i/>
                <w:color w:val="002060"/>
                <w:sz w:val="16"/>
                <w:szCs w:val="16"/>
                <w:lang w:eastAsia="ja-JP"/>
              </w:rPr>
              <w:t xml:space="preserve">: </w:t>
            </w:r>
            <w:r w:rsidRPr="00A22BD8">
              <w:rPr>
                <w:rFonts w:eastAsia="Batang" w:cs="Arial"/>
                <w:color w:val="002060"/>
                <w:sz w:val="16"/>
                <w:szCs w:val="16"/>
                <w:lang w:eastAsia="ja-JP"/>
              </w:rPr>
              <w:t>26% of documents in all languages published two months before the relevant meetings</w:t>
            </w:r>
          </w:p>
          <w:p w:rsidR="00E321A5" w:rsidRPr="00C7008C" w:rsidRDefault="00E321A5" w:rsidP="007854A1">
            <w:pPr>
              <w:keepNext/>
              <w:rPr>
                <w:rFonts w:cs="Arial"/>
                <w:i/>
                <w:sz w:val="8"/>
                <w:szCs w:val="8"/>
              </w:rPr>
            </w:pPr>
          </w:p>
          <w:p w:rsidR="00E321A5" w:rsidRDefault="00E321A5" w:rsidP="007854A1">
            <w:pPr>
              <w:autoSpaceDE w:val="0"/>
              <w:autoSpaceDN w:val="0"/>
              <w:adjustRightInd w:val="0"/>
              <w:rPr>
                <w:rFonts w:cs="Arial"/>
                <w:sz w:val="16"/>
                <w:szCs w:val="16"/>
              </w:rPr>
            </w:pPr>
            <w:r w:rsidRPr="00C7008C">
              <w:rPr>
                <w:rFonts w:cs="Arial"/>
                <w:i/>
                <w:sz w:val="16"/>
                <w:szCs w:val="16"/>
              </w:rPr>
              <w:t>Original Baseline P&amp;B 201</w:t>
            </w:r>
            <w:r>
              <w:rPr>
                <w:rFonts w:cs="Arial"/>
                <w:i/>
                <w:sz w:val="16"/>
                <w:szCs w:val="16"/>
              </w:rPr>
              <w:t>4</w:t>
            </w:r>
            <w:r w:rsidRPr="00C7008C">
              <w:rPr>
                <w:rFonts w:cs="Arial"/>
                <w:i/>
                <w:sz w:val="16"/>
                <w:szCs w:val="16"/>
              </w:rPr>
              <w:t>/1</w:t>
            </w:r>
            <w:r>
              <w:rPr>
                <w:rFonts w:cs="Arial"/>
                <w:i/>
                <w:sz w:val="16"/>
                <w:szCs w:val="16"/>
              </w:rPr>
              <w:t>5</w:t>
            </w:r>
            <w:r w:rsidRPr="00C7008C">
              <w:rPr>
                <w:rFonts w:cs="Arial"/>
                <w:i/>
                <w:sz w:val="16"/>
                <w:szCs w:val="16"/>
              </w:rPr>
              <w:t>:</w:t>
            </w:r>
            <w:r>
              <w:rPr>
                <w:rFonts w:cs="Arial"/>
                <w:i/>
                <w:sz w:val="16"/>
                <w:szCs w:val="16"/>
              </w:rPr>
              <w:t xml:space="preserve"> </w:t>
            </w:r>
            <w:r w:rsidRPr="00A22BD8">
              <w:rPr>
                <w:rFonts w:cs="Arial"/>
                <w:sz w:val="16"/>
                <w:szCs w:val="16"/>
              </w:rPr>
              <w:t>% of documents published two months before the relevant meetings (tbd)</w:t>
            </w:r>
          </w:p>
          <w:p w:rsidR="00E321A5" w:rsidRPr="00C7008C" w:rsidRDefault="00E321A5" w:rsidP="007854A1">
            <w:pPr>
              <w:autoSpaceDE w:val="0"/>
              <w:autoSpaceDN w:val="0"/>
              <w:adjustRightInd w:val="0"/>
              <w:rPr>
                <w:rFonts w:eastAsia="Batang" w:cs="Arial"/>
                <w:i/>
                <w:color w:val="002060"/>
                <w:sz w:val="16"/>
                <w:szCs w:val="16"/>
                <w:lang w:eastAsia="ja-JP"/>
              </w:rPr>
            </w:pPr>
          </w:p>
        </w:tc>
        <w:tc>
          <w:tcPr>
            <w:tcW w:w="833" w:type="pct"/>
            <w:shd w:val="clear" w:color="auto" w:fill="auto"/>
            <w:tcMar>
              <w:top w:w="110" w:type="dxa"/>
            </w:tcMar>
          </w:tcPr>
          <w:p w:rsidR="00E321A5" w:rsidRPr="00B814E8" w:rsidRDefault="00E321A5" w:rsidP="007854A1">
            <w:pPr>
              <w:rPr>
                <w:rFonts w:cs="Arial"/>
                <w:sz w:val="16"/>
                <w:szCs w:val="16"/>
              </w:rPr>
            </w:pPr>
            <w:r w:rsidRPr="00B814E8">
              <w:rPr>
                <w:rFonts w:cs="Arial"/>
                <w:sz w:val="16"/>
                <w:szCs w:val="16"/>
              </w:rPr>
              <w:t>65% of documents published two months before the relevant meetings</w:t>
            </w:r>
          </w:p>
        </w:tc>
        <w:tc>
          <w:tcPr>
            <w:tcW w:w="1364" w:type="pct"/>
            <w:shd w:val="clear" w:color="auto" w:fill="FFFFFF"/>
            <w:tcMar>
              <w:top w:w="110" w:type="dxa"/>
            </w:tcMar>
          </w:tcPr>
          <w:p w:rsidR="00E321A5" w:rsidRDefault="00E321A5" w:rsidP="007854A1">
            <w:pPr>
              <w:rPr>
                <w:rFonts w:eastAsiaTheme="minorHAnsi" w:cs="Arial"/>
                <w:sz w:val="16"/>
                <w:szCs w:val="16"/>
              </w:rPr>
            </w:pPr>
            <w:r>
              <w:rPr>
                <w:rFonts w:eastAsiaTheme="minorHAnsi" w:cs="Arial"/>
                <w:sz w:val="16"/>
                <w:szCs w:val="16"/>
              </w:rPr>
              <w:t>In 2014/15, 52.6% of all documents for major committees were published in all languages two months before the relevant meetings</w:t>
            </w:r>
          </w:p>
          <w:p w:rsidR="00E321A5" w:rsidRDefault="00E321A5" w:rsidP="007854A1">
            <w:pPr>
              <w:rPr>
                <w:rFonts w:eastAsiaTheme="minorHAnsi" w:cs="Arial"/>
                <w:sz w:val="16"/>
                <w:szCs w:val="16"/>
              </w:rPr>
            </w:pPr>
            <w:r>
              <w:rPr>
                <w:rFonts w:eastAsiaTheme="minorHAnsi" w:cs="Arial"/>
                <w:sz w:val="16"/>
                <w:szCs w:val="16"/>
              </w:rPr>
              <w:t>- 2014:  41%</w:t>
            </w:r>
          </w:p>
          <w:p w:rsidR="00E321A5" w:rsidRDefault="00E321A5" w:rsidP="007854A1">
            <w:pPr>
              <w:rPr>
                <w:rFonts w:eastAsiaTheme="minorHAnsi" w:cs="Arial"/>
                <w:sz w:val="16"/>
                <w:szCs w:val="16"/>
              </w:rPr>
            </w:pPr>
            <w:r>
              <w:rPr>
                <w:rFonts w:eastAsiaTheme="minorHAnsi" w:cs="Arial"/>
                <w:sz w:val="16"/>
                <w:szCs w:val="16"/>
              </w:rPr>
              <w:t>- 2015:  69%</w:t>
            </w:r>
          </w:p>
          <w:p w:rsidR="00E321A5" w:rsidRPr="00B814E8" w:rsidRDefault="00E321A5" w:rsidP="007854A1">
            <w:pPr>
              <w:rPr>
                <w:rFonts w:eastAsiaTheme="minorHAnsi" w:cs="Arial"/>
                <w:sz w:val="16"/>
                <w:szCs w:val="16"/>
              </w:rPr>
            </w:pPr>
          </w:p>
        </w:tc>
        <w:tc>
          <w:tcPr>
            <w:tcW w:w="530" w:type="pct"/>
            <w:shd w:val="clear" w:color="auto" w:fill="auto"/>
            <w:tcMar>
              <w:top w:w="110" w:type="dxa"/>
            </w:tcMar>
          </w:tcPr>
          <w:p w:rsidR="00E321A5" w:rsidRPr="00A22BD8" w:rsidRDefault="00E321A5" w:rsidP="007854A1">
            <w:pPr>
              <w:keepNext/>
              <w:keepLines/>
              <w:jc w:val="center"/>
              <w:rPr>
                <w:rFonts w:cs="Arial"/>
                <w:b/>
                <w:bCs/>
                <w:color w:val="00B050"/>
                <w:sz w:val="16"/>
                <w:szCs w:val="16"/>
              </w:rPr>
            </w:pPr>
            <w:r w:rsidRPr="00A26CB9">
              <w:rPr>
                <w:rFonts w:cs="Arial"/>
                <w:b/>
                <w:bCs/>
                <w:color w:val="00B050"/>
                <w:sz w:val="16"/>
                <w:szCs w:val="16"/>
              </w:rPr>
              <w:t xml:space="preserve">Fully </w:t>
            </w:r>
            <w:r w:rsidR="00145D9E">
              <w:rPr>
                <w:rFonts w:cs="Arial"/>
                <w:b/>
                <w:bCs/>
                <w:color w:val="00B050"/>
                <w:sz w:val="16"/>
                <w:szCs w:val="16"/>
              </w:rPr>
              <w:t>A</w:t>
            </w:r>
            <w:r w:rsidRPr="00A26CB9">
              <w:rPr>
                <w:rFonts w:cs="Arial"/>
                <w:b/>
                <w:bCs/>
                <w:color w:val="00B050"/>
                <w:sz w:val="16"/>
                <w:szCs w:val="16"/>
              </w:rPr>
              <w:t>chieved</w:t>
            </w:r>
          </w:p>
        </w:tc>
      </w:tr>
    </w:tbl>
    <w:p w:rsidR="00E321A5" w:rsidRDefault="00E321A5" w:rsidP="007854A1">
      <w:pPr>
        <w:keepNext/>
        <w:keepLines/>
        <w:rPr>
          <w:rFonts w:cs="Arial"/>
          <w:color w:val="000000"/>
          <w:sz w:val="22"/>
          <w:szCs w:val="22"/>
        </w:rPr>
      </w:pPr>
    </w:p>
    <w:p w:rsidR="00E321A5" w:rsidRDefault="00E321A5" w:rsidP="007854A1">
      <w:pPr>
        <w:keepNext/>
        <w:keepLines/>
        <w:rPr>
          <w:rFonts w:cs="Arial"/>
          <w:color w:val="000000"/>
          <w:sz w:val="22"/>
          <w:szCs w:val="22"/>
        </w:rPr>
      </w:pPr>
    </w:p>
    <w:p w:rsidR="00E321A5" w:rsidRPr="006B1527" w:rsidRDefault="00E321A5" w:rsidP="007854A1">
      <w:pPr>
        <w:keepNext/>
        <w:keepLines/>
        <w:rPr>
          <w:rFonts w:cs="Arial"/>
          <w:color w:val="000000"/>
          <w:szCs w:val="22"/>
        </w:rPr>
      </w:pPr>
      <w:r w:rsidRPr="006B1527">
        <w:rPr>
          <w:rFonts w:cs="Arial"/>
          <w:color w:val="000000"/>
          <w:szCs w:val="22"/>
        </w:rPr>
        <w:t>RISK REPORTING FOR THE BIENNIUM</w:t>
      </w:r>
    </w:p>
    <w:p w:rsidR="00E321A5" w:rsidRDefault="00E321A5" w:rsidP="007854A1">
      <w:pPr>
        <w:keepNext/>
        <w:keepLines/>
      </w:pPr>
    </w:p>
    <w:tbl>
      <w:tblPr>
        <w:tblW w:w="0" w:type="auto"/>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2529"/>
        <w:gridCol w:w="2091"/>
        <w:gridCol w:w="2310"/>
        <w:gridCol w:w="2426"/>
      </w:tblGrid>
      <w:tr w:rsidR="00E321A5" w:rsidRPr="003C527B" w:rsidTr="007854A1">
        <w:trPr>
          <w:trHeight w:val="380"/>
        </w:trPr>
        <w:tc>
          <w:tcPr>
            <w:tcW w:w="2529" w:type="dxa"/>
            <w:tcBorders>
              <w:top w:val="single" w:sz="4" w:space="0" w:color="auto"/>
              <w:bottom w:val="single" w:sz="4" w:space="0" w:color="auto"/>
            </w:tcBorders>
            <w:shd w:val="clear" w:color="auto" w:fill="C6D9F1" w:themeFill="text2" w:themeFillTint="33"/>
            <w:tcMar>
              <w:top w:w="113" w:type="dxa"/>
              <w:bottom w:w="85" w:type="dxa"/>
            </w:tcMar>
            <w:vAlign w:val="center"/>
          </w:tcPr>
          <w:p w:rsidR="00E321A5" w:rsidRPr="003C527B" w:rsidRDefault="00E321A5" w:rsidP="007854A1">
            <w:pPr>
              <w:keepNext/>
              <w:keepLines/>
              <w:jc w:val="center"/>
              <w:rPr>
                <w:b/>
                <w:bCs/>
                <w:iCs/>
                <w:sz w:val="18"/>
                <w:szCs w:val="18"/>
              </w:rPr>
            </w:pPr>
            <w:r w:rsidRPr="003C527B">
              <w:rPr>
                <w:b/>
                <w:bCs/>
                <w:iCs/>
                <w:sz w:val="18"/>
                <w:szCs w:val="18"/>
              </w:rPr>
              <w:t>Risk(s) to the Program achieving its Results</w:t>
            </w:r>
          </w:p>
        </w:tc>
        <w:tc>
          <w:tcPr>
            <w:tcW w:w="2091" w:type="dxa"/>
            <w:tcBorders>
              <w:top w:val="single" w:sz="4" w:space="0" w:color="auto"/>
              <w:bottom w:val="single" w:sz="4" w:space="0" w:color="auto"/>
            </w:tcBorders>
            <w:shd w:val="clear" w:color="auto" w:fill="C6D9F1" w:themeFill="text2" w:themeFillTint="33"/>
            <w:tcMar>
              <w:top w:w="113" w:type="dxa"/>
              <w:bottom w:w="85" w:type="dxa"/>
            </w:tcMar>
            <w:vAlign w:val="center"/>
          </w:tcPr>
          <w:p w:rsidR="00E321A5" w:rsidRPr="003C527B" w:rsidRDefault="00E321A5" w:rsidP="007854A1">
            <w:pPr>
              <w:keepNext/>
              <w:keepLines/>
              <w:jc w:val="center"/>
              <w:rPr>
                <w:b/>
                <w:bCs/>
                <w:iCs/>
                <w:sz w:val="18"/>
                <w:szCs w:val="18"/>
              </w:rPr>
            </w:pPr>
            <w:r w:rsidRPr="003C527B">
              <w:rPr>
                <w:b/>
                <w:bCs/>
                <w:iCs/>
                <w:sz w:val="18"/>
                <w:szCs w:val="18"/>
              </w:rPr>
              <w:t xml:space="preserve">Mitigation plans in place or under implementation </w:t>
            </w:r>
          </w:p>
        </w:tc>
        <w:tc>
          <w:tcPr>
            <w:tcW w:w="2310" w:type="dxa"/>
            <w:tcBorders>
              <w:top w:val="single" w:sz="4" w:space="0" w:color="auto"/>
              <w:bottom w:val="single" w:sz="4" w:space="0" w:color="auto"/>
            </w:tcBorders>
            <w:shd w:val="clear" w:color="auto" w:fill="C6D9F1" w:themeFill="text2" w:themeFillTint="33"/>
          </w:tcPr>
          <w:p w:rsidR="00E321A5" w:rsidRPr="003C527B" w:rsidRDefault="00E321A5" w:rsidP="007854A1">
            <w:pPr>
              <w:keepNext/>
              <w:keepLines/>
              <w:jc w:val="center"/>
              <w:rPr>
                <w:b/>
                <w:bCs/>
                <w:sz w:val="18"/>
                <w:szCs w:val="18"/>
              </w:rPr>
            </w:pPr>
            <w:r>
              <w:rPr>
                <w:b/>
                <w:bCs/>
                <w:sz w:val="18"/>
                <w:szCs w:val="18"/>
              </w:rPr>
              <w:t>Evolution of Risk(s) and Mitigation Strategies Over the Biennium</w:t>
            </w:r>
          </w:p>
        </w:tc>
        <w:tc>
          <w:tcPr>
            <w:tcW w:w="2426" w:type="dxa"/>
            <w:tcBorders>
              <w:top w:val="single" w:sz="4" w:space="0" w:color="auto"/>
              <w:bottom w:val="single" w:sz="4" w:space="0" w:color="auto"/>
            </w:tcBorders>
            <w:shd w:val="clear" w:color="auto" w:fill="C6D9F1" w:themeFill="text2" w:themeFillTint="33"/>
          </w:tcPr>
          <w:p w:rsidR="00E321A5" w:rsidRPr="003C527B" w:rsidRDefault="00E321A5" w:rsidP="007854A1">
            <w:pPr>
              <w:keepNext/>
              <w:keepLines/>
              <w:jc w:val="center"/>
              <w:rPr>
                <w:b/>
                <w:bCs/>
                <w:sz w:val="18"/>
                <w:szCs w:val="18"/>
              </w:rPr>
            </w:pPr>
            <w:r>
              <w:rPr>
                <w:b/>
                <w:bCs/>
                <w:sz w:val="18"/>
                <w:szCs w:val="18"/>
              </w:rPr>
              <w:t>Impact on the Program’s Performance</w:t>
            </w:r>
          </w:p>
        </w:tc>
      </w:tr>
      <w:tr w:rsidR="00E321A5" w:rsidRPr="003C527B" w:rsidTr="007854A1">
        <w:tc>
          <w:tcPr>
            <w:tcW w:w="2529" w:type="dxa"/>
            <w:tcBorders>
              <w:top w:val="single" w:sz="4" w:space="0" w:color="auto"/>
            </w:tcBorders>
            <w:shd w:val="clear" w:color="auto" w:fill="auto"/>
            <w:tcMar>
              <w:top w:w="113" w:type="dxa"/>
              <w:bottom w:w="85" w:type="dxa"/>
            </w:tcMar>
          </w:tcPr>
          <w:p w:rsidR="00E321A5" w:rsidRPr="003C527B" w:rsidRDefault="00E321A5" w:rsidP="007854A1">
            <w:pPr>
              <w:keepNext/>
              <w:keepLines/>
              <w:rPr>
                <w:sz w:val="16"/>
                <w:szCs w:val="16"/>
              </w:rPr>
            </w:pPr>
            <w:r w:rsidRPr="003C527B">
              <w:rPr>
                <w:iCs/>
                <w:sz w:val="16"/>
                <w:szCs w:val="16"/>
              </w:rPr>
              <w:t>Inadequate implementation of the Language Policy</w:t>
            </w:r>
          </w:p>
          <w:p w:rsidR="00E321A5" w:rsidRPr="003C527B" w:rsidRDefault="00E321A5" w:rsidP="007854A1">
            <w:pPr>
              <w:keepNext/>
              <w:keepLines/>
              <w:rPr>
                <w:sz w:val="16"/>
                <w:szCs w:val="16"/>
              </w:rPr>
            </w:pPr>
          </w:p>
          <w:p w:rsidR="00E321A5" w:rsidRPr="003C527B" w:rsidRDefault="00E321A5" w:rsidP="007854A1">
            <w:pPr>
              <w:keepNext/>
              <w:keepLines/>
              <w:rPr>
                <w:sz w:val="16"/>
                <w:szCs w:val="16"/>
              </w:rPr>
            </w:pPr>
            <w:r w:rsidRPr="003C527B">
              <w:rPr>
                <w:sz w:val="16"/>
                <w:szCs w:val="16"/>
              </w:rPr>
              <w:t>Due to increasing requests for translation and non</w:t>
            </w:r>
            <w:r w:rsidRPr="003C527B">
              <w:rPr>
                <w:sz w:val="16"/>
                <w:szCs w:val="16"/>
              </w:rPr>
              <w:noBreakHyphen/>
              <w:t>adherence to prescribed limits, translation workloads mount significantly, leading to budgetary imbalances</w:t>
            </w:r>
          </w:p>
        </w:tc>
        <w:tc>
          <w:tcPr>
            <w:tcW w:w="2091" w:type="dxa"/>
            <w:tcBorders>
              <w:top w:val="single" w:sz="4" w:space="0" w:color="auto"/>
            </w:tcBorders>
            <w:shd w:val="clear" w:color="auto" w:fill="auto"/>
            <w:tcMar>
              <w:top w:w="113" w:type="dxa"/>
              <w:bottom w:w="85" w:type="dxa"/>
            </w:tcMar>
          </w:tcPr>
          <w:p w:rsidR="00E321A5" w:rsidRPr="003C527B" w:rsidRDefault="00E321A5" w:rsidP="007854A1">
            <w:pPr>
              <w:keepNext/>
              <w:keepLines/>
              <w:rPr>
                <w:sz w:val="16"/>
                <w:szCs w:val="16"/>
              </w:rPr>
            </w:pPr>
            <w:r w:rsidRPr="003C527B">
              <w:rPr>
                <w:sz w:val="16"/>
                <w:szCs w:val="16"/>
              </w:rPr>
              <w:t xml:space="preserve">Monitoring the number and size of documents;  strictly enforcing rationalization and control measures; </w:t>
            </w:r>
            <w:r>
              <w:rPr>
                <w:sz w:val="16"/>
                <w:szCs w:val="16"/>
              </w:rPr>
              <w:t xml:space="preserve"> </w:t>
            </w:r>
            <w:r w:rsidRPr="003C527B">
              <w:rPr>
                <w:sz w:val="16"/>
                <w:szCs w:val="16"/>
              </w:rPr>
              <w:t>encouraging Sectors concerned to avoid repetitive text in documents</w:t>
            </w:r>
          </w:p>
        </w:tc>
        <w:tc>
          <w:tcPr>
            <w:tcW w:w="2310" w:type="dxa"/>
            <w:tcBorders>
              <w:top w:val="single" w:sz="4" w:space="0" w:color="auto"/>
            </w:tcBorders>
          </w:tcPr>
          <w:p w:rsidR="00E321A5" w:rsidRPr="003C527B" w:rsidRDefault="00E321A5" w:rsidP="007854A1">
            <w:pPr>
              <w:keepNext/>
              <w:keepLines/>
              <w:rPr>
                <w:sz w:val="16"/>
                <w:szCs w:val="16"/>
              </w:rPr>
            </w:pPr>
            <w:r>
              <w:rPr>
                <w:sz w:val="16"/>
                <w:szCs w:val="16"/>
              </w:rPr>
              <w:t xml:space="preserve">Through more focused </w:t>
            </w:r>
            <w:r w:rsidRPr="003C527B">
              <w:rPr>
                <w:sz w:val="16"/>
                <w:szCs w:val="16"/>
              </w:rPr>
              <w:t>control</w:t>
            </w:r>
            <w:r>
              <w:rPr>
                <w:sz w:val="16"/>
                <w:szCs w:val="16"/>
              </w:rPr>
              <w:t>s</w:t>
            </w:r>
            <w:r w:rsidRPr="003C527B">
              <w:rPr>
                <w:sz w:val="16"/>
                <w:szCs w:val="16"/>
              </w:rPr>
              <w:t xml:space="preserve"> and </w:t>
            </w:r>
            <w:r>
              <w:rPr>
                <w:sz w:val="16"/>
                <w:szCs w:val="16"/>
              </w:rPr>
              <w:t xml:space="preserve">proactive </w:t>
            </w:r>
            <w:r w:rsidRPr="003C527B">
              <w:rPr>
                <w:sz w:val="16"/>
                <w:szCs w:val="16"/>
              </w:rPr>
              <w:t>rationalization measures</w:t>
            </w:r>
            <w:r>
              <w:rPr>
                <w:sz w:val="16"/>
                <w:szCs w:val="16"/>
              </w:rPr>
              <w:t>, business sectors were encouraged to be more conscious of the importance of concise documentation, resulting in the translation workload being more effectively contained.  As regards the effective implementation of the Language Policy, mitigation measures included a phased implementation approach and an increased reliance on outsourcing and use of translation technologies.</w:t>
            </w:r>
          </w:p>
        </w:tc>
        <w:tc>
          <w:tcPr>
            <w:tcW w:w="2426" w:type="dxa"/>
            <w:tcBorders>
              <w:top w:val="single" w:sz="4" w:space="0" w:color="auto"/>
            </w:tcBorders>
          </w:tcPr>
          <w:p w:rsidR="00E321A5" w:rsidRPr="003C527B" w:rsidRDefault="00E321A5" w:rsidP="007854A1">
            <w:pPr>
              <w:keepNext/>
              <w:keepLines/>
              <w:rPr>
                <w:sz w:val="16"/>
                <w:szCs w:val="16"/>
              </w:rPr>
            </w:pPr>
            <w:r>
              <w:rPr>
                <w:sz w:val="16"/>
                <w:szCs w:val="16"/>
              </w:rPr>
              <w:t xml:space="preserve">With the risk effectively mitigated, there was no impact on Program performance in 2014/15. </w:t>
            </w:r>
          </w:p>
        </w:tc>
      </w:tr>
    </w:tbl>
    <w:p w:rsidR="00E321A5" w:rsidRDefault="00E321A5" w:rsidP="007854A1">
      <w:pPr>
        <w:rPr>
          <w:rFonts w:cs="Arial"/>
          <w:color w:val="000000"/>
          <w:szCs w:val="22"/>
        </w:rPr>
      </w:pPr>
    </w:p>
    <w:p w:rsidR="00E321A5" w:rsidRPr="006B1527" w:rsidRDefault="00E321A5" w:rsidP="00E321A5">
      <w:pPr>
        <w:keepNext/>
        <w:keepLines/>
        <w:rPr>
          <w:szCs w:val="20"/>
        </w:rPr>
      </w:pPr>
      <w:r w:rsidRPr="006B1527">
        <w:rPr>
          <w:rFonts w:cs="Arial"/>
          <w:color w:val="000000"/>
          <w:szCs w:val="22"/>
        </w:rPr>
        <w:t>RESOURCE UTILIZATION</w:t>
      </w:r>
    </w:p>
    <w:p w:rsidR="00E321A5" w:rsidRDefault="00E321A5" w:rsidP="00E321A5">
      <w:pPr>
        <w:keepNext/>
        <w:keepLines/>
        <w:rPr>
          <w:szCs w:val="20"/>
        </w:rPr>
      </w:pPr>
    </w:p>
    <w:p w:rsidR="00E321A5" w:rsidRPr="000B3AA7" w:rsidRDefault="00E321A5" w:rsidP="00E321A5">
      <w:pPr>
        <w:pStyle w:val="NormalWeb"/>
        <w:keepNext/>
        <w:keepLines/>
        <w:spacing w:before="0" w:beforeAutospacing="0" w:after="0" w:afterAutospacing="0"/>
        <w:jc w:val="center"/>
        <w:rPr>
          <w:sz w:val="20"/>
          <w:szCs w:val="20"/>
        </w:rPr>
      </w:pPr>
      <w:r w:rsidRPr="000B3AA7">
        <w:rPr>
          <w:color w:val="000000"/>
          <w:sz w:val="20"/>
          <w:szCs w:val="20"/>
        </w:rPr>
        <w:t xml:space="preserve">Budget and Actual Expenditure (by result) </w:t>
      </w:r>
    </w:p>
    <w:p w:rsidR="00E321A5" w:rsidRPr="000B3AA7" w:rsidRDefault="00E321A5" w:rsidP="00E321A5">
      <w:pPr>
        <w:pStyle w:val="NormalWeb"/>
        <w:keepNext/>
        <w:keepLines/>
        <w:spacing w:before="0" w:beforeAutospacing="0" w:after="0" w:afterAutospacing="0"/>
        <w:jc w:val="center"/>
        <w:rPr>
          <w:i/>
          <w:iCs/>
          <w:color w:val="000000"/>
          <w:sz w:val="20"/>
          <w:szCs w:val="20"/>
        </w:rPr>
      </w:pPr>
      <w:r w:rsidRPr="000B3AA7">
        <w:rPr>
          <w:i/>
          <w:iCs/>
          <w:color w:val="000000"/>
          <w:sz w:val="20"/>
          <w:szCs w:val="20"/>
        </w:rPr>
        <w:t>(in thousands of Swiss francs)</w:t>
      </w:r>
    </w:p>
    <w:p w:rsidR="00E321A5" w:rsidRPr="000B3AA7" w:rsidRDefault="00E321A5" w:rsidP="00E321A5">
      <w:pPr>
        <w:pStyle w:val="NormalWeb"/>
        <w:keepNext/>
        <w:keepLines/>
        <w:spacing w:before="0" w:beforeAutospacing="0" w:after="0" w:afterAutospacing="0"/>
        <w:jc w:val="center"/>
        <w:rPr>
          <w:sz w:val="20"/>
          <w:szCs w:val="20"/>
        </w:rPr>
      </w:pPr>
    </w:p>
    <w:p w:rsidR="00E321A5" w:rsidRPr="000B3AA7" w:rsidRDefault="00E321A5" w:rsidP="00E321A5">
      <w:pPr>
        <w:keepNext/>
        <w:keepLines/>
        <w:jc w:val="center"/>
      </w:pPr>
      <w:r w:rsidRPr="009B70CD">
        <w:rPr>
          <w:noProof/>
        </w:rPr>
        <w:drawing>
          <wp:inline distT="0" distB="0" distL="0" distR="0" wp14:anchorId="3EA723BE" wp14:editId="2D1309DD">
            <wp:extent cx="5222081" cy="1244868"/>
            <wp:effectExtent l="0" t="0" r="0" b="0"/>
            <wp:docPr id="155" name="Picture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9">
                      <a:extLst>
                        <a:ext uri="{28A0092B-C50C-407E-A947-70E740481C1C}">
                          <a14:useLocalDpi xmlns:a14="http://schemas.microsoft.com/office/drawing/2010/main" val="0"/>
                        </a:ext>
                      </a:extLst>
                    </a:blip>
                    <a:srcRect/>
                    <a:stretch>
                      <a:fillRect/>
                    </a:stretch>
                  </pic:blipFill>
                  <pic:spPr bwMode="auto">
                    <a:xfrm>
                      <a:off x="0" y="0"/>
                      <a:ext cx="5221938" cy="1244834"/>
                    </a:xfrm>
                    <a:prstGeom prst="rect">
                      <a:avLst/>
                    </a:prstGeom>
                    <a:noFill/>
                    <a:ln>
                      <a:noFill/>
                    </a:ln>
                  </pic:spPr>
                </pic:pic>
              </a:graphicData>
            </a:graphic>
          </wp:inline>
        </w:drawing>
      </w:r>
    </w:p>
    <w:p w:rsidR="00E321A5" w:rsidRPr="000B3AA7" w:rsidRDefault="00E321A5" w:rsidP="007854A1">
      <w:pPr>
        <w:jc w:val="center"/>
      </w:pPr>
    </w:p>
    <w:p w:rsidR="00E321A5" w:rsidRPr="000B3AA7" w:rsidRDefault="00E321A5" w:rsidP="007854A1"/>
    <w:p w:rsidR="00E321A5" w:rsidRPr="000B3AA7" w:rsidRDefault="00E321A5" w:rsidP="007854A1">
      <w:pPr>
        <w:pStyle w:val="NormalWeb"/>
        <w:keepNext/>
        <w:keepLines/>
        <w:spacing w:before="0" w:beforeAutospacing="0" w:after="0" w:afterAutospacing="0"/>
        <w:jc w:val="center"/>
        <w:rPr>
          <w:sz w:val="20"/>
          <w:szCs w:val="20"/>
        </w:rPr>
      </w:pPr>
      <w:r w:rsidRPr="000B3AA7">
        <w:rPr>
          <w:color w:val="000000"/>
          <w:sz w:val="20"/>
          <w:szCs w:val="20"/>
        </w:rPr>
        <w:t xml:space="preserve">Budget and Actual Expenditure (personnel and non-personnel) </w:t>
      </w:r>
    </w:p>
    <w:p w:rsidR="00E321A5" w:rsidRPr="000B3AA7" w:rsidRDefault="00E321A5" w:rsidP="007854A1">
      <w:pPr>
        <w:pStyle w:val="NormalWeb"/>
        <w:keepNext/>
        <w:keepLines/>
        <w:spacing w:before="0" w:beforeAutospacing="0" w:after="0" w:afterAutospacing="0"/>
        <w:jc w:val="center"/>
        <w:rPr>
          <w:i/>
          <w:iCs/>
          <w:color w:val="000000"/>
          <w:sz w:val="20"/>
          <w:szCs w:val="20"/>
        </w:rPr>
      </w:pPr>
      <w:r w:rsidRPr="000B3AA7">
        <w:rPr>
          <w:i/>
          <w:iCs/>
          <w:color w:val="000000"/>
          <w:sz w:val="20"/>
          <w:szCs w:val="20"/>
        </w:rPr>
        <w:t>(in thousands of Swiss francs)</w:t>
      </w:r>
    </w:p>
    <w:p w:rsidR="00E321A5" w:rsidRPr="000B3AA7" w:rsidRDefault="00E321A5" w:rsidP="007854A1">
      <w:pPr>
        <w:pStyle w:val="NormalWeb"/>
        <w:keepNext/>
        <w:keepLines/>
        <w:spacing w:before="0" w:beforeAutospacing="0" w:after="0" w:afterAutospacing="0"/>
        <w:jc w:val="center"/>
      </w:pPr>
    </w:p>
    <w:p w:rsidR="00E321A5" w:rsidRPr="000B3AA7" w:rsidRDefault="00E321A5" w:rsidP="007854A1">
      <w:pPr>
        <w:widowControl w:val="0"/>
        <w:autoSpaceDE w:val="0"/>
        <w:autoSpaceDN w:val="0"/>
        <w:adjustRightInd w:val="0"/>
        <w:jc w:val="center"/>
        <w:rPr>
          <w:rFonts w:cs="Arial"/>
          <w:szCs w:val="20"/>
        </w:rPr>
      </w:pPr>
      <w:r w:rsidRPr="006B3D11">
        <w:rPr>
          <w:noProof/>
        </w:rPr>
        <w:drawing>
          <wp:inline distT="0" distB="0" distL="0" distR="0" wp14:anchorId="4E6E34F5" wp14:editId="74F27464">
            <wp:extent cx="5200650" cy="1000961"/>
            <wp:effectExtent l="0" t="0" r="0" b="8890"/>
            <wp:docPr id="156" name="Picture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0">
                      <a:extLst>
                        <a:ext uri="{28A0092B-C50C-407E-A947-70E740481C1C}">
                          <a14:useLocalDpi xmlns:a14="http://schemas.microsoft.com/office/drawing/2010/main" val="0"/>
                        </a:ext>
                      </a:extLst>
                    </a:blip>
                    <a:srcRect/>
                    <a:stretch>
                      <a:fillRect/>
                    </a:stretch>
                  </pic:blipFill>
                  <pic:spPr bwMode="auto">
                    <a:xfrm>
                      <a:off x="0" y="0"/>
                      <a:ext cx="5216187" cy="1003951"/>
                    </a:xfrm>
                    <a:prstGeom prst="rect">
                      <a:avLst/>
                    </a:prstGeom>
                    <a:noFill/>
                    <a:ln>
                      <a:noFill/>
                    </a:ln>
                  </pic:spPr>
                </pic:pic>
              </a:graphicData>
            </a:graphic>
          </wp:inline>
        </w:drawing>
      </w:r>
    </w:p>
    <w:p w:rsidR="00E321A5" w:rsidRPr="000B3AA7" w:rsidRDefault="00E321A5" w:rsidP="007854A1">
      <w:pPr>
        <w:widowControl w:val="0"/>
        <w:autoSpaceDE w:val="0"/>
        <w:autoSpaceDN w:val="0"/>
        <w:adjustRightInd w:val="0"/>
        <w:rPr>
          <w:rFonts w:cs="Arial"/>
          <w:szCs w:val="20"/>
        </w:rPr>
      </w:pPr>
    </w:p>
    <w:p w:rsidR="00E321A5" w:rsidRDefault="00E321A5" w:rsidP="007854A1">
      <w:pPr>
        <w:jc w:val="both"/>
        <w:rPr>
          <w:rFonts w:cs="Arial"/>
          <w:szCs w:val="20"/>
        </w:rPr>
      </w:pPr>
    </w:p>
    <w:p w:rsidR="00E321A5" w:rsidRPr="00ED7180" w:rsidRDefault="00E321A5" w:rsidP="00F33ED1">
      <w:pPr>
        <w:pStyle w:val="ListParagraph"/>
        <w:numPr>
          <w:ilvl w:val="0"/>
          <w:numId w:val="74"/>
        </w:numPr>
        <w:ind w:left="709" w:hanging="709"/>
        <w:jc w:val="both"/>
        <w:rPr>
          <w:u w:val="single"/>
        </w:rPr>
      </w:pPr>
      <w:r w:rsidRPr="00ED7180">
        <w:rPr>
          <w:u w:val="single"/>
        </w:rPr>
        <w:t xml:space="preserve">2014/15 Final Budget after Transfers </w:t>
      </w:r>
    </w:p>
    <w:p w:rsidR="00E321A5" w:rsidRPr="00ED7180" w:rsidRDefault="00E321A5" w:rsidP="007854A1">
      <w:pPr>
        <w:jc w:val="both"/>
        <w:rPr>
          <w:szCs w:val="20"/>
        </w:rPr>
      </w:pPr>
    </w:p>
    <w:p w:rsidR="00E321A5" w:rsidRDefault="00E321A5" w:rsidP="00E321A5">
      <w:pPr>
        <w:pStyle w:val="ListParagraph"/>
        <w:numPr>
          <w:ilvl w:val="0"/>
          <w:numId w:val="73"/>
        </w:numPr>
        <w:tabs>
          <w:tab w:val="left" w:pos="709"/>
        </w:tabs>
        <w:ind w:left="0" w:firstLine="0"/>
        <w:jc w:val="both"/>
      </w:pPr>
      <w:r w:rsidRPr="00ED7180">
        <w:t xml:space="preserve">The Final Budget after Transfers (non-personnel) reflects a slight </w:t>
      </w:r>
      <w:r>
        <w:t xml:space="preserve">net </w:t>
      </w:r>
      <w:r w:rsidRPr="00ED7180">
        <w:t xml:space="preserve">downward adjustment made for cost efficiency gains compensated by the redeployment of personnel resources to non-personnel for the hiring of temporary secretarial assistance for conference </w:t>
      </w:r>
      <w:r>
        <w:t xml:space="preserve">and printing </w:t>
      </w:r>
      <w:r w:rsidRPr="00ED7180">
        <w:t xml:space="preserve">services. </w:t>
      </w:r>
    </w:p>
    <w:p w:rsidR="00E321A5" w:rsidRPr="00ED7180" w:rsidRDefault="00E321A5" w:rsidP="007854A1">
      <w:pPr>
        <w:pStyle w:val="ListParagraph"/>
        <w:tabs>
          <w:tab w:val="left" w:pos="709"/>
        </w:tabs>
        <w:ind w:left="0"/>
        <w:jc w:val="both"/>
      </w:pPr>
    </w:p>
    <w:p w:rsidR="00E321A5" w:rsidRPr="00ED7180" w:rsidRDefault="00E321A5" w:rsidP="00E321A5">
      <w:pPr>
        <w:pStyle w:val="ListParagraph"/>
        <w:numPr>
          <w:ilvl w:val="0"/>
          <w:numId w:val="73"/>
        </w:numPr>
        <w:tabs>
          <w:tab w:val="left" w:pos="709"/>
        </w:tabs>
        <w:ind w:left="0" w:firstLine="0"/>
        <w:jc w:val="both"/>
      </w:pPr>
      <w:r w:rsidRPr="00ED7180">
        <w:t xml:space="preserve">The decrease in the 2014/15 Final Budget after Transfers </w:t>
      </w:r>
      <w:r>
        <w:t>(</w:t>
      </w:r>
      <w:r w:rsidRPr="00ED7180">
        <w:t>personnel resources</w:t>
      </w:r>
      <w:r>
        <w:t>)</w:t>
      </w:r>
      <w:r w:rsidRPr="00ED7180">
        <w:t xml:space="preserve"> </w:t>
      </w:r>
      <w:r>
        <w:t>was</w:t>
      </w:r>
      <w:r w:rsidRPr="00ED7180">
        <w:t xml:space="preserve"> primarily the result of the redeployment of resources to:  (i) reinforce administrative services in the WIPO </w:t>
      </w:r>
      <w:r>
        <w:t>A</w:t>
      </w:r>
      <w:r w:rsidRPr="00ED7180">
        <w:t xml:space="preserve">cademy (Program 11);  (ii) strengthen premises infrastructure services (Program 24); </w:t>
      </w:r>
      <w:r>
        <w:t xml:space="preserve"> </w:t>
      </w:r>
      <w:r w:rsidRPr="00ED7180">
        <w:t>and (iii) transfers to non</w:t>
      </w:r>
      <w:r>
        <w:noBreakHyphen/>
      </w:r>
      <w:r w:rsidRPr="00ED7180">
        <w:t>personnel as referenced above.</w:t>
      </w:r>
    </w:p>
    <w:p w:rsidR="00E321A5" w:rsidRPr="00ED7180" w:rsidRDefault="00E321A5" w:rsidP="007854A1">
      <w:pPr>
        <w:jc w:val="both"/>
        <w:rPr>
          <w:szCs w:val="20"/>
        </w:rPr>
      </w:pPr>
    </w:p>
    <w:p w:rsidR="00E321A5" w:rsidRPr="00ED7180" w:rsidRDefault="00E321A5" w:rsidP="007854A1">
      <w:pPr>
        <w:jc w:val="both"/>
        <w:rPr>
          <w:szCs w:val="20"/>
        </w:rPr>
      </w:pPr>
    </w:p>
    <w:p w:rsidR="00E321A5" w:rsidRPr="00ED7180" w:rsidRDefault="00E321A5" w:rsidP="00F33ED1">
      <w:pPr>
        <w:pStyle w:val="ListParagraph"/>
        <w:numPr>
          <w:ilvl w:val="0"/>
          <w:numId w:val="74"/>
        </w:numPr>
        <w:ind w:left="709" w:hanging="709"/>
        <w:jc w:val="both"/>
        <w:rPr>
          <w:u w:val="single"/>
        </w:rPr>
      </w:pPr>
      <w:r w:rsidRPr="00ED7180">
        <w:rPr>
          <w:u w:val="single"/>
        </w:rPr>
        <w:t xml:space="preserve">2014/15 Budget Utilization </w:t>
      </w:r>
    </w:p>
    <w:p w:rsidR="00E321A5" w:rsidRPr="00ED7180" w:rsidRDefault="00E321A5" w:rsidP="007854A1">
      <w:pPr>
        <w:jc w:val="both"/>
        <w:rPr>
          <w:szCs w:val="20"/>
        </w:rPr>
      </w:pPr>
    </w:p>
    <w:p w:rsidR="00E321A5" w:rsidRDefault="00E321A5" w:rsidP="00E321A5">
      <w:pPr>
        <w:pStyle w:val="ListParagraph"/>
        <w:numPr>
          <w:ilvl w:val="0"/>
          <w:numId w:val="73"/>
        </w:numPr>
        <w:tabs>
          <w:tab w:val="left" w:pos="709"/>
        </w:tabs>
        <w:autoSpaceDE w:val="0"/>
        <w:autoSpaceDN w:val="0"/>
        <w:ind w:left="0" w:firstLine="0"/>
        <w:jc w:val="both"/>
      </w:pPr>
      <w:r w:rsidRPr="00ED7180">
        <w:t>The underutilization of non-personnel resources was primarily due to cost efficiency savings achieved by a reduction in:</w:t>
      </w:r>
      <w:r>
        <w:t xml:space="preserve"> </w:t>
      </w:r>
      <w:r w:rsidR="008F399E">
        <w:t xml:space="preserve"> </w:t>
      </w:r>
      <w:r>
        <w:t xml:space="preserve">(i) </w:t>
      </w:r>
      <w:r w:rsidRPr="00ED7180">
        <w:t>translation costs due to renegotiated contracts with external translators</w:t>
      </w:r>
      <w:r>
        <w:t xml:space="preserve">; </w:t>
      </w:r>
      <w:r w:rsidR="008F399E">
        <w:t xml:space="preserve"> </w:t>
      </w:r>
      <w:r>
        <w:t>(ii) </w:t>
      </w:r>
      <w:r w:rsidRPr="00ED7180">
        <w:t>printing costs following the renegotiation of leasing contracts for printers</w:t>
      </w:r>
      <w:r>
        <w:t xml:space="preserve">; </w:t>
      </w:r>
      <w:r w:rsidR="008F399E">
        <w:t xml:space="preserve"> </w:t>
      </w:r>
      <w:r>
        <w:t xml:space="preserve">(iii) </w:t>
      </w:r>
      <w:r w:rsidRPr="00ED7180">
        <w:t xml:space="preserve">mailing costs resulting from negotiated lower tariffs with external mail providers;  and </w:t>
      </w:r>
      <w:r>
        <w:t xml:space="preserve">(iv) </w:t>
      </w:r>
      <w:r w:rsidRPr="00ED7180">
        <w:t xml:space="preserve">the transfer of resources for an intern </w:t>
      </w:r>
      <w:r>
        <w:t>(</w:t>
      </w:r>
      <w:r w:rsidRPr="00ED7180">
        <w:t xml:space="preserve">to Program 23 which centrally </w:t>
      </w:r>
      <w:r>
        <w:t>manages interns).</w:t>
      </w:r>
    </w:p>
    <w:p w:rsidR="004E366B" w:rsidRPr="000B3AA7" w:rsidRDefault="004E366B" w:rsidP="00295D7D">
      <w:pPr>
        <w:autoSpaceDE w:val="0"/>
        <w:autoSpaceDN w:val="0"/>
        <w:jc w:val="both"/>
      </w:pPr>
    </w:p>
    <w:p w:rsidR="0036297A" w:rsidRDefault="0036297A">
      <w:r>
        <w:br w:type="page"/>
      </w:r>
    </w:p>
    <w:p w:rsidR="0036297A" w:rsidRPr="007E3779" w:rsidRDefault="00127901" w:rsidP="00127901">
      <w:pPr>
        <w:pStyle w:val="Heading2"/>
        <w:tabs>
          <w:tab w:val="clear" w:pos="567"/>
          <w:tab w:val="left" w:pos="1985"/>
        </w:tabs>
        <w:ind w:left="1985" w:hanging="1985"/>
        <w:rPr>
          <w:sz w:val="20"/>
          <w:szCs w:val="20"/>
        </w:rPr>
      </w:pPr>
      <w:bookmarkStart w:id="113" w:name="_Toc454544502"/>
      <w:r>
        <w:rPr>
          <w:sz w:val="20"/>
          <w:szCs w:val="20"/>
        </w:rPr>
        <w:t>PROGRAM 28</w:t>
      </w:r>
      <w:r>
        <w:rPr>
          <w:sz w:val="20"/>
          <w:szCs w:val="20"/>
        </w:rPr>
        <w:tab/>
      </w:r>
      <w:r w:rsidR="0036297A" w:rsidRPr="007E3779">
        <w:rPr>
          <w:sz w:val="20"/>
          <w:szCs w:val="20"/>
        </w:rPr>
        <w:t>SAFETY AND SECURITY</w:t>
      </w:r>
      <w:bookmarkEnd w:id="113"/>
    </w:p>
    <w:p w:rsidR="0036297A" w:rsidRPr="007E3779" w:rsidRDefault="0036297A" w:rsidP="0036297A">
      <w:pPr>
        <w:tabs>
          <w:tab w:val="left" w:pos="1985"/>
        </w:tabs>
        <w:rPr>
          <w:szCs w:val="20"/>
        </w:rPr>
      </w:pPr>
    </w:p>
    <w:p w:rsidR="0036297A" w:rsidRPr="007E3779" w:rsidRDefault="0036297A" w:rsidP="0036297A">
      <w:pPr>
        <w:tabs>
          <w:tab w:val="left" w:pos="1985"/>
        </w:tabs>
        <w:rPr>
          <w:b/>
          <w:szCs w:val="20"/>
        </w:rPr>
      </w:pPr>
      <w:r w:rsidRPr="007E3779">
        <w:rPr>
          <w:b/>
          <w:szCs w:val="20"/>
        </w:rPr>
        <w:t>Program Manager</w:t>
      </w:r>
      <w:r w:rsidRPr="007E3779">
        <w:rPr>
          <w:b/>
          <w:szCs w:val="20"/>
        </w:rPr>
        <w:tab/>
        <w:t>Mr. A. Sundaram</w:t>
      </w:r>
    </w:p>
    <w:p w:rsidR="0036297A" w:rsidRPr="007E3779" w:rsidRDefault="0036297A" w:rsidP="008D1891">
      <w:pPr>
        <w:rPr>
          <w:szCs w:val="20"/>
        </w:rPr>
      </w:pPr>
    </w:p>
    <w:p w:rsidR="005C0E88" w:rsidRPr="007E3779" w:rsidRDefault="005C0E88" w:rsidP="001363EE">
      <w:pPr>
        <w:rPr>
          <w:szCs w:val="20"/>
        </w:rPr>
      </w:pPr>
    </w:p>
    <w:p w:rsidR="005C0E88" w:rsidRPr="007E3779" w:rsidRDefault="005C0E88" w:rsidP="001363EE">
      <w:pPr>
        <w:rPr>
          <w:bCs/>
          <w:szCs w:val="20"/>
        </w:rPr>
      </w:pPr>
      <w:r>
        <w:rPr>
          <w:bCs/>
          <w:szCs w:val="20"/>
        </w:rPr>
        <w:t>ACHIEVEMENTS IN THE 2014/15 BIENNIUM</w:t>
      </w:r>
    </w:p>
    <w:p w:rsidR="005C0E88" w:rsidRDefault="005C0E88" w:rsidP="001363EE">
      <w:pPr>
        <w:rPr>
          <w:bCs/>
          <w:szCs w:val="20"/>
        </w:rPr>
      </w:pPr>
    </w:p>
    <w:p w:rsidR="005C0E88" w:rsidRDefault="005C0E88" w:rsidP="005C0E88">
      <w:pPr>
        <w:pStyle w:val="ListParagraph"/>
        <w:numPr>
          <w:ilvl w:val="0"/>
          <w:numId w:val="36"/>
        </w:numPr>
        <w:tabs>
          <w:tab w:val="left" w:pos="709"/>
        </w:tabs>
        <w:ind w:left="0" w:firstLine="0"/>
        <w:jc w:val="both"/>
        <w:rPr>
          <w:bCs/>
        </w:rPr>
      </w:pPr>
      <w:r>
        <w:rPr>
          <w:bCs/>
        </w:rPr>
        <w:t xml:space="preserve">The safety and security context within which WIPO operated in 2014/15 remained globally complex, but also broadly stable in the countries where WIPO has a presence.  The Program continued to manage organization-wide safety and security systems throughout the biennium, including for the new WIPO Conference Hall facilities, which opened in September 2014. </w:t>
      </w:r>
    </w:p>
    <w:p w:rsidR="005C0E88" w:rsidRDefault="005C0E88" w:rsidP="001363EE">
      <w:pPr>
        <w:jc w:val="both"/>
        <w:rPr>
          <w:bCs/>
          <w:szCs w:val="20"/>
        </w:rPr>
      </w:pPr>
    </w:p>
    <w:p w:rsidR="005C0E88" w:rsidRDefault="005C0E88" w:rsidP="005C0E88">
      <w:pPr>
        <w:pStyle w:val="ListParagraph"/>
        <w:numPr>
          <w:ilvl w:val="0"/>
          <w:numId w:val="36"/>
        </w:numPr>
        <w:tabs>
          <w:tab w:val="left" w:pos="709"/>
        </w:tabs>
        <w:ind w:left="0" w:firstLine="0"/>
        <w:jc w:val="both"/>
        <w:rPr>
          <w:bCs/>
        </w:rPr>
      </w:pPr>
      <w:r>
        <w:rPr>
          <w:bCs/>
        </w:rPr>
        <w:t>International travel safety of WIPO staff members remained a critical area of focus in 2014/15, as various regions visited by staff were impacted by instability and security-related events, in particular towards the end of 2015.  The unfortunate terrorist events in Paris, France in November 2015 impacted WIPO’s safety and security operations with the implementation of additional security measures, including the strengthening of the Organization’s collaboration with the Host Government.  These efforts enabled WIPO to meet its commitments to participate in events and conferences such as the 21</w:t>
      </w:r>
      <w:r w:rsidRPr="00E911CE">
        <w:rPr>
          <w:bCs/>
          <w:vertAlign w:val="superscript"/>
        </w:rPr>
        <w:t>st</w:t>
      </w:r>
      <w:r>
        <w:rPr>
          <w:bCs/>
        </w:rPr>
        <w:t xml:space="preserve"> session of the Conference of the Parties to the UNFCCC (</w:t>
      </w:r>
      <w:r w:rsidRPr="002B479D">
        <w:rPr>
          <w:bCs/>
        </w:rPr>
        <w:t>COP 21</w:t>
      </w:r>
      <w:r>
        <w:rPr>
          <w:bCs/>
        </w:rPr>
        <w:t>),</w:t>
      </w:r>
      <w:r w:rsidRPr="002B479D">
        <w:rPr>
          <w:bCs/>
        </w:rPr>
        <w:t xml:space="preserve"> </w:t>
      </w:r>
      <w:r>
        <w:rPr>
          <w:bCs/>
        </w:rPr>
        <w:t>held in Paris from December 7 to 8, 2015.</w:t>
      </w:r>
      <w:r w:rsidRPr="002B479D">
        <w:rPr>
          <w:bCs/>
        </w:rPr>
        <w:t xml:space="preserve"> </w:t>
      </w:r>
    </w:p>
    <w:p w:rsidR="005C0E88" w:rsidRDefault="005C0E88" w:rsidP="001363EE">
      <w:pPr>
        <w:jc w:val="both"/>
        <w:rPr>
          <w:bCs/>
          <w:szCs w:val="20"/>
        </w:rPr>
      </w:pPr>
    </w:p>
    <w:p w:rsidR="005C0E88" w:rsidRDefault="005C0E88" w:rsidP="005C0E88">
      <w:pPr>
        <w:pStyle w:val="ListParagraph"/>
        <w:numPr>
          <w:ilvl w:val="0"/>
          <w:numId w:val="36"/>
        </w:numPr>
        <w:tabs>
          <w:tab w:val="left" w:pos="709"/>
        </w:tabs>
        <w:ind w:left="0" w:firstLine="0"/>
        <w:jc w:val="both"/>
        <w:rPr>
          <w:bCs/>
        </w:rPr>
      </w:pPr>
      <w:r>
        <w:rPr>
          <w:bCs/>
        </w:rPr>
        <w:t>The biennium 2014/15 also saw the finalization and advancement of a</w:t>
      </w:r>
      <w:r w:rsidRPr="00B17B14">
        <w:rPr>
          <w:bCs/>
        </w:rPr>
        <w:t xml:space="preserve"> number of important </w:t>
      </w:r>
      <w:r>
        <w:rPr>
          <w:bCs/>
        </w:rPr>
        <w:t>safety and security achievements, notably the opening of the new WIPO Access Center (AB reception) and the Security Coordination Operations Center (SCOC), in time to successfully support the twenty-second session of the PBC and the WIPO Assemblies in 2014 as well as over 200 conferences and events</w:t>
      </w:r>
      <w:r w:rsidRPr="001E3CA1">
        <w:rPr>
          <w:bCs/>
        </w:rPr>
        <w:t xml:space="preserve"> </w:t>
      </w:r>
      <w:r>
        <w:rPr>
          <w:bCs/>
        </w:rPr>
        <w:t xml:space="preserve">in 2015 attended by staff, delegates, visitors, and the public.  In addition, the Headquarters Minimum Operating Security Standards (H-MOSS) project was completed in 2015, resulting in enhancements that significantly strengthened safety and security management throughout the WIPO campus, notably:  (i) the implementation of a new vehicle and pedestrian </w:t>
      </w:r>
      <w:r w:rsidRPr="00B17B14">
        <w:rPr>
          <w:bCs/>
        </w:rPr>
        <w:t>access control</w:t>
      </w:r>
      <w:r>
        <w:rPr>
          <w:bCs/>
        </w:rPr>
        <w:t xml:space="preserve"> system; </w:t>
      </w:r>
      <w:r w:rsidRPr="00B17B14">
        <w:rPr>
          <w:bCs/>
        </w:rPr>
        <w:t xml:space="preserve"> </w:t>
      </w:r>
      <w:r>
        <w:rPr>
          <w:bCs/>
        </w:rPr>
        <w:t xml:space="preserve">(ii) technically advanced </w:t>
      </w:r>
      <w:r w:rsidRPr="00B17B14">
        <w:rPr>
          <w:bCs/>
        </w:rPr>
        <w:t>anti-intrusion measures</w:t>
      </w:r>
      <w:r>
        <w:rPr>
          <w:bCs/>
        </w:rPr>
        <w:t xml:space="preserve">; </w:t>
      </w:r>
      <w:r w:rsidRPr="00B17B14">
        <w:rPr>
          <w:bCs/>
        </w:rPr>
        <w:t xml:space="preserve"> </w:t>
      </w:r>
      <w:r>
        <w:rPr>
          <w:bCs/>
        </w:rPr>
        <w:t xml:space="preserve">(iii) a closed circuit television (CCTV) surveillance system;  (iv) a secure Local Area Network (LAN); </w:t>
      </w:r>
      <w:r w:rsidRPr="00B17B14">
        <w:rPr>
          <w:bCs/>
        </w:rPr>
        <w:t xml:space="preserve"> and </w:t>
      </w:r>
      <w:r>
        <w:rPr>
          <w:bCs/>
        </w:rPr>
        <w:t xml:space="preserve">(v) an emergency communications and response system;  and (vi) a fire detection/control and risk management system.  Furthermore, following an extensive competitive process, WIPO selected a new security guard service company to augment its internal safety and security, with the transition to the new guard service scheduled to occur in early 2016.  </w:t>
      </w:r>
    </w:p>
    <w:p w:rsidR="005C0E88" w:rsidRDefault="005C0E88" w:rsidP="001363EE">
      <w:pPr>
        <w:jc w:val="both"/>
        <w:rPr>
          <w:bCs/>
          <w:szCs w:val="20"/>
        </w:rPr>
      </w:pPr>
    </w:p>
    <w:p w:rsidR="005C0E88" w:rsidRDefault="005C0E88" w:rsidP="005C0E88">
      <w:pPr>
        <w:pStyle w:val="ListParagraph"/>
        <w:numPr>
          <w:ilvl w:val="0"/>
          <w:numId w:val="36"/>
        </w:numPr>
        <w:tabs>
          <w:tab w:val="left" w:pos="709"/>
        </w:tabs>
        <w:ind w:left="0" w:firstLine="0"/>
        <w:jc w:val="both"/>
        <w:rPr>
          <w:bCs/>
        </w:rPr>
      </w:pPr>
      <w:r>
        <w:rPr>
          <w:bCs/>
        </w:rPr>
        <w:t>To further optimize operational capacity of the SCOC and the new systems, safety and security staff and members of the on-site security guard team underwent specialized trainings in 2014 and 2015.  The biennium also saw the implementation of new safety management procedures, as well as the update of the existing standard operating procedures (SOPs) and other specific policies.  Furthermore, new security staff performance measures were identified and incorporated in to the SOPs, with a view to further enhancing efficiency and emergency response capacity.</w:t>
      </w:r>
      <w:r w:rsidRPr="00A94178">
        <w:rPr>
          <w:bCs/>
        </w:rPr>
        <w:t xml:space="preserve"> </w:t>
      </w:r>
      <w:r>
        <w:rPr>
          <w:bCs/>
        </w:rPr>
        <w:t xml:space="preserve"> Finally, as part of the Business Continuity Management Strategy (BCMS) and Crisis Management Plan, several safety and security improvements at WIPO’s CAM building </w:t>
      </w:r>
      <w:r w:rsidRPr="004863C4">
        <w:rPr>
          <w:bCs/>
        </w:rPr>
        <w:t>(access control, the upgrade of firewall and detectors, and the installation of a CCTV system)</w:t>
      </w:r>
      <w:r>
        <w:rPr>
          <w:bCs/>
        </w:rPr>
        <w:t xml:space="preserve"> continued to be implemented in 2015 with a focus on establishing an off-site crisis management hub.</w:t>
      </w:r>
    </w:p>
    <w:p w:rsidR="005C0E88" w:rsidRDefault="005C0E88" w:rsidP="001363EE">
      <w:pPr>
        <w:pStyle w:val="ListParagraph"/>
        <w:tabs>
          <w:tab w:val="left" w:pos="709"/>
        </w:tabs>
        <w:ind w:left="0"/>
        <w:jc w:val="both"/>
        <w:rPr>
          <w:bCs/>
        </w:rPr>
      </w:pPr>
    </w:p>
    <w:p w:rsidR="005C0E88" w:rsidRDefault="005C0E88" w:rsidP="005C0E88">
      <w:pPr>
        <w:pStyle w:val="ListParagraph"/>
        <w:numPr>
          <w:ilvl w:val="0"/>
          <w:numId w:val="36"/>
        </w:numPr>
        <w:tabs>
          <w:tab w:val="left" w:pos="709"/>
        </w:tabs>
        <w:ind w:left="0" w:firstLine="0"/>
        <w:jc w:val="both"/>
        <w:rPr>
          <w:bCs/>
        </w:rPr>
      </w:pPr>
      <w:r>
        <w:rPr>
          <w:bCs/>
        </w:rPr>
        <w:t xml:space="preserve">In an effort </w:t>
      </w:r>
      <w:r w:rsidRPr="00971170">
        <w:rPr>
          <w:bCs/>
        </w:rPr>
        <w:t>to enhance the safety/security of WIPO staff, better protect the Organization’s assets and ensure compliance with UN safety and security procedures</w:t>
      </w:r>
      <w:r>
        <w:rPr>
          <w:bCs/>
        </w:rPr>
        <w:t xml:space="preserve">, safety and security assessment audits were completed for all five External Offices in 2014/15 with over 90 per cent of the audit recommendations closed by the end of the biennium.  </w:t>
      </w:r>
      <w:r w:rsidRPr="00971170">
        <w:rPr>
          <w:bCs/>
        </w:rPr>
        <w:t>In addition, an out-reach program under the SCOC was established for WIPO’s External Offices to better address safety and security management through concerted coordination and a 24/7 security support service.</w:t>
      </w:r>
    </w:p>
    <w:p w:rsidR="005C0E88" w:rsidRDefault="005C0E88" w:rsidP="001363EE">
      <w:pPr>
        <w:jc w:val="both"/>
        <w:rPr>
          <w:bCs/>
          <w:szCs w:val="20"/>
        </w:rPr>
      </w:pPr>
    </w:p>
    <w:p w:rsidR="005C0E88" w:rsidRPr="00971170" w:rsidRDefault="005C0E88" w:rsidP="005C0E88">
      <w:pPr>
        <w:pStyle w:val="ListParagraph"/>
        <w:numPr>
          <w:ilvl w:val="0"/>
          <w:numId w:val="36"/>
        </w:numPr>
        <w:tabs>
          <w:tab w:val="left" w:pos="709"/>
        </w:tabs>
        <w:ind w:left="0" w:firstLine="0"/>
        <w:jc w:val="both"/>
        <w:rPr>
          <w:bCs/>
        </w:rPr>
      </w:pPr>
      <w:r w:rsidRPr="00971170">
        <w:rPr>
          <w:bCs/>
        </w:rPr>
        <w:t xml:space="preserve">The total number of reported safety and security incidents </w:t>
      </w:r>
      <w:r>
        <w:rPr>
          <w:bCs/>
        </w:rPr>
        <w:t xml:space="preserve">remained low during the biennium </w:t>
      </w:r>
      <w:r w:rsidRPr="00971170">
        <w:rPr>
          <w:bCs/>
        </w:rPr>
        <w:t xml:space="preserve">with </w:t>
      </w:r>
      <w:r>
        <w:rPr>
          <w:bCs/>
        </w:rPr>
        <w:t>seven</w:t>
      </w:r>
      <w:r w:rsidRPr="00971170">
        <w:rPr>
          <w:bCs/>
        </w:rPr>
        <w:t xml:space="preserve"> safety-related incidents</w:t>
      </w:r>
      <w:r>
        <w:rPr>
          <w:bCs/>
        </w:rPr>
        <w:t xml:space="preserve"> out of 616 or 1.1 per cent </w:t>
      </w:r>
      <w:r w:rsidRPr="00971170">
        <w:rPr>
          <w:bCs/>
        </w:rPr>
        <w:t>resulting in injury</w:t>
      </w:r>
      <w:r>
        <w:rPr>
          <w:bCs/>
        </w:rPr>
        <w:t>: two out of 222 or 0.9 per cent in 2014 and five out of 394 or 1.3 per cent in 2015.</w:t>
      </w:r>
    </w:p>
    <w:p w:rsidR="005C0E88" w:rsidRDefault="005C0E88" w:rsidP="001363EE">
      <w:pPr>
        <w:keepNext/>
        <w:keepLines/>
        <w:jc w:val="both"/>
        <w:rPr>
          <w:bCs/>
          <w:szCs w:val="20"/>
        </w:rPr>
      </w:pPr>
    </w:p>
    <w:p w:rsidR="005C0E88" w:rsidRDefault="005C0E88" w:rsidP="001363EE">
      <w:pPr>
        <w:keepNext/>
        <w:keepLines/>
        <w:jc w:val="both"/>
        <w:rPr>
          <w:bCs/>
          <w:szCs w:val="20"/>
        </w:rPr>
      </w:pPr>
    </w:p>
    <w:p w:rsidR="005C0E88" w:rsidRPr="00EC2855" w:rsidRDefault="005C0E88" w:rsidP="001363EE">
      <w:pPr>
        <w:keepNext/>
        <w:keepLines/>
        <w:jc w:val="both"/>
        <w:rPr>
          <w:rFonts w:cs="Arial"/>
          <w:szCs w:val="20"/>
        </w:rPr>
      </w:pPr>
      <w:r w:rsidRPr="00EC2855">
        <w:rPr>
          <w:rFonts w:cs="Arial"/>
          <w:szCs w:val="20"/>
        </w:rPr>
        <w:t>PERFORMANCE DATA</w:t>
      </w:r>
    </w:p>
    <w:p w:rsidR="005C0E88" w:rsidRDefault="005C0E88" w:rsidP="001363EE">
      <w:pPr>
        <w:keepNext/>
        <w:keepLines/>
        <w:rPr>
          <w:bCs/>
          <w:sz w:val="22"/>
          <w:szCs w:val="22"/>
        </w:rPr>
      </w:pPr>
    </w:p>
    <w:tbl>
      <w:tblPr>
        <w:tblW w:w="4962"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128"/>
        <w:gridCol w:w="2530"/>
        <w:gridCol w:w="1233"/>
        <w:gridCol w:w="2612"/>
        <w:gridCol w:w="995"/>
      </w:tblGrid>
      <w:tr w:rsidR="005C0E88" w:rsidTr="001363EE">
        <w:trPr>
          <w:cantSplit/>
        </w:trPr>
        <w:tc>
          <w:tcPr>
            <w:tcW w:w="5000" w:type="pct"/>
            <w:gridSpan w:val="5"/>
            <w:tcBorders>
              <w:top w:val="single" w:sz="4" w:space="0" w:color="auto"/>
              <w:bottom w:val="single" w:sz="4" w:space="0" w:color="auto"/>
            </w:tcBorders>
            <w:shd w:val="clear" w:color="auto" w:fill="C6D9F1" w:themeFill="text2" w:themeFillTint="33"/>
            <w:vAlign w:val="center"/>
          </w:tcPr>
          <w:p w:rsidR="005C0E88" w:rsidRDefault="005C0E88" w:rsidP="001363EE">
            <w:pPr>
              <w:keepNext/>
              <w:keepLines/>
              <w:tabs>
                <w:tab w:val="left" w:pos="1452"/>
              </w:tabs>
              <w:spacing w:before="120" w:after="120"/>
              <w:ind w:left="1452" w:hanging="1452"/>
              <w:rPr>
                <w:rFonts w:cs="Arial"/>
                <w:b/>
                <w:bCs/>
                <w:sz w:val="16"/>
                <w:szCs w:val="16"/>
              </w:rPr>
            </w:pPr>
            <w:r w:rsidRPr="00234BEF">
              <w:rPr>
                <w:rFonts w:cs="Arial"/>
                <w:b/>
                <w:bCs/>
                <w:sz w:val="16"/>
                <w:szCs w:val="16"/>
              </w:rPr>
              <w:t>Expected Result</w:t>
            </w:r>
            <w:r>
              <w:rPr>
                <w:rFonts w:cs="Arial"/>
                <w:b/>
                <w:bCs/>
                <w:sz w:val="16"/>
                <w:szCs w:val="16"/>
              </w:rPr>
              <w:t>:</w:t>
            </w:r>
            <w:r>
              <w:rPr>
                <w:rFonts w:cs="Arial"/>
                <w:b/>
                <w:bCs/>
                <w:sz w:val="16"/>
                <w:szCs w:val="16"/>
              </w:rPr>
              <w:tab/>
            </w:r>
            <w:r w:rsidRPr="00917C42">
              <w:rPr>
                <w:rFonts w:cs="Arial"/>
                <w:sz w:val="16"/>
                <w:szCs w:val="16"/>
              </w:rPr>
              <w:t>IX.4 An environmentally and socially responsible Organization in which WIPO staff, delegates, visitors and information and physical assets are safe and secure</w:t>
            </w:r>
          </w:p>
        </w:tc>
      </w:tr>
      <w:tr w:rsidR="005C0E88" w:rsidRPr="008C4799" w:rsidTr="001363EE">
        <w:trPr>
          <w:cantSplit/>
        </w:trPr>
        <w:tc>
          <w:tcPr>
            <w:tcW w:w="1120" w:type="pct"/>
            <w:tcBorders>
              <w:top w:val="single" w:sz="4" w:space="0" w:color="auto"/>
            </w:tcBorders>
            <w:shd w:val="clear" w:color="auto" w:fill="auto"/>
            <w:vAlign w:val="center"/>
          </w:tcPr>
          <w:p w:rsidR="005C0E88" w:rsidRPr="008C4799" w:rsidRDefault="005C0E88" w:rsidP="001363EE">
            <w:pPr>
              <w:keepNext/>
              <w:keepLines/>
              <w:rPr>
                <w:rFonts w:cs="Arial"/>
                <w:sz w:val="16"/>
                <w:szCs w:val="16"/>
              </w:rPr>
            </w:pPr>
            <w:r w:rsidRPr="008C4799">
              <w:rPr>
                <w:rFonts w:cs="Arial"/>
                <w:b/>
                <w:bCs/>
                <w:sz w:val="16"/>
                <w:szCs w:val="16"/>
              </w:rPr>
              <w:t>Performance Indicators</w:t>
            </w:r>
          </w:p>
        </w:tc>
        <w:tc>
          <w:tcPr>
            <w:tcW w:w="1332" w:type="pct"/>
            <w:tcBorders>
              <w:top w:val="single" w:sz="4" w:space="0" w:color="auto"/>
            </w:tcBorders>
            <w:shd w:val="clear" w:color="auto" w:fill="auto"/>
            <w:vAlign w:val="center"/>
          </w:tcPr>
          <w:p w:rsidR="005C0E88" w:rsidRPr="008C4799" w:rsidRDefault="005C0E88" w:rsidP="001363EE">
            <w:pPr>
              <w:keepNext/>
              <w:keepLines/>
              <w:rPr>
                <w:rFonts w:cs="Arial"/>
                <w:b/>
                <w:bCs/>
                <w:sz w:val="16"/>
                <w:szCs w:val="16"/>
              </w:rPr>
            </w:pPr>
            <w:r w:rsidRPr="008C4799">
              <w:rPr>
                <w:rFonts w:cs="Arial"/>
                <w:b/>
                <w:bCs/>
                <w:sz w:val="16"/>
                <w:szCs w:val="16"/>
              </w:rPr>
              <w:t>Baselines</w:t>
            </w:r>
          </w:p>
        </w:tc>
        <w:tc>
          <w:tcPr>
            <w:tcW w:w="649" w:type="pct"/>
            <w:tcBorders>
              <w:top w:val="single" w:sz="4" w:space="0" w:color="auto"/>
            </w:tcBorders>
            <w:shd w:val="clear" w:color="auto" w:fill="auto"/>
            <w:tcMar>
              <w:top w:w="110" w:type="dxa"/>
            </w:tcMar>
            <w:vAlign w:val="center"/>
          </w:tcPr>
          <w:p w:rsidR="005C0E88" w:rsidRPr="008C4799" w:rsidRDefault="005C0E88" w:rsidP="001363EE">
            <w:pPr>
              <w:keepNext/>
              <w:keepLines/>
              <w:rPr>
                <w:rFonts w:cs="Arial"/>
                <w:b/>
                <w:sz w:val="16"/>
                <w:szCs w:val="16"/>
              </w:rPr>
            </w:pPr>
            <w:r w:rsidRPr="008C4799">
              <w:rPr>
                <w:rFonts w:cs="Arial"/>
                <w:b/>
                <w:sz w:val="16"/>
                <w:szCs w:val="16"/>
              </w:rPr>
              <w:t>Targets</w:t>
            </w:r>
          </w:p>
        </w:tc>
        <w:tc>
          <w:tcPr>
            <w:tcW w:w="1375" w:type="pct"/>
            <w:tcBorders>
              <w:top w:val="single" w:sz="4" w:space="0" w:color="auto"/>
            </w:tcBorders>
            <w:shd w:val="clear" w:color="auto" w:fill="FFFFFF"/>
            <w:tcMar>
              <w:top w:w="110" w:type="dxa"/>
            </w:tcMar>
            <w:vAlign w:val="center"/>
          </w:tcPr>
          <w:p w:rsidR="005C0E88" w:rsidRPr="008C4799" w:rsidRDefault="005C0E88" w:rsidP="001363EE">
            <w:pPr>
              <w:keepNext/>
              <w:keepLines/>
              <w:rPr>
                <w:rFonts w:cs="Arial"/>
                <w:sz w:val="16"/>
                <w:szCs w:val="16"/>
              </w:rPr>
            </w:pPr>
            <w:r w:rsidRPr="008C4799">
              <w:rPr>
                <w:rFonts w:cs="Arial"/>
                <w:b/>
                <w:bCs/>
                <w:sz w:val="16"/>
                <w:szCs w:val="16"/>
              </w:rPr>
              <w:t>Performance Data</w:t>
            </w:r>
          </w:p>
        </w:tc>
        <w:tc>
          <w:tcPr>
            <w:tcW w:w="524" w:type="pct"/>
            <w:tcBorders>
              <w:top w:val="single" w:sz="4" w:space="0" w:color="auto"/>
            </w:tcBorders>
            <w:shd w:val="clear" w:color="auto" w:fill="auto"/>
            <w:tcMar>
              <w:top w:w="110" w:type="dxa"/>
            </w:tcMar>
            <w:vAlign w:val="center"/>
          </w:tcPr>
          <w:p w:rsidR="005C0E88" w:rsidRPr="008C4799" w:rsidRDefault="005C0E88" w:rsidP="001363EE">
            <w:pPr>
              <w:keepNext/>
              <w:keepLines/>
              <w:jc w:val="center"/>
              <w:rPr>
                <w:rFonts w:cs="Arial"/>
                <w:b/>
                <w:bCs/>
                <w:sz w:val="16"/>
                <w:szCs w:val="16"/>
              </w:rPr>
            </w:pPr>
            <w:r w:rsidRPr="008C4799">
              <w:rPr>
                <w:rFonts w:cs="Arial"/>
                <w:b/>
                <w:bCs/>
                <w:sz w:val="16"/>
                <w:szCs w:val="16"/>
              </w:rPr>
              <w:t>TLS</w:t>
            </w:r>
          </w:p>
        </w:tc>
      </w:tr>
      <w:tr w:rsidR="005C0E88" w:rsidTr="001363EE">
        <w:trPr>
          <w:cantSplit/>
        </w:trPr>
        <w:tc>
          <w:tcPr>
            <w:tcW w:w="1120" w:type="pct"/>
            <w:shd w:val="clear" w:color="auto" w:fill="auto"/>
          </w:tcPr>
          <w:p w:rsidR="005C0E88" w:rsidRPr="00301B3A" w:rsidRDefault="005C0E88" w:rsidP="001363EE">
            <w:pPr>
              <w:keepNext/>
              <w:keepLines/>
              <w:rPr>
                <w:rFonts w:cs="Arial"/>
                <w:sz w:val="16"/>
                <w:szCs w:val="16"/>
              </w:rPr>
            </w:pPr>
            <w:r w:rsidRPr="00917C42">
              <w:rPr>
                <w:rFonts w:cs="Arial"/>
                <w:sz w:val="16"/>
                <w:szCs w:val="16"/>
              </w:rPr>
              <w:t>% of WIPO staff, delegates &amp; visitors reporting a work related injury or incident</w:t>
            </w:r>
          </w:p>
        </w:tc>
        <w:tc>
          <w:tcPr>
            <w:tcW w:w="1332" w:type="pct"/>
            <w:shd w:val="clear" w:color="auto" w:fill="auto"/>
          </w:tcPr>
          <w:p w:rsidR="005C0E88" w:rsidRPr="00C7008C" w:rsidRDefault="005C0E88" w:rsidP="001363EE">
            <w:pPr>
              <w:keepNext/>
              <w:keepLines/>
              <w:rPr>
                <w:rFonts w:cs="Arial"/>
                <w:i/>
                <w:color w:val="002060"/>
                <w:sz w:val="16"/>
                <w:szCs w:val="16"/>
              </w:rPr>
            </w:pPr>
            <w:r>
              <w:rPr>
                <w:rFonts w:cs="Arial"/>
                <w:i/>
                <w:color w:val="002060"/>
                <w:sz w:val="16"/>
                <w:szCs w:val="16"/>
              </w:rPr>
              <w:t>Updated Baseline end 2013</w:t>
            </w:r>
            <w:r w:rsidRPr="00C7008C">
              <w:rPr>
                <w:rFonts w:cs="Arial"/>
                <w:i/>
                <w:color w:val="002060"/>
                <w:sz w:val="16"/>
                <w:szCs w:val="16"/>
              </w:rPr>
              <w:t xml:space="preserve">: </w:t>
            </w:r>
          </w:p>
          <w:p w:rsidR="005C0E88" w:rsidRPr="00142728" w:rsidRDefault="005C0E88" w:rsidP="001363EE">
            <w:pPr>
              <w:keepNext/>
              <w:keepLines/>
              <w:rPr>
                <w:rFonts w:cs="Arial"/>
                <w:color w:val="002060"/>
                <w:sz w:val="16"/>
                <w:szCs w:val="16"/>
              </w:rPr>
            </w:pPr>
            <w:r w:rsidRPr="00142728">
              <w:rPr>
                <w:rFonts w:cs="Arial"/>
                <w:color w:val="002060"/>
                <w:sz w:val="16"/>
                <w:szCs w:val="16"/>
              </w:rPr>
              <w:t>The total percentage of staff related incidents with injuries amounted to less than 2</w:t>
            </w:r>
            <w:r>
              <w:rPr>
                <w:rFonts w:cs="Arial"/>
                <w:color w:val="002060"/>
                <w:sz w:val="16"/>
                <w:szCs w:val="16"/>
              </w:rPr>
              <w:t>%</w:t>
            </w:r>
            <w:r w:rsidRPr="00142728">
              <w:rPr>
                <w:rFonts w:cs="Arial"/>
                <w:color w:val="002060"/>
                <w:sz w:val="16"/>
                <w:szCs w:val="16"/>
              </w:rPr>
              <w:t xml:space="preserve"> during 201</w:t>
            </w:r>
            <w:r>
              <w:rPr>
                <w:rFonts w:cs="Arial"/>
                <w:color w:val="002060"/>
                <w:sz w:val="16"/>
                <w:szCs w:val="16"/>
              </w:rPr>
              <w:t xml:space="preserve">2/13 (6 in </w:t>
            </w:r>
            <w:r w:rsidRPr="00142728">
              <w:rPr>
                <w:rFonts w:cs="Arial"/>
                <w:color w:val="002060"/>
                <w:sz w:val="16"/>
                <w:szCs w:val="16"/>
              </w:rPr>
              <w:t>201</w:t>
            </w:r>
            <w:r>
              <w:rPr>
                <w:rFonts w:cs="Arial"/>
                <w:color w:val="002060"/>
                <w:sz w:val="16"/>
                <w:szCs w:val="16"/>
              </w:rPr>
              <w:t xml:space="preserve">2;4 in </w:t>
            </w:r>
            <w:r w:rsidRPr="00142728">
              <w:rPr>
                <w:rFonts w:cs="Arial"/>
                <w:color w:val="002060"/>
                <w:sz w:val="16"/>
                <w:szCs w:val="16"/>
              </w:rPr>
              <w:t>201</w:t>
            </w:r>
            <w:r>
              <w:rPr>
                <w:rFonts w:cs="Arial"/>
                <w:color w:val="002060"/>
                <w:sz w:val="16"/>
                <w:szCs w:val="16"/>
              </w:rPr>
              <w:t>3</w:t>
            </w:r>
            <w:r w:rsidRPr="00142728">
              <w:rPr>
                <w:rFonts w:cs="Arial"/>
                <w:color w:val="002060"/>
                <w:sz w:val="16"/>
                <w:szCs w:val="16"/>
              </w:rPr>
              <w:t>)</w:t>
            </w:r>
          </w:p>
          <w:p w:rsidR="005C0E88" w:rsidRDefault="005C0E88" w:rsidP="001363EE">
            <w:pPr>
              <w:keepNext/>
              <w:keepLines/>
              <w:rPr>
                <w:rFonts w:cs="Arial"/>
                <w:sz w:val="16"/>
                <w:szCs w:val="16"/>
              </w:rPr>
            </w:pPr>
          </w:p>
          <w:p w:rsidR="005C0E88" w:rsidRDefault="005C0E88" w:rsidP="001363EE">
            <w:pPr>
              <w:keepNext/>
              <w:keepLines/>
              <w:rPr>
                <w:rFonts w:cs="Arial"/>
                <w:sz w:val="16"/>
                <w:szCs w:val="16"/>
              </w:rPr>
            </w:pPr>
            <w:r w:rsidRPr="00C7008C">
              <w:rPr>
                <w:rFonts w:cs="Arial"/>
                <w:i/>
                <w:sz w:val="16"/>
                <w:szCs w:val="16"/>
              </w:rPr>
              <w:t>Original Baseline P&amp;B 201</w:t>
            </w:r>
            <w:r>
              <w:rPr>
                <w:rFonts w:cs="Arial"/>
                <w:i/>
                <w:sz w:val="16"/>
                <w:szCs w:val="16"/>
              </w:rPr>
              <w:t>4</w:t>
            </w:r>
            <w:r w:rsidRPr="00C7008C">
              <w:rPr>
                <w:rFonts w:cs="Arial"/>
                <w:i/>
                <w:sz w:val="16"/>
                <w:szCs w:val="16"/>
              </w:rPr>
              <w:t>/1</w:t>
            </w:r>
            <w:r>
              <w:rPr>
                <w:rFonts w:cs="Arial"/>
                <w:i/>
                <w:sz w:val="16"/>
                <w:szCs w:val="16"/>
              </w:rPr>
              <w:t>5</w:t>
            </w:r>
            <w:r w:rsidRPr="00C7008C">
              <w:rPr>
                <w:rFonts w:cs="Arial"/>
                <w:i/>
                <w:sz w:val="16"/>
                <w:szCs w:val="16"/>
              </w:rPr>
              <w:t>:</w:t>
            </w:r>
            <w:r w:rsidRPr="00C7008C">
              <w:rPr>
                <w:rFonts w:cs="Arial"/>
                <w:sz w:val="16"/>
                <w:szCs w:val="16"/>
              </w:rPr>
              <w:br/>
            </w:r>
            <w:r w:rsidRPr="00917C42">
              <w:rPr>
                <w:rFonts w:cs="Arial"/>
                <w:sz w:val="16"/>
                <w:szCs w:val="16"/>
              </w:rPr>
              <w:t>2% or less of total stakeholders / clients reporting a work related injury or incident</w:t>
            </w:r>
          </w:p>
          <w:p w:rsidR="005C0E88" w:rsidRPr="00301B3A" w:rsidRDefault="005C0E88" w:rsidP="001363EE">
            <w:pPr>
              <w:keepNext/>
              <w:keepLines/>
              <w:rPr>
                <w:rFonts w:cs="Arial"/>
                <w:sz w:val="16"/>
                <w:szCs w:val="16"/>
              </w:rPr>
            </w:pPr>
          </w:p>
        </w:tc>
        <w:tc>
          <w:tcPr>
            <w:tcW w:w="649" w:type="pct"/>
            <w:shd w:val="clear" w:color="auto" w:fill="auto"/>
            <w:tcMar>
              <w:top w:w="110" w:type="dxa"/>
            </w:tcMar>
          </w:tcPr>
          <w:p w:rsidR="005C0E88" w:rsidRPr="00B05940" w:rsidRDefault="005C0E88" w:rsidP="001363EE">
            <w:pPr>
              <w:keepNext/>
              <w:keepLines/>
              <w:rPr>
                <w:rFonts w:cs="Arial"/>
                <w:sz w:val="16"/>
                <w:szCs w:val="16"/>
              </w:rPr>
            </w:pPr>
            <w:r w:rsidRPr="00917C42">
              <w:rPr>
                <w:rFonts w:ascii="ArialMT" w:hAnsi="ArialMT" w:cs="ArialMT"/>
                <w:sz w:val="16"/>
                <w:szCs w:val="16"/>
              </w:rPr>
              <w:t>2% or less</w:t>
            </w:r>
          </w:p>
        </w:tc>
        <w:tc>
          <w:tcPr>
            <w:tcW w:w="1375" w:type="pct"/>
            <w:shd w:val="clear" w:color="auto" w:fill="FFFFFF"/>
            <w:tcMar>
              <w:top w:w="110" w:type="dxa"/>
            </w:tcMar>
          </w:tcPr>
          <w:p w:rsidR="005C0E88" w:rsidRDefault="005C0E88" w:rsidP="001363EE">
            <w:pPr>
              <w:keepNext/>
              <w:keepLines/>
              <w:rPr>
                <w:rFonts w:cs="Arial"/>
                <w:sz w:val="16"/>
                <w:szCs w:val="16"/>
              </w:rPr>
            </w:pPr>
            <w:r w:rsidRPr="00FE4D16">
              <w:rPr>
                <w:rFonts w:cs="Arial"/>
                <w:sz w:val="16"/>
                <w:szCs w:val="16"/>
              </w:rPr>
              <w:t xml:space="preserve">The total percentage of safety related incidents with injuries </w:t>
            </w:r>
            <w:r>
              <w:rPr>
                <w:rFonts w:cs="Arial"/>
                <w:sz w:val="16"/>
                <w:szCs w:val="16"/>
              </w:rPr>
              <w:t xml:space="preserve">in 2014/15 </w:t>
            </w:r>
            <w:r w:rsidRPr="00FE4D16">
              <w:rPr>
                <w:rFonts w:cs="Arial"/>
                <w:sz w:val="16"/>
                <w:szCs w:val="16"/>
              </w:rPr>
              <w:t xml:space="preserve">amounted to </w:t>
            </w:r>
            <w:r>
              <w:rPr>
                <w:rFonts w:cs="Arial"/>
                <w:sz w:val="16"/>
                <w:szCs w:val="16"/>
              </w:rPr>
              <w:t>1.1%:</w:t>
            </w:r>
          </w:p>
          <w:p w:rsidR="005C0E88" w:rsidRDefault="005C0E88" w:rsidP="005C0E88">
            <w:pPr>
              <w:pStyle w:val="ListParagraph"/>
              <w:keepNext/>
              <w:keepLines/>
              <w:numPr>
                <w:ilvl w:val="0"/>
                <w:numId w:val="37"/>
              </w:numPr>
              <w:rPr>
                <w:rFonts w:cs="Arial"/>
                <w:sz w:val="16"/>
                <w:szCs w:val="16"/>
              </w:rPr>
            </w:pPr>
            <w:r>
              <w:rPr>
                <w:rFonts w:cs="Arial"/>
                <w:sz w:val="16"/>
                <w:szCs w:val="16"/>
              </w:rPr>
              <w:t>2 safety related incidents (</w:t>
            </w:r>
            <w:r w:rsidRPr="00053341">
              <w:rPr>
                <w:rFonts w:cs="Arial"/>
                <w:sz w:val="16"/>
                <w:szCs w:val="16"/>
              </w:rPr>
              <w:t>2014</w:t>
            </w:r>
            <w:r>
              <w:rPr>
                <w:rFonts w:cs="Arial"/>
                <w:sz w:val="16"/>
                <w:szCs w:val="16"/>
              </w:rPr>
              <w:t>)</w:t>
            </w:r>
            <w:r w:rsidRPr="00053341">
              <w:rPr>
                <w:rFonts w:cs="Arial"/>
                <w:sz w:val="16"/>
                <w:szCs w:val="16"/>
              </w:rPr>
              <w:t xml:space="preserve"> </w:t>
            </w:r>
          </w:p>
          <w:p w:rsidR="005C0E88" w:rsidRPr="00053341" w:rsidRDefault="005C0E88" w:rsidP="005C0E88">
            <w:pPr>
              <w:pStyle w:val="ListParagraph"/>
              <w:keepNext/>
              <w:keepLines/>
              <w:numPr>
                <w:ilvl w:val="0"/>
                <w:numId w:val="37"/>
              </w:numPr>
              <w:rPr>
                <w:rFonts w:cs="Arial"/>
                <w:sz w:val="16"/>
                <w:szCs w:val="16"/>
              </w:rPr>
            </w:pPr>
            <w:r>
              <w:rPr>
                <w:rFonts w:cs="Arial"/>
                <w:sz w:val="16"/>
                <w:szCs w:val="16"/>
              </w:rPr>
              <w:t>5 safety related incidents (2015)</w:t>
            </w:r>
          </w:p>
        </w:tc>
        <w:tc>
          <w:tcPr>
            <w:tcW w:w="524" w:type="pct"/>
            <w:shd w:val="clear" w:color="auto" w:fill="auto"/>
            <w:tcMar>
              <w:top w:w="110" w:type="dxa"/>
            </w:tcMar>
          </w:tcPr>
          <w:p w:rsidR="005C0E88" w:rsidRPr="00BD13DE" w:rsidRDefault="005C0E88" w:rsidP="001363EE">
            <w:pPr>
              <w:keepNext/>
              <w:keepLines/>
              <w:jc w:val="center"/>
              <w:rPr>
                <w:rFonts w:cs="Arial"/>
                <w:b/>
                <w:bCs/>
                <w:color w:val="00B050"/>
                <w:sz w:val="16"/>
                <w:szCs w:val="16"/>
              </w:rPr>
            </w:pPr>
            <w:r w:rsidRPr="005A1EBF">
              <w:rPr>
                <w:rFonts w:cs="Arial"/>
                <w:b/>
                <w:bCs/>
                <w:color w:val="00B050"/>
                <w:sz w:val="16"/>
                <w:szCs w:val="16"/>
              </w:rPr>
              <w:t>Fully Achieved</w:t>
            </w:r>
          </w:p>
        </w:tc>
      </w:tr>
      <w:tr w:rsidR="005C0E88" w:rsidRPr="0017565C" w:rsidTr="001363EE">
        <w:trPr>
          <w:cantSplit/>
        </w:trPr>
        <w:tc>
          <w:tcPr>
            <w:tcW w:w="1120" w:type="pct"/>
            <w:shd w:val="clear" w:color="auto" w:fill="auto"/>
          </w:tcPr>
          <w:p w:rsidR="005C0E88" w:rsidRPr="00301B3A" w:rsidRDefault="005C0E88" w:rsidP="001363EE">
            <w:pPr>
              <w:rPr>
                <w:rFonts w:cs="Arial"/>
                <w:sz w:val="16"/>
                <w:szCs w:val="16"/>
              </w:rPr>
            </w:pPr>
            <w:r w:rsidRPr="00301B3A">
              <w:rPr>
                <w:rFonts w:cs="Arial"/>
                <w:sz w:val="16"/>
                <w:szCs w:val="16"/>
              </w:rPr>
              <w:t xml:space="preserve">% of timely requests for safety </w:t>
            </w:r>
            <w:r>
              <w:rPr>
                <w:rFonts w:cs="Arial"/>
                <w:sz w:val="16"/>
                <w:szCs w:val="16"/>
              </w:rPr>
              <w:t>&amp;</w:t>
            </w:r>
            <w:r w:rsidRPr="00301B3A">
              <w:rPr>
                <w:rFonts w:cs="Arial"/>
                <w:sz w:val="16"/>
                <w:szCs w:val="16"/>
              </w:rPr>
              <w:t xml:space="preserve"> security assistance at conferences or events held in or outside of Geneva</w:t>
            </w:r>
          </w:p>
        </w:tc>
        <w:tc>
          <w:tcPr>
            <w:tcW w:w="1332" w:type="pct"/>
            <w:shd w:val="clear" w:color="auto" w:fill="auto"/>
          </w:tcPr>
          <w:p w:rsidR="005C0E88" w:rsidRPr="00C7008C" w:rsidRDefault="005C0E88" w:rsidP="001363EE">
            <w:pPr>
              <w:rPr>
                <w:rFonts w:cs="Arial"/>
                <w:i/>
                <w:color w:val="002060"/>
                <w:sz w:val="16"/>
                <w:szCs w:val="16"/>
              </w:rPr>
            </w:pPr>
            <w:r>
              <w:rPr>
                <w:rFonts w:cs="Arial"/>
                <w:i/>
                <w:color w:val="002060"/>
                <w:sz w:val="16"/>
                <w:szCs w:val="16"/>
              </w:rPr>
              <w:t>Updated Baseline end 2013</w:t>
            </w:r>
            <w:r w:rsidRPr="00C7008C">
              <w:rPr>
                <w:rFonts w:cs="Arial"/>
                <w:i/>
                <w:color w:val="002060"/>
                <w:sz w:val="16"/>
                <w:szCs w:val="16"/>
              </w:rPr>
              <w:t xml:space="preserve">: </w:t>
            </w:r>
          </w:p>
          <w:p w:rsidR="005C0E88" w:rsidRPr="00142728" w:rsidRDefault="005C0E88" w:rsidP="001363EE">
            <w:pPr>
              <w:rPr>
                <w:rFonts w:cs="Arial"/>
                <w:color w:val="002060"/>
                <w:sz w:val="16"/>
                <w:szCs w:val="16"/>
              </w:rPr>
            </w:pPr>
            <w:r w:rsidRPr="00142728">
              <w:rPr>
                <w:rFonts w:cs="Arial"/>
                <w:color w:val="002060"/>
                <w:sz w:val="16"/>
                <w:szCs w:val="16"/>
              </w:rPr>
              <w:t>During the biennium, a total of seven audits of external conferences/meetings were completed with assistance from the respective country offices of UN DSS and complied with  all UN safety/security management system standards:</w:t>
            </w:r>
          </w:p>
          <w:p w:rsidR="005C0E88" w:rsidRPr="00142728" w:rsidRDefault="005C0E88" w:rsidP="001363EE">
            <w:pPr>
              <w:rPr>
                <w:rFonts w:cs="Arial"/>
                <w:color w:val="002060"/>
                <w:sz w:val="8"/>
                <w:szCs w:val="8"/>
              </w:rPr>
            </w:pPr>
          </w:p>
          <w:p w:rsidR="005C0E88" w:rsidRPr="00142728" w:rsidRDefault="005C0E88" w:rsidP="005C0E88">
            <w:pPr>
              <w:pStyle w:val="ListParagraph"/>
              <w:numPr>
                <w:ilvl w:val="0"/>
                <w:numId w:val="35"/>
              </w:numPr>
              <w:ind w:left="460" w:hanging="284"/>
              <w:rPr>
                <w:rFonts w:cs="Arial"/>
                <w:color w:val="002060"/>
                <w:sz w:val="16"/>
                <w:szCs w:val="16"/>
              </w:rPr>
            </w:pPr>
            <w:r w:rsidRPr="00142728">
              <w:rPr>
                <w:rFonts w:cs="Arial"/>
                <w:color w:val="002060"/>
                <w:sz w:val="16"/>
                <w:szCs w:val="16"/>
              </w:rPr>
              <w:t>three (2012)</w:t>
            </w:r>
          </w:p>
          <w:p w:rsidR="005C0E88" w:rsidRPr="00142728" w:rsidRDefault="005C0E88" w:rsidP="005C0E88">
            <w:pPr>
              <w:pStyle w:val="ListParagraph"/>
              <w:numPr>
                <w:ilvl w:val="0"/>
                <w:numId w:val="35"/>
              </w:numPr>
              <w:ind w:left="460" w:hanging="284"/>
              <w:rPr>
                <w:rFonts w:cs="Arial"/>
                <w:color w:val="002060"/>
                <w:sz w:val="16"/>
                <w:szCs w:val="16"/>
              </w:rPr>
            </w:pPr>
            <w:r w:rsidRPr="00142728">
              <w:rPr>
                <w:rFonts w:cs="Arial"/>
                <w:color w:val="002060"/>
                <w:sz w:val="16"/>
                <w:szCs w:val="16"/>
              </w:rPr>
              <w:t>four (2013)</w:t>
            </w:r>
            <w:r w:rsidRPr="00142728">
              <w:rPr>
                <w:rFonts w:cs="Arial"/>
                <w:color w:val="002060"/>
                <w:sz w:val="16"/>
                <w:szCs w:val="16"/>
              </w:rPr>
              <w:br/>
            </w:r>
          </w:p>
          <w:p w:rsidR="005C0E88" w:rsidRPr="00142728" w:rsidRDefault="005C0E88" w:rsidP="001363EE">
            <w:pPr>
              <w:rPr>
                <w:rFonts w:cs="Arial"/>
                <w:color w:val="002060"/>
                <w:sz w:val="16"/>
                <w:szCs w:val="16"/>
              </w:rPr>
            </w:pPr>
            <w:r w:rsidRPr="00142728">
              <w:rPr>
                <w:rFonts w:cs="Arial"/>
                <w:color w:val="002060"/>
                <w:sz w:val="16"/>
                <w:szCs w:val="16"/>
              </w:rPr>
              <w:t>In addition, audits were completed for two external events managed directly by WIPO. (100% of all requests were responded to in a timely manner).</w:t>
            </w:r>
          </w:p>
          <w:p w:rsidR="005C0E88" w:rsidRPr="00142728" w:rsidRDefault="005C0E88" w:rsidP="001363EE">
            <w:pPr>
              <w:rPr>
                <w:rFonts w:cs="Arial"/>
                <w:color w:val="002060"/>
                <w:sz w:val="16"/>
                <w:szCs w:val="16"/>
              </w:rPr>
            </w:pPr>
          </w:p>
          <w:p w:rsidR="005C0E88" w:rsidRPr="00142728" w:rsidRDefault="005C0E88" w:rsidP="001363EE">
            <w:pPr>
              <w:rPr>
                <w:rFonts w:cs="Arial"/>
                <w:color w:val="002060"/>
                <w:sz w:val="16"/>
                <w:szCs w:val="16"/>
              </w:rPr>
            </w:pPr>
            <w:r w:rsidRPr="00142728">
              <w:rPr>
                <w:rFonts w:cs="Arial"/>
                <w:color w:val="002060"/>
                <w:sz w:val="16"/>
                <w:szCs w:val="16"/>
              </w:rPr>
              <w:t>In 2012, there were two audits undertaken of External Office premises (Singapore and Tokyo).</w:t>
            </w:r>
          </w:p>
          <w:p w:rsidR="005C0E88" w:rsidRPr="00C7008C" w:rsidRDefault="005C0E88" w:rsidP="001363EE">
            <w:pPr>
              <w:rPr>
                <w:rFonts w:cs="Arial"/>
                <w:i/>
                <w:color w:val="002060"/>
                <w:sz w:val="8"/>
                <w:szCs w:val="8"/>
              </w:rPr>
            </w:pPr>
          </w:p>
          <w:p w:rsidR="005C0E88" w:rsidRDefault="005C0E88" w:rsidP="001363EE">
            <w:pPr>
              <w:rPr>
                <w:rFonts w:cs="Arial"/>
                <w:sz w:val="16"/>
                <w:szCs w:val="16"/>
              </w:rPr>
            </w:pPr>
            <w:r w:rsidRPr="00C7008C">
              <w:rPr>
                <w:rFonts w:cs="Arial"/>
                <w:i/>
                <w:sz w:val="16"/>
                <w:szCs w:val="16"/>
              </w:rPr>
              <w:t>Original Baseline P&amp;B 201</w:t>
            </w:r>
            <w:r>
              <w:rPr>
                <w:rFonts w:cs="Arial"/>
                <w:i/>
                <w:sz w:val="16"/>
                <w:szCs w:val="16"/>
              </w:rPr>
              <w:t>4</w:t>
            </w:r>
            <w:r w:rsidRPr="00C7008C">
              <w:rPr>
                <w:rFonts w:cs="Arial"/>
                <w:i/>
                <w:sz w:val="16"/>
                <w:szCs w:val="16"/>
              </w:rPr>
              <w:t>/1</w:t>
            </w:r>
            <w:r>
              <w:rPr>
                <w:rFonts w:cs="Arial"/>
                <w:i/>
                <w:sz w:val="16"/>
                <w:szCs w:val="16"/>
              </w:rPr>
              <w:t>5</w:t>
            </w:r>
            <w:r w:rsidRPr="00C7008C">
              <w:rPr>
                <w:rFonts w:cs="Arial"/>
                <w:i/>
                <w:sz w:val="16"/>
                <w:szCs w:val="16"/>
              </w:rPr>
              <w:t>:</w:t>
            </w:r>
            <w:r w:rsidRPr="00C7008C">
              <w:rPr>
                <w:rFonts w:cs="Arial"/>
                <w:sz w:val="16"/>
                <w:szCs w:val="16"/>
              </w:rPr>
              <w:br/>
            </w:r>
            <w:r w:rsidRPr="00917C42">
              <w:rPr>
                <w:rFonts w:cs="Arial"/>
                <w:sz w:val="16"/>
                <w:szCs w:val="16"/>
              </w:rPr>
              <w:t>65</w:t>
            </w:r>
            <w:r>
              <w:rPr>
                <w:rFonts w:cs="Arial"/>
                <w:sz w:val="16"/>
                <w:szCs w:val="16"/>
              </w:rPr>
              <w:t xml:space="preserve"> </w:t>
            </w:r>
            <w:r w:rsidRPr="00917C42">
              <w:rPr>
                <w:rFonts w:cs="Arial"/>
                <w:sz w:val="16"/>
                <w:szCs w:val="16"/>
              </w:rPr>
              <w:t>% or more of total stakeholders</w:t>
            </w:r>
            <w:r>
              <w:rPr>
                <w:rFonts w:cs="Arial"/>
                <w:sz w:val="16"/>
                <w:szCs w:val="16"/>
              </w:rPr>
              <w:t xml:space="preserve"> </w:t>
            </w:r>
            <w:r w:rsidRPr="00917C42">
              <w:rPr>
                <w:rFonts w:cs="Arial"/>
                <w:sz w:val="16"/>
                <w:szCs w:val="16"/>
              </w:rPr>
              <w:t>/</w:t>
            </w:r>
            <w:r>
              <w:rPr>
                <w:rFonts w:cs="Arial"/>
                <w:sz w:val="16"/>
                <w:szCs w:val="16"/>
              </w:rPr>
              <w:t xml:space="preserve"> </w:t>
            </w:r>
            <w:r w:rsidRPr="00917C42">
              <w:rPr>
                <w:rFonts w:cs="Arial"/>
                <w:sz w:val="16"/>
                <w:szCs w:val="16"/>
              </w:rPr>
              <w:t xml:space="preserve">clients requesting timely  for safety </w:t>
            </w:r>
            <w:r>
              <w:rPr>
                <w:rFonts w:cs="Arial"/>
                <w:sz w:val="16"/>
                <w:szCs w:val="16"/>
              </w:rPr>
              <w:t>&amp;</w:t>
            </w:r>
            <w:r w:rsidRPr="00917C42">
              <w:rPr>
                <w:rFonts w:cs="Arial"/>
                <w:sz w:val="16"/>
                <w:szCs w:val="16"/>
              </w:rPr>
              <w:t xml:space="preserve"> security assistance at conferences or events held in or outside of Geneva</w:t>
            </w:r>
          </w:p>
          <w:p w:rsidR="005C0E88" w:rsidRPr="00301B3A" w:rsidRDefault="005C0E88" w:rsidP="001363EE">
            <w:pPr>
              <w:rPr>
                <w:rFonts w:cs="Arial"/>
                <w:sz w:val="16"/>
                <w:szCs w:val="16"/>
              </w:rPr>
            </w:pPr>
          </w:p>
        </w:tc>
        <w:tc>
          <w:tcPr>
            <w:tcW w:w="649" w:type="pct"/>
            <w:shd w:val="clear" w:color="auto" w:fill="auto"/>
            <w:tcMar>
              <w:top w:w="110" w:type="dxa"/>
            </w:tcMar>
          </w:tcPr>
          <w:p w:rsidR="005C0E88" w:rsidRPr="00B05940" w:rsidRDefault="005C0E88" w:rsidP="001363EE">
            <w:pPr>
              <w:rPr>
                <w:rFonts w:cs="Arial"/>
                <w:sz w:val="16"/>
                <w:szCs w:val="16"/>
              </w:rPr>
            </w:pPr>
            <w:r w:rsidRPr="00B05940">
              <w:rPr>
                <w:rFonts w:ascii="ArialMT" w:hAnsi="ArialMT" w:cs="ArialMT"/>
                <w:sz w:val="16"/>
                <w:szCs w:val="16"/>
              </w:rPr>
              <w:t>80%</w:t>
            </w:r>
            <w:r>
              <w:rPr>
                <w:rFonts w:ascii="ArialMT" w:hAnsi="ArialMT" w:cs="ArialMT"/>
                <w:sz w:val="16"/>
                <w:szCs w:val="16"/>
              </w:rPr>
              <w:t xml:space="preserve"> or more</w:t>
            </w:r>
          </w:p>
        </w:tc>
        <w:tc>
          <w:tcPr>
            <w:tcW w:w="1375" w:type="pct"/>
            <w:shd w:val="clear" w:color="auto" w:fill="FFFFFF"/>
            <w:tcMar>
              <w:top w:w="110" w:type="dxa"/>
            </w:tcMar>
          </w:tcPr>
          <w:p w:rsidR="005C0E88" w:rsidRPr="00FE4D16" w:rsidRDefault="005C0E88" w:rsidP="001363EE">
            <w:pPr>
              <w:rPr>
                <w:rFonts w:cs="Arial"/>
                <w:sz w:val="16"/>
                <w:szCs w:val="16"/>
                <w:lang w:bidi="th-TH"/>
              </w:rPr>
            </w:pPr>
            <w:r w:rsidRPr="00FE4D16">
              <w:rPr>
                <w:rFonts w:cs="Arial"/>
                <w:sz w:val="16"/>
                <w:szCs w:val="16"/>
                <w:lang w:bidi="th-TH"/>
              </w:rPr>
              <w:t>In 2014 and 2015, all requests (100%) for safety and security assistance for external and Geneva based conferences and events were met.</w:t>
            </w:r>
          </w:p>
          <w:p w:rsidR="005C0E88" w:rsidRPr="00FE4D16" w:rsidRDefault="005C0E88" w:rsidP="001363EE">
            <w:pPr>
              <w:rPr>
                <w:rFonts w:cs="Arial"/>
                <w:sz w:val="16"/>
                <w:szCs w:val="16"/>
                <w:lang w:bidi="th-TH"/>
              </w:rPr>
            </w:pPr>
          </w:p>
          <w:p w:rsidR="005C0E88" w:rsidRPr="00FE4D16" w:rsidRDefault="005C0E88" w:rsidP="001363EE">
            <w:pPr>
              <w:rPr>
                <w:rFonts w:cs="Arial"/>
                <w:sz w:val="16"/>
                <w:szCs w:val="16"/>
                <w:lang w:bidi="th-TH"/>
              </w:rPr>
            </w:pPr>
            <w:r>
              <w:rPr>
                <w:rFonts w:cs="Arial"/>
                <w:sz w:val="16"/>
                <w:szCs w:val="16"/>
                <w:lang w:bidi="th-TH"/>
              </w:rPr>
              <w:t>In 2014/15, s</w:t>
            </w:r>
            <w:r w:rsidRPr="00FE4D16">
              <w:rPr>
                <w:rFonts w:cs="Arial"/>
                <w:sz w:val="16"/>
                <w:szCs w:val="16"/>
                <w:lang w:bidi="th-TH"/>
              </w:rPr>
              <w:t>afety and security assessment audits were completed for all WIPO External Offices, with over 90</w:t>
            </w:r>
            <w:r>
              <w:rPr>
                <w:rFonts w:cs="Arial"/>
                <w:sz w:val="16"/>
                <w:szCs w:val="16"/>
                <w:lang w:bidi="th-TH"/>
              </w:rPr>
              <w:t xml:space="preserve"> per cent</w:t>
            </w:r>
            <w:r w:rsidRPr="00FE4D16">
              <w:rPr>
                <w:rFonts w:cs="Arial"/>
                <w:sz w:val="16"/>
                <w:szCs w:val="16"/>
                <w:lang w:bidi="th-TH"/>
              </w:rPr>
              <w:t xml:space="preserve"> of </w:t>
            </w:r>
            <w:r>
              <w:rPr>
                <w:rFonts w:cs="Arial"/>
                <w:sz w:val="16"/>
                <w:szCs w:val="16"/>
                <w:lang w:bidi="th-TH"/>
              </w:rPr>
              <w:t xml:space="preserve">the </w:t>
            </w:r>
            <w:r w:rsidRPr="00FE4D16">
              <w:rPr>
                <w:rFonts w:cs="Arial"/>
                <w:sz w:val="16"/>
                <w:szCs w:val="16"/>
                <w:lang w:bidi="th-TH"/>
              </w:rPr>
              <w:t xml:space="preserve">audit </w:t>
            </w:r>
            <w:r>
              <w:rPr>
                <w:rFonts w:cs="Arial"/>
                <w:sz w:val="16"/>
                <w:szCs w:val="16"/>
                <w:lang w:bidi="th-TH"/>
              </w:rPr>
              <w:t>recommendation</w:t>
            </w:r>
            <w:r w:rsidRPr="00FE4D16">
              <w:rPr>
                <w:rFonts w:cs="Arial"/>
                <w:sz w:val="16"/>
                <w:szCs w:val="16"/>
                <w:lang w:bidi="th-TH"/>
              </w:rPr>
              <w:t>s closed</w:t>
            </w:r>
            <w:r>
              <w:rPr>
                <w:rFonts w:cs="Arial"/>
                <w:sz w:val="16"/>
                <w:szCs w:val="16"/>
                <w:lang w:bidi="th-TH"/>
              </w:rPr>
              <w:t xml:space="preserve"> by the end of the biennium</w:t>
            </w:r>
            <w:r w:rsidRPr="00FE4D16">
              <w:rPr>
                <w:rFonts w:cs="Arial"/>
                <w:sz w:val="16"/>
                <w:szCs w:val="16"/>
                <w:lang w:bidi="th-TH"/>
              </w:rPr>
              <w:t>.</w:t>
            </w:r>
          </w:p>
        </w:tc>
        <w:tc>
          <w:tcPr>
            <w:tcW w:w="524" w:type="pct"/>
            <w:shd w:val="clear" w:color="auto" w:fill="auto"/>
          </w:tcPr>
          <w:p w:rsidR="005C0E88" w:rsidRPr="00BD13DE" w:rsidRDefault="005C0E88" w:rsidP="001363EE">
            <w:pPr>
              <w:keepNext/>
              <w:keepLines/>
              <w:jc w:val="center"/>
              <w:rPr>
                <w:rFonts w:cs="Arial"/>
                <w:b/>
                <w:bCs/>
                <w:color w:val="00B050"/>
                <w:sz w:val="16"/>
                <w:szCs w:val="16"/>
              </w:rPr>
            </w:pPr>
            <w:r w:rsidRPr="001B1C06">
              <w:rPr>
                <w:rFonts w:cs="Arial"/>
                <w:b/>
                <w:bCs/>
                <w:color w:val="00B050"/>
                <w:sz w:val="16"/>
                <w:szCs w:val="16"/>
              </w:rPr>
              <w:t>Fully Achieved</w:t>
            </w:r>
          </w:p>
        </w:tc>
      </w:tr>
    </w:tbl>
    <w:p w:rsidR="005C0E88" w:rsidRDefault="005C0E88" w:rsidP="001363EE">
      <w:pPr>
        <w:rPr>
          <w:rFonts w:cs="Arial"/>
          <w:color w:val="000000"/>
          <w:sz w:val="22"/>
          <w:szCs w:val="22"/>
        </w:rPr>
      </w:pPr>
    </w:p>
    <w:p w:rsidR="005C0E88" w:rsidRDefault="005C0E88" w:rsidP="001363EE">
      <w:pPr>
        <w:rPr>
          <w:rFonts w:cs="Arial"/>
          <w:color w:val="000000"/>
          <w:sz w:val="22"/>
          <w:szCs w:val="22"/>
        </w:rPr>
      </w:pPr>
    </w:p>
    <w:p w:rsidR="005C0E88" w:rsidRDefault="005C0E88" w:rsidP="001363EE">
      <w:pPr>
        <w:keepNext/>
        <w:keepLines/>
        <w:rPr>
          <w:rFonts w:cs="Arial"/>
          <w:color w:val="000000"/>
          <w:sz w:val="22"/>
          <w:szCs w:val="22"/>
        </w:rPr>
      </w:pPr>
      <w:r>
        <w:rPr>
          <w:rFonts w:cs="Arial"/>
          <w:color w:val="000000"/>
          <w:sz w:val="22"/>
          <w:szCs w:val="22"/>
        </w:rPr>
        <w:t>RISK REPORTING FOR THE BIENNIUM</w:t>
      </w:r>
    </w:p>
    <w:p w:rsidR="005C0E88" w:rsidRDefault="005C0E88" w:rsidP="001363EE">
      <w:pPr>
        <w:keepNext/>
        <w:keepLines/>
      </w:pPr>
    </w:p>
    <w:tbl>
      <w:tblPr>
        <w:tblW w:w="0" w:type="auto"/>
        <w:jc w:val="center"/>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2465"/>
        <w:gridCol w:w="2115"/>
        <w:gridCol w:w="2431"/>
        <w:gridCol w:w="2560"/>
      </w:tblGrid>
      <w:tr w:rsidR="005C0E88" w:rsidRPr="003C527B" w:rsidTr="001363EE">
        <w:trPr>
          <w:trHeight w:val="669"/>
          <w:jc w:val="center"/>
        </w:trPr>
        <w:tc>
          <w:tcPr>
            <w:tcW w:w="2517" w:type="dxa"/>
            <w:tcBorders>
              <w:top w:val="single" w:sz="4" w:space="0" w:color="auto"/>
              <w:bottom w:val="single" w:sz="4" w:space="0" w:color="auto"/>
            </w:tcBorders>
            <w:shd w:val="clear" w:color="auto" w:fill="C6D9F1" w:themeFill="text2" w:themeFillTint="33"/>
            <w:vAlign w:val="center"/>
          </w:tcPr>
          <w:p w:rsidR="005C0E88" w:rsidRPr="003C527B" w:rsidRDefault="005C0E88" w:rsidP="001363EE">
            <w:pPr>
              <w:autoSpaceDE w:val="0"/>
              <w:autoSpaceDN w:val="0"/>
              <w:adjustRightInd w:val="0"/>
              <w:ind w:right="-59"/>
              <w:jc w:val="center"/>
              <w:rPr>
                <w:b/>
                <w:sz w:val="18"/>
                <w:szCs w:val="18"/>
              </w:rPr>
            </w:pPr>
            <w:r w:rsidRPr="003C527B">
              <w:rPr>
                <w:b/>
                <w:sz w:val="18"/>
                <w:szCs w:val="18"/>
              </w:rPr>
              <w:t>Risk(s) to the Program achieving its Results</w:t>
            </w:r>
          </w:p>
        </w:tc>
        <w:tc>
          <w:tcPr>
            <w:tcW w:w="2152" w:type="dxa"/>
            <w:tcBorders>
              <w:top w:val="single" w:sz="4" w:space="0" w:color="auto"/>
              <w:bottom w:val="single" w:sz="4" w:space="0" w:color="auto"/>
            </w:tcBorders>
            <w:shd w:val="clear" w:color="auto" w:fill="C6D9F1" w:themeFill="text2" w:themeFillTint="33"/>
            <w:vAlign w:val="center"/>
          </w:tcPr>
          <w:p w:rsidR="005C0E88" w:rsidRPr="003C527B" w:rsidRDefault="005C0E88" w:rsidP="001363EE">
            <w:pPr>
              <w:autoSpaceDE w:val="0"/>
              <w:autoSpaceDN w:val="0"/>
              <w:adjustRightInd w:val="0"/>
              <w:ind w:right="-59"/>
              <w:jc w:val="center"/>
              <w:rPr>
                <w:b/>
                <w:sz w:val="18"/>
                <w:szCs w:val="18"/>
              </w:rPr>
            </w:pPr>
            <w:r w:rsidRPr="003C527B">
              <w:rPr>
                <w:b/>
                <w:sz w:val="18"/>
                <w:szCs w:val="18"/>
              </w:rPr>
              <w:t xml:space="preserve">Mitigation plans in place or under implementation </w:t>
            </w:r>
          </w:p>
        </w:tc>
        <w:tc>
          <w:tcPr>
            <w:tcW w:w="2492" w:type="dxa"/>
            <w:tcBorders>
              <w:top w:val="single" w:sz="4" w:space="0" w:color="auto"/>
              <w:bottom w:val="single" w:sz="4" w:space="0" w:color="auto"/>
            </w:tcBorders>
            <w:shd w:val="clear" w:color="auto" w:fill="C6D9F1" w:themeFill="text2" w:themeFillTint="33"/>
          </w:tcPr>
          <w:p w:rsidR="005C0E88" w:rsidRPr="003C527B" w:rsidRDefault="005C0E88" w:rsidP="001363EE">
            <w:pPr>
              <w:jc w:val="center"/>
              <w:rPr>
                <w:b/>
                <w:bCs/>
                <w:sz w:val="18"/>
                <w:szCs w:val="18"/>
              </w:rPr>
            </w:pPr>
            <w:r>
              <w:rPr>
                <w:b/>
                <w:bCs/>
                <w:sz w:val="18"/>
                <w:szCs w:val="18"/>
              </w:rPr>
              <w:t>Evolution of Risk(s) and Mitigation Strategies Over the Biennium</w:t>
            </w:r>
          </w:p>
        </w:tc>
        <w:tc>
          <w:tcPr>
            <w:tcW w:w="2634" w:type="dxa"/>
            <w:tcBorders>
              <w:top w:val="single" w:sz="4" w:space="0" w:color="auto"/>
              <w:bottom w:val="single" w:sz="4" w:space="0" w:color="auto"/>
            </w:tcBorders>
            <w:shd w:val="clear" w:color="auto" w:fill="C6D9F1" w:themeFill="text2" w:themeFillTint="33"/>
          </w:tcPr>
          <w:p w:rsidR="005C0E88" w:rsidRPr="003C527B" w:rsidRDefault="005C0E88" w:rsidP="001363EE">
            <w:pPr>
              <w:jc w:val="center"/>
              <w:rPr>
                <w:b/>
                <w:bCs/>
                <w:sz w:val="18"/>
                <w:szCs w:val="18"/>
              </w:rPr>
            </w:pPr>
            <w:r>
              <w:rPr>
                <w:b/>
                <w:bCs/>
                <w:sz w:val="18"/>
                <w:szCs w:val="18"/>
              </w:rPr>
              <w:t>Impact on the Program’s Performance</w:t>
            </w:r>
          </w:p>
        </w:tc>
      </w:tr>
      <w:tr w:rsidR="005C0E88" w:rsidRPr="003C527B" w:rsidTr="001363EE">
        <w:trPr>
          <w:trHeight w:val="859"/>
          <w:jc w:val="center"/>
        </w:trPr>
        <w:tc>
          <w:tcPr>
            <w:tcW w:w="2517" w:type="dxa"/>
            <w:tcBorders>
              <w:top w:val="single" w:sz="4" w:space="0" w:color="auto"/>
            </w:tcBorders>
            <w:shd w:val="clear" w:color="auto" w:fill="auto"/>
            <w:tcMar>
              <w:top w:w="113" w:type="dxa"/>
            </w:tcMar>
          </w:tcPr>
          <w:p w:rsidR="005C0E88" w:rsidRDefault="005C0E88" w:rsidP="001363EE">
            <w:pPr>
              <w:rPr>
                <w:sz w:val="16"/>
                <w:szCs w:val="16"/>
              </w:rPr>
            </w:pPr>
            <w:r w:rsidRPr="003C527B">
              <w:rPr>
                <w:sz w:val="16"/>
                <w:szCs w:val="16"/>
              </w:rPr>
              <w:t>Current antiquated/obsolete physical security systems and equipment in existing premises may lead to safety and security incidents if not replaced</w:t>
            </w:r>
          </w:p>
          <w:p w:rsidR="005C0E88" w:rsidRPr="00534190" w:rsidRDefault="005C0E88" w:rsidP="001363EE">
            <w:pPr>
              <w:rPr>
                <w:sz w:val="16"/>
                <w:szCs w:val="16"/>
              </w:rPr>
            </w:pPr>
          </w:p>
          <w:p w:rsidR="005C0E88" w:rsidRPr="00534190" w:rsidRDefault="005C0E88" w:rsidP="001363EE">
            <w:pPr>
              <w:rPr>
                <w:sz w:val="16"/>
                <w:szCs w:val="16"/>
              </w:rPr>
            </w:pPr>
          </w:p>
          <w:p w:rsidR="005C0E88" w:rsidRDefault="005C0E88" w:rsidP="001363EE">
            <w:pPr>
              <w:rPr>
                <w:sz w:val="16"/>
                <w:szCs w:val="16"/>
              </w:rPr>
            </w:pPr>
          </w:p>
          <w:p w:rsidR="005C0E88" w:rsidRPr="00534190" w:rsidRDefault="005C0E88" w:rsidP="001363EE">
            <w:pPr>
              <w:ind w:firstLine="720"/>
              <w:rPr>
                <w:sz w:val="16"/>
                <w:szCs w:val="16"/>
              </w:rPr>
            </w:pPr>
          </w:p>
        </w:tc>
        <w:tc>
          <w:tcPr>
            <w:tcW w:w="2152" w:type="dxa"/>
            <w:tcBorders>
              <w:top w:val="single" w:sz="4" w:space="0" w:color="auto"/>
            </w:tcBorders>
            <w:shd w:val="clear" w:color="auto" w:fill="auto"/>
            <w:tcMar>
              <w:top w:w="113" w:type="dxa"/>
            </w:tcMar>
          </w:tcPr>
          <w:p w:rsidR="005C0E88" w:rsidRPr="003C527B" w:rsidRDefault="005C0E88" w:rsidP="001363EE">
            <w:pPr>
              <w:autoSpaceDE w:val="0"/>
              <w:autoSpaceDN w:val="0"/>
              <w:adjustRightInd w:val="0"/>
              <w:ind w:right="108"/>
              <w:rPr>
                <w:sz w:val="16"/>
                <w:szCs w:val="16"/>
              </w:rPr>
            </w:pPr>
            <w:r w:rsidRPr="003C527B">
              <w:rPr>
                <w:sz w:val="16"/>
                <w:szCs w:val="16"/>
              </w:rPr>
              <w:t>With the existing premises upgrade project (2012/13), the current systems and equipment will be slowly phased out.  The upgrades are planned for implementation starting 2014/15</w:t>
            </w:r>
          </w:p>
        </w:tc>
        <w:tc>
          <w:tcPr>
            <w:tcW w:w="2492" w:type="dxa"/>
            <w:tcBorders>
              <w:top w:val="single" w:sz="4" w:space="0" w:color="auto"/>
            </w:tcBorders>
          </w:tcPr>
          <w:p w:rsidR="005C0E88" w:rsidRPr="00FE4D16" w:rsidRDefault="005C0E88" w:rsidP="001363EE">
            <w:pPr>
              <w:autoSpaceDE w:val="0"/>
              <w:autoSpaceDN w:val="0"/>
              <w:adjustRightInd w:val="0"/>
              <w:ind w:right="108"/>
              <w:rPr>
                <w:sz w:val="16"/>
                <w:szCs w:val="16"/>
              </w:rPr>
            </w:pPr>
            <w:r w:rsidRPr="00FE4D16">
              <w:rPr>
                <w:sz w:val="16"/>
                <w:szCs w:val="16"/>
              </w:rPr>
              <w:t>Towards the end of 2015 the global, regional and local threat and risk environment did evolve. However with the finalization of HMOSS upgrades and implementation of several security and safety systems, risks were managed within tolerance levels.</w:t>
            </w:r>
          </w:p>
        </w:tc>
        <w:tc>
          <w:tcPr>
            <w:tcW w:w="2634" w:type="dxa"/>
            <w:tcBorders>
              <w:top w:val="single" w:sz="4" w:space="0" w:color="auto"/>
            </w:tcBorders>
          </w:tcPr>
          <w:p w:rsidR="005C0E88" w:rsidRPr="00FE4D16" w:rsidRDefault="005C0E88" w:rsidP="001363EE">
            <w:pPr>
              <w:autoSpaceDE w:val="0"/>
              <w:autoSpaceDN w:val="0"/>
              <w:adjustRightInd w:val="0"/>
              <w:ind w:right="108"/>
              <w:rPr>
                <w:sz w:val="16"/>
                <w:szCs w:val="16"/>
              </w:rPr>
            </w:pPr>
            <w:r w:rsidRPr="00FE4D16">
              <w:rPr>
                <w:sz w:val="16"/>
                <w:szCs w:val="16"/>
              </w:rPr>
              <w:t>The 2014 and 2015 SSCS work plans and risk register activities sufficiently addressed the impact of risks during the reporting period</w:t>
            </w:r>
            <w:r>
              <w:rPr>
                <w:sz w:val="16"/>
                <w:szCs w:val="16"/>
              </w:rPr>
              <w:t>.  There was no material impact on the Program’s performance.</w:t>
            </w:r>
          </w:p>
        </w:tc>
      </w:tr>
    </w:tbl>
    <w:p w:rsidR="005C0E88" w:rsidRDefault="005C0E88" w:rsidP="001363EE">
      <w:pPr>
        <w:keepNext/>
        <w:keepLines/>
        <w:rPr>
          <w:rFonts w:cs="Arial"/>
          <w:color w:val="000000"/>
          <w:sz w:val="22"/>
          <w:szCs w:val="22"/>
        </w:rPr>
      </w:pPr>
    </w:p>
    <w:p w:rsidR="005C0E88" w:rsidRPr="007A5553" w:rsidRDefault="005C0E88" w:rsidP="001363EE">
      <w:pPr>
        <w:keepNext/>
        <w:keepLines/>
        <w:rPr>
          <w:rFonts w:cs="Arial"/>
          <w:color w:val="000000"/>
          <w:szCs w:val="22"/>
        </w:rPr>
      </w:pPr>
      <w:r w:rsidRPr="007A5553">
        <w:rPr>
          <w:rFonts w:cs="Arial"/>
          <w:color w:val="000000"/>
          <w:szCs w:val="22"/>
        </w:rPr>
        <w:t>RESOURCE UTILIZATION</w:t>
      </w:r>
      <w:r w:rsidRPr="007A5553">
        <w:rPr>
          <w:rFonts w:cs="Arial"/>
          <w:color w:val="000000"/>
          <w:szCs w:val="22"/>
        </w:rPr>
        <w:tab/>
      </w:r>
    </w:p>
    <w:p w:rsidR="005C0E88" w:rsidRPr="008F4A6D" w:rsidRDefault="005C0E88" w:rsidP="001363EE">
      <w:pPr>
        <w:keepNext/>
        <w:keepLines/>
        <w:rPr>
          <w:szCs w:val="20"/>
        </w:rPr>
      </w:pPr>
    </w:p>
    <w:p w:rsidR="005C0E88" w:rsidRPr="00383D2D" w:rsidRDefault="005C0E88" w:rsidP="001363EE">
      <w:pPr>
        <w:pStyle w:val="NormalWeb"/>
        <w:keepNext/>
        <w:keepLines/>
        <w:spacing w:before="0" w:beforeAutospacing="0" w:after="0" w:afterAutospacing="0"/>
        <w:jc w:val="center"/>
        <w:rPr>
          <w:sz w:val="20"/>
          <w:szCs w:val="20"/>
        </w:rPr>
      </w:pPr>
      <w:r w:rsidRPr="00383D2D">
        <w:rPr>
          <w:color w:val="000000"/>
          <w:sz w:val="20"/>
          <w:szCs w:val="20"/>
        </w:rPr>
        <w:t xml:space="preserve">Budget and Actual Expenditure (by result) </w:t>
      </w:r>
    </w:p>
    <w:p w:rsidR="005C0E88" w:rsidRDefault="005C0E88" w:rsidP="001363EE">
      <w:pPr>
        <w:pStyle w:val="NormalWeb"/>
        <w:keepNext/>
        <w:keepLines/>
        <w:spacing w:before="0" w:beforeAutospacing="0" w:after="0" w:afterAutospacing="0"/>
        <w:jc w:val="center"/>
        <w:rPr>
          <w:i/>
          <w:iCs/>
          <w:color w:val="000000"/>
          <w:sz w:val="20"/>
          <w:szCs w:val="20"/>
        </w:rPr>
      </w:pPr>
      <w:r w:rsidRPr="00383D2D">
        <w:rPr>
          <w:i/>
          <w:iCs/>
          <w:color w:val="000000"/>
          <w:sz w:val="20"/>
          <w:szCs w:val="20"/>
        </w:rPr>
        <w:t>(in thousands of Swiss francs)</w:t>
      </w:r>
    </w:p>
    <w:p w:rsidR="005C0E88" w:rsidRPr="00383D2D" w:rsidRDefault="005C0E88" w:rsidP="001363EE">
      <w:pPr>
        <w:pStyle w:val="NormalWeb"/>
        <w:keepNext/>
        <w:keepLines/>
        <w:spacing w:before="0" w:beforeAutospacing="0" w:after="0" w:afterAutospacing="0"/>
        <w:jc w:val="center"/>
        <w:rPr>
          <w:sz w:val="20"/>
          <w:szCs w:val="20"/>
        </w:rPr>
      </w:pPr>
    </w:p>
    <w:p w:rsidR="005C0E88" w:rsidRDefault="005C0E88" w:rsidP="001363EE">
      <w:pPr>
        <w:keepNext/>
        <w:keepLines/>
        <w:jc w:val="center"/>
      </w:pPr>
      <w:r w:rsidRPr="00A12488">
        <w:rPr>
          <w:noProof/>
        </w:rPr>
        <w:drawing>
          <wp:inline distT="0" distB="0" distL="0" distR="0" wp14:anchorId="146814EB" wp14:editId="77F7471F">
            <wp:extent cx="5347411" cy="1007611"/>
            <wp:effectExtent l="0" t="0" r="5715" b="254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1">
                      <a:extLst>
                        <a:ext uri="{28A0092B-C50C-407E-A947-70E740481C1C}">
                          <a14:useLocalDpi xmlns:a14="http://schemas.microsoft.com/office/drawing/2010/main" val="0"/>
                        </a:ext>
                      </a:extLst>
                    </a:blip>
                    <a:srcRect/>
                    <a:stretch>
                      <a:fillRect/>
                    </a:stretch>
                  </pic:blipFill>
                  <pic:spPr bwMode="auto">
                    <a:xfrm>
                      <a:off x="0" y="0"/>
                      <a:ext cx="5363216" cy="1010589"/>
                    </a:xfrm>
                    <a:prstGeom prst="rect">
                      <a:avLst/>
                    </a:prstGeom>
                    <a:noFill/>
                    <a:ln>
                      <a:noFill/>
                    </a:ln>
                  </pic:spPr>
                </pic:pic>
              </a:graphicData>
            </a:graphic>
          </wp:inline>
        </w:drawing>
      </w:r>
    </w:p>
    <w:p w:rsidR="005C0E88" w:rsidRDefault="005C0E88" w:rsidP="001363EE"/>
    <w:p w:rsidR="005C0E88" w:rsidRDefault="005C0E88" w:rsidP="001363EE">
      <w:pPr>
        <w:pStyle w:val="NormalWeb"/>
        <w:keepNext/>
        <w:keepLines/>
        <w:spacing w:before="0" w:beforeAutospacing="0" w:after="0" w:afterAutospacing="0"/>
        <w:jc w:val="center"/>
        <w:rPr>
          <w:color w:val="000000"/>
          <w:sz w:val="20"/>
          <w:szCs w:val="20"/>
        </w:rPr>
      </w:pPr>
    </w:p>
    <w:p w:rsidR="005C0E88" w:rsidRPr="00383D2D" w:rsidRDefault="005C0E88" w:rsidP="001363EE">
      <w:pPr>
        <w:pStyle w:val="NormalWeb"/>
        <w:keepNext/>
        <w:keepLines/>
        <w:spacing w:before="0" w:beforeAutospacing="0" w:after="0" w:afterAutospacing="0"/>
        <w:jc w:val="center"/>
        <w:rPr>
          <w:sz w:val="20"/>
          <w:szCs w:val="20"/>
        </w:rPr>
      </w:pPr>
      <w:r w:rsidRPr="00383D2D">
        <w:rPr>
          <w:color w:val="000000"/>
          <w:sz w:val="20"/>
          <w:szCs w:val="20"/>
        </w:rPr>
        <w:t xml:space="preserve">Budget and Actual Expenditure (personnel and non-personnel) </w:t>
      </w:r>
    </w:p>
    <w:p w:rsidR="005C0E88" w:rsidRPr="00383D2D" w:rsidRDefault="005C0E88" w:rsidP="001363EE">
      <w:pPr>
        <w:pStyle w:val="NormalWeb"/>
        <w:keepNext/>
        <w:keepLines/>
        <w:spacing w:before="0" w:beforeAutospacing="0" w:after="0" w:afterAutospacing="0"/>
        <w:jc w:val="center"/>
        <w:rPr>
          <w:i/>
          <w:iCs/>
          <w:color w:val="000000"/>
          <w:sz w:val="20"/>
          <w:szCs w:val="20"/>
        </w:rPr>
      </w:pPr>
      <w:r w:rsidRPr="00383D2D">
        <w:rPr>
          <w:i/>
          <w:iCs/>
          <w:color w:val="000000"/>
          <w:sz w:val="20"/>
          <w:szCs w:val="20"/>
        </w:rPr>
        <w:t>(in thousands of Swiss francs)</w:t>
      </w:r>
    </w:p>
    <w:p w:rsidR="005C0E88" w:rsidRDefault="005C0E88" w:rsidP="001363EE">
      <w:pPr>
        <w:pStyle w:val="NormalWeb"/>
        <w:keepNext/>
        <w:keepLines/>
        <w:spacing w:before="0" w:beforeAutospacing="0" w:after="0" w:afterAutospacing="0"/>
        <w:jc w:val="center"/>
      </w:pPr>
    </w:p>
    <w:p w:rsidR="005C0E88" w:rsidRPr="008F4A6D" w:rsidRDefault="005C0E88" w:rsidP="001363EE">
      <w:pPr>
        <w:widowControl w:val="0"/>
        <w:autoSpaceDE w:val="0"/>
        <w:autoSpaceDN w:val="0"/>
        <w:adjustRightInd w:val="0"/>
        <w:jc w:val="center"/>
        <w:rPr>
          <w:rFonts w:cs="Arial"/>
          <w:szCs w:val="20"/>
        </w:rPr>
      </w:pPr>
      <w:r w:rsidRPr="00AA3C99">
        <w:rPr>
          <w:noProof/>
        </w:rPr>
        <w:drawing>
          <wp:inline distT="0" distB="0" distL="0" distR="0" wp14:anchorId="6470629A" wp14:editId="46838ED4">
            <wp:extent cx="5310835" cy="978121"/>
            <wp:effectExtent l="0" t="0" r="444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2">
                      <a:extLst>
                        <a:ext uri="{28A0092B-C50C-407E-A947-70E740481C1C}">
                          <a14:useLocalDpi xmlns:a14="http://schemas.microsoft.com/office/drawing/2010/main" val="0"/>
                        </a:ext>
                      </a:extLst>
                    </a:blip>
                    <a:srcRect/>
                    <a:stretch>
                      <a:fillRect/>
                    </a:stretch>
                  </pic:blipFill>
                  <pic:spPr bwMode="auto">
                    <a:xfrm>
                      <a:off x="0" y="0"/>
                      <a:ext cx="5328827" cy="981435"/>
                    </a:xfrm>
                    <a:prstGeom prst="rect">
                      <a:avLst/>
                    </a:prstGeom>
                    <a:noFill/>
                    <a:ln>
                      <a:noFill/>
                    </a:ln>
                  </pic:spPr>
                </pic:pic>
              </a:graphicData>
            </a:graphic>
          </wp:inline>
        </w:drawing>
      </w:r>
    </w:p>
    <w:p w:rsidR="005C0E88" w:rsidRPr="001C6F4D" w:rsidRDefault="005C0E88" w:rsidP="001363EE">
      <w:pPr>
        <w:widowControl w:val="0"/>
        <w:autoSpaceDE w:val="0"/>
        <w:autoSpaceDN w:val="0"/>
        <w:adjustRightInd w:val="0"/>
        <w:rPr>
          <w:rFonts w:cs="Arial"/>
          <w:szCs w:val="20"/>
        </w:rPr>
      </w:pPr>
    </w:p>
    <w:p w:rsidR="005C0E88" w:rsidRDefault="005C0E88" w:rsidP="001363EE">
      <w:pPr>
        <w:rPr>
          <w:rFonts w:cs="Arial"/>
          <w:szCs w:val="20"/>
        </w:rPr>
      </w:pPr>
    </w:p>
    <w:p w:rsidR="005C0E88" w:rsidRPr="00534190" w:rsidRDefault="005C0E88" w:rsidP="00F33ED1">
      <w:pPr>
        <w:ind w:left="709" w:hanging="709"/>
        <w:rPr>
          <w:rFonts w:cs="Arial"/>
          <w:szCs w:val="20"/>
          <w:u w:val="single"/>
        </w:rPr>
      </w:pPr>
      <w:r w:rsidRPr="00534190">
        <w:rPr>
          <w:rFonts w:cs="Arial"/>
          <w:szCs w:val="20"/>
        </w:rPr>
        <w:t>A.</w:t>
      </w:r>
      <w:r w:rsidRPr="00534190">
        <w:rPr>
          <w:rFonts w:cs="Arial"/>
          <w:szCs w:val="20"/>
        </w:rPr>
        <w:tab/>
      </w:r>
      <w:r w:rsidRPr="00534190">
        <w:rPr>
          <w:rFonts w:cs="Arial"/>
          <w:szCs w:val="20"/>
          <w:u w:val="single"/>
          <w:lang w:eastAsia="ko-KR"/>
        </w:rPr>
        <w:t xml:space="preserve">2014/15 Final </w:t>
      </w:r>
      <w:r w:rsidRPr="00534190">
        <w:rPr>
          <w:rFonts w:cs="Arial"/>
          <w:szCs w:val="20"/>
          <w:u w:val="single"/>
        </w:rPr>
        <w:t xml:space="preserve">Budget after Transfers </w:t>
      </w:r>
    </w:p>
    <w:p w:rsidR="005C0E88" w:rsidRPr="00534190" w:rsidRDefault="005C0E88" w:rsidP="001363EE">
      <w:pPr>
        <w:rPr>
          <w:rFonts w:cs="Arial"/>
          <w:szCs w:val="20"/>
          <w:u w:val="single"/>
        </w:rPr>
      </w:pPr>
    </w:p>
    <w:p w:rsidR="005C0E88" w:rsidRPr="004863C4" w:rsidRDefault="005C0E88" w:rsidP="005C0E88">
      <w:pPr>
        <w:pStyle w:val="ListParagraph"/>
        <w:numPr>
          <w:ilvl w:val="0"/>
          <w:numId w:val="36"/>
        </w:numPr>
        <w:tabs>
          <w:tab w:val="left" w:pos="709"/>
        </w:tabs>
        <w:ind w:left="0" w:firstLine="0"/>
        <w:jc w:val="both"/>
        <w:rPr>
          <w:bCs/>
        </w:rPr>
      </w:pPr>
      <w:r w:rsidRPr="004863C4">
        <w:rPr>
          <w:bCs/>
        </w:rPr>
        <w:t>The net increase in the 2014/15 Final Budget after Transfers in non-personnel resources was primarily driven by the allocation of additional resources to cover</w:t>
      </w:r>
      <w:r>
        <w:rPr>
          <w:bCs/>
        </w:rPr>
        <w:t xml:space="preserve"> the costs related to</w:t>
      </w:r>
      <w:r w:rsidRPr="004863C4">
        <w:rPr>
          <w:bCs/>
        </w:rPr>
        <w:t xml:space="preserve">:  (i) a supervisor module linking electronic security systems;  (ii) the expansion in monitoring and surveillance of the WIPO CAM </w:t>
      </w:r>
      <w:r>
        <w:rPr>
          <w:bCs/>
        </w:rPr>
        <w:t>building</w:t>
      </w:r>
      <w:r w:rsidRPr="004863C4">
        <w:rPr>
          <w:bCs/>
        </w:rPr>
        <w:t xml:space="preserve"> (access control, the upgrade of firewall and detectors, and the installation of a CCTV system);  (iii)</w:t>
      </w:r>
      <w:r>
        <w:rPr>
          <w:bCs/>
        </w:rPr>
        <w:t> </w:t>
      </w:r>
      <w:r w:rsidRPr="004863C4">
        <w:rPr>
          <w:bCs/>
        </w:rPr>
        <w:t>increased presence in physical security due to unforeseen events;  (iv) enhancement of safety and security in WIPO’s external offices;  and (v) the installation of the custom anti-intrusion fence below the NCH.</w:t>
      </w:r>
    </w:p>
    <w:p w:rsidR="005C0E88" w:rsidRPr="004863C4" w:rsidRDefault="005C0E88" w:rsidP="001363EE">
      <w:pPr>
        <w:pStyle w:val="ListParagraph"/>
        <w:tabs>
          <w:tab w:val="left" w:pos="709"/>
        </w:tabs>
        <w:ind w:left="0"/>
        <w:jc w:val="both"/>
        <w:rPr>
          <w:bCs/>
        </w:rPr>
      </w:pPr>
    </w:p>
    <w:p w:rsidR="005C0E88" w:rsidRPr="004863C4" w:rsidRDefault="005C0E88" w:rsidP="005C0E88">
      <w:pPr>
        <w:pStyle w:val="ListParagraph"/>
        <w:numPr>
          <w:ilvl w:val="0"/>
          <w:numId w:val="36"/>
        </w:numPr>
        <w:tabs>
          <w:tab w:val="left" w:pos="709"/>
        </w:tabs>
        <w:ind w:left="0" w:firstLine="0"/>
        <w:jc w:val="both"/>
        <w:rPr>
          <w:bCs/>
        </w:rPr>
      </w:pPr>
      <w:r w:rsidRPr="004863C4">
        <w:rPr>
          <w:bCs/>
        </w:rPr>
        <w:t xml:space="preserve">The overall increase in personnel resources in the 2014/15 Final Budget after Transfers is the net result of, on the one hand, the establishment of a Security Operations Officer </w:t>
      </w:r>
      <w:r>
        <w:rPr>
          <w:bCs/>
        </w:rPr>
        <w:t>function</w:t>
      </w:r>
      <w:r w:rsidRPr="004863C4">
        <w:rPr>
          <w:bCs/>
        </w:rPr>
        <w:t xml:space="preserve"> and a temporary </w:t>
      </w:r>
      <w:r>
        <w:rPr>
          <w:bCs/>
        </w:rPr>
        <w:t>function</w:t>
      </w:r>
      <w:r w:rsidRPr="004863C4">
        <w:rPr>
          <w:bCs/>
        </w:rPr>
        <w:t xml:space="preserve"> to support the maintenance of safety-related systems and equipment and enhancement of UN</w:t>
      </w:r>
      <w:r w:rsidR="00044B39">
        <w:rPr>
          <w:bCs/>
        </w:rPr>
        <w:noBreakHyphen/>
      </w:r>
      <w:r w:rsidRPr="004863C4">
        <w:rPr>
          <w:bCs/>
        </w:rPr>
        <w:t>HMOSS standards, and on the other hand;  (i) the reclassification downwards of one post;  and (ii)</w:t>
      </w:r>
      <w:r w:rsidR="00044B39">
        <w:rPr>
          <w:bCs/>
        </w:rPr>
        <w:t> </w:t>
      </w:r>
      <w:r w:rsidRPr="004863C4">
        <w:rPr>
          <w:bCs/>
        </w:rPr>
        <w:t>shift of resources to non-personnel for an ICS to reinforce the safety and security coordination service.</w:t>
      </w:r>
    </w:p>
    <w:p w:rsidR="005C0E88" w:rsidRPr="00534190" w:rsidRDefault="005C0E88" w:rsidP="001363EE">
      <w:pPr>
        <w:keepNext/>
        <w:keepLines/>
        <w:autoSpaceDE w:val="0"/>
        <w:autoSpaceDN w:val="0"/>
        <w:jc w:val="both"/>
        <w:rPr>
          <w:rFonts w:cs="Arial"/>
          <w:szCs w:val="20"/>
          <w:lang w:eastAsia="ko-KR"/>
        </w:rPr>
      </w:pPr>
    </w:p>
    <w:p w:rsidR="005C0E88" w:rsidRPr="00534190" w:rsidRDefault="005C0E88" w:rsidP="00F33ED1">
      <w:pPr>
        <w:keepNext/>
        <w:keepLines/>
        <w:ind w:left="709" w:hanging="709"/>
        <w:jc w:val="both"/>
        <w:rPr>
          <w:rFonts w:cs="Arial"/>
          <w:szCs w:val="20"/>
          <w:u w:val="single"/>
          <w:lang w:eastAsia="ko-KR"/>
        </w:rPr>
      </w:pPr>
      <w:r w:rsidRPr="00534190">
        <w:rPr>
          <w:rFonts w:cs="Arial"/>
          <w:szCs w:val="20"/>
          <w:lang w:eastAsia="ko-KR"/>
        </w:rPr>
        <w:t>B.</w:t>
      </w:r>
      <w:r w:rsidRPr="00534190">
        <w:rPr>
          <w:rFonts w:cs="Arial"/>
          <w:szCs w:val="20"/>
          <w:lang w:eastAsia="ko-KR"/>
        </w:rPr>
        <w:tab/>
      </w:r>
      <w:r w:rsidRPr="00534190">
        <w:rPr>
          <w:rFonts w:cs="Arial"/>
          <w:szCs w:val="20"/>
          <w:u w:val="single"/>
          <w:lang w:eastAsia="ko-KR"/>
        </w:rPr>
        <w:t xml:space="preserve">2014/15 Budget Utilization </w:t>
      </w:r>
    </w:p>
    <w:p w:rsidR="005C0E88" w:rsidRPr="00534190" w:rsidRDefault="005C0E88" w:rsidP="001363EE">
      <w:pPr>
        <w:keepNext/>
        <w:keepLines/>
        <w:tabs>
          <w:tab w:val="left" w:pos="709"/>
        </w:tabs>
        <w:jc w:val="both"/>
        <w:rPr>
          <w:rFonts w:cs="Arial"/>
          <w:szCs w:val="20"/>
          <w:u w:val="single"/>
          <w:lang w:eastAsia="ko-KR"/>
        </w:rPr>
      </w:pPr>
    </w:p>
    <w:p w:rsidR="005C0E88" w:rsidRPr="004863C4" w:rsidRDefault="005C0E88" w:rsidP="005C0E88">
      <w:pPr>
        <w:pStyle w:val="ListParagraph"/>
        <w:keepNext/>
        <w:keepLines/>
        <w:numPr>
          <w:ilvl w:val="0"/>
          <w:numId w:val="36"/>
        </w:numPr>
        <w:tabs>
          <w:tab w:val="left" w:pos="709"/>
        </w:tabs>
        <w:ind w:left="0" w:firstLine="0"/>
        <w:jc w:val="both"/>
        <w:rPr>
          <w:bCs/>
        </w:rPr>
      </w:pPr>
      <w:r w:rsidRPr="004863C4">
        <w:rPr>
          <w:bCs/>
        </w:rPr>
        <w:t>Budget utilization is within the expected range for the biennium.</w:t>
      </w:r>
    </w:p>
    <w:p w:rsidR="005C0E88" w:rsidRPr="00C53968" w:rsidRDefault="005C0E88" w:rsidP="001363EE">
      <w:pPr>
        <w:keepNext/>
        <w:keepLines/>
      </w:pPr>
    </w:p>
    <w:p w:rsidR="005C0E88" w:rsidRPr="007E3779" w:rsidRDefault="005C0E88" w:rsidP="008D1891">
      <w:pPr>
        <w:rPr>
          <w:szCs w:val="20"/>
        </w:rPr>
      </w:pPr>
    </w:p>
    <w:p w:rsidR="007505A5" w:rsidRDefault="007505A5">
      <w:r>
        <w:br w:type="page"/>
      </w:r>
    </w:p>
    <w:p w:rsidR="005B0F47" w:rsidRPr="001243AF" w:rsidRDefault="005B0F47" w:rsidP="00B9043D">
      <w:pPr>
        <w:pStyle w:val="Heading2"/>
        <w:tabs>
          <w:tab w:val="clear" w:pos="567"/>
          <w:tab w:val="left" w:pos="1985"/>
        </w:tabs>
        <w:ind w:left="1985" w:hanging="1985"/>
      </w:pPr>
      <w:bookmarkStart w:id="114" w:name="_Toc422210518"/>
      <w:bookmarkStart w:id="115" w:name="_Toc454544503"/>
      <w:r w:rsidRPr="001243AF">
        <w:t xml:space="preserve">PROGRAM </w:t>
      </w:r>
      <w:r>
        <w:t>29</w:t>
      </w:r>
      <w:r>
        <w:tab/>
        <w:t>CONSTRUCTIONS PROJECTS</w:t>
      </w:r>
      <w:bookmarkEnd w:id="114"/>
      <w:bookmarkEnd w:id="115"/>
      <w:r>
        <w:t xml:space="preserve"> </w:t>
      </w:r>
    </w:p>
    <w:p w:rsidR="005B0F47" w:rsidRPr="00383D2D" w:rsidRDefault="005B0F47" w:rsidP="00B9043D">
      <w:pPr>
        <w:tabs>
          <w:tab w:val="left" w:pos="1985"/>
        </w:tabs>
        <w:rPr>
          <w:szCs w:val="20"/>
        </w:rPr>
      </w:pPr>
    </w:p>
    <w:p w:rsidR="005B0F47" w:rsidRPr="006A3E06" w:rsidRDefault="005B0F47" w:rsidP="00B9043D">
      <w:pPr>
        <w:tabs>
          <w:tab w:val="left" w:pos="1985"/>
        </w:tabs>
        <w:rPr>
          <w:b/>
          <w:szCs w:val="22"/>
        </w:rPr>
      </w:pPr>
      <w:r w:rsidRPr="006A3E06">
        <w:rPr>
          <w:b/>
          <w:szCs w:val="22"/>
        </w:rPr>
        <w:t>Program Manager</w:t>
      </w:r>
      <w:r w:rsidRPr="006A3E06">
        <w:rPr>
          <w:b/>
          <w:szCs w:val="22"/>
        </w:rPr>
        <w:tab/>
        <w:t>Mr. A. Sundaram</w:t>
      </w:r>
    </w:p>
    <w:p w:rsidR="005B0F47" w:rsidRPr="000C6C48" w:rsidRDefault="005B0F47" w:rsidP="00B9043D">
      <w:pPr>
        <w:rPr>
          <w:szCs w:val="20"/>
        </w:rPr>
      </w:pPr>
    </w:p>
    <w:p w:rsidR="005B0F47" w:rsidRPr="000C6C48" w:rsidRDefault="005B0F47" w:rsidP="00B9043D">
      <w:pPr>
        <w:rPr>
          <w:szCs w:val="20"/>
        </w:rPr>
      </w:pPr>
    </w:p>
    <w:p w:rsidR="005B0F47" w:rsidRPr="000C6C48" w:rsidRDefault="005B0F47" w:rsidP="00B9043D">
      <w:pPr>
        <w:rPr>
          <w:bCs/>
          <w:szCs w:val="20"/>
        </w:rPr>
      </w:pPr>
      <w:r w:rsidRPr="000C6C48">
        <w:rPr>
          <w:bCs/>
          <w:szCs w:val="20"/>
        </w:rPr>
        <w:t>ACHIEVEMENTS IN THE 2014/15 BIENNIUM</w:t>
      </w:r>
    </w:p>
    <w:p w:rsidR="005B0F47" w:rsidRPr="000C6C48" w:rsidRDefault="005B0F47" w:rsidP="00B9043D">
      <w:pPr>
        <w:rPr>
          <w:bCs/>
          <w:szCs w:val="20"/>
        </w:rPr>
      </w:pPr>
    </w:p>
    <w:p w:rsidR="005B0F47" w:rsidRPr="000C6C48" w:rsidRDefault="005B0F47" w:rsidP="00B9043D">
      <w:pPr>
        <w:rPr>
          <w:szCs w:val="20"/>
        </w:rPr>
      </w:pPr>
    </w:p>
    <w:p w:rsidR="005B0F47" w:rsidRPr="000C6C48" w:rsidRDefault="005B0F47" w:rsidP="00B9043D">
      <w:pPr>
        <w:jc w:val="both"/>
        <w:rPr>
          <w:rFonts w:cs="Arial"/>
          <w:szCs w:val="20"/>
        </w:rPr>
      </w:pPr>
      <w:r w:rsidRPr="000C6C48">
        <w:rPr>
          <w:rFonts w:cs="Arial"/>
          <w:szCs w:val="20"/>
        </w:rPr>
        <w:t xml:space="preserve">NEW CONSTRUCTION PROJECT </w:t>
      </w:r>
    </w:p>
    <w:p w:rsidR="005B0F47" w:rsidRPr="000C6C48" w:rsidRDefault="005B0F47" w:rsidP="00B9043D">
      <w:pPr>
        <w:jc w:val="both"/>
        <w:rPr>
          <w:rFonts w:cs="Arial"/>
          <w:szCs w:val="20"/>
        </w:rPr>
      </w:pPr>
    </w:p>
    <w:p w:rsidR="005B0F47" w:rsidRPr="005B0F47" w:rsidRDefault="005B0F47" w:rsidP="005B0F47">
      <w:pPr>
        <w:pStyle w:val="ListParagraph"/>
        <w:numPr>
          <w:ilvl w:val="0"/>
          <w:numId w:val="22"/>
        </w:numPr>
        <w:tabs>
          <w:tab w:val="left" w:pos="709"/>
        </w:tabs>
        <w:ind w:left="0" w:firstLine="0"/>
        <w:jc w:val="both"/>
        <w:rPr>
          <w:rFonts w:cs="Arial"/>
        </w:rPr>
      </w:pPr>
      <w:r w:rsidRPr="005B0F47">
        <w:rPr>
          <w:rFonts w:cs="Arial"/>
        </w:rPr>
        <w:t>All the remaining repairs, replacement and finishing works, which had started mid-2011 after the handover of the New Building by the former general contractor, were completed by the end of 2015.  The replacement of the ground floor windows, which was planned in 2014, was implemented after the winter season, i.e. from June 2015 onwards, immediately after the Diplomatic Conference, and until the end of 2015.  The final closure of the July 2012 termination agreement with the former general contractor was amicably concluded at the end of August 2014, bringing to an end all the outstanding points on substitution works for the New Building.  It should be noted that WIPO held sufficient funds to cover the cost of these works and that the Secretariat did not have to resort to any potentially lengthy legal or conflict resolution mechanisms in order to arrive at these results.</w:t>
      </w:r>
    </w:p>
    <w:p w:rsidR="005B0F47" w:rsidRDefault="005B0F47" w:rsidP="005B0F47">
      <w:pPr>
        <w:tabs>
          <w:tab w:val="left" w:pos="709"/>
        </w:tabs>
        <w:rPr>
          <w:bCs/>
          <w:szCs w:val="20"/>
        </w:rPr>
      </w:pPr>
    </w:p>
    <w:p w:rsidR="005B0F47" w:rsidRPr="000C6C48" w:rsidRDefault="005B0F47" w:rsidP="005B0F47">
      <w:pPr>
        <w:tabs>
          <w:tab w:val="left" w:pos="709"/>
        </w:tabs>
        <w:jc w:val="both"/>
        <w:rPr>
          <w:rFonts w:cs="Arial"/>
          <w:szCs w:val="20"/>
        </w:rPr>
      </w:pPr>
      <w:r w:rsidRPr="000C6C48">
        <w:rPr>
          <w:rFonts w:cs="Arial"/>
          <w:szCs w:val="20"/>
        </w:rPr>
        <w:t xml:space="preserve">NEW CONFERENCE HALL PROJECT </w:t>
      </w:r>
    </w:p>
    <w:p w:rsidR="005B0F47" w:rsidRPr="000C6C48" w:rsidRDefault="005B0F47" w:rsidP="005B0F47">
      <w:pPr>
        <w:tabs>
          <w:tab w:val="left" w:pos="709"/>
        </w:tabs>
        <w:jc w:val="both"/>
        <w:rPr>
          <w:rFonts w:cs="Arial"/>
          <w:szCs w:val="20"/>
        </w:rPr>
      </w:pPr>
    </w:p>
    <w:p w:rsidR="005B0F47" w:rsidRPr="000C6C48" w:rsidRDefault="005B0F47" w:rsidP="005B0F47">
      <w:pPr>
        <w:pStyle w:val="ListParagraph"/>
        <w:numPr>
          <w:ilvl w:val="0"/>
          <w:numId w:val="22"/>
        </w:numPr>
        <w:tabs>
          <w:tab w:val="left" w:pos="709"/>
        </w:tabs>
        <w:ind w:left="0" w:firstLine="0"/>
        <w:jc w:val="both"/>
        <w:rPr>
          <w:rFonts w:cs="Arial"/>
        </w:rPr>
      </w:pPr>
      <w:r w:rsidRPr="000C6C48">
        <w:rPr>
          <w:rFonts w:cs="Arial"/>
        </w:rPr>
        <w:t xml:space="preserve">As part of the aforementioned termination agreement, the former general contractor reimbursed to WIPO the final balance due on the Project.  It is recalled that, in August 2012, the Secretariat had taken over the direct responsibility for the Project, with reinforced mandates for the architects, engineers and project pilot, as well as modifications to the internal governance and project management structure, in order to bring added flexibility and agility, and to deal in a proactive and timely manner with a number of project modifications and unforeseen matters identified during project execution.  The Project was delivered in several stages, with various technical and system tests carried out in parallel, area by area.  The new Access Center was delivered in July 2014;  the exterior landscaping between the New Building, the new WIPO Conference Hall and the AB Building was delivered at the end of August;  the new WIPO Conference Hall per se was delivered at the end of August and was available for the holding of the PBC session from </w:t>
      </w:r>
      <w:r w:rsidRPr="00DB171C">
        <w:t>September</w:t>
      </w:r>
      <w:r>
        <w:t> </w:t>
      </w:r>
      <w:r w:rsidRPr="00DB171C">
        <w:t>1</w:t>
      </w:r>
      <w:r w:rsidRPr="000C6C48">
        <w:rPr>
          <w:rFonts w:cs="Arial"/>
        </w:rPr>
        <w:t xml:space="preserve"> to 5, 2014;  the entirety of the new and renovated construction was completed in September in the new WIPO Conference Hall and three floors of the AB Building, and made available to hold the session of the WIPO Assemblies from September 22 to 30, 2014, which included the inauguration of the Hall on the opening day in the presence of officials from the Host Country (federal, cantonal and municipal levels), representatives from other UN Agencies, and from the 70-odd companies and firms that had contributed to the construction and completion of the Project, in addition to WIPO Member States and observers.  A number of elements of the exterior landscaping had to be dealt with in the course of 2015.  The new WIPO Conference Hall and adjacent new or renovated facilities have been used on several occasions since end 2014 for meetings of WIPO Member States and other meetings, as well as for rentals to </w:t>
      </w:r>
      <w:r w:rsidR="000F4114">
        <w:rPr>
          <w:rFonts w:cs="Arial"/>
        </w:rPr>
        <w:t>M</w:t>
      </w:r>
      <w:r w:rsidRPr="000C6C48">
        <w:rPr>
          <w:rFonts w:cs="Arial"/>
        </w:rPr>
        <w:t>ember States and external entities.  The Project was completed on time for the WIPO Assemblies, even though it was delayed from April 2014 to September 2014, in view of the complexity of the worksite, in particular in the last few months.  The validation of the final accounts with some of the companies and firms were completed by the end of 2014 and with the majority of the remaining accounts completed by the end of 2015, leaving only a handful to be completed at the beginning of 2016.</w:t>
      </w:r>
    </w:p>
    <w:p w:rsidR="005B0F47" w:rsidRDefault="005B0F47" w:rsidP="005B0F47">
      <w:pPr>
        <w:tabs>
          <w:tab w:val="left" w:pos="709"/>
        </w:tabs>
        <w:rPr>
          <w:bCs/>
          <w:szCs w:val="20"/>
        </w:rPr>
      </w:pPr>
    </w:p>
    <w:p w:rsidR="005F5C1B" w:rsidRPr="000C6C48" w:rsidRDefault="005F5C1B" w:rsidP="005B0F47">
      <w:pPr>
        <w:tabs>
          <w:tab w:val="left" w:pos="709"/>
        </w:tabs>
        <w:rPr>
          <w:bCs/>
          <w:szCs w:val="20"/>
        </w:rPr>
      </w:pPr>
    </w:p>
    <w:p w:rsidR="005B0F47" w:rsidRPr="000C6C48" w:rsidRDefault="005B0F47" w:rsidP="005B0F47">
      <w:pPr>
        <w:keepNext/>
        <w:keepLines/>
        <w:tabs>
          <w:tab w:val="left" w:pos="709"/>
        </w:tabs>
        <w:rPr>
          <w:szCs w:val="20"/>
        </w:rPr>
      </w:pPr>
      <w:r w:rsidRPr="000C6C48">
        <w:rPr>
          <w:szCs w:val="20"/>
        </w:rPr>
        <w:t xml:space="preserve">PERFORMANCE DATA </w:t>
      </w:r>
    </w:p>
    <w:p w:rsidR="005B0F47" w:rsidRDefault="005B0F47" w:rsidP="005B0F47">
      <w:pPr>
        <w:keepNext/>
        <w:keepLines/>
        <w:tabs>
          <w:tab w:val="left" w:pos="709"/>
        </w:tabs>
      </w:pPr>
    </w:p>
    <w:tbl>
      <w:tblPr>
        <w:tblW w:w="5074" w:type="pct"/>
        <w:tblInd w:w="-34"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121"/>
        <w:gridCol w:w="1560"/>
        <w:gridCol w:w="1560"/>
        <w:gridCol w:w="3536"/>
        <w:gridCol w:w="936"/>
      </w:tblGrid>
      <w:tr w:rsidR="005B0F47" w:rsidRPr="002D63BA" w:rsidTr="00B9043D">
        <w:trPr>
          <w:cantSplit/>
          <w:trHeight w:val="677"/>
        </w:trPr>
        <w:tc>
          <w:tcPr>
            <w:tcW w:w="5000" w:type="pct"/>
            <w:gridSpan w:val="5"/>
            <w:tcBorders>
              <w:top w:val="single" w:sz="4" w:space="0" w:color="auto"/>
              <w:left w:val="single" w:sz="4" w:space="0" w:color="auto"/>
              <w:bottom w:val="nil"/>
              <w:right w:val="single" w:sz="4" w:space="0" w:color="auto"/>
            </w:tcBorders>
            <w:shd w:val="clear" w:color="auto" w:fill="C6D9F1" w:themeFill="text2" w:themeFillTint="33"/>
            <w:vAlign w:val="center"/>
          </w:tcPr>
          <w:p w:rsidR="005B0F47" w:rsidRPr="002D63BA" w:rsidRDefault="005B0F47" w:rsidP="005B0F47">
            <w:pPr>
              <w:keepNext/>
              <w:keepLines/>
              <w:tabs>
                <w:tab w:val="left" w:pos="709"/>
                <w:tab w:val="left" w:pos="1452"/>
              </w:tabs>
              <w:spacing w:before="120" w:after="120"/>
              <w:ind w:left="1452" w:hanging="1452"/>
              <w:rPr>
                <w:rFonts w:cs="Arial"/>
                <w:bCs/>
                <w:sz w:val="16"/>
                <w:szCs w:val="16"/>
              </w:rPr>
            </w:pPr>
            <w:r w:rsidRPr="002D63BA">
              <w:rPr>
                <w:rFonts w:cs="Arial"/>
                <w:bCs/>
                <w:sz w:val="16"/>
                <w:szCs w:val="16"/>
              </w:rPr>
              <w:t>Expected Result:</w:t>
            </w:r>
            <w:r w:rsidRPr="002D63BA">
              <w:rPr>
                <w:rFonts w:cs="Arial"/>
                <w:bCs/>
                <w:sz w:val="16"/>
                <w:szCs w:val="16"/>
              </w:rPr>
              <w:tab/>
            </w:r>
            <w:r w:rsidRPr="002D63BA">
              <w:rPr>
                <w:rFonts w:cs="Arial"/>
                <w:sz w:val="16"/>
                <w:szCs w:val="16"/>
              </w:rPr>
              <w:t>IX.1 Effective, efficient, quality and customer-oriented support services both to internal clients and to external stakeholders</w:t>
            </w:r>
          </w:p>
        </w:tc>
      </w:tr>
      <w:tr w:rsidR="005B0F47" w:rsidRPr="002D63BA" w:rsidTr="00B9043D">
        <w:trPr>
          <w:cantSplit/>
        </w:trPr>
        <w:tc>
          <w:tcPr>
            <w:tcW w:w="1092" w:type="pct"/>
            <w:tcBorders>
              <w:top w:val="single" w:sz="4" w:space="0" w:color="auto"/>
              <w:left w:val="single" w:sz="4" w:space="0" w:color="auto"/>
              <w:bottom w:val="nil"/>
            </w:tcBorders>
            <w:shd w:val="clear" w:color="auto" w:fill="auto"/>
            <w:vAlign w:val="center"/>
          </w:tcPr>
          <w:p w:rsidR="005B0F47" w:rsidRPr="002D63BA" w:rsidRDefault="005B0F47" w:rsidP="005B0F47">
            <w:pPr>
              <w:keepNext/>
              <w:keepLines/>
              <w:tabs>
                <w:tab w:val="left" w:pos="709"/>
              </w:tabs>
              <w:rPr>
                <w:rFonts w:cs="Arial"/>
                <w:b/>
                <w:sz w:val="16"/>
                <w:szCs w:val="16"/>
              </w:rPr>
            </w:pPr>
            <w:r w:rsidRPr="002D63BA">
              <w:rPr>
                <w:rFonts w:cs="Arial"/>
                <w:b/>
                <w:bCs/>
                <w:sz w:val="16"/>
                <w:szCs w:val="16"/>
              </w:rPr>
              <w:t>Performance Indicators</w:t>
            </w:r>
          </w:p>
        </w:tc>
        <w:tc>
          <w:tcPr>
            <w:tcW w:w="803" w:type="pct"/>
            <w:tcBorders>
              <w:top w:val="single" w:sz="4" w:space="0" w:color="auto"/>
              <w:bottom w:val="nil"/>
            </w:tcBorders>
            <w:shd w:val="clear" w:color="auto" w:fill="auto"/>
            <w:vAlign w:val="center"/>
          </w:tcPr>
          <w:p w:rsidR="005B0F47" w:rsidRPr="002D63BA" w:rsidRDefault="005B0F47" w:rsidP="005B0F47">
            <w:pPr>
              <w:keepNext/>
              <w:keepLines/>
              <w:tabs>
                <w:tab w:val="left" w:pos="709"/>
              </w:tabs>
              <w:rPr>
                <w:rFonts w:cs="Arial"/>
                <w:b/>
                <w:bCs/>
                <w:sz w:val="16"/>
                <w:szCs w:val="16"/>
              </w:rPr>
            </w:pPr>
            <w:r w:rsidRPr="002D63BA">
              <w:rPr>
                <w:rFonts w:cs="Arial"/>
                <w:b/>
                <w:bCs/>
                <w:sz w:val="16"/>
                <w:szCs w:val="16"/>
              </w:rPr>
              <w:t>Baselines</w:t>
            </w:r>
          </w:p>
        </w:tc>
        <w:tc>
          <w:tcPr>
            <w:tcW w:w="803" w:type="pct"/>
            <w:tcBorders>
              <w:top w:val="single" w:sz="4" w:space="0" w:color="auto"/>
              <w:bottom w:val="nil"/>
            </w:tcBorders>
            <w:shd w:val="clear" w:color="auto" w:fill="auto"/>
            <w:tcMar>
              <w:top w:w="110" w:type="dxa"/>
            </w:tcMar>
            <w:vAlign w:val="center"/>
          </w:tcPr>
          <w:p w:rsidR="005B0F47" w:rsidRPr="002D63BA" w:rsidRDefault="005B0F47" w:rsidP="005B0F47">
            <w:pPr>
              <w:keepNext/>
              <w:keepLines/>
              <w:tabs>
                <w:tab w:val="left" w:pos="709"/>
              </w:tabs>
              <w:rPr>
                <w:rFonts w:cs="Arial"/>
                <w:b/>
                <w:sz w:val="16"/>
                <w:szCs w:val="16"/>
              </w:rPr>
            </w:pPr>
            <w:r w:rsidRPr="002D63BA">
              <w:rPr>
                <w:rFonts w:cs="Arial"/>
                <w:b/>
                <w:sz w:val="16"/>
                <w:szCs w:val="16"/>
              </w:rPr>
              <w:t>Targets</w:t>
            </w:r>
          </w:p>
        </w:tc>
        <w:tc>
          <w:tcPr>
            <w:tcW w:w="1819" w:type="pct"/>
            <w:tcBorders>
              <w:top w:val="single" w:sz="4" w:space="0" w:color="auto"/>
              <w:bottom w:val="nil"/>
            </w:tcBorders>
            <w:shd w:val="clear" w:color="auto" w:fill="FFFFFF"/>
            <w:tcMar>
              <w:top w:w="110" w:type="dxa"/>
            </w:tcMar>
            <w:vAlign w:val="center"/>
          </w:tcPr>
          <w:p w:rsidR="005B0F47" w:rsidRPr="002D63BA" w:rsidRDefault="005B0F47" w:rsidP="005B0F47">
            <w:pPr>
              <w:keepNext/>
              <w:keepLines/>
              <w:tabs>
                <w:tab w:val="left" w:pos="709"/>
              </w:tabs>
              <w:rPr>
                <w:rFonts w:cs="Arial"/>
                <w:b/>
                <w:sz w:val="16"/>
                <w:szCs w:val="16"/>
              </w:rPr>
            </w:pPr>
            <w:r w:rsidRPr="002D63BA">
              <w:rPr>
                <w:rFonts w:cs="Arial"/>
                <w:b/>
                <w:bCs/>
                <w:sz w:val="16"/>
                <w:szCs w:val="16"/>
              </w:rPr>
              <w:t>Performance Data</w:t>
            </w:r>
          </w:p>
        </w:tc>
        <w:tc>
          <w:tcPr>
            <w:tcW w:w="482" w:type="pct"/>
            <w:tcBorders>
              <w:top w:val="single" w:sz="4" w:space="0" w:color="auto"/>
              <w:bottom w:val="nil"/>
              <w:right w:val="single" w:sz="4" w:space="0" w:color="auto"/>
            </w:tcBorders>
            <w:shd w:val="clear" w:color="auto" w:fill="auto"/>
            <w:tcMar>
              <w:top w:w="110" w:type="dxa"/>
            </w:tcMar>
            <w:vAlign w:val="center"/>
          </w:tcPr>
          <w:p w:rsidR="005B0F47" w:rsidRPr="002D63BA" w:rsidRDefault="005B0F47" w:rsidP="005B0F47">
            <w:pPr>
              <w:keepNext/>
              <w:keepLines/>
              <w:tabs>
                <w:tab w:val="left" w:pos="709"/>
              </w:tabs>
              <w:jc w:val="center"/>
              <w:rPr>
                <w:rFonts w:cs="Arial"/>
                <w:b/>
                <w:bCs/>
                <w:sz w:val="16"/>
                <w:szCs w:val="16"/>
              </w:rPr>
            </w:pPr>
            <w:r w:rsidRPr="002D63BA">
              <w:rPr>
                <w:rFonts w:cs="Arial"/>
                <w:b/>
                <w:bCs/>
                <w:sz w:val="16"/>
                <w:szCs w:val="16"/>
              </w:rPr>
              <w:t>TLS</w:t>
            </w:r>
          </w:p>
        </w:tc>
      </w:tr>
      <w:tr w:rsidR="005B0F47" w:rsidRPr="002D63BA" w:rsidTr="00B9043D">
        <w:trPr>
          <w:cantSplit/>
        </w:trPr>
        <w:tc>
          <w:tcPr>
            <w:tcW w:w="1092" w:type="pct"/>
            <w:tcBorders>
              <w:top w:val="nil"/>
              <w:left w:val="single" w:sz="4" w:space="0" w:color="auto"/>
              <w:bottom w:val="nil"/>
            </w:tcBorders>
            <w:shd w:val="clear" w:color="auto" w:fill="auto"/>
          </w:tcPr>
          <w:p w:rsidR="005B0F47" w:rsidRPr="002D63BA" w:rsidRDefault="005B0F47" w:rsidP="005B0F47">
            <w:pPr>
              <w:keepNext/>
              <w:keepLines/>
              <w:tabs>
                <w:tab w:val="left" w:pos="709"/>
              </w:tabs>
              <w:rPr>
                <w:rFonts w:cs="Arial"/>
                <w:sz w:val="16"/>
                <w:szCs w:val="16"/>
              </w:rPr>
            </w:pPr>
            <w:r w:rsidRPr="002D63BA">
              <w:rPr>
                <w:rFonts w:cs="Arial"/>
                <w:sz w:val="16"/>
                <w:szCs w:val="16"/>
              </w:rPr>
              <w:t>Completion of New Conference Hall Project in accordance with quality requirements, on time and within budgetary limits</w:t>
            </w:r>
          </w:p>
        </w:tc>
        <w:tc>
          <w:tcPr>
            <w:tcW w:w="803" w:type="pct"/>
            <w:tcBorders>
              <w:top w:val="nil"/>
              <w:bottom w:val="nil"/>
            </w:tcBorders>
            <w:shd w:val="clear" w:color="auto" w:fill="auto"/>
          </w:tcPr>
          <w:p w:rsidR="005B0F47" w:rsidRPr="002D63BA" w:rsidRDefault="005B0F47" w:rsidP="005B0F47">
            <w:pPr>
              <w:keepNext/>
              <w:keepLines/>
              <w:tabs>
                <w:tab w:val="left" w:pos="709"/>
              </w:tabs>
              <w:rPr>
                <w:rFonts w:cs="Arial"/>
                <w:sz w:val="16"/>
                <w:szCs w:val="16"/>
              </w:rPr>
            </w:pPr>
            <w:r w:rsidRPr="002D63BA">
              <w:rPr>
                <w:rFonts w:cs="Arial"/>
                <w:sz w:val="16"/>
                <w:szCs w:val="16"/>
              </w:rPr>
              <w:t>Ensuring hall is delivered within budget and</w:t>
            </w:r>
            <w:r>
              <w:rPr>
                <w:rFonts w:cs="Arial"/>
                <w:sz w:val="16"/>
                <w:szCs w:val="16"/>
              </w:rPr>
              <w:t xml:space="preserve"> according to the revised completion date (due to termination of contract with the general contractor)</w:t>
            </w:r>
            <w:r w:rsidRPr="002D63BA">
              <w:rPr>
                <w:rFonts w:cs="Arial"/>
                <w:sz w:val="16"/>
                <w:szCs w:val="16"/>
              </w:rPr>
              <w:t xml:space="preserve">  for 2014 Assemblies of Member States</w:t>
            </w:r>
          </w:p>
          <w:p w:rsidR="005B0F47" w:rsidRPr="002D63BA" w:rsidRDefault="005B0F47" w:rsidP="005B0F47">
            <w:pPr>
              <w:keepNext/>
              <w:keepLines/>
              <w:tabs>
                <w:tab w:val="left" w:pos="709"/>
              </w:tabs>
              <w:rPr>
                <w:rFonts w:cs="Arial"/>
                <w:i/>
                <w:sz w:val="16"/>
                <w:szCs w:val="16"/>
              </w:rPr>
            </w:pPr>
          </w:p>
        </w:tc>
        <w:tc>
          <w:tcPr>
            <w:tcW w:w="803" w:type="pct"/>
            <w:tcBorders>
              <w:top w:val="nil"/>
              <w:bottom w:val="nil"/>
            </w:tcBorders>
            <w:shd w:val="clear" w:color="auto" w:fill="auto"/>
            <w:tcMar>
              <w:top w:w="110" w:type="dxa"/>
            </w:tcMar>
          </w:tcPr>
          <w:p w:rsidR="005B0F47" w:rsidRPr="002D63BA" w:rsidRDefault="005B0F47" w:rsidP="005B0F47">
            <w:pPr>
              <w:keepNext/>
              <w:keepLines/>
              <w:tabs>
                <w:tab w:val="left" w:pos="709"/>
              </w:tabs>
              <w:rPr>
                <w:rFonts w:cs="Arial"/>
                <w:i/>
                <w:sz w:val="16"/>
                <w:szCs w:val="16"/>
              </w:rPr>
            </w:pPr>
            <w:r w:rsidRPr="002D63BA">
              <w:rPr>
                <w:rFonts w:cs="Arial"/>
                <w:sz w:val="16"/>
                <w:szCs w:val="16"/>
              </w:rPr>
              <w:t>2014 Assemblies of Member States to be held in new conference hall</w:t>
            </w:r>
          </w:p>
        </w:tc>
        <w:tc>
          <w:tcPr>
            <w:tcW w:w="1819" w:type="pct"/>
            <w:tcBorders>
              <w:top w:val="nil"/>
              <w:bottom w:val="nil"/>
            </w:tcBorders>
            <w:shd w:val="clear" w:color="auto" w:fill="FFFFFF"/>
            <w:tcMar>
              <w:top w:w="110" w:type="dxa"/>
            </w:tcMar>
          </w:tcPr>
          <w:p w:rsidR="005B0F47" w:rsidRDefault="005B0F47" w:rsidP="005B0F47">
            <w:pPr>
              <w:keepNext/>
              <w:keepLines/>
              <w:tabs>
                <w:tab w:val="left" w:pos="709"/>
              </w:tabs>
              <w:rPr>
                <w:rFonts w:cs="Arial"/>
                <w:sz w:val="16"/>
                <w:szCs w:val="16"/>
              </w:rPr>
            </w:pPr>
            <w:r>
              <w:rPr>
                <w:rFonts w:cs="Arial"/>
                <w:sz w:val="16"/>
                <w:szCs w:val="16"/>
              </w:rPr>
              <w:t>The New Conference Hall Project was completed and delivered on time in accordance with quality requirements.</w:t>
            </w:r>
          </w:p>
          <w:p w:rsidR="005B0F47" w:rsidRDefault="005B0F47" w:rsidP="005B0F47">
            <w:pPr>
              <w:keepNext/>
              <w:keepLines/>
              <w:tabs>
                <w:tab w:val="left" w:pos="709"/>
              </w:tabs>
              <w:rPr>
                <w:rFonts w:cs="Arial"/>
                <w:sz w:val="16"/>
                <w:szCs w:val="16"/>
              </w:rPr>
            </w:pPr>
          </w:p>
          <w:p w:rsidR="005B0F47" w:rsidRDefault="005B0F47" w:rsidP="005B0F47">
            <w:pPr>
              <w:keepNext/>
              <w:keepLines/>
              <w:tabs>
                <w:tab w:val="left" w:pos="709"/>
              </w:tabs>
              <w:rPr>
                <w:rFonts w:cs="Arial"/>
                <w:sz w:val="16"/>
                <w:szCs w:val="16"/>
              </w:rPr>
            </w:pPr>
            <w:r>
              <w:rPr>
                <w:rFonts w:cs="Arial"/>
                <w:sz w:val="16"/>
                <w:szCs w:val="16"/>
              </w:rPr>
              <w:t>The first official meeting held in the new WIPO Conference Hall in 2014 was the PBC from September 1 to 5, 2014.  The 2014 WIPO Assemblies of Member States were held as from September 22 to 30, 2014, with the inauguration ceremonies held on the first day.</w:t>
            </w:r>
          </w:p>
          <w:p w:rsidR="005B0F47" w:rsidRDefault="005B0F47" w:rsidP="005B0F47">
            <w:pPr>
              <w:keepNext/>
              <w:keepLines/>
              <w:tabs>
                <w:tab w:val="left" w:pos="709"/>
              </w:tabs>
              <w:rPr>
                <w:rFonts w:cs="Arial"/>
                <w:sz w:val="16"/>
                <w:szCs w:val="16"/>
              </w:rPr>
            </w:pPr>
          </w:p>
          <w:p w:rsidR="005B0F47" w:rsidRDefault="005B0F47" w:rsidP="005B0F47">
            <w:pPr>
              <w:keepNext/>
              <w:keepLines/>
              <w:tabs>
                <w:tab w:val="left" w:pos="709"/>
              </w:tabs>
              <w:rPr>
                <w:rFonts w:cs="Arial"/>
                <w:sz w:val="16"/>
                <w:szCs w:val="16"/>
              </w:rPr>
            </w:pPr>
            <w:r>
              <w:rPr>
                <w:rFonts w:cs="Arial"/>
                <w:sz w:val="16"/>
                <w:szCs w:val="16"/>
              </w:rPr>
              <w:t>By the end of 2015, the estimated remaining balance due on all final accounts was expected to be fully covered by the additional budget approved by Member States in 2014 and in 2015, with the final project cost to be established in 2016, after payment of all balances due.</w:t>
            </w:r>
          </w:p>
          <w:p w:rsidR="005B0F47" w:rsidRPr="002D63BA" w:rsidRDefault="005B0F47" w:rsidP="005B0F47">
            <w:pPr>
              <w:keepNext/>
              <w:keepLines/>
              <w:tabs>
                <w:tab w:val="left" w:pos="709"/>
              </w:tabs>
              <w:rPr>
                <w:rFonts w:cs="Arial"/>
                <w:sz w:val="16"/>
                <w:szCs w:val="16"/>
              </w:rPr>
            </w:pPr>
          </w:p>
        </w:tc>
        <w:tc>
          <w:tcPr>
            <w:tcW w:w="482" w:type="pct"/>
            <w:tcBorders>
              <w:top w:val="nil"/>
              <w:bottom w:val="nil"/>
              <w:right w:val="single" w:sz="4" w:space="0" w:color="auto"/>
            </w:tcBorders>
            <w:shd w:val="clear" w:color="auto" w:fill="auto"/>
            <w:tcMar>
              <w:top w:w="110" w:type="dxa"/>
            </w:tcMar>
          </w:tcPr>
          <w:p w:rsidR="005B0F47" w:rsidRPr="002D63BA" w:rsidRDefault="005B0F47" w:rsidP="005B0F47">
            <w:pPr>
              <w:keepNext/>
              <w:keepLines/>
              <w:tabs>
                <w:tab w:val="left" w:pos="709"/>
              </w:tabs>
              <w:jc w:val="center"/>
              <w:rPr>
                <w:rFonts w:cs="Arial"/>
                <w:b/>
                <w:bCs/>
                <w:color w:val="808080"/>
                <w:sz w:val="16"/>
                <w:szCs w:val="16"/>
              </w:rPr>
            </w:pPr>
            <w:r>
              <w:rPr>
                <w:rFonts w:cs="Arial"/>
                <w:b/>
                <w:bCs/>
                <w:color w:val="00B050"/>
                <w:sz w:val="16"/>
                <w:szCs w:val="16"/>
              </w:rPr>
              <w:t>Fully Achieved</w:t>
            </w:r>
          </w:p>
        </w:tc>
      </w:tr>
      <w:tr w:rsidR="005B0F47" w:rsidRPr="002D63BA" w:rsidTr="00B9043D">
        <w:trPr>
          <w:cantSplit/>
        </w:trPr>
        <w:tc>
          <w:tcPr>
            <w:tcW w:w="1092" w:type="pct"/>
            <w:tcBorders>
              <w:top w:val="nil"/>
              <w:left w:val="single" w:sz="4" w:space="0" w:color="auto"/>
              <w:bottom w:val="single" w:sz="4" w:space="0" w:color="auto"/>
            </w:tcBorders>
            <w:shd w:val="clear" w:color="auto" w:fill="auto"/>
          </w:tcPr>
          <w:p w:rsidR="005B0F47" w:rsidRPr="002D63BA" w:rsidRDefault="005B0F47" w:rsidP="005B0F47">
            <w:pPr>
              <w:tabs>
                <w:tab w:val="left" w:pos="709"/>
              </w:tabs>
              <w:rPr>
                <w:rFonts w:cs="Arial"/>
                <w:sz w:val="16"/>
                <w:szCs w:val="16"/>
              </w:rPr>
            </w:pPr>
            <w:r w:rsidRPr="002D63BA">
              <w:rPr>
                <w:rFonts w:cs="Arial"/>
                <w:sz w:val="16"/>
                <w:szCs w:val="16"/>
              </w:rPr>
              <w:t xml:space="preserve">Use of conference hall as preferred location for meetings and events </w:t>
            </w:r>
            <w:r>
              <w:rPr>
                <w:rFonts w:cs="Arial"/>
                <w:sz w:val="16"/>
                <w:szCs w:val="16"/>
              </w:rPr>
              <w:t xml:space="preserve">organized </w:t>
            </w:r>
            <w:r w:rsidRPr="002D63BA">
              <w:rPr>
                <w:rFonts w:cs="Arial"/>
                <w:sz w:val="16"/>
                <w:szCs w:val="16"/>
              </w:rPr>
              <w:t>by Member States</w:t>
            </w:r>
          </w:p>
        </w:tc>
        <w:tc>
          <w:tcPr>
            <w:tcW w:w="803" w:type="pct"/>
            <w:tcBorders>
              <w:top w:val="nil"/>
              <w:bottom w:val="single" w:sz="4" w:space="0" w:color="auto"/>
            </w:tcBorders>
            <w:shd w:val="clear" w:color="auto" w:fill="auto"/>
          </w:tcPr>
          <w:p w:rsidR="005B0F47" w:rsidRPr="002D63BA" w:rsidRDefault="005B0F47" w:rsidP="005B0F47">
            <w:pPr>
              <w:tabs>
                <w:tab w:val="left" w:pos="709"/>
              </w:tabs>
              <w:rPr>
                <w:rFonts w:cs="Arial"/>
                <w:sz w:val="16"/>
                <w:szCs w:val="16"/>
              </w:rPr>
            </w:pPr>
            <w:r w:rsidRPr="002D63BA">
              <w:rPr>
                <w:rFonts w:cs="Arial"/>
                <w:sz w:val="16"/>
                <w:szCs w:val="16"/>
              </w:rPr>
              <w:t>Starting 2015, requests for use of facilities by Member States (for meetings and events other than those organized by WIPO)</w:t>
            </w:r>
          </w:p>
        </w:tc>
        <w:tc>
          <w:tcPr>
            <w:tcW w:w="803" w:type="pct"/>
            <w:tcBorders>
              <w:top w:val="nil"/>
              <w:bottom w:val="single" w:sz="4" w:space="0" w:color="auto"/>
            </w:tcBorders>
            <w:shd w:val="clear" w:color="auto" w:fill="auto"/>
            <w:tcMar>
              <w:top w:w="110" w:type="dxa"/>
            </w:tcMar>
          </w:tcPr>
          <w:p w:rsidR="005B0F47" w:rsidRDefault="005B0F47" w:rsidP="005B0F47">
            <w:pPr>
              <w:tabs>
                <w:tab w:val="left" w:pos="709"/>
              </w:tabs>
              <w:rPr>
                <w:rFonts w:cs="Arial"/>
                <w:sz w:val="16"/>
                <w:szCs w:val="16"/>
              </w:rPr>
            </w:pPr>
            <w:r w:rsidRPr="002D63BA">
              <w:rPr>
                <w:rFonts w:cs="Arial"/>
                <w:sz w:val="16"/>
                <w:szCs w:val="16"/>
              </w:rPr>
              <w:t>At least two requests per annum by Member States</w:t>
            </w:r>
            <w:r>
              <w:rPr>
                <w:rFonts w:cs="Arial"/>
                <w:sz w:val="16"/>
                <w:szCs w:val="16"/>
              </w:rPr>
              <w:t xml:space="preserve"> or other</w:t>
            </w:r>
            <w:r w:rsidRPr="002D63BA">
              <w:rPr>
                <w:rFonts w:cs="Arial"/>
                <w:sz w:val="16"/>
                <w:szCs w:val="16"/>
              </w:rPr>
              <w:t xml:space="preserve"> international organizations or other entities for the organization of meetings and/or events (other than those organized by WIPO)</w:t>
            </w:r>
          </w:p>
          <w:p w:rsidR="005B0F47" w:rsidRPr="002D63BA" w:rsidRDefault="005B0F47" w:rsidP="005B0F47">
            <w:pPr>
              <w:tabs>
                <w:tab w:val="left" w:pos="709"/>
              </w:tabs>
              <w:rPr>
                <w:rFonts w:cs="Arial"/>
                <w:sz w:val="16"/>
                <w:szCs w:val="16"/>
              </w:rPr>
            </w:pPr>
          </w:p>
        </w:tc>
        <w:tc>
          <w:tcPr>
            <w:tcW w:w="1819" w:type="pct"/>
            <w:tcBorders>
              <w:top w:val="nil"/>
              <w:bottom w:val="single" w:sz="4" w:space="0" w:color="auto"/>
            </w:tcBorders>
            <w:shd w:val="clear" w:color="auto" w:fill="FFFFFF"/>
            <w:tcMar>
              <w:top w:w="110" w:type="dxa"/>
            </w:tcMar>
          </w:tcPr>
          <w:p w:rsidR="005B0F47" w:rsidRPr="002D63BA" w:rsidRDefault="005B0F47" w:rsidP="005B0F47">
            <w:pPr>
              <w:tabs>
                <w:tab w:val="left" w:pos="709"/>
              </w:tabs>
              <w:rPr>
                <w:rFonts w:cs="Arial"/>
                <w:sz w:val="16"/>
                <w:szCs w:val="16"/>
                <w:lang w:bidi="th-TH"/>
              </w:rPr>
            </w:pPr>
            <w:r>
              <w:rPr>
                <w:rFonts w:cs="Arial"/>
                <w:sz w:val="16"/>
                <w:szCs w:val="16"/>
                <w:lang w:bidi="th-TH"/>
              </w:rPr>
              <w:t>The year 2015 was the first year during which the new WIPO Conference Hall and adjacent facilities could be used for rental to Member States or external entities for activities other than WIPO meetings.  There were five such meetings:  (i) </w:t>
            </w:r>
            <w:r w:rsidRPr="00150CE2">
              <w:rPr>
                <w:rFonts w:cs="Arial"/>
                <w:sz w:val="16"/>
                <w:szCs w:val="16"/>
                <w:lang w:bidi="th-TH"/>
              </w:rPr>
              <w:t>ITU World Forum in May 2015</w:t>
            </w:r>
            <w:r>
              <w:rPr>
                <w:rFonts w:cs="Arial"/>
                <w:sz w:val="16"/>
                <w:szCs w:val="16"/>
                <w:lang w:bidi="th-TH"/>
              </w:rPr>
              <w:t>;  (ii) </w:t>
            </w:r>
            <w:r w:rsidRPr="00150CE2">
              <w:rPr>
                <w:rFonts w:cs="Arial"/>
                <w:sz w:val="16"/>
                <w:szCs w:val="16"/>
                <w:lang w:bidi="th-TH"/>
              </w:rPr>
              <w:t>International Center for Sport Security in September 2015</w:t>
            </w:r>
            <w:r>
              <w:rPr>
                <w:rFonts w:cs="Arial"/>
                <w:sz w:val="16"/>
                <w:szCs w:val="16"/>
                <w:lang w:bidi="th-TH"/>
              </w:rPr>
              <w:t xml:space="preserve">; </w:t>
            </w:r>
            <w:r w:rsidRPr="00150CE2">
              <w:rPr>
                <w:rFonts w:cs="Arial"/>
                <w:sz w:val="16"/>
                <w:szCs w:val="16"/>
                <w:lang w:bidi="th-TH"/>
              </w:rPr>
              <w:t xml:space="preserve"> </w:t>
            </w:r>
            <w:r>
              <w:rPr>
                <w:rFonts w:cs="Arial"/>
                <w:sz w:val="16"/>
                <w:szCs w:val="16"/>
                <w:lang w:bidi="th-TH"/>
              </w:rPr>
              <w:t>(iii) </w:t>
            </w:r>
            <w:r w:rsidRPr="00150CE2">
              <w:rPr>
                <w:rFonts w:cs="Arial"/>
                <w:sz w:val="16"/>
                <w:szCs w:val="16"/>
                <w:lang w:bidi="th-TH"/>
              </w:rPr>
              <w:t xml:space="preserve"> Geneva Water Hub Launch</w:t>
            </w:r>
            <w:r>
              <w:rPr>
                <w:rFonts w:cs="Arial"/>
                <w:sz w:val="16"/>
                <w:szCs w:val="16"/>
                <w:lang w:bidi="th-TH"/>
              </w:rPr>
              <w:t xml:space="preserve"> by Switzerland</w:t>
            </w:r>
            <w:r w:rsidRPr="00150CE2">
              <w:rPr>
                <w:rFonts w:cs="Arial"/>
                <w:sz w:val="16"/>
                <w:szCs w:val="16"/>
                <w:lang w:bidi="th-TH"/>
              </w:rPr>
              <w:t xml:space="preserve"> in November 2015</w:t>
            </w:r>
            <w:r>
              <w:rPr>
                <w:rFonts w:cs="Arial"/>
                <w:sz w:val="16"/>
                <w:szCs w:val="16"/>
                <w:lang w:bidi="th-TH"/>
              </w:rPr>
              <w:t xml:space="preserve">; </w:t>
            </w:r>
            <w:r w:rsidRPr="00150CE2">
              <w:rPr>
                <w:rFonts w:cs="Arial"/>
                <w:sz w:val="16"/>
                <w:szCs w:val="16"/>
                <w:lang w:bidi="th-TH"/>
              </w:rPr>
              <w:t xml:space="preserve"> </w:t>
            </w:r>
            <w:r>
              <w:rPr>
                <w:rFonts w:cs="Arial"/>
                <w:sz w:val="16"/>
                <w:szCs w:val="16"/>
                <w:lang w:bidi="th-TH"/>
              </w:rPr>
              <w:t>(iv) Swiss Firefighters (Ecole latine) Federal Diploma Ceremony in November 2015;  (v) International Organization of Migration (IOM) An</w:t>
            </w:r>
            <w:r w:rsidRPr="00150CE2">
              <w:rPr>
                <w:rFonts w:cs="Arial"/>
                <w:sz w:val="16"/>
                <w:szCs w:val="16"/>
                <w:lang w:bidi="th-TH"/>
              </w:rPr>
              <w:t>nual Meeting in November 2015</w:t>
            </w:r>
            <w:r>
              <w:rPr>
                <w:rFonts w:cs="Arial"/>
                <w:sz w:val="16"/>
                <w:szCs w:val="16"/>
                <w:lang w:bidi="th-TH"/>
              </w:rPr>
              <w:t>.</w:t>
            </w:r>
          </w:p>
        </w:tc>
        <w:tc>
          <w:tcPr>
            <w:tcW w:w="482" w:type="pct"/>
            <w:tcBorders>
              <w:top w:val="nil"/>
              <w:bottom w:val="single" w:sz="4" w:space="0" w:color="auto"/>
              <w:right w:val="single" w:sz="4" w:space="0" w:color="auto"/>
            </w:tcBorders>
            <w:shd w:val="clear" w:color="auto" w:fill="auto"/>
            <w:tcMar>
              <w:top w:w="110" w:type="dxa"/>
            </w:tcMar>
          </w:tcPr>
          <w:p w:rsidR="005B0F47" w:rsidRPr="002D63BA" w:rsidRDefault="005B0F47" w:rsidP="005B0F47">
            <w:pPr>
              <w:tabs>
                <w:tab w:val="left" w:pos="709"/>
              </w:tabs>
              <w:jc w:val="center"/>
              <w:rPr>
                <w:rStyle w:val="Style5"/>
                <w:rFonts w:cs="Arial"/>
                <w:b/>
                <w:color w:val="595959" w:themeColor="text1" w:themeTint="A6"/>
                <w:sz w:val="16"/>
                <w:szCs w:val="16"/>
              </w:rPr>
            </w:pPr>
            <w:r>
              <w:rPr>
                <w:rFonts w:cs="Arial"/>
                <w:b/>
                <w:bCs/>
                <w:color w:val="00B050"/>
                <w:sz w:val="16"/>
                <w:szCs w:val="16"/>
              </w:rPr>
              <w:t>Fully Achieved</w:t>
            </w:r>
          </w:p>
        </w:tc>
      </w:tr>
      <w:tr w:rsidR="005B0F47" w:rsidRPr="002D63BA" w:rsidTr="00B9043D">
        <w:trPr>
          <w:cantSplit/>
        </w:trPr>
        <w:tc>
          <w:tcPr>
            <w:tcW w:w="5000" w:type="pct"/>
            <w:gridSpan w:val="5"/>
            <w:tcBorders>
              <w:top w:val="single" w:sz="4" w:space="0" w:color="auto"/>
              <w:left w:val="single" w:sz="4" w:space="0" w:color="auto"/>
              <w:bottom w:val="nil"/>
              <w:right w:val="single" w:sz="4" w:space="0" w:color="auto"/>
            </w:tcBorders>
            <w:shd w:val="clear" w:color="auto" w:fill="C6D9F1" w:themeFill="text2" w:themeFillTint="33"/>
            <w:vAlign w:val="center"/>
          </w:tcPr>
          <w:p w:rsidR="005B0F47" w:rsidRPr="002D63BA" w:rsidRDefault="005B0F47" w:rsidP="005B0F47">
            <w:pPr>
              <w:tabs>
                <w:tab w:val="left" w:pos="709"/>
                <w:tab w:val="left" w:pos="1452"/>
              </w:tabs>
              <w:spacing w:before="120" w:after="120"/>
              <w:ind w:left="1452" w:hanging="1452"/>
              <w:rPr>
                <w:rFonts w:cs="Arial"/>
                <w:bCs/>
                <w:sz w:val="16"/>
                <w:szCs w:val="16"/>
              </w:rPr>
            </w:pPr>
            <w:r w:rsidRPr="002D63BA">
              <w:rPr>
                <w:rFonts w:cs="Arial"/>
                <w:bCs/>
                <w:sz w:val="16"/>
                <w:szCs w:val="16"/>
              </w:rPr>
              <w:t>Expected Result:</w:t>
            </w:r>
            <w:r w:rsidRPr="002D63BA">
              <w:rPr>
                <w:rFonts w:cs="Arial"/>
                <w:bCs/>
                <w:sz w:val="16"/>
                <w:szCs w:val="16"/>
              </w:rPr>
              <w:tab/>
            </w:r>
            <w:r w:rsidRPr="002D63BA">
              <w:rPr>
                <w:rFonts w:cs="Arial"/>
                <w:sz w:val="16"/>
                <w:szCs w:val="16"/>
              </w:rPr>
              <w:t>IX.4 An environmentally and socially responsible Organization in which WIPO staff, delegates, visitors and information and physical assets are safe and secure</w:t>
            </w:r>
          </w:p>
        </w:tc>
      </w:tr>
      <w:tr w:rsidR="005B0F47" w:rsidRPr="002D63BA" w:rsidTr="005F5C1B">
        <w:trPr>
          <w:cantSplit/>
        </w:trPr>
        <w:tc>
          <w:tcPr>
            <w:tcW w:w="1092" w:type="pct"/>
            <w:tcBorders>
              <w:top w:val="single" w:sz="4" w:space="0" w:color="auto"/>
              <w:left w:val="single" w:sz="4" w:space="0" w:color="auto"/>
              <w:bottom w:val="nil"/>
            </w:tcBorders>
            <w:shd w:val="clear" w:color="auto" w:fill="auto"/>
            <w:vAlign w:val="center"/>
          </w:tcPr>
          <w:p w:rsidR="005B0F47" w:rsidRPr="002D63BA" w:rsidRDefault="005B0F47" w:rsidP="005B0F47">
            <w:pPr>
              <w:tabs>
                <w:tab w:val="left" w:pos="709"/>
              </w:tabs>
              <w:rPr>
                <w:rFonts w:cs="Arial"/>
                <w:b/>
                <w:sz w:val="16"/>
                <w:szCs w:val="16"/>
              </w:rPr>
            </w:pPr>
            <w:r w:rsidRPr="002D63BA">
              <w:rPr>
                <w:rFonts w:cs="Arial"/>
                <w:b/>
                <w:bCs/>
                <w:sz w:val="16"/>
                <w:szCs w:val="16"/>
              </w:rPr>
              <w:t>Performance Indicators</w:t>
            </w:r>
          </w:p>
        </w:tc>
        <w:tc>
          <w:tcPr>
            <w:tcW w:w="803" w:type="pct"/>
            <w:tcBorders>
              <w:top w:val="single" w:sz="4" w:space="0" w:color="auto"/>
              <w:bottom w:val="nil"/>
            </w:tcBorders>
            <w:shd w:val="clear" w:color="auto" w:fill="auto"/>
            <w:vAlign w:val="center"/>
          </w:tcPr>
          <w:p w:rsidR="005B0F47" w:rsidRPr="002D63BA" w:rsidRDefault="005B0F47" w:rsidP="005B0F47">
            <w:pPr>
              <w:tabs>
                <w:tab w:val="left" w:pos="709"/>
              </w:tabs>
              <w:rPr>
                <w:rFonts w:cs="Arial"/>
                <w:b/>
                <w:bCs/>
                <w:sz w:val="16"/>
                <w:szCs w:val="16"/>
              </w:rPr>
            </w:pPr>
            <w:r w:rsidRPr="002D63BA">
              <w:rPr>
                <w:rFonts w:cs="Arial"/>
                <w:b/>
                <w:bCs/>
                <w:sz w:val="16"/>
                <w:szCs w:val="16"/>
              </w:rPr>
              <w:t>Baselines</w:t>
            </w:r>
          </w:p>
        </w:tc>
        <w:tc>
          <w:tcPr>
            <w:tcW w:w="803" w:type="pct"/>
            <w:tcBorders>
              <w:top w:val="single" w:sz="4" w:space="0" w:color="auto"/>
              <w:bottom w:val="nil"/>
            </w:tcBorders>
            <w:shd w:val="clear" w:color="auto" w:fill="auto"/>
            <w:tcMar>
              <w:top w:w="110" w:type="dxa"/>
            </w:tcMar>
            <w:vAlign w:val="center"/>
          </w:tcPr>
          <w:p w:rsidR="005B0F47" w:rsidRPr="002D63BA" w:rsidRDefault="005B0F47" w:rsidP="005B0F47">
            <w:pPr>
              <w:tabs>
                <w:tab w:val="left" w:pos="709"/>
              </w:tabs>
              <w:rPr>
                <w:rFonts w:cs="Arial"/>
                <w:b/>
                <w:sz w:val="16"/>
                <w:szCs w:val="16"/>
              </w:rPr>
            </w:pPr>
            <w:r w:rsidRPr="002D63BA">
              <w:rPr>
                <w:rFonts w:cs="Arial"/>
                <w:b/>
                <w:sz w:val="16"/>
                <w:szCs w:val="16"/>
              </w:rPr>
              <w:t>Targets</w:t>
            </w:r>
          </w:p>
        </w:tc>
        <w:tc>
          <w:tcPr>
            <w:tcW w:w="1820" w:type="pct"/>
            <w:tcBorders>
              <w:top w:val="single" w:sz="4" w:space="0" w:color="auto"/>
              <w:bottom w:val="nil"/>
            </w:tcBorders>
            <w:shd w:val="clear" w:color="auto" w:fill="FFFFFF"/>
            <w:tcMar>
              <w:top w:w="110" w:type="dxa"/>
            </w:tcMar>
            <w:vAlign w:val="center"/>
          </w:tcPr>
          <w:p w:rsidR="005B0F47" w:rsidRPr="002D63BA" w:rsidRDefault="005B0F47" w:rsidP="005B0F47">
            <w:pPr>
              <w:tabs>
                <w:tab w:val="left" w:pos="709"/>
              </w:tabs>
              <w:rPr>
                <w:rFonts w:cs="Arial"/>
                <w:b/>
                <w:sz w:val="16"/>
                <w:szCs w:val="16"/>
              </w:rPr>
            </w:pPr>
            <w:r w:rsidRPr="002D63BA">
              <w:rPr>
                <w:rFonts w:cs="Arial"/>
                <w:b/>
                <w:bCs/>
                <w:sz w:val="16"/>
                <w:szCs w:val="16"/>
              </w:rPr>
              <w:t>Performance Data</w:t>
            </w:r>
          </w:p>
        </w:tc>
        <w:tc>
          <w:tcPr>
            <w:tcW w:w="482" w:type="pct"/>
            <w:tcBorders>
              <w:top w:val="single" w:sz="4" w:space="0" w:color="auto"/>
              <w:bottom w:val="nil"/>
              <w:right w:val="single" w:sz="4" w:space="0" w:color="auto"/>
            </w:tcBorders>
            <w:shd w:val="clear" w:color="auto" w:fill="auto"/>
            <w:tcMar>
              <w:top w:w="110" w:type="dxa"/>
            </w:tcMar>
            <w:vAlign w:val="center"/>
          </w:tcPr>
          <w:p w:rsidR="005B0F47" w:rsidRPr="002D63BA" w:rsidRDefault="005B0F47" w:rsidP="005B0F47">
            <w:pPr>
              <w:tabs>
                <w:tab w:val="left" w:pos="709"/>
              </w:tabs>
              <w:jc w:val="center"/>
              <w:rPr>
                <w:rFonts w:cs="Arial"/>
                <w:b/>
                <w:bCs/>
                <w:sz w:val="16"/>
                <w:szCs w:val="16"/>
              </w:rPr>
            </w:pPr>
            <w:r w:rsidRPr="002D63BA">
              <w:rPr>
                <w:rFonts w:cs="Arial"/>
                <w:b/>
                <w:bCs/>
                <w:sz w:val="16"/>
                <w:szCs w:val="16"/>
              </w:rPr>
              <w:t>TLS</w:t>
            </w:r>
          </w:p>
        </w:tc>
      </w:tr>
      <w:tr w:rsidR="005B0F47" w:rsidRPr="002D63BA" w:rsidTr="005F5C1B">
        <w:tc>
          <w:tcPr>
            <w:tcW w:w="1092" w:type="pct"/>
            <w:tcBorders>
              <w:top w:val="nil"/>
              <w:left w:val="single" w:sz="4" w:space="0" w:color="auto"/>
              <w:bottom w:val="single" w:sz="4" w:space="0" w:color="auto"/>
            </w:tcBorders>
            <w:shd w:val="clear" w:color="auto" w:fill="auto"/>
          </w:tcPr>
          <w:p w:rsidR="005B0F47" w:rsidRPr="002D63BA" w:rsidRDefault="005B0F47" w:rsidP="005B0F47">
            <w:pPr>
              <w:tabs>
                <w:tab w:val="left" w:pos="709"/>
              </w:tabs>
              <w:rPr>
                <w:rFonts w:cs="Arial"/>
                <w:sz w:val="16"/>
                <w:szCs w:val="16"/>
              </w:rPr>
            </w:pPr>
            <w:r w:rsidRPr="002D63BA">
              <w:rPr>
                <w:rFonts w:cs="Arial"/>
                <w:sz w:val="16"/>
                <w:szCs w:val="16"/>
              </w:rPr>
              <w:t>Monitoring of physical accessibility measures ensuring that the new conference hall and related facilities are in full compliance with the applicable standards during construction</w:t>
            </w:r>
          </w:p>
        </w:tc>
        <w:tc>
          <w:tcPr>
            <w:tcW w:w="803" w:type="pct"/>
            <w:tcBorders>
              <w:top w:val="nil"/>
              <w:bottom w:val="single" w:sz="4" w:space="0" w:color="auto"/>
            </w:tcBorders>
            <w:shd w:val="clear" w:color="auto" w:fill="auto"/>
          </w:tcPr>
          <w:p w:rsidR="005B0F47" w:rsidRPr="002D63BA" w:rsidRDefault="005B0F47" w:rsidP="005B0F47">
            <w:pPr>
              <w:tabs>
                <w:tab w:val="left" w:pos="709"/>
              </w:tabs>
              <w:rPr>
                <w:color w:val="002060"/>
                <w:sz w:val="16"/>
                <w:szCs w:val="16"/>
              </w:rPr>
            </w:pPr>
            <w:r w:rsidRPr="002D63BA">
              <w:rPr>
                <w:i/>
                <w:color w:val="002060"/>
                <w:sz w:val="16"/>
                <w:szCs w:val="16"/>
              </w:rPr>
              <w:t>Updated Baseline end 2013:</w:t>
            </w:r>
            <w:r w:rsidRPr="002D63BA">
              <w:rPr>
                <w:color w:val="002060"/>
                <w:sz w:val="16"/>
                <w:szCs w:val="16"/>
              </w:rPr>
              <w:t xml:space="preserve"> n/a</w:t>
            </w:r>
          </w:p>
          <w:p w:rsidR="005B0F47" w:rsidRPr="002D63BA" w:rsidRDefault="005B0F47" w:rsidP="005B0F47">
            <w:pPr>
              <w:tabs>
                <w:tab w:val="left" w:pos="709"/>
              </w:tabs>
              <w:rPr>
                <w:color w:val="002060"/>
                <w:sz w:val="16"/>
                <w:szCs w:val="16"/>
                <w:highlight w:val="yellow"/>
              </w:rPr>
            </w:pPr>
          </w:p>
          <w:p w:rsidR="005B0F47" w:rsidRPr="002D63BA" w:rsidRDefault="005B0F47" w:rsidP="005B0F47">
            <w:pPr>
              <w:tabs>
                <w:tab w:val="left" w:pos="709"/>
              </w:tabs>
              <w:rPr>
                <w:rFonts w:cs="Arial"/>
                <w:sz w:val="16"/>
                <w:szCs w:val="16"/>
              </w:rPr>
            </w:pPr>
            <w:r w:rsidRPr="002D63BA">
              <w:rPr>
                <w:rFonts w:cs="Arial"/>
                <w:i/>
                <w:sz w:val="16"/>
                <w:szCs w:val="16"/>
              </w:rPr>
              <w:t>Original Baseline P&amp;B 2014/15: To be established beginning 2014 when new conference hall is delivered and on the basis of the specific architectural and technical assessment carried out in 2013</w:t>
            </w:r>
          </w:p>
        </w:tc>
        <w:tc>
          <w:tcPr>
            <w:tcW w:w="803" w:type="pct"/>
            <w:tcBorders>
              <w:top w:val="nil"/>
              <w:bottom w:val="single" w:sz="4" w:space="0" w:color="auto"/>
            </w:tcBorders>
            <w:shd w:val="clear" w:color="auto" w:fill="auto"/>
            <w:tcMar>
              <w:top w:w="110" w:type="dxa"/>
            </w:tcMar>
          </w:tcPr>
          <w:p w:rsidR="005B0F47" w:rsidRPr="002D63BA" w:rsidRDefault="005B0F47" w:rsidP="005B0F47">
            <w:pPr>
              <w:tabs>
                <w:tab w:val="left" w:pos="709"/>
              </w:tabs>
              <w:rPr>
                <w:rFonts w:cs="Arial"/>
                <w:bCs/>
                <w:sz w:val="16"/>
                <w:szCs w:val="16"/>
              </w:rPr>
            </w:pPr>
            <w:r w:rsidRPr="002D63BA">
              <w:rPr>
                <w:rFonts w:cs="Arial"/>
                <w:sz w:val="16"/>
                <w:szCs w:val="16"/>
              </w:rPr>
              <w:t>To be established beginning 2014 when new conference hall is delivered and on the basis of the specific architectural and technical assessment carried out in 2013</w:t>
            </w:r>
          </w:p>
        </w:tc>
        <w:tc>
          <w:tcPr>
            <w:tcW w:w="1820" w:type="pct"/>
            <w:tcBorders>
              <w:top w:val="nil"/>
              <w:bottom w:val="single" w:sz="4" w:space="0" w:color="auto"/>
            </w:tcBorders>
            <w:shd w:val="clear" w:color="auto" w:fill="FFFFFF"/>
            <w:tcMar>
              <w:top w:w="110" w:type="dxa"/>
            </w:tcMar>
          </w:tcPr>
          <w:p w:rsidR="005B0F47" w:rsidRPr="002D63BA" w:rsidRDefault="005B0F47" w:rsidP="002C4A13">
            <w:pPr>
              <w:tabs>
                <w:tab w:val="left" w:pos="709"/>
              </w:tabs>
              <w:rPr>
                <w:rFonts w:cs="Arial"/>
                <w:sz w:val="16"/>
                <w:szCs w:val="16"/>
              </w:rPr>
            </w:pPr>
            <w:r w:rsidRPr="00B86C4F">
              <w:rPr>
                <w:rFonts w:cs="Arial"/>
                <w:sz w:val="16"/>
                <w:szCs w:val="16"/>
              </w:rPr>
              <w:t xml:space="preserve">Physical accessibility measures implemented during construction (until end of construction in August 2014, rather than at the beginning of 2014) included the following main measures: </w:t>
            </w:r>
            <w:r>
              <w:rPr>
                <w:rFonts w:cs="Arial"/>
                <w:sz w:val="16"/>
                <w:szCs w:val="16"/>
              </w:rPr>
              <w:t xml:space="preserve"> </w:t>
            </w:r>
            <w:r w:rsidRPr="00B86C4F">
              <w:rPr>
                <w:rFonts w:cs="Arial"/>
                <w:sz w:val="16"/>
                <w:szCs w:val="16"/>
              </w:rPr>
              <w:t>(i) ramp for wheelchair access to the podium in the new WIPO Conference Hall, and all (31 if in full configuration) seats on the podium accessible by wheelchair</w:t>
            </w:r>
            <w:r>
              <w:rPr>
                <w:rFonts w:cs="Arial"/>
                <w:sz w:val="16"/>
                <w:szCs w:val="16"/>
              </w:rPr>
              <w:t xml:space="preserve">; </w:t>
            </w:r>
            <w:r w:rsidRPr="00B86C4F">
              <w:rPr>
                <w:rFonts w:cs="Arial"/>
                <w:sz w:val="16"/>
                <w:szCs w:val="16"/>
              </w:rPr>
              <w:t xml:space="preserve"> (ii) 26 seats in </w:t>
            </w:r>
            <w:r>
              <w:rPr>
                <w:rFonts w:cs="Arial"/>
                <w:sz w:val="16"/>
                <w:szCs w:val="16"/>
              </w:rPr>
              <w:t>three</w:t>
            </w:r>
            <w:r w:rsidRPr="00B86C4F">
              <w:rPr>
                <w:rFonts w:cs="Arial"/>
                <w:sz w:val="16"/>
                <w:szCs w:val="16"/>
              </w:rPr>
              <w:t xml:space="preserve"> different locations in the delegates desk areas accessible by wheelchairs</w:t>
            </w:r>
            <w:r>
              <w:rPr>
                <w:rFonts w:cs="Arial"/>
                <w:sz w:val="16"/>
                <w:szCs w:val="16"/>
              </w:rPr>
              <w:t xml:space="preserve">; </w:t>
            </w:r>
            <w:r w:rsidRPr="00B86C4F">
              <w:rPr>
                <w:rFonts w:cs="Arial"/>
                <w:sz w:val="16"/>
                <w:szCs w:val="16"/>
              </w:rPr>
              <w:t xml:space="preserve"> (iii) all 850-odd chairs for delegates’ desks removable and replaceable on demand by any other chair for disability needs</w:t>
            </w:r>
            <w:r>
              <w:rPr>
                <w:rFonts w:cs="Arial"/>
                <w:sz w:val="16"/>
                <w:szCs w:val="16"/>
              </w:rPr>
              <w:t xml:space="preserve">; </w:t>
            </w:r>
            <w:r w:rsidRPr="00B86C4F">
              <w:rPr>
                <w:rFonts w:cs="Arial"/>
                <w:sz w:val="16"/>
                <w:szCs w:val="16"/>
              </w:rPr>
              <w:t xml:space="preserve"> (iv) additional emergency exit door at the bottom area of the new WIPO Conference Hall, for independent access by wheelchair, directly onto an exterior ramp leading to the outside esplanade</w:t>
            </w:r>
            <w:r>
              <w:rPr>
                <w:rFonts w:cs="Arial"/>
                <w:sz w:val="16"/>
                <w:szCs w:val="16"/>
              </w:rPr>
              <w:t xml:space="preserve">; </w:t>
            </w:r>
            <w:r w:rsidRPr="00B86C4F">
              <w:rPr>
                <w:rFonts w:cs="Arial"/>
                <w:sz w:val="16"/>
                <w:szCs w:val="16"/>
              </w:rPr>
              <w:t xml:space="preserve"> (v) ramps for wheelchair access to interpreters booths in two new meeting rooms on one renovated floor of the AB Building</w:t>
            </w:r>
            <w:r>
              <w:rPr>
                <w:rFonts w:cs="Arial"/>
                <w:sz w:val="16"/>
                <w:szCs w:val="16"/>
              </w:rPr>
              <w:t xml:space="preserve">; </w:t>
            </w:r>
            <w:r w:rsidRPr="00B86C4F">
              <w:rPr>
                <w:rFonts w:cs="Arial"/>
                <w:sz w:val="16"/>
                <w:szCs w:val="16"/>
              </w:rPr>
              <w:t xml:space="preserve"> (vi) restrooms fitted for access by wheelchair</w:t>
            </w:r>
            <w:r>
              <w:rPr>
                <w:rFonts w:cs="Arial"/>
                <w:sz w:val="16"/>
                <w:szCs w:val="16"/>
              </w:rPr>
              <w:t xml:space="preserve">; </w:t>
            </w:r>
            <w:r w:rsidRPr="00B86C4F">
              <w:rPr>
                <w:rFonts w:cs="Arial"/>
                <w:sz w:val="16"/>
                <w:szCs w:val="16"/>
              </w:rPr>
              <w:t xml:space="preserve"> (vii) anti-slip bands affixed on steps of all staircases in and around the new WIPO Conference Hall</w:t>
            </w:r>
            <w:r>
              <w:rPr>
                <w:rFonts w:cs="Arial"/>
                <w:sz w:val="16"/>
                <w:szCs w:val="16"/>
              </w:rPr>
              <w:t xml:space="preserve">; </w:t>
            </w:r>
            <w:r w:rsidRPr="00B86C4F">
              <w:rPr>
                <w:rFonts w:cs="Arial"/>
                <w:sz w:val="16"/>
                <w:szCs w:val="16"/>
              </w:rPr>
              <w:t xml:space="preserve"> (viii) ramp for wheelchair access created from the new WIPO Conference Hall foyer doors leading towards the emergency exit point at the perimeter of the WIPO Campus</w:t>
            </w:r>
            <w:r>
              <w:rPr>
                <w:rFonts w:cs="Arial"/>
                <w:sz w:val="16"/>
                <w:szCs w:val="16"/>
              </w:rPr>
              <w:t xml:space="preserve">; </w:t>
            </w:r>
            <w:r w:rsidRPr="00B86C4F">
              <w:rPr>
                <w:rFonts w:cs="Arial"/>
                <w:sz w:val="16"/>
                <w:szCs w:val="16"/>
              </w:rPr>
              <w:t xml:space="preserve"> (ix) access from the street to the main new WIPO entrance fit for wheelchair, and interior speed gates leading to reception and registration </w:t>
            </w:r>
          </w:p>
        </w:tc>
        <w:tc>
          <w:tcPr>
            <w:tcW w:w="482" w:type="pct"/>
            <w:tcBorders>
              <w:top w:val="nil"/>
              <w:bottom w:val="single" w:sz="4" w:space="0" w:color="auto"/>
              <w:right w:val="single" w:sz="4" w:space="0" w:color="auto"/>
            </w:tcBorders>
            <w:shd w:val="clear" w:color="auto" w:fill="auto"/>
            <w:tcMar>
              <w:top w:w="110" w:type="dxa"/>
            </w:tcMar>
          </w:tcPr>
          <w:p w:rsidR="005B0F47" w:rsidRPr="00DE05BC" w:rsidRDefault="005B0F47" w:rsidP="005B0F47">
            <w:pPr>
              <w:tabs>
                <w:tab w:val="left" w:pos="709"/>
              </w:tabs>
              <w:jc w:val="center"/>
              <w:rPr>
                <w:rFonts w:cs="Arial"/>
                <w:b/>
                <w:bCs/>
                <w:color w:val="808080"/>
                <w:sz w:val="13"/>
                <w:szCs w:val="13"/>
              </w:rPr>
            </w:pPr>
            <w:r w:rsidRPr="00DE05BC">
              <w:rPr>
                <w:rFonts w:cs="Arial"/>
                <w:b/>
                <w:bCs/>
                <w:color w:val="808080"/>
                <w:sz w:val="13"/>
                <w:szCs w:val="13"/>
              </w:rPr>
              <w:t>Not Assessable</w:t>
            </w:r>
          </w:p>
        </w:tc>
      </w:tr>
      <w:tr w:rsidR="002C4A13" w:rsidRPr="002D63BA" w:rsidTr="00BA6F3B">
        <w:trPr>
          <w:cantSplit/>
        </w:trPr>
        <w:tc>
          <w:tcPr>
            <w:tcW w:w="1092" w:type="pct"/>
            <w:tcBorders>
              <w:top w:val="single" w:sz="4" w:space="0" w:color="auto"/>
              <w:left w:val="single" w:sz="4" w:space="0" w:color="auto"/>
              <w:bottom w:val="nil"/>
            </w:tcBorders>
            <w:shd w:val="clear" w:color="auto" w:fill="auto"/>
          </w:tcPr>
          <w:p w:rsidR="002C4A13" w:rsidRDefault="002C4A13" w:rsidP="005B0F47">
            <w:pPr>
              <w:tabs>
                <w:tab w:val="left" w:pos="709"/>
              </w:tabs>
              <w:rPr>
                <w:rFonts w:cs="Arial"/>
                <w:sz w:val="16"/>
                <w:szCs w:val="16"/>
              </w:rPr>
            </w:pPr>
          </w:p>
        </w:tc>
        <w:tc>
          <w:tcPr>
            <w:tcW w:w="803" w:type="pct"/>
            <w:tcBorders>
              <w:top w:val="single" w:sz="4" w:space="0" w:color="auto"/>
              <w:bottom w:val="nil"/>
            </w:tcBorders>
            <w:shd w:val="clear" w:color="auto" w:fill="auto"/>
          </w:tcPr>
          <w:p w:rsidR="002C4A13" w:rsidRDefault="002C4A13" w:rsidP="005B0F47">
            <w:pPr>
              <w:tabs>
                <w:tab w:val="left" w:pos="709"/>
              </w:tabs>
              <w:rPr>
                <w:i/>
                <w:color w:val="002060"/>
                <w:sz w:val="16"/>
                <w:szCs w:val="16"/>
              </w:rPr>
            </w:pPr>
          </w:p>
        </w:tc>
        <w:tc>
          <w:tcPr>
            <w:tcW w:w="803" w:type="pct"/>
            <w:tcBorders>
              <w:top w:val="single" w:sz="4" w:space="0" w:color="auto"/>
              <w:bottom w:val="nil"/>
            </w:tcBorders>
            <w:shd w:val="clear" w:color="auto" w:fill="auto"/>
            <w:tcMar>
              <w:top w:w="110" w:type="dxa"/>
            </w:tcMar>
          </w:tcPr>
          <w:p w:rsidR="002C4A13" w:rsidRDefault="002C4A13" w:rsidP="005B0F47">
            <w:pPr>
              <w:tabs>
                <w:tab w:val="left" w:pos="709"/>
              </w:tabs>
              <w:rPr>
                <w:rFonts w:cs="Arial"/>
                <w:sz w:val="16"/>
                <w:szCs w:val="16"/>
              </w:rPr>
            </w:pPr>
          </w:p>
        </w:tc>
        <w:tc>
          <w:tcPr>
            <w:tcW w:w="1820" w:type="pct"/>
            <w:tcBorders>
              <w:top w:val="single" w:sz="4" w:space="0" w:color="auto"/>
              <w:bottom w:val="nil"/>
            </w:tcBorders>
            <w:shd w:val="clear" w:color="auto" w:fill="FFFFFF"/>
            <w:tcMar>
              <w:top w:w="110" w:type="dxa"/>
            </w:tcMar>
          </w:tcPr>
          <w:p w:rsidR="002C4A13" w:rsidRDefault="002C4A13" w:rsidP="005B0F47">
            <w:pPr>
              <w:tabs>
                <w:tab w:val="left" w:pos="709"/>
              </w:tabs>
              <w:rPr>
                <w:rFonts w:cs="Arial"/>
                <w:sz w:val="16"/>
                <w:szCs w:val="16"/>
              </w:rPr>
            </w:pPr>
            <w:r w:rsidRPr="00B86C4F">
              <w:rPr>
                <w:rFonts w:cs="Arial"/>
                <w:sz w:val="16"/>
                <w:szCs w:val="16"/>
              </w:rPr>
              <w:t>counters fit for independent access by wheelchair</w:t>
            </w:r>
            <w:r>
              <w:rPr>
                <w:rFonts w:cs="Arial"/>
                <w:sz w:val="16"/>
                <w:szCs w:val="16"/>
              </w:rPr>
              <w:t xml:space="preserve">; </w:t>
            </w:r>
            <w:r w:rsidRPr="00B86C4F">
              <w:rPr>
                <w:rFonts w:cs="Arial"/>
                <w:sz w:val="16"/>
                <w:szCs w:val="16"/>
              </w:rPr>
              <w:t xml:space="preserve"> </w:t>
            </w:r>
            <w:r>
              <w:rPr>
                <w:rFonts w:cs="Arial"/>
                <w:sz w:val="16"/>
                <w:szCs w:val="16"/>
              </w:rPr>
              <w:t xml:space="preserve">and </w:t>
            </w:r>
            <w:r w:rsidRPr="00B86C4F">
              <w:rPr>
                <w:rFonts w:cs="Arial"/>
                <w:sz w:val="16"/>
                <w:szCs w:val="16"/>
              </w:rPr>
              <w:t>(x) dedicated mobile seat for persons with disabilities, to be used on demand from the interpreters’ booths floor in case of emergency</w:t>
            </w:r>
          </w:p>
        </w:tc>
        <w:tc>
          <w:tcPr>
            <w:tcW w:w="482" w:type="pct"/>
            <w:tcBorders>
              <w:top w:val="single" w:sz="4" w:space="0" w:color="auto"/>
              <w:bottom w:val="nil"/>
              <w:right w:val="single" w:sz="4" w:space="0" w:color="auto"/>
            </w:tcBorders>
            <w:shd w:val="clear" w:color="auto" w:fill="auto"/>
            <w:tcMar>
              <w:top w:w="110" w:type="dxa"/>
            </w:tcMar>
          </w:tcPr>
          <w:p w:rsidR="002C4A13" w:rsidRDefault="002C4A13" w:rsidP="005B0F47">
            <w:pPr>
              <w:tabs>
                <w:tab w:val="left" w:pos="709"/>
              </w:tabs>
              <w:jc w:val="center"/>
              <w:rPr>
                <w:rFonts w:cs="Arial"/>
                <w:b/>
                <w:bCs/>
                <w:color w:val="808080"/>
                <w:sz w:val="12"/>
                <w:szCs w:val="12"/>
              </w:rPr>
            </w:pPr>
          </w:p>
        </w:tc>
      </w:tr>
      <w:tr w:rsidR="005B0F47" w:rsidRPr="002D63BA" w:rsidTr="00BA6F3B">
        <w:trPr>
          <w:cantSplit/>
        </w:trPr>
        <w:tc>
          <w:tcPr>
            <w:tcW w:w="1092" w:type="pct"/>
            <w:tcBorders>
              <w:top w:val="nil"/>
              <w:left w:val="single" w:sz="4" w:space="0" w:color="auto"/>
              <w:bottom w:val="nil"/>
            </w:tcBorders>
            <w:shd w:val="clear" w:color="auto" w:fill="auto"/>
          </w:tcPr>
          <w:p w:rsidR="005B0F47" w:rsidRDefault="005B0F47" w:rsidP="005B0F47">
            <w:pPr>
              <w:tabs>
                <w:tab w:val="left" w:pos="709"/>
              </w:tabs>
              <w:rPr>
                <w:rFonts w:cs="Arial"/>
                <w:sz w:val="16"/>
                <w:szCs w:val="16"/>
              </w:rPr>
            </w:pPr>
          </w:p>
          <w:p w:rsidR="005B0F47" w:rsidRPr="002D63BA" w:rsidRDefault="005B0F47" w:rsidP="005B0F47">
            <w:pPr>
              <w:tabs>
                <w:tab w:val="left" w:pos="709"/>
              </w:tabs>
              <w:rPr>
                <w:rFonts w:cs="Arial"/>
                <w:sz w:val="16"/>
                <w:szCs w:val="16"/>
              </w:rPr>
            </w:pPr>
            <w:r w:rsidRPr="002D63BA">
              <w:rPr>
                <w:rFonts w:cs="Arial"/>
                <w:sz w:val="16"/>
                <w:szCs w:val="16"/>
              </w:rPr>
              <w:t>Monitoring of environmentally sound measures and energy consumption reduction measures implemented during construction</w:t>
            </w:r>
          </w:p>
        </w:tc>
        <w:tc>
          <w:tcPr>
            <w:tcW w:w="803" w:type="pct"/>
            <w:tcBorders>
              <w:top w:val="nil"/>
              <w:bottom w:val="nil"/>
            </w:tcBorders>
            <w:shd w:val="clear" w:color="auto" w:fill="auto"/>
          </w:tcPr>
          <w:p w:rsidR="005B0F47" w:rsidRDefault="005B0F47" w:rsidP="005B0F47">
            <w:pPr>
              <w:tabs>
                <w:tab w:val="left" w:pos="709"/>
              </w:tabs>
              <w:rPr>
                <w:i/>
                <w:color w:val="002060"/>
                <w:sz w:val="16"/>
                <w:szCs w:val="16"/>
              </w:rPr>
            </w:pPr>
          </w:p>
          <w:p w:rsidR="005B0F47" w:rsidRPr="002D63BA" w:rsidRDefault="005B0F47" w:rsidP="005B0F47">
            <w:pPr>
              <w:tabs>
                <w:tab w:val="left" w:pos="709"/>
              </w:tabs>
              <w:rPr>
                <w:color w:val="002060"/>
                <w:sz w:val="16"/>
                <w:szCs w:val="16"/>
                <w:highlight w:val="yellow"/>
              </w:rPr>
            </w:pPr>
            <w:r w:rsidRPr="002D63BA">
              <w:rPr>
                <w:i/>
                <w:color w:val="002060"/>
                <w:sz w:val="16"/>
                <w:szCs w:val="16"/>
              </w:rPr>
              <w:t>Updated Baseline end 2013:</w:t>
            </w:r>
            <w:r w:rsidRPr="002D63BA">
              <w:rPr>
                <w:color w:val="002060"/>
                <w:sz w:val="16"/>
                <w:szCs w:val="16"/>
              </w:rPr>
              <w:t xml:space="preserve"> n/a</w:t>
            </w:r>
          </w:p>
          <w:p w:rsidR="005B0F47" w:rsidRPr="002D63BA" w:rsidRDefault="005B0F47" w:rsidP="005B0F47">
            <w:pPr>
              <w:tabs>
                <w:tab w:val="left" w:pos="709"/>
              </w:tabs>
              <w:rPr>
                <w:color w:val="002060"/>
                <w:sz w:val="16"/>
                <w:szCs w:val="16"/>
                <w:highlight w:val="yellow"/>
              </w:rPr>
            </w:pPr>
          </w:p>
          <w:p w:rsidR="005B0F47" w:rsidRPr="002D63BA" w:rsidRDefault="005B0F47" w:rsidP="005B0F47">
            <w:pPr>
              <w:tabs>
                <w:tab w:val="left" w:pos="709"/>
              </w:tabs>
              <w:rPr>
                <w:rFonts w:cs="Arial"/>
                <w:sz w:val="16"/>
                <w:szCs w:val="16"/>
              </w:rPr>
            </w:pPr>
            <w:r w:rsidRPr="002D63BA">
              <w:rPr>
                <w:rFonts w:cs="Arial"/>
                <w:i/>
                <w:sz w:val="16"/>
                <w:szCs w:val="16"/>
              </w:rPr>
              <w:t xml:space="preserve">Original Baseline P&amp;B 2014/15: </w:t>
            </w:r>
            <w:r w:rsidRPr="002D6B4E">
              <w:rPr>
                <w:rFonts w:cs="Arial"/>
                <w:sz w:val="16"/>
                <w:szCs w:val="16"/>
              </w:rPr>
              <w:t>To be established beginning 2014 when new conference hall is delivered</w:t>
            </w:r>
          </w:p>
        </w:tc>
        <w:tc>
          <w:tcPr>
            <w:tcW w:w="803" w:type="pct"/>
            <w:tcBorders>
              <w:top w:val="nil"/>
              <w:bottom w:val="nil"/>
            </w:tcBorders>
            <w:shd w:val="clear" w:color="auto" w:fill="auto"/>
            <w:tcMar>
              <w:top w:w="110" w:type="dxa"/>
            </w:tcMar>
          </w:tcPr>
          <w:p w:rsidR="005B0F47" w:rsidRDefault="005B0F47" w:rsidP="005B0F47">
            <w:pPr>
              <w:tabs>
                <w:tab w:val="left" w:pos="709"/>
              </w:tabs>
              <w:rPr>
                <w:rFonts w:cs="Arial"/>
                <w:sz w:val="16"/>
                <w:szCs w:val="16"/>
              </w:rPr>
            </w:pPr>
          </w:p>
          <w:p w:rsidR="005B0F47" w:rsidRPr="002D63BA" w:rsidRDefault="005B0F47" w:rsidP="005B0F47">
            <w:pPr>
              <w:tabs>
                <w:tab w:val="left" w:pos="709"/>
              </w:tabs>
              <w:rPr>
                <w:rFonts w:cs="Arial"/>
                <w:sz w:val="16"/>
                <w:szCs w:val="16"/>
              </w:rPr>
            </w:pPr>
            <w:r w:rsidRPr="002D63BA">
              <w:rPr>
                <w:rFonts w:cs="Arial"/>
                <w:sz w:val="16"/>
                <w:szCs w:val="16"/>
              </w:rPr>
              <w:t>To be established beginning 2014 when new conference hall is delivered</w:t>
            </w:r>
          </w:p>
        </w:tc>
        <w:tc>
          <w:tcPr>
            <w:tcW w:w="1820" w:type="pct"/>
            <w:tcBorders>
              <w:top w:val="nil"/>
              <w:bottom w:val="nil"/>
            </w:tcBorders>
            <w:shd w:val="clear" w:color="auto" w:fill="FFFFFF"/>
            <w:tcMar>
              <w:top w:w="110" w:type="dxa"/>
            </w:tcMar>
          </w:tcPr>
          <w:p w:rsidR="005B0F47" w:rsidRDefault="005B0F47" w:rsidP="005B0F47">
            <w:pPr>
              <w:tabs>
                <w:tab w:val="left" w:pos="709"/>
              </w:tabs>
              <w:rPr>
                <w:rFonts w:cs="Arial"/>
                <w:sz w:val="16"/>
                <w:szCs w:val="16"/>
              </w:rPr>
            </w:pPr>
          </w:p>
          <w:p w:rsidR="005B0F47" w:rsidRPr="00B86C4F" w:rsidRDefault="005B0F47" w:rsidP="005B0F47">
            <w:pPr>
              <w:tabs>
                <w:tab w:val="left" w:pos="709"/>
              </w:tabs>
              <w:rPr>
                <w:rFonts w:cs="Arial"/>
                <w:sz w:val="16"/>
                <w:szCs w:val="16"/>
              </w:rPr>
            </w:pPr>
            <w:r w:rsidRPr="00B86C4F">
              <w:rPr>
                <w:rFonts w:cs="Arial"/>
                <w:sz w:val="16"/>
                <w:szCs w:val="16"/>
              </w:rPr>
              <w:t xml:space="preserve">Environmentally sound measures implemented during construction (until end of construction in August 2014, rather than at the beginning of 2014) included the following main measures: </w:t>
            </w:r>
            <w:r>
              <w:rPr>
                <w:rFonts w:cs="Arial"/>
                <w:sz w:val="16"/>
                <w:szCs w:val="16"/>
              </w:rPr>
              <w:t xml:space="preserve"> </w:t>
            </w:r>
            <w:r w:rsidRPr="00B86C4F">
              <w:rPr>
                <w:rFonts w:cs="Arial"/>
                <w:sz w:val="16"/>
                <w:szCs w:val="16"/>
              </w:rPr>
              <w:t>(i) local wood for the main structure and interior paneling (ceiling, walls and floor) of the new WIPO Conference Hall</w:t>
            </w:r>
            <w:r>
              <w:rPr>
                <w:rFonts w:cs="Arial"/>
                <w:sz w:val="16"/>
                <w:szCs w:val="16"/>
              </w:rPr>
              <w:t>;</w:t>
            </w:r>
            <w:r w:rsidRPr="00B86C4F">
              <w:rPr>
                <w:rFonts w:cs="Arial"/>
                <w:sz w:val="16"/>
                <w:szCs w:val="16"/>
              </w:rPr>
              <w:t xml:space="preserve">  (ii) natural gas for heating</w:t>
            </w:r>
            <w:r>
              <w:rPr>
                <w:rFonts w:cs="Arial"/>
                <w:sz w:val="16"/>
                <w:szCs w:val="16"/>
              </w:rPr>
              <w:t xml:space="preserve">; </w:t>
            </w:r>
            <w:r w:rsidRPr="00B86C4F">
              <w:rPr>
                <w:rFonts w:cs="Arial"/>
                <w:sz w:val="16"/>
                <w:szCs w:val="16"/>
              </w:rPr>
              <w:t xml:space="preserve"> (iii) cooling system using the Geneva Lake produced chilled water</w:t>
            </w:r>
            <w:r>
              <w:rPr>
                <w:rFonts w:cs="Arial"/>
                <w:sz w:val="16"/>
                <w:szCs w:val="16"/>
              </w:rPr>
              <w:t xml:space="preserve">; </w:t>
            </w:r>
            <w:r w:rsidRPr="00B86C4F">
              <w:rPr>
                <w:rFonts w:cs="Arial"/>
                <w:sz w:val="16"/>
                <w:szCs w:val="16"/>
              </w:rPr>
              <w:t xml:space="preserve"> (iv) reduction of artificial light consumption by extensive use of LED technology (in all areas covered by the Project) and natural light through large bay windows and several rooftop windows (in the new WIPO Conference Hall)</w:t>
            </w:r>
            <w:r>
              <w:rPr>
                <w:rFonts w:cs="Arial"/>
                <w:sz w:val="16"/>
                <w:szCs w:val="16"/>
              </w:rPr>
              <w:t xml:space="preserve">; </w:t>
            </w:r>
            <w:r w:rsidRPr="00B86C4F">
              <w:rPr>
                <w:rFonts w:cs="Arial"/>
                <w:sz w:val="16"/>
                <w:szCs w:val="16"/>
              </w:rPr>
              <w:t xml:space="preserve"> (v) extensive use of natural air through a mixed ventilation system</w:t>
            </w:r>
            <w:r>
              <w:rPr>
                <w:rFonts w:cs="Arial"/>
                <w:sz w:val="16"/>
                <w:szCs w:val="16"/>
              </w:rPr>
              <w:t xml:space="preserve">; </w:t>
            </w:r>
            <w:r w:rsidRPr="00B86C4F">
              <w:rPr>
                <w:rFonts w:cs="Arial"/>
                <w:sz w:val="16"/>
                <w:szCs w:val="16"/>
              </w:rPr>
              <w:t xml:space="preserve"> (vi) vegetation roof for the Access Center enhancing cooling capacity and rain water drainage</w:t>
            </w:r>
            <w:r>
              <w:rPr>
                <w:rFonts w:cs="Arial"/>
                <w:sz w:val="16"/>
                <w:szCs w:val="16"/>
              </w:rPr>
              <w:t xml:space="preserve">; </w:t>
            </w:r>
            <w:r w:rsidRPr="00B86C4F">
              <w:rPr>
                <w:rFonts w:cs="Arial"/>
                <w:sz w:val="16"/>
                <w:szCs w:val="16"/>
              </w:rPr>
              <w:t xml:space="preserve"> (vii) lighting activated by pres</w:t>
            </w:r>
            <w:r>
              <w:rPr>
                <w:rFonts w:cs="Arial"/>
                <w:sz w:val="16"/>
                <w:szCs w:val="16"/>
              </w:rPr>
              <w:t>ence detection during off-hours</w:t>
            </w:r>
            <w:r w:rsidRPr="00B86C4F">
              <w:rPr>
                <w:rFonts w:cs="Arial"/>
                <w:sz w:val="16"/>
                <w:szCs w:val="16"/>
              </w:rPr>
              <w:t xml:space="preserve">. </w:t>
            </w:r>
          </w:p>
          <w:p w:rsidR="005B0F47" w:rsidRPr="002D63BA" w:rsidRDefault="005B0F47" w:rsidP="005B0F47">
            <w:pPr>
              <w:tabs>
                <w:tab w:val="left" w:pos="709"/>
              </w:tabs>
              <w:rPr>
                <w:rFonts w:cs="Arial"/>
                <w:sz w:val="16"/>
                <w:szCs w:val="16"/>
              </w:rPr>
            </w:pPr>
          </w:p>
        </w:tc>
        <w:tc>
          <w:tcPr>
            <w:tcW w:w="482" w:type="pct"/>
            <w:tcBorders>
              <w:top w:val="nil"/>
              <w:bottom w:val="nil"/>
              <w:right w:val="single" w:sz="4" w:space="0" w:color="auto"/>
            </w:tcBorders>
            <w:shd w:val="clear" w:color="auto" w:fill="auto"/>
            <w:tcMar>
              <w:top w:w="110" w:type="dxa"/>
            </w:tcMar>
          </w:tcPr>
          <w:p w:rsidR="005B0F47" w:rsidRDefault="005B0F47" w:rsidP="005B0F47">
            <w:pPr>
              <w:tabs>
                <w:tab w:val="left" w:pos="709"/>
              </w:tabs>
              <w:jc w:val="center"/>
              <w:rPr>
                <w:rFonts w:cs="Arial"/>
                <w:b/>
                <w:bCs/>
                <w:color w:val="808080"/>
                <w:sz w:val="12"/>
                <w:szCs w:val="12"/>
              </w:rPr>
            </w:pPr>
          </w:p>
          <w:p w:rsidR="005B0F47" w:rsidRPr="0019349F" w:rsidRDefault="005B0F47" w:rsidP="005B0F47">
            <w:pPr>
              <w:tabs>
                <w:tab w:val="left" w:pos="709"/>
              </w:tabs>
              <w:jc w:val="center"/>
              <w:rPr>
                <w:rStyle w:val="Style5"/>
                <w:rFonts w:cs="Arial"/>
                <w:color w:val="002060"/>
                <w:sz w:val="16"/>
                <w:szCs w:val="16"/>
              </w:rPr>
            </w:pPr>
            <w:r w:rsidRPr="00DE05BC">
              <w:rPr>
                <w:rFonts w:cs="Arial"/>
                <w:b/>
                <w:bCs/>
                <w:color w:val="808080"/>
                <w:sz w:val="13"/>
                <w:szCs w:val="13"/>
              </w:rPr>
              <w:t>Not Assessable</w:t>
            </w:r>
          </w:p>
        </w:tc>
      </w:tr>
      <w:tr w:rsidR="005B0F47" w:rsidRPr="002D63BA" w:rsidTr="00B9043D">
        <w:trPr>
          <w:cantSplit/>
        </w:trPr>
        <w:tc>
          <w:tcPr>
            <w:tcW w:w="1092" w:type="pct"/>
            <w:tcBorders>
              <w:top w:val="nil"/>
              <w:left w:val="single" w:sz="4" w:space="0" w:color="auto"/>
              <w:bottom w:val="single" w:sz="4" w:space="0" w:color="auto"/>
            </w:tcBorders>
            <w:shd w:val="clear" w:color="auto" w:fill="auto"/>
          </w:tcPr>
          <w:p w:rsidR="005B0F47" w:rsidRDefault="005B0F47" w:rsidP="005B0F47">
            <w:pPr>
              <w:tabs>
                <w:tab w:val="left" w:pos="709"/>
              </w:tabs>
              <w:rPr>
                <w:rFonts w:cs="Arial"/>
                <w:sz w:val="16"/>
                <w:szCs w:val="16"/>
              </w:rPr>
            </w:pPr>
            <w:r w:rsidRPr="002D63BA">
              <w:rPr>
                <w:rFonts w:cs="Arial"/>
                <w:sz w:val="16"/>
                <w:szCs w:val="16"/>
              </w:rPr>
              <w:t xml:space="preserve">Completion of UN </w:t>
            </w:r>
          </w:p>
          <w:p w:rsidR="005B0F47" w:rsidRPr="002D63BA" w:rsidRDefault="005B0F47" w:rsidP="005B0F47">
            <w:pPr>
              <w:tabs>
                <w:tab w:val="left" w:pos="709"/>
              </w:tabs>
              <w:rPr>
                <w:rFonts w:cs="Arial"/>
                <w:sz w:val="16"/>
                <w:szCs w:val="16"/>
              </w:rPr>
            </w:pPr>
            <w:r w:rsidRPr="002D63BA">
              <w:rPr>
                <w:rFonts w:cs="Arial"/>
                <w:sz w:val="16"/>
                <w:szCs w:val="16"/>
              </w:rPr>
              <w:t>H-MOSS peripheral security measures for the new conference hall</w:t>
            </w:r>
          </w:p>
        </w:tc>
        <w:tc>
          <w:tcPr>
            <w:tcW w:w="803" w:type="pct"/>
            <w:tcBorders>
              <w:top w:val="nil"/>
              <w:bottom w:val="single" w:sz="4" w:space="0" w:color="auto"/>
            </w:tcBorders>
            <w:shd w:val="clear" w:color="auto" w:fill="auto"/>
          </w:tcPr>
          <w:p w:rsidR="005B0F47" w:rsidRPr="002D63BA" w:rsidRDefault="005B0F47" w:rsidP="005B0F47">
            <w:pPr>
              <w:tabs>
                <w:tab w:val="left" w:pos="709"/>
              </w:tabs>
              <w:rPr>
                <w:rFonts w:cs="Arial"/>
                <w:i/>
                <w:sz w:val="16"/>
                <w:szCs w:val="16"/>
              </w:rPr>
            </w:pPr>
            <w:r w:rsidRPr="002D63BA">
              <w:rPr>
                <w:rFonts w:cs="Arial"/>
                <w:i/>
                <w:sz w:val="16"/>
                <w:szCs w:val="16"/>
              </w:rPr>
              <w:t>n/a</w:t>
            </w:r>
          </w:p>
          <w:p w:rsidR="005B0F47" w:rsidRPr="002D63BA" w:rsidRDefault="005B0F47" w:rsidP="005B0F47">
            <w:pPr>
              <w:tabs>
                <w:tab w:val="left" w:pos="709"/>
              </w:tabs>
              <w:rPr>
                <w:rFonts w:cs="Arial"/>
                <w:sz w:val="16"/>
                <w:szCs w:val="16"/>
                <w:lang w:bidi="th-TH"/>
              </w:rPr>
            </w:pPr>
          </w:p>
        </w:tc>
        <w:tc>
          <w:tcPr>
            <w:tcW w:w="803" w:type="pct"/>
            <w:tcBorders>
              <w:top w:val="nil"/>
              <w:bottom w:val="single" w:sz="4" w:space="0" w:color="auto"/>
            </w:tcBorders>
            <w:shd w:val="clear" w:color="auto" w:fill="auto"/>
            <w:tcMar>
              <w:top w:w="110" w:type="dxa"/>
            </w:tcMar>
          </w:tcPr>
          <w:p w:rsidR="005B0F47" w:rsidRPr="002D63BA" w:rsidRDefault="005B0F47" w:rsidP="005B0F47">
            <w:pPr>
              <w:tabs>
                <w:tab w:val="left" w:pos="709"/>
              </w:tabs>
              <w:rPr>
                <w:rFonts w:cs="Arial"/>
                <w:sz w:val="16"/>
                <w:szCs w:val="16"/>
              </w:rPr>
            </w:pPr>
            <w:r w:rsidRPr="002D63BA">
              <w:rPr>
                <w:rFonts w:cs="Arial"/>
                <w:sz w:val="16"/>
                <w:szCs w:val="16"/>
              </w:rPr>
              <w:t>Completion of peripheral UN H-MOSS measures by end-2015</w:t>
            </w:r>
          </w:p>
          <w:p w:rsidR="005B0F47" w:rsidRPr="002D63BA" w:rsidRDefault="005B0F47" w:rsidP="005B0F47">
            <w:pPr>
              <w:tabs>
                <w:tab w:val="left" w:pos="709"/>
              </w:tabs>
              <w:rPr>
                <w:rFonts w:cs="Arial"/>
                <w:sz w:val="16"/>
                <w:szCs w:val="16"/>
              </w:rPr>
            </w:pPr>
          </w:p>
        </w:tc>
        <w:tc>
          <w:tcPr>
            <w:tcW w:w="1820" w:type="pct"/>
            <w:tcBorders>
              <w:top w:val="nil"/>
              <w:bottom w:val="single" w:sz="4" w:space="0" w:color="auto"/>
            </w:tcBorders>
            <w:shd w:val="clear" w:color="auto" w:fill="FFFFFF"/>
            <w:tcMar>
              <w:top w:w="110" w:type="dxa"/>
            </w:tcMar>
          </w:tcPr>
          <w:p w:rsidR="005B0F47" w:rsidRPr="002D63BA" w:rsidRDefault="005B0F47" w:rsidP="00BA6F3B">
            <w:pPr>
              <w:tabs>
                <w:tab w:val="left" w:pos="709"/>
              </w:tabs>
              <w:rPr>
                <w:rFonts w:cs="Arial"/>
                <w:sz w:val="16"/>
                <w:szCs w:val="16"/>
              </w:rPr>
            </w:pPr>
            <w:r w:rsidRPr="00B86C4F">
              <w:rPr>
                <w:rFonts w:cs="Arial"/>
                <w:sz w:val="16"/>
                <w:szCs w:val="16"/>
              </w:rPr>
              <w:t>The security perimeter in front of the new</w:t>
            </w:r>
            <w:r w:rsidR="00C63D62">
              <w:rPr>
                <w:rFonts w:cs="Arial"/>
                <w:sz w:val="16"/>
                <w:szCs w:val="16"/>
              </w:rPr>
              <w:t xml:space="preserve"> </w:t>
            </w:r>
            <w:r w:rsidRPr="00B86C4F">
              <w:rPr>
                <w:rFonts w:cs="Arial"/>
                <w:sz w:val="16"/>
                <w:szCs w:val="16"/>
              </w:rPr>
              <w:t>WIPO Conference Hall on the AB Building</w:t>
            </w:r>
            <w:r w:rsidR="00C63D62">
              <w:rPr>
                <w:rFonts w:cs="Arial"/>
                <w:sz w:val="16"/>
                <w:szCs w:val="16"/>
              </w:rPr>
              <w:t xml:space="preserve"> </w:t>
            </w:r>
            <w:r w:rsidRPr="00B86C4F">
              <w:rPr>
                <w:rFonts w:cs="Arial"/>
                <w:sz w:val="16"/>
                <w:szCs w:val="16"/>
              </w:rPr>
              <w:t>side, as well as the anti-blast wall on the Route</w:t>
            </w:r>
            <w:r>
              <w:rPr>
                <w:rFonts w:cs="Arial"/>
                <w:sz w:val="16"/>
                <w:szCs w:val="16"/>
              </w:rPr>
              <w:t xml:space="preserve"> </w:t>
            </w:r>
            <w:r w:rsidRPr="00B86C4F">
              <w:rPr>
                <w:rFonts w:cs="Arial"/>
                <w:sz w:val="16"/>
                <w:szCs w:val="16"/>
              </w:rPr>
              <w:t>de Ferney side were completed in August</w:t>
            </w:r>
            <w:r>
              <w:rPr>
                <w:rFonts w:cs="Arial"/>
                <w:sz w:val="16"/>
                <w:szCs w:val="16"/>
              </w:rPr>
              <w:t xml:space="preserve"> </w:t>
            </w:r>
            <w:r w:rsidRPr="00B86C4F">
              <w:rPr>
                <w:rFonts w:cs="Arial"/>
                <w:sz w:val="16"/>
                <w:szCs w:val="16"/>
              </w:rPr>
              <w:t xml:space="preserve">2014. </w:t>
            </w:r>
            <w:r>
              <w:rPr>
                <w:rFonts w:cs="Arial"/>
                <w:sz w:val="16"/>
                <w:szCs w:val="16"/>
              </w:rPr>
              <w:t xml:space="preserve"> All other security measures required for the completion of the project were completed by the end of 2015.</w:t>
            </w:r>
          </w:p>
        </w:tc>
        <w:tc>
          <w:tcPr>
            <w:tcW w:w="482" w:type="pct"/>
            <w:tcBorders>
              <w:top w:val="nil"/>
              <w:bottom w:val="single" w:sz="4" w:space="0" w:color="auto"/>
              <w:right w:val="single" w:sz="4" w:space="0" w:color="auto"/>
            </w:tcBorders>
            <w:shd w:val="clear" w:color="auto" w:fill="auto"/>
            <w:tcMar>
              <w:top w:w="110" w:type="dxa"/>
            </w:tcMar>
          </w:tcPr>
          <w:p w:rsidR="005B0F47" w:rsidRPr="00BA6F3B" w:rsidRDefault="005B0F47" w:rsidP="005B0F47">
            <w:pPr>
              <w:keepNext/>
              <w:keepLines/>
              <w:tabs>
                <w:tab w:val="left" w:pos="709"/>
              </w:tabs>
              <w:jc w:val="center"/>
              <w:rPr>
                <w:rStyle w:val="Style5"/>
                <w:rFonts w:ascii="Arial" w:hAnsi="Arial" w:cs="Arial"/>
                <w:b/>
                <w:color w:val="595959" w:themeColor="text1" w:themeTint="A6"/>
                <w:sz w:val="16"/>
                <w:szCs w:val="16"/>
              </w:rPr>
            </w:pPr>
            <w:r w:rsidRPr="00BA6F3B">
              <w:rPr>
                <w:rStyle w:val="Style5"/>
                <w:rFonts w:ascii="Arial" w:hAnsi="Arial" w:cs="Arial"/>
                <w:b/>
                <w:color w:val="00B050"/>
                <w:sz w:val="16"/>
                <w:szCs w:val="16"/>
              </w:rPr>
              <w:t>Fully Achieved</w:t>
            </w:r>
          </w:p>
        </w:tc>
      </w:tr>
    </w:tbl>
    <w:p w:rsidR="005B0F47" w:rsidRPr="000C6C48" w:rsidRDefault="005B0F47" w:rsidP="005B0F47">
      <w:pPr>
        <w:tabs>
          <w:tab w:val="left" w:pos="709"/>
        </w:tabs>
        <w:rPr>
          <w:rFonts w:cs="Arial"/>
          <w:color w:val="000000"/>
          <w:szCs w:val="22"/>
        </w:rPr>
      </w:pPr>
    </w:p>
    <w:p w:rsidR="005B0F47" w:rsidRPr="000C6C48" w:rsidRDefault="005B0F47" w:rsidP="005B0F47">
      <w:pPr>
        <w:tabs>
          <w:tab w:val="left" w:pos="709"/>
        </w:tabs>
        <w:rPr>
          <w:rFonts w:cs="Arial"/>
          <w:color w:val="000000"/>
          <w:szCs w:val="22"/>
        </w:rPr>
      </w:pPr>
    </w:p>
    <w:p w:rsidR="005B0F47" w:rsidRPr="000C6C48" w:rsidRDefault="005B0F47" w:rsidP="005B0F47">
      <w:pPr>
        <w:tabs>
          <w:tab w:val="left" w:pos="709"/>
        </w:tabs>
        <w:rPr>
          <w:rFonts w:cs="Arial"/>
          <w:color w:val="000000"/>
          <w:szCs w:val="22"/>
        </w:rPr>
      </w:pPr>
      <w:r w:rsidRPr="000C6C48">
        <w:rPr>
          <w:rFonts w:cs="Arial"/>
          <w:color w:val="000000"/>
          <w:szCs w:val="22"/>
        </w:rPr>
        <w:t>RISK REPORTING FOR THE BIENNIUM</w:t>
      </w:r>
    </w:p>
    <w:p w:rsidR="005B0F47" w:rsidRDefault="005B0F47" w:rsidP="005B0F47">
      <w:pPr>
        <w:keepNext/>
        <w:keepLines/>
        <w:tabs>
          <w:tab w:val="left" w:pos="709"/>
        </w:tabs>
      </w:pPr>
    </w:p>
    <w:tbl>
      <w:tblPr>
        <w:tblW w:w="9640" w:type="dxa"/>
        <w:tblInd w:w="-34"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2392"/>
        <w:gridCol w:w="2370"/>
        <w:gridCol w:w="2610"/>
        <w:gridCol w:w="2268"/>
      </w:tblGrid>
      <w:tr w:rsidR="005B0F47" w:rsidTr="002C4A13">
        <w:trPr>
          <w:trHeight w:val="448"/>
        </w:trPr>
        <w:tc>
          <w:tcPr>
            <w:tcW w:w="2392" w:type="dxa"/>
            <w:tcBorders>
              <w:top w:val="single" w:sz="4" w:space="0" w:color="auto"/>
              <w:bottom w:val="single" w:sz="4" w:space="0" w:color="auto"/>
            </w:tcBorders>
            <w:shd w:val="clear" w:color="auto" w:fill="C6D9F1" w:themeFill="text2" w:themeFillTint="33"/>
            <w:tcMar>
              <w:top w:w="113" w:type="dxa"/>
              <w:bottom w:w="85" w:type="dxa"/>
            </w:tcMar>
            <w:vAlign w:val="center"/>
          </w:tcPr>
          <w:p w:rsidR="005B0F47" w:rsidRPr="00B03316" w:rsidRDefault="005B0F47" w:rsidP="005B0F47">
            <w:pPr>
              <w:tabs>
                <w:tab w:val="left" w:pos="709"/>
              </w:tabs>
              <w:autoSpaceDE w:val="0"/>
              <w:autoSpaceDN w:val="0"/>
              <w:adjustRightInd w:val="0"/>
              <w:ind w:right="-59"/>
              <w:jc w:val="center"/>
              <w:rPr>
                <w:b/>
                <w:sz w:val="18"/>
                <w:szCs w:val="18"/>
              </w:rPr>
            </w:pPr>
            <w:r w:rsidRPr="00B03316">
              <w:rPr>
                <w:b/>
                <w:sz w:val="18"/>
                <w:szCs w:val="18"/>
              </w:rPr>
              <w:t>Risk(s) to the Program achieving its Results</w:t>
            </w:r>
          </w:p>
        </w:tc>
        <w:tc>
          <w:tcPr>
            <w:tcW w:w="2370" w:type="dxa"/>
            <w:tcBorders>
              <w:top w:val="single" w:sz="4" w:space="0" w:color="auto"/>
              <w:bottom w:val="single" w:sz="4" w:space="0" w:color="auto"/>
            </w:tcBorders>
            <w:shd w:val="clear" w:color="auto" w:fill="C6D9F1" w:themeFill="text2" w:themeFillTint="33"/>
            <w:tcMar>
              <w:top w:w="113" w:type="dxa"/>
              <w:bottom w:w="85" w:type="dxa"/>
            </w:tcMar>
            <w:vAlign w:val="center"/>
          </w:tcPr>
          <w:p w:rsidR="005B0F47" w:rsidRPr="00B03316" w:rsidRDefault="005B0F47" w:rsidP="005B0F47">
            <w:pPr>
              <w:tabs>
                <w:tab w:val="left" w:pos="709"/>
              </w:tabs>
              <w:autoSpaceDE w:val="0"/>
              <w:autoSpaceDN w:val="0"/>
              <w:adjustRightInd w:val="0"/>
              <w:ind w:right="-59"/>
              <w:jc w:val="center"/>
              <w:rPr>
                <w:b/>
                <w:sz w:val="18"/>
                <w:szCs w:val="18"/>
              </w:rPr>
            </w:pPr>
            <w:r w:rsidRPr="00B03316">
              <w:rPr>
                <w:b/>
                <w:sz w:val="18"/>
                <w:szCs w:val="18"/>
              </w:rPr>
              <w:t xml:space="preserve">Mitigation plans in place or under implementation </w:t>
            </w:r>
          </w:p>
        </w:tc>
        <w:tc>
          <w:tcPr>
            <w:tcW w:w="2610" w:type="dxa"/>
            <w:tcBorders>
              <w:top w:val="single" w:sz="4" w:space="0" w:color="auto"/>
              <w:bottom w:val="single" w:sz="4" w:space="0" w:color="auto"/>
            </w:tcBorders>
            <w:shd w:val="clear" w:color="auto" w:fill="C6D9F1" w:themeFill="text2" w:themeFillTint="33"/>
          </w:tcPr>
          <w:p w:rsidR="005B0F47" w:rsidRPr="003C527B" w:rsidRDefault="005B0F47" w:rsidP="005B0F47">
            <w:pPr>
              <w:tabs>
                <w:tab w:val="left" w:pos="709"/>
              </w:tabs>
              <w:jc w:val="center"/>
              <w:rPr>
                <w:b/>
                <w:bCs/>
                <w:sz w:val="18"/>
                <w:szCs w:val="18"/>
              </w:rPr>
            </w:pPr>
            <w:r>
              <w:rPr>
                <w:b/>
                <w:bCs/>
                <w:sz w:val="18"/>
                <w:szCs w:val="18"/>
              </w:rPr>
              <w:t>Evolution of Risk(s) and Mitigation Strategies Over the Biennium</w:t>
            </w:r>
          </w:p>
        </w:tc>
        <w:tc>
          <w:tcPr>
            <w:tcW w:w="2268" w:type="dxa"/>
            <w:tcBorders>
              <w:top w:val="single" w:sz="4" w:space="0" w:color="auto"/>
              <w:bottom w:val="single" w:sz="4" w:space="0" w:color="auto"/>
            </w:tcBorders>
            <w:shd w:val="clear" w:color="auto" w:fill="C6D9F1" w:themeFill="text2" w:themeFillTint="33"/>
          </w:tcPr>
          <w:p w:rsidR="005B0F47" w:rsidRPr="003C527B" w:rsidRDefault="005B0F47" w:rsidP="005B0F47">
            <w:pPr>
              <w:tabs>
                <w:tab w:val="left" w:pos="709"/>
              </w:tabs>
              <w:jc w:val="center"/>
              <w:rPr>
                <w:b/>
                <w:bCs/>
                <w:sz w:val="18"/>
                <w:szCs w:val="18"/>
              </w:rPr>
            </w:pPr>
            <w:r>
              <w:rPr>
                <w:b/>
                <w:bCs/>
                <w:sz w:val="18"/>
                <w:szCs w:val="18"/>
              </w:rPr>
              <w:t>Impact on the Program’s Performance</w:t>
            </w:r>
          </w:p>
        </w:tc>
      </w:tr>
      <w:tr w:rsidR="005B0F47" w:rsidTr="002C4A13">
        <w:trPr>
          <w:trHeight w:val="957"/>
        </w:trPr>
        <w:tc>
          <w:tcPr>
            <w:tcW w:w="2392" w:type="dxa"/>
            <w:tcBorders>
              <w:top w:val="single" w:sz="4" w:space="0" w:color="auto"/>
            </w:tcBorders>
            <w:shd w:val="clear" w:color="auto" w:fill="auto"/>
            <w:tcMar>
              <w:top w:w="113" w:type="dxa"/>
              <w:bottom w:w="85" w:type="dxa"/>
            </w:tcMar>
          </w:tcPr>
          <w:p w:rsidR="005B0F47" w:rsidRPr="00B03316" w:rsidRDefault="005B0F47" w:rsidP="005B0F47">
            <w:pPr>
              <w:tabs>
                <w:tab w:val="left" w:pos="709"/>
              </w:tabs>
              <w:autoSpaceDE w:val="0"/>
              <w:autoSpaceDN w:val="0"/>
              <w:adjustRightInd w:val="0"/>
              <w:ind w:right="-59"/>
              <w:rPr>
                <w:sz w:val="16"/>
                <w:szCs w:val="16"/>
              </w:rPr>
            </w:pPr>
            <w:r w:rsidRPr="00B03316">
              <w:rPr>
                <w:sz w:val="16"/>
                <w:szCs w:val="16"/>
              </w:rPr>
              <w:t xml:space="preserve">Major architectural or construction flaw discovered during remaining construction time of construction, or afterwards, hampers or delays use of the new conference hall  </w:t>
            </w:r>
          </w:p>
        </w:tc>
        <w:tc>
          <w:tcPr>
            <w:tcW w:w="2370" w:type="dxa"/>
            <w:tcBorders>
              <w:top w:val="single" w:sz="4" w:space="0" w:color="auto"/>
            </w:tcBorders>
            <w:shd w:val="clear" w:color="auto" w:fill="auto"/>
            <w:tcMar>
              <w:top w:w="113" w:type="dxa"/>
              <w:bottom w:w="85" w:type="dxa"/>
            </w:tcMar>
          </w:tcPr>
          <w:p w:rsidR="005B0F47" w:rsidRPr="00B03316" w:rsidRDefault="005B0F47" w:rsidP="005B0F47">
            <w:pPr>
              <w:tabs>
                <w:tab w:val="left" w:pos="709"/>
              </w:tabs>
              <w:autoSpaceDE w:val="0"/>
              <w:autoSpaceDN w:val="0"/>
              <w:adjustRightInd w:val="0"/>
              <w:ind w:right="-59"/>
              <w:rPr>
                <w:sz w:val="16"/>
                <w:szCs w:val="16"/>
              </w:rPr>
            </w:pPr>
            <w:r w:rsidRPr="00B03316">
              <w:rPr>
                <w:sz w:val="16"/>
                <w:szCs w:val="16"/>
              </w:rPr>
              <w:t xml:space="preserve">Selected high quality architect and contractors. </w:t>
            </w:r>
            <w:r w:rsidRPr="00B03316" w:rsidDel="001E504A">
              <w:rPr>
                <w:sz w:val="16"/>
                <w:szCs w:val="16"/>
              </w:rPr>
              <w:t xml:space="preserve"> </w:t>
            </w:r>
            <w:r w:rsidRPr="00B03316">
              <w:rPr>
                <w:sz w:val="16"/>
                <w:szCs w:val="16"/>
              </w:rPr>
              <w:t xml:space="preserve">The timber consortium with its own wood engineers is composed of highly qualified and experienced local companies. </w:t>
            </w:r>
            <w:r>
              <w:rPr>
                <w:sz w:val="16"/>
                <w:szCs w:val="16"/>
              </w:rPr>
              <w:t xml:space="preserve"> </w:t>
            </w:r>
            <w:r w:rsidRPr="00B03316">
              <w:rPr>
                <w:sz w:val="16"/>
                <w:szCs w:val="16"/>
              </w:rPr>
              <w:t>The construction site manager exercises a close monitoring of the project implementation at tight intervals.</w:t>
            </w:r>
          </w:p>
        </w:tc>
        <w:tc>
          <w:tcPr>
            <w:tcW w:w="2610" w:type="dxa"/>
            <w:tcBorders>
              <w:top w:val="single" w:sz="4" w:space="0" w:color="auto"/>
            </w:tcBorders>
          </w:tcPr>
          <w:p w:rsidR="005B0F47" w:rsidRPr="00B03316" w:rsidRDefault="005B0F47" w:rsidP="005B0F47">
            <w:pPr>
              <w:tabs>
                <w:tab w:val="left" w:pos="709"/>
              </w:tabs>
              <w:autoSpaceDE w:val="0"/>
              <w:autoSpaceDN w:val="0"/>
              <w:adjustRightInd w:val="0"/>
              <w:ind w:right="-59"/>
              <w:rPr>
                <w:sz w:val="16"/>
                <w:szCs w:val="16"/>
              </w:rPr>
            </w:pPr>
            <w:r>
              <w:rPr>
                <w:sz w:val="16"/>
                <w:szCs w:val="16"/>
              </w:rPr>
              <w:t>Risk closed at the end of the biennium since the use of the new WIPO Conference Hall was effective as from September 2014, for WIPO meetings, including the 2014 and 2015 WIPO Assemblies and numerous other meetings and events throughout the remainder of the biennium.</w:t>
            </w:r>
          </w:p>
        </w:tc>
        <w:tc>
          <w:tcPr>
            <w:tcW w:w="2268" w:type="dxa"/>
            <w:tcBorders>
              <w:top w:val="single" w:sz="4" w:space="0" w:color="auto"/>
            </w:tcBorders>
          </w:tcPr>
          <w:p w:rsidR="005B0F47" w:rsidRDefault="005B0F47" w:rsidP="005B0F47">
            <w:pPr>
              <w:tabs>
                <w:tab w:val="left" w:pos="709"/>
              </w:tabs>
              <w:autoSpaceDE w:val="0"/>
              <w:autoSpaceDN w:val="0"/>
              <w:adjustRightInd w:val="0"/>
              <w:ind w:right="-59"/>
              <w:rPr>
                <w:sz w:val="16"/>
                <w:szCs w:val="16"/>
                <w:lang w:eastAsia="zh-CN"/>
              </w:rPr>
            </w:pPr>
            <w:r>
              <w:rPr>
                <w:sz w:val="16"/>
                <w:szCs w:val="16"/>
                <w:lang w:eastAsia="zh-CN"/>
              </w:rPr>
              <w:t>This risk and its evolution did not have any material impact on the Program’s performance in 2014/15.</w:t>
            </w:r>
          </w:p>
          <w:p w:rsidR="005B0F47" w:rsidRPr="00B03316" w:rsidRDefault="005B0F47" w:rsidP="005B0F47">
            <w:pPr>
              <w:tabs>
                <w:tab w:val="left" w:pos="709"/>
              </w:tabs>
              <w:autoSpaceDE w:val="0"/>
              <w:autoSpaceDN w:val="0"/>
              <w:adjustRightInd w:val="0"/>
              <w:ind w:right="-59"/>
              <w:rPr>
                <w:sz w:val="16"/>
                <w:szCs w:val="16"/>
              </w:rPr>
            </w:pPr>
          </w:p>
        </w:tc>
      </w:tr>
    </w:tbl>
    <w:p w:rsidR="005B0F47" w:rsidRPr="000C6C48" w:rsidRDefault="005B0F47" w:rsidP="005B0F47">
      <w:pPr>
        <w:tabs>
          <w:tab w:val="left" w:pos="709"/>
        </w:tabs>
        <w:rPr>
          <w:rFonts w:cs="Arial"/>
          <w:color w:val="000000"/>
          <w:szCs w:val="20"/>
        </w:rPr>
      </w:pPr>
    </w:p>
    <w:p w:rsidR="005B0F47" w:rsidRPr="000C6C48" w:rsidRDefault="005B0F47" w:rsidP="005B0F47">
      <w:pPr>
        <w:tabs>
          <w:tab w:val="left" w:pos="709"/>
        </w:tabs>
        <w:rPr>
          <w:rFonts w:cs="Arial"/>
          <w:color w:val="000000"/>
          <w:szCs w:val="20"/>
        </w:rPr>
      </w:pPr>
    </w:p>
    <w:p w:rsidR="005B0F47" w:rsidRPr="000C6C48" w:rsidRDefault="005B0F47" w:rsidP="005B0F47">
      <w:pPr>
        <w:keepNext/>
        <w:keepLines/>
        <w:tabs>
          <w:tab w:val="left" w:pos="709"/>
        </w:tabs>
        <w:rPr>
          <w:b/>
          <w:sz w:val="18"/>
          <w:szCs w:val="20"/>
        </w:rPr>
      </w:pPr>
      <w:r w:rsidRPr="000C6C48">
        <w:rPr>
          <w:rFonts w:cs="Arial"/>
          <w:color w:val="000000"/>
          <w:szCs w:val="20"/>
        </w:rPr>
        <w:t>RESOURCE UTILIZATION</w:t>
      </w:r>
      <w:r w:rsidRPr="000C6C48">
        <w:rPr>
          <w:rFonts w:cs="Arial"/>
          <w:color w:val="000000"/>
          <w:szCs w:val="20"/>
        </w:rPr>
        <w:tab/>
      </w:r>
    </w:p>
    <w:p w:rsidR="005B0F47" w:rsidRPr="000C6C48" w:rsidRDefault="005B0F47" w:rsidP="005B0F47">
      <w:pPr>
        <w:keepNext/>
        <w:keepLines/>
        <w:tabs>
          <w:tab w:val="left" w:pos="709"/>
        </w:tabs>
        <w:rPr>
          <w:sz w:val="18"/>
          <w:szCs w:val="20"/>
        </w:rPr>
      </w:pPr>
    </w:p>
    <w:p w:rsidR="005B0F47" w:rsidRPr="00383D2D" w:rsidRDefault="005B0F47" w:rsidP="005B0F47">
      <w:pPr>
        <w:pStyle w:val="NormalWeb"/>
        <w:keepNext/>
        <w:keepLines/>
        <w:tabs>
          <w:tab w:val="left" w:pos="709"/>
        </w:tabs>
        <w:spacing w:before="0" w:beforeAutospacing="0" w:after="0" w:afterAutospacing="0"/>
        <w:jc w:val="center"/>
        <w:rPr>
          <w:sz w:val="20"/>
          <w:szCs w:val="20"/>
        </w:rPr>
      </w:pPr>
      <w:r w:rsidRPr="00383D2D">
        <w:rPr>
          <w:color w:val="000000"/>
          <w:sz w:val="20"/>
          <w:szCs w:val="20"/>
        </w:rPr>
        <w:t xml:space="preserve">Budget and Actual Expenditure (by result) </w:t>
      </w:r>
    </w:p>
    <w:p w:rsidR="005B0F47" w:rsidRDefault="005B0F47" w:rsidP="005B0F47">
      <w:pPr>
        <w:pStyle w:val="NormalWeb"/>
        <w:keepNext/>
        <w:keepLines/>
        <w:tabs>
          <w:tab w:val="left" w:pos="709"/>
        </w:tabs>
        <w:spacing w:before="0" w:beforeAutospacing="0" w:after="0" w:afterAutospacing="0"/>
        <w:jc w:val="center"/>
        <w:rPr>
          <w:i/>
          <w:iCs/>
          <w:color w:val="000000"/>
          <w:sz w:val="20"/>
          <w:szCs w:val="20"/>
        </w:rPr>
      </w:pPr>
      <w:r w:rsidRPr="00383D2D">
        <w:rPr>
          <w:i/>
          <w:iCs/>
          <w:color w:val="000000"/>
          <w:sz w:val="20"/>
          <w:szCs w:val="20"/>
        </w:rPr>
        <w:t>(in thousands of Swiss francs)</w:t>
      </w:r>
    </w:p>
    <w:p w:rsidR="005B0F47" w:rsidRPr="00383D2D" w:rsidRDefault="005B0F47" w:rsidP="005B0F47">
      <w:pPr>
        <w:pStyle w:val="NormalWeb"/>
        <w:keepNext/>
        <w:keepLines/>
        <w:tabs>
          <w:tab w:val="left" w:pos="709"/>
        </w:tabs>
        <w:spacing w:before="0" w:beforeAutospacing="0" w:after="0" w:afterAutospacing="0"/>
        <w:jc w:val="center"/>
        <w:rPr>
          <w:sz w:val="20"/>
          <w:szCs w:val="20"/>
        </w:rPr>
      </w:pPr>
      <w:r w:rsidRPr="007F614B">
        <w:rPr>
          <w:noProof/>
        </w:rPr>
        <w:drawing>
          <wp:inline distT="0" distB="0" distL="0" distR="0" wp14:anchorId="400B2F89" wp14:editId="082B706B">
            <wp:extent cx="5240740" cy="1449825"/>
            <wp:effectExtent l="0" t="0" r="0" b="0"/>
            <wp:docPr id="901" name="Picture 9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3">
                      <a:extLst>
                        <a:ext uri="{28A0092B-C50C-407E-A947-70E740481C1C}">
                          <a14:useLocalDpi xmlns:a14="http://schemas.microsoft.com/office/drawing/2010/main" val="0"/>
                        </a:ext>
                      </a:extLst>
                    </a:blip>
                    <a:srcRect/>
                    <a:stretch>
                      <a:fillRect/>
                    </a:stretch>
                  </pic:blipFill>
                  <pic:spPr bwMode="auto">
                    <a:xfrm>
                      <a:off x="0" y="0"/>
                      <a:ext cx="5242560" cy="1450328"/>
                    </a:xfrm>
                    <a:prstGeom prst="rect">
                      <a:avLst/>
                    </a:prstGeom>
                    <a:noFill/>
                    <a:ln>
                      <a:noFill/>
                    </a:ln>
                  </pic:spPr>
                </pic:pic>
              </a:graphicData>
            </a:graphic>
          </wp:inline>
        </w:drawing>
      </w:r>
    </w:p>
    <w:p w:rsidR="005B0F47" w:rsidRDefault="005B0F47" w:rsidP="005B0F47">
      <w:pPr>
        <w:tabs>
          <w:tab w:val="left" w:pos="709"/>
        </w:tabs>
        <w:jc w:val="center"/>
      </w:pPr>
    </w:p>
    <w:p w:rsidR="005B0F47" w:rsidRDefault="005B0F47" w:rsidP="005B0F47">
      <w:pPr>
        <w:tabs>
          <w:tab w:val="left" w:pos="709"/>
        </w:tabs>
      </w:pPr>
    </w:p>
    <w:p w:rsidR="005B0F47" w:rsidRPr="00383D2D" w:rsidRDefault="005B0F47" w:rsidP="005B0F47">
      <w:pPr>
        <w:pStyle w:val="NormalWeb"/>
        <w:keepNext/>
        <w:keepLines/>
        <w:tabs>
          <w:tab w:val="left" w:pos="709"/>
        </w:tabs>
        <w:spacing w:before="0" w:beforeAutospacing="0" w:after="0" w:afterAutospacing="0"/>
        <w:jc w:val="center"/>
        <w:rPr>
          <w:sz w:val="20"/>
          <w:szCs w:val="20"/>
        </w:rPr>
      </w:pPr>
      <w:r w:rsidRPr="00383D2D">
        <w:rPr>
          <w:color w:val="000000"/>
          <w:sz w:val="20"/>
          <w:szCs w:val="20"/>
        </w:rPr>
        <w:t xml:space="preserve">Budget and Actual Expenditure (personnel and non-personnel) </w:t>
      </w:r>
    </w:p>
    <w:p w:rsidR="005B0F47" w:rsidRPr="00383D2D" w:rsidRDefault="005B0F47" w:rsidP="005B0F47">
      <w:pPr>
        <w:pStyle w:val="NormalWeb"/>
        <w:keepNext/>
        <w:keepLines/>
        <w:tabs>
          <w:tab w:val="left" w:pos="709"/>
        </w:tabs>
        <w:spacing w:before="0" w:beforeAutospacing="0" w:after="0" w:afterAutospacing="0"/>
        <w:jc w:val="center"/>
        <w:rPr>
          <w:i/>
          <w:iCs/>
          <w:color w:val="000000"/>
          <w:sz w:val="20"/>
          <w:szCs w:val="20"/>
        </w:rPr>
      </w:pPr>
      <w:r w:rsidRPr="00383D2D">
        <w:rPr>
          <w:i/>
          <w:iCs/>
          <w:color w:val="000000"/>
          <w:sz w:val="20"/>
          <w:szCs w:val="20"/>
        </w:rPr>
        <w:t>(in thousands of Swiss francs)</w:t>
      </w:r>
    </w:p>
    <w:p w:rsidR="005B0F47" w:rsidRDefault="005B0F47" w:rsidP="005B0F47">
      <w:pPr>
        <w:pStyle w:val="NormalWeb"/>
        <w:keepNext/>
        <w:keepLines/>
        <w:tabs>
          <w:tab w:val="left" w:pos="709"/>
        </w:tabs>
        <w:spacing w:before="0" w:beforeAutospacing="0" w:after="0" w:afterAutospacing="0"/>
        <w:jc w:val="center"/>
      </w:pPr>
    </w:p>
    <w:p w:rsidR="005B0F47" w:rsidRDefault="005B0F47" w:rsidP="005B0F47">
      <w:pPr>
        <w:widowControl w:val="0"/>
        <w:tabs>
          <w:tab w:val="left" w:pos="709"/>
        </w:tabs>
        <w:autoSpaceDE w:val="0"/>
        <w:autoSpaceDN w:val="0"/>
        <w:adjustRightInd w:val="0"/>
        <w:jc w:val="center"/>
        <w:rPr>
          <w:rFonts w:cs="Arial"/>
          <w:szCs w:val="20"/>
        </w:rPr>
      </w:pPr>
      <w:r w:rsidRPr="007F614B">
        <w:rPr>
          <w:noProof/>
        </w:rPr>
        <w:drawing>
          <wp:inline distT="0" distB="0" distL="0" distR="0" wp14:anchorId="05845D97" wp14:editId="42071D7B">
            <wp:extent cx="5172502" cy="952714"/>
            <wp:effectExtent l="0" t="0" r="0" b="0"/>
            <wp:docPr id="902" name="Picture 9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4">
                      <a:extLst>
                        <a:ext uri="{28A0092B-C50C-407E-A947-70E740481C1C}">
                          <a14:useLocalDpi xmlns:a14="http://schemas.microsoft.com/office/drawing/2010/main" val="0"/>
                        </a:ext>
                      </a:extLst>
                    </a:blip>
                    <a:srcRect/>
                    <a:stretch>
                      <a:fillRect/>
                    </a:stretch>
                  </pic:blipFill>
                  <pic:spPr bwMode="auto">
                    <a:xfrm>
                      <a:off x="0" y="0"/>
                      <a:ext cx="5174464" cy="953075"/>
                    </a:xfrm>
                    <a:prstGeom prst="rect">
                      <a:avLst/>
                    </a:prstGeom>
                    <a:noFill/>
                    <a:ln>
                      <a:noFill/>
                    </a:ln>
                  </pic:spPr>
                </pic:pic>
              </a:graphicData>
            </a:graphic>
          </wp:inline>
        </w:drawing>
      </w:r>
    </w:p>
    <w:p w:rsidR="005B0F47" w:rsidRDefault="005B0F47" w:rsidP="005B0F47">
      <w:pPr>
        <w:widowControl w:val="0"/>
        <w:tabs>
          <w:tab w:val="left" w:pos="709"/>
        </w:tabs>
        <w:autoSpaceDE w:val="0"/>
        <w:autoSpaceDN w:val="0"/>
        <w:adjustRightInd w:val="0"/>
        <w:rPr>
          <w:rFonts w:cs="Arial"/>
          <w:szCs w:val="20"/>
        </w:rPr>
      </w:pPr>
    </w:p>
    <w:p w:rsidR="005B0F47" w:rsidRPr="001C6F4D" w:rsidRDefault="005B0F47" w:rsidP="005B0F47">
      <w:pPr>
        <w:widowControl w:val="0"/>
        <w:tabs>
          <w:tab w:val="left" w:pos="709"/>
        </w:tabs>
        <w:autoSpaceDE w:val="0"/>
        <w:autoSpaceDN w:val="0"/>
        <w:adjustRightInd w:val="0"/>
        <w:rPr>
          <w:rFonts w:cs="Arial"/>
          <w:szCs w:val="20"/>
        </w:rPr>
      </w:pPr>
    </w:p>
    <w:p w:rsidR="005B0F47" w:rsidRDefault="005B0F47" w:rsidP="002C4A13">
      <w:pPr>
        <w:keepNext/>
        <w:keepLines/>
        <w:tabs>
          <w:tab w:val="left" w:pos="709"/>
        </w:tabs>
        <w:ind w:left="709" w:hanging="709"/>
        <w:jc w:val="both"/>
        <w:rPr>
          <w:rFonts w:cs="Arial"/>
          <w:u w:val="single"/>
        </w:rPr>
      </w:pPr>
      <w:r>
        <w:rPr>
          <w:rFonts w:cs="Arial"/>
          <w:szCs w:val="20"/>
        </w:rPr>
        <w:t>A.</w:t>
      </w:r>
      <w:r>
        <w:rPr>
          <w:rFonts w:cs="Arial"/>
        </w:rPr>
        <w:tab/>
      </w:r>
      <w:r>
        <w:rPr>
          <w:rFonts w:cs="Arial"/>
          <w:u w:val="single"/>
        </w:rPr>
        <w:t xml:space="preserve">2014/15 Final Budget after Transfers </w:t>
      </w:r>
    </w:p>
    <w:p w:rsidR="005B0F47" w:rsidRDefault="005B0F47" w:rsidP="005B0F47">
      <w:pPr>
        <w:keepNext/>
        <w:keepLines/>
        <w:tabs>
          <w:tab w:val="left" w:pos="709"/>
        </w:tabs>
        <w:jc w:val="both"/>
        <w:rPr>
          <w:rFonts w:cs="Arial"/>
        </w:rPr>
      </w:pPr>
      <w:r>
        <w:rPr>
          <w:rFonts w:cs="Arial"/>
          <w:u w:val="single"/>
        </w:rPr>
        <w:t xml:space="preserve"> </w:t>
      </w:r>
    </w:p>
    <w:p w:rsidR="005B0F47" w:rsidRPr="00173471" w:rsidRDefault="005B0F47" w:rsidP="005B0F47">
      <w:pPr>
        <w:pStyle w:val="ListParagraph"/>
        <w:numPr>
          <w:ilvl w:val="0"/>
          <w:numId w:val="22"/>
        </w:numPr>
        <w:tabs>
          <w:tab w:val="left" w:pos="709"/>
        </w:tabs>
        <w:ind w:left="0" w:firstLine="0"/>
        <w:jc w:val="both"/>
        <w:rPr>
          <w:rFonts w:cs="Arial"/>
        </w:rPr>
      </w:pPr>
      <w:r w:rsidRPr="00173471">
        <w:rPr>
          <w:rFonts w:cs="Arial"/>
        </w:rPr>
        <w:t xml:space="preserve">The overall increase in the 2014/15 Final Budget after Transfers was primarily due to additional resources provided to cover the expenses related to the completion and closure of the </w:t>
      </w:r>
      <w:r>
        <w:rPr>
          <w:rFonts w:cs="Arial"/>
        </w:rPr>
        <w:t>n</w:t>
      </w:r>
      <w:r w:rsidRPr="00173471">
        <w:rPr>
          <w:rFonts w:cs="Arial"/>
        </w:rPr>
        <w:t xml:space="preserve">ew Conference Hall Project, as approved by the WIPO Assemblies in October 2015. </w:t>
      </w:r>
      <w:r>
        <w:rPr>
          <w:rFonts w:cs="Arial"/>
        </w:rPr>
        <w:t xml:space="preserve"> </w:t>
      </w:r>
      <w:r w:rsidRPr="00173471">
        <w:rPr>
          <w:rFonts w:cs="Arial"/>
        </w:rPr>
        <w:t xml:space="preserve">This is reflected under Expected Result IX.1. </w:t>
      </w:r>
    </w:p>
    <w:p w:rsidR="005B0F47" w:rsidRDefault="005B0F47" w:rsidP="005B0F47">
      <w:pPr>
        <w:tabs>
          <w:tab w:val="left" w:pos="709"/>
        </w:tabs>
        <w:autoSpaceDE w:val="0"/>
        <w:autoSpaceDN w:val="0"/>
        <w:jc w:val="both"/>
        <w:rPr>
          <w:rFonts w:cs="Arial"/>
          <w:szCs w:val="20"/>
          <w:lang w:eastAsia="ko-KR"/>
        </w:rPr>
      </w:pPr>
    </w:p>
    <w:p w:rsidR="005B0F47" w:rsidRDefault="005B0F47" w:rsidP="00F33ED1">
      <w:pPr>
        <w:tabs>
          <w:tab w:val="left" w:pos="709"/>
        </w:tabs>
        <w:jc w:val="both"/>
        <w:rPr>
          <w:rFonts w:cs="Arial"/>
          <w:szCs w:val="20"/>
          <w:u w:val="single"/>
          <w:lang w:eastAsia="ko-KR"/>
        </w:rPr>
      </w:pPr>
      <w:r>
        <w:rPr>
          <w:rFonts w:cs="Arial"/>
          <w:szCs w:val="20"/>
          <w:lang w:eastAsia="ko-KR"/>
        </w:rPr>
        <w:t>B.</w:t>
      </w:r>
      <w:r>
        <w:rPr>
          <w:rFonts w:cs="Arial"/>
          <w:szCs w:val="20"/>
          <w:lang w:eastAsia="ko-KR"/>
        </w:rPr>
        <w:tab/>
      </w:r>
      <w:r>
        <w:rPr>
          <w:rFonts w:cs="Arial"/>
          <w:szCs w:val="20"/>
          <w:u w:val="single"/>
          <w:lang w:eastAsia="ko-KR"/>
        </w:rPr>
        <w:t xml:space="preserve">2014/15 Budget Utilization </w:t>
      </w:r>
    </w:p>
    <w:p w:rsidR="005B0F47" w:rsidRDefault="005B0F47" w:rsidP="005B0F47">
      <w:pPr>
        <w:tabs>
          <w:tab w:val="left" w:pos="709"/>
        </w:tabs>
        <w:jc w:val="both"/>
        <w:rPr>
          <w:rFonts w:cs="Arial"/>
          <w:szCs w:val="20"/>
          <w:u w:val="single"/>
          <w:lang w:eastAsia="ko-KR"/>
        </w:rPr>
      </w:pPr>
    </w:p>
    <w:p w:rsidR="005B0F47" w:rsidRPr="00173471" w:rsidRDefault="005B0F47" w:rsidP="005B0F47">
      <w:pPr>
        <w:pStyle w:val="ListParagraph"/>
        <w:numPr>
          <w:ilvl w:val="0"/>
          <w:numId w:val="22"/>
        </w:numPr>
        <w:tabs>
          <w:tab w:val="left" w:pos="709"/>
        </w:tabs>
        <w:ind w:left="0" w:firstLine="0"/>
        <w:jc w:val="both"/>
        <w:rPr>
          <w:rFonts w:cs="Arial"/>
          <w:lang w:eastAsia="ko-KR"/>
        </w:rPr>
      </w:pPr>
      <w:r w:rsidRPr="00173471">
        <w:rPr>
          <w:rFonts w:cs="Arial"/>
          <w:lang w:eastAsia="ko-KR"/>
        </w:rPr>
        <w:t xml:space="preserve">The slight under-utilization of personnel resources is attributable to the difference between the standard cost </w:t>
      </w:r>
      <w:r w:rsidRPr="00173471">
        <w:rPr>
          <w:rFonts w:cs="Arial"/>
        </w:rPr>
        <w:t>methodology</w:t>
      </w:r>
      <w:r w:rsidRPr="00173471">
        <w:rPr>
          <w:rFonts w:cs="Arial"/>
          <w:lang w:eastAsia="ko-KR"/>
        </w:rPr>
        <w:t xml:space="preserve"> used in the 2014/15 biennium and actual </w:t>
      </w:r>
      <w:r>
        <w:rPr>
          <w:rFonts w:cs="Arial"/>
          <w:lang w:eastAsia="ko-KR"/>
        </w:rPr>
        <w:t xml:space="preserve">personnel </w:t>
      </w:r>
      <w:r w:rsidRPr="00173471">
        <w:rPr>
          <w:rFonts w:cs="Arial"/>
          <w:lang w:eastAsia="ko-KR"/>
        </w:rPr>
        <w:t xml:space="preserve">expenditure. </w:t>
      </w:r>
    </w:p>
    <w:p w:rsidR="005B0F47" w:rsidRDefault="005B0F47" w:rsidP="005B0F47">
      <w:pPr>
        <w:keepNext/>
        <w:keepLines/>
        <w:tabs>
          <w:tab w:val="left" w:pos="709"/>
        </w:tabs>
        <w:rPr>
          <w:rFonts w:cs="Arial"/>
          <w:u w:val="single"/>
        </w:rPr>
      </w:pPr>
    </w:p>
    <w:p w:rsidR="005B0F47" w:rsidRDefault="005B0F47" w:rsidP="005B0F47">
      <w:pPr>
        <w:tabs>
          <w:tab w:val="left" w:pos="709"/>
        </w:tabs>
        <w:autoSpaceDE w:val="0"/>
        <w:autoSpaceDN w:val="0"/>
        <w:jc w:val="both"/>
      </w:pPr>
    </w:p>
    <w:p w:rsidR="005B0F47" w:rsidRDefault="005B0F47" w:rsidP="005B0F47">
      <w:pPr>
        <w:tabs>
          <w:tab w:val="left" w:pos="709"/>
        </w:tabs>
      </w:pPr>
    </w:p>
    <w:p w:rsidR="007505A5" w:rsidRPr="006A3E06" w:rsidRDefault="007505A5" w:rsidP="005B0F47">
      <w:pPr>
        <w:tabs>
          <w:tab w:val="left" w:pos="709"/>
        </w:tabs>
        <w:rPr>
          <w:sz w:val="18"/>
          <w:szCs w:val="20"/>
        </w:rPr>
      </w:pPr>
    </w:p>
    <w:p w:rsidR="007505A5" w:rsidRDefault="007505A5" w:rsidP="00383D2D">
      <w:pPr>
        <w:tabs>
          <w:tab w:val="left" w:pos="709"/>
        </w:tabs>
        <w:jc w:val="both"/>
        <w:rPr>
          <w:rFonts w:cs="Arial"/>
          <w:szCs w:val="20"/>
          <w:u w:val="single"/>
          <w:lang w:eastAsia="ko-KR"/>
        </w:rPr>
      </w:pPr>
    </w:p>
    <w:p w:rsidR="007505A5" w:rsidRDefault="007505A5" w:rsidP="00295D7D">
      <w:pPr>
        <w:autoSpaceDE w:val="0"/>
        <w:autoSpaceDN w:val="0"/>
        <w:jc w:val="both"/>
      </w:pPr>
    </w:p>
    <w:p w:rsidR="0063033D" w:rsidRDefault="0063033D">
      <w:pPr>
        <w:sectPr w:rsidR="0063033D" w:rsidSect="00CA722C">
          <w:headerReference w:type="even" r:id="rId195"/>
          <w:headerReference w:type="default" r:id="rId196"/>
          <w:footerReference w:type="even" r:id="rId197"/>
          <w:footerReference w:type="default" r:id="rId198"/>
          <w:headerReference w:type="first" r:id="rId199"/>
          <w:footerReference w:type="first" r:id="rId200"/>
          <w:pgSz w:w="11907" w:h="16840" w:code="9"/>
          <w:pgMar w:top="567" w:right="1134" w:bottom="1361" w:left="1418" w:header="567" w:footer="851" w:gutter="0"/>
          <w:pgNumType w:start="1"/>
          <w:cols w:space="720"/>
          <w:titlePg/>
          <w:docGrid w:linePitch="272"/>
        </w:sectPr>
      </w:pPr>
    </w:p>
    <w:p w:rsidR="0063033D" w:rsidRPr="0063033D" w:rsidRDefault="0063033D" w:rsidP="0063033D">
      <w:pPr>
        <w:pStyle w:val="Heading1"/>
        <w:ind w:hanging="578"/>
        <w:jc w:val="left"/>
      </w:pPr>
      <w:bookmarkStart w:id="116" w:name="_Toc454544504"/>
      <w:r w:rsidRPr="0063033D">
        <w:t>APPENDICES</w:t>
      </w:r>
      <w:bookmarkEnd w:id="116"/>
    </w:p>
    <w:p w:rsidR="0063033D" w:rsidRDefault="0063033D" w:rsidP="008D1891">
      <w:pPr>
        <w:rPr>
          <w:rFonts w:eastAsia="SimSun"/>
          <w:b/>
          <w:bCs/>
          <w:sz w:val="22"/>
          <w:szCs w:val="28"/>
        </w:rPr>
      </w:pPr>
    </w:p>
    <w:p w:rsidR="0063033D" w:rsidRDefault="0063033D" w:rsidP="008D1891">
      <w:pPr>
        <w:rPr>
          <w:rFonts w:eastAsia="SimSun"/>
          <w:b/>
          <w:bCs/>
          <w:sz w:val="22"/>
          <w:szCs w:val="28"/>
        </w:rPr>
      </w:pPr>
    </w:p>
    <w:p w:rsidR="0063033D" w:rsidRDefault="0063033D" w:rsidP="006C404A">
      <w:pPr>
        <w:pStyle w:val="Heading2"/>
        <w:tabs>
          <w:tab w:val="clear" w:pos="567"/>
          <w:tab w:val="left" w:pos="2268"/>
        </w:tabs>
        <w:ind w:left="0" w:firstLine="0"/>
        <w:rPr>
          <w:rFonts w:eastAsia="SimSun"/>
          <w:b w:val="0"/>
          <w:bCs w:val="0"/>
        </w:rPr>
      </w:pPr>
      <w:bookmarkStart w:id="117" w:name="_Toc454544505"/>
      <w:r w:rsidRPr="0063033D">
        <w:t>APPENDIX I</w:t>
      </w:r>
      <w:r w:rsidR="006C404A">
        <w:t xml:space="preserve">     </w:t>
      </w:r>
      <w:r w:rsidR="00815ABB">
        <w:br/>
      </w:r>
      <w:r w:rsidR="00815ABB">
        <w:br/>
      </w:r>
      <w:r w:rsidRPr="00815ABB">
        <w:t>BREAKDOWN OF THE PERFORMANCE ASSESSMENTS BY PROGRAM</w:t>
      </w:r>
      <w:bookmarkEnd w:id="117"/>
    </w:p>
    <w:p w:rsidR="002E3A73" w:rsidRDefault="002E3A73" w:rsidP="002732EA">
      <w:pPr>
        <w:jc w:val="center"/>
      </w:pPr>
    </w:p>
    <w:p w:rsidR="002E3A73" w:rsidRDefault="002E3A73" w:rsidP="002732EA">
      <w:pPr>
        <w:jc w:val="center"/>
      </w:pPr>
    </w:p>
    <w:p w:rsidR="002E3A73" w:rsidRPr="00812B04" w:rsidRDefault="002E3A73" w:rsidP="002732EA">
      <w:pPr>
        <w:jc w:val="both"/>
      </w:pPr>
      <w:r w:rsidRPr="00812B04">
        <w:t xml:space="preserve">The performance assessments for individual Programs in the PPR </w:t>
      </w:r>
      <w:r>
        <w:t>2014/15</w:t>
      </w:r>
      <w:r w:rsidRPr="00812B04">
        <w:t xml:space="preserve"> comprise:</w:t>
      </w:r>
    </w:p>
    <w:p w:rsidR="002E3A73" w:rsidRPr="00812B04" w:rsidRDefault="002E3A73" w:rsidP="002732EA">
      <w:pPr>
        <w:jc w:val="both"/>
        <w:rPr>
          <w:i/>
          <w:iCs/>
        </w:rPr>
      </w:pPr>
    </w:p>
    <w:p w:rsidR="002E3A73" w:rsidRPr="00812B04" w:rsidRDefault="002E3A73" w:rsidP="002732EA">
      <w:pPr>
        <w:jc w:val="both"/>
        <w:rPr>
          <w:bCs/>
          <w:i/>
          <w:iCs/>
          <w:szCs w:val="22"/>
        </w:rPr>
      </w:pPr>
      <w:r w:rsidRPr="00812B04">
        <w:rPr>
          <w:i/>
          <w:iCs/>
        </w:rPr>
        <w:t xml:space="preserve">Section I: </w:t>
      </w:r>
      <w:r>
        <w:rPr>
          <w:bCs/>
          <w:i/>
          <w:iCs/>
        </w:rPr>
        <w:t>Achievements</w:t>
      </w:r>
      <w:r w:rsidRPr="00812B04">
        <w:rPr>
          <w:bCs/>
          <w:i/>
          <w:iCs/>
        </w:rPr>
        <w:t xml:space="preserve"> in </w:t>
      </w:r>
      <w:r>
        <w:rPr>
          <w:bCs/>
          <w:i/>
          <w:iCs/>
        </w:rPr>
        <w:t>the 2014/15 Biennium</w:t>
      </w:r>
    </w:p>
    <w:p w:rsidR="002E3A73" w:rsidRPr="00812B04" w:rsidRDefault="002E3A73" w:rsidP="002732EA">
      <w:pPr>
        <w:jc w:val="both"/>
      </w:pPr>
    </w:p>
    <w:p w:rsidR="002E3A73" w:rsidRDefault="002E3A73" w:rsidP="002732EA">
      <w:pPr>
        <w:jc w:val="both"/>
      </w:pPr>
      <w:r w:rsidRPr="00812B04">
        <w:t xml:space="preserve">An analytical summary presenting </w:t>
      </w:r>
      <w:r>
        <w:t xml:space="preserve">results achieved in the biennium 2014/15 </w:t>
      </w:r>
      <w:r w:rsidRPr="00812B04">
        <w:t>by the Program concerned and any challenges encountered during the period under review</w:t>
      </w:r>
      <w:r>
        <w:t xml:space="preserve">.  As in 2014, the assessment of the implementation of the Development Agenda (DA) has been mainstreamed and therefore integrated into the </w:t>
      </w:r>
      <w:r>
        <w:rPr>
          <w:i/>
        </w:rPr>
        <w:t>Achievements in the 2014/15 Biennium</w:t>
      </w:r>
      <w:r w:rsidRPr="00EC392B">
        <w:rPr>
          <w:i/>
        </w:rPr>
        <w:t>.</w:t>
      </w:r>
      <w:r>
        <w:t xml:space="preserve">  </w:t>
      </w:r>
      <w:r w:rsidRPr="00812B04">
        <w:t xml:space="preserve">In line with </w:t>
      </w:r>
      <w:r w:rsidRPr="00EC392B">
        <w:t>the Budgetary Process for Projects Proposed by the Committee on Development and Intellectual Property (CDIP) for the Implementation of the DA</w:t>
      </w:r>
      <w:r>
        <w:t> </w:t>
      </w:r>
      <w:r w:rsidRPr="00EC392B">
        <w:t>Recommendations, approved by the WIPO Assemblies in 2010</w:t>
      </w:r>
      <w:r>
        <w:rPr>
          <w:rStyle w:val="FootnoteReference"/>
        </w:rPr>
        <w:footnoteReference w:id="149"/>
      </w:r>
      <w:r w:rsidRPr="00812B04">
        <w:t xml:space="preserve">, the reporting on the DA </w:t>
      </w:r>
      <w:r>
        <w:t xml:space="preserve">continues to </w:t>
      </w:r>
      <w:r w:rsidRPr="00812B04">
        <w:t>include detailed reporting on both the implementation of DA projects and DA Recommendations.</w:t>
      </w:r>
    </w:p>
    <w:p w:rsidR="002E3A73" w:rsidRPr="00812B04" w:rsidRDefault="002E3A73" w:rsidP="002732EA">
      <w:pPr>
        <w:jc w:val="both"/>
      </w:pPr>
    </w:p>
    <w:p w:rsidR="002E3A73" w:rsidRPr="00812B04" w:rsidRDefault="002E3A73" w:rsidP="002732EA">
      <w:pPr>
        <w:autoSpaceDE w:val="0"/>
        <w:autoSpaceDN w:val="0"/>
        <w:adjustRightInd w:val="0"/>
        <w:jc w:val="both"/>
        <w:rPr>
          <w:i/>
          <w:iCs/>
        </w:rPr>
      </w:pPr>
      <w:r w:rsidRPr="00812B04">
        <w:rPr>
          <w:i/>
          <w:iCs/>
        </w:rPr>
        <w:t xml:space="preserve">Section II: </w:t>
      </w:r>
      <w:r>
        <w:rPr>
          <w:i/>
          <w:iCs/>
        </w:rPr>
        <w:t xml:space="preserve"> </w:t>
      </w:r>
      <w:r w:rsidRPr="00812B04">
        <w:rPr>
          <w:i/>
          <w:iCs/>
        </w:rPr>
        <w:t>Performance Data</w:t>
      </w:r>
    </w:p>
    <w:p w:rsidR="002E3A73" w:rsidRPr="00812B04" w:rsidRDefault="002E3A73" w:rsidP="002732EA">
      <w:pPr>
        <w:jc w:val="both"/>
      </w:pPr>
    </w:p>
    <w:p w:rsidR="002E3A73" w:rsidRDefault="002E3A73" w:rsidP="002732EA">
      <w:pPr>
        <w:jc w:val="both"/>
      </w:pPr>
      <w:r w:rsidRPr="00812B04">
        <w:t>The table in this section recapitulates the Expected Results to which the Program contributes and the Performance Indicators</w:t>
      </w:r>
      <w:r>
        <w:t>, which measure</w:t>
      </w:r>
      <w:r w:rsidRPr="00812B04">
        <w:t xml:space="preserve"> Programs’ contribution to the Results as approved by Member States in the Program and Budget 201</w:t>
      </w:r>
      <w:r>
        <w:t>4</w:t>
      </w:r>
      <w:r w:rsidRPr="00812B04">
        <w:t>/1</w:t>
      </w:r>
      <w:r>
        <w:t>5</w:t>
      </w:r>
      <w:r w:rsidRPr="00812B04">
        <w:t xml:space="preserve">. </w:t>
      </w:r>
      <w:r>
        <w:t xml:space="preserve"> </w:t>
      </w:r>
      <w:r w:rsidRPr="00812B04">
        <w:t xml:space="preserve">Baselines have been updated, as appropriate, to reflect </w:t>
      </w:r>
      <w:r>
        <w:t xml:space="preserve">the </w:t>
      </w:r>
      <w:r w:rsidRPr="00812B04">
        <w:t>status at the end of 201</w:t>
      </w:r>
      <w:r>
        <w:t>3</w:t>
      </w:r>
      <w:r w:rsidRPr="00812B04">
        <w:t xml:space="preserve">. </w:t>
      </w:r>
      <w:r>
        <w:t>T</w:t>
      </w:r>
      <w:r w:rsidRPr="00812B04">
        <w:t xml:space="preserve">he performance data tables </w:t>
      </w:r>
      <w:r>
        <w:t xml:space="preserve">continue </w:t>
      </w:r>
      <w:r w:rsidRPr="00812B04">
        <w:t>to reflect both the original baselines (as per the Program and Budget 201</w:t>
      </w:r>
      <w:r>
        <w:t>4</w:t>
      </w:r>
      <w:r w:rsidRPr="00812B04">
        <w:t>/1</w:t>
      </w:r>
      <w:r>
        <w:t>5</w:t>
      </w:r>
      <w:r w:rsidRPr="00812B04">
        <w:t>), the updated baselines (as per the end of 201</w:t>
      </w:r>
      <w:r>
        <w:t>3</w:t>
      </w:r>
      <w:r w:rsidRPr="00812B04">
        <w:t>), and targets (as per the Program and Budget 201</w:t>
      </w:r>
      <w:r>
        <w:t>4</w:t>
      </w:r>
      <w:r w:rsidRPr="00812B04">
        <w:t>/1</w:t>
      </w:r>
      <w:r>
        <w:t>5</w:t>
      </w:r>
      <w:r w:rsidRPr="00812B04">
        <w:t xml:space="preserve">) for comparability purposes in relation to the performance data and assessments. </w:t>
      </w:r>
      <w:r w:rsidRPr="00E54155">
        <w:t>In line with Member States’ requests, the tables have been further enhanced in 2014</w:t>
      </w:r>
      <w:r>
        <w:t>/15</w:t>
      </w:r>
      <w:r w:rsidRPr="00E54155">
        <w:t>.  Programs were provided an opportunity to define targets that had not been defined in the Program and Budget 2014/15, i.e. “tbd” targets</w:t>
      </w:r>
      <w:r>
        <w:t>, d</w:t>
      </w:r>
      <w:r w:rsidRPr="00E54155">
        <w:t>uring the baseline update exercise (launched in Jul</w:t>
      </w:r>
      <w:r>
        <w:t>y</w:t>
      </w:r>
      <w:r w:rsidRPr="00E54155">
        <w:t xml:space="preserve"> 2014),</w:t>
      </w:r>
      <w:r>
        <w:t xml:space="preserve"> </w:t>
      </w:r>
      <w:r w:rsidRPr="00E54155">
        <w:t>using the year-end 2013 data as the basis</w:t>
      </w:r>
      <w:r>
        <w:t xml:space="preserve">.  </w:t>
      </w:r>
      <w:r w:rsidRPr="00E54155">
        <w:t>Targets that were not defined during this process remain undefined, and performance data are consequently rated as “not assessable.”</w:t>
      </w:r>
      <w:r>
        <w:t xml:space="preserve">  </w:t>
      </w:r>
      <w:r w:rsidRPr="00812B04">
        <w:t xml:space="preserve">The performance data for </w:t>
      </w:r>
      <w:r>
        <w:t>2014/15</w:t>
      </w:r>
      <w:r w:rsidRPr="00812B04">
        <w:t xml:space="preserve"> in relation to each indicator is provided in the fourth column.  </w:t>
      </w:r>
      <w:r>
        <w:t>As a general rule, where performance data are measured by percentage changes (increases or decreases), u</w:t>
      </w:r>
      <w:r w:rsidRPr="00B31F2C">
        <w:t>nless otherwise indicated, the percentage changes are in comparison to the previous year, i.e. the percentage change in 2014 as compared to 2013, and the percentage change in 2015 as compared to 2014.</w:t>
      </w:r>
      <w:r>
        <w:t xml:space="preserve">  </w:t>
      </w:r>
      <w:r w:rsidRPr="00812B04">
        <w:t xml:space="preserve">The fifth column provides an assessment of performance using the “traffic light system”.  </w:t>
      </w:r>
    </w:p>
    <w:p w:rsidR="002E3A73" w:rsidRDefault="002E3A73" w:rsidP="002732EA">
      <w:pPr>
        <w:jc w:val="both"/>
      </w:pPr>
    </w:p>
    <w:p w:rsidR="002E3A73" w:rsidRDefault="002E3A73" w:rsidP="002732EA">
      <w:pPr>
        <w:autoSpaceDE w:val="0"/>
        <w:autoSpaceDN w:val="0"/>
        <w:adjustRightInd w:val="0"/>
        <w:jc w:val="both"/>
        <w:rPr>
          <w:i/>
          <w:iCs/>
        </w:rPr>
      </w:pPr>
      <w:r w:rsidRPr="00812B04">
        <w:rPr>
          <w:i/>
          <w:iCs/>
        </w:rPr>
        <w:t>Section II</w:t>
      </w:r>
      <w:r>
        <w:rPr>
          <w:i/>
          <w:iCs/>
        </w:rPr>
        <w:t>I</w:t>
      </w:r>
      <w:r w:rsidRPr="00812B04">
        <w:rPr>
          <w:i/>
          <w:iCs/>
        </w:rPr>
        <w:t xml:space="preserve">: </w:t>
      </w:r>
      <w:r>
        <w:rPr>
          <w:i/>
          <w:iCs/>
        </w:rPr>
        <w:t xml:space="preserve"> Risk Reporting for the Biennium</w:t>
      </w:r>
    </w:p>
    <w:p w:rsidR="002E3A73" w:rsidRPr="00264AAD" w:rsidRDefault="002E3A73">
      <w:pPr>
        <w:autoSpaceDE w:val="0"/>
        <w:autoSpaceDN w:val="0"/>
        <w:adjustRightInd w:val="0"/>
        <w:jc w:val="both"/>
        <w:rPr>
          <w:iCs/>
        </w:rPr>
      </w:pPr>
    </w:p>
    <w:p w:rsidR="002E3A73" w:rsidRPr="006D753E" w:rsidRDefault="002E3A73" w:rsidP="002732EA">
      <w:pPr>
        <w:jc w:val="both"/>
        <w:rPr>
          <w:szCs w:val="20"/>
        </w:rPr>
      </w:pPr>
      <w:r w:rsidRPr="00C807B2">
        <w:rPr>
          <w:szCs w:val="20"/>
        </w:rPr>
        <w:t>As part of WIPO’s commitment to strengthening its risk management, the PPR 2014/15 include</w:t>
      </w:r>
      <w:r>
        <w:rPr>
          <w:szCs w:val="20"/>
        </w:rPr>
        <w:t>s</w:t>
      </w:r>
      <w:r w:rsidRPr="00C807B2">
        <w:rPr>
          <w:szCs w:val="20"/>
        </w:rPr>
        <w:t xml:space="preserve">, for the first time, a dedicated section on </w:t>
      </w:r>
      <w:r w:rsidRPr="006D753E">
        <w:rPr>
          <w:i/>
          <w:szCs w:val="20"/>
        </w:rPr>
        <w:t>Risk Reporting for the Biennium</w:t>
      </w:r>
      <w:r w:rsidRPr="00C807B2">
        <w:rPr>
          <w:szCs w:val="20"/>
        </w:rPr>
        <w:t xml:space="preserve">.  </w:t>
      </w:r>
      <w:r>
        <w:rPr>
          <w:szCs w:val="20"/>
        </w:rPr>
        <w:t>The table contains four columns.  T</w:t>
      </w:r>
      <w:r w:rsidRPr="003334A2">
        <w:t>he first two columns</w:t>
      </w:r>
      <w:r>
        <w:t xml:space="preserve"> -  </w:t>
      </w:r>
      <w:r w:rsidRPr="006D753E">
        <w:rPr>
          <w:i/>
        </w:rPr>
        <w:t>Risk(s) to the Program achieving its Results</w:t>
      </w:r>
      <w:r w:rsidRPr="006D753E">
        <w:rPr>
          <w:rFonts w:cs="Arial"/>
          <w:b/>
          <w:bCs/>
          <w:sz w:val="16"/>
          <w:szCs w:val="16"/>
        </w:rPr>
        <w:t xml:space="preserve"> </w:t>
      </w:r>
      <w:r w:rsidRPr="006D753E">
        <w:t>and</w:t>
      </w:r>
      <w:r w:rsidRPr="006D753E">
        <w:rPr>
          <w:rFonts w:cs="Arial"/>
          <w:b/>
          <w:bCs/>
          <w:sz w:val="16"/>
          <w:szCs w:val="16"/>
        </w:rPr>
        <w:t xml:space="preserve"> </w:t>
      </w:r>
      <w:r w:rsidRPr="006D753E">
        <w:rPr>
          <w:i/>
        </w:rPr>
        <w:t xml:space="preserve">Mitigation plans in place or under implementation </w:t>
      </w:r>
      <w:r>
        <w:rPr>
          <w:i/>
        </w:rPr>
        <w:t>–</w:t>
      </w:r>
      <w:r w:rsidRPr="006D753E">
        <w:rPr>
          <w:i/>
        </w:rPr>
        <w:t xml:space="preserve"> </w:t>
      </w:r>
      <w:r w:rsidRPr="003334A2">
        <w:t>reflect</w:t>
      </w:r>
      <w:r>
        <w:t xml:space="preserve"> </w:t>
      </w:r>
      <w:r w:rsidRPr="003334A2">
        <w:t>the risks and mitigation strategies, respectively, as approved in the Program and Budget 2014/15</w:t>
      </w:r>
      <w:r>
        <w:t>.</w:t>
      </w:r>
      <w:r>
        <w:rPr>
          <w:szCs w:val="20"/>
        </w:rPr>
        <w:t xml:space="preserve">  </w:t>
      </w:r>
      <w:r>
        <w:t>T</w:t>
      </w:r>
      <w:r w:rsidRPr="003334A2">
        <w:t>he third column</w:t>
      </w:r>
      <w:r>
        <w:t xml:space="preserve"> - </w:t>
      </w:r>
      <w:r w:rsidRPr="006D753E">
        <w:rPr>
          <w:i/>
        </w:rPr>
        <w:t>Evolution of Risk(s) and Mitigation Strategy Over the</w:t>
      </w:r>
      <w:r>
        <w:rPr>
          <w:i/>
        </w:rPr>
        <w:t xml:space="preserve"> </w:t>
      </w:r>
      <w:r w:rsidRPr="006D753E">
        <w:rPr>
          <w:i/>
        </w:rPr>
        <w:t>Biennium</w:t>
      </w:r>
      <w:r>
        <w:rPr>
          <w:i/>
        </w:rPr>
        <w:t xml:space="preserve"> </w:t>
      </w:r>
      <w:r>
        <w:rPr>
          <w:i/>
        </w:rPr>
        <w:noBreakHyphen/>
        <w:t xml:space="preserve"> </w:t>
      </w:r>
      <w:r>
        <w:t xml:space="preserve">provides </w:t>
      </w:r>
      <w:r w:rsidRPr="003334A2">
        <w:t>the consequent evolution of the risk during the biennium, including whether the risk materialized, and the implementation of the mitigation strategies foreseen</w:t>
      </w:r>
      <w:r>
        <w:t xml:space="preserve"> or new ones added</w:t>
      </w:r>
      <w:r w:rsidRPr="003334A2">
        <w:t xml:space="preserve"> to address these risks</w:t>
      </w:r>
      <w:r>
        <w:t xml:space="preserve">.  The fourth column - </w:t>
      </w:r>
      <w:r w:rsidRPr="006D753E">
        <w:rPr>
          <w:i/>
        </w:rPr>
        <w:t>Impact on the Program’s Performance</w:t>
      </w:r>
      <w:r>
        <w:t xml:space="preserve"> - describes </w:t>
      </w:r>
      <w:r w:rsidRPr="003334A2">
        <w:t xml:space="preserve">the impact of the evolution of the risk and its mitigation strategy on the performance of the Program over the course of the biennium. </w:t>
      </w:r>
    </w:p>
    <w:p w:rsidR="002E3A73" w:rsidRDefault="002E3A73" w:rsidP="002732EA">
      <w:pPr>
        <w:jc w:val="both"/>
        <w:rPr>
          <w:szCs w:val="20"/>
        </w:rPr>
      </w:pPr>
    </w:p>
    <w:p w:rsidR="002E3A73" w:rsidRPr="00812B04" w:rsidRDefault="002E3A73" w:rsidP="002732EA">
      <w:pPr>
        <w:jc w:val="both"/>
        <w:rPr>
          <w:i/>
          <w:iCs/>
        </w:rPr>
      </w:pPr>
      <w:r w:rsidRPr="00812B04">
        <w:rPr>
          <w:i/>
          <w:iCs/>
        </w:rPr>
        <w:t xml:space="preserve">Section </w:t>
      </w:r>
      <w:r>
        <w:rPr>
          <w:i/>
          <w:iCs/>
        </w:rPr>
        <w:t>IV</w:t>
      </w:r>
      <w:r w:rsidRPr="00812B04">
        <w:rPr>
          <w:i/>
          <w:iCs/>
        </w:rPr>
        <w:t xml:space="preserve">: </w:t>
      </w:r>
      <w:r>
        <w:rPr>
          <w:i/>
          <w:iCs/>
        </w:rPr>
        <w:t>Resource Utilization</w:t>
      </w:r>
      <w:r w:rsidRPr="00812B04">
        <w:rPr>
          <w:i/>
          <w:iCs/>
        </w:rPr>
        <w:t xml:space="preserve"> for </w:t>
      </w:r>
      <w:r>
        <w:rPr>
          <w:i/>
          <w:iCs/>
        </w:rPr>
        <w:t>2014/15</w:t>
      </w:r>
    </w:p>
    <w:p w:rsidR="002E3A73" w:rsidRPr="00812B04" w:rsidRDefault="002E3A73" w:rsidP="002732EA">
      <w:pPr>
        <w:jc w:val="both"/>
      </w:pPr>
    </w:p>
    <w:p w:rsidR="002E3A73" w:rsidRPr="00812B04" w:rsidRDefault="002E3A73" w:rsidP="002732EA">
      <w:pPr>
        <w:tabs>
          <w:tab w:val="left" w:pos="851"/>
        </w:tabs>
        <w:jc w:val="both"/>
      </w:pPr>
      <w:r w:rsidRPr="00812B04">
        <w:t>The final section provides information on the Approved Budget 201</w:t>
      </w:r>
      <w:r>
        <w:t>4</w:t>
      </w:r>
      <w:r w:rsidRPr="00812B04">
        <w:t>/1</w:t>
      </w:r>
      <w:r>
        <w:t>5</w:t>
      </w:r>
      <w:r w:rsidRPr="00812B04">
        <w:t xml:space="preserve">, the </w:t>
      </w:r>
      <w:r>
        <w:t xml:space="preserve">Final </w:t>
      </w:r>
      <w:r w:rsidRPr="00812B04">
        <w:t>Budget after Transfers 201</w:t>
      </w:r>
      <w:r>
        <w:t>4</w:t>
      </w:r>
      <w:r w:rsidRPr="00812B04">
        <w:t>/1</w:t>
      </w:r>
      <w:r>
        <w:t>5</w:t>
      </w:r>
      <w:r w:rsidRPr="00812B04">
        <w:t xml:space="preserve">, </w:t>
      </w:r>
      <w:r>
        <w:t xml:space="preserve">and </w:t>
      </w:r>
      <w:r w:rsidRPr="00812B04">
        <w:t xml:space="preserve">actual expenditure and budget utilization in </w:t>
      </w:r>
      <w:r>
        <w:t>2014/15</w:t>
      </w:r>
      <w:r w:rsidRPr="00812B04">
        <w:t>.  The reporting in this section include</w:t>
      </w:r>
      <w:r>
        <w:t>s</w:t>
      </w:r>
      <w:r w:rsidRPr="00812B04">
        <w:t xml:space="preserve"> two tables:</w:t>
      </w:r>
    </w:p>
    <w:p w:rsidR="002E3A73" w:rsidRDefault="002E3A73" w:rsidP="002732EA">
      <w:pPr>
        <w:pStyle w:val="ListParagraph"/>
        <w:ind w:left="0"/>
        <w:jc w:val="both"/>
        <w:rPr>
          <w:rFonts w:cs="Arial"/>
          <w:lang w:eastAsia="ko-KR"/>
        </w:rPr>
      </w:pPr>
      <w:r w:rsidRPr="00812B04">
        <w:t xml:space="preserve">The </w:t>
      </w:r>
      <w:r w:rsidRPr="00812B04">
        <w:rPr>
          <w:i/>
        </w:rPr>
        <w:t xml:space="preserve">Budget and Actual Expenditure (by result) </w:t>
      </w:r>
      <w:r w:rsidRPr="00812B04">
        <w:t>provides</w:t>
      </w:r>
      <w:r>
        <w:t xml:space="preserve"> </w:t>
      </w:r>
      <w:r w:rsidRPr="00812B04">
        <w:t>information on the Approved Budget 201</w:t>
      </w:r>
      <w:r>
        <w:t>4</w:t>
      </w:r>
      <w:r w:rsidRPr="00812B04">
        <w:t>/1</w:t>
      </w:r>
      <w:r>
        <w:t>5</w:t>
      </w:r>
      <w:r w:rsidRPr="00812B04">
        <w:t xml:space="preserve">, the </w:t>
      </w:r>
      <w:r>
        <w:t xml:space="preserve">Final </w:t>
      </w:r>
      <w:r w:rsidRPr="00812B04">
        <w:t>Budget after Transfer</w:t>
      </w:r>
      <w:r>
        <w:t>s</w:t>
      </w:r>
      <w:r w:rsidRPr="00812B04">
        <w:t xml:space="preserve"> 2</w:t>
      </w:r>
      <w:r w:rsidRPr="00E54155">
        <w:t>014/15, and actual expenditure by Result for 2014</w:t>
      </w:r>
      <w:r>
        <w:t>/15</w:t>
      </w:r>
      <w:r w:rsidRPr="00E54155">
        <w:t xml:space="preserve">.  In 2014, the EPM planning system was enhanced to support the Organizational move to position level planning. </w:t>
      </w:r>
      <w:r w:rsidRPr="00E54155">
        <w:rPr>
          <w:rFonts w:cs="Arial"/>
          <w:lang w:eastAsia="ko-KR"/>
        </w:rPr>
        <w:t xml:space="preserve"> The adjustments across Results in the Budget after Transfers 2014/15 in Programs reflect this new and more accurate methodology for allocation of personnel resources.</w:t>
      </w:r>
      <w:r>
        <w:rPr>
          <w:rFonts w:cs="Arial"/>
          <w:lang w:eastAsia="ko-KR"/>
        </w:rPr>
        <w:t xml:space="preserve"> </w:t>
      </w:r>
    </w:p>
    <w:p w:rsidR="002E3A73" w:rsidRPr="00812B04" w:rsidRDefault="002E3A73" w:rsidP="002732EA">
      <w:pPr>
        <w:jc w:val="both"/>
      </w:pPr>
    </w:p>
    <w:p w:rsidR="002E3A73" w:rsidRDefault="002E3A73" w:rsidP="002732EA">
      <w:pPr>
        <w:autoSpaceDE w:val="0"/>
        <w:autoSpaceDN w:val="0"/>
        <w:adjustRightInd w:val="0"/>
        <w:jc w:val="both"/>
      </w:pPr>
      <w:r w:rsidRPr="00812B04">
        <w:t xml:space="preserve">The </w:t>
      </w:r>
      <w:r w:rsidRPr="00812B04">
        <w:rPr>
          <w:i/>
        </w:rPr>
        <w:t xml:space="preserve">Budget and Actual Expenditure (personnel and non-personnel resources) </w:t>
      </w:r>
      <w:r w:rsidRPr="00812B04">
        <w:t>provides information on the Approved Budget 201</w:t>
      </w:r>
      <w:r>
        <w:t>4</w:t>
      </w:r>
      <w:r w:rsidRPr="00812B04">
        <w:t>/1</w:t>
      </w:r>
      <w:r>
        <w:t>5</w:t>
      </w:r>
      <w:r w:rsidRPr="00812B04">
        <w:t xml:space="preserve">, the </w:t>
      </w:r>
      <w:r>
        <w:t xml:space="preserve">Final </w:t>
      </w:r>
      <w:r w:rsidRPr="00812B04">
        <w:t>Budget after Transfer</w:t>
      </w:r>
      <w:r>
        <w:t>s</w:t>
      </w:r>
      <w:r w:rsidRPr="00812B04">
        <w:t xml:space="preserve"> 201</w:t>
      </w:r>
      <w:r>
        <w:t>4</w:t>
      </w:r>
      <w:r w:rsidRPr="00812B04">
        <w:t>/1</w:t>
      </w:r>
      <w:r>
        <w:t>5,</w:t>
      </w:r>
      <w:r w:rsidRPr="00812B04">
        <w:t xml:space="preserve"> and actual expenditure </w:t>
      </w:r>
      <w:r>
        <w:t>2014/15 </w:t>
      </w:r>
      <w:r w:rsidRPr="00812B04">
        <w:t xml:space="preserve">(personnel and non-personnel).  Explanations are provided for the differences between the Approved Budget and </w:t>
      </w:r>
      <w:r>
        <w:t xml:space="preserve">Final </w:t>
      </w:r>
      <w:r w:rsidRPr="00812B04">
        <w:t>Budget after Transfer</w:t>
      </w:r>
      <w:r>
        <w:t>s</w:t>
      </w:r>
      <w:r w:rsidRPr="00812B04">
        <w:t>, as well as for budget utilization, taking into account both a Results view and a view of type of expenditure (personnel and non-personnel).</w:t>
      </w:r>
    </w:p>
    <w:p w:rsidR="002E3A73" w:rsidRDefault="002E3A73" w:rsidP="002732EA">
      <w:pPr>
        <w:autoSpaceDE w:val="0"/>
        <w:autoSpaceDN w:val="0"/>
        <w:adjustRightInd w:val="0"/>
        <w:jc w:val="both"/>
      </w:pPr>
    </w:p>
    <w:p w:rsidR="002E3A73" w:rsidRDefault="002E3A73" w:rsidP="002732EA">
      <w:pPr>
        <w:autoSpaceDE w:val="0"/>
        <w:autoSpaceDN w:val="0"/>
        <w:adjustRightInd w:val="0"/>
        <w:jc w:val="both"/>
      </w:pPr>
    </w:p>
    <w:p w:rsidR="002E3A73" w:rsidRPr="002E3A73" w:rsidRDefault="002E3A73" w:rsidP="002E3A73">
      <w:pPr>
        <w:pStyle w:val="Endofdocument-Annex"/>
        <w:rPr>
          <w:sz w:val="20"/>
        </w:rPr>
      </w:pPr>
      <w:r w:rsidRPr="002E3A73">
        <w:rPr>
          <w:sz w:val="20"/>
        </w:rPr>
        <w:t>[Appendix II follows]</w:t>
      </w:r>
    </w:p>
    <w:p w:rsidR="002E3A73" w:rsidRDefault="002E3A73" w:rsidP="008D1891"/>
    <w:p w:rsidR="008F2BDD" w:rsidRDefault="008F2BDD">
      <w:r>
        <w:br w:type="page"/>
      </w:r>
    </w:p>
    <w:p w:rsidR="0063033D" w:rsidRPr="004C6584" w:rsidRDefault="0063033D" w:rsidP="008D1891">
      <w:pPr>
        <w:autoSpaceDE w:val="0"/>
        <w:autoSpaceDN w:val="0"/>
        <w:adjustRightInd w:val="0"/>
        <w:jc w:val="right"/>
        <w:rPr>
          <w:rFonts w:eastAsiaTheme="minorHAnsi" w:cs="Arial"/>
          <w:sz w:val="16"/>
          <w:szCs w:val="16"/>
        </w:rPr>
      </w:pPr>
    </w:p>
    <w:p w:rsidR="0063033D" w:rsidRPr="00815ABB" w:rsidRDefault="0063033D" w:rsidP="00815ABB">
      <w:pPr>
        <w:pStyle w:val="Heading2"/>
        <w:ind w:left="0" w:firstLine="0"/>
        <w:rPr>
          <w:noProof/>
          <w:szCs w:val="20"/>
        </w:rPr>
      </w:pPr>
      <w:bookmarkStart w:id="118" w:name="_Toc454544506"/>
      <w:r w:rsidRPr="0063033D">
        <w:rPr>
          <w:bCs w:val="0"/>
          <w:szCs w:val="22"/>
          <w:lang w:eastAsia="zh-CN"/>
        </w:rPr>
        <w:t>APPENDIX II</w:t>
      </w:r>
      <w:r w:rsidR="00815ABB">
        <w:rPr>
          <w:bCs w:val="0"/>
          <w:szCs w:val="22"/>
          <w:lang w:eastAsia="zh-CN"/>
        </w:rPr>
        <w:t xml:space="preserve"> </w:t>
      </w:r>
      <w:r w:rsidR="006C404A">
        <w:rPr>
          <w:bCs w:val="0"/>
          <w:szCs w:val="22"/>
          <w:lang w:eastAsia="zh-CN"/>
        </w:rPr>
        <w:t xml:space="preserve">   </w:t>
      </w:r>
      <w:r w:rsidR="00815ABB">
        <w:rPr>
          <w:bCs w:val="0"/>
          <w:szCs w:val="22"/>
          <w:lang w:eastAsia="zh-CN"/>
        </w:rPr>
        <w:br/>
      </w:r>
      <w:r w:rsidR="00815ABB">
        <w:rPr>
          <w:b w:val="0"/>
          <w:bCs w:val="0"/>
          <w:szCs w:val="20"/>
        </w:rPr>
        <w:br/>
      </w:r>
      <w:r w:rsidRPr="00815ABB">
        <w:rPr>
          <w:bCs w:val="0"/>
          <w:szCs w:val="20"/>
        </w:rPr>
        <w:t>IMPLEMENTATION OF FUNDS-IN-TRUST 2014</w:t>
      </w:r>
      <w:r w:rsidR="001961B1">
        <w:rPr>
          <w:bCs w:val="0"/>
          <w:szCs w:val="20"/>
        </w:rPr>
        <w:t>/15</w:t>
      </w:r>
      <w:bookmarkEnd w:id="118"/>
    </w:p>
    <w:p w:rsidR="0063033D" w:rsidRDefault="0063033D" w:rsidP="008D1891">
      <w:pPr>
        <w:rPr>
          <w:rFonts w:cs="Arial"/>
          <w:noProof/>
        </w:rPr>
      </w:pPr>
    </w:p>
    <w:p w:rsidR="008355F0" w:rsidRDefault="008355F0" w:rsidP="003867F8">
      <w:pPr>
        <w:jc w:val="both"/>
        <w:rPr>
          <w:szCs w:val="20"/>
        </w:rPr>
      </w:pPr>
      <w:r w:rsidRPr="002B4DBC">
        <w:rPr>
          <w:szCs w:val="20"/>
        </w:rPr>
        <w:t xml:space="preserve">As part of </w:t>
      </w:r>
      <w:r>
        <w:rPr>
          <w:szCs w:val="20"/>
        </w:rPr>
        <w:t xml:space="preserve">the </w:t>
      </w:r>
      <w:r w:rsidRPr="002B4DBC">
        <w:rPr>
          <w:szCs w:val="20"/>
        </w:rPr>
        <w:t xml:space="preserve">efforts to enhance the integration of all activities under the results-based management framework </w:t>
      </w:r>
      <w:r>
        <w:rPr>
          <w:szCs w:val="20"/>
        </w:rPr>
        <w:t>of the Organization</w:t>
      </w:r>
      <w:r w:rsidRPr="002B4DBC">
        <w:rPr>
          <w:szCs w:val="20"/>
        </w:rPr>
        <w:t xml:space="preserve">, irrespective of the source of funds, </w:t>
      </w:r>
      <w:r>
        <w:rPr>
          <w:szCs w:val="20"/>
        </w:rPr>
        <w:t>t</w:t>
      </w:r>
      <w:r w:rsidRPr="002B4DBC">
        <w:rPr>
          <w:szCs w:val="20"/>
        </w:rPr>
        <w:t xml:space="preserve">his </w:t>
      </w:r>
      <w:r>
        <w:rPr>
          <w:szCs w:val="20"/>
        </w:rPr>
        <w:t>Appendix</w:t>
      </w:r>
      <w:r w:rsidRPr="002B4DBC">
        <w:rPr>
          <w:szCs w:val="20"/>
        </w:rPr>
        <w:t xml:space="preserve"> provides</w:t>
      </w:r>
      <w:r>
        <w:rPr>
          <w:szCs w:val="20"/>
        </w:rPr>
        <w:t xml:space="preserve"> an overview of activities implemented under the WIPO Funds-in-Trust (FITs).  At the same time, this report responds to a request by d</w:t>
      </w:r>
      <w:r w:rsidRPr="002B4DBC">
        <w:rPr>
          <w:szCs w:val="20"/>
        </w:rPr>
        <w:t xml:space="preserve">onors </w:t>
      </w:r>
      <w:r>
        <w:rPr>
          <w:szCs w:val="20"/>
        </w:rPr>
        <w:t>for</w:t>
      </w:r>
      <w:r w:rsidRPr="002B4DBC">
        <w:rPr>
          <w:szCs w:val="20"/>
        </w:rPr>
        <w:t xml:space="preserve"> a more comprehensive report </w:t>
      </w:r>
      <w:r>
        <w:rPr>
          <w:szCs w:val="20"/>
        </w:rPr>
        <w:t>on</w:t>
      </w:r>
      <w:r w:rsidRPr="002B4DBC">
        <w:rPr>
          <w:szCs w:val="20"/>
        </w:rPr>
        <w:t xml:space="preserve"> all </w:t>
      </w:r>
      <w:r>
        <w:rPr>
          <w:szCs w:val="20"/>
        </w:rPr>
        <w:t>FITs,</w:t>
      </w:r>
      <w:r w:rsidRPr="002B4DBC">
        <w:rPr>
          <w:szCs w:val="20"/>
        </w:rPr>
        <w:t xml:space="preserve"> including both programmatic and financial </w:t>
      </w:r>
      <w:r>
        <w:rPr>
          <w:szCs w:val="20"/>
        </w:rPr>
        <w:t>information</w:t>
      </w:r>
      <w:r w:rsidRPr="002B4DBC">
        <w:rPr>
          <w:szCs w:val="20"/>
        </w:rPr>
        <w:t xml:space="preserve">.  In order to streamline reporting, the FIT report </w:t>
      </w:r>
      <w:r>
        <w:rPr>
          <w:szCs w:val="20"/>
        </w:rPr>
        <w:t xml:space="preserve">is an integral part of the Program Performance Report, providing an annual view of activities implemented </w:t>
      </w:r>
      <w:r w:rsidRPr="003F05A4">
        <w:rPr>
          <w:szCs w:val="20"/>
        </w:rPr>
        <w:t>in 201</w:t>
      </w:r>
      <w:r>
        <w:rPr>
          <w:szCs w:val="20"/>
        </w:rPr>
        <w:t>5</w:t>
      </w:r>
      <w:r w:rsidRPr="003F05A4">
        <w:rPr>
          <w:szCs w:val="20"/>
        </w:rPr>
        <w:t>.</w:t>
      </w:r>
      <w:r>
        <w:rPr>
          <w:szCs w:val="20"/>
        </w:rPr>
        <w:t xml:space="preserve">  </w:t>
      </w:r>
      <w:r w:rsidRPr="003F05A4">
        <w:rPr>
          <w:szCs w:val="20"/>
        </w:rPr>
        <w:t xml:space="preserve">The next annual FIT report will be included in the PPR for </w:t>
      </w:r>
      <w:r>
        <w:rPr>
          <w:szCs w:val="20"/>
        </w:rPr>
        <w:t xml:space="preserve">2016.  This Appendix reports on the FITs listed in the table below and excludes the FITs for Junior Professional Officers (JPOs).   </w:t>
      </w:r>
    </w:p>
    <w:p w:rsidR="008355F0" w:rsidRDefault="008355F0" w:rsidP="003867F8">
      <w:pPr>
        <w:ind w:left="567"/>
        <w:jc w:val="center"/>
        <w:rPr>
          <w:rFonts w:cs="Arial"/>
          <w:noProof/>
        </w:rPr>
      </w:pPr>
    </w:p>
    <w:tbl>
      <w:tblPr>
        <w:tblpPr w:leftFromText="180" w:rightFromText="180" w:vertAnchor="page" w:horzAnchor="margin" w:tblpX="398" w:tblpY="4816"/>
        <w:tblW w:w="88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310"/>
        <w:gridCol w:w="4580"/>
      </w:tblGrid>
      <w:tr w:rsidR="008355F0" w:rsidRPr="00233A64" w:rsidTr="00E37059">
        <w:trPr>
          <w:trHeight w:val="293"/>
        </w:trPr>
        <w:tc>
          <w:tcPr>
            <w:tcW w:w="4310" w:type="dxa"/>
            <w:shd w:val="clear" w:color="auto" w:fill="C6D9F1" w:themeFill="text2" w:themeFillTint="33"/>
            <w:tcMar>
              <w:top w:w="57" w:type="dxa"/>
              <w:left w:w="57" w:type="dxa"/>
              <w:bottom w:w="57" w:type="dxa"/>
              <w:right w:w="57" w:type="dxa"/>
            </w:tcMar>
          </w:tcPr>
          <w:p w:rsidR="008355F0" w:rsidRPr="00233A64" w:rsidRDefault="008355F0" w:rsidP="003867F8">
            <w:pPr>
              <w:jc w:val="center"/>
              <w:rPr>
                <w:rFonts w:cs="Arial"/>
                <w:b/>
                <w:bCs/>
                <w:sz w:val="18"/>
                <w:szCs w:val="18"/>
              </w:rPr>
            </w:pPr>
            <w:r w:rsidRPr="00233A64">
              <w:rPr>
                <w:rFonts w:cs="Arial"/>
                <w:b/>
                <w:bCs/>
                <w:sz w:val="18"/>
                <w:szCs w:val="18"/>
              </w:rPr>
              <w:t>FUND-IN-TRUST</w:t>
            </w:r>
          </w:p>
        </w:tc>
        <w:tc>
          <w:tcPr>
            <w:tcW w:w="4580" w:type="dxa"/>
            <w:shd w:val="clear" w:color="auto" w:fill="C6D9F1" w:themeFill="text2" w:themeFillTint="33"/>
            <w:tcMar>
              <w:top w:w="57" w:type="dxa"/>
              <w:left w:w="57" w:type="dxa"/>
              <w:bottom w:w="57" w:type="dxa"/>
              <w:right w:w="57" w:type="dxa"/>
            </w:tcMar>
          </w:tcPr>
          <w:p w:rsidR="008355F0" w:rsidRPr="00233A64" w:rsidRDefault="008355F0" w:rsidP="003867F8">
            <w:pPr>
              <w:jc w:val="center"/>
              <w:rPr>
                <w:rFonts w:cs="Arial"/>
                <w:b/>
                <w:bCs/>
                <w:sz w:val="18"/>
                <w:szCs w:val="18"/>
              </w:rPr>
            </w:pPr>
            <w:r>
              <w:rPr>
                <w:rFonts w:cs="Arial"/>
                <w:b/>
                <w:bCs/>
                <w:sz w:val="18"/>
                <w:szCs w:val="18"/>
              </w:rPr>
              <w:t xml:space="preserve">IMPLEMENTING </w:t>
            </w:r>
            <w:r w:rsidRPr="00233A64">
              <w:rPr>
                <w:rFonts w:cs="Arial"/>
                <w:b/>
                <w:bCs/>
                <w:sz w:val="18"/>
                <w:szCs w:val="18"/>
              </w:rPr>
              <w:t>SECTOR</w:t>
            </w:r>
          </w:p>
        </w:tc>
      </w:tr>
      <w:tr w:rsidR="008355F0" w:rsidRPr="00233A64" w:rsidTr="003867F8">
        <w:tc>
          <w:tcPr>
            <w:tcW w:w="4310" w:type="dxa"/>
            <w:tcMar>
              <w:top w:w="57" w:type="dxa"/>
              <w:left w:w="57" w:type="dxa"/>
              <w:bottom w:w="57" w:type="dxa"/>
              <w:right w:w="57" w:type="dxa"/>
            </w:tcMar>
          </w:tcPr>
          <w:p w:rsidR="008355F0" w:rsidRPr="008F5032" w:rsidRDefault="008355F0" w:rsidP="003867F8">
            <w:pPr>
              <w:rPr>
                <w:rFonts w:cs="Arial"/>
                <w:sz w:val="18"/>
                <w:szCs w:val="18"/>
              </w:rPr>
            </w:pPr>
            <w:r w:rsidRPr="008F5032">
              <w:rPr>
                <w:rFonts w:cs="Arial"/>
                <w:sz w:val="18"/>
                <w:szCs w:val="18"/>
              </w:rPr>
              <w:t>Australia</w:t>
            </w:r>
          </w:p>
        </w:tc>
        <w:tc>
          <w:tcPr>
            <w:tcW w:w="4580" w:type="dxa"/>
            <w:tcMar>
              <w:top w:w="57" w:type="dxa"/>
              <w:left w:w="57" w:type="dxa"/>
              <w:bottom w:w="57" w:type="dxa"/>
              <w:right w:w="57" w:type="dxa"/>
            </w:tcMar>
          </w:tcPr>
          <w:p w:rsidR="008355F0" w:rsidRPr="00233A64" w:rsidRDefault="008355F0" w:rsidP="003867F8">
            <w:pPr>
              <w:rPr>
                <w:rFonts w:cs="Arial"/>
                <w:sz w:val="18"/>
                <w:szCs w:val="18"/>
              </w:rPr>
            </w:pPr>
            <w:r>
              <w:rPr>
                <w:rFonts w:cs="Arial"/>
                <w:sz w:val="18"/>
                <w:szCs w:val="18"/>
              </w:rPr>
              <w:t>Office of the Director General</w:t>
            </w:r>
          </w:p>
        </w:tc>
      </w:tr>
      <w:tr w:rsidR="008355F0" w:rsidRPr="00233A64" w:rsidTr="003867F8">
        <w:tc>
          <w:tcPr>
            <w:tcW w:w="4310" w:type="dxa"/>
            <w:tcMar>
              <w:top w:w="57" w:type="dxa"/>
              <w:left w:w="57" w:type="dxa"/>
              <w:bottom w:w="57" w:type="dxa"/>
              <w:right w:w="57" w:type="dxa"/>
            </w:tcMar>
          </w:tcPr>
          <w:p w:rsidR="008355F0" w:rsidRPr="00193DD5" w:rsidRDefault="008355F0" w:rsidP="003867F8">
            <w:pPr>
              <w:rPr>
                <w:rFonts w:cs="Arial"/>
                <w:sz w:val="18"/>
                <w:szCs w:val="18"/>
              </w:rPr>
            </w:pPr>
            <w:r w:rsidRPr="00193DD5">
              <w:rPr>
                <w:rFonts w:cs="Arial"/>
                <w:sz w:val="18"/>
                <w:szCs w:val="18"/>
              </w:rPr>
              <w:t>Brazil</w:t>
            </w:r>
          </w:p>
        </w:tc>
        <w:tc>
          <w:tcPr>
            <w:tcW w:w="4580" w:type="dxa"/>
            <w:tcMar>
              <w:top w:w="57" w:type="dxa"/>
              <w:left w:w="57" w:type="dxa"/>
              <w:bottom w:w="57" w:type="dxa"/>
              <w:right w:w="57" w:type="dxa"/>
            </w:tcMar>
          </w:tcPr>
          <w:p w:rsidR="008355F0" w:rsidRPr="00233A64" w:rsidRDefault="008355F0" w:rsidP="003867F8">
            <w:pPr>
              <w:rPr>
                <w:rFonts w:cs="Arial"/>
                <w:sz w:val="18"/>
                <w:szCs w:val="18"/>
              </w:rPr>
            </w:pPr>
            <w:r>
              <w:rPr>
                <w:rFonts w:cs="Arial"/>
                <w:sz w:val="18"/>
                <w:szCs w:val="18"/>
              </w:rPr>
              <w:t>Office of the Director General</w:t>
            </w:r>
          </w:p>
        </w:tc>
      </w:tr>
      <w:tr w:rsidR="008355F0" w:rsidRPr="00233A64" w:rsidTr="003867F8">
        <w:tc>
          <w:tcPr>
            <w:tcW w:w="4310" w:type="dxa"/>
            <w:tcMar>
              <w:top w:w="57" w:type="dxa"/>
              <w:left w:w="57" w:type="dxa"/>
              <w:bottom w:w="57" w:type="dxa"/>
              <w:right w:w="57" w:type="dxa"/>
            </w:tcMar>
            <w:vAlign w:val="center"/>
          </w:tcPr>
          <w:p w:rsidR="008355F0" w:rsidRPr="00193DD5" w:rsidRDefault="008355F0" w:rsidP="003867F8">
            <w:pPr>
              <w:rPr>
                <w:rFonts w:cs="Arial"/>
                <w:sz w:val="18"/>
                <w:szCs w:val="18"/>
              </w:rPr>
            </w:pPr>
            <w:r w:rsidRPr="00193DD5">
              <w:rPr>
                <w:rFonts w:cs="Arial"/>
                <w:sz w:val="18"/>
                <w:szCs w:val="18"/>
              </w:rPr>
              <w:t>Brazil South</w:t>
            </w:r>
          </w:p>
        </w:tc>
        <w:tc>
          <w:tcPr>
            <w:tcW w:w="4580" w:type="dxa"/>
            <w:tcMar>
              <w:top w:w="57" w:type="dxa"/>
              <w:left w:w="57" w:type="dxa"/>
              <w:bottom w:w="57" w:type="dxa"/>
              <w:right w:w="57" w:type="dxa"/>
            </w:tcMar>
            <w:vAlign w:val="center"/>
          </w:tcPr>
          <w:p w:rsidR="008355F0" w:rsidRPr="00233A64" w:rsidRDefault="008355F0" w:rsidP="003867F8">
            <w:pPr>
              <w:rPr>
                <w:rFonts w:cs="Arial"/>
                <w:sz w:val="18"/>
                <w:szCs w:val="18"/>
              </w:rPr>
            </w:pPr>
            <w:r>
              <w:rPr>
                <w:rFonts w:cs="Arial"/>
                <w:sz w:val="18"/>
                <w:szCs w:val="18"/>
              </w:rPr>
              <w:t>Office of the Director General</w:t>
            </w:r>
          </w:p>
        </w:tc>
      </w:tr>
      <w:tr w:rsidR="008355F0" w:rsidRPr="00233A64" w:rsidTr="003867F8">
        <w:tc>
          <w:tcPr>
            <w:tcW w:w="4310" w:type="dxa"/>
            <w:tcMar>
              <w:top w:w="57" w:type="dxa"/>
              <w:left w:w="57" w:type="dxa"/>
              <w:bottom w:w="57" w:type="dxa"/>
              <w:right w:w="57" w:type="dxa"/>
            </w:tcMar>
            <w:vAlign w:val="center"/>
          </w:tcPr>
          <w:p w:rsidR="008355F0" w:rsidRPr="00193DD5" w:rsidRDefault="008355F0" w:rsidP="003867F8">
            <w:pPr>
              <w:rPr>
                <w:rFonts w:cs="Arial"/>
                <w:sz w:val="18"/>
                <w:szCs w:val="18"/>
              </w:rPr>
            </w:pPr>
            <w:r>
              <w:rPr>
                <w:rFonts w:cs="Arial"/>
                <w:sz w:val="18"/>
                <w:szCs w:val="18"/>
              </w:rPr>
              <w:t>Brazil UNDP</w:t>
            </w:r>
          </w:p>
        </w:tc>
        <w:tc>
          <w:tcPr>
            <w:tcW w:w="4580" w:type="dxa"/>
            <w:tcMar>
              <w:top w:w="57" w:type="dxa"/>
              <w:left w:w="57" w:type="dxa"/>
              <w:bottom w:w="57" w:type="dxa"/>
              <w:right w:w="57" w:type="dxa"/>
            </w:tcMar>
            <w:vAlign w:val="center"/>
          </w:tcPr>
          <w:p w:rsidR="008355F0" w:rsidRPr="00233A64" w:rsidRDefault="008355F0" w:rsidP="003867F8">
            <w:pPr>
              <w:rPr>
                <w:rFonts w:cs="Arial"/>
                <w:sz w:val="18"/>
                <w:szCs w:val="18"/>
              </w:rPr>
            </w:pPr>
            <w:r>
              <w:rPr>
                <w:rFonts w:cs="Arial"/>
                <w:sz w:val="18"/>
                <w:szCs w:val="18"/>
              </w:rPr>
              <w:t>Office of the Director General</w:t>
            </w:r>
          </w:p>
        </w:tc>
      </w:tr>
      <w:tr w:rsidR="008355F0" w:rsidRPr="00233A64" w:rsidTr="003867F8">
        <w:tc>
          <w:tcPr>
            <w:tcW w:w="4310" w:type="dxa"/>
            <w:tcMar>
              <w:top w:w="57" w:type="dxa"/>
              <w:left w:w="57" w:type="dxa"/>
              <w:bottom w:w="57" w:type="dxa"/>
              <w:right w:w="57" w:type="dxa"/>
            </w:tcMar>
            <w:vAlign w:val="center"/>
          </w:tcPr>
          <w:p w:rsidR="008355F0" w:rsidRPr="00193DD5" w:rsidRDefault="008355F0" w:rsidP="003867F8">
            <w:pPr>
              <w:rPr>
                <w:rFonts w:cs="Arial"/>
                <w:sz w:val="18"/>
                <w:szCs w:val="18"/>
              </w:rPr>
            </w:pPr>
            <w:r w:rsidRPr="00193DD5">
              <w:rPr>
                <w:rFonts w:cs="Arial"/>
                <w:sz w:val="18"/>
                <w:szCs w:val="18"/>
              </w:rPr>
              <w:t>EU/Pakistan</w:t>
            </w:r>
          </w:p>
        </w:tc>
        <w:tc>
          <w:tcPr>
            <w:tcW w:w="4580" w:type="dxa"/>
            <w:tcMar>
              <w:top w:w="57" w:type="dxa"/>
              <w:left w:w="57" w:type="dxa"/>
              <w:bottom w:w="57" w:type="dxa"/>
              <w:right w:w="57" w:type="dxa"/>
            </w:tcMar>
            <w:vAlign w:val="center"/>
          </w:tcPr>
          <w:p w:rsidR="008355F0" w:rsidRDefault="008355F0" w:rsidP="003867F8">
            <w:pPr>
              <w:rPr>
                <w:rFonts w:cs="Arial"/>
                <w:sz w:val="18"/>
                <w:szCs w:val="18"/>
              </w:rPr>
            </w:pPr>
            <w:r w:rsidRPr="00233A64">
              <w:rPr>
                <w:rFonts w:cs="Arial"/>
                <w:sz w:val="18"/>
                <w:szCs w:val="18"/>
              </w:rPr>
              <w:t>Development Sector</w:t>
            </w:r>
          </w:p>
        </w:tc>
      </w:tr>
      <w:tr w:rsidR="008355F0" w:rsidRPr="00233A64" w:rsidTr="003867F8">
        <w:tc>
          <w:tcPr>
            <w:tcW w:w="4310" w:type="dxa"/>
            <w:tcMar>
              <w:top w:w="57" w:type="dxa"/>
              <w:left w:w="57" w:type="dxa"/>
              <w:bottom w:w="57" w:type="dxa"/>
              <w:right w:w="57" w:type="dxa"/>
            </w:tcMar>
          </w:tcPr>
          <w:p w:rsidR="008355F0" w:rsidRPr="00193DD5" w:rsidRDefault="008355F0" w:rsidP="003867F8">
            <w:pPr>
              <w:rPr>
                <w:rFonts w:cs="Arial"/>
                <w:sz w:val="18"/>
                <w:szCs w:val="18"/>
              </w:rPr>
            </w:pPr>
            <w:r w:rsidRPr="00193DD5">
              <w:rPr>
                <w:rFonts w:cs="Arial"/>
                <w:sz w:val="18"/>
                <w:szCs w:val="18"/>
              </w:rPr>
              <w:t xml:space="preserve">Finland Copyright </w:t>
            </w:r>
          </w:p>
        </w:tc>
        <w:tc>
          <w:tcPr>
            <w:tcW w:w="4580" w:type="dxa"/>
            <w:tcMar>
              <w:top w:w="57" w:type="dxa"/>
              <w:left w:w="57" w:type="dxa"/>
              <w:bottom w:w="57" w:type="dxa"/>
              <w:right w:w="57" w:type="dxa"/>
            </w:tcMar>
          </w:tcPr>
          <w:p w:rsidR="008355F0" w:rsidRPr="00233A64" w:rsidRDefault="008355F0" w:rsidP="003867F8">
            <w:pPr>
              <w:rPr>
                <w:rFonts w:cs="Arial"/>
                <w:sz w:val="18"/>
                <w:szCs w:val="18"/>
              </w:rPr>
            </w:pPr>
            <w:r w:rsidRPr="00233A64">
              <w:rPr>
                <w:rFonts w:cs="Arial"/>
                <w:sz w:val="18"/>
                <w:szCs w:val="18"/>
              </w:rPr>
              <w:t>Culture and Creative Industries Sector</w:t>
            </w:r>
          </w:p>
        </w:tc>
      </w:tr>
      <w:tr w:rsidR="008355F0" w:rsidRPr="00233A64" w:rsidTr="003867F8">
        <w:tc>
          <w:tcPr>
            <w:tcW w:w="4310" w:type="dxa"/>
            <w:tcMar>
              <w:top w:w="57" w:type="dxa"/>
              <w:left w:w="57" w:type="dxa"/>
              <w:bottom w:w="57" w:type="dxa"/>
              <w:right w:w="57" w:type="dxa"/>
            </w:tcMar>
          </w:tcPr>
          <w:p w:rsidR="008355F0" w:rsidRPr="00193DD5" w:rsidRDefault="008355F0" w:rsidP="003867F8">
            <w:pPr>
              <w:rPr>
                <w:rFonts w:cs="Arial"/>
                <w:sz w:val="18"/>
                <w:szCs w:val="18"/>
              </w:rPr>
            </w:pPr>
            <w:r w:rsidRPr="00193DD5">
              <w:rPr>
                <w:rFonts w:cs="Arial"/>
                <w:sz w:val="18"/>
                <w:szCs w:val="18"/>
              </w:rPr>
              <w:t>France IP</w:t>
            </w:r>
          </w:p>
        </w:tc>
        <w:tc>
          <w:tcPr>
            <w:tcW w:w="4580" w:type="dxa"/>
            <w:tcMar>
              <w:top w:w="57" w:type="dxa"/>
              <w:left w:w="57" w:type="dxa"/>
              <w:bottom w:w="57" w:type="dxa"/>
              <w:right w:w="57" w:type="dxa"/>
            </w:tcMar>
          </w:tcPr>
          <w:p w:rsidR="008355F0" w:rsidRPr="0064242E" w:rsidRDefault="008355F0" w:rsidP="003867F8">
            <w:pPr>
              <w:rPr>
                <w:rFonts w:cs="Arial"/>
                <w:sz w:val="18"/>
                <w:szCs w:val="18"/>
              </w:rPr>
            </w:pPr>
            <w:r w:rsidRPr="0064242E">
              <w:rPr>
                <w:rFonts w:cs="Arial"/>
                <w:sz w:val="18"/>
                <w:szCs w:val="18"/>
              </w:rPr>
              <w:t xml:space="preserve">Development Sector  </w:t>
            </w:r>
          </w:p>
        </w:tc>
      </w:tr>
      <w:tr w:rsidR="008355F0" w:rsidRPr="00233A64" w:rsidTr="003867F8">
        <w:tc>
          <w:tcPr>
            <w:tcW w:w="4310" w:type="dxa"/>
            <w:tcMar>
              <w:top w:w="57" w:type="dxa"/>
              <w:left w:w="57" w:type="dxa"/>
              <w:bottom w:w="57" w:type="dxa"/>
              <w:right w:w="57" w:type="dxa"/>
            </w:tcMar>
          </w:tcPr>
          <w:p w:rsidR="008355F0" w:rsidRPr="00193DD5" w:rsidRDefault="008355F0" w:rsidP="003867F8">
            <w:pPr>
              <w:rPr>
                <w:rFonts w:cs="Arial"/>
                <w:sz w:val="18"/>
                <w:szCs w:val="18"/>
              </w:rPr>
            </w:pPr>
            <w:r w:rsidRPr="00193DD5">
              <w:rPr>
                <w:rFonts w:cs="Arial"/>
                <w:sz w:val="18"/>
                <w:szCs w:val="18"/>
              </w:rPr>
              <w:t>Ibero-American Program for Industrial Property</w:t>
            </w:r>
          </w:p>
        </w:tc>
        <w:tc>
          <w:tcPr>
            <w:tcW w:w="4580" w:type="dxa"/>
            <w:tcMar>
              <w:top w:w="57" w:type="dxa"/>
              <w:left w:w="57" w:type="dxa"/>
              <w:bottom w:w="57" w:type="dxa"/>
              <w:right w:w="57" w:type="dxa"/>
            </w:tcMar>
          </w:tcPr>
          <w:p w:rsidR="008355F0" w:rsidRPr="00233A64" w:rsidRDefault="008355F0" w:rsidP="003867F8">
            <w:pPr>
              <w:rPr>
                <w:rFonts w:cs="Arial"/>
                <w:sz w:val="18"/>
                <w:szCs w:val="18"/>
              </w:rPr>
            </w:pPr>
            <w:r w:rsidRPr="00233A64">
              <w:rPr>
                <w:rFonts w:cs="Arial"/>
                <w:sz w:val="18"/>
                <w:szCs w:val="18"/>
              </w:rPr>
              <w:t>Development Sector</w:t>
            </w:r>
          </w:p>
        </w:tc>
      </w:tr>
      <w:tr w:rsidR="008355F0" w:rsidRPr="00233A64" w:rsidTr="003867F8">
        <w:tc>
          <w:tcPr>
            <w:tcW w:w="4310" w:type="dxa"/>
            <w:tcMar>
              <w:top w:w="57" w:type="dxa"/>
              <w:left w:w="57" w:type="dxa"/>
              <w:bottom w:w="57" w:type="dxa"/>
              <w:right w:w="57" w:type="dxa"/>
            </w:tcMar>
          </w:tcPr>
          <w:p w:rsidR="008355F0" w:rsidRPr="00193DD5" w:rsidRDefault="008355F0" w:rsidP="003867F8">
            <w:pPr>
              <w:rPr>
                <w:rFonts w:cs="Arial"/>
                <w:sz w:val="18"/>
                <w:szCs w:val="18"/>
              </w:rPr>
            </w:pPr>
            <w:r w:rsidRPr="00193DD5">
              <w:rPr>
                <w:rFonts w:cs="Arial"/>
                <w:sz w:val="18"/>
                <w:szCs w:val="18"/>
              </w:rPr>
              <w:t>Italy</w:t>
            </w:r>
          </w:p>
        </w:tc>
        <w:tc>
          <w:tcPr>
            <w:tcW w:w="4580" w:type="dxa"/>
            <w:tcMar>
              <w:top w:w="57" w:type="dxa"/>
              <w:left w:w="57" w:type="dxa"/>
              <w:bottom w:w="57" w:type="dxa"/>
              <w:right w:w="57" w:type="dxa"/>
            </w:tcMar>
          </w:tcPr>
          <w:p w:rsidR="008355F0" w:rsidRPr="00233A64" w:rsidRDefault="008355F0" w:rsidP="003867F8">
            <w:pPr>
              <w:rPr>
                <w:rFonts w:cs="Arial"/>
                <w:sz w:val="18"/>
                <w:szCs w:val="18"/>
              </w:rPr>
            </w:pPr>
            <w:r w:rsidRPr="00233A64">
              <w:rPr>
                <w:rFonts w:cs="Arial"/>
                <w:sz w:val="18"/>
                <w:szCs w:val="18"/>
              </w:rPr>
              <w:t>Development Sector</w:t>
            </w:r>
          </w:p>
        </w:tc>
      </w:tr>
      <w:tr w:rsidR="008355F0" w:rsidRPr="00233A64" w:rsidTr="003867F8">
        <w:tc>
          <w:tcPr>
            <w:tcW w:w="4310" w:type="dxa"/>
            <w:tcMar>
              <w:top w:w="57" w:type="dxa"/>
              <w:left w:w="57" w:type="dxa"/>
              <w:bottom w:w="57" w:type="dxa"/>
              <w:right w:w="57" w:type="dxa"/>
            </w:tcMar>
          </w:tcPr>
          <w:p w:rsidR="008355F0" w:rsidRPr="00193DD5" w:rsidRDefault="008355F0" w:rsidP="003867F8">
            <w:pPr>
              <w:rPr>
                <w:rFonts w:cs="Arial"/>
                <w:sz w:val="18"/>
                <w:szCs w:val="18"/>
              </w:rPr>
            </w:pPr>
            <w:r w:rsidRPr="00193DD5">
              <w:rPr>
                <w:rFonts w:cs="Arial"/>
                <w:sz w:val="18"/>
                <w:szCs w:val="18"/>
              </w:rPr>
              <w:t>Japan Copyright</w:t>
            </w:r>
          </w:p>
        </w:tc>
        <w:tc>
          <w:tcPr>
            <w:tcW w:w="4580" w:type="dxa"/>
            <w:tcMar>
              <w:top w:w="57" w:type="dxa"/>
              <w:left w:w="57" w:type="dxa"/>
              <w:bottom w:w="57" w:type="dxa"/>
              <w:right w:w="57" w:type="dxa"/>
            </w:tcMar>
          </w:tcPr>
          <w:p w:rsidR="008355F0" w:rsidRPr="00233A64" w:rsidRDefault="008355F0" w:rsidP="003867F8">
            <w:pPr>
              <w:rPr>
                <w:rFonts w:cs="Arial"/>
                <w:sz w:val="18"/>
                <w:szCs w:val="18"/>
              </w:rPr>
            </w:pPr>
            <w:r w:rsidRPr="00233A64">
              <w:rPr>
                <w:rFonts w:cs="Arial"/>
                <w:sz w:val="18"/>
                <w:szCs w:val="18"/>
              </w:rPr>
              <w:t>Culture and Creative Industries Sector</w:t>
            </w:r>
          </w:p>
        </w:tc>
      </w:tr>
      <w:tr w:rsidR="008355F0" w:rsidRPr="00233A64" w:rsidTr="003867F8">
        <w:tc>
          <w:tcPr>
            <w:tcW w:w="4310" w:type="dxa"/>
            <w:tcMar>
              <w:top w:w="57" w:type="dxa"/>
              <w:left w:w="57" w:type="dxa"/>
              <w:bottom w:w="57" w:type="dxa"/>
              <w:right w:w="57" w:type="dxa"/>
            </w:tcMar>
          </w:tcPr>
          <w:p w:rsidR="008355F0" w:rsidRPr="00193DD5" w:rsidRDefault="008355F0" w:rsidP="003867F8">
            <w:pPr>
              <w:rPr>
                <w:rFonts w:cs="Arial"/>
                <w:sz w:val="18"/>
                <w:szCs w:val="18"/>
              </w:rPr>
            </w:pPr>
            <w:r w:rsidRPr="00193DD5">
              <w:rPr>
                <w:rFonts w:cs="Arial"/>
                <w:sz w:val="18"/>
                <w:szCs w:val="18"/>
              </w:rPr>
              <w:t>Japan IP</w:t>
            </w:r>
          </w:p>
        </w:tc>
        <w:tc>
          <w:tcPr>
            <w:tcW w:w="4580" w:type="dxa"/>
            <w:tcMar>
              <w:top w:w="57" w:type="dxa"/>
              <w:left w:w="57" w:type="dxa"/>
              <w:bottom w:w="57" w:type="dxa"/>
              <w:right w:w="57" w:type="dxa"/>
            </w:tcMar>
          </w:tcPr>
          <w:p w:rsidR="008355F0" w:rsidRPr="00233A64" w:rsidRDefault="008355F0" w:rsidP="003867F8">
            <w:pPr>
              <w:rPr>
                <w:rFonts w:cs="Arial"/>
                <w:sz w:val="18"/>
                <w:szCs w:val="18"/>
              </w:rPr>
            </w:pPr>
            <w:r w:rsidRPr="00233A64">
              <w:rPr>
                <w:rFonts w:cs="Arial"/>
                <w:sz w:val="18"/>
                <w:szCs w:val="18"/>
              </w:rPr>
              <w:t>Development Sector</w:t>
            </w:r>
          </w:p>
        </w:tc>
      </w:tr>
      <w:tr w:rsidR="008355F0" w:rsidRPr="00233A64" w:rsidTr="003867F8">
        <w:tc>
          <w:tcPr>
            <w:tcW w:w="4310" w:type="dxa"/>
            <w:tcMar>
              <w:top w:w="57" w:type="dxa"/>
              <w:left w:w="57" w:type="dxa"/>
              <w:bottom w:w="57" w:type="dxa"/>
              <w:right w:w="57" w:type="dxa"/>
            </w:tcMar>
          </w:tcPr>
          <w:p w:rsidR="008355F0" w:rsidRPr="00193DD5" w:rsidRDefault="008355F0" w:rsidP="003867F8">
            <w:pPr>
              <w:rPr>
                <w:rFonts w:cs="Arial"/>
                <w:sz w:val="18"/>
                <w:szCs w:val="18"/>
              </w:rPr>
            </w:pPr>
            <w:r w:rsidRPr="00193DD5">
              <w:rPr>
                <w:rFonts w:cs="Arial"/>
                <w:sz w:val="18"/>
                <w:szCs w:val="18"/>
              </w:rPr>
              <w:t>Japan IP/Africa</w:t>
            </w:r>
          </w:p>
        </w:tc>
        <w:tc>
          <w:tcPr>
            <w:tcW w:w="4580" w:type="dxa"/>
            <w:tcMar>
              <w:top w:w="57" w:type="dxa"/>
              <w:left w:w="57" w:type="dxa"/>
              <w:bottom w:w="57" w:type="dxa"/>
              <w:right w:w="57" w:type="dxa"/>
            </w:tcMar>
          </w:tcPr>
          <w:p w:rsidR="008355F0" w:rsidRPr="00233A64" w:rsidRDefault="008355F0" w:rsidP="003867F8">
            <w:pPr>
              <w:rPr>
                <w:rFonts w:cs="Arial"/>
                <w:sz w:val="18"/>
                <w:szCs w:val="18"/>
              </w:rPr>
            </w:pPr>
            <w:r w:rsidRPr="00233A64">
              <w:rPr>
                <w:rFonts w:cs="Arial"/>
                <w:sz w:val="18"/>
                <w:szCs w:val="18"/>
              </w:rPr>
              <w:t>Development Sector</w:t>
            </w:r>
          </w:p>
        </w:tc>
      </w:tr>
      <w:tr w:rsidR="008355F0" w:rsidRPr="00233A64" w:rsidTr="003867F8">
        <w:tc>
          <w:tcPr>
            <w:tcW w:w="4310" w:type="dxa"/>
            <w:tcMar>
              <w:top w:w="57" w:type="dxa"/>
              <w:left w:w="57" w:type="dxa"/>
              <w:bottom w:w="57" w:type="dxa"/>
              <w:right w:w="57" w:type="dxa"/>
            </w:tcMar>
          </w:tcPr>
          <w:p w:rsidR="008355F0" w:rsidRPr="00193DD5" w:rsidRDefault="008355F0" w:rsidP="003867F8">
            <w:pPr>
              <w:rPr>
                <w:rFonts w:cs="Arial"/>
                <w:sz w:val="18"/>
                <w:szCs w:val="18"/>
              </w:rPr>
            </w:pPr>
            <w:r w:rsidRPr="00193DD5">
              <w:rPr>
                <w:rFonts w:cs="Arial"/>
                <w:sz w:val="18"/>
                <w:szCs w:val="18"/>
              </w:rPr>
              <w:t>Republic of Korea Building Respect for IP</w:t>
            </w:r>
          </w:p>
        </w:tc>
        <w:tc>
          <w:tcPr>
            <w:tcW w:w="4580" w:type="dxa"/>
            <w:tcMar>
              <w:top w:w="57" w:type="dxa"/>
              <w:left w:w="57" w:type="dxa"/>
              <w:bottom w:w="57" w:type="dxa"/>
              <w:right w:w="57" w:type="dxa"/>
            </w:tcMar>
          </w:tcPr>
          <w:p w:rsidR="008355F0" w:rsidRPr="00233A64" w:rsidRDefault="008355F0" w:rsidP="003867F8">
            <w:pPr>
              <w:rPr>
                <w:rFonts w:cs="Arial"/>
                <w:sz w:val="18"/>
                <w:szCs w:val="18"/>
              </w:rPr>
            </w:pPr>
            <w:r>
              <w:rPr>
                <w:rFonts w:cs="Arial"/>
                <w:sz w:val="18"/>
                <w:szCs w:val="18"/>
              </w:rPr>
              <w:t>Global Issues Sector</w:t>
            </w:r>
          </w:p>
        </w:tc>
      </w:tr>
      <w:tr w:rsidR="008355F0" w:rsidRPr="00233A64" w:rsidTr="003867F8">
        <w:tc>
          <w:tcPr>
            <w:tcW w:w="4310" w:type="dxa"/>
            <w:tcMar>
              <w:top w:w="57" w:type="dxa"/>
              <w:left w:w="57" w:type="dxa"/>
              <w:bottom w:w="57" w:type="dxa"/>
              <w:right w:w="57" w:type="dxa"/>
            </w:tcMar>
          </w:tcPr>
          <w:p w:rsidR="008355F0" w:rsidRPr="00193DD5" w:rsidRDefault="008355F0" w:rsidP="003867F8">
            <w:pPr>
              <w:rPr>
                <w:rFonts w:cs="Arial"/>
                <w:sz w:val="18"/>
                <w:szCs w:val="18"/>
              </w:rPr>
            </w:pPr>
            <w:r w:rsidRPr="00193DD5">
              <w:rPr>
                <w:rFonts w:cs="Arial"/>
                <w:sz w:val="18"/>
                <w:szCs w:val="18"/>
              </w:rPr>
              <w:t>Republic of Korea Copyright</w:t>
            </w:r>
          </w:p>
        </w:tc>
        <w:tc>
          <w:tcPr>
            <w:tcW w:w="4580" w:type="dxa"/>
            <w:tcMar>
              <w:top w:w="57" w:type="dxa"/>
              <w:left w:w="57" w:type="dxa"/>
              <w:bottom w:w="57" w:type="dxa"/>
              <w:right w:w="57" w:type="dxa"/>
            </w:tcMar>
          </w:tcPr>
          <w:p w:rsidR="008355F0" w:rsidRPr="00233A64" w:rsidRDefault="008355F0" w:rsidP="003867F8">
            <w:pPr>
              <w:rPr>
                <w:rFonts w:cs="Arial"/>
                <w:sz w:val="18"/>
                <w:szCs w:val="18"/>
              </w:rPr>
            </w:pPr>
            <w:r w:rsidRPr="00233A64">
              <w:rPr>
                <w:rFonts w:cs="Arial"/>
                <w:sz w:val="18"/>
                <w:szCs w:val="18"/>
              </w:rPr>
              <w:t>Culture and Creative Industries Sector</w:t>
            </w:r>
          </w:p>
        </w:tc>
      </w:tr>
      <w:tr w:rsidR="008355F0" w:rsidRPr="00233A64" w:rsidTr="003867F8">
        <w:tc>
          <w:tcPr>
            <w:tcW w:w="4310" w:type="dxa"/>
            <w:tcMar>
              <w:top w:w="57" w:type="dxa"/>
              <w:left w:w="57" w:type="dxa"/>
              <w:bottom w:w="57" w:type="dxa"/>
              <w:right w:w="57" w:type="dxa"/>
            </w:tcMar>
          </w:tcPr>
          <w:p w:rsidR="008355F0" w:rsidRPr="00193DD5" w:rsidRDefault="008355F0" w:rsidP="003867F8">
            <w:pPr>
              <w:rPr>
                <w:rFonts w:cs="Arial"/>
                <w:sz w:val="18"/>
                <w:szCs w:val="18"/>
              </w:rPr>
            </w:pPr>
            <w:r w:rsidRPr="00193DD5">
              <w:rPr>
                <w:rFonts w:cs="Arial"/>
                <w:sz w:val="18"/>
                <w:szCs w:val="18"/>
              </w:rPr>
              <w:t>Republic of Korea Education</w:t>
            </w:r>
          </w:p>
        </w:tc>
        <w:tc>
          <w:tcPr>
            <w:tcW w:w="4580" w:type="dxa"/>
            <w:tcMar>
              <w:top w:w="57" w:type="dxa"/>
              <w:left w:w="57" w:type="dxa"/>
              <w:bottom w:w="57" w:type="dxa"/>
              <w:right w:w="57" w:type="dxa"/>
            </w:tcMar>
          </w:tcPr>
          <w:p w:rsidR="008355F0" w:rsidRPr="00233A64" w:rsidRDefault="008355F0" w:rsidP="003867F8">
            <w:pPr>
              <w:rPr>
                <w:rFonts w:cs="Arial"/>
                <w:sz w:val="18"/>
                <w:szCs w:val="18"/>
              </w:rPr>
            </w:pPr>
            <w:r w:rsidRPr="00233A64">
              <w:rPr>
                <w:rFonts w:cs="Arial"/>
                <w:sz w:val="18"/>
                <w:szCs w:val="18"/>
              </w:rPr>
              <w:t>Development Sector</w:t>
            </w:r>
          </w:p>
        </w:tc>
      </w:tr>
      <w:tr w:rsidR="008355F0" w:rsidRPr="00233A64" w:rsidTr="003867F8">
        <w:trPr>
          <w:trHeight w:val="238"/>
        </w:trPr>
        <w:tc>
          <w:tcPr>
            <w:tcW w:w="4310" w:type="dxa"/>
            <w:tcMar>
              <w:top w:w="57" w:type="dxa"/>
              <w:left w:w="57" w:type="dxa"/>
              <w:bottom w:w="57" w:type="dxa"/>
              <w:right w:w="57" w:type="dxa"/>
            </w:tcMar>
          </w:tcPr>
          <w:p w:rsidR="008355F0" w:rsidRPr="00193DD5" w:rsidRDefault="008355F0" w:rsidP="003867F8">
            <w:pPr>
              <w:rPr>
                <w:rFonts w:cs="Arial"/>
                <w:sz w:val="18"/>
                <w:szCs w:val="18"/>
              </w:rPr>
            </w:pPr>
            <w:r w:rsidRPr="00193DD5">
              <w:rPr>
                <w:rFonts w:cs="Arial"/>
                <w:sz w:val="18"/>
                <w:szCs w:val="18"/>
              </w:rPr>
              <w:t>Republic of Korea IP</w:t>
            </w:r>
          </w:p>
        </w:tc>
        <w:tc>
          <w:tcPr>
            <w:tcW w:w="4580" w:type="dxa"/>
            <w:tcMar>
              <w:top w:w="57" w:type="dxa"/>
              <w:left w:w="57" w:type="dxa"/>
              <w:bottom w:w="57" w:type="dxa"/>
              <w:right w:w="57" w:type="dxa"/>
            </w:tcMar>
          </w:tcPr>
          <w:p w:rsidR="008355F0" w:rsidRPr="00233A64" w:rsidRDefault="008355F0" w:rsidP="003867F8">
            <w:pPr>
              <w:rPr>
                <w:rFonts w:cs="Arial"/>
                <w:sz w:val="18"/>
                <w:szCs w:val="18"/>
              </w:rPr>
            </w:pPr>
            <w:r w:rsidRPr="00233A64">
              <w:rPr>
                <w:rFonts w:cs="Arial"/>
                <w:sz w:val="18"/>
                <w:szCs w:val="18"/>
              </w:rPr>
              <w:t>Development Sector</w:t>
            </w:r>
          </w:p>
        </w:tc>
      </w:tr>
      <w:tr w:rsidR="008355F0" w:rsidRPr="00233A64" w:rsidTr="003867F8">
        <w:trPr>
          <w:trHeight w:val="238"/>
        </w:trPr>
        <w:tc>
          <w:tcPr>
            <w:tcW w:w="4310" w:type="dxa"/>
            <w:tcMar>
              <w:top w:w="57" w:type="dxa"/>
              <w:left w:w="57" w:type="dxa"/>
              <w:bottom w:w="57" w:type="dxa"/>
              <w:right w:w="57" w:type="dxa"/>
            </w:tcMar>
          </w:tcPr>
          <w:p w:rsidR="008355F0" w:rsidRPr="002408B4" w:rsidRDefault="008355F0" w:rsidP="003867F8">
            <w:pPr>
              <w:rPr>
                <w:rFonts w:cs="Arial"/>
                <w:sz w:val="18"/>
                <w:szCs w:val="18"/>
              </w:rPr>
            </w:pPr>
            <w:r w:rsidRPr="002408B4">
              <w:rPr>
                <w:rFonts w:cs="Arial"/>
                <w:sz w:val="18"/>
                <w:szCs w:val="18"/>
              </w:rPr>
              <w:t>Mexico</w:t>
            </w:r>
          </w:p>
        </w:tc>
        <w:tc>
          <w:tcPr>
            <w:tcW w:w="4580" w:type="dxa"/>
            <w:tcMar>
              <w:top w:w="57" w:type="dxa"/>
              <w:left w:w="57" w:type="dxa"/>
              <w:bottom w:w="57" w:type="dxa"/>
              <w:right w:w="57" w:type="dxa"/>
            </w:tcMar>
          </w:tcPr>
          <w:p w:rsidR="008355F0" w:rsidRPr="002408B4" w:rsidRDefault="008355F0" w:rsidP="003867F8">
            <w:pPr>
              <w:rPr>
                <w:rFonts w:cs="Arial"/>
                <w:sz w:val="18"/>
                <w:szCs w:val="18"/>
              </w:rPr>
            </w:pPr>
            <w:r w:rsidRPr="002408B4">
              <w:rPr>
                <w:rFonts w:cs="Arial"/>
                <w:sz w:val="18"/>
                <w:szCs w:val="18"/>
              </w:rPr>
              <w:t>Development Sector</w:t>
            </w:r>
          </w:p>
        </w:tc>
      </w:tr>
      <w:tr w:rsidR="008355F0" w:rsidRPr="00233A64" w:rsidTr="003867F8">
        <w:trPr>
          <w:trHeight w:val="238"/>
        </w:trPr>
        <w:tc>
          <w:tcPr>
            <w:tcW w:w="4310" w:type="dxa"/>
            <w:tcMar>
              <w:top w:w="57" w:type="dxa"/>
              <w:left w:w="57" w:type="dxa"/>
              <w:bottom w:w="57" w:type="dxa"/>
              <w:right w:w="57" w:type="dxa"/>
            </w:tcMar>
          </w:tcPr>
          <w:p w:rsidR="008355F0" w:rsidRPr="00193DD5" w:rsidRDefault="008355F0" w:rsidP="003867F8">
            <w:pPr>
              <w:rPr>
                <w:rFonts w:cs="Arial"/>
                <w:sz w:val="18"/>
                <w:szCs w:val="18"/>
              </w:rPr>
            </w:pPr>
            <w:r w:rsidRPr="00193DD5">
              <w:rPr>
                <w:rFonts w:cs="Arial"/>
                <w:sz w:val="18"/>
                <w:szCs w:val="18"/>
              </w:rPr>
              <w:t>Spain</w:t>
            </w:r>
          </w:p>
        </w:tc>
        <w:tc>
          <w:tcPr>
            <w:tcW w:w="4580" w:type="dxa"/>
            <w:tcMar>
              <w:top w:w="57" w:type="dxa"/>
              <w:left w:w="57" w:type="dxa"/>
              <w:bottom w:w="57" w:type="dxa"/>
              <w:right w:w="57" w:type="dxa"/>
            </w:tcMar>
          </w:tcPr>
          <w:p w:rsidR="008355F0" w:rsidRPr="00233A64" w:rsidRDefault="008355F0" w:rsidP="003867F8">
            <w:pPr>
              <w:rPr>
                <w:rFonts w:cs="Arial"/>
                <w:sz w:val="18"/>
                <w:szCs w:val="18"/>
              </w:rPr>
            </w:pPr>
            <w:r w:rsidRPr="00233A64">
              <w:rPr>
                <w:rFonts w:cs="Arial"/>
                <w:sz w:val="18"/>
                <w:szCs w:val="18"/>
              </w:rPr>
              <w:t>Development Sector</w:t>
            </w:r>
          </w:p>
        </w:tc>
      </w:tr>
      <w:tr w:rsidR="008355F0" w:rsidRPr="00233A64" w:rsidTr="003867F8">
        <w:trPr>
          <w:trHeight w:val="238"/>
        </w:trPr>
        <w:tc>
          <w:tcPr>
            <w:tcW w:w="4310" w:type="dxa"/>
            <w:tcMar>
              <w:top w:w="57" w:type="dxa"/>
              <w:left w:w="57" w:type="dxa"/>
              <w:bottom w:w="57" w:type="dxa"/>
              <w:right w:w="57" w:type="dxa"/>
            </w:tcMar>
          </w:tcPr>
          <w:p w:rsidR="008355F0" w:rsidRPr="00193DD5" w:rsidRDefault="008355F0" w:rsidP="003867F8">
            <w:pPr>
              <w:rPr>
                <w:rFonts w:cs="Arial"/>
                <w:sz w:val="18"/>
                <w:szCs w:val="18"/>
              </w:rPr>
            </w:pPr>
            <w:r w:rsidRPr="00193DD5">
              <w:rPr>
                <w:rFonts w:cs="Arial"/>
                <w:sz w:val="18"/>
                <w:szCs w:val="18"/>
              </w:rPr>
              <w:t>Uruguay</w:t>
            </w:r>
          </w:p>
        </w:tc>
        <w:tc>
          <w:tcPr>
            <w:tcW w:w="4580" w:type="dxa"/>
            <w:tcMar>
              <w:top w:w="57" w:type="dxa"/>
              <w:left w:w="57" w:type="dxa"/>
              <w:bottom w:w="57" w:type="dxa"/>
              <w:right w:w="57" w:type="dxa"/>
            </w:tcMar>
          </w:tcPr>
          <w:p w:rsidR="008355F0" w:rsidRPr="00233A64" w:rsidRDefault="008355F0" w:rsidP="003867F8">
            <w:pPr>
              <w:rPr>
                <w:rFonts w:cs="Arial"/>
                <w:sz w:val="18"/>
                <w:szCs w:val="18"/>
              </w:rPr>
            </w:pPr>
            <w:r w:rsidRPr="00233A64">
              <w:rPr>
                <w:rFonts w:cs="Arial"/>
                <w:sz w:val="18"/>
                <w:szCs w:val="18"/>
              </w:rPr>
              <w:t>Development Sector</w:t>
            </w:r>
          </w:p>
        </w:tc>
      </w:tr>
    </w:tbl>
    <w:p w:rsidR="008355F0" w:rsidRDefault="008355F0" w:rsidP="003867F8">
      <w:pPr>
        <w:rPr>
          <w:rFonts w:cs="Arial"/>
          <w:b/>
          <w:szCs w:val="20"/>
        </w:rPr>
      </w:pPr>
    </w:p>
    <w:p w:rsidR="008355F0" w:rsidRDefault="008355F0">
      <w:pPr>
        <w:spacing w:after="200" w:line="276" w:lineRule="auto"/>
        <w:rPr>
          <w:rFonts w:cs="Arial"/>
          <w:b/>
          <w:szCs w:val="20"/>
        </w:rPr>
      </w:pPr>
      <w:r>
        <w:rPr>
          <w:rFonts w:cs="Arial"/>
          <w:b/>
          <w:szCs w:val="20"/>
        </w:rPr>
        <w:br w:type="page"/>
      </w:r>
    </w:p>
    <w:p w:rsidR="008355F0" w:rsidRDefault="008355F0" w:rsidP="003867F8">
      <w:pPr>
        <w:rPr>
          <w:rFonts w:cs="Arial"/>
          <w:b/>
          <w:szCs w:val="20"/>
        </w:rPr>
      </w:pPr>
      <w:r>
        <w:rPr>
          <w:rFonts w:cs="Arial"/>
          <w:b/>
          <w:szCs w:val="20"/>
        </w:rPr>
        <w:t>AUSTRALIA</w:t>
      </w:r>
    </w:p>
    <w:p w:rsidR="008355F0" w:rsidRDefault="008355F0" w:rsidP="003867F8">
      <w:pPr>
        <w:rPr>
          <w:rFonts w:cs="Arial"/>
          <w:b/>
          <w:szCs w:val="20"/>
        </w:rPr>
      </w:pPr>
    </w:p>
    <w:tbl>
      <w:tblPr>
        <w:tblW w:w="9498" w:type="dxa"/>
        <w:tblInd w:w="10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43"/>
        <w:gridCol w:w="1135"/>
        <w:gridCol w:w="141"/>
        <w:gridCol w:w="1418"/>
        <w:gridCol w:w="283"/>
        <w:gridCol w:w="4678"/>
      </w:tblGrid>
      <w:tr w:rsidR="008355F0" w:rsidRPr="002B7DE5" w:rsidTr="00E92F85">
        <w:trPr>
          <w:cantSplit/>
        </w:trPr>
        <w:tc>
          <w:tcPr>
            <w:tcW w:w="9498" w:type="dxa"/>
            <w:gridSpan w:val="6"/>
            <w:tcBorders>
              <w:top w:val="single" w:sz="4" w:space="0" w:color="000000"/>
              <w:bottom w:val="single" w:sz="4" w:space="0" w:color="000000"/>
            </w:tcBorders>
            <w:shd w:val="clear" w:color="auto" w:fill="C6D9F1" w:themeFill="text2" w:themeFillTint="33"/>
            <w:vAlign w:val="center"/>
          </w:tcPr>
          <w:p w:rsidR="008355F0" w:rsidRPr="002B7DE5" w:rsidRDefault="008355F0" w:rsidP="003867F8">
            <w:pPr>
              <w:keepNext/>
              <w:keepLines/>
              <w:tabs>
                <w:tab w:val="left" w:pos="1740"/>
              </w:tabs>
              <w:spacing w:before="120" w:after="120"/>
              <w:ind w:left="1740" w:hanging="1740"/>
              <w:rPr>
                <w:rFonts w:cs="Arial"/>
                <w:b/>
                <w:bCs/>
                <w:sz w:val="16"/>
                <w:szCs w:val="16"/>
              </w:rPr>
            </w:pPr>
            <w:r w:rsidRPr="00774D44">
              <w:rPr>
                <w:rFonts w:cs="Arial"/>
                <w:b/>
                <w:bCs/>
                <w:color w:val="000000"/>
                <w:sz w:val="16"/>
                <w:szCs w:val="16"/>
              </w:rPr>
              <w:t>RESULT</w:t>
            </w:r>
            <w:r w:rsidRPr="002B7DE5">
              <w:rPr>
                <w:rFonts w:cs="Arial"/>
                <w:b/>
                <w:bCs/>
                <w:sz w:val="16"/>
                <w:szCs w:val="16"/>
              </w:rPr>
              <w:t>:</w:t>
            </w:r>
            <w:r w:rsidRPr="002B7DE5">
              <w:rPr>
                <w:rFonts w:cs="Arial"/>
                <w:b/>
                <w:bCs/>
                <w:sz w:val="16"/>
                <w:szCs w:val="16"/>
              </w:rPr>
              <w:tab/>
            </w:r>
            <w:r w:rsidRPr="009F377C">
              <w:rPr>
                <w:rFonts w:eastAsia="MS Mincho" w:cs="Arial"/>
                <w:bCs/>
                <w:color w:val="000000"/>
                <w:sz w:val="16"/>
                <w:szCs w:val="16"/>
                <w:lang w:val="en-AU" w:eastAsia="ja-JP" w:bidi="th-TH"/>
              </w:rPr>
              <w:t>II.1. Increased use of the PCT route for filing international patent applications</w:t>
            </w:r>
          </w:p>
        </w:tc>
      </w:tr>
      <w:tr w:rsidR="008355F0" w:rsidRPr="002B7DE5" w:rsidTr="00E92F85">
        <w:trPr>
          <w:cantSplit/>
        </w:trPr>
        <w:tc>
          <w:tcPr>
            <w:tcW w:w="1843" w:type="dxa"/>
            <w:tcBorders>
              <w:top w:val="single" w:sz="4" w:space="0" w:color="000000"/>
            </w:tcBorders>
            <w:vAlign w:val="center"/>
          </w:tcPr>
          <w:p w:rsidR="008355F0" w:rsidRPr="002B7DE5" w:rsidRDefault="008355F0" w:rsidP="003867F8">
            <w:pPr>
              <w:keepNext/>
              <w:keepLines/>
              <w:spacing w:before="60" w:after="60"/>
              <w:rPr>
                <w:rFonts w:cs="Arial"/>
                <w:b/>
                <w:bCs/>
                <w:sz w:val="16"/>
                <w:szCs w:val="16"/>
              </w:rPr>
            </w:pPr>
            <w:r w:rsidRPr="002B7DE5">
              <w:rPr>
                <w:rFonts w:cs="Arial"/>
                <w:b/>
                <w:bCs/>
                <w:sz w:val="16"/>
                <w:szCs w:val="16"/>
              </w:rPr>
              <w:t>Activity</w:t>
            </w:r>
          </w:p>
        </w:tc>
        <w:tc>
          <w:tcPr>
            <w:tcW w:w="1135" w:type="dxa"/>
            <w:tcBorders>
              <w:top w:val="single" w:sz="4" w:space="0" w:color="000000"/>
            </w:tcBorders>
            <w:shd w:val="clear" w:color="auto" w:fill="auto"/>
            <w:tcMar>
              <w:top w:w="110" w:type="dxa"/>
            </w:tcMar>
            <w:vAlign w:val="center"/>
          </w:tcPr>
          <w:p w:rsidR="008355F0" w:rsidRPr="002B7DE5" w:rsidRDefault="008355F0" w:rsidP="003867F8">
            <w:pPr>
              <w:keepNext/>
              <w:keepLines/>
              <w:spacing w:before="60" w:after="60"/>
              <w:rPr>
                <w:rFonts w:cs="Arial"/>
                <w:sz w:val="16"/>
                <w:szCs w:val="16"/>
              </w:rPr>
            </w:pPr>
            <w:r w:rsidRPr="002B7DE5">
              <w:rPr>
                <w:rFonts w:cs="Arial"/>
                <w:b/>
                <w:bCs/>
                <w:sz w:val="16"/>
                <w:szCs w:val="16"/>
              </w:rPr>
              <w:t>Date</w:t>
            </w:r>
          </w:p>
        </w:tc>
        <w:tc>
          <w:tcPr>
            <w:tcW w:w="1842" w:type="dxa"/>
            <w:gridSpan w:val="3"/>
            <w:tcBorders>
              <w:top w:val="single" w:sz="4" w:space="0" w:color="000000"/>
            </w:tcBorders>
            <w:shd w:val="clear" w:color="auto" w:fill="auto"/>
            <w:tcMar>
              <w:top w:w="110" w:type="dxa"/>
            </w:tcMar>
            <w:vAlign w:val="center"/>
          </w:tcPr>
          <w:p w:rsidR="008355F0" w:rsidRPr="002B7DE5" w:rsidRDefault="008355F0" w:rsidP="003867F8">
            <w:pPr>
              <w:keepNext/>
              <w:keepLines/>
              <w:spacing w:before="60" w:after="60"/>
              <w:rPr>
                <w:rFonts w:cs="Arial"/>
                <w:sz w:val="16"/>
                <w:szCs w:val="16"/>
              </w:rPr>
            </w:pPr>
            <w:r w:rsidRPr="002B7DE5">
              <w:rPr>
                <w:rFonts w:cs="Arial"/>
                <w:b/>
                <w:bCs/>
                <w:sz w:val="16"/>
                <w:szCs w:val="16"/>
              </w:rPr>
              <w:t>Host Country/</w:t>
            </w:r>
            <w:r w:rsidRPr="002B7DE5">
              <w:rPr>
                <w:rFonts w:cs="Arial"/>
                <w:b/>
                <w:bCs/>
                <w:sz w:val="16"/>
                <w:szCs w:val="16"/>
              </w:rPr>
              <w:br/>
              <w:t>Recipients</w:t>
            </w:r>
          </w:p>
        </w:tc>
        <w:tc>
          <w:tcPr>
            <w:tcW w:w="4678" w:type="dxa"/>
            <w:tcBorders>
              <w:top w:val="single" w:sz="4" w:space="0" w:color="000000"/>
            </w:tcBorders>
            <w:shd w:val="clear" w:color="auto" w:fill="FFFFFF"/>
            <w:tcMar>
              <w:top w:w="110" w:type="dxa"/>
            </w:tcMar>
            <w:vAlign w:val="center"/>
          </w:tcPr>
          <w:p w:rsidR="008355F0" w:rsidRPr="002B7DE5" w:rsidRDefault="008355F0" w:rsidP="003867F8">
            <w:pPr>
              <w:keepNext/>
              <w:keepLines/>
              <w:spacing w:before="60" w:after="60"/>
              <w:rPr>
                <w:rFonts w:cs="Arial"/>
                <w:sz w:val="16"/>
                <w:szCs w:val="16"/>
              </w:rPr>
            </w:pPr>
            <w:r w:rsidRPr="002B7DE5">
              <w:rPr>
                <w:rFonts w:cs="Arial"/>
                <w:b/>
                <w:bCs/>
                <w:sz w:val="16"/>
                <w:szCs w:val="16"/>
              </w:rPr>
              <w:t>Purpose(s)/Description(s)</w:t>
            </w:r>
          </w:p>
        </w:tc>
      </w:tr>
      <w:tr w:rsidR="008355F0" w:rsidRPr="00774D44" w:rsidTr="00E92F85">
        <w:trPr>
          <w:cantSplit/>
          <w:trHeight w:val="495"/>
        </w:trPr>
        <w:tc>
          <w:tcPr>
            <w:tcW w:w="1843" w:type="dxa"/>
          </w:tcPr>
          <w:p w:rsidR="008355F0" w:rsidRPr="006A324C" w:rsidRDefault="008355F0" w:rsidP="003867F8">
            <w:pPr>
              <w:autoSpaceDE w:val="0"/>
              <w:autoSpaceDN w:val="0"/>
              <w:adjustRightInd w:val="0"/>
              <w:spacing w:before="60" w:after="60"/>
              <w:rPr>
                <w:rFonts w:cs="Arial"/>
                <w:color w:val="000000"/>
                <w:sz w:val="16"/>
                <w:szCs w:val="16"/>
              </w:rPr>
            </w:pPr>
            <w:r w:rsidRPr="006A324C">
              <w:rPr>
                <w:sz w:val="16"/>
                <w:szCs w:val="16"/>
              </w:rPr>
              <w:t>PCT Roving Seminars for Universities</w:t>
            </w:r>
          </w:p>
        </w:tc>
        <w:tc>
          <w:tcPr>
            <w:tcW w:w="1135" w:type="dxa"/>
          </w:tcPr>
          <w:p w:rsidR="008355F0" w:rsidRPr="00466773" w:rsidRDefault="008355F0" w:rsidP="003867F8">
            <w:pPr>
              <w:autoSpaceDE w:val="0"/>
              <w:autoSpaceDN w:val="0"/>
              <w:adjustRightInd w:val="0"/>
              <w:spacing w:before="60" w:after="60"/>
              <w:rPr>
                <w:sz w:val="16"/>
                <w:szCs w:val="16"/>
              </w:rPr>
            </w:pPr>
            <w:r w:rsidRPr="006A324C">
              <w:rPr>
                <w:sz w:val="16"/>
                <w:szCs w:val="16"/>
              </w:rPr>
              <w:t>March 25 to 26, 2015</w:t>
            </w:r>
          </w:p>
        </w:tc>
        <w:tc>
          <w:tcPr>
            <w:tcW w:w="1842" w:type="dxa"/>
            <w:gridSpan w:val="3"/>
          </w:tcPr>
          <w:p w:rsidR="008355F0" w:rsidRPr="006A324C" w:rsidRDefault="008355F0" w:rsidP="003867F8">
            <w:pPr>
              <w:autoSpaceDE w:val="0"/>
              <w:autoSpaceDN w:val="0"/>
              <w:adjustRightInd w:val="0"/>
              <w:spacing w:before="60" w:after="60"/>
              <w:rPr>
                <w:rFonts w:cs="Arial"/>
                <w:color w:val="000000"/>
                <w:sz w:val="16"/>
                <w:szCs w:val="16"/>
              </w:rPr>
            </w:pPr>
            <w:r w:rsidRPr="006A324C">
              <w:rPr>
                <w:sz w:val="16"/>
                <w:szCs w:val="16"/>
              </w:rPr>
              <w:t>South Africa / 52</w:t>
            </w:r>
            <w:r>
              <w:rPr>
                <w:sz w:val="16"/>
                <w:szCs w:val="16"/>
              </w:rPr>
              <w:t xml:space="preserve"> participants</w:t>
            </w:r>
          </w:p>
        </w:tc>
        <w:tc>
          <w:tcPr>
            <w:tcW w:w="4678" w:type="dxa"/>
          </w:tcPr>
          <w:p w:rsidR="008355F0" w:rsidRPr="006A324C" w:rsidRDefault="008355F0" w:rsidP="003867F8">
            <w:pPr>
              <w:autoSpaceDE w:val="0"/>
              <w:autoSpaceDN w:val="0"/>
              <w:adjustRightInd w:val="0"/>
              <w:spacing w:before="60" w:after="60"/>
              <w:rPr>
                <w:rFonts w:cs="Arial"/>
                <w:color w:val="000000"/>
                <w:sz w:val="16"/>
                <w:szCs w:val="16"/>
              </w:rPr>
            </w:pPr>
            <w:r w:rsidRPr="006A324C">
              <w:rPr>
                <w:rFonts w:cs="Arial"/>
                <w:color w:val="000000"/>
                <w:sz w:val="16"/>
                <w:szCs w:val="16"/>
              </w:rPr>
              <w:t>The Seminars provided participants with kn</w:t>
            </w:r>
            <w:r>
              <w:rPr>
                <w:rFonts w:cs="Arial"/>
                <w:color w:val="000000"/>
                <w:sz w:val="16"/>
                <w:szCs w:val="16"/>
              </w:rPr>
              <w:t>owledge of how they can utilize</w:t>
            </w:r>
            <w:r w:rsidRPr="006A324C">
              <w:rPr>
                <w:rFonts w:cs="Arial"/>
                <w:color w:val="000000"/>
                <w:sz w:val="16"/>
                <w:szCs w:val="16"/>
              </w:rPr>
              <w:t xml:space="preserve"> the PCT and the </w:t>
            </w:r>
            <w:r>
              <w:rPr>
                <w:rFonts w:cs="Arial"/>
                <w:color w:val="000000"/>
                <w:sz w:val="16"/>
                <w:szCs w:val="16"/>
              </w:rPr>
              <w:t>i</w:t>
            </w:r>
            <w:r w:rsidRPr="006A324C">
              <w:rPr>
                <w:rFonts w:cs="Arial"/>
                <w:color w:val="000000"/>
                <w:sz w:val="16"/>
                <w:szCs w:val="16"/>
              </w:rPr>
              <w:t xml:space="preserve">nternational patent system in general for knowledge transfer, with real life examples.  </w:t>
            </w:r>
          </w:p>
        </w:tc>
      </w:tr>
      <w:tr w:rsidR="008355F0" w:rsidRPr="00774D44" w:rsidTr="00E92F85">
        <w:trPr>
          <w:cantSplit/>
          <w:trHeight w:val="495"/>
        </w:trPr>
        <w:tc>
          <w:tcPr>
            <w:tcW w:w="1843" w:type="dxa"/>
          </w:tcPr>
          <w:p w:rsidR="008355F0" w:rsidRPr="00774D44" w:rsidRDefault="008355F0" w:rsidP="003867F8">
            <w:pPr>
              <w:autoSpaceDE w:val="0"/>
              <w:autoSpaceDN w:val="0"/>
              <w:adjustRightInd w:val="0"/>
              <w:spacing w:before="60" w:after="60"/>
              <w:rPr>
                <w:rFonts w:cs="Arial"/>
                <w:color w:val="000000"/>
                <w:sz w:val="16"/>
                <w:szCs w:val="16"/>
              </w:rPr>
            </w:pPr>
            <w:r w:rsidRPr="006A324C">
              <w:rPr>
                <w:rFonts w:cs="Arial"/>
                <w:color w:val="000000"/>
                <w:sz w:val="16"/>
                <w:szCs w:val="16"/>
              </w:rPr>
              <w:t>Training on PCT and ePCT</w:t>
            </w:r>
            <w:r>
              <w:rPr>
                <w:rFonts w:cs="Arial"/>
                <w:color w:val="000000"/>
                <w:sz w:val="16"/>
                <w:szCs w:val="16"/>
              </w:rPr>
              <w:t xml:space="preserve"> for ASEAN countries</w:t>
            </w:r>
          </w:p>
        </w:tc>
        <w:tc>
          <w:tcPr>
            <w:tcW w:w="1135" w:type="dxa"/>
          </w:tcPr>
          <w:p w:rsidR="008355F0" w:rsidRPr="00774D44" w:rsidRDefault="008355F0" w:rsidP="003867F8">
            <w:pPr>
              <w:autoSpaceDE w:val="0"/>
              <w:autoSpaceDN w:val="0"/>
              <w:adjustRightInd w:val="0"/>
              <w:spacing w:before="60" w:after="60"/>
              <w:rPr>
                <w:rFonts w:cs="Arial"/>
                <w:color w:val="000000"/>
                <w:sz w:val="16"/>
                <w:szCs w:val="16"/>
              </w:rPr>
            </w:pPr>
            <w:r w:rsidRPr="006A324C">
              <w:rPr>
                <w:rFonts w:cs="Arial"/>
                <w:color w:val="000000"/>
                <w:sz w:val="16"/>
                <w:szCs w:val="16"/>
              </w:rPr>
              <w:t>March 24 to 25</w:t>
            </w:r>
            <w:r>
              <w:rPr>
                <w:rFonts w:cs="Arial"/>
                <w:color w:val="000000"/>
                <w:sz w:val="16"/>
                <w:szCs w:val="16"/>
              </w:rPr>
              <w:t>, 2015</w:t>
            </w:r>
          </w:p>
        </w:tc>
        <w:tc>
          <w:tcPr>
            <w:tcW w:w="1842" w:type="dxa"/>
            <w:gridSpan w:val="3"/>
          </w:tcPr>
          <w:p w:rsidR="008355F0" w:rsidRPr="00774D44" w:rsidRDefault="008355F0" w:rsidP="003867F8">
            <w:pPr>
              <w:autoSpaceDE w:val="0"/>
              <w:autoSpaceDN w:val="0"/>
              <w:adjustRightInd w:val="0"/>
              <w:spacing w:before="60" w:after="60"/>
              <w:rPr>
                <w:rFonts w:cs="Arial"/>
                <w:color w:val="000000"/>
                <w:sz w:val="16"/>
                <w:szCs w:val="16"/>
              </w:rPr>
            </w:pPr>
            <w:r w:rsidRPr="006A324C">
              <w:rPr>
                <w:rFonts w:cs="Arial"/>
                <w:color w:val="000000"/>
                <w:sz w:val="16"/>
                <w:szCs w:val="16"/>
              </w:rPr>
              <w:t>Singapore</w:t>
            </w:r>
            <w:r>
              <w:rPr>
                <w:rFonts w:cs="Arial"/>
                <w:color w:val="000000"/>
                <w:sz w:val="16"/>
                <w:szCs w:val="16"/>
              </w:rPr>
              <w:t xml:space="preserve">/ 18 participants from Brunei Darussalam, Cambodia, Indonesia, Lao </w:t>
            </w:r>
            <w:r w:rsidRPr="001C4AAB">
              <w:rPr>
                <w:rFonts w:cs="Arial"/>
                <w:color w:val="000000"/>
                <w:sz w:val="16"/>
                <w:szCs w:val="16"/>
              </w:rPr>
              <w:t>People's Democratic Republic</w:t>
            </w:r>
            <w:r>
              <w:rPr>
                <w:rFonts w:cs="Arial"/>
                <w:color w:val="000000"/>
                <w:sz w:val="16"/>
                <w:szCs w:val="16"/>
              </w:rPr>
              <w:t xml:space="preserve">, , Malaysia, Myanmar, Philippines, Thailand, Viet Nam  </w:t>
            </w:r>
          </w:p>
        </w:tc>
        <w:tc>
          <w:tcPr>
            <w:tcW w:w="4678" w:type="dxa"/>
          </w:tcPr>
          <w:p w:rsidR="008355F0" w:rsidRPr="00774D44" w:rsidRDefault="008355F0" w:rsidP="003867F8">
            <w:pPr>
              <w:autoSpaceDE w:val="0"/>
              <w:autoSpaceDN w:val="0"/>
              <w:adjustRightInd w:val="0"/>
              <w:spacing w:before="60" w:after="60"/>
              <w:rPr>
                <w:rFonts w:cs="Arial"/>
                <w:color w:val="000000"/>
                <w:sz w:val="16"/>
                <w:szCs w:val="16"/>
              </w:rPr>
            </w:pPr>
            <w:r w:rsidRPr="006A324C">
              <w:rPr>
                <w:rFonts w:cs="Arial"/>
                <w:color w:val="000000"/>
                <w:sz w:val="16"/>
                <w:szCs w:val="16"/>
              </w:rPr>
              <w:t>The training served to provide the key PCT and ePCT functions and procedures to be applied by these Offices.</w:t>
            </w:r>
            <w:r>
              <w:rPr>
                <w:rFonts w:cs="Arial"/>
                <w:color w:val="000000"/>
                <w:sz w:val="16"/>
                <w:szCs w:val="16"/>
              </w:rPr>
              <w:t xml:space="preserve"> </w:t>
            </w:r>
            <w:r w:rsidRPr="006A324C">
              <w:rPr>
                <w:rFonts w:cs="Arial"/>
                <w:color w:val="000000"/>
                <w:sz w:val="16"/>
                <w:szCs w:val="16"/>
              </w:rPr>
              <w:t xml:space="preserve"> It also provided valuable opportunity for the participants to exchange their experiences.</w:t>
            </w:r>
            <w:r>
              <w:rPr>
                <w:rFonts w:cs="Arial"/>
                <w:color w:val="000000"/>
                <w:sz w:val="16"/>
                <w:szCs w:val="16"/>
              </w:rPr>
              <w:t xml:space="preserve"> </w:t>
            </w:r>
            <w:r w:rsidRPr="006A324C">
              <w:rPr>
                <w:rFonts w:cs="Arial"/>
                <w:color w:val="000000"/>
                <w:sz w:val="16"/>
                <w:szCs w:val="16"/>
              </w:rPr>
              <w:t xml:space="preserve"> This sub-regional workshop was also a timely occasion to learn up-to-date PCT related issues especially ePCT.</w:t>
            </w:r>
          </w:p>
        </w:tc>
      </w:tr>
      <w:tr w:rsidR="008355F0" w:rsidRPr="002B7DE5" w:rsidTr="00E92F85">
        <w:trPr>
          <w:cantSplit/>
        </w:trPr>
        <w:tc>
          <w:tcPr>
            <w:tcW w:w="9498" w:type="dxa"/>
            <w:gridSpan w:val="6"/>
            <w:tcBorders>
              <w:top w:val="single" w:sz="4" w:space="0" w:color="000000"/>
              <w:bottom w:val="single" w:sz="4" w:space="0" w:color="000000"/>
            </w:tcBorders>
            <w:shd w:val="clear" w:color="auto" w:fill="C6D9F1" w:themeFill="text2" w:themeFillTint="33"/>
            <w:vAlign w:val="center"/>
          </w:tcPr>
          <w:p w:rsidR="008355F0" w:rsidRPr="00712F53" w:rsidRDefault="008355F0" w:rsidP="003867F8">
            <w:pPr>
              <w:keepNext/>
              <w:keepLines/>
              <w:tabs>
                <w:tab w:val="left" w:pos="1740"/>
              </w:tabs>
              <w:spacing w:before="120" w:after="120"/>
              <w:ind w:left="1741" w:hanging="1741"/>
              <w:rPr>
                <w:rFonts w:cs="Arial"/>
                <w:b/>
                <w:bCs/>
                <w:sz w:val="16"/>
                <w:szCs w:val="16"/>
                <w:lang w:val="en-AU"/>
              </w:rPr>
            </w:pPr>
            <w:r w:rsidRPr="00774D44">
              <w:rPr>
                <w:rFonts w:cs="Arial"/>
                <w:b/>
                <w:bCs/>
                <w:color w:val="000000"/>
                <w:sz w:val="16"/>
                <w:szCs w:val="16"/>
              </w:rPr>
              <w:t>RESULT</w:t>
            </w:r>
            <w:r w:rsidRPr="002B7DE5">
              <w:rPr>
                <w:rFonts w:cs="Arial"/>
                <w:b/>
                <w:bCs/>
                <w:sz w:val="16"/>
                <w:szCs w:val="16"/>
              </w:rPr>
              <w:t>:</w:t>
            </w:r>
            <w:r w:rsidRPr="002B7DE5">
              <w:rPr>
                <w:rFonts w:cs="Arial"/>
                <w:b/>
                <w:bCs/>
                <w:sz w:val="16"/>
                <w:szCs w:val="16"/>
              </w:rPr>
              <w:tab/>
            </w:r>
            <w:r w:rsidRPr="009F377C">
              <w:rPr>
                <w:rFonts w:cs="Arial"/>
                <w:bCs/>
                <w:sz w:val="16"/>
                <w:szCs w:val="16"/>
                <w:lang w:val="en-AU"/>
              </w:rPr>
              <w:t>III.1. National innovation and IP strategies and plans consistent with national development</w:t>
            </w:r>
          </w:p>
        </w:tc>
      </w:tr>
      <w:tr w:rsidR="008355F0" w:rsidRPr="002B7DE5" w:rsidTr="00E92F85">
        <w:trPr>
          <w:cantSplit/>
        </w:trPr>
        <w:tc>
          <w:tcPr>
            <w:tcW w:w="1843" w:type="dxa"/>
            <w:tcBorders>
              <w:top w:val="single" w:sz="4" w:space="0" w:color="000000"/>
            </w:tcBorders>
            <w:vAlign w:val="center"/>
          </w:tcPr>
          <w:p w:rsidR="008355F0" w:rsidRPr="002B7DE5" w:rsidRDefault="008355F0" w:rsidP="003867F8">
            <w:pPr>
              <w:keepNext/>
              <w:keepLines/>
              <w:spacing w:before="60" w:after="60"/>
              <w:rPr>
                <w:rFonts w:cs="Arial"/>
                <w:b/>
                <w:bCs/>
                <w:sz w:val="16"/>
                <w:szCs w:val="16"/>
              </w:rPr>
            </w:pPr>
            <w:r w:rsidRPr="002B7DE5">
              <w:rPr>
                <w:rFonts w:cs="Arial"/>
                <w:b/>
                <w:bCs/>
                <w:sz w:val="16"/>
                <w:szCs w:val="16"/>
              </w:rPr>
              <w:t>Activity</w:t>
            </w:r>
          </w:p>
        </w:tc>
        <w:tc>
          <w:tcPr>
            <w:tcW w:w="1135" w:type="dxa"/>
            <w:tcBorders>
              <w:top w:val="single" w:sz="4" w:space="0" w:color="000000"/>
            </w:tcBorders>
            <w:shd w:val="clear" w:color="auto" w:fill="auto"/>
            <w:tcMar>
              <w:top w:w="110" w:type="dxa"/>
            </w:tcMar>
            <w:vAlign w:val="center"/>
          </w:tcPr>
          <w:p w:rsidR="008355F0" w:rsidRPr="002B7DE5" w:rsidRDefault="008355F0" w:rsidP="003867F8">
            <w:pPr>
              <w:keepNext/>
              <w:keepLines/>
              <w:spacing w:before="60" w:after="60"/>
              <w:rPr>
                <w:rFonts w:cs="Arial"/>
                <w:sz w:val="16"/>
                <w:szCs w:val="16"/>
              </w:rPr>
            </w:pPr>
            <w:r w:rsidRPr="002B7DE5">
              <w:rPr>
                <w:rFonts w:cs="Arial"/>
                <w:b/>
                <w:bCs/>
                <w:sz w:val="16"/>
                <w:szCs w:val="16"/>
              </w:rPr>
              <w:t>Date</w:t>
            </w:r>
          </w:p>
        </w:tc>
        <w:tc>
          <w:tcPr>
            <w:tcW w:w="1842" w:type="dxa"/>
            <w:gridSpan w:val="3"/>
            <w:tcBorders>
              <w:top w:val="single" w:sz="4" w:space="0" w:color="000000"/>
            </w:tcBorders>
            <w:shd w:val="clear" w:color="auto" w:fill="auto"/>
            <w:tcMar>
              <w:top w:w="110" w:type="dxa"/>
            </w:tcMar>
            <w:vAlign w:val="center"/>
          </w:tcPr>
          <w:p w:rsidR="008355F0" w:rsidRPr="002B7DE5" w:rsidRDefault="008355F0" w:rsidP="003867F8">
            <w:pPr>
              <w:keepNext/>
              <w:keepLines/>
              <w:spacing w:before="60" w:after="60"/>
              <w:rPr>
                <w:rFonts w:cs="Arial"/>
                <w:sz w:val="16"/>
                <w:szCs w:val="16"/>
              </w:rPr>
            </w:pPr>
            <w:r w:rsidRPr="002B7DE5">
              <w:rPr>
                <w:rFonts w:cs="Arial"/>
                <w:b/>
                <w:bCs/>
                <w:sz w:val="16"/>
                <w:szCs w:val="16"/>
              </w:rPr>
              <w:t>Host Country/</w:t>
            </w:r>
            <w:r w:rsidRPr="002B7DE5">
              <w:rPr>
                <w:rFonts w:cs="Arial"/>
                <w:b/>
                <w:bCs/>
                <w:sz w:val="16"/>
                <w:szCs w:val="16"/>
              </w:rPr>
              <w:br/>
              <w:t>Recipients</w:t>
            </w:r>
          </w:p>
        </w:tc>
        <w:tc>
          <w:tcPr>
            <w:tcW w:w="4678" w:type="dxa"/>
            <w:tcBorders>
              <w:top w:val="single" w:sz="4" w:space="0" w:color="000000"/>
            </w:tcBorders>
            <w:shd w:val="clear" w:color="auto" w:fill="FFFFFF"/>
            <w:tcMar>
              <w:top w:w="110" w:type="dxa"/>
            </w:tcMar>
            <w:vAlign w:val="center"/>
          </w:tcPr>
          <w:p w:rsidR="008355F0" w:rsidRPr="002B7DE5" w:rsidRDefault="008355F0" w:rsidP="003867F8">
            <w:pPr>
              <w:keepNext/>
              <w:keepLines/>
              <w:spacing w:before="60" w:after="60"/>
              <w:rPr>
                <w:rFonts w:cs="Arial"/>
                <w:sz w:val="16"/>
                <w:szCs w:val="16"/>
              </w:rPr>
            </w:pPr>
            <w:r w:rsidRPr="002B7DE5">
              <w:rPr>
                <w:rFonts w:cs="Arial"/>
                <w:b/>
                <w:bCs/>
                <w:sz w:val="16"/>
                <w:szCs w:val="16"/>
              </w:rPr>
              <w:t>Purpose(s)/Description(s)</w:t>
            </w:r>
          </w:p>
        </w:tc>
      </w:tr>
      <w:tr w:rsidR="008355F0" w:rsidRPr="000514BA" w:rsidTr="00E92F85">
        <w:trPr>
          <w:cantSplit/>
          <w:trHeight w:val="473"/>
        </w:trPr>
        <w:tc>
          <w:tcPr>
            <w:tcW w:w="1843" w:type="dxa"/>
            <w:tcBorders>
              <w:bottom w:val="nil"/>
            </w:tcBorders>
          </w:tcPr>
          <w:p w:rsidR="008355F0" w:rsidRPr="002207E2" w:rsidRDefault="008355F0" w:rsidP="003867F8">
            <w:pPr>
              <w:autoSpaceDE w:val="0"/>
              <w:autoSpaceDN w:val="0"/>
              <w:adjustRightInd w:val="0"/>
              <w:spacing w:before="60" w:after="60"/>
              <w:rPr>
                <w:rFonts w:cs="Arial"/>
                <w:color w:val="000000"/>
                <w:sz w:val="16"/>
                <w:szCs w:val="16"/>
              </w:rPr>
            </w:pPr>
            <w:r>
              <w:rPr>
                <w:rFonts w:cs="Arial"/>
                <w:color w:val="000000"/>
                <w:sz w:val="16"/>
                <w:szCs w:val="16"/>
              </w:rPr>
              <w:t>National Consultation</w:t>
            </w:r>
            <w:r w:rsidRPr="002207E2">
              <w:rPr>
                <w:rFonts w:cs="Arial"/>
                <w:color w:val="000000"/>
                <w:sz w:val="16"/>
                <w:szCs w:val="16"/>
              </w:rPr>
              <w:t xml:space="preserve"> on </w:t>
            </w:r>
            <w:r>
              <w:rPr>
                <w:rFonts w:cs="Arial"/>
                <w:color w:val="000000"/>
                <w:sz w:val="16"/>
                <w:szCs w:val="16"/>
              </w:rPr>
              <w:t>the D</w:t>
            </w:r>
            <w:r w:rsidRPr="002207E2">
              <w:rPr>
                <w:rFonts w:cs="Arial"/>
                <w:color w:val="000000"/>
                <w:sz w:val="16"/>
                <w:szCs w:val="16"/>
              </w:rPr>
              <w:t xml:space="preserve">raft </w:t>
            </w:r>
            <w:r>
              <w:rPr>
                <w:rFonts w:cs="Arial"/>
                <w:color w:val="000000"/>
                <w:sz w:val="16"/>
                <w:szCs w:val="16"/>
              </w:rPr>
              <w:t xml:space="preserve">National </w:t>
            </w:r>
            <w:r w:rsidRPr="002207E2">
              <w:rPr>
                <w:rFonts w:cs="Arial"/>
                <w:color w:val="000000"/>
                <w:sz w:val="16"/>
                <w:szCs w:val="16"/>
              </w:rPr>
              <w:t xml:space="preserve">IP Strategy </w:t>
            </w:r>
          </w:p>
        </w:tc>
        <w:tc>
          <w:tcPr>
            <w:tcW w:w="1135" w:type="dxa"/>
            <w:tcBorders>
              <w:bottom w:val="nil"/>
            </w:tcBorders>
          </w:tcPr>
          <w:p w:rsidR="008355F0" w:rsidRPr="002207E2" w:rsidRDefault="008355F0" w:rsidP="003867F8">
            <w:pPr>
              <w:autoSpaceDE w:val="0"/>
              <w:autoSpaceDN w:val="0"/>
              <w:adjustRightInd w:val="0"/>
              <w:spacing w:before="60" w:after="60"/>
              <w:rPr>
                <w:rFonts w:cs="Arial"/>
                <w:color w:val="000000"/>
                <w:sz w:val="16"/>
                <w:szCs w:val="16"/>
              </w:rPr>
            </w:pPr>
            <w:r w:rsidRPr="002207E2">
              <w:rPr>
                <w:rFonts w:cs="Arial"/>
                <w:color w:val="000000"/>
                <w:sz w:val="16"/>
                <w:szCs w:val="16"/>
              </w:rPr>
              <w:t>April 9 and 10, 2015</w:t>
            </w:r>
          </w:p>
        </w:tc>
        <w:tc>
          <w:tcPr>
            <w:tcW w:w="1842" w:type="dxa"/>
            <w:gridSpan w:val="3"/>
            <w:tcBorders>
              <w:bottom w:val="nil"/>
            </w:tcBorders>
          </w:tcPr>
          <w:p w:rsidR="008355F0" w:rsidRPr="002207E2" w:rsidRDefault="008355F0" w:rsidP="003867F8">
            <w:pPr>
              <w:autoSpaceDE w:val="0"/>
              <w:autoSpaceDN w:val="0"/>
              <w:adjustRightInd w:val="0"/>
              <w:spacing w:before="60" w:after="60"/>
              <w:rPr>
                <w:rFonts w:cs="Arial"/>
                <w:color w:val="000000"/>
                <w:sz w:val="16"/>
                <w:szCs w:val="16"/>
              </w:rPr>
            </w:pPr>
            <w:r w:rsidRPr="002207E2">
              <w:rPr>
                <w:rFonts w:cs="Arial"/>
                <w:color w:val="000000"/>
                <w:sz w:val="16"/>
                <w:szCs w:val="16"/>
              </w:rPr>
              <w:t>Cook Islands</w:t>
            </w:r>
          </w:p>
        </w:tc>
        <w:tc>
          <w:tcPr>
            <w:tcW w:w="4678" w:type="dxa"/>
            <w:tcBorders>
              <w:bottom w:val="nil"/>
            </w:tcBorders>
          </w:tcPr>
          <w:p w:rsidR="008355F0" w:rsidRPr="000514BA" w:rsidRDefault="008355F0" w:rsidP="003867F8">
            <w:pPr>
              <w:autoSpaceDE w:val="0"/>
              <w:autoSpaceDN w:val="0"/>
              <w:adjustRightInd w:val="0"/>
              <w:spacing w:before="60" w:after="60"/>
              <w:rPr>
                <w:rFonts w:cs="Arial"/>
                <w:color w:val="000000"/>
                <w:sz w:val="16"/>
                <w:szCs w:val="16"/>
              </w:rPr>
            </w:pPr>
            <w:r w:rsidRPr="00CE424D">
              <w:rPr>
                <w:rFonts w:cs="Arial"/>
                <w:color w:val="000000"/>
                <w:sz w:val="16"/>
                <w:szCs w:val="16"/>
              </w:rPr>
              <w:t>To</w:t>
            </w:r>
            <w:r>
              <w:rPr>
                <w:rFonts w:cs="Arial"/>
                <w:color w:val="000000"/>
                <w:sz w:val="16"/>
                <w:szCs w:val="16"/>
              </w:rPr>
              <w:t xml:space="preserve"> meet with the main stakeholders to introduce and discuss in detail </w:t>
            </w:r>
            <w:r w:rsidRPr="00CE424D">
              <w:rPr>
                <w:rFonts w:cs="Arial"/>
                <w:color w:val="000000"/>
                <w:sz w:val="16"/>
                <w:szCs w:val="16"/>
              </w:rPr>
              <w:t>the draft National IP Strategy</w:t>
            </w:r>
            <w:r>
              <w:rPr>
                <w:rFonts w:cs="Arial"/>
                <w:color w:val="000000"/>
                <w:sz w:val="16"/>
                <w:szCs w:val="16"/>
              </w:rPr>
              <w:t>.  Based on the discussions held, a revised IP Strategy was then submitted to the Government for their approval.</w:t>
            </w:r>
          </w:p>
        </w:tc>
      </w:tr>
      <w:tr w:rsidR="008355F0" w:rsidRPr="000514BA" w:rsidTr="00E92F85">
        <w:trPr>
          <w:cantSplit/>
          <w:trHeight w:val="473"/>
        </w:trPr>
        <w:tc>
          <w:tcPr>
            <w:tcW w:w="1843" w:type="dxa"/>
            <w:tcBorders>
              <w:top w:val="nil"/>
              <w:bottom w:val="nil"/>
            </w:tcBorders>
          </w:tcPr>
          <w:p w:rsidR="008355F0" w:rsidRPr="002207E2" w:rsidRDefault="008355F0" w:rsidP="003867F8">
            <w:pPr>
              <w:autoSpaceDE w:val="0"/>
              <w:autoSpaceDN w:val="0"/>
              <w:adjustRightInd w:val="0"/>
              <w:spacing w:before="60" w:after="60"/>
              <w:rPr>
                <w:rFonts w:cs="Arial"/>
                <w:color w:val="000000"/>
                <w:sz w:val="16"/>
                <w:szCs w:val="16"/>
              </w:rPr>
            </w:pPr>
            <w:r w:rsidRPr="002207E2">
              <w:rPr>
                <w:rFonts w:cs="Arial"/>
                <w:color w:val="000000"/>
                <w:sz w:val="16"/>
                <w:szCs w:val="16"/>
              </w:rPr>
              <w:t xml:space="preserve">National Consultation on </w:t>
            </w:r>
            <w:r>
              <w:rPr>
                <w:rFonts w:cs="Arial"/>
                <w:color w:val="000000"/>
                <w:sz w:val="16"/>
                <w:szCs w:val="16"/>
              </w:rPr>
              <w:t>the D</w:t>
            </w:r>
            <w:r w:rsidRPr="002207E2">
              <w:rPr>
                <w:rFonts w:cs="Arial"/>
                <w:color w:val="000000"/>
                <w:sz w:val="16"/>
                <w:szCs w:val="16"/>
              </w:rPr>
              <w:t xml:space="preserve">raft </w:t>
            </w:r>
            <w:r>
              <w:rPr>
                <w:rFonts w:cs="Arial"/>
                <w:color w:val="000000"/>
                <w:sz w:val="16"/>
                <w:szCs w:val="16"/>
              </w:rPr>
              <w:t xml:space="preserve">National </w:t>
            </w:r>
            <w:r w:rsidRPr="002207E2">
              <w:rPr>
                <w:rFonts w:cs="Arial"/>
                <w:color w:val="000000"/>
                <w:sz w:val="16"/>
                <w:szCs w:val="16"/>
              </w:rPr>
              <w:t xml:space="preserve">IP Strategy </w:t>
            </w:r>
          </w:p>
        </w:tc>
        <w:tc>
          <w:tcPr>
            <w:tcW w:w="1135" w:type="dxa"/>
            <w:tcBorders>
              <w:top w:val="nil"/>
              <w:bottom w:val="nil"/>
            </w:tcBorders>
          </w:tcPr>
          <w:p w:rsidR="008355F0" w:rsidRPr="002207E2" w:rsidRDefault="008355F0" w:rsidP="003867F8">
            <w:pPr>
              <w:autoSpaceDE w:val="0"/>
              <w:autoSpaceDN w:val="0"/>
              <w:adjustRightInd w:val="0"/>
              <w:spacing w:before="60" w:after="60"/>
              <w:rPr>
                <w:rFonts w:cs="Arial"/>
                <w:color w:val="000000"/>
                <w:sz w:val="16"/>
                <w:szCs w:val="16"/>
              </w:rPr>
            </w:pPr>
            <w:r w:rsidRPr="002207E2">
              <w:rPr>
                <w:rFonts w:cs="Arial"/>
                <w:color w:val="000000"/>
                <w:sz w:val="16"/>
                <w:szCs w:val="16"/>
              </w:rPr>
              <w:t>April 14 to 16, 2015</w:t>
            </w:r>
          </w:p>
        </w:tc>
        <w:tc>
          <w:tcPr>
            <w:tcW w:w="1842" w:type="dxa"/>
            <w:gridSpan w:val="3"/>
            <w:tcBorders>
              <w:top w:val="nil"/>
              <w:bottom w:val="nil"/>
            </w:tcBorders>
          </w:tcPr>
          <w:p w:rsidR="008355F0" w:rsidRPr="002207E2" w:rsidRDefault="008355F0" w:rsidP="003867F8">
            <w:pPr>
              <w:autoSpaceDE w:val="0"/>
              <w:autoSpaceDN w:val="0"/>
              <w:adjustRightInd w:val="0"/>
              <w:spacing w:before="60" w:after="60"/>
              <w:rPr>
                <w:rFonts w:cs="Arial"/>
                <w:color w:val="000000"/>
                <w:sz w:val="16"/>
                <w:szCs w:val="16"/>
              </w:rPr>
            </w:pPr>
            <w:r w:rsidRPr="002207E2">
              <w:rPr>
                <w:rFonts w:cs="Arial"/>
                <w:color w:val="000000"/>
                <w:sz w:val="16"/>
                <w:szCs w:val="16"/>
              </w:rPr>
              <w:t>Solomon Islands</w:t>
            </w:r>
          </w:p>
        </w:tc>
        <w:tc>
          <w:tcPr>
            <w:tcW w:w="4678" w:type="dxa"/>
            <w:tcBorders>
              <w:top w:val="nil"/>
              <w:bottom w:val="nil"/>
            </w:tcBorders>
          </w:tcPr>
          <w:p w:rsidR="008355F0" w:rsidRPr="000514BA" w:rsidRDefault="008355F0" w:rsidP="003867F8">
            <w:pPr>
              <w:autoSpaceDE w:val="0"/>
              <w:autoSpaceDN w:val="0"/>
              <w:adjustRightInd w:val="0"/>
              <w:spacing w:before="60" w:after="60"/>
              <w:rPr>
                <w:rFonts w:cs="Arial"/>
                <w:color w:val="000000"/>
                <w:sz w:val="16"/>
                <w:szCs w:val="16"/>
              </w:rPr>
            </w:pPr>
            <w:r w:rsidRPr="00DC13CF">
              <w:rPr>
                <w:rFonts w:cs="Arial"/>
                <w:color w:val="000000"/>
                <w:sz w:val="16"/>
                <w:szCs w:val="16"/>
              </w:rPr>
              <w:t xml:space="preserve">To hold face-to-face consultations with the national stakeholders on the current draft of the National IP Strategy and make final revisions before a revised draft national IP Strategy is submitted to the Government for approval.   </w:t>
            </w:r>
            <w:r>
              <w:rPr>
                <w:rFonts w:cs="Arial"/>
                <w:color w:val="000000"/>
                <w:sz w:val="16"/>
                <w:szCs w:val="16"/>
              </w:rPr>
              <w:t xml:space="preserve">  </w:t>
            </w:r>
          </w:p>
        </w:tc>
      </w:tr>
      <w:tr w:rsidR="008355F0" w:rsidRPr="000514BA" w:rsidTr="00E92F85">
        <w:trPr>
          <w:cantSplit/>
          <w:trHeight w:val="473"/>
        </w:trPr>
        <w:tc>
          <w:tcPr>
            <w:tcW w:w="1843" w:type="dxa"/>
            <w:tcBorders>
              <w:top w:val="nil"/>
              <w:bottom w:val="single" w:sz="4" w:space="0" w:color="auto"/>
            </w:tcBorders>
          </w:tcPr>
          <w:p w:rsidR="008355F0" w:rsidRPr="002207E2" w:rsidRDefault="008355F0" w:rsidP="003867F8">
            <w:pPr>
              <w:autoSpaceDE w:val="0"/>
              <w:autoSpaceDN w:val="0"/>
              <w:adjustRightInd w:val="0"/>
              <w:spacing w:before="60" w:after="60"/>
              <w:rPr>
                <w:rFonts w:cs="Arial"/>
                <w:color w:val="000000"/>
                <w:sz w:val="16"/>
                <w:szCs w:val="16"/>
              </w:rPr>
            </w:pPr>
            <w:r w:rsidRPr="002207E2">
              <w:rPr>
                <w:rFonts w:cs="Arial"/>
                <w:color w:val="000000"/>
                <w:sz w:val="16"/>
                <w:szCs w:val="16"/>
              </w:rPr>
              <w:t xml:space="preserve">National Consultation Workshop for the Development of a National IP Strategy </w:t>
            </w:r>
          </w:p>
        </w:tc>
        <w:tc>
          <w:tcPr>
            <w:tcW w:w="1135" w:type="dxa"/>
            <w:tcBorders>
              <w:top w:val="nil"/>
              <w:bottom w:val="single" w:sz="4" w:space="0" w:color="auto"/>
            </w:tcBorders>
          </w:tcPr>
          <w:p w:rsidR="008355F0" w:rsidRPr="002207E2" w:rsidRDefault="008355F0" w:rsidP="003867F8">
            <w:pPr>
              <w:autoSpaceDE w:val="0"/>
              <w:autoSpaceDN w:val="0"/>
              <w:adjustRightInd w:val="0"/>
              <w:spacing w:before="60" w:after="60"/>
              <w:rPr>
                <w:rFonts w:cs="Arial"/>
                <w:color w:val="000000"/>
                <w:sz w:val="16"/>
                <w:szCs w:val="16"/>
              </w:rPr>
            </w:pPr>
            <w:r w:rsidRPr="002207E2">
              <w:rPr>
                <w:rFonts w:cs="Arial"/>
                <w:color w:val="000000"/>
                <w:sz w:val="16"/>
                <w:szCs w:val="16"/>
              </w:rPr>
              <w:t>February 13, 2015</w:t>
            </w:r>
          </w:p>
        </w:tc>
        <w:tc>
          <w:tcPr>
            <w:tcW w:w="1842" w:type="dxa"/>
            <w:gridSpan w:val="3"/>
            <w:tcBorders>
              <w:top w:val="nil"/>
              <w:bottom w:val="single" w:sz="4" w:space="0" w:color="auto"/>
            </w:tcBorders>
          </w:tcPr>
          <w:p w:rsidR="008355F0" w:rsidRPr="002207E2" w:rsidRDefault="008355F0" w:rsidP="003867F8">
            <w:pPr>
              <w:autoSpaceDE w:val="0"/>
              <w:autoSpaceDN w:val="0"/>
              <w:adjustRightInd w:val="0"/>
              <w:spacing w:before="60" w:after="60"/>
              <w:rPr>
                <w:rFonts w:cs="Arial"/>
                <w:color w:val="000000"/>
                <w:sz w:val="16"/>
                <w:szCs w:val="16"/>
              </w:rPr>
            </w:pPr>
            <w:r w:rsidRPr="002207E2">
              <w:rPr>
                <w:rFonts w:cs="Arial"/>
                <w:color w:val="000000"/>
                <w:sz w:val="16"/>
                <w:szCs w:val="16"/>
              </w:rPr>
              <w:t>Myanmar</w:t>
            </w:r>
          </w:p>
        </w:tc>
        <w:tc>
          <w:tcPr>
            <w:tcW w:w="4678" w:type="dxa"/>
            <w:tcBorders>
              <w:top w:val="nil"/>
              <w:bottom w:val="single" w:sz="4" w:space="0" w:color="auto"/>
            </w:tcBorders>
          </w:tcPr>
          <w:p w:rsidR="008355F0" w:rsidRPr="000514BA" w:rsidRDefault="008355F0" w:rsidP="003867F8">
            <w:pPr>
              <w:autoSpaceDE w:val="0"/>
              <w:autoSpaceDN w:val="0"/>
              <w:adjustRightInd w:val="0"/>
              <w:spacing w:before="60" w:after="60"/>
              <w:rPr>
                <w:rFonts w:cs="Arial"/>
                <w:color w:val="000000"/>
                <w:sz w:val="16"/>
                <w:szCs w:val="16"/>
              </w:rPr>
            </w:pPr>
            <w:r w:rsidRPr="00C6014E">
              <w:rPr>
                <w:rFonts w:cs="Arial"/>
                <w:color w:val="000000"/>
                <w:sz w:val="16"/>
                <w:szCs w:val="16"/>
              </w:rPr>
              <w:t xml:space="preserve">To </w:t>
            </w:r>
            <w:r w:rsidRPr="008F074F">
              <w:rPr>
                <w:rFonts w:cs="Arial"/>
                <w:color w:val="000000"/>
                <w:sz w:val="16"/>
                <w:szCs w:val="16"/>
              </w:rPr>
              <w:t>enhance the knowledge about the methodology and process of formulating and impl</w:t>
            </w:r>
            <w:r>
              <w:rPr>
                <w:rFonts w:cs="Arial"/>
                <w:color w:val="000000"/>
                <w:sz w:val="16"/>
                <w:szCs w:val="16"/>
              </w:rPr>
              <w:t>ementing a national IP strategy</w:t>
            </w:r>
            <w:r w:rsidRPr="008F074F">
              <w:rPr>
                <w:rFonts w:cs="Arial"/>
                <w:color w:val="000000"/>
                <w:sz w:val="16"/>
                <w:szCs w:val="16"/>
              </w:rPr>
              <w:t xml:space="preserve"> and</w:t>
            </w:r>
            <w:r>
              <w:rPr>
                <w:rFonts w:cs="Arial"/>
                <w:color w:val="000000"/>
                <w:sz w:val="16"/>
                <w:szCs w:val="16"/>
              </w:rPr>
              <w:t xml:space="preserve"> </w:t>
            </w:r>
            <w:r w:rsidRPr="008F074F">
              <w:rPr>
                <w:rFonts w:cs="Arial"/>
                <w:color w:val="000000"/>
                <w:sz w:val="16"/>
                <w:szCs w:val="16"/>
              </w:rPr>
              <w:t>discuss policy issues to be addressed by, and the possible elements to be incorporated in s</w:t>
            </w:r>
            <w:r>
              <w:rPr>
                <w:rFonts w:cs="Arial"/>
                <w:color w:val="000000"/>
                <w:sz w:val="16"/>
                <w:szCs w:val="16"/>
              </w:rPr>
              <w:t>uch a strategy</w:t>
            </w:r>
            <w:r w:rsidRPr="008F074F">
              <w:rPr>
                <w:rFonts w:cs="Arial"/>
                <w:color w:val="000000"/>
                <w:sz w:val="16"/>
                <w:szCs w:val="16"/>
              </w:rPr>
              <w:t>, taking into account the existing national developmental objectives and goals</w:t>
            </w:r>
            <w:r w:rsidRPr="00C6014E">
              <w:rPr>
                <w:rFonts w:cs="Arial"/>
                <w:color w:val="000000"/>
                <w:sz w:val="16"/>
                <w:szCs w:val="16"/>
              </w:rPr>
              <w:t>.</w:t>
            </w:r>
            <w:r>
              <w:rPr>
                <w:rFonts w:cs="Arial"/>
                <w:color w:val="000000"/>
                <w:sz w:val="16"/>
                <w:szCs w:val="16"/>
              </w:rPr>
              <w:t xml:space="preserve">  The National Consultation Workshop paved the way for the formulation process and the project team, consisting of two international consultants and one national expert, undertook comprehensive desk research, conducted a baseline survey and produced a report with preliminary findings, which in turn, served as a basis for further consultation meetings at the national level.</w:t>
            </w:r>
          </w:p>
        </w:tc>
      </w:tr>
      <w:tr w:rsidR="008355F0" w:rsidRPr="00774D44" w:rsidTr="00E92F85">
        <w:trPr>
          <w:cantSplit/>
          <w:trHeight w:val="315"/>
        </w:trPr>
        <w:tc>
          <w:tcPr>
            <w:tcW w:w="9498" w:type="dxa"/>
            <w:gridSpan w:val="6"/>
            <w:tcBorders>
              <w:top w:val="single" w:sz="4" w:space="0" w:color="auto"/>
              <w:bottom w:val="single" w:sz="4" w:space="0" w:color="000000"/>
            </w:tcBorders>
            <w:shd w:val="clear" w:color="auto" w:fill="C6D9F1" w:themeFill="text2" w:themeFillTint="33"/>
          </w:tcPr>
          <w:p w:rsidR="008355F0" w:rsidRPr="00774D44" w:rsidRDefault="008355F0" w:rsidP="003867F8">
            <w:pPr>
              <w:keepNext/>
              <w:keepLines/>
              <w:tabs>
                <w:tab w:val="left" w:pos="1740"/>
              </w:tabs>
              <w:spacing w:before="60" w:after="60"/>
              <w:ind w:left="1740" w:hanging="1740"/>
              <w:rPr>
                <w:rFonts w:cs="Arial"/>
                <w:color w:val="000000"/>
                <w:sz w:val="16"/>
                <w:szCs w:val="16"/>
              </w:rPr>
            </w:pPr>
            <w:r w:rsidRPr="00712F53">
              <w:rPr>
                <w:rFonts w:cs="Arial"/>
                <w:b/>
                <w:bCs/>
                <w:color w:val="000000"/>
                <w:sz w:val="16"/>
                <w:szCs w:val="16"/>
              </w:rPr>
              <w:t>RESULT</w:t>
            </w:r>
            <w:r w:rsidRPr="00712F53">
              <w:rPr>
                <w:rFonts w:cs="Arial"/>
                <w:bCs/>
                <w:sz w:val="16"/>
                <w:szCs w:val="16"/>
                <w:lang w:val="en-AU"/>
              </w:rPr>
              <w:t>:</w:t>
            </w:r>
            <w:r w:rsidRPr="00712F53">
              <w:rPr>
                <w:rFonts w:cs="Arial"/>
                <w:bCs/>
                <w:sz w:val="16"/>
                <w:szCs w:val="16"/>
                <w:lang w:val="en-AU"/>
              </w:rPr>
              <w:tab/>
            </w:r>
            <w:r w:rsidRPr="009F377C">
              <w:rPr>
                <w:rFonts w:cs="Arial"/>
                <w:bCs/>
                <w:sz w:val="16"/>
                <w:szCs w:val="16"/>
                <w:lang w:val="en-AU"/>
              </w:rPr>
              <w:t>III.2. Enhanced human resource capacities able to deal with the broad range of requirements for the effective use of IP for development in developing countries, LDCs and countries with economies in transition</w:t>
            </w:r>
          </w:p>
        </w:tc>
      </w:tr>
      <w:tr w:rsidR="008355F0" w:rsidRPr="00774D44" w:rsidTr="00E92F85">
        <w:trPr>
          <w:cantSplit/>
          <w:trHeight w:val="405"/>
        </w:trPr>
        <w:tc>
          <w:tcPr>
            <w:tcW w:w="1843" w:type="dxa"/>
            <w:tcBorders>
              <w:top w:val="single" w:sz="4" w:space="0" w:color="000000"/>
            </w:tcBorders>
            <w:vAlign w:val="center"/>
          </w:tcPr>
          <w:p w:rsidR="008355F0" w:rsidRPr="002B7DE5" w:rsidRDefault="008355F0" w:rsidP="003867F8">
            <w:pPr>
              <w:keepNext/>
              <w:keepLines/>
              <w:spacing w:before="60" w:after="60"/>
              <w:rPr>
                <w:rFonts w:cs="Arial"/>
                <w:b/>
                <w:bCs/>
                <w:sz w:val="16"/>
                <w:szCs w:val="16"/>
              </w:rPr>
            </w:pPr>
            <w:r w:rsidRPr="002B7DE5">
              <w:rPr>
                <w:rFonts w:cs="Arial"/>
                <w:b/>
                <w:bCs/>
                <w:sz w:val="16"/>
                <w:szCs w:val="16"/>
              </w:rPr>
              <w:t>Activity</w:t>
            </w:r>
          </w:p>
        </w:tc>
        <w:tc>
          <w:tcPr>
            <w:tcW w:w="1276" w:type="dxa"/>
            <w:gridSpan w:val="2"/>
            <w:tcBorders>
              <w:top w:val="single" w:sz="4" w:space="0" w:color="000000"/>
            </w:tcBorders>
            <w:vAlign w:val="center"/>
          </w:tcPr>
          <w:p w:rsidR="008355F0" w:rsidRPr="002B7DE5" w:rsidRDefault="008355F0" w:rsidP="003867F8">
            <w:pPr>
              <w:spacing w:before="60" w:after="60"/>
              <w:rPr>
                <w:rFonts w:cs="Arial"/>
                <w:sz w:val="16"/>
                <w:szCs w:val="16"/>
              </w:rPr>
            </w:pPr>
            <w:r w:rsidRPr="002B7DE5">
              <w:rPr>
                <w:rFonts w:cs="Arial"/>
                <w:b/>
                <w:bCs/>
                <w:sz w:val="16"/>
                <w:szCs w:val="16"/>
              </w:rPr>
              <w:t>Date</w:t>
            </w:r>
          </w:p>
        </w:tc>
        <w:tc>
          <w:tcPr>
            <w:tcW w:w="1701" w:type="dxa"/>
            <w:gridSpan w:val="2"/>
            <w:tcBorders>
              <w:top w:val="single" w:sz="4" w:space="0" w:color="000000"/>
            </w:tcBorders>
            <w:vAlign w:val="center"/>
          </w:tcPr>
          <w:p w:rsidR="008355F0" w:rsidRPr="002B7DE5" w:rsidRDefault="008355F0" w:rsidP="003867F8">
            <w:pPr>
              <w:spacing w:before="60" w:after="60"/>
              <w:rPr>
                <w:rFonts w:cs="Arial"/>
                <w:sz w:val="16"/>
                <w:szCs w:val="16"/>
              </w:rPr>
            </w:pPr>
            <w:r w:rsidRPr="002B7DE5">
              <w:rPr>
                <w:rFonts w:cs="Arial"/>
                <w:b/>
                <w:bCs/>
                <w:sz w:val="16"/>
                <w:szCs w:val="16"/>
              </w:rPr>
              <w:t>Host Country/</w:t>
            </w:r>
            <w:r w:rsidRPr="002B7DE5">
              <w:rPr>
                <w:rFonts w:cs="Arial"/>
                <w:b/>
                <w:bCs/>
                <w:sz w:val="16"/>
                <w:szCs w:val="16"/>
              </w:rPr>
              <w:br/>
              <w:t>Recipients</w:t>
            </w:r>
          </w:p>
        </w:tc>
        <w:tc>
          <w:tcPr>
            <w:tcW w:w="4678" w:type="dxa"/>
            <w:tcBorders>
              <w:top w:val="single" w:sz="4" w:space="0" w:color="000000"/>
            </w:tcBorders>
            <w:vAlign w:val="center"/>
          </w:tcPr>
          <w:p w:rsidR="008355F0" w:rsidRPr="002B7DE5" w:rsidRDefault="008355F0" w:rsidP="003867F8">
            <w:pPr>
              <w:spacing w:before="60" w:after="60"/>
              <w:rPr>
                <w:rFonts w:cs="Arial"/>
                <w:sz w:val="16"/>
                <w:szCs w:val="16"/>
              </w:rPr>
            </w:pPr>
            <w:r w:rsidRPr="002B7DE5">
              <w:rPr>
                <w:rFonts w:cs="Arial"/>
                <w:b/>
                <w:bCs/>
                <w:sz w:val="16"/>
                <w:szCs w:val="16"/>
              </w:rPr>
              <w:t>Purpose(s)/Description(s)</w:t>
            </w:r>
          </w:p>
        </w:tc>
      </w:tr>
      <w:tr w:rsidR="008355F0" w:rsidRPr="00774D44" w:rsidTr="00E92F85">
        <w:trPr>
          <w:cantSplit/>
          <w:trHeight w:val="1242"/>
        </w:trPr>
        <w:tc>
          <w:tcPr>
            <w:tcW w:w="1843" w:type="dxa"/>
          </w:tcPr>
          <w:p w:rsidR="008355F0" w:rsidRDefault="008355F0" w:rsidP="003867F8">
            <w:pPr>
              <w:autoSpaceDE w:val="0"/>
              <w:autoSpaceDN w:val="0"/>
              <w:adjustRightInd w:val="0"/>
              <w:spacing w:before="60" w:after="60"/>
              <w:rPr>
                <w:rFonts w:cs="Arial"/>
                <w:color w:val="000000"/>
                <w:sz w:val="16"/>
                <w:szCs w:val="16"/>
              </w:rPr>
            </w:pPr>
            <w:r w:rsidRPr="00911CCA">
              <w:rPr>
                <w:rFonts w:cs="Arial"/>
                <w:color w:val="000000"/>
                <w:sz w:val="16"/>
                <w:szCs w:val="16"/>
              </w:rPr>
              <w:t>WIPO/FIT Australia National Workshop on Patent Drafting and use of Patent System</w:t>
            </w:r>
          </w:p>
        </w:tc>
        <w:tc>
          <w:tcPr>
            <w:tcW w:w="1276" w:type="dxa"/>
            <w:gridSpan w:val="2"/>
          </w:tcPr>
          <w:p w:rsidR="008355F0" w:rsidRPr="00A12513" w:rsidRDefault="008355F0" w:rsidP="003867F8">
            <w:pPr>
              <w:autoSpaceDE w:val="0"/>
              <w:autoSpaceDN w:val="0"/>
              <w:adjustRightInd w:val="0"/>
              <w:spacing w:before="60" w:after="60"/>
              <w:rPr>
                <w:rFonts w:cs="Arial"/>
                <w:color w:val="000000"/>
                <w:sz w:val="16"/>
                <w:szCs w:val="16"/>
              </w:rPr>
            </w:pPr>
            <w:r w:rsidRPr="00911CCA">
              <w:rPr>
                <w:rFonts w:cs="Arial"/>
                <w:color w:val="000000"/>
                <w:sz w:val="16"/>
                <w:szCs w:val="16"/>
              </w:rPr>
              <w:t>May 26 to 29, 2015</w:t>
            </w:r>
          </w:p>
        </w:tc>
        <w:tc>
          <w:tcPr>
            <w:tcW w:w="1701" w:type="dxa"/>
            <w:gridSpan w:val="2"/>
          </w:tcPr>
          <w:p w:rsidR="008355F0" w:rsidRDefault="008355F0" w:rsidP="003867F8">
            <w:pPr>
              <w:autoSpaceDE w:val="0"/>
              <w:autoSpaceDN w:val="0"/>
              <w:adjustRightInd w:val="0"/>
              <w:spacing w:before="60" w:after="60"/>
              <w:rPr>
                <w:rFonts w:cs="Arial"/>
                <w:color w:val="000000"/>
                <w:sz w:val="16"/>
                <w:szCs w:val="16"/>
              </w:rPr>
            </w:pPr>
            <w:r w:rsidRPr="00911CCA">
              <w:rPr>
                <w:rFonts w:cs="Arial"/>
                <w:color w:val="000000"/>
                <w:sz w:val="16"/>
                <w:szCs w:val="16"/>
              </w:rPr>
              <w:t>Indonesia</w:t>
            </w:r>
          </w:p>
        </w:tc>
        <w:tc>
          <w:tcPr>
            <w:tcW w:w="4678" w:type="dxa"/>
          </w:tcPr>
          <w:p w:rsidR="008355F0" w:rsidRPr="00A12513" w:rsidRDefault="008355F0" w:rsidP="003867F8">
            <w:pPr>
              <w:autoSpaceDE w:val="0"/>
              <w:autoSpaceDN w:val="0"/>
              <w:adjustRightInd w:val="0"/>
              <w:spacing w:before="60" w:after="60"/>
              <w:rPr>
                <w:rFonts w:cs="Arial"/>
                <w:color w:val="000000"/>
                <w:sz w:val="16"/>
                <w:szCs w:val="16"/>
              </w:rPr>
            </w:pPr>
            <w:r w:rsidRPr="00911CCA">
              <w:rPr>
                <w:rFonts w:cs="Arial"/>
                <w:color w:val="000000"/>
                <w:sz w:val="16"/>
                <w:szCs w:val="16"/>
              </w:rPr>
              <w:t>Upon finalization of this training</w:t>
            </w:r>
            <w:r>
              <w:rPr>
                <w:rFonts w:cs="Arial"/>
                <w:color w:val="000000"/>
                <w:sz w:val="16"/>
                <w:szCs w:val="16"/>
              </w:rPr>
              <w:t>,</w:t>
            </w:r>
            <w:r w:rsidRPr="00911CCA">
              <w:rPr>
                <w:rFonts w:cs="Arial"/>
                <w:color w:val="000000"/>
                <w:sz w:val="16"/>
                <w:szCs w:val="16"/>
              </w:rPr>
              <w:t xml:space="preserve"> professionals were </w:t>
            </w:r>
            <w:r>
              <w:rPr>
                <w:rFonts w:cs="Arial"/>
                <w:color w:val="000000"/>
                <w:sz w:val="16"/>
                <w:szCs w:val="16"/>
              </w:rPr>
              <w:t xml:space="preserve">provided with:  an enhanced understanding of </w:t>
            </w:r>
            <w:r w:rsidRPr="00911CCA">
              <w:rPr>
                <w:rFonts w:cs="Arial"/>
                <w:color w:val="000000"/>
                <w:sz w:val="16"/>
                <w:szCs w:val="16"/>
              </w:rPr>
              <w:t xml:space="preserve">the use of </w:t>
            </w:r>
            <w:r>
              <w:rPr>
                <w:rFonts w:cs="Arial"/>
                <w:color w:val="000000"/>
                <w:sz w:val="16"/>
                <w:szCs w:val="16"/>
              </w:rPr>
              <w:t xml:space="preserve">the patent system as </w:t>
            </w:r>
            <w:r w:rsidRPr="00911CCA">
              <w:rPr>
                <w:rFonts w:cs="Arial"/>
                <w:color w:val="000000"/>
                <w:sz w:val="16"/>
                <w:szCs w:val="16"/>
              </w:rPr>
              <w:t>part of thei</w:t>
            </w:r>
            <w:r>
              <w:rPr>
                <w:rFonts w:cs="Arial"/>
                <w:color w:val="000000"/>
                <w:sz w:val="16"/>
                <w:szCs w:val="16"/>
              </w:rPr>
              <w:t xml:space="preserve">r IP commercialization strategy;  skills to be able </w:t>
            </w:r>
            <w:r w:rsidRPr="00911CCA">
              <w:rPr>
                <w:rFonts w:cs="Arial"/>
                <w:color w:val="000000"/>
                <w:sz w:val="16"/>
                <w:szCs w:val="16"/>
              </w:rPr>
              <w:t>to support patent attorneys in drafting patent claims regarding specific technologies and</w:t>
            </w:r>
            <w:r>
              <w:rPr>
                <w:rFonts w:cs="Arial"/>
                <w:color w:val="000000"/>
                <w:sz w:val="16"/>
                <w:szCs w:val="16"/>
              </w:rPr>
              <w:t xml:space="preserve">;  an enhanced understanding of the </w:t>
            </w:r>
            <w:r w:rsidRPr="00911CCA">
              <w:rPr>
                <w:rFonts w:cs="Arial"/>
                <w:color w:val="000000"/>
                <w:sz w:val="16"/>
                <w:szCs w:val="16"/>
              </w:rPr>
              <w:t>advantages of the PCT filing</w:t>
            </w:r>
            <w:r>
              <w:rPr>
                <w:rFonts w:cs="Arial"/>
                <w:color w:val="000000"/>
                <w:sz w:val="16"/>
                <w:szCs w:val="16"/>
              </w:rPr>
              <w:t xml:space="preserve"> route.</w:t>
            </w:r>
          </w:p>
        </w:tc>
      </w:tr>
      <w:tr w:rsidR="008355F0" w:rsidRPr="00774D44" w:rsidTr="00E92F85">
        <w:trPr>
          <w:cantSplit/>
          <w:trHeight w:val="315"/>
        </w:trPr>
        <w:tc>
          <w:tcPr>
            <w:tcW w:w="1843" w:type="dxa"/>
          </w:tcPr>
          <w:p w:rsidR="008355F0" w:rsidRDefault="008355F0" w:rsidP="003867F8">
            <w:pPr>
              <w:autoSpaceDE w:val="0"/>
              <w:autoSpaceDN w:val="0"/>
              <w:adjustRightInd w:val="0"/>
              <w:spacing w:before="60" w:after="60"/>
              <w:rPr>
                <w:rFonts w:cs="Arial"/>
                <w:color w:val="000000"/>
                <w:sz w:val="16"/>
                <w:szCs w:val="16"/>
              </w:rPr>
            </w:pPr>
            <w:r w:rsidRPr="00911CCA">
              <w:rPr>
                <w:rFonts w:cs="Arial"/>
                <w:color w:val="000000"/>
                <w:sz w:val="16"/>
                <w:szCs w:val="16"/>
              </w:rPr>
              <w:t>WIPO/FIT Australia Advanced Successful Technology Licensing (STL) Training Program</w:t>
            </w:r>
          </w:p>
        </w:tc>
        <w:tc>
          <w:tcPr>
            <w:tcW w:w="1276" w:type="dxa"/>
            <w:gridSpan w:val="2"/>
          </w:tcPr>
          <w:p w:rsidR="008355F0" w:rsidRPr="00A12513" w:rsidRDefault="008355F0" w:rsidP="003867F8">
            <w:pPr>
              <w:autoSpaceDE w:val="0"/>
              <w:autoSpaceDN w:val="0"/>
              <w:adjustRightInd w:val="0"/>
              <w:spacing w:before="60" w:after="60"/>
              <w:rPr>
                <w:rFonts w:cs="Arial"/>
                <w:color w:val="000000"/>
                <w:sz w:val="16"/>
                <w:szCs w:val="16"/>
              </w:rPr>
            </w:pPr>
            <w:r w:rsidRPr="00911CCA">
              <w:rPr>
                <w:rFonts w:cs="Arial"/>
                <w:color w:val="000000"/>
                <w:sz w:val="16"/>
                <w:szCs w:val="16"/>
              </w:rPr>
              <w:t>June 9 to 12, 2015</w:t>
            </w:r>
          </w:p>
        </w:tc>
        <w:tc>
          <w:tcPr>
            <w:tcW w:w="1701" w:type="dxa"/>
            <w:gridSpan w:val="2"/>
          </w:tcPr>
          <w:p w:rsidR="008355F0" w:rsidRDefault="008355F0" w:rsidP="003867F8">
            <w:pPr>
              <w:autoSpaceDE w:val="0"/>
              <w:autoSpaceDN w:val="0"/>
              <w:adjustRightInd w:val="0"/>
              <w:spacing w:before="60" w:after="60"/>
              <w:rPr>
                <w:rFonts w:cs="Arial"/>
                <w:color w:val="000000"/>
                <w:sz w:val="16"/>
                <w:szCs w:val="16"/>
              </w:rPr>
            </w:pPr>
            <w:r w:rsidRPr="00911CCA">
              <w:rPr>
                <w:rFonts w:cs="Arial"/>
                <w:color w:val="000000"/>
                <w:sz w:val="16"/>
                <w:szCs w:val="16"/>
              </w:rPr>
              <w:t>Indonesia</w:t>
            </w:r>
          </w:p>
        </w:tc>
        <w:tc>
          <w:tcPr>
            <w:tcW w:w="4678" w:type="dxa"/>
          </w:tcPr>
          <w:p w:rsidR="008355F0" w:rsidRPr="00A12513" w:rsidRDefault="008355F0" w:rsidP="003867F8">
            <w:pPr>
              <w:autoSpaceDE w:val="0"/>
              <w:autoSpaceDN w:val="0"/>
              <w:adjustRightInd w:val="0"/>
              <w:spacing w:before="60" w:after="60"/>
              <w:rPr>
                <w:rFonts w:cs="Arial"/>
                <w:color w:val="000000"/>
                <w:sz w:val="16"/>
                <w:szCs w:val="16"/>
              </w:rPr>
            </w:pPr>
            <w:r w:rsidRPr="00911CCA">
              <w:rPr>
                <w:rFonts w:cs="Arial"/>
                <w:color w:val="000000"/>
                <w:sz w:val="16"/>
                <w:szCs w:val="16"/>
              </w:rPr>
              <w:t xml:space="preserve">Participants upgraded their knowledge about IP licensing so </w:t>
            </w:r>
            <w:r>
              <w:rPr>
                <w:rFonts w:cs="Arial"/>
                <w:color w:val="000000"/>
                <w:sz w:val="16"/>
                <w:szCs w:val="16"/>
              </w:rPr>
              <w:t xml:space="preserve">as </w:t>
            </w:r>
            <w:r w:rsidRPr="00911CCA">
              <w:rPr>
                <w:rFonts w:cs="Arial"/>
                <w:color w:val="000000"/>
                <w:sz w:val="16"/>
                <w:szCs w:val="16"/>
              </w:rPr>
              <w:t>to be able to significantly contribute to licensing negotiation</w:t>
            </w:r>
            <w:r>
              <w:rPr>
                <w:rFonts w:cs="Arial"/>
                <w:color w:val="000000"/>
                <w:sz w:val="16"/>
                <w:szCs w:val="16"/>
              </w:rPr>
              <w:t>s</w:t>
            </w:r>
            <w:r w:rsidRPr="00911CCA">
              <w:rPr>
                <w:rFonts w:cs="Arial"/>
                <w:color w:val="000000"/>
                <w:sz w:val="16"/>
                <w:szCs w:val="16"/>
              </w:rPr>
              <w:t xml:space="preserve"> and to </w:t>
            </w:r>
            <w:r>
              <w:rPr>
                <w:rFonts w:cs="Arial"/>
                <w:color w:val="000000"/>
                <w:sz w:val="16"/>
                <w:szCs w:val="16"/>
              </w:rPr>
              <w:t xml:space="preserve">be able to </w:t>
            </w:r>
            <w:r w:rsidRPr="00911CCA">
              <w:rPr>
                <w:rFonts w:cs="Arial"/>
                <w:color w:val="000000"/>
                <w:sz w:val="16"/>
                <w:szCs w:val="16"/>
              </w:rPr>
              <w:t>create first draft</w:t>
            </w:r>
            <w:r>
              <w:rPr>
                <w:rFonts w:cs="Arial"/>
                <w:color w:val="000000"/>
                <w:sz w:val="16"/>
                <w:szCs w:val="16"/>
              </w:rPr>
              <w:t>s of licensing agreements</w:t>
            </w:r>
            <w:r w:rsidRPr="00911CCA">
              <w:rPr>
                <w:rFonts w:cs="Arial"/>
                <w:color w:val="000000"/>
                <w:sz w:val="16"/>
                <w:szCs w:val="16"/>
              </w:rPr>
              <w:t xml:space="preserve">.  </w:t>
            </w:r>
          </w:p>
        </w:tc>
      </w:tr>
      <w:tr w:rsidR="008355F0" w:rsidRPr="00774D44" w:rsidTr="00E92F85">
        <w:trPr>
          <w:cantSplit/>
          <w:trHeight w:val="315"/>
        </w:trPr>
        <w:tc>
          <w:tcPr>
            <w:tcW w:w="1843" w:type="dxa"/>
          </w:tcPr>
          <w:p w:rsidR="008355F0" w:rsidRDefault="008355F0" w:rsidP="003867F8">
            <w:pPr>
              <w:autoSpaceDE w:val="0"/>
              <w:autoSpaceDN w:val="0"/>
              <w:adjustRightInd w:val="0"/>
              <w:spacing w:before="60" w:after="60"/>
              <w:rPr>
                <w:rFonts w:cs="Arial"/>
                <w:color w:val="000000"/>
                <w:sz w:val="16"/>
                <w:szCs w:val="16"/>
              </w:rPr>
            </w:pPr>
            <w:r w:rsidRPr="00911CCA">
              <w:rPr>
                <w:rFonts w:cs="Arial"/>
                <w:color w:val="000000"/>
                <w:sz w:val="16"/>
                <w:szCs w:val="16"/>
              </w:rPr>
              <w:t>WIPO/FIT Australia Advanced IP Marketing and Valuation Training Program</w:t>
            </w:r>
          </w:p>
        </w:tc>
        <w:tc>
          <w:tcPr>
            <w:tcW w:w="1276" w:type="dxa"/>
            <w:gridSpan w:val="2"/>
          </w:tcPr>
          <w:p w:rsidR="008355F0" w:rsidRPr="00A12513" w:rsidRDefault="008355F0" w:rsidP="003867F8">
            <w:pPr>
              <w:autoSpaceDE w:val="0"/>
              <w:autoSpaceDN w:val="0"/>
              <w:adjustRightInd w:val="0"/>
              <w:spacing w:before="60" w:after="60"/>
              <w:rPr>
                <w:rFonts w:cs="Arial"/>
                <w:color w:val="000000"/>
                <w:sz w:val="16"/>
                <w:szCs w:val="16"/>
              </w:rPr>
            </w:pPr>
            <w:r w:rsidRPr="00911CCA">
              <w:rPr>
                <w:rFonts w:cs="Arial"/>
                <w:color w:val="000000"/>
                <w:sz w:val="16"/>
                <w:szCs w:val="16"/>
              </w:rPr>
              <w:t>June 15 to 18, 2015</w:t>
            </w:r>
          </w:p>
        </w:tc>
        <w:tc>
          <w:tcPr>
            <w:tcW w:w="1701" w:type="dxa"/>
            <w:gridSpan w:val="2"/>
          </w:tcPr>
          <w:p w:rsidR="008355F0" w:rsidRDefault="008355F0" w:rsidP="003867F8">
            <w:pPr>
              <w:autoSpaceDE w:val="0"/>
              <w:autoSpaceDN w:val="0"/>
              <w:adjustRightInd w:val="0"/>
              <w:spacing w:before="60" w:after="60"/>
              <w:rPr>
                <w:rFonts w:cs="Arial"/>
                <w:color w:val="000000"/>
                <w:sz w:val="16"/>
                <w:szCs w:val="16"/>
              </w:rPr>
            </w:pPr>
            <w:r w:rsidRPr="00911CCA">
              <w:rPr>
                <w:rFonts w:cs="Arial"/>
                <w:color w:val="000000"/>
                <w:sz w:val="16"/>
                <w:szCs w:val="16"/>
              </w:rPr>
              <w:t>Philippines</w:t>
            </w:r>
          </w:p>
        </w:tc>
        <w:tc>
          <w:tcPr>
            <w:tcW w:w="4678" w:type="dxa"/>
          </w:tcPr>
          <w:p w:rsidR="008355F0" w:rsidRPr="00A12513" w:rsidRDefault="008355F0" w:rsidP="003867F8">
            <w:pPr>
              <w:autoSpaceDE w:val="0"/>
              <w:autoSpaceDN w:val="0"/>
              <w:adjustRightInd w:val="0"/>
              <w:spacing w:before="60" w:after="60"/>
              <w:rPr>
                <w:rFonts w:cs="Arial"/>
                <w:color w:val="000000"/>
                <w:sz w:val="16"/>
                <w:szCs w:val="16"/>
              </w:rPr>
            </w:pPr>
            <w:r w:rsidRPr="00911CCA">
              <w:rPr>
                <w:rFonts w:cs="Arial"/>
                <w:color w:val="000000"/>
                <w:sz w:val="16"/>
                <w:szCs w:val="16"/>
              </w:rPr>
              <w:t xml:space="preserve">Participants </w:t>
            </w:r>
            <w:r>
              <w:rPr>
                <w:rFonts w:cs="Arial"/>
                <w:color w:val="000000"/>
                <w:sz w:val="16"/>
                <w:szCs w:val="16"/>
              </w:rPr>
              <w:t xml:space="preserve">were provided enhanced understanding of the interrelationships </w:t>
            </w:r>
            <w:r w:rsidRPr="00911CCA">
              <w:rPr>
                <w:rFonts w:cs="Arial"/>
                <w:color w:val="000000"/>
                <w:sz w:val="16"/>
                <w:szCs w:val="16"/>
              </w:rPr>
              <w:t xml:space="preserve">between IP marketing and valuation, and </w:t>
            </w:r>
            <w:r>
              <w:rPr>
                <w:rFonts w:cs="Arial"/>
                <w:color w:val="000000"/>
                <w:sz w:val="16"/>
                <w:szCs w:val="16"/>
              </w:rPr>
              <w:t xml:space="preserve">they </w:t>
            </w:r>
            <w:r w:rsidRPr="00911CCA">
              <w:rPr>
                <w:rFonts w:cs="Arial"/>
                <w:color w:val="000000"/>
                <w:sz w:val="16"/>
                <w:szCs w:val="16"/>
              </w:rPr>
              <w:t xml:space="preserve">obtained knowledge </w:t>
            </w:r>
            <w:r>
              <w:rPr>
                <w:rFonts w:cs="Arial"/>
                <w:color w:val="000000"/>
                <w:sz w:val="16"/>
                <w:szCs w:val="16"/>
              </w:rPr>
              <w:t xml:space="preserve">so as </w:t>
            </w:r>
            <w:r w:rsidRPr="00911CCA">
              <w:rPr>
                <w:rFonts w:cs="Arial"/>
                <w:color w:val="000000"/>
                <w:sz w:val="16"/>
                <w:szCs w:val="16"/>
              </w:rPr>
              <w:t>to be able to identify potential markets for knowledge and technology developed in their research institutions</w:t>
            </w:r>
            <w:r>
              <w:rPr>
                <w:rFonts w:cs="Arial"/>
                <w:color w:val="000000"/>
                <w:sz w:val="16"/>
                <w:szCs w:val="16"/>
              </w:rPr>
              <w:t xml:space="preserve">.  In general, they were provided skills to be able to </w:t>
            </w:r>
            <w:r w:rsidRPr="00911CCA">
              <w:rPr>
                <w:rFonts w:cs="Arial"/>
                <w:color w:val="000000"/>
                <w:sz w:val="16"/>
                <w:szCs w:val="16"/>
              </w:rPr>
              <w:t xml:space="preserve">determine the value of intellectual assets that are </w:t>
            </w:r>
            <w:r>
              <w:rPr>
                <w:rFonts w:cs="Arial"/>
                <w:color w:val="000000"/>
                <w:sz w:val="16"/>
                <w:szCs w:val="16"/>
              </w:rPr>
              <w:t xml:space="preserve">the </w:t>
            </w:r>
            <w:r w:rsidRPr="00911CCA">
              <w:rPr>
                <w:rFonts w:cs="Arial"/>
                <w:color w:val="000000"/>
                <w:sz w:val="16"/>
                <w:szCs w:val="16"/>
              </w:rPr>
              <w:t>subject of licensing negotiation</w:t>
            </w:r>
            <w:r>
              <w:rPr>
                <w:rFonts w:cs="Arial"/>
                <w:color w:val="000000"/>
                <w:sz w:val="16"/>
                <w:szCs w:val="16"/>
              </w:rPr>
              <w:t>s</w:t>
            </w:r>
            <w:r w:rsidRPr="00911CCA">
              <w:rPr>
                <w:rFonts w:cs="Arial"/>
                <w:color w:val="000000"/>
                <w:sz w:val="16"/>
                <w:szCs w:val="16"/>
              </w:rPr>
              <w:t>.</w:t>
            </w:r>
          </w:p>
        </w:tc>
      </w:tr>
      <w:tr w:rsidR="008355F0" w:rsidTr="00E92F85">
        <w:trPr>
          <w:cantSplit/>
          <w:trHeight w:val="315"/>
        </w:trPr>
        <w:tc>
          <w:tcPr>
            <w:tcW w:w="1843" w:type="dxa"/>
            <w:tcBorders>
              <w:left w:val="single" w:sz="4" w:space="0" w:color="000000"/>
            </w:tcBorders>
          </w:tcPr>
          <w:p w:rsidR="008355F0" w:rsidRPr="00281832" w:rsidRDefault="008355F0" w:rsidP="003867F8">
            <w:pPr>
              <w:autoSpaceDE w:val="0"/>
              <w:autoSpaceDN w:val="0"/>
              <w:adjustRightInd w:val="0"/>
              <w:spacing w:before="60" w:after="60"/>
              <w:rPr>
                <w:rFonts w:cs="Arial"/>
                <w:color w:val="000000"/>
                <w:sz w:val="16"/>
                <w:szCs w:val="16"/>
              </w:rPr>
            </w:pPr>
            <w:r w:rsidRPr="00281832">
              <w:rPr>
                <w:rFonts w:cs="Arial"/>
                <w:color w:val="000000"/>
                <w:sz w:val="16"/>
                <w:szCs w:val="16"/>
              </w:rPr>
              <w:t>National Workshop on Copyright and Related Rights</w:t>
            </w:r>
          </w:p>
        </w:tc>
        <w:tc>
          <w:tcPr>
            <w:tcW w:w="1276" w:type="dxa"/>
            <w:gridSpan w:val="2"/>
          </w:tcPr>
          <w:p w:rsidR="008355F0" w:rsidRPr="00281832" w:rsidRDefault="008355F0" w:rsidP="003867F8">
            <w:pPr>
              <w:autoSpaceDE w:val="0"/>
              <w:autoSpaceDN w:val="0"/>
              <w:adjustRightInd w:val="0"/>
              <w:spacing w:before="60" w:after="60"/>
              <w:rPr>
                <w:rFonts w:cs="Arial"/>
                <w:color w:val="000000"/>
                <w:sz w:val="16"/>
                <w:szCs w:val="16"/>
              </w:rPr>
            </w:pPr>
            <w:r w:rsidRPr="00281832">
              <w:rPr>
                <w:rFonts w:cs="Arial"/>
                <w:color w:val="000000"/>
                <w:sz w:val="16"/>
                <w:szCs w:val="16"/>
              </w:rPr>
              <w:t>April 22 to 24, 2015</w:t>
            </w:r>
          </w:p>
        </w:tc>
        <w:tc>
          <w:tcPr>
            <w:tcW w:w="1701" w:type="dxa"/>
            <w:gridSpan w:val="2"/>
          </w:tcPr>
          <w:p w:rsidR="008355F0" w:rsidRPr="00281832" w:rsidRDefault="008355F0" w:rsidP="003867F8">
            <w:pPr>
              <w:autoSpaceDE w:val="0"/>
              <w:autoSpaceDN w:val="0"/>
              <w:adjustRightInd w:val="0"/>
              <w:spacing w:before="60" w:after="60"/>
              <w:rPr>
                <w:rFonts w:cs="Arial"/>
                <w:color w:val="000000"/>
                <w:sz w:val="16"/>
                <w:szCs w:val="16"/>
              </w:rPr>
            </w:pPr>
            <w:r w:rsidRPr="00281832">
              <w:rPr>
                <w:rFonts w:cs="Arial"/>
                <w:color w:val="000000"/>
                <w:sz w:val="16"/>
                <w:szCs w:val="16"/>
              </w:rPr>
              <w:t>Cook Islands</w:t>
            </w:r>
          </w:p>
        </w:tc>
        <w:tc>
          <w:tcPr>
            <w:tcW w:w="4678" w:type="dxa"/>
            <w:tcBorders>
              <w:right w:val="single" w:sz="4" w:space="0" w:color="000000"/>
            </w:tcBorders>
          </w:tcPr>
          <w:p w:rsidR="008355F0" w:rsidRPr="00281832" w:rsidRDefault="008355F0" w:rsidP="003867F8">
            <w:pPr>
              <w:autoSpaceDE w:val="0"/>
              <w:autoSpaceDN w:val="0"/>
              <w:adjustRightInd w:val="0"/>
              <w:spacing w:before="60" w:after="60"/>
              <w:rPr>
                <w:rFonts w:cs="Arial"/>
                <w:color w:val="000000"/>
                <w:sz w:val="16"/>
                <w:szCs w:val="16"/>
              </w:rPr>
            </w:pPr>
            <w:r>
              <w:rPr>
                <w:rFonts w:cs="Arial"/>
                <w:color w:val="000000"/>
                <w:sz w:val="16"/>
                <w:szCs w:val="16"/>
              </w:rPr>
              <w:t>This was the f</w:t>
            </w:r>
            <w:r w:rsidRPr="00281832">
              <w:rPr>
                <w:rFonts w:cs="Arial"/>
                <w:color w:val="000000"/>
                <w:sz w:val="16"/>
                <w:szCs w:val="16"/>
              </w:rPr>
              <w:t>irst WIPO-organized national workshop o</w:t>
            </w:r>
            <w:r>
              <w:rPr>
                <w:rFonts w:cs="Arial"/>
                <w:color w:val="000000"/>
                <w:sz w:val="16"/>
                <w:szCs w:val="16"/>
              </w:rPr>
              <w:t xml:space="preserve">n copyright in the Cook Islands.  The workshop, which was addressed to </w:t>
            </w:r>
            <w:r w:rsidRPr="00281832">
              <w:rPr>
                <w:rFonts w:cs="Arial"/>
                <w:color w:val="000000"/>
                <w:sz w:val="16"/>
                <w:szCs w:val="16"/>
              </w:rPr>
              <w:t>government officials and other interested stakeholders</w:t>
            </w:r>
            <w:r>
              <w:rPr>
                <w:rFonts w:cs="Arial"/>
                <w:color w:val="000000"/>
                <w:sz w:val="16"/>
                <w:szCs w:val="16"/>
              </w:rPr>
              <w:t xml:space="preserve">, </w:t>
            </w:r>
            <w:r w:rsidRPr="00281832">
              <w:rPr>
                <w:rFonts w:cs="Arial"/>
                <w:color w:val="000000"/>
                <w:sz w:val="16"/>
                <w:szCs w:val="16"/>
              </w:rPr>
              <w:t>provided information on c</w:t>
            </w:r>
            <w:r>
              <w:rPr>
                <w:rFonts w:cs="Arial"/>
                <w:color w:val="000000"/>
                <w:sz w:val="16"/>
                <w:szCs w:val="16"/>
              </w:rPr>
              <w:t>opyright and related rights, their</w:t>
            </w:r>
            <w:r w:rsidRPr="00281832">
              <w:rPr>
                <w:rFonts w:cs="Arial"/>
                <w:color w:val="000000"/>
                <w:sz w:val="16"/>
                <w:szCs w:val="16"/>
              </w:rPr>
              <w:t xml:space="preserve"> cultural and economic importance and the importance of establishing a national system for the protection and management of copyright and related rights.</w:t>
            </w:r>
          </w:p>
        </w:tc>
      </w:tr>
      <w:tr w:rsidR="008355F0" w:rsidTr="00E92F85">
        <w:trPr>
          <w:cantSplit/>
          <w:trHeight w:val="315"/>
        </w:trPr>
        <w:tc>
          <w:tcPr>
            <w:tcW w:w="1843" w:type="dxa"/>
            <w:tcBorders>
              <w:left w:val="single" w:sz="4" w:space="0" w:color="000000"/>
            </w:tcBorders>
          </w:tcPr>
          <w:p w:rsidR="008355F0" w:rsidRPr="00CC7002" w:rsidRDefault="008355F0" w:rsidP="003867F8">
            <w:pPr>
              <w:autoSpaceDE w:val="0"/>
              <w:autoSpaceDN w:val="0"/>
              <w:adjustRightInd w:val="0"/>
              <w:spacing w:before="120" w:after="120"/>
              <w:rPr>
                <w:rFonts w:cs="Arial"/>
                <w:color w:val="000000"/>
                <w:sz w:val="16"/>
                <w:szCs w:val="16"/>
              </w:rPr>
            </w:pPr>
            <w:r w:rsidRPr="00CC7002">
              <w:rPr>
                <w:rFonts w:cs="Arial"/>
                <w:color w:val="000000"/>
                <w:sz w:val="16"/>
                <w:szCs w:val="16"/>
              </w:rPr>
              <w:t>Sub-regional workshop on Copyright and Development for Decision Makers</w:t>
            </w:r>
          </w:p>
        </w:tc>
        <w:tc>
          <w:tcPr>
            <w:tcW w:w="1276" w:type="dxa"/>
            <w:gridSpan w:val="2"/>
          </w:tcPr>
          <w:p w:rsidR="008355F0" w:rsidRPr="00CC7002" w:rsidRDefault="008355F0" w:rsidP="003867F8">
            <w:pPr>
              <w:autoSpaceDE w:val="0"/>
              <w:autoSpaceDN w:val="0"/>
              <w:adjustRightInd w:val="0"/>
              <w:spacing w:before="120" w:after="120"/>
              <w:rPr>
                <w:rFonts w:cs="Arial"/>
                <w:color w:val="000000"/>
                <w:sz w:val="16"/>
                <w:szCs w:val="16"/>
              </w:rPr>
            </w:pPr>
            <w:r w:rsidRPr="00CC7002">
              <w:rPr>
                <w:rFonts w:cs="Arial"/>
                <w:color w:val="000000"/>
                <w:sz w:val="16"/>
                <w:szCs w:val="16"/>
              </w:rPr>
              <w:t>January 19 and 20, 2015</w:t>
            </w:r>
          </w:p>
        </w:tc>
        <w:tc>
          <w:tcPr>
            <w:tcW w:w="1701" w:type="dxa"/>
            <w:gridSpan w:val="2"/>
          </w:tcPr>
          <w:p w:rsidR="008355F0" w:rsidRPr="00CC7002" w:rsidRDefault="008355F0" w:rsidP="003867F8">
            <w:pPr>
              <w:autoSpaceDE w:val="0"/>
              <w:autoSpaceDN w:val="0"/>
              <w:adjustRightInd w:val="0"/>
              <w:spacing w:before="120" w:after="120"/>
              <w:rPr>
                <w:rFonts w:cs="Arial"/>
                <w:color w:val="000000"/>
                <w:sz w:val="16"/>
                <w:szCs w:val="16"/>
              </w:rPr>
            </w:pPr>
            <w:r w:rsidRPr="00CC7002">
              <w:rPr>
                <w:rFonts w:cs="Arial"/>
                <w:color w:val="000000"/>
                <w:sz w:val="16"/>
                <w:szCs w:val="16"/>
              </w:rPr>
              <w:t>Fiji, Niue, Papua New Guinea, Samoa, Solomon Islands, Tonga, Tuvalu</w:t>
            </w:r>
            <w:r>
              <w:rPr>
                <w:rFonts w:cs="Arial"/>
                <w:color w:val="000000"/>
                <w:sz w:val="16"/>
                <w:szCs w:val="16"/>
              </w:rPr>
              <w:t>,</w:t>
            </w:r>
            <w:r w:rsidRPr="00CC7002">
              <w:rPr>
                <w:rFonts w:cs="Arial"/>
                <w:color w:val="000000"/>
                <w:sz w:val="16"/>
                <w:szCs w:val="16"/>
              </w:rPr>
              <w:t xml:space="preserve"> Vanuatu</w:t>
            </w:r>
          </w:p>
        </w:tc>
        <w:tc>
          <w:tcPr>
            <w:tcW w:w="4678" w:type="dxa"/>
            <w:tcBorders>
              <w:right w:val="single" w:sz="4" w:space="0" w:color="000000"/>
            </w:tcBorders>
          </w:tcPr>
          <w:p w:rsidR="008355F0" w:rsidRPr="00CC7002" w:rsidRDefault="008355F0" w:rsidP="003867F8">
            <w:pPr>
              <w:autoSpaceDE w:val="0"/>
              <w:autoSpaceDN w:val="0"/>
              <w:adjustRightInd w:val="0"/>
              <w:spacing w:before="120" w:after="120"/>
              <w:rPr>
                <w:rFonts w:cs="Arial"/>
                <w:color w:val="000000"/>
                <w:sz w:val="16"/>
                <w:szCs w:val="16"/>
              </w:rPr>
            </w:pPr>
            <w:r w:rsidRPr="00CC7002">
              <w:rPr>
                <w:rFonts w:cs="Arial"/>
                <w:color w:val="000000"/>
                <w:sz w:val="16"/>
                <w:szCs w:val="16"/>
              </w:rPr>
              <w:t>The workshop focused on increasing awareness and understanding of the role and value of copyright in cultural and economic development among decision makers fro</w:t>
            </w:r>
            <w:r>
              <w:rPr>
                <w:rFonts w:cs="Arial"/>
                <w:color w:val="000000"/>
                <w:sz w:val="16"/>
                <w:szCs w:val="16"/>
              </w:rPr>
              <w:t>m</w:t>
            </w:r>
            <w:r w:rsidRPr="00CC7002">
              <w:rPr>
                <w:rFonts w:cs="Arial"/>
                <w:color w:val="000000"/>
                <w:sz w:val="16"/>
                <w:szCs w:val="16"/>
              </w:rPr>
              <w:t xml:space="preserve"> participating countries and the Pacific Islands Forum Secretariat.</w:t>
            </w:r>
          </w:p>
        </w:tc>
      </w:tr>
      <w:tr w:rsidR="008355F0" w:rsidRPr="00774D44" w:rsidTr="00E92F85">
        <w:trPr>
          <w:cantSplit/>
          <w:trHeight w:val="315"/>
        </w:trPr>
        <w:tc>
          <w:tcPr>
            <w:tcW w:w="1843" w:type="dxa"/>
          </w:tcPr>
          <w:p w:rsidR="008355F0" w:rsidRPr="00911CCA" w:rsidRDefault="008355F0" w:rsidP="003867F8">
            <w:pPr>
              <w:autoSpaceDE w:val="0"/>
              <w:autoSpaceDN w:val="0"/>
              <w:adjustRightInd w:val="0"/>
              <w:spacing w:before="120" w:after="120"/>
              <w:rPr>
                <w:rFonts w:cs="Arial"/>
                <w:color w:val="000000"/>
                <w:sz w:val="16"/>
                <w:szCs w:val="16"/>
              </w:rPr>
            </w:pPr>
            <w:r w:rsidRPr="00CC7002">
              <w:rPr>
                <w:rFonts w:cs="Arial"/>
                <w:color w:val="000000"/>
                <w:sz w:val="16"/>
                <w:szCs w:val="16"/>
              </w:rPr>
              <w:t>National Seminar on Copyright and Related Rights</w:t>
            </w:r>
          </w:p>
        </w:tc>
        <w:tc>
          <w:tcPr>
            <w:tcW w:w="1276" w:type="dxa"/>
            <w:gridSpan w:val="2"/>
          </w:tcPr>
          <w:p w:rsidR="008355F0" w:rsidRPr="00911CCA" w:rsidRDefault="008355F0" w:rsidP="003867F8">
            <w:pPr>
              <w:autoSpaceDE w:val="0"/>
              <w:autoSpaceDN w:val="0"/>
              <w:adjustRightInd w:val="0"/>
              <w:spacing w:before="120" w:after="120"/>
              <w:rPr>
                <w:rFonts w:cs="Arial"/>
                <w:color w:val="000000"/>
                <w:sz w:val="16"/>
                <w:szCs w:val="16"/>
              </w:rPr>
            </w:pPr>
            <w:r w:rsidRPr="00CC7002">
              <w:rPr>
                <w:rFonts w:cs="Arial"/>
                <w:color w:val="000000"/>
                <w:sz w:val="16"/>
                <w:szCs w:val="16"/>
              </w:rPr>
              <w:t>January 21 and 22, 2015</w:t>
            </w:r>
          </w:p>
        </w:tc>
        <w:tc>
          <w:tcPr>
            <w:tcW w:w="1701" w:type="dxa"/>
            <w:gridSpan w:val="2"/>
          </w:tcPr>
          <w:p w:rsidR="008355F0" w:rsidRPr="00911CCA" w:rsidRDefault="008355F0" w:rsidP="003867F8">
            <w:pPr>
              <w:autoSpaceDE w:val="0"/>
              <w:autoSpaceDN w:val="0"/>
              <w:adjustRightInd w:val="0"/>
              <w:spacing w:before="120" w:after="120"/>
              <w:rPr>
                <w:rFonts w:cs="Arial"/>
                <w:color w:val="000000"/>
                <w:sz w:val="16"/>
                <w:szCs w:val="16"/>
              </w:rPr>
            </w:pPr>
            <w:r w:rsidRPr="00CC7002">
              <w:rPr>
                <w:rFonts w:cs="Arial"/>
                <w:color w:val="000000"/>
                <w:sz w:val="16"/>
                <w:szCs w:val="16"/>
              </w:rPr>
              <w:t>Vanuatu</w:t>
            </w:r>
          </w:p>
        </w:tc>
        <w:tc>
          <w:tcPr>
            <w:tcW w:w="4678" w:type="dxa"/>
          </w:tcPr>
          <w:p w:rsidR="008355F0" w:rsidRPr="00911CCA" w:rsidRDefault="008355F0" w:rsidP="003867F8">
            <w:pPr>
              <w:autoSpaceDE w:val="0"/>
              <w:autoSpaceDN w:val="0"/>
              <w:adjustRightInd w:val="0"/>
              <w:spacing w:before="120" w:after="120"/>
              <w:rPr>
                <w:rFonts w:cs="Arial"/>
                <w:color w:val="000000"/>
                <w:sz w:val="16"/>
                <w:szCs w:val="16"/>
              </w:rPr>
            </w:pPr>
            <w:r w:rsidRPr="00CC7002">
              <w:rPr>
                <w:rFonts w:cs="Arial"/>
                <w:color w:val="000000"/>
                <w:sz w:val="16"/>
                <w:szCs w:val="16"/>
              </w:rPr>
              <w:t xml:space="preserve">The seminar, held back-to-back with the activity mentioned above, provided information on copyright and related rights, including how the system works at a practical level, to an audience of government officials and other national stakeholders.  </w:t>
            </w:r>
          </w:p>
        </w:tc>
      </w:tr>
      <w:tr w:rsidR="008355F0" w:rsidRPr="00774D44" w:rsidTr="00E92F85">
        <w:trPr>
          <w:cantSplit/>
          <w:trHeight w:val="315"/>
        </w:trPr>
        <w:tc>
          <w:tcPr>
            <w:tcW w:w="9498" w:type="dxa"/>
            <w:gridSpan w:val="6"/>
            <w:tcBorders>
              <w:top w:val="single" w:sz="4" w:space="0" w:color="000000"/>
              <w:bottom w:val="single" w:sz="4" w:space="0" w:color="000000"/>
            </w:tcBorders>
            <w:shd w:val="clear" w:color="auto" w:fill="C6D9F1" w:themeFill="text2" w:themeFillTint="33"/>
          </w:tcPr>
          <w:p w:rsidR="008355F0" w:rsidRPr="00774D44" w:rsidRDefault="008355F0" w:rsidP="003867F8">
            <w:pPr>
              <w:keepNext/>
              <w:keepLines/>
              <w:tabs>
                <w:tab w:val="left" w:pos="1740"/>
              </w:tabs>
              <w:spacing w:before="120" w:after="120"/>
              <w:ind w:left="1740" w:hanging="1740"/>
              <w:rPr>
                <w:rFonts w:cs="Arial"/>
                <w:color w:val="000000"/>
                <w:sz w:val="16"/>
                <w:szCs w:val="16"/>
              </w:rPr>
            </w:pPr>
            <w:r w:rsidRPr="00712F53">
              <w:rPr>
                <w:rFonts w:cs="Arial"/>
                <w:b/>
                <w:bCs/>
                <w:color w:val="000000"/>
                <w:sz w:val="16"/>
                <w:szCs w:val="16"/>
              </w:rPr>
              <w:t>RESULT</w:t>
            </w:r>
            <w:r w:rsidRPr="00712F53">
              <w:rPr>
                <w:rFonts w:cs="Arial"/>
                <w:bCs/>
                <w:sz w:val="16"/>
                <w:szCs w:val="16"/>
                <w:lang w:val="en-AU"/>
              </w:rPr>
              <w:t>:</w:t>
            </w:r>
            <w:r w:rsidRPr="00712F53">
              <w:rPr>
                <w:rFonts w:cs="Arial"/>
                <w:bCs/>
                <w:sz w:val="16"/>
                <w:szCs w:val="16"/>
                <w:lang w:val="en-AU"/>
              </w:rPr>
              <w:tab/>
            </w:r>
            <w:r w:rsidRPr="00C62606">
              <w:rPr>
                <w:rFonts w:cs="Arial"/>
                <w:bCs/>
                <w:sz w:val="16"/>
                <w:szCs w:val="16"/>
                <w:lang w:val="en-AU"/>
              </w:rPr>
              <w:t>IV.2. Enhanced access to, and use of, IP information by IP institutions and the public to promote innovation and creativity</w:t>
            </w:r>
          </w:p>
        </w:tc>
      </w:tr>
      <w:tr w:rsidR="008355F0" w:rsidRPr="00774D44" w:rsidTr="00E92F85">
        <w:trPr>
          <w:cantSplit/>
          <w:trHeight w:val="429"/>
        </w:trPr>
        <w:tc>
          <w:tcPr>
            <w:tcW w:w="1843" w:type="dxa"/>
            <w:tcBorders>
              <w:top w:val="single" w:sz="4" w:space="0" w:color="000000"/>
            </w:tcBorders>
            <w:vAlign w:val="center"/>
          </w:tcPr>
          <w:p w:rsidR="008355F0" w:rsidRPr="002B7DE5" w:rsidRDefault="008355F0" w:rsidP="003867F8">
            <w:pPr>
              <w:keepNext/>
              <w:keepLines/>
              <w:spacing w:before="120" w:after="120"/>
              <w:rPr>
                <w:rFonts w:cs="Arial"/>
                <w:b/>
                <w:bCs/>
                <w:sz w:val="16"/>
                <w:szCs w:val="16"/>
              </w:rPr>
            </w:pPr>
            <w:r w:rsidRPr="002B7DE5">
              <w:rPr>
                <w:rFonts w:cs="Arial"/>
                <w:b/>
                <w:bCs/>
                <w:sz w:val="16"/>
                <w:szCs w:val="16"/>
              </w:rPr>
              <w:t>Activity</w:t>
            </w:r>
          </w:p>
        </w:tc>
        <w:tc>
          <w:tcPr>
            <w:tcW w:w="1135" w:type="dxa"/>
            <w:tcBorders>
              <w:top w:val="single" w:sz="4" w:space="0" w:color="000000"/>
            </w:tcBorders>
            <w:vAlign w:val="center"/>
          </w:tcPr>
          <w:p w:rsidR="008355F0" w:rsidRPr="002B7DE5" w:rsidRDefault="008355F0" w:rsidP="003867F8">
            <w:pPr>
              <w:keepNext/>
              <w:keepLines/>
              <w:spacing w:before="120" w:after="120"/>
              <w:rPr>
                <w:rFonts w:cs="Arial"/>
                <w:sz w:val="16"/>
                <w:szCs w:val="16"/>
              </w:rPr>
            </w:pPr>
            <w:r w:rsidRPr="002B7DE5">
              <w:rPr>
                <w:rFonts w:cs="Arial"/>
                <w:b/>
                <w:bCs/>
                <w:sz w:val="16"/>
                <w:szCs w:val="16"/>
              </w:rPr>
              <w:t>Date</w:t>
            </w:r>
          </w:p>
        </w:tc>
        <w:tc>
          <w:tcPr>
            <w:tcW w:w="1559" w:type="dxa"/>
            <w:gridSpan w:val="2"/>
            <w:tcBorders>
              <w:top w:val="single" w:sz="4" w:space="0" w:color="000000"/>
            </w:tcBorders>
            <w:vAlign w:val="center"/>
          </w:tcPr>
          <w:p w:rsidR="008355F0" w:rsidRPr="002B7DE5" w:rsidRDefault="008355F0" w:rsidP="003867F8">
            <w:pPr>
              <w:keepNext/>
              <w:keepLines/>
              <w:spacing w:before="120" w:after="120"/>
              <w:rPr>
                <w:rFonts w:cs="Arial"/>
                <w:sz w:val="16"/>
                <w:szCs w:val="16"/>
              </w:rPr>
            </w:pPr>
            <w:r w:rsidRPr="002B7DE5">
              <w:rPr>
                <w:rFonts w:cs="Arial"/>
                <w:b/>
                <w:bCs/>
                <w:sz w:val="16"/>
                <w:szCs w:val="16"/>
              </w:rPr>
              <w:t>Host Country/</w:t>
            </w:r>
            <w:r w:rsidRPr="002B7DE5">
              <w:rPr>
                <w:rFonts w:cs="Arial"/>
                <w:b/>
                <w:bCs/>
                <w:sz w:val="16"/>
                <w:szCs w:val="16"/>
              </w:rPr>
              <w:br/>
              <w:t>Recipients</w:t>
            </w:r>
          </w:p>
        </w:tc>
        <w:tc>
          <w:tcPr>
            <w:tcW w:w="4961" w:type="dxa"/>
            <w:gridSpan w:val="2"/>
            <w:tcBorders>
              <w:top w:val="single" w:sz="4" w:space="0" w:color="000000"/>
            </w:tcBorders>
            <w:vAlign w:val="center"/>
          </w:tcPr>
          <w:p w:rsidR="008355F0" w:rsidRPr="002B7DE5" w:rsidRDefault="008355F0" w:rsidP="003867F8">
            <w:pPr>
              <w:keepNext/>
              <w:keepLines/>
              <w:spacing w:before="120" w:after="120"/>
              <w:rPr>
                <w:rFonts w:cs="Arial"/>
                <w:sz w:val="16"/>
                <w:szCs w:val="16"/>
              </w:rPr>
            </w:pPr>
            <w:r w:rsidRPr="002B7DE5">
              <w:rPr>
                <w:rFonts w:cs="Arial"/>
                <w:b/>
                <w:bCs/>
                <w:sz w:val="16"/>
                <w:szCs w:val="16"/>
              </w:rPr>
              <w:t>Purpose(s)/Description(s)</w:t>
            </w:r>
          </w:p>
        </w:tc>
      </w:tr>
      <w:tr w:rsidR="008355F0" w:rsidRPr="00774D44" w:rsidTr="00E92F85">
        <w:trPr>
          <w:cantSplit/>
          <w:trHeight w:val="315"/>
        </w:trPr>
        <w:tc>
          <w:tcPr>
            <w:tcW w:w="1843" w:type="dxa"/>
          </w:tcPr>
          <w:p w:rsidR="008355F0" w:rsidRDefault="008355F0" w:rsidP="003867F8">
            <w:pPr>
              <w:autoSpaceDE w:val="0"/>
              <w:autoSpaceDN w:val="0"/>
              <w:spacing w:before="60" w:after="60"/>
              <w:rPr>
                <w:rFonts w:cs="Arial"/>
                <w:color w:val="000000"/>
                <w:sz w:val="16"/>
                <w:szCs w:val="16"/>
              </w:rPr>
            </w:pPr>
            <w:r>
              <w:rPr>
                <w:color w:val="000000"/>
                <w:sz w:val="16"/>
                <w:szCs w:val="16"/>
              </w:rPr>
              <w:t>Capacity building (through a Memorandum of Understanding)</w:t>
            </w:r>
          </w:p>
        </w:tc>
        <w:tc>
          <w:tcPr>
            <w:tcW w:w="1135" w:type="dxa"/>
          </w:tcPr>
          <w:p w:rsidR="008355F0" w:rsidRDefault="008355F0" w:rsidP="003867F8">
            <w:pPr>
              <w:autoSpaceDE w:val="0"/>
              <w:autoSpaceDN w:val="0"/>
              <w:spacing w:before="60" w:after="60"/>
              <w:rPr>
                <w:rFonts w:cs="Arial"/>
                <w:color w:val="000000"/>
                <w:sz w:val="16"/>
                <w:szCs w:val="16"/>
              </w:rPr>
            </w:pPr>
            <w:r>
              <w:rPr>
                <w:color w:val="000000"/>
                <w:sz w:val="16"/>
                <w:szCs w:val="16"/>
              </w:rPr>
              <w:t>Ongoing from 2014 and completed in May 2015</w:t>
            </w:r>
          </w:p>
        </w:tc>
        <w:tc>
          <w:tcPr>
            <w:tcW w:w="1559" w:type="dxa"/>
            <w:gridSpan w:val="2"/>
          </w:tcPr>
          <w:p w:rsidR="008355F0" w:rsidRPr="0085583E" w:rsidRDefault="008355F0" w:rsidP="003867F8">
            <w:pPr>
              <w:autoSpaceDE w:val="0"/>
              <w:autoSpaceDN w:val="0"/>
              <w:spacing w:before="60" w:after="60"/>
              <w:rPr>
                <w:rFonts w:cs="Arial"/>
                <w:color w:val="000000"/>
                <w:sz w:val="16"/>
                <w:szCs w:val="16"/>
              </w:rPr>
            </w:pPr>
            <w:r w:rsidRPr="0085583E">
              <w:rPr>
                <w:rFonts w:cs="Arial"/>
                <w:color w:val="000000"/>
                <w:sz w:val="16"/>
                <w:szCs w:val="16"/>
              </w:rPr>
              <w:t xml:space="preserve">Bangladesh </w:t>
            </w:r>
          </w:p>
        </w:tc>
        <w:tc>
          <w:tcPr>
            <w:tcW w:w="4961" w:type="dxa"/>
            <w:gridSpan w:val="2"/>
          </w:tcPr>
          <w:p w:rsidR="008355F0" w:rsidRPr="0085583E" w:rsidRDefault="008355F0" w:rsidP="003867F8">
            <w:pPr>
              <w:autoSpaceDE w:val="0"/>
              <w:autoSpaceDN w:val="0"/>
              <w:spacing w:before="60" w:after="60"/>
              <w:rPr>
                <w:rFonts w:cs="Arial"/>
                <w:color w:val="000000"/>
                <w:sz w:val="16"/>
                <w:szCs w:val="16"/>
              </w:rPr>
            </w:pPr>
            <w:r w:rsidRPr="0085583E">
              <w:rPr>
                <w:rFonts w:cs="Arial"/>
                <w:color w:val="000000"/>
                <w:sz w:val="16"/>
                <w:szCs w:val="16"/>
              </w:rPr>
              <w:t>To provide a local organization, Young Power in Social Action (YPSA) with the expertise and funding to carry out capacity building activities in Bangladesh.</w:t>
            </w:r>
          </w:p>
          <w:p w:rsidR="008355F0" w:rsidRPr="0085583E" w:rsidRDefault="008355F0" w:rsidP="003867F8">
            <w:pPr>
              <w:autoSpaceDE w:val="0"/>
              <w:autoSpaceDN w:val="0"/>
              <w:spacing w:before="60" w:after="60"/>
              <w:rPr>
                <w:rFonts w:cs="Arial"/>
                <w:color w:val="000000"/>
                <w:sz w:val="16"/>
                <w:szCs w:val="16"/>
              </w:rPr>
            </w:pPr>
            <w:r w:rsidRPr="0085583E">
              <w:rPr>
                <w:rFonts w:cs="Arial"/>
                <w:color w:val="000000"/>
                <w:sz w:val="16"/>
                <w:szCs w:val="16"/>
              </w:rPr>
              <w:t>Activities included:</w:t>
            </w:r>
            <w:r>
              <w:rPr>
                <w:rFonts w:cs="Arial"/>
                <w:color w:val="000000"/>
                <w:sz w:val="16"/>
                <w:szCs w:val="16"/>
              </w:rPr>
              <w:t xml:space="preserve"> </w:t>
            </w:r>
            <w:r w:rsidRPr="0085583E">
              <w:rPr>
                <w:rFonts w:cs="Arial"/>
                <w:color w:val="000000"/>
                <w:sz w:val="16"/>
                <w:szCs w:val="16"/>
              </w:rPr>
              <w:t xml:space="preserve"> (i) the training of local government and commercial publishers, as well as local NGOs, on the production of accessible books; </w:t>
            </w:r>
            <w:r>
              <w:rPr>
                <w:rFonts w:cs="Arial"/>
                <w:color w:val="000000"/>
                <w:sz w:val="16"/>
                <w:szCs w:val="16"/>
              </w:rPr>
              <w:t xml:space="preserve"> </w:t>
            </w:r>
            <w:r w:rsidRPr="0085583E">
              <w:rPr>
                <w:rFonts w:cs="Arial"/>
                <w:color w:val="000000"/>
                <w:sz w:val="16"/>
                <w:szCs w:val="16"/>
              </w:rPr>
              <w:t>(ii) the production of 162 educational books in accessible formats in Bengali;</w:t>
            </w:r>
            <w:r>
              <w:rPr>
                <w:rFonts w:cs="Arial"/>
                <w:color w:val="000000"/>
                <w:sz w:val="16"/>
                <w:szCs w:val="16"/>
              </w:rPr>
              <w:t xml:space="preserve"> </w:t>
            </w:r>
            <w:r w:rsidRPr="0085583E">
              <w:rPr>
                <w:rFonts w:cs="Arial"/>
                <w:color w:val="000000"/>
                <w:sz w:val="16"/>
                <w:szCs w:val="16"/>
              </w:rPr>
              <w:t xml:space="preserve"> and (iii) the purchase of 35 Android devices that will be loaned to visually impaired students so that they can read these books.</w:t>
            </w:r>
            <w:r>
              <w:rPr>
                <w:rFonts w:cs="Arial"/>
                <w:color w:val="000000"/>
                <w:sz w:val="16"/>
                <w:szCs w:val="16"/>
              </w:rPr>
              <w:t xml:space="preserve">  Anticipated beneficiaries of produced books are 10,000 visually impaired students.</w:t>
            </w:r>
          </w:p>
        </w:tc>
      </w:tr>
      <w:tr w:rsidR="008355F0" w:rsidRPr="00774D44" w:rsidTr="00E92F85">
        <w:trPr>
          <w:cantSplit/>
          <w:trHeight w:val="315"/>
        </w:trPr>
        <w:tc>
          <w:tcPr>
            <w:tcW w:w="1843" w:type="dxa"/>
          </w:tcPr>
          <w:p w:rsidR="008355F0" w:rsidRDefault="008355F0" w:rsidP="003867F8">
            <w:pPr>
              <w:autoSpaceDE w:val="0"/>
              <w:autoSpaceDN w:val="0"/>
              <w:spacing w:before="60" w:after="60"/>
              <w:rPr>
                <w:rFonts w:cs="Arial"/>
                <w:color w:val="000000"/>
                <w:sz w:val="16"/>
                <w:szCs w:val="16"/>
              </w:rPr>
            </w:pPr>
            <w:r>
              <w:rPr>
                <w:color w:val="000000"/>
                <w:sz w:val="16"/>
                <w:szCs w:val="16"/>
              </w:rPr>
              <w:t>Capacity building (through a Memorandum of Understanding)</w:t>
            </w:r>
          </w:p>
        </w:tc>
        <w:tc>
          <w:tcPr>
            <w:tcW w:w="1135" w:type="dxa"/>
          </w:tcPr>
          <w:p w:rsidR="008355F0" w:rsidRDefault="008355F0" w:rsidP="003867F8">
            <w:pPr>
              <w:autoSpaceDE w:val="0"/>
              <w:autoSpaceDN w:val="0"/>
              <w:spacing w:before="60" w:after="60"/>
              <w:rPr>
                <w:rFonts w:cs="Arial"/>
                <w:color w:val="000000"/>
                <w:sz w:val="16"/>
                <w:szCs w:val="16"/>
              </w:rPr>
            </w:pPr>
            <w:r>
              <w:rPr>
                <w:color w:val="000000"/>
                <w:sz w:val="16"/>
                <w:szCs w:val="16"/>
              </w:rPr>
              <w:t>Ongoing from 2014 and completed in May 2015</w:t>
            </w:r>
          </w:p>
        </w:tc>
        <w:tc>
          <w:tcPr>
            <w:tcW w:w="1559" w:type="dxa"/>
            <w:gridSpan w:val="2"/>
          </w:tcPr>
          <w:p w:rsidR="008355F0" w:rsidRDefault="008355F0" w:rsidP="003867F8">
            <w:pPr>
              <w:autoSpaceDE w:val="0"/>
              <w:autoSpaceDN w:val="0"/>
              <w:spacing w:before="60" w:after="60"/>
              <w:rPr>
                <w:rFonts w:cs="Arial"/>
                <w:color w:val="000000"/>
                <w:sz w:val="16"/>
                <w:szCs w:val="16"/>
              </w:rPr>
            </w:pPr>
            <w:r>
              <w:rPr>
                <w:color w:val="000000"/>
                <w:sz w:val="16"/>
                <w:szCs w:val="16"/>
              </w:rPr>
              <w:t>Sri Lanka</w:t>
            </w:r>
          </w:p>
        </w:tc>
        <w:tc>
          <w:tcPr>
            <w:tcW w:w="4961" w:type="dxa"/>
            <w:gridSpan w:val="2"/>
          </w:tcPr>
          <w:p w:rsidR="008355F0" w:rsidRPr="00DC13CF" w:rsidRDefault="008355F0" w:rsidP="003867F8">
            <w:pPr>
              <w:autoSpaceDE w:val="0"/>
              <w:autoSpaceDN w:val="0"/>
              <w:spacing w:before="60" w:after="60"/>
              <w:rPr>
                <w:color w:val="000000"/>
                <w:sz w:val="16"/>
                <w:szCs w:val="16"/>
              </w:rPr>
            </w:pPr>
            <w:r w:rsidRPr="00DC13CF">
              <w:rPr>
                <w:color w:val="000000"/>
                <w:sz w:val="16"/>
                <w:szCs w:val="16"/>
              </w:rPr>
              <w:t xml:space="preserve">To:  (i) provide a local organization, the DAISY Lanka Foundation (DLF), with the expertise and funding to carry out capacity building activities in Sri Lanka. </w:t>
            </w:r>
          </w:p>
          <w:p w:rsidR="008355F0" w:rsidRDefault="008355F0" w:rsidP="003867F8">
            <w:pPr>
              <w:autoSpaceDE w:val="0"/>
              <w:autoSpaceDN w:val="0"/>
              <w:spacing w:before="60" w:after="60"/>
              <w:rPr>
                <w:sz w:val="16"/>
                <w:szCs w:val="16"/>
              </w:rPr>
            </w:pPr>
            <w:r w:rsidRPr="00DC13CF">
              <w:rPr>
                <w:color w:val="000000"/>
                <w:sz w:val="16"/>
                <w:szCs w:val="16"/>
              </w:rPr>
              <w:t>Activities included:  (i) the training of local government and commercial publishers, as well as local NGOs, on the production of accessible books:  (ii) the production of 1069 educational books in accessible formats in Sinhalese;  and (iii) the purchase of 80 DAISY reading devices that will be loaned to visually impaired students so that they can read these books.  Anticipated beneficiaries of produced books are 10,000 visually impaired students.</w:t>
            </w:r>
          </w:p>
        </w:tc>
      </w:tr>
      <w:tr w:rsidR="008355F0" w:rsidRPr="00774D44" w:rsidTr="00E92F85">
        <w:trPr>
          <w:cantSplit/>
          <w:trHeight w:val="315"/>
        </w:trPr>
        <w:tc>
          <w:tcPr>
            <w:tcW w:w="1843" w:type="dxa"/>
          </w:tcPr>
          <w:p w:rsidR="008355F0" w:rsidRDefault="008355F0" w:rsidP="003867F8">
            <w:pPr>
              <w:autoSpaceDE w:val="0"/>
              <w:autoSpaceDN w:val="0"/>
              <w:spacing w:before="60" w:after="60"/>
              <w:rPr>
                <w:rFonts w:cs="Arial"/>
                <w:color w:val="000000"/>
                <w:sz w:val="16"/>
                <w:szCs w:val="16"/>
              </w:rPr>
            </w:pPr>
            <w:r>
              <w:rPr>
                <w:color w:val="000000"/>
                <w:sz w:val="16"/>
                <w:szCs w:val="16"/>
              </w:rPr>
              <w:t>Capacity building (through a Memorandum of Understanding)</w:t>
            </w:r>
          </w:p>
        </w:tc>
        <w:tc>
          <w:tcPr>
            <w:tcW w:w="1135" w:type="dxa"/>
          </w:tcPr>
          <w:p w:rsidR="008355F0" w:rsidRDefault="008355F0" w:rsidP="003867F8">
            <w:pPr>
              <w:autoSpaceDE w:val="0"/>
              <w:autoSpaceDN w:val="0"/>
              <w:spacing w:before="60" w:after="60"/>
              <w:rPr>
                <w:rFonts w:cs="Arial"/>
                <w:color w:val="000000"/>
                <w:sz w:val="16"/>
                <w:szCs w:val="16"/>
              </w:rPr>
            </w:pPr>
            <w:r>
              <w:rPr>
                <w:color w:val="000000"/>
                <w:sz w:val="16"/>
                <w:szCs w:val="16"/>
              </w:rPr>
              <w:t>Ongoing from 2014 and completed in September 2015</w:t>
            </w:r>
          </w:p>
        </w:tc>
        <w:tc>
          <w:tcPr>
            <w:tcW w:w="1559" w:type="dxa"/>
            <w:gridSpan w:val="2"/>
          </w:tcPr>
          <w:p w:rsidR="008355F0" w:rsidRDefault="008355F0" w:rsidP="003867F8">
            <w:pPr>
              <w:autoSpaceDE w:val="0"/>
              <w:autoSpaceDN w:val="0"/>
              <w:spacing w:before="60" w:after="60"/>
              <w:rPr>
                <w:rFonts w:cs="Arial"/>
                <w:color w:val="000000"/>
                <w:sz w:val="16"/>
                <w:szCs w:val="16"/>
              </w:rPr>
            </w:pPr>
            <w:r>
              <w:rPr>
                <w:color w:val="000000"/>
                <w:sz w:val="16"/>
                <w:szCs w:val="16"/>
              </w:rPr>
              <w:t>Sri Lanka</w:t>
            </w:r>
          </w:p>
        </w:tc>
        <w:tc>
          <w:tcPr>
            <w:tcW w:w="4961" w:type="dxa"/>
            <w:gridSpan w:val="2"/>
          </w:tcPr>
          <w:p w:rsidR="008355F0" w:rsidRDefault="008355F0" w:rsidP="003867F8">
            <w:pPr>
              <w:autoSpaceDE w:val="0"/>
              <w:autoSpaceDN w:val="0"/>
              <w:spacing w:before="60" w:after="60"/>
              <w:rPr>
                <w:sz w:val="16"/>
                <w:szCs w:val="16"/>
              </w:rPr>
            </w:pPr>
            <w:r w:rsidRPr="00DC13CF">
              <w:rPr>
                <w:color w:val="000000"/>
                <w:sz w:val="16"/>
                <w:szCs w:val="16"/>
              </w:rPr>
              <w:t xml:space="preserve">Developed a better quality text-to-speech application in Sinhalese for use by the visually impaired in reading accessible format books. </w:t>
            </w:r>
            <w:r>
              <w:rPr>
                <w:color w:val="000000"/>
                <w:sz w:val="16"/>
                <w:szCs w:val="16"/>
              </w:rPr>
              <w:t xml:space="preserve"> </w:t>
            </w:r>
            <w:r w:rsidRPr="00DC13CF">
              <w:rPr>
                <w:color w:val="000000"/>
                <w:sz w:val="16"/>
                <w:szCs w:val="16"/>
              </w:rPr>
              <w:t xml:space="preserve">Previously, only a very “synthetic sounding” text-to-speech application in Sinhalese existed. </w:t>
            </w:r>
            <w:r>
              <w:rPr>
                <w:color w:val="000000"/>
                <w:sz w:val="16"/>
                <w:szCs w:val="16"/>
              </w:rPr>
              <w:t xml:space="preserve"> </w:t>
            </w:r>
            <w:r w:rsidRPr="00DC13CF">
              <w:rPr>
                <w:color w:val="000000"/>
                <w:sz w:val="16"/>
                <w:szCs w:val="16"/>
              </w:rPr>
              <w:t>The application was developed by the University of Colombo, School of Computing.</w:t>
            </w:r>
          </w:p>
        </w:tc>
      </w:tr>
      <w:tr w:rsidR="008355F0" w:rsidRPr="00774D44" w:rsidTr="00E92F85">
        <w:trPr>
          <w:cantSplit/>
          <w:trHeight w:val="315"/>
        </w:trPr>
        <w:tc>
          <w:tcPr>
            <w:tcW w:w="1843" w:type="dxa"/>
          </w:tcPr>
          <w:p w:rsidR="008355F0" w:rsidRDefault="008355F0" w:rsidP="003867F8">
            <w:pPr>
              <w:autoSpaceDE w:val="0"/>
              <w:autoSpaceDN w:val="0"/>
              <w:spacing w:before="60" w:after="60"/>
              <w:rPr>
                <w:rFonts w:cs="Arial"/>
                <w:color w:val="000000"/>
                <w:sz w:val="16"/>
                <w:szCs w:val="16"/>
              </w:rPr>
            </w:pPr>
            <w:r>
              <w:rPr>
                <w:color w:val="000000"/>
                <w:sz w:val="16"/>
                <w:szCs w:val="16"/>
              </w:rPr>
              <w:t>Capacity building (through a Memorandum of Understanding)</w:t>
            </w:r>
          </w:p>
        </w:tc>
        <w:tc>
          <w:tcPr>
            <w:tcW w:w="1135" w:type="dxa"/>
          </w:tcPr>
          <w:p w:rsidR="008355F0" w:rsidRDefault="008355F0" w:rsidP="003867F8">
            <w:pPr>
              <w:autoSpaceDE w:val="0"/>
              <w:autoSpaceDN w:val="0"/>
              <w:spacing w:before="60" w:after="60"/>
              <w:rPr>
                <w:rFonts w:cs="Arial"/>
                <w:color w:val="000000"/>
                <w:sz w:val="16"/>
                <w:szCs w:val="16"/>
              </w:rPr>
            </w:pPr>
            <w:r>
              <w:rPr>
                <w:color w:val="000000"/>
                <w:sz w:val="16"/>
                <w:szCs w:val="16"/>
              </w:rPr>
              <w:t>Ongoing from 2014 and completed in May 2015</w:t>
            </w:r>
          </w:p>
        </w:tc>
        <w:tc>
          <w:tcPr>
            <w:tcW w:w="1559" w:type="dxa"/>
            <w:gridSpan w:val="2"/>
          </w:tcPr>
          <w:p w:rsidR="008355F0" w:rsidRDefault="008355F0" w:rsidP="003867F8">
            <w:pPr>
              <w:autoSpaceDE w:val="0"/>
              <w:autoSpaceDN w:val="0"/>
              <w:spacing w:before="60" w:after="60"/>
              <w:rPr>
                <w:rFonts w:cs="Arial"/>
                <w:color w:val="000000"/>
                <w:sz w:val="16"/>
                <w:szCs w:val="16"/>
              </w:rPr>
            </w:pPr>
            <w:r>
              <w:rPr>
                <w:color w:val="000000"/>
                <w:sz w:val="16"/>
                <w:szCs w:val="16"/>
              </w:rPr>
              <w:t>Nepal</w:t>
            </w:r>
          </w:p>
        </w:tc>
        <w:tc>
          <w:tcPr>
            <w:tcW w:w="4961" w:type="dxa"/>
            <w:gridSpan w:val="2"/>
          </w:tcPr>
          <w:p w:rsidR="008355F0" w:rsidRPr="006B365E" w:rsidRDefault="008355F0" w:rsidP="003867F8">
            <w:pPr>
              <w:autoSpaceDE w:val="0"/>
              <w:autoSpaceDN w:val="0"/>
              <w:spacing w:before="60" w:after="60"/>
              <w:rPr>
                <w:color w:val="000000"/>
                <w:sz w:val="16"/>
                <w:szCs w:val="16"/>
              </w:rPr>
            </w:pPr>
            <w:r w:rsidRPr="006B365E">
              <w:rPr>
                <w:color w:val="000000"/>
                <w:sz w:val="16"/>
                <w:szCs w:val="16"/>
              </w:rPr>
              <w:t xml:space="preserve">To provide a local organization, the Action on Disability Rights and Development (ADRAD), with the expertise and funding to carry out capacity building activities in Nepal. </w:t>
            </w:r>
          </w:p>
          <w:p w:rsidR="008355F0" w:rsidRPr="006B365E" w:rsidRDefault="008355F0" w:rsidP="003867F8">
            <w:pPr>
              <w:autoSpaceDE w:val="0"/>
              <w:autoSpaceDN w:val="0"/>
              <w:spacing w:before="60" w:after="60"/>
              <w:rPr>
                <w:color w:val="000000"/>
                <w:sz w:val="16"/>
                <w:szCs w:val="16"/>
              </w:rPr>
            </w:pPr>
            <w:r w:rsidRPr="006B365E">
              <w:rPr>
                <w:color w:val="000000"/>
                <w:sz w:val="16"/>
                <w:szCs w:val="16"/>
              </w:rPr>
              <w:t xml:space="preserve">Activities included: </w:t>
            </w:r>
            <w:r>
              <w:rPr>
                <w:color w:val="000000"/>
                <w:sz w:val="16"/>
                <w:szCs w:val="16"/>
              </w:rPr>
              <w:t xml:space="preserve"> </w:t>
            </w:r>
            <w:r w:rsidRPr="006B365E">
              <w:rPr>
                <w:color w:val="000000"/>
                <w:sz w:val="16"/>
                <w:szCs w:val="16"/>
              </w:rPr>
              <w:t>(i) the training of local government and commercial publishers, as well as local NGOs, on the production of accessible books;</w:t>
            </w:r>
            <w:r>
              <w:rPr>
                <w:color w:val="000000"/>
                <w:sz w:val="16"/>
                <w:szCs w:val="16"/>
              </w:rPr>
              <w:t xml:space="preserve"> </w:t>
            </w:r>
            <w:r w:rsidRPr="006B365E">
              <w:rPr>
                <w:color w:val="000000"/>
                <w:sz w:val="16"/>
                <w:szCs w:val="16"/>
              </w:rPr>
              <w:t xml:space="preserve"> (ii) the production of 140 educational books in accessible formats in English and Nepalese;</w:t>
            </w:r>
            <w:r>
              <w:rPr>
                <w:color w:val="000000"/>
                <w:sz w:val="16"/>
                <w:szCs w:val="16"/>
              </w:rPr>
              <w:t xml:space="preserve"> </w:t>
            </w:r>
            <w:r w:rsidRPr="006B365E">
              <w:rPr>
                <w:color w:val="000000"/>
                <w:sz w:val="16"/>
                <w:szCs w:val="16"/>
              </w:rPr>
              <w:t xml:space="preserve"> and (iii) the purchase of 100 Android devices that will be loaned to visually impaired students so that they can read these books. </w:t>
            </w:r>
            <w:r>
              <w:rPr>
                <w:color w:val="000000"/>
                <w:sz w:val="16"/>
                <w:szCs w:val="16"/>
              </w:rPr>
              <w:t xml:space="preserve"> </w:t>
            </w:r>
            <w:r w:rsidRPr="006B365E">
              <w:rPr>
                <w:color w:val="000000"/>
                <w:sz w:val="16"/>
                <w:szCs w:val="16"/>
              </w:rPr>
              <w:t>Anticipated beneficiaries of produced books are 1,500 visually impaired students.</w:t>
            </w:r>
          </w:p>
        </w:tc>
      </w:tr>
      <w:tr w:rsidR="008355F0" w:rsidRPr="00774D44" w:rsidTr="00E92F85">
        <w:trPr>
          <w:cantSplit/>
          <w:trHeight w:val="315"/>
        </w:trPr>
        <w:tc>
          <w:tcPr>
            <w:tcW w:w="1843" w:type="dxa"/>
          </w:tcPr>
          <w:p w:rsidR="008355F0" w:rsidRDefault="008355F0" w:rsidP="003867F8">
            <w:pPr>
              <w:autoSpaceDE w:val="0"/>
              <w:autoSpaceDN w:val="0"/>
              <w:spacing w:before="60" w:after="60"/>
              <w:rPr>
                <w:rFonts w:cs="Arial"/>
                <w:color w:val="000000"/>
                <w:sz w:val="16"/>
                <w:szCs w:val="16"/>
              </w:rPr>
            </w:pPr>
            <w:r>
              <w:rPr>
                <w:color w:val="000000"/>
                <w:sz w:val="16"/>
                <w:szCs w:val="16"/>
              </w:rPr>
              <w:t>Capacity building – DAISY Starter Kit</w:t>
            </w:r>
          </w:p>
        </w:tc>
        <w:tc>
          <w:tcPr>
            <w:tcW w:w="1135" w:type="dxa"/>
          </w:tcPr>
          <w:p w:rsidR="008355F0" w:rsidRDefault="008355F0" w:rsidP="003867F8">
            <w:pPr>
              <w:autoSpaceDE w:val="0"/>
              <w:autoSpaceDN w:val="0"/>
              <w:spacing w:before="60" w:after="60"/>
              <w:rPr>
                <w:rFonts w:cs="Arial"/>
                <w:color w:val="000000"/>
                <w:sz w:val="16"/>
                <w:szCs w:val="16"/>
              </w:rPr>
            </w:pPr>
            <w:r>
              <w:rPr>
                <w:rFonts w:cs="Arial"/>
                <w:color w:val="000000"/>
                <w:sz w:val="16"/>
                <w:szCs w:val="16"/>
              </w:rPr>
              <w:t>Ongoing from 2014 and completed in March 2016</w:t>
            </w:r>
          </w:p>
        </w:tc>
        <w:tc>
          <w:tcPr>
            <w:tcW w:w="1559" w:type="dxa"/>
            <w:gridSpan w:val="2"/>
          </w:tcPr>
          <w:p w:rsidR="008355F0" w:rsidRDefault="008355F0" w:rsidP="003867F8">
            <w:pPr>
              <w:autoSpaceDE w:val="0"/>
              <w:autoSpaceDN w:val="0"/>
              <w:spacing w:before="60" w:after="60"/>
              <w:rPr>
                <w:rFonts w:cs="Arial"/>
                <w:color w:val="000000"/>
                <w:sz w:val="16"/>
                <w:szCs w:val="16"/>
              </w:rPr>
            </w:pPr>
            <w:r>
              <w:rPr>
                <w:rFonts w:cs="Arial"/>
                <w:color w:val="000000"/>
                <w:sz w:val="16"/>
                <w:szCs w:val="16"/>
              </w:rPr>
              <w:t>India</w:t>
            </w:r>
          </w:p>
        </w:tc>
        <w:tc>
          <w:tcPr>
            <w:tcW w:w="4961" w:type="dxa"/>
            <w:gridSpan w:val="2"/>
          </w:tcPr>
          <w:p w:rsidR="008355F0" w:rsidRPr="006B365E" w:rsidRDefault="008355F0" w:rsidP="003867F8">
            <w:pPr>
              <w:autoSpaceDE w:val="0"/>
              <w:autoSpaceDN w:val="0"/>
              <w:spacing w:before="60" w:after="60"/>
              <w:rPr>
                <w:color w:val="000000"/>
                <w:sz w:val="16"/>
                <w:szCs w:val="16"/>
              </w:rPr>
            </w:pPr>
            <w:r w:rsidRPr="006B365E">
              <w:rPr>
                <w:color w:val="000000"/>
                <w:sz w:val="16"/>
                <w:szCs w:val="16"/>
              </w:rPr>
              <w:t xml:space="preserve">Provided funding to a partner organization, the DAISY Consortium, which produced a Starter Kit of guidelines and best practices for the production of books in accessible formats in developing countries.    </w:t>
            </w:r>
          </w:p>
        </w:tc>
      </w:tr>
      <w:tr w:rsidR="008355F0" w:rsidRPr="00774D44" w:rsidTr="00E92F85">
        <w:trPr>
          <w:cantSplit/>
          <w:trHeight w:val="315"/>
        </w:trPr>
        <w:tc>
          <w:tcPr>
            <w:tcW w:w="9498" w:type="dxa"/>
            <w:gridSpan w:val="6"/>
            <w:tcBorders>
              <w:top w:val="single" w:sz="4" w:space="0" w:color="000000"/>
              <w:bottom w:val="single" w:sz="4" w:space="0" w:color="000000"/>
            </w:tcBorders>
            <w:shd w:val="clear" w:color="auto" w:fill="C6D9F1" w:themeFill="text2" w:themeFillTint="33"/>
          </w:tcPr>
          <w:p w:rsidR="008355F0" w:rsidRPr="00712F53" w:rsidRDefault="008355F0" w:rsidP="003867F8">
            <w:pPr>
              <w:keepNext/>
              <w:keepLines/>
              <w:tabs>
                <w:tab w:val="left" w:pos="1740"/>
              </w:tabs>
              <w:spacing w:before="120" w:after="120"/>
              <w:ind w:left="1740" w:hanging="1740"/>
              <w:rPr>
                <w:sz w:val="18"/>
                <w:szCs w:val="18"/>
                <w:lang w:val="en-AU"/>
              </w:rPr>
            </w:pPr>
            <w:r w:rsidRPr="00712F53">
              <w:rPr>
                <w:rFonts w:cs="Arial"/>
                <w:b/>
                <w:bCs/>
                <w:color w:val="000000"/>
                <w:sz w:val="16"/>
                <w:szCs w:val="16"/>
              </w:rPr>
              <w:t>RESULT</w:t>
            </w:r>
            <w:r w:rsidRPr="00712F53">
              <w:rPr>
                <w:rFonts w:cs="Arial"/>
                <w:bCs/>
                <w:sz w:val="16"/>
                <w:szCs w:val="16"/>
                <w:lang w:val="en-AU"/>
              </w:rPr>
              <w:t>:</w:t>
            </w:r>
            <w:r w:rsidRPr="00712F53">
              <w:rPr>
                <w:rFonts w:cs="Arial"/>
                <w:bCs/>
                <w:sz w:val="16"/>
                <w:szCs w:val="16"/>
                <w:lang w:val="en-AU"/>
              </w:rPr>
              <w:tab/>
            </w:r>
            <w:r w:rsidRPr="00397836">
              <w:rPr>
                <w:rFonts w:cs="Arial"/>
                <w:bCs/>
                <w:sz w:val="16"/>
                <w:szCs w:val="16"/>
                <w:lang w:val="en-AU"/>
              </w:rPr>
              <w:t>VII.2. IP-based platforms and tools are used for knowledge transfer, technology adaptation and diffusion from developed to developing countries, particularly least developed countries, to address global challenges</w:t>
            </w:r>
          </w:p>
        </w:tc>
      </w:tr>
      <w:tr w:rsidR="008355F0" w:rsidRPr="00774D44" w:rsidTr="00E92F85">
        <w:trPr>
          <w:cantSplit/>
          <w:trHeight w:val="487"/>
        </w:trPr>
        <w:tc>
          <w:tcPr>
            <w:tcW w:w="1843" w:type="dxa"/>
            <w:tcBorders>
              <w:top w:val="single" w:sz="4" w:space="0" w:color="000000"/>
            </w:tcBorders>
            <w:vAlign w:val="center"/>
          </w:tcPr>
          <w:p w:rsidR="008355F0" w:rsidRPr="002B7DE5" w:rsidRDefault="008355F0" w:rsidP="003867F8">
            <w:pPr>
              <w:keepNext/>
              <w:keepLines/>
              <w:rPr>
                <w:rFonts w:cs="Arial"/>
                <w:b/>
                <w:bCs/>
                <w:sz w:val="16"/>
                <w:szCs w:val="16"/>
              </w:rPr>
            </w:pPr>
            <w:r w:rsidRPr="002B7DE5">
              <w:rPr>
                <w:rFonts w:cs="Arial"/>
                <w:b/>
                <w:bCs/>
                <w:sz w:val="16"/>
                <w:szCs w:val="16"/>
              </w:rPr>
              <w:t>Activity</w:t>
            </w:r>
          </w:p>
        </w:tc>
        <w:tc>
          <w:tcPr>
            <w:tcW w:w="1135" w:type="dxa"/>
            <w:tcBorders>
              <w:top w:val="single" w:sz="4" w:space="0" w:color="000000"/>
            </w:tcBorders>
            <w:vAlign w:val="center"/>
          </w:tcPr>
          <w:p w:rsidR="008355F0" w:rsidRPr="002B7DE5" w:rsidRDefault="008355F0" w:rsidP="003867F8">
            <w:pPr>
              <w:keepNext/>
              <w:keepLines/>
              <w:rPr>
                <w:rFonts w:cs="Arial"/>
                <w:sz w:val="16"/>
                <w:szCs w:val="16"/>
              </w:rPr>
            </w:pPr>
            <w:r w:rsidRPr="002B7DE5">
              <w:rPr>
                <w:rFonts w:cs="Arial"/>
                <w:b/>
                <w:bCs/>
                <w:sz w:val="16"/>
                <w:szCs w:val="16"/>
              </w:rPr>
              <w:t>Date</w:t>
            </w:r>
          </w:p>
        </w:tc>
        <w:tc>
          <w:tcPr>
            <w:tcW w:w="1559" w:type="dxa"/>
            <w:gridSpan w:val="2"/>
            <w:tcBorders>
              <w:top w:val="single" w:sz="4" w:space="0" w:color="000000"/>
            </w:tcBorders>
            <w:vAlign w:val="center"/>
          </w:tcPr>
          <w:p w:rsidR="008355F0" w:rsidRPr="002B7DE5" w:rsidRDefault="008355F0" w:rsidP="003867F8">
            <w:pPr>
              <w:keepNext/>
              <w:keepLines/>
              <w:rPr>
                <w:rFonts w:cs="Arial"/>
                <w:sz w:val="16"/>
                <w:szCs w:val="16"/>
              </w:rPr>
            </w:pPr>
            <w:r w:rsidRPr="002B7DE5">
              <w:rPr>
                <w:rFonts w:cs="Arial"/>
                <w:b/>
                <w:bCs/>
                <w:sz w:val="16"/>
                <w:szCs w:val="16"/>
              </w:rPr>
              <w:t>Host Country/</w:t>
            </w:r>
            <w:r w:rsidRPr="002B7DE5">
              <w:rPr>
                <w:rFonts w:cs="Arial"/>
                <w:b/>
                <w:bCs/>
                <w:sz w:val="16"/>
                <w:szCs w:val="16"/>
              </w:rPr>
              <w:br/>
              <w:t>Recipients</w:t>
            </w:r>
          </w:p>
        </w:tc>
        <w:tc>
          <w:tcPr>
            <w:tcW w:w="4961" w:type="dxa"/>
            <w:gridSpan w:val="2"/>
            <w:tcBorders>
              <w:top w:val="single" w:sz="4" w:space="0" w:color="000000"/>
            </w:tcBorders>
            <w:vAlign w:val="center"/>
          </w:tcPr>
          <w:p w:rsidR="008355F0" w:rsidRPr="002B7DE5" w:rsidRDefault="008355F0" w:rsidP="003867F8">
            <w:pPr>
              <w:keepNext/>
              <w:keepLines/>
              <w:rPr>
                <w:rFonts w:cs="Arial"/>
                <w:sz w:val="16"/>
                <w:szCs w:val="16"/>
              </w:rPr>
            </w:pPr>
            <w:r w:rsidRPr="002B7DE5">
              <w:rPr>
                <w:rFonts w:cs="Arial"/>
                <w:b/>
                <w:bCs/>
                <w:sz w:val="16"/>
                <w:szCs w:val="16"/>
              </w:rPr>
              <w:t>Purpose(s)/Description(s)</w:t>
            </w:r>
          </w:p>
        </w:tc>
      </w:tr>
      <w:tr w:rsidR="008355F0" w:rsidRPr="00F7487E" w:rsidTr="00E92F85">
        <w:trPr>
          <w:cantSplit/>
          <w:trHeight w:val="1362"/>
        </w:trPr>
        <w:tc>
          <w:tcPr>
            <w:tcW w:w="1843" w:type="dxa"/>
          </w:tcPr>
          <w:p w:rsidR="008355F0" w:rsidRPr="00F7487E" w:rsidRDefault="008355F0" w:rsidP="003867F8">
            <w:pPr>
              <w:spacing w:before="120" w:after="120"/>
              <w:rPr>
                <w:rFonts w:cs="Arial"/>
                <w:color w:val="000000"/>
                <w:sz w:val="16"/>
                <w:szCs w:val="16"/>
              </w:rPr>
            </w:pPr>
            <w:r>
              <w:rPr>
                <w:color w:val="000000"/>
                <w:sz w:val="16"/>
                <w:szCs w:val="16"/>
              </w:rPr>
              <w:t>Continuation of Hosting Arrangements for African Biomedical Scientists in research facilities outside Africa</w:t>
            </w:r>
          </w:p>
        </w:tc>
        <w:tc>
          <w:tcPr>
            <w:tcW w:w="1135" w:type="dxa"/>
          </w:tcPr>
          <w:p w:rsidR="008355F0" w:rsidRPr="00F7487E" w:rsidRDefault="008355F0" w:rsidP="003867F8">
            <w:pPr>
              <w:spacing w:before="120" w:after="120"/>
              <w:rPr>
                <w:rFonts w:cs="Arial"/>
                <w:color w:val="000000"/>
                <w:sz w:val="16"/>
                <w:szCs w:val="16"/>
              </w:rPr>
            </w:pPr>
            <w:r>
              <w:rPr>
                <w:color w:val="000000"/>
                <w:sz w:val="16"/>
                <w:szCs w:val="16"/>
              </w:rPr>
              <w:t>October to December 2015</w:t>
            </w:r>
            <w:r>
              <w:rPr>
                <w:rStyle w:val="FootnoteReference"/>
                <w:color w:val="000000"/>
                <w:sz w:val="16"/>
                <w:szCs w:val="16"/>
              </w:rPr>
              <w:footnoteReference w:id="150"/>
            </w:r>
          </w:p>
        </w:tc>
        <w:tc>
          <w:tcPr>
            <w:tcW w:w="1559" w:type="dxa"/>
            <w:gridSpan w:val="2"/>
          </w:tcPr>
          <w:p w:rsidR="008355F0" w:rsidRPr="00F7487E" w:rsidRDefault="008355F0" w:rsidP="003867F8">
            <w:pPr>
              <w:spacing w:before="120" w:after="120" w:line="276" w:lineRule="auto"/>
              <w:rPr>
                <w:rFonts w:cs="Arial"/>
                <w:color w:val="000000"/>
                <w:sz w:val="16"/>
                <w:szCs w:val="16"/>
              </w:rPr>
            </w:pPr>
            <w:r>
              <w:rPr>
                <w:color w:val="000000"/>
                <w:sz w:val="16"/>
                <w:szCs w:val="16"/>
              </w:rPr>
              <w:t>University of California Sa</w:t>
            </w:r>
            <w:r>
              <w:rPr>
                <w:sz w:val="16"/>
                <w:szCs w:val="16"/>
              </w:rPr>
              <w:t>n Diego</w:t>
            </w:r>
            <w:r>
              <w:rPr>
                <w:color w:val="000000"/>
                <w:sz w:val="16"/>
                <w:szCs w:val="16"/>
              </w:rPr>
              <w:t>, USA/ Dr. Christian Agyare and Ms. Kyere-Davies.</w:t>
            </w:r>
          </w:p>
        </w:tc>
        <w:tc>
          <w:tcPr>
            <w:tcW w:w="4961" w:type="dxa"/>
            <w:gridSpan w:val="2"/>
          </w:tcPr>
          <w:p w:rsidR="008355F0" w:rsidRPr="00F7487E" w:rsidRDefault="008355F0" w:rsidP="003867F8">
            <w:pPr>
              <w:spacing w:before="120" w:after="120"/>
              <w:rPr>
                <w:rFonts w:cs="Arial"/>
                <w:color w:val="000000"/>
                <w:sz w:val="16"/>
                <w:szCs w:val="16"/>
              </w:rPr>
            </w:pPr>
            <w:r>
              <w:rPr>
                <w:color w:val="000000"/>
                <w:sz w:val="16"/>
                <w:szCs w:val="16"/>
              </w:rPr>
              <w:t>To promote:  (i) the effective use of IP to address a global health challenge (neglected tropical diseases (NTDs), which affect many LDCs;  and (ii) knowledge transfer for scientists, particularly from LDCs.  Customized research programs were developed to ensure that participants upgrade research skills and are able to make a significant contribution in their home countries on NTDs.</w:t>
            </w:r>
          </w:p>
        </w:tc>
      </w:tr>
    </w:tbl>
    <w:p w:rsidR="008355F0" w:rsidRDefault="008355F0"/>
    <w:p w:rsidR="008355F0" w:rsidRDefault="008355F0" w:rsidP="003867F8">
      <w:pPr>
        <w:rPr>
          <w:rFonts w:cs="Arial"/>
          <w:b/>
          <w:szCs w:val="20"/>
        </w:rPr>
      </w:pPr>
    </w:p>
    <w:p w:rsidR="005C0552" w:rsidRPr="000B5656" w:rsidRDefault="005C0552" w:rsidP="005C0552">
      <w:pPr>
        <w:rPr>
          <w:rFonts w:cs="Arial"/>
          <w:b/>
          <w:bCs/>
          <w:color w:val="000000"/>
          <w:szCs w:val="20"/>
        </w:rPr>
      </w:pPr>
      <w:r>
        <w:rPr>
          <w:rFonts w:cs="Arial"/>
          <w:b/>
          <w:szCs w:val="16"/>
        </w:rPr>
        <w:t xml:space="preserve">AUSTRALIA </w:t>
      </w:r>
      <w:r w:rsidRPr="000B5656">
        <w:rPr>
          <w:rFonts w:cs="Arial"/>
          <w:b/>
          <w:bCs/>
          <w:color w:val="000000"/>
          <w:szCs w:val="20"/>
        </w:rPr>
        <w:t>Donor Contributions and Expenditure in 2015</w:t>
      </w:r>
    </w:p>
    <w:p w:rsidR="005C0552" w:rsidRDefault="005C0552" w:rsidP="005C0552"/>
    <w:tbl>
      <w:tblPr>
        <w:tblW w:w="9649" w:type="dxa"/>
        <w:tblInd w:w="98" w:type="dxa"/>
        <w:tblLook w:val="04A0" w:firstRow="1" w:lastRow="0" w:firstColumn="1" w:lastColumn="0" w:noHBand="0" w:noVBand="1"/>
      </w:tblPr>
      <w:tblGrid>
        <w:gridCol w:w="2040"/>
        <w:gridCol w:w="1640"/>
        <w:gridCol w:w="1860"/>
        <w:gridCol w:w="1780"/>
        <w:gridCol w:w="2329"/>
      </w:tblGrid>
      <w:tr w:rsidR="005C0552" w:rsidRPr="000B5656" w:rsidTr="00547ACE">
        <w:trPr>
          <w:trHeight w:val="450"/>
        </w:trPr>
        <w:tc>
          <w:tcPr>
            <w:tcW w:w="2040" w:type="dxa"/>
            <w:tcBorders>
              <w:top w:val="single" w:sz="8" w:space="0" w:color="auto"/>
              <w:left w:val="single" w:sz="8" w:space="0" w:color="auto"/>
              <w:bottom w:val="nil"/>
              <w:right w:val="single" w:sz="8" w:space="0" w:color="auto"/>
            </w:tcBorders>
            <w:shd w:val="clear" w:color="000000" w:fill="C5D9F1"/>
            <w:vAlign w:val="center"/>
            <w:hideMark/>
          </w:tcPr>
          <w:p w:rsidR="005C0552" w:rsidRPr="000B5656" w:rsidRDefault="005C0552" w:rsidP="00547ACE">
            <w:pPr>
              <w:jc w:val="center"/>
              <w:rPr>
                <w:rFonts w:cs="Arial"/>
                <w:b/>
                <w:bCs/>
                <w:color w:val="000000"/>
                <w:sz w:val="16"/>
                <w:szCs w:val="16"/>
              </w:rPr>
            </w:pPr>
            <w:r w:rsidRPr="000B5656">
              <w:rPr>
                <w:rFonts w:cs="Arial"/>
                <w:b/>
                <w:bCs/>
                <w:color w:val="000000"/>
                <w:sz w:val="16"/>
                <w:szCs w:val="16"/>
              </w:rPr>
              <w:t>Balance as of December 31, 2014</w:t>
            </w:r>
          </w:p>
        </w:tc>
        <w:tc>
          <w:tcPr>
            <w:tcW w:w="1640" w:type="dxa"/>
            <w:tcBorders>
              <w:top w:val="single" w:sz="8" w:space="0" w:color="auto"/>
              <w:left w:val="nil"/>
              <w:bottom w:val="nil"/>
              <w:right w:val="single" w:sz="8" w:space="0" w:color="auto"/>
            </w:tcBorders>
            <w:shd w:val="clear" w:color="000000" w:fill="C5D9F1"/>
            <w:vAlign w:val="center"/>
            <w:hideMark/>
          </w:tcPr>
          <w:p w:rsidR="005C0552" w:rsidRPr="000B5656" w:rsidRDefault="005C0552" w:rsidP="00547ACE">
            <w:pPr>
              <w:jc w:val="center"/>
              <w:rPr>
                <w:rFonts w:cs="Arial"/>
                <w:b/>
                <w:bCs/>
                <w:color w:val="000000"/>
                <w:sz w:val="16"/>
                <w:szCs w:val="16"/>
              </w:rPr>
            </w:pPr>
            <w:r w:rsidRPr="000B5656">
              <w:rPr>
                <w:rFonts w:cs="Arial"/>
                <w:b/>
                <w:bCs/>
                <w:color w:val="000000"/>
                <w:sz w:val="16"/>
                <w:szCs w:val="16"/>
              </w:rPr>
              <w:t>Income 2015</w:t>
            </w:r>
          </w:p>
        </w:tc>
        <w:tc>
          <w:tcPr>
            <w:tcW w:w="1860" w:type="dxa"/>
            <w:tcBorders>
              <w:top w:val="single" w:sz="8" w:space="0" w:color="auto"/>
              <w:left w:val="nil"/>
              <w:bottom w:val="nil"/>
              <w:right w:val="single" w:sz="8" w:space="0" w:color="auto"/>
            </w:tcBorders>
            <w:shd w:val="clear" w:color="000000" w:fill="C5D9F1"/>
            <w:vAlign w:val="center"/>
            <w:hideMark/>
          </w:tcPr>
          <w:p w:rsidR="005C0552" w:rsidRPr="000B5656" w:rsidRDefault="005C0552" w:rsidP="00547ACE">
            <w:pPr>
              <w:jc w:val="center"/>
              <w:rPr>
                <w:rFonts w:cs="Arial"/>
                <w:b/>
                <w:bCs/>
                <w:color w:val="000000"/>
                <w:sz w:val="16"/>
                <w:szCs w:val="16"/>
              </w:rPr>
            </w:pPr>
            <w:r w:rsidRPr="000B5656">
              <w:rPr>
                <w:rFonts w:cs="Arial"/>
                <w:b/>
                <w:bCs/>
                <w:color w:val="000000"/>
                <w:sz w:val="16"/>
                <w:szCs w:val="16"/>
              </w:rPr>
              <w:t>Expenditure 2015</w:t>
            </w:r>
          </w:p>
        </w:tc>
        <w:tc>
          <w:tcPr>
            <w:tcW w:w="1780" w:type="dxa"/>
            <w:tcBorders>
              <w:top w:val="single" w:sz="8" w:space="0" w:color="auto"/>
              <w:left w:val="nil"/>
              <w:bottom w:val="nil"/>
              <w:right w:val="single" w:sz="8" w:space="0" w:color="auto"/>
            </w:tcBorders>
            <w:shd w:val="clear" w:color="000000" w:fill="C5D9F1"/>
            <w:vAlign w:val="center"/>
            <w:hideMark/>
          </w:tcPr>
          <w:p w:rsidR="005C0552" w:rsidRPr="000B5656" w:rsidRDefault="005C0552" w:rsidP="00547ACE">
            <w:pPr>
              <w:jc w:val="center"/>
              <w:rPr>
                <w:rFonts w:cs="Arial"/>
                <w:b/>
                <w:bCs/>
                <w:color w:val="000000"/>
                <w:sz w:val="16"/>
                <w:szCs w:val="16"/>
              </w:rPr>
            </w:pPr>
            <w:r w:rsidRPr="000B5656">
              <w:rPr>
                <w:rFonts w:cs="Arial"/>
                <w:b/>
                <w:bCs/>
                <w:color w:val="000000"/>
                <w:sz w:val="16"/>
                <w:szCs w:val="16"/>
              </w:rPr>
              <w:t>Reimbursements</w:t>
            </w:r>
          </w:p>
        </w:tc>
        <w:tc>
          <w:tcPr>
            <w:tcW w:w="2329" w:type="dxa"/>
            <w:tcBorders>
              <w:top w:val="single" w:sz="8" w:space="0" w:color="auto"/>
              <w:left w:val="nil"/>
              <w:bottom w:val="nil"/>
              <w:right w:val="single" w:sz="8" w:space="0" w:color="auto"/>
            </w:tcBorders>
            <w:shd w:val="clear" w:color="000000" w:fill="C5D9F1"/>
            <w:vAlign w:val="center"/>
            <w:hideMark/>
          </w:tcPr>
          <w:p w:rsidR="005C0552" w:rsidRPr="000B5656" w:rsidRDefault="005C0552" w:rsidP="00547ACE">
            <w:pPr>
              <w:jc w:val="center"/>
              <w:rPr>
                <w:rFonts w:cs="Arial"/>
                <w:b/>
                <w:bCs/>
                <w:color w:val="000000"/>
                <w:sz w:val="16"/>
                <w:szCs w:val="16"/>
              </w:rPr>
            </w:pPr>
            <w:r w:rsidRPr="000B5656">
              <w:rPr>
                <w:rFonts w:cs="Arial"/>
                <w:b/>
                <w:bCs/>
                <w:color w:val="000000"/>
                <w:sz w:val="16"/>
                <w:szCs w:val="16"/>
              </w:rPr>
              <w:t>Balance as of December</w:t>
            </w:r>
            <w:r>
              <w:rPr>
                <w:rFonts w:cs="Arial"/>
                <w:b/>
                <w:bCs/>
                <w:color w:val="000000"/>
                <w:sz w:val="16"/>
                <w:szCs w:val="16"/>
              </w:rPr>
              <w:t> </w:t>
            </w:r>
            <w:r w:rsidRPr="000B5656">
              <w:rPr>
                <w:rFonts w:cs="Arial"/>
                <w:b/>
                <w:bCs/>
                <w:color w:val="000000"/>
                <w:sz w:val="16"/>
                <w:szCs w:val="16"/>
              </w:rPr>
              <w:t>31, 2015</w:t>
            </w:r>
          </w:p>
        </w:tc>
      </w:tr>
      <w:tr w:rsidR="005C0552" w:rsidRPr="000B5656" w:rsidTr="00547ACE">
        <w:trPr>
          <w:trHeight w:val="255"/>
        </w:trPr>
        <w:tc>
          <w:tcPr>
            <w:tcW w:w="20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C0552" w:rsidRPr="000B5656" w:rsidRDefault="005C0552" w:rsidP="00547ACE">
            <w:pPr>
              <w:jc w:val="center"/>
              <w:rPr>
                <w:rFonts w:cs="Arial"/>
                <w:color w:val="000000"/>
                <w:sz w:val="16"/>
                <w:szCs w:val="16"/>
              </w:rPr>
            </w:pPr>
            <w:r>
              <w:rPr>
                <w:rFonts w:cs="Arial"/>
                <w:color w:val="000000"/>
                <w:sz w:val="16"/>
                <w:szCs w:val="16"/>
              </w:rPr>
              <w:t>493,374</w:t>
            </w:r>
          </w:p>
        </w:tc>
        <w:tc>
          <w:tcPr>
            <w:tcW w:w="1640" w:type="dxa"/>
            <w:tcBorders>
              <w:top w:val="single" w:sz="4" w:space="0" w:color="auto"/>
              <w:left w:val="nil"/>
              <w:bottom w:val="single" w:sz="4" w:space="0" w:color="auto"/>
              <w:right w:val="single" w:sz="4" w:space="0" w:color="auto"/>
            </w:tcBorders>
            <w:shd w:val="clear" w:color="auto" w:fill="auto"/>
            <w:vAlign w:val="center"/>
            <w:hideMark/>
          </w:tcPr>
          <w:p w:rsidR="005C0552" w:rsidRPr="000B5656" w:rsidRDefault="005C0552" w:rsidP="00547ACE">
            <w:pPr>
              <w:jc w:val="center"/>
              <w:rPr>
                <w:rFonts w:cs="Arial"/>
                <w:color w:val="000000"/>
                <w:sz w:val="16"/>
                <w:szCs w:val="16"/>
              </w:rPr>
            </w:pPr>
            <w:r>
              <w:rPr>
                <w:rFonts w:cs="Arial"/>
                <w:color w:val="000000"/>
                <w:sz w:val="16"/>
                <w:szCs w:val="16"/>
              </w:rPr>
              <w:t>727</w:t>
            </w:r>
          </w:p>
        </w:tc>
        <w:tc>
          <w:tcPr>
            <w:tcW w:w="1860" w:type="dxa"/>
            <w:tcBorders>
              <w:top w:val="single" w:sz="4" w:space="0" w:color="auto"/>
              <w:left w:val="nil"/>
              <w:bottom w:val="single" w:sz="4" w:space="0" w:color="auto"/>
              <w:right w:val="single" w:sz="4" w:space="0" w:color="auto"/>
            </w:tcBorders>
            <w:shd w:val="clear" w:color="auto" w:fill="auto"/>
            <w:vAlign w:val="center"/>
            <w:hideMark/>
          </w:tcPr>
          <w:p w:rsidR="005C0552" w:rsidRPr="000B5656" w:rsidRDefault="005C0552" w:rsidP="00547ACE">
            <w:pPr>
              <w:jc w:val="center"/>
              <w:rPr>
                <w:rFonts w:cs="Arial"/>
                <w:color w:val="000000"/>
                <w:sz w:val="16"/>
                <w:szCs w:val="16"/>
              </w:rPr>
            </w:pPr>
            <w:r>
              <w:rPr>
                <w:rFonts w:cs="Arial"/>
                <w:color w:val="000000"/>
                <w:sz w:val="16"/>
                <w:szCs w:val="16"/>
              </w:rPr>
              <w:t>383,882</w:t>
            </w:r>
          </w:p>
        </w:tc>
        <w:tc>
          <w:tcPr>
            <w:tcW w:w="1780" w:type="dxa"/>
            <w:tcBorders>
              <w:top w:val="single" w:sz="4" w:space="0" w:color="auto"/>
              <w:left w:val="nil"/>
              <w:bottom w:val="single" w:sz="4" w:space="0" w:color="auto"/>
              <w:right w:val="single" w:sz="4" w:space="0" w:color="auto"/>
            </w:tcBorders>
            <w:shd w:val="clear" w:color="auto" w:fill="auto"/>
            <w:noWrap/>
            <w:vAlign w:val="center"/>
            <w:hideMark/>
          </w:tcPr>
          <w:p w:rsidR="005C0552" w:rsidRPr="00EF296D" w:rsidRDefault="005C0552" w:rsidP="00547ACE">
            <w:pPr>
              <w:jc w:val="center"/>
              <w:rPr>
                <w:rFonts w:cs="Arial"/>
                <w:color w:val="000000"/>
                <w:sz w:val="16"/>
                <w:szCs w:val="16"/>
              </w:rPr>
            </w:pPr>
            <w:r>
              <w:rPr>
                <w:rFonts w:cs="Arial"/>
                <w:color w:val="000000"/>
                <w:sz w:val="16"/>
                <w:szCs w:val="16"/>
              </w:rPr>
              <w:t>-</w:t>
            </w:r>
          </w:p>
        </w:tc>
        <w:tc>
          <w:tcPr>
            <w:tcW w:w="2329" w:type="dxa"/>
            <w:tcBorders>
              <w:top w:val="single" w:sz="4" w:space="0" w:color="auto"/>
              <w:left w:val="nil"/>
              <w:bottom w:val="single" w:sz="4" w:space="0" w:color="auto"/>
              <w:right w:val="single" w:sz="4" w:space="0" w:color="auto"/>
            </w:tcBorders>
            <w:shd w:val="clear" w:color="auto" w:fill="auto"/>
            <w:vAlign w:val="center"/>
            <w:hideMark/>
          </w:tcPr>
          <w:p w:rsidR="005C0552" w:rsidRPr="000B5656" w:rsidRDefault="005C0552" w:rsidP="00547ACE">
            <w:pPr>
              <w:jc w:val="center"/>
              <w:rPr>
                <w:rFonts w:cs="Arial"/>
                <w:color w:val="000000"/>
                <w:sz w:val="16"/>
                <w:szCs w:val="16"/>
              </w:rPr>
            </w:pPr>
            <w:r>
              <w:rPr>
                <w:rFonts w:cs="Arial"/>
                <w:color w:val="000000"/>
                <w:sz w:val="16"/>
                <w:szCs w:val="16"/>
              </w:rPr>
              <w:t>110,219</w:t>
            </w:r>
          </w:p>
        </w:tc>
      </w:tr>
    </w:tbl>
    <w:p w:rsidR="005C0552" w:rsidRDefault="005C0552" w:rsidP="003867F8">
      <w:pPr>
        <w:rPr>
          <w:rFonts w:cs="Arial"/>
          <w:b/>
          <w:szCs w:val="20"/>
        </w:rPr>
      </w:pPr>
    </w:p>
    <w:p w:rsidR="005C0552" w:rsidRDefault="005C0552" w:rsidP="003867F8">
      <w:pPr>
        <w:rPr>
          <w:rFonts w:cs="Arial"/>
          <w:b/>
          <w:szCs w:val="20"/>
        </w:rPr>
      </w:pPr>
    </w:p>
    <w:p w:rsidR="008355F0" w:rsidRDefault="008355F0" w:rsidP="003867F8">
      <w:pPr>
        <w:rPr>
          <w:rFonts w:cs="Arial"/>
          <w:b/>
          <w:szCs w:val="16"/>
        </w:rPr>
      </w:pPr>
      <w:r w:rsidRPr="000B5656">
        <w:rPr>
          <w:rFonts w:cs="Arial"/>
          <w:b/>
          <w:szCs w:val="16"/>
        </w:rPr>
        <w:t>BRAZIL</w:t>
      </w:r>
    </w:p>
    <w:p w:rsidR="008355F0" w:rsidRPr="000B5656" w:rsidRDefault="008355F0" w:rsidP="003867F8">
      <w:pPr>
        <w:rPr>
          <w:rFonts w:cs="Arial"/>
          <w:b/>
          <w:szCs w:val="16"/>
        </w:rPr>
      </w:pPr>
    </w:p>
    <w:tbl>
      <w:tblPr>
        <w:tblW w:w="9498" w:type="dxa"/>
        <w:tblInd w:w="10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43"/>
        <w:gridCol w:w="1276"/>
        <w:gridCol w:w="1559"/>
        <w:gridCol w:w="4820"/>
      </w:tblGrid>
      <w:tr w:rsidR="008355F0" w:rsidRPr="000B5656" w:rsidTr="00E92F85">
        <w:trPr>
          <w:cantSplit/>
          <w:trHeight w:val="315"/>
        </w:trPr>
        <w:tc>
          <w:tcPr>
            <w:tcW w:w="9498" w:type="dxa"/>
            <w:gridSpan w:val="4"/>
            <w:tcBorders>
              <w:top w:val="single" w:sz="4" w:space="0" w:color="000000"/>
              <w:bottom w:val="single" w:sz="4" w:space="0" w:color="000000"/>
            </w:tcBorders>
            <w:shd w:val="clear" w:color="auto" w:fill="C6D9F1" w:themeFill="text2" w:themeFillTint="33"/>
          </w:tcPr>
          <w:p w:rsidR="008355F0" w:rsidRPr="000B5656" w:rsidRDefault="008355F0" w:rsidP="003867F8">
            <w:pPr>
              <w:keepNext/>
              <w:keepLines/>
              <w:tabs>
                <w:tab w:val="left" w:pos="1740"/>
              </w:tabs>
              <w:spacing w:before="120" w:after="120"/>
              <w:ind w:left="1740" w:hanging="1740"/>
              <w:rPr>
                <w:rFonts w:cs="Arial"/>
                <w:color w:val="000000"/>
                <w:sz w:val="16"/>
                <w:szCs w:val="16"/>
              </w:rPr>
            </w:pPr>
            <w:r w:rsidRPr="000B5656">
              <w:rPr>
                <w:rFonts w:cs="Arial"/>
                <w:b/>
                <w:bCs/>
                <w:color w:val="000000"/>
                <w:sz w:val="16"/>
                <w:szCs w:val="16"/>
              </w:rPr>
              <w:t>RESULT</w:t>
            </w:r>
            <w:r w:rsidRPr="000B5656">
              <w:rPr>
                <w:rFonts w:cs="Arial"/>
                <w:bCs/>
                <w:sz w:val="16"/>
                <w:szCs w:val="16"/>
                <w:lang w:val="en-AU"/>
              </w:rPr>
              <w:t>:</w:t>
            </w:r>
            <w:r w:rsidRPr="000B5656">
              <w:rPr>
                <w:rFonts w:cs="Arial"/>
                <w:bCs/>
                <w:sz w:val="16"/>
                <w:szCs w:val="16"/>
                <w:lang w:val="en-AU"/>
              </w:rPr>
              <w:tab/>
              <w:t>III.2. Enhanced human resource capacities able to deal with the broad range of requirements for the effective use of IP for development in developing countries, LDCs and countries with economies in transition</w:t>
            </w:r>
          </w:p>
        </w:tc>
      </w:tr>
      <w:tr w:rsidR="008355F0" w:rsidRPr="000B5656" w:rsidTr="00E37059">
        <w:trPr>
          <w:cantSplit/>
          <w:trHeight w:val="402"/>
        </w:trPr>
        <w:tc>
          <w:tcPr>
            <w:tcW w:w="1843" w:type="dxa"/>
            <w:tcBorders>
              <w:top w:val="single" w:sz="4" w:space="0" w:color="000000"/>
              <w:bottom w:val="single" w:sz="4" w:space="0" w:color="auto"/>
            </w:tcBorders>
            <w:vAlign w:val="center"/>
          </w:tcPr>
          <w:p w:rsidR="008355F0" w:rsidRPr="000B5656" w:rsidRDefault="008355F0" w:rsidP="003867F8">
            <w:pPr>
              <w:keepNext/>
              <w:keepLines/>
              <w:spacing w:before="120" w:after="120"/>
              <w:rPr>
                <w:rFonts w:cs="Arial"/>
                <w:b/>
                <w:bCs/>
                <w:sz w:val="16"/>
                <w:szCs w:val="16"/>
              </w:rPr>
            </w:pPr>
            <w:r w:rsidRPr="000B5656">
              <w:rPr>
                <w:rFonts w:cs="Arial"/>
                <w:b/>
                <w:bCs/>
                <w:sz w:val="16"/>
                <w:szCs w:val="16"/>
              </w:rPr>
              <w:t>Activity</w:t>
            </w:r>
          </w:p>
        </w:tc>
        <w:tc>
          <w:tcPr>
            <w:tcW w:w="1276" w:type="dxa"/>
            <w:tcBorders>
              <w:top w:val="single" w:sz="4" w:space="0" w:color="000000"/>
              <w:bottom w:val="single" w:sz="4" w:space="0" w:color="auto"/>
            </w:tcBorders>
            <w:vAlign w:val="center"/>
          </w:tcPr>
          <w:p w:rsidR="008355F0" w:rsidRPr="000B5656" w:rsidRDefault="008355F0" w:rsidP="003867F8">
            <w:pPr>
              <w:keepNext/>
              <w:keepLines/>
              <w:spacing w:before="120" w:after="120"/>
              <w:rPr>
                <w:rFonts w:cs="Arial"/>
                <w:sz w:val="16"/>
                <w:szCs w:val="16"/>
              </w:rPr>
            </w:pPr>
            <w:r w:rsidRPr="000B5656">
              <w:rPr>
                <w:rFonts w:cs="Arial"/>
                <w:b/>
                <w:bCs/>
                <w:sz w:val="16"/>
                <w:szCs w:val="16"/>
              </w:rPr>
              <w:t>Date</w:t>
            </w:r>
          </w:p>
        </w:tc>
        <w:tc>
          <w:tcPr>
            <w:tcW w:w="1559" w:type="dxa"/>
            <w:tcBorders>
              <w:top w:val="single" w:sz="4" w:space="0" w:color="000000"/>
              <w:bottom w:val="single" w:sz="4" w:space="0" w:color="auto"/>
            </w:tcBorders>
            <w:vAlign w:val="center"/>
          </w:tcPr>
          <w:p w:rsidR="008355F0" w:rsidRPr="000B5656" w:rsidRDefault="008355F0" w:rsidP="003867F8">
            <w:pPr>
              <w:keepNext/>
              <w:keepLines/>
              <w:spacing w:before="120" w:after="120"/>
              <w:rPr>
                <w:rFonts w:cs="Arial"/>
                <w:sz w:val="16"/>
                <w:szCs w:val="16"/>
              </w:rPr>
            </w:pPr>
            <w:r w:rsidRPr="000B5656">
              <w:rPr>
                <w:rFonts w:cs="Arial"/>
                <w:b/>
                <w:bCs/>
                <w:sz w:val="16"/>
                <w:szCs w:val="16"/>
              </w:rPr>
              <w:t>Host Country/</w:t>
            </w:r>
            <w:r w:rsidRPr="000B5656">
              <w:rPr>
                <w:rFonts w:cs="Arial"/>
                <w:b/>
                <w:bCs/>
                <w:sz w:val="16"/>
                <w:szCs w:val="16"/>
              </w:rPr>
              <w:br/>
              <w:t>Recipients</w:t>
            </w:r>
          </w:p>
        </w:tc>
        <w:tc>
          <w:tcPr>
            <w:tcW w:w="4820" w:type="dxa"/>
            <w:tcBorders>
              <w:top w:val="single" w:sz="4" w:space="0" w:color="000000"/>
              <w:bottom w:val="single" w:sz="4" w:space="0" w:color="auto"/>
            </w:tcBorders>
            <w:vAlign w:val="center"/>
          </w:tcPr>
          <w:p w:rsidR="008355F0" w:rsidRPr="000B5656" w:rsidRDefault="008355F0" w:rsidP="003867F8">
            <w:pPr>
              <w:keepNext/>
              <w:keepLines/>
              <w:spacing w:before="120" w:after="120"/>
              <w:rPr>
                <w:rFonts w:cs="Arial"/>
                <w:sz w:val="16"/>
                <w:szCs w:val="16"/>
              </w:rPr>
            </w:pPr>
            <w:r w:rsidRPr="000B5656">
              <w:rPr>
                <w:rFonts w:cs="Arial"/>
                <w:b/>
                <w:bCs/>
                <w:sz w:val="16"/>
                <w:szCs w:val="16"/>
              </w:rPr>
              <w:t>Purpose(s)/Description(s)</w:t>
            </w:r>
          </w:p>
        </w:tc>
      </w:tr>
      <w:tr w:rsidR="008355F0" w:rsidRPr="000B5656" w:rsidTr="00E37059">
        <w:trPr>
          <w:cantSplit/>
          <w:trHeight w:val="315"/>
        </w:trPr>
        <w:tc>
          <w:tcPr>
            <w:tcW w:w="1843" w:type="dxa"/>
            <w:tcBorders>
              <w:top w:val="single" w:sz="4" w:space="0" w:color="auto"/>
              <w:left w:val="single" w:sz="4" w:space="0" w:color="auto"/>
              <w:bottom w:val="nil"/>
            </w:tcBorders>
          </w:tcPr>
          <w:p w:rsidR="008355F0" w:rsidRPr="000B5656" w:rsidRDefault="008355F0" w:rsidP="003867F8">
            <w:pPr>
              <w:autoSpaceDE w:val="0"/>
              <w:autoSpaceDN w:val="0"/>
              <w:adjustRightInd w:val="0"/>
              <w:spacing w:before="120" w:after="120"/>
              <w:rPr>
                <w:rFonts w:cs="Arial"/>
                <w:color w:val="000000"/>
                <w:sz w:val="16"/>
                <w:szCs w:val="16"/>
              </w:rPr>
            </w:pPr>
            <w:r>
              <w:rPr>
                <w:rFonts w:cs="Arial"/>
                <w:color w:val="000000"/>
                <w:sz w:val="16"/>
                <w:szCs w:val="16"/>
              </w:rPr>
              <w:t>IX</w:t>
            </w:r>
            <w:r w:rsidRPr="008E793E">
              <w:rPr>
                <w:rFonts w:cs="Arial"/>
                <w:color w:val="000000"/>
                <w:sz w:val="16"/>
                <w:szCs w:val="16"/>
              </w:rPr>
              <w:t xml:space="preserve"> Annual Meeting of the Brazilian Forum of Innovation and Technology Transfer Managers (FORTEC)</w:t>
            </w:r>
          </w:p>
        </w:tc>
        <w:tc>
          <w:tcPr>
            <w:tcW w:w="1276" w:type="dxa"/>
            <w:tcBorders>
              <w:top w:val="single" w:sz="4" w:space="0" w:color="auto"/>
              <w:bottom w:val="nil"/>
            </w:tcBorders>
          </w:tcPr>
          <w:p w:rsidR="008355F0" w:rsidRPr="000B5656" w:rsidRDefault="008355F0" w:rsidP="003867F8">
            <w:pPr>
              <w:autoSpaceDE w:val="0"/>
              <w:autoSpaceDN w:val="0"/>
              <w:adjustRightInd w:val="0"/>
              <w:spacing w:before="120" w:after="120"/>
              <w:rPr>
                <w:rFonts w:cs="Arial"/>
                <w:color w:val="000000"/>
                <w:sz w:val="16"/>
                <w:szCs w:val="16"/>
              </w:rPr>
            </w:pPr>
            <w:r w:rsidRPr="000B5656">
              <w:rPr>
                <w:rFonts w:cs="Arial"/>
                <w:color w:val="000000"/>
                <w:sz w:val="16"/>
                <w:szCs w:val="16"/>
              </w:rPr>
              <w:t>May 19 to 22, 2015</w:t>
            </w:r>
          </w:p>
        </w:tc>
        <w:tc>
          <w:tcPr>
            <w:tcW w:w="1559" w:type="dxa"/>
            <w:tcBorders>
              <w:top w:val="single" w:sz="4" w:space="0" w:color="auto"/>
              <w:bottom w:val="nil"/>
            </w:tcBorders>
          </w:tcPr>
          <w:p w:rsidR="008355F0" w:rsidRPr="000B5656" w:rsidRDefault="008355F0" w:rsidP="003867F8">
            <w:pPr>
              <w:autoSpaceDE w:val="0"/>
              <w:autoSpaceDN w:val="0"/>
              <w:adjustRightInd w:val="0"/>
              <w:spacing w:before="120" w:after="120"/>
              <w:rPr>
                <w:rFonts w:cs="Arial"/>
                <w:color w:val="000000"/>
                <w:sz w:val="16"/>
                <w:szCs w:val="16"/>
              </w:rPr>
            </w:pPr>
            <w:r w:rsidRPr="000B5656">
              <w:rPr>
                <w:rFonts w:cs="Arial"/>
                <w:color w:val="000000"/>
                <w:sz w:val="16"/>
                <w:szCs w:val="16"/>
              </w:rPr>
              <w:t>Brazil</w:t>
            </w:r>
          </w:p>
        </w:tc>
        <w:tc>
          <w:tcPr>
            <w:tcW w:w="4820" w:type="dxa"/>
            <w:tcBorders>
              <w:top w:val="single" w:sz="4" w:space="0" w:color="auto"/>
              <w:bottom w:val="nil"/>
              <w:right w:val="single" w:sz="4" w:space="0" w:color="auto"/>
            </w:tcBorders>
          </w:tcPr>
          <w:p w:rsidR="008355F0" w:rsidRPr="008E793E" w:rsidRDefault="008355F0" w:rsidP="003867F8">
            <w:pPr>
              <w:autoSpaceDE w:val="0"/>
              <w:autoSpaceDN w:val="0"/>
              <w:adjustRightInd w:val="0"/>
              <w:spacing w:before="120" w:after="120"/>
              <w:rPr>
                <w:rFonts w:cs="Arial"/>
                <w:color w:val="000000"/>
                <w:sz w:val="16"/>
                <w:szCs w:val="16"/>
              </w:rPr>
            </w:pPr>
            <w:r>
              <w:rPr>
                <w:rFonts w:cs="Arial"/>
                <w:color w:val="000000"/>
                <w:sz w:val="16"/>
                <w:szCs w:val="16"/>
              </w:rPr>
              <w:t>T</w:t>
            </w:r>
            <w:r w:rsidRPr="000B5656">
              <w:rPr>
                <w:rFonts w:cs="Arial"/>
                <w:color w:val="000000"/>
                <w:sz w:val="16"/>
                <w:szCs w:val="16"/>
              </w:rPr>
              <w:t xml:space="preserve">o discuss topics related to innovation policies and strategies </w:t>
            </w:r>
            <w:r>
              <w:rPr>
                <w:rFonts w:cs="Arial"/>
                <w:color w:val="000000"/>
                <w:sz w:val="16"/>
                <w:szCs w:val="16"/>
              </w:rPr>
              <w:t xml:space="preserve">and </w:t>
            </w:r>
            <w:r w:rsidRPr="000B5656">
              <w:rPr>
                <w:rFonts w:cs="Arial"/>
                <w:color w:val="000000"/>
                <w:sz w:val="16"/>
                <w:szCs w:val="16"/>
              </w:rPr>
              <w:t>develop competencies in the fiel</w:t>
            </w:r>
            <w:r>
              <w:rPr>
                <w:rFonts w:cs="Arial"/>
                <w:color w:val="000000"/>
                <w:sz w:val="16"/>
                <w:szCs w:val="16"/>
              </w:rPr>
              <w:t>d</w:t>
            </w:r>
            <w:r w:rsidRPr="000B5656">
              <w:rPr>
                <w:rFonts w:cs="Arial"/>
                <w:color w:val="000000"/>
                <w:sz w:val="16"/>
                <w:szCs w:val="16"/>
              </w:rPr>
              <w:t>s</w:t>
            </w:r>
            <w:r>
              <w:rPr>
                <w:rFonts w:cs="Arial"/>
                <w:color w:val="000000"/>
                <w:sz w:val="16"/>
                <w:szCs w:val="16"/>
              </w:rPr>
              <w:t xml:space="preserve"> </w:t>
            </w:r>
            <w:r w:rsidRPr="000B5656">
              <w:rPr>
                <w:rFonts w:cs="Arial"/>
                <w:color w:val="000000"/>
                <w:sz w:val="16"/>
                <w:szCs w:val="16"/>
              </w:rPr>
              <w:t>of technology transfer and IP management</w:t>
            </w:r>
            <w:r>
              <w:rPr>
                <w:rFonts w:cs="Arial"/>
                <w:color w:val="000000"/>
                <w:sz w:val="16"/>
                <w:szCs w:val="16"/>
              </w:rPr>
              <w:t>.</w:t>
            </w:r>
          </w:p>
        </w:tc>
      </w:tr>
      <w:tr w:rsidR="008355F0" w:rsidRPr="000B5656" w:rsidTr="00E37059">
        <w:trPr>
          <w:cantSplit/>
          <w:trHeight w:val="315"/>
        </w:trPr>
        <w:tc>
          <w:tcPr>
            <w:tcW w:w="1843" w:type="dxa"/>
            <w:tcBorders>
              <w:top w:val="nil"/>
              <w:left w:val="single" w:sz="4" w:space="0" w:color="auto"/>
              <w:bottom w:val="nil"/>
            </w:tcBorders>
          </w:tcPr>
          <w:p w:rsidR="008355F0" w:rsidRPr="000B5656" w:rsidRDefault="008355F0" w:rsidP="003867F8">
            <w:pPr>
              <w:autoSpaceDE w:val="0"/>
              <w:autoSpaceDN w:val="0"/>
              <w:adjustRightInd w:val="0"/>
              <w:spacing w:before="120" w:after="120"/>
              <w:rPr>
                <w:rFonts w:cs="Arial"/>
                <w:color w:val="000000"/>
                <w:sz w:val="16"/>
                <w:szCs w:val="16"/>
              </w:rPr>
            </w:pPr>
            <w:r w:rsidRPr="000B5656">
              <w:rPr>
                <w:rFonts w:cs="Arial"/>
                <w:color w:val="000000"/>
                <w:sz w:val="16"/>
                <w:szCs w:val="16"/>
              </w:rPr>
              <w:t xml:space="preserve">Workshop on IP Protection and Commercialization Strategies of Research Results </w:t>
            </w:r>
          </w:p>
        </w:tc>
        <w:tc>
          <w:tcPr>
            <w:tcW w:w="1276" w:type="dxa"/>
            <w:tcBorders>
              <w:top w:val="nil"/>
              <w:bottom w:val="nil"/>
            </w:tcBorders>
          </w:tcPr>
          <w:p w:rsidR="008355F0" w:rsidRPr="000B5656" w:rsidRDefault="008355F0" w:rsidP="003867F8">
            <w:pPr>
              <w:autoSpaceDE w:val="0"/>
              <w:autoSpaceDN w:val="0"/>
              <w:adjustRightInd w:val="0"/>
              <w:spacing w:before="120" w:after="120"/>
              <w:rPr>
                <w:rFonts w:cs="Arial"/>
                <w:color w:val="000000"/>
                <w:sz w:val="16"/>
                <w:szCs w:val="16"/>
              </w:rPr>
            </w:pPr>
            <w:r w:rsidRPr="000B5656">
              <w:rPr>
                <w:rFonts w:cs="Arial"/>
                <w:color w:val="000000"/>
                <w:sz w:val="16"/>
                <w:szCs w:val="16"/>
              </w:rPr>
              <w:t>July 6 to 10, 2015</w:t>
            </w:r>
          </w:p>
        </w:tc>
        <w:tc>
          <w:tcPr>
            <w:tcW w:w="1559" w:type="dxa"/>
            <w:tcBorders>
              <w:top w:val="nil"/>
              <w:bottom w:val="nil"/>
            </w:tcBorders>
          </w:tcPr>
          <w:p w:rsidR="008355F0" w:rsidRPr="000B5656" w:rsidRDefault="008355F0" w:rsidP="003867F8">
            <w:pPr>
              <w:autoSpaceDE w:val="0"/>
              <w:autoSpaceDN w:val="0"/>
              <w:adjustRightInd w:val="0"/>
              <w:spacing w:before="120" w:after="120"/>
              <w:rPr>
                <w:rFonts w:cs="Arial"/>
                <w:color w:val="000000"/>
                <w:sz w:val="16"/>
                <w:szCs w:val="16"/>
              </w:rPr>
            </w:pPr>
            <w:r w:rsidRPr="000B5656">
              <w:rPr>
                <w:rFonts w:cs="Arial"/>
                <w:color w:val="000000"/>
                <w:sz w:val="16"/>
                <w:szCs w:val="16"/>
              </w:rPr>
              <w:t>Brazil</w:t>
            </w:r>
          </w:p>
        </w:tc>
        <w:tc>
          <w:tcPr>
            <w:tcW w:w="4820" w:type="dxa"/>
            <w:tcBorders>
              <w:top w:val="nil"/>
              <w:bottom w:val="nil"/>
              <w:right w:val="single" w:sz="4" w:space="0" w:color="auto"/>
            </w:tcBorders>
          </w:tcPr>
          <w:p w:rsidR="008355F0" w:rsidRPr="000B5656" w:rsidRDefault="008355F0" w:rsidP="003867F8">
            <w:pPr>
              <w:autoSpaceDE w:val="0"/>
              <w:autoSpaceDN w:val="0"/>
              <w:adjustRightInd w:val="0"/>
              <w:spacing w:before="120" w:after="120"/>
              <w:rPr>
                <w:rFonts w:cs="Arial"/>
                <w:color w:val="000000"/>
                <w:sz w:val="16"/>
                <w:szCs w:val="16"/>
              </w:rPr>
            </w:pPr>
            <w:r>
              <w:rPr>
                <w:rFonts w:cs="Arial"/>
                <w:color w:val="000000"/>
                <w:sz w:val="16"/>
                <w:szCs w:val="16"/>
              </w:rPr>
              <w:t>T</w:t>
            </w:r>
            <w:r w:rsidRPr="000B5656">
              <w:rPr>
                <w:rFonts w:cs="Arial"/>
                <w:color w:val="000000"/>
                <w:sz w:val="16"/>
                <w:szCs w:val="16"/>
              </w:rPr>
              <w:t>o provide practical training on the management and protection strategies of intellectual property rights in universities and R&amp;D institutions</w:t>
            </w:r>
          </w:p>
        </w:tc>
      </w:tr>
      <w:tr w:rsidR="008355F0" w:rsidRPr="000B5656" w:rsidTr="00E37059">
        <w:trPr>
          <w:cantSplit/>
          <w:trHeight w:val="315"/>
        </w:trPr>
        <w:tc>
          <w:tcPr>
            <w:tcW w:w="1843" w:type="dxa"/>
            <w:tcBorders>
              <w:top w:val="nil"/>
              <w:left w:val="single" w:sz="4" w:space="0" w:color="auto"/>
              <w:bottom w:val="nil"/>
            </w:tcBorders>
          </w:tcPr>
          <w:p w:rsidR="008355F0" w:rsidRPr="000B5656" w:rsidRDefault="008355F0" w:rsidP="003867F8">
            <w:pPr>
              <w:autoSpaceDE w:val="0"/>
              <w:autoSpaceDN w:val="0"/>
              <w:adjustRightInd w:val="0"/>
              <w:spacing w:after="120"/>
              <w:rPr>
                <w:rFonts w:cs="Arial"/>
                <w:color w:val="000000"/>
                <w:sz w:val="16"/>
                <w:szCs w:val="16"/>
              </w:rPr>
            </w:pPr>
            <w:r w:rsidRPr="000B5656">
              <w:rPr>
                <w:rFonts w:cs="Arial"/>
                <w:color w:val="000000"/>
                <w:sz w:val="16"/>
                <w:szCs w:val="16"/>
              </w:rPr>
              <w:t>VIII ENAPID - Academic Meeting on I</w:t>
            </w:r>
            <w:r>
              <w:rPr>
                <w:rFonts w:cs="Arial"/>
                <w:color w:val="000000"/>
                <w:sz w:val="16"/>
                <w:szCs w:val="16"/>
              </w:rPr>
              <w:t xml:space="preserve">ntellectual </w:t>
            </w:r>
            <w:r w:rsidRPr="000B5656">
              <w:rPr>
                <w:rFonts w:cs="Arial"/>
                <w:color w:val="000000"/>
                <w:sz w:val="16"/>
                <w:szCs w:val="16"/>
              </w:rPr>
              <w:t>P</w:t>
            </w:r>
            <w:r>
              <w:rPr>
                <w:rFonts w:cs="Arial"/>
                <w:color w:val="000000"/>
                <w:sz w:val="16"/>
                <w:szCs w:val="16"/>
              </w:rPr>
              <w:t>roperty</w:t>
            </w:r>
            <w:r w:rsidRPr="000B5656">
              <w:rPr>
                <w:rFonts w:cs="Arial"/>
                <w:color w:val="000000"/>
                <w:sz w:val="16"/>
                <w:szCs w:val="16"/>
              </w:rPr>
              <w:t>, Innovation and Development</w:t>
            </w:r>
          </w:p>
        </w:tc>
        <w:tc>
          <w:tcPr>
            <w:tcW w:w="1276" w:type="dxa"/>
            <w:tcBorders>
              <w:top w:val="nil"/>
              <w:bottom w:val="nil"/>
            </w:tcBorders>
          </w:tcPr>
          <w:p w:rsidR="008355F0" w:rsidRPr="000B5656" w:rsidRDefault="008355F0" w:rsidP="003867F8">
            <w:pPr>
              <w:rPr>
                <w:rFonts w:cs="Arial"/>
                <w:sz w:val="16"/>
                <w:szCs w:val="16"/>
              </w:rPr>
            </w:pPr>
            <w:r w:rsidRPr="000B5656">
              <w:rPr>
                <w:rFonts w:cs="Arial"/>
                <w:sz w:val="16"/>
                <w:szCs w:val="16"/>
              </w:rPr>
              <w:t>August 11 to 14, 2015</w:t>
            </w:r>
          </w:p>
        </w:tc>
        <w:tc>
          <w:tcPr>
            <w:tcW w:w="1559" w:type="dxa"/>
            <w:tcBorders>
              <w:top w:val="nil"/>
              <w:bottom w:val="nil"/>
            </w:tcBorders>
          </w:tcPr>
          <w:p w:rsidR="008355F0" w:rsidRPr="000B5656" w:rsidRDefault="008355F0" w:rsidP="003867F8">
            <w:pPr>
              <w:rPr>
                <w:rFonts w:cs="Arial"/>
                <w:sz w:val="16"/>
                <w:szCs w:val="16"/>
                <w:lang w:val="pt-BR"/>
              </w:rPr>
            </w:pPr>
            <w:r w:rsidRPr="000B5656">
              <w:rPr>
                <w:rFonts w:cs="Arial"/>
                <w:sz w:val="16"/>
                <w:szCs w:val="16"/>
              </w:rPr>
              <w:t>Brazil</w:t>
            </w:r>
          </w:p>
        </w:tc>
        <w:tc>
          <w:tcPr>
            <w:tcW w:w="4820" w:type="dxa"/>
            <w:tcBorders>
              <w:top w:val="nil"/>
              <w:bottom w:val="nil"/>
              <w:right w:val="single" w:sz="4" w:space="0" w:color="auto"/>
            </w:tcBorders>
          </w:tcPr>
          <w:p w:rsidR="008355F0" w:rsidRPr="000B5656" w:rsidRDefault="008355F0" w:rsidP="003867F8">
            <w:pPr>
              <w:autoSpaceDE w:val="0"/>
              <w:autoSpaceDN w:val="0"/>
              <w:adjustRightInd w:val="0"/>
              <w:spacing w:before="120" w:after="120"/>
              <w:rPr>
                <w:rFonts w:cs="Arial"/>
                <w:color w:val="000000"/>
                <w:sz w:val="16"/>
                <w:szCs w:val="16"/>
              </w:rPr>
            </w:pPr>
            <w:r>
              <w:rPr>
                <w:rFonts w:cs="Arial"/>
                <w:color w:val="000000"/>
                <w:sz w:val="16"/>
                <w:szCs w:val="16"/>
              </w:rPr>
              <w:t>T</w:t>
            </w:r>
            <w:r w:rsidRPr="000B5656">
              <w:rPr>
                <w:rFonts w:cs="Arial"/>
                <w:color w:val="000000"/>
                <w:sz w:val="16"/>
                <w:szCs w:val="16"/>
              </w:rPr>
              <w:t>o promote sustainable innovation and foster the relevant role of the IP system in</w:t>
            </w:r>
            <w:r w:rsidRPr="000B5656">
              <w:rPr>
                <w:rFonts w:cs="Arial"/>
                <w:sz w:val="16"/>
                <w:szCs w:val="16"/>
              </w:rPr>
              <w:t xml:space="preserve"> </w:t>
            </w:r>
            <w:r w:rsidRPr="000B5656">
              <w:rPr>
                <w:rFonts w:cs="Arial"/>
                <w:color w:val="000000"/>
                <w:sz w:val="16"/>
                <w:szCs w:val="16"/>
              </w:rPr>
              <w:t>the global economic context</w:t>
            </w:r>
          </w:p>
        </w:tc>
      </w:tr>
      <w:tr w:rsidR="00091CB9" w:rsidRPr="000B5656" w:rsidTr="00E37059">
        <w:trPr>
          <w:cantSplit/>
          <w:trHeight w:val="315"/>
        </w:trPr>
        <w:tc>
          <w:tcPr>
            <w:tcW w:w="1843" w:type="dxa"/>
            <w:tcBorders>
              <w:top w:val="nil"/>
              <w:left w:val="single" w:sz="4" w:space="0" w:color="auto"/>
              <w:bottom w:val="nil"/>
            </w:tcBorders>
          </w:tcPr>
          <w:p w:rsidR="00091CB9" w:rsidRPr="00BA2261" w:rsidRDefault="00091CB9" w:rsidP="003867F8">
            <w:pPr>
              <w:autoSpaceDE w:val="0"/>
              <w:autoSpaceDN w:val="0"/>
              <w:adjustRightInd w:val="0"/>
              <w:spacing w:after="120"/>
              <w:rPr>
                <w:rFonts w:cs="Arial"/>
                <w:color w:val="000000"/>
                <w:sz w:val="16"/>
                <w:szCs w:val="16"/>
              </w:rPr>
            </w:pPr>
            <w:r w:rsidRPr="004577B6">
              <w:rPr>
                <w:rFonts w:cs="Arial"/>
                <w:color w:val="000000"/>
                <w:sz w:val="16"/>
                <w:szCs w:val="16"/>
              </w:rPr>
              <w:t>Seminar on Franchising and Alternative Dispute Resolution</w:t>
            </w:r>
          </w:p>
        </w:tc>
        <w:tc>
          <w:tcPr>
            <w:tcW w:w="1276" w:type="dxa"/>
            <w:tcBorders>
              <w:top w:val="nil"/>
              <w:bottom w:val="nil"/>
            </w:tcBorders>
          </w:tcPr>
          <w:p w:rsidR="00091CB9" w:rsidRPr="00BA2261" w:rsidRDefault="00091CB9" w:rsidP="003867F8">
            <w:pPr>
              <w:rPr>
                <w:rFonts w:cs="Arial"/>
                <w:sz w:val="16"/>
                <w:szCs w:val="16"/>
              </w:rPr>
            </w:pPr>
            <w:r w:rsidRPr="004577B6">
              <w:rPr>
                <w:rFonts w:cs="Arial"/>
                <w:sz w:val="16"/>
                <w:szCs w:val="16"/>
              </w:rPr>
              <w:t>September 3, 2015</w:t>
            </w:r>
          </w:p>
        </w:tc>
        <w:tc>
          <w:tcPr>
            <w:tcW w:w="1559" w:type="dxa"/>
            <w:tcBorders>
              <w:top w:val="nil"/>
              <w:bottom w:val="nil"/>
            </w:tcBorders>
          </w:tcPr>
          <w:p w:rsidR="00091CB9" w:rsidRDefault="00091CB9" w:rsidP="003867F8">
            <w:pPr>
              <w:rPr>
                <w:rFonts w:cs="Arial"/>
                <w:sz w:val="16"/>
                <w:szCs w:val="16"/>
              </w:rPr>
            </w:pPr>
            <w:r w:rsidRPr="004577B6">
              <w:rPr>
                <w:rFonts w:cs="Arial"/>
                <w:sz w:val="16"/>
                <w:szCs w:val="16"/>
              </w:rPr>
              <w:t>Brazi</w:t>
            </w:r>
            <w:r>
              <w:rPr>
                <w:rFonts w:cs="Arial"/>
                <w:sz w:val="16"/>
                <w:szCs w:val="16"/>
              </w:rPr>
              <w:t>l</w:t>
            </w:r>
          </w:p>
        </w:tc>
        <w:tc>
          <w:tcPr>
            <w:tcW w:w="4820" w:type="dxa"/>
            <w:tcBorders>
              <w:top w:val="nil"/>
              <w:bottom w:val="nil"/>
              <w:right w:val="single" w:sz="4" w:space="0" w:color="auto"/>
            </w:tcBorders>
          </w:tcPr>
          <w:p w:rsidR="00091CB9" w:rsidRPr="00BA2261" w:rsidRDefault="00091CB9" w:rsidP="003867F8">
            <w:pPr>
              <w:autoSpaceDE w:val="0"/>
              <w:autoSpaceDN w:val="0"/>
              <w:adjustRightInd w:val="0"/>
              <w:spacing w:before="120" w:after="120"/>
              <w:rPr>
                <w:rFonts w:cs="Arial"/>
                <w:color w:val="000000"/>
                <w:sz w:val="16"/>
                <w:szCs w:val="16"/>
              </w:rPr>
            </w:pPr>
            <w:r w:rsidRPr="004577B6">
              <w:rPr>
                <w:rFonts w:cs="Arial"/>
                <w:color w:val="000000"/>
                <w:sz w:val="16"/>
                <w:szCs w:val="16"/>
              </w:rPr>
              <w:t>To encourage the use of WIPO ADR clauses in franchise</w:t>
            </w:r>
            <w:r>
              <w:rPr>
                <w:rFonts w:cs="Arial"/>
                <w:color w:val="000000"/>
                <w:sz w:val="16"/>
                <w:szCs w:val="16"/>
              </w:rPr>
              <w:t>-</w:t>
            </w:r>
            <w:r w:rsidRPr="004577B6">
              <w:rPr>
                <w:rFonts w:cs="Arial"/>
                <w:color w:val="000000"/>
                <w:sz w:val="16"/>
                <w:szCs w:val="16"/>
              </w:rPr>
              <w:t>related agreements involving members of the Brazilian Franchising Association.</w:t>
            </w:r>
          </w:p>
        </w:tc>
      </w:tr>
      <w:tr w:rsidR="00091CB9" w:rsidRPr="000B5656" w:rsidTr="00E37059">
        <w:trPr>
          <w:cantSplit/>
          <w:trHeight w:val="315"/>
        </w:trPr>
        <w:tc>
          <w:tcPr>
            <w:tcW w:w="1843" w:type="dxa"/>
            <w:tcBorders>
              <w:top w:val="nil"/>
              <w:left w:val="single" w:sz="4" w:space="0" w:color="auto"/>
              <w:bottom w:val="nil"/>
            </w:tcBorders>
          </w:tcPr>
          <w:p w:rsidR="00091CB9" w:rsidRPr="00BA2261" w:rsidRDefault="00091CB9" w:rsidP="003867F8">
            <w:pPr>
              <w:autoSpaceDE w:val="0"/>
              <w:autoSpaceDN w:val="0"/>
              <w:adjustRightInd w:val="0"/>
              <w:spacing w:after="120"/>
              <w:rPr>
                <w:rFonts w:cs="Arial"/>
                <w:color w:val="000000"/>
                <w:sz w:val="16"/>
                <w:szCs w:val="16"/>
              </w:rPr>
            </w:pPr>
            <w:r w:rsidRPr="004577B6">
              <w:rPr>
                <w:rFonts w:cs="Arial"/>
                <w:color w:val="000000"/>
                <w:sz w:val="16"/>
                <w:szCs w:val="16"/>
              </w:rPr>
              <w:t>Seminar on International Technology - Licenses and Dispute Resolution</w:t>
            </w:r>
          </w:p>
        </w:tc>
        <w:tc>
          <w:tcPr>
            <w:tcW w:w="1276" w:type="dxa"/>
            <w:tcBorders>
              <w:top w:val="nil"/>
              <w:bottom w:val="nil"/>
            </w:tcBorders>
          </w:tcPr>
          <w:p w:rsidR="00091CB9" w:rsidRPr="00BA2261" w:rsidRDefault="00091CB9" w:rsidP="003867F8">
            <w:pPr>
              <w:rPr>
                <w:rFonts w:cs="Arial"/>
                <w:sz w:val="16"/>
                <w:szCs w:val="16"/>
              </w:rPr>
            </w:pPr>
            <w:r w:rsidRPr="004577B6">
              <w:rPr>
                <w:rFonts w:cs="Arial"/>
                <w:sz w:val="16"/>
                <w:szCs w:val="16"/>
              </w:rPr>
              <w:t>September 4, 2015</w:t>
            </w:r>
          </w:p>
        </w:tc>
        <w:tc>
          <w:tcPr>
            <w:tcW w:w="1559" w:type="dxa"/>
            <w:tcBorders>
              <w:top w:val="nil"/>
              <w:bottom w:val="nil"/>
            </w:tcBorders>
          </w:tcPr>
          <w:p w:rsidR="00091CB9" w:rsidRDefault="00091CB9" w:rsidP="003867F8">
            <w:pPr>
              <w:rPr>
                <w:rFonts w:cs="Arial"/>
                <w:sz w:val="16"/>
                <w:szCs w:val="16"/>
              </w:rPr>
            </w:pPr>
            <w:r w:rsidRPr="004577B6">
              <w:rPr>
                <w:rFonts w:cs="Arial"/>
                <w:sz w:val="16"/>
                <w:szCs w:val="16"/>
              </w:rPr>
              <w:t>Brazi</w:t>
            </w:r>
            <w:r>
              <w:rPr>
                <w:rFonts w:cs="Arial"/>
                <w:sz w:val="16"/>
                <w:szCs w:val="16"/>
              </w:rPr>
              <w:t>l</w:t>
            </w:r>
          </w:p>
        </w:tc>
        <w:tc>
          <w:tcPr>
            <w:tcW w:w="4820" w:type="dxa"/>
            <w:tcBorders>
              <w:top w:val="nil"/>
              <w:bottom w:val="nil"/>
              <w:right w:val="single" w:sz="4" w:space="0" w:color="auto"/>
            </w:tcBorders>
          </w:tcPr>
          <w:p w:rsidR="00091CB9" w:rsidRPr="00BA2261" w:rsidRDefault="00091CB9" w:rsidP="003867F8">
            <w:pPr>
              <w:autoSpaceDE w:val="0"/>
              <w:autoSpaceDN w:val="0"/>
              <w:adjustRightInd w:val="0"/>
              <w:spacing w:before="120" w:after="120"/>
              <w:rPr>
                <w:rFonts w:cs="Arial"/>
                <w:color w:val="000000"/>
                <w:sz w:val="16"/>
                <w:szCs w:val="16"/>
              </w:rPr>
            </w:pPr>
            <w:r w:rsidRPr="004577B6">
              <w:rPr>
                <w:rFonts w:cs="Arial"/>
                <w:color w:val="000000"/>
                <w:sz w:val="16"/>
                <w:szCs w:val="16"/>
              </w:rPr>
              <w:t>To encourage the use of WIPO ADR clauses by lawyers and contract managers involved in licensing and research and development agreements in Brazil.</w:t>
            </w:r>
          </w:p>
        </w:tc>
      </w:tr>
      <w:tr w:rsidR="00091CB9" w:rsidRPr="000B5656" w:rsidTr="00E37059">
        <w:trPr>
          <w:cantSplit/>
          <w:trHeight w:val="315"/>
        </w:trPr>
        <w:tc>
          <w:tcPr>
            <w:tcW w:w="1843" w:type="dxa"/>
            <w:tcBorders>
              <w:top w:val="nil"/>
              <w:left w:val="single" w:sz="4" w:space="0" w:color="auto"/>
              <w:bottom w:val="single" w:sz="4" w:space="0" w:color="auto"/>
            </w:tcBorders>
          </w:tcPr>
          <w:p w:rsidR="00091CB9" w:rsidRPr="000B5656" w:rsidRDefault="00091CB9" w:rsidP="003867F8">
            <w:pPr>
              <w:autoSpaceDE w:val="0"/>
              <w:autoSpaceDN w:val="0"/>
              <w:adjustRightInd w:val="0"/>
              <w:spacing w:after="120"/>
              <w:rPr>
                <w:rFonts w:cs="Arial"/>
                <w:color w:val="000000"/>
                <w:sz w:val="16"/>
                <w:szCs w:val="16"/>
              </w:rPr>
            </w:pPr>
            <w:r w:rsidRPr="00BA2261">
              <w:rPr>
                <w:rFonts w:cs="Arial"/>
                <w:color w:val="000000"/>
                <w:sz w:val="16"/>
                <w:szCs w:val="16"/>
              </w:rPr>
              <w:t>II Seminar on Geographical Indications</w:t>
            </w:r>
            <w:r>
              <w:rPr>
                <w:rFonts w:cs="Arial"/>
                <w:color w:val="000000"/>
                <w:sz w:val="16"/>
                <w:szCs w:val="16"/>
              </w:rPr>
              <w:t xml:space="preserve"> (GIs)</w:t>
            </w:r>
            <w:r w:rsidRPr="00BA2261">
              <w:rPr>
                <w:rFonts w:cs="Arial"/>
                <w:color w:val="000000"/>
                <w:sz w:val="16"/>
                <w:szCs w:val="16"/>
              </w:rPr>
              <w:t xml:space="preserve"> and Collective Trademarks in the Handicraft Sector</w:t>
            </w:r>
          </w:p>
        </w:tc>
        <w:tc>
          <w:tcPr>
            <w:tcW w:w="1276" w:type="dxa"/>
            <w:tcBorders>
              <w:top w:val="nil"/>
              <w:bottom w:val="single" w:sz="4" w:space="0" w:color="auto"/>
            </w:tcBorders>
          </w:tcPr>
          <w:p w:rsidR="00091CB9" w:rsidRPr="000B5656" w:rsidRDefault="00091CB9" w:rsidP="003867F8">
            <w:pPr>
              <w:rPr>
                <w:rFonts w:cs="Arial"/>
                <w:sz w:val="16"/>
                <w:szCs w:val="16"/>
              </w:rPr>
            </w:pPr>
            <w:r w:rsidRPr="00BA2261">
              <w:rPr>
                <w:rFonts w:cs="Arial"/>
                <w:sz w:val="16"/>
                <w:szCs w:val="16"/>
              </w:rPr>
              <w:t>September 24 and 25, 2015</w:t>
            </w:r>
          </w:p>
        </w:tc>
        <w:tc>
          <w:tcPr>
            <w:tcW w:w="1559" w:type="dxa"/>
            <w:tcBorders>
              <w:top w:val="nil"/>
              <w:bottom w:val="single" w:sz="4" w:space="0" w:color="auto"/>
            </w:tcBorders>
          </w:tcPr>
          <w:p w:rsidR="00091CB9" w:rsidRPr="000B5656" w:rsidRDefault="00091CB9" w:rsidP="003867F8">
            <w:pPr>
              <w:rPr>
                <w:rFonts w:cs="Arial"/>
                <w:sz w:val="16"/>
                <w:szCs w:val="16"/>
              </w:rPr>
            </w:pPr>
            <w:r>
              <w:rPr>
                <w:rFonts w:cs="Arial"/>
                <w:sz w:val="16"/>
                <w:szCs w:val="16"/>
              </w:rPr>
              <w:t xml:space="preserve">Brazil/ Colombia, Mexico, Peru </w:t>
            </w:r>
          </w:p>
        </w:tc>
        <w:tc>
          <w:tcPr>
            <w:tcW w:w="4820" w:type="dxa"/>
            <w:tcBorders>
              <w:top w:val="nil"/>
              <w:bottom w:val="single" w:sz="4" w:space="0" w:color="auto"/>
              <w:right w:val="single" w:sz="4" w:space="0" w:color="auto"/>
            </w:tcBorders>
          </w:tcPr>
          <w:p w:rsidR="00091CB9" w:rsidRPr="000B5656" w:rsidRDefault="00091CB9" w:rsidP="003867F8">
            <w:pPr>
              <w:autoSpaceDE w:val="0"/>
              <w:autoSpaceDN w:val="0"/>
              <w:adjustRightInd w:val="0"/>
              <w:spacing w:before="120" w:after="120"/>
              <w:rPr>
                <w:rFonts w:cs="Arial"/>
                <w:color w:val="000000"/>
                <w:sz w:val="16"/>
                <w:szCs w:val="16"/>
              </w:rPr>
            </w:pPr>
            <w:r w:rsidRPr="00BA2261">
              <w:rPr>
                <w:rFonts w:cs="Arial"/>
                <w:color w:val="000000"/>
                <w:sz w:val="16"/>
                <w:szCs w:val="16"/>
              </w:rPr>
              <w:t>To promote a debate</w:t>
            </w:r>
            <w:r>
              <w:rPr>
                <w:rFonts w:cs="Arial"/>
                <w:color w:val="000000"/>
                <w:sz w:val="16"/>
                <w:szCs w:val="16"/>
              </w:rPr>
              <w:t xml:space="preserve"> on the potential</w:t>
            </w:r>
            <w:r w:rsidRPr="00BA2261">
              <w:rPr>
                <w:rFonts w:cs="Arial"/>
                <w:color w:val="000000"/>
                <w:sz w:val="16"/>
                <w:szCs w:val="16"/>
              </w:rPr>
              <w:t xml:space="preserve"> economic and social gains that GIs and Collective Trademarks </w:t>
            </w:r>
            <w:r>
              <w:rPr>
                <w:rFonts w:cs="Arial"/>
                <w:color w:val="000000"/>
                <w:sz w:val="16"/>
                <w:szCs w:val="16"/>
              </w:rPr>
              <w:t xml:space="preserve">provide </w:t>
            </w:r>
            <w:r w:rsidRPr="00BA2261">
              <w:rPr>
                <w:rFonts w:cs="Arial"/>
                <w:color w:val="000000"/>
                <w:sz w:val="16"/>
                <w:szCs w:val="16"/>
              </w:rPr>
              <w:t>to national development and</w:t>
            </w:r>
            <w:r>
              <w:rPr>
                <w:rFonts w:cs="Arial"/>
                <w:color w:val="000000"/>
                <w:sz w:val="16"/>
                <w:szCs w:val="16"/>
              </w:rPr>
              <w:t xml:space="preserve"> in particular </w:t>
            </w:r>
            <w:r w:rsidRPr="00BA2261">
              <w:rPr>
                <w:rFonts w:cs="Arial"/>
                <w:color w:val="000000"/>
                <w:sz w:val="16"/>
                <w:szCs w:val="16"/>
              </w:rPr>
              <w:t>to the handicraft industry</w:t>
            </w:r>
            <w:r>
              <w:rPr>
                <w:rFonts w:cs="Arial"/>
                <w:color w:val="000000"/>
                <w:sz w:val="16"/>
                <w:szCs w:val="16"/>
              </w:rPr>
              <w:t>.</w:t>
            </w:r>
          </w:p>
        </w:tc>
      </w:tr>
      <w:tr w:rsidR="00091CB9" w:rsidRPr="000B5656" w:rsidTr="00E37059">
        <w:trPr>
          <w:cantSplit/>
          <w:trHeight w:val="315"/>
        </w:trPr>
        <w:tc>
          <w:tcPr>
            <w:tcW w:w="1843" w:type="dxa"/>
            <w:tcBorders>
              <w:top w:val="single" w:sz="4" w:space="0" w:color="auto"/>
              <w:left w:val="single" w:sz="4" w:space="0" w:color="auto"/>
              <w:bottom w:val="single" w:sz="4" w:space="0" w:color="auto"/>
            </w:tcBorders>
          </w:tcPr>
          <w:p w:rsidR="00091CB9" w:rsidRDefault="00091CB9" w:rsidP="003867F8">
            <w:pPr>
              <w:autoSpaceDE w:val="0"/>
              <w:autoSpaceDN w:val="0"/>
              <w:adjustRightInd w:val="0"/>
              <w:spacing w:after="120"/>
              <w:rPr>
                <w:rFonts w:cs="Arial"/>
                <w:color w:val="000000"/>
                <w:sz w:val="16"/>
                <w:szCs w:val="16"/>
              </w:rPr>
            </w:pPr>
          </w:p>
          <w:p w:rsidR="00091CB9" w:rsidRPr="00BA2261" w:rsidRDefault="00091CB9" w:rsidP="003867F8">
            <w:pPr>
              <w:autoSpaceDE w:val="0"/>
              <w:autoSpaceDN w:val="0"/>
              <w:adjustRightInd w:val="0"/>
              <w:spacing w:after="120"/>
              <w:rPr>
                <w:rFonts w:cs="Arial"/>
                <w:color w:val="000000"/>
                <w:sz w:val="16"/>
                <w:szCs w:val="16"/>
              </w:rPr>
            </w:pPr>
            <w:r w:rsidRPr="004577B6">
              <w:rPr>
                <w:rFonts w:cs="Arial"/>
                <w:color w:val="000000"/>
                <w:sz w:val="16"/>
                <w:szCs w:val="16"/>
              </w:rPr>
              <w:t>XVII Intellectual Property and Technology Commercialization Meeting - XVII REPICT</w:t>
            </w:r>
          </w:p>
        </w:tc>
        <w:tc>
          <w:tcPr>
            <w:tcW w:w="1276" w:type="dxa"/>
            <w:tcBorders>
              <w:top w:val="single" w:sz="4" w:space="0" w:color="auto"/>
              <w:bottom w:val="single" w:sz="4" w:space="0" w:color="auto"/>
            </w:tcBorders>
          </w:tcPr>
          <w:p w:rsidR="00091CB9" w:rsidRDefault="00091CB9" w:rsidP="003867F8">
            <w:pPr>
              <w:rPr>
                <w:rFonts w:cs="Arial"/>
                <w:sz w:val="16"/>
                <w:szCs w:val="16"/>
              </w:rPr>
            </w:pPr>
          </w:p>
          <w:p w:rsidR="00091CB9" w:rsidRPr="00BA2261" w:rsidRDefault="00091CB9" w:rsidP="003867F8">
            <w:pPr>
              <w:rPr>
                <w:rFonts w:cs="Arial"/>
                <w:sz w:val="16"/>
                <w:szCs w:val="16"/>
              </w:rPr>
            </w:pPr>
            <w:r w:rsidRPr="004577B6">
              <w:rPr>
                <w:rFonts w:cs="Arial"/>
                <w:sz w:val="16"/>
                <w:szCs w:val="16"/>
              </w:rPr>
              <w:t>October 1, 2015</w:t>
            </w:r>
          </w:p>
        </w:tc>
        <w:tc>
          <w:tcPr>
            <w:tcW w:w="1559" w:type="dxa"/>
            <w:tcBorders>
              <w:top w:val="single" w:sz="4" w:space="0" w:color="auto"/>
              <w:bottom w:val="single" w:sz="4" w:space="0" w:color="auto"/>
            </w:tcBorders>
          </w:tcPr>
          <w:p w:rsidR="00091CB9" w:rsidRDefault="00091CB9" w:rsidP="003867F8">
            <w:pPr>
              <w:rPr>
                <w:rFonts w:cs="Arial"/>
                <w:sz w:val="16"/>
                <w:szCs w:val="16"/>
              </w:rPr>
            </w:pPr>
          </w:p>
          <w:p w:rsidR="00091CB9" w:rsidRDefault="00091CB9" w:rsidP="003867F8">
            <w:pPr>
              <w:rPr>
                <w:rFonts w:cs="Arial"/>
                <w:sz w:val="16"/>
                <w:szCs w:val="16"/>
              </w:rPr>
            </w:pPr>
            <w:r w:rsidRPr="004577B6">
              <w:rPr>
                <w:rFonts w:cs="Arial"/>
                <w:sz w:val="16"/>
                <w:szCs w:val="16"/>
              </w:rPr>
              <w:t>Brazi</w:t>
            </w:r>
            <w:r>
              <w:rPr>
                <w:rFonts w:cs="Arial"/>
                <w:sz w:val="16"/>
                <w:szCs w:val="16"/>
              </w:rPr>
              <w:t>l</w:t>
            </w:r>
          </w:p>
        </w:tc>
        <w:tc>
          <w:tcPr>
            <w:tcW w:w="4820" w:type="dxa"/>
            <w:tcBorders>
              <w:top w:val="single" w:sz="4" w:space="0" w:color="auto"/>
              <w:bottom w:val="single" w:sz="4" w:space="0" w:color="auto"/>
              <w:right w:val="single" w:sz="4" w:space="0" w:color="auto"/>
            </w:tcBorders>
          </w:tcPr>
          <w:p w:rsidR="00091CB9" w:rsidRPr="00BA2261" w:rsidRDefault="00091CB9" w:rsidP="003867F8">
            <w:pPr>
              <w:autoSpaceDE w:val="0"/>
              <w:autoSpaceDN w:val="0"/>
              <w:adjustRightInd w:val="0"/>
              <w:spacing w:before="120" w:after="120"/>
              <w:rPr>
                <w:rFonts w:cs="Arial"/>
                <w:color w:val="000000"/>
                <w:sz w:val="16"/>
                <w:szCs w:val="16"/>
              </w:rPr>
            </w:pPr>
            <w:r w:rsidRPr="004577B6">
              <w:rPr>
                <w:rFonts w:cs="Arial"/>
                <w:color w:val="000000"/>
                <w:sz w:val="16"/>
                <w:szCs w:val="16"/>
              </w:rPr>
              <w:t>To discuss the technology transfer tools based on the intangible assets protection focused on the micro and small enterprises.</w:t>
            </w:r>
          </w:p>
        </w:tc>
      </w:tr>
    </w:tbl>
    <w:p w:rsidR="008355F0" w:rsidRPr="00A61AD8" w:rsidRDefault="008355F0" w:rsidP="003867F8">
      <w:pPr>
        <w:tabs>
          <w:tab w:val="left" w:pos="0"/>
          <w:tab w:val="left" w:pos="9071"/>
        </w:tabs>
        <w:rPr>
          <w:rFonts w:cs="Arial"/>
          <w:b/>
          <w:szCs w:val="16"/>
        </w:rPr>
      </w:pPr>
    </w:p>
    <w:p w:rsidR="008355F0" w:rsidRPr="00A61AD8" w:rsidRDefault="008355F0" w:rsidP="003867F8">
      <w:pPr>
        <w:rPr>
          <w:rFonts w:cs="Arial"/>
          <w:b/>
          <w:szCs w:val="16"/>
        </w:rPr>
      </w:pPr>
    </w:p>
    <w:p w:rsidR="008355F0" w:rsidRPr="000B5656" w:rsidRDefault="008355F0" w:rsidP="003867F8">
      <w:pPr>
        <w:rPr>
          <w:rFonts w:cs="Arial"/>
          <w:b/>
          <w:bCs/>
          <w:color w:val="000000"/>
          <w:szCs w:val="20"/>
        </w:rPr>
      </w:pPr>
      <w:r>
        <w:rPr>
          <w:rFonts w:cs="Arial"/>
          <w:b/>
          <w:szCs w:val="20"/>
        </w:rPr>
        <w:t xml:space="preserve">BRAZIL </w:t>
      </w:r>
      <w:r w:rsidRPr="000B5656">
        <w:rPr>
          <w:rFonts w:cs="Arial"/>
          <w:b/>
          <w:bCs/>
          <w:color w:val="000000"/>
          <w:szCs w:val="20"/>
        </w:rPr>
        <w:t>Donor Contributions and Expenditure in 2015</w:t>
      </w:r>
    </w:p>
    <w:p w:rsidR="008355F0" w:rsidRPr="002E1564" w:rsidRDefault="008355F0" w:rsidP="003867F8">
      <w:pPr>
        <w:rPr>
          <w:rFonts w:cs="Arial"/>
          <w:szCs w:val="16"/>
        </w:rPr>
      </w:pPr>
    </w:p>
    <w:tbl>
      <w:tblPr>
        <w:tblW w:w="9508" w:type="dxa"/>
        <w:tblInd w:w="98" w:type="dxa"/>
        <w:tblLook w:val="04A0" w:firstRow="1" w:lastRow="0" w:firstColumn="1" w:lastColumn="0" w:noHBand="0" w:noVBand="1"/>
      </w:tblPr>
      <w:tblGrid>
        <w:gridCol w:w="2040"/>
        <w:gridCol w:w="1640"/>
        <w:gridCol w:w="1860"/>
        <w:gridCol w:w="1780"/>
        <w:gridCol w:w="2188"/>
      </w:tblGrid>
      <w:tr w:rsidR="008355F0" w:rsidRPr="000B5656" w:rsidTr="00E92F85">
        <w:trPr>
          <w:trHeight w:val="450"/>
        </w:trPr>
        <w:tc>
          <w:tcPr>
            <w:tcW w:w="2040" w:type="dxa"/>
            <w:tcBorders>
              <w:top w:val="single" w:sz="8" w:space="0" w:color="auto"/>
              <w:left w:val="single" w:sz="8" w:space="0" w:color="auto"/>
              <w:bottom w:val="nil"/>
              <w:right w:val="single" w:sz="8" w:space="0" w:color="auto"/>
            </w:tcBorders>
            <w:shd w:val="clear" w:color="000000" w:fill="C5D9F1"/>
            <w:vAlign w:val="center"/>
            <w:hideMark/>
          </w:tcPr>
          <w:p w:rsidR="008355F0" w:rsidRPr="000B5656" w:rsidRDefault="008355F0" w:rsidP="003867F8">
            <w:pPr>
              <w:jc w:val="center"/>
              <w:rPr>
                <w:rFonts w:cs="Arial"/>
                <w:b/>
                <w:bCs/>
                <w:color w:val="000000"/>
                <w:sz w:val="16"/>
                <w:szCs w:val="16"/>
              </w:rPr>
            </w:pPr>
            <w:r w:rsidRPr="000B5656">
              <w:rPr>
                <w:rFonts w:cs="Arial"/>
                <w:b/>
                <w:bCs/>
                <w:color w:val="000000"/>
                <w:sz w:val="16"/>
                <w:szCs w:val="16"/>
              </w:rPr>
              <w:t>Balance as of December 31, 2014</w:t>
            </w:r>
          </w:p>
        </w:tc>
        <w:tc>
          <w:tcPr>
            <w:tcW w:w="1640" w:type="dxa"/>
            <w:tcBorders>
              <w:top w:val="single" w:sz="8" w:space="0" w:color="auto"/>
              <w:left w:val="nil"/>
              <w:bottom w:val="nil"/>
              <w:right w:val="single" w:sz="8" w:space="0" w:color="auto"/>
            </w:tcBorders>
            <w:shd w:val="clear" w:color="000000" w:fill="C5D9F1"/>
            <w:vAlign w:val="center"/>
            <w:hideMark/>
          </w:tcPr>
          <w:p w:rsidR="008355F0" w:rsidRPr="000B5656" w:rsidRDefault="008355F0" w:rsidP="003867F8">
            <w:pPr>
              <w:jc w:val="center"/>
              <w:rPr>
                <w:rFonts w:cs="Arial"/>
                <w:b/>
                <w:bCs/>
                <w:color w:val="000000"/>
                <w:sz w:val="16"/>
                <w:szCs w:val="16"/>
              </w:rPr>
            </w:pPr>
            <w:r w:rsidRPr="000B5656">
              <w:rPr>
                <w:rFonts w:cs="Arial"/>
                <w:b/>
                <w:bCs/>
                <w:color w:val="000000"/>
                <w:sz w:val="16"/>
                <w:szCs w:val="16"/>
              </w:rPr>
              <w:t>Income 2015</w:t>
            </w:r>
          </w:p>
        </w:tc>
        <w:tc>
          <w:tcPr>
            <w:tcW w:w="1860" w:type="dxa"/>
            <w:tcBorders>
              <w:top w:val="single" w:sz="8" w:space="0" w:color="auto"/>
              <w:left w:val="nil"/>
              <w:bottom w:val="nil"/>
              <w:right w:val="single" w:sz="8" w:space="0" w:color="auto"/>
            </w:tcBorders>
            <w:shd w:val="clear" w:color="000000" w:fill="C5D9F1"/>
            <w:vAlign w:val="center"/>
            <w:hideMark/>
          </w:tcPr>
          <w:p w:rsidR="008355F0" w:rsidRPr="000B5656" w:rsidRDefault="008355F0" w:rsidP="003867F8">
            <w:pPr>
              <w:jc w:val="center"/>
              <w:rPr>
                <w:rFonts w:cs="Arial"/>
                <w:b/>
                <w:bCs/>
                <w:color w:val="000000"/>
                <w:sz w:val="16"/>
                <w:szCs w:val="16"/>
              </w:rPr>
            </w:pPr>
            <w:r w:rsidRPr="000B5656">
              <w:rPr>
                <w:rFonts w:cs="Arial"/>
                <w:b/>
                <w:bCs/>
                <w:color w:val="000000"/>
                <w:sz w:val="16"/>
                <w:szCs w:val="16"/>
              </w:rPr>
              <w:t>Expenditure 2015</w:t>
            </w:r>
          </w:p>
        </w:tc>
        <w:tc>
          <w:tcPr>
            <w:tcW w:w="1780" w:type="dxa"/>
            <w:tcBorders>
              <w:top w:val="single" w:sz="8" w:space="0" w:color="auto"/>
              <w:left w:val="nil"/>
              <w:bottom w:val="nil"/>
              <w:right w:val="single" w:sz="8" w:space="0" w:color="auto"/>
            </w:tcBorders>
            <w:shd w:val="clear" w:color="000000" w:fill="C5D9F1"/>
            <w:vAlign w:val="center"/>
            <w:hideMark/>
          </w:tcPr>
          <w:p w:rsidR="008355F0" w:rsidRPr="000B5656" w:rsidRDefault="008355F0" w:rsidP="003867F8">
            <w:pPr>
              <w:jc w:val="center"/>
              <w:rPr>
                <w:rFonts w:cs="Arial"/>
                <w:b/>
                <w:bCs/>
                <w:color w:val="000000"/>
                <w:sz w:val="16"/>
                <w:szCs w:val="16"/>
              </w:rPr>
            </w:pPr>
            <w:r w:rsidRPr="000B5656">
              <w:rPr>
                <w:rFonts w:cs="Arial"/>
                <w:b/>
                <w:bCs/>
                <w:color w:val="000000"/>
                <w:sz w:val="16"/>
                <w:szCs w:val="16"/>
              </w:rPr>
              <w:t>Reimbursements</w:t>
            </w:r>
          </w:p>
        </w:tc>
        <w:tc>
          <w:tcPr>
            <w:tcW w:w="2188" w:type="dxa"/>
            <w:tcBorders>
              <w:top w:val="single" w:sz="8" w:space="0" w:color="auto"/>
              <w:left w:val="nil"/>
              <w:bottom w:val="nil"/>
              <w:right w:val="single" w:sz="8" w:space="0" w:color="auto"/>
            </w:tcBorders>
            <w:shd w:val="clear" w:color="000000" w:fill="C5D9F1"/>
            <w:vAlign w:val="center"/>
            <w:hideMark/>
          </w:tcPr>
          <w:p w:rsidR="008355F0" w:rsidRPr="000B5656" w:rsidRDefault="008355F0" w:rsidP="003867F8">
            <w:pPr>
              <w:jc w:val="center"/>
              <w:rPr>
                <w:rFonts w:cs="Arial"/>
                <w:b/>
                <w:bCs/>
                <w:color w:val="000000"/>
                <w:sz w:val="16"/>
                <w:szCs w:val="16"/>
              </w:rPr>
            </w:pPr>
            <w:r w:rsidRPr="000B5656">
              <w:rPr>
                <w:rFonts w:cs="Arial"/>
                <w:b/>
                <w:bCs/>
                <w:color w:val="000000"/>
                <w:sz w:val="16"/>
                <w:szCs w:val="16"/>
              </w:rPr>
              <w:t>Balance as of December</w:t>
            </w:r>
            <w:r>
              <w:rPr>
                <w:rFonts w:cs="Arial"/>
                <w:b/>
                <w:bCs/>
                <w:color w:val="000000"/>
                <w:sz w:val="16"/>
                <w:szCs w:val="16"/>
              </w:rPr>
              <w:t> </w:t>
            </w:r>
            <w:r w:rsidRPr="000B5656">
              <w:rPr>
                <w:rFonts w:cs="Arial"/>
                <w:b/>
                <w:bCs/>
                <w:color w:val="000000"/>
                <w:sz w:val="16"/>
                <w:szCs w:val="16"/>
              </w:rPr>
              <w:t>31, 2015</w:t>
            </w:r>
          </w:p>
        </w:tc>
      </w:tr>
      <w:tr w:rsidR="008355F0" w:rsidRPr="000B5656" w:rsidTr="00E92F85">
        <w:trPr>
          <w:trHeight w:val="255"/>
        </w:trPr>
        <w:tc>
          <w:tcPr>
            <w:tcW w:w="20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55F0" w:rsidRPr="000B5656" w:rsidRDefault="008355F0" w:rsidP="003867F8">
            <w:pPr>
              <w:jc w:val="center"/>
              <w:rPr>
                <w:rFonts w:cs="Arial"/>
                <w:color w:val="000000"/>
                <w:sz w:val="16"/>
                <w:szCs w:val="16"/>
              </w:rPr>
            </w:pPr>
            <w:r w:rsidRPr="000B5656">
              <w:rPr>
                <w:rFonts w:cs="Arial"/>
                <w:color w:val="000000"/>
                <w:sz w:val="16"/>
                <w:szCs w:val="16"/>
              </w:rPr>
              <w:t>333,211</w:t>
            </w:r>
          </w:p>
        </w:tc>
        <w:tc>
          <w:tcPr>
            <w:tcW w:w="1640" w:type="dxa"/>
            <w:tcBorders>
              <w:top w:val="single" w:sz="4" w:space="0" w:color="auto"/>
              <w:left w:val="nil"/>
              <w:bottom w:val="single" w:sz="4" w:space="0" w:color="auto"/>
              <w:right w:val="single" w:sz="4" w:space="0" w:color="auto"/>
            </w:tcBorders>
            <w:shd w:val="clear" w:color="auto" w:fill="auto"/>
            <w:vAlign w:val="center"/>
            <w:hideMark/>
          </w:tcPr>
          <w:p w:rsidR="008355F0" w:rsidRPr="000B5656" w:rsidRDefault="008355F0" w:rsidP="003867F8">
            <w:pPr>
              <w:jc w:val="center"/>
              <w:rPr>
                <w:rFonts w:cs="Arial"/>
                <w:color w:val="000000"/>
                <w:sz w:val="16"/>
                <w:szCs w:val="16"/>
              </w:rPr>
            </w:pPr>
            <w:r>
              <w:rPr>
                <w:rFonts w:cs="Arial"/>
                <w:color w:val="000000"/>
                <w:sz w:val="16"/>
                <w:szCs w:val="16"/>
              </w:rPr>
              <w:t>(</w:t>
            </w:r>
            <w:r w:rsidRPr="000B5656">
              <w:rPr>
                <w:rFonts w:cs="Arial"/>
                <w:color w:val="000000"/>
                <w:sz w:val="16"/>
                <w:szCs w:val="16"/>
              </w:rPr>
              <w:t>27</w:t>
            </w:r>
            <w:r>
              <w:rPr>
                <w:rFonts w:cs="Arial"/>
                <w:color w:val="000000"/>
                <w:sz w:val="16"/>
                <w:szCs w:val="16"/>
              </w:rPr>
              <w:t>)</w:t>
            </w:r>
          </w:p>
        </w:tc>
        <w:tc>
          <w:tcPr>
            <w:tcW w:w="1860" w:type="dxa"/>
            <w:tcBorders>
              <w:top w:val="single" w:sz="4" w:space="0" w:color="auto"/>
              <w:left w:val="nil"/>
              <w:bottom w:val="single" w:sz="4" w:space="0" w:color="auto"/>
              <w:right w:val="single" w:sz="4" w:space="0" w:color="auto"/>
            </w:tcBorders>
            <w:shd w:val="clear" w:color="auto" w:fill="auto"/>
            <w:vAlign w:val="center"/>
            <w:hideMark/>
          </w:tcPr>
          <w:p w:rsidR="008355F0" w:rsidRPr="000B5656" w:rsidRDefault="008355F0" w:rsidP="003867F8">
            <w:pPr>
              <w:jc w:val="center"/>
              <w:rPr>
                <w:rFonts w:cs="Arial"/>
                <w:color w:val="000000"/>
                <w:sz w:val="16"/>
                <w:szCs w:val="16"/>
              </w:rPr>
            </w:pPr>
            <w:r w:rsidRPr="000B5656">
              <w:rPr>
                <w:rFonts w:cs="Arial"/>
                <w:color w:val="000000"/>
                <w:sz w:val="16"/>
                <w:szCs w:val="16"/>
              </w:rPr>
              <w:t>102,850</w:t>
            </w:r>
          </w:p>
        </w:tc>
        <w:tc>
          <w:tcPr>
            <w:tcW w:w="1780" w:type="dxa"/>
            <w:tcBorders>
              <w:top w:val="single" w:sz="4" w:space="0" w:color="auto"/>
              <w:left w:val="nil"/>
              <w:bottom w:val="single" w:sz="4" w:space="0" w:color="auto"/>
              <w:right w:val="single" w:sz="4" w:space="0" w:color="auto"/>
            </w:tcBorders>
            <w:shd w:val="clear" w:color="auto" w:fill="auto"/>
            <w:noWrap/>
            <w:vAlign w:val="center"/>
            <w:hideMark/>
          </w:tcPr>
          <w:p w:rsidR="008355F0" w:rsidRPr="00EF296D" w:rsidRDefault="008355F0" w:rsidP="003867F8">
            <w:pPr>
              <w:jc w:val="center"/>
              <w:rPr>
                <w:rFonts w:cs="Arial"/>
                <w:color w:val="000000"/>
                <w:sz w:val="16"/>
                <w:szCs w:val="16"/>
              </w:rPr>
            </w:pPr>
            <w:r>
              <w:rPr>
                <w:rFonts w:cs="Arial"/>
                <w:color w:val="000000"/>
                <w:sz w:val="16"/>
                <w:szCs w:val="16"/>
              </w:rPr>
              <w:t>-</w:t>
            </w:r>
          </w:p>
        </w:tc>
        <w:tc>
          <w:tcPr>
            <w:tcW w:w="2188" w:type="dxa"/>
            <w:tcBorders>
              <w:top w:val="single" w:sz="4" w:space="0" w:color="auto"/>
              <w:left w:val="nil"/>
              <w:bottom w:val="single" w:sz="4" w:space="0" w:color="auto"/>
              <w:right w:val="single" w:sz="4" w:space="0" w:color="auto"/>
            </w:tcBorders>
            <w:shd w:val="clear" w:color="auto" w:fill="auto"/>
            <w:vAlign w:val="center"/>
            <w:hideMark/>
          </w:tcPr>
          <w:p w:rsidR="008355F0" w:rsidRPr="000B5656" w:rsidRDefault="008355F0" w:rsidP="003867F8">
            <w:pPr>
              <w:jc w:val="center"/>
              <w:rPr>
                <w:rFonts w:cs="Arial"/>
                <w:color w:val="000000"/>
                <w:sz w:val="16"/>
                <w:szCs w:val="16"/>
              </w:rPr>
            </w:pPr>
            <w:r w:rsidRPr="000B5656">
              <w:rPr>
                <w:rFonts w:cs="Arial"/>
                <w:color w:val="000000"/>
                <w:sz w:val="16"/>
                <w:szCs w:val="16"/>
              </w:rPr>
              <w:t>230,334</w:t>
            </w:r>
          </w:p>
        </w:tc>
      </w:tr>
    </w:tbl>
    <w:p w:rsidR="008355F0" w:rsidRDefault="008355F0" w:rsidP="003867F8">
      <w:pPr>
        <w:tabs>
          <w:tab w:val="left" w:pos="0"/>
          <w:tab w:val="left" w:pos="9071"/>
        </w:tabs>
        <w:rPr>
          <w:rFonts w:cs="Arial"/>
          <w:b/>
          <w:szCs w:val="16"/>
        </w:rPr>
      </w:pPr>
    </w:p>
    <w:p w:rsidR="008355F0" w:rsidRPr="002E1564" w:rsidRDefault="008355F0" w:rsidP="003867F8">
      <w:pPr>
        <w:tabs>
          <w:tab w:val="left" w:pos="0"/>
          <w:tab w:val="left" w:pos="9071"/>
        </w:tabs>
        <w:rPr>
          <w:rFonts w:cs="Arial"/>
          <w:b/>
          <w:szCs w:val="16"/>
        </w:rPr>
      </w:pPr>
    </w:p>
    <w:p w:rsidR="008355F0" w:rsidRPr="000B5656" w:rsidRDefault="008355F0" w:rsidP="003867F8">
      <w:pPr>
        <w:tabs>
          <w:tab w:val="left" w:pos="0"/>
          <w:tab w:val="left" w:pos="9071"/>
        </w:tabs>
        <w:rPr>
          <w:rFonts w:cs="Arial"/>
          <w:b/>
          <w:szCs w:val="16"/>
        </w:rPr>
      </w:pPr>
      <w:r w:rsidRPr="000B5656">
        <w:rPr>
          <w:rFonts w:cs="Arial"/>
          <w:b/>
          <w:szCs w:val="16"/>
        </w:rPr>
        <w:t>BRAZIL SOUTH</w:t>
      </w:r>
    </w:p>
    <w:p w:rsidR="008355F0" w:rsidRPr="002E1564" w:rsidRDefault="008355F0" w:rsidP="003867F8">
      <w:pPr>
        <w:tabs>
          <w:tab w:val="left" w:pos="0"/>
          <w:tab w:val="left" w:pos="9071"/>
        </w:tabs>
        <w:rPr>
          <w:rFonts w:cs="Arial"/>
          <w:b/>
          <w:szCs w:val="16"/>
        </w:rPr>
      </w:pPr>
    </w:p>
    <w:tbl>
      <w:tblPr>
        <w:tblW w:w="9356" w:type="dxa"/>
        <w:tblInd w:w="10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43"/>
        <w:gridCol w:w="1134"/>
        <w:gridCol w:w="2126"/>
        <w:gridCol w:w="4253"/>
      </w:tblGrid>
      <w:tr w:rsidR="008355F0" w:rsidRPr="000B5656" w:rsidTr="00E92F85">
        <w:trPr>
          <w:cantSplit/>
          <w:trHeight w:val="315"/>
        </w:trPr>
        <w:tc>
          <w:tcPr>
            <w:tcW w:w="9356" w:type="dxa"/>
            <w:gridSpan w:val="4"/>
            <w:tcBorders>
              <w:top w:val="single" w:sz="4" w:space="0" w:color="000000"/>
              <w:bottom w:val="single" w:sz="4" w:space="0" w:color="000000"/>
            </w:tcBorders>
            <w:shd w:val="clear" w:color="auto" w:fill="C6D9F1" w:themeFill="text2" w:themeFillTint="33"/>
          </w:tcPr>
          <w:p w:rsidR="008355F0" w:rsidRPr="000B5656" w:rsidRDefault="008355F0" w:rsidP="003867F8">
            <w:pPr>
              <w:keepNext/>
              <w:keepLines/>
              <w:tabs>
                <w:tab w:val="left" w:pos="1740"/>
              </w:tabs>
              <w:spacing w:before="120" w:after="120"/>
              <w:ind w:left="1740" w:hanging="1740"/>
              <w:rPr>
                <w:rFonts w:cs="Arial"/>
                <w:color w:val="000000"/>
                <w:sz w:val="16"/>
                <w:szCs w:val="16"/>
              </w:rPr>
            </w:pPr>
            <w:r w:rsidRPr="000B5656">
              <w:rPr>
                <w:rFonts w:cs="Arial"/>
                <w:b/>
                <w:bCs/>
                <w:color w:val="000000"/>
                <w:sz w:val="16"/>
                <w:szCs w:val="16"/>
              </w:rPr>
              <w:t>RESULT</w:t>
            </w:r>
            <w:r w:rsidRPr="000B5656">
              <w:rPr>
                <w:rFonts w:cs="Arial"/>
                <w:bCs/>
                <w:sz w:val="16"/>
                <w:szCs w:val="16"/>
                <w:lang w:val="en-AU"/>
              </w:rPr>
              <w:t>:</w:t>
            </w:r>
            <w:r w:rsidRPr="000B5656">
              <w:rPr>
                <w:rFonts w:cs="Arial"/>
                <w:bCs/>
                <w:sz w:val="16"/>
                <w:szCs w:val="16"/>
                <w:lang w:val="en-AU"/>
              </w:rPr>
              <w:tab/>
              <w:t>III.2. Enhanced human resource capacities able to deal with the broad range of requirements for the effective use of IP for development in developing countries, LDCs and countries with economies in transition</w:t>
            </w:r>
          </w:p>
        </w:tc>
      </w:tr>
      <w:tr w:rsidR="008355F0" w:rsidRPr="000B5656" w:rsidTr="00E92F85">
        <w:trPr>
          <w:cantSplit/>
          <w:trHeight w:val="402"/>
        </w:trPr>
        <w:tc>
          <w:tcPr>
            <w:tcW w:w="1843" w:type="dxa"/>
            <w:tcBorders>
              <w:top w:val="single" w:sz="4" w:space="0" w:color="000000"/>
            </w:tcBorders>
            <w:vAlign w:val="center"/>
          </w:tcPr>
          <w:p w:rsidR="008355F0" w:rsidRPr="000B5656" w:rsidRDefault="008355F0" w:rsidP="003867F8">
            <w:pPr>
              <w:keepNext/>
              <w:keepLines/>
              <w:spacing w:before="60" w:after="60"/>
              <w:rPr>
                <w:rFonts w:cs="Arial"/>
                <w:b/>
                <w:bCs/>
                <w:sz w:val="16"/>
                <w:szCs w:val="16"/>
              </w:rPr>
            </w:pPr>
            <w:r w:rsidRPr="000B5656">
              <w:rPr>
                <w:rFonts w:cs="Arial"/>
                <w:b/>
                <w:bCs/>
                <w:sz w:val="16"/>
                <w:szCs w:val="16"/>
              </w:rPr>
              <w:t>Activity</w:t>
            </w:r>
          </w:p>
        </w:tc>
        <w:tc>
          <w:tcPr>
            <w:tcW w:w="1134" w:type="dxa"/>
            <w:tcBorders>
              <w:top w:val="single" w:sz="4" w:space="0" w:color="000000"/>
            </w:tcBorders>
            <w:vAlign w:val="center"/>
          </w:tcPr>
          <w:p w:rsidR="008355F0" w:rsidRPr="000B5656" w:rsidRDefault="008355F0" w:rsidP="003867F8">
            <w:pPr>
              <w:spacing w:before="60" w:after="60"/>
              <w:rPr>
                <w:rFonts w:cs="Arial"/>
                <w:sz w:val="16"/>
                <w:szCs w:val="16"/>
              </w:rPr>
            </w:pPr>
            <w:r w:rsidRPr="000B5656">
              <w:rPr>
                <w:rFonts w:cs="Arial"/>
                <w:b/>
                <w:bCs/>
                <w:sz w:val="16"/>
                <w:szCs w:val="16"/>
              </w:rPr>
              <w:t>Date</w:t>
            </w:r>
          </w:p>
        </w:tc>
        <w:tc>
          <w:tcPr>
            <w:tcW w:w="2126" w:type="dxa"/>
            <w:tcBorders>
              <w:top w:val="single" w:sz="4" w:space="0" w:color="000000"/>
            </w:tcBorders>
            <w:vAlign w:val="center"/>
          </w:tcPr>
          <w:p w:rsidR="008355F0" w:rsidRPr="000B5656" w:rsidRDefault="008355F0" w:rsidP="003867F8">
            <w:pPr>
              <w:spacing w:before="60" w:after="60"/>
              <w:rPr>
                <w:rFonts w:cs="Arial"/>
                <w:sz w:val="16"/>
                <w:szCs w:val="16"/>
              </w:rPr>
            </w:pPr>
            <w:r w:rsidRPr="000B5656">
              <w:rPr>
                <w:rFonts w:cs="Arial"/>
                <w:b/>
                <w:bCs/>
                <w:sz w:val="16"/>
                <w:szCs w:val="16"/>
              </w:rPr>
              <w:t>Host Country/</w:t>
            </w:r>
            <w:r w:rsidRPr="000B5656">
              <w:rPr>
                <w:rFonts w:cs="Arial"/>
                <w:b/>
                <w:bCs/>
                <w:sz w:val="16"/>
                <w:szCs w:val="16"/>
              </w:rPr>
              <w:br/>
              <w:t>Recipients</w:t>
            </w:r>
          </w:p>
        </w:tc>
        <w:tc>
          <w:tcPr>
            <w:tcW w:w="4253" w:type="dxa"/>
            <w:tcBorders>
              <w:top w:val="single" w:sz="4" w:space="0" w:color="000000"/>
            </w:tcBorders>
            <w:vAlign w:val="center"/>
          </w:tcPr>
          <w:p w:rsidR="008355F0" w:rsidRPr="000B5656" w:rsidRDefault="008355F0" w:rsidP="003867F8">
            <w:pPr>
              <w:spacing w:before="60" w:after="60"/>
              <w:rPr>
                <w:rFonts w:cs="Arial"/>
                <w:sz w:val="16"/>
                <w:szCs w:val="16"/>
              </w:rPr>
            </w:pPr>
            <w:r w:rsidRPr="000B5656">
              <w:rPr>
                <w:rFonts w:cs="Arial"/>
                <w:b/>
                <w:bCs/>
                <w:sz w:val="16"/>
                <w:szCs w:val="16"/>
              </w:rPr>
              <w:t>Purpose(s)/Description(s)</w:t>
            </w:r>
          </w:p>
        </w:tc>
      </w:tr>
      <w:tr w:rsidR="008355F0" w:rsidRPr="000B5656" w:rsidTr="00E92F85">
        <w:trPr>
          <w:cantSplit/>
          <w:trHeight w:val="315"/>
        </w:trPr>
        <w:tc>
          <w:tcPr>
            <w:tcW w:w="1843" w:type="dxa"/>
          </w:tcPr>
          <w:p w:rsidR="008355F0" w:rsidRPr="000B5656" w:rsidRDefault="008355F0" w:rsidP="003867F8">
            <w:pPr>
              <w:autoSpaceDE w:val="0"/>
              <w:autoSpaceDN w:val="0"/>
              <w:adjustRightInd w:val="0"/>
              <w:spacing w:before="60" w:after="60"/>
              <w:rPr>
                <w:rFonts w:cs="Arial"/>
                <w:color w:val="000000"/>
                <w:sz w:val="16"/>
                <w:szCs w:val="16"/>
              </w:rPr>
            </w:pPr>
            <w:r w:rsidRPr="00BA2261">
              <w:rPr>
                <w:rFonts w:cs="Arial"/>
                <w:color w:val="000000"/>
                <w:sz w:val="16"/>
                <w:szCs w:val="16"/>
              </w:rPr>
              <w:t>II Regional Workshop on IP and Technology Transfer</w:t>
            </w:r>
          </w:p>
        </w:tc>
        <w:tc>
          <w:tcPr>
            <w:tcW w:w="1134" w:type="dxa"/>
          </w:tcPr>
          <w:p w:rsidR="008355F0" w:rsidRPr="000B5656" w:rsidRDefault="008355F0" w:rsidP="003867F8">
            <w:pPr>
              <w:autoSpaceDE w:val="0"/>
              <w:autoSpaceDN w:val="0"/>
              <w:adjustRightInd w:val="0"/>
              <w:spacing w:before="60" w:after="60"/>
              <w:rPr>
                <w:rFonts w:cs="Arial"/>
                <w:color w:val="000000"/>
                <w:sz w:val="16"/>
                <w:szCs w:val="16"/>
              </w:rPr>
            </w:pPr>
            <w:r w:rsidRPr="00BA2261">
              <w:rPr>
                <w:rFonts w:cs="Arial"/>
                <w:color w:val="000000"/>
                <w:sz w:val="16"/>
                <w:szCs w:val="16"/>
              </w:rPr>
              <w:t xml:space="preserve">May 7 </w:t>
            </w:r>
            <w:r>
              <w:rPr>
                <w:rFonts w:cs="Arial"/>
                <w:color w:val="000000"/>
                <w:sz w:val="16"/>
                <w:szCs w:val="16"/>
              </w:rPr>
              <w:t>to</w:t>
            </w:r>
            <w:r w:rsidRPr="00BA2261">
              <w:rPr>
                <w:rFonts w:cs="Arial"/>
                <w:color w:val="000000"/>
                <w:sz w:val="16"/>
                <w:szCs w:val="16"/>
              </w:rPr>
              <w:t xml:space="preserve"> 8, 2015</w:t>
            </w:r>
          </w:p>
        </w:tc>
        <w:tc>
          <w:tcPr>
            <w:tcW w:w="2126" w:type="dxa"/>
          </w:tcPr>
          <w:p w:rsidR="008355F0" w:rsidRPr="000B5656" w:rsidRDefault="008355F0" w:rsidP="003867F8">
            <w:pPr>
              <w:autoSpaceDE w:val="0"/>
              <w:autoSpaceDN w:val="0"/>
              <w:adjustRightInd w:val="0"/>
              <w:spacing w:before="60" w:after="60"/>
              <w:rPr>
                <w:rFonts w:cs="Arial"/>
                <w:color w:val="000000"/>
                <w:sz w:val="16"/>
                <w:szCs w:val="16"/>
                <w:lang w:val="es-CL"/>
              </w:rPr>
            </w:pPr>
            <w:r>
              <w:rPr>
                <w:rFonts w:cs="Arial"/>
                <w:color w:val="000000"/>
                <w:sz w:val="16"/>
                <w:szCs w:val="16"/>
                <w:lang w:val="es-CL"/>
              </w:rPr>
              <w:t>Peru/ Costa Rica, Dominican Republic, Ecuador, Mexico, Peru and Uruguay</w:t>
            </w:r>
          </w:p>
        </w:tc>
        <w:tc>
          <w:tcPr>
            <w:tcW w:w="4253" w:type="dxa"/>
          </w:tcPr>
          <w:p w:rsidR="008355F0" w:rsidRPr="00DF5AE6" w:rsidRDefault="008355F0" w:rsidP="003867F8">
            <w:pPr>
              <w:autoSpaceDE w:val="0"/>
              <w:autoSpaceDN w:val="0"/>
              <w:adjustRightInd w:val="0"/>
              <w:spacing w:before="60" w:after="60"/>
              <w:rPr>
                <w:rFonts w:cs="Arial"/>
                <w:color w:val="000000"/>
                <w:sz w:val="16"/>
                <w:szCs w:val="16"/>
              </w:rPr>
            </w:pPr>
            <w:r w:rsidRPr="00DF5AE6">
              <w:rPr>
                <w:rFonts w:cs="Arial"/>
                <w:color w:val="000000"/>
                <w:sz w:val="16"/>
                <w:szCs w:val="16"/>
              </w:rPr>
              <w:t>To discuss:  (i) the structuring of national and institutional IP strategies;  (ii) the establishment of technology transfer offices;   and (iii) strategic models to foster innovation.</w:t>
            </w:r>
          </w:p>
        </w:tc>
      </w:tr>
      <w:tr w:rsidR="00091CB9" w:rsidRPr="000B5656" w:rsidTr="00E92F85">
        <w:trPr>
          <w:cantSplit/>
          <w:trHeight w:val="315"/>
        </w:trPr>
        <w:tc>
          <w:tcPr>
            <w:tcW w:w="1843" w:type="dxa"/>
          </w:tcPr>
          <w:p w:rsidR="00091CB9" w:rsidRPr="00BA2261" w:rsidRDefault="00091CB9" w:rsidP="003867F8">
            <w:pPr>
              <w:autoSpaceDE w:val="0"/>
              <w:autoSpaceDN w:val="0"/>
              <w:adjustRightInd w:val="0"/>
              <w:spacing w:before="60" w:after="60"/>
              <w:rPr>
                <w:rFonts w:cs="Arial"/>
                <w:color w:val="000000"/>
                <w:sz w:val="16"/>
                <w:szCs w:val="16"/>
              </w:rPr>
            </w:pPr>
            <w:r w:rsidRPr="004577B6">
              <w:rPr>
                <w:rFonts w:cs="Arial"/>
                <w:color w:val="000000"/>
                <w:sz w:val="16"/>
                <w:szCs w:val="16"/>
              </w:rPr>
              <w:t>Regional Workshop on Free and Open Source Tools for Patent Analysis</w:t>
            </w:r>
          </w:p>
        </w:tc>
        <w:tc>
          <w:tcPr>
            <w:tcW w:w="1134" w:type="dxa"/>
          </w:tcPr>
          <w:p w:rsidR="00091CB9" w:rsidRPr="00BA2261" w:rsidRDefault="00091CB9" w:rsidP="003867F8">
            <w:pPr>
              <w:autoSpaceDE w:val="0"/>
              <w:autoSpaceDN w:val="0"/>
              <w:adjustRightInd w:val="0"/>
              <w:spacing w:before="60" w:after="60"/>
              <w:rPr>
                <w:rFonts w:cs="Arial"/>
                <w:color w:val="000000"/>
                <w:sz w:val="16"/>
                <w:szCs w:val="16"/>
              </w:rPr>
            </w:pPr>
            <w:r w:rsidRPr="004577B6">
              <w:rPr>
                <w:rFonts w:cs="Arial"/>
                <w:color w:val="000000"/>
                <w:sz w:val="16"/>
                <w:szCs w:val="16"/>
              </w:rPr>
              <w:t>August 27 to 28, 2015</w:t>
            </w:r>
          </w:p>
        </w:tc>
        <w:tc>
          <w:tcPr>
            <w:tcW w:w="2126" w:type="dxa"/>
          </w:tcPr>
          <w:p w:rsidR="00091CB9" w:rsidRDefault="00091CB9" w:rsidP="003867F8">
            <w:pPr>
              <w:autoSpaceDE w:val="0"/>
              <w:autoSpaceDN w:val="0"/>
              <w:adjustRightInd w:val="0"/>
              <w:spacing w:before="60" w:after="60"/>
              <w:rPr>
                <w:rFonts w:cs="Arial"/>
                <w:color w:val="000000"/>
                <w:sz w:val="16"/>
                <w:szCs w:val="16"/>
                <w:lang w:val="es-CL"/>
              </w:rPr>
            </w:pPr>
            <w:r w:rsidRPr="004577B6">
              <w:rPr>
                <w:rFonts w:cs="Arial"/>
                <w:color w:val="000000"/>
                <w:sz w:val="16"/>
                <w:szCs w:val="16"/>
                <w:lang w:val="es-CL"/>
              </w:rPr>
              <w:t xml:space="preserve">Brazil/ Chile, Colombia, </w:t>
            </w:r>
            <w:r w:rsidRPr="00E37059">
              <w:rPr>
                <w:rFonts w:cs="Arial"/>
                <w:color w:val="000000"/>
                <w:sz w:val="16"/>
                <w:szCs w:val="16"/>
                <w:lang w:val="es-ES"/>
              </w:rPr>
              <w:t>Mexico</w:t>
            </w:r>
            <w:r w:rsidRPr="004577B6">
              <w:rPr>
                <w:rFonts w:cs="Arial"/>
                <w:color w:val="000000"/>
                <w:sz w:val="16"/>
                <w:szCs w:val="16"/>
                <w:lang w:val="es-CL"/>
              </w:rPr>
              <w:t xml:space="preserve"> and Uruguay</w:t>
            </w:r>
          </w:p>
        </w:tc>
        <w:tc>
          <w:tcPr>
            <w:tcW w:w="4253" w:type="dxa"/>
          </w:tcPr>
          <w:p w:rsidR="00091CB9" w:rsidRPr="00DF5AE6" w:rsidRDefault="00091CB9" w:rsidP="003867F8">
            <w:pPr>
              <w:autoSpaceDE w:val="0"/>
              <w:autoSpaceDN w:val="0"/>
              <w:adjustRightInd w:val="0"/>
              <w:spacing w:before="60" w:after="60"/>
              <w:rPr>
                <w:rFonts w:cs="Arial"/>
                <w:color w:val="000000"/>
                <w:sz w:val="16"/>
                <w:szCs w:val="16"/>
              </w:rPr>
            </w:pPr>
            <w:r w:rsidRPr="004577B6">
              <w:rPr>
                <w:rFonts w:cs="Arial"/>
                <w:color w:val="000000"/>
                <w:sz w:val="16"/>
                <w:szCs w:val="16"/>
              </w:rPr>
              <w:t>To</w:t>
            </w:r>
            <w:r>
              <w:rPr>
                <w:rFonts w:cs="Arial"/>
                <w:color w:val="000000"/>
                <w:sz w:val="16"/>
                <w:szCs w:val="16"/>
              </w:rPr>
              <w:t>:  (i)</w:t>
            </w:r>
            <w:r w:rsidRPr="004577B6">
              <w:rPr>
                <w:rFonts w:cs="Arial"/>
                <w:color w:val="000000"/>
                <w:sz w:val="16"/>
                <w:szCs w:val="16"/>
              </w:rPr>
              <w:t xml:space="preserve"> complement the training provided during the Regional Patent Analytics Workshop held in August </w:t>
            </w:r>
            <w:r>
              <w:rPr>
                <w:rFonts w:cs="Arial"/>
                <w:color w:val="000000"/>
                <w:sz w:val="16"/>
                <w:szCs w:val="16"/>
              </w:rPr>
              <w:t xml:space="preserve">2013, in Rio de Janeiro, Brazil; </w:t>
            </w:r>
            <w:r w:rsidRPr="004577B6">
              <w:rPr>
                <w:rFonts w:cs="Arial"/>
                <w:color w:val="000000"/>
                <w:sz w:val="16"/>
                <w:szCs w:val="16"/>
              </w:rPr>
              <w:t xml:space="preserve"> and </w:t>
            </w:r>
            <w:r>
              <w:rPr>
                <w:rFonts w:cs="Arial"/>
                <w:color w:val="000000"/>
                <w:sz w:val="16"/>
                <w:szCs w:val="16"/>
              </w:rPr>
              <w:t>(ii) serve</w:t>
            </w:r>
            <w:r w:rsidRPr="004577B6">
              <w:rPr>
                <w:rFonts w:cs="Arial"/>
                <w:color w:val="000000"/>
                <w:sz w:val="16"/>
                <w:szCs w:val="16"/>
              </w:rPr>
              <w:t xml:space="preserve"> as a platform for discussion and feedback to the Manual on Open Source Patent Analytics Tools</w:t>
            </w:r>
            <w:r>
              <w:rPr>
                <w:rFonts w:cs="Arial"/>
                <w:color w:val="000000"/>
                <w:sz w:val="16"/>
                <w:szCs w:val="16"/>
              </w:rPr>
              <w:t>,</w:t>
            </w:r>
            <w:r w:rsidRPr="004577B6">
              <w:rPr>
                <w:rFonts w:cs="Arial"/>
                <w:color w:val="000000"/>
                <w:sz w:val="16"/>
                <w:szCs w:val="16"/>
              </w:rPr>
              <w:t xml:space="preserve"> which is </w:t>
            </w:r>
            <w:r>
              <w:rPr>
                <w:rFonts w:cs="Arial"/>
                <w:color w:val="000000"/>
                <w:sz w:val="16"/>
                <w:szCs w:val="16"/>
              </w:rPr>
              <w:t xml:space="preserve">currently </w:t>
            </w:r>
            <w:r w:rsidRPr="004577B6">
              <w:rPr>
                <w:rFonts w:cs="Arial"/>
                <w:color w:val="000000"/>
                <w:sz w:val="16"/>
                <w:szCs w:val="16"/>
              </w:rPr>
              <w:t>under preparation.</w:t>
            </w:r>
          </w:p>
        </w:tc>
      </w:tr>
      <w:tr w:rsidR="00091CB9" w:rsidRPr="000B5656" w:rsidTr="00E92F85">
        <w:trPr>
          <w:cantSplit/>
          <w:trHeight w:val="315"/>
        </w:trPr>
        <w:tc>
          <w:tcPr>
            <w:tcW w:w="1843" w:type="dxa"/>
          </w:tcPr>
          <w:p w:rsidR="00091CB9" w:rsidRPr="000B5656" w:rsidRDefault="00091CB9" w:rsidP="003867F8">
            <w:pPr>
              <w:autoSpaceDE w:val="0"/>
              <w:autoSpaceDN w:val="0"/>
              <w:adjustRightInd w:val="0"/>
              <w:spacing w:before="60" w:after="60"/>
              <w:rPr>
                <w:rFonts w:cs="Arial"/>
                <w:color w:val="000000"/>
                <w:sz w:val="16"/>
                <w:szCs w:val="16"/>
              </w:rPr>
            </w:pPr>
            <w:r w:rsidRPr="00BA2261">
              <w:rPr>
                <w:rFonts w:cs="Arial"/>
                <w:color w:val="000000"/>
                <w:sz w:val="16"/>
                <w:szCs w:val="16"/>
              </w:rPr>
              <w:t>III Regional Workshop on IP and Technology Transfer</w:t>
            </w:r>
          </w:p>
        </w:tc>
        <w:tc>
          <w:tcPr>
            <w:tcW w:w="1134" w:type="dxa"/>
          </w:tcPr>
          <w:p w:rsidR="00091CB9" w:rsidRPr="000B5656" w:rsidRDefault="00091CB9" w:rsidP="003867F8">
            <w:pPr>
              <w:autoSpaceDE w:val="0"/>
              <w:autoSpaceDN w:val="0"/>
              <w:adjustRightInd w:val="0"/>
              <w:spacing w:before="60" w:after="60"/>
              <w:rPr>
                <w:rFonts w:cs="Arial"/>
                <w:color w:val="000000"/>
                <w:sz w:val="16"/>
                <w:szCs w:val="16"/>
              </w:rPr>
            </w:pPr>
            <w:r w:rsidRPr="00BA2261">
              <w:rPr>
                <w:rFonts w:cs="Arial"/>
                <w:color w:val="000000"/>
                <w:sz w:val="16"/>
                <w:szCs w:val="16"/>
              </w:rPr>
              <w:t>November 18 to 20, 2015</w:t>
            </w:r>
          </w:p>
        </w:tc>
        <w:tc>
          <w:tcPr>
            <w:tcW w:w="2126" w:type="dxa"/>
          </w:tcPr>
          <w:p w:rsidR="00091CB9" w:rsidRPr="000B5656" w:rsidRDefault="00091CB9" w:rsidP="003867F8">
            <w:pPr>
              <w:autoSpaceDE w:val="0"/>
              <w:autoSpaceDN w:val="0"/>
              <w:adjustRightInd w:val="0"/>
              <w:spacing w:before="60" w:after="60"/>
              <w:rPr>
                <w:rFonts w:cs="Arial"/>
                <w:color w:val="000000"/>
                <w:sz w:val="16"/>
                <w:szCs w:val="16"/>
                <w:lang w:val="es-CL"/>
              </w:rPr>
            </w:pPr>
            <w:r>
              <w:rPr>
                <w:rFonts w:cs="Arial"/>
                <w:color w:val="000000"/>
                <w:sz w:val="16"/>
                <w:szCs w:val="16"/>
                <w:lang w:val="es-CL"/>
              </w:rPr>
              <w:t xml:space="preserve">Mexico/ Colombia, Cuba, El Salvador, Peru and Mexico </w:t>
            </w:r>
          </w:p>
        </w:tc>
        <w:tc>
          <w:tcPr>
            <w:tcW w:w="4253" w:type="dxa"/>
          </w:tcPr>
          <w:p w:rsidR="00091CB9" w:rsidRPr="00DF5AE6" w:rsidRDefault="00091CB9" w:rsidP="003867F8">
            <w:pPr>
              <w:autoSpaceDE w:val="0"/>
              <w:autoSpaceDN w:val="0"/>
              <w:adjustRightInd w:val="0"/>
              <w:spacing w:before="60" w:after="60"/>
              <w:rPr>
                <w:rFonts w:cs="Arial"/>
                <w:color w:val="000000"/>
                <w:sz w:val="16"/>
                <w:szCs w:val="16"/>
              </w:rPr>
            </w:pPr>
            <w:r w:rsidRPr="00DF5AE6">
              <w:rPr>
                <w:rFonts w:cs="Arial"/>
                <w:color w:val="000000"/>
                <w:sz w:val="16"/>
                <w:szCs w:val="16"/>
              </w:rPr>
              <w:t>To discuss:  (i) the establishment of technology transfer policies;  and (ii) present practical aspects related to the negotiation and drafting of technology agreements.</w:t>
            </w:r>
          </w:p>
        </w:tc>
      </w:tr>
      <w:tr w:rsidR="00091CB9" w:rsidRPr="000B5656" w:rsidTr="00E92F85">
        <w:trPr>
          <w:cantSplit/>
          <w:trHeight w:val="315"/>
        </w:trPr>
        <w:tc>
          <w:tcPr>
            <w:tcW w:w="1843" w:type="dxa"/>
          </w:tcPr>
          <w:p w:rsidR="00091CB9" w:rsidRPr="000B5656" w:rsidRDefault="00091CB9" w:rsidP="003867F8">
            <w:pPr>
              <w:autoSpaceDE w:val="0"/>
              <w:autoSpaceDN w:val="0"/>
              <w:adjustRightInd w:val="0"/>
              <w:spacing w:before="60" w:after="60"/>
              <w:rPr>
                <w:rFonts w:cs="Arial"/>
                <w:sz w:val="16"/>
                <w:szCs w:val="16"/>
              </w:rPr>
            </w:pPr>
            <w:r w:rsidRPr="000B5656">
              <w:rPr>
                <w:rFonts w:cs="Arial"/>
                <w:sz w:val="16"/>
                <w:szCs w:val="16"/>
              </w:rPr>
              <w:t>XXXIII Seminar for IP Offices of Latin America</w:t>
            </w:r>
          </w:p>
        </w:tc>
        <w:tc>
          <w:tcPr>
            <w:tcW w:w="1134" w:type="dxa"/>
          </w:tcPr>
          <w:p w:rsidR="00091CB9" w:rsidRPr="000B5656" w:rsidRDefault="00091CB9" w:rsidP="003867F8">
            <w:pPr>
              <w:spacing w:before="60" w:after="60"/>
              <w:rPr>
                <w:rFonts w:cs="Arial"/>
                <w:sz w:val="16"/>
                <w:szCs w:val="16"/>
              </w:rPr>
            </w:pPr>
            <w:r w:rsidRPr="000B5656">
              <w:rPr>
                <w:rFonts w:cs="Arial"/>
                <w:sz w:val="16"/>
                <w:szCs w:val="16"/>
              </w:rPr>
              <w:t>August 31 to September 3, 2015</w:t>
            </w:r>
          </w:p>
        </w:tc>
        <w:tc>
          <w:tcPr>
            <w:tcW w:w="2126" w:type="dxa"/>
          </w:tcPr>
          <w:p w:rsidR="00091CB9" w:rsidRPr="000B5656" w:rsidRDefault="00091CB9" w:rsidP="003867F8">
            <w:pPr>
              <w:autoSpaceDE w:val="0"/>
              <w:autoSpaceDN w:val="0"/>
              <w:adjustRightInd w:val="0"/>
              <w:spacing w:before="60" w:after="60"/>
              <w:rPr>
                <w:rFonts w:cs="Arial"/>
                <w:color w:val="000000"/>
                <w:sz w:val="16"/>
                <w:szCs w:val="16"/>
                <w:lang w:val="es-ES"/>
              </w:rPr>
            </w:pPr>
            <w:r>
              <w:rPr>
                <w:rFonts w:cs="Arial"/>
                <w:color w:val="000000"/>
                <w:sz w:val="16"/>
                <w:szCs w:val="16"/>
                <w:lang w:val="es-ES"/>
              </w:rPr>
              <w:t xml:space="preserve">Brazil/ Argentina, Bolivia, Chile, Colombia, Costa Rica, Cuba, Dominican Republic, Ecuador, El Salvador, Guatemala, Honduras, Mexico, Nicaragua, Panama, Paraguay, Peru, Uruguay and Venezuela </w:t>
            </w:r>
          </w:p>
        </w:tc>
        <w:tc>
          <w:tcPr>
            <w:tcW w:w="4253" w:type="dxa"/>
          </w:tcPr>
          <w:p w:rsidR="00091CB9" w:rsidRPr="000B5656" w:rsidRDefault="00091CB9" w:rsidP="003867F8">
            <w:pPr>
              <w:autoSpaceDE w:val="0"/>
              <w:autoSpaceDN w:val="0"/>
              <w:adjustRightInd w:val="0"/>
              <w:spacing w:before="60" w:after="60"/>
              <w:rPr>
                <w:rFonts w:cs="Arial"/>
                <w:sz w:val="16"/>
                <w:szCs w:val="16"/>
              </w:rPr>
            </w:pPr>
            <w:r w:rsidRPr="00846E2B">
              <w:rPr>
                <w:rFonts w:cs="Arial"/>
                <w:sz w:val="16"/>
                <w:szCs w:val="16"/>
              </w:rPr>
              <w:t>To promote the exchange of experiences among of</w:t>
            </w:r>
            <w:r>
              <w:rPr>
                <w:rFonts w:cs="Arial"/>
                <w:sz w:val="16"/>
                <w:szCs w:val="16"/>
              </w:rPr>
              <w:t>ficials of national IP Offices o</w:t>
            </w:r>
            <w:r w:rsidRPr="00846E2B">
              <w:rPr>
                <w:rFonts w:cs="Arial"/>
                <w:sz w:val="16"/>
                <w:szCs w:val="16"/>
              </w:rPr>
              <w:t>n selected topics, focusing in particular on International cooperation in IP</w:t>
            </w:r>
            <w:r>
              <w:rPr>
                <w:rFonts w:cs="Arial"/>
                <w:sz w:val="16"/>
                <w:szCs w:val="16"/>
              </w:rPr>
              <w:t>.</w:t>
            </w:r>
          </w:p>
        </w:tc>
      </w:tr>
      <w:tr w:rsidR="00091CB9" w:rsidRPr="000B5656" w:rsidTr="00E92F85">
        <w:trPr>
          <w:cantSplit/>
          <w:trHeight w:val="315"/>
        </w:trPr>
        <w:tc>
          <w:tcPr>
            <w:tcW w:w="1843" w:type="dxa"/>
          </w:tcPr>
          <w:p w:rsidR="00091CB9" w:rsidRPr="000B5656" w:rsidRDefault="00091CB9" w:rsidP="003867F8">
            <w:pPr>
              <w:autoSpaceDE w:val="0"/>
              <w:autoSpaceDN w:val="0"/>
              <w:adjustRightInd w:val="0"/>
              <w:spacing w:before="60" w:after="60"/>
              <w:rPr>
                <w:rFonts w:cs="Arial"/>
                <w:sz w:val="16"/>
                <w:szCs w:val="16"/>
              </w:rPr>
            </w:pPr>
            <w:r w:rsidRPr="00BA2261">
              <w:rPr>
                <w:rFonts w:cs="Arial"/>
                <w:sz w:val="16"/>
                <w:szCs w:val="16"/>
              </w:rPr>
              <w:t>Regional Launch of the Global Innovation Index (GII) 2015</w:t>
            </w:r>
          </w:p>
        </w:tc>
        <w:tc>
          <w:tcPr>
            <w:tcW w:w="1134" w:type="dxa"/>
          </w:tcPr>
          <w:p w:rsidR="00091CB9" w:rsidRPr="000B5656" w:rsidRDefault="00091CB9" w:rsidP="003867F8">
            <w:pPr>
              <w:spacing w:before="60" w:after="60"/>
              <w:rPr>
                <w:rFonts w:cs="Arial"/>
                <w:sz w:val="16"/>
                <w:szCs w:val="16"/>
              </w:rPr>
            </w:pPr>
            <w:r w:rsidRPr="00BA2261">
              <w:rPr>
                <w:rFonts w:cs="Arial"/>
                <w:sz w:val="16"/>
                <w:szCs w:val="16"/>
              </w:rPr>
              <w:t>September 30, 2015</w:t>
            </w:r>
          </w:p>
        </w:tc>
        <w:tc>
          <w:tcPr>
            <w:tcW w:w="2126" w:type="dxa"/>
          </w:tcPr>
          <w:p w:rsidR="00091CB9" w:rsidRPr="000B5656" w:rsidRDefault="00091CB9" w:rsidP="003867F8">
            <w:pPr>
              <w:autoSpaceDE w:val="0"/>
              <w:autoSpaceDN w:val="0"/>
              <w:adjustRightInd w:val="0"/>
              <w:spacing w:before="60" w:after="60"/>
              <w:rPr>
                <w:rFonts w:cs="Arial"/>
                <w:color w:val="000000"/>
                <w:sz w:val="16"/>
                <w:szCs w:val="16"/>
                <w:lang w:val="es-ES"/>
              </w:rPr>
            </w:pPr>
            <w:r>
              <w:rPr>
                <w:rFonts w:cs="Arial"/>
                <w:color w:val="000000"/>
                <w:sz w:val="16"/>
                <w:szCs w:val="16"/>
                <w:lang w:val="es-ES"/>
              </w:rPr>
              <w:t>Brazil/ Chile, Colombia, Costa Rica and Mexico</w:t>
            </w:r>
          </w:p>
        </w:tc>
        <w:tc>
          <w:tcPr>
            <w:tcW w:w="4253" w:type="dxa"/>
          </w:tcPr>
          <w:p w:rsidR="00091CB9" w:rsidRPr="000B5656" w:rsidRDefault="00091CB9" w:rsidP="003867F8">
            <w:pPr>
              <w:autoSpaceDE w:val="0"/>
              <w:autoSpaceDN w:val="0"/>
              <w:adjustRightInd w:val="0"/>
              <w:spacing w:before="60" w:after="60"/>
              <w:rPr>
                <w:rFonts w:cs="Arial"/>
                <w:sz w:val="16"/>
                <w:szCs w:val="16"/>
              </w:rPr>
            </w:pPr>
            <w:r>
              <w:rPr>
                <w:rFonts w:cs="Arial"/>
                <w:sz w:val="16"/>
                <w:szCs w:val="16"/>
              </w:rPr>
              <w:t xml:space="preserve">To:  (i) </w:t>
            </w:r>
            <w:r w:rsidRPr="00BA2261">
              <w:rPr>
                <w:rFonts w:cs="Arial"/>
                <w:sz w:val="16"/>
                <w:szCs w:val="16"/>
              </w:rPr>
              <w:t>publiciz</w:t>
            </w:r>
            <w:r>
              <w:rPr>
                <w:rFonts w:cs="Arial"/>
                <w:sz w:val="16"/>
                <w:szCs w:val="16"/>
              </w:rPr>
              <w:t>e</w:t>
            </w:r>
            <w:r w:rsidRPr="00BA2261">
              <w:rPr>
                <w:rFonts w:cs="Arial"/>
                <w:sz w:val="16"/>
                <w:szCs w:val="16"/>
              </w:rPr>
              <w:t xml:space="preserve"> the 2015 edition of the GII in the Latin American Region</w:t>
            </w:r>
            <w:r>
              <w:rPr>
                <w:rFonts w:cs="Arial"/>
                <w:sz w:val="16"/>
                <w:szCs w:val="16"/>
              </w:rPr>
              <w:t xml:space="preserve">;  and (ii) </w:t>
            </w:r>
            <w:r w:rsidRPr="00BA2261">
              <w:rPr>
                <w:rFonts w:cs="Arial"/>
                <w:sz w:val="16"/>
                <w:szCs w:val="16"/>
              </w:rPr>
              <w:t>bring together experts and representatives from the Government and the industry sectors to discuss issues related to the economics of innovation</w:t>
            </w:r>
            <w:r>
              <w:rPr>
                <w:rFonts w:cs="Arial"/>
                <w:sz w:val="16"/>
                <w:szCs w:val="16"/>
              </w:rPr>
              <w:t>.</w:t>
            </w:r>
          </w:p>
        </w:tc>
      </w:tr>
      <w:tr w:rsidR="00091CB9" w:rsidRPr="000B5656" w:rsidTr="00E92F85">
        <w:trPr>
          <w:cantSplit/>
          <w:trHeight w:val="315"/>
        </w:trPr>
        <w:tc>
          <w:tcPr>
            <w:tcW w:w="1843" w:type="dxa"/>
          </w:tcPr>
          <w:p w:rsidR="00091CB9" w:rsidRPr="00BA2261" w:rsidRDefault="00091CB9" w:rsidP="003867F8">
            <w:pPr>
              <w:autoSpaceDE w:val="0"/>
              <w:autoSpaceDN w:val="0"/>
              <w:adjustRightInd w:val="0"/>
              <w:spacing w:before="60" w:after="60"/>
              <w:rPr>
                <w:rFonts w:cs="Arial"/>
                <w:sz w:val="16"/>
                <w:szCs w:val="16"/>
              </w:rPr>
            </w:pPr>
            <w:r w:rsidRPr="007D54B2">
              <w:rPr>
                <w:rFonts w:cs="Arial"/>
                <w:sz w:val="16"/>
                <w:szCs w:val="16"/>
              </w:rPr>
              <w:t>Regional Intermediate Training Program on Patent Examination for Latin American Countries</w:t>
            </w:r>
          </w:p>
        </w:tc>
        <w:tc>
          <w:tcPr>
            <w:tcW w:w="1134" w:type="dxa"/>
          </w:tcPr>
          <w:p w:rsidR="00091CB9" w:rsidRPr="00BA2261" w:rsidRDefault="00091CB9" w:rsidP="003867F8">
            <w:pPr>
              <w:spacing w:before="60" w:after="60"/>
              <w:rPr>
                <w:rFonts w:cs="Arial"/>
                <w:sz w:val="16"/>
                <w:szCs w:val="16"/>
              </w:rPr>
            </w:pPr>
            <w:r w:rsidRPr="007D54B2">
              <w:rPr>
                <w:rFonts w:cs="Arial"/>
                <w:sz w:val="16"/>
                <w:szCs w:val="16"/>
              </w:rPr>
              <w:t>November 23 to December 4, 2015</w:t>
            </w:r>
          </w:p>
        </w:tc>
        <w:tc>
          <w:tcPr>
            <w:tcW w:w="2126" w:type="dxa"/>
          </w:tcPr>
          <w:p w:rsidR="00091CB9" w:rsidRDefault="00091CB9" w:rsidP="003867F8">
            <w:pPr>
              <w:autoSpaceDE w:val="0"/>
              <w:autoSpaceDN w:val="0"/>
              <w:adjustRightInd w:val="0"/>
              <w:spacing w:before="60" w:after="60"/>
              <w:rPr>
                <w:rFonts w:cs="Arial"/>
                <w:color w:val="000000"/>
                <w:sz w:val="16"/>
                <w:szCs w:val="16"/>
                <w:lang w:val="es-ES"/>
              </w:rPr>
            </w:pPr>
            <w:r w:rsidRPr="007D54B2">
              <w:rPr>
                <w:rFonts w:cs="Arial"/>
                <w:color w:val="000000"/>
                <w:sz w:val="16"/>
                <w:szCs w:val="16"/>
                <w:lang w:val="es-ES"/>
              </w:rPr>
              <w:t xml:space="preserve">Brazil/ Argentina, Bolivia, Colombia, Costa Rica, Cuba, </w:t>
            </w:r>
            <w:r w:rsidRPr="00E37059">
              <w:rPr>
                <w:rFonts w:cs="Arial"/>
                <w:color w:val="000000"/>
                <w:sz w:val="16"/>
                <w:szCs w:val="16"/>
                <w:lang w:val="es-ES"/>
              </w:rPr>
              <w:t>Dominican</w:t>
            </w:r>
            <w:r>
              <w:rPr>
                <w:rFonts w:cs="Arial"/>
                <w:color w:val="000000"/>
                <w:sz w:val="16"/>
                <w:szCs w:val="16"/>
                <w:lang w:val="es-ES"/>
              </w:rPr>
              <w:t xml:space="preserve"> </w:t>
            </w:r>
            <w:r w:rsidRPr="00E37059">
              <w:rPr>
                <w:rFonts w:cs="Arial"/>
                <w:color w:val="000000"/>
                <w:sz w:val="16"/>
                <w:szCs w:val="16"/>
                <w:lang w:val="es-ES"/>
              </w:rPr>
              <w:t>Republic</w:t>
            </w:r>
            <w:r>
              <w:rPr>
                <w:rFonts w:cs="Arial"/>
                <w:color w:val="000000"/>
                <w:sz w:val="16"/>
                <w:szCs w:val="16"/>
                <w:lang w:val="es-ES"/>
              </w:rPr>
              <w:t>, Ecuador, El </w:t>
            </w:r>
            <w:r w:rsidRPr="007D54B2">
              <w:rPr>
                <w:rFonts w:cs="Arial"/>
                <w:color w:val="000000"/>
                <w:sz w:val="16"/>
                <w:szCs w:val="16"/>
                <w:lang w:val="es-ES"/>
              </w:rPr>
              <w:t xml:space="preserve">Salvador, Guatemala, Honduras, </w:t>
            </w:r>
            <w:r w:rsidRPr="00E37059">
              <w:rPr>
                <w:rFonts w:cs="Arial"/>
                <w:color w:val="000000"/>
                <w:sz w:val="16"/>
                <w:szCs w:val="16"/>
                <w:lang w:val="es-ES"/>
              </w:rPr>
              <w:t>Mexico</w:t>
            </w:r>
            <w:r w:rsidRPr="007D54B2">
              <w:rPr>
                <w:rFonts w:cs="Arial"/>
                <w:color w:val="000000"/>
                <w:sz w:val="16"/>
                <w:szCs w:val="16"/>
                <w:lang w:val="es-ES"/>
              </w:rPr>
              <w:t>, Nicaragua, Panama, Paraguay, Peru and Uruguay</w:t>
            </w:r>
          </w:p>
        </w:tc>
        <w:tc>
          <w:tcPr>
            <w:tcW w:w="4253" w:type="dxa"/>
          </w:tcPr>
          <w:p w:rsidR="00091CB9" w:rsidRDefault="00091CB9" w:rsidP="003867F8">
            <w:pPr>
              <w:autoSpaceDE w:val="0"/>
              <w:autoSpaceDN w:val="0"/>
              <w:adjustRightInd w:val="0"/>
              <w:spacing w:before="60" w:after="60"/>
              <w:rPr>
                <w:rFonts w:cs="Arial"/>
                <w:sz w:val="16"/>
                <w:szCs w:val="16"/>
              </w:rPr>
            </w:pPr>
            <w:r w:rsidRPr="007D54B2">
              <w:rPr>
                <w:rFonts w:cs="Arial"/>
                <w:sz w:val="16"/>
                <w:szCs w:val="16"/>
              </w:rPr>
              <w:t xml:space="preserve">To improve </w:t>
            </w:r>
            <w:r>
              <w:rPr>
                <w:rFonts w:cs="Arial"/>
                <w:sz w:val="16"/>
                <w:szCs w:val="16"/>
              </w:rPr>
              <w:t>capacity</w:t>
            </w:r>
            <w:r w:rsidRPr="007D54B2">
              <w:rPr>
                <w:rFonts w:cs="Arial"/>
                <w:sz w:val="16"/>
                <w:szCs w:val="16"/>
              </w:rPr>
              <w:t xml:space="preserve"> on patent examination </w:t>
            </w:r>
            <w:r>
              <w:rPr>
                <w:rFonts w:cs="Arial"/>
                <w:sz w:val="16"/>
                <w:szCs w:val="16"/>
              </w:rPr>
              <w:t>in</w:t>
            </w:r>
            <w:r w:rsidRPr="007D54B2">
              <w:rPr>
                <w:rFonts w:cs="Arial"/>
                <w:sz w:val="16"/>
                <w:szCs w:val="16"/>
              </w:rPr>
              <w:t xml:space="preserve"> Latin America</w:t>
            </w:r>
            <w:r>
              <w:rPr>
                <w:rFonts w:cs="Arial"/>
                <w:sz w:val="16"/>
                <w:szCs w:val="16"/>
              </w:rPr>
              <w:t>n</w:t>
            </w:r>
            <w:r w:rsidRPr="007D54B2">
              <w:rPr>
                <w:rFonts w:cs="Arial"/>
                <w:sz w:val="16"/>
                <w:szCs w:val="16"/>
              </w:rPr>
              <w:t xml:space="preserve"> countries.</w:t>
            </w:r>
          </w:p>
        </w:tc>
      </w:tr>
      <w:tr w:rsidR="00091CB9" w:rsidRPr="000B5656" w:rsidTr="00E92F85">
        <w:trPr>
          <w:cantSplit/>
          <w:trHeight w:val="315"/>
        </w:trPr>
        <w:tc>
          <w:tcPr>
            <w:tcW w:w="1843" w:type="dxa"/>
          </w:tcPr>
          <w:p w:rsidR="00091CB9" w:rsidRPr="000B5656" w:rsidRDefault="00091CB9" w:rsidP="003867F8">
            <w:pPr>
              <w:autoSpaceDE w:val="0"/>
              <w:autoSpaceDN w:val="0"/>
              <w:adjustRightInd w:val="0"/>
              <w:spacing w:before="60" w:after="60"/>
              <w:rPr>
                <w:rFonts w:cs="Arial"/>
                <w:sz w:val="16"/>
                <w:szCs w:val="16"/>
              </w:rPr>
            </w:pPr>
            <w:r w:rsidRPr="00BA2261">
              <w:rPr>
                <w:rFonts w:cs="Arial"/>
                <w:sz w:val="16"/>
                <w:szCs w:val="16"/>
              </w:rPr>
              <w:t>Regional Workshop on Advanced Successful Technology Licensing (STL - Advanced)</w:t>
            </w:r>
          </w:p>
        </w:tc>
        <w:tc>
          <w:tcPr>
            <w:tcW w:w="1134" w:type="dxa"/>
          </w:tcPr>
          <w:p w:rsidR="00091CB9" w:rsidRPr="000B5656" w:rsidRDefault="00091CB9" w:rsidP="003867F8">
            <w:pPr>
              <w:spacing w:before="60" w:after="60"/>
              <w:rPr>
                <w:rFonts w:cs="Arial"/>
                <w:sz w:val="16"/>
                <w:szCs w:val="16"/>
              </w:rPr>
            </w:pPr>
            <w:r w:rsidRPr="00BA2261">
              <w:rPr>
                <w:rFonts w:cs="Arial"/>
                <w:sz w:val="16"/>
                <w:szCs w:val="16"/>
              </w:rPr>
              <w:t>December 7 to 11, 2015</w:t>
            </w:r>
          </w:p>
        </w:tc>
        <w:tc>
          <w:tcPr>
            <w:tcW w:w="2126" w:type="dxa"/>
          </w:tcPr>
          <w:p w:rsidR="00091CB9" w:rsidRPr="000B5656" w:rsidRDefault="00091CB9" w:rsidP="003867F8">
            <w:pPr>
              <w:autoSpaceDE w:val="0"/>
              <w:autoSpaceDN w:val="0"/>
              <w:adjustRightInd w:val="0"/>
              <w:spacing w:before="60" w:after="60"/>
              <w:rPr>
                <w:rFonts w:cs="Arial"/>
                <w:color w:val="000000"/>
                <w:sz w:val="16"/>
                <w:szCs w:val="16"/>
                <w:lang w:val="es-ES"/>
              </w:rPr>
            </w:pPr>
            <w:r>
              <w:rPr>
                <w:rFonts w:cs="Arial"/>
                <w:color w:val="000000"/>
                <w:sz w:val="16"/>
                <w:szCs w:val="16"/>
                <w:lang w:val="es-ES"/>
              </w:rPr>
              <w:t>Brazil/ Cuba, Peru and Uruguay</w:t>
            </w:r>
          </w:p>
        </w:tc>
        <w:tc>
          <w:tcPr>
            <w:tcW w:w="4253" w:type="dxa"/>
          </w:tcPr>
          <w:p w:rsidR="00091CB9" w:rsidRPr="000B5656" w:rsidRDefault="00091CB9" w:rsidP="003867F8">
            <w:pPr>
              <w:autoSpaceDE w:val="0"/>
              <w:autoSpaceDN w:val="0"/>
              <w:adjustRightInd w:val="0"/>
              <w:spacing w:before="60" w:after="60"/>
              <w:rPr>
                <w:rFonts w:cs="Arial"/>
                <w:sz w:val="16"/>
                <w:szCs w:val="16"/>
              </w:rPr>
            </w:pPr>
            <w:r>
              <w:rPr>
                <w:rFonts w:cs="Arial"/>
                <w:sz w:val="16"/>
                <w:szCs w:val="16"/>
              </w:rPr>
              <w:t>T</w:t>
            </w:r>
            <w:r w:rsidRPr="00BA2261">
              <w:rPr>
                <w:rFonts w:cs="Arial"/>
                <w:sz w:val="16"/>
                <w:szCs w:val="16"/>
              </w:rPr>
              <w:t>o upgrade the knowledge of technology managers, business innovation professionals and lawyers from academic institutions and industry regarding</w:t>
            </w:r>
            <w:r>
              <w:rPr>
                <w:rFonts w:cs="Arial"/>
                <w:sz w:val="16"/>
                <w:szCs w:val="16"/>
              </w:rPr>
              <w:t>:  (i)</w:t>
            </w:r>
            <w:r w:rsidRPr="00BA2261">
              <w:rPr>
                <w:rFonts w:cs="Arial"/>
                <w:sz w:val="16"/>
                <w:szCs w:val="16"/>
              </w:rPr>
              <w:t xml:space="preserve"> commercialization of IP, with particular focus on IP marketing and valuation of technology</w:t>
            </w:r>
            <w:r>
              <w:rPr>
                <w:rFonts w:cs="Arial"/>
                <w:sz w:val="16"/>
                <w:szCs w:val="16"/>
              </w:rPr>
              <w:t xml:space="preserve">;  and (ii) </w:t>
            </w:r>
            <w:r w:rsidRPr="00BA2261">
              <w:rPr>
                <w:rFonts w:cs="Arial"/>
                <w:sz w:val="16"/>
                <w:szCs w:val="16"/>
              </w:rPr>
              <w:t>negotiation</w:t>
            </w:r>
            <w:r>
              <w:rPr>
                <w:rFonts w:cs="Arial"/>
                <w:sz w:val="16"/>
                <w:szCs w:val="16"/>
              </w:rPr>
              <w:t>s</w:t>
            </w:r>
            <w:r w:rsidRPr="00BA2261">
              <w:rPr>
                <w:rFonts w:cs="Arial"/>
                <w:sz w:val="16"/>
                <w:szCs w:val="16"/>
              </w:rPr>
              <w:t xml:space="preserve"> and the drafting of license agreements.</w:t>
            </w:r>
          </w:p>
        </w:tc>
      </w:tr>
    </w:tbl>
    <w:p w:rsidR="008355F0" w:rsidRPr="002E1564" w:rsidRDefault="008355F0" w:rsidP="003867F8">
      <w:pPr>
        <w:tabs>
          <w:tab w:val="left" w:pos="0"/>
          <w:tab w:val="left" w:pos="9071"/>
        </w:tabs>
        <w:rPr>
          <w:rFonts w:cs="Arial"/>
          <w:b/>
          <w:szCs w:val="16"/>
        </w:rPr>
      </w:pPr>
    </w:p>
    <w:p w:rsidR="008355F0" w:rsidRDefault="008355F0" w:rsidP="003867F8">
      <w:pPr>
        <w:tabs>
          <w:tab w:val="left" w:pos="0"/>
          <w:tab w:val="left" w:pos="9071"/>
        </w:tabs>
        <w:rPr>
          <w:rFonts w:cs="Arial"/>
          <w:b/>
          <w:szCs w:val="16"/>
        </w:rPr>
      </w:pPr>
    </w:p>
    <w:p w:rsidR="008355F0" w:rsidRPr="000B5656" w:rsidRDefault="008355F0" w:rsidP="003867F8">
      <w:pPr>
        <w:rPr>
          <w:rFonts w:cs="Arial"/>
          <w:b/>
          <w:bCs/>
          <w:color w:val="000000"/>
          <w:szCs w:val="20"/>
        </w:rPr>
      </w:pPr>
      <w:r w:rsidRPr="000B5656">
        <w:rPr>
          <w:rFonts w:cs="Arial"/>
          <w:b/>
          <w:szCs w:val="16"/>
        </w:rPr>
        <w:t>BRAZIL SOUTH</w:t>
      </w:r>
      <w:r>
        <w:rPr>
          <w:rFonts w:cs="Arial"/>
          <w:b/>
          <w:szCs w:val="16"/>
        </w:rPr>
        <w:t xml:space="preserve"> </w:t>
      </w:r>
      <w:r w:rsidRPr="000B5656">
        <w:rPr>
          <w:rFonts w:cs="Arial"/>
          <w:b/>
          <w:bCs/>
          <w:color w:val="000000"/>
          <w:szCs w:val="20"/>
        </w:rPr>
        <w:t>Donor Contributions and Expenditure in 2015</w:t>
      </w:r>
    </w:p>
    <w:p w:rsidR="008355F0" w:rsidRPr="000B5656" w:rsidRDefault="008355F0">
      <w:pPr>
        <w:rPr>
          <w:rFonts w:cs="Arial"/>
          <w:szCs w:val="16"/>
        </w:rPr>
      </w:pPr>
    </w:p>
    <w:tbl>
      <w:tblPr>
        <w:tblW w:w="9366" w:type="dxa"/>
        <w:tblInd w:w="98" w:type="dxa"/>
        <w:tblLook w:val="04A0" w:firstRow="1" w:lastRow="0" w:firstColumn="1" w:lastColumn="0" w:noHBand="0" w:noVBand="1"/>
      </w:tblPr>
      <w:tblGrid>
        <w:gridCol w:w="2040"/>
        <w:gridCol w:w="1640"/>
        <w:gridCol w:w="1860"/>
        <w:gridCol w:w="1841"/>
        <w:gridCol w:w="1985"/>
      </w:tblGrid>
      <w:tr w:rsidR="008355F0" w:rsidRPr="000B5656" w:rsidTr="00E92F85">
        <w:trPr>
          <w:trHeight w:val="450"/>
        </w:trPr>
        <w:tc>
          <w:tcPr>
            <w:tcW w:w="2040" w:type="dxa"/>
            <w:tcBorders>
              <w:top w:val="single" w:sz="8" w:space="0" w:color="auto"/>
              <w:left w:val="single" w:sz="8" w:space="0" w:color="auto"/>
              <w:bottom w:val="nil"/>
              <w:right w:val="single" w:sz="8" w:space="0" w:color="auto"/>
            </w:tcBorders>
            <w:shd w:val="clear" w:color="000000" w:fill="C5D9F1"/>
            <w:vAlign w:val="center"/>
            <w:hideMark/>
          </w:tcPr>
          <w:p w:rsidR="008355F0" w:rsidRPr="000B5656" w:rsidRDefault="008355F0" w:rsidP="003867F8">
            <w:pPr>
              <w:jc w:val="center"/>
              <w:rPr>
                <w:rFonts w:cs="Arial"/>
                <w:b/>
                <w:bCs/>
                <w:color w:val="000000"/>
                <w:sz w:val="16"/>
                <w:szCs w:val="16"/>
              </w:rPr>
            </w:pPr>
            <w:r w:rsidRPr="000B5656">
              <w:rPr>
                <w:rFonts w:cs="Arial"/>
                <w:b/>
                <w:bCs/>
                <w:color w:val="000000"/>
                <w:sz w:val="16"/>
                <w:szCs w:val="16"/>
              </w:rPr>
              <w:t>Balance as of December 31, 2014</w:t>
            </w:r>
          </w:p>
        </w:tc>
        <w:tc>
          <w:tcPr>
            <w:tcW w:w="1640" w:type="dxa"/>
            <w:tcBorders>
              <w:top w:val="single" w:sz="8" w:space="0" w:color="auto"/>
              <w:left w:val="nil"/>
              <w:bottom w:val="nil"/>
              <w:right w:val="single" w:sz="8" w:space="0" w:color="auto"/>
            </w:tcBorders>
            <w:shd w:val="clear" w:color="000000" w:fill="C5D9F1"/>
            <w:vAlign w:val="center"/>
            <w:hideMark/>
          </w:tcPr>
          <w:p w:rsidR="008355F0" w:rsidRPr="000B5656" w:rsidRDefault="008355F0" w:rsidP="003867F8">
            <w:pPr>
              <w:jc w:val="center"/>
              <w:rPr>
                <w:rFonts w:cs="Arial"/>
                <w:b/>
                <w:bCs/>
                <w:color w:val="000000"/>
                <w:sz w:val="16"/>
                <w:szCs w:val="16"/>
              </w:rPr>
            </w:pPr>
            <w:r w:rsidRPr="000B5656">
              <w:rPr>
                <w:rFonts w:cs="Arial"/>
                <w:b/>
                <w:bCs/>
                <w:color w:val="000000"/>
                <w:sz w:val="16"/>
                <w:szCs w:val="16"/>
              </w:rPr>
              <w:t>Income 2015</w:t>
            </w:r>
          </w:p>
        </w:tc>
        <w:tc>
          <w:tcPr>
            <w:tcW w:w="1860" w:type="dxa"/>
            <w:tcBorders>
              <w:top w:val="single" w:sz="8" w:space="0" w:color="auto"/>
              <w:left w:val="nil"/>
              <w:bottom w:val="nil"/>
              <w:right w:val="single" w:sz="8" w:space="0" w:color="auto"/>
            </w:tcBorders>
            <w:shd w:val="clear" w:color="000000" w:fill="C5D9F1"/>
            <w:vAlign w:val="center"/>
            <w:hideMark/>
          </w:tcPr>
          <w:p w:rsidR="008355F0" w:rsidRPr="000B5656" w:rsidRDefault="008355F0" w:rsidP="003867F8">
            <w:pPr>
              <w:jc w:val="center"/>
              <w:rPr>
                <w:rFonts w:cs="Arial"/>
                <w:b/>
                <w:bCs/>
                <w:color w:val="000000"/>
                <w:sz w:val="16"/>
                <w:szCs w:val="16"/>
              </w:rPr>
            </w:pPr>
            <w:r w:rsidRPr="000B5656">
              <w:rPr>
                <w:rFonts w:cs="Arial"/>
                <w:b/>
                <w:bCs/>
                <w:color w:val="000000"/>
                <w:sz w:val="16"/>
                <w:szCs w:val="16"/>
              </w:rPr>
              <w:t>Expenditure 2015</w:t>
            </w:r>
          </w:p>
        </w:tc>
        <w:tc>
          <w:tcPr>
            <w:tcW w:w="1841" w:type="dxa"/>
            <w:tcBorders>
              <w:top w:val="single" w:sz="8" w:space="0" w:color="auto"/>
              <w:left w:val="nil"/>
              <w:bottom w:val="nil"/>
              <w:right w:val="single" w:sz="8" w:space="0" w:color="auto"/>
            </w:tcBorders>
            <w:shd w:val="clear" w:color="000000" w:fill="C5D9F1"/>
            <w:vAlign w:val="center"/>
            <w:hideMark/>
          </w:tcPr>
          <w:p w:rsidR="008355F0" w:rsidRPr="000B5656" w:rsidRDefault="008355F0" w:rsidP="003867F8">
            <w:pPr>
              <w:jc w:val="center"/>
              <w:rPr>
                <w:rFonts w:cs="Arial"/>
                <w:b/>
                <w:bCs/>
                <w:color w:val="000000"/>
                <w:sz w:val="16"/>
                <w:szCs w:val="16"/>
              </w:rPr>
            </w:pPr>
            <w:r w:rsidRPr="000B5656">
              <w:rPr>
                <w:rFonts w:cs="Arial"/>
                <w:b/>
                <w:bCs/>
                <w:color w:val="000000"/>
                <w:sz w:val="16"/>
                <w:szCs w:val="16"/>
              </w:rPr>
              <w:t>Reimbursements</w:t>
            </w:r>
          </w:p>
        </w:tc>
        <w:tc>
          <w:tcPr>
            <w:tcW w:w="1985" w:type="dxa"/>
            <w:tcBorders>
              <w:top w:val="single" w:sz="8" w:space="0" w:color="auto"/>
              <w:left w:val="nil"/>
              <w:bottom w:val="nil"/>
              <w:right w:val="single" w:sz="8" w:space="0" w:color="auto"/>
            </w:tcBorders>
            <w:shd w:val="clear" w:color="000000" w:fill="C5D9F1"/>
            <w:vAlign w:val="center"/>
            <w:hideMark/>
          </w:tcPr>
          <w:p w:rsidR="008355F0" w:rsidRPr="000B5656" w:rsidRDefault="008355F0" w:rsidP="003867F8">
            <w:pPr>
              <w:jc w:val="center"/>
              <w:rPr>
                <w:rFonts w:cs="Arial"/>
                <w:b/>
                <w:bCs/>
                <w:color w:val="000000"/>
                <w:sz w:val="16"/>
                <w:szCs w:val="16"/>
              </w:rPr>
            </w:pPr>
            <w:r w:rsidRPr="000B5656">
              <w:rPr>
                <w:rFonts w:cs="Arial"/>
                <w:b/>
                <w:bCs/>
                <w:color w:val="000000"/>
                <w:sz w:val="16"/>
                <w:szCs w:val="16"/>
              </w:rPr>
              <w:t>Balance as of December</w:t>
            </w:r>
            <w:r>
              <w:rPr>
                <w:rFonts w:cs="Arial"/>
                <w:b/>
                <w:bCs/>
                <w:color w:val="000000"/>
                <w:sz w:val="16"/>
                <w:szCs w:val="16"/>
              </w:rPr>
              <w:t> </w:t>
            </w:r>
            <w:r w:rsidRPr="000B5656">
              <w:rPr>
                <w:rFonts w:cs="Arial"/>
                <w:b/>
                <w:bCs/>
                <w:color w:val="000000"/>
                <w:sz w:val="16"/>
                <w:szCs w:val="16"/>
              </w:rPr>
              <w:t>31, 2015</w:t>
            </w:r>
          </w:p>
        </w:tc>
      </w:tr>
      <w:tr w:rsidR="008355F0" w:rsidRPr="000B5656" w:rsidTr="00E92F85">
        <w:trPr>
          <w:trHeight w:val="255"/>
        </w:trPr>
        <w:tc>
          <w:tcPr>
            <w:tcW w:w="20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55F0" w:rsidRPr="000B5656" w:rsidRDefault="008355F0" w:rsidP="003867F8">
            <w:pPr>
              <w:jc w:val="center"/>
              <w:rPr>
                <w:rFonts w:cs="Arial"/>
                <w:color w:val="000000"/>
                <w:sz w:val="16"/>
                <w:szCs w:val="16"/>
              </w:rPr>
            </w:pPr>
            <w:r w:rsidRPr="000B5656">
              <w:rPr>
                <w:rFonts w:cs="Arial"/>
                <w:color w:val="000000"/>
                <w:sz w:val="16"/>
                <w:szCs w:val="16"/>
              </w:rPr>
              <w:t>384,809</w:t>
            </w:r>
          </w:p>
        </w:tc>
        <w:tc>
          <w:tcPr>
            <w:tcW w:w="1640" w:type="dxa"/>
            <w:tcBorders>
              <w:top w:val="single" w:sz="4" w:space="0" w:color="auto"/>
              <w:left w:val="nil"/>
              <w:bottom w:val="single" w:sz="4" w:space="0" w:color="auto"/>
              <w:right w:val="single" w:sz="4" w:space="0" w:color="auto"/>
            </w:tcBorders>
            <w:shd w:val="clear" w:color="auto" w:fill="auto"/>
            <w:vAlign w:val="center"/>
            <w:hideMark/>
          </w:tcPr>
          <w:p w:rsidR="008355F0" w:rsidRPr="000B5656" w:rsidRDefault="008355F0" w:rsidP="003867F8">
            <w:pPr>
              <w:jc w:val="center"/>
              <w:rPr>
                <w:rFonts w:cs="Arial"/>
                <w:color w:val="000000"/>
                <w:sz w:val="16"/>
                <w:szCs w:val="16"/>
              </w:rPr>
            </w:pPr>
            <w:r>
              <w:rPr>
                <w:rFonts w:cs="Arial"/>
                <w:color w:val="000000"/>
                <w:sz w:val="16"/>
                <w:szCs w:val="16"/>
              </w:rPr>
              <w:t>(</w:t>
            </w:r>
            <w:r w:rsidRPr="000B5656">
              <w:rPr>
                <w:rFonts w:cs="Arial"/>
                <w:color w:val="000000"/>
                <w:sz w:val="16"/>
                <w:szCs w:val="16"/>
              </w:rPr>
              <w:t>17</w:t>
            </w:r>
            <w:r>
              <w:rPr>
                <w:rFonts w:cs="Arial"/>
                <w:color w:val="000000"/>
                <w:sz w:val="16"/>
                <w:szCs w:val="16"/>
              </w:rPr>
              <w:t>)</w:t>
            </w:r>
          </w:p>
        </w:tc>
        <w:tc>
          <w:tcPr>
            <w:tcW w:w="1860" w:type="dxa"/>
            <w:tcBorders>
              <w:top w:val="single" w:sz="4" w:space="0" w:color="auto"/>
              <w:left w:val="nil"/>
              <w:bottom w:val="single" w:sz="4" w:space="0" w:color="auto"/>
              <w:right w:val="single" w:sz="4" w:space="0" w:color="auto"/>
            </w:tcBorders>
            <w:shd w:val="clear" w:color="auto" w:fill="auto"/>
            <w:vAlign w:val="center"/>
            <w:hideMark/>
          </w:tcPr>
          <w:p w:rsidR="008355F0" w:rsidRPr="000B5656" w:rsidRDefault="008355F0" w:rsidP="003867F8">
            <w:pPr>
              <w:jc w:val="center"/>
              <w:rPr>
                <w:rFonts w:cs="Arial"/>
                <w:color w:val="000000"/>
                <w:sz w:val="16"/>
                <w:szCs w:val="16"/>
              </w:rPr>
            </w:pPr>
            <w:r w:rsidRPr="000B5656">
              <w:rPr>
                <w:rFonts w:cs="Arial"/>
                <w:color w:val="000000"/>
                <w:sz w:val="16"/>
                <w:szCs w:val="16"/>
              </w:rPr>
              <w:t>146,478</w:t>
            </w:r>
          </w:p>
        </w:tc>
        <w:tc>
          <w:tcPr>
            <w:tcW w:w="1841" w:type="dxa"/>
            <w:tcBorders>
              <w:top w:val="single" w:sz="4" w:space="0" w:color="auto"/>
              <w:left w:val="nil"/>
              <w:bottom w:val="single" w:sz="4" w:space="0" w:color="auto"/>
              <w:right w:val="single" w:sz="4" w:space="0" w:color="auto"/>
            </w:tcBorders>
            <w:shd w:val="clear" w:color="auto" w:fill="auto"/>
            <w:noWrap/>
            <w:vAlign w:val="center"/>
            <w:hideMark/>
          </w:tcPr>
          <w:p w:rsidR="008355F0" w:rsidRPr="00EF296D" w:rsidRDefault="008355F0" w:rsidP="003867F8">
            <w:pPr>
              <w:jc w:val="center"/>
              <w:rPr>
                <w:rFonts w:cs="Arial"/>
                <w:color w:val="000000"/>
                <w:sz w:val="16"/>
                <w:szCs w:val="16"/>
              </w:rPr>
            </w:pPr>
            <w:r>
              <w:rPr>
                <w:rFonts w:cs="Arial"/>
                <w:color w:val="000000"/>
                <w:sz w:val="16"/>
                <w:szCs w:val="16"/>
              </w:rPr>
              <w:t>-</w:t>
            </w:r>
          </w:p>
        </w:tc>
        <w:tc>
          <w:tcPr>
            <w:tcW w:w="1985" w:type="dxa"/>
            <w:tcBorders>
              <w:top w:val="single" w:sz="4" w:space="0" w:color="auto"/>
              <w:left w:val="nil"/>
              <w:bottom w:val="single" w:sz="4" w:space="0" w:color="auto"/>
              <w:right w:val="single" w:sz="4" w:space="0" w:color="auto"/>
            </w:tcBorders>
            <w:shd w:val="clear" w:color="auto" w:fill="auto"/>
            <w:vAlign w:val="center"/>
            <w:hideMark/>
          </w:tcPr>
          <w:p w:rsidR="008355F0" w:rsidRPr="000B5656" w:rsidRDefault="008355F0" w:rsidP="003867F8">
            <w:pPr>
              <w:jc w:val="center"/>
              <w:rPr>
                <w:rFonts w:cs="Arial"/>
                <w:color w:val="000000"/>
                <w:sz w:val="16"/>
                <w:szCs w:val="16"/>
              </w:rPr>
            </w:pPr>
            <w:r w:rsidRPr="000B5656">
              <w:rPr>
                <w:rFonts w:cs="Arial"/>
                <w:color w:val="000000"/>
                <w:sz w:val="16"/>
                <w:szCs w:val="16"/>
              </w:rPr>
              <w:t>238,315</w:t>
            </w:r>
          </w:p>
        </w:tc>
      </w:tr>
    </w:tbl>
    <w:p w:rsidR="008355F0" w:rsidRPr="00E92F85" w:rsidRDefault="008355F0">
      <w:pPr>
        <w:rPr>
          <w:rFonts w:cs="Arial"/>
          <w:b/>
          <w:sz w:val="18"/>
          <w:szCs w:val="16"/>
        </w:rPr>
      </w:pPr>
    </w:p>
    <w:p w:rsidR="008355F0" w:rsidRPr="00E92F85" w:rsidRDefault="008355F0">
      <w:pPr>
        <w:rPr>
          <w:rFonts w:cs="Arial"/>
          <w:b/>
          <w:sz w:val="18"/>
          <w:szCs w:val="16"/>
        </w:rPr>
      </w:pPr>
    </w:p>
    <w:p w:rsidR="008355F0" w:rsidRPr="000B5656" w:rsidRDefault="008355F0" w:rsidP="003867F8">
      <w:pPr>
        <w:keepNext/>
        <w:keepLines/>
        <w:rPr>
          <w:rFonts w:cs="Arial"/>
          <w:szCs w:val="16"/>
        </w:rPr>
      </w:pPr>
      <w:r w:rsidRPr="000B5656">
        <w:rPr>
          <w:rFonts w:cs="Arial"/>
          <w:b/>
          <w:szCs w:val="16"/>
        </w:rPr>
        <w:t>BRAZIL UNDP</w:t>
      </w:r>
      <w:r>
        <w:rPr>
          <w:rStyle w:val="FootnoteReference"/>
          <w:rFonts w:eastAsia="SimSun"/>
          <w:b/>
          <w:szCs w:val="16"/>
        </w:rPr>
        <w:footnoteReference w:id="151"/>
      </w:r>
    </w:p>
    <w:p w:rsidR="008355F0" w:rsidRPr="002E1564" w:rsidRDefault="008355F0" w:rsidP="003867F8">
      <w:pPr>
        <w:keepNext/>
        <w:keepLines/>
        <w:rPr>
          <w:rFonts w:cs="Arial"/>
          <w:szCs w:val="16"/>
        </w:rPr>
      </w:pPr>
    </w:p>
    <w:tbl>
      <w:tblPr>
        <w:tblW w:w="9356" w:type="dxa"/>
        <w:tblInd w:w="108" w:type="dxa"/>
        <w:tblBorders>
          <w:top w:val="single" w:sz="4" w:space="0" w:color="000000"/>
          <w:left w:val="single" w:sz="4" w:space="0" w:color="000000"/>
          <w:bottom w:val="single" w:sz="4" w:space="0" w:color="000000"/>
          <w:right w:val="single" w:sz="4" w:space="0" w:color="000000"/>
        </w:tblBorders>
        <w:tblLayout w:type="fixed"/>
        <w:tblLook w:val="04A0" w:firstRow="1" w:lastRow="0" w:firstColumn="1" w:lastColumn="0" w:noHBand="0" w:noVBand="1"/>
      </w:tblPr>
      <w:tblGrid>
        <w:gridCol w:w="1842"/>
        <w:gridCol w:w="1134"/>
        <w:gridCol w:w="1984"/>
        <w:gridCol w:w="4396"/>
      </w:tblGrid>
      <w:tr w:rsidR="008355F0" w:rsidRPr="000B5656" w:rsidTr="00E92F85">
        <w:trPr>
          <w:cantSplit/>
          <w:trHeight w:val="315"/>
        </w:trPr>
        <w:tc>
          <w:tcPr>
            <w:tcW w:w="9356" w:type="dxa"/>
            <w:gridSpan w:val="4"/>
            <w:tcBorders>
              <w:top w:val="single" w:sz="4" w:space="0" w:color="000000"/>
              <w:left w:val="single" w:sz="4" w:space="0" w:color="000000"/>
              <w:bottom w:val="single" w:sz="4" w:space="0" w:color="000000"/>
              <w:right w:val="single" w:sz="4" w:space="0" w:color="000000"/>
            </w:tcBorders>
            <w:shd w:val="clear" w:color="auto" w:fill="C6D9F1" w:themeFill="text2" w:themeFillTint="33"/>
            <w:hideMark/>
          </w:tcPr>
          <w:p w:rsidR="008355F0" w:rsidRPr="000B5656" w:rsidRDefault="008355F0" w:rsidP="003867F8">
            <w:pPr>
              <w:keepNext/>
              <w:keepLines/>
              <w:tabs>
                <w:tab w:val="left" w:pos="1740"/>
              </w:tabs>
              <w:spacing w:before="120" w:after="120" w:line="276" w:lineRule="auto"/>
              <w:ind w:left="1740" w:hanging="1740"/>
              <w:rPr>
                <w:rFonts w:cs="Arial"/>
                <w:color w:val="000000"/>
                <w:sz w:val="16"/>
                <w:szCs w:val="16"/>
              </w:rPr>
            </w:pPr>
            <w:r w:rsidRPr="000B5656">
              <w:rPr>
                <w:rFonts w:cs="Arial"/>
                <w:b/>
                <w:bCs/>
                <w:color w:val="000000"/>
                <w:sz w:val="16"/>
                <w:szCs w:val="16"/>
              </w:rPr>
              <w:t>RESULT</w:t>
            </w:r>
            <w:r w:rsidRPr="000B5656">
              <w:rPr>
                <w:rFonts w:cs="Arial"/>
                <w:bCs/>
                <w:sz w:val="16"/>
                <w:szCs w:val="16"/>
                <w:lang w:val="en-AU"/>
              </w:rPr>
              <w:t>:</w:t>
            </w:r>
            <w:r w:rsidRPr="000B5656">
              <w:rPr>
                <w:rFonts w:cs="Arial"/>
                <w:bCs/>
                <w:sz w:val="16"/>
                <w:szCs w:val="16"/>
                <w:lang w:val="en-AU"/>
              </w:rPr>
              <w:tab/>
              <w:t>III.2. Enhanced human resource capacities able to deal with the broad range of requirements for the effective use of IP for development in developing countries, LDCs and countries with economies in transition</w:t>
            </w:r>
          </w:p>
        </w:tc>
      </w:tr>
      <w:tr w:rsidR="008355F0" w:rsidRPr="000B5656" w:rsidTr="00E92F85">
        <w:trPr>
          <w:cantSplit/>
          <w:trHeight w:val="402"/>
        </w:trPr>
        <w:tc>
          <w:tcPr>
            <w:tcW w:w="1842" w:type="dxa"/>
            <w:tcBorders>
              <w:top w:val="single" w:sz="4" w:space="0" w:color="000000"/>
              <w:left w:val="single" w:sz="4" w:space="0" w:color="000000"/>
              <w:bottom w:val="nil"/>
              <w:right w:val="nil"/>
            </w:tcBorders>
            <w:vAlign w:val="center"/>
            <w:hideMark/>
          </w:tcPr>
          <w:p w:rsidR="008355F0" w:rsidRPr="000B5656" w:rsidRDefault="008355F0">
            <w:pPr>
              <w:keepNext/>
              <w:keepLines/>
              <w:spacing w:before="120" w:line="276" w:lineRule="auto"/>
              <w:rPr>
                <w:rFonts w:cs="Arial"/>
                <w:b/>
                <w:bCs/>
                <w:sz w:val="16"/>
                <w:szCs w:val="16"/>
              </w:rPr>
            </w:pPr>
            <w:r w:rsidRPr="000B5656">
              <w:rPr>
                <w:rFonts w:cs="Arial"/>
                <w:b/>
                <w:bCs/>
                <w:sz w:val="16"/>
                <w:szCs w:val="16"/>
              </w:rPr>
              <w:t>Activity</w:t>
            </w:r>
          </w:p>
        </w:tc>
        <w:tc>
          <w:tcPr>
            <w:tcW w:w="1134" w:type="dxa"/>
            <w:tcBorders>
              <w:top w:val="single" w:sz="4" w:space="0" w:color="000000"/>
              <w:left w:val="nil"/>
              <w:bottom w:val="nil"/>
              <w:right w:val="nil"/>
            </w:tcBorders>
            <w:vAlign w:val="center"/>
            <w:hideMark/>
          </w:tcPr>
          <w:p w:rsidR="008355F0" w:rsidRPr="000B5656" w:rsidRDefault="008355F0">
            <w:pPr>
              <w:keepNext/>
              <w:keepLines/>
              <w:spacing w:before="120" w:line="276" w:lineRule="auto"/>
              <w:rPr>
                <w:rFonts w:cs="Arial"/>
                <w:sz w:val="16"/>
                <w:szCs w:val="16"/>
              </w:rPr>
            </w:pPr>
            <w:r w:rsidRPr="000B5656">
              <w:rPr>
                <w:rFonts w:cs="Arial"/>
                <w:b/>
                <w:bCs/>
                <w:sz w:val="16"/>
                <w:szCs w:val="16"/>
              </w:rPr>
              <w:t>Date</w:t>
            </w:r>
          </w:p>
        </w:tc>
        <w:tc>
          <w:tcPr>
            <w:tcW w:w="1984" w:type="dxa"/>
            <w:tcBorders>
              <w:top w:val="single" w:sz="4" w:space="0" w:color="000000"/>
              <w:left w:val="nil"/>
              <w:bottom w:val="nil"/>
              <w:right w:val="nil"/>
            </w:tcBorders>
            <w:vAlign w:val="center"/>
            <w:hideMark/>
          </w:tcPr>
          <w:p w:rsidR="008355F0" w:rsidRPr="000B5656" w:rsidRDefault="008355F0">
            <w:pPr>
              <w:keepNext/>
              <w:keepLines/>
              <w:spacing w:before="120" w:line="276" w:lineRule="auto"/>
              <w:rPr>
                <w:rFonts w:cs="Arial"/>
                <w:sz w:val="16"/>
                <w:szCs w:val="16"/>
              </w:rPr>
            </w:pPr>
            <w:r w:rsidRPr="000B5656">
              <w:rPr>
                <w:rFonts w:cs="Arial"/>
                <w:b/>
                <w:bCs/>
                <w:sz w:val="16"/>
                <w:szCs w:val="16"/>
              </w:rPr>
              <w:t>Host Country/</w:t>
            </w:r>
            <w:r w:rsidRPr="000B5656">
              <w:rPr>
                <w:rFonts w:cs="Arial"/>
                <w:b/>
                <w:bCs/>
                <w:sz w:val="16"/>
                <w:szCs w:val="16"/>
              </w:rPr>
              <w:br/>
              <w:t>Recipients</w:t>
            </w:r>
          </w:p>
        </w:tc>
        <w:tc>
          <w:tcPr>
            <w:tcW w:w="4396" w:type="dxa"/>
            <w:tcBorders>
              <w:top w:val="single" w:sz="4" w:space="0" w:color="000000"/>
              <w:left w:val="nil"/>
              <w:bottom w:val="nil"/>
              <w:right w:val="single" w:sz="4" w:space="0" w:color="000000"/>
            </w:tcBorders>
            <w:vAlign w:val="center"/>
            <w:hideMark/>
          </w:tcPr>
          <w:p w:rsidR="008355F0" w:rsidRPr="000B5656" w:rsidRDefault="008355F0">
            <w:pPr>
              <w:keepNext/>
              <w:keepLines/>
              <w:spacing w:before="120" w:line="276" w:lineRule="auto"/>
              <w:rPr>
                <w:rFonts w:cs="Arial"/>
                <w:sz w:val="16"/>
                <w:szCs w:val="16"/>
              </w:rPr>
            </w:pPr>
            <w:r w:rsidRPr="000B5656">
              <w:rPr>
                <w:rFonts w:cs="Arial"/>
                <w:b/>
                <w:bCs/>
                <w:sz w:val="16"/>
                <w:szCs w:val="16"/>
              </w:rPr>
              <w:t>Purpose(s)/Description(s)</w:t>
            </w:r>
          </w:p>
        </w:tc>
      </w:tr>
      <w:tr w:rsidR="008355F0" w:rsidRPr="000B5656" w:rsidTr="00E92F85">
        <w:trPr>
          <w:cantSplit/>
          <w:trHeight w:val="315"/>
        </w:trPr>
        <w:tc>
          <w:tcPr>
            <w:tcW w:w="1842" w:type="dxa"/>
            <w:tcBorders>
              <w:top w:val="nil"/>
              <w:left w:val="single" w:sz="4" w:space="0" w:color="000000"/>
              <w:bottom w:val="single" w:sz="4" w:space="0" w:color="auto"/>
              <w:right w:val="nil"/>
            </w:tcBorders>
          </w:tcPr>
          <w:p w:rsidR="008355F0" w:rsidRPr="000B5656" w:rsidRDefault="008355F0" w:rsidP="003867F8">
            <w:pPr>
              <w:autoSpaceDE w:val="0"/>
              <w:autoSpaceDN w:val="0"/>
              <w:adjustRightInd w:val="0"/>
              <w:spacing w:before="60" w:after="60"/>
              <w:rPr>
                <w:rFonts w:cs="Arial"/>
                <w:color w:val="000000"/>
                <w:sz w:val="16"/>
                <w:szCs w:val="16"/>
              </w:rPr>
            </w:pPr>
            <w:r w:rsidRPr="000B5656">
              <w:rPr>
                <w:rFonts w:cs="Arial"/>
                <w:color w:val="000000"/>
                <w:sz w:val="16"/>
                <w:szCs w:val="16"/>
              </w:rPr>
              <w:t>Training Program for Technology Development Negotiators</w:t>
            </w:r>
          </w:p>
        </w:tc>
        <w:tc>
          <w:tcPr>
            <w:tcW w:w="1134" w:type="dxa"/>
            <w:tcBorders>
              <w:top w:val="nil"/>
              <w:left w:val="nil"/>
              <w:bottom w:val="single" w:sz="4" w:space="0" w:color="auto"/>
              <w:right w:val="nil"/>
            </w:tcBorders>
          </w:tcPr>
          <w:p w:rsidR="008355F0" w:rsidRPr="000B5656" w:rsidRDefault="008355F0" w:rsidP="003867F8">
            <w:pPr>
              <w:autoSpaceDE w:val="0"/>
              <w:autoSpaceDN w:val="0"/>
              <w:adjustRightInd w:val="0"/>
              <w:spacing w:before="60" w:after="60"/>
              <w:rPr>
                <w:rFonts w:cs="Arial"/>
                <w:color w:val="000000"/>
                <w:sz w:val="16"/>
                <w:szCs w:val="16"/>
              </w:rPr>
            </w:pPr>
            <w:r w:rsidRPr="000B5656">
              <w:rPr>
                <w:rFonts w:cs="Arial"/>
                <w:color w:val="000000"/>
                <w:sz w:val="16"/>
                <w:szCs w:val="16"/>
              </w:rPr>
              <w:t>October 19 to 30, 2015</w:t>
            </w:r>
          </w:p>
        </w:tc>
        <w:tc>
          <w:tcPr>
            <w:tcW w:w="1984" w:type="dxa"/>
            <w:tcBorders>
              <w:top w:val="nil"/>
              <w:left w:val="nil"/>
              <w:bottom w:val="single" w:sz="4" w:space="0" w:color="auto"/>
              <w:right w:val="nil"/>
            </w:tcBorders>
          </w:tcPr>
          <w:p w:rsidR="008355F0" w:rsidRPr="000B5656" w:rsidRDefault="008355F0" w:rsidP="003867F8">
            <w:pPr>
              <w:autoSpaceDE w:val="0"/>
              <w:autoSpaceDN w:val="0"/>
              <w:adjustRightInd w:val="0"/>
              <w:spacing w:before="60" w:after="60"/>
              <w:rPr>
                <w:rFonts w:cs="Arial"/>
                <w:color w:val="000000"/>
                <w:sz w:val="16"/>
                <w:szCs w:val="16"/>
                <w:lang w:val="es-CL"/>
              </w:rPr>
            </w:pPr>
            <w:r w:rsidRPr="000B5656">
              <w:rPr>
                <w:rFonts w:cs="Arial"/>
                <w:color w:val="000000"/>
                <w:sz w:val="16"/>
                <w:szCs w:val="16"/>
                <w:lang w:val="es-CL"/>
              </w:rPr>
              <w:t>Brazil</w:t>
            </w:r>
          </w:p>
        </w:tc>
        <w:tc>
          <w:tcPr>
            <w:tcW w:w="4396" w:type="dxa"/>
            <w:tcBorders>
              <w:top w:val="nil"/>
              <w:left w:val="nil"/>
              <w:bottom w:val="single" w:sz="4" w:space="0" w:color="auto"/>
              <w:right w:val="single" w:sz="4" w:space="0" w:color="000000"/>
            </w:tcBorders>
          </w:tcPr>
          <w:p w:rsidR="008355F0" w:rsidRPr="000B5656" w:rsidRDefault="008355F0" w:rsidP="003867F8">
            <w:pPr>
              <w:autoSpaceDE w:val="0"/>
              <w:autoSpaceDN w:val="0"/>
              <w:adjustRightInd w:val="0"/>
              <w:spacing w:before="60" w:after="60"/>
              <w:rPr>
                <w:rFonts w:cs="Arial"/>
                <w:color w:val="000000"/>
                <w:sz w:val="16"/>
                <w:szCs w:val="16"/>
              </w:rPr>
            </w:pPr>
            <w:r>
              <w:rPr>
                <w:rFonts w:cs="Arial"/>
                <w:color w:val="000000"/>
                <w:sz w:val="16"/>
                <w:szCs w:val="16"/>
              </w:rPr>
              <w:t>T</w:t>
            </w:r>
            <w:r w:rsidRPr="000B5656">
              <w:rPr>
                <w:rFonts w:cs="Arial"/>
                <w:color w:val="000000"/>
                <w:sz w:val="16"/>
                <w:szCs w:val="16"/>
              </w:rPr>
              <w:t>o promote the training of 28 professionals in the field of management and negotiation of collaborative processes, with a special focus on IP related provisions for the establishment of technology development agreements.</w:t>
            </w:r>
          </w:p>
        </w:tc>
      </w:tr>
    </w:tbl>
    <w:p w:rsidR="008355F0" w:rsidRPr="00E92F85" w:rsidRDefault="008355F0">
      <w:pPr>
        <w:rPr>
          <w:rFonts w:cs="Arial"/>
          <w:sz w:val="18"/>
          <w:szCs w:val="16"/>
        </w:rPr>
      </w:pPr>
    </w:p>
    <w:p w:rsidR="00E92F85" w:rsidRPr="00E92F85" w:rsidRDefault="00E92F85">
      <w:pPr>
        <w:rPr>
          <w:rFonts w:cs="Arial"/>
          <w:sz w:val="18"/>
          <w:szCs w:val="16"/>
        </w:rPr>
      </w:pPr>
    </w:p>
    <w:p w:rsidR="008355F0" w:rsidRPr="000B5656" w:rsidRDefault="008355F0" w:rsidP="003867F8">
      <w:pPr>
        <w:rPr>
          <w:rFonts w:cs="Arial"/>
          <w:b/>
          <w:bCs/>
          <w:color w:val="000000"/>
          <w:szCs w:val="20"/>
        </w:rPr>
      </w:pPr>
      <w:r w:rsidRPr="000B5656">
        <w:rPr>
          <w:rFonts w:cs="Arial"/>
          <w:b/>
          <w:szCs w:val="16"/>
        </w:rPr>
        <w:t>BRAZIL UNDP</w:t>
      </w:r>
      <w:r>
        <w:rPr>
          <w:rFonts w:cs="Arial"/>
          <w:b/>
          <w:szCs w:val="16"/>
        </w:rPr>
        <w:t xml:space="preserve"> </w:t>
      </w:r>
      <w:r w:rsidRPr="000B5656">
        <w:rPr>
          <w:rFonts w:cs="Arial"/>
          <w:b/>
          <w:bCs/>
          <w:color w:val="000000"/>
          <w:szCs w:val="20"/>
        </w:rPr>
        <w:t>Donor Contributions and Expenditure in 2015</w:t>
      </w:r>
    </w:p>
    <w:p w:rsidR="008355F0" w:rsidRPr="00E92F85" w:rsidRDefault="008355F0" w:rsidP="003867F8">
      <w:pPr>
        <w:rPr>
          <w:rFonts w:cs="Arial"/>
          <w:sz w:val="18"/>
          <w:szCs w:val="16"/>
        </w:rPr>
      </w:pPr>
    </w:p>
    <w:tbl>
      <w:tblPr>
        <w:tblW w:w="9366" w:type="dxa"/>
        <w:tblInd w:w="98" w:type="dxa"/>
        <w:tblLook w:val="04A0" w:firstRow="1" w:lastRow="0" w:firstColumn="1" w:lastColumn="0" w:noHBand="0" w:noVBand="1"/>
      </w:tblPr>
      <w:tblGrid>
        <w:gridCol w:w="2040"/>
        <w:gridCol w:w="1640"/>
        <w:gridCol w:w="2001"/>
        <w:gridCol w:w="1639"/>
        <w:gridCol w:w="2046"/>
      </w:tblGrid>
      <w:tr w:rsidR="008355F0" w:rsidRPr="000B5656" w:rsidTr="00E92F85">
        <w:trPr>
          <w:trHeight w:val="450"/>
        </w:trPr>
        <w:tc>
          <w:tcPr>
            <w:tcW w:w="2040" w:type="dxa"/>
            <w:tcBorders>
              <w:top w:val="single" w:sz="8" w:space="0" w:color="auto"/>
              <w:left w:val="single" w:sz="8" w:space="0" w:color="auto"/>
              <w:bottom w:val="nil"/>
              <w:right w:val="single" w:sz="8" w:space="0" w:color="auto"/>
            </w:tcBorders>
            <w:shd w:val="clear" w:color="000000" w:fill="C5D9F1"/>
            <w:vAlign w:val="center"/>
            <w:hideMark/>
          </w:tcPr>
          <w:p w:rsidR="008355F0" w:rsidRPr="000B5656" w:rsidRDefault="008355F0" w:rsidP="003867F8">
            <w:pPr>
              <w:jc w:val="center"/>
              <w:rPr>
                <w:rFonts w:cs="Arial"/>
                <w:b/>
                <w:bCs/>
                <w:color w:val="000000"/>
                <w:sz w:val="16"/>
                <w:szCs w:val="16"/>
              </w:rPr>
            </w:pPr>
            <w:r w:rsidRPr="000B5656">
              <w:rPr>
                <w:rFonts w:cs="Arial"/>
                <w:b/>
                <w:bCs/>
                <w:color w:val="000000"/>
                <w:sz w:val="16"/>
                <w:szCs w:val="16"/>
              </w:rPr>
              <w:t>Balance as of December 31, 2014</w:t>
            </w:r>
          </w:p>
        </w:tc>
        <w:tc>
          <w:tcPr>
            <w:tcW w:w="1640" w:type="dxa"/>
            <w:tcBorders>
              <w:top w:val="single" w:sz="8" w:space="0" w:color="auto"/>
              <w:left w:val="nil"/>
              <w:bottom w:val="nil"/>
              <w:right w:val="single" w:sz="8" w:space="0" w:color="auto"/>
            </w:tcBorders>
            <w:shd w:val="clear" w:color="000000" w:fill="C5D9F1"/>
            <w:vAlign w:val="center"/>
            <w:hideMark/>
          </w:tcPr>
          <w:p w:rsidR="008355F0" w:rsidRPr="000B5656" w:rsidRDefault="008355F0" w:rsidP="003867F8">
            <w:pPr>
              <w:jc w:val="center"/>
              <w:rPr>
                <w:rFonts w:cs="Arial"/>
                <w:b/>
                <w:bCs/>
                <w:color w:val="000000"/>
                <w:sz w:val="16"/>
                <w:szCs w:val="16"/>
              </w:rPr>
            </w:pPr>
            <w:r w:rsidRPr="000B5656">
              <w:rPr>
                <w:rFonts w:cs="Arial"/>
                <w:b/>
                <w:bCs/>
                <w:color w:val="000000"/>
                <w:sz w:val="16"/>
                <w:szCs w:val="16"/>
              </w:rPr>
              <w:t>Income 2015</w:t>
            </w:r>
          </w:p>
        </w:tc>
        <w:tc>
          <w:tcPr>
            <w:tcW w:w="2001" w:type="dxa"/>
            <w:tcBorders>
              <w:top w:val="single" w:sz="8" w:space="0" w:color="auto"/>
              <w:left w:val="nil"/>
              <w:bottom w:val="nil"/>
              <w:right w:val="single" w:sz="8" w:space="0" w:color="auto"/>
            </w:tcBorders>
            <w:shd w:val="clear" w:color="000000" w:fill="C5D9F1"/>
            <w:vAlign w:val="center"/>
            <w:hideMark/>
          </w:tcPr>
          <w:p w:rsidR="008355F0" w:rsidRPr="000B5656" w:rsidRDefault="008355F0" w:rsidP="003867F8">
            <w:pPr>
              <w:jc w:val="center"/>
              <w:rPr>
                <w:rFonts w:cs="Arial"/>
                <w:b/>
                <w:bCs/>
                <w:color w:val="000000"/>
                <w:sz w:val="16"/>
                <w:szCs w:val="16"/>
              </w:rPr>
            </w:pPr>
            <w:r w:rsidRPr="000B5656">
              <w:rPr>
                <w:rFonts w:cs="Arial"/>
                <w:b/>
                <w:bCs/>
                <w:color w:val="000000"/>
                <w:sz w:val="16"/>
                <w:szCs w:val="16"/>
              </w:rPr>
              <w:t>Expenditure 2015</w:t>
            </w:r>
          </w:p>
        </w:tc>
        <w:tc>
          <w:tcPr>
            <w:tcW w:w="1639" w:type="dxa"/>
            <w:tcBorders>
              <w:top w:val="single" w:sz="8" w:space="0" w:color="auto"/>
              <w:left w:val="nil"/>
              <w:bottom w:val="nil"/>
              <w:right w:val="single" w:sz="8" w:space="0" w:color="auto"/>
            </w:tcBorders>
            <w:shd w:val="clear" w:color="000000" w:fill="C5D9F1"/>
            <w:vAlign w:val="center"/>
            <w:hideMark/>
          </w:tcPr>
          <w:p w:rsidR="008355F0" w:rsidRPr="000B5656" w:rsidRDefault="008355F0" w:rsidP="003867F8">
            <w:pPr>
              <w:jc w:val="center"/>
              <w:rPr>
                <w:rFonts w:cs="Arial"/>
                <w:b/>
                <w:bCs/>
                <w:color w:val="000000"/>
                <w:sz w:val="16"/>
                <w:szCs w:val="16"/>
              </w:rPr>
            </w:pPr>
            <w:r w:rsidRPr="000B5656">
              <w:rPr>
                <w:rFonts w:cs="Arial"/>
                <w:b/>
                <w:bCs/>
                <w:color w:val="000000"/>
                <w:sz w:val="16"/>
                <w:szCs w:val="16"/>
              </w:rPr>
              <w:t>Reimbursements</w:t>
            </w:r>
          </w:p>
        </w:tc>
        <w:tc>
          <w:tcPr>
            <w:tcW w:w="2046" w:type="dxa"/>
            <w:tcBorders>
              <w:top w:val="single" w:sz="8" w:space="0" w:color="auto"/>
              <w:left w:val="nil"/>
              <w:bottom w:val="nil"/>
              <w:right w:val="single" w:sz="8" w:space="0" w:color="auto"/>
            </w:tcBorders>
            <w:shd w:val="clear" w:color="000000" w:fill="C5D9F1"/>
            <w:vAlign w:val="center"/>
            <w:hideMark/>
          </w:tcPr>
          <w:p w:rsidR="008355F0" w:rsidRPr="000B5656" w:rsidRDefault="008355F0" w:rsidP="003867F8">
            <w:pPr>
              <w:jc w:val="center"/>
              <w:rPr>
                <w:rFonts w:cs="Arial"/>
                <w:b/>
                <w:bCs/>
                <w:color w:val="000000"/>
                <w:sz w:val="16"/>
                <w:szCs w:val="16"/>
              </w:rPr>
            </w:pPr>
            <w:r>
              <w:rPr>
                <w:rFonts w:cs="Arial"/>
                <w:b/>
                <w:bCs/>
                <w:color w:val="000000"/>
                <w:sz w:val="16"/>
                <w:szCs w:val="16"/>
              </w:rPr>
              <w:t>Balance as of December </w:t>
            </w:r>
            <w:r w:rsidRPr="000B5656">
              <w:rPr>
                <w:rFonts w:cs="Arial"/>
                <w:b/>
                <w:bCs/>
                <w:color w:val="000000"/>
                <w:sz w:val="16"/>
                <w:szCs w:val="16"/>
              </w:rPr>
              <w:t>31, 2015</w:t>
            </w:r>
          </w:p>
        </w:tc>
      </w:tr>
      <w:tr w:rsidR="008355F0" w:rsidRPr="000B5656" w:rsidTr="00E92F85">
        <w:trPr>
          <w:trHeight w:val="255"/>
        </w:trPr>
        <w:tc>
          <w:tcPr>
            <w:tcW w:w="20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55F0" w:rsidRPr="000B5656" w:rsidRDefault="008355F0" w:rsidP="003867F8">
            <w:pPr>
              <w:jc w:val="center"/>
              <w:rPr>
                <w:rFonts w:cs="Arial"/>
                <w:color w:val="000000"/>
                <w:sz w:val="16"/>
                <w:szCs w:val="16"/>
              </w:rPr>
            </w:pPr>
            <w:r>
              <w:rPr>
                <w:rFonts w:cs="Arial"/>
                <w:color w:val="000000"/>
                <w:sz w:val="16"/>
                <w:szCs w:val="16"/>
              </w:rPr>
              <w:t>-</w:t>
            </w:r>
          </w:p>
        </w:tc>
        <w:tc>
          <w:tcPr>
            <w:tcW w:w="1640" w:type="dxa"/>
            <w:tcBorders>
              <w:top w:val="single" w:sz="4" w:space="0" w:color="auto"/>
              <w:left w:val="nil"/>
              <w:bottom w:val="single" w:sz="4" w:space="0" w:color="auto"/>
              <w:right w:val="single" w:sz="4" w:space="0" w:color="auto"/>
            </w:tcBorders>
            <w:shd w:val="clear" w:color="auto" w:fill="auto"/>
            <w:vAlign w:val="center"/>
            <w:hideMark/>
          </w:tcPr>
          <w:p w:rsidR="008355F0" w:rsidRPr="000B5656" w:rsidRDefault="008355F0" w:rsidP="003867F8">
            <w:pPr>
              <w:jc w:val="center"/>
              <w:rPr>
                <w:rFonts w:cs="Arial"/>
                <w:color w:val="000000"/>
                <w:sz w:val="16"/>
                <w:szCs w:val="16"/>
              </w:rPr>
            </w:pPr>
            <w:r w:rsidRPr="000B5656">
              <w:rPr>
                <w:rFonts w:cs="Arial"/>
                <w:color w:val="000000"/>
                <w:sz w:val="16"/>
                <w:szCs w:val="16"/>
              </w:rPr>
              <w:t>39,489</w:t>
            </w:r>
          </w:p>
        </w:tc>
        <w:tc>
          <w:tcPr>
            <w:tcW w:w="2001" w:type="dxa"/>
            <w:tcBorders>
              <w:top w:val="single" w:sz="4" w:space="0" w:color="auto"/>
              <w:left w:val="nil"/>
              <w:bottom w:val="single" w:sz="4" w:space="0" w:color="auto"/>
              <w:right w:val="single" w:sz="4" w:space="0" w:color="auto"/>
            </w:tcBorders>
            <w:shd w:val="clear" w:color="auto" w:fill="auto"/>
            <w:vAlign w:val="center"/>
            <w:hideMark/>
          </w:tcPr>
          <w:p w:rsidR="008355F0" w:rsidRPr="000B5656" w:rsidRDefault="008355F0" w:rsidP="003867F8">
            <w:pPr>
              <w:jc w:val="center"/>
              <w:rPr>
                <w:rFonts w:cs="Arial"/>
                <w:color w:val="000000"/>
                <w:sz w:val="16"/>
                <w:szCs w:val="16"/>
              </w:rPr>
            </w:pPr>
            <w:r w:rsidRPr="000B5656">
              <w:rPr>
                <w:rFonts w:cs="Arial"/>
                <w:color w:val="000000"/>
                <w:sz w:val="16"/>
                <w:szCs w:val="16"/>
              </w:rPr>
              <w:t>39,489</w:t>
            </w:r>
          </w:p>
        </w:tc>
        <w:tc>
          <w:tcPr>
            <w:tcW w:w="1639" w:type="dxa"/>
            <w:tcBorders>
              <w:top w:val="single" w:sz="4" w:space="0" w:color="auto"/>
              <w:left w:val="nil"/>
              <w:bottom w:val="single" w:sz="4" w:space="0" w:color="auto"/>
              <w:right w:val="single" w:sz="4" w:space="0" w:color="auto"/>
            </w:tcBorders>
            <w:shd w:val="clear" w:color="auto" w:fill="auto"/>
            <w:noWrap/>
            <w:vAlign w:val="center"/>
            <w:hideMark/>
          </w:tcPr>
          <w:p w:rsidR="008355F0" w:rsidRPr="00EF296D" w:rsidRDefault="008355F0" w:rsidP="003867F8">
            <w:pPr>
              <w:jc w:val="center"/>
              <w:rPr>
                <w:rFonts w:cs="Arial"/>
                <w:color w:val="000000"/>
                <w:sz w:val="16"/>
                <w:szCs w:val="16"/>
              </w:rPr>
            </w:pPr>
            <w:r>
              <w:rPr>
                <w:rFonts w:cs="Arial"/>
                <w:color w:val="000000"/>
                <w:sz w:val="16"/>
                <w:szCs w:val="16"/>
              </w:rPr>
              <w:t>-</w:t>
            </w:r>
          </w:p>
        </w:tc>
        <w:tc>
          <w:tcPr>
            <w:tcW w:w="2046" w:type="dxa"/>
            <w:tcBorders>
              <w:top w:val="single" w:sz="4" w:space="0" w:color="auto"/>
              <w:left w:val="nil"/>
              <w:bottom w:val="single" w:sz="4" w:space="0" w:color="auto"/>
              <w:right w:val="single" w:sz="4" w:space="0" w:color="auto"/>
            </w:tcBorders>
            <w:shd w:val="clear" w:color="auto" w:fill="auto"/>
            <w:vAlign w:val="center"/>
            <w:hideMark/>
          </w:tcPr>
          <w:p w:rsidR="008355F0" w:rsidRPr="000B5656" w:rsidRDefault="008355F0" w:rsidP="003867F8">
            <w:pPr>
              <w:jc w:val="center"/>
              <w:rPr>
                <w:rFonts w:cs="Arial"/>
                <w:color w:val="000000"/>
                <w:sz w:val="16"/>
                <w:szCs w:val="16"/>
              </w:rPr>
            </w:pPr>
            <w:r>
              <w:rPr>
                <w:rFonts w:cs="Arial"/>
                <w:color w:val="000000"/>
                <w:sz w:val="16"/>
                <w:szCs w:val="16"/>
              </w:rPr>
              <w:t>-</w:t>
            </w:r>
          </w:p>
        </w:tc>
      </w:tr>
    </w:tbl>
    <w:p w:rsidR="008355F0" w:rsidRDefault="008355F0"/>
    <w:p w:rsidR="008355F0" w:rsidRDefault="008355F0" w:rsidP="003867F8">
      <w:pPr>
        <w:rPr>
          <w:rFonts w:cs="Arial"/>
          <w:b/>
          <w:szCs w:val="20"/>
        </w:rPr>
      </w:pPr>
      <w:r>
        <w:rPr>
          <w:rFonts w:cs="Arial"/>
          <w:b/>
          <w:szCs w:val="20"/>
        </w:rPr>
        <w:t>EUROPEAN UNION (Pakistan Project)</w:t>
      </w:r>
    </w:p>
    <w:p w:rsidR="008355F0" w:rsidRDefault="008355F0" w:rsidP="003867F8">
      <w:pPr>
        <w:tabs>
          <w:tab w:val="left" w:pos="0"/>
          <w:tab w:val="left" w:pos="9071"/>
        </w:tabs>
        <w:rPr>
          <w:rFonts w:cs="Arial"/>
          <w:b/>
          <w:szCs w:val="20"/>
        </w:rPr>
      </w:pPr>
    </w:p>
    <w:tbl>
      <w:tblPr>
        <w:tblW w:w="9356" w:type="dxa"/>
        <w:tblInd w:w="10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43"/>
        <w:gridCol w:w="1134"/>
        <w:gridCol w:w="1985"/>
        <w:gridCol w:w="4394"/>
      </w:tblGrid>
      <w:tr w:rsidR="008355F0" w:rsidRPr="002B7DE5" w:rsidTr="00E92F85">
        <w:trPr>
          <w:cantSplit/>
        </w:trPr>
        <w:tc>
          <w:tcPr>
            <w:tcW w:w="9356" w:type="dxa"/>
            <w:gridSpan w:val="4"/>
            <w:tcBorders>
              <w:top w:val="single" w:sz="4" w:space="0" w:color="000000"/>
              <w:bottom w:val="single" w:sz="4" w:space="0" w:color="000000"/>
            </w:tcBorders>
            <w:shd w:val="clear" w:color="auto" w:fill="C6D9F1" w:themeFill="text2" w:themeFillTint="33"/>
            <w:vAlign w:val="center"/>
          </w:tcPr>
          <w:p w:rsidR="008355F0" w:rsidRPr="002B7DE5" w:rsidRDefault="008355F0" w:rsidP="003867F8">
            <w:pPr>
              <w:keepNext/>
              <w:keepLines/>
              <w:tabs>
                <w:tab w:val="left" w:pos="1740"/>
              </w:tabs>
              <w:spacing w:before="120" w:after="120"/>
              <w:ind w:left="1740" w:hanging="1740"/>
              <w:rPr>
                <w:rFonts w:cs="Arial"/>
                <w:b/>
                <w:bCs/>
                <w:sz w:val="16"/>
                <w:szCs w:val="16"/>
              </w:rPr>
            </w:pPr>
            <w:r w:rsidRPr="00774D44">
              <w:rPr>
                <w:rFonts w:cs="Arial"/>
                <w:b/>
                <w:bCs/>
                <w:color w:val="000000"/>
                <w:sz w:val="16"/>
                <w:szCs w:val="16"/>
              </w:rPr>
              <w:t>RESULT</w:t>
            </w:r>
            <w:r w:rsidRPr="002B7DE5">
              <w:rPr>
                <w:rFonts w:cs="Arial"/>
                <w:b/>
                <w:bCs/>
                <w:sz w:val="16"/>
                <w:szCs w:val="16"/>
              </w:rPr>
              <w:t>:</w:t>
            </w:r>
            <w:r w:rsidRPr="002B7DE5">
              <w:rPr>
                <w:rFonts w:cs="Arial"/>
                <w:b/>
                <w:bCs/>
                <w:sz w:val="16"/>
                <w:szCs w:val="16"/>
              </w:rPr>
              <w:tab/>
            </w:r>
            <w:r w:rsidRPr="000B61A2">
              <w:rPr>
                <w:rFonts w:eastAsia="MS Mincho" w:cs="Arial"/>
                <w:bCs/>
                <w:color w:val="000000"/>
                <w:sz w:val="16"/>
                <w:szCs w:val="16"/>
                <w:lang w:val="en-AU" w:eastAsia="ja-JP" w:bidi="th-TH"/>
              </w:rPr>
              <w:t>I.2.  Tailored and balanced IP legislative, regulatory and policy frameworks</w:t>
            </w:r>
          </w:p>
        </w:tc>
      </w:tr>
      <w:tr w:rsidR="008355F0" w:rsidRPr="002B7DE5" w:rsidTr="00E92F85">
        <w:trPr>
          <w:cantSplit/>
          <w:trHeight w:val="500"/>
        </w:trPr>
        <w:tc>
          <w:tcPr>
            <w:tcW w:w="1843" w:type="dxa"/>
            <w:tcBorders>
              <w:top w:val="single" w:sz="4" w:space="0" w:color="000000"/>
            </w:tcBorders>
            <w:vAlign w:val="center"/>
          </w:tcPr>
          <w:p w:rsidR="008355F0" w:rsidRPr="002B7DE5" w:rsidRDefault="008355F0" w:rsidP="003867F8">
            <w:pPr>
              <w:keepNext/>
              <w:keepLines/>
              <w:spacing w:before="60" w:after="60"/>
              <w:rPr>
                <w:rFonts w:cs="Arial"/>
                <w:b/>
                <w:bCs/>
                <w:sz w:val="16"/>
                <w:szCs w:val="16"/>
              </w:rPr>
            </w:pPr>
            <w:r w:rsidRPr="002B7DE5">
              <w:rPr>
                <w:rFonts w:cs="Arial"/>
                <w:b/>
                <w:bCs/>
                <w:sz w:val="16"/>
                <w:szCs w:val="16"/>
              </w:rPr>
              <w:t>Activity</w:t>
            </w:r>
          </w:p>
        </w:tc>
        <w:tc>
          <w:tcPr>
            <w:tcW w:w="1134" w:type="dxa"/>
            <w:tcBorders>
              <w:top w:val="single" w:sz="4" w:space="0" w:color="000000"/>
            </w:tcBorders>
            <w:shd w:val="clear" w:color="auto" w:fill="auto"/>
            <w:tcMar>
              <w:top w:w="110" w:type="dxa"/>
            </w:tcMar>
            <w:vAlign w:val="center"/>
          </w:tcPr>
          <w:p w:rsidR="008355F0" w:rsidRPr="002B7DE5" w:rsidRDefault="008355F0" w:rsidP="003867F8">
            <w:pPr>
              <w:spacing w:before="60" w:after="60"/>
              <w:rPr>
                <w:rFonts w:cs="Arial"/>
                <w:sz w:val="16"/>
                <w:szCs w:val="16"/>
              </w:rPr>
            </w:pPr>
            <w:r w:rsidRPr="002B7DE5">
              <w:rPr>
                <w:rFonts w:cs="Arial"/>
                <w:b/>
                <w:bCs/>
                <w:sz w:val="16"/>
                <w:szCs w:val="16"/>
              </w:rPr>
              <w:t>Date</w:t>
            </w:r>
          </w:p>
        </w:tc>
        <w:tc>
          <w:tcPr>
            <w:tcW w:w="1985" w:type="dxa"/>
            <w:tcBorders>
              <w:top w:val="single" w:sz="4" w:space="0" w:color="000000"/>
            </w:tcBorders>
            <w:shd w:val="clear" w:color="auto" w:fill="auto"/>
            <w:tcMar>
              <w:top w:w="110" w:type="dxa"/>
            </w:tcMar>
            <w:vAlign w:val="center"/>
          </w:tcPr>
          <w:p w:rsidR="008355F0" w:rsidRPr="002B7DE5" w:rsidRDefault="008355F0" w:rsidP="003867F8">
            <w:pPr>
              <w:spacing w:before="60" w:after="60"/>
              <w:rPr>
                <w:rFonts w:cs="Arial"/>
                <w:sz w:val="16"/>
                <w:szCs w:val="16"/>
              </w:rPr>
            </w:pPr>
            <w:r w:rsidRPr="002B7DE5">
              <w:rPr>
                <w:rFonts w:cs="Arial"/>
                <w:b/>
                <w:bCs/>
                <w:sz w:val="16"/>
                <w:szCs w:val="16"/>
              </w:rPr>
              <w:t>Host Country/</w:t>
            </w:r>
            <w:r w:rsidRPr="002B7DE5">
              <w:rPr>
                <w:rFonts w:cs="Arial"/>
                <w:b/>
                <w:bCs/>
                <w:sz w:val="16"/>
                <w:szCs w:val="16"/>
              </w:rPr>
              <w:br/>
              <w:t>Recipients</w:t>
            </w:r>
          </w:p>
        </w:tc>
        <w:tc>
          <w:tcPr>
            <w:tcW w:w="4394" w:type="dxa"/>
            <w:tcBorders>
              <w:top w:val="single" w:sz="4" w:space="0" w:color="000000"/>
            </w:tcBorders>
            <w:shd w:val="clear" w:color="auto" w:fill="FFFFFF"/>
            <w:tcMar>
              <w:top w:w="110" w:type="dxa"/>
            </w:tcMar>
            <w:vAlign w:val="center"/>
          </w:tcPr>
          <w:p w:rsidR="008355F0" w:rsidRPr="002B7DE5" w:rsidRDefault="008355F0" w:rsidP="003867F8">
            <w:pPr>
              <w:spacing w:before="60" w:after="60"/>
              <w:rPr>
                <w:rFonts w:cs="Arial"/>
                <w:sz w:val="16"/>
                <w:szCs w:val="16"/>
              </w:rPr>
            </w:pPr>
            <w:r w:rsidRPr="002B7DE5">
              <w:rPr>
                <w:rFonts w:cs="Arial"/>
                <w:b/>
                <w:bCs/>
                <w:sz w:val="16"/>
                <w:szCs w:val="16"/>
              </w:rPr>
              <w:t>Purpose(s)/Description(s)</w:t>
            </w:r>
          </w:p>
        </w:tc>
      </w:tr>
      <w:tr w:rsidR="008355F0" w:rsidRPr="00774D44" w:rsidTr="00E92F85">
        <w:trPr>
          <w:cantSplit/>
          <w:trHeight w:val="464"/>
        </w:trPr>
        <w:tc>
          <w:tcPr>
            <w:tcW w:w="1843" w:type="dxa"/>
          </w:tcPr>
          <w:p w:rsidR="008355F0" w:rsidRPr="002124F7" w:rsidRDefault="008355F0" w:rsidP="003867F8">
            <w:pPr>
              <w:spacing w:before="60" w:after="60"/>
              <w:rPr>
                <w:rFonts w:cs="Arial"/>
                <w:bCs/>
                <w:sz w:val="16"/>
                <w:szCs w:val="16"/>
              </w:rPr>
            </w:pPr>
            <w:r>
              <w:rPr>
                <w:rFonts w:cs="Arial"/>
                <w:bCs/>
                <w:sz w:val="16"/>
                <w:szCs w:val="16"/>
              </w:rPr>
              <w:t>Roundtable on the Development of a National Intellectual Property (IP) Strategy</w:t>
            </w:r>
          </w:p>
        </w:tc>
        <w:tc>
          <w:tcPr>
            <w:tcW w:w="1134" w:type="dxa"/>
          </w:tcPr>
          <w:p w:rsidR="008355F0" w:rsidRPr="00B22C7A" w:rsidRDefault="008355F0" w:rsidP="003867F8">
            <w:pPr>
              <w:spacing w:before="60" w:after="60"/>
              <w:rPr>
                <w:rFonts w:cs="Arial"/>
                <w:bCs/>
                <w:sz w:val="16"/>
                <w:szCs w:val="16"/>
              </w:rPr>
            </w:pPr>
            <w:r w:rsidRPr="00B22C7A">
              <w:rPr>
                <w:rFonts w:cs="Arial"/>
                <w:bCs/>
                <w:sz w:val="16"/>
                <w:szCs w:val="16"/>
              </w:rPr>
              <w:t>April 2</w:t>
            </w:r>
            <w:r>
              <w:rPr>
                <w:rFonts w:cs="Arial"/>
                <w:bCs/>
                <w:sz w:val="16"/>
                <w:szCs w:val="16"/>
              </w:rPr>
              <w:t>3</w:t>
            </w:r>
            <w:r w:rsidRPr="00B22C7A">
              <w:rPr>
                <w:rFonts w:cs="Arial"/>
                <w:bCs/>
                <w:sz w:val="16"/>
                <w:szCs w:val="16"/>
              </w:rPr>
              <w:t xml:space="preserve"> </w:t>
            </w:r>
            <w:r>
              <w:rPr>
                <w:rFonts w:cs="Arial"/>
                <w:bCs/>
                <w:sz w:val="16"/>
                <w:szCs w:val="16"/>
              </w:rPr>
              <w:t xml:space="preserve">to </w:t>
            </w:r>
            <w:r w:rsidRPr="00B22C7A">
              <w:rPr>
                <w:rFonts w:cs="Arial"/>
                <w:bCs/>
                <w:sz w:val="16"/>
                <w:szCs w:val="16"/>
              </w:rPr>
              <w:t>24, 2015</w:t>
            </w:r>
          </w:p>
        </w:tc>
        <w:tc>
          <w:tcPr>
            <w:tcW w:w="1985" w:type="dxa"/>
          </w:tcPr>
          <w:p w:rsidR="008355F0" w:rsidRPr="002124F7" w:rsidRDefault="008355F0" w:rsidP="003867F8">
            <w:pPr>
              <w:spacing w:before="60" w:after="60"/>
              <w:rPr>
                <w:rFonts w:cs="Arial"/>
                <w:bCs/>
                <w:sz w:val="16"/>
                <w:szCs w:val="16"/>
              </w:rPr>
            </w:pPr>
            <w:r>
              <w:rPr>
                <w:rFonts w:cs="Arial"/>
                <w:bCs/>
                <w:sz w:val="16"/>
                <w:szCs w:val="16"/>
              </w:rPr>
              <w:t>Pakistan/ 53 participants</w:t>
            </w:r>
          </w:p>
        </w:tc>
        <w:tc>
          <w:tcPr>
            <w:tcW w:w="4394" w:type="dxa"/>
          </w:tcPr>
          <w:p w:rsidR="008355F0" w:rsidRPr="002124F7" w:rsidRDefault="008355F0" w:rsidP="003867F8">
            <w:pPr>
              <w:spacing w:before="60" w:after="60"/>
              <w:rPr>
                <w:rFonts w:cs="Arial"/>
                <w:b/>
                <w:bCs/>
                <w:sz w:val="16"/>
                <w:szCs w:val="16"/>
              </w:rPr>
            </w:pPr>
            <w:r w:rsidRPr="00B22C7A">
              <w:rPr>
                <w:sz w:val="16"/>
                <w:szCs w:val="16"/>
                <w:lang w:eastAsia="zh-CN"/>
              </w:rPr>
              <w:t>To</w:t>
            </w:r>
            <w:r>
              <w:rPr>
                <w:sz w:val="16"/>
                <w:szCs w:val="16"/>
                <w:lang w:eastAsia="zh-CN"/>
              </w:rPr>
              <w:t xml:space="preserve">:  (i) </w:t>
            </w:r>
            <w:r w:rsidRPr="00B22C7A">
              <w:rPr>
                <w:sz w:val="16"/>
                <w:szCs w:val="16"/>
                <w:lang w:eastAsia="zh-CN"/>
              </w:rPr>
              <w:t>review the overall aims and key elements of IP strategies;  (ii) discuss the possible linkages between a national IP strategy and key policy areas (e.g. trade, innovation, health);  (iii) exchange views on methodologies of formulating and implementing IP strategies;  and (iv) identify measures that may be taken by the national authorities to develop an IP strategy for the country</w:t>
            </w:r>
            <w:r>
              <w:rPr>
                <w:sz w:val="16"/>
                <w:szCs w:val="16"/>
                <w:lang w:eastAsia="zh-CN"/>
              </w:rPr>
              <w:t>.</w:t>
            </w:r>
          </w:p>
        </w:tc>
      </w:tr>
      <w:tr w:rsidR="008355F0" w:rsidRPr="00774D44" w:rsidTr="00E92F85">
        <w:trPr>
          <w:cantSplit/>
          <w:trHeight w:val="315"/>
        </w:trPr>
        <w:tc>
          <w:tcPr>
            <w:tcW w:w="9356" w:type="dxa"/>
            <w:gridSpan w:val="4"/>
            <w:tcBorders>
              <w:top w:val="single" w:sz="4" w:space="0" w:color="000000"/>
              <w:bottom w:val="single" w:sz="4" w:space="0" w:color="auto"/>
            </w:tcBorders>
            <w:shd w:val="clear" w:color="auto" w:fill="C6D9F1" w:themeFill="text2" w:themeFillTint="33"/>
          </w:tcPr>
          <w:p w:rsidR="008355F0" w:rsidRPr="00774D44" w:rsidRDefault="008355F0" w:rsidP="003867F8">
            <w:pPr>
              <w:keepNext/>
              <w:keepLines/>
              <w:tabs>
                <w:tab w:val="left" w:pos="1740"/>
              </w:tabs>
              <w:spacing w:before="120" w:after="120"/>
              <w:ind w:left="1740" w:hanging="1740"/>
              <w:rPr>
                <w:rFonts w:cs="Arial"/>
                <w:color w:val="000000"/>
                <w:sz w:val="16"/>
                <w:szCs w:val="16"/>
              </w:rPr>
            </w:pPr>
            <w:r w:rsidRPr="00A34F2E">
              <w:rPr>
                <w:rFonts w:cs="Arial"/>
                <w:b/>
                <w:bCs/>
                <w:color w:val="000000"/>
                <w:sz w:val="16"/>
                <w:szCs w:val="16"/>
                <w:shd w:val="clear" w:color="auto" w:fill="C6D9F1" w:themeFill="text2" w:themeFillTint="33"/>
              </w:rPr>
              <w:t>RESULT</w:t>
            </w:r>
            <w:r w:rsidRPr="00A34F2E">
              <w:rPr>
                <w:rFonts w:cs="Arial"/>
                <w:bCs/>
                <w:sz w:val="16"/>
                <w:szCs w:val="16"/>
                <w:shd w:val="clear" w:color="auto" w:fill="C6D9F1" w:themeFill="text2" w:themeFillTint="33"/>
                <w:lang w:val="en-AU"/>
              </w:rPr>
              <w:t>:</w:t>
            </w:r>
            <w:r w:rsidRPr="00A34F2E">
              <w:rPr>
                <w:rFonts w:cs="Arial"/>
                <w:bCs/>
                <w:sz w:val="16"/>
                <w:szCs w:val="16"/>
                <w:shd w:val="clear" w:color="auto" w:fill="C6D9F1" w:themeFill="text2" w:themeFillTint="33"/>
                <w:lang w:val="en-AU"/>
              </w:rPr>
              <w:tab/>
              <w:t>IV.4. Enhanced technical and knowledge infrastructure for IP Offices and other IP institutions leading to better services (cheaper, faster, higher quality) to their stakeholders</w:t>
            </w:r>
          </w:p>
        </w:tc>
      </w:tr>
      <w:tr w:rsidR="008355F0" w:rsidRPr="00774D44" w:rsidTr="00E37059">
        <w:trPr>
          <w:cantSplit/>
          <w:trHeight w:val="399"/>
        </w:trPr>
        <w:tc>
          <w:tcPr>
            <w:tcW w:w="1843" w:type="dxa"/>
            <w:tcBorders>
              <w:top w:val="single" w:sz="4" w:space="0" w:color="auto"/>
              <w:left w:val="single" w:sz="4" w:space="0" w:color="000000"/>
              <w:bottom w:val="single" w:sz="4" w:space="0" w:color="auto"/>
            </w:tcBorders>
            <w:vAlign w:val="center"/>
          </w:tcPr>
          <w:p w:rsidR="008355F0" w:rsidRPr="002B7DE5" w:rsidRDefault="008355F0" w:rsidP="003867F8">
            <w:pPr>
              <w:keepNext/>
              <w:keepLines/>
              <w:spacing w:before="120" w:after="120"/>
              <w:rPr>
                <w:rFonts w:cs="Arial"/>
                <w:b/>
                <w:bCs/>
                <w:sz w:val="16"/>
                <w:szCs w:val="16"/>
              </w:rPr>
            </w:pPr>
            <w:r w:rsidRPr="002B7DE5">
              <w:rPr>
                <w:rFonts w:cs="Arial"/>
                <w:b/>
                <w:bCs/>
                <w:sz w:val="16"/>
                <w:szCs w:val="16"/>
              </w:rPr>
              <w:t>Activity</w:t>
            </w:r>
          </w:p>
        </w:tc>
        <w:tc>
          <w:tcPr>
            <w:tcW w:w="1134" w:type="dxa"/>
            <w:tcBorders>
              <w:top w:val="single" w:sz="4" w:space="0" w:color="auto"/>
              <w:bottom w:val="single" w:sz="4" w:space="0" w:color="auto"/>
            </w:tcBorders>
            <w:vAlign w:val="center"/>
          </w:tcPr>
          <w:p w:rsidR="008355F0" w:rsidRPr="002B7DE5" w:rsidRDefault="008355F0" w:rsidP="003867F8">
            <w:pPr>
              <w:keepNext/>
              <w:keepLines/>
              <w:spacing w:before="120" w:after="120"/>
              <w:rPr>
                <w:rFonts w:cs="Arial"/>
                <w:sz w:val="16"/>
                <w:szCs w:val="16"/>
              </w:rPr>
            </w:pPr>
            <w:r w:rsidRPr="002B7DE5">
              <w:rPr>
                <w:rFonts w:cs="Arial"/>
                <w:b/>
                <w:bCs/>
                <w:sz w:val="16"/>
                <w:szCs w:val="16"/>
              </w:rPr>
              <w:t>Date</w:t>
            </w:r>
          </w:p>
        </w:tc>
        <w:tc>
          <w:tcPr>
            <w:tcW w:w="1985" w:type="dxa"/>
            <w:tcBorders>
              <w:top w:val="single" w:sz="4" w:space="0" w:color="auto"/>
              <w:bottom w:val="single" w:sz="4" w:space="0" w:color="auto"/>
            </w:tcBorders>
            <w:vAlign w:val="center"/>
          </w:tcPr>
          <w:p w:rsidR="008355F0" w:rsidRPr="002B7DE5" w:rsidRDefault="008355F0" w:rsidP="003867F8">
            <w:pPr>
              <w:keepNext/>
              <w:keepLines/>
              <w:spacing w:before="120" w:after="120"/>
              <w:rPr>
                <w:rFonts w:cs="Arial"/>
                <w:sz w:val="16"/>
                <w:szCs w:val="16"/>
              </w:rPr>
            </w:pPr>
            <w:r w:rsidRPr="002B7DE5">
              <w:rPr>
                <w:rFonts w:cs="Arial"/>
                <w:b/>
                <w:bCs/>
                <w:sz w:val="16"/>
                <w:szCs w:val="16"/>
              </w:rPr>
              <w:t>Host Country/</w:t>
            </w:r>
            <w:r w:rsidRPr="002B7DE5">
              <w:rPr>
                <w:rFonts w:cs="Arial"/>
                <w:b/>
                <w:bCs/>
                <w:sz w:val="16"/>
                <w:szCs w:val="16"/>
              </w:rPr>
              <w:br/>
              <w:t>Recipients</w:t>
            </w:r>
          </w:p>
        </w:tc>
        <w:tc>
          <w:tcPr>
            <w:tcW w:w="4394" w:type="dxa"/>
            <w:tcBorders>
              <w:top w:val="single" w:sz="4" w:space="0" w:color="auto"/>
              <w:bottom w:val="single" w:sz="4" w:space="0" w:color="auto"/>
              <w:right w:val="single" w:sz="4" w:space="0" w:color="000000"/>
            </w:tcBorders>
            <w:vAlign w:val="center"/>
          </w:tcPr>
          <w:p w:rsidR="008355F0" w:rsidRPr="002B7DE5" w:rsidRDefault="008355F0" w:rsidP="003867F8">
            <w:pPr>
              <w:keepNext/>
              <w:keepLines/>
              <w:spacing w:before="120" w:after="120"/>
              <w:rPr>
                <w:rFonts w:cs="Arial"/>
                <w:sz w:val="16"/>
                <w:szCs w:val="16"/>
              </w:rPr>
            </w:pPr>
            <w:r w:rsidRPr="002B7DE5">
              <w:rPr>
                <w:rFonts w:cs="Arial"/>
                <w:b/>
                <w:bCs/>
                <w:sz w:val="16"/>
                <w:szCs w:val="16"/>
              </w:rPr>
              <w:t>Purpose(s)/Description(s)</w:t>
            </w:r>
          </w:p>
        </w:tc>
      </w:tr>
      <w:tr w:rsidR="008355F0" w:rsidRPr="00774D44" w:rsidTr="00E37059">
        <w:trPr>
          <w:cantSplit/>
          <w:trHeight w:val="315"/>
        </w:trPr>
        <w:tc>
          <w:tcPr>
            <w:tcW w:w="1843" w:type="dxa"/>
            <w:tcBorders>
              <w:top w:val="single" w:sz="4" w:space="0" w:color="auto"/>
              <w:left w:val="single" w:sz="4" w:space="0" w:color="auto"/>
              <w:bottom w:val="single" w:sz="4" w:space="0" w:color="auto"/>
            </w:tcBorders>
          </w:tcPr>
          <w:p w:rsidR="008355F0" w:rsidRDefault="008355F0" w:rsidP="003867F8">
            <w:pPr>
              <w:autoSpaceDE w:val="0"/>
              <w:autoSpaceDN w:val="0"/>
              <w:adjustRightInd w:val="0"/>
              <w:spacing w:before="60" w:after="60"/>
              <w:rPr>
                <w:rFonts w:cs="Arial"/>
                <w:color w:val="000000"/>
                <w:sz w:val="16"/>
                <w:szCs w:val="16"/>
              </w:rPr>
            </w:pPr>
            <w:r w:rsidRPr="002124F7">
              <w:rPr>
                <w:rFonts w:cs="Arial"/>
                <w:color w:val="000000"/>
                <w:sz w:val="16"/>
                <w:szCs w:val="16"/>
              </w:rPr>
              <w:t>Development of IPO Pakistan</w:t>
            </w:r>
            <w:r>
              <w:rPr>
                <w:rFonts w:cs="Arial"/>
                <w:color w:val="000000"/>
                <w:sz w:val="16"/>
                <w:szCs w:val="16"/>
              </w:rPr>
              <w:t>’s</w:t>
            </w:r>
            <w:r w:rsidRPr="002124F7">
              <w:rPr>
                <w:rFonts w:cs="Arial"/>
                <w:color w:val="000000"/>
                <w:sz w:val="16"/>
                <w:szCs w:val="16"/>
              </w:rPr>
              <w:t xml:space="preserve"> Web Portal</w:t>
            </w:r>
            <w:r>
              <w:rPr>
                <w:rStyle w:val="FootnoteReference"/>
                <w:rFonts w:eastAsia="SimSun"/>
                <w:color w:val="000000"/>
                <w:sz w:val="16"/>
                <w:szCs w:val="16"/>
              </w:rPr>
              <w:footnoteReference w:id="152"/>
            </w:r>
          </w:p>
        </w:tc>
        <w:tc>
          <w:tcPr>
            <w:tcW w:w="1134" w:type="dxa"/>
            <w:tcBorders>
              <w:top w:val="single" w:sz="4" w:space="0" w:color="auto"/>
              <w:bottom w:val="single" w:sz="4" w:space="0" w:color="auto"/>
            </w:tcBorders>
          </w:tcPr>
          <w:p w:rsidR="008355F0" w:rsidRDefault="008355F0" w:rsidP="003867F8">
            <w:pPr>
              <w:autoSpaceDE w:val="0"/>
              <w:autoSpaceDN w:val="0"/>
              <w:adjustRightInd w:val="0"/>
              <w:spacing w:before="60" w:after="60"/>
              <w:rPr>
                <w:rFonts w:cs="Arial"/>
                <w:color w:val="000000"/>
                <w:sz w:val="16"/>
                <w:szCs w:val="16"/>
              </w:rPr>
            </w:pPr>
            <w:r>
              <w:rPr>
                <w:rFonts w:cs="Arial"/>
                <w:color w:val="000000"/>
                <w:sz w:val="16"/>
                <w:szCs w:val="16"/>
              </w:rPr>
              <w:t>January to December, 2015</w:t>
            </w:r>
          </w:p>
          <w:p w:rsidR="008355F0" w:rsidRDefault="008355F0" w:rsidP="003867F8">
            <w:pPr>
              <w:autoSpaceDE w:val="0"/>
              <w:autoSpaceDN w:val="0"/>
              <w:adjustRightInd w:val="0"/>
              <w:spacing w:before="60" w:after="60"/>
              <w:rPr>
                <w:rFonts w:cs="Arial"/>
                <w:color w:val="000000"/>
                <w:sz w:val="16"/>
                <w:szCs w:val="16"/>
              </w:rPr>
            </w:pPr>
            <w:r>
              <w:rPr>
                <w:rFonts w:cs="Arial"/>
                <w:color w:val="000000"/>
                <w:sz w:val="16"/>
                <w:szCs w:val="16"/>
              </w:rPr>
              <w:t>(Ongoing)</w:t>
            </w:r>
          </w:p>
        </w:tc>
        <w:tc>
          <w:tcPr>
            <w:tcW w:w="1985" w:type="dxa"/>
            <w:tcBorders>
              <w:top w:val="single" w:sz="4" w:space="0" w:color="auto"/>
              <w:bottom w:val="single" w:sz="4" w:space="0" w:color="auto"/>
            </w:tcBorders>
          </w:tcPr>
          <w:p w:rsidR="008355F0" w:rsidRDefault="008355F0" w:rsidP="003867F8">
            <w:pPr>
              <w:autoSpaceDE w:val="0"/>
              <w:autoSpaceDN w:val="0"/>
              <w:adjustRightInd w:val="0"/>
              <w:spacing w:before="60" w:after="60"/>
              <w:rPr>
                <w:rFonts w:cs="Arial"/>
                <w:color w:val="000000"/>
                <w:sz w:val="16"/>
                <w:szCs w:val="16"/>
              </w:rPr>
            </w:pPr>
            <w:r>
              <w:rPr>
                <w:rFonts w:cs="Arial"/>
                <w:color w:val="000000"/>
                <w:sz w:val="16"/>
                <w:szCs w:val="16"/>
              </w:rPr>
              <w:t>Pakistan/ IPO Pakistan</w:t>
            </w:r>
          </w:p>
        </w:tc>
        <w:tc>
          <w:tcPr>
            <w:tcW w:w="4394" w:type="dxa"/>
            <w:tcBorders>
              <w:top w:val="single" w:sz="4" w:space="0" w:color="auto"/>
              <w:bottom w:val="single" w:sz="4" w:space="0" w:color="auto"/>
              <w:right w:val="single" w:sz="4" w:space="0" w:color="auto"/>
            </w:tcBorders>
          </w:tcPr>
          <w:p w:rsidR="008355F0" w:rsidRDefault="008355F0" w:rsidP="003867F8">
            <w:pPr>
              <w:autoSpaceDE w:val="0"/>
              <w:autoSpaceDN w:val="0"/>
              <w:adjustRightInd w:val="0"/>
              <w:spacing w:before="60" w:after="60"/>
              <w:rPr>
                <w:rFonts w:cs="Arial"/>
                <w:color w:val="000000"/>
                <w:sz w:val="16"/>
                <w:szCs w:val="16"/>
              </w:rPr>
            </w:pPr>
            <w:r w:rsidRPr="002124F7">
              <w:rPr>
                <w:rFonts w:cs="Arial"/>
                <w:color w:val="000000"/>
                <w:sz w:val="16"/>
                <w:szCs w:val="16"/>
              </w:rPr>
              <w:t>To upgrade IPO Pakistan’s existing web site by introducing new features such as</w:t>
            </w:r>
            <w:r>
              <w:rPr>
                <w:rFonts w:cs="Arial"/>
                <w:color w:val="000000"/>
                <w:sz w:val="16"/>
                <w:szCs w:val="16"/>
              </w:rPr>
              <w:t>:  (i)</w:t>
            </w:r>
            <w:r w:rsidRPr="002124F7">
              <w:rPr>
                <w:rFonts w:cs="Arial"/>
                <w:color w:val="000000"/>
                <w:sz w:val="16"/>
                <w:szCs w:val="16"/>
              </w:rPr>
              <w:t xml:space="preserve"> online Patent Gazette and Trademark Journals</w:t>
            </w:r>
            <w:r>
              <w:rPr>
                <w:rFonts w:cs="Arial"/>
                <w:color w:val="000000"/>
                <w:sz w:val="16"/>
                <w:szCs w:val="16"/>
              </w:rPr>
              <w:t>;  (ii)</w:t>
            </w:r>
            <w:r w:rsidRPr="002124F7">
              <w:rPr>
                <w:rFonts w:cs="Arial"/>
                <w:color w:val="000000"/>
                <w:sz w:val="16"/>
                <w:szCs w:val="16"/>
              </w:rPr>
              <w:t xml:space="preserve"> online </w:t>
            </w:r>
            <w:r>
              <w:rPr>
                <w:rFonts w:cs="Arial"/>
                <w:color w:val="000000"/>
                <w:sz w:val="16"/>
                <w:szCs w:val="16"/>
              </w:rPr>
              <w:t xml:space="preserve">access to check status </w:t>
            </w:r>
            <w:r w:rsidRPr="002124F7">
              <w:rPr>
                <w:rFonts w:cs="Arial"/>
                <w:color w:val="000000"/>
                <w:sz w:val="16"/>
                <w:szCs w:val="16"/>
              </w:rPr>
              <w:t>of IP applications</w:t>
            </w:r>
            <w:r>
              <w:rPr>
                <w:rFonts w:cs="Arial"/>
                <w:color w:val="000000"/>
                <w:sz w:val="16"/>
                <w:szCs w:val="16"/>
              </w:rPr>
              <w:t>;  (iii)</w:t>
            </w:r>
            <w:r w:rsidRPr="002124F7">
              <w:rPr>
                <w:rFonts w:cs="Arial"/>
                <w:color w:val="000000"/>
                <w:sz w:val="16"/>
                <w:szCs w:val="16"/>
              </w:rPr>
              <w:t xml:space="preserve"> public search of IP databases</w:t>
            </w:r>
            <w:r>
              <w:rPr>
                <w:rFonts w:cs="Arial"/>
                <w:color w:val="000000"/>
                <w:sz w:val="16"/>
                <w:szCs w:val="16"/>
              </w:rPr>
              <w:t xml:space="preserve">;  </w:t>
            </w:r>
            <w:r w:rsidRPr="002124F7">
              <w:rPr>
                <w:rFonts w:cs="Arial"/>
                <w:color w:val="000000"/>
                <w:sz w:val="16"/>
                <w:szCs w:val="16"/>
              </w:rPr>
              <w:t>and</w:t>
            </w:r>
            <w:r>
              <w:rPr>
                <w:rFonts w:cs="Arial"/>
                <w:color w:val="000000"/>
                <w:sz w:val="16"/>
                <w:szCs w:val="16"/>
              </w:rPr>
              <w:t xml:space="preserve"> (iv)</w:t>
            </w:r>
            <w:r w:rsidRPr="002124F7">
              <w:rPr>
                <w:rFonts w:cs="Arial"/>
                <w:color w:val="000000"/>
                <w:sz w:val="16"/>
                <w:szCs w:val="16"/>
              </w:rPr>
              <w:t xml:space="preserve"> implementation of an intranet for internal communication between offices of IPO Pakistan in Karachi, Lahore and Islamabad</w:t>
            </w:r>
            <w:r>
              <w:rPr>
                <w:rFonts w:cs="Arial"/>
                <w:color w:val="000000"/>
                <w:sz w:val="16"/>
                <w:szCs w:val="16"/>
              </w:rPr>
              <w:t xml:space="preserve">. </w:t>
            </w:r>
          </w:p>
        </w:tc>
      </w:tr>
      <w:tr w:rsidR="008355F0" w:rsidRPr="00774D44" w:rsidTr="00E37059">
        <w:trPr>
          <w:cantSplit/>
          <w:trHeight w:val="315"/>
        </w:trPr>
        <w:tc>
          <w:tcPr>
            <w:tcW w:w="1843" w:type="dxa"/>
            <w:tcBorders>
              <w:top w:val="single" w:sz="4" w:space="0" w:color="auto"/>
              <w:left w:val="single" w:sz="4" w:space="0" w:color="auto"/>
              <w:bottom w:val="nil"/>
            </w:tcBorders>
          </w:tcPr>
          <w:p w:rsidR="008355F0" w:rsidRDefault="008355F0" w:rsidP="003867F8">
            <w:pPr>
              <w:autoSpaceDE w:val="0"/>
              <w:autoSpaceDN w:val="0"/>
              <w:adjustRightInd w:val="0"/>
              <w:spacing w:before="60" w:after="60"/>
              <w:rPr>
                <w:rFonts w:cs="Arial"/>
                <w:color w:val="000000"/>
                <w:sz w:val="16"/>
                <w:szCs w:val="16"/>
              </w:rPr>
            </w:pPr>
            <w:r>
              <w:rPr>
                <w:rFonts w:cs="Arial"/>
                <w:color w:val="000000"/>
                <w:sz w:val="16"/>
                <w:szCs w:val="16"/>
              </w:rPr>
              <w:t>Customization of HR and Financial Management Software in IPO Pakistan</w:t>
            </w:r>
            <w:r>
              <w:rPr>
                <w:rStyle w:val="FootnoteReference"/>
                <w:rFonts w:eastAsia="SimSun"/>
                <w:color w:val="000000"/>
                <w:sz w:val="16"/>
                <w:szCs w:val="16"/>
              </w:rPr>
              <w:footnoteReference w:id="153"/>
            </w:r>
          </w:p>
        </w:tc>
        <w:tc>
          <w:tcPr>
            <w:tcW w:w="1134" w:type="dxa"/>
            <w:tcBorders>
              <w:top w:val="single" w:sz="4" w:space="0" w:color="auto"/>
              <w:bottom w:val="nil"/>
            </w:tcBorders>
          </w:tcPr>
          <w:p w:rsidR="008355F0" w:rsidRDefault="008355F0" w:rsidP="003867F8">
            <w:pPr>
              <w:autoSpaceDE w:val="0"/>
              <w:autoSpaceDN w:val="0"/>
              <w:adjustRightInd w:val="0"/>
              <w:spacing w:before="60" w:after="60"/>
              <w:rPr>
                <w:rFonts w:cs="Arial"/>
                <w:color w:val="000000"/>
                <w:sz w:val="16"/>
                <w:szCs w:val="16"/>
              </w:rPr>
            </w:pPr>
            <w:r>
              <w:rPr>
                <w:rFonts w:cs="Arial"/>
                <w:color w:val="000000"/>
                <w:sz w:val="16"/>
                <w:szCs w:val="16"/>
              </w:rPr>
              <w:t>January to December, 2015</w:t>
            </w:r>
          </w:p>
          <w:p w:rsidR="008355F0" w:rsidRDefault="008355F0" w:rsidP="003867F8">
            <w:pPr>
              <w:autoSpaceDE w:val="0"/>
              <w:autoSpaceDN w:val="0"/>
              <w:adjustRightInd w:val="0"/>
              <w:spacing w:before="60" w:after="60"/>
              <w:rPr>
                <w:rFonts w:cs="Arial"/>
                <w:color w:val="000000"/>
                <w:sz w:val="16"/>
                <w:szCs w:val="16"/>
              </w:rPr>
            </w:pPr>
            <w:r>
              <w:rPr>
                <w:rFonts w:cs="Arial"/>
                <w:color w:val="000000"/>
                <w:sz w:val="16"/>
                <w:szCs w:val="16"/>
              </w:rPr>
              <w:t>(Ongoing)</w:t>
            </w:r>
          </w:p>
        </w:tc>
        <w:tc>
          <w:tcPr>
            <w:tcW w:w="1985" w:type="dxa"/>
            <w:tcBorders>
              <w:top w:val="single" w:sz="4" w:space="0" w:color="auto"/>
              <w:bottom w:val="nil"/>
            </w:tcBorders>
          </w:tcPr>
          <w:p w:rsidR="008355F0" w:rsidRDefault="008355F0" w:rsidP="003867F8">
            <w:pPr>
              <w:autoSpaceDE w:val="0"/>
              <w:autoSpaceDN w:val="0"/>
              <w:adjustRightInd w:val="0"/>
              <w:spacing w:before="60" w:after="60"/>
              <w:rPr>
                <w:rFonts w:cs="Arial"/>
                <w:color w:val="000000"/>
                <w:sz w:val="16"/>
                <w:szCs w:val="16"/>
              </w:rPr>
            </w:pPr>
            <w:r>
              <w:rPr>
                <w:rFonts w:cs="Arial"/>
                <w:color w:val="000000"/>
                <w:sz w:val="16"/>
                <w:szCs w:val="16"/>
              </w:rPr>
              <w:t>Pakistan/ IPO Pakistan</w:t>
            </w:r>
          </w:p>
        </w:tc>
        <w:tc>
          <w:tcPr>
            <w:tcW w:w="4394" w:type="dxa"/>
            <w:tcBorders>
              <w:top w:val="single" w:sz="4" w:space="0" w:color="auto"/>
              <w:bottom w:val="nil"/>
              <w:right w:val="single" w:sz="4" w:space="0" w:color="auto"/>
            </w:tcBorders>
          </w:tcPr>
          <w:p w:rsidR="008355F0" w:rsidRDefault="008355F0" w:rsidP="003867F8">
            <w:pPr>
              <w:autoSpaceDE w:val="0"/>
              <w:autoSpaceDN w:val="0"/>
              <w:adjustRightInd w:val="0"/>
              <w:spacing w:before="60" w:after="60"/>
              <w:rPr>
                <w:rFonts w:cs="Arial"/>
                <w:color w:val="000000"/>
                <w:sz w:val="16"/>
                <w:szCs w:val="16"/>
              </w:rPr>
            </w:pPr>
            <w:r w:rsidRPr="002124F7">
              <w:rPr>
                <w:rFonts w:cs="Arial"/>
                <w:color w:val="000000"/>
                <w:sz w:val="16"/>
                <w:szCs w:val="16"/>
              </w:rPr>
              <w:t>To enhance IPO Pakistan’s capacity to deliver services by introducing automation systems for its core human resource and financial management functions.</w:t>
            </w:r>
            <w:r>
              <w:rPr>
                <w:rFonts w:cs="Arial"/>
                <w:color w:val="000000"/>
                <w:sz w:val="16"/>
                <w:szCs w:val="16"/>
              </w:rPr>
              <w:t xml:space="preserve">  </w:t>
            </w:r>
          </w:p>
        </w:tc>
      </w:tr>
      <w:tr w:rsidR="008355F0" w:rsidRPr="00774D44" w:rsidTr="00E37059">
        <w:trPr>
          <w:cantSplit/>
          <w:trHeight w:val="1620"/>
        </w:trPr>
        <w:tc>
          <w:tcPr>
            <w:tcW w:w="1843" w:type="dxa"/>
            <w:tcBorders>
              <w:top w:val="nil"/>
              <w:left w:val="single" w:sz="4" w:space="0" w:color="auto"/>
              <w:bottom w:val="single" w:sz="4" w:space="0" w:color="auto"/>
            </w:tcBorders>
          </w:tcPr>
          <w:p w:rsidR="008355F0" w:rsidRPr="00B93AF6" w:rsidRDefault="008355F0" w:rsidP="003867F8">
            <w:pPr>
              <w:autoSpaceDE w:val="0"/>
              <w:autoSpaceDN w:val="0"/>
              <w:adjustRightInd w:val="0"/>
              <w:spacing w:before="60" w:after="60"/>
              <w:rPr>
                <w:rFonts w:cs="Arial"/>
                <w:color w:val="000000"/>
                <w:sz w:val="16"/>
                <w:szCs w:val="16"/>
              </w:rPr>
            </w:pPr>
            <w:r>
              <w:rPr>
                <w:rFonts w:cs="Arial"/>
                <w:color w:val="000000"/>
                <w:sz w:val="16"/>
                <w:szCs w:val="16"/>
              </w:rPr>
              <w:t xml:space="preserve">Consultations to Review Ongoing Activities under the </w:t>
            </w:r>
            <w:r w:rsidRPr="00605F17">
              <w:rPr>
                <w:sz w:val="16"/>
                <w:szCs w:val="16"/>
              </w:rPr>
              <w:t>Trade Related Technical Assistance</w:t>
            </w:r>
            <w:r>
              <w:rPr>
                <w:sz w:val="16"/>
                <w:szCs w:val="16"/>
              </w:rPr>
              <w:t xml:space="preserve"> (</w:t>
            </w:r>
            <w:r w:rsidRPr="00C00B36">
              <w:rPr>
                <w:sz w:val="16"/>
                <w:szCs w:val="16"/>
              </w:rPr>
              <w:t>TRTA</w:t>
            </w:r>
            <w:r>
              <w:rPr>
                <w:sz w:val="16"/>
                <w:szCs w:val="16"/>
              </w:rPr>
              <w:t>) II Program</w:t>
            </w:r>
          </w:p>
        </w:tc>
        <w:tc>
          <w:tcPr>
            <w:tcW w:w="1134" w:type="dxa"/>
            <w:tcBorders>
              <w:top w:val="nil"/>
              <w:bottom w:val="single" w:sz="4" w:space="0" w:color="auto"/>
            </w:tcBorders>
          </w:tcPr>
          <w:p w:rsidR="008355F0" w:rsidRPr="002124F7" w:rsidRDefault="008355F0" w:rsidP="003867F8">
            <w:pPr>
              <w:autoSpaceDE w:val="0"/>
              <w:autoSpaceDN w:val="0"/>
              <w:adjustRightInd w:val="0"/>
              <w:spacing w:before="60" w:after="60"/>
              <w:rPr>
                <w:rFonts w:cs="Arial"/>
                <w:color w:val="000000"/>
                <w:sz w:val="16"/>
                <w:szCs w:val="16"/>
              </w:rPr>
            </w:pPr>
            <w:r>
              <w:rPr>
                <w:rFonts w:cs="Arial"/>
                <w:color w:val="000000"/>
                <w:sz w:val="16"/>
                <w:szCs w:val="16"/>
              </w:rPr>
              <w:t>April 20 to 24, 2015</w:t>
            </w:r>
          </w:p>
        </w:tc>
        <w:tc>
          <w:tcPr>
            <w:tcW w:w="1985" w:type="dxa"/>
            <w:tcBorders>
              <w:top w:val="nil"/>
              <w:bottom w:val="single" w:sz="4" w:space="0" w:color="auto"/>
            </w:tcBorders>
          </w:tcPr>
          <w:p w:rsidR="008355F0" w:rsidRPr="00DF5AE6" w:rsidRDefault="008355F0" w:rsidP="003867F8">
            <w:pPr>
              <w:autoSpaceDE w:val="0"/>
              <w:autoSpaceDN w:val="0"/>
              <w:adjustRightInd w:val="0"/>
              <w:spacing w:before="60" w:after="60"/>
              <w:rPr>
                <w:rFonts w:cs="Arial"/>
                <w:color w:val="000000"/>
                <w:sz w:val="16"/>
                <w:szCs w:val="16"/>
                <w:lang w:val="es-ES"/>
              </w:rPr>
            </w:pPr>
            <w:r w:rsidRPr="00DF5AE6">
              <w:rPr>
                <w:rFonts w:cs="Arial"/>
                <w:color w:val="000000"/>
                <w:sz w:val="16"/>
                <w:szCs w:val="16"/>
                <w:lang w:val="es-ES"/>
              </w:rPr>
              <w:t>Pakistan/ IPO Pakistan and UNIDO</w:t>
            </w:r>
          </w:p>
        </w:tc>
        <w:tc>
          <w:tcPr>
            <w:tcW w:w="4394" w:type="dxa"/>
            <w:tcBorders>
              <w:top w:val="nil"/>
              <w:bottom w:val="single" w:sz="4" w:space="0" w:color="auto"/>
              <w:right w:val="single" w:sz="4" w:space="0" w:color="auto"/>
            </w:tcBorders>
          </w:tcPr>
          <w:p w:rsidR="008355F0" w:rsidRPr="002124F7" w:rsidRDefault="008355F0" w:rsidP="003867F8">
            <w:pPr>
              <w:autoSpaceDE w:val="0"/>
              <w:autoSpaceDN w:val="0"/>
              <w:adjustRightInd w:val="0"/>
              <w:spacing w:before="60" w:after="60"/>
              <w:rPr>
                <w:rFonts w:cs="Arial"/>
                <w:color w:val="000000"/>
                <w:sz w:val="16"/>
                <w:szCs w:val="16"/>
              </w:rPr>
            </w:pPr>
            <w:r>
              <w:rPr>
                <w:rFonts w:cs="Arial"/>
                <w:color w:val="000000"/>
                <w:sz w:val="16"/>
                <w:szCs w:val="16"/>
              </w:rPr>
              <w:t xml:space="preserve">Consultations with national stakeholders (IPO Patent Office, Trade Marks Registry and Copyright Office, Karachi, IPO Head Office and UNIDO Project Management Office, Islamabad) to </w:t>
            </w:r>
            <w:r w:rsidRPr="00C00B36">
              <w:rPr>
                <w:sz w:val="16"/>
                <w:szCs w:val="16"/>
              </w:rPr>
              <w:t>review the status of implementation of the TRTA</w:t>
            </w:r>
            <w:r>
              <w:rPr>
                <w:sz w:val="16"/>
                <w:szCs w:val="16"/>
              </w:rPr>
              <w:t xml:space="preserve"> II</w:t>
            </w:r>
            <w:r w:rsidRPr="00C00B36">
              <w:rPr>
                <w:sz w:val="16"/>
                <w:szCs w:val="16"/>
              </w:rPr>
              <w:t xml:space="preserve"> Program and the measures needed to ensure successful completion of the Program, especially to achieve tangible outcomes</w:t>
            </w:r>
            <w:r>
              <w:rPr>
                <w:rFonts w:cs="Arial"/>
                <w:color w:val="000000"/>
                <w:sz w:val="16"/>
                <w:szCs w:val="16"/>
              </w:rPr>
              <w:t>.</w:t>
            </w:r>
          </w:p>
        </w:tc>
      </w:tr>
    </w:tbl>
    <w:p w:rsidR="008355F0" w:rsidRDefault="008355F0"/>
    <w:p w:rsidR="008355F0" w:rsidRDefault="008355F0"/>
    <w:p w:rsidR="008355F0" w:rsidRPr="007F622E" w:rsidRDefault="008355F0" w:rsidP="003867F8">
      <w:pPr>
        <w:rPr>
          <w:rFonts w:cs="Arial"/>
          <w:b/>
          <w:color w:val="000000"/>
          <w:szCs w:val="20"/>
        </w:rPr>
      </w:pPr>
      <w:r w:rsidRPr="009C7E14">
        <w:rPr>
          <w:rFonts w:cs="Arial"/>
          <w:b/>
          <w:szCs w:val="20"/>
        </w:rPr>
        <w:t xml:space="preserve">EUROPEAN UNION (Pakistan Project) </w:t>
      </w:r>
      <w:r w:rsidRPr="007F622E">
        <w:rPr>
          <w:rFonts w:cs="Arial"/>
          <w:b/>
          <w:color w:val="000000"/>
          <w:szCs w:val="20"/>
        </w:rPr>
        <w:t>Donor Contributions and Expenditure in 2015</w:t>
      </w:r>
    </w:p>
    <w:p w:rsidR="008355F0" w:rsidRDefault="008355F0" w:rsidP="003867F8">
      <w:pPr>
        <w:tabs>
          <w:tab w:val="left" w:pos="0"/>
          <w:tab w:val="left" w:pos="9071"/>
        </w:tabs>
        <w:rPr>
          <w:rFonts w:cs="Arial"/>
          <w:b/>
          <w:szCs w:val="20"/>
        </w:rPr>
      </w:pPr>
    </w:p>
    <w:tbl>
      <w:tblPr>
        <w:tblW w:w="9366" w:type="dxa"/>
        <w:tblInd w:w="98" w:type="dxa"/>
        <w:tblLook w:val="04A0" w:firstRow="1" w:lastRow="0" w:firstColumn="1" w:lastColumn="0" w:noHBand="0" w:noVBand="1"/>
      </w:tblPr>
      <w:tblGrid>
        <w:gridCol w:w="2040"/>
        <w:gridCol w:w="1640"/>
        <w:gridCol w:w="1860"/>
        <w:gridCol w:w="1780"/>
        <w:gridCol w:w="2046"/>
      </w:tblGrid>
      <w:tr w:rsidR="008355F0" w:rsidRPr="009C7E14" w:rsidTr="00E92F85">
        <w:trPr>
          <w:trHeight w:val="450"/>
        </w:trPr>
        <w:tc>
          <w:tcPr>
            <w:tcW w:w="2040" w:type="dxa"/>
            <w:tcBorders>
              <w:top w:val="single" w:sz="8" w:space="0" w:color="auto"/>
              <w:left w:val="single" w:sz="8" w:space="0" w:color="auto"/>
              <w:bottom w:val="nil"/>
              <w:right w:val="single" w:sz="8" w:space="0" w:color="auto"/>
            </w:tcBorders>
            <w:shd w:val="clear" w:color="auto" w:fill="C6D9F1" w:themeFill="text2" w:themeFillTint="33"/>
            <w:vAlign w:val="center"/>
            <w:hideMark/>
          </w:tcPr>
          <w:p w:rsidR="008355F0" w:rsidRPr="009C7E14" w:rsidRDefault="008355F0" w:rsidP="003867F8">
            <w:pPr>
              <w:jc w:val="center"/>
              <w:rPr>
                <w:rFonts w:cs="Arial"/>
                <w:b/>
                <w:bCs/>
                <w:color w:val="000000"/>
                <w:sz w:val="16"/>
                <w:szCs w:val="16"/>
              </w:rPr>
            </w:pPr>
            <w:r w:rsidRPr="009C7E14">
              <w:rPr>
                <w:rFonts w:cs="Arial"/>
                <w:b/>
                <w:bCs/>
                <w:color w:val="000000"/>
                <w:sz w:val="16"/>
                <w:szCs w:val="16"/>
              </w:rPr>
              <w:t>Balance as of December 31, 2014</w:t>
            </w:r>
          </w:p>
        </w:tc>
        <w:tc>
          <w:tcPr>
            <w:tcW w:w="1640" w:type="dxa"/>
            <w:tcBorders>
              <w:top w:val="single" w:sz="8" w:space="0" w:color="auto"/>
              <w:left w:val="nil"/>
              <w:bottom w:val="nil"/>
              <w:right w:val="single" w:sz="8" w:space="0" w:color="auto"/>
            </w:tcBorders>
            <w:shd w:val="clear" w:color="auto" w:fill="C6D9F1" w:themeFill="text2" w:themeFillTint="33"/>
            <w:vAlign w:val="center"/>
            <w:hideMark/>
          </w:tcPr>
          <w:p w:rsidR="008355F0" w:rsidRPr="009C7E14" w:rsidRDefault="008355F0" w:rsidP="003867F8">
            <w:pPr>
              <w:jc w:val="center"/>
              <w:rPr>
                <w:rFonts w:cs="Arial"/>
                <w:b/>
                <w:bCs/>
                <w:color w:val="000000"/>
                <w:sz w:val="16"/>
                <w:szCs w:val="16"/>
              </w:rPr>
            </w:pPr>
            <w:r w:rsidRPr="009C7E14">
              <w:rPr>
                <w:rFonts w:cs="Arial"/>
                <w:b/>
                <w:bCs/>
                <w:color w:val="000000"/>
                <w:sz w:val="16"/>
                <w:szCs w:val="16"/>
              </w:rPr>
              <w:t>Income 2015</w:t>
            </w:r>
          </w:p>
        </w:tc>
        <w:tc>
          <w:tcPr>
            <w:tcW w:w="1860" w:type="dxa"/>
            <w:tcBorders>
              <w:top w:val="single" w:sz="8" w:space="0" w:color="auto"/>
              <w:left w:val="nil"/>
              <w:bottom w:val="nil"/>
              <w:right w:val="single" w:sz="8" w:space="0" w:color="auto"/>
            </w:tcBorders>
            <w:shd w:val="clear" w:color="auto" w:fill="C6D9F1" w:themeFill="text2" w:themeFillTint="33"/>
            <w:vAlign w:val="center"/>
            <w:hideMark/>
          </w:tcPr>
          <w:p w:rsidR="008355F0" w:rsidRPr="009C7E14" w:rsidRDefault="008355F0" w:rsidP="003867F8">
            <w:pPr>
              <w:jc w:val="center"/>
              <w:rPr>
                <w:rFonts w:cs="Arial"/>
                <w:b/>
                <w:bCs/>
                <w:color w:val="000000"/>
                <w:sz w:val="16"/>
                <w:szCs w:val="16"/>
              </w:rPr>
            </w:pPr>
            <w:r w:rsidRPr="009C7E14">
              <w:rPr>
                <w:rFonts w:cs="Arial"/>
                <w:b/>
                <w:bCs/>
                <w:color w:val="000000"/>
                <w:sz w:val="16"/>
                <w:szCs w:val="16"/>
              </w:rPr>
              <w:t>Expenditure 2015</w:t>
            </w:r>
          </w:p>
        </w:tc>
        <w:tc>
          <w:tcPr>
            <w:tcW w:w="1780" w:type="dxa"/>
            <w:tcBorders>
              <w:top w:val="single" w:sz="8" w:space="0" w:color="auto"/>
              <w:left w:val="nil"/>
              <w:bottom w:val="nil"/>
              <w:right w:val="single" w:sz="8" w:space="0" w:color="auto"/>
            </w:tcBorders>
            <w:shd w:val="clear" w:color="auto" w:fill="C6D9F1" w:themeFill="text2" w:themeFillTint="33"/>
            <w:vAlign w:val="center"/>
            <w:hideMark/>
          </w:tcPr>
          <w:p w:rsidR="008355F0" w:rsidRPr="009C7E14" w:rsidRDefault="008355F0" w:rsidP="003867F8">
            <w:pPr>
              <w:jc w:val="center"/>
              <w:rPr>
                <w:rFonts w:cs="Arial"/>
                <w:b/>
                <w:bCs/>
                <w:color w:val="000000"/>
                <w:sz w:val="16"/>
                <w:szCs w:val="16"/>
              </w:rPr>
            </w:pPr>
            <w:r w:rsidRPr="009C7E14">
              <w:rPr>
                <w:rFonts w:cs="Arial"/>
                <w:b/>
                <w:bCs/>
                <w:color w:val="000000"/>
                <w:sz w:val="16"/>
                <w:szCs w:val="16"/>
              </w:rPr>
              <w:t>Reimbursements</w:t>
            </w:r>
          </w:p>
        </w:tc>
        <w:tc>
          <w:tcPr>
            <w:tcW w:w="2046" w:type="dxa"/>
            <w:tcBorders>
              <w:top w:val="single" w:sz="8" w:space="0" w:color="auto"/>
              <w:left w:val="nil"/>
              <w:bottom w:val="nil"/>
              <w:right w:val="single" w:sz="8" w:space="0" w:color="auto"/>
            </w:tcBorders>
            <w:shd w:val="clear" w:color="auto" w:fill="C6D9F1" w:themeFill="text2" w:themeFillTint="33"/>
            <w:vAlign w:val="center"/>
            <w:hideMark/>
          </w:tcPr>
          <w:p w:rsidR="008355F0" w:rsidRPr="009C7E14" w:rsidRDefault="008355F0" w:rsidP="003867F8">
            <w:pPr>
              <w:jc w:val="center"/>
              <w:rPr>
                <w:rFonts w:cs="Arial"/>
                <w:b/>
                <w:bCs/>
                <w:color w:val="000000"/>
                <w:sz w:val="16"/>
                <w:szCs w:val="16"/>
              </w:rPr>
            </w:pPr>
            <w:r w:rsidRPr="009C7E14">
              <w:rPr>
                <w:rFonts w:cs="Arial"/>
                <w:b/>
                <w:bCs/>
                <w:color w:val="000000"/>
                <w:sz w:val="16"/>
                <w:szCs w:val="16"/>
              </w:rPr>
              <w:t>Balance as of December</w:t>
            </w:r>
            <w:r>
              <w:rPr>
                <w:rFonts w:cs="Arial"/>
                <w:b/>
                <w:bCs/>
                <w:color w:val="000000"/>
                <w:sz w:val="16"/>
                <w:szCs w:val="16"/>
              </w:rPr>
              <w:t> </w:t>
            </w:r>
            <w:r w:rsidRPr="009C7E14">
              <w:rPr>
                <w:rFonts w:cs="Arial"/>
                <w:b/>
                <w:bCs/>
                <w:color w:val="000000"/>
                <w:sz w:val="16"/>
                <w:szCs w:val="16"/>
              </w:rPr>
              <w:t>31, 2015</w:t>
            </w:r>
          </w:p>
        </w:tc>
      </w:tr>
      <w:tr w:rsidR="008355F0" w:rsidRPr="009C7E14" w:rsidTr="00E92F85">
        <w:trPr>
          <w:trHeight w:val="255"/>
        </w:trPr>
        <w:tc>
          <w:tcPr>
            <w:tcW w:w="20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55F0" w:rsidRPr="009C7E14" w:rsidRDefault="008355F0" w:rsidP="003867F8">
            <w:pPr>
              <w:jc w:val="center"/>
              <w:rPr>
                <w:rFonts w:cs="Arial"/>
                <w:color w:val="000000"/>
                <w:sz w:val="16"/>
                <w:szCs w:val="16"/>
              </w:rPr>
            </w:pPr>
            <w:r w:rsidRPr="009C7E14">
              <w:rPr>
                <w:rFonts w:cs="Arial"/>
                <w:color w:val="000000"/>
                <w:sz w:val="16"/>
                <w:szCs w:val="16"/>
              </w:rPr>
              <w:t>383,115</w:t>
            </w:r>
          </w:p>
        </w:tc>
        <w:tc>
          <w:tcPr>
            <w:tcW w:w="1640" w:type="dxa"/>
            <w:tcBorders>
              <w:top w:val="single" w:sz="4" w:space="0" w:color="auto"/>
              <w:left w:val="nil"/>
              <w:bottom w:val="single" w:sz="4" w:space="0" w:color="auto"/>
              <w:right w:val="single" w:sz="4" w:space="0" w:color="auto"/>
            </w:tcBorders>
            <w:shd w:val="clear" w:color="auto" w:fill="auto"/>
            <w:vAlign w:val="center"/>
            <w:hideMark/>
          </w:tcPr>
          <w:p w:rsidR="008355F0" w:rsidRPr="009C7E14" w:rsidRDefault="008355F0" w:rsidP="003867F8">
            <w:pPr>
              <w:jc w:val="center"/>
              <w:rPr>
                <w:rFonts w:cs="Arial"/>
                <w:color w:val="000000"/>
                <w:sz w:val="16"/>
                <w:szCs w:val="16"/>
              </w:rPr>
            </w:pPr>
            <w:r>
              <w:rPr>
                <w:rFonts w:cs="Arial"/>
                <w:color w:val="000000"/>
                <w:sz w:val="16"/>
                <w:szCs w:val="16"/>
              </w:rPr>
              <w:t>(</w:t>
            </w:r>
            <w:r w:rsidRPr="009C7E14">
              <w:rPr>
                <w:rFonts w:cs="Arial"/>
                <w:color w:val="000000"/>
                <w:sz w:val="16"/>
                <w:szCs w:val="16"/>
              </w:rPr>
              <w:t>41,520</w:t>
            </w:r>
            <w:r>
              <w:rPr>
                <w:rFonts w:cs="Arial"/>
                <w:color w:val="000000"/>
                <w:sz w:val="16"/>
                <w:szCs w:val="16"/>
              </w:rPr>
              <w:t>)</w:t>
            </w:r>
          </w:p>
        </w:tc>
        <w:tc>
          <w:tcPr>
            <w:tcW w:w="1860" w:type="dxa"/>
            <w:tcBorders>
              <w:top w:val="single" w:sz="4" w:space="0" w:color="auto"/>
              <w:left w:val="nil"/>
              <w:bottom w:val="single" w:sz="4" w:space="0" w:color="auto"/>
              <w:right w:val="single" w:sz="4" w:space="0" w:color="auto"/>
            </w:tcBorders>
            <w:shd w:val="clear" w:color="auto" w:fill="auto"/>
            <w:vAlign w:val="center"/>
            <w:hideMark/>
          </w:tcPr>
          <w:p w:rsidR="008355F0" w:rsidRPr="009C7E14" w:rsidRDefault="008355F0" w:rsidP="003867F8">
            <w:pPr>
              <w:jc w:val="center"/>
              <w:rPr>
                <w:rFonts w:cs="Arial"/>
                <w:color w:val="000000"/>
                <w:sz w:val="16"/>
                <w:szCs w:val="16"/>
              </w:rPr>
            </w:pPr>
            <w:r w:rsidRPr="009C7E14">
              <w:rPr>
                <w:rFonts w:cs="Arial"/>
                <w:color w:val="000000"/>
                <w:sz w:val="16"/>
                <w:szCs w:val="16"/>
              </w:rPr>
              <w:t>189,256</w:t>
            </w:r>
          </w:p>
        </w:tc>
        <w:tc>
          <w:tcPr>
            <w:tcW w:w="1780" w:type="dxa"/>
            <w:tcBorders>
              <w:top w:val="single" w:sz="4" w:space="0" w:color="auto"/>
              <w:left w:val="nil"/>
              <w:bottom w:val="single" w:sz="4" w:space="0" w:color="auto"/>
              <w:right w:val="single" w:sz="4" w:space="0" w:color="auto"/>
            </w:tcBorders>
            <w:shd w:val="clear" w:color="auto" w:fill="auto"/>
            <w:vAlign w:val="center"/>
            <w:hideMark/>
          </w:tcPr>
          <w:p w:rsidR="008355F0" w:rsidRPr="009C7E14" w:rsidRDefault="008355F0" w:rsidP="003867F8">
            <w:pPr>
              <w:jc w:val="center"/>
              <w:rPr>
                <w:rFonts w:cs="Arial"/>
                <w:color w:val="000000"/>
                <w:sz w:val="16"/>
                <w:szCs w:val="16"/>
              </w:rPr>
            </w:pPr>
            <w:r w:rsidRPr="009C7E14">
              <w:rPr>
                <w:rFonts w:cs="Arial"/>
                <w:color w:val="000000"/>
                <w:sz w:val="16"/>
                <w:szCs w:val="16"/>
              </w:rPr>
              <w:t>99,868</w:t>
            </w:r>
          </w:p>
        </w:tc>
        <w:tc>
          <w:tcPr>
            <w:tcW w:w="2046" w:type="dxa"/>
            <w:tcBorders>
              <w:top w:val="single" w:sz="4" w:space="0" w:color="auto"/>
              <w:left w:val="nil"/>
              <w:bottom w:val="single" w:sz="4" w:space="0" w:color="auto"/>
              <w:right w:val="single" w:sz="4" w:space="0" w:color="auto"/>
            </w:tcBorders>
            <w:shd w:val="clear" w:color="auto" w:fill="auto"/>
            <w:vAlign w:val="center"/>
            <w:hideMark/>
          </w:tcPr>
          <w:p w:rsidR="008355F0" w:rsidRPr="009C7E14" w:rsidRDefault="008355F0" w:rsidP="003867F8">
            <w:pPr>
              <w:jc w:val="center"/>
              <w:rPr>
                <w:rFonts w:cs="Arial"/>
                <w:color w:val="000000"/>
                <w:sz w:val="16"/>
                <w:szCs w:val="16"/>
              </w:rPr>
            </w:pPr>
            <w:r w:rsidRPr="009C7E14">
              <w:rPr>
                <w:rFonts w:cs="Arial"/>
                <w:color w:val="000000"/>
                <w:sz w:val="16"/>
                <w:szCs w:val="16"/>
              </w:rPr>
              <w:t>52,470</w:t>
            </w:r>
          </w:p>
        </w:tc>
      </w:tr>
    </w:tbl>
    <w:p w:rsidR="008355F0" w:rsidRDefault="008355F0"/>
    <w:p w:rsidR="008355F0" w:rsidRDefault="008355F0"/>
    <w:p w:rsidR="008355F0" w:rsidRDefault="008355F0" w:rsidP="003867F8">
      <w:pPr>
        <w:rPr>
          <w:rFonts w:cs="Arial"/>
          <w:b/>
          <w:szCs w:val="20"/>
        </w:rPr>
      </w:pPr>
      <w:r w:rsidRPr="00795D13">
        <w:rPr>
          <w:rFonts w:cs="Arial"/>
          <w:b/>
          <w:szCs w:val="20"/>
        </w:rPr>
        <w:t xml:space="preserve">FINLAND/ COPYRIGHT </w:t>
      </w:r>
    </w:p>
    <w:p w:rsidR="008355F0" w:rsidRPr="000B61A2" w:rsidRDefault="008355F0" w:rsidP="003867F8">
      <w:pPr>
        <w:rPr>
          <w:szCs w:val="20"/>
        </w:rPr>
      </w:pPr>
    </w:p>
    <w:tbl>
      <w:tblPr>
        <w:tblW w:w="9361" w:type="dxa"/>
        <w:tblInd w:w="103"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990"/>
        <w:gridCol w:w="1134"/>
        <w:gridCol w:w="1700"/>
        <w:gridCol w:w="4537"/>
      </w:tblGrid>
      <w:tr w:rsidR="008355F0" w:rsidTr="00E92F85">
        <w:tc>
          <w:tcPr>
            <w:tcW w:w="9361" w:type="dxa"/>
            <w:gridSpan w:val="4"/>
            <w:tcBorders>
              <w:top w:val="single" w:sz="4" w:space="0" w:color="000000"/>
              <w:bottom w:val="single" w:sz="4" w:space="0" w:color="000000"/>
            </w:tcBorders>
            <w:shd w:val="clear" w:color="auto" w:fill="C6D9F1" w:themeFill="text2" w:themeFillTint="33"/>
            <w:vAlign w:val="center"/>
          </w:tcPr>
          <w:p w:rsidR="008355F0" w:rsidRPr="00A95449" w:rsidRDefault="008355F0" w:rsidP="003867F8">
            <w:pPr>
              <w:keepNext/>
              <w:keepLines/>
              <w:tabs>
                <w:tab w:val="left" w:pos="890"/>
              </w:tabs>
              <w:spacing w:before="120" w:after="120"/>
              <w:ind w:left="890" w:hanging="890"/>
              <w:rPr>
                <w:rFonts w:cs="Arial"/>
                <w:b/>
                <w:bCs/>
                <w:sz w:val="16"/>
                <w:szCs w:val="16"/>
              </w:rPr>
            </w:pPr>
            <w:r w:rsidRPr="00774D44">
              <w:rPr>
                <w:rFonts w:cs="Arial"/>
                <w:b/>
                <w:bCs/>
                <w:color w:val="000000"/>
                <w:sz w:val="16"/>
                <w:szCs w:val="16"/>
              </w:rPr>
              <w:t>RESULT</w:t>
            </w:r>
            <w:r w:rsidRPr="002B7DE5">
              <w:rPr>
                <w:rFonts w:cs="Arial"/>
                <w:b/>
                <w:bCs/>
                <w:sz w:val="16"/>
                <w:szCs w:val="16"/>
              </w:rPr>
              <w:t>:</w:t>
            </w:r>
            <w:r w:rsidRPr="00A95449">
              <w:rPr>
                <w:rFonts w:cs="Arial"/>
                <w:b/>
                <w:bCs/>
                <w:sz w:val="16"/>
                <w:szCs w:val="16"/>
              </w:rPr>
              <w:tab/>
            </w:r>
            <w:r>
              <w:rPr>
                <w:rFonts w:cs="Arial"/>
                <w:b/>
                <w:bCs/>
                <w:sz w:val="16"/>
                <w:szCs w:val="16"/>
              </w:rPr>
              <w:tab/>
            </w:r>
            <w:r>
              <w:rPr>
                <w:rFonts w:cs="Arial"/>
                <w:b/>
                <w:bCs/>
                <w:sz w:val="16"/>
                <w:szCs w:val="16"/>
              </w:rPr>
              <w:tab/>
            </w:r>
            <w:r w:rsidRPr="000B61A2">
              <w:rPr>
                <w:rFonts w:eastAsia="MS Mincho" w:cs="Arial"/>
                <w:bCs/>
                <w:color w:val="000000"/>
                <w:sz w:val="16"/>
                <w:szCs w:val="16"/>
                <w:lang w:eastAsia="ja-JP" w:bidi="th-TH"/>
              </w:rPr>
              <w:t>V.2. Wider and better use of WIPO economic analysis in policy formulation</w:t>
            </w:r>
          </w:p>
        </w:tc>
      </w:tr>
      <w:tr w:rsidR="008355F0" w:rsidTr="00E92F85">
        <w:tc>
          <w:tcPr>
            <w:tcW w:w="1990" w:type="dxa"/>
            <w:tcBorders>
              <w:top w:val="single" w:sz="4" w:space="0" w:color="000000"/>
            </w:tcBorders>
            <w:vAlign w:val="center"/>
          </w:tcPr>
          <w:p w:rsidR="008355F0" w:rsidRDefault="008355F0" w:rsidP="003867F8">
            <w:pPr>
              <w:keepNext/>
              <w:keepLines/>
              <w:spacing w:before="60" w:after="60"/>
              <w:rPr>
                <w:rFonts w:cs="Arial"/>
                <w:b/>
                <w:bCs/>
                <w:sz w:val="16"/>
                <w:szCs w:val="16"/>
              </w:rPr>
            </w:pPr>
            <w:r>
              <w:rPr>
                <w:rFonts w:cs="Arial"/>
                <w:b/>
                <w:bCs/>
                <w:sz w:val="16"/>
                <w:szCs w:val="16"/>
              </w:rPr>
              <w:t>Activity</w:t>
            </w:r>
          </w:p>
        </w:tc>
        <w:tc>
          <w:tcPr>
            <w:tcW w:w="1134" w:type="dxa"/>
            <w:tcBorders>
              <w:top w:val="single" w:sz="4" w:space="0" w:color="000000"/>
            </w:tcBorders>
            <w:shd w:val="clear" w:color="auto" w:fill="auto"/>
            <w:tcMar>
              <w:top w:w="110" w:type="dxa"/>
            </w:tcMar>
            <w:vAlign w:val="center"/>
          </w:tcPr>
          <w:p w:rsidR="008355F0" w:rsidRDefault="008355F0" w:rsidP="003867F8">
            <w:pPr>
              <w:spacing w:before="60" w:after="60"/>
              <w:rPr>
                <w:rFonts w:cs="Arial"/>
                <w:sz w:val="16"/>
                <w:szCs w:val="16"/>
              </w:rPr>
            </w:pPr>
            <w:r>
              <w:rPr>
                <w:rFonts w:cs="Arial"/>
                <w:b/>
                <w:bCs/>
                <w:sz w:val="16"/>
                <w:szCs w:val="16"/>
              </w:rPr>
              <w:t>Date</w:t>
            </w:r>
          </w:p>
        </w:tc>
        <w:tc>
          <w:tcPr>
            <w:tcW w:w="1700" w:type="dxa"/>
            <w:tcBorders>
              <w:top w:val="single" w:sz="4" w:space="0" w:color="000000"/>
            </w:tcBorders>
            <w:shd w:val="clear" w:color="auto" w:fill="auto"/>
            <w:tcMar>
              <w:top w:w="110" w:type="dxa"/>
            </w:tcMar>
            <w:vAlign w:val="center"/>
          </w:tcPr>
          <w:p w:rsidR="008355F0" w:rsidRDefault="008355F0" w:rsidP="003867F8">
            <w:pPr>
              <w:spacing w:before="60" w:after="60"/>
              <w:rPr>
                <w:rFonts w:cs="Arial"/>
                <w:sz w:val="16"/>
                <w:szCs w:val="16"/>
              </w:rPr>
            </w:pPr>
            <w:r>
              <w:rPr>
                <w:rFonts w:cs="Arial"/>
                <w:b/>
                <w:bCs/>
                <w:sz w:val="16"/>
                <w:szCs w:val="16"/>
              </w:rPr>
              <w:t>Host Country/</w:t>
            </w:r>
            <w:r>
              <w:rPr>
                <w:rFonts w:cs="Arial"/>
                <w:b/>
                <w:bCs/>
                <w:sz w:val="16"/>
                <w:szCs w:val="16"/>
              </w:rPr>
              <w:br/>
              <w:t>Recipients</w:t>
            </w:r>
          </w:p>
        </w:tc>
        <w:tc>
          <w:tcPr>
            <w:tcW w:w="4537" w:type="dxa"/>
            <w:tcBorders>
              <w:top w:val="single" w:sz="4" w:space="0" w:color="000000"/>
            </w:tcBorders>
            <w:shd w:val="clear" w:color="auto" w:fill="FFFFFF"/>
            <w:tcMar>
              <w:top w:w="110" w:type="dxa"/>
            </w:tcMar>
            <w:vAlign w:val="center"/>
          </w:tcPr>
          <w:p w:rsidR="008355F0" w:rsidRDefault="008355F0" w:rsidP="003867F8">
            <w:pPr>
              <w:spacing w:before="60" w:after="60"/>
              <w:rPr>
                <w:rFonts w:cs="Arial"/>
                <w:sz w:val="16"/>
                <w:szCs w:val="16"/>
              </w:rPr>
            </w:pPr>
            <w:r>
              <w:rPr>
                <w:rFonts w:cs="Arial"/>
                <w:b/>
                <w:bCs/>
                <w:sz w:val="16"/>
                <w:szCs w:val="16"/>
              </w:rPr>
              <w:t>Purpose(s)/Description(s)</w:t>
            </w:r>
          </w:p>
        </w:tc>
      </w:tr>
      <w:tr w:rsidR="008355F0" w:rsidRPr="00F77251" w:rsidTr="00E92F85">
        <w:tc>
          <w:tcPr>
            <w:tcW w:w="1990" w:type="dxa"/>
          </w:tcPr>
          <w:p w:rsidR="008355F0" w:rsidRDefault="008355F0" w:rsidP="003867F8">
            <w:pPr>
              <w:autoSpaceDE w:val="0"/>
              <w:autoSpaceDN w:val="0"/>
              <w:adjustRightInd w:val="0"/>
              <w:spacing w:before="60" w:after="60"/>
              <w:rPr>
                <w:rFonts w:eastAsia="MS Mincho" w:cs="Arial"/>
                <w:color w:val="000000"/>
                <w:sz w:val="16"/>
                <w:szCs w:val="16"/>
                <w:lang w:eastAsia="ja-JP" w:bidi="th-TH"/>
              </w:rPr>
            </w:pPr>
            <w:r>
              <w:rPr>
                <w:rFonts w:eastAsia="MS Mincho" w:cs="Arial"/>
                <w:color w:val="000000"/>
                <w:sz w:val="16"/>
                <w:szCs w:val="16"/>
                <w:lang w:eastAsia="ja-JP" w:bidi="th-TH"/>
              </w:rPr>
              <w:t xml:space="preserve">Publication of the second edition of the </w:t>
            </w:r>
            <w:r w:rsidRPr="00F150B4">
              <w:rPr>
                <w:rFonts w:eastAsia="MS Mincho" w:cs="Arial"/>
                <w:i/>
                <w:color w:val="000000"/>
                <w:sz w:val="16"/>
                <w:szCs w:val="16"/>
                <w:lang w:eastAsia="ja-JP" w:bidi="th-TH"/>
              </w:rPr>
              <w:t>WIPO Guide on Surveying the Economic Contribution of the Copyright</w:t>
            </w:r>
            <w:r>
              <w:rPr>
                <w:rFonts w:eastAsia="MS Mincho" w:cs="Arial"/>
                <w:i/>
                <w:color w:val="000000"/>
                <w:sz w:val="16"/>
                <w:szCs w:val="16"/>
                <w:lang w:eastAsia="ja-JP" w:bidi="th-TH"/>
              </w:rPr>
              <w:t>-Based</w:t>
            </w:r>
            <w:r w:rsidRPr="00F150B4">
              <w:rPr>
                <w:rFonts w:eastAsia="MS Mincho" w:cs="Arial"/>
                <w:i/>
                <w:color w:val="000000"/>
                <w:sz w:val="16"/>
                <w:szCs w:val="16"/>
                <w:lang w:eastAsia="ja-JP" w:bidi="th-TH"/>
              </w:rPr>
              <w:t xml:space="preserve"> Industries</w:t>
            </w:r>
            <w:r>
              <w:rPr>
                <w:rStyle w:val="FootnoteReference"/>
                <w:rFonts w:eastAsia="MS Mincho" w:cs="Arial"/>
                <w:i/>
                <w:color w:val="000000"/>
                <w:sz w:val="16"/>
                <w:szCs w:val="16"/>
                <w:lang w:eastAsia="ja-JP" w:bidi="th-TH"/>
              </w:rPr>
              <w:footnoteReference w:id="154"/>
            </w:r>
          </w:p>
        </w:tc>
        <w:tc>
          <w:tcPr>
            <w:tcW w:w="1134" w:type="dxa"/>
          </w:tcPr>
          <w:p w:rsidR="008355F0" w:rsidRDefault="008355F0" w:rsidP="003867F8">
            <w:pPr>
              <w:autoSpaceDE w:val="0"/>
              <w:autoSpaceDN w:val="0"/>
              <w:adjustRightInd w:val="0"/>
              <w:spacing w:before="60" w:after="60"/>
              <w:rPr>
                <w:rFonts w:eastAsia="MS Mincho" w:cs="Arial"/>
                <w:color w:val="000000"/>
                <w:sz w:val="16"/>
                <w:szCs w:val="16"/>
                <w:lang w:eastAsia="ja-JP" w:bidi="th-TH"/>
              </w:rPr>
            </w:pPr>
            <w:r>
              <w:rPr>
                <w:rFonts w:eastAsia="MS Mincho" w:cs="Arial"/>
                <w:color w:val="000000"/>
                <w:sz w:val="16"/>
                <w:szCs w:val="16"/>
                <w:lang w:eastAsia="ja-JP" w:bidi="th-TH"/>
              </w:rPr>
              <w:t>March to June, 2015</w:t>
            </w:r>
          </w:p>
        </w:tc>
        <w:tc>
          <w:tcPr>
            <w:tcW w:w="1700" w:type="dxa"/>
          </w:tcPr>
          <w:p w:rsidR="008355F0" w:rsidRDefault="008355F0" w:rsidP="003867F8">
            <w:pPr>
              <w:autoSpaceDE w:val="0"/>
              <w:autoSpaceDN w:val="0"/>
              <w:adjustRightInd w:val="0"/>
              <w:spacing w:before="60" w:after="60"/>
              <w:rPr>
                <w:rFonts w:eastAsia="MS Mincho" w:cs="Arial"/>
                <w:color w:val="000000"/>
                <w:sz w:val="16"/>
                <w:szCs w:val="16"/>
                <w:lang w:eastAsia="ja-JP" w:bidi="th-TH"/>
              </w:rPr>
            </w:pPr>
            <w:r>
              <w:rPr>
                <w:rFonts w:eastAsia="MS Mincho" w:cs="Arial"/>
                <w:color w:val="000000"/>
                <w:sz w:val="16"/>
                <w:szCs w:val="16"/>
                <w:lang w:eastAsia="ja-JP" w:bidi="th-TH"/>
              </w:rPr>
              <w:t>All countries</w:t>
            </w:r>
          </w:p>
        </w:tc>
        <w:tc>
          <w:tcPr>
            <w:tcW w:w="4537" w:type="dxa"/>
          </w:tcPr>
          <w:p w:rsidR="008355F0" w:rsidRDefault="008355F0" w:rsidP="003867F8">
            <w:pPr>
              <w:autoSpaceDE w:val="0"/>
              <w:autoSpaceDN w:val="0"/>
              <w:adjustRightInd w:val="0"/>
              <w:spacing w:before="60" w:after="60"/>
              <w:rPr>
                <w:rFonts w:eastAsia="MS Mincho" w:cs="Arial"/>
                <w:color w:val="000000"/>
                <w:sz w:val="16"/>
                <w:szCs w:val="16"/>
                <w:lang w:eastAsia="ja-JP" w:bidi="th-TH"/>
              </w:rPr>
            </w:pPr>
            <w:r>
              <w:rPr>
                <w:rFonts w:eastAsia="MS Mincho" w:cs="Arial"/>
                <w:color w:val="000000"/>
                <w:sz w:val="16"/>
                <w:szCs w:val="16"/>
                <w:lang w:eastAsia="ja-JP" w:bidi="th-TH"/>
              </w:rPr>
              <w:t>To update the WIPO tool for surveying the economic contribution of the copyright-based industries.</w:t>
            </w:r>
          </w:p>
        </w:tc>
      </w:tr>
      <w:tr w:rsidR="008355F0" w:rsidRPr="00F77251" w:rsidTr="00E92F85">
        <w:tc>
          <w:tcPr>
            <w:tcW w:w="1990" w:type="dxa"/>
          </w:tcPr>
          <w:p w:rsidR="008355F0" w:rsidRPr="00F77251" w:rsidRDefault="008355F0" w:rsidP="003867F8">
            <w:pPr>
              <w:autoSpaceDE w:val="0"/>
              <w:autoSpaceDN w:val="0"/>
              <w:adjustRightInd w:val="0"/>
              <w:spacing w:before="60" w:after="60"/>
              <w:rPr>
                <w:rFonts w:eastAsia="MS Mincho" w:cs="Arial"/>
                <w:color w:val="000000"/>
                <w:sz w:val="16"/>
                <w:szCs w:val="16"/>
                <w:lang w:eastAsia="ja-JP" w:bidi="th-TH"/>
              </w:rPr>
            </w:pPr>
            <w:r>
              <w:rPr>
                <w:rFonts w:eastAsia="MS Mincho" w:cs="Arial"/>
                <w:color w:val="000000"/>
                <w:sz w:val="16"/>
                <w:szCs w:val="16"/>
                <w:lang w:eastAsia="ja-JP" w:bidi="th-TH"/>
              </w:rPr>
              <w:t>Develop guidelines to assess the economic, social and cultural impact of copyright in the creative industries</w:t>
            </w:r>
          </w:p>
        </w:tc>
        <w:tc>
          <w:tcPr>
            <w:tcW w:w="1134" w:type="dxa"/>
          </w:tcPr>
          <w:p w:rsidR="008355F0" w:rsidRPr="00F77251" w:rsidRDefault="008355F0" w:rsidP="003867F8">
            <w:pPr>
              <w:autoSpaceDE w:val="0"/>
              <w:autoSpaceDN w:val="0"/>
              <w:adjustRightInd w:val="0"/>
              <w:spacing w:before="60" w:after="60"/>
              <w:rPr>
                <w:rFonts w:eastAsia="MS Mincho" w:cs="Arial"/>
                <w:color w:val="000000"/>
                <w:sz w:val="16"/>
                <w:szCs w:val="16"/>
                <w:lang w:eastAsia="ja-JP" w:bidi="th-TH"/>
              </w:rPr>
            </w:pPr>
            <w:r>
              <w:rPr>
                <w:rFonts w:eastAsia="MS Mincho" w:cs="Arial"/>
                <w:color w:val="000000"/>
                <w:sz w:val="16"/>
                <w:szCs w:val="16"/>
                <w:lang w:eastAsia="ja-JP" w:bidi="th-TH"/>
              </w:rPr>
              <w:t>May 1 to December 31, 2015</w:t>
            </w:r>
          </w:p>
        </w:tc>
        <w:tc>
          <w:tcPr>
            <w:tcW w:w="1700" w:type="dxa"/>
          </w:tcPr>
          <w:p w:rsidR="008355F0" w:rsidRPr="00F77251" w:rsidRDefault="008355F0" w:rsidP="003867F8">
            <w:pPr>
              <w:autoSpaceDE w:val="0"/>
              <w:autoSpaceDN w:val="0"/>
              <w:adjustRightInd w:val="0"/>
              <w:spacing w:before="60" w:after="60"/>
              <w:rPr>
                <w:rFonts w:eastAsia="MS Mincho" w:cs="Arial"/>
                <w:color w:val="000000"/>
                <w:sz w:val="16"/>
                <w:szCs w:val="16"/>
                <w:lang w:eastAsia="ja-JP" w:bidi="th-TH"/>
              </w:rPr>
            </w:pPr>
            <w:r>
              <w:rPr>
                <w:rFonts w:eastAsia="MS Mincho" w:cs="Arial"/>
                <w:color w:val="000000"/>
                <w:sz w:val="16"/>
                <w:szCs w:val="16"/>
                <w:lang w:eastAsia="ja-JP" w:bidi="th-TH"/>
              </w:rPr>
              <w:t>Finland/ All countries</w:t>
            </w:r>
          </w:p>
        </w:tc>
        <w:tc>
          <w:tcPr>
            <w:tcW w:w="4537" w:type="dxa"/>
          </w:tcPr>
          <w:p w:rsidR="008355F0" w:rsidRDefault="008355F0" w:rsidP="003867F8">
            <w:pPr>
              <w:autoSpaceDE w:val="0"/>
              <w:autoSpaceDN w:val="0"/>
              <w:adjustRightInd w:val="0"/>
              <w:spacing w:before="60" w:after="60"/>
              <w:rPr>
                <w:rFonts w:eastAsia="MS Mincho" w:cs="Arial"/>
                <w:color w:val="000000"/>
                <w:sz w:val="16"/>
                <w:szCs w:val="16"/>
                <w:lang w:eastAsia="ja-JP" w:bidi="th-TH"/>
              </w:rPr>
            </w:pPr>
            <w:r>
              <w:rPr>
                <w:rFonts w:eastAsia="MS Mincho" w:cs="Arial"/>
                <w:color w:val="000000"/>
                <w:sz w:val="16"/>
                <w:szCs w:val="16"/>
                <w:lang w:eastAsia="ja-JP" w:bidi="th-TH"/>
              </w:rPr>
              <w:t xml:space="preserve">To pilot a project on testing and finalizing the WIPO tool for analyzing broader copyright impact </w:t>
            </w:r>
          </w:p>
          <w:p w:rsidR="008355F0" w:rsidRPr="00660313" w:rsidRDefault="008355F0" w:rsidP="003867F8">
            <w:pPr>
              <w:autoSpaceDE w:val="0"/>
              <w:autoSpaceDN w:val="0"/>
              <w:adjustRightInd w:val="0"/>
              <w:spacing w:before="60" w:after="60"/>
              <w:rPr>
                <w:rFonts w:eastAsia="MS Mincho" w:cs="Arial"/>
                <w:color w:val="000000"/>
                <w:sz w:val="16"/>
                <w:szCs w:val="16"/>
                <w:lang w:eastAsia="ja-JP" w:bidi="th-TH"/>
              </w:rPr>
            </w:pPr>
          </w:p>
        </w:tc>
      </w:tr>
      <w:tr w:rsidR="008355F0" w:rsidRPr="00F77251" w:rsidTr="00E92F85">
        <w:tc>
          <w:tcPr>
            <w:tcW w:w="1990" w:type="dxa"/>
          </w:tcPr>
          <w:p w:rsidR="008355F0" w:rsidRPr="00F77251" w:rsidRDefault="008355F0" w:rsidP="003867F8">
            <w:pPr>
              <w:autoSpaceDE w:val="0"/>
              <w:autoSpaceDN w:val="0"/>
              <w:adjustRightInd w:val="0"/>
              <w:spacing w:before="60" w:after="60"/>
              <w:rPr>
                <w:rFonts w:eastAsia="MS Mincho" w:cs="Arial"/>
                <w:color w:val="000000"/>
                <w:sz w:val="16"/>
                <w:szCs w:val="16"/>
                <w:lang w:eastAsia="ja-JP" w:bidi="th-TH"/>
              </w:rPr>
            </w:pPr>
            <w:r>
              <w:rPr>
                <w:rFonts w:eastAsia="MS Mincho" w:cs="Arial"/>
                <w:color w:val="000000"/>
                <w:sz w:val="16"/>
                <w:szCs w:val="16"/>
                <w:lang w:eastAsia="ja-JP" w:bidi="th-TH"/>
              </w:rPr>
              <w:t>Studies on the economic contribution of copyright industries and on assessing copyright piracy</w:t>
            </w:r>
          </w:p>
        </w:tc>
        <w:tc>
          <w:tcPr>
            <w:tcW w:w="1134" w:type="dxa"/>
          </w:tcPr>
          <w:p w:rsidR="008355F0" w:rsidRPr="00F77251" w:rsidRDefault="008355F0" w:rsidP="003867F8">
            <w:pPr>
              <w:autoSpaceDE w:val="0"/>
              <w:autoSpaceDN w:val="0"/>
              <w:adjustRightInd w:val="0"/>
              <w:spacing w:before="60" w:after="60"/>
              <w:rPr>
                <w:rFonts w:eastAsia="MS Mincho" w:cs="Arial"/>
                <w:color w:val="000000"/>
                <w:sz w:val="16"/>
                <w:szCs w:val="16"/>
                <w:lang w:eastAsia="ja-JP" w:bidi="th-TH"/>
              </w:rPr>
            </w:pPr>
            <w:r>
              <w:rPr>
                <w:rFonts w:eastAsia="MS Mincho" w:cs="Arial"/>
                <w:color w:val="000000"/>
                <w:sz w:val="16"/>
                <w:szCs w:val="16"/>
                <w:lang w:eastAsia="ja-JP" w:bidi="th-TH"/>
              </w:rPr>
              <w:t>January to May, 2015</w:t>
            </w:r>
          </w:p>
        </w:tc>
        <w:tc>
          <w:tcPr>
            <w:tcW w:w="1700" w:type="dxa"/>
          </w:tcPr>
          <w:p w:rsidR="008355F0" w:rsidRPr="00F77251" w:rsidRDefault="008355F0" w:rsidP="003867F8">
            <w:pPr>
              <w:autoSpaceDE w:val="0"/>
              <w:autoSpaceDN w:val="0"/>
              <w:adjustRightInd w:val="0"/>
              <w:spacing w:before="60" w:after="60"/>
              <w:rPr>
                <w:rFonts w:eastAsia="MS Mincho" w:cs="Arial"/>
                <w:color w:val="000000"/>
                <w:sz w:val="16"/>
                <w:szCs w:val="16"/>
                <w:lang w:eastAsia="ja-JP" w:bidi="th-TH"/>
              </w:rPr>
            </w:pPr>
            <w:r>
              <w:rPr>
                <w:rFonts w:eastAsia="MS Mincho" w:cs="Arial"/>
                <w:color w:val="000000"/>
                <w:sz w:val="16"/>
                <w:szCs w:val="16"/>
                <w:lang w:eastAsia="ja-JP" w:bidi="th-TH"/>
              </w:rPr>
              <w:t xml:space="preserve">Ethiopia, Republic of Moldova </w:t>
            </w:r>
          </w:p>
        </w:tc>
        <w:tc>
          <w:tcPr>
            <w:tcW w:w="4537" w:type="dxa"/>
          </w:tcPr>
          <w:p w:rsidR="008355F0" w:rsidRDefault="008355F0" w:rsidP="003867F8">
            <w:pPr>
              <w:autoSpaceDE w:val="0"/>
              <w:autoSpaceDN w:val="0"/>
              <w:adjustRightInd w:val="0"/>
              <w:spacing w:before="60" w:after="60"/>
              <w:rPr>
                <w:rFonts w:eastAsia="MS Mincho" w:cs="Arial"/>
                <w:color w:val="000000"/>
                <w:sz w:val="16"/>
                <w:szCs w:val="16"/>
                <w:lang w:eastAsia="ja-JP" w:bidi="th-TH"/>
              </w:rPr>
            </w:pPr>
            <w:r>
              <w:rPr>
                <w:rFonts w:eastAsia="MS Mincho" w:cs="Arial"/>
                <w:color w:val="000000"/>
                <w:sz w:val="16"/>
                <w:szCs w:val="16"/>
                <w:lang w:eastAsia="ja-JP" w:bidi="th-TH"/>
              </w:rPr>
              <w:t>Finalized for publication two additional WIPO studies on the economic contribution of the copyright industries (Ethiopia and Republic of Moldova).</w:t>
            </w:r>
          </w:p>
          <w:p w:rsidR="008355F0" w:rsidRPr="00660313" w:rsidRDefault="008355F0" w:rsidP="003867F8">
            <w:pPr>
              <w:autoSpaceDE w:val="0"/>
              <w:autoSpaceDN w:val="0"/>
              <w:adjustRightInd w:val="0"/>
              <w:spacing w:before="60" w:after="60"/>
              <w:rPr>
                <w:rFonts w:eastAsia="MS Mincho" w:cs="Arial"/>
                <w:color w:val="000000"/>
                <w:sz w:val="16"/>
                <w:szCs w:val="16"/>
                <w:lang w:eastAsia="ja-JP" w:bidi="th-TH"/>
              </w:rPr>
            </w:pPr>
          </w:p>
        </w:tc>
      </w:tr>
    </w:tbl>
    <w:p w:rsidR="008355F0" w:rsidRDefault="008355F0"/>
    <w:p w:rsidR="008355F0" w:rsidRDefault="008355F0" w:rsidP="003867F8">
      <w:pPr>
        <w:rPr>
          <w:rFonts w:cs="Arial"/>
          <w:b/>
          <w:szCs w:val="20"/>
        </w:rPr>
      </w:pPr>
    </w:p>
    <w:p w:rsidR="008355F0" w:rsidRPr="000E01C3" w:rsidRDefault="008355F0" w:rsidP="003867F8">
      <w:pPr>
        <w:rPr>
          <w:rFonts w:cs="Arial"/>
          <w:b/>
          <w:bCs/>
          <w:color w:val="000000"/>
          <w:szCs w:val="20"/>
        </w:rPr>
      </w:pPr>
      <w:r>
        <w:rPr>
          <w:rFonts w:cs="Arial"/>
          <w:b/>
          <w:szCs w:val="20"/>
        </w:rPr>
        <w:t xml:space="preserve">FINLAND/ COPYRIGHT </w:t>
      </w:r>
      <w:r w:rsidRPr="000E01C3">
        <w:rPr>
          <w:rFonts w:cs="Arial"/>
          <w:b/>
          <w:bCs/>
          <w:color w:val="000000"/>
          <w:szCs w:val="20"/>
        </w:rPr>
        <w:t>Donor Contributions and Expenditure in 2015</w:t>
      </w:r>
    </w:p>
    <w:p w:rsidR="008355F0" w:rsidRDefault="008355F0" w:rsidP="003867F8"/>
    <w:tbl>
      <w:tblPr>
        <w:tblW w:w="9366" w:type="dxa"/>
        <w:tblInd w:w="98" w:type="dxa"/>
        <w:tblLook w:val="04A0" w:firstRow="1" w:lastRow="0" w:firstColumn="1" w:lastColumn="0" w:noHBand="0" w:noVBand="1"/>
      </w:tblPr>
      <w:tblGrid>
        <w:gridCol w:w="2040"/>
        <w:gridCol w:w="1640"/>
        <w:gridCol w:w="1860"/>
        <w:gridCol w:w="1780"/>
        <w:gridCol w:w="2046"/>
      </w:tblGrid>
      <w:tr w:rsidR="008355F0" w:rsidRPr="000E01C3" w:rsidTr="00E92F85">
        <w:trPr>
          <w:trHeight w:val="450"/>
        </w:trPr>
        <w:tc>
          <w:tcPr>
            <w:tcW w:w="2040" w:type="dxa"/>
            <w:tcBorders>
              <w:top w:val="single" w:sz="8" w:space="0" w:color="auto"/>
              <w:left w:val="single" w:sz="8" w:space="0" w:color="auto"/>
              <w:bottom w:val="nil"/>
              <w:right w:val="single" w:sz="8" w:space="0" w:color="auto"/>
            </w:tcBorders>
            <w:shd w:val="clear" w:color="000000" w:fill="C5D9F1"/>
            <w:vAlign w:val="center"/>
            <w:hideMark/>
          </w:tcPr>
          <w:p w:rsidR="008355F0" w:rsidRPr="000E01C3" w:rsidRDefault="008355F0" w:rsidP="003867F8">
            <w:pPr>
              <w:jc w:val="center"/>
              <w:rPr>
                <w:rFonts w:cs="Arial"/>
                <w:b/>
                <w:bCs/>
                <w:color w:val="000000"/>
                <w:sz w:val="16"/>
                <w:szCs w:val="16"/>
              </w:rPr>
            </w:pPr>
            <w:r w:rsidRPr="000E01C3">
              <w:rPr>
                <w:rFonts w:cs="Arial"/>
                <w:b/>
                <w:bCs/>
                <w:color w:val="000000"/>
                <w:sz w:val="16"/>
                <w:szCs w:val="16"/>
              </w:rPr>
              <w:t>Balance as of December 31, 2014</w:t>
            </w:r>
          </w:p>
        </w:tc>
        <w:tc>
          <w:tcPr>
            <w:tcW w:w="1640" w:type="dxa"/>
            <w:tcBorders>
              <w:top w:val="single" w:sz="8" w:space="0" w:color="auto"/>
              <w:left w:val="nil"/>
              <w:bottom w:val="nil"/>
              <w:right w:val="single" w:sz="8" w:space="0" w:color="auto"/>
            </w:tcBorders>
            <w:shd w:val="clear" w:color="000000" w:fill="C5D9F1"/>
            <w:vAlign w:val="center"/>
            <w:hideMark/>
          </w:tcPr>
          <w:p w:rsidR="008355F0" w:rsidRPr="000E01C3" w:rsidRDefault="008355F0" w:rsidP="003867F8">
            <w:pPr>
              <w:jc w:val="center"/>
              <w:rPr>
                <w:rFonts w:cs="Arial"/>
                <w:b/>
                <w:bCs/>
                <w:color w:val="000000"/>
                <w:sz w:val="16"/>
                <w:szCs w:val="16"/>
              </w:rPr>
            </w:pPr>
            <w:r w:rsidRPr="000E01C3">
              <w:rPr>
                <w:rFonts w:cs="Arial"/>
                <w:b/>
                <w:bCs/>
                <w:color w:val="000000"/>
                <w:sz w:val="16"/>
                <w:szCs w:val="16"/>
              </w:rPr>
              <w:t>Income 2015</w:t>
            </w:r>
          </w:p>
        </w:tc>
        <w:tc>
          <w:tcPr>
            <w:tcW w:w="1860" w:type="dxa"/>
            <w:tcBorders>
              <w:top w:val="single" w:sz="8" w:space="0" w:color="auto"/>
              <w:left w:val="nil"/>
              <w:bottom w:val="nil"/>
              <w:right w:val="single" w:sz="8" w:space="0" w:color="auto"/>
            </w:tcBorders>
            <w:shd w:val="clear" w:color="000000" w:fill="C5D9F1"/>
            <w:vAlign w:val="center"/>
            <w:hideMark/>
          </w:tcPr>
          <w:p w:rsidR="008355F0" w:rsidRPr="000E01C3" w:rsidRDefault="008355F0" w:rsidP="003867F8">
            <w:pPr>
              <w:jc w:val="center"/>
              <w:rPr>
                <w:rFonts w:cs="Arial"/>
                <w:b/>
                <w:bCs/>
                <w:color w:val="000000"/>
                <w:sz w:val="16"/>
                <w:szCs w:val="16"/>
              </w:rPr>
            </w:pPr>
            <w:r w:rsidRPr="000E01C3">
              <w:rPr>
                <w:rFonts w:cs="Arial"/>
                <w:b/>
                <w:bCs/>
                <w:color w:val="000000"/>
                <w:sz w:val="16"/>
                <w:szCs w:val="16"/>
              </w:rPr>
              <w:t>Expenditure 2015</w:t>
            </w:r>
          </w:p>
        </w:tc>
        <w:tc>
          <w:tcPr>
            <w:tcW w:w="1780" w:type="dxa"/>
            <w:tcBorders>
              <w:top w:val="single" w:sz="8" w:space="0" w:color="auto"/>
              <w:left w:val="nil"/>
              <w:bottom w:val="nil"/>
              <w:right w:val="single" w:sz="8" w:space="0" w:color="auto"/>
            </w:tcBorders>
            <w:shd w:val="clear" w:color="000000" w:fill="C5D9F1"/>
            <w:vAlign w:val="center"/>
            <w:hideMark/>
          </w:tcPr>
          <w:p w:rsidR="008355F0" w:rsidRPr="000E01C3" w:rsidRDefault="008355F0" w:rsidP="003867F8">
            <w:pPr>
              <w:jc w:val="center"/>
              <w:rPr>
                <w:rFonts w:cs="Arial"/>
                <w:b/>
                <w:bCs/>
                <w:color w:val="000000"/>
                <w:sz w:val="16"/>
                <w:szCs w:val="16"/>
              </w:rPr>
            </w:pPr>
            <w:r w:rsidRPr="000E01C3">
              <w:rPr>
                <w:rFonts w:cs="Arial"/>
                <w:b/>
                <w:bCs/>
                <w:color w:val="000000"/>
                <w:sz w:val="16"/>
                <w:szCs w:val="16"/>
              </w:rPr>
              <w:t>Reimbursements</w:t>
            </w:r>
          </w:p>
        </w:tc>
        <w:tc>
          <w:tcPr>
            <w:tcW w:w="2046" w:type="dxa"/>
            <w:tcBorders>
              <w:top w:val="single" w:sz="8" w:space="0" w:color="auto"/>
              <w:left w:val="nil"/>
              <w:bottom w:val="nil"/>
              <w:right w:val="single" w:sz="8" w:space="0" w:color="auto"/>
            </w:tcBorders>
            <w:shd w:val="clear" w:color="000000" w:fill="C5D9F1"/>
            <w:vAlign w:val="center"/>
            <w:hideMark/>
          </w:tcPr>
          <w:p w:rsidR="008355F0" w:rsidRPr="000E01C3" w:rsidRDefault="008355F0" w:rsidP="003867F8">
            <w:pPr>
              <w:jc w:val="center"/>
              <w:rPr>
                <w:rFonts w:cs="Arial"/>
                <w:b/>
                <w:bCs/>
                <w:color w:val="000000"/>
                <w:sz w:val="16"/>
                <w:szCs w:val="16"/>
              </w:rPr>
            </w:pPr>
            <w:r>
              <w:rPr>
                <w:rFonts w:cs="Arial"/>
                <w:b/>
                <w:bCs/>
                <w:color w:val="000000"/>
                <w:sz w:val="16"/>
                <w:szCs w:val="16"/>
              </w:rPr>
              <w:t>Balance as of December </w:t>
            </w:r>
            <w:r w:rsidRPr="000E01C3">
              <w:rPr>
                <w:rFonts w:cs="Arial"/>
                <w:b/>
                <w:bCs/>
                <w:color w:val="000000"/>
                <w:sz w:val="16"/>
                <w:szCs w:val="16"/>
              </w:rPr>
              <w:t>31, 2015</w:t>
            </w:r>
          </w:p>
        </w:tc>
      </w:tr>
      <w:tr w:rsidR="008355F0" w:rsidRPr="000E01C3" w:rsidTr="00E92F85">
        <w:trPr>
          <w:trHeight w:val="255"/>
        </w:trPr>
        <w:tc>
          <w:tcPr>
            <w:tcW w:w="20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55F0" w:rsidRPr="000E01C3" w:rsidRDefault="008355F0" w:rsidP="003867F8">
            <w:pPr>
              <w:jc w:val="center"/>
              <w:rPr>
                <w:rFonts w:cs="Arial"/>
                <w:color w:val="000000"/>
                <w:sz w:val="16"/>
                <w:szCs w:val="16"/>
              </w:rPr>
            </w:pPr>
            <w:r w:rsidRPr="000E01C3">
              <w:rPr>
                <w:rFonts w:cs="Arial"/>
                <w:color w:val="000000"/>
                <w:sz w:val="16"/>
                <w:szCs w:val="16"/>
              </w:rPr>
              <w:t>66,020</w:t>
            </w:r>
          </w:p>
        </w:tc>
        <w:tc>
          <w:tcPr>
            <w:tcW w:w="1640" w:type="dxa"/>
            <w:tcBorders>
              <w:top w:val="single" w:sz="4" w:space="0" w:color="auto"/>
              <w:left w:val="nil"/>
              <w:bottom w:val="single" w:sz="4" w:space="0" w:color="auto"/>
              <w:right w:val="single" w:sz="4" w:space="0" w:color="auto"/>
            </w:tcBorders>
            <w:shd w:val="clear" w:color="auto" w:fill="auto"/>
            <w:vAlign w:val="center"/>
            <w:hideMark/>
          </w:tcPr>
          <w:p w:rsidR="008355F0" w:rsidRPr="000E01C3" w:rsidRDefault="008355F0" w:rsidP="003867F8">
            <w:pPr>
              <w:jc w:val="center"/>
              <w:rPr>
                <w:rFonts w:cs="Arial"/>
                <w:color w:val="000000"/>
                <w:sz w:val="16"/>
                <w:szCs w:val="16"/>
              </w:rPr>
            </w:pPr>
            <w:r>
              <w:rPr>
                <w:rFonts w:cs="Arial"/>
                <w:color w:val="000000"/>
                <w:sz w:val="16"/>
                <w:szCs w:val="16"/>
              </w:rPr>
              <w:t>-</w:t>
            </w:r>
          </w:p>
        </w:tc>
        <w:tc>
          <w:tcPr>
            <w:tcW w:w="1860" w:type="dxa"/>
            <w:tcBorders>
              <w:top w:val="single" w:sz="4" w:space="0" w:color="auto"/>
              <w:left w:val="nil"/>
              <w:bottom w:val="single" w:sz="4" w:space="0" w:color="auto"/>
              <w:right w:val="single" w:sz="4" w:space="0" w:color="auto"/>
            </w:tcBorders>
            <w:shd w:val="clear" w:color="auto" w:fill="auto"/>
            <w:vAlign w:val="center"/>
            <w:hideMark/>
          </w:tcPr>
          <w:p w:rsidR="008355F0" w:rsidRPr="000E01C3" w:rsidRDefault="008355F0" w:rsidP="003867F8">
            <w:pPr>
              <w:jc w:val="center"/>
              <w:rPr>
                <w:rFonts w:cs="Arial"/>
                <w:color w:val="000000"/>
                <w:sz w:val="16"/>
                <w:szCs w:val="16"/>
              </w:rPr>
            </w:pPr>
            <w:r w:rsidRPr="000E01C3">
              <w:rPr>
                <w:rFonts w:cs="Arial"/>
                <w:color w:val="000000"/>
                <w:sz w:val="16"/>
                <w:szCs w:val="16"/>
              </w:rPr>
              <w:t>51,660</w:t>
            </w:r>
          </w:p>
        </w:tc>
        <w:tc>
          <w:tcPr>
            <w:tcW w:w="1780" w:type="dxa"/>
            <w:tcBorders>
              <w:top w:val="single" w:sz="4" w:space="0" w:color="auto"/>
              <w:left w:val="nil"/>
              <w:bottom w:val="single" w:sz="4" w:space="0" w:color="auto"/>
              <w:right w:val="single" w:sz="4" w:space="0" w:color="auto"/>
            </w:tcBorders>
            <w:shd w:val="clear" w:color="auto" w:fill="auto"/>
            <w:noWrap/>
            <w:vAlign w:val="center"/>
            <w:hideMark/>
          </w:tcPr>
          <w:p w:rsidR="008355F0" w:rsidRPr="00E72F73" w:rsidRDefault="008355F0" w:rsidP="003867F8">
            <w:pPr>
              <w:jc w:val="center"/>
              <w:rPr>
                <w:rFonts w:cs="Arial"/>
                <w:color w:val="000000"/>
                <w:sz w:val="16"/>
                <w:szCs w:val="16"/>
              </w:rPr>
            </w:pPr>
            <w:r>
              <w:rPr>
                <w:rFonts w:cs="Arial"/>
                <w:color w:val="000000"/>
                <w:sz w:val="16"/>
                <w:szCs w:val="16"/>
              </w:rPr>
              <w:t>-</w:t>
            </w:r>
          </w:p>
        </w:tc>
        <w:tc>
          <w:tcPr>
            <w:tcW w:w="2046" w:type="dxa"/>
            <w:tcBorders>
              <w:top w:val="single" w:sz="4" w:space="0" w:color="auto"/>
              <w:left w:val="nil"/>
              <w:bottom w:val="single" w:sz="4" w:space="0" w:color="auto"/>
              <w:right w:val="single" w:sz="4" w:space="0" w:color="auto"/>
            </w:tcBorders>
            <w:shd w:val="clear" w:color="auto" w:fill="auto"/>
            <w:vAlign w:val="center"/>
            <w:hideMark/>
          </w:tcPr>
          <w:p w:rsidR="008355F0" w:rsidRPr="000E01C3" w:rsidRDefault="008355F0" w:rsidP="003867F8">
            <w:pPr>
              <w:jc w:val="center"/>
              <w:rPr>
                <w:rFonts w:cs="Arial"/>
                <w:color w:val="000000"/>
                <w:sz w:val="16"/>
                <w:szCs w:val="16"/>
              </w:rPr>
            </w:pPr>
            <w:r w:rsidRPr="000E01C3">
              <w:rPr>
                <w:rFonts w:cs="Arial"/>
                <w:color w:val="000000"/>
                <w:sz w:val="16"/>
                <w:szCs w:val="16"/>
              </w:rPr>
              <w:t>14,360</w:t>
            </w:r>
          </w:p>
        </w:tc>
      </w:tr>
    </w:tbl>
    <w:p w:rsidR="008355F0" w:rsidRDefault="008355F0"/>
    <w:p w:rsidR="008355F0" w:rsidRDefault="008355F0" w:rsidP="003867F8">
      <w:pPr>
        <w:rPr>
          <w:rFonts w:cs="Arial"/>
          <w:b/>
          <w:szCs w:val="20"/>
        </w:rPr>
      </w:pPr>
    </w:p>
    <w:p w:rsidR="008355F0" w:rsidRPr="00433F28" w:rsidRDefault="008355F0" w:rsidP="003867F8">
      <w:pPr>
        <w:keepNext/>
        <w:keepLines/>
        <w:rPr>
          <w:rFonts w:cs="Arial"/>
          <w:b/>
          <w:szCs w:val="16"/>
        </w:rPr>
      </w:pPr>
      <w:r w:rsidRPr="00433F28">
        <w:rPr>
          <w:rFonts w:cs="Arial"/>
          <w:b/>
          <w:szCs w:val="16"/>
        </w:rPr>
        <w:t>FRANCE/ INDUSTRIAL PROPERTY</w:t>
      </w:r>
    </w:p>
    <w:p w:rsidR="008355F0" w:rsidRPr="002E1564" w:rsidRDefault="008355F0" w:rsidP="003867F8">
      <w:pPr>
        <w:keepNext/>
        <w:keepLines/>
        <w:rPr>
          <w:rFonts w:cs="Arial"/>
          <w:b/>
          <w:szCs w:val="16"/>
        </w:rPr>
      </w:pPr>
    </w:p>
    <w:tbl>
      <w:tblPr>
        <w:tblW w:w="9356"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980"/>
        <w:gridCol w:w="1260"/>
        <w:gridCol w:w="1530"/>
        <w:gridCol w:w="4586"/>
      </w:tblGrid>
      <w:tr w:rsidR="008355F0" w:rsidRPr="00433F28" w:rsidTr="00E92F85">
        <w:tc>
          <w:tcPr>
            <w:tcW w:w="9356" w:type="dxa"/>
            <w:gridSpan w:val="4"/>
            <w:tcBorders>
              <w:top w:val="single" w:sz="4" w:space="0" w:color="auto"/>
              <w:bottom w:val="single" w:sz="4" w:space="0" w:color="auto"/>
            </w:tcBorders>
            <w:shd w:val="clear" w:color="auto" w:fill="C6D9F1" w:themeFill="text2" w:themeFillTint="33"/>
            <w:vAlign w:val="center"/>
          </w:tcPr>
          <w:p w:rsidR="008355F0" w:rsidRPr="00433F28" w:rsidRDefault="008355F0" w:rsidP="003867F8">
            <w:pPr>
              <w:keepNext/>
              <w:keepLines/>
              <w:tabs>
                <w:tab w:val="left" w:pos="1740"/>
              </w:tabs>
              <w:spacing w:before="120" w:after="60"/>
              <w:ind w:left="1741" w:hanging="1741"/>
              <w:rPr>
                <w:rFonts w:cs="Arial"/>
                <w:b/>
                <w:bCs/>
                <w:sz w:val="16"/>
                <w:szCs w:val="16"/>
              </w:rPr>
            </w:pPr>
            <w:r w:rsidRPr="00433F28">
              <w:rPr>
                <w:rFonts w:cs="Arial"/>
                <w:b/>
                <w:bCs/>
                <w:color w:val="000000"/>
                <w:sz w:val="16"/>
                <w:szCs w:val="16"/>
              </w:rPr>
              <w:t>RESULT</w:t>
            </w:r>
            <w:r w:rsidRPr="00433F28">
              <w:rPr>
                <w:rFonts w:cs="Arial"/>
                <w:b/>
                <w:bCs/>
                <w:sz w:val="16"/>
                <w:szCs w:val="16"/>
              </w:rPr>
              <w:t>:</w:t>
            </w:r>
            <w:r w:rsidRPr="00433F28">
              <w:rPr>
                <w:rFonts w:cs="Arial"/>
                <w:b/>
                <w:bCs/>
                <w:sz w:val="16"/>
                <w:szCs w:val="16"/>
              </w:rPr>
              <w:tab/>
            </w:r>
            <w:r w:rsidRPr="00433F28">
              <w:rPr>
                <w:rFonts w:eastAsia="MS Mincho" w:cs="Arial"/>
                <w:bCs/>
                <w:color w:val="000000"/>
                <w:sz w:val="16"/>
                <w:szCs w:val="16"/>
                <w:lang w:eastAsia="ja-JP" w:bidi="th-TH"/>
              </w:rPr>
              <w:t>III.2. Enhanced human resource capacities able to deal with the broad range of requirements for the effective use of IP for development in developing countries, LDCs and countries with economies in transition</w:t>
            </w:r>
          </w:p>
        </w:tc>
      </w:tr>
      <w:tr w:rsidR="008355F0" w:rsidRPr="00433F28" w:rsidTr="00E92F85">
        <w:tc>
          <w:tcPr>
            <w:tcW w:w="1980" w:type="dxa"/>
            <w:tcBorders>
              <w:top w:val="single" w:sz="4" w:space="0" w:color="auto"/>
            </w:tcBorders>
            <w:vAlign w:val="center"/>
          </w:tcPr>
          <w:p w:rsidR="008355F0" w:rsidRPr="00433F28" w:rsidRDefault="008355F0" w:rsidP="003867F8">
            <w:pPr>
              <w:keepNext/>
              <w:keepLines/>
              <w:spacing w:before="60" w:after="60"/>
              <w:rPr>
                <w:rFonts w:cs="Arial"/>
                <w:b/>
                <w:bCs/>
                <w:sz w:val="16"/>
                <w:szCs w:val="16"/>
              </w:rPr>
            </w:pPr>
            <w:r w:rsidRPr="00433F28">
              <w:rPr>
                <w:rFonts w:cs="Arial"/>
                <w:b/>
                <w:bCs/>
                <w:sz w:val="16"/>
                <w:szCs w:val="16"/>
              </w:rPr>
              <w:t>Activity</w:t>
            </w:r>
          </w:p>
        </w:tc>
        <w:tc>
          <w:tcPr>
            <w:tcW w:w="1260" w:type="dxa"/>
            <w:tcBorders>
              <w:top w:val="single" w:sz="4" w:space="0" w:color="auto"/>
            </w:tcBorders>
            <w:shd w:val="clear" w:color="auto" w:fill="auto"/>
            <w:tcMar>
              <w:top w:w="110" w:type="dxa"/>
            </w:tcMar>
            <w:vAlign w:val="center"/>
          </w:tcPr>
          <w:p w:rsidR="008355F0" w:rsidRPr="00433F28" w:rsidRDefault="008355F0" w:rsidP="003867F8">
            <w:pPr>
              <w:spacing w:before="60" w:after="60"/>
              <w:rPr>
                <w:rFonts w:cs="Arial"/>
                <w:sz w:val="16"/>
                <w:szCs w:val="16"/>
              </w:rPr>
            </w:pPr>
            <w:r w:rsidRPr="00433F28">
              <w:rPr>
                <w:rFonts w:cs="Arial"/>
                <w:b/>
                <w:bCs/>
                <w:sz w:val="16"/>
                <w:szCs w:val="16"/>
              </w:rPr>
              <w:t>Date</w:t>
            </w:r>
          </w:p>
        </w:tc>
        <w:tc>
          <w:tcPr>
            <w:tcW w:w="1530" w:type="dxa"/>
            <w:tcBorders>
              <w:top w:val="single" w:sz="4" w:space="0" w:color="auto"/>
            </w:tcBorders>
            <w:shd w:val="clear" w:color="auto" w:fill="auto"/>
            <w:tcMar>
              <w:top w:w="110" w:type="dxa"/>
            </w:tcMar>
            <w:vAlign w:val="center"/>
          </w:tcPr>
          <w:p w:rsidR="008355F0" w:rsidRPr="00433F28" w:rsidRDefault="008355F0" w:rsidP="003867F8">
            <w:pPr>
              <w:spacing w:before="60" w:after="60"/>
              <w:rPr>
                <w:rFonts w:cs="Arial"/>
                <w:sz w:val="16"/>
                <w:szCs w:val="16"/>
              </w:rPr>
            </w:pPr>
            <w:r w:rsidRPr="00433F28">
              <w:rPr>
                <w:rFonts w:cs="Arial"/>
                <w:b/>
                <w:bCs/>
                <w:sz w:val="16"/>
                <w:szCs w:val="16"/>
              </w:rPr>
              <w:t>Host Country/</w:t>
            </w:r>
            <w:r w:rsidRPr="00433F28">
              <w:rPr>
                <w:rFonts w:cs="Arial"/>
                <w:b/>
                <w:bCs/>
                <w:sz w:val="16"/>
                <w:szCs w:val="16"/>
              </w:rPr>
              <w:br/>
              <w:t>Recipients</w:t>
            </w:r>
          </w:p>
        </w:tc>
        <w:tc>
          <w:tcPr>
            <w:tcW w:w="4586" w:type="dxa"/>
            <w:tcBorders>
              <w:top w:val="single" w:sz="4" w:space="0" w:color="auto"/>
            </w:tcBorders>
            <w:shd w:val="clear" w:color="auto" w:fill="FFFFFF"/>
            <w:tcMar>
              <w:top w:w="110" w:type="dxa"/>
            </w:tcMar>
            <w:vAlign w:val="center"/>
          </w:tcPr>
          <w:p w:rsidR="008355F0" w:rsidRPr="00433F28" w:rsidRDefault="008355F0" w:rsidP="003867F8">
            <w:pPr>
              <w:spacing w:before="60" w:after="60"/>
              <w:rPr>
                <w:rFonts w:cs="Arial"/>
                <w:sz w:val="16"/>
                <w:szCs w:val="16"/>
              </w:rPr>
            </w:pPr>
            <w:r w:rsidRPr="00433F28">
              <w:rPr>
                <w:rFonts w:cs="Arial"/>
                <w:b/>
                <w:bCs/>
                <w:sz w:val="16"/>
                <w:szCs w:val="16"/>
              </w:rPr>
              <w:t>Purpose(s)/Description(s)</w:t>
            </w:r>
          </w:p>
        </w:tc>
      </w:tr>
      <w:tr w:rsidR="008355F0" w:rsidRPr="00433F28" w:rsidTr="00E92F85">
        <w:tc>
          <w:tcPr>
            <w:tcW w:w="1980" w:type="dxa"/>
          </w:tcPr>
          <w:p w:rsidR="008355F0" w:rsidRPr="00433F28" w:rsidRDefault="008355F0" w:rsidP="003867F8">
            <w:pPr>
              <w:autoSpaceDE w:val="0"/>
              <w:autoSpaceDN w:val="0"/>
              <w:adjustRightInd w:val="0"/>
              <w:spacing w:before="60" w:after="60"/>
              <w:rPr>
                <w:rFonts w:eastAsia="MS Mincho" w:cs="Arial"/>
                <w:color w:val="000000"/>
                <w:sz w:val="16"/>
                <w:szCs w:val="16"/>
                <w:lang w:eastAsia="ja-JP" w:bidi="th-TH"/>
              </w:rPr>
            </w:pPr>
            <w:r w:rsidRPr="00433F28">
              <w:rPr>
                <w:rFonts w:eastAsia="MS Mincho" w:cs="Arial"/>
                <w:color w:val="000000"/>
                <w:sz w:val="16"/>
                <w:szCs w:val="16"/>
                <w:lang w:eastAsia="ja-JP" w:bidi="th-TH"/>
              </w:rPr>
              <w:t xml:space="preserve">Regional Workshop: </w:t>
            </w:r>
            <w:r>
              <w:rPr>
                <w:rFonts w:eastAsia="MS Mincho" w:cs="Arial"/>
                <w:color w:val="000000"/>
                <w:sz w:val="16"/>
                <w:szCs w:val="16"/>
                <w:lang w:eastAsia="ja-JP" w:bidi="th-TH"/>
              </w:rPr>
              <w:t xml:space="preserve"> </w:t>
            </w:r>
            <w:r w:rsidRPr="00433F28">
              <w:rPr>
                <w:rFonts w:eastAsia="MS Mincho" w:cs="Arial"/>
                <w:color w:val="000000"/>
                <w:sz w:val="16"/>
                <w:szCs w:val="16"/>
                <w:lang w:eastAsia="ja-JP" w:bidi="th-TH"/>
              </w:rPr>
              <w:t xml:space="preserve">"Innovating through </w:t>
            </w:r>
            <w:r>
              <w:rPr>
                <w:rFonts w:eastAsia="MS Mincho" w:cs="Arial"/>
                <w:color w:val="000000"/>
                <w:sz w:val="16"/>
                <w:szCs w:val="16"/>
                <w:lang w:eastAsia="ja-JP" w:bidi="th-TH"/>
              </w:rPr>
              <w:t>P</w:t>
            </w:r>
            <w:r w:rsidRPr="00433F28">
              <w:rPr>
                <w:rFonts w:eastAsia="MS Mincho" w:cs="Arial"/>
                <w:color w:val="000000"/>
                <w:sz w:val="16"/>
                <w:szCs w:val="16"/>
                <w:lang w:eastAsia="ja-JP" w:bidi="th-TH"/>
              </w:rPr>
              <w:t>atents"</w:t>
            </w:r>
          </w:p>
          <w:p w:rsidR="008355F0" w:rsidRPr="00433F28" w:rsidRDefault="008355F0" w:rsidP="003867F8">
            <w:pPr>
              <w:autoSpaceDE w:val="0"/>
              <w:autoSpaceDN w:val="0"/>
              <w:adjustRightInd w:val="0"/>
              <w:spacing w:before="60" w:after="60"/>
              <w:rPr>
                <w:rFonts w:eastAsia="MS Mincho" w:cs="Arial"/>
                <w:color w:val="000000"/>
                <w:sz w:val="16"/>
                <w:szCs w:val="16"/>
                <w:lang w:eastAsia="ja-JP" w:bidi="th-TH"/>
              </w:rPr>
            </w:pPr>
          </w:p>
        </w:tc>
        <w:tc>
          <w:tcPr>
            <w:tcW w:w="1260" w:type="dxa"/>
          </w:tcPr>
          <w:p w:rsidR="008355F0" w:rsidRPr="00433F28" w:rsidRDefault="008355F0" w:rsidP="003867F8">
            <w:pPr>
              <w:autoSpaceDE w:val="0"/>
              <w:autoSpaceDN w:val="0"/>
              <w:adjustRightInd w:val="0"/>
              <w:spacing w:before="60" w:after="60"/>
              <w:rPr>
                <w:rFonts w:eastAsia="MS Mincho" w:cs="Arial"/>
                <w:color w:val="000000"/>
                <w:sz w:val="16"/>
                <w:szCs w:val="16"/>
                <w:lang w:eastAsia="ja-JP" w:bidi="th-TH"/>
              </w:rPr>
            </w:pPr>
            <w:r w:rsidRPr="00433F28">
              <w:rPr>
                <w:rFonts w:eastAsia="MS Mincho" w:cs="Arial"/>
                <w:color w:val="000000"/>
                <w:sz w:val="16"/>
                <w:szCs w:val="16"/>
                <w:lang w:eastAsia="ja-JP" w:bidi="th-TH"/>
              </w:rPr>
              <w:t xml:space="preserve">May 19 </w:t>
            </w:r>
            <w:r>
              <w:rPr>
                <w:rFonts w:eastAsia="MS Mincho" w:cs="Arial"/>
                <w:color w:val="000000"/>
                <w:sz w:val="16"/>
                <w:szCs w:val="16"/>
                <w:lang w:eastAsia="ja-JP" w:bidi="th-TH"/>
              </w:rPr>
              <w:t xml:space="preserve">to </w:t>
            </w:r>
            <w:r w:rsidRPr="00433F28">
              <w:rPr>
                <w:rFonts w:eastAsia="MS Mincho" w:cs="Arial"/>
                <w:color w:val="000000"/>
                <w:sz w:val="16"/>
                <w:szCs w:val="16"/>
                <w:lang w:eastAsia="ja-JP" w:bidi="th-TH"/>
              </w:rPr>
              <w:t>20, 2015</w:t>
            </w:r>
          </w:p>
        </w:tc>
        <w:tc>
          <w:tcPr>
            <w:tcW w:w="1530" w:type="dxa"/>
          </w:tcPr>
          <w:p w:rsidR="008355F0" w:rsidRPr="00433F28" w:rsidRDefault="008355F0" w:rsidP="003867F8">
            <w:pPr>
              <w:autoSpaceDE w:val="0"/>
              <w:autoSpaceDN w:val="0"/>
              <w:adjustRightInd w:val="0"/>
              <w:spacing w:before="60" w:after="60"/>
              <w:rPr>
                <w:rFonts w:eastAsia="MS Mincho" w:cs="Arial"/>
                <w:color w:val="000000"/>
                <w:sz w:val="16"/>
                <w:szCs w:val="16"/>
                <w:lang w:eastAsia="ja-JP" w:bidi="th-TH"/>
              </w:rPr>
            </w:pPr>
            <w:r w:rsidRPr="00433F28">
              <w:rPr>
                <w:rFonts w:eastAsia="MS Mincho" w:cs="Arial"/>
                <w:color w:val="000000"/>
                <w:sz w:val="16"/>
                <w:szCs w:val="16"/>
                <w:lang w:eastAsia="ja-JP" w:bidi="th-TH"/>
              </w:rPr>
              <w:t>Morocco</w:t>
            </w:r>
            <w:r>
              <w:rPr>
                <w:rFonts w:eastAsia="MS Mincho" w:cs="Arial"/>
                <w:color w:val="000000"/>
                <w:sz w:val="16"/>
                <w:szCs w:val="16"/>
                <w:lang w:eastAsia="ja-JP" w:bidi="th-TH"/>
              </w:rPr>
              <w:t>/</w:t>
            </w:r>
            <w:r w:rsidRPr="00433F28">
              <w:rPr>
                <w:rFonts w:eastAsia="MS Mincho" w:cs="Arial"/>
                <w:color w:val="000000"/>
                <w:sz w:val="16"/>
                <w:szCs w:val="16"/>
                <w:lang w:eastAsia="ja-JP" w:bidi="th-TH"/>
              </w:rPr>
              <w:t xml:space="preserve"> 15 participants from Algeria,</w:t>
            </w:r>
            <w:r>
              <w:t xml:space="preserve"> </w:t>
            </w:r>
            <w:r w:rsidRPr="005C58F0">
              <w:rPr>
                <w:rFonts w:eastAsia="MS Mincho" w:cs="Arial"/>
                <w:color w:val="000000"/>
                <w:sz w:val="16"/>
                <w:szCs w:val="16"/>
                <w:lang w:eastAsia="ja-JP" w:bidi="th-TH"/>
              </w:rPr>
              <w:t xml:space="preserve">OAPI, </w:t>
            </w:r>
            <w:r w:rsidRPr="00433F28">
              <w:rPr>
                <w:rFonts w:eastAsia="MS Mincho" w:cs="Arial"/>
                <w:color w:val="000000"/>
                <w:sz w:val="16"/>
                <w:szCs w:val="16"/>
                <w:lang w:eastAsia="ja-JP" w:bidi="th-TH"/>
              </w:rPr>
              <w:t>and Tunisia</w:t>
            </w:r>
          </w:p>
        </w:tc>
        <w:tc>
          <w:tcPr>
            <w:tcW w:w="4586" w:type="dxa"/>
          </w:tcPr>
          <w:p w:rsidR="008355F0" w:rsidRPr="00395C65" w:rsidRDefault="008355F0" w:rsidP="003867F8">
            <w:pPr>
              <w:autoSpaceDE w:val="0"/>
              <w:autoSpaceDN w:val="0"/>
              <w:adjustRightInd w:val="0"/>
              <w:spacing w:before="60" w:after="60"/>
              <w:rPr>
                <w:rFonts w:eastAsia="MS Mincho" w:cs="Arial"/>
                <w:bCs/>
                <w:color w:val="000000"/>
                <w:sz w:val="16"/>
                <w:szCs w:val="16"/>
                <w:lang w:eastAsia="ja-JP" w:bidi="th-TH"/>
              </w:rPr>
            </w:pPr>
            <w:r w:rsidRPr="00424CF5">
              <w:rPr>
                <w:rFonts w:eastAsia="MS Mincho" w:cs="Arial"/>
                <w:bCs/>
                <w:color w:val="000000"/>
                <w:sz w:val="16"/>
                <w:szCs w:val="16"/>
                <w:lang w:eastAsia="ja-JP" w:bidi="th-TH"/>
              </w:rPr>
              <w:t xml:space="preserve">To engage enterprises, universities, IP Offices, R&amp;D institutions and the private sector to use patent information:  (i) </w:t>
            </w:r>
            <w:r>
              <w:rPr>
                <w:rFonts w:eastAsia="MS Mincho" w:cs="Arial"/>
                <w:bCs/>
                <w:color w:val="000000"/>
                <w:sz w:val="16"/>
                <w:szCs w:val="16"/>
                <w:lang w:eastAsia="ja-JP" w:bidi="th-TH"/>
              </w:rPr>
              <w:t xml:space="preserve">in </w:t>
            </w:r>
            <w:r w:rsidRPr="00424CF5">
              <w:rPr>
                <w:rFonts w:eastAsia="MS Mincho" w:cs="Arial"/>
                <w:bCs/>
                <w:color w:val="000000"/>
                <w:sz w:val="16"/>
                <w:szCs w:val="16"/>
                <w:lang w:eastAsia="ja-JP" w:bidi="th-TH"/>
              </w:rPr>
              <w:t xml:space="preserve">the innovation process;  (ii) </w:t>
            </w:r>
            <w:r>
              <w:rPr>
                <w:rFonts w:eastAsia="MS Mincho" w:cs="Arial"/>
                <w:bCs/>
                <w:color w:val="000000"/>
                <w:sz w:val="16"/>
                <w:szCs w:val="16"/>
                <w:lang w:eastAsia="ja-JP" w:bidi="th-TH"/>
              </w:rPr>
              <w:t xml:space="preserve">for </w:t>
            </w:r>
            <w:r w:rsidRPr="00424CF5">
              <w:rPr>
                <w:rFonts w:eastAsia="MS Mincho" w:cs="Arial"/>
                <w:bCs/>
                <w:color w:val="000000"/>
                <w:sz w:val="16"/>
                <w:szCs w:val="16"/>
                <w:lang w:eastAsia="ja-JP" w:bidi="th-TH"/>
              </w:rPr>
              <w:t xml:space="preserve">knowledge capitalization;  (iii) </w:t>
            </w:r>
            <w:r>
              <w:rPr>
                <w:rFonts w:eastAsia="MS Mincho" w:cs="Arial"/>
                <w:bCs/>
                <w:color w:val="000000"/>
                <w:sz w:val="16"/>
                <w:szCs w:val="16"/>
                <w:lang w:eastAsia="ja-JP" w:bidi="th-TH"/>
              </w:rPr>
              <w:t xml:space="preserve">for </w:t>
            </w:r>
            <w:r w:rsidRPr="00424CF5">
              <w:rPr>
                <w:rFonts w:eastAsia="MS Mincho" w:cs="Arial"/>
                <w:bCs/>
                <w:color w:val="000000"/>
                <w:sz w:val="16"/>
                <w:szCs w:val="16"/>
                <w:lang w:eastAsia="ja-JP" w:bidi="th-TH"/>
              </w:rPr>
              <w:t xml:space="preserve">formulating new ideas;  and (iv) </w:t>
            </w:r>
            <w:r>
              <w:rPr>
                <w:rFonts w:eastAsia="MS Mincho" w:cs="Arial"/>
                <w:bCs/>
                <w:color w:val="000000"/>
                <w:sz w:val="16"/>
                <w:szCs w:val="16"/>
                <w:lang w:eastAsia="ja-JP" w:bidi="th-TH"/>
              </w:rPr>
              <w:t>in</w:t>
            </w:r>
            <w:r w:rsidRPr="00424CF5">
              <w:rPr>
                <w:rFonts w:eastAsia="MS Mincho" w:cs="Arial"/>
                <w:bCs/>
                <w:color w:val="000000"/>
                <w:sz w:val="16"/>
                <w:szCs w:val="16"/>
                <w:lang w:eastAsia="ja-JP" w:bidi="th-TH"/>
              </w:rPr>
              <w:t xml:space="preserve"> the process of protecting and exploiting their inventions.</w:t>
            </w:r>
          </w:p>
        </w:tc>
      </w:tr>
      <w:tr w:rsidR="008355F0" w:rsidRPr="00433F28" w:rsidTr="00E92F85">
        <w:tc>
          <w:tcPr>
            <w:tcW w:w="1980" w:type="dxa"/>
          </w:tcPr>
          <w:p w:rsidR="008355F0" w:rsidRPr="00433F28" w:rsidRDefault="008355F0" w:rsidP="003867F8">
            <w:pPr>
              <w:autoSpaceDE w:val="0"/>
              <w:autoSpaceDN w:val="0"/>
              <w:adjustRightInd w:val="0"/>
              <w:spacing w:before="60" w:after="60"/>
              <w:rPr>
                <w:rFonts w:eastAsia="MS Mincho" w:cs="Arial"/>
                <w:color w:val="000000"/>
                <w:sz w:val="16"/>
                <w:szCs w:val="16"/>
                <w:lang w:eastAsia="ja-JP" w:bidi="th-TH"/>
              </w:rPr>
            </w:pPr>
            <w:r w:rsidRPr="00433F28">
              <w:rPr>
                <w:rFonts w:eastAsia="MS Mincho" w:cs="Arial"/>
                <w:color w:val="000000"/>
                <w:sz w:val="16"/>
                <w:szCs w:val="16"/>
                <w:lang w:eastAsia="ja-JP" w:bidi="th-TH"/>
              </w:rPr>
              <w:t xml:space="preserve">National Workshop on </w:t>
            </w:r>
            <w:r>
              <w:rPr>
                <w:rFonts w:eastAsia="MS Mincho" w:cs="Arial"/>
                <w:color w:val="000000"/>
                <w:sz w:val="16"/>
                <w:szCs w:val="16"/>
                <w:lang w:eastAsia="ja-JP" w:bidi="th-TH"/>
              </w:rPr>
              <w:t>B</w:t>
            </w:r>
            <w:r w:rsidRPr="00433F28">
              <w:rPr>
                <w:rFonts w:eastAsia="MS Mincho" w:cs="Arial"/>
                <w:color w:val="000000"/>
                <w:sz w:val="16"/>
                <w:szCs w:val="16"/>
                <w:lang w:eastAsia="ja-JP" w:bidi="th-TH"/>
              </w:rPr>
              <w:t xml:space="preserve">uilding  </w:t>
            </w:r>
            <w:r>
              <w:rPr>
                <w:rFonts w:eastAsia="MS Mincho" w:cs="Arial"/>
                <w:color w:val="000000"/>
                <w:sz w:val="16"/>
                <w:szCs w:val="16"/>
                <w:lang w:eastAsia="ja-JP" w:bidi="th-TH"/>
              </w:rPr>
              <w:t>R</w:t>
            </w:r>
            <w:r w:rsidRPr="00433F28">
              <w:rPr>
                <w:rFonts w:eastAsia="MS Mincho" w:cs="Arial"/>
                <w:color w:val="000000"/>
                <w:sz w:val="16"/>
                <w:szCs w:val="16"/>
                <w:lang w:eastAsia="ja-JP" w:bidi="th-TH"/>
              </w:rPr>
              <w:t>espect for Intellectual Property for Judges</w:t>
            </w:r>
          </w:p>
          <w:p w:rsidR="008355F0" w:rsidRPr="00433F28" w:rsidRDefault="008355F0" w:rsidP="003867F8">
            <w:pPr>
              <w:autoSpaceDE w:val="0"/>
              <w:autoSpaceDN w:val="0"/>
              <w:adjustRightInd w:val="0"/>
              <w:spacing w:before="60" w:after="60"/>
              <w:rPr>
                <w:rFonts w:eastAsia="MS Mincho" w:cs="Arial"/>
                <w:color w:val="000000"/>
                <w:sz w:val="16"/>
                <w:szCs w:val="16"/>
                <w:lang w:eastAsia="ja-JP" w:bidi="th-TH"/>
              </w:rPr>
            </w:pPr>
          </w:p>
          <w:p w:rsidR="008355F0" w:rsidRPr="00433F28" w:rsidRDefault="008355F0" w:rsidP="003867F8">
            <w:pPr>
              <w:autoSpaceDE w:val="0"/>
              <w:autoSpaceDN w:val="0"/>
              <w:adjustRightInd w:val="0"/>
              <w:spacing w:before="60" w:after="60"/>
              <w:rPr>
                <w:rFonts w:eastAsia="MS Mincho" w:cs="Arial"/>
                <w:color w:val="000000"/>
                <w:sz w:val="16"/>
                <w:szCs w:val="16"/>
                <w:lang w:eastAsia="ja-JP" w:bidi="th-TH"/>
              </w:rPr>
            </w:pPr>
            <w:r w:rsidRPr="00433F28">
              <w:rPr>
                <w:rFonts w:eastAsia="MS Mincho" w:cs="Arial"/>
                <w:color w:val="000000"/>
                <w:sz w:val="16"/>
                <w:szCs w:val="16"/>
                <w:lang w:eastAsia="ja-JP" w:bidi="th-TH"/>
              </w:rPr>
              <w:t>National Workshop on building  respect for Intellectual Property for Custom Officials</w:t>
            </w:r>
          </w:p>
        </w:tc>
        <w:tc>
          <w:tcPr>
            <w:tcW w:w="1260" w:type="dxa"/>
          </w:tcPr>
          <w:p w:rsidR="008355F0" w:rsidRDefault="008355F0" w:rsidP="003867F8">
            <w:pPr>
              <w:autoSpaceDE w:val="0"/>
              <w:autoSpaceDN w:val="0"/>
              <w:adjustRightInd w:val="0"/>
              <w:spacing w:before="60" w:after="60"/>
              <w:rPr>
                <w:rFonts w:eastAsia="MS Mincho" w:cs="Arial"/>
                <w:color w:val="000000"/>
                <w:sz w:val="16"/>
                <w:szCs w:val="16"/>
                <w:lang w:eastAsia="ja-JP" w:bidi="th-TH"/>
              </w:rPr>
            </w:pPr>
            <w:r w:rsidRPr="00433F28">
              <w:rPr>
                <w:rFonts w:eastAsia="MS Mincho" w:cs="Arial"/>
                <w:color w:val="000000"/>
                <w:sz w:val="16"/>
                <w:szCs w:val="16"/>
                <w:lang w:eastAsia="ja-JP" w:bidi="th-TH"/>
              </w:rPr>
              <w:t>June 30 to July 2, 2015</w:t>
            </w:r>
          </w:p>
          <w:p w:rsidR="008355F0" w:rsidRDefault="008355F0" w:rsidP="003867F8">
            <w:pPr>
              <w:autoSpaceDE w:val="0"/>
              <w:autoSpaceDN w:val="0"/>
              <w:adjustRightInd w:val="0"/>
              <w:spacing w:before="60" w:after="60"/>
              <w:rPr>
                <w:rFonts w:eastAsia="MS Mincho" w:cs="Arial"/>
                <w:color w:val="000000"/>
                <w:sz w:val="16"/>
                <w:szCs w:val="16"/>
                <w:lang w:eastAsia="ja-JP" w:bidi="th-TH"/>
              </w:rPr>
            </w:pPr>
          </w:p>
          <w:p w:rsidR="008355F0" w:rsidRDefault="008355F0" w:rsidP="003867F8">
            <w:pPr>
              <w:autoSpaceDE w:val="0"/>
              <w:autoSpaceDN w:val="0"/>
              <w:adjustRightInd w:val="0"/>
              <w:spacing w:before="60" w:after="60"/>
              <w:rPr>
                <w:rFonts w:eastAsia="MS Mincho" w:cs="Arial"/>
                <w:color w:val="000000"/>
                <w:sz w:val="16"/>
                <w:szCs w:val="16"/>
                <w:lang w:eastAsia="ja-JP" w:bidi="th-TH"/>
              </w:rPr>
            </w:pPr>
          </w:p>
          <w:p w:rsidR="008355F0" w:rsidRDefault="008355F0" w:rsidP="003867F8">
            <w:pPr>
              <w:autoSpaceDE w:val="0"/>
              <w:autoSpaceDN w:val="0"/>
              <w:adjustRightInd w:val="0"/>
              <w:spacing w:before="60" w:after="60"/>
              <w:rPr>
                <w:rFonts w:eastAsia="MS Mincho" w:cs="Arial"/>
                <w:color w:val="000000"/>
                <w:sz w:val="16"/>
                <w:szCs w:val="16"/>
                <w:lang w:eastAsia="ja-JP" w:bidi="th-TH"/>
              </w:rPr>
            </w:pPr>
          </w:p>
          <w:p w:rsidR="008355F0" w:rsidRDefault="008355F0" w:rsidP="003867F8">
            <w:pPr>
              <w:autoSpaceDE w:val="0"/>
              <w:autoSpaceDN w:val="0"/>
              <w:adjustRightInd w:val="0"/>
              <w:spacing w:before="60" w:after="60"/>
              <w:rPr>
                <w:rFonts w:eastAsia="MS Mincho" w:cs="Arial"/>
                <w:color w:val="000000"/>
                <w:sz w:val="16"/>
                <w:szCs w:val="16"/>
                <w:lang w:eastAsia="ja-JP" w:bidi="th-TH"/>
              </w:rPr>
            </w:pPr>
          </w:p>
          <w:p w:rsidR="008355F0" w:rsidRDefault="008355F0" w:rsidP="003867F8">
            <w:pPr>
              <w:autoSpaceDE w:val="0"/>
              <w:autoSpaceDN w:val="0"/>
              <w:adjustRightInd w:val="0"/>
              <w:spacing w:before="60" w:after="60"/>
              <w:rPr>
                <w:rFonts w:eastAsia="MS Mincho" w:cs="Arial"/>
                <w:color w:val="000000"/>
                <w:sz w:val="16"/>
                <w:szCs w:val="16"/>
                <w:lang w:eastAsia="ja-JP" w:bidi="th-TH"/>
              </w:rPr>
            </w:pPr>
          </w:p>
          <w:p w:rsidR="008355F0" w:rsidRPr="00433F28" w:rsidRDefault="008355F0" w:rsidP="003867F8">
            <w:pPr>
              <w:autoSpaceDE w:val="0"/>
              <w:autoSpaceDN w:val="0"/>
              <w:adjustRightInd w:val="0"/>
              <w:spacing w:before="60" w:after="60"/>
              <w:rPr>
                <w:rFonts w:eastAsia="MS Mincho" w:cs="Arial"/>
                <w:color w:val="000000"/>
                <w:sz w:val="16"/>
                <w:szCs w:val="16"/>
                <w:lang w:eastAsia="ja-JP" w:bidi="th-TH"/>
              </w:rPr>
            </w:pPr>
            <w:r w:rsidRPr="00433F28">
              <w:rPr>
                <w:rFonts w:eastAsia="MS Mincho" w:cs="Arial"/>
                <w:color w:val="000000"/>
                <w:sz w:val="16"/>
                <w:szCs w:val="16"/>
                <w:lang w:eastAsia="ja-JP" w:bidi="th-TH"/>
              </w:rPr>
              <w:t xml:space="preserve">June 30 </w:t>
            </w:r>
            <w:r>
              <w:rPr>
                <w:rFonts w:eastAsia="MS Mincho" w:cs="Arial"/>
                <w:color w:val="000000"/>
                <w:sz w:val="16"/>
                <w:szCs w:val="16"/>
                <w:lang w:eastAsia="ja-JP" w:bidi="th-TH"/>
              </w:rPr>
              <w:t>to</w:t>
            </w:r>
            <w:r w:rsidRPr="00433F28">
              <w:rPr>
                <w:rFonts w:eastAsia="MS Mincho" w:cs="Arial"/>
                <w:color w:val="000000"/>
                <w:sz w:val="16"/>
                <w:szCs w:val="16"/>
                <w:lang w:eastAsia="ja-JP" w:bidi="th-TH"/>
              </w:rPr>
              <w:t xml:space="preserve"> July 1, 2015</w:t>
            </w:r>
          </w:p>
        </w:tc>
        <w:tc>
          <w:tcPr>
            <w:tcW w:w="1530" w:type="dxa"/>
          </w:tcPr>
          <w:p w:rsidR="008355F0" w:rsidRDefault="008355F0" w:rsidP="003867F8">
            <w:pPr>
              <w:autoSpaceDE w:val="0"/>
              <w:autoSpaceDN w:val="0"/>
              <w:adjustRightInd w:val="0"/>
              <w:spacing w:before="60" w:after="60"/>
              <w:rPr>
                <w:rFonts w:eastAsia="MS Mincho" w:cs="Arial"/>
                <w:color w:val="000000"/>
                <w:sz w:val="16"/>
                <w:szCs w:val="16"/>
                <w:lang w:eastAsia="ja-JP" w:bidi="th-TH"/>
              </w:rPr>
            </w:pPr>
            <w:r w:rsidRPr="00433F28">
              <w:rPr>
                <w:rFonts w:eastAsia="MS Mincho" w:cs="Arial"/>
                <w:color w:val="000000"/>
                <w:sz w:val="16"/>
                <w:szCs w:val="16"/>
                <w:lang w:eastAsia="ja-JP" w:bidi="th-TH"/>
              </w:rPr>
              <w:t>Benin</w:t>
            </w:r>
            <w:r>
              <w:rPr>
                <w:rFonts w:eastAsia="MS Mincho" w:cs="Arial"/>
                <w:color w:val="000000"/>
                <w:sz w:val="16"/>
                <w:szCs w:val="16"/>
                <w:lang w:eastAsia="ja-JP" w:bidi="th-TH"/>
              </w:rPr>
              <w:t>/</w:t>
            </w:r>
            <w:r w:rsidRPr="00433F28">
              <w:rPr>
                <w:rFonts w:eastAsia="MS Mincho" w:cs="Arial"/>
                <w:color w:val="000000"/>
                <w:sz w:val="16"/>
                <w:szCs w:val="16"/>
                <w:lang w:eastAsia="ja-JP" w:bidi="th-TH"/>
              </w:rPr>
              <w:t>30 judges</w:t>
            </w:r>
          </w:p>
          <w:p w:rsidR="008355F0" w:rsidRDefault="008355F0" w:rsidP="003867F8">
            <w:pPr>
              <w:autoSpaceDE w:val="0"/>
              <w:autoSpaceDN w:val="0"/>
              <w:adjustRightInd w:val="0"/>
              <w:spacing w:before="60" w:after="60"/>
              <w:rPr>
                <w:rFonts w:eastAsia="MS Mincho" w:cs="Arial"/>
                <w:color w:val="000000"/>
                <w:sz w:val="16"/>
                <w:szCs w:val="16"/>
                <w:lang w:eastAsia="ja-JP" w:bidi="th-TH"/>
              </w:rPr>
            </w:pPr>
          </w:p>
          <w:p w:rsidR="008355F0" w:rsidRDefault="008355F0" w:rsidP="003867F8">
            <w:pPr>
              <w:autoSpaceDE w:val="0"/>
              <w:autoSpaceDN w:val="0"/>
              <w:adjustRightInd w:val="0"/>
              <w:spacing w:before="60" w:after="60"/>
              <w:rPr>
                <w:rFonts w:eastAsia="MS Mincho" w:cs="Arial"/>
                <w:color w:val="000000"/>
                <w:sz w:val="16"/>
                <w:szCs w:val="16"/>
                <w:lang w:eastAsia="ja-JP" w:bidi="th-TH"/>
              </w:rPr>
            </w:pPr>
          </w:p>
          <w:p w:rsidR="008355F0" w:rsidRDefault="008355F0" w:rsidP="003867F8">
            <w:pPr>
              <w:autoSpaceDE w:val="0"/>
              <w:autoSpaceDN w:val="0"/>
              <w:adjustRightInd w:val="0"/>
              <w:spacing w:before="60" w:after="60"/>
              <w:rPr>
                <w:rFonts w:eastAsia="MS Mincho" w:cs="Arial"/>
                <w:color w:val="000000"/>
                <w:sz w:val="16"/>
                <w:szCs w:val="16"/>
                <w:lang w:eastAsia="ja-JP" w:bidi="th-TH"/>
              </w:rPr>
            </w:pPr>
          </w:p>
          <w:p w:rsidR="008355F0" w:rsidRPr="00433F28" w:rsidRDefault="008355F0" w:rsidP="003867F8">
            <w:pPr>
              <w:autoSpaceDE w:val="0"/>
              <w:autoSpaceDN w:val="0"/>
              <w:adjustRightInd w:val="0"/>
              <w:spacing w:before="60" w:after="60"/>
              <w:rPr>
                <w:rFonts w:eastAsia="MS Mincho" w:cs="Arial"/>
                <w:color w:val="000000"/>
                <w:sz w:val="16"/>
                <w:szCs w:val="16"/>
                <w:lang w:eastAsia="ja-JP" w:bidi="th-TH"/>
              </w:rPr>
            </w:pPr>
            <w:r w:rsidRPr="00433F28">
              <w:rPr>
                <w:rFonts w:eastAsia="MS Mincho" w:cs="Arial"/>
                <w:color w:val="000000"/>
                <w:sz w:val="16"/>
                <w:szCs w:val="16"/>
                <w:lang w:eastAsia="ja-JP" w:bidi="th-TH"/>
              </w:rPr>
              <w:t>Benin</w:t>
            </w:r>
            <w:r>
              <w:rPr>
                <w:rFonts w:eastAsia="MS Mincho" w:cs="Arial"/>
                <w:color w:val="000000"/>
                <w:sz w:val="16"/>
                <w:szCs w:val="16"/>
                <w:lang w:eastAsia="ja-JP" w:bidi="th-TH"/>
              </w:rPr>
              <w:t xml:space="preserve">/ </w:t>
            </w:r>
            <w:r w:rsidRPr="00433F28">
              <w:rPr>
                <w:rFonts w:eastAsia="MS Mincho" w:cs="Arial"/>
                <w:color w:val="000000"/>
                <w:sz w:val="16"/>
                <w:szCs w:val="16"/>
                <w:lang w:eastAsia="ja-JP" w:bidi="th-TH"/>
              </w:rPr>
              <w:t>15 Customs Officers</w:t>
            </w:r>
          </w:p>
        </w:tc>
        <w:tc>
          <w:tcPr>
            <w:tcW w:w="4586" w:type="dxa"/>
          </w:tcPr>
          <w:p w:rsidR="008355F0" w:rsidRPr="00433F28" w:rsidRDefault="008355F0" w:rsidP="003867F8">
            <w:pPr>
              <w:autoSpaceDE w:val="0"/>
              <w:autoSpaceDN w:val="0"/>
              <w:adjustRightInd w:val="0"/>
              <w:spacing w:before="60" w:after="60"/>
              <w:rPr>
                <w:rFonts w:eastAsia="MS Mincho" w:cs="Arial"/>
                <w:bCs/>
                <w:color w:val="000000"/>
                <w:sz w:val="16"/>
                <w:szCs w:val="16"/>
                <w:lang w:eastAsia="ja-JP" w:bidi="th-TH"/>
              </w:rPr>
            </w:pPr>
            <w:r w:rsidRPr="00433F28">
              <w:rPr>
                <w:rFonts w:eastAsia="MS Mincho" w:cs="Arial"/>
                <w:bCs/>
                <w:color w:val="000000"/>
                <w:sz w:val="16"/>
                <w:szCs w:val="16"/>
                <w:lang w:eastAsia="ja-JP" w:bidi="th-TH"/>
              </w:rPr>
              <w:t>To</w:t>
            </w:r>
            <w:r>
              <w:rPr>
                <w:rFonts w:eastAsia="MS Mincho" w:cs="Arial"/>
                <w:bCs/>
                <w:color w:val="000000"/>
                <w:sz w:val="16"/>
                <w:szCs w:val="16"/>
                <w:lang w:eastAsia="ja-JP" w:bidi="th-TH"/>
              </w:rPr>
              <w:t>:  (i)</w:t>
            </w:r>
            <w:r w:rsidRPr="00433F28">
              <w:rPr>
                <w:rFonts w:eastAsia="MS Mincho" w:cs="Arial"/>
                <w:bCs/>
                <w:color w:val="000000"/>
                <w:sz w:val="16"/>
                <w:szCs w:val="16"/>
                <w:lang w:eastAsia="ja-JP" w:bidi="th-TH"/>
              </w:rPr>
              <w:t xml:space="preserve"> develop and strengthen the capacities of the judiciary and customs </w:t>
            </w:r>
            <w:r>
              <w:rPr>
                <w:rFonts w:eastAsia="MS Mincho" w:cs="Arial"/>
                <w:bCs/>
                <w:color w:val="000000"/>
                <w:sz w:val="16"/>
                <w:szCs w:val="16"/>
                <w:lang w:eastAsia="ja-JP" w:bidi="th-TH"/>
              </w:rPr>
              <w:t xml:space="preserve">officials </w:t>
            </w:r>
            <w:r w:rsidRPr="00433F28">
              <w:rPr>
                <w:rFonts w:eastAsia="MS Mincho" w:cs="Arial"/>
                <w:bCs/>
                <w:color w:val="000000"/>
                <w:sz w:val="16"/>
                <w:szCs w:val="16"/>
                <w:lang w:eastAsia="ja-JP" w:bidi="th-TH"/>
              </w:rPr>
              <w:t>of Benin in the enforcement of intellectual property rights and building respect</w:t>
            </w:r>
            <w:r>
              <w:rPr>
                <w:rFonts w:eastAsia="MS Mincho" w:cs="Arial"/>
                <w:bCs/>
                <w:color w:val="000000"/>
                <w:sz w:val="16"/>
                <w:szCs w:val="16"/>
                <w:lang w:eastAsia="ja-JP" w:bidi="th-TH"/>
              </w:rPr>
              <w:t xml:space="preserve"> for</w:t>
            </w:r>
            <w:r w:rsidRPr="00433F28">
              <w:rPr>
                <w:rFonts w:eastAsia="MS Mincho" w:cs="Arial"/>
                <w:bCs/>
                <w:color w:val="000000"/>
                <w:sz w:val="16"/>
                <w:szCs w:val="16"/>
                <w:lang w:eastAsia="ja-JP" w:bidi="th-TH"/>
              </w:rPr>
              <w:t xml:space="preserve"> IP</w:t>
            </w:r>
            <w:r>
              <w:rPr>
                <w:rFonts w:eastAsia="MS Mincho" w:cs="Arial"/>
                <w:bCs/>
                <w:color w:val="000000"/>
                <w:sz w:val="16"/>
                <w:szCs w:val="16"/>
                <w:lang w:eastAsia="ja-JP" w:bidi="th-TH"/>
              </w:rPr>
              <w:t xml:space="preserve">;  (ii) </w:t>
            </w:r>
            <w:r w:rsidRPr="00433F28">
              <w:rPr>
                <w:rFonts w:eastAsia="MS Mincho" w:cs="Arial"/>
                <w:bCs/>
                <w:color w:val="000000"/>
                <w:sz w:val="16"/>
                <w:szCs w:val="16"/>
                <w:lang w:eastAsia="ja-JP" w:bidi="th-TH"/>
              </w:rPr>
              <w:t>improve the knowledge and skills of participants in respect of legal proceedings and management of IP litigation and the application of customs measures</w:t>
            </w:r>
            <w:r>
              <w:rPr>
                <w:rFonts w:eastAsia="MS Mincho" w:cs="Arial"/>
                <w:bCs/>
                <w:color w:val="000000"/>
                <w:sz w:val="16"/>
                <w:szCs w:val="16"/>
                <w:lang w:eastAsia="ja-JP" w:bidi="th-TH"/>
              </w:rPr>
              <w:t xml:space="preserve"> to</w:t>
            </w:r>
            <w:r w:rsidRPr="00433F28">
              <w:rPr>
                <w:rFonts w:eastAsia="MS Mincho" w:cs="Arial"/>
                <w:bCs/>
                <w:color w:val="000000"/>
                <w:sz w:val="16"/>
                <w:szCs w:val="16"/>
                <w:lang w:eastAsia="ja-JP" w:bidi="th-TH"/>
              </w:rPr>
              <w:t xml:space="preserve"> </w:t>
            </w:r>
            <w:r>
              <w:rPr>
                <w:rFonts w:eastAsia="MS Mincho" w:cs="Arial"/>
                <w:bCs/>
                <w:color w:val="000000"/>
                <w:sz w:val="16"/>
                <w:szCs w:val="16"/>
                <w:lang w:eastAsia="ja-JP" w:bidi="th-TH"/>
              </w:rPr>
              <w:t>enhance</w:t>
            </w:r>
            <w:r w:rsidRPr="00433F28">
              <w:rPr>
                <w:rFonts w:eastAsia="MS Mincho" w:cs="Arial"/>
                <w:bCs/>
                <w:color w:val="000000"/>
                <w:sz w:val="16"/>
                <w:szCs w:val="16"/>
                <w:lang w:eastAsia="ja-JP" w:bidi="th-TH"/>
              </w:rPr>
              <w:t xml:space="preserve"> use the procedures as described under of Part III of the TRIPS Agreement</w:t>
            </w:r>
            <w:r>
              <w:rPr>
                <w:rFonts w:eastAsia="MS Mincho" w:cs="Arial"/>
                <w:bCs/>
                <w:color w:val="000000"/>
                <w:sz w:val="16"/>
                <w:szCs w:val="16"/>
                <w:lang w:eastAsia="ja-JP" w:bidi="th-TH"/>
              </w:rPr>
              <w:t xml:space="preserve">;  (iii) </w:t>
            </w:r>
            <w:r w:rsidRPr="00433F28">
              <w:rPr>
                <w:rFonts w:eastAsia="MS Mincho" w:cs="Arial"/>
                <w:bCs/>
                <w:color w:val="000000"/>
                <w:sz w:val="16"/>
                <w:szCs w:val="16"/>
                <w:lang w:eastAsia="ja-JP" w:bidi="th-TH"/>
              </w:rPr>
              <w:t>provide an opportunity for each participating group to exchange experiences and discuss the challenges in the implementation of legal and regulatory provisions on enforcement of IP rights</w:t>
            </w:r>
            <w:r>
              <w:rPr>
                <w:rFonts w:eastAsia="MS Mincho" w:cs="Arial"/>
                <w:bCs/>
                <w:color w:val="000000"/>
                <w:sz w:val="16"/>
                <w:szCs w:val="16"/>
                <w:lang w:eastAsia="ja-JP" w:bidi="th-TH"/>
              </w:rPr>
              <w:t xml:space="preserve">;  and (iv) </w:t>
            </w:r>
            <w:r w:rsidRPr="00433F28">
              <w:rPr>
                <w:rFonts w:eastAsia="MS Mincho" w:cs="Arial"/>
                <w:bCs/>
                <w:color w:val="000000"/>
                <w:sz w:val="16"/>
                <w:szCs w:val="16"/>
                <w:lang w:eastAsia="ja-JP" w:bidi="th-TH"/>
              </w:rPr>
              <w:t>familiarize the judges with the jurisprudence tools developed respectively by WIPO and OAPI</w:t>
            </w:r>
            <w:r>
              <w:rPr>
                <w:rFonts w:eastAsia="MS Mincho" w:cs="Arial"/>
                <w:bCs/>
                <w:color w:val="000000"/>
                <w:sz w:val="16"/>
                <w:szCs w:val="16"/>
                <w:lang w:eastAsia="ja-JP" w:bidi="th-TH"/>
              </w:rPr>
              <w:t>.</w:t>
            </w:r>
          </w:p>
        </w:tc>
      </w:tr>
      <w:tr w:rsidR="008355F0" w:rsidRPr="00433F28" w:rsidTr="00E92F85">
        <w:tc>
          <w:tcPr>
            <w:tcW w:w="1980" w:type="dxa"/>
          </w:tcPr>
          <w:p w:rsidR="008355F0" w:rsidRPr="00433F28" w:rsidRDefault="008355F0" w:rsidP="003867F8">
            <w:pPr>
              <w:autoSpaceDE w:val="0"/>
              <w:autoSpaceDN w:val="0"/>
              <w:adjustRightInd w:val="0"/>
              <w:spacing w:before="60" w:after="60"/>
              <w:rPr>
                <w:rFonts w:eastAsia="MS Mincho" w:cs="Arial"/>
                <w:color w:val="000000"/>
                <w:sz w:val="16"/>
                <w:szCs w:val="16"/>
                <w:lang w:eastAsia="ja-JP" w:bidi="th-TH"/>
              </w:rPr>
            </w:pPr>
            <w:r w:rsidRPr="00433F28">
              <w:rPr>
                <w:rFonts w:eastAsia="MS Mincho" w:cs="Arial"/>
                <w:color w:val="000000"/>
                <w:sz w:val="16"/>
                <w:szCs w:val="16"/>
                <w:lang w:eastAsia="ja-JP" w:bidi="th-TH"/>
              </w:rPr>
              <w:t xml:space="preserve">Regional </w:t>
            </w:r>
            <w:r>
              <w:rPr>
                <w:rFonts w:eastAsia="MS Mincho" w:cs="Arial"/>
                <w:color w:val="000000"/>
                <w:sz w:val="16"/>
                <w:szCs w:val="16"/>
                <w:lang w:eastAsia="ja-JP" w:bidi="th-TH"/>
              </w:rPr>
              <w:t>S</w:t>
            </w:r>
            <w:r w:rsidRPr="00433F28">
              <w:rPr>
                <w:rFonts w:eastAsia="MS Mincho" w:cs="Arial"/>
                <w:color w:val="000000"/>
                <w:sz w:val="16"/>
                <w:szCs w:val="16"/>
                <w:lang w:eastAsia="ja-JP" w:bidi="th-TH"/>
              </w:rPr>
              <w:t xml:space="preserve">eminar on </w:t>
            </w:r>
            <w:r>
              <w:rPr>
                <w:rFonts w:eastAsia="MS Mincho" w:cs="Arial"/>
                <w:color w:val="000000"/>
                <w:sz w:val="16"/>
                <w:szCs w:val="16"/>
                <w:lang w:eastAsia="ja-JP" w:bidi="th-TH"/>
              </w:rPr>
              <w:t>C</w:t>
            </w:r>
            <w:r w:rsidRPr="00433F28">
              <w:rPr>
                <w:rFonts w:eastAsia="MS Mincho" w:cs="Arial"/>
                <w:color w:val="000000"/>
                <w:sz w:val="16"/>
                <w:szCs w:val="16"/>
                <w:lang w:eastAsia="ja-JP" w:bidi="th-TH"/>
              </w:rPr>
              <w:t xml:space="preserve">ollaborative </w:t>
            </w:r>
            <w:r>
              <w:rPr>
                <w:rFonts w:eastAsia="MS Mincho" w:cs="Arial"/>
                <w:color w:val="000000"/>
                <w:sz w:val="16"/>
                <w:szCs w:val="16"/>
                <w:lang w:eastAsia="ja-JP" w:bidi="th-TH"/>
              </w:rPr>
              <w:t>I</w:t>
            </w:r>
            <w:r w:rsidRPr="00433F28">
              <w:rPr>
                <w:rFonts w:eastAsia="MS Mincho" w:cs="Arial"/>
                <w:color w:val="000000"/>
                <w:sz w:val="16"/>
                <w:szCs w:val="16"/>
                <w:lang w:eastAsia="ja-JP" w:bidi="th-TH"/>
              </w:rPr>
              <w:t xml:space="preserve">nnovation and </w:t>
            </w:r>
            <w:r>
              <w:rPr>
                <w:rFonts w:eastAsia="MS Mincho" w:cs="Arial"/>
                <w:color w:val="000000"/>
                <w:sz w:val="16"/>
                <w:szCs w:val="16"/>
                <w:lang w:eastAsia="ja-JP" w:bidi="th-TH"/>
              </w:rPr>
              <w:t>I</w:t>
            </w:r>
            <w:r w:rsidRPr="00433F28">
              <w:rPr>
                <w:rFonts w:eastAsia="MS Mincho" w:cs="Arial"/>
                <w:color w:val="000000"/>
                <w:sz w:val="16"/>
                <w:szCs w:val="16"/>
                <w:lang w:eastAsia="ja-JP" w:bidi="th-TH"/>
              </w:rPr>
              <w:t xml:space="preserve">ntellectual </w:t>
            </w:r>
            <w:r>
              <w:rPr>
                <w:rFonts w:eastAsia="MS Mincho" w:cs="Arial"/>
                <w:color w:val="000000"/>
                <w:sz w:val="16"/>
                <w:szCs w:val="16"/>
                <w:lang w:eastAsia="ja-JP" w:bidi="th-TH"/>
              </w:rPr>
              <w:t>P</w:t>
            </w:r>
            <w:r w:rsidRPr="00433F28">
              <w:rPr>
                <w:rFonts w:eastAsia="MS Mincho" w:cs="Arial"/>
                <w:color w:val="000000"/>
                <w:sz w:val="16"/>
                <w:szCs w:val="16"/>
                <w:lang w:eastAsia="ja-JP" w:bidi="th-TH"/>
              </w:rPr>
              <w:t xml:space="preserve">roperty : </w:t>
            </w:r>
            <w:r>
              <w:rPr>
                <w:rFonts w:eastAsia="MS Mincho" w:cs="Arial"/>
                <w:color w:val="000000"/>
                <w:sz w:val="16"/>
                <w:szCs w:val="16"/>
                <w:lang w:eastAsia="ja-JP" w:bidi="th-TH"/>
              </w:rPr>
              <w:t>“</w:t>
            </w:r>
            <w:r w:rsidRPr="00433F28">
              <w:rPr>
                <w:rFonts w:eastAsia="MS Mincho" w:cs="Arial"/>
                <w:color w:val="000000"/>
                <w:sz w:val="16"/>
                <w:szCs w:val="16"/>
                <w:lang w:eastAsia="ja-JP" w:bidi="th-TH"/>
              </w:rPr>
              <w:t xml:space="preserve">Developing </w:t>
            </w:r>
            <w:r>
              <w:rPr>
                <w:rFonts w:eastAsia="MS Mincho" w:cs="Arial"/>
                <w:color w:val="000000"/>
                <w:sz w:val="16"/>
                <w:szCs w:val="16"/>
                <w:lang w:eastAsia="ja-JP" w:bidi="th-TH"/>
              </w:rPr>
              <w:t>P</w:t>
            </w:r>
            <w:r w:rsidRPr="00433F28">
              <w:rPr>
                <w:rFonts w:eastAsia="MS Mincho" w:cs="Arial"/>
                <w:color w:val="000000"/>
                <w:sz w:val="16"/>
                <w:szCs w:val="16"/>
                <w:lang w:eastAsia="ja-JP" w:bidi="th-TH"/>
              </w:rPr>
              <w:t>artnership</w:t>
            </w:r>
            <w:r>
              <w:rPr>
                <w:rFonts w:eastAsia="MS Mincho" w:cs="Arial"/>
                <w:color w:val="000000"/>
                <w:sz w:val="16"/>
                <w:szCs w:val="16"/>
                <w:lang w:eastAsia="ja-JP" w:bidi="th-TH"/>
              </w:rPr>
              <w:t>s</w:t>
            </w:r>
            <w:r w:rsidRPr="00433F28">
              <w:rPr>
                <w:rFonts w:eastAsia="MS Mincho" w:cs="Arial"/>
                <w:color w:val="000000"/>
                <w:sz w:val="16"/>
                <w:szCs w:val="16"/>
                <w:lang w:eastAsia="ja-JP" w:bidi="th-TH"/>
              </w:rPr>
              <w:t xml:space="preserve"> between </w:t>
            </w:r>
            <w:r>
              <w:rPr>
                <w:rFonts w:eastAsia="MS Mincho" w:cs="Arial"/>
                <w:color w:val="000000"/>
                <w:sz w:val="16"/>
                <w:szCs w:val="16"/>
                <w:lang w:eastAsia="ja-JP" w:bidi="th-TH"/>
              </w:rPr>
              <w:t>U</w:t>
            </w:r>
            <w:r w:rsidRPr="00433F28">
              <w:rPr>
                <w:rFonts w:eastAsia="MS Mincho" w:cs="Arial"/>
                <w:color w:val="000000"/>
                <w:sz w:val="16"/>
                <w:szCs w:val="16"/>
                <w:lang w:eastAsia="ja-JP" w:bidi="th-TH"/>
              </w:rPr>
              <w:t xml:space="preserve">niversities and </w:t>
            </w:r>
            <w:r>
              <w:rPr>
                <w:rFonts w:eastAsia="MS Mincho" w:cs="Arial"/>
                <w:color w:val="000000"/>
                <w:sz w:val="16"/>
                <w:szCs w:val="16"/>
                <w:lang w:eastAsia="ja-JP" w:bidi="th-TH"/>
              </w:rPr>
              <w:t>E</w:t>
            </w:r>
            <w:r w:rsidRPr="00433F28">
              <w:rPr>
                <w:rFonts w:eastAsia="MS Mincho" w:cs="Arial"/>
                <w:color w:val="000000"/>
                <w:sz w:val="16"/>
                <w:szCs w:val="16"/>
                <w:lang w:eastAsia="ja-JP" w:bidi="th-TH"/>
              </w:rPr>
              <w:t xml:space="preserve">nterprises” </w:t>
            </w:r>
          </w:p>
        </w:tc>
        <w:tc>
          <w:tcPr>
            <w:tcW w:w="1260" w:type="dxa"/>
          </w:tcPr>
          <w:p w:rsidR="008355F0" w:rsidRPr="00433F28" w:rsidRDefault="008355F0" w:rsidP="003867F8">
            <w:pPr>
              <w:autoSpaceDE w:val="0"/>
              <w:autoSpaceDN w:val="0"/>
              <w:adjustRightInd w:val="0"/>
              <w:spacing w:before="60" w:after="60"/>
              <w:rPr>
                <w:rFonts w:eastAsia="MS Mincho" w:cs="Arial"/>
                <w:color w:val="000000"/>
                <w:sz w:val="16"/>
                <w:szCs w:val="16"/>
                <w:lang w:eastAsia="ja-JP" w:bidi="th-TH"/>
              </w:rPr>
            </w:pPr>
            <w:r w:rsidRPr="00433F28">
              <w:rPr>
                <w:rFonts w:eastAsia="MS Mincho" w:cs="Arial"/>
                <w:color w:val="000000"/>
                <w:sz w:val="16"/>
                <w:szCs w:val="16"/>
                <w:lang w:eastAsia="ja-JP" w:bidi="th-TH"/>
              </w:rPr>
              <w:t xml:space="preserve">July 2 </w:t>
            </w:r>
            <w:r>
              <w:rPr>
                <w:rFonts w:eastAsia="MS Mincho" w:cs="Arial"/>
                <w:color w:val="000000"/>
                <w:sz w:val="16"/>
                <w:szCs w:val="16"/>
                <w:lang w:eastAsia="ja-JP" w:bidi="th-TH"/>
              </w:rPr>
              <w:t>to</w:t>
            </w:r>
            <w:r w:rsidRPr="00433F28">
              <w:rPr>
                <w:rFonts w:eastAsia="MS Mincho" w:cs="Arial"/>
                <w:color w:val="000000"/>
                <w:sz w:val="16"/>
                <w:szCs w:val="16"/>
                <w:lang w:eastAsia="ja-JP" w:bidi="th-TH"/>
              </w:rPr>
              <w:t xml:space="preserve"> 3, 2015</w:t>
            </w:r>
          </w:p>
        </w:tc>
        <w:tc>
          <w:tcPr>
            <w:tcW w:w="1530" w:type="dxa"/>
          </w:tcPr>
          <w:p w:rsidR="008355F0" w:rsidRPr="00433F28" w:rsidRDefault="008355F0" w:rsidP="003867F8">
            <w:pPr>
              <w:autoSpaceDE w:val="0"/>
              <w:autoSpaceDN w:val="0"/>
              <w:adjustRightInd w:val="0"/>
              <w:spacing w:before="60" w:after="60"/>
              <w:rPr>
                <w:rFonts w:eastAsia="MS Mincho" w:cs="Arial"/>
                <w:color w:val="000000"/>
                <w:sz w:val="16"/>
                <w:szCs w:val="16"/>
                <w:lang w:eastAsia="ja-JP" w:bidi="th-TH"/>
              </w:rPr>
            </w:pPr>
            <w:r w:rsidRPr="00433F28">
              <w:rPr>
                <w:rFonts w:eastAsia="MS Mincho" w:cs="Arial"/>
                <w:color w:val="000000"/>
                <w:sz w:val="16"/>
                <w:szCs w:val="16"/>
                <w:lang w:eastAsia="ja-JP" w:bidi="th-TH"/>
              </w:rPr>
              <w:t>Vietnam</w:t>
            </w:r>
            <w:r>
              <w:rPr>
                <w:rFonts w:eastAsia="MS Mincho" w:cs="Arial"/>
                <w:color w:val="000000"/>
                <w:sz w:val="16"/>
                <w:szCs w:val="16"/>
                <w:lang w:eastAsia="ja-JP" w:bidi="th-TH"/>
              </w:rPr>
              <w:t>/</w:t>
            </w:r>
            <w:r w:rsidRPr="00433F28">
              <w:rPr>
                <w:rFonts w:eastAsia="MS Mincho" w:cs="Arial"/>
                <w:color w:val="000000"/>
                <w:sz w:val="16"/>
                <w:szCs w:val="16"/>
                <w:lang w:eastAsia="ja-JP" w:bidi="th-TH"/>
              </w:rPr>
              <w:t xml:space="preserve"> 70 participants including </w:t>
            </w:r>
            <w:r>
              <w:rPr>
                <w:rFonts w:eastAsia="MS Mincho" w:cs="Arial"/>
                <w:color w:val="000000"/>
                <w:sz w:val="16"/>
                <w:szCs w:val="16"/>
                <w:lang w:eastAsia="ja-JP" w:bidi="th-TH"/>
              </w:rPr>
              <w:t>nine</w:t>
            </w:r>
            <w:r w:rsidRPr="00433F28">
              <w:rPr>
                <w:rFonts w:eastAsia="MS Mincho" w:cs="Arial"/>
                <w:color w:val="000000"/>
                <w:sz w:val="16"/>
                <w:szCs w:val="16"/>
                <w:lang w:eastAsia="ja-JP" w:bidi="th-TH"/>
              </w:rPr>
              <w:t xml:space="preserve"> from Cambodia, Laos</w:t>
            </w:r>
            <w:r>
              <w:rPr>
                <w:rFonts w:eastAsia="MS Mincho" w:cs="Arial"/>
                <w:color w:val="000000"/>
                <w:sz w:val="16"/>
                <w:szCs w:val="16"/>
                <w:lang w:eastAsia="ja-JP" w:bidi="th-TH"/>
              </w:rPr>
              <w:t xml:space="preserve"> People’s Democratic Republic</w:t>
            </w:r>
            <w:r w:rsidRPr="00433F28">
              <w:rPr>
                <w:rFonts w:eastAsia="MS Mincho" w:cs="Arial"/>
                <w:color w:val="000000"/>
                <w:sz w:val="16"/>
                <w:szCs w:val="16"/>
                <w:lang w:eastAsia="ja-JP" w:bidi="th-TH"/>
              </w:rPr>
              <w:t xml:space="preserve"> and Myanmar</w:t>
            </w:r>
          </w:p>
        </w:tc>
        <w:tc>
          <w:tcPr>
            <w:tcW w:w="4586" w:type="dxa"/>
          </w:tcPr>
          <w:p w:rsidR="008355F0" w:rsidRPr="00433F28" w:rsidRDefault="008355F0" w:rsidP="003867F8">
            <w:pPr>
              <w:autoSpaceDE w:val="0"/>
              <w:autoSpaceDN w:val="0"/>
              <w:adjustRightInd w:val="0"/>
              <w:spacing w:before="60" w:after="60"/>
              <w:rPr>
                <w:rFonts w:eastAsia="MS Mincho" w:cs="Arial"/>
                <w:bCs/>
                <w:color w:val="000000"/>
                <w:sz w:val="16"/>
                <w:szCs w:val="16"/>
                <w:lang w:eastAsia="ja-JP" w:bidi="th-TH"/>
              </w:rPr>
            </w:pPr>
            <w:r w:rsidRPr="00424CF5">
              <w:rPr>
                <w:rFonts w:eastAsia="MS Mincho" w:cs="Arial"/>
                <w:bCs/>
                <w:color w:val="000000"/>
                <w:sz w:val="16"/>
                <w:szCs w:val="16"/>
                <w:lang w:eastAsia="ja-JP" w:bidi="th-TH"/>
              </w:rPr>
              <w:t>To</w:t>
            </w:r>
            <w:r>
              <w:rPr>
                <w:rFonts w:eastAsia="MS Mincho" w:cs="Arial"/>
                <w:bCs/>
                <w:color w:val="000000"/>
                <w:sz w:val="16"/>
                <w:szCs w:val="16"/>
                <w:lang w:eastAsia="ja-JP" w:bidi="th-TH"/>
              </w:rPr>
              <w:t>:  (i)</w:t>
            </w:r>
            <w:r w:rsidRPr="00424CF5">
              <w:rPr>
                <w:rFonts w:eastAsia="MS Mincho" w:cs="Arial"/>
                <w:bCs/>
                <w:color w:val="000000"/>
                <w:sz w:val="16"/>
                <w:szCs w:val="16"/>
                <w:lang w:eastAsia="ja-JP" w:bidi="th-TH"/>
              </w:rPr>
              <w:t xml:space="preserve"> present various models that help in establishing a conducive environment for innovation and IP rights protection</w:t>
            </w:r>
            <w:r>
              <w:rPr>
                <w:rFonts w:eastAsia="MS Mincho" w:cs="Arial"/>
                <w:bCs/>
                <w:color w:val="000000"/>
                <w:sz w:val="16"/>
                <w:szCs w:val="16"/>
                <w:lang w:eastAsia="ja-JP" w:bidi="th-TH"/>
              </w:rPr>
              <w:t xml:space="preserve">;  (ii) </w:t>
            </w:r>
            <w:r w:rsidRPr="00424CF5">
              <w:rPr>
                <w:rFonts w:eastAsia="MS Mincho" w:cs="Arial"/>
                <w:bCs/>
                <w:color w:val="000000"/>
                <w:sz w:val="16"/>
                <w:szCs w:val="16"/>
                <w:lang w:eastAsia="ja-JP" w:bidi="th-TH"/>
              </w:rPr>
              <w:t>develop innovation capacities through an efficient use of the IP system</w:t>
            </w:r>
            <w:r>
              <w:rPr>
                <w:rFonts w:eastAsia="MS Mincho" w:cs="Arial"/>
                <w:bCs/>
                <w:color w:val="000000"/>
                <w:sz w:val="16"/>
                <w:szCs w:val="16"/>
                <w:lang w:eastAsia="ja-JP" w:bidi="th-TH"/>
              </w:rPr>
              <w:t>;  and (iii) a</w:t>
            </w:r>
            <w:r w:rsidRPr="00433F28">
              <w:rPr>
                <w:rFonts w:eastAsia="MS Mincho" w:cs="Arial"/>
                <w:bCs/>
                <w:color w:val="000000"/>
                <w:sz w:val="16"/>
                <w:szCs w:val="16"/>
                <w:lang w:eastAsia="ja-JP" w:bidi="th-TH"/>
              </w:rPr>
              <w:t>ddress the topics of collaborative innovation and open innovation</w:t>
            </w:r>
            <w:r>
              <w:rPr>
                <w:rFonts w:eastAsia="MS Mincho" w:cs="Arial"/>
                <w:bCs/>
                <w:color w:val="000000"/>
                <w:sz w:val="16"/>
                <w:szCs w:val="16"/>
                <w:lang w:eastAsia="ja-JP" w:bidi="th-TH"/>
              </w:rPr>
              <w:t>.</w:t>
            </w:r>
          </w:p>
        </w:tc>
      </w:tr>
      <w:tr w:rsidR="008355F0" w:rsidRPr="00433F28" w:rsidTr="00E92F85">
        <w:tc>
          <w:tcPr>
            <w:tcW w:w="1980" w:type="dxa"/>
          </w:tcPr>
          <w:p w:rsidR="008355F0" w:rsidRPr="00433F28" w:rsidRDefault="008355F0" w:rsidP="003867F8">
            <w:pPr>
              <w:autoSpaceDE w:val="0"/>
              <w:autoSpaceDN w:val="0"/>
              <w:adjustRightInd w:val="0"/>
              <w:spacing w:before="60" w:after="60"/>
              <w:rPr>
                <w:rFonts w:eastAsia="MS Mincho" w:cs="Arial"/>
                <w:color w:val="000000"/>
                <w:sz w:val="16"/>
                <w:szCs w:val="16"/>
                <w:lang w:eastAsia="ja-JP" w:bidi="th-TH"/>
              </w:rPr>
            </w:pPr>
            <w:r w:rsidRPr="00433F28">
              <w:rPr>
                <w:rFonts w:eastAsia="MS Mincho" w:cs="Arial"/>
                <w:color w:val="000000"/>
                <w:sz w:val="16"/>
                <w:szCs w:val="16"/>
                <w:lang w:eastAsia="ja-JP" w:bidi="th-TH"/>
              </w:rPr>
              <w:t xml:space="preserve">Regional Training on </w:t>
            </w:r>
            <w:r>
              <w:rPr>
                <w:rFonts w:eastAsia="MS Mincho" w:cs="Arial"/>
                <w:color w:val="000000"/>
                <w:sz w:val="16"/>
                <w:szCs w:val="16"/>
                <w:lang w:eastAsia="ja-JP" w:bidi="th-TH"/>
              </w:rPr>
              <w:t>T</w:t>
            </w:r>
            <w:r w:rsidRPr="00433F28">
              <w:rPr>
                <w:rFonts w:eastAsia="MS Mincho" w:cs="Arial"/>
                <w:color w:val="000000"/>
                <w:sz w:val="16"/>
                <w:szCs w:val="16"/>
                <w:lang w:eastAsia="ja-JP" w:bidi="th-TH"/>
              </w:rPr>
              <w:t xml:space="preserve">rademark and </w:t>
            </w:r>
            <w:r>
              <w:rPr>
                <w:rFonts w:eastAsia="MS Mincho" w:cs="Arial"/>
                <w:color w:val="000000"/>
                <w:sz w:val="16"/>
                <w:szCs w:val="16"/>
                <w:lang w:eastAsia="ja-JP" w:bidi="th-TH"/>
              </w:rPr>
              <w:t>C</w:t>
            </w:r>
            <w:r w:rsidRPr="00433F28">
              <w:rPr>
                <w:rFonts w:eastAsia="MS Mincho" w:cs="Arial"/>
                <w:color w:val="000000"/>
                <w:sz w:val="16"/>
                <w:szCs w:val="16"/>
                <w:lang w:eastAsia="ja-JP" w:bidi="th-TH"/>
              </w:rPr>
              <w:t xml:space="preserve">ounterfeiting for </w:t>
            </w:r>
            <w:r>
              <w:rPr>
                <w:rFonts w:eastAsia="MS Mincho" w:cs="Arial"/>
                <w:color w:val="000000"/>
                <w:sz w:val="16"/>
                <w:szCs w:val="16"/>
                <w:lang w:eastAsia="ja-JP" w:bidi="th-TH"/>
              </w:rPr>
              <w:t>J</w:t>
            </w:r>
            <w:r w:rsidRPr="00433F28">
              <w:rPr>
                <w:rFonts w:eastAsia="MS Mincho" w:cs="Arial"/>
                <w:color w:val="000000"/>
                <w:sz w:val="16"/>
                <w:szCs w:val="16"/>
                <w:lang w:eastAsia="ja-JP" w:bidi="th-TH"/>
              </w:rPr>
              <w:t xml:space="preserve">udges of the </w:t>
            </w:r>
            <w:r>
              <w:rPr>
                <w:rFonts w:eastAsia="MS Mincho" w:cs="Arial"/>
                <w:color w:val="000000"/>
                <w:sz w:val="16"/>
                <w:szCs w:val="16"/>
                <w:lang w:eastAsia="ja-JP" w:bidi="th-TH"/>
              </w:rPr>
              <w:t>C</w:t>
            </w:r>
            <w:r w:rsidRPr="00433F28">
              <w:rPr>
                <w:rFonts w:eastAsia="MS Mincho" w:cs="Arial"/>
                <w:color w:val="000000"/>
                <w:sz w:val="16"/>
                <w:szCs w:val="16"/>
                <w:lang w:eastAsia="ja-JP" w:bidi="th-TH"/>
              </w:rPr>
              <w:t xml:space="preserve">ountries of the Cooperation Council of Arab States of the Gulf </w:t>
            </w:r>
            <w:r>
              <w:rPr>
                <w:rFonts w:eastAsia="MS Mincho" w:cs="Arial"/>
                <w:color w:val="000000"/>
                <w:sz w:val="16"/>
                <w:szCs w:val="16"/>
                <w:lang w:eastAsia="ja-JP" w:bidi="th-TH"/>
              </w:rPr>
              <w:t>(</w:t>
            </w:r>
            <w:r w:rsidRPr="00433F28">
              <w:rPr>
                <w:rFonts w:eastAsia="MS Mincho" w:cs="Arial"/>
                <w:color w:val="000000"/>
                <w:sz w:val="16"/>
                <w:szCs w:val="16"/>
                <w:lang w:eastAsia="ja-JP" w:bidi="th-TH"/>
              </w:rPr>
              <w:t>GCC)</w:t>
            </w:r>
          </w:p>
        </w:tc>
        <w:tc>
          <w:tcPr>
            <w:tcW w:w="1260" w:type="dxa"/>
          </w:tcPr>
          <w:p w:rsidR="008355F0" w:rsidRPr="00433F28" w:rsidRDefault="008355F0" w:rsidP="003867F8">
            <w:pPr>
              <w:autoSpaceDE w:val="0"/>
              <w:autoSpaceDN w:val="0"/>
              <w:adjustRightInd w:val="0"/>
              <w:spacing w:before="60" w:after="60"/>
              <w:rPr>
                <w:rFonts w:eastAsia="MS Mincho" w:cs="Arial"/>
                <w:color w:val="000000"/>
                <w:sz w:val="16"/>
                <w:szCs w:val="16"/>
                <w:lang w:eastAsia="ja-JP" w:bidi="th-TH"/>
              </w:rPr>
            </w:pPr>
            <w:r w:rsidRPr="00433F28">
              <w:rPr>
                <w:rFonts w:eastAsia="MS Mincho" w:cs="Arial"/>
                <w:color w:val="000000"/>
                <w:sz w:val="16"/>
                <w:szCs w:val="16"/>
                <w:lang w:eastAsia="ja-JP" w:bidi="th-TH"/>
              </w:rPr>
              <w:t xml:space="preserve">October 25 </w:t>
            </w:r>
            <w:r>
              <w:rPr>
                <w:rFonts w:eastAsia="MS Mincho" w:cs="Arial"/>
                <w:color w:val="000000"/>
                <w:sz w:val="16"/>
                <w:szCs w:val="16"/>
                <w:lang w:eastAsia="ja-JP" w:bidi="th-TH"/>
              </w:rPr>
              <w:t>to</w:t>
            </w:r>
            <w:r w:rsidRPr="00433F28">
              <w:rPr>
                <w:rFonts w:eastAsia="MS Mincho" w:cs="Arial"/>
                <w:color w:val="000000"/>
                <w:sz w:val="16"/>
                <w:szCs w:val="16"/>
                <w:lang w:eastAsia="ja-JP" w:bidi="th-TH"/>
              </w:rPr>
              <w:t xml:space="preserve"> 26, 2015</w:t>
            </w:r>
          </w:p>
        </w:tc>
        <w:tc>
          <w:tcPr>
            <w:tcW w:w="1530" w:type="dxa"/>
          </w:tcPr>
          <w:p w:rsidR="008355F0" w:rsidRPr="00433F28" w:rsidRDefault="008355F0" w:rsidP="003867F8">
            <w:pPr>
              <w:autoSpaceDE w:val="0"/>
              <w:autoSpaceDN w:val="0"/>
              <w:adjustRightInd w:val="0"/>
              <w:spacing w:before="60" w:after="60"/>
              <w:rPr>
                <w:rFonts w:eastAsia="MS Mincho" w:cs="Arial"/>
                <w:color w:val="000000"/>
                <w:sz w:val="16"/>
                <w:szCs w:val="16"/>
                <w:lang w:eastAsia="ja-JP" w:bidi="th-TH"/>
              </w:rPr>
            </w:pPr>
            <w:r w:rsidRPr="00433F28">
              <w:rPr>
                <w:rFonts w:eastAsia="MS Mincho" w:cs="Arial"/>
                <w:color w:val="000000"/>
                <w:sz w:val="16"/>
                <w:szCs w:val="16"/>
                <w:lang w:eastAsia="ja-JP" w:bidi="th-TH"/>
              </w:rPr>
              <w:t>United Arab Emirates</w:t>
            </w:r>
            <w:r>
              <w:rPr>
                <w:rFonts w:eastAsia="MS Mincho" w:cs="Arial"/>
                <w:color w:val="000000"/>
                <w:sz w:val="16"/>
                <w:szCs w:val="16"/>
                <w:lang w:eastAsia="ja-JP" w:bidi="th-TH"/>
              </w:rPr>
              <w:t xml:space="preserve">/ </w:t>
            </w:r>
            <w:r w:rsidRPr="00433F28">
              <w:rPr>
                <w:rFonts w:eastAsia="MS Mincho" w:cs="Arial"/>
                <w:color w:val="000000"/>
                <w:sz w:val="16"/>
                <w:szCs w:val="16"/>
                <w:lang w:eastAsia="ja-JP" w:bidi="th-TH"/>
              </w:rPr>
              <w:t>23 participants</w:t>
            </w:r>
            <w:r>
              <w:rPr>
                <w:rFonts w:eastAsia="MS Mincho" w:cs="Arial"/>
                <w:color w:val="000000"/>
                <w:sz w:val="16"/>
                <w:szCs w:val="16"/>
                <w:lang w:eastAsia="ja-JP" w:bidi="th-TH"/>
              </w:rPr>
              <w:t xml:space="preserve"> from </w:t>
            </w:r>
            <w:r w:rsidRPr="00433F28">
              <w:rPr>
                <w:rFonts w:eastAsia="MS Mincho" w:cs="Arial"/>
                <w:color w:val="000000"/>
                <w:sz w:val="16"/>
                <w:szCs w:val="16"/>
                <w:lang w:eastAsia="ja-JP" w:bidi="th-TH"/>
              </w:rPr>
              <w:t>Bahrein, Kuwait,</w:t>
            </w:r>
            <w:r>
              <w:rPr>
                <w:rFonts w:eastAsia="MS Mincho" w:cs="Arial"/>
                <w:color w:val="000000"/>
                <w:sz w:val="16"/>
                <w:szCs w:val="16"/>
                <w:lang w:eastAsia="ja-JP" w:bidi="th-TH"/>
              </w:rPr>
              <w:t xml:space="preserve"> </w:t>
            </w:r>
            <w:r w:rsidRPr="00433F28">
              <w:rPr>
                <w:rFonts w:eastAsia="MS Mincho" w:cs="Arial"/>
                <w:color w:val="000000"/>
                <w:sz w:val="16"/>
                <w:szCs w:val="16"/>
                <w:lang w:eastAsia="ja-JP" w:bidi="th-TH"/>
              </w:rPr>
              <w:t>Lebanon</w:t>
            </w:r>
            <w:r>
              <w:rPr>
                <w:rFonts w:eastAsia="MS Mincho" w:cs="Arial"/>
                <w:color w:val="000000"/>
                <w:sz w:val="16"/>
                <w:szCs w:val="16"/>
                <w:lang w:eastAsia="ja-JP" w:bidi="th-TH"/>
              </w:rPr>
              <w:t xml:space="preserve">, </w:t>
            </w:r>
            <w:r w:rsidRPr="005C58F0">
              <w:rPr>
                <w:rFonts w:eastAsia="MS Mincho" w:cs="Arial"/>
                <w:color w:val="000000"/>
                <w:sz w:val="16"/>
                <w:szCs w:val="16"/>
                <w:lang w:eastAsia="ja-JP" w:bidi="th-TH"/>
              </w:rPr>
              <w:t>Oman</w:t>
            </w:r>
            <w:r>
              <w:rPr>
                <w:rFonts w:eastAsia="MS Mincho" w:cs="Arial"/>
                <w:color w:val="000000"/>
                <w:sz w:val="16"/>
                <w:szCs w:val="16"/>
                <w:lang w:eastAsia="ja-JP" w:bidi="th-TH"/>
              </w:rPr>
              <w:t>,</w:t>
            </w:r>
            <w:r w:rsidRPr="005C58F0">
              <w:rPr>
                <w:rFonts w:eastAsia="MS Mincho" w:cs="Arial"/>
                <w:color w:val="000000"/>
                <w:sz w:val="16"/>
                <w:szCs w:val="16"/>
                <w:lang w:eastAsia="ja-JP" w:bidi="th-TH"/>
              </w:rPr>
              <w:t xml:space="preserve"> </w:t>
            </w:r>
            <w:r w:rsidRPr="00433F28">
              <w:rPr>
                <w:rFonts w:eastAsia="MS Mincho" w:cs="Arial"/>
                <w:color w:val="000000"/>
                <w:sz w:val="16"/>
                <w:szCs w:val="16"/>
                <w:lang w:eastAsia="ja-JP" w:bidi="th-TH"/>
              </w:rPr>
              <w:t>Qatar, Saudi Arabia</w:t>
            </w:r>
            <w:r>
              <w:rPr>
                <w:rFonts w:eastAsia="MS Mincho" w:cs="Arial"/>
                <w:color w:val="000000"/>
                <w:sz w:val="16"/>
                <w:szCs w:val="16"/>
                <w:lang w:eastAsia="ja-JP" w:bidi="th-TH"/>
              </w:rPr>
              <w:t xml:space="preserve"> and </w:t>
            </w:r>
            <w:r w:rsidRPr="00433F28">
              <w:rPr>
                <w:rFonts w:eastAsia="MS Mincho" w:cs="Arial"/>
                <w:color w:val="000000"/>
                <w:sz w:val="16"/>
                <w:szCs w:val="16"/>
                <w:lang w:eastAsia="ja-JP" w:bidi="th-TH"/>
              </w:rPr>
              <w:t xml:space="preserve">United Arab Emirates </w:t>
            </w:r>
          </w:p>
        </w:tc>
        <w:tc>
          <w:tcPr>
            <w:tcW w:w="4586" w:type="dxa"/>
          </w:tcPr>
          <w:p w:rsidR="008355F0" w:rsidRPr="00433F28" w:rsidRDefault="008355F0" w:rsidP="003867F8">
            <w:pPr>
              <w:autoSpaceDE w:val="0"/>
              <w:autoSpaceDN w:val="0"/>
              <w:adjustRightInd w:val="0"/>
              <w:spacing w:before="60" w:after="60"/>
              <w:rPr>
                <w:rFonts w:eastAsia="MS Mincho" w:cs="Arial"/>
                <w:bCs/>
                <w:color w:val="000000"/>
                <w:sz w:val="16"/>
                <w:szCs w:val="16"/>
                <w:lang w:eastAsia="ja-JP" w:bidi="th-TH"/>
              </w:rPr>
            </w:pPr>
            <w:r w:rsidRPr="00433F28">
              <w:rPr>
                <w:rFonts w:eastAsia="MS Mincho" w:cs="Arial"/>
                <w:bCs/>
                <w:color w:val="000000"/>
                <w:sz w:val="16"/>
                <w:szCs w:val="16"/>
                <w:lang w:eastAsia="ja-JP" w:bidi="th-TH"/>
              </w:rPr>
              <w:t>To</w:t>
            </w:r>
            <w:r>
              <w:rPr>
                <w:rFonts w:eastAsia="MS Mincho" w:cs="Arial"/>
                <w:bCs/>
                <w:color w:val="000000"/>
                <w:sz w:val="16"/>
                <w:szCs w:val="16"/>
                <w:lang w:eastAsia="ja-JP" w:bidi="th-TH"/>
              </w:rPr>
              <w:t>:  (i)</w:t>
            </w:r>
            <w:r w:rsidRPr="00433F28">
              <w:rPr>
                <w:rFonts w:eastAsia="MS Mincho" w:cs="Arial"/>
                <w:bCs/>
                <w:color w:val="000000"/>
                <w:sz w:val="16"/>
                <w:szCs w:val="16"/>
                <w:lang w:eastAsia="ja-JP" w:bidi="th-TH"/>
              </w:rPr>
              <w:t xml:space="preserve"> sensitize the judiciary on industrial property</w:t>
            </w:r>
            <w:r>
              <w:rPr>
                <w:rFonts w:eastAsia="MS Mincho" w:cs="Arial"/>
                <w:bCs/>
                <w:color w:val="000000"/>
                <w:sz w:val="16"/>
                <w:szCs w:val="16"/>
                <w:lang w:eastAsia="ja-JP" w:bidi="th-TH"/>
              </w:rPr>
              <w:t>;  (ii)</w:t>
            </w:r>
            <w:r w:rsidRPr="00433F28">
              <w:rPr>
                <w:rFonts w:eastAsia="MS Mincho" w:cs="Arial"/>
                <w:bCs/>
                <w:color w:val="000000"/>
                <w:sz w:val="16"/>
                <w:szCs w:val="16"/>
                <w:lang w:eastAsia="ja-JP" w:bidi="th-TH"/>
              </w:rPr>
              <w:t xml:space="preserve"> </w:t>
            </w:r>
            <w:r>
              <w:rPr>
                <w:rFonts w:eastAsia="MS Mincho" w:cs="Arial"/>
                <w:bCs/>
                <w:color w:val="000000"/>
                <w:sz w:val="16"/>
                <w:szCs w:val="16"/>
                <w:lang w:eastAsia="ja-JP" w:bidi="th-TH"/>
              </w:rPr>
              <w:t xml:space="preserve">ensure </w:t>
            </w:r>
            <w:r w:rsidRPr="00433F28">
              <w:rPr>
                <w:rFonts w:eastAsia="MS Mincho" w:cs="Arial"/>
                <w:bCs/>
                <w:color w:val="000000"/>
                <w:sz w:val="16"/>
                <w:szCs w:val="16"/>
                <w:lang w:eastAsia="ja-JP" w:bidi="th-TH"/>
              </w:rPr>
              <w:t>court decisions compl</w:t>
            </w:r>
            <w:r>
              <w:rPr>
                <w:rFonts w:eastAsia="MS Mincho" w:cs="Arial"/>
                <w:bCs/>
                <w:color w:val="000000"/>
                <w:sz w:val="16"/>
                <w:szCs w:val="16"/>
                <w:lang w:eastAsia="ja-JP" w:bidi="th-TH"/>
              </w:rPr>
              <w:t>y</w:t>
            </w:r>
            <w:r w:rsidRPr="00433F28">
              <w:rPr>
                <w:rFonts w:eastAsia="MS Mincho" w:cs="Arial"/>
                <w:bCs/>
                <w:color w:val="000000"/>
                <w:sz w:val="16"/>
                <w:szCs w:val="16"/>
                <w:lang w:eastAsia="ja-JP" w:bidi="th-TH"/>
              </w:rPr>
              <w:t xml:space="preserve"> with the provisions of their national laws and international treaties to which their respective countries are party</w:t>
            </w:r>
            <w:r>
              <w:rPr>
                <w:rFonts w:eastAsia="MS Mincho" w:cs="Arial"/>
                <w:bCs/>
                <w:color w:val="000000"/>
                <w:sz w:val="16"/>
                <w:szCs w:val="16"/>
                <w:lang w:eastAsia="ja-JP" w:bidi="th-TH"/>
              </w:rPr>
              <w:t>;  and (iii) increase</w:t>
            </w:r>
            <w:r w:rsidRPr="00433F28">
              <w:rPr>
                <w:rFonts w:eastAsia="MS Mincho" w:cs="Arial"/>
                <w:bCs/>
                <w:color w:val="000000"/>
                <w:sz w:val="16"/>
                <w:szCs w:val="16"/>
                <w:lang w:eastAsia="ja-JP" w:bidi="th-TH"/>
              </w:rPr>
              <w:t xml:space="preserve"> consistency in the decisions taken by the judges both at the national and regional level.</w:t>
            </w:r>
          </w:p>
        </w:tc>
      </w:tr>
      <w:tr w:rsidR="008355F0" w:rsidRPr="00433F28" w:rsidTr="00E92F85">
        <w:tc>
          <w:tcPr>
            <w:tcW w:w="1980" w:type="dxa"/>
          </w:tcPr>
          <w:p w:rsidR="008355F0" w:rsidRPr="00433F28" w:rsidRDefault="008355F0" w:rsidP="003867F8">
            <w:pPr>
              <w:autoSpaceDE w:val="0"/>
              <w:autoSpaceDN w:val="0"/>
              <w:adjustRightInd w:val="0"/>
              <w:spacing w:before="60" w:after="60"/>
              <w:rPr>
                <w:rFonts w:eastAsia="MS Mincho" w:cs="Arial"/>
                <w:color w:val="000000"/>
                <w:sz w:val="16"/>
                <w:szCs w:val="16"/>
                <w:lang w:eastAsia="ja-JP" w:bidi="th-TH"/>
              </w:rPr>
            </w:pPr>
            <w:r>
              <w:rPr>
                <w:rFonts w:eastAsia="MS Mincho" w:cs="Arial"/>
                <w:color w:val="000000"/>
                <w:sz w:val="16"/>
                <w:szCs w:val="16"/>
                <w:lang w:eastAsia="ja-JP" w:bidi="th-TH"/>
              </w:rPr>
              <w:t>Side Events at</w:t>
            </w:r>
            <w:r w:rsidRPr="00433F28">
              <w:rPr>
                <w:rFonts w:eastAsia="MS Mincho" w:cs="Arial"/>
                <w:color w:val="000000"/>
                <w:sz w:val="16"/>
                <w:szCs w:val="16"/>
                <w:lang w:eastAsia="ja-JP" w:bidi="th-TH"/>
              </w:rPr>
              <w:t xml:space="preserve"> the COP21</w:t>
            </w:r>
          </w:p>
        </w:tc>
        <w:tc>
          <w:tcPr>
            <w:tcW w:w="1260" w:type="dxa"/>
          </w:tcPr>
          <w:p w:rsidR="008355F0" w:rsidRPr="00433F28" w:rsidRDefault="008355F0" w:rsidP="003867F8">
            <w:pPr>
              <w:autoSpaceDE w:val="0"/>
              <w:autoSpaceDN w:val="0"/>
              <w:adjustRightInd w:val="0"/>
              <w:spacing w:before="60" w:after="60"/>
              <w:rPr>
                <w:rFonts w:eastAsia="MS Mincho" w:cs="Arial"/>
                <w:color w:val="000000"/>
                <w:sz w:val="16"/>
                <w:szCs w:val="16"/>
                <w:lang w:eastAsia="ja-JP" w:bidi="th-TH"/>
              </w:rPr>
            </w:pPr>
            <w:r w:rsidRPr="00433F28">
              <w:rPr>
                <w:rFonts w:eastAsia="MS Mincho" w:cs="Arial"/>
                <w:color w:val="000000"/>
                <w:sz w:val="16"/>
                <w:szCs w:val="16"/>
                <w:lang w:eastAsia="ja-JP" w:bidi="th-TH"/>
              </w:rPr>
              <w:t>November 30  to December 11, 2015</w:t>
            </w:r>
          </w:p>
        </w:tc>
        <w:tc>
          <w:tcPr>
            <w:tcW w:w="1530" w:type="dxa"/>
          </w:tcPr>
          <w:p w:rsidR="008355F0" w:rsidRPr="00433F28" w:rsidRDefault="008355F0" w:rsidP="003867F8">
            <w:pPr>
              <w:autoSpaceDE w:val="0"/>
              <w:autoSpaceDN w:val="0"/>
              <w:adjustRightInd w:val="0"/>
              <w:spacing w:before="60" w:after="60"/>
              <w:rPr>
                <w:rFonts w:eastAsia="MS Mincho" w:cs="Arial"/>
                <w:color w:val="000000"/>
                <w:sz w:val="16"/>
                <w:szCs w:val="16"/>
                <w:lang w:eastAsia="ja-JP" w:bidi="th-TH"/>
              </w:rPr>
            </w:pPr>
            <w:r w:rsidRPr="00433F28">
              <w:rPr>
                <w:rFonts w:eastAsia="MS Mincho" w:cs="Arial"/>
                <w:color w:val="000000"/>
                <w:sz w:val="16"/>
                <w:szCs w:val="16"/>
                <w:lang w:eastAsia="ja-JP" w:bidi="th-TH"/>
              </w:rPr>
              <w:t>France</w:t>
            </w:r>
          </w:p>
        </w:tc>
        <w:tc>
          <w:tcPr>
            <w:tcW w:w="4586" w:type="dxa"/>
          </w:tcPr>
          <w:p w:rsidR="008355F0" w:rsidRPr="00433F28" w:rsidRDefault="008355F0" w:rsidP="003867F8">
            <w:pPr>
              <w:autoSpaceDE w:val="0"/>
              <w:autoSpaceDN w:val="0"/>
              <w:adjustRightInd w:val="0"/>
              <w:spacing w:before="60" w:after="60"/>
              <w:rPr>
                <w:rFonts w:eastAsia="MS Mincho" w:cs="Arial"/>
                <w:bCs/>
                <w:color w:val="000000"/>
                <w:sz w:val="16"/>
                <w:szCs w:val="16"/>
                <w:lang w:eastAsia="ja-JP" w:bidi="th-TH"/>
              </w:rPr>
            </w:pPr>
            <w:r w:rsidRPr="00433F28">
              <w:rPr>
                <w:rFonts w:eastAsia="MS Mincho" w:cs="Arial"/>
                <w:bCs/>
                <w:color w:val="000000"/>
                <w:sz w:val="16"/>
                <w:szCs w:val="16"/>
                <w:lang w:eastAsia="ja-JP" w:bidi="th-TH"/>
              </w:rPr>
              <w:t>To give the opportunity to French and international SMEs to</w:t>
            </w:r>
            <w:r>
              <w:rPr>
                <w:rFonts w:eastAsia="MS Mincho" w:cs="Arial"/>
                <w:bCs/>
                <w:color w:val="000000"/>
                <w:sz w:val="16"/>
                <w:szCs w:val="16"/>
                <w:lang w:eastAsia="ja-JP" w:bidi="th-TH"/>
              </w:rPr>
              <w:t xml:space="preserve"> </w:t>
            </w:r>
            <w:r w:rsidRPr="00433F28">
              <w:rPr>
                <w:rFonts w:eastAsia="MS Mincho" w:cs="Arial"/>
                <w:bCs/>
                <w:color w:val="000000"/>
                <w:sz w:val="16"/>
                <w:szCs w:val="16"/>
                <w:lang w:eastAsia="ja-JP" w:bidi="th-TH"/>
              </w:rPr>
              <w:t>demonstrate</w:t>
            </w:r>
            <w:r>
              <w:rPr>
                <w:rFonts w:eastAsia="MS Mincho" w:cs="Arial"/>
                <w:bCs/>
                <w:color w:val="000000"/>
                <w:sz w:val="16"/>
                <w:szCs w:val="16"/>
                <w:lang w:eastAsia="ja-JP" w:bidi="th-TH"/>
              </w:rPr>
              <w:t xml:space="preserve">:  (i) that </w:t>
            </w:r>
            <w:r w:rsidRPr="00433F28">
              <w:rPr>
                <w:rFonts w:eastAsia="MS Mincho" w:cs="Arial"/>
                <w:bCs/>
                <w:color w:val="000000"/>
                <w:sz w:val="16"/>
                <w:szCs w:val="16"/>
                <w:lang w:eastAsia="ja-JP" w:bidi="th-TH"/>
              </w:rPr>
              <w:t>Industrial Property is not an obstacle to  sustainable development and climate protection</w:t>
            </w:r>
            <w:r>
              <w:rPr>
                <w:rFonts w:eastAsia="MS Mincho" w:cs="Arial"/>
                <w:bCs/>
                <w:color w:val="000000"/>
                <w:sz w:val="16"/>
                <w:szCs w:val="16"/>
                <w:lang w:eastAsia="ja-JP" w:bidi="th-TH"/>
              </w:rPr>
              <w:t xml:space="preserve">; </w:t>
            </w:r>
            <w:r w:rsidRPr="00433F28">
              <w:rPr>
                <w:rFonts w:eastAsia="MS Mincho" w:cs="Arial"/>
                <w:bCs/>
                <w:color w:val="000000"/>
                <w:sz w:val="16"/>
                <w:szCs w:val="16"/>
                <w:lang w:eastAsia="ja-JP" w:bidi="th-TH"/>
              </w:rPr>
              <w:t xml:space="preserve"> and </w:t>
            </w:r>
            <w:r>
              <w:rPr>
                <w:rFonts w:eastAsia="MS Mincho" w:cs="Arial"/>
                <w:bCs/>
                <w:color w:val="000000"/>
                <w:sz w:val="16"/>
                <w:szCs w:val="16"/>
                <w:lang w:eastAsia="ja-JP" w:bidi="th-TH"/>
              </w:rPr>
              <w:t xml:space="preserve">(ii) how </w:t>
            </w:r>
            <w:r w:rsidRPr="00433F28">
              <w:rPr>
                <w:rFonts w:eastAsia="MS Mincho" w:cs="Arial"/>
                <w:bCs/>
                <w:color w:val="000000"/>
                <w:sz w:val="16"/>
                <w:szCs w:val="16"/>
                <w:lang w:eastAsia="ja-JP" w:bidi="th-TH"/>
              </w:rPr>
              <w:t xml:space="preserve">Industrial Property can contribute to </w:t>
            </w:r>
            <w:r>
              <w:rPr>
                <w:rFonts w:eastAsia="MS Mincho" w:cs="Arial"/>
                <w:bCs/>
                <w:color w:val="000000"/>
                <w:sz w:val="16"/>
                <w:szCs w:val="16"/>
                <w:lang w:eastAsia="ja-JP" w:bidi="th-TH"/>
              </w:rPr>
              <w:t xml:space="preserve">the </w:t>
            </w:r>
            <w:r w:rsidRPr="00433F28">
              <w:rPr>
                <w:rFonts w:eastAsia="MS Mincho" w:cs="Arial"/>
                <w:bCs/>
                <w:color w:val="000000"/>
                <w:sz w:val="16"/>
                <w:szCs w:val="16"/>
                <w:lang w:eastAsia="ja-JP" w:bidi="th-TH"/>
              </w:rPr>
              <w:t>develop</w:t>
            </w:r>
            <w:r>
              <w:rPr>
                <w:rFonts w:eastAsia="MS Mincho" w:cs="Arial"/>
                <w:bCs/>
                <w:color w:val="000000"/>
                <w:sz w:val="16"/>
                <w:szCs w:val="16"/>
                <w:lang w:eastAsia="ja-JP" w:bidi="th-TH"/>
              </w:rPr>
              <w:t>ment of</w:t>
            </w:r>
            <w:r w:rsidRPr="00433F28">
              <w:rPr>
                <w:rFonts w:eastAsia="MS Mincho" w:cs="Arial"/>
                <w:bCs/>
                <w:color w:val="000000"/>
                <w:sz w:val="16"/>
                <w:szCs w:val="16"/>
                <w:lang w:eastAsia="ja-JP" w:bidi="th-TH"/>
              </w:rPr>
              <w:t xml:space="preserve"> innovations that mitigate</w:t>
            </w:r>
            <w:r>
              <w:rPr>
                <w:rFonts w:eastAsia="MS Mincho" w:cs="Arial"/>
                <w:bCs/>
                <w:color w:val="000000"/>
                <w:sz w:val="16"/>
                <w:szCs w:val="16"/>
                <w:lang w:eastAsia="ja-JP" w:bidi="th-TH"/>
              </w:rPr>
              <w:t>,</w:t>
            </w:r>
            <w:r w:rsidRPr="00433F28">
              <w:rPr>
                <w:rFonts w:eastAsia="MS Mincho" w:cs="Arial"/>
                <w:bCs/>
                <w:color w:val="000000"/>
                <w:sz w:val="16"/>
                <w:szCs w:val="16"/>
                <w:lang w:eastAsia="ja-JP" w:bidi="th-TH"/>
              </w:rPr>
              <w:t xml:space="preserve"> among others</w:t>
            </w:r>
            <w:r>
              <w:rPr>
                <w:rFonts w:eastAsia="MS Mincho" w:cs="Arial"/>
                <w:bCs/>
                <w:color w:val="000000"/>
                <w:sz w:val="16"/>
                <w:szCs w:val="16"/>
                <w:lang w:eastAsia="ja-JP" w:bidi="th-TH"/>
              </w:rPr>
              <w:t>,</w:t>
            </w:r>
            <w:r w:rsidRPr="00433F28">
              <w:rPr>
                <w:rFonts w:eastAsia="MS Mincho" w:cs="Arial"/>
                <w:bCs/>
                <w:color w:val="000000"/>
                <w:sz w:val="16"/>
                <w:szCs w:val="16"/>
                <w:lang w:eastAsia="ja-JP" w:bidi="th-TH"/>
              </w:rPr>
              <w:t xml:space="preserve"> negative effects of climate change</w:t>
            </w:r>
            <w:r>
              <w:rPr>
                <w:rFonts w:eastAsia="MS Mincho" w:cs="Arial"/>
                <w:bCs/>
                <w:color w:val="000000"/>
                <w:sz w:val="16"/>
                <w:szCs w:val="16"/>
                <w:lang w:eastAsia="ja-JP" w:bidi="th-TH"/>
              </w:rPr>
              <w:t>.</w:t>
            </w:r>
          </w:p>
        </w:tc>
      </w:tr>
      <w:tr w:rsidR="008355F0" w:rsidRPr="00433F28" w:rsidTr="00E92F85">
        <w:tc>
          <w:tcPr>
            <w:tcW w:w="1980" w:type="dxa"/>
          </w:tcPr>
          <w:p w:rsidR="008355F0" w:rsidRPr="00433F28" w:rsidRDefault="008355F0" w:rsidP="003867F8">
            <w:pPr>
              <w:autoSpaceDE w:val="0"/>
              <w:autoSpaceDN w:val="0"/>
              <w:adjustRightInd w:val="0"/>
              <w:spacing w:before="60" w:after="60"/>
              <w:rPr>
                <w:rFonts w:eastAsia="MS Mincho" w:cs="Arial"/>
                <w:color w:val="000000"/>
                <w:sz w:val="16"/>
                <w:szCs w:val="16"/>
                <w:lang w:val="fr-CH" w:eastAsia="ja-JP" w:bidi="th-TH"/>
              </w:rPr>
            </w:pPr>
            <w:r w:rsidRPr="00433F28">
              <w:rPr>
                <w:rFonts w:eastAsia="MS Mincho" w:cs="Arial"/>
                <w:color w:val="000000"/>
                <w:sz w:val="16"/>
                <w:szCs w:val="16"/>
                <w:lang w:val="fr-CH" w:eastAsia="ja-JP" w:bidi="th-TH"/>
              </w:rPr>
              <w:t>CAPI (</w:t>
            </w:r>
            <w:r w:rsidRPr="00424CF5">
              <w:rPr>
                <w:rFonts w:eastAsia="MS Mincho" w:cs="Arial"/>
                <w:i/>
                <w:color w:val="000000"/>
                <w:sz w:val="16"/>
                <w:szCs w:val="16"/>
                <w:lang w:val="fr-CH" w:eastAsia="ja-JP" w:bidi="th-TH"/>
              </w:rPr>
              <w:t>Certificat d’animateur propriété intellectuelle</w:t>
            </w:r>
            <w:r w:rsidRPr="00433F28">
              <w:rPr>
                <w:rFonts w:eastAsia="MS Mincho" w:cs="Arial"/>
                <w:color w:val="000000"/>
                <w:sz w:val="16"/>
                <w:szCs w:val="16"/>
                <w:lang w:val="fr-CH" w:eastAsia="ja-JP" w:bidi="th-TH"/>
              </w:rPr>
              <w:t xml:space="preserve">) Training Program with </w:t>
            </w:r>
            <w:r>
              <w:rPr>
                <w:rFonts w:eastAsia="MS Mincho" w:cs="Arial"/>
                <w:color w:val="000000"/>
                <w:sz w:val="16"/>
                <w:szCs w:val="16"/>
                <w:lang w:val="fr-CH" w:eastAsia="ja-JP" w:bidi="th-TH"/>
              </w:rPr>
              <w:t xml:space="preserve">the </w:t>
            </w:r>
            <w:r w:rsidRPr="00D1383B">
              <w:rPr>
                <w:rFonts w:eastAsia="MS Mincho" w:cs="Arial"/>
                <w:i/>
                <w:color w:val="000000"/>
                <w:sz w:val="16"/>
                <w:szCs w:val="16"/>
                <w:lang w:val="fr-CH" w:eastAsia="ja-JP" w:bidi="th-TH"/>
              </w:rPr>
              <w:t>Institut national de la propriété industrielle</w:t>
            </w:r>
            <w:r w:rsidRPr="00D1383B">
              <w:rPr>
                <w:rFonts w:eastAsia="MS Mincho" w:cs="Arial"/>
                <w:color w:val="000000"/>
                <w:sz w:val="16"/>
                <w:szCs w:val="16"/>
                <w:lang w:val="fr-CH" w:eastAsia="ja-JP" w:bidi="th-TH"/>
              </w:rPr>
              <w:t xml:space="preserve"> </w:t>
            </w:r>
            <w:r>
              <w:rPr>
                <w:rFonts w:eastAsia="MS Mincho" w:cs="Arial"/>
                <w:color w:val="000000"/>
                <w:sz w:val="16"/>
                <w:szCs w:val="16"/>
                <w:lang w:val="fr-CH" w:eastAsia="ja-JP" w:bidi="th-TH"/>
              </w:rPr>
              <w:t>(</w:t>
            </w:r>
            <w:r w:rsidRPr="00433F28">
              <w:rPr>
                <w:rFonts w:eastAsia="MS Mincho" w:cs="Arial"/>
                <w:color w:val="000000"/>
                <w:sz w:val="16"/>
                <w:szCs w:val="16"/>
                <w:lang w:val="fr-CH" w:eastAsia="ja-JP" w:bidi="th-TH"/>
              </w:rPr>
              <w:t>INPI</w:t>
            </w:r>
            <w:r>
              <w:rPr>
                <w:rFonts w:eastAsia="MS Mincho" w:cs="Arial"/>
                <w:color w:val="000000"/>
                <w:sz w:val="16"/>
                <w:szCs w:val="16"/>
                <w:lang w:val="fr-CH" w:eastAsia="ja-JP" w:bidi="th-TH"/>
              </w:rPr>
              <w:t>) France</w:t>
            </w:r>
            <w:r w:rsidRPr="00433F28">
              <w:rPr>
                <w:rFonts w:eastAsia="MS Mincho" w:cs="Arial"/>
                <w:color w:val="000000"/>
                <w:sz w:val="16"/>
                <w:szCs w:val="16"/>
                <w:lang w:val="fr-CH" w:eastAsia="ja-JP" w:bidi="th-TH"/>
              </w:rPr>
              <w:t xml:space="preserve"> and </w:t>
            </w:r>
            <w:r>
              <w:rPr>
                <w:rFonts w:eastAsia="MS Mincho" w:cs="Arial"/>
                <w:color w:val="000000"/>
                <w:sz w:val="16"/>
                <w:szCs w:val="16"/>
                <w:lang w:val="fr-CH" w:eastAsia="ja-JP" w:bidi="th-TH"/>
              </w:rPr>
              <w:t xml:space="preserve">the </w:t>
            </w:r>
            <w:r w:rsidRPr="00D1383B">
              <w:rPr>
                <w:rFonts w:eastAsia="MS Mincho" w:cs="Arial"/>
                <w:i/>
                <w:color w:val="000000"/>
                <w:sz w:val="16"/>
                <w:szCs w:val="16"/>
                <w:lang w:val="fr-CH" w:eastAsia="ja-JP" w:bidi="th-TH"/>
              </w:rPr>
              <w:t>Office Marocain de la Propriété Industrielle et Commerciale</w:t>
            </w:r>
            <w:r w:rsidRPr="00D1383B">
              <w:rPr>
                <w:rFonts w:eastAsia="MS Mincho" w:cs="Arial"/>
                <w:color w:val="000000"/>
                <w:sz w:val="16"/>
                <w:szCs w:val="16"/>
                <w:lang w:val="fr-CH" w:eastAsia="ja-JP" w:bidi="th-TH"/>
              </w:rPr>
              <w:t xml:space="preserve"> </w:t>
            </w:r>
            <w:r>
              <w:rPr>
                <w:rFonts w:eastAsia="MS Mincho" w:cs="Arial"/>
                <w:color w:val="000000"/>
                <w:sz w:val="16"/>
                <w:szCs w:val="16"/>
                <w:lang w:val="fr-CH" w:eastAsia="ja-JP" w:bidi="th-TH"/>
              </w:rPr>
              <w:t>(</w:t>
            </w:r>
            <w:r w:rsidRPr="00433F28">
              <w:rPr>
                <w:rFonts w:eastAsia="MS Mincho" w:cs="Arial"/>
                <w:color w:val="000000"/>
                <w:sz w:val="16"/>
                <w:szCs w:val="16"/>
                <w:lang w:val="fr-CH" w:eastAsia="ja-JP" w:bidi="th-TH"/>
              </w:rPr>
              <w:t>OMPIC</w:t>
            </w:r>
            <w:r>
              <w:rPr>
                <w:rFonts w:eastAsia="MS Mincho" w:cs="Arial"/>
                <w:color w:val="000000"/>
                <w:sz w:val="16"/>
                <w:szCs w:val="16"/>
                <w:lang w:val="fr-CH" w:eastAsia="ja-JP" w:bidi="th-TH"/>
              </w:rPr>
              <w:t>)</w:t>
            </w:r>
          </w:p>
        </w:tc>
        <w:tc>
          <w:tcPr>
            <w:tcW w:w="1260" w:type="dxa"/>
          </w:tcPr>
          <w:p w:rsidR="008355F0" w:rsidRPr="00424CF5" w:rsidRDefault="008355F0" w:rsidP="003867F8">
            <w:pPr>
              <w:autoSpaceDE w:val="0"/>
              <w:autoSpaceDN w:val="0"/>
              <w:adjustRightInd w:val="0"/>
              <w:spacing w:before="60" w:after="60"/>
              <w:rPr>
                <w:rFonts w:eastAsia="MS Mincho" w:cs="Arial"/>
                <w:color w:val="000000"/>
                <w:sz w:val="16"/>
                <w:szCs w:val="16"/>
                <w:lang w:eastAsia="ja-JP" w:bidi="th-TH"/>
              </w:rPr>
            </w:pPr>
            <w:r w:rsidRPr="00424CF5">
              <w:rPr>
                <w:rFonts w:eastAsia="MS Mincho" w:cs="Arial"/>
                <w:color w:val="000000"/>
                <w:sz w:val="16"/>
                <w:szCs w:val="16"/>
                <w:lang w:eastAsia="ja-JP" w:bidi="th-TH"/>
              </w:rPr>
              <w:t>December 12 to 31, 2015</w:t>
            </w:r>
          </w:p>
          <w:p w:rsidR="008355F0" w:rsidRPr="00424CF5" w:rsidRDefault="008355F0" w:rsidP="003867F8">
            <w:pPr>
              <w:autoSpaceDE w:val="0"/>
              <w:autoSpaceDN w:val="0"/>
              <w:adjustRightInd w:val="0"/>
              <w:spacing w:before="60" w:after="60"/>
              <w:rPr>
                <w:rFonts w:eastAsia="MS Mincho" w:cs="Arial"/>
                <w:color w:val="000000"/>
                <w:sz w:val="16"/>
                <w:szCs w:val="16"/>
                <w:lang w:eastAsia="ja-JP" w:bidi="th-TH"/>
              </w:rPr>
            </w:pPr>
          </w:p>
          <w:p w:rsidR="008355F0" w:rsidRPr="00424CF5" w:rsidRDefault="008355F0" w:rsidP="003867F8">
            <w:pPr>
              <w:autoSpaceDE w:val="0"/>
              <w:autoSpaceDN w:val="0"/>
              <w:adjustRightInd w:val="0"/>
              <w:spacing w:before="60" w:after="60"/>
              <w:rPr>
                <w:rFonts w:eastAsia="MS Mincho" w:cs="Arial"/>
                <w:color w:val="000000"/>
                <w:sz w:val="16"/>
                <w:szCs w:val="16"/>
                <w:lang w:eastAsia="ja-JP" w:bidi="th-TH"/>
              </w:rPr>
            </w:pPr>
            <w:r w:rsidRPr="00424CF5">
              <w:rPr>
                <w:rFonts w:eastAsia="MS Mincho" w:cs="Arial"/>
                <w:color w:val="000000"/>
                <w:sz w:val="16"/>
                <w:szCs w:val="16"/>
                <w:lang w:eastAsia="ja-JP" w:bidi="th-TH"/>
              </w:rPr>
              <w:t>(Expected completion April 8, 2016)</w:t>
            </w:r>
          </w:p>
        </w:tc>
        <w:tc>
          <w:tcPr>
            <w:tcW w:w="1530" w:type="dxa"/>
          </w:tcPr>
          <w:p w:rsidR="008355F0" w:rsidRPr="00433F28" w:rsidRDefault="008355F0" w:rsidP="003867F8">
            <w:pPr>
              <w:autoSpaceDE w:val="0"/>
              <w:autoSpaceDN w:val="0"/>
              <w:adjustRightInd w:val="0"/>
              <w:spacing w:before="60" w:after="60"/>
              <w:rPr>
                <w:rFonts w:eastAsia="MS Mincho" w:cs="Arial"/>
                <w:color w:val="000000"/>
                <w:sz w:val="16"/>
                <w:szCs w:val="16"/>
                <w:lang w:eastAsia="ja-JP" w:bidi="th-TH"/>
              </w:rPr>
            </w:pPr>
            <w:r w:rsidRPr="00433F28">
              <w:rPr>
                <w:rFonts w:eastAsia="MS Mincho" w:cs="Arial"/>
                <w:color w:val="000000"/>
                <w:sz w:val="16"/>
                <w:szCs w:val="16"/>
                <w:lang w:eastAsia="ja-JP" w:bidi="th-TH"/>
              </w:rPr>
              <w:t>Morocco</w:t>
            </w:r>
            <w:r>
              <w:rPr>
                <w:rFonts w:eastAsia="MS Mincho" w:cs="Arial"/>
                <w:color w:val="000000"/>
                <w:sz w:val="16"/>
                <w:szCs w:val="16"/>
                <w:lang w:eastAsia="ja-JP" w:bidi="th-TH"/>
              </w:rPr>
              <w:t xml:space="preserve">/ </w:t>
            </w:r>
            <w:r w:rsidRPr="00433F28">
              <w:rPr>
                <w:rFonts w:eastAsia="MS Mincho" w:cs="Arial"/>
                <w:color w:val="000000"/>
                <w:sz w:val="16"/>
                <w:szCs w:val="16"/>
                <w:lang w:eastAsia="ja-JP" w:bidi="th-TH"/>
              </w:rPr>
              <w:t>10 participants from Algeria, Camero</w:t>
            </w:r>
            <w:r>
              <w:rPr>
                <w:rFonts w:eastAsia="MS Mincho" w:cs="Arial"/>
                <w:color w:val="000000"/>
                <w:sz w:val="16"/>
                <w:szCs w:val="16"/>
                <w:lang w:eastAsia="ja-JP" w:bidi="th-TH"/>
              </w:rPr>
              <w:t>o</w:t>
            </w:r>
            <w:r w:rsidRPr="00433F28">
              <w:rPr>
                <w:rFonts w:eastAsia="MS Mincho" w:cs="Arial"/>
                <w:color w:val="000000"/>
                <w:sz w:val="16"/>
                <w:szCs w:val="16"/>
                <w:lang w:eastAsia="ja-JP" w:bidi="th-TH"/>
              </w:rPr>
              <w:t xml:space="preserve">n, </w:t>
            </w:r>
            <w:r w:rsidRPr="00794FED">
              <w:rPr>
                <w:rFonts w:eastAsia="MS Mincho" w:cs="Arial"/>
                <w:color w:val="000000"/>
                <w:sz w:val="16"/>
                <w:szCs w:val="16"/>
                <w:lang w:eastAsia="ja-JP" w:bidi="th-TH"/>
              </w:rPr>
              <w:t>Côte</w:t>
            </w:r>
            <w:r w:rsidRPr="00433F28">
              <w:rPr>
                <w:rFonts w:eastAsia="MS Mincho" w:cs="Arial"/>
                <w:color w:val="000000"/>
                <w:sz w:val="16"/>
                <w:szCs w:val="16"/>
                <w:lang w:eastAsia="ja-JP" w:bidi="th-TH"/>
              </w:rPr>
              <w:t xml:space="preserve"> d’Ivoire, Senegal and Tunisia </w:t>
            </w:r>
          </w:p>
        </w:tc>
        <w:tc>
          <w:tcPr>
            <w:tcW w:w="4586" w:type="dxa"/>
          </w:tcPr>
          <w:p w:rsidR="008355F0" w:rsidRPr="00433F28" w:rsidRDefault="008355F0" w:rsidP="001221C5">
            <w:pPr>
              <w:spacing w:before="60" w:after="60"/>
              <w:rPr>
                <w:rFonts w:eastAsia="MS Mincho" w:cs="Arial"/>
                <w:bCs/>
                <w:color w:val="000000"/>
                <w:sz w:val="16"/>
                <w:szCs w:val="16"/>
                <w:lang w:eastAsia="ja-JP" w:bidi="th-TH"/>
              </w:rPr>
            </w:pPr>
            <w:r>
              <w:rPr>
                <w:rFonts w:eastAsia="MS Mincho" w:cs="Arial"/>
                <w:bCs/>
                <w:color w:val="000000"/>
                <w:sz w:val="16"/>
                <w:szCs w:val="16"/>
                <w:lang w:eastAsia="ja-JP" w:bidi="th-TH"/>
              </w:rPr>
              <w:t>A certified training program aimed at meeting the needs of businesses and professionals who wish to:  (i) d</w:t>
            </w:r>
            <w:r w:rsidRPr="00433F28">
              <w:rPr>
                <w:rFonts w:eastAsia="MS Mincho" w:cs="Arial"/>
                <w:bCs/>
                <w:color w:val="000000"/>
                <w:sz w:val="16"/>
                <w:szCs w:val="16"/>
                <w:lang w:eastAsia="ja-JP" w:bidi="th-TH"/>
              </w:rPr>
              <w:t xml:space="preserve">evelop expertise in </w:t>
            </w:r>
            <w:r>
              <w:rPr>
                <w:rFonts w:eastAsia="MS Mincho" w:cs="Arial"/>
                <w:bCs/>
                <w:color w:val="000000"/>
                <w:sz w:val="16"/>
                <w:szCs w:val="16"/>
                <w:lang w:eastAsia="ja-JP" w:bidi="th-TH"/>
              </w:rPr>
              <w:t xml:space="preserve">the management of </w:t>
            </w:r>
            <w:r w:rsidRPr="00433F28">
              <w:rPr>
                <w:rFonts w:eastAsia="MS Mincho" w:cs="Arial"/>
                <w:bCs/>
                <w:color w:val="000000"/>
                <w:sz w:val="16"/>
                <w:szCs w:val="16"/>
                <w:lang w:eastAsia="ja-JP" w:bidi="th-TH"/>
              </w:rPr>
              <w:t xml:space="preserve">Industrial </w:t>
            </w:r>
            <w:r>
              <w:rPr>
                <w:rFonts w:eastAsia="MS Mincho" w:cs="Arial"/>
                <w:bCs/>
                <w:color w:val="000000"/>
                <w:sz w:val="16"/>
                <w:szCs w:val="16"/>
                <w:lang w:eastAsia="ja-JP" w:bidi="th-TH"/>
              </w:rPr>
              <w:t>P</w:t>
            </w:r>
            <w:r w:rsidRPr="00433F28">
              <w:rPr>
                <w:rFonts w:eastAsia="MS Mincho" w:cs="Arial"/>
                <w:bCs/>
                <w:color w:val="000000"/>
                <w:sz w:val="16"/>
                <w:szCs w:val="16"/>
                <w:lang w:eastAsia="ja-JP" w:bidi="th-TH"/>
              </w:rPr>
              <w:t>roperty rights</w:t>
            </w:r>
            <w:r>
              <w:rPr>
                <w:rFonts w:eastAsia="MS Mincho" w:cs="Arial"/>
                <w:bCs/>
                <w:color w:val="000000"/>
                <w:sz w:val="16"/>
                <w:szCs w:val="16"/>
                <w:lang w:eastAsia="ja-JP" w:bidi="th-TH"/>
              </w:rPr>
              <w:t xml:space="preserve">;  (ii) understand </w:t>
            </w:r>
            <w:r w:rsidRPr="00433F28">
              <w:rPr>
                <w:rFonts w:eastAsia="MS Mincho" w:cs="Arial"/>
                <w:bCs/>
                <w:color w:val="000000"/>
                <w:sz w:val="16"/>
                <w:szCs w:val="16"/>
                <w:lang w:eastAsia="ja-JP" w:bidi="th-TH"/>
              </w:rPr>
              <w:t>the challenges of Industrial Property</w:t>
            </w:r>
            <w:r>
              <w:rPr>
                <w:rFonts w:eastAsia="MS Mincho" w:cs="Arial"/>
                <w:bCs/>
                <w:color w:val="000000"/>
                <w:sz w:val="16"/>
                <w:szCs w:val="16"/>
                <w:lang w:eastAsia="ja-JP" w:bidi="th-TH"/>
              </w:rPr>
              <w:t xml:space="preserve">;  (iii) improve efficiency in the management and valuation of intangible </w:t>
            </w:r>
            <w:r w:rsidRPr="00433F28">
              <w:rPr>
                <w:rFonts w:eastAsia="MS Mincho" w:cs="Arial"/>
                <w:bCs/>
                <w:color w:val="000000"/>
                <w:sz w:val="16"/>
                <w:szCs w:val="16"/>
                <w:lang w:eastAsia="ja-JP" w:bidi="th-TH"/>
              </w:rPr>
              <w:t>assets</w:t>
            </w:r>
            <w:r>
              <w:rPr>
                <w:rFonts w:eastAsia="MS Mincho" w:cs="Arial"/>
                <w:bCs/>
                <w:color w:val="000000"/>
                <w:sz w:val="16"/>
                <w:szCs w:val="16"/>
                <w:lang w:eastAsia="ja-JP" w:bidi="th-TH"/>
              </w:rPr>
              <w:t>;  and (iv) m</w:t>
            </w:r>
            <w:r w:rsidRPr="00433F28">
              <w:rPr>
                <w:rFonts w:eastAsia="MS Mincho" w:cs="Arial"/>
                <w:bCs/>
                <w:color w:val="000000"/>
                <w:sz w:val="16"/>
                <w:szCs w:val="16"/>
                <w:lang w:eastAsia="ja-JP" w:bidi="th-TH"/>
              </w:rPr>
              <w:t xml:space="preserve">aster the </w:t>
            </w:r>
            <w:r>
              <w:rPr>
                <w:rFonts w:eastAsia="MS Mincho" w:cs="Arial"/>
                <w:bCs/>
                <w:color w:val="000000"/>
                <w:sz w:val="16"/>
                <w:szCs w:val="16"/>
                <w:lang w:eastAsia="ja-JP" w:bidi="th-TH"/>
              </w:rPr>
              <w:t xml:space="preserve">use of </w:t>
            </w:r>
            <w:r w:rsidRPr="00433F28">
              <w:rPr>
                <w:rFonts w:eastAsia="MS Mincho" w:cs="Arial"/>
                <w:bCs/>
                <w:color w:val="000000"/>
                <w:sz w:val="16"/>
                <w:szCs w:val="16"/>
                <w:lang w:eastAsia="ja-JP" w:bidi="th-TH"/>
              </w:rPr>
              <w:t>protection and search tools</w:t>
            </w:r>
            <w:r>
              <w:rPr>
                <w:rFonts w:eastAsia="MS Mincho" w:cs="Arial"/>
                <w:bCs/>
                <w:color w:val="000000"/>
                <w:sz w:val="16"/>
                <w:szCs w:val="16"/>
                <w:lang w:eastAsia="ja-JP" w:bidi="th-TH"/>
              </w:rPr>
              <w:t>.</w:t>
            </w:r>
            <w:r w:rsidRPr="00433F28">
              <w:rPr>
                <w:rFonts w:eastAsia="MS Mincho" w:cs="Arial"/>
                <w:bCs/>
                <w:color w:val="000000"/>
                <w:sz w:val="16"/>
                <w:szCs w:val="16"/>
                <w:lang w:eastAsia="ja-JP" w:bidi="th-TH"/>
              </w:rPr>
              <w:t xml:space="preserve"> </w:t>
            </w:r>
            <w:r>
              <w:rPr>
                <w:rFonts w:eastAsia="MS Mincho" w:cs="Arial"/>
                <w:bCs/>
                <w:color w:val="000000"/>
                <w:sz w:val="16"/>
                <w:szCs w:val="16"/>
                <w:lang w:eastAsia="ja-JP" w:bidi="th-TH"/>
              </w:rPr>
              <w:t xml:space="preserve"> </w:t>
            </w:r>
          </w:p>
        </w:tc>
      </w:tr>
    </w:tbl>
    <w:p w:rsidR="008355F0" w:rsidRDefault="008355F0" w:rsidP="003867F8">
      <w:pPr>
        <w:rPr>
          <w:rFonts w:cs="Arial"/>
          <w:b/>
          <w:szCs w:val="16"/>
        </w:rPr>
      </w:pPr>
    </w:p>
    <w:p w:rsidR="008355F0" w:rsidRDefault="008355F0" w:rsidP="003867F8">
      <w:pPr>
        <w:rPr>
          <w:rFonts w:cs="Arial"/>
          <w:b/>
          <w:szCs w:val="16"/>
        </w:rPr>
      </w:pPr>
    </w:p>
    <w:p w:rsidR="008355F0" w:rsidRDefault="008355F0" w:rsidP="003867F8">
      <w:pPr>
        <w:rPr>
          <w:rFonts w:cs="Arial"/>
          <w:b/>
          <w:color w:val="000000"/>
          <w:szCs w:val="16"/>
        </w:rPr>
      </w:pPr>
      <w:r w:rsidRPr="00433F28">
        <w:rPr>
          <w:rFonts w:cs="Arial"/>
          <w:b/>
          <w:szCs w:val="16"/>
        </w:rPr>
        <w:t xml:space="preserve">FRANCE/ INDUSTRIAL PROPERTY </w:t>
      </w:r>
      <w:r w:rsidRPr="00433F28">
        <w:rPr>
          <w:rFonts w:cs="Arial"/>
          <w:b/>
          <w:color w:val="000000"/>
          <w:szCs w:val="16"/>
        </w:rPr>
        <w:t>Donor Contributions and Expenditure in 2015</w:t>
      </w:r>
    </w:p>
    <w:p w:rsidR="008355F0" w:rsidRPr="00433F28" w:rsidRDefault="008355F0" w:rsidP="003867F8">
      <w:pPr>
        <w:rPr>
          <w:rFonts w:cs="Arial"/>
          <w:b/>
          <w:color w:val="000000"/>
          <w:szCs w:val="16"/>
        </w:rPr>
      </w:pPr>
    </w:p>
    <w:tbl>
      <w:tblPr>
        <w:tblW w:w="9366" w:type="dxa"/>
        <w:tblInd w:w="98" w:type="dxa"/>
        <w:tblLook w:val="04A0" w:firstRow="1" w:lastRow="0" w:firstColumn="1" w:lastColumn="0" w:noHBand="0" w:noVBand="1"/>
      </w:tblPr>
      <w:tblGrid>
        <w:gridCol w:w="2040"/>
        <w:gridCol w:w="1640"/>
        <w:gridCol w:w="1860"/>
        <w:gridCol w:w="1780"/>
        <w:gridCol w:w="2046"/>
      </w:tblGrid>
      <w:tr w:rsidR="008355F0" w:rsidRPr="00433F28" w:rsidTr="00E92F85">
        <w:trPr>
          <w:trHeight w:val="450"/>
        </w:trPr>
        <w:tc>
          <w:tcPr>
            <w:tcW w:w="2040" w:type="dxa"/>
            <w:tcBorders>
              <w:top w:val="single" w:sz="8" w:space="0" w:color="auto"/>
              <w:left w:val="single" w:sz="8" w:space="0" w:color="auto"/>
              <w:bottom w:val="nil"/>
              <w:right w:val="single" w:sz="8" w:space="0" w:color="auto"/>
            </w:tcBorders>
            <w:shd w:val="clear" w:color="auto" w:fill="C6D9F1" w:themeFill="text2" w:themeFillTint="33"/>
            <w:vAlign w:val="center"/>
            <w:hideMark/>
          </w:tcPr>
          <w:p w:rsidR="008355F0" w:rsidRPr="00433F28" w:rsidRDefault="008355F0" w:rsidP="003867F8">
            <w:pPr>
              <w:jc w:val="center"/>
              <w:rPr>
                <w:rFonts w:cs="Arial"/>
                <w:b/>
                <w:bCs/>
                <w:color w:val="000000"/>
                <w:sz w:val="16"/>
                <w:szCs w:val="16"/>
              </w:rPr>
            </w:pPr>
            <w:r w:rsidRPr="00433F28">
              <w:rPr>
                <w:rFonts w:cs="Arial"/>
                <w:b/>
                <w:bCs/>
                <w:color w:val="000000"/>
                <w:sz w:val="16"/>
                <w:szCs w:val="16"/>
              </w:rPr>
              <w:t>Balance as of December 31, 2014</w:t>
            </w:r>
          </w:p>
        </w:tc>
        <w:tc>
          <w:tcPr>
            <w:tcW w:w="1640" w:type="dxa"/>
            <w:tcBorders>
              <w:top w:val="single" w:sz="8" w:space="0" w:color="auto"/>
              <w:left w:val="nil"/>
              <w:bottom w:val="nil"/>
              <w:right w:val="single" w:sz="8" w:space="0" w:color="auto"/>
            </w:tcBorders>
            <w:shd w:val="clear" w:color="auto" w:fill="C6D9F1" w:themeFill="text2" w:themeFillTint="33"/>
            <w:vAlign w:val="center"/>
            <w:hideMark/>
          </w:tcPr>
          <w:p w:rsidR="008355F0" w:rsidRPr="00433F28" w:rsidRDefault="008355F0" w:rsidP="003867F8">
            <w:pPr>
              <w:jc w:val="center"/>
              <w:rPr>
                <w:rFonts w:cs="Arial"/>
                <w:b/>
                <w:bCs/>
                <w:color w:val="000000"/>
                <w:sz w:val="16"/>
                <w:szCs w:val="16"/>
              </w:rPr>
            </w:pPr>
            <w:r w:rsidRPr="00433F28">
              <w:rPr>
                <w:rFonts w:cs="Arial"/>
                <w:b/>
                <w:bCs/>
                <w:color w:val="000000"/>
                <w:sz w:val="16"/>
                <w:szCs w:val="16"/>
              </w:rPr>
              <w:t>Income 2015</w:t>
            </w:r>
          </w:p>
        </w:tc>
        <w:tc>
          <w:tcPr>
            <w:tcW w:w="1860" w:type="dxa"/>
            <w:tcBorders>
              <w:top w:val="single" w:sz="8" w:space="0" w:color="auto"/>
              <w:left w:val="nil"/>
              <w:bottom w:val="nil"/>
              <w:right w:val="single" w:sz="8" w:space="0" w:color="auto"/>
            </w:tcBorders>
            <w:shd w:val="clear" w:color="auto" w:fill="C6D9F1" w:themeFill="text2" w:themeFillTint="33"/>
            <w:vAlign w:val="center"/>
            <w:hideMark/>
          </w:tcPr>
          <w:p w:rsidR="008355F0" w:rsidRPr="00433F28" w:rsidRDefault="008355F0" w:rsidP="003867F8">
            <w:pPr>
              <w:jc w:val="center"/>
              <w:rPr>
                <w:rFonts w:cs="Arial"/>
                <w:b/>
                <w:bCs/>
                <w:color w:val="000000"/>
                <w:sz w:val="16"/>
                <w:szCs w:val="16"/>
              </w:rPr>
            </w:pPr>
            <w:r w:rsidRPr="00433F28">
              <w:rPr>
                <w:rFonts w:cs="Arial"/>
                <w:b/>
                <w:bCs/>
                <w:color w:val="000000"/>
                <w:sz w:val="16"/>
                <w:szCs w:val="16"/>
              </w:rPr>
              <w:t>Expenditure 2015</w:t>
            </w:r>
          </w:p>
        </w:tc>
        <w:tc>
          <w:tcPr>
            <w:tcW w:w="1780" w:type="dxa"/>
            <w:tcBorders>
              <w:top w:val="single" w:sz="8" w:space="0" w:color="auto"/>
              <w:left w:val="nil"/>
              <w:bottom w:val="nil"/>
              <w:right w:val="single" w:sz="8" w:space="0" w:color="auto"/>
            </w:tcBorders>
            <w:shd w:val="clear" w:color="auto" w:fill="C6D9F1" w:themeFill="text2" w:themeFillTint="33"/>
            <w:vAlign w:val="center"/>
            <w:hideMark/>
          </w:tcPr>
          <w:p w:rsidR="008355F0" w:rsidRPr="00433F28" w:rsidRDefault="008355F0" w:rsidP="003867F8">
            <w:pPr>
              <w:jc w:val="center"/>
              <w:rPr>
                <w:rFonts w:cs="Arial"/>
                <w:b/>
                <w:bCs/>
                <w:color w:val="000000"/>
                <w:sz w:val="16"/>
                <w:szCs w:val="16"/>
              </w:rPr>
            </w:pPr>
            <w:r w:rsidRPr="00433F28">
              <w:rPr>
                <w:rFonts w:cs="Arial"/>
                <w:b/>
                <w:bCs/>
                <w:color w:val="000000"/>
                <w:sz w:val="16"/>
                <w:szCs w:val="16"/>
              </w:rPr>
              <w:t>Reimbursements</w:t>
            </w:r>
          </w:p>
        </w:tc>
        <w:tc>
          <w:tcPr>
            <w:tcW w:w="2046" w:type="dxa"/>
            <w:tcBorders>
              <w:top w:val="single" w:sz="8" w:space="0" w:color="auto"/>
              <w:left w:val="nil"/>
              <w:bottom w:val="nil"/>
              <w:right w:val="single" w:sz="8" w:space="0" w:color="auto"/>
            </w:tcBorders>
            <w:shd w:val="clear" w:color="auto" w:fill="C6D9F1" w:themeFill="text2" w:themeFillTint="33"/>
            <w:vAlign w:val="center"/>
            <w:hideMark/>
          </w:tcPr>
          <w:p w:rsidR="008355F0" w:rsidRPr="00433F28" w:rsidRDefault="008355F0" w:rsidP="003867F8">
            <w:pPr>
              <w:jc w:val="center"/>
              <w:rPr>
                <w:rFonts w:cs="Arial"/>
                <w:b/>
                <w:bCs/>
                <w:color w:val="000000"/>
                <w:sz w:val="16"/>
                <w:szCs w:val="16"/>
              </w:rPr>
            </w:pPr>
            <w:r w:rsidRPr="00433F28">
              <w:rPr>
                <w:rFonts w:cs="Arial"/>
                <w:b/>
                <w:bCs/>
                <w:color w:val="000000"/>
                <w:sz w:val="16"/>
                <w:szCs w:val="16"/>
              </w:rPr>
              <w:t>Balance as of December</w:t>
            </w:r>
            <w:r>
              <w:rPr>
                <w:rFonts w:cs="Arial"/>
                <w:b/>
                <w:bCs/>
                <w:color w:val="000000"/>
                <w:sz w:val="16"/>
                <w:szCs w:val="16"/>
              </w:rPr>
              <w:t> </w:t>
            </w:r>
            <w:r w:rsidRPr="00433F28">
              <w:rPr>
                <w:rFonts w:cs="Arial"/>
                <w:b/>
                <w:bCs/>
                <w:color w:val="000000"/>
                <w:sz w:val="16"/>
                <w:szCs w:val="16"/>
              </w:rPr>
              <w:t>31, 2015</w:t>
            </w:r>
          </w:p>
        </w:tc>
      </w:tr>
      <w:tr w:rsidR="008355F0" w:rsidRPr="00433F28" w:rsidTr="00E92F85">
        <w:trPr>
          <w:trHeight w:val="255"/>
        </w:trPr>
        <w:tc>
          <w:tcPr>
            <w:tcW w:w="20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55F0" w:rsidRPr="00433F28" w:rsidRDefault="008355F0" w:rsidP="003867F8">
            <w:pPr>
              <w:jc w:val="center"/>
              <w:rPr>
                <w:rFonts w:cs="Arial"/>
                <w:color w:val="000000"/>
                <w:sz w:val="16"/>
                <w:szCs w:val="16"/>
              </w:rPr>
            </w:pPr>
            <w:r w:rsidRPr="00433F28">
              <w:rPr>
                <w:rFonts w:cs="Arial"/>
                <w:color w:val="000000"/>
                <w:sz w:val="16"/>
                <w:szCs w:val="16"/>
              </w:rPr>
              <w:t>1,027,640</w:t>
            </w:r>
          </w:p>
        </w:tc>
        <w:tc>
          <w:tcPr>
            <w:tcW w:w="1640" w:type="dxa"/>
            <w:tcBorders>
              <w:top w:val="single" w:sz="4" w:space="0" w:color="auto"/>
              <w:left w:val="nil"/>
              <w:bottom w:val="single" w:sz="4" w:space="0" w:color="auto"/>
              <w:right w:val="single" w:sz="4" w:space="0" w:color="auto"/>
            </w:tcBorders>
            <w:shd w:val="clear" w:color="auto" w:fill="auto"/>
            <w:vAlign w:val="center"/>
            <w:hideMark/>
          </w:tcPr>
          <w:p w:rsidR="008355F0" w:rsidRPr="00433F28" w:rsidRDefault="008355F0" w:rsidP="003867F8">
            <w:pPr>
              <w:jc w:val="center"/>
              <w:rPr>
                <w:rFonts w:cs="Arial"/>
                <w:color w:val="000000"/>
                <w:sz w:val="16"/>
                <w:szCs w:val="16"/>
              </w:rPr>
            </w:pPr>
            <w:r w:rsidRPr="00433F28">
              <w:rPr>
                <w:rFonts w:cs="Arial"/>
                <w:color w:val="000000"/>
                <w:sz w:val="16"/>
                <w:szCs w:val="16"/>
              </w:rPr>
              <w:t>292,662</w:t>
            </w:r>
          </w:p>
        </w:tc>
        <w:tc>
          <w:tcPr>
            <w:tcW w:w="1860" w:type="dxa"/>
            <w:tcBorders>
              <w:top w:val="single" w:sz="4" w:space="0" w:color="auto"/>
              <w:left w:val="nil"/>
              <w:bottom w:val="single" w:sz="4" w:space="0" w:color="auto"/>
              <w:right w:val="single" w:sz="4" w:space="0" w:color="auto"/>
            </w:tcBorders>
            <w:shd w:val="clear" w:color="auto" w:fill="auto"/>
            <w:vAlign w:val="center"/>
            <w:hideMark/>
          </w:tcPr>
          <w:p w:rsidR="008355F0" w:rsidRPr="00433F28" w:rsidRDefault="008355F0" w:rsidP="003867F8">
            <w:pPr>
              <w:jc w:val="center"/>
              <w:rPr>
                <w:rFonts w:cs="Arial"/>
                <w:color w:val="000000"/>
                <w:sz w:val="16"/>
                <w:szCs w:val="16"/>
              </w:rPr>
            </w:pPr>
            <w:r w:rsidRPr="00433F28">
              <w:rPr>
                <w:rFonts w:cs="Arial"/>
                <w:color w:val="000000"/>
                <w:sz w:val="16"/>
                <w:szCs w:val="16"/>
              </w:rPr>
              <w:t>359,804</w:t>
            </w:r>
          </w:p>
        </w:tc>
        <w:tc>
          <w:tcPr>
            <w:tcW w:w="1780" w:type="dxa"/>
            <w:tcBorders>
              <w:top w:val="single" w:sz="4" w:space="0" w:color="auto"/>
              <w:left w:val="nil"/>
              <w:bottom w:val="single" w:sz="4" w:space="0" w:color="auto"/>
              <w:right w:val="single" w:sz="4" w:space="0" w:color="auto"/>
            </w:tcBorders>
            <w:shd w:val="clear" w:color="auto" w:fill="auto"/>
            <w:noWrap/>
            <w:vAlign w:val="center"/>
            <w:hideMark/>
          </w:tcPr>
          <w:p w:rsidR="008355F0" w:rsidRPr="00433F28" w:rsidRDefault="008355F0" w:rsidP="003867F8">
            <w:pPr>
              <w:jc w:val="center"/>
              <w:rPr>
                <w:rFonts w:cs="Arial"/>
                <w:color w:val="000000"/>
                <w:sz w:val="16"/>
                <w:szCs w:val="16"/>
              </w:rPr>
            </w:pPr>
            <w:r>
              <w:rPr>
                <w:rFonts w:cs="Arial"/>
                <w:color w:val="000000"/>
                <w:sz w:val="16"/>
                <w:szCs w:val="16"/>
              </w:rPr>
              <w:t>-</w:t>
            </w:r>
          </w:p>
        </w:tc>
        <w:tc>
          <w:tcPr>
            <w:tcW w:w="2046" w:type="dxa"/>
            <w:tcBorders>
              <w:top w:val="single" w:sz="4" w:space="0" w:color="auto"/>
              <w:left w:val="nil"/>
              <w:bottom w:val="single" w:sz="4" w:space="0" w:color="auto"/>
              <w:right w:val="single" w:sz="4" w:space="0" w:color="auto"/>
            </w:tcBorders>
            <w:shd w:val="clear" w:color="auto" w:fill="auto"/>
            <w:vAlign w:val="center"/>
            <w:hideMark/>
          </w:tcPr>
          <w:p w:rsidR="008355F0" w:rsidRPr="00433F28" w:rsidRDefault="008355F0" w:rsidP="003867F8">
            <w:pPr>
              <w:jc w:val="center"/>
              <w:rPr>
                <w:rFonts w:cs="Arial"/>
                <w:color w:val="000000"/>
                <w:sz w:val="16"/>
                <w:szCs w:val="16"/>
              </w:rPr>
            </w:pPr>
            <w:r w:rsidRPr="00433F28">
              <w:rPr>
                <w:rFonts w:cs="Arial"/>
                <w:color w:val="000000"/>
                <w:sz w:val="16"/>
                <w:szCs w:val="16"/>
              </w:rPr>
              <w:t>960,497</w:t>
            </w:r>
          </w:p>
        </w:tc>
      </w:tr>
    </w:tbl>
    <w:p w:rsidR="008355F0" w:rsidRDefault="008355F0" w:rsidP="003867F8">
      <w:pPr>
        <w:rPr>
          <w:rFonts w:cs="Arial"/>
          <w:b/>
          <w:szCs w:val="20"/>
        </w:rPr>
      </w:pPr>
    </w:p>
    <w:p w:rsidR="008355F0" w:rsidRDefault="008355F0" w:rsidP="003867F8">
      <w:pPr>
        <w:rPr>
          <w:rFonts w:cs="Arial"/>
          <w:b/>
          <w:szCs w:val="20"/>
        </w:rPr>
      </w:pPr>
    </w:p>
    <w:p w:rsidR="008355F0" w:rsidRDefault="008355F0" w:rsidP="003867F8">
      <w:pPr>
        <w:rPr>
          <w:rFonts w:cs="Arial"/>
          <w:b/>
          <w:szCs w:val="20"/>
          <w:u w:val="single"/>
        </w:rPr>
      </w:pPr>
      <w:r w:rsidRPr="00FE196C">
        <w:rPr>
          <w:rFonts w:cs="Arial"/>
          <w:b/>
          <w:szCs w:val="20"/>
        </w:rPr>
        <w:t>IBERO–AMERICAN PROGRAM FOR INDUSTRIAL PROPERTY</w:t>
      </w:r>
      <w:r>
        <w:rPr>
          <w:rStyle w:val="FootnoteReference"/>
          <w:rFonts w:cs="Arial"/>
          <w:b/>
          <w:szCs w:val="20"/>
          <w:u w:val="single"/>
        </w:rPr>
        <w:footnoteReference w:id="155"/>
      </w:r>
    </w:p>
    <w:p w:rsidR="008355F0" w:rsidRDefault="008355F0" w:rsidP="003867F8">
      <w:pPr>
        <w:rPr>
          <w:rFonts w:cs="Arial"/>
          <w:b/>
          <w:szCs w:val="20"/>
          <w:u w:val="single"/>
        </w:rPr>
      </w:pPr>
    </w:p>
    <w:tbl>
      <w:tblPr>
        <w:tblW w:w="9356" w:type="dxa"/>
        <w:tblInd w:w="10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43"/>
        <w:gridCol w:w="1134"/>
        <w:gridCol w:w="2126"/>
        <w:gridCol w:w="4253"/>
      </w:tblGrid>
      <w:tr w:rsidR="008355F0" w:rsidRPr="002B7DE5" w:rsidTr="00E92F85">
        <w:tc>
          <w:tcPr>
            <w:tcW w:w="9356" w:type="dxa"/>
            <w:gridSpan w:val="4"/>
            <w:tcBorders>
              <w:top w:val="single" w:sz="4" w:space="0" w:color="000000"/>
              <w:bottom w:val="single" w:sz="4" w:space="0" w:color="000000"/>
            </w:tcBorders>
            <w:shd w:val="clear" w:color="auto" w:fill="C6D9F1"/>
            <w:vAlign w:val="center"/>
          </w:tcPr>
          <w:p w:rsidR="008355F0" w:rsidRPr="002B7DE5" w:rsidRDefault="008355F0" w:rsidP="003867F8">
            <w:pPr>
              <w:keepNext/>
              <w:keepLines/>
              <w:tabs>
                <w:tab w:val="left" w:pos="1740"/>
              </w:tabs>
              <w:spacing w:before="120" w:after="120"/>
              <w:ind w:left="1740" w:hanging="1740"/>
              <w:rPr>
                <w:rFonts w:cs="Arial"/>
                <w:b/>
                <w:bCs/>
                <w:sz w:val="16"/>
                <w:szCs w:val="16"/>
              </w:rPr>
            </w:pPr>
            <w:r w:rsidRPr="00774D44">
              <w:rPr>
                <w:rFonts w:cs="Arial"/>
                <w:b/>
                <w:bCs/>
                <w:color w:val="000000"/>
                <w:sz w:val="16"/>
                <w:szCs w:val="16"/>
              </w:rPr>
              <w:t>RESULT</w:t>
            </w:r>
            <w:r w:rsidRPr="002B7DE5">
              <w:rPr>
                <w:rFonts w:cs="Arial"/>
                <w:b/>
                <w:bCs/>
                <w:sz w:val="16"/>
                <w:szCs w:val="16"/>
              </w:rPr>
              <w:t>:</w:t>
            </w:r>
            <w:r w:rsidRPr="002B7DE5">
              <w:rPr>
                <w:rFonts w:cs="Arial"/>
                <w:b/>
                <w:bCs/>
                <w:sz w:val="16"/>
                <w:szCs w:val="16"/>
              </w:rPr>
              <w:tab/>
            </w:r>
            <w:r w:rsidRPr="00937F04">
              <w:rPr>
                <w:rFonts w:cs="Arial"/>
                <w:bCs/>
                <w:color w:val="000000"/>
                <w:sz w:val="16"/>
                <w:szCs w:val="16"/>
              </w:rPr>
              <w:t>III.2. Enhanced human resource capacities able to deal with the broad range of requirements for the effective use of IP for development in developing countries, LDCs and countries with economies in transition</w:t>
            </w:r>
          </w:p>
        </w:tc>
      </w:tr>
      <w:tr w:rsidR="008355F0" w:rsidRPr="002B7DE5" w:rsidTr="00E92F85">
        <w:tc>
          <w:tcPr>
            <w:tcW w:w="1843" w:type="dxa"/>
            <w:tcBorders>
              <w:top w:val="single" w:sz="4" w:space="0" w:color="000000"/>
            </w:tcBorders>
            <w:vAlign w:val="center"/>
          </w:tcPr>
          <w:p w:rsidR="008355F0" w:rsidRPr="002B7DE5" w:rsidRDefault="008355F0" w:rsidP="003867F8">
            <w:pPr>
              <w:keepNext/>
              <w:keepLines/>
              <w:spacing w:before="60" w:after="60"/>
              <w:rPr>
                <w:rFonts w:cs="Arial"/>
                <w:b/>
                <w:bCs/>
                <w:sz w:val="16"/>
                <w:szCs w:val="16"/>
              </w:rPr>
            </w:pPr>
            <w:r w:rsidRPr="002B7DE5">
              <w:rPr>
                <w:rFonts w:cs="Arial"/>
                <w:b/>
                <w:bCs/>
                <w:sz w:val="16"/>
                <w:szCs w:val="16"/>
              </w:rPr>
              <w:t>Activity</w:t>
            </w:r>
          </w:p>
        </w:tc>
        <w:tc>
          <w:tcPr>
            <w:tcW w:w="1134" w:type="dxa"/>
            <w:tcBorders>
              <w:top w:val="single" w:sz="4" w:space="0" w:color="000000"/>
            </w:tcBorders>
            <w:shd w:val="clear" w:color="auto" w:fill="auto"/>
            <w:tcMar>
              <w:top w:w="110" w:type="dxa"/>
            </w:tcMar>
            <w:vAlign w:val="center"/>
          </w:tcPr>
          <w:p w:rsidR="008355F0" w:rsidRPr="002B7DE5" w:rsidRDefault="008355F0" w:rsidP="003867F8">
            <w:pPr>
              <w:spacing w:before="60" w:after="60"/>
              <w:rPr>
                <w:rFonts w:cs="Arial"/>
                <w:sz w:val="16"/>
                <w:szCs w:val="16"/>
              </w:rPr>
            </w:pPr>
            <w:r w:rsidRPr="002B7DE5">
              <w:rPr>
                <w:rFonts w:cs="Arial"/>
                <w:b/>
                <w:bCs/>
                <w:sz w:val="16"/>
                <w:szCs w:val="16"/>
              </w:rPr>
              <w:t>Date</w:t>
            </w:r>
          </w:p>
        </w:tc>
        <w:tc>
          <w:tcPr>
            <w:tcW w:w="2126" w:type="dxa"/>
            <w:tcBorders>
              <w:top w:val="single" w:sz="4" w:space="0" w:color="000000"/>
            </w:tcBorders>
            <w:shd w:val="clear" w:color="auto" w:fill="auto"/>
            <w:tcMar>
              <w:top w:w="110" w:type="dxa"/>
            </w:tcMar>
            <w:vAlign w:val="center"/>
          </w:tcPr>
          <w:p w:rsidR="008355F0" w:rsidRPr="002B7DE5" w:rsidRDefault="008355F0" w:rsidP="003867F8">
            <w:pPr>
              <w:spacing w:before="60" w:after="60"/>
              <w:rPr>
                <w:rFonts w:cs="Arial"/>
                <w:sz w:val="16"/>
                <w:szCs w:val="16"/>
              </w:rPr>
            </w:pPr>
            <w:r w:rsidRPr="002B7DE5">
              <w:rPr>
                <w:rFonts w:cs="Arial"/>
                <w:b/>
                <w:bCs/>
                <w:sz w:val="16"/>
                <w:szCs w:val="16"/>
              </w:rPr>
              <w:t>Host Country/</w:t>
            </w:r>
            <w:r w:rsidRPr="002B7DE5">
              <w:rPr>
                <w:rFonts w:cs="Arial"/>
                <w:b/>
                <w:bCs/>
                <w:sz w:val="16"/>
                <w:szCs w:val="16"/>
              </w:rPr>
              <w:br/>
              <w:t>Recipients</w:t>
            </w:r>
          </w:p>
        </w:tc>
        <w:tc>
          <w:tcPr>
            <w:tcW w:w="4253" w:type="dxa"/>
            <w:tcBorders>
              <w:top w:val="single" w:sz="4" w:space="0" w:color="000000"/>
            </w:tcBorders>
            <w:shd w:val="clear" w:color="auto" w:fill="FFFFFF"/>
            <w:tcMar>
              <w:top w:w="110" w:type="dxa"/>
            </w:tcMar>
            <w:vAlign w:val="center"/>
          </w:tcPr>
          <w:p w:rsidR="008355F0" w:rsidRPr="002B7DE5" w:rsidRDefault="008355F0" w:rsidP="003867F8">
            <w:pPr>
              <w:spacing w:before="60" w:after="60"/>
              <w:rPr>
                <w:rFonts w:cs="Arial"/>
                <w:sz w:val="16"/>
                <w:szCs w:val="16"/>
              </w:rPr>
            </w:pPr>
            <w:r w:rsidRPr="002B7DE5">
              <w:rPr>
                <w:rFonts w:cs="Arial"/>
                <w:b/>
                <w:bCs/>
                <w:sz w:val="16"/>
                <w:szCs w:val="16"/>
              </w:rPr>
              <w:t>Purpose(s)/Description(s)</w:t>
            </w:r>
          </w:p>
        </w:tc>
      </w:tr>
      <w:tr w:rsidR="008355F0" w:rsidRPr="00774D44" w:rsidTr="00E92F85">
        <w:trPr>
          <w:trHeight w:val="520"/>
        </w:trPr>
        <w:tc>
          <w:tcPr>
            <w:tcW w:w="1843" w:type="dxa"/>
            <w:tcBorders>
              <w:bottom w:val="nil"/>
            </w:tcBorders>
          </w:tcPr>
          <w:p w:rsidR="008355F0" w:rsidRPr="00B5064B" w:rsidDel="009E0498" w:rsidRDefault="008355F0" w:rsidP="003867F8">
            <w:pPr>
              <w:autoSpaceDE w:val="0"/>
              <w:autoSpaceDN w:val="0"/>
              <w:adjustRightInd w:val="0"/>
              <w:spacing w:before="60" w:after="60"/>
              <w:rPr>
                <w:rFonts w:cs="Arial"/>
                <w:color w:val="000000"/>
                <w:sz w:val="16"/>
                <w:szCs w:val="16"/>
              </w:rPr>
            </w:pPr>
            <w:r w:rsidRPr="004F2087">
              <w:rPr>
                <w:rFonts w:cs="Arial"/>
                <w:color w:val="000000"/>
                <w:sz w:val="16"/>
                <w:szCs w:val="16"/>
              </w:rPr>
              <w:t>Platform in Spanish on IP services and contents to the Ibero</w:t>
            </w:r>
            <w:r>
              <w:rPr>
                <w:rFonts w:cs="Arial"/>
                <w:color w:val="000000"/>
                <w:sz w:val="16"/>
                <w:szCs w:val="16"/>
              </w:rPr>
              <w:t>-A</w:t>
            </w:r>
            <w:r w:rsidRPr="004F2087">
              <w:rPr>
                <w:rFonts w:cs="Arial"/>
                <w:color w:val="000000"/>
                <w:sz w:val="16"/>
                <w:szCs w:val="16"/>
              </w:rPr>
              <w:t>merican entrepreneurial sector with special focus on SMEs (CIBEPYME).</w:t>
            </w:r>
          </w:p>
        </w:tc>
        <w:tc>
          <w:tcPr>
            <w:tcW w:w="1134" w:type="dxa"/>
            <w:tcBorders>
              <w:bottom w:val="nil"/>
            </w:tcBorders>
          </w:tcPr>
          <w:p w:rsidR="008355F0" w:rsidRDefault="008355F0" w:rsidP="003867F8">
            <w:pPr>
              <w:autoSpaceDE w:val="0"/>
              <w:autoSpaceDN w:val="0"/>
              <w:adjustRightInd w:val="0"/>
              <w:spacing w:before="60" w:after="60"/>
              <w:rPr>
                <w:rFonts w:cs="Arial"/>
                <w:color w:val="000000"/>
                <w:sz w:val="16"/>
                <w:szCs w:val="16"/>
              </w:rPr>
            </w:pPr>
            <w:r>
              <w:rPr>
                <w:rFonts w:cs="Arial"/>
                <w:color w:val="000000"/>
                <w:sz w:val="16"/>
                <w:szCs w:val="16"/>
              </w:rPr>
              <w:t>January to December, 2015</w:t>
            </w:r>
          </w:p>
          <w:p w:rsidR="008355F0" w:rsidRPr="00774D44" w:rsidRDefault="008355F0" w:rsidP="003867F8">
            <w:pPr>
              <w:autoSpaceDE w:val="0"/>
              <w:autoSpaceDN w:val="0"/>
              <w:adjustRightInd w:val="0"/>
              <w:spacing w:before="60" w:after="60"/>
              <w:rPr>
                <w:rFonts w:cs="Arial"/>
                <w:color w:val="000000"/>
                <w:sz w:val="16"/>
                <w:szCs w:val="16"/>
              </w:rPr>
            </w:pPr>
            <w:r>
              <w:rPr>
                <w:rFonts w:cs="Arial"/>
                <w:color w:val="000000"/>
                <w:sz w:val="16"/>
                <w:szCs w:val="16"/>
              </w:rPr>
              <w:t>(ongoing)</w:t>
            </w:r>
          </w:p>
        </w:tc>
        <w:tc>
          <w:tcPr>
            <w:tcW w:w="2126" w:type="dxa"/>
            <w:tcBorders>
              <w:bottom w:val="nil"/>
            </w:tcBorders>
          </w:tcPr>
          <w:p w:rsidR="008355F0" w:rsidRPr="00774D44" w:rsidRDefault="008355F0" w:rsidP="003867F8">
            <w:pPr>
              <w:autoSpaceDE w:val="0"/>
              <w:autoSpaceDN w:val="0"/>
              <w:adjustRightInd w:val="0"/>
              <w:spacing w:before="60" w:after="60"/>
              <w:rPr>
                <w:rFonts w:cs="Arial"/>
                <w:color w:val="000000"/>
                <w:sz w:val="16"/>
                <w:szCs w:val="16"/>
              </w:rPr>
            </w:pPr>
            <w:r w:rsidRPr="004F2087">
              <w:rPr>
                <w:rFonts w:cs="Arial"/>
                <w:color w:val="000000"/>
                <w:sz w:val="16"/>
                <w:szCs w:val="16"/>
              </w:rPr>
              <w:t>All Ibero</w:t>
            </w:r>
            <w:r>
              <w:rPr>
                <w:rFonts w:cs="Arial"/>
                <w:color w:val="000000"/>
                <w:sz w:val="16"/>
                <w:szCs w:val="16"/>
              </w:rPr>
              <w:t>-A</w:t>
            </w:r>
            <w:r w:rsidRPr="004F2087">
              <w:rPr>
                <w:rFonts w:cs="Arial"/>
                <w:color w:val="000000"/>
                <w:sz w:val="16"/>
                <w:szCs w:val="16"/>
              </w:rPr>
              <w:t>merican countries</w:t>
            </w:r>
          </w:p>
        </w:tc>
        <w:tc>
          <w:tcPr>
            <w:tcW w:w="4253" w:type="dxa"/>
            <w:tcBorders>
              <w:bottom w:val="nil"/>
            </w:tcBorders>
          </w:tcPr>
          <w:p w:rsidR="008355F0" w:rsidDel="00152E3E" w:rsidRDefault="008355F0" w:rsidP="003867F8">
            <w:pPr>
              <w:autoSpaceDE w:val="0"/>
              <w:autoSpaceDN w:val="0"/>
              <w:adjustRightInd w:val="0"/>
              <w:spacing w:before="60" w:after="60"/>
              <w:rPr>
                <w:rFonts w:cs="Arial"/>
                <w:color w:val="000000"/>
                <w:sz w:val="16"/>
                <w:szCs w:val="16"/>
              </w:rPr>
            </w:pPr>
            <w:r>
              <w:rPr>
                <w:rFonts w:cs="Arial"/>
                <w:color w:val="000000"/>
                <w:sz w:val="16"/>
                <w:szCs w:val="16"/>
              </w:rPr>
              <w:t>T</w:t>
            </w:r>
            <w:r w:rsidRPr="004F2087">
              <w:rPr>
                <w:rFonts w:cs="Arial"/>
                <w:color w:val="000000"/>
                <w:sz w:val="16"/>
                <w:szCs w:val="16"/>
              </w:rPr>
              <w:t xml:space="preserve">o strengthen the capacity </w:t>
            </w:r>
            <w:r>
              <w:rPr>
                <w:rFonts w:cs="Arial"/>
                <w:color w:val="000000"/>
                <w:sz w:val="16"/>
                <w:szCs w:val="16"/>
              </w:rPr>
              <w:t xml:space="preserve">and promote the use of </w:t>
            </w:r>
            <w:r w:rsidRPr="004F2087">
              <w:rPr>
                <w:rFonts w:cs="Arial"/>
                <w:color w:val="000000"/>
                <w:sz w:val="16"/>
                <w:szCs w:val="16"/>
              </w:rPr>
              <w:t>IP as an important tool for business.</w:t>
            </w:r>
          </w:p>
        </w:tc>
      </w:tr>
      <w:tr w:rsidR="008355F0" w:rsidRPr="00774D44" w:rsidTr="00E92F85">
        <w:trPr>
          <w:trHeight w:val="520"/>
        </w:trPr>
        <w:tc>
          <w:tcPr>
            <w:tcW w:w="9356" w:type="dxa"/>
            <w:gridSpan w:val="4"/>
            <w:tcBorders>
              <w:top w:val="single" w:sz="4" w:space="0" w:color="000000"/>
              <w:bottom w:val="single" w:sz="4" w:space="0" w:color="000000"/>
            </w:tcBorders>
            <w:shd w:val="clear" w:color="auto" w:fill="C6D9F1"/>
          </w:tcPr>
          <w:p w:rsidR="008355F0" w:rsidDel="00152E3E" w:rsidRDefault="008355F0" w:rsidP="003867F8">
            <w:pPr>
              <w:keepNext/>
              <w:keepLines/>
              <w:tabs>
                <w:tab w:val="left" w:pos="1740"/>
              </w:tabs>
              <w:spacing w:before="120" w:after="120"/>
              <w:ind w:left="1740" w:hanging="1740"/>
              <w:rPr>
                <w:rFonts w:cs="Arial"/>
                <w:color w:val="000000"/>
                <w:sz w:val="16"/>
                <w:szCs w:val="16"/>
              </w:rPr>
            </w:pPr>
            <w:r w:rsidRPr="00A911C1">
              <w:rPr>
                <w:rFonts w:cs="Arial"/>
                <w:b/>
                <w:bCs/>
                <w:color w:val="000000"/>
                <w:sz w:val="16"/>
                <w:szCs w:val="16"/>
              </w:rPr>
              <w:t>RESULT:</w:t>
            </w:r>
            <w:r>
              <w:rPr>
                <w:rFonts w:cs="Arial"/>
                <w:bCs/>
                <w:color w:val="000000"/>
                <w:sz w:val="16"/>
                <w:szCs w:val="16"/>
              </w:rPr>
              <w:tab/>
            </w:r>
            <w:r w:rsidRPr="00937F04">
              <w:rPr>
                <w:rFonts w:cs="Arial"/>
                <w:bCs/>
                <w:color w:val="000000"/>
                <w:sz w:val="16"/>
                <w:szCs w:val="16"/>
              </w:rPr>
              <w:t>III.4. Strengthened cooperation mechanisms and programs tailored to the needs of developing countries and LDCs</w:t>
            </w:r>
          </w:p>
        </w:tc>
      </w:tr>
      <w:tr w:rsidR="008355F0" w:rsidRPr="00774D44" w:rsidTr="00E92F85">
        <w:trPr>
          <w:trHeight w:val="520"/>
        </w:trPr>
        <w:tc>
          <w:tcPr>
            <w:tcW w:w="1843" w:type="dxa"/>
            <w:tcBorders>
              <w:top w:val="single" w:sz="4" w:space="0" w:color="000000"/>
            </w:tcBorders>
            <w:vAlign w:val="center"/>
          </w:tcPr>
          <w:p w:rsidR="008355F0" w:rsidRPr="00774D44" w:rsidRDefault="008355F0" w:rsidP="003867F8">
            <w:pPr>
              <w:keepNext/>
              <w:keepLines/>
              <w:autoSpaceDE w:val="0"/>
              <w:autoSpaceDN w:val="0"/>
              <w:adjustRightInd w:val="0"/>
              <w:spacing w:before="120" w:after="120"/>
              <w:rPr>
                <w:rFonts w:cs="Arial"/>
                <w:color w:val="000000"/>
                <w:sz w:val="16"/>
                <w:szCs w:val="16"/>
              </w:rPr>
            </w:pPr>
            <w:r w:rsidRPr="002B7DE5">
              <w:rPr>
                <w:rFonts w:cs="Arial"/>
                <w:b/>
                <w:bCs/>
                <w:sz w:val="16"/>
                <w:szCs w:val="16"/>
              </w:rPr>
              <w:t>Activity</w:t>
            </w:r>
          </w:p>
        </w:tc>
        <w:tc>
          <w:tcPr>
            <w:tcW w:w="1134" w:type="dxa"/>
            <w:tcBorders>
              <w:top w:val="single" w:sz="4" w:space="0" w:color="000000"/>
            </w:tcBorders>
            <w:vAlign w:val="center"/>
          </w:tcPr>
          <w:p w:rsidR="008355F0" w:rsidRPr="00774D44" w:rsidRDefault="008355F0" w:rsidP="003867F8">
            <w:pPr>
              <w:autoSpaceDE w:val="0"/>
              <w:autoSpaceDN w:val="0"/>
              <w:adjustRightInd w:val="0"/>
              <w:spacing w:before="120" w:after="120"/>
              <w:rPr>
                <w:rFonts w:cs="Arial"/>
                <w:color w:val="000000"/>
                <w:sz w:val="16"/>
                <w:szCs w:val="16"/>
              </w:rPr>
            </w:pPr>
            <w:r w:rsidRPr="002B7DE5">
              <w:rPr>
                <w:rFonts w:cs="Arial"/>
                <w:b/>
                <w:bCs/>
                <w:sz w:val="16"/>
                <w:szCs w:val="16"/>
              </w:rPr>
              <w:t>Date</w:t>
            </w:r>
          </w:p>
        </w:tc>
        <w:tc>
          <w:tcPr>
            <w:tcW w:w="2126" w:type="dxa"/>
            <w:tcBorders>
              <w:top w:val="single" w:sz="4" w:space="0" w:color="000000"/>
            </w:tcBorders>
            <w:vAlign w:val="center"/>
          </w:tcPr>
          <w:p w:rsidR="008355F0" w:rsidRPr="00774D44" w:rsidRDefault="008355F0" w:rsidP="003867F8">
            <w:pPr>
              <w:autoSpaceDE w:val="0"/>
              <w:autoSpaceDN w:val="0"/>
              <w:adjustRightInd w:val="0"/>
              <w:spacing w:before="120" w:after="120"/>
              <w:rPr>
                <w:rFonts w:cs="Arial"/>
                <w:color w:val="000000"/>
                <w:sz w:val="16"/>
                <w:szCs w:val="16"/>
              </w:rPr>
            </w:pPr>
            <w:r w:rsidRPr="002B7DE5">
              <w:rPr>
                <w:rFonts w:cs="Arial"/>
                <w:b/>
                <w:bCs/>
                <w:sz w:val="16"/>
                <w:szCs w:val="16"/>
              </w:rPr>
              <w:t>Host Country/</w:t>
            </w:r>
            <w:r w:rsidRPr="002B7DE5">
              <w:rPr>
                <w:rFonts w:cs="Arial"/>
                <w:b/>
                <w:bCs/>
                <w:sz w:val="16"/>
                <w:szCs w:val="16"/>
              </w:rPr>
              <w:br/>
              <w:t>Recipients</w:t>
            </w:r>
          </w:p>
        </w:tc>
        <w:tc>
          <w:tcPr>
            <w:tcW w:w="4253" w:type="dxa"/>
            <w:tcBorders>
              <w:top w:val="single" w:sz="4" w:space="0" w:color="000000"/>
            </w:tcBorders>
            <w:vAlign w:val="center"/>
          </w:tcPr>
          <w:p w:rsidR="008355F0" w:rsidRPr="00774D44" w:rsidRDefault="008355F0" w:rsidP="003867F8">
            <w:pPr>
              <w:autoSpaceDE w:val="0"/>
              <w:autoSpaceDN w:val="0"/>
              <w:adjustRightInd w:val="0"/>
              <w:spacing w:before="120" w:after="120"/>
              <w:rPr>
                <w:rFonts w:cs="Arial"/>
                <w:color w:val="000000"/>
                <w:sz w:val="16"/>
                <w:szCs w:val="16"/>
              </w:rPr>
            </w:pPr>
            <w:r w:rsidRPr="002B7DE5">
              <w:rPr>
                <w:rFonts w:cs="Arial"/>
                <w:b/>
                <w:bCs/>
                <w:sz w:val="16"/>
                <w:szCs w:val="16"/>
              </w:rPr>
              <w:t>Purpose(s)/Description(s)</w:t>
            </w:r>
          </w:p>
        </w:tc>
      </w:tr>
      <w:tr w:rsidR="008355F0" w:rsidRPr="00C472F3" w:rsidTr="00E92F85">
        <w:trPr>
          <w:trHeight w:val="315"/>
        </w:trPr>
        <w:tc>
          <w:tcPr>
            <w:tcW w:w="1843" w:type="dxa"/>
          </w:tcPr>
          <w:p w:rsidR="008355F0" w:rsidRPr="00774D44" w:rsidRDefault="008355F0" w:rsidP="003867F8">
            <w:pPr>
              <w:autoSpaceDE w:val="0"/>
              <w:autoSpaceDN w:val="0"/>
              <w:adjustRightInd w:val="0"/>
              <w:spacing w:before="60" w:after="60"/>
              <w:rPr>
                <w:rFonts w:cs="Arial"/>
                <w:color w:val="000000"/>
                <w:sz w:val="16"/>
                <w:szCs w:val="16"/>
              </w:rPr>
            </w:pPr>
            <w:r>
              <w:rPr>
                <w:rFonts w:cs="Arial"/>
                <w:color w:val="000000"/>
                <w:sz w:val="16"/>
                <w:szCs w:val="16"/>
              </w:rPr>
              <w:t xml:space="preserve">Preparation of a situation analysis and action plan proposal by an external expert consultant. </w:t>
            </w:r>
          </w:p>
        </w:tc>
        <w:tc>
          <w:tcPr>
            <w:tcW w:w="1134" w:type="dxa"/>
          </w:tcPr>
          <w:p w:rsidR="008355F0" w:rsidRDefault="008355F0" w:rsidP="003867F8">
            <w:pPr>
              <w:autoSpaceDE w:val="0"/>
              <w:autoSpaceDN w:val="0"/>
              <w:adjustRightInd w:val="0"/>
              <w:spacing w:before="60" w:after="60"/>
              <w:rPr>
                <w:rFonts w:cs="Arial"/>
                <w:color w:val="000000"/>
                <w:sz w:val="16"/>
                <w:szCs w:val="16"/>
              </w:rPr>
            </w:pPr>
            <w:r>
              <w:rPr>
                <w:rFonts w:cs="Arial"/>
                <w:color w:val="000000"/>
                <w:sz w:val="16"/>
                <w:szCs w:val="16"/>
              </w:rPr>
              <w:t>January  to December, 2015</w:t>
            </w:r>
          </w:p>
          <w:p w:rsidR="008355F0" w:rsidRPr="00774D44" w:rsidRDefault="008355F0" w:rsidP="003867F8">
            <w:pPr>
              <w:autoSpaceDE w:val="0"/>
              <w:autoSpaceDN w:val="0"/>
              <w:adjustRightInd w:val="0"/>
              <w:spacing w:before="60" w:after="60"/>
              <w:rPr>
                <w:rFonts w:cs="Arial"/>
                <w:color w:val="000000"/>
                <w:sz w:val="16"/>
                <w:szCs w:val="16"/>
              </w:rPr>
            </w:pPr>
            <w:r>
              <w:rPr>
                <w:rFonts w:cs="Arial"/>
                <w:color w:val="000000"/>
                <w:sz w:val="16"/>
                <w:szCs w:val="16"/>
              </w:rPr>
              <w:t>(ongoing)</w:t>
            </w:r>
          </w:p>
        </w:tc>
        <w:tc>
          <w:tcPr>
            <w:tcW w:w="2126" w:type="dxa"/>
          </w:tcPr>
          <w:p w:rsidR="008355F0" w:rsidRPr="00774D44" w:rsidRDefault="008355F0" w:rsidP="003867F8">
            <w:pPr>
              <w:autoSpaceDE w:val="0"/>
              <w:autoSpaceDN w:val="0"/>
              <w:adjustRightInd w:val="0"/>
              <w:spacing w:before="60" w:after="60"/>
              <w:rPr>
                <w:rFonts w:cs="Arial"/>
                <w:color w:val="000000"/>
                <w:sz w:val="16"/>
                <w:szCs w:val="16"/>
              </w:rPr>
            </w:pPr>
            <w:r w:rsidRPr="004F2087">
              <w:rPr>
                <w:rFonts w:cs="Arial"/>
                <w:color w:val="000000"/>
                <w:sz w:val="16"/>
                <w:szCs w:val="16"/>
              </w:rPr>
              <w:t>All Ibero</w:t>
            </w:r>
            <w:r>
              <w:rPr>
                <w:rFonts w:cs="Arial"/>
                <w:color w:val="000000"/>
                <w:sz w:val="16"/>
                <w:szCs w:val="16"/>
              </w:rPr>
              <w:t>-A</w:t>
            </w:r>
            <w:r w:rsidRPr="004F2087">
              <w:rPr>
                <w:rFonts w:cs="Arial"/>
                <w:color w:val="000000"/>
                <w:sz w:val="16"/>
                <w:szCs w:val="16"/>
              </w:rPr>
              <w:t>merican countries</w:t>
            </w:r>
          </w:p>
        </w:tc>
        <w:tc>
          <w:tcPr>
            <w:tcW w:w="4253" w:type="dxa"/>
          </w:tcPr>
          <w:p w:rsidR="008355F0" w:rsidRDefault="008355F0" w:rsidP="003867F8">
            <w:pPr>
              <w:autoSpaceDE w:val="0"/>
              <w:autoSpaceDN w:val="0"/>
              <w:adjustRightInd w:val="0"/>
              <w:spacing w:before="60" w:after="60"/>
              <w:rPr>
                <w:rFonts w:cs="Arial"/>
                <w:color w:val="000000"/>
                <w:sz w:val="16"/>
                <w:szCs w:val="16"/>
              </w:rPr>
            </w:pPr>
            <w:r>
              <w:rPr>
                <w:rFonts w:cs="Arial"/>
                <w:color w:val="000000"/>
                <w:sz w:val="16"/>
                <w:szCs w:val="16"/>
              </w:rPr>
              <w:t>T</w:t>
            </w:r>
            <w:r w:rsidRPr="00C472F3">
              <w:rPr>
                <w:rFonts w:cs="Arial"/>
                <w:color w:val="000000"/>
                <w:sz w:val="16"/>
                <w:szCs w:val="16"/>
              </w:rPr>
              <w:t xml:space="preserve">o design a roadmap on strengthening and development of national information services and an implementation schedule, </w:t>
            </w:r>
            <w:r>
              <w:rPr>
                <w:rFonts w:cs="Arial"/>
                <w:color w:val="000000"/>
                <w:sz w:val="16"/>
                <w:szCs w:val="16"/>
              </w:rPr>
              <w:t xml:space="preserve">with a view to enhancing </w:t>
            </w:r>
            <w:r w:rsidRPr="00C472F3">
              <w:rPr>
                <w:rFonts w:cs="Arial"/>
                <w:color w:val="000000"/>
                <w:sz w:val="16"/>
                <w:szCs w:val="16"/>
              </w:rPr>
              <w:t xml:space="preserve"> national capacities.</w:t>
            </w:r>
          </w:p>
          <w:p w:rsidR="008355F0" w:rsidRPr="00C472F3" w:rsidRDefault="008355F0" w:rsidP="003867F8">
            <w:pPr>
              <w:autoSpaceDE w:val="0"/>
              <w:autoSpaceDN w:val="0"/>
              <w:adjustRightInd w:val="0"/>
              <w:spacing w:before="60" w:after="60"/>
              <w:rPr>
                <w:rFonts w:cs="Arial"/>
                <w:color w:val="000000"/>
                <w:sz w:val="16"/>
                <w:szCs w:val="16"/>
              </w:rPr>
            </w:pPr>
            <w:r w:rsidRPr="009A19CE">
              <w:rPr>
                <w:rFonts w:cs="Arial"/>
                <w:color w:val="000000"/>
                <w:sz w:val="16"/>
                <w:szCs w:val="16"/>
              </w:rPr>
              <w:t>Horizontal cooperation among IP offices to reduce asymmetries in relation to quality management in information technology.</w:t>
            </w:r>
            <w:r>
              <w:rPr>
                <w:rFonts w:cs="Arial"/>
                <w:color w:val="000000"/>
                <w:sz w:val="16"/>
                <w:szCs w:val="16"/>
              </w:rPr>
              <w:t xml:space="preserve">  </w:t>
            </w:r>
            <w:r w:rsidRPr="009A19CE">
              <w:rPr>
                <w:rFonts w:cs="Arial"/>
                <w:color w:val="000000"/>
                <w:sz w:val="16"/>
                <w:szCs w:val="16"/>
              </w:rPr>
              <w:t>The</w:t>
            </w:r>
            <w:r>
              <w:rPr>
                <w:rFonts w:cs="Arial"/>
                <w:color w:val="000000"/>
                <w:sz w:val="16"/>
                <w:szCs w:val="16"/>
              </w:rPr>
              <w:t xml:space="preserve"> tasks of the consultant are:  (i) </w:t>
            </w:r>
            <w:r w:rsidRPr="009A19CE">
              <w:rPr>
                <w:rFonts w:cs="Arial"/>
                <w:color w:val="000000"/>
                <w:sz w:val="16"/>
                <w:szCs w:val="16"/>
              </w:rPr>
              <w:t>to detect asymmetries between OPIS on quality managem</w:t>
            </w:r>
            <w:r>
              <w:rPr>
                <w:rFonts w:cs="Arial"/>
                <w:color w:val="000000"/>
                <w:sz w:val="16"/>
                <w:szCs w:val="16"/>
              </w:rPr>
              <w:t xml:space="preserve">ent and information technology;  (ii) </w:t>
            </w:r>
            <w:r w:rsidRPr="009A19CE">
              <w:rPr>
                <w:rFonts w:cs="Arial"/>
                <w:color w:val="000000"/>
                <w:sz w:val="16"/>
                <w:szCs w:val="16"/>
              </w:rPr>
              <w:t xml:space="preserve">design a program of action aimed at eliminating </w:t>
            </w:r>
            <w:r>
              <w:rPr>
                <w:rFonts w:cs="Arial"/>
                <w:color w:val="000000"/>
                <w:sz w:val="16"/>
                <w:szCs w:val="16"/>
              </w:rPr>
              <w:t xml:space="preserve">asymmetries through training;  </w:t>
            </w:r>
            <w:r w:rsidRPr="009A19CE">
              <w:rPr>
                <w:rFonts w:cs="Arial"/>
                <w:color w:val="000000"/>
                <w:sz w:val="16"/>
                <w:szCs w:val="16"/>
              </w:rPr>
              <w:t>and</w:t>
            </w:r>
            <w:r>
              <w:rPr>
                <w:rFonts w:cs="Arial"/>
                <w:color w:val="000000"/>
                <w:sz w:val="16"/>
                <w:szCs w:val="16"/>
              </w:rPr>
              <w:t xml:space="preserve"> (iii) </w:t>
            </w:r>
            <w:r w:rsidRPr="009A19CE">
              <w:rPr>
                <w:rFonts w:cs="Arial"/>
                <w:color w:val="000000"/>
                <w:sz w:val="16"/>
                <w:szCs w:val="16"/>
              </w:rPr>
              <w:t>coordinate the implementation of this project</w:t>
            </w:r>
            <w:r>
              <w:rPr>
                <w:rFonts w:cs="Arial"/>
                <w:color w:val="000000"/>
                <w:sz w:val="16"/>
                <w:szCs w:val="16"/>
              </w:rPr>
              <w:t xml:space="preserve">. </w:t>
            </w:r>
          </w:p>
        </w:tc>
      </w:tr>
      <w:tr w:rsidR="008355F0" w:rsidRPr="00774D44" w:rsidTr="00E92F85">
        <w:trPr>
          <w:trHeight w:val="315"/>
        </w:trPr>
        <w:tc>
          <w:tcPr>
            <w:tcW w:w="1843" w:type="dxa"/>
          </w:tcPr>
          <w:p w:rsidR="008355F0" w:rsidRPr="00774D44" w:rsidRDefault="008355F0" w:rsidP="003867F8">
            <w:pPr>
              <w:autoSpaceDE w:val="0"/>
              <w:autoSpaceDN w:val="0"/>
              <w:adjustRightInd w:val="0"/>
              <w:spacing w:before="60" w:after="60"/>
              <w:rPr>
                <w:rFonts w:cs="Arial"/>
                <w:color w:val="000000"/>
                <w:sz w:val="16"/>
                <w:szCs w:val="16"/>
              </w:rPr>
            </w:pPr>
            <w:r w:rsidRPr="004F2087">
              <w:rPr>
                <w:rFonts w:cs="Arial"/>
                <w:color w:val="000000"/>
                <w:sz w:val="16"/>
                <w:szCs w:val="16"/>
              </w:rPr>
              <w:t xml:space="preserve">Encouraging cooperation between Latin American IPOs, </w:t>
            </w:r>
            <w:r>
              <w:rPr>
                <w:rFonts w:cs="Arial"/>
                <w:color w:val="000000"/>
                <w:sz w:val="16"/>
                <w:szCs w:val="16"/>
              </w:rPr>
              <w:t xml:space="preserve">for the creation of </w:t>
            </w:r>
            <w:r w:rsidRPr="004F2087">
              <w:rPr>
                <w:rFonts w:cs="Arial"/>
                <w:color w:val="000000"/>
                <w:sz w:val="16"/>
                <w:szCs w:val="16"/>
              </w:rPr>
              <w:t xml:space="preserve">a Platform </w:t>
            </w:r>
            <w:r>
              <w:rPr>
                <w:rFonts w:cs="Arial"/>
                <w:color w:val="000000"/>
                <w:sz w:val="16"/>
                <w:szCs w:val="16"/>
              </w:rPr>
              <w:t xml:space="preserve">for </w:t>
            </w:r>
            <w:r w:rsidRPr="004F2087">
              <w:rPr>
                <w:rFonts w:cs="Arial"/>
                <w:color w:val="000000"/>
                <w:sz w:val="16"/>
                <w:szCs w:val="16"/>
              </w:rPr>
              <w:t>member countries to facilitate the exchange of experiences and good practices between offices.</w:t>
            </w:r>
          </w:p>
        </w:tc>
        <w:tc>
          <w:tcPr>
            <w:tcW w:w="1134" w:type="dxa"/>
          </w:tcPr>
          <w:p w:rsidR="008355F0" w:rsidRDefault="008355F0" w:rsidP="003867F8">
            <w:pPr>
              <w:autoSpaceDE w:val="0"/>
              <w:autoSpaceDN w:val="0"/>
              <w:adjustRightInd w:val="0"/>
              <w:spacing w:before="60" w:after="60"/>
              <w:rPr>
                <w:rFonts w:cs="Arial"/>
                <w:color w:val="000000"/>
                <w:sz w:val="16"/>
                <w:szCs w:val="16"/>
              </w:rPr>
            </w:pPr>
            <w:r>
              <w:rPr>
                <w:rFonts w:cs="Arial"/>
                <w:color w:val="000000"/>
                <w:sz w:val="16"/>
                <w:szCs w:val="16"/>
              </w:rPr>
              <w:t>January to December, 2015</w:t>
            </w:r>
          </w:p>
          <w:p w:rsidR="008355F0" w:rsidRPr="00774D44" w:rsidRDefault="008355F0" w:rsidP="003867F8">
            <w:pPr>
              <w:autoSpaceDE w:val="0"/>
              <w:autoSpaceDN w:val="0"/>
              <w:adjustRightInd w:val="0"/>
              <w:spacing w:before="60" w:after="60"/>
              <w:rPr>
                <w:rFonts w:cs="Arial"/>
                <w:color w:val="000000"/>
                <w:sz w:val="16"/>
                <w:szCs w:val="16"/>
              </w:rPr>
            </w:pPr>
            <w:r>
              <w:rPr>
                <w:rFonts w:cs="Arial"/>
                <w:color w:val="000000"/>
                <w:sz w:val="16"/>
                <w:szCs w:val="16"/>
              </w:rPr>
              <w:t>(ongoing)</w:t>
            </w:r>
          </w:p>
        </w:tc>
        <w:tc>
          <w:tcPr>
            <w:tcW w:w="2126" w:type="dxa"/>
          </w:tcPr>
          <w:p w:rsidR="008355F0" w:rsidRPr="00774D44" w:rsidRDefault="008355F0" w:rsidP="003867F8">
            <w:pPr>
              <w:autoSpaceDE w:val="0"/>
              <w:autoSpaceDN w:val="0"/>
              <w:adjustRightInd w:val="0"/>
              <w:spacing w:before="60" w:after="60"/>
              <w:rPr>
                <w:rFonts w:cs="Arial"/>
                <w:color w:val="000000"/>
                <w:sz w:val="16"/>
                <w:szCs w:val="16"/>
              </w:rPr>
            </w:pPr>
            <w:r w:rsidRPr="004F2087">
              <w:rPr>
                <w:rFonts w:cs="Arial"/>
                <w:color w:val="000000"/>
                <w:sz w:val="16"/>
                <w:szCs w:val="16"/>
              </w:rPr>
              <w:t>All Ibero</w:t>
            </w:r>
            <w:r>
              <w:rPr>
                <w:rFonts w:cs="Arial"/>
                <w:color w:val="000000"/>
                <w:sz w:val="16"/>
                <w:szCs w:val="16"/>
              </w:rPr>
              <w:t>-A</w:t>
            </w:r>
            <w:r w:rsidRPr="004F2087">
              <w:rPr>
                <w:rFonts w:cs="Arial"/>
                <w:color w:val="000000"/>
                <w:sz w:val="16"/>
                <w:szCs w:val="16"/>
              </w:rPr>
              <w:t>merican countries</w:t>
            </w:r>
          </w:p>
        </w:tc>
        <w:tc>
          <w:tcPr>
            <w:tcW w:w="4253" w:type="dxa"/>
          </w:tcPr>
          <w:p w:rsidR="008355F0" w:rsidRPr="00774D44" w:rsidRDefault="008355F0" w:rsidP="003867F8">
            <w:pPr>
              <w:autoSpaceDE w:val="0"/>
              <w:autoSpaceDN w:val="0"/>
              <w:adjustRightInd w:val="0"/>
              <w:spacing w:before="60" w:after="60"/>
              <w:rPr>
                <w:rFonts w:cs="Arial"/>
                <w:color w:val="000000"/>
                <w:sz w:val="16"/>
                <w:szCs w:val="16"/>
              </w:rPr>
            </w:pPr>
            <w:r>
              <w:rPr>
                <w:rFonts w:cs="Arial"/>
                <w:color w:val="000000"/>
                <w:sz w:val="16"/>
                <w:szCs w:val="16"/>
              </w:rPr>
              <w:t xml:space="preserve">To  promote </w:t>
            </w:r>
            <w:r w:rsidRPr="00C472F3">
              <w:rPr>
                <w:rFonts w:cs="Arial"/>
                <w:color w:val="000000"/>
                <w:sz w:val="16"/>
                <w:szCs w:val="16"/>
              </w:rPr>
              <w:t>the virtual exchange of best practices among IPOs on issues such as</w:t>
            </w:r>
            <w:r>
              <w:rPr>
                <w:rFonts w:cs="Arial"/>
                <w:color w:val="000000"/>
                <w:sz w:val="16"/>
                <w:szCs w:val="16"/>
              </w:rPr>
              <w:t>:  (i)</w:t>
            </w:r>
            <w:r w:rsidRPr="00C472F3">
              <w:rPr>
                <w:rFonts w:cs="Arial"/>
                <w:color w:val="000000"/>
                <w:sz w:val="16"/>
                <w:szCs w:val="16"/>
              </w:rPr>
              <w:t xml:space="preserve"> quality management;</w:t>
            </w:r>
            <w:r>
              <w:rPr>
                <w:rFonts w:cs="Arial"/>
                <w:color w:val="000000"/>
                <w:sz w:val="16"/>
                <w:szCs w:val="16"/>
              </w:rPr>
              <w:t xml:space="preserve">  (ii) </w:t>
            </w:r>
            <w:r w:rsidRPr="00C472F3">
              <w:rPr>
                <w:rFonts w:cs="Arial"/>
                <w:color w:val="000000"/>
                <w:sz w:val="16"/>
                <w:szCs w:val="16"/>
              </w:rPr>
              <w:t>organiz</w:t>
            </w:r>
            <w:r>
              <w:rPr>
                <w:rFonts w:cs="Arial"/>
                <w:color w:val="000000"/>
                <w:sz w:val="16"/>
                <w:szCs w:val="16"/>
              </w:rPr>
              <w:t>ation of online</w:t>
            </w:r>
            <w:r w:rsidRPr="00C472F3">
              <w:rPr>
                <w:rFonts w:cs="Arial"/>
                <w:color w:val="000000"/>
                <w:sz w:val="16"/>
                <w:szCs w:val="16"/>
              </w:rPr>
              <w:t xml:space="preserve"> registration services and information ;</w:t>
            </w:r>
            <w:r>
              <w:rPr>
                <w:rFonts w:cs="Arial"/>
                <w:color w:val="000000"/>
                <w:sz w:val="16"/>
                <w:szCs w:val="16"/>
              </w:rPr>
              <w:t xml:space="preserve">  (iii) </w:t>
            </w:r>
            <w:r w:rsidRPr="00C472F3">
              <w:rPr>
                <w:rFonts w:cs="Arial"/>
                <w:color w:val="000000"/>
                <w:sz w:val="16"/>
                <w:szCs w:val="16"/>
              </w:rPr>
              <w:t>the provision of databases;</w:t>
            </w:r>
            <w:r>
              <w:rPr>
                <w:rFonts w:cs="Arial"/>
                <w:color w:val="000000"/>
                <w:sz w:val="16"/>
                <w:szCs w:val="16"/>
              </w:rPr>
              <w:t xml:space="preserve">  (iv)</w:t>
            </w:r>
            <w:r w:rsidRPr="00C472F3">
              <w:rPr>
                <w:rFonts w:cs="Arial"/>
                <w:color w:val="000000"/>
                <w:sz w:val="16"/>
                <w:szCs w:val="16"/>
              </w:rPr>
              <w:t xml:space="preserve"> examination of patents, designs and trademarks;</w:t>
            </w:r>
            <w:r>
              <w:rPr>
                <w:rFonts w:cs="Arial"/>
                <w:color w:val="000000"/>
                <w:sz w:val="16"/>
                <w:szCs w:val="16"/>
              </w:rPr>
              <w:t xml:space="preserve">  (v)</w:t>
            </w:r>
            <w:r w:rsidRPr="00C472F3">
              <w:rPr>
                <w:rFonts w:cs="Arial"/>
                <w:color w:val="000000"/>
                <w:sz w:val="16"/>
                <w:szCs w:val="16"/>
              </w:rPr>
              <w:t xml:space="preserve"> service organization of technological and commercial information;</w:t>
            </w:r>
            <w:r>
              <w:rPr>
                <w:rFonts w:cs="Arial"/>
                <w:color w:val="000000"/>
                <w:sz w:val="16"/>
                <w:szCs w:val="16"/>
              </w:rPr>
              <w:t xml:space="preserve">  (vi)</w:t>
            </w:r>
            <w:r w:rsidRPr="00C472F3">
              <w:rPr>
                <w:rFonts w:cs="Arial"/>
                <w:color w:val="000000"/>
                <w:sz w:val="16"/>
                <w:szCs w:val="16"/>
              </w:rPr>
              <w:t xml:space="preserve"> organiz</w:t>
            </w:r>
            <w:r>
              <w:rPr>
                <w:rFonts w:cs="Arial"/>
                <w:color w:val="000000"/>
                <w:sz w:val="16"/>
                <w:szCs w:val="16"/>
              </w:rPr>
              <w:t>ation of</w:t>
            </w:r>
            <w:r w:rsidRPr="00C472F3">
              <w:rPr>
                <w:rFonts w:cs="Arial"/>
                <w:color w:val="000000"/>
                <w:sz w:val="16"/>
                <w:szCs w:val="16"/>
              </w:rPr>
              <w:t xml:space="preserve"> training programs;</w:t>
            </w:r>
            <w:r>
              <w:rPr>
                <w:rFonts w:cs="Arial"/>
                <w:color w:val="000000"/>
                <w:sz w:val="16"/>
                <w:szCs w:val="16"/>
              </w:rPr>
              <w:t xml:space="preserve">  and (vii) </w:t>
            </w:r>
            <w:r w:rsidRPr="00C472F3">
              <w:rPr>
                <w:rFonts w:cs="Arial"/>
                <w:color w:val="000000"/>
                <w:sz w:val="16"/>
                <w:szCs w:val="16"/>
              </w:rPr>
              <w:t>the provision of mediation or arbitration</w:t>
            </w:r>
            <w:r>
              <w:rPr>
                <w:rFonts w:cs="Arial"/>
                <w:color w:val="000000"/>
                <w:sz w:val="16"/>
                <w:szCs w:val="16"/>
              </w:rPr>
              <w:t>.</w:t>
            </w:r>
          </w:p>
        </w:tc>
      </w:tr>
    </w:tbl>
    <w:p w:rsidR="008355F0" w:rsidRPr="00A61AD8" w:rsidRDefault="008355F0" w:rsidP="003867F8">
      <w:pPr>
        <w:rPr>
          <w:rFonts w:cs="Arial"/>
          <w:szCs w:val="16"/>
        </w:rPr>
      </w:pPr>
    </w:p>
    <w:p w:rsidR="008355F0" w:rsidRPr="00A61AD8" w:rsidRDefault="008355F0" w:rsidP="003867F8">
      <w:pPr>
        <w:rPr>
          <w:rFonts w:cs="Arial"/>
          <w:sz w:val="22"/>
          <w:szCs w:val="18"/>
        </w:rPr>
      </w:pPr>
    </w:p>
    <w:p w:rsidR="008355F0" w:rsidRPr="00FE196C" w:rsidRDefault="008355F0" w:rsidP="003867F8">
      <w:pPr>
        <w:rPr>
          <w:rFonts w:cs="Arial"/>
          <w:b/>
          <w:color w:val="000000"/>
          <w:szCs w:val="20"/>
        </w:rPr>
      </w:pPr>
      <w:r w:rsidRPr="00FE196C">
        <w:rPr>
          <w:rFonts w:cs="Arial"/>
          <w:b/>
          <w:szCs w:val="20"/>
        </w:rPr>
        <w:t xml:space="preserve">IBERO–AMERICAN PROGRAM FOR INDUSTRIAL PROPERTY </w:t>
      </w:r>
      <w:r w:rsidRPr="00FE196C">
        <w:rPr>
          <w:rFonts w:cs="Arial"/>
          <w:b/>
          <w:color w:val="000000"/>
          <w:szCs w:val="20"/>
        </w:rPr>
        <w:t>Donor Contributions and Expenditure in 2015</w:t>
      </w:r>
    </w:p>
    <w:p w:rsidR="008355F0" w:rsidRDefault="008355F0" w:rsidP="003867F8">
      <w:pPr>
        <w:rPr>
          <w:rFonts w:cs="Arial"/>
          <w:szCs w:val="20"/>
        </w:rPr>
      </w:pPr>
    </w:p>
    <w:tbl>
      <w:tblPr>
        <w:tblW w:w="9508" w:type="dxa"/>
        <w:tblInd w:w="98" w:type="dxa"/>
        <w:tblLook w:val="04A0" w:firstRow="1" w:lastRow="0" w:firstColumn="1" w:lastColumn="0" w:noHBand="0" w:noVBand="1"/>
      </w:tblPr>
      <w:tblGrid>
        <w:gridCol w:w="2040"/>
        <w:gridCol w:w="1640"/>
        <w:gridCol w:w="1860"/>
        <w:gridCol w:w="1780"/>
        <w:gridCol w:w="2188"/>
      </w:tblGrid>
      <w:tr w:rsidR="008355F0" w:rsidTr="00E92F85">
        <w:trPr>
          <w:trHeight w:val="450"/>
        </w:trPr>
        <w:tc>
          <w:tcPr>
            <w:tcW w:w="2040" w:type="dxa"/>
            <w:tcBorders>
              <w:top w:val="single" w:sz="8" w:space="0" w:color="auto"/>
              <w:left w:val="single" w:sz="8" w:space="0" w:color="auto"/>
              <w:bottom w:val="nil"/>
              <w:right w:val="single" w:sz="8" w:space="0" w:color="auto"/>
            </w:tcBorders>
            <w:shd w:val="clear" w:color="auto" w:fill="C6D9F1"/>
            <w:vAlign w:val="center"/>
            <w:hideMark/>
          </w:tcPr>
          <w:p w:rsidR="008355F0" w:rsidRDefault="008355F0">
            <w:pPr>
              <w:jc w:val="center"/>
              <w:rPr>
                <w:rFonts w:cs="Arial"/>
                <w:b/>
                <w:bCs/>
                <w:color w:val="000000"/>
                <w:sz w:val="16"/>
                <w:szCs w:val="16"/>
              </w:rPr>
            </w:pPr>
            <w:r>
              <w:rPr>
                <w:rFonts w:cs="Arial"/>
                <w:b/>
                <w:bCs/>
                <w:color w:val="000000"/>
                <w:sz w:val="16"/>
                <w:szCs w:val="16"/>
              </w:rPr>
              <w:t>Balance as of December 31, 2014</w:t>
            </w:r>
          </w:p>
        </w:tc>
        <w:tc>
          <w:tcPr>
            <w:tcW w:w="1640" w:type="dxa"/>
            <w:tcBorders>
              <w:top w:val="single" w:sz="8" w:space="0" w:color="auto"/>
              <w:left w:val="nil"/>
              <w:bottom w:val="nil"/>
              <w:right w:val="single" w:sz="8" w:space="0" w:color="auto"/>
            </w:tcBorders>
            <w:shd w:val="clear" w:color="auto" w:fill="C6D9F1"/>
            <w:vAlign w:val="center"/>
            <w:hideMark/>
          </w:tcPr>
          <w:p w:rsidR="008355F0" w:rsidRDefault="008355F0">
            <w:pPr>
              <w:jc w:val="center"/>
              <w:rPr>
                <w:rFonts w:cs="Arial"/>
                <w:b/>
                <w:bCs/>
                <w:color w:val="000000"/>
                <w:sz w:val="16"/>
                <w:szCs w:val="16"/>
              </w:rPr>
            </w:pPr>
            <w:r>
              <w:rPr>
                <w:rFonts w:cs="Arial"/>
                <w:b/>
                <w:bCs/>
                <w:color w:val="000000"/>
                <w:sz w:val="16"/>
                <w:szCs w:val="16"/>
              </w:rPr>
              <w:t>Income 2015</w:t>
            </w:r>
          </w:p>
        </w:tc>
        <w:tc>
          <w:tcPr>
            <w:tcW w:w="1860" w:type="dxa"/>
            <w:tcBorders>
              <w:top w:val="single" w:sz="8" w:space="0" w:color="auto"/>
              <w:left w:val="nil"/>
              <w:bottom w:val="nil"/>
              <w:right w:val="single" w:sz="8" w:space="0" w:color="auto"/>
            </w:tcBorders>
            <w:shd w:val="clear" w:color="auto" w:fill="C6D9F1"/>
            <w:vAlign w:val="center"/>
            <w:hideMark/>
          </w:tcPr>
          <w:p w:rsidR="008355F0" w:rsidRDefault="008355F0">
            <w:pPr>
              <w:jc w:val="center"/>
              <w:rPr>
                <w:rFonts w:cs="Arial"/>
                <w:b/>
                <w:bCs/>
                <w:color w:val="000000"/>
                <w:sz w:val="16"/>
                <w:szCs w:val="16"/>
              </w:rPr>
            </w:pPr>
            <w:r>
              <w:rPr>
                <w:rFonts w:cs="Arial"/>
                <w:b/>
                <w:bCs/>
                <w:color w:val="000000"/>
                <w:sz w:val="16"/>
                <w:szCs w:val="16"/>
              </w:rPr>
              <w:t>Expenditure 2015</w:t>
            </w:r>
          </w:p>
        </w:tc>
        <w:tc>
          <w:tcPr>
            <w:tcW w:w="1780" w:type="dxa"/>
            <w:tcBorders>
              <w:top w:val="single" w:sz="8" w:space="0" w:color="auto"/>
              <w:left w:val="nil"/>
              <w:bottom w:val="nil"/>
              <w:right w:val="single" w:sz="8" w:space="0" w:color="auto"/>
            </w:tcBorders>
            <w:shd w:val="clear" w:color="auto" w:fill="C6D9F1"/>
            <w:vAlign w:val="center"/>
            <w:hideMark/>
          </w:tcPr>
          <w:p w:rsidR="008355F0" w:rsidRDefault="008355F0">
            <w:pPr>
              <w:jc w:val="center"/>
              <w:rPr>
                <w:rFonts w:cs="Arial"/>
                <w:b/>
                <w:bCs/>
                <w:color w:val="000000"/>
                <w:sz w:val="16"/>
                <w:szCs w:val="16"/>
              </w:rPr>
            </w:pPr>
            <w:r>
              <w:rPr>
                <w:rFonts w:cs="Arial"/>
                <w:b/>
                <w:bCs/>
                <w:color w:val="000000"/>
                <w:sz w:val="16"/>
                <w:szCs w:val="16"/>
              </w:rPr>
              <w:t>Reimbursements</w:t>
            </w:r>
          </w:p>
        </w:tc>
        <w:tc>
          <w:tcPr>
            <w:tcW w:w="2188" w:type="dxa"/>
            <w:tcBorders>
              <w:top w:val="single" w:sz="8" w:space="0" w:color="auto"/>
              <w:left w:val="nil"/>
              <w:bottom w:val="nil"/>
              <w:right w:val="single" w:sz="8" w:space="0" w:color="auto"/>
            </w:tcBorders>
            <w:shd w:val="clear" w:color="auto" w:fill="C6D9F1"/>
            <w:vAlign w:val="center"/>
            <w:hideMark/>
          </w:tcPr>
          <w:p w:rsidR="008355F0" w:rsidRDefault="008355F0" w:rsidP="003867F8">
            <w:pPr>
              <w:jc w:val="center"/>
              <w:rPr>
                <w:rFonts w:cs="Arial"/>
                <w:b/>
                <w:bCs/>
                <w:color w:val="000000"/>
                <w:sz w:val="16"/>
                <w:szCs w:val="16"/>
              </w:rPr>
            </w:pPr>
            <w:r>
              <w:rPr>
                <w:rFonts w:cs="Arial"/>
                <w:b/>
                <w:bCs/>
                <w:color w:val="000000"/>
                <w:sz w:val="16"/>
                <w:szCs w:val="16"/>
              </w:rPr>
              <w:t>Balance as of December 31, 2015</w:t>
            </w:r>
          </w:p>
        </w:tc>
      </w:tr>
      <w:tr w:rsidR="008355F0" w:rsidTr="00E92F85">
        <w:trPr>
          <w:trHeight w:val="255"/>
        </w:trPr>
        <w:tc>
          <w:tcPr>
            <w:tcW w:w="20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55F0" w:rsidRDefault="008355F0">
            <w:pPr>
              <w:jc w:val="center"/>
              <w:rPr>
                <w:rFonts w:cs="Arial"/>
                <w:color w:val="000000"/>
                <w:sz w:val="16"/>
                <w:szCs w:val="16"/>
              </w:rPr>
            </w:pPr>
            <w:r>
              <w:rPr>
                <w:rFonts w:cs="Arial"/>
                <w:color w:val="000000"/>
                <w:sz w:val="16"/>
                <w:szCs w:val="16"/>
              </w:rPr>
              <w:t>232,961</w:t>
            </w:r>
          </w:p>
        </w:tc>
        <w:tc>
          <w:tcPr>
            <w:tcW w:w="1640" w:type="dxa"/>
            <w:tcBorders>
              <w:top w:val="single" w:sz="4" w:space="0" w:color="auto"/>
              <w:left w:val="nil"/>
              <w:bottom w:val="single" w:sz="4" w:space="0" w:color="auto"/>
              <w:right w:val="single" w:sz="4" w:space="0" w:color="auto"/>
            </w:tcBorders>
            <w:shd w:val="clear" w:color="auto" w:fill="auto"/>
            <w:vAlign w:val="center"/>
            <w:hideMark/>
          </w:tcPr>
          <w:p w:rsidR="008355F0" w:rsidRDefault="008355F0">
            <w:pPr>
              <w:jc w:val="center"/>
              <w:rPr>
                <w:rFonts w:cs="Arial"/>
                <w:color w:val="000000"/>
                <w:sz w:val="16"/>
                <w:szCs w:val="16"/>
              </w:rPr>
            </w:pPr>
            <w:r>
              <w:rPr>
                <w:rFonts w:cs="Arial"/>
                <w:color w:val="000000"/>
                <w:sz w:val="16"/>
                <w:szCs w:val="16"/>
              </w:rPr>
              <w:t>13,103</w:t>
            </w:r>
          </w:p>
        </w:tc>
        <w:tc>
          <w:tcPr>
            <w:tcW w:w="1860" w:type="dxa"/>
            <w:tcBorders>
              <w:top w:val="single" w:sz="4" w:space="0" w:color="auto"/>
              <w:left w:val="nil"/>
              <w:bottom w:val="single" w:sz="4" w:space="0" w:color="auto"/>
              <w:right w:val="single" w:sz="4" w:space="0" w:color="auto"/>
            </w:tcBorders>
            <w:shd w:val="clear" w:color="auto" w:fill="auto"/>
            <w:vAlign w:val="center"/>
            <w:hideMark/>
          </w:tcPr>
          <w:p w:rsidR="008355F0" w:rsidRDefault="008355F0">
            <w:pPr>
              <w:jc w:val="center"/>
              <w:rPr>
                <w:rFonts w:cs="Arial"/>
                <w:color w:val="000000"/>
                <w:sz w:val="16"/>
                <w:szCs w:val="16"/>
              </w:rPr>
            </w:pPr>
            <w:r>
              <w:rPr>
                <w:rFonts w:cs="Arial"/>
                <w:color w:val="000000"/>
                <w:sz w:val="16"/>
                <w:szCs w:val="16"/>
              </w:rPr>
              <w:t>6,110</w:t>
            </w:r>
          </w:p>
        </w:tc>
        <w:tc>
          <w:tcPr>
            <w:tcW w:w="1780" w:type="dxa"/>
            <w:tcBorders>
              <w:top w:val="single" w:sz="4" w:space="0" w:color="auto"/>
              <w:left w:val="nil"/>
              <w:bottom w:val="single" w:sz="4" w:space="0" w:color="auto"/>
              <w:right w:val="single" w:sz="4" w:space="0" w:color="auto"/>
            </w:tcBorders>
            <w:shd w:val="clear" w:color="auto" w:fill="auto"/>
            <w:noWrap/>
            <w:vAlign w:val="center"/>
            <w:hideMark/>
          </w:tcPr>
          <w:p w:rsidR="008355F0" w:rsidRPr="00FE196C" w:rsidRDefault="008355F0">
            <w:pPr>
              <w:jc w:val="center"/>
              <w:rPr>
                <w:rFonts w:cs="Arial"/>
                <w:color w:val="000000"/>
                <w:sz w:val="16"/>
                <w:szCs w:val="16"/>
              </w:rPr>
            </w:pPr>
            <w:r>
              <w:rPr>
                <w:rFonts w:cs="Arial"/>
                <w:color w:val="000000"/>
                <w:sz w:val="16"/>
                <w:szCs w:val="16"/>
              </w:rPr>
              <w:t>-</w:t>
            </w:r>
          </w:p>
        </w:tc>
        <w:tc>
          <w:tcPr>
            <w:tcW w:w="2188" w:type="dxa"/>
            <w:tcBorders>
              <w:top w:val="single" w:sz="4" w:space="0" w:color="auto"/>
              <w:left w:val="nil"/>
              <w:bottom w:val="single" w:sz="4" w:space="0" w:color="auto"/>
              <w:right w:val="single" w:sz="4" w:space="0" w:color="auto"/>
            </w:tcBorders>
            <w:shd w:val="clear" w:color="auto" w:fill="auto"/>
            <w:vAlign w:val="center"/>
            <w:hideMark/>
          </w:tcPr>
          <w:p w:rsidR="008355F0" w:rsidRDefault="008355F0">
            <w:pPr>
              <w:jc w:val="center"/>
              <w:rPr>
                <w:rFonts w:cs="Arial"/>
                <w:color w:val="000000"/>
                <w:sz w:val="16"/>
                <w:szCs w:val="16"/>
              </w:rPr>
            </w:pPr>
            <w:r>
              <w:rPr>
                <w:rFonts w:cs="Arial"/>
                <w:color w:val="000000"/>
                <w:sz w:val="16"/>
                <w:szCs w:val="16"/>
              </w:rPr>
              <w:t>239,955</w:t>
            </w:r>
          </w:p>
        </w:tc>
      </w:tr>
    </w:tbl>
    <w:p w:rsidR="008355F0" w:rsidRPr="00414D9E" w:rsidRDefault="008355F0" w:rsidP="003867F8">
      <w:pPr>
        <w:keepNext/>
        <w:keepLines/>
        <w:rPr>
          <w:rFonts w:cs="Arial"/>
          <w:b/>
          <w:szCs w:val="16"/>
        </w:rPr>
      </w:pPr>
      <w:r w:rsidRPr="00414D9E">
        <w:rPr>
          <w:rFonts w:cs="Arial"/>
          <w:b/>
          <w:szCs w:val="16"/>
        </w:rPr>
        <w:t>ITALY</w:t>
      </w:r>
    </w:p>
    <w:p w:rsidR="008355F0" w:rsidRPr="00C34FA8" w:rsidRDefault="008355F0" w:rsidP="003867F8">
      <w:pPr>
        <w:keepNext/>
        <w:keepLines/>
        <w:rPr>
          <w:rFonts w:cs="Arial"/>
          <w:b/>
          <w:szCs w:val="16"/>
        </w:rPr>
      </w:pPr>
    </w:p>
    <w:tbl>
      <w:tblPr>
        <w:tblW w:w="9528" w:type="dxa"/>
        <w:tblInd w:w="7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73"/>
        <w:gridCol w:w="1276"/>
        <w:gridCol w:w="1984"/>
        <w:gridCol w:w="4395"/>
      </w:tblGrid>
      <w:tr w:rsidR="008355F0" w:rsidRPr="00414D9E" w:rsidTr="003867F8">
        <w:trPr>
          <w:cantSplit/>
        </w:trPr>
        <w:tc>
          <w:tcPr>
            <w:tcW w:w="9528" w:type="dxa"/>
            <w:gridSpan w:val="4"/>
            <w:tcBorders>
              <w:top w:val="single" w:sz="4" w:space="0" w:color="000000"/>
              <w:bottom w:val="single" w:sz="4" w:space="0" w:color="000000"/>
            </w:tcBorders>
            <w:shd w:val="clear" w:color="auto" w:fill="C6D9F1" w:themeFill="text2" w:themeFillTint="33"/>
            <w:vAlign w:val="center"/>
          </w:tcPr>
          <w:p w:rsidR="008355F0" w:rsidRPr="00414D9E" w:rsidRDefault="008355F0" w:rsidP="003867F8">
            <w:pPr>
              <w:keepNext/>
              <w:keepLines/>
              <w:tabs>
                <w:tab w:val="left" w:pos="1740"/>
              </w:tabs>
              <w:spacing w:before="120" w:after="120"/>
              <w:ind w:left="1740" w:hanging="1740"/>
              <w:rPr>
                <w:rFonts w:cs="Arial"/>
                <w:b/>
                <w:bCs/>
                <w:sz w:val="16"/>
                <w:szCs w:val="16"/>
              </w:rPr>
            </w:pPr>
            <w:r w:rsidRPr="00414D9E">
              <w:rPr>
                <w:rFonts w:cs="Arial"/>
                <w:b/>
                <w:bCs/>
                <w:color w:val="000000"/>
                <w:sz w:val="16"/>
                <w:szCs w:val="16"/>
              </w:rPr>
              <w:t>RESULT</w:t>
            </w:r>
            <w:r w:rsidRPr="00414D9E">
              <w:rPr>
                <w:rFonts w:cs="Arial"/>
                <w:b/>
                <w:bCs/>
                <w:sz w:val="16"/>
                <w:szCs w:val="16"/>
              </w:rPr>
              <w:t>:</w:t>
            </w:r>
            <w:r w:rsidRPr="00414D9E">
              <w:rPr>
                <w:rFonts w:cs="Arial"/>
                <w:b/>
                <w:bCs/>
                <w:sz w:val="16"/>
                <w:szCs w:val="16"/>
              </w:rPr>
              <w:tab/>
            </w:r>
            <w:r w:rsidRPr="00414D9E">
              <w:rPr>
                <w:rFonts w:cs="Arial"/>
                <w:bCs/>
                <w:sz w:val="16"/>
                <w:szCs w:val="16"/>
              </w:rPr>
              <w:t>IV.2. Enhanced access to, and use of, IP information by IP institutions and the public to promote innovation and creativity</w:t>
            </w:r>
          </w:p>
        </w:tc>
      </w:tr>
      <w:tr w:rsidR="008355F0" w:rsidRPr="00414D9E" w:rsidTr="003867F8">
        <w:trPr>
          <w:cantSplit/>
        </w:trPr>
        <w:tc>
          <w:tcPr>
            <w:tcW w:w="1873" w:type="dxa"/>
            <w:tcBorders>
              <w:top w:val="single" w:sz="4" w:space="0" w:color="000000"/>
            </w:tcBorders>
            <w:vAlign w:val="center"/>
          </w:tcPr>
          <w:p w:rsidR="008355F0" w:rsidRPr="00414D9E" w:rsidRDefault="008355F0" w:rsidP="003867F8">
            <w:pPr>
              <w:keepNext/>
              <w:keepLines/>
              <w:spacing w:before="60" w:after="60"/>
              <w:rPr>
                <w:rFonts w:cs="Arial"/>
                <w:b/>
                <w:bCs/>
                <w:sz w:val="16"/>
                <w:szCs w:val="16"/>
              </w:rPr>
            </w:pPr>
            <w:r w:rsidRPr="00414D9E">
              <w:rPr>
                <w:rFonts w:cs="Arial"/>
                <w:b/>
                <w:bCs/>
                <w:sz w:val="16"/>
                <w:szCs w:val="16"/>
              </w:rPr>
              <w:t>Activity</w:t>
            </w:r>
          </w:p>
        </w:tc>
        <w:tc>
          <w:tcPr>
            <w:tcW w:w="1276" w:type="dxa"/>
            <w:tcBorders>
              <w:top w:val="single" w:sz="4" w:space="0" w:color="000000"/>
            </w:tcBorders>
            <w:tcMar>
              <w:top w:w="110" w:type="dxa"/>
            </w:tcMar>
            <w:vAlign w:val="center"/>
          </w:tcPr>
          <w:p w:rsidR="008355F0" w:rsidRPr="00414D9E" w:rsidRDefault="008355F0" w:rsidP="003867F8">
            <w:pPr>
              <w:spacing w:before="60" w:after="60"/>
              <w:rPr>
                <w:rFonts w:cs="Arial"/>
                <w:sz w:val="16"/>
                <w:szCs w:val="16"/>
              </w:rPr>
            </w:pPr>
            <w:r w:rsidRPr="00414D9E">
              <w:rPr>
                <w:rFonts w:cs="Arial"/>
                <w:b/>
                <w:bCs/>
                <w:sz w:val="16"/>
                <w:szCs w:val="16"/>
              </w:rPr>
              <w:t>Date</w:t>
            </w:r>
          </w:p>
        </w:tc>
        <w:tc>
          <w:tcPr>
            <w:tcW w:w="1984" w:type="dxa"/>
            <w:tcBorders>
              <w:top w:val="single" w:sz="4" w:space="0" w:color="000000"/>
            </w:tcBorders>
            <w:tcMar>
              <w:top w:w="110" w:type="dxa"/>
            </w:tcMar>
            <w:vAlign w:val="center"/>
          </w:tcPr>
          <w:p w:rsidR="008355F0" w:rsidRPr="00414D9E" w:rsidRDefault="008355F0" w:rsidP="003867F8">
            <w:pPr>
              <w:spacing w:before="60" w:after="60"/>
              <w:rPr>
                <w:rFonts w:cs="Arial"/>
                <w:sz w:val="16"/>
                <w:szCs w:val="16"/>
              </w:rPr>
            </w:pPr>
            <w:r w:rsidRPr="00414D9E">
              <w:rPr>
                <w:rFonts w:cs="Arial"/>
                <w:b/>
                <w:bCs/>
                <w:sz w:val="16"/>
                <w:szCs w:val="16"/>
              </w:rPr>
              <w:t>Host Country/</w:t>
            </w:r>
            <w:r w:rsidRPr="00414D9E">
              <w:rPr>
                <w:rFonts w:cs="Arial"/>
                <w:b/>
                <w:bCs/>
                <w:sz w:val="16"/>
                <w:szCs w:val="16"/>
              </w:rPr>
              <w:br/>
              <w:t>Recipients</w:t>
            </w:r>
          </w:p>
        </w:tc>
        <w:tc>
          <w:tcPr>
            <w:tcW w:w="4395" w:type="dxa"/>
            <w:tcBorders>
              <w:top w:val="single" w:sz="4" w:space="0" w:color="000000"/>
            </w:tcBorders>
            <w:shd w:val="clear" w:color="auto" w:fill="FFFFFF"/>
            <w:tcMar>
              <w:top w:w="110" w:type="dxa"/>
            </w:tcMar>
            <w:vAlign w:val="center"/>
          </w:tcPr>
          <w:p w:rsidR="008355F0" w:rsidRPr="00414D9E" w:rsidRDefault="008355F0" w:rsidP="003867F8">
            <w:pPr>
              <w:spacing w:before="60" w:after="60"/>
              <w:rPr>
                <w:rFonts w:cs="Arial"/>
                <w:sz w:val="16"/>
                <w:szCs w:val="16"/>
              </w:rPr>
            </w:pPr>
            <w:r w:rsidRPr="00414D9E">
              <w:rPr>
                <w:rFonts w:cs="Arial"/>
                <w:b/>
                <w:bCs/>
                <w:sz w:val="16"/>
                <w:szCs w:val="16"/>
              </w:rPr>
              <w:t>Purpose(s)/Description(s)</w:t>
            </w:r>
          </w:p>
        </w:tc>
      </w:tr>
      <w:tr w:rsidR="008355F0" w:rsidRPr="00414D9E" w:rsidTr="003867F8">
        <w:trPr>
          <w:cantSplit/>
        </w:trPr>
        <w:tc>
          <w:tcPr>
            <w:tcW w:w="1873" w:type="dxa"/>
          </w:tcPr>
          <w:p w:rsidR="008355F0" w:rsidRDefault="008355F0" w:rsidP="003867F8">
            <w:pPr>
              <w:spacing w:before="60" w:after="60"/>
              <w:rPr>
                <w:rFonts w:cs="Arial"/>
                <w:color w:val="000000"/>
                <w:sz w:val="16"/>
                <w:szCs w:val="16"/>
              </w:rPr>
            </w:pPr>
            <w:r w:rsidRPr="00B573F0">
              <w:rPr>
                <w:rFonts w:cs="Arial"/>
                <w:color w:val="000000"/>
                <w:sz w:val="16"/>
                <w:szCs w:val="16"/>
              </w:rPr>
              <w:t>Creation of an online national patent database at the Italian Patent and Trademark Office (DGLC-UIBM)</w:t>
            </w:r>
          </w:p>
          <w:p w:rsidR="008355F0" w:rsidRPr="00414D9E" w:rsidRDefault="008355F0" w:rsidP="003867F8">
            <w:pPr>
              <w:spacing w:before="60" w:after="60"/>
              <w:rPr>
                <w:rFonts w:cs="Arial"/>
                <w:color w:val="000000"/>
                <w:sz w:val="16"/>
                <w:szCs w:val="16"/>
              </w:rPr>
            </w:pPr>
          </w:p>
        </w:tc>
        <w:tc>
          <w:tcPr>
            <w:tcW w:w="1276" w:type="dxa"/>
          </w:tcPr>
          <w:p w:rsidR="008355F0" w:rsidRDefault="008355F0" w:rsidP="003867F8">
            <w:pPr>
              <w:keepNext/>
              <w:keepLines/>
              <w:autoSpaceDE w:val="0"/>
              <w:autoSpaceDN w:val="0"/>
              <w:adjustRightInd w:val="0"/>
              <w:spacing w:before="60" w:after="60"/>
              <w:rPr>
                <w:rFonts w:cs="Arial"/>
                <w:color w:val="000000"/>
                <w:sz w:val="16"/>
                <w:szCs w:val="16"/>
              </w:rPr>
            </w:pPr>
            <w:r>
              <w:rPr>
                <w:rFonts w:cs="Arial"/>
                <w:color w:val="000000"/>
                <w:sz w:val="16"/>
                <w:szCs w:val="16"/>
              </w:rPr>
              <w:t>January to December, 2015</w:t>
            </w:r>
          </w:p>
          <w:p w:rsidR="008355F0" w:rsidRPr="00414D9E" w:rsidRDefault="008355F0" w:rsidP="003867F8">
            <w:pPr>
              <w:keepNext/>
              <w:keepLines/>
              <w:autoSpaceDE w:val="0"/>
              <w:autoSpaceDN w:val="0"/>
              <w:adjustRightInd w:val="0"/>
              <w:spacing w:before="60" w:after="60"/>
              <w:rPr>
                <w:rFonts w:cs="Arial"/>
                <w:color w:val="000000"/>
                <w:sz w:val="16"/>
                <w:szCs w:val="16"/>
              </w:rPr>
            </w:pPr>
            <w:r>
              <w:rPr>
                <w:rFonts w:cs="Arial"/>
                <w:color w:val="000000"/>
                <w:sz w:val="16"/>
                <w:szCs w:val="16"/>
              </w:rPr>
              <w:t>(Ongoing)</w:t>
            </w:r>
            <w:r>
              <w:rPr>
                <w:rStyle w:val="FootnoteReference"/>
                <w:rFonts w:cs="Arial"/>
                <w:color w:val="000000"/>
                <w:sz w:val="16"/>
                <w:szCs w:val="16"/>
              </w:rPr>
              <w:footnoteReference w:id="156"/>
            </w:r>
          </w:p>
        </w:tc>
        <w:tc>
          <w:tcPr>
            <w:tcW w:w="1984" w:type="dxa"/>
          </w:tcPr>
          <w:p w:rsidR="008355F0" w:rsidRPr="00414D9E" w:rsidRDefault="008355F0" w:rsidP="003867F8">
            <w:pPr>
              <w:keepNext/>
              <w:keepLines/>
              <w:spacing w:before="60" w:after="60"/>
              <w:rPr>
                <w:rFonts w:cs="Arial"/>
                <w:color w:val="000000"/>
                <w:sz w:val="16"/>
                <w:szCs w:val="16"/>
              </w:rPr>
            </w:pPr>
            <w:r>
              <w:rPr>
                <w:rFonts w:cs="Arial"/>
                <w:color w:val="000000"/>
                <w:sz w:val="16"/>
                <w:szCs w:val="16"/>
              </w:rPr>
              <w:t xml:space="preserve">Italy </w:t>
            </w:r>
          </w:p>
        </w:tc>
        <w:tc>
          <w:tcPr>
            <w:tcW w:w="4395" w:type="dxa"/>
          </w:tcPr>
          <w:p w:rsidR="008355F0" w:rsidRPr="00414D9E" w:rsidRDefault="008355F0" w:rsidP="003867F8">
            <w:pPr>
              <w:keepNext/>
              <w:keepLines/>
              <w:spacing w:before="60" w:after="60"/>
              <w:rPr>
                <w:rFonts w:cs="Arial"/>
                <w:color w:val="000000"/>
                <w:sz w:val="16"/>
                <w:szCs w:val="16"/>
                <w:lang w:val="it-IT"/>
              </w:rPr>
            </w:pPr>
            <w:r w:rsidRPr="00B52DB7">
              <w:rPr>
                <w:rFonts w:cs="Arial"/>
                <w:sz w:val="16"/>
                <w:szCs w:val="16"/>
              </w:rPr>
              <w:t xml:space="preserve">To:  (i) facilitate Italy’s participation in existing multilateral arrangements for sharing patent information and documents; </w:t>
            </w:r>
            <w:r>
              <w:rPr>
                <w:rFonts w:cs="Arial"/>
                <w:sz w:val="16"/>
                <w:szCs w:val="16"/>
              </w:rPr>
              <w:t xml:space="preserve"> </w:t>
            </w:r>
            <w:r w:rsidRPr="00B52DB7">
              <w:rPr>
                <w:rFonts w:cs="Arial"/>
                <w:sz w:val="16"/>
                <w:szCs w:val="16"/>
              </w:rPr>
              <w:t>(ii) set the basis for the participation of Italy in PATENTSCOPE and in other global or international patent databases (e.g. Espacenet);</w:t>
            </w:r>
            <w:r>
              <w:rPr>
                <w:rFonts w:cs="Arial"/>
                <w:sz w:val="16"/>
                <w:szCs w:val="16"/>
              </w:rPr>
              <w:t xml:space="preserve"> </w:t>
            </w:r>
            <w:r w:rsidRPr="00B52DB7">
              <w:rPr>
                <w:rFonts w:cs="Arial"/>
                <w:sz w:val="16"/>
                <w:szCs w:val="16"/>
              </w:rPr>
              <w:t xml:space="preserve"> and (iii) contribute to increased dissemination of digitized patent collections for the benefit of all WIPO Member States, including developing countries.</w:t>
            </w:r>
          </w:p>
        </w:tc>
      </w:tr>
      <w:tr w:rsidR="008355F0" w:rsidRPr="00414D9E" w:rsidTr="003867F8">
        <w:trPr>
          <w:cantSplit/>
        </w:trPr>
        <w:tc>
          <w:tcPr>
            <w:tcW w:w="1873" w:type="dxa"/>
          </w:tcPr>
          <w:p w:rsidR="008355F0" w:rsidRPr="00414D9E" w:rsidRDefault="008355F0" w:rsidP="003867F8">
            <w:pPr>
              <w:autoSpaceDE w:val="0"/>
              <w:autoSpaceDN w:val="0"/>
              <w:adjustRightInd w:val="0"/>
              <w:spacing w:before="60" w:after="60"/>
              <w:rPr>
                <w:rFonts w:cs="Arial"/>
                <w:color w:val="000000"/>
                <w:sz w:val="16"/>
                <w:szCs w:val="16"/>
              </w:rPr>
            </w:pPr>
            <w:r w:rsidRPr="00414D9E">
              <w:rPr>
                <w:rFonts w:cs="Arial"/>
                <w:color w:val="000000"/>
                <w:sz w:val="16"/>
                <w:szCs w:val="16"/>
              </w:rPr>
              <w:t xml:space="preserve">Content review and publication of </w:t>
            </w:r>
            <w:r>
              <w:rPr>
                <w:rFonts w:cs="Arial"/>
                <w:color w:val="000000"/>
                <w:sz w:val="16"/>
                <w:szCs w:val="16"/>
              </w:rPr>
              <w:t>a g</w:t>
            </w:r>
            <w:r w:rsidRPr="00414D9E">
              <w:rPr>
                <w:rFonts w:cs="Arial"/>
                <w:color w:val="000000"/>
                <w:sz w:val="16"/>
                <w:szCs w:val="16"/>
              </w:rPr>
              <w:t xml:space="preserve">uide on </w:t>
            </w:r>
            <w:r w:rsidRPr="007B0988">
              <w:rPr>
                <w:rFonts w:cs="Arial"/>
                <w:i/>
                <w:color w:val="000000"/>
                <w:sz w:val="16"/>
                <w:szCs w:val="16"/>
              </w:rPr>
              <w:t>Intellectual Property for Agri-food Small and Medium Enterprises</w:t>
            </w:r>
            <w:r>
              <w:rPr>
                <w:rStyle w:val="FootnoteReference"/>
                <w:rFonts w:cs="Arial"/>
                <w:color w:val="000000"/>
                <w:sz w:val="16"/>
                <w:szCs w:val="16"/>
              </w:rPr>
              <w:footnoteReference w:id="157"/>
            </w:r>
          </w:p>
        </w:tc>
        <w:tc>
          <w:tcPr>
            <w:tcW w:w="1276" w:type="dxa"/>
          </w:tcPr>
          <w:p w:rsidR="008355F0" w:rsidRPr="00414D9E" w:rsidRDefault="008355F0" w:rsidP="003867F8">
            <w:pPr>
              <w:keepNext/>
              <w:keepLines/>
              <w:spacing w:before="60" w:after="60"/>
              <w:rPr>
                <w:rFonts w:cs="Arial"/>
                <w:color w:val="000000"/>
                <w:sz w:val="16"/>
                <w:szCs w:val="16"/>
              </w:rPr>
            </w:pPr>
            <w:r>
              <w:rPr>
                <w:rFonts w:cs="Arial"/>
                <w:bCs/>
                <w:sz w:val="16"/>
                <w:szCs w:val="16"/>
              </w:rPr>
              <w:t xml:space="preserve">January to </w:t>
            </w:r>
            <w:r w:rsidRPr="00414D9E">
              <w:rPr>
                <w:rFonts w:cs="Arial"/>
                <w:bCs/>
                <w:sz w:val="16"/>
                <w:szCs w:val="16"/>
              </w:rPr>
              <w:t>July</w:t>
            </w:r>
            <w:r>
              <w:rPr>
                <w:rFonts w:cs="Arial"/>
                <w:bCs/>
                <w:sz w:val="16"/>
                <w:szCs w:val="16"/>
              </w:rPr>
              <w:t>,</w:t>
            </w:r>
            <w:r w:rsidRPr="00414D9E">
              <w:rPr>
                <w:rFonts w:cs="Arial"/>
                <w:bCs/>
                <w:sz w:val="16"/>
                <w:szCs w:val="16"/>
              </w:rPr>
              <w:t xml:space="preserve"> 2015</w:t>
            </w:r>
            <w:r>
              <w:rPr>
                <w:rStyle w:val="FootnoteReference"/>
                <w:rFonts w:cs="Arial"/>
                <w:bCs/>
                <w:sz w:val="16"/>
                <w:szCs w:val="16"/>
              </w:rPr>
              <w:footnoteReference w:id="158"/>
            </w:r>
          </w:p>
        </w:tc>
        <w:tc>
          <w:tcPr>
            <w:tcW w:w="1984" w:type="dxa"/>
          </w:tcPr>
          <w:p w:rsidR="008355F0" w:rsidRPr="00414D9E" w:rsidRDefault="008355F0" w:rsidP="003867F8">
            <w:pPr>
              <w:keepNext/>
              <w:keepLines/>
              <w:spacing w:before="60" w:after="60"/>
              <w:rPr>
                <w:rFonts w:cs="Arial"/>
                <w:color w:val="000000"/>
                <w:sz w:val="16"/>
                <w:szCs w:val="16"/>
              </w:rPr>
            </w:pPr>
            <w:r>
              <w:rPr>
                <w:rFonts w:cs="Arial"/>
                <w:color w:val="000000"/>
                <w:sz w:val="16"/>
                <w:szCs w:val="16"/>
              </w:rPr>
              <w:t xml:space="preserve">Italy </w:t>
            </w:r>
          </w:p>
        </w:tc>
        <w:tc>
          <w:tcPr>
            <w:tcW w:w="4395" w:type="dxa"/>
          </w:tcPr>
          <w:p w:rsidR="008355F0" w:rsidRPr="00414D9E" w:rsidRDefault="008355F0" w:rsidP="003867F8">
            <w:pPr>
              <w:keepNext/>
              <w:keepLines/>
              <w:autoSpaceDE w:val="0"/>
              <w:autoSpaceDN w:val="0"/>
              <w:adjustRightInd w:val="0"/>
              <w:spacing w:before="60" w:after="60"/>
              <w:rPr>
                <w:rFonts w:cs="Arial"/>
                <w:color w:val="000000"/>
                <w:sz w:val="16"/>
                <w:szCs w:val="16"/>
                <w:lang w:val="it-IT"/>
              </w:rPr>
            </w:pPr>
            <w:r>
              <w:rPr>
                <w:rFonts w:cs="Arial"/>
                <w:color w:val="000000"/>
                <w:sz w:val="16"/>
                <w:szCs w:val="16"/>
                <w:lang w:val="it-IT"/>
              </w:rPr>
              <w:t>P</w:t>
            </w:r>
            <w:r w:rsidRPr="00414D9E">
              <w:rPr>
                <w:rFonts w:cs="Arial"/>
                <w:color w:val="000000"/>
                <w:sz w:val="16"/>
                <w:szCs w:val="16"/>
                <w:lang w:val="it-IT"/>
              </w:rPr>
              <w:t>ublication and dissemination</w:t>
            </w:r>
            <w:r>
              <w:rPr>
                <w:rFonts w:cs="Arial"/>
                <w:color w:val="000000"/>
                <w:sz w:val="16"/>
                <w:szCs w:val="16"/>
                <w:lang w:val="it-IT"/>
              </w:rPr>
              <w:t xml:space="preserve"> of the guide at</w:t>
            </w:r>
            <w:r w:rsidRPr="00414D9E">
              <w:rPr>
                <w:rFonts w:cs="Arial"/>
                <w:color w:val="000000"/>
                <w:sz w:val="16"/>
                <w:szCs w:val="16"/>
                <w:lang w:val="it-IT"/>
              </w:rPr>
              <w:t xml:space="preserve"> the World Expo Milan 2015, centered on the theme Feeding the Planet, Energy for Life. contribut</w:t>
            </w:r>
            <w:r>
              <w:rPr>
                <w:rFonts w:cs="Arial"/>
                <w:color w:val="000000"/>
                <w:sz w:val="16"/>
                <w:szCs w:val="16"/>
                <w:lang w:val="it-IT"/>
              </w:rPr>
              <w:t>ed</w:t>
            </w:r>
            <w:r w:rsidRPr="00414D9E">
              <w:rPr>
                <w:rFonts w:cs="Arial"/>
                <w:color w:val="000000"/>
                <w:sz w:val="16"/>
                <w:szCs w:val="16"/>
                <w:lang w:val="it-IT"/>
              </w:rPr>
              <w:t xml:space="preserve"> to </w:t>
            </w:r>
            <w:r>
              <w:rPr>
                <w:rFonts w:cs="Arial"/>
                <w:color w:val="000000"/>
                <w:sz w:val="16"/>
                <w:szCs w:val="16"/>
                <w:lang w:val="it-IT"/>
              </w:rPr>
              <w:t xml:space="preserve">the </w:t>
            </w:r>
            <w:r w:rsidRPr="00414D9E">
              <w:rPr>
                <w:rFonts w:cs="Arial"/>
                <w:color w:val="000000"/>
                <w:sz w:val="16"/>
                <w:szCs w:val="16"/>
                <w:lang w:val="it-IT"/>
              </w:rPr>
              <w:t>reflection on the use of IP in the world agri-food business.</w:t>
            </w:r>
          </w:p>
        </w:tc>
      </w:tr>
    </w:tbl>
    <w:p w:rsidR="008355F0" w:rsidRPr="00C34FA8" w:rsidRDefault="008355F0" w:rsidP="003867F8">
      <w:pPr>
        <w:rPr>
          <w:rFonts w:cs="Arial"/>
          <w:szCs w:val="20"/>
        </w:rPr>
      </w:pPr>
    </w:p>
    <w:p w:rsidR="008355F0" w:rsidRPr="00C34FA8" w:rsidRDefault="008355F0" w:rsidP="003867F8">
      <w:pPr>
        <w:rPr>
          <w:rFonts w:cs="Arial"/>
          <w:szCs w:val="20"/>
        </w:rPr>
      </w:pPr>
    </w:p>
    <w:p w:rsidR="008355F0" w:rsidRPr="00C34FA8" w:rsidRDefault="008355F0" w:rsidP="003867F8">
      <w:pPr>
        <w:rPr>
          <w:rFonts w:cs="Arial"/>
          <w:b/>
          <w:color w:val="000000"/>
          <w:szCs w:val="20"/>
        </w:rPr>
      </w:pPr>
      <w:r w:rsidRPr="00C34FA8">
        <w:rPr>
          <w:rFonts w:cs="Arial"/>
          <w:b/>
          <w:szCs w:val="20"/>
        </w:rPr>
        <w:t xml:space="preserve">ITALY </w:t>
      </w:r>
      <w:r w:rsidRPr="00C34FA8">
        <w:rPr>
          <w:rFonts w:cs="Arial"/>
          <w:b/>
          <w:color w:val="000000"/>
          <w:szCs w:val="20"/>
        </w:rPr>
        <w:t>Donor Contributions and Expenditure in 2015</w:t>
      </w:r>
    </w:p>
    <w:p w:rsidR="008355F0" w:rsidRPr="00C34FA8" w:rsidRDefault="008355F0" w:rsidP="003867F8">
      <w:pPr>
        <w:rPr>
          <w:rFonts w:cs="Arial"/>
          <w:color w:val="000000"/>
          <w:szCs w:val="20"/>
        </w:rPr>
      </w:pPr>
    </w:p>
    <w:tbl>
      <w:tblPr>
        <w:tblW w:w="9508" w:type="dxa"/>
        <w:tblInd w:w="98" w:type="dxa"/>
        <w:tblLook w:val="04A0" w:firstRow="1" w:lastRow="0" w:firstColumn="1" w:lastColumn="0" w:noHBand="0" w:noVBand="1"/>
      </w:tblPr>
      <w:tblGrid>
        <w:gridCol w:w="2040"/>
        <w:gridCol w:w="1640"/>
        <w:gridCol w:w="1860"/>
        <w:gridCol w:w="1780"/>
        <w:gridCol w:w="2188"/>
      </w:tblGrid>
      <w:tr w:rsidR="008355F0" w:rsidRPr="00414D9E" w:rsidTr="00E92F85">
        <w:trPr>
          <w:trHeight w:val="450"/>
        </w:trPr>
        <w:tc>
          <w:tcPr>
            <w:tcW w:w="2040" w:type="dxa"/>
            <w:tcBorders>
              <w:top w:val="single" w:sz="8" w:space="0" w:color="auto"/>
              <w:left w:val="single" w:sz="8" w:space="0" w:color="auto"/>
              <w:bottom w:val="nil"/>
              <w:right w:val="single" w:sz="8" w:space="0" w:color="auto"/>
            </w:tcBorders>
            <w:shd w:val="clear" w:color="auto" w:fill="C6D9F1" w:themeFill="text2" w:themeFillTint="33"/>
            <w:vAlign w:val="center"/>
            <w:hideMark/>
          </w:tcPr>
          <w:p w:rsidR="008355F0" w:rsidRPr="00414D9E" w:rsidRDefault="008355F0" w:rsidP="003867F8">
            <w:pPr>
              <w:jc w:val="center"/>
              <w:rPr>
                <w:rFonts w:cs="Arial"/>
                <w:b/>
                <w:bCs/>
                <w:color w:val="000000"/>
                <w:sz w:val="16"/>
                <w:szCs w:val="16"/>
              </w:rPr>
            </w:pPr>
            <w:r w:rsidRPr="00414D9E">
              <w:rPr>
                <w:rFonts w:cs="Arial"/>
                <w:b/>
                <w:bCs/>
                <w:color w:val="000000"/>
                <w:sz w:val="16"/>
                <w:szCs w:val="16"/>
              </w:rPr>
              <w:t>Balance as of December 31, 2014</w:t>
            </w:r>
          </w:p>
        </w:tc>
        <w:tc>
          <w:tcPr>
            <w:tcW w:w="1640" w:type="dxa"/>
            <w:tcBorders>
              <w:top w:val="single" w:sz="8" w:space="0" w:color="auto"/>
              <w:left w:val="nil"/>
              <w:bottom w:val="nil"/>
              <w:right w:val="single" w:sz="8" w:space="0" w:color="auto"/>
            </w:tcBorders>
            <w:shd w:val="clear" w:color="auto" w:fill="C6D9F1" w:themeFill="text2" w:themeFillTint="33"/>
            <w:vAlign w:val="center"/>
            <w:hideMark/>
          </w:tcPr>
          <w:p w:rsidR="008355F0" w:rsidRPr="00414D9E" w:rsidRDefault="008355F0" w:rsidP="003867F8">
            <w:pPr>
              <w:jc w:val="center"/>
              <w:rPr>
                <w:rFonts w:cs="Arial"/>
                <w:b/>
                <w:bCs/>
                <w:color w:val="000000"/>
                <w:sz w:val="16"/>
                <w:szCs w:val="16"/>
              </w:rPr>
            </w:pPr>
            <w:r w:rsidRPr="00414D9E">
              <w:rPr>
                <w:rFonts w:cs="Arial"/>
                <w:b/>
                <w:bCs/>
                <w:color w:val="000000"/>
                <w:sz w:val="16"/>
                <w:szCs w:val="16"/>
              </w:rPr>
              <w:t>Income 2015</w:t>
            </w:r>
          </w:p>
        </w:tc>
        <w:tc>
          <w:tcPr>
            <w:tcW w:w="1860" w:type="dxa"/>
            <w:tcBorders>
              <w:top w:val="single" w:sz="8" w:space="0" w:color="auto"/>
              <w:left w:val="nil"/>
              <w:bottom w:val="nil"/>
              <w:right w:val="single" w:sz="8" w:space="0" w:color="auto"/>
            </w:tcBorders>
            <w:shd w:val="clear" w:color="auto" w:fill="C6D9F1" w:themeFill="text2" w:themeFillTint="33"/>
            <w:vAlign w:val="center"/>
            <w:hideMark/>
          </w:tcPr>
          <w:p w:rsidR="008355F0" w:rsidRPr="00414D9E" w:rsidRDefault="008355F0" w:rsidP="003867F8">
            <w:pPr>
              <w:jc w:val="center"/>
              <w:rPr>
                <w:rFonts w:cs="Arial"/>
                <w:b/>
                <w:bCs/>
                <w:color w:val="000000"/>
                <w:sz w:val="16"/>
                <w:szCs w:val="16"/>
              </w:rPr>
            </w:pPr>
            <w:r w:rsidRPr="00414D9E">
              <w:rPr>
                <w:rFonts w:cs="Arial"/>
                <w:b/>
                <w:bCs/>
                <w:color w:val="000000"/>
                <w:sz w:val="16"/>
                <w:szCs w:val="16"/>
              </w:rPr>
              <w:t>Expenditure 2015</w:t>
            </w:r>
          </w:p>
        </w:tc>
        <w:tc>
          <w:tcPr>
            <w:tcW w:w="1780" w:type="dxa"/>
            <w:tcBorders>
              <w:top w:val="single" w:sz="8" w:space="0" w:color="auto"/>
              <w:left w:val="nil"/>
              <w:bottom w:val="nil"/>
              <w:right w:val="single" w:sz="8" w:space="0" w:color="auto"/>
            </w:tcBorders>
            <w:shd w:val="clear" w:color="auto" w:fill="C6D9F1" w:themeFill="text2" w:themeFillTint="33"/>
            <w:vAlign w:val="center"/>
            <w:hideMark/>
          </w:tcPr>
          <w:p w:rsidR="008355F0" w:rsidRPr="00414D9E" w:rsidRDefault="008355F0" w:rsidP="003867F8">
            <w:pPr>
              <w:jc w:val="center"/>
              <w:rPr>
                <w:rFonts w:cs="Arial"/>
                <w:b/>
                <w:bCs/>
                <w:color w:val="000000"/>
                <w:sz w:val="16"/>
                <w:szCs w:val="16"/>
              </w:rPr>
            </w:pPr>
            <w:r w:rsidRPr="00414D9E">
              <w:rPr>
                <w:rFonts w:cs="Arial"/>
                <w:b/>
                <w:bCs/>
                <w:color w:val="000000"/>
                <w:sz w:val="16"/>
                <w:szCs w:val="16"/>
              </w:rPr>
              <w:t>Reimbursements</w:t>
            </w:r>
          </w:p>
        </w:tc>
        <w:tc>
          <w:tcPr>
            <w:tcW w:w="2188" w:type="dxa"/>
            <w:tcBorders>
              <w:top w:val="single" w:sz="8" w:space="0" w:color="auto"/>
              <w:left w:val="nil"/>
              <w:bottom w:val="nil"/>
              <w:right w:val="single" w:sz="8" w:space="0" w:color="auto"/>
            </w:tcBorders>
            <w:shd w:val="clear" w:color="auto" w:fill="C6D9F1" w:themeFill="text2" w:themeFillTint="33"/>
            <w:vAlign w:val="center"/>
            <w:hideMark/>
          </w:tcPr>
          <w:p w:rsidR="008355F0" w:rsidRPr="00414D9E" w:rsidRDefault="008355F0" w:rsidP="003867F8">
            <w:pPr>
              <w:jc w:val="center"/>
              <w:rPr>
                <w:rFonts w:cs="Arial"/>
                <w:b/>
                <w:bCs/>
                <w:color w:val="000000"/>
                <w:sz w:val="16"/>
                <w:szCs w:val="16"/>
              </w:rPr>
            </w:pPr>
            <w:r w:rsidRPr="00414D9E">
              <w:rPr>
                <w:rFonts w:cs="Arial"/>
                <w:b/>
                <w:bCs/>
                <w:color w:val="000000"/>
                <w:sz w:val="16"/>
                <w:szCs w:val="16"/>
              </w:rPr>
              <w:t>Balance as of December</w:t>
            </w:r>
            <w:r>
              <w:rPr>
                <w:rFonts w:cs="Arial"/>
                <w:b/>
                <w:bCs/>
                <w:color w:val="000000"/>
                <w:sz w:val="16"/>
                <w:szCs w:val="16"/>
              </w:rPr>
              <w:t> </w:t>
            </w:r>
            <w:r w:rsidRPr="00414D9E">
              <w:rPr>
                <w:rFonts w:cs="Arial"/>
                <w:b/>
                <w:bCs/>
                <w:color w:val="000000"/>
                <w:sz w:val="16"/>
                <w:szCs w:val="16"/>
              </w:rPr>
              <w:t>31,</w:t>
            </w:r>
            <w:r>
              <w:rPr>
                <w:rFonts w:cs="Arial"/>
                <w:b/>
                <w:bCs/>
                <w:color w:val="000000"/>
                <w:sz w:val="16"/>
                <w:szCs w:val="16"/>
              </w:rPr>
              <w:t> </w:t>
            </w:r>
            <w:r w:rsidRPr="00414D9E">
              <w:rPr>
                <w:rFonts w:cs="Arial"/>
                <w:b/>
                <w:bCs/>
                <w:color w:val="000000"/>
                <w:sz w:val="16"/>
                <w:szCs w:val="16"/>
              </w:rPr>
              <w:t>2015</w:t>
            </w:r>
          </w:p>
        </w:tc>
      </w:tr>
      <w:tr w:rsidR="008355F0" w:rsidRPr="00414D9E" w:rsidTr="00E92F85">
        <w:trPr>
          <w:trHeight w:val="255"/>
        </w:trPr>
        <w:tc>
          <w:tcPr>
            <w:tcW w:w="20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55F0" w:rsidRPr="00414D9E" w:rsidRDefault="008355F0" w:rsidP="003867F8">
            <w:pPr>
              <w:jc w:val="center"/>
              <w:rPr>
                <w:rFonts w:cs="Arial"/>
                <w:color w:val="000000"/>
                <w:sz w:val="16"/>
                <w:szCs w:val="16"/>
              </w:rPr>
            </w:pPr>
            <w:r w:rsidRPr="00414D9E">
              <w:rPr>
                <w:rFonts w:cs="Arial"/>
                <w:color w:val="000000"/>
                <w:sz w:val="16"/>
                <w:szCs w:val="16"/>
              </w:rPr>
              <w:t>1,233,536</w:t>
            </w:r>
          </w:p>
        </w:tc>
        <w:tc>
          <w:tcPr>
            <w:tcW w:w="1640" w:type="dxa"/>
            <w:tcBorders>
              <w:top w:val="single" w:sz="4" w:space="0" w:color="auto"/>
              <w:left w:val="nil"/>
              <w:bottom w:val="single" w:sz="4" w:space="0" w:color="auto"/>
              <w:right w:val="single" w:sz="4" w:space="0" w:color="auto"/>
            </w:tcBorders>
            <w:shd w:val="clear" w:color="auto" w:fill="auto"/>
            <w:vAlign w:val="center"/>
            <w:hideMark/>
          </w:tcPr>
          <w:p w:rsidR="008355F0" w:rsidRPr="00414D9E" w:rsidRDefault="008355F0" w:rsidP="003867F8">
            <w:pPr>
              <w:jc w:val="center"/>
              <w:rPr>
                <w:rFonts w:cs="Arial"/>
                <w:color w:val="000000"/>
                <w:sz w:val="16"/>
                <w:szCs w:val="16"/>
              </w:rPr>
            </w:pPr>
            <w:r>
              <w:rPr>
                <w:rFonts w:cs="Arial"/>
                <w:color w:val="000000"/>
                <w:sz w:val="16"/>
                <w:szCs w:val="16"/>
              </w:rPr>
              <w:t>-</w:t>
            </w:r>
          </w:p>
        </w:tc>
        <w:tc>
          <w:tcPr>
            <w:tcW w:w="1860" w:type="dxa"/>
            <w:tcBorders>
              <w:top w:val="single" w:sz="4" w:space="0" w:color="auto"/>
              <w:left w:val="nil"/>
              <w:bottom w:val="single" w:sz="4" w:space="0" w:color="auto"/>
              <w:right w:val="single" w:sz="4" w:space="0" w:color="auto"/>
            </w:tcBorders>
            <w:shd w:val="clear" w:color="auto" w:fill="auto"/>
            <w:vAlign w:val="center"/>
            <w:hideMark/>
          </w:tcPr>
          <w:p w:rsidR="008355F0" w:rsidRPr="00414D9E" w:rsidRDefault="008355F0" w:rsidP="003867F8">
            <w:pPr>
              <w:jc w:val="center"/>
              <w:rPr>
                <w:rFonts w:cs="Arial"/>
                <w:color w:val="000000"/>
                <w:sz w:val="16"/>
                <w:szCs w:val="16"/>
              </w:rPr>
            </w:pPr>
            <w:r w:rsidRPr="00414D9E">
              <w:rPr>
                <w:rFonts w:cs="Arial"/>
                <w:color w:val="000000"/>
                <w:sz w:val="16"/>
                <w:szCs w:val="16"/>
              </w:rPr>
              <w:t>436,938</w:t>
            </w:r>
          </w:p>
        </w:tc>
        <w:tc>
          <w:tcPr>
            <w:tcW w:w="1780" w:type="dxa"/>
            <w:tcBorders>
              <w:top w:val="single" w:sz="4" w:space="0" w:color="auto"/>
              <w:left w:val="nil"/>
              <w:bottom w:val="single" w:sz="4" w:space="0" w:color="auto"/>
              <w:right w:val="single" w:sz="4" w:space="0" w:color="auto"/>
            </w:tcBorders>
            <w:shd w:val="clear" w:color="auto" w:fill="auto"/>
            <w:noWrap/>
            <w:vAlign w:val="center"/>
            <w:hideMark/>
          </w:tcPr>
          <w:p w:rsidR="008355F0" w:rsidRPr="00414D9E" w:rsidRDefault="008355F0" w:rsidP="003867F8">
            <w:pPr>
              <w:jc w:val="center"/>
              <w:rPr>
                <w:rFonts w:cs="Arial"/>
                <w:color w:val="000000"/>
                <w:sz w:val="16"/>
                <w:szCs w:val="16"/>
              </w:rPr>
            </w:pPr>
            <w:r>
              <w:rPr>
                <w:rFonts w:cs="Arial"/>
                <w:color w:val="000000"/>
                <w:sz w:val="16"/>
                <w:szCs w:val="16"/>
              </w:rPr>
              <w:t>-</w:t>
            </w:r>
          </w:p>
        </w:tc>
        <w:tc>
          <w:tcPr>
            <w:tcW w:w="2188" w:type="dxa"/>
            <w:tcBorders>
              <w:top w:val="single" w:sz="4" w:space="0" w:color="auto"/>
              <w:left w:val="nil"/>
              <w:bottom w:val="single" w:sz="4" w:space="0" w:color="auto"/>
              <w:right w:val="single" w:sz="4" w:space="0" w:color="auto"/>
            </w:tcBorders>
            <w:shd w:val="clear" w:color="auto" w:fill="auto"/>
            <w:vAlign w:val="center"/>
            <w:hideMark/>
          </w:tcPr>
          <w:p w:rsidR="008355F0" w:rsidRPr="00414D9E" w:rsidRDefault="008355F0" w:rsidP="003867F8">
            <w:pPr>
              <w:jc w:val="center"/>
              <w:rPr>
                <w:rFonts w:cs="Arial"/>
                <w:color w:val="000000"/>
                <w:sz w:val="16"/>
                <w:szCs w:val="16"/>
              </w:rPr>
            </w:pPr>
            <w:r w:rsidRPr="00414D9E">
              <w:rPr>
                <w:rFonts w:cs="Arial"/>
                <w:color w:val="000000"/>
                <w:sz w:val="16"/>
                <w:szCs w:val="16"/>
              </w:rPr>
              <w:t>796,598</w:t>
            </w:r>
          </w:p>
        </w:tc>
      </w:tr>
    </w:tbl>
    <w:p w:rsidR="008355F0" w:rsidRDefault="008355F0" w:rsidP="003867F8">
      <w:pPr>
        <w:rPr>
          <w:rFonts w:cs="Arial"/>
          <w:b/>
          <w:szCs w:val="20"/>
        </w:rPr>
      </w:pPr>
    </w:p>
    <w:p w:rsidR="008355F0" w:rsidRDefault="008355F0" w:rsidP="003867F8">
      <w:pPr>
        <w:rPr>
          <w:rFonts w:cs="Arial"/>
          <w:b/>
          <w:szCs w:val="20"/>
        </w:rPr>
      </w:pPr>
    </w:p>
    <w:p w:rsidR="008355F0" w:rsidRPr="007F3567" w:rsidRDefault="008355F0" w:rsidP="003867F8">
      <w:pPr>
        <w:rPr>
          <w:rFonts w:cs="Arial"/>
          <w:b/>
          <w:szCs w:val="16"/>
          <w:lang w:eastAsia="ja-JP"/>
        </w:rPr>
      </w:pPr>
      <w:r w:rsidRPr="007F3567">
        <w:rPr>
          <w:rFonts w:cs="Arial"/>
          <w:b/>
          <w:szCs w:val="16"/>
        </w:rPr>
        <w:t>JAPAN/COPYRIGHT</w:t>
      </w:r>
    </w:p>
    <w:p w:rsidR="008355F0" w:rsidRPr="002E1564" w:rsidRDefault="008355F0" w:rsidP="003867F8">
      <w:pPr>
        <w:rPr>
          <w:rFonts w:cs="Arial"/>
          <w:b/>
          <w:szCs w:val="16"/>
          <w:lang w:eastAsia="ja-JP"/>
        </w:rPr>
      </w:pPr>
    </w:p>
    <w:tbl>
      <w:tblPr>
        <w:tblW w:w="9498" w:type="dxa"/>
        <w:tblInd w:w="10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43"/>
        <w:gridCol w:w="1134"/>
        <w:gridCol w:w="2126"/>
        <w:gridCol w:w="4395"/>
      </w:tblGrid>
      <w:tr w:rsidR="008355F0" w:rsidRPr="00A91B3C" w:rsidTr="00E92F85">
        <w:tc>
          <w:tcPr>
            <w:tcW w:w="9498" w:type="dxa"/>
            <w:gridSpan w:val="4"/>
            <w:tcBorders>
              <w:top w:val="single" w:sz="4" w:space="0" w:color="000000"/>
              <w:bottom w:val="single" w:sz="4" w:space="0" w:color="000000"/>
            </w:tcBorders>
            <w:shd w:val="clear" w:color="auto" w:fill="C6D9F1" w:themeFill="text2" w:themeFillTint="33"/>
            <w:vAlign w:val="center"/>
          </w:tcPr>
          <w:p w:rsidR="008355F0" w:rsidRPr="007F3567" w:rsidRDefault="008355F0" w:rsidP="003867F8">
            <w:pPr>
              <w:keepNext/>
              <w:keepLines/>
              <w:tabs>
                <w:tab w:val="left" w:pos="1740"/>
              </w:tabs>
              <w:spacing w:before="120" w:after="120"/>
              <w:ind w:left="1740" w:hanging="1740"/>
              <w:rPr>
                <w:rFonts w:cs="Arial"/>
                <w:b/>
                <w:bCs/>
                <w:sz w:val="16"/>
                <w:szCs w:val="16"/>
              </w:rPr>
            </w:pPr>
            <w:r w:rsidRPr="007F3567">
              <w:rPr>
                <w:rFonts w:cs="Arial"/>
                <w:b/>
                <w:bCs/>
                <w:color w:val="000000"/>
                <w:sz w:val="16"/>
                <w:szCs w:val="16"/>
                <w:shd w:val="clear" w:color="auto" w:fill="C6D9F1" w:themeFill="text2" w:themeFillTint="33"/>
              </w:rPr>
              <w:t>RESULT</w:t>
            </w:r>
            <w:r w:rsidRPr="007F3567">
              <w:rPr>
                <w:rFonts w:cs="Arial"/>
                <w:b/>
                <w:bCs/>
                <w:sz w:val="16"/>
                <w:szCs w:val="16"/>
                <w:shd w:val="clear" w:color="auto" w:fill="C6D9F1" w:themeFill="text2" w:themeFillTint="33"/>
              </w:rPr>
              <w:t>:</w:t>
            </w:r>
            <w:r w:rsidRPr="007F3567">
              <w:rPr>
                <w:rFonts w:cs="Arial"/>
                <w:b/>
                <w:bCs/>
                <w:sz w:val="16"/>
                <w:szCs w:val="16"/>
                <w:shd w:val="clear" w:color="auto" w:fill="C6D9F1" w:themeFill="text2" w:themeFillTint="33"/>
              </w:rPr>
              <w:tab/>
            </w:r>
            <w:r w:rsidRPr="007F3567">
              <w:rPr>
                <w:rFonts w:cs="Arial"/>
                <w:bCs/>
                <w:color w:val="000000"/>
                <w:sz w:val="16"/>
                <w:szCs w:val="16"/>
                <w:shd w:val="clear" w:color="auto" w:fill="C6D9F1" w:themeFill="text2" w:themeFillTint="33"/>
              </w:rPr>
              <w:t>III.2. Enhanced human resource capacities able to deal with the broad range of requirements for the effective use of IP for development in developing countries, LDCs and countries with economies in</w:t>
            </w:r>
            <w:r w:rsidRPr="007F3567">
              <w:rPr>
                <w:rFonts w:cs="Arial"/>
                <w:bCs/>
                <w:color w:val="000000"/>
                <w:sz w:val="16"/>
                <w:szCs w:val="16"/>
              </w:rPr>
              <w:t xml:space="preserve"> transition</w:t>
            </w:r>
          </w:p>
        </w:tc>
      </w:tr>
      <w:tr w:rsidR="008355F0" w:rsidRPr="00A91B3C" w:rsidTr="00E92F85">
        <w:tc>
          <w:tcPr>
            <w:tcW w:w="1843" w:type="dxa"/>
            <w:tcBorders>
              <w:top w:val="single" w:sz="4" w:space="0" w:color="000000"/>
            </w:tcBorders>
            <w:vAlign w:val="center"/>
          </w:tcPr>
          <w:p w:rsidR="008355F0" w:rsidRPr="007F3567" w:rsidRDefault="008355F0" w:rsidP="003867F8">
            <w:pPr>
              <w:keepNext/>
              <w:keepLines/>
              <w:spacing w:before="60" w:after="60"/>
              <w:rPr>
                <w:rFonts w:cs="Arial"/>
                <w:b/>
                <w:bCs/>
                <w:sz w:val="16"/>
                <w:szCs w:val="16"/>
              </w:rPr>
            </w:pPr>
            <w:r w:rsidRPr="007F3567">
              <w:rPr>
                <w:rFonts w:cs="Arial"/>
                <w:b/>
                <w:bCs/>
                <w:sz w:val="16"/>
                <w:szCs w:val="16"/>
              </w:rPr>
              <w:t>Activity</w:t>
            </w:r>
          </w:p>
        </w:tc>
        <w:tc>
          <w:tcPr>
            <w:tcW w:w="1134" w:type="dxa"/>
            <w:tcBorders>
              <w:top w:val="single" w:sz="4" w:space="0" w:color="000000"/>
            </w:tcBorders>
            <w:shd w:val="clear" w:color="auto" w:fill="auto"/>
            <w:tcMar>
              <w:top w:w="110" w:type="dxa"/>
            </w:tcMar>
            <w:vAlign w:val="center"/>
          </w:tcPr>
          <w:p w:rsidR="008355F0" w:rsidRPr="007F3567" w:rsidRDefault="008355F0" w:rsidP="003867F8">
            <w:pPr>
              <w:keepNext/>
              <w:keepLines/>
              <w:spacing w:before="60" w:after="60"/>
              <w:rPr>
                <w:rFonts w:cs="Arial"/>
                <w:sz w:val="16"/>
                <w:szCs w:val="16"/>
              </w:rPr>
            </w:pPr>
            <w:r w:rsidRPr="007F3567">
              <w:rPr>
                <w:rFonts w:cs="Arial"/>
                <w:b/>
                <w:bCs/>
                <w:sz w:val="16"/>
                <w:szCs w:val="16"/>
              </w:rPr>
              <w:t>Date</w:t>
            </w:r>
          </w:p>
        </w:tc>
        <w:tc>
          <w:tcPr>
            <w:tcW w:w="2126" w:type="dxa"/>
            <w:tcBorders>
              <w:top w:val="single" w:sz="4" w:space="0" w:color="000000"/>
            </w:tcBorders>
            <w:shd w:val="clear" w:color="auto" w:fill="auto"/>
            <w:tcMar>
              <w:top w:w="110" w:type="dxa"/>
            </w:tcMar>
            <w:vAlign w:val="center"/>
          </w:tcPr>
          <w:p w:rsidR="008355F0" w:rsidRPr="007F3567" w:rsidRDefault="008355F0" w:rsidP="003867F8">
            <w:pPr>
              <w:keepNext/>
              <w:keepLines/>
              <w:spacing w:before="60" w:after="60"/>
              <w:rPr>
                <w:rFonts w:cs="Arial"/>
                <w:sz w:val="16"/>
                <w:szCs w:val="16"/>
              </w:rPr>
            </w:pPr>
            <w:r w:rsidRPr="007F3567">
              <w:rPr>
                <w:rFonts w:cs="Arial"/>
                <w:b/>
                <w:bCs/>
                <w:sz w:val="16"/>
                <w:szCs w:val="16"/>
              </w:rPr>
              <w:t>Host Country/</w:t>
            </w:r>
            <w:r w:rsidRPr="007F3567">
              <w:rPr>
                <w:rFonts w:cs="Arial"/>
                <w:b/>
                <w:bCs/>
                <w:sz w:val="16"/>
                <w:szCs w:val="16"/>
              </w:rPr>
              <w:br/>
              <w:t>Recipients</w:t>
            </w:r>
          </w:p>
        </w:tc>
        <w:tc>
          <w:tcPr>
            <w:tcW w:w="4395" w:type="dxa"/>
            <w:tcBorders>
              <w:top w:val="single" w:sz="4" w:space="0" w:color="000000"/>
            </w:tcBorders>
            <w:shd w:val="clear" w:color="auto" w:fill="FFFFFF"/>
            <w:tcMar>
              <w:top w:w="110" w:type="dxa"/>
            </w:tcMar>
            <w:vAlign w:val="center"/>
          </w:tcPr>
          <w:p w:rsidR="008355F0" w:rsidRPr="007F3567" w:rsidRDefault="008355F0" w:rsidP="003867F8">
            <w:pPr>
              <w:keepNext/>
              <w:keepLines/>
              <w:spacing w:before="60" w:after="60"/>
              <w:rPr>
                <w:rFonts w:cs="Arial"/>
                <w:sz w:val="16"/>
                <w:szCs w:val="16"/>
              </w:rPr>
            </w:pPr>
            <w:r w:rsidRPr="007F3567">
              <w:rPr>
                <w:rFonts w:cs="Arial"/>
                <w:b/>
                <w:bCs/>
                <w:sz w:val="16"/>
                <w:szCs w:val="16"/>
              </w:rPr>
              <w:t>Purpose(s)/Description(s)</w:t>
            </w:r>
          </w:p>
        </w:tc>
      </w:tr>
      <w:tr w:rsidR="008355F0" w:rsidRPr="00A91B3C" w:rsidTr="00E92F85">
        <w:trPr>
          <w:trHeight w:val="520"/>
        </w:trPr>
        <w:tc>
          <w:tcPr>
            <w:tcW w:w="1843" w:type="dxa"/>
            <w:tcBorders>
              <w:bottom w:val="nil"/>
            </w:tcBorders>
          </w:tcPr>
          <w:p w:rsidR="008355F0" w:rsidRPr="007F3567" w:rsidDel="009E0498" w:rsidRDefault="008355F0" w:rsidP="003867F8">
            <w:pPr>
              <w:autoSpaceDE w:val="0"/>
              <w:autoSpaceDN w:val="0"/>
              <w:adjustRightInd w:val="0"/>
              <w:spacing w:before="60" w:after="60"/>
              <w:rPr>
                <w:rFonts w:cs="Arial"/>
                <w:color w:val="000000"/>
                <w:sz w:val="16"/>
                <w:szCs w:val="16"/>
              </w:rPr>
            </w:pPr>
            <w:r w:rsidRPr="007F3567">
              <w:rPr>
                <w:rFonts w:cs="Arial"/>
                <w:color w:val="000000"/>
                <w:sz w:val="16"/>
                <w:szCs w:val="16"/>
              </w:rPr>
              <w:t>National Workshop on Copyright and Related Rights</w:t>
            </w:r>
          </w:p>
        </w:tc>
        <w:tc>
          <w:tcPr>
            <w:tcW w:w="1134" w:type="dxa"/>
            <w:tcBorders>
              <w:bottom w:val="nil"/>
            </w:tcBorders>
          </w:tcPr>
          <w:p w:rsidR="008355F0" w:rsidRPr="007F3567" w:rsidRDefault="008355F0" w:rsidP="003867F8">
            <w:pPr>
              <w:autoSpaceDE w:val="0"/>
              <w:autoSpaceDN w:val="0"/>
              <w:adjustRightInd w:val="0"/>
              <w:spacing w:before="60" w:after="60"/>
              <w:rPr>
                <w:rFonts w:cs="Arial"/>
                <w:color w:val="000000"/>
                <w:sz w:val="16"/>
                <w:szCs w:val="16"/>
              </w:rPr>
            </w:pPr>
            <w:r w:rsidRPr="007F3567">
              <w:rPr>
                <w:rFonts w:cs="Arial"/>
                <w:color w:val="000000"/>
                <w:sz w:val="16"/>
                <w:szCs w:val="16"/>
              </w:rPr>
              <w:t>March 3 to 4, 2015</w:t>
            </w:r>
          </w:p>
        </w:tc>
        <w:tc>
          <w:tcPr>
            <w:tcW w:w="2126" w:type="dxa"/>
            <w:tcBorders>
              <w:bottom w:val="nil"/>
            </w:tcBorders>
          </w:tcPr>
          <w:p w:rsidR="008355F0" w:rsidRPr="007F3567" w:rsidRDefault="008355F0" w:rsidP="003867F8">
            <w:pPr>
              <w:autoSpaceDE w:val="0"/>
              <w:autoSpaceDN w:val="0"/>
              <w:adjustRightInd w:val="0"/>
              <w:spacing w:before="60" w:after="60"/>
              <w:rPr>
                <w:rFonts w:cs="Arial"/>
                <w:color w:val="000000"/>
                <w:sz w:val="16"/>
                <w:szCs w:val="16"/>
              </w:rPr>
            </w:pPr>
            <w:r w:rsidRPr="007F3567">
              <w:rPr>
                <w:rFonts w:cs="Arial"/>
                <w:color w:val="000000"/>
                <w:sz w:val="16"/>
                <w:szCs w:val="16"/>
              </w:rPr>
              <w:t>Bangladesh/ over 50 local participants</w:t>
            </w:r>
          </w:p>
        </w:tc>
        <w:tc>
          <w:tcPr>
            <w:tcW w:w="4395" w:type="dxa"/>
            <w:tcBorders>
              <w:bottom w:val="nil"/>
            </w:tcBorders>
          </w:tcPr>
          <w:p w:rsidR="008355F0" w:rsidRPr="007F3567" w:rsidDel="00152E3E" w:rsidRDefault="008355F0" w:rsidP="003867F8">
            <w:pPr>
              <w:autoSpaceDE w:val="0"/>
              <w:autoSpaceDN w:val="0"/>
              <w:adjustRightInd w:val="0"/>
              <w:spacing w:before="60" w:after="60"/>
              <w:rPr>
                <w:rFonts w:cs="Arial"/>
                <w:color w:val="000000"/>
                <w:sz w:val="16"/>
                <w:szCs w:val="16"/>
              </w:rPr>
            </w:pPr>
            <w:r w:rsidRPr="007F3567">
              <w:rPr>
                <w:rFonts w:cs="Arial"/>
                <w:color w:val="000000"/>
                <w:sz w:val="16"/>
                <w:szCs w:val="16"/>
              </w:rPr>
              <w:t>To</w:t>
            </w:r>
            <w:r w:rsidRPr="007F3567">
              <w:rPr>
                <w:rFonts w:cs="Arial"/>
                <w:noProof/>
                <w:color w:val="000000"/>
                <w:sz w:val="16"/>
                <w:szCs w:val="16"/>
                <w:lang w:eastAsia="ja-JP"/>
              </w:rPr>
              <w:t xml:space="preserve"> </w:t>
            </w:r>
            <w:r w:rsidRPr="007F3567">
              <w:rPr>
                <w:rFonts w:cs="Arial"/>
                <w:color w:val="000000"/>
                <w:sz w:val="16"/>
                <w:szCs w:val="16"/>
              </w:rPr>
              <w:t>promote better awareness of copyright and related rights and their role in contributing to cultural and economic development.</w:t>
            </w:r>
          </w:p>
        </w:tc>
      </w:tr>
      <w:tr w:rsidR="008355F0" w:rsidRPr="00A91B3C" w:rsidTr="00E92F85">
        <w:trPr>
          <w:trHeight w:val="520"/>
        </w:trPr>
        <w:tc>
          <w:tcPr>
            <w:tcW w:w="1843" w:type="dxa"/>
            <w:tcBorders>
              <w:bottom w:val="nil"/>
            </w:tcBorders>
          </w:tcPr>
          <w:p w:rsidR="008355F0" w:rsidRPr="007F3567" w:rsidDel="009E0498" w:rsidRDefault="008355F0" w:rsidP="003867F8">
            <w:pPr>
              <w:autoSpaceDE w:val="0"/>
              <w:autoSpaceDN w:val="0"/>
              <w:adjustRightInd w:val="0"/>
              <w:spacing w:before="60" w:after="60"/>
              <w:rPr>
                <w:rFonts w:cs="Arial"/>
                <w:color w:val="000000"/>
                <w:sz w:val="16"/>
                <w:szCs w:val="16"/>
              </w:rPr>
            </w:pPr>
            <w:r w:rsidRPr="007F3567">
              <w:rPr>
                <w:rFonts w:cs="Arial"/>
                <w:color w:val="000000"/>
                <w:sz w:val="16"/>
                <w:szCs w:val="16"/>
              </w:rPr>
              <w:t>National Workshop on the Role of Copyright and Related Rights in Economic and Cultural Development</w:t>
            </w:r>
          </w:p>
        </w:tc>
        <w:tc>
          <w:tcPr>
            <w:tcW w:w="1134" w:type="dxa"/>
            <w:tcBorders>
              <w:bottom w:val="nil"/>
            </w:tcBorders>
          </w:tcPr>
          <w:p w:rsidR="008355F0" w:rsidRPr="007F3567" w:rsidRDefault="008355F0" w:rsidP="003867F8">
            <w:pPr>
              <w:autoSpaceDE w:val="0"/>
              <w:autoSpaceDN w:val="0"/>
              <w:adjustRightInd w:val="0"/>
              <w:spacing w:before="60" w:after="60"/>
              <w:rPr>
                <w:rFonts w:cs="Arial"/>
                <w:color w:val="000000"/>
                <w:sz w:val="16"/>
                <w:szCs w:val="16"/>
              </w:rPr>
            </w:pPr>
            <w:r w:rsidRPr="007F3567">
              <w:rPr>
                <w:rFonts w:cs="Arial"/>
                <w:color w:val="000000"/>
                <w:sz w:val="16"/>
                <w:szCs w:val="16"/>
              </w:rPr>
              <w:t>July 6 to 7, 2015</w:t>
            </w:r>
          </w:p>
        </w:tc>
        <w:tc>
          <w:tcPr>
            <w:tcW w:w="2126" w:type="dxa"/>
            <w:tcBorders>
              <w:bottom w:val="nil"/>
            </w:tcBorders>
          </w:tcPr>
          <w:p w:rsidR="008355F0" w:rsidRPr="007F3567" w:rsidRDefault="008355F0" w:rsidP="003867F8">
            <w:pPr>
              <w:autoSpaceDE w:val="0"/>
              <w:autoSpaceDN w:val="0"/>
              <w:adjustRightInd w:val="0"/>
              <w:spacing w:before="60" w:after="60"/>
              <w:rPr>
                <w:rFonts w:cs="Arial"/>
                <w:color w:val="000000"/>
                <w:sz w:val="16"/>
                <w:szCs w:val="16"/>
              </w:rPr>
            </w:pPr>
            <w:r w:rsidRPr="007F3567">
              <w:rPr>
                <w:rFonts w:cs="Arial"/>
                <w:color w:val="000000"/>
                <w:sz w:val="16"/>
                <w:szCs w:val="16"/>
              </w:rPr>
              <w:t>Myanmar/</w:t>
            </w:r>
            <w:r w:rsidRPr="007F3567">
              <w:rPr>
                <w:rFonts w:cs="Arial"/>
                <w:sz w:val="16"/>
                <w:szCs w:val="16"/>
              </w:rPr>
              <w:t xml:space="preserve"> </w:t>
            </w:r>
            <w:r w:rsidRPr="007F3567">
              <w:rPr>
                <w:rFonts w:cs="Arial"/>
                <w:color w:val="000000"/>
                <w:sz w:val="16"/>
                <w:szCs w:val="16"/>
              </w:rPr>
              <w:t>about 90 local participants</w:t>
            </w:r>
          </w:p>
        </w:tc>
        <w:tc>
          <w:tcPr>
            <w:tcW w:w="4395" w:type="dxa"/>
            <w:tcBorders>
              <w:bottom w:val="nil"/>
            </w:tcBorders>
          </w:tcPr>
          <w:p w:rsidR="008355F0" w:rsidRPr="007F3567" w:rsidDel="00152E3E" w:rsidRDefault="008355F0" w:rsidP="003867F8">
            <w:pPr>
              <w:autoSpaceDE w:val="0"/>
              <w:autoSpaceDN w:val="0"/>
              <w:adjustRightInd w:val="0"/>
              <w:spacing w:before="60" w:after="60"/>
              <w:rPr>
                <w:rFonts w:cs="Arial"/>
                <w:color w:val="000000"/>
                <w:sz w:val="16"/>
                <w:szCs w:val="16"/>
              </w:rPr>
            </w:pPr>
            <w:r w:rsidRPr="007F3567">
              <w:rPr>
                <w:rFonts w:cs="Arial"/>
                <w:color w:val="000000"/>
                <w:sz w:val="16"/>
                <w:szCs w:val="16"/>
              </w:rPr>
              <w:t>To</w:t>
            </w:r>
            <w:r w:rsidRPr="007F3567">
              <w:rPr>
                <w:rFonts w:cs="Arial"/>
                <w:color w:val="000000"/>
                <w:sz w:val="16"/>
                <w:szCs w:val="16"/>
                <w:lang w:eastAsia="ja-JP"/>
              </w:rPr>
              <w:t>:  (i)</w:t>
            </w:r>
            <w:r w:rsidRPr="007F3567">
              <w:rPr>
                <w:rFonts w:cs="Arial"/>
                <w:color w:val="000000"/>
                <w:sz w:val="16"/>
                <w:szCs w:val="16"/>
              </w:rPr>
              <w:t xml:space="preserve"> promote better understanding on the role of copyright and related rights in cultural and economic development</w:t>
            </w:r>
            <w:r w:rsidRPr="007F3567">
              <w:rPr>
                <w:rFonts w:cs="Arial"/>
                <w:color w:val="000000"/>
                <w:sz w:val="16"/>
                <w:szCs w:val="16"/>
                <w:lang w:eastAsia="ja-JP"/>
              </w:rPr>
              <w:t xml:space="preserve">; </w:t>
            </w:r>
            <w:r w:rsidRPr="007F3567">
              <w:rPr>
                <w:rFonts w:cs="Arial"/>
                <w:color w:val="000000"/>
                <w:sz w:val="16"/>
                <w:szCs w:val="16"/>
              </w:rPr>
              <w:t xml:space="preserve"> and</w:t>
            </w:r>
            <w:r w:rsidRPr="007F3567">
              <w:rPr>
                <w:rFonts w:cs="Arial"/>
                <w:color w:val="000000"/>
                <w:sz w:val="16"/>
                <w:szCs w:val="16"/>
                <w:lang w:eastAsia="ja-JP"/>
              </w:rPr>
              <w:t xml:space="preserve"> (ii) </w:t>
            </w:r>
            <w:r w:rsidRPr="007F3567">
              <w:rPr>
                <w:rFonts w:cs="Arial"/>
                <w:color w:val="000000"/>
                <w:sz w:val="16"/>
                <w:szCs w:val="16"/>
              </w:rPr>
              <w:t xml:space="preserve">assist in encouraging efficient exploitation of cultural works through copyright and related rights.  </w:t>
            </w:r>
          </w:p>
        </w:tc>
      </w:tr>
      <w:tr w:rsidR="008355F0" w:rsidRPr="00A91B3C" w:rsidTr="00E92F85">
        <w:trPr>
          <w:trHeight w:val="520"/>
        </w:trPr>
        <w:tc>
          <w:tcPr>
            <w:tcW w:w="1843" w:type="dxa"/>
            <w:tcBorders>
              <w:top w:val="nil"/>
              <w:bottom w:val="single" w:sz="4" w:space="0" w:color="auto"/>
            </w:tcBorders>
          </w:tcPr>
          <w:p w:rsidR="008355F0" w:rsidRPr="007F3567" w:rsidDel="009E0498" w:rsidRDefault="008355F0" w:rsidP="003867F8">
            <w:pPr>
              <w:autoSpaceDE w:val="0"/>
              <w:autoSpaceDN w:val="0"/>
              <w:adjustRightInd w:val="0"/>
              <w:spacing w:before="60" w:after="60"/>
              <w:rPr>
                <w:rFonts w:cs="Arial"/>
                <w:color w:val="000000"/>
                <w:sz w:val="16"/>
                <w:szCs w:val="16"/>
              </w:rPr>
            </w:pPr>
            <w:r w:rsidRPr="007F3567">
              <w:rPr>
                <w:rFonts w:cs="Arial"/>
                <w:color w:val="000000"/>
                <w:sz w:val="16"/>
                <w:szCs w:val="16"/>
              </w:rPr>
              <w:t>National Workshop on Copyright and Related Rights and Emerging Issues</w:t>
            </w:r>
          </w:p>
        </w:tc>
        <w:tc>
          <w:tcPr>
            <w:tcW w:w="1134" w:type="dxa"/>
            <w:tcBorders>
              <w:top w:val="nil"/>
              <w:bottom w:val="single" w:sz="4" w:space="0" w:color="auto"/>
            </w:tcBorders>
          </w:tcPr>
          <w:p w:rsidR="008355F0" w:rsidRPr="007F3567" w:rsidRDefault="008355F0" w:rsidP="003867F8">
            <w:pPr>
              <w:autoSpaceDE w:val="0"/>
              <w:autoSpaceDN w:val="0"/>
              <w:adjustRightInd w:val="0"/>
              <w:spacing w:before="60" w:after="60"/>
              <w:rPr>
                <w:rFonts w:cs="Arial"/>
                <w:color w:val="000000"/>
                <w:sz w:val="16"/>
                <w:szCs w:val="16"/>
              </w:rPr>
            </w:pPr>
            <w:r w:rsidRPr="007F3567">
              <w:rPr>
                <w:rFonts w:cs="Arial"/>
                <w:color w:val="000000"/>
                <w:sz w:val="16"/>
                <w:szCs w:val="16"/>
              </w:rPr>
              <w:t>August 5 to 6, 2015</w:t>
            </w:r>
          </w:p>
        </w:tc>
        <w:tc>
          <w:tcPr>
            <w:tcW w:w="2126" w:type="dxa"/>
            <w:tcBorders>
              <w:top w:val="nil"/>
              <w:bottom w:val="single" w:sz="4" w:space="0" w:color="auto"/>
            </w:tcBorders>
          </w:tcPr>
          <w:p w:rsidR="008355F0" w:rsidRPr="007F3567" w:rsidRDefault="008355F0" w:rsidP="003867F8">
            <w:pPr>
              <w:autoSpaceDE w:val="0"/>
              <w:autoSpaceDN w:val="0"/>
              <w:adjustRightInd w:val="0"/>
              <w:spacing w:before="60" w:after="60"/>
              <w:rPr>
                <w:rFonts w:cs="Arial"/>
                <w:color w:val="000000"/>
                <w:sz w:val="16"/>
                <w:szCs w:val="16"/>
              </w:rPr>
            </w:pPr>
            <w:r w:rsidRPr="007F3567">
              <w:rPr>
                <w:rFonts w:cs="Arial"/>
                <w:color w:val="000000"/>
                <w:sz w:val="16"/>
                <w:szCs w:val="16"/>
              </w:rPr>
              <w:t>Viet Nam/</w:t>
            </w:r>
            <w:r w:rsidRPr="007F3567">
              <w:rPr>
                <w:rFonts w:cs="Arial"/>
                <w:sz w:val="16"/>
                <w:szCs w:val="16"/>
              </w:rPr>
              <w:t xml:space="preserve"> </w:t>
            </w:r>
            <w:r w:rsidRPr="007F3567">
              <w:rPr>
                <w:rFonts w:cs="Arial"/>
                <w:color w:val="000000"/>
                <w:sz w:val="16"/>
                <w:szCs w:val="16"/>
              </w:rPr>
              <w:t>about 100 local participants</w:t>
            </w:r>
          </w:p>
        </w:tc>
        <w:tc>
          <w:tcPr>
            <w:tcW w:w="4395" w:type="dxa"/>
            <w:tcBorders>
              <w:top w:val="nil"/>
              <w:bottom w:val="single" w:sz="4" w:space="0" w:color="auto"/>
            </w:tcBorders>
          </w:tcPr>
          <w:p w:rsidR="008355F0" w:rsidRPr="007F3567" w:rsidDel="00152E3E" w:rsidRDefault="008355F0" w:rsidP="003867F8">
            <w:pPr>
              <w:autoSpaceDE w:val="0"/>
              <w:autoSpaceDN w:val="0"/>
              <w:adjustRightInd w:val="0"/>
              <w:spacing w:before="60" w:after="60"/>
              <w:rPr>
                <w:rFonts w:cs="Arial"/>
                <w:color w:val="000000"/>
                <w:sz w:val="16"/>
                <w:szCs w:val="16"/>
              </w:rPr>
            </w:pPr>
            <w:r w:rsidRPr="007F3567">
              <w:rPr>
                <w:rFonts w:cs="Arial"/>
                <w:color w:val="000000"/>
                <w:sz w:val="16"/>
                <w:szCs w:val="16"/>
              </w:rPr>
              <w:t>To</w:t>
            </w:r>
            <w:r w:rsidRPr="007F3567">
              <w:rPr>
                <w:rFonts w:cs="Arial"/>
                <w:color w:val="000000"/>
                <w:sz w:val="16"/>
                <w:szCs w:val="16"/>
                <w:lang w:eastAsia="ja-JP"/>
              </w:rPr>
              <w:t>:  (i)</w:t>
            </w:r>
            <w:r w:rsidRPr="007F3567">
              <w:rPr>
                <w:rFonts w:cs="Arial"/>
                <w:color w:val="000000"/>
                <w:sz w:val="16"/>
                <w:szCs w:val="16"/>
              </w:rPr>
              <w:t xml:space="preserve"> better understand the recent development of copyright and related rights as well as the technology and its implications on the copyright system</w:t>
            </w:r>
            <w:r w:rsidRPr="007F3567">
              <w:rPr>
                <w:rFonts w:cs="Arial"/>
                <w:color w:val="000000"/>
                <w:sz w:val="16"/>
                <w:szCs w:val="16"/>
                <w:lang w:eastAsia="ja-JP"/>
              </w:rPr>
              <w:t xml:space="preserve">; </w:t>
            </w:r>
            <w:r w:rsidRPr="007F3567">
              <w:rPr>
                <w:rFonts w:cs="Arial"/>
                <w:color w:val="000000"/>
                <w:sz w:val="16"/>
                <w:szCs w:val="16"/>
              </w:rPr>
              <w:t xml:space="preserve"> and </w:t>
            </w:r>
            <w:r w:rsidRPr="007F3567">
              <w:rPr>
                <w:rFonts w:cs="Arial"/>
                <w:color w:val="000000"/>
                <w:sz w:val="16"/>
                <w:szCs w:val="16"/>
                <w:lang w:eastAsia="ja-JP"/>
              </w:rPr>
              <w:t xml:space="preserve">(ii) </w:t>
            </w:r>
            <w:r w:rsidRPr="007F3567">
              <w:rPr>
                <w:rFonts w:cs="Arial"/>
                <w:color w:val="000000"/>
                <w:sz w:val="16"/>
                <w:szCs w:val="16"/>
              </w:rPr>
              <w:t>discuss issues and challenges in the field of copyright and related rights in the digital environment.</w:t>
            </w:r>
          </w:p>
        </w:tc>
      </w:tr>
      <w:tr w:rsidR="008355F0" w:rsidRPr="00A91B3C" w:rsidTr="00E92F85">
        <w:trPr>
          <w:trHeight w:val="520"/>
        </w:trPr>
        <w:tc>
          <w:tcPr>
            <w:tcW w:w="9498" w:type="dxa"/>
            <w:gridSpan w:val="4"/>
            <w:tcBorders>
              <w:top w:val="single" w:sz="4" w:space="0" w:color="auto"/>
              <w:bottom w:val="single" w:sz="4" w:space="0" w:color="000000"/>
            </w:tcBorders>
            <w:shd w:val="clear" w:color="auto" w:fill="C6D9F1" w:themeFill="text2" w:themeFillTint="33"/>
          </w:tcPr>
          <w:p w:rsidR="008355F0" w:rsidRPr="007F3567" w:rsidDel="00152E3E" w:rsidRDefault="008355F0" w:rsidP="003867F8">
            <w:pPr>
              <w:keepNext/>
              <w:keepLines/>
              <w:tabs>
                <w:tab w:val="left" w:pos="1740"/>
              </w:tabs>
              <w:spacing w:before="120" w:after="120"/>
              <w:ind w:left="1740" w:hanging="1740"/>
              <w:rPr>
                <w:rFonts w:cs="Arial"/>
                <w:color w:val="000000"/>
                <w:sz w:val="16"/>
                <w:szCs w:val="16"/>
              </w:rPr>
            </w:pPr>
            <w:r w:rsidRPr="007F3567">
              <w:rPr>
                <w:rFonts w:cs="Arial"/>
                <w:b/>
                <w:bCs/>
                <w:color w:val="000000"/>
                <w:sz w:val="16"/>
                <w:szCs w:val="16"/>
              </w:rPr>
              <w:t>RESULT:</w:t>
            </w:r>
            <w:r w:rsidRPr="007F3567">
              <w:rPr>
                <w:rFonts w:cs="Arial"/>
                <w:bCs/>
                <w:color w:val="000000"/>
                <w:sz w:val="16"/>
                <w:szCs w:val="16"/>
              </w:rPr>
              <w:tab/>
              <w:t>IV.4. Enhanced technical and knowledge infrastructure for IP Offices and other IP institutions leading to better services (cheaper, faster, higher quality) to their stakeholders</w:t>
            </w:r>
          </w:p>
        </w:tc>
      </w:tr>
      <w:tr w:rsidR="008355F0" w:rsidRPr="00A91B3C" w:rsidTr="00E92F85">
        <w:trPr>
          <w:trHeight w:val="520"/>
        </w:trPr>
        <w:tc>
          <w:tcPr>
            <w:tcW w:w="1843" w:type="dxa"/>
            <w:tcBorders>
              <w:top w:val="single" w:sz="4" w:space="0" w:color="000000"/>
            </w:tcBorders>
            <w:vAlign w:val="center"/>
          </w:tcPr>
          <w:p w:rsidR="008355F0" w:rsidRPr="007F3567" w:rsidRDefault="008355F0" w:rsidP="003867F8">
            <w:pPr>
              <w:keepNext/>
              <w:keepLines/>
              <w:spacing w:before="60" w:after="60"/>
              <w:rPr>
                <w:rFonts w:cs="Arial"/>
                <w:color w:val="000000"/>
                <w:sz w:val="16"/>
                <w:szCs w:val="16"/>
              </w:rPr>
            </w:pPr>
            <w:r w:rsidRPr="007F3567">
              <w:rPr>
                <w:rFonts w:cs="Arial"/>
                <w:b/>
                <w:bCs/>
                <w:sz w:val="16"/>
                <w:szCs w:val="16"/>
              </w:rPr>
              <w:t>Activity</w:t>
            </w:r>
          </w:p>
        </w:tc>
        <w:tc>
          <w:tcPr>
            <w:tcW w:w="1134" w:type="dxa"/>
            <w:tcBorders>
              <w:top w:val="single" w:sz="4" w:space="0" w:color="000000"/>
            </w:tcBorders>
            <w:vAlign w:val="center"/>
          </w:tcPr>
          <w:p w:rsidR="008355F0" w:rsidRPr="007F3567" w:rsidRDefault="008355F0" w:rsidP="003867F8">
            <w:pPr>
              <w:spacing w:before="60" w:after="60"/>
              <w:rPr>
                <w:rFonts w:cs="Arial"/>
                <w:color w:val="000000"/>
                <w:sz w:val="16"/>
                <w:szCs w:val="16"/>
              </w:rPr>
            </w:pPr>
            <w:r w:rsidRPr="007F3567">
              <w:rPr>
                <w:rFonts w:cs="Arial"/>
                <w:b/>
                <w:bCs/>
                <w:sz w:val="16"/>
                <w:szCs w:val="16"/>
              </w:rPr>
              <w:t>Date</w:t>
            </w:r>
          </w:p>
        </w:tc>
        <w:tc>
          <w:tcPr>
            <w:tcW w:w="2126" w:type="dxa"/>
            <w:tcBorders>
              <w:top w:val="single" w:sz="4" w:space="0" w:color="000000"/>
            </w:tcBorders>
            <w:vAlign w:val="center"/>
          </w:tcPr>
          <w:p w:rsidR="008355F0" w:rsidRPr="007F3567" w:rsidRDefault="008355F0" w:rsidP="003867F8">
            <w:pPr>
              <w:spacing w:before="60" w:after="60"/>
              <w:rPr>
                <w:rFonts w:cs="Arial"/>
                <w:color w:val="000000"/>
                <w:sz w:val="16"/>
                <w:szCs w:val="16"/>
              </w:rPr>
            </w:pPr>
            <w:r w:rsidRPr="007F3567">
              <w:rPr>
                <w:rFonts w:cs="Arial"/>
                <w:b/>
                <w:bCs/>
                <w:sz w:val="16"/>
                <w:szCs w:val="16"/>
              </w:rPr>
              <w:t>Host Country/</w:t>
            </w:r>
            <w:r w:rsidRPr="007F3567">
              <w:rPr>
                <w:rFonts w:cs="Arial"/>
                <w:b/>
                <w:bCs/>
                <w:sz w:val="16"/>
                <w:szCs w:val="16"/>
              </w:rPr>
              <w:br/>
              <w:t>Recipients</w:t>
            </w:r>
          </w:p>
        </w:tc>
        <w:tc>
          <w:tcPr>
            <w:tcW w:w="4395" w:type="dxa"/>
            <w:tcBorders>
              <w:top w:val="single" w:sz="4" w:space="0" w:color="000000"/>
            </w:tcBorders>
            <w:vAlign w:val="center"/>
          </w:tcPr>
          <w:p w:rsidR="008355F0" w:rsidRPr="007F3567" w:rsidRDefault="008355F0" w:rsidP="003867F8">
            <w:pPr>
              <w:spacing w:before="60" w:after="60"/>
              <w:rPr>
                <w:rFonts w:cs="Arial"/>
                <w:color w:val="000000"/>
                <w:sz w:val="16"/>
                <w:szCs w:val="16"/>
              </w:rPr>
            </w:pPr>
            <w:r w:rsidRPr="007F3567">
              <w:rPr>
                <w:rFonts w:cs="Arial"/>
                <w:b/>
                <w:bCs/>
                <w:sz w:val="16"/>
                <w:szCs w:val="16"/>
              </w:rPr>
              <w:t>Purpose(s)/Description(s)</w:t>
            </w:r>
          </w:p>
        </w:tc>
      </w:tr>
      <w:tr w:rsidR="008355F0" w:rsidRPr="00A91B3C" w:rsidTr="00E92F85">
        <w:trPr>
          <w:trHeight w:val="315"/>
        </w:trPr>
        <w:tc>
          <w:tcPr>
            <w:tcW w:w="1843" w:type="dxa"/>
          </w:tcPr>
          <w:p w:rsidR="008355F0" w:rsidRPr="007F3567" w:rsidRDefault="008355F0" w:rsidP="003867F8">
            <w:pPr>
              <w:autoSpaceDE w:val="0"/>
              <w:autoSpaceDN w:val="0"/>
              <w:adjustRightInd w:val="0"/>
              <w:spacing w:before="60" w:after="60"/>
              <w:rPr>
                <w:rFonts w:cs="Arial"/>
                <w:color w:val="000000"/>
                <w:sz w:val="16"/>
                <w:szCs w:val="16"/>
              </w:rPr>
            </w:pPr>
            <w:r w:rsidRPr="007F3567">
              <w:rPr>
                <w:rFonts w:cs="Arial"/>
                <w:color w:val="000000"/>
                <w:sz w:val="16"/>
                <w:szCs w:val="16"/>
              </w:rPr>
              <w:t>Workshop on the Protection of Copyright and Related Rights</w:t>
            </w:r>
          </w:p>
        </w:tc>
        <w:tc>
          <w:tcPr>
            <w:tcW w:w="1134" w:type="dxa"/>
          </w:tcPr>
          <w:p w:rsidR="008355F0" w:rsidRPr="007F3567" w:rsidRDefault="008355F0" w:rsidP="003867F8">
            <w:pPr>
              <w:autoSpaceDE w:val="0"/>
              <w:autoSpaceDN w:val="0"/>
              <w:adjustRightInd w:val="0"/>
              <w:spacing w:before="60" w:after="60"/>
              <w:rPr>
                <w:rFonts w:cs="Arial"/>
                <w:color w:val="000000"/>
                <w:sz w:val="16"/>
                <w:szCs w:val="16"/>
              </w:rPr>
            </w:pPr>
            <w:r w:rsidRPr="007F3567">
              <w:rPr>
                <w:rFonts w:cs="Arial"/>
                <w:color w:val="000000"/>
                <w:sz w:val="16"/>
                <w:szCs w:val="16"/>
              </w:rPr>
              <w:t>February 2 to 13, 2015</w:t>
            </w:r>
          </w:p>
        </w:tc>
        <w:tc>
          <w:tcPr>
            <w:tcW w:w="2126" w:type="dxa"/>
          </w:tcPr>
          <w:p w:rsidR="008355F0" w:rsidRPr="007F3567" w:rsidRDefault="008355F0" w:rsidP="003867F8">
            <w:pPr>
              <w:autoSpaceDE w:val="0"/>
              <w:autoSpaceDN w:val="0"/>
              <w:adjustRightInd w:val="0"/>
              <w:spacing w:before="60" w:after="60"/>
              <w:rPr>
                <w:rFonts w:cs="Arial"/>
                <w:color w:val="000000"/>
                <w:sz w:val="16"/>
                <w:szCs w:val="16"/>
              </w:rPr>
            </w:pPr>
            <w:r w:rsidRPr="007F3567">
              <w:rPr>
                <w:rFonts w:cs="Arial"/>
                <w:color w:val="000000"/>
                <w:sz w:val="16"/>
                <w:szCs w:val="16"/>
              </w:rPr>
              <w:t>Japan/</w:t>
            </w:r>
            <w:r w:rsidRPr="007F3567">
              <w:rPr>
                <w:rFonts w:cs="Arial"/>
                <w:sz w:val="16"/>
                <w:szCs w:val="16"/>
              </w:rPr>
              <w:t xml:space="preserve"> </w:t>
            </w:r>
            <w:r w:rsidRPr="007F3567">
              <w:rPr>
                <w:rFonts w:cs="Arial"/>
                <w:sz w:val="16"/>
                <w:szCs w:val="16"/>
                <w:lang w:eastAsia="ja-JP"/>
              </w:rPr>
              <w:t xml:space="preserve">11 </w:t>
            </w:r>
            <w:r w:rsidRPr="007F3567">
              <w:rPr>
                <w:rFonts w:cs="Arial"/>
                <w:color w:val="000000"/>
                <w:sz w:val="16"/>
                <w:szCs w:val="16"/>
              </w:rPr>
              <w:t xml:space="preserve">participants </w:t>
            </w:r>
            <w:r w:rsidRPr="007F3567">
              <w:rPr>
                <w:rFonts w:cs="Arial"/>
                <w:color w:val="000000"/>
                <w:sz w:val="16"/>
                <w:szCs w:val="16"/>
                <w:lang w:eastAsia="ja-JP"/>
              </w:rPr>
              <w:t xml:space="preserve">from </w:t>
            </w:r>
            <w:r w:rsidRPr="007F3567">
              <w:rPr>
                <w:rFonts w:cs="Arial"/>
                <w:color w:val="000000"/>
                <w:sz w:val="16"/>
                <w:szCs w:val="16"/>
              </w:rPr>
              <w:t>China, India, Malaysia, Philippines, Sri Lanka and Thailand</w:t>
            </w:r>
          </w:p>
        </w:tc>
        <w:tc>
          <w:tcPr>
            <w:tcW w:w="4395" w:type="dxa"/>
          </w:tcPr>
          <w:p w:rsidR="008355F0" w:rsidRPr="007F3567" w:rsidRDefault="008355F0" w:rsidP="003867F8">
            <w:pPr>
              <w:autoSpaceDE w:val="0"/>
              <w:autoSpaceDN w:val="0"/>
              <w:adjustRightInd w:val="0"/>
              <w:spacing w:before="60" w:after="60"/>
              <w:rPr>
                <w:rFonts w:cs="Arial"/>
                <w:color w:val="000000"/>
                <w:sz w:val="16"/>
                <w:szCs w:val="16"/>
              </w:rPr>
            </w:pPr>
            <w:r w:rsidRPr="007F3567">
              <w:rPr>
                <w:rFonts w:cs="Arial"/>
                <w:color w:val="000000"/>
                <w:sz w:val="16"/>
                <w:szCs w:val="16"/>
              </w:rPr>
              <w:t>To inform the officials from the copyright offices and other related institutions in  Asia and the Pacific region of the importance in protection of copyright and related rights.</w:t>
            </w:r>
          </w:p>
        </w:tc>
      </w:tr>
      <w:tr w:rsidR="008355F0" w:rsidRPr="00A91B3C" w:rsidTr="00E92F85">
        <w:trPr>
          <w:trHeight w:val="315"/>
        </w:trPr>
        <w:tc>
          <w:tcPr>
            <w:tcW w:w="1843" w:type="dxa"/>
          </w:tcPr>
          <w:p w:rsidR="008355F0" w:rsidRPr="007F3567" w:rsidRDefault="008355F0" w:rsidP="003867F8">
            <w:pPr>
              <w:autoSpaceDE w:val="0"/>
              <w:autoSpaceDN w:val="0"/>
              <w:adjustRightInd w:val="0"/>
              <w:spacing w:before="60" w:after="60"/>
              <w:rPr>
                <w:rFonts w:cs="Arial"/>
                <w:color w:val="000000"/>
                <w:sz w:val="16"/>
                <w:szCs w:val="16"/>
              </w:rPr>
            </w:pPr>
            <w:r w:rsidRPr="007F3567">
              <w:rPr>
                <w:rFonts w:cs="Arial"/>
                <w:color w:val="000000"/>
                <w:sz w:val="16"/>
                <w:szCs w:val="16"/>
              </w:rPr>
              <w:t>Study Visit to Copyright Management Organizations</w:t>
            </w:r>
          </w:p>
        </w:tc>
        <w:tc>
          <w:tcPr>
            <w:tcW w:w="1134" w:type="dxa"/>
          </w:tcPr>
          <w:p w:rsidR="008355F0" w:rsidRPr="007F3567" w:rsidRDefault="008355F0" w:rsidP="003867F8">
            <w:pPr>
              <w:autoSpaceDE w:val="0"/>
              <w:autoSpaceDN w:val="0"/>
              <w:adjustRightInd w:val="0"/>
              <w:spacing w:before="60" w:after="60"/>
              <w:rPr>
                <w:rFonts w:cs="Arial"/>
                <w:color w:val="000000"/>
                <w:sz w:val="16"/>
                <w:szCs w:val="16"/>
              </w:rPr>
            </w:pPr>
            <w:r w:rsidRPr="007F3567">
              <w:rPr>
                <w:rFonts w:cs="Arial"/>
                <w:color w:val="000000"/>
                <w:sz w:val="16"/>
                <w:szCs w:val="16"/>
              </w:rPr>
              <w:t>February 9 to 13, 2015</w:t>
            </w:r>
          </w:p>
        </w:tc>
        <w:tc>
          <w:tcPr>
            <w:tcW w:w="2126" w:type="dxa"/>
          </w:tcPr>
          <w:p w:rsidR="008355F0" w:rsidRPr="007F3567" w:rsidRDefault="008355F0" w:rsidP="003867F8">
            <w:pPr>
              <w:autoSpaceDE w:val="0"/>
              <w:autoSpaceDN w:val="0"/>
              <w:adjustRightInd w:val="0"/>
              <w:spacing w:before="60" w:after="60"/>
              <w:rPr>
                <w:rFonts w:cs="Arial"/>
                <w:color w:val="000000"/>
                <w:sz w:val="16"/>
                <w:szCs w:val="16"/>
                <w:lang w:eastAsia="ja-JP"/>
              </w:rPr>
            </w:pPr>
            <w:r w:rsidRPr="007F3567">
              <w:rPr>
                <w:rFonts w:cs="Arial"/>
                <w:color w:val="000000"/>
                <w:sz w:val="16"/>
                <w:szCs w:val="16"/>
                <w:lang w:eastAsia="ja-JP"/>
              </w:rPr>
              <w:t>Japan/ 8</w:t>
            </w:r>
            <w:r w:rsidRPr="007F3567">
              <w:rPr>
                <w:rFonts w:cs="Arial"/>
                <w:sz w:val="16"/>
                <w:szCs w:val="16"/>
              </w:rPr>
              <w:t xml:space="preserve"> </w:t>
            </w:r>
            <w:r w:rsidRPr="007F3567">
              <w:rPr>
                <w:rFonts w:cs="Arial"/>
                <w:color w:val="000000"/>
                <w:sz w:val="16"/>
                <w:szCs w:val="16"/>
                <w:lang w:eastAsia="ja-JP"/>
              </w:rPr>
              <w:t>participants from Bhutan, Cambodia, Lao People's Democratic Republic and Myanmar</w:t>
            </w:r>
          </w:p>
        </w:tc>
        <w:tc>
          <w:tcPr>
            <w:tcW w:w="4395" w:type="dxa"/>
          </w:tcPr>
          <w:p w:rsidR="008355F0" w:rsidRPr="007F3567" w:rsidRDefault="008355F0" w:rsidP="003867F8">
            <w:pPr>
              <w:autoSpaceDE w:val="0"/>
              <w:autoSpaceDN w:val="0"/>
              <w:adjustRightInd w:val="0"/>
              <w:spacing w:before="60" w:after="60"/>
              <w:rPr>
                <w:rFonts w:cs="Arial"/>
                <w:color w:val="000000"/>
                <w:sz w:val="16"/>
                <w:szCs w:val="16"/>
              </w:rPr>
            </w:pPr>
            <w:r w:rsidRPr="007F3567">
              <w:rPr>
                <w:rFonts w:cs="Arial"/>
                <w:color w:val="000000"/>
                <w:sz w:val="16"/>
                <w:szCs w:val="16"/>
                <w:lang w:eastAsia="ja-JP"/>
              </w:rPr>
              <w:t>T</w:t>
            </w:r>
            <w:r w:rsidRPr="007F3567">
              <w:rPr>
                <w:rFonts w:cs="Arial"/>
                <w:color w:val="000000"/>
                <w:sz w:val="16"/>
                <w:szCs w:val="16"/>
              </w:rPr>
              <w:t>o</w:t>
            </w:r>
            <w:r w:rsidRPr="007F3567">
              <w:rPr>
                <w:rFonts w:cs="Arial"/>
                <w:color w:val="000000"/>
                <w:sz w:val="16"/>
                <w:szCs w:val="16"/>
                <w:lang w:eastAsia="ja-JP"/>
              </w:rPr>
              <w:t>:  (i)</w:t>
            </w:r>
            <w:r w:rsidRPr="007F3567">
              <w:rPr>
                <w:rFonts w:cs="Arial"/>
                <w:color w:val="000000"/>
                <w:sz w:val="16"/>
                <w:szCs w:val="16"/>
              </w:rPr>
              <w:t xml:space="preserve"> deepen the knowledge and understanding of the participants on copyright management issues</w:t>
            </w:r>
            <w:r w:rsidRPr="007F3567">
              <w:rPr>
                <w:rFonts w:cs="Arial"/>
                <w:color w:val="000000"/>
                <w:sz w:val="16"/>
                <w:szCs w:val="16"/>
                <w:lang w:eastAsia="ja-JP"/>
              </w:rPr>
              <w:t xml:space="preserve">;  (ii) </w:t>
            </w:r>
            <w:r w:rsidRPr="007F3567">
              <w:rPr>
                <w:rFonts w:cs="Arial"/>
                <w:color w:val="000000"/>
                <w:sz w:val="16"/>
                <w:szCs w:val="16"/>
              </w:rPr>
              <w:t>facilitate cooperation and coordination among copyright offices and copyright management organizations</w:t>
            </w:r>
            <w:r w:rsidRPr="007F3567">
              <w:rPr>
                <w:rFonts w:cs="Arial"/>
                <w:color w:val="000000"/>
                <w:sz w:val="16"/>
                <w:szCs w:val="16"/>
                <w:lang w:eastAsia="ja-JP"/>
              </w:rPr>
              <w:t xml:space="preserve">;  and (iii) </w:t>
            </w:r>
            <w:r w:rsidRPr="007F3567">
              <w:rPr>
                <w:rFonts w:cs="Arial"/>
                <w:color w:val="000000"/>
                <w:sz w:val="16"/>
                <w:szCs w:val="16"/>
              </w:rPr>
              <w:t>learn the Japanese experience in the field of copyright and related rights.</w:t>
            </w:r>
          </w:p>
        </w:tc>
      </w:tr>
      <w:tr w:rsidR="008355F0" w:rsidRPr="00A91B3C" w:rsidTr="00E92F85">
        <w:trPr>
          <w:trHeight w:val="315"/>
        </w:trPr>
        <w:tc>
          <w:tcPr>
            <w:tcW w:w="1843" w:type="dxa"/>
          </w:tcPr>
          <w:p w:rsidR="008355F0" w:rsidRPr="007F3567" w:rsidRDefault="008355F0" w:rsidP="003867F8">
            <w:pPr>
              <w:autoSpaceDE w:val="0"/>
              <w:autoSpaceDN w:val="0"/>
              <w:adjustRightInd w:val="0"/>
              <w:spacing w:before="60" w:after="60"/>
              <w:rPr>
                <w:rFonts w:cs="Arial"/>
                <w:color w:val="000000"/>
                <w:sz w:val="16"/>
                <w:szCs w:val="16"/>
              </w:rPr>
            </w:pPr>
            <w:r w:rsidRPr="007F3567">
              <w:rPr>
                <w:rFonts w:cs="Arial"/>
                <w:color w:val="000000"/>
                <w:sz w:val="16"/>
                <w:szCs w:val="16"/>
              </w:rPr>
              <w:t>Workshop on the Protection of Copyright and Related Rights</w:t>
            </w:r>
          </w:p>
        </w:tc>
        <w:tc>
          <w:tcPr>
            <w:tcW w:w="1134" w:type="dxa"/>
          </w:tcPr>
          <w:p w:rsidR="008355F0" w:rsidRPr="007F3567" w:rsidRDefault="008355F0" w:rsidP="003867F8">
            <w:pPr>
              <w:autoSpaceDE w:val="0"/>
              <w:autoSpaceDN w:val="0"/>
              <w:adjustRightInd w:val="0"/>
              <w:spacing w:before="60" w:after="60"/>
              <w:rPr>
                <w:rFonts w:cs="Arial"/>
                <w:color w:val="000000"/>
                <w:sz w:val="16"/>
                <w:szCs w:val="16"/>
              </w:rPr>
            </w:pPr>
            <w:r w:rsidRPr="007F3567">
              <w:rPr>
                <w:rFonts w:cs="Arial"/>
                <w:color w:val="000000"/>
                <w:sz w:val="16"/>
                <w:szCs w:val="16"/>
              </w:rPr>
              <w:t>October 19 to 30, 2015</w:t>
            </w:r>
          </w:p>
        </w:tc>
        <w:tc>
          <w:tcPr>
            <w:tcW w:w="2126" w:type="dxa"/>
          </w:tcPr>
          <w:p w:rsidR="008355F0" w:rsidRPr="007F3567" w:rsidRDefault="008355F0" w:rsidP="003867F8">
            <w:pPr>
              <w:autoSpaceDE w:val="0"/>
              <w:autoSpaceDN w:val="0"/>
              <w:adjustRightInd w:val="0"/>
              <w:spacing w:before="60" w:after="60"/>
              <w:rPr>
                <w:rFonts w:cs="Arial"/>
                <w:color w:val="000000"/>
                <w:sz w:val="16"/>
                <w:szCs w:val="16"/>
                <w:lang w:eastAsia="ja-JP"/>
              </w:rPr>
            </w:pPr>
            <w:r w:rsidRPr="007F3567">
              <w:rPr>
                <w:rFonts w:cs="Arial"/>
                <w:color w:val="000000"/>
                <w:sz w:val="16"/>
                <w:szCs w:val="16"/>
                <w:lang w:eastAsia="ja-JP"/>
              </w:rPr>
              <w:t xml:space="preserve">Japan/ 10 participants from Indonesia, Malaysia, Philippines, Thailand </w:t>
            </w:r>
            <w:r>
              <w:rPr>
                <w:rFonts w:cs="Arial"/>
                <w:color w:val="000000"/>
                <w:sz w:val="16"/>
                <w:szCs w:val="16"/>
                <w:lang w:eastAsia="ja-JP"/>
              </w:rPr>
              <w:t xml:space="preserve"> </w:t>
            </w:r>
            <w:r w:rsidRPr="007F3567">
              <w:rPr>
                <w:rFonts w:cs="Arial"/>
                <w:color w:val="000000"/>
                <w:sz w:val="16"/>
                <w:szCs w:val="16"/>
                <w:lang w:eastAsia="ja-JP"/>
              </w:rPr>
              <w:t>and Viet Nam</w:t>
            </w:r>
          </w:p>
        </w:tc>
        <w:tc>
          <w:tcPr>
            <w:tcW w:w="4395" w:type="dxa"/>
          </w:tcPr>
          <w:p w:rsidR="008355F0" w:rsidRPr="007F3567" w:rsidRDefault="008355F0" w:rsidP="003867F8">
            <w:pPr>
              <w:autoSpaceDE w:val="0"/>
              <w:autoSpaceDN w:val="0"/>
              <w:adjustRightInd w:val="0"/>
              <w:spacing w:before="60" w:after="60"/>
              <w:rPr>
                <w:rFonts w:cs="Arial"/>
                <w:color w:val="000000"/>
                <w:sz w:val="16"/>
                <w:szCs w:val="16"/>
                <w:lang w:eastAsia="ja-JP"/>
              </w:rPr>
            </w:pPr>
            <w:r w:rsidRPr="007F3567">
              <w:rPr>
                <w:rFonts w:cs="Arial"/>
                <w:color w:val="000000"/>
                <w:sz w:val="16"/>
                <w:szCs w:val="16"/>
                <w:lang w:eastAsia="ja-JP"/>
              </w:rPr>
              <w:t xml:space="preserve">To: (i) inform the officials from the copyright offices and other related institutions in the Asia Pacific region of the importance of protection of copyright and related rights;  and (ii) exchange experiences with Japanese colleagues.  </w:t>
            </w:r>
          </w:p>
        </w:tc>
      </w:tr>
      <w:tr w:rsidR="008355F0" w:rsidRPr="00A91B3C" w:rsidTr="00E92F85">
        <w:trPr>
          <w:trHeight w:val="315"/>
        </w:trPr>
        <w:tc>
          <w:tcPr>
            <w:tcW w:w="1843" w:type="dxa"/>
          </w:tcPr>
          <w:p w:rsidR="008355F0" w:rsidRPr="007F3567" w:rsidRDefault="008355F0">
            <w:pPr>
              <w:autoSpaceDE w:val="0"/>
              <w:autoSpaceDN w:val="0"/>
              <w:adjustRightInd w:val="0"/>
              <w:spacing w:before="60" w:after="60"/>
              <w:rPr>
                <w:rFonts w:cs="Arial"/>
                <w:color w:val="000000"/>
                <w:sz w:val="16"/>
                <w:szCs w:val="16"/>
              </w:rPr>
            </w:pPr>
            <w:r w:rsidRPr="007F3567">
              <w:rPr>
                <w:rFonts w:cs="Arial"/>
                <w:color w:val="000000"/>
                <w:sz w:val="16"/>
                <w:szCs w:val="16"/>
              </w:rPr>
              <w:t>Study Visit to Copyright Management Organizations</w:t>
            </w:r>
            <w:r>
              <w:rPr>
                <w:rFonts w:cs="Arial"/>
                <w:color w:val="000000"/>
                <w:sz w:val="16"/>
                <w:szCs w:val="16"/>
              </w:rPr>
              <w:t xml:space="preserve"> </w:t>
            </w:r>
          </w:p>
        </w:tc>
        <w:tc>
          <w:tcPr>
            <w:tcW w:w="1134" w:type="dxa"/>
          </w:tcPr>
          <w:p w:rsidR="008355F0" w:rsidRPr="007F3567" w:rsidRDefault="008355F0" w:rsidP="003867F8">
            <w:pPr>
              <w:autoSpaceDE w:val="0"/>
              <w:autoSpaceDN w:val="0"/>
              <w:adjustRightInd w:val="0"/>
              <w:spacing w:before="60" w:after="60"/>
              <w:rPr>
                <w:rFonts w:cs="Arial"/>
                <w:color w:val="000000"/>
                <w:sz w:val="16"/>
                <w:szCs w:val="16"/>
              </w:rPr>
            </w:pPr>
            <w:r w:rsidRPr="007F3567">
              <w:rPr>
                <w:rFonts w:cs="Arial"/>
                <w:color w:val="000000"/>
                <w:sz w:val="16"/>
                <w:szCs w:val="16"/>
              </w:rPr>
              <w:t>October 26 to 30, 2015</w:t>
            </w:r>
          </w:p>
        </w:tc>
        <w:tc>
          <w:tcPr>
            <w:tcW w:w="2126" w:type="dxa"/>
          </w:tcPr>
          <w:p w:rsidR="008355F0" w:rsidRPr="007F3567" w:rsidRDefault="008355F0" w:rsidP="003867F8">
            <w:pPr>
              <w:autoSpaceDE w:val="0"/>
              <w:autoSpaceDN w:val="0"/>
              <w:adjustRightInd w:val="0"/>
              <w:spacing w:before="60" w:after="60"/>
              <w:rPr>
                <w:rFonts w:cs="Arial"/>
                <w:color w:val="000000"/>
                <w:sz w:val="16"/>
                <w:szCs w:val="16"/>
              </w:rPr>
            </w:pPr>
            <w:r w:rsidRPr="007F3567">
              <w:rPr>
                <w:rFonts w:cs="Arial"/>
                <w:color w:val="000000"/>
                <w:sz w:val="16"/>
                <w:szCs w:val="16"/>
              </w:rPr>
              <w:t xml:space="preserve">Japan/ </w:t>
            </w:r>
            <w:r w:rsidRPr="007F3567">
              <w:rPr>
                <w:rFonts w:cs="Arial"/>
                <w:color w:val="000000"/>
                <w:sz w:val="16"/>
                <w:szCs w:val="16"/>
                <w:lang w:eastAsia="ja-JP"/>
              </w:rPr>
              <w:t xml:space="preserve">6 </w:t>
            </w:r>
            <w:r w:rsidRPr="007F3567">
              <w:rPr>
                <w:rFonts w:cs="Arial"/>
                <w:color w:val="000000"/>
                <w:sz w:val="16"/>
                <w:szCs w:val="16"/>
              </w:rPr>
              <w:t>participants from Bangladesh, Mongolia and Sri Lanka</w:t>
            </w:r>
          </w:p>
        </w:tc>
        <w:tc>
          <w:tcPr>
            <w:tcW w:w="4395" w:type="dxa"/>
          </w:tcPr>
          <w:p w:rsidR="008355F0" w:rsidRPr="007F3567" w:rsidRDefault="008355F0" w:rsidP="003867F8">
            <w:pPr>
              <w:autoSpaceDE w:val="0"/>
              <w:autoSpaceDN w:val="0"/>
              <w:adjustRightInd w:val="0"/>
              <w:spacing w:before="60" w:after="60"/>
              <w:rPr>
                <w:rFonts w:cs="Arial"/>
                <w:color w:val="000000"/>
                <w:sz w:val="16"/>
                <w:szCs w:val="16"/>
              </w:rPr>
            </w:pPr>
            <w:r w:rsidRPr="007F3567">
              <w:rPr>
                <w:rFonts w:cs="Arial"/>
                <w:color w:val="000000"/>
                <w:sz w:val="16"/>
                <w:szCs w:val="16"/>
                <w:lang w:eastAsia="ja-JP"/>
              </w:rPr>
              <w:t>T</w:t>
            </w:r>
            <w:r w:rsidRPr="007F3567">
              <w:rPr>
                <w:rFonts w:cs="Arial"/>
                <w:color w:val="000000"/>
                <w:sz w:val="16"/>
                <w:szCs w:val="16"/>
              </w:rPr>
              <w:t>o</w:t>
            </w:r>
            <w:r w:rsidRPr="007F3567">
              <w:rPr>
                <w:rFonts w:cs="Arial"/>
                <w:color w:val="000000"/>
                <w:sz w:val="16"/>
                <w:szCs w:val="16"/>
                <w:lang w:eastAsia="ja-JP"/>
              </w:rPr>
              <w:t>:  (i)</w:t>
            </w:r>
            <w:r w:rsidRPr="007F3567">
              <w:rPr>
                <w:rFonts w:cs="Arial"/>
                <w:color w:val="000000"/>
                <w:sz w:val="16"/>
                <w:szCs w:val="16"/>
              </w:rPr>
              <w:t xml:space="preserve"> deepen the knowledge and understanding of the participants on copyright management issues</w:t>
            </w:r>
            <w:r w:rsidRPr="007F3567">
              <w:rPr>
                <w:rFonts w:cs="Arial"/>
                <w:color w:val="000000"/>
                <w:sz w:val="16"/>
                <w:szCs w:val="16"/>
                <w:lang w:eastAsia="ja-JP"/>
              </w:rPr>
              <w:t xml:space="preserve">;  (ii) </w:t>
            </w:r>
            <w:r w:rsidRPr="007F3567">
              <w:rPr>
                <w:rFonts w:cs="Arial"/>
                <w:color w:val="000000"/>
                <w:sz w:val="16"/>
                <w:szCs w:val="16"/>
              </w:rPr>
              <w:t xml:space="preserve">facilitate cooperation and coordination among copyright </w:t>
            </w:r>
            <w:r>
              <w:rPr>
                <w:rFonts w:cs="Arial"/>
                <w:color w:val="000000"/>
                <w:sz w:val="16"/>
                <w:szCs w:val="16"/>
              </w:rPr>
              <w:t>O</w:t>
            </w:r>
            <w:r w:rsidRPr="007F3567">
              <w:rPr>
                <w:rFonts w:cs="Arial"/>
                <w:color w:val="000000"/>
                <w:sz w:val="16"/>
                <w:szCs w:val="16"/>
              </w:rPr>
              <w:t xml:space="preserve">ffices and </w:t>
            </w:r>
            <w:r>
              <w:rPr>
                <w:rFonts w:cs="Arial"/>
                <w:color w:val="000000"/>
                <w:sz w:val="16"/>
                <w:szCs w:val="16"/>
              </w:rPr>
              <w:t>CMOs</w:t>
            </w:r>
            <w:r w:rsidRPr="007F3567">
              <w:rPr>
                <w:rFonts w:cs="Arial"/>
                <w:color w:val="000000"/>
                <w:sz w:val="16"/>
                <w:szCs w:val="16"/>
                <w:lang w:eastAsia="ja-JP"/>
              </w:rPr>
              <w:t xml:space="preserve">;  and (iii) </w:t>
            </w:r>
            <w:r w:rsidRPr="007F3567">
              <w:rPr>
                <w:rFonts w:cs="Arial"/>
                <w:color w:val="000000"/>
                <w:sz w:val="16"/>
                <w:szCs w:val="16"/>
              </w:rPr>
              <w:t>learn the Japanese experience in the field of copyright and related rights.</w:t>
            </w:r>
          </w:p>
        </w:tc>
      </w:tr>
    </w:tbl>
    <w:p w:rsidR="008355F0" w:rsidRPr="00A61AD8" w:rsidRDefault="008355F0" w:rsidP="003867F8">
      <w:pPr>
        <w:rPr>
          <w:rFonts w:cs="Arial"/>
          <w:b/>
          <w:szCs w:val="16"/>
        </w:rPr>
      </w:pPr>
    </w:p>
    <w:p w:rsidR="008355F0" w:rsidRPr="00A61AD8" w:rsidRDefault="008355F0" w:rsidP="003867F8">
      <w:pPr>
        <w:rPr>
          <w:rFonts w:cs="Arial"/>
          <w:b/>
          <w:szCs w:val="16"/>
        </w:rPr>
      </w:pPr>
    </w:p>
    <w:p w:rsidR="008355F0" w:rsidRDefault="008355F0" w:rsidP="003867F8">
      <w:pPr>
        <w:rPr>
          <w:rFonts w:cs="Arial"/>
          <w:b/>
          <w:bCs/>
          <w:color w:val="000000"/>
          <w:szCs w:val="16"/>
        </w:rPr>
      </w:pPr>
      <w:r w:rsidRPr="007F3567">
        <w:rPr>
          <w:rFonts w:cs="Arial"/>
          <w:b/>
          <w:szCs w:val="16"/>
        </w:rPr>
        <w:t xml:space="preserve">JAPAN/COPYRIGHT </w:t>
      </w:r>
      <w:r w:rsidRPr="00A91B3C">
        <w:rPr>
          <w:rFonts w:cs="Arial"/>
          <w:b/>
          <w:bCs/>
          <w:color w:val="000000"/>
          <w:szCs w:val="16"/>
        </w:rPr>
        <w:t>Donor Contributions and Expenditure in 2015</w:t>
      </w:r>
    </w:p>
    <w:p w:rsidR="008355F0" w:rsidRPr="007F3567" w:rsidRDefault="008355F0" w:rsidP="003867F8">
      <w:pPr>
        <w:rPr>
          <w:rFonts w:cs="Arial"/>
          <w:b/>
          <w:bCs/>
          <w:color w:val="000000"/>
          <w:szCs w:val="16"/>
        </w:rPr>
      </w:pPr>
    </w:p>
    <w:tbl>
      <w:tblPr>
        <w:tblW w:w="9508" w:type="dxa"/>
        <w:tblInd w:w="98" w:type="dxa"/>
        <w:tblLook w:val="04A0" w:firstRow="1" w:lastRow="0" w:firstColumn="1" w:lastColumn="0" w:noHBand="0" w:noVBand="1"/>
      </w:tblPr>
      <w:tblGrid>
        <w:gridCol w:w="2040"/>
        <w:gridCol w:w="1640"/>
        <w:gridCol w:w="1860"/>
        <w:gridCol w:w="1780"/>
        <w:gridCol w:w="2188"/>
      </w:tblGrid>
      <w:tr w:rsidR="008355F0" w:rsidRPr="00A91B3C" w:rsidTr="00E92F85">
        <w:trPr>
          <w:trHeight w:val="450"/>
        </w:trPr>
        <w:tc>
          <w:tcPr>
            <w:tcW w:w="2040" w:type="dxa"/>
            <w:tcBorders>
              <w:top w:val="single" w:sz="8" w:space="0" w:color="auto"/>
              <w:left w:val="single" w:sz="8" w:space="0" w:color="auto"/>
              <w:bottom w:val="nil"/>
              <w:right w:val="single" w:sz="8" w:space="0" w:color="auto"/>
            </w:tcBorders>
            <w:shd w:val="clear" w:color="000000" w:fill="C5D9F1"/>
            <w:vAlign w:val="center"/>
            <w:hideMark/>
          </w:tcPr>
          <w:p w:rsidR="008355F0" w:rsidRPr="00A91B3C" w:rsidRDefault="008355F0" w:rsidP="003867F8">
            <w:pPr>
              <w:jc w:val="center"/>
              <w:rPr>
                <w:rFonts w:cs="Arial"/>
                <w:b/>
                <w:bCs/>
                <w:color w:val="000000"/>
                <w:sz w:val="16"/>
                <w:szCs w:val="16"/>
              </w:rPr>
            </w:pPr>
            <w:r w:rsidRPr="00A91B3C">
              <w:rPr>
                <w:rFonts w:cs="Arial"/>
                <w:b/>
                <w:bCs/>
                <w:color w:val="000000"/>
                <w:sz w:val="16"/>
                <w:szCs w:val="16"/>
              </w:rPr>
              <w:t>Balance as of December 31, 2014</w:t>
            </w:r>
          </w:p>
        </w:tc>
        <w:tc>
          <w:tcPr>
            <w:tcW w:w="1640" w:type="dxa"/>
            <w:tcBorders>
              <w:top w:val="single" w:sz="8" w:space="0" w:color="auto"/>
              <w:left w:val="nil"/>
              <w:bottom w:val="nil"/>
              <w:right w:val="single" w:sz="8" w:space="0" w:color="auto"/>
            </w:tcBorders>
            <w:shd w:val="clear" w:color="000000" w:fill="C5D9F1"/>
            <w:vAlign w:val="center"/>
            <w:hideMark/>
          </w:tcPr>
          <w:p w:rsidR="008355F0" w:rsidRPr="00A91B3C" w:rsidRDefault="008355F0" w:rsidP="003867F8">
            <w:pPr>
              <w:jc w:val="center"/>
              <w:rPr>
                <w:rFonts w:cs="Arial"/>
                <w:b/>
                <w:bCs/>
                <w:color w:val="000000"/>
                <w:sz w:val="16"/>
                <w:szCs w:val="16"/>
              </w:rPr>
            </w:pPr>
            <w:r w:rsidRPr="00A91B3C">
              <w:rPr>
                <w:rFonts w:cs="Arial"/>
                <w:b/>
                <w:bCs/>
                <w:color w:val="000000"/>
                <w:sz w:val="16"/>
                <w:szCs w:val="16"/>
              </w:rPr>
              <w:t>Income 2015</w:t>
            </w:r>
          </w:p>
        </w:tc>
        <w:tc>
          <w:tcPr>
            <w:tcW w:w="1860" w:type="dxa"/>
            <w:tcBorders>
              <w:top w:val="single" w:sz="8" w:space="0" w:color="auto"/>
              <w:left w:val="nil"/>
              <w:bottom w:val="nil"/>
              <w:right w:val="single" w:sz="8" w:space="0" w:color="auto"/>
            </w:tcBorders>
            <w:shd w:val="clear" w:color="000000" w:fill="C5D9F1"/>
            <w:vAlign w:val="center"/>
            <w:hideMark/>
          </w:tcPr>
          <w:p w:rsidR="008355F0" w:rsidRPr="00A91B3C" w:rsidRDefault="008355F0" w:rsidP="003867F8">
            <w:pPr>
              <w:jc w:val="center"/>
              <w:rPr>
                <w:rFonts w:cs="Arial"/>
                <w:b/>
                <w:bCs/>
                <w:color w:val="000000"/>
                <w:sz w:val="16"/>
                <w:szCs w:val="16"/>
              </w:rPr>
            </w:pPr>
            <w:r w:rsidRPr="00A91B3C">
              <w:rPr>
                <w:rFonts w:cs="Arial"/>
                <w:b/>
                <w:bCs/>
                <w:color w:val="000000"/>
                <w:sz w:val="16"/>
                <w:szCs w:val="16"/>
              </w:rPr>
              <w:t>Expenditure 2015</w:t>
            </w:r>
          </w:p>
        </w:tc>
        <w:tc>
          <w:tcPr>
            <w:tcW w:w="1780" w:type="dxa"/>
            <w:tcBorders>
              <w:top w:val="single" w:sz="8" w:space="0" w:color="auto"/>
              <w:left w:val="nil"/>
              <w:bottom w:val="nil"/>
              <w:right w:val="single" w:sz="8" w:space="0" w:color="auto"/>
            </w:tcBorders>
            <w:shd w:val="clear" w:color="000000" w:fill="C5D9F1"/>
            <w:vAlign w:val="center"/>
            <w:hideMark/>
          </w:tcPr>
          <w:p w:rsidR="008355F0" w:rsidRPr="00A91B3C" w:rsidRDefault="008355F0" w:rsidP="003867F8">
            <w:pPr>
              <w:jc w:val="center"/>
              <w:rPr>
                <w:rFonts w:cs="Arial"/>
                <w:b/>
                <w:bCs/>
                <w:color w:val="000000"/>
                <w:sz w:val="16"/>
                <w:szCs w:val="16"/>
              </w:rPr>
            </w:pPr>
            <w:r w:rsidRPr="00A91B3C">
              <w:rPr>
                <w:rFonts w:cs="Arial"/>
                <w:b/>
                <w:bCs/>
                <w:color w:val="000000"/>
                <w:sz w:val="16"/>
                <w:szCs w:val="16"/>
              </w:rPr>
              <w:t>Reimbursements</w:t>
            </w:r>
          </w:p>
        </w:tc>
        <w:tc>
          <w:tcPr>
            <w:tcW w:w="2188" w:type="dxa"/>
            <w:tcBorders>
              <w:top w:val="single" w:sz="8" w:space="0" w:color="auto"/>
              <w:left w:val="nil"/>
              <w:bottom w:val="nil"/>
              <w:right w:val="single" w:sz="8" w:space="0" w:color="auto"/>
            </w:tcBorders>
            <w:shd w:val="clear" w:color="000000" w:fill="C5D9F1"/>
            <w:vAlign w:val="center"/>
            <w:hideMark/>
          </w:tcPr>
          <w:p w:rsidR="008355F0" w:rsidRPr="00A91B3C" w:rsidRDefault="008355F0" w:rsidP="003867F8">
            <w:pPr>
              <w:jc w:val="center"/>
              <w:rPr>
                <w:rFonts w:cs="Arial"/>
                <w:b/>
                <w:bCs/>
                <w:color w:val="000000"/>
                <w:sz w:val="16"/>
                <w:szCs w:val="16"/>
              </w:rPr>
            </w:pPr>
            <w:r w:rsidRPr="00A91B3C">
              <w:rPr>
                <w:rFonts w:cs="Arial"/>
                <w:b/>
                <w:bCs/>
                <w:color w:val="000000"/>
                <w:sz w:val="16"/>
                <w:szCs w:val="16"/>
              </w:rPr>
              <w:t>Balance as of December</w:t>
            </w:r>
            <w:r>
              <w:rPr>
                <w:rFonts w:cs="Arial"/>
                <w:b/>
                <w:bCs/>
                <w:color w:val="000000"/>
                <w:sz w:val="16"/>
                <w:szCs w:val="16"/>
              </w:rPr>
              <w:t> </w:t>
            </w:r>
            <w:r w:rsidRPr="00A91B3C">
              <w:rPr>
                <w:rFonts w:cs="Arial"/>
                <w:b/>
                <w:bCs/>
                <w:color w:val="000000"/>
                <w:sz w:val="16"/>
                <w:szCs w:val="16"/>
              </w:rPr>
              <w:t>31, 2015</w:t>
            </w:r>
          </w:p>
        </w:tc>
      </w:tr>
      <w:tr w:rsidR="008355F0" w:rsidRPr="00A91B3C" w:rsidTr="00E92F85">
        <w:trPr>
          <w:trHeight w:val="255"/>
        </w:trPr>
        <w:tc>
          <w:tcPr>
            <w:tcW w:w="20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55F0" w:rsidRPr="00A91B3C" w:rsidRDefault="008355F0" w:rsidP="003867F8">
            <w:pPr>
              <w:jc w:val="center"/>
              <w:rPr>
                <w:rFonts w:cs="Arial"/>
                <w:color w:val="000000"/>
                <w:sz w:val="16"/>
                <w:szCs w:val="16"/>
              </w:rPr>
            </w:pPr>
            <w:r w:rsidRPr="00A91B3C">
              <w:rPr>
                <w:rFonts w:cs="Arial"/>
                <w:color w:val="000000"/>
                <w:sz w:val="16"/>
                <w:szCs w:val="16"/>
              </w:rPr>
              <w:t>339,511</w:t>
            </w:r>
          </w:p>
        </w:tc>
        <w:tc>
          <w:tcPr>
            <w:tcW w:w="1640" w:type="dxa"/>
            <w:tcBorders>
              <w:top w:val="single" w:sz="4" w:space="0" w:color="auto"/>
              <w:left w:val="nil"/>
              <w:bottom w:val="single" w:sz="4" w:space="0" w:color="auto"/>
              <w:right w:val="single" w:sz="4" w:space="0" w:color="auto"/>
            </w:tcBorders>
            <w:shd w:val="clear" w:color="auto" w:fill="auto"/>
            <w:vAlign w:val="center"/>
            <w:hideMark/>
          </w:tcPr>
          <w:p w:rsidR="008355F0" w:rsidRPr="00A91B3C" w:rsidRDefault="008355F0" w:rsidP="003867F8">
            <w:pPr>
              <w:jc w:val="center"/>
              <w:rPr>
                <w:rFonts w:cs="Arial"/>
                <w:color w:val="000000"/>
                <w:sz w:val="16"/>
                <w:szCs w:val="16"/>
              </w:rPr>
            </w:pPr>
            <w:r w:rsidRPr="00A91B3C">
              <w:rPr>
                <w:rFonts w:cs="Arial"/>
                <w:color w:val="000000"/>
                <w:sz w:val="16"/>
                <w:szCs w:val="16"/>
              </w:rPr>
              <w:t>469,462</w:t>
            </w:r>
          </w:p>
        </w:tc>
        <w:tc>
          <w:tcPr>
            <w:tcW w:w="1860" w:type="dxa"/>
            <w:tcBorders>
              <w:top w:val="single" w:sz="4" w:space="0" w:color="auto"/>
              <w:left w:val="nil"/>
              <w:bottom w:val="single" w:sz="4" w:space="0" w:color="auto"/>
              <w:right w:val="single" w:sz="4" w:space="0" w:color="auto"/>
            </w:tcBorders>
            <w:shd w:val="clear" w:color="auto" w:fill="auto"/>
            <w:vAlign w:val="center"/>
            <w:hideMark/>
          </w:tcPr>
          <w:p w:rsidR="008355F0" w:rsidRPr="00A91B3C" w:rsidRDefault="008355F0" w:rsidP="003867F8">
            <w:pPr>
              <w:jc w:val="center"/>
              <w:rPr>
                <w:rFonts w:cs="Arial"/>
                <w:color w:val="000000"/>
                <w:sz w:val="16"/>
                <w:szCs w:val="16"/>
              </w:rPr>
            </w:pPr>
            <w:r w:rsidRPr="00A91B3C">
              <w:rPr>
                <w:rFonts w:cs="Arial"/>
                <w:color w:val="000000"/>
                <w:sz w:val="16"/>
                <w:szCs w:val="16"/>
              </w:rPr>
              <w:t>464,038</w:t>
            </w:r>
          </w:p>
        </w:tc>
        <w:tc>
          <w:tcPr>
            <w:tcW w:w="1780" w:type="dxa"/>
            <w:tcBorders>
              <w:top w:val="single" w:sz="4" w:space="0" w:color="auto"/>
              <w:left w:val="nil"/>
              <w:bottom w:val="single" w:sz="4" w:space="0" w:color="auto"/>
              <w:right w:val="single" w:sz="4" w:space="0" w:color="auto"/>
            </w:tcBorders>
            <w:shd w:val="clear" w:color="auto" w:fill="auto"/>
            <w:noWrap/>
            <w:vAlign w:val="center"/>
            <w:hideMark/>
          </w:tcPr>
          <w:p w:rsidR="008355F0" w:rsidRPr="007F3567" w:rsidRDefault="008355F0" w:rsidP="003867F8">
            <w:pPr>
              <w:jc w:val="center"/>
              <w:rPr>
                <w:rFonts w:cs="Arial"/>
                <w:color w:val="000000"/>
                <w:sz w:val="16"/>
                <w:szCs w:val="16"/>
              </w:rPr>
            </w:pPr>
            <w:r>
              <w:rPr>
                <w:rFonts w:cs="Arial"/>
                <w:color w:val="000000"/>
                <w:sz w:val="16"/>
                <w:szCs w:val="16"/>
              </w:rPr>
              <w:t>-</w:t>
            </w:r>
          </w:p>
        </w:tc>
        <w:tc>
          <w:tcPr>
            <w:tcW w:w="2188" w:type="dxa"/>
            <w:tcBorders>
              <w:top w:val="single" w:sz="4" w:space="0" w:color="auto"/>
              <w:left w:val="nil"/>
              <w:bottom w:val="single" w:sz="4" w:space="0" w:color="auto"/>
              <w:right w:val="single" w:sz="4" w:space="0" w:color="auto"/>
            </w:tcBorders>
            <w:shd w:val="clear" w:color="auto" w:fill="auto"/>
            <w:vAlign w:val="center"/>
            <w:hideMark/>
          </w:tcPr>
          <w:p w:rsidR="008355F0" w:rsidRPr="00A91B3C" w:rsidRDefault="008355F0" w:rsidP="003867F8">
            <w:pPr>
              <w:jc w:val="center"/>
              <w:rPr>
                <w:rFonts w:cs="Arial"/>
                <w:color w:val="000000"/>
                <w:sz w:val="16"/>
                <w:szCs w:val="16"/>
              </w:rPr>
            </w:pPr>
            <w:r w:rsidRPr="00A91B3C">
              <w:rPr>
                <w:rFonts w:cs="Arial"/>
                <w:color w:val="000000"/>
                <w:sz w:val="16"/>
                <w:szCs w:val="16"/>
              </w:rPr>
              <w:t>344,935</w:t>
            </w:r>
          </w:p>
        </w:tc>
      </w:tr>
    </w:tbl>
    <w:p w:rsidR="008355F0" w:rsidRPr="00D44E6D" w:rsidRDefault="008355F0" w:rsidP="003867F8">
      <w:pPr>
        <w:rPr>
          <w:rFonts w:cs="Arial"/>
          <w:b/>
          <w:szCs w:val="16"/>
          <w:lang w:eastAsia="ja-JP"/>
        </w:rPr>
      </w:pPr>
    </w:p>
    <w:p w:rsidR="008355F0" w:rsidRPr="00D44E6D" w:rsidRDefault="008355F0" w:rsidP="003867F8">
      <w:pPr>
        <w:rPr>
          <w:rFonts w:cs="Arial"/>
          <w:b/>
          <w:szCs w:val="16"/>
        </w:rPr>
      </w:pPr>
    </w:p>
    <w:p w:rsidR="008355F0" w:rsidRDefault="008355F0" w:rsidP="003867F8">
      <w:pPr>
        <w:rPr>
          <w:rFonts w:cs="Arial"/>
          <w:b/>
          <w:szCs w:val="16"/>
        </w:rPr>
      </w:pPr>
      <w:r>
        <w:rPr>
          <w:rFonts w:cs="Arial"/>
          <w:b/>
          <w:szCs w:val="16"/>
        </w:rPr>
        <w:t>JAPAN/ INDUSTRIAL PROPERTY</w:t>
      </w:r>
    </w:p>
    <w:p w:rsidR="008355F0" w:rsidRDefault="008355F0" w:rsidP="003867F8">
      <w:pPr>
        <w:rPr>
          <w:rFonts w:cs="Arial"/>
          <w:b/>
          <w:szCs w:val="16"/>
        </w:rPr>
      </w:pPr>
    </w:p>
    <w:tbl>
      <w:tblPr>
        <w:tblW w:w="9498" w:type="dxa"/>
        <w:tblInd w:w="10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701"/>
        <w:gridCol w:w="99"/>
        <w:gridCol w:w="43"/>
        <w:gridCol w:w="1134"/>
        <w:gridCol w:w="1973"/>
        <w:gridCol w:w="12"/>
        <w:gridCol w:w="4536"/>
      </w:tblGrid>
      <w:tr w:rsidR="008355F0" w:rsidRPr="00DB065E" w:rsidTr="00E92F85">
        <w:trPr>
          <w:cantSplit/>
          <w:trHeight w:val="315"/>
        </w:trPr>
        <w:tc>
          <w:tcPr>
            <w:tcW w:w="9498" w:type="dxa"/>
            <w:gridSpan w:val="7"/>
            <w:tcBorders>
              <w:top w:val="single" w:sz="4" w:space="0" w:color="auto"/>
              <w:bottom w:val="single" w:sz="4" w:space="0" w:color="auto"/>
            </w:tcBorders>
            <w:shd w:val="clear" w:color="auto" w:fill="C6D9F1" w:themeFill="text2" w:themeFillTint="33"/>
          </w:tcPr>
          <w:p w:rsidR="008355F0" w:rsidRPr="00DB065E" w:rsidRDefault="008355F0" w:rsidP="003867F8">
            <w:pPr>
              <w:keepNext/>
              <w:keepLines/>
              <w:tabs>
                <w:tab w:val="left" w:pos="1740"/>
              </w:tabs>
              <w:spacing w:before="120" w:after="120"/>
              <w:ind w:left="1740" w:hanging="1740"/>
              <w:rPr>
                <w:rFonts w:cs="Arial"/>
                <w:color w:val="000000"/>
                <w:sz w:val="16"/>
                <w:szCs w:val="16"/>
              </w:rPr>
            </w:pPr>
            <w:r w:rsidRPr="00DB065E">
              <w:rPr>
                <w:rFonts w:cs="Arial"/>
                <w:b/>
                <w:bCs/>
                <w:color w:val="000000"/>
                <w:sz w:val="16"/>
                <w:szCs w:val="16"/>
              </w:rPr>
              <w:t>RESULT</w:t>
            </w:r>
            <w:r w:rsidRPr="00DB065E">
              <w:rPr>
                <w:rFonts w:cs="Arial"/>
                <w:bCs/>
                <w:sz w:val="16"/>
                <w:szCs w:val="16"/>
                <w:lang w:val="en-AU"/>
              </w:rPr>
              <w:t>:</w:t>
            </w:r>
            <w:r w:rsidRPr="00DB065E">
              <w:rPr>
                <w:rFonts w:cs="Arial"/>
                <w:bCs/>
                <w:sz w:val="16"/>
                <w:szCs w:val="16"/>
                <w:lang w:val="en-AU"/>
              </w:rPr>
              <w:tab/>
              <w:t>III.2. Enhanced human resource capacities able to deal with the broad range of requirements for the effective use of IP for development in developing countries, LDCs and countries with economies in transition</w:t>
            </w:r>
          </w:p>
        </w:tc>
      </w:tr>
      <w:tr w:rsidR="008355F0" w:rsidRPr="00DB065E" w:rsidTr="00E92F85">
        <w:trPr>
          <w:cantSplit/>
          <w:trHeight w:val="402"/>
        </w:trPr>
        <w:tc>
          <w:tcPr>
            <w:tcW w:w="1843" w:type="dxa"/>
            <w:gridSpan w:val="3"/>
            <w:tcBorders>
              <w:top w:val="single" w:sz="4" w:space="0" w:color="auto"/>
              <w:left w:val="single" w:sz="4" w:space="0" w:color="auto"/>
              <w:bottom w:val="nil"/>
            </w:tcBorders>
            <w:vAlign w:val="center"/>
          </w:tcPr>
          <w:p w:rsidR="008355F0" w:rsidRPr="00DB065E" w:rsidRDefault="008355F0" w:rsidP="003867F8">
            <w:pPr>
              <w:keepNext/>
              <w:keepLines/>
              <w:spacing w:before="60" w:after="60"/>
              <w:rPr>
                <w:rFonts w:cs="Arial"/>
                <w:b/>
                <w:bCs/>
                <w:sz w:val="16"/>
                <w:szCs w:val="16"/>
              </w:rPr>
            </w:pPr>
            <w:r w:rsidRPr="00DB065E">
              <w:rPr>
                <w:rFonts w:cs="Arial"/>
                <w:b/>
                <w:bCs/>
                <w:sz w:val="16"/>
                <w:szCs w:val="16"/>
              </w:rPr>
              <w:t>Activity</w:t>
            </w:r>
          </w:p>
        </w:tc>
        <w:tc>
          <w:tcPr>
            <w:tcW w:w="1134" w:type="dxa"/>
            <w:tcBorders>
              <w:top w:val="single" w:sz="4" w:space="0" w:color="auto"/>
              <w:bottom w:val="nil"/>
            </w:tcBorders>
            <w:vAlign w:val="center"/>
          </w:tcPr>
          <w:p w:rsidR="008355F0" w:rsidRPr="00DB065E" w:rsidRDefault="008355F0" w:rsidP="003867F8">
            <w:pPr>
              <w:spacing w:before="60" w:after="60"/>
              <w:rPr>
                <w:rFonts w:cs="Arial"/>
                <w:sz w:val="16"/>
                <w:szCs w:val="16"/>
              </w:rPr>
            </w:pPr>
            <w:r w:rsidRPr="00DB065E">
              <w:rPr>
                <w:rFonts w:cs="Arial"/>
                <w:b/>
                <w:bCs/>
                <w:sz w:val="16"/>
                <w:szCs w:val="16"/>
              </w:rPr>
              <w:t>Date</w:t>
            </w:r>
          </w:p>
        </w:tc>
        <w:tc>
          <w:tcPr>
            <w:tcW w:w="1985" w:type="dxa"/>
            <w:gridSpan w:val="2"/>
            <w:tcBorders>
              <w:top w:val="single" w:sz="4" w:space="0" w:color="auto"/>
              <w:bottom w:val="nil"/>
            </w:tcBorders>
            <w:vAlign w:val="center"/>
          </w:tcPr>
          <w:p w:rsidR="008355F0" w:rsidRPr="00DB065E" w:rsidRDefault="008355F0" w:rsidP="003867F8">
            <w:pPr>
              <w:spacing w:before="60" w:after="60"/>
              <w:rPr>
                <w:rFonts w:cs="Arial"/>
                <w:sz w:val="16"/>
                <w:szCs w:val="16"/>
              </w:rPr>
            </w:pPr>
            <w:r w:rsidRPr="00DB065E">
              <w:rPr>
                <w:rFonts w:cs="Arial"/>
                <w:b/>
                <w:bCs/>
                <w:sz w:val="16"/>
                <w:szCs w:val="16"/>
              </w:rPr>
              <w:t>Host Country/</w:t>
            </w:r>
            <w:r w:rsidRPr="00DB065E">
              <w:rPr>
                <w:rFonts w:cs="Arial"/>
                <w:b/>
                <w:bCs/>
                <w:sz w:val="16"/>
                <w:szCs w:val="16"/>
              </w:rPr>
              <w:br/>
              <w:t>Recipients</w:t>
            </w:r>
          </w:p>
        </w:tc>
        <w:tc>
          <w:tcPr>
            <w:tcW w:w="4536" w:type="dxa"/>
            <w:tcBorders>
              <w:top w:val="single" w:sz="4" w:space="0" w:color="auto"/>
              <w:bottom w:val="nil"/>
              <w:right w:val="single" w:sz="4" w:space="0" w:color="auto"/>
            </w:tcBorders>
            <w:vAlign w:val="center"/>
          </w:tcPr>
          <w:p w:rsidR="008355F0" w:rsidRPr="00DB065E" w:rsidRDefault="008355F0" w:rsidP="003867F8">
            <w:pPr>
              <w:spacing w:before="60" w:after="60"/>
              <w:rPr>
                <w:rFonts w:cs="Arial"/>
                <w:sz w:val="16"/>
                <w:szCs w:val="16"/>
              </w:rPr>
            </w:pPr>
            <w:r w:rsidRPr="00DB065E">
              <w:rPr>
                <w:rFonts w:cs="Arial"/>
                <w:b/>
                <w:bCs/>
                <w:sz w:val="16"/>
                <w:szCs w:val="16"/>
              </w:rPr>
              <w:t>Purpose(s)/Description(s)</w:t>
            </w:r>
          </w:p>
        </w:tc>
      </w:tr>
      <w:tr w:rsidR="008355F0" w:rsidRPr="00DB065E" w:rsidTr="00E92F85">
        <w:trPr>
          <w:cantSplit/>
          <w:trHeight w:val="315"/>
        </w:trPr>
        <w:tc>
          <w:tcPr>
            <w:tcW w:w="1800" w:type="dxa"/>
            <w:gridSpan w:val="2"/>
          </w:tcPr>
          <w:p w:rsidR="008355F0" w:rsidRPr="00DB065E" w:rsidRDefault="008355F0" w:rsidP="003867F8">
            <w:pPr>
              <w:autoSpaceDE w:val="0"/>
              <w:autoSpaceDN w:val="0"/>
              <w:adjustRightInd w:val="0"/>
              <w:spacing w:before="60" w:after="60"/>
              <w:rPr>
                <w:rFonts w:eastAsia="MS Mincho" w:cs="Arial"/>
                <w:sz w:val="16"/>
                <w:szCs w:val="16"/>
                <w:lang w:eastAsia="ja-JP"/>
              </w:rPr>
            </w:pPr>
            <w:r w:rsidRPr="00DB065E">
              <w:rPr>
                <w:rFonts w:eastAsia="MS Mincho" w:cs="Arial"/>
                <w:color w:val="000000" w:themeColor="text1"/>
                <w:sz w:val="16"/>
                <w:szCs w:val="16"/>
                <w:lang w:eastAsia="ja-JP"/>
              </w:rPr>
              <w:t xml:space="preserve">Training Course on the Examination Practices of Industrial Property   Basic Program </w:t>
            </w:r>
          </w:p>
        </w:tc>
        <w:tc>
          <w:tcPr>
            <w:tcW w:w="1177" w:type="dxa"/>
            <w:gridSpan w:val="2"/>
          </w:tcPr>
          <w:p w:rsidR="008355F0" w:rsidRPr="00DB065E" w:rsidRDefault="008355F0" w:rsidP="003867F8">
            <w:pPr>
              <w:spacing w:before="60" w:after="60"/>
              <w:rPr>
                <w:rFonts w:eastAsia="MS Mincho" w:cs="Arial"/>
                <w:sz w:val="16"/>
                <w:szCs w:val="16"/>
                <w:lang w:eastAsia="ja-JP"/>
              </w:rPr>
            </w:pPr>
            <w:r w:rsidRPr="00DB065E">
              <w:rPr>
                <w:rFonts w:eastAsia="MS Mincho" w:cs="Arial"/>
                <w:sz w:val="16"/>
                <w:szCs w:val="16"/>
                <w:lang w:eastAsia="ja-JP"/>
              </w:rPr>
              <w:t xml:space="preserve">January 19 </w:t>
            </w:r>
            <w:r w:rsidRPr="00DB065E">
              <w:rPr>
                <w:rFonts w:eastAsia="MS Mincho" w:cs="Arial"/>
                <w:sz w:val="16"/>
                <w:szCs w:val="16"/>
                <w:lang w:eastAsia="ja-JP"/>
              </w:rPr>
              <w:br/>
              <w:t>to 30, 2015</w:t>
            </w:r>
          </w:p>
        </w:tc>
        <w:tc>
          <w:tcPr>
            <w:tcW w:w="1985" w:type="dxa"/>
            <w:gridSpan w:val="2"/>
          </w:tcPr>
          <w:p w:rsidR="008355F0" w:rsidRPr="00DB065E" w:rsidRDefault="008355F0" w:rsidP="003867F8">
            <w:pPr>
              <w:autoSpaceDE w:val="0"/>
              <w:autoSpaceDN w:val="0"/>
              <w:adjustRightInd w:val="0"/>
              <w:spacing w:before="60" w:after="60"/>
              <w:rPr>
                <w:rFonts w:eastAsia="MS Mincho" w:cs="Arial"/>
                <w:color w:val="000000"/>
                <w:sz w:val="16"/>
                <w:szCs w:val="16"/>
                <w:lang w:eastAsia="ja-JP"/>
              </w:rPr>
            </w:pPr>
            <w:r w:rsidRPr="00DB065E">
              <w:rPr>
                <w:rFonts w:eastAsia="MS Mincho" w:cs="Arial"/>
                <w:color w:val="000000"/>
                <w:sz w:val="16"/>
                <w:szCs w:val="16"/>
                <w:lang w:eastAsia="ja-JP"/>
              </w:rPr>
              <w:t>Japan/ Afghanistan, Algeria, Brunei Darussalam, Cambodia, Chile, Indonesia, Kenya, Lao People’s Democratic Republic, Madagascar, Malaysia, Myanmar, Pakistan, Peru, Singapore, Sri Lanka, Tajikistan, Tanzania, Viet Nam and ARIPO</w:t>
            </w:r>
          </w:p>
        </w:tc>
        <w:tc>
          <w:tcPr>
            <w:tcW w:w="4536" w:type="dxa"/>
          </w:tcPr>
          <w:p w:rsidR="008355F0" w:rsidRPr="00DB065E" w:rsidRDefault="008355F0" w:rsidP="003867F8">
            <w:pPr>
              <w:autoSpaceDE w:val="0"/>
              <w:autoSpaceDN w:val="0"/>
              <w:adjustRightInd w:val="0"/>
              <w:spacing w:before="60" w:after="60"/>
              <w:ind w:left="-108"/>
              <w:rPr>
                <w:rFonts w:eastAsia="MS Mincho" w:cs="Arial"/>
                <w:sz w:val="16"/>
                <w:szCs w:val="16"/>
                <w:lang w:eastAsia="ja-JP"/>
              </w:rPr>
            </w:pPr>
            <w:r w:rsidRPr="00DB065E">
              <w:rPr>
                <w:rFonts w:eastAsia="MS Mincho" w:cs="Arial"/>
                <w:sz w:val="16"/>
                <w:szCs w:val="16"/>
                <w:lang w:eastAsia="ja-JP"/>
              </w:rPr>
              <w:t xml:space="preserve">To enhance important basic knowledge of the laws and substantive examination procedures in the field of examination of industrial property rights. </w:t>
            </w:r>
          </w:p>
        </w:tc>
      </w:tr>
      <w:tr w:rsidR="008355F0" w:rsidRPr="00DB065E" w:rsidTr="00E92F85">
        <w:trPr>
          <w:cantSplit/>
          <w:trHeight w:val="315"/>
        </w:trPr>
        <w:tc>
          <w:tcPr>
            <w:tcW w:w="1800" w:type="dxa"/>
            <w:gridSpan w:val="2"/>
          </w:tcPr>
          <w:p w:rsidR="008355F0" w:rsidRPr="00DB065E" w:rsidRDefault="008355F0" w:rsidP="003867F8">
            <w:pPr>
              <w:autoSpaceDE w:val="0"/>
              <w:autoSpaceDN w:val="0"/>
              <w:adjustRightInd w:val="0"/>
              <w:spacing w:before="60" w:after="60"/>
              <w:rPr>
                <w:rFonts w:eastAsia="MS Mincho" w:cs="Arial"/>
                <w:sz w:val="16"/>
                <w:szCs w:val="16"/>
                <w:lang w:eastAsia="ja-JP"/>
              </w:rPr>
            </w:pPr>
            <w:r w:rsidRPr="00DB065E">
              <w:rPr>
                <w:rFonts w:eastAsia="MS Mincho" w:cs="Arial"/>
                <w:sz w:val="16"/>
                <w:szCs w:val="16"/>
                <w:lang w:eastAsia="ja-JP"/>
              </w:rPr>
              <w:t xml:space="preserve">Training Course on IP Management and the Formulation and Implementation of Results-Based IP Office Plans </w:t>
            </w:r>
          </w:p>
        </w:tc>
        <w:tc>
          <w:tcPr>
            <w:tcW w:w="1177" w:type="dxa"/>
            <w:gridSpan w:val="2"/>
          </w:tcPr>
          <w:p w:rsidR="008355F0" w:rsidRPr="00DB065E" w:rsidRDefault="008355F0" w:rsidP="003867F8">
            <w:pPr>
              <w:spacing w:before="60" w:after="60"/>
              <w:rPr>
                <w:rFonts w:eastAsia="MS Mincho" w:cs="Arial"/>
                <w:sz w:val="16"/>
                <w:szCs w:val="16"/>
                <w:lang w:eastAsia="ja-JP"/>
              </w:rPr>
            </w:pPr>
            <w:r w:rsidRPr="00DB065E">
              <w:rPr>
                <w:rFonts w:eastAsia="MS Mincho" w:cs="Arial"/>
                <w:sz w:val="16"/>
                <w:szCs w:val="16"/>
                <w:lang w:eastAsia="ja-JP"/>
              </w:rPr>
              <w:t>February 6 to 13, 2015</w:t>
            </w:r>
          </w:p>
        </w:tc>
        <w:tc>
          <w:tcPr>
            <w:tcW w:w="1985" w:type="dxa"/>
            <w:gridSpan w:val="2"/>
          </w:tcPr>
          <w:p w:rsidR="008355F0" w:rsidRPr="00DB065E" w:rsidRDefault="008355F0" w:rsidP="003867F8">
            <w:pPr>
              <w:autoSpaceDE w:val="0"/>
              <w:autoSpaceDN w:val="0"/>
              <w:adjustRightInd w:val="0"/>
              <w:spacing w:before="60" w:after="60"/>
              <w:rPr>
                <w:rFonts w:eastAsia="MS Mincho" w:cs="Arial"/>
                <w:color w:val="000000"/>
                <w:sz w:val="16"/>
                <w:szCs w:val="16"/>
                <w:lang w:eastAsia="ja-JP"/>
              </w:rPr>
            </w:pPr>
            <w:r w:rsidRPr="00DB065E">
              <w:rPr>
                <w:rFonts w:eastAsia="MS Mincho" w:cs="Arial"/>
                <w:color w:val="000000"/>
                <w:sz w:val="16"/>
                <w:szCs w:val="16"/>
                <w:lang w:eastAsia="ja-JP"/>
              </w:rPr>
              <w:t>Japan/ Bangladesh, Brazil, Brunei Darussalam, Cambodia, Chile, India, Indonesia, Lao People’s Democratic Republic, Malaysia, Mexico, Morocco, Myanmar, Nigeria, Pakistan, Peru, Philippines, Singapore, South Africa, Thailand and Viet Nam</w:t>
            </w:r>
          </w:p>
        </w:tc>
        <w:tc>
          <w:tcPr>
            <w:tcW w:w="4536" w:type="dxa"/>
          </w:tcPr>
          <w:p w:rsidR="008355F0" w:rsidRPr="00DB065E" w:rsidRDefault="008355F0" w:rsidP="003867F8">
            <w:pPr>
              <w:autoSpaceDE w:val="0"/>
              <w:autoSpaceDN w:val="0"/>
              <w:adjustRightInd w:val="0"/>
              <w:spacing w:before="60" w:after="60"/>
              <w:ind w:left="-108"/>
              <w:rPr>
                <w:rFonts w:eastAsia="MS Mincho" w:cs="Arial"/>
                <w:sz w:val="16"/>
                <w:szCs w:val="16"/>
                <w:lang w:eastAsia="ja-JP"/>
              </w:rPr>
            </w:pPr>
            <w:r w:rsidRPr="00DB065E">
              <w:rPr>
                <w:rFonts w:eastAsia="MS Mincho" w:cs="Arial"/>
                <w:sz w:val="16"/>
                <w:szCs w:val="16"/>
                <w:lang w:eastAsia="ja-JP"/>
              </w:rPr>
              <w:t>To:  (i) increase the knowledge of participants of modern IP management practices including a manner of making policies, strategies and plans concerning capacity building for patent examiners and also quality management of patent examinations;  and (ii) enhance the capacity of participants to formulate, implement and evaluate IP Office plans that are time-bound, result-oriented, and have a measurable impact.</w:t>
            </w:r>
          </w:p>
        </w:tc>
      </w:tr>
      <w:tr w:rsidR="008355F0" w:rsidRPr="00DB065E" w:rsidTr="00E92F85">
        <w:trPr>
          <w:cantSplit/>
          <w:trHeight w:val="315"/>
        </w:trPr>
        <w:tc>
          <w:tcPr>
            <w:tcW w:w="1800" w:type="dxa"/>
            <w:gridSpan w:val="2"/>
          </w:tcPr>
          <w:p w:rsidR="008355F0" w:rsidRPr="00DB065E" w:rsidRDefault="008355F0" w:rsidP="003867F8">
            <w:pPr>
              <w:autoSpaceDE w:val="0"/>
              <w:autoSpaceDN w:val="0"/>
              <w:adjustRightInd w:val="0"/>
              <w:spacing w:before="60" w:after="60"/>
              <w:rPr>
                <w:rFonts w:eastAsia="MS Mincho" w:cs="Arial"/>
                <w:sz w:val="16"/>
                <w:szCs w:val="16"/>
                <w:lang w:eastAsia="ja-JP"/>
              </w:rPr>
            </w:pPr>
            <w:r w:rsidRPr="00DB065E">
              <w:rPr>
                <w:rFonts w:eastAsia="MS Mincho" w:cs="Arial"/>
                <w:sz w:val="16"/>
                <w:szCs w:val="16"/>
                <w:lang w:eastAsia="ja-JP"/>
              </w:rPr>
              <w:t>Training Course for Patent Examiners on Specified Technology (Pharmaceutical)</w:t>
            </w:r>
          </w:p>
        </w:tc>
        <w:tc>
          <w:tcPr>
            <w:tcW w:w="1177" w:type="dxa"/>
            <w:gridSpan w:val="2"/>
          </w:tcPr>
          <w:p w:rsidR="008355F0" w:rsidRPr="00DB065E" w:rsidRDefault="008355F0" w:rsidP="003867F8">
            <w:pPr>
              <w:spacing w:before="60" w:after="60"/>
              <w:rPr>
                <w:rFonts w:eastAsia="MS Mincho" w:cs="Arial"/>
                <w:sz w:val="16"/>
                <w:szCs w:val="16"/>
                <w:lang w:eastAsia="ja-JP"/>
              </w:rPr>
            </w:pPr>
            <w:r w:rsidRPr="00DB065E">
              <w:rPr>
                <w:rFonts w:eastAsia="MS Mincho" w:cs="Arial"/>
                <w:sz w:val="16"/>
                <w:szCs w:val="16"/>
                <w:lang w:eastAsia="ja-JP"/>
              </w:rPr>
              <w:t>February 19</w:t>
            </w:r>
            <w:r>
              <w:rPr>
                <w:rFonts w:eastAsia="MS Mincho" w:cs="Arial"/>
                <w:sz w:val="16"/>
                <w:szCs w:val="16"/>
                <w:lang w:eastAsia="ja-JP"/>
              </w:rPr>
              <w:t xml:space="preserve"> </w:t>
            </w:r>
            <w:r w:rsidRPr="00DB065E">
              <w:rPr>
                <w:rFonts w:eastAsia="MS Mincho" w:cs="Arial"/>
                <w:sz w:val="16"/>
                <w:szCs w:val="16"/>
                <w:lang w:eastAsia="ja-JP"/>
              </w:rPr>
              <w:t>to 26, 2015</w:t>
            </w:r>
          </w:p>
        </w:tc>
        <w:tc>
          <w:tcPr>
            <w:tcW w:w="1985" w:type="dxa"/>
            <w:gridSpan w:val="2"/>
          </w:tcPr>
          <w:p w:rsidR="008355F0" w:rsidRPr="00DB065E" w:rsidRDefault="008355F0" w:rsidP="003867F8">
            <w:pPr>
              <w:autoSpaceDE w:val="0"/>
              <w:autoSpaceDN w:val="0"/>
              <w:adjustRightInd w:val="0"/>
              <w:spacing w:before="60" w:after="60"/>
              <w:rPr>
                <w:rFonts w:eastAsia="MS Mincho" w:cs="Arial"/>
                <w:color w:val="000000"/>
                <w:sz w:val="16"/>
                <w:szCs w:val="16"/>
                <w:lang w:eastAsia="ja-JP"/>
              </w:rPr>
            </w:pPr>
            <w:r w:rsidRPr="00DB065E">
              <w:rPr>
                <w:rFonts w:eastAsia="MS Mincho" w:cs="Arial"/>
                <w:color w:val="000000"/>
                <w:sz w:val="16"/>
                <w:szCs w:val="16"/>
                <w:lang w:eastAsia="ja-JP"/>
              </w:rPr>
              <w:t>Japan/ China, Egypt, India, Indonesia, Malaysia, Pakistan, Philippines, Thailand, Turkey, Viet Nam and ARIPO</w:t>
            </w:r>
          </w:p>
        </w:tc>
        <w:tc>
          <w:tcPr>
            <w:tcW w:w="4536" w:type="dxa"/>
          </w:tcPr>
          <w:p w:rsidR="008355F0" w:rsidRPr="00DB065E" w:rsidRDefault="008355F0" w:rsidP="003867F8">
            <w:pPr>
              <w:autoSpaceDE w:val="0"/>
              <w:autoSpaceDN w:val="0"/>
              <w:adjustRightInd w:val="0"/>
              <w:spacing w:before="60" w:after="60"/>
              <w:ind w:left="-108"/>
              <w:rPr>
                <w:rFonts w:eastAsia="MS Mincho" w:cs="Arial"/>
                <w:sz w:val="16"/>
                <w:szCs w:val="16"/>
                <w:lang w:eastAsia="ja-JP"/>
              </w:rPr>
            </w:pPr>
            <w:r w:rsidRPr="00DB065E">
              <w:rPr>
                <w:rFonts w:eastAsia="MS Mincho" w:cs="Arial"/>
                <w:sz w:val="16"/>
                <w:szCs w:val="16"/>
                <w:lang w:eastAsia="ja-JP"/>
              </w:rPr>
              <w:t>To:  (i) acquaint the participants with current trends and modern practices in the examination of patents related to pharmaceuticals;  (ii) impart practical knowledge and insights on patent examination methodologies;  (iii) offer an opportunity to share experiences and views among participants on patent examination issues;  and (iv) enhance participants’ professional capabilities for examination of pharmaceutical patents.</w:t>
            </w:r>
          </w:p>
        </w:tc>
      </w:tr>
      <w:tr w:rsidR="008355F0" w:rsidRPr="00DB065E" w:rsidTr="00E92F85">
        <w:trPr>
          <w:cantSplit/>
          <w:trHeight w:val="315"/>
        </w:trPr>
        <w:tc>
          <w:tcPr>
            <w:tcW w:w="1800" w:type="dxa"/>
            <w:gridSpan w:val="2"/>
          </w:tcPr>
          <w:p w:rsidR="008355F0" w:rsidRPr="00DB065E" w:rsidRDefault="008355F0" w:rsidP="003867F8">
            <w:pPr>
              <w:autoSpaceDE w:val="0"/>
              <w:autoSpaceDN w:val="0"/>
              <w:adjustRightInd w:val="0"/>
              <w:spacing w:before="60" w:after="60"/>
              <w:rPr>
                <w:rFonts w:eastAsia="MS Mincho" w:cs="Arial"/>
                <w:sz w:val="16"/>
                <w:szCs w:val="16"/>
                <w:lang w:eastAsia="ja-JP"/>
              </w:rPr>
            </w:pPr>
            <w:r w:rsidRPr="00DB065E">
              <w:rPr>
                <w:rFonts w:eastAsia="MS Mincho" w:cs="Arial"/>
                <w:sz w:val="16"/>
                <w:szCs w:val="16"/>
                <w:lang w:eastAsia="ja-JP"/>
              </w:rPr>
              <w:t xml:space="preserve">Training Course on the Use of Information Technology in Industrial Property Administration </w:t>
            </w:r>
          </w:p>
        </w:tc>
        <w:tc>
          <w:tcPr>
            <w:tcW w:w="1177" w:type="dxa"/>
            <w:gridSpan w:val="2"/>
          </w:tcPr>
          <w:p w:rsidR="008355F0" w:rsidRPr="00DB065E" w:rsidRDefault="008355F0" w:rsidP="003867F8">
            <w:pPr>
              <w:spacing w:before="60" w:after="60"/>
              <w:rPr>
                <w:rFonts w:eastAsia="MS Mincho" w:cs="Arial"/>
                <w:sz w:val="16"/>
                <w:szCs w:val="16"/>
                <w:lang w:eastAsia="ja-JP"/>
              </w:rPr>
            </w:pPr>
            <w:r w:rsidRPr="00DB065E">
              <w:rPr>
                <w:rFonts w:eastAsia="MS Mincho" w:cs="Arial"/>
                <w:sz w:val="16"/>
                <w:szCs w:val="16"/>
                <w:lang w:eastAsia="ja-JP"/>
              </w:rPr>
              <w:t>October 26 to November 6, 2015</w:t>
            </w:r>
          </w:p>
        </w:tc>
        <w:tc>
          <w:tcPr>
            <w:tcW w:w="1985" w:type="dxa"/>
            <w:gridSpan w:val="2"/>
          </w:tcPr>
          <w:p w:rsidR="008355F0" w:rsidRPr="00DB065E" w:rsidRDefault="008355F0" w:rsidP="003867F8">
            <w:pPr>
              <w:autoSpaceDE w:val="0"/>
              <w:autoSpaceDN w:val="0"/>
              <w:adjustRightInd w:val="0"/>
              <w:spacing w:before="60" w:after="60"/>
              <w:rPr>
                <w:rFonts w:eastAsia="MS Mincho" w:cs="Arial"/>
                <w:color w:val="000000"/>
                <w:sz w:val="16"/>
                <w:szCs w:val="16"/>
                <w:lang w:eastAsia="ja-JP"/>
              </w:rPr>
            </w:pPr>
            <w:r w:rsidRPr="00DB065E">
              <w:rPr>
                <w:rFonts w:eastAsia="MS Mincho" w:cs="Arial"/>
                <w:color w:val="000000"/>
                <w:sz w:val="16"/>
                <w:szCs w:val="16"/>
                <w:lang w:eastAsia="ja-JP"/>
              </w:rPr>
              <w:t>Japan/</w:t>
            </w:r>
            <w:r>
              <w:rPr>
                <w:rFonts w:eastAsia="MS Mincho" w:cs="Arial"/>
                <w:color w:val="000000"/>
                <w:sz w:val="16"/>
                <w:szCs w:val="16"/>
                <w:lang w:eastAsia="ja-JP"/>
              </w:rPr>
              <w:t xml:space="preserve"> </w:t>
            </w:r>
            <w:r w:rsidRPr="00DB065E">
              <w:rPr>
                <w:rFonts w:eastAsia="MS Mincho" w:cs="Arial"/>
                <w:color w:val="000000"/>
                <w:sz w:val="16"/>
                <w:szCs w:val="16"/>
                <w:lang w:eastAsia="ja-JP"/>
              </w:rPr>
              <w:t>Algeria, Argentina, Brunei Darussalam, Cambodia, Chile, India, Indonesia, Lao People’s Democratic Republic, Malaysia, Mexico, Myanmar, Papua New Guinea, Peru, Philippines, South Africa, Thailand, Viet Nam and ARIPO</w:t>
            </w:r>
          </w:p>
        </w:tc>
        <w:tc>
          <w:tcPr>
            <w:tcW w:w="4536" w:type="dxa"/>
          </w:tcPr>
          <w:p w:rsidR="008355F0" w:rsidRPr="00DB065E" w:rsidRDefault="008355F0" w:rsidP="003867F8">
            <w:pPr>
              <w:autoSpaceDE w:val="0"/>
              <w:autoSpaceDN w:val="0"/>
              <w:adjustRightInd w:val="0"/>
              <w:spacing w:before="60" w:after="60"/>
              <w:ind w:left="-108"/>
              <w:rPr>
                <w:rFonts w:eastAsia="MS Mincho" w:cs="Arial"/>
                <w:sz w:val="16"/>
                <w:szCs w:val="16"/>
                <w:lang w:eastAsia="ja-JP"/>
              </w:rPr>
            </w:pPr>
            <w:r w:rsidRPr="00DB065E">
              <w:rPr>
                <w:rFonts w:eastAsia="MS Mincho" w:cs="Arial"/>
                <w:sz w:val="16"/>
                <w:szCs w:val="16"/>
                <w:lang w:eastAsia="ja-JP"/>
              </w:rPr>
              <w:t>To: (i) familiarize the participants with recent developments in information technology in relation to industrial property administration, dissemination of industrial property information, and provision of online services;  (ii) impart practical knowledge of latest tools and technologies via interactive sessions, as well as through visits to relevant private entities;  (iii) provide an opportunity to exchange views and concerns among participants on topical related issues, and enhance the participants’ professional capacities in planning and managing the use of information technology in industrial property administration.</w:t>
            </w:r>
          </w:p>
        </w:tc>
      </w:tr>
      <w:tr w:rsidR="008355F0" w:rsidRPr="00DB065E" w:rsidTr="00E92F85">
        <w:trPr>
          <w:cantSplit/>
          <w:trHeight w:val="315"/>
        </w:trPr>
        <w:tc>
          <w:tcPr>
            <w:tcW w:w="1800" w:type="dxa"/>
            <w:gridSpan w:val="2"/>
          </w:tcPr>
          <w:p w:rsidR="008355F0" w:rsidRPr="00DB065E" w:rsidRDefault="008355F0" w:rsidP="003867F8">
            <w:pPr>
              <w:autoSpaceDE w:val="0"/>
              <w:autoSpaceDN w:val="0"/>
              <w:adjustRightInd w:val="0"/>
              <w:spacing w:before="60" w:after="60"/>
              <w:rPr>
                <w:rFonts w:eastAsia="MS Mincho" w:cs="Arial"/>
                <w:sz w:val="16"/>
                <w:szCs w:val="16"/>
                <w:lang w:eastAsia="ja-JP"/>
              </w:rPr>
            </w:pPr>
            <w:r w:rsidRPr="00DB065E">
              <w:rPr>
                <w:rFonts w:eastAsia="MS Mincho" w:cs="Arial"/>
                <w:sz w:val="16"/>
                <w:szCs w:val="16"/>
                <w:lang w:eastAsia="ja-JP"/>
              </w:rPr>
              <w:t>Training Course on Enforcement of Intellectual Property Rights</w:t>
            </w:r>
          </w:p>
        </w:tc>
        <w:tc>
          <w:tcPr>
            <w:tcW w:w="1177" w:type="dxa"/>
            <w:gridSpan w:val="2"/>
          </w:tcPr>
          <w:p w:rsidR="008355F0" w:rsidRPr="00DB065E" w:rsidRDefault="008355F0" w:rsidP="003867F8">
            <w:pPr>
              <w:spacing w:before="60" w:after="60"/>
              <w:rPr>
                <w:rFonts w:eastAsia="MS Mincho" w:cs="Arial"/>
                <w:sz w:val="16"/>
                <w:szCs w:val="16"/>
                <w:lang w:eastAsia="ja-JP"/>
              </w:rPr>
            </w:pPr>
            <w:r w:rsidRPr="00DB065E">
              <w:rPr>
                <w:rFonts w:eastAsia="MS Mincho" w:cs="Arial"/>
                <w:sz w:val="16"/>
                <w:szCs w:val="16"/>
                <w:lang w:eastAsia="ja-JP"/>
              </w:rPr>
              <w:t>November 30 to December 10, 2015</w:t>
            </w:r>
          </w:p>
        </w:tc>
        <w:tc>
          <w:tcPr>
            <w:tcW w:w="1985" w:type="dxa"/>
            <w:gridSpan w:val="2"/>
          </w:tcPr>
          <w:p w:rsidR="008355F0" w:rsidRPr="00DB065E" w:rsidRDefault="008355F0" w:rsidP="003867F8">
            <w:pPr>
              <w:autoSpaceDE w:val="0"/>
              <w:autoSpaceDN w:val="0"/>
              <w:adjustRightInd w:val="0"/>
              <w:spacing w:before="60" w:after="60"/>
              <w:rPr>
                <w:rFonts w:eastAsia="MS Mincho" w:cs="Arial"/>
                <w:color w:val="000000"/>
                <w:sz w:val="16"/>
                <w:szCs w:val="16"/>
                <w:lang w:eastAsia="ja-JP"/>
              </w:rPr>
            </w:pPr>
            <w:r w:rsidRPr="00DB065E">
              <w:rPr>
                <w:rFonts w:eastAsia="MS Mincho" w:cs="Arial"/>
                <w:color w:val="000000"/>
                <w:sz w:val="16"/>
                <w:szCs w:val="16"/>
                <w:lang w:eastAsia="ja-JP"/>
              </w:rPr>
              <w:t>Japan/ China, Indonesia, Malaysia, Philippines, Thailand, United Arab Emirates and Viet Nam</w:t>
            </w:r>
          </w:p>
        </w:tc>
        <w:tc>
          <w:tcPr>
            <w:tcW w:w="4536" w:type="dxa"/>
          </w:tcPr>
          <w:p w:rsidR="008355F0" w:rsidRPr="00DB065E" w:rsidRDefault="008355F0" w:rsidP="003867F8">
            <w:pPr>
              <w:tabs>
                <w:tab w:val="left" w:pos="403"/>
              </w:tabs>
              <w:spacing w:before="60" w:after="60"/>
              <w:ind w:left="-108"/>
              <w:rPr>
                <w:rFonts w:eastAsia="MS Mincho" w:cs="Arial"/>
                <w:sz w:val="16"/>
                <w:szCs w:val="16"/>
                <w:lang w:eastAsia="ja-JP"/>
              </w:rPr>
            </w:pPr>
            <w:r w:rsidRPr="00DB065E">
              <w:rPr>
                <w:rFonts w:eastAsia="MS Mincho" w:cs="Arial"/>
                <w:sz w:val="16"/>
                <w:szCs w:val="16"/>
                <w:lang w:eastAsia="ja-JP"/>
              </w:rPr>
              <w:t xml:space="preserve">To: </w:t>
            </w:r>
            <w:r>
              <w:rPr>
                <w:rFonts w:eastAsia="MS Mincho" w:cs="Arial"/>
                <w:sz w:val="16"/>
                <w:szCs w:val="16"/>
                <w:lang w:eastAsia="ja-JP"/>
              </w:rPr>
              <w:t xml:space="preserve"> </w:t>
            </w:r>
            <w:r w:rsidRPr="00DB065E">
              <w:rPr>
                <w:rFonts w:eastAsia="MS Mincho" w:cs="Arial"/>
                <w:sz w:val="16"/>
                <w:szCs w:val="16"/>
                <w:lang w:eastAsia="ja-JP"/>
              </w:rPr>
              <w:t xml:space="preserve">(i) </w:t>
            </w:r>
            <w:r w:rsidRPr="00DB065E">
              <w:rPr>
                <w:rFonts w:cs="Arial"/>
                <w:sz w:val="16"/>
                <w:szCs w:val="16"/>
              </w:rPr>
              <w:t>promote respect for IP through a review and discussion of the minimum standards and flexibilities in IP enforcement contained in Part III of the TRIPS Agreement;</w:t>
            </w:r>
            <w:r>
              <w:rPr>
                <w:rFonts w:cs="Arial"/>
                <w:sz w:val="16"/>
                <w:szCs w:val="16"/>
              </w:rPr>
              <w:t xml:space="preserve">    </w:t>
            </w:r>
            <w:r w:rsidRPr="00DB065E">
              <w:rPr>
                <w:rFonts w:cs="Arial"/>
                <w:sz w:val="16"/>
                <w:szCs w:val="16"/>
              </w:rPr>
              <w:t xml:space="preserve"> </w:t>
            </w:r>
            <w:r>
              <w:rPr>
                <w:rFonts w:cs="Arial"/>
                <w:sz w:val="16"/>
                <w:szCs w:val="16"/>
              </w:rPr>
              <w:t xml:space="preserve">   </w:t>
            </w:r>
            <w:r w:rsidRPr="00DB065E">
              <w:rPr>
                <w:rFonts w:cs="Arial"/>
                <w:sz w:val="16"/>
                <w:szCs w:val="16"/>
              </w:rPr>
              <w:t xml:space="preserve">(ii) provide participants with an opportunity to demonstrate their skills in appreciating evidence and in deciding on IP cases, and assess the recent developments in case law and issues discussed at WIPO’s Advisory Committee on Enforcement; </w:t>
            </w:r>
            <w:r>
              <w:rPr>
                <w:rFonts w:cs="Arial"/>
                <w:sz w:val="16"/>
                <w:szCs w:val="16"/>
              </w:rPr>
              <w:t xml:space="preserve"> </w:t>
            </w:r>
            <w:r w:rsidRPr="00DB065E">
              <w:rPr>
                <w:rFonts w:cs="Arial"/>
                <w:sz w:val="16"/>
                <w:szCs w:val="16"/>
              </w:rPr>
              <w:t xml:space="preserve">(iii) enable participants to acquire a broader knowledge on matters relating to intellectual property and litigation systems; </w:t>
            </w:r>
            <w:r>
              <w:rPr>
                <w:rFonts w:cs="Arial"/>
                <w:sz w:val="16"/>
                <w:szCs w:val="16"/>
              </w:rPr>
              <w:t xml:space="preserve"> </w:t>
            </w:r>
            <w:r w:rsidRPr="00DB065E">
              <w:rPr>
                <w:rFonts w:cs="Arial"/>
                <w:sz w:val="16"/>
                <w:szCs w:val="16"/>
              </w:rPr>
              <w:t>(iv) enable them to deepen their understanding of procedures in relation to IP litigation and trial methods</w:t>
            </w:r>
            <w:r>
              <w:rPr>
                <w:rFonts w:cs="Arial"/>
                <w:sz w:val="16"/>
                <w:szCs w:val="16"/>
              </w:rPr>
              <w:t xml:space="preserve">; </w:t>
            </w:r>
            <w:r w:rsidRPr="00DB065E">
              <w:rPr>
                <w:rFonts w:cs="Arial"/>
                <w:sz w:val="16"/>
                <w:szCs w:val="16"/>
              </w:rPr>
              <w:t xml:space="preserve"> and </w:t>
            </w:r>
            <w:r>
              <w:rPr>
                <w:rFonts w:cs="Arial"/>
                <w:sz w:val="16"/>
                <w:szCs w:val="16"/>
              </w:rPr>
              <w:t xml:space="preserve">(v) </w:t>
            </w:r>
            <w:r w:rsidRPr="00DB065E">
              <w:rPr>
                <w:rFonts w:cs="Arial"/>
                <w:sz w:val="16"/>
                <w:szCs w:val="16"/>
              </w:rPr>
              <w:t>enhance professional capacity in connection with infringement litigation processes.</w:t>
            </w:r>
          </w:p>
        </w:tc>
      </w:tr>
      <w:tr w:rsidR="008355F0" w:rsidRPr="00DB065E" w:rsidTr="00E92F85">
        <w:trPr>
          <w:cantSplit/>
          <w:trHeight w:val="315"/>
        </w:trPr>
        <w:tc>
          <w:tcPr>
            <w:tcW w:w="1800" w:type="dxa"/>
            <w:gridSpan w:val="2"/>
            <w:tcBorders>
              <w:bottom w:val="nil"/>
            </w:tcBorders>
          </w:tcPr>
          <w:p w:rsidR="008355F0" w:rsidRPr="00DB065E" w:rsidRDefault="008355F0" w:rsidP="003867F8">
            <w:pPr>
              <w:autoSpaceDE w:val="0"/>
              <w:autoSpaceDN w:val="0"/>
              <w:adjustRightInd w:val="0"/>
              <w:spacing w:before="60" w:after="60"/>
              <w:rPr>
                <w:rFonts w:eastAsia="MS Mincho" w:cs="Arial"/>
                <w:sz w:val="16"/>
                <w:szCs w:val="16"/>
                <w:lang w:eastAsia="ja-JP"/>
              </w:rPr>
            </w:pPr>
            <w:r w:rsidRPr="00DB065E">
              <w:rPr>
                <w:rFonts w:eastAsia="MS Mincho" w:cs="Arial"/>
                <w:sz w:val="16"/>
                <w:szCs w:val="16"/>
                <w:lang w:eastAsia="ja-JP"/>
              </w:rPr>
              <w:t>Long-term Fellowship at the Japan Patent Office (JPO)</w:t>
            </w:r>
          </w:p>
        </w:tc>
        <w:tc>
          <w:tcPr>
            <w:tcW w:w="1177" w:type="dxa"/>
            <w:gridSpan w:val="2"/>
            <w:tcBorders>
              <w:bottom w:val="nil"/>
            </w:tcBorders>
          </w:tcPr>
          <w:p w:rsidR="008355F0" w:rsidRPr="00DB065E" w:rsidRDefault="008355F0" w:rsidP="003867F8">
            <w:pPr>
              <w:spacing w:before="60" w:after="60"/>
              <w:rPr>
                <w:rFonts w:eastAsia="MS Mincho" w:cs="Arial"/>
                <w:sz w:val="16"/>
                <w:szCs w:val="16"/>
                <w:lang w:eastAsia="ja-JP"/>
              </w:rPr>
            </w:pPr>
            <w:r w:rsidRPr="00DB065E">
              <w:rPr>
                <w:rFonts w:eastAsia="MS Mincho" w:cs="Arial"/>
                <w:sz w:val="16"/>
                <w:szCs w:val="16"/>
                <w:lang w:eastAsia="ja-JP"/>
              </w:rPr>
              <w:t>May to September</w:t>
            </w:r>
            <w:r>
              <w:rPr>
                <w:rFonts w:eastAsia="MS Mincho" w:cs="Arial"/>
                <w:sz w:val="16"/>
                <w:szCs w:val="16"/>
                <w:lang w:eastAsia="ja-JP"/>
              </w:rPr>
              <w:t>,</w:t>
            </w:r>
            <w:r w:rsidRPr="00DB065E">
              <w:rPr>
                <w:rFonts w:eastAsia="MS Mincho" w:cs="Arial"/>
                <w:sz w:val="16"/>
                <w:szCs w:val="16"/>
                <w:lang w:eastAsia="ja-JP"/>
              </w:rPr>
              <w:t xml:space="preserve"> 2015</w:t>
            </w:r>
          </w:p>
        </w:tc>
        <w:tc>
          <w:tcPr>
            <w:tcW w:w="1985" w:type="dxa"/>
            <w:gridSpan w:val="2"/>
            <w:tcBorders>
              <w:bottom w:val="nil"/>
            </w:tcBorders>
          </w:tcPr>
          <w:p w:rsidR="008355F0" w:rsidRPr="00DB065E" w:rsidRDefault="008355F0" w:rsidP="003867F8">
            <w:pPr>
              <w:autoSpaceDE w:val="0"/>
              <w:autoSpaceDN w:val="0"/>
              <w:adjustRightInd w:val="0"/>
              <w:spacing w:before="60" w:after="60"/>
              <w:rPr>
                <w:rFonts w:eastAsia="MS Mincho" w:cs="Arial"/>
                <w:color w:val="000000"/>
                <w:sz w:val="16"/>
                <w:szCs w:val="16"/>
                <w:lang w:eastAsia="ja-JP"/>
              </w:rPr>
            </w:pPr>
            <w:r w:rsidRPr="00DB065E">
              <w:rPr>
                <w:rFonts w:eastAsia="MS Mincho" w:cs="Arial"/>
                <w:color w:val="000000"/>
                <w:sz w:val="16"/>
                <w:szCs w:val="16"/>
                <w:lang w:eastAsia="ja-JP"/>
              </w:rPr>
              <w:t>Japan/</w:t>
            </w:r>
            <w:r>
              <w:rPr>
                <w:rFonts w:eastAsia="MS Mincho" w:cs="Arial"/>
                <w:color w:val="000000"/>
                <w:sz w:val="16"/>
                <w:szCs w:val="16"/>
                <w:lang w:eastAsia="ja-JP"/>
              </w:rPr>
              <w:t xml:space="preserve"> </w:t>
            </w:r>
            <w:r w:rsidRPr="00DB065E">
              <w:rPr>
                <w:rFonts w:eastAsia="MS Mincho" w:cs="Arial"/>
                <w:color w:val="000000"/>
                <w:sz w:val="16"/>
                <w:szCs w:val="16"/>
                <w:lang w:eastAsia="ja-JP"/>
              </w:rPr>
              <w:t>Viet Nam</w:t>
            </w:r>
          </w:p>
        </w:tc>
        <w:tc>
          <w:tcPr>
            <w:tcW w:w="4536" w:type="dxa"/>
            <w:tcBorders>
              <w:bottom w:val="nil"/>
            </w:tcBorders>
          </w:tcPr>
          <w:p w:rsidR="008355F0" w:rsidRPr="00DB065E" w:rsidRDefault="008355F0" w:rsidP="003867F8">
            <w:pPr>
              <w:autoSpaceDE w:val="0"/>
              <w:autoSpaceDN w:val="0"/>
              <w:adjustRightInd w:val="0"/>
              <w:spacing w:before="60" w:after="60"/>
              <w:ind w:left="-108"/>
              <w:rPr>
                <w:rFonts w:eastAsia="MS Mincho" w:cs="Arial"/>
                <w:sz w:val="16"/>
                <w:szCs w:val="16"/>
                <w:lang w:eastAsia="ja-JP"/>
              </w:rPr>
            </w:pPr>
            <w:r w:rsidRPr="00DB065E">
              <w:rPr>
                <w:rFonts w:eastAsia="MS Mincho" w:cs="Arial"/>
                <w:sz w:val="16"/>
                <w:szCs w:val="16"/>
                <w:lang w:eastAsia="ja-JP"/>
              </w:rPr>
              <w:t xml:space="preserve">To enhance the knowledge and understanding of the fellows on selected topics in the field of industrial property, primarily by providing an opportunity for independent research on subjects of their choice.  The candidate from NOIP (Viet Nam) chose the topic of “Effective IP promotion in a developing country”. </w:t>
            </w:r>
          </w:p>
        </w:tc>
      </w:tr>
      <w:tr w:rsidR="008355F0" w:rsidRPr="00DB065E" w:rsidTr="00E92F85">
        <w:trPr>
          <w:cantSplit/>
          <w:trHeight w:val="473"/>
        </w:trPr>
        <w:tc>
          <w:tcPr>
            <w:tcW w:w="1800" w:type="dxa"/>
            <w:gridSpan w:val="2"/>
            <w:tcBorders>
              <w:top w:val="nil"/>
              <w:bottom w:val="single" w:sz="4" w:space="0" w:color="auto"/>
            </w:tcBorders>
          </w:tcPr>
          <w:p w:rsidR="008355F0" w:rsidRPr="00DB065E" w:rsidRDefault="008355F0" w:rsidP="003867F8">
            <w:pPr>
              <w:autoSpaceDE w:val="0"/>
              <w:autoSpaceDN w:val="0"/>
              <w:adjustRightInd w:val="0"/>
              <w:spacing w:before="60" w:after="60"/>
              <w:rPr>
                <w:rFonts w:eastAsia="MS Mincho" w:cs="Arial"/>
                <w:color w:val="000000"/>
                <w:sz w:val="16"/>
                <w:szCs w:val="16"/>
                <w:lang w:eastAsia="ja-JP"/>
              </w:rPr>
            </w:pPr>
            <w:r w:rsidRPr="00DB065E">
              <w:rPr>
                <w:rFonts w:eastAsia="MS Mincho" w:cs="Arial"/>
                <w:color w:val="000000"/>
                <w:sz w:val="16"/>
                <w:szCs w:val="16"/>
                <w:lang w:eastAsia="ja-JP"/>
              </w:rPr>
              <w:t>Short-Term Practicum/Internship in Patent Attorney Offices</w:t>
            </w:r>
          </w:p>
        </w:tc>
        <w:tc>
          <w:tcPr>
            <w:tcW w:w="1177" w:type="dxa"/>
            <w:gridSpan w:val="2"/>
            <w:tcBorders>
              <w:top w:val="nil"/>
              <w:bottom w:val="single" w:sz="4" w:space="0" w:color="auto"/>
            </w:tcBorders>
          </w:tcPr>
          <w:p w:rsidR="008355F0" w:rsidRPr="00DB065E" w:rsidRDefault="008355F0" w:rsidP="003867F8">
            <w:pPr>
              <w:autoSpaceDE w:val="0"/>
              <w:autoSpaceDN w:val="0"/>
              <w:adjustRightInd w:val="0"/>
              <w:spacing w:before="60" w:after="60"/>
              <w:rPr>
                <w:rFonts w:eastAsia="MS Mincho" w:cs="Arial"/>
                <w:color w:val="000000"/>
                <w:sz w:val="16"/>
                <w:szCs w:val="16"/>
                <w:lang w:eastAsia="ja-JP"/>
              </w:rPr>
            </w:pPr>
            <w:r w:rsidRPr="00DB065E">
              <w:rPr>
                <w:rFonts w:eastAsia="MS Mincho" w:cs="Arial"/>
                <w:color w:val="000000"/>
                <w:sz w:val="16"/>
                <w:szCs w:val="16"/>
                <w:lang w:eastAsia="ja-JP"/>
              </w:rPr>
              <w:t>November 2 to 13, 2015</w:t>
            </w:r>
          </w:p>
        </w:tc>
        <w:tc>
          <w:tcPr>
            <w:tcW w:w="1973" w:type="dxa"/>
            <w:tcBorders>
              <w:top w:val="nil"/>
              <w:bottom w:val="single" w:sz="4" w:space="0" w:color="auto"/>
            </w:tcBorders>
          </w:tcPr>
          <w:p w:rsidR="008355F0" w:rsidRPr="00DB065E" w:rsidRDefault="008355F0" w:rsidP="003867F8">
            <w:pPr>
              <w:autoSpaceDE w:val="0"/>
              <w:autoSpaceDN w:val="0"/>
              <w:adjustRightInd w:val="0"/>
              <w:spacing w:before="60" w:after="60"/>
              <w:rPr>
                <w:rFonts w:eastAsia="MS Mincho" w:cs="Arial"/>
                <w:color w:val="000000"/>
                <w:sz w:val="16"/>
                <w:szCs w:val="16"/>
                <w:lang w:eastAsia="ja-JP"/>
              </w:rPr>
            </w:pPr>
            <w:r w:rsidRPr="00DB065E">
              <w:rPr>
                <w:rFonts w:eastAsia="MS Mincho" w:cs="Arial"/>
                <w:color w:val="000000"/>
                <w:sz w:val="16"/>
                <w:szCs w:val="16"/>
                <w:lang w:eastAsia="ja-JP"/>
              </w:rPr>
              <w:t>Japan/ Nepal</w:t>
            </w:r>
          </w:p>
        </w:tc>
        <w:tc>
          <w:tcPr>
            <w:tcW w:w="4548" w:type="dxa"/>
            <w:gridSpan w:val="2"/>
            <w:tcBorders>
              <w:top w:val="nil"/>
              <w:bottom w:val="single" w:sz="4" w:space="0" w:color="auto"/>
            </w:tcBorders>
          </w:tcPr>
          <w:p w:rsidR="008355F0" w:rsidRPr="00DB065E" w:rsidRDefault="008355F0" w:rsidP="003867F8">
            <w:pPr>
              <w:autoSpaceDE w:val="0"/>
              <w:autoSpaceDN w:val="0"/>
              <w:adjustRightInd w:val="0"/>
              <w:spacing w:before="60" w:after="60"/>
              <w:ind w:left="-96"/>
              <w:rPr>
                <w:rFonts w:eastAsia="MS Mincho" w:cs="Arial"/>
                <w:color w:val="000000"/>
                <w:sz w:val="16"/>
                <w:szCs w:val="16"/>
                <w:lang w:eastAsia="ja-JP"/>
              </w:rPr>
            </w:pPr>
            <w:r w:rsidRPr="00DB065E">
              <w:rPr>
                <w:rFonts w:eastAsia="MS Mincho" w:cs="Arial"/>
                <w:color w:val="000000"/>
                <w:sz w:val="16"/>
                <w:szCs w:val="16"/>
                <w:lang w:eastAsia="ja-JP"/>
              </w:rPr>
              <w:t xml:space="preserve">To provide Intellectual Property graduates </w:t>
            </w:r>
            <w:r w:rsidRPr="00DB065E">
              <w:rPr>
                <w:rFonts w:cs="Arial"/>
                <w:color w:val="000000"/>
                <w:sz w:val="16"/>
                <w:szCs w:val="16"/>
              </w:rPr>
              <w:t>with knowledge</w:t>
            </w:r>
            <w:r>
              <w:rPr>
                <w:rFonts w:cs="Arial"/>
                <w:color w:val="000000"/>
                <w:sz w:val="16"/>
                <w:szCs w:val="16"/>
              </w:rPr>
              <w:t>,</w:t>
            </w:r>
            <w:r w:rsidRPr="00DB065E">
              <w:rPr>
                <w:rFonts w:cs="Arial"/>
                <w:color w:val="000000"/>
                <w:sz w:val="16"/>
                <w:szCs w:val="16"/>
              </w:rPr>
              <w:t xml:space="preserve"> skills and insights of the real world of IP through classroom learning, complemented with hands-on training and actual work experience.</w:t>
            </w:r>
          </w:p>
        </w:tc>
      </w:tr>
      <w:tr w:rsidR="008355F0" w:rsidRPr="00DB065E" w:rsidTr="00E92F85">
        <w:trPr>
          <w:cantSplit/>
          <w:trHeight w:val="315"/>
        </w:trPr>
        <w:tc>
          <w:tcPr>
            <w:tcW w:w="9498" w:type="dxa"/>
            <w:gridSpan w:val="7"/>
            <w:tcBorders>
              <w:top w:val="single" w:sz="4" w:space="0" w:color="auto"/>
              <w:bottom w:val="single" w:sz="4" w:space="0" w:color="auto"/>
            </w:tcBorders>
            <w:shd w:val="clear" w:color="auto" w:fill="C6D9F1" w:themeFill="text2" w:themeFillTint="33"/>
          </w:tcPr>
          <w:p w:rsidR="008355F0" w:rsidRPr="00DB065E" w:rsidRDefault="008355F0" w:rsidP="003867F8">
            <w:pPr>
              <w:keepNext/>
              <w:keepLines/>
              <w:tabs>
                <w:tab w:val="left" w:pos="1740"/>
              </w:tabs>
              <w:spacing w:before="120" w:after="120"/>
              <w:ind w:left="1740" w:hanging="1740"/>
              <w:rPr>
                <w:rFonts w:cs="Arial"/>
                <w:color w:val="000000"/>
                <w:sz w:val="16"/>
                <w:szCs w:val="16"/>
              </w:rPr>
            </w:pPr>
            <w:r w:rsidRPr="00DB065E">
              <w:rPr>
                <w:rFonts w:cs="Arial"/>
                <w:b/>
                <w:bCs/>
                <w:color w:val="000000"/>
                <w:sz w:val="16"/>
                <w:szCs w:val="16"/>
              </w:rPr>
              <w:t>RESULT</w:t>
            </w:r>
            <w:r w:rsidRPr="00DB065E">
              <w:rPr>
                <w:rFonts w:cs="Arial"/>
                <w:bCs/>
                <w:sz w:val="16"/>
                <w:szCs w:val="16"/>
                <w:lang w:val="en-AU"/>
              </w:rPr>
              <w:t>:</w:t>
            </w:r>
            <w:r w:rsidRPr="00DB065E">
              <w:rPr>
                <w:rFonts w:cs="Arial"/>
                <w:bCs/>
                <w:sz w:val="16"/>
                <w:szCs w:val="16"/>
                <w:lang w:val="en-AU"/>
              </w:rPr>
              <w:tab/>
              <w:t>III.</w:t>
            </w:r>
            <w:r w:rsidRPr="00DB065E">
              <w:rPr>
                <w:rFonts w:cs="Arial"/>
                <w:bCs/>
                <w:sz w:val="16"/>
                <w:szCs w:val="16"/>
                <w:lang w:val="en-AU" w:eastAsia="ja-JP"/>
              </w:rPr>
              <w:t>4</w:t>
            </w:r>
            <w:r w:rsidRPr="00DB065E">
              <w:rPr>
                <w:rFonts w:cs="Arial"/>
                <w:bCs/>
                <w:sz w:val="16"/>
                <w:szCs w:val="16"/>
                <w:lang w:val="en-AU"/>
              </w:rPr>
              <w:t xml:space="preserve">. </w:t>
            </w:r>
            <w:r w:rsidR="000F38B9" w:rsidRPr="00937F04">
              <w:rPr>
                <w:rFonts w:cs="Arial"/>
                <w:bCs/>
                <w:color w:val="000000"/>
                <w:sz w:val="16"/>
                <w:szCs w:val="16"/>
              </w:rPr>
              <w:t>Strengthened cooperation mechanisms and programs tailored to the needs of developing countries and LDCs</w:t>
            </w:r>
          </w:p>
        </w:tc>
      </w:tr>
      <w:tr w:rsidR="008355F0" w:rsidRPr="00DB065E" w:rsidTr="00E92F85">
        <w:trPr>
          <w:cantSplit/>
          <w:trHeight w:val="500"/>
        </w:trPr>
        <w:tc>
          <w:tcPr>
            <w:tcW w:w="1843" w:type="dxa"/>
            <w:gridSpan w:val="3"/>
            <w:tcBorders>
              <w:top w:val="single" w:sz="4" w:space="0" w:color="auto"/>
              <w:left w:val="single" w:sz="4" w:space="0" w:color="auto"/>
              <w:bottom w:val="nil"/>
            </w:tcBorders>
            <w:vAlign w:val="center"/>
          </w:tcPr>
          <w:p w:rsidR="008355F0" w:rsidRPr="00DB065E" w:rsidRDefault="008355F0" w:rsidP="003867F8">
            <w:pPr>
              <w:keepNext/>
              <w:keepLines/>
              <w:spacing w:before="60" w:after="60"/>
              <w:rPr>
                <w:rFonts w:cs="Arial"/>
                <w:b/>
                <w:bCs/>
                <w:sz w:val="16"/>
                <w:szCs w:val="16"/>
              </w:rPr>
            </w:pPr>
            <w:r w:rsidRPr="00DB065E">
              <w:rPr>
                <w:rFonts w:cs="Arial"/>
                <w:b/>
                <w:bCs/>
                <w:sz w:val="16"/>
                <w:szCs w:val="16"/>
              </w:rPr>
              <w:t>Activity</w:t>
            </w:r>
          </w:p>
        </w:tc>
        <w:tc>
          <w:tcPr>
            <w:tcW w:w="1134" w:type="dxa"/>
            <w:tcBorders>
              <w:top w:val="single" w:sz="4" w:space="0" w:color="auto"/>
              <w:bottom w:val="nil"/>
            </w:tcBorders>
            <w:vAlign w:val="center"/>
          </w:tcPr>
          <w:p w:rsidR="008355F0" w:rsidRPr="00DB065E" w:rsidRDefault="008355F0" w:rsidP="003867F8">
            <w:pPr>
              <w:spacing w:before="60" w:after="60"/>
              <w:rPr>
                <w:rFonts w:cs="Arial"/>
                <w:sz w:val="16"/>
                <w:szCs w:val="16"/>
              </w:rPr>
            </w:pPr>
            <w:r w:rsidRPr="00DB065E">
              <w:rPr>
                <w:rFonts w:cs="Arial"/>
                <w:b/>
                <w:bCs/>
                <w:sz w:val="16"/>
                <w:szCs w:val="16"/>
              </w:rPr>
              <w:t>Date</w:t>
            </w:r>
          </w:p>
        </w:tc>
        <w:tc>
          <w:tcPr>
            <w:tcW w:w="1985" w:type="dxa"/>
            <w:gridSpan w:val="2"/>
            <w:tcBorders>
              <w:top w:val="single" w:sz="4" w:space="0" w:color="auto"/>
              <w:bottom w:val="nil"/>
            </w:tcBorders>
            <w:vAlign w:val="center"/>
          </w:tcPr>
          <w:p w:rsidR="008355F0" w:rsidRPr="00DB065E" w:rsidRDefault="008355F0" w:rsidP="003867F8">
            <w:pPr>
              <w:spacing w:before="60" w:after="60"/>
              <w:rPr>
                <w:rFonts w:cs="Arial"/>
                <w:sz w:val="16"/>
                <w:szCs w:val="16"/>
              </w:rPr>
            </w:pPr>
            <w:r w:rsidRPr="00DB065E">
              <w:rPr>
                <w:rFonts w:cs="Arial"/>
                <w:b/>
                <w:bCs/>
                <w:sz w:val="16"/>
                <w:szCs w:val="16"/>
              </w:rPr>
              <w:t>Host Country/</w:t>
            </w:r>
            <w:r w:rsidRPr="00DB065E">
              <w:rPr>
                <w:rFonts w:cs="Arial"/>
                <w:b/>
                <w:bCs/>
                <w:sz w:val="16"/>
                <w:szCs w:val="16"/>
              </w:rPr>
              <w:br/>
              <w:t>Recipients</w:t>
            </w:r>
          </w:p>
        </w:tc>
        <w:tc>
          <w:tcPr>
            <w:tcW w:w="4536" w:type="dxa"/>
            <w:tcBorders>
              <w:top w:val="single" w:sz="4" w:space="0" w:color="auto"/>
              <w:bottom w:val="nil"/>
              <w:right w:val="single" w:sz="4" w:space="0" w:color="auto"/>
            </w:tcBorders>
            <w:vAlign w:val="center"/>
          </w:tcPr>
          <w:p w:rsidR="008355F0" w:rsidRPr="00DB065E" w:rsidRDefault="008355F0" w:rsidP="003867F8">
            <w:pPr>
              <w:spacing w:before="60" w:after="60"/>
              <w:rPr>
                <w:rFonts w:cs="Arial"/>
                <w:sz w:val="16"/>
                <w:szCs w:val="16"/>
              </w:rPr>
            </w:pPr>
            <w:r w:rsidRPr="00DB065E">
              <w:rPr>
                <w:rFonts w:cs="Arial"/>
                <w:b/>
                <w:bCs/>
                <w:sz w:val="16"/>
                <w:szCs w:val="16"/>
              </w:rPr>
              <w:t>Purpose(s)/Description(s)</w:t>
            </w:r>
          </w:p>
        </w:tc>
      </w:tr>
      <w:tr w:rsidR="008355F0" w:rsidRPr="00DB065E" w:rsidTr="00E92F85">
        <w:trPr>
          <w:cantSplit/>
          <w:trHeight w:val="315"/>
        </w:trPr>
        <w:tc>
          <w:tcPr>
            <w:tcW w:w="1701" w:type="dxa"/>
          </w:tcPr>
          <w:p w:rsidR="008355F0" w:rsidRPr="00DB065E" w:rsidRDefault="008355F0" w:rsidP="003867F8">
            <w:pPr>
              <w:keepNext/>
              <w:keepLines/>
              <w:autoSpaceDE w:val="0"/>
              <w:autoSpaceDN w:val="0"/>
              <w:adjustRightInd w:val="0"/>
              <w:spacing w:before="60" w:after="60"/>
              <w:rPr>
                <w:rFonts w:eastAsia="MS Mincho" w:cs="Arial"/>
                <w:sz w:val="16"/>
                <w:szCs w:val="16"/>
                <w:lang w:eastAsia="ja-JP"/>
              </w:rPr>
            </w:pPr>
            <w:r w:rsidRPr="00DB065E">
              <w:rPr>
                <w:rFonts w:eastAsia="MS Mincho" w:cs="Arial"/>
                <w:sz w:val="16"/>
                <w:szCs w:val="16"/>
                <w:lang w:eastAsia="ja-JP"/>
              </w:rPr>
              <w:t xml:space="preserve">Head of Intellectual Property Office Conference </w:t>
            </w:r>
          </w:p>
        </w:tc>
        <w:tc>
          <w:tcPr>
            <w:tcW w:w="1276" w:type="dxa"/>
            <w:gridSpan w:val="3"/>
          </w:tcPr>
          <w:p w:rsidR="008355F0" w:rsidRPr="00DB065E" w:rsidRDefault="008355F0" w:rsidP="003867F8">
            <w:pPr>
              <w:spacing w:before="60" w:after="60"/>
              <w:rPr>
                <w:rFonts w:eastAsia="MS Mincho" w:cs="Arial"/>
                <w:sz w:val="16"/>
                <w:szCs w:val="16"/>
                <w:lang w:eastAsia="ja-JP"/>
              </w:rPr>
            </w:pPr>
            <w:r w:rsidRPr="00DB065E">
              <w:rPr>
                <w:rFonts w:eastAsia="MS Mincho" w:cs="Arial"/>
                <w:sz w:val="16"/>
                <w:szCs w:val="16"/>
                <w:lang w:eastAsia="ja-JP"/>
              </w:rPr>
              <w:t xml:space="preserve">June 29 </w:t>
            </w:r>
            <w:r>
              <w:rPr>
                <w:rFonts w:eastAsia="MS Mincho" w:cs="Arial"/>
                <w:sz w:val="16"/>
                <w:szCs w:val="16"/>
                <w:lang w:eastAsia="ja-JP"/>
              </w:rPr>
              <w:t>to</w:t>
            </w:r>
            <w:r w:rsidRPr="00DB065E">
              <w:rPr>
                <w:rFonts w:eastAsia="MS Mincho" w:cs="Arial"/>
                <w:sz w:val="16"/>
                <w:szCs w:val="16"/>
                <w:lang w:eastAsia="ja-JP"/>
              </w:rPr>
              <w:t xml:space="preserve"> 30, 2015</w:t>
            </w:r>
          </w:p>
        </w:tc>
        <w:tc>
          <w:tcPr>
            <w:tcW w:w="1985" w:type="dxa"/>
            <w:gridSpan w:val="2"/>
          </w:tcPr>
          <w:p w:rsidR="008355F0" w:rsidRPr="00DB065E" w:rsidRDefault="008355F0" w:rsidP="003867F8">
            <w:pPr>
              <w:autoSpaceDE w:val="0"/>
              <w:autoSpaceDN w:val="0"/>
              <w:adjustRightInd w:val="0"/>
              <w:spacing w:before="60" w:after="60"/>
              <w:rPr>
                <w:rFonts w:eastAsia="MS Mincho" w:cs="Arial"/>
                <w:color w:val="000000"/>
                <w:sz w:val="16"/>
                <w:szCs w:val="16"/>
                <w:lang w:eastAsia="ja-JP"/>
              </w:rPr>
            </w:pPr>
            <w:r w:rsidRPr="00DB065E">
              <w:rPr>
                <w:rFonts w:cs="Arial"/>
                <w:sz w:val="16"/>
                <w:szCs w:val="16"/>
                <w:lang w:eastAsia="ja-JP"/>
              </w:rPr>
              <w:t xml:space="preserve">Japan/ </w:t>
            </w:r>
            <w:r w:rsidRPr="00DB065E">
              <w:rPr>
                <w:rFonts w:cs="Arial"/>
                <w:sz w:val="16"/>
                <w:szCs w:val="16"/>
              </w:rPr>
              <w:t xml:space="preserve">Bangladesh, Bhutan, Cambodia, India, </w:t>
            </w:r>
            <w:r w:rsidRPr="00DB065E">
              <w:rPr>
                <w:rFonts w:eastAsia="MS Mincho" w:cs="Arial"/>
                <w:color w:val="000000"/>
                <w:sz w:val="16"/>
                <w:szCs w:val="16"/>
                <w:lang w:eastAsia="ja-JP"/>
              </w:rPr>
              <w:t>Lao People’s Democratic Republic</w:t>
            </w:r>
            <w:r w:rsidRPr="00DB065E">
              <w:rPr>
                <w:rFonts w:cs="Arial"/>
                <w:sz w:val="16"/>
                <w:szCs w:val="16"/>
              </w:rPr>
              <w:t>, Malaysia, Myanmar, Nepal, Pakistan, Philippines, Singapore, Sri Lanka and Thailand</w:t>
            </w:r>
          </w:p>
        </w:tc>
        <w:tc>
          <w:tcPr>
            <w:tcW w:w="4536" w:type="dxa"/>
          </w:tcPr>
          <w:p w:rsidR="008355F0" w:rsidRPr="00DB065E" w:rsidRDefault="008355F0" w:rsidP="003867F8">
            <w:pPr>
              <w:autoSpaceDE w:val="0"/>
              <w:autoSpaceDN w:val="0"/>
              <w:adjustRightInd w:val="0"/>
              <w:spacing w:before="60" w:after="60"/>
              <w:ind w:left="-108"/>
              <w:rPr>
                <w:rFonts w:eastAsia="MS Mincho" w:cs="Arial"/>
                <w:sz w:val="16"/>
                <w:szCs w:val="16"/>
                <w:lang w:eastAsia="ja-JP"/>
              </w:rPr>
            </w:pPr>
            <w:r>
              <w:rPr>
                <w:rFonts w:eastAsia="MS Mincho" w:cs="Arial"/>
                <w:color w:val="000000"/>
                <w:sz w:val="16"/>
                <w:szCs w:val="16"/>
                <w:lang w:eastAsia="ja-JP"/>
              </w:rPr>
              <w:t>T</w:t>
            </w:r>
            <w:r w:rsidRPr="00DB065E">
              <w:rPr>
                <w:rFonts w:eastAsia="MS Mincho" w:cs="Arial"/>
                <w:color w:val="000000"/>
                <w:sz w:val="16"/>
                <w:szCs w:val="16"/>
                <w:lang w:eastAsia="ja-JP"/>
              </w:rPr>
              <w:t>o</w:t>
            </w:r>
            <w:r>
              <w:rPr>
                <w:rFonts w:eastAsia="MS Mincho" w:cs="Arial"/>
                <w:color w:val="000000"/>
                <w:sz w:val="16"/>
                <w:szCs w:val="16"/>
                <w:lang w:eastAsia="ja-JP"/>
              </w:rPr>
              <w:t xml:space="preserve">:  </w:t>
            </w:r>
            <w:r w:rsidRPr="00DB065E">
              <w:rPr>
                <w:rFonts w:eastAsia="MS Mincho" w:cs="Arial"/>
                <w:color w:val="000000"/>
                <w:sz w:val="16"/>
                <w:szCs w:val="16"/>
                <w:lang w:eastAsia="ja-JP"/>
              </w:rPr>
              <w:t xml:space="preserve"> (i) sensitize new Directors General to the world of IP and provide executive learning to increase their understanding of IP and development;  (ii) discuss the implementation strategy of WIPO</w:t>
            </w:r>
            <w:r>
              <w:rPr>
                <w:rFonts w:eastAsia="MS Mincho" w:cs="Arial"/>
                <w:color w:val="000000"/>
                <w:sz w:val="16"/>
                <w:szCs w:val="16"/>
                <w:lang w:eastAsia="ja-JP"/>
              </w:rPr>
              <w:t>’s</w:t>
            </w:r>
            <w:r w:rsidRPr="00DB065E">
              <w:rPr>
                <w:rFonts w:eastAsia="MS Mincho" w:cs="Arial"/>
                <w:color w:val="000000"/>
                <w:sz w:val="16"/>
                <w:szCs w:val="16"/>
                <w:lang w:eastAsia="ja-JP"/>
              </w:rPr>
              <w:t xml:space="preserve"> technical assistance focus</w:t>
            </w:r>
            <w:r>
              <w:rPr>
                <w:rFonts w:eastAsia="MS Mincho" w:cs="Arial"/>
                <w:color w:val="000000"/>
                <w:sz w:val="16"/>
                <w:szCs w:val="16"/>
                <w:lang w:eastAsia="ja-JP"/>
              </w:rPr>
              <w:t>ing</w:t>
            </w:r>
            <w:r w:rsidRPr="00DB065E">
              <w:rPr>
                <w:rFonts w:eastAsia="MS Mincho" w:cs="Arial"/>
                <w:color w:val="000000"/>
                <w:sz w:val="16"/>
                <w:szCs w:val="16"/>
                <w:lang w:eastAsia="ja-JP"/>
              </w:rPr>
              <w:t xml:space="preserve"> on sustainability;  (iii) provide a secure environment for</w:t>
            </w:r>
            <w:r>
              <w:rPr>
                <w:rFonts w:eastAsia="MS Mincho" w:cs="Arial"/>
                <w:color w:val="000000"/>
                <w:sz w:val="16"/>
                <w:szCs w:val="16"/>
                <w:lang w:eastAsia="ja-JP"/>
              </w:rPr>
              <w:t xml:space="preserve"> heads of IP Offices to</w:t>
            </w:r>
            <w:r w:rsidRPr="00DB065E">
              <w:rPr>
                <w:rFonts w:eastAsia="MS Mincho" w:cs="Arial"/>
                <w:color w:val="000000"/>
                <w:sz w:val="16"/>
                <w:szCs w:val="16"/>
                <w:lang w:eastAsia="ja-JP"/>
              </w:rPr>
              <w:t xml:space="preserve"> exchange views and </w:t>
            </w:r>
            <w:r>
              <w:rPr>
                <w:rFonts w:eastAsia="MS Mincho" w:cs="Arial"/>
                <w:color w:val="000000"/>
                <w:sz w:val="16"/>
                <w:szCs w:val="16"/>
                <w:lang w:eastAsia="ja-JP"/>
              </w:rPr>
              <w:t>experiences</w:t>
            </w:r>
            <w:r w:rsidRPr="00DB065E">
              <w:rPr>
                <w:rFonts w:eastAsia="MS Mincho" w:cs="Arial"/>
                <w:color w:val="000000"/>
                <w:sz w:val="16"/>
                <w:szCs w:val="16"/>
                <w:lang w:eastAsia="ja-JP"/>
              </w:rPr>
              <w:t>;  and (iv) facilitate south-south cooperation by building stronger ties among heads of IP Offices in the region.</w:t>
            </w:r>
            <w:r w:rsidRPr="00DB065E">
              <w:rPr>
                <w:rFonts w:eastAsia="MS Mincho" w:cs="Arial"/>
                <w:sz w:val="16"/>
                <w:szCs w:val="16"/>
                <w:lang w:eastAsia="ja-JP"/>
              </w:rPr>
              <w:t xml:space="preserve"> </w:t>
            </w:r>
          </w:p>
        </w:tc>
      </w:tr>
      <w:tr w:rsidR="008355F0" w:rsidRPr="00DB065E" w:rsidTr="00E92F85">
        <w:trPr>
          <w:cantSplit/>
          <w:trHeight w:val="315"/>
        </w:trPr>
        <w:tc>
          <w:tcPr>
            <w:tcW w:w="9498" w:type="dxa"/>
            <w:gridSpan w:val="7"/>
            <w:tcBorders>
              <w:top w:val="single" w:sz="4" w:space="0" w:color="auto"/>
              <w:bottom w:val="single" w:sz="4" w:space="0" w:color="auto"/>
            </w:tcBorders>
            <w:shd w:val="clear" w:color="auto" w:fill="C6D9F1" w:themeFill="text2" w:themeFillTint="33"/>
          </w:tcPr>
          <w:p w:rsidR="008355F0" w:rsidRPr="00DB065E" w:rsidRDefault="008355F0" w:rsidP="003867F8">
            <w:pPr>
              <w:keepNext/>
              <w:keepLines/>
              <w:tabs>
                <w:tab w:val="left" w:pos="1740"/>
              </w:tabs>
              <w:spacing w:before="120" w:after="120"/>
              <w:ind w:left="1740" w:hanging="1740"/>
              <w:rPr>
                <w:rFonts w:cs="Arial"/>
                <w:color w:val="000000"/>
                <w:sz w:val="16"/>
                <w:szCs w:val="16"/>
              </w:rPr>
            </w:pPr>
            <w:r w:rsidRPr="00DB065E">
              <w:rPr>
                <w:rFonts w:cs="Arial"/>
                <w:b/>
                <w:bCs/>
                <w:color w:val="000000"/>
                <w:sz w:val="16"/>
                <w:szCs w:val="16"/>
              </w:rPr>
              <w:t>RESULT</w:t>
            </w:r>
            <w:r w:rsidRPr="00DB065E">
              <w:rPr>
                <w:rFonts w:cs="Arial"/>
                <w:bCs/>
                <w:sz w:val="16"/>
                <w:szCs w:val="16"/>
                <w:lang w:val="en-AU"/>
              </w:rPr>
              <w:t>:</w:t>
            </w:r>
            <w:r w:rsidRPr="00DB065E">
              <w:rPr>
                <w:rFonts w:cs="Arial"/>
                <w:bCs/>
                <w:sz w:val="16"/>
                <w:szCs w:val="16"/>
                <w:lang w:val="en-AU"/>
              </w:rPr>
              <w:tab/>
              <w:t>I</w:t>
            </w:r>
            <w:r w:rsidRPr="00DB065E">
              <w:rPr>
                <w:rFonts w:cs="Arial"/>
                <w:bCs/>
                <w:sz w:val="16"/>
                <w:szCs w:val="16"/>
                <w:lang w:val="en-AU" w:eastAsia="ja-JP"/>
              </w:rPr>
              <w:t>V</w:t>
            </w:r>
            <w:r w:rsidRPr="00DB065E">
              <w:rPr>
                <w:rFonts w:cs="Arial"/>
                <w:bCs/>
                <w:sz w:val="16"/>
                <w:szCs w:val="16"/>
                <w:lang w:val="en-AU"/>
              </w:rPr>
              <w:t xml:space="preserve">.2. Enhanced </w:t>
            </w:r>
            <w:r w:rsidRPr="00DB065E">
              <w:rPr>
                <w:rFonts w:cs="Arial"/>
                <w:bCs/>
                <w:sz w:val="16"/>
                <w:szCs w:val="16"/>
                <w:lang w:val="en-AU" w:eastAsia="ja-JP"/>
              </w:rPr>
              <w:t>access to, and use of, IP information by IP institutions and the public to promote innovation and creativity</w:t>
            </w:r>
          </w:p>
        </w:tc>
      </w:tr>
      <w:tr w:rsidR="008355F0" w:rsidRPr="00DB065E" w:rsidTr="00E92F85">
        <w:trPr>
          <w:cantSplit/>
          <w:trHeight w:val="402"/>
        </w:trPr>
        <w:tc>
          <w:tcPr>
            <w:tcW w:w="1843" w:type="dxa"/>
            <w:gridSpan w:val="3"/>
            <w:tcBorders>
              <w:top w:val="single" w:sz="4" w:space="0" w:color="auto"/>
              <w:left w:val="single" w:sz="4" w:space="0" w:color="auto"/>
              <w:bottom w:val="nil"/>
            </w:tcBorders>
            <w:vAlign w:val="center"/>
          </w:tcPr>
          <w:p w:rsidR="008355F0" w:rsidRPr="00DB065E" w:rsidRDefault="008355F0" w:rsidP="003867F8">
            <w:pPr>
              <w:keepNext/>
              <w:keepLines/>
              <w:spacing w:before="60" w:after="60"/>
              <w:rPr>
                <w:rFonts w:cs="Arial"/>
                <w:b/>
                <w:bCs/>
                <w:sz w:val="16"/>
                <w:szCs w:val="16"/>
              </w:rPr>
            </w:pPr>
            <w:r w:rsidRPr="00DB065E">
              <w:rPr>
                <w:rFonts w:cs="Arial"/>
                <w:b/>
                <w:bCs/>
                <w:sz w:val="16"/>
                <w:szCs w:val="16"/>
              </w:rPr>
              <w:t>Activity</w:t>
            </w:r>
          </w:p>
        </w:tc>
        <w:tc>
          <w:tcPr>
            <w:tcW w:w="1134" w:type="dxa"/>
            <w:tcBorders>
              <w:top w:val="single" w:sz="4" w:space="0" w:color="auto"/>
              <w:bottom w:val="nil"/>
            </w:tcBorders>
            <w:vAlign w:val="center"/>
          </w:tcPr>
          <w:p w:rsidR="008355F0" w:rsidRPr="00DB065E" w:rsidRDefault="008355F0" w:rsidP="003867F8">
            <w:pPr>
              <w:spacing w:before="60" w:after="60"/>
              <w:rPr>
                <w:rFonts w:cs="Arial"/>
                <w:sz w:val="16"/>
                <w:szCs w:val="16"/>
              </w:rPr>
            </w:pPr>
            <w:r w:rsidRPr="00DB065E">
              <w:rPr>
                <w:rFonts w:cs="Arial"/>
                <w:b/>
                <w:bCs/>
                <w:sz w:val="16"/>
                <w:szCs w:val="16"/>
              </w:rPr>
              <w:t>Date</w:t>
            </w:r>
          </w:p>
        </w:tc>
        <w:tc>
          <w:tcPr>
            <w:tcW w:w="1985" w:type="dxa"/>
            <w:gridSpan w:val="2"/>
            <w:tcBorders>
              <w:top w:val="single" w:sz="4" w:space="0" w:color="auto"/>
              <w:bottom w:val="nil"/>
            </w:tcBorders>
            <w:vAlign w:val="center"/>
          </w:tcPr>
          <w:p w:rsidR="008355F0" w:rsidRPr="00DB065E" w:rsidRDefault="008355F0" w:rsidP="003867F8">
            <w:pPr>
              <w:spacing w:before="60" w:after="60"/>
              <w:rPr>
                <w:rFonts w:cs="Arial"/>
                <w:sz w:val="16"/>
                <w:szCs w:val="16"/>
              </w:rPr>
            </w:pPr>
            <w:r w:rsidRPr="00DB065E">
              <w:rPr>
                <w:rFonts w:cs="Arial"/>
                <w:b/>
                <w:bCs/>
                <w:sz w:val="16"/>
                <w:szCs w:val="16"/>
              </w:rPr>
              <w:t>Host Country/</w:t>
            </w:r>
            <w:r w:rsidRPr="00DB065E">
              <w:rPr>
                <w:rFonts w:cs="Arial"/>
                <w:b/>
                <w:bCs/>
                <w:sz w:val="16"/>
                <w:szCs w:val="16"/>
              </w:rPr>
              <w:br/>
              <w:t>Recipients</w:t>
            </w:r>
          </w:p>
        </w:tc>
        <w:tc>
          <w:tcPr>
            <w:tcW w:w="4536" w:type="dxa"/>
            <w:tcBorders>
              <w:top w:val="single" w:sz="4" w:space="0" w:color="auto"/>
              <w:bottom w:val="nil"/>
              <w:right w:val="single" w:sz="4" w:space="0" w:color="auto"/>
            </w:tcBorders>
            <w:vAlign w:val="center"/>
          </w:tcPr>
          <w:p w:rsidR="008355F0" w:rsidRPr="00DB065E" w:rsidRDefault="008355F0" w:rsidP="003867F8">
            <w:pPr>
              <w:spacing w:before="60" w:after="60"/>
              <w:rPr>
                <w:rFonts w:cs="Arial"/>
                <w:sz w:val="16"/>
                <w:szCs w:val="16"/>
              </w:rPr>
            </w:pPr>
            <w:r w:rsidRPr="00DB065E">
              <w:rPr>
                <w:rFonts w:cs="Arial"/>
                <w:b/>
                <w:bCs/>
                <w:sz w:val="16"/>
                <w:szCs w:val="16"/>
              </w:rPr>
              <w:t>Purpose(s)/Description(s)</w:t>
            </w:r>
          </w:p>
        </w:tc>
      </w:tr>
      <w:tr w:rsidR="008355F0" w:rsidRPr="00DB065E" w:rsidTr="00E92F85">
        <w:trPr>
          <w:cantSplit/>
          <w:trHeight w:val="315"/>
        </w:trPr>
        <w:tc>
          <w:tcPr>
            <w:tcW w:w="1701" w:type="dxa"/>
          </w:tcPr>
          <w:p w:rsidR="008355F0" w:rsidRPr="00DB065E" w:rsidRDefault="008355F0" w:rsidP="003867F8">
            <w:pPr>
              <w:autoSpaceDE w:val="0"/>
              <w:autoSpaceDN w:val="0"/>
              <w:adjustRightInd w:val="0"/>
              <w:spacing w:before="60" w:after="60"/>
              <w:rPr>
                <w:rFonts w:eastAsia="MS Mincho" w:cs="Arial"/>
                <w:sz w:val="16"/>
                <w:szCs w:val="16"/>
                <w:lang w:eastAsia="ja-JP"/>
              </w:rPr>
            </w:pPr>
            <w:r w:rsidRPr="00DB065E">
              <w:rPr>
                <w:rFonts w:eastAsia="MS Mincho" w:cs="Arial"/>
                <w:sz w:val="16"/>
                <w:szCs w:val="16"/>
                <w:lang w:eastAsia="ja-JP"/>
              </w:rPr>
              <w:t xml:space="preserve">Regional Seminar on Dissemination and Effective Utilization of Patent Information </w:t>
            </w:r>
          </w:p>
        </w:tc>
        <w:tc>
          <w:tcPr>
            <w:tcW w:w="1276" w:type="dxa"/>
            <w:gridSpan w:val="3"/>
          </w:tcPr>
          <w:p w:rsidR="008355F0" w:rsidRPr="00DB065E" w:rsidRDefault="008355F0" w:rsidP="003867F8">
            <w:pPr>
              <w:spacing w:before="60" w:after="60"/>
              <w:rPr>
                <w:rFonts w:eastAsia="MS Mincho" w:cs="Arial"/>
                <w:sz w:val="16"/>
                <w:szCs w:val="16"/>
                <w:lang w:eastAsia="ja-JP"/>
              </w:rPr>
            </w:pPr>
            <w:r w:rsidRPr="00DB065E">
              <w:rPr>
                <w:rFonts w:eastAsia="MS Mincho" w:cs="Arial"/>
                <w:sz w:val="16"/>
                <w:szCs w:val="16"/>
                <w:lang w:eastAsia="ja-JP"/>
              </w:rPr>
              <w:t xml:space="preserve">November 5 </w:t>
            </w:r>
            <w:r w:rsidRPr="00DB065E">
              <w:rPr>
                <w:rFonts w:eastAsia="MS Mincho" w:cs="Arial"/>
                <w:sz w:val="16"/>
                <w:szCs w:val="16"/>
                <w:lang w:eastAsia="ja-JP"/>
              </w:rPr>
              <w:br/>
            </w:r>
            <w:r>
              <w:rPr>
                <w:rFonts w:eastAsia="MS Mincho" w:cs="Arial"/>
                <w:sz w:val="16"/>
                <w:szCs w:val="16"/>
                <w:lang w:eastAsia="ja-JP"/>
              </w:rPr>
              <w:t>to</w:t>
            </w:r>
            <w:r w:rsidRPr="00DB065E">
              <w:rPr>
                <w:rFonts w:eastAsia="MS Mincho" w:cs="Arial"/>
                <w:sz w:val="16"/>
                <w:szCs w:val="16"/>
                <w:lang w:eastAsia="ja-JP"/>
              </w:rPr>
              <w:t xml:space="preserve"> 6, 2015</w:t>
            </w:r>
          </w:p>
        </w:tc>
        <w:tc>
          <w:tcPr>
            <w:tcW w:w="1985" w:type="dxa"/>
            <w:gridSpan w:val="2"/>
          </w:tcPr>
          <w:p w:rsidR="008355F0" w:rsidRPr="00DB065E" w:rsidRDefault="008355F0" w:rsidP="003867F8">
            <w:pPr>
              <w:autoSpaceDE w:val="0"/>
              <w:autoSpaceDN w:val="0"/>
              <w:adjustRightInd w:val="0"/>
              <w:spacing w:before="60" w:after="60"/>
              <w:rPr>
                <w:rFonts w:eastAsia="MS Mincho" w:cs="Arial"/>
                <w:color w:val="000000"/>
                <w:sz w:val="16"/>
                <w:szCs w:val="16"/>
                <w:lang w:eastAsia="ja-JP"/>
              </w:rPr>
            </w:pPr>
            <w:r w:rsidRPr="00DB065E">
              <w:rPr>
                <w:rFonts w:eastAsia="MS Mincho" w:cs="Arial"/>
                <w:color w:val="000000"/>
                <w:sz w:val="16"/>
                <w:szCs w:val="16"/>
                <w:lang w:eastAsia="ja-JP"/>
              </w:rPr>
              <w:t>Japan/ Indonesia, Malaysia, Philippines, Thailand and Viet Nam</w:t>
            </w:r>
          </w:p>
        </w:tc>
        <w:tc>
          <w:tcPr>
            <w:tcW w:w="4536" w:type="dxa"/>
          </w:tcPr>
          <w:p w:rsidR="008355F0" w:rsidRPr="00DB065E" w:rsidRDefault="008355F0" w:rsidP="003867F8">
            <w:pPr>
              <w:autoSpaceDE w:val="0"/>
              <w:autoSpaceDN w:val="0"/>
              <w:adjustRightInd w:val="0"/>
              <w:spacing w:before="60" w:after="60"/>
              <w:ind w:left="-108"/>
              <w:rPr>
                <w:rFonts w:eastAsia="MS Mincho" w:cs="Arial"/>
                <w:sz w:val="16"/>
                <w:szCs w:val="16"/>
                <w:lang w:eastAsia="ja-JP"/>
              </w:rPr>
            </w:pPr>
            <w:r w:rsidRPr="00DB065E">
              <w:rPr>
                <w:rFonts w:eastAsia="MS Mincho" w:cs="Arial"/>
                <w:sz w:val="16"/>
                <w:szCs w:val="16"/>
                <w:lang w:eastAsia="ja-JP"/>
              </w:rPr>
              <w:t>To provide participants with an opportunity to learn</w:t>
            </w:r>
            <w:r>
              <w:rPr>
                <w:rFonts w:eastAsia="MS Mincho" w:cs="Arial"/>
                <w:sz w:val="16"/>
                <w:szCs w:val="16"/>
                <w:lang w:eastAsia="ja-JP"/>
              </w:rPr>
              <w:t xml:space="preserve">: </w:t>
            </w:r>
            <w:r w:rsidRPr="00DB065E">
              <w:rPr>
                <w:rFonts w:eastAsia="MS Mincho" w:cs="Arial"/>
                <w:sz w:val="16"/>
                <w:szCs w:val="16"/>
                <w:lang w:eastAsia="ja-JP"/>
              </w:rPr>
              <w:t xml:space="preserve"> (i) the economic advantage of patent information; </w:t>
            </w:r>
            <w:r>
              <w:rPr>
                <w:rFonts w:eastAsia="MS Mincho" w:cs="Arial"/>
                <w:sz w:val="16"/>
                <w:szCs w:val="16"/>
                <w:lang w:eastAsia="ja-JP"/>
              </w:rPr>
              <w:t xml:space="preserve"> </w:t>
            </w:r>
            <w:r w:rsidRPr="00DB065E">
              <w:rPr>
                <w:rFonts w:eastAsia="MS Mincho" w:cs="Arial"/>
                <w:sz w:val="16"/>
                <w:szCs w:val="16"/>
                <w:lang w:eastAsia="ja-JP"/>
              </w:rPr>
              <w:t xml:space="preserve">and (ii) the general trend of the data exchange of patent information among IP Offices. </w:t>
            </w:r>
          </w:p>
        </w:tc>
      </w:tr>
      <w:tr w:rsidR="008355F0" w:rsidRPr="00DB065E" w:rsidTr="00E92F85">
        <w:trPr>
          <w:cantSplit/>
          <w:trHeight w:val="315"/>
        </w:trPr>
        <w:tc>
          <w:tcPr>
            <w:tcW w:w="1701" w:type="dxa"/>
          </w:tcPr>
          <w:p w:rsidR="008355F0" w:rsidRPr="00DB065E" w:rsidRDefault="008355F0">
            <w:pPr>
              <w:autoSpaceDE w:val="0"/>
              <w:autoSpaceDN w:val="0"/>
              <w:adjustRightInd w:val="0"/>
              <w:spacing w:before="60" w:after="60"/>
              <w:rPr>
                <w:rFonts w:eastAsia="MS Mincho" w:cs="Arial"/>
                <w:color w:val="000000"/>
                <w:sz w:val="16"/>
                <w:szCs w:val="16"/>
                <w:lang w:eastAsia="ja-JP"/>
              </w:rPr>
            </w:pPr>
            <w:r w:rsidRPr="00DB065E">
              <w:rPr>
                <w:rFonts w:eastAsia="MS Mincho" w:cs="Arial"/>
                <w:color w:val="000000"/>
                <w:sz w:val="16"/>
                <w:szCs w:val="16"/>
                <w:lang w:eastAsia="ja-JP"/>
              </w:rPr>
              <w:t xml:space="preserve">Manual for Open Source Patent Analytics Tools </w:t>
            </w:r>
          </w:p>
        </w:tc>
        <w:tc>
          <w:tcPr>
            <w:tcW w:w="1276" w:type="dxa"/>
            <w:gridSpan w:val="3"/>
          </w:tcPr>
          <w:p w:rsidR="008355F0" w:rsidRPr="00DB065E" w:rsidRDefault="008355F0" w:rsidP="003867F8">
            <w:pPr>
              <w:spacing w:before="60" w:after="60"/>
              <w:rPr>
                <w:rFonts w:eastAsia="MS Mincho" w:cs="Arial"/>
                <w:sz w:val="16"/>
                <w:szCs w:val="16"/>
                <w:lang w:eastAsia="ja-JP"/>
              </w:rPr>
            </w:pPr>
            <w:r w:rsidRPr="00DB065E">
              <w:rPr>
                <w:rFonts w:eastAsia="MS Mincho" w:cs="Arial"/>
                <w:sz w:val="16"/>
                <w:szCs w:val="16"/>
                <w:lang w:eastAsia="ja-JP"/>
              </w:rPr>
              <w:t>March to December</w:t>
            </w:r>
            <w:r>
              <w:rPr>
                <w:rFonts w:eastAsia="MS Mincho" w:cs="Arial"/>
                <w:sz w:val="16"/>
                <w:szCs w:val="16"/>
                <w:lang w:eastAsia="ja-JP"/>
              </w:rPr>
              <w:t>,</w:t>
            </w:r>
            <w:r w:rsidRPr="00DB065E">
              <w:rPr>
                <w:rFonts w:eastAsia="MS Mincho" w:cs="Arial"/>
                <w:sz w:val="16"/>
                <w:szCs w:val="16"/>
                <w:lang w:eastAsia="ja-JP"/>
              </w:rPr>
              <w:t xml:space="preserve"> 2015</w:t>
            </w:r>
          </w:p>
        </w:tc>
        <w:tc>
          <w:tcPr>
            <w:tcW w:w="1985" w:type="dxa"/>
            <w:gridSpan w:val="2"/>
          </w:tcPr>
          <w:p w:rsidR="008355F0" w:rsidRPr="00DB065E" w:rsidRDefault="008355F0" w:rsidP="003867F8">
            <w:pPr>
              <w:autoSpaceDE w:val="0"/>
              <w:autoSpaceDN w:val="0"/>
              <w:adjustRightInd w:val="0"/>
              <w:spacing w:before="60" w:after="60"/>
              <w:rPr>
                <w:rFonts w:eastAsia="MS Mincho" w:cs="Arial"/>
                <w:color w:val="000000"/>
                <w:sz w:val="16"/>
                <w:szCs w:val="16"/>
                <w:lang w:eastAsia="ja-JP"/>
              </w:rPr>
            </w:pPr>
            <w:r w:rsidRPr="00DB065E">
              <w:rPr>
                <w:rFonts w:eastAsia="MS Mincho" w:cs="Arial"/>
                <w:color w:val="000000"/>
                <w:sz w:val="16"/>
                <w:szCs w:val="16"/>
                <w:lang w:eastAsia="ja-JP"/>
              </w:rPr>
              <w:t>All WIPO Member States</w:t>
            </w:r>
          </w:p>
        </w:tc>
        <w:tc>
          <w:tcPr>
            <w:tcW w:w="4536" w:type="dxa"/>
          </w:tcPr>
          <w:p w:rsidR="008355F0" w:rsidRPr="00DB065E" w:rsidRDefault="008355F0" w:rsidP="003867F8">
            <w:pPr>
              <w:autoSpaceDE w:val="0"/>
              <w:autoSpaceDN w:val="0"/>
              <w:adjustRightInd w:val="0"/>
              <w:spacing w:before="60" w:after="60"/>
              <w:ind w:left="-108"/>
              <w:rPr>
                <w:rFonts w:eastAsia="MS Mincho" w:cs="Arial"/>
                <w:color w:val="000000"/>
                <w:sz w:val="16"/>
                <w:szCs w:val="16"/>
                <w:lang w:eastAsia="ja-JP"/>
              </w:rPr>
            </w:pPr>
            <w:r w:rsidRPr="00DB065E">
              <w:rPr>
                <w:rFonts w:eastAsia="MS Mincho" w:cs="Arial"/>
                <w:color w:val="000000"/>
                <w:sz w:val="16"/>
                <w:szCs w:val="16"/>
                <w:lang w:eastAsia="ja-JP"/>
              </w:rPr>
              <w:t>To strengthen the capacities of patent information specialists of Intellectual Property Offices and other public institutions for preparing patent landscape reports.</w:t>
            </w:r>
          </w:p>
        </w:tc>
      </w:tr>
      <w:tr w:rsidR="008355F0" w:rsidRPr="00DB065E" w:rsidTr="00E92F85">
        <w:trPr>
          <w:cantSplit/>
          <w:trHeight w:val="315"/>
        </w:trPr>
        <w:tc>
          <w:tcPr>
            <w:tcW w:w="1701" w:type="dxa"/>
          </w:tcPr>
          <w:p w:rsidR="008355F0" w:rsidRPr="00DB065E" w:rsidRDefault="008355F0" w:rsidP="003867F8">
            <w:pPr>
              <w:autoSpaceDE w:val="0"/>
              <w:autoSpaceDN w:val="0"/>
              <w:adjustRightInd w:val="0"/>
              <w:spacing w:before="60" w:after="60"/>
              <w:rPr>
                <w:rFonts w:eastAsia="MS Mincho" w:cs="Arial"/>
                <w:color w:val="000000"/>
                <w:sz w:val="16"/>
                <w:szCs w:val="16"/>
                <w:lang w:eastAsia="ja-JP"/>
              </w:rPr>
            </w:pPr>
            <w:r w:rsidRPr="006F521F">
              <w:rPr>
                <w:rFonts w:eastAsia="MS Mincho" w:cs="Arial"/>
                <w:color w:val="000000"/>
                <w:sz w:val="16"/>
                <w:szCs w:val="16"/>
                <w:lang w:eastAsia="ja-JP"/>
              </w:rPr>
              <w:t>Inter-regional Workshop on Open Source Tools for Patent Analytics</w:t>
            </w:r>
          </w:p>
        </w:tc>
        <w:tc>
          <w:tcPr>
            <w:tcW w:w="1276" w:type="dxa"/>
            <w:gridSpan w:val="3"/>
          </w:tcPr>
          <w:p w:rsidR="008355F0" w:rsidRPr="00DB065E" w:rsidRDefault="008355F0" w:rsidP="003867F8">
            <w:pPr>
              <w:spacing w:before="60" w:after="60"/>
              <w:rPr>
                <w:rFonts w:eastAsia="MS Mincho" w:cs="Arial"/>
                <w:sz w:val="16"/>
                <w:szCs w:val="16"/>
                <w:lang w:eastAsia="ja-JP"/>
              </w:rPr>
            </w:pPr>
            <w:r w:rsidRPr="006F521F">
              <w:rPr>
                <w:rFonts w:eastAsia="MS Mincho" w:cs="Arial"/>
                <w:sz w:val="16"/>
                <w:szCs w:val="16"/>
                <w:lang w:eastAsia="ja-JP"/>
              </w:rPr>
              <w:t>November 25 to 27, 2015</w:t>
            </w:r>
          </w:p>
        </w:tc>
        <w:tc>
          <w:tcPr>
            <w:tcW w:w="1985" w:type="dxa"/>
            <w:gridSpan w:val="2"/>
          </w:tcPr>
          <w:p w:rsidR="008355F0" w:rsidRPr="00DB065E" w:rsidRDefault="008355F0" w:rsidP="003867F8">
            <w:pPr>
              <w:autoSpaceDE w:val="0"/>
              <w:autoSpaceDN w:val="0"/>
              <w:adjustRightInd w:val="0"/>
              <w:spacing w:before="60" w:after="60"/>
              <w:rPr>
                <w:rFonts w:eastAsia="MS Mincho" w:cs="Arial"/>
                <w:color w:val="000000"/>
                <w:sz w:val="16"/>
                <w:szCs w:val="16"/>
                <w:lang w:eastAsia="ja-JP"/>
              </w:rPr>
            </w:pPr>
            <w:r w:rsidRPr="006F521F">
              <w:rPr>
                <w:rFonts w:eastAsia="MS Mincho" w:cs="Arial"/>
                <w:color w:val="000000"/>
                <w:sz w:val="16"/>
                <w:szCs w:val="16"/>
                <w:lang w:eastAsia="ja-JP"/>
              </w:rPr>
              <w:t>Philippines/ Brazil, Chile, Brunei Darussalam, India, Indonesia. Malaysia, Mongolia, Pakistan, Philippines and Viet Nam</w:t>
            </w:r>
          </w:p>
        </w:tc>
        <w:tc>
          <w:tcPr>
            <w:tcW w:w="4536" w:type="dxa"/>
          </w:tcPr>
          <w:p w:rsidR="008355F0" w:rsidRPr="00DB065E" w:rsidRDefault="008355F0" w:rsidP="003867F8">
            <w:pPr>
              <w:autoSpaceDE w:val="0"/>
              <w:autoSpaceDN w:val="0"/>
              <w:adjustRightInd w:val="0"/>
              <w:spacing w:before="60" w:after="60"/>
              <w:ind w:left="-108"/>
              <w:rPr>
                <w:rFonts w:eastAsia="MS Mincho" w:cs="Arial"/>
                <w:color w:val="000000"/>
                <w:sz w:val="16"/>
                <w:szCs w:val="16"/>
                <w:lang w:eastAsia="ja-JP"/>
              </w:rPr>
            </w:pPr>
            <w:r>
              <w:rPr>
                <w:rFonts w:eastAsia="MS Mincho" w:cs="Arial"/>
                <w:color w:val="000000"/>
                <w:sz w:val="16"/>
                <w:szCs w:val="16"/>
                <w:lang w:eastAsia="ja-JP"/>
              </w:rPr>
              <w:t>To:  (i) present the manual to potential users;  (ii)</w:t>
            </w:r>
            <w:r w:rsidRPr="006F521F">
              <w:rPr>
                <w:rFonts w:eastAsia="MS Mincho" w:cs="Arial"/>
                <w:color w:val="000000"/>
                <w:sz w:val="16"/>
                <w:szCs w:val="16"/>
                <w:lang w:eastAsia="ja-JP"/>
              </w:rPr>
              <w:t xml:space="preserve"> provid</w:t>
            </w:r>
            <w:r>
              <w:rPr>
                <w:rFonts w:eastAsia="MS Mincho" w:cs="Arial"/>
                <w:color w:val="000000"/>
                <w:sz w:val="16"/>
                <w:szCs w:val="16"/>
                <w:lang w:eastAsia="ja-JP"/>
              </w:rPr>
              <w:t xml:space="preserve">e </w:t>
            </w:r>
            <w:r w:rsidRPr="006F521F">
              <w:rPr>
                <w:rFonts w:eastAsia="MS Mincho" w:cs="Arial"/>
                <w:color w:val="000000"/>
                <w:sz w:val="16"/>
                <w:szCs w:val="16"/>
                <w:lang w:eastAsia="ja-JP"/>
              </w:rPr>
              <w:t>practical training on selected open source and free tools for</w:t>
            </w:r>
            <w:r>
              <w:rPr>
                <w:rFonts w:eastAsia="MS Mincho" w:cs="Arial"/>
                <w:color w:val="000000"/>
                <w:sz w:val="16"/>
                <w:szCs w:val="16"/>
                <w:lang w:eastAsia="ja-JP"/>
              </w:rPr>
              <w:t xml:space="preserve"> various patent analytics tasks;  and  (iii) facilitate</w:t>
            </w:r>
            <w:r w:rsidRPr="006F521F">
              <w:rPr>
                <w:rFonts w:eastAsia="MS Mincho" w:cs="Arial"/>
                <w:color w:val="000000"/>
                <w:sz w:val="16"/>
                <w:szCs w:val="16"/>
                <w:lang w:eastAsia="ja-JP"/>
              </w:rPr>
              <w:t xml:space="preserve"> collaboration among IP Offices and other institutions working in the field of patent analytics to exchange views and best practices.</w:t>
            </w:r>
          </w:p>
        </w:tc>
      </w:tr>
      <w:tr w:rsidR="008355F0" w:rsidRPr="00DB065E" w:rsidTr="00E92F85">
        <w:trPr>
          <w:cantSplit/>
          <w:trHeight w:val="315"/>
        </w:trPr>
        <w:tc>
          <w:tcPr>
            <w:tcW w:w="1701" w:type="dxa"/>
          </w:tcPr>
          <w:p w:rsidR="008355F0" w:rsidRPr="00DB065E" w:rsidRDefault="008355F0" w:rsidP="003867F8">
            <w:pPr>
              <w:autoSpaceDE w:val="0"/>
              <w:autoSpaceDN w:val="0"/>
              <w:adjustRightInd w:val="0"/>
              <w:spacing w:before="60" w:after="60"/>
              <w:rPr>
                <w:rFonts w:eastAsia="MS Mincho" w:cs="Arial"/>
                <w:sz w:val="16"/>
                <w:szCs w:val="16"/>
                <w:lang w:eastAsia="ja-JP"/>
              </w:rPr>
            </w:pPr>
            <w:r w:rsidRPr="00DB065E">
              <w:rPr>
                <w:rFonts w:eastAsia="MS Mincho" w:cs="Arial"/>
                <w:sz w:val="16"/>
                <w:szCs w:val="16"/>
                <w:lang w:eastAsia="ja-JP"/>
              </w:rPr>
              <w:t>Research by WIPO Japan Office on Successful Cases Linking Business and IP</w:t>
            </w:r>
          </w:p>
        </w:tc>
        <w:tc>
          <w:tcPr>
            <w:tcW w:w="1276" w:type="dxa"/>
            <w:gridSpan w:val="3"/>
          </w:tcPr>
          <w:p w:rsidR="008355F0" w:rsidRPr="00DB065E" w:rsidRDefault="008355F0" w:rsidP="003867F8">
            <w:pPr>
              <w:spacing w:before="60" w:after="60"/>
              <w:rPr>
                <w:rFonts w:eastAsia="MS Mincho" w:cs="Arial"/>
                <w:sz w:val="16"/>
                <w:szCs w:val="16"/>
                <w:lang w:eastAsia="ja-JP"/>
              </w:rPr>
            </w:pPr>
            <w:r w:rsidRPr="00DB065E">
              <w:rPr>
                <w:rFonts w:eastAsia="MS Mincho" w:cs="Arial"/>
                <w:sz w:val="16"/>
                <w:szCs w:val="16"/>
                <w:lang w:eastAsia="ja-JP"/>
              </w:rPr>
              <w:t xml:space="preserve">January </w:t>
            </w:r>
            <w:r w:rsidRPr="00DB065E">
              <w:rPr>
                <w:rFonts w:eastAsia="MS Mincho" w:cs="Arial"/>
                <w:sz w:val="16"/>
                <w:szCs w:val="16"/>
                <w:lang w:eastAsia="ja-JP"/>
              </w:rPr>
              <w:br/>
              <w:t>to March, 2015</w:t>
            </w:r>
          </w:p>
        </w:tc>
        <w:tc>
          <w:tcPr>
            <w:tcW w:w="1985" w:type="dxa"/>
            <w:gridSpan w:val="2"/>
          </w:tcPr>
          <w:p w:rsidR="008355F0" w:rsidRPr="00DB065E" w:rsidRDefault="008355F0" w:rsidP="003867F8">
            <w:pPr>
              <w:autoSpaceDE w:val="0"/>
              <w:autoSpaceDN w:val="0"/>
              <w:adjustRightInd w:val="0"/>
              <w:spacing w:before="60" w:after="60"/>
              <w:rPr>
                <w:rFonts w:eastAsia="MS Mincho" w:cs="Arial"/>
                <w:color w:val="000000" w:themeColor="text1"/>
                <w:sz w:val="16"/>
                <w:szCs w:val="16"/>
                <w:lang w:eastAsia="ja-JP"/>
              </w:rPr>
            </w:pPr>
            <w:r w:rsidRPr="00DB065E">
              <w:rPr>
                <w:rFonts w:eastAsia="MS Mincho" w:cs="Arial"/>
                <w:color w:val="000000" w:themeColor="text1"/>
                <w:sz w:val="16"/>
                <w:szCs w:val="16"/>
                <w:lang w:eastAsia="ja-JP"/>
              </w:rPr>
              <w:t>Greece, Jordan and Malaysia/ All WIPO Member States</w:t>
            </w:r>
          </w:p>
        </w:tc>
        <w:tc>
          <w:tcPr>
            <w:tcW w:w="4536" w:type="dxa"/>
          </w:tcPr>
          <w:p w:rsidR="008355F0" w:rsidRDefault="008355F0" w:rsidP="003867F8">
            <w:pPr>
              <w:autoSpaceDE w:val="0"/>
              <w:autoSpaceDN w:val="0"/>
              <w:adjustRightInd w:val="0"/>
              <w:spacing w:before="60" w:after="60"/>
              <w:ind w:left="-108"/>
              <w:rPr>
                <w:rFonts w:eastAsia="MS Mincho" w:cs="Arial"/>
                <w:color w:val="000000" w:themeColor="text1"/>
                <w:sz w:val="16"/>
                <w:szCs w:val="16"/>
                <w:lang w:eastAsia="ja-JP"/>
              </w:rPr>
            </w:pPr>
            <w:r w:rsidRPr="00DB065E">
              <w:rPr>
                <w:rFonts w:eastAsia="MS Mincho" w:cs="Arial"/>
                <w:color w:val="000000" w:themeColor="text1"/>
                <w:sz w:val="16"/>
                <w:szCs w:val="16"/>
                <w:lang w:eastAsia="ja-JP"/>
              </w:rPr>
              <w:t>The WIPO Japan Office undertook research and collect</w:t>
            </w:r>
            <w:r>
              <w:rPr>
                <w:rFonts w:eastAsia="MS Mincho" w:cs="Arial"/>
                <w:color w:val="000000" w:themeColor="text1"/>
                <w:sz w:val="16"/>
                <w:szCs w:val="16"/>
                <w:lang w:eastAsia="ja-JP"/>
              </w:rPr>
              <w:t>ed</w:t>
            </w:r>
            <w:r w:rsidRPr="00DB065E">
              <w:rPr>
                <w:rFonts w:eastAsia="MS Mincho" w:cs="Arial"/>
                <w:color w:val="000000" w:themeColor="text1"/>
                <w:sz w:val="16"/>
                <w:szCs w:val="16"/>
                <w:lang w:eastAsia="ja-JP"/>
              </w:rPr>
              <w:t xml:space="preserve"> successful cases linking business and IP, with a particular emphasis on cases associated with developing countries, which contributed to enrich</w:t>
            </w:r>
            <w:r>
              <w:rPr>
                <w:rFonts w:eastAsia="MS Mincho" w:cs="Arial"/>
                <w:color w:val="000000" w:themeColor="text1"/>
                <w:sz w:val="16"/>
                <w:szCs w:val="16"/>
                <w:lang w:eastAsia="ja-JP"/>
              </w:rPr>
              <w:t>ing</w:t>
            </w:r>
            <w:r w:rsidRPr="00DB065E">
              <w:rPr>
                <w:rFonts w:eastAsia="MS Mincho" w:cs="Arial"/>
                <w:color w:val="000000" w:themeColor="text1"/>
                <w:sz w:val="16"/>
                <w:szCs w:val="16"/>
                <w:lang w:eastAsia="ja-JP"/>
              </w:rPr>
              <w:t xml:space="preserve"> the IP Advantage database</w:t>
            </w:r>
            <w:r>
              <w:rPr>
                <w:rFonts w:eastAsia="MS Mincho" w:cs="Arial"/>
                <w:color w:val="000000" w:themeColor="text1"/>
                <w:sz w:val="16"/>
                <w:szCs w:val="16"/>
                <w:lang w:eastAsia="ja-JP"/>
              </w:rPr>
              <w:t>:</w:t>
            </w:r>
          </w:p>
          <w:p w:rsidR="008355F0" w:rsidRPr="007B2FFF" w:rsidRDefault="008355F0" w:rsidP="008355F0">
            <w:pPr>
              <w:pStyle w:val="ListParagraph"/>
              <w:numPr>
                <w:ilvl w:val="0"/>
                <w:numId w:val="151"/>
              </w:numPr>
              <w:autoSpaceDE w:val="0"/>
              <w:autoSpaceDN w:val="0"/>
              <w:adjustRightInd w:val="0"/>
              <w:spacing w:before="60" w:after="60"/>
              <w:rPr>
                <w:rFonts w:eastAsia="MS Mincho" w:cs="Arial"/>
                <w:color w:val="000000" w:themeColor="text1"/>
                <w:sz w:val="16"/>
                <w:szCs w:val="16"/>
                <w:lang w:val="en"/>
              </w:rPr>
            </w:pPr>
            <w:r w:rsidRPr="007B2FFF">
              <w:rPr>
                <w:rFonts w:eastAsia="MS Mincho" w:cs="Arial"/>
                <w:color w:val="000000" w:themeColor="text1"/>
                <w:sz w:val="16"/>
                <w:szCs w:val="16"/>
              </w:rPr>
              <w:t>The Case of Feta</w:t>
            </w:r>
            <w:r>
              <w:rPr>
                <w:rFonts w:eastAsia="MS Mincho" w:cs="Arial"/>
                <w:color w:val="000000" w:themeColor="text1"/>
                <w:sz w:val="16"/>
                <w:szCs w:val="16"/>
              </w:rPr>
              <w:t xml:space="preserve"> (Greece);  </w:t>
            </w:r>
          </w:p>
          <w:p w:rsidR="008355F0" w:rsidRPr="007B2FFF" w:rsidRDefault="008355F0" w:rsidP="008355F0">
            <w:pPr>
              <w:pStyle w:val="ListParagraph"/>
              <w:numPr>
                <w:ilvl w:val="0"/>
                <w:numId w:val="151"/>
              </w:numPr>
              <w:autoSpaceDE w:val="0"/>
              <w:autoSpaceDN w:val="0"/>
              <w:adjustRightInd w:val="0"/>
              <w:spacing w:before="60" w:after="60"/>
              <w:rPr>
                <w:rFonts w:eastAsia="MS Mincho" w:cs="Arial"/>
                <w:color w:val="000000" w:themeColor="text1"/>
                <w:sz w:val="16"/>
                <w:szCs w:val="16"/>
                <w:lang w:val="en"/>
              </w:rPr>
            </w:pPr>
            <w:r>
              <w:rPr>
                <w:rFonts w:eastAsia="MS Mincho" w:cs="Arial"/>
                <w:color w:val="000000" w:themeColor="text1"/>
                <w:sz w:val="16"/>
                <w:szCs w:val="16"/>
              </w:rPr>
              <w:t xml:space="preserve">(i) </w:t>
            </w:r>
            <w:r w:rsidRPr="007B2FFF">
              <w:rPr>
                <w:rFonts w:eastAsia="MS Mincho" w:cs="Arial"/>
                <w:color w:val="000000" w:themeColor="text1"/>
                <w:sz w:val="16"/>
                <w:szCs w:val="16"/>
              </w:rPr>
              <w:t>Developing Affordable Software for Small Businesses</w:t>
            </w:r>
            <w:r>
              <w:rPr>
                <w:rFonts w:eastAsia="MS Mincho" w:cs="Arial"/>
                <w:color w:val="000000" w:themeColor="text1"/>
                <w:sz w:val="16"/>
                <w:szCs w:val="16"/>
              </w:rPr>
              <w:t xml:space="preserve">; </w:t>
            </w:r>
            <w:r w:rsidRPr="007B2FFF">
              <w:rPr>
                <w:rFonts w:eastAsia="MS Mincho" w:cs="Arial"/>
                <w:color w:val="000000" w:themeColor="text1"/>
                <w:sz w:val="16"/>
                <w:szCs w:val="16"/>
              </w:rPr>
              <w:t xml:space="preserve"> </w:t>
            </w:r>
            <w:r>
              <w:rPr>
                <w:rFonts w:eastAsia="MS Mincho" w:cs="Arial"/>
                <w:color w:val="000000" w:themeColor="text1"/>
                <w:sz w:val="16"/>
                <w:szCs w:val="16"/>
              </w:rPr>
              <w:t xml:space="preserve">(ii) </w:t>
            </w:r>
            <w:r w:rsidRPr="007B2FFF">
              <w:rPr>
                <w:rFonts w:eastAsia="MS Mincho" w:cs="Arial"/>
                <w:color w:val="000000" w:themeColor="text1"/>
                <w:sz w:val="16"/>
                <w:szCs w:val="16"/>
              </w:rPr>
              <w:t>Evolving towards IP-Fueled Innovation</w:t>
            </w:r>
            <w:r>
              <w:rPr>
                <w:rFonts w:eastAsia="MS Mincho" w:cs="Arial"/>
                <w:color w:val="000000" w:themeColor="text1"/>
                <w:sz w:val="16"/>
                <w:szCs w:val="16"/>
              </w:rPr>
              <w:t xml:space="preserve"> (Jordan);  and</w:t>
            </w:r>
          </w:p>
          <w:p w:rsidR="008355F0" w:rsidRPr="007B2FFF" w:rsidRDefault="008355F0" w:rsidP="008355F0">
            <w:pPr>
              <w:pStyle w:val="ListParagraph"/>
              <w:numPr>
                <w:ilvl w:val="0"/>
                <w:numId w:val="151"/>
              </w:numPr>
              <w:autoSpaceDE w:val="0"/>
              <w:autoSpaceDN w:val="0"/>
              <w:adjustRightInd w:val="0"/>
              <w:spacing w:before="60" w:after="60"/>
              <w:rPr>
                <w:rFonts w:eastAsia="MS Mincho" w:cs="Arial"/>
                <w:color w:val="000000" w:themeColor="text1"/>
                <w:sz w:val="16"/>
                <w:szCs w:val="16"/>
                <w:lang w:val="en"/>
              </w:rPr>
            </w:pPr>
            <w:r w:rsidRPr="007B2FFF">
              <w:rPr>
                <w:rFonts w:eastAsia="MS Mincho" w:cs="Arial"/>
                <w:color w:val="000000" w:themeColor="text1"/>
                <w:sz w:val="16"/>
                <w:szCs w:val="16"/>
              </w:rPr>
              <w:t>Technology, Licensing and Trees</w:t>
            </w:r>
            <w:r>
              <w:rPr>
                <w:rFonts w:eastAsia="MS Mincho" w:cs="Arial"/>
                <w:color w:val="000000" w:themeColor="text1"/>
                <w:sz w:val="16"/>
                <w:szCs w:val="16"/>
              </w:rPr>
              <w:t xml:space="preserve"> </w:t>
            </w:r>
            <w:r w:rsidRPr="007B2FFF">
              <w:rPr>
                <w:rFonts w:eastAsia="MS Mincho" w:cs="Arial"/>
                <w:color w:val="000000" w:themeColor="text1"/>
                <w:sz w:val="16"/>
                <w:szCs w:val="16"/>
              </w:rPr>
              <w:t>and University R&amp;D to Feed a Nation</w:t>
            </w:r>
            <w:r>
              <w:rPr>
                <w:rFonts w:eastAsia="MS Mincho" w:cs="Arial"/>
                <w:color w:val="000000" w:themeColor="text1"/>
                <w:sz w:val="16"/>
                <w:szCs w:val="16"/>
              </w:rPr>
              <w:t xml:space="preserve"> (Malaysia)</w:t>
            </w:r>
          </w:p>
        </w:tc>
      </w:tr>
      <w:tr w:rsidR="008355F0" w:rsidRPr="00DB065E" w:rsidTr="00E92F85">
        <w:trPr>
          <w:cantSplit/>
          <w:trHeight w:val="315"/>
        </w:trPr>
        <w:tc>
          <w:tcPr>
            <w:tcW w:w="1701" w:type="dxa"/>
          </w:tcPr>
          <w:p w:rsidR="008355F0" w:rsidRPr="00DB065E" w:rsidRDefault="008355F0" w:rsidP="003867F8">
            <w:pPr>
              <w:autoSpaceDE w:val="0"/>
              <w:autoSpaceDN w:val="0"/>
              <w:adjustRightInd w:val="0"/>
              <w:spacing w:before="60" w:after="60"/>
              <w:rPr>
                <w:rFonts w:eastAsia="MS Mincho" w:cs="Arial"/>
                <w:sz w:val="16"/>
                <w:szCs w:val="16"/>
                <w:lang w:eastAsia="ja-JP"/>
              </w:rPr>
            </w:pPr>
            <w:r w:rsidRPr="00DB065E">
              <w:rPr>
                <w:rFonts w:eastAsia="MS Mincho" w:cs="Arial"/>
                <w:sz w:val="16"/>
                <w:szCs w:val="16"/>
                <w:lang w:eastAsia="ja-JP"/>
              </w:rPr>
              <w:t xml:space="preserve">Translation of WIPO Publications </w:t>
            </w:r>
          </w:p>
        </w:tc>
        <w:tc>
          <w:tcPr>
            <w:tcW w:w="1276" w:type="dxa"/>
            <w:gridSpan w:val="3"/>
          </w:tcPr>
          <w:p w:rsidR="008355F0" w:rsidRPr="00DB065E" w:rsidRDefault="008355F0" w:rsidP="003867F8">
            <w:pPr>
              <w:spacing w:before="60" w:after="60"/>
              <w:rPr>
                <w:rFonts w:eastAsia="MS Mincho" w:cs="Arial"/>
                <w:sz w:val="16"/>
                <w:szCs w:val="16"/>
                <w:lang w:eastAsia="ja-JP"/>
              </w:rPr>
            </w:pPr>
            <w:r w:rsidRPr="00DB065E">
              <w:rPr>
                <w:rFonts w:eastAsia="MS Mincho" w:cs="Arial"/>
                <w:sz w:val="16"/>
                <w:szCs w:val="16"/>
                <w:lang w:eastAsia="ja-JP"/>
              </w:rPr>
              <w:t>2015  (Initiated)</w:t>
            </w:r>
          </w:p>
        </w:tc>
        <w:tc>
          <w:tcPr>
            <w:tcW w:w="1985" w:type="dxa"/>
            <w:gridSpan w:val="2"/>
          </w:tcPr>
          <w:p w:rsidR="008355F0" w:rsidRPr="00DB065E" w:rsidRDefault="008355F0" w:rsidP="003867F8">
            <w:pPr>
              <w:autoSpaceDE w:val="0"/>
              <w:autoSpaceDN w:val="0"/>
              <w:adjustRightInd w:val="0"/>
              <w:spacing w:before="60" w:after="60"/>
              <w:rPr>
                <w:rFonts w:eastAsia="MS Mincho" w:cs="Arial"/>
                <w:color w:val="000000"/>
                <w:sz w:val="16"/>
                <w:szCs w:val="16"/>
                <w:lang w:eastAsia="ja-JP"/>
              </w:rPr>
            </w:pPr>
            <w:r w:rsidRPr="00DB065E">
              <w:rPr>
                <w:rFonts w:eastAsia="MS Mincho" w:cs="Arial"/>
                <w:color w:val="000000"/>
                <w:sz w:val="16"/>
                <w:szCs w:val="16"/>
                <w:lang w:eastAsia="ja-JP"/>
              </w:rPr>
              <w:t>Myanmar</w:t>
            </w:r>
          </w:p>
        </w:tc>
        <w:tc>
          <w:tcPr>
            <w:tcW w:w="4536" w:type="dxa"/>
          </w:tcPr>
          <w:p w:rsidR="008355F0" w:rsidRPr="00DB065E" w:rsidRDefault="008355F0" w:rsidP="003867F8">
            <w:pPr>
              <w:autoSpaceDE w:val="0"/>
              <w:autoSpaceDN w:val="0"/>
              <w:adjustRightInd w:val="0"/>
              <w:spacing w:before="60" w:after="60"/>
              <w:ind w:left="-108"/>
              <w:rPr>
                <w:rFonts w:eastAsia="MS Mincho" w:cs="Arial"/>
                <w:sz w:val="16"/>
                <w:szCs w:val="16"/>
                <w:lang w:eastAsia="ja-JP"/>
              </w:rPr>
            </w:pPr>
            <w:r w:rsidRPr="00DB065E">
              <w:rPr>
                <w:rFonts w:cs="Arial"/>
                <w:sz w:val="16"/>
                <w:szCs w:val="16"/>
                <w:lang w:eastAsia="ja-JP"/>
              </w:rPr>
              <w:t xml:space="preserve">The following WIPO publications are undergoing translation into </w:t>
            </w:r>
            <w:r>
              <w:rPr>
                <w:rFonts w:cs="Arial"/>
                <w:sz w:val="16"/>
                <w:szCs w:val="16"/>
                <w:lang w:eastAsia="ja-JP"/>
              </w:rPr>
              <w:t>Burmese</w:t>
            </w:r>
            <w:r w:rsidRPr="00DB065E">
              <w:rPr>
                <w:rFonts w:cs="Arial"/>
                <w:sz w:val="16"/>
                <w:szCs w:val="16"/>
                <w:lang w:eastAsia="ja-JP"/>
              </w:rPr>
              <w:t xml:space="preserve">:  </w:t>
            </w:r>
            <w:r w:rsidRPr="00DB065E">
              <w:rPr>
                <w:rFonts w:cs="Arial"/>
                <w:sz w:val="16"/>
                <w:szCs w:val="16"/>
              </w:rPr>
              <w:t>(i)</w:t>
            </w:r>
            <w:r w:rsidRPr="00DB065E">
              <w:rPr>
                <w:rFonts w:cs="Arial"/>
                <w:sz w:val="16"/>
                <w:szCs w:val="16"/>
                <w:lang w:eastAsia="ja-JP"/>
              </w:rPr>
              <w:t xml:space="preserve"> </w:t>
            </w:r>
            <w:r w:rsidRPr="00766A60">
              <w:rPr>
                <w:rFonts w:cs="Arial"/>
                <w:i/>
                <w:sz w:val="16"/>
                <w:szCs w:val="16"/>
              </w:rPr>
              <w:t>Making a Mark - An Introduction to Trademarks for Small and Medium-sized Enterprises (SMEs)</w:t>
            </w:r>
            <w:r w:rsidRPr="00DB065E">
              <w:rPr>
                <w:rFonts w:cs="Arial"/>
                <w:sz w:val="16"/>
                <w:szCs w:val="16"/>
              </w:rPr>
              <w:t>;</w:t>
            </w:r>
            <w:r w:rsidRPr="00DB065E">
              <w:rPr>
                <w:rFonts w:cs="Arial"/>
                <w:sz w:val="16"/>
                <w:szCs w:val="16"/>
                <w:lang w:eastAsia="ja-JP"/>
              </w:rPr>
              <w:t xml:space="preserve">  </w:t>
            </w:r>
            <w:r w:rsidRPr="00DB065E">
              <w:rPr>
                <w:rFonts w:cs="Arial"/>
                <w:sz w:val="16"/>
                <w:szCs w:val="16"/>
              </w:rPr>
              <w:t>(ii)</w:t>
            </w:r>
            <w:r w:rsidRPr="00DB065E">
              <w:rPr>
                <w:rFonts w:cs="Arial"/>
                <w:sz w:val="16"/>
                <w:szCs w:val="16"/>
                <w:lang w:eastAsia="ja-JP"/>
              </w:rPr>
              <w:t xml:space="preserve"> </w:t>
            </w:r>
            <w:r w:rsidRPr="00766A60">
              <w:rPr>
                <w:rFonts w:cs="Arial"/>
                <w:i/>
                <w:sz w:val="16"/>
                <w:szCs w:val="16"/>
              </w:rPr>
              <w:t>Inventing the Future – An Introduction to Patents for Small and Medium-sized Enterprises</w:t>
            </w:r>
            <w:r w:rsidRPr="00DB065E">
              <w:rPr>
                <w:rFonts w:cs="Arial"/>
                <w:sz w:val="16"/>
                <w:szCs w:val="16"/>
              </w:rPr>
              <w:t>;  and</w:t>
            </w:r>
            <w:r w:rsidRPr="00DB065E">
              <w:rPr>
                <w:rFonts w:cs="Arial"/>
                <w:sz w:val="16"/>
                <w:szCs w:val="16"/>
                <w:lang w:eastAsia="ja-JP"/>
              </w:rPr>
              <w:t xml:space="preserve"> </w:t>
            </w:r>
            <w:r w:rsidRPr="00DB065E">
              <w:rPr>
                <w:rFonts w:cs="Arial"/>
                <w:sz w:val="16"/>
                <w:szCs w:val="16"/>
              </w:rPr>
              <w:t>(iii)</w:t>
            </w:r>
            <w:r>
              <w:rPr>
                <w:rFonts w:cs="Arial"/>
                <w:sz w:val="16"/>
                <w:szCs w:val="16"/>
              </w:rPr>
              <w:t xml:space="preserve"> </w:t>
            </w:r>
            <w:r w:rsidRPr="00766A60">
              <w:rPr>
                <w:rFonts w:cs="Arial"/>
                <w:i/>
                <w:sz w:val="16"/>
                <w:szCs w:val="16"/>
              </w:rPr>
              <w:t>Creative Expression - An Introduction to Copyright and Related Rights for Small and Medium-sized Enterprises</w:t>
            </w:r>
            <w:r w:rsidRPr="00DB065E">
              <w:rPr>
                <w:rFonts w:cs="Arial"/>
                <w:sz w:val="16"/>
                <w:szCs w:val="16"/>
              </w:rPr>
              <w:t>.</w:t>
            </w:r>
            <w:r w:rsidRPr="00DB065E">
              <w:rPr>
                <w:rFonts w:cs="Arial"/>
                <w:sz w:val="16"/>
                <w:szCs w:val="16"/>
                <w:lang w:eastAsia="ja-JP"/>
              </w:rPr>
              <w:t xml:space="preserve"> </w:t>
            </w:r>
          </w:p>
        </w:tc>
      </w:tr>
      <w:tr w:rsidR="008355F0" w:rsidRPr="00DB065E" w:rsidTr="00E92F85">
        <w:trPr>
          <w:cantSplit/>
          <w:trHeight w:val="315"/>
        </w:trPr>
        <w:tc>
          <w:tcPr>
            <w:tcW w:w="1701" w:type="dxa"/>
            <w:tcBorders>
              <w:bottom w:val="single" w:sz="4" w:space="0" w:color="auto"/>
            </w:tcBorders>
          </w:tcPr>
          <w:p w:rsidR="008355F0" w:rsidRPr="00DB065E" w:rsidRDefault="008355F0" w:rsidP="003867F8">
            <w:pPr>
              <w:autoSpaceDE w:val="0"/>
              <w:autoSpaceDN w:val="0"/>
              <w:adjustRightInd w:val="0"/>
              <w:spacing w:before="60" w:after="60"/>
              <w:rPr>
                <w:rFonts w:eastAsia="MS Mincho" w:cs="Arial"/>
                <w:sz w:val="16"/>
                <w:szCs w:val="16"/>
                <w:lang w:eastAsia="ja-JP"/>
              </w:rPr>
            </w:pPr>
            <w:r w:rsidRPr="00DB065E">
              <w:rPr>
                <w:rFonts w:eastAsia="MS Mincho" w:cs="Arial"/>
                <w:sz w:val="16"/>
                <w:szCs w:val="16"/>
                <w:lang w:eastAsia="ja-JP"/>
              </w:rPr>
              <w:t>Provision of IP Reference Material</w:t>
            </w:r>
          </w:p>
        </w:tc>
        <w:tc>
          <w:tcPr>
            <w:tcW w:w="1276" w:type="dxa"/>
            <w:gridSpan w:val="3"/>
            <w:tcBorders>
              <w:bottom w:val="single" w:sz="4" w:space="0" w:color="auto"/>
            </w:tcBorders>
          </w:tcPr>
          <w:p w:rsidR="008355F0" w:rsidRPr="00DB065E" w:rsidRDefault="008355F0" w:rsidP="003867F8">
            <w:pPr>
              <w:spacing w:before="60" w:after="60"/>
              <w:rPr>
                <w:rFonts w:eastAsia="MS Mincho" w:cs="Arial"/>
                <w:sz w:val="16"/>
                <w:szCs w:val="16"/>
                <w:lang w:eastAsia="ja-JP"/>
              </w:rPr>
            </w:pPr>
            <w:r w:rsidRPr="00DB065E">
              <w:rPr>
                <w:rFonts w:eastAsia="MS Mincho" w:cs="Arial"/>
                <w:sz w:val="16"/>
                <w:szCs w:val="16"/>
                <w:lang w:eastAsia="ja-JP"/>
              </w:rPr>
              <w:t>2015</w:t>
            </w:r>
          </w:p>
        </w:tc>
        <w:tc>
          <w:tcPr>
            <w:tcW w:w="1985" w:type="dxa"/>
            <w:gridSpan w:val="2"/>
            <w:tcBorders>
              <w:bottom w:val="single" w:sz="4" w:space="0" w:color="auto"/>
            </w:tcBorders>
          </w:tcPr>
          <w:p w:rsidR="008355F0" w:rsidRPr="00DB065E" w:rsidRDefault="008355F0" w:rsidP="003867F8">
            <w:pPr>
              <w:autoSpaceDE w:val="0"/>
              <w:autoSpaceDN w:val="0"/>
              <w:adjustRightInd w:val="0"/>
              <w:spacing w:before="60" w:after="60"/>
              <w:rPr>
                <w:rFonts w:eastAsia="MS Mincho" w:cs="Arial"/>
                <w:color w:val="000000"/>
                <w:sz w:val="16"/>
                <w:szCs w:val="16"/>
                <w:lang w:eastAsia="ja-JP"/>
              </w:rPr>
            </w:pPr>
            <w:r w:rsidRPr="00DB065E">
              <w:rPr>
                <w:rFonts w:eastAsia="MS Mincho" w:cs="Arial"/>
                <w:color w:val="000000"/>
                <w:sz w:val="16"/>
                <w:szCs w:val="16"/>
                <w:lang w:eastAsia="ja-JP"/>
              </w:rPr>
              <w:t>Thailand</w:t>
            </w:r>
          </w:p>
        </w:tc>
        <w:tc>
          <w:tcPr>
            <w:tcW w:w="4536" w:type="dxa"/>
            <w:tcBorders>
              <w:bottom w:val="single" w:sz="4" w:space="0" w:color="auto"/>
            </w:tcBorders>
          </w:tcPr>
          <w:p w:rsidR="008355F0" w:rsidRPr="00DB065E" w:rsidRDefault="008355F0" w:rsidP="003867F8">
            <w:pPr>
              <w:autoSpaceDE w:val="0"/>
              <w:autoSpaceDN w:val="0"/>
              <w:adjustRightInd w:val="0"/>
              <w:spacing w:before="60" w:after="60"/>
              <w:ind w:left="-108"/>
              <w:rPr>
                <w:rFonts w:eastAsia="MS Mincho" w:cs="Arial"/>
                <w:sz w:val="16"/>
                <w:szCs w:val="16"/>
                <w:lang w:eastAsia="ja-JP"/>
              </w:rPr>
            </w:pPr>
            <w:r>
              <w:rPr>
                <w:rFonts w:cs="Arial"/>
                <w:sz w:val="16"/>
                <w:szCs w:val="16"/>
                <w:lang w:eastAsia="ja-JP"/>
              </w:rPr>
              <w:t>Provision of a</w:t>
            </w:r>
            <w:r w:rsidRPr="00DB065E">
              <w:rPr>
                <w:rFonts w:cs="Arial"/>
                <w:sz w:val="16"/>
                <w:szCs w:val="16"/>
                <w:lang w:eastAsia="ja-JP"/>
              </w:rPr>
              <w:t xml:space="preserve"> set of essential IP publications to the </w:t>
            </w:r>
            <w:r w:rsidRPr="00DB065E">
              <w:rPr>
                <w:rFonts w:cs="Arial"/>
                <w:bCs/>
                <w:sz w:val="16"/>
                <w:szCs w:val="16"/>
              </w:rPr>
              <w:t>Central Intellectual Property and International Trade Court</w:t>
            </w:r>
            <w:r>
              <w:rPr>
                <w:rFonts w:cs="Arial"/>
                <w:bCs/>
                <w:sz w:val="16"/>
                <w:szCs w:val="16"/>
              </w:rPr>
              <w:t xml:space="preserve"> of</w:t>
            </w:r>
            <w:r w:rsidRPr="00DB065E">
              <w:rPr>
                <w:rFonts w:cs="Arial"/>
                <w:bCs/>
                <w:sz w:val="16"/>
                <w:szCs w:val="16"/>
              </w:rPr>
              <w:t xml:space="preserve"> Thailand.</w:t>
            </w:r>
            <w:r w:rsidRPr="00DB065E">
              <w:rPr>
                <w:rFonts w:eastAsia="MS Mincho" w:cs="Arial"/>
                <w:sz w:val="16"/>
                <w:szCs w:val="16"/>
                <w:lang w:eastAsia="ja-JP"/>
              </w:rPr>
              <w:t xml:space="preserve"> </w:t>
            </w:r>
          </w:p>
        </w:tc>
      </w:tr>
      <w:tr w:rsidR="008355F0" w:rsidRPr="00DB065E" w:rsidTr="00E92F85">
        <w:trPr>
          <w:cantSplit/>
          <w:trHeight w:val="315"/>
        </w:trPr>
        <w:tc>
          <w:tcPr>
            <w:tcW w:w="9498" w:type="dxa"/>
            <w:gridSpan w:val="7"/>
            <w:tcBorders>
              <w:top w:val="single" w:sz="4" w:space="0" w:color="auto"/>
              <w:bottom w:val="single" w:sz="4" w:space="0" w:color="000000"/>
            </w:tcBorders>
            <w:shd w:val="clear" w:color="auto" w:fill="C6D9F1" w:themeFill="text2" w:themeFillTint="33"/>
          </w:tcPr>
          <w:p w:rsidR="008355F0" w:rsidRPr="00DB065E" w:rsidRDefault="008355F0" w:rsidP="003867F8">
            <w:pPr>
              <w:keepNext/>
              <w:keepLines/>
              <w:tabs>
                <w:tab w:val="left" w:pos="1740"/>
              </w:tabs>
              <w:spacing w:before="120" w:after="120"/>
              <w:ind w:left="1740" w:hanging="1740"/>
              <w:rPr>
                <w:rFonts w:cs="Arial"/>
                <w:color w:val="000000"/>
                <w:sz w:val="16"/>
                <w:szCs w:val="16"/>
              </w:rPr>
            </w:pPr>
            <w:r w:rsidRPr="00DB065E">
              <w:rPr>
                <w:rFonts w:cs="Arial"/>
                <w:b/>
                <w:bCs/>
                <w:color w:val="000000"/>
                <w:sz w:val="16"/>
                <w:szCs w:val="16"/>
              </w:rPr>
              <w:t>RESULT</w:t>
            </w:r>
            <w:r w:rsidRPr="00DB065E">
              <w:rPr>
                <w:rFonts w:cs="Arial"/>
                <w:bCs/>
                <w:sz w:val="16"/>
                <w:szCs w:val="16"/>
                <w:lang w:val="en-AU"/>
              </w:rPr>
              <w:t>:</w:t>
            </w:r>
            <w:r w:rsidRPr="00DB065E">
              <w:rPr>
                <w:rFonts w:cs="Arial"/>
                <w:bCs/>
                <w:sz w:val="16"/>
                <w:szCs w:val="16"/>
                <w:lang w:val="en-AU"/>
              </w:rPr>
              <w:tab/>
              <w:t>IV.4. Enhanced technical and knowledge infrastructure for IP Offices and other IP institutions leading to better services (cheaper, faster, higher quality) to their stakeholders</w:t>
            </w:r>
          </w:p>
        </w:tc>
      </w:tr>
      <w:tr w:rsidR="008355F0" w:rsidRPr="00DB065E" w:rsidTr="00E92F85">
        <w:trPr>
          <w:cantSplit/>
          <w:trHeight w:val="429"/>
        </w:trPr>
        <w:tc>
          <w:tcPr>
            <w:tcW w:w="1843" w:type="dxa"/>
            <w:gridSpan w:val="3"/>
            <w:tcBorders>
              <w:top w:val="single" w:sz="4" w:space="0" w:color="000000"/>
            </w:tcBorders>
            <w:vAlign w:val="center"/>
          </w:tcPr>
          <w:p w:rsidR="008355F0" w:rsidRPr="00DB065E" w:rsidRDefault="008355F0" w:rsidP="003867F8">
            <w:pPr>
              <w:keepNext/>
              <w:keepLines/>
              <w:spacing w:before="60" w:after="60"/>
              <w:rPr>
                <w:rFonts w:cs="Arial"/>
                <w:b/>
                <w:bCs/>
                <w:sz w:val="16"/>
                <w:szCs w:val="16"/>
              </w:rPr>
            </w:pPr>
            <w:r w:rsidRPr="00DB065E">
              <w:rPr>
                <w:rFonts w:cs="Arial"/>
                <w:b/>
                <w:bCs/>
                <w:sz w:val="16"/>
                <w:szCs w:val="16"/>
              </w:rPr>
              <w:t>Activity</w:t>
            </w:r>
          </w:p>
        </w:tc>
        <w:tc>
          <w:tcPr>
            <w:tcW w:w="1134" w:type="dxa"/>
            <w:tcBorders>
              <w:top w:val="single" w:sz="4" w:space="0" w:color="000000"/>
            </w:tcBorders>
            <w:vAlign w:val="center"/>
          </w:tcPr>
          <w:p w:rsidR="008355F0" w:rsidRPr="00DB065E" w:rsidRDefault="008355F0" w:rsidP="003867F8">
            <w:pPr>
              <w:keepNext/>
              <w:keepLines/>
              <w:spacing w:before="60" w:after="60"/>
              <w:rPr>
                <w:rFonts w:cs="Arial"/>
                <w:sz w:val="16"/>
                <w:szCs w:val="16"/>
              </w:rPr>
            </w:pPr>
            <w:r w:rsidRPr="00DB065E">
              <w:rPr>
                <w:rFonts w:cs="Arial"/>
                <w:b/>
                <w:bCs/>
                <w:sz w:val="16"/>
                <w:szCs w:val="16"/>
              </w:rPr>
              <w:t>Date</w:t>
            </w:r>
          </w:p>
        </w:tc>
        <w:tc>
          <w:tcPr>
            <w:tcW w:w="1985" w:type="dxa"/>
            <w:gridSpan w:val="2"/>
            <w:tcBorders>
              <w:top w:val="single" w:sz="4" w:space="0" w:color="000000"/>
            </w:tcBorders>
            <w:vAlign w:val="center"/>
          </w:tcPr>
          <w:p w:rsidR="008355F0" w:rsidRPr="00DB065E" w:rsidRDefault="008355F0" w:rsidP="003867F8">
            <w:pPr>
              <w:keepNext/>
              <w:keepLines/>
              <w:spacing w:before="60" w:after="60"/>
              <w:rPr>
                <w:rFonts w:cs="Arial"/>
                <w:sz w:val="16"/>
                <w:szCs w:val="16"/>
              </w:rPr>
            </w:pPr>
            <w:r w:rsidRPr="00DB065E">
              <w:rPr>
                <w:rFonts w:cs="Arial"/>
                <w:b/>
                <w:bCs/>
                <w:sz w:val="16"/>
                <w:szCs w:val="16"/>
              </w:rPr>
              <w:t>Host Country/</w:t>
            </w:r>
            <w:r w:rsidRPr="00DB065E">
              <w:rPr>
                <w:rFonts w:cs="Arial"/>
                <w:b/>
                <w:bCs/>
                <w:sz w:val="16"/>
                <w:szCs w:val="16"/>
              </w:rPr>
              <w:br/>
              <w:t>Recipients</w:t>
            </w:r>
          </w:p>
        </w:tc>
        <w:tc>
          <w:tcPr>
            <w:tcW w:w="4536" w:type="dxa"/>
            <w:tcBorders>
              <w:top w:val="single" w:sz="4" w:space="0" w:color="000000"/>
            </w:tcBorders>
            <w:vAlign w:val="center"/>
          </w:tcPr>
          <w:p w:rsidR="008355F0" w:rsidRPr="00DB065E" w:rsidRDefault="008355F0" w:rsidP="003867F8">
            <w:pPr>
              <w:keepNext/>
              <w:keepLines/>
              <w:spacing w:before="60" w:after="60"/>
              <w:rPr>
                <w:rFonts w:cs="Arial"/>
                <w:sz w:val="16"/>
                <w:szCs w:val="16"/>
              </w:rPr>
            </w:pPr>
            <w:r w:rsidRPr="00DB065E">
              <w:rPr>
                <w:rFonts w:cs="Arial"/>
                <w:b/>
                <w:bCs/>
                <w:sz w:val="16"/>
                <w:szCs w:val="16"/>
              </w:rPr>
              <w:t>Purpose(s)/Description(s)</w:t>
            </w:r>
          </w:p>
        </w:tc>
      </w:tr>
      <w:tr w:rsidR="008355F0" w:rsidRPr="00DB065E" w:rsidTr="00E92F85">
        <w:trPr>
          <w:cantSplit/>
          <w:trHeight w:val="80"/>
        </w:trPr>
        <w:tc>
          <w:tcPr>
            <w:tcW w:w="1843" w:type="dxa"/>
            <w:gridSpan w:val="3"/>
          </w:tcPr>
          <w:p w:rsidR="008355F0" w:rsidRPr="00DB065E" w:rsidRDefault="008355F0" w:rsidP="003867F8">
            <w:pPr>
              <w:autoSpaceDE w:val="0"/>
              <w:autoSpaceDN w:val="0"/>
              <w:adjustRightInd w:val="0"/>
              <w:spacing w:before="60" w:after="60"/>
              <w:rPr>
                <w:rFonts w:eastAsia="MS Mincho" w:cs="Arial"/>
                <w:color w:val="000000"/>
                <w:sz w:val="16"/>
                <w:szCs w:val="16"/>
                <w:lang w:eastAsia="ja-JP"/>
              </w:rPr>
            </w:pPr>
            <w:r w:rsidRPr="003A0853">
              <w:rPr>
                <w:rFonts w:eastAsia="MS Mincho" w:cs="Arial"/>
                <w:color w:val="000000"/>
                <w:sz w:val="16"/>
                <w:szCs w:val="16"/>
                <w:lang w:eastAsia="ja-JP"/>
              </w:rPr>
              <w:t xml:space="preserve">Workshop in the utilization of CASE platform and efficient and effective ASEAN work sharing </w:t>
            </w:r>
          </w:p>
        </w:tc>
        <w:tc>
          <w:tcPr>
            <w:tcW w:w="1134" w:type="dxa"/>
          </w:tcPr>
          <w:p w:rsidR="008355F0" w:rsidRPr="00DB065E" w:rsidRDefault="008355F0" w:rsidP="003867F8">
            <w:pPr>
              <w:spacing w:before="60" w:after="60"/>
              <w:rPr>
                <w:rFonts w:eastAsia="MS Mincho" w:cs="Arial"/>
                <w:color w:val="000000"/>
                <w:sz w:val="16"/>
                <w:szCs w:val="16"/>
                <w:lang w:eastAsia="ja-JP"/>
              </w:rPr>
            </w:pPr>
            <w:r w:rsidRPr="003A0853">
              <w:rPr>
                <w:rFonts w:eastAsia="MS Mincho" w:cs="Arial"/>
                <w:color w:val="000000"/>
                <w:sz w:val="16"/>
                <w:szCs w:val="16"/>
                <w:lang w:eastAsia="ja-JP"/>
              </w:rPr>
              <w:t>February 2015</w:t>
            </w:r>
          </w:p>
        </w:tc>
        <w:tc>
          <w:tcPr>
            <w:tcW w:w="1985" w:type="dxa"/>
            <w:gridSpan w:val="2"/>
          </w:tcPr>
          <w:p w:rsidR="008355F0" w:rsidRPr="00DB065E" w:rsidRDefault="008355F0" w:rsidP="003867F8">
            <w:pPr>
              <w:autoSpaceDE w:val="0"/>
              <w:autoSpaceDN w:val="0"/>
              <w:adjustRightInd w:val="0"/>
              <w:spacing w:before="60" w:after="60"/>
              <w:rPr>
                <w:rFonts w:eastAsia="MS Mincho" w:cs="Arial"/>
                <w:color w:val="000000"/>
                <w:sz w:val="16"/>
                <w:szCs w:val="16"/>
                <w:lang w:eastAsia="ja-JP"/>
              </w:rPr>
            </w:pPr>
            <w:r>
              <w:rPr>
                <w:rFonts w:eastAsia="MS Mincho" w:cs="Arial"/>
                <w:color w:val="000000"/>
                <w:sz w:val="16"/>
                <w:szCs w:val="16"/>
                <w:lang w:eastAsia="ja-JP"/>
              </w:rPr>
              <w:t xml:space="preserve">Singapore/ </w:t>
            </w:r>
            <w:r w:rsidRPr="003A0853">
              <w:rPr>
                <w:rFonts w:eastAsia="MS Mincho" w:cs="Arial"/>
                <w:color w:val="000000"/>
                <w:sz w:val="16"/>
                <w:szCs w:val="16"/>
                <w:lang w:eastAsia="ja-JP"/>
              </w:rPr>
              <w:t>ASEAN Member States</w:t>
            </w:r>
          </w:p>
        </w:tc>
        <w:tc>
          <w:tcPr>
            <w:tcW w:w="4536" w:type="dxa"/>
          </w:tcPr>
          <w:p w:rsidR="008355F0" w:rsidRPr="00DB065E" w:rsidRDefault="008355F0" w:rsidP="003867F8">
            <w:pPr>
              <w:autoSpaceDE w:val="0"/>
              <w:autoSpaceDN w:val="0"/>
              <w:adjustRightInd w:val="0"/>
              <w:spacing w:before="60" w:after="60"/>
              <w:ind w:left="-108"/>
              <w:rPr>
                <w:rFonts w:cs="Arial"/>
                <w:sz w:val="16"/>
                <w:szCs w:val="16"/>
              </w:rPr>
            </w:pPr>
            <w:r>
              <w:rPr>
                <w:rFonts w:cs="Arial"/>
                <w:sz w:val="16"/>
                <w:szCs w:val="16"/>
              </w:rPr>
              <w:t>To assist</w:t>
            </w:r>
            <w:r w:rsidRPr="003A0853">
              <w:rPr>
                <w:rFonts w:cs="Arial"/>
                <w:sz w:val="16"/>
                <w:szCs w:val="16"/>
              </w:rPr>
              <w:t xml:space="preserve"> ASEAN members drive the patent work sharing initiative with a clear understanding of business needs and improve the qualit</w:t>
            </w:r>
            <w:r>
              <w:rPr>
                <w:rFonts w:cs="Arial"/>
                <w:sz w:val="16"/>
                <w:szCs w:val="16"/>
              </w:rPr>
              <w:t>y</w:t>
            </w:r>
            <w:r w:rsidRPr="003A0853">
              <w:rPr>
                <w:rFonts w:cs="Arial"/>
                <w:sz w:val="16"/>
                <w:szCs w:val="16"/>
              </w:rPr>
              <w:t xml:space="preserve"> of search and examination at the national level.  The objectives of the seminar were</w:t>
            </w:r>
            <w:r>
              <w:rPr>
                <w:rFonts w:cs="Arial"/>
                <w:sz w:val="16"/>
                <w:szCs w:val="16"/>
              </w:rPr>
              <w:t xml:space="preserve"> to:  </w:t>
            </w:r>
            <w:r w:rsidRPr="003A0853">
              <w:rPr>
                <w:rFonts w:cs="Arial"/>
                <w:sz w:val="16"/>
                <w:szCs w:val="16"/>
              </w:rPr>
              <w:t xml:space="preserve">(i) enhance the operational practices of </w:t>
            </w:r>
            <w:r>
              <w:rPr>
                <w:rFonts w:cs="Arial"/>
                <w:sz w:val="16"/>
                <w:szCs w:val="16"/>
              </w:rPr>
              <w:t xml:space="preserve">the </w:t>
            </w:r>
            <w:r w:rsidRPr="00823641">
              <w:rPr>
                <w:rFonts w:cs="Arial"/>
                <w:sz w:val="16"/>
                <w:szCs w:val="16"/>
              </w:rPr>
              <w:t xml:space="preserve">ASEAN Patent Examination Co-operation </w:t>
            </w:r>
            <w:r>
              <w:rPr>
                <w:rFonts w:cs="Arial"/>
                <w:sz w:val="16"/>
                <w:szCs w:val="16"/>
              </w:rPr>
              <w:t>(</w:t>
            </w:r>
            <w:r w:rsidRPr="003A0853">
              <w:rPr>
                <w:rFonts w:cs="Arial"/>
                <w:sz w:val="16"/>
                <w:szCs w:val="16"/>
              </w:rPr>
              <w:t>ASPEC</w:t>
            </w:r>
            <w:r>
              <w:rPr>
                <w:rFonts w:cs="Arial"/>
                <w:sz w:val="16"/>
                <w:szCs w:val="16"/>
              </w:rPr>
              <w:t>)</w:t>
            </w:r>
            <w:r w:rsidRPr="003A0853">
              <w:rPr>
                <w:rFonts w:cs="Arial"/>
                <w:sz w:val="16"/>
                <w:szCs w:val="16"/>
              </w:rPr>
              <w:t xml:space="preserve"> program with a more strategic and business-oriented approach;</w:t>
            </w:r>
            <w:r>
              <w:rPr>
                <w:rFonts w:cs="Arial"/>
                <w:sz w:val="16"/>
                <w:szCs w:val="16"/>
              </w:rPr>
              <w:t xml:space="preserve">  </w:t>
            </w:r>
            <w:r w:rsidRPr="003A0853">
              <w:rPr>
                <w:rFonts w:cs="Arial"/>
                <w:sz w:val="16"/>
                <w:szCs w:val="16"/>
              </w:rPr>
              <w:t>(ii)</w:t>
            </w:r>
            <w:r>
              <w:rPr>
                <w:rFonts w:cs="Arial"/>
                <w:sz w:val="16"/>
                <w:szCs w:val="16"/>
              </w:rPr>
              <w:t xml:space="preserve"> </w:t>
            </w:r>
            <w:r w:rsidRPr="003A0853">
              <w:rPr>
                <w:rFonts w:cs="Arial"/>
                <w:sz w:val="16"/>
                <w:szCs w:val="16"/>
              </w:rPr>
              <w:t xml:space="preserve">review the current level of ASPEC practices and the effectiveness and efficiency of </w:t>
            </w:r>
            <w:r>
              <w:rPr>
                <w:rFonts w:cs="Arial"/>
                <w:sz w:val="16"/>
                <w:szCs w:val="16"/>
              </w:rPr>
              <w:t xml:space="preserve">the </w:t>
            </w:r>
            <w:r w:rsidRPr="003A0853">
              <w:rPr>
                <w:rFonts w:cs="Arial"/>
                <w:sz w:val="16"/>
                <w:szCs w:val="16"/>
              </w:rPr>
              <w:t>WIPO CASE platform for the purposes of facilitating ASPEC proces</w:t>
            </w:r>
            <w:r>
              <w:rPr>
                <w:rFonts w:cs="Arial"/>
                <w:sz w:val="16"/>
                <w:szCs w:val="16"/>
              </w:rPr>
              <w:t>ses</w:t>
            </w:r>
            <w:r w:rsidRPr="003A0853">
              <w:rPr>
                <w:rFonts w:cs="Arial"/>
                <w:sz w:val="16"/>
                <w:szCs w:val="16"/>
              </w:rPr>
              <w:t>;</w:t>
            </w:r>
            <w:r>
              <w:rPr>
                <w:rFonts w:cs="Arial"/>
                <w:sz w:val="16"/>
                <w:szCs w:val="16"/>
              </w:rPr>
              <w:t xml:space="preserve">  </w:t>
            </w:r>
            <w:r w:rsidRPr="003A0853">
              <w:rPr>
                <w:rFonts w:cs="Arial"/>
                <w:sz w:val="16"/>
                <w:szCs w:val="16"/>
              </w:rPr>
              <w:t xml:space="preserve">(iii) make WIPO CASE a useful platform for patent examiners to learn about patent examination practices in different IP Offices and apply </w:t>
            </w:r>
            <w:r>
              <w:rPr>
                <w:rFonts w:cs="Arial"/>
                <w:sz w:val="16"/>
                <w:szCs w:val="16"/>
              </w:rPr>
              <w:t xml:space="preserve">it </w:t>
            </w:r>
            <w:r w:rsidRPr="003A0853">
              <w:rPr>
                <w:rFonts w:cs="Arial"/>
                <w:sz w:val="16"/>
                <w:szCs w:val="16"/>
              </w:rPr>
              <w:t>to their current work;  and</w:t>
            </w:r>
            <w:r>
              <w:rPr>
                <w:rFonts w:cs="Arial"/>
                <w:sz w:val="16"/>
                <w:szCs w:val="16"/>
              </w:rPr>
              <w:t xml:space="preserve"> </w:t>
            </w:r>
            <w:r w:rsidRPr="003A0853">
              <w:rPr>
                <w:rFonts w:cs="Arial"/>
                <w:sz w:val="16"/>
                <w:szCs w:val="16"/>
              </w:rPr>
              <w:t>(iv) provide recommendations, including specific actions items, for enhancement and improved efficiencies of ASPEC work process.</w:t>
            </w:r>
          </w:p>
        </w:tc>
      </w:tr>
      <w:tr w:rsidR="008355F0" w:rsidRPr="00DB065E" w:rsidTr="00E92F85">
        <w:trPr>
          <w:cantSplit/>
          <w:trHeight w:val="80"/>
        </w:trPr>
        <w:tc>
          <w:tcPr>
            <w:tcW w:w="1843" w:type="dxa"/>
            <w:gridSpan w:val="3"/>
          </w:tcPr>
          <w:p w:rsidR="008355F0" w:rsidRPr="00DB065E" w:rsidRDefault="008355F0" w:rsidP="003867F8">
            <w:pPr>
              <w:autoSpaceDE w:val="0"/>
              <w:autoSpaceDN w:val="0"/>
              <w:adjustRightInd w:val="0"/>
              <w:spacing w:before="60" w:after="60"/>
              <w:rPr>
                <w:rFonts w:eastAsia="MS Mincho" w:cs="Arial"/>
                <w:color w:val="000000"/>
                <w:sz w:val="16"/>
                <w:szCs w:val="16"/>
                <w:lang w:eastAsia="ja-JP"/>
              </w:rPr>
            </w:pPr>
            <w:r w:rsidRPr="003A0853">
              <w:rPr>
                <w:rFonts w:eastAsia="MS Mincho" w:cs="Arial"/>
                <w:color w:val="000000"/>
                <w:sz w:val="16"/>
                <w:szCs w:val="16"/>
                <w:lang w:eastAsia="ja-JP"/>
              </w:rPr>
              <w:t>Project on Strengthening the Infrastructure of ASEAN IP Offices to Support Regional Cooperation in Patent Work Sharing</w:t>
            </w:r>
          </w:p>
        </w:tc>
        <w:tc>
          <w:tcPr>
            <w:tcW w:w="1134" w:type="dxa"/>
          </w:tcPr>
          <w:p w:rsidR="008355F0" w:rsidRPr="00DB065E" w:rsidRDefault="008355F0" w:rsidP="003867F8">
            <w:pPr>
              <w:spacing w:before="60" w:after="60"/>
              <w:rPr>
                <w:rFonts w:eastAsia="MS Mincho" w:cs="Arial"/>
                <w:color w:val="000000"/>
                <w:sz w:val="16"/>
                <w:szCs w:val="16"/>
                <w:lang w:eastAsia="ja-JP"/>
              </w:rPr>
            </w:pPr>
            <w:r w:rsidRPr="003A0853">
              <w:rPr>
                <w:rFonts w:eastAsia="MS Mincho" w:cs="Arial"/>
                <w:color w:val="000000"/>
                <w:sz w:val="16"/>
                <w:szCs w:val="16"/>
                <w:lang w:eastAsia="ja-JP"/>
              </w:rPr>
              <w:t>April 2015 (Initiated)</w:t>
            </w:r>
          </w:p>
        </w:tc>
        <w:tc>
          <w:tcPr>
            <w:tcW w:w="1985" w:type="dxa"/>
            <w:gridSpan w:val="2"/>
          </w:tcPr>
          <w:p w:rsidR="008355F0" w:rsidRPr="00DB065E" w:rsidRDefault="008355F0" w:rsidP="003867F8">
            <w:pPr>
              <w:autoSpaceDE w:val="0"/>
              <w:autoSpaceDN w:val="0"/>
              <w:adjustRightInd w:val="0"/>
              <w:spacing w:before="60" w:after="60"/>
              <w:rPr>
                <w:rFonts w:eastAsia="MS Mincho" w:cs="Arial"/>
                <w:color w:val="000000"/>
                <w:sz w:val="16"/>
                <w:szCs w:val="16"/>
                <w:lang w:eastAsia="ja-JP"/>
              </w:rPr>
            </w:pPr>
            <w:r w:rsidRPr="003A0853">
              <w:rPr>
                <w:rFonts w:eastAsia="MS Mincho" w:cs="Arial"/>
                <w:color w:val="000000"/>
                <w:sz w:val="16"/>
                <w:szCs w:val="16"/>
                <w:lang w:eastAsia="ja-JP"/>
              </w:rPr>
              <w:t>ASEAN Member States</w:t>
            </w:r>
          </w:p>
        </w:tc>
        <w:tc>
          <w:tcPr>
            <w:tcW w:w="4536" w:type="dxa"/>
          </w:tcPr>
          <w:p w:rsidR="008355F0" w:rsidRPr="00DB065E" w:rsidRDefault="008355F0" w:rsidP="003867F8">
            <w:pPr>
              <w:autoSpaceDE w:val="0"/>
              <w:autoSpaceDN w:val="0"/>
              <w:adjustRightInd w:val="0"/>
              <w:spacing w:before="60" w:after="60"/>
              <w:ind w:left="-108"/>
              <w:rPr>
                <w:rFonts w:cs="Arial"/>
                <w:sz w:val="16"/>
                <w:szCs w:val="16"/>
              </w:rPr>
            </w:pPr>
            <w:r w:rsidRPr="003A0853">
              <w:rPr>
                <w:rFonts w:cs="Arial"/>
                <w:sz w:val="16"/>
                <w:szCs w:val="16"/>
              </w:rPr>
              <w:t>To:  (i) expand and improve ASEAN IP Offices’ sharing of dossier information, including patent search and examination results, with other IP Offices through WIPO CASE network</w:t>
            </w:r>
            <w:r>
              <w:rPr>
                <w:rFonts w:cs="Arial"/>
                <w:sz w:val="16"/>
                <w:szCs w:val="16"/>
              </w:rPr>
              <w:t xml:space="preserve">; </w:t>
            </w:r>
            <w:r w:rsidRPr="003A0853">
              <w:rPr>
                <w:rFonts w:cs="Arial"/>
                <w:sz w:val="16"/>
                <w:szCs w:val="16"/>
              </w:rPr>
              <w:t xml:space="preserve"> </w:t>
            </w:r>
            <w:r>
              <w:rPr>
                <w:rFonts w:cs="Arial"/>
                <w:sz w:val="16"/>
                <w:szCs w:val="16"/>
              </w:rPr>
              <w:t xml:space="preserve">(ii) </w:t>
            </w:r>
            <w:r w:rsidRPr="003A0853">
              <w:rPr>
                <w:rFonts w:cs="Arial"/>
                <w:sz w:val="16"/>
                <w:szCs w:val="16"/>
              </w:rPr>
              <w:t xml:space="preserve">develop regional-level information systems effectively utilizing a software platform; </w:t>
            </w:r>
            <w:r>
              <w:rPr>
                <w:rFonts w:cs="Arial"/>
                <w:sz w:val="16"/>
                <w:szCs w:val="16"/>
              </w:rPr>
              <w:t xml:space="preserve"> </w:t>
            </w:r>
            <w:r w:rsidRPr="003A0853">
              <w:rPr>
                <w:rFonts w:cs="Arial"/>
                <w:sz w:val="16"/>
                <w:szCs w:val="16"/>
              </w:rPr>
              <w:t>and (</w:t>
            </w:r>
            <w:r>
              <w:rPr>
                <w:rFonts w:cs="Arial"/>
                <w:sz w:val="16"/>
                <w:szCs w:val="16"/>
              </w:rPr>
              <w:t>i</w:t>
            </w:r>
            <w:r w:rsidRPr="003A0853">
              <w:rPr>
                <w:rFonts w:cs="Arial"/>
                <w:sz w:val="16"/>
                <w:szCs w:val="16"/>
              </w:rPr>
              <w:t>ii) provide necessary technical assistance to ASEAN IP Offices to support the sharing of dossier information and other IP information through the upgrade of IP management systems.</w:t>
            </w:r>
          </w:p>
        </w:tc>
      </w:tr>
      <w:tr w:rsidR="008355F0" w:rsidRPr="00DB065E" w:rsidTr="00E92F85">
        <w:trPr>
          <w:cantSplit/>
          <w:trHeight w:val="80"/>
        </w:trPr>
        <w:tc>
          <w:tcPr>
            <w:tcW w:w="1843" w:type="dxa"/>
            <w:gridSpan w:val="3"/>
          </w:tcPr>
          <w:p w:rsidR="008355F0" w:rsidRPr="00DB065E" w:rsidRDefault="008355F0" w:rsidP="003867F8">
            <w:pPr>
              <w:autoSpaceDE w:val="0"/>
              <w:autoSpaceDN w:val="0"/>
              <w:adjustRightInd w:val="0"/>
              <w:spacing w:before="60" w:after="60"/>
              <w:rPr>
                <w:rFonts w:eastAsia="MS Mincho" w:cs="Arial"/>
                <w:color w:val="000000"/>
                <w:sz w:val="16"/>
                <w:szCs w:val="16"/>
                <w:lang w:eastAsia="ja-JP"/>
              </w:rPr>
            </w:pPr>
            <w:r w:rsidRPr="003A0853">
              <w:rPr>
                <w:rFonts w:eastAsia="MS Mincho" w:cs="Arial"/>
                <w:color w:val="000000"/>
                <w:sz w:val="16"/>
                <w:szCs w:val="16"/>
                <w:lang w:eastAsia="ja-JP"/>
              </w:rPr>
              <w:t>D</w:t>
            </w:r>
            <w:r>
              <w:rPr>
                <w:rFonts w:eastAsia="MS Mincho" w:cs="Arial"/>
                <w:color w:val="000000"/>
                <w:sz w:val="16"/>
                <w:szCs w:val="16"/>
                <w:lang w:eastAsia="ja-JP"/>
              </w:rPr>
              <w:t xml:space="preserve">irectorate </w:t>
            </w:r>
            <w:r w:rsidRPr="003A0853">
              <w:rPr>
                <w:rFonts w:eastAsia="MS Mincho" w:cs="Arial"/>
                <w:color w:val="000000"/>
                <w:sz w:val="16"/>
                <w:szCs w:val="16"/>
                <w:lang w:eastAsia="ja-JP"/>
              </w:rPr>
              <w:t>G</w:t>
            </w:r>
            <w:r>
              <w:rPr>
                <w:rFonts w:eastAsia="MS Mincho" w:cs="Arial"/>
                <w:color w:val="000000"/>
                <w:sz w:val="16"/>
                <w:szCs w:val="16"/>
                <w:lang w:eastAsia="ja-JP"/>
              </w:rPr>
              <w:t xml:space="preserve">eneral of </w:t>
            </w:r>
            <w:r w:rsidRPr="003A0853">
              <w:rPr>
                <w:rFonts w:eastAsia="MS Mincho" w:cs="Arial"/>
                <w:color w:val="000000"/>
                <w:sz w:val="16"/>
                <w:szCs w:val="16"/>
                <w:lang w:eastAsia="ja-JP"/>
              </w:rPr>
              <w:t>I</w:t>
            </w:r>
            <w:r>
              <w:rPr>
                <w:rFonts w:eastAsia="MS Mincho" w:cs="Arial"/>
                <w:color w:val="000000"/>
                <w:sz w:val="16"/>
                <w:szCs w:val="16"/>
                <w:lang w:eastAsia="ja-JP"/>
              </w:rPr>
              <w:t xml:space="preserve">ntellectual </w:t>
            </w:r>
            <w:r w:rsidRPr="003A0853">
              <w:rPr>
                <w:rFonts w:eastAsia="MS Mincho" w:cs="Arial"/>
                <w:color w:val="000000"/>
                <w:sz w:val="16"/>
                <w:szCs w:val="16"/>
                <w:lang w:eastAsia="ja-JP"/>
              </w:rPr>
              <w:t>P</w:t>
            </w:r>
            <w:r>
              <w:rPr>
                <w:rFonts w:eastAsia="MS Mincho" w:cs="Arial"/>
                <w:color w:val="000000"/>
                <w:sz w:val="16"/>
                <w:szCs w:val="16"/>
                <w:lang w:eastAsia="ja-JP"/>
              </w:rPr>
              <w:t>roperty (DGIP) of</w:t>
            </w:r>
            <w:r w:rsidRPr="003A0853">
              <w:rPr>
                <w:rFonts w:eastAsia="MS Mincho" w:cs="Arial"/>
                <w:color w:val="000000"/>
                <w:sz w:val="16"/>
                <w:szCs w:val="16"/>
                <w:lang w:eastAsia="ja-JP"/>
              </w:rPr>
              <w:t xml:space="preserve"> Indonesia Study Visit to the Japan Patent Office</w:t>
            </w:r>
          </w:p>
        </w:tc>
        <w:tc>
          <w:tcPr>
            <w:tcW w:w="1134" w:type="dxa"/>
          </w:tcPr>
          <w:p w:rsidR="008355F0" w:rsidRPr="00DB065E" w:rsidRDefault="008355F0" w:rsidP="003867F8">
            <w:pPr>
              <w:spacing w:before="60" w:after="60"/>
              <w:rPr>
                <w:rFonts w:eastAsia="MS Mincho" w:cs="Arial"/>
                <w:color w:val="000000"/>
                <w:sz w:val="16"/>
                <w:szCs w:val="16"/>
                <w:lang w:eastAsia="ja-JP"/>
              </w:rPr>
            </w:pPr>
            <w:r w:rsidRPr="003A0853">
              <w:rPr>
                <w:rFonts w:eastAsia="MS Mincho" w:cs="Arial"/>
                <w:color w:val="000000"/>
                <w:sz w:val="16"/>
                <w:szCs w:val="16"/>
                <w:lang w:eastAsia="ja-JP"/>
              </w:rPr>
              <w:t>September 2015</w:t>
            </w:r>
          </w:p>
        </w:tc>
        <w:tc>
          <w:tcPr>
            <w:tcW w:w="1985" w:type="dxa"/>
            <w:gridSpan w:val="2"/>
          </w:tcPr>
          <w:p w:rsidR="008355F0" w:rsidRPr="00DB065E" w:rsidRDefault="008355F0" w:rsidP="003867F8">
            <w:pPr>
              <w:autoSpaceDE w:val="0"/>
              <w:autoSpaceDN w:val="0"/>
              <w:adjustRightInd w:val="0"/>
              <w:spacing w:before="60" w:after="60"/>
              <w:rPr>
                <w:rFonts w:eastAsia="MS Mincho" w:cs="Arial"/>
                <w:color w:val="000000"/>
                <w:sz w:val="16"/>
                <w:szCs w:val="16"/>
                <w:lang w:eastAsia="ja-JP"/>
              </w:rPr>
            </w:pPr>
            <w:r w:rsidRPr="003A0853">
              <w:rPr>
                <w:rFonts w:eastAsia="MS Mincho" w:cs="Arial"/>
                <w:color w:val="000000"/>
                <w:sz w:val="16"/>
                <w:szCs w:val="16"/>
                <w:lang w:eastAsia="ja-JP"/>
              </w:rPr>
              <w:t>Indonesia</w:t>
            </w:r>
          </w:p>
        </w:tc>
        <w:tc>
          <w:tcPr>
            <w:tcW w:w="4536" w:type="dxa"/>
          </w:tcPr>
          <w:p w:rsidR="008355F0" w:rsidRPr="00DB065E" w:rsidRDefault="008355F0" w:rsidP="003867F8">
            <w:pPr>
              <w:autoSpaceDE w:val="0"/>
              <w:autoSpaceDN w:val="0"/>
              <w:adjustRightInd w:val="0"/>
              <w:spacing w:before="60" w:after="60"/>
              <w:ind w:left="-108"/>
              <w:rPr>
                <w:rFonts w:cs="Arial"/>
                <w:sz w:val="16"/>
                <w:szCs w:val="16"/>
              </w:rPr>
            </w:pPr>
            <w:r w:rsidRPr="003A0853">
              <w:rPr>
                <w:rFonts w:cs="Arial"/>
                <w:sz w:val="16"/>
                <w:szCs w:val="16"/>
              </w:rPr>
              <w:t>Benchmarking of JPO on business process review (BPR) and examination practices using information systems.</w:t>
            </w:r>
          </w:p>
        </w:tc>
      </w:tr>
      <w:tr w:rsidR="008355F0" w:rsidRPr="00DB065E" w:rsidTr="00E92F85">
        <w:trPr>
          <w:cantSplit/>
          <w:trHeight w:val="80"/>
        </w:trPr>
        <w:tc>
          <w:tcPr>
            <w:tcW w:w="1843" w:type="dxa"/>
            <w:gridSpan w:val="3"/>
          </w:tcPr>
          <w:p w:rsidR="008355F0" w:rsidRPr="00DB065E" w:rsidRDefault="008355F0" w:rsidP="003867F8">
            <w:pPr>
              <w:autoSpaceDE w:val="0"/>
              <w:autoSpaceDN w:val="0"/>
              <w:adjustRightInd w:val="0"/>
              <w:spacing w:before="60" w:after="60"/>
              <w:rPr>
                <w:rFonts w:eastAsia="MS Mincho" w:cs="Arial"/>
                <w:color w:val="000000"/>
                <w:sz w:val="16"/>
                <w:szCs w:val="16"/>
                <w:lang w:eastAsia="ja-JP"/>
              </w:rPr>
            </w:pPr>
            <w:r w:rsidRPr="00DB065E">
              <w:rPr>
                <w:rFonts w:eastAsia="MS Mincho" w:cs="Arial"/>
                <w:color w:val="000000"/>
                <w:sz w:val="16"/>
                <w:szCs w:val="16"/>
                <w:lang w:eastAsia="ja-JP"/>
              </w:rPr>
              <w:t>ASEAN Information Technology (IT) Workshop towards On-line Business Service in Cambodia</w:t>
            </w:r>
          </w:p>
        </w:tc>
        <w:tc>
          <w:tcPr>
            <w:tcW w:w="1134" w:type="dxa"/>
          </w:tcPr>
          <w:p w:rsidR="008355F0" w:rsidRPr="00DB065E" w:rsidRDefault="008355F0" w:rsidP="003867F8">
            <w:pPr>
              <w:spacing w:before="60" w:after="60"/>
              <w:rPr>
                <w:rFonts w:eastAsia="MS Mincho" w:cs="Arial"/>
                <w:color w:val="000000"/>
                <w:sz w:val="16"/>
                <w:szCs w:val="16"/>
                <w:lang w:eastAsia="ja-JP"/>
              </w:rPr>
            </w:pPr>
            <w:r w:rsidRPr="003A0853">
              <w:rPr>
                <w:rFonts w:eastAsia="MS Mincho" w:cs="Arial"/>
                <w:color w:val="000000"/>
                <w:sz w:val="16"/>
                <w:szCs w:val="16"/>
                <w:lang w:eastAsia="ja-JP"/>
              </w:rPr>
              <w:t>November 2  to 6, 2015</w:t>
            </w:r>
          </w:p>
        </w:tc>
        <w:tc>
          <w:tcPr>
            <w:tcW w:w="1985" w:type="dxa"/>
            <w:gridSpan w:val="2"/>
          </w:tcPr>
          <w:p w:rsidR="008355F0" w:rsidRPr="00DB065E" w:rsidRDefault="008355F0" w:rsidP="003867F8">
            <w:pPr>
              <w:autoSpaceDE w:val="0"/>
              <w:autoSpaceDN w:val="0"/>
              <w:adjustRightInd w:val="0"/>
              <w:spacing w:before="60" w:after="60"/>
              <w:rPr>
                <w:rFonts w:eastAsia="MS Mincho" w:cs="Arial"/>
                <w:color w:val="000000"/>
                <w:sz w:val="16"/>
                <w:szCs w:val="16"/>
                <w:lang w:eastAsia="ja-JP"/>
              </w:rPr>
            </w:pPr>
            <w:r w:rsidRPr="003A0853">
              <w:rPr>
                <w:rFonts w:eastAsia="MS Mincho" w:cs="Arial"/>
                <w:color w:val="000000"/>
                <w:sz w:val="16"/>
                <w:szCs w:val="16"/>
                <w:lang w:eastAsia="ja-JP"/>
              </w:rPr>
              <w:t>Cambodia/</w:t>
            </w:r>
            <w:r>
              <w:rPr>
                <w:rFonts w:eastAsia="MS Mincho" w:cs="Arial"/>
                <w:color w:val="000000"/>
                <w:sz w:val="16"/>
                <w:szCs w:val="16"/>
                <w:lang w:eastAsia="ja-JP"/>
              </w:rPr>
              <w:t xml:space="preserve"> </w:t>
            </w:r>
            <w:r w:rsidRPr="003A0853">
              <w:rPr>
                <w:rFonts w:eastAsia="MS Mincho" w:cs="Arial"/>
                <w:color w:val="000000"/>
                <w:sz w:val="16"/>
                <w:szCs w:val="16"/>
                <w:lang w:eastAsia="ja-JP"/>
              </w:rPr>
              <w:t>Brunei Darussalam, Indonesia, Lao People’s Democratic Republic, Malaysia, Myanmar, Philippines, Singapore, Thailand and Viet Nam</w:t>
            </w:r>
          </w:p>
        </w:tc>
        <w:tc>
          <w:tcPr>
            <w:tcW w:w="4536" w:type="dxa"/>
          </w:tcPr>
          <w:p w:rsidR="008355F0" w:rsidRPr="00DB065E" w:rsidRDefault="008355F0" w:rsidP="003867F8">
            <w:pPr>
              <w:autoSpaceDE w:val="0"/>
              <w:autoSpaceDN w:val="0"/>
              <w:adjustRightInd w:val="0"/>
              <w:spacing w:before="60" w:after="60"/>
              <w:ind w:left="-108"/>
              <w:rPr>
                <w:rFonts w:cs="Arial"/>
                <w:sz w:val="16"/>
                <w:szCs w:val="16"/>
              </w:rPr>
            </w:pPr>
            <w:r w:rsidRPr="003A0853">
              <w:rPr>
                <w:rFonts w:cs="Arial"/>
                <w:sz w:val="16"/>
                <w:szCs w:val="16"/>
              </w:rPr>
              <w:t>To support the technical development of on-line business service in the ASEAN region and better utilization of the Industrial Property Administration System (IPAS) for that purpose.</w:t>
            </w:r>
          </w:p>
        </w:tc>
      </w:tr>
      <w:tr w:rsidR="008355F0" w:rsidRPr="00DB065E" w:rsidTr="00E92F85">
        <w:trPr>
          <w:cantSplit/>
          <w:trHeight w:val="80"/>
        </w:trPr>
        <w:tc>
          <w:tcPr>
            <w:tcW w:w="1843" w:type="dxa"/>
            <w:gridSpan w:val="3"/>
          </w:tcPr>
          <w:p w:rsidR="008355F0" w:rsidRPr="00DB065E" w:rsidRDefault="008355F0" w:rsidP="003867F8">
            <w:pPr>
              <w:autoSpaceDE w:val="0"/>
              <w:autoSpaceDN w:val="0"/>
              <w:adjustRightInd w:val="0"/>
              <w:spacing w:before="60" w:after="60"/>
              <w:rPr>
                <w:rFonts w:eastAsia="MS Mincho" w:cs="Arial"/>
                <w:color w:val="000000"/>
                <w:sz w:val="16"/>
                <w:szCs w:val="16"/>
                <w:lang w:eastAsia="ja-JP"/>
              </w:rPr>
            </w:pPr>
            <w:r w:rsidRPr="00DB065E">
              <w:rPr>
                <w:rFonts w:eastAsia="MS Mincho" w:cs="Arial"/>
                <w:color w:val="000000"/>
                <w:sz w:val="16"/>
                <w:szCs w:val="16"/>
                <w:lang w:eastAsia="ja-JP"/>
              </w:rPr>
              <w:t>Digitization and EDMS project in Cambodia</w:t>
            </w:r>
          </w:p>
        </w:tc>
        <w:tc>
          <w:tcPr>
            <w:tcW w:w="1134" w:type="dxa"/>
          </w:tcPr>
          <w:p w:rsidR="008355F0" w:rsidRPr="00DB065E" w:rsidRDefault="008355F0" w:rsidP="003867F8">
            <w:pPr>
              <w:spacing w:before="60" w:after="60"/>
              <w:rPr>
                <w:rFonts w:eastAsia="MS Mincho" w:cs="Arial"/>
                <w:color w:val="000000"/>
                <w:sz w:val="16"/>
                <w:szCs w:val="16"/>
                <w:lang w:eastAsia="ja-JP"/>
              </w:rPr>
            </w:pPr>
            <w:r w:rsidRPr="00DB065E">
              <w:rPr>
                <w:rFonts w:eastAsia="MS Mincho" w:cs="Arial"/>
                <w:color w:val="000000"/>
                <w:sz w:val="16"/>
                <w:szCs w:val="16"/>
                <w:lang w:eastAsia="ja-JP"/>
              </w:rPr>
              <w:t>February to December, 2015</w:t>
            </w:r>
          </w:p>
        </w:tc>
        <w:tc>
          <w:tcPr>
            <w:tcW w:w="1985" w:type="dxa"/>
            <w:gridSpan w:val="2"/>
          </w:tcPr>
          <w:p w:rsidR="008355F0" w:rsidRPr="00DB065E" w:rsidRDefault="008355F0" w:rsidP="003867F8">
            <w:pPr>
              <w:autoSpaceDE w:val="0"/>
              <w:autoSpaceDN w:val="0"/>
              <w:adjustRightInd w:val="0"/>
              <w:spacing w:before="60" w:after="60"/>
              <w:rPr>
                <w:rFonts w:eastAsia="MS Mincho" w:cs="Arial"/>
                <w:color w:val="000000"/>
                <w:sz w:val="16"/>
                <w:szCs w:val="16"/>
                <w:lang w:eastAsia="ja-JP"/>
              </w:rPr>
            </w:pPr>
            <w:r w:rsidRPr="00DB065E">
              <w:rPr>
                <w:rFonts w:eastAsia="MS Mincho" w:cs="Arial"/>
                <w:color w:val="000000"/>
                <w:sz w:val="16"/>
                <w:szCs w:val="16"/>
                <w:lang w:eastAsia="ja-JP"/>
              </w:rPr>
              <w:t>Cambodia</w:t>
            </w:r>
          </w:p>
        </w:tc>
        <w:tc>
          <w:tcPr>
            <w:tcW w:w="4536" w:type="dxa"/>
          </w:tcPr>
          <w:p w:rsidR="008355F0" w:rsidRPr="00DB065E" w:rsidRDefault="008355F0" w:rsidP="003867F8">
            <w:pPr>
              <w:autoSpaceDE w:val="0"/>
              <w:autoSpaceDN w:val="0"/>
              <w:adjustRightInd w:val="0"/>
              <w:spacing w:before="60" w:after="60"/>
              <w:ind w:left="-108"/>
              <w:rPr>
                <w:rFonts w:cs="Arial"/>
                <w:sz w:val="16"/>
                <w:szCs w:val="16"/>
              </w:rPr>
            </w:pPr>
            <w:r w:rsidRPr="00DB065E">
              <w:rPr>
                <w:rFonts w:cs="Arial"/>
                <w:sz w:val="16"/>
                <w:szCs w:val="16"/>
              </w:rPr>
              <w:t>Digitization of the patent documents of the Department of Industrial Property (DIP) of the Ministry of Industry, Mine</w:t>
            </w:r>
            <w:r>
              <w:rPr>
                <w:rFonts w:cs="Arial"/>
                <w:sz w:val="16"/>
                <w:szCs w:val="16"/>
              </w:rPr>
              <w:t>s</w:t>
            </w:r>
            <w:r w:rsidRPr="00DB065E">
              <w:rPr>
                <w:rFonts w:cs="Arial"/>
                <w:sz w:val="16"/>
                <w:szCs w:val="16"/>
              </w:rPr>
              <w:t xml:space="preserve"> and Energy (MIME) and trademark documents of the Department of Intellectual Property Rights (DIPRs) of the Ministry of Commerce (MoC) of Cambodia</w:t>
            </w:r>
          </w:p>
        </w:tc>
      </w:tr>
      <w:tr w:rsidR="008355F0" w:rsidRPr="00DB065E" w:rsidTr="00E92F85">
        <w:trPr>
          <w:cantSplit/>
          <w:trHeight w:val="80"/>
        </w:trPr>
        <w:tc>
          <w:tcPr>
            <w:tcW w:w="1843" w:type="dxa"/>
            <w:gridSpan w:val="3"/>
          </w:tcPr>
          <w:p w:rsidR="008355F0" w:rsidRPr="00DB065E" w:rsidRDefault="008355F0" w:rsidP="003867F8">
            <w:pPr>
              <w:autoSpaceDE w:val="0"/>
              <w:autoSpaceDN w:val="0"/>
              <w:adjustRightInd w:val="0"/>
              <w:spacing w:before="60" w:after="60"/>
              <w:rPr>
                <w:rFonts w:eastAsia="MS Mincho" w:cs="Arial"/>
                <w:color w:val="000000"/>
                <w:sz w:val="16"/>
                <w:szCs w:val="16"/>
                <w:lang w:eastAsia="ja-JP"/>
              </w:rPr>
            </w:pPr>
            <w:r w:rsidRPr="00DB065E">
              <w:rPr>
                <w:rFonts w:eastAsia="MS Mincho" w:cs="Arial"/>
                <w:color w:val="000000"/>
                <w:sz w:val="16"/>
                <w:szCs w:val="16"/>
                <w:lang w:eastAsia="ja-JP"/>
              </w:rPr>
              <w:t>Centralized Access to Search and Examination (CASE) development activities</w:t>
            </w:r>
          </w:p>
        </w:tc>
        <w:tc>
          <w:tcPr>
            <w:tcW w:w="1134" w:type="dxa"/>
          </w:tcPr>
          <w:p w:rsidR="008355F0" w:rsidRPr="00DB065E" w:rsidRDefault="008355F0" w:rsidP="003867F8">
            <w:pPr>
              <w:spacing w:before="60" w:after="60"/>
              <w:rPr>
                <w:rFonts w:eastAsia="MS Mincho" w:cs="Arial"/>
                <w:color w:val="000000"/>
                <w:sz w:val="16"/>
                <w:szCs w:val="16"/>
                <w:lang w:eastAsia="ja-JP"/>
              </w:rPr>
            </w:pPr>
            <w:r w:rsidRPr="00DB065E">
              <w:rPr>
                <w:rFonts w:eastAsia="MS Mincho" w:cs="Arial"/>
                <w:color w:val="000000"/>
                <w:sz w:val="16"/>
                <w:szCs w:val="16"/>
                <w:lang w:eastAsia="ja-JP"/>
              </w:rPr>
              <w:t>January to December</w:t>
            </w:r>
            <w:r>
              <w:rPr>
                <w:rFonts w:eastAsia="MS Mincho" w:cs="Arial"/>
                <w:color w:val="000000"/>
                <w:sz w:val="16"/>
                <w:szCs w:val="16"/>
                <w:lang w:eastAsia="ja-JP"/>
              </w:rPr>
              <w:t>,</w:t>
            </w:r>
            <w:r w:rsidRPr="00DB065E">
              <w:rPr>
                <w:rFonts w:eastAsia="MS Mincho" w:cs="Arial"/>
                <w:color w:val="000000"/>
                <w:sz w:val="16"/>
                <w:szCs w:val="16"/>
                <w:lang w:eastAsia="ja-JP"/>
              </w:rPr>
              <w:t xml:space="preserve"> 2015</w:t>
            </w:r>
          </w:p>
        </w:tc>
        <w:tc>
          <w:tcPr>
            <w:tcW w:w="1985" w:type="dxa"/>
            <w:gridSpan w:val="2"/>
          </w:tcPr>
          <w:p w:rsidR="008355F0" w:rsidRPr="00DB065E" w:rsidRDefault="008355F0" w:rsidP="003867F8">
            <w:pPr>
              <w:autoSpaceDE w:val="0"/>
              <w:autoSpaceDN w:val="0"/>
              <w:adjustRightInd w:val="0"/>
              <w:spacing w:before="60" w:after="60"/>
              <w:rPr>
                <w:rFonts w:eastAsia="MS Mincho" w:cs="Arial"/>
                <w:color w:val="000000"/>
                <w:sz w:val="16"/>
                <w:szCs w:val="16"/>
                <w:lang w:eastAsia="ja-JP"/>
              </w:rPr>
            </w:pPr>
            <w:r w:rsidRPr="00DB065E">
              <w:rPr>
                <w:rFonts w:eastAsia="MS Mincho" w:cs="Arial"/>
                <w:color w:val="000000"/>
                <w:sz w:val="16"/>
                <w:szCs w:val="16"/>
                <w:lang w:eastAsia="ja-JP"/>
              </w:rPr>
              <w:t xml:space="preserve">CASE participating </w:t>
            </w:r>
            <w:r>
              <w:rPr>
                <w:rFonts w:eastAsia="MS Mincho" w:cs="Arial"/>
                <w:color w:val="000000"/>
                <w:sz w:val="16"/>
                <w:szCs w:val="16"/>
                <w:lang w:eastAsia="ja-JP"/>
              </w:rPr>
              <w:t>O</w:t>
            </w:r>
            <w:r w:rsidRPr="00DB065E">
              <w:rPr>
                <w:rFonts w:eastAsia="MS Mincho" w:cs="Arial"/>
                <w:color w:val="000000"/>
                <w:sz w:val="16"/>
                <w:szCs w:val="16"/>
                <w:lang w:eastAsia="ja-JP"/>
              </w:rPr>
              <w:t>ffices</w:t>
            </w:r>
          </w:p>
        </w:tc>
        <w:tc>
          <w:tcPr>
            <w:tcW w:w="4536" w:type="dxa"/>
          </w:tcPr>
          <w:p w:rsidR="008355F0" w:rsidRPr="00DB065E" w:rsidRDefault="008355F0" w:rsidP="003867F8">
            <w:pPr>
              <w:autoSpaceDE w:val="0"/>
              <w:autoSpaceDN w:val="0"/>
              <w:adjustRightInd w:val="0"/>
              <w:spacing w:before="60" w:after="60"/>
              <w:ind w:left="-108"/>
              <w:rPr>
                <w:rFonts w:cs="Arial"/>
                <w:sz w:val="16"/>
                <w:szCs w:val="16"/>
              </w:rPr>
            </w:pPr>
            <w:r>
              <w:rPr>
                <w:rFonts w:cs="Arial"/>
                <w:sz w:val="16"/>
                <w:szCs w:val="16"/>
              </w:rPr>
              <w:t>To d</w:t>
            </w:r>
            <w:r w:rsidRPr="00DB065E">
              <w:rPr>
                <w:rFonts w:cs="Arial"/>
                <w:sz w:val="16"/>
                <w:szCs w:val="16"/>
              </w:rPr>
              <w:t>evelop</w:t>
            </w:r>
            <w:r w:rsidRPr="00DB065E">
              <w:rPr>
                <w:rFonts w:cs="Arial"/>
                <w:sz w:val="16"/>
                <w:szCs w:val="16"/>
                <w:lang w:val="en-GB"/>
              </w:rPr>
              <w:t xml:space="preserve"> a new portal for office users and complet</w:t>
            </w:r>
            <w:r>
              <w:rPr>
                <w:rFonts w:cs="Arial"/>
                <w:sz w:val="16"/>
                <w:szCs w:val="16"/>
                <w:lang w:val="en-GB"/>
              </w:rPr>
              <w:t>e</w:t>
            </w:r>
            <w:r w:rsidRPr="00DB065E">
              <w:rPr>
                <w:rFonts w:cs="Arial"/>
                <w:sz w:val="16"/>
                <w:szCs w:val="16"/>
                <w:lang w:val="en-GB"/>
              </w:rPr>
              <w:t xml:space="preserve"> the integration of WIPO CASE with OPD</w:t>
            </w:r>
            <w:r>
              <w:rPr>
                <w:rFonts w:cs="Arial"/>
                <w:sz w:val="16"/>
                <w:szCs w:val="16"/>
                <w:lang w:val="en-GB"/>
              </w:rPr>
              <w:t>.</w:t>
            </w:r>
          </w:p>
        </w:tc>
      </w:tr>
      <w:tr w:rsidR="008355F0" w:rsidRPr="00DB065E" w:rsidTr="00E92F85">
        <w:trPr>
          <w:cantSplit/>
          <w:trHeight w:val="80"/>
        </w:trPr>
        <w:tc>
          <w:tcPr>
            <w:tcW w:w="1843" w:type="dxa"/>
            <w:gridSpan w:val="3"/>
            <w:tcBorders>
              <w:bottom w:val="single" w:sz="4" w:space="0" w:color="auto"/>
            </w:tcBorders>
          </w:tcPr>
          <w:p w:rsidR="008355F0" w:rsidRPr="00DB065E" w:rsidRDefault="008355F0" w:rsidP="003867F8">
            <w:pPr>
              <w:autoSpaceDE w:val="0"/>
              <w:autoSpaceDN w:val="0"/>
              <w:adjustRightInd w:val="0"/>
              <w:spacing w:before="60" w:after="60"/>
              <w:rPr>
                <w:rFonts w:eastAsia="MS Mincho" w:cs="Arial"/>
                <w:color w:val="000000"/>
                <w:sz w:val="16"/>
                <w:szCs w:val="16"/>
                <w:lang w:eastAsia="ja-JP"/>
              </w:rPr>
            </w:pPr>
            <w:r w:rsidRPr="00DB065E">
              <w:rPr>
                <w:rFonts w:eastAsia="MS Mincho" w:cs="Arial"/>
                <w:color w:val="000000"/>
                <w:sz w:val="16"/>
                <w:szCs w:val="16"/>
                <w:lang w:eastAsia="ja-JP"/>
              </w:rPr>
              <w:t>IP Office Business Solutions development activities</w:t>
            </w:r>
          </w:p>
        </w:tc>
        <w:tc>
          <w:tcPr>
            <w:tcW w:w="1134" w:type="dxa"/>
            <w:tcBorders>
              <w:bottom w:val="single" w:sz="4" w:space="0" w:color="auto"/>
            </w:tcBorders>
          </w:tcPr>
          <w:p w:rsidR="008355F0" w:rsidRPr="00DB065E" w:rsidRDefault="008355F0" w:rsidP="003867F8">
            <w:pPr>
              <w:spacing w:before="60" w:after="60"/>
              <w:rPr>
                <w:rFonts w:eastAsia="MS Mincho" w:cs="Arial"/>
                <w:color w:val="000000"/>
                <w:sz w:val="16"/>
                <w:szCs w:val="16"/>
                <w:lang w:eastAsia="ja-JP"/>
              </w:rPr>
            </w:pPr>
            <w:r w:rsidRPr="00DB065E">
              <w:rPr>
                <w:rFonts w:eastAsia="MS Mincho" w:cs="Arial"/>
                <w:color w:val="000000"/>
                <w:sz w:val="16"/>
                <w:szCs w:val="16"/>
                <w:lang w:eastAsia="ja-JP"/>
              </w:rPr>
              <w:t>January to December</w:t>
            </w:r>
            <w:r>
              <w:rPr>
                <w:rFonts w:eastAsia="MS Mincho" w:cs="Arial"/>
                <w:color w:val="000000"/>
                <w:sz w:val="16"/>
                <w:szCs w:val="16"/>
                <w:lang w:eastAsia="ja-JP"/>
              </w:rPr>
              <w:t>,</w:t>
            </w:r>
            <w:r w:rsidRPr="00DB065E">
              <w:rPr>
                <w:rFonts w:eastAsia="MS Mincho" w:cs="Arial"/>
                <w:color w:val="000000"/>
                <w:sz w:val="16"/>
                <w:szCs w:val="16"/>
                <w:lang w:eastAsia="ja-JP"/>
              </w:rPr>
              <w:t xml:space="preserve"> 2015</w:t>
            </w:r>
          </w:p>
        </w:tc>
        <w:tc>
          <w:tcPr>
            <w:tcW w:w="1985" w:type="dxa"/>
            <w:gridSpan w:val="2"/>
            <w:tcBorders>
              <w:bottom w:val="single" w:sz="4" w:space="0" w:color="auto"/>
            </w:tcBorders>
          </w:tcPr>
          <w:p w:rsidR="008355F0" w:rsidRPr="00DB065E" w:rsidRDefault="008355F0" w:rsidP="003867F8">
            <w:pPr>
              <w:autoSpaceDE w:val="0"/>
              <w:autoSpaceDN w:val="0"/>
              <w:adjustRightInd w:val="0"/>
              <w:spacing w:before="60" w:after="60"/>
              <w:rPr>
                <w:rFonts w:eastAsia="MS Mincho" w:cs="Arial"/>
                <w:color w:val="000000"/>
                <w:sz w:val="16"/>
                <w:szCs w:val="16"/>
                <w:lang w:eastAsia="ja-JP"/>
              </w:rPr>
            </w:pPr>
            <w:r w:rsidRPr="00DB065E">
              <w:rPr>
                <w:rFonts w:eastAsia="MS Mincho" w:cs="Arial"/>
                <w:color w:val="000000"/>
                <w:sz w:val="16"/>
                <w:szCs w:val="16"/>
                <w:lang w:eastAsia="ja-JP"/>
              </w:rPr>
              <w:t xml:space="preserve">ASEAN </w:t>
            </w:r>
            <w:r>
              <w:rPr>
                <w:rFonts w:eastAsia="MS Mincho" w:cs="Arial"/>
                <w:color w:val="000000"/>
                <w:sz w:val="16"/>
                <w:szCs w:val="16"/>
                <w:lang w:eastAsia="ja-JP"/>
              </w:rPr>
              <w:t>and</w:t>
            </w:r>
            <w:r w:rsidRPr="00DB065E">
              <w:rPr>
                <w:rFonts w:eastAsia="MS Mincho" w:cs="Arial"/>
                <w:color w:val="000000"/>
                <w:sz w:val="16"/>
                <w:szCs w:val="16"/>
                <w:lang w:eastAsia="ja-JP"/>
              </w:rPr>
              <w:t xml:space="preserve"> ASPAC Member States</w:t>
            </w:r>
          </w:p>
        </w:tc>
        <w:tc>
          <w:tcPr>
            <w:tcW w:w="4536" w:type="dxa"/>
            <w:tcBorders>
              <w:bottom w:val="single" w:sz="4" w:space="0" w:color="auto"/>
            </w:tcBorders>
          </w:tcPr>
          <w:p w:rsidR="008355F0" w:rsidRPr="00DB065E" w:rsidRDefault="008355F0" w:rsidP="003867F8">
            <w:pPr>
              <w:spacing w:before="60" w:after="60"/>
              <w:rPr>
                <w:rFonts w:cs="Arial"/>
                <w:sz w:val="16"/>
                <w:szCs w:val="16"/>
              </w:rPr>
            </w:pPr>
            <w:r>
              <w:rPr>
                <w:rFonts w:cs="Arial"/>
                <w:sz w:val="16"/>
                <w:szCs w:val="16"/>
              </w:rPr>
              <w:t>To i</w:t>
            </w:r>
            <w:r w:rsidRPr="00DB065E">
              <w:rPr>
                <w:rFonts w:cs="Arial"/>
                <w:sz w:val="16"/>
                <w:szCs w:val="16"/>
              </w:rPr>
              <w:t>mprove</w:t>
            </w:r>
            <w:r w:rsidRPr="00DB065E">
              <w:rPr>
                <w:rFonts w:cs="Arial"/>
                <w:sz w:val="16"/>
                <w:szCs w:val="16"/>
                <w:lang w:val="en-GB"/>
              </w:rPr>
              <w:t xml:space="preserve"> data extraction systems</w:t>
            </w:r>
            <w:r>
              <w:rPr>
                <w:rFonts w:cs="Arial"/>
                <w:sz w:val="16"/>
                <w:szCs w:val="16"/>
                <w:lang w:val="en-GB"/>
              </w:rPr>
              <w:t xml:space="preserve"> with</w:t>
            </w:r>
            <w:r w:rsidRPr="00DB065E">
              <w:rPr>
                <w:rFonts w:cs="Arial"/>
                <w:sz w:val="16"/>
                <w:szCs w:val="16"/>
                <w:lang w:val="en-GB"/>
              </w:rPr>
              <w:t xml:space="preserve"> development and pilot deployment of WIPO Publish for extraction, formatting and dissemination</w:t>
            </w:r>
            <w:r>
              <w:rPr>
                <w:rFonts w:cs="Arial"/>
                <w:sz w:val="16"/>
                <w:szCs w:val="16"/>
                <w:lang w:val="en-GB"/>
              </w:rPr>
              <w:t xml:space="preserve"> of data</w:t>
            </w:r>
            <w:r w:rsidRPr="00DB065E">
              <w:rPr>
                <w:rFonts w:cs="Arial"/>
                <w:sz w:val="16"/>
                <w:szCs w:val="16"/>
                <w:lang w:val="en-GB"/>
              </w:rPr>
              <w:t>.</w:t>
            </w:r>
          </w:p>
        </w:tc>
      </w:tr>
      <w:tr w:rsidR="008355F0" w:rsidRPr="00DB065E" w:rsidTr="00E92F85">
        <w:trPr>
          <w:cantSplit/>
          <w:trHeight w:val="485"/>
        </w:trPr>
        <w:tc>
          <w:tcPr>
            <w:tcW w:w="9498" w:type="dxa"/>
            <w:gridSpan w:val="7"/>
            <w:tcBorders>
              <w:top w:val="single" w:sz="4" w:space="0" w:color="auto"/>
              <w:bottom w:val="single" w:sz="4" w:space="0" w:color="auto"/>
            </w:tcBorders>
            <w:shd w:val="clear" w:color="auto" w:fill="C6D9F1" w:themeFill="text2" w:themeFillTint="33"/>
            <w:vAlign w:val="center"/>
          </w:tcPr>
          <w:p w:rsidR="008355F0" w:rsidRDefault="008355F0" w:rsidP="003867F8">
            <w:pPr>
              <w:keepNext/>
              <w:keepLines/>
              <w:ind w:left="1422" w:hanging="1422"/>
              <w:rPr>
                <w:rFonts w:cs="Arial"/>
                <w:sz w:val="16"/>
                <w:szCs w:val="16"/>
              </w:rPr>
            </w:pPr>
            <w:r w:rsidRPr="00DB065E">
              <w:rPr>
                <w:rFonts w:cs="Arial"/>
                <w:b/>
                <w:bCs/>
                <w:color w:val="000000"/>
                <w:sz w:val="16"/>
                <w:szCs w:val="16"/>
              </w:rPr>
              <w:t>RESULT</w:t>
            </w:r>
            <w:r w:rsidRPr="00DB065E">
              <w:rPr>
                <w:rFonts w:cs="Arial"/>
                <w:bCs/>
                <w:sz w:val="16"/>
                <w:szCs w:val="16"/>
                <w:lang w:val="en-AU"/>
              </w:rPr>
              <w:t xml:space="preserve">: </w:t>
            </w:r>
            <w:r w:rsidRPr="00DB065E">
              <w:rPr>
                <w:rFonts w:cs="Arial"/>
                <w:bCs/>
                <w:sz w:val="16"/>
                <w:szCs w:val="16"/>
                <w:lang w:val="en-AU"/>
              </w:rPr>
              <w:tab/>
            </w:r>
            <w:r w:rsidRPr="0012490C">
              <w:rPr>
                <w:rFonts w:cs="Arial"/>
                <w:bCs/>
                <w:sz w:val="16"/>
                <w:szCs w:val="16"/>
                <w:lang w:val="en-AU"/>
              </w:rPr>
              <w:t>VII.2. IP-based platforms and tools are used for knowledge transfer, technology adaptation and diffusion</w:t>
            </w:r>
            <w:r>
              <w:rPr>
                <w:rFonts w:cs="Arial"/>
                <w:bCs/>
                <w:sz w:val="16"/>
                <w:szCs w:val="16"/>
                <w:lang w:val="en-AU"/>
              </w:rPr>
              <w:t xml:space="preserve"> </w:t>
            </w:r>
            <w:r w:rsidRPr="0012490C">
              <w:rPr>
                <w:rFonts w:cs="Arial"/>
                <w:bCs/>
                <w:sz w:val="16"/>
                <w:szCs w:val="16"/>
                <w:lang w:val="en-AU"/>
              </w:rPr>
              <w:t>from developed to developing countries, particularly least developed countries, to address global challenges</w:t>
            </w:r>
            <w:r>
              <w:rPr>
                <w:rFonts w:ascii="Calibri" w:hAnsi="Calibri"/>
                <w:sz w:val="16"/>
                <w:szCs w:val="16"/>
              </w:rPr>
              <w:t xml:space="preserve"> </w:t>
            </w:r>
          </w:p>
        </w:tc>
      </w:tr>
      <w:tr w:rsidR="008355F0" w:rsidRPr="00DB065E" w:rsidTr="00E92F85">
        <w:trPr>
          <w:cantSplit/>
          <w:trHeight w:val="80"/>
        </w:trPr>
        <w:tc>
          <w:tcPr>
            <w:tcW w:w="1843" w:type="dxa"/>
            <w:gridSpan w:val="3"/>
            <w:tcBorders>
              <w:top w:val="single" w:sz="4" w:space="0" w:color="auto"/>
            </w:tcBorders>
            <w:vAlign w:val="center"/>
          </w:tcPr>
          <w:p w:rsidR="008355F0" w:rsidRPr="00DB065E" w:rsidRDefault="008355F0" w:rsidP="003867F8">
            <w:pPr>
              <w:keepNext/>
              <w:keepLines/>
              <w:autoSpaceDE w:val="0"/>
              <w:autoSpaceDN w:val="0"/>
              <w:adjustRightInd w:val="0"/>
              <w:spacing w:before="120" w:after="120"/>
              <w:rPr>
                <w:rFonts w:eastAsia="MS Mincho" w:cs="Arial"/>
                <w:color w:val="000000"/>
                <w:sz w:val="16"/>
                <w:szCs w:val="16"/>
                <w:lang w:eastAsia="ja-JP"/>
              </w:rPr>
            </w:pPr>
            <w:r w:rsidRPr="00DB065E">
              <w:rPr>
                <w:rFonts w:cs="Arial"/>
                <w:b/>
                <w:bCs/>
                <w:sz w:val="16"/>
                <w:szCs w:val="16"/>
              </w:rPr>
              <w:t>Activity</w:t>
            </w:r>
          </w:p>
        </w:tc>
        <w:tc>
          <w:tcPr>
            <w:tcW w:w="1134" w:type="dxa"/>
            <w:tcBorders>
              <w:top w:val="single" w:sz="4" w:space="0" w:color="auto"/>
            </w:tcBorders>
            <w:vAlign w:val="center"/>
          </w:tcPr>
          <w:p w:rsidR="008355F0" w:rsidRPr="00DB065E" w:rsidRDefault="008355F0" w:rsidP="003867F8">
            <w:pPr>
              <w:keepNext/>
              <w:keepLines/>
              <w:spacing w:before="120" w:after="120"/>
              <w:rPr>
                <w:rFonts w:eastAsia="MS Mincho" w:cs="Arial"/>
                <w:color w:val="000000"/>
                <w:sz w:val="16"/>
                <w:szCs w:val="16"/>
                <w:lang w:eastAsia="ja-JP"/>
              </w:rPr>
            </w:pPr>
            <w:r w:rsidRPr="00DB065E">
              <w:rPr>
                <w:rFonts w:cs="Arial"/>
                <w:b/>
                <w:bCs/>
                <w:sz w:val="16"/>
                <w:szCs w:val="16"/>
              </w:rPr>
              <w:t>Date</w:t>
            </w:r>
          </w:p>
        </w:tc>
        <w:tc>
          <w:tcPr>
            <w:tcW w:w="1985" w:type="dxa"/>
            <w:gridSpan w:val="2"/>
            <w:tcBorders>
              <w:top w:val="single" w:sz="4" w:space="0" w:color="auto"/>
            </w:tcBorders>
            <w:vAlign w:val="center"/>
          </w:tcPr>
          <w:p w:rsidR="008355F0" w:rsidRPr="00DB065E" w:rsidRDefault="008355F0" w:rsidP="003867F8">
            <w:pPr>
              <w:keepNext/>
              <w:keepLines/>
              <w:autoSpaceDE w:val="0"/>
              <w:autoSpaceDN w:val="0"/>
              <w:adjustRightInd w:val="0"/>
              <w:spacing w:before="120" w:after="120"/>
              <w:rPr>
                <w:rFonts w:eastAsia="MS Mincho" w:cs="Arial"/>
                <w:color w:val="000000"/>
                <w:sz w:val="16"/>
                <w:szCs w:val="16"/>
                <w:lang w:eastAsia="ja-JP"/>
              </w:rPr>
            </w:pPr>
            <w:r w:rsidRPr="00DB065E">
              <w:rPr>
                <w:rFonts w:cs="Arial"/>
                <w:b/>
                <w:bCs/>
                <w:sz w:val="16"/>
                <w:szCs w:val="16"/>
              </w:rPr>
              <w:t>Host Country/</w:t>
            </w:r>
            <w:r w:rsidRPr="00DB065E">
              <w:rPr>
                <w:rFonts w:cs="Arial"/>
                <w:b/>
                <w:bCs/>
                <w:sz w:val="16"/>
                <w:szCs w:val="16"/>
              </w:rPr>
              <w:br/>
              <w:t>Recipients</w:t>
            </w:r>
          </w:p>
        </w:tc>
        <w:tc>
          <w:tcPr>
            <w:tcW w:w="4536" w:type="dxa"/>
            <w:tcBorders>
              <w:top w:val="single" w:sz="4" w:space="0" w:color="auto"/>
            </w:tcBorders>
            <w:vAlign w:val="center"/>
          </w:tcPr>
          <w:p w:rsidR="008355F0" w:rsidRDefault="008355F0" w:rsidP="003867F8">
            <w:pPr>
              <w:keepNext/>
              <w:keepLines/>
              <w:rPr>
                <w:rFonts w:cs="Arial"/>
                <w:sz w:val="16"/>
                <w:szCs w:val="16"/>
              </w:rPr>
            </w:pPr>
            <w:r w:rsidRPr="00DB065E">
              <w:rPr>
                <w:rFonts w:cs="Arial"/>
                <w:b/>
                <w:bCs/>
                <w:sz w:val="16"/>
                <w:szCs w:val="16"/>
              </w:rPr>
              <w:t>Purpose(s)/Description(s)</w:t>
            </w:r>
          </w:p>
        </w:tc>
      </w:tr>
      <w:tr w:rsidR="008355F0" w:rsidRPr="00DB065E" w:rsidTr="00E92F85">
        <w:trPr>
          <w:cantSplit/>
          <w:trHeight w:val="80"/>
        </w:trPr>
        <w:tc>
          <w:tcPr>
            <w:tcW w:w="1843" w:type="dxa"/>
            <w:gridSpan w:val="3"/>
          </w:tcPr>
          <w:p w:rsidR="008355F0" w:rsidRPr="00DB065E" w:rsidRDefault="008355F0">
            <w:pPr>
              <w:autoSpaceDE w:val="0"/>
              <w:autoSpaceDN w:val="0"/>
              <w:adjustRightInd w:val="0"/>
              <w:spacing w:before="60" w:after="60"/>
              <w:rPr>
                <w:rFonts w:eastAsia="MS Mincho" w:cs="Arial"/>
                <w:color w:val="000000"/>
                <w:sz w:val="16"/>
                <w:szCs w:val="16"/>
                <w:lang w:eastAsia="ja-JP"/>
              </w:rPr>
            </w:pPr>
            <w:r w:rsidRPr="00DB065E">
              <w:rPr>
                <w:rFonts w:eastAsia="MS Mincho" w:cs="Arial"/>
                <w:sz w:val="16"/>
                <w:szCs w:val="16"/>
                <w:lang w:eastAsia="ja-JP"/>
              </w:rPr>
              <w:t xml:space="preserve">Development of a Case Study on Green Technology Needs and Opportunities </w:t>
            </w:r>
          </w:p>
        </w:tc>
        <w:tc>
          <w:tcPr>
            <w:tcW w:w="1134" w:type="dxa"/>
          </w:tcPr>
          <w:p w:rsidR="008355F0" w:rsidRPr="00DB065E" w:rsidRDefault="008355F0" w:rsidP="003867F8">
            <w:pPr>
              <w:spacing w:before="60" w:after="60"/>
              <w:rPr>
                <w:rFonts w:eastAsia="MS Mincho" w:cs="Arial"/>
                <w:color w:val="000000"/>
                <w:sz w:val="16"/>
                <w:szCs w:val="16"/>
                <w:lang w:eastAsia="ja-JP"/>
              </w:rPr>
            </w:pPr>
            <w:r>
              <w:rPr>
                <w:rFonts w:eastAsia="MS Mincho" w:cs="Arial"/>
                <w:sz w:val="16"/>
                <w:szCs w:val="16"/>
                <w:lang w:eastAsia="ja-JP"/>
              </w:rPr>
              <w:t xml:space="preserve">January </w:t>
            </w:r>
            <w:r w:rsidRPr="00DB065E">
              <w:rPr>
                <w:rFonts w:eastAsia="MS Mincho" w:cs="Arial"/>
                <w:sz w:val="16"/>
                <w:szCs w:val="16"/>
                <w:lang w:eastAsia="ja-JP"/>
              </w:rPr>
              <w:t>to March</w:t>
            </w:r>
            <w:r>
              <w:rPr>
                <w:rFonts w:eastAsia="MS Mincho" w:cs="Arial"/>
                <w:sz w:val="16"/>
                <w:szCs w:val="16"/>
                <w:lang w:eastAsia="ja-JP"/>
              </w:rPr>
              <w:t>,</w:t>
            </w:r>
            <w:r w:rsidRPr="00DB065E">
              <w:rPr>
                <w:rFonts w:eastAsia="MS Mincho" w:cs="Arial"/>
                <w:sz w:val="16"/>
                <w:szCs w:val="16"/>
                <w:lang w:eastAsia="ja-JP"/>
              </w:rPr>
              <w:t xml:space="preserve"> 2015</w:t>
            </w:r>
          </w:p>
        </w:tc>
        <w:tc>
          <w:tcPr>
            <w:tcW w:w="1985" w:type="dxa"/>
            <w:gridSpan w:val="2"/>
          </w:tcPr>
          <w:p w:rsidR="008355F0" w:rsidRPr="00DB065E" w:rsidRDefault="008355F0" w:rsidP="003867F8">
            <w:pPr>
              <w:autoSpaceDE w:val="0"/>
              <w:autoSpaceDN w:val="0"/>
              <w:adjustRightInd w:val="0"/>
              <w:spacing w:before="60" w:after="60"/>
              <w:rPr>
                <w:rFonts w:eastAsia="MS Mincho" w:cs="Arial"/>
                <w:color w:val="000000"/>
                <w:sz w:val="16"/>
                <w:szCs w:val="16"/>
                <w:lang w:eastAsia="ja-JP"/>
              </w:rPr>
            </w:pPr>
            <w:r w:rsidRPr="00DB065E">
              <w:rPr>
                <w:rFonts w:eastAsia="MS Mincho" w:cs="Arial"/>
                <w:color w:val="000000"/>
                <w:sz w:val="16"/>
                <w:szCs w:val="16"/>
                <w:lang w:eastAsia="ja-JP"/>
              </w:rPr>
              <w:t>Philippines/</w:t>
            </w:r>
            <w:r>
              <w:rPr>
                <w:rFonts w:eastAsia="MS Mincho" w:cs="Arial"/>
                <w:color w:val="000000"/>
                <w:sz w:val="16"/>
                <w:szCs w:val="16"/>
                <w:lang w:eastAsia="ja-JP"/>
              </w:rPr>
              <w:t xml:space="preserve"> </w:t>
            </w:r>
            <w:r w:rsidRPr="00DB065E">
              <w:rPr>
                <w:rFonts w:eastAsia="MS Mincho" w:cs="Arial"/>
                <w:color w:val="000000"/>
                <w:sz w:val="16"/>
                <w:szCs w:val="16"/>
                <w:lang w:eastAsia="ja-JP"/>
              </w:rPr>
              <w:t>Indonesia, Philippines and Viet Nam</w:t>
            </w:r>
          </w:p>
        </w:tc>
        <w:tc>
          <w:tcPr>
            <w:tcW w:w="4536" w:type="dxa"/>
          </w:tcPr>
          <w:p w:rsidR="008355F0" w:rsidRDefault="008355F0" w:rsidP="003867F8">
            <w:pPr>
              <w:tabs>
                <w:tab w:val="left" w:pos="317"/>
              </w:tabs>
              <w:spacing w:before="60" w:after="60"/>
              <w:rPr>
                <w:rFonts w:cs="Arial"/>
                <w:sz w:val="16"/>
                <w:szCs w:val="16"/>
              </w:rPr>
            </w:pPr>
            <w:r>
              <w:rPr>
                <w:rFonts w:cs="Arial"/>
                <w:sz w:val="16"/>
                <w:szCs w:val="16"/>
              </w:rPr>
              <w:t>To</w:t>
            </w:r>
            <w:r w:rsidRPr="00DB065E">
              <w:rPr>
                <w:rFonts w:cs="Arial"/>
                <w:sz w:val="16"/>
                <w:szCs w:val="16"/>
              </w:rPr>
              <w:t>:</w:t>
            </w:r>
            <w:r>
              <w:rPr>
                <w:rFonts w:cs="Arial"/>
                <w:sz w:val="16"/>
                <w:szCs w:val="16"/>
              </w:rPr>
              <w:t xml:space="preserve"> </w:t>
            </w:r>
            <w:r w:rsidRPr="00DB065E">
              <w:rPr>
                <w:rFonts w:cs="Arial"/>
                <w:sz w:val="16"/>
                <w:szCs w:val="16"/>
                <w:lang w:eastAsia="ja-JP"/>
              </w:rPr>
              <w:t xml:space="preserve"> </w:t>
            </w:r>
            <w:r w:rsidRPr="00DB065E">
              <w:rPr>
                <w:rFonts w:cs="Arial"/>
                <w:bCs/>
                <w:sz w:val="16"/>
                <w:szCs w:val="16"/>
              </w:rPr>
              <w:t xml:space="preserve">(i) </w:t>
            </w:r>
            <w:r>
              <w:rPr>
                <w:rFonts w:cs="Arial"/>
                <w:bCs/>
                <w:sz w:val="16"/>
                <w:szCs w:val="16"/>
              </w:rPr>
              <w:t xml:space="preserve">identify the </w:t>
            </w:r>
            <w:r w:rsidRPr="00DB065E">
              <w:rPr>
                <w:rFonts w:cs="Arial"/>
                <w:bCs/>
                <w:sz w:val="16"/>
                <w:szCs w:val="16"/>
              </w:rPr>
              <w:t xml:space="preserve">specific needs of </w:t>
            </w:r>
            <w:r w:rsidRPr="00DB065E">
              <w:rPr>
                <w:rFonts w:cs="Arial"/>
                <w:bCs/>
                <w:sz w:val="16"/>
                <w:szCs w:val="16"/>
                <w:lang w:eastAsia="ja-JP"/>
              </w:rPr>
              <w:t xml:space="preserve">Indonesia, Philippines and Viet Nam </w:t>
            </w:r>
            <w:r w:rsidRPr="00DB065E">
              <w:rPr>
                <w:rFonts w:cs="Arial"/>
                <w:bCs/>
                <w:sz w:val="16"/>
                <w:szCs w:val="16"/>
              </w:rPr>
              <w:t>on</w:t>
            </w:r>
            <w:r w:rsidRPr="00DB065E">
              <w:rPr>
                <w:rFonts w:cs="Arial"/>
                <w:bCs/>
                <w:sz w:val="16"/>
                <w:szCs w:val="16"/>
                <w:lang w:eastAsia="ja-JP"/>
              </w:rPr>
              <w:t xml:space="preserve"> </w:t>
            </w:r>
            <w:r w:rsidRPr="00DB065E">
              <w:rPr>
                <w:rFonts w:cs="Arial"/>
                <w:bCs/>
                <w:sz w:val="16"/>
                <w:szCs w:val="16"/>
              </w:rPr>
              <w:t>green technology;</w:t>
            </w:r>
            <w:r>
              <w:rPr>
                <w:rFonts w:cs="Arial"/>
                <w:bCs/>
                <w:sz w:val="16"/>
                <w:szCs w:val="16"/>
              </w:rPr>
              <w:t xml:space="preserve">  </w:t>
            </w:r>
            <w:r w:rsidRPr="00DB065E">
              <w:rPr>
                <w:rFonts w:cs="Arial"/>
                <w:bCs/>
                <w:sz w:val="16"/>
                <w:szCs w:val="16"/>
              </w:rPr>
              <w:t xml:space="preserve">(ii) </w:t>
            </w:r>
            <w:r>
              <w:rPr>
                <w:rFonts w:cs="Arial"/>
                <w:bCs/>
                <w:sz w:val="16"/>
                <w:szCs w:val="16"/>
              </w:rPr>
              <w:t xml:space="preserve">recognize </w:t>
            </w:r>
            <w:r w:rsidRPr="00DB065E">
              <w:rPr>
                <w:rFonts w:cs="Arial"/>
                <w:bCs/>
                <w:sz w:val="16"/>
                <w:szCs w:val="16"/>
              </w:rPr>
              <w:t>collaboration opportunities around the identified needs with particular emphasis on national capacity and SME contributions</w:t>
            </w:r>
            <w:r>
              <w:rPr>
                <w:rFonts w:cs="Arial"/>
                <w:bCs/>
                <w:sz w:val="16"/>
                <w:szCs w:val="16"/>
              </w:rPr>
              <w:t>;  (iii) facilitate the</w:t>
            </w:r>
            <w:r w:rsidRPr="00DB065E">
              <w:rPr>
                <w:rFonts w:cs="Arial"/>
                <w:bCs/>
                <w:sz w:val="16"/>
                <w:szCs w:val="16"/>
              </w:rPr>
              <w:t xml:space="preserve"> development of a technology transfer agreement;  (i</w:t>
            </w:r>
            <w:r>
              <w:rPr>
                <w:rFonts w:cs="Arial"/>
                <w:bCs/>
                <w:sz w:val="16"/>
                <w:szCs w:val="16"/>
              </w:rPr>
              <w:t>v</w:t>
            </w:r>
            <w:r w:rsidRPr="00DB065E">
              <w:rPr>
                <w:rFonts w:cs="Arial"/>
                <w:bCs/>
                <w:sz w:val="16"/>
                <w:szCs w:val="16"/>
              </w:rPr>
              <w:t xml:space="preserve">) </w:t>
            </w:r>
            <w:r>
              <w:rPr>
                <w:rFonts w:cs="Arial"/>
                <w:bCs/>
                <w:sz w:val="16"/>
                <w:szCs w:val="16"/>
              </w:rPr>
              <w:t xml:space="preserve">develop </w:t>
            </w:r>
            <w:r w:rsidRPr="00DB065E">
              <w:rPr>
                <w:rFonts w:cs="Arial"/>
                <w:bCs/>
                <w:sz w:val="16"/>
                <w:szCs w:val="16"/>
              </w:rPr>
              <w:t>a case-study based on the findings and evidence on the technology transfer landscape, also including a part on WIPO GREEN’s contribution to overcoming the challenges</w:t>
            </w:r>
            <w:r>
              <w:rPr>
                <w:rFonts w:cs="Arial"/>
                <w:bCs/>
                <w:sz w:val="16"/>
                <w:szCs w:val="16"/>
              </w:rPr>
              <w:t xml:space="preserve">;  and (v) </w:t>
            </w:r>
            <w:r w:rsidRPr="00DB065E">
              <w:rPr>
                <w:rFonts w:cs="Arial"/>
                <w:bCs/>
                <w:sz w:val="16"/>
                <w:szCs w:val="16"/>
              </w:rPr>
              <w:t xml:space="preserve">showcase WIPO GREEN as an effective marketplace tool for finding and displaying needs and technological solutions.  </w:t>
            </w:r>
          </w:p>
        </w:tc>
      </w:tr>
      <w:tr w:rsidR="008355F0" w:rsidRPr="00DB065E" w:rsidTr="00E92F85">
        <w:trPr>
          <w:cantSplit/>
          <w:trHeight w:val="80"/>
        </w:trPr>
        <w:tc>
          <w:tcPr>
            <w:tcW w:w="1843" w:type="dxa"/>
            <w:gridSpan w:val="3"/>
          </w:tcPr>
          <w:p w:rsidR="008355F0" w:rsidRPr="00DB065E" w:rsidRDefault="008355F0" w:rsidP="003867F8">
            <w:pPr>
              <w:autoSpaceDE w:val="0"/>
              <w:autoSpaceDN w:val="0"/>
              <w:adjustRightInd w:val="0"/>
              <w:spacing w:before="60" w:after="60"/>
              <w:rPr>
                <w:rFonts w:eastAsia="MS Mincho" w:cs="Arial"/>
                <w:color w:val="000000"/>
                <w:sz w:val="16"/>
                <w:szCs w:val="16"/>
                <w:lang w:eastAsia="ja-JP"/>
              </w:rPr>
            </w:pPr>
            <w:r w:rsidRPr="00DB065E">
              <w:rPr>
                <w:rFonts w:cs="Arial"/>
                <w:sz w:val="16"/>
                <w:szCs w:val="16"/>
              </w:rPr>
              <w:t xml:space="preserve">Regional </w:t>
            </w:r>
            <w:r w:rsidRPr="00DB065E">
              <w:rPr>
                <w:rFonts w:cs="Arial"/>
                <w:bCs/>
                <w:sz w:val="16"/>
                <w:szCs w:val="16"/>
              </w:rPr>
              <w:t>Seminar on Facilitating the Transfer and Diffusion of Clean Technology: Opportunities from a Pilot Project on Wastewater Treatment in South East Asia</w:t>
            </w:r>
          </w:p>
        </w:tc>
        <w:tc>
          <w:tcPr>
            <w:tcW w:w="1134" w:type="dxa"/>
          </w:tcPr>
          <w:p w:rsidR="008355F0" w:rsidRPr="00DB065E" w:rsidRDefault="008355F0" w:rsidP="003867F8">
            <w:pPr>
              <w:spacing w:before="60" w:after="60"/>
              <w:rPr>
                <w:rFonts w:eastAsia="MS Mincho" w:cs="Arial"/>
                <w:color w:val="000000"/>
                <w:sz w:val="16"/>
                <w:szCs w:val="16"/>
                <w:lang w:eastAsia="ja-JP"/>
              </w:rPr>
            </w:pPr>
            <w:r w:rsidRPr="00DB065E">
              <w:rPr>
                <w:rFonts w:eastAsia="MS Mincho" w:cs="Arial"/>
                <w:sz w:val="16"/>
                <w:szCs w:val="16"/>
                <w:lang w:eastAsia="ja-JP"/>
              </w:rPr>
              <w:t xml:space="preserve">April 23 </w:t>
            </w:r>
            <w:r>
              <w:rPr>
                <w:rFonts w:eastAsia="MS Mincho" w:cs="Arial"/>
                <w:sz w:val="16"/>
                <w:szCs w:val="16"/>
                <w:lang w:eastAsia="ja-JP"/>
              </w:rPr>
              <w:t>to</w:t>
            </w:r>
            <w:r w:rsidRPr="00DB065E">
              <w:rPr>
                <w:rFonts w:eastAsia="MS Mincho" w:cs="Arial"/>
                <w:sz w:val="16"/>
                <w:szCs w:val="16"/>
                <w:lang w:eastAsia="ja-JP"/>
              </w:rPr>
              <w:t xml:space="preserve"> 24, 2015</w:t>
            </w:r>
          </w:p>
        </w:tc>
        <w:tc>
          <w:tcPr>
            <w:tcW w:w="1985" w:type="dxa"/>
            <w:gridSpan w:val="2"/>
          </w:tcPr>
          <w:p w:rsidR="008355F0" w:rsidRPr="00DB065E" w:rsidRDefault="008355F0" w:rsidP="003867F8">
            <w:pPr>
              <w:autoSpaceDE w:val="0"/>
              <w:autoSpaceDN w:val="0"/>
              <w:adjustRightInd w:val="0"/>
              <w:spacing w:before="60" w:after="60"/>
              <w:rPr>
                <w:rFonts w:eastAsia="MS Mincho" w:cs="Arial"/>
                <w:color w:val="000000"/>
                <w:sz w:val="16"/>
                <w:szCs w:val="16"/>
                <w:lang w:eastAsia="ja-JP"/>
              </w:rPr>
            </w:pPr>
            <w:r w:rsidRPr="00DB065E">
              <w:rPr>
                <w:rFonts w:eastAsia="MS Mincho" w:cs="Arial"/>
                <w:color w:val="000000"/>
                <w:sz w:val="16"/>
                <w:szCs w:val="16"/>
                <w:lang w:eastAsia="ja-JP"/>
              </w:rPr>
              <w:t>Philippines/</w:t>
            </w:r>
            <w:r>
              <w:rPr>
                <w:rFonts w:eastAsia="MS Mincho" w:cs="Arial"/>
                <w:color w:val="000000"/>
                <w:sz w:val="16"/>
                <w:szCs w:val="16"/>
                <w:lang w:eastAsia="ja-JP"/>
              </w:rPr>
              <w:t xml:space="preserve"> </w:t>
            </w:r>
            <w:r w:rsidRPr="00DB065E">
              <w:rPr>
                <w:rFonts w:eastAsia="MS Mincho" w:cs="Arial"/>
                <w:color w:val="000000"/>
                <w:sz w:val="16"/>
                <w:szCs w:val="16"/>
                <w:lang w:eastAsia="ja-JP"/>
              </w:rPr>
              <w:t>Indonesia, Philippines and Viet Nam</w:t>
            </w:r>
          </w:p>
        </w:tc>
        <w:tc>
          <w:tcPr>
            <w:tcW w:w="4536" w:type="dxa"/>
          </w:tcPr>
          <w:p w:rsidR="008355F0" w:rsidRDefault="008355F0" w:rsidP="003867F8">
            <w:pPr>
              <w:tabs>
                <w:tab w:val="left" w:pos="317"/>
              </w:tabs>
              <w:spacing w:before="60" w:after="60"/>
              <w:rPr>
                <w:rFonts w:cs="Arial"/>
                <w:sz w:val="16"/>
                <w:szCs w:val="16"/>
              </w:rPr>
            </w:pPr>
            <w:r w:rsidRPr="00DB065E">
              <w:rPr>
                <w:rFonts w:cs="Arial"/>
                <w:bCs/>
                <w:sz w:val="16"/>
                <w:szCs w:val="16"/>
              </w:rPr>
              <w:t xml:space="preserve">At the end of the project, a Regional Seminar was organized in Manila </w:t>
            </w:r>
            <w:r w:rsidRPr="00DB065E">
              <w:rPr>
                <w:rFonts w:cs="Arial"/>
                <w:sz w:val="16"/>
                <w:szCs w:val="16"/>
                <w:lang w:eastAsia="ja-JP"/>
              </w:rPr>
              <w:t>in cooperation with the Asian Development Bank (ADB) and the Intellectual Property Office of the Philippines (IPOPHL)</w:t>
            </w:r>
            <w:r>
              <w:rPr>
                <w:rFonts w:cs="Arial"/>
                <w:sz w:val="16"/>
                <w:szCs w:val="16"/>
                <w:lang w:eastAsia="ja-JP"/>
              </w:rPr>
              <w:t xml:space="preserve"> </w:t>
            </w:r>
            <w:r w:rsidRPr="00DB065E">
              <w:rPr>
                <w:rFonts w:cs="Arial"/>
                <w:sz w:val="16"/>
                <w:szCs w:val="16"/>
                <w:lang w:eastAsia="ja-JP"/>
              </w:rPr>
              <w:t>with a matchmaking component</w:t>
            </w:r>
            <w:r>
              <w:rPr>
                <w:rFonts w:cs="Arial"/>
                <w:sz w:val="16"/>
                <w:szCs w:val="16"/>
                <w:lang w:eastAsia="ja-JP"/>
              </w:rPr>
              <w:t xml:space="preserve"> in order t</w:t>
            </w:r>
            <w:r w:rsidRPr="00255249">
              <w:rPr>
                <w:rFonts w:cs="Arial"/>
                <w:sz w:val="16"/>
                <w:szCs w:val="16"/>
                <w:lang w:eastAsia="ja-JP"/>
              </w:rPr>
              <w:t>o strengthen the linkage</w:t>
            </w:r>
            <w:r>
              <w:rPr>
                <w:rFonts w:cs="Arial"/>
                <w:sz w:val="16"/>
                <w:szCs w:val="16"/>
                <w:lang w:eastAsia="ja-JP"/>
              </w:rPr>
              <w:t>s</w:t>
            </w:r>
            <w:r w:rsidRPr="00255249">
              <w:rPr>
                <w:rFonts w:cs="Arial"/>
                <w:sz w:val="16"/>
                <w:szCs w:val="16"/>
                <w:lang w:eastAsia="ja-JP"/>
              </w:rPr>
              <w:t xml:space="preserve"> with Climate Technology Centre and Network </w:t>
            </w:r>
            <w:r>
              <w:rPr>
                <w:rFonts w:cs="Arial"/>
                <w:sz w:val="16"/>
                <w:szCs w:val="16"/>
                <w:lang w:eastAsia="ja-JP"/>
              </w:rPr>
              <w:t>(</w:t>
            </w:r>
            <w:r w:rsidRPr="00255249">
              <w:rPr>
                <w:rFonts w:cs="Arial"/>
                <w:sz w:val="16"/>
                <w:szCs w:val="16"/>
                <w:lang w:eastAsia="ja-JP"/>
              </w:rPr>
              <w:t>CTCN</w:t>
            </w:r>
            <w:r>
              <w:rPr>
                <w:rFonts w:cs="Arial"/>
                <w:sz w:val="16"/>
                <w:szCs w:val="16"/>
                <w:lang w:eastAsia="ja-JP"/>
              </w:rPr>
              <w:t>)</w:t>
            </w:r>
            <w:r w:rsidRPr="00255249">
              <w:rPr>
                <w:rFonts w:cs="Arial"/>
                <w:sz w:val="16"/>
                <w:szCs w:val="16"/>
                <w:lang w:eastAsia="ja-JP"/>
              </w:rPr>
              <w:t xml:space="preserve"> and establish strategic contacts with National Designated Entities (NDEs).</w:t>
            </w:r>
          </w:p>
        </w:tc>
      </w:tr>
    </w:tbl>
    <w:p w:rsidR="008355F0" w:rsidRPr="00A61AD8" w:rsidRDefault="008355F0" w:rsidP="003867F8">
      <w:pPr>
        <w:rPr>
          <w:rFonts w:cs="Arial"/>
          <w:b/>
          <w:szCs w:val="16"/>
        </w:rPr>
      </w:pPr>
    </w:p>
    <w:p w:rsidR="008355F0" w:rsidRPr="00A61AD8" w:rsidRDefault="008355F0" w:rsidP="003867F8">
      <w:pPr>
        <w:rPr>
          <w:rFonts w:cs="Arial"/>
          <w:b/>
          <w:szCs w:val="16"/>
        </w:rPr>
      </w:pPr>
    </w:p>
    <w:p w:rsidR="008355F0" w:rsidRPr="00A61AD8" w:rsidRDefault="008355F0" w:rsidP="003867F8">
      <w:pPr>
        <w:rPr>
          <w:rFonts w:cs="Arial"/>
          <w:b/>
          <w:szCs w:val="16"/>
        </w:rPr>
      </w:pPr>
      <w:r w:rsidRPr="00A61AD8">
        <w:rPr>
          <w:rFonts w:cs="Arial"/>
          <w:b/>
          <w:szCs w:val="16"/>
        </w:rPr>
        <w:t>JAPAN/ INDUSTRIAL PROPERTY</w:t>
      </w:r>
    </w:p>
    <w:p w:rsidR="008355F0" w:rsidRPr="00A61AD8" w:rsidRDefault="008355F0" w:rsidP="003867F8">
      <w:pPr>
        <w:rPr>
          <w:rFonts w:cs="Arial"/>
          <w:b/>
          <w:szCs w:val="16"/>
        </w:rPr>
      </w:pPr>
    </w:p>
    <w:tbl>
      <w:tblPr>
        <w:tblW w:w="9508" w:type="dxa"/>
        <w:tblInd w:w="98" w:type="dxa"/>
        <w:tblLook w:val="04A0" w:firstRow="1" w:lastRow="0" w:firstColumn="1" w:lastColumn="0" w:noHBand="0" w:noVBand="1"/>
      </w:tblPr>
      <w:tblGrid>
        <w:gridCol w:w="2040"/>
        <w:gridCol w:w="1640"/>
        <w:gridCol w:w="1860"/>
        <w:gridCol w:w="1780"/>
        <w:gridCol w:w="2188"/>
      </w:tblGrid>
      <w:tr w:rsidR="008355F0" w:rsidRPr="00133C28" w:rsidTr="00E92F85">
        <w:trPr>
          <w:trHeight w:val="450"/>
        </w:trPr>
        <w:tc>
          <w:tcPr>
            <w:tcW w:w="2040" w:type="dxa"/>
            <w:tcBorders>
              <w:top w:val="single" w:sz="8" w:space="0" w:color="auto"/>
              <w:left w:val="single" w:sz="8" w:space="0" w:color="auto"/>
              <w:bottom w:val="nil"/>
              <w:right w:val="single" w:sz="8" w:space="0" w:color="auto"/>
            </w:tcBorders>
            <w:shd w:val="clear" w:color="000000" w:fill="C5D9F1"/>
            <w:vAlign w:val="center"/>
            <w:hideMark/>
          </w:tcPr>
          <w:p w:rsidR="008355F0" w:rsidRPr="00133C28" w:rsidRDefault="008355F0" w:rsidP="003867F8">
            <w:pPr>
              <w:jc w:val="center"/>
              <w:rPr>
                <w:rFonts w:cs="Arial"/>
                <w:b/>
                <w:bCs/>
                <w:color w:val="000000"/>
                <w:sz w:val="16"/>
                <w:szCs w:val="16"/>
              </w:rPr>
            </w:pPr>
            <w:r w:rsidRPr="00133C28">
              <w:rPr>
                <w:rFonts w:cs="Arial"/>
                <w:b/>
                <w:bCs/>
                <w:color w:val="000000"/>
                <w:sz w:val="16"/>
                <w:szCs w:val="16"/>
              </w:rPr>
              <w:t>Balance as of December 31, 2014</w:t>
            </w:r>
          </w:p>
        </w:tc>
        <w:tc>
          <w:tcPr>
            <w:tcW w:w="1640" w:type="dxa"/>
            <w:tcBorders>
              <w:top w:val="single" w:sz="8" w:space="0" w:color="auto"/>
              <w:left w:val="nil"/>
              <w:bottom w:val="nil"/>
              <w:right w:val="single" w:sz="8" w:space="0" w:color="auto"/>
            </w:tcBorders>
            <w:shd w:val="clear" w:color="000000" w:fill="C5D9F1"/>
            <w:vAlign w:val="center"/>
            <w:hideMark/>
          </w:tcPr>
          <w:p w:rsidR="008355F0" w:rsidRPr="00133C28" w:rsidRDefault="008355F0" w:rsidP="003867F8">
            <w:pPr>
              <w:jc w:val="center"/>
              <w:rPr>
                <w:rFonts w:cs="Arial"/>
                <w:b/>
                <w:bCs/>
                <w:color w:val="000000"/>
                <w:sz w:val="16"/>
                <w:szCs w:val="16"/>
              </w:rPr>
            </w:pPr>
            <w:r w:rsidRPr="00133C28">
              <w:rPr>
                <w:rFonts w:cs="Arial"/>
                <w:b/>
                <w:bCs/>
                <w:color w:val="000000"/>
                <w:sz w:val="16"/>
                <w:szCs w:val="16"/>
              </w:rPr>
              <w:t>Income 2015</w:t>
            </w:r>
          </w:p>
        </w:tc>
        <w:tc>
          <w:tcPr>
            <w:tcW w:w="1860" w:type="dxa"/>
            <w:tcBorders>
              <w:top w:val="single" w:sz="8" w:space="0" w:color="auto"/>
              <w:left w:val="nil"/>
              <w:bottom w:val="nil"/>
              <w:right w:val="single" w:sz="8" w:space="0" w:color="auto"/>
            </w:tcBorders>
            <w:shd w:val="clear" w:color="000000" w:fill="C5D9F1"/>
            <w:vAlign w:val="center"/>
            <w:hideMark/>
          </w:tcPr>
          <w:p w:rsidR="008355F0" w:rsidRPr="00133C28" w:rsidRDefault="008355F0" w:rsidP="003867F8">
            <w:pPr>
              <w:jc w:val="center"/>
              <w:rPr>
                <w:rFonts w:cs="Arial"/>
                <w:b/>
                <w:bCs/>
                <w:color w:val="000000"/>
                <w:sz w:val="16"/>
                <w:szCs w:val="16"/>
              </w:rPr>
            </w:pPr>
            <w:r w:rsidRPr="00133C28">
              <w:rPr>
                <w:rFonts w:cs="Arial"/>
                <w:b/>
                <w:bCs/>
                <w:color w:val="000000"/>
                <w:sz w:val="16"/>
                <w:szCs w:val="16"/>
              </w:rPr>
              <w:t>Expenditure 2015</w:t>
            </w:r>
          </w:p>
        </w:tc>
        <w:tc>
          <w:tcPr>
            <w:tcW w:w="1780" w:type="dxa"/>
            <w:tcBorders>
              <w:top w:val="single" w:sz="8" w:space="0" w:color="auto"/>
              <w:left w:val="nil"/>
              <w:bottom w:val="nil"/>
              <w:right w:val="single" w:sz="8" w:space="0" w:color="auto"/>
            </w:tcBorders>
            <w:shd w:val="clear" w:color="000000" w:fill="C5D9F1"/>
            <w:vAlign w:val="center"/>
            <w:hideMark/>
          </w:tcPr>
          <w:p w:rsidR="008355F0" w:rsidRPr="00133C28" w:rsidRDefault="008355F0" w:rsidP="003867F8">
            <w:pPr>
              <w:jc w:val="center"/>
              <w:rPr>
                <w:rFonts w:cs="Arial"/>
                <w:b/>
                <w:bCs/>
                <w:color w:val="000000"/>
                <w:sz w:val="16"/>
                <w:szCs w:val="16"/>
              </w:rPr>
            </w:pPr>
            <w:r w:rsidRPr="00133C28">
              <w:rPr>
                <w:rFonts w:cs="Arial"/>
                <w:b/>
                <w:bCs/>
                <w:color w:val="000000"/>
                <w:sz w:val="16"/>
                <w:szCs w:val="16"/>
              </w:rPr>
              <w:t>Reimbursements</w:t>
            </w:r>
          </w:p>
        </w:tc>
        <w:tc>
          <w:tcPr>
            <w:tcW w:w="2188" w:type="dxa"/>
            <w:tcBorders>
              <w:top w:val="single" w:sz="8" w:space="0" w:color="auto"/>
              <w:left w:val="nil"/>
              <w:bottom w:val="nil"/>
              <w:right w:val="single" w:sz="8" w:space="0" w:color="auto"/>
            </w:tcBorders>
            <w:shd w:val="clear" w:color="000000" w:fill="C5D9F1"/>
            <w:vAlign w:val="center"/>
            <w:hideMark/>
          </w:tcPr>
          <w:p w:rsidR="008355F0" w:rsidRPr="00133C28" w:rsidRDefault="008355F0" w:rsidP="003867F8">
            <w:pPr>
              <w:jc w:val="center"/>
              <w:rPr>
                <w:rFonts w:cs="Arial"/>
                <w:b/>
                <w:bCs/>
                <w:color w:val="000000"/>
                <w:sz w:val="16"/>
                <w:szCs w:val="16"/>
              </w:rPr>
            </w:pPr>
            <w:r w:rsidRPr="00133C28">
              <w:rPr>
                <w:rFonts w:cs="Arial"/>
                <w:b/>
                <w:bCs/>
                <w:color w:val="000000"/>
                <w:sz w:val="16"/>
                <w:szCs w:val="16"/>
              </w:rPr>
              <w:t>Balance as of December</w:t>
            </w:r>
            <w:r>
              <w:rPr>
                <w:rFonts w:cs="Arial"/>
                <w:b/>
                <w:bCs/>
                <w:color w:val="000000"/>
                <w:sz w:val="16"/>
                <w:szCs w:val="16"/>
              </w:rPr>
              <w:t> </w:t>
            </w:r>
            <w:r w:rsidRPr="00133C28">
              <w:rPr>
                <w:rFonts w:cs="Arial"/>
                <w:b/>
                <w:bCs/>
                <w:color w:val="000000"/>
                <w:sz w:val="16"/>
                <w:szCs w:val="16"/>
              </w:rPr>
              <w:t>31, 2015</w:t>
            </w:r>
          </w:p>
        </w:tc>
      </w:tr>
      <w:tr w:rsidR="008355F0" w:rsidRPr="00133C28" w:rsidTr="00E92F85">
        <w:trPr>
          <w:trHeight w:val="255"/>
        </w:trPr>
        <w:tc>
          <w:tcPr>
            <w:tcW w:w="20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55F0" w:rsidRPr="00133C28" w:rsidRDefault="008355F0" w:rsidP="003867F8">
            <w:pPr>
              <w:jc w:val="center"/>
              <w:rPr>
                <w:rFonts w:cs="Arial"/>
                <w:color w:val="000000"/>
                <w:sz w:val="16"/>
                <w:szCs w:val="16"/>
              </w:rPr>
            </w:pPr>
            <w:r w:rsidRPr="00133C28">
              <w:rPr>
                <w:rFonts w:cs="Arial"/>
                <w:color w:val="000000"/>
                <w:sz w:val="16"/>
                <w:szCs w:val="16"/>
              </w:rPr>
              <w:t>4,912,335</w:t>
            </w:r>
          </w:p>
        </w:tc>
        <w:tc>
          <w:tcPr>
            <w:tcW w:w="1640" w:type="dxa"/>
            <w:tcBorders>
              <w:top w:val="single" w:sz="4" w:space="0" w:color="auto"/>
              <w:left w:val="nil"/>
              <w:bottom w:val="single" w:sz="4" w:space="0" w:color="auto"/>
              <w:right w:val="single" w:sz="4" w:space="0" w:color="auto"/>
            </w:tcBorders>
            <w:shd w:val="clear" w:color="auto" w:fill="auto"/>
            <w:vAlign w:val="center"/>
            <w:hideMark/>
          </w:tcPr>
          <w:p w:rsidR="008355F0" w:rsidRPr="00133C28" w:rsidRDefault="008355F0" w:rsidP="003867F8">
            <w:pPr>
              <w:jc w:val="center"/>
              <w:rPr>
                <w:rFonts w:cs="Arial"/>
                <w:color w:val="000000"/>
                <w:sz w:val="16"/>
                <w:szCs w:val="16"/>
              </w:rPr>
            </w:pPr>
            <w:r w:rsidRPr="00133C28">
              <w:rPr>
                <w:rFonts w:cs="Arial"/>
                <w:color w:val="000000"/>
                <w:sz w:val="16"/>
                <w:szCs w:val="16"/>
              </w:rPr>
              <w:t>3,828,469</w:t>
            </w:r>
          </w:p>
        </w:tc>
        <w:tc>
          <w:tcPr>
            <w:tcW w:w="1860" w:type="dxa"/>
            <w:tcBorders>
              <w:top w:val="single" w:sz="4" w:space="0" w:color="auto"/>
              <w:left w:val="nil"/>
              <w:bottom w:val="single" w:sz="4" w:space="0" w:color="auto"/>
              <w:right w:val="single" w:sz="4" w:space="0" w:color="auto"/>
            </w:tcBorders>
            <w:shd w:val="clear" w:color="auto" w:fill="auto"/>
            <w:vAlign w:val="center"/>
            <w:hideMark/>
          </w:tcPr>
          <w:p w:rsidR="008355F0" w:rsidRPr="00133C28" w:rsidRDefault="008355F0" w:rsidP="003867F8">
            <w:pPr>
              <w:jc w:val="center"/>
              <w:rPr>
                <w:rFonts w:cs="Arial"/>
                <w:color w:val="000000"/>
                <w:sz w:val="16"/>
                <w:szCs w:val="16"/>
              </w:rPr>
            </w:pPr>
            <w:r w:rsidRPr="00133C28">
              <w:rPr>
                <w:rFonts w:cs="Arial"/>
                <w:color w:val="000000"/>
                <w:sz w:val="16"/>
                <w:szCs w:val="16"/>
              </w:rPr>
              <w:t>3,770,805</w:t>
            </w:r>
          </w:p>
        </w:tc>
        <w:tc>
          <w:tcPr>
            <w:tcW w:w="1780" w:type="dxa"/>
            <w:tcBorders>
              <w:top w:val="single" w:sz="4" w:space="0" w:color="auto"/>
              <w:left w:val="nil"/>
              <w:bottom w:val="single" w:sz="4" w:space="0" w:color="auto"/>
              <w:right w:val="single" w:sz="4" w:space="0" w:color="auto"/>
            </w:tcBorders>
            <w:shd w:val="clear" w:color="auto" w:fill="auto"/>
            <w:noWrap/>
            <w:vAlign w:val="center"/>
            <w:hideMark/>
          </w:tcPr>
          <w:p w:rsidR="008355F0" w:rsidRPr="00133C28" w:rsidRDefault="008355F0" w:rsidP="003867F8">
            <w:pPr>
              <w:jc w:val="center"/>
              <w:rPr>
                <w:rFonts w:cs="Arial"/>
                <w:color w:val="000000"/>
                <w:sz w:val="16"/>
                <w:szCs w:val="16"/>
              </w:rPr>
            </w:pPr>
            <w:r>
              <w:rPr>
                <w:rFonts w:cs="Arial"/>
                <w:color w:val="000000"/>
                <w:sz w:val="16"/>
                <w:szCs w:val="16"/>
              </w:rPr>
              <w:t>-</w:t>
            </w:r>
          </w:p>
        </w:tc>
        <w:tc>
          <w:tcPr>
            <w:tcW w:w="2188" w:type="dxa"/>
            <w:tcBorders>
              <w:top w:val="single" w:sz="4" w:space="0" w:color="auto"/>
              <w:left w:val="nil"/>
              <w:bottom w:val="single" w:sz="4" w:space="0" w:color="auto"/>
              <w:right w:val="single" w:sz="4" w:space="0" w:color="auto"/>
            </w:tcBorders>
            <w:shd w:val="clear" w:color="auto" w:fill="auto"/>
            <w:vAlign w:val="center"/>
            <w:hideMark/>
          </w:tcPr>
          <w:p w:rsidR="008355F0" w:rsidRPr="00133C28" w:rsidRDefault="008355F0" w:rsidP="003867F8">
            <w:pPr>
              <w:jc w:val="center"/>
              <w:rPr>
                <w:rFonts w:cs="Arial"/>
                <w:color w:val="000000"/>
                <w:sz w:val="16"/>
                <w:szCs w:val="16"/>
              </w:rPr>
            </w:pPr>
            <w:r w:rsidRPr="00133C28">
              <w:rPr>
                <w:rFonts w:cs="Arial"/>
                <w:color w:val="000000"/>
                <w:sz w:val="16"/>
                <w:szCs w:val="16"/>
              </w:rPr>
              <w:t>4,969,999</w:t>
            </w:r>
          </w:p>
        </w:tc>
      </w:tr>
    </w:tbl>
    <w:p w:rsidR="008355F0" w:rsidRDefault="008355F0" w:rsidP="003867F8">
      <w:pPr>
        <w:rPr>
          <w:rFonts w:cs="Arial"/>
          <w:b/>
          <w:szCs w:val="20"/>
        </w:rPr>
      </w:pPr>
    </w:p>
    <w:p w:rsidR="008355F0" w:rsidRPr="0079484F" w:rsidRDefault="008355F0" w:rsidP="003867F8">
      <w:pPr>
        <w:keepNext/>
        <w:keepLines/>
        <w:spacing w:before="120"/>
        <w:rPr>
          <w:rFonts w:cs="Arial"/>
          <w:b/>
          <w:szCs w:val="16"/>
        </w:rPr>
      </w:pPr>
      <w:r w:rsidRPr="0079484F">
        <w:rPr>
          <w:rFonts w:cs="Arial"/>
          <w:b/>
          <w:szCs w:val="16"/>
        </w:rPr>
        <w:t>JAPAN/IP/AFRICA-LDCs</w:t>
      </w:r>
    </w:p>
    <w:p w:rsidR="008355F0" w:rsidRPr="00A61AD8" w:rsidRDefault="008355F0" w:rsidP="003867F8">
      <w:pPr>
        <w:keepNext/>
        <w:keepLines/>
        <w:rPr>
          <w:rFonts w:cs="Arial"/>
          <w:b/>
          <w:szCs w:val="16"/>
        </w:rPr>
      </w:pPr>
    </w:p>
    <w:tbl>
      <w:tblPr>
        <w:tblW w:w="9498" w:type="dxa"/>
        <w:tblInd w:w="10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43"/>
        <w:gridCol w:w="1134"/>
        <w:gridCol w:w="1985"/>
        <w:gridCol w:w="4536"/>
      </w:tblGrid>
      <w:tr w:rsidR="008355F0" w:rsidRPr="0079484F" w:rsidTr="00E92F85">
        <w:trPr>
          <w:cantSplit/>
          <w:trHeight w:val="315"/>
        </w:trPr>
        <w:tc>
          <w:tcPr>
            <w:tcW w:w="9498" w:type="dxa"/>
            <w:gridSpan w:val="4"/>
            <w:tcBorders>
              <w:top w:val="single" w:sz="4" w:space="0" w:color="000000"/>
              <w:bottom w:val="single" w:sz="4" w:space="0" w:color="000000"/>
            </w:tcBorders>
            <w:shd w:val="clear" w:color="auto" w:fill="C6D9F1" w:themeFill="text2" w:themeFillTint="33"/>
          </w:tcPr>
          <w:p w:rsidR="008355F0" w:rsidRPr="0079484F" w:rsidRDefault="008355F0" w:rsidP="003867F8">
            <w:pPr>
              <w:keepNext/>
              <w:keepLines/>
              <w:tabs>
                <w:tab w:val="left" w:pos="1740"/>
              </w:tabs>
              <w:spacing w:before="120" w:after="120"/>
              <w:ind w:left="1740" w:hanging="1740"/>
              <w:rPr>
                <w:rFonts w:cs="Arial"/>
                <w:color w:val="000000"/>
                <w:sz w:val="16"/>
                <w:szCs w:val="16"/>
              </w:rPr>
            </w:pPr>
            <w:r w:rsidRPr="0079484F">
              <w:rPr>
                <w:rFonts w:cs="Arial"/>
                <w:b/>
                <w:bCs/>
                <w:color w:val="000000"/>
                <w:sz w:val="16"/>
                <w:szCs w:val="16"/>
              </w:rPr>
              <w:t>RESULT</w:t>
            </w:r>
            <w:r w:rsidRPr="0079484F">
              <w:rPr>
                <w:rFonts w:cs="Arial"/>
                <w:bCs/>
                <w:sz w:val="16"/>
                <w:szCs w:val="16"/>
                <w:lang w:val="en-AU"/>
              </w:rPr>
              <w:t>:</w:t>
            </w:r>
            <w:r w:rsidRPr="0079484F">
              <w:rPr>
                <w:rFonts w:cs="Arial"/>
                <w:bCs/>
                <w:sz w:val="16"/>
                <w:szCs w:val="16"/>
                <w:lang w:val="en-AU"/>
              </w:rPr>
              <w:tab/>
              <w:t>III.1. National innovation and IP strategies and plans consistent with national development objectives</w:t>
            </w:r>
          </w:p>
        </w:tc>
      </w:tr>
      <w:tr w:rsidR="008355F0" w:rsidRPr="0079484F" w:rsidTr="00E92F85">
        <w:trPr>
          <w:cantSplit/>
          <w:trHeight w:val="402"/>
        </w:trPr>
        <w:tc>
          <w:tcPr>
            <w:tcW w:w="1843" w:type="dxa"/>
            <w:tcBorders>
              <w:top w:val="single" w:sz="4" w:space="0" w:color="000000"/>
            </w:tcBorders>
            <w:vAlign w:val="center"/>
          </w:tcPr>
          <w:p w:rsidR="008355F0" w:rsidRPr="0079484F" w:rsidRDefault="008355F0" w:rsidP="003867F8">
            <w:pPr>
              <w:keepNext/>
              <w:keepLines/>
              <w:spacing w:before="60" w:after="60"/>
              <w:rPr>
                <w:rFonts w:cs="Arial"/>
                <w:b/>
                <w:bCs/>
                <w:sz w:val="16"/>
                <w:szCs w:val="16"/>
              </w:rPr>
            </w:pPr>
            <w:r w:rsidRPr="0079484F">
              <w:rPr>
                <w:rFonts w:cs="Arial"/>
                <w:b/>
                <w:bCs/>
                <w:sz w:val="16"/>
                <w:szCs w:val="16"/>
              </w:rPr>
              <w:t>Activity</w:t>
            </w:r>
          </w:p>
        </w:tc>
        <w:tc>
          <w:tcPr>
            <w:tcW w:w="1134" w:type="dxa"/>
            <w:tcBorders>
              <w:top w:val="single" w:sz="4" w:space="0" w:color="000000"/>
            </w:tcBorders>
            <w:vAlign w:val="center"/>
          </w:tcPr>
          <w:p w:rsidR="008355F0" w:rsidRPr="0079484F" w:rsidRDefault="008355F0" w:rsidP="003867F8">
            <w:pPr>
              <w:keepNext/>
              <w:keepLines/>
              <w:spacing w:before="60" w:after="60"/>
              <w:rPr>
                <w:rFonts w:cs="Arial"/>
                <w:sz w:val="16"/>
                <w:szCs w:val="16"/>
              </w:rPr>
            </w:pPr>
            <w:r w:rsidRPr="0079484F">
              <w:rPr>
                <w:rFonts w:cs="Arial"/>
                <w:b/>
                <w:bCs/>
                <w:sz w:val="16"/>
                <w:szCs w:val="16"/>
              </w:rPr>
              <w:t>Date</w:t>
            </w:r>
          </w:p>
        </w:tc>
        <w:tc>
          <w:tcPr>
            <w:tcW w:w="1985" w:type="dxa"/>
            <w:tcBorders>
              <w:top w:val="single" w:sz="4" w:space="0" w:color="000000"/>
            </w:tcBorders>
            <w:vAlign w:val="center"/>
          </w:tcPr>
          <w:p w:rsidR="008355F0" w:rsidRPr="0079484F" w:rsidRDefault="008355F0" w:rsidP="003867F8">
            <w:pPr>
              <w:keepNext/>
              <w:keepLines/>
              <w:spacing w:before="60" w:after="60"/>
              <w:rPr>
                <w:rFonts w:cs="Arial"/>
                <w:sz w:val="16"/>
                <w:szCs w:val="16"/>
              </w:rPr>
            </w:pPr>
            <w:r w:rsidRPr="0079484F">
              <w:rPr>
                <w:rFonts w:cs="Arial"/>
                <w:b/>
                <w:bCs/>
                <w:sz w:val="16"/>
                <w:szCs w:val="16"/>
              </w:rPr>
              <w:t>Host Country/</w:t>
            </w:r>
            <w:r w:rsidRPr="0079484F">
              <w:rPr>
                <w:rFonts w:cs="Arial"/>
                <w:b/>
                <w:bCs/>
                <w:sz w:val="16"/>
                <w:szCs w:val="16"/>
              </w:rPr>
              <w:br/>
              <w:t>Recipients</w:t>
            </w:r>
          </w:p>
        </w:tc>
        <w:tc>
          <w:tcPr>
            <w:tcW w:w="4536" w:type="dxa"/>
            <w:tcBorders>
              <w:top w:val="single" w:sz="4" w:space="0" w:color="000000"/>
            </w:tcBorders>
            <w:vAlign w:val="center"/>
          </w:tcPr>
          <w:p w:rsidR="008355F0" w:rsidRPr="0079484F" w:rsidRDefault="008355F0" w:rsidP="003867F8">
            <w:pPr>
              <w:keepNext/>
              <w:keepLines/>
              <w:spacing w:before="60" w:after="60"/>
              <w:rPr>
                <w:rFonts w:cs="Arial"/>
                <w:sz w:val="16"/>
                <w:szCs w:val="16"/>
              </w:rPr>
            </w:pPr>
            <w:r w:rsidRPr="0079484F">
              <w:rPr>
                <w:rFonts w:cs="Arial"/>
                <w:b/>
                <w:bCs/>
                <w:sz w:val="16"/>
                <w:szCs w:val="16"/>
              </w:rPr>
              <w:t>Purpose(s)/Description(s)</w:t>
            </w:r>
          </w:p>
        </w:tc>
      </w:tr>
      <w:tr w:rsidR="008355F0" w:rsidRPr="0079484F" w:rsidTr="00E92F85">
        <w:trPr>
          <w:cantSplit/>
          <w:trHeight w:val="315"/>
        </w:trPr>
        <w:tc>
          <w:tcPr>
            <w:tcW w:w="1843" w:type="dxa"/>
          </w:tcPr>
          <w:p w:rsidR="008355F0" w:rsidRPr="0079484F" w:rsidRDefault="008355F0" w:rsidP="003867F8">
            <w:pPr>
              <w:keepNext/>
              <w:keepLines/>
              <w:autoSpaceDE w:val="0"/>
              <w:autoSpaceDN w:val="0"/>
              <w:adjustRightInd w:val="0"/>
              <w:spacing w:before="60" w:after="60"/>
              <w:rPr>
                <w:rFonts w:cs="Arial"/>
                <w:color w:val="000000"/>
                <w:sz w:val="16"/>
                <w:szCs w:val="16"/>
              </w:rPr>
            </w:pPr>
            <w:r w:rsidRPr="0079484F">
              <w:rPr>
                <w:rFonts w:cs="Arial"/>
                <w:color w:val="000000"/>
                <w:sz w:val="16"/>
                <w:szCs w:val="16"/>
              </w:rPr>
              <w:t xml:space="preserve">Stakeholder Meeting for Integrating IP Innovation Policies </w:t>
            </w:r>
          </w:p>
        </w:tc>
        <w:tc>
          <w:tcPr>
            <w:tcW w:w="1134" w:type="dxa"/>
          </w:tcPr>
          <w:p w:rsidR="008355F0" w:rsidRPr="0079484F" w:rsidRDefault="008355F0" w:rsidP="003867F8">
            <w:pPr>
              <w:keepNext/>
              <w:keepLines/>
              <w:autoSpaceDE w:val="0"/>
              <w:autoSpaceDN w:val="0"/>
              <w:adjustRightInd w:val="0"/>
              <w:spacing w:before="60" w:after="60"/>
              <w:rPr>
                <w:rFonts w:cs="Arial"/>
                <w:color w:val="000000"/>
                <w:sz w:val="16"/>
                <w:szCs w:val="16"/>
              </w:rPr>
            </w:pPr>
            <w:r w:rsidRPr="0079484F">
              <w:rPr>
                <w:rFonts w:cs="Arial"/>
                <w:color w:val="000000"/>
                <w:sz w:val="16"/>
                <w:szCs w:val="16"/>
              </w:rPr>
              <w:t xml:space="preserve">May 4 </w:t>
            </w:r>
            <w:r>
              <w:rPr>
                <w:rFonts w:cs="Arial"/>
                <w:color w:val="000000"/>
                <w:sz w:val="16"/>
                <w:szCs w:val="16"/>
              </w:rPr>
              <w:t xml:space="preserve">to </w:t>
            </w:r>
            <w:r w:rsidRPr="0079484F">
              <w:rPr>
                <w:rFonts w:cs="Arial"/>
                <w:color w:val="000000"/>
                <w:sz w:val="16"/>
                <w:szCs w:val="16"/>
              </w:rPr>
              <w:t>5, 2015</w:t>
            </w:r>
          </w:p>
        </w:tc>
        <w:tc>
          <w:tcPr>
            <w:tcW w:w="1985" w:type="dxa"/>
          </w:tcPr>
          <w:p w:rsidR="008355F0" w:rsidRPr="0079484F" w:rsidRDefault="008355F0" w:rsidP="003867F8">
            <w:pPr>
              <w:keepNext/>
              <w:keepLines/>
              <w:autoSpaceDE w:val="0"/>
              <w:autoSpaceDN w:val="0"/>
              <w:adjustRightInd w:val="0"/>
              <w:spacing w:before="60" w:after="60"/>
              <w:rPr>
                <w:rFonts w:cs="Arial"/>
                <w:color w:val="000000"/>
                <w:sz w:val="16"/>
                <w:szCs w:val="16"/>
              </w:rPr>
            </w:pPr>
            <w:r w:rsidRPr="0079484F">
              <w:rPr>
                <w:rFonts w:cs="Arial"/>
                <w:color w:val="000000"/>
                <w:sz w:val="16"/>
                <w:szCs w:val="16"/>
              </w:rPr>
              <w:t>Rwanda</w:t>
            </w:r>
          </w:p>
        </w:tc>
        <w:tc>
          <w:tcPr>
            <w:tcW w:w="4536" w:type="dxa"/>
          </w:tcPr>
          <w:p w:rsidR="008355F0" w:rsidRPr="0079484F" w:rsidRDefault="008355F0" w:rsidP="003867F8">
            <w:pPr>
              <w:keepNext/>
              <w:keepLines/>
              <w:autoSpaceDE w:val="0"/>
              <w:autoSpaceDN w:val="0"/>
              <w:adjustRightInd w:val="0"/>
              <w:spacing w:before="60" w:after="60"/>
              <w:rPr>
                <w:rFonts w:cs="Arial"/>
                <w:color w:val="000000"/>
                <w:sz w:val="16"/>
                <w:szCs w:val="16"/>
              </w:rPr>
            </w:pPr>
            <w:r w:rsidRPr="0079484F">
              <w:rPr>
                <w:rFonts w:cs="Arial"/>
                <w:color w:val="000000"/>
                <w:sz w:val="16"/>
                <w:szCs w:val="16"/>
              </w:rPr>
              <w:t>To present the findings and conclusions of a report on Integrating IP into Innovation Policy Formulation in Rwanda to the innovation system stakeholders of the country for their consideration and validation.</w:t>
            </w:r>
          </w:p>
        </w:tc>
      </w:tr>
      <w:tr w:rsidR="008355F0" w:rsidRPr="0079484F" w:rsidTr="00E92F85">
        <w:trPr>
          <w:cantSplit/>
          <w:trHeight w:val="315"/>
        </w:trPr>
        <w:tc>
          <w:tcPr>
            <w:tcW w:w="1843" w:type="dxa"/>
          </w:tcPr>
          <w:p w:rsidR="008355F0" w:rsidRPr="0079484F" w:rsidRDefault="008355F0" w:rsidP="003867F8">
            <w:pPr>
              <w:keepNext/>
              <w:keepLines/>
              <w:autoSpaceDE w:val="0"/>
              <w:autoSpaceDN w:val="0"/>
              <w:adjustRightInd w:val="0"/>
              <w:spacing w:before="60" w:after="60"/>
              <w:rPr>
                <w:rFonts w:cs="Arial"/>
                <w:color w:val="000000"/>
                <w:sz w:val="16"/>
                <w:szCs w:val="16"/>
              </w:rPr>
            </w:pPr>
            <w:r w:rsidRPr="0079484F">
              <w:rPr>
                <w:rFonts w:cs="Arial"/>
                <w:color w:val="000000"/>
                <w:sz w:val="16"/>
                <w:szCs w:val="16"/>
              </w:rPr>
              <w:t>African Ministerial Conference 2015: Intellectual Property (IP) for an Emerging Africa</w:t>
            </w:r>
          </w:p>
        </w:tc>
        <w:tc>
          <w:tcPr>
            <w:tcW w:w="1134" w:type="dxa"/>
          </w:tcPr>
          <w:p w:rsidR="008355F0" w:rsidRPr="0079484F" w:rsidRDefault="008355F0" w:rsidP="003867F8">
            <w:pPr>
              <w:keepNext/>
              <w:keepLines/>
              <w:autoSpaceDE w:val="0"/>
              <w:autoSpaceDN w:val="0"/>
              <w:adjustRightInd w:val="0"/>
              <w:spacing w:before="60" w:after="60"/>
              <w:rPr>
                <w:rFonts w:cs="Arial"/>
                <w:color w:val="000000"/>
                <w:sz w:val="16"/>
                <w:szCs w:val="16"/>
              </w:rPr>
            </w:pPr>
            <w:r w:rsidRPr="0079484F">
              <w:rPr>
                <w:rFonts w:cs="Arial"/>
                <w:color w:val="000000"/>
                <w:sz w:val="16"/>
                <w:szCs w:val="16"/>
              </w:rPr>
              <w:t>November 3 to 5, 2015</w:t>
            </w:r>
          </w:p>
        </w:tc>
        <w:tc>
          <w:tcPr>
            <w:tcW w:w="1985" w:type="dxa"/>
          </w:tcPr>
          <w:p w:rsidR="008355F0" w:rsidRPr="0079484F" w:rsidRDefault="008355F0" w:rsidP="003867F8">
            <w:pPr>
              <w:keepNext/>
              <w:keepLines/>
              <w:autoSpaceDE w:val="0"/>
              <w:autoSpaceDN w:val="0"/>
              <w:adjustRightInd w:val="0"/>
              <w:spacing w:before="60" w:after="60"/>
              <w:rPr>
                <w:rFonts w:cs="Arial"/>
                <w:color w:val="000000"/>
                <w:sz w:val="16"/>
                <w:szCs w:val="16"/>
              </w:rPr>
            </w:pPr>
            <w:r w:rsidRPr="0079484F">
              <w:rPr>
                <w:rFonts w:cs="Arial"/>
                <w:color w:val="000000"/>
                <w:sz w:val="16"/>
                <w:szCs w:val="16"/>
              </w:rPr>
              <w:t>Senegal/</w:t>
            </w:r>
            <w:r>
              <w:rPr>
                <w:rFonts w:cs="Arial"/>
                <w:sz w:val="16"/>
                <w:szCs w:val="16"/>
              </w:rPr>
              <w:t xml:space="preserve"> </w:t>
            </w:r>
            <w:r w:rsidRPr="0079484F">
              <w:rPr>
                <w:rFonts w:cs="Arial"/>
                <w:color w:val="000000"/>
                <w:sz w:val="16"/>
                <w:szCs w:val="16"/>
              </w:rPr>
              <w:t>400 participants, including around 50 African ministers</w:t>
            </w:r>
          </w:p>
        </w:tc>
        <w:tc>
          <w:tcPr>
            <w:tcW w:w="4536" w:type="dxa"/>
          </w:tcPr>
          <w:p w:rsidR="008355F0" w:rsidRPr="0079484F" w:rsidRDefault="008355F0" w:rsidP="003867F8">
            <w:pPr>
              <w:keepNext/>
              <w:keepLines/>
              <w:autoSpaceDE w:val="0"/>
              <w:autoSpaceDN w:val="0"/>
              <w:adjustRightInd w:val="0"/>
              <w:spacing w:before="60" w:after="60"/>
              <w:rPr>
                <w:rFonts w:cs="Arial"/>
                <w:color w:val="000000"/>
                <w:sz w:val="16"/>
                <w:szCs w:val="16"/>
              </w:rPr>
            </w:pPr>
            <w:r w:rsidRPr="0079484F">
              <w:rPr>
                <w:rFonts w:cs="Arial"/>
                <w:color w:val="000000"/>
                <w:sz w:val="16"/>
                <w:szCs w:val="16"/>
              </w:rPr>
              <w:t>To</w:t>
            </w:r>
            <w:r>
              <w:rPr>
                <w:rFonts w:cs="Arial"/>
                <w:color w:val="000000"/>
                <w:sz w:val="16"/>
                <w:szCs w:val="16"/>
              </w:rPr>
              <w:t>:  (i)</w:t>
            </w:r>
            <w:r w:rsidRPr="0079484F">
              <w:rPr>
                <w:rFonts w:cs="Arial"/>
                <w:color w:val="000000"/>
                <w:sz w:val="16"/>
                <w:szCs w:val="16"/>
              </w:rPr>
              <w:t xml:space="preserve"> highlight the relevance of IP as a tool for the transformation of African economies through science, technology and innovation;</w:t>
            </w:r>
            <w:r>
              <w:rPr>
                <w:rFonts w:cs="Arial"/>
                <w:color w:val="000000"/>
                <w:sz w:val="16"/>
                <w:szCs w:val="16"/>
              </w:rPr>
              <w:t xml:space="preserve">  </w:t>
            </w:r>
            <w:r w:rsidRPr="0079484F">
              <w:rPr>
                <w:rFonts w:cs="Arial"/>
                <w:color w:val="000000"/>
                <w:sz w:val="16"/>
                <w:szCs w:val="16"/>
              </w:rPr>
              <w:t xml:space="preserve">and </w:t>
            </w:r>
            <w:r>
              <w:rPr>
                <w:rFonts w:cs="Arial"/>
                <w:color w:val="000000"/>
                <w:sz w:val="16"/>
                <w:szCs w:val="16"/>
              </w:rPr>
              <w:t xml:space="preserve">(ii) </w:t>
            </w:r>
            <w:r w:rsidRPr="0079484F">
              <w:rPr>
                <w:rFonts w:cs="Arial"/>
                <w:color w:val="000000"/>
                <w:sz w:val="16"/>
                <w:szCs w:val="16"/>
              </w:rPr>
              <w:t>to provide a forum for African policy makers and regional experts to meet and share view</w:t>
            </w:r>
            <w:r>
              <w:rPr>
                <w:rFonts w:cs="Arial"/>
                <w:color w:val="000000"/>
                <w:sz w:val="16"/>
                <w:szCs w:val="16"/>
              </w:rPr>
              <w:t>s</w:t>
            </w:r>
            <w:r w:rsidRPr="0079484F">
              <w:rPr>
                <w:rFonts w:cs="Arial"/>
                <w:color w:val="000000"/>
                <w:sz w:val="16"/>
                <w:szCs w:val="16"/>
              </w:rPr>
              <w:t xml:space="preserve"> on how to make use of options available in the IP system to promote innovation and creativity for economic transformation.</w:t>
            </w:r>
          </w:p>
        </w:tc>
      </w:tr>
      <w:tr w:rsidR="008355F0" w:rsidRPr="0079484F" w:rsidTr="00E92F85">
        <w:trPr>
          <w:cantSplit/>
          <w:trHeight w:val="315"/>
        </w:trPr>
        <w:tc>
          <w:tcPr>
            <w:tcW w:w="9498" w:type="dxa"/>
            <w:gridSpan w:val="4"/>
            <w:tcBorders>
              <w:top w:val="single" w:sz="4" w:space="0" w:color="000000"/>
              <w:bottom w:val="single" w:sz="4" w:space="0" w:color="auto"/>
            </w:tcBorders>
            <w:shd w:val="clear" w:color="auto" w:fill="C6D9F1" w:themeFill="text2" w:themeFillTint="33"/>
          </w:tcPr>
          <w:p w:rsidR="008355F0" w:rsidRPr="0079484F" w:rsidRDefault="008355F0" w:rsidP="003867F8">
            <w:pPr>
              <w:keepNext/>
              <w:keepLines/>
              <w:tabs>
                <w:tab w:val="left" w:pos="1740"/>
              </w:tabs>
              <w:spacing w:before="120" w:after="120"/>
              <w:ind w:left="1740" w:hanging="1740"/>
              <w:rPr>
                <w:rFonts w:cs="Arial"/>
                <w:color w:val="000000"/>
                <w:sz w:val="16"/>
                <w:szCs w:val="16"/>
              </w:rPr>
            </w:pPr>
            <w:r w:rsidRPr="0079484F">
              <w:rPr>
                <w:rFonts w:cs="Arial"/>
                <w:b/>
                <w:bCs/>
                <w:color w:val="000000"/>
                <w:sz w:val="16"/>
                <w:szCs w:val="16"/>
              </w:rPr>
              <w:t>RESULT</w:t>
            </w:r>
            <w:r w:rsidRPr="0079484F">
              <w:rPr>
                <w:rFonts w:cs="Arial"/>
                <w:bCs/>
                <w:sz w:val="16"/>
                <w:szCs w:val="16"/>
                <w:lang w:val="en-AU"/>
              </w:rPr>
              <w:t>:</w:t>
            </w:r>
            <w:r w:rsidRPr="0079484F">
              <w:rPr>
                <w:rFonts w:cs="Arial"/>
                <w:bCs/>
                <w:sz w:val="16"/>
                <w:szCs w:val="16"/>
                <w:lang w:val="en-AU"/>
              </w:rPr>
              <w:tab/>
              <w:t>III.2. Enhanced human resource capacities able to deal with the broad range of requirements for the effective use of IP for development in developing countries, LDCs and countries with economies in transition</w:t>
            </w:r>
          </w:p>
        </w:tc>
      </w:tr>
      <w:tr w:rsidR="008355F0" w:rsidRPr="0079484F" w:rsidTr="00E92F85">
        <w:trPr>
          <w:cantSplit/>
          <w:trHeight w:val="429"/>
        </w:trPr>
        <w:tc>
          <w:tcPr>
            <w:tcW w:w="1843" w:type="dxa"/>
            <w:tcBorders>
              <w:top w:val="single" w:sz="4" w:space="0" w:color="auto"/>
              <w:left w:val="single" w:sz="4" w:space="0" w:color="auto"/>
              <w:bottom w:val="nil"/>
            </w:tcBorders>
            <w:vAlign w:val="center"/>
          </w:tcPr>
          <w:p w:rsidR="008355F0" w:rsidRPr="0079484F" w:rsidRDefault="008355F0" w:rsidP="003867F8">
            <w:pPr>
              <w:keepNext/>
              <w:keepLines/>
              <w:spacing w:before="60" w:after="60"/>
              <w:rPr>
                <w:rFonts w:cs="Arial"/>
                <w:b/>
                <w:bCs/>
                <w:sz w:val="16"/>
                <w:szCs w:val="16"/>
              </w:rPr>
            </w:pPr>
            <w:r w:rsidRPr="0079484F">
              <w:rPr>
                <w:rFonts w:cs="Arial"/>
                <w:b/>
                <w:bCs/>
                <w:sz w:val="16"/>
                <w:szCs w:val="16"/>
              </w:rPr>
              <w:t>Activity</w:t>
            </w:r>
          </w:p>
        </w:tc>
        <w:tc>
          <w:tcPr>
            <w:tcW w:w="1134" w:type="dxa"/>
            <w:tcBorders>
              <w:top w:val="single" w:sz="4" w:space="0" w:color="auto"/>
              <w:bottom w:val="nil"/>
            </w:tcBorders>
            <w:vAlign w:val="center"/>
          </w:tcPr>
          <w:p w:rsidR="008355F0" w:rsidRPr="0079484F" w:rsidRDefault="008355F0" w:rsidP="003867F8">
            <w:pPr>
              <w:keepNext/>
              <w:keepLines/>
              <w:spacing w:before="60" w:after="60"/>
              <w:rPr>
                <w:rFonts w:cs="Arial"/>
                <w:sz w:val="16"/>
                <w:szCs w:val="16"/>
              </w:rPr>
            </w:pPr>
            <w:r w:rsidRPr="0079484F">
              <w:rPr>
                <w:rFonts w:cs="Arial"/>
                <w:b/>
                <w:bCs/>
                <w:sz w:val="16"/>
                <w:szCs w:val="16"/>
              </w:rPr>
              <w:t>Date</w:t>
            </w:r>
          </w:p>
        </w:tc>
        <w:tc>
          <w:tcPr>
            <w:tcW w:w="1985" w:type="dxa"/>
            <w:tcBorders>
              <w:top w:val="single" w:sz="4" w:space="0" w:color="auto"/>
              <w:bottom w:val="nil"/>
            </w:tcBorders>
            <w:vAlign w:val="center"/>
          </w:tcPr>
          <w:p w:rsidR="008355F0" w:rsidRPr="0079484F" w:rsidRDefault="008355F0" w:rsidP="003867F8">
            <w:pPr>
              <w:keepNext/>
              <w:keepLines/>
              <w:spacing w:before="60" w:after="60"/>
              <w:rPr>
                <w:rFonts w:cs="Arial"/>
                <w:sz w:val="16"/>
                <w:szCs w:val="16"/>
              </w:rPr>
            </w:pPr>
            <w:r w:rsidRPr="0079484F">
              <w:rPr>
                <w:rFonts w:cs="Arial"/>
                <w:b/>
                <w:bCs/>
                <w:sz w:val="16"/>
                <w:szCs w:val="16"/>
              </w:rPr>
              <w:t>Host Country/</w:t>
            </w:r>
            <w:r w:rsidRPr="0079484F">
              <w:rPr>
                <w:rFonts w:cs="Arial"/>
                <w:b/>
                <w:bCs/>
                <w:sz w:val="16"/>
                <w:szCs w:val="16"/>
              </w:rPr>
              <w:br/>
              <w:t>Recipients</w:t>
            </w:r>
          </w:p>
        </w:tc>
        <w:tc>
          <w:tcPr>
            <w:tcW w:w="4536" w:type="dxa"/>
            <w:tcBorders>
              <w:top w:val="single" w:sz="4" w:space="0" w:color="auto"/>
              <w:bottom w:val="nil"/>
              <w:right w:val="single" w:sz="4" w:space="0" w:color="auto"/>
            </w:tcBorders>
            <w:vAlign w:val="center"/>
          </w:tcPr>
          <w:p w:rsidR="008355F0" w:rsidRPr="0079484F" w:rsidRDefault="008355F0" w:rsidP="003867F8">
            <w:pPr>
              <w:keepNext/>
              <w:keepLines/>
              <w:spacing w:before="60" w:after="60"/>
              <w:rPr>
                <w:rFonts w:cs="Arial"/>
                <w:sz w:val="16"/>
                <w:szCs w:val="16"/>
              </w:rPr>
            </w:pPr>
            <w:r w:rsidRPr="0079484F">
              <w:rPr>
                <w:rFonts w:cs="Arial"/>
                <w:b/>
                <w:bCs/>
                <w:sz w:val="16"/>
                <w:szCs w:val="16"/>
              </w:rPr>
              <w:t>Purpose(s)/Description(s)</w:t>
            </w:r>
          </w:p>
        </w:tc>
      </w:tr>
      <w:tr w:rsidR="008355F0" w:rsidRPr="0079484F" w:rsidTr="00E92F85">
        <w:trPr>
          <w:cantSplit/>
          <w:trHeight w:val="315"/>
        </w:trPr>
        <w:tc>
          <w:tcPr>
            <w:tcW w:w="1843" w:type="dxa"/>
            <w:tcBorders>
              <w:top w:val="nil"/>
              <w:left w:val="single" w:sz="4" w:space="0" w:color="auto"/>
              <w:bottom w:val="single" w:sz="4" w:space="0" w:color="auto"/>
            </w:tcBorders>
          </w:tcPr>
          <w:p w:rsidR="008355F0" w:rsidRPr="0079484F" w:rsidRDefault="008355F0" w:rsidP="003867F8">
            <w:pPr>
              <w:autoSpaceDE w:val="0"/>
              <w:autoSpaceDN w:val="0"/>
              <w:adjustRightInd w:val="0"/>
              <w:spacing w:before="60" w:after="60"/>
              <w:rPr>
                <w:rFonts w:cs="Arial"/>
                <w:color w:val="000000"/>
                <w:sz w:val="16"/>
                <w:szCs w:val="16"/>
              </w:rPr>
            </w:pPr>
            <w:r w:rsidRPr="0079484F">
              <w:rPr>
                <w:rFonts w:cs="Arial"/>
                <w:color w:val="000000"/>
                <w:sz w:val="16"/>
                <w:szCs w:val="16"/>
              </w:rPr>
              <w:t>IP Examination (Basic) - Patent Training Course on Industrial Property Examination (Basic Program)</w:t>
            </w:r>
          </w:p>
        </w:tc>
        <w:tc>
          <w:tcPr>
            <w:tcW w:w="1134" w:type="dxa"/>
            <w:tcBorders>
              <w:top w:val="nil"/>
              <w:bottom w:val="single" w:sz="4" w:space="0" w:color="auto"/>
            </w:tcBorders>
          </w:tcPr>
          <w:p w:rsidR="008355F0" w:rsidRPr="0079484F" w:rsidRDefault="008355F0" w:rsidP="003867F8">
            <w:pPr>
              <w:autoSpaceDE w:val="0"/>
              <w:autoSpaceDN w:val="0"/>
              <w:adjustRightInd w:val="0"/>
              <w:spacing w:before="60" w:after="60"/>
              <w:rPr>
                <w:rFonts w:cs="Arial"/>
                <w:color w:val="000000"/>
                <w:sz w:val="16"/>
                <w:szCs w:val="16"/>
              </w:rPr>
            </w:pPr>
            <w:r w:rsidRPr="0079484F">
              <w:rPr>
                <w:rFonts w:cs="Arial"/>
                <w:color w:val="000000"/>
                <w:sz w:val="16"/>
                <w:szCs w:val="16"/>
              </w:rPr>
              <w:t>January 19 to 30, 2015</w:t>
            </w:r>
          </w:p>
        </w:tc>
        <w:tc>
          <w:tcPr>
            <w:tcW w:w="1985" w:type="dxa"/>
            <w:tcBorders>
              <w:top w:val="nil"/>
              <w:bottom w:val="single" w:sz="4" w:space="0" w:color="auto"/>
            </w:tcBorders>
          </w:tcPr>
          <w:p w:rsidR="008355F0" w:rsidRPr="0079484F" w:rsidRDefault="008355F0" w:rsidP="003867F8">
            <w:pPr>
              <w:autoSpaceDE w:val="0"/>
              <w:autoSpaceDN w:val="0"/>
              <w:adjustRightInd w:val="0"/>
              <w:spacing w:before="60" w:after="60"/>
              <w:rPr>
                <w:rFonts w:cs="Arial"/>
                <w:color w:val="000000"/>
                <w:sz w:val="16"/>
                <w:szCs w:val="16"/>
              </w:rPr>
            </w:pPr>
            <w:r w:rsidRPr="0079484F">
              <w:rPr>
                <w:rFonts w:cs="Arial"/>
                <w:color w:val="000000"/>
                <w:sz w:val="16"/>
                <w:szCs w:val="16"/>
              </w:rPr>
              <w:t>Japan/</w:t>
            </w:r>
            <w:r>
              <w:rPr>
                <w:rFonts w:cs="Arial"/>
                <w:color w:val="000000"/>
                <w:sz w:val="16"/>
                <w:szCs w:val="16"/>
              </w:rPr>
              <w:t xml:space="preserve"> </w:t>
            </w:r>
            <w:r w:rsidRPr="0079484F">
              <w:rPr>
                <w:rFonts w:cs="Arial"/>
                <w:color w:val="000000"/>
                <w:sz w:val="16"/>
                <w:szCs w:val="16"/>
              </w:rPr>
              <w:t xml:space="preserve">Algeria, Kenya, Madagascar, </w:t>
            </w:r>
            <w:r>
              <w:rPr>
                <w:rFonts w:cs="Arial"/>
                <w:color w:val="000000"/>
                <w:sz w:val="16"/>
                <w:szCs w:val="16"/>
              </w:rPr>
              <w:t xml:space="preserve">United Republic of </w:t>
            </w:r>
            <w:r w:rsidRPr="0079484F">
              <w:rPr>
                <w:rFonts w:cs="Arial"/>
                <w:color w:val="000000"/>
                <w:sz w:val="16"/>
                <w:szCs w:val="16"/>
              </w:rPr>
              <w:t>Tanzania and ARIPO</w:t>
            </w:r>
          </w:p>
        </w:tc>
        <w:tc>
          <w:tcPr>
            <w:tcW w:w="4536" w:type="dxa"/>
            <w:tcBorders>
              <w:top w:val="nil"/>
              <w:bottom w:val="single" w:sz="4" w:space="0" w:color="auto"/>
              <w:right w:val="single" w:sz="4" w:space="0" w:color="auto"/>
            </w:tcBorders>
          </w:tcPr>
          <w:p w:rsidR="008355F0" w:rsidRPr="0079484F" w:rsidRDefault="008355F0" w:rsidP="003867F8">
            <w:pPr>
              <w:autoSpaceDE w:val="0"/>
              <w:autoSpaceDN w:val="0"/>
              <w:adjustRightInd w:val="0"/>
              <w:spacing w:before="60" w:after="60"/>
              <w:rPr>
                <w:rFonts w:cs="Arial"/>
                <w:color w:val="000000"/>
                <w:sz w:val="16"/>
                <w:szCs w:val="16"/>
              </w:rPr>
            </w:pPr>
            <w:r w:rsidRPr="0079484F">
              <w:rPr>
                <w:rFonts w:cs="Arial"/>
                <w:color w:val="000000"/>
                <w:sz w:val="16"/>
                <w:szCs w:val="16"/>
              </w:rPr>
              <w:t xml:space="preserve">To assist participants </w:t>
            </w:r>
            <w:r>
              <w:rPr>
                <w:rFonts w:cs="Arial"/>
                <w:color w:val="000000"/>
                <w:sz w:val="16"/>
                <w:szCs w:val="16"/>
              </w:rPr>
              <w:t>in</w:t>
            </w:r>
            <w:r w:rsidRPr="0079484F">
              <w:rPr>
                <w:rFonts w:cs="Arial"/>
                <w:color w:val="000000"/>
                <w:sz w:val="16"/>
                <w:szCs w:val="16"/>
              </w:rPr>
              <w:t xml:space="preserve"> acquir</w:t>
            </w:r>
            <w:r>
              <w:rPr>
                <w:rFonts w:cs="Arial"/>
                <w:color w:val="000000"/>
                <w:sz w:val="16"/>
                <w:szCs w:val="16"/>
              </w:rPr>
              <w:t>ing</w:t>
            </w:r>
            <w:r w:rsidRPr="0079484F">
              <w:rPr>
                <w:rFonts w:cs="Arial"/>
                <w:color w:val="000000"/>
                <w:sz w:val="16"/>
                <w:szCs w:val="16"/>
              </w:rPr>
              <w:t xml:space="preserve"> basic knowledge of the laws and substantive examination procedures in the field of examination of industrial property rights.</w:t>
            </w:r>
          </w:p>
        </w:tc>
      </w:tr>
      <w:tr w:rsidR="008355F0" w:rsidRPr="0079484F" w:rsidTr="00E92F85">
        <w:trPr>
          <w:cantSplit/>
          <w:trHeight w:val="315"/>
        </w:trPr>
        <w:tc>
          <w:tcPr>
            <w:tcW w:w="1843" w:type="dxa"/>
            <w:tcBorders>
              <w:top w:val="single" w:sz="4" w:space="0" w:color="auto"/>
              <w:left w:val="single" w:sz="4" w:space="0" w:color="auto"/>
              <w:bottom w:val="nil"/>
            </w:tcBorders>
          </w:tcPr>
          <w:p w:rsidR="008355F0" w:rsidRPr="0079484F" w:rsidRDefault="008355F0" w:rsidP="003867F8">
            <w:pPr>
              <w:autoSpaceDE w:val="0"/>
              <w:autoSpaceDN w:val="0"/>
              <w:adjustRightInd w:val="0"/>
              <w:spacing w:before="60" w:after="60"/>
              <w:rPr>
                <w:rFonts w:cs="Arial"/>
                <w:color w:val="000000"/>
                <w:sz w:val="16"/>
                <w:szCs w:val="16"/>
              </w:rPr>
            </w:pPr>
            <w:r w:rsidRPr="0079484F">
              <w:rPr>
                <w:rFonts w:cs="Arial"/>
                <w:color w:val="000000"/>
                <w:sz w:val="16"/>
                <w:szCs w:val="16"/>
              </w:rPr>
              <w:t>Training Course on IP Administration</w:t>
            </w:r>
          </w:p>
        </w:tc>
        <w:tc>
          <w:tcPr>
            <w:tcW w:w="1134" w:type="dxa"/>
            <w:tcBorders>
              <w:top w:val="single" w:sz="4" w:space="0" w:color="auto"/>
              <w:bottom w:val="nil"/>
            </w:tcBorders>
          </w:tcPr>
          <w:p w:rsidR="008355F0" w:rsidRPr="0079484F" w:rsidRDefault="008355F0" w:rsidP="003867F8">
            <w:pPr>
              <w:autoSpaceDE w:val="0"/>
              <w:autoSpaceDN w:val="0"/>
              <w:adjustRightInd w:val="0"/>
              <w:spacing w:before="60" w:after="60"/>
              <w:rPr>
                <w:rFonts w:cs="Arial"/>
                <w:color w:val="000000"/>
                <w:sz w:val="16"/>
                <w:szCs w:val="16"/>
              </w:rPr>
            </w:pPr>
            <w:r w:rsidRPr="0079484F">
              <w:rPr>
                <w:rFonts w:cs="Arial"/>
                <w:color w:val="000000"/>
                <w:sz w:val="16"/>
                <w:szCs w:val="16"/>
              </w:rPr>
              <w:t>February 6 to 13, 2015</w:t>
            </w:r>
          </w:p>
        </w:tc>
        <w:tc>
          <w:tcPr>
            <w:tcW w:w="1985" w:type="dxa"/>
            <w:tcBorders>
              <w:top w:val="single" w:sz="4" w:space="0" w:color="auto"/>
              <w:bottom w:val="nil"/>
            </w:tcBorders>
          </w:tcPr>
          <w:p w:rsidR="008355F0" w:rsidRPr="0079484F" w:rsidRDefault="008355F0" w:rsidP="003867F8">
            <w:pPr>
              <w:autoSpaceDE w:val="0"/>
              <w:autoSpaceDN w:val="0"/>
              <w:adjustRightInd w:val="0"/>
              <w:spacing w:before="60" w:after="60"/>
              <w:rPr>
                <w:rFonts w:cs="Arial"/>
                <w:color w:val="000000"/>
                <w:sz w:val="16"/>
                <w:szCs w:val="16"/>
              </w:rPr>
            </w:pPr>
            <w:r w:rsidRPr="0079484F">
              <w:rPr>
                <w:rFonts w:cs="Arial"/>
                <w:color w:val="000000"/>
                <w:sz w:val="16"/>
                <w:szCs w:val="16"/>
              </w:rPr>
              <w:t>Japan/</w:t>
            </w:r>
            <w:r>
              <w:rPr>
                <w:rFonts w:cs="Arial"/>
                <w:color w:val="000000"/>
                <w:sz w:val="16"/>
                <w:szCs w:val="16"/>
              </w:rPr>
              <w:t xml:space="preserve"> </w:t>
            </w:r>
            <w:r w:rsidRPr="0079484F">
              <w:rPr>
                <w:rFonts w:cs="Arial"/>
                <w:color w:val="000000"/>
                <w:sz w:val="16"/>
                <w:szCs w:val="16"/>
              </w:rPr>
              <w:t>Morocco, Nigeria and South Africa</w:t>
            </w:r>
          </w:p>
        </w:tc>
        <w:tc>
          <w:tcPr>
            <w:tcW w:w="4536" w:type="dxa"/>
            <w:tcBorders>
              <w:top w:val="single" w:sz="4" w:space="0" w:color="auto"/>
              <w:bottom w:val="nil"/>
              <w:right w:val="single" w:sz="4" w:space="0" w:color="auto"/>
            </w:tcBorders>
          </w:tcPr>
          <w:p w:rsidR="008355F0" w:rsidRPr="0079484F" w:rsidRDefault="008355F0" w:rsidP="003867F8">
            <w:pPr>
              <w:autoSpaceDE w:val="0"/>
              <w:autoSpaceDN w:val="0"/>
              <w:adjustRightInd w:val="0"/>
              <w:spacing w:before="60" w:after="60"/>
              <w:rPr>
                <w:rFonts w:cs="Arial"/>
                <w:color w:val="000000"/>
                <w:sz w:val="16"/>
                <w:szCs w:val="16"/>
              </w:rPr>
            </w:pPr>
            <w:r w:rsidRPr="0079484F">
              <w:rPr>
                <w:rFonts w:cs="Arial"/>
                <w:color w:val="000000"/>
                <w:sz w:val="16"/>
                <w:szCs w:val="16"/>
              </w:rPr>
              <w:t xml:space="preserve">To: </w:t>
            </w:r>
            <w:r>
              <w:rPr>
                <w:rFonts w:cs="Arial"/>
                <w:color w:val="000000"/>
                <w:sz w:val="16"/>
                <w:szCs w:val="16"/>
              </w:rPr>
              <w:t xml:space="preserve"> </w:t>
            </w:r>
            <w:r w:rsidRPr="0079484F">
              <w:rPr>
                <w:rFonts w:cs="Arial"/>
                <w:color w:val="000000"/>
                <w:sz w:val="16"/>
                <w:szCs w:val="16"/>
              </w:rPr>
              <w:t xml:space="preserve">(i) increase the knowledge of participants of modern IP management practices including a </w:t>
            </w:r>
            <w:r>
              <w:rPr>
                <w:rFonts w:cs="Arial"/>
                <w:color w:val="000000"/>
                <w:sz w:val="16"/>
                <w:szCs w:val="16"/>
              </w:rPr>
              <w:t>methodology</w:t>
            </w:r>
            <w:r w:rsidRPr="0079484F">
              <w:rPr>
                <w:rFonts w:cs="Arial"/>
                <w:color w:val="000000"/>
                <w:sz w:val="16"/>
                <w:szCs w:val="16"/>
              </w:rPr>
              <w:t xml:space="preserve"> </w:t>
            </w:r>
            <w:r>
              <w:rPr>
                <w:rFonts w:cs="Arial"/>
                <w:color w:val="000000"/>
                <w:sz w:val="16"/>
                <w:szCs w:val="16"/>
              </w:rPr>
              <w:t>for</w:t>
            </w:r>
            <w:r w:rsidRPr="0079484F">
              <w:rPr>
                <w:rFonts w:cs="Arial"/>
                <w:color w:val="000000"/>
                <w:sz w:val="16"/>
                <w:szCs w:val="16"/>
              </w:rPr>
              <w:t xml:space="preserve"> making policies, strategies and plans concerning capacity building for patent examiners and also quality management for patent examinations; </w:t>
            </w:r>
            <w:r>
              <w:rPr>
                <w:rFonts w:cs="Arial"/>
                <w:color w:val="000000"/>
                <w:sz w:val="16"/>
                <w:szCs w:val="16"/>
              </w:rPr>
              <w:t xml:space="preserve"> </w:t>
            </w:r>
            <w:r w:rsidRPr="0079484F">
              <w:rPr>
                <w:rFonts w:cs="Arial"/>
                <w:color w:val="000000"/>
                <w:sz w:val="16"/>
                <w:szCs w:val="16"/>
              </w:rPr>
              <w:t>and (ii) enhance the capacity of participants to formulate, implement and evaluate IP Office plans that are time-bound, result-oriented, and have a measurable impact.</w:t>
            </w:r>
          </w:p>
        </w:tc>
      </w:tr>
      <w:tr w:rsidR="008355F0" w:rsidRPr="0079484F" w:rsidTr="00E92F85">
        <w:trPr>
          <w:cantSplit/>
          <w:trHeight w:val="315"/>
        </w:trPr>
        <w:tc>
          <w:tcPr>
            <w:tcW w:w="1843" w:type="dxa"/>
            <w:tcBorders>
              <w:top w:val="nil"/>
              <w:left w:val="single" w:sz="4" w:space="0" w:color="auto"/>
              <w:bottom w:val="nil"/>
            </w:tcBorders>
          </w:tcPr>
          <w:p w:rsidR="008355F0" w:rsidRPr="0079484F" w:rsidRDefault="008355F0" w:rsidP="003867F8">
            <w:pPr>
              <w:autoSpaceDE w:val="0"/>
              <w:autoSpaceDN w:val="0"/>
              <w:adjustRightInd w:val="0"/>
              <w:spacing w:before="60" w:after="60"/>
              <w:rPr>
                <w:rFonts w:cs="Arial"/>
                <w:color w:val="000000"/>
                <w:sz w:val="16"/>
                <w:szCs w:val="16"/>
              </w:rPr>
            </w:pPr>
            <w:r w:rsidRPr="0079484F">
              <w:rPr>
                <w:rFonts w:cs="Arial"/>
                <w:color w:val="000000"/>
                <w:sz w:val="16"/>
                <w:szCs w:val="16"/>
              </w:rPr>
              <w:t>Training Course for Patent Examiners on Specified Technology (Pharmaceutical)</w:t>
            </w:r>
          </w:p>
        </w:tc>
        <w:tc>
          <w:tcPr>
            <w:tcW w:w="1134" w:type="dxa"/>
            <w:tcBorders>
              <w:top w:val="nil"/>
              <w:bottom w:val="nil"/>
            </w:tcBorders>
          </w:tcPr>
          <w:p w:rsidR="008355F0" w:rsidRPr="0079484F" w:rsidRDefault="008355F0" w:rsidP="003867F8">
            <w:pPr>
              <w:autoSpaceDE w:val="0"/>
              <w:autoSpaceDN w:val="0"/>
              <w:adjustRightInd w:val="0"/>
              <w:spacing w:before="60" w:after="60"/>
              <w:rPr>
                <w:rFonts w:cs="Arial"/>
                <w:color w:val="000000"/>
                <w:sz w:val="16"/>
                <w:szCs w:val="16"/>
              </w:rPr>
            </w:pPr>
            <w:r w:rsidRPr="0079484F">
              <w:rPr>
                <w:rFonts w:cs="Arial"/>
                <w:color w:val="000000"/>
                <w:sz w:val="16"/>
                <w:szCs w:val="16"/>
              </w:rPr>
              <w:t>February 19 to 26, 2015</w:t>
            </w:r>
          </w:p>
        </w:tc>
        <w:tc>
          <w:tcPr>
            <w:tcW w:w="1985" w:type="dxa"/>
            <w:tcBorders>
              <w:top w:val="nil"/>
              <w:bottom w:val="nil"/>
            </w:tcBorders>
          </w:tcPr>
          <w:p w:rsidR="008355F0" w:rsidRPr="0079484F" w:rsidRDefault="008355F0" w:rsidP="003867F8">
            <w:pPr>
              <w:autoSpaceDE w:val="0"/>
              <w:autoSpaceDN w:val="0"/>
              <w:adjustRightInd w:val="0"/>
              <w:spacing w:before="60" w:after="60"/>
              <w:rPr>
                <w:rFonts w:cs="Arial"/>
                <w:color w:val="000000"/>
                <w:sz w:val="16"/>
                <w:szCs w:val="16"/>
              </w:rPr>
            </w:pPr>
            <w:r w:rsidRPr="0079484F">
              <w:rPr>
                <w:rFonts w:cs="Arial"/>
                <w:color w:val="000000"/>
                <w:sz w:val="16"/>
                <w:szCs w:val="16"/>
              </w:rPr>
              <w:t>Japan/</w:t>
            </w:r>
            <w:r>
              <w:rPr>
                <w:rFonts w:cs="Arial"/>
                <w:color w:val="000000"/>
                <w:sz w:val="16"/>
                <w:szCs w:val="16"/>
              </w:rPr>
              <w:t xml:space="preserve"> </w:t>
            </w:r>
            <w:r w:rsidRPr="0079484F">
              <w:rPr>
                <w:rFonts w:cs="Arial"/>
                <w:color w:val="000000"/>
                <w:sz w:val="16"/>
                <w:szCs w:val="16"/>
              </w:rPr>
              <w:t>Egypt and ARIPO</w:t>
            </w:r>
          </w:p>
        </w:tc>
        <w:tc>
          <w:tcPr>
            <w:tcW w:w="4536" w:type="dxa"/>
            <w:tcBorders>
              <w:top w:val="nil"/>
              <w:bottom w:val="nil"/>
              <w:right w:val="single" w:sz="4" w:space="0" w:color="auto"/>
            </w:tcBorders>
          </w:tcPr>
          <w:p w:rsidR="008355F0" w:rsidRPr="0079484F" w:rsidRDefault="008355F0" w:rsidP="003867F8">
            <w:pPr>
              <w:autoSpaceDE w:val="0"/>
              <w:autoSpaceDN w:val="0"/>
              <w:adjustRightInd w:val="0"/>
              <w:spacing w:before="60" w:after="60"/>
              <w:rPr>
                <w:rFonts w:cs="Arial"/>
                <w:color w:val="000000"/>
                <w:sz w:val="16"/>
                <w:szCs w:val="16"/>
              </w:rPr>
            </w:pPr>
            <w:r w:rsidRPr="0079484F">
              <w:rPr>
                <w:rFonts w:cs="Arial"/>
                <w:color w:val="000000"/>
                <w:sz w:val="16"/>
                <w:szCs w:val="16"/>
              </w:rPr>
              <w:t>To: (i) acquaint the participants with current trends and modern practices in the examination of patents related to pharmaceutical</w:t>
            </w:r>
            <w:r>
              <w:rPr>
                <w:rFonts w:cs="Arial"/>
                <w:color w:val="000000"/>
                <w:sz w:val="16"/>
                <w:szCs w:val="16"/>
              </w:rPr>
              <w:t>s</w:t>
            </w:r>
            <w:r w:rsidRPr="0079484F">
              <w:rPr>
                <w:rFonts w:cs="Arial"/>
                <w:color w:val="000000"/>
                <w:sz w:val="16"/>
                <w:szCs w:val="16"/>
              </w:rPr>
              <w:t>;</w:t>
            </w:r>
            <w:r>
              <w:rPr>
                <w:rFonts w:cs="Arial"/>
                <w:color w:val="000000"/>
                <w:sz w:val="16"/>
                <w:szCs w:val="16"/>
              </w:rPr>
              <w:t xml:space="preserve"> </w:t>
            </w:r>
            <w:r w:rsidRPr="0079484F">
              <w:rPr>
                <w:rFonts w:cs="Arial"/>
                <w:color w:val="000000"/>
                <w:sz w:val="16"/>
                <w:szCs w:val="16"/>
              </w:rPr>
              <w:t xml:space="preserve"> (ii) impart practical knowledge and insights on patent examination methodologies; </w:t>
            </w:r>
            <w:r>
              <w:rPr>
                <w:rFonts w:cs="Arial"/>
                <w:color w:val="000000"/>
                <w:sz w:val="16"/>
                <w:szCs w:val="16"/>
              </w:rPr>
              <w:t xml:space="preserve"> </w:t>
            </w:r>
            <w:r w:rsidRPr="0079484F">
              <w:rPr>
                <w:rFonts w:cs="Arial"/>
                <w:color w:val="000000"/>
                <w:sz w:val="16"/>
                <w:szCs w:val="16"/>
              </w:rPr>
              <w:t xml:space="preserve">(iii) offer an opportunity to share experiences and views among participants on patent examination issues; </w:t>
            </w:r>
            <w:r>
              <w:rPr>
                <w:rFonts w:cs="Arial"/>
                <w:color w:val="000000"/>
                <w:sz w:val="16"/>
                <w:szCs w:val="16"/>
              </w:rPr>
              <w:t xml:space="preserve"> </w:t>
            </w:r>
            <w:r w:rsidRPr="0079484F">
              <w:rPr>
                <w:rFonts w:cs="Arial"/>
                <w:color w:val="000000"/>
                <w:sz w:val="16"/>
                <w:szCs w:val="16"/>
              </w:rPr>
              <w:t>and (iv) enhance participants’ professional capabilities for examination of pharmaceutical patents.</w:t>
            </w:r>
          </w:p>
        </w:tc>
      </w:tr>
      <w:tr w:rsidR="008355F0" w:rsidRPr="0079484F" w:rsidTr="00E92F85">
        <w:trPr>
          <w:cantSplit/>
          <w:trHeight w:val="315"/>
        </w:trPr>
        <w:tc>
          <w:tcPr>
            <w:tcW w:w="1843" w:type="dxa"/>
            <w:tcBorders>
              <w:top w:val="nil"/>
              <w:left w:val="single" w:sz="4" w:space="0" w:color="auto"/>
              <w:bottom w:val="nil"/>
            </w:tcBorders>
          </w:tcPr>
          <w:p w:rsidR="008355F0" w:rsidRPr="0079484F" w:rsidRDefault="008355F0" w:rsidP="003867F8">
            <w:pPr>
              <w:autoSpaceDE w:val="0"/>
              <w:autoSpaceDN w:val="0"/>
              <w:adjustRightInd w:val="0"/>
              <w:spacing w:before="60" w:after="60"/>
              <w:rPr>
                <w:rFonts w:cs="Arial"/>
                <w:color w:val="000000"/>
                <w:sz w:val="16"/>
                <w:szCs w:val="16"/>
              </w:rPr>
            </w:pPr>
            <w:r w:rsidRPr="0079484F">
              <w:rPr>
                <w:rFonts w:cs="Arial"/>
                <w:color w:val="000000"/>
                <w:sz w:val="16"/>
                <w:szCs w:val="16"/>
              </w:rPr>
              <w:t>Stakeholder Meeting and Training Workshop of a Branding Project for Kisii Soapstone</w:t>
            </w:r>
          </w:p>
        </w:tc>
        <w:tc>
          <w:tcPr>
            <w:tcW w:w="1134" w:type="dxa"/>
            <w:tcBorders>
              <w:top w:val="nil"/>
              <w:bottom w:val="nil"/>
            </w:tcBorders>
          </w:tcPr>
          <w:p w:rsidR="008355F0" w:rsidRPr="0079484F" w:rsidRDefault="008355F0" w:rsidP="003867F8">
            <w:pPr>
              <w:autoSpaceDE w:val="0"/>
              <w:autoSpaceDN w:val="0"/>
              <w:adjustRightInd w:val="0"/>
              <w:spacing w:before="60" w:after="60"/>
              <w:rPr>
                <w:rFonts w:cs="Arial"/>
                <w:color w:val="000000"/>
                <w:sz w:val="16"/>
                <w:szCs w:val="16"/>
              </w:rPr>
            </w:pPr>
            <w:r w:rsidRPr="0079484F">
              <w:rPr>
                <w:rFonts w:cs="Arial"/>
                <w:color w:val="000000"/>
                <w:sz w:val="16"/>
                <w:szCs w:val="16"/>
              </w:rPr>
              <w:t>March 16 to 20, 2015</w:t>
            </w:r>
          </w:p>
        </w:tc>
        <w:tc>
          <w:tcPr>
            <w:tcW w:w="1985" w:type="dxa"/>
            <w:tcBorders>
              <w:top w:val="nil"/>
              <w:bottom w:val="nil"/>
            </w:tcBorders>
          </w:tcPr>
          <w:p w:rsidR="008355F0" w:rsidRPr="0079484F" w:rsidRDefault="008355F0" w:rsidP="003867F8">
            <w:pPr>
              <w:autoSpaceDE w:val="0"/>
              <w:autoSpaceDN w:val="0"/>
              <w:adjustRightInd w:val="0"/>
              <w:spacing w:before="60" w:after="60"/>
              <w:rPr>
                <w:rFonts w:cs="Arial"/>
                <w:color w:val="000000"/>
                <w:sz w:val="16"/>
                <w:szCs w:val="16"/>
              </w:rPr>
            </w:pPr>
            <w:r w:rsidRPr="0079484F">
              <w:rPr>
                <w:rFonts w:cs="Arial"/>
                <w:color w:val="000000"/>
                <w:sz w:val="16"/>
                <w:szCs w:val="16"/>
              </w:rPr>
              <w:t>Kenya</w:t>
            </w:r>
          </w:p>
        </w:tc>
        <w:tc>
          <w:tcPr>
            <w:tcW w:w="4536" w:type="dxa"/>
            <w:tcBorders>
              <w:top w:val="nil"/>
              <w:bottom w:val="nil"/>
              <w:right w:val="single" w:sz="4" w:space="0" w:color="auto"/>
            </w:tcBorders>
          </w:tcPr>
          <w:p w:rsidR="008355F0" w:rsidRPr="0079484F" w:rsidRDefault="008355F0" w:rsidP="003867F8">
            <w:pPr>
              <w:autoSpaceDE w:val="0"/>
              <w:autoSpaceDN w:val="0"/>
              <w:adjustRightInd w:val="0"/>
              <w:spacing w:before="60" w:after="60"/>
              <w:rPr>
                <w:rFonts w:cs="Arial"/>
                <w:color w:val="000000"/>
                <w:sz w:val="16"/>
                <w:szCs w:val="16"/>
              </w:rPr>
            </w:pPr>
            <w:r w:rsidRPr="0079484F">
              <w:rPr>
                <w:rFonts w:cs="Arial"/>
                <w:color w:val="000000"/>
                <w:sz w:val="16"/>
                <w:szCs w:val="16"/>
              </w:rPr>
              <w:t xml:space="preserve">To launch a branding project leveraging </w:t>
            </w:r>
            <w:r>
              <w:rPr>
                <w:rFonts w:cs="Arial"/>
                <w:color w:val="000000"/>
                <w:sz w:val="16"/>
                <w:szCs w:val="16"/>
              </w:rPr>
              <w:t>the</w:t>
            </w:r>
            <w:r w:rsidRPr="0079484F">
              <w:rPr>
                <w:rFonts w:cs="Arial"/>
                <w:color w:val="000000"/>
                <w:sz w:val="16"/>
                <w:szCs w:val="16"/>
              </w:rPr>
              <w:t xml:space="preserve"> market potential and intangible asset of the Kisii Soapstone through innovation and IP.</w:t>
            </w:r>
          </w:p>
        </w:tc>
      </w:tr>
      <w:tr w:rsidR="008355F0" w:rsidRPr="0079484F" w:rsidTr="00E92F85">
        <w:trPr>
          <w:cantSplit/>
          <w:trHeight w:val="315"/>
        </w:trPr>
        <w:tc>
          <w:tcPr>
            <w:tcW w:w="1843" w:type="dxa"/>
            <w:tcBorders>
              <w:top w:val="nil"/>
              <w:left w:val="single" w:sz="4" w:space="0" w:color="auto"/>
              <w:bottom w:val="nil"/>
            </w:tcBorders>
          </w:tcPr>
          <w:p w:rsidR="008355F0" w:rsidRPr="0079484F" w:rsidRDefault="008355F0" w:rsidP="003867F8">
            <w:pPr>
              <w:autoSpaceDE w:val="0"/>
              <w:autoSpaceDN w:val="0"/>
              <w:adjustRightInd w:val="0"/>
              <w:spacing w:before="60" w:after="60"/>
              <w:rPr>
                <w:rFonts w:cs="Arial"/>
                <w:color w:val="000000"/>
                <w:sz w:val="16"/>
                <w:szCs w:val="16"/>
              </w:rPr>
            </w:pPr>
            <w:r w:rsidRPr="0079484F">
              <w:rPr>
                <w:rFonts w:cs="Arial"/>
                <w:color w:val="000000"/>
                <w:sz w:val="16"/>
                <w:szCs w:val="16"/>
              </w:rPr>
              <w:t>High Level Meeting for Members of Parliament of ARIPO Member States: Strategic Use of IP System for Economic, Cultural, Social and Technological Development</w:t>
            </w:r>
          </w:p>
        </w:tc>
        <w:tc>
          <w:tcPr>
            <w:tcW w:w="1134" w:type="dxa"/>
            <w:tcBorders>
              <w:top w:val="nil"/>
              <w:bottom w:val="nil"/>
            </w:tcBorders>
          </w:tcPr>
          <w:p w:rsidR="008355F0" w:rsidRPr="0079484F" w:rsidRDefault="008355F0" w:rsidP="003867F8">
            <w:pPr>
              <w:autoSpaceDE w:val="0"/>
              <w:autoSpaceDN w:val="0"/>
              <w:adjustRightInd w:val="0"/>
              <w:spacing w:before="60" w:after="60"/>
              <w:rPr>
                <w:rFonts w:cs="Arial"/>
                <w:color w:val="000000"/>
                <w:sz w:val="16"/>
                <w:szCs w:val="16"/>
              </w:rPr>
            </w:pPr>
            <w:r w:rsidRPr="0079484F">
              <w:rPr>
                <w:rFonts w:cs="Arial"/>
                <w:color w:val="000000"/>
                <w:sz w:val="16"/>
                <w:szCs w:val="16"/>
              </w:rPr>
              <w:t>March 25 to 27, 2015</w:t>
            </w:r>
          </w:p>
        </w:tc>
        <w:tc>
          <w:tcPr>
            <w:tcW w:w="1985" w:type="dxa"/>
            <w:tcBorders>
              <w:top w:val="nil"/>
              <w:bottom w:val="nil"/>
            </w:tcBorders>
          </w:tcPr>
          <w:p w:rsidR="008355F0" w:rsidRPr="0079484F" w:rsidRDefault="008355F0" w:rsidP="003867F8">
            <w:pPr>
              <w:autoSpaceDE w:val="0"/>
              <w:autoSpaceDN w:val="0"/>
              <w:adjustRightInd w:val="0"/>
              <w:spacing w:before="60" w:after="60"/>
              <w:rPr>
                <w:rFonts w:cs="Arial"/>
                <w:color w:val="000000"/>
                <w:sz w:val="16"/>
                <w:szCs w:val="16"/>
              </w:rPr>
            </w:pPr>
            <w:r w:rsidRPr="0079484F">
              <w:rPr>
                <w:rFonts w:cs="Arial"/>
                <w:color w:val="000000"/>
                <w:sz w:val="16"/>
                <w:szCs w:val="16"/>
              </w:rPr>
              <w:t>Uganda/</w:t>
            </w:r>
            <w:r>
              <w:rPr>
                <w:rFonts w:cs="Arial"/>
                <w:color w:val="000000"/>
                <w:sz w:val="16"/>
                <w:szCs w:val="16"/>
              </w:rPr>
              <w:t xml:space="preserve"> </w:t>
            </w:r>
            <w:r w:rsidRPr="0079484F">
              <w:rPr>
                <w:rFonts w:cs="Arial"/>
                <w:color w:val="000000"/>
                <w:sz w:val="16"/>
                <w:szCs w:val="16"/>
              </w:rPr>
              <w:t xml:space="preserve">28 members of parliament from </w:t>
            </w:r>
            <w:r>
              <w:rPr>
                <w:rFonts w:cs="Arial"/>
                <w:color w:val="000000"/>
                <w:sz w:val="16"/>
                <w:szCs w:val="16"/>
              </w:rPr>
              <w:t xml:space="preserve">the </w:t>
            </w:r>
            <w:r w:rsidRPr="0079484F">
              <w:rPr>
                <w:rFonts w:cs="Arial"/>
                <w:color w:val="000000"/>
                <w:sz w:val="16"/>
                <w:szCs w:val="16"/>
              </w:rPr>
              <w:t>Gambia, Ghana, Kenya, Malawi, Mozambique, Sao Tome and Principe, Swaziland, Uganda, Zambia and Zimbabwe</w:t>
            </w:r>
          </w:p>
        </w:tc>
        <w:tc>
          <w:tcPr>
            <w:tcW w:w="4536" w:type="dxa"/>
            <w:tcBorders>
              <w:top w:val="nil"/>
              <w:bottom w:val="nil"/>
              <w:right w:val="single" w:sz="4" w:space="0" w:color="auto"/>
            </w:tcBorders>
          </w:tcPr>
          <w:p w:rsidR="008355F0" w:rsidRPr="0079484F" w:rsidRDefault="008355F0" w:rsidP="003867F8">
            <w:pPr>
              <w:autoSpaceDE w:val="0"/>
              <w:autoSpaceDN w:val="0"/>
              <w:adjustRightInd w:val="0"/>
              <w:spacing w:before="60" w:after="60"/>
              <w:rPr>
                <w:rFonts w:cs="Arial"/>
                <w:color w:val="000000"/>
                <w:sz w:val="16"/>
                <w:szCs w:val="16"/>
              </w:rPr>
            </w:pPr>
            <w:r w:rsidRPr="0079484F">
              <w:rPr>
                <w:rFonts w:cs="Arial"/>
                <w:color w:val="000000"/>
                <w:sz w:val="16"/>
                <w:szCs w:val="16"/>
              </w:rPr>
              <w:t xml:space="preserve">To: </w:t>
            </w:r>
            <w:r>
              <w:rPr>
                <w:rFonts w:cs="Arial"/>
                <w:color w:val="000000"/>
                <w:sz w:val="16"/>
                <w:szCs w:val="16"/>
              </w:rPr>
              <w:t xml:space="preserve"> </w:t>
            </w:r>
            <w:r w:rsidRPr="0079484F">
              <w:rPr>
                <w:rFonts w:cs="Arial"/>
                <w:color w:val="000000"/>
                <w:sz w:val="16"/>
                <w:szCs w:val="16"/>
              </w:rPr>
              <w:t xml:space="preserve">(i) provide a platform for the parliamentarians to gain a better understanding of the IP system as one of the pillars for economic, cultural, social and technological development; </w:t>
            </w:r>
            <w:r>
              <w:rPr>
                <w:rFonts w:cs="Arial"/>
                <w:color w:val="000000"/>
                <w:sz w:val="16"/>
                <w:szCs w:val="16"/>
              </w:rPr>
              <w:t xml:space="preserve"> </w:t>
            </w:r>
            <w:r w:rsidRPr="0079484F">
              <w:rPr>
                <w:rFonts w:cs="Arial"/>
                <w:color w:val="000000"/>
                <w:sz w:val="16"/>
                <w:szCs w:val="16"/>
              </w:rPr>
              <w:t xml:space="preserve">(ii) sensitize parliamentarians on the political range of perspectives and interests in WIPO treaties; </w:t>
            </w:r>
            <w:r>
              <w:rPr>
                <w:rFonts w:cs="Arial"/>
                <w:color w:val="000000"/>
                <w:sz w:val="16"/>
                <w:szCs w:val="16"/>
              </w:rPr>
              <w:t xml:space="preserve"> </w:t>
            </w:r>
            <w:r w:rsidRPr="0079484F">
              <w:rPr>
                <w:rFonts w:cs="Arial"/>
                <w:color w:val="000000"/>
                <w:sz w:val="16"/>
                <w:szCs w:val="16"/>
              </w:rPr>
              <w:t xml:space="preserve">(iii) raise awareness among parliamentarians on the need to build and strengthen the use of the IP system in their respective countries; </w:t>
            </w:r>
            <w:r>
              <w:rPr>
                <w:rFonts w:cs="Arial"/>
                <w:color w:val="000000"/>
                <w:sz w:val="16"/>
                <w:szCs w:val="16"/>
              </w:rPr>
              <w:t xml:space="preserve"> </w:t>
            </w:r>
            <w:r w:rsidRPr="0079484F">
              <w:rPr>
                <w:rFonts w:cs="Arial"/>
                <w:color w:val="000000"/>
                <w:sz w:val="16"/>
                <w:szCs w:val="16"/>
              </w:rPr>
              <w:t>and (iv) equip</w:t>
            </w:r>
            <w:r>
              <w:rPr>
                <w:rFonts w:cs="Arial"/>
                <w:color w:val="000000"/>
                <w:sz w:val="16"/>
                <w:szCs w:val="16"/>
              </w:rPr>
              <w:t xml:space="preserve"> parliamentarians</w:t>
            </w:r>
            <w:r w:rsidRPr="0079484F">
              <w:rPr>
                <w:rFonts w:cs="Arial"/>
                <w:color w:val="000000"/>
                <w:sz w:val="16"/>
                <w:szCs w:val="16"/>
              </w:rPr>
              <w:t xml:space="preserve"> to play a key role in the elaboration and adoption of appropriate national IP laws to meet their national development goals.</w:t>
            </w:r>
          </w:p>
        </w:tc>
      </w:tr>
      <w:tr w:rsidR="008355F0" w:rsidRPr="0079484F" w:rsidTr="00E92F85">
        <w:trPr>
          <w:cantSplit/>
          <w:trHeight w:val="315"/>
        </w:trPr>
        <w:tc>
          <w:tcPr>
            <w:tcW w:w="1843" w:type="dxa"/>
            <w:tcBorders>
              <w:top w:val="nil"/>
              <w:left w:val="single" w:sz="4" w:space="0" w:color="auto"/>
              <w:bottom w:val="single" w:sz="4" w:space="0" w:color="auto"/>
            </w:tcBorders>
          </w:tcPr>
          <w:p w:rsidR="008355F0" w:rsidRPr="0079484F" w:rsidRDefault="008355F0" w:rsidP="003867F8">
            <w:pPr>
              <w:autoSpaceDE w:val="0"/>
              <w:autoSpaceDN w:val="0"/>
              <w:adjustRightInd w:val="0"/>
              <w:spacing w:before="60" w:after="60"/>
              <w:rPr>
                <w:rFonts w:cs="Arial"/>
                <w:color w:val="000000"/>
                <w:sz w:val="16"/>
                <w:szCs w:val="16"/>
              </w:rPr>
            </w:pPr>
            <w:r w:rsidRPr="0079484F">
              <w:rPr>
                <w:rFonts w:cs="Arial"/>
                <w:color w:val="000000"/>
                <w:sz w:val="16"/>
                <w:szCs w:val="16"/>
              </w:rPr>
              <w:t>Expert Mission on Technology Transfer and IP Commercialization</w:t>
            </w:r>
          </w:p>
        </w:tc>
        <w:tc>
          <w:tcPr>
            <w:tcW w:w="1134" w:type="dxa"/>
            <w:tcBorders>
              <w:top w:val="nil"/>
              <w:bottom w:val="single" w:sz="4" w:space="0" w:color="auto"/>
            </w:tcBorders>
          </w:tcPr>
          <w:p w:rsidR="008355F0" w:rsidRPr="0079484F" w:rsidRDefault="008355F0" w:rsidP="003867F8">
            <w:pPr>
              <w:autoSpaceDE w:val="0"/>
              <w:autoSpaceDN w:val="0"/>
              <w:adjustRightInd w:val="0"/>
              <w:spacing w:before="60" w:after="60"/>
              <w:rPr>
                <w:rFonts w:cs="Arial"/>
                <w:color w:val="000000"/>
                <w:sz w:val="16"/>
                <w:szCs w:val="16"/>
              </w:rPr>
            </w:pPr>
            <w:r w:rsidRPr="0079484F">
              <w:rPr>
                <w:rFonts w:cs="Arial"/>
                <w:color w:val="000000"/>
                <w:sz w:val="16"/>
                <w:szCs w:val="16"/>
              </w:rPr>
              <w:t>April 6 to 10, 2015</w:t>
            </w:r>
          </w:p>
        </w:tc>
        <w:tc>
          <w:tcPr>
            <w:tcW w:w="1985" w:type="dxa"/>
            <w:tcBorders>
              <w:top w:val="nil"/>
              <w:bottom w:val="single" w:sz="4" w:space="0" w:color="auto"/>
            </w:tcBorders>
          </w:tcPr>
          <w:p w:rsidR="008355F0" w:rsidRPr="0079484F" w:rsidRDefault="008355F0" w:rsidP="003867F8">
            <w:pPr>
              <w:autoSpaceDE w:val="0"/>
              <w:autoSpaceDN w:val="0"/>
              <w:adjustRightInd w:val="0"/>
              <w:spacing w:before="60" w:after="60"/>
              <w:rPr>
                <w:rFonts w:cs="Arial"/>
                <w:color w:val="000000"/>
                <w:sz w:val="16"/>
                <w:szCs w:val="16"/>
              </w:rPr>
            </w:pPr>
            <w:r w:rsidRPr="0079484F">
              <w:rPr>
                <w:rFonts w:cs="Arial"/>
                <w:color w:val="000000"/>
                <w:sz w:val="16"/>
                <w:szCs w:val="16"/>
              </w:rPr>
              <w:t>Morocco</w:t>
            </w:r>
          </w:p>
        </w:tc>
        <w:tc>
          <w:tcPr>
            <w:tcW w:w="4536" w:type="dxa"/>
            <w:tcBorders>
              <w:top w:val="nil"/>
              <w:bottom w:val="single" w:sz="4" w:space="0" w:color="auto"/>
              <w:right w:val="single" w:sz="4" w:space="0" w:color="auto"/>
            </w:tcBorders>
          </w:tcPr>
          <w:p w:rsidR="008355F0" w:rsidRPr="0079484F" w:rsidRDefault="008355F0" w:rsidP="003867F8">
            <w:pPr>
              <w:autoSpaceDE w:val="0"/>
              <w:autoSpaceDN w:val="0"/>
              <w:adjustRightInd w:val="0"/>
              <w:spacing w:before="60" w:after="60"/>
              <w:rPr>
                <w:rFonts w:cs="Arial"/>
                <w:color w:val="000000"/>
                <w:sz w:val="16"/>
                <w:szCs w:val="16"/>
              </w:rPr>
            </w:pPr>
            <w:r w:rsidRPr="0079484F">
              <w:rPr>
                <w:rFonts w:cs="Arial"/>
                <w:color w:val="000000"/>
                <w:sz w:val="16"/>
                <w:szCs w:val="16"/>
              </w:rPr>
              <w:t xml:space="preserve">To: </w:t>
            </w:r>
            <w:r>
              <w:rPr>
                <w:rFonts w:cs="Arial"/>
                <w:color w:val="000000"/>
                <w:sz w:val="16"/>
                <w:szCs w:val="16"/>
              </w:rPr>
              <w:t xml:space="preserve"> </w:t>
            </w:r>
            <w:r w:rsidRPr="0079484F">
              <w:rPr>
                <w:rFonts w:cs="Arial"/>
                <w:color w:val="000000"/>
                <w:sz w:val="16"/>
                <w:szCs w:val="16"/>
              </w:rPr>
              <w:t xml:space="preserve">(i) share the knowledge and experience of Japan for the promotion of technology transfer and commercialization of research results created by universities and research institutions; </w:t>
            </w:r>
            <w:r>
              <w:rPr>
                <w:rFonts w:cs="Arial"/>
                <w:color w:val="000000"/>
                <w:sz w:val="16"/>
                <w:szCs w:val="16"/>
              </w:rPr>
              <w:t xml:space="preserve"> </w:t>
            </w:r>
            <w:r w:rsidRPr="0079484F">
              <w:rPr>
                <w:rFonts w:cs="Arial"/>
                <w:color w:val="000000"/>
                <w:sz w:val="16"/>
                <w:szCs w:val="16"/>
              </w:rPr>
              <w:t xml:space="preserve">(ii) identify the issues to be addressed; </w:t>
            </w:r>
            <w:r>
              <w:rPr>
                <w:rFonts w:cs="Arial"/>
                <w:color w:val="000000"/>
                <w:sz w:val="16"/>
                <w:szCs w:val="16"/>
              </w:rPr>
              <w:t xml:space="preserve"> </w:t>
            </w:r>
            <w:r w:rsidRPr="0079484F">
              <w:rPr>
                <w:rFonts w:cs="Arial"/>
                <w:color w:val="000000"/>
                <w:sz w:val="16"/>
                <w:szCs w:val="16"/>
              </w:rPr>
              <w:t>and (iii) propose possible solutions for the country.</w:t>
            </w:r>
          </w:p>
        </w:tc>
      </w:tr>
      <w:tr w:rsidR="008355F0" w:rsidRPr="0079484F" w:rsidTr="00E92F85">
        <w:trPr>
          <w:cantSplit/>
          <w:trHeight w:val="315"/>
        </w:trPr>
        <w:tc>
          <w:tcPr>
            <w:tcW w:w="1843" w:type="dxa"/>
            <w:tcBorders>
              <w:top w:val="single" w:sz="4" w:space="0" w:color="auto"/>
              <w:left w:val="single" w:sz="4" w:space="0" w:color="auto"/>
              <w:bottom w:val="nil"/>
            </w:tcBorders>
          </w:tcPr>
          <w:p w:rsidR="008355F0" w:rsidRPr="0079484F" w:rsidRDefault="008355F0" w:rsidP="003867F8">
            <w:pPr>
              <w:autoSpaceDE w:val="0"/>
              <w:autoSpaceDN w:val="0"/>
              <w:adjustRightInd w:val="0"/>
              <w:spacing w:before="60" w:after="60"/>
              <w:rPr>
                <w:rFonts w:cs="Arial"/>
                <w:color w:val="000000"/>
                <w:sz w:val="16"/>
                <w:szCs w:val="16"/>
              </w:rPr>
            </w:pPr>
            <w:r w:rsidRPr="0079484F">
              <w:rPr>
                <w:rFonts w:cs="Arial"/>
                <w:color w:val="000000"/>
                <w:sz w:val="16"/>
                <w:szCs w:val="16"/>
              </w:rPr>
              <w:t>Partnership between WIPO</w:t>
            </w:r>
            <w:r w:rsidRPr="00691104">
              <w:rPr>
                <w:rFonts w:cs="Arial"/>
                <w:color w:val="000000"/>
                <w:sz w:val="16"/>
                <w:szCs w:val="16"/>
              </w:rPr>
              <w:t>/OAPI</w:t>
            </w:r>
            <w:r w:rsidRPr="0079484F">
              <w:rPr>
                <w:rFonts w:cs="Arial"/>
                <w:i/>
                <w:color w:val="000000"/>
                <w:sz w:val="16"/>
                <w:szCs w:val="16"/>
              </w:rPr>
              <w:t xml:space="preserve"> </w:t>
            </w:r>
            <w:r w:rsidRPr="0079484F">
              <w:rPr>
                <w:rFonts w:cs="Arial"/>
                <w:color w:val="000000"/>
                <w:sz w:val="16"/>
                <w:szCs w:val="16"/>
              </w:rPr>
              <w:t>and the University of Yaoundé II</w:t>
            </w:r>
          </w:p>
        </w:tc>
        <w:tc>
          <w:tcPr>
            <w:tcW w:w="1134" w:type="dxa"/>
            <w:tcBorders>
              <w:top w:val="single" w:sz="4" w:space="0" w:color="auto"/>
              <w:bottom w:val="nil"/>
            </w:tcBorders>
          </w:tcPr>
          <w:p w:rsidR="008355F0" w:rsidRPr="0079484F" w:rsidRDefault="008355F0" w:rsidP="003867F8">
            <w:pPr>
              <w:autoSpaceDE w:val="0"/>
              <w:autoSpaceDN w:val="0"/>
              <w:adjustRightInd w:val="0"/>
              <w:spacing w:before="60" w:after="60"/>
              <w:rPr>
                <w:rFonts w:cs="Arial"/>
                <w:color w:val="000000"/>
                <w:sz w:val="16"/>
                <w:szCs w:val="16"/>
              </w:rPr>
            </w:pPr>
            <w:r w:rsidRPr="0079484F">
              <w:rPr>
                <w:rFonts w:cs="Arial"/>
                <w:color w:val="000000"/>
                <w:sz w:val="16"/>
                <w:szCs w:val="16"/>
              </w:rPr>
              <w:t>January to June</w:t>
            </w:r>
            <w:r>
              <w:rPr>
                <w:rFonts w:cs="Arial"/>
                <w:color w:val="000000"/>
                <w:sz w:val="16"/>
                <w:szCs w:val="16"/>
              </w:rPr>
              <w:t>,</w:t>
            </w:r>
            <w:r w:rsidRPr="0079484F">
              <w:rPr>
                <w:rFonts w:cs="Arial"/>
                <w:color w:val="000000"/>
                <w:sz w:val="16"/>
                <w:szCs w:val="16"/>
              </w:rPr>
              <w:t xml:space="preserve"> 2015</w:t>
            </w:r>
            <w:r>
              <w:rPr>
                <w:rFonts w:cs="Arial"/>
                <w:color w:val="000000"/>
                <w:sz w:val="16"/>
                <w:szCs w:val="16"/>
              </w:rPr>
              <w:t xml:space="preserve"> </w:t>
            </w:r>
            <w:r w:rsidRPr="0079484F">
              <w:rPr>
                <w:rFonts w:cs="Arial"/>
                <w:color w:val="000000"/>
                <w:sz w:val="16"/>
                <w:szCs w:val="16"/>
              </w:rPr>
              <w:t>(Ongoing)</w:t>
            </w:r>
          </w:p>
        </w:tc>
        <w:tc>
          <w:tcPr>
            <w:tcW w:w="1985" w:type="dxa"/>
            <w:tcBorders>
              <w:top w:val="single" w:sz="4" w:space="0" w:color="auto"/>
              <w:bottom w:val="nil"/>
            </w:tcBorders>
          </w:tcPr>
          <w:p w:rsidR="008355F0" w:rsidRPr="0079484F" w:rsidRDefault="008355F0" w:rsidP="003867F8">
            <w:pPr>
              <w:autoSpaceDE w:val="0"/>
              <w:autoSpaceDN w:val="0"/>
              <w:adjustRightInd w:val="0"/>
              <w:spacing w:before="60" w:after="60"/>
              <w:rPr>
                <w:rFonts w:cs="Arial"/>
                <w:color w:val="000000"/>
                <w:sz w:val="16"/>
                <w:szCs w:val="16"/>
              </w:rPr>
            </w:pPr>
            <w:r w:rsidRPr="0079484F">
              <w:rPr>
                <w:rFonts w:cs="Arial"/>
                <w:color w:val="000000"/>
                <w:sz w:val="16"/>
                <w:szCs w:val="16"/>
              </w:rPr>
              <w:t xml:space="preserve">Cameroon/ </w:t>
            </w:r>
            <w:r>
              <w:rPr>
                <w:rFonts w:cs="Arial"/>
                <w:color w:val="000000"/>
                <w:sz w:val="16"/>
                <w:szCs w:val="16"/>
              </w:rPr>
              <w:t>1</w:t>
            </w:r>
            <w:r w:rsidRPr="0079484F">
              <w:rPr>
                <w:rFonts w:cs="Arial"/>
                <w:color w:val="000000"/>
                <w:sz w:val="16"/>
                <w:szCs w:val="16"/>
              </w:rPr>
              <w:t>0 scholarships to selected trainees from Benin, Burkina Faso, Cameroon, Comoros, Congo, Gabon, Guinea, Madagascar, Niger and Togo</w:t>
            </w:r>
          </w:p>
        </w:tc>
        <w:tc>
          <w:tcPr>
            <w:tcW w:w="4536" w:type="dxa"/>
            <w:tcBorders>
              <w:top w:val="single" w:sz="4" w:space="0" w:color="auto"/>
              <w:bottom w:val="nil"/>
              <w:right w:val="single" w:sz="4" w:space="0" w:color="auto"/>
            </w:tcBorders>
          </w:tcPr>
          <w:p w:rsidR="008355F0" w:rsidRPr="0079484F" w:rsidRDefault="008355F0" w:rsidP="003867F8">
            <w:pPr>
              <w:autoSpaceDE w:val="0"/>
              <w:autoSpaceDN w:val="0"/>
              <w:adjustRightInd w:val="0"/>
              <w:spacing w:before="60" w:after="60"/>
              <w:rPr>
                <w:rFonts w:cs="Arial"/>
                <w:color w:val="000000"/>
                <w:sz w:val="16"/>
                <w:szCs w:val="16"/>
              </w:rPr>
            </w:pPr>
            <w:r w:rsidRPr="0079484F">
              <w:rPr>
                <w:rFonts w:cs="Arial"/>
                <w:color w:val="000000"/>
                <w:sz w:val="16"/>
                <w:szCs w:val="16"/>
              </w:rPr>
              <w:t xml:space="preserve">To: </w:t>
            </w:r>
            <w:r>
              <w:rPr>
                <w:rFonts w:cs="Arial"/>
                <w:color w:val="000000"/>
                <w:sz w:val="16"/>
                <w:szCs w:val="16"/>
              </w:rPr>
              <w:t xml:space="preserve"> </w:t>
            </w:r>
            <w:r w:rsidRPr="0079484F">
              <w:rPr>
                <w:rFonts w:cs="Arial"/>
                <w:color w:val="000000"/>
                <w:sz w:val="16"/>
                <w:szCs w:val="16"/>
              </w:rPr>
              <w:t xml:space="preserve">(i) provide general and specialized IP training for government officials and IP professionals; </w:t>
            </w:r>
            <w:r>
              <w:rPr>
                <w:rFonts w:cs="Arial"/>
                <w:color w:val="000000"/>
                <w:sz w:val="16"/>
                <w:szCs w:val="16"/>
              </w:rPr>
              <w:t xml:space="preserve"> </w:t>
            </w:r>
            <w:r w:rsidRPr="0079484F">
              <w:rPr>
                <w:rFonts w:cs="Arial"/>
                <w:color w:val="000000"/>
                <w:sz w:val="16"/>
                <w:szCs w:val="16"/>
              </w:rPr>
              <w:t>and (ii) provide opportunities for human resource development and capacity building through IP training and teaching for persons engaged in teaching and research on IP at universities and other institutions.</w:t>
            </w:r>
          </w:p>
        </w:tc>
      </w:tr>
      <w:tr w:rsidR="008355F0" w:rsidRPr="0079484F" w:rsidTr="00E92F85">
        <w:trPr>
          <w:cantSplit/>
          <w:trHeight w:val="315"/>
        </w:trPr>
        <w:tc>
          <w:tcPr>
            <w:tcW w:w="1843" w:type="dxa"/>
            <w:tcBorders>
              <w:top w:val="nil"/>
              <w:left w:val="single" w:sz="4" w:space="0" w:color="auto"/>
              <w:bottom w:val="nil"/>
            </w:tcBorders>
          </w:tcPr>
          <w:p w:rsidR="008355F0" w:rsidRPr="0079484F" w:rsidRDefault="008355F0" w:rsidP="003867F8">
            <w:pPr>
              <w:autoSpaceDE w:val="0"/>
              <w:autoSpaceDN w:val="0"/>
              <w:adjustRightInd w:val="0"/>
              <w:spacing w:before="60" w:after="60"/>
              <w:rPr>
                <w:rFonts w:cs="Arial"/>
                <w:color w:val="000000"/>
                <w:sz w:val="16"/>
                <w:szCs w:val="16"/>
              </w:rPr>
            </w:pPr>
            <w:r w:rsidRPr="0079484F">
              <w:rPr>
                <w:rFonts w:cs="Arial"/>
                <w:color w:val="000000"/>
                <w:sz w:val="16"/>
                <w:szCs w:val="16"/>
              </w:rPr>
              <w:t>Partnership between WIPO/ARIPO and Africa University in Mutare, Zimbabwe</w:t>
            </w:r>
          </w:p>
        </w:tc>
        <w:tc>
          <w:tcPr>
            <w:tcW w:w="1134" w:type="dxa"/>
            <w:tcBorders>
              <w:top w:val="nil"/>
              <w:bottom w:val="nil"/>
            </w:tcBorders>
          </w:tcPr>
          <w:p w:rsidR="008355F0" w:rsidRPr="0079484F" w:rsidRDefault="008355F0" w:rsidP="003867F8">
            <w:pPr>
              <w:autoSpaceDE w:val="0"/>
              <w:autoSpaceDN w:val="0"/>
              <w:adjustRightInd w:val="0"/>
              <w:spacing w:before="60" w:after="60"/>
              <w:rPr>
                <w:rFonts w:cs="Arial"/>
                <w:color w:val="000000"/>
                <w:sz w:val="16"/>
                <w:szCs w:val="16"/>
              </w:rPr>
            </w:pPr>
            <w:r w:rsidRPr="0079484F">
              <w:rPr>
                <w:rFonts w:cs="Arial"/>
                <w:color w:val="000000"/>
                <w:sz w:val="16"/>
                <w:szCs w:val="16"/>
              </w:rPr>
              <w:t>May to December</w:t>
            </w:r>
            <w:r>
              <w:rPr>
                <w:rFonts w:cs="Arial"/>
                <w:color w:val="000000"/>
                <w:sz w:val="16"/>
                <w:szCs w:val="16"/>
              </w:rPr>
              <w:t>,</w:t>
            </w:r>
            <w:r w:rsidRPr="0079484F">
              <w:rPr>
                <w:rFonts w:cs="Arial"/>
                <w:color w:val="000000"/>
                <w:sz w:val="16"/>
                <w:szCs w:val="16"/>
              </w:rPr>
              <w:t xml:space="preserve"> 2015</w:t>
            </w:r>
          </w:p>
          <w:p w:rsidR="008355F0" w:rsidRPr="0079484F" w:rsidRDefault="008355F0" w:rsidP="003867F8">
            <w:pPr>
              <w:autoSpaceDE w:val="0"/>
              <w:autoSpaceDN w:val="0"/>
              <w:adjustRightInd w:val="0"/>
              <w:spacing w:before="60" w:after="60"/>
              <w:rPr>
                <w:rFonts w:cs="Arial"/>
                <w:color w:val="000000"/>
                <w:sz w:val="16"/>
                <w:szCs w:val="16"/>
              </w:rPr>
            </w:pPr>
            <w:r w:rsidRPr="0079484F">
              <w:rPr>
                <w:rFonts w:cs="Arial"/>
                <w:color w:val="000000"/>
                <w:sz w:val="16"/>
                <w:szCs w:val="16"/>
              </w:rPr>
              <w:t>(Ongoing)</w:t>
            </w:r>
          </w:p>
        </w:tc>
        <w:tc>
          <w:tcPr>
            <w:tcW w:w="1985" w:type="dxa"/>
            <w:tcBorders>
              <w:top w:val="nil"/>
              <w:bottom w:val="nil"/>
            </w:tcBorders>
          </w:tcPr>
          <w:p w:rsidR="008355F0" w:rsidRPr="0079484F" w:rsidRDefault="008355F0" w:rsidP="003867F8">
            <w:pPr>
              <w:autoSpaceDE w:val="0"/>
              <w:autoSpaceDN w:val="0"/>
              <w:adjustRightInd w:val="0"/>
              <w:spacing w:before="60" w:after="60"/>
              <w:rPr>
                <w:rFonts w:cs="Arial"/>
                <w:color w:val="000000"/>
                <w:sz w:val="16"/>
                <w:szCs w:val="16"/>
              </w:rPr>
            </w:pPr>
            <w:r w:rsidRPr="0079484F">
              <w:rPr>
                <w:rFonts w:cs="Arial"/>
                <w:color w:val="000000"/>
                <w:sz w:val="16"/>
                <w:szCs w:val="16"/>
              </w:rPr>
              <w:t>Zimbabwe/</w:t>
            </w:r>
            <w:r>
              <w:rPr>
                <w:rFonts w:cs="Arial"/>
                <w:color w:val="000000"/>
                <w:sz w:val="16"/>
                <w:szCs w:val="16"/>
              </w:rPr>
              <w:t xml:space="preserve"> </w:t>
            </w:r>
            <w:r w:rsidRPr="0079484F">
              <w:rPr>
                <w:rFonts w:cs="Arial"/>
                <w:color w:val="000000"/>
                <w:sz w:val="16"/>
                <w:szCs w:val="16"/>
              </w:rPr>
              <w:t>9 scholarships to selected trainees from Ghana, Kenya, Namibia, Nigeria, Rwanda, Sierra Leone, Uganda</w:t>
            </w:r>
            <w:r>
              <w:rPr>
                <w:rFonts w:cs="Arial"/>
                <w:color w:val="000000"/>
                <w:sz w:val="16"/>
                <w:szCs w:val="16"/>
              </w:rPr>
              <w:t>, United Republic of Tanzania</w:t>
            </w:r>
            <w:r w:rsidRPr="0079484F">
              <w:rPr>
                <w:rFonts w:cs="Arial"/>
                <w:color w:val="000000"/>
                <w:sz w:val="16"/>
                <w:szCs w:val="16"/>
              </w:rPr>
              <w:t xml:space="preserve"> and Zimbabwe</w:t>
            </w:r>
          </w:p>
        </w:tc>
        <w:tc>
          <w:tcPr>
            <w:tcW w:w="4536" w:type="dxa"/>
            <w:tcBorders>
              <w:top w:val="nil"/>
              <w:bottom w:val="nil"/>
              <w:right w:val="single" w:sz="4" w:space="0" w:color="auto"/>
            </w:tcBorders>
          </w:tcPr>
          <w:p w:rsidR="008355F0" w:rsidRPr="0079484F" w:rsidRDefault="008355F0" w:rsidP="003867F8">
            <w:pPr>
              <w:autoSpaceDE w:val="0"/>
              <w:autoSpaceDN w:val="0"/>
              <w:adjustRightInd w:val="0"/>
              <w:spacing w:before="60" w:after="60"/>
              <w:rPr>
                <w:rFonts w:cs="Arial"/>
                <w:color w:val="000000"/>
                <w:sz w:val="16"/>
                <w:szCs w:val="16"/>
              </w:rPr>
            </w:pPr>
            <w:r w:rsidRPr="0079484F">
              <w:rPr>
                <w:rFonts w:cs="Arial"/>
                <w:color w:val="000000"/>
                <w:sz w:val="16"/>
                <w:szCs w:val="16"/>
              </w:rPr>
              <w:t xml:space="preserve">To: </w:t>
            </w:r>
            <w:r>
              <w:rPr>
                <w:rFonts w:cs="Arial"/>
                <w:color w:val="000000"/>
                <w:sz w:val="16"/>
                <w:szCs w:val="16"/>
              </w:rPr>
              <w:t xml:space="preserve"> </w:t>
            </w:r>
            <w:r w:rsidRPr="0079484F">
              <w:rPr>
                <w:rFonts w:cs="Arial"/>
                <w:color w:val="000000"/>
                <w:sz w:val="16"/>
                <w:szCs w:val="16"/>
              </w:rPr>
              <w:t xml:space="preserve">(i) provide general and specialized IP training for government officials and IP professionals; </w:t>
            </w:r>
            <w:r>
              <w:rPr>
                <w:rFonts w:cs="Arial"/>
                <w:color w:val="000000"/>
                <w:sz w:val="16"/>
                <w:szCs w:val="16"/>
              </w:rPr>
              <w:t xml:space="preserve"> </w:t>
            </w:r>
            <w:r w:rsidRPr="0079484F">
              <w:rPr>
                <w:rFonts w:cs="Arial"/>
                <w:color w:val="000000"/>
                <w:sz w:val="16"/>
                <w:szCs w:val="16"/>
              </w:rPr>
              <w:t>and (ii) provide opportunities for human resource development and capacity building through IP training and teaching for persons engaged in teaching and research on IP at universities and other institutions.</w:t>
            </w:r>
          </w:p>
        </w:tc>
      </w:tr>
      <w:tr w:rsidR="008355F0" w:rsidRPr="0079484F" w:rsidTr="00E92F85">
        <w:trPr>
          <w:cantSplit/>
          <w:trHeight w:val="315"/>
        </w:trPr>
        <w:tc>
          <w:tcPr>
            <w:tcW w:w="1843" w:type="dxa"/>
            <w:tcBorders>
              <w:top w:val="nil"/>
              <w:left w:val="single" w:sz="4" w:space="0" w:color="auto"/>
              <w:bottom w:val="nil"/>
            </w:tcBorders>
          </w:tcPr>
          <w:p w:rsidR="008355F0" w:rsidRPr="0079484F" w:rsidRDefault="008355F0" w:rsidP="003867F8">
            <w:pPr>
              <w:autoSpaceDE w:val="0"/>
              <w:autoSpaceDN w:val="0"/>
              <w:adjustRightInd w:val="0"/>
              <w:spacing w:before="60" w:after="60"/>
              <w:rPr>
                <w:rFonts w:cs="Arial"/>
                <w:color w:val="000000"/>
                <w:sz w:val="16"/>
                <w:szCs w:val="16"/>
              </w:rPr>
            </w:pPr>
            <w:r>
              <w:rPr>
                <w:rFonts w:cs="Arial"/>
                <w:color w:val="000000"/>
                <w:sz w:val="16"/>
                <w:szCs w:val="16"/>
              </w:rPr>
              <w:t xml:space="preserve">Production </w:t>
            </w:r>
            <w:r w:rsidRPr="0079484F">
              <w:rPr>
                <w:rFonts w:cs="Arial"/>
                <w:color w:val="000000"/>
                <w:sz w:val="16"/>
                <w:szCs w:val="16"/>
              </w:rPr>
              <w:t>of</w:t>
            </w:r>
            <w:r>
              <w:rPr>
                <w:rFonts w:cs="Arial"/>
                <w:color w:val="000000"/>
                <w:sz w:val="16"/>
                <w:szCs w:val="16"/>
              </w:rPr>
              <w:t xml:space="preserve"> a</w:t>
            </w:r>
            <w:r w:rsidRPr="0079484F">
              <w:rPr>
                <w:rFonts w:cs="Arial"/>
                <w:color w:val="000000"/>
                <w:sz w:val="16"/>
                <w:szCs w:val="16"/>
              </w:rPr>
              <w:t xml:space="preserve"> Film to Showcase Success Story - Zanzibar Clove Industry</w:t>
            </w:r>
          </w:p>
        </w:tc>
        <w:tc>
          <w:tcPr>
            <w:tcW w:w="1134" w:type="dxa"/>
            <w:tcBorders>
              <w:top w:val="nil"/>
              <w:bottom w:val="nil"/>
            </w:tcBorders>
          </w:tcPr>
          <w:p w:rsidR="008355F0" w:rsidRPr="0079484F" w:rsidRDefault="008355F0" w:rsidP="003867F8">
            <w:pPr>
              <w:autoSpaceDE w:val="0"/>
              <w:autoSpaceDN w:val="0"/>
              <w:adjustRightInd w:val="0"/>
              <w:spacing w:before="60" w:after="60"/>
              <w:rPr>
                <w:rFonts w:cs="Arial"/>
                <w:color w:val="000000"/>
                <w:sz w:val="16"/>
                <w:szCs w:val="16"/>
              </w:rPr>
            </w:pPr>
            <w:r w:rsidRPr="0079484F">
              <w:rPr>
                <w:rFonts w:cs="Arial"/>
                <w:color w:val="000000"/>
                <w:sz w:val="16"/>
                <w:szCs w:val="16"/>
              </w:rPr>
              <w:t>August to November</w:t>
            </w:r>
            <w:r>
              <w:rPr>
                <w:rFonts w:cs="Arial"/>
                <w:color w:val="000000"/>
                <w:sz w:val="16"/>
                <w:szCs w:val="16"/>
              </w:rPr>
              <w:t>,</w:t>
            </w:r>
            <w:r w:rsidRPr="0079484F">
              <w:rPr>
                <w:rFonts w:cs="Arial"/>
                <w:color w:val="000000"/>
                <w:sz w:val="16"/>
                <w:szCs w:val="16"/>
              </w:rPr>
              <w:t xml:space="preserve"> 2015</w:t>
            </w:r>
          </w:p>
        </w:tc>
        <w:tc>
          <w:tcPr>
            <w:tcW w:w="1985" w:type="dxa"/>
            <w:tcBorders>
              <w:top w:val="nil"/>
              <w:bottom w:val="nil"/>
            </w:tcBorders>
          </w:tcPr>
          <w:p w:rsidR="008355F0" w:rsidRPr="0079484F" w:rsidRDefault="008355F0" w:rsidP="003867F8">
            <w:pPr>
              <w:autoSpaceDE w:val="0"/>
              <w:autoSpaceDN w:val="0"/>
              <w:adjustRightInd w:val="0"/>
              <w:spacing w:before="60" w:after="60"/>
              <w:rPr>
                <w:rFonts w:cs="Arial"/>
                <w:color w:val="000000"/>
                <w:sz w:val="16"/>
                <w:szCs w:val="16"/>
              </w:rPr>
            </w:pPr>
            <w:r w:rsidRPr="0079484F">
              <w:rPr>
                <w:rFonts w:cs="Arial"/>
                <w:color w:val="000000"/>
                <w:sz w:val="16"/>
                <w:szCs w:val="16"/>
              </w:rPr>
              <w:t>Tanzania</w:t>
            </w:r>
          </w:p>
        </w:tc>
        <w:tc>
          <w:tcPr>
            <w:tcW w:w="4536" w:type="dxa"/>
            <w:tcBorders>
              <w:top w:val="nil"/>
              <w:bottom w:val="nil"/>
              <w:right w:val="single" w:sz="4" w:space="0" w:color="auto"/>
            </w:tcBorders>
          </w:tcPr>
          <w:p w:rsidR="008355F0" w:rsidRPr="0079484F" w:rsidRDefault="008355F0" w:rsidP="003867F8">
            <w:pPr>
              <w:autoSpaceDE w:val="0"/>
              <w:autoSpaceDN w:val="0"/>
              <w:adjustRightInd w:val="0"/>
              <w:spacing w:before="60" w:after="60"/>
              <w:rPr>
                <w:rFonts w:cs="Arial"/>
                <w:color w:val="000000"/>
                <w:sz w:val="16"/>
                <w:szCs w:val="16"/>
              </w:rPr>
            </w:pPr>
            <w:r w:rsidRPr="0079484F">
              <w:rPr>
                <w:rFonts w:cs="Arial"/>
                <w:color w:val="000000"/>
                <w:sz w:val="16"/>
                <w:szCs w:val="16"/>
              </w:rPr>
              <w:t>To highlight the role of IP and</w:t>
            </w:r>
            <w:r>
              <w:rPr>
                <w:rFonts w:cs="Arial"/>
                <w:color w:val="000000"/>
                <w:sz w:val="16"/>
                <w:szCs w:val="16"/>
              </w:rPr>
              <w:t xml:space="preserve"> the</w:t>
            </w:r>
            <w:r w:rsidRPr="0079484F">
              <w:rPr>
                <w:rFonts w:cs="Arial"/>
                <w:color w:val="000000"/>
                <w:sz w:val="16"/>
                <w:szCs w:val="16"/>
              </w:rPr>
              <w:t xml:space="preserve"> importance of engagement of national government and other partners in a branding project. </w:t>
            </w:r>
          </w:p>
        </w:tc>
      </w:tr>
      <w:tr w:rsidR="008355F0" w:rsidRPr="0079484F" w:rsidTr="00E92F85">
        <w:trPr>
          <w:cantSplit/>
          <w:trHeight w:val="315"/>
        </w:trPr>
        <w:tc>
          <w:tcPr>
            <w:tcW w:w="1843" w:type="dxa"/>
            <w:tcBorders>
              <w:top w:val="nil"/>
              <w:left w:val="single" w:sz="4" w:space="0" w:color="auto"/>
              <w:bottom w:val="nil"/>
            </w:tcBorders>
          </w:tcPr>
          <w:p w:rsidR="008355F0" w:rsidRPr="0079484F" w:rsidRDefault="008355F0" w:rsidP="003867F8">
            <w:pPr>
              <w:autoSpaceDE w:val="0"/>
              <w:autoSpaceDN w:val="0"/>
              <w:adjustRightInd w:val="0"/>
              <w:spacing w:before="60" w:after="60"/>
              <w:rPr>
                <w:rFonts w:cs="Arial"/>
                <w:color w:val="000000"/>
                <w:sz w:val="16"/>
                <w:szCs w:val="16"/>
              </w:rPr>
            </w:pPr>
            <w:r w:rsidRPr="0079484F">
              <w:rPr>
                <w:rFonts w:cs="Arial"/>
                <w:color w:val="000000"/>
                <w:sz w:val="16"/>
                <w:szCs w:val="16"/>
              </w:rPr>
              <w:t>Patent Drafting Course for Patent Agents</w:t>
            </w:r>
          </w:p>
        </w:tc>
        <w:tc>
          <w:tcPr>
            <w:tcW w:w="1134" w:type="dxa"/>
            <w:tcBorders>
              <w:top w:val="nil"/>
              <w:bottom w:val="nil"/>
            </w:tcBorders>
          </w:tcPr>
          <w:p w:rsidR="008355F0" w:rsidRPr="0079484F" w:rsidRDefault="008355F0" w:rsidP="003867F8">
            <w:pPr>
              <w:autoSpaceDE w:val="0"/>
              <w:autoSpaceDN w:val="0"/>
              <w:adjustRightInd w:val="0"/>
              <w:spacing w:before="60" w:after="60"/>
              <w:rPr>
                <w:rFonts w:cs="Arial"/>
                <w:color w:val="000000"/>
                <w:sz w:val="16"/>
                <w:szCs w:val="16"/>
              </w:rPr>
            </w:pPr>
            <w:r w:rsidRPr="0079484F">
              <w:rPr>
                <w:rFonts w:cs="Arial"/>
                <w:color w:val="000000"/>
                <w:sz w:val="16"/>
                <w:szCs w:val="16"/>
              </w:rPr>
              <w:t>September 7 to October 9, 2015</w:t>
            </w:r>
          </w:p>
        </w:tc>
        <w:tc>
          <w:tcPr>
            <w:tcW w:w="1985" w:type="dxa"/>
            <w:tcBorders>
              <w:top w:val="nil"/>
              <w:bottom w:val="nil"/>
            </w:tcBorders>
          </w:tcPr>
          <w:p w:rsidR="008355F0" w:rsidRPr="0079484F" w:rsidRDefault="008355F0" w:rsidP="003867F8">
            <w:pPr>
              <w:autoSpaceDE w:val="0"/>
              <w:autoSpaceDN w:val="0"/>
              <w:adjustRightInd w:val="0"/>
              <w:spacing w:before="60" w:after="60"/>
              <w:rPr>
                <w:rFonts w:cs="Arial"/>
                <w:color w:val="000000"/>
                <w:sz w:val="16"/>
                <w:szCs w:val="16"/>
              </w:rPr>
            </w:pPr>
            <w:r w:rsidRPr="0079484F">
              <w:rPr>
                <w:rFonts w:cs="Arial"/>
                <w:color w:val="000000"/>
                <w:sz w:val="16"/>
                <w:szCs w:val="16"/>
              </w:rPr>
              <w:t>Zimbabwe/</w:t>
            </w:r>
            <w:r>
              <w:rPr>
                <w:rFonts w:cs="Arial"/>
                <w:color w:val="000000"/>
                <w:sz w:val="16"/>
                <w:szCs w:val="16"/>
              </w:rPr>
              <w:t xml:space="preserve"> </w:t>
            </w:r>
            <w:r w:rsidRPr="0079484F">
              <w:rPr>
                <w:rFonts w:cs="Arial"/>
                <w:color w:val="000000"/>
                <w:sz w:val="16"/>
                <w:szCs w:val="16"/>
              </w:rPr>
              <w:t xml:space="preserve">22 participants from </w:t>
            </w:r>
            <w:r>
              <w:rPr>
                <w:rFonts w:cs="Arial"/>
                <w:color w:val="000000"/>
                <w:sz w:val="16"/>
                <w:szCs w:val="16"/>
              </w:rPr>
              <w:t xml:space="preserve">the </w:t>
            </w:r>
            <w:r w:rsidRPr="0079484F">
              <w:rPr>
                <w:rFonts w:cs="Arial"/>
                <w:color w:val="000000"/>
                <w:sz w:val="16"/>
                <w:szCs w:val="16"/>
              </w:rPr>
              <w:t xml:space="preserve">Gambia, Ghana, Kenya, Malawi, Mozambique, Namibia, Nigeria, Rwanda, Sao Tome and Principe, Sierra Leone, Swaziland, </w:t>
            </w:r>
            <w:r>
              <w:rPr>
                <w:rFonts w:cs="Arial"/>
                <w:color w:val="000000"/>
                <w:sz w:val="16"/>
                <w:szCs w:val="16"/>
              </w:rPr>
              <w:t xml:space="preserve">United Republic of </w:t>
            </w:r>
            <w:r w:rsidRPr="0079484F">
              <w:rPr>
                <w:rFonts w:cs="Arial"/>
                <w:color w:val="000000"/>
                <w:sz w:val="16"/>
                <w:szCs w:val="16"/>
              </w:rPr>
              <w:t>Tanzania, Zambia and Zimbabwe</w:t>
            </w:r>
          </w:p>
        </w:tc>
        <w:tc>
          <w:tcPr>
            <w:tcW w:w="4536" w:type="dxa"/>
            <w:tcBorders>
              <w:top w:val="nil"/>
              <w:bottom w:val="nil"/>
              <w:right w:val="single" w:sz="4" w:space="0" w:color="auto"/>
            </w:tcBorders>
          </w:tcPr>
          <w:p w:rsidR="008355F0" w:rsidRPr="0079484F" w:rsidRDefault="008355F0" w:rsidP="003867F8">
            <w:pPr>
              <w:autoSpaceDE w:val="0"/>
              <w:autoSpaceDN w:val="0"/>
              <w:adjustRightInd w:val="0"/>
              <w:spacing w:before="60" w:after="60"/>
              <w:rPr>
                <w:rFonts w:cs="Arial"/>
                <w:color w:val="000000"/>
                <w:sz w:val="16"/>
                <w:szCs w:val="16"/>
              </w:rPr>
            </w:pPr>
            <w:r w:rsidRPr="0079484F">
              <w:rPr>
                <w:rFonts w:cs="Arial"/>
                <w:color w:val="000000"/>
                <w:sz w:val="16"/>
                <w:szCs w:val="16"/>
              </w:rPr>
              <w:t>To</w:t>
            </w:r>
            <w:r>
              <w:rPr>
                <w:rFonts w:cs="Arial"/>
                <w:color w:val="000000"/>
                <w:sz w:val="16"/>
                <w:szCs w:val="16"/>
              </w:rPr>
              <w:t>:  (i)</w:t>
            </w:r>
            <w:r w:rsidRPr="0079484F">
              <w:rPr>
                <w:rFonts w:cs="Arial"/>
                <w:color w:val="000000"/>
                <w:sz w:val="16"/>
                <w:szCs w:val="16"/>
              </w:rPr>
              <w:t xml:space="preserve"> enhance drafting skills of practitioners/patent agents from ARIPO Member States and Observer States</w:t>
            </w:r>
            <w:r>
              <w:rPr>
                <w:rFonts w:cs="Arial"/>
                <w:color w:val="000000"/>
                <w:sz w:val="16"/>
                <w:szCs w:val="16"/>
              </w:rPr>
              <w:t xml:space="preserve">;  </w:t>
            </w:r>
            <w:r w:rsidRPr="0079484F">
              <w:rPr>
                <w:rFonts w:cs="Arial"/>
                <w:color w:val="000000"/>
                <w:sz w:val="16"/>
                <w:szCs w:val="16"/>
              </w:rPr>
              <w:t xml:space="preserve">and </w:t>
            </w:r>
            <w:r>
              <w:rPr>
                <w:rFonts w:cs="Arial"/>
                <w:color w:val="000000"/>
                <w:sz w:val="16"/>
                <w:szCs w:val="16"/>
              </w:rPr>
              <w:t>(ii)</w:t>
            </w:r>
            <w:r w:rsidRPr="0079484F">
              <w:rPr>
                <w:rFonts w:cs="Arial"/>
                <w:color w:val="000000"/>
                <w:sz w:val="16"/>
                <w:szCs w:val="16"/>
              </w:rPr>
              <w:t xml:space="preserve"> familiarize them with new techniques </w:t>
            </w:r>
            <w:r>
              <w:rPr>
                <w:rFonts w:cs="Arial"/>
                <w:color w:val="000000"/>
                <w:sz w:val="16"/>
                <w:szCs w:val="16"/>
              </w:rPr>
              <w:t>to</w:t>
            </w:r>
            <w:r w:rsidRPr="0079484F">
              <w:rPr>
                <w:rFonts w:cs="Arial"/>
                <w:color w:val="000000"/>
                <w:sz w:val="16"/>
                <w:szCs w:val="16"/>
              </w:rPr>
              <w:t xml:space="preserve"> assist them in</w:t>
            </w:r>
            <w:r>
              <w:rPr>
                <w:rFonts w:cs="Arial"/>
                <w:color w:val="000000"/>
                <w:sz w:val="16"/>
                <w:szCs w:val="16"/>
              </w:rPr>
              <w:t xml:space="preserve"> better </w:t>
            </w:r>
            <w:r w:rsidRPr="0079484F">
              <w:rPr>
                <w:rFonts w:cs="Arial"/>
                <w:color w:val="000000"/>
                <w:sz w:val="16"/>
                <w:szCs w:val="16"/>
              </w:rPr>
              <w:t xml:space="preserve">defining the scope </w:t>
            </w:r>
            <w:r>
              <w:rPr>
                <w:rFonts w:cs="Arial"/>
                <w:color w:val="000000"/>
                <w:sz w:val="16"/>
                <w:szCs w:val="16"/>
              </w:rPr>
              <w:t xml:space="preserve">and description </w:t>
            </w:r>
            <w:r w:rsidRPr="0079484F">
              <w:rPr>
                <w:rFonts w:cs="Arial"/>
                <w:color w:val="000000"/>
                <w:sz w:val="16"/>
                <w:szCs w:val="16"/>
              </w:rPr>
              <w:t>of claims</w:t>
            </w:r>
            <w:r>
              <w:rPr>
                <w:rFonts w:cs="Arial"/>
                <w:color w:val="000000"/>
                <w:sz w:val="16"/>
                <w:szCs w:val="16"/>
              </w:rPr>
              <w:t>.</w:t>
            </w:r>
            <w:r w:rsidRPr="0079484F">
              <w:rPr>
                <w:rFonts w:cs="Arial"/>
                <w:color w:val="000000"/>
                <w:sz w:val="16"/>
                <w:szCs w:val="16"/>
              </w:rPr>
              <w:t xml:space="preserve"> </w:t>
            </w:r>
          </w:p>
        </w:tc>
      </w:tr>
      <w:tr w:rsidR="008355F0" w:rsidRPr="0079484F" w:rsidTr="00E92F85">
        <w:trPr>
          <w:cantSplit/>
          <w:trHeight w:val="315"/>
        </w:trPr>
        <w:tc>
          <w:tcPr>
            <w:tcW w:w="1843" w:type="dxa"/>
            <w:tcBorders>
              <w:top w:val="nil"/>
              <w:left w:val="single" w:sz="4" w:space="0" w:color="auto"/>
              <w:bottom w:val="nil"/>
            </w:tcBorders>
          </w:tcPr>
          <w:p w:rsidR="008355F0" w:rsidRPr="0079484F" w:rsidRDefault="008355F0" w:rsidP="003867F8">
            <w:pPr>
              <w:autoSpaceDE w:val="0"/>
              <w:autoSpaceDN w:val="0"/>
              <w:adjustRightInd w:val="0"/>
              <w:spacing w:before="60" w:after="60"/>
              <w:rPr>
                <w:rFonts w:cs="Arial"/>
                <w:color w:val="000000"/>
                <w:sz w:val="16"/>
                <w:szCs w:val="16"/>
              </w:rPr>
            </w:pPr>
            <w:r w:rsidRPr="0079484F">
              <w:rPr>
                <w:rFonts w:cs="Arial"/>
                <w:color w:val="000000"/>
                <w:sz w:val="16"/>
                <w:szCs w:val="16"/>
              </w:rPr>
              <w:t>Feasibility Study Mission for a Branding Project</w:t>
            </w:r>
          </w:p>
        </w:tc>
        <w:tc>
          <w:tcPr>
            <w:tcW w:w="1134" w:type="dxa"/>
            <w:tcBorders>
              <w:top w:val="nil"/>
              <w:bottom w:val="nil"/>
            </w:tcBorders>
          </w:tcPr>
          <w:p w:rsidR="008355F0" w:rsidRPr="0079484F" w:rsidRDefault="008355F0" w:rsidP="003867F8">
            <w:pPr>
              <w:autoSpaceDE w:val="0"/>
              <w:autoSpaceDN w:val="0"/>
              <w:adjustRightInd w:val="0"/>
              <w:spacing w:before="60" w:after="60"/>
              <w:rPr>
                <w:rFonts w:cs="Arial"/>
                <w:color w:val="000000"/>
                <w:sz w:val="16"/>
                <w:szCs w:val="16"/>
              </w:rPr>
            </w:pPr>
            <w:r w:rsidRPr="0079484F">
              <w:rPr>
                <w:rFonts w:cs="Arial"/>
                <w:color w:val="000000"/>
                <w:sz w:val="16"/>
                <w:szCs w:val="16"/>
              </w:rPr>
              <w:t>September 21 to 25, 2015</w:t>
            </w:r>
          </w:p>
        </w:tc>
        <w:tc>
          <w:tcPr>
            <w:tcW w:w="1985" w:type="dxa"/>
            <w:tcBorders>
              <w:top w:val="nil"/>
              <w:bottom w:val="nil"/>
            </w:tcBorders>
          </w:tcPr>
          <w:p w:rsidR="008355F0" w:rsidRPr="0079484F" w:rsidRDefault="008355F0" w:rsidP="003867F8">
            <w:pPr>
              <w:autoSpaceDE w:val="0"/>
              <w:autoSpaceDN w:val="0"/>
              <w:adjustRightInd w:val="0"/>
              <w:spacing w:before="60" w:after="60"/>
              <w:rPr>
                <w:rFonts w:cs="Arial"/>
                <w:color w:val="000000"/>
                <w:sz w:val="16"/>
                <w:szCs w:val="16"/>
              </w:rPr>
            </w:pPr>
            <w:r w:rsidRPr="0079484F">
              <w:rPr>
                <w:rFonts w:cs="Arial"/>
                <w:color w:val="000000"/>
                <w:sz w:val="16"/>
                <w:szCs w:val="16"/>
              </w:rPr>
              <w:t>Kenya</w:t>
            </w:r>
          </w:p>
        </w:tc>
        <w:tc>
          <w:tcPr>
            <w:tcW w:w="4536" w:type="dxa"/>
            <w:tcBorders>
              <w:top w:val="nil"/>
              <w:bottom w:val="nil"/>
              <w:right w:val="single" w:sz="4" w:space="0" w:color="auto"/>
            </w:tcBorders>
          </w:tcPr>
          <w:p w:rsidR="008355F0" w:rsidRPr="0079484F" w:rsidRDefault="008355F0" w:rsidP="003867F8">
            <w:pPr>
              <w:autoSpaceDE w:val="0"/>
              <w:autoSpaceDN w:val="0"/>
              <w:adjustRightInd w:val="0"/>
              <w:spacing w:before="60" w:after="60"/>
              <w:rPr>
                <w:rFonts w:cs="Arial"/>
                <w:color w:val="000000"/>
                <w:sz w:val="16"/>
                <w:szCs w:val="16"/>
              </w:rPr>
            </w:pPr>
            <w:r w:rsidRPr="0079484F">
              <w:rPr>
                <w:rFonts w:cs="Arial"/>
                <w:color w:val="000000"/>
                <w:sz w:val="16"/>
                <w:szCs w:val="16"/>
              </w:rPr>
              <w:t>To assess the feasibility of a branding project using IP for Taita Basket in Kenya.</w:t>
            </w:r>
          </w:p>
        </w:tc>
      </w:tr>
      <w:tr w:rsidR="008355F0" w:rsidRPr="0079484F" w:rsidTr="00E92F85">
        <w:trPr>
          <w:cantSplit/>
          <w:trHeight w:val="315"/>
        </w:trPr>
        <w:tc>
          <w:tcPr>
            <w:tcW w:w="1843" w:type="dxa"/>
            <w:tcBorders>
              <w:top w:val="nil"/>
              <w:left w:val="single" w:sz="4" w:space="0" w:color="auto"/>
              <w:bottom w:val="nil"/>
            </w:tcBorders>
          </w:tcPr>
          <w:p w:rsidR="008355F0" w:rsidRPr="0079484F" w:rsidRDefault="008355F0" w:rsidP="003867F8">
            <w:pPr>
              <w:autoSpaceDE w:val="0"/>
              <w:autoSpaceDN w:val="0"/>
              <w:adjustRightInd w:val="0"/>
              <w:spacing w:before="60" w:after="60"/>
              <w:rPr>
                <w:rFonts w:cs="Arial"/>
                <w:color w:val="000000"/>
                <w:sz w:val="16"/>
                <w:szCs w:val="16"/>
              </w:rPr>
            </w:pPr>
            <w:r w:rsidRPr="0079484F">
              <w:rPr>
                <w:rFonts w:cs="Arial"/>
                <w:color w:val="000000"/>
                <w:sz w:val="16"/>
                <w:szCs w:val="16"/>
              </w:rPr>
              <w:t>Training Course on the Use of Information Technology in Industrial Property Administration</w:t>
            </w:r>
          </w:p>
        </w:tc>
        <w:tc>
          <w:tcPr>
            <w:tcW w:w="1134" w:type="dxa"/>
            <w:tcBorders>
              <w:top w:val="nil"/>
              <w:bottom w:val="nil"/>
            </w:tcBorders>
          </w:tcPr>
          <w:p w:rsidR="008355F0" w:rsidRPr="0079484F" w:rsidRDefault="008355F0" w:rsidP="003867F8">
            <w:pPr>
              <w:autoSpaceDE w:val="0"/>
              <w:autoSpaceDN w:val="0"/>
              <w:adjustRightInd w:val="0"/>
              <w:spacing w:before="60" w:after="60"/>
              <w:rPr>
                <w:rFonts w:cs="Arial"/>
                <w:color w:val="000000"/>
                <w:sz w:val="16"/>
                <w:szCs w:val="16"/>
              </w:rPr>
            </w:pPr>
            <w:r w:rsidRPr="0079484F">
              <w:rPr>
                <w:rFonts w:cs="Arial"/>
                <w:color w:val="000000"/>
                <w:sz w:val="16"/>
                <w:szCs w:val="16"/>
              </w:rPr>
              <w:t>October 26 to November 6, 2015</w:t>
            </w:r>
          </w:p>
        </w:tc>
        <w:tc>
          <w:tcPr>
            <w:tcW w:w="1985" w:type="dxa"/>
            <w:tcBorders>
              <w:top w:val="nil"/>
              <w:bottom w:val="nil"/>
            </w:tcBorders>
          </w:tcPr>
          <w:p w:rsidR="008355F0" w:rsidRPr="0079484F" w:rsidRDefault="008355F0" w:rsidP="003867F8">
            <w:pPr>
              <w:autoSpaceDE w:val="0"/>
              <w:autoSpaceDN w:val="0"/>
              <w:adjustRightInd w:val="0"/>
              <w:spacing w:before="60" w:after="60"/>
              <w:rPr>
                <w:rFonts w:cs="Arial"/>
                <w:color w:val="000000"/>
                <w:sz w:val="16"/>
                <w:szCs w:val="16"/>
              </w:rPr>
            </w:pPr>
            <w:r w:rsidRPr="0079484F">
              <w:rPr>
                <w:rFonts w:cs="Arial"/>
                <w:color w:val="000000"/>
                <w:sz w:val="16"/>
                <w:szCs w:val="16"/>
              </w:rPr>
              <w:t>Japan/</w:t>
            </w:r>
            <w:r>
              <w:rPr>
                <w:rFonts w:cs="Arial"/>
                <w:color w:val="000000"/>
                <w:sz w:val="16"/>
                <w:szCs w:val="16"/>
              </w:rPr>
              <w:t xml:space="preserve"> </w:t>
            </w:r>
            <w:r w:rsidRPr="0079484F">
              <w:rPr>
                <w:rFonts w:cs="Arial"/>
                <w:color w:val="000000"/>
                <w:sz w:val="16"/>
                <w:szCs w:val="16"/>
              </w:rPr>
              <w:t>Algeria, South Africa</w:t>
            </w:r>
            <w:r>
              <w:rPr>
                <w:rFonts w:cs="Arial"/>
                <w:color w:val="000000"/>
                <w:sz w:val="16"/>
                <w:szCs w:val="16"/>
              </w:rPr>
              <w:t xml:space="preserve"> and </w:t>
            </w:r>
            <w:r w:rsidRPr="00B40FDD">
              <w:rPr>
                <w:rFonts w:cs="Arial"/>
                <w:color w:val="000000"/>
                <w:sz w:val="16"/>
                <w:szCs w:val="16"/>
              </w:rPr>
              <w:t>ARIPO</w:t>
            </w:r>
          </w:p>
        </w:tc>
        <w:tc>
          <w:tcPr>
            <w:tcW w:w="4536" w:type="dxa"/>
            <w:tcBorders>
              <w:top w:val="nil"/>
              <w:bottom w:val="nil"/>
              <w:right w:val="single" w:sz="4" w:space="0" w:color="auto"/>
            </w:tcBorders>
          </w:tcPr>
          <w:p w:rsidR="008355F0" w:rsidRPr="0079484F" w:rsidRDefault="008355F0" w:rsidP="003867F8">
            <w:pPr>
              <w:autoSpaceDE w:val="0"/>
              <w:autoSpaceDN w:val="0"/>
              <w:adjustRightInd w:val="0"/>
              <w:spacing w:before="60" w:after="60"/>
              <w:rPr>
                <w:rFonts w:cs="Arial"/>
                <w:color w:val="000000"/>
                <w:sz w:val="16"/>
                <w:szCs w:val="16"/>
              </w:rPr>
            </w:pPr>
            <w:r w:rsidRPr="0079484F">
              <w:rPr>
                <w:rFonts w:cs="Arial"/>
                <w:color w:val="000000"/>
                <w:sz w:val="16"/>
                <w:szCs w:val="16"/>
              </w:rPr>
              <w:t>To:</w:t>
            </w:r>
            <w:r>
              <w:rPr>
                <w:rFonts w:cs="Arial"/>
                <w:color w:val="000000"/>
                <w:sz w:val="16"/>
                <w:szCs w:val="16"/>
              </w:rPr>
              <w:t xml:space="preserve">  </w:t>
            </w:r>
            <w:r w:rsidRPr="0079484F">
              <w:rPr>
                <w:rFonts w:cs="Arial"/>
                <w:color w:val="000000"/>
                <w:sz w:val="16"/>
                <w:szCs w:val="16"/>
              </w:rPr>
              <w:t xml:space="preserve">(i) familiarize the participants with recent developments in information technology in terms of administering industrial property, disseminating industrial property information, and providing online services; </w:t>
            </w:r>
            <w:r>
              <w:rPr>
                <w:rFonts w:cs="Arial"/>
                <w:color w:val="000000"/>
                <w:sz w:val="16"/>
                <w:szCs w:val="16"/>
              </w:rPr>
              <w:t xml:space="preserve"> </w:t>
            </w:r>
            <w:r w:rsidRPr="0079484F">
              <w:rPr>
                <w:rFonts w:cs="Arial"/>
                <w:color w:val="000000"/>
                <w:sz w:val="16"/>
                <w:szCs w:val="16"/>
              </w:rPr>
              <w:t>(ii) impart practical knowledge of the latest tools and technologies via interactive sessions and visits to relevant private entities;</w:t>
            </w:r>
            <w:r>
              <w:rPr>
                <w:rFonts w:cs="Arial"/>
                <w:color w:val="000000"/>
                <w:sz w:val="16"/>
                <w:szCs w:val="16"/>
              </w:rPr>
              <w:t xml:space="preserve"> </w:t>
            </w:r>
            <w:r w:rsidRPr="0079484F">
              <w:rPr>
                <w:rFonts w:cs="Arial"/>
                <w:color w:val="000000"/>
                <w:sz w:val="16"/>
                <w:szCs w:val="16"/>
              </w:rPr>
              <w:t xml:space="preserve"> and (iii) provide an opportunity for participants to exchange views and concerns with each other on topical related issues, thereby enhanc</w:t>
            </w:r>
            <w:r>
              <w:rPr>
                <w:rFonts w:cs="Arial"/>
                <w:color w:val="000000"/>
                <w:sz w:val="16"/>
                <w:szCs w:val="16"/>
              </w:rPr>
              <w:t>ing</w:t>
            </w:r>
            <w:r w:rsidRPr="0079484F">
              <w:rPr>
                <w:rFonts w:cs="Arial"/>
                <w:color w:val="000000"/>
                <w:sz w:val="16"/>
                <w:szCs w:val="16"/>
              </w:rPr>
              <w:t xml:space="preserve"> the participants’ professional capacities in planning and managing the use of information technology in industrial property administration.</w:t>
            </w:r>
          </w:p>
        </w:tc>
      </w:tr>
      <w:tr w:rsidR="008355F0" w:rsidRPr="0079484F" w:rsidTr="00E92F85">
        <w:trPr>
          <w:cantSplit/>
          <w:trHeight w:val="315"/>
        </w:trPr>
        <w:tc>
          <w:tcPr>
            <w:tcW w:w="1843" w:type="dxa"/>
            <w:tcBorders>
              <w:top w:val="nil"/>
              <w:left w:val="single" w:sz="4" w:space="0" w:color="auto"/>
              <w:bottom w:val="nil"/>
            </w:tcBorders>
          </w:tcPr>
          <w:p w:rsidR="008355F0" w:rsidRPr="0079484F" w:rsidRDefault="008355F0" w:rsidP="003867F8">
            <w:pPr>
              <w:autoSpaceDE w:val="0"/>
              <w:autoSpaceDN w:val="0"/>
              <w:adjustRightInd w:val="0"/>
              <w:spacing w:before="60" w:after="60"/>
              <w:rPr>
                <w:rFonts w:cs="Arial"/>
                <w:color w:val="000000"/>
                <w:sz w:val="16"/>
                <w:szCs w:val="16"/>
              </w:rPr>
            </w:pPr>
            <w:r w:rsidRPr="0079484F">
              <w:rPr>
                <w:rFonts w:cs="Arial"/>
                <w:color w:val="000000"/>
                <w:sz w:val="16"/>
                <w:szCs w:val="16"/>
              </w:rPr>
              <w:t>IP Examination (Advanced) - Training Course on Industrial Property Examination - Patent I</w:t>
            </w:r>
          </w:p>
        </w:tc>
        <w:tc>
          <w:tcPr>
            <w:tcW w:w="1134" w:type="dxa"/>
            <w:tcBorders>
              <w:top w:val="nil"/>
              <w:bottom w:val="nil"/>
            </w:tcBorders>
          </w:tcPr>
          <w:p w:rsidR="008355F0" w:rsidRPr="0079484F" w:rsidRDefault="008355F0" w:rsidP="003867F8">
            <w:pPr>
              <w:autoSpaceDE w:val="0"/>
              <w:autoSpaceDN w:val="0"/>
              <w:adjustRightInd w:val="0"/>
              <w:spacing w:before="60" w:after="60"/>
              <w:rPr>
                <w:rFonts w:cs="Arial"/>
                <w:color w:val="000000"/>
                <w:sz w:val="16"/>
                <w:szCs w:val="16"/>
              </w:rPr>
            </w:pPr>
            <w:r w:rsidRPr="0079484F">
              <w:rPr>
                <w:rFonts w:cs="Arial"/>
                <w:color w:val="000000"/>
                <w:sz w:val="16"/>
                <w:szCs w:val="16"/>
              </w:rPr>
              <w:t>November 9 to 20, 2015</w:t>
            </w:r>
          </w:p>
        </w:tc>
        <w:tc>
          <w:tcPr>
            <w:tcW w:w="1985" w:type="dxa"/>
            <w:tcBorders>
              <w:top w:val="nil"/>
              <w:bottom w:val="nil"/>
            </w:tcBorders>
          </w:tcPr>
          <w:p w:rsidR="008355F0" w:rsidRPr="0079484F" w:rsidRDefault="008355F0" w:rsidP="003867F8">
            <w:pPr>
              <w:autoSpaceDE w:val="0"/>
              <w:autoSpaceDN w:val="0"/>
              <w:adjustRightInd w:val="0"/>
              <w:spacing w:before="60" w:after="60"/>
              <w:rPr>
                <w:rFonts w:cs="Arial"/>
                <w:color w:val="000000"/>
                <w:sz w:val="16"/>
                <w:szCs w:val="16"/>
              </w:rPr>
            </w:pPr>
            <w:r w:rsidRPr="0079484F">
              <w:rPr>
                <w:rFonts w:cs="Arial"/>
                <w:color w:val="000000"/>
                <w:sz w:val="16"/>
                <w:szCs w:val="16"/>
              </w:rPr>
              <w:t>Japan/</w:t>
            </w:r>
            <w:r>
              <w:rPr>
                <w:rFonts w:cs="Arial"/>
                <w:color w:val="000000"/>
                <w:sz w:val="16"/>
                <w:szCs w:val="16"/>
              </w:rPr>
              <w:t xml:space="preserve"> </w:t>
            </w:r>
            <w:r w:rsidRPr="0079484F">
              <w:rPr>
                <w:rFonts w:cs="Arial"/>
                <w:color w:val="000000"/>
                <w:sz w:val="16"/>
                <w:szCs w:val="16"/>
              </w:rPr>
              <w:t>Egypt</w:t>
            </w:r>
          </w:p>
        </w:tc>
        <w:tc>
          <w:tcPr>
            <w:tcW w:w="4536" w:type="dxa"/>
            <w:tcBorders>
              <w:top w:val="nil"/>
              <w:bottom w:val="nil"/>
              <w:right w:val="single" w:sz="4" w:space="0" w:color="auto"/>
            </w:tcBorders>
          </w:tcPr>
          <w:p w:rsidR="008355F0" w:rsidRPr="0079484F" w:rsidRDefault="008355F0" w:rsidP="003867F8">
            <w:pPr>
              <w:autoSpaceDE w:val="0"/>
              <w:autoSpaceDN w:val="0"/>
              <w:adjustRightInd w:val="0"/>
              <w:spacing w:before="60" w:after="60"/>
              <w:rPr>
                <w:rFonts w:cs="Arial"/>
                <w:color w:val="000000"/>
                <w:sz w:val="16"/>
                <w:szCs w:val="16"/>
              </w:rPr>
            </w:pPr>
            <w:r w:rsidRPr="0079484F">
              <w:rPr>
                <w:rFonts w:cs="Arial"/>
                <w:color w:val="000000"/>
                <w:sz w:val="16"/>
                <w:szCs w:val="16"/>
              </w:rPr>
              <w:t xml:space="preserve">To: </w:t>
            </w:r>
            <w:r>
              <w:rPr>
                <w:rFonts w:cs="Arial"/>
                <w:color w:val="000000"/>
                <w:sz w:val="16"/>
                <w:szCs w:val="16"/>
              </w:rPr>
              <w:t xml:space="preserve"> </w:t>
            </w:r>
            <w:r w:rsidRPr="0079484F">
              <w:rPr>
                <w:rFonts w:cs="Arial"/>
                <w:color w:val="000000"/>
                <w:sz w:val="16"/>
                <w:szCs w:val="16"/>
              </w:rPr>
              <w:t xml:space="preserve">(i) provide participants with a basic knowledge of laws and procedures involved with the examination of industrial property rights; </w:t>
            </w:r>
            <w:r>
              <w:rPr>
                <w:rFonts w:cs="Arial"/>
                <w:color w:val="000000"/>
                <w:sz w:val="16"/>
                <w:szCs w:val="16"/>
              </w:rPr>
              <w:t xml:space="preserve"> </w:t>
            </w:r>
            <w:r w:rsidRPr="0079484F">
              <w:rPr>
                <w:rFonts w:cs="Arial"/>
                <w:color w:val="000000"/>
                <w:sz w:val="16"/>
                <w:szCs w:val="16"/>
              </w:rPr>
              <w:t>and (ii) exchange views on topical issues in the intellectual property field.</w:t>
            </w:r>
          </w:p>
        </w:tc>
      </w:tr>
      <w:tr w:rsidR="008355F0" w:rsidRPr="0079484F" w:rsidTr="00E92F85">
        <w:trPr>
          <w:cantSplit/>
          <w:trHeight w:val="315"/>
        </w:trPr>
        <w:tc>
          <w:tcPr>
            <w:tcW w:w="1843" w:type="dxa"/>
            <w:tcBorders>
              <w:top w:val="nil"/>
              <w:left w:val="single" w:sz="4" w:space="0" w:color="auto"/>
              <w:bottom w:val="nil"/>
            </w:tcBorders>
          </w:tcPr>
          <w:p w:rsidR="008355F0" w:rsidRPr="0079484F" w:rsidRDefault="008355F0" w:rsidP="003867F8">
            <w:pPr>
              <w:autoSpaceDE w:val="0"/>
              <w:autoSpaceDN w:val="0"/>
              <w:adjustRightInd w:val="0"/>
              <w:spacing w:before="60" w:after="60"/>
              <w:rPr>
                <w:rFonts w:cs="Arial"/>
                <w:color w:val="000000"/>
                <w:sz w:val="16"/>
                <w:szCs w:val="16"/>
              </w:rPr>
            </w:pPr>
            <w:r w:rsidRPr="0079484F">
              <w:rPr>
                <w:rFonts w:cs="Arial"/>
                <w:color w:val="000000"/>
                <w:sz w:val="16"/>
                <w:szCs w:val="16"/>
              </w:rPr>
              <w:t>WIPO-South Africa Advanced Summer School on Intellectual Property (IP) and Transfer of Technology (T</w:t>
            </w:r>
            <w:r>
              <w:rPr>
                <w:rFonts w:cs="Arial"/>
                <w:color w:val="000000"/>
                <w:sz w:val="16"/>
                <w:szCs w:val="16"/>
              </w:rPr>
              <w:t>o</w:t>
            </w:r>
            <w:r w:rsidRPr="0079484F">
              <w:rPr>
                <w:rFonts w:cs="Arial"/>
                <w:color w:val="000000"/>
                <w:sz w:val="16"/>
                <w:szCs w:val="16"/>
              </w:rPr>
              <w:t>T)</w:t>
            </w:r>
          </w:p>
        </w:tc>
        <w:tc>
          <w:tcPr>
            <w:tcW w:w="1134" w:type="dxa"/>
            <w:tcBorders>
              <w:top w:val="nil"/>
              <w:bottom w:val="nil"/>
            </w:tcBorders>
          </w:tcPr>
          <w:p w:rsidR="008355F0" w:rsidRPr="0079484F" w:rsidRDefault="008355F0" w:rsidP="003867F8">
            <w:pPr>
              <w:autoSpaceDE w:val="0"/>
              <w:autoSpaceDN w:val="0"/>
              <w:adjustRightInd w:val="0"/>
              <w:spacing w:before="60" w:after="60"/>
              <w:rPr>
                <w:rFonts w:cs="Arial"/>
                <w:color w:val="000000"/>
                <w:sz w:val="16"/>
                <w:szCs w:val="16"/>
              </w:rPr>
            </w:pPr>
            <w:r w:rsidRPr="0079484F">
              <w:rPr>
                <w:rFonts w:cs="Arial"/>
                <w:color w:val="000000"/>
                <w:sz w:val="16"/>
                <w:szCs w:val="16"/>
              </w:rPr>
              <w:t>November 30 to December 11, 2015</w:t>
            </w:r>
          </w:p>
        </w:tc>
        <w:tc>
          <w:tcPr>
            <w:tcW w:w="1985" w:type="dxa"/>
            <w:tcBorders>
              <w:top w:val="nil"/>
              <w:bottom w:val="nil"/>
            </w:tcBorders>
          </w:tcPr>
          <w:p w:rsidR="008355F0" w:rsidRPr="0079484F" w:rsidRDefault="008355F0" w:rsidP="003867F8">
            <w:pPr>
              <w:autoSpaceDE w:val="0"/>
              <w:autoSpaceDN w:val="0"/>
              <w:adjustRightInd w:val="0"/>
              <w:spacing w:before="60" w:after="60"/>
              <w:rPr>
                <w:rFonts w:cs="Arial"/>
                <w:color w:val="000000"/>
                <w:sz w:val="16"/>
                <w:szCs w:val="16"/>
              </w:rPr>
            </w:pPr>
            <w:r w:rsidRPr="0079484F">
              <w:rPr>
                <w:rFonts w:cs="Arial"/>
                <w:color w:val="000000"/>
                <w:sz w:val="16"/>
                <w:szCs w:val="16"/>
              </w:rPr>
              <w:t xml:space="preserve">South Africa/ </w:t>
            </w:r>
            <w:r>
              <w:rPr>
                <w:rFonts w:cs="Arial"/>
                <w:color w:val="000000"/>
                <w:sz w:val="16"/>
                <w:szCs w:val="16"/>
              </w:rPr>
              <w:t>1</w:t>
            </w:r>
            <w:r w:rsidRPr="0079484F">
              <w:rPr>
                <w:rFonts w:cs="Arial"/>
                <w:color w:val="000000"/>
                <w:sz w:val="16"/>
                <w:szCs w:val="16"/>
              </w:rPr>
              <w:t>0 scholarships to selected trainees from Botswana, Kenya, Lesotho, Malawi, Namibia, Nigeria and Zimbabwe</w:t>
            </w:r>
          </w:p>
        </w:tc>
        <w:tc>
          <w:tcPr>
            <w:tcW w:w="4536" w:type="dxa"/>
            <w:tcBorders>
              <w:top w:val="nil"/>
              <w:bottom w:val="nil"/>
              <w:right w:val="single" w:sz="4" w:space="0" w:color="auto"/>
            </w:tcBorders>
          </w:tcPr>
          <w:p w:rsidR="008355F0" w:rsidRPr="0079484F" w:rsidRDefault="008355F0" w:rsidP="003867F8">
            <w:pPr>
              <w:autoSpaceDE w:val="0"/>
              <w:autoSpaceDN w:val="0"/>
              <w:adjustRightInd w:val="0"/>
              <w:spacing w:before="60" w:after="60"/>
              <w:rPr>
                <w:rFonts w:cs="Arial"/>
                <w:color w:val="000000"/>
                <w:sz w:val="16"/>
                <w:szCs w:val="16"/>
              </w:rPr>
            </w:pPr>
            <w:r w:rsidRPr="0079484F">
              <w:rPr>
                <w:rFonts w:cs="Arial"/>
                <w:color w:val="000000"/>
                <w:sz w:val="16"/>
                <w:szCs w:val="16"/>
              </w:rPr>
              <w:t>To provide an opportunity for senior students (graduates and post-graduates) and young professionals</w:t>
            </w:r>
            <w:r>
              <w:rPr>
                <w:rFonts w:cs="Arial"/>
                <w:color w:val="000000"/>
                <w:sz w:val="16"/>
                <w:szCs w:val="16"/>
              </w:rPr>
              <w:t xml:space="preserve"> to</w:t>
            </w:r>
            <w:r w:rsidRPr="0079484F">
              <w:rPr>
                <w:rFonts w:cs="Arial"/>
                <w:color w:val="000000"/>
                <w:sz w:val="16"/>
                <w:szCs w:val="16"/>
              </w:rPr>
              <w:t xml:space="preserve">: </w:t>
            </w:r>
            <w:r>
              <w:rPr>
                <w:rFonts w:cs="Arial"/>
                <w:color w:val="000000"/>
                <w:sz w:val="16"/>
                <w:szCs w:val="16"/>
              </w:rPr>
              <w:t xml:space="preserve"> </w:t>
            </w:r>
            <w:r w:rsidRPr="0079484F">
              <w:rPr>
                <w:rFonts w:cs="Arial"/>
                <w:color w:val="000000"/>
                <w:sz w:val="16"/>
                <w:szCs w:val="16"/>
              </w:rPr>
              <w:t xml:space="preserve">(i) acquire deep knowledge on the interface between IP and transfer of technology; </w:t>
            </w:r>
            <w:r>
              <w:rPr>
                <w:rFonts w:cs="Arial"/>
                <w:color w:val="000000"/>
                <w:sz w:val="16"/>
                <w:szCs w:val="16"/>
              </w:rPr>
              <w:t xml:space="preserve"> </w:t>
            </w:r>
            <w:r w:rsidRPr="0079484F">
              <w:rPr>
                <w:rFonts w:cs="Arial"/>
                <w:color w:val="000000"/>
                <w:sz w:val="16"/>
                <w:szCs w:val="16"/>
              </w:rPr>
              <w:t>and (ii) discuss IP issues pertaining to licensing negotiations through case studies and simulation exercises.</w:t>
            </w:r>
          </w:p>
        </w:tc>
      </w:tr>
      <w:tr w:rsidR="008355F0" w:rsidRPr="0079484F" w:rsidTr="00E92F85">
        <w:trPr>
          <w:cantSplit/>
          <w:trHeight w:val="315"/>
        </w:trPr>
        <w:tc>
          <w:tcPr>
            <w:tcW w:w="9498" w:type="dxa"/>
            <w:gridSpan w:val="4"/>
            <w:tcBorders>
              <w:top w:val="single" w:sz="4" w:space="0" w:color="auto"/>
              <w:bottom w:val="single" w:sz="4" w:space="0" w:color="auto"/>
            </w:tcBorders>
            <w:shd w:val="clear" w:color="auto" w:fill="C6D9F1" w:themeFill="text2" w:themeFillTint="33"/>
          </w:tcPr>
          <w:p w:rsidR="008355F0" w:rsidRPr="0079484F" w:rsidRDefault="008355F0" w:rsidP="003867F8">
            <w:pPr>
              <w:keepNext/>
              <w:keepLines/>
              <w:tabs>
                <w:tab w:val="left" w:pos="1740"/>
              </w:tabs>
              <w:spacing w:before="120" w:after="120"/>
              <w:ind w:left="1740" w:hanging="1740"/>
              <w:rPr>
                <w:rFonts w:cs="Arial"/>
                <w:sz w:val="16"/>
                <w:szCs w:val="16"/>
              </w:rPr>
            </w:pPr>
            <w:r w:rsidRPr="0079484F">
              <w:rPr>
                <w:rFonts w:cs="Arial"/>
                <w:b/>
                <w:bCs/>
                <w:color w:val="000000"/>
                <w:sz w:val="16"/>
                <w:szCs w:val="16"/>
              </w:rPr>
              <w:t>RESULT:</w:t>
            </w:r>
            <w:r w:rsidRPr="0079484F">
              <w:rPr>
                <w:rFonts w:cs="Arial"/>
                <w:b/>
                <w:bCs/>
                <w:color w:val="000000"/>
                <w:sz w:val="16"/>
                <w:szCs w:val="16"/>
              </w:rPr>
              <w:tab/>
            </w:r>
            <w:r w:rsidRPr="0079484F">
              <w:rPr>
                <w:rFonts w:cs="Arial"/>
                <w:bCs/>
                <w:sz w:val="16"/>
                <w:szCs w:val="16"/>
                <w:lang w:val="en-AU"/>
              </w:rPr>
              <w:t>III.6. Increased capacity of SMEs to successfully use IP to support innovation</w:t>
            </w:r>
          </w:p>
        </w:tc>
      </w:tr>
      <w:tr w:rsidR="008355F0" w:rsidRPr="0079484F" w:rsidTr="00E92F85">
        <w:trPr>
          <w:cantSplit/>
          <w:trHeight w:val="315"/>
        </w:trPr>
        <w:tc>
          <w:tcPr>
            <w:tcW w:w="1843" w:type="dxa"/>
            <w:tcBorders>
              <w:top w:val="single" w:sz="4" w:space="0" w:color="auto"/>
            </w:tcBorders>
            <w:vAlign w:val="center"/>
          </w:tcPr>
          <w:p w:rsidR="008355F0" w:rsidRPr="0079484F" w:rsidRDefault="008355F0" w:rsidP="003867F8">
            <w:pPr>
              <w:keepNext/>
              <w:keepLines/>
              <w:spacing w:before="60" w:after="60"/>
              <w:rPr>
                <w:rFonts w:cs="Arial"/>
                <w:b/>
                <w:bCs/>
                <w:sz w:val="16"/>
                <w:szCs w:val="16"/>
              </w:rPr>
            </w:pPr>
            <w:r w:rsidRPr="0079484F">
              <w:rPr>
                <w:rFonts w:cs="Arial"/>
                <w:b/>
                <w:bCs/>
                <w:sz w:val="16"/>
                <w:szCs w:val="16"/>
              </w:rPr>
              <w:t>Activity</w:t>
            </w:r>
          </w:p>
        </w:tc>
        <w:tc>
          <w:tcPr>
            <w:tcW w:w="1134" w:type="dxa"/>
            <w:tcBorders>
              <w:top w:val="single" w:sz="4" w:space="0" w:color="auto"/>
            </w:tcBorders>
            <w:vAlign w:val="center"/>
          </w:tcPr>
          <w:p w:rsidR="008355F0" w:rsidRPr="0079484F" w:rsidRDefault="008355F0" w:rsidP="003867F8">
            <w:pPr>
              <w:keepNext/>
              <w:keepLines/>
              <w:spacing w:before="60" w:after="60"/>
              <w:rPr>
                <w:rFonts w:cs="Arial"/>
                <w:sz w:val="16"/>
                <w:szCs w:val="16"/>
              </w:rPr>
            </w:pPr>
            <w:r w:rsidRPr="0079484F">
              <w:rPr>
                <w:rFonts w:cs="Arial"/>
                <w:b/>
                <w:bCs/>
                <w:sz w:val="16"/>
                <w:szCs w:val="16"/>
              </w:rPr>
              <w:t>Date</w:t>
            </w:r>
          </w:p>
        </w:tc>
        <w:tc>
          <w:tcPr>
            <w:tcW w:w="1985" w:type="dxa"/>
            <w:tcBorders>
              <w:top w:val="single" w:sz="4" w:space="0" w:color="auto"/>
            </w:tcBorders>
            <w:vAlign w:val="center"/>
          </w:tcPr>
          <w:p w:rsidR="008355F0" w:rsidRPr="0079484F" w:rsidRDefault="008355F0" w:rsidP="003867F8">
            <w:pPr>
              <w:keepNext/>
              <w:keepLines/>
              <w:spacing w:before="60" w:after="60"/>
              <w:rPr>
                <w:rFonts w:cs="Arial"/>
                <w:sz w:val="16"/>
                <w:szCs w:val="16"/>
              </w:rPr>
            </w:pPr>
            <w:r w:rsidRPr="0079484F">
              <w:rPr>
                <w:rFonts w:cs="Arial"/>
                <w:b/>
                <w:bCs/>
                <w:sz w:val="16"/>
                <w:szCs w:val="16"/>
              </w:rPr>
              <w:t>Host Country/</w:t>
            </w:r>
            <w:r w:rsidRPr="0079484F">
              <w:rPr>
                <w:rFonts w:cs="Arial"/>
                <w:b/>
                <w:bCs/>
                <w:sz w:val="16"/>
                <w:szCs w:val="16"/>
              </w:rPr>
              <w:br/>
              <w:t>Recipients</w:t>
            </w:r>
          </w:p>
        </w:tc>
        <w:tc>
          <w:tcPr>
            <w:tcW w:w="4536" w:type="dxa"/>
            <w:tcBorders>
              <w:top w:val="single" w:sz="4" w:space="0" w:color="auto"/>
            </w:tcBorders>
            <w:vAlign w:val="center"/>
          </w:tcPr>
          <w:p w:rsidR="008355F0" w:rsidRPr="0079484F" w:rsidRDefault="008355F0" w:rsidP="003867F8">
            <w:pPr>
              <w:keepNext/>
              <w:keepLines/>
              <w:spacing w:before="60" w:after="60"/>
              <w:rPr>
                <w:rFonts w:cs="Arial"/>
                <w:sz w:val="16"/>
                <w:szCs w:val="16"/>
              </w:rPr>
            </w:pPr>
            <w:r w:rsidRPr="0079484F">
              <w:rPr>
                <w:rFonts w:cs="Arial"/>
                <w:b/>
                <w:bCs/>
                <w:sz w:val="16"/>
                <w:szCs w:val="16"/>
              </w:rPr>
              <w:t>Purpose(s)/Description(s)</w:t>
            </w:r>
          </w:p>
        </w:tc>
      </w:tr>
      <w:tr w:rsidR="008355F0" w:rsidRPr="0079484F" w:rsidTr="00E92F85">
        <w:trPr>
          <w:cantSplit/>
          <w:trHeight w:val="315"/>
        </w:trPr>
        <w:tc>
          <w:tcPr>
            <w:tcW w:w="1843" w:type="dxa"/>
          </w:tcPr>
          <w:p w:rsidR="008355F0" w:rsidRPr="0079484F" w:rsidRDefault="008355F0" w:rsidP="003867F8">
            <w:pPr>
              <w:autoSpaceDE w:val="0"/>
              <w:autoSpaceDN w:val="0"/>
              <w:adjustRightInd w:val="0"/>
              <w:spacing w:before="60" w:after="60"/>
              <w:rPr>
                <w:rFonts w:cs="Arial"/>
                <w:color w:val="000000"/>
                <w:sz w:val="16"/>
                <w:szCs w:val="16"/>
              </w:rPr>
            </w:pPr>
            <w:r w:rsidRPr="0079484F">
              <w:rPr>
                <w:rFonts w:cs="Arial"/>
                <w:color w:val="000000"/>
                <w:sz w:val="16"/>
                <w:szCs w:val="16"/>
              </w:rPr>
              <w:t>Regional Workshop on Utility Model</w:t>
            </w:r>
            <w:r>
              <w:rPr>
                <w:rFonts w:cs="Arial"/>
                <w:color w:val="000000"/>
                <w:sz w:val="16"/>
                <w:szCs w:val="16"/>
              </w:rPr>
              <w:t>s</w:t>
            </w:r>
            <w:r w:rsidRPr="0079484F">
              <w:rPr>
                <w:rFonts w:cs="Arial"/>
                <w:color w:val="000000"/>
                <w:sz w:val="16"/>
                <w:szCs w:val="16"/>
              </w:rPr>
              <w:t xml:space="preserve"> and Industrial Design for SMEs in ARIPO Member States</w:t>
            </w:r>
          </w:p>
        </w:tc>
        <w:tc>
          <w:tcPr>
            <w:tcW w:w="1134" w:type="dxa"/>
          </w:tcPr>
          <w:p w:rsidR="008355F0" w:rsidRPr="0079484F" w:rsidRDefault="008355F0" w:rsidP="003867F8">
            <w:pPr>
              <w:autoSpaceDE w:val="0"/>
              <w:autoSpaceDN w:val="0"/>
              <w:adjustRightInd w:val="0"/>
              <w:spacing w:before="60" w:after="60"/>
              <w:rPr>
                <w:rFonts w:cs="Arial"/>
                <w:color w:val="000000"/>
                <w:sz w:val="16"/>
                <w:szCs w:val="16"/>
              </w:rPr>
            </w:pPr>
            <w:r w:rsidRPr="0079484F">
              <w:rPr>
                <w:rFonts w:cs="Arial"/>
                <w:color w:val="000000"/>
                <w:sz w:val="16"/>
                <w:szCs w:val="16"/>
              </w:rPr>
              <w:t>June 24 to 26, 2015</w:t>
            </w:r>
          </w:p>
        </w:tc>
        <w:tc>
          <w:tcPr>
            <w:tcW w:w="1985" w:type="dxa"/>
          </w:tcPr>
          <w:p w:rsidR="008355F0" w:rsidRPr="0079484F" w:rsidRDefault="008355F0" w:rsidP="003867F8">
            <w:pPr>
              <w:autoSpaceDE w:val="0"/>
              <w:autoSpaceDN w:val="0"/>
              <w:adjustRightInd w:val="0"/>
              <w:spacing w:before="60" w:after="60"/>
              <w:rPr>
                <w:rFonts w:cs="Arial"/>
                <w:color w:val="000000"/>
                <w:sz w:val="16"/>
                <w:szCs w:val="16"/>
              </w:rPr>
            </w:pPr>
            <w:r w:rsidRPr="0079484F">
              <w:rPr>
                <w:rFonts w:cs="Arial"/>
                <w:color w:val="000000"/>
                <w:sz w:val="16"/>
                <w:szCs w:val="16"/>
              </w:rPr>
              <w:t>Zimbabwe/</w:t>
            </w:r>
            <w:r>
              <w:rPr>
                <w:rFonts w:cs="Arial"/>
                <w:color w:val="000000"/>
                <w:sz w:val="16"/>
                <w:szCs w:val="16"/>
              </w:rPr>
              <w:t xml:space="preserve"> </w:t>
            </w:r>
            <w:r w:rsidRPr="0079484F">
              <w:rPr>
                <w:rFonts w:cs="Arial"/>
                <w:color w:val="000000"/>
                <w:sz w:val="16"/>
                <w:szCs w:val="16"/>
              </w:rPr>
              <w:t xml:space="preserve">25 participants from Botswana, </w:t>
            </w:r>
            <w:r>
              <w:rPr>
                <w:rFonts w:cs="Arial"/>
                <w:color w:val="000000"/>
                <w:sz w:val="16"/>
                <w:szCs w:val="16"/>
              </w:rPr>
              <w:t xml:space="preserve">the </w:t>
            </w:r>
            <w:r w:rsidRPr="0079484F">
              <w:rPr>
                <w:rFonts w:cs="Arial"/>
                <w:color w:val="000000"/>
                <w:sz w:val="16"/>
                <w:szCs w:val="16"/>
              </w:rPr>
              <w:t>Gambia, Ghana, Kenya, Malawi, Namibia, Uganda</w:t>
            </w:r>
            <w:r>
              <w:rPr>
                <w:rFonts w:cs="Arial"/>
                <w:color w:val="000000"/>
                <w:sz w:val="16"/>
                <w:szCs w:val="16"/>
              </w:rPr>
              <w:t>, United Republic of Tanzania</w:t>
            </w:r>
            <w:r w:rsidRPr="0079484F">
              <w:rPr>
                <w:rFonts w:cs="Arial"/>
                <w:color w:val="000000"/>
                <w:sz w:val="16"/>
                <w:szCs w:val="16"/>
              </w:rPr>
              <w:t xml:space="preserve"> and Zambia</w:t>
            </w:r>
          </w:p>
        </w:tc>
        <w:tc>
          <w:tcPr>
            <w:tcW w:w="4536" w:type="dxa"/>
          </w:tcPr>
          <w:p w:rsidR="008355F0" w:rsidRPr="0079484F" w:rsidRDefault="008355F0" w:rsidP="003867F8">
            <w:pPr>
              <w:autoSpaceDE w:val="0"/>
              <w:autoSpaceDN w:val="0"/>
              <w:adjustRightInd w:val="0"/>
              <w:spacing w:before="60" w:after="60"/>
              <w:rPr>
                <w:rFonts w:cs="Arial"/>
                <w:color w:val="000000"/>
                <w:sz w:val="16"/>
                <w:szCs w:val="16"/>
              </w:rPr>
            </w:pPr>
            <w:r w:rsidRPr="0079484F">
              <w:rPr>
                <w:rFonts w:cs="Arial"/>
                <w:color w:val="000000"/>
                <w:sz w:val="16"/>
                <w:szCs w:val="16"/>
              </w:rPr>
              <w:t xml:space="preserve">To: </w:t>
            </w:r>
            <w:r>
              <w:rPr>
                <w:rFonts w:cs="Arial"/>
                <w:color w:val="000000"/>
                <w:sz w:val="16"/>
                <w:szCs w:val="16"/>
              </w:rPr>
              <w:t xml:space="preserve"> </w:t>
            </w:r>
            <w:r w:rsidRPr="0079484F">
              <w:rPr>
                <w:rFonts w:cs="Arial"/>
                <w:color w:val="000000"/>
                <w:sz w:val="16"/>
                <w:szCs w:val="16"/>
              </w:rPr>
              <w:t xml:space="preserve">(i) provide a platform for officials from IP </w:t>
            </w:r>
            <w:r>
              <w:rPr>
                <w:rFonts w:cs="Arial"/>
                <w:color w:val="000000"/>
                <w:sz w:val="16"/>
                <w:szCs w:val="16"/>
              </w:rPr>
              <w:t>O</w:t>
            </w:r>
            <w:r w:rsidRPr="0079484F">
              <w:rPr>
                <w:rFonts w:cs="Arial"/>
                <w:color w:val="000000"/>
                <w:sz w:val="16"/>
                <w:szCs w:val="16"/>
              </w:rPr>
              <w:t>ffices, SMEs, inventors, research institutions, universities, innovation hubs, chambers of commerce, association</w:t>
            </w:r>
            <w:r>
              <w:rPr>
                <w:rFonts w:cs="Arial"/>
                <w:color w:val="000000"/>
                <w:sz w:val="16"/>
                <w:szCs w:val="16"/>
              </w:rPr>
              <w:t>s</w:t>
            </w:r>
            <w:r w:rsidRPr="0079484F">
              <w:rPr>
                <w:rFonts w:cs="Arial"/>
                <w:color w:val="000000"/>
                <w:sz w:val="16"/>
                <w:szCs w:val="16"/>
              </w:rPr>
              <w:t xml:space="preserve"> of SMEs and designers from the region to learn about the utility model and the industrial design system</w:t>
            </w:r>
            <w:r>
              <w:rPr>
                <w:rFonts w:cs="Arial"/>
                <w:color w:val="000000"/>
                <w:sz w:val="16"/>
                <w:szCs w:val="16"/>
              </w:rPr>
              <w:t>s</w:t>
            </w:r>
            <w:r w:rsidRPr="0079484F">
              <w:rPr>
                <w:rFonts w:cs="Arial"/>
                <w:color w:val="000000"/>
                <w:sz w:val="16"/>
                <w:szCs w:val="16"/>
              </w:rPr>
              <w:t xml:space="preserve">; </w:t>
            </w:r>
            <w:r>
              <w:rPr>
                <w:rFonts w:cs="Arial"/>
                <w:color w:val="000000"/>
                <w:sz w:val="16"/>
                <w:szCs w:val="16"/>
              </w:rPr>
              <w:t xml:space="preserve"> </w:t>
            </w:r>
            <w:r w:rsidRPr="0079484F">
              <w:rPr>
                <w:rFonts w:cs="Arial"/>
                <w:color w:val="000000"/>
                <w:sz w:val="16"/>
                <w:szCs w:val="16"/>
              </w:rPr>
              <w:t>and (ii) exchange views with international and national experts on the benefits of using utility models and designs for small, micro and medium-sized enterprises.</w:t>
            </w:r>
          </w:p>
        </w:tc>
      </w:tr>
      <w:tr w:rsidR="008355F0" w:rsidRPr="0079484F" w:rsidTr="00E92F85">
        <w:trPr>
          <w:cantSplit/>
          <w:trHeight w:val="315"/>
        </w:trPr>
        <w:tc>
          <w:tcPr>
            <w:tcW w:w="9498" w:type="dxa"/>
            <w:gridSpan w:val="4"/>
            <w:tcBorders>
              <w:top w:val="single" w:sz="4" w:space="0" w:color="auto"/>
              <w:left w:val="single" w:sz="4" w:space="0" w:color="auto"/>
              <w:bottom w:val="single" w:sz="4" w:space="0" w:color="auto"/>
              <w:right w:val="single" w:sz="4" w:space="0" w:color="auto"/>
            </w:tcBorders>
            <w:shd w:val="clear" w:color="auto" w:fill="C6D9F1" w:themeFill="text2" w:themeFillTint="33"/>
          </w:tcPr>
          <w:p w:rsidR="008355F0" w:rsidRPr="0079484F" w:rsidRDefault="008355F0" w:rsidP="003867F8">
            <w:pPr>
              <w:keepNext/>
              <w:keepLines/>
              <w:tabs>
                <w:tab w:val="left" w:pos="1740"/>
              </w:tabs>
              <w:spacing w:before="120" w:after="120"/>
              <w:ind w:left="1740" w:hanging="1740"/>
              <w:rPr>
                <w:rFonts w:cs="Arial"/>
                <w:b/>
                <w:bCs/>
                <w:color w:val="000000"/>
                <w:sz w:val="16"/>
                <w:szCs w:val="16"/>
              </w:rPr>
            </w:pPr>
            <w:r w:rsidRPr="0079484F">
              <w:rPr>
                <w:rFonts w:cs="Arial"/>
                <w:b/>
                <w:bCs/>
                <w:color w:val="000000"/>
                <w:sz w:val="16"/>
                <w:szCs w:val="16"/>
              </w:rPr>
              <w:t>RESULT:</w:t>
            </w:r>
            <w:r w:rsidRPr="0079484F">
              <w:rPr>
                <w:rFonts w:cs="Arial"/>
                <w:b/>
                <w:bCs/>
                <w:color w:val="000000"/>
                <w:sz w:val="16"/>
                <w:szCs w:val="16"/>
              </w:rPr>
              <w:tab/>
            </w:r>
            <w:r w:rsidRPr="0079484F">
              <w:rPr>
                <w:rFonts w:cs="Arial"/>
                <w:bCs/>
                <w:color w:val="000000"/>
                <w:sz w:val="16"/>
                <w:szCs w:val="16"/>
              </w:rPr>
              <w:t>IV.2. Enhanced access to, and use of, IP information by IP institutions and the public to promote innovation and creativity</w:t>
            </w:r>
          </w:p>
        </w:tc>
      </w:tr>
      <w:tr w:rsidR="008355F0" w:rsidRPr="0079484F" w:rsidTr="00E92F85">
        <w:trPr>
          <w:cantSplit/>
          <w:trHeight w:val="315"/>
        </w:trPr>
        <w:tc>
          <w:tcPr>
            <w:tcW w:w="1843" w:type="dxa"/>
            <w:tcBorders>
              <w:top w:val="single" w:sz="4" w:space="0" w:color="auto"/>
              <w:left w:val="single" w:sz="4" w:space="0" w:color="auto"/>
              <w:bottom w:val="nil"/>
            </w:tcBorders>
            <w:vAlign w:val="center"/>
          </w:tcPr>
          <w:p w:rsidR="008355F0" w:rsidRPr="0079484F" w:rsidRDefault="008355F0" w:rsidP="003867F8">
            <w:pPr>
              <w:keepNext/>
              <w:keepLines/>
              <w:spacing w:before="60" w:after="60"/>
              <w:rPr>
                <w:rFonts w:cs="Arial"/>
                <w:b/>
                <w:bCs/>
                <w:sz w:val="16"/>
                <w:szCs w:val="16"/>
              </w:rPr>
            </w:pPr>
            <w:r w:rsidRPr="0079484F">
              <w:rPr>
                <w:rFonts w:cs="Arial"/>
                <w:b/>
                <w:bCs/>
                <w:sz w:val="16"/>
                <w:szCs w:val="16"/>
              </w:rPr>
              <w:t>Activity</w:t>
            </w:r>
          </w:p>
        </w:tc>
        <w:tc>
          <w:tcPr>
            <w:tcW w:w="1134" w:type="dxa"/>
            <w:tcBorders>
              <w:top w:val="single" w:sz="4" w:space="0" w:color="auto"/>
              <w:bottom w:val="nil"/>
            </w:tcBorders>
            <w:vAlign w:val="center"/>
          </w:tcPr>
          <w:p w:rsidR="008355F0" w:rsidRPr="0079484F" w:rsidRDefault="008355F0" w:rsidP="003867F8">
            <w:pPr>
              <w:keepNext/>
              <w:keepLines/>
              <w:spacing w:before="60" w:after="60"/>
              <w:rPr>
                <w:rFonts w:cs="Arial"/>
                <w:sz w:val="16"/>
                <w:szCs w:val="16"/>
              </w:rPr>
            </w:pPr>
            <w:r w:rsidRPr="0079484F">
              <w:rPr>
                <w:rFonts w:cs="Arial"/>
                <w:b/>
                <w:bCs/>
                <w:sz w:val="16"/>
                <w:szCs w:val="16"/>
              </w:rPr>
              <w:t>Date</w:t>
            </w:r>
          </w:p>
        </w:tc>
        <w:tc>
          <w:tcPr>
            <w:tcW w:w="1985" w:type="dxa"/>
            <w:tcBorders>
              <w:top w:val="single" w:sz="4" w:space="0" w:color="auto"/>
              <w:bottom w:val="nil"/>
            </w:tcBorders>
            <w:vAlign w:val="center"/>
          </w:tcPr>
          <w:p w:rsidR="008355F0" w:rsidRPr="0079484F" w:rsidRDefault="008355F0" w:rsidP="003867F8">
            <w:pPr>
              <w:keepNext/>
              <w:keepLines/>
              <w:spacing w:before="60" w:after="60"/>
              <w:rPr>
                <w:rFonts w:cs="Arial"/>
                <w:sz w:val="16"/>
                <w:szCs w:val="16"/>
              </w:rPr>
            </w:pPr>
            <w:r w:rsidRPr="0079484F">
              <w:rPr>
                <w:rFonts w:cs="Arial"/>
                <w:b/>
                <w:bCs/>
                <w:sz w:val="16"/>
                <w:szCs w:val="16"/>
              </w:rPr>
              <w:t>Host Country/</w:t>
            </w:r>
            <w:r w:rsidRPr="0079484F">
              <w:rPr>
                <w:rFonts w:cs="Arial"/>
                <w:b/>
                <w:bCs/>
                <w:sz w:val="16"/>
                <w:szCs w:val="16"/>
              </w:rPr>
              <w:br/>
              <w:t>Recipients</w:t>
            </w:r>
          </w:p>
        </w:tc>
        <w:tc>
          <w:tcPr>
            <w:tcW w:w="4536" w:type="dxa"/>
            <w:tcBorders>
              <w:top w:val="single" w:sz="4" w:space="0" w:color="auto"/>
              <w:bottom w:val="nil"/>
              <w:right w:val="single" w:sz="4" w:space="0" w:color="auto"/>
            </w:tcBorders>
            <w:vAlign w:val="center"/>
          </w:tcPr>
          <w:p w:rsidR="008355F0" w:rsidRPr="0079484F" w:rsidRDefault="008355F0" w:rsidP="003867F8">
            <w:pPr>
              <w:keepNext/>
              <w:keepLines/>
              <w:spacing w:before="60" w:after="60"/>
              <w:rPr>
                <w:rFonts w:cs="Arial"/>
                <w:sz w:val="16"/>
                <w:szCs w:val="16"/>
              </w:rPr>
            </w:pPr>
            <w:r w:rsidRPr="0079484F">
              <w:rPr>
                <w:rFonts w:cs="Arial"/>
                <w:b/>
                <w:bCs/>
                <w:sz w:val="16"/>
                <w:szCs w:val="16"/>
              </w:rPr>
              <w:t>Purpose(s)/Description(s)</w:t>
            </w:r>
          </w:p>
        </w:tc>
      </w:tr>
      <w:tr w:rsidR="008355F0" w:rsidRPr="0079484F" w:rsidTr="00E92F85">
        <w:trPr>
          <w:cantSplit/>
          <w:trHeight w:val="432"/>
        </w:trPr>
        <w:tc>
          <w:tcPr>
            <w:tcW w:w="1843" w:type="dxa"/>
            <w:tcBorders>
              <w:top w:val="nil"/>
              <w:left w:val="single" w:sz="4" w:space="0" w:color="auto"/>
              <w:bottom w:val="nil"/>
            </w:tcBorders>
          </w:tcPr>
          <w:p w:rsidR="008355F0" w:rsidRPr="0079484F" w:rsidRDefault="008355F0" w:rsidP="003867F8">
            <w:pPr>
              <w:spacing w:before="60" w:after="60"/>
              <w:rPr>
                <w:rFonts w:cs="Arial"/>
                <w:color w:val="000000"/>
                <w:sz w:val="16"/>
                <w:szCs w:val="16"/>
              </w:rPr>
            </w:pPr>
            <w:r w:rsidRPr="0079484F">
              <w:rPr>
                <w:rFonts w:cs="Arial"/>
                <w:color w:val="000000"/>
                <w:sz w:val="16"/>
                <w:szCs w:val="16"/>
              </w:rPr>
              <w:t>TISC Second Workshop on the Effective Use of Technical and Scientific Information</w:t>
            </w:r>
          </w:p>
        </w:tc>
        <w:tc>
          <w:tcPr>
            <w:tcW w:w="1134" w:type="dxa"/>
            <w:tcBorders>
              <w:top w:val="nil"/>
              <w:bottom w:val="nil"/>
            </w:tcBorders>
          </w:tcPr>
          <w:p w:rsidR="008355F0" w:rsidRPr="0079484F" w:rsidRDefault="008355F0" w:rsidP="003867F8">
            <w:pPr>
              <w:spacing w:before="60" w:after="60"/>
              <w:rPr>
                <w:rFonts w:cs="Arial"/>
                <w:color w:val="000000"/>
                <w:sz w:val="16"/>
                <w:szCs w:val="16"/>
              </w:rPr>
            </w:pPr>
            <w:r w:rsidRPr="0079484F">
              <w:rPr>
                <w:rFonts w:cs="Arial"/>
                <w:color w:val="000000"/>
                <w:sz w:val="16"/>
                <w:szCs w:val="16"/>
              </w:rPr>
              <w:t>February 24 to 26, 2015</w:t>
            </w:r>
          </w:p>
        </w:tc>
        <w:tc>
          <w:tcPr>
            <w:tcW w:w="1985" w:type="dxa"/>
            <w:tcBorders>
              <w:top w:val="nil"/>
              <w:bottom w:val="nil"/>
            </w:tcBorders>
          </w:tcPr>
          <w:p w:rsidR="008355F0" w:rsidRPr="0079484F" w:rsidRDefault="008355F0" w:rsidP="003867F8">
            <w:pPr>
              <w:spacing w:before="60" w:after="60"/>
              <w:rPr>
                <w:rFonts w:cs="Arial"/>
                <w:color w:val="000000"/>
                <w:sz w:val="16"/>
                <w:szCs w:val="16"/>
              </w:rPr>
            </w:pPr>
            <w:r w:rsidRPr="0079484F">
              <w:rPr>
                <w:rFonts w:cs="Arial"/>
                <w:color w:val="000000"/>
                <w:sz w:val="16"/>
                <w:szCs w:val="16"/>
              </w:rPr>
              <w:t>Ghana/</w:t>
            </w:r>
            <w:r>
              <w:rPr>
                <w:rFonts w:cs="Arial"/>
                <w:color w:val="000000"/>
                <w:sz w:val="16"/>
                <w:szCs w:val="16"/>
              </w:rPr>
              <w:t xml:space="preserve"> A</w:t>
            </w:r>
            <w:r w:rsidRPr="0079484F">
              <w:rPr>
                <w:rFonts w:cs="Arial"/>
                <w:color w:val="000000"/>
                <w:sz w:val="16"/>
                <w:szCs w:val="16"/>
              </w:rPr>
              <w:t>pproximately 50 local participants</w:t>
            </w:r>
          </w:p>
        </w:tc>
        <w:tc>
          <w:tcPr>
            <w:tcW w:w="4536" w:type="dxa"/>
            <w:tcBorders>
              <w:top w:val="nil"/>
              <w:bottom w:val="nil"/>
              <w:right w:val="single" w:sz="4" w:space="0" w:color="auto"/>
            </w:tcBorders>
          </w:tcPr>
          <w:p w:rsidR="008355F0" w:rsidRPr="0079484F" w:rsidRDefault="008355F0" w:rsidP="003867F8">
            <w:pPr>
              <w:spacing w:before="60" w:after="60"/>
              <w:rPr>
                <w:rFonts w:cs="Arial"/>
                <w:color w:val="000000"/>
                <w:sz w:val="16"/>
                <w:szCs w:val="16"/>
              </w:rPr>
            </w:pPr>
            <w:r w:rsidRPr="0079484F">
              <w:rPr>
                <w:rFonts w:cs="Arial"/>
                <w:color w:val="000000"/>
                <w:sz w:val="16"/>
                <w:szCs w:val="16"/>
              </w:rPr>
              <w:t>To strengthen capacities of participants on searching and using technologies and scientific information in order to develop their respective activities.</w:t>
            </w:r>
          </w:p>
        </w:tc>
      </w:tr>
      <w:tr w:rsidR="008355F0" w:rsidRPr="0079484F" w:rsidTr="00E92F85">
        <w:trPr>
          <w:cantSplit/>
          <w:trHeight w:val="315"/>
        </w:trPr>
        <w:tc>
          <w:tcPr>
            <w:tcW w:w="1843" w:type="dxa"/>
            <w:tcBorders>
              <w:top w:val="nil"/>
              <w:left w:val="single" w:sz="4" w:space="0" w:color="auto"/>
              <w:bottom w:val="nil"/>
            </w:tcBorders>
          </w:tcPr>
          <w:p w:rsidR="008355F0" w:rsidRPr="0079484F" w:rsidRDefault="008355F0" w:rsidP="003867F8">
            <w:pPr>
              <w:autoSpaceDE w:val="0"/>
              <w:autoSpaceDN w:val="0"/>
              <w:adjustRightInd w:val="0"/>
              <w:spacing w:before="60" w:after="60"/>
              <w:rPr>
                <w:rFonts w:cs="Arial"/>
                <w:color w:val="000000"/>
                <w:sz w:val="16"/>
                <w:szCs w:val="16"/>
              </w:rPr>
            </w:pPr>
            <w:r w:rsidRPr="0079484F">
              <w:rPr>
                <w:rFonts w:cs="Arial"/>
                <w:color w:val="000000"/>
                <w:sz w:val="16"/>
                <w:szCs w:val="16"/>
              </w:rPr>
              <w:t>TISC Seminar on the Use of Technical and Scientific Information</w:t>
            </w:r>
          </w:p>
        </w:tc>
        <w:tc>
          <w:tcPr>
            <w:tcW w:w="1134" w:type="dxa"/>
            <w:tcBorders>
              <w:top w:val="nil"/>
              <w:bottom w:val="nil"/>
            </w:tcBorders>
          </w:tcPr>
          <w:p w:rsidR="008355F0" w:rsidRPr="0079484F" w:rsidRDefault="008355F0" w:rsidP="003867F8">
            <w:pPr>
              <w:spacing w:before="60" w:after="60"/>
              <w:rPr>
                <w:rFonts w:cs="Arial"/>
                <w:color w:val="000000"/>
                <w:sz w:val="16"/>
                <w:szCs w:val="16"/>
              </w:rPr>
            </w:pPr>
            <w:r w:rsidRPr="0079484F">
              <w:rPr>
                <w:rFonts w:cs="Arial"/>
                <w:color w:val="000000"/>
                <w:sz w:val="16"/>
                <w:szCs w:val="16"/>
              </w:rPr>
              <w:t>March 23 to 27, 2015</w:t>
            </w:r>
          </w:p>
        </w:tc>
        <w:tc>
          <w:tcPr>
            <w:tcW w:w="1985" w:type="dxa"/>
            <w:tcBorders>
              <w:top w:val="nil"/>
              <w:bottom w:val="nil"/>
            </w:tcBorders>
          </w:tcPr>
          <w:p w:rsidR="008355F0" w:rsidRPr="0079484F" w:rsidRDefault="008355F0" w:rsidP="003867F8">
            <w:pPr>
              <w:autoSpaceDE w:val="0"/>
              <w:autoSpaceDN w:val="0"/>
              <w:adjustRightInd w:val="0"/>
              <w:spacing w:before="60" w:after="60"/>
              <w:rPr>
                <w:rFonts w:cs="Arial"/>
                <w:color w:val="000000"/>
                <w:sz w:val="16"/>
                <w:szCs w:val="16"/>
              </w:rPr>
            </w:pPr>
            <w:r w:rsidRPr="0079484F">
              <w:rPr>
                <w:rFonts w:cs="Arial"/>
                <w:color w:val="000000"/>
                <w:sz w:val="16"/>
                <w:szCs w:val="16"/>
              </w:rPr>
              <w:t>Burkina Faso/</w:t>
            </w:r>
            <w:r>
              <w:rPr>
                <w:rFonts w:cs="Arial"/>
                <w:color w:val="000000"/>
                <w:sz w:val="16"/>
                <w:szCs w:val="16"/>
              </w:rPr>
              <w:t xml:space="preserve"> A</w:t>
            </w:r>
            <w:r w:rsidRPr="0079484F">
              <w:rPr>
                <w:rFonts w:cs="Arial"/>
                <w:color w:val="000000"/>
                <w:sz w:val="16"/>
                <w:szCs w:val="16"/>
              </w:rPr>
              <w:t>pproximately 50 local participants</w:t>
            </w:r>
          </w:p>
        </w:tc>
        <w:tc>
          <w:tcPr>
            <w:tcW w:w="4536" w:type="dxa"/>
            <w:tcBorders>
              <w:top w:val="nil"/>
              <w:bottom w:val="nil"/>
              <w:right w:val="single" w:sz="4" w:space="0" w:color="auto"/>
            </w:tcBorders>
          </w:tcPr>
          <w:p w:rsidR="008355F0" w:rsidRPr="0079484F" w:rsidRDefault="008355F0" w:rsidP="003867F8">
            <w:pPr>
              <w:autoSpaceDE w:val="0"/>
              <w:autoSpaceDN w:val="0"/>
              <w:adjustRightInd w:val="0"/>
              <w:spacing w:before="60" w:after="60"/>
              <w:rPr>
                <w:rFonts w:cs="Arial"/>
                <w:color w:val="000000"/>
                <w:sz w:val="16"/>
                <w:szCs w:val="16"/>
              </w:rPr>
            </w:pPr>
            <w:r w:rsidRPr="0079484F">
              <w:rPr>
                <w:rFonts w:cs="Arial"/>
                <w:color w:val="000000"/>
                <w:sz w:val="16"/>
                <w:szCs w:val="16"/>
              </w:rPr>
              <w:t>To train researchers, professors and students on searching and retrieving patent information and non-patent literature.</w:t>
            </w:r>
          </w:p>
        </w:tc>
      </w:tr>
      <w:tr w:rsidR="008355F0" w:rsidRPr="0079484F" w:rsidTr="00E92F85">
        <w:trPr>
          <w:cantSplit/>
          <w:trHeight w:val="315"/>
        </w:trPr>
        <w:tc>
          <w:tcPr>
            <w:tcW w:w="1843" w:type="dxa"/>
            <w:tcBorders>
              <w:top w:val="nil"/>
              <w:left w:val="single" w:sz="4" w:space="0" w:color="auto"/>
              <w:bottom w:val="single" w:sz="4" w:space="0" w:color="auto"/>
            </w:tcBorders>
          </w:tcPr>
          <w:p w:rsidR="008355F0" w:rsidRPr="0079484F" w:rsidRDefault="008355F0" w:rsidP="003867F8">
            <w:pPr>
              <w:autoSpaceDE w:val="0"/>
              <w:autoSpaceDN w:val="0"/>
              <w:adjustRightInd w:val="0"/>
              <w:spacing w:before="60" w:after="60"/>
              <w:rPr>
                <w:rFonts w:cs="Arial"/>
                <w:color w:val="000000"/>
                <w:sz w:val="16"/>
                <w:szCs w:val="16"/>
              </w:rPr>
            </w:pPr>
            <w:r w:rsidRPr="0079484F">
              <w:rPr>
                <w:rFonts w:cs="Arial"/>
                <w:color w:val="000000"/>
                <w:sz w:val="16"/>
                <w:szCs w:val="16"/>
              </w:rPr>
              <w:t>Seminar on the Effective Use of Technical and Scientific Information and TISC Launch</w:t>
            </w:r>
          </w:p>
        </w:tc>
        <w:tc>
          <w:tcPr>
            <w:tcW w:w="1134" w:type="dxa"/>
            <w:tcBorders>
              <w:top w:val="nil"/>
              <w:bottom w:val="single" w:sz="4" w:space="0" w:color="auto"/>
            </w:tcBorders>
          </w:tcPr>
          <w:p w:rsidR="008355F0" w:rsidRPr="0079484F" w:rsidRDefault="008355F0" w:rsidP="003867F8">
            <w:pPr>
              <w:spacing w:before="60" w:after="60"/>
              <w:rPr>
                <w:rFonts w:cs="Arial"/>
                <w:color w:val="000000"/>
                <w:sz w:val="16"/>
                <w:szCs w:val="16"/>
              </w:rPr>
            </w:pPr>
            <w:r w:rsidRPr="0079484F">
              <w:rPr>
                <w:rFonts w:cs="Arial"/>
                <w:color w:val="000000"/>
                <w:sz w:val="16"/>
                <w:szCs w:val="16"/>
              </w:rPr>
              <w:t>June 1 to 5, 2015</w:t>
            </w:r>
          </w:p>
        </w:tc>
        <w:tc>
          <w:tcPr>
            <w:tcW w:w="1985" w:type="dxa"/>
            <w:tcBorders>
              <w:top w:val="nil"/>
              <w:bottom w:val="single" w:sz="4" w:space="0" w:color="auto"/>
            </w:tcBorders>
          </w:tcPr>
          <w:p w:rsidR="008355F0" w:rsidRPr="0079484F" w:rsidRDefault="008355F0" w:rsidP="003867F8">
            <w:pPr>
              <w:autoSpaceDE w:val="0"/>
              <w:autoSpaceDN w:val="0"/>
              <w:adjustRightInd w:val="0"/>
              <w:spacing w:before="60" w:after="60"/>
              <w:rPr>
                <w:rFonts w:cs="Arial"/>
                <w:color w:val="000000"/>
                <w:sz w:val="16"/>
                <w:szCs w:val="16"/>
              </w:rPr>
            </w:pPr>
            <w:r w:rsidRPr="0079484F">
              <w:rPr>
                <w:rFonts w:cs="Arial"/>
                <w:color w:val="000000"/>
                <w:sz w:val="16"/>
                <w:szCs w:val="16"/>
              </w:rPr>
              <w:t>Rwanda/</w:t>
            </w:r>
            <w:r>
              <w:rPr>
                <w:rFonts w:cs="Arial"/>
                <w:color w:val="000000"/>
                <w:sz w:val="16"/>
                <w:szCs w:val="16"/>
              </w:rPr>
              <w:t xml:space="preserve"> A</w:t>
            </w:r>
            <w:r w:rsidRPr="0079484F">
              <w:rPr>
                <w:rFonts w:cs="Arial"/>
                <w:color w:val="000000"/>
                <w:sz w:val="16"/>
                <w:szCs w:val="16"/>
              </w:rPr>
              <w:t>pproximately 350 local participants</w:t>
            </w:r>
          </w:p>
        </w:tc>
        <w:tc>
          <w:tcPr>
            <w:tcW w:w="4536" w:type="dxa"/>
            <w:tcBorders>
              <w:top w:val="nil"/>
              <w:bottom w:val="single" w:sz="4" w:space="0" w:color="auto"/>
              <w:right w:val="single" w:sz="4" w:space="0" w:color="auto"/>
            </w:tcBorders>
          </w:tcPr>
          <w:p w:rsidR="008355F0" w:rsidRPr="0079484F" w:rsidRDefault="008355F0" w:rsidP="003867F8">
            <w:pPr>
              <w:autoSpaceDE w:val="0"/>
              <w:autoSpaceDN w:val="0"/>
              <w:adjustRightInd w:val="0"/>
              <w:spacing w:before="60" w:after="60"/>
              <w:rPr>
                <w:rFonts w:cs="Arial"/>
                <w:color w:val="000000"/>
                <w:sz w:val="16"/>
                <w:szCs w:val="16"/>
              </w:rPr>
            </w:pPr>
            <w:r w:rsidRPr="0079484F">
              <w:rPr>
                <w:rFonts w:cs="Arial"/>
                <w:color w:val="000000"/>
                <w:sz w:val="16"/>
                <w:szCs w:val="16"/>
              </w:rPr>
              <w:t>To present the TISC project and its benefits to two higher learning institutions in the country.</w:t>
            </w:r>
          </w:p>
        </w:tc>
      </w:tr>
      <w:tr w:rsidR="008355F0" w:rsidRPr="0079484F" w:rsidTr="00E92F85">
        <w:trPr>
          <w:cantSplit/>
          <w:trHeight w:val="315"/>
        </w:trPr>
        <w:tc>
          <w:tcPr>
            <w:tcW w:w="9498" w:type="dxa"/>
            <w:gridSpan w:val="4"/>
            <w:tcBorders>
              <w:top w:val="single" w:sz="4" w:space="0" w:color="auto"/>
              <w:left w:val="single" w:sz="4" w:space="0" w:color="auto"/>
              <w:bottom w:val="single" w:sz="4" w:space="0" w:color="auto"/>
              <w:right w:val="single" w:sz="4" w:space="0" w:color="auto"/>
            </w:tcBorders>
            <w:shd w:val="clear" w:color="auto" w:fill="C6D9F1" w:themeFill="text2" w:themeFillTint="33"/>
          </w:tcPr>
          <w:p w:rsidR="008355F0" w:rsidRPr="0079484F" w:rsidRDefault="008355F0" w:rsidP="003867F8">
            <w:pPr>
              <w:keepNext/>
              <w:keepLines/>
              <w:tabs>
                <w:tab w:val="left" w:pos="1740"/>
              </w:tabs>
              <w:spacing w:before="120" w:after="120"/>
              <w:ind w:left="1740" w:hanging="1740"/>
              <w:rPr>
                <w:rFonts w:cs="Arial"/>
                <w:b/>
                <w:bCs/>
                <w:color w:val="000000"/>
                <w:sz w:val="16"/>
                <w:szCs w:val="16"/>
              </w:rPr>
            </w:pPr>
            <w:r w:rsidRPr="0079484F">
              <w:rPr>
                <w:rFonts w:cs="Arial"/>
                <w:b/>
                <w:bCs/>
                <w:color w:val="000000"/>
                <w:sz w:val="16"/>
                <w:szCs w:val="16"/>
              </w:rPr>
              <w:t>RESULT:</w:t>
            </w:r>
            <w:r w:rsidRPr="0079484F">
              <w:rPr>
                <w:rFonts w:cs="Arial"/>
                <w:b/>
                <w:bCs/>
                <w:color w:val="000000"/>
                <w:sz w:val="16"/>
                <w:szCs w:val="16"/>
              </w:rPr>
              <w:tab/>
            </w:r>
            <w:r w:rsidRPr="0079484F">
              <w:rPr>
                <w:rFonts w:cs="Arial"/>
                <w:bCs/>
                <w:color w:val="000000"/>
                <w:sz w:val="16"/>
                <w:szCs w:val="16"/>
              </w:rPr>
              <w:t>IV.4. Enhanced technical and knowledge infrastructure for IP Offices and other IP institutions leading to better services (cheaper, faster, higher quality) to their stakeholders</w:t>
            </w:r>
          </w:p>
        </w:tc>
      </w:tr>
      <w:tr w:rsidR="008355F0" w:rsidRPr="0079484F" w:rsidTr="00E92F85">
        <w:trPr>
          <w:cantSplit/>
          <w:trHeight w:val="315"/>
        </w:trPr>
        <w:tc>
          <w:tcPr>
            <w:tcW w:w="1843" w:type="dxa"/>
            <w:tcBorders>
              <w:top w:val="single" w:sz="4" w:space="0" w:color="auto"/>
              <w:bottom w:val="nil"/>
            </w:tcBorders>
            <w:vAlign w:val="center"/>
          </w:tcPr>
          <w:p w:rsidR="008355F0" w:rsidRPr="0079484F" w:rsidRDefault="008355F0" w:rsidP="003867F8">
            <w:pPr>
              <w:keepNext/>
              <w:keepLines/>
              <w:spacing w:before="120"/>
              <w:rPr>
                <w:rFonts w:cs="Arial"/>
                <w:b/>
                <w:bCs/>
                <w:sz w:val="16"/>
                <w:szCs w:val="16"/>
              </w:rPr>
            </w:pPr>
            <w:r w:rsidRPr="0079484F">
              <w:rPr>
                <w:rFonts w:cs="Arial"/>
                <w:b/>
                <w:bCs/>
                <w:sz w:val="16"/>
                <w:szCs w:val="16"/>
              </w:rPr>
              <w:t>Activity</w:t>
            </w:r>
          </w:p>
        </w:tc>
        <w:tc>
          <w:tcPr>
            <w:tcW w:w="1134" w:type="dxa"/>
            <w:tcBorders>
              <w:top w:val="single" w:sz="4" w:space="0" w:color="auto"/>
              <w:bottom w:val="nil"/>
            </w:tcBorders>
            <w:vAlign w:val="center"/>
          </w:tcPr>
          <w:p w:rsidR="008355F0" w:rsidRPr="0079484F" w:rsidRDefault="008355F0" w:rsidP="003867F8">
            <w:pPr>
              <w:keepNext/>
              <w:keepLines/>
              <w:spacing w:before="120" w:after="120"/>
              <w:rPr>
                <w:rFonts w:cs="Arial"/>
                <w:sz w:val="16"/>
                <w:szCs w:val="16"/>
              </w:rPr>
            </w:pPr>
            <w:r w:rsidRPr="0079484F">
              <w:rPr>
                <w:rFonts w:cs="Arial"/>
                <w:b/>
                <w:bCs/>
                <w:sz w:val="16"/>
                <w:szCs w:val="16"/>
              </w:rPr>
              <w:t>Date</w:t>
            </w:r>
          </w:p>
        </w:tc>
        <w:tc>
          <w:tcPr>
            <w:tcW w:w="1985" w:type="dxa"/>
            <w:tcBorders>
              <w:top w:val="single" w:sz="4" w:space="0" w:color="auto"/>
              <w:bottom w:val="nil"/>
            </w:tcBorders>
            <w:vAlign w:val="center"/>
          </w:tcPr>
          <w:p w:rsidR="008355F0" w:rsidRPr="0079484F" w:rsidRDefault="008355F0" w:rsidP="003867F8">
            <w:pPr>
              <w:keepNext/>
              <w:keepLines/>
              <w:spacing w:before="120" w:after="120"/>
              <w:rPr>
                <w:rFonts w:cs="Arial"/>
                <w:sz w:val="16"/>
                <w:szCs w:val="16"/>
              </w:rPr>
            </w:pPr>
            <w:r w:rsidRPr="0079484F">
              <w:rPr>
                <w:rFonts w:cs="Arial"/>
                <w:b/>
                <w:bCs/>
                <w:sz w:val="16"/>
                <w:szCs w:val="16"/>
              </w:rPr>
              <w:t>Host Country/</w:t>
            </w:r>
            <w:r w:rsidRPr="0079484F">
              <w:rPr>
                <w:rFonts w:cs="Arial"/>
                <w:b/>
                <w:bCs/>
                <w:sz w:val="16"/>
                <w:szCs w:val="16"/>
              </w:rPr>
              <w:br/>
              <w:t>Recipients</w:t>
            </w:r>
          </w:p>
        </w:tc>
        <w:tc>
          <w:tcPr>
            <w:tcW w:w="4536" w:type="dxa"/>
            <w:tcBorders>
              <w:top w:val="single" w:sz="4" w:space="0" w:color="auto"/>
              <w:bottom w:val="nil"/>
            </w:tcBorders>
            <w:vAlign w:val="center"/>
          </w:tcPr>
          <w:p w:rsidR="008355F0" w:rsidRPr="0079484F" w:rsidRDefault="008355F0" w:rsidP="003867F8">
            <w:pPr>
              <w:keepNext/>
              <w:keepLines/>
              <w:spacing w:before="120" w:after="120"/>
              <w:rPr>
                <w:rFonts w:cs="Arial"/>
                <w:sz w:val="16"/>
                <w:szCs w:val="16"/>
              </w:rPr>
            </w:pPr>
            <w:r w:rsidRPr="0079484F">
              <w:rPr>
                <w:rFonts w:cs="Arial"/>
                <w:b/>
                <w:bCs/>
                <w:sz w:val="16"/>
                <w:szCs w:val="16"/>
              </w:rPr>
              <w:t>Purpose(s)/Description(s)</w:t>
            </w:r>
          </w:p>
        </w:tc>
      </w:tr>
      <w:tr w:rsidR="008355F0" w:rsidRPr="0079484F" w:rsidTr="00E92F85">
        <w:trPr>
          <w:cantSplit/>
          <w:trHeight w:val="315"/>
        </w:trPr>
        <w:tc>
          <w:tcPr>
            <w:tcW w:w="1843" w:type="dxa"/>
            <w:tcBorders>
              <w:top w:val="nil"/>
              <w:bottom w:val="nil"/>
            </w:tcBorders>
          </w:tcPr>
          <w:p w:rsidR="008355F0" w:rsidRPr="0079484F" w:rsidRDefault="008355F0" w:rsidP="003867F8">
            <w:pPr>
              <w:autoSpaceDE w:val="0"/>
              <w:autoSpaceDN w:val="0"/>
              <w:adjustRightInd w:val="0"/>
              <w:spacing w:before="60" w:after="60"/>
              <w:rPr>
                <w:rFonts w:cs="Arial"/>
                <w:sz w:val="16"/>
                <w:szCs w:val="16"/>
              </w:rPr>
            </w:pPr>
            <w:r w:rsidRPr="0079484F">
              <w:rPr>
                <w:rFonts w:cs="Arial"/>
                <w:sz w:val="16"/>
                <w:szCs w:val="16"/>
              </w:rPr>
              <w:t>Digitization of IP Documents for ARIPO</w:t>
            </w:r>
          </w:p>
        </w:tc>
        <w:tc>
          <w:tcPr>
            <w:tcW w:w="1134" w:type="dxa"/>
            <w:tcBorders>
              <w:top w:val="nil"/>
              <w:bottom w:val="nil"/>
            </w:tcBorders>
          </w:tcPr>
          <w:p w:rsidR="008355F0" w:rsidRPr="0079484F" w:rsidRDefault="008355F0" w:rsidP="003867F8">
            <w:pPr>
              <w:spacing w:before="60" w:after="60"/>
              <w:rPr>
                <w:rFonts w:cs="Arial"/>
                <w:sz w:val="16"/>
                <w:szCs w:val="16"/>
              </w:rPr>
            </w:pPr>
            <w:r w:rsidRPr="0079484F">
              <w:rPr>
                <w:rFonts w:cs="Arial"/>
                <w:sz w:val="16"/>
                <w:szCs w:val="16"/>
              </w:rPr>
              <w:t>April to December</w:t>
            </w:r>
            <w:r>
              <w:rPr>
                <w:rFonts w:cs="Arial"/>
                <w:sz w:val="16"/>
                <w:szCs w:val="16"/>
              </w:rPr>
              <w:t>,</w:t>
            </w:r>
            <w:r w:rsidRPr="0079484F">
              <w:rPr>
                <w:rFonts w:cs="Arial"/>
                <w:sz w:val="16"/>
                <w:szCs w:val="16"/>
              </w:rPr>
              <w:t xml:space="preserve"> 2015</w:t>
            </w:r>
          </w:p>
          <w:p w:rsidR="008355F0" w:rsidRPr="0079484F" w:rsidRDefault="008355F0" w:rsidP="003867F8">
            <w:pPr>
              <w:spacing w:before="60" w:after="60"/>
              <w:rPr>
                <w:rFonts w:cs="Arial"/>
                <w:sz w:val="16"/>
                <w:szCs w:val="16"/>
              </w:rPr>
            </w:pPr>
            <w:r w:rsidRPr="0079484F">
              <w:rPr>
                <w:rFonts w:cs="Arial"/>
                <w:sz w:val="16"/>
                <w:szCs w:val="16"/>
              </w:rPr>
              <w:t>(Ongoing)</w:t>
            </w:r>
          </w:p>
        </w:tc>
        <w:tc>
          <w:tcPr>
            <w:tcW w:w="1985" w:type="dxa"/>
            <w:tcBorders>
              <w:top w:val="nil"/>
              <w:bottom w:val="nil"/>
            </w:tcBorders>
          </w:tcPr>
          <w:p w:rsidR="008355F0" w:rsidRPr="0079484F" w:rsidRDefault="008355F0" w:rsidP="003867F8">
            <w:pPr>
              <w:autoSpaceDE w:val="0"/>
              <w:autoSpaceDN w:val="0"/>
              <w:adjustRightInd w:val="0"/>
              <w:spacing w:before="60" w:after="60"/>
              <w:rPr>
                <w:rFonts w:cs="Arial"/>
                <w:color w:val="000000"/>
                <w:sz w:val="16"/>
                <w:szCs w:val="16"/>
              </w:rPr>
            </w:pPr>
            <w:r w:rsidRPr="0079484F">
              <w:rPr>
                <w:rFonts w:cs="Arial"/>
                <w:color w:val="000000"/>
                <w:sz w:val="16"/>
                <w:szCs w:val="16"/>
              </w:rPr>
              <w:t>ARIPO</w:t>
            </w:r>
          </w:p>
        </w:tc>
        <w:tc>
          <w:tcPr>
            <w:tcW w:w="4536" w:type="dxa"/>
            <w:tcBorders>
              <w:top w:val="nil"/>
              <w:bottom w:val="nil"/>
            </w:tcBorders>
          </w:tcPr>
          <w:p w:rsidR="008355F0" w:rsidRPr="0079484F" w:rsidRDefault="008355F0" w:rsidP="003867F8">
            <w:pPr>
              <w:autoSpaceDE w:val="0"/>
              <w:autoSpaceDN w:val="0"/>
              <w:adjustRightInd w:val="0"/>
              <w:spacing w:before="60" w:after="60"/>
              <w:rPr>
                <w:rFonts w:cs="Arial"/>
                <w:sz w:val="16"/>
                <w:szCs w:val="16"/>
              </w:rPr>
            </w:pPr>
            <w:r w:rsidRPr="0079484F">
              <w:rPr>
                <w:rFonts w:cs="Arial"/>
                <w:sz w:val="16"/>
                <w:szCs w:val="16"/>
              </w:rPr>
              <w:t xml:space="preserve">To: </w:t>
            </w:r>
            <w:r>
              <w:rPr>
                <w:rFonts w:cs="Arial"/>
                <w:sz w:val="16"/>
                <w:szCs w:val="16"/>
              </w:rPr>
              <w:t xml:space="preserve"> </w:t>
            </w:r>
            <w:r w:rsidRPr="0079484F">
              <w:rPr>
                <w:rFonts w:cs="Arial"/>
                <w:sz w:val="16"/>
                <w:szCs w:val="16"/>
              </w:rPr>
              <w:t xml:space="preserve">(i) ease procedures for examination and processing of applications/registrations; </w:t>
            </w:r>
            <w:r>
              <w:rPr>
                <w:rFonts w:cs="Arial"/>
                <w:sz w:val="16"/>
                <w:szCs w:val="16"/>
              </w:rPr>
              <w:t xml:space="preserve"> </w:t>
            </w:r>
            <w:r w:rsidRPr="0079484F">
              <w:rPr>
                <w:rFonts w:cs="Arial"/>
                <w:sz w:val="16"/>
                <w:szCs w:val="16"/>
              </w:rPr>
              <w:t>(ii) secure and preserve IP files by having them available in both physical and digital form</w:t>
            </w:r>
            <w:r>
              <w:rPr>
                <w:rFonts w:cs="Arial"/>
                <w:sz w:val="16"/>
                <w:szCs w:val="16"/>
              </w:rPr>
              <w:t>ats</w:t>
            </w:r>
            <w:r w:rsidRPr="0079484F">
              <w:rPr>
                <w:rFonts w:cs="Arial"/>
                <w:sz w:val="16"/>
                <w:szCs w:val="16"/>
              </w:rPr>
              <w:t xml:space="preserve">; </w:t>
            </w:r>
            <w:r>
              <w:rPr>
                <w:rFonts w:cs="Arial"/>
                <w:sz w:val="16"/>
                <w:szCs w:val="16"/>
              </w:rPr>
              <w:t xml:space="preserve"> </w:t>
            </w:r>
            <w:r w:rsidRPr="0079484F">
              <w:rPr>
                <w:rFonts w:cs="Arial"/>
                <w:sz w:val="16"/>
                <w:szCs w:val="16"/>
              </w:rPr>
              <w:t xml:space="preserve">(iii) facilitate the exchange of IP data both nationally and internationally; </w:t>
            </w:r>
            <w:r>
              <w:rPr>
                <w:rFonts w:cs="Arial"/>
                <w:sz w:val="16"/>
                <w:szCs w:val="16"/>
              </w:rPr>
              <w:t xml:space="preserve"> </w:t>
            </w:r>
            <w:r w:rsidRPr="0079484F">
              <w:rPr>
                <w:rFonts w:cs="Arial"/>
                <w:sz w:val="16"/>
                <w:szCs w:val="16"/>
              </w:rPr>
              <w:t>and (iv) improve IP process governance, transparency, and accountability.</w:t>
            </w:r>
          </w:p>
        </w:tc>
      </w:tr>
      <w:tr w:rsidR="008355F0" w:rsidRPr="0079484F" w:rsidTr="00E92F85">
        <w:trPr>
          <w:cantSplit/>
          <w:trHeight w:val="315"/>
        </w:trPr>
        <w:tc>
          <w:tcPr>
            <w:tcW w:w="1843" w:type="dxa"/>
            <w:tcBorders>
              <w:top w:val="nil"/>
              <w:bottom w:val="nil"/>
            </w:tcBorders>
          </w:tcPr>
          <w:p w:rsidR="008355F0" w:rsidRPr="0079484F" w:rsidRDefault="008355F0" w:rsidP="003867F8">
            <w:pPr>
              <w:autoSpaceDE w:val="0"/>
              <w:autoSpaceDN w:val="0"/>
              <w:adjustRightInd w:val="0"/>
              <w:spacing w:before="60" w:after="60"/>
              <w:rPr>
                <w:rFonts w:cs="Arial"/>
                <w:sz w:val="16"/>
                <w:szCs w:val="16"/>
              </w:rPr>
            </w:pPr>
            <w:r w:rsidRPr="0079484F">
              <w:rPr>
                <w:rFonts w:cs="Arial"/>
                <w:sz w:val="16"/>
                <w:szCs w:val="16"/>
              </w:rPr>
              <w:t>Digitization of IP Documents for the Kenya Industrial Property Institute (KIPI)</w:t>
            </w:r>
          </w:p>
        </w:tc>
        <w:tc>
          <w:tcPr>
            <w:tcW w:w="1134" w:type="dxa"/>
            <w:tcBorders>
              <w:top w:val="nil"/>
              <w:bottom w:val="nil"/>
            </w:tcBorders>
          </w:tcPr>
          <w:p w:rsidR="008355F0" w:rsidRPr="0079484F" w:rsidRDefault="008355F0" w:rsidP="003867F8">
            <w:pPr>
              <w:spacing w:before="60" w:after="60"/>
              <w:rPr>
                <w:rFonts w:cs="Arial"/>
                <w:sz w:val="16"/>
                <w:szCs w:val="16"/>
              </w:rPr>
            </w:pPr>
            <w:r w:rsidRPr="0079484F">
              <w:rPr>
                <w:rFonts w:cs="Arial"/>
                <w:sz w:val="16"/>
                <w:szCs w:val="16"/>
              </w:rPr>
              <w:t>April to December</w:t>
            </w:r>
            <w:r>
              <w:rPr>
                <w:rFonts w:cs="Arial"/>
                <w:sz w:val="16"/>
                <w:szCs w:val="16"/>
              </w:rPr>
              <w:t>,</w:t>
            </w:r>
            <w:r w:rsidRPr="0079484F">
              <w:rPr>
                <w:rFonts w:cs="Arial"/>
                <w:sz w:val="16"/>
                <w:szCs w:val="16"/>
              </w:rPr>
              <w:t xml:space="preserve"> 2015</w:t>
            </w:r>
          </w:p>
          <w:p w:rsidR="008355F0" w:rsidRPr="0079484F" w:rsidRDefault="008355F0" w:rsidP="003867F8">
            <w:pPr>
              <w:spacing w:before="60" w:after="60"/>
              <w:rPr>
                <w:rFonts w:cs="Arial"/>
                <w:sz w:val="16"/>
                <w:szCs w:val="16"/>
              </w:rPr>
            </w:pPr>
            <w:r w:rsidRPr="0079484F">
              <w:rPr>
                <w:rFonts w:cs="Arial"/>
                <w:sz w:val="16"/>
                <w:szCs w:val="16"/>
              </w:rPr>
              <w:t>(Ongoing)</w:t>
            </w:r>
          </w:p>
        </w:tc>
        <w:tc>
          <w:tcPr>
            <w:tcW w:w="1985" w:type="dxa"/>
            <w:tcBorders>
              <w:top w:val="nil"/>
              <w:bottom w:val="nil"/>
            </w:tcBorders>
          </w:tcPr>
          <w:p w:rsidR="008355F0" w:rsidRPr="0079484F" w:rsidRDefault="008355F0" w:rsidP="003867F8">
            <w:pPr>
              <w:autoSpaceDE w:val="0"/>
              <w:autoSpaceDN w:val="0"/>
              <w:adjustRightInd w:val="0"/>
              <w:spacing w:before="60" w:after="60"/>
              <w:rPr>
                <w:rFonts w:cs="Arial"/>
                <w:color w:val="000000"/>
                <w:sz w:val="16"/>
                <w:szCs w:val="16"/>
              </w:rPr>
            </w:pPr>
            <w:r w:rsidRPr="0079484F">
              <w:rPr>
                <w:rFonts w:cs="Arial"/>
                <w:color w:val="000000"/>
                <w:sz w:val="16"/>
                <w:szCs w:val="16"/>
              </w:rPr>
              <w:t>Kenya</w:t>
            </w:r>
          </w:p>
        </w:tc>
        <w:tc>
          <w:tcPr>
            <w:tcW w:w="4536" w:type="dxa"/>
            <w:tcBorders>
              <w:top w:val="nil"/>
              <w:bottom w:val="nil"/>
            </w:tcBorders>
          </w:tcPr>
          <w:p w:rsidR="008355F0" w:rsidRPr="0079484F" w:rsidRDefault="008355F0" w:rsidP="003867F8">
            <w:pPr>
              <w:autoSpaceDE w:val="0"/>
              <w:autoSpaceDN w:val="0"/>
              <w:adjustRightInd w:val="0"/>
              <w:spacing w:before="60" w:after="60"/>
              <w:rPr>
                <w:rFonts w:cs="Arial"/>
                <w:sz w:val="16"/>
                <w:szCs w:val="16"/>
              </w:rPr>
            </w:pPr>
            <w:r w:rsidRPr="0079484F">
              <w:rPr>
                <w:rFonts w:cs="Arial"/>
                <w:sz w:val="16"/>
                <w:szCs w:val="16"/>
              </w:rPr>
              <w:t xml:space="preserve">To: </w:t>
            </w:r>
            <w:r>
              <w:rPr>
                <w:rFonts w:cs="Arial"/>
                <w:sz w:val="16"/>
                <w:szCs w:val="16"/>
              </w:rPr>
              <w:t xml:space="preserve"> </w:t>
            </w:r>
            <w:r w:rsidRPr="0079484F">
              <w:rPr>
                <w:rFonts w:cs="Arial"/>
                <w:sz w:val="16"/>
                <w:szCs w:val="16"/>
              </w:rPr>
              <w:t xml:space="preserve">(i) ease procedures for examination and processing of applications/registrations; </w:t>
            </w:r>
            <w:r>
              <w:rPr>
                <w:rFonts w:cs="Arial"/>
                <w:sz w:val="16"/>
                <w:szCs w:val="16"/>
              </w:rPr>
              <w:t xml:space="preserve"> </w:t>
            </w:r>
            <w:r w:rsidRPr="0079484F">
              <w:rPr>
                <w:rFonts w:cs="Arial"/>
                <w:sz w:val="16"/>
                <w:szCs w:val="16"/>
              </w:rPr>
              <w:t>(ii) secure and preserve IP files by having them available in both physical and digital form</w:t>
            </w:r>
            <w:r>
              <w:rPr>
                <w:rFonts w:cs="Arial"/>
                <w:sz w:val="16"/>
                <w:szCs w:val="16"/>
              </w:rPr>
              <w:t>ats</w:t>
            </w:r>
            <w:r w:rsidRPr="0079484F">
              <w:rPr>
                <w:rFonts w:cs="Arial"/>
                <w:sz w:val="16"/>
                <w:szCs w:val="16"/>
              </w:rPr>
              <w:t xml:space="preserve">; </w:t>
            </w:r>
            <w:r>
              <w:rPr>
                <w:rFonts w:cs="Arial"/>
                <w:sz w:val="16"/>
                <w:szCs w:val="16"/>
              </w:rPr>
              <w:t xml:space="preserve"> </w:t>
            </w:r>
            <w:r w:rsidRPr="0079484F">
              <w:rPr>
                <w:rFonts w:cs="Arial"/>
                <w:sz w:val="16"/>
                <w:szCs w:val="16"/>
              </w:rPr>
              <w:t xml:space="preserve">(iii) facilitate the exchange of IP data both nationally and internationally; </w:t>
            </w:r>
            <w:r>
              <w:rPr>
                <w:rFonts w:cs="Arial"/>
                <w:sz w:val="16"/>
                <w:szCs w:val="16"/>
              </w:rPr>
              <w:t xml:space="preserve"> </w:t>
            </w:r>
            <w:r w:rsidRPr="0079484F">
              <w:rPr>
                <w:rFonts w:cs="Arial"/>
                <w:sz w:val="16"/>
                <w:szCs w:val="16"/>
              </w:rPr>
              <w:t>and (iv) improve IP process governance, transparency, and accountability.</w:t>
            </w:r>
          </w:p>
        </w:tc>
      </w:tr>
      <w:tr w:rsidR="008355F0" w:rsidRPr="0079484F" w:rsidTr="00E92F85">
        <w:trPr>
          <w:cantSplit/>
          <w:trHeight w:val="315"/>
        </w:trPr>
        <w:tc>
          <w:tcPr>
            <w:tcW w:w="1843" w:type="dxa"/>
            <w:tcBorders>
              <w:top w:val="nil"/>
              <w:bottom w:val="nil"/>
            </w:tcBorders>
          </w:tcPr>
          <w:p w:rsidR="008355F0" w:rsidRPr="0079484F" w:rsidRDefault="008355F0" w:rsidP="003867F8">
            <w:pPr>
              <w:autoSpaceDE w:val="0"/>
              <w:autoSpaceDN w:val="0"/>
              <w:adjustRightInd w:val="0"/>
              <w:spacing w:before="60" w:after="60"/>
              <w:rPr>
                <w:rFonts w:cs="Arial"/>
                <w:sz w:val="16"/>
                <w:szCs w:val="16"/>
              </w:rPr>
            </w:pPr>
            <w:r w:rsidRPr="0079484F">
              <w:rPr>
                <w:rFonts w:cs="Arial"/>
                <w:sz w:val="16"/>
                <w:szCs w:val="16"/>
              </w:rPr>
              <w:t>Digitization of Patents and Trademarks Project for the Zimbabwe Intellectual Property Office (ZIPO)</w:t>
            </w:r>
          </w:p>
        </w:tc>
        <w:tc>
          <w:tcPr>
            <w:tcW w:w="1134" w:type="dxa"/>
            <w:tcBorders>
              <w:top w:val="nil"/>
              <w:bottom w:val="nil"/>
            </w:tcBorders>
          </w:tcPr>
          <w:p w:rsidR="008355F0" w:rsidRPr="0079484F" w:rsidRDefault="008355F0" w:rsidP="003867F8">
            <w:pPr>
              <w:spacing w:before="60" w:after="60"/>
              <w:rPr>
                <w:rFonts w:cs="Arial"/>
                <w:sz w:val="16"/>
                <w:szCs w:val="16"/>
              </w:rPr>
            </w:pPr>
            <w:r w:rsidRPr="0079484F">
              <w:rPr>
                <w:rFonts w:cs="Arial"/>
                <w:sz w:val="16"/>
                <w:szCs w:val="16"/>
              </w:rPr>
              <w:t>April to December</w:t>
            </w:r>
            <w:r>
              <w:rPr>
                <w:rFonts w:cs="Arial"/>
                <w:sz w:val="16"/>
                <w:szCs w:val="16"/>
              </w:rPr>
              <w:t>,</w:t>
            </w:r>
            <w:r w:rsidRPr="0079484F">
              <w:rPr>
                <w:rFonts w:cs="Arial"/>
                <w:sz w:val="16"/>
                <w:szCs w:val="16"/>
              </w:rPr>
              <w:t xml:space="preserve"> 2015</w:t>
            </w:r>
          </w:p>
          <w:p w:rsidR="008355F0" w:rsidRPr="0079484F" w:rsidRDefault="008355F0" w:rsidP="003867F8">
            <w:pPr>
              <w:spacing w:before="60" w:after="60"/>
              <w:rPr>
                <w:rFonts w:cs="Arial"/>
                <w:sz w:val="16"/>
                <w:szCs w:val="16"/>
              </w:rPr>
            </w:pPr>
            <w:r w:rsidRPr="0079484F">
              <w:rPr>
                <w:rFonts w:cs="Arial"/>
                <w:sz w:val="16"/>
                <w:szCs w:val="16"/>
              </w:rPr>
              <w:t>(Ongoing)</w:t>
            </w:r>
          </w:p>
        </w:tc>
        <w:tc>
          <w:tcPr>
            <w:tcW w:w="1985" w:type="dxa"/>
            <w:tcBorders>
              <w:top w:val="nil"/>
              <w:bottom w:val="nil"/>
            </w:tcBorders>
          </w:tcPr>
          <w:p w:rsidR="008355F0" w:rsidRPr="0079484F" w:rsidRDefault="008355F0" w:rsidP="003867F8">
            <w:pPr>
              <w:autoSpaceDE w:val="0"/>
              <w:autoSpaceDN w:val="0"/>
              <w:adjustRightInd w:val="0"/>
              <w:spacing w:before="60" w:after="60"/>
              <w:rPr>
                <w:rFonts w:cs="Arial"/>
                <w:color w:val="000000"/>
                <w:sz w:val="16"/>
                <w:szCs w:val="16"/>
              </w:rPr>
            </w:pPr>
            <w:r w:rsidRPr="0079484F">
              <w:rPr>
                <w:rFonts w:cs="Arial"/>
                <w:color w:val="000000"/>
                <w:sz w:val="16"/>
                <w:szCs w:val="16"/>
              </w:rPr>
              <w:t>Zimbabwe</w:t>
            </w:r>
          </w:p>
        </w:tc>
        <w:tc>
          <w:tcPr>
            <w:tcW w:w="4536" w:type="dxa"/>
            <w:tcBorders>
              <w:top w:val="nil"/>
              <w:bottom w:val="nil"/>
            </w:tcBorders>
          </w:tcPr>
          <w:p w:rsidR="008355F0" w:rsidRPr="0079484F" w:rsidRDefault="008355F0" w:rsidP="003867F8">
            <w:pPr>
              <w:autoSpaceDE w:val="0"/>
              <w:autoSpaceDN w:val="0"/>
              <w:adjustRightInd w:val="0"/>
              <w:spacing w:before="60" w:after="60"/>
              <w:rPr>
                <w:rFonts w:cs="Arial"/>
                <w:sz w:val="16"/>
                <w:szCs w:val="16"/>
              </w:rPr>
            </w:pPr>
            <w:r w:rsidRPr="0079484F">
              <w:rPr>
                <w:rFonts w:cs="Arial"/>
                <w:sz w:val="16"/>
                <w:szCs w:val="16"/>
              </w:rPr>
              <w:t xml:space="preserve">To: </w:t>
            </w:r>
            <w:r>
              <w:rPr>
                <w:rFonts w:cs="Arial"/>
                <w:sz w:val="16"/>
                <w:szCs w:val="16"/>
              </w:rPr>
              <w:t xml:space="preserve"> </w:t>
            </w:r>
            <w:r w:rsidRPr="0079484F">
              <w:rPr>
                <w:rFonts w:cs="Arial"/>
                <w:sz w:val="16"/>
                <w:szCs w:val="16"/>
              </w:rPr>
              <w:t xml:space="preserve">(i) create electronic dossiers for all patents and trademark files; </w:t>
            </w:r>
            <w:r>
              <w:rPr>
                <w:rFonts w:cs="Arial"/>
                <w:sz w:val="16"/>
                <w:szCs w:val="16"/>
              </w:rPr>
              <w:t xml:space="preserve"> </w:t>
            </w:r>
            <w:r w:rsidRPr="0079484F">
              <w:rPr>
                <w:rFonts w:cs="Arial"/>
                <w:sz w:val="16"/>
                <w:szCs w:val="16"/>
              </w:rPr>
              <w:t xml:space="preserve">(ii) accelerate the administrative/examination processes in the IP Office; </w:t>
            </w:r>
            <w:r>
              <w:rPr>
                <w:rFonts w:cs="Arial"/>
                <w:sz w:val="16"/>
                <w:szCs w:val="16"/>
              </w:rPr>
              <w:t xml:space="preserve"> </w:t>
            </w:r>
            <w:r w:rsidRPr="0079484F">
              <w:rPr>
                <w:rFonts w:cs="Arial"/>
                <w:sz w:val="16"/>
                <w:szCs w:val="16"/>
              </w:rPr>
              <w:t xml:space="preserve">(iii) improve accessibility to IP information; </w:t>
            </w:r>
            <w:r>
              <w:rPr>
                <w:rFonts w:cs="Arial"/>
                <w:sz w:val="16"/>
                <w:szCs w:val="16"/>
              </w:rPr>
              <w:t xml:space="preserve"> </w:t>
            </w:r>
            <w:r w:rsidRPr="0079484F">
              <w:rPr>
                <w:rFonts w:cs="Arial"/>
                <w:sz w:val="16"/>
                <w:szCs w:val="16"/>
              </w:rPr>
              <w:t>and (iv) improve IP process governance, transparency, and accountability by making all file info easily accessible and available in digital format.</w:t>
            </w:r>
          </w:p>
        </w:tc>
      </w:tr>
      <w:tr w:rsidR="008355F0" w:rsidRPr="0079484F" w:rsidTr="00E92F85">
        <w:trPr>
          <w:cantSplit/>
          <w:trHeight w:val="315"/>
        </w:trPr>
        <w:tc>
          <w:tcPr>
            <w:tcW w:w="1843" w:type="dxa"/>
            <w:tcBorders>
              <w:top w:val="nil"/>
              <w:bottom w:val="nil"/>
            </w:tcBorders>
          </w:tcPr>
          <w:p w:rsidR="008355F0" w:rsidRPr="0079484F" w:rsidRDefault="008355F0" w:rsidP="003867F8">
            <w:pPr>
              <w:autoSpaceDE w:val="0"/>
              <w:autoSpaceDN w:val="0"/>
              <w:adjustRightInd w:val="0"/>
              <w:spacing w:before="60" w:after="60"/>
              <w:rPr>
                <w:rFonts w:cs="Arial"/>
                <w:sz w:val="16"/>
                <w:szCs w:val="16"/>
              </w:rPr>
            </w:pPr>
            <w:r w:rsidRPr="0079484F">
              <w:rPr>
                <w:rFonts w:cs="Arial"/>
                <w:sz w:val="16"/>
                <w:szCs w:val="16"/>
              </w:rPr>
              <w:t>WIPO Regional Training Workshop on the WIPO IPAS for the IP Process and Governance Supervisors</w:t>
            </w:r>
          </w:p>
        </w:tc>
        <w:tc>
          <w:tcPr>
            <w:tcW w:w="1134" w:type="dxa"/>
            <w:tcBorders>
              <w:top w:val="nil"/>
              <w:bottom w:val="nil"/>
            </w:tcBorders>
          </w:tcPr>
          <w:p w:rsidR="008355F0" w:rsidRPr="0079484F" w:rsidRDefault="008355F0" w:rsidP="003867F8">
            <w:pPr>
              <w:spacing w:before="60" w:after="60"/>
              <w:rPr>
                <w:rFonts w:cs="Arial"/>
                <w:sz w:val="16"/>
                <w:szCs w:val="16"/>
              </w:rPr>
            </w:pPr>
            <w:r w:rsidRPr="0079484F">
              <w:rPr>
                <w:rFonts w:cs="Arial"/>
                <w:color w:val="000000"/>
                <w:sz w:val="16"/>
                <w:szCs w:val="16"/>
              </w:rPr>
              <w:t>April 13 to 17, 2015</w:t>
            </w:r>
          </w:p>
        </w:tc>
        <w:tc>
          <w:tcPr>
            <w:tcW w:w="1985" w:type="dxa"/>
            <w:tcBorders>
              <w:top w:val="nil"/>
              <w:bottom w:val="nil"/>
            </w:tcBorders>
          </w:tcPr>
          <w:p w:rsidR="008355F0" w:rsidRPr="0079484F" w:rsidRDefault="008355F0" w:rsidP="003867F8">
            <w:pPr>
              <w:autoSpaceDE w:val="0"/>
              <w:autoSpaceDN w:val="0"/>
              <w:adjustRightInd w:val="0"/>
              <w:spacing w:before="60" w:after="60"/>
              <w:rPr>
                <w:rFonts w:cs="Arial"/>
                <w:color w:val="000000"/>
                <w:sz w:val="16"/>
                <w:szCs w:val="16"/>
              </w:rPr>
            </w:pPr>
            <w:r w:rsidRPr="0079484F">
              <w:rPr>
                <w:rFonts w:cs="Arial"/>
                <w:color w:val="000000"/>
                <w:sz w:val="16"/>
                <w:szCs w:val="16"/>
              </w:rPr>
              <w:t>Namibia/</w:t>
            </w:r>
            <w:r>
              <w:rPr>
                <w:rFonts w:cs="Arial"/>
                <w:color w:val="000000"/>
                <w:sz w:val="16"/>
                <w:szCs w:val="16"/>
              </w:rPr>
              <w:t xml:space="preserve"> </w:t>
            </w:r>
            <w:r w:rsidRPr="0079484F">
              <w:rPr>
                <w:rFonts w:cs="Arial"/>
                <w:color w:val="000000"/>
                <w:sz w:val="16"/>
                <w:szCs w:val="16"/>
              </w:rPr>
              <w:t xml:space="preserve">24 participants from Botswana, Ethiopia, </w:t>
            </w:r>
            <w:r>
              <w:rPr>
                <w:rFonts w:cs="Arial"/>
                <w:color w:val="000000"/>
                <w:sz w:val="16"/>
                <w:szCs w:val="16"/>
              </w:rPr>
              <w:t xml:space="preserve">the </w:t>
            </w:r>
            <w:r w:rsidRPr="0079484F">
              <w:rPr>
                <w:rFonts w:cs="Arial"/>
                <w:color w:val="000000"/>
                <w:sz w:val="16"/>
                <w:szCs w:val="16"/>
              </w:rPr>
              <w:t>Gambia, Ghana, Kenya, Lesotho, Madagascar, Malawi, Mauritius, Mozambique, Namibia, Nigeria, Rwanda, Seychelles, Swaziland, Uganda,</w:t>
            </w:r>
            <w:r>
              <w:rPr>
                <w:rFonts w:cs="Arial"/>
                <w:color w:val="000000"/>
                <w:sz w:val="16"/>
                <w:szCs w:val="16"/>
              </w:rPr>
              <w:t xml:space="preserve"> United Republic of Tanzania,</w:t>
            </w:r>
            <w:r w:rsidRPr="0079484F">
              <w:rPr>
                <w:rFonts w:cs="Arial"/>
                <w:color w:val="000000"/>
                <w:sz w:val="16"/>
                <w:szCs w:val="16"/>
              </w:rPr>
              <w:t xml:space="preserve"> Zambia, Zimbabwe, ARIPO and OAPI</w:t>
            </w:r>
          </w:p>
        </w:tc>
        <w:tc>
          <w:tcPr>
            <w:tcW w:w="4536" w:type="dxa"/>
            <w:tcBorders>
              <w:top w:val="nil"/>
              <w:bottom w:val="nil"/>
            </w:tcBorders>
          </w:tcPr>
          <w:p w:rsidR="008355F0" w:rsidRPr="0079484F" w:rsidRDefault="008355F0" w:rsidP="003867F8">
            <w:pPr>
              <w:autoSpaceDE w:val="0"/>
              <w:autoSpaceDN w:val="0"/>
              <w:adjustRightInd w:val="0"/>
              <w:spacing w:before="60" w:after="60"/>
              <w:rPr>
                <w:rFonts w:cs="Arial"/>
                <w:sz w:val="16"/>
                <w:szCs w:val="16"/>
              </w:rPr>
            </w:pPr>
            <w:r w:rsidRPr="0079484F">
              <w:rPr>
                <w:rFonts w:cs="Arial"/>
                <w:sz w:val="16"/>
                <w:szCs w:val="16"/>
              </w:rPr>
              <w:t>To</w:t>
            </w:r>
            <w:r>
              <w:rPr>
                <w:rFonts w:cs="Arial"/>
                <w:sz w:val="16"/>
                <w:szCs w:val="16"/>
              </w:rPr>
              <w:t>:  (i)</w:t>
            </w:r>
            <w:r w:rsidRPr="0079484F">
              <w:rPr>
                <w:rFonts w:cs="Arial"/>
                <w:sz w:val="16"/>
                <w:szCs w:val="16"/>
              </w:rPr>
              <w:t xml:space="preserve"> introduce participants to the basic concepts and IPAS tools for business process governance, accountability, transparency and supervision</w:t>
            </w:r>
            <w:r>
              <w:rPr>
                <w:rFonts w:cs="Arial"/>
                <w:sz w:val="16"/>
                <w:szCs w:val="16"/>
              </w:rPr>
              <w:t xml:space="preserve">;  and (ii) enhance </w:t>
            </w:r>
            <w:r w:rsidRPr="0079484F">
              <w:rPr>
                <w:rFonts w:cs="Arial"/>
                <w:sz w:val="16"/>
                <w:szCs w:val="16"/>
              </w:rPr>
              <w:t>understanding</w:t>
            </w:r>
            <w:r>
              <w:rPr>
                <w:rFonts w:cs="Arial"/>
                <w:sz w:val="16"/>
                <w:szCs w:val="16"/>
              </w:rPr>
              <w:t xml:space="preserve"> of</w:t>
            </w:r>
            <w:r w:rsidRPr="0079484F">
              <w:rPr>
                <w:rFonts w:cs="Arial"/>
                <w:sz w:val="16"/>
                <w:szCs w:val="16"/>
              </w:rPr>
              <w:t xml:space="preserve"> IPAS capabilities and tools for producing statistical reports, process governance and accountability reports for supervision and productivity reports for administrative process of IP applications and registrations.</w:t>
            </w:r>
          </w:p>
        </w:tc>
      </w:tr>
      <w:tr w:rsidR="008355F0" w:rsidRPr="0079484F" w:rsidTr="00E92F85">
        <w:trPr>
          <w:cantSplit/>
          <w:trHeight w:val="315"/>
        </w:trPr>
        <w:tc>
          <w:tcPr>
            <w:tcW w:w="1843" w:type="dxa"/>
            <w:tcBorders>
              <w:top w:val="nil"/>
              <w:bottom w:val="single" w:sz="4" w:space="0" w:color="auto"/>
            </w:tcBorders>
          </w:tcPr>
          <w:p w:rsidR="008355F0" w:rsidRPr="0079484F" w:rsidRDefault="008355F0" w:rsidP="003867F8">
            <w:pPr>
              <w:autoSpaceDE w:val="0"/>
              <w:autoSpaceDN w:val="0"/>
              <w:adjustRightInd w:val="0"/>
              <w:spacing w:before="60" w:after="60"/>
              <w:rPr>
                <w:rFonts w:cs="Arial"/>
                <w:sz w:val="16"/>
                <w:szCs w:val="16"/>
              </w:rPr>
            </w:pPr>
            <w:r w:rsidRPr="0079484F">
              <w:rPr>
                <w:rFonts w:cs="Arial"/>
                <w:sz w:val="16"/>
                <w:szCs w:val="16"/>
              </w:rPr>
              <w:t>WIPO Regional Training Workshop on IP Data Validation and Exchange</w:t>
            </w:r>
          </w:p>
        </w:tc>
        <w:tc>
          <w:tcPr>
            <w:tcW w:w="1134" w:type="dxa"/>
            <w:tcBorders>
              <w:top w:val="nil"/>
              <w:bottom w:val="single" w:sz="4" w:space="0" w:color="auto"/>
            </w:tcBorders>
          </w:tcPr>
          <w:p w:rsidR="008355F0" w:rsidRPr="0079484F" w:rsidRDefault="008355F0" w:rsidP="003867F8">
            <w:pPr>
              <w:spacing w:before="60" w:after="60"/>
              <w:rPr>
                <w:rFonts w:cs="Arial"/>
                <w:sz w:val="16"/>
                <w:szCs w:val="16"/>
              </w:rPr>
            </w:pPr>
            <w:r w:rsidRPr="0079484F">
              <w:rPr>
                <w:rFonts w:cs="Arial"/>
                <w:color w:val="000000"/>
                <w:sz w:val="16"/>
                <w:szCs w:val="16"/>
              </w:rPr>
              <w:t>October 19 to 23, 2015</w:t>
            </w:r>
          </w:p>
        </w:tc>
        <w:tc>
          <w:tcPr>
            <w:tcW w:w="1985" w:type="dxa"/>
            <w:tcBorders>
              <w:top w:val="nil"/>
              <w:bottom w:val="single" w:sz="4" w:space="0" w:color="auto"/>
            </w:tcBorders>
          </w:tcPr>
          <w:p w:rsidR="008355F0" w:rsidRPr="0079484F" w:rsidRDefault="008355F0" w:rsidP="003867F8">
            <w:pPr>
              <w:autoSpaceDE w:val="0"/>
              <w:autoSpaceDN w:val="0"/>
              <w:adjustRightInd w:val="0"/>
              <w:spacing w:before="60" w:after="60"/>
              <w:rPr>
                <w:rFonts w:cs="Arial"/>
                <w:color w:val="000000"/>
                <w:sz w:val="16"/>
                <w:szCs w:val="16"/>
              </w:rPr>
            </w:pPr>
            <w:r w:rsidRPr="0079484F">
              <w:rPr>
                <w:rFonts w:cs="Arial"/>
                <w:color w:val="000000"/>
                <w:sz w:val="16"/>
                <w:szCs w:val="16"/>
              </w:rPr>
              <w:t>Zimbabwe/</w:t>
            </w:r>
            <w:r>
              <w:rPr>
                <w:rFonts w:cs="Arial"/>
                <w:color w:val="000000"/>
                <w:sz w:val="16"/>
                <w:szCs w:val="16"/>
              </w:rPr>
              <w:t xml:space="preserve"> </w:t>
            </w:r>
            <w:r w:rsidRPr="0079484F">
              <w:rPr>
                <w:rFonts w:cs="Arial"/>
                <w:color w:val="000000"/>
                <w:sz w:val="16"/>
                <w:szCs w:val="16"/>
              </w:rPr>
              <w:t xml:space="preserve">33 participants from Botswana, Ethiopia, </w:t>
            </w:r>
            <w:r>
              <w:rPr>
                <w:rFonts w:cs="Arial"/>
                <w:color w:val="000000"/>
                <w:sz w:val="16"/>
                <w:szCs w:val="16"/>
              </w:rPr>
              <w:t xml:space="preserve">the </w:t>
            </w:r>
            <w:r w:rsidRPr="0079484F">
              <w:rPr>
                <w:rFonts w:cs="Arial"/>
                <w:color w:val="000000"/>
                <w:sz w:val="16"/>
                <w:szCs w:val="16"/>
              </w:rPr>
              <w:t>Gambia, Ghana, Kenya, Lesotho, Madagascar, Malawi, Mauritius, Mozambique, Namibia, Rwanda, Seychelles, Swaziland, Uganda,</w:t>
            </w:r>
            <w:r>
              <w:rPr>
                <w:rFonts w:cs="Arial"/>
                <w:color w:val="000000"/>
                <w:sz w:val="16"/>
                <w:szCs w:val="16"/>
              </w:rPr>
              <w:t xml:space="preserve"> United Republic of Tanzania,</w:t>
            </w:r>
            <w:r w:rsidRPr="0079484F">
              <w:rPr>
                <w:rFonts w:cs="Arial"/>
                <w:color w:val="000000"/>
                <w:sz w:val="16"/>
                <w:szCs w:val="16"/>
              </w:rPr>
              <w:t xml:space="preserve"> Zambia, Zimbabwe, ARIPO and OAPI.</w:t>
            </w:r>
          </w:p>
        </w:tc>
        <w:tc>
          <w:tcPr>
            <w:tcW w:w="4536" w:type="dxa"/>
            <w:tcBorders>
              <w:top w:val="nil"/>
              <w:bottom w:val="single" w:sz="4" w:space="0" w:color="auto"/>
            </w:tcBorders>
          </w:tcPr>
          <w:p w:rsidR="008355F0" w:rsidRPr="0079484F" w:rsidRDefault="008355F0" w:rsidP="003867F8">
            <w:pPr>
              <w:autoSpaceDE w:val="0"/>
              <w:autoSpaceDN w:val="0"/>
              <w:adjustRightInd w:val="0"/>
              <w:spacing w:before="60" w:after="60"/>
              <w:rPr>
                <w:rFonts w:cs="Arial"/>
                <w:sz w:val="16"/>
                <w:szCs w:val="16"/>
              </w:rPr>
            </w:pPr>
            <w:r w:rsidRPr="0079484F">
              <w:rPr>
                <w:rFonts w:cs="Arial"/>
                <w:sz w:val="16"/>
                <w:szCs w:val="16"/>
              </w:rPr>
              <w:t xml:space="preserve">To: </w:t>
            </w:r>
            <w:r>
              <w:rPr>
                <w:rFonts w:cs="Arial"/>
                <w:sz w:val="16"/>
                <w:szCs w:val="16"/>
              </w:rPr>
              <w:t xml:space="preserve"> </w:t>
            </w:r>
            <w:r w:rsidRPr="0079484F">
              <w:rPr>
                <w:rFonts w:cs="Arial"/>
                <w:sz w:val="16"/>
                <w:szCs w:val="16"/>
              </w:rPr>
              <w:t xml:space="preserve">(i) introduce participants to WIPO Standards on IP Data and best practices; </w:t>
            </w:r>
            <w:r>
              <w:rPr>
                <w:rFonts w:cs="Arial"/>
                <w:sz w:val="16"/>
                <w:szCs w:val="16"/>
              </w:rPr>
              <w:t xml:space="preserve"> </w:t>
            </w:r>
            <w:r w:rsidRPr="0079484F">
              <w:rPr>
                <w:rFonts w:cs="Arial"/>
                <w:sz w:val="16"/>
                <w:szCs w:val="16"/>
              </w:rPr>
              <w:t>(ii) introduce the IPAS system and its data validation and verification built-in functionalit</w:t>
            </w:r>
            <w:r>
              <w:rPr>
                <w:rFonts w:cs="Arial"/>
                <w:sz w:val="16"/>
                <w:szCs w:val="16"/>
              </w:rPr>
              <w:t>ies</w:t>
            </w:r>
            <w:r w:rsidRPr="0079484F">
              <w:rPr>
                <w:rFonts w:cs="Arial"/>
                <w:sz w:val="16"/>
                <w:szCs w:val="16"/>
              </w:rPr>
              <w:t>;</w:t>
            </w:r>
            <w:r>
              <w:rPr>
                <w:rFonts w:cs="Arial"/>
                <w:sz w:val="16"/>
                <w:szCs w:val="16"/>
              </w:rPr>
              <w:t xml:space="preserve"> </w:t>
            </w:r>
            <w:r w:rsidRPr="0079484F">
              <w:rPr>
                <w:rFonts w:cs="Arial"/>
                <w:sz w:val="16"/>
                <w:szCs w:val="16"/>
              </w:rPr>
              <w:t xml:space="preserve"> (iii) introduce system functions and tools for supervision, productivity, and process governance; </w:t>
            </w:r>
            <w:r>
              <w:rPr>
                <w:rFonts w:cs="Arial"/>
                <w:sz w:val="16"/>
                <w:szCs w:val="16"/>
              </w:rPr>
              <w:t xml:space="preserve"> </w:t>
            </w:r>
            <w:r w:rsidRPr="0079484F">
              <w:rPr>
                <w:rFonts w:cs="Arial"/>
                <w:sz w:val="16"/>
                <w:szCs w:val="16"/>
              </w:rPr>
              <w:t>and (iv) demonstrate to participants on how to produce data quality control reports for random checks and controls.</w:t>
            </w:r>
          </w:p>
        </w:tc>
      </w:tr>
    </w:tbl>
    <w:p w:rsidR="008355F0" w:rsidRPr="00A61AD8" w:rsidRDefault="008355F0" w:rsidP="003867F8">
      <w:pPr>
        <w:rPr>
          <w:rFonts w:cs="Arial"/>
          <w:b/>
          <w:szCs w:val="16"/>
        </w:rPr>
      </w:pPr>
    </w:p>
    <w:p w:rsidR="008355F0" w:rsidRPr="00A61AD8" w:rsidRDefault="008355F0" w:rsidP="003867F8">
      <w:pPr>
        <w:rPr>
          <w:rFonts w:cs="Arial"/>
          <w:b/>
          <w:szCs w:val="16"/>
        </w:rPr>
      </w:pPr>
    </w:p>
    <w:p w:rsidR="008355F0" w:rsidRDefault="008355F0" w:rsidP="003867F8">
      <w:pPr>
        <w:rPr>
          <w:rFonts w:cs="Arial"/>
          <w:b/>
          <w:bCs/>
          <w:color w:val="000000"/>
          <w:szCs w:val="20"/>
        </w:rPr>
      </w:pPr>
      <w:r w:rsidRPr="0079484F">
        <w:rPr>
          <w:rFonts w:cs="Arial"/>
          <w:b/>
          <w:szCs w:val="16"/>
        </w:rPr>
        <w:t>JAPAN/IP/AFRICA-LDCs</w:t>
      </w:r>
      <w:r>
        <w:rPr>
          <w:rFonts w:cs="Arial"/>
          <w:b/>
          <w:szCs w:val="16"/>
        </w:rPr>
        <w:t xml:space="preserve"> </w:t>
      </w:r>
      <w:r w:rsidRPr="0079484F">
        <w:rPr>
          <w:rFonts w:cs="Arial"/>
          <w:b/>
          <w:bCs/>
          <w:color w:val="000000"/>
          <w:szCs w:val="20"/>
        </w:rPr>
        <w:t>Donor Contributions and Expenditure in 2015</w:t>
      </w:r>
    </w:p>
    <w:p w:rsidR="008355F0" w:rsidRPr="00A61AD8" w:rsidRDefault="008355F0" w:rsidP="003867F8">
      <w:pPr>
        <w:rPr>
          <w:rFonts w:cs="Arial"/>
          <w:szCs w:val="16"/>
        </w:rPr>
      </w:pPr>
    </w:p>
    <w:tbl>
      <w:tblPr>
        <w:tblW w:w="9508" w:type="dxa"/>
        <w:tblInd w:w="98" w:type="dxa"/>
        <w:tblLook w:val="04A0" w:firstRow="1" w:lastRow="0" w:firstColumn="1" w:lastColumn="0" w:noHBand="0" w:noVBand="1"/>
      </w:tblPr>
      <w:tblGrid>
        <w:gridCol w:w="2040"/>
        <w:gridCol w:w="1640"/>
        <w:gridCol w:w="1860"/>
        <w:gridCol w:w="1780"/>
        <w:gridCol w:w="2188"/>
      </w:tblGrid>
      <w:tr w:rsidR="008355F0" w:rsidRPr="00147C5C" w:rsidTr="00E92F85">
        <w:trPr>
          <w:trHeight w:val="450"/>
        </w:trPr>
        <w:tc>
          <w:tcPr>
            <w:tcW w:w="2040" w:type="dxa"/>
            <w:tcBorders>
              <w:top w:val="single" w:sz="8" w:space="0" w:color="auto"/>
              <w:left w:val="single" w:sz="8" w:space="0" w:color="auto"/>
              <w:bottom w:val="nil"/>
              <w:right w:val="single" w:sz="8" w:space="0" w:color="auto"/>
            </w:tcBorders>
            <w:shd w:val="clear" w:color="000000" w:fill="C5D9F1"/>
            <w:vAlign w:val="center"/>
            <w:hideMark/>
          </w:tcPr>
          <w:p w:rsidR="008355F0" w:rsidRPr="00147C5C" w:rsidRDefault="008355F0" w:rsidP="003867F8">
            <w:pPr>
              <w:jc w:val="center"/>
              <w:rPr>
                <w:rFonts w:cs="Arial"/>
                <w:b/>
                <w:bCs/>
                <w:color w:val="000000"/>
                <w:sz w:val="16"/>
                <w:szCs w:val="16"/>
              </w:rPr>
            </w:pPr>
            <w:r w:rsidRPr="00147C5C">
              <w:rPr>
                <w:rFonts w:cs="Arial"/>
                <w:b/>
                <w:bCs/>
                <w:color w:val="000000"/>
                <w:sz w:val="16"/>
                <w:szCs w:val="16"/>
              </w:rPr>
              <w:t>Balance as of December 31, 2014</w:t>
            </w:r>
          </w:p>
        </w:tc>
        <w:tc>
          <w:tcPr>
            <w:tcW w:w="1640" w:type="dxa"/>
            <w:tcBorders>
              <w:top w:val="single" w:sz="8" w:space="0" w:color="auto"/>
              <w:left w:val="nil"/>
              <w:bottom w:val="nil"/>
              <w:right w:val="single" w:sz="8" w:space="0" w:color="auto"/>
            </w:tcBorders>
            <w:shd w:val="clear" w:color="000000" w:fill="C5D9F1"/>
            <w:vAlign w:val="center"/>
            <w:hideMark/>
          </w:tcPr>
          <w:p w:rsidR="008355F0" w:rsidRPr="00147C5C" w:rsidRDefault="008355F0" w:rsidP="003867F8">
            <w:pPr>
              <w:jc w:val="center"/>
              <w:rPr>
                <w:rFonts w:cs="Arial"/>
                <w:b/>
                <w:bCs/>
                <w:color w:val="000000"/>
                <w:sz w:val="16"/>
                <w:szCs w:val="16"/>
              </w:rPr>
            </w:pPr>
            <w:r w:rsidRPr="00147C5C">
              <w:rPr>
                <w:rFonts w:cs="Arial"/>
                <w:b/>
                <w:bCs/>
                <w:color w:val="000000"/>
                <w:sz w:val="16"/>
                <w:szCs w:val="16"/>
              </w:rPr>
              <w:t>Income 2015</w:t>
            </w:r>
          </w:p>
        </w:tc>
        <w:tc>
          <w:tcPr>
            <w:tcW w:w="1860" w:type="dxa"/>
            <w:tcBorders>
              <w:top w:val="single" w:sz="8" w:space="0" w:color="auto"/>
              <w:left w:val="nil"/>
              <w:bottom w:val="nil"/>
              <w:right w:val="single" w:sz="8" w:space="0" w:color="auto"/>
            </w:tcBorders>
            <w:shd w:val="clear" w:color="000000" w:fill="C5D9F1"/>
            <w:vAlign w:val="center"/>
            <w:hideMark/>
          </w:tcPr>
          <w:p w:rsidR="008355F0" w:rsidRPr="00147C5C" w:rsidRDefault="008355F0" w:rsidP="003867F8">
            <w:pPr>
              <w:jc w:val="center"/>
              <w:rPr>
                <w:rFonts w:cs="Arial"/>
                <w:b/>
                <w:bCs/>
                <w:color w:val="000000"/>
                <w:sz w:val="16"/>
                <w:szCs w:val="16"/>
              </w:rPr>
            </w:pPr>
            <w:r w:rsidRPr="00147C5C">
              <w:rPr>
                <w:rFonts w:cs="Arial"/>
                <w:b/>
                <w:bCs/>
                <w:color w:val="000000"/>
                <w:sz w:val="16"/>
                <w:szCs w:val="16"/>
              </w:rPr>
              <w:t>Expenditure 2015</w:t>
            </w:r>
          </w:p>
        </w:tc>
        <w:tc>
          <w:tcPr>
            <w:tcW w:w="1780" w:type="dxa"/>
            <w:tcBorders>
              <w:top w:val="single" w:sz="8" w:space="0" w:color="auto"/>
              <w:left w:val="nil"/>
              <w:bottom w:val="nil"/>
              <w:right w:val="single" w:sz="8" w:space="0" w:color="auto"/>
            </w:tcBorders>
            <w:shd w:val="clear" w:color="000000" w:fill="C5D9F1"/>
            <w:vAlign w:val="center"/>
            <w:hideMark/>
          </w:tcPr>
          <w:p w:rsidR="008355F0" w:rsidRPr="00147C5C" w:rsidRDefault="008355F0" w:rsidP="003867F8">
            <w:pPr>
              <w:jc w:val="center"/>
              <w:rPr>
                <w:rFonts w:cs="Arial"/>
                <w:b/>
                <w:bCs/>
                <w:color w:val="000000"/>
                <w:sz w:val="16"/>
                <w:szCs w:val="16"/>
              </w:rPr>
            </w:pPr>
            <w:r w:rsidRPr="00147C5C">
              <w:rPr>
                <w:rFonts w:cs="Arial"/>
                <w:b/>
                <w:bCs/>
                <w:color w:val="000000"/>
                <w:sz w:val="16"/>
                <w:szCs w:val="16"/>
              </w:rPr>
              <w:t>Reimbursements</w:t>
            </w:r>
          </w:p>
        </w:tc>
        <w:tc>
          <w:tcPr>
            <w:tcW w:w="2188" w:type="dxa"/>
            <w:tcBorders>
              <w:top w:val="single" w:sz="8" w:space="0" w:color="auto"/>
              <w:left w:val="nil"/>
              <w:bottom w:val="nil"/>
              <w:right w:val="single" w:sz="8" w:space="0" w:color="auto"/>
            </w:tcBorders>
            <w:shd w:val="clear" w:color="000000" w:fill="C5D9F1"/>
            <w:vAlign w:val="center"/>
            <w:hideMark/>
          </w:tcPr>
          <w:p w:rsidR="008355F0" w:rsidRPr="00147C5C" w:rsidRDefault="008355F0" w:rsidP="003867F8">
            <w:pPr>
              <w:jc w:val="center"/>
              <w:rPr>
                <w:rFonts w:cs="Arial"/>
                <w:b/>
                <w:bCs/>
                <w:color w:val="000000"/>
                <w:sz w:val="16"/>
                <w:szCs w:val="16"/>
              </w:rPr>
            </w:pPr>
            <w:r w:rsidRPr="00147C5C">
              <w:rPr>
                <w:rFonts w:cs="Arial"/>
                <w:b/>
                <w:bCs/>
                <w:color w:val="000000"/>
                <w:sz w:val="16"/>
                <w:szCs w:val="16"/>
              </w:rPr>
              <w:t>Balance as of December</w:t>
            </w:r>
            <w:r>
              <w:rPr>
                <w:rFonts w:cs="Arial"/>
                <w:b/>
                <w:bCs/>
                <w:color w:val="000000"/>
                <w:sz w:val="16"/>
                <w:szCs w:val="16"/>
              </w:rPr>
              <w:t> </w:t>
            </w:r>
            <w:r w:rsidRPr="00147C5C">
              <w:rPr>
                <w:rFonts w:cs="Arial"/>
                <w:b/>
                <w:bCs/>
                <w:color w:val="000000"/>
                <w:sz w:val="16"/>
                <w:szCs w:val="16"/>
              </w:rPr>
              <w:t>31,</w:t>
            </w:r>
            <w:r>
              <w:rPr>
                <w:rFonts w:cs="Arial"/>
                <w:b/>
                <w:bCs/>
                <w:color w:val="000000"/>
                <w:sz w:val="16"/>
                <w:szCs w:val="16"/>
              </w:rPr>
              <w:t> </w:t>
            </w:r>
            <w:r w:rsidRPr="00147C5C">
              <w:rPr>
                <w:rFonts w:cs="Arial"/>
                <w:b/>
                <w:bCs/>
                <w:color w:val="000000"/>
                <w:sz w:val="16"/>
                <w:szCs w:val="16"/>
              </w:rPr>
              <w:t>2015</w:t>
            </w:r>
          </w:p>
        </w:tc>
      </w:tr>
      <w:tr w:rsidR="008355F0" w:rsidRPr="00147C5C" w:rsidTr="00E92F85">
        <w:trPr>
          <w:trHeight w:val="255"/>
        </w:trPr>
        <w:tc>
          <w:tcPr>
            <w:tcW w:w="20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55F0" w:rsidRPr="00147C5C" w:rsidRDefault="008355F0" w:rsidP="003867F8">
            <w:pPr>
              <w:jc w:val="center"/>
              <w:rPr>
                <w:rFonts w:cs="Arial"/>
                <w:color w:val="000000"/>
                <w:sz w:val="16"/>
                <w:szCs w:val="16"/>
              </w:rPr>
            </w:pPr>
            <w:r w:rsidRPr="00147C5C">
              <w:rPr>
                <w:rFonts w:cs="Arial"/>
                <w:color w:val="000000"/>
                <w:sz w:val="16"/>
                <w:szCs w:val="16"/>
              </w:rPr>
              <w:t>1,435,090</w:t>
            </w:r>
          </w:p>
        </w:tc>
        <w:tc>
          <w:tcPr>
            <w:tcW w:w="1640" w:type="dxa"/>
            <w:tcBorders>
              <w:top w:val="single" w:sz="4" w:space="0" w:color="auto"/>
              <w:left w:val="nil"/>
              <w:bottom w:val="single" w:sz="4" w:space="0" w:color="auto"/>
              <w:right w:val="single" w:sz="4" w:space="0" w:color="auto"/>
            </w:tcBorders>
            <w:shd w:val="clear" w:color="auto" w:fill="auto"/>
            <w:vAlign w:val="center"/>
            <w:hideMark/>
          </w:tcPr>
          <w:p w:rsidR="008355F0" w:rsidRPr="00147C5C" w:rsidRDefault="008355F0" w:rsidP="003867F8">
            <w:pPr>
              <w:jc w:val="center"/>
              <w:rPr>
                <w:rFonts w:cs="Arial"/>
                <w:color w:val="000000"/>
                <w:sz w:val="16"/>
                <w:szCs w:val="16"/>
              </w:rPr>
            </w:pPr>
            <w:r w:rsidRPr="00147C5C">
              <w:rPr>
                <w:rFonts w:cs="Arial"/>
                <w:color w:val="000000"/>
                <w:sz w:val="16"/>
                <w:szCs w:val="16"/>
              </w:rPr>
              <w:t>1,602,617</w:t>
            </w:r>
          </w:p>
        </w:tc>
        <w:tc>
          <w:tcPr>
            <w:tcW w:w="1860" w:type="dxa"/>
            <w:tcBorders>
              <w:top w:val="single" w:sz="4" w:space="0" w:color="auto"/>
              <w:left w:val="nil"/>
              <w:bottom w:val="single" w:sz="4" w:space="0" w:color="auto"/>
              <w:right w:val="single" w:sz="4" w:space="0" w:color="auto"/>
            </w:tcBorders>
            <w:shd w:val="clear" w:color="auto" w:fill="auto"/>
            <w:vAlign w:val="center"/>
            <w:hideMark/>
          </w:tcPr>
          <w:p w:rsidR="008355F0" w:rsidRPr="00147C5C" w:rsidRDefault="008355F0" w:rsidP="003867F8">
            <w:pPr>
              <w:jc w:val="center"/>
              <w:rPr>
                <w:rFonts w:cs="Arial"/>
                <w:color w:val="000000"/>
                <w:sz w:val="16"/>
                <w:szCs w:val="16"/>
              </w:rPr>
            </w:pPr>
            <w:r w:rsidRPr="00147C5C">
              <w:rPr>
                <w:rFonts w:cs="Arial"/>
                <w:color w:val="000000"/>
                <w:sz w:val="16"/>
                <w:szCs w:val="16"/>
              </w:rPr>
              <w:t>1,386,067</w:t>
            </w:r>
          </w:p>
        </w:tc>
        <w:tc>
          <w:tcPr>
            <w:tcW w:w="1780" w:type="dxa"/>
            <w:tcBorders>
              <w:top w:val="single" w:sz="4" w:space="0" w:color="auto"/>
              <w:left w:val="nil"/>
              <w:bottom w:val="single" w:sz="4" w:space="0" w:color="auto"/>
              <w:right w:val="single" w:sz="4" w:space="0" w:color="auto"/>
            </w:tcBorders>
            <w:shd w:val="clear" w:color="auto" w:fill="auto"/>
            <w:noWrap/>
            <w:vAlign w:val="center"/>
            <w:hideMark/>
          </w:tcPr>
          <w:p w:rsidR="008355F0" w:rsidRPr="0001211A" w:rsidRDefault="008355F0" w:rsidP="003867F8">
            <w:pPr>
              <w:jc w:val="center"/>
              <w:rPr>
                <w:rFonts w:cs="Arial"/>
                <w:color w:val="000000"/>
                <w:sz w:val="16"/>
                <w:szCs w:val="16"/>
              </w:rPr>
            </w:pPr>
            <w:r>
              <w:rPr>
                <w:rFonts w:cs="Arial"/>
                <w:color w:val="000000"/>
                <w:sz w:val="16"/>
                <w:szCs w:val="16"/>
              </w:rPr>
              <w:t>-</w:t>
            </w:r>
          </w:p>
        </w:tc>
        <w:tc>
          <w:tcPr>
            <w:tcW w:w="2188" w:type="dxa"/>
            <w:tcBorders>
              <w:top w:val="single" w:sz="4" w:space="0" w:color="auto"/>
              <w:left w:val="nil"/>
              <w:bottom w:val="single" w:sz="4" w:space="0" w:color="auto"/>
              <w:right w:val="single" w:sz="4" w:space="0" w:color="auto"/>
            </w:tcBorders>
            <w:shd w:val="clear" w:color="auto" w:fill="auto"/>
            <w:vAlign w:val="center"/>
            <w:hideMark/>
          </w:tcPr>
          <w:p w:rsidR="008355F0" w:rsidRPr="00147C5C" w:rsidRDefault="008355F0" w:rsidP="003867F8">
            <w:pPr>
              <w:jc w:val="center"/>
              <w:rPr>
                <w:rFonts w:cs="Arial"/>
                <w:color w:val="000000"/>
                <w:sz w:val="16"/>
                <w:szCs w:val="16"/>
              </w:rPr>
            </w:pPr>
            <w:r w:rsidRPr="00147C5C">
              <w:rPr>
                <w:rFonts w:cs="Arial"/>
                <w:color w:val="000000"/>
                <w:sz w:val="16"/>
                <w:szCs w:val="16"/>
              </w:rPr>
              <w:t>1,651,640</w:t>
            </w:r>
          </w:p>
        </w:tc>
      </w:tr>
    </w:tbl>
    <w:p w:rsidR="008355F0" w:rsidRDefault="008355F0" w:rsidP="003867F8">
      <w:pPr>
        <w:rPr>
          <w:rFonts w:cs="Arial"/>
          <w:b/>
          <w:szCs w:val="20"/>
        </w:rPr>
      </w:pPr>
    </w:p>
    <w:p w:rsidR="008355F0" w:rsidRDefault="008355F0" w:rsidP="003867F8">
      <w:pPr>
        <w:rPr>
          <w:rFonts w:cs="Arial"/>
          <w:b/>
          <w:szCs w:val="20"/>
        </w:rPr>
      </w:pPr>
    </w:p>
    <w:p w:rsidR="008355F0" w:rsidRPr="00C76738" w:rsidRDefault="008355F0" w:rsidP="003867F8">
      <w:pPr>
        <w:keepNext/>
        <w:keepLines/>
        <w:rPr>
          <w:rFonts w:cs="Arial"/>
          <w:b/>
          <w:szCs w:val="20"/>
        </w:rPr>
      </w:pPr>
      <w:r w:rsidRPr="00C76738">
        <w:rPr>
          <w:rFonts w:cs="Arial"/>
          <w:b/>
          <w:szCs w:val="20"/>
        </w:rPr>
        <w:t>REPUBLIC OF KOREA/BUILDING RESPECT FOR INTELLECTUAL PROPERTY</w:t>
      </w:r>
    </w:p>
    <w:p w:rsidR="008355F0" w:rsidRPr="00A61AD8" w:rsidRDefault="008355F0" w:rsidP="003867F8">
      <w:pPr>
        <w:keepNext/>
        <w:keepLines/>
        <w:rPr>
          <w:rFonts w:cs="Arial"/>
          <w:b/>
          <w:szCs w:val="16"/>
        </w:rPr>
      </w:pPr>
    </w:p>
    <w:tbl>
      <w:tblPr>
        <w:tblW w:w="9528" w:type="dxa"/>
        <w:tblInd w:w="7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73"/>
        <w:gridCol w:w="1134"/>
        <w:gridCol w:w="1843"/>
        <w:gridCol w:w="4678"/>
      </w:tblGrid>
      <w:tr w:rsidR="008355F0" w:rsidRPr="00C76738" w:rsidTr="00E92F85">
        <w:tc>
          <w:tcPr>
            <w:tcW w:w="9528" w:type="dxa"/>
            <w:gridSpan w:val="4"/>
            <w:tcBorders>
              <w:top w:val="single" w:sz="4" w:space="0" w:color="000000"/>
              <w:bottom w:val="single" w:sz="4" w:space="0" w:color="000000"/>
            </w:tcBorders>
            <w:shd w:val="clear" w:color="auto" w:fill="C6D9F1" w:themeFill="text2" w:themeFillTint="33"/>
            <w:vAlign w:val="center"/>
          </w:tcPr>
          <w:p w:rsidR="008355F0" w:rsidRPr="00C76738" w:rsidRDefault="008355F0" w:rsidP="003867F8">
            <w:pPr>
              <w:keepNext/>
              <w:keepLines/>
              <w:spacing w:before="120" w:after="60"/>
              <w:ind w:left="1701" w:hanging="1701"/>
              <w:rPr>
                <w:rFonts w:cs="Arial"/>
                <w:bCs/>
                <w:sz w:val="16"/>
                <w:szCs w:val="16"/>
              </w:rPr>
            </w:pPr>
            <w:r w:rsidRPr="00C76738">
              <w:rPr>
                <w:rFonts w:cs="Arial"/>
                <w:b/>
                <w:bCs/>
                <w:color w:val="000000"/>
                <w:sz w:val="16"/>
                <w:szCs w:val="16"/>
              </w:rPr>
              <w:t>RESULT</w:t>
            </w:r>
            <w:r w:rsidRPr="00C76738">
              <w:rPr>
                <w:rFonts w:cs="Arial"/>
                <w:b/>
                <w:bCs/>
                <w:sz w:val="16"/>
                <w:szCs w:val="16"/>
              </w:rPr>
              <w:t>:</w:t>
            </w:r>
            <w:r w:rsidRPr="00C76738">
              <w:rPr>
                <w:rFonts w:cs="Arial"/>
                <w:b/>
                <w:bCs/>
                <w:sz w:val="16"/>
                <w:szCs w:val="16"/>
              </w:rPr>
              <w:tab/>
            </w:r>
            <w:r w:rsidRPr="00C76738">
              <w:rPr>
                <w:rFonts w:cs="Arial"/>
                <w:bCs/>
                <w:sz w:val="16"/>
                <w:szCs w:val="16"/>
              </w:rPr>
              <w:t>III.2. Enhanced human resource capacities able to deal with the broad range of requirements for the effective use of IP for development in developing countries, LDCs and countries with economies in transition</w:t>
            </w:r>
          </w:p>
        </w:tc>
      </w:tr>
      <w:tr w:rsidR="008355F0" w:rsidRPr="00C76738" w:rsidTr="00E92F85">
        <w:trPr>
          <w:trHeight w:val="438"/>
        </w:trPr>
        <w:tc>
          <w:tcPr>
            <w:tcW w:w="1873" w:type="dxa"/>
            <w:tcBorders>
              <w:top w:val="single" w:sz="4" w:space="0" w:color="000000"/>
              <w:bottom w:val="nil"/>
            </w:tcBorders>
            <w:vAlign w:val="center"/>
          </w:tcPr>
          <w:p w:rsidR="008355F0" w:rsidRPr="00C76738" w:rsidRDefault="008355F0" w:rsidP="003867F8">
            <w:pPr>
              <w:keepNext/>
              <w:keepLines/>
              <w:spacing w:before="60" w:after="60"/>
              <w:rPr>
                <w:rFonts w:cs="Arial"/>
                <w:b/>
                <w:bCs/>
                <w:sz w:val="16"/>
                <w:szCs w:val="16"/>
              </w:rPr>
            </w:pPr>
            <w:r w:rsidRPr="00C76738">
              <w:rPr>
                <w:rFonts w:cs="Arial"/>
                <w:b/>
                <w:bCs/>
                <w:sz w:val="16"/>
                <w:szCs w:val="16"/>
              </w:rPr>
              <w:t>Activity</w:t>
            </w:r>
          </w:p>
        </w:tc>
        <w:tc>
          <w:tcPr>
            <w:tcW w:w="1134" w:type="dxa"/>
            <w:tcBorders>
              <w:top w:val="single" w:sz="4" w:space="0" w:color="000000"/>
              <w:bottom w:val="nil"/>
            </w:tcBorders>
            <w:shd w:val="clear" w:color="auto" w:fill="auto"/>
            <w:tcMar>
              <w:top w:w="110" w:type="dxa"/>
            </w:tcMar>
            <w:vAlign w:val="center"/>
          </w:tcPr>
          <w:p w:rsidR="008355F0" w:rsidRPr="00C76738" w:rsidRDefault="008355F0" w:rsidP="003867F8">
            <w:pPr>
              <w:keepNext/>
              <w:keepLines/>
              <w:spacing w:before="60" w:after="60"/>
              <w:rPr>
                <w:rFonts w:cs="Arial"/>
                <w:b/>
                <w:bCs/>
                <w:sz w:val="16"/>
                <w:szCs w:val="16"/>
              </w:rPr>
            </w:pPr>
            <w:r w:rsidRPr="00C76738">
              <w:rPr>
                <w:rFonts w:cs="Arial"/>
                <w:b/>
                <w:bCs/>
                <w:sz w:val="16"/>
                <w:szCs w:val="16"/>
              </w:rPr>
              <w:t>Date</w:t>
            </w:r>
          </w:p>
        </w:tc>
        <w:tc>
          <w:tcPr>
            <w:tcW w:w="1843" w:type="dxa"/>
            <w:tcBorders>
              <w:top w:val="single" w:sz="4" w:space="0" w:color="000000"/>
              <w:bottom w:val="nil"/>
            </w:tcBorders>
            <w:shd w:val="clear" w:color="auto" w:fill="auto"/>
            <w:tcMar>
              <w:top w:w="110" w:type="dxa"/>
            </w:tcMar>
            <w:vAlign w:val="center"/>
          </w:tcPr>
          <w:p w:rsidR="008355F0" w:rsidRPr="00C76738" w:rsidRDefault="008355F0" w:rsidP="003867F8">
            <w:pPr>
              <w:keepNext/>
              <w:keepLines/>
              <w:spacing w:before="60" w:after="60"/>
              <w:rPr>
                <w:rFonts w:cs="Arial"/>
                <w:sz w:val="16"/>
                <w:szCs w:val="16"/>
              </w:rPr>
            </w:pPr>
            <w:r w:rsidRPr="00C76738">
              <w:rPr>
                <w:rFonts w:cs="Arial"/>
                <w:b/>
                <w:bCs/>
                <w:sz w:val="16"/>
                <w:szCs w:val="16"/>
              </w:rPr>
              <w:t>Host Country/</w:t>
            </w:r>
            <w:r w:rsidRPr="00C76738">
              <w:rPr>
                <w:rFonts w:cs="Arial"/>
                <w:b/>
                <w:bCs/>
                <w:sz w:val="16"/>
                <w:szCs w:val="16"/>
              </w:rPr>
              <w:br/>
              <w:t>Recipients</w:t>
            </w:r>
          </w:p>
        </w:tc>
        <w:tc>
          <w:tcPr>
            <w:tcW w:w="4678" w:type="dxa"/>
            <w:tcBorders>
              <w:top w:val="single" w:sz="4" w:space="0" w:color="000000"/>
              <w:bottom w:val="nil"/>
            </w:tcBorders>
            <w:shd w:val="clear" w:color="auto" w:fill="FFFFFF"/>
            <w:tcMar>
              <w:top w:w="110" w:type="dxa"/>
            </w:tcMar>
            <w:vAlign w:val="center"/>
          </w:tcPr>
          <w:p w:rsidR="008355F0" w:rsidRPr="00C76738" w:rsidRDefault="008355F0" w:rsidP="003867F8">
            <w:pPr>
              <w:keepNext/>
              <w:keepLines/>
              <w:spacing w:before="60" w:after="60"/>
              <w:rPr>
                <w:rFonts w:cs="Arial"/>
                <w:sz w:val="16"/>
                <w:szCs w:val="16"/>
              </w:rPr>
            </w:pPr>
            <w:r w:rsidRPr="00C76738">
              <w:rPr>
                <w:rFonts w:cs="Arial"/>
                <w:b/>
                <w:bCs/>
                <w:sz w:val="16"/>
                <w:szCs w:val="16"/>
              </w:rPr>
              <w:t>Purpose(s)/Description(s)</w:t>
            </w:r>
          </w:p>
        </w:tc>
      </w:tr>
      <w:tr w:rsidR="008355F0" w:rsidRPr="00C76738" w:rsidTr="00E92F85">
        <w:trPr>
          <w:trHeight w:val="420"/>
        </w:trPr>
        <w:tc>
          <w:tcPr>
            <w:tcW w:w="1873" w:type="dxa"/>
            <w:tcBorders>
              <w:top w:val="nil"/>
              <w:bottom w:val="nil"/>
            </w:tcBorders>
          </w:tcPr>
          <w:p w:rsidR="008355F0" w:rsidRPr="00C76738" w:rsidRDefault="008355F0" w:rsidP="003867F8">
            <w:pPr>
              <w:spacing w:before="60" w:after="60"/>
              <w:rPr>
                <w:rFonts w:cs="Arial"/>
                <w:bCs/>
                <w:sz w:val="16"/>
                <w:szCs w:val="16"/>
              </w:rPr>
            </w:pPr>
            <w:r w:rsidRPr="00C76738">
              <w:rPr>
                <w:rFonts w:cs="Arial"/>
                <w:bCs/>
                <w:sz w:val="16"/>
                <w:szCs w:val="16"/>
              </w:rPr>
              <w:t>Interregional Workshop on Copyright Enforcement</w:t>
            </w:r>
          </w:p>
        </w:tc>
        <w:tc>
          <w:tcPr>
            <w:tcW w:w="1134" w:type="dxa"/>
            <w:tcBorders>
              <w:top w:val="nil"/>
              <w:bottom w:val="nil"/>
            </w:tcBorders>
            <w:shd w:val="clear" w:color="auto" w:fill="auto"/>
            <w:tcMar>
              <w:top w:w="110" w:type="dxa"/>
            </w:tcMar>
          </w:tcPr>
          <w:p w:rsidR="008355F0" w:rsidRPr="00C76738" w:rsidRDefault="008355F0" w:rsidP="003867F8">
            <w:pPr>
              <w:spacing w:before="60" w:after="60"/>
              <w:rPr>
                <w:rFonts w:cs="Arial"/>
                <w:bCs/>
                <w:sz w:val="16"/>
                <w:szCs w:val="16"/>
              </w:rPr>
            </w:pPr>
            <w:r w:rsidRPr="00C76738">
              <w:rPr>
                <w:rFonts w:cs="Arial"/>
                <w:bCs/>
                <w:sz w:val="16"/>
                <w:szCs w:val="16"/>
              </w:rPr>
              <w:t>September 14 to 18, 2015</w:t>
            </w:r>
          </w:p>
        </w:tc>
        <w:tc>
          <w:tcPr>
            <w:tcW w:w="1843" w:type="dxa"/>
            <w:tcBorders>
              <w:top w:val="nil"/>
              <w:bottom w:val="nil"/>
            </w:tcBorders>
            <w:shd w:val="clear" w:color="auto" w:fill="auto"/>
            <w:tcMar>
              <w:top w:w="110" w:type="dxa"/>
            </w:tcMar>
          </w:tcPr>
          <w:p w:rsidR="008355F0" w:rsidRPr="00C76738" w:rsidRDefault="008355F0" w:rsidP="003867F8">
            <w:pPr>
              <w:spacing w:before="60" w:after="60"/>
              <w:rPr>
                <w:rFonts w:cs="Arial"/>
                <w:bCs/>
                <w:sz w:val="16"/>
                <w:szCs w:val="16"/>
              </w:rPr>
            </w:pPr>
            <w:r w:rsidRPr="00C76738">
              <w:rPr>
                <w:rFonts w:cs="Arial"/>
                <w:bCs/>
                <w:sz w:val="16"/>
                <w:szCs w:val="16"/>
              </w:rPr>
              <w:t>Republic of Korea / 20 foreign participants from 10 countries</w:t>
            </w:r>
          </w:p>
        </w:tc>
        <w:tc>
          <w:tcPr>
            <w:tcW w:w="4678" w:type="dxa"/>
            <w:tcBorders>
              <w:top w:val="nil"/>
              <w:bottom w:val="nil"/>
            </w:tcBorders>
            <w:shd w:val="clear" w:color="auto" w:fill="FFFFFF"/>
            <w:tcMar>
              <w:top w:w="110" w:type="dxa"/>
            </w:tcMar>
          </w:tcPr>
          <w:p w:rsidR="008355F0" w:rsidRPr="00C76738" w:rsidRDefault="008355F0" w:rsidP="003867F8">
            <w:pPr>
              <w:spacing w:before="60" w:after="60"/>
              <w:rPr>
                <w:rFonts w:cs="Arial"/>
                <w:bCs/>
                <w:sz w:val="16"/>
                <w:szCs w:val="16"/>
              </w:rPr>
            </w:pPr>
            <w:r w:rsidRPr="00C76738">
              <w:rPr>
                <w:rFonts w:cs="Arial"/>
                <w:bCs/>
                <w:sz w:val="16"/>
                <w:szCs w:val="16"/>
              </w:rPr>
              <w:t xml:space="preserve">Within the framework of Strategic Goal VI of WIPO to:  (i) </w:t>
            </w:r>
            <w:r w:rsidRPr="00464357">
              <w:rPr>
                <w:rFonts w:cs="Arial"/>
                <w:bCs/>
                <w:sz w:val="16"/>
                <w:szCs w:val="16"/>
              </w:rPr>
              <w:t>consider the value of copyright and related rights (CR) protection and enforcement to the social, economic and cultural development of the participating countries;</w:t>
            </w:r>
            <w:r w:rsidRPr="00C76738">
              <w:rPr>
                <w:rFonts w:cs="Arial"/>
                <w:bCs/>
                <w:sz w:val="16"/>
                <w:szCs w:val="16"/>
              </w:rPr>
              <w:t xml:space="preserve">  (ii) provide basic training on remedies and CR enforcement measures, with a particular focus on the digital environment;  (iii) discuss topical issues in the area of building respect for CR;  and (iv) envisage national and transnational strategies for effective cooperation to build respect for IP. </w:t>
            </w:r>
          </w:p>
        </w:tc>
      </w:tr>
      <w:tr w:rsidR="008355F0" w:rsidRPr="00C76738" w:rsidTr="00E92F85">
        <w:trPr>
          <w:trHeight w:val="340"/>
        </w:trPr>
        <w:tc>
          <w:tcPr>
            <w:tcW w:w="1873" w:type="dxa"/>
            <w:tcBorders>
              <w:top w:val="nil"/>
            </w:tcBorders>
          </w:tcPr>
          <w:p w:rsidR="008355F0" w:rsidRPr="00C76738" w:rsidRDefault="008355F0" w:rsidP="003867F8">
            <w:pPr>
              <w:spacing w:before="60" w:after="60"/>
              <w:rPr>
                <w:rFonts w:eastAsia="Batang" w:cs="Arial"/>
                <w:sz w:val="16"/>
                <w:szCs w:val="16"/>
                <w:lang w:eastAsia="ko-KR"/>
              </w:rPr>
            </w:pPr>
            <w:r w:rsidRPr="00C76738">
              <w:rPr>
                <w:rFonts w:eastAsia="Batang" w:cs="Arial"/>
                <w:sz w:val="16"/>
                <w:szCs w:val="16"/>
                <w:lang w:eastAsia="ko-KR"/>
              </w:rPr>
              <w:t>WIPO</w:t>
            </w:r>
            <w:r>
              <w:rPr>
                <w:rFonts w:eastAsia="Batang" w:cs="Arial"/>
                <w:sz w:val="16"/>
                <w:szCs w:val="16"/>
                <w:lang w:eastAsia="ko-KR"/>
              </w:rPr>
              <w:t>-Ministry of Culture, Sports and Tourism (</w:t>
            </w:r>
            <w:r w:rsidRPr="00C76738">
              <w:rPr>
                <w:rFonts w:eastAsia="Batang" w:cs="Arial"/>
                <w:sz w:val="16"/>
                <w:szCs w:val="16"/>
                <w:lang w:eastAsia="ko-KR"/>
              </w:rPr>
              <w:t>MCST</w:t>
            </w:r>
            <w:r>
              <w:rPr>
                <w:rFonts w:eastAsia="Batang" w:cs="Arial"/>
                <w:sz w:val="16"/>
                <w:szCs w:val="16"/>
                <w:lang w:eastAsia="ko-KR"/>
              </w:rPr>
              <w:t>)</w:t>
            </w:r>
            <w:r w:rsidRPr="00C76738">
              <w:rPr>
                <w:rFonts w:eastAsia="Batang" w:cs="Arial"/>
                <w:sz w:val="16"/>
                <w:szCs w:val="16"/>
                <w:lang w:eastAsia="ko-KR"/>
              </w:rPr>
              <w:t xml:space="preserve"> </w:t>
            </w:r>
            <w:r w:rsidRPr="00C76738">
              <w:rPr>
                <w:rFonts w:cs="Arial"/>
                <w:sz w:val="16"/>
                <w:szCs w:val="16"/>
                <w:lang w:eastAsia="ko-KR"/>
              </w:rPr>
              <w:t>Teaching Materials on Respect for Copyright</w:t>
            </w:r>
          </w:p>
        </w:tc>
        <w:tc>
          <w:tcPr>
            <w:tcW w:w="1134" w:type="dxa"/>
            <w:tcBorders>
              <w:top w:val="nil"/>
            </w:tcBorders>
            <w:shd w:val="clear" w:color="auto" w:fill="auto"/>
            <w:tcMar>
              <w:top w:w="110" w:type="dxa"/>
            </w:tcMar>
          </w:tcPr>
          <w:p w:rsidR="008355F0" w:rsidRPr="00C76738" w:rsidRDefault="008355F0" w:rsidP="003867F8">
            <w:pPr>
              <w:spacing w:before="60" w:after="60"/>
              <w:rPr>
                <w:rFonts w:cs="Arial"/>
                <w:bCs/>
                <w:sz w:val="16"/>
                <w:szCs w:val="16"/>
              </w:rPr>
            </w:pPr>
            <w:r w:rsidRPr="00C76738">
              <w:rPr>
                <w:rFonts w:cs="Arial"/>
                <w:bCs/>
                <w:sz w:val="16"/>
                <w:szCs w:val="16"/>
              </w:rPr>
              <w:t>January to October, 2015</w:t>
            </w:r>
          </w:p>
        </w:tc>
        <w:tc>
          <w:tcPr>
            <w:tcW w:w="1843" w:type="dxa"/>
            <w:tcBorders>
              <w:top w:val="nil"/>
            </w:tcBorders>
            <w:shd w:val="clear" w:color="auto" w:fill="auto"/>
            <w:tcMar>
              <w:top w:w="110" w:type="dxa"/>
            </w:tcMar>
          </w:tcPr>
          <w:p w:rsidR="008355F0" w:rsidRPr="00C76738" w:rsidRDefault="008355F0" w:rsidP="003867F8">
            <w:pPr>
              <w:spacing w:before="60" w:after="60"/>
              <w:rPr>
                <w:rFonts w:cs="Arial"/>
                <w:bCs/>
                <w:kern w:val="36"/>
                <w:sz w:val="16"/>
                <w:szCs w:val="16"/>
                <w:lang w:eastAsia="ko-KR"/>
              </w:rPr>
            </w:pPr>
            <w:r w:rsidRPr="00C76738">
              <w:rPr>
                <w:rFonts w:cs="Arial"/>
                <w:bCs/>
                <w:kern w:val="36"/>
                <w:sz w:val="16"/>
                <w:szCs w:val="16"/>
                <w:lang w:eastAsia="ko-KR"/>
              </w:rPr>
              <w:t>All WIPO Member States</w:t>
            </w:r>
          </w:p>
        </w:tc>
        <w:tc>
          <w:tcPr>
            <w:tcW w:w="4678" w:type="dxa"/>
            <w:tcBorders>
              <w:top w:val="nil"/>
            </w:tcBorders>
            <w:shd w:val="clear" w:color="auto" w:fill="FFFFFF"/>
            <w:tcMar>
              <w:top w:w="110" w:type="dxa"/>
            </w:tcMar>
          </w:tcPr>
          <w:p w:rsidR="008355F0" w:rsidRPr="00C76738" w:rsidRDefault="008355F0" w:rsidP="003867F8">
            <w:pPr>
              <w:spacing w:before="60" w:after="60"/>
              <w:rPr>
                <w:rFonts w:cs="Arial"/>
                <w:sz w:val="16"/>
                <w:szCs w:val="16"/>
                <w:lang w:eastAsia="ko-KR"/>
              </w:rPr>
            </w:pPr>
            <w:r w:rsidRPr="00C76738">
              <w:rPr>
                <w:rFonts w:cs="Arial"/>
                <w:sz w:val="16"/>
                <w:szCs w:val="16"/>
                <w:lang w:eastAsia="ko-KR"/>
              </w:rPr>
              <w:t xml:space="preserve">Development of a public outreach tool  </w:t>
            </w:r>
            <w:r w:rsidRPr="00C76738">
              <w:rPr>
                <w:rFonts w:eastAsia="Calibri" w:cs="Arial"/>
                <w:sz w:val="16"/>
                <w:szCs w:val="16"/>
              </w:rPr>
              <w:t>to assist teachers in educating children about copyright, comprising five sets of lesson plans for pupils in the age range of 10 to 15 years</w:t>
            </w:r>
          </w:p>
        </w:tc>
      </w:tr>
    </w:tbl>
    <w:p w:rsidR="008355F0" w:rsidRPr="00D44E6D" w:rsidRDefault="008355F0">
      <w:pPr>
        <w:rPr>
          <w:rFonts w:cs="Arial"/>
          <w:szCs w:val="16"/>
        </w:rPr>
      </w:pPr>
    </w:p>
    <w:p w:rsidR="008355F0" w:rsidRPr="00D44E6D" w:rsidRDefault="008355F0">
      <w:pPr>
        <w:rPr>
          <w:rFonts w:cs="Arial"/>
          <w:szCs w:val="16"/>
        </w:rPr>
      </w:pPr>
    </w:p>
    <w:p w:rsidR="008355F0" w:rsidRDefault="008355F0" w:rsidP="003867F8">
      <w:pPr>
        <w:rPr>
          <w:rFonts w:cs="Arial"/>
          <w:b/>
          <w:bCs/>
          <w:color w:val="000000"/>
          <w:szCs w:val="20"/>
        </w:rPr>
      </w:pPr>
      <w:r w:rsidRPr="00C76738">
        <w:rPr>
          <w:rFonts w:cs="Arial"/>
          <w:b/>
          <w:szCs w:val="20"/>
        </w:rPr>
        <w:t xml:space="preserve">REPUBLIC OF KOREA/BUILDING RESPECT FOR INTELLECTUAL PROPERTY </w:t>
      </w:r>
      <w:r w:rsidRPr="00C76738">
        <w:rPr>
          <w:rFonts w:cs="Arial"/>
          <w:b/>
          <w:bCs/>
          <w:color w:val="000000"/>
          <w:szCs w:val="20"/>
        </w:rPr>
        <w:t>Donor Contributions and Expenditure in 2015</w:t>
      </w:r>
    </w:p>
    <w:p w:rsidR="008355F0" w:rsidRPr="00C76738" w:rsidRDefault="008355F0" w:rsidP="003867F8">
      <w:pPr>
        <w:rPr>
          <w:rFonts w:cs="Arial"/>
          <w:b/>
          <w:bCs/>
          <w:color w:val="000000"/>
          <w:szCs w:val="20"/>
        </w:rPr>
      </w:pPr>
    </w:p>
    <w:tbl>
      <w:tblPr>
        <w:tblW w:w="9508" w:type="dxa"/>
        <w:tblInd w:w="98" w:type="dxa"/>
        <w:tblLook w:val="04A0" w:firstRow="1" w:lastRow="0" w:firstColumn="1" w:lastColumn="0" w:noHBand="0" w:noVBand="1"/>
      </w:tblPr>
      <w:tblGrid>
        <w:gridCol w:w="2040"/>
        <w:gridCol w:w="1640"/>
        <w:gridCol w:w="1860"/>
        <w:gridCol w:w="1780"/>
        <w:gridCol w:w="2188"/>
      </w:tblGrid>
      <w:tr w:rsidR="008355F0" w:rsidRPr="00C76738" w:rsidTr="00E92F85">
        <w:trPr>
          <w:trHeight w:val="450"/>
        </w:trPr>
        <w:tc>
          <w:tcPr>
            <w:tcW w:w="2040" w:type="dxa"/>
            <w:tcBorders>
              <w:top w:val="single" w:sz="8" w:space="0" w:color="auto"/>
              <w:left w:val="single" w:sz="8" w:space="0" w:color="auto"/>
              <w:bottom w:val="nil"/>
              <w:right w:val="single" w:sz="8" w:space="0" w:color="auto"/>
            </w:tcBorders>
            <w:shd w:val="clear" w:color="auto" w:fill="C6D9F1" w:themeFill="text2" w:themeFillTint="33"/>
            <w:vAlign w:val="center"/>
            <w:hideMark/>
          </w:tcPr>
          <w:p w:rsidR="008355F0" w:rsidRPr="00C76738" w:rsidRDefault="008355F0" w:rsidP="003867F8">
            <w:pPr>
              <w:jc w:val="center"/>
              <w:rPr>
                <w:rFonts w:cs="Arial"/>
                <w:b/>
                <w:bCs/>
                <w:color w:val="000000"/>
                <w:sz w:val="16"/>
                <w:szCs w:val="16"/>
              </w:rPr>
            </w:pPr>
            <w:r w:rsidRPr="00C76738">
              <w:rPr>
                <w:rFonts w:cs="Arial"/>
                <w:b/>
                <w:bCs/>
                <w:color w:val="000000"/>
                <w:sz w:val="16"/>
                <w:szCs w:val="16"/>
              </w:rPr>
              <w:t>Balance as of December 31, 2014</w:t>
            </w:r>
          </w:p>
        </w:tc>
        <w:tc>
          <w:tcPr>
            <w:tcW w:w="1640" w:type="dxa"/>
            <w:tcBorders>
              <w:top w:val="single" w:sz="8" w:space="0" w:color="auto"/>
              <w:left w:val="nil"/>
              <w:bottom w:val="nil"/>
              <w:right w:val="single" w:sz="8" w:space="0" w:color="auto"/>
            </w:tcBorders>
            <w:shd w:val="clear" w:color="auto" w:fill="C6D9F1" w:themeFill="text2" w:themeFillTint="33"/>
            <w:vAlign w:val="center"/>
            <w:hideMark/>
          </w:tcPr>
          <w:p w:rsidR="008355F0" w:rsidRPr="00C76738" w:rsidRDefault="008355F0" w:rsidP="003867F8">
            <w:pPr>
              <w:jc w:val="center"/>
              <w:rPr>
                <w:rFonts w:cs="Arial"/>
                <w:b/>
                <w:bCs/>
                <w:color w:val="000000"/>
                <w:sz w:val="16"/>
                <w:szCs w:val="16"/>
              </w:rPr>
            </w:pPr>
            <w:r w:rsidRPr="00C76738">
              <w:rPr>
                <w:rFonts w:cs="Arial"/>
                <w:b/>
                <w:bCs/>
                <w:color w:val="000000"/>
                <w:sz w:val="16"/>
                <w:szCs w:val="16"/>
              </w:rPr>
              <w:t>Income 2015</w:t>
            </w:r>
          </w:p>
        </w:tc>
        <w:tc>
          <w:tcPr>
            <w:tcW w:w="1860" w:type="dxa"/>
            <w:tcBorders>
              <w:top w:val="single" w:sz="8" w:space="0" w:color="auto"/>
              <w:left w:val="nil"/>
              <w:bottom w:val="nil"/>
              <w:right w:val="single" w:sz="8" w:space="0" w:color="auto"/>
            </w:tcBorders>
            <w:shd w:val="clear" w:color="auto" w:fill="C6D9F1" w:themeFill="text2" w:themeFillTint="33"/>
            <w:vAlign w:val="center"/>
            <w:hideMark/>
          </w:tcPr>
          <w:p w:rsidR="008355F0" w:rsidRPr="00C76738" w:rsidRDefault="008355F0" w:rsidP="003867F8">
            <w:pPr>
              <w:jc w:val="center"/>
              <w:rPr>
                <w:rFonts w:cs="Arial"/>
                <w:b/>
                <w:bCs/>
                <w:color w:val="000000"/>
                <w:sz w:val="16"/>
                <w:szCs w:val="16"/>
              </w:rPr>
            </w:pPr>
            <w:r w:rsidRPr="00C76738">
              <w:rPr>
                <w:rFonts w:cs="Arial"/>
                <w:b/>
                <w:bCs/>
                <w:color w:val="000000"/>
                <w:sz w:val="16"/>
                <w:szCs w:val="16"/>
              </w:rPr>
              <w:t>Expenditure 2015</w:t>
            </w:r>
          </w:p>
        </w:tc>
        <w:tc>
          <w:tcPr>
            <w:tcW w:w="1780" w:type="dxa"/>
            <w:tcBorders>
              <w:top w:val="single" w:sz="8" w:space="0" w:color="auto"/>
              <w:left w:val="nil"/>
              <w:bottom w:val="nil"/>
              <w:right w:val="single" w:sz="8" w:space="0" w:color="auto"/>
            </w:tcBorders>
            <w:shd w:val="clear" w:color="auto" w:fill="C6D9F1" w:themeFill="text2" w:themeFillTint="33"/>
            <w:vAlign w:val="center"/>
            <w:hideMark/>
          </w:tcPr>
          <w:p w:rsidR="008355F0" w:rsidRPr="00C76738" w:rsidRDefault="008355F0" w:rsidP="003867F8">
            <w:pPr>
              <w:jc w:val="center"/>
              <w:rPr>
                <w:rFonts w:cs="Arial"/>
                <w:b/>
                <w:bCs/>
                <w:color w:val="000000"/>
                <w:sz w:val="16"/>
                <w:szCs w:val="16"/>
              </w:rPr>
            </w:pPr>
            <w:r w:rsidRPr="00C76738">
              <w:rPr>
                <w:rFonts w:cs="Arial"/>
                <w:b/>
                <w:bCs/>
                <w:color w:val="000000"/>
                <w:sz w:val="16"/>
                <w:szCs w:val="16"/>
              </w:rPr>
              <w:t>Reimbursements</w:t>
            </w:r>
          </w:p>
        </w:tc>
        <w:tc>
          <w:tcPr>
            <w:tcW w:w="2188" w:type="dxa"/>
            <w:tcBorders>
              <w:top w:val="single" w:sz="8" w:space="0" w:color="auto"/>
              <w:left w:val="nil"/>
              <w:bottom w:val="nil"/>
              <w:right w:val="single" w:sz="8" w:space="0" w:color="auto"/>
            </w:tcBorders>
            <w:shd w:val="clear" w:color="auto" w:fill="C6D9F1" w:themeFill="text2" w:themeFillTint="33"/>
            <w:vAlign w:val="center"/>
            <w:hideMark/>
          </w:tcPr>
          <w:p w:rsidR="008355F0" w:rsidRPr="00C76738" w:rsidRDefault="008355F0" w:rsidP="003867F8">
            <w:pPr>
              <w:jc w:val="center"/>
              <w:rPr>
                <w:rFonts w:cs="Arial"/>
                <w:b/>
                <w:bCs/>
                <w:color w:val="000000"/>
                <w:sz w:val="16"/>
                <w:szCs w:val="16"/>
              </w:rPr>
            </w:pPr>
            <w:r w:rsidRPr="00C76738">
              <w:rPr>
                <w:rFonts w:cs="Arial"/>
                <w:b/>
                <w:bCs/>
                <w:color w:val="000000"/>
                <w:sz w:val="16"/>
                <w:szCs w:val="16"/>
              </w:rPr>
              <w:t>Balance as of December</w:t>
            </w:r>
            <w:r>
              <w:rPr>
                <w:rFonts w:cs="Arial"/>
                <w:b/>
                <w:bCs/>
                <w:color w:val="000000"/>
                <w:sz w:val="16"/>
                <w:szCs w:val="16"/>
              </w:rPr>
              <w:t> </w:t>
            </w:r>
            <w:r w:rsidRPr="00C76738">
              <w:rPr>
                <w:rFonts w:cs="Arial"/>
                <w:b/>
                <w:bCs/>
                <w:color w:val="000000"/>
                <w:sz w:val="16"/>
                <w:szCs w:val="16"/>
              </w:rPr>
              <w:t>31</w:t>
            </w:r>
            <w:r>
              <w:rPr>
                <w:rFonts w:cs="Arial"/>
                <w:b/>
                <w:bCs/>
                <w:color w:val="000000"/>
                <w:sz w:val="16"/>
                <w:szCs w:val="16"/>
              </w:rPr>
              <w:t> </w:t>
            </w:r>
            <w:r w:rsidRPr="00C76738">
              <w:rPr>
                <w:rFonts w:cs="Arial"/>
                <w:b/>
                <w:bCs/>
                <w:color w:val="000000"/>
                <w:sz w:val="16"/>
                <w:szCs w:val="16"/>
              </w:rPr>
              <w:t xml:space="preserve"> 2015</w:t>
            </w:r>
          </w:p>
        </w:tc>
      </w:tr>
      <w:tr w:rsidR="008355F0" w:rsidRPr="00C76738" w:rsidTr="00E92F85">
        <w:trPr>
          <w:trHeight w:val="255"/>
        </w:trPr>
        <w:tc>
          <w:tcPr>
            <w:tcW w:w="20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55F0" w:rsidRPr="00C76738" w:rsidRDefault="008355F0" w:rsidP="003867F8">
            <w:pPr>
              <w:jc w:val="center"/>
              <w:rPr>
                <w:rFonts w:cs="Arial"/>
                <w:color w:val="000000"/>
                <w:sz w:val="16"/>
                <w:szCs w:val="16"/>
              </w:rPr>
            </w:pPr>
            <w:r w:rsidRPr="00C76738">
              <w:rPr>
                <w:rFonts w:cs="Arial"/>
                <w:color w:val="000000"/>
                <w:sz w:val="16"/>
                <w:szCs w:val="16"/>
              </w:rPr>
              <w:t>42,310</w:t>
            </w:r>
          </w:p>
        </w:tc>
        <w:tc>
          <w:tcPr>
            <w:tcW w:w="1640" w:type="dxa"/>
            <w:tcBorders>
              <w:top w:val="single" w:sz="4" w:space="0" w:color="auto"/>
              <w:left w:val="nil"/>
              <w:bottom w:val="single" w:sz="4" w:space="0" w:color="auto"/>
              <w:right w:val="single" w:sz="4" w:space="0" w:color="auto"/>
            </w:tcBorders>
            <w:shd w:val="clear" w:color="auto" w:fill="auto"/>
            <w:vAlign w:val="center"/>
            <w:hideMark/>
          </w:tcPr>
          <w:p w:rsidR="008355F0" w:rsidRPr="00C76738" w:rsidRDefault="008355F0" w:rsidP="003867F8">
            <w:pPr>
              <w:jc w:val="center"/>
              <w:rPr>
                <w:rFonts w:cs="Arial"/>
                <w:color w:val="000000"/>
                <w:sz w:val="16"/>
                <w:szCs w:val="16"/>
              </w:rPr>
            </w:pPr>
            <w:r w:rsidRPr="00C76738">
              <w:rPr>
                <w:rFonts w:cs="Arial"/>
                <w:color w:val="000000"/>
                <w:sz w:val="16"/>
                <w:szCs w:val="16"/>
              </w:rPr>
              <w:t>122,960</w:t>
            </w:r>
          </w:p>
        </w:tc>
        <w:tc>
          <w:tcPr>
            <w:tcW w:w="1860" w:type="dxa"/>
            <w:tcBorders>
              <w:top w:val="single" w:sz="4" w:space="0" w:color="auto"/>
              <w:left w:val="nil"/>
              <w:bottom w:val="single" w:sz="4" w:space="0" w:color="auto"/>
              <w:right w:val="single" w:sz="4" w:space="0" w:color="auto"/>
            </w:tcBorders>
            <w:shd w:val="clear" w:color="auto" w:fill="auto"/>
            <w:vAlign w:val="center"/>
            <w:hideMark/>
          </w:tcPr>
          <w:p w:rsidR="008355F0" w:rsidRPr="00C76738" w:rsidRDefault="008355F0" w:rsidP="003867F8">
            <w:pPr>
              <w:jc w:val="center"/>
              <w:rPr>
                <w:rFonts w:cs="Arial"/>
                <w:color w:val="000000"/>
                <w:sz w:val="16"/>
                <w:szCs w:val="16"/>
              </w:rPr>
            </w:pPr>
            <w:r w:rsidRPr="00C76738">
              <w:rPr>
                <w:rFonts w:cs="Arial"/>
                <w:color w:val="000000"/>
                <w:sz w:val="16"/>
                <w:szCs w:val="16"/>
              </w:rPr>
              <w:t>114,795</w:t>
            </w:r>
          </w:p>
        </w:tc>
        <w:tc>
          <w:tcPr>
            <w:tcW w:w="1780" w:type="dxa"/>
            <w:tcBorders>
              <w:top w:val="single" w:sz="4" w:space="0" w:color="auto"/>
              <w:left w:val="nil"/>
              <w:bottom w:val="single" w:sz="4" w:space="0" w:color="auto"/>
              <w:right w:val="single" w:sz="4" w:space="0" w:color="auto"/>
            </w:tcBorders>
            <w:shd w:val="clear" w:color="auto" w:fill="auto"/>
            <w:noWrap/>
            <w:vAlign w:val="center"/>
            <w:hideMark/>
          </w:tcPr>
          <w:p w:rsidR="008355F0" w:rsidRPr="00C76738" w:rsidRDefault="008355F0" w:rsidP="003867F8">
            <w:pPr>
              <w:jc w:val="center"/>
              <w:rPr>
                <w:rFonts w:cs="Arial"/>
                <w:color w:val="000000"/>
                <w:sz w:val="16"/>
                <w:szCs w:val="16"/>
              </w:rPr>
            </w:pPr>
            <w:r>
              <w:rPr>
                <w:rFonts w:cs="Arial"/>
                <w:color w:val="000000"/>
                <w:sz w:val="16"/>
                <w:szCs w:val="16"/>
              </w:rPr>
              <w:t>-</w:t>
            </w:r>
          </w:p>
        </w:tc>
        <w:tc>
          <w:tcPr>
            <w:tcW w:w="2188" w:type="dxa"/>
            <w:tcBorders>
              <w:top w:val="single" w:sz="4" w:space="0" w:color="auto"/>
              <w:left w:val="nil"/>
              <w:bottom w:val="single" w:sz="4" w:space="0" w:color="auto"/>
              <w:right w:val="single" w:sz="4" w:space="0" w:color="auto"/>
            </w:tcBorders>
            <w:shd w:val="clear" w:color="auto" w:fill="auto"/>
            <w:vAlign w:val="center"/>
            <w:hideMark/>
          </w:tcPr>
          <w:p w:rsidR="008355F0" w:rsidRPr="00C76738" w:rsidRDefault="008355F0" w:rsidP="003867F8">
            <w:pPr>
              <w:jc w:val="center"/>
              <w:rPr>
                <w:rFonts w:cs="Arial"/>
                <w:color w:val="000000"/>
                <w:sz w:val="16"/>
                <w:szCs w:val="16"/>
              </w:rPr>
            </w:pPr>
            <w:r w:rsidRPr="00C76738">
              <w:rPr>
                <w:rFonts w:cs="Arial"/>
                <w:color w:val="000000"/>
                <w:sz w:val="16"/>
                <w:szCs w:val="16"/>
              </w:rPr>
              <w:t>50,475</w:t>
            </w:r>
          </w:p>
        </w:tc>
      </w:tr>
    </w:tbl>
    <w:p w:rsidR="008355F0" w:rsidRPr="00A61AD8" w:rsidRDefault="008355F0" w:rsidP="003867F8">
      <w:pPr>
        <w:keepNext/>
        <w:keepLines/>
        <w:rPr>
          <w:rFonts w:cs="Arial"/>
          <w:b/>
          <w:szCs w:val="16"/>
        </w:rPr>
      </w:pPr>
    </w:p>
    <w:p w:rsidR="008355F0" w:rsidRPr="00A61AD8" w:rsidRDefault="008355F0">
      <w:pPr>
        <w:rPr>
          <w:sz w:val="24"/>
        </w:rPr>
      </w:pPr>
    </w:p>
    <w:p w:rsidR="008355F0" w:rsidRPr="00913431" w:rsidRDefault="008355F0" w:rsidP="003867F8">
      <w:pPr>
        <w:keepNext/>
        <w:keepLines/>
        <w:rPr>
          <w:rFonts w:cs="Arial"/>
          <w:b/>
          <w:szCs w:val="20"/>
        </w:rPr>
      </w:pPr>
      <w:r w:rsidRPr="00913431">
        <w:rPr>
          <w:rFonts w:cs="Arial"/>
          <w:b/>
          <w:szCs w:val="20"/>
        </w:rPr>
        <w:t>REPUBLIC OF KOREA/COPYRIGHT</w:t>
      </w:r>
    </w:p>
    <w:p w:rsidR="008355F0" w:rsidRPr="00A61AD8" w:rsidRDefault="008355F0" w:rsidP="003867F8">
      <w:pPr>
        <w:keepNext/>
        <w:keepLines/>
        <w:rPr>
          <w:rFonts w:cs="Arial"/>
          <w:b/>
          <w:szCs w:val="16"/>
        </w:rPr>
      </w:pPr>
    </w:p>
    <w:tbl>
      <w:tblPr>
        <w:tblW w:w="9528" w:type="dxa"/>
        <w:tblInd w:w="7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73"/>
        <w:gridCol w:w="1134"/>
        <w:gridCol w:w="1985"/>
        <w:gridCol w:w="4536"/>
      </w:tblGrid>
      <w:tr w:rsidR="008355F0" w:rsidRPr="00913431" w:rsidTr="00E92F85">
        <w:trPr>
          <w:trHeight w:val="755"/>
        </w:trPr>
        <w:tc>
          <w:tcPr>
            <w:tcW w:w="9528" w:type="dxa"/>
            <w:gridSpan w:val="4"/>
            <w:tcBorders>
              <w:top w:val="single" w:sz="4" w:space="0" w:color="000000"/>
              <w:bottom w:val="single" w:sz="4" w:space="0" w:color="000000"/>
            </w:tcBorders>
            <w:shd w:val="clear" w:color="auto" w:fill="C6D9F1" w:themeFill="text2" w:themeFillTint="33"/>
            <w:vAlign w:val="center"/>
          </w:tcPr>
          <w:p w:rsidR="008355F0" w:rsidRPr="00913431" w:rsidRDefault="008355F0" w:rsidP="003867F8">
            <w:pPr>
              <w:keepNext/>
              <w:keepLines/>
              <w:spacing w:before="120" w:after="60"/>
              <w:ind w:left="1701" w:hanging="1701"/>
              <w:rPr>
                <w:rFonts w:cs="Arial"/>
                <w:bCs/>
                <w:sz w:val="16"/>
                <w:szCs w:val="16"/>
              </w:rPr>
            </w:pPr>
            <w:r w:rsidRPr="00913431">
              <w:rPr>
                <w:rFonts w:cs="Arial"/>
                <w:b/>
                <w:bCs/>
                <w:color w:val="000000"/>
                <w:sz w:val="16"/>
                <w:szCs w:val="16"/>
              </w:rPr>
              <w:t>RESULT</w:t>
            </w:r>
            <w:r w:rsidRPr="00913431">
              <w:rPr>
                <w:rFonts w:cs="Arial"/>
                <w:b/>
                <w:bCs/>
                <w:sz w:val="16"/>
                <w:szCs w:val="16"/>
              </w:rPr>
              <w:t>:</w:t>
            </w:r>
            <w:r w:rsidRPr="00913431">
              <w:rPr>
                <w:rFonts w:cs="Arial"/>
                <w:b/>
                <w:bCs/>
                <w:sz w:val="16"/>
                <w:szCs w:val="16"/>
              </w:rPr>
              <w:tab/>
            </w:r>
            <w:r w:rsidRPr="00913431">
              <w:rPr>
                <w:rFonts w:cs="Arial"/>
                <w:bCs/>
                <w:sz w:val="16"/>
                <w:szCs w:val="16"/>
              </w:rPr>
              <w:t>III.2. Enhanced human resource capacities able to deal with the broad range of requirements for the effective use of IP for development in developing countries, LDCs and countries with economies in transition</w:t>
            </w:r>
          </w:p>
        </w:tc>
      </w:tr>
      <w:tr w:rsidR="008355F0" w:rsidRPr="00913431" w:rsidTr="00E92F85">
        <w:trPr>
          <w:trHeight w:val="457"/>
        </w:trPr>
        <w:tc>
          <w:tcPr>
            <w:tcW w:w="1873" w:type="dxa"/>
            <w:tcBorders>
              <w:top w:val="single" w:sz="4" w:space="0" w:color="000000"/>
            </w:tcBorders>
            <w:vAlign w:val="center"/>
          </w:tcPr>
          <w:p w:rsidR="008355F0" w:rsidRPr="00913431" w:rsidRDefault="008355F0" w:rsidP="003867F8">
            <w:pPr>
              <w:keepNext/>
              <w:keepLines/>
              <w:spacing w:before="60" w:after="60"/>
              <w:rPr>
                <w:rFonts w:cs="Arial"/>
                <w:b/>
                <w:bCs/>
                <w:sz w:val="16"/>
                <w:szCs w:val="16"/>
              </w:rPr>
            </w:pPr>
            <w:r w:rsidRPr="00913431">
              <w:rPr>
                <w:rFonts w:cs="Arial"/>
                <w:b/>
                <w:bCs/>
                <w:sz w:val="16"/>
                <w:szCs w:val="16"/>
              </w:rPr>
              <w:t>Activity</w:t>
            </w:r>
          </w:p>
        </w:tc>
        <w:tc>
          <w:tcPr>
            <w:tcW w:w="1134" w:type="dxa"/>
            <w:tcBorders>
              <w:top w:val="single" w:sz="4" w:space="0" w:color="000000"/>
            </w:tcBorders>
            <w:shd w:val="clear" w:color="auto" w:fill="auto"/>
            <w:tcMar>
              <w:top w:w="110" w:type="dxa"/>
            </w:tcMar>
            <w:vAlign w:val="center"/>
          </w:tcPr>
          <w:p w:rsidR="008355F0" w:rsidRPr="00913431" w:rsidRDefault="008355F0" w:rsidP="003867F8">
            <w:pPr>
              <w:keepNext/>
              <w:keepLines/>
              <w:spacing w:before="60" w:after="60"/>
              <w:rPr>
                <w:rFonts w:cs="Arial"/>
                <w:b/>
                <w:bCs/>
                <w:sz w:val="16"/>
                <w:szCs w:val="16"/>
              </w:rPr>
            </w:pPr>
            <w:r w:rsidRPr="00913431">
              <w:rPr>
                <w:rFonts w:cs="Arial"/>
                <w:b/>
                <w:bCs/>
                <w:sz w:val="16"/>
                <w:szCs w:val="16"/>
              </w:rPr>
              <w:t>Date</w:t>
            </w:r>
          </w:p>
        </w:tc>
        <w:tc>
          <w:tcPr>
            <w:tcW w:w="1985" w:type="dxa"/>
            <w:tcBorders>
              <w:top w:val="single" w:sz="4" w:space="0" w:color="000000"/>
            </w:tcBorders>
            <w:shd w:val="clear" w:color="auto" w:fill="auto"/>
            <w:tcMar>
              <w:top w:w="110" w:type="dxa"/>
            </w:tcMar>
            <w:vAlign w:val="center"/>
          </w:tcPr>
          <w:p w:rsidR="008355F0" w:rsidRPr="00913431" w:rsidRDefault="008355F0" w:rsidP="003867F8">
            <w:pPr>
              <w:keepNext/>
              <w:keepLines/>
              <w:spacing w:before="60" w:after="60"/>
              <w:rPr>
                <w:rFonts w:cs="Arial"/>
                <w:sz w:val="16"/>
                <w:szCs w:val="16"/>
              </w:rPr>
            </w:pPr>
            <w:r w:rsidRPr="00913431">
              <w:rPr>
                <w:rFonts w:cs="Arial"/>
                <w:b/>
                <w:bCs/>
                <w:sz w:val="16"/>
                <w:szCs w:val="16"/>
              </w:rPr>
              <w:t>Host Country/</w:t>
            </w:r>
            <w:r w:rsidRPr="00913431">
              <w:rPr>
                <w:rFonts w:cs="Arial"/>
                <w:b/>
                <w:bCs/>
                <w:sz w:val="16"/>
                <w:szCs w:val="16"/>
              </w:rPr>
              <w:br/>
              <w:t>Recipients</w:t>
            </w:r>
          </w:p>
        </w:tc>
        <w:tc>
          <w:tcPr>
            <w:tcW w:w="4536" w:type="dxa"/>
            <w:tcBorders>
              <w:top w:val="single" w:sz="4" w:space="0" w:color="000000"/>
            </w:tcBorders>
            <w:shd w:val="clear" w:color="auto" w:fill="FFFFFF"/>
            <w:tcMar>
              <w:top w:w="110" w:type="dxa"/>
            </w:tcMar>
            <w:vAlign w:val="center"/>
          </w:tcPr>
          <w:p w:rsidR="008355F0" w:rsidRPr="00913431" w:rsidRDefault="008355F0" w:rsidP="003867F8">
            <w:pPr>
              <w:keepNext/>
              <w:keepLines/>
              <w:spacing w:before="60" w:after="60"/>
              <w:rPr>
                <w:rFonts w:cs="Arial"/>
                <w:sz w:val="16"/>
                <w:szCs w:val="16"/>
              </w:rPr>
            </w:pPr>
            <w:r w:rsidRPr="00913431">
              <w:rPr>
                <w:rFonts w:cs="Arial"/>
                <w:b/>
                <w:bCs/>
                <w:sz w:val="16"/>
                <w:szCs w:val="16"/>
              </w:rPr>
              <w:t>Purpose(s)/Description(s)</w:t>
            </w:r>
          </w:p>
        </w:tc>
      </w:tr>
      <w:tr w:rsidR="008355F0" w:rsidRPr="00913431" w:rsidTr="00E92F85">
        <w:trPr>
          <w:trHeight w:val="670"/>
        </w:trPr>
        <w:tc>
          <w:tcPr>
            <w:tcW w:w="1873" w:type="dxa"/>
          </w:tcPr>
          <w:p w:rsidR="008355F0" w:rsidRPr="00913431" w:rsidDel="009E0498" w:rsidRDefault="008355F0" w:rsidP="003867F8">
            <w:pPr>
              <w:autoSpaceDE w:val="0"/>
              <w:autoSpaceDN w:val="0"/>
              <w:adjustRightInd w:val="0"/>
              <w:spacing w:before="60" w:after="60"/>
              <w:rPr>
                <w:rFonts w:cs="Arial"/>
                <w:color w:val="000000"/>
                <w:sz w:val="16"/>
                <w:szCs w:val="16"/>
              </w:rPr>
            </w:pPr>
            <w:r w:rsidRPr="00913431">
              <w:rPr>
                <w:rFonts w:cs="Arial"/>
                <w:color w:val="000000"/>
                <w:sz w:val="16"/>
                <w:szCs w:val="16"/>
              </w:rPr>
              <w:t>National Workshop on Copyright and Related Rights</w:t>
            </w:r>
          </w:p>
        </w:tc>
        <w:tc>
          <w:tcPr>
            <w:tcW w:w="1134" w:type="dxa"/>
            <w:shd w:val="clear" w:color="auto" w:fill="auto"/>
            <w:tcMar>
              <w:top w:w="110" w:type="dxa"/>
            </w:tcMar>
          </w:tcPr>
          <w:p w:rsidR="008355F0" w:rsidRPr="00913431" w:rsidRDefault="008355F0" w:rsidP="003867F8">
            <w:pPr>
              <w:autoSpaceDE w:val="0"/>
              <w:autoSpaceDN w:val="0"/>
              <w:adjustRightInd w:val="0"/>
              <w:spacing w:before="60" w:after="60"/>
              <w:rPr>
                <w:rFonts w:cs="Arial"/>
                <w:color w:val="000000"/>
                <w:sz w:val="16"/>
                <w:szCs w:val="16"/>
              </w:rPr>
            </w:pPr>
            <w:r w:rsidRPr="00913431">
              <w:rPr>
                <w:rFonts w:cs="Arial"/>
                <w:color w:val="000000"/>
                <w:sz w:val="16"/>
                <w:szCs w:val="16"/>
              </w:rPr>
              <w:t>August 31 to September 1, 2015</w:t>
            </w:r>
          </w:p>
        </w:tc>
        <w:tc>
          <w:tcPr>
            <w:tcW w:w="1985" w:type="dxa"/>
            <w:shd w:val="clear" w:color="auto" w:fill="auto"/>
            <w:tcMar>
              <w:top w:w="110" w:type="dxa"/>
            </w:tcMar>
          </w:tcPr>
          <w:p w:rsidR="008355F0" w:rsidRPr="00913431" w:rsidRDefault="008355F0" w:rsidP="003867F8">
            <w:pPr>
              <w:autoSpaceDE w:val="0"/>
              <w:autoSpaceDN w:val="0"/>
              <w:adjustRightInd w:val="0"/>
              <w:spacing w:before="60" w:after="60"/>
              <w:rPr>
                <w:rFonts w:cs="Arial"/>
                <w:color w:val="000000"/>
                <w:sz w:val="16"/>
                <w:szCs w:val="16"/>
              </w:rPr>
            </w:pPr>
            <w:r w:rsidRPr="00913431">
              <w:rPr>
                <w:rFonts w:cs="Arial"/>
                <w:color w:val="000000"/>
                <w:sz w:val="16"/>
                <w:szCs w:val="16"/>
              </w:rPr>
              <w:t>Cambodia / about 100 local participants</w:t>
            </w:r>
          </w:p>
        </w:tc>
        <w:tc>
          <w:tcPr>
            <w:tcW w:w="4536" w:type="dxa"/>
            <w:shd w:val="clear" w:color="auto" w:fill="FFFFFF"/>
            <w:tcMar>
              <w:top w:w="110" w:type="dxa"/>
            </w:tcMar>
          </w:tcPr>
          <w:p w:rsidR="008355F0" w:rsidRPr="00913431" w:rsidDel="00152E3E" w:rsidRDefault="008355F0" w:rsidP="003867F8">
            <w:pPr>
              <w:autoSpaceDE w:val="0"/>
              <w:autoSpaceDN w:val="0"/>
              <w:adjustRightInd w:val="0"/>
              <w:spacing w:before="60" w:after="60"/>
              <w:rPr>
                <w:rFonts w:cs="Arial"/>
                <w:color w:val="000000"/>
                <w:sz w:val="16"/>
                <w:szCs w:val="16"/>
              </w:rPr>
            </w:pPr>
            <w:r w:rsidRPr="00913431">
              <w:rPr>
                <w:rFonts w:cs="Arial"/>
                <w:kern w:val="2"/>
                <w:sz w:val="16"/>
                <w:szCs w:val="16"/>
              </w:rPr>
              <w:t>To raise awareness among policy makers and key stakeholders on the importance of copyright and related rights.</w:t>
            </w:r>
          </w:p>
        </w:tc>
      </w:tr>
      <w:tr w:rsidR="008355F0" w:rsidRPr="00913431" w:rsidTr="00E92F85">
        <w:trPr>
          <w:trHeight w:val="820"/>
        </w:trPr>
        <w:tc>
          <w:tcPr>
            <w:tcW w:w="1873" w:type="dxa"/>
          </w:tcPr>
          <w:p w:rsidR="008355F0" w:rsidRPr="00913431" w:rsidRDefault="008355F0" w:rsidP="003867F8">
            <w:pPr>
              <w:keepNext/>
              <w:keepLines/>
              <w:spacing w:before="60" w:after="60"/>
              <w:rPr>
                <w:rFonts w:cs="Arial"/>
                <w:b/>
                <w:bCs/>
                <w:sz w:val="16"/>
                <w:szCs w:val="16"/>
              </w:rPr>
            </w:pPr>
            <w:r w:rsidRPr="00913431">
              <w:rPr>
                <w:rFonts w:cs="Arial"/>
                <w:color w:val="000000"/>
                <w:sz w:val="16"/>
                <w:szCs w:val="16"/>
              </w:rPr>
              <w:t xml:space="preserve">Country Project for Enhancing Awareness on Copyright and Related Rights </w:t>
            </w:r>
          </w:p>
        </w:tc>
        <w:tc>
          <w:tcPr>
            <w:tcW w:w="1134" w:type="dxa"/>
            <w:shd w:val="clear" w:color="auto" w:fill="auto"/>
            <w:tcMar>
              <w:top w:w="110" w:type="dxa"/>
            </w:tcMar>
          </w:tcPr>
          <w:p w:rsidR="008355F0" w:rsidRPr="00913431" w:rsidRDefault="008355F0" w:rsidP="003867F8">
            <w:pPr>
              <w:keepNext/>
              <w:keepLines/>
              <w:spacing w:before="60" w:after="60"/>
              <w:rPr>
                <w:rFonts w:cs="Arial"/>
                <w:sz w:val="16"/>
                <w:szCs w:val="16"/>
              </w:rPr>
            </w:pPr>
            <w:r w:rsidRPr="00913431">
              <w:rPr>
                <w:rFonts w:cs="Arial"/>
                <w:sz w:val="16"/>
                <w:szCs w:val="16"/>
              </w:rPr>
              <w:t>February to June, 2015</w:t>
            </w:r>
          </w:p>
        </w:tc>
        <w:tc>
          <w:tcPr>
            <w:tcW w:w="1985" w:type="dxa"/>
            <w:shd w:val="clear" w:color="auto" w:fill="auto"/>
            <w:tcMar>
              <w:top w:w="110" w:type="dxa"/>
            </w:tcMar>
          </w:tcPr>
          <w:p w:rsidR="008355F0" w:rsidRPr="00913431" w:rsidRDefault="008355F0" w:rsidP="003867F8">
            <w:pPr>
              <w:keepNext/>
              <w:keepLines/>
              <w:spacing w:before="60" w:after="60"/>
              <w:rPr>
                <w:rFonts w:cs="Arial"/>
                <w:sz w:val="16"/>
                <w:szCs w:val="16"/>
              </w:rPr>
            </w:pPr>
            <w:r w:rsidRPr="00913431">
              <w:rPr>
                <w:rFonts w:cs="Arial"/>
                <w:sz w:val="16"/>
                <w:szCs w:val="16"/>
              </w:rPr>
              <w:t>Malawi / about 350 local participants in five programs</w:t>
            </w:r>
          </w:p>
        </w:tc>
        <w:tc>
          <w:tcPr>
            <w:tcW w:w="4536" w:type="dxa"/>
            <w:shd w:val="clear" w:color="auto" w:fill="FFFFFF"/>
            <w:tcMar>
              <w:top w:w="110" w:type="dxa"/>
            </w:tcMar>
          </w:tcPr>
          <w:p w:rsidR="008355F0" w:rsidRPr="00913431" w:rsidRDefault="008355F0" w:rsidP="003867F8">
            <w:pPr>
              <w:spacing w:before="60" w:after="60"/>
              <w:rPr>
                <w:rFonts w:cs="Arial"/>
                <w:sz w:val="16"/>
                <w:szCs w:val="16"/>
              </w:rPr>
            </w:pPr>
            <w:r w:rsidRPr="00913431">
              <w:rPr>
                <w:rFonts w:cs="Arial"/>
                <w:sz w:val="16"/>
                <w:szCs w:val="16"/>
              </w:rPr>
              <w:t>To assist Malawi in its endeavors to establish a viable copyright infrastructure and strengthen the national capacity to undertake  public awareness building programs in the area of copyright and related rights</w:t>
            </w:r>
            <w:r w:rsidRPr="00913431">
              <w:rPr>
                <w:rFonts w:cs="Arial"/>
                <w:kern w:val="2"/>
                <w:sz w:val="16"/>
                <w:szCs w:val="16"/>
                <w:lang w:eastAsia="ko-KR"/>
              </w:rPr>
              <w:t>.</w:t>
            </w:r>
          </w:p>
        </w:tc>
      </w:tr>
      <w:tr w:rsidR="008355F0" w:rsidRPr="00913431" w:rsidTr="00E92F85">
        <w:trPr>
          <w:trHeight w:val="842"/>
        </w:trPr>
        <w:tc>
          <w:tcPr>
            <w:tcW w:w="1873" w:type="dxa"/>
          </w:tcPr>
          <w:p w:rsidR="008355F0" w:rsidRPr="00913431" w:rsidRDefault="008355F0" w:rsidP="003867F8">
            <w:pPr>
              <w:autoSpaceDE w:val="0"/>
              <w:autoSpaceDN w:val="0"/>
              <w:adjustRightInd w:val="0"/>
              <w:spacing w:before="60" w:after="60"/>
              <w:rPr>
                <w:rFonts w:cs="Arial"/>
                <w:color w:val="000000"/>
                <w:sz w:val="16"/>
                <w:szCs w:val="16"/>
              </w:rPr>
            </w:pPr>
            <w:r w:rsidRPr="00913431">
              <w:rPr>
                <w:rFonts w:cs="Arial"/>
                <w:color w:val="000000"/>
                <w:sz w:val="16"/>
                <w:szCs w:val="16"/>
              </w:rPr>
              <w:t xml:space="preserve">Accessible Books Consortium (ABC) Project </w:t>
            </w:r>
          </w:p>
        </w:tc>
        <w:tc>
          <w:tcPr>
            <w:tcW w:w="1134" w:type="dxa"/>
            <w:shd w:val="clear" w:color="auto" w:fill="auto"/>
            <w:tcMar>
              <w:top w:w="110" w:type="dxa"/>
            </w:tcMar>
          </w:tcPr>
          <w:p w:rsidR="008355F0" w:rsidRPr="00913431" w:rsidRDefault="008355F0" w:rsidP="003867F8">
            <w:pPr>
              <w:autoSpaceDE w:val="0"/>
              <w:autoSpaceDN w:val="0"/>
              <w:adjustRightInd w:val="0"/>
              <w:spacing w:before="60" w:after="60"/>
              <w:rPr>
                <w:rFonts w:cs="Arial"/>
                <w:color w:val="000000"/>
                <w:sz w:val="16"/>
                <w:szCs w:val="16"/>
              </w:rPr>
            </w:pPr>
            <w:r w:rsidRPr="00913431">
              <w:rPr>
                <w:rFonts w:cs="Arial"/>
                <w:color w:val="000000"/>
                <w:sz w:val="16"/>
                <w:szCs w:val="16"/>
              </w:rPr>
              <w:t>January 1 to July 31, 2015</w:t>
            </w:r>
            <w:r>
              <w:rPr>
                <w:rStyle w:val="FootnoteReference"/>
                <w:rFonts w:cs="Arial"/>
                <w:color w:val="000000"/>
                <w:sz w:val="16"/>
                <w:szCs w:val="16"/>
              </w:rPr>
              <w:footnoteReference w:id="159"/>
            </w:r>
          </w:p>
        </w:tc>
        <w:tc>
          <w:tcPr>
            <w:tcW w:w="1985" w:type="dxa"/>
            <w:shd w:val="clear" w:color="auto" w:fill="auto"/>
            <w:tcMar>
              <w:top w:w="110" w:type="dxa"/>
            </w:tcMar>
          </w:tcPr>
          <w:p w:rsidR="008355F0" w:rsidRPr="00913431" w:rsidRDefault="008355F0" w:rsidP="003867F8">
            <w:pPr>
              <w:autoSpaceDE w:val="0"/>
              <w:autoSpaceDN w:val="0"/>
              <w:adjustRightInd w:val="0"/>
              <w:spacing w:before="60" w:after="60"/>
              <w:rPr>
                <w:rFonts w:cs="Arial"/>
                <w:color w:val="000000"/>
                <w:sz w:val="16"/>
                <w:szCs w:val="16"/>
              </w:rPr>
            </w:pPr>
            <w:r w:rsidRPr="00913431">
              <w:rPr>
                <w:rFonts w:cs="Arial"/>
                <w:color w:val="000000"/>
                <w:sz w:val="16"/>
                <w:szCs w:val="16"/>
              </w:rPr>
              <w:t xml:space="preserve">India </w:t>
            </w:r>
          </w:p>
        </w:tc>
        <w:tc>
          <w:tcPr>
            <w:tcW w:w="4536" w:type="dxa"/>
            <w:shd w:val="clear" w:color="auto" w:fill="FFFFFF"/>
            <w:tcMar>
              <w:top w:w="110" w:type="dxa"/>
            </w:tcMar>
          </w:tcPr>
          <w:p w:rsidR="008355F0" w:rsidRPr="00913431" w:rsidRDefault="008355F0" w:rsidP="003867F8">
            <w:pPr>
              <w:autoSpaceDE w:val="0"/>
              <w:autoSpaceDN w:val="0"/>
              <w:adjustRightInd w:val="0"/>
              <w:spacing w:before="60" w:after="60"/>
              <w:rPr>
                <w:rFonts w:cs="Arial"/>
                <w:color w:val="000000"/>
                <w:sz w:val="16"/>
                <w:szCs w:val="16"/>
              </w:rPr>
            </w:pPr>
            <w:r w:rsidRPr="00913431">
              <w:rPr>
                <w:rFonts w:cs="Arial"/>
                <w:color w:val="000000"/>
                <w:sz w:val="16"/>
                <w:szCs w:val="16"/>
              </w:rPr>
              <w:t xml:space="preserve">To:  </w:t>
            </w:r>
            <w:r w:rsidRPr="00913431">
              <w:rPr>
                <w:rFonts w:cs="Arial"/>
                <w:color w:val="000000"/>
                <w:sz w:val="16"/>
                <w:szCs w:val="16"/>
                <w:lang w:eastAsia="ja-JP"/>
              </w:rPr>
              <w:t>(i)</w:t>
            </w:r>
            <w:r w:rsidRPr="00913431">
              <w:rPr>
                <w:rFonts w:cs="Arial"/>
                <w:color w:val="000000"/>
                <w:sz w:val="16"/>
                <w:szCs w:val="16"/>
              </w:rPr>
              <w:t xml:space="preserve"> end the book famine of high-school students with print disabilities in Madhya Pradesh, Bihar and Rajasthan, India;  and </w:t>
            </w:r>
            <w:r w:rsidRPr="00913431">
              <w:rPr>
                <w:rFonts w:cs="Arial"/>
                <w:color w:val="000000"/>
                <w:sz w:val="16"/>
                <w:szCs w:val="16"/>
                <w:lang w:eastAsia="ja-JP"/>
              </w:rPr>
              <w:t xml:space="preserve">(ii) build capacity among government publishers of textbooks so that </w:t>
            </w:r>
            <w:r w:rsidRPr="00913431">
              <w:rPr>
                <w:rFonts w:cs="Arial"/>
                <w:color w:val="000000"/>
                <w:sz w:val="16"/>
                <w:szCs w:val="16"/>
              </w:rPr>
              <w:t>future books can be borne accessible.</w:t>
            </w:r>
          </w:p>
        </w:tc>
      </w:tr>
      <w:tr w:rsidR="008355F0" w:rsidRPr="00913431" w:rsidTr="00E92F85">
        <w:trPr>
          <w:trHeight w:val="912"/>
        </w:trPr>
        <w:tc>
          <w:tcPr>
            <w:tcW w:w="1873" w:type="dxa"/>
          </w:tcPr>
          <w:p w:rsidR="008355F0" w:rsidRPr="00913431" w:rsidRDefault="008355F0" w:rsidP="003867F8">
            <w:pPr>
              <w:autoSpaceDE w:val="0"/>
              <w:autoSpaceDN w:val="0"/>
              <w:adjustRightInd w:val="0"/>
              <w:spacing w:before="60" w:after="60"/>
              <w:rPr>
                <w:rFonts w:cs="Arial"/>
                <w:color w:val="000000"/>
                <w:sz w:val="16"/>
                <w:szCs w:val="16"/>
              </w:rPr>
            </w:pPr>
            <w:r w:rsidRPr="00913431">
              <w:rPr>
                <w:rFonts w:cs="Arial"/>
                <w:color w:val="000000"/>
                <w:sz w:val="16"/>
                <w:szCs w:val="16"/>
              </w:rPr>
              <w:t xml:space="preserve">Country Project of Translation and Publication </w:t>
            </w:r>
          </w:p>
        </w:tc>
        <w:tc>
          <w:tcPr>
            <w:tcW w:w="1134" w:type="dxa"/>
            <w:shd w:val="clear" w:color="auto" w:fill="auto"/>
            <w:tcMar>
              <w:top w:w="110" w:type="dxa"/>
            </w:tcMar>
          </w:tcPr>
          <w:p w:rsidR="008355F0" w:rsidRDefault="008355F0" w:rsidP="003867F8">
            <w:pPr>
              <w:autoSpaceDE w:val="0"/>
              <w:autoSpaceDN w:val="0"/>
              <w:adjustRightInd w:val="0"/>
              <w:spacing w:before="60" w:after="60"/>
              <w:rPr>
                <w:rFonts w:cs="Arial"/>
                <w:color w:val="000000"/>
                <w:sz w:val="16"/>
                <w:szCs w:val="16"/>
              </w:rPr>
            </w:pPr>
            <w:r w:rsidRPr="00913431">
              <w:rPr>
                <w:rFonts w:cs="Arial"/>
                <w:color w:val="000000"/>
                <w:sz w:val="16"/>
                <w:szCs w:val="16"/>
              </w:rPr>
              <w:t>January to December, 2015</w:t>
            </w:r>
            <w:r>
              <w:rPr>
                <w:rStyle w:val="FootnoteReference"/>
                <w:rFonts w:cs="Arial"/>
                <w:color w:val="000000"/>
                <w:sz w:val="16"/>
                <w:szCs w:val="16"/>
              </w:rPr>
              <w:footnoteReference w:id="160"/>
            </w:r>
          </w:p>
          <w:p w:rsidR="008355F0" w:rsidRDefault="008355F0" w:rsidP="003867F8">
            <w:pPr>
              <w:autoSpaceDE w:val="0"/>
              <w:autoSpaceDN w:val="0"/>
              <w:adjustRightInd w:val="0"/>
              <w:spacing w:before="60" w:after="60"/>
              <w:rPr>
                <w:rFonts w:cs="Arial"/>
                <w:color w:val="000000"/>
                <w:sz w:val="16"/>
                <w:szCs w:val="16"/>
              </w:rPr>
            </w:pPr>
          </w:p>
          <w:p w:rsidR="008355F0" w:rsidRPr="00913431" w:rsidRDefault="008355F0" w:rsidP="003867F8">
            <w:pPr>
              <w:autoSpaceDE w:val="0"/>
              <w:autoSpaceDN w:val="0"/>
              <w:adjustRightInd w:val="0"/>
              <w:spacing w:before="60" w:after="60"/>
              <w:rPr>
                <w:rFonts w:cs="Arial"/>
                <w:color w:val="000000"/>
                <w:sz w:val="16"/>
                <w:szCs w:val="16"/>
              </w:rPr>
            </w:pPr>
            <w:r>
              <w:rPr>
                <w:rFonts w:cs="Arial"/>
                <w:color w:val="000000"/>
                <w:sz w:val="16"/>
                <w:szCs w:val="16"/>
              </w:rPr>
              <w:t>(Ongoing)</w:t>
            </w:r>
          </w:p>
        </w:tc>
        <w:tc>
          <w:tcPr>
            <w:tcW w:w="1985" w:type="dxa"/>
            <w:shd w:val="clear" w:color="auto" w:fill="auto"/>
            <w:tcMar>
              <w:top w:w="110" w:type="dxa"/>
            </w:tcMar>
          </w:tcPr>
          <w:p w:rsidR="008355F0" w:rsidRPr="00913431" w:rsidRDefault="008355F0" w:rsidP="003867F8">
            <w:pPr>
              <w:autoSpaceDE w:val="0"/>
              <w:autoSpaceDN w:val="0"/>
              <w:adjustRightInd w:val="0"/>
              <w:spacing w:before="60" w:after="60"/>
              <w:rPr>
                <w:rFonts w:cs="Arial"/>
                <w:color w:val="000000"/>
                <w:sz w:val="16"/>
                <w:szCs w:val="16"/>
              </w:rPr>
            </w:pPr>
            <w:r w:rsidRPr="00913431">
              <w:rPr>
                <w:rFonts w:cs="Arial"/>
                <w:color w:val="000000"/>
                <w:sz w:val="16"/>
                <w:szCs w:val="16"/>
              </w:rPr>
              <w:t xml:space="preserve">Tonga </w:t>
            </w:r>
          </w:p>
        </w:tc>
        <w:tc>
          <w:tcPr>
            <w:tcW w:w="4536" w:type="dxa"/>
            <w:shd w:val="clear" w:color="auto" w:fill="FFFFFF"/>
            <w:tcMar>
              <w:top w:w="110" w:type="dxa"/>
            </w:tcMar>
          </w:tcPr>
          <w:p w:rsidR="008355F0" w:rsidRPr="00913431" w:rsidRDefault="008355F0" w:rsidP="003867F8">
            <w:pPr>
              <w:pStyle w:val="ListParagraph"/>
              <w:tabs>
                <w:tab w:val="center" w:pos="4536"/>
                <w:tab w:val="right" w:pos="9072"/>
              </w:tabs>
              <w:spacing w:before="60" w:after="60"/>
              <w:ind w:left="0"/>
              <w:rPr>
                <w:rFonts w:eastAsia="Batang" w:cs="Arial"/>
                <w:sz w:val="16"/>
                <w:szCs w:val="16"/>
              </w:rPr>
            </w:pPr>
            <w:r w:rsidRPr="00913431">
              <w:rPr>
                <w:rFonts w:cs="Arial"/>
                <w:sz w:val="16"/>
                <w:szCs w:val="16"/>
              </w:rPr>
              <w:t>T</w:t>
            </w:r>
            <w:r w:rsidRPr="00913431">
              <w:rPr>
                <w:rFonts w:cs="Arial"/>
                <w:kern w:val="2"/>
                <w:sz w:val="16"/>
                <w:szCs w:val="16"/>
              </w:rPr>
              <w:t>o enhance IPO’s capacity to undertake public outreach programs, thereby establishing an environment that is conducive for the effective use and protection of copyright and related rights.</w:t>
            </w:r>
          </w:p>
        </w:tc>
      </w:tr>
      <w:tr w:rsidR="008355F0" w:rsidRPr="00913431" w:rsidTr="00E92F85">
        <w:tc>
          <w:tcPr>
            <w:tcW w:w="9528" w:type="dxa"/>
            <w:gridSpan w:val="4"/>
            <w:tcBorders>
              <w:top w:val="single" w:sz="4" w:space="0" w:color="000000"/>
              <w:bottom w:val="single" w:sz="4" w:space="0" w:color="000000"/>
            </w:tcBorders>
            <w:shd w:val="clear" w:color="auto" w:fill="C6D9F1" w:themeFill="text2" w:themeFillTint="33"/>
            <w:vAlign w:val="center"/>
          </w:tcPr>
          <w:p w:rsidR="008355F0" w:rsidRPr="00913431" w:rsidRDefault="008355F0" w:rsidP="003867F8">
            <w:pPr>
              <w:keepNext/>
              <w:keepLines/>
              <w:tabs>
                <w:tab w:val="left" w:pos="1740"/>
              </w:tabs>
              <w:spacing w:before="120" w:after="120"/>
              <w:ind w:left="1701" w:hanging="1701"/>
              <w:rPr>
                <w:rFonts w:cs="Arial"/>
                <w:bCs/>
                <w:color w:val="000000"/>
                <w:sz w:val="16"/>
                <w:szCs w:val="16"/>
              </w:rPr>
            </w:pPr>
            <w:r w:rsidRPr="00913431">
              <w:rPr>
                <w:rFonts w:cs="Arial"/>
                <w:b/>
                <w:bCs/>
                <w:color w:val="000000"/>
                <w:sz w:val="16"/>
                <w:szCs w:val="16"/>
              </w:rPr>
              <w:t>RESULT</w:t>
            </w:r>
            <w:r w:rsidRPr="00913431">
              <w:rPr>
                <w:rFonts w:cs="Arial"/>
                <w:b/>
                <w:bCs/>
                <w:sz w:val="16"/>
                <w:szCs w:val="16"/>
              </w:rPr>
              <w:t>:</w:t>
            </w:r>
            <w:r w:rsidRPr="00913431">
              <w:rPr>
                <w:rFonts w:cs="Arial"/>
                <w:b/>
                <w:bCs/>
                <w:sz w:val="16"/>
                <w:szCs w:val="16"/>
              </w:rPr>
              <w:tab/>
            </w:r>
            <w:r w:rsidRPr="00913431">
              <w:rPr>
                <w:rFonts w:cs="Arial"/>
                <w:bCs/>
                <w:color w:val="000000"/>
                <w:sz w:val="16"/>
                <w:szCs w:val="16"/>
              </w:rPr>
              <w:t>IV.4. Enhanced technical and knowledge infrastructure for IP Offices and other IP institutions leading to better services (cheaper, faster, higher quality) to their stakeholders</w:t>
            </w:r>
          </w:p>
        </w:tc>
      </w:tr>
      <w:tr w:rsidR="008355F0" w:rsidRPr="00913431" w:rsidTr="00E92F85">
        <w:tc>
          <w:tcPr>
            <w:tcW w:w="1873" w:type="dxa"/>
            <w:tcBorders>
              <w:top w:val="single" w:sz="4" w:space="0" w:color="000000"/>
            </w:tcBorders>
            <w:vAlign w:val="center"/>
          </w:tcPr>
          <w:p w:rsidR="008355F0" w:rsidRPr="00913431" w:rsidRDefault="008355F0" w:rsidP="003867F8">
            <w:pPr>
              <w:keepNext/>
              <w:keepLines/>
              <w:spacing w:before="60" w:after="60"/>
              <w:rPr>
                <w:rFonts w:cs="Arial"/>
                <w:b/>
                <w:bCs/>
                <w:sz w:val="16"/>
                <w:szCs w:val="16"/>
              </w:rPr>
            </w:pPr>
            <w:r w:rsidRPr="00913431">
              <w:rPr>
                <w:rFonts w:cs="Arial"/>
                <w:b/>
                <w:bCs/>
                <w:sz w:val="16"/>
                <w:szCs w:val="16"/>
              </w:rPr>
              <w:t>Activity</w:t>
            </w:r>
          </w:p>
        </w:tc>
        <w:tc>
          <w:tcPr>
            <w:tcW w:w="1134" w:type="dxa"/>
            <w:tcBorders>
              <w:top w:val="single" w:sz="4" w:space="0" w:color="000000"/>
            </w:tcBorders>
            <w:shd w:val="clear" w:color="auto" w:fill="auto"/>
            <w:tcMar>
              <w:top w:w="110" w:type="dxa"/>
            </w:tcMar>
            <w:vAlign w:val="center"/>
          </w:tcPr>
          <w:p w:rsidR="008355F0" w:rsidRPr="00913431" w:rsidRDefault="008355F0" w:rsidP="003867F8">
            <w:pPr>
              <w:keepNext/>
              <w:keepLines/>
              <w:spacing w:before="60" w:after="60"/>
              <w:rPr>
                <w:rFonts w:cs="Arial"/>
                <w:sz w:val="16"/>
                <w:szCs w:val="16"/>
              </w:rPr>
            </w:pPr>
            <w:r w:rsidRPr="00913431">
              <w:rPr>
                <w:rFonts w:cs="Arial"/>
                <w:b/>
                <w:bCs/>
                <w:sz w:val="16"/>
                <w:szCs w:val="16"/>
              </w:rPr>
              <w:t>Date</w:t>
            </w:r>
          </w:p>
        </w:tc>
        <w:tc>
          <w:tcPr>
            <w:tcW w:w="1985" w:type="dxa"/>
            <w:tcBorders>
              <w:top w:val="single" w:sz="4" w:space="0" w:color="000000"/>
            </w:tcBorders>
            <w:shd w:val="clear" w:color="auto" w:fill="auto"/>
            <w:tcMar>
              <w:top w:w="110" w:type="dxa"/>
            </w:tcMar>
            <w:vAlign w:val="center"/>
          </w:tcPr>
          <w:p w:rsidR="008355F0" w:rsidRPr="00913431" w:rsidRDefault="008355F0" w:rsidP="003867F8">
            <w:pPr>
              <w:keepNext/>
              <w:keepLines/>
              <w:spacing w:before="60" w:after="60"/>
              <w:rPr>
                <w:rFonts w:cs="Arial"/>
                <w:sz w:val="16"/>
                <w:szCs w:val="16"/>
              </w:rPr>
            </w:pPr>
            <w:r w:rsidRPr="00913431">
              <w:rPr>
                <w:rFonts w:cs="Arial"/>
                <w:b/>
                <w:bCs/>
                <w:sz w:val="16"/>
                <w:szCs w:val="16"/>
              </w:rPr>
              <w:t>Host Country/</w:t>
            </w:r>
            <w:r w:rsidRPr="00913431">
              <w:rPr>
                <w:rFonts w:cs="Arial"/>
                <w:b/>
                <w:bCs/>
                <w:sz w:val="16"/>
                <w:szCs w:val="16"/>
              </w:rPr>
              <w:br/>
              <w:t>Recipients</w:t>
            </w:r>
          </w:p>
        </w:tc>
        <w:tc>
          <w:tcPr>
            <w:tcW w:w="4536" w:type="dxa"/>
            <w:tcBorders>
              <w:top w:val="single" w:sz="4" w:space="0" w:color="000000"/>
            </w:tcBorders>
            <w:shd w:val="clear" w:color="auto" w:fill="FFFFFF"/>
            <w:tcMar>
              <w:top w:w="110" w:type="dxa"/>
            </w:tcMar>
            <w:vAlign w:val="center"/>
          </w:tcPr>
          <w:p w:rsidR="008355F0" w:rsidRPr="00913431" w:rsidRDefault="008355F0" w:rsidP="003867F8">
            <w:pPr>
              <w:keepNext/>
              <w:keepLines/>
              <w:spacing w:before="60" w:after="60"/>
              <w:rPr>
                <w:rFonts w:cs="Arial"/>
                <w:sz w:val="16"/>
                <w:szCs w:val="16"/>
              </w:rPr>
            </w:pPr>
            <w:r w:rsidRPr="00913431">
              <w:rPr>
                <w:rFonts w:cs="Arial"/>
                <w:b/>
                <w:bCs/>
                <w:sz w:val="16"/>
                <w:szCs w:val="16"/>
              </w:rPr>
              <w:t>Purpose(s)/Description(s)</w:t>
            </w:r>
          </w:p>
        </w:tc>
      </w:tr>
      <w:tr w:rsidR="008355F0" w:rsidRPr="00913431" w:rsidTr="00E92F85">
        <w:trPr>
          <w:trHeight w:val="1063"/>
        </w:trPr>
        <w:tc>
          <w:tcPr>
            <w:tcW w:w="1873" w:type="dxa"/>
          </w:tcPr>
          <w:p w:rsidR="008355F0" w:rsidRPr="00913431" w:rsidRDefault="008355F0" w:rsidP="003867F8">
            <w:pPr>
              <w:autoSpaceDE w:val="0"/>
              <w:autoSpaceDN w:val="0"/>
              <w:adjustRightInd w:val="0"/>
              <w:spacing w:before="60" w:after="60"/>
              <w:rPr>
                <w:rFonts w:cs="Arial"/>
                <w:color w:val="000000"/>
                <w:sz w:val="16"/>
                <w:szCs w:val="16"/>
              </w:rPr>
            </w:pPr>
            <w:r w:rsidRPr="00913431">
              <w:rPr>
                <w:rFonts w:cs="Arial"/>
                <w:color w:val="000000"/>
                <w:sz w:val="16"/>
                <w:szCs w:val="16"/>
              </w:rPr>
              <w:t>Inter-Regional Workshop for Heads of Copyright Offices on Copyright Capacity Building</w:t>
            </w:r>
          </w:p>
        </w:tc>
        <w:tc>
          <w:tcPr>
            <w:tcW w:w="1134" w:type="dxa"/>
            <w:shd w:val="clear" w:color="auto" w:fill="auto"/>
            <w:tcMar>
              <w:top w:w="110" w:type="dxa"/>
            </w:tcMar>
          </w:tcPr>
          <w:p w:rsidR="008355F0" w:rsidRPr="00913431" w:rsidRDefault="008355F0" w:rsidP="003867F8">
            <w:pPr>
              <w:autoSpaceDE w:val="0"/>
              <w:autoSpaceDN w:val="0"/>
              <w:adjustRightInd w:val="0"/>
              <w:spacing w:before="60" w:after="60"/>
              <w:rPr>
                <w:rFonts w:cs="Arial"/>
                <w:color w:val="000000"/>
                <w:sz w:val="16"/>
                <w:szCs w:val="16"/>
              </w:rPr>
            </w:pPr>
            <w:r w:rsidRPr="00913431">
              <w:rPr>
                <w:rFonts w:cs="Arial"/>
                <w:color w:val="000000"/>
                <w:sz w:val="16"/>
                <w:szCs w:val="16"/>
              </w:rPr>
              <w:t>February 3 to 5, 2015</w:t>
            </w:r>
          </w:p>
        </w:tc>
        <w:tc>
          <w:tcPr>
            <w:tcW w:w="1985" w:type="dxa"/>
            <w:shd w:val="clear" w:color="auto" w:fill="auto"/>
            <w:tcMar>
              <w:top w:w="110" w:type="dxa"/>
            </w:tcMar>
          </w:tcPr>
          <w:p w:rsidR="008355F0" w:rsidRPr="00913431" w:rsidRDefault="008355F0" w:rsidP="003867F8">
            <w:pPr>
              <w:autoSpaceDE w:val="0"/>
              <w:autoSpaceDN w:val="0"/>
              <w:adjustRightInd w:val="0"/>
              <w:spacing w:before="60" w:after="60"/>
              <w:rPr>
                <w:rFonts w:cs="Arial"/>
                <w:color w:val="000000"/>
                <w:sz w:val="16"/>
                <w:szCs w:val="16"/>
              </w:rPr>
            </w:pPr>
            <w:r w:rsidRPr="00913431">
              <w:rPr>
                <w:rFonts w:cs="Arial"/>
                <w:color w:val="000000"/>
                <w:sz w:val="16"/>
                <w:szCs w:val="16"/>
              </w:rPr>
              <w:t>Republic of Korea/ 27 participants from China, Ecuador, Kenya, Lebanon, Malawi, Mexico, Mongolia, Paraguay, Philippines, Qatar, Saudi Arabia, Thailand, Viet Nam and ARIPO</w:t>
            </w:r>
          </w:p>
        </w:tc>
        <w:tc>
          <w:tcPr>
            <w:tcW w:w="4536" w:type="dxa"/>
            <w:shd w:val="clear" w:color="auto" w:fill="FFFFFF"/>
            <w:tcMar>
              <w:top w:w="110" w:type="dxa"/>
            </w:tcMar>
          </w:tcPr>
          <w:p w:rsidR="008355F0" w:rsidRPr="00913431" w:rsidRDefault="008355F0" w:rsidP="003867F8">
            <w:pPr>
              <w:pStyle w:val="Header"/>
              <w:spacing w:before="60" w:after="60"/>
              <w:rPr>
                <w:rFonts w:cs="Arial"/>
                <w:kern w:val="2"/>
                <w:sz w:val="16"/>
                <w:szCs w:val="16"/>
                <w:lang w:eastAsia="ko-KR"/>
              </w:rPr>
            </w:pPr>
            <w:r w:rsidRPr="00913431">
              <w:rPr>
                <w:rFonts w:cs="Arial"/>
                <w:sz w:val="16"/>
                <w:szCs w:val="16"/>
                <w:lang w:eastAsia="ko-KR"/>
              </w:rPr>
              <w:t xml:space="preserve">To update knowledge, share experience in copyright capacity building, exchange views on and methodologies of various copyright capacity building programs, and discuss how to enhance those programs at national, regional and international levels. </w:t>
            </w:r>
          </w:p>
        </w:tc>
      </w:tr>
      <w:tr w:rsidR="008355F0" w:rsidRPr="00913431" w:rsidTr="00E92F85">
        <w:trPr>
          <w:trHeight w:val="670"/>
        </w:trPr>
        <w:tc>
          <w:tcPr>
            <w:tcW w:w="1873" w:type="dxa"/>
          </w:tcPr>
          <w:p w:rsidR="008355F0" w:rsidRPr="00913431" w:rsidRDefault="008355F0" w:rsidP="003867F8">
            <w:pPr>
              <w:autoSpaceDE w:val="0"/>
              <w:autoSpaceDN w:val="0"/>
              <w:adjustRightInd w:val="0"/>
              <w:spacing w:before="60" w:after="60"/>
              <w:rPr>
                <w:rFonts w:cs="Arial"/>
                <w:color w:val="000000"/>
                <w:sz w:val="16"/>
                <w:szCs w:val="16"/>
              </w:rPr>
            </w:pPr>
            <w:r w:rsidRPr="00913431">
              <w:rPr>
                <w:rFonts w:cs="Arial"/>
                <w:color w:val="000000"/>
                <w:sz w:val="16"/>
                <w:szCs w:val="16"/>
              </w:rPr>
              <w:t>Sub-Regional Workshop on Cooperation in Copyright and Related Rights</w:t>
            </w:r>
          </w:p>
        </w:tc>
        <w:tc>
          <w:tcPr>
            <w:tcW w:w="1134" w:type="dxa"/>
            <w:shd w:val="clear" w:color="auto" w:fill="auto"/>
            <w:tcMar>
              <w:top w:w="110" w:type="dxa"/>
            </w:tcMar>
          </w:tcPr>
          <w:p w:rsidR="008355F0" w:rsidRPr="00913431" w:rsidRDefault="008355F0" w:rsidP="003867F8">
            <w:pPr>
              <w:autoSpaceDE w:val="0"/>
              <w:autoSpaceDN w:val="0"/>
              <w:adjustRightInd w:val="0"/>
              <w:spacing w:before="60" w:after="60"/>
              <w:rPr>
                <w:rFonts w:cs="Arial"/>
                <w:color w:val="000000"/>
                <w:sz w:val="16"/>
                <w:szCs w:val="16"/>
              </w:rPr>
            </w:pPr>
            <w:r w:rsidRPr="00913431">
              <w:rPr>
                <w:rFonts w:cs="Arial"/>
                <w:color w:val="000000"/>
                <w:sz w:val="16"/>
                <w:szCs w:val="16"/>
              </w:rPr>
              <w:t>June 18 to 20, 2015</w:t>
            </w:r>
          </w:p>
        </w:tc>
        <w:tc>
          <w:tcPr>
            <w:tcW w:w="1985" w:type="dxa"/>
            <w:shd w:val="clear" w:color="auto" w:fill="auto"/>
            <w:tcMar>
              <w:top w:w="110" w:type="dxa"/>
            </w:tcMar>
          </w:tcPr>
          <w:p w:rsidR="008355F0" w:rsidRPr="00913431" w:rsidRDefault="008355F0" w:rsidP="003867F8">
            <w:pPr>
              <w:autoSpaceDE w:val="0"/>
              <w:autoSpaceDN w:val="0"/>
              <w:adjustRightInd w:val="0"/>
              <w:spacing w:before="60" w:after="60"/>
              <w:rPr>
                <w:rFonts w:cs="Arial"/>
                <w:color w:val="000000"/>
                <w:sz w:val="16"/>
                <w:szCs w:val="16"/>
              </w:rPr>
            </w:pPr>
            <w:r w:rsidRPr="00913431">
              <w:rPr>
                <w:rFonts w:cs="Arial"/>
                <w:color w:val="000000"/>
                <w:sz w:val="16"/>
                <w:szCs w:val="16"/>
              </w:rPr>
              <w:t>Mongolia/ 15  participants from China, Mongolia, Republic of Korea and Russia</w:t>
            </w:r>
          </w:p>
        </w:tc>
        <w:tc>
          <w:tcPr>
            <w:tcW w:w="4536" w:type="dxa"/>
            <w:shd w:val="clear" w:color="auto" w:fill="FFFFFF"/>
            <w:tcMar>
              <w:top w:w="110" w:type="dxa"/>
            </w:tcMar>
          </w:tcPr>
          <w:p w:rsidR="008355F0" w:rsidRPr="00913431" w:rsidRDefault="008355F0" w:rsidP="003867F8">
            <w:pPr>
              <w:spacing w:before="60" w:after="60"/>
              <w:rPr>
                <w:rFonts w:cs="Arial"/>
                <w:sz w:val="16"/>
                <w:szCs w:val="16"/>
                <w:lang w:eastAsia="ko-KR"/>
              </w:rPr>
            </w:pPr>
            <w:r w:rsidRPr="00913431">
              <w:rPr>
                <w:rFonts w:cs="Arial"/>
                <w:sz w:val="16"/>
                <w:szCs w:val="16"/>
                <w:lang w:eastAsia="ko-KR"/>
              </w:rPr>
              <w:t xml:space="preserve">To share information and experience among participating  countries regarding the development of </w:t>
            </w:r>
            <w:r>
              <w:rPr>
                <w:rFonts w:cs="Arial"/>
                <w:sz w:val="16"/>
                <w:szCs w:val="16"/>
                <w:lang w:eastAsia="ko-KR"/>
              </w:rPr>
              <w:t xml:space="preserve">the </w:t>
            </w:r>
            <w:r w:rsidRPr="00913431">
              <w:rPr>
                <w:rFonts w:cs="Arial"/>
                <w:sz w:val="16"/>
                <w:szCs w:val="16"/>
                <w:lang w:eastAsia="ko-KR"/>
              </w:rPr>
              <w:t xml:space="preserve">copyright system and seek further opportunities to enhance cooperation among those countries in the area of copyright and related rights. </w:t>
            </w:r>
          </w:p>
        </w:tc>
      </w:tr>
      <w:tr w:rsidR="008355F0" w:rsidRPr="00913431" w:rsidTr="00E92F85">
        <w:trPr>
          <w:trHeight w:val="883"/>
        </w:trPr>
        <w:tc>
          <w:tcPr>
            <w:tcW w:w="1873" w:type="dxa"/>
          </w:tcPr>
          <w:p w:rsidR="008355F0" w:rsidRPr="00913431" w:rsidRDefault="008355F0" w:rsidP="003867F8">
            <w:pPr>
              <w:autoSpaceDE w:val="0"/>
              <w:autoSpaceDN w:val="0"/>
              <w:adjustRightInd w:val="0"/>
              <w:spacing w:before="60" w:after="60"/>
              <w:rPr>
                <w:rFonts w:cs="Arial"/>
                <w:color w:val="000000"/>
                <w:sz w:val="16"/>
                <w:szCs w:val="16"/>
              </w:rPr>
            </w:pPr>
            <w:r w:rsidRPr="00913431">
              <w:rPr>
                <w:rFonts w:cs="Arial"/>
                <w:color w:val="000000"/>
                <w:sz w:val="16"/>
                <w:szCs w:val="16"/>
              </w:rPr>
              <w:t>Sub-Regional Workshop on Copyright and Related Rights</w:t>
            </w:r>
          </w:p>
        </w:tc>
        <w:tc>
          <w:tcPr>
            <w:tcW w:w="1134" w:type="dxa"/>
            <w:shd w:val="clear" w:color="auto" w:fill="auto"/>
            <w:tcMar>
              <w:top w:w="110" w:type="dxa"/>
            </w:tcMar>
          </w:tcPr>
          <w:p w:rsidR="008355F0" w:rsidRPr="00913431" w:rsidRDefault="008355F0" w:rsidP="003867F8">
            <w:pPr>
              <w:autoSpaceDE w:val="0"/>
              <w:autoSpaceDN w:val="0"/>
              <w:adjustRightInd w:val="0"/>
              <w:spacing w:before="60" w:after="60"/>
              <w:rPr>
                <w:rFonts w:cs="Arial"/>
                <w:color w:val="000000"/>
                <w:sz w:val="16"/>
                <w:szCs w:val="16"/>
              </w:rPr>
            </w:pPr>
            <w:r w:rsidRPr="00913431">
              <w:rPr>
                <w:rFonts w:cs="Arial"/>
                <w:color w:val="000000"/>
                <w:sz w:val="16"/>
                <w:szCs w:val="16"/>
              </w:rPr>
              <w:t>September 2 to 4, 2015</w:t>
            </w:r>
          </w:p>
        </w:tc>
        <w:tc>
          <w:tcPr>
            <w:tcW w:w="1985" w:type="dxa"/>
            <w:shd w:val="clear" w:color="auto" w:fill="auto"/>
            <w:tcMar>
              <w:top w:w="110" w:type="dxa"/>
            </w:tcMar>
          </w:tcPr>
          <w:p w:rsidR="008355F0" w:rsidRPr="00913431" w:rsidRDefault="008355F0" w:rsidP="003867F8">
            <w:pPr>
              <w:autoSpaceDE w:val="0"/>
              <w:autoSpaceDN w:val="0"/>
              <w:adjustRightInd w:val="0"/>
              <w:spacing w:before="60" w:after="60"/>
              <w:rPr>
                <w:rFonts w:cs="Arial"/>
                <w:color w:val="000000"/>
                <w:sz w:val="16"/>
                <w:szCs w:val="16"/>
              </w:rPr>
            </w:pPr>
            <w:r w:rsidRPr="00913431">
              <w:rPr>
                <w:rFonts w:cs="Arial"/>
                <w:color w:val="000000"/>
                <w:sz w:val="16"/>
                <w:szCs w:val="16"/>
              </w:rPr>
              <w:t>Cambodia/ 15  participants from  Cambodia, Lao People’s Democratic Republic, Myanmar, Thailand and Viet Nam</w:t>
            </w:r>
          </w:p>
        </w:tc>
        <w:tc>
          <w:tcPr>
            <w:tcW w:w="4536" w:type="dxa"/>
            <w:shd w:val="clear" w:color="auto" w:fill="FFFFFF"/>
            <w:tcMar>
              <w:top w:w="110" w:type="dxa"/>
            </w:tcMar>
          </w:tcPr>
          <w:p w:rsidR="008355F0" w:rsidRPr="00913431" w:rsidRDefault="008355F0" w:rsidP="003867F8">
            <w:pPr>
              <w:spacing w:before="60" w:after="60"/>
              <w:rPr>
                <w:rFonts w:cs="Arial"/>
                <w:sz w:val="16"/>
                <w:szCs w:val="16"/>
                <w:lang w:eastAsia="ko-KR"/>
              </w:rPr>
            </w:pPr>
            <w:r w:rsidRPr="00913431">
              <w:rPr>
                <w:rFonts w:cs="Arial"/>
                <w:sz w:val="16"/>
                <w:szCs w:val="16"/>
                <w:lang w:eastAsia="ko-KR"/>
              </w:rPr>
              <w:t xml:space="preserve">To share information and experience among participating countries regarding the development of copyright policies and systems with special focus on capacity building. </w:t>
            </w:r>
          </w:p>
        </w:tc>
      </w:tr>
      <w:tr w:rsidR="008355F0" w:rsidRPr="00913431" w:rsidTr="00E92F85">
        <w:trPr>
          <w:trHeight w:val="1330"/>
        </w:trPr>
        <w:tc>
          <w:tcPr>
            <w:tcW w:w="1873" w:type="dxa"/>
          </w:tcPr>
          <w:p w:rsidR="008355F0" w:rsidRPr="00913431" w:rsidRDefault="008355F0" w:rsidP="003867F8">
            <w:pPr>
              <w:autoSpaceDE w:val="0"/>
              <w:autoSpaceDN w:val="0"/>
              <w:adjustRightInd w:val="0"/>
              <w:spacing w:before="60" w:after="60"/>
              <w:rPr>
                <w:rFonts w:cs="Arial"/>
                <w:color w:val="000000"/>
                <w:sz w:val="16"/>
                <w:szCs w:val="16"/>
              </w:rPr>
            </w:pPr>
            <w:r w:rsidRPr="00913431">
              <w:rPr>
                <w:rFonts w:cs="Arial"/>
                <w:color w:val="000000"/>
                <w:sz w:val="16"/>
                <w:szCs w:val="16"/>
              </w:rPr>
              <w:t>Study Visit to the Korea Copyright Commission</w:t>
            </w:r>
          </w:p>
        </w:tc>
        <w:tc>
          <w:tcPr>
            <w:tcW w:w="1134" w:type="dxa"/>
            <w:shd w:val="clear" w:color="auto" w:fill="auto"/>
            <w:tcMar>
              <w:top w:w="110" w:type="dxa"/>
            </w:tcMar>
          </w:tcPr>
          <w:p w:rsidR="008355F0" w:rsidRPr="00913431" w:rsidRDefault="008355F0" w:rsidP="003867F8">
            <w:pPr>
              <w:autoSpaceDE w:val="0"/>
              <w:autoSpaceDN w:val="0"/>
              <w:adjustRightInd w:val="0"/>
              <w:spacing w:before="60" w:after="60"/>
              <w:rPr>
                <w:rFonts w:cs="Arial"/>
                <w:color w:val="000000"/>
                <w:sz w:val="16"/>
                <w:szCs w:val="16"/>
              </w:rPr>
            </w:pPr>
            <w:r w:rsidRPr="00913431">
              <w:rPr>
                <w:rFonts w:cs="Arial"/>
                <w:color w:val="000000"/>
                <w:sz w:val="16"/>
                <w:szCs w:val="16"/>
              </w:rPr>
              <w:t>November 2 to 6, 2015</w:t>
            </w:r>
          </w:p>
        </w:tc>
        <w:tc>
          <w:tcPr>
            <w:tcW w:w="1985" w:type="dxa"/>
            <w:shd w:val="clear" w:color="auto" w:fill="auto"/>
            <w:tcMar>
              <w:top w:w="110" w:type="dxa"/>
            </w:tcMar>
          </w:tcPr>
          <w:p w:rsidR="008355F0" w:rsidRPr="00913431" w:rsidRDefault="008355F0" w:rsidP="003867F8">
            <w:pPr>
              <w:autoSpaceDE w:val="0"/>
              <w:autoSpaceDN w:val="0"/>
              <w:adjustRightInd w:val="0"/>
              <w:spacing w:before="60" w:after="60"/>
              <w:rPr>
                <w:rFonts w:cs="Arial"/>
                <w:color w:val="000000"/>
                <w:sz w:val="16"/>
                <w:szCs w:val="16"/>
              </w:rPr>
            </w:pPr>
            <w:r w:rsidRPr="00913431">
              <w:rPr>
                <w:rFonts w:cs="Arial"/>
                <w:color w:val="000000"/>
                <w:sz w:val="16"/>
                <w:szCs w:val="16"/>
              </w:rPr>
              <w:t>Republic  of  Korea/ 13 participants from Cambodia, China, Cook Islands, Costa Rica, C</w:t>
            </w:r>
            <w:r w:rsidRPr="00062D72">
              <w:rPr>
                <w:rFonts w:cs="Arial"/>
                <w:color w:val="000000"/>
                <w:sz w:val="16"/>
                <w:szCs w:val="16"/>
              </w:rPr>
              <w:t>ô</w:t>
            </w:r>
            <w:r w:rsidRPr="00913431">
              <w:rPr>
                <w:rFonts w:cs="Arial"/>
                <w:color w:val="000000"/>
                <w:sz w:val="16"/>
                <w:szCs w:val="16"/>
              </w:rPr>
              <w:t xml:space="preserve">te </w:t>
            </w:r>
            <w:r>
              <w:rPr>
                <w:rFonts w:cs="Arial"/>
                <w:color w:val="000000"/>
                <w:sz w:val="16"/>
                <w:szCs w:val="16"/>
              </w:rPr>
              <w:t>d</w:t>
            </w:r>
            <w:r w:rsidRPr="00913431">
              <w:rPr>
                <w:rFonts w:cs="Arial"/>
                <w:color w:val="000000"/>
                <w:sz w:val="16"/>
                <w:szCs w:val="16"/>
              </w:rPr>
              <w:t>’</w:t>
            </w:r>
            <w:r>
              <w:rPr>
                <w:rFonts w:cs="Arial"/>
                <w:color w:val="000000"/>
                <w:sz w:val="16"/>
                <w:szCs w:val="16"/>
              </w:rPr>
              <w:t>I</w:t>
            </w:r>
            <w:r w:rsidRPr="00913431">
              <w:rPr>
                <w:rFonts w:cs="Arial"/>
                <w:color w:val="000000"/>
                <w:sz w:val="16"/>
                <w:szCs w:val="16"/>
              </w:rPr>
              <w:t>voire, El Salvador, Ghana, Honduras, India, Philippines, Tonga, Tunisia and the United Republic of Tanzania</w:t>
            </w:r>
          </w:p>
        </w:tc>
        <w:tc>
          <w:tcPr>
            <w:tcW w:w="4536" w:type="dxa"/>
            <w:shd w:val="clear" w:color="auto" w:fill="FFFFFF"/>
            <w:tcMar>
              <w:top w:w="110" w:type="dxa"/>
            </w:tcMar>
          </w:tcPr>
          <w:p w:rsidR="008355F0" w:rsidRPr="00913431" w:rsidRDefault="008355F0" w:rsidP="003867F8">
            <w:pPr>
              <w:spacing w:before="60" w:after="60"/>
              <w:rPr>
                <w:rFonts w:cs="Arial"/>
                <w:color w:val="000000"/>
                <w:sz w:val="16"/>
                <w:szCs w:val="16"/>
              </w:rPr>
            </w:pPr>
            <w:r w:rsidRPr="00913431">
              <w:rPr>
                <w:rFonts w:cs="Arial"/>
                <w:sz w:val="16"/>
                <w:szCs w:val="16"/>
                <w:lang w:eastAsia="ko-KR"/>
              </w:rPr>
              <w:t>To share the Korean experience in the administration of copyright and related rights to strengthen their capacity to formulate copyright policies, modernize legislative and administrative frameworks</w:t>
            </w:r>
            <w:r>
              <w:rPr>
                <w:rFonts w:cs="Arial"/>
                <w:sz w:val="16"/>
                <w:szCs w:val="16"/>
                <w:lang w:eastAsia="ko-KR"/>
              </w:rPr>
              <w:t>,</w:t>
            </w:r>
            <w:r w:rsidRPr="00913431">
              <w:rPr>
                <w:rFonts w:cs="Arial"/>
                <w:sz w:val="16"/>
                <w:szCs w:val="16"/>
                <w:lang w:eastAsia="ko-KR"/>
              </w:rPr>
              <w:t xml:space="preserve"> and improve the functioning of the copyright organizations in their respective countries. </w:t>
            </w:r>
          </w:p>
        </w:tc>
      </w:tr>
    </w:tbl>
    <w:p w:rsidR="008355F0" w:rsidRPr="00A61AD8" w:rsidRDefault="008355F0" w:rsidP="003867F8">
      <w:pPr>
        <w:keepNext/>
        <w:keepLines/>
        <w:rPr>
          <w:rFonts w:cs="Arial"/>
          <w:b/>
          <w:szCs w:val="16"/>
        </w:rPr>
      </w:pPr>
    </w:p>
    <w:p w:rsidR="008355F0" w:rsidRPr="00A61AD8" w:rsidRDefault="008355F0" w:rsidP="003867F8">
      <w:pPr>
        <w:keepNext/>
        <w:keepLines/>
        <w:rPr>
          <w:rFonts w:cs="Arial"/>
          <w:b/>
          <w:szCs w:val="16"/>
        </w:rPr>
      </w:pPr>
    </w:p>
    <w:p w:rsidR="008355F0" w:rsidRDefault="008355F0" w:rsidP="003867F8">
      <w:pPr>
        <w:rPr>
          <w:rFonts w:cs="Arial"/>
          <w:b/>
          <w:bCs/>
          <w:color w:val="000000"/>
          <w:szCs w:val="20"/>
        </w:rPr>
      </w:pPr>
      <w:r w:rsidRPr="00913431">
        <w:rPr>
          <w:rFonts w:cs="Arial"/>
          <w:b/>
          <w:szCs w:val="20"/>
        </w:rPr>
        <w:t>REPUBLIC OF KOREA/COPYRIGHT</w:t>
      </w:r>
      <w:r>
        <w:rPr>
          <w:rFonts w:cs="Arial"/>
          <w:b/>
          <w:szCs w:val="20"/>
        </w:rPr>
        <w:t xml:space="preserve"> </w:t>
      </w:r>
      <w:r w:rsidRPr="00BF61E5">
        <w:rPr>
          <w:rFonts w:cs="Arial"/>
          <w:b/>
          <w:bCs/>
          <w:color w:val="000000"/>
          <w:szCs w:val="20"/>
        </w:rPr>
        <w:t>Donor Contributions and Expenditure in 2015</w:t>
      </w:r>
    </w:p>
    <w:p w:rsidR="008355F0" w:rsidRPr="00BF61E5" w:rsidRDefault="008355F0" w:rsidP="003867F8">
      <w:pPr>
        <w:rPr>
          <w:rFonts w:cs="Arial"/>
          <w:b/>
          <w:bCs/>
          <w:color w:val="000000"/>
          <w:szCs w:val="20"/>
        </w:rPr>
      </w:pPr>
    </w:p>
    <w:tbl>
      <w:tblPr>
        <w:tblW w:w="9508" w:type="dxa"/>
        <w:tblInd w:w="98" w:type="dxa"/>
        <w:tblLook w:val="04A0" w:firstRow="1" w:lastRow="0" w:firstColumn="1" w:lastColumn="0" w:noHBand="0" w:noVBand="1"/>
      </w:tblPr>
      <w:tblGrid>
        <w:gridCol w:w="2040"/>
        <w:gridCol w:w="1640"/>
        <w:gridCol w:w="1860"/>
        <w:gridCol w:w="1780"/>
        <w:gridCol w:w="2188"/>
      </w:tblGrid>
      <w:tr w:rsidR="008355F0" w:rsidRPr="00BF61E5" w:rsidTr="00E92F85">
        <w:trPr>
          <w:trHeight w:val="450"/>
        </w:trPr>
        <w:tc>
          <w:tcPr>
            <w:tcW w:w="2040" w:type="dxa"/>
            <w:tcBorders>
              <w:top w:val="single" w:sz="8" w:space="0" w:color="auto"/>
              <w:left w:val="single" w:sz="8" w:space="0" w:color="auto"/>
              <w:bottom w:val="nil"/>
              <w:right w:val="single" w:sz="8" w:space="0" w:color="auto"/>
            </w:tcBorders>
            <w:shd w:val="clear" w:color="000000" w:fill="C5D9F1"/>
            <w:vAlign w:val="center"/>
            <w:hideMark/>
          </w:tcPr>
          <w:p w:rsidR="008355F0" w:rsidRPr="00BF61E5" w:rsidRDefault="008355F0" w:rsidP="003867F8">
            <w:pPr>
              <w:jc w:val="center"/>
              <w:rPr>
                <w:rFonts w:cs="Arial"/>
                <w:b/>
                <w:bCs/>
                <w:color w:val="000000"/>
                <w:sz w:val="16"/>
                <w:szCs w:val="16"/>
              </w:rPr>
            </w:pPr>
            <w:r w:rsidRPr="00BF61E5">
              <w:rPr>
                <w:rFonts w:cs="Arial"/>
                <w:b/>
                <w:bCs/>
                <w:color w:val="000000"/>
                <w:sz w:val="16"/>
                <w:szCs w:val="16"/>
              </w:rPr>
              <w:t>Balance as of December 31, 2014</w:t>
            </w:r>
          </w:p>
        </w:tc>
        <w:tc>
          <w:tcPr>
            <w:tcW w:w="1640" w:type="dxa"/>
            <w:tcBorders>
              <w:top w:val="single" w:sz="8" w:space="0" w:color="auto"/>
              <w:left w:val="nil"/>
              <w:bottom w:val="nil"/>
              <w:right w:val="single" w:sz="8" w:space="0" w:color="auto"/>
            </w:tcBorders>
            <w:shd w:val="clear" w:color="000000" w:fill="C5D9F1"/>
            <w:vAlign w:val="center"/>
            <w:hideMark/>
          </w:tcPr>
          <w:p w:rsidR="008355F0" w:rsidRPr="00BF61E5" w:rsidRDefault="008355F0" w:rsidP="003867F8">
            <w:pPr>
              <w:jc w:val="center"/>
              <w:rPr>
                <w:rFonts w:cs="Arial"/>
                <w:b/>
                <w:bCs/>
                <w:color w:val="000000"/>
                <w:sz w:val="16"/>
                <w:szCs w:val="16"/>
              </w:rPr>
            </w:pPr>
            <w:r w:rsidRPr="00BF61E5">
              <w:rPr>
                <w:rFonts w:cs="Arial"/>
                <w:b/>
                <w:bCs/>
                <w:color w:val="000000"/>
                <w:sz w:val="16"/>
                <w:szCs w:val="16"/>
              </w:rPr>
              <w:t>Income 2015</w:t>
            </w:r>
          </w:p>
        </w:tc>
        <w:tc>
          <w:tcPr>
            <w:tcW w:w="1860" w:type="dxa"/>
            <w:tcBorders>
              <w:top w:val="single" w:sz="8" w:space="0" w:color="auto"/>
              <w:left w:val="nil"/>
              <w:bottom w:val="nil"/>
              <w:right w:val="single" w:sz="8" w:space="0" w:color="auto"/>
            </w:tcBorders>
            <w:shd w:val="clear" w:color="000000" w:fill="C5D9F1"/>
            <w:vAlign w:val="center"/>
            <w:hideMark/>
          </w:tcPr>
          <w:p w:rsidR="008355F0" w:rsidRPr="00BF61E5" w:rsidRDefault="008355F0" w:rsidP="003867F8">
            <w:pPr>
              <w:jc w:val="center"/>
              <w:rPr>
                <w:rFonts w:cs="Arial"/>
                <w:b/>
                <w:bCs/>
                <w:color w:val="000000"/>
                <w:sz w:val="16"/>
                <w:szCs w:val="16"/>
              </w:rPr>
            </w:pPr>
            <w:r w:rsidRPr="00BF61E5">
              <w:rPr>
                <w:rFonts w:cs="Arial"/>
                <w:b/>
                <w:bCs/>
                <w:color w:val="000000"/>
                <w:sz w:val="16"/>
                <w:szCs w:val="16"/>
              </w:rPr>
              <w:t>Expenditure 2015</w:t>
            </w:r>
          </w:p>
        </w:tc>
        <w:tc>
          <w:tcPr>
            <w:tcW w:w="1780" w:type="dxa"/>
            <w:tcBorders>
              <w:top w:val="single" w:sz="8" w:space="0" w:color="auto"/>
              <w:left w:val="nil"/>
              <w:bottom w:val="nil"/>
              <w:right w:val="single" w:sz="8" w:space="0" w:color="auto"/>
            </w:tcBorders>
            <w:shd w:val="clear" w:color="000000" w:fill="C5D9F1"/>
            <w:vAlign w:val="center"/>
            <w:hideMark/>
          </w:tcPr>
          <w:p w:rsidR="008355F0" w:rsidRPr="00BF61E5" w:rsidRDefault="008355F0" w:rsidP="003867F8">
            <w:pPr>
              <w:jc w:val="center"/>
              <w:rPr>
                <w:rFonts w:cs="Arial"/>
                <w:b/>
                <w:bCs/>
                <w:color w:val="000000"/>
                <w:sz w:val="16"/>
                <w:szCs w:val="16"/>
              </w:rPr>
            </w:pPr>
            <w:r w:rsidRPr="00BF61E5">
              <w:rPr>
                <w:rFonts w:cs="Arial"/>
                <w:b/>
                <w:bCs/>
                <w:color w:val="000000"/>
                <w:sz w:val="16"/>
                <w:szCs w:val="16"/>
              </w:rPr>
              <w:t>Reimbursements</w:t>
            </w:r>
          </w:p>
        </w:tc>
        <w:tc>
          <w:tcPr>
            <w:tcW w:w="2188" w:type="dxa"/>
            <w:tcBorders>
              <w:top w:val="single" w:sz="8" w:space="0" w:color="auto"/>
              <w:left w:val="nil"/>
              <w:bottom w:val="nil"/>
              <w:right w:val="single" w:sz="8" w:space="0" w:color="auto"/>
            </w:tcBorders>
            <w:shd w:val="clear" w:color="000000" w:fill="C5D9F1"/>
            <w:vAlign w:val="center"/>
            <w:hideMark/>
          </w:tcPr>
          <w:p w:rsidR="008355F0" w:rsidRPr="00BF61E5" w:rsidRDefault="008355F0" w:rsidP="003867F8">
            <w:pPr>
              <w:jc w:val="center"/>
              <w:rPr>
                <w:rFonts w:cs="Arial"/>
                <w:b/>
                <w:bCs/>
                <w:color w:val="000000"/>
                <w:sz w:val="16"/>
                <w:szCs w:val="16"/>
              </w:rPr>
            </w:pPr>
            <w:r w:rsidRPr="00BF61E5">
              <w:rPr>
                <w:rFonts w:cs="Arial"/>
                <w:b/>
                <w:bCs/>
                <w:color w:val="000000"/>
                <w:sz w:val="16"/>
                <w:szCs w:val="16"/>
              </w:rPr>
              <w:t>Balance as of December</w:t>
            </w:r>
            <w:r>
              <w:rPr>
                <w:rFonts w:cs="Arial"/>
                <w:b/>
                <w:bCs/>
                <w:color w:val="000000"/>
                <w:sz w:val="16"/>
                <w:szCs w:val="16"/>
              </w:rPr>
              <w:t> </w:t>
            </w:r>
            <w:r w:rsidRPr="00BF61E5">
              <w:rPr>
                <w:rFonts w:cs="Arial"/>
                <w:b/>
                <w:bCs/>
                <w:color w:val="000000"/>
                <w:sz w:val="16"/>
                <w:szCs w:val="16"/>
              </w:rPr>
              <w:t>31, 2015</w:t>
            </w:r>
          </w:p>
        </w:tc>
      </w:tr>
      <w:tr w:rsidR="008355F0" w:rsidRPr="00BF61E5" w:rsidTr="00E92F85">
        <w:trPr>
          <w:trHeight w:val="255"/>
        </w:trPr>
        <w:tc>
          <w:tcPr>
            <w:tcW w:w="20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55F0" w:rsidRPr="00BF61E5" w:rsidRDefault="008355F0" w:rsidP="003867F8">
            <w:pPr>
              <w:jc w:val="center"/>
              <w:rPr>
                <w:rFonts w:cs="Arial"/>
                <w:color w:val="000000"/>
                <w:sz w:val="16"/>
                <w:szCs w:val="16"/>
              </w:rPr>
            </w:pPr>
            <w:r w:rsidRPr="00BF61E5">
              <w:rPr>
                <w:rFonts w:cs="Arial"/>
                <w:color w:val="000000"/>
                <w:sz w:val="16"/>
                <w:szCs w:val="16"/>
              </w:rPr>
              <w:t>579,780</w:t>
            </w:r>
          </w:p>
        </w:tc>
        <w:tc>
          <w:tcPr>
            <w:tcW w:w="1640" w:type="dxa"/>
            <w:tcBorders>
              <w:top w:val="single" w:sz="4" w:space="0" w:color="auto"/>
              <w:left w:val="nil"/>
              <w:bottom w:val="single" w:sz="4" w:space="0" w:color="auto"/>
              <w:right w:val="single" w:sz="4" w:space="0" w:color="auto"/>
            </w:tcBorders>
            <w:shd w:val="clear" w:color="auto" w:fill="auto"/>
            <w:vAlign w:val="center"/>
            <w:hideMark/>
          </w:tcPr>
          <w:p w:rsidR="008355F0" w:rsidRPr="00BF61E5" w:rsidRDefault="008355F0" w:rsidP="003867F8">
            <w:pPr>
              <w:jc w:val="center"/>
              <w:rPr>
                <w:rFonts w:cs="Arial"/>
                <w:color w:val="000000"/>
                <w:sz w:val="16"/>
                <w:szCs w:val="16"/>
              </w:rPr>
            </w:pPr>
            <w:r w:rsidRPr="00BF61E5">
              <w:rPr>
                <w:rFonts w:cs="Arial"/>
                <w:color w:val="000000"/>
                <w:sz w:val="16"/>
                <w:szCs w:val="16"/>
              </w:rPr>
              <w:t>310,768</w:t>
            </w:r>
          </w:p>
        </w:tc>
        <w:tc>
          <w:tcPr>
            <w:tcW w:w="1860" w:type="dxa"/>
            <w:tcBorders>
              <w:top w:val="single" w:sz="4" w:space="0" w:color="auto"/>
              <w:left w:val="nil"/>
              <w:bottom w:val="single" w:sz="4" w:space="0" w:color="auto"/>
              <w:right w:val="single" w:sz="4" w:space="0" w:color="auto"/>
            </w:tcBorders>
            <w:shd w:val="clear" w:color="auto" w:fill="auto"/>
            <w:vAlign w:val="center"/>
            <w:hideMark/>
          </w:tcPr>
          <w:p w:rsidR="008355F0" w:rsidRPr="00BF61E5" w:rsidRDefault="008355F0" w:rsidP="003867F8">
            <w:pPr>
              <w:jc w:val="center"/>
              <w:rPr>
                <w:rFonts w:cs="Arial"/>
                <w:color w:val="000000"/>
                <w:sz w:val="16"/>
                <w:szCs w:val="16"/>
              </w:rPr>
            </w:pPr>
            <w:r w:rsidRPr="00BF61E5">
              <w:rPr>
                <w:rFonts w:cs="Arial"/>
                <w:color w:val="000000"/>
                <w:sz w:val="16"/>
                <w:szCs w:val="16"/>
              </w:rPr>
              <w:t>360,896</w:t>
            </w:r>
          </w:p>
        </w:tc>
        <w:tc>
          <w:tcPr>
            <w:tcW w:w="1780" w:type="dxa"/>
            <w:tcBorders>
              <w:top w:val="single" w:sz="4" w:space="0" w:color="auto"/>
              <w:left w:val="nil"/>
              <w:bottom w:val="single" w:sz="4" w:space="0" w:color="auto"/>
              <w:right w:val="single" w:sz="4" w:space="0" w:color="auto"/>
            </w:tcBorders>
            <w:shd w:val="clear" w:color="auto" w:fill="auto"/>
            <w:noWrap/>
            <w:vAlign w:val="center"/>
            <w:hideMark/>
          </w:tcPr>
          <w:p w:rsidR="008355F0" w:rsidRPr="00FD0272" w:rsidRDefault="008355F0" w:rsidP="003867F8">
            <w:pPr>
              <w:jc w:val="center"/>
              <w:rPr>
                <w:rFonts w:cs="Arial"/>
                <w:color w:val="000000"/>
                <w:sz w:val="16"/>
                <w:szCs w:val="16"/>
              </w:rPr>
            </w:pPr>
            <w:r>
              <w:rPr>
                <w:rFonts w:cs="Arial"/>
                <w:color w:val="000000"/>
                <w:sz w:val="16"/>
                <w:szCs w:val="16"/>
              </w:rPr>
              <w:t>-</w:t>
            </w:r>
          </w:p>
        </w:tc>
        <w:tc>
          <w:tcPr>
            <w:tcW w:w="2188" w:type="dxa"/>
            <w:tcBorders>
              <w:top w:val="single" w:sz="4" w:space="0" w:color="auto"/>
              <w:left w:val="nil"/>
              <w:bottom w:val="single" w:sz="4" w:space="0" w:color="auto"/>
              <w:right w:val="single" w:sz="4" w:space="0" w:color="auto"/>
            </w:tcBorders>
            <w:shd w:val="clear" w:color="auto" w:fill="auto"/>
            <w:vAlign w:val="center"/>
            <w:hideMark/>
          </w:tcPr>
          <w:p w:rsidR="008355F0" w:rsidRPr="00BF61E5" w:rsidRDefault="008355F0" w:rsidP="003867F8">
            <w:pPr>
              <w:jc w:val="center"/>
              <w:rPr>
                <w:rFonts w:cs="Arial"/>
                <w:color w:val="000000"/>
                <w:sz w:val="16"/>
                <w:szCs w:val="16"/>
              </w:rPr>
            </w:pPr>
            <w:r w:rsidRPr="00BF61E5">
              <w:rPr>
                <w:rFonts w:cs="Arial"/>
                <w:color w:val="000000"/>
                <w:sz w:val="16"/>
                <w:szCs w:val="16"/>
              </w:rPr>
              <w:t>529,652</w:t>
            </w:r>
          </w:p>
        </w:tc>
      </w:tr>
    </w:tbl>
    <w:p w:rsidR="008355F0" w:rsidRDefault="008355F0"/>
    <w:p w:rsidR="008355F0" w:rsidRDefault="008355F0">
      <w:pPr>
        <w:spacing w:after="200" w:line="276" w:lineRule="auto"/>
        <w:rPr>
          <w:rFonts w:cs="Arial"/>
          <w:b/>
          <w:szCs w:val="20"/>
        </w:rPr>
      </w:pPr>
      <w:r>
        <w:rPr>
          <w:rFonts w:cs="Arial"/>
          <w:b/>
          <w:szCs w:val="20"/>
        </w:rPr>
        <w:br w:type="page"/>
      </w:r>
    </w:p>
    <w:p w:rsidR="008355F0" w:rsidRPr="00981DD1" w:rsidRDefault="008355F0" w:rsidP="003867F8">
      <w:pPr>
        <w:rPr>
          <w:rFonts w:cs="Arial"/>
          <w:b/>
          <w:szCs w:val="20"/>
        </w:rPr>
      </w:pPr>
      <w:r w:rsidRPr="00981DD1">
        <w:rPr>
          <w:rFonts w:cs="Arial"/>
          <w:b/>
          <w:szCs w:val="20"/>
        </w:rPr>
        <w:t>REPUBLIC OF KOREA (EDUCATION) - Scholarships on IP (Academy)</w:t>
      </w:r>
    </w:p>
    <w:p w:rsidR="008355F0" w:rsidRPr="00A61AD8" w:rsidRDefault="008355F0" w:rsidP="003867F8">
      <w:pPr>
        <w:rPr>
          <w:rFonts w:cs="Arial"/>
          <w:b/>
          <w:szCs w:val="16"/>
        </w:rPr>
      </w:pPr>
    </w:p>
    <w:tbl>
      <w:tblPr>
        <w:tblW w:w="9498" w:type="dxa"/>
        <w:tblInd w:w="10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43"/>
        <w:gridCol w:w="1134"/>
        <w:gridCol w:w="2333"/>
        <w:gridCol w:w="4188"/>
      </w:tblGrid>
      <w:tr w:rsidR="008355F0" w:rsidRPr="00981DD1" w:rsidTr="00E92F85">
        <w:tc>
          <w:tcPr>
            <w:tcW w:w="9498" w:type="dxa"/>
            <w:gridSpan w:val="4"/>
            <w:tcBorders>
              <w:top w:val="single" w:sz="4" w:space="0" w:color="000000"/>
              <w:bottom w:val="single" w:sz="4" w:space="0" w:color="auto"/>
            </w:tcBorders>
            <w:shd w:val="clear" w:color="auto" w:fill="C6D9F1" w:themeFill="text2" w:themeFillTint="33"/>
            <w:vAlign w:val="center"/>
          </w:tcPr>
          <w:p w:rsidR="008355F0" w:rsidRPr="00981DD1" w:rsidRDefault="008355F0" w:rsidP="003867F8">
            <w:pPr>
              <w:keepNext/>
              <w:keepLines/>
              <w:tabs>
                <w:tab w:val="left" w:pos="1740"/>
              </w:tabs>
              <w:spacing w:before="120" w:after="120"/>
              <w:ind w:left="1740" w:hanging="1740"/>
              <w:rPr>
                <w:rFonts w:cs="Arial"/>
                <w:b/>
                <w:bCs/>
                <w:sz w:val="16"/>
                <w:szCs w:val="16"/>
              </w:rPr>
            </w:pPr>
            <w:r w:rsidRPr="00981DD1">
              <w:rPr>
                <w:rFonts w:cs="Arial"/>
                <w:b/>
                <w:bCs/>
                <w:color w:val="000000"/>
                <w:sz w:val="16"/>
                <w:szCs w:val="16"/>
              </w:rPr>
              <w:t>RESULT</w:t>
            </w:r>
            <w:r w:rsidRPr="00981DD1">
              <w:rPr>
                <w:rFonts w:cs="Arial"/>
                <w:b/>
                <w:bCs/>
                <w:sz w:val="16"/>
                <w:szCs w:val="16"/>
              </w:rPr>
              <w:t>:</w:t>
            </w:r>
            <w:r w:rsidRPr="00981DD1">
              <w:rPr>
                <w:rFonts w:cs="Arial"/>
                <w:b/>
                <w:bCs/>
                <w:sz w:val="16"/>
                <w:szCs w:val="16"/>
              </w:rPr>
              <w:tab/>
            </w:r>
            <w:r w:rsidRPr="00981DD1">
              <w:rPr>
                <w:rFonts w:cs="Arial"/>
                <w:bCs/>
                <w:sz w:val="16"/>
                <w:szCs w:val="16"/>
              </w:rPr>
              <w:t>III.2. Enhanced human resource capacities able to deal with the broad range of requirements for the effective use of IP for development in developing countries, LDCs and countries with economies in transition</w:t>
            </w:r>
          </w:p>
        </w:tc>
      </w:tr>
      <w:tr w:rsidR="008355F0" w:rsidRPr="00981DD1" w:rsidTr="00E92F85">
        <w:tc>
          <w:tcPr>
            <w:tcW w:w="1843" w:type="dxa"/>
            <w:tcBorders>
              <w:top w:val="single" w:sz="4" w:space="0" w:color="auto"/>
              <w:left w:val="single" w:sz="4" w:space="0" w:color="auto"/>
              <w:bottom w:val="nil"/>
            </w:tcBorders>
            <w:vAlign w:val="center"/>
          </w:tcPr>
          <w:p w:rsidR="008355F0" w:rsidRPr="00981DD1" w:rsidRDefault="008355F0" w:rsidP="003867F8">
            <w:pPr>
              <w:keepNext/>
              <w:keepLines/>
              <w:spacing w:before="60" w:after="60"/>
              <w:rPr>
                <w:rFonts w:cs="Arial"/>
                <w:b/>
                <w:bCs/>
                <w:sz w:val="16"/>
                <w:szCs w:val="16"/>
              </w:rPr>
            </w:pPr>
            <w:r w:rsidRPr="00981DD1">
              <w:rPr>
                <w:rFonts w:cs="Arial"/>
                <w:b/>
                <w:bCs/>
                <w:sz w:val="16"/>
                <w:szCs w:val="16"/>
              </w:rPr>
              <w:t>Activity</w:t>
            </w:r>
          </w:p>
        </w:tc>
        <w:tc>
          <w:tcPr>
            <w:tcW w:w="1134" w:type="dxa"/>
            <w:tcBorders>
              <w:top w:val="single" w:sz="4" w:space="0" w:color="auto"/>
              <w:bottom w:val="nil"/>
            </w:tcBorders>
            <w:shd w:val="clear" w:color="auto" w:fill="auto"/>
            <w:tcMar>
              <w:top w:w="110" w:type="dxa"/>
            </w:tcMar>
            <w:vAlign w:val="center"/>
          </w:tcPr>
          <w:p w:rsidR="008355F0" w:rsidRPr="00981DD1" w:rsidRDefault="008355F0" w:rsidP="003867F8">
            <w:pPr>
              <w:keepNext/>
              <w:keepLines/>
              <w:spacing w:before="60" w:after="60"/>
              <w:rPr>
                <w:rFonts w:cs="Arial"/>
                <w:sz w:val="16"/>
                <w:szCs w:val="16"/>
              </w:rPr>
            </w:pPr>
            <w:r w:rsidRPr="00981DD1">
              <w:rPr>
                <w:rFonts w:cs="Arial"/>
                <w:b/>
                <w:bCs/>
                <w:sz w:val="16"/>
                <w:szCs w:val="16"/>
              </w:rPr>
              <w:t>Date</w:t>
            </w:r>
          </w:p>
        </w:tc>
        <w:tc>
          <w:tcPr>
            <w:tcW w:w="2333" w:type="dxa"/>
            <w:tcBorders>
              <w:top w:val="single" w:sz="4" w:space="0" w:color="auto"/>
              <w:bottom w:val="nil"/>
            </w:tcBorders>
            <w:shd w:val="clear" w:color="auto" w:fill="auto"/>
            <w:tcMar>
              <w:top w:w="110" w:type="dxa"/>
            </w:tcMar>
            <w:vAlign w:val="center"/>
          </w:tcPr>
          <w:p w:rsidR="008355F0" w:rsidRPr="00981DD1" w:rsidRDefault="008355F0" w:rsidP="003867F8">
            <w:pPr>
              <w:keepNext/>
              <w:keepLines/>
              <w:spacing w:before="60" w:after="60"/>
              <w:rPr>
                <w:rFonts w:cs="Arial"/>
                <w:sz w:val="16"/>
                <w:szCs w:val="16"/>
              </w:rPr>
            </w:pPr>
            <w:r w:rsidRPr="00981DD1">
              <w:rPr>
                <w:rFonts w:cs="Arial"/>
                <w:b/>
                <w:bCs/>
                <w:sz w:val="16"/>
                <w:szCs w:val="16"/>
              </w:rPr>
              <w:t>Host Country/</w:t>
            </w:r>
            <w:r w:rsidRPr="00981DD1">
              <w:rPr>
                <w:rFonts w:cs="Arial"/>
                <w:b/>
                <w:bCs/>
                <w:sz w:val="16"/>
                <w:szCs w:val="16"/>
              </w:rPr>
              <w:br/>
              <w:t>Recipients</w:t>
            </w:r>
          </w:p>
        </w:tc>
        <w:tc>
          <w:tcPr>
            <w:tcW w:w="4188" w:type="dxa"/>
            <w:tcBorders>
              <w:top w:val="single" w:sz="4" w:space="0" w:color="auto"/>
              <w:bottom w:val="nil"/>
              <w:right w:val="single" w:sz="4" w:space="0" w:color="auto"/>
            </w:tcBorders>
            <w:shd w:val="clear" w:color="auto" w:fill="FFFFFF"/>
            <w:tcMar>
              <w:top w:w="110" w:type="dxa"/>
            </w:tcMar>
            <w:vAlign w:val="center"/>
          </w:tcPr>
          <w:p w:rsidR="008355F0" w:rsidRPr="00981DD1" w:rsidRDefault="008355F0" w:rsidP="003867F8">
            <w:pPr>
              <w:keepNext/>
              <w:keepLines/>
              <w:spacing w:before="60" w:after="60"/>
              <w:rPr>
                <w:rFonts w:cs="Arial"/>
                <w:sz w:val="16"/>
                <w:szCs w:val="16"/>
              </w:rPr>
            </w:pPr>
            <w:r w:rsidRPr="00981DD1">
              <w:rPr>
                <w:rFonts w:cs="Arial"/>
                <w:b/>
                <w:bCs/>
                <w:sz w:val="16"/>
                <w:szCs w:val="16"/>
              </w:rPr>
              <w:t>Purpose(s)/Description(s)</w:t>
            </w:r>
          </w:p>
        </w:tc>
      </w:tr>
      <w:tr w:rsidR="008355F0" w:rsidRPr="00981DD1" w:rsidTr="00E92F85">
        <w:trPr>
          <w:trHeight w:val="495"/>
        </w:trPr>
        <w:tc>
          <w:tcPr>
            <w:tcW w:w="1843" w:type="dxa"/>
            <w:tcBorders>
              <w:top w:val="nil"/>
              <w:left w:val="single" w:sz="4" w:space="0" w:color="auto"/>
              <w:bottom w:val="nil"/>
            </w:tcBorders>
          </w:tcPr>
          <w:p w:rsidR="008355F0" w:rsidRPr="00981DD1" w:rsidRDefault="008355F0" w:rsidP="003867F8">
            <w:pPr>
              <w:autoSpaceDE w:val="0"/>
              <w:autoSpaceDN w:val="0"/>
              <w:adjustRightInd w:val="0"/>
              <w:spacing w:before="60" w:after="60"/>
              <w:rPr>
                <w:rFonts w:cs="Arial"/>
                <w:color w:val="000000"/>
                <w:sz w:val="16"/>
                <w:szCs w:val="16"/>
              </w:rPr>
            </w:pPr>
            <w:r w:rsidRPr="00981DD1">
              <w:rPr>
                <w:rFonts w:cs="Arial"/>
                <w:color w:val="000000"/>
                <w:sz w:val="16"/>
                <w:szCs w:val="16"/>
              </w:rPr>
              <w:t>Scholarships for the WIPO Academy – Queensland University of Technology (WIPO-QUT) Master of Laws in IP (MIP) Program</w:t>
            </w:r>
          </w:p>
        </w:tc>
        <w:tc>
          <w:tcPr>
            <w:tcW w:w="1134" w:type="dxa"/>
            <w:tcBorders>
              <w:top w:val="nil"/>
              <w:bottom w:val="nil"/>
            </w:tcBorders>
          </w:tcPr>
          <w:p w:rsidR="008355F0" w:rsidRPr="00981DD1" w:rsidRDefault="008355F0" w:rsidP="003867F8">
            <w:pPr>
              <w:autoSpaceDE w:val="0"/>
              <w:autoSpaceDN w:val="0"/>
              <w:adjustRightInd w:val="0"/>
              <w:spacing w:before="60" w:after="60"/>
              <w:rPr>
                <w:rFonts w:cs="Arial"/>
                <w:color w:val="000000"/>
                <w:sz w:val="16"/>
                <w:szCs w:val="16"/>
              </w:rPr>
            </w:pPr>
            <w:r w:rsidRPr="00981DD1">
              <w:rPr>
                <w:rFonts w:cs="Arial"/>
                <w:color w:val="000000"/>
                <w:sz w:val="16"/>
                <w:szCs w:val="16"/>
              </w:rPr>
              <w:t>February 3 to October 30, 2015</w:t>
            </w:r>
          </w:p>
        </w:tc>
        <w:tc>
          <w:tcPr>
            <w:tcW w:w="2333" w:type="dxa"/>
            <w:tcBorders>
              <w:top w:val="nil"/>
              <w:bottom w:val="nil"/>
            </w:tcBorders>
          </w:tcPr>
          <w:p w:rsidR="008355F0" w:rsidRPr="00981DD1" w:rsidRDefault="008355F0" w:rsidP="003867F8">
            <w:pPr>
              <w:autoSpaceDE w:val="0"/>
              <w:autoSpaceDN w:val="0"/>
              <w:adjustRightInd w:val="0"/>
              <w:spacing w:before="60" w:after="60"/>
              <w:rPr>
                <w:rFonts w:cs="Arial"/>
                <w:color w:val="000000"/>
                <w:sz w:val="16"/>
                <w:szCs w:val="16"/>
              </w:rPr>
            </w:pPr>
            <w:r w:rsidRPr="00981DD1">
              <w:rPr>
                <w:rFonts w:cs="Arial"/>
                <w:color w:val="000000"/>
                <w:sz w:val="16"/>
                <w:szCs w:val="16"/>
              </w:rPr>
              <w:t>Australia/ 6 students from Bangladesh (1) and Republic of Korea (5)</w:t>
            </w:r>
          </w:p>
        </w:tc>
        <w:tc>
          <w:tcPr>
            <w:tcW w:w="4188" w:type="dxa"/>
            <w:tcBorders>
              <w:top w:val="nil"/>
              <w:bottom w:val="nil"/>
              <w:right w:val="single" w:sz="4" w:space="0" w:color="auto"/>
            </w:tcBorders>
          </w:tcPr>
          <w:p w:rsidR="008355F0" w:rsidRPr="00981DD1" w:rsidRDefault="008355F0" w:rsidP="003867F8">
            <w:pPr>
              <w:autoSpaceDE w:val="0"/>
              <w:autoSpaceDN w:val="0"/>
              <w:adjustRightInd w:val="0"/>
              <w:spacing w:before="60" w:after="60"/>
              <w:rPr>
                <w:rFonts w:cs="Arial"/>
                <w:color w:val="000000"/>
                <w:sz w:val="16"/>
                <w:szCs w:val="16"/>
              </w:rPr>
            </w:pPr>
            <w:r w:rsidRPr="00981DD1">
              <w:rPr>
                <w:rFonts w:cs="Arial"/>
                <w:color w:val="000000"/>
                <w:sz w:val="16"/>
                <w:szCs w:val="16"/>
              </w:rPr>
              <w:t>To provide higher education for government officials and other IP experts in order to enhance their capacity for using IP and administering IP rights.</w:t>
            </w:r>
          </w:p>
        </w:tc>
      </w:tr>
      <w:tr w:rsidR="008355F0" w:rsidRPr="00981DD1" w:rsidTr="00E92F85">
        <w:trPr>
          <w:trHeight w:val="495"/>
        </w:trPr>
        <w:tc>
          <w:tcPr>
            <w:tcW w:w="1843" w:type="dxa"/>
            <w:tcBorders>
              <w:top w:val="nil"/>
              <w:left w:val="single" w:sz="4" w:space="0" w:color="auto"/>
              <w:bottom w:val="nil"/>
            </w:tcBorders>
          </w:tcPr>
          <w:p w:rsidR="008355F0" w:rsidRPr="00981DD1" w:rsidRDefault="008355F0" w:rsidP="003867F8">
            <w:pPr>
              <w:autoSpaceDE w:val="0"/>
              <w:autoSpaceDN w:val="0"/>
              <w:adjustRightInd w:val="0"/>
              <w:spacing w:before="60" w:after="60"/>
              <w:rPr>
                <w:rFonts w:cs="Arial"/>
                <w:color w:val="000000"/>
                <w:sz w:val="16"/>
                <w:szCs w:val="16"/>
              </w:rPr>
            </w:pPr>
            <w:r w:rsidRPr="00981DD1">
              <w:rPr>
                <w:rFonts w:cs="Arial"/>
                <w:color w:val="000000"/>
                <w:sz w:val="16"/>
                <w:szCs w:val="16"/>
              </w:rPr>
              <w:t>Scholarships for the WIPO Academy-Seoul National University (WIPO-SNU) MIP Program</w:t>
            </w:r>
          </w:p>
        </w:tc>
        <w:tc>
          <w:tcPr>
            <w:tcW w:w="1134" w:type="dxa"/>
            <w:tcBorders>
              <w:top w:val="nil"/>
              <w:bottom w:val="nil"/>
            </w:tcBorders>
          </w:tcPr>
          <w:p w:rsidR="008355F0" w:rsidRPr="00981DD1" w:rsidRDefault="008355F0" w:rsidP="003867F8">
            <w:pPr>
              <w:autoSpaceDE w:val="0"/>
              <w:autoSpaceDN w:val="0"/>
              <w:adjustRightInd w:val="0"/>
              <w:spacing w:before="60" w:after="60"/>
              <w:rPr>
                <w:rFonts w:cs="Arial"/>
                <w:color w:val="000000"/>
                <w:sz w:val="16"/>
                <w:szCs w:val="16"/>
              </w:rPr>
            </w:pPr>
            <w:r w:rsidRPr="00981DD1">
              <w:rPr>
                <w:rFonts w:cs="Arial"/>
                <w:color w:val="000000"/>
                <w:sz w:val="16"/>
                <w:szCs w:val="16"/>
              </w:rPr>
              <w:t>March 2015 to December 2016</w:t>
            </w:r>
          </w:p>
        </w:tc>
        <w:tc>
          <w:tcPr>
            <w:tcW w:w="2333" w:type="dxa"/>
            <w:tcBorders>
              <w:top w:val="nil"/>
              <w:bottom w:val="nil"/>
            </w:tcBorders>
          </w:tcPr>
          <w:p w:rsidR="008355F0" w:rsidRPr="00981DD1" w:rsidRDefault="008355F0" w:rsidP="003867F8">
            <w:pPr>
              <w:autoSpaceDE w:val="0"/>
              <w:autoSpaceDN w:val="0"/>
              <w:adjustRightInd w:val="0"/>
              <w:spacing w:before="60" w:after="60"/>
              <w:rPr>
                <w:rFonts w:cs="Arial"/>
                <w:color w:val="000000"/>
                <w:sz w:val="16"/>
                <w:szCs w:val="16"/>
              </w:rPr>
            </w:pPr>
            <w:r w:rsidRPr="00981DD1">
              <w:rPr>
                <w:rFonts w:cs="Arial"/>
                <w:color w:val="000000"/>
                <w:sz w:val="16"/>
                <w:szCs w:val="16"/>
              </w:rPr>
              <w:t>Republic of Korea/ 2 students from India (1) and Pakistan</w:t>
            </w:r>
            <w:r>
              <w:rPr>
                <w:rFonts w:cs="Arial"/>
                <w:color w:val="000000"/>
                <w:sz w:val="16"/>
                <w:szCs w:val="16"/>
              </w:rPr>
              <w:t> </w:t>
            </w:r>
            <w:r w:rsidRPr="00981DD1">
              <w:rPr>
                <w:rFonts w:cs="Arial"/>
                <w:color w:val="000000"/>
                <w:sz w:val="16"/>
                <w:szCs w:val="16"/>
              </w:rPr>
              <w:t xml:space="preserve">(1) </w:t>
            </w:r>
          </w:p>
        </w:tc>
        <w:tc>
          <w:tcPr>
            <w:tcW w:w="4188" w:type="dxa"/>
            <w:tcBorders>
              <w:top w:val="nil"/>
              <w:bottom w:val="nil"/>
              <w:right w:val="single" w:sz="4" w:space="0" w:color="auto"/>
            </w:tcBorders>
          </w:tcPr>
          <w:p w:rsidR="008355F0" w:rsidRPr="00981DD1" w:rsidRDefault="008355F0" w:rsidP="003867F8">
            <w:pPr>
              <w:autoSpaceDE w:val="0"/>
              <w:autoSpaceDN w:val="0"/>
              <w:adjustRightInd w:val="0"/>
              <w:spacing w:before="60" w:after="60"/>
              <w:rPr>
                <w:rFonts w:cs="Arial"/>
                <w:color w:val="000000"/>
                <w:sz w:val="16"/>
                <w:szCs w:val="16"/>
              </w:rPr>
            </w:pPr>
            <w:r w:rsidRPr="00981DD1">
              <w:rPr>
                <w:rFonts w:cs="Arial"/>
                <w:color w:val="000000"/>
                <w:sz w:val="16"/>
                <w:szCs w:val="16"/>
              </w:rPr>
              <w:t>To provide higher education for government officials and other IP experts in order to enhance their capacity for using IP and administering IP rights.</w:t>
            </w:r>
          </w:p>
        </w:tc>
      </w:tr>
      <w:tr w:rsidR="008355F0" w:rsidRPr="00981DD1" w:rsidTr="00E92F85">
        <w:trPr>
          <w:trHeight w:val="495"/>
        </w:trPr>
        <w:tc>
          <w:tcPr>
            <w:tcW w:w="1843" w:type="dxa"/>
            <w:tcBorders>
              <w:top w:val="nil"/>
              <w:left w:val="single" w:sz="4" w:space="0" w:color="auto"/>
              <w:bottom w:val="single" w:sz="4" w:space="0" w:color="auto"/>
            </w:tcBorders>
          </w:tcPr>
          <w:p w:rsidR="008355F0" w:rsidRPr="00981DD1" w:rsidRDefault="008355F0" w:rsidP="003867F8">
            <w:pPr>
              <w:autoSpaceDE w:val="0"/>
              <w:autoSpaceDN w:val="0"/>
              <w:adjustRightInd w:val="0"/>
              <w:spacing w:before="60" w:after="60"/>
              <w:rPr>
                <w:rFonts w:cs="Arial"/>
                <w:color w:val="000000"/>
                <w:sz w:val="16"/>
                <w:szCs w:val="16"/>
              </w:rPr>
            </w:pPr>
            <w:r w:rsidRPr="00981DD1">
              <w:rPr>
                <w:rFonts w:cs="Arial"/>
                <w:color w:val="000000"/>
                <w:sz w:val="16"/>
                <w:szCs w:val="16"/>
              </w:rPr>
              <w:t>Scholarships for the WIPO-Korea Summer School</w:t>
            </w:r>
          </w:p>
        </w:tc>
        <w:tc>
          <w:tcPr>
            <w:tcW w:w="1134" w:type="dxa"/>
            <w:tcBorders>
              <w:top w:val="nil"/>
              <w:bottom w:val="single" w:sz="4" w:space="0" w:color="auto"/>
            </w:tcBorders>
          </w:tcPr>
          <w:p w:rsidR="008355F0" w:rsidRPr="00981DD1" w:rsidRDefault="008355F0" w:rsidP="003867F8">
            <w:pPr>
              <w:autoSpaceDE w:val="0"/>
              <w:autoSpaceDN w:val="0"/>
              <w:adjustRightInd w:val="0"/>
              <w:spacing w:before="60" w:after="60"/>
              <w:rPr>
                <w:rFonts w:cs="Arial"/>
                <w:color w:val="000000"/>
                <w:sz w:val="16"/>
                <w:szCs w:val="16"/>
              </w:rPr>
            </w:pPr>
            <w:r w:rsidRPr="00981DD1">
              <w:rPr>
                <w:rFonts w:cs="Arial"/>
                <w:color w:val="000000"/>
                <w:sz w:val="16"/>
                <w:szCs w:val="16"/>
              </w:rPr>
              <w:t>July 13 to 24, 2015</w:t>
            </w:r>
          </w:p>
        </w:tc>
        <w:tc>
          <w:tcPr>
            <w:tcW w:w="2333" w:type="dxa"/>
            <w:tcBorders>
              <w:top w:val="nil"/>
              <w:bottom w:val="single" w:sz="4" w:space="0" w:color="auto"/>
            </w:tcBorders>
          </w:tcPr>
          <w:p w:rsidR="008355F0" w:rsidRPr="00981DD1" w:rsidRDefault="008355F0" w:rsidP="003867F8">
            <w:pPr>
              <w:autoSpaceDE w:val="0"/>
              <w:autoSpaceDN w:val="0"/>
              <w:adjustRightInd w:val="0"/>
              <w:spacing w:before="60" w:after="60"/>
              <w:ind w:right="-108"/>
              <w:rPr>
                <w:rFonts w:cs="Arial"/>
                <w:color w:val="000000"/>
                <w:sz w:val="16"/>
                <w:szCs w:val="16"/>
              </w:rPr>
            </w:pPr>
            <w:r w:rsidRPr="00981DD1">
              <w:rPr>
                <w:rFonts w:cs="Arial"/>
                <w:color w:val="000000"/>
                <w:sz w:val="16"/>
                <w:szCs w:val="16"/>
              </w:rPr>
              <w:t>Republic of Korea/</w:t>
            </w:r>
            <w:r>
              <w:rPr>
                <w:rFonts w:cs="Arial"/>
                <w:color w:val="000000"/>
                <w:sz w:val="16"/>
                <w:szCs w:val="16"/>
              </w:rPr>
              <w:t xml:space="preserve"> </w:t>
            </w:r>
            <w:r w:rsidRPr="00981DD1">
              <w:rPr>
                <w:rFonts w:cs="Arial"/>
                <w:color w:val="000000"/>
                <w:sz w:val="16"/>
                <w:szCs w:val="16"/>
              </w:rPr>
              <w:t>6 participants from Brazil, Bangladesh, India, Mongolia, Romania and Zimbabwe</w:t>
            </w:r>
          </w:p>
        </w:tc>
        <w:tc>
          <w:tcPr>
            <w:tcW w:w="4188" w:type="dxa"/>
            <w:tcBorders>
              <w:top w:val="nil"/>
              <w:bottom w:val="single" w:sz="4" w:space="0" w:color="auto"/>
              <w:right w:val="single" w:sz="4" w:space="0" w:color="auto"/>
            </w:tcBorders>
          </w:tcPr>
          <w:p w:rsidR="008355F0" w:rsidRPr="00981DD1" w:rsidRDefault="008355F0" w:rsidP="003867F8">
            <w:pPr>
              <w:autoSpaceDE w:val="0"/>
              <w:autoSpaceDN w:val="0"/>
              <w:adjustRightInd w:val="0"/>
              <w:spacing w:before="60" w:after="60"/>
              <w:rPr>
                <w:rFonts w:cs="Arial"/>
                <w:color w:val="000000"/>
                <w:sz w:val="16"/>
                <w:szCs w:val="16"/>
              </w:rPr>
            </w:pPr>
            <w:r w:rsidRPr="00981DD1">
              <w:rPr>
                <w:rFonts w:cs="Arial"/>
                <w:color w:val="000000"/>
                <w:sz w:val="16"/>
                <w:szCs w:val="16"/>
              </w:rPr>
              <w:t>To:  (i) build the capacity of senior students and young professionals through deeper knowledge of IP</w:t>
            </w:r>
            <w:r>
              <w:rPr>
                <w:rFonts w:cs="Arial"/>
                <w:color w:val="000000"/>
                <w:sz w:val="16"/>
                <w:szCs w:val="16"/>
              </w:rPr>
              <w:t> </w:t>
            </w:r>
            <w:r w:rsidRPr="00981DD1">
              <w:rPr>
                <w:rFonts w:cs="Arial"/>
                <w:color w:val="000000"/>
                <w:sz w:val="16"/>
                <w:szCs w:val="16"/>
              </w:rPr>
              <w:t xml:space="preserve"> rights-related fields</w:t>
            </w:r>
            <w:r>
              <w:rPr>
                <w:rFonts w:cs="Arial"/>
                <w:color w:val="000000"/>
                <w:sz w:val="16"/>
                <w:szCs w:val="16"/>
              </w:rPr>
              <w:t>;</w:t>
            </w:r>
            <w:r w:rsidRPr="00981DD1">
              <w:rPr>
                <w:rFonts w:cs="Arial"/>
                <w:color w:val="000000"/>
                <w:sz w:val="16"/>
                <w:szCs w:val="16"/>
              </w:rPr>
              <w:t xml:space="preserve"> </w:t>
            </w:r>
            <w:r>
              <w:rPr>
                <w:rFonts w:cs="Arial"/>
                <w:color w:val="000000"/>
                <w:sz w:val="16"/>
                <w:szCs w:val="16"/>
              </w:rPr>
              <w:t xml:space="preserve"> </w:t>
            </w:r>
            <w:r w:rsidRPr="00981DD1">
              <w:rPr>
                <w:rFonts w:cs="Arial"/>
                <w:color w:val="000000"/>
                <w:sz w:val="16"/>
                <w:szCs w:val="16"/>
              </w:rPr>
              <w:t>and (ii) increase their understanding on the roles and functions of the IP system.</w:t>
            </w:r>
          </w:p>
        </w:tc>
      </w:tr>
    </w:tbl>
    <w:p w:rsidR="008355F0" w:rsidRPr="00A61AD8" w:rsidRDefault="008355F0" w:rsidP="003867F8">
      <w:pPr>
        <w:rPr>
          <w:rFonts w:cs="Arial"/>
          <w:b/>
          <w:szCs w:val="16"/>
        </w:rPr>
      </w:pPr>
    </w:p>
    <w:p w:rsidR="008355F0" w:rsidRPr="00A61AD8" w:rsidRDefault="008355F0" w:rsidP="003867F8">
      <w:pPr>
        <w:rPr>
          <w:rFonts w:cs="Arial"/>
          <w:b/>
          <w:szCs w:val="16"/>
        </w:rPr>
      </w:pPr>
    </w:p>
    <w:p w:rsidR="008355F0" w:rsidRDefault="008355F0" w:rsidP="003867F8">
      <w:pPr>
        <w:rPr>
          <w:rFonts w:cs="Arial"/>
          <w:b/>
          <w:bCs/>
          <w:color w:val="000000"/>
          <w:szCs w:val="20"/>
        </w:rPr>
      </w:pPr>
      <w:r w:rsidRPr="00981DD1">
        <w:rPr>
          <w:rFonts w:cs="Arial"/>
          <w:b/>
          <w:szCs w:val="20"/>
        </w:rPr>
        <w:t xml:space="preserve">REPUBLIC OF KOREA (EDUCATION) - Scholarships on IP (Academy) </w:t>
      </w:r>
      <w:r w:rsidRPr="00981DD1">
        <w:rPr>
          <w:rFonts w:cs="Arial"/>
          <w:b/>
          <w:bCs/>
          <w:color w:val="000000"/>
          <w:szCs w:val="20"/>
        </w:rPr>
        <w:t>Donor Contributions and Expenditure in 2015</w:t>
      </w:r>
    </w:p>
    <w:p w:rsidR="008355F0" w:rsidRPr="00981DD1" w:rsidRDefault="008355F0" w:rsidP="003867F8">
      <w:pPr>
        <w:rPr>
          <w:rFonts w:cs="Arial"/>
          <w:b/>
          <w:bCs/>
          <w:color w:val="000000"/>
          <w:szCs w:val="20"/>
        </w:rPr>
      </w:pPr>
    </w:p>
    <w:tbl>
      <w:tblPr>
        <w:tblW w:w="9508" w:type="dxa"/>
        <w:tblInd w:w="98" w:type="dxa"/>
        <w:tblLook w:val="04A0" w:firstRow="1" w:lastRow="0" w:firstColumn="1" w:lastColumn="0" w:noHBand="0" w:noVBand="1"/>
      </w:tblPr>
      <w:tblGrid>
        <w:gridCol w:w="2040"/>
        <w:gridCol w:w="1640"/>
        <w:gridCol w:w="1860"/>
        <w:gridCol w:w="1780"/>
        <w:gridCol w:w="2188"/>
      </w:tblGrid>
      <w:tr w:rsidR="008355F0" w:rsidRPr="00981DD1" w:rsidTr="00E92F85">
        <w:trPr>
          <w:trHeight w:val="450"/>
        </w:trPr>
        <w:tc>
          <w:tcPr>
            <w:tcW w:w="2040" w:type="dxa"/>
            <w:tcBorders>
              <w:top w:val="single" w:sz="8" w:space="0" w:color="auto"/>
              <w:left w:val="single" w:sz="8" w:space="0" w:color="auto"/>
              <w:bottom w:val="nil"/>
              <w:right w:val="single" w:sz="8" w:space="0" w:color="auto"/>
            </w:tcBorders>
            <w:shd w:val="clear" w:color="auto" w:fill="C6D9F1" w:themeFill="text2" w:themeFillTint="33"/>
            <w:vAlign w:val="center"/>
            <w:hideMark/>
          </w:tcPr>
          <w:p w:rsidR="008355F0" w:rsidRPr="00981DD1" w:rsidRDefault="008355F0" w:rsidP="003867F8">
            <w:pPr>
              <w:jc w:val="center"/>
              <w:rPr>
                <w:rFonts w:cs="Arial"/>
                <w:b/>
                <w:bCs/>
                <w:color w:val="000000"/>
                <w:sz w:val="16"/>
                <w:szCs w:val="16"/>
              </w:rPr>
            </w:pPr>
            <w:r w:rsidRPr="00981DD1">
              <w:rPr>
                <w:rFonts w:cs="Arial"/>
                <w:b/>
                <w:bCs/>
                <w:color w:val="000000"/>
                <w:sz w:val="16"/>
                <w:szCs w:val="16"/>
              </w:rPr>
              <w:t>Balance as of December 31, 2014</w:t>
            </w:r>
          </w:p>
        </w:tc>
        <w:tc>
          <w:tcPr>
            <w:tcW w:w="1640" w:type="dxa"/>
            <w:tcBorders>
              <w:top w:val="single" w:sz="8" w:space="0" w:color="auto"/>
              <w:left w:val="nil"/>
              <w:bottom w:val="nil"/>
              <w:right w:val="single" w:sz="8" w:space="0" w:color="auto"/>
            </w:tcBorders>
            <w:shd w:val="clear" w:color="auto" w:fill="C6D9F1" w:themeFill="text2" w:themeFillTint="33"/>
            <w:vAlign w:val="center"/>
            <w:hideMark/>
          </w:tcPr>
          <w:p w:rsidR="008355F0" w:rsidRPr="00981DD1" w:rsidRDefault="008355F0" w:rsidP="003867F8">
            <w:pPr>
              <w:jc w:val="center"/>
              <w:rPr>
                <w:rFonts w:cs="Arial"/>
                <w:b/>
                <w:bCs/>
                <w:color w:val="000000"/>
                <w:sz w:val="16"/>
                <w:szCs w:val="16"/>
              </w:rPr>
            </w:pPr>
            <w:r w:rsidRPr="00981DD1">
              <w:rPr>
                <w:rFonts w:cs="Arial"/>
                <w:b/>
                <w:bCs/>
                <w:color w:val="000000"/>
                <w:sz w:val="16"/>
                <w:szCs w:val="16"/>
              </w:rPr>
              <w:t>Income 2015</w:t>
            </w:r>
          </w:p>
        </w:tc>
        <w:tc>
          <w:tcPr>
            <w:tcW w:w="1860" w:type="dxa"/>
            <w:tcBorders>
              <w:top w:val="single" w:sz="8" w:space="0" w:color="auto"/>
              <w:left w:val="nil"/>
              <w:bottom w:val="nil"/>
              <w:right w:val="single" w:sz="8" w:space="0" w:color="auto"/>
            </w:tcBorders>
            <w:shd w:val="clear" w:color="auto" w:fill="C6D9F1" w:themeFill="text2" w:themeFillTint="33"/>
            <w:vAlign w:val="center"/>
            <w:hideMark/>
          </w:tcPr>
          <w:p w:rsidR="008355F0" w:rsidRPr="00981DD1" w:rsidRDefault="008355F0" w:rsidP="003867F8">
            <w:pPr>
              <w:jc w:val="center"/>
              <w:rPr>
                <w:rFonts w:cs="Arial"/>
                <w:b/>
                <w:bCs/>
                <w:color w:val="000000"/>
                <w:sz w:val="16"/>
                <w:szCs w:val="16"/>
              </w:rPr>
            </w:pPr>
            <w:r w:rsidRPr="00981DD1">
              <w:rPr>
                <w:rFonts w:cs="Arial"/>
                <w:b/>
                <w:bCs/>
                <w:color w:val="000000"/>
                <w:sz w:val="16"/>
                <w:szCs w:val="16"/>
              </w:rPr>
              <w:t>Expenditure 2015</w:t>
            </w:r>
          </w:p>
        </w:tc>
        <w:tc>
          <w:tcPr>
            <w:tcW w:w="1780" w:type="dxa"/>
            <w:tcBorders>
              <w:top w:val="single" w:sz="8" w:space="0" w:color="auto"/>
              <w:left w:val="nil"/>
              <w:bottom w:val="nil"/>
              <w:right w:val="single" w:sz="8" w:space="0" w:color="auto"/>
            </w:tcBorders>
            <w:shd w:val="clear" w:color="auto" w:fill="C6D9F1" w:themeFill="text2" w:themeFillTint="33"/>
            <w:vAlign w:val="center"/>
            <w:hideMark/>
          </w:tcPr>
          <w:p w:rsidR="008355F0" w:rsidRPr="00981DD1" w:rsidRDefault="008355F0" w:rsidP="003867F8">
            <w:pPr>
              <w:jc w:val="center"/>
              <w:rPr>
                <w:rFonts w:cs="Arial"/>
                <w:b/>
                <w:bCs/>
                <w:color w:val="000000"/>
                <w:sz w:val="16"/>
                <w:szCs w:val="16"/>
              </w:rPr>
            </w:pPr>
            <w:r w:rsidRPr="00981DD1">
              <w:rPr>
                <w:rFonts w:cs="Arial"/>
                <w:b/>
                <w:bCs/>
                <w:color w:val="000000"/>
                <w:sz w:val="16"/>
                <w:szCs w:val="16"/>
              </w:rPr>
              <w:t>Reimbursements</w:t>
            </w:r>
          </w:p>
        </w:tc>
        <w:tc>
          <w:tcPr>
            <w:tcW w:w="2188" w:type="dxa"/>
            <w:tcBorders>
              <w:top w:val="single" w:sz="8" w:space="0" w:color="auto"/>
              <w:left w:val="nil"/>
              <w:bottom w:val="nil"/>
              <w:right w:val="single" w:sz="8" w:space="0" w:color="auto"/>
            </w:tcBorders>
            <w:shd w:val="clear" w:color="auto" w:fill="C6D9F1" w:themeFill="text2" w:themeFillTint="33"/>
            <w:vAlign w:val="center"/>
            <w:hideMark/>
          </w:tcPr>
          <w:p w:rsidR="008355F0" w:rsidRPr="00981DD1" w:rsidRDefault="008355F0" w:rsidP="003867F8">
            <w:pPr>
              <w:jc w:val="center"/>
              <w:rPr>
                <w:rFonts w:cs="Arial"/>
                <w:b/>
                <w:bCs/>
                <w:color w:val="000000"/>
                <w:sz w:val="16"/>
                <w:szCs w:val="16"/>
              </w:rPr>
            </w:pPr>
            <w:r w:rsidRPr="00981DD1">
              <w:rPr>
                <w:rFonts w:cs="Arial"/>
                <w:b/>
                <w:bCs/>
                <w:color w:val="000000"/>
                <w:sz w:val="16"/>
                <w:szCs w:val="16"/>
              </w:rPr>
              <w:t>Balance as of December</w:t>
            </w:r>
            <w:r>
              <w:rPr>
                <w:rFonts w:cs="Arial"/>
                <w:b/>
                <w:bCs/>
                <w:color w:val="000000"/>
                <w:sz w:val="16"/>
                <w:szCs w:val="16"/>
              </w:rPr>
              <w:t> </w:t>
            </w:r>
            <w:r w:rsidRPr="00981DD1">
              <w:rPr>
                <w:rFonts w:cs="Arial"/>
                <w:b/>
                <w:bCs/>
                <w:color w:val="000000"/>
                <w:sz w:val="16"/>
                <w:szCs w:val="16"/>
              </w:rPr>
              <w:t>31, 2015</w:t>
            </w:r>
          </w:p>
        </w:tc>
      </w:tr>
      <w:tr w:rsidR="008355F0" w:rsidRPr="00981DD1" w:rsidTr="00E92F85">
        <w:trPr>
          <w:trHeight w:val="255"/>
        </w:trPr>
        <w:tc>
          <w:tcPr>
            <w:tcW w:w="20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55F0" w:rsidRPr="00981DD1" w:rsidRDefault="008355F0" w:rsidP="003867F8">
            <w:pPr>
              <w:jc w:val="center"/>
              <w:rPr>
                <w:rFonts w:cs="Arial"/>
                <w:color w:val="000000"/>
                <w:sz w:val="16"/>
                <w:szCs w:val="16"/>
              </w:rPr>
            </w:pPr>
            <w:r w:rsidRPr="00981DD1">
              <w:rPr>
                <w:rFonts w:cs="Arial"/>
                <w:color w:val="000000"/>
                <w:sz w:val="16"/>
                <w:szCs w:val="16"/>
              </w:rPr>
              <w:t>276,726</w:t>
            </w:r>
          </w:p>
        </w:tc>
        <w:tc>
          <w:tcPr>
            <w:tcW w:w="1640" w:type="dxa"/>
            <w:tcBorders>
              <w:top w:val="single" w:sz="4" w:space="0" w:color="auto"/>
              <w:left w:val="nil"/>
              <w:bottom w:val="single" w:sz="4" w:space="0" w:color="auto"/>
              <w:right w:val="single" w:sz="4" w:space="0" w:color="auto"/>
            </w:tcBorders>
            <w:shd w:val="clear" w:color="auto" w:fill="auto"/>
            <w:vAlign w:val="center"/>
            <w:hideMark/>
          </w:tcPr>
          <w:p w:rsidR="008355F0" w:rsidRPr="00981DD1" w:rsidRDefault="008355F0" w:rsidP="003867F8">
            <w:pPr>
              <w:jc w:val="center"/>
              <w:rPr>
                <w:rFonts w:cs="Arial"/>
                <w:color w:val="000000"/>
                <w:sz w:val="16"/>
                <w:szCs w:val="16"/>
              </w:rPr>
            </w:pPr>
            <w:r w:rsidRPr="00981DD1">
              <w:rPr>
                <w:rFonts w:cs="Arial"/>
                <w:color w:val="000000"/>
                <w:sz w:val="16"/>
                <w:szCs w:val="16"/>
              </w:rPr>
              <w:t>164,735</w:t>
            </w:r>
          </w:p>
        </w:tc>
        <w:tc>
          <w:tcPr>
            <w:tcW w:w="1860" w:type="dxa"/>
            <w:tcBorders>
              <w:top w:val="single" w:sz="4" w:space="0" w:color="auto"/>
              <w:left w:val="nil"/>
              <w:bottom w:val="single" w:sz="4" w:space="0" w:color="auto"/>
              <w:right w:val="single" w:sz="4" w:space="0" w:color="auto"/>
            </w:tcBorders>
            <w:shd w:val="clear" w:color="auto" w:fill="auto"/>
            <w:vAlign w:val="center"/>
            <w:hideMark/>
          </w:tcPr>
          <w:p w:rsidR="008355F0" w:rsidRPr="00981DD1" w:rsidRDefault="008355F0" w:rsidP="003867F8">
            <w:pPr>
              <w:jc w:val="center"/>
              <w:rPr>
                <w:rFonts w:cs="Arial"/>
                <w:color w:val="000000"/>
                <w:sz w:val="16"/>
                <w:szCs w:val="16"/>
              </w:rPr>
            </w:pPr>
            <w:r w:rsidRPr="00981DD1">
              <w:rPr>
                <w:rFonts w:cs="Arial"/>
                <w:color w:val="000000"/>
                <w:sz w:val="16"/>
                <w:szCs w:val="16"/>
              </w:rPr>
              <w:t>124,143</w:t>
            </w:r>
          </w:p>
        </w:tc>
        <w:tc>
          <w:tcPr>
            <w:tcW w:w="1780" w:type="dxa"/>
            <w:tcBorders>
              <w:top w:val="single" w:sz="4" w:space="0" w:color="auto"/>
              <w:left w:val="nil"/>
              <w:bottom w:val="single" w:sz="4" w:space="0" w:color="auto"/>
              <w:right w:val="single" w:sz="4" w:space="0" w:color="auto"/>
            </w:tcBorders>
            <w:shd w:val="clear" w:color="auto" w:fill="auto"/>
            <w:noWrap/>
            <w:vAlign w:val="center"/>
            <w:hideMark/>
          </w:tcPr>
          <w:p w:rsidR="008355F0" w:rsidRPr="00981DD1" w:rsidRDefault="008355F0" w:rsidP="003867F8">
            <w:pPr>
              <w:jc w:val="center"/>
              <w:rPr>
                <w:rFonts w:cs="Arial"/>
                <w:color w:val="000000"/>
                <w:sz w:val="16"/>
                <w:szCs w:val="16"/>
              </w:rPr>
            </w:pPr>
            <w:r>
              <w:rPr>
                <w:rFonts w:cs="Arial"/>
                <w:color w:val="000000"/>
                <w:sz w:val="16"/>
                <w:szCs w:val="16"/>
              </w:rPr>
              <w:t>-</w:t>
            </w:r>
          </w:p>
        </w:tc>
        <w:tc>
          <w:tcPr>
            <w:tcW w:w="2188" w:type="dxa"/>
            <w:tcBorders>
              <w:top w:val="single" w:sz="4" w:space="0" w:color="auto"/>
              <w:left w:val="nil"/>
              <w:bottom w:val="single" w:sz="4" w:space="0" w:color="auto"/>
              <w:right w:val="single" w:sz="4" w:space="0" w:color="auto"/>
            </w:tcBorders>
            <w:shd w:val="clear" w:color="auto" w:fill="auto"/>
            <w:vAlign w:val="center"/>
            <w:hideMark/>
          </w:tcPr>
          <w:p w:rsidR="008355F0" w:rsidRPr="00981DD1" w:rsidRDefault="008355F0" w:rsidP="003867F8">
            <w:pPr>
              <w:jc w:val="center"/>
              <w:rPr>
                <w:rFonts w:cs="Arial"/>
                <w:color w:val="000000"/>
                <w:sz w:val="16"/>
                <w:szCs w:val="16"/>
              </w:rPr>
            </w:pPr>
            <w:r w:rsidRPr="00981DD1">
              <w:rPr>
                <w:rFonts w:cs="Arial"/>
                <w:color w:val="000000"/>
                <w:sz w:val="16"/>
                <w:szCs w:val="16"/>
              </w:rPr>
              <w:t>317,318</w:t>
            </w:r>
          </w:p>
        </w:tc>
      </w:tr>
    </w:tbl>
    <w:p w:rsidR="008355F0" w:rsidRPr="00A61AD8" w:rsidRDefault="008355F0" w:rsidP="003867F8">
      <w:pPr>
        <w:rPr>
          <w:rFonts w:cs="Arial"/>
          <w:szCs w:val="16"/>
        </w:rPr>
      </w:pPr>
    </w:p>
    <w:p w:rsidR="008355F0" w:rsidRPr="00A61AD8" w:rsidRDefault="008355F0" w:rsidP="003867F8">
      <w:pPr>
        <w:rPr>
          <w:rFonts w:cs="Arial"/>
          <w:szCs w:val="16"/>
        </w:rPr>
      </w:pPr>
    </w:p>
    <w:p w:rsidR="008355F0" w:rsidRDefault="008355F0" w:rsidP="003867F8">
      <w:pPr>
        <w:keepNext/>
        <w:keepLines/>
        <w:rPr>
          <w:rFonts w:cs="Arial"/>
          <w:b/>
          <w:szCs w:val="20"/>
        </w:rPr>
      </w:pPr>
      <w:r w:rsidRPr="00920AD0">
        <w:rPr>
          <w:rFonts w:cs="Arial"/>
          <w:b/>
          <w:szCs w:val="20"/>
        </w:rPr>
        <w:t xml:space="preserve">REPUBLIC OF KOREA/ </w:t>
      </w:r>
      <w:r w:rsidR="00091CB9">
        <w:rPr>
          <w:rFonts w:cs="Arial"/>
          <w:b/>
          <w:szCs w:val="20"/>
        </w:rPr>
        <w:t xml:space="preserve">INDUSTRIAL </w:t>
      </w:r>
      <w:r w:rsidRPr="00920AD0">
        <w:rPr>
          <w:rFonts w:cs="Arial"/>
          <w:b/>
          <w:szCs w:val="20"/>
        </w:rPr>
        <w:t>PROPERTY</w:t>
      </w:r>
    </w:p>
    <w:p w:rsidR="008355F0" w:rsidRPr="00920AD0" w:rsidRDefault="008355F0" w:rsidP="003867F8">
      <w:pPr>
        <w:keepNext/>
        <w:keepLines/>
        <w:rPr>
          <w:rFonts w:cs="Arial"/>
          <w:b/>
          <w:szCs w:val="20"/>
        </w:rPr>
      </w:pPr>
    </w:p>
    <w:tbl>
      <w:tblPr>
        <w:tblW w:w="9528" w:type="dxa"/>
        <w:tblInd w:w="7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30"/>
        <w:gridCol w:w="43"/>
        <w:gridCol w:w="1134"/>
        <w:gridCol w:w="1843"/>
        <w:gridCol w:w="4678"/>
      </w:tblGrid>
      <w:tr w:rsidR="008355F0" w:rsidRPr="0006716F" w:rsidTr="00E92F85">
        <w:tc>
          <w:tcPr>
            <w:tcW w:w="9528" w:type="dxa"/>
            <w:gridSpan w:val="5"/>
            <w:tcBorders>
              <w:top w:val="single" w:sz="4" w:space="0" w:color="000000"/>
              <w:bottom w:val="single" w:sz="4" w:space="0" w:color="000000"/>
            </w:tcBorders>
            <w:shd w:val="clear" w:color="auto" w:fill="C6D9F1" w:themeFill="text2" w:themeFillTint="33"/>
            <w:vAlign w:val="center"/>
          </w:tcPr>
          <w:p w:rsidR="008355F0" w:rsidRPr="00920AD0" w:rsidRDefault="008355F0" w:rsidP="003867F8">
            <w:pPr>
              <w:keepNext/>
              <w:keepLines/>
              <w:tabs>
                <w:tab w:val="left" w:pos="1740"/>
              </w:tabs>
              <w:spacing w:before="120" w:after="120"/>
              <w:ind w:left="1740" w:hanging="1740"/>
              <w:rPr>
                <w:rFonts w:cs="Arial"/>
                <w:b/>
                <w:bCs/>
                <w:sz w:val="16"/>
                <w:szCs w:val="16"/>
              </w:rPr>
            </w:pPr>
            <w:r w:rsidRPr="00920AD0">
              <w:rPr>
                <w:rFonts w:cs="Arial"/>
                <w:b/>
                <w:bCs/>
                <w:color w:val="000000"/>
                <w:sz w:val="16"/>
                <w:szCs w:val="16"/>
                <w:shd w:val="clear" w:color="auto" w:fill="C6D9F1" w:themeFill="text2" w:themeFillTint="33"/>
              </w:rPr>
              <w:t>RESULT</w:t>
            </w:r>
            <w:r w:rsidRPr="00920AD0">
              <w:rPr>
                <w:rFonts w:cs="Arial"/>
                <w:b/>
                <w:bCs/>
                <w:sz w:val="16"/>
                <w:szCs w:val="16"/>
                <w:shd w:val="clear" w:color="auto" w:fill="C6D9F1" w:themeFill="text2" w:themeFillTint="33"/>
              </w:rPr>
              <w:t>:</w:t>
            </w:r>
            <w:r w:rsidRPr="00920AD0">
              <w:rPr>
                <w:rFonts w:cs="Arial"/>
                <w:b/>
                <w:bCs/>
                <w:sz w:val="16"/>
                <w:szCs w:val="16"/>
                <w:shd w:val="clear" w:color="auto" w:fill="C6D9F1" w:themeFill="text2" w:themeFillTint="33"/>
              </w:rPr>
              <w:tab/>
            </w:r>
            <w:r w:rsidRPr="00920AD0">
              <w:rPr>
                <w:rFonts w:cs="Arial"/>
                <w:bCs/>
                <w:sz w:val="16"/>
                <w:szCs w:val="16"/>
                <w:shd w:val="clear" w:color="auto" w:fill="C6D9F1" w:themeFill="text2" w:themeFillTint="33"/>
              </w:rPr>
              <w:t>I</w:t>
            </w:r>
            <w:r w:rsidRPr="00920AD0">
              <w:rPr>
                <w:rFonts w:cs="Arial"/>
                <w:bCs/>
                <w:color w:val="000000"/>
                <w:sz w:val="16"/>
                <w:szCs w:val="16"/>
                <w:shd w:val="clear" w:color="auto" w:fill="C6D9F1" w:themeFill="text2" w:themeFillTint="33"/>
              </w:rPr>
              <w:t>I.2.  Tailored and balanced IP legislative, regulatory and policy</w:t>
            </w:r>
            <w:r w:rsidRPr="00920AD0">
              <w:rPr>
                <w:rFonts w:cs="Arial"/>
                <w:bCs/>
                <w:color w:val="000000"/>
                <w:sz w:val="16"/>
                <w:szCs w:val="16"/>
              </w:rPr>
              <w:t xml:space="preserve"> frameworks</w:t>
            </w:r>
          </w:p>
        </w:tc>
      </w:tr>
      <w:tr w:rsidR="008355F0" w:rsidRPr="0006716F" w:rsidTr="00E92F85">
        <w:trPr>
          <w:trHeight w:val="483"/>
        </w:trPr>
        <w:tc>
          <w:tcPr>
            <w:tcW w:w="1873" w:type="dxa"/>
            <w:gridSpan w:val="2"/>
            <w:tcBorders>
              <w:top w:val="single" w:sz="4" w:space="0" w:color="000000"/>
            </w:tcBorders>
            <w:vAlign w:val="center"/>
          </w:tcPr>
          <w:p w:rsidR="008355F0" w:rsidRPr="00920AD0" w:rsidRDefault="008355F0" w:rsidP="003867F8">
            <w:pPr>
              <w:keepNext/>
              <w:keepLines/>
              <w:spacing w:before="60" w:after="60"/>
              <w:rPr>
                <w:rFonts w:cs="Arial"/>
                <w:b/>
                <w:bCs/>
                <w:sz w:val="16"/>
                <w:szCs w:val="16"/>
              </w:rPr>
            </w:pPr>
            <w:r w:rsidRPr="00920AD0">
              <w:rPr>
                <w:rFonts w:cs="Arial"/>
                <w:b/>
                <w:bCs/>
                <w:sz w:val="16"/>
                <w:szCs w:val="16"/>
              </w:rPr>
              <w:t>Activity</w:t>
            </w:r>
          </w:p>
        </w:tc>
        <w:tc>
          <w:tcPr>
            <w:tcW w:w="1134" w:type="dxa"/>
            <w:tcBorders>
              <w:top w:val="single" w:sz="4" w:space="0" w:color="000000"/>
            </w:tcBorders>
            <w:shd w:val="clear" w:color="auto" w:fill="auto"/>
            <w:tcMar>
              <w:top w:w="110" w:type="dxa"/>
            </w:tcMar>
            <w:vAlign w:val="center"/>
          </w:tcPr>
          <w:p w:rsidR="008355F0" w:rsidRPr="00920AD0" w:rsidRDefault="008355F0" w:rsidP="003867F8">
            <w:pPr>
              <w:keepNext/>
              <w:keepLines/>
              <w:spacing w:before="60" w:after="60"/>
              <w:rPr>
                <w:rFonts w:cs="Arial"/>
                <w:sz w:val="16"/>
                <w:szCs w:val="16"/>
              </w:rPr>
            </w:pPr>
            <w:r w:rsidRPr="00920AD0">
              <w:rPr>
                <w:rFonts w:cs="Arial"/>
                <w:b/>
                <w:bCs/>
                <w:sz w:val="16"/>
                <w:szCs w:val="16"/>
              </w:rPr>
              <w:t>Date</w:t>
            </w:r>
          </w:p>
        </w:tc>
        <w:tc>
          <w:tcPr>
            <w:tcW w:w="1843" w:type="dxa"/>
            <w:tcBorders>
              <w:top w:val="single" w:sz="4" w:space="0" w:color="000000"/>
            </w:tcBorders>
            <w:shd w:val="clear" w:color="auto" w:fill="auto"/>
            <w:tcMar>
              <w:top w:w="110" w:type="dxa"/>
            </w:tcMar>
            <w:vAlign w:val="center"/>
          </w:tcPr>
          <w:p w:rsidR="008355F0" w:rsidRPr="00920AD0" w:rsidRDefault="008355F0" w:rsidP="003867F8">
            <w:pPr>
              <w:keepNext/>
              <w:keepLines/>
              <w:spacing w:before="60" w:after="60"/>
              <w:rPr>
                <w:rFonts w:cs="Arial"/>
                <w:sz w:val="16"/>
                <w:szCs w:val="16"/>
              </w:rPr>
            </w:pPr>
            <w:r w:rsidRPr="00920AD0">
              <w:rPr>
                <w:rFonts w:cs="Arial"/>
                <w:b/>
                <w:bCs/>
                <w:sz w:val="16"/>
                <w:szCs w:val="16"/>
              </w:rPr>
              <w:t>Host Country/</w:t>
            </w:r>
            <w:r w:rsidRPr="00920AD0">
              <w:rPr>
                <w:rFonts w:cs="Arial"/>
                <w:b/>
                <w:bCs/>
                <w:sz w:val="16"/>
                <w:szCs w:val="16"/>
              </w:rPr>
              <w:br/>
              <w:t>Recipients</w:t>
            </w:r>
          </w:p>
        </w:tc>
        <w:tc>
          <w:tcPr>
            <w:tcW w:w="4678" w:type="dxa"/>
            <w:tcBorders>
              <w:top w:val="single" w:sz="4" w:space="0" w:color="000000"/>
            </w:tcBorders>
            <w:shd w:val="clear" w:color="auto" w:fill="FFFFFF"/>
            <w:tcMar>
              <w:top w:w="110" w:type="dxa"/>
            </w:tcMar>
            <w:vAlign w:val="center"/>
          </w:tcPr>
          <w:p w:rsidR="008355F0" w:rsidRPr="00920AD0" w:rsidRDefault="008355F0" w:rsidP="003867F8">
            <w:pPr>
              <w:keepNext/>
              <w:keepLines/>
              <w:spacing w:before="60" w:after="60"/>
              <w:rPr>
                <w:rFonts w:cs="Arial"/>
                <w:sz w:val="16"/>
                <w:szCs w:val="16"/>
              </w:rPr>
            </w:pPr>
            <w:r w:rsidRPr="00920AD0">
              <w:rPr>
                <w:rFonts w:cs="Arial"/>
                <w:b/>
                <w:bCs/>
                <w:sz w:val="16"/>
                <w:szCs w:val="16"/>
              </w:rPr>
              <w:t>Purpose(s)/Description(s)</w:t>
            </w:r>
          </w:p>
        </w:tc>
      </w:tr>
      <w:tr w:rsidR="008355F0" w:rsidRPr="0006716F" w:rsidTr="00E92F85">
        <w:tc>
          <w:tcPr>
            <w:tcW w:w="1873" w:type="dxa"/>
            <w:gridSpan w:val="2"/>
          </w:tcPr>
          <w:p w:rsidR="008355F0" w:rsidRPr="0006716F" w:rsidRDefault="008355F0" w:rsidP="003867F8">
            <w:pPr>
              <w:spacing w:before="60" w:after="60"/>
              <w:rPr>
                <w:rFonts w:cs="Arial"/>
                <w:color w:val="000000"/>
                <w:sz w:val="16"/>
                <w:szCs w:val="16"/>
                <w:lang w:eastAsia="ko-KR"/>
              </w:rPr>
            </w:pPr>
            <w:r w:rsidRPr="0006716F">
              <w:rPr>
                <w:rFonts w:cs="Arial"/>
                <w:color w:val="000000"/>
                <w:sz w:val="16"/>
                <w:szCs w:val="16"/>
                <w:lang w:eastAsia="ko-KR"/>
              </w:rPr>
              <w:t>Study on Industrial Designs in Southeast Asian countries</w:t>
            </w:r>
          </w:p>
        </w:tc>
        <w:tc>
          <w:tcPr>
            <w:tcW w:w="1134" w:type="dxa"/>
          </w:tcPr>
          <w:p w:rsidR="008355F0" w:rsidRPr="0006716F" w:rsidRDefault="008355F0" w:rsidP="003867F8">
            <w:pPr>
              <w:spacing w:before="60" w:after="60"/>
              <w:rPr>
                <w:rFonts w:cs="Arial"/>
                <w:color w:val="000000"/>
                <w:sz w:val="16"/>
                <w:szCs w:val="16"/>
              </w:rPr>
            </w:pPr>
            <w:r w:rsidRPr="0006716F">
              <w:rPr>
                <w:rFonts w:eastAsia="Malgun Gothic" w:cs="Arial"/>
                <w:color w:val="000000"/>
                <w:sz w:val="16"/>
                <w:szCs w:val="16"/>
                <w:lang w:eastAsia="ko-KR"/>
              </w:rPr>
              <w:t>May</w:t>
            </w:r>
            <w:r w:rsidRPr="0006716F">
              <w:rPr>
                <w:rFonts w:cs="Arial"/>
                <w:color w:val="000000"/>
                <w:sz w:val="16"/>
                <w:szCs w:val="16"/>
                <w:lang w:eastAsia="ko-KR"/>
              </w:rPr>
              <w:t xml:space="preserve"> 2015 (initiated)</w:t>
            </w:r>
          </w:p>
        </w:tc>
        <w:tc>
          <w:tcPr>
            <w:tcW w:w="1843" w:type="dxa"/>
          </w:tcPr>
          <w:p w:rsidR="008355F0" w:rsidRPr="0006716F" w:rsidRDefault="008355F0" w:rsidP="003867F8">
            <w:pPr>
              <w:autoSpaceDE w:val="0"/>
              <w:autoSpaceDN w:val="0"/>
              <w:adjustRightInd w:val="0"/>
              <w:spacing w:before="60" w:after="60"/>
              <w:rPr>
                <w:rFonts w:eastAsia="Malgun Gothic" w:cs="Arial"/>
                <w:bCs/>
                <w:sz w:val="16"/>
                <w:szCs w:val="16"/>
                <w:lang w:eastAsia="ko-KR"/>
              </w:rPr>
            </w:pPr>
            <w:r w:rsidRPr="0006716F">
              <w:rPr>
                <w:rFonts w:eastAsia="Malgun Gothic" w:cs="Arial"/>
                <w:color w:val="000000"/>
                <w:sz w:val="16"/>
                <w:szCs w:val="16"/>
                <w:lang w:eastAsia="ko-KR"/>
              </w:rPr>
              <w:t>Indonesia, Philippines</w:t>
            </w:r>
            <w:r>
              <w:rPr>
                <w:rFonts w:eastAsia="Malgun Gothic" w:cs="Arial"/>
                <w:color w:val="000000"/>
                <w:sz w:val="16"/>
                <w:szCs w:val="16"/>
                <w:lang w:eastAsia="ko-KR"/>
              </w:rPr>
              <w:t xml:space="preserve"> and</w:t>
            </w:r>
            <w:r w:rsidRPr="0006716F">
              <w:rPr>
                <w:rFonts w:eastAsia="Malgun Gothic" w:cs="Arial"/>
                <w:color w:val="000000"/>
                <w:sz w:val="16"/>
                <w:szCs w:val="16"/>
                <w:lang w:eastAsia="ko-KR"/>
              </w:rPr>
              <w:t xml:space="preserve"> Thailand</w:t>
            </w:r>
          </w:p>
        </w:tc>
        <w:tc>
          <w:tcPr>
            <w:tcW w:w="4678" w:type="dxa"/>
          </w:tcPr>
          <w:p w:rsidR="008355F0" w:rsidRPr="0006716F" w:rsidRDefault="008355F0" w:rsidP="003867F8">
            <w:pPr>
              <w:spacing w:before="60" w:after="60"/>
              <w:ind w:left="60"/>
              <w:rPr>
                <w:rFonts w:eastAsia="Malgun Gothic" w:cs="Arial"/>
                <w:color w:val="000000"/>
                <w:sz w:val="16"/>
                <w:szCs w:val="16"/>
              </w:rPr>
            </w:pPr>
            <w:r w:rsidRPr="0006716F">
              <w:rPr>
                <w:rFonts w:eastAsia="Malgun Gothic" w:cs="Arial"/>
                <w:color w:val="000000"/>
                <w:sz w:val="16"/>
                <w:szCs w:val="16"/>
              </w:rPr>
              <w:t xml:space="preserve">To: (i) create unit-record datasets on ID filings in a number of Southeast Asian countries; </w:t>
            </w:r>
            <w:r>
              <w:rPr>
                <w:rFonts w:eastAsia="Malgun Gothic" w:cs="Arial"/>
                <w:color w:val="000000"/>
                <w:sz w:val="16"/>
                <w:szCs w:val="16"/>
              </w:rPr>
              <w:t xml:space="preserve"> </w:t>
            </w:r>
            <w:r w:rsidRPr="0006716F">
              <w:rPr>
                <w:rFonts w:eastAsia="Malgun Gothic" w:cs="Arial"/>
                <w:color w:val="000000"/>
                <w:sz w:val="16"/>
                <w:szCs w:val="16"/>
              </w:rPr>
              <w:t xml:space="preserve">(ii)  provide a comparative review of ID use; </w:t>
            </w:r>
            <w:r>
              <w:rPr>
                <w:rFonts w:eastAsia="Malgun Gothic" w:cs="Arial"/>
                <w:color w:val="000000"/>
                <w:sz w:val="16"/>
                <w:szCs w:val="16"/>
              </w:rPr>
              <w:t xml:space="preserve"> </w:t>
            </w:r>
            <w:r w:rsidRPr="0006716F">
              <w:rPr>
                <w:rFonts w:eastAsia="Malgun Gothic" w:cs="Arial"/>
                <w:color w:val="000000"/>
                <w:sz w:val="16"/>
                <w:szCs w:val="16"/>
              </w:rPr>
              <w:t xml:space="preserve">(iii) discuss the main historical trends; </w:t>
            </w:r>
            <w:r>
              <w:rPr>
                <w:rFonts w:eastAsia="Malgun Gothic" w:cs="Arial"/>
                <w:color w:val="000000"/>
                <w:sz w:val="16"/>
                <w:szCs w:val="16"/>
              </w:rPr>
              <w:t xml:space="preserve"> </w:t>
            </w:r>
            <w:r w:rsidRPr="0006716F">
              <w:rPr>
                <w:rFonts w:eastAsia="Malgun Gothic" w:cs="Arial"/>
                <w:color w:val="000000"/>
                <w:sz w:val="16"/>
                <w:szCs w:val="16"/>
              </w:rPr>
              <w:t xml:space="preserve">(iv) provide breakdowns by type of user, sector and other characteristics; and </w:t>
            </w:r>
            <w:r>
              <w:rPr>
                <w:rFonts w:eastAsia="Malgun Gothic" w:cs="Arial"/>
                <w:color w:val="000000"/>
                <w:sz w:val="16"/>
                <w:szCs w:val="16"/>
              </w:rPr>
              <w:t xml:space="preserve"> </w:t>
            </w:r>
            <w:r w:rsidRPr="0006716F">
              <w:rPr>
                <w:rFonts w:eastAsia="Malgun Gothic" w:cs="Arial"/>
                <w:color w:val="000000"/>
                <w:sz w:val="16"/>
                <w:szCs w:val="16"/>
              </w:rPr>
              <w:t>(v)</w:t>
            </w:r>
            <w:r>
              <w:rPr>
                <w:rFonts w:eastAsia="Malgun Gothic" w:cs="Arial"/>
                <w:color w:val="000000"/>
                <w:sz w:val="16"/>
                <w:szCs w:val="16"/>
              </w:rPr>
              <w:t xml:space="preserve"> </w:t>
            </w:r>
            <w:r w:rsidRPr="0006716F">
              <w:rPr>
                <w:rFonts w:eastAsia="Malgun Gothic" w:cs="Arial"/>
                <w:color w:val="000000"/>
                <w:sz w:val="16"/>
                <w:szCs w:val="16"/>
              </w:rPr>
              <w:t xml:space="preserve">analyze grant rates and renewal behavior, based on data availability. </w:t>
            </w:r>
          </w:p>
        </w:tc>
      </w:tr>
      <w:tr w:rsidR="008355F0" w:rsidRPr="0006716F" w:rsidTr="00E92F85">
        <w:tc>
          <w:tcPr>
            <w:tcW w:w="1873" w:type="dxa"/>
            <w:gridSpan w:val="2"/>
          </w:tcPr>
          <w:p w:rsidR="008355F0" w:rsidRPr="0006716F" w:rsidRDefault="008355F0" w:rsidP="003867F8">
            <w:pPr>
              <w:spacing w:before="60" w:after="60"/>
              <w:rPr>
                <w:rFonts w:cs="Arial"/>
                <w:color w:val="000000"/>
                <w:sz w:val="16"/>
                <w:szCs w:val="16"/>
                <w:lang w:eastAsia="ko-KR"/>
              </w:rPr>
            </w:pPr>
            <w:r w:rsidRPr="0006716F">
              <w:rPr>
                <w:rFonts w:cs="Arial"/>
                <w:color w:val="000000"/>
                <w:sz w:val="16"/>
                <w:szCs w:val="16"/>
              </w:rPr>
              <w:t>Production of a Guide on Alternative Dispute Resolution (ADR) Procedures</w:t>
            </w:r>
          </w:p>
        </w:tc>
        <w:tc>
          <w:tcPr>
            <w:tcW w:w="1134" w:type="dxa"/>
          </w:tcPr>
          <w:p w:rsidR="008355F0" w:rsidRPr="0006716F" w:rsidRDefault="008355F0" w:rsidP="003867F8">
            <w:pPr>
              <w:spacing w:before="60" w:after="60"/>
              <w:rPr>
                <w:rFonts w:eastAsia="Malgun Gothic" w:cs="Arial"/>
                <w:color w:val="000000"/>
                <w:sz w:val="16"/>
                <w:szCs w:val="16"/>
                <w:lang w:eastAsia="ko-KR"/>
              </w:rPr>
            </w:pPr>
            <w:r>
              <w:rPr>
                <w:rFonts w:cs="Arial"/>
                <w:color w:val="000000"/>
                <w:sz w:val="16"/>
                <w:szCs w:val="16"/>
                <w:lang w:eastAsia="ko-KR"/>
              </w:rPr>
              <w:t xml:space="preserve">January </w:t>
            </w:r>
            <w:r w:rsidRPr="0006716F">
              <w:rPr>
                <w:rFonts w:cs="Arial"/>
                <w:color w:val="000000"/>
                <w:sz w:val="16"/>
                <w:szCs w:val="16"/>
                <w:lang w:eastAsia="ko-KR"/>
              </w:rPr>
              <w:t>to July</w:t>
            </w:r>
            <w:r>
              <w:rPr>
                <w:rFonts w:cs="Arial"/>
                <w:color w:val="000000"/>
                <w:sz w:val="16"/>
                <w:szCs w:val="16"/>
                <w:lang w:eastAsia="ko-KR"/>
              </w:rPr>
              <w:t>,</w:t>
            </w:r>
            <w:r w:rsidRPr="0006716F">
              <w:rPr>
                <w:rFonts w:cs="Arial"/>
                <w:color w:val="000000"/>
                <w:sz w:val="16"/>
                <w:szCs w:val="16"/>
                <w:lang w:eastAsia="ko-KR"/>
              </w:rPr>
              <w:t xml:space="preserve"> 2015</w:t>
            </w:r>
            <w:r>
              <w:rPr>
                <w:rStyle w:val="FootnoteReference"/>
                <w:rFonts w:cs="Arial"/>
                <w:color w:val="000000"/>
                <w:sz w:val="16"/>
                <w:szCs w:val="16"/>
                <w:lang w:eastAsia="ko-KR"/>
              </w:rPr>
              <w:footnoteReference w:id="161"/>
            </w:r>
          </w:p>
        </w:tc>
        <w:tc>
          <w:tcPr>
            <w:tcW w:w="1843" w:type="dxa"/>
          </w:tcPr>
          <w:p w:rsidR="008355F0" w:rsidRPr="0006716F" w:rsidRDefault="008355F0" w:rsidP="003867F8">
            <w:pPr>
              <w:autoSpaceDE w:val="0"/>
              <w:autoSpaceDN w:val="0"/>
              <w:adjustRightInd w:val="0"/>
              <w:spacing w:before="60" w:after="60"/>
              <w:rPr>
                <w:rFonts w:eastAsia="Malgun Gothic" w:cs="Arial"/>
                <w:color w:val="000000"/>
                <w:sz w:val="16"/>
                <w:szCs w:val="16"/>
                <w:lang w:eastAsia="ko-KR"/>
              </w:rPr>
            </w:pPr>
            <w:r w:rsidRPr="0006716F">
              <w:rPr>
                <w:rFonts w:cs="Arial"/>
                <w:bCs/>
                <w:sz w:val="16"/>
                <w:szCs w:val="16"/>
                <w:lang w:eastAsia="ko-KR"/>
              </w:rPr>
              <w:t>All WIPO Member States</w:t>
            </w:r>
          </w:p>
        </w:tc>
        <w:tc>
          <w:tcPr>
            <w:tcW w:w="4678" w:type="dxa"/>
          </w:tcPr>
          <w:p w:rsidR="008355F0" w:rsidRPr="0006716F" w:rsidDel="0018277F" w:rsidRDefault="008355F0" w:rsidP="003867F8">
            <w:pPr>
              <w:spacing w:before="60" w:after="60"/>
              <w:ind w:left="60"/>
              <w:rPr>
                <w:rFonts w:eastAsia="Malgun Gothic" w:cs="Arial"/>
                <w:color w:val="000000"/>
                <w:sz w:val="16"/>
                <w:szCs w:val="16"/>
              </w:rPr>
            </w:pPr>
            <w:r w:rsidRPr="0006716F">
              <w:rPr>
                <w:rFonts w:eastAsia="Malgun Gothic" w:cs="Arial"/>
                <w:color w:val="000000"/>
                <w:sz w:val="16"/>
                <w:szCs w:val="16"/>
                <w:lang w:eastAsia="ko-KR"/>
              </w:rPr>
              <w:t>T</w:t>
            </w:r>
            <w:r w:rsidRPr="0006716F">
              <w:rPr>
                <w:rFonts w:cs="Arial"/>
                <w:color w:val="000000"/>
                <w:sz w:val="16"/>
                <w:szCs w:val="16"/>
                <w:lang w:eastAsia="ko-KR"/>
              </w:rPr>
              <w:t>o: (i) provide a better understanding of ADR procedures in IP disputes</w:t>
            </w:r>
            <w:r w:rsidRPr="0006716F">
              <w:rPr>
                <w:rFonts w:eastAsia="Malgun Gothic" w:cs="Arial"/>
                <w:color w:val="000000"/>
                <w:sz w:val="16"/>
                <w:szCs w:val="16"/>
                <w:lang w:eastAsia="ko-KR"/>
              </w:rPr>
              <w:t>;</w:t>
            </w:r>
            <w:r w:rsidRPr="0006716F">
              <w:rPr>
                <w:rFonts w:cs="Arial"/>
                <w:color w:val="000000"/>
                <w:sz w:val="16"/>
                <w:szCs w:val="16"/>
                <w:lang w:eastAsia="ko-KR"/>
              </w:rPr>
              <w:t xml:space="preserve"> (ii) share the WIPO Center’s experience in ADR with national ADR authorities</w:t>
            </w:r>
            <w:r w:rsidRPr="0006716F">
              <w:rPr>
                <w:rFonts w:eastAsia="Malgun Gothic" w:cs="Arial"/>
                <w:color w:val="000000"/>
                <w:sz w:val="16"/>
                <w:szCs w:val="16"/>
                <w:lang w:eastAsia="ko-KR"/>
              </w:rPr>
              <w:t>;</w:t>
            </w:r>
            <w:r w:rsidRPr="0006716F">
              <w:rPr>
                <w:rFonts w:cs="Arial"/>
                <w:color w:val="000000"/>
                <w:sz w:val="16"/>
                <w:szCs w:val="16"/>
                <w:lang w:eastAsia="ko-KR"/>
              </w:rPr>
              <w:t xml:space="preserve"> and (iii) encourage developing countries to develop and implement appropriate procedures of ADR.  </w:t>
            </w:r>
          </w:p>
        </w:tc>
      </w:tr>
      <w:tr w:rsidR="008355F0" w:rsidRPr="0006716F" w:rsidTr="00E92F85">
        <w:tc>
          <w:tcPr>
            <w:tcW w:w="9528" w:type="dxa"/>
            <w:gridSpan w:val="5"/>
            <w:tcBorders>
              <w:top w:val="single" w:sz="4" w:space="0" w:color="000000"/>
              <w:bottom w:val="single" w:sz="4" w:space="0" w:color="000000"/>
            </w:tcBorders>
            <w:shd w:val="clear" w:color="auto" w:fill="C6D9F1" w:themeFill="text2" w:themeFillTint="33"/>
            <w:vAlign w:val="center"/>
          </w:tcPr>
          <w:p w:rsidR="008355F0" w:rsidRPr="00920AD0" w:rsidRDefault="008355F0" w:rsidP="003867F8">
            <w:pPr>
              <w:keepNext/>
              <w:keepLines/>
              <w:tabs>
                <w:tab w:val="left" w:pos="1740"/>
              </w:tabs>
              <w:spacing w:before="120" w:after="120"/>
              <w:ind w:left="1740" w:hanging="1740"/>
              <w:rPr>
                <w:rFonts w:cs="Arial"/>
                <w:b/>
                <w:bCs/>
                <w:sz w:val="16"/>
                <w:szCs w:val="16"/>
              </w:rPr>
            </w:pPr>
            <w:r w:rsidRPr="00920AD0">
              <w:rPr>
                <w:rFonts w:cs="Arial"/>
                <w:b/>
                <w:bCs/>
                <w:color w:val="000000"/>
                <w:sz w:val="16"/>
                <w:szCs w:val="16"/>
              </w:rPr>
              <w:t>RESULT</w:t>
            </w:r>
            <w:r w:rsidRPr="00920AD0">
              <w:rPr>
                <w:rFonts w:cs="Arial"/>
                <w:b/>
                <w:bCs/>
                <w:sz w:val="16"/>
                <w:szCs w:val="16"/>
              </w:rPr>
              <w:t>:</w:t>
            </w:r>
            <w:r w:rsidRPr="00920AD0">
              <w:rPr>
                <w:rFonts w:cs="Arial"/>
                <w:b/>
                <w:bCs/>
                <w:sz w:val="16"/>
                <w:szCs w:val="16"/>
              </w:rPr>
              <w:tab/>
            </w:r>
            <w:r w:rsidRPr="00920AD0">
              <w:rPr>
                <w:rFonts w:cs="Arial"/>
                <w:bCs/>
                <w:color w:val="000000"/>
                <w:sz w:val="16"/>
                <w:szCs w:val="16"/>
              </w:rPr>
              <w:t>III.1. National innovation and IP strategies and plans consistent with national development</w:t>
            </w:r>
          </w:p>
        </w:tc>
      </w:tr>
      <w:tr w:rsidR="008355F0" w:rsidRPr="0006716F" w:rsidTr="00E92F85">
        <w:tc>
          <w:tcPr>
            <w:tcW w:w="1873" w:type="dxa"/>
            <w:gridSpan w:val="2"/>
            <w:tcBorders>
              <w:top w:val="single" w:sz="4" w:space="0" w:color="000000"/>
            </w:tcBorders>
            <w:vAlign w:val="center"/>
          </w:tcPr>
          <w:p w:rsidR="008355F0" w:rsidRPr="00920AD0" w:rsidRDefault="008355F0" w:rsidP="003867F8">
            <w:pPr>
              <w:keepNext/>
              <w:keepLines/>
              <w:spacing w:before="60" w:after="60"/>
              <w:rPr>
                <w:rFonts w:cs="Arial"/>
                <w:b/>
                <w:bCs/>
                <w:sz w:val="16"/>
                <w:szCs w:val="16"/>
              </w:rPr>
            </w:pPr>
            <w:r w:rsidRPr="00920AD0">
              <w:rPr>
                <w:rFonts w:cs="Arial"/>
                <w:b/>
                <w:bCs/>
                <w:sz w:val="16"/>
                <w:szCs w:val="16"/>
              </w:rPr>
              <w:t>Activity</w:t>
            </w:r>
          </w:p>
        </w:tc>
        <w:tc>
          <w:tcPr>
            <w:tcW w:w="1134" w:type="dxa"/>
            <w:tcBorders>
              <w:top w:val="single" w:sz="4" w:space="0" w:color="000000"/>
            </w:tcBorders>
            <w:shd w:val="clear" w:color="auto" w:fill="auto"/>
            <w:tcMar>
              <w:top w:w="110" w:type="dxa"/>
            </w:tcMar>
            <w:vAlign w:val="center"/>
          </w:tcPr>
          <w:p w:rsidR="008355F0" w:rsidRPr="00920AD0" w:rsidRDefault="008355F0" w:rsidP="003867F8">
            <w:pPr>
              <w:spacing w:before="60" w:after="60"/>
              <w:rPr>
                <w:rFonts w:cs="Arial"/>
                <w:sz w:val="16"/>
                <w:szCs w:val="16"/>
              </w:rPr>
            </w:pPr>
            <w:r w:rsidRPr="00920AD0">
              <w:rPr>
                <w:rFonts w:cs="Arial"/>
                <w:b/>
                <w:bCs/>
                <w:sz w:val="16"/>
                <w:szCs w:val="16"/>
              </w:rPr>
              <w:t>Date</w:t>
            </w:r>
          </w:p>
        </w:tc>
        <w:tc>
          <w:tcPr>
            <w:tcW w:w="1843" w:type="dxa"/>
            <w:tcBorders>
              <w:top w:val="single" w:sz="4" w:space="0" w:color="000000"/>
            </w:tcBorders>
            <w:shd w:val="clear" w:color="auto" w:fill="auto"/>
            <w:tcMar>
              <w:top w:w="110" w:type="dxa"/>
            </w:tcMar>
            <w:vAlign w:val="center"/>
          </w:tcPr>
          <w:p w:rsidR="008355F0" w:rsidRPr="00920AD0" w:rsidRDefault="008355F0" w:rsidP="003867F8">
            <w:pPr>
              <w:spacing w:before="60" w:after="60"/>
              <w:rPr>
                <w:rFonts w:cs="Arial"/>
                <w:sz w:val="16"/>
                <w:szCs w:val="16"/>
              </w:rPr>
            </w:pPr>
            <w:r w:rsidRPr="00920AD0">
              <w:rPr>
                <w:rFonts w:cs="Arial"/>
                <w:b/>
                <w:bCs/>
                <w:sz w:val="16"/>
                <w:szCs w:val="16"/>
              </w:rPr>
              <w:t>Host Country/</w:t>
            </w:r>
            <w:r w:rsidRPr="00920AD0">
              <w:rPr>
                <w:rFonts w:cs="Arial"/>
                <w:b/>
                <w:bCs/>
                <w:sz w:val="16"/>
                <w:szCs w:val="16"/>
              </w:rPr>
              <w:br/>
              <w:t>Recipients</w:t>
            </w:r>
          </w:p>
        </w:tc>
        <w:tc>
          <w:tcPr>
            <w:tcW w:w="4678" w:type="dxa"/>
            <w:tcBorders>
              <w:top w:val="single" w:sz="4" w:space="0" w:color="000000"/>
            </w:tcBorders>
            <w:shd w:val="clear" w:color="auto" w:fill="FFFFFF"/>
            <w:tcMar>
              <w:top w:w="110" w:type="dxa"/>
            </w:tcMar>
            <w:vAlign w:val="center"/>
          </w:tcPr>
          <w:p w:rsidR="008355F0" w:rsidRPr="00920AD0" w:rsidRDefault="008355F0" w:rsidP="003867F8">
            <w:pPr>
              <w:spacing w:before="60" w:after="60"/>
              <w:rPr>
                <w:rFonts w:cs="Arial"/>
                <w:sz w:val="16"/>
                <w:szCs w:val="16"/>
              </w:rPr>
            </w:pPr>
            <w:r w:rsidRPr="00920AD0">
              <w:rPr>
                <w:rFonts w:cs="Arial"/>
                <w:b/>
                <w:bCs/>
                <w:sz w:val="16"/>
                <w:szCs w:val="16"/>
              </w:rPr>
              <w:t>Purpose(s)/Description(s)</w:t>
            </w:r>
          </w:p>
        </w:tc>
      </w:tr>
      <w:tr w:rsidR="008355F0" w:rsidRPr="0006716F" w:rsidTr="00E92F85">
        <w:tc>
          <w:tcPr>
            <w:tcW w:w="1873" w:type="dxa"/>
            <w:gridSpan w:val="2"/>
          </w:tcPr>
          <w:p w:rsidR="008355F0" w:rsidRPr="0006716F" w:rsidRDefault="008355F0" w:rsidP="003867F8">
            <w:pPr>
              <w:keepNext/>
              <w:keepLines/>
              <w:spacing w:before="60" w:after="60"/>
              <w:rPr>
                <w:rFonts w:cs="Arial"/>
                <w:color w:val="000000"/>
                <w:sz w:val="16"/>
                <w:szCs w:val="16"/>
                <w:lang w:eastAsia="ko-KR"/>
              </w:rPr>
            </w:pPr>
            <w:r w:rsidRPr="0006716F">
              <w:rPr>
                <w:rFonts w:cs="Arial"/>
                <w:sz w:val="16"/>
                <w:szCs w:val="16"/>
              </w:rPr>
              <w:t>Study Visit on IP Management in the Innovation Value Chain for a Selected Number of African Officials</w:t>
            </w:r>
          </w:p>
        </w:tc>
        <w:tc>
          <w:tcPr>
            <w:tcW w:w="1134" w:type="dxa"/>
            <w:shd w:val="clear" w:color="auto" w:fill="auto"/>
            <w:tcMar>
              <w:top w:w="110" w:type="dxa"/>
            </w:tcMar>
          </w:tcPr>
          <w:p w:rsidR="008355F0" w:rsidRPr="0006716F" w:rsidRDefault="008355F0" w:rsidP="003867F8">
            <w:pPr>
              <w:spacing w:before="60" w:after="60"/>
              <w:rPr>
                <w:rFonts w:cs="Arial"/>
                <w:color w:val="000000"/>
                <w:sz w:val="16"/>
                <w:szCs w:val="16"/>
              </w:rPr>
            </w:pPr>
            <w:r w:rsidRPr="0006716F">
              <w:rPr>
                <w:rFonts w:eastAsia="Malgun Gothic" w:cs="Arial"/>
                <w:color w:val="000000"/>
                <w:sz w:val="16"/>
                <w:szCs w:val="16"/>
                <w:lang w:eastAsia="ko-KR"/>
              </w:rPr>
              <w:t>June 2 to 5, 2015</w:t>
            </w:r>
          </w:p>
        </w:tc>
        <w:tc>
          <w:tcPr>
            <w:tcW w:w="1843" w:type="dxa"/>
            <w:shd w:val="clear" w:color="auto" w:fill="auto"/>
            <w:tcMar>
              <w:top w:w="110" w:type="dxa"/>
            </w:tcMar>
          </w:tcPr>
          <w:p w:rsidR="008355F0" w:rsidRPr="0006716F" w:rsidRDefault="008355F0" w:rsidP="003867F8">
            <w:pPr>
              <w:autoSpaceDE w:val="0"/>
              <w:autoSpaceDN w:val="0"/>
              <w:adjustRightInd w:val="0"/>
              <w:spacing w:before="60" w:after="60"/>
              <w:rPr>
                <w:rFonts w:eastAsia="Malgun Gothic" w:cs="Arial"/>
                <w:bCs/>
                <w:sz w:val="16"/>
                <w:szCs w:val="16"/>
                <w:lang w:eastAsia="ko-KR"/>
              </w:rPr>
            </w:pPr>
            <w:r w:rsidRPr="0006716F">
              <w:rPr>
                <w:rFonts w:eastAsia="Malgun Gothic" w:cs="Arial"/>
                <w:color w:val="000000"/>
                <w:sz w:val="16"/>
                <w:szCs w:val="16"/>
                <w:lang w:eastAsia="ko-KR"/>
              </w:rPr>
              <w:t>Republic of Korea/ Botswana, Rwanda and United Republic of Tanzania</w:t>
            </w:r>
          </w:p>
        </w:tc>
        <w:tc>
          <w:tcPr>
            <w:tcW w:w="4678" w:type="dxa"/>
            <w:shd w:val="clear" w:color="auto" w:fill="FFFFFF"/>
            <w:tcMar>
              <w:top w:w="110" w:type="dxa"/>
            </w:tcMar>
          </w:tcPr>
          <w:p w:rsidR="008355F0" w:rsidRPr="0006716F" w:rsidRDefault="008355F0" w:rsidP="003867F8">
            <w:pPr>
              <w:spacing w:before="60" w:after="60"/>
              <w:contextualSpacing/>
              <w:rPr>
                <w:rFonts w:eastAsia="Malgun Gothic" w:cs="Arial"/>
                <w:color w:val="000000"/>
                <w:sz w:val="16"/>
                <w:szCs w:val="16"/>
                <w:lang w:eastAsia="ko-KR"/>
              </w:rPr>
            </w:pPr>
            <w:r w:rsidRPr="0006716F">
              <w:rPr>
                <w:rFonts w:eastAsia="Malgun Gothic" w:cs="Arial"/>
                <w:sz w:val="16"/>
                <w:szCs w:val="16"/>
              </w:rPr>
              <w:t xml:space="preserve">To showcase: </w:t>
            </w:r>
            <w:r>
              <w:rPr>
                <w:rFonts w:eastAsia="Malgun Gothic" w:cs="Arial"/>
                <w:sz w:val="16"/>
                <w:szCs w:val="16"/>
              </w:rPr>
              <w:t xml:space="preserve"> </w:t>
            </w:r>
            <w:r w:rsidRPr="0006716F">
              <w:rPr>
                <w:rFonts w:eastAsia="Malgun Gothic" w:cs="Arial"/>
                <w:sz w:val="16"/>
                <w:szCs w:val="16"/>
              </w:rPr>
              <w:t xml:space="preserve">(i) the Korean experience in transforming knowledge into commercially viable products; </w:t>
            </w:r>
            <w:r>
              <w:rPr>
                <w:rFonts w:eastAsia="Malgun Gothic" w:cs="Arial"/>
                <w:sz w:val="16"/>
                <w:szCs w:val="16"/>
              </w:rPr>
              <w:t xml:space="preserve"> </w:t>
            </w:r>
            <w:r w:rsidRPr="0006716F">
              <w:rPr>
                <w:rFonts w:eastAsia="Malgun Gothic" w:cs="Arial"/>
                <w:sz w:val="16"/>
                <w:szCs w:val="16"/>
              </w:rPr>
              <w:t>(ii) the role public policy plays in the process;</w:t>
            </w:r>
            <w:r>
              <w:rPr>
                <w:rFonts w:eastAsia="Malgun Gothic" w:cs="Arial"/>
                <w:sz w:val="16"/>
                <w:szCs w:val="16"/>
              </w:rPr>
              <w:t xml:space="preserve"> </w:t>
            </w:r>
            <w:r w:rsidRPr="0006716F">
              <w:rPr>
                <w:rFonts w:eastAsia="Malgun Gothic" w:cs="Arial"/>
                <w:sz w:val="16"/>
                <w:szCs w:val="16"/>
              </w:rPr>
              <w:t xml:space="preserve"> (iii) the role technology transfer offices (TTOs) play as connectors of research and industries; </w:t>
            </w:r>
            <w:r>
              <w:rPr>
                <w:rFonts w:eastAsia="Malgun Gothic" w:cs="Arial"/>
                <w:sz w:val="16"/>
                <w:szCs w:val="16"/>
              </w:rPr>
              <w:t xml:space="preserve"> </w:t>
            </w:r>
            <w:r w:rsidRPr="0006716F">
              <w:rPr>
                <w:rFonts w:eastAsia="Malgun Gothic" w:cs="Arial"/>
                <w:sz w:val="16"/>
                <w:szCs w:val="16"/>
              </w:rPr>
              <w:t>and (iv) how the entire innovation value chain (from the lab to the market place) is organized.</w:t>
            </w:r>
          </w:p>
        </w:tc>
      </w:tr>
      <w:tr w:rsidR="008355F0" w:rsidRPr="0006716F" w:rsidTr="00E92F85">
        <w:trPr>
          <w:trHeight w:val="1442"/>
        </w:trPr>
        <w:tc>
          <w:tcPr>
            <w:tcW w:w="1873" w:type="dxa"/>
            <w:gridSpan w:val="2"/>
          </w:tcPr>
          <w:p w:rsidR="008355F0" w:rsidRPr="0006716F" w:rsidRDefault="008355F0" w:rsidP="003867F8">
            <w:pPr>
              <w:spacing w:before="60" w:after="60"/>
              <w:rPr>
                <w:rFonts w:cs="Arial"/>
                <w:color w:val="000000"/>
                <w:sz w:val="16"/>
                <w:szCs w:val="16"/>
                <w:lang w:eastAsia="ko-KR"/>
              </w:rPr>
            </w:pPr>
            <w:r w:rsidRPr="0006716F">
              <w:rPr>
                <w:rFonts w:cs="Arial"/>
                <w:sz w:val="16"/>
                <w:szCs w:val="16"/>
                <w:lang w:eastAsia="ko-KR"/>
              </w:rPr>
              <w:t>Study Visit of Indonesian Delegation on Formulation of National Intellectual Property (IP) Strategy for Building Effective IP Ecosystem</w:t>
            </w:r>
          </w:p>
        </w:tc>
        <w:tc>
          <w:tcPr>
            <w:tcW w:w="1134" w:type="dxa"/>
            <w:shd w:val="clear" w:color="auto" w:fill="auto"/>
            <w:tcMar>
              <w:top w:w="110" w:type="dxa"/>
            </w:tcMar>
          </w:tcPr>
          <w:p w:rsidR="008355F0" w:rsidRPr="0006716F" w:rsidRDefault="008355F0" w:rsidP="003867F8">
            <w:pPr>
              <w:spacing w:before="60" w:after="60"/>
              <w:rPr>
                <w:rFonts w:cs="Arial"/>
                <w:color w:val="000000"/>
                <w:sz w:val="16"/>
                <w:szCs w:val="16"/>
              </w:rPr>
            </w:pPr>
            <w:r w:rsidRPr="0006716F">
              <w:rPr>
                <w:rFonts w:cs="Arial"/>
                <w:sz w:val="16"/>
                <w:szCs w:val="16"/>
                <w:lang w:eastAsia="ko-KR"/>
              </w:rPr>
              <w:t>December 21 to 24, 2015</w:t>
            </w:r>
          </w:p>
        </w:tc>
        <w:tc>
          <w:tcPr>
            <w:tcW w:w="1843" w:type="dxa"/>
            <w:shd w:val="clear" w:color="auto" w:fill="auto"/>
            <w:tcMar>
              <w:top w:w="110" w:type="dxa"/>
            </w:tcMar>
          </w:tcPr>
          <w:p w:rsidR="008355F0" w:rsidRPr="0006716F" w:rsidRDefault="008355F0" w:rsidP="003867F8">
            <w:pPr>
              <w:autoSpaceDE w:val="0"/>
              <w:autoSpaceDN w:val="0"/>
              <w:adjustRightInd w:val="0"/>
              <w:spacing w:before="60" w:after="60"/>
              <w:rPr>
                <w:rFonts w:eastAsia="Malgun Gothic" w:cs="Arial"/>
                <w:bCs/>
                <w:sz w:val="16"/>
                <w:szCs w:val="16"/>
                <w:lang w:eastAsia="ko-KR"/>
              </w:rPr>
            </w:pPr>
            <w:r w:rsidRPr="0006716F">
              <w:rPr>
                <w:rFonts w:cs="Arial"/>
                <w:sz w:val="16"/>
                <w:szCs w:val="16"/>
                <w:lang w:eastAsia="ko-KR"/>
              </w:rPr>
              <w:t>Republic of Korea/ Indonesia</w:t>
            </w:r>
          </w:p>
        </w:tc>
        <w:tc>
          <w:tcPr>
            <w:tcW w:w="4678" w:type="dxa"/>
            <w:shd w:val="clear" w:color="auto" w:fill="FFFFFF"/>
            <w:tcMar>
              <w:top w:w="110" w:type="dxa"/>
            </w:tcMar>
          </w:tcPr>
          <w:p w:rsidR="008355F0" w:rsidRPr="0006716F" w:rsidRDefault="008355F0" w:rsidP="003867F8">
            <w:pPr>
              <w:spacing w:before="60" w:after="60"/>
              <w:rPr>
                <w:rFonts w:eastAsia="Malgun Gothic" w:cs="Arial"/>
                <w:color w:val="000000"/>
                <w:sz w:val="16"/>
                <w:szCs w:val="16"/>
              </w:rPr>
            </w:pPr>
            <w:r w:rsidRPr="0006716F">
              <w:rPr>
                <w:rFonts w:cs="Arial"/>
                <w:sz w:val="16"/>
                <w:szCs w:val="16"/>
              </w:rPr>
              <w:t>To</w:t>
            </w:r>
            <w:r>
              <w:rPr>
                <w:rFonts w:cs="Arial"/>
                <w:sz w:val="16"/>
                <w:szCs w:val="16"/>
              </w:rPr>
              <w:t>:</w:t>
            </w:r>
            <w:r w:rsidRPr="0006716F">
              <w:rPr>
                <w:rFonts w:cs="Arial"/>
                <w:sz w:val="16"/>
                <w:szCs w:val="16"/>
              </w:rPr>
              <w:t xml:space="preserve"> </w:t>
            </w:r>
            <w:r>
              <w:rPr>
                <w:rFonts w:cs="Arial"/>
                <w:sz w:val="16"/>
                <w:szCs w:val="16"/>
              </w:rPr>
              <w:t xml:space="preserve"> </w:t>
            </w:r>
            <w:r w:rsidRPr="0006716F">
              <w:rPr>
                <w:rFonts w:cs="Arial"/>
                <w:sz w:val="16"/>
                <w:szCs w:val="16"/>
                <w:lang w:eastAsia="ko-KR"/>
              </w:rPr>
              <w:t xml:space="preserve">(i) </w:t>
            </w:r>
            <w:r w:rsidRPr="0006716F">
              <w:rPr>
                <w:rFonts w:eastAsiaTheme="minorEastAsia" w:cs="Arial"/>
                <w:sz w:val="16"/>
                <w:szCs w:val="16"/>
                <w:lang w:eastAsia="ko-KR"/>
              </w:rPr>
              <w:t xml:space="preserve">enhance the knowledge of IP government officials/professionals on policy initiatives and approaches that may be taken to strengthen IP systems;  and (ii) assist in building the capacities of national IP </w:t>
            </w:r>
            <w:r>
              <w:rPr>
                <w:rFonts w:eastAsiaTheme="minorEastAsia" w:cs="Arial"/>
                <w:sz w:val="16"/>
                <w:szCs w:val="16"/>
                <w:lang w:eastAsia="ko-KR"/>
              </w:rPr>
              <w:t>O</w:t>
            </w:r>
            <w:r w:rsidRPr="0006716F">
              <w:rPr>
                <w:rFonts w:eastAsiaTheme="minorEastAsia" w:cs="Arial"/>
                <w:sz w:val="16"/>
                <w:szCs w:val="16"/>
                <w:lang w:eastAsia="ko-KR"/>
              </w:rPr>
              <w:t>ffices/organizations to undertake programs to effectively use IP for development.</w:t>
            </w:r>
          </w:p>
        </w:tc>
      </w:tr>
      <w:tr w:rsidR="008355F0" w:rsidRPr="0006716F" w:rsidTr="00E92F85">
        <w:tc>
          <w:tcPr>
            <w:tcW w:w="1873" w:type="dxa"/>
            <w:gridSpan w:val="2"/>
          </w:tcPr>
          <w:p w:rsidR="008355F0" w:rsidRPr="0006716F" w:rsidRDefault="008355F0" w:rsidP="003867F8">
            <w:pPr>
              <w:autoSpaceDE w:val="0"/>
              <w:autoSpaceDN w:val="0"/>
              <w:adjustRightInd w:val="0"/>
              <w:spacing w:before="60" w:after="60"/>
              <w:rPr>
                <w:rFonts w:cs="Arial"/>
                <w:color w:val="000000"/>
                <w:sz w:val="16"/>
                <w:szCs w:val="16"/>
              </w:rPr>
            </w:pPr>
            <w:r w:rsidRPr="0006716F">
              <w:rPr>
                <w:rFonts w:cs="Arial"/>
                <w:color w:val="000000"/>
                <w:sz w:val="16"/>
                <w:szCs w:val="16"/>
              </w:rPr>
              <w:t>Expert Mission</w:t>
            </w:r>
          </w:p>
        </w:tc>
        <w:tc>
          <w:tcPr>
            <w:tcW w:w="1134" w:type="dxa"/>
            <w:shd w:val="clear" w:color="auto" w:fill="auto"/>
            <w:tcMar>
              <w:top w:w="110" w:type="dxa"/>
            </w:tcMar>
          </w:tcPr>
          <w:p w:rsidR="008355F0" w:rsidRPr="0006716F" w:rsidRDefault="008355F0" w:rsidP="003867F8">
            <w:pPr>
              <w:pStyle w:val="Normal-table"/>
              <w:spacing w:before="60" w:after="60"/>
              <w:rPr>
                <w:rFonts w:cs="Arial"/>
                <w:sz w:val="16"/>
                <w:szCs w:val="16"/>
                <w:lang w:eastAsia="ko-KR"/>
              </w:rPr>
            </w:pPr>
            <w:r w:rsidRPr="0006716F">
              <w:rPr>
                <w:rFonts w:cs="Arial"/>
                <w:sz w:val="16"/>
                <w:szCs w:val="16"/>
                <w:lang w:eastAsia="ko-KR"/>
              </w:rPr>
              <w:t>November 4 to 5, 2015</w:t>
            </w:r>
          </w:p>
        </w:tc>
        <w:tc>
          <w:tcPr>
            <w:tcW w:w="1843" w:type="dxa"/>
            <w:shd w:val="clear" w:color="auto" w:fill="auto"/>
            <w:tcMar>
              <w:top w:w="110" w:type="dxa"/>
            </w:tcMar>
          </w:tcPr>
          <w:p w:rsidR="008355F0" w:rsidRPr="0006716F" w:rsidRDefault="008355F0" w:rsidP="003867F8">
            <w:pPr>
              <w:spacing w:before="60" w:after="60"/>
              <w:contextualSpacing/>
              <w:rPr>
                <w:rFonts w:cs="Arial"/>
                <w:color w:val="000000"/>
                <w:sz w:val="16"/>
                <w:szCs w:val="16"/>
              </w:rPr>
            </w:pPr>
            <w:r w:rsidRPr="0006716F">
              <w:rPr>
                <w:rFonts w:cs="Arial"/>
                <w:color w:val="000000"/>
                <w:sz w:val="16"/>
                <w:szCs w:val="16"/>
              </w:rPr>
              <w:t>Republic of Korea</w:t>
            </w:r>
          </w:p>
        </w:tc>
        <w:tc>
          <w:tcPr>
            <w:tcW w:w="4678" w:type="dxa"/>
            <w:shd w:val="clear" w:color="auto" w:fill="FFFFFF"/>
            <w:tcMar>
              <w:top w:w="110" w:type="dxa"/>
            </w:tcMar>
          </w:tcPr>
          <w:p w:rsidR="008355F0" w:rsidRPr="0006716F" w:rsidRDefault="008355F0" w:rsidP="003867F8">
            <w:pPr>
              <w:keepNext/>
              <w:keepLines/>
              <w:autoSpaceDE w:val="0"/>
              <w:autoSpaceDN w:val="0"/>
              <w:adjustRightInd w:val="0"/>
              <w:spacing w:before="60" w:after="60"/>
              <w:rPr>
                <w:rFonts w:eastAsia="SimSun" w:cs="Arial"/>
                <w:sz w:val="16"/>
                <w:szCs w:val="16"/>
                <w:lang w:eastAsia="ko-KR"/>
              </w:rPr>
            </w:pPr>
            <w:r w:rsidRPr="0006716F">
              <w:rPr>
                <w:rFonts w:eastAsia="SimSun" w:cs="Arial"/>
                <w:sz w:val="16"/>
                <w:szCs w:val="16"/>
                <w:lang w:eastAsia="ko-KR"/>
              </w:rPr>
              <w:t xml:space="preserve">To: </w:t>
            </w:r>
            <w:r>
              <w:rPr>
                <w:rFonts w:eastAsia="SimSun" w:cs="Arial"/>
                <w:sz w:val="16"/>
                <w:szCs w:val="16"/>
                <w:lang w:eastAsia="ko-KR"/>
              </w:rPr>
              <w:t xml:space="preserve"> </w:t>
            </w:r>
            <w:r w:rsidRPr="0006716F">
              <w:rPr>
                <w:rFonts w:eastAsia="SimSun" w:cs="Arial"/>
                <w:sz w:val="16"/>
                <w:szCs w:val="16"/>
                <w:lang w:eastAsia="ko-KR"/>
              </w:rPr>
              <w:t xml:space="preserve">(i) assess the progress made in PCT operations; </w:t>
            </w:r>
            <w:r>
              <w:rPr>
                <w:rFonts w:eastAsia="SimSun" w:cs="Arial"/>
                <w:sz w:val="16"/>
                <w:szCs w:val="16"/>
                <w:lang w:eastAsia="ko-KR"/>
              </w:rPr>
              <w:t xml:space="preserve"> </w:t>
            </w:r>
            <w:r w:rsidRPr="0006716F">
              <w:rPr>
                <w:rFonts w:eastAsia="SimSun" w:cs="Arial"/>
                <w:sz w:val="16"/>
                <w:szCs w:val="16"/>
                <w:lang w:eastAsia="ko-KR"/>
              </w:rPr>
              <w:t xml:space="preserve">and (ii) strengthen cooperation between WIPO and the Korean Intellectual Property Office (KIPO).  </w:t>
            </w:r>
          </w:p>
        </w:tc>
      </w:tr>
      <w:tr w:rsidR="008355F0" w:rsidRPr="0006716F" w:rsidTr="00E92F85">
        <w:tc>
          <w:tcPr>
            <w:tcW w:w="9528" w:type="dxa"/>
            <w:gridSpan w:val="5"/>
            <w:tcBorders>
              <w:top w:val="single" w:sz="4" w:space="0" w:color="000000"/>
              <w:bottom w:val="single" w:sz="4" w:space="0" w:color="000000"/>
            </w:tcBorders>
            <w:shd w:val="clear" w:color="auto" w:fill="C6D9F1" w:themeFill="text2" w:themeFillTint="33"/>
            <w:vAlign w:val="center"/>
          </w:tcPr>
          <w:p w:rsidR="008355F0" w:rsidRPr="00920AD0" w:rsidRDefault="008355F0" w:rsidP="003867F8">
            <w:pPr>
              <w:keepNext/>
              <w:keepLines/>
              <w:tabs>
                <w:tab w:val="left" w:pos="1740"/>
              </w:tabs>
              <w:spacing w:before="60" w:after="60"/>
              <w:ind w:left="1741" w:hanging="1741"/>
              <w:rPr>
                <w:rFonts w:cs="Arial"/>
                <w:b/>
                <w:bCs/>
                <w:sz w:val="16"/>
                <w:szCs w:val="16"/>
              </w:rPr>
            </w:pPr>
            <w:r w:rsidRPr="00920AD0">
              <w:rPr>
                <w:rFonts w:cs="Arial"/>
                <w:b/>
                <w:bCs/>
                <w:color w:val="000000"/>
                <w:sz w:val="16"/>
                <w:szCs w:val="16"/>
              </w:rPr>
              <w:t>RESULT</w:t>
            </w:r>
            <w:r w:rsidRPr="00920AD0">
              <w:rPr>
                <w:rFonts w:cs="Arial"/>
                <w:b/>
                <w:bCs/>
                <w:sz w:val="16"/>
                <w:szCs w:val="16"/>
              </w:rPr>
              <w:t>:</w:t>
            </w:r>
            <w:r w:rsidRPr="00920AD0">
              <w:rPr>
                <w:rFonts w:cs="Arial"/>
                <w:b/>
                <w:bCs/>
                <w:sz w:val="16"/>
                <w:szCs w:val="16"/>
              </w:rPr>
              <w:tab/>
            </w:r>
            <w:r w:rsidRPr="00920AD0">
              <w:rPr>
                <w:rFonts w:cs="Arial"/>
                <w:bCs/>
                <w:color w:val="000000"/>
                <w:sz w:val="16"/>
                <w:szCs w:val="16"/>
              </w:rPr>
              <w:t>III.2. Enhanced human resource capacities able to deal with the broad range of requirements for the effective use of IP for development in developing countries, LDCs and countries with economies in transition</w:t>
            </w:r>
          </w:p>
        </w:tc>
      </w:tr>
      <w:tr w:rsidR="008355F0" w:rsidRPr="0006716F" w:rsidTr="00E92F85">
        <w:trPr>
          <w:trHeight w:val="402"/>
        </w:trPr>
        <w:tc>
          <w:tcPr>
            <w:tcW w:w="1873" w:type="dxa"/>
            <w:gridSpan w:val="2"/>
            <w:tcBorders>
              <w:top w:val="single" w:sz="4" w:space="0" w:color="000000"/>
            </w:tcBorders>
            <w:vAlign w:val="center"/>
          </w:tcPr>
          <w:p w:rsidR="008355F0" w:rsidRPr="00920AD0" w:rsidRDefault="008355F0" w:rsidP="003867F8">
            <w:pPr>
              <w:keepNext/>
              <w:keepLines/>
              <w:spacing w:before="60" w:after="60"/>
              <w:rPr>
                <w:rFonts w:cs="Arial"/>
                <w:b/>
                <w:bCs/>
                <w:sz w:val="16"/>
                <w:szCs w:val="16"/>
              </w:rPr>
            </w:pPr>
            <w:r w:rsidRPr="00920AD0">
              <w:rPr>
                <w:rFonts w:cs="Arial"/>
                <w:b/>
                <w:bCs/>
                <w:sz w:val="16"/>
                <w:szCs w:val="16"/>
              </w:rPr>
              <w:t>Activity</w:t>
            </w:r>
          </w:p>
        </w:tc>
        <w:tc>
          <w:tcPr>
            <w:tcW w:w="1134" w:type="dxa"/>
            <w:tcBorders>
              <w:top w:val="single" w:sz="4" w:space="0" w:color="000000"/>
            </w:tcBorders>
            <w:shd w:val="clear" w:color="auto" w:fill="auto"/>
            <w:tcMar>
              <w:top w:w="110" w:type="dxa"/>
            </w:tcMar>
            <w:vAlign w:val="center"/>
          </w:tcPr>
          <w:p w:rsidR="008355F0" w:rsidRPr="00920AD0" w:rsidRDefault="008355F0" w:rsidP="003867F8">
            <w:pPr>
              <w:keepNext/>
              <w:spacing w:before="60" w:after="60"/>
              <w:rPr>
                <w:rFonts w:cs="Arial"/>
                <w:sz w:val="16"/>
                <w:szCs w:val="16"/>
              </w:rPr>
            </w:pPr>
            <w:r w:rsidRPr="00920AD0">
              <w:rPr>
                <w:rFonts w:cs="Arial"/>
                <w:b/>
                <w:bCs/>
                <w:sz w:val="16"/>
                <w:szCs w:val="16"/>
              </w:rPr>
              <w:t>Date</w:t>
            </w:r>
          </w:p>
        </w:tc>
        <w:tc>
          <w:tcPr>
            <w:tcW w:w="1843" w:type="dxa"/>
            <w:tcBorders>
              <w:top w:val="single" w:sz="4" w:space="0" w:color="000000"/>
            </w:tcBorders>
            <w:shd w:val="clear" w:color="auto" w:fill="auto"/>
            <w:tcMar>
              <w:top w:w="110" w:type="dxa"/>
            </w:tcMar>
            <w:vAlign w:val="center"/>
          </w:tcPr>
          <w:p w:rsidR="008355F0" w:rsidRPr="00920AD0" w:rsidRDefault="008355F0" w:rsidP="003867F8">
            <w:pPr>
              <w:keepNext/>
              <w:spacing w:before="60" w:after="60"/>
              <w:rPr>
                <w:rFonts w:cs="Arial"/>
                <w:sz w:val="16"/>
                <w:szCs w:val="16"/>
              </w:rPr>
            </w:pPr>
            <w:r w:rsidRPr="00920AD0">
              <w:rPr>
                <w:rFonts w:cs="Arial"/>
                <w:b/>
                <w:bCs/>
                <w:sz w:val="16"/>
                <w:szCs w:val="16"/>
              </w:rPr>
              <w:t>Host Country/</w:t>
            </w:r>
            <w:r w:rsidRPr="00920AD0">
              <w:rPr>
                <w:rFonts w:cs="Arial"/>
                <w:b/>
                <w:bCs/>
                <w:sz w:val="16"/>
                <w:szCs w:val="16"/>
              </w:rPr>
              <w:br/>
              <w:t>Recipients</w:t>
            </w:r>
          </w:p>
        </w:tc>
        <w:tc>
          <w:tcPr>
            <w:tcW w:w="4678" w:type="dxa"/>
            <w:tcBorders>
              <w:top w:val="single" w:sz="4" w:space="0" w:color="000000"/>
            </w:tcBorders>
            <w:shd w:val="clear" w:color="auto" w:fill="FFFFFF"/>
            <w:tcMar>
              <w:top w:w="110" w:type="dxa"/>
            </w:tcMar>
            <w:vAlign w:val="center"/>
          </w:tcPr>
          <w:p w:rsidR="008355F0" w:rsidRPr="00920AD0" w:rsidRDefault="008355F0" w:rsidP="003867F8">
            <w:pPr>
              <w:keepNext/>
              <w:spacing w:before="60" w:after="60"/>
              <w:rPr>
                <w:rFonts w:cs="Arial"/>
                <w:sz w:val="16"/>
                <w:szCs w:val="16"/>
              </w:rPr>
            </w:pPr>
            <w:r w:rsidRPr="00920AD0">
              <w:rPr>
                <w:rFonts w:cs="Arial"/>
                <w:b/>
                <w:bCs/>
                <w:sz w:val="16"/>
                <w:szCs w:val="16"/>
              </w:rPr>
              <w:t>Purpose(s)/Description(s)</w:t>
            </w:r>
          </w:p>
        </w:tc>
      </w:tr>
      <w:tr w:rsidR="008355F0" w:rsidRPr="0006716F" w:rsidTr="00E92F85">
        <w:tc>
          <w:tcPr>
            <w:tcW w:w="1873" w:type="dxa"/>
            <w:gridSpan w:val="2"/>
            <w:tcBorders>
              <w:bottom w:val="nil"/>
            </w:tcBorders>
          </w:tcPr>
          <w:p w:rsidR="008355F0" w:rsidRPr="00920AD0" w:rsidRDefault="008355F0" w:rsidP="003867F8">
            <w:pPr>
              <w:autoSpaceDE w:val="0"/>
              <w:autoSpaceDN w:val="0"/>
              <w:adjustRightInd w:val="0"/>
              <w:spacing w:before="60" w:after="60"/>
              <w:rPr>
                <w:rFonts w:cs="Arial"/>
                <w:color w:val="000000"/>
                <w:sz w:val="16"/>
                <w:szCs w:val="16"/>
              </w:rPr>
            </w:pPr>
            <w:r w:rsidRPr="0006716F">
              <w:rPr>
                <w:rFonts w:cs="Arial"/>
                <w:sz w:val="16"/>
                <w:szCs w:val="16"/>
              </w:rPr>
              <w:t xml:space="preserve">WIPO-KIPO-DIP Regional </w:t>
            </w:r>
            <w:r w:rsidRPr="0006716F">
              <w:rPr>
                <w:rFonts w:cs="Arial"/>
                <w:sz w:val="16"/>
                <w:szCs w:val="16"/>
                <w:lang w:eastAsia="ko-KR"/>
              </w:rPr>
              <w:t xml:space="preserve">Colloquium on Intellectual Property </w:t>
            </w:r>
            <w:r w:rsidRPr="0006716F">
              <w:rPr>
                <w:rFonts w:cs="Arial"/>
                <w:sz w:val="16"/>
                <w:szCs w:val="16"/>
              </w:rPr>
              <w:t>Enforcement for Judges and Prosecutors</w:t>
            </w:r>
          </w:p>
        </w:tc>
        <w:tc>
          <w:tcPr>
            <w:tcW w:w="1134" w:type="dxa"/>
            <w:tcBorders>
              <w:bottom w:val="nil"/>
            </w:tcBorders>
          </w:tcPr>
          <w:p w:rsidR="008355F0" w:rsidRPr="0006716F" w:rsidRDefault="008355F0" w:rsidP="003867F8">
            <w:pPr>
              <w:keepNext/>
              <w:spacing w:before="60" w:after="60"/>
              <w:rPr>
                <w:rFonts w:cs="Arial"/>
                <w:bCs/>
                <w:sz w:val="16"/>
                <w:szCs w:val="16"/>
              </w:rPr>
            </w:pPr>
            <w:r w:rsidRPr="0006716F">
              <w:rPr>
                <w:rFonts w:cs="Arial"/>
                <w:bCs/>
                <w:sz w:val="16"/>
                <w:szCs w:val="16"/>
              </w:rPr>
              <w:t>October 28 to 29, 2015</w:t>
            </w:r>
          </w:p>
        </w:tc>
        <w:tc>
          <w:tcPr>
            <w:tcW w:w="1843" w:type="dxa"/>
            <w:tcBorders>
              <w:bottom w:val="nil"/>
            </w:tcBorders>
          </w:tcPr>
          <w:p w:rsidR="008355F0" w:rsidRPr="0006716F" w:rsidRDefault="008355F0" w:rsidP="003867F8">
            <w:pPr>
              <w:keepNext/>
              <w:spacing w:before="60" w:after="60"/>
              <w:rPr>
                <w:rFonts w:cs="Arial"/>
                <w:bCs/>
                <w:sz w:val="16"/>
                <w:szCs w:val="16"/>
              </w:rPr>
            </w:pPr>
            <w:r w:rsidRPr="0006716F">
              <w:rPr>
                <w:rFonts w:cs="Arial"/>
                <w:bCs/>
                <w:sz w:val="16"/>
                <w:szCs w:val="16"/>
              </w:rPr>
              <w:t xml:space="preserve">Thailand/Brunei Darussalam, Cambodia, China, Indonesia, </w:t>
            </w:r>
            <w:r w:rsidRPr="0006716F">
              <w:rPr>
                <w:rFonts w:cs="Arial"/>
                <w:sz w:val="16"/>
                <w:szCs w:val="16"/>
                <w:lang w:eastAsia="ko-KR"/>
              </w:rPr>
              <w:t>Lao People’s Democratic Republic</w:t>
            </w:r>
            <w:r w:rsidRPr="0006716F">
              <w:rPr>
                <w:rFonts w:eastAsia="Malgun Gothic" w:cs="Arial"/>
                <w:sz w:val="16"/>
                <w:szCs w:val="16"/>
                <w:lang w:eastAsia="ko-KR"/>
              </w:rPr>
              <w:t>,</w:t>
            </w:r>
            <w:r w:rsidRPr="0006716F">
              <w:rPr>
                <w:rFonts w:cs="Arial"/>
                <w:bCs/>
                <w:sz w:val="16"/>
                <w:szCs w:val="16"/>
              </w:rPr>
              <w:t xml:space="preserve"> Malaysia, Myanmar, Philippines, Republic of Korea, Singapore, Thailand and Viet Nam</w:t>
            </w:r>
          </w:p>
        </w:tc>
        <w:tc>
          <w:tcPr>
            <w:tcW w:w="4678" w:type="dxa"/>
            <w:tcBorders>
              <w:bottom w:val="nil"/>
            </w:tcBorders>
          </w:tcPr>
          <w:p w:rsidR="008355F0" w:rsidRPr="0006716F" w:rsidRDefault="008355F0" w:rsidP="003867F8">
            <w:pPr>
              <w:keepNext/>
              <w:spacing w:before="60" w:after="60"/>
              <w:rPr>
                <w:rFonts w:cs="Arial"/>
                <w:bCs/>
                <w:sz w:val="16"/>
                <w:szCs w:val="16"/>
              </w:rPr>
            </w:pPr>
            <w:r w:rsidRPr="0006716F">
              <w:rPr>
                <w:rFonts w:cs="Arial"/>
                <w:bCs/>
                <w:sz w:val="16"/>
                <w:szCs w:val="16"/>
              </w:rPr>
              <w:t>To:</w:t>
            </w:r>
            <w:r>
              <w:rPr>
                <w:rFonts w:cs="Arial"/>
                <w:bCs/>
                <w:sz w:val="16"/>
                <w:szCs w:val="16"/>
              </w:rPr>
              <w:t xml:space="preserve"> </w:t>
            </w:r>
            <w:r w:rsidRPr="0006716F">
              <w:rPr>
                <w:rFonts w:cs="Arial"/>
                <w:bCs/>
                <w:sz w:val="16"/>
                <w:szCs w:val="16"/>
              </w:rPr>
              <w:t xml:space="preserve"> (i) enhance knowledge of IP enforcement and its challenges;  (ii) increase the effectiveness of civil and criminal IP proceedings in the interest of development and consumer protection;  and (iii)  create an international network of IP experts from the judiciary that allows for ongoing exchange and cooperation.</w:t>
            </w:r>
          </w:p>
        </w:tc>
      </w:tr>
      <w:tr w:rsidR="008355F0" w:rsidRPr="0006716F" w:rsidTr="00E92F85">
        <w:trPr>
          <w:trHeight w:val="2101"/>
        </w:trPr>
        <w:tc>
          <w:tcPr>
            <w:tcW w:w="1873" w:type="dxa"/>
            <w:gridSpan w:val="2"/>
            <w:tcBorders>
              <w:bottom w:val="nil"/>
            </w:tcBorders>
          </w:tcPr>
          <w:p w:rsidR="008355F0" w:rsidRPr="00920AD0" w:rsidRDefault="008355F0" w:rsidP="003867F8">
            <w:pPr>
              <w:autoSpaceDE w:val="0"/>
              <w:autoSpaceDN w:val="0"/>
              <w:adjustRightInd w:val="0"/>
              <w:spacing w:before="60" w:after="60"/>
              <w:rPr>
                <w:rFonts w:cs="Arial"/>
                <w:color w:val="000000"/>
                <w:sz w:val="16"/>
                <w:szCs w:val="16"/>
              </w:rPr>
            </w:pPr>
            <w:r w:rsidRPr="0006716F">
              <w:rPr>
                <w:rFonts w:cs="Arial"/>
                <w:color w:val="000000"/>
                <w:sz w:val="16"/>
                <w:szCs w:val="16"/>
              </w:rPr>
              <w:t>Workshop</w:t>
            </w:r>
            <w:r w:rsidRPr="0006716F">
              <w:rPr>
                <w:rFonts w:cs="Arial"/>
                <w:color w:val="000000"/>
                <w:sz w:val="16"/>
                <w:szCs w:val="16"/>
                <w:lang w:eastAsia="ko-KR"/>
              </w:rPr>
              <w:t xml:space="preserve"> </w:t>
            </w:r>
            <w:r w:rsidRPr="0006716F">
              <w:rPr>
                <w:rFonts w:cs="Arial"/>
                <w:color w:val="000000"/>
                <w:sz w:val="16"/>
                <w:szCs w:val="16"/>
              </w:rPr>
              <w:t>on Patent Law and Examination</w:t>
            </w:r>
          </w:p>
        </w:tc>
        <w:tc>
          <w:tcPr>
            <w:tcW w:w="1134" w:type="dxa"/>
            <w:tcBorders>
              <w:bottom w:val="nil"/>
            </w:tcBorders>
          </w:tcPr>
          <w:p w:rsidR="008355F0" w:rsidRPr="0006716F" w:rsidRDefault="008355F0" w:rsidP="003867F8">
            <w:pPr>
              <w:keepNext/>
              <w:keepLines/>
              <w:autoSpaceDE w:val="0"/>
              <w:autoSpaceDN w:val="0"/>
              <w:adjustRightInd w:val="0"/>
              <w:spacing w:before="60" w:after="60"/>
              <w:rPr>
                <w:rFonts w:cs="Arial"/>
                <w:color w:val="000000"/>
                <w:sz w:val="16"/>
                <w:szCs w:val="16"/>
                <w:lang w:eastAsia="ko-KR"/>
              </w:rPr>
            </w:pPr>
            <w:r w:rsidRPr="0006716F">
              <w:rPr>
                <w:rFonts w:cs="Arial"/>
                <w:color w:val="000000"/>
                <w:sz w:val="16"/>
                <w:szCs w:val="16"/>
                <w:lang w:eastAsia="ko-KR"/>
              </w:rPr>
              <w:t>March 3 to 12, 2015</w:t>
            </w:r>
          </w:p>
          <w:p w:rsidR="008355F0" w:rsidRPr="0006716F" w:rsidRDefault="008355F0" w:rsidP="003867F8">
            <w:pPr>
              <w:autoSpaceDE w:val="0"/>
              <w:autoSpaceDN w:val="0"/>
              <w:adjustRightInd w:val="0"/>
              <w:spacing w:before="60" w:after="60"/>
              <w:rPr>
                <w:rFonts w:eastAsia="Malgun Gothic" w:cs="Arial"/>
                <w:color w:val="000000"/>
                <w:sz w:val="16"/>
                <w:szCs w:val="16"/>
                <w:lang w:eastAsia="ko-KR"/>
              </w:rPr>
            </w:pPr>
            <w:r w:rsidRPr="0006716F">
              <w:rPr>
                <w:rFonts w:cs="Arial"/>
                <w:color w:val="000000"/>
                <w:sz w:val="16"/>
                <w:szCs w:val="16"/>
              </w:rPr>
              <w:t xml:space="preserve">(OJT </w:t>
            </w:r>
            <w:r w:rsidRPr="0006716F">
              <w:rPr>
                <w:rFonts w:cs="Arial"/>
                <w:sz w:val="16"/>
                <w:szCs w:val="16"/>
                <w:lang w:eastAsia="ko-KR"/>
              </w:rPr>
              <w:t>Pilot Program;  March 16 to 27, 2015)</w:t>
            </w:r>
          </w:p>
        </w:tc>
        <w:tc>
          <w:tcPr>
            <w:tcW w:w="1843" w:type="dxa"/>
            <w:tcBorders>
              <w:bottom w:val="nil"/>
            </w:tcBorders>
          </w:tcPr>
          <w:p w:rsidR="008355F0" w:rsidRPr="0006716F" w:rsidRDefault="008355F0" w:rsidP="003867F8">
            <w:pPr>
              <w:keepNext/>
              <w:keepLines/>
              <w:autoSpaceDE w:val="0"/>
              <w:autoSpaceDN w:val="0"/>
              <w:adjustRightInd w:val="0"/>
              <w:spacing w:before="60" w:after="60"/>
              <w:rPr>
                <w:rFonts w:eastAsia="Malgun Gothic" w:cs="Arial"/>
                <w:color w:val="000000"/>
                <w:sz w:val="16"/>
                <w:szCs w:val="16"/>
                <w:lang w:eastAsia="ko-KR"/>
              </w:rPr>
            </w:pPr>
            <w:r w:rsidRPr="0006716F">
              <w:rPr>
                <w:rFonts w:cs="Arial"/>
                <w:color w:val="000000"/>
                <w:sz w:val="16"/>
                <w:szCs w:val="16"/>
              </w:rPr>
              <w:t xml:space="preserve">Republic of Korea/ </w:t>
            </w:r>
            <w:r w:rsidRPr="0006716F">
              <w:rPr>
                <w:rFonts w:eastAsia="Batang" w:cs="Arial"/>
                <w:sz w:val="16"/>
                <w:szCs w:val="16"/>
                <w:lang w:eastAsia="ko-KR"/>
              </w:rPr>
              <w:t>Bangladesh, Cambodia,</w:t>
            </w:r>
            <w:r w:rsidRPr="0006716F">
              <w:rPr>
                <w:rFonts w:cs="Arial"/>
                <w:sz w:val="16"/>
                <w:szCs w:val="16"/>
                <w:lang w:eastAsia="ko-KR"/>
              </w:rPr>
              <w:t xml:space="preserve"> Colombia, Ghana, India, Indonesia, Lao People’s Democratic Republic</w:t>
            </w:r>
            <w:r w:rsidRPr="0006716F">
              <w:rPr>
                <w:rFonts w:eastAsia="Malgun Gothic" w:cs="Arial"/>
                <w:sz w:val="16"/>
                <w:szCs w:val="16"/>
                <w:lang w:eastAsia="ko-KR"/>
              </w:rPr>
              <w:t xml:space="preserve">,  </w:t>
            </w:r>
            <w:r w:rsidRPr="0006716F">
              <w:rPr>
                <w:rFonts w:eastAsia="Batang" w:cs="Arial"/>
                <w:sz w:val="16"/>
                <w:szCs w:val="16"/>
                <w:lang w:eastAsia="ko-KR"/>
              </w:rPr>
              <w:t xml:space="preserve">Malaysia, </w:t>
            </w:r>
            <w:r w:rsidRPr="0006716F">
              <w:rPr>
                <w:rFonts w:cs="Arial"/>
                <w:sz w:val="16"/>
                <w:szCs w:val="16"/>
                <w:lang w:eastAsia="ko-KR"/>
              </w:rPr>
              <w:t>Mongolia,</w:t>
            </w:r>
            <w:r w:rsidRPr="0006716F">
              <w:rPr>
                <w:rFonts w:eastAsia="Batang" w:cs="Arial"/>
                <w:sz w:val="16"/>
                <w:szCs w:val="16"/>
                <w:lang w:eastAsia="ko-KR"/>
              </w:rPr>
              <w:t xml:space="preserve"> </w:t>
            </w:r>
            <w:r w:rsidRPr="0006716F">
              <w:rPr>
                <w:rFonts w:cs="Arial"/>
                <w:sz w:val="16"/>
                <w:szCs w:val="16"/>
                <w:lang w:eastAsia="ko-KR"/>
              </w:rPr>
              <w:t>Pakistan, Peru, Philippines</w:t>
            </w:r>
            <w:r w:rsidRPr="0006716F">
              <w:rPr>
                <w:rFonts w:eastAsia="Batang" w:cs="Arial"/>
                <w:sz w:val="16"/>
                <w:szCs w:val="16"/>
                <w:lang w:eastAsia="ko-KR"/>
              </w:rPr>
              <w:t xml:space="preserve">,     Sri Lanka, </w:t>
            </w:r>
            <w:r w:rsidRPr="0006716F">
              <w:rPr>
                <w:rFonts w:cs="Arial"/>
                <w:sz w:val="16"/>
                <w:szCs w:val="16"/>
                <w:lang w:eastAsia="ko-KR"/>
              </w:rPr>
              <w:t>Thailand,</w:t>
            </w:r>
            <w:r w:rsidRPr="0006716F">
              <w:rPr>
                <w:rFonts w:eastAsia="Malgun Gothic" w:cs="Arial"/>
                <w:sz w:val="16"/>
                <w:szCs w:val="16"/>
                <w:lang w:eastAsia="ko-KR"/>
              </w:rPr>
              <w:t xml:space="preserve"> Tunisia and </w:t>
            </w:r>
            <w:r w:rsidRPr="0006716F">
              <w:rPr>
                <w:rFonts w:cs="Arial"/>
                <w:sz w:val="16"/>
                <w:szCs w:val="16"/>
                <w:lang w:eastAsia="ko-KR"/>
              </w:rPr>
              <w:t>Viet Nam</w:t>
            </w:r>
          </w:p>
        </w:tc>
        <w:tc>
          <w:tcPr>
            <w:tcW w:w="4678" w:type="dxa"/>
            <w:tcBorders>
              <w:bottom w:val="nil"/>
            </w:tcBorders>
          </w:tcPr>
          <w:p w:rsidR="008355F0" w:rsidRPr="0006716F" w:rsidRDefault="008355F0" w:rsidP="003867F8">
            <w:pPr>
              <w:spacing w:before="60" w:after="60"/>
              <w:rPr>
                <w:rFonts w:cs="Arial"/>
                <w:color w:val="000000"/>
                <w:sz w:val="16"/>
                <w:szCs w:val="16"/>
                <w:lang w:eastAsia="ko-KR"/>
              </w:rPr>
            </w:pPr>
            <w:r w:rsidRPr="0006716F">
              <w:rPr>
                <w:rFonts w:eastAsia="Batang" w:cs="Arial"/>
                <w:sz w:val="16"/>
                <w:szCs w:val="16"/>
                <w:lang w:eastAsia="ko-KR"/>
              </w:rPr>
              <w:t xml:space="preserve">To:  </w:t>
            </w:r>
            <w:r w:rsidRPr="0006716F">
              <w:rPr>
                <w:rFonts w:eastAsia="SimSun" w:cs="Arial"/>
                <w:sz w:val="16"/>
                <w:szCs w:val="16"/>
                <w:lang w:val="x-none" w:eastAsia="ko-KR"/>
              </w:rPr>
              <w:t>(i) enhanc</w:t>
            </w:r>
            <w:r w:rsidRPr="0006716F">
              <w:rPr>
                <w:rFonts w:eastAsia="SimSun" w:cs="Arial"/>
                <w:sz w:val="16"/>
                <w:szCs w:val="16"/>
                <w:lang w:eastAsia="ko-KR"/>
              </w:rPr>
              <w:t>e</w:t>
            </w:r>
            <w:r w:rsidRPr="0006716F">
              <w:rPr>
                <w:rFonts w:eastAsia="SimSun" w:cs="Arial"/>
                <w:sz w:val="16"/>
                <w:szCs w:val="16"/>
                <w:lang w:val="x-none" w:eastAsia="ko-KR"/>
              </w:rPr>
              <w:t xml:space="preserve"> the knowledge and skills of patent examiners on examination procedures;  (ii) </w:t>
            </w:r>
            <w:r w:rsidRPr="0006716F">
              <w:rPr>
                <w:rFonts w:eastAsia="SimSun" w:cs="Arial"/>
                <w:sz w:val="16"/>
                <w:szCs w:val="16"/>
                <w:lang w:eastAsia="ko-KR"/>
              </w:rPr>
              <w:t xml:space="preserve">provide </w:t>
            </w:r>
            <w:r w:rsidRPr="0006716F">
              <w:rPr>
                <w:rFonts w:eastAsia="SimSun" w:cs="Arial"/>
                <w:sz w:val="16"/>
                <w:szCs w:val="16"/>
                <w:lang w:val="x-none" w:eastAsia="ko-KR"/>
              </w:rPr>
              <w:t xml:space="preserve">practical sessions on access to, and use of, foreign examination results, and understanding of notifications communicated;  (iii) </w:t>
            </w:r>
            <w:r>
              <w:rPr>
                <w:rFonts w:eastAsia="SimSun" w:cs="Arial"/>
                <w:sz w:val="16"/>
                <w:szCs w:val="16"/>
                <w:lang w:eastAsia="ko-KR"/>
              </w:rPr>
              <w:t xml:space="preserve">to provide a forum for participants to </w:t>
            </w:r>
            <w:r w:rsidRPr="0006716F">
              <w:rPr>
                <w:rFonts w:eastAsia="Malgun Gothic" w:cs="Arial"/>
                <w:sz w:val="16"/>
                <w:szCs w:val="16"/>
                <w:lang w:val="x-none" w:eastAsia="ko-KR"/>
              </w:rPr>
              <w:t xml:space="preserve">share views and discover the differences and commonalities in practice on </w:t>
            </w:r>
            <w:r w:rsidRPr="0006716F">
              <w:rPr>
                <w:rFonts w:eastAsia="SimSun" w:cs="Arial"/>
                <w:sz w:val="16"/>
                <w:szCs w:val="16"/>
                <w:lang w:val="x-none" w:eastAsia="ko-KR"/>
              </w:rPr>
              <w:t xml:space="preserve">patent </w:t>
            </w:r>
            <w:r w:rsidRPr="0006716F">
              <w:rPr>
                <w:rFonts w:eastAsia="Malgun Gothic" w:cs="Arial"/>
                <w:sz w:val="16"/>
                <w:szCs w:val="16"/>
                <w:lang w:val="x-none" w:eastAsia="ko-KR"/>
              </w:rPr>
              <w:t xml:space="preserve">substantive examination among the national </w:t>
            </w:r>
            <w:r>
              <w:rPr>
                <w:rFonts w:eastAsia="Malgun Gothic" w:cs="Arial"/>
                <w:sz w:val="16"/>
                <w:szCs w:val="16"/>
                <w:lang w:eastAsia="ko-KR"/>
              </w:rPr>
              <w:t>p</w:t>
            </w:r>
            <w:r w:rsidRPr="0006716F">
              <w:rPr>
                <w:rFonts w:eastAsia="Malgun Gothic" w:cs="Arial"/>
                <w:sz w:val="16"/>
                <w:szCs w:val="16"/>
                <w:lang w:val="x-none" w:eastAsia="ko-KR"/>
              </w:rPr>
              <w:t xml:space="preserve">atent Offices; </w:t>
            </w:r>
            <w:r w:rsidRPr="0006716F">
              <w:rPr>
                <w:rFonts w:eastAsia="Malgun Gothic" w:cs="Arial"/>
                <w:sz w:val="16"/>
                <w:szCs w:val="16"/>
                <w:lang w:eastAsia="ko-KR"/>
              </w:rPr>
              <w:t xml:space="preserve"> </w:t>
            </w:r>
            <w:r w:rsidRPr="0006716F">
              <w:rPr>
                <w:rFonts w:eastAsia="Malgun Gothic" w:cs="Arial"/>
                <w:sz w:val="16"/>
                <w:szCs w:val="16"/>
                <w:lang w:val="x-none" w:eastAsia="ko-KR"/>
              </w:rPr>
              <w:t xml:space="preserve">and  (iv) </w:t>
            </w:r>
            <w:r w:rsidRPr="002969E2">
              <w:rPr>
                <w:rFonts w:eastAsia="Malgun Gothic" w:cs="Arial"/>
                <w:sz w:val="16"/>
                <w:szCs w:val="16"/>
                <w:lang w:val="x-none" w:eastAsia="ko-KR"/>
              </w:rPr>
              <w:t>enhanc</w:t>
            </w:r>
            <w:r w:rsidRPr="0006716F">
              <w:rPr>
                <w:rFonts w:eastAsia="Malgun Gothic" w:cs="Arial"/>
                <w:sz w:val="16"/>
                <w:szCs w:val="16"/>
                <w:lang w:eastAsia="ko-KR"/>
              </w:rPr>
              <w:t>e</w:t>
            </w:r>
            <w:r w:rsidRPr="0006716F">
              <w:rPr>
                <w:rFonts w:eastAsia="Malgun Gothic" w:cs="Arial"/>
                <w:sz w:val="16"/>
                <w:szCs w:val="16"/>
                <w:lang w:val="x-none" w:eastAsia="ko-KR"/>
              </w:rPr>
              <w:t xml:space="preserve"> </w:t>
            </w:r>
            <w:r w:rsidRPr="0006716F">
              <w:rPr>
                <w:rFonts w:eastAsia="SimSun" w:cs="Arial"/>
                <w:sz w:val="16"/>
                <w:szCs w:val="16"/>
                <w:lang w:val="x-none" w:eastAsia="ko-KR"/>
              </w:rPr>
              <w:t xml:space="preserve">patent </w:t>
            </w:r>
            <w:r w:rsidRPr="0006716F">
              <w:rPr>
                <w:rFonts w:eastAsia="Malgun Gothic" w:cs="Arial"/>
                <w:sz w:val="16"/>
                <w:szCs w:val="16"/>
                <w:lang w:val="x-none" w:eastAsia="ko-KR"/>
              </w:rPr>
              <w:t>examination credibility</w:t>
            </w:r>
            <w:r w:rsidRPr="0006716F">
              <w:rPr>
                <w:rFonts w:eastAsia="Malgun Gothic" w:cs="Arial"/>
                <w:sz w:val="16"/>
                <w:szCs w:val="16"/>
                <w:lang w:eastAsia="ko-KR"/>
              </w:rPr>
              <w:t xml:space="preserve"> </w:t>
            </w:r>
            <w:r>
              <w:rPr>
                <w:rFonts w:eastAsia="Malgun Gothic" w:cs="Arial"/>
                <w:sz w:val="16"/>
                <w:szCs w:val="16"/>
                <w:lang w:eastAsia="ko-KR"/>
              </w:rPr>
              <w:t>through</w:t>
            </w:r>
            <w:r w:rsidRPr="0006716F">
              <w:rPr>
                <w:rFonts w:eastAsia="Malgun Gothic" w:cs="Arial"/>
                <w:sz w:val="16"/>
                <w:szCs w:val="16"/>
                <w:lang w:eastAsia="ko-KR"/>
              </w:rPr>
              <w:t xml:space="preserve"> patent quality control. </w:t>
            </w:r>
          </w:p>
        </w:tc>
      </w:tr>
      <w:tr w:rsidR="008355F0" w:rsidRPr="0006716F" w:rsidTr="00E92F85">
        <w:tc>
          <w:tcPr>
            <w:tcW w:w="1873" w:type="dxa"/>
            <w:gridSpan w:val="2"/>
            <w:tcBorders>
              <w:top w:val="nil"/>
              <w:bottom w:val="nil"/>
            </w:tcBorders>
          </w:tcPr>
          <w:p w:rsidR="008355F0" w:rsidRPr="00920AD0" w:rsidRDefault="008355F0" w:rsidP="003867F8">
            <w:pPr>
              <w:autoSpaceDE w:val="0"/>
              <w:autoSpaceDN w:val="0"/>
              <w:adjustRightInd w:val="0"/>
              <w:spacing w:before="60" w:after="60"/>
              <w:rPr>
                <w:rFonts w:cs="Arial"/>
                <w:color w:val="000000"/>
                <w:sz w:val="16"/>
                <w:szCs w:val="16"/>
              </w:rPr>
            </w:pPr>
            <w:r w:rsidRPr="0006716F">
              <w:rPr>
                <w:rFonts w:eastAsia="Malgun Gothic" w:cs="Arial"/>
                <w:sz w:val="16"/>
                <w:szCs w:val="16"/>
                <w:lang w:eastAsia="ko-KR"/>
              </w:rPr>
              <w:t>Exhibition on the IP IGNITE</w:t>
            </w:r>
          </w:p>
        </w:tc>
        <w:tc>
          <w:tcPr>
            <w:tcW w:w="1134" w:type="dxa"/>
            <w:tcBorders>
              <w:top w:val="nil"/>
              <w:bottom w:val="nil"/>
            </w:tcBorders>
          </w:tcPr>
          <w:p w:rsidR="008355F0" w:rsidRPr="00920AD0" w:rsidRDefault="008355F0" w:rsidP="003867F8">
            <w:pPr>
              <w:autoSpaceDE w:val="0"/>
              <w:autoSpaceDN w:val="0"/>
              <w:adjustRightInd w:val="0"/>
              <w:spacing w:before="60" w:after="60"/>
              <w:rPr>
                <w:rFonts w:eastAsia="Malgun Gothic" w:cs="Arial"/>
                <w:color w:val="000000"/>
                <w:sz w:val="16"/>
                <w:szCs w:val="16"/>
                <w:lang w:eastAsia="ko-KR"/>
              </w:rPr>
            </w:pPr>
            <w:r w:rsidRPr="0006716F">
              <w:rPr>
                <w:rFonts w:eastAsia="Malgun Gothic" w:cs="Arial"/>
                <w:color w:val="000000"/>
                <w:sz w:val="16"/>
                <w:szCs w:val="16"/>
                <w:lang w:eastAsia="ko-KR"/>
              </w:rPr>
              <w:t>April 20, 2015</w:t>
            </w:r>
          </w:p>
        </w:tc>
        <w:tc>
          <w:tcPr>
            <w:tcW w:w="1843" w:type="dxa"/>
            <w:tcBorders>
              <w:top w:val="nil"/>
              <w:bottom w:val="nil"/>
            </w:tcBorders>
          </w:tcPr>
          <w:p w:rsidR="008355F0" w:rsidRPr="0006716F" w:rsidRDefault="008355F0" w:rsidP="003867F8">
            <w:pPr>
              <w:autoSpaceDE w:val="0"/>
              <w:autoSpaceDN w:val="0"/>
              <w:adjustRightInd w:val="0"/>
              <w:spacing w:before="60" w:after="60"/>
              <w:rPr>
                <w:rFonts w:cs="Arial"/>
                <w:color w:val="000000"/>
                <w:sz w:val="16"/>
                <w:szCs w:val="16"/>
              </w:rPr>
            </w:pPr>
            <w:r w:rsidRPr="0006716F">
              <w:rPr>
                <w:rFonts w:cs="Arial"/>
                <w:color w:val="000000"/>
                <w:sz w:val="16"/>
                <w:szCs w:val="16"/>
              </w:rPr>
              <w:t>All WIPO Member States</w:t>
            </w:r>
          </w:p>
        </w:tc>
        <w:tc>
          <w:tcPr>
            <w:tcW w:w="4678" w:type="dxa"/>
            <w:tcBorders>
              <w:top w:val="nil"/>
              <w:bottom w:val="nil"/>
            </w:tcBorders>
          </w:tcPr>
          <w:p w:rsidR="008355F0" w:rsidRPr="00920AD0" w:rsidRDefault="008355F0" w:rsidP="003867F8">
            <w:pPr>
              <w:autoSpaceDE w:val="0"/>
              <w:autoSpaceDN w:val="0"/>
              <w:adjustRightInd w:val="0"/>
              <w:spacing w:before="60" w:after="60"/>
              <w:rPr>
                <w:rFonts w:cs="Arial"/>
                <w:color w:val="000000"/>
                <w:sz w:val="16"/>
                <w:szCs w:val="16"/>
                <w:lang w:eastAsia="ko-KR"/>
              </w:rPr>
            </w:pPr>
            <w:r w:rsidRPr="0006716F">
              <w:rPr>
                <w:rFonts w:cs="Arial"/>
                <w:sz w:val="16"/>
                <w:szCs w:val="16"/>
                <w:lang w:eastAsia="ko-KR"/>
              </w:rPr>
              <w:t>Commemoration o</w:t>
            </w:r>
            <w:r>
              <w:rPr>
                <w:rFonts w:cs="Arial"/>
                <w:sz w:val="16"/>
                <w:szCs w:val="16"/>
                <w:lang w:eastAsia="ko-KR"/>
              </w:rPr>
              <w:t>f</w:t>
            </w:r>
            <w:r w:rsidRPr="0006716F">
              <w:rPr>
                <w:rFonts w:cs="Arial"/>
                <w:sz w:val="16"/>
                <w:szCs w:val="16"/>
                <w:lang w:eastAsia="ko-KR"/>
              </w:rPr>
              <w:t xml:space="preserve"> the Launching of the IP IGNITE</w:t>
            </w:r>
            <w:r>
              <w:rPr>
                <w:rFonts w:cs="Arial"/>
                <w:sz w:val="16"/>
                <w:szCs w:val="16"/>
                <w:lang w:eastAsia="ko-KR"/>
              </w:rPr>
              <w:t>,</w:t>
            </w:r>
            <w:r w:rsidRPr="0006716F">
              <w:rPr>
                <w:rFonts w:cs="Arial"/>
                <w:sz w:val="16"/>
                <w:szCs w:val="16"/>
                <w:lang w:eastAsia="ko-KR"/>
              </w:rPr>
              <w:t xml:space="preserve"> which </w:t>
            </w:r>
            <w:r>
              <w:rPr>
                <w:rFonts w:cs="Arial"/>
                <w:sz w:val="16"/>
                <w:szCs w:val="16"/>
                <w:lang w:eastAsia="ko-KR"/>
              </w:rPr>
              <w:t>was</w:t>
            </w:r>
            <w:r w:rsidRPr="0006716F">
              <w:rPr>
                <w:rFonts w:cs="Arial"/>
                <w:sz w:val="16"/>
                <w:szCs w:val="16"/>
                <w:lang w:eastAsia="ko-KR"/>
              </w:rPr>
              <w:t xml:space="preserve"> developed by KIPO </w:t>
            </w:r>
            <w:r>
              <w:rPr>
                <w:rFonts w:cs="Arial"/>
                <w:sz w:val="16"/>
                <w:szCs w:val="16"/>
                <w:lang w:eastAsia="ko-KR"/>
              </w:rPr>
              <w:t>in</w:t>
            </w:r>
            <w:r w:rsidRPr="0006716F">
              <w:rPr>
                <w:rFonts w:cs="Arial"/>
                <w:sz w:val="16"/>
                <w:szCs w:val="16"/>
                <w:lang w:eastAsia="ko-KR"/>
              </w:rPr>
              <w:t xml:space="preserve"> cooperation </w:t>
            </w:r>
            <w:r>
              <w:rPr>
                <w:rFonts w:cs="Arial"/>
                <w:sz w:val="16"/>
                <w:szCs w:val="16"/>
                <w:lang w:eastAsia="ko-KR"/>
              </w:rPr>
              <w:t>with the</w:t>
            </w:r>
            <w:r w:rsidRPr="0006716F">
              <w:rPr>
                <w:rFonts w:cs="Arial"/>
                <w:sz w:val="16"/>
                <w:szCs w:val="16"/>
                <w:lang w:eastAsia="ko-KR"/>
              </w:rPr>
              <w:t xml:space="preserve"> WIPO Academy, to provide an audio/visually-enhanced general course on intellectual property using </w:t>
            </w:r>
            <w:r>
              <w:rPr>
                <w:rFonts w:cs="Arial"/>
                <w:sz w:val="16"/>
                <w:szCs w:val="16"/>
                <w:lang w:eastAsia="ko-KR"/>
              </w:rPr>
              <w:t xml:space="preserve">the </w:t>
            </w:r>
            <w:r w:rsidRPr="0006716F">
              <w:rPr>
                <w:rFonts w:cs="Arial"/>
                <w:sz w:val="16"/>
                <w:szCs w:val="16"/>
                <w:lang w:eastAsia="ko-KR"/>
              </w:rPr>
              <w:t>content of WIPO’s  DL-101 course.</w:t>
            </w:r>
            <w:r w:rsidRPr="00920AD0">
              <w:rPr>
                <w:rFonts w:cs="Arial"/>
                <w:color w:val="000000"/>
                <w:sz w:val="16"/>
                <w:szCs w:val="16"/>
                <w:lang w:eastAsia="ko-KR"/>
              </w:rPr>
              <w:t xml:space="preserve"> </w:t>
            </w:r>
          </w:p>
        </w:tc>
      </w:tr>
      <w:tr w:rsidR="008355F0" w:rsidRPr="0006716F" w:rsidTr="00E92F85">
        <w:tc>
          <w:tcPr>
            <w:tcW w:w="1873" w:type="dxa"/>
            <w:gridSpan w:val="2"/>
            <w:tcBorders>
              <w:top w:val="nil"/>
              <w:left w:val="single" w:sz="4" w:space="0" w:color="auto"/>
              <w:bottom w:val="nil"/>
            </w:tcBorders>
          </w:tcPr>
          <w:p w:rsidR="008355F0" w:rsidRPr="0006716F" w:rsidRDefault="008355F0" w:rsidP="003867F8">
            <w:pPr>
              <w:autoSpaceDE w:val="0"/>
              <w:autoSpaceDN w:val="0"/>
              <w:adjustRightInd w:val="0"/>
              <w:spacing w:before="60" w:after="60"/>
              <w:rPr>
                <w:rFonts w:eastAsia="Malgun Gothic" w:cs="Arial"/>
                <w:sz w:val="16"/>
                <w:szCs w:val="16"/>
                <w:lang w:eastAsia="ko-KR"/>
              </w:rPr>
            </w:pPr>
            <w:r w:rsidRPr="0006716F">
              <w:rPr>
                <w:rFonts w:cs="Arial"/>
                <w:color w:val="000000"/>
                <w:sz w:val="16"/>
                <w:szCs w:val="16"/>
              </w:rPr>
              <w:t xml:space="preserve">Regional Seminar on </w:t>
            </w:r>
            <w:r w:rsidRPr="0006716F">
              <w:rPr>
                <w:rFonts w:cs="Arial"/>
                <w:color w:val="000000"/>
                <w:sz w:val="16"/>
                <w:szCs w:val="16"/>
                <w:lang w:eastAsia="ko-KR"/>
              </w:rPr>
              <w:t xml:space="preserve">Formulation and </w:t>
            </w:r>
            <w:r w:rsidRPr="0006716F">
              <w:rPr>
                <w:rFonts w:cs="Arial"/>
                <w:color w:val="000000"/>
                <w:sz w:val="16"/>
                <w:szCs w:val="16"/>
              </w:rPr>
              <w:t>Implement</w:t>
            </w:r>
            <w:r w:rsidRPr="0006716F">
              <w:rPr>
                <w:rFonts w:cs="Arial"/>
                <w:color w:val="000000"/>
                <w:sz w:val="16"/>
                <w:szCs w:val="16"/>
                <w:lang w:eastAsia="ko-KR"/>
              </w:rPr>
              <w:t>ation of</w:t>
            </w:r>
            <w:r w:rsidRPr="0006716F">
              <w:rPr>
                <w:rFonts w:cs="Arial"/>
                <w:color w:val="000000"/>
                <w:sz w:val="16"/>
                <w:szCs w:val="16"/>
              </w:rPr>
              <w:t xml:space="preserve"> National Intellectual Property Polic</w:t>
            </w:r>
            <w:r w:rsidRPr="0006716F">
              <w:rPr>
                <w:rFonts w:cs="Arial"/>
                <w:color w:val="000000"/>
                <w:sz w:val="16"/>
                <w:szCs w:val="16"/>
                <w:lang w:eastAsia="ko-KR"/>
              </w:rPr>
              <w:t>y</w:t>
            </w:r>
          </w:p>
        </w:tc>
        <w:tc>
          <w:tcPr>
            <w:tcW w:w="1134" w:type="dxa"/>
            <w:tcBorders>
              <w:top w:val="nil"/>
              <w:bottom w:val="nil"/>
            </w:tcBorders>
          </w:tcPr>
          <w:p w:rsidR="008355F0" w:rsidRPr="0006716F" w:rsidRDefault="008355F0" w:rsidP="003867F8">
            <w:pPr>
              <w:autoSpaceDE w:val="0"/>
              <w:autoSpaceDN w:val="0"/>
              <w:adjustRightInd w:val="0"/>
              <w:spacing w:before="60" w:after="60"/>
              <w:rPr>
                <w:rFonts w:eastAsia="Malgun Gothic" w:cs="Arial"/>
                <w:color w:val="000000"/>
                <w:sz w:val="16"/>
                <w:szCs w:val="16"/>
                <w:lang w:eastAsia="ko-KR"/>
              </w:rPr>
            </w:pPr>
            <w:r w:rsidRPr="0006716F">
              <w:rPr>
                <w:rFonts w:eastAsia="Malgun Gothic" w:cs="Arial"/>
                <w:color w:val="000000"/>
                <w:sz w:val="16"/>
                <w:szCs w:val="16"/>
                <w:lang w:eastAsia="ko-KR"/>
              </w:rPr>
              <w:t>June 9 to 11, 2015</w:t>
            </w:r>
          </w:p>
        </w:tc>
        <w:tc>
          <w:tcPr>
            <w:tcW w:w="1843" w:type="dxa"/>
            <w:tcBorders>
              <w:top w:val="nil"/>
              <w:bottom w:val="nil"/>
            </w:tcBorders>
          </w:tcPr>
          <w:p w:rsidR="008355F0" w:rsidRPr="0006716F" w:rsidRDefault="008355F0" w:rsidP="00E92F85">
            <w:pPr>
              <w:spacing w:before="60" w:after="60"/>
              <w:contextualSpacing/>
              <w:rPr>
                <w:rFonts w:cs="Arial"/>
                <w:color w:val="000000"/>
                <w:sz w:val="16"/>
                <w:szCs w:val="16"/>
              </w:rPr>
            </w:pPr>
            <w:r w:rsidRPr="0006716F">
              <w:rPr>
                <w:rFonts w:cs="Arial"/>
                <w:color w:val="000000"/>
                <w:sz w:val="16"/>
                <w:szCs w:val="16"/>
              </w:rPr>
              <w:t>Republic of Korea/</w:t>
            </w:r>
            <w:r w:rsidRPr="0006716F">
              <w:rPr>
                <w:rFonts w:cs="Arial"/>
                <w:sz w:val="16"/>
                <w:szCs w:val="16"/>
                <w:lang w:eastAsia="ko-KR"/>
              </w:rPr>
              <w:t xml:space="preserve"> </w:t>
            </w:r>
            <w:r w:rsidRPr="0006716F">
              <w:rPr>
                <w:rFonts w:cs="Arial"/>
                <w:sz w:val="16"/>
                <w:szCs w:val="16"/>
              </w:rPr>
              <w:t xml:space="preserve">Cambodia, Cameroon, Dominican Republic, </w:t>
            </w:r>
            <w:r>
              <w:rPr>
                <w:rFonts w:cs="Arial"/>
                <w:sz w:val="16"/>
                <w:szCs w:val="16"/>
              </w:rPr>
              <w:t xml:space="preserve">the </w:t>
            </w:r>
            <w:r w:rsidRPr="0006716F">
              <w:rPr>
                <w:rFonts w:cs="Arial"/>
                <w:sz w:val="16"/>
                <w:szCs w:val="16"/>
              </w:rPr>
              <w:t>Gambia, Ghana, India, Mexico, Mongolia, Myanmar, Paraguay, Philippines, Saudi Arabia, Viet Nam, Zambia, and Zimbabwe</w:t>
            </w:r>
          </w:p>
        </w:tc>
        <w:tc>
          <w:tcPr>
            <w:tcW w:w="4678" w:type="dxa"/>
            <w:tcBorders>
              <w:top w:val="nil"/>
              <w:bottom w:val="nil"/>
              <w:right w:val="single" w:sz="4" w:space="0" w:color="auto"/>
            </w:tcBorders>
          </w:tcPr>
          <w:p w:rsidR="008355F0" w:rsidRPr="0006716F" w:rsidRDefault="008355F0" w:rsidP="003867F8">
            <w:pPr>
              <w:spacing w:before="60" w:after="60"/>
              <w:rPr>
                <w:rFonts w:cs="Arial"/>
                <w:sz w:val="16"/>
                <w:szCs w:val="16"/>
                <w:lang w:eastAsia="ko-KR"/>
              </w:rPr>
            </w:pPr>
            <w:r w:rsidRPr="0006716F">
              <w:rPr>
                <w:rFonts w:eastAsia="SimSun" w:cs="Arial"/>
                <w:sz w:val="16"/>
                <w:szCs w:val="16"/>
                <w:lang w:eastAsia="ko-KR"/>
              </w:rPr>
              <w:t xml:space="preserve">To:  (i) share KIPO’s experience in formulating and implementing IP policy;  (ii) review the challenges </w:t>
            </w:r>
            <w:r>
              <w:rPr>
                <w:rFonts w:eastAsia="SimSun" w:cs="Arial"/>
                <w:sz w:val="16"/>
                <w:szCs w:val="16"/>
                <w:lang w:eastAsia="ko-KR"/>
              </w:rPr>
              <w:t>that</w:t>
            </w:r>
            <w:r w:rsidRPr="0006716F">
              <w:rPr>
                <w:rFonts w:eastAsia="SimSun" w:cs="Arial"/>
                <w:sz w:val="16"/>
                <w:szCs w:val="16"/>
                <w:lang w:eastAsia="ko-KR"/>
              </w:rPr>
              <w:t xml:space="preserve"> developing countries face in IP policy;  and (iii) discuss appropriate methodologies for formulating and implementing IP Policy in developing countries.</w:t>
            </w:r>
          </w:p>
        </w:tc>
      </w:tr>
      <w:tr w:rsidR="008355F0" w:rsidRPr="0006716F" w:rsidTr="00E92F85">
        <w:tc>
          <w:tcPr>
            <w:tcW w:w="1873" w:type="dxa"/>
            <w:gridSpan w:val="2"/>
            <w:tcBorders>
              <w:top w:val="nil"/>
              <w:left w:val="single" w:sz="4" w:space="0" w:color="auto"/>
              <w:bottom w:val="single" w:sz="4" w:space="0" w:color="auto"/>
            </w:tcBorders>
          </w:tcPr>
          <w:p w:rsidR="008355F0" w:rsidRPr="0006716F" w:rsidRDefault="008355F0" w:rsidP="003867F8">
            <w:pPr>
              <w:autoSpaceDE w:val="0"/>
              <w:autoSpaceDN w:val="0"/>
              <w:adjustRightInd w:val="0"/>
              <w:spacing w:before="60" w:after="60"/>
              <w:rPr>
                <w:rFonts w:eastAsia="Malgun Gothic" w:cs="Arial"/>
                <w:sz w:val="16"/>
                <w:szCs w:val="16"/>
                <w:lang w:eastAsia="ko-KR"/>
              </w:rPr>
            </w:pPr>
            <w:r w:rsidRPr="0006716F">
              <w:rPr>
                <w:rFonts w:cs="Arial"/>
                <w:color w:val="000000"/>
                <w:sz w:val="16"/>
                <w:szCs w:val="16"/>
              </w:rPr>
              <w:t>IP Panorama Multimedia Toolkit</w:t>
            </w:r>
          </w:p>
        </w:tc>
        <w:tc>
          <w:tcPr>
            <w:tcW w:w="1134" w:type="dxa"/>
            <w:tcBorders>
              <w:top w:val="nil"/>
              <w:bottom w:val="single" w:sz="4" w:space="0" w:color="auto"/>
            </w:tcBorders>
          </w:tcPr>
          <w:p w:rsidR="008355F0" w:rsidRPr="0006716F" w:rsidRDefault="008355F0" w:rsidP="003867F8">
            <w:pPr>
              <w:autoSpaceDE w:val="0"/>
              <w:autoSpaceDN w:val="0"/>
              <w:adjustRightInd w:val="0"/>
              <w:spacing w:before="60" w:after="60"/>
              <w:rPr>
                <w:rFonts w:eastAsia="Malgun Gothic" w:cs="Arial"/>
                <w:color w:val="000000"/>
                <w:sz w:val="16"/>
                <w:szCs w:val="16"/>
                <w:lang w:eastAsia="ko-KR"/>
              </w:rPr>
            </w:pPr>
            <w:r w:rsidRPr="0006716F">
              <w:rPr>
                <w:rFonts w:cs="Arial"/>
                <w:color w:val="000000"/>
                <w:sz w:val="16"/>
                <w:szCs w:val="16"/>
                <w:lang w:eastAsia="ko-KR"/>
              </w:rPr>
              <w:t>January to December, 2015</w:t>
            </w:r>
            <w:r>
              <w:rPr>
                <w:rStyle w:val="FootnoteReference"/>
                <w:rFonts w:cs="Arial"/>
                <w:color w:val="000000"/>
                <w:sz w:val="16"/>
                <w:szCs w:val="16"/>
                <w:lang w:eastAsia="ko-KR"/>
              </w:rPr>
              <w:footnoteReference w:id="162"/>
            </w:r>
          </w:p>
        </w:tc>
        <w:tc>
          <w:tcPr>
            <w:tcW w:w="1843" w:type="dxa"/>
            <w:tcBorders>
              <w:top w:val="nil"/>
              <w:bottom w:val="single" w:sz="4" w:space="0" w:color="auto"/>
            </w:tcBorders>
          </w:tcPr>
          <w:p w:rsidR="008355F0" w:rsidRPr="0006716F" w:rsidRDefault="008355F0" w:rsidP="003867F8">
            <w:pPr>
              <w:autoSpaceDE w:val="0"/>
              <w:autoSpaceDN w:val="0"/>
              <w:adjustRightInd w:val="0"/>
              <w:spacing w:before="60" w:after="60"/>
              <w:rPr>
                <w:rFonts w:cs="Arial"/>
                <w:color w:val="000000"/>
                <w:sz w:val="16"/>
                <w:szCs w:val="16"/>
              </w:rPr>
            </w:pPr>
            <w:r w:rsidRPr="0006716F">
              <w:rPr>
                <w:rFonts w:cs="Arial"/>
                <w:color w:val="000000"/>
                <w:sz w:val="16"/>
                <w:szCs w:val="16"/>
              </w:rPr>
              <w:t xml:space="preserve">Cambodia, </w:t>
            </w:r>
            <w:r w:rsidRPr="0006716F">
              <w:rPr>
                <w:rFonts w:cs="Arial"/>
                <w:sz w:val="16"/>
                <w:szCs w:val="16"/>
                <w:lang w:eastAsia="ko-KR"/>
              </w:rPr>
              <w:t xml:space="preserve">Lao People’s Democratic Republic and </w:t>
            </w:r>
            <w:r w:rsidRPr="0006716F">
              <w:rPr>
                <w:rFonts w:cs="Arial"/>
                <w:color w:val="000000"/>
                <w:sz w:val="16"/>
                <w:szCs w:val="16"/>
              </w:rPr>
              <w:t xml:space="preserve"> Myanmar </w:t>
            </w:r>
          </w:p>
        </w:tc>
        <w:tc>
          <w:tcPr>
            <w:tcW w:w="4678" w:type="dxa"/>
            <w:tcBorders>
              <w:top w:val="nil"/>
              <w:bottom w:val="single" w:sz="4" w:space="0" w:color="auto"/>
              <w:right w:val="single" w:sz="4" w:space="0" w:color="auto"/>
            </w:tcBorders>
          </w:tcPr>
          <w:p w:rsidR="008355F0" w:rsidRPr="0006716F" w:rsidRDefault="008355F0" w:rsidP="003867F8">
            <w:pPr>
              <w:autoSpaceDE w:val="0"/>
              <w:autoSpaceDN w:val="0"/>
              <w:adjustRightInd w:val="0"/>
              <w:spacing w:before="60" w:after="60"/>
              <w:rPr>
                <w:rFonts w:cs="Arial"/>
                <w:sz w:val="16"/>
                <w:szCs w:val="16"/>
                <w:lang w:eastAsia="ko-KR"/>
              </w:rPr>
            </w:pPr>
            <w:r w:rsidRPr="0006716F">
              <w:rPr>
                <w:rFonts w:cs="Arial"/>
                <w:color w:val="000000"/>
                <w:sz w:val="16"/>
                <w:szCs w:val="16"/>
              </w:rPr>
              <w:t xml:space="preserve">Translation of the </w:t>
            </w:r>
            <w:r>
              <w:rPr>
                <w:rFonts w:cs="Arial"/>
                <w:color w:val="000000"/>
                <w:sz w:val="16"/>
                <w:szCs w:val="16"/>
              </w:rPr>
              <w:t xml:space="preserve">12 </w:t>
            </w:r>
            <w:r w:rsidRPr="0006716F">
              <w:rPr>
                <w:rFonts w:cs="Arial"/>
                <w:color w:val="000000"/>
                <w:sz w:val="16"/>
                <w:szCs w:val="16"/>
              </w:rPr>
              <w:t xml:space="preserve">modules of the WIPO product IP Panorama Multimedia Toolkit in three countries, namely Cambodia, </w:t>
            </w:r>
            <w:r w:rsidRPr="0006716F">
              <w:rPr>
                <w:rFonts w:cs="Arial"/>
                <w:sz w:val="16"/>
                <w:szCs w:val="16"/>
                <w:lang w:eastAsia="ko-KR"/>
              </w:rPr>
              <w:t>Lao People’s Democratic Republic</w:t>
            </w:r>
            <w:r w:rsidRPr="0006716F">
              <w:rPr>
                <w:rFonts w:cs="Arial"/>
                <w:color w:val="000000"/>
                <w:sz w:val="16"/>
                <w:szCs w:val="16"/>
              </w:rPr>
              <w:t xml:space="preserve"> and Myanmar</w:t>
            </w:r>
          </w:p>
        </w:tc>
      </w:tr>
      <w:tr w:rsidR="008355F0" w:rsidRPr="0006716F" w:rsidTr="00E92F85">
        <w:tc>
          <w:tcPr>
            <w:tcW w:w="1873" w:type="dxa"/>
            <w:gridSpan w:val="2"/>
            <w:tcBorders>
              <w:top w:val="single" w:sz="4" w:space="0" w:color="auto"/>
              <w:bottom w:val="nil"/>
            </w:tcBorders>
          </w:tcPr>
          <w:p w:rsidR="008355F0" w:rsidRPr="0006716F" w:rsidRDefault="008355F0" w:rsidP="003867F8">
            <w:pPr>
              <w:autoSpaceDE w:val="0"/>
              <w:autoSpaceDN w:val="0"/>
              <w:adjustRightInd w:val="0"/>
              <w:spacing w:before="60" w:after="60"/>
              <w:rPr>
                <w:rFonts w:eastAsia="Malgun Gothic" w:cs="Arial"/>
                <w:sz w:val="16"/>
                <w:szCs w:val="16"/>
                <w:lang w:eastAsia="ko-KR"/>
              </w:rPr>
            </w:pPr>
            <w:r w:rsidRPr="0006716F">
              <w:rPr>
                <w:rFonts w:cs="Arial"/>
                <w:color w:val="000000"/>
                <w:sz w:val="16"/>
                <w:szCs w:val="16"/>
              </w:rPr>
              <w:t>Production of Pororo Animation Guide in Spanish and French</w:t>
            </w:r>
          </w:p>
        </w:tc>
        <w:tc>
          <w:tcPr>
            <w:tcW w:w="1134" w:type="dxa"/>
            <w:tcBorders>
              <w:top w:val="single" w:sz="4" w:space="0" w:color="auto"/>
              <w:bottom w:val="nil"/>
            </w:tcBorders>
          </w:tcPr>
          <w:p w:rsidR="008355F0" w:rsidRPr="0006716F" w:rsidRDefault="008355F0" w:rsidP="003867F8">
            <w:pPr>
              <w:autoSpaceDE w:val="0"/>
              <w:autoSpaceDN w:val="0"/>
              <w:adjustRightInd w:val="0"/>
              <w:spacing w:before="60" w:after="60"/>
              <w:rPr>
                <w:rFonts w:eastAsia="Malgun Gothic" w:cs="Arial"/>
                <w:color w:val="000000"/>
                <w:sz w:val="16"/>
                <w:szCs w:val="16"/>
                <w:lang w:eastAsia="ko-KR"/>
              </w:rPr>
            </w:pPr>
            <w:r w:rsidRPr="0006716F">
              <w:rPr>
                <w:rFonts w:eastAsia="Malgun Gothic" w:cs="Arial"/>
                <w:color w:val="000000"/>
                <w:sz w:val="16"/>
                <w:szCs w:val="16"/>
                <w:lang w:eastAsia="ko-KR"/>
              </w:rPr>
              <w:t>February</w:t>
            </w:r>
            <w:r w:rsidRPr="0006716F">
              <w:rPr>
                <w:rFonts w:cs="Arial"/>
                <w:color w:val="000000"/>
                <w:sz w:val="16"/>
                <w:szCs w:val="16"/>
                <w:lang w:eastAsia="ko-KR"/>
              </w:rPr>
              <w:t xml:space="preserve"> to April</w:t>
            </w:r>
            <w:r>
              <w:rPr>
                <w:rFonts w:cs="Arial"/>
                <w:color w:val="000000"/>
                <w:sz w:val="16"/>
                <w:szCs w:val="16"/>
                <w:lang w:eastAsia="ko-KR"/>
              </w:rPr>
              <w:t>,</w:t>
            </w:r>
            <w:r w:rsidRPr="0006716F">
              <w:rPr>
                <w:rFonts w:cs="Arial"/>
                <w:color w:val="000000"/>
                <w:sz w:val="16"/>
                <w:szCs w:val="16"/>
                <w:lang w:eastAsia="ko-KR"/>
              </w:rPr>
              <w:t xml:space="preserve"> 2015</w:t>
            </w:r>
          </w:p>
        </w:tc>
        <w:tc>
          <w:tcPr>
            <w:tcW w:w="1843" w:type="dxa"/>
            <w:tcBorders>
              <w:top w:val="single" w:sz="4" w:space="0" w:color="auto"/>
              <w:bottom w:val="nil"/>
            </w:tcBorders>
          </w:tcPr>
          <w:p w:rsidR="008355F0" w:rsidRPr="0006716F" w:rsidRDefault="008355F0" w:rsidP="003867F8">
            <w:pPr>
              <w:autoSpaceDE w:val="0"/>
              <w:autoSpaceDN w:val="0"/>
              <w:adjustRightInd w:val="0"/>
              <w:spacing w:before="60" w:after="60"/>
              <w:rPr>
                <w:rFonts w:cs="Arial"/>
                <w:color w:val="000000"/>
                <w:sz w:val="16"/>
                <w:szCs w:val="16"/>
              </w:rPr>
            </w:pPr>
            <w:r w:rsidRPr="0006716F">
              <w:rPr>
                <w:rFonts w:cs="Arial"/>
                <w:color w:val="000000"/>
                <w:sz w:val="16"/>
                <w:szCs w:val="16"/>
              </w:rPr>
              <w:t xml:space="preserve">Republic of Korea/ </w:t>
            </w:r>
            <w:r>
              <w:rPr>
                <w:rFonts w:cs="Arial"/>
                <w:color w:val="000000"/>
                <w:sz w:val="16"/>
                <w:szCs w:val="16"/>
              </w:rPr>
              <w:t xml:space="preserve">All </w:t>
            </w:r>
            <w:r w:rsidRPr="0006716F">
              <w:rPr>
                <w:rFonts w:cs="Arial"/>
                <w:color w:val="000000"/>
                <w:sz w:val="16"/>
                <w:szCs w:val="16"/>
              </w:rPr>
              <w:t>WIPO</w:t>
            </w:r>
            <w:r>
              <w:rPr>
                <w:rFonts w:cs="Arial"/>
                <w:color w:val="000000"/>
                <w:sz w:val="16"/>
                <w:szCs w:val="16"/>
              </w:rPr>
              <w:t xml:space="preserve"> Member States</w:t>
            </w:r>
          </w:p>
        </w:tc>
        <w:tc>
          <w:tcPr>
            <w:tcW w:w="4678" w:type="dxa"/>
            <w:tcBorders>
              <w:top w:val="single" w:sz="4" w:space="0" w:color="auto"/>
              <w:bottom w:val="nil"/>
            </w:tcBorders>
          </w:tcPr>
          <w:p w:rsidR="008355F0" w:rsidRPr="0006716F" w:rsidRDefault="008355F0" w:rsidP="003867F8">
            <w:pPr>
              <w:autoSpaceDE w:val="0"/>
              <w:autoSpaceDN w:val="0"/>
              <w:adjustRightInd w:val="0"/>
              <w:spacing w:before="60" w:after="60"/>
              <w:rPr>
                <w:rFonts w:cs="Arial"/>
                <w:sz w:val="16"/>
                <w:szCs w:val="16"/>
                <w:lang w:eastAsia="ko-KR"/>
              </w:rPr>
            </w:pPr>
            <w:r w:rsidRPr="0006716F">
              <w:rPr>
                <w:rFonts w:eastAsia="SimSun" w:cs="Arial"/>
                <w:sz w:val="16"/>
                <w:szCs w:val="16"/>
                <w:lang w:eastAsia="ko-KR"/>
              </w:rPr>
              <w:t xml:space="preserve">To </w:t>
            </w:r>
            <w:r>
              <w:rPr>
                <w:rFonts w:eastAsia="SimSun" w:cs="Arial"/>
                <w:sz w:val="16"/>
                <w:szCs w:val="16"/>
                <w:lang w:eastAsia="ko-KR"/>
              </w:rPr>
              <w:t xml:space="preserve"> </w:t>
            </w:r>
            <w:r w:rsidRPr="0006716F">
              <w:rPr>
                <w:rFonts w:eastAsia="SimSun" w:cs="Arial"/>
                <w:sz w:val="16"/>
                <w:szCs w:val="16"/>
                <w:lang w:eastAsia="ko-KR"/>
              </w:rPr>
              <w:t xml:space="preserve">(i) provide user-friendly IP materials to non-IP experts; </w:t>
            </w:r>
            <w:r>
              <w:rPr>
                <w:rFonts w:eastAsia="SimSun" w:cs="Arial"/>
                <w:sz w:val="16"/>
                <w:szCs w:val="16"/>
                <w:lang w:eastAsia="ko-KR"/>
              </w:rPr>
              <w:t xml:space="preserve"> </w:t>
            </w:r>
            <w:r w:rsidRPr="0006716F">
              <w:rPr>
                <w:rFonts w:eastAsia="SimSun" w:cs="Arial"/>
                <w:sz w:val="16"/>
                <w:szCs w:val="16"/>
                <w:lang w:eastAsia="ko-KR"/>
              </w:rPr>
              <w:t xml:space="preserve">(ii) enhance the interest of the public on IP issues; </w:t>
            </w:r>
            <w:r>
              <w:rPr>
                <w:rFonts w:eastAsia="SimSun" w:cs="Arial"/>
                <w:sz w:val="16"/>
                <w:szCs w:val="16"/>
                <w:lang w:eastAsia="ko-KR"/>
              </w:rPr>
              <w:t xml:space="preserve"> </w:t>
            </w:r>
            <w:r w:rsidRPr="0006716F">
              <w:rPr>
                <w:rFonts w:eastAsia="SimSun" w:cs="Arial"/>
                <w:sz w:val="16"/>
                <w:szCs w:val="16"/>
                <w:lang w:eastAsia="ko-KR"/>
              </w:rPr>
              <w:t>(iii) assist schools and other educational institutions in accessing creativity enhancing curricula;</w:t>
            </w:r>
            <w:r>
              <w:rPr>
                <w:rFonts w:eastAsia="SimSun" w:cs="Arial"/>
                <w:sz w:val="16"/>
                <w:szCs w:val="16"/>
                <w:lang w:eastAsia="ko-KR"/>
              </w:rPr>
              <w:t xml:space="preserve"> </w:t>
            </w:r>
            <w:r w:rsidRPr="0006716F">
              <w:rPr>
                <w:rFonts w:eastAsia="SimSun" w:cs="Arial"/>
                <w:sz w:val="16"/>
                <w:szCs w:val="16"/>
                <w:lang w:eastAsia="ko-KR"/>
              </w:rPr>
              <w:t xml:space="preserve"> and (iv) provide IP users with enhanced accessibility to IP material in local languages.</w:t>
            </w:r>
          </w:p>
        </w:tc>
      </w:tr>
      <w:tr w:rsidR="008355F0" w:rsidRPr="0006716F" w:rsidTr="00E92F85">
        <w:tc>
          <w:tcPr>
            <w:tcW w:w="1873" w:type="dxa"/>
            <w:gridSpan w:val="2"/>
            <w:tcBorders>
              <w:top w:val="nil"/>
              <w:bottom w:val="single" w:sz="4" w:space="0" w:color="000000"/>
            </w:tcBorders>
          </w:tcPr>
          <w:p w:rsidR="008355F0" w:rsidRPr="0006716F" w:rsidRDefault="008355F0" w:rsidP="003867F8">
            <w:pPr>
              <w:autoSpaceDE w:val="0"/>
              <w:autoSpaceDN w:val="0"/>
              <w:adjustRightInd w:val="0"/>
              <w:spacing w:before="60" w:after="60"/>
              <w:rPr>
                <w:rFonts w:eastAsia="Malgun Gothic" w:cs="Arial"/>
                <w:sz w:val="16"/>
                <w:szCs w:val="16"/>
                <w:lang w:eastAsia="ko-KR"/>
              </w:rPr>
            </w:pPr>
            <w:r w:rsidRPr="0006716F">
              <w:rPr>
                <w:rFonts w:cs="Arial"/>
                <w:color w:val="000000"/>
                <w:sz w:val="16"/>
                <w:szCs w:val="16"/>
              </w:rPr>
              <w:t>Production of Intellectual Property Educational Material</w:t>
            </w:r>
          </w:p>
        </w:tc>
        <w:tc>
          <w:tcPr>
            <w:tcW w:w="1134" w:type="dxa"/>
            <w:tcBorders>
              <w:top w:val="nil"/>
              <w:bottom w:val="single" w:sz="4" w:space="0" w:color="000000"/>
            </w:tcBorders>
          </w:tcPr>
          <w:p w:rsidR="008355F0" w:rsidRPr="0006716F" w:rsidRDefault="008355F0" w:rsidP="003867F8">
            <w:pPr>
              <w:autoSpaceDE w:val="0"/>
              <w:autoSpaceDN w:val="0"/>
              <w:adjustRightInd w:val="0"/>
              <w:spacing w:before="60" w:after="60"/>
              <w:rPr>
                <w:rFonts w:eastAsia="Malgun Gothic" w:cs="Arial"/>
                <w:color w:val="000000"/>
                <w:sz w:val="16"/>
                <w:szCs w:val="16"/>
                <w:lang w:eastAsia="ko-KR"/>
              </w:rPr>
            </w:pPr>
            <w:r w:rsidRPr="0006716F">
              <w:rPr>
                <w:rFonts w:cs="Arial"/>
                <w:color w:val="000000"/>
                <w:sz w:val="16"/>
                <w:szCs w:val="16"/>
                <w:lang w:eastAsia="ko-KR"/>
              </w:rPr>
              <w:t>January to December, 2015</w:t>
            </w:r>
            <w:r>
              <w:rPr>
                <w:rStyle w:val="FootnoteReference"/>
                <w:rFonts w:cs="Arial"/>
                <w:color w:val="000000"/>
                <w:sz w:val="16"/>
                <w:szCs w:val="16"/>
                <w:lang w:eastAsia="ko-KR"/>
              </w:rPr>
              <w:footnoteReference w:id="163"/>
            </w:r>
          </w:p>
        </w:tc>
        <w:tc>
          <w:tcPr>
            <w:tcW w:w="1843" w:type="dxa"/>
            <w:tcBorders>
              <w:top w:val="nil"/>
              <w:bottom w:val="single" w:sz="4" w:space="0" w:color="000000"/>
            </w:tcBorders>
          </w:tcPr>
          <w:p w:rsidR="008355F0" w:rsidRPr="0006716F" w:rsidRDefault="008355F0" w:rsidP="003867F8">
            <w:pPr>
              <w:autoSpaceDE w:val="0"/>
              <w:autoSpaceDN w:val="0"/>
              <w:adjustRightInd w:val="0"/>
              <w:spacing w:before="60" w:after="60"/>
              <w:rPr>
                <w:rFonts w:cs="Arial"/>
                <w:color w:val="000000"/>
                <w:sz w:val="16"/>
                <w:szCs w:val="16"/>
              </w:rPr>
            </w:pPr>
            <w:r w:rsidRPr="0006716F">
              <w:rPr>
                <w:rFonts w:cs="Arial"/>
                <w:color w:val="000000"/>
                <w:sz w:val="16"/>
                <w:szCs w:val="16"/>
              </w:rPr>
              <w:t>Republic of Korea</w:t>
            </w:r>
          </w:p>
        </w:tc>
        <w:tc>
          <w:tcPr>
            <w:tcW w:w="4678" w:type="dxa"/>
            <w:tcBorders>
              <w:top w:val="nil"/>
              <w:bottom w:val="single" w:sz="4" w:space="0" w:color="000000"/>
            </w:tcBorders>
          </w:tcPr>
          <w:p w:rsidR="008355F0" w:rsidRPr="0006716F" w:rsidRDefault="008355F0" w:rsidP="003867F8">
            <w:pPr>
              <w:autoSpaceDE w:val="0"/>
              <w:autoSpaceDN w:val="0"/>
              <w:adjustRightInd w:val="0"/>
              <w:spacing w:before="60" w:after="60"/>
              <w:rPr>
                <w:rFonts w:cs="Arial"/>
                <w:sz w:val="16"/>
                <w:szCs w:val="16"/>
                <w:lang w:eastAsia="ko-KR"/>
              </w:rPr>
            </w:pPr>
            <w:r w:rsidRPr="0006716F">
              <w:rPr>
                <w:rFonts w:eastAsia="SimSun" w:cs="Arial"/>
                <w:sz w:val="16"/>
                <w:szCs w:val="16"/>
                <w:lang w:eastAsia="ko-KR"/>
              </w:rPr>
              <w:t>To (i) develop IP educational content for secondary school students to understand the process of inventions and transforming ideas into intellectual property;  and (ii) assist schools and other educational institutions in developing creativity enhancing curricula.</w:t>
            </w:r>
          </w:p>
        </w:tc>
      </w:tr>
      <w:tr w:rsidR="008355F0" w:rsidRPr="0006716F" w:rsidTr="00E92F85">
        <w:tc>
          <w:tcPr>
            <w:tcW w:w="9528" w:type="dxa"/>
            <w:gridSpan w:val="5"/>
            <w:tcBorders>
              <w:top w:val="single" w:sz="4" w:space="0" w:color="000000"/>
              <w:bottom w:val="single" w:sz="4" w:space="0" w:color="000000"/>
            </w:tcBorders>
            <w:shd w:val="clear" w:color="auto" w:fill="C6D9F1" w:themeFill="text2" w:themeFillTint="33"/>
          </w:tcPr>
          <w:p w:rsidR="008355F0" w:rsidRPr="00920AD0" w:rsidRDefault="008355F0" w:rsidP="003867F8">
            <w:pPr>
              <w:keepNext/>
              <w:keepLines/>
              <w:tabs>
                <w:tab w:val="left" w:pos="1740"/>
              </w:tabs>
              <w:spacing w:before="120" w:after="120"/>
              <w:ind w:left="1740" w:hanging="1740"/>
              <w:rPr>
                <w:rFonts w:eastAsia="Malgun Gothic" w:cs="Arial"/>
                <w:color w:val="000000"/>
                <w:sz w:val="16"/>
                <w:szCs w:val="16"/>
                <w:lang w:eastAsia="ko-KR"/>
              </w:rPr>
            </w:pPr>
            <w:r w:rsidRPr="00920AD0">
              <w:rPr>
                <w:rFonts w:cs="Arial"/>
                <w:b/>
                <w:bCs/>
                <w:color w:val="000000"/>
                <w:sz w:val="16"/>
                <w:szCs w:val="16"/>
              </w:rPr>
              <w:t>RESULT:</w:t>
            </w:r>
            <w:r w:rsidRPr="00920AD0">
              <w:rPr>
                <w:rFonts w:cs="Arial"/>
                <w:b/>
                <w:bCs/>
                <w:color w:val="000000"/>
                <w:sz w:val="16"/>
                <w:szCs w:val="16"/>
              </w:rPr>
              <w:tab/>
              <w:t>IV.2. Enhanced access to, and use of, IP information by IP institutions and the public to promote innovation and creativity</w:t>
            </w:r>
          </w:p>
        </w:tc>
      </w:tr>
      <w:tr w:rsidR="008355F0" w:rsidRPr="0006716F" w:rsidTr="00E92F85">
        <w:trPr>
          <w:trHeight w:val="500"/>
        </w:trPr>
        <w:tc>
          <w:tcPr>
            <w:tcW w:w="1830" w:type="dxa"/>
            <w:tcBorders>
              <w:top w:val="single" w:sz="4" w:space="0" w:color="000000"/>
              <w:bottom w:val="nil"/>
            </w:tcBorders>
            <w:vAlign w:val="center"/>
          </w:tcPr>
          <w:p w:rsidR="008355F0" w:rsidRPr="00920AD0" w:rsidRDefault="008355F0" w:rsidP="003867F8">
            <w:pPr>
              <w:keepNext/>
              <w:keepLines/>
              <w:spacing w:before="60" w:after="60"/>
              <w:rPr>
                <w:rFonts w:cs="Arial"/>
                <w:b/>
                <w:bCs/>
                <w:sz w:val="16"/>
                <w:szCs w:val="16"/>
              </w:rPr>
            </w:pPr>
            <w:r w:rsidRPr="00920AD0">
              <w:rPr>
                <w:rFonts w:cs="Arial"/>
                <w:b/>
                <w:bCs/>
                <w:sz w:val="16"/>
                <w:szCs w:val="16"/>
              </w:rPr>
              <w:t>Activity</w:t>
            </w:r>
          </w:p>
        </w:tc>
        <w:tc>
          <w:tcPr>
            <w:tcW w:w="1177" w:type="dxa"/>
            <w:gridSpan w:val="2"/>
            <w:tcBorders>
              <w:top w:val="single" w:sz="4" w:space="0" w:color="000000"/>
              <w:bottom w:val="nil"/>
            </w:tcBorders>
            <w:vAlign w:val="center"/>
          </w:tcPr>
          <w:p w:rsidR="008355F0" w:rsidRPr="00920AD0" w:rsidRDefault="008355F0" w:rsidP="003867F8">
            <w:pPr>
              <w:keepNext/>
              <w:spacing w:before="60" w:after="60"/>
              <w:rPr>
                <w:rFonts w:cs="Arial"/>
                <w:sz w:val="16"/>
                <w:szCs w:val="16"/>
              </w:rPr>
            </w:pPr>
            <w:r w:rsidRPr="00920AD0">
              <w:rPr>
                <w:rFonts w:cs="Arial"/>
                <w:b/>
                <w:bCs/>
                <w:sz w:val="16"/>
                <w:szCs w:val="16"/>
              </w:rPr>
              <w:t>Date</w:t>
            </w:r>
          </w:p>
        </w:tc>
        <w:tc>
          <w:tcPr>
            <w:tcW w:w="1843" w:type="dxa"/>
            <w:tcBorders>
              <w:top w:val="single" w:sz="4" w:space="0" w:color="000000"/>
              <w:bottom w:val="nil"/>
            </w:tcBorders>
            <w:vAlign w:val="center"/>
          </w:tcPr>
          <w:p w:rsidR="008355F0" w:rsidRPr="00920AD0" w:rsidRDefault="008355F0" w:rsidP="003867F8">
            <w:pPr>
              <w:keepNext/>
              <w:spacing w:before="60" w:after="60"/>
              <w:rPr>
                <w:rFonts w:cs="Arial"/>
                <w:sz w:val="16"/>
                <w:szCs w:val="16"/>
              </w:rPr>
            </w:pPr>
            <w:r w:rsidRPr="00920AD0">
              <w:rPr>
                <w:rFonts w:cs="Arial"/>
                <w:b/>
                <w:bCs/>
                <w:sz w:val="16"/>
                <w:szCs w:val="16"/>
              </w:rPr>
              <w:t>Host Country/</w:t>
            </w:r>
            <w:r w:rsidRPr="00920AD0">
              <w:rPr>
                <w:rFonts w:cs="Arial"/>
                <w:b/>
                <w:bCs/>
                <w:sz w:val="16"/>
                <w:szCs w:val="16"/>
              </w:rPr>
              <w:br/>
              <w:t>Recipients</w:t>
            </w:r>
          </w:p>
        </w:tc>
        <w:tc>
          <w:tcPr>
            <w:tcW w:w="4678" w:type="dxa"/>
            <w:tcBorders>
              <w:top w:val="single" w:sz="4" w:space="0" w:color="000000"/>
              <w:bottom w:val="nil"/>
            </w:tcBorders>
            <w:vAlign w:val="center"/>
          </w:tcPr>
          <w:p w:rsidR="008355F0" w:rsidRPr="00920AD0" w:rsidRDefault="008355F0" w:rsidP="003867F8">
            <w:pPr>
              <w:keepNext/>
              <w:spacing w:before="60" w:after="60"/>
              <w:rPr>
                <w:rFonts w:cs="Arial"/>
                <w:sz w:val="16"/>
                <w:szCs w:val="16"/>
              </w:rPr>
            </w:pPr>
            <w:r w:rsidRPr="00920AD0">
              <w:rPr>
                <w:rFonts w:cs="Arial"/>
                <w:b/>
                <w:bCs/>
                <w:sz w:val="16"/>
                <w:szCs w:val="16"/>
              </w:rPr>
              <w:t>Purpose(s)/Description(s)</w:t>
            </w:r>
          </w:p>
        </w:tc>
      </w:tr>
      <w:tr w:rsidR="008355F0" w:rsidRPr="0006716F" w:rsidTr="00E37059">
        <w:tc>
          <w:tcPr>
            <w:tcW w:w="1830" w:type="dxa"/>
            <w:tcBorders>
              <w:bottom w:val="nil"/>
            </w:tcBorders>
          </w:tcPr>
          <w:p w:rsidR="008355F0" w:rsidRPr="00920AD0" w:rsidRDefault="008355F0" w:rsidP="003867F8">
            <w:pPr>
              <w:autoSpaceDE w:val="0"/>
              <w:autoSpaceDN w:val="0"/>
              <w:adjustRightInd w:val="0"/>
              <w:spacing w:before="60" w:after="60"/>
              <w:rPr>
                <w:rFonts w:cs="Arial"/>
                <w:color w:val="000000"/>
                <w:sz w:val="16"/>
                <w:szCs w:val="16"/>
              </w:rPr>
            </w:pPr>
            <w:r w:rsidRPr="0006716F">
              <w:rPr>
                <w:rFonts w:cs="Arial"/>
                <w:sz w:val="16"/>
                <w:szCs w:val="16"/>
                <w:lang w:eastAsia="ko-KR"/>
              </w:rPr>
              <w:t>Regional Seminar on the Dissemination of Appropriate Technology (AT) Inventions</w:t>
            </w:r>
          </w:p>
        </w:tc>
        <w:tc>
          <w:tcPr>
            <w:tcW w:w="1177" w:type="dxa"/>
            <w:gridSpan w:val="2"/>
            <w:tcBorders>
              <w:bottom w:val="nil"/>
            </w:tcBorders>
          </w:tcPr>
          <w:p w:rsidR="008355F0" w:rsidRPr="00920AD0" w:rsidRDefault="008355F0" w:rsidP="003867F8">
            <w:pPr>
              <w:autoSpaceDE w:val="0"/>
              <w:autoSpaceDN w:val="0"/>
              <w:adjustRightInd w:val="0"/>
              <w:spacing w:before="60" w:after="60"/>
              <w:rPr>
                <w:rFonts w:eastAsia="Malgun Gothic" w:cs="Arial"/>
                <w:color w:val="000000"/>
                <w:sz w:val="16"/>
                <w:szCs w:val="16"/>
                <w:lang w:eastAsia="ko-KR"/>
              </w:rPr>
            </w:pPr>
            <w:r w:rsidRPr="0006716F">
              <w:rPr>
                <w:rFonts w:cs="Arial"/>
                <w:sz w:val="16"/>
                <w:szCs w:val="16"/>
                <w:lang w:eastAsia="ko-KR"/>
              </w:rPr>
              <w:t>April 29 to 30, 2015</w:t>
            </w:r>
          </w:p>
        </w:tc>
        <w:tc>
          <w:tcPr>
            <w:tcW w:w="1843" w:type="dxa"/>
            <w:tcBorders>
              <w:bottom w:val="nil"/>
            </w:tcBorders>
          </w:tcPr>
          <w:p w:rsidR="008355F0" w:rsidRPr="0006716F" w:rsidRDefault="008355F0" w:rsidP="003867F8">
            <w:pPr>
              <w:keepNext/>
              <w:keepLines/>
              <w:spacing w:before="60" w:after="60"/>
              <w:rPr>
                <w:rFonts w:cs="Arial"/>
                <w:color w:val="000000"/>
                <w:sz w:val="16"/>
                <w:szCs w:val="16"/>
              </w:rPr>
            </w:pPr>
            <w:r w:rsidRPr="0006716F">
              <w:rPr>
                <w:rFonts w:cs="Arial"/>
                <w:sz w:val="16"/>
                <w:szCs w:val="16"/>
              </w:rPr>
              <w:t xml:space="preserve">Republic of Korea/ Ethiopia, </w:t>
            </w:r>
            <w:r w:rsidRPr="0006716F">
              <w:rPr>
                <w:rFonts w:eastAsiaTheme="minorEastAsia" w:cs="Arial"/>
                <w:sz w:val="16"/>
                <w:szCs w:val="16"/>
                <w:lang w:eastAsia="ko-KR"/>
              </w:rPr>
              <w:t>Mexico, Mongolia, Philippines and Viet Nam.</w:t>
            </w:r>
          </w:p>
        </w:tc>
        <w:tc>
          <w:tcPr>
            <w:tcW w:w="4678" w:type="dxa"/>
            <w:tcBorders>
              <w:bottom w:val="nil"/>
            </w:tcBorders>
          </w:tcPr>
          <w:p w:rsidR="008355F0" w:rsidRPr="00920AD0" w:rsidRDefault="008355F0" w:rsidP="003867F8">
            <w:pPr>
              <w:autoSpaceDE w:val="0"/>
              <w:autoSpaceDN w:val="0"/>
              <w:adjustRightInd w:val="0"/>
              <w:spacing w:before="60" w:after="60"/>
              <w:rPr>
                <w:rFonts w:cs="Arial"/>
                <w:color w:val="000000"/>
                <w:sz w:val="16"/>
                <w:szCs w:val="16"/>
                <w:lang w:eastAsia="ko-KR"/>
              </w:rPr>
            </w:pPr>
            <w:r w:rsidRPr="0006716F">
              <w:rPr>
                <w:rFonts w:cs="Arial"/>
                <w:sz w:val="16"/>
                <w:szCs w:val="16"/>
                <w:lang w:eastAsia="ko-KR"/>
              </w:rPr>
              <w:t>To</w:t>
            </w:r>
            <w:r w:rsidRPr="0006716F">
              <w:rPr>
                <w:rFonts w:cs="Arial"/>
                <w:sz w:val="16"/>
                <w:szCs w:val="16"/>
              </w:rPr>
              <w:t xml:space="preserve">: (i)  share experiences in developing and disseminating AT inventions;  (ii) enhance the understanding of issues involved in increasing local ownership and sustainability of ATs;  (iii) discuss the measures to build close collaboration among the private sector, research institutions/universities, and governments in order to produce </w:t>
            </w:r>
            <w:r>
              <w:rPr>
                <w:rFonts w:cs="Arial"/>
                <w:sz w:val="16"/>
                <w:szCs w:val="16"/>
              </w:rPr>
              <w:t>and</w:t>
            </w:r>
            <w:r w:rsidRPr="0006716F">
              <w:rPr>
                <w:rFonts w:cs="Arial"/>
                <w:sz w:val="16"/>
                <w:szCs w:val="16"/>
              </w:rPr>
              <w:t xml:space="preserve"> disseminate the AT products;  and (iv) identify challenges in disseminating AT products and seek ways to overcome them.</w:t>
            </w:r>
          </w:p>
        </w:tc>
      </w:tr>
      <w:tr w:rsidR="008355F0" w:rsidRPr="0006716F" w:rsidTr="00E37059">
        <w:tc>
          <w:tcPr>
            <w:tcW w:w="1830" w:type="dxa"/>
            <w:tcBorders>
              <w:top w:val="nil"/>
              <w:left w:val="single" w:sz="4" w:space="0" w:color="auto"/>
              <w:bottom w:val="nil"/>
            </w:tcBorders>
          </w:tcPr>
          <w:p w:rsidR="008355F0" w:rsidRPr="0006716F" w:rsidRDefault="008355F0" w:rsidP="003867F8">
            <w:pPr>
              <w:autoSpaceDE w:val="0"/>
              <w:autoSpaceDN w:val="0"/>
              <w:adjustRightInd w:val="0"/>
              <w:spacing w:before="60" w:after="60"/>
              <w:rPr>
                <w:rFonts w:cs="Arial"/>
                <w:color w:val="000000"/>
                <w:sz w:val="16"/>
                <w:szCs w:val="16"/>
              </w:rPr>
            </w:pPr>
            <w:r>
              <w:rPr>
                <w:rFonts w:cs="Arial"/>
                <w:color w:val="000000"/>
                <w:sz w:val="16"/>
                <w:szCs w:val="16"/>
              </w:rPr>
              <w:t xml:space="preserve">Appropriate Technology </w:t>
            </w:r>
            <w:r w:rsidRPr="0006716F">
              <w:rPr>
                <w:rFonts w:cs="Arial"/>
                <w:color w:val="000000"/>
                <w:sz w:val="16"/>
                <w:szCs w:val="16"/>
              </w:rPr>
              <w:t>(AT) Competition</w:t>
            </w:r>
          </w:p>
        </w:tc>
        <w:tc>
          <w:tcPr>
            <w:tcW w:w="1177" w:type="dxa"/>
            <w:gridSpan w:val="2"/>
            <w:tcBorders>
              <w:top w:val="nil"/>
              <w:bottom w:val="nil"/>
            </w:tcBorders>
          </w:tcPr>
          <w:p w:rsidR="008355F0" w:rsidRPr="0006716F" w:rsidRDefault="008355F0" w:rsidP="003867F8">
            <w:pPr>
              <w:autoSpaceDE w:val="0"/>
              <w:autoSpaceDN w:val="0"/>
              <w:adjustRightInd w:val="0"/>
              <w:spacing w:before="60" w:after="60"/>
              <w:rPr>
                <w:rFonts w:eastAsia="Malgun Gothic" w:cs="Arial"/>
                <w:color w:val="000000"/>
                <w:sz w:val="16"/>
                <w:szCs w:val="16"/>
                <w:lang w:eastAsia="ko-KR"/>
              </w:rPr>
            </w:pPr>
            <w:r w:rsidRPr="0006716F">
              <w:rPr>
                <w:rFonts w:eastAsia="Malgun Gothic" w:cs="Arial"/>
                <w:color w:val="000000"/>
                <w:sz w:val="16"/>
                <w:szCs w:val="16"/>
                <w:lang w:eastAsia="ko-KR"/>
              </w:rPr>
              <w:t>April 1</w:t>
            </w:r>
            <w:r w:rsidRPr="0006716F">
              <w:rPr>
                <w:rFonts w:cs="Arial"/>
                <w:color w:val="000000"/>
                <w:sz w:val="16"/>
                <w:szCs w:val="16"/>
              </w:rPr>
              <w:t xml:space="preserve"> to</w:t>
            </w:r>
            <w:r w:rsidRPr="0006716F">
              <w:rPr>
                <w:rFonts w:cs="Arial"/>
                <w:color w:val="000000"/>
                <w:sz w:val="16"/>
                <w:szCs w:val="16"/>
                <w:lang w:eastAsia="ko-KR"/>
              </w:rPr>
              <w:t xml:space="preserve"> December 18, 2015</w:t>
            </w:r>
          </w:p>
        </w:tc>
        <w:tc>
          <w:tcPr>
            <w:tcW w:w="1843" w:type="dxa"/>
            <w:tcBorders>
              <w:top w:val="nil"/>
              <w:bottom w:val="nil"/>
            </w:tcBorders>
          </w:tcPr>
          <w:p w:rsidR="008355F0" w:rsidRPr="0006716F" w:rsidRDefault="008355F0" w:rsidP="003867F8">
            <w:pPr>
              <w:autoSpaceDE w:val="0"/>
              <w:autoSpaceDN w:val="0"/>
              <w:adjustRightInd w:val="0"/>
              <w:spacing w:before="60" w:after="60"/>
              <w:rPr>
                <w:rFonts w:cs="Arial"/>
                <w:color w:val="000000"/>
                <w:sz w:val="16"/>
                <w:szCs w:val="16"/>
              </w:rPr>
            </w:pPr>
            <w:r w:rsidRPr="0006716F">
              <w:rPr>
                <w:rFonts w:eastAsia="Malgun Gothic" w:cs="Arial"/>
                <w:color w:val="000000"/>
                <w:sz w:val="16"/>
                <w:szCs w:val="16"/>
                <w:lang w:eastAsia="ko-KR"/>
              </w:rPr>
              <w:t>Mongolia</w:t>
            </w:r>
          </w:p>
        </w:tc>
        <w:tc>
          <w:tcPr>
            <w:tcW w:w="4678" w:type="dxa"/>
            <w:tcBorders>
              <w:top w:val="nil"/>
              <w:bottom w:val="nil"/>
              <w:right w:val="single" w:sz="4" w:space="0" w:color="auto"/>
            </w:tcBorders>
          </w:tcPr>
          <w:p w:rsidR="008355F0" w:rsidRPr="0006716F" w:rsidRDefault="008355F0" w:rsidP="003867F8">
            <w:pPr>
              <w:spacing w:before="60" w:after="60"/>
              <w:contextualSpacing/>
              <w:rPr>
                <w:rFonts w:eastAsia="SimSun" w:cs="Arial"/>
                <w:sz w:val="16"/>
                <w:szCs w:val="16"/>
                <w:lang w:eastAsia="zh-CN"/>
              </w:rPr>
            </w:pPr>
            <w:r w:rsidRPr="0006716F">
              <w:rPr>
                <w:rFonts w:eastAsia="SimSun" w:cs="Arial"/>
                <w:sz w:val="16"/>
                <w:szCs w:val="16"/>
                <w:lang w:eastAsia="zh-CN"/>
              </w:rPr>
              <w:t>T</w:t>
            </w:r>
            <w:r w:rsidRPr="0006716F">
              <w:rPr>
                <w:rFonts w:eastAsia="SimSun" w:cs="Arial"/>
                <w:sz w:val="16"/>
                <w:szCs w:val="16"/>
                <w:lang w:val="x-none" w:eastAsia="zh-CN"/>
              </w:rPr>
              <w:t>o</w:t>
            </w:r>
            <w:r w:rsidRPr="0006716F">
              <w:rPr>
                <w:rFonts w:eastAsia="SimSun" w:cs="Arial"/>
                <w:sz w:val="16"/>
                <w:szCs w:val="16"/>
                <w:lang w:eastAsia="zh-CN"/>
              </w:rPr>
              <w:t>:  (i)</w:t>
            </w:r>
            <w:r w:rsidRPr="0006716F">
              <w:rPr>
                <w:rFonts w:eastAsia="SimSun" w:cs="Arial"/>
                <w:sz w:val="16"/>
                <w:szCs w:val="16"/>
                <w:lang w:val="x-none" w:eastAsia="zh-CN"/>
              </w:rPr>
              <w:t xml:space="preserve"> encourage and reward excellence in the invention of AT that </w:t>
            </w:r>
            <w:r w:rsidRPr="002969E2">
              <w:rPr>
                <w:rFonts w:eastAsia="Malgun Gothic" w:cs="Arial"/>
                <w:sz w:val="16"/>
                <w:szCs w:val="16"/>
                <w:lang w:val="x-none" w:eastAsia="ko-KR"/>
              </w:rPr>
              <w:t>c</w:t>
            </w:r>
            <w:r w:rsidRPr="0006716F">
              <w:rPr>
                <w:rFonts w:eastAsia="SimSun" w:cs="Arial"/>
                <w:sz w:val="16"/>
                <w:szCs w:val="16"/>
                <w:lang w:val="x-none" w:eastAsia="zh-CN"/>
              </w:rPr>
              <w:t>ould be easily and economically utilized by local communities to meet their needs</w:t>
            </w:r>
            <w:r w:rsidRPr="0006716F">
              <w:rPr>
                <w:rFonts w:eastAsia="SimSun" w:cs="Arial"/>
                <w:sz w:val="16"/>
                <w:szCs w:val="16"/>
                <w:lang w:eastAsia="zh-CN"/>
              </w:rPr>
              <w:t xml:space="preserve">; </w:t>
            </w:r>
            <w:r w:rsidRPr="0006716F">
              <w:rPr>
                <w:rFonts w:eastAsia="SimSun" w:cs="Arial"/>
                <w:sz w:val="16"/>
                <w:szCs w:val="16"/>
                <w:lang w:val="x-none" w:eastAsia="zh-CN"/>
              </w:rPr>
              <w:t xml:space="preserve"> and </w:t>
            </w:r>
            <w:r w:rsidRPr="0006716F">
              <w:rPr>
                <w:rFonts w:eastAsia="SimSun" w:cs="Arial"/>
                <w:sz w:val="16"/>
                <w:szCs w:val="16"/>
                <w:lang w:eastAsia="zh-CN"/>
              </w:rPr>
              <w:t>(ii)</w:t>
            </w:r>
            <w:r>
              <w:rPr>
                <w:rFonts w:eastAsia="SimSun" w:cs="Arial"/>
                <w:sz w:val="16"/>
                <w:szCs w:val="16"/>
                <w:lang w:eastAsia="zh-CN"/>
              </w:rPr>
              <w:t xml:space="preserve"> </w:t>
            </w:r>
            <w:r w:rsidRPr="0006716F">
              <w:rPr>
                <w:rFonts w:eastAsia="Malgun Gothic" w:cs="Arial"/>
                <w:sz w:val="16"/>
                <w:szCs w:val="16"/>
                <w:lang w:val="x-none" w:eastAsia="ko-KR"/>
              </w:rPr>
              <w:t xml:space="preserve">contribute to </w:t>
            </w:r>
            <w:r w:rsidRPr="0006716F">
              <w:rPr>
                <w:rFonts w:eastAsia="SimSun" w:cs="Arial"/>
                <w:sz w:val="16"/>
                <w:szCs w:val="16"/>
                <w:lang w:val="x-none" w:eastAsia="zh-CN"/>
              </w:rPr>
              <w:t>create sustainable development of local communities.</w:t>
            </w:r>
          </w:p>
          <w:p w:rsidR="008355F0" w:rsidRPr="0006716F" w:rsidRDefault="008355F0" w:rsidP="003867F8">
            <w:pPr>
              <w:spacing w:before="60" w:after="60"/>
              <w:contextualSpacing/>
              <w:rPr>
                <w:rFonts w:eastAsia="SimSun" w:cs="Arial"/>
                <w:sz w:val="16"/>
                <w:szCs w:val="16"/>
                <w:lang w:eastAsia="zh-CN"/>
              </w:rPr>
            </w:pPr>
          </w:p>
          <w:p w:rsidR="008355F0" w:rsidRDefault="008355F0" w:rsidP="003867F8">
            <w:pPr>
              <w:spacing w:before="60" w:after="60"/>
              <w:contextualSpacing/>
              <w:rPr>
                <w:rFonts w:eastAsia="SimSun" w:cs="Arial"/>
                <w:sz w:val="16"/>
                <w:szCs w:val="16"/>
                <w:lang w:eastAsia="zh-CN"/>
              </w:rPr>
            </w:pPr>
            <w:r w:rsidRPr="0006716F">
              <w:rPr>
                <w:rFonts w:eastAsia="SimSun" w:cs="Arial"/>
                <w:sz w:val="16"/>
                <w:szCs w:val="16"/>
                <w:lang w:val="x-none" w:eastAsia="zh-CN"/>
              </w:rPr>
              <w:t xml:space="preserve"> The effective utilization of patent information for devising solutions </w:t>
            </w:r>
            <w:r w:rsidRPr="002969E2">
              <w:rPr>
                <w:rFonts w:eastAsia="SimSun" w:cs="Arial"/>
                <w:sz w:val="16"/>
                <w:szCs w:val="16"/>
                <w:lang w:eastAsia="zh-CN"/>
              </w:rPr>
              <w:t>w</w:t>
            </w:r>
            <w:r>
              <w:rPr>
                <w:rFonts w:eastAsia="SimSun" w:cs="Arial"/>
                <w:sz w:val="16"/>
                <w:szCs w:val="16"/>
                <w:lang w:eastAsia="zh-CN"/>
              </w:rPr>
              <w:t>as</w:t>
            </w:r>
            <w:r w:rsidRPr="002969E2">
              <w:rPr>
                <w:rFonts w:eastAsia="SimSun" w:cs="Arial"/>
                <w:sz w:val="16"/>
                <w:szCs w:val="16"/>
                <w:lang w:val="x-none" w:eastAsia="zh-CN"/>
              </w:rPr>
              <w:t xml:space="preserve"> a key element of the </w:t>
            </w:r>
            <w:r w:rsidRPr="00920AD0">
              <w:rPr>
                <w:rFonts w:eastAsia="SimSun" w:cs="Arial"/>
                <w:sz w:val="16"/>
                <w:szCs w:val="16"/>
                <w:lang w:eastAsia="zh-CN"/>
              </w:rPr>
              <w:t>C</w:t>
            </w:r>
            <w:r w:rsidRPr="00920AD0">
              <w:rPr>
                <w:rFonts w:eastAsia="SimSun" w:cs="Arial"/>
                <w:sz w:val="16"/>
                <w:szCs w:val="16"/>
                <w:lang w:val="x-none" w:eastAsia="zh-CN"/>
              </w:rPr>
              <w:t>ompetition.</w:t>
            </w:r>
          </w:p>
          <w:p w:rsidR="00091CB9" w:rsidRPr="00091CB9" w:rsidRDefault="00091CB9" w:rsidP="003867F8">
            <w:pPr>
              <w:spacing w:before="60" w:after="60"/>
              <w:contextualSpacing/>
              <w:rPr>
                <w:rFonts w:eastAsia="SimSun" w:cs="Arial"/>
                <w:sz w:val="16"/>
                <w:szCs w:val="16"/>
                <w:lang w:eastAsia="ko-KR"/>
              </w:rPr>
            </w:pPr>
          </w:p>
        </w:tc>
      </w:tr>
      <w:tr w:rsidR="008355F0" w:rsidRPr="0006716F" w:rsidTr="00E37059">
        <w:trPr>
          <w:trHeight w:val="80"/>
        </w:trPr>
        <w:tc>
          <w:tcPr>
            <w:tcW w:w="1830" w:type="dxa"/>
            <w:tcBorders>
              <w:top w:val="nil"/>
              <w:left w:val="single" w:sz="4" w:space="0" w:color="auto"/>
              <w:bottom w:val="single" w:sz="4" w:space="0" w:color="auto"/>
            </w:tcBorders>
          </w:tcPr>
          <w:p w:rsidR="008355F0" w:rsidRPr="0006716F" w:rsidRDefault="008355F0" w:rsidP="003867F8">
            <w:pPr>
              <w:autoSpaceDE w:val="0"/>
              <w:autoSpaceDN w:val="0"/>
              <w:adjustRightInd w:val="0"/>
              <w:spacing w:before="60" w:after="60"/>
              <w:rPr>
                <w:rFonts w:cs="Arial"/>
                <w:color w:val="000000"/>
                <w:sz w:val="16"/>
                <w:szCs w:val="16"/>
                <w:highlight w:val="yellow"/>
              </w:rPr>
            </w:pPr>
            <w:r w:rsidRPr="0006716F">
              <w:rPr>
                <w:rFonts w:cs="Arial"/>
                <w:color w:val="000000"/>
                <w:sz w:val="16"/>
                <w:szCs w:val="16"/>
              </w:rPr>
              <w:t>Appropriate Technology (AT) Competition</w:t>
            </w:r>
          </w:p>
        </w:tc>
        <w:tc>
          <w:tcPr>
            <w:tcW w:w="1177" w:type="dxa"/>
            <w:gridSpan w:val="2"/>
            <w:tcBorders>
              <w:top w:val="nil"/>
              <w:bottom w:val="single" w:sz="4" w:space="0" w:color="auto"/>
            </w:tcBorders>
          </w:tcPr>
          <w:p w:rsidR="008355F0" w:rsidRPr="0006716F" w:rsidRDefault="008355F0" w:rsidP="003867F8">
            <w:pPr>
              <w:spacing w:before="60" w:after="60"/>
              <w:rPr>
                <w:rFonts w:cs="Arial"/>
                <w:color w:val="000000"/>
                <w:sz w:val="16"/>
                <w:szCs w:val="16"/>
                <w:lang w:eastAsia="ko-KR"/>
              </w:rPr>
            </w:pPr>
            <w:r w:rsidRPr="0006716F">
              <w:rPr>
                <w:rFonts w:eastAsia="Malgun Gothic" w:cs="Arial"/>
                <w:color w:val="000000"/>
                <w:sz w:val="16"/>
                <w:szCs w:val="16"/>
                <w:lang w:eastAsia="ko-KR"/>
              </w:rPr>
              <w:t>July</w:t>
            </w:r>
            <w:r>
              <w:rPr>
                <w:rFonts w:cs="Arial"/>
                <w:color w:val="000000"/>
                <w:sz w:val="16"/>
                <w:szCs w:val="16"/>
                <w:lang w:eastAsia="ko-KR"/>
              </w:rPr>
              <w:t xml:space="preserve"> </w:t>
            </w:r>
            <w:r w:rsidRPr="0006716F">
              <w:rPr>
                <w:rFonts w:cs="Arial"/>
                <w:color w:val="000000"/>
                <w:sz w:val="16"/>
                <w:szCs w:val="16"/>
                <w:lang w:eastAsia="ko-KR"/>
              </w:rPr>
              <w:t>2015 (initiated)</w:t>
            </w:r>
          </w:p>
          <w:p w:rsidR="008355F0" w:rsidRPr="0006716F" w:rsidRDefault="008355F0" w:rsidP="003867F8">
            <w:pPr>
              <w:autoSpaceDE w:val="0"/>
              <w:autoSpaceDN w:val="0"/>
              <w:adjustRightInd w:val="0"/>
              <w:spacing w:before="60" w:after="60"/>
              <w:rPr>
                <w:rFonts w:eastAsia="Malgun Gothic" w:cs="Arial"/>
                <w:color w:val="000000"/>
                <w:sz w:val="16"/>
                <w:szCs w:val="16"/>
                <w:highlight w:val="yellow"/>
                <w:lang w:eastAsia="ko-KR"/>
              </w:rPr>
            </w:pPr>
          </w:p>
        </w:tc>
        <w:tc>
          <w:tcPr>
            <w:tcW w:w="1843" w:type="dxa"/>
            <w:tcBorders>
              <w:top w:val="nil"/>
              <w:bottom w:val="single" w:sz="4" w:space="0" w:color="auto"/>
            </w:tcBorders>
          </w:tcPr>
          <w:p w:rsidR="008355F0" w:rsidRPr="0006716F" w:rsidRDefault="008355F0" w:rsidP="003867F8">
            <w:pPr>
              <w:spacing w:before="60" w:after="60"/>
              <w:contextualSpacing/>
              <w:rPr>
                <w:rFonts w:cs="Arial"/>
                <w:color w:val="000000"/>
                <w:sz w:val="16"/>
                <w:szCs w:val="16"/>
                <w:highlight w:val="yellow"/>
              </w:rPr>
            </w:pPr>
            <w:r w:rsidRPr="0006716F">
              <w:rPr>
                <w:rFonts w:eastAsia="Malgun Gothic" w:cs="Arial"/>
                <w:color w:val="000000"/>
                <w:sz w:val="16"/>
                <w:szCs w:val="16"/>
                <w:lang w:eastAsia="ko-KR"/>
              </w:rPr>
              <w:t>Dominican Republic</w:t>
            </w:r>
          </w:p>
        </w:tc>
        <w:tc>
          <w:tcPr>
            <w:tcW w:w="4678" w:type="dxa"/>
            <w:tcBorders>
              <w:top w:val="nil"/>
              <w:bottom w:val="single" w:sz="4" w:space="0" w:color="auto"/>
              <w:right w:val="single" w:sz="4" w:space="0" w:color="auto"/>
            </w:tcBorders>
          </w:tcPr>
          <w:p w:rsidR="008355F0" w:rsidRPr="0006716F" w:rsidRDefault="008355F0" w:rsidP="003867F8">
            <w:pPr>
              <w:spacing w:before="60" w:after="60"/>
              <w:contextualSpacing/>
              <w:rPr>
                <w:rFonts w:eastAsia="SimSun" w:cs="Arial"/>
                <w:sz w:val="16"/>
                <w:szCs w:val="16"/>
                <w:lang w:eastAsia="zh-CN"/>
              </w:rPr>
            </w:pPr>
            <w:r w:rsidRPr="0006716F">
              <w:rPr>
                <w:rFonts w:eastAsia="SimSun" w:cs="Arial"/>
                <w:sz w:val="16"/>
                <w:szCs w:val="16"/>
                <w:lang w:eastAsia="zh-CN"/>
              </w:rPr>
              <w:t>T</w:t>
            </w:r>
            <w:r w:rsidRPr="0006716F">
              <w:rPr>
                <w:rFonts w:eastAsia="SimSun" w:cs="Arial"/>
                <w:sz w:val="16"/>
                <w:szCs w:val="16"/>
                <w:lang w:val="x-none" w:eastAsia="zh-CN"/>
              </w:rPr>
              <w:t>o</w:t>
            </w:r>
            <w:r>
              <w:rPr>
                <w:rFonts w:eastAsia="SimSun" w:cs="Arial"/>
                <w:sz w:val="16"/>
                <w:szCs w:val="16"/>
                <w:lang w:eastAsia="zh-CN"/>
              </w:rPr>
              <w:t xml:space="preserve"> </w:t>
            </w:r>
            <w:r w:rsidRPr="0006716F">
              <w:rPr>
                <w:rFonts w:eastAsia="SimSun" w:cs="Arial"/>
                <w:sz w:val="16"/>
                <w:szCs w:val="16"/>
                <w:lang w:val="x-none" w:eastAsia="zh-CN"/>
              </w:rPr>
              <w:t>encourage and reward excellence in the invention of AT</w:t>
            </w:r>
            <w:r w:rsidRPr="0006716F">
              <w:rPr>
                <w:rFonts w:eastAsia="SimSun" w:cs="Arial"/>
                <w:sz w:val="16"/>
                <w:szCs w:val="16"/>
                <w:lang w:eastAsia="zh-CN"/>
              </w:rPr>
              <w:t xml:space="preserve"> for agricultur</w:t>
            </w:r>
            <w:r w:rsidRPr="002969E2">
              <w:rPr>
                <w:rFonts w:eastAsia="SimSun" w:cs="Arial"/>
                <w:sz w:val="16"/>
                <w:szCs w:val="16"/>
                <w:lang w:eastAsia="zh-CN"/>
              </w:rPr>
              <w:t>e</w:t>
            </w:r>
            <w:r w:rsidRPr="00920AD0">
              <w:rPr>
                <w:rFonts w:eastAsia="SimSun" w:cs="Arial"/>
                <w:sz w:val="16"/>
                <w:szCs w:val="16"/>
                <w:lang w:val="x-none" w:eastAsia="zh-CN"/>
              </w:rPr>
              <w:t xml:space="preserve"> that </w:t>
            </w:r>
            <w:r w:rsidRPr="00920AD0">
              <w:rPr>
                <w:rFonts w:eastAsia="Malgun Gothic" w:cs="Arial"/>
                <w:sz w:val="16"/>
                <w:szCs w:val="16"/>
                <w:lang w:val="x-none" w:eastAsia="ko-KR"/>
              </w:rPr>
              <w:t>c</w:t>
            </w:r>
            <w:r w:rsidRPr="0006716F">
              <w:rPr>
                <w:rFonts w:eastAsia="SimSun" w:cs="Arial"/>
                <w:sz w:val="16"/>
                <w:szCs w:val="16"/>
                <w:lang w:val="x-none" w:eastAsia="zh-CN"/>
              </w:rPr>
              <w:t>ould be easily and economically utilized by local communities to meet their needs and</w:t>
            </w:r>
            <w:r w:rsidRPr="0006716F">
              <w:rPr>
                <w:rFonts w:eastAsia="Malgun Gothic" w:cs="Arial"/>
                <w:sz w:val="16"/>
                <w:szCs w:val="16"/>
                <w:lang w:val="x-none" w:eastAsia="ko-KR"/>
              </w:rPr>
              <w:t xml:space="preserve"> contribute to</w:t>
            </w:r>
            <w:r>
              <w:rPr>
                <w:rFonts w:eastAsia="Malgun Gothic" w:cs="Arial"/>
                <w:sz w:val="16"/>
                <w:szCs w:val="16"/>
                <w:lang w:eastAsia="ko-KR"/>
              </w:rPr>
              <w:t xml:space="preserve"> the</w:t>
            </w:r>
            <w:r w:rsidRPr="0006716F">
              <w:rPr>
                <w:rFonts w:eastAsia="Malgun Gothic" w:cs="Arial"/>
                <w:sz w:val="16"/>
                <w:szCs w:val="16"/>
                <w:lang w:val="x-none" w:eastAsia="ko-KR"/>
              </w:rPr>
              <w:t xml:space="preserve"> </w:t>
            </w:r>
            <w:r w:rsidRPr="0006716F">
              <w:rPr>
                <w:rFonts w:eastAsia="SimSun" w:cs="Arial"/>
                <w:sz w:val="16"/>
                <w:szCs w:val="16"/>
                <w:lang w:val="x-none" w:eastAsia="zh-CN"/>
              </w:rPr>
              <w:t xml:space="preserve">sustainable development of local communities. </w:t>
            </w:r>
          </w:p>
          <w:p w:rsidR="008355F0" w:rsidRPr="0006716F" w:rsidRDefault="008355F0" w:rsidP="003867F8">
            <w:pPr>
              <w:spacing w:before="60" w:after="60"/>
              <w:contextualSpacing/>
              <w:rPr>
                <w:rFonts w:eastAsia="SimSun" w:cs="Arial"/>
                <w:sz w:val="16"/>
                <w:szCs w:val="16"/>
                <w:lang w:eastAsia="zh-CN"/>
              </w:rPr>
            </w:pPr>
          </w:p>
          <w:p w:rsidR="008355F0" w:rsidRPr="0006716F" w:rsidRDefault="008355F0" w:rsidP="003867F8">
            <w:pPr>
              <w:spacing w:before="60" w:after="60"/>
              <w:contextualSpacing/>
              <w:rPr>
                <w:rFonts w:eastAsia="SimSun" w:cs="Arial"/>
                <w:sz w:val="16"/>
                <w:szCs w:val="16"/>
                <w:highlight w:val="yellow"/>
                <w:lang w:eastAsia="ko-KR"/>
              </w:rPr>
            </w:pPr>
            <w:r w:rsidRPr="0006716F">
              <w:rPr>
                <w:rFonts w:eastAsia="SimSun" w:cs="Arial"/>
                <w:sz w:val="16"/>
                <w:szCs w:val="16"/>
                <w:lang w:val="x-none" w:eastAsia="zh-CN"/>
              </w:rPr>
              <w:t xml:space="preserve">The effective utilization of patent information for devising solutions </w:t>
            </w:r>
            <w:r>
              <w:rPr>
                <w:rFonts w:eastAsia="SimSun" w:cs="Arial"/>
                <w:sz w:val="16"/>
                <w:szCs w:val="16"/>
                <w:lang w:eastAsia="zh-CN"/>
              </w:rPr>
              <w:t>was</w:t>
            </w:r>
            <w:r w:rsidRPr="00920AD0">
              <w:rPr>
                <w:rFonts w:eastAsia="SimSun" w:cs="Arial"/>
                <w:sz w:val="16"/>
                <w:szCs w:val="16"/>
                <w:lang w:val="x-none" w:eastAsia="zh-CN"/>
              </w:rPr>
              <w:t xml:space="preserve"> a key element of the competition.</w:t>
            </w:r>
          </w:p>
        </w:tc>
      </w:tr>
    </w:tbl>
    <w:p w:rsidR="008355F0" w:rsidRPr="00A61AD8" w:rsidRDefault="008355F0" w:rsidP="003867F8">
      <w:pPr>
        <w:rPr>
          <w:rFonts w:cs="Arial"/>
          <w:szCs w:val="16"/>
        </w:rPr>
      </w:pPr>
    </w:p>
    <w:p w:rsidR="008355F0" w:rsidRPr="00A61AD8" w:rsidRDefault="008355F0" w:rsidP="003867F8">
      <w:pPr>
        <w:rPr>
          <w:rFonts w:cs="Arial"/>
          <w:szCs w:val="16"/>
        </w:rPr>
      </w:pPr>
    </w:p>
    <w:p w:rsidR="008355F0" w:rsidRDefault="008355F0" w:rsidP="003867F8">
      <w:pPr>
        <w:rPr>
          <w:rFonts w:cs="Arial"/>
          <w:b/>
          <w:bCs/>
          <w:color w:val="000000"/>
          <w:szCs w:val="20"/>
        </w:rPr>
      </w:pPr>
      <w:r w:rsidRPr="00920AD0">
        <w:rPr>
          <w:rFonts w:cs="Arial"/>
          <w:b/>
          <w:szCs w:val="20"/>
        </w:rPr>
        <w:t xml:space="preserve">REPUBLIC OF KOREA/ </w:t>
      </w:r>
      <w:r w:rsidR="00091CB9">
        <w:rPr>
          <w:rFonts w:cs="Arial"/>
          <w:b/>
          <w:szCs w:val="20"/>
        </w:rPr>
        <w:t>INDUSTRIAL</w:t>
      </w:r>
      <w:r w:rsidRPr="00920AD0">
        <w:rPr>
          <w:rFonts w:cs="Arial"/>
          <w:b/>
          <w:szCs w:val="20"/>
        </w:rPr>
        <w:t xml:space="preserve"> PROPERTY </w:t>
      </w:r>
      <w:r w:rsidRPr="0006716F">
        <w:rPr>
          <w:rFonts w:cs="Arial"/>
          <w:b/>
          <w:bCs/>
          <w:color w:val="000000"/>
          <w:szCs w:val="20"/>
        </w:rPr>
        <w:t>Donor Contributions and Expenditure in 2015</w:t>
      </w:r>
    </w:p>
    <w:p w:rsidR="008355F0" w:rsidRPr="0006716F" w:rsidRDefault="008355F0" w:rsidP="003867F8">
      <w:pPr>
        <w:rPr>
          <w:rFonts w:cs="Arial"/>
          <w:b/>
          <w:bCs/>
          <w:color w:val="000000"/>
          <w:szCs w:val="20"/>
        </w:rPr>
      </w:pPr>
    </w:p>
    <w:tbl>
      <w:tblPr>
        <w:tblW w:w="9508" w:type="dxa"/>
        <w:tblInd w:w="98" w:type="dxa"/>
        <w:tblLook w:val="04A0" w:firstRow="1" w:lastRow="0" w:firstColumn="1" w:lastColumn="0" w:noHBand="0" w:noVBand="1"/>
      </w:tblPr>
      <w:tblGrid>
        <w:gridCol w:w="2040"/>
        <w:gridCol w:w="1640"/>
        <w:gridCol w:w="1860"/>
        <w:gridCol w:w="1780"/>
        <w:gridCol w:w="2188"/>
      </w:tblGrid>
      <w:tr w:rsidR="008355F0" w:rsidRPr="0006716F" w:rsidTr="00E92F85">
        <w:trPr>
          <w:trHeight w:val="450"/>
        </w:trPr>
        <w:tc>
          <w:tcPr>
            <w:tcW w:w="2040" w:type="dxa"/>
            <w:tcBorders>
              <w:top w:val="single" w:sz="8" w:space="0" w:color="auto"/>
              <w:left w:val="single" w:sz="8" w:space="0" w:color="auto"/>
              <w:bottom w:val="nil"/>
              <w:right w:val="single" w:sz="8" w:space="0" w:color="auto"/>
            </w:tcBorders>
            <w:shd w:val="clear" w:color="auto" w:fill="C6D9F1" w:themeFill="text2" w:themeFillTint="33"/>
            <w:vAlign w:val="center"/>
            <w:hideMark/>
          </w:tcPr>
          <w:p w:rsidR="008355F0" w:rsidRPr="0006716F" w:rsidRDefault="008355F0" w:rsidP="003867F8">
            <w:pPr>
              <w:jc w:val="center"/>
              <w:rPr>
                <w:rFonts w:cs="Arial"/>
                <w:b/>
                <w:bCs/>
                <w:color w:val="000000"/>
                <w:sz w:val="16"/>
                <w:szCs w:val="16"/>
              </w:rPr>
            </w:pPr>
            <w:r w:rsidRPr="0006716F">
              <w:rPr>
                <w:rFonts w:cs="Arial"/>
                <w:b/>
                <w:bCs/>
                <w:color w:val="000000"/>
                <w:sz w:val="16"/>
                <w:szCs w:val="16"/>
              </w:rPr>
              <w:t>Balance as of December 31, 2014</w:t>
            </w:r>
          </w:p>
        </w:tc>
        <w:tc>
          <w:tcPr>
            <w:tcW w:w="1640" w:type="dxa"/>
            <w:tcBorders>
              <w:top w:val="single" w:sz="8" w:space="0" w:color="auto"/>
              <w:left w:val="nil"/>
              <w:bottom w:val="nil"/>
              <w:right w:val="single" w:sz="8" w:space="0" w:color="auto"/>
            </w:tcBorders>
            <w:shd w:val="clear" w:color="auto" w:fill="C6D9F1" w:themeFill="text2" w:themeFillTint="33"/>
            <w:vAlign w:val="center"/>
            <w:hideMark/>
          </w:tcPr>
          <w:p w:rsidR="008355F0" w:rsidRPr="0006716F" w:rsidRDefault="008355F0" w:rsidP="003867F8">
            <w:pPr>
              <w:jc w:val="center"/>
              <w:rPr>
                <w:rFonts w:cs="Arial"/>
                <w:b/>
                <w:bCs/>
                <w:color w:val="000000"/>
                <w:sz w:val="16"/>
                <w:szCs w:val="16"/>
              </w:rPr>
            </w:pPr>
            <w:r w:rsidRPr="0006716F">
              <w:rPr>
                <w:rFonts w:cs="Arial"/>
                <w:b/>
                <w:bCs/>
                <w:color w:val="000000"/>
                <w:sz w:val="16"/>
                <w:szCs w:val="16"/>
              </w:rPr>
              <w:t>Income 2015</w:t>
            </w:r>
          </w:p>
        </w:tc>
        <w:tc>
          <w:tcPr>
            <w:tcW w:w="1860" w:type="dxa"/>
            <w:tcBorders>
              <w:top w:val="single" w:sz="8" w:space="0" w:color="auto"/>
              <w:left w:val="nil"/>
              <w:bottom w:val="nil"/>
              <w:right w:val="single" w:sz="8" w:space="0" w:color="auto"/>
            </w:tcBorders>
            <w:shd w:val="clear" w:color="auto" w:fill="C6D9F1" w:themeFill="text2" w:themeFillTint="33"/>
            <w:vAlign w:val="center"/>
            <w:hideMark/>
          </w:tcPr>
          <w:p w:rsidR="008355F0" w:rsidRPr="0006716F" w:rsidRDefault="008355F0" w:rsidP="003867F8">
            <w:pPr>
              <w:jc w:val="center"/>
              <w:rPr>
                <w:rFonts w:cs="Arial"/>
                <w:b/>
                <w:bCs/>
                <w:color w:val="000000"/>
                <w:sz w:val="16"/>
                <w:szCs w:val="16"/>
              </w:rPr>
            </w:pPr>
            <w:r w:rsidRPr="0006716F">
              <w:rPr>
                <w:rFonts w:cs="Arial"/>
                <w:b/>
                <w:bCs/>
                <w:color w:val="000000"/>
                <w:sz w:val="16"/>
                <w:szCs w:val="16"/>
              </w:rPr>
              <w:t>Expenditure 2015</w:t>
            </w:r>
          </w:p>
        </w:tc>
        <w:tc>
          <w:tcPr>
            <w:tcW w:w="1780" w:type="dxa"/>
            <w:tcBorders>
              <w:top w:val="single" w:sz="8" w:space="0" w:color="auto"/>
              <w:left w:val="nil"/>
              <w:bottom w:val="nil"/>
              <w:right w:val="single" w:sz="8" w:space="0" w:color="auto"/>
            </w:tcBorders>
            <w:shd w:val="clear" w:color="auto" w:fill="C6D9F1" w:themeFill="text2" w:themeFillTint="33"/>
            <w:vAlign w:val="center"/>
            <w:hideMark/>
          </w:tcPr>
          <w:p w:rsidR="008355F0" w:rsidRPr="0006716F" w:rsidRDefault="008355F0" w:rsidP="003867F8">
            <w:pPr>
              <w:jc w:val="center"/>
              <w:rPr>
                <w:rFonts w:cs="Arial"/>
                <w:b/>
                <w:bCs/>
                <w:color w:val="000000"/>
                <w:sz w:val="16"/>
                <w:szCs w:val="16"/>
              </w:rPr>
            </w:pPr>
            <w:r w:rsidRPr="0006716F">
              <w:rPr>
                <w:rFonts w:cs="Arial"/>
                <w:b/>
                <w:bCs/>
                <w:color w:val="000000"/>
                <w:sz w:val="16"/>
                <w:szCs w:val="16"/>
              </w:rPr>
              <w:t>Reimbursements</w:t>
            </w:r>
          </w:p>
        </w:tc>
        <w:tc>
          <w:tcPr>
            <w:tcW w:w="2188" w:type="dxa"/>
            <w:tcBorders>
              <w:top w:val="single" w:sz="8" w:space="0" w:color="auto"/>
              <w:left w:val="nil"/>
              <w:bottom w:val="nil"/>
              <w:right w:val="single" w:sz="8" w:space="0" w:color="auto"/>
            </w:tcBorders>
            <w:shd w:val="clear" w:color="auto" w:fill="C6D9F1" w:themeFill="text2" w:themeFillTint="33"/>
            <w:vAlign w:val="center"/>
            <w:hideMark/>
          </w:tcPr>
          <w:p w:rsidR="008355F0" w:rsidRPr="0006716F" w:rsidRDefault="008355F0" w:rsidP="003867F8">
            <w:pPr>
              <w:jc w:val="center"/>
              <w:rPr>
                <w:rFonts w:cs="Arial"/>
                <w:b/>
                <w:bCs/>
                <w:color w:val="000000"/>
                <w:sz w:val="16"/>
                <w:szCs w:val="16"/>
              </w:rPr>
            </w:pPr>
            <w:r w:rsidRPr="0006716F">
              <w:rPr>
                <w:rFonts w:cs="Arial"/>
                <w:b/>
                <w:bCs/>
                <w:color w:val="000000"/>
                <w:sz w:val="16"/>
                <w:szCs w:val="16"/>
              </w:rPr>
              <w:t>Balance as of December</w:t>
            </w:r>
            <w:r>
              <w:rPr>
                <w:rFonts w:cs="Arial"/>
                <w:b/>
                <w:bCs/>
                <w:color w:val="000000"/>
                <w:sz w:val="16"/>
                <w:szCs w:val="16"/>
              </w:rPr>
              <w:t> </w:t>
            </w:r>
            <w:r w:rsidRPr="0006716F">
              <w:rPr>
                <w:rFonts w:cs="Arial"/>
                <w:b/>
                <w:bCs/>
                <w:color w:val="000000"/>
                <w:sz w:val="16"/>
                <w:szCs w:val="16"/>
              </w:rPr>
              <w:t>31, 2015</w:t>
            </w:r>
          </w:p>
        </w:tc>
      </w:tr>
      <w:tr w:rsidR="008355F0" w:rsidRPr="0006716F" w:rsidTr="00E92F85">
        <w:trPr>
          <w:trHeight w:val="255"/>
        </w:trPr>
        <w:tc>
          <w:tcPr>
            <w:tcW w:w="20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55F0" w:rsidRPr="0006716F" w:rsidRDefault="008355F0" w:rsidP="003867F8">
            <w:pPr>
              <w:jc w:val="center"/>
              <w:rPr>
                <w:rFonts w:cs="Arial"/>
                <w:color w:val="000000"/>
                <w:sz w:val="16"/>
                <w:szCs w:val="16"/>
              </w:rPr>
            </w:pPr>
            <w:r w:rsidRPr="0006716F">
              <w:rPr>
                <w:rFonts w:cs="Arial"/>
                <w:color w:val="000000"/>
                <w:sz w:val="16"/>
                <w:szCs w:val="16"/>
              </w:rPr>
              <w:t>1,180,774</w:t>
            </w:r>
          </w:p>
        </w:tc>
        <w:tc>
          <w:tcPr>
            <w:tcW w:w="1640" w:type="dxa"/>
            <w:tcBorders>
              <w:top w:val="single" w:sz="4" w:space="0" w:color="auto"/>
              <w:left w:val="nil"/>
              <w:bottom w:val="single" w:sz="4" w:space="0" w:color="auto"/>
              <w:right w:val="single" w:sz="4" w:space="0" w:color="auto"/>
            </w:tcBorders>
            <w:shd w:val="clear" w:color="auto" w:fill="auto"/>
            <w:vAlign w:val="center"/>
            <w:hideMark/>
          </w:tcPr>
          <w:p w:rsidR="008355F0" w:rsidRPr="0006716F" w:rsidRDefault="008355F0" w:rsidP="003867F8">
            <w:pPr>
              <w:jc w:val="center"/>
              <w:rPr>
                <w:rFonts w:cs="Arial"/>
                <w:color w:val="000000"/>
                <w:sz w:val="16"/>
                <w:szCs w:val="16"/>
              </w:rPr>
            </w:pPr>
            <w:r w:rsidRPr="0006716F">
              <w:rPr>
                <w:rFonts w:cs="Arial"/>
                <w:color w:val="000000"/>
                <w:sz w:val="16"/>
                <w:szCs w:val="16"/>
              </w:rPr>
              <w:t>659,148</w:t>
            </w:r>
          </w:p>
        </w:tc>
        <w:tc>
          <w:tcPr>
            <w:tcW w:w="1860" w:type="dxa"/>
            <w:tcBorders>
              <w:top w:val="single" w:sz="4" w:space="0" w:color="auto"/>
              <w:left w:val="nil"/>
              <w:bottom w:val="single" w:sz="4" w:space="0" w:color="auto"/>
              <w:right w:val="single" w:sz="4" w:space="0" w:color="auto"/>
            </w:tcBorders>
            <w:shd w:val="clear" w:color="auto" w:fill="auto"/>
            <w:vAlign w:val="center"/>
            <w:hideMark/>
          </w:tcPr>
          <w:p w:rsidR="008355F0" w:rsidRPr="0006716F" w:rsidRDefault="008355F0" w:rsidP="003867F8">
            <w:pPr>
              <w:jc w:val="center"/>
              <w:rPr>
                <w:rFonts w:cs="Arial"/>
                <w:color w:val="000000"/>
                <w:sz w:val="16"/>
                <w:szCs w:val="16"/>
              </w:rPr>
            </w:pPr>
            <w:r w:rsidRPr="0006716F">
              <w:rPr>
                <w:rFonts w:cs="Arial"/>
                <w:color w:val="000000"/>
                <w:sz w:val="16"/>
                <w:szCs w:val="16"/>
              </w:rPr>
              <w:t>786,531</w:t>
            </w:r>
          </w:p>
        </w:tc>
        <w:tc>
          <w:tcPr>
            <w:tcW w:w="1780" w:type="dxa"/>
            <w:tcBorders>
              <w:top w:val="single" w:sz="4" w:space="0" w:color="auto"/>
              <w:left w:val="nil"/>
              <w:bottom w:val="single" w:sz="4" w:space="0" w:color="auto"/>
              <w:right w:val="single" w:sz="4" w:space="0" w:color="auto"/>
            </w:tcBorders>
            <w:shd w:val="clear" w:color="auto" w:fill="auto"/>
            <w:noWrap/>
            <w:vAlign w:val="center"/>
            <w:hideMark/>
          </w:tcPr>
          <w:p w:rsidR="008355F0" w:rsidRPr="00920AD0" w:rsidRDefault="008355F0" w:rsidP="003867F8">
            <w:pPr>
              <w:jc w:val="center"/>
              <w:rPr>
                <w:rFonts w:cs="Arial"/>
                <w:color w:val="000000"/>
                <w:sz w:val="16"/>
                <w:szCs w:val="16"/>
              </w:rPr>
            </w:pPr>
            <w:r>
              <w:rPr>
                <w:rFonts w:cs="Arial"/>
                <w:color w:val="000000"/>
                <w:sz w:val="16"/>
                <w:szCs w:val="16"/>
              </w:rPr>
              <w:t>-</w:t>
            </w:r>
          </w:p>
        </w:tc>
        <w:tc>
          <w:tcPr>
            <w:tcW w:w="2188" w:type="dxa"/>
            <w:tcBorders>
              <w:top w:val="single" w:sz="4" w:space="0" w:color="auto"/>
              <w:left w:val="nil"/>
              <w:bottom w:val="single" w:sz="4" w:space="0" w:color="auto"/>
              <w:right w:val="single" w:sz="4" w:space="0" w:color="auto"/>
            </w:tcBorders>
            <w:shd w:val="clear" w:color="auto" w:fill="auto"/>
            <w:vAlign w:val="center"/>
            <w:hideMark/>
          </w:tcPr>
          <w:p w:rsidR="008355F0" w:rsidRPr="0006716F" w:rsidRDefault="008355F0" w:rsidP="003867F8">
            <w:pPr>
              <w:jc w:val="center"/>
              <w:rPr>
                <w:rFonts w:cs="Arial"/>
                <w:color w:val="000000"/>
                <w:sz w:val="16"/>
                <w:szCs w:val="16"/>
              </w:rPr>
            </w:pPr>
            <w:r w:rsidRPr="0006716F">
              <w:rPr>
                <w:rFonts w:cs="Arial"/>
                <w:color w:val="000000"/>
                <w:sz w:val="16"/>
                <w:szCs w:val="16"/>
              </w:rPr>
              <w:t>1,053,391</w:t>
            </w:r>
          </w:p>
        </w:tc>
      </w:tr>
    </w:tbl>
    <w:p w:rsidR="008355F0" w:rsidRDefault="008355F0"/>
    <w:p w:rsidR="008355F0" w:rsidRDefault="008355F0"/>
    <w:p w:rsidR="008355F0" w:rsidRPr="00EF291C" w:rsidRDefault="008355F0" w:rsidP="003867F8">
      <w:pPr>
        <w:keepNext/>
        <w:keepLines/>
        <w:rPr>
          <w:rFonts w:cs="Arial"/>
          <w:b/>
        </w:rPr>
      </w:pPr>
      <w:r w:rsidRPr="00EF291C">
        <w:rPr>
          <w:rFonts w:cs="Arial"/>
          <w:b/>
        </w:rPr>
        <w:t>MEXIC</w:t>
      </w:r>
      <w:r w:rsidR="00091CB9" w:rsidRPr="00EF291C">
        <w:rPr>
          <w:rFonts w:cs="Arial"/>
          <w:b/>
        </w:rPr>
        <w:t>O</w:t>
      </w:r>
      <w:r w:rsidR="00091CB9">
        <w:rPr>
          <w:rStyle w:val="FootnoteReference"/>
          <w:rFonts w:cs="Arial"/>
          <w:b/>
        </w:rPr>
        <w:footnoteReference w:id="164"/>
      </w:r>
    </w:p>
    <w:p w:rsidR="008355F0" w:rsidRPr="00A61AD8" w:rsidRDefault="008355F0" w:rsidP="003867F8">
      <w:pPr>
        <w:keepNext/>
        <w:keepLines/>
        <w:rPr>
          <w:rFonts w:cs="Arial"/>
          <w:b/>
          <w:szCs w:val="16"/>
        </w:rPr>
      </w:pPr>
    </w:p>
    <w:tbl>
      <w:tblPr>
        <w:tblW w:w="9528" w:type="dxa"/>
        <w:tblInd w:w="7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73"/>
        <w:gridCol w:w="992"/>
        <w:gridCol w:w="2552"/>
        <w:gridCol w:w="4111"/>
      </w:tblGrid>
      <w:tr w:rsidR="008355F0" w:rsidRPr="00EF291C" w:rsidTr="00E92F85">
        <w:trPr>
          <w:cantSplit/>
        </w:trPr>
        <w:tc>
          <w:tcPr>
            <w:tcW w:w="9528" w:type="dxa"/>
            <w:gridSpan w:val="4"/>
            <w:tcBorders>
              <w:top w:val="single" w:sz="4" w:space="0" w:color="000000"/>
              <w:bottom w:val="single" w:sz="4" w:space="0" w:color="000000"/>
            </w:tcBorders>
            <w:shd w:val="clear" w:color="auto" w:fill="C6D9F1"/>
            <w:vAlign w:val="center"/>
          </w:tcPr>
          <w:p w:rsidR="008355F0" w:rsidRPr="00EF291C" w:rsidRDefault="008355F0" w:rsidP="003867F8">
            <w:pPr>
              <w:keepNext/>
              <w:keepLines/>
              <w:tabs>
                <w:tab w:val="left" w:pos="1740"/>
              </w:tabs>
              <w:spacing w:before="120" w:after="120"/>
              <w:ind w:left="1740" w:hanging="1740"/>
              <w:rPr>
                <w:rFonts w:cs="Arial"/>
                <w:b/>
                <w:bCs/>
                <w:sz w:val="16"/>
                <w:szCs w:val="16"/>
              </w:rPr>
            </w:pPr>
            <w:r w:rsidRPr="00EF291C">
              <w:rPr>
                <w:rFonts w:cs="Arial"/>
                <w:b/>
                <w:bCs/>
                <w:color w:val="000000"/>
                <w:sz w:val="16"/>
                <w:szCs w:val="16"/>
              </w:rPr>
              <w:t>RESULT</w:t>
            </w:r>
            <w:r w:rsidRPr="00EF291C">
              <w:rPr>
                <w:rFonts w:cs="Arial"/>
                <w:b/>
                <w:bCs/>
                <w:sz w:val="16"/>
                <w:szCs w:val="16"/>
              </w:rPr>
              <w:t>:</w:t>
            </w:r>
            <w:r w:rsidRPr="00EF291C">
              <w:rPr>
                <w:rFonts w:cs="Arial"/>
                <w:b/>
                <w:bCs/>
                <w:sz w:val="16"/>
                <w:szCs w:val="16"/>
              </w:rPr>
              <w:tab/>
            </w:r>
            <w:r w:rsidRPr="00EF291C">
              <w:rPr>
                <w:rFonts w:cs="Arial"/>
                <w:bCs/>
                <w:sz w:val="16"/>
                <w:szCs w:val="16"/>
              </w:rPr>
              <w:t>III.1. National innovation and IP strategies and plans consistent with national development</w:t>
            </w:r>
          </w:p>
        </w:tc>
      </w:tr>
      <w:tr w:rsidR="008355F0" w:rsidRPr="00EF291C" w:rsidTr="00E92F85">
        <w:trPr>
          <w:cantSplit/>
        </w:trPr>
        <w:tc>
          <w:tcPr>
            <w:tcW w:w="1873" w:type="dxa"/>
            <w:tcBorders>
              <w:top w:val="single" w:sz="4" w:space="0" w:color="000000"/>
            </w:tcBorders>
            <w:vAlign w:val="center"/>
          </w:tcPr>
          <w:p w:rsidR="008355F0" w:rsidRPr="00EF291C" w:rsidRDefault="008355F0" w:rsidP="003867F8">
            <w:pPr>
              <w:keepNext/>
              <w:keepLines/>
              <w:spacing w:before="60" w:after="60"/>
              <w:rPr>
                <w:rFonts w:cs="Arial"/>
                <w:b/>
                <w:bCs/>
                <w:sz w:val="16"/>
                <w:szCs w:val="16"/>
              </w:rPr>
            </w:pPr>
            <w:r w:rsidRPr="00EF291C">
              <w:rPr>
                <w:rFonts w:cs="Arial"/>
                <w:b/>
                <w:bCs/>
                <w:sz w:val="16"/>
                <w:szCs w:val="16"/>
              </w:rPr>
              <w:t>Activity</w:t>
            </w:r>
          </w:p>
        </w:tc>
        <w:tc>
          <w:tcPr>
            <w:tcW w:w="992" w:type="dxa"/>
            <w:tcBorders>
              <w:top w:val="single" w:sz="4" w:space="0" w:color="000000"/>
            </w:tcBorders>
            <w:tcMar>
              <w:top w:w="110" w:type="dxa"/>
            </w:tcMar>
            <w:vAlign w:val="center"/>
          </w:tcPr>
          <w:p w:rsidR="008355F0" w:rsidRPr="00EF291C" w:rsidRDefault="008355F0" w:rsidP="003867F8">
            <w:pPr>
              <w:keepNext/>
              <w:keepLines/>
              <w:spacing w:before="60" w:after="60"/>
              <w:rPr>
                <w:rFonts w:cs="Arial"/>
                <w:sz w:val="16"/>
                <w:szCs w:val="16"/>
              </w:rPr>
            </w:pPr>
            <w:r w:rsidRPr="00EF291C">
              <w:rPr>
                <w:rFonts w:cs="Arial"/>
                <w:b/>
                <w:bCs/>
                <w:sz w:val="16"/>
                <w:szCs w:val="16"/>
              </w:rPr>
              <w:t>Date</w:t>
            </w:r>
          </w:p>
        </w:tc>
        <w:tc>
          <w:tcPr>
            <w:tcW w:w="2552" w:type="dxa"/>
            <w:tcBorders>
              <w:top w:val="single" w:sz="4" w:space="0" w:color="000000"/>
            </w:tcBorders>
            <w:tcMar>
              <w:top w:w="110" w:type="dxa"/>
            </w:tcMar>
            <w:vAlign w:val="center"/>
          </w:tcPr>
          <w:p w:rsidR="008355F0" w:rsidRPr="00EF291C" w:rsidRDefault="008355F0" w:rsidP="003867F8">
            <w:pPr>
              <w:keepNext/>
              <w:keepLines/>
              <w:spacing w:before="60" w:after="60"/>
              <w:rPr>
                <w:rFonts w:cs="Arial"/>
                <w:sz w:val="16"/>
                <w:szCs w:val="16"/>
              </w:rPr>
            </w:pPr>
            <w:r w:rsidRPr="00EF291C">
              <w:rPr>
                <w:rFonts w:cs="Arial"/>
                <w:b/>
                <w:bCs/>
                <w:sz w:val="16"/>
                <w:szCs w:val="16"/>
              </w:rPr>
              <w:t>Host Country/</w:t>
            </w:r>
            <w:r w:rsidRPr="00EF291C">
              <w:rPr>
                <w:rFonts w:cs="Arial"/>
                <w:b/>
                <w:bCs/>
                <w:sz w:val="16"/>
                <w:szCs w:val="16"/>
              </w:rPr>
              <w:br/>
              <w:t>Recipients</w:t>
            </w:r>
          </w:p>
        </w:tc>
        <w:tc>
          <w:tcPr>
            <w:tcW w:w="4111" w:type="dxa"/>
            <w:tcBorders>
              <w:top w:val="single" w:sz="4" w:space="0" w:color="000000"/>
            </w:tcBorders>
            <w:shd w:val="clear" w:color="auto" w:fill="FFFFFF"/>
            <w:tcMar>
              <w:top w:w="110" w:type="dxa"/>
            </w:tcMar>
            <w:vAlign w:val="center"/>
          </w:tcPr>
          <w:p w:rsidR="008355F0" w:rsidRPr="00EF291C" w:rsidRDefault="008355F0" w:rsidP="003867F8">
            <w:pPr>
              <w:keepNext/>
              <w:keepLines/>
              <w:spacing w:before="60" w:after="60"/>
              <w:rPr>
                <w:rFonts w:cs="Arial"/>
                <w:sz w:val="16"/>
                <w:szCs w:val="16"/>
              </w:rPr>
            </w:pPr>
            <w:r w:rsidRPr="00EF291C">
              <w:rPr>
                <w:rFonts w:cs="Arial"/>
                <w:b/>
                <w:bCs/>
                <w:sz w:val="16"/>
                <w:szCs w:val="16"/>
              </w:rPr>
              <w:t>Purpose(s)/Description(s)</w:t>
            </w:r>
          </w:p>
        </w:tc>
      </w:tr>
      <w:tr w:rsidR="008355F0" w:rsidRPr="00EF291C" w:rsidTr="00E92F85">
        <w:trPr>
          <w:cantSplit/>
        </w:trPr>
        <w:tc>
          <w:tcPr>
            <w:tcW w:w="1873" w:type="dxa"/>
          </w:tcPr>
          <w:p w:rsidR="008355F0" w:rsidRPr="00EF291C" w:rsidDel="000B184E" w:rsidRDefault="008355F0" w:rsidP="003867F8">
            <w:pPr>
              <w:keepNext/>
              <w:keepLines/>
              <w:autoSpaceDE w:val="0"/>
              <w:autoSpaceDN w:val="0"/>
              <w:adjustRightInd w:val="0"/>
              <w:spacing w:before="60" w:after="60"/>
              <w:rPr>
                <w:rFonts w:cs="Arial"/>
                <w:color w:val="000000"/>
                <w:sz w:val="16"/>
                <w:szCs w:val="16"/>
              </w:rPr>
            </w:pPr>
            <w:r w:rsidRPr="00EF291C">
              <w:rPr>
                <w:rFonts w:cs="Arial"/>
                <w:color w:val="000000"/>
                <w:sz w:val="16"/>
                <w:szCs w:val="16"/>
              </w:rPr>
              <w:t>Consultation meeting of the Pacific Alliance countries and other invited countries held in Geneva</w:t>
            </w:r>
          </w:p>
        </w:tc>
        <w:tc>
          <w:tcPr>
            <w:tcW w:w="992" w:type="dxa"/>
          </w:tcPr>
          <w:p w:rsidR="008355F0" w:rsidRPr="00EF291C" w:rsidRDefault="008355F0" w:rsidP="003867F8">
            <w:pPr>
              <w:keepNext/>
              <w:keepLines/>
              <w:autoSpaceDE w:val="0"/>
              <w:autoSpaceDN w:val="0"/>
              <w:adjustRightInd w:val="0"/>
              <w:spacing w:before="60" w:after="60"/>
              <w:rPr>
                <w:rFonts w:cs="Arial"/>
                <w:color w:val="000000"/>
                <w:sz w:val="16"/>
                <w:szCs w:val="16"/>
              </w:rPr>
            </w:pPr>
            <w:r w:rsidRPr="00B857D5">
              <w:rPr>
                <w:rFonts w:cs="Arial"/>
                <w:color w:val="000000"/>
                <w:sz w:val="16"/>
                <w:szCs w:val="16"/>
              </w:rPr>
              <w:t>October 6, 2015</w:t>
            </w:r>
          </w:p>
        </w:tc>
        <w:tc>
          <w:tcPr>
            <w:tcW w:w="2552" w:type="dxa"/>
          </w:tcPr>
          <w:p w:rsidR="008355F0" w:rsidRPr="00DF5AE6" w:rsidRDefault="008355F0" w:rsidP="003867F8">
            <w:pPr>
              <w:keepNext/>
              <w:keepLines/>
              <w:autoSpaceDE w:val="0"/>
              <w:autoSpaceDN w:val="0"/>
              <w:adjustRightInd w:val="0"/>
              <w:spacing w:before="60" w:after="60"/>
              <w:rPr>
                <w:rFonts w:cs="Arial"/>
                <w:color w:val="000000"/>
                <w:sz w:val="16"/>
                <w:szCs w:val="16"/>
              </w:rPr>
            </w:pPr>
            <w:r w:rsidRPr="00DF5AE6">
              <w:rPr>
                <w:rFonts w:cs="Arial"/>
                <w:color w:val="000000"/>
                <w:sz w:val="16"/>
                <w:szCs w:val="16"/>
              </w:rPr>
              <w:t>Mexico/ Chile, Colombia, Cuba, Peru, the European Patent Office (EPO), and the Spanish Patent and Trademark Office (OEPM).</w:t>
            </w:r>
          </w:p>
        </w:tc>
        <w:tc>
          <w:tcPr>
            <w:tcW w:w="4111" w:type="dxa"/>
          </w:tcPr>
          <w:p w:rsidR="008355F0" w:rsidRPr="00EF291C" w:rsidDel="000B184E" w:rsidRDefault="008355F0" w:rsidP="003867F8">
            <w:pPr>
              <w:keepNext/>
              <w:keepLines/>
              <w:autoSpaceDE w:val="0"/>
              <w:autoSpaceDN w:val="0"/>
              <w:adjustRightInd w:val="0"/>
              <w:spacing w:before="60" w:after="60"/>
              <w:rPr>
                <w:rFonts w:cs="Arial"/>
                <w:color w:val="000000"/>
                <w:sz w:val="16"/>
                <w:szCs w:val="16"/>
              </w:rPr>
            </w:pPr>
            <w:r w:rsidRPr="00B857D5">
              <w:rPr>
                <w:rFonts w:cs="Arial"/>
                <w:color w:val="000000"/>
                <w:sz w:val="16"/>
                <w:szCs w:val="16"/>
              </w:rPr>
              <w:t>To promote dialogue on common issues in the field of industrial property among the Pacific Alliance countries as well as other invited countries.</w:t>
            </w:r>
          </w:p>
        </w:tc>
      </w:tr>
    </w:tbl>
    <w:p w:rsidR="008355F0" w:rsidRPr="00A61AD8" w:rsidRDefault="008355F0" w:rsidP="003867F8">
      <w:pPr>
        <w:rPr>
          <w:rFonts w:cs="Arial"/>
          <w:b/>
          <w:szCs w:val="16"/>
        </w:rPr>
      </w:pPr>
    </w:p>
    <w:p w:rsidR="008355F0" w:rsidRPr="00A61AD8" w:rsidRDefault="008355F0" w:rsidP="003867F8">
      <w:pPr>
        <w:rPr>
          <w:rFonts w:cs="Arial"/>
          <w:szCs w:val="16"/>
        </w:rPr>
      </w:pPr>
    </w:p>
    <w:p w:rsidR="008355F0" w:rsidRPr="00EF291C" w:rsidRDefault="008355F0" w:rsidP="00E37059">
      <w:pPr>
        <w:keepNext/>
        <w:keepLines/>
        <w:rPr>
          <w:rFonts w:cs="Arial"/>
          <w:b/>
          <w:bCs/>
          <w:color w:val="000000"/>
        </w:rPr>
      </w:pPr>
      <w:r w:rsidRPr="00EF291C">
        <w:rPr>
          <w:rFonts w:cs="Arial"/>
          <w:b/>
        </w:rPr>
        <w:t xml:space="preserve">MEXICO </w:t>
      </w:r>
      <w:r w:rsidRPr="00EF291C">
        <w:rPr>
          <w:rFonts w:cs="Arial"/>
          <w:b/>
          <w:bCs/>
          <w:color w:val="000000"/>
        </w:rPr>
        <w:t>Donor Contributions and Expenditure in 2015</w:t>
      </w:r>
    </w:p>
    <w:p w:rsidR="008355F0" w:rsidRPr="00A61AD8" w:rsidRDefault="008355F0">
      <w:pPr>
        <w:keepNext/>
        <w:keepLines/>
        <w:rPr>
          <w:rFonts w:cs="Arial"/>
          <w:b/>
          <w:szCs w:val="16"/>
        </w:rPr>
      </w:pPr>
    </w:p>
    <w:tbl>
      <w:tblPr>
        <w:tblW w:w="9508" w:type="dxa"/>
        <w:tblInd w:w="98" w:type="dxa"/>
        <w:tblLook w:val="04A0" w:firstRow="1" w:lastRow="0" w:firstColumn="1" w:lastColumn="0" w:noHBand="0" w:noVBand="1"/>
      </w:tblPr>
      <w:tblGrid>
        <w:gridCol w:w="2040"/>
        <w:gridCol w:w="1640"/>
        <w:gridCol w:w="1860"/>
        <w:gridCol w:w="1780"/>
        <w:gridCol w:w="2188"/>
      </w:tblGrid>
      <w:tr w:rsidR="008355F0" w:rsidRPr="00EF291C" w:rsidTr="00E92F85">
        <w:trPr>
          <w:trHeight w:val="450"/>
        </w:trPr>
        <w:tc>
          <w:tcPr>
            <w:tcW w:w="2040" w:type="dxa"/>
            <w:tcBorders>
              <w:top w:val="single" w:sz="8" w:space="0" w:color="auto"/>
              <w:left w:val="single" w:sz="8" w:space="0" w:color="auto"/>
              <w:bottom w:val="nil"/>
              <w:right w:val="single" w:sz="8" w:space="0" w:color="auto"/>
            </w:tcBorders>
            <w:shd w:val="clear" w:color="auto" w:fill="C6D9F1"/>
            <w:vAlign w:val="center"/>
            <w:hideMark/>
          </w:tcPr>
          <w:p w:rsidR="008355F0" w:rsidRPr="00EF291C" w:rsidRDefault="008355F0" w:rsidP="00E37059">
            <w:pPr>
              <w:keepNext/>
              <w:keepLines/>
              <w:jc w:val="center"/>
              <w:rPr>
                <w:rFonts w:cs="Arial"/>
                <w:b/>
                <w:bCs/>
                <w:color w:val="000000"/>
                <w:sz w:val="16"/>
                <w:szCs w:val="16"/>
              </w:rPr>
            </w:pPr>
            <w:r w:rsidRPr="00EF291C">
              <w:rPr>
                <w:rFonts w:cs="Arial"/>
                <w:b/>
                <w:bCs/>
                <w:color w:val="000000"/>
                <w:sz w:val="16"/>
                <w:szCs w:val="16"/>
              </w:rPr>
              <w:t>Balance as of December 31, 2014</w:t>
            </w:r>
          </w:p>
        </w:tc>
        <w:tc>
          <w:tcPr>
            <w:tcW w:w="1640" w:type="dxa"/>
            <w:tcBorders>
              <w:top w:val="single" w:sz="8" w:space="0" w:color="auto"/>
              <w:left w:val="nil"/>
              <w:bottom w:val="nil"/>
              <w:right w:val="single" w:sz="8" w:space="0" w:color="auto"/>
            </w:tcBorders>
            <w:shd w:val="clear" w:color="auto" w:fill="C6D9F1"/>
            <w:vAlign w:val="center"/>
            <w:hideMark/>
          </w:tcPr>
          <w:p w:rsidR="008355F0" w:rsidRPr="00EF291C" w:rsidRDefault="008355F0" w:rsidP="00E37059">
            <w:pPr>
              <w:keepNext/>
              <w:keepLines/>
              <w:jc w:val="center"/>
              <w:rPr>
                <w:rFonts w:cs="Arial"/>
                <w:b/>
                <w:bCs/>
                <w:color w:val="000000"/>
                <w:sz w:val="16"/>
                <w:szCs w:val="16"/>
              </w:rPr>
            </w:pPr>
            <w:r w:rsidRPr="00EF291C">
              <w:rPr>
                <w:rFonts w:cs="Arial"/>
                <w:b/>
                <w:bCs/>
                <w:color w:val="000000"/>
                <w:sz w:val="16"/>
                <w:szCs w:val="16"/>
              </w:rPr>
              <w:t>Income 2015</w:t>
            </w:r>
          </w:p>
        </w:tc>
        <w:tc>
          <w:tcPr>
            <w:tcW w:w="1860" w:type="dxa"/>
            <w:tcBorders>
              <w:top w:val="single" w:sz="8" w:space="0" w:color="auto"/>
              <w:left w:val="nil"/>
              <w:bottom w:val="nil"/>
              <w:right w:val="single" w:sz="8" w:space="0" w:color="auto"/>
            </w:tcBorders>
            <w:shd w:val="clear" w:color="auto" w:fill="C6D9F1"/>
            <w:vAlign w:val="center"/>
            <w:hideMark/>
          </w:tcPr>
          <w:p w:rsidR="008355F0" w:rsidRPr="00EF291C" w:rsidRDefault="008355F0" w:rsidP="00E37059">
            <w:pPr>
              <w:keepNext/>
              <w:keepLines/>
              <w:jc w:val="center"/>
              <w:rPr>
                <w:rFonts w:cs="Arial"/>
                <w:b/>
                <w:bCs/>
                <w:color w:val="000000"/>
                <w:sz w:val="16"/>
                <w:szCs w:val="16"/>
              </w:rPr>
            </w:pPr>
            <w:r w:rsidRPr="00EF291C">
              <w:rPr>
                <w:rFonts w:cs="Arial"/>
                <w:b/>
                <w:bCs/>
                <w:color w:val="000000"/>
                <w:sz w:val="16"/>
                <w:szCs w:val="16"/>
              </w:rPr>
              <w:t>Expenditure 2015</w:t>
            </w:r>
          </w:p>
        </w:tc>
        <w:tc>
          <w:tcPr>
            <w:tcW w:w="1780" w:type="dxa"/>
            <w:tcBorders>
              <w:top w:val="single" w:sz="8" w:space="0" w:color="auto"/>
              <w:left w:val="nil"/>
              <w:bottom w:val="nil"/>
              <w:right w:val="single" w:sz="8" w:space="0" w:color="auto"/>
            </w:tcBorders>
            <w:shd w:val="clear" w:color="auto" w:fill="C6D9F1"/>
            <w:vAlign w:val="center"/>
            <w:hideMark/>
          </w:tcPr>
          <w:p w:rsidR="008355F0" w:rsidRPr="00EF291C" w:rsidRDefault="008355F0" w:rsidP="00E37059">
            <w:pPr>
              <w:keepNext/>
              <w:keepLines/>
              <w:jc w:val="center"/>
              <w:rPr>
                <w:rFonts w:cs="Arial"/>
                <w:b/>
                <w:bCs/>
                <w:color w:val="000000"/>
                <w:sz w:val="16"/>
                <w:szCs w:val="16"/>
              </w:rPr>
            </w:pPr>
            <w:r w:rsidRPr="00EF291C">
              <w:rPr>
                <w:rFonts w:cs="Arial"/>
                <w:b/>
                <w:bCs/>
                <w:color w:val="000000"/>
                <w:sz w:val="16"/>
                <w:szCs w:val="16"/>
              </w:rPr>
              <w:t>Reimbursements</w:t>
            </w:r>
          </w:p>
        </w:tc>
        <w:tc>
          <w:tcPr>
            <w:tcW w:w="2188" w:type="dxa"/>
            <w:tcBorders>
              <w:top w:val="single" w:sz="8" w:space="0" w:color="auto"/>
              <w:left w:val="nil"/>
              <w:bottom w:val="nil"/>
              <w:right w:val="single" w:sz="8" w:space="0" w:color="auto"/>
            </w:tcBorders>
            <w:shd w:val="clear" w:color="auto" w:fill="C6D9F1"/>
            <w:vAlign w:val="center"/>
            <w:hideMark/>
          </w:tcPr>
          <w:p w:rsidR="008355F0" w:rsidRPr="00EF291C" w:rsidRDefault="008355F0" w:rsidP="00E37059">
            <w:pPr>
              <w:keepNext/>
              <w:keepLines/>
              <w:jc w:val="center"/>
              <w:rPr>
                <w:rFonts w:cs="Arial"/>
                <w:b/>
                <w:bCs/>
                <w:color w:val="000000"/>
                <w:sz w:val="16"/>
                <w:szCs w:val="16"/>
              </w:rPr>
            </w:pPr>
            <w:r w:rsidRPr="00EF291C">
              <w:rPr>
                <w:rFonts w:cs="Arial"/>
                <w:b/>
                <w:bCs/>
                <w:color w:val="000000"/>
                <w:sz w:val="16"/>
                <w:szCs w:val="16"/>
              </w:rPr>
              <w:t>Balance as of December</w:t>
            </w:r>
            <w:r>
              <w:rPr>
                <w:rFonts w:cs="Arial"/>
                <w:b/>
                <w:bCs/>
                <w:color w:val="000000"/>
                <w:sz w:val="16"/>
                <w:szCs w:val="16"/>
              </w:rPr>
              <w:t> </w:t>
            </w:r>
            <w:r w:rsidRPr="00EF291C">
              <w:rPr>
                <w:rFonts w:cs="Arial"/>
                <w:b/>
                <w:bCs/>
                <w:color w:val="000000"/>
                <w:sz w:val="16"/>
                <w:szCs w:val="16"/>
              </w:rPr>
              <w:t>31,</w:t>
            </w:r>
            <w:r>
              <w:rPr>
                <w:rFonts w:cs="Arial"/>
                <w:b/>
                <w:bCs/>
                <w:color w:val="000000"/>
                <w:sz w:val="16"/>
                <w:szCs w:val="16"/>
              </w:rPr>
              <w:t> </w:t>
            </w:r>
            <w:r w:rsidRPr="00EF291C">
              <w:rPr>
                <w:rFonts w:cs="Arial"/>
                <w:b/>
                <w:bCs/>
                <w:color w:val="000000"/>
                <w:sz w:val="16"/>
                <w:szCs w:val="16"/>
              </w:rPr>
              <w:t>2015</w:t>
            </w:r>
          </w:p>
        </w:tc>
      </w:tr>
      <w:tr w:rsidR="008355F0" w:rsidRPr="00EF291C" w:rsidTr="00E92F85">
        <w:trPr>
          <w:trHeight w:val="255"/>
        </w:trPr>
        <w:tc>
          <w:tcPr>
            <w:tcW w:w="20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55F0" w:rsidRPr="00EF291C" w:rsidRDefault="008355F0" w:rsidP="00E37059">
            <w:pPr>
              <w:keepNext/>
              <w:keepLines/>
              <w:jc w:val="center"/>
              <w:rPr>
                <w:rFonts w:cs="Arial"/>
                <w:color w:val="000000"/>
                <w:sz w:val="16"/>
                <w:szCs w:val="16"/>
              </w:rPr>
            </w:pPr>
            <w:r w:rsidRPr="00EF291C">
              <w:rPr>
                <w:rFonts w:cs="Arial"/>
                <w:color w:val="000000"/>
                <w:sz w:val="16"/>
                <w:szCs w:val="16"/>
              </w:rPr>
              <w:t>163,131</w:t>
            </w:r>
          </w:p>
        </w:tc>
        <w:tc>
          <w:tcPr>
            <w:tcW w:w="1640" w:type="dxa"/>
            <w:tcBorders>
              <w:top w:val="single" w:sz="4" w:space="0" w:color="auto"/>
              <w:left w:val="nil"/>
              <w:bottom w:val="single" w:sz="4" w:space="0" w:color="auto"/>
              <w:right w:val="single" w:sz="4" w:space="0" w:color="auto"/>
            </w:tcBorders>
            <w:shd w:val="clear" w:color="auto" w:fill="auto"/>
            <w:vAlign w:val="center"/>
            <w:hideMark/>
          </w:tcPr>
          <w:p w:rsidR="008355F0" w:rsidRPr="00EF291C" w:rsidRDefault="008355F0" w:rsidP="00E37059">
            <w:pPr>
              <w:keepNext/>
              <w:keepLines/>
              <w:jc w:val="center"/>
              <w:rPr>
                <w:rFonts w:cs="Arial"/>
                <w:color w:val="000000"/>
                <w:sz w:val="16"/>
                <w:szCs w:val="16"/>
              </w:rPr>
            </w:pPr>
            <w:r w:rsidRPr="00EF291C">
              <w:rPr>
                <w:rFonts w:cs="Arial"/>
                <w:color w:val="000000"/>
                <w:sz w:val="16"/>
                <w:szCs w:val="16"/>
              </w:rPr>
              <w:t>53</w:t>
            </w:r>
          </w:p>
        </w:tc>
        <w:tc>
          <w:tcPr>
            <w:tcW w:w="1860" w:type="dxa"/>
            <w:tcBorders>
              <w:top w:val="single" w:sz="4" w:space="0" w:color="auto"/>
              <w:left w:val="nil"/>
              <w:bottom w:val="single" w:sz="4" w:space="0" w:color="auto"/>
              <w:right w:val="single" w:sz="4" w:space="0" w:color="auto"/>
            </w:tcBorders>
            <w:shd w:val="clear" w:color="auto" w:fill="auto"/>
            <w:vAlign w:val="center"/>
            <w:hideMark/>
          </w:tcPr>
          <w:p w:rsidR="008355F0" w:rsidRPr="00EF291C" w:rsidRDefault="008355F0" w:rsidP="00E37059">
            <w:pPr>
              <w:keepNext/>
              <w:keepLines/>
              <w:jc w:val="center"/>
              <w:rPr>
                <w:rFonts w:cs="Arial"/>
                <w:color w:val="000000"/>
                <w:sz w:val="16"/>
                <w:szCs w:val="16"/>
              </w:rPr>
            </w:pPr>
            <w:r w:rsidRPr="00EF291C">
              <w:rPr>
                <w:rFonts w:cs="Arial"/>
                <w:color w:val="000000"/>
                <w:sz w:val="16"/>
                <w:szCs w:val="16"/>
              </w:rPr>
              <w:t>18,758</w:t>
            </w:r>
          </w:p>
        </w:tc>
        <w:tc>
          <w:tcPr>
            <w:tcW w:w="1780" w:type="dxa"/>
            <w:tcBorders>
              <w:top w:val="single" w:sz="4" w:space="0" w:color="auto"/>
              <w:left w:val="nil"/>
              <w:bottom w:val="single" w:sz="4" w:space="0" w:color="auto"/>
              <w:right w:val="single" w:sz="4" w:space="0" w:color="auto"/>
            </w:tcBorders>
            <w:shd w:val="clear" w:color="auto" w:fill="auto"/>
            <w:noWrap/>
            <w:vAlign w:val="center"/>
            <w:hideMark/>
          </w:tcPr>
          <w:p w:rsidR="008355F0" w:rsidRPr="00EF291C" w:rsidRDefault="008355F0" w:rsidP="00E37059">
            <w:pPr>
              <w:keepNext/>
              <w:keepLines/>
              <w:jc w:val="center"/>
              <w:rPr>
                <w:rFonts w:cs="Arial"/>
                <w:color w:val="000000"/>
                <w:sz w:val="16"/>
                <w:szCs w:val="16"/>
              </w:rPr>
            </w:pPr>
            <w:r>
              <w:rPr>
                <w:rFonts w:cs="Arial"/>
                <w:color w:val="000000"/>
                <w:sz w:val="16"/>
                <w:szCs w:val="16"/>
              </w:rPr>
              <w:t>-</w:t>
            </w:r>
          </w:p>
        </w:tc>
        <w:tc>
          <w:tcPr>
            <w:tcW w:w="2188" w:type="dxa"/>
            <w:tcBorders>
              <w:top w:val="single" w:sz="4" w:space="0" w:color="auto"/>
              <w:left w:val="nil"/>
              <w:bottom w:val="single" w:sz="4" w:space="0" w:color="auto"/>
              <w:right w:val="single" w:sz="4" w:space="0" w:color="auto"/>
            </w:tcBorders>
            <w:shd w:val="clear" w:color="auto" w:fill="auto"/>
            <w:vAlign w:val="center"/>
            <w:hideMark/>
          </w:tcPr>
          <w:p w:rsidR="008355F0" w:rsidRPr="00EF291C" w:rsidRDefault="008355F0" w:rsidP="00E37059">
            <w:pPr>
              <w:keepNext/>
              <w:keepLines/>
              <w:jc w:val="center"/>
              <w:rPr>
                <w:rFonts w:cs="Arial"/>
                <w:color w:val="000000"/>
                <w:sz w:val="16"/>
                <w:szCs w:val="16"/>
              </w:rPr>
            </w:pPr>
            <w:r w:rsidRPr="00EF291C">
              <w:rPr>
                <w:rFonts w:cs="Arial"/>
                <w:color w:val="000000"/>
                <w:sz w:val="16"/>
                <w:szCs w:val="16"/>
              </w:rPr>
              <w:t>144,426</w:t>
            </w:r>
          </w:p>
        </w:tc>
      </w:tr>
    </w:tbl>
    <w:p w:rsidR="008355F0" w:rsidRPr="00A61AD8" w:rsidRDefault="008355F0">
      <w:pPr>
        <w:keepNext/>
        <w:keepLines/>
        <w:rPr>
          <w:rFonts w:cs="Arial"/>
          <w:b/>
          <w:szCs w:val="16"/>
        </w:rPr>
      </w:pPr>
    </w:p>
    <w:p w:rsidR="00091CB9" w:rsidRDefault="00091CB9" w:rsidP="003867F8">
      <w:pPr>
        <w:rPr>
          <w:rFonts w:cs="Arial"/>
          <w:b/>
          <w:szCs w:val="16"/>
        </w:rPr>
      </w:pPr>
    </w:p>
    <w:p w:rsidR="008355F0" w:rsidRPr="004A65B0" w:rsidRDefault="008355F0" w:rsidP="003867F8">
      <w:pPr>
        <w:rPr>
          <w:rFonts w:cs="Arial"/>
          <w:b/>
          <w:sz w:val="16"/>
          <w:szCs w:val="16"/>
        </w:rPr>
      </w:pPr>
      <w:r w:rsidRPr="00B17586">
        <w:rPr>
          <w:rFonts w:cs="Arial"/>
          <w:b/>
          <w:szCs w:val="16"/>
        </w:rPr>
        <w:t>SPAIN</w:t>
      </w:r>
      <w:r>
        <w:rPr>
          <w:rStyle w:val="FootnoteReference"/>
          <w:rFonts w:cs="Arial"/>
          <w:b/>
          <w:szCs w:val="16"/>
        </w:rPr>
        <w:footnoteReference w:id="165"/>
      </w:r>
    </w:p>
    <w:p w:rsidR="008355F0" w:rsidRPr="00A61AD8" w:rsidRDefault="008355F0" w:rsidP="003867F8">
      <w:pPr>
        <w:rPr>
          <w:rFonts w:cs="Arial"/>
          <w:b/>
          <w:szCs w:val="16"/>
        </w:rPr>
      </w:pPr>
    </w:p>
    <w:tbl>
      <w:tblPr>
        <w:tblW w:w="9498"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980"/>
        <w:gridCol w:w="90"/>
        <w:gridCol w:w="57"/>
        <w:gridCol w:w="142"/>
        <w:gridCol w:w="971"/>
        <w:gridCol w:w="163"/>
        <w:gridCol w:w="1699"/>
        <w:gridCol w:w="28"/>
        <w:gridCol w:w="116"/>
        <w:gridCol w:w="4252"/>
      </w:tblGrid>
      <w:tr w:rsidR="008355F0" w:rsidRPr="004A65B0" w:rsidTr="00E92F85">
        <w:trPr>
          <w:cantSplit/>
        </w:trPr>
        <w:tc>
          <w:tcPr>
            <w:tcW w:w="9498" w:type="dxa"/>
            <w:gridSpan w:val="10"/>
            <w:tcBorders>
              <w:top w:val="single" w:sz="4" w:space="0" w:color="auto"/>
              <w:bottom w:val="single" w:sz="4" w:space="0" w:color="auto"/>
            </w:tcBorders>
            <w:shd w:val="clear" w:color="auto" w:fill="C6D9F1"/>
            <w:vAlign w:val="center"/>
          </w:tcPr>
          <w:p w:rsidR="008355F0" w:rsidRPr="004A65B0" w:rsidRDefault="008355F0" w:rsidP="003867F8">
            <w:pPr>
              <w:keepNext/>
              <w:keepLines/>
              <w:tabs>
                <w:tab w:val="left" w:pos="1740"/>
              </w:tabs>
              <w:spacing w:before="120" w:after="120"/>
              <w:ind w:left="1740" w:hanging="1740"/>
              <w:rPr>
                <w:rFonts w:cs="Arial"/>
                <w:b/>
                <w:bCs/>
                <w:sz w:val="16"/>
                <w:szCs w:val="16"/>
              </w:rPr>
            </w:pPr>
            <w:r w:rsidRPr="004A65B0">
              <w:rPr>
                <w:rFonts w:cs="Arial"/>
                <w:b/>
                <w:bCs/>
                <w:color w:val="000000"/>
                <w:sz w:val="16"/>
                <w:szCs w:val="16"/>
              </w:rPr>
              <w:t>RESULT</w:t>
            </w:r>
            <w:r w:rsidRPr="004A65B0">
              <w:rPr>
                <w:rFonts w:cs="Arial"/>
                <w:b/>
                <w:bCs/>
                <w:sz w:val="16"/>
                <w:szCs w:val="16"/>
              </w:rPr>
              <w:t>:</w:t>
            </w:r>
            <w:r w:rsidRPr="004A65B0">
              <w:rPr>
                <w:rFonts w:cs="Arial"/>
                <w:b/>
                <w:bCs/>
                <w:sz w:val="16"/>
                <w:szCs w:val="16"/>
              </w:rPr>
              <w:tab/>
            </w:r>
            <w:r w:rsidRPr="004A65B0">
              <w:rPr>
                <w:rFonts w:cs="Arial"/>
                <w:bCs/>
                <w:color w:val="000000"/>
                <w:sz w:val="16"/>
                <w:szCs w:val="16"/>
              </w:rPr>
              <w:t>III.2. Enhanced human resource capacities able to deal with the broad range of requirements for the effective use of IP for development in developing countries, LDCs and countries with economies in transition</w:t>
            </w:r>
          </w:p>
        </w:tc>
      </w:tr>
      <w:tr w:rsidR="008355F0" w:rsidRPr="004A65B0" w:rsidTr="00E92F85">
        <w:trPr>
          <w:cantSplit/>
        </w:trPr>
        <w:tc>
          <w:tcPr>
            <w:tcW w:w="2269" w:type="dxa"/>
            <w:gridSpan w:val="4"/>
            <w:tcBorders>
              <w:top w:val="single" w:sz="4" w:space="0" w:color="auto"/>
              <w:bottom w:val="nil"/>
            </w:tcBorders>
          </w:tcPr>
          <w:p w:rsidR="008355F0" w:rsidRPr="004A65B0" w:rsidRDefault="008355F0" w:rsidP="003867F8">
            <w:pPr>
              <w:keepNext/>
              <w:keepLines/>
              <w:autoSpaceDE w:val="0"/>
              <w:autoSpaceDN w:val="0"/>
              <w:adjustRightInd w:val="0"/>
              <w:spacing w:before="60" w:after="60"/>
              <w:rPr>
                <w:rFonts w:cs="Arial"/>
                <w:b/>
                <w:color w:val="000000"/>
                <w:sz w:val="16"/>
                <w:szCs w:val="16"/>
              </w:rPr>
            </w:pPr>
            <w:r w:rsidRPr="004A65B0">
              <w:rPr>
                <w:rFonts w:cs="Arial"/>
                <w:b/>
                <w:color w:val="000000"/>
                <w:sz w:val="16"/>
                <w:szCs w:val="16"/>
              </w:rPr>
              <w:t>Activity</w:t>
            </w:r>
          </w:p>
        </w:tc>
        <w:tc>
          <w:tcPr>
            <w:tcW w:w="1134" w:type="dxa"/>
            <w:gridSpan w:val="2"/>
            <w:tcBorders>
              <w:top w:val="single" w:sz="4" w:space="0" w:color="auto"/>
              <w:bottom w:val="nil"/>
            </w:tcBorders>
            <w:shd w:val="clear" w:color="auto" w:fill="auto"/>
            <w:tcMar>
              <w:top w:w="110" w:type="dxa"/>
            </w:tcMar>
          </w:tcPr>
          <w:p w:rsidR="008355F0" w:rsidRPr="004A65B0" w:rsidRDefault="008355F0" w:rsidP="003867F8">
            <w:pPr>
              <w:autoSpaceDE w:val="0"/>
              <w:autoSpaceDN w:val="0"/>
              <w:adjustRightInd w:val="0"/>
              <w:spacing w:before="60" w:after="60"/>
              <w:rPr>
                <w:rFonts w:cs="Arial"/>
                <w:b/>
                <w:color w:val="000000"/>
                <w:sz w:val="16"/>
                <w:szCs w:val="16"/>
              </w:rPr>
            </w:pPr>
            <w:r w:rsidRPr="004A65B0">
              <w:rPr>
                <w:rFonts w:cs="Arial"/>
                <w:b/>
                <w:color w:val="000000"/>
                <w:sz w:val="16"/>
                <w:szCs w:val="16"/>
              </w:rPr>
              <w:t>Date</w:t>
            </w:r>
          </w:p>
        </w:tc>
        <w:tc>
          <w:tcPr>
            <w:tcW w:w="1843" w:type="dxa"/>
            <w:gridSpan w:val="3"/>
            <w:tcBorders>
              <w:top w:val="single" w:sz="4" w:space="0" w:color="auto"/>
              <w:bottom w:val="nil"/>
            </w:tcBorders>
            <w:shd w:val="clear" w:color="auto" w:fill="auto"/>
            <w:tcMar>
              <w:top w:w="110" w:type="dxa"/>
            </w:tcMar>
          </w:tcPr>
          <w:p w:rsidR="008355F0" w:rsidRPr="004A65B0" w:rsidRDefault="008355F0" w:rsidP="00E92F85">
            <w:pPr>
              <w:autoSpaceDE w:val="0"/>
              <w:autoSpaceDN w:val="0"/>
              <w:adjustRightInd w:val="0"/>
              <w:spacing w:before="60" w:after="60"/>
              <w:rPr>
                <w:rFonts w:cs="Arial"/>
                <w:b/>
                <w:color w:val="000000"/>
                <w:sz w:val="16"/>
                <w:szCs w:val="16"/>
              </w:rPr>
            </w:pPr>
            <w:r>
              <w:rPr>
                <w:rFonts w:cs="Arial"/>
                <w:b/>
                <w:color w:val="000000"/>
                <w:sz w:val="16"/>
                <w:szCs w:val="16"/>
              </w:rPr>
              <w:t xml:space="preserve">Host </w:t>
            </w:r>
            <w:r w:rsidRPr="004A65B0">
              <w:rPr>
                <w:rFonts w:cs="Arial"/>
                <w:b/>
                <w:color w:val="000000"/>
                <w:sz w:val="16"/>
                <w:szCs w:val="16"/>
              </w:rPr>
              <w:t>Country/</w:t>
            </w:r>
            <w:r w:rsidR="00E92F85">
              <w:rPr>
                <w:rFonts w:cs="Arial"/>
                <w:b/>
                <w:color w:val="000000"/>
                <w:sz w:val="16"/>
                <w:szCs w:val="16"/>
              </w:rPr>
              <w:br/>
            </w:r>
            <w:r w:rsidRPr="004A65B0">
              <w:rPr>
                <w:rFonts w:cs="Arial"/>
                <w:b/>
                <w:color w:val="000000"/>
                <w:sz w:val="16"/>
                <w:szCs w:val="16"/>
              </w:rPr>
              <w:t>Recipients</w:t>
            </w:r>
          </w:p>
        </w:tc>
        <w:tc>
          <w:tcPr>
            <w:tcW w:w="4252" w:type="dxa"/>
            <w:tcBorders>
              <w:top w:val="single" w:sz="4" w:space="0" w:color="auto"/>
              <w:bottom w:val="nil"/>
            </w:tcBorders>
            <w:shd w:val="clear" w:color="auto" w:fill="FFFFFF"/>
            <w:tcMar>
              <w:top w:w="110" w:type="dxa"/>
            </w:tcMar>
          </w:tcPr>
          <w:p w:rsidR="008355F0" w:rsidRPr="004A65B0" w:rsidRDefault="008355F0" w:rsidP="003867F8">
            <w:pPr>
              <w:autoSpaceDE w:val="0"/>
              <w:autoSpaceDN w:val="0"/>
              <w:adjustRightInd w:val="0"/>
              <w:spacing w:before="60" w:after="60"/>
              <w:rPr>
                <w:rFonts w:cs="Arial"/>
                <w:b/>
                <w:color w:val="000000"/>
                <w:sz w:val="16"/>
                <w:szCs w:val="16"/>
              </w:rPr>
            </w:pPr>
            <w:r w:rsidRPr="004A65B0">
              <w:rPr>
                <w:rFonts w:cs="Arial"/>
                <w:b/>
                <w:color w:val="000000"/>
                <w:sz w:val="16"/>
                <w:szCs w:val="16"/>
              </w:rPr>
              <w:t>Purpose(s)/Description</w:t>
            </w:r>
          </w:p>
        </w:tc>
      </w:tr>
      <w:tr w:rsidR="008355F0" w:rsidRPr="004A65B0" w:rsidTr="00E92F85">
        <w:trPr>
          <w:cantSplit/>
        </w:trPr>
        <w:tc>
          <w:tcPr>
            <w:tcW w:w="2269" w:type="dxa"/>
            <w:gridSpan w:val="4"/>
            <w:tcBorders>
              <w:top w:val="nil"/>
              <w:bottom w:val="single" w:sz="4" w:space="0" w:color="auto"/>
            </w:tcBorders>
          </w:tcPr>
          <w:p w:rsidR="008355F0" w:rsidRPr="004A65B0" w:rsidRDefault="008355F0" w:rsidP="003867F8">
            <w:pPr>
              <w:spacing w:before="60" w:after="60"/>
              <w:rPr>
                <w:rFonts w:cs="Arial"/>
                <w:sz w:val="16"/>
                <w:szCs w:val="16"/>
              </w:rPr>
            </w:pPr>
            <w:r w:rsidRPr="00117FA7">
              <w:rPr>
                <w:rFonts w:cs="Arial"/>
                <w:sz w:val="16"/>
                <w:szCs w:val="16"/>
              </w:rPr>
              <w:t xml:space="preserve">III WIPO/OEPM/AECID Regional Seminar </w:t>
            </w:r>
            <w:r w:rsidRPr="004A65B0">
              <w:rPr>
                <w:rFonts w:cs="Arial"/>
                <w:sz w:val="16"/>
                <w:szCs w:val="16"/>
              </w:rPr>
              <w:t>on Trademarks and Industrial Designs as Innovation Factors and Enterprise Assets:  Building a National Branding Strategy</w:t>
            </w:r>
          </w:p>
        </w:tc>
        <w:tc>
          <w:tcPr>
            <w:tcW w:w="1134" w:type="dxa"/>
            <w:gridSpan w:val="2"/>
            <w:tcBorders>
              <w:top w:val="nil"/>
              <w:bottom w:val="single" w:sz="4" w:space="0" w:color="auto"/>
            </w:tcBorders>
            <w:shd w:val="clear" w:color="auto" w:fill="auto"/>
            <w:tcMar>
              <w:top w:w="110" w:type="dxa"/>
            </w:tcMar>
          </w:tcPr>
          <w:p w:rsidR="008355F0" w:rsidRPr="004A65B0" w:rsidRDefault="008355F0" w:rsidP="003867F8">
            <w:pPr>
              <w:spacing w:before="60" w:after="60"/>
              <w:rPr>
                <w:rFonts w:cs="Arial"/>
                <w:sz w:val="16"/>
                <w:szCs w:val="16"/>
              </w:rPr>
            </w:pPr>
            <w:r w:rsidRPr="004A65B0">
              <w:rPr>
                <w:rFonts w:cs="Arial"/>
                <w:sz w:val="16"/>
                <w:szCs w:val="16"/>
              </w:rPr>
              <w:t>October 26 to 29, 2015</w:t>
            </w:r>
          </w:p>
        </w:tc>
        <w:tc>
          <w:tcPr>
            <w:tcW w:w="1843" w:type="dxa"/>
            <w:gridSpan w:val="3"/>
            <w:tcBorders>
              <w:top w:val="nil"/>
              <w:bottom w:val="single" w:sz="4" w:space="0" w:color="auto"/>
            </w:tcBorders>
            <w:shd w:val="clear" w:color="auto" w:fill="auto"/>
            <w:tcMar>
              <w:top w:w="110" w:type="dxa"/>
            </w:tcMar>
          </w:tcPr>
          <w:p w:rsidR="008355F0" w:rsidRPr="004A65B0" w:rsidRDefault="008355F0" w:rsidP="003867F8">
            <w:pPr>
              <w:spacing w:before="60" w:after="60"/>
              <w:rPr>
                <w:rFonts w:cs="Arial"/>
                <w:sz w:val="16"/>
                <w:szCs w:val="16"/>
              </w:rPr>
            </w:pPr>
            <w:r w:rsidRPr="00F11187">
              <w:rPr>
                <w:rFonts w:cs="Arial"/>
                <w:sz w:val="16"/>
                <w:szCs w:val="16"/>
              </w:rPr>
              <w:t xml:space="preserve">Colombia </w:t>
            </w:r>
            <w:r>
              <w:rPr>
                <w:rFonts w:cs="Arial"/>
                <w:sz w:val="16"/>
                <w:szCs w:val="16"/>
              </w:rPr>
              <w:t xml:space="preserve">/ </w:t>
            </w:r>
            <w:r w:rsidRPr="004A65B0">
              <w:rPr>
                <w:rFonts w:cs="Arial"/>
                <w:sz w:val="16"/>
                <w:szCs w:val="16"/>
              </w:rPr>
              <w:t>All Latin</w:t>
            </w:r>
            <w:r>
              <w:rPr>
                <w:rFonts w:cs="Arial"/>
                <w:sz w:val="16"/>
                <w:szCs w:val="16"/>
              </w:rPr>
              <w:t>-A</w:t>
            </w:r>
            <w:r w:rsidRPr="004A65B0">
              <w:rPr>
                <w:rFonts w:cs="Arial"/>
                <w:sz w:val="16"/>
                <w:szCs w:val="16"/>
              </w:rPr>
              <w:t>merican countries</w:t>
            </w:r>
          </w:p>
        </w:tc>
        <w:tc>
          <w:tcPr>
            <w:tcW w:w="4252" w:type="dxa"/>
            <w:tcBorders>
              <w:top w:val="nil"/>
              <w:bottom w:val="single" w:sz="4" w:space="0" w:color="auto"/>
            </w:tcBorders>
            <w:shd w:val="clear" w:color="auto" w:fill="FFFFFF"/>
            <w:tcMar>
              <w:top w:w="110" w:type="dxa"/>
            </w:tcMar>
          </w:tcPr>
          <w:p w:rsidR="008355F0" w:rsidRPr="004A65B0" w:rsidRDefault="008355F0" w:rsidP="003867F8">
            <w:pPr>
              <w:spacing w:before="60" w:after="60"/>
              <w:rPr>
                <w:rFonts w:cs="Arial"/>
                <w:sz w:val="16"/>
                <w:szCs w:val="16"/>
              </w:rPr>
            </w:pPr>
            <w:r>
              <w:rPr>
                <w:rFonts w:cs="Arial"/>
                <w:sz w:val="16"/>
                <w:szCs w:val="16"/>
              </w:rPr>
              <w:t>T</w:t>
            </w:r>
            <w:r w:rsidRPr="004A65B0">
              <w:rPr>
                <w:rFonts w:cs="Arial"/>
                <w:sz w:val="16"/>
                <w:szCs w:val="16"/>
              </w:rPr>
              <w:t>o</w:t>
            </w:r>
            <w:r>
              <w:rPr>
                <w:rFonts w:cs="Arial"/>
                <w:sz w:val="16"/>
                <w:szCs w:val="16"/>
              </w:rPr>
              <w:t xml:space="preserve">:  (i) </w:t>
            </w:r>
            <w:r w:rsidRPr="004A65B0">
              <w:rPr>
                <w:rFonts w:cs="Arial"/>
                <w:sz w:val="16"/>
                <w:szCs w:val="16"/>
              </w:rPr>
              <w:t xml:space="preserve">encourage the use of national branding Programs.  </w:t>
            </w:r>
            <w:r>
              <w:rPr>
                <w:rFonts w:cs="Arial"/>
                <w:sz w:val="16"/>
                <w:szCs w:val="16"/>
              </w:rPr>
              <w:t xml:space="preserve">(ii) </w:t>
            </w:r>
            <w:r w:rsidRPr="004A65B0">
              <w:rPr>
                <w:rFonts w:cs="Arial"/>
                <w:sz w:val="16"/>
                <w:szCs w:val="16"/>
              </w:rPr>
              <w:t>provide a forum to discuss the legal nature of these Programs and promote a regional approach to this issue</w:t>
            </w:r>
            <w:r>
              <w:rPr>
                <w:rFonts w:cs="Arial"/>
                <w:sz w:val="16"/>
                <w:szCs w:val="16"/>
              </w:rPr>
              <w:t>;  (iii)</w:t>
            </w:r>
            <w:r w:rsidRPr="004A65B0">
              <w:rPr>
                <w:rFonts w:cs="Arial"/>
                <w:sz w:val="16"/>
                <w:szCs w:val="16"/>
              </w:rPr>
              <w:t xml:space="preserve"> promote the exchange of experience as well as the presentation of best practices</w:t>
            </w:r>
          </w:p>
        </w:tc>
      </w:tr>
      <w:tr w:rsidR="008355F0" w:rsidRPr="004A65B0" w:rsidTr="00E92F85">
        <w:trPr>
          <w:cantSplit/>
        </w:trPr>
        <w:tc>
          <w:tcPr>
            <w:tcW w:w="9498" w:type="dxa"/>
            <w:gridSpan w:val="10"/>
            <w:tcBorders>
              <w:top w:val="single" w:sz="4" w:space="0" w:color="auto"/>
              <w:bottom w:val="single" w:sz="4" w:space="0" w:color="auto"/>
            </w:tcBorders>
            <w:shd w:val="clear" w:color="auto" w:fill="C6D9F1"/>
            <w:vAlign w:val="center"/>
          </w:tcPr>
          <w:p w:rsidR="008355F0" w:rsidRPr="004A65B0" w:rsidRDefault="008355F0" w:rsidP="003867F8">
            <w:pPr>
              <w:keepNext/>
              <w:keepLines/>
              <w:tabs>
                <w:tab w:val="left" w:pos="1740"/>
              </w:tabs>
              <w:spacing w:before="120" w:after="120"/>
              <w:ind w:left="1740" w:hanging="1740"/>
              <w:rPr>
                <w:rFonts w:cs="Arial"/>
                <w:b/>
                <w:bCs/>
                <w:sz w:val="16"/>
                <w:szCs w:val="16"/>
              </w:rPr>
            </w:pPr>
            <w:r w:rsidRPr="004A65B0">
              <w:rPr>
                <w:rFonts w:cs="Arial"/>
                <w:b/>
                <w:bCs/>
                <w:color w:val="000000"/>
                <w:sz w:val="16"/>
                <w:szCs w:val="16"/>
              </w:rPr>
              <w:t>RESULT</w:t>
            </w:r>
            <w:r w:rsidRPr="004A65B0">
              <w:rPr>
                <w:rFonts w:cs="Arial"/>
                <w:b/>
                <w:bCs/>
                <w:sz w:val="16"/>
                <w:szCs w:val="16"/>
              </w:rPr>
              <w:t>:</w:t>
            </w:r>
            <w:r w:rsidRPr="004A65B0">
              <w:rPr>
                <w:rFonts w:cs="Arial"/>
                <w:b/>
                <w:bCs/>
                <w:sz w:val="16"/>
                <w:szCs w:val="16"/>
              </w:rPr>
              <w:tab/>
            </w:r>
            <w:r w:rsidRPr="004A65B0">
              <w:rPr>
                <w:rFonts w:cs="Arial"/>
                <w:bCs/>
                <w:color w:val="000000"/>
                <w:sz w:val="16"/>
                <w:szCs w:val="16"/>
              </w:rPr>
              <w:t>III.4. Strengthened cooperation mechanisms and programs tailored to the needs of developing countries and LDCs</w:t>
            </w:r>
          </w:p>
        </w:tc>
      </w:tr>
      <w:tr w:rsidR="008355F0" w:rsidRPr="004A65B0" w:rsidTr="00E92F85">
        <w:trPr>
          <w:cantSplit/>
        </w:trPr>
        <w:tc>
          <w:tcPr>
            <w:tcW w:w="2070" w:type="dxa"/>
            <w:gridSpan w:val="2"/>
            <w:tcBorders>
              <w:top w:val="single" w:sz="4" w:space="0" w:color="auto"/>
            </w:tcBorders>
            <w:vAlign w:val="center"/>
          </w:tcPr>
          <w:p w:rsidR="008355F0" w:rsidRPr="004A65B0" w:rsidRDefault="008355F0" w:rsidP="003867F8">
            <w:pPr>
              <w:keepNext/>
              <w:keepLines/>
              <w:autoSpaceDE w:val="0"/>
              <w:autoSpaceDN w:val="0"/>
              <w:adjustRightInd w:val="0"/>
              <w:spacing w:before="60" w:after="60"/>
              <w:rPr>
                <w:rFonts w:cs="Arial"/>
                <w:b/>
                <w:bCs/>
                <w:sz w:val="16"/>
                <w:szCs w:val="16"/>
              </w:rPr>
            </w:pPr>
            <w:r w:rsidRPr="004A65B0">
              <w:rPr>
                <w:rFonts w:cs="Arial"/>
                <w:b/>
                <w:bCs/>
                <w:sz w:val="16"/>
                <w:szCs w:val="16"/>
              </w:rPr>
              <w:t>Activity</w:t>
            </w:r>
          </w:p>
        </w:tc>
        <w:tc>
          <w:tcPr>
            <w:tcW w:w="1170" w:type="dxa"/>
            <w:gridSpan w:val="3"/>
            <w:tcBorders>
              <w:top w:val="single" w:sz="4" w:space="0" w:color="auto"/>
            </w:tcBorders>
            <w:shd w:val="clear" w:color="auto" w:fill="auto"/>
            <w:tcMar>
              <w:top w:w="110" w:type="dxa"/>
            </w:tcMar>
            <w:vAlign w:val="center"/>
          </w:tcPr>
          <w:p w:rsidR="008355F0" w:rsidRPr="004A65B0" w:rsidRDefault="008355F0" w:rsidP="003867F8">
            <w:pPr>
              <w:autoSpaceDE w:val="0"/>
              <w:autoSpaceDN w:val="0"/>
              <w:adjustRightInd w:val="0"/>
              <w:spacing w:before="60" w:after="60"/>
              <w:rPr>
                <w:rFonts w:cs="Arial"/>
                <w:sz w:val="16"/>
                <w:szCs w:val="16"/>
              </w:rPr>
            </w:pPr>
            <w:r w:rsidRPr="004A65B0">
              <w:rPr>
                <w:rFonts w:cs="Arial"/>
                <w:b/>
                <w:bCs/>
                <w:sz w:val="16"/>
                <w:szCs w:val="16"/>
              </w:rPr>
              <w:t>Date</w:t>
            </w:r>
          </w:p>
        </w:tc>
        <w:tc>
          <w:tcPr>
            <w:tcW w:w="1862" w:type="dxa"/>
            <w:gridSpan w:val="2"/>
            <w:tcBorders>
              <w:top w:val="single" w:sz="4" w:space="0" w:color="auto"/>
            </w:tcBorders>
            <w:shd w:val="clear" w:color="auto" w:fill="auto"/>
            <w:tcMar>
              <w:top w:w="110" w:type="dxa"/>
            </w:tcMar>
            <w:vAlign w:val="center"/>
          </w:tcPr>
          <w:p w:rsidR="008355F0" w:rsidRPr="004A65B0" w:rsidRDefault="008355F0" w:rsidP="003867F8">
            <w:pPr>
              <w:autoSpaceDE w:val="0"/>
              <w:autoSpaceDN w:val="0"/>
              <w:adjustRightInd w:val="0"/>
              <w:spacing w:before="60" w:after="60"/>
              <w:rPr>
                <w:rFonts w:cs="Arial"/>
                <w:sz w:val="16"/>
                <w:szCs w:val="16"/>
              </w:rPr>
            </w:pPr>
            <w:r w:rsidRPr="004A65B0">
              <w:rPr>
                <w:rFonts w:cs="Arial"/>
                <w:b/>
                <w:bCs/>
                <w:sz w:val="16"/>
                <w:szCs w:val="16"/>
              </w:rPr>
              <w:t>Host Country/</w:t>
            </w:r>
            <w:r w:rsidRPr="004A65B0">
              <w:rPr>
                <w:rFonts w:cs="Arial"/>
                <w:b/>
                <w:bCs/>
                <w:sz w:val="16"/>
                <w:szCs w:val="16"/>
              </w:rPr>
              <w:br/>
              <w:t>Recipients</w:t>
            </w:r>
          </w:p>
        </w:tc>
        <w:tc>
          <w:tcPr>
            <w:tcW w:w="4396" w:type="dxa"/>
            <w:gridSpan w:val="3"/>
            <w:tcBorders>
              <w:top w:val="single" w:sz="4" w:space="0" w:color="auto"/>
            </w:tcBorders>
            <w:shd w:val="clear" w:color="auto" w:fill="FFFFFF"/>
            <w:tcMar>
              <w:top w:w="110" w:type="dxa"/>
            </w:tcMar>
            <w:vAlign w:val="center"/>
          </w:tcPr>
          <w:p w:rsidR="008355F0" w:rsidRPr="004A65B0" w:rsidRDefault="008355F0" w:rsidP="003867F8">
            <w:pPr>
              <w:autoSpaceDE w:val="0"/>
              <w:autoSpaceDN w:val="0"/>
              <w:adjustRightInd w:val="0"/>
              <w:spacing w:before="60" w:after="60"/>
              <w:rPr>
                <w:rFonts w:cs="Arial"/>
                <w:sz w:val="16"/>
                <w:szCs w:val="16"/>
              </w:rPr>
            </w:pPr>
            <w:r w:rsidRPr="004A65B0">
              <w:rPr>
                <w:rFonts w:cs="Arial"/>
                <w:b/>
                <w:bCs/>
                <w:sz w:val="16"/>
                <w:szCs w:val="16"/>
              </w:rPr>
              <w:t>Purpose(s)/Description(s)</w:t>
            </w:r>
          </w:p>
        </w:tc>
      </w:tr>
      <w:tr w:rsidR="008355F0" w:rsidRPr="004A65B0" w:rsidTr="00E92F85">
        <w:trPr>
          <w:cantSplit/>
          <w:trHeight w:val="1155"/>
        </w:trPr>
        <w:tc>
          <w:tcPr>
            <w:tcW w:w="2070" w:type="dxa"/>
            <w:gridSpan w:val="2"/>
            <w:tcBorders>
              <w:top w:val="nil"/>
              <w:bottom w:val="nil"/>
            </w:tcBorders>
          </w:tcPr>
          <w:p w:rsidR="008355F0" w:rsidRPr="004A65B0" w:rsidRDefault="008355F0" w:rsidP="003867F8">
            <w:pPr>
              <w:keepNext/>
              <w:keepLines/>
              <w:autoSpaceDE w:val="0"/>
              <w:autoSpaceDN w:val="0"/>
              <w:adjustRightInd w:val="0"/>
              <w:spacing w:before="60" w:after="60"/>
              <w:rPr>
                <w:rFonts w:cs="Arial"/>
                <w:color w:val="000000"/>
                <w:sz w:val="16"/>
                <w:szCs w:val="16"/>
              </w:rPr>
            </w:pPr>
            <w:r w:rsidRPr="004A65B0">
              <w:rPr>
                <w:rFonts w:cs="Arial"/>
                <w:color w:val="000000"/>
                <w:sz w:val="16"/>
                <w:szCs w:val="16"/>
              </w:rPr>
              <w:t>XIV</w:t>
            </w:r>
            <w:r>
              <w:rPr>
                <w:rFonts w:cs="Arial"/>
                <w:color w:val="000000"/>
                <w:sz w:val="16"/>
                <w:szCs w:val="16"/>
              </w:rPr>
              <w:t> </w:t>
            </w:r>
            <w:r w:rsidRPr="004A65B0">
              <w:rPr>
                <w:rFonts w:cs="Arial"/>
                <w:color w:val="000000"/>
                <w:sz w:val="16"/>
                <w:szCs w:val="16"/>
              </w:rPr>
              <w:t>WIPO/</w:t>
            </w:r>
            <w:r>
              <w:rPr>
                <w:rFonts w:cs="Arial"/>
                <w:color w:val="000000"/>
                <w:sz w:val="16"/>
                <w:szCs w:val="16"/>
              </w:rPr>
              <w:t>OEPM/</w:t>
            </w:r>
            <w:r w:rsidRPr="004A65B0">
              <w:rPr>
                <w:rFonts w:cs="Arial"/>
                <w:color w:val="000000"/>
                <w:sz w:val="16"/>
                <w:szCs w:val="16"/>
              </w:rPr>
              <w:t>AECID Regional Seminar on Intellectual Property (IP) for Judges and Prosecutors from Latin</w:t>
            </w:r>
            <w:r>
              <w:rPr>
                <w:rFonts w:cs="Arial"/>
                <w:color w:val="000000"/>
                <w:sz w:val="16"/>
                <w:szCs w:val="16"/>
              </w:rPr>
              <w:t>-</w:t>
            </w:r>
            <w:r w:rsidRPr="004A65B0">
              <w:rPr>
                <w:rFonts w:cs="Arial"/>
                <w:color w:val="000000"/>
                <w:sz w:val="16"/>
                <w:szCs w:val="16"/>
              </w:rPr>
              <w:t xml:space="preserve"> American Countries </w:t>
            </w:r>
          </w:p>
        </w:tc>
        <w:tc>
          <w:tcPr>
            <w:tcW w:w="1170" w:type="dxa"/>
            <w:gridSpan w:val="3"/>
            <w:tcBorders>
              <w:top w:val="nil"/>
              <w:bottom w:val="nil"/>
            </w:tcBorders>
          </w:tcPr>
          <w:p w:rsidR="008355F0" w:rsidRPr="004A65B0" w:rsidRDefault="008355F0" w:rsidP="003867F8">
            <w:pPr>
              <w:keepNext/>
              <w:keepLines/>
              <w:autoSpaceDE w:val="0"/>
              <w:autoSpaceDN w:val="0"/>
              <w:adjustRightInd w:val="0"/>
              <w:spacing w:before="60" w:after="60"/>
              <w:rPr>
                <w:rFonts w:cs="Arial"/>
                <w:color w:val="000000"/>
                <w:sz w:val="16"/>
                <w:szCs w:val="16"/>
              </w:rPr>
            </w:pPr>
            <w:r w:rsidRPr="004A65B0">
              <w:rPr>
                <w:rFonts w:cs="Arial"/>
                <w:color w:val="000000"/>
                <w:sz w:val="16"/>
                <w:szCs w:val="16"/>
              </w:rPr>
              <w:t>February 16 to 20, 2015</w:t>
            </w:r>
          </w:p>
        </w:tc>
        <w:tc>
          <w:tcPr>
            <w:tcW w:w="1862" w:type="dxa"/>
            <w:gridSpan w:val="2"/>
            <w:tcBorders>
              <w:top w:val="nil"/>
              <w:bottom w:val="nil"/>
            </w:tcBorders>
          </w:tcPr>
          <w:p w:rsidR="008355F0" w:rsidRPr="004A65B0" w:rsidRDefault="008355F0" w:rsidP="003867F8">
            <w:pPr>
              <w:keepNext/>
              <w:keepLines/>
              <w:autoSpaceDE w:val="0"/>
              <w:autoSpaceDN w:val="0"/>
              <w:adjustRightInd w:val="0"/>
              <w:spacing w:before="60" w:after="60"/>
              <w:rPr>
                <w:rFonts w:cs="Arial"/>
                <w:color w:val="000000"/>
                <w:sz w:val="16"/>
                <w:szCs w:val="16"/>
              </w:rPr>
            </w:pPr>
            <w:r w:rsidRPr="00F11187">
              <w:rPr>
                <w:rFonts w:cs="Arial"/>
                <w:color w:val="000000"/>
                <w:sz w:val="16"/>
                <w:szCs w:val="16"/>
              </w:rPr>
              <w:t>Guatemala</w:t>
            </w:r>
            <w:r>
              <w:rPr>
                <w:rFonts w:cs="Arial"/>
                <w:color w:val="000000"/>
                <w:sz w:val="16"/>
                <w:szCs w:val="16"/>
              </w:rPr>
              <w:t>/</w:t>
            </w:r>
            <w:r w:rsidRPr="00F11187">
              <w:rPr>
                <w:rFonts w:cs="Arial"/>
                <w:color w:val="000000"/>
                <w:sz w:val="16"/>
                <w:szCs w:val="16"/>
              </w:rPr>
              <w:t xml:space="preserve"> </w:t>
            </w:r>
            <w:r w:rsidRPr="004A65B0">
              <w:rPr>
                <w:rFonts w:cs="Arial"/>
                <w:color w:val="000000"/>
                <w:sz w:val="16"/>
                <w:szCs w:val="16"/>
              </w:rPr>
              <w:t>All L</w:t>
            </w:r>
            <w:r>
              <w:rPr>
                <w:rFonts w:cs="Arial"/>
                <w:color w:val="000000"/>
                <w:sz w:val="16"/>
                <w:szCs w:val="16"/>
              </w:rPr>
              <w:t>atin-</w:t>
            </w:r>
            <w:r w:rsidRPr="004A65B0">
              <w:rPr>
                <w:rFonts w:cs="Arial"/>
                <w:color w:val="000000"/>
                <w:sz w:val="16"/>
                <w:szCs w:val="16"/>
              </w:rPr>
              <w:t>A</w:t>
            </w:r>
            <w:r>
              <w:rPr>
                <w:rFonts w:cs="Arial"/>
                <w:color w:val="000000"/>
                <w:sz w:val="16"/>
                <w:szCs w:val="16"/>
              </w:rPr>
              <w:t>merican</w:t>
            </w:r>
            <w:r w:rsidRPr="004A65B0">
              <w:rPr>
                <w:rFonts w:cs="Arial"/>
                <w:color w:val="000000"/>
                <w:sz w:val="16"/>
                <w:szCs w:val="16"/>
              </w:rPr>
              <w:t xml:space="preserve"> countries and Tribunal of Andean Community</w:t>
            </w:r>
          </w:p>
        </w:tc>
        <w:tc>
          <w:tcPr>
            <w:tcW w:w="4396" w:type="dxa"/>
            <w:gridSpan w:val="3"/>
            <w:tcBorders>
              <w:top w:val="nil"/>
              <w:bottom w:val="nil"/>
            </w:tcBorders>
          </w:tcPr>
          <w:p w:rsidR="008355F0" w:rsidRPr="004A65B0" w:rsidRDefault="008355F0" w:rsidP="003867F8">
            <w:pPr>
              <w:keepNext/>
              <w:keepLines/>
              <w:autoSpaceDE w:val="0"/>
              <w:autoSpaceDN w:val="0"/>
              <w:adjustRightInd w:val="0"/>
              <w:spacing w:before="60" w:after="60"/>
              <w:rPr>
                <w:rFonts w:cs="Arial"/>
                <w:color w:val="000000"/>
                <w:sz w:val="16"/>
                <w:szCs w:val="16"/>
              </w:rPr>
            </w:pPr>
            <w:r w:rsidRPr="0064060C">
              <w:rPr>
                <w:rFonts w:cs="Arial"/>
                <w:color w:val="000000"/>
                <w:sz w:val="16"/>
                <w:szCs w:val="16"/>
              </w:rPr>
              <w:t>To: (i) provide judges and public prosecutors responsible for IP from Latin American countries with training on IP matters to improve the decision</w:t>
            </w:r>
            <w:r>
              <w:rPr>
                <w:rFonts w:cs="Arial"/>
                <w:color w:val="000000"/>
                <w:sz w:val="16"/>
                <w:szCs w:val="16"/>
              </w:rPr>
              <w:noBreakHyphen/>
            </w:r>
            <w:r w:rsidRPr="0064060C">
              <w:rPr>
                <w:rFonts w:cs="Arial"/>
                <w:color w:val="000000"/>
                <w:sz w:val="16"/>
                <w:szCs w:val="16"/>
              </w:rPr>
              <w:t xml:space="preserve">making process on litigation cases; </w:t>
            </w:r>
            <w:r>
              <w:rPr>
                <w:rFonts w:cs="Arial"/>
                <w:color w:val="000000"/>
                <w:sz w:val="16"/>
                <w:szCs w:val="16"/>
              </w:rPr>
              <w:t xml:space="preserve"> </w:t>
            </w:r>
            <w:r w:rsidRPr="0064060C">
              <w:rPr>
                <w:rFonts w:cs="Arial"/>
                <w:color w:val="000000"/>
                <w:sz w:val="16"/>
                <w:szCs w:val="16"/>
              </w:rPr>
              <w:t>and (ii) provide participants with updated information and practical training in the field of patents, trademarks, copyright and enforcement cases.</w:t>
            </w:r>
          </w:p>
        </w:tc>
      </w:tr>
      <w:tr w:rsidR="008355F0" w:rsidRPr="004A65B0" w:rsidTr="00E92F85">
        <w:tblPrEx>
          <w:tblBorders>
            <w:top w:val="single" w:sz="4" w:space="0" w:color="000000"/>
            <w:left w:val="single" w:sz="4" w:space="0" w:color="000000"/>
            <w:bottom w:val="single" w:sz="4" w:space="0" w:color="000000"/>
            <w:right w:val="single" w:sz="4" w:space="0" w:color="000000"/>
          </w:tblBorders>
        </w:tblPrEx>
        <w:trPr>
          <w:cantSplit/>
          <w:trHeight w:val="1388"/>
        </w:trPr>
        <w:tc>
          <w:tcPr>
            <w:tcW w:w="2070" w:type="dxa"/>
            <w:gridSpan w:val="2"/>
            <w:tcBorders>
              <w:top w:val="nil"/>
              <w:bottom w:val="nil"/>
            </w:tcBorders>
          </w:tcPr>
          <w:p w:rsidR="008355F0" w:rsidRPr="004A65B0" w:rsidRDefault="008355F0" w:rsidP="003867F8">
            <w:pPr>
              <w:autoSpaceDE w:val="0"/>
              <w:autoSpaceDN w:val="0"/>
              <w:adjustRightInd w:val="0"/>
              <w:spacing w:before="60" w:after="60"/>
              <w:rPr>
                <w:rFonts w:cs="Arial"/>
                <w:color w:val="000000"/>
                <w:sz w:val="16"/>
                <w:szCs w:val="16"/>
              </w:rPr>
            </w:pPr>
            <w:r w:rsidRPr="004A65B0">
              <w:rPr>
                <w:rFonts w:cs="Arial"/>
                <w:color w:val="000000"/>
                <w:sz w:val="16"/>
                <w:szCs w:val="16"/>
              </w:rPr>
              <w:t>Platform in Spanish on industrial property services and contents to the Ibero</w:t>
            </w:r>
            <w:r>
              <w:rPr>
                <w:rFonts w:cs="Arial"/>
                <w:color w:val="000000"/>
                <w:sz w:val="16"/>
                <w:szCs w:val="16"/>
              </w:rPr>
              <w:t>-A</w:t>
            </w:r>
            <w:r w:rsidRPr="004A65B0">
              <w:rPr>
                <w:rFonts w:cs="Arial"/>
                <w:color w:val="000000"/>
                <w:sz w:val="16"/>
                <w:szCs w:val="16"/>
              </w:rPr>
              <w:t>merican entrepreneurial sector with special focus on SMEs (CIBEPYME)</w:t>
            </w:r>
          </w:p>
        </w:tc>
        <w:tc>
          <w:tcPr>
            <w:tcW w:w="1170" w:type="dxa"/>
            <w:gridSpan w:val="3"/>
            <w:tcBorders>
              <w:top w:val="nil"/>
              <w:bottom w:val="nil"/>
            </w:tcBorders>
            <w:shd w:val="clear" w:color="auto" w:fill="auto"/>
            <w:tcMar>
              <w:top w:w="110" w:type="dxa"/>
            </w:tcMar>
          </w:tcPr>
          <w:p w:rsidR="008355F0" w:rsidRDefault="008355F0" w:rsidP="003867F8">
            <w:pPr>
              <w:autoSpaceDE w:val="0"/>
              <w:autoSpaceDN w:val="0"/>
              <w:adjustRightInd w:val="0"/>
              <w:spacing w:before="60" w:after="60"/>
              <w:rPr>
                <w:rFonts w:cs="Arial"/>
                <w:color w:val="000000"/>
                <w:sz w:val="16"/>
                <w:szCs w:val="16"/>
              </w:rPr>
            </w:pPr>
            <w:r>
              <w:rPr>
                <w:rFonts w:cs="Arial"/>
                <w:color w:val="000000"/>
                <w:sz w:val="16"/>
                <w:szCs w:val="16"/>
              </w:rPr>
              <w:t>January to December, 2015</w:t>
            </w:r>
          </w:p>
          <w:p w:rsidR="008355F0" w:rsidRPr="004A65B0" w:rsidRDefault="008355F0" w:rsidP="003867F8">
            <w:pPr>
              <w:autoSpaceDE w:val="0"/>
              <w:autoSpaceDN w:val="0"/>
              <w:adjustRightInd w:val="0"/>
              <w:spacing w:before="60" w:after="60"/>
              <w:rPr>
                <w:rFonts w:cs="Arial"/>
                <w:color w:val="000000"/>
                <w:sz w:val="16"/>
                <w:szCs w:val="16"/>
              </w:rPr>
            </w:pPr>
            <w:r>
              <w:rPr>
                <w:rFonts w:cs="Arial"/>
                <w:color w:val="000000"/>
                <w:sz w:val="16"/>
                <w:szCs w:val="16"/>
              </w:rPr>
              <w:t>(Project ongoing since 2010)</w:t>
            </w:r>
          </w:p>
        </w:tc>
        <w:tc>
          <w:tcPr>
            <w:tcW w:w="1890" w:type="dxa"/>
            <w:gridSpan w:val="3"/>
            <w:tcBorders>
              <w:top w:val="nil"/>
              <w:bottom w:val="nil"/>
            </w:tcBorders>
            <w:shd w:val="clear" w:color="auto" w:fill="auto"/>
            <w:tcMar>
              <w:top w:w="110" w:type="dxa"/>
            </w:tcMar>
          </w:tcPr>
          <w:p w:rsidR="008355F0" w:rsidRPr="004A65B0" w:rsidRDefault="008355F0" w:rsidP="003867F8">
            <w:pPr>
              <w:autoSpaceDE w:val="0"/>
              <w:autoSpaceDN w:val="0"/>
              <w:adjustRightInd w:val="0"/>
              <w:spacing w:before="60" w:after="60"/>
              <w:rPr>
                <w:rFonts w:cs="Arial"/>
                <w:color w:val="000000"/>
                <w:sz w:val="16"/>
                <w:szCs w:val="16"/>
              </w:rPr>
            </w:pPr>
            <w:r w:rsidRPr="004A65B0">
              <w:rPr>
                <w:rFonts w:cs="Arial"/>
                <w:color w:val="000000"/>
                <w:sz w:val="16"/>
                <w:szCs w:val="16"/>
              </w:rPr>
              <w:t>All Ibero</w:t>
            </w:r>
            <w:r>
              <w:rPr>
                <w:rFonts w:cs="Arial"/>
                <w:color w:val="000000"/>
                <w:sz w:val="16"/>
                <w:szCs w:val="16"/>
              </w:rPr>
              <w:t>-A</w:t>
            </w:r>
            <w:r w:rsidRPr="004A65B0">
              <w:rPr>
                <w:rFonts w:cs="Arial"/>
                <w:color w:val="000000"/>
                <w:sz w:val="16"/>
                <w:szCs w:val="16"/>
              </w:rPr>
              <w:t>merican countries</w:t>
            </w:r>
          </w:p>
        </w:tc>
        <w:tc>
          <w:tcPr>
            <w:tcW w:w="4368" w:type="dxa"/>
            <w:gridSpan w:val="2"/>
            <w:tcBorders>
              <w:top w:val="nil"/>
              <w:bottom w:val="nil"/>
            </w:tcBorders>
            <w:shd w:val="clear" w:color="auto" w:fill="FFFFFF"/>
            <w:tcMar>
              <w:top w:w="110" w:type="dxa"/>
            </w:tcMar>
          </w:tcPr>
          <w:p w:rsidR="008355F0" w:rsidRPr="004A65B0" w:rsidRDefault="008355F0" w:rsidP="003867F8">
            <w:pPr>
              <w:autoSpaceDE w:val="0"/>
              <w:autoSpaceDN w:val="0"/>
              <w:adjustRightInd w:val="0"/>
              <w:spacing w:before="60" w:after="60"/>
              <w:rPr>
                <w:rFonts w:cs="Arial"/>
                <w:color w:val="000000"/>
                <w:sz w:val="16"/>
                <w:szCs w:val="16"/>
              </w:rPr>
            </w:pPr>
            <w:r w:rsidRPr="0064060C">
              <w:rPr>
                <w:rFonts w:cs="Arial"/>
                <w:color w:val="000000"/>
                <w:sz w:val="16"/>
                <w:szCs w:val="16"/>
              </w:rPr>
              <w:t>To continue to design and create one Platform addressed to the private sector in order to:</w:t>
            </w:r>
            <w:r>
              <w:rPr>
                <w:rFonts w:cs="Arial"/>
                <w:color w:val="000000"/>
                <w:sz w:val="16"/>
                <w:szCs w:val="16"/>
              </w:rPr>
              <w:t xml:space="preserve"> </w:t>
            </w:r>
            <w:r w:rsidRPr="0064060C">
              <w:rPr>
                <w:rFonts w:cs="Arial"/>
                <w:color w:val="000000"/>
                <w:sz w:val="16"/>
                <w:szCs w:val="16"/>
              </w:rPr>
              <w:t xml:space="preserve"> (i) provide assistance and services in their use of IP;</w:t>
            </w:r>
            <w:r>
              <w:rPr>
                <w:rFonts w:cs="Arial"/>
                <w:color w:val="000000"/>
                <w:sz w:val="16"/>
                <w:szCs w:val="16"/>
              </w:rPr>
              <w:t xml:space="preserve"> </w:t>
            </w:r>
            <w:r w:rsidRPr="0064060C">
              <w:rPr>
                <w:rFonts w:cs="Arial"/>
                <w:color w:val="000000"/>
                <w:sz w:val="16"/>
                <w:szCs w:val="16"/>
              </w:rPr>
              <w:t xml:space="preserve"> (ii) to increase the value of their business;</w:t>
            </w:r>
            <w:r>
              <w:rPr>
                <w:rFonts w:cs="Arial"/>
                <w:color w:val="000000"/>
                <w:sz w:val="16"/>
                <w:szCs w:val="16"/>
              </w:rPr>
              <w:t xml:space="preserve"> </w:t>
            </w:r>
            <w:r w:rsidRPr="0064060C">
              <w:rPr>
                <w:rFonts w:cs="Arial"/>
                <w:color w:val="000000"/>
                <w:sz w:val="16"/>
                <w:szCs w:val="16"/>
              </w:rPr>
              <w:t xml:space="preserve"> and (iii) provide a private sector forum for the exchange of ideas and experiences</w:t>
            </w:r>
          </w:p>
        </w:tc>
      </w:tr>
      <w:tr w:rsidR="008355F0" w:rsidRPr="004A65B0" w:rsidTr="00E92F85">
        <w:tblPrEx>
          <w:tblBorders>
            <w:top w:val="single" w:sz="4" w:space="0" w:color="000000"/>
            <w:left w:val="single" w:sz="4" w:space="0" w:color="000000"/>
            <w:bottom w:val="single" w:sz="4" w:space="0" w:color="000000"/>
            <w:right w:val="single" w:sz="4" w:space="0" w:color="000000"/>
          </w:tblBorders>
        </w:tblPrEx>
        <w:trPr>
          <w:cantSplit/>
        </w:trPr>
        <w:tc>
          <w:tcPr>
            <w:tcW w:w="2070" w:type="dxa"/>
            <w:gridSpan w:val="2"/>
            <w:tcBorders>
              <w:top w:val="nil"/>
              <w:bottom w:val="nil"/>
            </w:tcBorders>
          </w:tcPr>
          <w:p w:rsidR="008355F0" w:rsidRPr="004A65B0" w:rsidRDefault="008355F0" w:rsidP="003867F8">
            <w:pPr>
              <w:autoSpaceDE w:val="0"/>
              <w:autoSpaceDN w:val="0"/>
              <w:adjustRightInd w:val="0"/>
              <w:spacing w:before="60" w:after="60"/>
              <w:rPr>
                <w:rFonts w:cs="Arial"/>
                <w:color w:val="000000"/>
                <w:sz w:val="16"/>
                <w:szCs w:val="16"/>
              </w:rPr>
            </w:pPr>
            <w:r w:rsidRPr="004A65B0">
              <w:rPr>
                <w:rFonts w:cs="Arial"/>
                <w:color w:val="000000"/>
                <w:sz w:val="16"/>
                <w:szCs w:val="16"/>
              </w:rPr>
              <w:t>Regional Automation Project for translation</w:t>
            </w:r>
            <w:r>
              <w:rPr>
                <w:rFonts w:cs="Arial"/>
                <w:color w:val="000000"/>
                <w:sz w:val="16"/>
                <w:szCs w:val="16"/>
              </w:rPr>
              <w:t xml:space="preserve"> of </w:t>
            </w:r>
            <w:r w:rsidRPr="004A65B0">
              <w:rPr>
                <w:rFonts w:cs="Arial"/>
                <w:color w:val="000000"/>
                <w:sz w:val="16"/>
                <w:szCs w:val="16"/>
              </w:rPr>
              <w:t>the advanced level of the International Patent Classification (IPC)</w:t>
            </w:r>
            <w:r>
              <w:rPr>
                <w:rFonts w:cs="Arial"/>
                <w:color w:val="000000"/>
                <w:sz w:val="16"/>
                <w:szCs w:val="16"/>
              </w:rPr>
              <w:t xml:space="preserve"> into Spanish</w:t>
            </w:r>
          </w:p>
        </w:tc>
        <w:tc>
          <w:tcPr>
            <w:tcW w:w="1170" w:type="dxa"/>
            <w:gridSpan w:val="3"/>
            <w:tcBorders>
              <w:top w:val="nil"/>
              <w:bottom w:val="nil"/>
            </w:tcBorders>
          </w:tcPr>
          <w:p w:rsidR="008355F0" w:rsidRDefault="008355F0" w:rsidP="003867F8">
            <w:pPr>
              <w:autoSpaceDE w:val="0"/>
              <w:autoSpaceDN w:val="0"/>
              <w:adjustRightInd w:val="0"/>
              <w:spacing w:before="60" w:after="60"/>
              <w:rPr>
                <w:rFonts w:cs="Arial"/>
                <w:color w:val="000000"/>
                <w:sz w:val="16"/>
                <w:szCs w:val="16"/>
              </w:rPr>
            </w:pPr>
            <w:r>
              <w:rPr>
                <w:rFonts w:cs="Arial"/>
                <w:color w:val="000000"/>
                <w:sz w:val="16"/>
                <w:szCs w:val="16"/>
              </w:rPr>
              <w:t>January to December, 2015</w:t>
            </w:r>
          </w:p>
          <w:p w:rsidR="008355F0" w:rsidRPr="004A65B0" w:rsidRDefault="008355F0" w:rsidP="003867F8">
            <w:pPr>
              <w:autoSpaceDE w:val="0"/>
              <w:autoSpaceDN w:val="0"/>
              <w:adjustRightInd w:val="0"/>
              <w:spacing w:before="60" w:after="60"/>
              <w:rPr>
                <w:rFonts w:cs="Arial"/>
                <w:color w:val="000000"/>
                <w:sz w:val="16"/>
                <w:szCs w:val="16"/>
              </w:rPr>
            </w:pPr>
            <w:r>
              <w:rPr>
                <w:rFonts w:cs="Arial"/>
                <w:color w:val="000000"/>
                <w:sz w:val="16"/>
                <w:szCs w:val="16"/>
              </w:rPr>
              <w:t>(Project ongoing since 2010)</w:t>
            </w:r>
          </w:p>
        </w:tc>
        <w:tc>
          <w:tcPr>
            <w:tcW w:w="1890" w:type="dxa"/>
            <w:gridSpan w:val="3"/>
            <w:tcBorders>
              <w:top w:val="nil"/>
              <w:bottom w:val="nil"/>
            </w:tcBorders>
          </w:tcPr>
          <w:p w:rsidR="008355F0" w:rsidRPr="004A65B0" w:rsidRDefault="008355F0" w:rsidP="003867F8">
            <w:pPr>
              <w:autoSpaceDE w:val="0"/>
              <w:autoSpaceDN w:val="0"/>
              <w:adjustRightInd w:val="0"/>
              <w:spacing w:before="60" w:after="60"/>
              <w:rPr>
                <w:rFonts w:cs="Arial"/>
                <w:color w:val="000000"/>
                <w:sz w:val="16"/>
                <w:szCs w:val="16"/>
              </w:rPr>
            </w:pPr>
            <w:r w:rsidRPr="004A65B0">
              <w:rPr>
                <w:rFonts w:cs="Arial"/>
                <w:color w:val="000000"/>
                <w:sz w:val="16"/>
                <w:szCs w:val="16"/>
              </w:rPr>
              <w:t>All Ibero</w:t>
            </w:r>
            <w:r>
              <w:rPr>
                <w:rFonts w:cs="Arial"/>
                <w:color w:val="000000"/>
                <w:sz w:val="16"/>
                <w:szCs w:val="16"/>
              </w:rPr>
              <w:t>-A</w:t>
            </w:r>
            <w:r w:rsidRPr="004A65B0">
              <w:rPr>
                <w:rFonts w:cs="Arial"/>
                <w:color w:val="000000"/>
                <w:sz w:val="16"/>
                <w:szCs w:val="16"/>
              </w:rPr>
              <w:t>merican countries</w:t>
            </w:r>
          </w:p>
        </w:tc>
        <w:tc>
          <w:tcPr>
            <w:tcW w:w="4368" w:type="dxa"/>
            <w:gridSpan w:val="2"/>
            <w:tcBorders>
              <w:top w:val="nil"/>
              <w:bottom w:val="nil"/>
            </w:tcBorders>
          </w:tcPr>
          <w:p w:rsidR="008355F0" w:rsidRPr="004A65B0" w:rsidRDefault="008355F0" w:rsidP="003867F8">
            <w:pPr>
              <w:autoSpaceDE w:val="0"/>
              <w:autoSpaceDN w:val="0"/>
              <w:adjustRightInd w:val="0"/>
              <w:spacing w:before="60" w:after="60"/>
              <w:rPr>
                <w:rFonts w:cs="Arial"/>
                <w:color w:val="000000"/>
                <w:sz w:val="16"/>
                <w:szCs w:val="16"/>
              </w:rPr>
            </w:pPr>
            <w:r w:rsidRPr="0064060C">
              <w:rPr>
                <w:rFonts w:cs="Arial"/>
                <w:color w:val="000000"/>
                <w:sz w:val="16"/>
                <w:szCs w:val="16"/>
              </w:rPr>
              <w:t xml:space="preserve">To: (i) implement automation for Spanish translation of the advanced level of the IPC, as it was originally commissioned in English and French only; </w:t>
            </w:r>
            <w:r>
              <w:rPr>
                <w:rFonts w:cs="Arial"/>
                <w:color w:val="000000"/>
                <w:sz w:val="16"/>
                <w:szCs w:val="16"/>
              </w:rPr>
              <w:t xml:space="preserve"> </w:t>
            </w:r>
            <w:r w:rsidRPr="0064060C">
              <w:rPr>
                <w:rFonts w:cs="Arial"/>
                <w:color w:val="000000"/>
                <w:sz w:val="16"/>
                <w:szCs w:val="16"/>
              </w:rPr>
              <w:t>and (ii) make it available to the service of industrial property offices in Latin American countries.</w:t>
            </w:r>
          </w:p>
        </w:tc>
      </w:tr>
      <w:tr w:rsidR="008355F0" w:rsidRPr="004A65B0" w:rsidTr="00E37059">
        <w:tblPrEx>
          <w:tblBorders>
            <w:top w:val="single" w:sz="4" w:space="0" w:color="000000"/>
            <w:left w:val="single" w:sz="4" w:space="0" w:color="000000"/>
            <w:bottom w:val="single" w:sz="4" w:space="0" w:color="000000"/>
            <w:right w:val="single" w:sz="4" w:space="0" w:color="000000"/>
          </w:tblBorders>
        </w:tblPrEx>
        <w:trPr>
          <w:cantSplit/>
        </w:trPr>
        <w:tc>
          <w:tcPr>
            <w:tcW w:w="2127" w:type="dxa"/>
            <w:gridSpan w:val="3"/>
            <w:tcBorders>
              <w:bottom w:val="nil"/>
            </w:tcBorders>
          </w:tcPr>
          <w:p w:rsidR="008355F0" w:rsidRPr="004A65B0" w:rsidRDefault="008355F0" w:rsidP="003867F8">
            <w:pPr>
              <w:autoSpaceDE w:val="0"/>
              <w:autoSpaceDN w:val="0"/>
              <w:adjustRightInd w:val="0"/>
              <w:spacing w:before="60" w:after="60"/>
              <w:rPr>
                <w:rFonts w:cs="Arial"/>
                <w:color w:val="000000"/>
                <w:sz w:val="16"/>
                <w:szCs w:val="16"/>
              </w:rPr>
            </w:pPr>
            <w:r w:rsidRPr="004A65B0">
              <w:rPr>
                <w:rFonts w:cs="Arial"/>
                <w:color w:val="000000"/>
                <w:sz w:val="16"/>
                <w:szCs w:val="16"/>
              </w:rPr>
              <w:t>PCT and Budapest Treaty Regional Seminar for Latin</w:t>
            </w:r>
            <w:r>
              <w:rPr>
                <w:rFonts w:cs="Arial"/>
                <w:color w:val="000000"/>
                <w:sz w:val="16"/>
                <w:szCs w:val="16"/>
              </w:rPr>
              <w:t>-</w:t>
            </w:r>
            <w:r w:rsidRPr="004A65B0">
              <w:rPr>
                <w:rFonts w:cs="Arial"/>
                <w:color w:val="000000"/>
                <w:sz w:val="16"/>
                <w:szCs w:val="16"/>
              </w:rPr>
              <w:t xml:space="preserve"> American countries,</w:t>
            </w:r>
          </w:p>
        </w:tc>
        <w:tc>
          <w:tcPr>
            <w:tcW w:w="1113" w:type="dxa"/>
            <w:gridSpan w:val="2"/>
            <w:tcBorders>
              <w:bottom w:val="nil"/>
            </w:tcBorders>
          </w:tcPr>
          <w:p w:rsidR="008355F0" w:rsidRPr="004A65B0" w:rsidRDefault="008355F0" w:rsidP="003867F8">
            <w:pPr>
              <w:autoSpaceDE w:val="0"/>
              <w:autoSpaceDN w:val="0"/>
              <w:adjustRightInd w:val="0"/>
              <w:spacing w:before="60" w:after="60"/>
              <w:rPr>
                <w:rFonts w:cs="Arial"/>
                <w:color w:val="000000"/>
                <w:sz w:val="16"/>
                <w:szCs w:val="16"/>
              </w:rPr>
            </w:pPr>
            <w:r w:rsidRPr="004A65B0">
              <w:rPr>
                <w:rFonts w:cs="Arial"/>
                <w:color w:val="000000"/>
                <w:sz w:val="16"/>
                <w:szCs w:val="16"/>
              </w:rPr>
              <w:t>July 28 to 31, 2015</w:t>
            </w:r>
          </w:p>
        </w:tc>
        <w:tc>
          <w:tcPr>
            <w:tcW w:w="1890" w:type="dxa"/>
            <w:gridSpan w:val="3"/>
            <w:tcBorders>
              <w:bottom w:val="nil"/>
            </w:tcBorders>
          </w:tcPr>
          <w:p w:rsidR="008355F0" w:rsidRPr="004A65B0" w:rsidRDefault="008355F0" w:rsidP="003867F8">
            <w:pPr>
              <w:autoSpaceDE w:val="0"/>
              <w:autoSpaceDN w:val="0"/>
              <w:adjustRightInd w:val="0"/>
              <w:spacing w:before="60" w:after="60"/>
              <w:rPr>
                <w:rFonts w:cs="Arial"/>
                <w:color w:val="000000"/>
                <w:sz w:val="16"/>
                <w:szCs w:val="16"/>
              </w:rPr>
            </w:pPr>
            <w:r w:rsidRPr="0064060C">
              <w:rPr>
                <w:rFonts w:cs="Arial"/>
                <w:color w:val="000000"/>
                <w:sz w:val="16"/>
                <w:szCs w:val="16"/>
              </w:rPr>
              <w:t>Ecuador</w:t>
            </w:r>
            <w:r>
              <w:rPr>
                <w:rFonts w:cs="Arial"/>
                <w:color w:val="000000"/>
                <w:sz w:val="16"/>
                <w:szCs w:val="16"/>
              </w:rPr>
              <w:t xml:space="preserve">/ </w:t>
            </w:r>
            <w:r w:rsidRPr="004A65B0">
              <w:rPr>
                <w:rFonts w:cs="Arial"/>
                <w:color w:val="000000"/>
                <w:sz w:val="16"/>
                <w:szCs w:val="16"/>
              </w:rPr>
              <w:t>All Latin</w:t>
            </w:r>
            <w:r>
              <w:rPr>
                <w:rFonts w:cs="Arial"/>
                <w:color w:val="000000"/>
                <w:sz w:val="16"/>
                <w:szCs w:val="16"/>
              </w:rPr>
              <w:t xml:space="preserve"> A</w:t>
            </w:r>
            <w:r w:rsidRPr="004A65B0">
              <w:rPr>
                <w:rFonts w:cs="Arial"/>
                <w:color w:val="000000"/>
                <w:sz w:val="16"/>
                <w:szCs w:val="16"/>
              </w:rPr>
              <w:t>merican countries</w:t>
            </w:r>
          </w:p>
        </w:tc>
        <w:tc>
          <w:tcPr>
            <w:tcW w:w="4368" w:type="dxa"/>
            <w:gridSpan w:val="2"/>
            <w:tcBorders>
              <w:bottom w:val="nil"/>
            </w:tcBorders>
          </w:tcPr>
          <w:p w:rsidR="008355F0" w:rsidRPr="004A65B0" w:rsidRDefault="008355F0" w:rsidP="003867F8">
            <w:pPr>
              <w:autoSpaceDE w:val="0"/>
              <w:autoSpaceDN w:val="0"/>
              <w:adjustRightInd w:val="0"/>
              <w:spacing w:before="60" w:after="60"/>
              <w:rPr>
                <w:rFonts w:cs="Arial"/>
                <w:color w:val="000000"/>
                <w:sz w:val="16"/>
                <w:szCs w:val="16"/>
              </w:rPr>
            </w:pPr>
            <w:r w:rsidRPr="00F62C0B">
              <w:rPr>
                <w:rFonts w:cs="Arial"/>
                <w:color w:val="000000"/>
                <w:sz w:val="16"/>
                <w:szCs w:val="16"/>
              </w:rPr>
              <w:t>To share experiences and keep national offices updated about the latest development in the PCT system</w:t>
            </w:r>
          </w:p>
        </w:tc>
      </w:tr>
      <w:tr w:rsidR="008355F0" w:rsidRPr="004A65B0" w:rsidTr="00E37059">
        <w:tblPrEx>
          <w:tblBorders>
            <w:top w:val="single" w:sz="4" w:space="0" w:color="000000"/>
            <w:left w:val="single" w:sz="4" w:space="0" w:color="000000"/>
            <w:bottom w:val="single" w:sz="4" w:space="0" w:color="000000"/>
            <w:right w:val="single" w:sz="4" w:space="0" w:color="000000"/>
          </w:tblBorders>
        </w:tblPrEx>
        <w:trPr>
          <w:cantSplit/>
        </w:trPr>
        <w:tc>
          <w:tcPr>
            <w:tcW w:w="2070" w:type="dxa"/>
            <w:gridSpan w:val="2"/>
            <w:tcBorders>
              <w:top w:val="nil"/>
              <w:bottom w:val="single" w:sz="4" w:space="0" w:color="auto"/>
            </w:tcBorders>
          </w:tcPr>
          <w:p w:rsidR="008355F0" w:rsidRPr="004A65B0" w:rsidRDefault="008355F0" w:rsidP="003867F8">
            <w:pPr>
              <w:autoSpaceDE w:val="0"/>
              <w:autoSpaceDN w:val="0"/>
              <w:adjustRightInd w:val="0"/>
              <w:spacing w:before="60" w:after="60"/>
              <w:rPr>
                <w:rFonts w:cs="Arial"/>
                <w:color w:val="000000"/>
                <w:sz w:val="16"/>
                <w:szCs w:val="16"/>
              </w:rPr>
            </w:pPr>
            <w:r w:rsidRPr="004A65B0">
              <w:rPr>
                <w:rFonts w:cs="Arial"/>
                <w:color w:val="000000"/>
                <w:sz w:val="16"/>
                <w:szCs w:val="16"/>
              </w:rPr>
              <w:t>Regional Seminar on Enforcement of Industrial Property (IP) Rights</w:t>
            </w:r>
            <w:r w:rsidR="00091CB9">
              <w:rPr>
                <w:rStyle w:val="FootnoteReference"/>
                <w:rFonts w:cs="Arial"/>
                <w:color w:val="000000"/>
                <w:sz w:val="16"/>
                <w:szCs w:val="16"/>
              </w:rPr>
              <w:footnoteReference w:id="166"/>
            </w:r>
            <w:r w:rsidR="00091CB9">
              <w:rPr>
                <w:rFonts w:cs="Arial"/>
                <w:color w:val="000000"/>
                <w:sz w:val="16"/>
                <w:szCs w:val="16"/>
              </w:rPr>
              <w:t xml:space="preserve">    </w:t>
            </w:r>
          </w:p>
        </w:tc>
        <w:tc>
          <w:tcPr>
            <w:tcW w:w="1170" w:type="dxa"/>
            <w:gridSpan w:val="3"/>
            <w:tcBorders>
              <w:top w:val="nil"/>
              <w:bottom w:val="single" w:sz="4" w:space="0" w:color="auto"/>
            </w:tcBorders>
          </w:tcPr>
          <w:p w:rsidR="008355F0" w:rsidRPr="004A65B0" w:rsidRDefault="008355F0" w:rsidP="003867F8">
            <w:pPr>
              <w:autoSpaceDE w:val="0"/>
              <w:autoSpaceDN w:val="0"/>
              <w:adjustRightInd w:val="0"/>
              <w:spacing w:before="60" w:after="60"/>
              <w:rPr>
                <w:rFonts w:cs="Arial"/>
                <w:color w:val="000000"/>
                <w:sz w:val="16"/>
                <w:szCs w:val="16"/>
              </w:rPr>
            </w:pPr>
            <w:r w:rsidRPr="004A65B0">
              <w:rPr>
                <w:rFonts w:cs="Arial"/>
                <w:color w:val="000000"/>
                <w:sz w:val="16"/>
                <w:szCs w:val="16"/>
              </w:rPr>
              <w:t xml:space="preserve">July 27 </w:t>
            </w:r>
            <w:r>
              <w:rPr>
                <w:rFonts w:cs="Arial"/>
                <w:color w:val="000000"/>
                <w:sz w:val="16"/>
                <w:szCs w:val="16"/>
              </w:rPr>
              <w:t>to</w:t>
            </w:r>
            <w:r w:rsidRPr="004A65B0">
              <w:rPr>
                <w:rFonts w:cs="Arial"/>
                <w:color w:val="000000"/>
                <w:sz w:val="16"/>
                <w:szCs w:val="16"/>
              </w:rPr>
              <w:t xml:space="preserve"> 28, 2015</w:t>
            </w:r>
          </w:p>
        </w:tc>
        <w:tc>
          <w:tcPr>
            <w:tcW w:w="1890" w:type="dxa"/>
            <w:gridSpan w:val="3"/>
            <w:tcBorders>
              <w:top w:val="nil"/>
              <w:bottom w:val="single" w:sz="4" w:space="0" w:color="auto"/>
            </w:tcBorders>
          </w:tcPr>
          <w:p w:rsidR="008355F0" w:rsidRPr="00DF5AE6" w:rsidRDefault="008355F0" w:rsidP="003867F8">
            <w:pPr>
              <w:autoSpaceDE w:val="0"/>
              <w:autoSpaceDN w:val="0"/>
              <w:adjustRightInd w:val="0"/>
              <w:spacing w:before="60" w:after="60"/>
              <w:rPr>
                <w:rFonts w:cs="Arial"/>
                <w:color w:val="000000"/>
                <w:sz w:val="16"/>
                <w:szCs w:val="16"/>
                <w:lang w:val="es-ES"/>
              </w:rPr>
            </w:pPr>
            <w:r w:rsidRPr="00DF5AE6">
              <w:rPr>
                <w:rFonts w:cs="Arial"/>
                <w:color w:val="000000"/>
                <w:sz w:val="16"/>
                <w:szCs w:val="16"/>
                <w:lang w:val="es-ES"/>
              </w:rPr>
              <w:t>Mexico/ Ecuador, Honduras, Paraguay, Peru, Mexico and Spain</w:t>
            </w:r>
          </w:p>
        </w:tc>
        <w:tc>
          <w:tcPr>
            <w:tcW w:w="4368" w:type="dxa"/>
            <w:gridSpan w:val="2"/>
            <w:tcBorders>
              <w:top w:val="nil"/>
              <w:bottom w:val="single" w:sz="4" w:space="0" w:color="auto"/>
            </w:tcBorders>
          </w:tcPr>
          <w:p w:rsidR="008355F0" w:rsidRPr="004A65B0" w:rsidRDefault="008355F0" w:rsidP="003867F8">
            <w:pPr>
              <w:autoSpaceDE w:val="0"/>
              <w:autoSpaceDN w:val="0"/>
              <w:adjustRightInd w:val="0"/>
              <w:spacing w:before="60" w:after="60"/>
              <w:rPr>
                <w:rFonts w:cs="Arial"/>
                <w:color w:val="000000"/>
                <w:sz w:val="16"/>
                <w:szCs w:val="16"/>
              </w:rPr>
            </w:pPr>
            <w:r>
              <w:rPr>
                <w:rFonts w:cs="Arial"/>
                <w:color w:val="000000"/>
                <w:sz w:val="16"/>
                <w:szCs w:val="16"/>
              </w:rPr>
              <w:t xml:space="preserve">To:  (i) </w:t>
            </w:r>
            <w:r w:rsidRPr="004A65B0">
              <w:rPr>
                <w:rFonts w:cs="Arial"/>
                <w:color w:val="000000"/>
                <w:sz w:val="16"/>
                <w:szCs w:val="16"/>
              </w:rPr>
              <w:t>updat</w:t>
            </w:r>
            <w:r>
              <w:rPr>
                <w:rFonts w:cs="Arial"/>
                <w:color w:val="000000"/>
                <w:sz w:val="16"/>
                <w:szCs w:val="16"/>
              </w:rPr>
              <w:t>e</w:t>
            </w:r>
            <w:r w:rsidRPr="004A65B0">
              <w:rPr>
                <w:rFonts w:cs="Arial"/>
                <w:color w:val="000000"/>
                <w:sz w:val="16"/>
                <w:szCs w:val="16"/>
              </w:rPr>
              <w:t xml:space="preserve"> public IP authorities in the enforcement of IP rights </w:t>
            </w:r>
            <w:r>
              <w:rPr>
                <w:rFonts w:cs="Arial"/>
                <w:color w:val="000000"/>
                <w:sz w:val="16"/>
                <w:szCs w:val="16"/>
              </w:rPr>
              <w:t xml:space="preserve">through </w:t>
            </w:r>
            <w:r w:rsidRPr="004A65B0">
              <w:rPr>
                <w:rFonts w:cs="Arial"/>
                <w:color w:val="000000"/>
                <w:sz w:val="16"/>
                <w:szCs w:val="16"/>
              </w:rPr>
              <w:t>different approaches</w:t>
            </w:r>
            <w:r>
              <w:rPr>
                <w:rFonts w:cs="Arial"/>
                <w:color w:val="000000"/>
                <w:sz w:val="16"/>
                <w:szCs w:val="16"/>
              </w:rPr>
              <w:t>;  (ii) provide a</w:t>
            </w:r>
            <w:r w:rsidRPr="004A65B0">
              <w:rPr>
                <w:rFonts w:cs="Arial"/>
                <w:color w:val="000000"/>
                <w:sz w:val="16"/>
                <w:szCs w:val="16"/>
              </w:rPr>
              <w:t xml:space="preserve"> forum where national IP offices from Latin American countries exchange experience</w:t>
            </w:r>
            <w:r>
              <w:rPr>
                <w:rFonts w:cs="Arial"/>
                <w:color w:val="000000"/>
                <w:sz w:val="16"/>
                <w:szCs w:val="16"/>
              </w:rPr>
              <w:t>s</w:t>
            </w:r>
            <w:r w:rsidRPr="004A65B0">
              <w:rPr>
                <w:rFonts w:cs="Arial"/>
                <w:color w:val="000000"/>
                <w:sz w:val="16"/>
                <w:szCs w:val="16"/>
              </w:rPr>
              <w:t xml:space="preserve"> on the promotion and development of the respect of IP rights</w:t>
            </w:r>
            <w:r>
              <w:rPr>
                <w:rFonts w:cs="Arial"/>
                <w:color w:val="000000"/>
                <w:sz w:val="16"/>
                <w:szCs w:val="16"/>
              </w:rPr>
              <w:t>;  (iii)</w:t>
            </w:r>
            <w:r w:rsidRPr="004A65B0">
              <w:rPr>
                <w:rFonts w:cs="Arial"/>
                <w:color w:val="000000"/>
                <w:sz w:val="16"/>
                <w:szCs w:val="16"/>
              </w:rPr>
              <w:t>strengthen ties for territorial and institutional collaboration in the field of enforcement.</w:t>
            </w:r>
          </w:p>
        </w:tc>
      </w:tr>
      <w:tr w:rsidR="008355F0" w:rsidRPr="004A65B0" w:rsidTr="00E37059">
        <w:tblPrEx>
          <w:tblBorders>
            <w:top w:val="single" w:sz="4" w:space="0" w:color="000000"/>
            <w:left w:val="single" w:sz="4" w:space="0" w:color="000000"/>
            <w:bottom w:val="single" w:sz="4" w:space="0" w:color="000000"/>
            <w:right w:val="single" w:sz="4" w:space="0" w:color="000000"/>
          </w:tblBorders>
        </w:tblPrEx>
        <w:trPr>
          <w:cantSplit/>
        </w:trPr>
        <w:tc>
          <w:tcPr>
            <w:tcW w:w="2070" w:type="dxa"/>
            <w:gridSpan w:val="2"/>
            <w:tcBorders>
              <w:top w:val="single" w:sz="4" w:space="0" w:color="auto"/>
              <w:left w:val="single" w:sz="4" w:space="0" w:color="auto"/>
              <w:bottom w:val="nil"/>
            </w:tcBorders>
          </w:tcPr>
          <w:p w:rsidR="008355F0" w:rsidRPr="004A65B0" w:rsidRDefault="008355F0" w:rsidP="003867F8">
            <w:pPr>
              <w:autoSpaceDE w:val="0"/>
              <w:autoSpaceDN w:val="0"/>
              <w:adjustRightInd w:val="0"/>
              <w:spacing w:before="60" w:after="60"/>
              <w:rPr>
                <w:rFonts w:cs="Arial"/>
                <w:color w:val="000000"/>
                <w:sz w:val="16"/>
                <w:szCs w:val="16"/>
              </w:rPr>
            </w:pPr>
            <w:r w:rsidRPr="004A65B0">
              <w:rPr>
                <w:rFonts w:cs="Arial"/>
                <w:color w:val="000000"/>
                <w:sz w:val="16"/>
                <w:szCs w:val="16"/>
              </w:rPr>
              <w:t>Anti-Counterfeiting Day for Chambers of Commerce and Entrepreneurs</w:t>
            </w:r>
            <w:r w:rsidR="00675B75">
              <w:rPr>
                <w:rStyle w:val="FootnoteReference"/>
                <w:rFonts w:cs="Arial"/>
                <w:color w:val="000000"/>
                <w:sz w:val="16"/>
                <w:szCs w:val="16"/>
              </w:rPr>
              <w:footnoteReference w:id="167"/>
            </w:r>
          </w:p>
        </w:tc>
        <w:tc>
          <w:tcPr>
            <w:tcW w:w="1170" w:type="dxa"/>
            <w:gridSpan w:val="3"/>
            <w:tcBorders>
              <w:top w:val="single" w:sz="4" w:space="0" w:color="auto"/>
              <w:bottom w:val="nil"/>
            </w:tcBorders>
          </w:tcPr>
          <w:p w:rsidR="008355F0" w:rsidRPr="004A65B0" w:rsidRDefault="008355F0" w:rsidP="003867F8">
            <w:pPr>
              <w:autoSpaceDE w:val="0"/>
              <w:autoSpaceDN w:val="0"/>
              <w:adjustRightInd w:val="0"/>
              <w:spacing w:before="60" w:after="60"/>
              <w:rPr>
                <w:rFonts w:cs="Arial"/>
                <w:color w:val="000000"/>
                <w:sz w:val="16"/>
                <w:szCs w:val="16"/>
              </w:rPr>
            </w:pPr>
            <w:r w:rsidRPr="004A65B0">
              <w:rPr>
                <w:rFonts w:cs="Arial"/>
                <w:color w:val="000000"/>
                <w:sz w:val="16"/>
                <w:szCs w:val="16"/>
              </w:rPr>
              <w:t>July 29, 2015</w:t>
            </w:r>
          </w:p>
        </w:tc>
        <w:tc>
          <w:tcPr>
            <w:tcW w:w="1890" w:type="dxa"/>
            <w:gridSpan w:val="3"/>
            <w:tcBorders>
              <w:top w:val="single" w:sz="4" w:space="0" w:color="auto"/>
              <w:bottom w:val="nil"/>
            </w:tcBorders>
          </w:tcPr>
          <w:p w:rsidR="008355F0" w:rsidRPr="00DF5AE6" w:rsidRDefault="008355F0" w:rsidP="003867F8">
            <w:pPr>
              <w:autoSpaceDE w:val="0"/>
              <w:autoSpaceDN w:val="0"/>
              <w:adjustRightInd w:val="0"/>
              <w:spacing w:before="60" w:after="60"/>
              <w:rPr>
                <w:rFonts w:cs="Arial"/>
                <w:color w:val="000000"/>
                <w:sz w:val="16"/>
                <w:szCs w:val="16"/>
                <w:lang w:val="es-ES"/>
              </w:rPr>
            </w:pPr>
            <w:r w:rsidRPr="00DF5AE6">
              <w:rPr>
                <w:rFonts w:cs="Arial"/>
                <w:color w:val="000000"/>
                <w:sz w:val="16"/>
                <w:szCs w:val="16"/>
                <w:lang w:val="es-ES"/>
              </w:rPr>
              <w:t>Mexico/ Ecuador, Honduras, Paraguay, Peru, Mexico and Spain</w:t>
            </w:r>
          </w:p>
        </w:tc>
        <w:tc>
          <w:tcPr>
            <w:tcW w:w="4368" w:type="dxa"/>
            <w:gridSpan w:val="2"/>
            <w:tcBorders>
              <w:top w:val="single" w:sz="4" w:space="0" w:color="auto"/>
              <w:bottom w:val="nil"/>
              <w:right w:val="single" w:sz="4" w:space="0" w:color="auto"/>
            </w:tcBorders>
          </w:tcPr>
          <w:p w:rsidR="008355F0" w:rsidRPr="004A65B0" w:rsidRDefault="008355F0" w:rsidP="003867F8">
            <w:pPr>
              <w:autoSpaceDE w:val="0"/>
              <w:autoSpaceDN w:val="0"/>
              <w:adjustRightInd w:val="0"/>
              <w:spacing w:before="60" w:after="60"/>
              <w:rPr>
                <w:rFonts w:cs="Arial"/>
                <w:color w:val="000000"/>
                <w:sz w:val="16"/>
                <w:szCs w:val="16"/>
              </w:rPr>
            </w:pPr>
            <w:r>
              <w:rPr>
                <w:rFonts w:cs="Arial"/>
                <w:color w:val="000000"/>
                <w:sz w:val="16"/>
                <w:szCs w:val="16"/>
              </w:rPr>
              <w:t>T</w:t>
            </w:r>
            <w:r w:rsidRPr="004A65B0">
              <w:rPr>
                <w:rFonts w:cs="Arial"/>
                <w:color w:val="000000"/>
                <w:sz w:val="16"/>
                <w:szCs w:val="16"/>
              </w:rPr>
              <w:t>o</w:t>
            </w:r>
            <w:r>
              <w:rPr>
                <w:rFonts w:cs="Arial"/>
                <w:color w:val="000000"/>
                <w:sz w:val="16"/>
                <w:szCs w:val="16"/>
              </w:rPr>
              <w:t>:  (i)</w:t>
            </w:r>
            <w:r w:rsidRPr="004A65B0">
              <w:rPr>
                <w:rFonts w:cs="Arial"/>
                <w:color w:val="000000"/>
                <w:sz w:val="16"/>
                <w:szCs w:val="16"/>
              </w:rPr>
              <w:t xml:space="preserve"> bring together high-level Government officials and business leaders to pool their experience for enhanced international coordination and cooperation </w:t>
            </w:r>
            <w:r>
              <w:rPr>
                <w:rFonts w:cs="Arial"/>
                <w:color w:val="000000"/>
                <w:sz w:val="16"/>
                <w:szCs w:val="16"/>
              </w:rPr>
              <w:t>for</w:t>
            </w:r>
            <w:r w:rsidRPr="004A65B0">
              <w:rPr>
                <w:rFonts w:cs="Arial"/>
                <w:color w:val="000000"/>
                <w:sz w:val="16"/>
                <w:szCs w:val="16"/>
              </w:rPr>
              <w:t xml:space="preserve"> more effective solutions in pursuit of combating counterfeiting</w:t>
            </w:r>
            <w:r>
              <w:rPr>
                <w:rFonts w:cs="Arial"/>
                <w:color w:val="000000"/>
                <w:sz w:val="16"/>
                <w:szCs w:val="16"/>
              </w:rPr>
              <w:t>;</w:t>
            </w:r>
            <w:r w:rsidRPr="004A65B0">
              <w:rPr>
                <w:rFonts w:cs="Arial"/>
                <w:color w:val="000000"/>
                <w:sz w:val="16"/>
                <w:szCs w:val="16"/>
              </w:rPr>
              <w:t xml:space="preserve">  </w:t>
            </w:r>
            <w:r>
              <w:rPr>
                <w:rFonts w:cs="Arial"/>
                <w:color w:val="000000"/>
                <w:sz w:val="16"/>
                <w:szCs w:val="16"/>
              </w:rPr>
              <w:t>and(ii)</w:t>
            </w:r>
            <w:r w:rsidRPr="004A65B0">
              <w:rPr>
                <w:rFonts w:cs="Arial"/>
                <w:color w:val="000000"/>
                <w:sz w:val="16"/>
                <w:szCs w:val="16"/>
              </w:rPr>
              <w:t xml:space="preserve"> offer</w:t>
            </w:r>
            <w:r>
              <w:rPr>
                <w:rFonts w:cs="Arial"/>
                <w:color w:val="000000"/>
                <w:sz w:val="16"/>
                <w:szCs w:val="16"/>
              </w:rPr>
              <w:t xml:space="preserve"> </w:t>
            </w:r>
            <w:r w:rsidRPr="004A65B0">
              <w:rPr>
                <w:rFonts w:cs="Arial"/>
                <w:color w:val="000000"/>
                <w:sz w:val="16"/>
                <w:szCs w:val="16"/>
              </w:rPr>
              <w:t xml:space="preserve">an overview of services and public support </w:t>
            </w:r>
            <w:r>
              <w:rPr>
                <w:rFonts w:cs="Arial"/>
                <w:color w:val="000000"/>
                <w:sz w:val="16"/>
                <w:szCs w:val="16"/>
              </w:rPr>
              <w:t>available</w:t>
            </w:r>
            <w:r w:rsidRPr="004A65B0">
              <w:rPr>
                <w:rFonts w:cs="Arial"/>
                <w:color w:val="000000"/>
                <w:sz w:val="16"/>
                <w:szCs w:val="16"/>
              </w:rPr>
              <w:t xml:space="preserve"> to enforce IP rights.</w:t>
            </w:r>
          </w:p>
        </w:tc>
      </w:tr>
      <w:tr w:rsidR="008355F0" w:rsidRPr="004A65B0" w:rsidTr="00E37059">
        <w:tblPrEx>
          <w:tblBorders>
            <w:top w:val="single" w:sz="4" w:space="0" w:color="000000"/>
            <w:left w:val="single" w:sz="4" w:space="0" w:color="000000"/>
            <w:bottom w:val="single" w:sz="4" w:space="0" w:color="000000"/>
            <w:right w:val="single" w:sz="4" w:space="0" w:color="000000"/>
          </w:tblBorders>
        </w:tblPrEx>
        <w:trPr>
          <w:cantSplit/>
        </w:trPr>
        <w:tc>
          <w:tcPr>
            <w:tcW w:w="2070" w:type="dxa"/>
            <w:gridSpan w:val="2"/>
            <w:tcBorders>
              <w:top w:val="nil"/>
              <w:left w:val="single" w:sz="4" w:space="0" w:color="auto"/>
              <w:bottom w:val="nil"/>
            </w:tcBorders>
          </w:tcPr>
          <w:p w:rsidR="008355F0" w:rsidRPr="004A65B0" w:rsidRDefault="008355F0" w:rsidP="003867F8">
            <w:pPr>
              <w:autoSpaceDE w:val="0"/>
              <w:autoSpaceDN w:val="0"/>
              <w:adjustRightInd w:val="0"/>
              <w:spacing w:before="60" w:after="60"/>
              <w:rPr>
                <w:rFonts w:cs="Arial"/>
                <w:color w:val="000000"/>
                <w:sz w:val="16"/>
                <w:szCs w:val="16"/>
              </w:rPr>
            </w:pPr>
            <w:r w:rsidRPr="004A65B0">
              <w:rPr>
                <w:rFonts w:cs="Arial"/>
                <w:color w:val="000000"/>
                <w:sz w:val="16"/>
                <w:szCs w:val="16"/>
              </w:rPr>
              <w:t>Sub-Regional Meeting on Patents from Central American Countries, Panama and  the Dominican Republic for the Review and Approval of a Manual on the Examination of Patents Applications, and Strengthened cooperation mechanisms</w:t>
            </w:r>
          </w:p>
        </w:tc>
        <w:tc>
          <w:tcPr>
            <w:tcW w:w="1170" w:type="dxa"/>
            <w:gridSpan w:val="3"/>
            <w:tcBorders>
              <w:top w:val="nil"/>
              <w:bottom w:val="nil"/>
            </w:tcBorders>
          </w:tcPr>
          <w:p w:rsidR="008355F0" w:rsidRPr="004A65B0" w:rsidRDefault="008355F0" w:rsidP="003867F8">
            <w:pPr>
              <w:autoSpaceDE w:val="0"/>
              <w:autoSpaceDN w:val="0"/>
              <w:adjustRightInd w:val="0"/>
              <w:spacing w:before="60" w:after="60"/>
              <w:rPr>
                <w:rFonts w:cs="Arial"/>
                <w:color w:val="000000"/>
                <w:sz w:val="16"/>
                <w:szCs w:val="16"/>
              </w:rPr>
            </w:pPr>
            <w:r w:rsidRPr="004A65B0">
              <w:rPr>
                <w:rFonts w:cs="Arial"/>
                <w:color w:val="000000"/>
                <w:sz w:val="16"/>
                <w:szCs w:val="16"/>
              </w:rPr>
              <w:t>June 30 to July 2</w:t>
            </w:r>
            <w:r>
              <w:rPr>
                <w:rFonts w:cs="Arial"/>
                <w:color w:val="000000"/>
                <w:sz w:val="16"/>
                <w:szCs w:val="16"/>
              </w:rPr>
              <w:t>,</w:t>
            </w:r>
            <w:r w:rsidRPr="004A65B0">
              <w:rPr>
                <w:rFonts w:cs="Arial"/>
                <w:color w:val="000000"/>
                <w:sz w:val="16"/>
                <w:szCs w:val="16"/>
              </w:rPr>
              <w:t xml:space="preserve"> 2015</w:t>
            </w:r>
          </w:p>
        </w:tc>
        <w:tc>
          <w:tcPr>
            <w:tcW w:w="1890" w:type="dxa"/>
            <w:gridSpan w:val="3"/>
            <w:tcBorders>
              <w:top w:val="nil"/>
              <w:bottom w:val="nil"/>
            </w:tcBorders>
          </w:tcPr>
          <w:p w:rsidR="008355F0" w:rsidRPr="004A65B0" w:rsidRDefault="008355F0" w:rsidP="003867F8">
            <w:pPr>
              <w:autoSpaceDE w:val="0"/>
              <w:autoSpaceDN w:val="0"/>
              <w:adjustRightInd w:val="0"/>
              <w:spacing w:before="60" w:after="60"/>
              <w:rPr>
                <w:rFonts w:cs="Arial"/>
                <w:color w:val="000000"/>
                <w:sz w:val="16"/>
                <w:szCs w:val="16"/>
              </w:rPr>
            </w:pPr>
            <w:r>
              <w:rPr>
                <w:rFonts w:cs="Arial"/>
                <w:color w:val="000000"/>
                <w:sz w:val="16"/>
                <w:szCs w:val="16"/>
              </w:rPr>
              <w:t xml:space="preserve">Panama/ </w:t>
            </w:r>
            <w:r w:rsidRPr="004A65B0">
              <w:rPr>
                <w:rFonts w:cs="Arial"/>
                <w:color w:val="000000"/>
                <w:sz w:val="16"/>
                <w:szCs w:val="16"/>
              </w:rPr>
              <w:t>Central American countries and Dominican Republic</w:t>
            </w:r>
          </w:p>
        </w:tc>
        <w:tc>
          <w:tcPr>
            <w:tcW w:w="4368" w:type="dxa"/>
            <w:gridSpan w:val="2"/>
            <w:tcBorders>
              <w:top w:val="nil"/>
              <w:bottom w:val="nil"/>
              <w:right w:val="single" w:sz="4" w:space="0" w:color="auto"/>
            </w:tcBorders>
          </w:tcPr>
          <w:p w:rsidR="008355F0" w:rsidRPr="004A65B0" w:rsidRDefault="008355F0" w:rsidP="003867F8">
            <w:pPr>
              <w:autoSpaceDE w:val="0"/>
              <w:autoSpaceDN w:val="0"/>
              <w:adjustRightInd w:val="0"/>
              <w:spacing w:before="60" w:after="60"/>
              <w:rPr>
                <w:rFonts w:cs="Arial"/>
                <w:color w:val="000000"/>
                <w:sz w:val="16"/>
                <w:szCs w:val="16"/>
              </w:rPr>
            </w:pPr>
            <w:r>
              <w:rPr>
                <w:rFonts w:cs="Arial"/>
                <w:color w:val="000000"/>
                <w:sz w:val="16"/>
                <w:szCs w:val="16"/>
              </w:rPr>
              <w:t>T</w:t>
            </w:r>
            <w:r w:rsidRPr="004A65B0">
              <w:rPr>
                <w:rFonts w:cs="Arial"/>
                <w:color w:val="000000"/>
                <w:sz w:val="16"/>
                <w:szCs w:val="16"/>
              </w:rPr>
              <w:t>o</w:t>
            </w:r>
            <w:r>
              <w:rPr>
                <w:rFonts w:cs="Arial"/>
                <w:color w:val="000000"/>
                <w:sz w:val="16"/>
                <w:szCs w:val="16"/>
              </w:rPr>
              <w:t>:  (i)</w:t>
            </w:r>
            <w:r w:rsidRPr="004A65B0">
              <w:rPr>
                <w:rFonts w:cs="Arial"/>
                <w:color w:val="000000"/>
                <w:sz w:val="16"/>
                <w:szCs w:val="16"/>
              </w:rPr>
              <w:t xml:space="preserve"> provide an opportunity for an updat</w:t>
            </w:r>
            <w:r>
              <w:rPr>
                <w:rFonts w:cs="Arial"/>
                <w:color w:val="000000"/>
                <w:sz w:val="16"/>
                <w:szCs w:val="16"/>
              </w:rPr>
              <w:t>e</w:t>
            </w:r>
            <w:r w:rsidRPr="004A65B0">
              <w:rPr>
                <w:rFonts w:cs="Arial"/>
                <w:color w:val="000000"/>
                <w:sz w:val="16"/>
                <w:szCs w:val="16"/>
              </w:rPr>
              <w:t xml:space="preserve"> of the Manual on Patents Examination for Central American Countries, Panama and the Dominican Republic</w:t>
            </w:r>
            <w:r>
              <w:rPr>
                <w:rFonts w:cs="Arial"/>
                <w:color w:val="000000"/>
                <w:sz w:val="16"/>
                <w:szCs w:val="16"/>
              </w:rPr>
              <w:t xml:space="preserve">;  (ii) </w:t>
            </w:r>
            <w:r w:rsidRPr="004A65B0">
              <w:rPr>
                <w:rFonts w:cs="Arial"/>
                <w:color w:val="000000"/>
                <w:sz w:val="16"/>
                <w:szCs w:val="16"/>
              </w:rPr>
              <w:t xml:space="preserve">propose measures conducive to future use of the Manual </w:t>
            </w:r>
            <w:r>
              <w:rPr>
                <w:rFonts w:cs="Arial"/>
                <w:color w:val="000000"/>
                <w:sz w:val="16"/>
                <w:szCs w:val="16"/>
              </w:rPr>
              <w:t xml:space="preserve">in </w:t>
            </w:r>
            <w:r w:rsidRPr="004A65B0">
              <w:rPr>
                <w:rFonts w:cs="Arial"/>
                <w:color w:val="000000"/>
                <w:sz w:val="16"/>
                <w:szCs w:val="16"/>
              </w:rPr>
              <w:t>examination processes</w:t>
            </w:r>
            <w:r>
              <w:rPr>
                <w:rFonts w:cs="Arial"/>
                <w:color w:val="000000"/>
                <w:sz w:val="16"/>
                <w:szCs w:val="16"/>
              </w:rPr>
              <w:t>;  and (iii)</w:t>
            </w:r>
            <w:r w:rsidRPr="004A65B0">
              <w:rPr>
                <w:rFonts w:cs="Arial"/>
                <w:color w:val="000000"/>
                <w:sz w:val="16"/>
                <w:szCs w:val="16"/>
              </w:rPr>
              <w:t xml:space="preserve"> </w:t>
            </w:r>
            <w:r>
              <w:t xml:space="preserve"> </w:t>
            </w:r>
            <w:r w:rsidRPr="00E70517">
              <w:rPr>
                <w:rFonts w:cs="Arial"/>
                <w:color w:val="000000"/>
                <w:sz w:val="16"/>
                <w:szCs w:val="16"/>
              </w:rPr>
              <w:t>establish measures to strengthen cooperation mechanisms with a view to achieving consensus in order to maintain the relevance of the  Manual moving forward.</w:t>
            </w:r>
          </w:p>
        </w:tc>
      </w:tr>
      <w:tr w:rsidR="008355F0" w:rsidRPr="004A65B0" w:rsidTr="00E92F85">
        <w:trPr>
          <w:cantSplit/>
        </w:trPr>
        <w:tc>
          <w:tcPr>
            <w:tcW w:w="2070" w:type="dxa"/>
            <w:gridSpan w:val="2"/>
            <w:tcBorders>
              <w:top w:val="nil"/>
            </w:tcBorders>
          </w:tcPr>
          <w:p w:rsidR="008355F0" w:rsidRPr="004A65B0" w:rsidRDefault="008355F0" w:rsidP="003867F8">
            <w:pPr>
              <w:autoSpaceDE w:val="0"/>
              <w:autoSpaceDN w:val="0"/>
              <w:adjustRightInd w:val="0"/>
              <w:spacing w:before="60" w:after="60"/>
              <w:rPr>
                <w:rFonts w:cs="Arial"/>
                <w:color w:val="000000"/>
                <w:sz w:val="16"/>
                <w:szCs w:val="16"/>
              </w:rPr>
            </w:pPr>
            <w:r>
              <w:rPr>
                <w:rFonts w:cs="Arial"/>
                <w:color w:val="000000"/>
                <w:sz w:val="16"/>
                <w:szCs w:val="16"/>
              </w:rPr>
              <w:t>Ibero-American IP Program (IBEPI)</w:t>
            </w:r>
          </w:p>
        </w:tc>
        <w:tc>
          <w:tcPr>
            <w:tcW w:w="1170" w:type="dxa"/>
            <w:gridSpan w:val="3"/>
            <w:tcBorders>
              <w:top w:val="nil"/>
            </w:tcBorders>
          </w:tcPr>
          <w:p w:rsidR="008355F0" w:rsidRPr="004A65B0" w:rsidRDefault="008355F0" w:rsidP="003867F8">
            <w:pPr>
              <w:autoSpaceDE w:val="0"/>
              <w:autoSpaceDN w:val="0"/>
              <w:adjustRightInd w:val="0"/>
              <w:spacing w:before="60" w:after="60"/>
              <w:rPr>
                <w:rFonts w:cs="Arial"/>
                <w:color w:val="000000"/>
                <w:sz w:val="16"/>
                <w:szCs w:val="16"/>
              </w:rPr>
            </w:pPr>
            <w:r>
              <w:rPr>
                <w:rFonts w:cs="Arial"/>
                <w:color w:val="000000"/>
                <w:sz w:val="16"/>
                <w:szCs w:val="16"/>
              </w:rPr>
              <w:t>January to December, 2015</w:t>
            </w:r>
          </w:p>
        </w:tc>
        <w:tc>
          <w:tcPr>
            <w:tcW w:w="1862" w:type="dxa"/>
            <w:gridSpan w:val="2"/>
            <w:tcBorders>
              <w:top w:val="nil"/>
            </w:tcBorders>
          </w:tcPr>
          <w:p w:rsidR="008355F0" w:rsidRPr="004A65B0" w:rsidRDefault="008355F0" w:rsidP="003867F8">
            <w:pPr>
              <w:autoSpaceDE w:val="0"/>
              <w:autoSpaceDN w:val="0"/>
              <w:adjustRightInd w:val="0"/>
              <w:spacing w:before="60" w:after="60"/>
              <w:rPr>
                <w:rFonts w:cs="Arial"/>
                <w:color w:val="000000"/>
                <w:sz w:val="16"/>
                <w:szCs w:val="16"/>
              </w:rPr>
            </w:pPr>
            <w:r w:rsidRPr="004A65B0">
              <w:rPr>
                <w:rFonts w:cs="Arial"/>
                <w:color w:val="000000"/>
                <w:sz w:val="16"/>
                <w:szCs w:val="16"/>
              </w:rPr>
              <w:t>All Ibero- American countries</w:t>
            </w:r>
          </w:p>
        </w:tc>
        <w:tc>
          <w:tcPr>
            <w:tcW w:w="4396" w:type="dxa"/>
            <w:gridSpan w:val="3"/>
            <w:tcBorders>
              <w:top w:val="nil"/>
            </w:tcBorders>
          </w:tcPr>
          <w:p w:rsidR="008355F0" w:rsidRPr="004A65B0" w:rsidRDefault="008355F0" w:rsidP="003867F8">
            <w:pPr>
              <w:autoSpaceDE w:val="0"/>
              <w:autoSpaceDN w:val="0"/>
              <w:adjustRightInd w:val="0"/>
              <w:spacing w:before="60" w:after="60"/>
              <w:rPr>
                <w:rFonts w:cs="Arial"/>
                <w:color w:val="000000"/>
                <w:sz w:val="16"/>
                <w:szCs w:val="16"/>
              </w:rPr>
            </w:pPr>
            <w:r>
              <w:rPr>
                <w:rFonts w:cs="Arial"/>
                <w:color w:val="000000"/>
                <w:sz w:val="16"/>
                <w:szCs w:val="16"/>
              </w:rPr>
              <w:t>T</w:t>
            </w:r>
            <w:r w:rsidRPr="004A65B0">
              <w:rPr>
                <w:rFonts w:cs="Arial"/>
                <w:color w:val="000000"/>
                <w:sz w:val="16"/>
                <w:szCs w:val="16"/>
              </w:rPr>
              <w:t xml:space="preserve">o promote the social and economic development in the region </w:t>
            </w:r>
            <w:r>
              <w:rPr>
                <w:rFonts w:cs="Arial"/>
                <w:color w:val="000000"/>
                <w:sz w:val="16"/>
                <w:szCs w:val="16"/>
              </w:rPr>
              <w:t>in</w:t>
            </w:r>
            <w:r w:rsidRPr="004A65B0">
              <w:rPr>
                <w:rFonts w:cs="Arial"/>
                <w:color w:val="000000"/>
                <w:sz w:val="16"/>
                <w:szCs w:val="16"/>
              </w:rPr>
              <w:t xml:space="preserve"> the framework of the Summit of Heads of States and Governments from Ibero</w:t>
            </w:r>
            <w:r>
              <w:rPr>
                <w:rFonts w:cs="Arial"/>
                <w:color w:val="000000"/>
                <w:sz w:val="16"/>
                <w:szCs w:val="16"/>
              </w:rPr>
              <w:t>-A</w:t>
            </w:r>
            <w:r w:rsidRPr="004A65B0">
              <w:rPr>
                <w:rFonts w:cs="Arial"/>
                <w:color w:val="000000"/>
                <w:sz w:val="16"/>
                <w:szCs w:val="16"/>
              </w:rPr>
              <w:t>merican countries.</w:t>
            </w:r>
          </w:p>
        </w:tc>
      </w:tr>
      <w:tr w:rsidR="008355F0" w:rsidRPr="004A65B0" w:rsidTr="00E92F85">
        <w:trPr>
          <w:cantSplit/>
        </w:trPr>
        <w:tc>
          <w:tcPr>
            <w:tcW w:w="2070" w:type="dxa"/>
            <w:gridSpan w:val="2"/>
            <w:tcBorders>
              <w:bottom w:val="single" w:sz="4" w:space="0" w:color="auto"/>
            </w:tcBorders>
          </w:tcPr>
          <w:p w:rsidR="008355F0" w:rsidRPr="004A65B0" w:rsidRDefault="008355F0" w:rsidP="003867F8">
            <w:pPr>
              <w:autoSpaceDE w:val="0"/>
              <w:autoSpaceDN w:val="0"/>
              <w:adjustRightInd w:val="0"/>
              <w:spacing w:before="60" w:after="60"/>
              <w:rPr>
                <w:rFonts w:cs="Arial"/>
                <w:color w:val="000000"/>
                <w:sz w:val="16"/>
                <w:szCs w:val="16"/>
              </w:rPr>
            </w:pPr>
            <w:r>
              <w:rPr>
                <w:rFonts w:cs="Arial"/>
                <w:color w:val="000000"/>
                <w:sz w:val="16"/>
                <w:szCs w:val="16"/>
              </w:rPr>
              <w:t xml:space="preserve">Meeting of the </w:t>
            </w:r>
            <w:r w:rsidRPr="004A65B0">
              <w:rPr>
                <w:rFonts w:cs="Arial"/>
                <w:color w:val="000000"/>
                <w:sz w:val="16"/>
                <w:szCs w:val="16"/>
              </w:rPr>
              <w:t>Inter</w:t>
            </w:r>
            <w:r>
              <w:rPr>
                <w:rFonts w:cs="Arial"/>
                <w:color w:val="000000"/>
                <w:sz w:val="16"/>
                <w:szCs w:val="16"/>
              </w:rPr>
              <w:t>g</w:t>
            </w:r>
            <w:r w:rsidRPr="004A65B0">
              <w:rPr>
                <w:rFonts w:cs="Arial"/>
                <w:color w:val="000000"/>
                <w:sz w:val="16"/>
                <w:szCs w:val="16"/>
              </w:rPr>
              <w:t xml:space="preserve">overnmental Committee of the IBEPI Program </w:t>
            </w:r>
          </w:p>
        </w:tc>
        <w:tc>
          <w:tcPr>
            <w:tcW w:w="1170" w:type="dxa"/>
            <w:gridSpan w:val="3"/>
            <w:tcBorders>
              <w:bottom w:val="single" w:sz="4" w:space="0" w:color="auto"/>
            </w:tcBorders>
          </w:tcPr>
          <w:p w:rsidR="008355F0" w:rsidRPr="004A65B0" w:rsidRDefault="008355F0" w:rsidP="003867F8">
            <w:pPr>
              <w:autoSpaceDE w:val="0"/>
              <w:autoSpaceDN w:val="0"/>
              <w:adjustRightInd w:val="0"/>
              <w:spacing w:before="60" w:after="60"/>
              <w:rPr>
                <w:rFonts w:cs="Arial"/>
                <w:color w:val="000000"/>
                <w:sz w:val="16"/>
                <w:szCs w:val="16"/>
              </w:rPr>
            </w:pPr>
            <w:r w:rsidRPr="004A65B0">
              <w:rPr>
                <w:rFonts w:cs="Arial"/>
                <w:color w:val="000000"/>
                <w:sz w:val="16"/>
                <w:szCs w:val="16"/>
              </w:rPr>
              <w:t xml:space="preserve">October 1 </w:t>
            </w:r>
            <w:r>
              <w:rPr>
                <w:rFonts w:cs="Arial"/>
                <w:color w:val="000000"/>
                <w:sz w:val="16"/>
                <w:szCs w:val="16"/>
              </w:rPr>
              <w:t>to</w:t>
            </w:r>
            <w:r w:rsidRPr="004A65B0">
              <w:rPr>
                <w:rFonts w:cs="Arial"/>
                <w:color w:val="000000"/>
                <w:sz w:val="16"/>
                <w:szCs w:val="16"/>
              </w:rPr>
              <w:t xml:space="preserve"> 2, 2015</w:t>
            </w:r>
          </w:p>
        </w:tc>
        <w:tc>
          <w:tcPr>
            <w:tcW w:w="1862" w:type="dxa"/>
            <w:gridSpan w:val="2"/>
            <w:tcBorders>
              <w:bottom w:val="single" w:sz="4" w:space="0" w:color="auto"/>
            </w:tcBorders>
          </w:tcPr>
          <w:p w:rsidR="008355F0" w:rsidRPr="004A65B0" w:rsidRDefault="008355F0" w:rsidP="003867F8">
            <w:pPr>
              <w:autoSpaceDE w:val="0"/>
              <w:autoSpaceDN w:val="0"/>
              <w:adjustRightInd w:val="0"/>
              <w:spacing w:before="60" w:after="60"/>
              <w:rPr>
                <w:rFonts w:cs="Arial"/>
                <w:color w:val="000000"/>
                <w:sz w:val="16"/>
                <w:szCs w:val="16"/>
              </w:rPr>
            </w:pPr>
            <w:r w:rsidRPr="00C41507">
              <w:rPr>
                <w:rFonts w:cs="Arial"/>
                <w:color w:val="000000"/>
                <w:sz w:val="16"/>
                <w:szCs w:val="16"/>
              </w:rPr>
              <w:t>Spain</w:t>
            </w:r>
            <w:r>
              <w:rPr>
                <w:rFonts w:cs="Arial"/>
                <w:color w:val="000000"/>
                <w:sz w:val="16"/>
                <w:szCs w:val="16"/>
              </w:rPr>
              <w:t>/</w:t>
            </w:r>
            <w:r w:rsidRPr="00C41507">
              <w:rPr>
                <w:rFonts w:cs="Arial"/>
                <w:color w:val="000000"/>
                <w:sz w:val="16"/>
                <w:szCs w:val="16"/>
              </w:rPr>
              <w:t xml:space="preserve"> </w:t>
            </w:r>
            <w:r w:rsidRPr="004A65B0">
              <w:rPr>
                <w:rFonts w:cs="Arial"/>
                <w:color w:val="000000"/>
                <w:sz w:val="16"/>
                <w:szCs w:val="16"/>
              </w:rPr>
              <w:t>All Ibero</w:t>
            </w:r>
            <w:r>
              <w:rPr>
                <w:rFonts w:cs="Arial"/>
                <w:color w:val="000000"/>
                <w:sz w:val="16"/>
                <w:szCs w:val="16"/>
              </w:rPr>
              <w:t>-A</w:t>
            </w:r>
            <w:r w:rsidRPr="004A65B0">
              <w:rPr>
                <w:rFonts w:cs="Arial"/>
                <w:color w:val="000000"/>
                <w:sz w:val="16"/>
                <w:szCs w:val="16"/>
              </w:rPr>
              <w:t>merican countries</w:t>
            </w:r>
          </w:p>
        </w:tc>
        <w:tc>
          <w:tcPr>
            <w:tcW w:w="4396" w:type="dxa"/>
            <w:gridSpan w:val="3"/>
            <w:tcBorders>
              <w:bottom w:val="single" w:sz="4" w:space="0" w:color="auto"/>
            </w:tcBorders>
          </w:tcPr>
          <w:p w:rsidR="008355F0" w:rsidRPr="004A65B0" w:rsidRDefault="008355F0" w:rsidP="003867F8">
            <w:pPr>
              <w:autoSpaceDE w:val="0"/>
              <w:autoSpaceDN w:val="0"/>
              <w:adjustRightInd w:val="0"/>
              <w:spacing w:before="60" w:after="60"/>
              <w:rPr>
                <w:rFonts w:cs="Arial"/>
                <w:color w:val="000000"/>
                <w:sz w:val="16"/>
                <w:szCs w:val="16"/>
              </w:rPr>
            </w:pPr>
            <w:r>
              <w:rPr>
                <w:rFonts w:cs="Arial"/>
                <w:color w:val="000000"/>
                <w:sz w:val="16"/>
                <w:szCs w:val="16"/>
              </w:rPr>
              <w:t>To facilitate the organization of the m</w:t>
            </w:r>
            <w:r w:rsidRPr="004A65B0">
              <w:rPr>
                <w:rFonts w:cs="Arial"/>
                <w:color w:val="000000"/>
                <w:sz w:val="16"/>
                <w:szCs w:val="16"/>
              </w:rPr>
              <w:t>eeting of the Inter</w:t>
            </w:r>
            <w:r>
              <w:rPr>
                <w:rFonts w:cs="Arial"/>
                <w:color w:val="000000"/>
                <w:sz w:val="16"/>
                <w:szCs w:val="16"/>
              </w:rPr>
              <w:t>g</w:t>
            </w:r>
            <w:r w:rsidRPr="004A65B0">
              <w:rPr>
                <w:rFonts w:cs="Arial"/>
                <w:color w:val="000000"/>
                <w:sz w:val="16"/>
                <w:szCs w:val="16"/>
              </w:rPr>
              <w:t xml:space="preserve">overnmental Committee of the IBEPI Program, </w:t>
            </w:r>
            <w:r>
              <w:rPr>
                <w:rFonts w:cs="Arial"/>
                <w:color w:val="000000"/>
                <w:sz w:val="16"/>
                <w:szCs w:val="16"/>
              </w:rPr>
              <w:t>which was co-organized with</w:t>
            </w:r>
            <w:r w:rsidRPr="004A65B0">
              <w:rPr>
                <w:rFonts w:cs="Arial"/>
                <w:color w:val="000000"/>
                <w:sz w:val="16"/>
                <w:szCs w:val="16"/>
              </w:rPr>
              <w:t xml:space="preserve"> the Secretariat of IBEPI</w:t>
            </w:r>
            <w:r>
              <w:rPr>
                <w:rFonts w:cs="Arial"/>
                <w:color w:val="000000"/>
                <w:sz w:val="16"/>
                <w:szCs w:val="16"/>
              </w:rPr>
              <w:t>.</w:t>
            </w:r>
            <w:r w:rsidRPr="004A65B0">
              <w:rPr>
                <w:rFonts w:cs="Arial"/>
                <w:color w:val="000000"/>
                <w:sz w:val="16"/>
                <w:szCs w:val="16"/>
              </w:rPr>
              <w:t xml:space="preserve">   </w:t>
            </w:r>
          </w:p>
        </w:tc>
      </w:tr>
      <w:tr w:rsidR="008355F0" w:rsidRPr="004A65B0" w:rsidTr="00E92F85">
        <w:trPr>
          <w:cantSplit/>
        </w:trPr>
        <w:tc>
          <w:tcPr>
            <w:tcW w:w="9498" w:type="dxa"/>
            <w:gridSpan w:val="10"/>
            <w:tcBorders>
              <w:top w:val="single" w:sz="4" w:space="0" w:color="auto"/>
              <w:bottom w:val="single" w:sz="4" w:space="0" w:color="auto"/>
            </w:tcBorders>
            <w:shd w:val="clear" w:color="auto" w:fill="C6D9F1"/>
            <w:vAlign w:val="center"/>
          </w:tcPr>
          <w:p w:rsidR="008355F0" w:rsidRPr="004A65B0" w:rsidRDefault="008355F0" w:rsidP="003867F8">
            <w:pPr>
              <w:keepNext/>
              <w:keepLines/>
              <w:tabs>
                <w:tab w:val="left" w:pos="1740"/>
              </w:tabs>
              <w:spacing w:before="120" w:after="120"/>
              <w:ind w:left="1740" w:hanging="1740"/>
              <w:rPr>
                <w:rFonts w:cs="Arial"/>
                <w:b/>
                <w:bCs/>
                <w:sz w:val="16"/>
                <w:szCs w:val="16"/>
              </w:rPr>
            </w:pPr>
            <w:r w:rsidRPr="004A65B0">
              <w:rPr>
                <w:rFonts w:cs="Arial"/>
                <w:b/>
                <w:bCs/>
                <w:color w:val="000000"/>
                <w:sz w:val="16"/>
                <w:szCs w:val="16"/>
              </w:rPr>
              <w:t>RESULT</w:t>
            </w:r>
            <w:r w:rsidRPr="004A65B0">
              <w:rPr>
                <w:rFonts w:cs="Arial"/>
                <w:b/>
                <w:bCs/>
                <w:sz w:val="16"/>
                <w:szCs w:val="16"/>
              </w:rPr>
              <w:t>:</w:t>
            </w:r>
            <w:r w:rsidRPr="004A65B0">
              <w:rPr>
                <w:rFonts w:cs="Arial"/>
                <w:b/>
                <w:bCs/>
                <w:sz w:val="16"/>
                <w:szCs w:val="16"/>
              </w:rPr>
              <w:tab/>
            </w:r>
            <w:r w:rsidRPr="004A65B0">
              <w:rPr>
                <w:rFonts w:cs="Arial"/>
                <w:bCs/>
                <w:color w:val="000000"/>
                <w:sz w:val="16"/>
                <w:szCs w:val="16"/>
              </w:rPr>
              <w:t>IV.4. Enhanced technical and knowledge infrastructure for IP Offices and other IP institutions leading to better services (cheaper, faster, higher quality) to their stakeholders</w:t>
            </w:r>
          </w:p>
        </w:tc>
      </w:tr>
      <w:tr w:rsidR="008355F0" w:rsidRPr="004A65B0" w:rsidTr="00E92F85">
        <w:trPr>
          <w:cantSplit/>
        </w:trPr>
        <w:tc>
          <w:tcPr>
            <w:tcW w:w="1980" w:type="dxa"/>
            <w:tcBorders>
              <w:top w:val="single" w:sz="4" w:space="0" w:color="auto"/>
            </w:tcBorders>
            <w:vAlign w:val="center"/>
          </w:tcPr>
          <w:p w:rsidR="008355F0" w:rsidRPr="004A65B0" w:rsidRDefault="008355F0" w:rsidP="003867F8">
            <w:pPr>
              <w:keepNext/>
              <w:keepLines/>
              <w:spacing w:before="60" w:after="60"/>
              <w:rPr>
                <w:rFonts w:cs="Arial"/>
                <w:b/>
                <w:bCs/>
                <w:sz w:val="16"/>
                <w:szCs w:val="16"/>
              </w:rPr>
            </w:pPr>
            <w:r w:rsidRPr="004A65B0">
              <w:rPr>
                <w:rFonts w:cs="Arial"/>
                <w:b/>
                <w:bCs/>
                <w:sz w:val="16"/>
                <w:szCs w:val="16"/>
              </w:rPr>
              <w:t>Activity</w:t>
            </w:r>
          </w:p>
        </w:tc>
        <w:tc>
          <w:tcPr>
            <w:tcW w:w="1260" w:type="dxa"/>
            <w:gridSpan w:val="4"/>
            <w:tcBorders>
              <w:top w:val="single" w:sz="4" w:space="0" w:color="auto"/>
            </w:tcBorders>
            <w:shd w:val="clear" w:color="auto" w:fill="auto"/>
            <w:tcMar>
              <w:top w:w="110" w:type="dxa"/>
            </w:tcMar>
            <w:vAlign w:val="center"/>
          </w:tcPr>
          <w:p w:rsidR="008355F0" w:rsidRPr="004A65B0" w:rsidRDefault="008355F0" w:rsidP="003867F8">
            <w:pPr>
              <w:keepNext/>
              <w:keepLines/>
              <w:spacing w:before="60" w:after="60"/>
              <w:rPr>
                <w:rFonts w:cs="Arial"/>
                <w:sz w:val="16"/>
                <w:szCs w:val="16"/>
              </w:rPr>
            </w:pPr>
            <w:r w:rsidRPr="004A65B0">
              <w:rPr>
                <w:rFonts w:cs="Arial"/>
                <w:b/>
                <w:bCs/>
                <w:sz w:val="16"/>
                <w:szCs w:val="16"/>
              </w:rPr>
              <w:t>Date</w:t>
            </w:r>
          </w:p>
        </w:tc>
        <w:tc>
          <w:tcPr>
            <w:tcW w:w="1862" w:type="dxa"/>
            <w:gridSpan w:val="2"/>
            <w:tcBorders>
              <w:top w:val="single" w:sz="4" w:space="0" w:color="auto"/>
            </w:tcBorders>
            <w:shd w:val="clear" w:color="auto" w:fill="auto"/>
            <w:tcMar>
              <w:top w:w="110" w:type="dxa"/>
            </w:tcMar>
            <w:vAlign w:val="center"/>
          </w:tcPr>
          <w:p w:rsidR="008355F0" w:rsidRPr="004A65B0" w:rsidRDefault="008355F0" w:rsidP="003867F8">
            <w:pPr>
              <w:keepNext/>
              <w:keepLines/>
              <w:spacing w:before="60" w:after="60"/>
              <w:rPr>
                <w:rFonts w:cs="Arial"/>
                <w:sz w:val="16"/>
                <w:szCs w:val="16"/>
              </w:rPr>
            </w:pPr>
            <w:r w:rsidRPr="004A65B0">
              <w:rPr>
                <w:rFonts w:cs="Arial"/>
                <w:b/>
                <w:bCs/>
                <w:sz w:val="16"/>
                <w:szCs w:val="16"/>
              </w:rPr>
              <w:t>Host Country/</w:t>
            </w:r>
            <w:r w:rsidRPr="004A65B0">
              <w:rPr>
                <w:rFonts w:cs="Arial"/>
                <w:b/>
                <w:bCs/>
                <w:sz w:val="16"/>
                <w:szCs w:val="16"/>
              </w:rPr>
              <w:br/>
              <w:t>Recipients</w:t>
            </w:r>
          </w:p>
        </w:tc>
        <w:tc>
          <w:tcPr>
            <w:tcW w:w="4396" w:type="dxa"/>
            <w:gridSpan w:val="3"/>
            <w:tcBorders>
              <w:top w:val="single" w:sz="4" w:space="0" w:color="auto"/>
            </w:tcBorders>
            <w:shd w:val="clear" w:color="auto" w:fill="FFFFFF"/>
            <w:tcMar>
              <w:top w:w="110" w:type="dxa"/>
            </w:tcMar>
            <w:vAlign w:val="center"/>
          </w:tcPr>
          <w:p w:rsidR="008355F0" w:rsidRPr="004A65B0" w:rsidRDefault="008355F0" w:rsidP="003867F8">
            <w:pPr>
              <w:keepNext/>
              <w:keepLines/>
              <w:spacing w:before="60" w:after="60"/>
              <w:rPr>
                <w:rFonts w:cs="Arial"/>
                <w:sz w:val="16"/>
                <w:szCs w:val="16"/>
              </w:rPr>
            </w:pPr>
            <w:r w:rsidRPr="004A65B0">
              <w:rPr>
                <w:rFonts w:cs="Arial"/>
                <w:b/>
                <w:bCs/>
                <w:sz w:val="16"/>
                <w:szCs w:val="16"/>
              </w:rPr>
              <w:t>Purpose(s)/Description(s)</w:t>
            </w:r>
          </w:p>
        </w:tc>
      </w:tr>
      <w:tr w:rsidR="008355F0" w:rsidRPr="004A65B0" w:rsidTr="00E92F85">
        <w:trPr>
          <w:cantSplit/>
          <w:trHeight w:val="1517"/>
        </w:trPr>
        <w:tc>
          <w:tcPr>
            <w:tcW w:w="1980" w:type="dxa"/>
          </w:tcPr>
          <w:p w:rsidR="008355F0" w:rsidRPr="004A65B0" w:rsidRDefault="008355F0" w:rsidP="003867F8">
            <w:pPr>
              <w:keepNext/>
              <w:keepLines/>
              <w:autoSpaceDE w:val="0"/>
              <w:autoSpaceDN w:val="0"/>
              <w:adjustRightInd w:val="0"/>
              <w:spacing w:before="60" w:after="60"/>
              <w:rPr>
                <w:rFonts w:cs="Arial"/>
                <w:color w:val="000000"/>
                <w:sz w:val="16"/>
                <w:szCs w:val="16"/>
              </w:rPr>
            </w:pPr>
            <w:r w:rsidRPr="004A65B0">
              <w:rPr>
                <w:rFonts w:cs="Arial"/>
                <w:color w:val="000000"/>
                <w:sz w:val="16"/>
                <w:szCs w:val="16"/>
              </w:rPr>
              <w:t xml:space="preserve">VI Regional Seminar on the Management of </w:t>
            </w:r>
          </w:p>
          <w:p w:rsidR="008355F0" w:rsidRPr="00FE196C" w:rsidRDefault="008355F0" w:rsidP="003867F8">
            <w:pPr>
              <w:keepNext/>
              <w:keepLines/>
              <w:autoSpaceDE w:val="0"/>
              <w:autoSpaceDN w:val="0"/>
              <w:adjustRightInd w:val="0"/>
              <w:spacing w:before="60" w:after="60"/>
              <w:rPr>
                <w:rFonts w:cs="Arial"/>
                <w:sz w:val="16"/>
                <w:szCs w:val="16"/>
              </w:rPr>
            </w:pPr>
            <w:r w:rsidRPr="004A65B0">
              <w:rPr>
                <w:rFonts w:cs="Arial"/>
                <w:color w:val="000000"/>
                <w:sz w:val="16"/>
                <w:szCs w:val="16"/>
              </w:rPr>
              <w:t>National Industrial Property Offices:  the Role of Work-Sharing Programs</w:t>
            </w:r>
          </w:p>
        </w:tc>
        <w:tc>
          <w:tcPr>
            <w:tcW w:w="1260" w:type="dxa"/>
            <w:gridSpan w:val="4"/>
          </w:tcPr>
          <w:p w:rsidR="008355F0" w:rsidRPr="004A65B0" w:rsidRDefault="008355F0" w:rsidP="003867F8">
            <w:pPr>
              <w:keepNext/>
              <w:keepLines/>
              <w:autoSpaceDE w:val="0"/>
              <w:autoSpaceDN w:val="0"/>
              <w:adjustRightInd w:val="0"/>
              <w:spacing w:before="60" w:after="60"/>
              <w:rPr>
                <w:rFonts w:cs="Arial"/>
                <w:color w:val="000000"/>
                <w:sz w:val="16"/>
                <w:szCs w:val="16"/>
                <w:lang w:eastAsia="ja-JP"/>
              </w:rPr>
            </w:pPr>
            <w:r w:rsidRPr="004A65B0">
              <w:rPr>
                <w:rFonts w:cs="Arial"/>
                <w:color w:val="000000"/>
                <w:sz w:val="16"/>
                <w:szCs w:val="16"/>
                <w:lang w:eastAsia="ja-JP"/>
              </w:rPr>
              <w:t>March 16 to 19, 2015</w:t>
            </w:r>
          </w:p>
        </w:tc>
        <w:tc>
          <w:tcPr>
            <w:tcW w:w="1862" w:type="dxa"/>
            <w:gridSpan w:val="2"/>
          </w:tcPr>
          <w:p w:rsidR="008355F0" w:rsidRPr="004A65B0" w:rsidRDefault="008355F0" w:rsidP="003867F8">
            <w:pPr>
              <w:keepNext/>
              <w:keepLines/>
              <w:autoSpaceDE w:val="0"/>
              <w:autoSpaceDN w:val="0"/>
              <w:adjustRightInd w:val="0"/>
              <w:spacing w:before="60" w:after="60"/>
              <w:rPr>
                <w:rFonts w:cs="Arial"/>
                <w:color w:val="000000"/>
                <w:sz w:val="16"/>
                <w:szCs w:val="16"/>
                <w:lang w:eastAsia="ja-JP"/>
              </w:rPr>
            </w:pPr>
            <w:r w:rsidRPr="00C41507">
              <w:rPr>
                <w:rFonts w:cs="Arial"/>
                <w:color w:val="000000"/>
                <w:sz w:val="16"/>
                <w:szCs w:val="16"/>
                <w:lang w:eastAsia="ja-JP"/>
              </w:rPr>
              <w:t xml:space="preserve">Colombia </w:t>
            </w:r>
            <w:r>
              <w:rPr>
                <w:rFonts w:cs="Arial"/>
                <w:color w:val="000000"/>
                <w:sz w:val="16"/>
                <w:szCs w:val="16"/>
                <w:lang w:eastAsia="ja-JP"/>
              </w:rPr>
              <w:t xml:space="preserve">/ </w:t>
            </w:r>
            <w:r w:rsidRPr="004A65B0">
              <w:rPr>
                <w:rFonts w:cs="Arial"/>
                <w:color w:val="000000"/>
                <w:sz w:val="16"/>
                <w:szCs w:val="16"/>
                <w:lang w:eastAsia="ja-JP"/>
              </w:rPr>
              <w:t>All Latin</w:t>
            </w:r>
            <w:r>
              <w:rPr>
                <w:rFonts w:cs="Arial"/>
                <w:color w:val="000000"/>
                <w:sz w:val="16"/>
                <w:szCs w:val="16"/>
                <w:lang w:eastAsia="ja-JP"/>
              </w:rPr>
              <w:t>-A</w:t>
            </w:r>
            <w:r w:rsidRPr="004A65B0">
              <w:rPr>
                <w:rFonts w:cs="Arial"/>
                <w:color w:val="000000"/>
                <w:sz w:val="16"/>
                <w:szCs w:val="16"/>
                <w:lang w:eastAsia="ja-JP"/>
              </w:rPr>
              <w:t>merican countries</w:t>
            </w:r>
          </w:p>
        </w:tc>
        <w:tc>
          <w:tcPr>
            <w:tcW w:w="4396" w:type="dxa"/>
            <w:gridSpan w:val="3"/>
          </w:tcPr>
          <w:p w:rsidR="008355F0" w:rsidRPr="004A65B0" w:rsidRDefault="008355F0" w:rsidP="003867F8">
            <w:pPr>
              <w:keepNext/>
              <w:keepLines/>
              <w:autoSpaceDE w:val="0"/>
              <w:autoSpaceDN w:val="0"/>
              <w:adjustRightInd w:val="0"/>
              <w:spacing w:before="60" w:after="60"/>
              <w:rPr>
                <w:rFonts w:cs="Arial"/>
                <w:color w:val="000000"/>
                <w:sz w:val="16"/>
                <w:szCs w:val="16"/>
                <w:lang w:eastAsia="ja-JP"/>
              </w:rPr>
            </w:pPr>
            <w:r w:rsidRPr="0074787A">
              <w:rPr>
                <w:rFonts w:cs="Arial"/>
                <w:color w:val="000000"/>
                <w:sz w:val="16"/>
                <w:szCs w:val="16"/>
                <w:lang w:eastAsia="ja-JP"/>
              </w:rPr>
              <w:t xml:space="preserve">To: (i) provide participants with updated information, practical training </w:t>
            </w:r>
            <w:r>
              <w:rPr>
                <w:rFonts w:cs="Arial"/>
                <w:color w:val="000000"/>
                <w:sz w:val="16"/>
                <w:szCs w:val="16"/>
                <w:lang w:eastAsia="ja-JP"/>
              </w:rPr>
              <w:t>and useful tools for the management of national Offices</w:t>
            </w:r>
            <w:r w:rsidRPr="0074787A">
              <w:rPr>
                <w:rFonts w:cs="Arial"/>
                <w:color w:val="000000"/>
                <w:sz w:val="16"/>
                <w:szCs w:val="16"/>
                <w:lang w:eastAsia="ja-JP"/>
              </w:rPr>
              <w:t xml:space="preserve">; (ii) provide a </w:t>
            </w:r>
            <w:r>
              <w:rPr>
                <w:rFonts w:cs="Arial"/>
                <w:color w:val="000000"/>
                <w:sz w:val="16"/>
                <w:szCs w:val="16"/>
                <w:lang w:eastAsia="ja-JP"/>
              </w:rPr>
              <w:t>forum for the sharing of good practices</w:t>
            </w:r>
            <w:r w:rsidRPr="0074787A">
              <w:rPr>
                <w:rFonts w:cs="Arial"/>
                <w:color w:val="000000"/>
                <w:sz w:val="16"/>
                <w:szCs w:val="16"/>
                <w:lang w:eastAsia="ja-JP"/>
              </w:rPr>
              <w:t>; and (iii) to develop an important sense of ser</w:t>
            </w:r>
            <w:r>
              <w:rPr>
                <w:rFonts w:cs="Arial"/>
                <w:color w:val="000000"/>
                <w:sz w:val="16"/>
                <w:szCs w:val="16"/>
                <w:lang w:eastAsia="ja-JP"/>
              </w:rPr>
              <w:t xml:space="preserve">vice-oriented management among </w:t>
            </w:r>
            <w:r w:rsidRPr="0074787A">
              <w:rPr>
                <w:rFonts w:cs="Arial"/>
                <w:color w:val="000000"/>
                <w:sz w:val="16"/>
                <w:szCs w:val="16"/>
                <w:lang w:eastAsia="ja-JP"/>
              </w:rPr>
              <w:t>administrators in IP Offices from Latin American countries.</w:t>
            </w:r>
          </w:p>
        </w:tc>
      </w:tr>
      <w:tr w:rsidR="008355F0" w:rsidRPr="004A65B0" w:rsidTr="00E92F85">
        <w:trPr>
          <w:cantSplit/>
          <w:trHeight w:val="1656"/>
        </w:trPr>
        <w:tc>
          <w:tcPr>
            <w:tcW w:w="1980" w:type="dxa"/>
          </w:tcPr>
          <w:p w:rsidR="008355F0" w:rsidRPr="004A65B0" w:rsidRDefault="008355F0" w:rsidP="003867F8">
            <w:pPr>
              <w:autoSpaceDE w:val="0"/>
              <w:autoSpaceDN w:val="0"/>
              <w:adjustRightInd w:val="0"/>
              <w:spacing w:before="60" w:after="60"/>
              <w:rPr>
                <w:rFonts w:cs="Arial"/>
                <w:color w:val="000000"/>
                <w:sz w:val="16"/>
                <w:szCs w:val="16"/>
              </w:rPr>
            </w:pPr>
            <w:r w:rsidRPr="004A65B0">
              <w:rPr>
                <w:rFonts w:cs="Arial"/>
                <w:color w:val="000000"/>
                <w:sz w:val="16"/>
                <w:szCs w:val="16"/>
              </w:rPr>
              <w:t>LATIPAT PROJECT                       X</w:t>
            </w:r>
            <w:r>
              <w:rPr>
                <w:rFonts w:cs="Arial"/>
                <w:color w:val="000000"/>
                <w:sz w:val="16"/>
                <w:szCs w:val="16"/>
              </w:rPr>
              <w:t>I</w:t>
            </w:r>
            <w:r w:rsidRPr="004A65B0">
              <w:rPr>
                <w:rFonts w:cs="Arial"/>
                <w:color w:val="000000"/>
                <w:sz w:val="16"/>
                <w:szCs w:val="16"/>
              </w:rPr>
              <w:t xml:space="preserve"> Regional Meeting WIPO/OEPM/EPO of IT Specialist and Management of Patent Information of Industrial Property Offices in Latin America , </w:t>
            </w:r>
          </w:p>
        </w:tc>
        <w:tc>
          <w:tcPr>
            <w:tcW w:w="1260" w:type="dxa"/>
            <w:gridSpan w:val="4"/>
          </w:tcPr>
          <w:p w:rsidR="008355F0" w:rsidRPr="004A65B0" w:rsidRDefault="008355F0" w:rsidP="003867F8">
            <w:pPr>
              <w:autoSpaceDE w:val="0"/>
              <w:autoSpaceDN w:val="0"/>
              <w:adjustRightInd w:val="0"/>
              <w:spacing w:before="60" w:after="60"/>
              <w:rPr>
                <w:rFonts w:cs="Arial"/>
                <w:color w:val="000000"/>
                <w:sz w:val="16"/>
                <w:szCs w:val="16"/>
              </w:rPr>
            </w:pPr>
            <w:r w:rsidRPr="004A65B0">
              <w:rPr>
                <w:rFonts w:cs="Arial"/>
                <w:color w:val="000000"/>
                <w:sz w:val="16"/>
                <w:szCs w:val="16"/>
              </w:rPr>
              <w:t>November 4 to 6 2016</w:t>
            </w:r>
          </w:p>
        </w:tc>
        <w:tc>
          <w:tcPr>
            <w:tcW w:w="1862" w:type="dxa"/>
            <w:gridSpan w:val="2"/>
          </w:tcPr>
          <w:p w:rsidR="008355F0" w:rsidRPr="004A65B0" w:rsidRDefault="008355F0" w:rsidP="003867F8">
            <w:pPr>
              <w:autoSpaceDE w:val="0"/>
              <w:autoSpaceDN w:val="0"/>
              <w:adjustRightInd w:val="0"/>
              <w:spacing w:before="60" w:after="60"/>
              <w:rPr>
                <w:rFonts w:cs="Arial"/>
                <w:color w:val="000000"/>
                <w:sz w:val="16"/>
                <w:szCs w:val="16"/>
              </w:rPr>
            </w:pPr>
            <w:r>
              <w:rPr>
                <w:rFonts w:cs="Arial"/>
                <w:color w:val="000000"/>
                <w:sz w:val="16"/>
                <w:szCs w:val="16"/>
              </w:rPr>
              <w:t>Mexico/</w:t>
            </w:r>
            <w:r w:rsidRPr="004A65B0">
              <w:rPr>
                <w:rFonts w:cs="Arial"/>
                <w:color w:val="000000"/>
                <w:sz w:val="16"/>
                <w:szCs w:val="16"/>
              </w:rPr>
              <w:t>All Latin</w:t>
            </w:r>
            <w:r>
              <w:rPr>
                <w:rFonts w:cs="Arial"/>
                <w:color w:val="000000"/>
                <w:sz w:val="16"/>
                <w:szCs w:val="16"/>
              </w:rPr>
              <w:t xml:space="preserve"> A</w:t>
            </w:r>
            <w:r w:rsidRPr="004A65B0">
              <w:rPr>
                <w:rFonts w:cs="Arial"/>
                <w:color w:val="000000"/>
                <w:sz w:val="16"/>
                <w:szCs w:val="16"/>
              </w:rPr>
              <w:t>merican countries</w:t>
            </w:r>
          </w:p>
        </w:tc>
        <w:tc>
          <w:tcPr>
            <w:tcW w:w="4396" w:type="dxa"/>
            <w:gridSpan w:val="3"/>
          </w:tcPr>
          <w:p w:rsidR="008355F0" w:rsidRPr="004A65B0" w:rsidRDefault="008355F0" w:rsidP="003867F8">
            <w:pPr>
              <w:autoSpaceDE w:val="0"/>
              <w:autoSpaceDN w:val="0"/>
              <w:adjustRightInd w:val="0"/>
              <w:spacing w:before="60" w:after="60"/>
              <w:rPr>
                <w:rFonts w:cs="Arial"/>
                <w:color w:val="000000"/>
                <w:sz w:val="16"/>
                <w:szCs w:val="16"/>
              </w:rPr>
            </w:pPr>
            <w:r w:rsidRPr="0074787A">
              <w:rPr>
                <w:rFonts w:cs="Arial"/>
                <w:color w:val="000000"/>
                <w:sz w:val="16"/>
                <w:szCs w:val="16"/>
              </w:rPr>
              <w:t xml:space="preserve">The LATIPAT Project was created to develop and provide a database with patent information from all Latin American countries. </w:t>
            </w:r>
            <w:r>
              <w:rPr>
                <w:rFonts w:cs="Arial"/>
                <w:color w:val="000000"/>
                <w:sz w:val="16"/>
                <w:szCs w:val="16"/>
              </w:rPr>
              <w:t xml:space="preserve"> </w:t>
            </w:r>
            <w:r w:rsidRPr="0074787A">
              <w:rPr>
                <w:rFonts w:cs="Arial"/>
                <w:color w:val="000000"/>
                <w:sz w:val="16"/>
                <w:szCs w:val="16"/>
              </w:rPr>
              <w:t>Currently, the LATIPAT Project is an example, not only for the Latin American countries, but also for the different international fora related to patent information, commitment, perseverance an</w:t>
            </w:r>
            <w:r>
              <w:rPr>
                <w:rFonts w:cs="Arial"/>
                <w:color w:val="000000"/>
                <w:sz w:val="16"/>
                <w:szCs w:val="16"/>
              </w:rPr>
              <w:t>d teamwork.  Over a period of 15</w:t>
            </w:r>
            <w:r w:rsidRPr="0074787A">
              <w:rPr>
                <w:rFonts w:cs="Arial"/>
                <w:color w:val="000000"/>
                <w:sz w:val="16"/>
                <w:szCs w:val="16"/>
              </w:rPr>
              <w:t xml:space="preserve"> years, the database has amassed more than 2 million documents and receives an average of 14,000 hits per month.</w:t>
            </w:r>
          </w:p>
        </w:tc>
      </w:tr>
    </w:tbl>
    <w:p w:rsidR="008355F0" w:rsidRPr="00A61AD8" w:rsidRDefault="008355F0" w:rsidP="003867F8">
      <w:pPr>
        <w:keepNext/>
        <w:keepLines/>
        <w:rPr>
          <w:rFonts w:cs="Arial"/>
          <w:b/>
          <w:szCs w:val="16"/>
        </w:rPr>
      </w:pPr>
    </w:p>
    <w:p w:rsidR="008355F0" w:rsidRPr="00A61AD8" w:rsidRDefault="008355F0" w:rsidP="003867F8">
      <w:pPr>
        <w:keepNext/>
        <w:keepLines/>
        <w:rPr>
          <w:rFonts w:cs="Arial"/>
          <w:b/>
          <w:szCs w:val="16"/>
        </w:rPr>
      </w:pPr>
    </w:p>
    <w:p w:rsidR="008355F0" w:rsidRPr="00944A34" w:rsidRDefault="008355F0" w:rsidP="003867F8">
      <w:pPr>
        <w:rPr>
          <w:rFonts w:cs="Arial"/>
          <w:b/>
          <w:bCs/>
          <w:color w:val="000000"/>
          <w:szCs w:val="20"/>
        </w:rPr>
      </w:pPr>
      <w:r w:rsidRPr="00944A34">
        <w:rPr>
          <w:rFonts w:cs="Arial"/>
          <w:b/>
          <w:szCs w:val="20"/>
        </w:rPr>
        <w:t xml:space="preserve">SPAIN </w:t>
      </w:r>
      <w:r w:rsidRPr="00944A34">
        <w:rPr>
          <w:rFonts w:cs="Arial"/>
          <w:b/>
          <w:bCs/>
          <w:color w:val="000000"/>
          <w:szCs w:val="20"/>
        </w:rPr>
        <w:t>Donor Contributions and Expenditure in 2015</w:t>
      </w:r>
    </w:p>
    <w:p w:rsidR="008355F0" w:rsidRPr="004A65B0" w:rsidRDefault="008355F0" w:rsidP="003867F8">
      <w:pPr>
        <w:keepNext/>
        <w:keepLines/>
        <w:rPr>
          <w:rFonts w:cs="Arial"/>
          <w:b/>
          <w:sz w:val="16"/>
          <w:szCs w:val="16"/>
        </w:rPr>
      </w:pPr>
    </w:p>
    <w:tbl>
      <w:tblPr>
        <w:tblW w:w="9508" w:type="dxa"/>
        <w:tblInd w:w="98" w:type="dxa"/>
        <w:tblLook w:val="04A0" w:firstRow="1" w:lastRow="0" w:firstColumn="1" w:lastColumn="0" w:noHBand="0" w:noVBand="1"/>
      </w:tblPr>
      <w:tblGrid>
        <w:gridCol w:w="2040"/>
        <w:gridCol w:w="1640"/>
        <w:gridCol w:w="1860"/>
        <w:gridCol w:w="1780"/>
        <w:gridCol w:w="2188"/>
      </w:tblGrid>
      <w:tr w:rsidR="008355F0" w:rsidTr="00E92F85">
        <w:trPr>
          <w:trHeight w:val="553"/>
        </w:trPr>
        <w:tc>
          <w:tcPr>
            <w:tcW w:w="2040" w:type="dxa"/>
            <w:tcBorders>
              <w:top w:val="single" w:sz="8" w:space="0" w:color="auto"/>
              <w:left w:val="single" w:sz="8" w:space="0" w:color="auto"/>
              <w:bottom w:val="nil"/>
              <w:right w:val="single" w:sz="8" w:space="0" w:color="auto"/>
            </w:tcBorders>
            <w:shd w:val="clear" w:color="000000" w:fill="C5D9F1"/>
            <w:vAlign w:val="center"/>
            <w:hideMark/>
          </w:tcPr>
          <w:p w:rsidR="008355F0" w:rsidRDefault="008355F0">
            <w:pPr>
              <w:jc w:val="center"/>
              <w:rPr>
                <w:rFonts w:cs="Arial"/>
                <w:b/>
                <w:bCs/>
                <w:color w:val="000000"/>
                <w:sz w:val="16"/>
                <w:szCs w:val="16"/>
              </w:rPr>
            </w:pPr>
            <w:r>
              <w:rPr>
                <w:rFonts w:cs="Arial"/>
                <w:b/>
                <w:bCs/>
                <w:color w:val="000000"/>
                <w:sz w:val="16"/>
                <w:szCs w:val="16"/>
              </w:rPr>
              <w:t>Balance as of December 31, 2014</w:t>
            </w:r>
          </w:p>
        </w:tc>
        <w:tc>
          <w:tcPr>
            <w:tcW w:w="1640" w:type="dxa"/>
            <w:tcBorders>
              <w:top w:val="single" w:sz="8" w:space="0" w:color="auto"/>
              <w:left w:val="nil"/>
              <w:bottom w:val="nil"/>
              <w:right w:val="single" w:sz="8" w:space="0" w:color="auto"/>
            </w:tcBorders>
            <w:shd w:val="clear" w:color="000000" w:fill="C5D9F1"/>
            <w:vAlign w:val="center"/>
            <w:hideMark/>
          </w:tcPr>
          <w:p w:rsidR="008355F0" w:rsidRDefault="008355F0">
            <w:pPr>
              <w:jc w:val="center"/>
              <w:rPr>
                <w:rFonts w:cs="Arial"/>
                <w:b/>
                <w:bCs/>
                <w:color w:val="000000"/>
                <w:sz w:val="16"/>
                <w:szCs w:val="16"/>
              </w:rPr>
            </w:pPr>
            <w:r>
              <w:rPr>
                <w:rFonts w:cs="Arial"/>
                <w:b/>
                <w:bCs/>
                <w:color w:val="000000"/>
                <w:sz w:val="16"/>
                <w:szCs w:val="16"/>
              </w:rPr>
              <w:t>Income 2015</w:t>
            </w:r>
          </w:p>
        </w:tc>
        <w:tc>
          <w:tcPr>
            <w:tcW w:w="1860" w:type="dxa"/>
            <w:tcBorders>
              <w:top w:val="single" w:sz="8" w:space="0" w:color="auto"/>
              <w:left w:val="nil"/>
              <w:bottom w:val="nil"/>
              <w:right w:val="single" w:sz="8" w:space="0" w:color="auto"/>
            </w:tcBorders>
            <w:shd w:val="clear" w:color="000000" w:fill="C5D9F1"/>
            <w:vAlign w:val="center"/>
            <w:hideMark/>
          </w:tcPr>
          <w:p w:rsidR="008355F0" w:rsidRDefault="008355F0">
            <w:pPr>
              <w:jc w:val="center"/>
              <w:rPr>
                <w:rFonts w:cs="Arial"/>
                <w:b/>
                <w:bCs/>
                <w:color w:val="000000"/>
                <w:sz w:val="16"/>
                <w:szCs w:val="16"/>
              </w:rPr>
            </w:pPr>
            <w:r>
              <w:rPr>
                <w:rFonts w:cs="Arial"/>
                <w:b/>
                <w:bCs/>
                <w:color w:val="000000"/>
                <w:sz w:val="16"/>
                <w:szCs w:val="16"/>
              </w:rPr>
              <w:t>Expenditure 2015</w:t>
            </w:r>
          </w:p>
        </w:tc>
        <w:tc>
          <w:tcPr>
            <w:tcW w:w="1780" w:type="dxa"/>
            <w:tcBorders>
              <w:top w:val="single" w:sz="8" w:space="0" w:color="auto"/>
              <w:left w:val="nil"/>
              <w:bottom w:val="nil"/>
              <w:right w:val="single" w:sz="8" w:space="0" w:color="auto"/>
            </w:tcBorders>
            <w:shd w:val="clear" w:color="000000" w:fill="C5D9F1"/>
            <w:vAlign w:val="center"/>
            <w:hideMark/>
          </w:tcPr>
          <w:p w:rsidR="008355F0" w:rsidRDefault="008355F0">
            <w:pPr>
              <w:jc w:val="center"/>
              <w:rPr>
                <w:rFonts w:cs="Arial"/>
                <w:b/>
                <w:bCs/>
                <w:color w:val="000000"/>
                <w:sz w:val="16"/>
                <w:szCs w:val="16"/>
              </w:rPr>
            </w:pPr>
            <w:r>
              <w:rPr>
                <w:rFonts w:cs="Arial"/>
                <w:b/>
                <w:bCs/>
                <w:color w:val="000000"/>
                <w:sz w:val="16"/>
                <w:szCs w:val="16"/>
              </w:rPr>
              <w:t>Reimbursements</w:t>
            </w:r>
          </w:p>
        </w:tc>
        <w:tc>
          <w:tcPr>
            <w:tcW w:w="2188" w:type="dxa"/>
            <w:tcBorders>
              <w:top w:val="single" w:sz="8" w:space="0" w:color="auto"/>
              <w:left w:val="nil"/>
              <w:bottom w:val="nil"/>
              <w:right w:val="single" w:sz="8" w:space="0" w:color="auto"/>
            </w:tcBorders>
            <w:shd w:val="clear" w:color="000000" w:fill="C5D9F1"/>
            <w:vAlign w:val="center"/>
            <w:hideMark/>
          </w:tcPr>
          <w:p w:rsidR="008355F0" w:rsidRDefault="008355F0" w:rsidP="003867F8">
            <w:pPr>
              <w:jc w:val="center"/>
              <w:rPr>
                <w:rFonts w:cs="Arial"/>
                <w:b/>
                <w:bCs/>
                <w:color w:val="000000"/>
                <w:sz w:val="16"/>
                <w:szCs w:val="16"/>
              </w:rPr>
            </w:pPr>
            <w:r>
              <w:rPr>
                <w:rFonts w:cs="Arial"/>
                <w:b/>
                <w:bCs/>
                <w:color w:val="000000"/>
                <w:sz w:val="16"/>
                <w:szCs w:val="16"/>
              </w:rPr>
              <w:t>Balance as of December 31, 2015</w:t>
            </w:r>
          </w:p>
        </w:tc>
      </w:tr>
      <w:tr w:rsidR="008355F0" w:rsidTr="00E92F85">
        <w:trPr>
          <w:trHeight w:val="463"/>
        </w:trPr>
        <w:tc>
          <w:tcPr>
            <w:tcW w:w="20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55F0" w:rsidRDefault="008355F0">
            <w:pPr>
              <w:jc w:val="center"/>
              <w:rPr>
                <w:rFonts w:cs="Arial"/>
                <w:color w:val="000000"/>
                <w:sz w:val="16"/>
                <w:szCs w:val="16"/>
              </w:rPr>
            </w:pPr>
            <w:r>
              <w:rPr>
                <w:rFonts w:cs="Arial"/>
                <w:color w:val="000000"/>
                <w:sz w:val="16"/>
                <w:szCs w:val="16"/>
              </w:rPr>
              <w:t>120,153</w:t>
            </w:r>
          </w:p>
        </w:tc>
        <w:tc>
          <w:tcPr>
            <w:tcW w:w="1640" w:type="dxa"/>
            <w:tcBorders>
              <w:top w:val="single" w:sz="4" w:space="0" w:color="auto"/>
              <w:left w:val="nil"/>
              <w:bottom w:val="single" w:sz="4" w:space="0" w:color="auto"/>
              <w:right w:val="single" w:sz="4" w:space="0" w:color="auto"/>
            </w:tcBorders>
            <w:shd w:val="clear" w:color="auto" w:fill="auto"/>
            <w:vAlign w:val="center"/>
            <w:hideMark/>
          </w:tcPr>
          <w:p w:rsidR="008355F0" w:rsidRDefault="008355F0">
            <w:pPr>
              <w:jc w:val="center"/>
              <w:rPr>
                <w:rFonts w:cs="Arial"/>
                <w:color w:val="000000"/>
                <w:sz w:val="16"/>
                <w:szCs w:val="16"/>
              </w:rPr>
            </w:pPr>
            <w:r>
              <w:rPr>
                <w:rFonts w:cs="Arial"/>
                <w:color w:val="000000"/>
                <w:sz w:val="16"/>
                <w:szCs w:val="16"/>
              </w:rPr>
              <w:t>169,146</w:t>
            </w:r>
          </w:p>
        </w:tc>
        <w:tc>
          <w:tcPr>
            <w:tcW w:w="1860" w:type="dxa"/>
            <w:tcBorders>
              <w:top w:val="single" w:sz="4" w:space="0" w:color="auto"/>
              <w:left w:val="nil"/>
              <w:bottom w:val="single" w:sz="4" w:space="0" w:color="auto"/>
              <w:right w:val="single" w:sz="4" w:space="0" w:color="auto"/>
            </w:tcBorders>
            <w:shd w:val="clear" w:color="auto" w:fill="auto"/>
            <w:vAlign w:val="center"/>
            <w:hideMark/>
          </w:tcPr>
          <w:p w:rsidR="008355F0" w:rsidRDefault="008355F0">
            <w:pPr>
              <w:jc w:val="center"/>
              <w:rPr>
                <w:rFonts w:cs="Arial"/>
                <w:color w:val="000000"/>
                <w:sz w:val="16"/>
                <w:szCs w:val="16"/>
              </w:rPr>
            </w:pPr>
            <w:r>
              <w:rPr>
                <w:rFonts w:cs="Arial"/>
                <w:color w:val="000000"/>
                <w:sz w:val="16"/>
                <w:szCs w:val="16"/>
              </w:rPr>
              <w:t>182,078</w:t>
            </w:r>
          </w:p>
        </w:tc>
        <w:tc>
          <w:tcPr>
            <w:tcW w:w="1780" w:type="dxa"/>
            <w:tcBorders>
              <w:top w:val="single" w:sz="4" w:space="0" w:color="auto"/>
              <w:left w:val="nil"/>
              <w:bottom w:val="single" w:sz="4" w:space="0" w:color="auto"/>
              <w:right w:val="single" w:sz="4" w:space="0" w:color="auto"/>
            </w:tcBorders>
            <w:shd w:val="clear" w:color="auto" w:fill="auto"/>
            <w:noWrap/>
            <w:vAlign w:val="center"/>
            <w:hideMark/>
          </w:tcPr>
          <w:p w:rsidR="008355F0" w:rsidRPr="00B17586" w:rsidRDefault="008355F0">
            <w:pPr>
              <w:jc w:val="center"/>
              <w:rPr>
                <w:rFonts w:cs="Arial"/>
                <w:color w:val="000000"/>
                <w:sz w:val="16"/>
                <w:szCs w:val="16"/>
              </w:rPr>
            </w:pPr>
            <w:r>
              <w:rPr>
                <w:rFonts w:cs="Arial"/>
                <w:color w:val="000000"/>
                <w:sz w:val="16"/>
                <w:szCs w:val="16"/>
              </w:rPr>
              <w:t>-</w:t>
            </w:r>
          </w:p>
        </w:tc>
        <w:tc>
          <w:tcPr>
            <w:tcW w:w="2188" w:type="dxa"/>
            <w:tcBorders>
              <w:top w:val="single" w:sz="4" w:space="0" w:color="auto"/>
              <w:left w:val="nil"/>
              <w:bottom w:val="single" w:sz="4" w:space="0" w:color="auto"/>
              <w:right w:val="single" w:sz="4" w:space="0" w:color="auto"/>
            </w:tcBorders>
            <w:shd w:val="clear" w:color="auto" w:fill="auto"/>
            <w:vAlign w:val="center"/>
            <w:hideMark/>
          </w:tcPr>
          <w:p w:rsidR="008355F0" w:rsidRDefault="008355F0">
            <w:pPr>
              <w:jc w:val="center"/>
              <w:rPr>
                <w:rFonts w:cs="Arial"/>
                <w:color w:val="000000"/>
                <w:sz w:val="16"/>
                <w:szCs w:val="16"/>
              </w:rPr>
            </w:pPr>
            <w:r>
              <w:rPr>
                <w:rFonts w:cs="Arial"/>
                <w:color w:val="000000"/>
                <w:sz w:val="16"/>
                <w:szCs w:val="16"/>
              </w:rPr>
              <w:t>107,221</w:t>
            </w:r>
          </w:p>
        </w:tc>
      </w:tr>
    </w:tbl>
    <w:p w:rsidR="008355F0" w:rsidRDefault="008355F0"/>
    <w:p w:rsidR="008355F0" w:rsidRDefault="008355F0"/>
    <w:p w:rsidR="008355F0" w:rsidRDefault="008355F0" w:rsidP="00E92F85">
      <w:pPr>
        <w:keepNext/>
        <w:keepLines/>
        <w:rPr>
          <w:rFonts w:cs="Arial"/>
          <w:b/>
          <w:szCs w:val="20"/>
        </w:rPr>
      </w:pPr>
      <w:r>
        <w:rPr>
          <w:rFonts w:cs="Arial"/>
          <w:b/>
          <w:szCs w:val="20"/>
        </w:rPr>
        <w:t>URUGUAY</w:t>
      </w:r>
    </w:p>
    <w:p w:rsidR="008355F0" w:rsidRDefault="008355F0" w:rsidP="00E92F85">
      <w:pPr>
        <w:keepNext/>
        <w:keepLines/>
        <w:rPr>
          <w:rFonts w:cs="Arial"/>
          <w:b/>
          <w:szCs w:val="20"/>
        </w:rPr>
      </w:pPr>
    </w:p>
    <w:tbl>
      <w:tblPr>
        <w:tblW w:w="9498"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981"/>
        <w:gridCol w:w="1260"/>
        <w:gridCol w:w="1862"/>
        <w:gridCol w:w="4395"/>
      </w:tblGrid>
      <w:tr w:rsidR="008355F0" w:rsidRPr="00CB548E" w:rsidTr="00E92F85">
        <w:trPr>
          <w:cantSplit/>
        </w:trPr>
        <w:tc>
          <w:tcPr>
            <w:tcW w:w="9498" w:type="dxa"/>
            <w:gridSpan w:val="4"/>
            <w:tcBorders>
              <w:top w:val="single" w:sz="4" w:space="0" w:color="auto"/>
              <w:bottom w:val="single" w:sz="4" w:space="0" w:color="auto"/>
            </w:tcBorders>
            <w:shd w:val="clear" w:color="auto" w:fill="C6D9F1"/>
            <w:vAlign w:val="center"/>
          </w:tcPr>
          <w:p w:rsidR="008355F0" w:rsidRPr="00CB548E" w:rsidRDefault="008355F0" w:rsidP="00E92F85">
            <w:pPr>
              <w:keepNext/>
              <w:keepLines/>
              <w:tabs>
                <w:tab w:val="left" w:pos="1740"/>
              </w:tabs>
              <w:spacing w:before="120" w:after="120"/>
              <w:ind w:left="1740" w:hanging="1740"/>
              <w:rPr>
                <w:rFonts w:cs="Arial"/>
                <w:b/>
                <w:bCs/>
                <w:sz w:val="16"/>
                <w:szCs w:val="16"/>
              </w:rPr>
            </w:pPr>
            <w:r w:rsidRPr="00CB548E">
              <w:rPr>
                <w:rFonts w:cs="Arial"/>
                <w:b/>
                <w:bCs/>
                <w:color w:val="000000"/>
                <w:sz w:val="16"/>
                <w:szCs w:val="16"/>
              </w:rPr>
              <w:t>RESULT</w:t>
            </w:r>
            <w:r w:rsidRPr="00CB548E">
              <w:rPr>
                <w:rFonts w:cs="Arial"/>
                <w:b/>
                <w:bCs/>
                <w:sz w:val="16"/>
                <w:szCs w:val="16"/>
              </w:rPr>
              <w:t>:</w:t>
            </w:r>
            <w:r w:rsidRPr="00CB548E">
              <w:rPr>
                <w:rFonts w:cs="Arial"/>
                <w:b/>
                <w:bCs/>
                <w:sz w:val="16"/>
                <w:szCs w:val="16"/>
              </w:rPr>
              <w:tab/>
            </w:r>
            <w:r w:rsidRPr="008230D2">
              <w:rPr>
                <w:rFonts w:cs="Arial"/>
                <w:bCs/>
                <w:color w:val="000000"/>
                <w:sz w:val="16"/>
                <w:szCs w:val="16"/>
              </w:rPr>
              <w:t>III.2. Enhanced human resource capacities able to deal with the broad range of requirements for the effective use of IP for development in developing countries, LDCs and countries with economies in transition</w:t>
            </w:r>
          </w:p>
        </w:tc>
      </w:tr>
      <w:tr w:rsidR="008355F0" w:rsidRPr="00CB548E" w:rsidTr="00E92F85">
        <w:trPr>
          <w:cantSplit/>
          <w:trHeight w:val="440"/>
        </w:trPr>
        <w:tc>
          <w:tcPr>
            <w:tcW w:w="1981" w:type="dxa"/>
            <w:tcBorders>
              <w:top w:val="single" w:sz="4" w:space="0" w:color="auto"/>
            </w:tcBorders>
          </w:tcPr>
          <w:p w:rsidR="008355F0" w:rsidRPr="00033FB3" w:rsidRDefault="008355F0" w:rsidP="00E92F85">
            <w:pPr>
              <w:keepNext/>
              <w:keepLines/>
              <w:autoSpaceDE w:val="0"/>
              <w:autoSpaceDN w:val="0"/>
              <w:adjustRightInd w:val="0"/>
              <w:spacing w:before="60" w:after="60"/>
              <w:rPr>
                <w:rFonts w:cs="Arial"/>
                <w:b/>
                <w:color w:val="000000"/>
                <w:sz w:val="16"/>
                <w:szCs w:val="16"/>
              </w:rPr>
            </w:pPr>
            <w:r w:rsidRPr="00033FB3">
              <w:rPr>
                <w:rFonts w:cs="Arial"/>
                <w:b/>
                <w:color w:val="000000"/>
                <w:sz w:val="16"/>
                <w:szCs w:val="16"/>
              </w:rPr>
              <w:t>Activity</w:t>
            </w:r>
          </w:p>
        </w:tc>
        <w:tc>
          <w:tcPr>
            <w:tcW w:w="1260" w:type="dxa"/>
            <w:tcBorders>
              <w:top w:val="single" w:sz="4" w:space="0" w:color="auto"/>
            </w:tcBorders>
            <w:shd w:val="clear" w:color="auto" w:fill="auto"/>
            <w:tcMar>
              <w:top w:w="110" w:type="dxa"/>
            </w:tcMar>
          </w:tcPr>
          <w:p w:rsidR="008355F0" w:rsidRDefault="008355F0" w:rsidP="00E92F85">
            <w:pPr>
              <w:keepNext/>
              <w:keepLines/>
              <w:autoSpaceDE w:val="0"/>
              <w:autoSpaceDN w:val="0"/>
              <w:adjustRightInd w:val="0"/>
              <w:spacing w:before="60" w:after="60"/>
              <w:rPr>
                <w:rFonts w:cs="Arial"/>
                <w:b/>
                <w:color w:val="000000"/>
                <w:sz w:val="16"/>
                <w:szCs w:val="16"/>
              </w:rPr>
            </w:pPr>
            <w:r>
              <w:rPr>
                <w:rFonts w:cs="Arial"/>
                <w:b/>
                <w:color w:val="000000"/>
                <w:sz w:val="16"/>
                <w:szCs w:val="16"/>
              </w:rPr>
              <w:t>Date</w:t>
            </w:r>
          </w:p>
        </w:tc>
        <w:tc>
          <w:tcPr>
            <w:tcW w:w="1862" w:type="dxa"/>
            <w:tcBorders>
              <w:top w:val="single" w:sz="4" w:space="0" w:color="auto"/>
            </w:tcBorders>
            <w:shd w:val="clear" w:color="auto" w:fill="auto"/>
            <w:tcMar>
              <w:top w:w="110" w:type="dxa"/>
            </w:tcMar>
          </w:tcPr>
          <w:p w:rsidR="008355F0" w:rsidRPr="00033FB3" w:rsidRDefault="008355F0" w:rsidP="00E92F85">
            <w:pPr>
              <w:keepNext/>
              <w:keepLines/>
              <w:autoSpaceDE w:val="0"/>
              <w:autoSpaceDN w:val="0"/>
              <w:adjustRightInd w:val="0"/>
              <w:spacing w:before="60" w:after="60"/>
              <w:rPr>
                <w:rFonts w:cs="Arial"/>
                <w:b/>
                <w:color w:val="000000"/>
                <w:sz w:val="16"/>
                <w:szCs w:val="16"/>
              </w:rPr>
            </w:pPr>
            <w:r w:rsidRPr="004A65B0">
              <w:rPr>
                <w:rFonts w:cs="Arial"/>
                <w:b/>
                <w:bCs/>
                <w:sz w:val="16"/>
                <w:szCs w:val="16"/>
              </w:rPr>
              <w:t>Host Country/</w:t>
            </w:r>
            <w:r w:rsidRPr="004A65B0">
              <w:rPr>
                <w:rFonts w:cs="Arial"/>
                <w:b/>
                <w:bCs/>
                <w:sz w:val="16"/>
                <w:szCs w:val="16"/>
              </w:rPr>
              <w:br/>
              <w:t>Recipients</w:t>
            </w:r>
          </w:p>
        </w:tc>
        <w:tc>
          <w:tcPr>
            <w:tcW w:w="4395" w:type="dxa"/>
            <w:tcBorders>
              <w:top w:val="single" w:sz="4" w:space="0" w:color="auto"/>
            </w:tcBorders>
            <w:shd w:val="clear" w:color="auto" w:fill="FFFFFF"/>
            <w:tcMar>
              <w:top w:w="110" w:type="dxa"/>
            </w:tcMar>
          </w:tcPr>
          <w:p w:rsidR="008355F0" w:rsidRPr="00033FB3" w:rsidRDefault="008355F0" w:rsidP="00E92F85">
            <w:pPr>
              <w:keepNext/>
              <w:keepLines/>
              <w:autoSpaceDE w:val="0"/>
              <w:autoSpaceDN w:val="0"/>
              <w:adjustRightInd w:val="0"/>
              <w:spacing w:before="60" w:after="60"/>
              <w:rPr>
                <w:rFonts w:cs="Arial"/>
                <w:b/>
                <w:color w:val="000000"/>
                <w:sz w:val="16"/>
                <w:szCs w:val="16"/>
              </w:rPr>
            </w:pPr>
            <w:r w:rsidRPr="00033FB3">
              <w:rPr>
                <w:rFonts w:cs="Arial"/>
                <w:b/>
                <w:color w:val="000000"/>
                <w:sz w:val="16"/>
                <w:szCs w:val="16"/>
              </w:rPr>
              <w:t>Purpose</w:t>
            </w:r>
            <w:r>
              <w:rPr>
                <w:rFonts w:cs="Arial"/>
                <w:b/>
                <w:color w:val="000000"/>
                <w:sz w:val="16"/>
                <w:szCs w:val="16"/>
              </w:rPr>
              <w:t>(s)</w:t>
            </w:r>
            <w:r w:rsidRPr="00033FB3">
              <w:rPr>
                <w:rFonts w:cs="Arial"/>
                <w:b/>
                <w:color w:val="000000"/>
                <w:sz w:val="16"/>
                <w:szCs w:val="16"/>
              </w:rPr>
              <w:t>/</w:t>
            </w:r>
            <w:r>
              <w:rPr>
                <w:rFonts w:cs="Arial"/>
                <w:b/>
                <w:color w:val="000000"/>
                <w:sz w:val="16"/>
                <w:szCs w:val="16"/>
              </w:rPr>
              <w:t>D</w:t>
            </w:r>
            <w:r w:rsidRPr="00033FB3">
              <w:rPr>
                <w:rFonts w:cs="Arial"/>
                <w:b/>
                <w:color w:val="000000"/>
                <w:sz w:val="16"/>
                <w:szCs w:val="16"/>
              </w:rPr>
              <w:t>escription</w:t>
            </w:r>
          </w:p>
        </w:tc>
      </w:tr>
      <w:tr w:rsidR="008355F0" w:rsidRPr="00262A74" w:rsidTr="00E92F85">
        <w:trPr>
          <w:cantSplit/>
        </w:trPr>
        <w:tc>
          <w:tcPr>
            <w:tcW w:w="1981" w:type="dxa"/>
          </w:tcPr>
          <w:p w:rsidR="008355F0" w:rsidRPr="00B058EA" w:rsidRDefault="008355F0" w:rsidP="003867F8">
            <w:pPr>
              <w:autoSpaceDE w:val="0"/>
              <w:autoSpaceDN w:val="0"/>
              <w:adjustRightInd w:val="0"/>
              <w:spacing w:before="60" w:after="60"/>
              <w:rPr>
                <w:rFonts w:cs="Arial"/>
                <w:color w:val="000000"/>
                <w:sz w:val="16"/>
                <w:szCs w:val="16"/>
              </w:rPr>
            </w:pPr>
            <w:r>
              <w:rPr>
                <w:rFonts w:cs="Arial"/>
                <w:color w:val="000000"/>
                <w:sz w:val="16"/>
                <w:szCs w:val="16"/>
              </w:rPr>
              <w:t>Provision of funding for an IP professional for a Master Program in Strategic Management in Information Technology (MSMIT), within the framework of the Ibero-American University Foundation (FUNIBER)</w:t>
            </w:r>
          </w:p>
        </w:tc>
        <w:tc>
          <w:tcPr>
            <w:tcW w:w="1260" w:type="dxa"/>
            <w:shd w:val="clear" w:color="auto" w:fill="auto"/>
            <w:tcMar>
              <w:top w:w="110" w:type="dxa"/>
            </w:tcMar>
          </w:tcPr>
          <w:p w:rsidR="008355F0" w:rsidRDefault="008355F0" w:rsidP="003867F8">
            <w:pPr>
              <w:autoSpaceDE w:val="0"/>
              <w:autoSpaceDN w:val="0"/>
              <w:adjustRightInd w:val="0"/>
              <w:spacing w:before="60" w:after="60"/>
              <w:rPr>
                <w:rFonts w:cs="Arial"/>
                <w:color w:val="000000"/>
                <w:sz w:val="16"/>
                <w:szCs w:val="16"/>
              </w:rPr>
            </w:pPr>
            <w:r>
              <w:rPr>
                <w:rFonts w:cs="Arial"/>
                <w:color w:val="000000"/>
                <w:sz w:val="16"/>
                <w:szCs w:val="16"/>
              </w:rPr>
              <w:t>January to December, 2015</w:t>
            </w:r>
          </w:p>
          <w:p w:rsidR="008355F0" w:rsidRPr="00B058EA" w:rsidRDefault="008355F0" w:rsidP="003867F8">
            <w:pPr>
              <w:autoSpaceDE w:val="0"/>
              <w:autoSpaceDN w:val="0"/>
              <w:adjustRightInd w:val="0"/>
              <w:spacing w:before="60" w:after="60"/>
              <w:rPr>
                <w:rFonts w:cs="Arial"/>
                <w:color w:val="000000"/>
                <w:sz w:val="16"/>
                <w:szCs w:val="16"/>
              </w:rPr>
            </w:pPr>
            <w:r>
              <w:rPr>
                <w:rFonts w:cs="Arial"/>
                <w:color w:val="000000"/>
                <w:sz w:val="16"/>
                <w:szCs w:val="16"/>
              </w:rPr>
              <w:t>(ongoing)</w:t>
            </w:r>
            <w:r>
              <w:rPr>
                <w:rStyle w:val="FootnoteReference"/>
                <w:rFonts w:cs="Arial"/>
                <w:color w:val="000000"/>
                <w:sz w:val="16"/>
                <w:szCs w:val="16"/>
              </w:rPr>
              <w:footnoteReference w:id="168"/>
            </w:r>
          </w:p>
        </w:tc>
        <w:tc>
          <w:tcPr>
            <w:tcW w:w="1862" w:type="dxa"/>
            <w:shd w:val="clear" w:color="auto" w:fill="auto"/>
            <w:tcMar>
              <w:top w:w="110" w:type="dxa"/>
            </w:tcMar>
          </w:tcPr>
          <w:p w:rsidR="008355F0" w:rsidRPr="00D5665A" w:rsidRDefault="008355F0" w:rsidP="003867F8">
            <w:pPr>
              <w:autoSpaceDE w:val="0"/>
              <w:autoSpaceDN w:val="0"/>
              <w:adjustRightInd w:val="0"/>
              <w:spacing w:before="60" w:after="60"/>
              <w:rPr>
                <w:rFonts w:cs="Arial"/>
                <w:color w:val="000000"/>
                <w:sz w:val="16"/>
                <w:szCs w:val="16"/>
                <w:lang w:val="es-ES_tradnl"/>
              </w:rPr>
            </w:pPr>
            <w:r>
              <w:rPr>
                <w:rFonts w:cs="Arial"/>
                <w:color w:val="000000"/>
                <w:sz w:val="16"/>
                <w:szCs w:val="16"/>
              </w:rPr>
              <w:t>Uruguay</w:t>
            </w:r>
            <w:r w:rsidRPr="00B20217" w:rsidDel="00D70E5A">
              <w:rPr>
                <w:rFonts w:cs="Arial"/>
                <w:color w:val="000000"/>
                <w:sz w:val="16"/>
                <w:szCs w:val="16"/>
              </w:rPr>
              <w:t xml:space="preserve"> </w:t>
            </w:r>
          </w:p>
        </w:tc>
        <w:tc>
          <w:tcPr>
            <w:tcW w:w="4395" w:type="dxa"/>
            <w:shd w:val="clear" w:color="auto" w:fill="FFFFFF"/>
            <w:tcMar>
              <w:top w:w="110" w:type="dxa"/>
            </w:tcMar>
          </w:tcPr>
          <w:p w:rsidR="008355F0" w:rsidRPr="00262A74" w:rsidRDefault="008355F0" w:rsidP="003867F8">
            <w:pPr>
              <w:autoSpaceDE w:val="0"/>
              <w:autoSpaceDN w:val="0"/>
              <w:adjustRightInd w:val="0"/>
              <w:spacing w:before="60" w:after="60"/>
              <w:rPr>
                <w:rFonts w:cs="Arial"/>
                <w:color w:val="000000"/>
                <w:sz w:val="16"/>
                <w:szCs w:val="16"/>
              </w:rPr>
            </w:pPr>
            <w:r>
              <w:rPr>
                <w:rFonts w:cs="Arial"/>
                <w:color w:val="000000"/>
                <w:sz w:val="16"/>
                <w:szCs w:val="16"/>
              </w:rPr>
              <w:t xml:space="preserve">To enhance the capacity of an IP professional with a focus on the role of information technology in the strategic management of business processes. </w:t>
            </w:r>
          </w:p>
        </w:tc>
      </w:tr>
      <w:tr w:rsidR="008355F0" w:rsidRPr="00CB548E" w:rsidTr="00E92F85">
        <w:trPr>
          <w:cantSplit/>
        </w:trPr>
        <w:tc>
          <w:tcPr>
            <w:tcW w:w="9498" w:type="dxa"/>
            <w:gridSpan w:val="4"/>
            <w:tcBorders>
              <w:top w:val="single" w:sz="4" w:space="0" w:color="auto"/>
              <w:bottom w:val="single" w:sz="4" w:space="0" w:color="auto"/>
            </w:tcBorders>
            <w:shd w:val="clear" w:color="auto" w:fill="C6D9F1"/>
            <w:vAlign w:val="center"/>
          </w:tcPr>
          <w:p w:rsidR="008355F0" w:rsidRPr="00CB548E" w:rsidRDefault="008355F0" w:rsidP="003867F8">
            <w:pPr>
              <w:keepNext/>
              <w:keepLines/>
              <w:tabs>
                <w:tab w:val="left" w:pos="1740"/>
              </w:tabs>
              <w:spacing w:before="120" w:after="120"/>
              <w:ind w:left="1740" w:hanging="1740"/>
              <w:rPr>
                <w:rFonts w:cs="Arial"/>
                <w:b/>
                <w:bCs/>
                <w:sz w:val="16"/>
                <w:szCs w:val="16"/>
              </w:rPr>
            </w:pPr>
            <w:r w:rsidRPr="00CB548E">
              <w:rPr>
                <w:rFonts w:cs="Arial"/>
                <w:b/>
                <w:bCs/>
                <w:color w:val="000000"/>
                <w:sz w:val="16"/>
                <w:szCs w:val="16"/>
              </w:rPr>
              <w:t>RESULT</w:t>
            </w:r>
            <w:r w:rsidRPr="00CB548E">
              <w:rPr>
                <w:rFonts w:cs="Arial"/>
                <w:b/>
                <w:bCs/>
                <w:sz w:val="16"/>
                <w:szCs w:val="16"/>
              </w:rPr>
              <w:t>:</w:t>
            </w:r>
            <w:r w:rsidRPr="00CB548E">
              <w:rPr>
                <w:rFonts w:cs="Arial"/>
                <w:b/>
                <w:bCs/>
                <w:sz w:val="16"/>
                <w:szCs w:val="16"/>
              </w:rPr>
              <w:tab/>
            </w:r>
            <w:r w:rsidRPr="008230D2">
              <w:rPr>
                <w:rFonts w:cs="Arial"/>
                <w:bCs/>
                <w:color w:val="000000"/>
                <w:sz w:val="16"/>
                <w:szCs w:val="16"/>
              </w:rPr>
              <w:t>III.4. Strengthened cooperation mechanisms and programs tailored to the needs of developing countries and LDCs</w:t>
            </w:r>
          </w:p>
        </w:tc>
      </w:tr>
      <w:tr w:rsidR="008355F0" w:rsidRPr="00CB548E" w:rsidTr="00E92F85">
        <w:trPr>
          <w:cantSplit/>
          <w:trHeight w:val="330"/>
        </w:trPr>
        <w:tc>
          <w:tcPr>
            <w:tcW w:w="1981" w:type="dxa"/>
            <w:tcBorders>
              <w:top w:val="single" w:sz="4" w:space="0" w:color="auto"/>
            </w:tcBorders>
            <w:vAlign w:val="center"/>
          </w:tcPr>
          <w:p w:rsidR="008355F0" w:rsidRPr="00CB548E" w:rsidRDefault="008355F0" w:rsidP="003867F8">
            <w:pPr>
              <w:keepNext/>
              <w:keepLines/>
              <w:spacing w:before="60" w:after="60"/>
              <w:rPr>
                <w:rFonts w:cs="Arial"/>
                <w:b/>
                <w:bCs/>
                <w:sz w:val="16"/>
                <w:szCs w:val="16"/>
              </w:rPr>
            </w:pPr>
            <w:r w:rsidRPr="00CB548E">
              <w:rPr>
                <w:rFonts w:cs="Arial"/>
                <w:b/>
                <w:bCs/>
                <w:sz w:val="16"/>
                <w:szCs w:val="16"/>
              </w:rPr>
              <w:t>Activity</w:t>
            </w:r>
          </w:p>
        </w:tc>
        <w:tc>
          <w:tcPr>
            <w:tcW w:w="1260" w:type="dxa"/>
            <w:tcBorders>
              <w:top w:val="single" w:sz="4" w:space="0" w:color="auto"/>
            </w:tcBorders>
            <w:shd w:val="clear" w:color="auto" w:fill="auto"/>
            <w:tcMar>
              <w:top w:w="110" w:type="dxa"/>
            </w:tcMar>
            <w:vAlign w:val="center"/>
          </w:tcPr>
          <w:p w:rsidR="008355F0" w:rsidRPr="00CB548E" w:rsidRDefault="008355F0" w:rsidP="003867F8">
            <w:pPr>
              <w:keepNext/>
              <w:keepLines/>
              <w:spacing w:before="60" w:after="60"/>
              <w:rPr>
                <w:rFonts w:cs="Arial"/>
                <w:sz w:val="16"/>
                <w:szCs w:val="16"/>
              </w:rPr>
            </w:pPr>
            <w:r w:rsidRPr="00CB548E">
              <w:rPr>
                <w:rFonts w:cs="Arial"/>
                <w:b/>
                <w:bCs/>
                <w:sz w:val="16"/>
                <w:szCs w:val="16"/>
              </w:rPr>
              <w:t>Date</w:t>
            </w:r>
          </w:p>
        </w:tc>
        <w:tc>
          <w:tcPr>
            <w:tcW w:w="1862" w:type="dxa"/>
            <w:tcBorders>
              <w:top w:val="single" w:sz="4" w:space="0" w:color="auto"/>
            </w:tcBorders>
            <w:shd w:val="clear" w:color="auto" w:fill="auto"/>
            <w:tcMar>
              <w:top w:w="110" w:type="dxa"/>
            </w:tcMar>
            <w:vAlign w:val="center"/>
          </w:tcPr>
          <w:p w:rsidR="008355F0" w:rsidRPr="00CB548E" w:rsidRDefault="008355F0" w:rsidP="003867F8">
            <w:pPr>
              <w:keepNext/>
              <w:keepLines/>
              <w:spacing w:before="60" w:after="60"/>
              <w:rPr>
                <w:rFonts w:cs="Arial"/>
                <w:sz w:val="16"/>
                <w:szCs w:val="16"/>
              </w:rPr>
            </w:pPr>
            <w:r w:rsidRPr="004A65B0">
              <w:rPr>
                <w:rFonts w:cs="Arial"/>
                <w:b/>
                <w:bCs/>
                <w:sz w:val="16"/>
                <w:szCs w:val="16"/>
              </w:rPr>
              <w:t>Host Country/</w:t>
            </w:r>
            <w:r w:rsidRPr="004A65B0">
              <w:rPr>
                <w:rFonts w:cs="Arial"/>
                <w:b/>
                <w:bCs/>
                <w:sz w:val="16"/>
                <w:szCs w:val="16"/>
              </w:rPr>
              <w:br/>
              <w:t>Recipients</w:t>
            </w:r>
          </w:p>
        </w:tc>
        <w:tc>
          <w:tcPr>
            <w:tcW w:w="4395" w:type="dxa"/>
            <w:tcBorders>
              <w:top w:val="single" w:sz="4" w:space="0" w:color="auto"/>
            </w:tcBorders>
            <w:shd w:val="clear" w:color="auto" w:fill="FFFFFF"/>
            <w:tcMar>
              <w:top w:w="110" w:type="dxa"/>
            </w:tcMar>
            <w:vAlign w:val="center"/>
          </w:tcPr>
          <w:p w:rsidR="008355F0" w:rsidRPr="00CB548E" w:rsidRDefault="008355F0" w:rsidP="003867F8">
            <w:pPr>
              <w:keepNext/>
              <w:keepLines/>
              <w:spacing w:before="60" w:after="60"/>
              <w:rPr>
                <w:rFonts w:cs="Arial"/>
                <w:sz w:val="16"/>
                <w:szCs w:val="16"/>
              </w:rPr>
            </w:pPr>
            <w:r w:rsidRPr="00CB548E">
              <w:rPr>
                <w:rFonts w:cs="Arial"/>
                <w:b/>
                <w:bCs/>
                <w:sz w:val="16"/>
                <w:szCs w:val="16"/>
              </w:rPr>
              <w:t>Purpose(s)/Description(s)</w:t>
            </w:r>
          </w:p>
        </w:tc>
      </w:tr>
      <w:tr w:rsidR="008355F0" w:rsidRPr="00CB548E" w:rsidTr="00E92F85">
        <w:trPr>
          <w:cantSplit/>
        </w:trPr>
        <w:tc>
          <w:tcPr>
            <w:tcW w:w="1981" w:type="dxa"/>
          </w:tcPr>
          <w:p w:rsidR="008355F0" w:rsidRPr="00033FB3" w:rsidRDefault="008355F0" w:rsidP="003867F8">
            <w:pPr>
              <w:autoSpaceDE w:val="0"/>
              <w:autoSpaceDN w:val="0"/>
              <w:adjustRightInd w:val="0"/>
              <w:spacing w:before="60" w:after="60"/>
              <w:rPr>
                <w:rFonts w:cs="Arial"/>
                <w:color w:val="000000"/>
                <w:sz w:val="16"/>
                <w:szCs w:val="16"/>
              </w:rPr>
            </w:pPr>
            <w:r>
              <w:rPr>
                <w:rFonts w:cs="Arial"/>
                <w:color w:val="000000"/>
                <w:sz w:val="16"/>
                <w:szCs w:val="16"/>
              </w:rPr>
              <w:t>Participation of government officials in the WIPO Assemblies</w:t>
            </w:r>
          </w:p>
        </w:tc>
        <w:tc>
          <w:tcPr>
            <w:tcW w:w="1260" w:type="dxa"/>
          </w:tcPr>
          <w:p w:rsidR="008355F0" w:rsidRPr="00033FB3" w:rsidRDefault="008355F0" w:rsidP="003867F8">
            <w:pPr>
              <w:autoSpaceDE w:val="0"/>
              <w:autoSpaceDN w:val="0"/>
              <w:adjustRightInd w:val="0"/>
              <w:spacing w:before="60" w:after="60"/>
              <w:rPr>
                <w:rFonts w:cs="Arial"/>
                <w:color w:val="000000"/>
                <w:sz w:val="16"/>
                <w:szCs w:val="16"/>
              </w:rPr>
            </w:pPr>
            <w:r>
              <w:rPr>
                <w:rFonts w:cs="Arial"/>
                <w:color w:val="000000"/>
                <w:sz w:val="16"/>
                <w:szCs w:val="16"/>
              </w:rPr>
              <w:t>January to December, 2015</w:t>
            </w:r>
          </w:p>
        </w:tc>
        <w:tc>
          <w:tcPr>
            <w:tcW w:w="1862" w:type="dxa"/>
          </w:tcPr>
          <w:p w:rsidR="008355F0" w:rsidRPr="00033FB3" w:rsidRDefault="008355F0" w:rsidP="003867F8">
            <w:pPr>
              <w:autoSpaceDE w:val="0"/>
              <w:autoSpaceDN w:val="0"/>
              <w:adjustRightInd w:val="0"/>
              <w:spacing w:before="60" w:after="60"/>
              <w:rPr>
                <w:rFonts w:cs="Arial"/>
                <w:color w:val="000000"/>
                <w:sz w:val="16"/>
                <w:szCs w:val="16"/>
              </w:rPr>
            </w:pPr>
            <w:r>
              <w:rPr>
                <w:rFonts w:cs="Arial"/>
                <w:color w:val="000000"/>
                <w:sz w:val="16"/>
                <w:szCs w:val="16"/>
              </w:rPr>
              <w:t>Switzerland/ Uruguay</w:t>
            </w:r>
          </w:p>
        </w:tc>
        <w:tc>
          <w:tcPr>
            <w:tcW w:w="4395" w:type="dxa"/>
          </w:tcPr>
          <w:p w:rsidR="008355F0" w:rsidRPr="00033FB3" w:rsidRDefault="008355F0" w:rsidP="003867F8">
            <w:pPr>
              <w:autoSpaceDE w:val="0"/>
              <w:autoSpaceDN w:val="0"/>
              <w:adjustRightInd w:val="0"/>
              <w:spacing w:before="60" w:after="60"/>
              <w:rPr>
                <w:rFonts w:cs="Arial"/>
                <w:color w:val="000000"/>
                <w:sz w:val="16"/>
                <w:szCs w:val="16"/>
              </w:rPr>
            </w:pPr>
            <w:r>
              <w:rPr>
                <w:rFonts w:cs="Arial"/>
                <w:color w:val="000000"/>
                <w:sz w:val="16"/>
                <w:szCs w:val="16"/>
              </w:rPr>
              <w:t>T</w:t>
            </w:r>
            <w:r w:rsidRPr="00A11618">
              <w:rPr>
                <w:rFonts w:cs="Arial"/>
                <w:color w:val="000000"/>
                <w:sz w:val="16"/>
                <w:szCs w:val="16"/>
              </w:rPr>
              <w:t>o represent the government in different for</w:t>
            </w:r>
            <w:r>
              <w:rPr>
                <w:rFonts w:cs="Arial"/>
                <w:color w:val="000000"/>
                <w:sz w:val="16"/>
                <w:szCs w:val="16"/>
              </w:rPr>
              <w:t>a</w:t>
            </w:r>
            <w:r w:rsidRPr="00A11618">
              <w:rPr>
                <w:rFonts w:cs="Arial"/>
                <w:color w:val="000000"/>
                <w:sz w:val="16"/>
                <w:szCs w:val="16"/>
              </w:rPr>
              <w:t xml:space="preserve"> where</w:t>
            </w:r>
            <w:r>
              <w:rPr>
                <w:rFonts w:cs="Arial"/>
                <w:color w:val="000000"/>
                <w:sz w:val="16"/>
                <w:szCs w:val="16"/>
              </w:rPr>
              <w:t xml:space="preserve"> different</w:t>
            </w:r>
            <w:r w:rsidRPr="00A11618">
              <w:rPr>
                <w:rFonts w:cs="Arial"/>
                <w:color w:val="000000"/>
                <w:sz w:val="16"/>
                <w:szCs w:val="16"/>
              </w:rPr>
              <w:t xml:space="preserve"> issues </w:t>
            </w:r>
            <w:r>
              <w:rPr>
                <w:rFonts w:cs="Arial"/>
                <w:color w:val="000000"/>
                <w:sz w:val="16"/>
                <w:szCs w:val="16"/>
              </w:rPr>
              <w:t xml:space="preserve">and programs on IP </w:t>
            </w:r>
            <w:r w:rsidRPr="00A11618">
              <w:rPr>
                <w:rFonts w:cs="Arial"/>
                <w:color w:val="000000"/>
                <w:sz w:val="16"/>
                <w:szCs w:val="16"/>
              </w:rPr>
              <w:t>are analyzed</w:t>
            </w:r>
            <w:r>
              <w:rPr>
                <w:rFonts w:cs="Arial"/>
                <w:color w:val="000000"/>
                <w:sz w:val="16"/>
                <w:szCs w:val="16"/>
              </w:rPr>
              <w:t>.</w:t>
            </w:r>
          </w:p>
        </w:tc>
      </w:tr>
      <w:tr w:rsidR="008355F0" w:rsidRPr="00CB548E" w:rsidTr="00E92F85">
        <w:trPr>
          <w:cantSplit/>
        </w:trPr>
        <w:tc>
          <w:tcPr>
            <w:tcW w:w="9498" w:type="dxa"/>
            <w:gridSpan w:val="4"/>
            <w:tcBorders>
              <w:top w:val="single" w:sz="4" w:space="0" w:color="auto"/>
              <w:bottom w:val="single" w:sz="4" w:space="0" w:color="auto"/>
            </w:tcBorders>
            <w:shd w:val="clear" w:color="auto" w:fill="C6D9F1"/>
            <w:vAlign w:val="center"/>
          </w:tcPr>
          <w:p w:rsidR="008355F0" w:rsidRPr="00CB548E" w:rsidRDefault="008355F0" w:rsidP="003867F8">
            <w:pPr>
              <w:keepNext/>
              <w:keepLines/>
              <w:tabs>
                <w:tab w:val="left" w:pos="1740"/>
              </w:tabs>
              <w:spacing w:before="120" w:after="120"/>
              <w:ind w:left="1740" w:hanging="1740"/>
              <w:rPr>
                <w:rFonts w:cs="Arial"/>
                <w:b/>
                <w:bCs/>
                <w:sz w:val="16"/>
                <w:szCs w:val="16"/>
              </w:rPr>
            </w:pPr>
            <w:r w:rsidRPr="00CB548E">
              <w:rPr>
                <w:rFonts w:cs="Arial"/>
                <w:b/>
                <w:bCs/>
                <w:color w:val="000000"/>
                <w:sz w:val="16"/>
                <w:szCs w:val="16"/>
              </w:rPr>
              <w:t>RESULT</w:t>
            </w:r>
            <w:r w:rsidRPr="00CB548E">
              <w:rPr>
                <w:rFonts w:cs="Arial"/>
                <w:b/>
                <w:bCs/>
                <w:sz w:val="16"/>
                <w:szCs w:val="16"/>
              </w:rPr>
              <w:t>:</w:t>
            </w:r>
            <w:r w:rsidRPr="00CB548E">
              <w:rPr>
                <w:rFonts w:cs="Arial"/>
                <w:b/>
                <w:bCs/>
                <w:sz w:val="16"/>
                <w:szCs w:val="16"/>
              </w:rPr>
              <w:tab/>
            </w:r>
            <w:r w:rsidRPr="008230D2">
              <w:rPr>
                <w:rFonts w:cs="Arial"/>
                <w:bCs/>
                <w:color w:val="000000"/>
                <w:sz w:val="16"/>
                <w:szCs w:val="16"/>
              </w:rPr>
              <w:t>IV.4. Enhanced technical and knowledge infrastructure for IP Offices and other IP institutions leading to better services (cheaper, faster, higher quality) to their stakeholders</w:t>
            </w:r>
          </w:p>
        </w:tc>
      </w:tr>
      <w:tr w:rsidR="008355F0" w:rsidRPr="00CB548E" w:rsidTr="00E92F85">
        <w:trPr>
          <w:cantSplit/>
          <w:trHeight w:val="440"/>
        </w:trPr>
        <w:tc>
          <w:tcPr>
            <w:tcW w:w="1981" w:type="dxa"/>
            <w:tcBorders>
              <w:top w:val="single" w:sz="4" w:space="0" w:color="auto"/>
            </w:tcBorders>
            <w:vAlign w:val="center"/>
          </w:tcPr>
          <w:p w:rsidR="008355F0" w:rsidRPr="00CB548E" w:rsidRDefault="008355F0" w:rsidP="003867F8">
            <w:pPr>
              <w:keepNext/>
              <w:keepLines/>
              <w:spacing w:before="60" w:after="60"/>
              <w:rPr>
                <w:rFonts w:cs="Arial"/>
                <w:b/>
                <w:bCs/>
                <w:sz w:val="16"/>
                <w:szCs w:val="16"/>
              </w:rPr>
            </w:pPr>
            <w:r w:rsidRPr="00CB548E">
              <w:rPr>
                <w:rFonts w:cs="Arial"/>
                <w:b/>
                <w:bCs/>
                <w:sz w:val="16"/>
                <w:szCs w:val="16"/>
              </w:rPr>
              <w:t>Activity</w:t>
            </w:r>
          </w:p>
        </w:tc>
        <w:tc>
          <w:tcPr>
            <w:tcW w:w="1260" w:type="dxa"/>
            <w:tcBorders>
              <w:top w:val="single" w:sz="4" w:space="0" w:color="auto"/>
            </w:tcBorders>
            <w:shd w:val="clear" w:color="auto" w:fill="auto"/>
            <w:tcMar>
              <w:top w:w="110" w:type="dxa"/>
            </w:tcMar>
            <w:vAlign w:val="center"/>
          </w:tcPr>
          <w:p w:rsidR="008355F0" w:rsidRPr="00CB548E" w:rsidRDefault="008355F0" w:rsidP="003867F8">
            <w:pPr>
              <w:keepNext/>
              <w:keepLines/>
              <w:spacing w:before="60" w:after="60"/>
              <w:rPr>
                <w:rFonts w:cs="Arial"/>
                <w:sz w:val="16"/>
                <w:szCs w:val="16"/>
              </w:rPr>
            </w:pPr>
            <w:r w:rsidRPr="00CB548E">
              <w:rPr>
                <w:rFonts w:cs="Arial"/>
                <w:b/>
                <w:bCs/>
                <w:sz w:val="16"/>
                <w:szCs w:val="16"/>
              </w:rPr>
              <w:t>Date</w:t>
            </w:r>
          </w:p>
        </w:tc>
        <w:tc>
          <w:tcPr>
            <w:tcW w:w="1862" w:type="dxa"/>
            <w:tcBorders>
              <w:top w:val="single" w:sz="4" w:space="0" w:color="auto"/>
            </w:tcBorders>
            <w:shd w:val="clear" w:color="auto" w:fill="auto"/>
            <w:tcMar>
              <w:top w:w="110" w:type="dxa"/>
            </w:tcMar>
            <w:vAlign w:val="center"/>
          </w:tcPr>
          <w:p w:rsidR="008355F0" w:rsidRPr="00CB548E" w:rsidRDefault="008355F0" w:rsidP="003867F8">
            <w:pPr>
              <w:keepNext/>
              <w:keepLines/>
              <w:spacing w:before="60" w:after="60"/>
              <w:rPr>
                <w:rFonts w:cs="Arial"/>
                <w:sz w:val="16"/>
                <w:szCs w:val="16"/>
              </w:rPr>
            </w:pPr>
            <w:r w:rsidRPr="004A65B0">
              <w:rPr>
                <w:rFonts w:cs="Arial"/>
                <w:b/>
                <w:bCs/>
                <w:sz w:val="16"/>
                <w:szCs w:val="16"/>
              </w:rPr>
              <w:t>Host Country/</w:t>
            </w:r>
            <w:r w:rsidRPr="004A65B0">
              <w:rPr>
                <w:rFonts w:cs="Arial"/>
                <w:b/>
                <w:bCs/>
                <w:sz w:val="16"/>
                <w:szCs w:val="16"/>
              </w:rPr>
              <w:br/>
              <w:t>Recipients</w:t>
            </w:r>
          </w:p>
        </w:tc>
        <w:tc>
          <w:tcPr>
            <w:tcW w:w="4395" w:type="dxa"/>
            <w:tcBorders>
              <w:top w:val="single" w:sz="4" w:space="0" w:color="auto"/>
            </w:tcBorders>
            <w:shd w:val="clear" w:color="auto" w:fill="FFFFFF"/>
            <w:tcMar>
              <w:top w:w="110" w:type="dxa"/>
            </w:tcMar>
            <w:vAlign w:val="center"/>
          </w:tcPr>
          <w:p w:rsidR="008355F0" w:rsidRPr="00CB548E" w:rsidRDefault="008355F0" w:rsidP="003867F8">
            <w:pPr>
              <w:keepNext/>
              <w:keepLines/>
              <w:spacing w:before="60" w:after="60"/>
              <w:rPr>
                <w:rFonts w:cs="Arial"/>
                <w:sz w:val="16"/>
                <w:szCs w:val="16"/>
              </w:rPr>
            </w:pPr>
            <w:r w:rsidRPr="00CB548E">
              <w:rPr>
                <w:rFonts w:cs="Arial"/>
                <w:b/>
                <w:bCs/>
                <w:sz w:val="16"/>
                <w:szCs w:val="16"/>
              </w:rPr>
              <w:t>Purpose(s)/Description(s)</w:t>
            </w:r>
          </w:p>
        </w:tc>
      </w:tr>
      <w:tr w:rsidR="008355F0" w:rsidRPr="00C97BF9" w:rsidTr="00E92F85">
        <w:trPr>
          <w:cantSplit/>
        </w:trPr>
        <w:tc>
          <w:tcPr>
            <w:tcW w:w="1981" w:type="dxa"/>
          </w:tcPr>
          <w:p w:rsidR="008355F0" w:rsidRPr="00053B5B" w:rsidRDefault="008355F0" w:rsidP="003867F8">
            <w:pPr>
              <w:spacing w:before="60" w:after="60"/>
              <w:rPr>
                <w:rFonts w:cs="Arial"/>
                <w:sz w:val="16"/>
                <w:szCs w:val="16"/>
              </w:rPr>
            </w:pPr>
            <w:r>
              <w:rPr>
                <w:rFonts w:cs="Arial"/>
                <w:sz w:val="16"/>
                <w:szCs w:val="16"/>
              </w:rPr>
              <w:t>Renewal of the Thomson-Reuters IP database</w:t>
            </w:r>
          </w:p>
        </w:tc>
        <w:tc>
          <w:tcPr>
            <w:tcW w:w="1260" w:type="dxa"/>
          </w:tcPr>
          <w:p w:rsidR="008355F0" w:rsidRPr="00053B5B" w:rsidRDefault="008355F0" w:rsidP="003867F8">
            <w:pPr>
              <w:spacing w:before="60" w:after="60"/>
              <w:rPr>
                <w:rFonts w:cs="Arial"/>
                <w:sz w:val="16"/>
                <w:szCs w:val="16"/>
              </w:rPr>
            </w:pPr>
            <w:r>
              <w:rPr>
                <w:rFonts w:cs="Arial"/>
                <w:color w:val="000000"/>
                <w:sz w:val="16"/>
                <w:szCs w:val="16"/>
              </w:rPr>
              <w:t xml:space="preserve">January to October, 2015 </w:t>
            </w:r>
            <w:r>
              <w:rPr>
                <w:rFonts w:cs="Arial"/>
                <w:sz w:val="16"/>
                <w:szCs w:val="16"/>
              </w:rPr>
              <w:t>(ongoing since 2013)</w:t>
            </w:r>
          </w:p>
        </w:tc>
        <w:tc>
          <w:tcPr>
            <w:tcW w:w="1862" w:type="dxa"/>
          </w:tcPr>
          <w:p w:rsidR="008355F0" w:rsidRPr="00C97BF9" w:rsidDel="00E54910" w:rsidRDefault="008355F0" w:rsidP="003867F8">
            <w:pPr>
              <w:autoSpaceDE w:val="0"/>
              <w:autoSpaceDN w:val="0"/>
              <w:adjustRightInd w:val="0"/>
              <w:spacing w:before="60" w:after="60"/>
              <w:rPr>
                <w:rFonts w:cs="Arial"/>
                <w:color w:val="000000"/>
                <w:sz w:val="16"/>
                <w:szCs w:val="16"/>
                <w:lang w:val="fr-FR"/>
              </w:rPr>
            </w:pPr>
            <w:r>
              <w:rPr>
                <w:rFonts w:cs="Arial"/>
                <w:color w:val="000000"/>
                <w:sz w:val="16"/>
                <w:szCs w:val="16"/>
                <w:lang w:val="fr-FR"/>
              </w:rPr>
              <w:t>All Latin American countries</w:t>
            </w:r>
          </w:p>
        </w:tc>
        <w:tc>
          <w:tcPr>
            <w:tcW w:w="4395" w:type="dxa"/>
          </w:tcPr>
          <w:p w:rsidR="008355F0" w:rsidRPr="00053B5B" w:rsidRDefault="008355F0" w:rsidP="003867F8">
            <w:pPr>
              <w:autoSpaceDE w:val="0"/>
              <w:autoSpaceDN w:val="0"/>
              <w:adjustRightInd w:val="0"/>
              <w:spacing w:before="60" w:after="60"/>
              <w:rPr>
                <w:rFonts w:cs="Arial"/>
                <w:sz w:val="16"/>
                <w:szCs w:val="16"/>
              </w:rPr>
            </w:pPr>
            <w:r>
              <w:rPr>
                <w:rFonts w:cs="Arial"/>
                <w:color w:val="000000"/>
                <w:sz w:val="16"/>
                <w:szCs w:val="16"/>
              </w:rPr>
              <w:t>T</w:t>
            </w:r>
            <w:r w:rsidRPr="007C5B5A">
              <w:rPr>
                <w:rFonts w:cs="Arial"/>
                <w:color w:val="000000"/>
                <w:sz w:val="16"/>
                <w:szCs w:val="16"/>
              </w:rPr>
              <w:t>o increase the coverage range and quality of information contained in the databases of the</w:t>
            </w:r>
            <w:r>
              <w:rPr>
                <w:rFonts w:cs="Arial"/>
                <w:color w:val="000000"/>
                <w:sz w:val="16"/>
                <w:szCs w:val="16"/>
              </w:rPr>
              <w:t xml:space="preserve"> National Directorate for Industrial Property</w:t>
            </w:r>
            <w:r w:rsidRPr="007C5B5A">
              <w:rPr>
                <w:rFonts w:cs="Arial"/>
                <w:color w:val="000000"/>
                <w:sz w:val="16"/>
                <w:szCs w:val="16"/>
              </w:rPr>
              <w:t xml:space="preserve"> </w:t>
            </w:r>
            <w:r>
              <w:rPr>
                <w:rFonts w:cs="Arial"/>
                <w:color w:val="000000"/>
                <w:sz w:val="16"/>
                <w:szCs w:val="16"/>
              </w:rPr>
              <w:t>(</w:t>
            </w:r>
            <w:r w:rsidRPr="007C5B5A">
              <w:rPr>
                <w:rFonts w:cs="Arial"/>
                <w:color w:val="000000"/>
                <w:sz w:val="16"/>
                <w:szCs w:val="16"/>
              </w:rPr>
              <w:t>DNPI</w:t>
            </w:r>
            <w:r>
              <w:rPr>
                <w:rFonts w:cs="Arial"/>
                <w:color w:val="000000"/>
                <w:sz w:val="16"/>
                <w:szCs w:val="16"/>
              </w:rPr>
              <w:t>)</w:t>
            </w:r>
          </w:p>
        </w:tc>
      </w:tr>
      <w:tr w:rsidR="008355F0" w:rsidRPr="00C97BF9" w:rsidTr="00E92F85">
        <w:trPr>
          <w:cantSplit/>
        </w:trPr>
        <w:tc>
          <w:tcPr>
            <w:tcW w:w="1981" w:type="dxa"/>
          </w:tcPr>
          <w:p w:rsidR="008355F0" w:rsidRDefault="008355F0" w:rsidP="003867F8">
            <w:pPr>
              <w:autoSpaceDE w:val="0"/>
              <w:autoSpaceDN w:val="0"/>
              <w:adjustRightInd w:val="0"/>
              <w:spacing w:before="60" w:after="60"/>
              <w:rPr>
                <w:rFonts w:cs="Arial"/>
                <w:color w:val="000000"/>
                <w:sz w:val="16"/>
                <w:szCs w:val="16"/>
              </w:rPr>
            </w:pPr>
            <w:r w:rsidRPr="00686F2A">
              <w:rPr>
                <w:rFonts w:cs="Arial"/>
                <w:color w:val="000000"/>
                <w:sz w:val="16"/>
                <w:szCs w:val="16"/>
              </w:rPr>
              <w:t>Study Visit on Industrial Property Automation System (IPAS)</w:t>
            </w:r>
          </w:p>
          <w:p w:rsidR="008355F0" w:rsidRDefault="008355F0" w:rsidP="003867F8">
            <w:pPr>
              <w:spacing w:before="60" w:after="60"/>
              <w:rPr>
                <w:rFonts w:cs="Arial"/>
                <w:sz w:val="16"/>
                <w:szCs w:val="16"/>
              </w:rPr>
            </w:pPr>
          </w:p>
          <w:p w:rsidR="008355F0" w:rsidRPr="00053B5B" w:rsidRDefault="008355F0" w:rsidP="003867F8">
            <w:pPr>
              <w:spacing w:before="60" w:after="60"/>
              <w:rPr>
                <w:rFonts w:cs="Arial"/>
                <w:sz w:val="16"/>
                <w:szCs w:val="16"/>
              </w:rPr>
            </w:pPr>
            <w:r>
              <w:rPr>
                <w:rFonts w:cs="Arial"/>
                <w:sz w:val="16"/>
                <w:szCs w:val="16"/>
              </w:rPr>
              <w:t>Renewal of the Global Patent Information (GPI) EPO’s database</w:t>
            </w:r>
          </w:p>
        </w:tc>
        <w:tc>
          <w:tcPr>
            <w:tcW w:w="1260" w:type="dxa"/>
          </w:tcPr>
          <w:p w:rsidR="008355F0" w:rsidRDefault="008355F0" w:rsidP="003867F8">
            <w:pPr>
              <w:autoSpaceDE w:val="0"/>
              <w:autoSpaceDN w:val="0"/>
              <w:adjustRightInd w:val="0"/>
              <w:spacing w:before="60" w:after="60"/>
              <w:rPr>
                <w:rFonts w:cs="Arial"/>
                <w:color w:val="000000"/>
                <w:sz w:val="16"/>
                <w:szCs w:val="16"/>
              </w:rPr>
            </w:pPr>
            <w:r w:rsidRPr="00686F2A">
              <w:rPr>
                <w:rFonts w:cs="Arial"/>
                <w:color w:val="000000"/>
                <w:sz w:val="16"/>
                <w:szCs w:val="16"/>
              </w:rPr>
              <w:t>February 16 to 20, 2015</w:t>
            </w:r>
          </w:p>
          <w:p w:rsidR="008355F0" w:rsidRPr="00053B5B" w:rsidRDefault="008355F0" w:rsidP="003867F8">
            <w:pPr>
              <w:spacing w:before="60" w:after="60"/>
              <w:rPr>
                <w:rFonts w:cs="Arial"/>
                <w:sz w:val="16"/>
                <w:szCs w:val="16"/>
              </w:rPr>
            </w:pPr>
          </w:p>
          <w:p w:rsidR="008355F0" w:rsidRDefault="008355F0" w:rsidP="003867F8">
            <w:pPr>
              <w:spacing w:before="60" w:after="60"/>
              <w:rPr>
                <w:rFonts w:cs="Arial"/>
                <w:sz w:val="16"/>
                <w:szCs w:val="16"/>
              </w:rPr>
            </w:pPr>
          </w:p>
          <w:p w:rsidR="008355F0" w:rsidRDefault="008355F0" w:rsidP="003867F8">
            <w:pPr>
              <w:spacing w:before="60" w:after="60"/>
              <w:rPr>
                <w:rFonts w:cs="Arial"/>
                <w:sz w:val="16"/>
                <w:szCs w:val="16"/>
              </w:rPr>
            </w:pPr>
            <w:r>
              <w:rPr>
                <w:rFonts w:cs="Arial"/>
                <w:sz w:val="16"/>
                <w:szCs w:val="16"/>
              </w:rPr>
              <w:t>January to December, 2015</w:t>
            </w:r>
          </w:p>
          <w:p w:rsidR="008355F0" w:rsidRDefault="008355F0" w:rsidP="003867F8">
            <w:pPr>
              <w:spacing w:before="60" w:after="60"/>
              <w:rPr>
                <w:rFonts w:cs="Arial"/>
                <w:sz w:val="16"/>
                <w:szCs w:val="16"/>
              </w:rPr>
            </w:pPr>
          </w:p>
          <w:p w:rsidR="008355F0" w:rsidRPr="00053B5B" w:rsidRDefault="008355F0" w:rsidP="003867F8">
            <w:pPr>
              <w:spacing w:before="60" w:after="60"/>
              <w:rPr>
                <w:rFonts w:cs="Arial"/>
                <w:sz w:val="16"/>
                <w:szCs w:val="16"/>
              </w:rPr>
            </w:pPr>
            <w:r>
              <w:rPr>
                <w:rFonts w:cs="Arial"/>
                <w:sz w:val="16"/>
                <w:szCs w:val="16"/>
              </w:rPr>
              <w:t>(ongoing)</w:t>
            </w:r>
          </w:p>
        </w:tc>
        <w:tc>
          <w:tcPr>
            <w:tcW w:w="1862" w:type="dxa"/>
          </w:tcPr>
          <w:p w:rsidR="008355F0" w:rsidRDefault="008355F0" w:rsidP="003867F8">
            <w:pPr>
              <w:autoSpaceDE w:val="0"/>
              <w:autoSpaceDN w:val="0"/>
              <w:adjustRightInd w:val="0"/>
              <w:spacing w:before="60" w:after="60"/>
              <w:rPr>
                <w:rFonts w:cs="Arial"/>
                <w:color w:val="000000"/>
                <w:sz w:val="16"/>
                <w:szCs w:val="16"/>
              </w:rPr>
            </w:pPr>
            <w:r>
              <w:rPr>
                <w:rFonts w:cs="Arial"/>
                <w:color w:val="000000"/>
                <w:sz w:val="16"/>
                <w:szCs w:val="16"/>
              </w:rPr>
              <w:t xml:space="preserve">Peru/ </w:t>
            </w:r>
            <w:r w:rsidRPr="00686F2A">
              <w:rPr>
                <w:rFonts w:cs="Arial"/>
                <w:color w:val="000000"/>
                <w:sz w:val="16"/>
                <w:szCs w:val="16"/>
              </w:rPr>
              <w:t xml:space="preserve">DNPI Official </w:t>
            </w:r>
          </w:p>
          <w:p w:rsidR="008355F0" w:rsidRDefault="008355F0" w:rsidP="003867F8">
            <w:pPr>
              <w:autoSpaceDE w:val="0"/>
              <w:autoSpaceDN w:val="0"/>
              <w:adjustRightInd w:val="0"/>
              <w:spacing w:before="60" w:after="60"/>
              <w:rPr>
                <w:rFonts w:cs="Arial"/>
                <w:color w:val="000000"/>
                <w:sz w:val="16"/>
                <w:szCs w:val="16"/>
              </w:rPr>
            </w:pPr>
          </w:p>
          <w:p w:rsidR="008355F0" w:rsidRDefault="008355F0" w:rsidP="003867F8">
            <w:pPr>
              <w:autoSpaceDE w:val="0"/>
              <w:autoSpaceDN w:val="0"/>
              <w:adjustRightInd w:val="0"/>
              <w:spacing w:before="60" w:after="60"/>
              <w:rPr>
                <w:rFonts w:cs="Arial"/>
                <w:color w:val="000000"/>
                <w:sz w:val="16"/>
                <w:szCs w:val="16"/>
              </w:rPr>
            </w:pPr>
            <w:r>
              <w:rPr>
                <w:rFonts w:cs="Arial"/>
                <w:color w:val="000000"/>
                <w:sz w:val="16"/>
                <w:szCs w:val="16"/>
              </w:rPr>
              <w:t>All Latin American countries</w:t>
            </w:r>
          </w:p>
          <w:p w:rsidR="008355F0" w:rsidRPr="00C97BF9" w:rsidRDefault="008355F0" w:rsidP="003867F8">
            <w:pPr>
              <w:autoSpaceDE w:val="0"/>
              <w:autoSpaceDN w:val="0"/>
              <w:adjustRightInd w:val="0"/>
              <w:spacing w:before="60" w:after="60"/>
              <w:rPr>
                <w:rFonts w:cs="Arial"/>
                <w:color w:val="000000"/>
                <w:sz w:val="16"/>
                <w:szCs w:val="16"/>
              </w:rPr>
            </w:pPr>
          </w:p>
        </w:tc>
        <w:tc>
          <w:tcPr>
            <w:tcW w:w="4395" w:type="dxa"/>
          </w:tcPr>
          <w:p w:rsidR="008355F0" w:rsidRDefault="008355F0" w:rsidP="003867F8">
            <w:pPr>
              <w:autoSpaceDE w:val="0"/>
              <w:autoSpaceDN w:val="0"/>
              <w:adjustRightInd w:val="0"/>
              <w:spacing w:before="60" w:after="60"/>
              <w:rPr>
                <w:rFonts w:cs="Arial"/>
                <w:color w:val="000000"/>
                <w:sz w:val="16"/>
                <w:szCs w:val="16"/>
              </w:rPr>
            </w:pPr>
            <w:r>
              <w:rPr>
                <w:rFonts w:cs="Arial"/>
                <w:color w:val="000000"/>
                <w:sz w:val="16"/>
                <w:szCs w:val="16"/>
              </w:rPr>
              <w:t>T</w:t>
            </w:r>
            <w:r w:rsidRPr="00686F2A">
              <w:rPr>
                <w:rFonts w:cs="Arial"/>
                <w:color w:val="000000"/>
                <w:sz w:val="16"/>
                <w:szCs w:val="16"/>
              </w:rPr>
              <w:t xml:space="preserve">o </w:t>
            </w:r>
            <w:r>
              <w:rPr>
                <w:rFonts w:cs="Arial"/>
                <w:color w:val="000000"/>
                <w:sz w:val="16"/>
                <w:szCs w:val="16"/>
              </w:rPr>
              <w:t>enhance efficiency in DNPI</w:t>
            </w:r>
            <w:r w:rsidRPr="00686F2A">
              <w:rPr>
                <w:rFonts w:cs="Arial"/>
                <w:color w:val="000000"/>
                <w:sz w:val="16"/>
                <w:szCs w:val="16"/>
              </w:rPr>
              <w:t xml:space="preserve"> internal process</w:t>
            </w:r>
            <w:r>
              <w:rPr>
                <w:rFonts w:cs="Arial"/>
                <w:color w:val="000000"/>
                <w:sz w:val="16"/>
                <w:szCs w:val="16"/>
              </w:rPr>
              <w:t>es</w:t>
            </w:r>
            <w:r w:rsidRPr="00686F2A">
              <w:rPr>
                <w:rFonts w:cs="Arial"/>
                <w:color w:val="000000"/>
                <w:sz w:val="16"/>
                <w:szCs w:val="16"/>
              </w:rPr>
              <w:t>.</w:t>
            </w:r>
          </w:p>
          <w:p w:rsidR="008355F0" w:rsidRDefault="008355F0" w:rsidP="003867F8">
            <w:pPr>
              <w:autoSpaceDE w:val="0"/>
              <w:autoSpaceDN w:val="0"/>
              <w:adjustRightInd w:val="0"/>
              <w:spacing w:before="60" w:after="60"/>
              <w:rPr>
                <w:rFonts w:cs="Arial"/>
                <w:color w:val="000000"/>
                <w:sz w:val="16"/>
                <w:szCs w:val="16"/>
              </w:rPr>
            </w:pPr>
          </w:p>
          <w:p w:rsidR="008355F0" w:rsidRDefault="008355F0" w:rsidP="003867F8">
            <w:pPr>
              <w:autoSpaceDE w:val="0"/>
              <w:autoSpaceDN w:val="0"/>
              <w:adjustRightInd w:val="0"/>
              <w:spacing w:before="60" w:after="60"/>
              <w:rPr>
                <w:rFonts w:cs="Arial"/>
                <w:color w:val="000000"/>
                <w:sz w:val="16"/>
                <w:szCs w:val="16"/>
              </w:rPr>
            </w:pPr>
            <w:r>
              <w:rPr>
                <w:rFonts w:cs="Arial"/>
                <w:color w:val="000000"/>
                <w:sz w:val="16"/>
                <w:szCs w:val="16"/>
              </w:rPr>
              <w:t>T</w:t>
            </w:r>
            <w:r w:rsidRPr="005251C5">
              <w:rPr>
                <w:rFonts w:cs="Arial"/>
                <w:color w:val="000000"/>
                <w:sz w:val="16"/>
                <w:szCs w:val="16"/>
              </w:rPr>
              <w:t>o increase the coverage range and quality of information contained in the databases of the DNPI.</w:t>
            </w:r>
          </w:p>
          <w:p w:rsidR="008355F0" w:rsidRPr="00C97BF9" w:rsidRDefault="008355F0" w:rsidP="003867F8">
            <w:pPr>
              <w:autoSpaceDE w:val="0"/>
              <w:autoSpaceDN w:val="0"/>
              <w:adjustRightInd w:val="0"/>
              <w:spacing w:before="60" w:after="60"/>
              <w:rPr>
                <w:rFonts w:cs="Arial"/>
                <w:color w:val="000000"/>
                <w:sz w:val="16"/>
                <w:szCs w:val="16"/>
              </w:rPr>
            </w:pPr>
          </w:p>
        </w:tc>
      </w:tr>
    </w:tbl>
    <w:p w:rsidR="008355F0" w:rsidRDefault="008355F0" w:rsidP="003867F8">
      <w:pPr>
        <w:rPr>
          <w:rFonts w:cs="Arial"/>
          <w:b/>
          <w:szCs w:val="20"/>
        </w:rPr>
      </w:pPr>
    </w:p>
    <w:p w:rsidR="008355F0" w:rsidRDefault="008355F0" w:rsidP="003867F8">
      <w:pPr>
        <w:rPr>
          <w:rFonts w:cs="Arial"/>
          <w:szCs w:val="20"/>
        </w:rPr>
      </w:pPr>
    </w:p>
    <w:p w:rsidR="008355F0" w:rsidRDefault="008355F0" w:rsidP="003867F8">
      <w:pPr>
        <w:rPr>
          <w:rFonts w:cs="Arial"/>
          <w:b/>
          <w:bCs/>
          <w:color w:val="000000"/>
          <w:szCs w:val="20"/>
        </w:rPr>
      </w:pPr>
      <w:r>
        <w:rPr>
          <w:rFonts w:cs="Arial"/>
          <w:b/>
          <w:szCs w:val="20"/>
        </w:rPr>
        <w:t xml:space="preserve">URUGUAY </w:t>
      </w:r>
      <w:r>
        <w:rPr>
          <w:rFonts w:cs="Arial"/>
          <w:b/>
          <w:bCs/>
          <w:color w:val="000000"/>
          <w:szCs w:val="20"/>
        </w:rPr>
        <w:t>Donor Contributions and Expenditure in 2015</w:t>
      </w:r>
    </w:p>
    <w:p w:rsidR="008355F0" w:rsidRDefault="008355F0" w:rsidP="003867F8">
      <w:pPr>
        <w:rPr>
          <w:rFonts w:cs="Arial"/>
          <w:szCs w:val="20"/>
        </w:rPr>
      </w:pPr>
    </w:p>
    <w:tbl>
      <w:tblPr>
        <w:tblW w:w="9508" w:type="dxa"/>
        <w:tblInd w:w="98" w:type="dxa"/>
        <w:tblLook w:val="04A0" w:firstRow="1" w:lastRow="0" w:firstColumn="1" w:lastColumn="0" w:noHBand="0" w:noVBand="1"/>
      </w:tblPr>
      <w:tblGrid>
        <w:gridCol w:w="2040"/>
        <w:gridCol w:w="1640"/>
        <w:gridCol w:w="1860"/>
        <w:gridCol w:w="1780"/>
        <w:gridCol w:w="2188"/>
      </w:tblGrid>
      <w:tr w:rsidR="008355F0" w:rsidTr="00E92F85">
        <w:trPr>
          <w:trHeight w:val="450"/>
        </w:trPr>
        <w:tc>
          <w:tcPr>
            <w:tcW w:w="2040" w:type="dxa"/>
            <w:tcBorders>
              <w:top w:val="single" w:sz="8" w:space="0" w:color="auto"/>
              <w:left w:val="single" w:sz="8" w:space="0" w:color="auto"/>
              <w:bottom w:val="nil"/>
              <w:right w:val="single" w:sz="8" w:space="0" w:color="auto"/>
            </w:tcBorders>
            <w:shd w:val="clear" w:color="auto" w:fill="C6D9F1"/>
            <w:vAlign w:val="center"/>
            <w:hideMark/>
          </w:tcPr>
          <w:p w:rsidR="008355F0" w:rsidRDefault="008355F0">
            <w:pPr>
              <w:jc w:val="center"/>
              <w:rPr>
                <w:rFonts w:cs="Arial"/>
                <w:b/>
                <w:bCs/>
                <w:color w:val="000000"/>
                <w:sz w:val="16"/>
                <w:szCs w:val="16"/>
              </w:rPr>
            </w:pPr>
            <w:r>
              <w:rPr>
                <w:rFonts w:cs="Arial"/>
                <w:b/>
                <w:bCs/>
                <w:color w:val="000000"/>
                <w:sz w:val="16"/>
                <w:szCs w:val="16"/>
              </w:rPr>
              <w:t>Balance as of December 31, 2014</w:t>
            </w:r>
          </w:p>
        </w:tc>
        <w:tc>
          <w:tcPr>
            <w:tcW w:w="1640" w:type="dxa"/>
            <w:tcBorders>
              <w:top w:val="single" w:sz="8" w:space="0" w:color="auto"/>
              <w:left w:val="nil"/>
              <w:bottom w:val="nil"/>
              <w:right w:val="single" w:sz="8" w:space="0" w:color="auto"/>
            </w:tcBorders>
            <w:shd w:val="clear" w:color="auto" w:fill="C6D9F1"/>
            <w:vAlign w:val="center"/>
            <w:hideMark/>
          </w:tcPr>
          <w:p w:rsidR="008355F0" w:rsidRDefault="008355F0">
            <w:pPr>
              <w:jc w:val="center"/>
              <w:rPr>
                <w:rFonts w:cs="Arial"/>
                <w:b/>
                <w:bCs/>
                <w:color w:val="000000"/>
                <w:sz w:val="16"/>
                <w:szCs w:val="16"/>
              </w:rPr>
            </w:pPr>
            <w:r>
              <w:rPr>
                <w:rFonts w:cs="Arial"/>
                <w:b/>
                <w:bCs/>
                <w:color w:val="000000"/>
                <w:sz w:val="16"/>
                <w:szCs w:val="16"/>
              </w:rPr>
              <w:t>Income 2015</w:t>
            </w:r>
          </w:p>
        </w:tc>
        <w:tc>
          <w:tcPr>
            <w:tcW w:w="1860" w:type="dxa"/>
            <w:tcBorders>
              <w:top w:val="single" w:sz="8" w:space="0" w:color="auto"/>
              <w:left w:val="nil"/>
              <w:bottom w:val="nil"/>
              <w:right w:val="single" w:sz="8" w:space="0" w:color="auto"/>
            </w:tcBorders>
            <w:shd w:val="clear" w:color="auto" w:fill="C6D9F1"/>
            <w:vAlign w:val="center"/>
            <w:hideMark/>
          </w:tcPr>
          <w:p w:rsidR="008355F0" w:rsidRDefault="008355F0">
            <w:pPr>
              <w:jc w:val="center"/>
              <w:rPr>
                <w:rFonts w:cs="Arial"/>
                <w:b/>
                <w:bCs/>
                <w:color w:val="000000"/>
                <w:sz w:val="16"/>
                <w:szCs w:val="16"/>
              </w:rPr>
            </w:pPr>
            <w:r>
              <w:rPr>
                <w:rFonts w:cs="Arial"/>
                <w:b/>
                <w:bCs/>
                <w:color w:val="000000"/>
                <w:sz w:val="16"/>
                <w:szCs w:val="16"/>
              </w:rPr>
              <w:t>Expenditure 2015</w:t>
            </w:r>
          </w:p>
        </w:tc>
        <w:tc>
          <w:tcPr>
            <w:tcW w:w="1780" w:type="dxa"/>
            <w:tcBorders>
              <w:top w:val="single" w:sz="8" w:space="0" w:color="auto"/>
              <w:left w:val="nil"/>
              <w:bottom w:val="nil"/>
              <w:right w:val="single" w:sz="8" w:space="0" w:color="auto"/>
            </w:tcBorders>
            <w:shd w:val="clear" w:color="auto" w:fill="C6D9F1"/>
            <w:vAlign w:val="center"/>
            <w:hideMark/>
          </w:tcPr>
          <w:p w:rsidR="008355F0" w:rsidRDefault="008355F0">
            <w:pPr>
              <w:jc w:val="center"/>
              <w:rPr>
                <w:rFonts w:cs="Arial"/>
                <w:b/>
                <w:bCs/>
                <w:color w:val="000000"/>
                <w:sz w:val="16"/>
                <w:szCs w:val="16"/>
              </w:rPr>
            </w:pPr>
            <w:r>
              <w:rPr>
                <w:rFonts w:cs="Arial"/>
                <w:b/>
                <w:bCs/>
                <w:color w:val="000000"/>
                <w:sz w:val="16"/>
                <w:szCs w:val="16"/>
              </w:rPr>
              <w:t>Reimbursements</w:t>
            </w:r>
          </w:p>
        </w:tc>
        <w:tc>
          <w:tcPr>
            <w:tcW w:w="2188" w:type="dxa"/>
            <w:tcBorders>
              <w:top w:val="single" w:sz="8" w:space="0" w:color="auto"/>
              <w:left w:val="nil"/>
              <w:bottom w:val="nil"/>
              <w:right w:val="single" w:sz="8" w:space="0" w:color="auto"/>
            </w:tcBorders>
            <w:shd w:val="clear" w:color="auto" w:fill="C6D9F1"/>
            <w:vAlign w:val="center"/>
            <w:hideMark/>
          </w:tcPr>
          <w:p w:rsidR="008355F0" w:rsidRDefault="008355F0" w:rsidP="003867F8">
            <w:pPr>
              <w:jc w:val="center"/>
              <w:rPr>
                <w:rFonts w:cs="Arial"/>
                <w:b/>
                <w:bCs/>
                <w:color w:val="000000"/>
                <w:sz w:val="16"/>
                <w:szCs w:val="16"/>
              </w:rPr>
            </w:pPr>
            <w:r>
              <w:rPr>
                <w:rFonts w:cs="Arial"/>
                <w:b/>
                <w:bCs/>
                <w:color w:val="000000"/>
                <w:sz w:val="16"/>
                <w:szCs w:val="16"/>
              </w:rPr>
              <w:t>Balance as of December 31, 2015</w:t>
            </w:r>
          </w:p>
        </w:tc>
      </w:tr>
      <w:tr w:rsidR="008355F0" w:rsidTr="00E92F85">
        <w:trPr>
          <w:trHeight w:val="255"/>
        </w:trPr>
        <w:tc>
          <w:tcPr>
            <w:tcW w:w="20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55F0" w:rsidRDefault="008355F0">
            <w:pPr>
              <w:jc w:val="center"/>
              <w:rPr>
                <w:rFonts w:cs="Arial"/>
                <w:color w:val="000000"/>
                <w:sz w:val="16"/>
                <w:szCs w:val="16"/>
              </w:rPr>
            </w:pPr>
            <w:r>
              <w:rPr>
                <w:rFonts w:cs="Arial"/>
                <w:color w:val="000000"/>
                <w:sz w:val="16"/>
                <w:szCs w:val="16"/>
              </w:rPr>
              <w:t>157,932</w:t>
            </w:r>
          </w:p>
        </w:tc>
        <w:tc>
          <w:tcPr>
            <w:tcW w:w="1640" w:type="dxa"/>
            <w:tcBorders>
              <w:top w:val="single" w:sz="4" w:space="0" w:color="auto"/>
              <w:left w:val="nil"/>
              <w:bottom w:val="single" w:sz="4" w:space="0" w:color="auto"/>
              <w:right w:val="single" w:sz="4" w:space="0" w:color="auto"/>
            </w:tcBorders>
            <w:shd w:val="clear" w:color="auto" w:fill="auto"/>
            <w:vAlign w:val="center"/>
            <w:hideMark/>
          </w:tcPr>
          <w:p w:rsidR="008355F0" w:rsidRDefault="008355F0">
            <w:pPr>
              <w:jc w:val="center"/>
              <w:rPr>
                <w:rFonts w:cs="Arial"/>
                <w:color w:val="000000"/>
                <w:sz w:val="16"/>
                <w:szCs w:val="16"/>
              </w:rPr>
            </w:pPr>
            <w:r>
              <w:rPr>
                <w:rFonts w:cs="Arial"/>
                <w:color w:val="000000"/>
                <w:sz w:val="16"/>
                <w:szCs w:val="16"/>
              </w:rPr>
              <w:t>(144)</w:t>
            </w:r>
          </w:p>
        </w:tc>
        <w:tc>
          <w:tcPr>
            <w:tcW w:w="1860" w:type="dxa"/>
            <w:tcBorders>
              <w:top w:val="single" w:sz="4" w:space="0" w:color="auto"/>
              <w:left w:val="nil"/>
              <w:bottom w:val="single" w:sz="4" w:space="0" w:color="auto"/>
              <w:right w:val="single" w:sz="4" w:space="0" w:color="auto"/>
            </w:tcBorders>
            <w:shd w:val="clear" w:color="auto" w:fill="auto"/>
            <w:vAlign w:val="center"/>
            <w:hideMark/>
          </w:tcPr>
          <w:p w:rsidR="008355F0" w:rsidRDefault="008355F0">
            <w:pPr>
              <w:jc w:val="center"/>
              <w:rPr>
                <w:rFonts w:cs="Arial"/>
                <w:color w:val="000000"/>
                <w:sz w:val="16"/>
                <w:szCs w:val="16"/>
              </w:rPr>
            </w:pPr>
            <w:r>
              <w:rPr>
                <w:rFonts w:cs="Arial"/>
                <w:color w:val="000000"/>
                <w:sz w:val="16"/>
                <w:szCs w:val="16"/>
              </w:rPr>
              <w:t>9,164</w:t>
            </w:r>
          </w:p>
        </w:tc>
        <w:tc>
          <w:tcPr>
            <w:tcW w:w="1780" w:type="dxa"/>
            <w:tcBorders>
              <w:top w:val="single" w:sz="4" w:space="0" w:color="auto"/>
              <w:left w:val="nil"/>
              <w:bottom w:val="single" w:sz="4" w:space="0" w:color="auto"/>
              <w:right w:val="single" w:sz="4" w:space="0" w:color="auto"/>
            </w:tcBorders>
            <w:shd w:val="clear" w:color="auto" w:fill="auto"/>
            <w:noWrap/>
            <w:vAlign w:val="center"/>
            <w:hideMark/>
          </w:tcPr>
          <w:p w:rsidR="008355F0" w:rsidRPr="00053B5B" w:rsidRDefault="008355F0">
            <w:pPr>
              <w:jc w:val="center"/>
              <w:rPr>
                <w:rFonts w:cs="Arial"/>
                <w:color w:val="000000"/>
                <w:sz w:val="16"/>
                <w:szCs w:val="16"/>
              </w:rPr>
            </w:pPr>
            <w:r>
              <w:rPr>
                <w:rFonts w:cs="Arial"/>
                <w:color w:val="000000"/>
                <w:sz w:val="16"/>
                <w:szCs w:val="16"/>
              </w:rPr>
              <w:t>-</w:t>
            </w:r>
          </w:p>
        </w:tc>
        <w:tc>
          <w:tcPr>
            <w:tcW w:w="2188" w:type="dxa"/>
            <w:tcBorders>
              <w:top w:val="single" w:sz="4" w:space="0" w:color="auto"/>
              <w:left w:val="nil"/>
              <w:bottom w:val="single" w:sz="4" w:space="0" w:color="auto"/>
              <w:right w:val="single" w:sz="4" w:space="0" w:color="auto"/>
            </w:tcBorders>
            <w:shd w:val="clear" w:color="auto" w:fill="auto"/>
            <w:vAlign w:val="center"/>
            <w:hideMark/>
          </w:tcPr>
          <w:p w:rsidR="008355F0" w:rsidRDefault="008355F0">
            <w:pPr>
              <w:jc w:val="center"/>
              <w:rPr>
                <w:rFonts w:cs="Arial"/>
                <w:color w:val="000000"/>
                <w:sz w:val="16"/>
                <w:szCs w:val="16"/>
              </w:rPr>
            </w:pPr>
            <w:r>
              <w:rPr>
                <w:rFonts w:cs="Arial"/>
                <w:color w:val="000000"/>
                <w:sz w:val="16"/>
                <w:szCs w:val="16"/>
              </w:rPr>
              <w:t>148,624</w:t>
            </w:r>
          </w:p>
        </w:tc>
      </w:tr>
    </w:tbl>
    <w:p w:rsidR="008355F0" w:rsidRDefault="008355F0"/>
    <w:p w:rsidR="008355F0" w:rsidRDefault="008355F0" w:rsidP="003867F8">
      <w:pPr>
        <w:rPr>
          <w:rFonts w:cs="Arial"/>
          <w:b/>
          <w:szCs w:val="20"/>
        </w:rPr>
      </w:pPr>
    </w:p>
    <w:p w:rsidR="0063033D" w:rsidRDefault="0063033D" w:rsidP="008D1891">
      <w:pPr>
        <w:rPr>
          <w:rFonts w:cs="Arial"/>
          <w:b/>
          <w:color w:val="000000"/>
          <w:szCs w:val="20"/>
        </w:rPr>
      </w:pPr>
    </w:p>
    <w:p w:rsidR="00E92F85" w:rsidRDefault="008D1891" w:rsidP="00CB573E">
      <w:pPr>
        <w:autoSpaceDE w:val="0"/>
        <w:autoSpaceDN w:val="0"/>
        <w:jc w:val="both"/>
      </w:pPr>
      <w:r>
        <w:tab/>
      </w:r>
      <w:r>
        <w:tab/>
      </w:r>
      <w:r>
        <w:tab/>
      </w:r>
      <w:r>
        <w:tab/>
      </w:r>
      <w:r>
        <w:tab/>
      </w:r>
      <w:r>
        <w:tab/>
      </w:r>
      <w:r>
        <w:tab/>
      </w:r>
      <w:r>
        <w:tab/>
      </w:r>
      <w:r>
        <w:tab/>
      </w:r>
      <w:r>
        <w:tab/>
        <w:t xml:space="preserve">  [Appendix III follows]</w:t>
      </w:r>
    </w:p>
    <w:p w:rsidR="008D1891" w:rsidRDefault="008D1891" w:rsidP="00CB573E">
      <w:pPr>
        <w:autoSpaceDE w:val="0"/>
        <w:autoSpaceDN w:val="0"/>
        <w:jc w:val="both"/>
      </w:pPr>
      <w:r>
        <w:br w:type="page"/>
      </w:r>
    </w:p>
    <w:p w:rsidR="00FA2144" w:rsidRDefault="008D1891" w:rsidP="00C06C6E">
      <w:pPr>
        <w:pStyle w:val="Heading2"/>
        <w:tabs>
          <w:tab w:val="clear" w:pos="567"/>
          <w:tab w:val="left" w:pos="2268"/>
        </w:tabs>
        <w:ind w:left="0" w:firstLine="0"/>
        <w:rPr>
          <w:b w:val="0"/>
          <w:bCs w:val="0"/>
          <w:szCs w:val="20"/>
        </w:rPr>
      </w:pPr>
      <w:bookmarkStart w:id="119" w:name="_Toc454544507"/>
      <w:r w:rsidRPr="00845557">
        <w:t>APPENDIX III</w:t>
      </w:r>
      <w:r w:rsidR="00815ABB" w:rsidRPr="00845557">
        <w:t xml:space="preserve"> </w:t>
      </w:r>
      <w:r w:rsidR="006C404A" w:rsidRPr="00845557">
        <w:t xml:space="preserve">  </w:t>
      </w:r>
      <w:r w:rsidR="00815ABB" w:rsidRPr="00845557">
        <w:br/>
      </w:r>
      <w:r w:rsidR="00815ABB" w:rsidRPr="00C06C6E">
        <w:br/>
      </w:r>
      <w:r w:rsidR="0001444E" w:rsidRPr="00C06C6E">
        <w:t>CAPITAL</w:t>
      </w:r>
      <w:r w:rsidR="0001444E">
        <w:t> </w:t>
      </w:r>
      <w:r w:rsidR="0001444E" w:rsidRPr="00C06C6E">
        <w:t xml:space="preserve">MASTER PLAN (CMP) </w:t>
      </w:r>
      <w:r w:rsidR="00E92481">
        <w:t xml:space="preserve">PROGRESS REPORT </w:t>
      </w:r>
      <w:r w:rsidR="0001444E" w:rsidRPr="00C06C6E">
        <w:t>2014</w:t>
      </w:r>
      <w:r w:rsidR="009A2977">
        <w:t>/15</w:t>
      </w:r>
      <w:bookmarkEnd w:id="119"/>
    </w:p>
    <w:p w:rsidR="008D1891" w:rsidRPr="008D1891" w:rsidRDefault="008D1891" w:rsidP="008D1891">
      <w:pPr>
        <w:autoSpaceDE w:val="0"/>
        <w:autoSpaceDN w:val="0"/>
        <w:jc w:val="both"/>
        <w:rPr>
          <w:bCs/>
          <w:szCs w:val="20"/>
        </w:rPr>
      </w:pPr>
    </w:p>
    <w:p w:rsidR="00123DC4" w:rsidRDefault="00123DC4" w:rsidP="00132057"/>
    <w:p w:rsidR="00123DC4" w:rsidRDefault="00123DC4" w:rsidP="00132057">
      <w:pPr>
        <w:rPr>
          <w:b/>
          <w:bCs/>
        </w:rPr>
      </w:pPr>
      <w:r>
        <w:rPr>
          <w:b/>
          <w:bCs/>
        </w:rPr>
        <w:t>I.</w:t>
      </w:r>
      <w:r>
        <w:rPr>
          <w:b/>
          <w:bCs/>
        </w:rPr>
        <w:tab/>
        <w:t>INTRODUCTION</w:t>
      </w:r>
    </w:p>
    <w:p w:rsidR="00123DC4" w:rsidRDefault="00123DC4" w:rsidP="00132057">
      <w:pPr>
        <w:pStyle w:val="ONUME"/>
        <w:tabs>
          <w:tab w:val="left" w:pos="720"/>
        </w:tabs>
        <w:spacing w:after="0"/>
      </w:pPr>
    </w:p>
    <w:p w:rsidR="00123DC4" w:rsidRDefault="00123DC4" w:rsidP="00132057">
      <w:pPr>
        <w:pStyle w:val="ONUME"/>
        <w:tabs>
          <w:tab w:val="left" w:pos="720"/>
        </w:tabs>
        <w:spacing w:after="0"/>
        <w:jc w:val="both"/>
      </w:pPr>
      <w:r>
        <w:t>The fifty-first session of the Assemblies of the Member States of WIPO in September 2013 endorsed the principles under which projects are included in the Organization’s Capital Master Plan (CMP), and approved funding for a total estimated amount of 11.2 million Swiss francs from available reserves for seven projects (document A/51/16</w:t>
      </w:r>
      <w:r>
        <w:rPr>
          <w:rStyle w:val="FootnoteReference"/>
        </w:rPr>
        <w:footnoteReference w:id="169"/>
      </w:r>
      <w:r>
        <w:t>).</w:t>
      </w:r>
    </w:p>
    <w:p w:rsidR="00123DC4" w:rsidRDefault="00123DC4" w:rsidP="00132057">
      <w:pPr>
        <w:pStyle w:val="ONUME"/>
        <w:tabs>
          <w:tab w:val="left" w:pos="720"/>
        </w:tabs>
        <w:spacing w:after="0"/>
        <w:jc w:val="both"/>
      </w:pPr>
    </w:p>
    <w:p w:rsidR="00123DC4" w:rsidRDefault="00123DC4" w:rsidP="00132057">
      <w:pPr>
        <w:pStyle w:val="ONUME"/>
        <w:tabs>
          <w:tab w:val="left" w:pos="720"/>
        </w:tabs>
        <w:jc w:val="both"/>
      </w:pPr>
      <w:r>
        <w:t>As part of efforts to streamline reporting across the Organization, the Capital Master Plan (CMP) Progress Report 2015 is being included as an annex to the PPR 2014/15.  This report is the third progress report submitted to the PBC, providing Member States with an overview of progress, milestones reached and resource utilization during the period January to December 2015 under the following projects:</w:t>
      </w:r>
    </w:p>
    <w:p w:rsidR="00123DC4" w:rsidRDefault="00123DC4" w:rsidP="00123DC4">
      <w:pPr>
        <w:pStyle w:val="ONUME"/>
        <w:numPr>
          <w:ilvl w:val="1"/>
          <w:numId w:val="144"/>
        </w:numPr>
        <w:rPr>
          <w:u w:val="single"/>
        </w:rPr>
      </w:pPr>
      <w:r>
        <w:rPr>
          <w:u w:val="single"/>
        </w:rPr>
        <w:t>ICT-Related Projects</w:t>
      </w:r>
    </w:p>
    <w:p w:rsidR="00123DC4" w:rsidRDefault="00123DC4" w:rsidP="00123DC4">
      <w:pPr>
        <w:pStyle w:val="ONUME"/>
        <w:numPr>
          <w:ilvl w:val="2"/>
          <w:numId w:val="144"/>
        </w:numPr>
      </w:pPr>
      <w:r>
        <w:t xml:space="preserve">Security Enhancement: </w:t>
      </w:r>
      <w:r w:rsidR="000C34CF">
        <w:t xml:space="preserve"> </w:t>
      </w:r>
      <w:r>
        <w:t>Data Encryption and User Management (CMP 1)</w:t>
      </w:r>
    </w:p>
    <w:p w:rsidR="00123DC4" w:rsidRDefault="00123DC4" w:rsidP="00123DC4">
      <w:pPr>
        <w:pStyle w:val="ONUME"/>
        <w:numPr>
          <w:ilvl w:val="2"/>
          <w:numId w:val="144"/>
        </w:numPr>
        <w:rPr>
          <w:lang w:val="fr-CH"/>
        </w:rPr>
      </w:pPr>
      <w:r>
        <w:rPr>
          <w:lang w:val="fr-CH"/>
        </w:rPr>
        <w:t xml:space="preserve">Enterprise Content Management (ECM) </w:t>
      </w:r>
      <w:r w:rsidRPr="002A3571">
        <w:rPr>
          <w:lang w:val="fr-CH"/>
        </w:rPr>
        <w:t>Implementation</w:t>
      </w:r>
      <w:r>
        <w:rPr>
          <w:lang w:val="fr-CH"/>
        </w:rPr>
        <w:t xml:space="preserve"> (CMP 2)</w:t>
      </w:r>
    </w:p>
    <w:p w:rsidR="00123DC4" w:rsidRDefault="00123DC4" w:rsidP="00123DC4">
      <w:pPr>
        <w:pStyle w:val="ONUME"/>
        <w:numPr>
          <w:ilvl w:val="1"/>
          <w:numId w:val="144"/>
        </w:numPr>
        <w:rPr>
          <w:u w:val="single"/>
          <w:lang w:val="fr-CH"/>
        </w:rPr>
      </w:pPr>
      <w:r>
        <w:rPr>
          <w:u w:val="single"/>
          <w:lang w:val="fr-CH"/>
        </w:rPr>
        <w:t>Buildings-</w:t>
      </w:r>
      <w:r>
        <w:rPr>
          <w:u w:val="single"/>
        </w:rPr>
        <w:t>Related</w:t>
      </w:r>
      <w:r>
        <w:rPr>
          <w:u w:val="single"/>
          <w:lang w:val="fr-CH"/>
        </w:rPr>
        <w:t xml:space="preserve"> </w:t>
      </w:r>
      <w:r>
        <w:rPr>
          <w:u w:val="single"/>
        </w:rPr>
        <w:t>Projects</w:t>
      </w:r>
    </w:p>
    <w:p w:rsidR="00123DC4" w:rsidRDefault="00123DC4" w:rsidP="00123DC4">
      <w:pPr>
        <w:pStyle w:val="ONUME"/>
        <w:numPr>
          <w:ilvl w:val="2"/>
          <w:numId w:val="145"/>
        </w:numPr>
        <w:ind w:left="1710" w:hanging="576"/>
      </w:pPr>
      <w:r>
        <w:t>Renovation of the facades and cooling/heating installation of the PCT building (CMP 3)</w:t>
      </w:r>
    </w:p>
    <w:p w:rsidR="00123DC4" w:rsidRDefault="00123DC4" w:rsidP="00123DC4">
      <w:pPr>
        <w:pStyle w:val="ONUME"/>
        <w:numPr>
          <w:ilvl w:val="2"/>
          <w:numId w:val="144"/>
        </w:numPr>
        <w:ind w:left="1710" w:hanging="576"/>
      </w:pPr>
      <w:r>
        <w:t>Deployment of Geneva Lake water ("GLN") cooling system to AB and PCT Buildings (CMP 4)</w:t>
      </w:r>
    </w:p>
    <w:p w:rsidR="00123DC4" w:rsidRDefault="00123DC4" w:rsidP="00123DC4">
      <w:pPr>
        <w:pStyle w:val="ONUME"/>
        <w:numPr>
          <w:ilvl w:val="2"/>
          <w:numId w:val="144"/>
        </w:numPr>
      </w:pPr>
      <w:r>
        <w:t>Arpad Bogsch Building – phase 1 of basement renovation (resizing of data center and renovation of the printshop) (CMP 5)</w:t>
      </w:r>
    </w:p>
    <w:p w:rsidR="00123DC4" w:rsidRDefault="00123DC4" w:rsidP="00123DC4">
      <w:pPr>
        <w:pStyle w:val="ONUME"/>
        <w:numPr>
          <w:ilvl w:val="2"/>
          <w:numId w:val="144"/>
        </w:numPr>
      </w:pPr>
      <w:r>
        <w:t>Arpad Bogsch Building – replacement of certain windows (CMP 6)</w:t>
      </w:r>
    </w:p>
    <w:p w:rsidR="00123DC4" w:rsidRDefault="00123DC4" w:rsidP="00123DC4">
      <w:pPr>
        <w:pStyle w:val="ONUME"/>
        <w:numPr>
          <w:ilvl w:val="1"/>
          <w:numId w:val="144"/>
        </w:numPr>
        <w:rPr>
          <w:u w:val="single"/>
        </w:rPr>
      </w:pPr>
      <w:r>
        <w:rPr>
          <w:u w:val="single"/>
        </w:rPr>
        <w:t>Safety/Security-Related Projects</w:t>
      </w:r>
    </w:p>
    <w:p w:rsidR="00123DC4" w:rsidRDefault="00123DC4" w:rsidP="00123DC4">
      <w:pPr>
        <w:pStyle w:val="ONUME"/>
        <w:numPr>
          <w:ilvl w:val="2"/>
          <w:numId w:val="146"/>
        </w:numPr>
      </w:pPr>
      <w:r>
        <w:t>Safety and Fire Protection Measures (CMP 7)</w:t>
      </w:r>
    </w:p>
    <w:p w:rsidR="00123DC4" w:rsidRDefault="00123DC4" w:rsidP="00132057">
      <w:pPr>
        <w:rPr>
          <w:b/>
          <w:bCs/>
        </w:rPr>
      </w:pPr>
    </w:p>
    <w:p w:rsidR="00123DC4" w:rsidRPr="00225BFF" w:rsidRDefault="00123DC4" w:rsidP="00132057">
      <w:pPr>
        <w:rPr>
          <w:b/>
          <w:bCs/>
          <w:sz w:val="22"/>
          <w:szCs w:val="22"/>
        </w:rPr>
      </w:pPr>
      <w:r w:rsidRPr="00225BFF">
        <w:rPr>
          <w:b/>
          <w:bCs/>
          <w:sz w:val="22"/>
          <w:szCs w:val="22"/>
        </w:rPr>
        <w:t>II.</w:t>
      </w:r>
      <w:r w:rsidRPr="00225BFF">
        <w:rPr>
          <w:b/>
          <w:bCs/>
          <w:sz w:val="22"/>
          <w:szCs w:val="22"/>
        </w:rPr>
        <w:tab/>
        <w:t>APPROVED GOVERNANCE STRUCTURE</w:t>
      </w:r>
    </w:p>
    <w:p w:rsidR="00123DC4" w:rsidRDefault="00123DC4" w:rsidP="00132057"/>
    <w:p w:rsidR="00123DC4" w:rsidRDefault="00123DC4" w:rsidP="00132057">
      <w:pPr>
        <w:pStyle w:val="ONUME"/>
        <w:tabs>
          <w:tab w:val="left" w:pos="720"/>
        </w:tabs>
        <w:jc w:val="both"/>
      </w:pPr>
      <w:r>
        <w:t xml:space="preserve">In line with industry best practice for project management, a governance framework for the CMP was implemented in 2014 to: </w:t>
      </w:r>
      <w:r w:rsidR="000C34CF">
        <w:t xml:space="preserve"> </w:t>
      </w:r>
      <w:r>
        <w:t>(i) define the structures and processes for the management and monitoring of the activities of the projects towards the achievement of objectives, and (ii) ensure that responsibility and accountability are clearly delineated and communicated.</w:t>
      </w:r>
    </w:p>
    <w:p w:rsidR="00123DC4" w:rsidRDefault="00123DC4" w:rsidP="00132057">
      <w:pPr>
        <w:pStyle w:val="ONUME"/>
        <w:tabs>
          <w:tab w:val="left" w:pos="720"/>
        </w:tabs>
        <w:jc w:val="both"/>
      </w:pPr>
      <w:r>
        <w:t>The PBC, at the twenty-second session in September 2014, took note of the governance structure set up to manage, oversee and report on the implementation of the portfolio of CMP projects, as recorded in document WO/PBC/22/21</w:t>
      </w:r>
      <w:r>
        <w:rPr>
          <w:rStyle w:val="FootnoteReference"/>
        </w:rPr>
        <w:footnoteReference w:id="170"/>
      </w:r>
      <w:r>
        <w:t>.</w:t>
      </w:r>
    </w:p>
    <w:p w:rsidR="00123DC4" w:rsidRDefault="00123DC4" w:rsidP="00132057">
      <w:pPr>
        <w:jc w:val="right"/>
      </w:pPr>
    </w:p>
    <w:p w:rsidR="00123DC4" w:rsidRDefault="00123DC4">
      <w:pPr>
        <w:rPr>
          <w:b/>
          <w:sz w:val="22"/>
        </w:rPr>
      </w:pPr>
      <w:r>
        <w:rPr>
          <w:b/>
          <w:sz w:val="22"/>
        </w:rPr>
        <w:br w:type="page"/>
      </w:r>
    </w:p>
    <w:p w:rsidR="00123DC4" w:rsidRDefault="00123DC4" w:rsidP="00132057">
      <w:pPr>
        <w:rPr>
          <w:b/>
          <w:sz w:val="22"/>
        </w:rPr>
      </w:pPr>
      <w:r w:rsidRPr="00994B87">
        <w:rPr>
          <w:b/>
          <w:sz w:val="22"/>
        </w:rPr>
        <w:t>ICT-RELATED PROJECTS</w:t>
      </w:r>
    </w:p>
    <w:p w:rsidR="00123DC4" w:rsidRPr="00994B87" w:rsidRDefault="00123DC4" w:rsidP="00132057">
      <w:pPr>
        <w:rPr>
          <w:b/>
          <w:sz w:val="22"/>
        </w:rPr>
      </w:pPr>
    </w:p>
    <w:p w:rsidR="00123DC4" w:rsidRPr="00456D61" w:rsidRDefault="00123DC4" w:rsidP="00132057">
      <w:pPr>
        <w:pStyle w:val="StyleHeading3BoldNounderline"/>
        <w:spacing w:before="0" w:after="0"/>
        <w:ind w:left="1418" w:hanging="1418"/>
        <w:rPr>
          <w:b/>
          <w:sz w:val="20"/>
        </w:rPr>
      </w:pPr>
      <w:bookmarkStart w:id="120" w:name="_Toc422210523"/>
      <w:bookmarkStart w:id="121" w:name="_Toc454544508"/>
      <w:r w:rsidRPr="00456D61">
        <w:rPr>
          <w:b/>
          <w:sz w:val="20"/>
        </w:rPr>
        <w:t>PROJECT</w:t>
      </w:r>
      <w:r>
        <w:rPr>
          <w:b/>
          <w:sz w:val="20"/>
        </w:rPr>
        <w:t xml:space="preserve"> 1</w:t>
      </w:r>
      <w:r>
        <w:rPr>
          <w:b/>
          <w:sz w:val="20"/>
        </w:rPr>
        <w:tab/>
      </w:r>
      <w:r w:rsidRPr="00456D61">
        <w:rPr>
          <w:b/>
          <w:sz w:val="20"/>
        </w:rPr>
        <w:t>SECURITY ENHANCEMENT:  DATA ENCRYPTION AND USER MANAGEMENT</w:t>
      </w:r>
      <w:bookmarkEnd w:id="120"/>
      <w:r>
        <w:rPr>
          <w:b/>
          <w:sz w:val="20"/>
        </w:rPr>
        <w:t xml:space="preserve"> (CMP 1)</w:t>
      </w:r>
      <w:bookmarkEnd w:id="121"/>
    </w:p>
    <w:p w:rsidR="00123DC4" w:rsidRPr="00BD2266" w:rsidRDefault="00123DC4" w:rsidP="00132057">
      <w:pPr>
        <w:rPr>
          <w:szCs w:val="20"/>
        </w:rPr>
      </w:pPr>
    </w:p>
    <w:p w:rsidR="00123DC4" w:rsidRPr="00BD2266" w:rsidRDefault="00123DC4" w:rsidP="00132057">
      <w:pPr>
        <w:rPr>
          <w:b/>
          <w:szCs w:val="20"/>
        </w:rPr>
      </w:pPr>
      <w:r w:rsidRPr="00BD2266">
        <w:rPr>
          <w:b/>
          <w:szCs w:val="20"/>
        </w:rPr>
        <w:t>Project Manager</w:t>
      </w:r>
      <w:r w:rsidRPr="00BD2266">
        <w:rPr>
          <w:b/>
          <w:szCs w:val="20"/>
        </w:rPr>
        <w:tab/>
        <w:t>Mr. R. LANE</w:t>
      </w:r>
    </w:p>
    <w:p w:rsidR="00123DC4" w:rsidRPr="00BD2266" w:rsidRDefault="00123DC4" w:rsidP="00132057">
      <w:pPr>
        <w:rPr>
          <w:szCs w:val="20"/>
        </w:rPr>
      </w:pPr>
    </w:p>
    <w:p w:rsidR="00123DC4" w:rsidRPr="00BD2266" w:rsidRDefault="00123DC4" w:rsidP="00132057">
      <w:pPr>
        <w:rPr>
          <w:bCs/>
          <w:szCs w:val="20"/>
        </w:rPr>
      </w:pPr>
    </w:p>
    <w:p w:rsidR="00123DC4" w:rsidRPr="00225BFF" w:rsidRDefault="00123DC4" w:rsidP="00132057">
      <w:pPr>
        <w:rPr>
          <w:bCs/>
          <w:szCs w:val="20"/>
        </w:rPr>
      </w:pPr>
      <w:r w:rsidRPr="00225BFF">
        <w:rPr>
          <w:bCs/>
          <w:szCs w:val="20"/>
        </w:rPr>
        <w:t>EXPECTED RESULT</w:t>
      </w:r>
    </w:p>
    <w:p w:rsidR="00123DC4" w:rsidRPr="00BD2266" w:rsidRDefault="00123DC4" w:rsidP="00132057">
      <w:pPr>
        <w:rPr>
          <w:bCs/>
          <w:szCs w:val="20"/>
        </w:rPr>
      </w:pPr>
    </w:p>
    <w:p w:rsidR="00123DC4" w:rsidRPr="00BD2266" w:rsidRDefault="00123DC4" w:rsidP="00132057">
      <w:pPr>
        <w:jc w:val="both"/>
        <w:rPr>
          <w:i/>
          <w:iCs/>
          <w:szCs w:val="20"/>
        </w:rPr>
      </w:pPr>
      <w:r w:rsidRPr="00BD2266">
        <w:rPr>
          <w:i/>
          <w:iCs/>
          <w:szCs w:val="20"/>
        </w:rPr>
        <w:t>IX.1  Effective, efficient, quality and customer-oriented support services both to internal clients and to external stakeholders</w:t>
      </w:r>
    </w:p>
    <w:p w:rsidR="00123DC4" w:rsidRPr="00BD2266" w:rsidRDefault="00123DC4" w:rsidP="00132057">
      <w:pPr>
        <w:jc w:val="both"/>
        <w:rPr>
          <w:i/>
          <w:iCs/>
          <w:szCs w:val="20"/>
        </w:rPr>
      </w:pPr>
    </w:p>
    <w:p w:rsidR="00123DC4" w:rsidRDefault="00123DC4" w:rsidP="00123DC4">
      <w:pPr>
        <w:pStyle w:val="ONUME"/>
        <w:numPr>
          <w:ilvl w:val="0"/>
          <w:numId w:val="130"/>
        </w:numPr>
        <w:tabs>
          <w:tab w:val="left" w:pos="567"/>
        </w:tabs>
        <w:spacing w:after="0"/>
        <w:ind w:left="0" w:firstLine="0"/>
        <w:jc w:val="both"/>
        <w:rPr>
          <w:iCs/>
        </w:rPr>
      </w:pPr>
      <w:r w:rsidRPr="00BD2266">
        <w:rPr>
          <w:iCs/>
        </w:rPr>
        <w:t>Implementing data encryption and user management would enhance WIPO's ability to respond to increasing information security threats, while allowing more cost-effective sourcing options to be considered and increasing number of user access rights to be comprehensively managed.</w:t>
      </w:r>
    </w:p>
    <w:p w:rsidR="00123DC4" w:rsidRDefault="00123DC4" w:rsidP="00132057">
      <w:pPr>
        <w:pStyle w:val="ONUME"/>
        <w:tabs>
          <w:tab w:val="left" w:pos="567"/>
        </w:tabs>
        <w:spacing w:after="0"/>
        <w:jc w:val="both"/>
        <w:rPr>
          <w:iCs/>
        </w:rPr>
      </w:pPr>
    </w:p>
    <w:p w:rsidR="00545826" w:rsidRDefault="00545826" w:rsidP="00132057">
      <w:pPr>
        <w:pStyle w:val="ONUME"/>
        <w:tabs>
          <w:tab w:val="left" w:pos="567"/>
        </w:tabs>
        <w:spacing w:after="0"/>
        <w:jc w:val="both"/>
        <w:rPr>
          <w:iCs/>
        </w:rPr>
      </w:pPr>
    </w:p>
    <w:p w:rsidR="00123DC4" w:rsidRPr="00225BFF" w:rsidRDefault="00123DC4" w:rsidP="00132057">
      <w:pPr>
        <w:rPr>
          <w:bCs/>
          <w:szCs w:val="22"/>
        </w:rPr>
      </w:pPr>
      <w:r w:rsidRPr="00225BFF">
        <w:rPr>
          <w:bCs/>
          <w:szCs w:val="22"/>
        </w:rPr>
        <w:t>OBJECTIVES, SCOPE AND APPROACH – BACKGROUND</w:t>
      </w:r>
    </w:p>
    <w:p w:rsidR="00123DC4" w:rsidRPr="00BD2266" w:rsidRDefault="00123DC4" w:rsidP="00132057">
      <w:pPr>
        <w:rPr>
          <w:bCs/>
          <w:szCs w:val="20"/>
        </w:rPr>
      </w:pPr>
    </w:p>
    <w:p w:rsidR="00123DC4" w:rsidRPr="00BD2266" w:rsidRDefault="00123DC4" w:rsidP="00123DC4">
      <w:pPr>
        <w:pStyle w:val="ONUME"/>
        <w:numPr>
          <w:ilvl w:val="0"/>
          <w:numId w:val="130"/>
        </w:numPr>
        <w:tabs>
          <w:tab w:val="left" w:pos="567"/>
        </w:tabs>
        <w:ind w:left="0" w:firstLine="0"/>
        <w:jc w:val="both"/>
      </w:pPr>
      <w:r w:rsidRPr="00C06C6E">
        <w:rPr>
          <w:iCs/>
        </w:rPr>
        <w:t>This</w:t>
      </w:r>
      <w:r w:rsidRPr="00BD2266">
        <w:rPr>
          <w:bCs/>
        </w:rPr>
        <w:t xml:space="preserve"> project serves three primary objectives – protecting the essential data, enabling more cost-effective sourcing options, and holistically managing user access rights.</w:t>
      </w:r>
    </w:p>
    <w:p w:rsidR="00123DC4" w:rsidRPr="00BD2266" w:rsidRDefault="00123DC4" w:rsidP="00123DC4">
      <w:pPr>
        <w:pStyle w:val="ONUME"/>
        <w:numPr>
          <w:ilvl w:val="0"/>
          <w:numId w:val="130"/>
        </w:numPr>
        <w:tabs>
          <w:tab w:val="left" w:pos="567"/>
        </w:tabs>
        <w:ind w:left="0" w:firstLine="0"/>
        <w:jc w:val="both"/>
      </w:pPr>
      <w:r w:rsidRPr="00BD2266">
        <w:rPr>
          <w:bCs/>
        </w:rPr>
        <w:t>WIPO has already taken multifaceted approaches in protecting confidential information.  These approaches include traditional perimeter defense mechanisms, security information and event management system</w:t>
      </w:r>
      <w:r>
        <w:rPr>
          <w:bCs/>
        </w:rPr>
        <w:t>s</w:t>
      </w:r>
      <w:r w:rsidRPr="00BD2266">
        <w:rPr>
          <w:bCs/>
        </w:rPr>
        <w:t xml:space="preserve">, </w:t>
      </w:r>
      <w:r>
        <w:rPr>
          <w:bCs/>
        </w:rPr>
        <w:t xml:space="preserve">and </w:t>
      </w:r>
      <w:r w:rsidRPr="00BD2266">
        <w:rPr>
          <w:bCs/>
        </w:rPr>
        <w:t>intrusion detection and prevention</w:t>
      </w:r>
      <w:r>
        <w:rPr>
          <w:bCs/>
        </w:rPr>
        <w:t>, among others</w:t>
      </w:r>
      <w:r w:rsidRPr="00BD2266">
        <w:rPr>
          <w:bCs/>
        </w:rPr>
        <w:t>.  However, in response to increasingly sophisticated security threats, information security best practices have now also put emphasis on protecting the source directly.</w:t>
      </w:r>
    </w:p>
    <w:p w:rsidR="00123DC4" w:rsidRPr="00BD2266" w:rsidRDefault="00123DC4" w:rsidP="00123DC4">
      <w:pPr>
        <w:pStyle w:val="ONUME"/>
        <w:numPr>
          <w:ilvl w:val="0"/>
          <w:numId w:val="130"/>
        </w:numPr>
        <w:tabs>
          <w:tab w:val="left" w:pos="567"/>
        </w:tabs>
        <w:ind w:left="0" w:firstLine="0"/>
        <w:jc w:val="both"/>
      </w:pPr>
      <w:r w:rsidRPr="00C06C6E">
        <w:rPr>
          <w:iCs/>
        </w:rPr>
        <w:t>In</w:t>
      </w:r>
      <w:r w:rsidRPr="00BD2266">
        <w:rPr>
          <w:bCs/>
        </w:rPr>
        <w:t xml:space="preserve"> addition, having cost-effective sourcing options available is a necessity in today's world of information technology management, which expects diversified and rapidly changing competencies on the one hand and the ability to quickly mobilize the workforce in respon</w:t>
      </w:r>
      <w:r>
        <w:rPr>
          <w:bCs/>
        </w:rPr>
        <w:t>se</w:t>
      </w:r>
      <w:r w:rsidRPr="00BD2266">
        <w:rPr>
          <w:bCs/>
        </w:rPr>
        <w:t xml:space="preserve"> to changing business priorities on the other. </w:t>
      </w:r>
      <w:r>
        <w:rPr>
          <w:bCs/>
        </w:rPr>
        <w:t xml:space="preserve"> </w:t>
      </w:r>
      <w:r w:rsidRPr="00BD2266">
        <w:rPr>
          <w:bCs/>
        </w:rPr>
        <w:t>However, the increase of sourcing options also brings the increase of information security exposures.</w:t>
      </w:r>
    </w:p>
    <w:p w:rsidR="00123DC4" w:rsidRPr="00BD2266" w:rsidRDefault="00123DC4" w:rsidP="00123DC4">
      <w:pPr>
        <w:pStyle w:val="ONUME"/>
        <w:numPr>
          <w:ilvl w:val="0"/>
          <w:numId w:val="130"/>
        </w:numPr>
        <w:tabs>
          <w:tab w:val="left" w:pos="567"/>
        </w:tabs>
        <w:ind w:left="0" w:firstLine="0"/>
        <w:jc w:val="both"/>
        <w:rPr>
          <w:bCs/>
        </w:rPr>
      </w:pPr>
      <w:r w:rsidRPr="00BD2266">
        <w:rPr>
          <w:bCs/>
        </w:rPr>
        <w:t xml:space="preserve">Enterprise data encryption technologies can provide effective solutions in response to these two challenges. </w:t>
      </w:r>
      <w:r>
        <w:rPr>
          <w:bCs/>
        </w:rPr>
        <w:t xml:space="preserve"> </w:t>
      </w:r>
      <w:r w:rsidRPr="00BD2266">
        <w:rPr>
          <w:bCs/>
        </w:rPr>
        <w:t>Such solutions complement other information security measures by encrypting the data source.  They also allow more flexibility in choosing cost-effective service providers by keeping the encryption under tight control while enabling the service providers to perform their support functions.</w:t>
      </w:r>
    </w:p>
    <w:p w:rsidR="00123DC4" w:rsidRPr="00BD2266" w:rsidRDefault="00123DC4" w:rsidP="00123DC4">
      <w:pPr>
        <w:pStyle w:val="ONUME"/>
        <w:numPr>
          <w:ilvl w:val="0"/>
          <w:numId w:val="130"/>
        </w:numPr>
        <w:tabs>
          <w:tab w:val="left" w:pos="567"/>
        </w:tabs>
        <w:ind w:left="0" w:firstLine="0"/>
        <w:jc w:val="both"/>
        <w:rPr>
          <w:bCs/>
        </w:rPr>
      </w:pPr>
      <w:r w:rsidRPr="00BD2266">
        <w:rPr>
          <w:bCs/>
        </w:rPr>
        <w:t>Effective access rights management further compl</w:t>
      </w:r>
      <w:r>
        <w:rPr>
          <w:bCs/>
        </w:rPr>
        <w:t>e</w:t>
      </w:r>
      <w:r w:rsidRPr="00BD2266">
        <w:rPr>
          <w:bCs/>
        </w:rPr>
        <w:t xml:space="preserve">ments the investments in enterprise data encryption solutions.  Traditionally, access rights management is focused on systems.  That is, given a system, it should be clear who has access to what.  This mechanism can be effective when number of users and software applications are relatively small. </w:t>
      </w:r>
    </w:p>
    <w:p w:rsidR="00123DC4" w:rsidRPr="00C06C6E" w:rsidRDefault="00123DC4" w:rsidP="00123DC4">
      <w:pPr>
        <w:pStyle w:val="ONUME"/>
        <w:numPr>
          <w:ilvl w:val="0"/>
          <w:numId w:val="130"/>
        </w:numPr>
        <w:tabs>
          <w:tab w:val="left" w:pos="567"/>
        </w:tabs>
        <w:ind w:left="0" w:firstLine="0"/>
        <w:jc w:val="both"/>
        <w:rPr>
          <w:iCs/>
        </w:rPr>
      </w:pPr>
      <w:r w:rsidRPr="00C06C6E">
        <w:rPr>
          <w:iCs/>
        </w:rPr>
        <w:t>However, it is expected that, as WIPO continues to enhance its online services, the number of users will steadily increase in the coming years.  Investments are needed for solutions that focus the access rights management on users.  That is, given a user, it should be clear what access rights the user has across the entire spectrum of the systems.</w:t>
      </w:r>
    </w:p>
    <w:p w:rsidR="00123DC4" w:rsidRDefault="00123DC4" w:rsidP="00123DC4">
      <w:pPr>
        <w:pStyle w:val="ONUME"/>
        <w:numPr>
          <w:ilvl w:val="0"/>
          <w:numId w:val="130"/>
        </w:numPr>
        <w:tabs>
          <w:tab w:val="left" w:pos="567"/>
        </w:tabs>
        <w:spacing w:after="0"/>
        <w:ind w:left="0" w:firstLine="0"/>
        <w:jc w:val="both"/>
        <w:rPr>
          <w:iCs/>
        </w:rPr>
      </w:pPr>
      <w:r w:rsidRPr="00C06C6E">
        <w:rPr>
          <w:iCs/>
        </w:rPr>
        <w:t xml:space="preserve">In the future, technologies may become even more mature to manage access rights according to users’ roles within and across complex systems, such as ERP.  At present, it is difficult to forecast where and how such technologies will evolve. </w:t>
      </w:r>
      <w:r>
        <w:rPr>
          <w:iCs/>
        </w:rPr>
        <w:t xml:space="preserve"> </w:t>
      </w:r>
      <w:r w:rsidRPr="00C06C6E">
        <w:rPr>
          <w:iCs/>
        </w:rPr>
        <w:t>Therefore this has not been included as part of the scope of this project.</w:t>
      </w:r>
    </w:p>
    <w:p w:rsidR="00123DC4" w:rsidRDefault="00123DC4" w:rsidP="00132057">
      <w:pPr>
        <w:pStyle w:val="ONUME"/>
        <w:tabs>
          <w:tab w:val="left" w:pos="567"/>
        </w:tabs>
        <w:spacing w:after="0"/>
        <w:jc w:val="both"/>
        <w:rPr>
          <w:iCs/>
        </w:rPr>
      </w:pPr>
    </w:p>
    <w:p w:rsidR="00545826" w:rsidRDefault="00545826" w:rsidP="00132057">
      <w:pPr>
        <w:pStyle w:val="ONUME"/>
        <w:tabs>
          <w:tab w:val="left" w:pos="567"/>
        </w:tabs>
        <w:spacing w:after="0"/>
        <w:jc w:val="both"/>
        <w:rPr>
          <w:iCs/>
        </w:rPr>
      </w:pPr>
    </w:p>
    <w:p w:rsidR="00123DC4" w:rsidRPr="00225BFF" w:rsidRDefault="00123DC4" w:rsidP="00132057">
      <w:pPr>
        <w:keepNext/>
        <w:keepLines/>
        <w:rPr>
          <w:bCs/>
          <w:szCs w:val="20"/>
        </w:rPr>
      </w:pPr>
      <w:r w:rsidRPr="00225BFF">
        <w:rPr>
          <w:bCs/>
          <w:szCs w:val="20"/>
        </w:rPr>
        <w:t>OVERVIEW OF PROGRESS IN 2015 (KEY MILESTONES)</w:t>
      </w:r>
    </w:p>
    <w:p w:rsidR="00123DC4" w:rsidRPr="00BD2266" w:rsidRDefault="00123DC4" w:rsidP="00132057">
      <w:pPr>
        <w:keepNext/>
        <w:keepLines/>
        <w:rPr>
          <w:bCs/>
          <w:szCs w:val="20"/>
          <w:highlight w:val="yellow"/>
        </w:rPr>
      </w:pPr>
    </w:p>
    <w:p w:rsidR="00123DC4" w:rsidRDefault="00123DC4" w:rsidP="00123DC4">
      <w:pPr>
        <w:pStyle w:val="ONUME"/>
        <w:numPr>
          <w:ilvl w:val="0"/>
          <w:numId w:val="130"/>
        </w:numPr>
        <w:tabs>
          <w:tab w:val="left" w:pos="567"/>
        </w:tabs>
        <w:spacing w:after="0"/>
        <w:ind w:left="0" w:firstLine="0"/>
        <w:jc w:val="both"/>
        <w:rPr>
          <w:bCs/>
        </w:rPr>
      </w:pPr>
      <w:r>
        <w:rPr>
          <w:bCs/>
        </w:rPr>
        <w:t>Limited progress was made on this project in 2015 due to operational exigencies within Information Security, as well as the establishment in February 2015 of a separate Information Assurance and Security Division (SIAD).  Under the leadership of the newly created Chief Security Officer, a selection process for an independent expert to perform an assessment of the Current State of Encryption and User Management (Identity and Access Management (IAM)), to provide a reference architecture solution, as well as an implementation roadmap of process and technical solutions,</w:t>
      </w:r>
      <w:r w:rsidRPr="00573D87">
        <w:rPr>
          <w:bCs/>
        </w:rPr>
        <w:t xml:space="preserve"> </w:t>
      </w:r>
      <w:r>
        <w:rPr>
          <w:bCs/>
        </w:rPr>
        <w:t>was launched in mid-2015.  The assessment commenced in November 2015.  This first milestone is expected to be completed in mid</w:t>
      </w:r>
      <w:r>
        <w:rPr>
          <w:bCs/>
        </w:rPr>
        <w:noBreakHyphen/>
        <w:t xml:space="preserve">2016, providing the requisite basis to define the more detailed project implementation. </w:t>
      </w:r>
    </w:p>
    <w:p w:rsidR="00123DC4" w:rsidRDefault="00123DC4" w:rsidP="00132057">
      <w:pPr>
        <w:jc w:val="both"/>
        <w:rPr>
          <w:bCs/>
          <w:szCs w:val="20"/>
        </w:rPr>
      </w:pPr>
    </w:p>
    <w:p w:rsidR="00123DC4" w:rsidRPr="00575D8B" w:rsidRDefault="00123DC4" w:rsidP="00123DC4">
      <w:pPr>
        <w:pStyle w:val="ONUME"/>
        <w:numPr>
          <w:ilvl w:val="0"/>
          <w:numId w:val="130"/>
        </w:numPr>
        <w:tabs>
          <w:tab w:val="left" w:pos="567"/>
        </w:tabs>
        <w:spacing w:after="0"/>
        <w:ind w:left="0" w:firstLine="0"/>
        <w:jc w:val="both"/>
        <w:rPr>
          <w:bCs/>
        </w:rPr>
      </w:pPr>
      <w:r w:rsidRPr="00CC07E1">
        <w:rPr>
          <w:bCs/>
        </w:rPr>
        <w:t xml:space="preserve">Due to the </w:t>
      </w:r>
      <w:r>
        <w:rPr>
          <w:bCs/>
        </w:rPr>
        <w:t xml:space="preserve">additional due diligence, including a more rigorous internal approval process, </w:t>
      </w:r>
      <w:r w:rsidRPr="00CC07E1">
        <w:rPr>
          <w:bCs/>
        </w:rPr>
        <w:t xml:space="preserve">with regard to the selection of the </w:t>
      </w:r>
      <w:r>
        <w:rPr>
          <w:bCs/>
        </w:rPr>
        <w:t>independent expert</w:t>
      </w:r>
      <w:r w:rsidRPr="00CC07E1">
        <w:rPr>
          <w:bCs/>
        </w:rPr>
        <w:t xml:space="preserve">, </w:t>
      </w:r>
      <w:r>
        <w:rPr>
          <w:bCs/>
        </w:rPr>
        <w:t>the selection p</w:t>
      </w:r>
      <w:r w:rsidRPr="00CC07E1">
        <w:rPr>
          <w:bCs/>
        </w:rPr>
        <w:t>rocess took longer than expected, thereby resulting in a delay of the project schedule.</w:t>
      </w:r>
      <w:r>
        <w:rPr>
          <w:bCs/>
        </w:rPr>
        <w:t xml:space="preserve">  The project timeline has been updated accordingly. </w:t>
      </w:r>
    </w:p>
    <w:p w:rsidR="00123DC4" w:rsidRDefault="00123DC4" w:rsidP="00132057">
      <w:pPr>
        <w:keepNext/>
        <w:keepLines/>
        <w:rPr>
          <w:bCs/>
          <w:szCs w:val="22"/>
        </w:rPr>
      </w:pPr>
    </w:p>
    <w:p w:rsidR="00545826" w:rsidRPr="0074545A" w:rsidRDefault="00545826" w:rsidP="00132057">
      <w:pPr>
        <w:keepNext/>
        <w:keepLines/>
        <w:rPr>
          <w:bCs/>
          <w:szCs w:val="22"/>
        </w:rPr>
      </w:pPr>
    </w:p>
    <w:p w:rsidR="00123DC4" w:rsidRPr="00225BFF" w:rsidRDefault="00123DC4" w:rsidP="00132057">
      <w:pPr>
        <w:keepNext/>
        <w:keepLines/>
        <w:rPr>
          <w:rFonts w:cs="Arial"/>
          <w:color w:val="000000"/>
          <w:szCs w:val="22"/>
        </w:rPr>
      </w:pPr>
      <w:r w:rsidRPr="00225BFF">
        <w:rPr>
          <w:bCs/>
          <w:szCs w:val="22"/>
        </w:rPr>
        <w:t>BENEFITS REALIZATION</w:t>
      </w:r>
      <w:r w:rsidRPr="00225BFF">
        <w:rPr>
          <w:rFonts w:cs="Arial"/>
          <w:color w:val="000000"/>
          <w:szCs w:val="22"/>
        </w:rPr>
        <w:t xml:space="preserve"> </w:t>
      </w:r>
    </w:p>
    <w:p w:rsidR="00123DC4" w:rsidRDefault="00123DC4" w:rsidP="00132057">
      <w:pPr>
        <w:keepNext/>
        <w:keepLines/>
        <w:rPr>
          <w:rFonts w:cs="Arial"/>
          <w:color w:val="000000"/>
          <w:sz w:val="22"/>
          <w:szCs w:val="22"/>
        </w:rPr>
      </w:pPr>
    </w:p>
    <w:tbl>
      <w:tblPr>
        <w:tblW w:w="3693" w:type="pct"/>
        <w:jc w:val="center"/>
        <w:tblInd w:w="-2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69"/>
      </w:tblGrid>
      <w:tr w:rsidR="00123DC4" w:rsidRPr="0063640E" w:rsidTr="00132057">
        <w:trPr>
          <w:trHeight w:val="535"/>
          <w:tblHeader/>
          <w:jc w:val="center"/>
        </w:trPr>
        <w:tc>
          <w:tcPr>
            <w:tcW w:w="5000" w:type="pct"/>
            <w:shd w:val="clear" w:color="auto" w:fill="C6D9F1" w:themeFill="text2" w:themeFillTint="33"/>
            <w:vAlign w:val="center"/>
          </w:tcPr>
          <w:p w:rsidR="00123DC4" w:rsidRPr="0063640E" w:rsidRDefault="00123DC4" w:rsidP="00132057">
            <w:pPr>
              <w:jc w:val="center"/>
              <w:rPr>
                <w:b/>
                <w:bCs/>
                <w:sz w:val="16"/>
                <w:szCs w:val="16"/>
              </w:rPr>
            </w:pPr>
            <w:r>
              <w:rPr>
                <w:b/>
                <w:bCs/>
                <w:sz w:val="16"/>
                <w:szCs w:val="16"/>
              </w:rPr>
              <w:t>Expected Benefits 2017</w:t>
            </w:r>
          </w:p>
        </w:tc>
      </w:tr>
      <w:tr w:rsidR="00123DC4" w:rsidRPr="00FA5701" w:rsidTr="00132057">
        <w:trPr>
          <w:trHeight w:val="564"/>
          <w:jc w:val="center"/>
        </w:trPr>
        <w:tc>
          <w:tcPr>
            <w:tcW w:w="5000" w:type="pct"/>
            <w:shd w:val="clear" w:color="auto" w:fill="auto"/>
          </w:tcPr>
          <w:p w:rsidR="00123DC4" w:rsidRDefault="00123DC4" w:rsidP="00132057">
            <w:pPr>
              <w:rPr>
                <w:bCs/>
                <w:iCs/>
                <w:sz w:val="16"/>
                <w:szCs w:val="16"/>
              </w:rPr>
            </w:pPr>
          </w:p>
          <w:p w:rsidR="00123DC4" w:rsidRDefault="00123DC4" w:rsidP="00132057">
            <w:pPr>
              <w:rPr>
                <w:bCs/>
                <w:iCs/>
                <w:sz w:val="16"/>
                <w:szCs w:val="16"/>
              </w:rPr>
            </w:pPr>
            <w:r>
              <w:rPr>
                <w:bCs/>
                <w:iCs/>
                <w:sz w:val="16"/>
                <w:szCs w:val="16"/>
              </w:rPr>
              <w:t>The i</w:t>
            </w:r>
            <w:r w:rsidRPr="00980D7C">
              <w:rPr>
                <w:bCs/>
                <w:iCs/>
                <w:sz w:val="16"/>
                <w:szCs w:val="16"/>
              </w:rPr>
              <w:t xml:space="preserve">mplementation of </w:t>
            </w:r>
            <w:r>
              <w:rPr>
                <w:bCs/>
                <w:iCs/>
                <w:sz w:val="16"/>
                <w:szCs w:val="16"/>
              </w:rPr>
              <w:t>the architectural, process and technical solutions to enhance IAM and Encryption will result in:</w:t>
            </w:r>
          </w:p>
          <w:p w:rsidR="00123DC4" w:rsidRDefault="00123DC4" w:rsidP="00132057">
            <w:pPr>
              <w:rPr>
                <w:bCs/>
                <w:iCs/>
                <w:sz w:val="16"/>
                <w:szCs w:val="16"/>
              </w:rPr>
            </w:pPr>
          </w:p>
          <w:p w:rsidR="00123DC4" w:rsidRPr="00CA2E9C" w:rsidRDefault="00123DC4" w:rsidP="00123DC4">
            <w:pPr>
              <w:pStyle w:val="ListParagraph"/>
              <w:numPr>
                <w:ilvl w:val="0"/>
                <w:numId w:val="137"/>
              </w:numPr>
              <w:rPr>
                <w:bCs/>
                <w:iCs/>
                <w:sz w:val="16"/>
                <w:szCs w:val="16"/>
              </w:rPr>
            </w:pPr>
            <w:r>
              <w:rPr>
                <w:bCs/>
                <w:iCs/>
                <w:sz w:val="16"/>
                <w:szCs w:val="16"/>
              </w:rPr>
              <w:t xml:space="preserve">the </w:t>
            </w:r>
            <w:r w:rsidRPr="00CA2E9C">
              <w:rPr>
                <w:bCs/>
                <w:iCs/>
                <w:sz w:val="16"/>
                <w:szCs w:val="16"/>
              </w:rPr>
              <w:t xml:space="preserve">standardization and reuse of Encryption and IAM reference security architecture across </w:t>
            </w:r>
            <w:r>
              <w:rPr>
                <w:bCs/>
                <w:iCs/>
                <w:sz w:val="16"/>
                <w:szCs w:val="16"/>
              </w:rPr>
              <w:t xml:space="preserve">critical </w:t>
            </w:r>
            <w:r w:rsidRPr="00CA2E9C">
              <w:rPr>
                <w:bCs/>
                <w:iCs/>
                <w:sz w:val="16"/>
                <w:szCs w:val="16"/>
              </w:rPr>
              <w:t>WIPO systems and applications;</w:t>
            </w:r>
            <w:r>
              <w:rPr>
                <w:bCs/>
                <w:iCs/>
                <w:sz w:val="16"/>
                <w:szCs w:val="16"/>
              </w:rPr>
              <w:t xml:space="preserve"> </w:t>
            </w:r>
            <w:r w:rsidRPr="00CA2E9C">
              <w:rPr>
                <w:bCs/>
                <w:iCs/>
                <w:sz w:val="16"/>
                <w:szCs w:val="16"/>
              </w:rPr>
              <w:t xml:space="preserve"> and</w:t>
            </w:r>
          </w:p>
          <w:p w:rsidR="00123DC4" w:rsidRPr="00CA2E9C" w:rsidRDefault="00123DC4" w:rsidP="00123DC4">
            <w:pPr>
              <w:pStyle w:val="ListParagraph"/>
              <w:numPr>
                <w:ilvl w:val="0"/>
                <w:numId w:val="137"/>
              </w:numPr>
              <w:rPr>
                <w:bCs/>
                <w:iCs/>
                <w:sz w:val="16"/>
                <w:szCs w:val="16"/>
              </w:rPr>
            </w:pPr>
            <w:r>
              <w:rPr>
                <w:bCs/>
                <w:iCs/>
                <w:sz w:val="16"/>
                <w:szCs w:val="16"/>
              </w:rPr>
              <w:t>the enhanced protection of sensitive information assets from unauthorized access and/or disclosure.</w:t>
            </w:r>
            <w:r w:rsidRPr="00CA2E9C">
              <w:rPr>
                <w:bCs/>
                <w:iCs/>
                <w:sz w:val="16"/>
                <w:szCs w:val="16"/>
              </w:rPr>
              <w:t xml:space="preserve"> </w:t>
            </w:r>
          </w:p>
        </w:tc>
      </w:tr>
    </w:tbl>
    <w:p w:rsidR="00123DC4" w:rsidRDefault="00123DC4" w:rsidP="00132057">
      <w:pPr>
        <w:keepNext/>
        <w:keepLines/>
        <w:rPr>
          <w:rFonts w:cs="Arial"/>
          <w:color w:val="000000"/>
          <w:szCs w:val="22"/>
        </w:rPr>
      </w:pPr>
    </w:p>
    <w:p w:rsidR="00545826" w:rsidRPr="0074545A" w:rsidRDefault="00545826" w:rsidP="00132057">
      <w:pPr>
        <w:keepNext/>
        <w:keepLines/>
        <w:rPr>
          <w:rFonts w:cs="Arial"/>
          <w:color w:val="000000"/>
          <w:szCs w:val="22"/>
        </w:rPr>
      </w:pPr>
    </w:p>
    <w:p w:rsidR="00123DC4" w:rsidRPr="00225BFF" w:rsidRDefault="00123DC4" w:rsidP="00132057">
      <w:pPr>
        <w:keepNext/>
        <w:keepLines/>
        <w:rPr>
          <w:rFonts w:cs="Arial"/>
          <w:color w:val="000000"/>
          <w:szCs w:val="20"/>
        </w:rPr>
      </w:pPr>
      <w:r w:rsidRPr="00225BFF">
        <w:rPr>
          <w:rFonts w:cs="Arial"/>
          <w:color w:val="000000"/>
          <w:szCs w:val="20"/>
        </w:rPr>
        <w:t>RESOURCE UTILIZATION</w:t>
      </w:r>
      <w:r w:rsidRPr="00225BFF">
        <w:rPr>
          <w:rStyle w:val="FootnoteReference"/>
          <w:szCs w:val="20"/>
        </w:rPr>
        <w:footnoteReference w:id="171"/>
      </w:r>
      <w:r w:rsidRPr="00225BFF">
        <w:rPr>
          <w:rFonts w:cs="Arial"/>
          <w:color w:val="000000"/>
          <w:szCs w:val="20"/>
        </w:rPr>
        <w:tab/>
      </w:r>
    </w:p>
    <w:p w:rsidR="00123DC4" w:rsidRPr="00BD2266" w:rsidRDefault="00123DC4" w:rsidP="00132057">
      <w:pPr>
        <w:keepNext/>
        <w:keepLines/>
        <w:rPr>
          <w:rFonts w:cs="Arial"/>
          <w:color w:val="000000"/>
          <w:szCs w:val="20"/>
        </w:rPr>
      </w:pPr>
    </w:p>
    <w:p w:rsidR="00123DC4" w:rsidRPr="001162BB" w:rsidRDefault="00123DC4" w:rsidP="00132057">
      <w:pPr>
        <w:keepNext/>
        <w:keepLines/>
        <w:tabs>
          <w:tab w:val="left" w:pos="3261"/>
        </w:tabs>
        <w:autoSpaceDE w:val="0"/>
        <w:autoSpaceDN w:val="0"/>
        <w:adjustRightInd w:val="0"/>
        <w:jc w:val="center"/>
        <w:rPr>
          <w:b/>
          <w:szCs w:val="22"/>
        </w:rPr>
      </w:pPr>
      <w:r>
        <w:rPr>
          <w:b/>
          <w:szCs w:val="22"/>
        </w:rPr>
        <w:t>Project</w:t>
      </w:r>
      <w:r w:rsidRPr="001162BB">
        <w:rPr>
          <w:b/>
          <w:szCs w:val="22"/>
        </w:rPr>
        <w:t xml:space="preserve"> </w:t>
      </w:r>
      <w:r>
        <w:rPr>
          <w:b/>
          <w:szCs w:val="22"/>
        </w:rPr>
        <w:t xml:space="preserve">Budget Utilization </w:t>
      </w:r>
    </w:p>
    <w:p w:rsidR="00123DC4" w:rsidRPr="00D35690" w:rsidRDefault="00123DC4" w:rsidP="00132057">
      <w:pPr>
        <w:keepNext/>
        <w:keepLines/>
        <w:tabs>
          <w:tab w:val="left" w:pos="3261"/>
        </w:tabs>
        <w:autoSpaceDE w:val="0"/>
        <w:autoSpaceDN w:val="0"/>
        <w:adjustRightInd w:val="0"/>
        <w:spacing w:after="120"/>
        <w:jc w:val="center"/>
        <w:rPr>
          <w:rFonts w:cs="Arial"/>
          <w:color w:val="000000"/>
          <w:sz w:val="22"/>
          <w:szCs w:val="22"/>
        </w:rPr>
      </w:pPr>
      <w:r w:rsidRPr="00865819">
        <w:rPr>
          <w:i/>
          <w:iCs/>
          <w:sz w:val="18"/>
          <w:szCs w:val="18"/>
        </w:rPr>
        <w:t>(</w:t>
      </w:r>
      <w:r>
        <w:rPr>
          <w:i/>
          <w:iCs/>
          <w:sz w:val="18"/>
          <w:szCs w:val="18"/>
        </w:rPr>
        <w:t>i</w:t>
      </w:r>
      <w:r w:rsidRPr="00865819">
        <w:rPr>
          <w:i/>
          <w:iCs/>
          <w:sz w:val="18"/>
          <w:szCs w:val="18"/>
        </w:rPr>
        <w:t xml:space="preserve">n Swiss francs, as at </w:t>
      </w:r>
      <w:r>
        <w:rPr>
          <w:i/>
          <w:iCs/>
          <w:sz w:val="18"/>
          <w:szCs w:val="18"/>
        </w:rPr>
        <w:t>December</w:t>
      </w:r>
      <w:r w:rsidRPr="00865819">
        <w:rPr>
          <w:i/>
          <w:iCs/>
          <w:sz w:val="18"/>
          <w:szCs w:val="18"/>
        </w:rPr>
        <w:t xml:space="preserve"> 31, 201</w:t>
      </w:r>
      <w:r>
        <w:rPr>
          <w:i/>
          <w:iCs/>
          <w:sz w:val="18"/>
          <w:szCs w:val="18"/>
        </w:rPr>
        <w:t>5</w:t>
      </w:r>
      <w:r w:rsidRPr="00865819">
        <w:rPr>
          <w:i/>
          <w:iCs/>
          <w:sz w:val="18"/>
          <w:szCs w:val="18"/>
        </w:rPr>
        <w:t>)</w:t>
      </w:r>
    </w:p>
    <w:tbl>
      <w:tblPr>
        <w:tblpPr w:leftFromText="180" w:rightFromText="180" w:vertAnchor="text" w:horzAnchor="margin" w:tblpX="182" w:tblpY="17"/>
        <w:tblW w:w="480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086"/>
        <w:gridCol w:w="1418"/>
        <w:gridCol w:w="1565"/>
        <w:gridCol w:w="1565"/>
        <w:gridCol w:w="1564"/>
      </w:tblGrid>
      <w:tr w:rsidR="00123DC4" w:rsidTr="000C34CF">
        <w:trPr>
          <w:trHeight w:val="410"/>
        </w:trPr>
        <w:tc>
          <w:tcPr>
            <w:tcW w:w="1677"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630FBE" w:rsidRDefault="00123DC4" w:rsidP="00132057">
            <w:pPr>
              <w:keepNext/>
              <w:keepLines/>
              <w:autoSpaceDE w:val="0"/>
              <w:autoSpaceDN w:val="0"/>
              <w:adjustRightInd w:val="0"/>
              <w:spacing w:before="40" w:after="40"/>
              <w:ind w:left="-74" w:right="-60"/>
              <w:jc w:val="center"/>
              <w:rPr>
                <w:b/>
                <w:bCs/>
                <w:sz w:val="16"/>
                <w:szCs w:val="16"/>
              </w:rPr>
            </w:pPr>
            <w:r>
              <w:rPr>
                <w:b/>
                <w:bCs/>
                <w:sz w:val="16"/>
                <w:szCs w:val="16"/>
              </w:rPr>
              <w:t>Project Name</w:t>
            </w:r>
          </w:p>
        </w:tc>
        <w:tc>
          <w:tcPr>
            <w:tcW w:w="771"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630FBE" w:rsidRDefault="00123DC4" w:rsidP="00132057">
            <w:pPr>
              <w:keepNext/>
              <w:keepLines/>
              <w:autoSpaceDE w:val="0"/>
              <w:autoSpaceDN w:val="0"/>
              <w:adjustRightInd w:val="0"/>
              <w:spacing w:before="40" w:after="40"/>
              <w:ind w:left="-107" w:right="-108"/>
              <w:jc w:val="center"/>
              <w:rPr>
                <w:b/>
                <w:bCs/>
                <w:sz w:val="16"/>
                <w:szCs w:val="16"/>
              </w:rPr>
            </w:pPr>
            <w:r w:rsidRPr="00630FBE">
              <w:rPr>
                <w:b/>
                <w:bCs/>
                <w:sz w:val="16"/>
                <w:szCs w:val="16"/>
              </w:rPr>
              <w:t>Project Budget</w:t>
            </w:r>
          </w:p>
        </w:tc>
        <w:tc>
          <w:tcPr>
            <w:tcW w:w="851"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630FBE" w:rsidRDefault="00123DC4" w:rsidP="00132057">
            <w:pPr>
              <w:keepNext/>
              <w:keepLines/>
              <w:autoSpaceDE w:val="0"/>
              <w:autoSpaceDN w:val="0"/>
              <w:adjustRightInd w:val="0"/>
              <w:spacing w:before="40" w:after="40"/>
              <w:ind w:left="-108" w:right="-106"/>
              <w:jc w:val="center"/>
              <w:rPr>
                <w:b/>
                <w:bCs/>
                <w:sz w:val="16"/>
                <w:szCs w:val="16"/>
              </w:rPr>
            </w:pPr>
            <w:r w:rsidRPr="00630FBE">
              <w:rPr>
                <w:b/>
                <w:bCs/>
                <w:sz w:val="16"/>
                <w:szCs w:val="16"/>
              </w:rPr>
              <w:t>Actual</w:t>
            </w:r>
            <w:r>
              <w:rPr>
                <w:b/>
                <w:bCs/>
                <w:sz w:val="16"/>
                <w:szCs w:val="16"/>
              </w:rPr>
              <w:t xml:space="preserve"> Expenditure to Date</w:t>
            </w:r>
          </w:p>
        </w:tc>
        <w:tc>
          <w:tcPr>
            <w:tcW w:w="851"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630FBE" w:rsidRDefault="00123DC4" w:rsidP="00132057">
            <w:pPr>
              <w:keepNext/>
              <w:keepLines/>
              <w:autoSpaceDE w:val="0"/>
              <w:autoSpaceDN w:val="0"/>
              <w:adjustRightInd w:val="0"/>
              <w:spacing w:before="40" w:after="40"/>
              <w:ind w:left="-109" w:right="-108"/>
              <w:jc w:val="center"/>
              <w:rPr>
                <w:b/>
                <w:bCs/>
                <w:sz w:val="16"/>
                <w:szCs w:val="16"/>
              </w:rPr>
            </w:pPr>
            <w:r w:rsidRPr="00630FBE">
              <w:rPr>
                <w:b/>
                <w:bCs/>
                <w:sz w:val="16"/>
                <w:szCs w:val="16"/>
              </w:rPr>
              <w:t xml:space="preserve">Actual </w:t>
            </w:r>
            <w:r>
              <w:rPr>
                <w:b/>
                <w:bCs/>
                <w:sz w:val="16"/>
                <w:szCs w:val="16"/>
              </w:rPr>
              <w:t xml:space="preserve">Budget </w:t>
            </w:r>
            <w:r w:rsidRPr="00630FBE">
              <w:rPr>
                <w:b/>
                <w:bCs/>
                <w:sz w:val="16"/>
                <w:szCs w:val="16"/>
              </w:rPr>
              <w:t>Utilization</w:t>
            </w:r>
          </w:p>
        </w:tc>
        <w:tc>
          <w:tcPr>
            <w:tcW w:w="850"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630FBE" w:rsidRDefault="00123DC4" w:rsidP="00132057">
            <w:pPr>
              <w:keepNext/>
              <w:keepLines/>
              <w:autoSpaceDE w:val="0"/>
              <w:autoSpaceDN w:val="0"/>
              <w:adjustRightInd w:val="0"/>
              <w:spacing w:before="40" w:after="40"/>
              <w:ind w:left="-109" w:right="-73" w:firstLine="1"/>
              <w:jc w:val="center"/>
              <w:rPr>
                <w:b/>
                <w:bCs/>
                <w:sz w:val="16"/>
                <w:szCs w:val="16"/>
              </w:rPr>
            </w:pPr>
            <w:r w:rsidRPr="00F06C77">
              <w:rPr>
                <w:b/>
                <w:bCs/>
                <w:sz w:val="16"/>
                <w:szCs w:val="16"/>
              </w:rPr>
              <w:t>Implementation Progress Rate of the Project</w:t>
            </w:r>
          </w:p>
        </w:tc>
      </w:tr>
      <w:tr w:rsidR="00123DC4" w:rsidTr="000C34CF">
        <w:trPr>
          <w:trHeight w:val="389"/>
        </w:trPr>
        <w:tc>
          <w:tcPr>
            <w:tcW w:w="1677" w:type="pct"/>
            <w:tcBorders>
              <w:top w:val="single" w:sz="4" w:space="0" w:color="auto"/>
              <w:left w:val="single" w:sz="4" w:space="0" w:color="auto"/>
              <w:bottom w:val="single" w:sz="4" w:space="0" w:color="auto"/>
              <w:right w:val="single" w:sz="4" w:space="0" w:color="auto"/>
            </w:tcBorders>
            <w:vAlign w:val="center"/>
          </w:tcPr>
          <w:p w:rsidR="00123DC4" w:rsidRDefault="00123DC4" w:rsidP="00132057">
            <w:pPr>
              <w:keepNext/>
              <w:keepLines/>
              <w:autoSpaceDE w:val="0"/>
              <w:autoSpaceDN w:val="0"/>
              <w:adjustRightInd w:val="0"/>
              <w:spacing w:before="40" w:after="40"/>
              <w:rPr>
                <w:sz w:val="16"/>
                <w:szCs w:val="16"/>
              </w:rPr>
            </w:pPr>
            <w:r w:rsidRPr="00000258">
              <w:rPr>
                <w:sz w:val="16"/>
                <w:szCs w:val="16"/>
              </w:rPr>
              <w:t>Security enhancement: data encryption and user management</w:t>
            </w:r>
          </w:p>
          <w:p w:rsidR="00123DC4" w:rsidRPr="00630FBE" w:rsidRDefault="00123DC4" w:rsidP="00132057">
            <w:pPr>
              <w:keepNext/>
              <w:keepLines/>
              <w:autoSpaceDE w:val="0"/>
              <w:autoSpaceDN w:val="0"/>
              <w:adjustRightInd w:val="0"/>
              <w:spacing w:before="40" w:after="40"/>
              <w:rPr>
                <w:sz w:val="16"/>
                <w:szCs w:val="16"/>
              </w:rPr>
            </w:pPr>
          </w:p>
        </w:tc>
        <w:tc>
          <w:tcPr>
            <w:tcW w:w="771" w:type="pct"/>
            <w:tcBorders>
              <w:top w:val="single" w:sz="4" w:space="0" w:color="auto"/>
              <w:left w:val="single" w:sz="4" w:space="0" w:color="auto"/>
              <w:bottom w:val="single" w:sz="4" w:space="0" w:color="auto"/>
              <w:right w:val="single" w:sz="4" w:space="0" w:color="auto"/>
            </w:tcBorders>
            <w:vAlign w:val="center"/>
          </w:tcPr>
          <w:p w:rsidR="00123DC4" w:rsidRPr="00630FBE" w:rsidRDefault="00123DC4" w:rsidP="00132057">
            <w:pPr>
              <w:keepNext/>
              <w:keepLines/>
              <w:autoSpaceDE w:val="0"/>
              <w:autoSpaceDN w:val="0"/>
              <w:adjustRightInd w:val="0"/>
              <w:spacing w:before="40" w:after="40"/>
              <w:jc w:val="center"/>
              <w:rPr>
                <w:sz w:val="16"/>
                <w:szCs w:val="16"/>
              </w:rPr>
            </w:pPr>
            <w:r>
              <w:rPr>
                <w:sz w:val="16"/>
                <w:szCs w:val="16"/>
              </w:rPr>
              <w:t>700,000</w:t>
            </w:r>
          </w:p>
        </w:tc>
        <w:tc>
          <w:tcPr>
            <w:tcW w:w="851" w:type="pct"/>
            <w:tcBorders>
              <w:top w:val="single" w:sz="4" w:space="0" w:color="auto"/>
              <w:left w:val="single" w:sz="4" w:space="0" w:color="auto"/>
              <w:bottom w:val="single" w:sz="4" w:space="0" w:color="auto"/>
              <w:right w:val="single" w:sz="4" w:space="0" w:color="auto"/>
            </w:tcBorders>
            <w:vAlign w:val="center"/>
          </w:tcPr>
          <w:p w:rsidR="00123DC4" w:rsidRPr="00630FBE" w:rsidRDefault="00123DC4" w:rsidP="00132057">
            <w:pPr>
              <w:keepNext/>
              <w:keepLines/>
              <w:autoSpaceDE w:val="0"/>
              <w:autoSpaceDN w:val="0"/>
              <w:adjustRightInd w:val="0"/>
              <w:spacing w:before="40" w:after="40"/>
              <w:jc w:val="center"/>
              <w:rPr>
                <w:sz w:val="16"/>
                <w:szCs w:val="16"/>
              </w:rPr>
            </w:pPr>
            <w:r>
              <w:rPr>
                <w:sz w:val="16"/>
                <w:szCs w:val="16"/>
              </w:rPr>
              <w:t>0</w:t>
            </w:r>
          </w:p>
        </w:tc>
        <w:tc>
          <w:tcPr>
            <w:tcW w:w="851" w:type="pct"/>
            <w:tcBorders>
              <w:top w:val="single" w:sz="4" w:space="0" w:color="auto"/>
              <w:left w:val="single" w:sz="4" w:space="0" w:color="auto"/>
              <w:bottom w:val="single" w:sz="4" w:space="0" w:color="auto"/>
              <w:right w:val="single" w:sz="4" w:space="0" w:color="auto"/>
            </w:tcBorders>
            <w:vAlign w:val="center"/>
          </w:tcPr>
          <w:p w:rsidR="00123DC4" w:rsidRPr="00630FBE" w:rsidRDefault="00123DC4" w:rsidP="00132057">
            <w:pPr>
              <w:keepNext/>
              <w:keepLines/>
              <w:autoSpaceDE w:val="0"/>
              <w:autoSpaceDN w:val="0"/>
              <w:adjustRightInd w:val="0"/>
              <w:spacing w:before="40" w:after="40"/>
              <w:jc w:val="center"/>
              <w:rPr>
                <w:sz w:val="16"/>
                <w:szCs w:val="16"/>
              </w:rPr>
            </w:pPr>
            <w:r>
              <w:rPr>
                <w:sz w:val="16"/>
                <w:szCs w:val="16"/>
              </w:rPr>
              <w:t>0%</w:t>
            </w:r>
          </w:p>
        </w:tc>
        <w:tc>
          <w:tcPr>
            <w:tcW w:w="850" w:type="pct"/>
            <w:tcBorders>
              <w:top w:val="single" w:sz="4" w:space="0" w:color="auto"/>
              <w:left w:val="single" w:sz="4" w:space="0" w:color="auto"/>
              <w:bottom w:val="single" w:sz="4" w:space="0" w:color="auto"/>
              <w:right w:val="single" w:sz="4" w:space="0" w:color="auto"/>
            </w:tcBorders>
            <w:vAlign w:val="center"/>
          </w:tcPr>
          <w:p w:rsidR="00123DC4" w:rsidRPr="00630FBE" w:rsidRDefault="00123DC4" w:rsidP="00132057">
            <w:pPr>
              <w:keepNext/>
              <w:keepLines/>
              <w:autoSpaceDE w:val="0"/>
              <w:autoSpaceDN w:val="0"/>
              <w:adjustRightInd w:val="0"/>
              <w:spacing w:before="40" w:after="40"/>
              <w:jc w:val="center"/>
              <w:rPr>
                <w:sz w:val="16"/>
                <w:szCs w:val="16"/>
              </w:rPr>
            </w:pPr>
            <w:r>
              <w:rPr>
                <w:sz w:val="16"/>
                <w:szCs w:val="16"/>
              </w:rPr>
              <w:t>15%</w:t>
            </w:r>
          </w:p>
        </w:tc>
      </w:tr>
    </w:tbl>
    <w:p w:rsidR="00123DC4" w:rsidRPr="004312A2" w:rsidRDefault="00123DC4" w:rsidP="00132057">
      <w:pPr>
        <w:keepNext/>
        <w:autoSpaceDE w:val="0"/>
        <w:autoSpaceDN w:val="0"/>
        <w:rPr>
          <w:sz w:val="16"/>
          <w:szCs w:val="16"/>
        </w:rPr>
      </w:pPr>
    </w:p>
    <w:p w:rsidR="00123DC4" w:rsidRDefault="00123DC4" w:rsidP="00132057">
      <w:pPr>
        <w:keepNext/>
        <w:keepLines/>
        <w:tabs>
          <w:tab w:val="left" w:pos="3261"/>
        </w:tabs>
        <w:autoSpaceDE w:val="0"/>
        <w:autoSpaceDN w:val="0"/>
        <w:adjustRightInd w:val="0"/>
        <w:jc w:val="center"/>
        <w:rPr>
          <w:b/>
          <w:szCs w:val="22"/>
        </w:rPr>
      </w:pPr>
    </w:p>
    <w:p w:rsidR="00123DC4" w:rsidRPr="00970583" w:rsidRDefault="00123DC4" w:rsidP="00132057">
      <w:pPr>
        <w:keepNext/>
        <w:keepLines/>
        <w:tabs>
          <w:tab w:val="left" w:pos="3261"/>
        </w:tabs>
        <w:autoSpaceDE w:val="0"/>
        <w:autoSpaceDN w:val="0"/>
        <w:adjustRightInd w:val="0"/>
        <w:jc w:val="center"/>
        <w:rPr>
          <w:b/>
          <w:szCs w:val="22"/>
        </w:rPr>
      </w:pPr>
      <w:r w:rsidRPr="00970583">
        <w:rPr>
          <w:b/>
          <w:color w:val="000000"/>
          <w:szCs w:val="22"/>
        </w:rPr>
        <w:t>Project Budget Utilization (by Milestone)</w:t>
      </w:r>
    </w:p>
    <w:p w:rsidR="00123DC4" w:rsidRDefault="00123DC4" w:rsidP="00132057">
      <w:pPr>
        <w:keepNext/>
        <w:keepLines/>
        <w:tabs>
          <w:tab w:val="left" w:pos="3261"/>
        </w:tabs>
        <w:autoSpaceDE w:val="0"/>
        <w:autoSpaceDN w:val="0"/>
        <w:adjustRightInd w:val="0"/>
        <w:spacing w:after="120"/>
        <w:jc w:val="center"/>
        <w:rPr>
          <w:i/>
          <w:iCs/>
          <w:sz w:val="18"/>
          <w:szCs w:val="18"/>
        </w:rPr>
      </w:pPr>
      <w:r w:rsidRPr="00970583">
        <w:rPr>
          <w:i/>
          <w:iCs/>
          <w:sz w:val="18"/>
          <w:szCs w:val="18"/>
        </w:rPr>
        <w:t>(</w:t>
      </w:r>
      <w:r>
        <w:rPr>
          <w:i/>
          <w:iCs/>
          <w:sz w:val="18"/>
          <w:szCs w:val="18"/>
        </w:rPr>
        <w:t>i</w:t>
      </w:r>
      <w:r w:rsidRPr="00970583">
        <w:rPr>
          <w:i/>
          <w:iCs/>
          <w:sz w:val="18"/>
          <w:szCs w:val="18"/>
        </w:rPr>
        <w:t>n Swiss francs, as at December 31, 201</w:t>
      </w:r>
      <w:r>
        <w:rPr>
          <w:i/>
          <w:iCs/>
          <w:sz w:val="18"/>
          <w:szCs w:val="18"/>
        </w:rPr>
        <w:t>5</w:t>
      </w:r>
      <w:r w:rsidRPr="00970583">
        <w:rPr>
          <w:i/>
          <w:iCs/>
          <w:sz w:val="18"/>
          <w:szCs w:val="18"/>
        </w:rPr>
        <w:t>)</w:t>
      </w:r>
    </w:p>
    <w:tbl>
      <w:tblPr>
        <w:tblpPr w:leftFromText="180" w:rightFromText="180" w:vertAnchor="text" w:horzAnchor="margin" w:tblpX="182" w:tblpY="17"/>
        <w:tblW w:w="480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084"/>
        <w:gridCol w:w="1389"/>
        <w:gridCol w:w="1575"/>
        <w:gridCol w:w="1575"/>
        <w:gridCol w:w="1575"/>
      </w:tblGrid>
      <w:tr w:rsidR="00123DC4" w:rsidRPr="00970583" w:rsidTr="000C34CF">
        <w:trPr>
          <w:trHeight w:val="410"/>
        </w:trPr>
        <w:tc>
          <w:tcPr>
            <w:tcW w:w="1677"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970583" w:rsidRDefault="00123DC4" w:rsidP="00132057">
            <w:pPr>
              <w:keepNext/>
              <w:keepLines/>
              <w:autoSpaceDE w:val="0"/>
              <w:autoSpaceDN w:val="0"/>
              <w:adjustRightInd w:val="0"/>
              <w:spacing w:before="40" w:after="40"/>
              <w:ind w:left="-74" w:right="-60"/>
              <w:jc w:val="center"/>
              <w:rPr>
                <w:b/>
                <w:bCs/>
                <w:sz w:val="16"/>
                <w:szCs w:val="16"/>
              </w:rPr>
            </w:pPr>
            <w:r w:rsidRPr="00970583">
              <w:rPr>
                <w:b/>
                <w:bCs/>
                <w:sz w:val="16"/>
                <w:szCs w:val="16"/>
              </w:rPr>
              <w:t>Key Milestone</w:t>
            </w:r>
          </w:p>
        </w:tc>
        <w:tc>
          <w:tcPr>
            <w:tcW w:w="755"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970583" w:rsidRDefault="00123DC4" w:rsidP="00132057">
            <w:pPr>
              <w:keepNext/>
              <w:keepLines/>
              <w:autoSpaceDE w:val="0"/>
              <w:autoSpaceDN w:val="0"/>
              <w:adjustRightInd w:val="0"/>
              <w:spacing w:before="40" w:after="40"/>
              <w:ind w:left="-107" w:right="-108"/>
              <w:jc w:val="center"/>
              <w:rPr>
                <w:b/>
                <w:bCs/>
                <w:sz w:val="16"/>
                <w:szCs w:val="16"/>
              </w:rPr>
            </w:pPr>
            <w:r w:rsidRPr="00970583">
              <w:rPr>
                <w:b/>
                <w:bCs/>
                <w:sz w:val="16"/>
                <w:szCs w:val="16"/>
              </w:rPr>
              <w:t>Project Budget</w:t>
            </w:r>
          </w:p>
        </w:tc>
        <w:tc>
          <w:tcPr>
            <w:tcW w:w="856"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970583" w:rsidRDefault="00123DC4" w:rsidP="00132057">
            <w:pPr>
              <w:keepNext/>
              <w:keepLines/>
              <w:autoSpaceDE w:val="0"/>
              <w:autoSpaceDN w:val="0"/>
              <w:adjustRightInd w:val="0"/>
              <w:spacing w:before="40" w:after="40"/>
              <w:ind w:left="-108" w:right="-106"/>
              <w:jc w:val="center"/>
              <w:rPr>
                <w:b/>
                <w:bCs/>
                <w:sz w:val="16"/>
                <w:szCs w:val="16"/>
              </w:rPr>
            </w:pPr>
            <w:r w:rsidRPr="00970583">
              <w:rPr>
                <w:b/>
                <w:bCs/>
                <w:sz w:val="16"/>
                <w:szCs w:val="16"/>
              </w:rPr>
              <w:t>Actual Expenditure to Date</w:t>
            </w:r>
          </w:p>
        </w:tc>
        <w:tc>
          <w:tcPr>
            <w:tcW w:w="856"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970583" w:rsidRDefault="00123DC4" w:rsidP="00132057">
            <w:pPr>
              <w:keepNext/>
              <w:keepLines/>
              <w:autoSpaceDE w:val="0"/>
              <w:autoSpaceDN w:val="0"/>
              <w:adjustRightInd w:val="0"/>
              <w:spacing w:before="40" w:after="40"/>
              <w:ind w:left="-109" w:right="-108"/>
              <w:jc w:val="center"/>
              <w:rPr>
                <w:b/>
                <w:bCs/>
                <w:sz w:val="16"/>
                <w:szCs w:val="16"/>
              </w:rPr>
            </w:pPr>
            <w:r w:rsidRPr="00970583">
              <w:rPr>
                <w:b/>
                <w:bCs/>
                <w:sz w:val="16"/>
                <w:szCs w:val="16"/>
              </w:rPr>
              <w:t>Actual Budget Utilization</w:t>
            </w:r>
          </w:p>
        </w:tc>
        <w:tc>
          <w:tcPr>
            <w:tcW w:w="856"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970583" w:rsidRDefault="00123DC4" w:rsidP="00132057">
            <w:pPr>
              <w:keepNext/>
              <w:keepLines/>
              <w:autoSpaceDE w:val="0"/>
              <w:autoSpaceDN w:val="0"/>
              <w:adjustRightInd w:val="0"/>
              <w:spacing w:before="40" w:after="40"/>
              <w:ind w:left="-109" w:right="-73" w:firstLine="1"/>
              <w:jc w:val="center"/>
              <w:rPr>
                <w:b/>
                <w:bCs/>
                <w:sz w:val="16"/>
                <w:szCs w:val="16"/>
              </w:rPr>
            </w:pPr>
            <w:r w:rsidRPr="00970583">
              <w:rPr>
                <w:b/>
                <w:bCs/>
                <w:sz w:val="16"/>
                <w:szCs w:val="16"/>
              </w:rPr>
              <w:t>Implementation Progress Rate by Milestone</w:t>
            </w:r>
          </w:p>
        </w:tc>
      </w:tr>
      <w:tr w:rsidR="00123DC4" w:rsidRPr="00970583" w:rsidTr="000C34CF">
        <w:trPr>
          <w:trHeight w:val="389"/>
        </w:trPr>
        <w:tc>
          <w:tcPr>
            <w:tcW w:w="1677" w:type="pct"/>
            <w:tcBorders>
              <w:top w:val="single" w:sz="4" w:space="0" w:color="auto"/>
              <w:left w:val="single" w:sz="4" w:space="0" w:color="auto"/>
              <w:bottom w:val="single" w:sz="4" w:space="0" w:color="auto"/>
              <w:right w:val="single" w:sz="4" w:space="0" w:color="auto"/>
            </w:tcBorders>
            <w:vAlign w:val="center"/>
          </w:tcPr>
          <w:p w:rsidR="00123DC4" w:rsidRPr="00970583" w:rsidRDefault="00123DC4" w:rsidP="00132057">
            <w:pPr>
              <w:keepNext/>
              <w:keepLines/>
              <w:autoSpaceDE w:val="0"/>
              <w:autoSpaceDN w:val="0"/>
              <w:adjustRightInd w:val="0"/>
              <w:spacing w:before="40" w:after="40"/>
              <w:rPr>
                <w:sz w:val="16"/>
                <w:szCs w:val="16"/>
              </w:rPr>
            </w:pPr>
            <w:r>
              <w:rPr>
                <w:sz w:val="16"/>
                <w:szCs w:val="16"/>
              </w:rPr>
              <w:t>Current state assessment and development of reference architecture solution, and implementation roadmap</w:t>
            </w:r>
          </w:p>
        </w:tc>
        <w:tc>
          <w:tcPr>
            <w:tcW w:w="755" w:type="pct"/>
            <w:tcBorders>
              <w:top w:val="single" w:sz="4" w:space="0" w:color="auto"/>
              <w:left w:val="single" w:sz="4" w:space="0" w:color="auto"/>
              <w:bottom w:val="single" w:sz="4" w:space="0" w:color="auto"/>
              <w:right w:val="single" w:sz="4" w:space="0" w:color="auto"/>
            </w:tcBorders>
            <w:vAlign w:val="center"/>
          </w:tcPr>
          <w:p w:rsidR="00123DC4" w:rsidRPr="00970583" w:rsidRDefault="00123DC4" w:rsidP="00132057">
            <w:pPr>
              <w:keepNext/>
              <w:keepLines/>
              <w:autoSpaceDE w:val="0"/>
              <w:autoSpaceDN w:val="0"/>
              <w:adjustRightInd w:val="0"/>
              <w:spacing w:before="40" w:after="40"/>
              <w:jc w:val="center"/>
              <w:rPr>
                <w:sz w:val="16"/>
                <w:szCs w:val="16"/>
              </w:rPr>
            </w:pPr>
            <w:r>
              <w:rPr>
                <w:sz w:val="16"/>
                <w:szCs w:val="16"/>
              </w:rPr>
              <w:t>130,000</w:t>
            </w:r>
          </w:p>
        </w:tc>
        <w:tc>
          <w:tcPr>
            <w:tcW w:w="856" w:type="pct"/>
            <w:tcBorders>
              <w:top w:val="single" w:sz="4" w:space="0" w:color="auto"/>
              <w:left w:val="single" w:sz="4" w:space="0" w:color="auto"/>
              <w:bottom w:val="single" w:sz="4" w:space="0" w:color="auto"/>
              <w:right w:val="single" w:sz="4" w:space="0" w:color="auto"/>
            </w:tcBorders>
            <w:vAlign w:val="center"/>
          </w:tcPr>
          <w:p w:rsidR="00123DC4" w:rsidRPr="00970583" w:rsidRDefault="00123DC4" w:rsidP="00132057">
            <w:pPr>
              <w:keepNext/>
              <w:keepLines/>
              <w:autoSpaceDE w:val="0"/>
              <w:autoSpaceDN w:val="0"/>
              <w:adjustRightInd w:val="0"/>
              <w:spacing w:before="40" w:after="40"/>
              <w:jc w:val="center"/>
              <w:rPr>
                <w:sz w:val="16"/>
                <w:szCs w:val="16"/>
              </w:rPr>
            </w:pPr>
            <w:r>
              <w:rPr>
                <w:sz w:val="16"/>
                <w:szCs w:val="16"/>
              </w:rPr>
              <w:t>0</w:t>
            </w:r>
          </w:p>
        </w:tc>
        <w:tc>
          <w:tcPr>
            <w:tcW w:w="856" w:type="pct"/>
            <w:tcBorders>
              <w:top w:val="single" w:sz="4" w:space="0" w:color="auto"/>
              <w:left w:val="single" w:sz="4" w:space="0" w:color="auto"/>
              <w:bottom w:val="single" w:sz="4" w:space="0" w:color="auto"/>
              <w:right w:val="single" w:sz="4" w:space="0" w:color="auto"/>
            </w:tcBorders>
            <w:vAlign w:val="center"/>
          </w:tcPr>
          <w:p w:rsidR="00123DC4" w:rsidRPr="00970583" w:rsidRDefault="00123DC4" w:rsidP="00132057">
            <w:pPr>
              <w:keepNext/>
              <w:keepLines/>
              <w:autoSpaceDE w:val="0"/>
              <w:autoSpaceDN w:val="0"/>
              <w:adjustRightInd w:val="0"/>
              <w:spacing w:before="40" w:after="40"/>
              <w:jc w:val="center"/>
              <w:rPr>
                <w:sz w:val="16"/>
                <w:szCs w:val="16"/>
              </w:rPr>
            </w:pPr>
            <w:r>
              <w:rPr>
                <w:sz w:val="16"/>
                <w:szCs w:val="16"/>
              </w:rPr>
              <w:t>0%</w:t>
            </w:r>
          </w:p>
        </w:tc>
        <w:tc>
          <w:tcPr>
            <w:tcW w:w="856" w:type="pct"/>
            <w:tcBorders>
              <w:top w:val="single" w:sz="4" w:space="0" w:color="auto"/>
              <w:left w:val="single" w:sz="4" w:space="0" w:color="auto"/>
              <w:bottom w:val="single" w:sz="4" w:space="0" w:color="auto"/>
              <w:right w:val="single" w:sz="4" w:space="0" w:color="auto"/>
            </w:tcBorders>
            <w:vAlign w:val="center"/>
          </w:tcPr>
          <w:p w:rsidR="00123DC4" w:rsidRPr="00970583" w:rsidRDefault="00123DC4" w:rsidP="00132057">
            <w:pPr>
              <w:keepNext/>
              <w:keepLines/>
              <w:autoSpaceDE w:val="0"/>
              <w:autoSpaceDN w:val="0"/>
              <w:adjustRightInd w:val="0"/>
              <w:spacing w:before="40" w:after="40"/>
              <w:jc w:val="center"/>
              <w:rPr>
                <w:sz w:val="16"/>
                <w:szCs w:val="16"/>
              </w:rPr>
            </w:pPr>
            <w:r>
              <w:rPr>
                <w:sz w:val="16"/>
                <w:szCs w:val="16"/>
              </w:rPr>
              <w:t>30%</w:t>
            </w:r>
          </w:p>
        </w:tc>
      </w:tr>
      <w:tr w:rsidR="00123DC4" w:rsidRPr="00970583" w:rsidTr="000C34CF">
        <w:trPr>
          <w:trHeight w:val="389"/>
        </w:trPr>
        <w:tc>
          <w:tcPr>
            <w:tcW w:w="1677" w:type="pct"/>
            <w:tcBorders>
              <w:top w:val="single" w:sz="4" w:space="0" w:color="auto"/>
              <w:left w:val="single" w:sz="4" w:space="0" w:color="auto"/>
              <w:bottom w:val="single" w:sz="4" w:space="0" w:color="auto"/>
              <w:right w:val="single" w:sz="4" w:space="0" w:color="auto"/>
            </w:tcBorders>
            <w:vAlign w:val="center"/>
          </w:tcPr>
          <w:p w:rsidR="00123DC4" w:rsidRPr="00970583" w:rsidRDefault="00123DC4" w:rsidP="00132057">
            <w:pPr>
              <w:keepNext/>
              <w:keepLines/>
              <w:autoSpaceDE w:val="0"/>
              <w:autoSpaceDN w:val="0"/>
              <w:adjustRightInd w:val="0"/>
              <w:spacing w:before="40" w:after="40"/>
              <w:rPr>
                <w:sz w:val="16"/>
                <w:szCs w:val="16"/>
              </w:rPr>
            </w:pPr>
            <w:r>
              <w:rPr>
                <w:sz w:val="16"/>
                <w:szCs w:val="16"/>
              </w:rPr>
              <w:t>Prioritized implementation of a roadmap for IAM and Encryption capabilities and use cases</w:t>
            </w:r>
          </w:p>
        </w:tc>
        <w:tc>
          <w:tcPr>
            <w:tcW w:w="755" w:type="pct"/>
            <w:tcBorders>
              <w:top w:val="single" w:sz="4" w:space="0" w:color="auto"/>
              <w:left w:val="single" w:sz="4" w:space="0" w:color="auto"/>
              <w:bottom w:val="single" w:sz="4" w:space="0" w:color="auto"/>
              <w:right w:val="single" w:sz="4" w:space="0" w:color="auto"/>
            </w:tcBorders>
            <w:vAlign w:val="center"/>
          </w:tcPr>
          <w:p w:rsidR="00123DC4" w:rsidRPr="00970583" w:rsidRDefault="00123DC4" w:rsidP="00132057">
            <w:pPr>
              <w:keepNext/>
              <w:keepLines/>
              <w:autoSpaceDE w:val="0"/>
              <w:autoSpaceDN w:val="0"/>
              <w:adjustRightInd w:val="0"/>
              <w:spacing w:before="40" w:after="40"/>
              <w:jc w:val="center"/>
              <w:rPr>
                <w:sz w:val="16"/>
                <w:szCs w:val="16"/>
              </w:rPr>
            </w:pPr>
            <w:r>
              <w:rPr>
                <w:sz w:val="16"/>
                <w:szCs w:val="16"/>
              </w:rPr>
              <w:t>570,000</w:t>
            </w:r>
          </w:p>
        </w:tc>
        <w:tc>
          <w:tcPr>
            <w:tcW w:w="856" w:type="pct"/>
            <w:tcBorders>
              <w:top w:val="single" w:sz="4" w:space="0" w:color="auto"/>
              <w:left w:val="single" w:sz="4" w:space="0" w:color="auto"/>
              <w:bottom w:val="single" w:sz="4" w:space="0" w:color="auto"/>
              <w:right w:val="single" w:sz="4" w:space="0" w:color="auto"/>
            </w:tcBorders>
            <w:vAlign w:val="center"/>
          </w:tcPr>
          <w:p w:rsidR="00123DC4" w:rsidRPr="00970583" w:rsidRDefault="00123DC4" w:rsidP="00132057">
            <w:pPr>
              <w:keepNext/>
              <w:keepLines/>
              <w:autoSpaceDE w:val="0"/>
              <w:autoSpaceDN w:val="0"/>
              <w:adjustRightInd w:val="0"/>
              <w:spacing w:before="40" w:after="40"/>
              <w:jc w:val="center"/>
              <w:rPr>
                <w:sz w:val="16"/>
                <w:szCs w:val="16"/>
              </w:rPr>
            </w:pPr>
            <w:r>
              <w:rPr>
                <w:sz w:val="16"/>
                <w:szCs w:val="16"/>
              </w:rPr>
              <w:t>0</w:t>
            </w:r>
          </w:p>
        </w:tc>
        <w:tc>
          <w:tcPr>
            <w:tcW w:w="856" w:type="pct"/>
            <w:tcBorders>
              <w:top w:val="single" w:sz="4" w:space="0" w:color="auto"/>
              <w:left w:val="single" w:sz="4" w:space="0" w:color="auto"/>
              <w:bottom w:val="single" w:sz="4" w:space="0" w:color="auto"/>
              <w:right w:val="single" w:sz="4" w:space="0" w:color="auto"/>
            </w:tcBorders>
            <w:vAlign w:val="center"/>
          </w:tcPr>
          <w:p w:rsidR="00123DC4" w:rsidRPr="00970583" w:rsidRDefault="00123DC4" w:rsidP="00132057">
            <w:pPr>
              <w:keepNext/>
              <w:keepLines/>
              <w:autoSpaceDE w:val="0"/>
              <w:autoSpaceDN w:val="0"/>
              <w:adjustRightInd w:val="0"/>
              <w:spacing w:before="40" w:after="40"/>
              <w:jc w:val="center"/>
              <w:rPr>
                <w:sz w:val="16"/>
                <w:szCs w:val="16"/>
              </w:rPr>
            </w:pPr>
            <w:r>
              <w:rPr>
                <w:sz w:val="16"/>
                <w:szCs w:val="16"/>
              </w:rPr>
              <w:t>0%</w:t>
            </w:r>
          </w:p>
        </w:tc>
        <w:tc>
          <w:tcPr>
            <w:tcW w:w="856" w:type="pct"/>
            <w:tcBorders>
              <w:top w:val="single" w:sz="4" w:space="0" w:color="auto"/>
              <w:left w:val="single" w:sz="4" w:space="0" w:color="auto"/>
              <w:bottom w:val="single" w:sz="4" w:space="0" w:color="auto"/>
              <w:right w:val="single" w:sz="4" w:space="0" w:color="auto"/>
            </w:tcBorders>
            <w:vAlign w:val="center"/>
          </w:tcPr>
          <w:p w:rsidR="00123DC4" w:rsidRPr="00970583" w:rsidRDefault="00123DC4" w:rsidP="00132057">
            <w:pPr>
              <w:keepNext/>
              <w:keepLines/>
              <w:autoSpaceDE w:val="0"/>
              <w:autoSpaceDN w:val="0"/>
              <w:adjustRightInd w:val="0"/>
              <w:spacing w:before="40" w:after="40"/>
              <w:jc w:val="center"/>
              <w:rPr>
                <w:sz w:val="16"/>
                <w:szCs w:val="16"/>
              </w:rPr>
            </w:pPr>
            <w:r>
              <w:rPr>
                <w:sz w:val="16"/>
                <w:szCs w:val="16"/>
              </w:rPr>
              <w:t>-</w:t>
            </w:r>
          </w:p>
        </w:tc>
      </w:tr>
      <w:tr w:rsidR="00123DC4" w:rsidRPr="00970583" w:rsidTr="000C34CF">
        <w:trPr>
          <w:trHeight w:val="389"/>
        </w:trPr>
        <w:tc>
          <w:tcPr>
            <w:tcW w:w="1677"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970583" w:rsidRDefault="00123DC4" w:rsidP="00132057">
            <w:pPr>
              <w:keepNext/>
              <w:keepLines/>
              <w:autoSpaceDE w:val="0"/>
              <w:autoSpaceDN w:val="0"/>
              <w:adjustRightInd w:val="0"/>
              <w:spacing w:before="40" w:after="40"/>
              <w:rPr>
                <w:b/>
                <w:sz w:val="16"/>
                <w:szCs w:val="16"/>
              </w:rPr>
            </w:pPr>
            <w:r w:rsidRPr="00970583">
              <w:rPr>
                <w:b/>
                <w:sz w:val="16"/>
                <w:szCs w:val="16"/>
              </w:rPr>
              <w:t>Total</w:t>
            </w:r>
          </w:p>
        </w:tc>
        <w:tc>
          <w:tcPr>
            <w:tcW w:w="755"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970583" w:rsidRDefault="00123DC4" w:rsidP="00132057">
            <w:pPr>
              <w:keepNext/>
              <w:keepLines/>
              <w:autoSpaceDE w:val="0"/>
              <w:autoSpaceDN w:val="0"/>
              <w:adjustRightInd w:val="0"/>
              <w:spacing w:before="40" w:after="40"/>
              <w:jc w:val="center"/>
              <w:rPr>
                <w:b/>
                <w:sz w:val="16"/>
                <w:szCs w:val="16"/>
              </w:rPr>
            </w:pPr>
            <w:r>
              <w:rPr>
                <w:b/>
                <w:sz w:val="16"/>
                <w:szCs w:val="16"/>
              </w:rPr>
              <w:t>700,000</w:t>
            </w:r>
          </w:p>
        </w:tc>
        <w:tc>
          <w:tcPr>
            <w:tcW w:w="856" w:type="pct"/>
            <w:tcBorders>
              <w:top w:val="single" w:sz="4" w:space="0" w:color="auto"/>
              <w:left w:val="single" w:sz="4" w:space="0" w:color="auto"/>
              <w:bottom w:val="single" w:sz="4" w:space="0" w:color="auto"/>
              <w:right w:val="single" w:sz="4" w:space="0" w:color="auto"/>
            </w:tcBorders>
            <w:shd w:val="clear" w:color="auto" w:fill="C6D9F1" w:themeFill="text2" w:themeFillTint="33"/>
          </w:tcPr>
          <w:p w:rsidR="00123DC4" w:rsidRPr="00970583" w:rsidRDefault="00123DC4" w:rsidP="00132057">
            <w:pPr>
              <w:keepNext/>
              <w:keepLines/>
              <w:autoSpaceDE w:val="0"/>
              <w:autoSpaceDN w:val="0"/>
              <w:adjustRightInd w:val="0"/>
              <w:spacing w:before="40" w:after="40"/>
              <w:jc w:val="center"/>
              <w:rPr>
                <w:b/>
                <w:sz w:val="16"/>
                <w:szCs w:val="16"/>
              </w:rPr>
            </w:pPr>
            <w:r>
              <w:rPr>
                <w:b/>
                <w:sz w:val="16"/>
                <w:szCs w:val="16"/>
              </w:rPr>
              <w:t>0</w:t>
            </w:r>
          </w:p>
        </w:tc>
        <w:tc>
          <w:tcPr>
            <w:tcW w:w="856" w:type="pct"/>
            <w:tcBorders>
              <w:top w:val="single" w:sz="4" w:space="0" w:color="auto"/>
              <w:left w:val="single" w:sz="4" w:space="0" w:color="auto"/>
              <w:bottom w:val="single" w:sz="4" w:space="0" w:color="auto"/>
              <w:right w:val="single" w:sz="4" w:space="0" w:color="auto"/>
            </w:tcBorders>
            <w:shd w:val="clear" w:color="auto" w:fill="C6D9F1" w:themeFill="text2" w:themeFillTint="33"/>
          </w:tcPr>
          <w:p w:rsidR="00123DC4" w:rsidRPr="00970583" w:rsidRDefault="00123DC4" w:rsidP="00132057">
            <w:pPr>
              <w:keepNext/>
              <w:keepLines/>
              <w:autoSpaceDE w:val="0"/>
              <w:autoSpaceDN w:val="0"/>
              <w:adjustRightInd w:val="0"/>
              <w:spacing w:before="40" w:after="40"/>
              <w:jc w:val="center"/>
              <w:rPr>
                <w:b/>
                <w:sz w:val="16"/>
                <w:szCs w:val="16"/>
              </w:rPr>
            </w:pPr>
          </w:p>
        </w:tc>
        <w:tc>
          <w:tcPr>
            <w:tcW w:w="856" w:type="pct"/>
            <w:tcBorders>
              <w:top w:val="single" w:sz="4" w:space="0" w:color="auto"/>
              <w:left w:val="single" w:sz="4" w:space="0" w:color="auto"/>
              <w:bottom w:val="single" w:sz="4" w:space="0" w:color="auto"/>
              <w:right w:val="single" w:sz="4" w:space="0" w:color="auto"/>
            </w:tcBorders>
            <w:shd w:val="clear" w:color="auto" w:fill="C6D9F1" w:themeFill="text2" w:themeFillTint="33"/>
          </w:tcPr>
          <w:p w:rsidR="00123DC4" w:rsidRPr="00970583" w:rsidRDefault="00123DC4" w:rsidP="00132057">
            <w:pPr>
              <w:keepNext/>
              <w:keepLines/>
              <w:autoSpaceDE w:val="0"/>
              <w:autoSpaceDN w:val="0"/>
              <w:adjustRightInd w:val="0"/>
              <w:spacing w:before="40" w:after="40"/>
              <w:jc w:val="center"/>
              <w:rPr>
                <w:b/>
                <w:sz w:val="16"/>
                <w:szCs w:val="16"/>
              </w:rPr>
            </w:pPr>
          </w:p>
        </w:tc>
      </w:tr>
    </w:tbl>
    <w:p w:rsidR="00123DC4" w:rsidRDefault="00123DC4" w:rsidP="00132057">
      <w:pPr>
        <w:tabs>
          <w:tab w:val="left" w:pos="3261"/>
        </w:tabs>
        <w:autoSpaceDE w:val="0"/>
        <w:autoSpaceDN w:val="0"/>
        <w:adjustRightInd w:val="0"/>
        <w:jc w:val="center"/>
        <w:rPr>
          <w:b/>
          <w:color w:val="000000"/>
          <w:szCs w:val="22"/>
        </w:rPr>
      </w:pPr>
    </w:p>
    <w:p w:rsidR="00123DC4" w:rsidRDefault="00123DC4" w:rsidP="00132057">
      <w:pPr>
        <w:tabs>
          <w:tab w:val="left" w:pos="3261"/>
        </w:tabs>
        <w:autoSpaceDE w:val="0"/>
        <w:autoSpaceDN w:val="0"/>
        <w:adjustRightInd w:val="0"/>
        <w:jc w:val="center"/>
        <w:rPr>
          <w:b/>
          <w:color w:val="000000"/>
          <w:szCs w:val="22"/>
        </w:rPr>
      </w:pPr>
    </w:p>
    <w:p w:rsidR="00123DC4" w:rsidRPr="00970583" w:rsidRDefault="00123DC4" w:rsidP="00132057">
      <w:pPr>
        <w:keepNext/>
        <w:keepLines/>
        <w:tabs>
          <w:tab w:val="left" w:pos="3261"/>
        </w:tabs>
        <w:autoSpaceDE w:val="0"/>
        <w:autoSpaceDN w:val="0"/>
        <w:adjustRightInd w:val="0"/>
        <w:jc w:val="center"/>
        <w:rPr>
          <w:b/>
          <w:szCs w:val="22"/>
        </w:rPr>
      </w:pPr>
      <w:r w:rsidRPr="00970583">
        <w:rPr>
          <w:b/>
          <w:color w:val="000000"/>
          <w:szCs w:val="22"/>
        </w:rPr>
        <w:t>Project Budget Utilization (by Cost Category)</w:t>
      </w:r>
    </w:p>
    <w:p w:rsidR="00123DC4" w:rsidRDefault="00123DC4" w:rsidP="00132057">
      <w:pPr>
        <w:keepNext/>
        <w:keepLines/>
        <w:tabs>
          <w:tab w:val="left" w:pos="3261"/>
        </w:tabs>
        <w:autoSpaceDE w:val="0"/>
        <w:autoSpaceDN w:val="0"/>
        <w:adjustRightInd w:val="0"/>
        <w:spacing w:after="120"/>
        <w:jc w:val="center"/>
        <w:rPr>
          <w:i/>
          <w:iCs/>
          <w:sz w:val="18"/>
          <w:szCs w:val="18"/>
        </w:rPr>
      </w:pPr>
      <w:r w:rsidRPr="00970583">
        <w:rPr>
          <w:i/>
          <w:iCs/>
          <w:sz w:val="18"/>
          <w:szCs w:val="18"/>
        </w:rPr>
        <w:t>(</w:t>
      </w:r>
      <w:r>
        <w:rPr>
          <w:i/>
          <w:iCs/>
          <w:sz w:val="18"/>
          <w:szCs w:val="18"/>
        </w:rPr>
        <w:t>i</w:t>
      </w:r>
      <w:r w:rsidRPr="00970583">
        <w:rPr>
          <w:i/>
          <w:iCs/>
          <w:sz w:val="18"/>
          <w:szCs w:val="18"/>
        </w:rPr>
        <w:t>n Swiss francs, as at December 31, 201</w:t>
      </w:r>
      <w:r>
        <w:rPr>
          <w:i/>
          <w:iCs/>
          <w:sz w:val="18"/>
          <w:szCs w:val="18"/>
        </w:rPr>
        <w:t>5</w:t>
      </w:r>
      <w:r w:rsidRPr="00970583">
        <w:rPr>
          <w:i/>
          <w:iCs/>
          <w:sz w:val="18"/>
          <w:szCs w:val="18"/>
        </w:rPr>
        <w:t>)</w:t>
      </w:r>
    </w:p>
    <w:tbl>
      <w:tblPr>
        <w:tblW w:w="4843"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6"/>
        <w:gridCol w:w="1839"/>
        <w:gridCol w:w="1839"/>
        <w:gridCol w:w="2056"/>
      </w:tblGrid>
      <w:tr w:rsidR="00123DC4" w:rsidRPr="00970583" w:rsidTr="00132057">
        <w:trPr>
          <w:trHeight w:val="569"/>
        </w:trPr>
        <w:tc>
          <w:tcPr>
            <w:tcW w:w="1907"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970583" w:rsidRDefault="00123DC4" w:rsidP="00132057">
            <w:pPr>
              <w:keepNext/>
              <w:keepLines/>
              <w:autoSpaceDE w:val="0"/>
              <w:autoSpaceDN w:val="0"/>
              <w:adjustRightInd w:val="0"/>
              <w:spacing w:before="40" w:after="40" w:line="260" w:lineRule="exact"/>
              <w:ind w:left="-74" w:right="-60"/>
              <w:jc w:val="center"/>
              <w:rPr>
                <w:b/>
                <w:bCs/>
                <w:sz w:val="16"/>
                <w:szCs w:val="16"/>
              </w:rPr>
            </w:pPr>
            <w:r w:rsidRPr="00970583">
              <w:rPr>
                <w:b/>
                <w:bCs/>
                <w:sz w:val="16"/>
                <w:szCs w:val="16"/>
              </w:rPr>
              <w:t>Cost Category</w:t>
            </w:r>
          </w:p>
        </w:tc>
        <w:tc>
          <w:tcPr>
            <w:tcW w:w="992"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970583" w:rsidRDefault="00123DC4" w:rsidP="00132057">
            <w:pPr>
              <w:keepNext/>
              <w:keepLines/>
              <w:autoSpaceDE w:val="0"/>
              <w:autoSpaceDN w:val="0"/>
              <w:adjustRightInd w:val="0"/>
              <w:spacing w:before="40" w:after="40" w:line="260" w:lineRule="exact"/>
              <w:ind w:left="-107" w:right="-108"/>
              <w:jc w:val="center"/>
              <w:rPr>
                <w:b/>
                <w:bCs/>
                <w:sz w:val="16"/>
                <w:szCs w:val="16"/>
              </w:rPr>
            </w:pPr>
            <w:r w:rsidRPr="00970583">
              <w:rPr>
                <w:b/>
                <w:bCs/>
                <w:sz w:val="16"/>
                <w:szCs w:val="16"/>
              </w:rPr>
              <w:t>Project Budget</w:t>
            </w:r>
          </w:p>
        </w:tc>
        <w:tc>
          <w:tcPr>
            <w:tcW w:w="992"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970583" w:rsidRDefault="00123DC4" w:rsidP="00132057">
            <w:pPr>
              <w:keepNext/>
              <w:keepLines/>
              <w:autoSpaceDE w:val="0"/>
              <w:autoSpaceDN w:val="0"/>
              <w:adjustRightInd w:val="0"/>
              <w:spacing w:before="40" w:after="40" w:line="260" w:lineRule="exact"/>
              <w:ind w:left="-108"/>
              <w:jc w:val="center"/>
              <w:rPr>
                <w:b/>
                <w:bCs/>
                <w:sz w:val="16"/>
                <w:szCs w:val="16"/>
              </w:rPr>
            </w:pPr>
            <w:r w:rsidRPr="00970583">
              <w:rPr>
                <w:b/>
                <w:bCs/>
                <w:sz w:val="16"/>
                <w:szCs w:val="16"/>
              </w:rPr>
              <w:t xml:space="preserve">Actual Expenditure to Date </w:t>
            </w:r>
          </w:p>
        </w:tc>
        <w:tc>
          <w:tcPr>
            <w:tcW w:w="1109"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970583" w:rsidRDefault="00123DC4" w:rsidP="00132057">
            <w:pPr>
              <w:keepNext/>
              <w:keepLines/>
              <w:autoSpaceDE w:val="0"/>
              <w:autoSpaceDN w:val="0"/>
              <w:adjustRightInd w:val="0"/>
              <w:spacing w:before="40" w:after="40" w:line="260" w:lineRule="exact"/>
              <w:ind w:left="-109"/>
              <w:jc w:val="center"/>
              <w:rPr>
                <w:b/>
                <w:bCs/>
                <w:sz w:val="16"/>
                <w:szCs w:val="16"/>
              </w:rPr>
            </w:pPr>
            <w:r w:rsidRPr="00970583">
              <w:rPr>
                <w:b/>
                <w:bCs/>
                <w:sz w:val="16"/>
                <w:szCs w:val="16"/>
              </w:rPr>
              <w:t>Actual Budget Utilization</w:t>
            </w:r>
          </w:p>
        </w:tc>
      </w:tr>
      <w:tr w:rsidR="00123DC4" w:rsidRPr="00970583" w:rsidTr="00132057">
        <w:tc>
          <w:tcPr>
            <w:tcW w:w="1907" w:type="pct"/>
            <w:tcBorders>
              <w:top w:val="single" w:sz="4" w:space="0" w:color="auto"/>
              <w:left w:val="single" w:sz="4" w:space="0" w:color="auto"/>
              <w:bottom w:val="single" w:sz="4" w:space="0" w:color="auto"/>
              <w:right w:val="single" w:sz="4" w:space="0" w:color="auto"/>
            </w:tcBorders>
            <w:vAlign w:val="center"/>
          </w:tcPr>
          <w:p w:rsidR="00123DC4" w:rsidRDefault="00123DC4" w:rsidP="00132057">
            <w:pPr>
              <w:keepNext/>
              <w:keepLines/>
              <w:autoSpaceDE w:val="0"/>
              <w:autoSpaceDN w:val="0"/>
              <w:adjustRightInd w:val="0"/>
              <w:spacing w:before="40" w:after="40" w:line="260" w:lineRule="exact"/>
              <w:rPr>
                <w:sz w:val="16"/>
                <w:szCs w:val="16"/>
              </w:rPr>
            </w:pPr>
            <w:r>
              <w:rPr>
                <w:sz w:val="16"/>
                <w:szCs w:val="16"/>
              </w:rPr>
              <w:t>Contractual Services</w:t>
            </w:r>
          </w:p>
        </w:tc>
        <w:tc>
          <w:tcPr>
            <w:tcW w:w="992" w:type="pct"/>
            <w:tcBorders>
              <w:top w:val="single" w:sz="4" w:space="0" w:color="auto"/>
              <w:left w:val="single" w:sz="4" w:space="0" w:color="auto"/>
              <w:bottom w:val="single" w:sz="4" w:space="0" w:color="auto"/>
              <w:right w:val="single" w:sz="4" w:space="0" w:color="auto"/>
            </w:tcBorders>
            <w:vAlign w:val="center"/>
          </w:tcPr>
          <w:p w:rsidR="00123DC4" w:rsidRDefault="00123DC4" w:rsidP="00132057">
            <w:pPr>
              <w:keepNext/>
              <w:keepLines/>
              <w:autoSpaceDE w:val="0"/>
              <w:autoSpaceDN w:val="0"/>
              <w:adjustRightInd w:val="0"/>
              <w:spacing w:before="40" w:after="40" w:line="260" w:lineRule="exact"/>
              <w:jc w:val="center"/>
              <w:rPr>
                <w:sz w:val="16"/>
                <w:szCs w:val="16"/>
              </w:rPr>
            </w:pPr>
            <w:r>
              <w:rPr>
                <w:sz w:val="16"/>
                <w:szCs w:val="16"/>
              </w:rPr>
              <w:t>130,000</w:t>
            </w:r>
          </w:p>
        </w:tc>
        <w:tc>
          <w:tcPr>
            <w:tcW w:w="992" w:type="pct"/>
            <w:tcBorders>
              <w:top w:val="single" w:sz="4" w:space="0" w:color="auto"/>
              <w:left w:val="single" w:sz="4" w:space="0" w:color="auto"/>
              <w:bottom w:val="single" w:sz="4" w:space="0" w:color="auto"/>
              <w:right w:val="single" w:sz="4" w:space="0" w:color="auto"/>
            </w:tcBorders>
            <w:vAlign w:val="center"/>
          </w:tcPr>
          <w:p w:rsidR="00123DC4" w:rsidRDefault="00123DC4" w:rsidP="00132057">
            <w:pPr>
              <w:keepNext/>
              <w:keepLines/>
              <w:autoSpaceDE w:val="0"/>
              <w:autoSpaceDN w:val="0"/>
              <w:adjustRightInd w:val="0"/>
              <w:spacing w:before="40" w:after="40" w:line="260" w:lineRule="exact"/>
              <w:jc w:val="center"/>
              <w:rPr>
                <w:sz w:val="16"/>
                <w:szCs w:val="16"/>
              </w:rPr>
            </w:pPr>
            <w:r>
              <w:rPr>
                <w:sz w:val="16"/>
                <w:szCs w:val="16"/>
              </w:rPr>
              <w:t>0</w:t>
            </w:r>
          </w:p>
        </w:tc>
        <w:tc>
          <w:tcPr>
            <w:tcW w:w="1109" w:type="pct"/>
            <w:tcBorders>
              <w:top w:val="single" w:sz="4" w:space="0" w:color="auto"/>
              <w:left w:val="single" w:sz="4" w:space="0" w:color="auto"/>
              <w:bottom w:val="single" w:sz="4" w:space="0" w:color="auto"/>
              <w:right w:val="single" w:sz="4" w:space="0" w:color="auto"/>
            </w:tcBorders>
            <w:vAlign w:val="center"/>
          </w:tcPr>
          <w:p w:rsidR="00123DC4" w:rsidRDefault="00123DC4" w:rsidP="00132057">
            <w:pPr>
              <w:keepNext/>
              <w:keepLines/>
              <w:autoSpaceDE w:val="0"/>
              <w:autoSpaceDN w:val="0"/>
              <w:adjustRightInd w:val="0"/>
              <w:spacing w:before="40" w:after="40" w:line="260" w:lineRule="exact"/>
              <w:jc w:val="center"/>
              <w:rPr>
                <w:sz w:val="16"/>
                <w:szCs w:val="16"/>
              </w:rPr>
            </w:pPr>
            <w:r>
              <w:rPr>
                <w:sz w:val="16"/>
                <w:szCs w:val="16"/>
              </w:rPr>
              <w:t>0%</w:t>
            </w:r>
          </w:p>
        </w:tc>
      </w:tr>
      <w:tr w:rsidR="00123DC4" w:rsidRPr="00970583" w:rsidTr="00132057">
        <w:tc>
          <w:tcPr>
            <w:tcW w:w="1907" w:type="pct"/>
            <w:tcBorders>
              <w:top w:val="single" w:sz="4" w:space="0" w:color="auto"/>
              <w:left w:val="single" w:sz="4" w:space="0" w:color="auto"/>
              <w:bottom w:val="single" w:sz="4" w:space="0" w:color="auto"/>
              <w:right w:val="single" w:sz="4" w:space="0" w:color="auto"/>
            </w:tcBorders>
            <w:vAlign w:val="center"/>
          </w:tcPr>
          <w:p w:rsidR="00123DC4" w:rsidRPr="00970583" w:rsidRDefault="00123DC4" w:rsidP="00132057">
            <w:pPr>
              <w:keepNext/>
              <w:keepLines/>
              <w:autoSpaceDE w:val="0"/>
              <w:autoSpaceDN w:val="0"/>
              <w:adjustRightInd w:val="0"/>
              <w:spacing w:before="40" w:after="40" w:line="260" w:lineRule="exact"/>
              <w:rPr>
                <w:sz w:val="16"/>
                <w:szCs w:val="16"/>
              </w:rPr>
            </w:pPr>
            <w:r>
              <w:rPr>
                <w:sz w:val="16"/>
                <w:szCs w:val="16"/>
              </w:rPr>
              <w:t>To be determined</w:t>
            </w:r>
            <w:r>
              <w:rPr>
                <w:rStyle w:val="FootnoteReference"/>
                <w:sz w:val="16"/>
                <w:szCs w:val="16"/>
              </w:rPr>
              <w:footnoteReference w:id="172"/>
            </w:r>
          </w:p>
        </w:tc>
        <w:tc>
          <w:tcPr>
            <w:tcW w:w="992" w:type="pct"/>
            <w:tcBorders>
              <w:top w:val="single" w:sz="4" w:space="0" w:color="auto"/>
              <w:left w:val="single" w:sz="4" w:space="0" w:color="auto"/>
              <w:bottom w:val="single" w:sz="4" w:space="0" w:color="auto"/>
              <w:right w:val="single" w:sz="4" w:space="0" w:color="auto"/>
            </w:tcBorders>
            <w:vAlign w:val="center"/>
          </w:tcPr>
          <w:p w:rsidR="00123DC4" w:rsidRPr="00800070" w:rsidRDefault="00123DC4" w:rsidP="00132057">
            <w:pPr>
              <w:keepNext/>
              <w:keepLines/>
              <w:autoSpaceDE w:val="0"/>
              <w:autoSpaceDN w:val="0"/>
              <w:adjustRightInd w:val="0"/>
              <w:spacing w:before="40" w:after="40" w:line="260" w:lineRule="exact"/>
              <w:jc w:val="center"/>
              <w:rPr>
                <w:sz w:val="16"/>
                <w:szCs w:val="16"/>
              </w:rPr>
            </w:pPr>
            <w:r>
              <w:rPr>
                <w:sz w:val="16"/>
                <w:szCs w:val="16"/>
              </w:rPr>
              <w:t>570,000</w:t>
            </w:r>
          </w:p>
        </w:tc>
        <w:tc>
          <w:tcPr>
            <w:tcW w:w="992" w:type="pct"/>
            <w:tcBorders>
              <w:top w:val="single" w:sz="4" w:space="0" w:color="auto"/>
              <w:left w:val="single" w:sz="4" w:space="0" w:color="auto"/>
              <w:bottom w:val="single" w:sz="4" w:space="0" w:color="auto"/>
              <w:right w:val="single" w:sz="4" w:space="0" w:color="auto"/>
            </w:tcBorders>
            <w:vAlign w:val="center"/>
          </w:tcPr>
          <w:p w:rsidR="00123DC4" w:rsidRPr="00800070" w:rsidRDefault="00123DC4" w:rsidP="00132057">
            <w:pPr>
              <w:keepNext/>
              <w:keepLines/>
              <w:autoSpaceDE w:val="0"/>
              <w:autoSpaceDN w:val="0"/>
              <w:adjustRightInd w:val="0"/>
              <w:spacing w:before="40" w:after="40" w:line="260" w:lineRule="exact"/>
              <w:jc w:val="center"/>
              <w:rPr>
                <w:sz w:val="16"/>
                <w:szCs w:val="16"/>
              </w:rPr>
            </w:pPr>
            <w:r>
              <w:rPr>
                <w:sz w:val="16"/>
                <w:szCs w:val="16"/>
              </w:rPr>
              <w:t>0</w:t>
            </w:r>
          </w:p>
        </w:tc>
        <w:tc>
          <w:tcPr>
            <w:tcW w:w="1109" w:type="pct"/>
            <w:tcBorders>
              <w:top w:val="single" w:sz="4" w:space="0" w:color="auto"/>
              <w:left w:val="single" w:sz="4" w:space="0" w:color="auto"/>
              <w:bottom w:val="single" w:sz="4" w:space="0" w:color="auto"/>
              <w:right w:val="single" w:sz="4" w:space="0" w:color="auto"/>
            </w:tcBorders>
            <w:vAlign w:val="center"/>
          </w:tcPr>
          <w:p w:rsidR="00123DC4" w:rsidRPr="00800070" w:rsidRDefault="00123DC4" w:rsidP="00132057">
            <w:pPr>
              <w:keepNext/>
              <w:keepLines/>
              <w:autoSpaceDE w:val="0"/>
              <w:autoSpaceDN w:val="0"/>
              <w:adjustRightInd w:val="0"/>
              <w:spacing w:before="40" w:after="40" w:line="260" w:lineRule="exact"/>
              <w:jc w:val="center"/>
              <w:rPr>
                <w:sz w:val="16"/>
                <w:szCs w:val="16"/>
              </w:rPr>
            </w:pPr>
            <w:r>
              <w:rPr>
                <w:sz w:val="16"/>
                <w:szCs w:val="16"/>
              </w:rPr>
              <w:t>0%</w:t>
            </w:r>
          </w:p>
        </w:tc>
      </w:tr>
      <w:tr w:rsidR="00123DC4" w:rsidRPr="00970583" w:rsidTr="00132057">
        <w:tc>
          <w:tcPr>
            <w:tcW w:w="1907"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970583" w:rsidRDefault="00123DC4" w:rsidP="00132057">
            <w:pPr>
              <w:autoSpaceDE w:val="0"/>
              <w:autoSpaceDN w:val="0"/>
              <w:adjustRightInd w:val="0"/>
              <w:spacing w:before="40" w:after="40" w:line="260" w:lineRule="exact"/>
              <w:rPr>
                <w:b/>
                <w:sz w:val="16"/>
                <w:szCs w:val="16"/>
              </w:rPr>
            </w:pPr>
            <w:r w:rsidRPr="00970583">
              <w:rPr>
                <w:b/>
                <w:sz w:val="16"/>
                <w:szCs w:val="16"/>
              </w:rPr>
              <w:t>Total</w:t>
            </w:r>
          </w:p>
        </w:tc>
        <w:tc>
          <w:tcPr>
            <w:tcW w:w="992"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800070" w:rsidRDefault="00123DC4" w:rsidP="00132057">
            <w:pPr>
              <w:autoSpaceDE w:val="0"/>
              <w:autoSpaceDN w:val="0"/>
              <w:adjustRightInd w:val="0"/>
              <w:spacing w:before="40" w:after="40" w:line="260" w:lineRule="exact"/>
              <w:jc w:val="center"/>
              <w:rPr>
                <w:b/>
                <w:sz w:val="16"/>
                <w:szCs w:val="16"/>
              </w:rPr>
            </w:pPr>
            <w:r>
              <w:rPr>
                <w:b/>
                <w:sz w:val="16"/>
                <w:szCs w:val="16"/>
              </w:rPr>
              <w:t>700,000</w:t>
            </w:r>
          </w:p>
        </w:tc>
        <w:tc>
          <w:tcPr>
            <w:tcW w:w="992"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800070" w:rsidRDefault="00123DC4" w:rsidP="00132057">
            <w:pPr>
              <w:autoSpaceDE w:val="0"/>
              <w:autoSpaceDN w:val="0"/>
              <w:adjustRightInd w:val="0"/>
              <w:spacing w:before="40" w:after="40" w:line="260" w:lineRule="exact"/>
              <w:jc w:val="center"/>
              <w:rPr>
                <w:b/>
                <w:sz w:val="16"/>
                <w:szCs w:val="16"/>
              </w:rPr>
            </w:pPr>
            <w:r>
              <w:rPr>
                <w:b/>
                <w:sz w:val="16"/>
                <w:szCs w:val="16"/>
              </w:rPr>
              <w:t>0</w:t>
            </w:r>
          </w:p>
        </w:tc>
        <w:tc>
          <w:tcPr>
            <w:tcW w:w="1109" w:type="pct"/>
            <w:tcBorders>
              <w:top w:val="single" w:sz="4" w:space="0" w:color="auto"/>
              <w:left w:val="single" w:sz="4" w:space="0" w:color="auto"/>
              <w:bottom w:val="single" w:sz="4" w:space="0" w:color="auto"/>
              <w:right w:val="single" w:sz="4" w:space="0" w:color="auto"/>
            </w:tcBorders>
            <w:shd w:val="clear" w:color="auto" w:fill="C6D9F1" w:themeFill="text2" w:themeFillTint="33"/>
          </w:tcPr>
          <w:p w:rsidR="00123DC4" w:rsidRPr="00800070" w:rsidRDefault="00123DC4" w:rsidP="00132057">
            <w:pPr>
              <w:autoSpaceDE w:val="0"/>
              <w:autoSpaceDN w:val="0"/>
              <w:adjustRightInd w:val="0"/>
              <w:spacing w:before="40" w:after="40" w:line="260" w:lineRule="exact"/>
              <w:jc w:val="center"/>
              <w:rPr>
                <w:b/>
                <w:sz w:val="16"/>
                <w:szCs w:val="16"/>
              </w:rPr>
            </w:pPr>
          </w:p>
        </w:tc>
      </w:tr>
    </w:tbl>
    <w:p w:rsidR="00123DC4" w:rsidRPr="0074545A" w:rsidRDefault="00123DC4" w:rsidP="00132057">
      <w:pPr>
        <w:rPr>
          <w:rFonts w:cs="Arial"/>
          <w:color w:val="000000"/>
          <w:szCs w:val="20"/>
        </w:rPr>
      </w:pPr>
    </w:p>
    <w:p w:rsidR="00123DC4" w:rsidRPr="0074545A" w:rsidRDefault="00123DC4" w:rsidP="00132057">
      <w:pPr>
        <w:rPr>
          <w:rFonts w:cs="Arial"/>
          <w:color w:val="000000"/>
          <w:szCs w:val="20"/>
        </w:rPr>
      </w:pPr>
    </w:p>
    <w:p w:rsidR="00123DC4" w:rsidRPr="0074545A" w:rsidRDefault="00123DC4" w:rsidP="00132057">
      <w:pPr>
        <w:rPr>
          <w:rFonts w:cs="Arial"/>
          <w:color w:val="000000"/>
          <w:szCs w:val="20"/>
        </w:rPr>
      </w:pPr>
      <w:r w:rsidRPr="0074545A">
        <w:rPr>
          <w:rFonts w:cs="Arial"/>
          <w:color w:val="000000"/>
          <w:szCs w:val="20"/>
        </w:rPr>
        <w:t>RISK AND MITIGATION STRATEGIES</w:t>
      </w:r>
    </w:p>
    <w:p w:rsidR="00123DC4" w:rsidRPr="0074545A" w:rsidRDefault="00123DC4" w:rsidP="00132057">
      <w:pPr>
        <w:rPr>
          <w:rFonts w:cs="Arial"/>
          <w:color w:val="000000"/>
          <w:szCs w:val="20"/>
        </w:rPr>
      </w:pPr>
    </w:p>
    <w:tbl>
      <w:tblPr>
        <w:tblW w:w="4814" w:type="pct"/>
        <w:jc w:val="center"/>
        <w:tblInd w:w="2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71"/>
        <w:gridCol w:w="3072"/>
        <w:gridCol w:w="3072"/>
      </w:tblGrid>
      <w:tr w:rsidR="00123DC4" w:rsidRPr="00970583" w:rsidTr="00132057">
        <w:trPr>
          <w:trHeight w:val="507"/>
          <w:tblHeader/>
          <w:jc w:val="center"/>
        </w:trPr>
        <w:tc>
          <w:tcPr>
            <w:tcW w:w="1666" w:type="pct"/>
            <w:shd w:val="clear" w:color="auto" w:fill="C6D9F1" w:themeFill="text2" w:themeFillTint="33"/>
            <w:vAlign w:val="center"/>
          </w:tcPr>
          <w:p w:rsidR="00123DC4" w:rsidRPr="00970583" w:rsidRDefault="00123DC4" w:rsidP="00132057">
            <w:pPr>
              <w:autoSpaceDE w:val="0"/>
              <w:autoSpaceDN w:val="0"/>
              <w:adjustRightInd w:val="0"/>
              <w:spacing w:before="40" w:after="40" w:line="260" w:lineRule="exact"/>
              <w:ind w:left="-74" w:right="-60"/>
              <w:jc w:val="center"/>
              <w:rPr>
                <w:b/>
                <w:bCs/>
                <w:sz w:val="16"/>
                <w:szCs w:val="16"/>
              </w:rPr>
            </w:pPr>
            <w:r w:rsidRPr="00970583">
              <w:rPr>
                <w:b/>
                <w:bCs/>
                <w:sz w:val="16"/>
                <w:szCs w:val="16"/>
              </w:rPr>
              <w:t>Risk</w:t>
            </w:r>
            <w:r>
              <w:rPr>
                <w:b/>
                <w:bCs/>
                <w:sz w:val="16"/>
                <w:szCs w:val="16"/>
              </w:rPr>
              <w:t>/ Risk Description</w:t>
            </w:r>
          </w:p>
        </w:tc>
        <w:tc>
          <w:tcPr>
            <w:tcW w:w="1667" w:type="pct"/>
            <w:shd w:val="clear" w:color="auto" w:fill="C6D9F1" w:themeFill="text2" w:themeFillTint="33"/>
            <w:vAlign w:val="center"/>
          </w:tcPr>
          <w:p w:rsidR="00123DC4" w:rsidRPr="00970583" w:rsidRDefault="00123DC4" w:rsidP="00132057">
            <w:pPr>
              <w:autoSpaceDE w:val="0"/>
              <w:autoSpaceDN w:val="0"/>
              <w:adjustRightInd w:val="0"/>
              <w:spacing w:before="40" w:after="40" w:line="260" w:lineRule="exact"/>
              <w:ind w:left="-107" w:right="-108"/>
              <w:jc w:val="center"/>
              <w:rPr>
                <w:b/>
                <w:bCs/>
                <w:sz w:val="16"/>
                <w:szCs w:val="16"/>
              </w:rPr>
            </w:pPr>
            <w:r w:rsidRPr="00970583">
              <w:rPr>
                <w:b/>
                <w:bCs/>
                <w:sz w:val="16"/>
                <w:szCs w:val="16"/>
              </w:rPr>
              <w:t>Risk Mitigation</w:t>
            </w:r>
          </w:p>
        </w:tc>
        <w:tc>
          <w:tcPr>
            <w:tcW w:w="1667" w:type="pct"/>
            <w:shd w:val="clear" w:color="auto" w:fill="C6D9F1" w:themeFill="text2" w:themeFillTint="33"/>
          </w:tcPr>
          <w:p w:rsidR="00123DC4" w:rsidRPr="00970583" w:rsidRDefault="00123DC4" w:rsidP="00132057">
            <w:pPr>
              <w:autoSpaceDE w:val="0"/>
              <w:autoSpaceDN w:val="0"/>
              <w:adjustRightInd w:val="0"/>
              <w:spacing w:before="40" w:after="40" w:line="260" w:lineRule="exact"/>
              <w:ind w:left="-107" w:right="-108"/>
              <w:jc w:val="center"/>
              <w:rPr>
                <w:b/>
                <w:bCs/>
                <w:sz w:val="16"/>
                <w:szCs w:val="16"/>
              </w:rPr>
            </w:pPr>
            <w:r>
              <w:rPr>
                <w:b/>
                <w:bCs/>
                <w:sz w:val="16"/>
                <w:szCs w:val="16"/>
              </w:rPr>
              <w:t>Comment</w:t>
            </w:r>
          </w:p>
        </w:tc>
      </w:tr>
      <w:tr w:rsidR="00123DC4" w:rsidRPr="00970583" w:rsidTr="00132057">
        <w:trPr>
          <w:trHeight w:val="776"/>
          <w:jc w:val="center"/>
        </w:trPr>
        <w:tc>
          <w:tcPr>
            <w:tcW w:w="1666" w:type="pct"/>
            <w:shd w:val="clear" w:color="auto" w:fill="auto"/>
          </w:tcPr>
          <w:p w:rsidR="00123DC4" w:rsidRPr="00970583" w:rsidRDefault="00123DC4" w:rsidP="00132057">
            <w:pPr>
              <w:autoSpaceDE w:val="0"/>
              <w:autoSpaceDN w:val="0"/>
              <w:adjustRightInd w:val="0"/>
              <w:spacing w:before="40" w:after="40"/>
              <w:rPr>
                <w:sz w:val="16"/>
                <w:szCs w:val="16"/>
              </w:rPr>
            </w:pPr>
            <w:r>
              <w:rPr>
                <w:sz w:val="16"/>
                <w:szCs w:val="16"/>
              </w:rPr>
              <w:t>Lack of adequate budget needed to implement the IAM and Encryption roadmap.</w:t>
            </w:r>
          </w:p>
        </w:tc>
        <w:tc>
          <w:tcPr>
            <w:tcW w:w="1667" w:type="pct"/>
            <w:shd w:val="clear" w:color="auto" w:fill="auto"/>
          </w:tcPr>
          <w:p w:rsidR="00123DC4" w:rsidRPr="00970583" w:rsidRDefault="00123DC4" w:rsidP="00132057">
            <w:pPr>
              <w:autoSpaceDE w:val="0"/>
              <w:autoSpaceDN w:val="0"/>
              <w:adjustRightInd w:val="0"/>
              <w:spacing w:before="40" w:after="40"/>
              <w:rPr>
                <w:sz w:val="16"/>
                <w:szCs w:val="16"/>
              </w:rPr>
            </w:pPr>
            <w:r>
              <w:rPr>
                <w:sz w:val="16"/>
                <w:szCs w:val="16"/>
              </w:rPr>
              <w:t>Prioritization</w:t>
            </w:r>
            <w:r w:rsidRPr="00EC7C86">
              <w:rPr>
                <w:sz w:val="16"/>
                <w:szCs w:val="16"/>
              </w:rPr>
              <w:t xml:space="preserve"> of the </w:t>
            </w:r>
            <w:r>
              <w:rPr>
                <w:sz w:val="16"/>
                <w:szCs w:val="16"/>
              </w:rPr>
              <w:t>roadmap, with a focus on remediating areas of high risk first.</w:t>
            </w:r>
          </w:p>
        </w:tc>
        <w:tc>
          <w:tcPr>
            <w:tcW w:w="1667" w:type="pct"/>
          </w:tcPr>
          <w:p w:rsidR="00123DC4" w:rsidRDefault="00123DC4" w:rsidP="00132057">
            <w:pPr>
              <w:autoSpaceDE w:val="0"/>
              <w:autoSpaceDN w:val="0"/>
              <w:adjustRightInd w:val="0"/>
              <w:spacing w:before="40" w:after="40"/>
              <w:rPr>
                <w:sz w:val="16"/>
                <w:szCs w:val="16"/>
              </w:rPr>
            </w:pPr>
            <w:r>
              <w:rPr>
                <w:sz w:val="16"/>
                <w:szCs w:val="16"/>
              </w:rPr>
              <w:t>The current state assessment will determine the gaps in WIPO’s current IAM and Encryption capabilities and recommend a prioritized roadmap for remediating these gaps. As these gaps and remedial projects are currently unknown, the current project budget may not be sufficient.</w:t>
            </w:r>
          </w:p>
        </w:tc>
      </w:tr>
    </w:tbl>
    <w:p w:rsidR="00123DC4" w:rsidRDefault="00123DC4" w:rsidP="00132057"/>
    <w:p w:rsidR="00545826" w:rsidRDefault="00545826" w:rsidP="00132057"/>
    <w:p w:rsidR="00123DC4" w:rsidRPr="00225BFF" w:rsidRDefault="00123DC4" w:rsidP="00132057">
      <w:pPr>
        <w:rPr>
          <w:rFonts w:cs="Arial"/>
          <w:color w:val="000000"/>
          <w:szCs w:val="20"/>
        </w:rPr>
      </w:pPr>
      <w:r w:rsidRPr="00225BFF">
        <w:rPr>
          <w:rFonts w:cs="Arial"/>
          <w:color w:val="000000"/>
          <w:szCs w:val="20"/>
        </w:rPr>
        <w:t>PROJECT TIMELINE BY MILESTONE</w:t>
      </w:r>
    </w:p>
    <w:p w:rsidR="00123DC4" w:rsidRDefault="00123DC4" w:rsidP="00132057"/>
    <w:tbl>
      <w:tblPr>
        <w:tblW w:w="8847" w:type="dxa"/>
        <w:jc w:val="center"/>
        <w:tblInd w:w="-330" w:type="dxa"/>
        <w:tblLayout w:type="fixed"/>
        <w:tblLook w:val="04A0" w:firstRow="1" w:lastRow="0" w:firstColumn="1" w:lastColumn="0" w:noHBand="0" w:noVBand="1"/>
      </w:tblPr>
      <w:tblGrid>
        <w:gridCol w:w="2408"/>
        <w:gridCol w:w="517"/>
        <w:gridCol w:w="517"/>
        <w:gridCol w:w="518"/>
        <w:gridCol w:w="520"/>
        <w:gridCol w:w="571"/>
        <w:gridCol w:w="572"/>
        <w:gridCol w:w="572"/>
        <w:gridCol w:w="574"/>
        <w:gridCol w:w="518"/>
        <w:gridCol w:w="518"/>
        <w:gridCol w:w="518"/>
        <w:gridCol w:w="518"/>
        <w:gridCol w:w="6"/>
      </w:tblGrid>
      <w:tr w:rsidR="00123DC4" w:rsidRPr="00656CC0" w:rsidTr="000C34CF">
        <w:trPr>
          <w:trHeight w:val="290"/>
          <w:tblHeader/>
          <w:jc w:val="center"/>
        </w:trPr>
        <w:tc>
          <w:tcPr>
            <w:tcW w:w="2408" w:type="dxa"/>
            <w:tcBorders>
              <w:top w:val="nil"/>
              <w:left w:val="nil"/>
              <w:bottom w:val="nil"/>
              <w:right w:val="nil"/>
            </w:tcBorders>
            <w:shd w:val="clear" w:color="auto" w:fill="auto"/>
            <w:noWrap/>
            <w:vAlign w:val="bottom"/>
            <w:hideMark/>
          </w:tcPr>
          <w:p w:rsidR="00123DC4" w:rsidRPr="00656CC0" w:rsidRDefault="00123DC4" w:rsidP="00132057">
            <w:pPr>
              <w:rPr>
                <w:rFonts w:cs="Arial"/>
                <w:color w:val="000000"/>
                <w:sz w:val="16"/>
                <w:szCs w:val="16"/>
              </w:rPr>
            </w:pPr>
          </w:p>
        </w:tc>
        <w:tc>
          <w:tcPr>
            <w:tcW w:w="2072" w:type="dxa"/>
            <w:gridSpan w:val="4"/>
            <w:tcBorders>
              <w:top w:val="single" w:sz="8" w:space="0" w:color="auto"/>
              <w:left w:val="single" w:sz="8" w:space="0" w:color="auto"/>
              <w:bottom w:val="single" w:sz="4" w:space="0" w:color="auto"/>
              <w:right w:val="single" w:sz="8" w:space="0" w:color="000000"/>
            </w:tcBorders>
            <w:shd w:val="clear" w:color="auto" w:fill="C6D9F1" w:themeFill="text2" w:themeFillTint="33"/>
            <w:noWrap/>
            <w:vAlign w:val="bottom"/>
            <w:hideMark/>
          </w:tcPr>
          <w:p w:rsidR="00123DC4" w:rsidRPr="00656CC0" w:rsidRDefault="00123DC4" w:rsidP="00132057">
            <w:pPr>
              <w:jc w:val="center"/>
              <w:rPr>
                <w:rFonts w:cs="Arial"/>
                <w:b/>
                <w:bCs/>
                <w:color w:val="000000"/>
                <w:sz w:val="16"/>
                <w:szCs w:val="16"/>
              </w:rPr>
            </w:pPr>
            <w:r w:rsidRPr="00656CC0">
              <w:rPr>
                <w:rFonts w:cs="Arial"/>
                <w:b/>
                <w:bCs/>
                <w:color w:val="000000"/>
                <w:sz w:val="16"/>
                <w:szCs w:val="16"/>
              </w:rPr>
              <w:t>201</w:t>
            </w:r>
            <w:r>
              <w:rPr>
                <w:rFonts w:cs="Arial"/>
                <w:b/>
                <w:bCs/>
                <w:color w:val="000000"/>
                <w:sz w:val="16"/>
                <w:szCs w:val="16"/>
              </w:rPr>
              <w:t>5</w:t>
            </w:r>
          </w:p>
        </w:tc>
        <w:tc>
          <w:tcPr>
            <w:tcW w:w="2289" w:type="dxa"/>
            <w:gridSpan w:val="4"/>
            <w:tcBorders>
              <w:top w:val="single" w:sz="8" w:space="0" w:color="auto"/>
              <w:left w:val="nil"/>
              <w:bottom w:val="single" w:sz="4" w:space="0" w:color="auto"/>
              <w:right w:val="single" w:sz="8" w:space="0" w:color="000000"/>
            </w:tcBorders>
            <w:shd w:val="clear" w:color="auto" w:fill="C6D9F1" w:themeFill="text2" w:themeFillTint="33"/>
            <w:noWrap/>
            <w:vAlign w:val="bottom"/>
            <w:hideMark/>
          </w:tcPr>
          <w:p w:rsidR="00123DC4" w:rsidRPr="00656CC0" w:rsidRDefault="00123DC4" w:rsidP="00132057">
            <w:pPr>
              <w:jc w:val="center"/>
              <w:rPr>
                <w:rFonts w:cs="Arial"/>
                <w:b/>
                <w:bCs/>
                <w:color w:val="000000"/>
                <w:sz w:val="16"/>
                <w:szCs w:val="16"/>
              </w:rPr>
            </w:pPr>
            <w:r w:rsidRPr="00656CC0">
              <w:rPr>
                <w:rFonts w:cs="Arial"/>
                <w:b/>
                <w:bCs/>
                <w:color w:val="000000"/>
                <w:sz w:val="16"/>
                <w:szCs w:val="16"/>
              </w:rPr>
              <w:t>201</w:t>
            </w:r>
            <w:r>
              <w:rPr>
                <w:rFonts w:cs="Arial"/>
                <w:b/>
                <w:bCs/>
                <w:color w:val="000000"/>
                <w:sz w:val="16"/>
                <w:szCs w:val="16"/>
              </w:rPr>
              <w:t>6</w:t>
            </w:r>
          </w:p>
        </w:tc>
        <w:tc>
          <w:tcPr>
            <w:tcW w:w="2078" w:type="dxa"/>
            <w:gridSpan w:val="5"/>
            <w:tcBorders>
              <w:top w:val="single" w:sz="8" w:space="0" w:color="auto"/>
              <w:left w:val="nil"/>
              <w:bottom w:val="single" w:sz="4" w:space="0" w:color="auto"/>
              <w:right w:val="single" w:sz="8" w:space="0" w:color="000000"/>
            </w:tcBorders>
            <w:shd w:val="clear" w:color="auto" w:fill="C6D9F1" w:themeFill="text2" w:themeFillTint="33"/>
            <w:noWrap/>
            <w:vAlign w:val="bottom"/>
            <w:hideMark/>
          </w:tcPr>
          <w:p w:rsidR="00123DC4" w:rsidRPr="00656CC0" w:rsidRDefault="00123DC4" w:rsidP="00132057">
            <w:pPr>
              <w:jc w:val="center"/>
              <w:rPr>
                <w:rFonts w:cs="Arial"/>
                <w:b/>
                <w:bCs/>
                <w:color w:val="000000"/>
                <w:sz w:val="16"/>
                <w:szCs w:val="16"/>
              </w:rPr>
            </w:pPr>
            <w:r w:rsidRPr="00656CC0">
              <w:rPr>
                <w:rFonts w:cs="Arial"/>
                <w:b/>
                <w:bCs/>
                <w:color w:val="000000"/>
                <w:sz w:val="16"/>
                <w:szCs w:val="16"/>
              </w:rPr>
              <w:t>201</w:t>
            </w:r>
            <w:r>
              <w:rPr>
                <w:rFonts w:cs="Arial"/>
                <w:b/>
                <w:bCs/>
                <w:color w:val="000000"/>
                <w:sz w:val="16"/>
                <w:szCs w:val="16"/>
              </w:rPr>
              <w:t>7</w:t>
            </w:r>
          </w:p>
        </w:tc>
      </w:tr>
      <w:tr w:rsidR="00123DC4" w:rsidRPr="00656CC0" w:rsidTr="000C34CF">
        <w:trPr>
          <w:gridAfter w:val="1"/>
          <w:wAfter w:w="6" w:type="dxa"/>
          <w:trHeight w:val="403"/>
          <w:tblHeader/>
          <w:jc w:val="center"/>
        </w:trPr>
        <w:tc>
          <w:tcPr>
            <w:tcW w:w="2408" w:type="dxa"/>
            <w:tcBorders>
              <w:top w:val="single" w:sz="8" w:space="0" w:color="auto"/>
              <w:left w:val="single" w:sz="8" w:space="0" w:color="auto"/>
              <w:bottom w:val="single" w:sz="4" w:space="0" w:color="auto"/>
              <w:right w:val="single" w:sz="8" w:space="0" w:color="auto"/>
            </w:tcBorders>
            <w:shd w:val="clear" w:color="auto" w:fill="C6D9F1" w:themeFill="text2" w:themeFillTint="33"/>
            <w:noWrap/>
            <w:vAlign w:val="bottom"/>
            <w:hideMark/>
          </w:tcPr>
          <w:p w:rsidR="00123DC4" w:rsidRPr="00656CC0" w:rsidRDefault="00123DC4" w:rsidP="00132057">
            <w:pPr>
              <w:rPr>
                <w:rFonts w:cs="Arial"/>
                <w:b/>
                <w:bCs/>
                <w:color w:val="000000"/>
                <w:sz w:val="16"/>
                <w:szCs w:val="16"/>
              </w:rPr>
            </w:pPr>
            <w:r>
              <w:rPr>
                <w:rFonts w:cs="Arial"/>
                <w:b/>
                <w:bCs/>
                <w:color w:val="000000"/>
                <w:sz w:val="16"/>
                <w:szCs w:val="16"/>
              </w:rPr>
              <w:t>Key Milestone</w:t>
            </w:r>
          </w:p>
        </w:tc>
        <w:tc>
          <w:tcPr>
            <w:tcW w:w="517" w:type="dxa"/>
            <w:tcBorders>
              <w:top w:val="nil"/>
              <w:left w:val="nil"/>
              <w:bottom w:val="single" w:sz="4" w:space="0" w:color="auto"/>
              <w:right w:val="single" w:sz="4" w:space="0" w:color="auto"/>
            </w:tcBorders>
            <w:shd w:val="clear" w:color="auto" w:fill="C6D9F1" w:themeFill="text2" w:themeFillTint="33"/>
            <w:noWrap/>
            <w:vAlign w:val="bottom"/>
            <w:hideMark/>
          </w:tcPr>
          <w:p w:rsidR="00123DC4" w:rsidRPr="00656CC0" w:rsidRDefault="00123DC4" w:rsidP="00132057">
            <w:pPr>
              <w:rPr>
                <w:rFonts w:cs="Arial"/>
                <w:b/>
                <w:bCs/>
                <w:color w:val="000000"/>
                <w:sz w:val="16"/>
                <w:szCs w:val="16"/>
              </w:rPr>
            </w:pPr>
            <w:r w:rsidRPr="00656CC0">
              <w:rPr>
                <w:rFonts w:cs="Arial"/>
                <w:b/>
                <w:bCs/>
                <w:color w:val="000000"/>
                <w:sz w:val="16"/>
                <w:szCs w:val="16"/>
              </w:rPr>
              <w:t>Q1</w:t>
            </w:r>
          </w:p>
        </w:tc>
        <w:tc>
          <w:tcPr>
            <w:tcW w:w="517" w:type="dxa"/>
            <w:tcBorders>
              <w:top w:val="nil"/>
              <w:left w:val="nil"/>
              <w:bottom w:val="single" w:sz="4" w:space="0" w:color="auto"/>
              <w:right w:val="single" w:sz="4" w:space="0" w:color="auto"/>
            </w:tcBorders>
            <w:shd w:val="clear" w:color="auto" w:fill="C6D9F1" w:themeFill="text2" w:themeFillTint="33"/>
            <w:noWrap/>
            <w:vAlign w:val="bottom"/>
            <w:hideMark/>
          </w:tcPr>
          <w:p w:rsidR="00123DC4" w:rsidRPr="00656CC0" w:rsidRDefault="00123DC4" w:rsidP="00132057">
            <w:pPr>
              <w:rPr>
                <w:rFonts w:cs="Arial"/>
                <w:b/>
                <w:bCs/>
                <w:color w:val="000000"/>
                <w:sz w:val="16"/>
                <w:szCs w:val="16"/>
              </w:rPr>
            </w:pPr>
            <w:r w:rsidRPr="00656CC0">
              <w:rPr>
                <w:rFonts w:cs="Arial"/>
                <w:b/>
                <w:bCs/>
                <w:color w:val="000000"/>
                <w:sz w:val="16"/>
                <w:szCs w:val="16"/>
              </w:rPr>
              <w:t>Q2</w:t>
            </w:r>
          </w:p>
        </w:tc>
        <w:tc>
          <w:tcPr>
            <w:tcW w:w="518" w:type="dxa"/>
            <w:tcBorders>
              <w:top w:val="nil"/>
              <w:left w:val="nil"/>
              <w:bottom w:val="single" w:sz="4" w:space="0" w:color="auto"/>
              <w:right w:val="single" w:sz="4" w:space="0" w:color="auto"/>
            </w:tcBorders>
            <w:shd w:val="clear" w:color="auto" w:fill="C6D9F1" w:themeFill="text2" w:themeFillTint="33"/>
            <w:noWrap/>
            <w:vAlign w:val="bottom"/>
            <w:hideMark/>
          </w:tcPr>
          <w:p w:rsidR="00123DC4" w:rsidRPr="00656CC0" w:rsidRDefault="00123DC4" w:rsidP="00132057">
            <w:pPr>
              <w:rPr>
                <w:rFonts w:cs="Arial"/>
                <w:b/>
                <w:bCs/>
                <w:color w:val="000000"/>
                <w:sz w:val="16"/>
                <w:szCs w:val="16"/>
              </w:rPr>
            </w:pPr>
            <w:r w:rsidRPr="00656CC0">
              <w:rPr>
                <w:rFonts w:cs="Arial"/>
                <w:b/>
                <w:bCs/>
                <w:color w:val="000000"/>
                <w:sz w:val="16"/>
                <w:szCs w:val="16"/>
              </w:rPr>
              <w:t>Q3</w:t>
            </w:r>
          </w:p>
        </w:tc>
        <w:tc>
          <w:tcPr>
            <w:tcW w:w="520" w:type="dxa"/>
            <w:tcBorders>
              <w:top w:val="nil"/>
              <w:left w:val="nil"/>
              <w:bottom w:val="single" w:sz="4" w:space="0" w:color="auto"/>
              <w:right w:val="single" w:sz="8" w:space="0" w:color="auto"/>
            </w:tcBorders>
            <w:shd w:val="clear" w:color="auto" w:fill="C6D9F1" w:themeFill="text2" w:themeFillTint="33"/>
            <w:noWrap/>
            <w:vAlign w:val="bottom"/>
            <w:hideMark/>
          </w:tcPr>
          <w:p w:rsidR="00123DC4" w:rsidRPr="00656CC0" w:rsidRDefault="00123DC4" w:rsidP="00132057">
            <w:pPr>
              <w:rPr>
                <w:rFonts w:cs="Arial"/>
                <w:b/>
                <w:bCs/>
                <w:color w:val="000000"/>
                <w:sz w:val="16"/>
                <w:szCs w:val="16"/>
              </w:rPr>
            </w:pPr>
            <w:r w:rsidRPr="00656CC0">
              <w:rPr>
                <w:rFonts w:cs="Arial"/>
                <w:b/>
                <w:bCs/>
                <w:color w:val="000000"/>
                <w:sz w:val="16"/>
                <w:szCs w:val="16"/>
              </w:rPr>
              <w:t>Q4</w:t>
            </w:r>
          </w:p>
        </w:tc>
        <w:tc>
          <w:tcPr>
            <w:tcW w:w="571" w:type="dxa"/>
            <w:tcBorders>
              <w:top w:val="nil"/>
              <w:left w:val="nil"/>
              <w:bottom w:val="single" w:sz="4" w:space="0" w:color="auto"/>
              <w:right w:val="single" w:sz="4" w:space="0" w:color="auto"/>
            </w:tcBorders>
            <w:shd w:val="clear" w:color="auto" w:fill="C6D9F1" w:themeFill="text2" w:themeFillTint="33"/>
            <w:noWrap/>
            <w:vAlign w:val="bottom"/>
            <w:hideMark/>
          </w:tcPr>
          <w:p w:rsidR="00123DC4" w:rsidRPr="00656CC0" w:rsidRDefault="00123DC4" w:rsidP="00132057">
            <w:pPr>
              <w:rPr>
                <w:rFonts w:cs="Arial"/>
                <w:b/>
                <w:bCs/>
                <w:color w:val="000000"/>
                <w:sz w:val="16"/>
                <w:szCs w:val="16"/>
              </w:rPr>
            </w:pPr>
            <w:r w:rsidRPr="00656CC0">
              <w:rPr>
                <w:rFonts w:cs="Arial"/>
                <w:b/>
                <w:bCs/>
                <w:color w:val="000000"/>
                <w:sz w:val="16"/>
                <w:szCs w:val="16"/>
              </w:rPr>
              <w:t>Q1</w:t>
            </w:r>
          </w:p>
        </w:tc>
        <w:tc>
          <w:tcPr>
            <w:tcW w:w="572" w:type="dxa"/>
            <w:tcBorders>
              <w:top w:val="nil"/>
              <w:left w:val="nil"/>
              <w:bottom w:val="single" w:sz="4" w:space="0" w:color="auto"/>
              <w:right w:val="single" w:sz="4" w:space="0" w:color="auto"/>
            </w:tcBorders>
            <w:shd w:val="clear" w:color="auto" w:fill="C6D9F1" w:themeFill="text2" w:themeFillTint="33"/>
            <w:noWrap/>
            <w:vAlign w:val="bottom"/>
            <w:hideMark/>
          </w:tcPr>
          <w:p w:rsidR="00123DC4" w:rsidRPr="00656CC0" w:rsidRDefault="00123DC4" w:rsidP="00132057">
            <w:pPr>
              <w:rPr>
                <w:rFonts w:cs="Arial"/>
                <w:b/>
                <w:bCs/>
                <w:color w:val="000000"/>
                <w:sz w:val="16"/>
                <w:szCs w:val="16"/>
              </w:rPr>
            </w:pPr>
            <w:r w:rsidRPr="00656CC0">
              <w:rPr>
                <w:rFonts w:cs="Arial"/>
                <w:b/>
                <w:bCs/>
                <w:color w:val="000000"/>
                <w:sz w:val="16"/>
                <w:szCs w:val="16"/>
              </w:rPr>
              <w:t>Q2</w:t>
            </w:r>
          </w:p>
        </w:tc>
        <w:tc>
          <w:tcPr>
            <w:tcW w:w="572" w:type="dxa"/>
            <w:tcBorders>
              <w:top w:val="nil"/>
              <w:left w:val="nil"/>
              <w:bottom w:val="single" w:sz="4" w:space="0" w:color="auto"/>
              <w:right w:val="single" w:sz="4" w:space="0" w:color="auto"/>
            </w:tcBorders>
            <w:shd w:val="clear" w:color="auto" w:fill="C6D9F1" w:themeFill="text2" w:themeFillTint="33"/>
            <w:noWrap/>
            <w:vAlign w:val="bottom"/>
            <w:hideMark/>
          </w:tcPr>
          <w:p w:rsidR="00123DC4" w:rsidRPr="00656CC0" w:rsidRDefault="00123DC4" w:rsidP="00132057">
            <w:pPr>
              <w:rPr>
                <w:rFonts w:cs="Arial"/>
                <w:b/>
                <w:bCs/>
                <w:color w:val="000000"/>
                <w:sz w:val="16"/>
                <w:szCs w:val="16"/>
              </w:rPr>
            </w:pPr>
            <w:r w:rsidRPr="00656CC0">
              <w:rPr>
                <w:rFonts w:cs="Arial"/>
                <w:b/>
                <w:bCs/>
                <w:color w:val="000000"/>
                <w:sz w:val="16"/>
                <w:szCs w:val="16"/>
              </w:rPr>
              <w:t>Q3</w:t>
            </w:r>
          </w:p>
        </w:tc>
        <w:tc>
          <w:tcPr>
            <w:tcW w:w="574" w:type="dxa"/>
            <w:tcBorders>
              <w:top w:val="nil"/>
              <w:left w:val="nil"/>
              <w:bottom w:val="single" w:sz="4" w:space="0" w:color="auto"/>
              <w:right w:val="single" w:sz="8" w:space="0" w:color="auto"/>
            </w:tcBorders>
            <w:shd w:val="clear" w:color="auto" w:fill="C6D9F1" w:themeFill="text2" w:themeFillTint="33"/>
            <w:noWrap/>
            <w:vAlign w:val="bottom"/>
            <w:hideMark/>
          </w:tcPr>
          <w:p w:rsidR="00123DC4" w:rsidRPr="00656CC0" w:rsidRDefault="00123DC4" w:rsidP="00132057">
            <w:pPr>
              <w:rPr>
                <w:rFonts w:cs="Arial"/>
                <w:b/>
                <w:bCs/>
                <w:color w:val="000000"/>
                <w:sz w:val="16"/>
                <w:szCs w:val="16"/>
              </w:rPr>
            </w:pPr>
            <w:r w:rsidRPr="00656CC0">
              <w:rPr>
                <w:rFonts w:cs="Arial"/>
                <w:b/>
                <w:bCs/>
                <w:color w:val="000000"/>
                <w:sz w:val="16"/>
                <w:szCs w:val="16"/>
              </w:rPr>
              <w:t>Q4</w:t>
            </w:r>
          </w:p>
        </w:tc>
        <w:tc>
          <w:tcPr>
            <w:tcW w:w="518" w:type="dxa"/>
            <w:tcBorders>
              <w:top w:val="nil"/>
              <w:left w:val="nil"/>
              <w:bottom w:val="single" w:sz="4" w:space="0" w:color="auto"/>
              <w:right w:val="single" w:sz="4" w:space="0" w:color="auto"/>
            </w:tcBorders>
            <w:shd w:val="clear" w:color="auto" w:fill="C6D9F1" w:themeFill="text2" w:themeFillTint="33"/>
            <w:noWrap/>
            <w:vAlign w:val="bottom"/>
            <w:hideMark/>
          </w:tcPr>
          <w:p w:rsidR="00123DC4" w:rsidRPr="00656CC0" w:rsidRDefault="00123DC4" w:rsidP="00132057">
            <w:pPr>
              <w:rPr>
                <w:rFonts w:cs="Arial"/>
                <w:b/>
                <w:bCs/>
                <w:color w:val="000000"/>
                <w:sz w:val="16"/>
                <w:szCs w:val="16"/>
              </w:rPr>
            </w:pPr>
            <w:r w:rsidRPr="00656CC0">
              <w:rPr>
                <w:rFonts w:cs="Arial"/>
                <w:b/>
                <w:bCs/>
                <w:color w:val="000000"/>
                <w:sz w:val="16"/>
                <w:szCs w:val="16"/>
              </w:rPr>
              <w:t>Q1</w:t>
            </w:r>
          </w:p>
        </w:tc>
        <w:tc>
          <w:tcPr>
            <w:tcW w:w="518" w:type="dxa"/>
            <w:tcBorders>
              <w:top w:val="nil"/>
              <w:left w:val="nil"/>
              <w:bottom w:val="single" w:sz="4" w:space="0" w:color="auto"/>
              <w:right w:val="single" w:sz="4" w:space="0" w:color="auto"/>
            </w:tcBorders>
            <w:shd w:val="clear" w:color="auto" w:fill="C6D9F1" w:themeFill="text2" w:themeFillTint="33"/>
            <w:noWrap/>
            <w:vAlign w:val="bottom"/>
            <w:hideMark/>
          </w:tcPr>
          <w:p w:rsidR="00123DC4" w:rsidRPr="00656CC0" w:rsidRDefault="00123DC4" w:rsidP="00132057">
            <w:pPr>
              <w:rPr>
                <w:rFonts w:cs="Arial"/>
                <w:b/>
                <w:bCs/>
                <w:color w:val="000000"/>
                <w:sz w:val="16"/>
                <w:szCs w:val="16"/>
              </w:rPr>
            </w:pPr>
            <w:r w:rsidRPr="00656CC0">
              <w:rPr>
                <w:rFonts w:cs="Arial"/>
                <w:b/>
                <w:bCs/>
                <w:color w:val="000000"/>
                <w:sz w:val="16"/>
                <w:szCs w:val="16"/>
              </w:rPr>
              <w:t>Q2</w:t>
            </w:r>
          </w:p>
        </w:tc>
        <w:tc>
          <w:tcPr>
            <w:tcW w:w="518" w:type="dxa"/>
            <w:tcBorders>
              <w:top w:val="nil"/>
              <w:left w:val="nil"/>
              <w:bottom w:val="single" w:sz="4" w:space="0" w:color="auto"/>
              <w:right w:val="single" w:sz="4" w:space="0" w:color="auto"/>
            </w:tcBorders>
            <w:shd w:val="clear" w:color="auto" w:fill="C6D9F1" w:themeFill="text2" w:themeFillTint="33"/>
            <w:noWrap/>
            <w:vAlign w:val="bottom"/>
            <w:hideMark/>
          </w:tcPr>
          <w:p w:rsidR="00123DC4" w:rsidRPr="00656CC0" w:rsidRDefault="00123DC4" w:rsidP="00132057">
            <w:pPr>
              <w:rPr>
                <w:rFonts w:cs="Arial"/>
                <w:b/>
                <w:bCs/>
                <w:color w:val="000000"/>
                <w:sz w:val="16"/>
                <w:szCs w:val="16"/>
              </w:rPr>
            </w:pPr>
            <w:r w:rsidRPr="00656CC0">
              <w:rPr>
                <w:rFonts w:cs="Arial"/>
                <w:b/>
                <w:bCs/>
                <w:color w:val="000000"/>
                <w:sz w:val="16"/>
                <w:szCs w:val="16"/>
              </w:rPr>
              <w:t>Q3</w:t>
            </w:r>
          </w:p>
        </w:tc>
        <w:tc>
          <w:tcPr>
            <w:tcW w:w="518" w:type="dxa"/>
            <w:tcBorders>
              <w:top w:val="nil"/>
              <w:left w:val="nil"/>
              <w:bottom w:val="single" w:sz="4" w:space="0" w:color="auto"/>
              <w:right w:val="single" w:sz="8" w:space="0" w:color="auto"/>
            </w:tcBorders>
            <w:shd w:val="clear" w:color="auto" w:fill="C6D9F1" w:themeFill="text2" w:themeFillTint="33"/>
            <w:noWrap/>
            <w:vAlign w:val="bottom"/>
            <w:hideMark/>
          </w:tcPr>
          <w:p w:rsidR="00123DC4" w:rsidRPr="00656CC0" w:rsidRDefault="00123DC4" w:rsidP="00132057">
            <w:pPr>
              <w:rPr>
                <w:rFonts w:cs="Arial"/>
                <w:b/>
                <w:bCs/>
                <w:color w:val="000000"/>
                <w:sz w:val="16"/>
                <w:szCs w:val="16"/>
              </w:rPr>
            </w:pPr>
            <w:r w:rsidRPr="00656CC0">
              <w:rPr>
                <w:rFonts w:cs="Arial"/>
                <w:b/>
                <w:bCs/>
                <w:color w:val="000000"/>
                <w:sz w:val="16"/>
                <w:szCs w:val="16"/>
              </w:rPr>
              <w:t>Q4</w:t>
            </w:r>
          </w:p>
        </w:tc>
      </w:tr>
      <w:tr w:rsidR="00123DC4" w:rsidRPr="00656CC0" w:rsidTr="000C34CF">
        <w:trPr>
          <w:gridAfter w:val="1"/>
          <w:wAfter w:w="6" w:type="dxa"/>
          <w:trHeight w:val="661"/>
          <w:jc w:val="center"/>
        </w:trPr>
        <w:tc>
          <w:tcPr>
            <w:tcW w:w="2408" w:type="dxa"/>
            <w:tcBorders>
              <w:top w:val="nil"/>
              <w:left w:val="single" w:sz="8" w:space="0" w:color="auto"/>
              <w:bottom w:val="single" w:sz="4" w:space="0" w:color="auto"/>
              <w:right w:val="single" w:sz="8" w:space="0" w:color="auto"/>
            </w:tcBorders>
            <w:shd w:val="clear" w:color="auto" w:fill="auto"/>
            <w:noWrap/>
            <w:vAlign w:val="bottom"/>
          </w:tcPr>
          <w:p w:rsidR="00123DC4" w:rsidRPr="007F4916" w:rsidRDefault="00123DC4" w:rsidP="00132057">
            <w:pPr>
              <w:spacing w:before="40" w:after="40"/>
              <w:rPr>
                <w:rFonts w:cs="Arial"/>
                <w:color w:val="000000"/>
                <w:sz w:val="16"/>
                <w:szCs w:val="16"/>
              </w:rPr>
            </w:pPr>
            <w:r>
              <w:rPr>
                <w:rFonts w:cs="Arial"/>
                <w:color w:val="000000"/>
                <w:sz w:val="16"/>
                <w:szCs w:val="16"/>
              </w:rPr>
              <w:t>Current state assessment and reference architecture and implementation roadmap</w:t>
            </w:r>
          </w:p>
        </w:tc>
        <w:tc>
          <w:tcPr>
            <w:tcW w:w="517" w:type="dxa"/>
            <w:tcBorders>
              <w:top w:val="nil"/>
              <w:left w:val="nil"/>
              <w:bottom w:val="single" w:sz="4" w:space="0" w:color="auto"/>
              <w:right w:val="single" w:sz="4" w:space="0" w:color="auto"/>
            </w:tcBorders>
            <w:shd w:val="clear" w:color="auto" w:fill="auto"/>
            <w:noWrap/>
            <w:vAlign w:val="bottom"/>
          </w:tcPr>
          <w:p w:rsidR="00123DC4" w:rsidRPr="007F4916" w:rsidRDefault="00123DC4" w:rsidP="00132057">
            <w:pPr>
              <w:spacing w:before="40" w:after="40"/>
              <w:rPr>
                <w:rFonts w:cs="Arial"/>
                <w:color w:val="000000"/>
                <w:sz w:val="16"/>
                <w:szCs w:val="16"/>
              </w:rPr>
            </w:pPr>
          </w:p>
        </w:tc>
        <w:tc>
          <w:tcPr>
            <w:tcW w:w="517" w:type="dxa"/>
            <w:tcBorders>
              <w:top w:val="nil"/>
              <w:left w:val="nil"/>
              <w:bottom w:val="single" w:sz="4" w:space="0" w:color="auto"/>
              <w:right w:val="single" w:sz="4" w:space="0" w:color="auto"/>
            </w:tcBorders>
            <w:shd w:val="clear" w:color="auto" w:fill="auto"/>
            <w:noWrap/>
            <w:vAlign w:val="bottom"/>
          </w:tcPr>
          <w:p w:rsidR="00123DC4" w:rsidRPr="007F4916" w:rsidRDefault="00123DC4" w:rsidP="00132057">
            <w:pPr>
              <w:spacing w:before="40" w:after="40"/>
              <w:rPr>
                <w:rFonts w:cs="Arial"/>
                <w:color w:val="000000"/>
                <w:sz w:val="16"/>
                <w:szCs w:val="16"/>
              </w:rPr>
            </w:pPr>
          </w:p>
        </w:tc>
        <w:tc>
          <w:tcPr>
            <w:tcW w:w="518" w:type="dxa"/>
            <w:tcBorders>
              <w:top w:val="nil"/>
              <w:left w:val="nil"/>
              <w:bottom w:val="single" w:sz="4" w:space="0" w:color="auto"/>
              <w:right w:val="single" w:sz="4" w:space="0" w:color="auto"/>
            </w:tcBorders>
            <w:shd w:val="clear" w:color="auto" w:fill="auto"/>
            <w:noWrap/>
            <w:vAlign w:val="bottom"/>
          </w:tcPr>
          <w:p w:rsidR="00123DC4" w:rsidRPr="007F4916" w:rsidRDefault="00123DC4" w:rsidP="00132057">
            <w:pPr>
              <w:spacing w:before="40" w:after="40"/>
              <w:rPr>
                <w:rFonts w:cs="Arial"/>
                <w:color w:val="000000"/>
                <w:sz w:val="16"/>
                <w:szCs w:val="16"/>
              </w:rPr>
            </w:pPr>
          </w:p>
        </w:tc>
        <w:tc>
          <w:tcPr>
            <w:tcW w:w="520" w:type="dxa"/>
            <w:tcBorders>
              <w:top w:val="nil"/>
              <w:left w:val="nil"/>
              <w:bottom w:val="single" w:sz="4" w:space="0" w:color="auto"/>
              <w:right w:val="single" w:sz="8" w:space="0" w:color="auto"/>
            </w:tcBorders>
            <w:shd w:val="clear" w:color="auto" w:fill="auto"/>
            <w:noWrap/>
            <w:vAlign w:val="center"/>
          </w:tcPr>
          <w:p w:rsidR="00123DC4" w:rsidRPr="007F4916" w:rsidRDefault="00123DC4" w:rsidP="00132057">
            <w:pPr>
              <w:spacing w:before="40" w:after="40"/>
              <w:jc w:val="center"/>
              <w:rPr>
                <w:rFonts w:cs="Arial"/>
                <w:color w:val="000000"/>
                <w:sz w:val="16"/>
                <w:szCs w:val="16"/>
              </w:rPr>
            </w:pPr>
            <w:r>
              <w:rPr>
                <w:rFonts w:cs="Arial"/>
                <w:color w:val="000000"/>
                <w:sz w:val="16"/>
                <w:szCs w:val="16"/>
              </w:rPr>
              <w:t>X</w:t>
            </w:r>
          </w:p>
        </w:tc>
        <w:tc>
          <w:tcPr>
            <w:tcW w:w="571" w:type="dxa"/>
            <w:tcBorders>
              <w:top w:val="nil"/>
              <w:left w:val="nil"/>
              <w:bottom w:val="single" w:sz="4" w:space="0" w:color="auto"/>
              <w:right w:val="single" w:sz="4" w:space="0" w:color="auto"/>
            </w:tcBorders>
            <w:shd w:val="clear" w:color="auto" w:fill="auto"/>
            <w:noWrap/>
            <w:vAlign w:val="center"/>
          </w:tcPr>
          <w:p w:rsidR="00123DC4" w:rsidRPr="007F4916" w:rsidRDefault="00123DC4" w:rsidP="00132057">
            <w:pPr>
              <w:spacing w:before="40" w:after="40"/>
              <w:jc w:val="center"/>
              <w:rPr>
                <w:rFonts w:cs="Arial"/>
                <w:color w:val="000000"/>
                <w:sz w:val="16"/>
                <w:szCs w:val="16"/>
              </w:rPr>
            </w:pPr>
            <w:r>
              <w:rPr>
                <w:rFonts w:cs="Arial"/>
                <w:color w:val="000000"/>
                <w:sz w:val="16"/>
                <w:szCs w:val="16"/>
              </w:rPr>
              <w:t>X</w:t>
            </w:r>
          </w:p>
        </w:tc>
        <w:tc>
          <w:tcPr>
            <w:tcW w:w="572" w:type="dxa"/>
            <w:tcBorders>
              <w:top w:val="nil"/>
              <w:left w:val="nil"/>
              <w:bottom w:val="single" w:sz="4" w:space="0" w:color="auto"/>
              <w:right w:val="single" w:sz="4" w:space="0" w:color="auto"/>
            </w:tcBorders>
            <w:shd w:val="clear" w:color="auto" w:fill="auto"/>
            <w:noWrap/>
            <w:vAlign w:val="center"/>
          </w:tcPr>
          <w:p w:rsidR="00123DC4" w:rsidRPr="007F4916" w:rsidRDefault="00123DC4" w:rsidP="00132057">
            <w:pPr>
              <w:spacing w:before="40" w:after="40"/>
              <w:jc w:val="center"/>
              <w:rPr>
                <w:rFonts w:cs="Arial"/>
                <w:color w:val="000000"/>
                <w:sz w:val="16"/>
                <w:szCs w:val="16"/>
              </w:rPr>
            </w:pPr>
            <w:r>
              <w:rPr>
                <w:rFonts w:cs="Arial"/>
                <w:color w:val="000000"/>
                <w:sz w:val="16"/>
                <w:szCs w:val="16"/>
              </w:rPr>
              <w:t>X</w:t>
            </w:r>
          </w:p>
        </w:tc>
        <w:tc>
          <w:tcPr>
            <w:tcW w:w="572" w:type="dxa"/>
            <w:tcBorders>
              <w:top w:val="nil"/>
              <w:left w:val="nil"/>
              <w:bottom w:val="single" w:sz="4" w:space="0" w:color="auto"/>
              <w:right w:val="single" w:sz="4" w:space="0" w:color="auto"/>
            </w:tcBorders>
            <w:shd w:val="clear" w:color="auto" w:fill="auto"/>
            <w:noWrap/>
            <w:vAlign w:val="center"/>
          </w:tcPr>
          <w:p w:rsidR="00123DC4" w:rsidRPr="007F4916" w:rsidRDefault="00123DC4" w:rsidP="00132057">
            <w:pPr>
              <w:spacing w:before="40" w:after="40"/>
              <w:jc w:val="center"/>
              <w:rPr>
                <w:rFonts w:cs="Arial"/>
                <w:color w:val="000000"/>
                <w:sz w:val="16"/>
                <w:szCs w:val="16"/>
              </w:rPr>
            </w:pPr>
          </w:p>
        </w:tc>
        <w:tc>
          <w:tcPr>
            <w:tcW w:w="574" w:type="dxa"/>
            <w:tcBorders>
              <w:top w:val="nil"/>
              <w:left w:val="nil"/>
              <w:bottom w:val="single" w:sz="4" w:space="0" w:color="auto"/>
              <w:right w:val="single" w:sz="8" w:space="0" w:color="auto"/>
            </w:tcBorders>
            <w:shd w:val="clear" w:color="auto" w:fill="auto"/>
            <w:noWrap/>
            <w:vAlign w:val="center"/>
          </w:tcPr>
          <w:p w:rsidR="00123DC4" w:rsidRPr="007F4916" w:rsidRDefault="00123DC4" w:rsidP="00132057">
            <w:pPr>
              <w:spacing w:before="40" w:after="40"/>
              <w:jc w:val="center"/>
              <w:rPr>
                <w:rFonts w:cs="Arial"/>
                <w:color w:val="000000"/>
                <w:sz w:val="16"/>
                <w:szCs w:val="16"/>
              </w:rPr>
            </w:pPr>
          </w:p>
        </w:tc>
        <w:tc>
          <w:tcPr>
            <w:tcW w:w="518" w:type="dxa"/>
            <w:tcBorders>
              <w:top w:val="nil"/>
              <w:left w:val="nil"/>
              <w:bottom w:val="single" w:sz="4" w:space="0" w:color="auto"/>
              <w:right w:val="single" w:sz="4" w:space="0" w:color="auto"/>
            </w:tcBorders>
            <w:shd w:val="clear" w:color="auto" w:fill="auto"/>
            <w:noWrap/>
            <w:vAlign w:val="center"/>
          </w:tcPr>
          <w:p w:rsidR="00123DC4" w:rsidRPr="007F4916" w:rsidRDefault="00123DC4" w:rsidP="00132057">
            <w:pPr>
              <w:spacing w:before="40" w:after="40"/>
              <w:jc w:val="center"/>
              <w:rPr>
                <w:rFonts w:cs="Arial"/>
                <w:color w:val="000000"/>
                <w:sz w:val="16"/>
                <w:szCs w:val="16"/>
              </w:rPr>
            </w:pPr>
          </w:p>
        </w:tc>
        <w:tc>
          <w:tcPr>
            <w:tcW w:w="518" w:type="dxa"/>
            <w:tcBorders>
              <w:top w:val="nil"/>
              <w:left w:val="nil"/>
              <w:bottom w:val="single" w:sz="4" w:space="0" w:color="auto"/>
              <w:right w:val="single" w:sz="4" w:space="0" w:color="auto"/>
            </w:tcBorders>
            <w:shd w:val="clear" w:color="auto" w:fill="auto"/>
            <w:noWrap/>
            <w:vAlign w:val="center"/>
          </w:tcPr>
          <w:p w:rsidR="00123DC4" w:rsidRPr="007F4916" w:rsidRDefault="00123DC4" w:rsidP="00132057">
            <w:pPr>
              <w:spacing w:before="40" w:after="40"/>
              <w:jc w:val="center"/>
              <w:rPr>
                <w:rFonts w:cs="Arial"/>
                <w:color w:val="000000"/>
                <w:sz w:val="16"/>
                <w:szCs w:val="16"/>
              </w:rPr>
            </w:pPr>
          </w:p>
        </w:tc>
        <w:tc>
          <w:tcPr>
            <w:tcW w:w="518" w:type="dxa"/>
            <w:tcBorders>
              <w:top w:val="nil"/>
              <w:left w:val="nil"/>
              <w:bottom w:val="single" w:sz="4" w:space="0" w:color="auto"/>
              <w:right w:val="single" w:sz="4" w:space="0" w:color="auto"/>
            </w:tcBorders>
            <w:shd w:val="clear" w:color="auto" w:fill="auto"/>
            <w:noWrap/>
            <w:vAlign w:val="center"/>
          </w:tcPr>
          <w:p w:rsidR="00123DC4" w:rsidRPr="007F4916" w:rsidRDefault="00123DC4" w:rsidP="00132057">
            <w:pPr>
              <w:spacing w:before="40" w:after="40"/>
              <w:jc w:val="center"/>
              <w:rPr>
                <w:rFonts w:cs="Arial"/>
                <w:color w:val="000000"/>
                <w:sz w:val="16"/>
                <w:szCs w:val="16"/>
              </w:rPr>
            </w:pPr>
          </w:p>
        </w:tc>
        <w:tc>
          <w:tcPr>
            <w:tcW w:w="518" w:type="dxa"/>
            <w:tcBorders>
              <w:top w:val="nil"/>
              <w:left w:val="nil"/>
              <w:bottom w:val="single" w:sz="4" w:space="0" w:color="auto"/>
              <w:right w:val="single" w:sz="8" w:space="0" w:color="auto"/>
            </w:tcBorders>
            <w:shd w:val="clear" w:color="auto" w:fill="auto"/>
            <w:noWrap/>
            <w:vAlign w:val="center"/>
          </w:tcPr>
          <w:p w:rsidR="00123DC4" w:rsidRPr="007F4916" w:rsidRDefault="00123DC4" w:rsidP="00132057">
            <w:pPr>
              <w:spacing w:before="40" w:after="40"/>
              <w:jc w:val="center"/>
              <w:rPr>
                <w:rFonts w:cs="Arial"/>
                <w:color w:val="000000"/>
                <w:sz w:val="16"/>
                <w:szCs w:val="16"/>
              </w:rPr>
            </w:pPr>
          </w:p>
        </w:tc>
      </w:tr>
      <w:tr w:rsidR="00123DC4" w:rsidRPr="00656CC0" w:rsidTr="000C34CF">
        <w:trPr>
          <w:gridAfter w:val="1"/>
          <w:wAfter w:w="6" w:type="dxa"/>
          <w:trHeight w:val="661"/>
          <w:jc w:val="center"/>
        </w:trPr>
        <w:tc>
          <w:tcPr>
            <w:tcW w:w="2408" w:type="dxa"/>
            <w:tcBorders>
              <w:top w:val="nil"/>
              <w:left w:val="single" w:sz="8" w:space="0" w:color="auto"/>
              <w:bottom w:val="single" w:sz="4" w:space="0" w:color="auto"/>
              <w:right w:val="single" w:sz="8" w:space="0" w:color="auto"/>
            </w:tcBorders>
            <w:shd w:val="clear" w:color="auto" w:fill="auto"/>
            <w:noWrap/>
            <w:vAlign w:val="center"/>
          </w:tcPr>
          <w:p w:rsidR="00123DC4" w:rsidRPr="006F1378" w:rsidRDefault="00123DC4" w:rsidP="00132057">
            <w:pPr>
              <w:spacing w:before="40" w:after="40"/>
            </w:pPr>
            <w:r w:rsidRPr="006F1378">
              <w:rPr>
                <w:rFonts w:cs="Arial"/>
                <w:color w:val="000000"/>
                <w:sz w:val="16"/>
                <w:szCs w:val="16"/>
              </w:rPr>
              <w:t>Prioritized implementation of a roadmap for IAM and Encryption capabilities and use cases</w:t>
            </w:r>
            <w:r w:rsidRPr="006F1378">
              <w:t xml:space="preserve"> </w:t>
            </w:r>
          </w:p>
        </w:tc>
        <w:tc>
          <w:tcPr>
            <w:tcW w:w="517" w:type="dxa"/>
            <w:tcBorders>
              <w:top w:val="nil"/>
              <w:left w:val="nil"/>
              <w:bottom w:val="single" w:sz="4" w:space="0" w:color="auto"/>
              <w:right w:val="single" w:sz="4" w:space="0" w:color="auto"/>
            </w:tcBorders>
            <w:shd w:val="clear" w:color="auto" w:fill="auto"/>
            <w:noWrap/>
            <w:vAlign w:val="bottom"/>
          </w:tcPr>
          <w:p w:rsidR="00123DC4" w:rsidRPr="007F4916" w:rsidRDefault="00123DC4" w:rsidP="00132057">
            <w:pPr>
              <w:spacing w:before="40" w:after="40"/>
              <w:rPr>
                <w:rFonts w:cs="Arial"/>
                <w:color w:val="000000"/>
                <w:sz w:val="16"/>
                <w:szCs w:val="16"/>
              </w:rPr>
            </w:pPr>
          </w:p>
        </w:tc>
        <w:tc>
          <w:tcPr>
            <w:tcW w:w="517" w:type="dxa"/>
            <w:tcBorders>
              <w:top w:val="nil"/>
              <w:left w:val="nil"/>
              <w:bottom w:val="single" w:sz="4" w:space="0" w:color="auto"/>
              <w:right w:val="single" w:sz="4" w:space="0" w:color="auto"/>
            </w:tcBorders>
            <w:shd w:val="clear" w:color="auto" w:fill="auto"/>
            <w:noWrap/>
            <w:vAlign w:val="bottom"/>
          </w:tcPr>
          <w:p w:rsidR="00123DC4" w:rsidRPr="007F4916" w:rsidRDefault="00123DC4" w:rsidP="00132057">
            <w:pPr>
              <w:spacing w:before="40" w:after="40"/>
              <w:rPr>
                <w:rFonts w:cs="Arial"/>
                <w:color w:val="000000"/>
                <w:sz w:val="16"/>
                <w:szCs w:val="16"/>
              </w:rPr>
            </w:pPr>
          </w:p>
        </w:tc>
        <w:tc>
          <w:tcPr>
            <w:tcW w:w="518" w:type="dxa"/>
            <w:tcBorders>
              <w:top w:val="nil"/>
              <w:left w:val="nil"/>
              <w:bottom w:val="single" w:sz="4" w:space="0" w:color="auto"/>
              <w:right w:val="single" w:sz="4" w:space="0" w:color="auto"/>
            </w:tcBorders>
            <w:shd w:val="clear" w:color="auto" w:fill="auto"/>
            <w:noWrap/>
            <w:vAlign w:val="bottom"/>
          </w:tcPr>
          <w:p w:rsidR="00123DC4" w:rsidRPr="007F4916" w:rsidRDefault="00123DC4" w:rsidP="00132057">
            <w:pPr>
              <w:spacing w:before="40" w:after="40"/>
              <w:rPr>
                <w:rFonts w:cs="Arial"/>
                <w:color w:val="000000"/>
                <w:sz w:val="16"/>
                <w:szCs w:val="16"/>
              </w:rPr>
            </w:pPr>
          </w:p>
        </w:tc>
        <w:tc>
          <w:tcPr>
            <w:tcW w:w="520" w:type="dxa"/>
            <w:tcBorders>
              <w:top w:val="nil"/>
              <w:left w:val="nil"/>
              <w:bottom w:val="single" w:sz="4" w:space="0" w:color="auto"/>
              <w:right w:val="single" w:sz="8" w:space="0" w:color="auto"/>
            </w:tcBorders>
            <w:shd w:val="clear" w:color="auto" w:fill="auto"/>
            <w:noWrap/>
            <w:vAlign w:val="center"/>
          </w:tcPr>
          <w:p w:rsidR="00123DC4" w:rsidRPr="007F4916" w:rsidRDefault="00123DC4" w:rsidP="00132057">
            <w:pPr>
              <w:spacing w:before="40" w:after="40"/>
              <w:jc w:val="center"/>
              <w:rPr>
                <w:rFonts w:cs="Arial"/>
                <w:color w:val="000000"/>
                <w:sz w:val="16"/>
                <w:szCs w:val="16"/>
              </w:rPr>
            </w:pPr>
          </w:p>
        </w:tc>
        <w:tc>
          <w:tcPr>
            <w:tcW w:w="571" w:type="dxa"/>
            <w:tcBorders>
              <w:top w:val="nil"/>
              <w:left w:val="nil"/>
              <w:bottom w:val="single" w:sz="4" w:space="0" w:color="auto"/>
              <w:right w:val="single" w:sz="4" w:space="0" w:color="auto"/>
            </w:tcBorders>
            <w:shd w:val="clear" w:color="auto" w:fill="auto"/>
            <w:noWrap/>
            <w:vAlign w:val="center"/>
          </w:tcPr>
          <w:p w:rsidR="00123DC4" w:rsidRPr="007F4916" w:rsidRDefault="00123DC4" w:rsidP="00132057">
            <w:pPr>
              <w:spacing w:before="40" w:after="40"/>
              <w:jc w:val="center"/>
              <w:rPr>
                <w:rFonts w:cs="Arial"/>
                <w:color w:val="000000"/>
                <w:sz w:val="16"/>
                <w:szCs w:val="16"/>
              </w:rPr>
            </w:pPr>
          </w:p>
        </w:tc>
        <w:tc>
          <w:tcPr>
            <w:tcW w:w="572" w:type="dxa"/>
            <w:tcBorders>
              <w:top w:val="nil"/>
              <w:left w:val="nil"/>
              <w:bottom w:val="single" w:sz="4" w:space="0" w:color="auto"/>
              <w:right w:val="single" w:sz="4" w:space="0" w:color="auto"/>
            </w:tcBorders>
            <w:shd w:val="clear" w:color="auto" w:fill="auto"/>
            <w:noWrap/>
            <w:vAlign w:val="center"/>
          </w:tcPr>
          <w:p w:rsidR="00123DC4" w:rsidRPr="007F4916" w:rsidRDefault="00123DC4" w:rsidP="00132057">
            <w:pPr>
              <w:spacing w:before="40" w:after="40"/>
              <w:jc w:val="center"/>
              <w:rPr>
                <w:rFonts w:cs="Arial"/>
                <w:color w:val="000000"/>
                <w:sz w:val="16"/>
                <w:szCs w:val="16"/>
              </w:rPr>
            </w:pPr>
          </w:p>
        </w:tc>
        <w:tc>
          <w:tcPr>
            <w:tcW w:w="572" w:type="dxa"/>
            <w:tcBorders>
              <w:top w:val="nil"/>
              <w:left w:val="nil"/>
              <w:bottom w:val="single" w:sz="4" w:space="0" w:color="auto"/>
              <w:right w:val="single" w:sz="4" w:space="0" w:color="auto"/>
            </w:tcBorders>
            <w:shd w:val="clear" w:color="auto" w:fill="auto"/>
            <w:noWrap/>
            <w:vAlign w:val="center"/>
          </w:tcPr>
          <w:p w:rsidR="00123DC4" w:rsidRPr="007F4916" w:rsidRDefault="00123DC4" w:rsidP="00132057">
            <w:pPr>
              <w:spacing w:before="40" w:after="40"/>
              <w:jc w:val="center"/>
              <w:rPr>
                <w:rFonts w:cs="Arial"/>
                <w:color w:val="000000"/>
                <w:sz w:val="16"/>
                <w:szCs w:val="16"/>
              </w:rPr>
            </w:pPr>
            <w:r>
              <w:rPr>
                <w:rFonts w:cs="Arial"/>
                <w:color w:val="000000"/>
                <w:sz w:val="16"/>
                <w:szCs w:val="16"/>
              </w:rPr>
              <w:t>X</w:t>
            </w:r>
          </w:p>
        </w:tc>
        <w:tc>
          <w:tcPr>
            <w:tcW w:w="574" w:type="dxa"/>
            <w:tcBorders>
              <w:top w:val="nil"/>
              <w:left w:val="nil"/>
              <w:bottom w:val="single" w:sz="4" w:space="0" w:color="auto"/>
              <w:right w:val="single" w:sz="8" w:space="0" w:color="auto"/>
            </w:tcBorders>
            <w:shd w:val="clear" w:color="auto" w:fill="auto"/>
            <w:noWrap/>
            <w:vAlign w:val="center"/>
          </w:tcPr>
          <w:p w:rsidR="00123DC4" w:rsidRPr="007F4916" w:rsidRDefault="00123DC4" w:rsidP="00132057">
            <w:pPr>
              <w:spacing w:before="40" w:after="40"/>
              <w:jc w:val="center"/>
              <w:rPr>
                <w:rFonts w:cs="Arial"/>
                <w:color w:val="000000"/>
                <w:sz w:val="16"/>
                <w:szCs w:val="16"/>
              </w:rPr>
            </w:pPr>
            <w:r>
              <w:rPr>
                <w:rFonts w:cs="Arial"/>
                <w:color w:val="000000"/>
                <w:sz w:val="16"/>
                <w:szCs w:val="16"/>
              </w:rPr>
              <w:t>X</w:t>
            </w:r>
          </w:p>
        </w:tc>
        <w:tc>
          <w:tcPr>
            <w:tcW w:w="518" w:type="dxa"/>
            <w:tcBorders>
              <w:top w:val="nil"/>
              <w:left w:val="nil"/>
              <w:bottom w:val="single" w:sz="4" w:space="0" w:color="auto"/>
              <w:right w:val="single" w:sz="4" w:space="0" w:color="auto"/>
            </w:tcBorders>
            <w:shd w:val="clear" w:color="auto" w:fill="auto"/>
            <w:noWrap/>
            <w:vAlign w:val="center"/>
          </w:tcPr>
          <w:p w:rsidR="00123DC4" w:rsidRPr="007F4916" w:rsidRDefault="00123DC4" w:rsidP="00132057">
            <w:pPr>
              <w:spacing w:before="40" w:after="40"/>
              <w:jc w:val="center"/>
              <w:rPr>
                <w:rFonts w:cs="Arial"/>
                <w:color w:val="000000"/>
                <w:sz w:val="16"/>
                <w:szCs w:val="16"/>
              </w:rPr>
            </w:pPr>
            <w:r>
              <w:rPr>
                <w:rFonts w:cs="Arial"/>
                <w:color w:val="000000"/>
                <w:sz w:val="16"/>
                <w:szCs w:val="16"/>
              </w:rPr>
              <w:t>X</w:t>
            </w:r>
          </w:p>
        </w:tc>
        <w:tc>
          <w:tcPr>
            <w:tcW w:w="518" w:type="dxa"/>
            <w:tcBorders>
              <w:top w:val="nil"/>
              <w:left w:val="nil"/>
              <w:bottom w:val="single" w:sz="4" w:space="0" w:color="auto"/>
              <w:right w:val="single" w:sz="4" w:space="0" w:color="auto"/>
            </w:tcBorders>
            <w:shd w:val="clear" w:color="auto" w:fill="auto"/>
            <w:noWrap/>
            <w:vAlign w:val="center"/>
          </w:tcPr>
          <w:p w:rsidR="00123DC4" w:rsidRPr="007F4916" w:rsidRDefault="00123DC4" w:rsidP="00132057">
            <w:pPr>
              <w:spacing w:before="40" w:after="40"/>
              <w:jc w:val="center"/>
              <w:rPr>
                <w:rFonts w:cs="Arial"/>
                <w:color w:val="000000"/>
                <w:sz w:val="16"/>
                <w:szCs w:val="16"/>
              </w:rPr>
            </w:pPr>
            <w:r>
              <w:rPr>
                <w:rFonts w:cs="Arial"/>
                <w:color w:val="000000"/>
                <w:sz w:val="16"/>
                <w:szCs w:val="16"/>
              </w:rPr>
              <w:t>X</w:t>
            </w:r>
          </w:p>
        </w:tc>
        <w:tc>
          <w:tcPr>
            <w:tcW w:w="518" w:type="dxa"/>
            <w:tcBorders>
              <w:top w:val="nil"/>
              <w:left w:val="nil"/>
              <w:bottom w:val="single" w:sz="4" w:space="0" w:color="auto"/>
              <w:right w:val="single" w:sz="4" w:space="0" w:color="auto"/>
            </w:tcBorders>
            <w:shd w:val="clear" w:color="auto" w:fill="auto"/>
            <w:noWrap/>
            <w:vAlign w:val="center"/>
          </w:tcPr>
          <w:p w:rsidR="00123DC4" w:rsidRPr="007F4916" w:rsidRDefault="00123DC4" w:rsidP="00132057">
            <w:pPr>
              <w:spacing w:before="40" w:after="40"/>
              <w:jc w:val="center"/>
              <w:rPr>
                <w:rFonts w:cs="Arial"/>
                <w:color w:val="000000"/>
                <w:sz w:val="16"/>
                <w:szCs w:val="16"/>
              </w:rPr>
            </w:pPr>
            <w:r>
              <w:rPr>
                <w:rFonts w:cs="Arial"/>
                <w:color w:val="000000"/>
                <w:sz w:val="16"/>
                <w:szCs w:val="16"/>
              </w:rPr>
              <w:t>X</w:t>
            </w:r>
          </w:p>
        </w:tc>
        <w:tc>
          <w:tcPr>
            <w:tcW w:w="518" w:type="dxa"/>
            <w:tcBorders>
              <w:top w:val="nil"/>
              <w:left w:val="nil"/>
              <w:bottom w:val="single" w:sz="4" w:space="0" w:color="auto"/>
              <w:right w:val="single" w:sz="8" w:space="0" w:color="auto"/>
            </w:tcBorders>
            <w:shd w:val="clear" w:color="auto" w:fill="auto"/>
            <w:noWrap/>
            <w:vAlign w:val="center"/>
          </w:tcPr>
          <w:p w:rsidR="00123DC4" w:rsidRPr="007F4916" w:rsidRDefault="00123DC4" w:rsidP="00132057">
            <w:pPr>
              <w:spacing w:before="40" w:after="40"/>
              <w:jc w:val="center"/>
              <w:rPr>
                <w:rFonts w:cs="Arial"/>
                <w:color w:val="000000"/>
                <w:sz w:val="16"/>
                <w:szCs w:val="16"/>
              </w:rPr>
            </w:pPr>
            <w:r>
              <w:rPr>
                <w:rFonts w:cs="Arial"/>
                <w:color w:val="000000"/>
                <w:sz w:val="16"/>
                <w:szCs w:val="16"/>
              </w:rPr>
              <w:t>X</w:t>
            </w:r>
          </w:p>
        </w:tc>
      </w:tr>
    </w:tbl>
    <w:p w:rsidR="00123DC4" w:rsidRDefault="00123DC4" w:rsidP="00132057"/>
    <w:p w:rsidR="00123DC4" w:rsidRDefault="00123DC4" w:rsidP="00132057"/>
    <w:p w:rsidR="00123DC4" w:rsidRDefault="00123DC4">
      <w:pPr>
        <w:spacing w:after="200" w:line="276" w:lineRule="auto"/>
      </w:pPr>
      <w:r>
        <w:br w:type="page"/>
      </w:r>
    </w:p>
    <w:p w:rsidR="00123DC4" w:rsidRPr="00225BFF" w:rsidRDefault="00123DC4" w:rsidP="00132057">
      <w:pPr>
        <w:rPr>
          <w:rFonts w:cs="Arial"/>
          <w:b/>
          <w:sz w:val="22"/>
          <w:szCs w:val="20"/>
        </w:rPr>
      </w:pPr>
      <w:r w:rsidRPr="00225BFF">
        <w:rPr>
          <w:rFonts w:cs="Arial"/>
          <w:b/>
          <w:sz w:val="22"/>
          <w:szCs w:val="20"/>
        </w:rPr>
        <w:t>ICT-RELATED PROJECTS</w:t>
      </w:r>
    </w:p>
    <w:p w:rsidR="00123DC4" w:rsidRPr="00894098" w:rsidRDefault="00123DC4" w:rsidP="00132057"/>
    <w:p w:rsidR="00123DC4" w:rsidRPr="00CE5B6D" w:rsidRDefault="00550437" w:rsidP="00550437">
      <w:pPr>
        <w:pStyle w:val="StyleHeading3BoldNounderline"/>
        <w:spacing w:before="0" w:after="0"/>
        <w:ind w:left="1418" w:hanging="1418"/>
        <w:rPr>
          <w:b/>
          <w:sz w:val="20"/>
          <w:szCs w:val="20"/>
          <w:lang w:val="fr-CH"/>
        </w:rPr>
      </w:pPr>
      <w:bookmarkStart w:id="122" w:name="_Toc422210524"/>
      <w:bookmarkStart w:id="123" w:name="_Toc454544509"/>
      <w:r w:rsidRPr="00CE5B6D">
        <w:rPr>
          <w:b/>
          <w:sz w:val="20"/>
          <w:szCs w:val="20"/>
          <w:lang w:val="fr-CH"/>
        </w:rPr>
        <w:t>PROJECT 2</w:t>
      </w:r>
      <w:r w:rsidRPr="00CE5B6D">
        <w:rPr>
          <w:b/>
          <w:sz w:val="20"/>
          <w:szCs w:val="20"/>
          <w:lang w:val="fr-CH"/>
        </w:rPr>
        <w:tab/>
      </w:r>
      <w:r w:rsidR="00123DC4" w:rsidRPr="00CE5B6D">
        <w:rPr>
          <w:b/>
          <w:sz w:val="20"/>
          <w:szCs w:val="20"/>
          <w:lang w:val="fr-CH"/>
        </w:rPr>
        <w:t>ENTERPRISE CONTENT MANAGEMENT (ECM) IMPLEMENTATION (CMP 2)</w:t>
      </w:r>
      <w:bookmarkEnd w:id="122"/>
      <w:bookmarkEnd w:id="123"/>
    </w:p>
    <w:p w:rsidR="00123DC4" w:rsidRPr="00CE5B6D" w:rsidRDefault="00123DC4" w:rsidP="00132057">
      <w:pPr>
        <w:rPr>
          <w:rFonts w:cs="Arial"/>
          <w:b/>
          <w:szCs w:val="20"/>
          <w:lang w:val="fr-CH"/>
        </w:rPr>
      </w:pPr>
    </w:p>
    <w:p w:rsidR="00123DC4" w:rsidRPr="00CC07E1" w:rsidRDefault="00123DC4" w:rsidP="00132057">
      <w:pPr>
        <w:rPr>
          <w:rFonts w:cs="Arial"/>
          <w:b/>
          <w:szCs w:val="20"/>
        </w:rPr>
      </w:pPr>
      <w:r w:rsidRPr="00CC07E1">
        <w:rPr>
          <w:rFonts w:cs="Arial"/>
          <w:b/>
          <w:szCs w:val="20"/>
        </w:rPr>
        <w:t>Project Manager</w:t>
      </w:r>
      <w:r w:rsidRPr="00CC07E1">
        <w:rPr>
          <w:rFonts w:cs="Arial"/>
          <w:b/>
          <w:szCs w:val="20"/>
        </w:rPr>
        <w:tab/>
        <w:t>Mr. G. Beaver</w:t>
      </w:r>
    </w:p>
    <w:p w:rsidR="00123DC4" w:rsidRDefault="00123DC4" w:rsidP="00132057">
      <w:pPr>
        <w:rPr>
          <w:rFonts w:cs="Arial"/>
          <w:b/>
          <w:szCs w:val="20"/>
        </w:rPr>
      </w:pPr>
    </w:p>
    <w:p w:rsidR="00123DC4" w:rsidRPr="00CC07E1" w:rsidRDefault="00123DC4" w:rsidP="00132057">
      <w:pPr>
        <w:rPr>
          <w:rFonts w:cs="Arial"/>
          <w:b/>
          <w:szCs w:val="20"/>
        </w:rPr>
      </w:pPr>
    </w:p>
    <w:p w:rsidR="00123DC4" w:rsidRPr="00CC07E1" w:rsidRDefault="00123DC4" w:rsidP="00132057">
      <w:pPr>
        <w:rPr>
          <w:rFonts w:cs="Arial"/>
          <w:bCs/>
          <w:szCs w:val="20"/>
        </w:rPr>
      </w:pPr>
      <w:r w:rsidRPr="00CC07E1">
        <w:rPr>
          <w:rFonts w:cs="Arial"/>
          <w:bCs/>
          <w:szCs w:val="20"/>
        </w:rPr>
        <w:t>EXPECTED RESULT</w:t>
      </w:r>
    </w:p>
    <w:p w:rsidR="00123DC4" w:rsidRPr="00CC07E1" w:rsidRDefault="00123DC4" w:rsidP="00132057">
      <w:pPr>
        <w:rPr>
          <w:rFonts w:cs="Arial"/>
          <w:bCs/>
          <w:szCs w:val="20"/>
        </w:rPr>
      </w:pPr>
    </w:p>
    <w:p w:rsidR="00123DC4" w:rsidRPr="00CC07E1" w:rsidRDefault="00123DC4" w:rsidP="00132057">
      <w:pPr>
        <w:rPr>
          <w:rFonts w:cs="Arial"/>
          <w:bCs/>
          <w:szCs w:val="20"/>
        </w:rPr>
      </w:pPr>
      <w:r w:rsidRPr="00CC07E1">
        <w:rPr>
          <w:rFonts w:cs="Arial"/>
          <w:i/>
          <w:iCs/>
          <w:szCs w:val="20"/>
        </w:rPr>
        <w:t>IX.2 An agile and smooth functioning Secretariat with a well managed and appropriately skilled workforce which is effectively delivering results</w:t>
      </w:r>
    </w:p>
    <w:p w:rsidR="00123DC4" w:rsidRDefault="00123DC4" w:rsidP="00132057">
      <w:pPr>
        <w:rPr>
          <w:rFonts w:cs="Arial"/>
          <w:bCs/>
          <w:szCs w:val="20"/>
        </w:rPr>
      </w:pPr>
    </w:p>
    <w:p w:rsidR="00545826" w:rsidRPr="00CC07E1" w:rsidRDefault="00545826" w:rsidP="00132057">
      <w:pPr>
        <w:rPr>
          <w:rFonts w:cs="Arial"/>
          <w:bCs/>
          <w:szCs w:val="20"/>
        </w:rPr>
      </w:pPr>
    </w:p>
    <w:p w:rsidR="00123DC4" w:rsidRPr="00CC07E1" w:rsidRDefault="00123DC4" w:rsidP="00132057">
      <w:pPr>
        <w:rPr>
          <w:rFonts w:cs="Arial"/>
          <w:bCs/>
          <w:szCs w:val="20"/>
        </w:rPr>
      </w:pPr>
      <w:r w:rsidRPr="00CC07E1">
        <w:rPr>
          <w:rFonts w:cs="Arial"/>
          <w:bCs/>
          <w:szCs w:val="20"/>
        </w:rPr>
        <w:t>OBJECTIVES, SCOPE AND APPROACH- BACKGROUND</w:t>
      </w:r>
    </w:p>
    <w:p w:rsidR="00123DC4" w:rsidRPr="00CC07E1" w:rsidRDefault="00123DC4" w:rsidP="00132057">
      <w:pPr>
        <w:rPr>
          <w:rFonts w:cs="Arial"/>
          <w:bCs/>
          <w:szCs w:val="20"/>
        </w:rPr>
      </w:pPr>
    </w:p>
    <w:p w:rsidR="00123DC4" w:rsidRPr="00CC07E1" w:rsidRDefault="00123DC4" w:rsidP="00123DC4">
      <w:pPr>
        <w:pStyle w:val="ONUME"/>
        <w:numPr>
          <w:ilvl w:val="0"/>
          <w:numId w:val="131"/>
        </w:numPr>
        <w:tabs>
          <w:tab w:val="left" w:pos="567"/>
        </w:tabs>
        <w:ind w:left="0" w:firstLine="0"/>
        <w:jc w:val="both"/>
        <w:rPr>
          <w:iCs/>
        </w:rPr>
      </w:pPr>
      <w:r w:rsidRPr="00CC07E1">
        <w:rPr>
          <w:iCs/>
        </w:rPr>
        <w:t xml:space="preserve">The project is to introduce a central enterprise repository to store documents.  This will enable users to work together (collaborate) on document creation, to search and access information more easily, and will allow documents to be linked to transactions in the ERP system. </w:t>
      </w:r>
    </w:p>
    <w:p w:rsidR="00123DC4" w:rsidRPr="00CC07E1" w:rsidRDefault="00123DC4" w:rsidP="00123DC4">
      <w:pPr>
        <w:pStyle w:val="ONUME"/>
        <w:numPr>
          <w:ilvl w:val="0"/>
          <w:numId w:val="131"/>
        </w:numPr>
        <w:tabs>
          <w:tab w:val="left" w:pos="567"/>
        </w:tabs>
        <w:ind w:left="0" w:firstLine="0"/>
        <w:jc w:val="both"/>
        <w:rPr>
          <w:iCs/>
        </w:rPr>
      </w:pPr>
      <w:r w:rsidRPr="00CC07E1">
        <w:rPr>
          <w:iCs/>
        </w:rPr>
        <w:t>During the planning phase of the implementation of the ECM project, changes to the approach and scope were proposed whilst maintaining the original objectives.  These changes to approach and scope serve to further increase the probability of successful delivery of both the organizational changes and technical implementation elements of ECM.  The revised approach is based upon a phased implementation with a number of ‘early wins’ (detailed below), where business benefits will be realized by specific business sectors, through the automation of a number of their document- centric processes, prior to the corporate level deployment of ECM.</w:t>
      </w:r>
    </w:p>
    <w:p w:rsidR="00123DC4" w:rsidRDefault="00123DC4" w:rsidP="00123DC4">
      <w:pPr>
        <w:pStyle w:val="ONUME"/>
        <w:numPr>
          <w:ilvl w:val="0"/>
          <w:numId w:val="131"/>
        </w:numPr>
        <w:tabs>
          <w:tab w:val="left" w:pos="567"/>
        </w:tabs>
        <w:spacing w:after="0"/>
        <w:ind w:left="0" w:firstLine="0"/>
        <w:jc w:val="both"/>
        <w:rPr>
          <w:iCs/>
        </w:rPr>
      </w:pPr>
      <w:r w:rsidRPr="00CC07E1">
        <w:rPr>
          <w:iCs/>
        </w:rPr>
        <w:t>The objectives of the ECM project are:</w:t>
      </w:r>
    </w:p>
    <w:p w:rsidR="00123DC4" w:rsidRPr="00CC07E1" w:rsidRDefault="00123DC4" w:rsidP="00132057">
      <w:pPr>
        <w:pStyle w:val="ONUME"/>
        <w:tabs>
          <w:tab w:val="left" w:pos="567"/>
        </w:tabs>
        <w:spacing w:after="0"/>
        <w:jc w:val="both"/>
        <w:rPr>
          <w:iCs/>
        </w:rPr>
      </w:pPr>
    </w:p>
    <w:p w:rsidR="00123DC4" w:rsidRPr="005073C3" w:rsidRDefault="00123DC4" w:rsidP="00123DC4">
      <w:pPr>
        <w:pStyle w:val="ListParagraph"/>
        <w:numPr>
          <w:ilvl w:val="0"/>
          <w:numId w:val="120"/>
        </w:numPr>
        <w:spacing w:after="120"/>
        <w:ind w:left="1134" w:hanging="567"/>
        <w:jc w:val="both"/>
        <w:rPr>
          <w:rFonts w:cs="Arial"/>
        </w:rPr>
      </w:pPr>
      <w:r w:rsidRPr="005073C3">
        <w:rPr>
          <w:rFonts w:cs="Arial"/>
        </w:rPr>
        <w:t>The implementation of an organizational wide system for the storage, retrieval and management of WIPO documents, records and archives (the ECM application);</w:t>
      </w:r>
    </w:p>
    <w:p w:rsidR="00123DC4" w:rsidRPr="00CC07E1" w:rsidRDefault="00123DC4" w:rsidP="00123DC4">
      <w:pPr>
        <w:pStyle w:val="ListParagraph"/>
        <w:numPr>
          <w:ilvl w:val="0"/>
          <w:numId w:val="120"/>
        </w:numPr>
        <w:spacing w:after="120"/>
        <w:ind w:left="1134" w:hanging="567"/>
        <w:jc w:val="both"/>
        <w:rPr>
          <w:rFonts w:cs="Arial"/>
        </w:rPr>
      </w:pPr>
      <w:r w:rsidRPr="00CC07E1">
        <w:rPr>
          <w:rFonts w:cs="Arial"/>
        </w:rPr>
        <w:t>The implementation of process-specific configurations of the ECM Processes within the ECM Application to support content rich business processes.  These processes may be sector specific or organizational wide;</w:t>
      </w:r>
    </w:p>
    <w:p w:rsidR="00123DC4" w:rsidRPr="00CC07E1" w:rsidRDefault="00123DC4" w:rsidP="00123DC4">
      <w:pPr>
        <w:pStyle w:val="ListParagraph"/>
        <w:numPr>
          <w:ilvl w:val="0"/>
          <w:numId w:val="120"/>
        </w:numPr>
        <w:spacing w:after="120"/>
        <w:ind w:left="1134" w:hanging="567"/>
        <w:jc w:val="both"/>
        <w:rPr>
          <w:rFonts w:cs="Arial"/>
        </w:rPr>
      </w:pPr>
      <w:r w:rsidRPr="00CC07E1">
        <w:rPr>
          <w:rFonts w:cs="Arial"/>
        </w:rPr>
        <w:t>Integration where required, with the sub components of the ERP, to allow the linkage of supporting content (held in ECM) to transactional records (held in ERP) where the business processes implemented in ERP require;</w:t>
      </w:r>
    </w:p>
    <w:p w:rsidR="00123DC4" w:rsidRPr="00CC07E1" w:rsidRDefault="00123DC4" w:rsidP="00123DC4">
      <w:pPr>
        <w:pStyle w:val="ListParagraph"/>
        <w:numPr>
          <w:ilvl w:val="0"/>
          <w:numId w:val="120"/>
        </w:numPr>
        <w:spacing w:after="120"/>
        <w:ind w:left="1134" w:hanging="567"/>
        <w:jc w:val="both"/>
        <w:rPr>
          <w:rFonts w:cs="Arial"/>
        </w:rPr>
      </w:pPr>
      <w:r w:rsidRPr="00CC07E1">
        <w:rPr>
          <w:rFonts w:cs="Arial"/>
        </w:rPr>
        <w:t>The ECM application and supporting infrastructure will be hosted and managed in a manner to meet the service availability and security objectives of such a system based upon its business criticality;</w:t>
      </w:r>
    </w:p>
    <w:p w:rsidR="00123DC4" w:rsidRPr="00CC07E1" w:rsidRDefault="00123DC4" w:rsidP="00123DC4">
      <w:pPr>
        <w:pStyle w:val="ListParagraph"/>
        <w:numPr>
          <w:ilvl w:val="0"/>
          <w:numId w:val="120"/>
        </w:numPr>
        <w:spacing w:after="120"/>
        <w:ind w:left="1134" w:hanging="567"/>
        <w:jc w:val="both"/>
        <w:rPr>
          <w:rFonts w:cs="Arial"/>
        </w:rPr>
      </w:pPr>
      <w:r w:rsidRPr="00CC07E1">
        <w:rPr>
          <w:rFonts w:cs="Arial"/>
        </w:rPr>
        <w:t>The implementation of the records and archives components of the ECM application and supporting processes will be compliant with the WIPO Records Management and Archiving Policy (OI 15/2013);</w:t>
      </w:r>
    </w:p>
    <w:p w:rsidR="00123DC4" w:rsidRPr="00CC07E1" w:rsidRDefault="00123DC4" w:rsidP="00123DC4">
      <w:pPr>
        <w:pStyle w:val="ListParagraph"/>
        <w:numPr>
          <w:ilvl w:val="0"/>
          <w:numId w:val="120"/>
        </w:numPr>
        <w:spacing w:after="120"/>
        <w:ind w:left="1134" w:hanging="567"/>
        <w:jc w:val="both"/>
        <w:rPr>
          <w:rFonts w:cs="Arial"/>
        </w:rPr>
      </w:pPr>
      <w:r w:rsidRPr="00CC07E1">
        <w:rPr>
          <w:rFonts w:cs="Arial"/>
        </w:rPr>
        <w:t>End users will be trained in the use of the system, as well as the processes and procedures to ensure ongoing operational compliance with WIPO OI 15/2013 (ECM processes);</w:t>
      </w:r>
    </w:p>
    <w:p w:rsidR="00123DC4" w:rsidRPr="00CC07E1" w:rsidRDefault="00123DC4" w:rsidP="00123DC4">
      <w:pPr>
        <w:pStyle w:val="ListParagraph"/>
        <w:numPr>
          <w:ilvl w:val="0"/>
          <w:numId w:val="120"/>
        </w:numPr>
        <w:spacing w:after="120"/>
        <w:ind w:left="1134" w:hanging="567"/>
        <w:jc w:val="both"/>
        <w:rPr>
          <w:rFonts w:cs="Arial"/>
        </w:rPr>
      </w:pPr>
      <w:r w:rsidRPr="00CC07E1">
        <w:rPr>
          <w:rFonts w:cs="Arial"/>
        </w:rPr>
        <w:t>The system will implement sufficient security controls to maintain compliance with the WIPO Security policies;</w:t>
      </w:r>
      <w:r>
        <w:rPr>
          <w:rFonts w:cs="Arial"/>
        </w:rPr>
        <w:t xml:space="preserve">  and</w:t>
      </w:r>
    </w:p>
    <w:p w:rsidR="00123DC4" w:rsidRPr="00CC07E1" w:rsidRDefault="00123DC4" w:rsidP="00123DC4">
      <w:pPr>
        <w:pStyle w:val="ListParagraph"/>
        <w:numPr>
          <w:ilvl w:val="0"/>
          <w:numId w:val="120"/>
        </w:numPr>
        <w:ind w:left="1134" w:hanging="567"/>
        <w:contextualSpacing/>
        <w:jc w:val="both"/>
        <w:rPr>
          <w:rFonts w:cs="Arial"/>
        </w:rPr>
      </w:pPr>
      <w:r w:rsidRPr="00CC07E1">
        <w:rPr>
          <w:rFonts w:cs="Arial"/>
        </w:rPr>
        <w:t>The ECM Application design, license procurement, implementation, base configuration, individual ‘early win’ project specific configurations, full organizational wide base ECM capability, user training and transition top live operation will be delivered within the budget allocated to the project under the Capital Master Plan (see WO/PBC/21/18, July 31,2013).</w:t>
      </w:r>
    </w:p>
    <w:p w:rsidR="00123DC4" w:rsidRPr="00CC07E1" w:rsidRDefault="00123DC4" w:rsidP="00132057">
      <w:pPr>
        <w:contextualSpacing/>
        <w:jc w:val="both"/>
        <w:rPr>
          <w:rFonts w:cs="Arial"/>
          <w:szCs w:val="20"/>
        </w:rPr>
      </w:pPr>
    </w:p>
    <w:p w:rsidR="00123DC4" w:rsidRDefault="00123DC4" w:rsidP="00123DC4">
      <w:pPr>
        <w:pStyle w:val="ONUME"/>
        <w:numPr>
          <w:ilvl w:val="0"/>
          <w:numId w:val="131"/>
        </w:numPr>
        <w:tabs>
          <w:tab w:val="left" w:pos="567"/>
        </w:tabs>
        <w:spacing w:after="0"/>
        <w:ind w:left="0" w:firstLine="0"/>
        <w:jc w:val="both"/>
      </w:pPr>
      <w:r w:rsidRPr="00CC07E1">
        <w:t>The project will be broken down into a number of phases/sub-projects, each delivering a set of business benefits to one or more business areas.  Each sub-project will include:</w:t>
      </w:r>
    </w:p>
    <w:p w:rsidR="00123DC4" w:rsidRPr="00CC07E1" w:rsidRDefault="00123DC4" w:rsidP="00132057">
      <w:pPr>
        <w:pStyle w:val="ONUME"/>
        <w:tabs>
          <w:tab w:val="left" w:pos="567"/>
        </w:tabs>
        <w:spacing w:after="0"/>
        <w:jc w:val="both"/>
      </w:pPr>
    </w:p>
    <w:p w:rsidR="00123DC4" w:rsidRPr="00CC07E1" w:rsidRDefault="00123DC4" w:rsidP="00123DC4">
      <w:pPr>
        <w:pStyle w:val="ListParagraph"/>
        <w:numPr>
          <w:ilvl w:val="0"/>
          <w:numId w:val="120"/>
        </w:numPr>
        <w:spacing w:after="120"/>
        <w:ind w:left="1134" w:hanging="567"/>
        <w:jc w:val="both"/>
        <w:rPr>
          <w:rFonts w:cs="Arial"/>
        </w:rPr>
      </w:pPr>
      <w:r w:rsidRPr="00CC07E1">
        <w:rPr>
          <w:rFonts w:cs="Arial"/>
        </w:rPr>
        <w:t>business analysis required to specify the business process which the ECM solution will support;</w:t>
      </w:r>
    </w:p>
    <w:p w:rsidR="00123DC4" w:rsidRPr="00CC07E1" w:rsidRDefault="00123DC4" w:rsidP="00123DC4">
      <w:pPr>
        <w:pStyle w:val="ListParagraph"/>
        <w:numPr>
          <w:ilvl w:val="0"/>
          <w:numId w:val="120"/>
        </w:numPr>
        <w:spacing w:after="120"/>
        <w:ind w:left="1134" w:hanging="567"/>
        <w:jc w:val="both"/>
        <w:rPr>
          <w:rFonts w:cs="Arial"/>
        </w:rPr>
      </w:pPr>
      <w:r w:rsidRPr="00CC07E1">
        <w:rPr>
          <w:rFonts w:cs="Arial"/>
        </w:rPr>
        <w:t>the identification and documentation of the interfaces to existing systems, including the ERP system where required;</w:t>
      </w:r>
    </w:p>
    <w:p w:rsidR="00123DC4" w:rsidRPr="00CC07E1" w:rsidRDefault="00123DC4" w:rsidP="00123DC4">
      <w:pPr>
        <w:pStyle w:val="ListParagraph"/>
        <w:numPr>
          <w:ilvl w:val="0"/>
          <w:numId w:val="120"/>
        </w:numPr>
        <w:spacing w:after="120"/>
        <w:ind w:left="1134" w:hanging="567"/>
        <w:jc w:val="both"/>
        <w:rPr>
          <w:rFonts w:cs="Arial"/>
        </w:rPr>
      </w:pPr>
      <w:r w:rsidRPr="00CC07E1">
        <w:rPr>
          <w:rFonts w:cs="Arial"/>
        </w:rPr>
        <w:t>the design of the ECM configuration based upon the business process;</w:t>
      </w:r>
    </w:p>
    <w:p w:rsidR="00123DC4" w:rsidRPr="00CC07E1" w:rsidRDefault="00123DC4" w:rsidP="00123DC4">
      <w:pPr>
        <w:pStyle w:val="ListParagraph"/>
        <w:numPr>
          <w:ilvl w:val="0"/>
          <w:numId w:val="120"/>
        </w:numPr>
        <w:spacing w:after="120"/>
        <w:ind w:left="1134" w:hanging="567"/>
        <w:jc w:val="both"/>
        <w:rPr>
          <w:rFonts w:cs="Arial"/>
        </w:rPr>
      </w:pPr>
      <w:r w:rsidRPr="00CC07E1">
        <w:rPr>
          <w:rFonts w:cs="Arial"/>
        </w:rPr>
        <w:t>the implementation of the ECM system configuration to support the business process;</w:t>
      </w:r>
    </w:p>
    <w:p w:rsidR="00123DC4" w:rsidRPr="00CC07E1" w:rsidRDefault="00123DC4" w:rsidP="00123DC4">
      <w:pPr>
        <w:pStyle w:val="ListParagraph"/>
        <w:numPr>
          <w:ilvl w:val="0"/>
          <w:numId w:val="120"/>
        </w:numPr>
        <w:spacing w:after="120"/>
        <w:ind w:left="1134" w:hanging="567"/>
        <w:jc w:val="both"/>
        <w:rPr>
          <w:rFonts w:cs="Arial"/>
        </w:rPr>
      </w:pPr>
      <w:r w:rsidRPr="00CC07E1">
        <w:rPr>
          <w:rFonts w:cs="Arial"/>
        </w:rPr>
        <w:t>the system testing and user acceptance testing of the ECM system configuration to support the business process; and</w:t>
      </w:r>
    </w:p>
    <w:p w:rsidR="00123DC4" w:rsidRPr="00CC07E1" w:rsidRDefault="00123DC4" w:rsidP="00123DC4">
      <w:pPr>
        <w:pStyle w:val="ListParagraph"/>
        <w:numPr>
          <w:ilvl w:val="0"/>
          <w:numId w:val="120"/>
        </w:numPr>
        <w:spacing w:after="120"/>
        <w:ind w:left="1134" w:hanging="567"/>
        <w:jc w:val="both"/>
        <w:rPr>
          <w:rFonts w:cs="Arial"/>
        </w:rPr>
      </w:pPr>
      <w:r w:rsidRPr="00CC07E1">
        <w:rPr>
          <w:rFonts w:cs="Arial"/>
        </w:rPr>
        <w:t>the training for the end-users on the business process specific ECM configuration.</w:t>
      </w:r>
    </w:p>
    <w:p w:rsidR="00123DC4" w:rsidRPr="00CC07E1" w:rsidRDefault="00123DC4" w:rsidP="00132057">
      <w:pPr>
        <w:contextualSpacing/>
        <w:jc w:val="both"/>
        <w:rPr>
          <w:rFonts w:cs="Arial"/>
          <w:szCs w:val="20"/>
        </w:rPr>
      </w:pPr>
    </w:p>
    <w:p w:rsidR="00123DC4" w:rsidRDefault="00123DC4" w:rsidP="00123DC4">
      <w:pPr>
        <w:pStyle w:val="ONUME"/>
        <w:numPr>
          <w:ilvl w:val="0"/>
          <w:numId w:val="131"/>
        </w:numPr>
        <w:tabs>
          <w:tab w:val="left" w:pos="567"/>
        </w:tabs>
        <w:spacing w:after="0"/>
        <w:ind w:left="0" w:firstLine="0"/>
        <w:jc w:val="both"/>
      </w:pPr>
      <w:r w:rsidRPr="00CC07E1">
        <w:t>The currently identified sub-projects in order of implementation are:</w:t>
      </w:r>
    </w:p>
    <w:p w:rsidR="00123DC4" w:rsidRPr="00CC07E1" w:rsidRDefault="00123DC4" w:rsidP="00132057">
      <w:pPr>
        <w:pStyle w:val="ONUME"/>
        <w:tabs>
          <w:tab w:val="left" w:pos="567"/>
        </w:tabs>
        <w:spacing w:after="0"/>
        <w:jc w:val="both"/>
      </w:pPr>
    </w:p>
    <w:p w:rsidR="00123DC4" w:rsidRPr="00CC07E1" w:rsidRDefault="00123DC4" w:rsidP="00132057">
      <w:pPr>
        <w:ind w:left="567"/>
        <w:contextualSpacing/>
        <w:jc w:val="both"/>
        <w:rPr>
          <w:rFonts w:cs="Arial"/>
          <w:szCs w:val="20"/>
        </w:rPr>
      </w:pPr>
      <w:r w:rsidRPr="00CC07E1">
        <w:rPr>
          <w:rFonts w:cs="Arial"/>
          <w:b/>
          <w:szCs w:val="20"/>
        </w:rPr>
        <w:t xml:space="preserve">Corporate Records and Archives </w:t>
      </w:r>
      <w:r>
        <w:rPr>
          <w:rFonts w:cs="Arial"/>
          <w:szCs w:val="20"/>
        </w:rPr>
        <w:t>–</w:t>
      </w:r>
      <w:r w:rsidRPr="00CC07E1">
        <w:rPr>
          <w:rFonts w:cs="Arial"/>
          <w:szCs w:val="20"/>
        </w:rPr>
        <w:t xml:space="preserve"> a</w:t>
      </w:r>
      <w:r>
        <w:rPr>
          <w:rFonts w:cs="Arial"/>
          <w:szCs w:val="20"/>
        </w:rPr>
        <w:t xml:space="preserve"> </w:t>
      </w:r>
      <w:r w:rsidRPr="00CC07E1">
        <w:rPr>
          <w:rFonts w:cs="Arial"/>
          <w:szCs w:val="20"/>
        </w:rPr>
        <w:t xml:space="preserve">sub-project to increase the functionality of the </w:t>
      </w:r>
      <w:r>
        <w:rPr>
          <w:rFonts w:cs="Arial"/>
          <w:szCs w:val="20"/>
        </w:rPr>
        <w:t>r</w:t>
      </w:r>
      <w:r w:rsidRPr="00CC07E1">
        <w:rPr>
          <w:rFonts w:cs="Arial"/>
          <w:szCs w:val="20"/>
        </w:rPr>
        <w:t xml:space="preserve">ecords and </w:t>
      </w:r>
      <w:r>
        <w:rPr>
          <w:rFonts w:cs="Arial"/>
          <w:szCs w:val="20"/>
        </w:rPr>
        <w:t>a</w:t>
      </w:r>
      <w:r w:rsidRPr="00CC07E1">
        <w:rPr>
          <w:rFonts w:cs="Arial"/>
          <w:szCs w:val="20"/>
        </w:rPr>
        <w:t xml:space="preserve">rchive service, including the enhancement/replacement of their document scanning processes, as well as the implementation of an incoming </w:t>
      </w:r>
      <w:r>
        <w:rPr>
          <w:rFonts w:cs="Arial"/>
          <w:szCs w:val="20"/>
        </w:rPr>
        <w:t xml:space="preserve">and outgoing </w:t>
      </w:r>
      <w:r w:rsidRPr="00CC07E1">
        <w:rPr>
          <w:rFonts w:cs="Arial"/>
          <w:szCs w:val="20"/>
        </w:rPr>
        <w:t>mail scanning and tracking process (scan and workflow),</w:t>
      </w:r>
      <w:r>
        <w:rPr>
          <w:rFonts w:cs="Arial"/>
          <w:szCs w:val="20"/>
        </w:rPr>
        <w:t> </w:t>
      </w:r>
      <w:r w:rsidRPr="00CC07E1">
        <w:rPr>
          <w:rFonts w:cs="Arial"/>
          <w:szCs w:val="20"/>
        </w:rPr>
        <w:t xml:space="preserve">and the implementation of section level archiving based upon the WIPO records management policy (records &amp; archive management). </w:t>
      </w:r>
    </w:p>
    <w:p w:rsidR="00123DC4" w:rsidRPr="00CC07E1" w:rsidRDefault="00123DC4" w:rsidP="00132057">
      <w:pPr>
        <w:ind w:left="567"/>
        <w:contextualSpacing/>
        <w:jc w:val="both"/>
        <w:rPr>
          <w:rFonts w:cs="Arial"/>
          <w:szCs w:val="20"/>
        </w:rPr>
      </w:pPr>
    </w:p>
    <w:p w:rsidR="00123DC4" w:rsidRPr="00CC07E1" w:rsidRDefault="00123DC4" w:rsidP="00132057">
      <w:pPr>
        <w:ind w:left="567"/>
        <w:contextualSpacing/>
        <w:jc w:val="both"/>
        <w:rPr>
          <w:rFonts w:cs="Arial"/>
          <w:szCs w:val="20"/>
        </w:rPr>
      </w:pPr>
      <w:r w:rsidRPr="00CC07E1">
        <w:rPr>
          <w:rFonts w:cs="Arial"/>
          <w:b/>
          <w:szCs w:val="20"/>
        </w:rPr>
        <w:t xml:space="preserve">Translation request </w:t>
      </w:r>
      <w:r>
        <w:rPr>
          <w:rFonts w:cs="Arial"/>
          <w:szCs w:val="20"/>
        </w:rPr>
        <w:t>–</w:t>
      </w:r>
      <w:r w:rsidRPr="00CC07E1">
        <w:rPr>
          <w:rFonts w:cs="Arial"/>
          <w:szCs w:val="20"/>
        </w:rPr>
        <w:t xml:space="preserve"> the</w:t>
      </w:r>
      <w:r>
        <w:rPr>
          <w:rFonts w:cs="Arial"/>
          <w:szCs w:val="20"/>
        </w:rPr>
        <w:t xml:space="preserve"> </w:t>
      </w:r>
      <w:r w:rsidRPr="00CC07E1">
        <w:rPr>
          <w:rFonts w:cs="Arial"/>
          <w:szCs w:val="20"/>
        </w:rPr>
        <w:t xml:space="preserve">automation of a document based workflow with tracking and reporting, for the allocation of documents to be translated by the Languages Division. </w:t>
      </w:r>
    </w:p>
    <w:p w:rsidR="00123DC4" w:rsidRPr="00CC07E1" w:rsidRDefault="00123DC4" w:rsidP="00132057">
      <w:pPr>
        <w:ind w:left="567"/>
        <w:contextualSpacing/>
        <w:jc w:val="both"/>
        <w:rPr>
          <w:rFonts w:cs="Arial"/>
          <w:szCs w:val="20"/>
        </w:rPr>
      </w:pPr>
    </w:p>
    <w:p w:rsidR="00123DC4" w:rsidRPr="00CC07E1" w:rsidRDefault="00123DC4" w:rsidP="00132057">
      <w:pPr>
        <w:ind w:left="567"/>
        <w:contextualSpacing/>
        <w:jc w:val="both"/>
        <w:rPr>
          <w:rFonts w:cs="Arial"/>
          <w:szCs w:val="20"/>
        </w:rPr>
      </w:pPr>
      <w:r w:rsidRPr="00CC07E1">
        <w:rPr>
          <w:rFonts w:cs="Arial"/>
          <w:b/>
          <w:szCs w:val="20"/>
        </w:rPr>
        <w:t xml:space="preserve">ODG Incoming Mail </w:t>
      </w:r>
      <w:r>
        <w:rPr>
          <w:rFonts w:cs="Arial"/>
          <w:szCs w:val="20"/>
        </w:rPr>
        <w:t>–</w:t>
      </w:r>
      <w:r w:rsidRPr="00CC07E1">
        <w:rPr>
          <w:rFonts w:cs="Arial"/>
          <w:szCs w:val="20"/>
        </w:rPr>
        <w:t xml:space="preserve"> the</w:t>
      </w:r>
      <w:r>
        <w:rPr>
          <w:rFonts w:cs="Arial"/>
          <w:szCs w:val="20"/>
        </w:rPr>
        <w:t xml:space="preserve"> </w:t>
      </w:r>
      <w:r w:rsidRPr="00CC07E1">
        <w:rPr>
          <w:rFonts w:cs="Arial"/>
          <w:szCs w:val="20"/>
        </w:rPr>
        <w:t>scanning and document workflow of Incoming Mail for the Office of the Director General, with the links to the resulting response, with monitoring of progress to ensure that the response is completed and sent within the appropriate time frames.</w:t>
      </w:r>
    </w:p>
    <w:p w:rsidR="00123DC4" w:rsidRPr="00CC07E1" w:rsidRDefault="00123DC4" w:rsidP="00132057">
      <w:pPr>
        <w:ind w:left="567"/>
        <w:contextualSpacing/>
        <w:jc w:val="both"/>
        <w:rPr>
          <w:rFonts w:cs="Arial"/>
          <w:szCs w:val="20"/>
        </w:rPr>
      </w:pPr>
    </w:p>
    <w:p w:rsidR="00123DC4" w:rsidRPr="00CC07E1" w:rsidRDefault="00123DC4" w:rsidP="00132057">
      <w:pPr>
        <w:ind w:left="567"/>
        <w:contextualSpacing/>
        <w:jc w:val="both"/>
        <w:rPr>
          <w:rFonts w:cs="Arial"/>
          <w:szCs w:val="20"/>
        </w:rPr>
      </w:pPr>
      <w:r w:rsidRPr="00CC07E1">
        <w:rPr>
          <w:rFonts w:cs="Arial"/>
          <w:b/>
          <w:szCs w:val="20"/>
        </w:rPr>
        <w:t xml:space="preserve">Vendor </w:t>
      </w:r>
      <w:r>
        <w:rPr>
          <w:rFonts w:cs="Arial"/>
          <w:b/>
          <w:szCs w:val="20"/>
        </w:rPr>
        <w:t>and</w:t>
      </w:r>
      <w:r w:rsidRPr="00CC07E1">
        <w:rPr>
          <w:rFonts w:cs="Arial"/>
          <w:b/>
          <w:szCs w:val="20"/>
        </w:rPr>
        <w:t xml:space="preserve"> Contract Management System</w:t>
      </w:r>
      <w:r>
        <w:rPr>
          <w:rFonts w:cs="Arial"/>
          <w:b/>
          <w:szCs w:val="20"/>
        </w:rPr>
        <w:t xml:space="preserve"> –</w:t>
      </w:r>
      <w:r w:rsidRPr="00CC07E1">
        <w:rPr>
          <w:rFonts w:cs="Arial"/>
          <w:szCs w:val="20"/>
        </w:rPr>
        <w:t xml:space="preserve"> an</w:t>
      </w:r>
      <w:r>
        <w:rPr>
          <w:rFonts w:cs="Arial"/>
          <w:szCs w:val="20"/>
        </w:rPr>
        <w:t xml:space="preserve"> </w:t>
      </w:r>
      <w:r w:rsidRPr="00CC07E1">
        <w:rPr>
          <w:rFonts w:cs="Arial"/>
          <w:szCs w:val="20"/>
        </w:rPr>
        <w:t xml:space="preserve">‘early win sub-project’ to implement a solution/processes to manage contract information, allowing for creation of contract documents (document management), the storage of documents related to a contract (case management), the reporting and alerting of events during the contract lifecycle (workflow and case management), and the searching against the contracts (search). </w:t>
      </w:r>
    </w:p>
    <w:p w:rsidR="00123DC4" w:rsidRPr="00CC07E1" w:rsidRDefault="00123DC4" w:rsidP="00132057">
      <w:pPr>
        <w:ind w:left="567"/>
        <w:contextualSpacing/>
        <w:jc w:val="both"/>
        <w:rPr>
          <w:rFonts w:cs="Arial"/>
          <w:szCs w:val="20"/>
        </w:rPr>
      </w:pPr>
    </w:p>
    <w:p w:rsidR="00123DC4" w:rsidRPr="00CC07E1" w:rsidRDefault="00123DC4" w:rsidP="00132057">
      <w:pPr>
        <w:ind w:left="567"/>
        <w:contextualSpacing/>
        <w:jc w:val="both"/>
        <w:rPr>
          <w:rFonts w:cs="Arial"/>
          <w:szCs w:val="20"/>
        </w:rPr>
      </w:pPr>
      <w:r w:rsidRPr="00CC07E1">
        <w:rPr>
          <w:rFonts w:cs="Arial"/>
          <w:b/>
          <w:szCs w:val="20"/>
        </w:rPr>
        <w:t xml:space="preserve">Mission Reports </w:t>
      </w:r>
      <w:r>
        <w:rPr>
          <w:rFonts w:cs="Arial"/>
          <w:szCs w:val="20"/>
        </w:rPr>
        <w:t>–</w:t>
      </w:r>
      <w:r w:rsidRPr="00CC07E1">
        <w:rPr>
          <w:rFonts w:cs="Arial"/>
          <w:szCs w:val="20"/>
        </w:rPr>
        <w:t xml:space="preserve"> the</w:t>
      </w:r>
      <w:r>
        <w:rPr>
          <w:rFonts w:cs="Arial"/>
          <w:szCs w:val="20"/>
        </w:rPr>
        <w:t xml:space="preserve"> </w:t>
      </w:r>
      <w:r w:rsidRPr="00CC07E1">
        <w:rPr>
          <w:rFonts w:cs="Arial"/>
          <w:szCs w:val="20"/>
        </w:rPr>
        <w:t>management of the creation of mission reports (document management), the processes of review and publication of the mission report (work flow), and the searching of previous mission reports (search) based upon categorization (locations, personnel, topic and organizations visited).</w:t>
      </w:r>
    </w:p>
    <w:p w:rsidR="00123DC4" w:rsidRPr="00CC07E1" w:rsidRDefault="00123DC4" w:rsidP="00132057">
      <w:pPr>
        <w:ind w:left="567"/>
        <w:contextualSpacing/>
        <w:jc w:val="both"/>
        <w:rPr>
          <w:rFonts w:cs="Arial"/>
          <w:szCs w:val="20"/>
        </w:rPr>
      </w:pPr>
    </w:p>
    <w:p w:rsidR="00123DC4" w:rsidRPr="00CC07E1" w:rsidRDefault="00123DC4" w:rsidP="00132057">
      <w:pPr>
        <w:ind w:left="567"/>
        <w:contextualSpacing/>
        <w:jc w:val="both"/>
        <w:rPr>
          <w:rFonts w:cs="Arial"/>
          <w:szCs w:val="20"/>
        </w:rPr>
      </w:pPr>
      <w:r w:rsidRPr="00CC07E1">
        <w:rPr>
          <w:rFonts w:cs="Arial"/>
          <w:b/>
          <w:szCs w:val="20"/>
        </w:rPr>
        <w:t xml:space="preserve">Human Resources (Staff eFile) </w:t>
      </w:r>
      <w:r>
        <w:rPr>
          <w:rFonts w:cs="Arial"/>
          <w:szCs w:val="20"/>
        </w:rPr>
        <w:t>–</w:t>
      </w:r>
      <w:r w:rsidRPr="00CC07E1">
        <w:rPr>
          <w:rFonts w:cs="Arial"/>
          <w:szCs w:val="20"/>
        </w:rPr>
        <w:t xml:space="preserve"> the</w:t>
      </w:r>
      <w:r>
        <w:rPr>
          <w:rFonts w:cs="Arial"/>
          <w:szCs w:val="20"/>
        </w:rPr>
        <w:t xml:space="preserve"> </w:t>
      </w:r>
      <w:r w:rsidRPr="00CC07E1">
        <w:rPr>
          <w:rFonts w:cs="Arial"/>
          <w:szCs w:val="20"/>
        </w:rPr>
        <w:t>creation of secure HR folders (cases) for each employee, to contain the electronic documents and records for that employee, with the inclusion of electronic scans of the existing paper records (imaging &amp; scanning).  HRMD staff will have the ability to search across the eFiles to identify and retrieve any required files (search).</w:t>
      </w:r>
    </w:p>
    <w:p w:rsidR="00123DC4" w:rsidRPr="00CC07E1" w:rsidRDefault="00123DC4" w:rsidP="00132057">
      <w:pPr>
        <w:ind w:left="567"/>
        <w:contextualSpacing/>
        <w:jc w:val="both"/>
        <w:rPr>
          <w:rFonts w:cs="Arial"/>
          <w:szCs w:val="20"/>
        </w:rPr>
      </w:pPr>
    </w:p>
    <w:p w:rsidR="00123DC4" w:rsidRPr="00CC07E1" w:rsidRDefault="00123DC4" w:rsidP="00132057">
      <w:pPr>
        <w:ind w:left="567"/>
        <w:contextualSpacing/>
        <w:jc w:val="both"/>
        <w:rPr>
          <w:rFonts w:cs="Arial"/>
          <w:szCs w:val="20"/>
        </w:rPr>
      </w:pPr>
      <w:r w:rsidRPr="00CC07E1">
        <w:rPr>
          <w:rFonts w:cs="Arial"/>
          <w:b/>
          <w:szCs w:val="20"/>
        </w:rPr>
        <w:t xml:space="preserve">Organizational wide ECM Capability </w:t>
      </w:r>
      <w:r>
        <w:rPr>
          <w:rFonts w:cs="Arial"/>
          <w:szCs w:val="20"/>
        </w:rPr>
        <w:t>–</w:t>
      </w:r>
      <w:r w:rsidRPr="00CC07E1">
        <w:rPr>
          <w:rFonts w:cs="Arial"/>
          <w:szCs w:val="20"/>
        </w:rPr>
        <w:t xml:space="preserve"> the</w:t>
      </w:r>
      <w:r>
        <w:rPr>
          <w:rFonts w:cs="Arial"/>
          <w:szCs w:val="20"/>
        </w:rPr>
        <w:t xml:space="preserve"> </w:t>
      </w:r>
      <w:r w:rsidRPr="00CC07E1">
        <w:rPr>
          <w:rFonts w:cs="Arial"/>
          <w:szCs w:val="20"/>
        </w:rPr>
        <w:t>integration of ECM into the standard WIPO Corporate Desktop so allowing all WIPO users to perform Document Management (storage, categorization, search &amp; retrieval, and version control) on user, unit and organizational created content.  The content will include user desktop created content such as word processing files (e.g. Microsoft Word and PDF documents),  Spreadsheets (e.g. Microsoft Excel), presentations (e.g. Microsoft PowerPoint), diagrams (e.g. Microsoft visio), project plans (e.g. Microsoft Project) emails.</w:t>
      </w:r>
    </w:p>
    <w:p w:rsidR="00123DC4" w:rsidRDefault="00123DC4" w:rsidP="00132057">
      <w:pPr>
        <w:ind w:left="567"/>
        <w:rPr>
          <w:rFonts w:cs="Arial"/>
          <w:bCs/>
          <w:szCs w:val="20"/>
        </w:rPr>
      </w:pPr>
    </w:p>
    <w:p w:rsidR="00123DC4" w:rsidRPr="00CC07E1" w:rsidRDefault="00123DC4" w:rsidP="00132057">
      <w:pPr>
        <w:rPr>
          <w:rFonts w:cs="Arial"/>
          <w:bCs/>
          <w:szCs w:val="20"/>
        </w:rPr>
      </w:pPr>
    </w:p>
    <w:p w:rsidR="00123DC4" w:rsidRPr="00225BFF" w:rsidRDefault="00123DC4" w:rsidP="00132057">
      <w:pPr>
        <w:rPr>
          <w:rFonts w:cs="Arial"/>
          <w:bCs/>
          <w:szCs w:val="20"/>
        </w:rPr>
      </w:pPr>
      <w:r w:rsidRPr="00225BFF">
        <w:rPr>
          <w:rFonts w:cs="Arial"/>
          <w:bCs/>
          <w:szCs w:val="20"/>
        </w:rPr>
        <w:t>OVERVIEW OF PROGRESS IN 2015 (KEY MILESTONES)</w:t>
      </w:r>
    </w:p>
    <w:p w:rsidR="00123DC4" w:rsidRPr="00CC07E1" w:rsidRDefault="00123DC4" w:rsidP="00132057">
      <w:pPr>
        <w:rPr>
          <w:rFonts w:cs="Arial"/>
          <w:bCs/>
          <w:szCs w:val="20"/>
        </w:rPr>
      </w:pPr>
    </w:p>
    <w:p w:rsidR="00123DC4" w:rsidRPr="00CC07E1" w:rsidRDefault="00123DC4" w:rsidP="00123DC4">
      <w:pPr>
        <w:pStyle w:val="ONUME"/>
        <w:numPr>
          <w:ilvl w:val="0"/>
          <w:numId w:val="131"/>
        </w:numPr>
        <w:tabs>
          <w:tab w:val="left" w:pos="567"/>
        </w:tabs>
        <w:spacing w:after="0"/>
        <w:ind w:left="0" w:firstLine="0"/>
        <w:jc w:val="both"/>
        <w:rPr>
          <w:bCs/>
        </w:rPr>
      </w:pPr>
      <w:r w:rsidRPr="00CC07E1">
        <w:rPr>
          <w:bCs/>
        </w:rPr>
        <w:t>The revised ECM project approach was approved by the WIPO ICT Board in April 2015, includ</w:t>
      </w:r>
      <w:r>
        <w:rPr>
          <w:bCs/>
        </w:rPr>
        <w:t>ing the re</w:t>
      </w:r>
      <w:r>
        <w:rPr>
          <w:bCs/>
        </w:rPr>
        <w:noBreakHyphen/>
      </w:r>
      <w:r w:rsidRPr="00CC07E1">
        <w:rPr>
          <w:bCs/>
        </w:rPr>
        <w:t>prioritization of ‘early win projects’.</w:t>
      </w:r>
    </w:p>
    <w:p w:rsidR="00123DC4" w:rsidRPr="00CC07E1" w:rsidRDefault="00123DC4" w:rsidP="00132057">
      <w:pPr>
        <w:rPr>
          <w:rFonts w:cs="Arial"/>
          <w:bCs/>
          <w:szCs w:val="20"/>
        </w:rPr>
      </w:pPr>
    </w:p>
    <w:p w:rsidR="00123DC4" w:rsidRPr="00CC07E1" w:rsidRDefault="00123DC4" w:rsidP="00123DC4">
      <w:pPr>
        <w:pStyle w:val="ONUME"/>
        <w:numPr>
          <w:ilvl w:val="0"/>
          <w:numId w:val="131"/>
        </w:numPr>
        <w:tabs>
          <w:tab w:val="left" w:pos="567"/>
        </w:tabs>
        <w:spacing w:after="0"/>
        <w:ind w:left="0" w:firstLine="0"/>
        <w:jc w:val="both"/>
        <w:rPr>
          <w:bCs/>
        </w:rPr>
      </w:pPr>
      <w:r w:rsidRPr="00E012EF">
        <w:t>In</w:t>
      </w:r>
      <w:r w:rsidRPr="00CC07E1">
        <w:rPr>
          <w:bCs/>
        </w:rPr>
        <w:t xml:space="preserve"> 2015</w:t>
      </w:r>
      <w:r>
        <w:rPr>
          <w:bCs/>
        </w:rPr>
        <w:t>,</w:t>
      </w:r>
      <w:r w:rsidRPr="00CC07E1">
        <w:rPr>
          <w:bCs/>
        </w:rPr>
        <w:t xml:space="preserve"> the following progress was made:</w:t>
      </w:r>
    </w:p>
    <w:p w:rsidR="00123DC4" w:rsidRPr="00CC07E1" w:rsidRDefault="00123DC4" w:rsidP="00132057">
      <w:pPr>
        <w:tabs>
          <w:tab w:val="left" w:pos="993"/>
        </w:tabs>
        <w:ind w:left="993" w:hanging="426"/>
        <w:rPr>
          <w:rFonts w:cs="Arial"/>
          <w:bCs/>
          <w:szCs w:val="20"/>
        </w:rPr>
      </w:pPr>
    </w:p>
    <w:p w:rsidR="00123DC4" w:rsidRPr="00CC07E1" w:rsidRDefault="00123DC4" w:rsidP="00123DC4">
      <w:pPr>
        <w:pStyle w:val="ListParagraph"/>
        <w:numPr>
          <w:ilvl w:val="0"/>
          <w:numId w:val="138"/>
        </w:numPr>
        <w:tabs>
          <w:tab w:val="left" w:pos="993"/>
        </w:tabs>
        <w:spacing w:after="120"/>
        <w:ind w:left="992" w:hanging="425"/>
        <w:rPr>
          <w:rFonts w:cs="Arial"/>
          <w:bCs/>
        </w:rPr>
      </w:pPr>
      <w:r w:rsidRPr="00CC07E1">
        <w:rPr>
          <w:rFonts w:cs="Arial"/>
          <w:bCs/>
        </w:rPr>
        <w:t xml:space="preserve">The technology choice, OpenText, for the implementation of the ECM was finalized in the third quarter </w:t>
      </w:r>
      <w:r w:rsidRPr="00C80904">
        <w:rPr>
          <w:rFonts w:cs="Arial"/>
          <w:bCs/>
        </w:rPr>
        <w:t xml:space="preserve">following the recommendations of </w:t>
      </w:r>
      <w:r>
        <w:rPr>
          <w:rFonts w:cs="Arial"/>
          <w:bCs/>
        </w:rPr>
        <w:t>an</w:t>
      </w:r>
      <w:r w:rsidRPr="00C80904">
        <w:rPr>
          <w:rFonts w:cs="Arial"/>
          <w:bCs/>
        </w:rPr>
        <w:t xml:space="preserve"> independent consultant, as well as further market analysis</w:t>
      </w:r>
      <w:r>
        <w:rPr>
          <w:rFonts w:cs="Arial"/>
          <w:bCs/>
        </w:rPr>
        <w:t>;</w:t>
      </w:r>
    </w:p>
    <w:p w:rsidR="00123DC4" w:rsidRDefault="00123DC4" w:rsidP="00D53642">
      <w:pPr>
        <w:pStyle w:val="ListParagraph"/>
        <w:numPr>
          <w:ilvl w:val="0"/>
          <w:numId w:val="138"/>
        </w:numPr>
        <w:tabs>
          <w:tab w:val="left" w:pos="993"/>
        </w:tabs>
        <w:spacing w:after="120"/>
        <w:ind w:left="992" w:hanging="425"/>
        <w:jc w:val="both"/>
        <w:rPr>
          <w:rFonts w:cs="Arial"/>
        </w:rPr>
      </w:pPr>
      <w:r w:rsidRPr="00CC07E1">
        <w:rPr>
          <w:rFonts w:cs="Arial"/>
        </w:rPr>
        <w:t xml:space="preserve">The existing corporate records and archives </w:t>
      </w:r>
      <w:r>
        <w:rPr>
          <w:rFonts w:cs="Arial"/>
        </w:rPr>
        <w:t xml:space="preserve">system </w:t>
      </w:r>
      <w:r w:rsidRPr="00CC07E1">
        <w:rPr>
          <w:rFonts w:cs="Arial"/>
        </w:rPr>
        <w:t xml:space="preserve">was upgraded to the </w:t>
      </w:r>
      <w:r>
        <w:rPr>
          <w:rFonts w:cs="Arial"/>
        </w:rPr>
        <w:t>new OpenText</w:t>
      </w:r>
      <w:r w:rsidRPr="00CC07E1">
        <w:rPr>
          <w:rFonts w:cs="Arial"/>
        </w:rPr>
        <w:t xml:space="preserve"> platform</w:t>
      </w:r>
      <w:r>
        <w:rPr>
          <w:rFonts w:cs="Arial"/>
        </w:rPr>
        <w:t xml:space="preserve"> during the fourth quarter</w:t>
      </w:r>
      <w:r w:rsidRPr="00CC07E1">
        <w:rPr>
          <w:rFonts w:cs="Arial"/>
        </w:rPr>
        <w:t xml:space="preserve">, </w:t>
      </w:r>
      <w:r>
        <w:rPr>
          <w:rFonts w:cs="Arial"/>
        </w:rPr>
        <w:t xml:space="preserve">two quarters earlier than originally planned, </w:t>
      </w:r>
      <w:r w:rsidRPr="00CC07E1">
        <w:rPr>
          <w:rFonts w:cs="Arial"/>
        </w:rPr>
        <w:t xml:space="preserve">due to </w:t>
      </w:r>
      <w:r>
        <w:rPr>
          <w:rFonts w:cs="Arial"/>
        </w:rPr>
        <w:t xml:space="preserve">Microsoft’s </w:t>
      </w:r>
      <w:r w:rsidRPr="00CC07E1">
        <w:rPr>
          <w:rFonts w:cs="Arial"/>
        </w:rPr>
        <w:t xml:space="preserve">support for the existing underlying platform </w:t>
      </w:r>
      <w:r>
        <w:rPr>
          <w:rFonts w:cs="Arial"/>
        </w:rPr>
        <w:t xml:space="preserve">having been </w:t>
      </w:r>
      <w:r w:rsidRPr="00CC07E1">
        <w:rPr>
          <w:rFonts w:cs="Arial"/>
        </w:rPr>
        <w:t>discontinued</w:t>
      </w:r>
      <w:r>
        <w:rPr>
          <w:rFonts w:cs="Arial"/>
        </w:rPr>
        <w:t xml:space="preserve"> in mid-September 2015;  </w:t>
      </w:r>
    </w:p>
    <w:p w:rsidR="00123DC4" w:rsidRPr="00CC07E1" w:rsidRDefault="00123DC4" w:rsidP="00D53642">
      <w:pPr>
        <w:pStyle w:val="ListParagraph"/>
        <w:numPr>
          <w:ilvl w:val="0"/>
          <w:numId w:val="138"/>
        </w:numPr>
        <w:tabs>
          <w:tab w:val="left" w:pos="993"/>
        </w:tabs>
        <w:ind w:left="992" w:hanging="425"/>
        <w:jc w:val="both"/>
        <w:rPr>
          <w:rFonts w:cs="Arial"/>
        </w:rPr>
      </w:pPr>
      <w:r w:rsidRPr="00CC07E1">
        <w:rPr>
          <w:rFonts w:cs="Arial"/>
          <w:bCs/>
        </w:rPr>
        <w:t>The procurement activities for the appointment of a vendor to provide design, configuration, implementation and support services for the ECM project was launched with a Request for Information (RFI) in November 2015.  The companies short listed following the RFI will be invited to the full Request for Proposal (RFP) process in March 2016.</w:t>
      </w:r>
      <w:r>
        <w:rPr>
          <w:rFonts w:cs="Arial"/>
          <w:bCs/>
        </w:rPr>
        <w:t xml:space="preserve">  </w:t>
      </w:r>
    </w:p>
    <w:p w:rsidR="00123DC4" w:rsidRDefault="00123DC4" w:rsidP="00D53642">
      <w:pPr>
        <w:jc w:val="both"/>
        <w:rPr>
          <w:rFonts w:cs="Arial"/>
          <w:bCs/>
        </w:rPr>
      </w:pPr>
    </w:p>
    <w:p w:rsidR="00123DC4" w:rsidRPr="00CC07E1" w:rsidRDefault="00123DC4" w:rsidP="00D53642">
      <w:pPr>
        <w:pStyle w:val="ONUME"/>
        <w:numPr>
          <w:ilvl w:val="0"/>
          <w:numId w:val="131"/>
        </w:numPr>
        <w:tabs>
          <w:tab w:val="left" w:pos="567"/>
        </w:tabs>
        <w:spacing w:after="0"/>
        <w:ind w:left="0" w:firstLine="0"/>
        <w:jc w:val="both"/>
        <w:rPr>
          <w:bCs/>
        </w:rPr>
      </w:pPr>
      <w:r w:rsidRPr="00CC07E1">
        <w:rPr>
          <w:bCs/>
        </w:rPr>
        <w:t xml:space="preserve">Due to the </w:t>
      </w:r>
      <w:r>
        <w:rPr>
          <w:bCs/>
        </w:rPr>
        <w:t xml:space="preserve">additional due diligence, including a more rigorous internal approval process, </w:t>
      </w:r>
      <w:r w:rsidRPr="00CC07E1">
        <w:rPr>
          <w:bCs/>
        </w:rPr>
        <w:t xml:space="preserve">with regard to the selection of the technical solution, </w:t>
      </w:r>
      <w:r>
        <w:rPr>
          <w:bCs/>
        </w:rPr>
        <w:t>the selection p</w:t>
      </w:r>
      <w:r w:rsidRPr="00CC07E1">
        <w:rPr>
          <w:bCs/>
        </w:rPr>
        <w:t>rocess took longer than expected, thereby resulting in a delay of the project schedule.</w:t>
      </w:r>
      <w:r>
        <w:rPr>
          <w:bCs/>
        </w:rPr>
        <w:t xml:space="preserve">  The project timeline has been updated accordingly.</w:t>
      </w:r>
    </w:p>
    <w:p w:rsidR="00123DC4" w:rsidRDefault="00123DC4" w:rsidP="00D53642">
      <w:pPr>
        <w:jc w:val="both"/>
        <w:rPr>
          <w:rFonts w:cs="Arial"/>
        </w:rPr>
      </w:pPr>
    </w:p>
    <w:p w:rsidR="00545826" w:rsidRPr="00CC07E1" w:rsidRDefault="00545826" w:rsidP="00132057">
      <w:pPr>
        <w:rPr>
          <w:rFonts w:cs="Arial"/>
        </w:rPr>
      </w:pPr>
    </w:p>
    <w:p w:rsidR="00123DC4" w:rsidRPr="00CC07E1" w:rsidRDefault="00123DC4" w:rsidP="00132057">
      <w:pPr>
        <w:rPr>
          <w:rFonts w:cs="Arial"/>
          <w:bCs/>
          <w:szCs w:val="20"/>
        </w:rPr>
      </w:pPr>
      <w:r w:rsidRPr="00CC07E1">
        <w:rPr>
          <w:rFonts w:cs="Arial"/>
          <w:bCs/>
          <w:szCs w:val="20"/>
        </w:rPr>
        <w:t>BENEFITS REALIZATION</w:t>
      </w:r>
    </w:p>
    <w:p w:rsidR="00123DC4" w:rsidRDefault="00123DC4" w:rsidP="00132057">
      <w:pPr>
        <w:pStyle w:val="ONUME"/>
        <w:tabs>
          <w:tab w:val="left" w:pos="567"/>
        </w:tabs>
        <w:spacing w:after="0"/>
        <w:jc w:val="both"/>
      </w:pPr>
    </w:p>
    <w:tbl>
      <w:tblPr>
        <w:tblW w:w="499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18"/>
        <w:gridCol w:w="3728"/>
        <w:gridCol w:w="2606"/>
      </w:tblGrid>
      <w:tr w:rsidR="00123DC4" w:rsidRPr="0063640E" w:rsidTr="00D53642">
        <w:trPr>
          <w:trHeight w:val="535"/>
          <w:tblHeader/>
          <w:jc w:val="center"/>
        </w:trPr>
        <w:tc>
          <w:tcPr>
            <w:tcW w:w="1684" w:type="pct"/>
            <w:shd w:val="clear" w:color="auto" w:fill="C6D9F1" w:themeFill="text2" w:themeFillTint="33"/>
            <w:vAlign w:val="center"/>
          </w:tcPr>
          <w:p w:rsidR="00123DC4" w:rsidRPr="0063640E" w:rsidRDefault="00123DC4" w:rsidP="00132057">
            <w:pPr>
              <w:jc w:val="center"/>
              <w:rPr>
                <w:b/>
                <w:bCs/>
                <w:sz w:val="16"/>
                <w:szCs w:val="16"/>
              </w:rPr>
            </w:pPr>
            <w:r w:rsidRPr="0063640E">
              <w:rPr>
                <w:b/>
                <w:bCs/>
                <w:sz w:val="16"/>
                <w:szCs w:val="16"/>
              </w:rPr>
              <w:t>Expected Benefits 2016</w:t>
            </w:r>
          </w:p>
        </w:tc>
        <w:tc>
          <w:tcPr>
            <w:tcW w:w="1951" w:type="pct"/>
            <w:shd w:val="clear" w:color="auto" w:fill="C6D9F1" w:themeFill="text2" w:themeFillTint="33"/>
            <w:vAlign w:val="center"/>
          </w:tcPr>
          <w:p w:rsidR="00123DC4" w:rsidRPr="0063640E" w:rsidRDefault="00123DC4" w:rsidP="00132057">
            <w:pPr>
              <w:jc w:val="center"/>
              <w:rPr>
                <w:b/>
                <w:bCs/>
                <w:sz w:val="16"/>
                <w:szCs w:val="16"/>
              </w:rPr>
            </w:pPr>
            <w:r>
              <w:rPr>
                <w:b/>
                <w:bCs/>
                <w:sz w:val="16"/>
                <w:szCs w:val="16"/>
              </w:rPr>
              <w:t>Expected Benefits 2017</w:t>
            </w:r>
          </w:p>
        </w:tc>
        <w:tc>
          <w:tcPr>
            <w:tcW w:w="1364" w:type="pct"/>
            <w:shd w:val="clear" w:color="auto" w:fill="C6D9F1" w:themeFill="text2" w:themeFillTint="33"/>
          </w:tcPr>
          <w:p w:rsidR="00123DC4" w:rsidRDefault="00123DC4" w:rsidP="00132057">
            <w:pPr>
              <w:jc w:val="center"/>
              <w:rPr>
                <w:b/>
                <w:bCs/>
                <w:sz w:val="16"/>
                <w:szCs w:val="16"/>
              </w:rPr>
            </w:pPr>
          </w:p>
          <w:p w:rsidR="00123DC4" w:rsidRDefault="00123DC4" w:rsidP="00132057">
            <w:pPr>
              <w:jc w:val="center"/>
              <w:rPr>
                <w:b/>
                <w:bCs/>
                <w:sz w:val="16"/>
                <w:szCs w:val="16"/>
              </w:rPr>
            </w:pPr>
            <w:r w:rsidRPr="00C80904">
              <w:rPr>
                <w:b/>
                <w:bCs/>
                <w:sz w:val="16"/>
                <w:szCs w:val="16"/>
              </w:rPr>
              <w:t>Expected Benefits 201</w:t>
            </w:r>
            <w:r>
              <w:rPr>
                <w:b/>
                <w:bCs/>
                <w:sz w:val="16"/>
                <w:szCs w:val="16"/>
              </w:rPr>
              <w:t>8</w:t>
            </w:r>
          </w:p>
        </w:tc>
      </w:tr>
      <w:tr w:rsidR="00123DC4" w:rsidRPr="00FA5701" w:rsidTr="00D53642">
        <w:trPr>
          <w:trHeight w:val="564"/>
          <w:jc w:val="center"/>
        </w:trPr>
        <w:tc>
          <w:tcPr>
            <w:tcW w:w="1684" w:type="pct"/>
            <w:shd w:val="clear" w:color="auto" w:fill="auto"/>
            <w:tcMar>
              <w:top w:w="85" w:type="dxa"/>
            </w:tcMar>
          </w:tcPr>
          <w:p w:rsidR="00D53642" w:rsidRDefault="00123DC4" w:rsidP="00D53642">
            <w:pPr>
              <w:rPr>
                <w:b/>
                <w:bCs/>
                <w:i/>
                <w:iCs/>
                <w:sz w:val="16"/>
                <w:szCs w:val="16"/>
              </w:rPr>
            </w:pPr>
            <w:r>
              <w:rPr>
                <w:b/>
                <w:bCs/>
                <w:i/>
                <w:iCs/>
                <w:sz w:val="16"/>
                <w:szCs w:val="16"/>
              </w:rPr>
              <w:t>Following the enhancement of  the Corporate Records and Archives:</w:t>
            </w:r>
          </w:p>
          <w:p w:rsidR="00123DC4" w:rsidRDefault="00123DC4" w:rsidP="00D53642">
            <w:pPr>
              <w:contextualSpacing/>
              <w:rPr>
                <w:sz w:val="16"/>
              </w:rPr>
            </w:pPr>
            <w:r>
              <w:rPr>
                <w:sz w:val="16"/>
              </w:rPr>
              <w:t>An ‘early win’ benefit will be m</w:t>
            </w:r>
            <w:r w:rsidRPr="003B6472">
              <w:rPr>
                <w:sz w:val="16"/>
              </w:rPr>
              <w:t>ore efficient document scanning processes</w:t>
            </w:r>
            <w:r w:rsidRPr="003B6472">
              <w:rPr>
                <w:sz w:val="16"/>
                <w:szCs w:val="20"/>
              </w:rPr>
              <w:t xml:space="preserve"> </w:t>
            </w:r>
            <w:r w:rsidRPr="003B6472">
              <w:rPr>
                <w:sz w:val="16"/>
              </w:rPr>
              <w:t>including for incoming mail scanning, resulting in a reduction in staff time required</w:t>
            </w:r>
            <w:r>
              <w:rPr>
                <w:sz w:val="16"/>
              </w:rPr>
              <w:t>.</w:t>
            </w:r>
          </w:p>
          <w:p w:rsidR="00123DC4" w:rsidRDefault="00123DC4" w:rsidP="00D53642">
            <w:pPr>
              <w:contextualSpacing/>
              <w:rPr>
                <w:sz w:val="16"/>
              </w:rPr>
            </w:pPr>
          </w:p>
          <w:p w:rsidR="00123DC4" w:rsidRPr="003B6472" w:rsidRDefault="00123DC4" w:rsidP="00D53642">
            <w:pPr>
              <w:contextualSpacing/>
              <w:rPr>
                <w:sz w:val="16"/>
              </w:rPr>
            </w:pPr>
            <w:r>
              <w:rPr>
                <w:sz w:val="16"/>
              </w:rPr>
              <w:t xml:space="preserve">The longer-term benefits will be realized following </w:t>
            </w:r>
            <w:r w:rsidRPr="009D6169">
              <w:rPr>
                <w:sz w:val="16"/>
              </w:rPr>
              <w:t>the operational deployment of the Organizational wide ECM configuration</w:t>
            </w:r>
            <w:r>
              <w:rPr>
                <w:sz w:val="16"/>
              </w:rPr>
              <w:t xml:space="preserve"> in 2018.</w:t>
            </w:r>
          </w:p>
          <w:p w:rsidR="00123DC4" w:rsidRPr="00E83ABC" w:rsidRDefault="00123DC4" w:rsidP="00D53642"/>
        </w:tc>
        <w:tc>
          <w:tcPr>
            <w:tcW w:w="1951" w:type="pct"/>
            <w:shd w:val="clear" w:color="auto" w:fill="auto"/>
            <w:tcMar>
              <w:top w:w="85" w:type="dxa"/>
            </w:tcMar>
          </w:tcPr>
          <w:p w:rsidR="00D53642" w:rsidRDefault="00123DC4" w:rsidP="00D53642">
            <w:pPr>
              <w:rPr>
                <w:b/>
                <w:bCs/>
                <w:i/>
                <w:iCs/>
                <w:sz w:val="16"/>
                <w:szCs w:val="16"/>
              </w:rPr>
            </w:pPr>
            <w:r>
              <w:rPr>
                <w:b/>
                <w:bCs/>
                <w:i/>
                <w:iCs/>
                <w:sz w:val="16"/>
                <w:szCs w:val="16"/>
              </w:rPr>
              <w:t>Following operational deployment of the eCourier ECM system configuration</w:t>
            </w:r>
          </w:p>
          <w:p w:rsidR="00123DC4" w:rsidRDefault="00123DC4" w:rsidP="00D53642">
            <w:pPr>
              <w:rPr>
                <w:sz w:val="16"/>
              </w:rPr>
            </w:pPr>
            <w:r>
              <w:rPr>
                <w:sz w:val="16"/>
              </w:rPr>
              <w:t>The ODG and the Senior Management Team will have a single system for the distribution and tracking of the creation of responses to external correspondence, this will result in:</w:t>
            </w:r>
          </w:p>
          <w:p w:rsidR="00123DC4" w:rsidRDefault="00123DC4" w:rsidP="00D53642">
            <w:pPr>
              <w:pStyle w:val="ListParagraph"/>
              <w:numPr>
                <w:ilvl w:val="0"/>
                <w:numId w:val="119"/>
              </w:numPr>
              <w:ind w:left="318" w:hanging="318"/>
              <w:contextualSpacing/>
              <w:rPr>
                <w:sz w:val="16"/>
              </w:rPr>
            </w:pPr>
            <w:r>
              <w:rPr>
                <w:sz w:val="16"/>
              </w:rPr>
              <w:t>The time taken to complete responses to external correspondence being reduced as the correspondence and responses will not need to be physically distributed around the WIPO campus, thereby assisting in the achievement of the response time objectives;</w:t>
            </w:r>
          </w:p>
          <w:p w:rsidR="00123DC4" w:rsidRPr="00FA6F92" w:rsidRDefault="00123DC4" w:rsidP="00D53642">
            <w:pPr>
              <w:rPr>
                <w:b/>
                <w:bCs/>
                <w:i/>
                <w:iCs/>
                <w:sz w:val="16"/>
                <w:szCs w:val="16"/>
              </w:rPr>
            </w:pPr>
            <w:r>
              <w:rPr>
                <w:sz w:val="16"/>
              </w:rPr>
              <w:t>The status and progress of each response to an external correspondence will be known via a management dashboard, thereby reducing the staff effort required in tracking the status of responses to ensure compliance with objectives. This will release administrative staff to focus on other activities.</w:t>
            </w:r>
          </w:p>
        </w:tc>
        <w:tc>
          <w:tcPr>
            <w:tcW w:w="1364" w:type="pct"/>
            <w:tcMar>
              <w:top w:w="85" w:type="dxa"/>
            </w:tcMar>
          </w:tcPr>
          <w:p w:rsidR="00D53642" w:rsidRPr="00FA6F92" w:rsidRDefault="00123DC4" w:rsidP="00D53642">
            <w:pPr>
              <w:rPr>
                <w:b/>
                <w:bCs/>
                <w:i/>
                <w:iCs/>
                <w:sz w:val="16"/>
                <w:szCs w:val="16"/>
              </w:rPr>
            </w:pPr>
            <w:r w:rsidRPr="00FA6F92">
              <w:rPr>
                <w:b/>
                <w:bCs/>
                <w:i/>
                <w:iCs/>
                <w:sz w:val="16"/>
                <w:szCs w:val="16"/>
              </w:rPr>
              <w:t>Following the operational deployment of the Organizational wide ECM configuration:</w:t>
            </w:r>
          </w:p>
          <w:p w:rsidR="00123DC4" w:rsidRPr="00FA6F92" w:rsidRDefault="00123DC4" w:rsidP="00D53642">
            <w:pPr>
              <w:contextualSpacing/>
              <w:rPr>
                <w:sz w:val="16"/>
                <w:szCs w:val="16"/>
              </w:rPr>
            </w:pPr>
            <w:r w:rsidRPr="00FA6F92">
              <w:rPr>
                <w:sz w:val="16"/>
                <w:szCs w:val="16"/>
              </w:rPr>
              <w:t>The implementation of Enterprise Content Management to the wider WIPO organization when in support of the knowledge sharing and information management culture changes within WIPO, in addition to the ‘early win’ sub-project will result in:</w:t>
            </w:r>
          </w:p>
          <w:p w:rsidR="00123DC4" w:rsidRPr="00FA6F92" w:rsidRDefault="00123DC4" w:rsidP="00D53642">
            <w:pPr>
              <w:pStyle w:val="ListParagraph"/>
              <w:numPr>
                <w:ilvl w:val="0"/>
                <w:numId w:val="119"/>
              </w:numPr>
              <w:ind w:left="335" w:hanging="283"/>
              <w:contextualSpacing/>
              <w:rPr>
                <w:sz w:val="16"/>
                <w:szCs w:val="16"/>
              </w:rPr>
            </w:pPr>
            <w:r w:rsidRPr="00FA6F92">
              <w:rPr>
                <w:sz w:val="16"/>
                <w:szCs w:val="16"/>
              </w:rPr>
              <w:t>The ability to search across the complete WIPO knowledge base, reducing the amount of duplicate knowledge creation and recording through information sharing;</w:t>
            </w:r>
          </w:p>
          <w:p w:rsidR="00123DC4" w:rsidRPr="00FA6F92" w:rsidRDefault="00123DC4" w:rsidP="00D53642">
            <w:pPr>
              <w:pStyle w:val="ListParagraph"/>
              <w:numPr>
                <w:ilvl w:val="0"/>
                <w:numId w:val="119"/>
              </w:numPr>
              <w:ind w:left="335" w:hanging="283"/>
              <w:contextualSpacing/>
              <w:rPr>
                <w:sz w:val="16"/>
                <w:szCs w:val="16"/>
              </w:rPr>
            </w:pPr>
            <w:r w:rsidRPr="00FA6F92">
              <w:rPr>
                <w:sz w:val="16"/>
                <w:szCs w:val="16"/>
              </w:rPr>
              <w:t xml:space="preserve">The ability to expand the compliance with the </w:t>
            </w:r>
            <w:r w:rsidRPr="00F63E4A">
              <w:rPr>
                <w:sz w:val="16"/>
              </w:rPr>
              <w:t xml:space="preserve">WIPO </w:t>
            </w:r>
            <w:r>
              <w:rPr>
                <w:sz w:val="16"/>
              </w:rPr>
              <w:t>R</w:t>
            </w:r>
            <w:r w:rsidRPr="00F63E4A">
              <w:rPr>
                <w:sz w:val="16"/>
              </w:rPr>
              <w:t>ecords</w:t>
            </w:r>
            <w:r>
              <w:rPr>
                <w:sz w:val="16"/>
              </w:rPr>
              <w:t xml:space="preserve"> M</w:t>
            </w:r>
            <w:r w:rsidRPr="0060662A">
              <w:rPr>
                <w:sz w:val="16"/>
              </w:rPr>
              <w:t xml:space="preserve">anagement </w:t>
            </w:r>
            <w:r>
              <w:rPr>
                <w:sz w:val="16"/>
              </w:rPr>
              <w:t>and Archiving P</w:t>
            </w:r>
            <w:r w:rsidRPr="0060662A">
              <w:rPr>
                <w:sz w:val="16"/>
              </w:rPr>
              <w:t>olicy</w:t>
            </w:r>
            <w:r>
              <w:rPr>
                <w:sz w:val="16"/>
              </w:rPr>
              <w:t xml:space="preserve"> (OI 15/2013)</w:t>
            </w:r>
            <w:r w:rsidRPr="0060662A">
              <w:rPr>
                <w:sz w:val="16"/>
              </w:rPr>
              <w:t>.</w:t>
            </w:r>
            <w:r w:rsidRPr="00FA6F92">
              <w:rPr>
                <w:sz w:val="16"/>
                <w:szCs w:val="16"/>
              </w:rPr>
              <w:t>to a wider number of business units;</w:t>
            </w:r>
          </w:p>
          <w:p w:rsidR="00123DC4" w:rsidRPr="00FA6F92" w:rsidRDefault="00123DC4" w:rsidP="00D53642">
            <w:pPr>
              <w:pStyle w:val="ListParagraph"/>
              <w:numPr>
                <w:ilvl w:val="0"/>
                <w:numId w:val="119"/>
              </w:numPr>
              <w:ind w:left="335" w:hanging="283"/>
              <w:contextualSpacing/>
              <w:rPr>
                <w:sz w:val="16"/>
                <w:szCs w:val="16"/>
              </w:rPr>
            </w:pPr>
            <w:r w:rsidRPr="00FA6F92">
              <w:rPr>
                <w:sz w:val="16"/>
                <w:szCs w:val="16"/>
              </w:rPr>
              <w:t>An ability to reduce the ongoing cost for physical archiving of documents as these documents become electronic;</w:t>
            </w:r>
          </w:p>
          <w:p w:rsidR="00123DC4" w:rsidRDefault="00123DC4" w:rsidP="00D53642">
            <w:pPr>
              <w:pStyle w:val="ListParagraph"/>
              <w:numPr>
                <w:ilvl w:val="0"/>
                <w:numId w:val="119"/>
              </w:numPr>
              <w:ind w:left="335" w:hanging="283"/>
              <w:contextualSpacing/>
              <w:rPr>
                <w:b/>
                <w:bCs/>
                <w:i/>
                <w:iCs/>
                <w:sz w:val="16"/>
                <w:szCs w:val="16"/>
              </w:rPr>
            </w:pPr>
            <w:r w:rsidRPr="00FA6F92">
              <w:rPr>
                <w:sz w:val="16"/>
                <w:szCs w:val="16"/>
              </w:rPr>
              <w:t>An ability to reduce the cost of electronic storage of documents, as the ability to search across the complete Organizational knowledge base should reduce the level of rework and duplication of the recording of knowledge.</w:t>
            </w:r>
          </w:p>
        </w:tc>
      </w:tr>
      <w:tr w:rsidR="00123DC4" w:rsidRPr="00FA5701" w:rsidTr="00D53642">
        <w:trPr>
          <w:trHeight w:val="564"/>
          <w:jc w:val="center"/>
        </w:trPr>
        <w:tc>
          <w:tcPr>
            <w:tcW w:w="1684" w:type="pct"/>
            <w:shd w:val="clear" w:color="auto" w:fill="auto"/>
            <w:tcMar>
              <w:top w:w="85" w:type="dxa"/>
            </w:tcMar>
          </w:tcPr>
          <w:p w:rsidR="00D53642" w:rsidRDefault="00123DC4" w:rsidP="00D53642">
            <w:pPr>
              <w:rPr>
                <w:b/>
                <w:bCs/>
                <w:i/>
                <w:iCs/>
                <w:sz w:val="16"/>
                <w:szCs w:val="16"/>
              </w:rPr>
            </w:pPr>
            <w:r>
              <w:rPr>
                <w:b/>
                <w:bCs/>
                <w:i/>
                <w:iCs/>
                <w:sz w:val="16"/>
                <w:szCs w:val="16"/>
              </w:rPr>
              <w:t>Following the operational deployment of the Translation workflow and status ECM configuration:</w:t>
            </w:r>
          </w:p>
          <w:p w:rsidR="00123DC4" w:rsidRDefault="00123DC4" w:rsidP="00D53642">
            <w:pPr>
              <w:rPr>
                <w:sz w:val="16"/>
              </w:rPr>
            </w:pPr>
            <w:r>
              <w:rPr>
                <w:sz w:val="16"/>
              </w:rPr>
              <w:t>The creation of Document translation work flow and status tracking system for the Language Division will result in:</w:t>
            </w:r>
          </w:p>
          <w:p w:rsidR="00123DC4" w:rsidRDefault="00123DC4" w:rsidP="00D53642">
            <w:pPr>
              <w:pStyle w:val="ListParagraph"/>
              <w:numPr>
                <w:ilvl w:val="0"/>
                <w:numId w:val="119"/>
              </w:numPr>
              <w:contextualSpacing/>
              <w:rPr>
                <w:sz w:val="16"/>
              </w:rPr>
            </w:pPr>
            <w:r>
              <w:rPr>
                <w:sz w:val="16"/>
              </w:rPr>
              <w:t>a reduction in the staff effort required to report on the status of the translation requests, as the system will produce automated reporting;</w:t>
            </w:r>
          </w:p>
          <w:p w:rsidR="00123DC4" w:rsidRPr="003B6472" w:rsidRDefault="00123DC4" w:rsidP="00D53642">
            <w:pPr>
              <w:pStyle w:val="ListParagraph"/>
              <w:numPr>
                <w:ilvl w:val="0"/>
                <w:numId w:val="119"/>
              </w:numPr>
              <w:contextualSpacing/>
              <w:rPr>
                <w:sz w:val="16"/>
              </w:rPr>
            </w:pPr>
            <w:r w:rsidRPr="003B6472">
              <w:rPr>
                <w:sz w:val="16"/>
              </w:rPr>
              <w:t>the ability to ensure the translation service levels are achieved through active monitoring and reporting of the status of each translation request</w:t>
            </w:r>
          </w:p>
        </w:tc>
        <w:tc>
          <w:tcPr>
            <w:tcW w:w="1951" w:type="pct"/>
            <w:shd w:val="clear" w:color="auto" w:fill="auto"/>
            <w:tcMar>
              <w:top w:w="85" w:type="dxa"/>
            </w:tcMar>
          </w:tcPr>
          <w:p w:rsidR="00D53642" w:rsidRDefault="00123DC4" w:rsidP="00D53642">
            <w:pPr>
              <w:rPr>
                <w:b/>
                <w:bCs/>
                <w:i/>
                <w:iCs/>
                <w:sz w:val="16"/>
                <w:szCs w:val="16"/>
              </w:rPr>
            </w:pPr>
            <w:r>
              <w:rPr>
                <w:b/>
                <w:bCs/>
                <w:i/>
                <w:iCs/>
                <w:sz w:val="16"/>
                <w:szCs w:val="16"/>
              </w:rPr>
              <w:t>Following the operational deployment  of the Contract &amp; vendor management ECM system configuration:</w:t>
            </w:r>
          </w:p>
          <w:p w:rsidR="00123DC4" w:rsidRDefault="00123DC4" w:rsidP="00D53642">
            <w:pPr>
              <w:rPr>
                <w:sz w:val="16"/>
              </w:rPr>
            </w:pPr>
            <w:r>
              <w:rPr>
                <w:sz w:val="16"/>
              </w:rPr>
              <w:t>The Procurement Section will have a single searchable source of information relating to ongoing and concluded procurement tenders, this will result in:</w:t>
            </w:r>
          </w:p>
          <w:p w:rsidR="00123DC4" w:rsidRDefault="00123DC4" w:rsidP="00D53642">
            <w:pPr>
              <w:pStyle w:val="ListParagraph"/>
              <w:numPr>
                <w:ilvl w:val="0"/>
                <w:numId w:val="119"/>
              </w:numPr>
              <w:contextualSpacing/>
              <w:rPr>
                <w:sz w:val="16"/>
              </w:rPr>
            </w:pPr>
            <w:r>
              <w:rPr>
                <w:sz w:val="16"/>
              </w:rPr>
              <w:t>Reduction in the time taken to identify and retrieve current information;</w:t>
            </w:r>
          </w:p>
          <w:p w:rsidR="00123DC4" w:rsidRDefault="00123DC4" w:rsidP="00D53642">
            <w:pPr>
              <w:pStyle w:val="ListParagraph"/>
              <w:numPr>
                <w:ilvl w:val="0"/>
                <w:numId w:val="119"/>
              </w:numPr>
              <w:contextualSpacing/>
              <w:rPr>
                <w:sz w:val="16"/>
              </w:rPr>
            </w:pPr>
            <w:r>
              <w:rPr>
                <w:sz w:val="16"/>
              </w:rPr>
              <w:t xml:space="preserve">Reduction in error and re-work by ensuring that the latest version of each document can be clearly identified. </w:t>
            </w:r>
          </w:p>
          <w:p w:rsidR="00123DC4" w:rsidRDefault="00123DC4" w:rsidP="00D53642">
            <w:pPr>
              <w:rPr>
                <w:sz w:val="16"/>
              </w:rPr>
            </w:pPr>
            <w:r>
              <w:rPr>
                <w:sz w:val="16"/>
              </w:rPr>
              <w:t>The Procurement Section will have a single dashboard showing the progress of active tenders as well as information on when existing contracts will need to be re-tendered, this will result in:</w:t>
            </w:r>
          </w:p>
          <w:p w:rsidR="00123DC4" w:rsidRPr="00FA6F92" w:rsidRDefault="00123DC4" w:rsidP="00D53642">
            <w:pPr>
              <w:pStyle w:val="ListParagraph"/>
              <w:numPr>
                <w:ilvl w:val="0"/>
                <w:numId w:val="119"/>
              </w:numPr>
              <w:contextualSpacing/>
              <w:rPr>
                <w:b/>
                <w:bCs/>
                <w:i/>
                <w:iCs/>
                <w:sz w:val="16"/>
                <w:szCs w:val="16"/>
              </w:rPr>
            </w:pPr>
            <w:r>
              <w:rPr>
                <w:sz w:val="16"/>
              </w:rPr>
              <w:t>Greater staff utilization of productive task through better forward planning of procurement activities.</w:t>
            </w:r>
          </w:p>
        </w:tc>
        <w:tc>
          <w:tcPr>
            <w:tcW w:w="1364" w:type="pct"/>
            <w:tcMar>
              <w:top w:w="85" w:type="dxa"/>
            </w:tcMar>
          </w:tcPr>
          <w:p w:rsidR="00123DC4" w:rsidRDefault="00123DC4" w:rsidP="00132057">
            <w:pPr>
              <w:rPr>
                <w:b/>
                <w:bCs/>
                <w:i/>
                <w:iCs/>
                <w:sz w:val="16"/>
                <w:szCs w:val="16"/>
              </w:rPr>
            </w:pPr>
          </w:p>
        </w:tc>
      </w:tr>
      <w:tr w:rsidR="00123DC4" w:rsidRPr="00FA5701" w:rsidTr="00D53642">
        <w:trPr>
          <w:trHeight w:val="564"/>
          <w:jc w:val="center"/>
        </w:trPr>
        <w:tc>
          <w:tcPr>
            <w:tcW w:w="1684" w:type="pct"/>
            <w:shd w:val="clear" w:color="auto" w:fill="auto"/>
            <w:tcMar>
              <w:top w:w="85" w:type="dxa"/>
            </w:tcMar>
          </w:tcPr>
          <w:p w:rsidR="00123DC4" w:rsidRPr="00FA5701" w:rsidRDefault="00123DC4" w:rsidP="00D53642">
            <w:pPr>
              <w:pStyle w:val="ListParagraph"/>
              <w:ind w:left="318"/>
              <w:contextualSpacing/>
              <w:rPr>
                <w:b/>
                <w:bCs/>
                <w:i/>
                <w:iCs/>
                <w:sz w:val="16"/>
                <w:szCs w:val="16"/>
              </w:rPr>
            </w:pPr>
          </w:p>
        </w:tc>
        <w:tc>
          <w:tcPr>
            <w:tcW w:w="1951" w:type="pct"/>
            <w:shd w:val="clear" w:color="auto" w:fill="auto"/>
            <w:tcMar>
              <w:top w:w="85" w:type="dxa"/>
            </w:tcMar>
          </w:tcPr>
          <w:p w:rsidR="00123DC4" w:rsidRDefault="00123DC4" w:rsidP="00D53642">
            <w:pPr>
              <w:rPr>
                <w:b/>
                <w:bCs/>
                <w:i/>
                <w:iCs/>
                <w:sz w:val="16"/>
                <w:szCs w:val="16"/>
              </w:rPr>
            </w:pPr>
            <w:r>
              <w:rPr>
                <w:b/>
                <w:bCs/>
                <w:i/>
                <w:iCs/>
                <w:sz w:val="16"/>
                <w:szCs w:val="16"/>
              </w:rPr>
              <w:t>Following the operational deployment of the Mission Reports ECM system configuration</w:t>
            </w:r>
          </w:p>
          <w:p w:rsidR="00123DC4" w:rsidRDefault="00123DC4" w:rsidP="00D53642">
            <w:pPr>
              <w:rPr>
                <w:sz w:val="16"/>
              </w:rPr>
            </w:pPr>
            <w:r>
              <w:rPr>
                <w:sz w:val="16"/>
              </w:rPr>
              <w:t>The contents of Mission reports, as well as information relating to planned missions, will be searchable across the Organization.  This will result in;</w:t>
            </w:r>
          </w:p>
          <w:p w:rsidR="00123DC4" w:rsidRDefault="00123DC4" w:rsidP="00D53642">
            <w:pPr>
              <w:pStyle w:val="ListParagraph"/>
              <w:numPr>
                <w:ilvl w:val="0"/>
                <w:numId w:val="119"/>
              </w:numPr>
              <w:ind w:left="318" w:hanging="318"/>
              <w:contextualSpacing/>
              <w:rPr>
                <w:sz w:val="16"/>
              </w:rPr>
            </w:pPr>
            <w:r>
              <w:rPr>
                <w:sz w:val="16"/>
              </w:rPr>
              <w:t>The number of missions being potentially reduced if overlapping trips and agenda items are identified, thereby  reducing costs;</w:t>
            </w:r>
          </w:p>
          <w:p w:rsidR="00123DC4" w:rsidRPr="00597D9E" w:rsidRDefault="00123DC4" w:rsidP="00D53642">
            <w:pPr>
              <w:pStyle w:val="ListParagraph"/>
              <w:numPr>
                <w:ilvl w:val="0"/>
                <w:numId w:val="119"/>
              </w:numPr>
              <w:ind w:left="318" w:hanging="318"/>
              <w:contextualSpacing/>
              <w:rPr>
                <w:b/>
                <w:bCs/>
                <w:i/>
                <w:iCs/>
                <w:sz w:val="16"/>
                <w:szCs w:val="16"/>
              </w:rPr>
            </w:pPr>
            <w:r w:rsidRPr="00597D9E">
              <w:rPr>
                <w:sz w:val="16"/>
              </w:rPr>
              <w:t>Missions will become more productive as WIPO staff will have access to greater amounts of information relating to previous missions to a particular country or organization.  This will enable staff to</w:t>
            </w:r>
            <w:r>
              <w:rPr>
                <w:sz w:val="16"/>
              </w:rPr>
              <w:t xml:space="preserve"> better prepare for follow-up missions by being able to</w:t>
            </w:r>
            <w:r w:rsidRPr="00597D9E">
              <w:rPr>
                <w:sz w:val="16"/>
              </w:rPr>
              <w:t xml:space="preserve"> respond to outstanding questions</w:t>
            </w:r>
            <w:r>
              <w:rPr>
                <w:sz w:val="16"/>
              </w:rPr>
              <w:t>,</w:t>
            </w:r>
            <w:r w:rsidRPr="00597D9E">
              <w:rPr>
                <w:sz w:val="16"/>
              </w:rPr>
              <w:t xml:space="preserve"> which may have been asked during a previous mission.</w:t>
            </w:r>
            <w:r w:rsidRPr="00597D9E">
              <w:rPr>
                <w:b/>
                <w:bCs/>
                <w:i/>
                <w:iCs/>
                <w:sz w:val="16"/>
                <w:szCs w:val="16"/>
              </w:rPr>
              <w:t xml:space="preserve">  </w:t>
            </w:r>
          </w:p>
        </w:tc>
        <w:tc>
          <w:tcPr>
            <w:tcW w:w="1364" w:type="pct"/>
            <w:tcMar>
              <w:top w:w="85" w:type="dxa"/>
            </w:tcMar>
          </w:tcPr>
          <w:p w:rsidR="00123DC4" w:rsidRDefault="00123DC4" w:rsidP="00132057">
            <w:pPr>
              <w:rPr>
                <w:b/>
                <w:bCs/>
                <w:i/>
                <w:iCs/>
                <w:sz w:val="16"/>
                <w:szCs w:val="16"/>
              </w:rPr>
            </w:pPr>
          </w:p>
        </w:tc>
      </w:tr>
      <w:tr w:rsidR="00123DC4" w:rsidRPr="00FA5701" w:rsidTr="00D53642">
        <w:trPr>
          <w:trHeight w:val="564"/>
          <w:jc w:val="center"/>
        </w:trPr>
        <w:tc>
          <w:tcPr>
            <w:tcW w:w="1684" w:type="pct"/>
            <w:shd w:val="clear" w:color="auto" w:fill="auto"/>
            <w:tcMar>
              <w:top w:w="85" w:type="dxa"/>
            </w:tcMar>
          </w:tcPr>
          <w:p w:rsidR="00123DC4" w:rsidRPr="006E039E" w:rsidRDefault="00123DC4" w:rsidP="00D53642">
            <w:pPr>
              <w:contextualSpacing/>
              <w:rPr>
                <w:b/>
                <w:bCs/>
                <w:i/>
                <w:iCs/>
                <w:sz w:val="16"/>
                <w:szCs w:val="16"/>
              </w:rPr>
            </w:pPr>
          </w:p>
        </w:tc>
        <w:tc>
          <w:tcPr>
            <w:tcW w:w="1951" w:type="pct"/>
            <w:shd w:val="clear" w:color="auto" w:fill="auto"/>
            <w:tcMar>
              <w:top w:w="85" w:type="dxa"/>
            </w:tcMar>
          </w:tcPr>
          <w:p w:rsidR="00123DC4" w:rsidRDefault="00123DC4" w:rsidP="00D53642">
            <w:pPr>
              <w:rPr>
                <w:b/>
                <w:bCs/>
                <w:i/>
                <w:iCs/>
                <w:sz w:val="16"/>
                <w:szCs w:val="16"/>
              </w:rPr>
            </w:pPr>
            <w:r>
              <w:rPr>
                <w:b/>
                <w:bCs/>
                <w:i/>
                <w:iCs/>
                <w:sz w:val="16"/>
                <w:szCs w:val="16"/>
              </w:rPr>
              <w:t>Following the operational deployment of the electronic HR staff record ECM system configuration</w:t>
            </w:r>
          </w:p>
          <w:p w:rsidR="00123DC4" w:rsidRDefault="00123DC4" w:rsidP="00D53642">
            <w:pPr>
              <w:pStyle w:val="ListParagraph"/>
              <w:ind w:left="35"/>
              <w:contextualSpacing/>
              <w:rPr>
                <w:sz w:val="16"/>
              </w:rPr>
            </w:pPr>
            <w:r>
              <w:rPr>
                <w:sz w:val="16"/>
              </w:rPr>
              <w:t>The HR Management Department will have a single repository for the storage of documents relating to staff, covering both historical documents, which will be scanned, as well as the capture of newly created documents.  This will result in:</w:t>
            </w:r>
          </w:p>
          <w:p w:rsidR="00123DC4" w:rsidRDefault="00123DC4" w:rsidP="00D53642">
            <w:pPr>
              <w:pStyle w:val="ListParagraph"/>
              <w:numPr>
                <w:ilvl w:val="0"/>
                <w:numId w:val="119"/>
              </w:numPr>
              <w:ind w:left="318" w:hanging="283"/>
              <w:contextualSpacing/>
              <w:rPr>
                <w:sz w:val="16"/>
              </w:rPr>
            </w:pPr>
            <w:r>
              <w:rPr>
                <w:sz w:val="16"/>
              </w:rPr>
              <w:t>The continued capture, management and preservation of key HR files and related documents.  The single repository of information will reduce the time and HR staff effort required to identify and extract relevant documents in support of key organizational processes;</w:t>
            </w:r>
          </w:p>
          <w:p w:rsidR="00123DC4" w:rsidRDefault="00123DC4" w:rsidP="00D53642">
            <w:pPr>
              <w:pStyle w:val="ListParagraph"/>
              <w:numPr>
                <w:ilvl w:val="0"/>
                <w:numId w:val="119"/>
              </w:numPr>
              <w:ind w:left="335" w:hanging="283"/>
              <w:contextualSpacing/>
              <w:rPr>
                <w:b/>
                <w:bCs/>
                <w:i/>
                <w:iCs/>
                <w:sz w:val="16"/>
                <w:szCs w:val="16"/>
              </w:rPr>
            </w:pPr>
            <w:r>
              <w:rPr>
                <w:sz w:val="16"/>
              </w:rPr>
              <w:t>The latest version of each HR document relating to WIPO staff will be clearly identifiable thereby reducing the time and effort required in identifying the latest version of documents, and reducing the level of re-work.</w:t>
            </w:r>
          </w:p>
        </w:tc>
        <w:tc>
          <w:tcPr>
            <w:tcW w:w="1364" w:type="pct"/>
            <w:tcMar>
              <w:top w:w="85" w:type="dxa"/>
            </w:tcMar>
          </w:tcPr>
          <w:p w:rsidR="00123DC4" w:rsidRDefault="00123DC4" w:rsidP="00132057">
            <w:pPr>
              <w:rPr>
                <w:b/>
                <w:bCs/>
                <w:i/>
                <w:iCs/>
                <w:sz w:val="16"/>
                <w:szCs w:val="16"/>
              </w:rPr>
            </w:pPr>
          </w:p>
        </w:tc>
      </w:tr>
    </w:tbl>
    <w:p w:rsidR="00123DC4" w:rsidRDefault="00123DC4" w:rsidP="00132057">
      <w:pPr>
        <w:keepNext/>
        <w:keepLines/>
        <w:rPr>
          <w:rFonts w:cs="Arial"/>
          <w:color w:val="000000"/>
          <w:sz w:val="22"/>
          <w:szCs w:val="22"/>
        </w:rPr>
      </w:pPr>
    </w:p>
    <w:p w:rsidR="00123DC4" w:rsidRDefault="00123DC4">
      <w:pPr>
        <w:spacing w:after="200" w:line="276" w:lineRule="auto"/>
        <w:rPr>
          <w:rFonts w:cs="Arial"/>
          <w:color w:val="000000"/>
          <w:sz w:val="22"/>
          <w:szCs w:val="22"/>
        </w:rPr>
      </w:pPr>
      <w:r>
        <w:rPr>
          <w:rFonts w:cs="Arial"/>
          <w:color w:val="000000"/>
          <w:sz w:val="22"/>
          <w:szCs w:val="22"/>
        </w:rPr>
        <w:br w:type="page"/>
      </w:r>
    </w:p>
    <w:p w:rsidR="00123DC4" w:rsidRPr="00225BFF" w:rsidRDefault="00123DC4" w:rsidP="00132057">
      <w:pPr>
        <w:keepNext/>
        <w:keepLines/>
        <w:rPr>
          <w:rFonts w:cs="Arial"/>
          <w:color w:val="000000"/>
          <w:szCs w:val="20"/>
        </w:rPr>
      </w:pPr>
      <w:r w:rsidRPr="00225BFF">
        <w:rPr>
          <w:rFonts w:cs="Arial"/>
          <w:color w:val="000000"/>
          <w:szCs w:val="20"/>
        </w:rPr>
        <w:t>RESOURCE UTILIZATION</w:t>
      </w:r>
      <w:r w:rsidRPr="00225BFF">
        <w:rPr>
          <w:rStyle w:val="FootnoteReference"/>
          <w:szCs w:val="20"/>
        </w:rPr>
        <w:footnoteReference w:id="173"/>
      </w:r>
      <w:r w:rsidRPr="00225BFF">
        <w:rPr>
          <w:rFonts w:cs="Arial"/>
          <w:color w:val="000000"/>
          <w:szCs w:val="20"/>
        </w:rPr>
        <w:tab/>
      </w:r>
    </w:p>
    <w:p w:rsidR="00123DC4" w:rsidRDefault="00123DC4" w:rsidP="00132057">
      <w:pPr>
        <w:keepNext/>
        <w:keepLines/>
        <w:rPr>
          <w:rFonts w:cs="Arial"/>
          <w:color w:val="000000"/>
          <w:sz w:val="22"/>
          <w:szCs w:val="22"/>
        </w:rPr>
      </w:pPr>
    </w:p>
    <w:p w:rsidR="00123DC4" w:rsidRPr="001162BB" w:rsidRDefault="00123DC4" w:rsidP="00132057">
      <w:pPr>
        <w:keepNext/>
        <w:keepLines/>
        <w:tabs>
          <w:tab w:val="left" w:pos="3261"/>
        </w:tabs>
        <w:autoSpaceDE w:val="0"/>
        <w:autoSpaceDN w:val="0"/>
        <w:adjustRightInd w:val="0"/>
        <w:jc w:val="center"/>
        <w:rPr>
          <w:b/>
          <w:szCs w:val="22"/>
        </w:rPr>
      </w:pPr>
      <w:r>
        <w:rPr>
          <w:b/>
          <w:szCs w:val="22"/>
        </w:rPr>
        <w:t>Project</w:t>
      </w:r>
      <w:r w:rsidRPr="001162BB">
        <w:rPr>
          <w:b/>
          <w:szCs w:val="22"/>
        </w:rPr>
        <w:t xml:space="preserve"> </w:t>
      </w:r>
      <w:r>
        <w:rPr>
          <w:b/>
          <w:szCs w:val="22"/>
        </w:rPr>
        <w:t xml:space="preserve">Budget Utilization </w:t>
      </w:r>
    </w:p>
    <w:p w:rsidR="00123DC4" w:rsidRPr="0074545A" w:rsidRDefault="00123DC4" w:rsidP="00132057">
      <w:pPr>
        <w:keepNext/>
        <w:keepLines/>
        <w:tabs>
          <w:tab w:val="left" w:pos="3261"/>
        </w:tabs>
        <w:autoSpaceDE w:val="0"/>
        <w:autoSpaceDN w:val="0"/>
        <w:adjustRightInd w:val="0"/>
        <w:spacing w:after="120"/>
        <w:jc w:val="center"/>
        <w:rPr>
          <w:i/>
          <w:iCs/>
          <w:sz w:val="18"/>
          <w:szCs w:val="18"/>
        </w:rPr>
      </w:pPr>
      <w:r w:rsidRPr="00865819">
        <w:rPr>
          <w:i/>
          <w:iCs/>
          <w:sz w:val="18"/>
          <w:szCs w:val="18"/>
        </w:rPr>
        <w:t>(</w:t>
      </w:r>
      <w:r>
        <w:rPr>
          <w:i/>
          <w:iCs/>
          <w:sz w:val="18"/>
          <w:szCs w:val="18"/>
        </w:rPr>
        <w:t>i</w:t>
      </w:r>
      <w:r w:rsidRPr="00865819">
        <w:rPr>
          <w:i/>
          <w:iCs/>
          <w:sz w:val="18"/>
          <w:szCs w:val="18"/>
        </w:rPr>
        <w:t xml:space="preserve">n Swiss francs, as at </w:t>
      </w:r>
      <w:r>
        <w:rPr>
          <w:i/>
          <w:iCs/>
          <w:sz w:val="18"/>
          <w:szCs w:val="18"/>
        </w:rPr>
        <w:t>December</w:t>
      </w:r>
      <w:r w:rsidRPr="00865819">
        <w:rPr>
          <w:i/>
          <w:iCs/>
          <w:sz w:val="18"/>
          <w:szCs w:val="18"/>
        </w:rPr>
        <w:t xml:space="preserve"> 31, 201</w:t>
      </w:r>
      <w:r>
        <w:rPr>
          <w:i/>
          <w:iCs/>
          <w:sz w:val="18"/>
          <w:szCs w:val="18"/>
        </w:rPr>
        <w:t>5</w:t>
      </w:r>
      <w:r w:rsidRPr="00865819">
        <w:rPr>
          <w:i/>
          <w:iCs/>
          <w:sz w:val="18"/>
          <w:szCs w:val="18"/>
        </w:rPr>
        <w:t>)</w:t>
      </w:r>
    </w:p>
    <w:tbl>
      <w:tblPr>
        <w:tblpPr w:leftFromText="180" w:rightFromText="180" w:vertAnchor="text" w:horzAnchor="margin" w:tblpX="182" w:tblpY="17"/>
        <w:tblW w:w="488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39"/>
        <w:gridCol w:w="1562"/>
        <w:gridCol w:w="1564"/>
        <w:gridCol w:w="1564"/>
        <w:gridCol w:w="1714"/>
      </w:tblGrid>
      <w:tr w:rsidR="00123DC4" w:rsidTr="00132057">
        <w:trPr>
          <w:trHeight w:val="431"/>
        </w:trPr>
        <w:tc>
          <w:tcPr>
            <w:tcW w:w="1573"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630FBE" w:rsidRDefault="00123DC4" w:rsidP="00132057">
            <w:pPr>
              <w:keepNext/>
              <w:keepLines/>
              <w:autoSpaceDE w:val="0"/>
              <w:autoSpaceDN w:val="0"/>
              <w:adjustRightInd w:val="0"/>
              <w:spacing w:before="40" w:after="40"/>
              <w:ind w:left="-74" w:right="-60"/>
              <w:jc w:val="center"/>
              <w:rPr>
                <w:b/>
                <w:bCs/>
                <w:sz w:val="16"/>
                <w:szCs w:val="16"/>
              </w:rPr>
            </w:pPr>
            <w:r>
              <w:rPr>
                <w:b/>
                <w:bCs/>
                <w:sz w:val="16"/>
                <w:szCs w:val="16"/>
              </w:rPr>
              <w:t>Project Name</w:t>
            </w:r>
          </w:p>
        </w:tc>
        <w:tc>
          <w:tcPr>
            <w:tcW w:w="836"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630FBE" w:rsidRDefault="00123DC4" w:rsidP="00132057">
            <w:pPr>
              <w:keepNext/>
              <w:keepLines/>
              <w:autoSpaceDE w:val="0"/>
              <w:autoSpaceDN w:val="0"/>
              <w:adjustRightInd w:val="0"/>
              <w:spacing w:before="40" w:after="40"/>
              <w:ind w:left="-107" w:right="-108"/>
              <w:jc w:val="center"/>
              <w:rPr>
                <w:b/>
                <w:bCs/>
                <w:sz w:val="16"/>
                <w:szCs w:val="16"/>
              </w:rPr>
            </w:pPr>
            <w:r w:rsidRPr="00630FBE">
              <w:rPr>
                <w:b/>
                <w:bCs/>
                <w:sz w:val="16"/>
                <w:szCs w:val="16"/>
              </w:rPr>
              <w:t>Project Budget</w:t>
            </w:r>
          </w:p>
        </w:tc>
        <w:tc>
          <w:tcPr>
            <w:tcW w:w="837"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630FBE" w:rsidRDefault="00123DC4" w:rsidP="00132057">
            <w:pPr>
              <w:keepNext/>
              <w:keepLines/>
              <w:autoSpaceDE w:val="0"/>
              <w:autoSpaceDN w:val="0"/>
              <w:adjustRightInd w:val="0"/>
              <w:spacing w:before="40" w:after="40"/>
              <w:ind w:left="-108" w:right="-106"/>
              <w:jc w:val="center"/>
              <w:rPr>
                <w:b/>
                <w:bCs/>
                <w:sz w:val="16"/>
                <w:szCs w:val="16"/>
              </w:rPr>
            </w:pPr>
            <w:r w:rsidRPr="00630FBE">
              <w:rPr>
                <w:b/>
                <w:bCs/>
                <w:sz w:val="16"/>
                <w:szCs w:val="16"/>
              </w:rPr>
              <w:t>Actual</w:t>
            </w:r>
            <w:r>
              <w:rPr>
                <w:b/>
                <w:bCs/>
                <w:sz w:val="16"/>
                <w:szCs w:val="16"/>
              </w:rPr>
              <w:t xml:space="preserve"> Expenditure to Date</w:t>
            </w:r>
          </w:p>
        </w:tc>
        <w:tc>
          <w:tcPr>
            <w:tcW w:w="837"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630FBE" w:rsidRDefault="00123DC4" w:rsidP="00132057">
            <w:pPr>
              <w:keepNext/>
              <w:keepLines/>
              <w:autoSpaceDE w:val="0"/>
              <w:autoSpaceDN w:val="0"/>
              <w:adjustRightInd w:val="0"/>
              <w:spacing w:before="40" w:after="40"/>
              <w:ind w:left="-109" w:right="-108"/>
              <w:jc w:val="center"/>
              <w:rPr>
                <w:b/>
                <w:bCs/>
                <w:sz w:val="16"/>
                <w:szCs w:val="16"/>
              </w:rPr>
            </w:pPr>
            <w:r w:rsidRPr="00630FBE">
              <w:rPr>
                <w:b/>
                <w:bCs/>
                <w:sz w:val="16"/>
                <w:szCs w:val="16"/>
              </w:rPr>
              <w:t xml:space="preserve">Actual </w:t>
            </w:r>
            <w:r>
              <w:rPr>
                <w:b/>
                <w:bCs/>
                <w:sz w:val="16"/>
                <w:szCs w:val="16"/>
              </w:rPr>
              <w:t xml:space="preserve">Budget </w:t>
            </w:r>
            <w:r w:rsidRPr="00630FBE">
              <w:rPr>
                <w:b/>
                <w:bCs/>
                <w:sz w:val="16"/>
                <w:szCs w:val="16"/>
              </w:rPr>
              <w:t>Utilization</w:t>
            </w:r>
          </w:p>
        </w:tc>
        <w:tc>
          <w:tcPr>
            <w:tcW w:w="917"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630FBE" w:rsidRDefault="00123DC4" w:rsidP="00132057">
            <w:pPr>
              <w:keepNext/>
              <w:keepLines/>
              <w:autoSpaceDE w:val="0"/>
              <w:autoSpaceDN w:val="0"/>
              <w:adjustRightInd w:val="0"/>
              <w:spacing w:before="40" w:after="40"/>
              <w:ind w:left="-109" w:right="-73" w:firstLine="1"/>
              <w:jc w:val="center"/>
              <w:rPr>
                <w:b/>
                <w:bCs/>
                <w:sz w:val="16"/>
                <w:szCs w:val="16"/>
              </w:rPr>
            </w:pPr>
            <w:r w:rsidRPr="00F06C77">
              <w:rPr>
                <w:b/>
                <w:bCs/>
                <w:sz w:val="16"/>
                <w:szCs w:val="16"/>
              </w:rPr>
              <w:t>Implementation Progress Rate of the Project</w:t>
            </w:r>
          </w:p>
        </w:tc>
      </w:tr>
      <w:tr w:rsidR="00123DC4" w:rsidTr="00132057">
        <w:trPr>
          <w:trHeight w:val="409"/>
        </w:trPr>
        <w:tc>
          <w:tcPr>
            <w:tcW w:w="1573" w:type="pct"/>
            <w:tcBorders>
              <w:top w:val="single" w:sz="4" w:space="0" w:color="auto"/>
              <w:left w:val="single" w:sz="4" w:space="0" w:color="auto"/>
              <w:bottom w:val="single" w:sz="4" w:space="0" w:color="auto"/>
              <w:right w:val="single" w:sz="4" w:space="0" w:color="auto"/>
            </w:tcBorders>
            <w:vAlign w:val="center"/>
          </w:tcPr>
          <w:p w:rsidR="00123DC4" w:rsidRPr="00630FBE" w:rsidRDefault="00123DC4" w:rsidP="00132057">
            <w:pPr>
              <w:keepNext/>
              <w:keepLines/>
              <w:autoSpaceDE w:val="0"/>
              <w:autoSpaceDN w:val="0"/>
              <w:adjustRightInd w:val="0"/>
              <w:spacing w:before="40" w:after="40" w:line="260" w:lineRule="exact"/>
              <w:rPr>
                <w:sz w:val="16"/>
                <w:szCs w:val="16"/>
              </w:rPr>
            </w:pPr>
            <w:r>
              <w:rPr>
                <w:sz w:val="16"/>
                <w:szCs w:val="16"/>
              </w:rPr>
              <w:t>ECM Implementation Project</w:t>
            </w:r>
          </w:p>
        </w:tc>
        <w:tc>
          <w:tcPr>
            <w:tcW w:w="836" w:type="pct"/>
            <w:tcBorders>
              <w:top w:val="single" w:sz="4" w:space="0" w:color="auto"/>
              <w:left w:val="single" w:sz="4" w:space="0" w:color="auto"/>
              <w:bottom w:val="single" w:sz="4" w:space="0" w:color="auto"/>
              <w:right w:val="single" w:sz="4" w:space="0" w:color="auto"/>
            </w:tcBorders>
            <w:vAlign w:val="center"/>
          </w:tcPr>
          <w:p w:rsidR="00123DC4" w:rsidRPr="00630FBE" w:rsidRDefault="00123DC4" w:rsidP="00132057">
            <w:pPr>
              <w:keepNext/>
              <w:keepLines/>
              <w:autoSpaceDE w:val="0"/>
              <w:autoSpaceDN w:val="0"/>
              <w:adjustRightInd w:val="0"/>
              <w:spacing w:before="40" w:after="40" w:line="260" w:lineRule="exact"/>
              <w:jc w:val="center"/>
              <w:rPr>
                <w:sz w:val="16"/>
                <w:szCs w:val="16"/>
              </w:rPr>
            </w:pPr>
            <w:r>
              <w:rPr>
                <w:sz w:val="16"/>
                <w:szCs w:val="16"/>
              </w:rPr>
              <w:t>2,068,000</w:t>
            </w:r>
          </w:p>
        </w:tc>
        <w:tc>
          <w:tcPr>
            <w:tcW w:w="837" w:type="pct"/>
            <w:tcBorders>
              <w:top w:val="single" w:sz="4" w:space="0" w:color="auto"/>
              <w:left w:val="single" w:sz="4" w:space="0" w:color="auto"/>
              <w:bottom w:val="single" w:sz="4" w:space="0" w:color="auto"/>
              <w:right w:val="single" w:sz="4" w:space="0" w:color="auto"/>
            </w:tcBorders>
            <w:vAlign w:val="center"/>
          </w:tcPr>
          <w:p w:rsidR="00123DC4" w:rsidRPr="00630FBE" w:rsidRDefault="00123DC4" w:rsidP="00132057">
            <w:pPr>
              <w:keepNext/>
              <w:keepLines/>
              <w:autoSpaceDE w:val="0"/>
              <w:autoSpaceDN w:val="0"/>
              <w:adjustRightInd w:val="0"/>
              <w:spacing w:before="40" w:after="40" w:line="260" w:lineRule="exact"/>
              <w:jc w:val="center"/>
              <w:rPr>
                <w:sz w:val="16"/>
                <w:szCs w:val="16"/>
              </w:rPr>
            </w:pPr>
            <w:r>
              <w:rPr>
                <w:sz w:val="16"/>
                <w:szCs w:val="16"/>
              </w:rPr>
              <w:t>75,170</w:t>
            </w:r>
          </w:p>
        </w:tc>
        <w:tc>
          <w:tcPr>
            <w:tcW w:w="837" w:type="pct"/>
            <w:tcBorders>
              <w:top w:val="single" w:sz="4" w:space="0" w:color="auto"/>
              <w:left w:val="single" w:sz="4" w:space="0" w:color="auto"/>
              <w:bottom w:val="single" w:sz="4" w:space="0" w:color="auto"/>
              <w:right w:val="single" w:sz="4" w:space="0" w:color="auto"/>
            </w:tcBorders>
            <w:vAlign w:val="center"/>
          </w:tcPr>
          <w:p w:rsidR="00123DC4" w:rsidRPr="00630FBE" w:rsidRDefault="00123DC4" w:rsidP="00132057">
            <w:pPr>
              <w:keepNext/>
              <w:keepLines/>
              <w:autoSpaceDE w:val="0"/>
              <w:autoSpaceDN w:val="0"/>
              <w:adjustRightInd w:val="0"/>
              <w:spacing w:before="40" w:after="40" w:line="260" w:lineRule="exact"/>
              <w:jc w:val="center"/>
              <w:rPr>
                <w:sz w:val="16"/>
                <w:szCs w:val="16"/>
              </w:rPr>
            </w:pPr>
            <w:r>
              <w:rPr>
                <w:sz w:val="16"/>
                <w:szCs w:val="16"/>
              </w:rPr>
              <w:t>3.6%</w:t>
            </w:r>
          </w:p>
        </w:tc>
        <w:tc>
          <w:tcPr>
            <w:tcW w:w="917" w:type="pct"/>
            <w:tcBorders>
              <w:top w:val="single" w:sz="4" w:space="0" w:color="auto"/>
              <w:left w:val="single" w:sz="4" w:space="0" w:color="auto"/>
              <w:bottom w:val="single" w:sz="4" w:space="0" w:color="auto"/>
              <w:right w:val="single" w:sz="4" w:space="0" w:color="auto"/>
            </w:tcBorders>
            <w:vAlign w:val="center"/>
          </w:tcPr>
          <w:p w:rsidR="00123DC4" w:rsidRPr="00630FBE" w:rsidRDefault="00123DC4" w:rsidP="00132057">
            <w:pPr>
              <w:keepNext/>
              <w:keepLines/>
              <w:autoSpaceDE w:val="0"/>
              <w:autoSpaceDN w:val="0"/>
              <w:adjustRightInd w:val="0"/>
              <w:spacing w:before="40" w:after="40" w:line="260" w:lineRule="exact"/>
              <w:jc w:val="center"/>
              <w:rPr>
                <w:sz w:val="16"/>
                <w:szCs w:val="16"/>
              </w:rPr>
            </w:pPr>
            <w:r>
              <w:rPr>
                <w:sz w:val="16"/>
                <w:szCs w:val="16"/>
              </w:rPr>
              <w:t>3%</w:t>
            </w:r>
          </w:p>
        </w:tc>
      </w:tr>
    </w:tbl>
    <w:p w:rsidR="00123DC4" w:rsidRDefault="00123DC4" w:rsidP="00132057">
      <w:pPr>
        <w:rPr>
          <w:rFonts w:cs="Arial"/>
          <w:color w:val="000000"/>
          <w:sz w:val="22"/>
          <w:szCs w:val="22"/>
        </w:rPr>
      </w:pPr>
    </w:p>
    <w:p w:rsidR="00123DC4" w:rsidRDefault="00123DC4" w:rsidP="00132057">
      <w:pPr>
        <w:jc w:val="center"/>
        <w:rPr>
          <w:b/>
          <w:color w:val="000000"/>
          <w:szCs w:val="22"/>
        </w:rPr>
      </w:pPr>
      <w:r w:rsidRPr="00970583">
        <w:rPr>
          <w:b/>
          <w:color w:val="000000"/>
          <w:szCs w:val="22"/>
        </w:rPr>
        <w:t>Project Budget Utilization (by Milestone)</w:t>
      </w:r>
    </w:p>
    <w:p w:rsidR="00123DC4" w:rsidRPr="0074545A" w:rsidRDefault="00123DC4" w:rsidP="00132057">
      <w:pPr>
        <w:keepNext/>
        <w:keepLines/>
        <w:autoSpaceDE w:val="0"/>
        <w:autoSpaceDN w:val="0"/>
        <w:adjustRightInd w:val="0"/>
        <w:spacing w:after="120"/>
        <w:jc w:val="center"/>
        <w:rPr>
          <w:i/>
          <w:iCs/>
          <w:sz w:val="18"/>
          <w:szCs w:val="18"/>
        </w:rPr>
      </w:pPr>
      <w:r w:rsidRPr="00970583">
        <w:rPr>
          <w:i/>
          <w:iCs/>
          <w:sz w:val="18"/>
          <w:szCs w:val="18"/>
        </w:rPr>
        <w:t>(</w:t>
      </w:r>
      <w:r>
        <w:rPr>
          <w:i/>
          <w:iCs/>
          <w:sz w:val="18"/>
          <w:szCs w:val="18"/>
        </w:rPr>
        <w:t>i</w:t>
      </w:r>
      <w:r w:rsidRPr="00970583">
        <w:rPr>
          <w:i/>
          <w:iCs/>
          <w:sz w:val="18"/>
          <w:szCs w:val="18"/>
        </w:rPr>
        <w:t>n Swiss francs, as at December 31, 201</w:t>
      </w:r>
      <w:r>
        <w:rPr>
          <w:i/>
          <w:iCs/>
          <w:sz w:val="18"/>
          <w:szCs w:val="18"/>
        </w:rPr>
        <w:t>5</w:t>
      </w:r>
      <w:r w:rsidRPr="00970583">
        <w:rPr>
          <w:i/>
          <w:iCs/>
          <w:sz w:val="18"/>
          <w:szCs w:val="18"/>
        </w:rPr>
        <w:t>)</w:t>
      </w:r>
    </w:p>
    <w:tbl>
      <w:tblPr>
        <w:tblpPr w:leftFromText="180" w:rightFromText="180" w:vertAnchor="text" w:horzAnchor="margin" w:tblpX="182" w:tblpY="17"/>
        <w:tblW w:w="479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899"/>
        <w:gridCol w:w="1575"/>
        <w:gridCol w:w="1575"/>
        <w:gridCol w:w="1575"/>
        <w:gridCol w:w="1557"/>
      </w:tblGrid>
      <w:tr w:rsidR="00123DC4" w:rsidRPr="00970583" w:rsidTr="00132057">
        <w:trPr>
          <w:trHeight w:val="410"/>
        </w:trPr>
        <w:tc>
          <w:tcPr>
            <w:tcW w:w="1578"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970583" w:rsidRDefault="00123DC4" w:rsidP="00132057">
            <w:pPr>
              <w:keepNext/>
              <w:keepLines/>
              <w:autoSpaceDE w:val="0"/>
              <w:autoSpaceDN w:val="0"/>
              <w:adjustRightInd w:val="0"/>
              <w:spacing w:before="40" w:after="40"/>
              <w:ind w:left="-74" w:right="-60"/>
              <w:jc w:val="center"/>
              <w:rPr>
                <w:b/>
                <w:bCs/>
                <w:sz w:val="16"/>
                <w:szCs w:val="16"/>
              </w:rPr>
            </w:pPr>
            <w:r w:rsidRPr="00970583">
              <w:rPr>
                <w:b/>
                <w:bCs/>
                <w:sz w:val="16"/>
                <w:szCs w:val="16"/>
              </w:rPr>
              <w:t>Key Milestone</w:t>
            </w:r>
          </w:p>
        </w:tc>
        <w:tc>
          <w:tcPr>
            <w:tcW w:w="858"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970583" w:rsidRDefault="00123DC4" w:rsidP="00132057">
            <w:pPr>
              <w:keepNext/>
              <w:keepLines/>
              <w:autoSpaceDE w:val="0"/>
              <w:autoSpaceDN w:val="0"/>
              <w:adjustRightInd w:val="0"/>
              <w:spacing w:before="40" w:after="40"/>
              <w:ind w:left="-107" w:right="-108"/>
              <w:jc w:val="center"/>
              <w:rPr>
                <w:b/>
                <w:bCs/>
                <w:sz w:val="16"/>
                <w:szCs w:val="16"/>
              </w:rPr>
            </w:pPr>
            <w:r w:rsidRPr="00970583">
              <w:rPr>
                <w:b/>
                <w:bCs/>
                <w:sz w:val="16"/>
                <w:szCs w:val="16"/>
              </w:rPr>
              <w:t>Project Budget</w:t>
            </w:r>
          </w:p>
        </w:tc>
        <w:tc>
          <w:tcPr>
            <w:tcW w:w="858"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970583" w:rsidRDefault="00123DC4" w:rsidP="00132057">
            <w:pPr>
              <w:keepNext/>
              <w:keepLines/>
              <w:autoSpaceDE w:val="0"/>
              <w:autoSpaceDN w:val="0"/>
              <w:adjustRightInd w:val="0"/>
              <w:spacing w:before="40" w:after="40"/>
              <w:ind w:left="-108" w:right="-106"/>
              <w:jc w:val="center"/>
              <w:rPr>
                <w:b/>
                <w:bCs/>
                <w:sz w:val="16"/>
                <w:szCs w:val="16"/>
              </w:rPr>
            </w:pPr>
            <w:r w:rsidRPr="00970583">
              <w:rPr>
                <w:b/>
                <w:bCs/>
                <w:sz w:val="16"/>
                <w:szCs w:val="16"/>
              </w:rPr>
              <w:t>Actual Expenditure to Date</w:t>
            </w:r>
          </w:p>
        </w:tc>
        <w:tc>
          <w:tcPr>
            <w:tcW w:w="858"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970583" w:rsidRDefault="00123DC4" w:rsidP="00132057">
            <w:pPr>
              <w:keepNext/>
              <w:keepLines/>
              <w:autoSpaceDE w:val="0"/>
              <w:autoSpaceDN w:val="0"/>
              <w:adjustRightInd w:val="0"/>
              <w:spacing w:before="40" w:after="40"/>
              <w:ind w:left="-109" w:right="-108"/>
              <w:jc w:val="center"/>
              <w:rPr>
                <w:b/>
                <w:bCs/>
                <w:sz w:val="16"/>
                <w:szCs w:val="16"/>
              </w:rPr>
            </w:pPr>
            <w:r w:rsidRPr="00970583">
              <w:rPr>
                <w:b/>
                <w:bCs/>
                <w:sz w:val="16"/>
                <w:szCs w:val="16"/>
              </w:rPr>
              <w:t>Actual Budget Utilization</w:t>
            </w:r>
          </w:p>
        </w:tc>
        <w:tc>
          <w:tcPr>
            <w:tcW w:w="848"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970583" w:rsidRDefault="00123DC4" w:rsidP="00132057">
            <w:pPr>
              <w:keepNext/>
              <w:keepLines/>
              <w:autoSpaceDE w:val="0"/>
              <w:autoSpaceDN w:val="0"/>
              <w:adjustRightInd w:val="0"/>
              <w:spacing w:before="40" w:after="40"/>
              <w:ind w:left="-109" w:right="-73" w:firstLine="1"/>
              <w:jc w:val="center"/>
              <w:rPr>
                <w:b/>
                <w:bCs/>
                <w:sz w:val="16"/>
                <w:szCs w:val="16"/>
              </w:rPr>
            </w:pPr>
            <w:r w:rsidRPr="00970583">
              <w:rPr>
                <w:b/>
                <w:bCs/>
                <w:sz w:val="16"/>
                <w:szCs w:val="16"/>
              </w:rPr>
              <w:t>Implementation Progress Rate by Milestone</w:t>
            </w:r>
          </w:p>
        </w:tc>
      </w:tr>
      <w:tr w:rsidR="00123DC4" w:rsidRPr="00970583" w:rsidTr="00132057">
        <w:trPr>
          <w:trHeight w:val="389"/>
        </w:trPr>
        <w:tc>
          <w:tcPr>
            <w:tcW w:w="1578" w:type="pct"/>
            <w:tcBorders>
              <w:top w:val="single" w:sz="4" w:space="0" w:color="auto"/>
              <w:left w:val="single" w:sz="4" w:space="0" w:color="auto"/>
              <w:bottom w:val="single" w:sz="4" w:space="0" w:color="auto"/>
              <w:right w:val="single" w:sz="4" w:space="0" w:color="auto"/>
            </w:tcBorders>
            <w:vAlign w:val="center"/>
          </w:tcPr>
          <w:p w:rsidR="00123DC4" w:rsidRPr="00970583" w:rsidRDefault="00123DC4" w:rsidP="00132057">
            <w:pPr>
              <w:keepNext/>
              <w:keepLines/>
              <w:autoSpaceDE w:val="0"/>
              <w:autoSpaceDN w:val="0"/>
              <w:adjustRightInd w:val="0"/>
              <w:spacing w:before="40" w:after="40"/>
              <w:rPr>
                <w:sz w:val="16"/>
                <w:szCs w:val="16"/>
              </w:rPr>
            </w:pPr>
            <w:r>
              <w:rPr>
                <w:sz w:val="16"/>
                <w:szCs w:val="16"/>
              </w:rPr>
              <w:t>Study &amp; development of approach, including the selection of the ECM technology</w:t>
            </w:r>
          </w:p>
        </w:tc>
        <w:tc>
          <w:tcPr>
            <w:tcW w:w="858" w:type="pct"/>
            <w:tcBorders>
              <w:top w:val="single" w:sz="4" w:space="0" w:color="auto"/>
              <w:left w:val="single" w:sz="4" w:space="0" w:color="auto"/>
              <w:bottom w:val="single" w:sz="4" w:space="0" w:color="auto"/>
              <w:right w:val="single" w:sz="4" w:space="0" w:color="auto"/>
            </w:tcBorders>
            <w:vAlign w:val="center"/>
          </w:tcPr>
          <w:p w:rsidR="00123DC4" w:rsidRPr="00970583" w:rsidRDefault="00123DC4" w:rsidP="00132057">
            <w:pPr>
              <w:keepNext/>
              <w:keepLines/>
              <w:autoSpaceDE w:val="0"/>
              <w:autoSpaceDN w:val="0"/>
              <w:adjustRightInd w:val="0"/>
              <w:spacing w:after="40"/>
              <w:jc w:val="center"/>
              <w:rPr>
                <w:sz w:val="16"/>
                <w:szCs w:val="16"/>
              </w:rPr>
            </w:pPr>
            <w:r>
              <w:rPr>
                <w:sz w:val="16"/>
                <w:szCs w:val="16"/>
              </w:rPr>
              <w:t>36,000</w:t>
            </w:r>
          </w:p>
        </w:tc>
        <w:tc>
          <w:tcPr>
            <w:tcW w:w="858" w:type="pct"/>
            <w:tcBorders>
              <w:top w:val="single" w:sz="4" w:space="0" w:color="auto"/>
              <w:left w:val="single" w:sz="4" w:space="0" w:color="auto"/>
              <w:bottom w:val="single" w:sz="4" w:space="0" w:color="auto"/>
              <w:right w:val="single" w:sz="4" w:space="0" w:color="auto"/>
            </w:tcBorders>
            <w:vAlign w:val="center"/>
          </w:tcPr>
          <w:p w:rsidR="00123DC4" w:rsidRPr="00970583" w:rsidRDefault="00123DC4" w:rsidP="00132057">
            <w:pPr>
              <w:keepNext/>
              <w:keepLines/>
              <w:autoSpaceDE w:val="0"/>
              <w:autoSpaceDN w:val="0"/>
              <w:adjustRightInd w:val="0"/>
              <w:spacing w:after="40"/>
              <w:jc w:val="center"/>
              <w:rPr>
                <w:sz w:val="16"/>
                <w:szCs w:val="16"/>
              </w:rPr>
            </w:pPr>
            <w:r>
              <w:rPr>
                <w:sz w:val="16"/>
                <w:szCs w:val="16"/>
              </w:rPr>
              <w:t>36,000</w:t>
            </w:r>
          </w:p>
        </w:tc>
        <w:tc>
          <w:tcPr>
            <w:tcW w:w="858" w:type="pct"/>
            <w:tcBorders>
              <w:top w:val="single" w:sz="4" w:space="0" w:color="auto"/>
              <w:left w:val="single" w:sz="4" w:space="0" w:color="auto"/>
              <w:bottom w:val="single" w:sz="4" w:space="0" w:color="auto"/>
              <w:right w:val="single" w:sz="4" w:space="0" w:color="auto"/>
            </w:tcBorders>
            <w:vAlign w:val="center"/>
          </w:tcPr>
          <w:p w:rsidR="00123DC4" w:rsidRPr="00970583" w:rsidRDefault="00123DC4" w:rsidP="00132057">
            <w:pPr>
              <w:keepNext/>
              <w:keepLines/>
              <w:autoSpaceDE w:val="0"/>
              <w:autoSpaceDN w:val="0"/>
              <w:adjustRightInd w:val="0"/>
              <w:spacing w:after="40"/>
              <w:jc w:val="center"/>
              <w:rPr>
                <w:sz w:val="16"/>
                <w:szCs w:val="16"/>
              </w:rPr>
            </w:pPr>
            <w:r>
              <w:rPr>
                <w:sz w:val="16"/>
                <w:szCs w:val="16"/>
              </w:rPr>
              <w:t>100%</w:t>
            </w:r>
          </w:p>
        </w:tc>
        <w:tc>
          <w:tcPr>
            <w:tcW w:w="848" w:type="pct"/>
            <w:tcBorders>
              <w:top w:val="single" w:sz="4" w:space="0" w:color="auto"/>
              <w:left w:val="single" w:sz="4" w:space="0" w:color="auto"/>
              <w:bottom w:val="single" w:sz="4" w:space="0" w:color="auto"/>
              <w:right w:val="single" w:sz="4" w:space="0" w:color="auto"/>
            </w:tcBorders>
            <w:vAlign w:val="center"/>
          </w:tcPr>
          <w:p w:rsidR="00123DC4" w:rsidRPr="00970583" w:rsidRDefault="00123DC4" w:rsidP="00132057">
            <w:pPr>
              <w:keepNext/>
              <w:keepLines/>
              <w:autoSpaceDE w:val="0"/>
              <w:autoSpaceDN w:val="0"/>
              <w:adjustRightInd w:val="0"/>
              <w:spacing w:after="40"/>
              <w:jc w:val="center"/>
              <w:rPr>
                <w:sz w:val="16"/>
                <w:szCs w:val="16"/>
              </w:rPr>
            </w:pPr>
            <w:r>
              <w:rPr>
                <w:sz w:val="16"/>
                <w:szCs w:val="16"/>
              </w:rPr>
              <w:t>100%</w:t>
            </w:r>
          </w:p>
        </w:tc>
      </w:tr>
      <w:tr w:rsidR="00123DC4" w:rsidRPr="00970583" w:rsidTr="00132057">
        <w:trPr>
          <w:trHeight w:val="389"/>
        </w:trPr>
        <w:tc>
          <w:tcPr>
            <w:tcW w:w="1578" w:type="pct"/>
            <w:tcBorders>
              <w:top w:val="single" w:sz="4" w:space="0" w:color="auto"/>
              <w:left w:val="single" w:sz="4" w:space="0" w:color="auto"/>
              <w:bottom w:val="single" w:sz="4" w:space="0" w:color="auto"/>
              <w:right w:val="single" w:sz="4" w:space="0" w:color="auto"/>
            </w:tcBorders>
            <w:vAlign w:val="center"/>
          </w:tcPr>
          <w:p w:rsidR="00123DC4" w:rsidRPr="00970583" w:rsidRDefault="00123DC4" w:rsidP="00132057">
            <w:pPr>
              <w:keepNext/>
              <w:keepLines/>
              <w:autoSpaceDE w:val="0"/>
              <w:autoSpaceDN w:val="0"/>
              <w:adjustRightInd w:val="0"/>
              <w:spacing w:before="40" w:after="40"/>
              <w:rPr>
                <w:sz w:val="16"/>
                <w:szCs w:val="16"/>
              </w:rPr>
            </w:pPr>
            <w:r>
              <w:rPr>
                <w:rFonts w:cs="Arial"/>
                <w:color w:val="000000"/>
                <w:sz w:val="16"/>
                <w:szCs w:val="16"/>
              </w:rPr>
              <w:t>Re-platforming and version upgrade of the existing Corporate Records and Archives</w:t>
            </w:r>
          </w:p>
        </w:tc>
        <w:tc>
          <w:tcPr>
            <w:tcW w:w="858" w:type="pct"/>
            <w:tcBorders>
              <w:top w:val="single" w:sz="4" w:space="0" w:color="auto"/>
              <w:left w:val="single" w:sz="4" w:space="0" w:color="auto"/>
              <w:bottom w:val="single" w:sz="4" w:space="0" w:color="auto"/>
              <w:right w:val="single" w:sz="4" w:space="0" w:color="auto"/>
            </w:tcBorders>
            <w:vAlign w:val="center"/>
          </w:tcPr>
          <w:p w:rsidR="00123DC4" w:rsidRPr="00970583" w:rsidRDefault="00123DC4" w:rsidP="00132057">
            <w:pPr>
              <w:keepNext/>
              <w:keepLines/>
              <w:autoSpaceDE w:val="0"/>
              <w:autoSpaceDN w:val="0"/>
              <w:adjustRightInd w:val="0"/>
              <w:spacing w:after="40"/>
              <w:jc w:val="center"/>
              <w:rPr>
                <w:sz w:val="16"/>
                <w:szCs w:val="16"/>
              </w:rPr>
            </w:pPr>
            <w:r>
              <w:rPr>
                <w:sz w:val="16"/>
                <w:szCs w:val="16"/>
              </w:rPr>
              <w:t>42,000</w:t>
            </w:r>
          </w:p>
        </w:tc>
        <w:tc>
          <w:tcPr>
            <w:tcW w:w="858" w:type="pct"/>
            <w:tcBorders>
              <w:top w:val="single" w:sz="4" w:space="0" w:color="auto"/>
              <w:left w:val="single" w:sz="4" w:space="0" w:color="auto"/>
              <w:bottom w:val="single" w:sz="4" w:space="0" w:color="auto"/>
              <w:right w:val="single" w:sz="4" w:space="0" w:color="auto"/>
            </w:tcBorders>
            <w:vAlign w:val="center"/>
          </w:tcPr>
          <w:p w:rsidR="00123DC4" w:rsidRPr="00970583" w:rsidRDefault="00123DC4" w:rsidP="00132057">
            <w:pPr>
              <w:keepNext/>
              <w:keepLines/>
              <w:autoSpaceDE w:val="0"/>
              <w:autoSpaceDN w:val="0"/>
              <w:adjustRightInd w:val="0"/>
              <w:spacing w:after="40"/>
              <w:jc w:val="center"/>
              <w:rPr>
                <w:sz w:val="16"/>
                <w:szCs w:val="16"/>
              </w:rPr>
            </w:pPr>
            <w:r>
              <w:rPr>
                <w:sz w:val="16"/>
                <w:szCs w:val="16"/>
              </w:rPr>
              <w:t>39,170</w:t>
            </w:r>
          </w:p>
        </w:tc>
        <w:tc>
          <w:tcPr>
            <w:tcW w:w="858" w:type="pct"/>
            <w:tcBorders>
              <w:top w:val="single" w:sz="4" w:space="0" w:color="auto"/>
              <w:left w:val="single" w:sz="4" w:space="0" w:color="auto"/>
              <w:bottom w:val="single" w:sz="4" w:space="0" w:color="auto"/>
              <w:right w:val="single" w:sz="4" w:space="0" w:color="auto"/>
            </w:tcBorders>
            <w:vAlign w:val="center"/>
          </w:tcPr>
          <w:p w:rsidR="00123DC4" w:rsidRPr="00970583" w:rsidRDefault="00123DC4" w:rsidP="00132057">
            <w:pPr>
              <w:keepNext/>
              <w:keepLines/>
              <w:autoSpaceDE w:val="0"/>
              <w:autoSpaceDN w:val="0"/>
              <w:adjustRightInd w:val="0"/>
              <w:spacing w:after="40"/>
              <w:jc w:val="center"/>
              <w:rPr>
                <w:sz w:val="16"/>
                <w:szCs w:val="16"/>
              </w:rPr>
            </w:pPr>
            <w:r>
              <w:rPr>
                <w:sz w:val="16"/>
                <w:szCs w:val="16"/>
              </w:rPr>
              <w:t>93%</w:t>
            </w:r>
          </w:p>
        </w:tc>
        <w:tc>
          <w:tcPr>
            <w:tcW w:w="848" w:type="pct"/>
            <w:tcBorders>
              <w:top w:val="single" w:sz="4" w:space="0" w:color="auto"/>
              <w:left w:val="single" w:sz="4" w:space="0" w:color="auto"/>
              <w:bottom w:val="single" w:sz="4" w:space="0" w:color="auto"/>
              <w:right w:val="single" w:sz="4" w:space="0" w:color="auto"/>
            </w:tcBorders>
            <w:vAlign w:val="center"/>
          </w:tcPr>
          <w:p w:rsidR="00123DC4" w:rsidRPr="00970583" w:rsidRDefault="00123DC4" w:rsidP="00132057">
            <w:pPr>
              <w:keepNext/>
              <w:keepLines/>
              <w:autoSpaceDE w:val="0"/>
              <w:autoSpaceDN w:val="0"/>
              <w:adjustRightInd w:val="0"/>
              <w:spacing w:after="40"/>
              <w:jc w:val="center"/>
              <w:rPr>
                <w:sz w:val="16"/>
                <w:szCs w:val="16"/>
              </w:rPr>
            </w:pPr>
            <w:r>
              <w:rPr>
                <w:sz w:val="16"/>
                <w:szCs w:val="16"/>
              </w:rPr>
              <w:t>100%</w:t>
            </w:r>
          </w:p>
        </w:tc>
      </w:tr>
      <w:tr w:rsidR="00123DC4" w:rsidRPr="00970583" w:rsidTr="00132057">
        <w:trPr>
          <w:trHeight w:val="389"/>
        </w:trPr>
        <w:tc>
          <w:tcPr>
            <w:tcW w:w="1578" w:type="pct"/>
            <w:tcBorders>
              <w:top w:val="single" w:sz="4" w:space="0" w:color="auto"/>
              <w:left w:val="single" w:sz="4" w:space="0" w:color="auto"/>
              <w:bottom w:val="single" w:sz="4" w:space="0" w:color="auto"/>
              <w:right w:val="single" w:sz="4" w:space="0" w:color="auto"/>
            </w:tcBorders>
            <w:vAlign w:val="center"/>
          </w:tcPr>
          <w:p w:rsidR="00123DC4" w:rsidRDefault="00123DC4" w:rsidP="00132057">
            <w:pPr>
              <w:keepNext/>
              <w:keepLines/>
              <w:autoSpaceDE w:val="0"/>
              <w:autoSpaceDN w:val="0"/>
              <w:adjustRightInd w:val="0"/>
              <w:spacing w:before="40" w:after="40"/>
              <w:rPr>
                <w:sz w:val="16"/>
                <w:szCs w:val="16"/>
              </w:rPr>
            </w:pPr>
            <w:r>
              <w:rPr>
                <w:sz w:val="16"/>
                <w:szCs w:val="16"/>
              </w:rPr>
              <w:t>Award of contract for Client side Project Manager and ECM Specialist</w:t>
            </w:r>
          </w:p>
        </w:tc>
        <w:tc>
          <w:tcPr>
            <w:tcW w:w="858" w:type="pct"/>
            <w:tcBorders>
              <w:top w:val="single" w:sz="4" w:space="0" w:color="auto"/>
              <w:left w:val="single" w:sz="4" w:space="0" w:color="auto"/>
              <w:bottom w:val="single" w:sz="4" w:space="0" w:color="auto"/>
              <w:right w:val="single" w:sz="4" w:space="0" w:color="auto"/>
            </w:tcBorders>
            <w:vAlign w:val="center"/>
          </w:tcPr>
          <w:p w:rsidR="00123DC4" w:rsidRDefault="00123DC4" w:rsidP="00132057">
            <w:pPr>
              <w:keepNext/>
              <w:keepLines/>
              <w:autoSpaceDE w:val="0"/>
              <w:autoSpaceDN w:val="0"/>
              <w:adjustRightInd w:val="0"/>
              <w:spacing w:after="40"/>
              <w:jc w:val="center"/>
              <w:rPr>
                <w:sz w:val="16"/>
                <w:szCs w:val="16"/>
              </w:rPr>
            </w:pPr>
            <w:r>
              <w:rPr>
                <w:sz w:val="16"/>
                <w:szCs w:val="16"/>
              </w:rPr>
              <w:t>400,000</w:t>
            </w:r>
          </w:p>
        </w:tc>
        <w:tc>
          <w:tcPr>
            <w:tcW w:w="858" w:type="pct"/>
            <w:tcBorders>
              <w:top w:val="single" w:sz="4" w:space="0" w:color="auto"/>
              <w:left w:val="single" w:sz="4" w:space="0" w:color="auto"/>
              <w:bottom w:val="single" w:sz="4" w:space="0" w:color="auto"/>
              <w:right w:val="single" w:sz="4" w:space="0" w:color="auto"/>
            </w:tcBorders>
            <w:vAlign w:val="center"/>
          </w:tcPr>
          <w:p w:rsidR="00123DC4" w:rsidRDefault="00123DC4" w:rsidP="00132057">
            <w:pPr>
              <w:keepNext/>
              <w:keepLines/>
              <w:autoSpaceDE w:val="0"/>
              <w:autoSpaceDN w:val="0"/>
              <w:adjustRightInd w:val="0"/>
              <w:spacing w:after="40"/>
              <w:jc w:val="center"/>
              <w:rPr>
                <w:sz w:val="16"/>
                <w:szCs w:val="16"/>
              </w:rPr>
            </w:pPr>
            <w:r>
              <w:rPr>
                <w:sz w:val="16"/>
                <w:szCs w:val="16"/>
              </w:rPr>
              <w:t>0</w:t>
            </w:r>
          </w:p>
        </w:tc>
        <w:tc>
          <w:tcPr>
            <w:tcW w:w="858" w:type="pct"/>
            <w:tcBorders>
              <w:top w:val="single" w:sz="4" w:space="0" w:color="auto"/>
              <w:left w:val="single" w:sz="4" w:space="0" w:color="auto"/>
              <w:bottom w:val="single" w:sz="4" w:space="0" w:color="auto"/>
              <w:right w:val="single" w:sz="4" w:space="0" w:color="auto"/>
            </w:tcBorders>
            <w:vAlign w:val="center"/>
          </w:tcPr>
          <w:p w:rsidR="00123DC4" w:rsidRDefault="00123DC4" w:rsidP="00132057">
            <w:pPr>
              <w:keepNext/>
              <w:keepLines/>
              <w:autoSpaceDE w:val="0"/>
              <w:autoSpaceDN w:val="0"/>
              <w:adjustRightInd w:val="0"/>
              <w:spacing w:after="40"/>
              <w:jc w:val="center"/>
              <w:rPr>
                <w:sz w:val="16"/>
                <w:szCs w:val="16"/>
              </w:rPr>
            </w:pPr>
            <w:r>
              <w:rPr>
                <w:sz w:val="16"/>
                <w:szCs w:val="16"/>
              </w:rPr>
              <w:t>0%</w:t>
            </w:r>
          </w:p>
        </w:tc>
        <w:tc>
          <w:tcPr>
            <w:tcW w:w="848" w:type="pct"/>
            <w:tcBorders>
              <w:top w:val="single" w:sz="4" w:space="0" w:color="auto"/>
              <w:left w:val="single" w:sz="4" w:space="0" w:color="auto"/>
              <w:bottom w:val="single" w:sz="4" w:space="0" w:color="auto"/>
              <w:right w:val="single" w:sz="4" w:space="0" w:color="auto"/>
            </w:tcBorders>
            <w:vAlign w:val="center"/>
          </w:tcPr>
          <w:p w:rsidR="00123DC4" w:rsidRPr="00970583" w:rsidRDefault="00123DC4" w:rsidP="00132057">
            <w:pPr>
              <w:keepNext/>
              <w:keepLines/>
              <w:autoSpaceDE w:val="0"/>
              <w:autoSpaceDN w:val="0"/>
              <w:adjustRightInd w:val="0"/>
              <w:spacing w:after="40"/>
              <w:jc w:val="center"/>
              <w:rPr>
                <w:sz w:val="16"/>
                <w:szCs w:val="16"/>
              </w:rPr>
            </w:pPr>
            <w:r>
              <w:rPr>
                <w:sz w:val="16"/>
                <w:szCs w:val="16"/>
              </w:rPr>
              <w:t>-</w:t>
            </w:r>
          </w:p>
        </w:tc>
      </w:tr>
      <w:tr w:rsidR="00123DC4" w:rsidRPr="00970583" w:rsidTr="00132057">
        <w:trPr>
          <w:trHeight w:val="389"/>
        </w:trPr>
        <w:tc>
          <w:tcPr>
            <w:tcW w:w="1578" w:type="pct"/>
            <w:tcBorders>
              <w:top w:val="single" w:sz="4" w:space="0" w:color="auto"/>
              <w:left w:val="single" w:sz="4" w:space="0" w:color="auto"/>
              <w:bottom w:val="single" w:sz="4" w:space="0" w:color="auto"/>
              <w:right w:val="single" w:sz="4" w:space="0" w:color="auto"/>
            </w:tcBorders>
            <w:vAlign w:val="center"/>
          </w:tcPr>
          <w:p w:rsidR="00123DC4" w:rsidRDefault="00123DC4" w:rsidP="00132057">
            <w:pPr>
              <w:keepNext/>
              <w:keepLines/>
              <w:autoSpaceDE w:val="0"/>
              <w:autoSpaceDN w:val="0"/>
              <w:adjustRightInd w:val="0"/>
              <w:spacing w:before="40" w:after="40"/>
              <w:rPr>
                <w:sz w:val="16"/>
                <w:szCs w:val="16"/>
              </w:rPr>
            </w:pPr>
            <w:r>
              <w:rPr>
                <w:sz w:val="16"/>
                <w:szCs w:val="16"/>
              </w:rPr>
              <w:t>ECM hosting and maintenance fees</w:t>
            </w:r>
          </w:p>
        </w:tc>
        <w:tc>
          <w:tcPr>
            <w:tcW w:w="858" w:type="pct"/>
            <w:tcBorders>
              <w:top w:val="single" w:sz="4" w:space="0" w:color="auto"/>
              <w:left w:val="single" w:sz="4" w:space="0" w:color="auto"/>
              <w:bottom w:val="single" w:sz="4" w:space="0" w:color="auto"/>
              <w:right w:val="single" w:sz="4" w:space="0" w:color="auto"/>
            </w:tcBorders>
            <w:vAlign w:val="center"/>
          </w:tcPr>
          <w:p w:rsidR="00123DC4" w:rsidRDefault="00123DC4" w:rsidP="00132057">
            <w:pPr>
              <w:keepNext/>
              <w:keepLines/>
              <w:autoSpaceDE w:val="0"/>
              <w:autoSpaceDN w:val="0"/>
              <w:adjustRightInd w:val="0"/>
              <w:spacing w:after="40"/>
              <w:jc w:val="center"/>
              <w:rPr>
                <w:sz w:val="16"/>
                <w:szCs w:val="16"/>
              </w:rPr>
            </w:pPr>
            <w:r>
              <w:rPr>
                <w:sz w:val="16"/>
                <w:szCs w:val="16"/>
              </w:rPr>
              <w:t>1,298,000</w:t>
            </w:r>
          </w:p>
        </w:tc>
        <w:tc>
          <w:tcPr>
            <w:tcW w:w="858" w:type="pct"/>
            <w:tcBorders>
              <w:top w:val="single" w:sz="4" w:space="0" w:color="auto"/>
              <w:left w:val="single" w:sz="4" w:space="0" w:color="auto"/>
              <w:bottom w:val="single" w:sz="4" w:space="0" w:color="auto"/>
              <w:right w:val="single" w:sz="4" w:space="0" w:color="auto"/>
            </w:tcBorders>
            <w:vAlign w:val="center"/>
          </w:tcPr>
          <w:p w:rsidR="00123DC4" w:rsidRDefault="00123DC4" w:rsidP="00132057">
            <w:pPr>
              <w:keepNext/>
              <w:keepLines/>
              <w:autoSpaceDE w:val="0"/>
              <w:autoSpaceDN w:val="0"/>
              <w:adjustRightInd w:val="0"/>
              <w:spacing w:after="40"/>
              <w:jc w:val="center"/>
              <w:rPr>
                <w:sz w:val="16"/>
                <w:szCs w:val="16"/>
              </w:rPr>
            </w:pPr>
            <w:r>
              <w:rPr>
                <w:sz w:val="16"/>
                <w:szCs w:val="16"/>
              </w:rPr>
              <w:t>0</w:t>
            </w:r>
          </w:p>
        </w:tc>
        <w:tc>
          <w:tcPr>
            <w:tcW w:w="858" w:type="pct"/>
            <w:tcBorders>
              <w:top w:val="single" w:sz="4" w:space="0" w:color="auto"/>
              <w:left w:val="single" w:sz="4" w:space="0" w:color="auto"/>
              <w:bottom w:val="single" w:sz="4" w:space="0" w:color="auto"/>
              <w:right w:val="single" w:sz="4" w:space="0" w:color="auto"/>
            </w:tcBorders>
            <w:vAlign w:val="center"/>
          </w:tcPr>
          <w:p w:rsidR="00123DC4" w:rsidRDefault="00123DC4" w:rsidP="00132057">
            <w:pPr>
              <w:keepNext/>
              <w:keepLines/>
              <w:autoSpaceDE w:val="0"/>
              <w:autoSpaceDN w:val="0"/>
              <w:adjustRightInd w:val="0"/>
              <w:spacing w:after="40"/>
              <w:jc w:val="center"/>
              <w:rPr>
                <w:sz w:val="16"/>
                <w:szCs w:val="16"/>
              </w:rPr>
            </w:pPr>
            <w:r>
              <w:rPr>
                <w:sz w:val="16"/>
                <w:szCs w:val="16"/>
              </w:rPr>
              <w:t>0%</w:t>
            </w:r>
          </w:p>
        </w:tc>
        <w:tc>
          <w:tcPr>
            <w:tcW w:w="848" w:type="pct"/>
            <w:tcBorders>
              <w:top w:val="single" w:sz="4" w:space="0" w:color="auto"/>
              <w:left w:val="single" w:sz="4" w:space="0" w:color="auto"/>
              <w:bottom w:val="single" w:sz="4" w:space="0" w:color="auto"/>
              <w:right w:val="single" w:sz="4" w:space="0" w:color="auto"/>
            </w:tcBorders>
            <w:vAlign w:val="center"/>
          </w:tcPr>
          <w:p w:rsidR="00123DC4" w:rsidRPr="00970583" w:rsidRDefault="00123DC4" w:rsidP="00132057">
            <w:pPr>
              <w:keepNext/>
              <w:keepLines/>
              <w:autoSpaceDE w:val="0"/>
              <w:autoSpaceDN w:val="0"/>
              <w:adjustRightInd w:val="0"/>
              <w:spacing w:after="40"/>
              <w:jc w:val="center"/>
              <w:rPr>
                <w:sz w:val="16"/>
                <w:szCs w:val="16"/>
              </w:rPr>
            </w:pPr>
            <w:r>
              <w:rPr>
                <w:sz w:val="16"/>
                <w:szCs w:val="16"/>
              </w:rPr>
              <w:t>-</w:t>
            </w:r>
          </w:p>
        </w:tc>
      </w:tr>
      <w:tr w:rsidR="00123DC4" w:rsidRPr="00970583" w:rsidTr="00132057">
        <w:trPr>
          <w:trHeight w:val="389"/>
        </w:trPr>
        <w:tc>
          <w:tcPr>
            <w:tcW w:w="1578" w:type="pct"/>
            <w:tcBorders>
              <w:top w:val="single" w:sz="4" w:space="0" w:color="auto"/>
              <w:left w:val="single" w:sz="4" w:space="0" w:color="auto"/>
              <w:bottom w:val="single" w:sz="4" w:space="0" w:color="auto"/>
              <w:right w:val="single" w:sz="4" w:space="0" w:color="auto"/>
            </w:tcBorders>
            <w:vAlign w:val="center"/>
          </w:tcPr>
          <w:p w:rsidR="00123DC4" w:rsidRDefault="00123DC4" w:rsidP="00132057">
            <w:pPr>
              <w:keepNext/>
              <w:keepLines/>
              <w:autoSpaceDE w:val="0"/>
              <w:autoSpaceDN w:val="0"/>
              <w:adjustRightInd w:val="0"/>
              <w:spacing w:before="40" w:after="40"/>
              <w:rPr>
                <w:sz w:val="16"/>
                <w:szCs w:val="16"/>
              </w:rPr>
            </w:pPr>
            <w:r>
              <w:rPr>
                <w:sz w:val="16"/>
                <w:szCs w:val="16"/>
              </w:rPr>
              <w:t xml:space="preserve">Installation &amp; Base configuration </w:t>
            </w:r>
          </w:p>
        </w:tc>
        <w:tc>
          <w:tcPr>
            <w:tcW w:w="858" w:type="pct"/>
            <w:tcBorders>
              <w:top w:val="single" w:sz="4" w:space="0" w:color="auto"/>
              <w:left w:val="single" w:sz="4" w:space="0" w:color="auto"/>
              <w:bottom w:val="single" w:sz="4" w:space="0" w:color="auto"/>
              <w:right w:val="single" w:sz="4" w:space="0" w:color="auto"/>
            </w:tcBorders>
            <w:vAlign w:val="center"/>
          </w:tcPr>
          <w:p w:rsidR="00123DC4" w:rsidRDefault="00123DC4" w:rsidP="00132057">
            <w:pPr>
              <w:keepNext/>
              <w:keepLines/>
              <w:autoSpaceDE w:val="0"/>
              <w:autoSpaceDN w:val="0"/>
              <w:adjustRightInd w:val="0"/>
              <w:spacing w:after="40"/>
              <w:jc w:val="center"/>
              <w:rPr>
                <w:sz w:val="16"/>
                <w:szCs w:val="16"/>
              </w:rPr>
            </w:pPr>
            <w:r>
              <w:rPr>
                <w:sz w:val="16"/>
                <w:szCs w:val="16"/>
              </w:rPr>
              <w:t>205,000</w:t>
            </w:r>
          </w:p>
        </w:tc>
        <w:tc>
          <w:tcPr>
            <w:tcW w:w="858" w:type="pct"/>
            <w:tcBorders>
              <w:top w:val="single" w:sz="4" w:space="0" w:color="auto"/>
              <w:left w:val="single" w:sz="4" w:space="0" w:color="auto"/>
              <w:bottom w:val="single" w:sz="4" w:space="0" w:color="auto"/>
              <w:right w:val="single" w:sz="4" w:space="0" w:color="auto"/>
            </w:tcBorders>
            <w:vAlign w:val="center"/>
          </w:tcPr>
          <w:p w:rsidR="00123DC4" w:rsidRDefault="00123DC4" w:rsidP="00132057">
            <w:pPr>
              <w:keepNext/>
              <w:keepLines/>
              <w:autoSpaceDE w:val="0"/>
              <w:autoSpaceDN w:val="0"/>
              <w:adjustRightInd w:val="0"/>
              <w:spacing w:after="40"/>
              <w:jc w:val="center"/>
              <w:rPr>
                <w:sz w:val="16"/>
                <w:szCs w:val="16"/>
              </w:rPr>
            </w:pPr>
            <w:r>
              <w:rPr>
                <w:sz w:val="16"/>
                <w:szCs w:val="16"/>
              </w:rPr>
              <w:t>0</w:t>
            </w:r>
          </w:p>
        </w:tc>
        <w:tc>
          <w:tcPr>
            <w:tcW w:w="858" w:type="pct"/>
            <w:tcBorders>
              <w:top w:val="single" w:sz="4" w:space="0" w:color="auto"/>
              <w:left w:val="single" w:sz="4" w:space="0" w:color="auto"/>
              <w:bottom w:val="single" w:sz="4" w:space="0" w:color="auto"/>
              <w:right w:val="single" w:sz="4" w:space="0" w:color="auto"/>
            </w:tcBorders>
            <w:vAlign w:val="center"/>
          </w:tcPr>
          <w:p w:rsidR="00123DC4" w:rsidRDefault="00123DC4" w:rsidP="00132057">
            <w:pPr>
              <w:keepNext/>
              <w:keepLines/>
              <w:autoSpaceDE w:val="0"/>
              <w:autoSpaceDN w:val="0"/>
              <w:adjustRightInd w:val="0"/>
              <w:spacing w:after="40"/>
              <w:jc w:val="center"/>
              <w:rPr>
                <w:sz w:val="16"/>
                <w:szCs w:val="16"/>
              </w:rPr>
            </w:pPr>
            <w:r>
              <w:rPr>
                <w:sz w:val="16"/>
                <w:szCs w:val="16"/>
              </w:rPr>
              <w:t>0%</w:t>
            </w:r>
          </w:p>
        </w:tc>
        <w:tc>
          <w:tcPr>
            <w:tcW w:w="848" w:type="pct"/>
            <w:tcBorders>
              <w:top w:val="single" w:sz="4" w:space="0" w:color="auto"/>
              <w:left w:val="single" w:sz="4" w:space="0" w:color="auto"/>
              <w:bottom w:val="single" w:sz="4" w:space="0" w:color="auto"/>
              <w:right w:val="single" w:sz="4" w:space="0" w:color="auto"/>
            </w:tcBorders>
            <w:vAlign w:val="center"/>
          </w:tcPr>
          <w:p w:rsidR="00123DC4" w:rsidRPr="00970583" w:rsidRDefault="00123DC4" w:rsidP="00132057">
            <w:pPr>
              <w:keepNext/>
              <w:keepLines/>
              <w:autoSpaceDE w:val="0"/>
              <w:autoSpaceDN w:val="0"/>
              <w:adjustRightInd w:val="0"/>
              <w:spacing w:after="40"/>
              <w:jc w:val="center"/>
              <w:rPr>
                <w:sz w:val="16"/>
                <w:szCs w:val="16"/>
              </w:rPr>
            </w:pPr>
            <w:r>
              <w:rPr>
                <w:sz w:val="16"/>
                <w:szCs w:val="16"/>
              </w:rPr>
              <w:t>-</w:t>
            </w:r>
          </w:p>
        </w:tc>
      </w:tr>
      <w:tr w:rsidR="00123DC4" w:rsidRPr="00970583" w:rsidTr="00132057">
        <w:trPr>
          <w:trHeight w:val="389"/>
        </w:trPr>
        <w:tc>
          <w:tcPr>
            <w:tcW w:w="1578" w:type="pct"/>
            <w:tcBorders>
              <w:top w:val="single" w:sz="4" w:space="0" w:color="auto"/>
              <w:left w:val="single" w:sz="4" w:space="0" w:color="auto"/>
              <w:bottom w:val="single" w:sz="4" w:space="0" w:color="auto"/>
              <w:right w:val="single" w:sz="4" w:space="0" w:color="auto"/>
            </w:tcBorders>
            <w:vAlign w:val="center"/>
          </w:tcPr>
          <w:p w:rsidR="00123DC4" w:rsidRPr="00970583" w:rsidRDefault="00123DC4" w:rsidP="00132057">
            <w:pPr>
              <w:keepNext/>
              <w:keepLines/>
              <w:autoSpaceDE w:val="0"/>
              <w:autoSpaceDN w:val="0"/>
              <w:adjustRightInd w:val="0"/>
              <w:spacing w:before="40" w:after="40"/>
              <w:rPr>
                <w:sz w:val="16"/>
                <w:szCs w:val="16"/>
              </w:rPr>
            </w:pPr>
            <w:r>
              <w:rPr>
                <w:sz w:val="16"/>
                <w:szCs w:val="16"/>
              </w:rPr>
              <w:t xml:space="preserve">Project 1: </w:t>
            </w:r>
            <w:r w:rsidRPr="008F5BF7">
              <w:rPr>
                <w:sz w:val="16"/>
                <w:szCs w:val="16"/>
              </w:rPr>
              <w:t xml:space="preserve">Translation </w:t>
            </w:r>
            <w:r>
              <w:rPr>
                <w:sz w:val="16"/>
                <w:szCs w:val="16"/>
              </w:rPr>
              <w:t>request management</w:t>
            </w:r>
          </w:p>
        </w:tc>
        <w:tc>
          <w:tcPr>
            <w:tcW w:w="858" w:type="pct"/>
            <w:tcBorders>
              <w:top w:val="single" w:sz="4" w:space="0" w:color="auto"/>
              <w:left w:val="single" w:sz="4" w:space="0" w:color="auto"/>
              <w:bottom w:val="single" w:sz="4" w:space="0" w:color="auto"/>
              <w:right w:val="single" w:sz="4" w:space="0" w:color="auto"/>
            </w:tcBorders>
            <w:vAlign w:val="center"/>
          </w:tcPr>
          <w:p w:rsidR="00123DC4" w:rsidRPr="00970583" w:rsidRDefault="00123DC4" w:rsidP="00132057">
            <w:pPr>
              <w:keepNext/>
              <w:keepLines/>
              <w:autoSpaceDE w:val="0"/>
              <w:autoSpaceDN w:val="0"/>
              <w:adjustRightInd w:val="0"/>
              <w:spacing w:after="40"/>
              <w:jc w:val="center"/>
              <w:rPr>
                <w:sz w:val="16"/>
                <w:szCs w:val="16"/>
              </w:rPr>
            </w:pPr>
            <w:r>
              <w:rPr>
                <w:sz w:val="16"/>
                <w:szCs w:val="16"/>
              </w:rPr>
              <w:t>58,000</w:t>
            </w:r>
          </w:p>
        </w:tc>
        <w:tc>
          <w:tcPr>
            <w:tcW w:w="858" w:type="pct"/>
            <w:tcBorders>
              <w:top w:val="single" w:sz="4" w:space="0" w:color="auto"/>
              <w:left w:val="single" w:sz="4" w:space="0" w:color="auto"/>
              <w:bottom w:val="single" w:sz="4" w:space="0" w:color="auto"/>
              <w:right w:val="single" w:sz="4" w:space="0" w:color="auto"/>
            </w:tcBorders>
            <w:vAlign w:val="center"/>
          </w:tcPr>
          <w:p w:rsidR="00123DC4" w:rsidRPr="00970583" w:rsidRDefault="00123DC4" w:rsidP="00132057">
            <w:pPr>
              <w:keepNext/>
              <w:keepLines/>
              <w:autoSpaceDE w:val="0"/>
              <w:autoSpaceDN w:val="0"/>
              <w:adjustRightInd w:val="0"/>
              <w:spacing w:after="40"/>
              <w:jc w:val="center"/>
              <w:rPr>
                <w:sz w:val="16"/>
                <w:szCs w:val="16"/>
              </w:rPr>
            </w:pPr>
            <w:r>
              <w:rPr>
                <w:sz w:val="16"/>
                <w:szCs w:val="16"/>
              </w:rPr>
              <w:t>0</w:t>
            </w:r>
          </w:p>
        </w:tc>
        <w:tc>
          <w:tcPr>
            <w:tcW w:w="858" w:type="pct"/>
            <w:tcBorders>
              <w:top w:val="single" w:sz="4" w:space="0" w:color="auto"/>
              <w:left w:val="single" w:sz="4" w:space="0" w:color="auto"/>
              <w:bottom w:val="single" w:sz="4" w:space="0" w:color="auto"/>
              <w:right w:val="single" w:sz="4" w:space="0" w:color="auto"/>
            </w:tcBorders>
            <w:vAlign w:val="center"/>
          </w:tcPr>
          <w:p w:rsidR="00123DC4" w:rsidRPr="00970583" w:rsidRDefault="00123DC4" w:rsidP="00132057">
            <w:pPr>
              <w:keepNext/>
              <w:keepLines/>
              <w:autoSpaceDE w:val="0"/>
              <w:autoSpaceDN w:val="0"/>
              <w:adjustRightInd w:val="0"/>
              <w:spacing w:after="40"/>
              <w:jc w:val="center"/>
              <w:rPr>
                <w:sz w:val="16"/>
                <w:szCs w:val="16"/>
              </w:rPr>
            </w:pPr>
            <w:r>
              <w:rPr>
                <w:sz w:val="16"/>
                <w:szCs w:val="16"/>
              </w:rPr>
              <w:t>0%</w:t>
            </w:r>
          </w:p>
        </w:tc>
        <w:tc>
          <w:tcPr>
            <w:tcW w:w="848" w:type="pct"/>
            <w:tcBorders>
              <w:top w:val="single" w:sz="4" w:space="0" w:color="auto"/>
              <w:left w:val="single" w:sz="4" w:space="0" w:color="auto"/>
              <w:bottom w:val="single" w:sz="4" w:space="0" w:color="auto"/>
              <w:right w:val="single" w:sz="4" w:space="0" w:color="auto"/>
            </w:tcBorders>
            <w:vAlign w:val="center"/>
          </w:tcPr>
          <w:p w:rsidR="00123DC4" w:rsidRPr="00970583" w:rsidRDefault="00123DC4" w:rsidP="00132057">
            <w:pPr>
              <w:keepNext/>
              <w:keepLines/>
              <w:autoSpaceDE w:val="0"/>
              <w:autoSpaceDN w:val="0"/>
              <w:adjustRightInd w:val="0"/>
              <w:spacing w:after="40"/>
              <w:jc w:val="center"/>
              <w:rPr>
                <w:sz w:val="16"/>
                <w:szCs w:val="16"/>
              </w:rPr>
            </w:pPr>
            <w:r>
              <w:rPr>
                <w:sz w:val="16"/>
                <w:szCs w:val="16"/>
              </w:rPr>
              <w:t>-</w:t>
            </w:r>
          </w:p>
        </w:tc>
      </w:tr>
      <w:tr w:rsidR="00123DC4" w:rsidRPr="00970583" w:rsidTr="00132057">
        <w:trPr>
          <w:trHeight w:val="389"/>
        </w:trPr>
        <w:tc>
          <w:tcPr>
            <w:tcW w:w="1578" w:type="pct"/>
            <w:tcBorders>
              <w:top w:val="single" w:sz="4" w:space="0" w:color="auto"/>
              <w:left w:val="single" w:sz="4" w:space="0" w:color="auto"/>
              <w:bottom w:val="single" w:sz="4" w:space="0" w:color="auto"/>
              <w:right w:val="single" w:sz="4" w:space="0" w:color="auto"/>
            </w:tcBorders>
            <w:vAlign w:val="center"/>
          </w:tcPr>
          <w:p w:rsidR="00123DC4" w:rsidRPr="00970583" w:rsidRDefault="00123DC4" w:rsidP="00132057">
            <w:pPr>
              <w:keepNext/>
              <w:keepLines/>
              <w:autoSpaceDE w:val="0"/>
              <w:autoSpaceDN w:val="0"/>
              <w:adjustRightInd w:val="0"/>
              <w:spacing w:before="40" w:after="40"/>
              <w:rPr>
                <w:sz w:val="16"/>
                <w:szCs w:val="16"/>
              </w:rPr>
            </w:pPr>
            <w:r>
              <w:rPr>
                <w:sz w:val="16"/>
                <w:szCs w:val="16"/>
              </w:rPr>
              <w:t xml:space="preserve">Project 2: </w:t>
            </w:r>
            <w:r w:rsidRPr="008F5BF7">
              <w:rPr>
                <w:sz w:val="16"/>
                <w:szCs w:val="16"/>
              </w:rPr>
              <w:t>OD</w:t>
            </w:r>
            <w:r>
              <w:rPr>
                <w:sz w:val="16"/>
                <w:szCs w:val="16"/>
              </w:rPr>
              <w:t>G</w:t>
            </w:r>
            <w:r w:rsidRPr="008F5BF7">
              <w:rPr>
                <w:sz w:val="16"/>
                <w:szCs w:val="16"/>
              </w:rPr>
              <w:t xml:space="preserve"> Incoming Mail </w:t>
            </w:r>
          </w:p>
        </w:tc>
        <w:tc>
          <w:tcPr>
            <w:tcW w:w="858" w:type="pct"/>
            <w:tcBorders>
              <w:top w:val="single" w:sz="4" w:space="0" w:color="auto"/>
              <w:left w:val="single" w:sz="4" w:space="0" w:color="auto"/>
              <w:bottom w:val="single" w:sz="4" w:space="0" w:color="auto"/>
              <w:right w:val="single" w:sz="4" w:space="0" w:color="auto"/>
            </w:tcBorders>
            <w:vAlign w:val="center"/>
          </w:tcPr>
          <w:p w:rsidR="00123DC4" w:rsidRPr="00970583" w:rsidRDefault="00123DC4" w:rsidP="00132057">
            <w:pPr>
              <w:keepNext/>
              <w:keepLines/>
              <w:autoSpaceDE w:val="0"/>
              <w:autoSpaceDN w:val="0"/>
              <w:adjustRightInd w:val="0"/>
              <w:spacing w:after="40"/>
              <w:jc w:val="center"/>
              <w:rPr>
                <w:sz w:val="16"/>
                <w:szCs w:val="16"/>
              </w:rPr>
            </w:pPr>
            <w:r>
              <w:rPr>
                <w:sz w:val="16"/>
                <w:szCs w:val="16"/>
              </w:rPr>
              <w:t>80,000</w:t>
            </w:r>
          </w:p>
        </w:tc>
        <w:tc>
          <w:tcPr>
            <w:tcW w:w="858" w:type="pct"/>
            <w:tcBorders>
              <w:top w:val="single" w:sz="4" w:space="0" w:color="auto"/>
              <w:left w:val="single" w:sz="4" w:space="0" w:color="auto"/>
              <w:bottom w:val="single" w:sz="4" w:space="0" w:color="auto"/>
              <w:right w:val="single" w:sz="4" w:space="0" w:color="auto"/>
            </w:tcBorders>
            <w:vAlign w:val="center"/>
          </w:tcPr>
          <w:p w:rsidR="00123DC4" w:rsidRPr="00970583" w:rsidRDefault="00123DC4" w:rsidP="00132057">
            <w:pPr>
              <w:keepNext/>
              <w:keepLines/>
              <w:autoSpaceDE w:val="0"/>
              <w:autoSpaceDN w:val="0"/>
              <w:adjustRightInd w:val="0"/>
              <w:spacing w:after="40"/>
              <w:jc w:val="center"/>
              <w:rPr>
                <w:sz w:val="16"/>
                <w:szCs w:val="16"/>
              </w:rPr>
            </w:pPr>
            <w:r>
              <w:rPr>
                <w:sz w:val="16"/>
                <w:szCs w:val="16"/>
              </w:rPr>
              <w:t>0</w:t>
            </w:r>
          </w:p>
        </w:tc>
        <w:tc>
          <w:tcPr>
            <w:tcW w:w="858" w:type="pct"/>
            <w:tcBorders>
              <w:top w:val="single" w:sz="4" w:space="0" w:color="auto"/>
              <w:left w:val="single" w:sz="4" w:space="0" w:color="auto"/>
              <w:bottom w:val="single" w:sz="4" w:space="0" w:color="auto"/>
              <w:right w:val="single" w:sz="4" w:space="0" w:color="auto"/>
            </w:tcBorders>
            <w:vAlign w:val="center"/>
          </w:tcPr>
          <w:p w:rsidR="00123DC4" w:rsidRPr="00970583" w:rsidRDefault="00123DC4" w:rsidP="00132057">
            <w:pPr>
              <w:keepNext/>
              <w:keepLines/>
              <w:autoSpaceDE w:val="0"/>
              <w:autoSpaceDN w:val="0"/>
              <w:adjustRightInd w:val="0"/>
              <w:spacing w:after="40"/>
              <w:jc w:val="center"/>
              <w:rPr>
                <w:sz w:val="16"/>
                <w:szCs w:val="16"/>
              </w:rPr>
            </w:pPr>
            <w:r>
              <w:rPr>
                <w:sz w:val="16"/>
                <w:szCs w:val="16"/>
              </w:rPr>
              <w:t>0%</w:t>
            </w:r>
          </w:p>
        </w:tc>
        <w:tc>
          <w:tcPr>
            <w:tcW w:w="848" w:type="pct"/>
            <w:tcBorders>
              <w:top w:val="single" w:sz="4" w:space="0" w:color="auto"/>
              <w:left w:val="single" w:sz="4" w:space="0" w:color="auto"/>
              <w:bottom w:val="single" w:sz="4" w:space="0" w:color="auto"/>
              <w:right w:val="single" w:sz="4" w:space="0" w:color="auto"/>
            </w:tcBorders>
            <w:vAlign w:val="center"/>
          </w:tcPr>
          <w:p w:rsidR="00123DC4" w:rsidRPr="00970583" w:rsidRDefault="00123DC4" w:rsidP="00132057">
            <w:pPr>
              <w:keepNext/>
              <w:keepLines/>
              <w:autoSpaceDE w:val="0"/>
              <w:autoSpaceDN w:val="0"/>
              <w:adjustRightInd w:val="0"/>
              <w:spacing w:after="40"/>
              <w:jc w:val="center"/>
              <w:rPr>
                <w:sz w:val="16"/>
                <w:szCs w:val="16"/>
              </w:rPr>
            </w:pPr>
            <w:r>
              <w:rPr>
                <w:sz w:val="16"/>
                <w:szCs w:val="16"/>
              </w:rPr>
              <w:t>-</w:t>
            </w:r>
          </w:p>
        </w:tc>
      </w:tr>
      <w:tr w:rsidR="00123DC4" w:rsidRPr="00970583" w:rsidTr="00132057">
        <w:trPr>
          <w:trHeight w:val="389"/>
        </w:trPr>
        <w:tc>
          <w:tcPr>
            <w:tcW w:w="1578" w:type="pct"/>
            <w:tcBorders>
              <w:top w:val="single" w:sz="4" w:space="0" w:color="auto"/>
              <w:left w:val="single" w:sz="4" w:space="0" w:color="auto"/>
              <w:bottom w:val="single" w:sz="4" w:space="0" w:color="auto"/>
              <w:right w:val="single" w:sz="4" w:space="0" w:color="auto"/>
            </w:tcBorders>
            <w:vAlign w:val="center"/>
          </w:tcPr>
          <w:p w:rsidR="00123DC4" w:rsidRPr="00970583" w:rsidRDefault="00123DC4" w:rsidP="00132057">
            <w:pPr>
              <w:keepNext/>
              <w:keepLines/>
              <w:autoSpaceDE w:val="0"/>
              <w:autoSpaceDN w:val="0"/>
              <w:adjustRightInd w:val="0"/>
              <w:spacing w:before="40" w:after="40"/>
              <w:rPr>
                <w:sz w:val="16"/>
                <w:szCs w:val="16"/>
              </w:rPr>
            </w:pPr>
            <w:r>
              <w:rPr>
                <w:sz w:val="16"/>
                <w:szCs w:val="16"/>
              </w:rPr>
              <w:t xml:space="preserve">Project 3: </w:t>
            </w:r>
            <w:r w:rsidRPr="008F5BF7">
              <w:rPr>
                <w:sz w:val="16"/>
                <w:szCs w:val="16"/>
              </w:rPr>
              <w:t xml:space="preserve">Vendor &amp; Contract management </w:t>
            </w:r>
          </w:p>
        </w:tc>
        <w:tc>
          <w:tcPr>
            <w:tcW w:w="858" w:type="pct"/>
            <w:tcBorders>
              <w:top w:val="single" w:sz="4" w:space="0" w:color="auto"/>
              <w:left w:val="single" w:sz="4" w:space="0" w:color="auto"/>
              <w:bottom w:val="single" w:sz="4" w:space="0" w:color="auto"/>
              <w:right w:val="single" w:sz="4" w:space="0" w:color="auto"/>
            </w:tcBorders>
            <w:vAlign w:val="center"/>
          </w:tcPr>
          <w:p w:rsidR="00123DC4" w:rsidRPr="00970583" w:rsidRDefault="00123DC4" w:rsidP="00132057">
            <w:pPr>
              <w:keepNext/>
              <w:keepLines/>
              <w:autoSpaceDE w:val="0"/>
              <w:autoSpaceDN w:val="0"/>
              <w:adjustRightInd w:val="0"/>
              <w:spacing w:after="40"/>
              <w:jc w:val="center"/>
              <w:rPr>
                <w:sz w:val="16"/>
                <w:szCs w:val="16"/>
              </w:rPr>
            </w:pPr>
            <w:r>
              <w:rPr>
                <w:sz w:val="16"/>
                <w:szCs w:val="16"/>
              </w:rPr>
              <w:t>46,000</w:t>
            </w:r>
          </w:p>
        </w:tc>
        <w:tc>
          <w:tcPr>
            <w:tcW w:w="858" w:type="pct"/>
            <w:tcBorders>
              <w:top w:val="single" w:sz="4" w:space="0" w:color="auto"/>
              <w:left w:val="single" w:sz="4" w:space="0" w:color="auto"/>
              <w:bottom w:val="single" w:sz="4" w:space="0" w:color="auto"/>
              <w:right w:val="single" w:sz="4" w:space="0" w:color="auto"/>
            </w:tcBorders>
            <w:vAlign w:val="center"/>
          </w:tcPr>
          <w:p w:rsidR="00123DC4" w:rsidRPr="00970583" w:rsidRDefault="00123DC4" w:rsidP="00132057">
            <w:pPr>
              <w:keepNext/>
              <w:keepLines/>
              <w:autoSpaceDE w:val="0"/>
              <w:autoSpaceDN w:val="0"/>
              <w:adjustRightInd w:val="0"/>
              <w:spacing w:after="40"/>
              <w:jc w:val="center"/>
              <w:rPr>
                <w:sz w:val="16"/>
                <w:szCs w:val="16"/>
              </w:rPr>
            </w:pPr>
            <w:r>
              <w:rPr>
                <w:sz w:val="16"/>
                <w:szCs w:val="16"/>
              </w:rPr>
              <w:t>0</w:t>
            </w:r>
          </w:p>
        </w:tc>
        <w:tc>
          <w:tcPr>
            <w:tcW w:w="858" w:type="pct"/>
            <w:tcBorders>
              <w:top w:val="single" w:sz="4" w:space="0" w:color="auto"/>
              <w:left w:val="single" w:sz="4" w:space="0" w:color="auto"/>
              <w:bottom w:val="single" w:sz="4" w:space="0" w:color="auto"/>
              <w:right w:val="single" w:sz="4" w:space="0" w:color="auto"/>
            </w:tcBorders>
            <w:vAlign w:val="center"/>
          </w:tcPr>
          <w:p w:rsidR="00123DC4" w:rsidRPr="00970583" w:rsidRDefault="00123DC4" w:rsidP="00132057">
            <w:pPr>
              <w:keepNext/>
              <w:keepLines/>
              <w:autoSpaceDE w:val="0"/>
              <w:autoSpaceDN w:val="0"/>
              <w:adjustRightInd w:val="0"/>
              <w:spacing w:after="40"/>
              <w:jc w:val="center"/>
              <w:rPr>
                <w:sz w:val="16"/>
                <w:szCs w:val="16"/>
              </w:rPr>
            </w:pPr>
            <w:r>
              <w:rPr>
                <w:sz w:val="16"/>
                <w:szCs w:val="16"/>
              </w:rPr>
              <w:t>0%</w:t>
            </w:r>
          </w:p>
        </w:tc>
        <w:tc>
          <w:tcPr>
            <w:tcW w:w="848" w:type="pct"/>
            <w:tcBorders>
              <w:top w:val="single" w:sz="4" w:space="0" w:color="auto"/>
              <w:left w:val="single" w:sz="4" w:space="0" w:color="auto"/>
              <w:bottom w:val="single" w:sz="4" w:space="0" w:color="auto"/>
              <w:right w:val="single" w:sz="4" w:space="0" w:color="auto"/>
            </w:tcBorders>
            <w:vAlign w:val="center"/>
          </w:tcPr>
          <w:p w:rsidR="00123DC4" w:rsidRPr="00970583" w:rsidRDefault="00123DC4" w:rsidP="00132057">
            <w:pPr>
              <w:keepNext/>
              <w:keepLines/>
              <w:autoSpaceDE w:val="0"/>
              <w:autoSpaceDN w:val="0"/>
              <w:adjustRightInd w:val="0"/>
              <w:spacing w:after="40"/>
              <w:jc w:val="center"/>
              <w:rPr>
                <w:sz w:val="16"/>
                <w:szCs w:val="16"/>
              </w:rPr>
            </w:pPr>
            <w:r>
              <w:rPr>
                <w:sz w:val="16"/>
                <w:szCs w:val="16"/>
              </w:rPr>
              <w:t>-</w:t>
            </w:r>
          </w:p>
        </w:tc>
      </w:tr>
      <w:tr w:rsidR="00123DC4" w:rsidRPr="00970583" w:rsidTr="00132057">
        <w:trPr>
          <w:trHeight w:val="389"/>
        </w:trPr>
        <w:tc>
          <w:tcPr>
            <w:tcW w:w="1578" w:type="pct"/>
            <w:tcBorders>
              <w:top w:val="single" w:sz="4" w:space="0" w:color="auto"/>
              <w:left w:val="single" w:sz="4" w:space="0" w:color="auto"/>
              <w:bottom w:val="single" w:sz="4" w:space="0" w:color="auto"/>
              <w:right w:val="single" w:sz="4" w:space="0" w:color="auto"/>
            </w:tcBorders>
            <w:vAlign w:val="center"/>
          </w:tcPr>
          <w:p w:rsidR="00123DC4" w:rsidRDefault="00123DC4" w:rsidP="00132057">
            <w:pPr>
              <w:keepNext/>
              <w:keepLines/>
              <w:autoSpaceDE w:val="0"/>
              <w:autoSpaceDN w:val="0"/>
              <w:adjustRightInd w:val="0"/>
              <w:spacing w:before="40" w:after="40"/>
              <w:rPr>
                <w:sz w:val="16"/>
                <w:szCs w:val="16"/>
              </w:rPr>
            </w:pPr>
            <w:r>
              <w:rPr>
                <w:sz w:val="16"/>
                <w:szCs w:val="16"/>
              </w:rPr>
              <w:t xml:space="preserve">Project 4: </w:t>
            </w:r>
            <w:r w:rsidRPr="008F5BF7">
              <w:rPr>
                <w:sz w:val="16"/>
                <w:szCs w:val="16"/>
              </w:rPr>
              <w:t xml:space="preserve">Mission Reports </w:t>
            </w:r>
          </w:p>
        </w:tc>
        <w:tc>
          <w:tcPr>
            <w:tcW w:w="858" w:type="pct"/>
            <w:tcBorders>
              <w:top w:val="single" w:sz="4" w:space="0" w:color="auto"/>
              <w:left w:val="single" w:sz="4" w:space="0" w:color="auto"/>
              <w:bottom w:val="single" w:sz="4" w:space="0" w:color="auto"/>
              <w:right w:val="single" w:sz="4" w:space="0" w:color="auto"/>
            </w:tcBorders>
            <w:vAlign w:val="center"/>
          </w:tcPr>
          <w:p w:rsidR="00123DC4" w:rsidRDefault="00123DC4" w:rsidP="00132057">
            <w:pPr>
              <w:keepNext/>
              <w:keepLines/>
              <w:autoSpaceDE w:val="0"/>
              <w:autoSpaceDN w:val="0"/>
              <w:adjustRightInd w:val="0"/>
              <w:spacing w:after="40"/>
              <w:jc w:val="center"/>
              <w:rPr>
                <w:sz w:val="16"/>
                <w:szCs w:val="16"/>
              </w:rPr>
            </w:pPr>
            <w:r>
              <w:rPr>
                <w:sz w:val="16"/>
                <w:szCs w:val="16"/>
              </w:rPr>
              <w:t>37,000</w:t>
            </w:r>
          </w:p>
        </w:tc>
        <w:tc>
          <w:tcPr>
            <w:tcW w:w="858" w:type="pct"/>
            <w:tcBorders>
              <w:top w:val="single" w:sz="4" w:space="0" w:color="auto"/>
              <w:left w:val="single" w:sz="4" w:space="0" w:color="auto"/>
              <w:bottom w:val="single" w:sz="4" w:space="0" w:color="auto"/>
              <w:right w:val="single" w:sz="4" w:space="0" w:color="auto"/>
            </w:tcBorders>
            <w:vAlign w:val="center"/>
          </w:tcPr>
          <w:p w:rsidR="00123DC4" w:rsidRDefault="00123DC4" w:rsidP="00132057">
            <w:pPr>
              <w:keepNext/>
              <w:keepLines/>
              <w:autoSpaceDE w:val="0"/>
              <w:autoSpaceDN w:val="0"/>
              <w:adjustRightInd w:val="0"/>
              <w:spacing w:after="40"/>
              <w:jc w:val="center"/>
              <w:rPr>
                <w:sz w:val="16"/>
                <w:szCs w:val="16"/>
              </w:rPr>
            </w:pPr>
            <w:r>
              <w:rPr>
                <w:sz w:val="16"/>
                <w:szCs w:val="16"/>
              </w:rPr>
              <w:t>0</w:t>
            </w:r>
          </w:p>
        </w:tc>
        <w:tc>
          <w:tcPr>
            <w:tcW w:w="858" w:type="pct"/>
            <w:tcBorders>
              <w:top w:val="single" w:sz="4" w:space="0" w:color="auto"/>
              <w:left w:val="single" w:sz="4" w:space="0" w:color="auto"/>
              <w:bottom w:val="single" w:sz="4" w:space="0" w:color="auto"/>
              <w:right w:val="single" w:sz="4" w:space="0" w:color="auto"/>
            </w:tcBorders>
            <w:vAlign w:val="center"/>
          </w:tcPr>
          <w:p w:rsidR="00123DC4" w:rsidRDefault="00123DC4" w:rsidP="00132057">
            <w:pPr>
              <w:keepNext/>
              <w:keepLines/>
              <w:autoSpaceDE w:val="0"/>
              <w:autoSpaceDN w:val="0"/>
              <w:adjustRightInd w:val="0"/>
              <w:spacing w:after="40"/>
              <w:jc w:val="center"/>
              <w:rPr>
                <w:sz w:val="16"/>
                <w:szCs w:val="16"/>
              </w:rPr>
            </w:pPr>
            <w:r>
              <w:rPr>
                <w:sz w:val="16"/>
                <w:szCs w:val="16"/>
              </w:rPr>
              <w:t>0%</w:t>
            </w:r>
          </w:p>
        </w:tc>
        <w:tc>
          <w:tcPr>
            <w:tcW w:w="848" w:type="pct"/>
            <w:tcBorders>
              <w:top w:val="single" w:sz="4" w:space="0" w:color="auto"/>
              <w:left w:val="single" w:sz="4" w:space="0" w:color="auto"/>
              <w:bottom w:val="single" w:sz="4" w:space="0" w:color="auto"/>
              <w:right w:val="single" w:sz="4" w:space="0" w:color="auto"/>
            </w:tcBorders>
            <w:vAlign w:val="center"/>
          </w:tcPr>
          <w:p w:rsidR="00123DC4" w:rsidRPr="00970583" w:rsidRDefault="00123DC4" w:rsidP="00132057">
            <w:pPr>
              <w:keepNext/>
              <w:keepLines/>
              <w:autoSpaceDE w:val="0"/>
              <w:autoSpaceDN w:val="0"/>
              <w:adjustRightInd w:val="0"/>
              <w:spacing w:after="40"/>
              <w:jc w:val="center"/>
              <w:rPr>
                <w:sz w:val="16"/>
                <w:szCs w:val="16"/>
              </w:rPr>
            </w:pPr>
            <w:r>
              <w:rPr>
                <w:sz w:val="16"/>
                <w:szCs w:val="16"/>
              </w:rPr>
              <w:t>-</w:t>
            </w:r>
          </w:p>
        </w:tc>
      </w:tr>
      <w:tr w:rsidR="00123DC4" w:rsidRPr="00970583" w:rsidTr="00132057">
        <w:trPr>
          <w:trHeight w:val="389"/>
        </w:trPr>
        <w:tc>
          <w:tcPr>
            <w:tcW w:w="1578" w:type="pct"/>
            <w:tcBorders>
              <w:top w:val="single" w:sz="4" w:space="0" w:color="auto"/>
              <w:left w:val="single" w:sz="4" w:space="0" w:color="auto"/>
              <w:bottom w:val="single" w:sz="4" w:space="0" w:color="auto"/>
              <w:right w:val="single" w:sz="4" w:space="0" w:color="auto"/>
            </w:tcBorders>
            <w:vAlign w:val="center"/>
          </w:tcPr>
          <w:p w:rsidR="00123DC4" w:rsidRPr="00970583" w:rsidRDefault="00123DC4" w:rsidP="00132057">
            <w:pPr>
              <w:keepNext/>
              <w:keepLines/>
              <w:autoSpaceDE w:val="0"/>
              <w:autoSpaceDN w:val="0"/>
              <w:adjustRightInd w:val="0"/>
              <w:spacing w:before="40" w:after="40"/>
              <w:rPr>
                <w:sz w:val="16"/>
                <w:szCs w:val="16"/>
              </w:rPr>
            </w:pPr>
            <w:r>
              <w:rPr>
                <w:sz w:val="16"/>
                <w:szCs w:val="16"/>
              </w:rPr>
              <w:t>Project 5: HR Staff Case Files</w:t>
            </w:r>
          </w:p>
        </w:tc>
        <w:tc>
          <w:tcPr>
            <w:tcW w:w="858" w:type="pct"/>
            <w:tcBorders>
              <w:top w:val="single" w:sz="4" w:space="0" w:color="auto"/>
              <w:left w:val="single" w:sz="4" w:space="0" w:color="auto"/>
              <w:bottom w:val="single" w:sz="4" w:space="0" w:color="auto"/>
              <w:right w:val="single" w:sz="4" w:space="0" w:color="auto"/>
            </w:tcBorders>
            <w:vAlign w:val="center"/>
          </w:tcPr>
          <w:p w:rsidR="00123DC4" w:rsidRPr="00970583" w:rsidRDefault="00123DC4" w:rsidP="00132057">
            <w:pPr>
              <w:keepNext/>
              <w:keepLines/>
              <w:autoSpaceDE w:val="0"/>
              <w:autoSpaceDN w:val="0"/>
              <w:adjustRightInd w:val="0"/>
              <w:spacing w:after="40"/>
              <w:jc w:val="center"/>
              <w:rPr>
                <w:sz w:val="16"/>
                <w:szCs w:val="16"/>
              </w:rPr>
            </w:pPr>
            <w:r>
              <w:rPr>
                <w:sz w:val="16"/>
                <w:szCs w:val="16"/>
              </w:rPr>
              <w:t>140,000</w:t>
            </w:r>
          </w:p>
        </w:tc>
        <w:tc>
          <w:tcPr>
            <w:tcW w:w="858" w:type="pct"/>
            <w:tcBorders>
              <w:top w:val="single" w:sz="4" w:space="0" w:color="auto"/>
              <w:left w:val="single" w:sz="4" w:space="0" w:color="auto"/>
              <w:bottom w:val="single" w:sz="4" w:space="0" w:color="auto"/>
              <w:right w:val="single" w:sz="4" w:space="0" w:color="auto"/>
            </w:tcBorders>
            <w:vAlign w:val="center"/>
          </w:tcPr>
          <w:p w:rsidR="00123DC4" w:rsidRPr="00970583" w:rsidRDefault="00123DC4" w:rsidP="00132057">
            <w:pPr>
              <w:keepNext/>
              <w:keepLines/>
              <w:autoSpaceDE w:val="0"/>
              <w:autoSpaceDN w:val="0"/>
              <w:adjustRightInd w:val="0"/>
              <w:spacing w:after="40"/>
              <w:jc w:val="center"/>
              <w:rPr>
                <w:sz w:val="16"/>
                <w:szCs w:val="16"/>
              </w:rPr>
            </w:pPr>
            <w:r>
              <w:rPr>
                <w:sz w:val="16"/>
                <w:szCs w:val="16"/>
              </w:rPr>
              <w:t>0</w:t>
            </w:r>
          </w:p>
        </w:tc>
        <w:tc>
          <w:tcPr>
            <w:tcW w:w="858" w:type="pct"/>
            <w:tcBorders>
              <w:top w:val="single" w:sz="4" w:space="0" w:color="auto"/>
              <w:left w:val="single" w:sz="4" w:space="0" w:color="auto"/>
              <w:bottom w:val="single" w:sz="4" w:space="0" w:color="auto"/>
              <w:right w:val="single" w:sz="4" w:space="0" w:color="auto"/>
            </w:tcBorders>
            <w:vAlign w:val="center"/>
          </w:tcPr>
          <w:p w:rsidR="00123DC4" w:rsidRPr="00970583" w:rsidRDefault="00123DC4" w:rsidP="00132057">
            <w:pPr>
              <w:keepNext/>
              <w:keepLines/>
              <w:autoSpaceDE w:val="0"/>
              <w:autoSpaceDN w:val="0"/>
              <w:adjustRightInd w:val="0"/>
              <w:spacing w:after="40"/>
              <w:jc w:val="center"/>
              <w:rPr>
                <w:sz w:val="16"/>
                <w:szCs w:val="16"/>
              </w:rPr>
            </w:pPr>
            <w:r>
              <w:rPr>
                <w:sz w:val="16"/>
                <w:szCs w:val="16"/>
              </w:rPr>
              <w:t>0%</w:t>
            </w:r>
          </w:p>
        </w:tc>
        <w:tc>
          <w:tcPr>
            <w:tcW w:w="848" w:type="pct"/>
            <w:tcBorders>
              <w:top w:val="single" w:sz="4" w:space="0" w:color="auto"/>
              <w:left w:val="single" w:sz="4" w:space="0" w:color="auto"/>
              <w:bottom w:val="single" w:sz="4" w:space="0" w:color="auto"/>
              <w:right w:val="single" w:sz="4" w:space="0" w:color="auto"/>
            </w:tcBorders>
            <w:vAlign w:val="center"/>
          </w:tcPr>
          <w:p w:rsidR="00123DC4" w:rsidRPr="00970583" w:rsidRDefault="00123DC4" w:rsidP="00132057">
            <w:pPr>
              <w:keepNext/>
              <w:keepLines/>
              <w:autoSpaceDE w:val="0"/>
              <w:autoSpaceDN w:val="0"/>
              <w:adjustRightInd w:val="0"/>
              <w:spacing w:after="40"/>
              <w:jc w:val="center"/>
              <w:rPr>
                <w:sz w:val="16"/>
                <w:szCs w:val="16"/>
              </w:rPr>
            </w:pPr>
            <w:r>
              <w:rPr>
                <w:sz w:val="16"/>
                <w:szCs w:val="16"/>
              </w:rPr>
              <w:t>-</w:t>
            </w:r>
          </w:p>
        </w:tc>
      </w:tr>
      <w:tr w:rsidR="00123DC4" w:rsidRPr="00970583" w:rsidTr="00132057">
        <w:trPr>
          <w:trHeight w:val="389"/>
        </w:trPr>
        <w:tc>
          <w:tcPr>
            <w:tcW w:w="1578" w:type="pct"/>
            <w:tcBorders>
              <w:top w:val="single" w:sz="4" w:space="0" w:color="auto"/>
              <w:left w:val="single" w:sz="4" w:space="0" w:color="auto"/>
              <w:bottom w:val="single" w:sz="4" w:space="0" w:color="auto"/>
              <w:right w:val="single" w:sz="4" w:space="0" w:color="auto"/>
            </w:tcBorders>
            <w:vAlign w:val="center"/>
          </w:tcPr>
          <w:p w:rsidR="00123DC4" w:rsidRPr="00970583" w:rsidRDefault="00123DC4" w:rsidP="00132057">
            <w:pPr>
              <w:keepNext/>
              <w:keepLines/>
              <w:autoSpaceDE w:val="0"/>
              <w:autoSpaceDN w:val="0"/>
              <w:adjustRightInd w:val="0"/>
              <w:spacing w:before="40" w:after="40"/>
              <w:rPr>
                <w:sz w:val="16"/>
                <w:szCs w:val="16"/>
              </w:rPr>
            </w:pPr>
            <w:r>
              <w:rPr>
                <w:sz w:val="16"/>
                <w:szCs w:val="16"/>
              </w:rPr>
              <w:t xml:space="preserve">Project 6: </w:t>
            </w:r>
            <w:r w:rsidRPr="008F5BF7">
              <w:rPr>
                <w:sz w:val="16"/>
                <w:szCs w:val="16"/>
              </w:rPr>
              <w:t xml:space="preserve">Organizational wide ECM Capability </w:t>
            </w:r>
          </w:p>
        </w:tc>
        <w:tc>
          <w:tcPr>
            <w:tcW w:w="858" w:type="pct"/>
            <w:tcBorders>
              <w:top w:val="single" w:sz="4" w:space="0" w:color="auto"/>
              <w:left w:val="single" w:sz="4" w:space="0" w:color="auto"/>
              <w:bottom w:val="single" w:sz="4" w:space="0" w:color="auto"/>
              <w:right w:val="single" w:sz="4" w:space="0" w:color="auto"/>
            </w:tcBorders>
            <w:vAlign w:val="center"/>
          </w:tcPr>
          <w:p w:rsidR="00123DC4" w:rsidRPr="00970583" w:rsidRDefault="00123DC4" w:rsidP="00132057">
            <w:pPr>
              <w:keepNext/>
              <w:keepLines/>
              <w:autoSpaceDE w:val="0"/>
              <w:autoSpaceDN w:val="0"/>
              <w:adjustRightInd w:val="0"/>
              <w:spacing w:after="40"/>
              <w:jc w:val="center"/>
              <w:rPr>
                <w:sz w:val="16"/>
                <w:szCs w:val="16"/>
              </w:rPr>
            </w:pPr>
            <w:r>
              <w:rPr>
                <w:sz w:val="16"/>
                <w:szCs w:val="16"/>
              </w:rPr>
              <w:t>46,000</w:t>
            </w:r>
          </w:p>
        </w:tc>
        <w:tc>
          <w:tcPr>
            <w:tcW w:w="858" w:type="pct"/>
            <w:tcBorders>
              <w:top w:val="single" w:sz="4" w:space="0" w:color="auto"/>
              <w:left w:val="single" w:sz="4" w:space="0" w:color="auto"/>
              <w:bottom w:val="single" w:sz="4" w:space="0" w:color="auto"/>
              <w:right w:val="single" w:sz="4" w:space="0" w:color="auto"/>
            </w:tcBorders>
            <w:vAlign w:val="center"/>
          </w:tcPr>
          <w:p w:rsidR="00123DC4" w:rsidRPr="00970583" w:rsidRDefault="00123DC4" w:rsidP="00132057">
            <w:pPr>
              <w:keepNext/>
              <w:keepLines/>
              <w:autoSpaceDE w:val="0"/>
              <w:autoSpaceDN w:val="0"/>
              <w:adjustRightInd w:val="0"/>
              <w:spacing w:after="40"/>
              <w:jc w:val="center"/>
              <w:rPr>
                <w:sz w:val="16"/>
                <w:szCs w:val="16"/>
              </w:rPr>
            </w:pPr>
            <w:r>
              <w:rPr>
                <w:sz w:val="16"/>
                <w:szCs w:val="16"/>
              </w:rPr>
              <w:t>0</w:t>
            </w:r>
          </w:p>
        </w:tc>
        <w:tc>
          <w:tcPr>
            <w:tcW w:w="858" w:type="pct"/>
            <w:tcBorders>
              <w:top w:val="single" w:sz="4" w:space="0" w:color="auto"/>
              <w:left w:val="single" w:sz="4" w:space="0" w:color="auto"/>
              <w:bottom w:val="single" w:sz="4" w:space="0" w:color="auto"/>
              <w:right w:val="single" w:sz="4" w:space="0" w:color="auto"/>
            </w:tcBorders>
            <w:vAlign w:val="center"/>
          </w:tcPr>
          <w:p w:rsidR="00123DC4" w:rsidRPr="00970583" w:rsidRDefault="00123DC4" w:rsidP="00132057">
            <w:pPr>
              <w:keepNext/>
              <w:keepLines/>
              <w:autoSpaceDE w:val="0"/>
              <w:autoSpaceDN w:val="0"/>
              <w:adjustRightInd w:val="0"/>
              <w:spacing w:after="40"/>
              <w:jc w:val="center"/>
              <w:rPr>
                <w:sz w:val="16"/>
                <w:szCs w:val="16"/>
              </w:rPr>
            </w:pPr>
            <w:r>
              <w:rPr>
                <w:sz w:val="16"/>
                <w:szCs w:val="16"/>
              </w:rPr>
              <w:t>0%</w:t>
            </w:r>
          </w:p>
        </w:tc>
        <w:tc>
          <w:tcPr>
            <w:tcW w:w="848" w:type="pct"/>
            <w:tcBorders>
              <w:top w:val="single" w:sz="4" w:space="0" w:color="auto"/>
              <w:left w:val="single" w:sz="4" w:space="0" w:color="auto"/>
              <w:bottom w:val="single" w:sz="4" w:space="0" w:color="auto"/>
              <w:right w:val="single" w:sz="4" w:space="0" w:color="auto"/>
            </w:tcBorders>
            <w:vAlign w:val="center"/>
          </w:tcPr>
          <w:p w:rsidR="00123DC4" w:rsidRPr="00970583" w:rsidRDefault="00123DC4" w:rsidP="00132057">
            <w:pPr>
              <w:keepNext/>
              <w:keepLines/>
              <w:autoSpaceDE w:val="0"/>
              <w:autoSpaceDN w:val="0"/>
              <w:adjustRightInd w:val="0"/>
              <w:spacing w:after="40"/>
              <w:jc w:val="center"/>
              <w:rPr>
                <w:sz w:val="16"/>
                <w:szCs w:val="16"/>
              </w:rPr>
            </w:pPr>
            <w:r>
              <w:rPr>
                <w:sz w:val="16"/>
                <w:szCs w:val="16"/>
              </w:rPr>
              <w:t>-</w:t>
            </w:r>
          </w:p>
        </w:tc>
      </w:tr>
      <w:tr w:rsidR="00123DC4" w:rsidRPr="00970583" w:rsidTr="00132057">
        <w:trPr>
          <w:trHeight w:val="389"/>
        </w:trPr>
        <w:tc>
          <w:tcPr>
            <w:tcW w:w="1578"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970583" w:rsidRDefault="00123DC4" w:rsidP="00132057">
            <w:pPr>
              <w:keepNext/>
              <w:keepLines/>
              <w:autoSpaceDE w:val="0"/>
              <w:autoSpaceDN w:val="0"/>
              <w:adjustRightInd w:val="0"/>
              <w:spacing w:after="40"/>
              <w:rPr>
                <w:b/>
                <w:sz w:val="16"/>
                <w:szCs w:val="16"/>
              </w:rPr>
            </w:pPr>
            <w:r w:rsidRPr="00970583">
              <w:rPr>
                <w:b/>
                <w:sz w:val="16"/>
                <w:szCs w:val="16"/>
              </w:rPr>
              <w:t>Total</w:t>
            </w:r>
          </w:p>
        </w:tc>
        <w:tc>
          <w:tcPr>
            <w:tcW w:w="858"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970583" w:rsidRDefault="00123DC4" w:rsidP="00132057">
            <w:pPr>
              <w:keepNext/>
              <w:keepLines/>
              <w:autoSpaceDE w:val="0"/>
              <w:autoSpaceDN w:val="0"/>
              <w:adjustRightInd w:val="0"/>
              <w:spacing w:after="40"/>
              <w:jc w:val="center"/>
              <w:rPr>
                <w:b/>
                <w:sz w:val="16"/>
                <w:szCs w:val="16"/>
              </w:rPr>
            </w:pPr>
            <w:r>
              <w:rPr>
                <w:b/>
                <w:sz w:val="16"/>
                <w:szCs w:val="16"/>
              </w:rPr>
              <w:t>2,068,000</w:t>
            </w:r>
          </w:p>
        </w:tc>
        <w:tc>
          <w:tcPr>
            <w:tcW w:w="858"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970583" w:rsidRDefault="00123DC4" w:rsidP="00132057">
            <w:pPr>
              <w:keepNext/>
              <w:keepLines/>
              <w:autoSpaceDE w:val="0"/>
              <w:autoSpaceDN w:val="0"/>
              <w:adjustRightInd w:val="0"/>
              <w:spacing w:after="40"/>
              <w:jc w:val="center"/>
              <w:rPr>
                <w:b/>
                <w:sz w:val="16"/>
                <w:szCs w:val="16"/>
              </w:rPr>
            </w:pPr>
            <w:r>
              <w:rPr>
                <w:b/>
                <w:sz w:val="16"/>
                <w:szCs w:val="16"/>
              </w:rPr>
              <w:t>75,170</w:t>
            </w:r>
          </w:p>
        </w:tc>
        <w:tc>
          <w:tcPr>
            <w:tcW w:w="858" w:type="pct"/>
            <w:tcBorders>
              <w:top w:val="single" w:sz="4" w:space="0" w:color="auto"/>
              <w:left w:val="single" w:sz="4" w:space="0" w:color="auto"/>
              <w:bottom w:val="single" w:sz="4" w:space="0" w:color="auto"/>
              <w:right w:val="single" w:sz="4" w:space="0" w:color="auto"/>
            </w:tcBorders>
            <w:shd w:val="clear" w:color="auto" w:fill="C6D9F1" w:themeFill="text2" w:themeFillTint="33"/>
          </w:tcPr>
          <w:p w:rsidR="00123DC4" w:rsidRPr="00970583" w:rsidRDefault="00123DC4" w:rsidP="00132057">
            <w:pPr>
              <w:keepNext/>
              <w:keepLines/>
              <w:autoSpaceDE w:val="0"/>
              <w:autoSpaceDN w:val="0"/>
              <w:adjustRightInd w:val="0"/>
              <w:spacing w:after="40"/>
              <w:jc w:val="center"/>
              <w:rPr>
                <w:b/>
                <w:sz w:val="16"/>
                <w:szCs w:val="16"/>
              </w:rPr>
            </w:pPr>
          </w:p>
        </w:tc>
        <w:tc>
          <w:tcPr>
            <w:tcW w:w="848" w:type="pct"/>
            <w:tcBorders>
              <w:top w:val="single" w:sz="4" w:space="0" w:color="auto"/>
              <w:left w:val="single" w:sz="4" w:space="0" w:color="auto"/>
              <w:bottom w:val="single" w:sz="4" w:space="0" w:color="auto"/>
              <w:right w:val="single" w:sz="4" w:space="0" w:color="auto"/>
            </w:tcBorders>
            <w:shd w:val="clear" w:color="auto" w:fill="C6D9F1" w:themeFill="text2" w:themeFillTint="33"/>
          </w:tcPr>
          <w:p w:rsidR="00123DC4" w:rsidRPr="00970583" w:rsidRDefault="00123DC4" w:rsidP="00132057">
            <w:pPr>
              <w:keepNext/>
              <w:keepLines/>
              <w:autoSpaceDE w:val="0"/>
              <w:autoSpaceDN w:val="0"/>
              <w:adjustRightInd w:val="0"/>
              <w:spacing w:after="40"/>
              <w:jc w:val="center"/>
              <w:rPr>
                <w:b/>
                <w:sz w:val="16"/>
                <w:szCs w:val="16"/>
              </w:rPr>
            </w:pPr>
          </w:p>
        </w:tc>
      </w:tr>
    </w:tbl>
    <w:p w:rsidR="00123DC4" w:rsidRDefault="00123DC4" w:rsidP="00132057">
      <w:pPr>
        <w:rPr>
          <w:rFonts w:cs="Arial"/>
          <w:color w:val="000000"/>
          <w:sz w:val="22"/>
          <w:szCs w:val="22"/>
        </w:rPr>
      </w:pPr>
    </w:p>
    <w:p w:rsidR="00123DC4" w:rsidRDefault="00123DC4" w:rsidP="00132057">
      <w:pPr>
        <w:keepNext/>
        <w:keepLines/>
        <w:tabs>
          <w:tab w:val="left" w:pos="3261"/>
        </w:tabs>
        <w:autoSpaceDE w:val="0"/>
        <w:autoSpaceDN w:val="0"/>
        <w:adjustRightInd w:val="0"/>
        <w:jc w:val="center"/>
        <w:rPr>
          <w:b/>
          <w:color w:val="000000"/>
          <w:szCs w:val="22"/>
        </w:rPr>
      </w:pPr>
    </w:p>
    <w:p w:rsidR="00123DC4" w:rsidRPr="00970583" w:rsidRDefault="00123DC4" w:rsidP="00132057">
      <w:pPr>
        <w:keepNext/>
        <w:keepLines/>
        <w:tabs>
          <w:tab w:val="left" w:pos="3261"/>
        </w:tabs>
        <w:autoSpaceDE w:val="0"/>
        <w:autoSpaceDN w:val="0"/>
        <w:adjustRightInd w:val="0"/>
        <w:jc w:val="center"/>
        <w:rPr>
          <w:b/>
          <w:szCs w:val="22"/>
        </w:rPr>
      </w:pPr>
      <w:r w:rsidRPr="00970583">
        <w:rPr>
          <w:b/>
          <w:color w:val="000000"/>
          <w:szCs w:val="22"/>
        </w:rPr>
        <w:t>Project Budget Utilization (by Cost Category)</w:t>
      </w:r>
    </w:p>
    <w:p w:rsidR="00123DC4" w:rsidRDefault="00123DC4" w:rsidP="00132057">
      <w:pPr>
        <w:keepNext/>
        <w:keepLines/>
        <w:tabs>
          <w:tab w:val="left" w:pos="3261"/>
        </w:tabs>
        <w:autoSpaceDE w:val="0"/>
        <w:autoSpaceDN w:val="0"/>
        <w:adjustRightInd w:val="0"/>
        <w:spacing w:after="120"/>
        <w:jc w:val="center"/>
        <w:rPr>
          <w:i/>
          <w:iCs/>
          <w:sz w:val="18"/>
          <w:szCs w:val="18"/>
        </w:rPr>
      </w:pPr>
      <w:r w:rsidRPr="00970583">
        <w:rPr>
          <w:i/>
          <w:iCs/>
          <w:sz w:val="18"/>
          <w:szCs w:val="18"/>
        </w:rPr>
        <w:t>(</w:t>
      </w:r>
      <w:r>
        <w:rPr>
          <w:i/>
          <w:iCs/>
          <w:sz w:val="18"/>
          <w:szCs w:val="18"/>
        </w:rPr>
        <w:t>i</w:t>
      </w:r>
      <w:r w:rsidRPr="00970583">
        <w:rPr>
          <w:i/>
          <w:iCs/>
          <w:sz w:val="18"/>
          <w:szCs w:val="18"/>
        </w:rPr>
        <w:t>n Swiss francs, as at December 31, 201</w:t>
      </w:r>
      <w:r>
        <w:rPr>
          <w:i/>
          <w:iCs/>
          <w:sz w:val="18"/>
          <w:szCs w:val="18"/>
        </w:rPr>
        <w:t>5</w:t>
      </w:r>
      <w:r w:rsidRPr="00970583">
        <w:rPr>
          <w:i/>
          <w:iCs/>
          <w:sz w:val="18"/>
          <w:szCs w:val="18"/>
        </w:rPr>
        <w:t>)</w:t>
      </w:r>
    </w:p>
    <w:tbl>
      <w:tblPr>
        <w:tblW w:w="4665" w:type="pct"/>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51"/>
        <w:gridCol w:w="1840"/>
        <w:gridCol w:w="1840"/>
        <w:gridCol w:w="1999"/>
      </w:tblGrid>
      <w:tr w:rsidR="00123DC4" w:rsidRPr="00970583" w:rsidTr="00132057">
        <w:trPr>
          <w:trHeight w:val="569"/>
        </w:trPr>
        <w:tc>
          <w:tcPr>
            <w:tcW w:w="1820"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970583" w:rsidRDefault="00123DC4" w:rsidP="00132057">
            <w:pPr>
              <w:keepNext/>
              <w:keepLines/>
              <w:autoSpaceDE w:val="0"/>
              <w:autoSpaceDN w:val="0"/>
              <w:adjustRightInd w:val="0"/>
              <w:spacing w:before="40" w:after="40" w:line="260" w:lineRule="exact"/>
              <w:ind w:left="-74" w:right="-60"/>
              <w:jc w:val="center"/>
              <w:rPr>
                <w:b/>
                <w:bCs/>
                <w:sz w:val="16"/>
                <w:szCs w:val="16"/>
              </w:rPr>
            </w:pPr>
            <w:r w:rsidRPr="00970583">
              <w:rPr>
                <w:b/>
                <w:bCs/>
                <w:sz w:val="16"/>
                <w:szCs w:val="16"/>
              </w:rPr>
              <w:t>Cost Category</w:t>
            </w:r>
          </w:p>
        </w:tc>
        <w:tc>
          <w:tcPr>
            <w:tcW w:w="1030"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970583" w:rsidRDefault="00123DC4" w:rsidP="00132057">
            <w:pPr>
              <w:keepNext/>
              <w:keepLines/>
              <w:autoSpaceDE w:val="0"/>
              <w:autoSpaceDN w:val="0"/>
              <w:adjustRightInd w:val="0"/>
              <w:spacing w:before="40" w:after="40" w:line="260" w:lineRule="exact"/>
              <w:ind w:left="-107" w:right="-108"/>
              <w:jc w:val="center"/>
              <w:rPr>
                <w:b/>
                <w:bCs/>
                <w:sz w:val="16"/>
                <w:szCs w:val="16"/>
              </w:rPr>
            </w:pPr>
            <w:r w:rsidRPr="00970583">
              <w:rPr>
                <w:b/>
                <w:bCs/>
                <w:sz w:val="16"/>
                <w:szCs w:val="16"/>
              </w:rPr>
              <w:t>Project Budget</w:t>
            </w:r>
          </w:p>
        </w:tc>
        <w:tc>
          <w:tcPr>
            <w:tcW w:w="1030"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970583" w:rsidRDefault="00123DC4" w:rsidP="00132057">
            <w:pPr>
              <w:keepNext/>
              <w:keepLines/>
              <w:autoSpaceDE w:val="0"/>
              <w:autoSpaceDN w:val="0"/>
              <w:adjustRightInd w:val="0"/>
              <w:spacing w:before="40" w:after="40" w:line="260" w:lineRule="exact"/>
              <w:ind w:left="-108"/>
              <w:jc w:val="center"/>
              <w:rPr>
                <w:b/>
                <w:bCs/>
                <w:sz w:val="16"/>
                <w:szCs w:val="16"/>
              </w:rPr>
            </w:pPr>
            <w:r w:rsidRPr="00970583">
              <w:rPr>
                <w:b/>
                <w:bCs/>
                <w:sz w:val="16"/>
                <w:szCs w:val="16"/>
              </w:rPr>
              <w:t xml:space="preserve">Actual Expenditure to Date </w:t>
            </w:r>
          </w:p>
        </w:tc>
        <w:tc>
          <w:tcPr>
            <w:tcW w:w="1119"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970583" w:rsidRDefault="00123DC4" w:rsidP="00132057">
            <w:pPr>
              <w:keepNext/>
              <w:keepLines/>
              <w:autoSpaceDE w:val="0"/>
              <w:autoSpaceDN w:val="0"/>
              <w:adjustRightInd w:val="0"/>
              <w:spacing w:before="40" w:after="40" w:line="260" w:lineRule="exact"/>
              <w:ind w:left="-109"/>
              <w:jc w:val="center"/>
              <w:rPr>
                <w:b/>
                <w:bCs/>
                <w:sz w:val="16"/>
                <w:szCs w:val="16"/>
              </w:rPr>
            </w:pPr>
            <w:r w:rsidRPr="00970583">
              <w:rPr>
                <w:b/>
                <w:bCs/>
                <w:sz w:val="16"/>
                <w:szCs w:val="16"/>
              </w:rPr>
              <w:t>Actual Budget Utilization</w:t>
            </w:r>
          </w:p>
        </w:tc>
      </w:tr>
      <w:tr w:rsidR="00123DC4" w:rsidRPr="00970583" w:rsidTr="00132057">
        <w:tc>
          <w:tcPr>
            <w:tcW w:w="1820" w:type="pct"/>
            <w:tcBorders>
              <w:top w:val="single" w:sz="4" w:space="0" w:color="auto"/>
              <w:left w:val="single" w:sz="4" w:space="0" w:color="auto"/>
              <w:bottom w:val="single" w:sz="4" w:space="0" w:color="auto"/>
              <w:right w:val="single" w:sz="4" w:space="0" w:color="auto"/>
            </w:tcBorders>
            <w:vAlign w:val="center"/>
          </w:tcPr>
          <w:p w:rsidR="00123DC4" w:rsidRPr="00970583" w:rsidRDefault="00123DC4" w:rsidP="00132057">
            <w:pPr>
              <w:autoSpaceDE w:val="0"/>
              <w:autoSpaceDN w:val="0"/>
              <w:adjustRightInd w:val="0"/>
              <w:spacing w:before="40" w:after="40"/>
              <w:rPr>
                <w:sz w:val="16"/>
                <w:szCs w:val="16"/>
              </w:rPr>
            </w:pPr>
            <w:r>
              <w:rPr>
                <w:sz w:val="16"/>
                <w:szCs w:val="16"/>
              </w:rPr>
              <w:t>Individual Contractual Services</w:t>
            </w:r>
          </w:p>
        </w:tc>
        <w:tc>
          <w:tcPr>
            <w:tcW w:w="1030" w:type="pct"/>
            <w:tcBorders>
              <w:top w:val="single" w:sz="4" w:space="0" w:color="auto"/>
              <w:left w:val="single" w:sz="4" w:space="0" w:color="auto"/>
              <w:bottom w:val="single" w:sz="4" w:space="0" w:color="auto"/>
              <w:right w:val="single" w:sz="4" w:space="0" w:color="auto"/>
            </w:tcBorders>
            <w:vAlign w:val="center"/>
          </w:tcPr>
          <w:p w:rsidR="00123DC4" w:rsidRPr="00800070" w:rsidRDefault="00123DC4" w:rsidP="00132057">
            <w:pPr>
              <w:autoSpaceDE w:val="0"/>
              <w:autoSpaceDN w:val="0"/>
              <w:adjustRightInd w:val="0"/>
              <w:spacing w:before="40" w:after="40" w:line="260" w:lineRule="exact"/>
              <w:jc w:val="center"/>
              <w:rPr>
                <w:sz w:val="16"/>
                <w:szCs w:val="16"/>
              </w:rPr>
            </w:pPr>
            <w:r>
              <w:rPr>
                <w:sz w:val="16"/>
                <w:szCs w:val="16"/>
              </w:rPr>
              <w:t>400,000</w:t>
            </w:r>
          </w:p>
        </w:tc>
        <w:tc>
          <w:tcPr>
            <w:tcW w:w="1030" w:type="pct"/>
            <w:tcBorders>
              <w:top w:val="single" w:sz="4" w:space="0" w:color="auto"/>
              <w:left w:val="single" w:sz="4" w:space="0" w:color="auto"/>
              <w:bottom w:val="single" w:sz="4" w:space="0" w:color="auto"/>
              <w:right w:val="single" w:sz="4" w:space="0" w:color="auto"/>
            </w:tcBorders>
            <w:vAlign w:val="center"/>
          </w:tcPr>
          <w:p w:rsidR="00123DC4" w:rsidRPr="00800070" w:rsidRDefault="00123DC4" w:rsidP="00132057">
            <w:pPr>
              <w:autoSpaceDE w:val="0"/>
              <w:autoSpaceDN w:val="0"/>
              <w:adjustRightInd w:val="0"/>
              <w:spacing w:before="40" w:after="40" w:line="260" w:lineRule="exact"/>
              <w:jc w:val="center"/>
              <w:rPr>
                <w:sz w:val="16"/>
                <w:szCs w:val="16"/>
              </w:rPr>
            </w:pPr>
            <w:r>
              <w:rPr>
                <w:sz w:val="16"/>
                <w:szCs w:val="16"/>
              </w:rPr>
              <w:t>36,000</w:t>
            </w:r>
          </w:p>
        </w:tc>
        <w:tc>
          <w:tcPr>
            <w:tcW w:w="1119" w:type="pct"/>
            <w:tcBorders>
              <w:top w:val="single" w:sz="4" w:space="0" w:color="auto"/>
              <w:left w:val="single" w:sz="4" w:space="0" w:color="auto"/>
              <w:bottom w:val="single" w:sz="4" w:space="0" w:color="auto"/>
              <w:right w:val="single" w:sz="4" w:space="0" w:color="auto"/>
            </w:tcBorders>
            <w:vAlign w:val="center"/>
          </w:tcPr>
          <w:p w:rsidR="00123DC4" w:rsidRPr="00800070" w:rsidRDefault="00123DC4" w:rsidP="00132057">
            <w:pPr>
              <w:autoSpaceDE w:val="0"/>
              <w:autoSpaceDN w:val="0"/>
              <w:adjustRightInd w:val="0"/>
              <w:spacing w:before="40" w:after="40" w:line="260" w:lineRule="exact"/>
              <w:jc w:val="center"/>
              <w:rPr>
                <w:sz w:val="16"/>
                <w:szCs w:val="16"/>
              </w:rPr>
            </w:pPr>
            <w:r>
              <w:rPr>
                <w:sz w:val="16"/>
                <w:szCs w:val="16"/>
              </w:rPr>
              <w:t>9%</w:t>
            </w:r>
          </w:p>
        </w:tc>
      </w:tr>
      <w:tr w:rsidR="00123DC4" w:rsidRPr="00970583" w:rsidTr="00132057">
        <w:tc>
          <w:tcPr>
            <w:tcW w:w="1820" w:type="pct"/>
            <w:tcBorders>
              <w:top w:val="single" w:sz="4" w:space="0" w:color="auto"/>
              <w:left w:val="single" w:sz="4" w:space="0" w:color="auto"/>
              <w:bottom w:val="single" w:sz="4" w:space="0" w:color="auto"/>
              <w:right w:val="single" w:sz="4" w:space="0" w:color="auto"/>
            </w:tcBorders>
            <w:vAlign w:val="center"/>
          </w:tcPr>
          <w:p w:rsidR="00123DC4" w:rsidRPr="00970583" w:rsidRDefault="00123DC4" w:rsidP="00132057">
            <w:pPr>
              <w:autoSpaceDE w:val="0"/>
              <w:autoSpaceDN w:val="0"/>
              <w:adjustRightInd w:val="0"/>
              <w:spacing w:before="40" w:after="40"/>
              <w:rPr>
                <w:sz w:val="16"/>
                <w:szCs w:val="16"/>
              </w:rPr>
            </w:pPr>
            <w:r>
              <w:rPr>
                <w:sz w:val="16"/>
                <w:szCs w:val="16"/>
              </w:rPr>
              <w:t>Contractual Services</w:t>
            </w:r>
          </w:p>
        </w:tc>
        <w:tc>
          <w:tcPr>
            <w:tcW w:w="1030" w:type="pct"/>
            <w:tcBorders>
              <w:top w:val="single" w:sz="4" w:space="0" w:color="auto"/>
              <w:left w:val="single" w:sz="4" w:space="0" w:color="auto"/>
              <w:bottom w:val="single" w:sz="4" w:space="0" w:color="auto"/>
              <w:right w:val="single" w:sz="4" w:space="0" w:color="auto"/>
            </w:tcBorders>
            <w:vAlign w:val="center"/>
          </w:tcPr>
          <w:p w:rsidR="00123DC4" w:rsidRPr="00800070" w:rsidRDefault="00123DC4" w:rsidP="00132057">
            <w:pPr>
              <w:autoSpaceDE w:val="0"/>
              <w:autoSpaceDN w:val="0"/>
              <w:adjustRightInd w:val="0"/>
              <w:spacing w:before="40" w:after="40" w:line="260" w:lineRule="exact"/>
              <w:jc w:val="center"/>
              <w:rPr>
                <w:sz w:val="16"/>
                <w:szCs w:val="16"/>
              </w:rPr>
            </w:pPr>
            <w:r>
              <w:rPr>
                <w:sz w:val="16"/>
                <w:szCs w:val="16"/>
              </w:rPr>
              <w:t>690,000</w:t>
            </w:r>
          </w:p>
        </w:tc>
        <w:tc>
          <w:tcPr>
            <w:tcW w:w="1030" w:type="pct"/>
            <w:tcBorders>
              <w:top w:val="single" w:sz="4" w:space="0" w:color="auto"/>
              <w:left w:val="single" w:sz="4" w:space="0" w:color="auto"/>
              <w:bottom w:val="single" w:sz="4" w:space="0" w:color="auto"/>
              <w:right w:val="single" w:sz="4" w:space="0" w:color="auto"/>
            </w:tcBorders>
            <w:vAlign w:val="center"/>
          </w:tcPr>
          <w:p w:rsidR="00123DC4" w:rsidRPr="00800070" w:rsidRDefault="00123DC4" w:rsidP="00132057">
            <w:pPr>
              <w:jc w:val="center"/>
              <w:rPr>
                <w:sz w:val="16"/>
                <w:szCs w:val="16"/>
              </w:rPr>
            </w:pPr>
            <w:r>
              <w:rPr>
                <w:sz w:val="16"/>
                <w:szCs w:val="16"/>
              </w:rPr>
              <w:t>39,170</w:t>
            </w:r>
          </w:p>
        </w:tc>
        <w:tc>
          <w:tcPr>
            <w:tcW w:w="1119" w:type="pct"/>
            <w:tcBorders>
              <w:top w:val="single" w:sz="4" w:space="0" w:color="auto"/>
              <w:left w:val="single" w:sz="4" w:space="0" w:color="auto"/>
              <w:bottom w:val="single" w:sz="4" w:space="0" w:color="auto"/>
              <w:right w:val="single" w:sz="4" w:space="0" w:color="auto"/>
            </w:tcBorders>
            <w:vAlign w:val="center"/>
          </w:tcPr>
          <w:p w:rsidR="00123DC4" w:rsidRPr="00800070" w:rsidRDefault="00123DC4" w:rsidP="00132057">
            <w:pPr>
              <w:jc w:val="center"/>
              <w:rPr>
                <w:sz w:val="16"/>
                <w:szCs w:val="16"/>
              </w:rPr>
            </w:pPr>
            <w:r>
              <w:rPr>
                <w:sz w:val="16"/>
                <w:szCs w:val="16"/>
              </w:rPr>
              <w:t>6%</w:t>
            </w:r>
          </w:p>
        </w:tc>
      </w:tr>
      <w:tr w:rsidR="00123DC4" w:rsidRPr="00970583" w:rsidTr="00132057">
        <w:tc>
          <w:tcPr>
            <w:tcW w:w="1820" w:type="pct"/>
            <w:tcBorders>
              <w:top w:val="single" w:sz="4" w:space="0" w:color="auto"/>
              <w:left w:val="single" w:sz="4" w:space="0" w:color="auto"/>
              <w:bottom w:val="single" w:sz="4" w:space="0" w:color="auto"/>
              <w:right w:val="single" w:sz="4" w:space="0" w:color="auto"/>
            </w:tcBorders>
            <w:vAlign w:val="center"/>
          </w:tcPr>
          <w:p w:rsidR="00123DC4" w:rsidRPr="00970583" w:rsidRDefault="00123DC4" w:rsidP="00132057">
            <w:pPr>
              <w:autoSpaceDE w:val="0"/>
              <w:autoSpaceDN w:val="0"/>
              <w:adjustRightInd w:val="0"/>
              <w:spacing w:before="40" w:after="40"/>
              <w:rPr>
                <w:sz w:val="16"/>
                <w:szCs w:val="16"/>
              </w:rPr>
            </w:pPr>
            <w:r>
              <w:rPr>
                <w:sz w:val="16"/>
                <w:szCs w:val="16"/>
              </w:rPr>
              <w:t xml:space="preserve">OpenText Software Support (Maintenance Fees) </w:t>
            </w:r>
          </w:p>
        </w:tc>
        <w:tc>
          <w:tcPr>
            <w:tcW w:w="1030" w:type="pct"/>
            <w:tcBorders>
              <w:top w:val="single" w:sz="4" w:space="0" w:color="auto"/>
              <w:left w:val="single" w:sz="4" w:space="0" w:color="auto"/>
              <w:bottom w:val="single" w:sz="4" w:space="0" w:color="auto"/>
              <w:right w:val="single" w:sz="4" w:space="0" w:color="auto"/>
            </w:tcBorders>
            <w:vAlign w:val="center"/>
          </w:tcPr>
          <w:p w:rsidR="00123DC4" w:rsidRPr="00800070" w:rsidRDefault="00123DC4" w:rsidP="00132057">
            <w:pPr>
              <w:autoSpaceDE w:val="0"/>
              <w:autoSpaceDN w:val="0"/>
              <w:adjustRightInd w:val="0"/>
              <w:spacing w:before="40" w:after="40" w:line="260" w:lineRule="exact"/>
              <w:jc w:val="center"/>
              <w:rPr>
                <w:sz w:val="16"/>
                <w:szCs w:val="16"/>
              </w:rPr>
            </w:pPr>
            <w:r>
              <w:rPr>
                <w:sz w:val="16"/>
                <w:szCs w:val="16"/>
              </w:rPr>
              <w:t>514,000</w:t>
            </w:r>
          </w:p>
        </w:tc>
        <w:tc>
          <w:tcPr>
            <w:tcW w:w="1030" w:type="pct"/>
            <w:tcBorders>
              <w:top w:val="single" w:sz="4" w:space="0" w:color="auto"/>
              <w:left w:val="single" w:sz="4" w:space="0" w:color="auto"/>
              <w:bottom w:val="single" w:sz="4" w:space="0" w:color="auto"/>
              <w:right w:val="single" w:sz="4" w:space="0" w:color="auto"/>
            </w:tcBorders>
            <w:vAlign w:val="center"/>
          </w:tcPr>
          <w:p w:rsidR="00123DC4" w:rsidRPr="00800070" w:rsidRDefault="00123DC4" w:rsidP="00132057">
            <w:pPr>
              <w:jc w:val="center"/>
              <w:rPr>
                <w:sz w:val="16"/>
                <w:szCs w:val="16"/>
              </w:rPr>
            </w:pPr>
            <w:r>
              <w:rPr>
                <w:sz w:val="16"/>
                <w:szCs w:val="16"/>
              </w:rPr>
              <w:t>0</w:t>
            </w:r>
          </w:p>
        </w:tc>
        <w:tc>
          <w:tcPr>
            <w:tcW w:w="1119" w:type="pct"/>
            <w:tcBorders>
              <w:top w:val="single" w:sz="4" w:space="0" w:color="auto"/>
              <w:left w:val="single" w:sz="4" w:space="0" w:color="auto"/>
              <w:bottom w:val="single" w:sz="4" w:space="0" w:color="auto"/>
              <w:right w:val="single" w:sz="4" w:space="0" w:color="auto"/>
            </w:tcBorders>
            <w:vAlign w:val="center"/>
          </w:tcPr>
          <w:p w:rsidR="00123DC4" w:rsidRPr="00800070" w:rsidRDefault="00123DC4" w:rsidP="00132057">
            <w:pPr>
              <w:jc w:val="center"/>
              <w:rPr>
                <w:sz w:val="16"/>
                <w:szCs w:val="16"/>
              </w:rPr>
            </w:pPr>
            <w:r>
              <w:rPr>
                <w:sz w:val="16"/>
                <w:szCs w:val="16"/>
              </w:rPr>
              <w:t>0%</w:t>
            </w:r>
          </w:p>
        </w:tc>
      </w:tr>
      <w:tr w:rsidR="00123DC4" w:rsidRPr="00970583" w:rsidTr="00132057">
        <w:tc>
          <w:tcPr>
            <w:tcW w:w="1820" w:type="pct"/>
            <w:tcBorders>
              <w:top w:val="single" w:sz="4" w:space="0" w:color="auto"/>
              <w:left w:val="single" w:sz="4" w:space="0" w:color="auto"/>
              <w:bottom w:val="single" w:sz="4" w:space="0" w:color="auto"/>
              <w:right w:val="single" w:sz="4" w:space="0" w:color="auto"/>
            </w:tcBorders>
            <w:vAlign w:val="center"/>
          </w:tcPr>
          <w:p w:rsidR="00123DC4" w:rsidRPr="00970583" w:rsidRDefault="00123DC4" w:rsidP="00132057">
            <w:pPr>
              <w:autoSpaceDE w:val="0"/>
              <w:autoSpaceDN w:val="0"/>
              <w:adjustRightInd w:val="0"/>
              <w:spacing w:before="40" w:after="40"/>
              <w:rPr>
                <w:sz w:val="16"/>
                <w:szCs w:val="16"/>
              </w:rPr>
            </w:pPr>
            <w:r>
              <w:rPr>
                <w:sz w:val="16"/>
                <w:szCs w:val="16"/>
              </w:rPr>
              <w:t>Hosting (UNICC)</w:t>
            </w:r>
          </w:p>
        </w:tc>
        <w:tc>
          <w:tcPr>
            <w:tcW w:w="1030" w:type="pct"/>
            <w:tcBorders>
              <w:top w:val="single" w:sz="4" w:space="0" w:color="auto"/>
              <w:left w:val="single" w:sz="4" w:space="0" w:color="auto"/>
              <w:bottom w:val="single" w:sz="4" w:space="0" w:color="auto"/>
              <w:right w:val="single" w:sz="4" w:space="0" w:color="auto"/>
            </w:tcBorders>
            <w:vAlign w:val="center"/>
          </w:tcPr>
          <w:p w:rsidR="00123DC4" w:rsidRPr="00800070" w:rsidRDefault="00123DC4" w:rsidP="00132057">
            <w:pPr>
              <w:autoSpaceDE w:val="0"/>
              <w:autoSpaceDN w:val="0"/>
              <w:adjustRightInd w:val="0"/>
              <w:spacing w:before="40" w:after="40" w:line="260" w:lineRule="exact"/>
              <w:jc w:val="center"/>
              <w:rPr>
                <w:sz w:val="16"/>
                <w:szCs w:val="16"/>
              </w:rPr>
            </w:pPr>
            <w:r>
              <w:rPr>
                <w:sz w:val="16"/>
                <w:szCs w:val="16"/>
              </w:rPr>
              <w:t>144,000</w:t>
            </w:r>
          </w:p>
        </w:tc>
        <w:tc>
          <w:tcPr>
            <w:tcW w:w="1030" w:type="pct"/>
            <w:tcBorders>
              <w:top w:val="single" w:sz="4" w:space="0" w:color="auto"/>
              <w:left w:val="single" w:sz="4" w:space="0" w:color="auto"/>
              <w:bottom w:val="single" w:sz="4" w:space="0" w:color="auto"/>
              <w:right w:val="single" w:sz="4" w:space="0" w:color="auto"/>
            </w:tcBorders>
            <w:vAlign w:val="center"/>
          </w:tcPr>
          <w:p w:rsidR="00123DC4" w:rsidRPr="00800070" w:rsidRDefault="00123DC4" w:rsidP="00132057">
            <w:pPr>
              <w:jc w:val="center"/>
              <w:rPr>
                <w:sz w:val="16"/>
                <w:szCs w:val="16"/>
              </w:rPr>
            </w:pPr>
            <w:r>
              <w:rPr>
                <w:sz w:val="16"/>
                <w:szCs w:val="16"/>
              </w:rPr>
              <w:t>0</w:t>
            </w:r>
          </w:p>
        </w:tc>
        <w:tc>
          <w:tcPr>
            <w:tcW w:w="1119" w:type="pct"/>
            <w:tcBorders>
              <w:top w:val="single" w:sz="4" w:space="0" w:color="auto"/>
              <w:left w:val="single" w:sz="4" w:space="0" w:color="auto"/>
              <w:bottom w:val="single" w:sz="4" w:space="0" w:color="auto"/>
              <w:right w:val="single" w:sz="4" w:space="0" w:color="auto"/>
            </w:tcBorders>
            <w:vAlign w:val="center"/>
          </w:tcPr>
          <w:p w:rsidR="00123DC4" w:rsidRPr="00800070" w:rsidRDefault="00123DC4" w:rsidP="00132057">
            <w:pPr>
              <w:jc w:val="center"/>
              <w:rPr>
                <w:sz w:val="16"/>
                <w:szCs w:val="16"/>
              </w:rPr>
            </w:pPr>
            <w:r>
              <w:rPr>
                <w:sz w:val="16"/>
                <w:szCs w:val="16"/>
              </w:rPr>
              <w:t>0%</w:t>
            </w:r>
          </w:p>
        </w:tc>
      </w:tr>
      <w:tr w:rsidR="00123DC4" w:rsidRPr="00970583" w:rsidTr="00132057">
        <w:tc>
          <w:tcPr>
            <w:tcW w:w="1820" w:type="pct"/>
            <w:tcBorders>
              <w:top w:val="single" w:sz="4" w:space="0" w:color="auto"/>
              <w:left w:val="single" w:sz="4" w:space="0" w:color="auto"/>
              <w:bottom w:val="single" w:sz="4" w:space="0" w:color="auto"/>
              <w:right w:val="single" w:sz="4" w:space="0" w:color="auto"/>
            </w:tcBorders>
            <w:vAlign w:val="center"/>
          </w:tcPr>
          <w:p w:rsidR="00123DC4" w:rsidRPr="00970583" w:rsidRDefault="00123DC4" w:rsidP="00132057">
            <w:pPr>
              <w:autoSpaceDE w:val="0"/>
              <w:autoSpaceDN w:val="0"/>
              <w:adjustRightInd w:val="0"/>
              <w:spacing w:before="40" w:after="40"/>
              <w:rPr>
                <w:sz w:val="16"/>
                <w:szCs w:val="16"/>
              </w:rPr>
            </w:pPr>
            <w:r>
              <w:rPr>
                <w:sz w:val="16"/>
                <w:szCs w:val="16"/>
              </w:rPr>
              <w:t>Miscellaneous and unforeseen</w:t>
            </w:r>
          </w:p>
        </w:tc>
        <w:tc>
          <w:tcPr>
            <w:tcW w:w="1030" w:type="pct"/>
            <w:tcBorders>
              <w:top w:val="single" w:sz="4" w:space="0" w:color="auto"/>
              <w:left w:val="single" w:sz="4" w:space="0" w:color="auto"/>
              <w:bottom w:val="single" w:sz="4" w:space="0" w:color="auto"/>
              <w:right w:val="single" w:sz="4" w:space="0" w:color="auto"/>
            </w:tcBorders>
            <w:vAlign w:val="center"/>
          </w:tcPr>
          <w:p w:rsidR="00123DC4" w:rsidRPr="00800070" w:rsidRDefault="00123DC4" w:rsidP="00132057">
            <w:pPr>
              <w:autoSpaceDE w:val="0"/>
              <w:autoSpaceDN w:val="0"/>
              <w:adjustRightInd w:val="0"/>
              <w:spacing w:before="40" w:after="40" w:line="260" w:lineRule="exact"/>
              <w:jc w:val="center"/>
              <w:rPr>
                <w:sz w:val="16"/>
                <w:szCs w:val="16"/>
              </w:rPr>
            </w:pPr>
            <w:r>
              <w:rPr>
                <w:sz w:val="16"/>
                <w:szCs w:val="16"/>
              </w:rPr>
              <w:t>320,000</w:t>
            </w:r>
          </w:p>
        </w:tc>
        <w:tc>
          <w:tcPr>
            <w:tcW w:w="1030" w:type="pct"/>
            <w:tcBorders>
              <w:top w:val="single" w:sz="4" w:space="0" w:color="auto"/>
              <w:left w:val="single" w:sz="4" w:space="0" w:color="auto"/>
              <w:bottom w:val="single" w:sz="4" w:space="0" w:color="auto"/>
              <w:right w:val="single" w:sz="4" w:space="0" w:color="auto"/>
            </w:tcBorders>
            <w:vAlign w:val="center"/>
          </w:tcPr>
          <w:p w:rsidR="00123DC4" w:rsidRPr="00800070" w:rsidRDefault="00123DC4" w:rsidP="00132057">
            <w:pPr>
              <w:jc w:val="center"/>
              <w:rPr>
                <w:sz w:val="16"/>
                <w:szCs w:val="16"/>
              </w:rPr>
            </w:pPr>
            <w:r>
              <w:rPr>
                <w:sz w:val="16"/>
                <w:szCs w:val="16"/>
              </w:rPr>
              <w:t>0</w:t>
            </w:r>
          </w:p>
        </w:tc>
        <w:tc>
          <w:tcPr>
            <w:tcW w:w="1119" w:type="pct"/>
            <w:tcBorders>
              <w:top w:val="single" w:sz="4" w:space="0" w:color="auto"/>
              <w:left w:val="single" w:sz="4" w:space="0" w:color="auto"/>
              <w:bottom w:val="single" w:sz="4" w:space="0" w:color="auto"/>
              <w:right w:val="single" w:sz="4" w:space="0" w:color="auto"/>
            </w:tcBorders>
            <w:vAlign w:val="center"/>
          </w:tcPr>
          <w:p w:rsidR="00123DC4" w:rsidRPr="00800070" w:rsidRDefault="00123DC4" w:rsidP="00132057">
            <w:pPr>
              <w:jc w:val="center"/>
              <w:rPr>
                <w:sz w:val="16"/>
                <w:szCs w:val="16"/>
              </w:rPr>
            </w:pPr>
            <w:r>
              <w:rPr>
                <w:sz w:val="16"/>
                <w:szCs w:val="16"/>
              </w:rPr>
              <w:t>0%</w:t>
            </w:r>
          </w:p>
        </w:tc>
      </w:tr>
      <w:tr w:rsidR="00123DC4" w:rsidRPr="00970583" w:rsidTr="00132057">
        <w:tc>
          <w:tcPr>
            <w:tcW w:w="1820"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970583" w:rsidRDefault="00123DC4" w:rsidP="00132057">
            <w:pPr>
              <w:autoSpaceDE w:val="0"/>
              <w:autoSpaceDN w:val="0"/>
              <w:adjustRightInd w:val="0"/>
              <w:spacing w:before="40" w:after="40" w:line="260" w:lineRule="exact"/>
              <w:rPr>
                <w:b/>
                <w:sz w:val="16"/>
                <w:szCs w:val="16"/>
              </w:rPr>
            </w:pPr>
            <w:r w:rsidRPr="00970583">
              <w:rPr>
                <w:b/>
                <w:sz w:val="16"/>
                <w:szCs w:val="16"/>
              </w:rPr>
              <w:t>Total</w:t>
            </w:r>
          </w:p>
        </w:tc>
        <w:tc>
          <w:tcPr>
            <w:tcW w:w="1030"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800070" w:rsidRDefault="00123DC4" w:rsidP="00132057">
            <w:pPr>
              <w:autoSpaceDE w:val="0"/>
              <w:autoSpaceDN w:val="0"/>
              <w:adjustRightInd w:val="0"/>
              <w:spacing w:before="40" w:after="40" w:line="260" w:lineRule="exact"/>
              <w:jc w:val="center"/>
              <w:rPr>
                <w:b/>
                <w:sz w:val="16"/>
                <w:szCs w:val="16"/>
              </w:rPr>
            </w:pPr>
            <w:r>
              <w:rPr>
                <w:b/>
                <w:sz w:val="16"/>
                <w:szCs w:val="16"/>
              </w:rPr>
              <w:t>2,068,000</w:t>
            </w:r>
          </w:p>
        </w:tc>
        <w:tc>
          <w:tcPr>
            <w:tcW w:w="1030"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800070" w:rsidRDefault="00123DC4" w:rsidP="00132057">
            <w:pPr>
              <w:autoSpaceDE w:val="0"/>
              <w:autoSpaceDN w:val="0"/>
              <w:adjustRightInd w:val="0"/>
              <w:spacing w:before="40" w:after="40" w:line="260" w:lineRule="exact"/>
              <w:jc w:val="center"/>
              <w:rPr>
                <w:b/>
                <w:sz w:val="16"/>
                <w:szCs w:val="16"/>
              </w:rPr>
            </w:pPr>
            <w:r>
              <w:rPr>
                <w:b/>
                <w:sz w:val="16"/>
                <w:szCs w:val="16"/>
              </w:rPr>
              <w:t>75,170</w:t>
            </w:r>
          </w:p>
        </w:tc>
        <w:tc>
          <w:tcPr>
            <w:tcW w:w="1119" w:type="pct"/>
            <w:tcBorders>
              <w:top w:val="single" w:sz="4" w:space="0" w:color="auto"/>
              <w:left w:val="single" w:sz="4" w:space="0" w:color="auto"/>
              <w:bottom w:val="single" w:sz="4" w:space="0" w:color="auto"/>
              <w:right w:val="single" w:sz="4" w:space="0" w:color="auto"/>
            </w:tcBorders>
            <w:shd w:val="clear" w:color="auto" w:fill="C6D9F1" w:themeFill="text2" w:themeFillTint="33"/>
          </w:tcPr>
          <w:p w:rsidR="00123DC4" w:rsidRPr="00800070" w:rsidRDefault="00123DC4" w:rsidP="00132057">
            <w:pPr>
              <w:autoSpaceDE w:val="0"/>
              <w:autoSpaceDN w:val="0"/>
              <w:adjustRightInd w:val="0"/>
              <w:spacing w:before="40" w:after="40" w:line="260" w:lineRule="exact"/>
              <w:jc w:val="center"/>
              <w:rPr>
                <w:b/>
                <w:sz w:val="16"/>
                <w:szCs w:val="16"/>
              </w:rPr>
            </w:pPr>
          </w:p>
        </w:tc>
      </w:tr>
    </w:tbl>
    <w:p w:rsidR="00123DC4" w:rsidRDefault="00123DC4">
      <w:pPr>
        <w:spacing w:after="200" w:line="276" w:lineRule="auto"/>
        <w:rPr>
          <w:rFonts w:cs="Arial"/>
          <w:color w:val="000000"/>
          <w:sz w:val="22"/>
          <w:szCs w:val="22"/>
        </w:rPr>
      </w:pPr>
      <w:r>
        <w:rPr>
          <w:rFonts w:cs="Arial"/>
          <w:color w:val="000000"/>
          <w:sz w:val="22"/>
          <w:szCs w:val="22"/>
        </w:rPr>
        <w:br w:type="page"/>
      </w:r>
    </w:p>
    <w:p w:rsidR="00123DC4" w:rsidRDefault="00123DC4" w:rsidP="00132057">
      <w:pPr>
        <w:rPr>
          <w:rFonts w:cs="Arial"/>
          <w:color w:val="000000"/>
          <w:sz w:val="22"/>
          <w:szCs w:val="22"/>
        </w:rPr>
      </w:pPr>
    </w:p>
    <w:p w:rsidR="00123DC4" w:rsidRDefault="00123DC4" w:rsidP="00132057">
      <w:pPr>
        <w:rPr>
          <w:rFonts w:cs="Arial"/>
          <w:color w:val="000000"/>
          <w:sz w:val="22"/>
          <w:szCs w:val="22"/>
        </w:rPr>
      </w:pPr>
      <w:r>
        <w:rPr>
          <w:rFonts w:cs="Arial"/>
          <w:color w:val="000000"/>
          <w:sz w:val="22"/>
          <w:szCs w:val="22"/>
        </w:rPr>
        <w:t>PROJECT TIMELINE BY MILESTONE</w:t>
      </w:r>
    </w:p>
    <w:p w:rsidR="00123DC4" w:rsidRDefault="00123DC4" w:rsidP="00132057">
      <w:pPr>
        <w:autoSpaceDE w:val="0"/>
        <w:autoSpaceDN w:val="0"/>
        <w:jc w:val="both"/>
      </w:pPr>
    </w:p>
    <w:tbl>
      <w:tblPr>
        <w:tblW w:w="9520" w:type="dxa"/>
        <w:jc w:val="center"/>
        <w:tblInd w:w="93" w:type="dxa"/>
        <w:tblLook w:val="04A0" w:firstRow="1" w:lastRow="0" w:firstColumn="1" w:lastColumn="0" w:noHBand="0" w:noVBand="1"/>
      </w:tblPr>
      <w:tblGrid>
        <w:gridCol w:w="2060"/>
        <w:gridCol w:w="430"/>
        <w:gridCol w:w="480"/>
        <w:gridCol w:w="480"/>
        <w:gridCol w:w="480"/>
        <w:gridCol w:w="480"/>
        <w:gridCol w:w="480"/>
        <w:gridCol w:w="480"/>
        <w:gridCol w:w="480"/>
        <w:gridCol w:w="480"/>
        <w:gridCol w:w="480"/>
        <w:gridCol w:w="480"/>
        <w:gridCol w:w="480"/>
        <w:gridCol w:w="480"/>
        <w:gridCol w:w="480"/>
        <w:gridCol w:w="480"/>
        <w:gridCol w:w="480"/>
      </w:tblGrid>
      <w:tr w:rsidR="00123DC4" w:rsidRPr="00656CC0" w:rsidTr="00132057">
        <w:trPr>
          <w:trHeight w:val="270"/>
          <w:tblHeader/>
          <w:jc w:val="center"/>
        </w:trPr>
        <w:tc>
          <w:tcPr>
            <w:tcW w:w="2060" w:type="dxa"/>
            <w:tcBorders>
              <w:top w:val="nil"/>
              <w:left w:val="nil"/>
              <w:bottom w:val="nil"/>
              <w:right w:val="nil"/>
            </w:tcBorders>
            <w:shd w:val="clear" w:color="auto" w:fill="auto"/>
            <w:noWrap/>
            <w:vAlign w:val="bottom"/>
            <w:hideMark/>
          </w:tcPr>
          <w:p w:rsidR="00123DC4" w:rsidRPr="00656CC0" w:rsidRDefault="00123DC4" w:rsidP="00132057">
            <w:pPr>
              <w:rPr>
                <w:rFonts w:cs="Arial"/>
                <w:color w:val="000000"/>
                <w:sz w:val="16"/>
                <w:szCs w:val="16"/>
              </w:rPr>
            </w:pPr>
          </w:p>
        </w:tc>
        <w:tc>
          <w:tcPr>
            <w:tcW w:w="1700" w:type="dxa"/>
            <w:gridSpan w:val="4"/>
            <w:tcBorders>
              <w:top w:val="single" w:sz="8" w:space="0" w:color="auto"/>
              <w:left w:val="single" w:sz="8" w:space="0" w:color="auto"/>
              <w:bottom w:val="single" w:sz="4" w:space="0" w:color="auto"/>
              <w:right w:val="single" w:sz="8" w:space="0" w:color="000000"/>
            </w:tcBorders>
            <w:shd w:val="clear" w:color="auto" w:fill="C6D9F1" w:themeFill="text2" w:themeFillTint="33"/>
            <w:noWrap/>
            <w:vAlign w:val="bottom"/>
            <w:hideMark/>
          </w:tcPr>
          <w:p w:rsidR="00123DC4" w:rsidRPr="00656CC0" w:rsidRDefault="00123DC4" w:rsidP="00132057">
            <w:pPr>
              <w:jc w:val="center"/>
              <w:rPr>
                <w:rFonts w:cs="Arial"/>
                <w:b/>
                <w:bCs/>
                <w:color w:val="000000"/>
                <w:sz w:val="16"/>
                <w:szCs w:val="16"/>
              </w:rPr>
            </w:pPr>
            <w:r w:rsidRPr="00656CC0">
              <w:rPr>
                <w:rFonts w:cs="Arial"/>
                <w:b/>
                <w:bCs/>
                <w:color w:val="000000"/>
                <w:sz w:val="16"/>
                <w:szCs w:val="16"/>
              </w:rPr>
              <w:t>2014</w:t>
            </w:r>
          </w:p>
        </w:tc>
        <w:tc>
          <w:tcPr>
            <w:tcW w:w="1920" w:type="dxa"/>
            <w:gridSpan w:val="4"/>
            <w:tcBorders>
              <w:top w:val="single" w:sz="8" w:space="0" w:color="auto"/>
              <w:left w:val="nil"/>
              <w:bottom w:val="single" w:sz="4" w:space="0" w:color="auto"/>
              <w:right w:val="single" w:sz="8" w:space="0" w:color="000000"/>
            </w:tcBorders>
            <w:shd w:val="clear" w:color="auto" w:fill="C6D9F1" w:themeFill="text2" w:themeFillTint="33"/>
            <w:noWrap/>
            <w:vAlign w:val="bottom"/>
            <w:hideMark/>
          </w:tcPr>
          <w:p w:rsidR="00123DC4" w:rsidRPr="00656CC0" w:rsidRDefault="00123DC4" w:rsidP="00132057">
            <w:pPr>
              <w:jc w:val="center"/>
              <w:rPr>
                <w:rFonts w:cs="Arial"/>
                <w:b/>
                <w:bCs/>
                <w:color w:val="000000"/>
                <w:sz w:val="16"/>
                <w:szCs w:val="16"/>
              </w:rPr>
            </w:pPr>
            <w:r w:rsidRPr="00656CC0">
              <w:rPr>
                <w:rFonts w:cs="Arial"/>
                <w:b/>
                <w:bCs/>
                <w:color w:val="000000"/>
                <w:sz w:val="16"/>
                <w:szCs w:val="16"/>
              </w:rPr>
              <w:t>2015</w:t>
            </w:r>
          </w:p>
        </w:tc>
        <w:tc>
          <w:tcPr>
            <w:tcW w:w="1920" w:type="dxa"/>
            <w:gridSpan w:val="4"/>
            <w:tcBorders>
              <w:top w:val="single" w:sz="8" w:space="0" w:color="auto"/>
              <w:left w:val="nil"/>
              <w:bottom w:val="single" w:sz="4" w:space="0" w:color="auto"/>
              <w:right w:val="single" w:sz="8" w:space="0" w:color="000000"/>
            </w:tcBorders>
            <w:shd w:val="clear" w:color="auto" w:fill="C6D9F1" w:themeFill="text2" w:themeFillTint="33"/>
            <w:noWrap/>
            <w:vAlign w:val="bottom"/>
            <w:hideMark/>
          </w:tcPr>
          <w:p w:rsidR="00123DC4" w:rsidRPr="00656CC0" w:rsidRDefault="00123DC4" w:rsidP="00132057">
            <w:pPr>
              <w:jc w:val="center"/>
              <w:rPr>
                <w:rFonts w:cs="Arial"/>
                <w:b/>
                <w:bCs/>
                <w:color w:val="000000"/>
                <w:sz w:val="16"/>
                <w:szCs w:val="16"/>
              </w:rPr>
            </w:pPr>
            <w:r w:rsidRPr="00656CC0">
              <w:rPr>
                <w:rFonts w:cs="Arial"/>
                <w:b/>
                <w:bCs/>
                <w:color w:val="000000"/>
                <w:sz w:val="16"/>
                <w:szCs w:val="16"/>
              </w:rPr>
              <w:t>2016</w:t>
            </w:r>
          </w:p>
        </w:tc>
        <w:tc>
          <w:tcPr>
            <w:tcW w:w="1920" w:type="dxa"/>
            <w:gridSpan w:val="4"/>
            <w:tcBorders>
              <w:top w:val="single" w:sz="8" w:space="0" w:color="auto"/>
              <w:left w:val="nil"/>
              <w:bottom w:val="single" w:sz="4" w:space="0" w:color="auto"/>
              <w:right w:val="single" w:sz="8" w:space="0" w:color="000000"/>
            </w:tcBorders>
            <w:shd w:val="clear" w:color="auto" w:fill="C6D9F1" w:themeFill="text2" w:themeFillTint="33"/>
            <w:noWrap/>
            <w:vAlign w:val="bottom"/>
            <w:hideMark/>
          </w:tcPr>
          <w:p w:rsidR="00123DC4" w:rsidRPr="00656CC0" w:rsidRDefault="00123DC4" w:rsidP="00132057">
            <w:pPr>
              <w:jc w:val="center"/>
              <w:rPr>
                <w:rFonts w:cs="Arial"/>
                <w:b/>
                <w:bCs/>
                <w:color w:val="000000"/>
                <w:sz w:val="16"/>
                <w:szCs w:val="16"/>
              </w:rPr>
            </w:pPr>
            <w:r w:rsidRPr="00656CC0">
              <w:rPr>
                <w:rFonts w:cs="Arial"/>
                <w:b/>
                <w:bCs/>
                <w:color w:val="000000"/>
                <w:sz w:val="16"/>
                <w:szCs w:val="16"/>
              </w:rPr>
              <w:t>2017</w:t>
            </w:r>
          </w:p>
        </w:tc>
      </w:tr>
      <w:tr w:rsidR="00123DC4" w:rsidRPr="00656CC0" w:rsidTr="00132057">
        <w:trPr>
          <w:trHeight w:val="375"/>
          <w:tblHeader/>
          <w:jc w:val="center"/>
        </w:trPr>
        <w:tc>
          <w:tcPr>
            <w:tcW w:w="2060" w:type="dxa"/>
            <w:tcBorders>
              <w:top w:val="single" w:sz="8" w:space="0" w:color="auto"/>
              <w:left w:val="single" w:sz="8" w:space="0" w:color="auto"/>
              <w:bottom w:val="single" w:sz="4" w:space="0" w:color="auto"/>
              <w:right w:val="single" w:sz="8" w:space="0" w:color="auto"/>
            </w:tcBorders>
            <w:shd w:val="clear" w:color="auto" w:fill="C6D9F1" w:themeFill="text2" w:themeFillTint="33"/>
            <w:noWrap/>
            <w:vAlign w:val="bottom"/>
            <w:hideMark/>
          </w:tcPr>
          <w:p w:rsidR="00123DC4" w:rsidRPr="00656CC0" w:rsidRDefault="00123DC4" w:rsidP="00132057">
            <w:pPr>
              <w:rPr>
                <w:rFonts w:cs="Arial"/>
                <w:b/>
                <w:bCs/>
                <w:color w:val="000000"/>
                <w:sz w:val="16"/>
                <w:szCs w:val="16"/>
              </w:rPr>
            </w:pPr>
            <w:r>
              <w:rPr>
                <w:rFonts w:cs="Arial"/>
                <w:b/>
                <w:bCs/>
                <w:color w:val="000000"/>
                <w:sz w:val="16"/>
                <w:szCs w:val="16"/>
              </w:rPr>
              <w:t>Key Milestone</w:t>
            </w:r>
          </w:p>
        </w:tc>
        <w:tc>
          <w:tcPr>
            <w:tcW w:w="260" w:type="dxa"/>
            <w:tcBorders>
              <w:top w:val="nil"/>
              <w:left w:val="nil"/>
              <w:bottom w:val="single" w:sz="4" w:space="0" w:color="auto"/>
              <w:right w:val="single" w:sz="4" w:space="0" w:color="auto"/>
            </w:tcBorders>
            <w:shd w:val="clear" w:color="auto" w:fill="C6D9F1" w:themeFill="text2" w:themeFillTint="33"/>
            <w:noWrap/>
            <w:vAlign w:val="bottom"/>
            <w:hideMark/>
          </w:tcPr>
          <w:p w:rsidR="00123DC4" w:rsidRPr="00656CC0" w:rsidRDefault="00123DC4" w:rsidP="00132057">
            <w:pPr>
              <w:rPr>
                <w:rFonts w:cs="Arial"/>
                <w:b/>
                <w:bCs/>
                <w:color w:val="000000"/>
                <w:sz w:val="16"/>
                <w:szCs w:val="16"/>
              </w:rPr>
            </w:pPr>
            <w:r w:rsidRPr="00656CC0">
              <w:rPr>
                <w:rFonts w:cs="Arial"/>
                <w:b/>
                <w:bCs/>
                <w:color w:val="000000"/>
                <w:sz w:val="16"/>
                <w:szCs w:val="16"/>
              </w:rPr>
              <w:t>Q1</w:t>
            </w:r>
          </w:p>
        </w:tc>
        <w:tc>
          <w:tcPr>
            <w:tcW w:w="480" w:type="dxa"/>
            <w:tcBorders>
              <w:top w:val="nil"/>
              <w:left w:val="nil"/>
              <w:bottom w:val="single" w:sz="4" w:space="0" w:color="auto"/>
              <w:right w:val="single" w:sz="4" w:space="0" w:color="auto"/>
            </w:tcBorders>
            <w:shd w:val="clear" w:color="auto" w:fill="C6D9F1" w:themeFill="text2" w:themeFillTint="33"/>
            <w:noWrap/>
            <w:vAlign w:val="bottom"/>
            <w:hideMark/>
          </w:tcPr>
          <w:p w:rsidR="00123DC4" w:rsidRPr="00656CC0" w:rsidRDefault="00123DC4" w:rsidP="00132057">
            <w:pPr>
              <w:rPr>
                <w:rFonts w:cs="Arial"/>
                <w:b/>
                <w:bCs/>
                <w:color w:val="000000"/>
                <w:sz w:val="16"/>
                <w:szCs w:val="16"/>
              </w:rPr>
            </w:pPr>
            <w:r w:rsidRPr="00656CC0">
              <w:rPr>
                <w:rFonts w:cs="Arial"/>
                <w:b/>
                <w:bCs/>
                <w:color w:val="000000"/>
                <w:sz w:val="16"/>
                <w:szCs w:val="16"/>
              </w:rPr>
              <w:t>Q2</w:t>
            </w:r>
          </w:p>
        </w:tc>
        <w:tc>
          <w:tcPr>
            <w:tcW w:w="480" w:type="dxa"/>
            <w:tcBorders>
              <w:top w:val="nil"/>
              <w:left w:val="nil"/>
              <w:bottom w:val="single" w:sz="4" w:space="0" w:color="auto"/>
              <w:right w:val="single" w:sz="4" w:space="0" w:color="auto"/>
            </w:tcBorders>
            <w:shd w:val="clear" w:color="auto" w:fill="C6D9F1" w:themeFill="text2" w:themeFillTint="33"/>
            <w:noWrap/>
            <w:vAlign w:val="bottom"/>
            <w:hideMark/>
          </w:tcPr>
          <w:p w:rsidR="00123DC4" w:rsidRPr="00656CC0" w:rsidRDefault="00123DC4" w:rsidP="00132057">
            <w:pPr>
              <w:rPr>
                <w:rFonts w:cs="Arial"/>
                <w:b/>
                <w:bCs/>
                <w:color w:val="000000"/>
                <w:sz w:val="16"/>
                <w:szCs w:val="16"/>
              </w:rPr>
            </w:pPr>
            <w:r w:rsidRPr="00656CC0">
              <w:rPr>
                <w:rFonts w:cs="Arial"/>
                <w:b/>
                <w:bCs/>
                <w:color w:val="000000"/>
                <w:sz w:val="16"/>
                <w:szCs w:val="16"/>
              </w:rPr>
              <w:t>Q3</w:t>
            </w:r>
          </w:p>
        </w:tc>
        <w:tc>
          <w:tcPr>
            <w:tcW w:w="480" w:type="dxa"/>
            <w:tcBorders>
              <w:top w:val="nil"/>
              <w:left w:val="nil"/>
              <w:bottom w:val="single" w:sz="4" w:space="0" w:color="auto"/>
              <w:right w:val="single" w:sz="8" w:space="0" w:color="auto"/>
            </w:tcBorders>
            <w:shd w:val="clear" w:color="auto" w:fill="C6D9F1" w:themeFill="text2" w:themeFillTint="33"/>
            <w:noWrap/>
            <w:vAlign w:val="bottom"/>
            <w:hideMark/>
          </w:tcPr>
          <w:p w:rsidR="00123DC4" w:rsidRPr="00656CC0" w:rsidRDefault="00123DC4" w:rsidP="00132057">
            <w:pPr>
              <w:rPr>
                <w:rFonts w:cs="Arial"/>
                <w:b/>
                <w:bCs/>
                <w:color w:val="000000"/>
                <w:sz w:val="16"/>
                <w:szCs w:val="16"/>
              </w:rPr>
            </w:pPr>
            <w:r w:rsidRPr="00656CC0">
              <w:rPr>
                <w:rFonts w:cs="Arial"/>
                <w:b/>
                <w:bCs/>
                <w:color w:val="000000"/>
                <w:sz w:val="16"/>
                <w:szCs w:val="16"/>
              </w:rPr>
              <w:t>Q4</w:t>
            </w:r>
          </w:p>
        </w:tc>
        <w:tc>
          <w:tcPr>
            <w:tcW w:w="480" w:type="dxa"/>
            <w:tcBorders>
              <w:top w:val="nil"/>
              <w:left w:val="nil"/>
              <w:bottom w:val="single" w:sz="4" w:space="0" w:color="auto"/>
              <w:right w:val="single" w:sz="4" w:space="0" w:color="auto"/>
            </w:tcBorders>
            <w:shd w:val="clear" w:color="auto" w:fill="C6D9F1" w:themeFill="text2" w:themeFillTint="33"/>
            <w:noWrap/>
            <w:vAlign w:val="bottom"/>
            <w:hideMark/>
          </w:tcPr>
          <w:p w:rsidR="00123DC4" w:rsidRPr="00656CC0" w:rsidRDefault="00123DC4" w:rsidP="00132057">
            <w:pPr>
              <w:rPr>
                <w:rFonts w:cs="Arial"/>
                <w:b/>
                <w:bCs/>
                <w:color w:val="000000"/>
                <w:sz w:val="16"/>
                <w:szCs w:val="16"/>
              </w:rPr>
            </w:pPr>
            <w:r w:rsidRPr="00656CC0">
              <w:rPr>
                <w:rFonts w:cs="Arial"/>
                <w:b/>
                <w:bCs/>
                <w:color w:val="000000"/>
                <w:sz w:val="16"/>
                <w:szCs w:val="16"/>
              </w:rPr>
              <w:t>Q1</w:t>
            </w:r>
          </w:p>
        </w:tc>
        <w:tc>
          <w:tcPr>
            <w:tcW w:w="480" w:type="dxa"/>
            <w:tcBorders>
              <w:top w:val="nil"/>
              <w:left w:val="nil"/>
              <w:bottom w:val="single" w:sz="4" w:space="0" w:color="auto"/>
              <w:right w:val="single" w:sz="4" w:space="0" w:color="auto"/>
            </w:tcBorders>
            <w:shd w:val="clear" w:color="auto" w:fill="C6D9F1" w:themeFill="text2" w:themeFillTint="33"/>
            <w:noWrap/>
            <w:vAlign w:val="bottom"/>
            <w:hideMark/>
          </w:tcPr>
          <w:p w:rsidR="00123DC4" w:rsidRPr="00656CC0" w:rsidRDefault="00123DC4" w:rsidP="00132057">
            <w:pPr>
              <w:rPr>
                <w:rFonts w:cs="Arial"/>
                <w:b/>
                <w:bCs/>
                <w:color w:val="000000"/>
                <w:sz w:val="16"/>
                <w:szCs w:val="16"/>
              </w:rPr>
            </w:pPr>
            <w:r w:rsidRPr="00656CC0">
              <w:rPr>
                <w:rFonts w:cs="Arial"/>
                <w:b/>
                <w:bCs/>
                <w:color w:val="000000"/>
                <w:sz w:val="16"/>
                <w:szCs w:val="16"/>
              </w:rPr>
              <w:t>Q2</w:t>
            </w:r>
          </w:p>
        </w:tc>
        <w:tc>
          <w:tcPr>
            <w:tcW w:w="480" w:type="dxa"/>
            <w:tcBorders>
              <w:top w:val="nil"/>
              <w:left w:val="nil"/>
              <w:bottom w:val="single" w:sz="4" w:space="0" w:color="auto"/>
              <w:right w:val="single" w:sz="4" w:space="0" w:color="auto"/>
            </w:tcBorders>
            <w:shd w:val="clear" w:color="auto" w:fill="C6D9F1" w:themeFill="text2" w:themeFillTint="33"/>
            <w:noWrap/>
            <w:vAlign w:val="bottom"/>
            <w:hideMark/>
          </w:tcPr>
          <w:p w:rsidR="00123DC4" w:rsidRPr="00656CC0" w:rsidRDefault="00123DC4" w:rsidP="00132057">
            <w:pPr>
              <w:rPr>
                <w:rFonts w:cs="Arial"/>
                <w:b/>
                <w:bCs/>
                <w:color w:val="000000"/>
                <w:sz w:val="16"/>
                <w:szCs w:val="16"/>
              </w:rPr>
            </w:pPr>
            <w:r w:rsidRPr="00656CC0">
              <w:rPr>
                <w:rFonts w:cs="Arial"/>
                <w:b/>
                <w:bCs/>
                <w:color w:val="000000"/>
                <w:sz w:val="16"/>
                <w:szCs w:val="16"/>
              </w:rPr>
              <w:t>Q3</w:t>
            </w:r>
          </w:p>
        </w:tc>
        <w:tc>
          <w:tcPr>
            <w:tcW w:w="480" w:type="dxa"/>
            <w:tcBorders>
              <w:top w:val="nil"/>
              <w:left w:val="nil"/>
              <w:bottom w:val="single" w:sz="4" w:space="0" w:color="auto"/>
              <w:right w:val="single" w:sz="8" w:space="0" w:color="auto"/>
            </w:tcBorders>
            <w:shd w:val="clear" w:color="auto" w:fill="C6D9F1" w:themeFill="text2" w:themeFillTint="33"/>
            <w:noWrap/>
            <w:vAlign w:val="bottom"/>
            <w:hideMark/>
          </w:tcPr>
          <w:p w:rsidR="00123DC4" w:rsidRPr="00656CC0" w:rsidRDefault="00123DC4" w:rsidP="00132057">
            <w:pPr>
              <w:rPr>
                <w:rFonts w:cs="Arial"/>
                <w:b/>
                <w:bCs/>
                <w:color w:val="000000"/>
                <w:sz w:val="16"/>
                <w:szCs w:val="16"/>
              </w:rPr>
            </w:pPr>
            <w:r w:rsidRPr="00656CC0">
              <w:rPr>
                <w:rFonts w:cs="Arial"/>
                <w:b/>
                <w:bCs/>
                <w:color w:val="000000"/>
                <w:sz w:val="16"/>
                <w:szCs w:val="16"/>
              </w:rPr>
              <w:t>Q4</w:t>
            </w:r>
          </w:p>
        </w:tc>
        <w:tc>
          <w:tcPr>
            <w:tcW w:w="480" w:type="dxa"/>
            <w:tcBorders>
              <w:top w:val="nil"/>
              <w:left w:val="nil"/>
              <w:bottom w:val="single" w:sz="4" w:space="0" w:color="auto"/>
              <w:right w:val="single" w:sz="4" w:space="0" w:color="auto"/>
            </w:tcBorders>
            <w:shd w:val="clear" w:color="auto" w:fill="C6D9F1" w:themeFill="text2" w:themeFillTint="33"/>
            <w:noWrap/>
            <w:vAlign w:val="bottom"/>
            <w:hideMark/>
          </w:tcPr>
          <w:p w:rsidR="00123DC4" w:rsidRPr="00656CC0" w:rsidRDefault="00123DC4" w:rsidP="00132057">
            <w:pPr>
              <w:rPr>
                <w:rFonts w:cs="Arial"/>
                <w:b/>
                <w:bCs/>
                <w:color w:val="000000"/>
                <w:sz w:val="16"/>
                <w:szCs w:val="16"/>
              </w:rPr>
            </w:pPr>
            <w:r w:rsidRPr="00656CC0">
              <w:rPr>
                <w:rFonts w:cs="Arial"/>
                <w:b/>
                <w:bCs/>
                <w:color w:val="000000"/>
                <w:sz w:val="16"/>
                <w:szCs w:val="16"/>
              </w:rPr>
              <w:t>Q1</w:t>
            </w:r>
          </w:p>
        </w:tc>
        <w:tc>
          <w:tcPr>
            <w:tcW w:w="480" w:type="dxa"/>
            <w:tcBorders>
              <w:top w:val="nil"/>
              <w:left w:val="nil"/>
              <w:bottom w:val="single" w:sz="4" w:space="0" w:color="auto"/>
              <w:right w:val="single" w:sz="4" w:space="0" w:color="auto"/>
            </w:tcBorders>
            <w:shd w:val="clear" w:color="auto" w:fill="C6D9F1" w:themeFill="text2" w:themeFillTint="33"/>
            <w:noWrap/>
            <w:vAlign w:val="bottom"/>
            <w:hideMark/>
          </w:tcPr>
          <w:p w:rsidR="00123DC4" w:rsidRPr="00656CC0" w:rsidRDefault="00123DC4" w:rsidP="00132057">
            <w:pPr>
              <w:rPr>
                <w:rFonts w:cs="Arial"/>
                <w:b/>
                <w:bCs/>
                <w:color w:val="000000"/>
                <w:sz w:val="16"/>
                <w:szCs w:val="16"/>
              </w:rPr>
            </w:pPr>
            <w:r w:rsidRPr="00656CC0">
              <w:rPr>
                <w:rFonts w:cs="Arial"/>
                <w:b/>
                <w:bCs/>
                <w:color w:val="000000"/>
                <w:sz w:val="16"/>
                <w:szCs w:val="16"/>
              </w:rPr>
              <w:t>Q2</w:t>
            </w:r>
          </w:p>
        </w:tc>
        <w:tc>
          <w:tcPr>
            <w:tcW w:w="480" w:type="dxa"/>
            <w:tcBorders>
              <w:top w:val="nil"/>
              <w:left w:val="nil"/>
              <w:bottom w:val="single" w:sz="4" w:space="0" w:color="auto"/>
              <w:right w:val="single" w:sz="4" w:space="0" w:color="auto"/>
            </w:tcBorders>
            <w:shd w:val="clear" w:color="auto" w:fill="C6D9F1" w:themeFill="text2" w:themeFillTint="33"/>
            <w:noWrap/>
            <w:vAlign w:val="bottom"/>
            <w:hideMark/>
          </w:tcPr>
          <w:p w:rsidR="00123DC4" w:rsidRPr="00656CC0" w:rsidRDefault="00123DC4" w:rsidP="00132057">
            <w:pPr>
              <w:rPr>
                <w:rFonts w:cs="Arial"/>
                <w:b/>
                <w:bCs/>
                <w:color w:val="000000"/>
                <w:sz w:val="16"/>
                <w:szCs w:val="16"/>
              </w:rPr>
            </w:pPr>
            <w:r w:rsidRPr="00656CC0">
              <w:rPr>
                <w:rFonts w:cs="Arial"/>
                <w:b/>
                <w:bCs/>
                <w:color w:val="000000"/>
                <w:sz w:val="16"/>
                <w:szCs w:val="16"/>
              </w:rPr>
              <w:t>Q3</w:t>
            </w:r>
          </w:p>
        </w:tc>
        <w:tc>
          <w:tcPr>
            <w:tcW w:w="480" w:type="dxa"/>
            <w:tcBorders>
              <w:top w:val="nil"/>
              <w:left w:val="nil"/>
              <w:bottom w:val="single" w:sz="4" w:space="0" w:color="auto"/>
              <w:right w:val="single" w:sz="8" w:space="0" w:color="auto"/>
            </w:tcBorders>
            <w:shd w:val="clear" w:color="auto" w:fill="C6D9F1" w:themeFill="text2" w:themeFillTint="33"/>
            <w:noWrap/>
            <w:vAlign w:val="bottom"/>
            <w:hideMark/>
          </w:tcPr>
          <w:p w:rsidR="00123DC4" w:rsidRPr="00656CC0" w:rsidRDefault="00123DC4" w:rsidP="00132057">
            <w:pPr>
              <w:rPr>
                <w:rFonts w:cs="Arial"/>
                <w:b/>
                <w:bCs/>
                <w:color w:val="000000"/>
                <w:sz w:val="16"/>
                <w:szCs w:val="16"/>
              </w:rPr>
            </w:pPr>
            <w:r w:rsidRPr="00656CC0">
              <w:rPr>
                <w:rFonts w:cs="Arial"/>
                <w:b/>
                <w:bCs/>
                <w:color w:val="000000"/>
                <w:sz w:val="16"/>
                <w:szCs w:val="16"/>
              </w:rPr>
              <w:t>Q4</w:t>
            </w:r>
          </w:p>
        </w:tc>
        <w:tc>
          <w:tcPr>
            <w:tcW w:w="480" w:type="dxa"/>
            <w:tcBorders>
              <w:top w:val="nil"/>
              <w:left w:val="nil"/>
              <w:bottom w:val="single" w:sz="4" w:space="0" w:color="auto"/>
              <w:right w:val="single" w:sz="4" w:space="0" w:color="auto"/>
            </w:tcBorders>
            <w:shd w:val="clear" w:color="auto" w:fill="C6D9F1" w:themeFill="text2" w:themeFillTint="33"/>
            <w:noWrap/>
            <w:vAlign w:val="bottom"/>
            <w:hideMark/>
          </w:tcPr>
          <w:p w:rsidR="00123DC4" w:rsidRPr="00656CC0" w:rsidRDefault="00123DC4" w:rsidP="00132057">
            <w:pPr>
              <w:rPr>
                <w:rFonts w:cs="Arial"/>
                <w:b/>
                <w:bCs/>
                <w:color w:val="000000"/>
                <w:sz w:val="16"/>
                <w:szCs w:val="16"/>
              </w:rPr>
            </w:pPr>
            <w:r w:rsidRPr="00656CC0">
              <w:rPr>
                <w:rFonts w:cs="Arial"/>
                <w:b/>
                <w:bCs/>
                <w:color w:val="000000"/>
                <w:sz w:val="16"/>
                <w:szCs w:val="16"/>
              </w:rPr>
              <w:t>Q1</w:t>
            </w:r>
          </w:p>
        </w:tc>
        <w:tc>
          <w:tcPr>
            <w:tcW w:w="480" w:type="dxa"/>
            <w:tcBorders>
              <w:top w:val="nil"/>
              <w:left w:val="nil"/>
              <w:bottom w:val="single" w:sz="4" w:space="0" w:color="auto"/>
              <w:right w:val="single" w:sz="4" w:space="0" w:color="auto"/>
            </w:tcBorders>
            <w:shd w:val="clear" w:color="auto" w:fill="C6D9F1" w:themeFill="text2" w:themeFillTint="33"/>
            <w:noWrap/>
            <w:vAlign w:val="bottom"/>
            <w:hideMark/>
          </w:tcPr>
          <w:p w:rsidR="00123DC4" w:rsidRPr="00656CC0" w:rsidRDefault="00123DC4" w:rsidP="00132057">
            <w:pPr>
              <w:rPr>
                <w:rFonts w:cs="Arial"/>
                <w:b/>
                <w:bCs/>
                <w:color w:val="000000"/>
                <w:sz w:val="16"/>
                <w:szCs w:val="16"/>
              </w:rPr>
            </w:pPr>
            <w:r w:rsidRPr="00656CC0">
              <w:rPr>
                <w:rFonts w:cs="Arial"/>
                <w:b/>
                <w:bCs/>
                <w:color w:val="000000"/>
                <w:sz w:val="16"/>
                <w:szCs w:val="16"/>
              </w:rPr>
              <w:t>Q2</w:t>
            </w:r>
          </w:p>
        </w:tc>
        <w:tc>
          <w:tcPr>
            <w:tcW w:w="480" w:type="dxa"/>
            <w:tcBorders>
              <w:top w:val="nil"/>
              <w:left w:val="nil"/>
              <w:bottom w:val="single" w:sz="4" w:space="0" w:color="auto"/>
              <w:right w:val="single" w:sz="4" w:space="0" w:color="auto"/>
            </w:tcBorders>
            <w:shd w:val="clear" w:color="auto" w:fill="C6D9F1" w:themeFill="text2" w:themeFillTint="33"/>
            <w:noWrap/>
            <w:vAlign w:val="bottom"/>
            <w:hideMark/>
          </w:tcPr>
          <w:p w:rsidR="00123DC4" w:rsidRPr="00656CC0" w:rsidRDefault="00123DC4" w:rsidP="00132057">
            <w:pPr>
              <w:rPr>
                <w:rFonts w:cs="Arial"/>
                <w:b/>
                <w:bCs/>
                <w:color w:val="000000"/>
                <w:sz w:val="16"/>
                <w:szCs w:val="16"/>
              </w:rPr>
            </w:pPr>
            <w:r w:rsidRPr="00656CC0">
              <w:rPr>
                <w:rFonts w:cs="Arial"/>
                <w:b/>
                <w:bCs/>
                <w:color w:val="000000"/>
                <w:sz w:val="16"/>
                <w:szCs w:val="16"/>
              </w:rPr>
              <w:t>Q3</w:t>
            </w:r>
          </w:p>
        </w:tc>
        <w:tc>
          <w:tcPr>
            <w:tcW w:w="480" w:type="dxa"/>
            <w:tcBorders>
              <w:top w:val="nil"/>
              <w:left w:val="nil"/>
              <w:bottom w:val="single" w:sz="4" w:space="0" w:color="auto"/>
              <w:right w:val="single" w:sz="8" w:space="0" w:color="auto"/>
            </w:tcBorders>
            <w:shd w:val="clear" w:color="auto" w:fill="C6D9F1" w:themeFill="text2" w:themeFillTint="33"/>
            <w:noWrap/>
            <w:vAlign w:val="bottom"/>
            <w:hideMark/>
          </w:tcPr>
          <w:p w:rsidR="00123DC4" w:rsidRPr="00656CC0" w:rsidRDefault="00123DC4" w:rsidP="00132057">
            <w:pPr>
              <w:rPr>
                <w:rFonts w:cs="Arial"/>
                <w:b/>
                <w:bCs/>
                <w:color w:val="000000"/>
                <w:sz w:val="16"/>
                <w:szCs w:val="16"/>
              </w:rPr>
            </w:pPr>
            <w:r w:rsidRPr="00656CC0">
              <w:rPr>
                <w:rFonts w:cs="Arial"/>
                <w:b/>
                <w:bCs/>
                <w:color w:val="000000"/>
                <w:sz w:val="16"/>
                <w:szCs w:val="16"/>
              </w:rPr>
              <w:t>Q4</w:t>
            </w:r>
          </w:p>
        </w:tc>
      </w:tr>
      <w:tr w:rsidR="00123DC4" w:rsidRPr="00656CC0" w:rsidTr="00132057">
        <w:trPr>
          <w:trHeight w:val="539"/>
          <w:jc w:val="center"/>
        </w:trPr>
        <w:tc>
          <w:tcPr>
            <w:tcW w:w="2060" w:type="dxa"/>
            <w:tcBorders>
              <w:top w:val="nil"/>
              <w:left w:val="single" w:sz="8" w:space="0" w:color="auto"/>
              <w:bottom w:val="single" w:sz="4" w:space="0" w:color="auto"/>
              <w:right w:val="single" w:sz="8" w:space="0" w:color="auto"/>
            </w:tcBorders>
            <w:shd w:val="clear" w:color="auto" w:fill="auto"/>
            <w:noWrap/>
            <w:vAlign w:val="bottom"/>
          </w:tcPr>
          <w:p w:rsidR="00123DC4" w:rsidRPr="006F1378" w:rsidRDefault="00123DC4" w:rsidP="00132057">
            <w:pPr>
              <w:keepNext/>
              <w:keepLines/>
              <w:autoSpaceDE w:val="0"/>
              <w:autoSpaceDN w:val="0"/>
              <w:adjustRightInd w:val="0"/>
              <w:spacing w:before="40" w:after="40"/>
              <w:rPr>
                <w:sz w:val="16"/>
                <w:szCs w:val="16"/>
              </w:rPr>
            </w:pPr>
            <w:r w:rsidRPr="006F1378">
              <w:rPr>
                <w:sz w:val="16"/>
                <w:szCs w:val="16"/>
              </w:rPr>
              <w:t>Study and development of approach</w:t>
            </w:r>
          </w:p>
        </w:tc>
        <w:tc>
          <w:tcPr>
            <w:tcW w:w="260" w:type="dxa"/>
            <w:tcBorders>
              <w:top w:val="nil"/>
              <w:left w:val="nil"/>
              <w:bottom w:val="single" w:sz="4" w:space="0" w:color="auto"/>
              <w:right w:val="single" w:sz="4" w:space="0" w:color="auto"/>
            </w:tcBorders>
            <w:shd w:val="clear" w:color="auto" w:fill="auto"/>
            <w:noWrap/>
            <w:vAlign w:val="bottom"/>
          </w:tcPr>
          <w:p w:rsidR="00123DC4" w:rsidRPr="007F4916" w:rsidRDefault="00123DC4" w:rsidP="00132057">
            <w:pPr>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bottom"/>
          </w:tcPr>
          <w:p w:rsidR="00123DC4" w:rsidRPr="007F4916" w:rsidRDefault="00123DC4" w:rsidP="00132057">
            <w:pPr>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bottom"/>
          </w:tcPr>
          <w:p w:rsidR="00123DC4" w:rsidRPr="007F4916" w:rsidRDefault="00123DC4" w:rsidP="00132057">
            <w:pPr>
              <w:rPr>
                <w:rFonts w:cs="Arial"/>
                <w:color w:val="000000"/>
                <w:sz w:val="16"/>
                <w:szCs w:val="16"/>
              </w:rPr>
            </w:pPr>
          </w:p>
        </w:tc>
        <w:tc>
          <w:tcPr>
            <w:tcW w:w="480" w:type="dxa"/>
            <w:tcBorders>
              <w:top w:val="nil"/>
              <w:left w:val="nil"/>
              <w:bottom w:val="single" w:sz="4" w:space="0" w:color="auto"/>
              <w:right w:val="single" w:sz="8" w:space="0" w:color="auto"/>
            </w:tcBorders>
            <w:shd w:val="clear" w:color="auto" w:fill="auto"/>
            <w:noWrap/>
            <w:vAlign w:val="center"/>
          </w:tcPr>
          <w:p w:rsidR="00123DC4" w:rsidRPr="007F4916" w:rsidRDefault="00123DC4" w:rsidP="00132057">
            <w:pPr>
              <w:jc w:val="center"/>
              <w:rPr>
                <w:rFonts w:cs="Arial"/>
                <w:color w:val="000000"/>
                <w:sz w:val="16"/>
                <w:szCs w:val="16"/>
              </w:rPr>
            </w:pPr>
            <w:r w:rsidRPr="007F4916">
              <w:rPr>
                <w:rFonts w:cs="Arial"/>
                <w:color w:val="000000"/>
                <w:sz w:val="16"/>
                <w:szCs w:val="16"/>
              </w:rPr>
              <w:t>X</w:t>
            </w:r>
          </w:p>
        </w:tc>
        <w:tc>
          <w:tcPr>
            <w:tcW w:w="480" w:type="dxa"/>
            <w:tcBorders>
              <w:top w:val="nil"/>
              <w:left w:val="nil"/>
              <w:bottom w:val="single" w:sz="4" w:space="0" w:color="auto"/>
              <w:right w:val="single" w:sz="4" w:space="0" w:color="auto"/>
            </w:tcBorders>
            <w:shd w:val="clear" w:color="auto" w:fill="auto"/>
            <w:noWrap/>
            <w:vAlign w:val="center"/>
          </w:tcPr>
          <w:p w:rsidR="00123DC4" w:rsidRPr="007F4916" w:rsidRDefault="00123DC4" w:rsidP="00132057">
            <w:pPr>
              <w:jc w:val="center"/>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center"/>
          </w:tcPr>
          <w:p w:rsidR="00123DC4" w:rsidRPr="007F4916" w:rsidRDefault="00123DC4" w:rsidP="00132057">
            <w:pPr>
              <w:jc w:val="center"/>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center"/>
          </w:tcPr>
          <w:p w:rsidR="00123DC4" w:rsidRPr="007F4916" w:rsidRDefault="00123DC4" w:rsidP="00132057">
            <w:pPr>
              <w:jc w:val="center"/>
              <w:rPr>
                <w:rFonts w:cs="Arial"/>
                <w:color w:val="000000"/>
                <w:sz w:val="16"/>
                <w:szCs w:val="16"/>
              </w:rPr>
            </w:pPr>
          </w:p>
        </w:tc>
        <w:tc>
          <w:tcPr>
            <w:tcW w:w="480" w:type="dxa"/>
            <w:tcBorders>
              <w:top w:val="nil"/>
              <w:left w:val="nil"/>
              <w:bottom w:val="single" w:sz="4" w:space="0" w:color="auto"/>
              <w:right w:val="single" w:sz="8" w:space="0" w:color="auto"/>
            </w:tcBorders>
            <w:shd w:val="clear" w:color="auto" w:fill="auto"/>
            <w:noWrap/>
            <w:vAlign w:val="center"/>
          </w:tcPr>
          <w:p w:rsidR="00123DC4" w:rsidRPr="007F4916" w:rsidRDefault="00123DC4" w:rsidP="00132057">
            <w:pPr>
              <w:jc w:val="center"/>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center"/>
          </w:tcPr>
          <w:p w:rsidR="00123DC4" w:rsidRPr="007F4916" w:rsidRDefault="00123DC4" w:rsidP="00132057">
            <w:pPr>
              <w:jc w:val="center"/>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center"/>
          </w:tcPr>
          <w:p w:rsidR="00123DC4" w:rsidRPr="007F4916" w:rsidRDefault="00123DC4" w:rsidP="00132057">
            <w:pPr>
              <w:jc w:val="center"/>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center"/>
          </w:tcPr>
          <w:p w:rsidR="00123DC4" w:rsidRPr="007F4916" w:rsidRDefault="00123DC4" w:rsidP="00132057">
            <w:pPr>
              <w:jc w:val="center"/>
              <w:rPr>
                <w:rFonts w:cs="Arial"/>
                <w:color w:val="000000"/>
                <w:sz w:val="16"/>
                <w:szCs w:val="16"/>
              </w:rPr>
            </w:pPr>
          </w:p>
        </w:tc>
        <w:tc>
          <w:tcPr>
            <w:tcW w:w="480" w:type="dxa"/>
            <w:tcBorders>
              <w:top w:val="nil"/>
              <w:left w:val="nil"/>
              <w:bottom w:val="single" w:sz="4" w:space="0" w:color="auto"/>
              <w:right w:val="single" w:sz="8" w:space="0" w:color="auto"/>
            </w:tcBorders>
            <w:shd w:val="clear" w:color="auto" w:fill="auto"/>
            <w:noWrap/>
            <w:vAlign w:val="center"/>
          </w:tcPr>
          <w:p w:rsidR="00123DC4" w:rsidRPr="007F4916" w:rsidRDefault="00123DC4" w:rsidP="00132057">
            <w:pPr>
              <w:jc w:val="center"/>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center"/>
          </w:tcPr>
          <w:p w:rsidR="00123DC4" w:rsidRPr="007F4916" w:rsidRDefault="00123DC4" w:rsidP="00132057">
            <w:pPr>
              <w:jc w:val="center"/>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center"/>
          </w:tcPr>
          <w:p w:rsidR="00123DC4" w:rsidRPr="007F4916" w:rsidRDefault="00123DC4" w:rsidP="00132057">
            <w:pPr>
              <w:jc w:val="center"/>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center"/>
          </w:tcPr>
          <w:p w:rsidR="00123DC4" w:rsidRPr="007F4916" w:rsidRDefault="00123DC4" w:rsidP="00132057">
            <w:pPr>
              <w:jc w:val="center"/>
              <w:rPr>
                <w:rFonts w:cs="Arial"/>
                <w:color w:val="000000"/>
                <w:sz w:val="16"/>
                <w:szCs w:val="16"/>
              </w:rPr>
            </w:pPr>
          </w:p>
        </w:tc>
        <w:tc>
          <w:tcPr>
            <w:tcW w:w="480" w:type="dxa"/>
            <w:tcBorders>
              <w:top w:val="nil"/>
              <w:left w:val="nil"/>
              <w:bottom w:val="single" w:sz="4" w:space="0" w:color="auto"/>
              <w:right w:val="single" w:sz="8" w:space="0" w:color="auto"/>
            </w:tcBorders>
            <w:shd w:val="clear" w:color="auto" w:fill="auto"/>
            <w:noWrap/>
            <w:vAlign w:val="center"/>
          </w:tcPr>
          <w:p w:rsidR="00123DC4" w:rsidRPr="007F4916" w:rsidRDefault="00123DC4" w:rsidP="00132057">
            <w:pPr>
              <w:jc w:val="center"/>
              <w:rPr>
                <w:rFonts w:cs="Arial"/>
                <w:color w:val="000000"/>
                <w:sz w:val="16"/>
                <w:szCs w:val="16"/>
              </w:rPr>
            </w:pPr>
          </w:p>
        </w:tc>
      </w:tr>
      <w:tr w:rsidR="00123DC4" w:rsidRPr="00656CC0" w:rsidTr="00132057">
        <w:trPr>
          <w:trHeight w:val="440"/>
          <w:jc w:val="center"/>
        </w:trPr>
        <w:tc>
          <w:tcPr>
            <w:tcW w:w="2060" w:type="dxa"/>
            <w:tcBorders>
              <w:top w:val="nil"/>
              <w:left w:val="single" w:sz="8" w:space="0" w:color="auto"/>
              <w:bottom w:val="single" w:sz="4" w:space="0" w:color="auto"/>
              <w:right w:val="single" w:sz="8" w:space="0" w:color="auto"/>
            </w:tcBorders>
            <w:shd w:val="clear" w:color="auto" w:fill="auto"/>
            <w:noWrap/>
            <w:vAlign w:val="bottom"/>
            <w:hideMark/>
          </w:tcPr>
          <w:p w:rsidR="00123DC4" w:rsidRPr="006F1378" w:rsidRDefault="00123DC4" w:rsidP="00132057">
            <w:pPr>
              <w:keepNext/>
              <w:keepLines/>
              <w:autoSpaceDE w:val="0"/>
              <w:autoSpaceDN w:val="0"/>
              <w:adjustRightInd w:val="0"/>
              <w:spacing w:before="40" w:after="40"/>
              <w:rPr>
                <w:sz w:val="16"/>
                <w:szCs w:val="16"/>
              </w:rPr>
            </w:pPr>
            <w:r w:rsidRPr="006F1378">
              <w:rPr>
                <w:sz w:val="16"/>
                <w:szCs w:val="16"/>
              </w:rPr>
              <w:t>ECM Technology selected</w:t>
            </w:r>
          </w:p>
        </w:tc>
        <w:tc>
          <w:tcPr>
            <w:tcW w:w="260" w:type="dxa"/>
            <w:tcBorders>
              <w:top w:val="nil"/>
              <w:left w:val="nil"/>
              <w:bottom w:val="single" w:sz="4" w:space="0" w:color="auto"/>
              <w:right w:val="single" w:sz="4" w:space="0" w:color="auto"/>
            </w:tcBorders>
            <w:shd w:val="clear" w:color="auto" w:fill="auto"/>
            <w:noWrap/>
            <w:vAlign w:val="bottom"/>
            <w:hideMark/>
          </w:tcPr>
          <w:p w:rsidR="00123DC4" w:rsidRPr="007F4916" w:rsidRDefault="00123DC4" w:rsidP="00132057">
            <w:pPr>
              <w:rPr>
                <w:rFonts w:cs="Arial"/>
                <w:color w:val="000000"/>
                <w:sz w:val="16"/>
                <w:szCs w:val="16"/>
              </w:rPr>
            </w:pPr>
            <w:r w:rsidRPr="007F4916">
              <w:rPr>
                <w:rFonts w:cs="Arial"/>
                <w:color w:val="000000"/>
                <w:sz w:val="16"/>
                <w:szCs w:val="16"/>
              </w:rPr>
              <w:t> </w:t>
            </w:r>
          </w:p>
        </w:tc>
        <w:tc>
          <w:tcPr>
            <w:tcW w:w="480" w:type="dxa"/>
            <w:tcBorders>
              <w:top w:val="nil"/>
              <w:left w:val="nil"/>
              <w:bottom w:val="single" w:sz="4" w:space="0" w:color="auto"/>
              <w:right w:val="single" w:sz="4" w:space="0" w:color="auto"/>
            </w:tcBorders>
            <w:shd w:val="clear" w:color="auto" w:fill="auto"/>
            <w:noWrap/>
            <w:vAlign w:val="bottom"/>
            <w:hideMark/>
          </w:tcPr>
          <w:p w:rsidR="00123DC4" w:rsidRPr="007F4916" w:rsidRDefault="00123DC4" w:rsidP="00132057">
            <w:pPr>
              <w:rPr>
                <w:rFonts w:cs="Arial"/>
                <w:color w:val="000000"/>
                <w:sz w:val="16"/>
                <w:szCs w:val="16"/>
              </w:rPr>
            </w:pPr>
            <w:r w:rsidRPr="007F4916">
              <w:rPr>
                <w:rFonts w:cs="Arial"/>
                <w:color w:val="000000"/>
                <w:sz w:val="16"/>
                <w:szCs w:val="16"/>
              </w:rPr>
              <w:t> </w:t>
            </w:r>
          </w:p>
        </w:tc>
        <w:tc>
          <w:tcPr>
            <w:tcW w:w="480" w:type="dxa"/>
            <w:tcBorders>
              <w:top w:val="nil"/>
              <w:left w:val="nil"/>
              <w:bottom w:val="single" w:sz="4" w:space="0" w:color="auto"/>
              <w:right w:val="single" w:sz="4" w:space="0" w:color="auto"/>
            </w:tcBorders>
            <w:shd w:val="clear" w:color="auto" w:fill="auto"/>
            <w:noWrap/>
            <w:vAlign w:val="bottom"/>
            <w:hideMark/>
          </w:tcPr>
          <w:p w:rsidR="00123DC4" w:rsidRPr="007F4916" w:rsidRDefault="00123DC4" w:rsidP="00132057">
            <w:pPr>
              <w:rPr>
                <w:rFonts w:cs="Arial"/>
                <w:color w:val="000000"/>
                <w:sz w:val="16"/>
                <w:szCs w:val="16"/>
              </w:rPr>
            </w:pPr>
            <w:r w:rsidRPr="007F4916">
              <w:rPr>
                <w:rFonts w:cs="Arial"/>
                <w:color w:val="000000"/>
                <w:sz w:val="16"/>
                <w:szCs w:val="16"/>
              </w:rPr>
              <w:t> </w:t>
            </w:r>
          </w:p>
        </w:tc>
        <w:tc>
          <w:tcPr>
            <w:tcW w:w="480" w:type="dxa"/>
            <w:tcBorders>
              <w:top w:val="nil"/>
              <w:left w:val="nil"/>
              <w:bottom w:val="single" w:sz="4" w:space="0" w:color="auto"/>
              <w:right w:val="single" w:sz="8" w:space="0" w:color="auto"/>
            </w:tcBorders>
            <w:shd w:val="clear" w:color="auto" w:fill="auto"/>
            <w:noWrap/>
            <w:vAlign w:val="center"/>
            <w:hideMark/>
          </w:tcPr>
          <w:p w:rsidR="00123DC4" w:rsidRPr="007F4916" w:rsidRDefault="00123DC4" w:rsidP="00132057">
            <w:pPr>
              <w:jc w:val="center"/>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7F4916" w:rsidRDefault="00123DC4" w:rsidP="00132057">
            <w:pPr>
              <w:jc w:val="center"/>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7F4916" w:rsidRDefault="00123DC4" w:rsidP="00132057">
            <w:pPr>
              <w:jc w:val="center"/>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7F4916" w:rsidRDefault="00123DC4" w:rsidP="00132057">
            <w:pPr>
              <w:jc w:val="center"/>
              <w:rPr>
                <w:rFonts w:cs="Arial"/>
                <w:color w:val="000000"/>
                <w:sz w:val="16"/>
                <w:szCs w:val="16"/>
              </w:rPr>
            </w:pPr>
            <w:r>
              <w:rPr>
                <w:rFonts w:cs="Arial"/>
                <w:color w:val="000000"/>
                <w:sz w:val="16"/>
                <w:szCs w:val="16"/>
              </w:rPr>
              <w:t>X</w:t>
            </w:r>
          </w:p>
        </w:tc>
        <w:tc>
          <w:tcPr>
            <w:tcW w:w="480" w:type="dxa"/>
            <w:tcBorders>
              <w:top w:val="nil"/>
              <w:left w:val="nil"/>
              <w:bottom w:val="single" w:sz="4" w:space="0" w:color="auto"/>
              <w:right w:val="single" w:sz="8" w:space="0" w:color="auto"/>
            </w:tcBorders>
            <w:shd w:val="clear" w:color="auto" w:fill="auto"/>
            <w:noWrap/>
            <w:vAlign w:val="center"/>
            <w:hideMark/>
          </w:tcPr>
          <w:p w:rsidR="00123DC4" w:rsidRPr="007F4916" w:rsidRDefault="00123DC4" w:rsidP="00132057">
            <w:pPr>
              <w:jc w:val="center"/>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7F4916" w:rsidRDefault="00123DC4" w:rsidP="00132057">
            <w:pPr>
              <w:jc w:val="center"/>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7F4916" w:rsidRDefault="00123DC4" w:rsidP="00132057">
            <w:pPr>
              <w:jc w:val="center"/>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7F4916" w:rsidRDefault="00123DC4" w:rsidP="00132057">
            <w:pPr>
              <w:jc w:val="center"/>
              <w:rPr>
                <w:rFonts w:cs="Arial"/>
                <w:color w:val="000000"/>
                <w:sz w:val="16"/>
                <w:szCs w:val="16"/>
              </w:rPr>
            </w:pPr>
          </w:p>
        </w:tc>
        <w:tc>
          <w:tcPr>
            <w:tcW w:w="480" w:type="dxa"/>
            <w:tcBorders>
              <w:top w:val="nil"/>
              <w:left w:val="nil"/>
              <w:bottom w:val="single" w:sz="4" w:space="0" w:color="auto"/>
              <w:right w:val="single" w:sz="8" w:space="0" w:color="auto"/>
            </w:tcBorders>
            <w:shd w:val="clear" w:color="auto" w:fill="auto"/>
            <w:noWrap/>
            <w:vAlign w:val="center"/>
            <w:hideMark/>
          </w:tcPr>
          <w:p w:rsidR="00123DC4" w:rsidRPr="007F4916" w:rsidRDefault="00123DC4" w:rsidP="00132057">
            <w:pPr>
              <w:jc w:val="center"/>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7F4916" w:rsidRDefault="00123DC4" w:rsidP="00132057">
            <w:pPr>
              <w:jc w:val="center"/>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7F4916" w:rsidRDefault="00123DC4" w:rsidP="00132057">
            <w:pPr>
              <w:jc w:val="center"/>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7F4916" w:rsidRDefault="00123DC4" w:rsidP="00132057">
            <w:pPr>
              <w:jc w:val="center"/>
              <w:rPr>
                <w:rFonts w:cs="Arial"/>
                <w:color w:val="000000"/>
                <w:sz w:val="16"/>
                <w:szCs w:val="16"/>
              </w:rPr>
            </w:pPr>
          </w:p>
        </w:tc>
        <w:tc>
          <w:tcPr>
            <w:tcW w:w="480" w:type="dxa"/>
            <w:tcBorders>
              <w:top w:val="nil"/>
              <w:left w:val="nil"/>
              <w:bottom w:val="single" w:sz="4" w:space="0" w:color="auto"/>
              <w:right w:val="single" w:sz="8" w:space="0" w:color="auto"/>
            </w:tcBorders>
            <w:shd w:val="clear" w:color="auto" w:fill="auto"/>
            <w:noWrap/>
            <w:vAlign w:val="center"/>
            <w:hideMark/>
          </w:tcPr>
          <w:p w:rsidR="00123DC4" w:rsidRPr="007F4916" w:rsidRDefault="00123DC4" w:rsidP="00132057">
            <w:pPr>
              <w:jc w:val="center"/>
              <w:rPr>
                <w:rFonts w:cs="Arial"/>
                <w:color w:val="000000"/>
                <w:sz w:val="16"/>
                <w:szCs w:val="16"/>
              </w:rPr>
            </w:pPr>
          </w:p>
        </w:tc>
      </w:tr>
      <w:tr w:rsidR="00123DC4" w:rsidRPr="00656CC0" w:rsidTr="00132057">
        <w:trPr>
          <w:trHeight w:val="615"/>
          <w:jc w:val="center"/>
        </w:trPr>
        <w:tc>
          <w:tcPr>
            <w:tcW w:w="2060" w:type="dxa"/>
            <w:tcBorders>
              <w:top w:val="nil"/>
              <w:left w:val="single" w:sz="8" w:space="0" w:color="auto"/>
              <w:bottom w:val="single" w:sz="4" w:space="0" w:color="auto"/>
              <w:right w:val="single" w:sz="8" w:space="0" w:color="auto"/>
            </w:tcBorders>
            <w:shd w:val="clear" w:color="auto" w:fill="auto"/>
            <w:noWrap/>
            <w:vAlign w:val="bottom"/>
          </w:tcPr>
          <w:p w:rsidR="00123DC4" w:rsidRPr="006F1378" w:rsidRDefault="00123DC4" w:rsidP="00132057">
            <w:pPr>
              <w:keepNext/>
              <w:keepLines/>
              <w:autoSpaceDE w:val="0"/>
              <w:autoSpaceDN w:val="0"/>
              <w:adjustRightInd w:val="0"/>
              <w:spacing w:before="40" w:after="40"/>
              <w:rPr>
                <w:sz w:val="16"/>
                <w:szCs w:val="16"/>
              </w:rPr>
            </w:pPr>
            <w:r w:rsidRPr="006F1378">
              <w:rPr>
                <w:sz w:val="16"/>
                <w:szCs w:val="16"/>
              </w:rPr>
              <w:t xml:space="preserve">Re-platforming and version upgrade of the existing Corporate Records and Archives </w:t>
            </w:r>
          </w:p>
        </w:tc>
        <w:tc>
          <w:tcPr>
            <w:tcW w:w="260" w:type="dxa"/>
            <w:tcBorders>
              <w:top w:val="nil"/>
              <w:left w:val="nil"/>
              <w:bottom w:val="single" w:sz="4" w:space="0" w:color="auto"/>
              <w:right w:val="single" w:sz="4" w:space="0" w:color="auto"/>
            </w:tcBorders>
            <w:shd w:val="clear" w:color="auto" w:fill="auto"/>
            <w:noWrap/>
            <w:vAlign w:val="bottom"/>
          </w:tcPr>
          <w:p w:rsidR="00123DC4" w:rsidRPr="007F4916" w:rsidRDefault="00123DC4" w:rsidP="00132057">
            <w:pPr>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bottom"/>
          </w:tcPr>
          <w:p w:rsidR="00123DC4" w:rsidRPr="007F4916" w:rsidRDefault="00123DC4" w:rsidP="00132057">
            <w:pPr>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bottom"/>
          </w:tcPr>
          <w:p w:rsidR="00123DC4" w:rsidRPr="007F4916" w:rsidRDefault="00123DC4" w:rsidP="00132057">
            <w:pPr>
              <w:rPr>
                <w:rFonts w:cs="Arial"/>
                <w:color w:val="000000"/>
                <w:sz w:val="16"/>
                <w:szCs w:val="16"/>
              </w:rPr>
            </w:pPr>
          </w:p>
        </w:tc>
        <w:tc>
          <w:tcPr>
            <w:tcW w:w="480" w:type="dxa"/>
            <w:tcBorders>
              <w:top w:val="nil"/>
              <w:left w:val="nil"/>
              <w:bottom w:val="single" w:sz="4" w:space="0" w:color="auto"/>
              <w:right w:val="single" w:sz="8" w:space="0" w:color="auto"/>
            </w:tcBorders>
            <w:shd w:val="clear" w:color="auto" w:fill="auto"/>
            <w:noWrap/>
            <w:vAlign w:val="center"/>
          </w:tcPr>
          <w:p w:rsidR="00123DC4" w:rsidRPr="007F4916" w:rsidRDefault="00123DC4" w:rsidP="00132057">
            <w:pPr>
              <w:jc w:val="center"/>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center"/>
          </w:tcPr>
          <w:p w:rsidR="00123DC4" w:rsidRPr="007F4916" w:rsidRDefault="00123DC4" w:rsidP="00132057">
            <w:pPr>
              <w:jc w:val="center"/>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center"/>
          </w:tcPr>
          <w:p w:rsidR="00123DC4" w:rsidRPr="007F4916" w:rsidRDefault="00123DC4" w:rsidP="00132057">
            <w:pPr>
              <w:jc w:val="center"/>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center"/>
          </w:tcPr>
          <w:p w:rsidR="00123DC4" w:rsidRPr="007F4916" w:rsidRDefault="00123DC4" w:rsidP="00132057">
            <w:pPr>
              <w:jc w:val="center"/>
              <w:rPr>
                <w:rFonts w:cs="Arial"/>
                <w:color w:val="000000"/>
                <w:sz w:val="16"/>
                <w:szCs w:val="16"/>
              </w:rPr>
            </w:pPr>
          </w:p>
        </w:tc>
        <w:tc>
          <w:tcPr>
            <w:tcW w:w="480" w:type="dxa"/>
            <w:tcBorders>
              <w:top w:val="nil"/>
              <w:left w:val="nil"/>
              <w:bottom w:val="single" w:sz="4" w:space="0" w:color="auto"/>
              <w:right w:val="single" w:sz="8" w:space="0" w:color="auto"/>
            </w:tcBorders>
            <w:shd w:val="clear" w:color="auto" w:fill="auto"/>
            <w:noWrap/>
            <w:vAlign w:val="center"/>
          </w:tcPr>
          <w:p w:rsidR="00123DC4" w:rsidRPr="007F4916" w:rsidRDefault="00123DC4" w:rsidP="00132057">
            <w:pPr>
              <w:jc w:val="center"/>
              <w:rPr>
                <w:rFonts w:cs="Arial"/>
                <w:color w:val="000000"/>
                <w:sz w:val="16"/>
                <w:szCs w:val="16"/>
              </w:rPr>
            </w:pPr>
            <w:r>
              <w:rPr>
                <w:rFonts w:cs="Arial"/>
                <w:color w:val="000000"/>
                <w:sz w:val="16"/>
                <w:szCs w:val="16"/>
              </w:rPr>
              <w:t>X</w:t>
            </w:r>
          </w:p>
        </w:tc>
        <w:tc>
          <w:tcPr>
            <w:tcW w:w="480" w:type="dxa"/>
            <w:tcBorders>
              <w:top w:val="nil"/>
              <w:left w:val="nil"/>
              <w:bottom w:val="single" w:sz="4" w:space="0" w:color="auto"/>
              <w:right w:val="single" w:sz="4" w:space="0" w:color="auto"/>
            </w:tcBorders>
            <w:shd w:val="clear" w:color="auto" w:fill="auto"/>
            <w:noWrap/>
            <w:vAlign w:val="center"/>
          </w:tcPr>
          <w:p w:rsidR="00123DC4" w:rsidRPr="007F4916" w:rsidRDefault="00123DC4" w:rsidP="00132057">
            <w:pPr>
              <w:jc w:val="center"/>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center"/>
          </w:tcPr>
          <w:p w:rsidR="00123DC4" w:rsidRPr="007F4916" w:rsidRDefault="00123DC4" w:rsidP="00132057">
            <w:pPr>
              <w:jc w:val="center"/>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center"/>
          </w:tcPr>
          <w:p w:rsidR="00123DC4" w:rsidRPr="007F4916" w:rsidRDefault="00123DC4" w:rsidP="00132057">
            <w:pPr>
              <w:jc w:val="center"/>
              <w:rPr>
                <w:rFonts w:cs="Arial"/>
                <w:color w:val="000000"/>
                <w:sz w:val="16"/>
                <w:szCs w:val="16"/>
              </w:rPr>
            </w:pPr>
          </w:p>
        </w:tc>
        <w:tc>
          <w:tcPr>
            <w:tcW w:w="480" w:type="dxa"/>
            <w:tcBorders>
              <w:top w:val="nil"/>
              <w:left w:val="nil"/>
              <w:bottom w:val="single" w:sz="4" w:space="0" w:color="auto"/>
              <w:right w:val="single" w:sz="8" w:space="0" w:color="auto"/>
            </w:tcBorders>
            <w:shd w:val="clear" w:color="auto" w:fill="auto"/>
            <w:noWrap/>
            <w:vAlign w:val="center"/>
          </w:tcPr>
          <w:p w:rsidR="00123DC4" w:rsidRPr="007F4916" w:rsidRDefault="00123DC4" w:rsidP="00132057">
            <w:pPr>
              <w:jc w:val="center"/>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center"/>
          </w:tcPr>
          <w:p w:rsidR="00123DC4" w:rsidRPr="007F4916" w:rsidRDefault="00123DC4" w:rsidP="00132057">
            <w:pPr>
              <w:jc w:val="center"/>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center"/>
          </w:tcPr>
          <w:p w:rsidR="00123DC4" w:rsidRPr="007F4916" w:rsidRDefault="00123DC4" w:rsidP="00132057">
            <w:pPr>
              <w:jc w:val="center"/>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center"/>
          </w:tcPr>
          <w:p w:rsidR="00123DC4" w:rsidRPr="007F4916" w:rsidRDefault="00123DC4" w:rsidP="00132057">
            <w:pPr>
              <w:jc w:val="center"/>
              <w:rPr>
                <w:rFonts w:cs="Arial"/>
                <w:color w:val="000000"/>
                <w:sz w:val="16"/>
                <w:szCs w:val="16"/>
              </w:rPr>
            </w:pPr>
          </w:p>
        </w:tc>
        <w:tc>
          <w:tcPr>
            <w:tcW w:w="480" w:type="dxa"/>
            <w:tcBorders>
              <w:top w:val="nil"/>
              <w:left w:val="nil"/>
              <w:bottom w:val="single" w:sz="4" w:space="0" w:color="auto"/>
              <w:right w:val="single" w:sz="8" w:space="0" w:color="auto"/>
            </w:tcBorders>
            <w:shd w:val="clear" w:color="auto" w:fill="auto"/>
            <w:noWrap/>
            <w:vAlign w:val="center"/>
          </w:tcPr>
          <w:p w:rsidR="00123DC4" w:rsidRPr="007F4916" w:rsidRDefault="00123DC4" w:rsidP="00132057">
            <w:pPr>
              <w:jc w:val="center"/>
              <w:rPr>
                <w:rFonts w:cs="Arial"/>
                <w:color w:val="000000"/>
                <w:sz w:val="16"/>
                <w:szCs w:val="16"/>
              </w:rPr>
            </w:pPr>
          </w:p>
        </w:tc>
      </w:tr>
      <w:tr w:rsidR="00123DC4" w:rsidRPr="00656CC0" w:rsidTr="00132057">
        <w:trPr>
          <w:trHeight w:val="404"/>
          <w:jc w:val="center"/>
        </w:trPr>
        <w:tc>
          <w:tcPr>
            <w:tcW w:w="2060" w:type="dxa"/>
            <w:tcBorders>
              <w:top w:val="nil"/>
              <w:left w:val="single" w:sz="8" w:space="0" w:color="auto"/>
              <w:bottom w:val="single" w:sz="4" w:space="0" w:color="auto"/>
              <w:right w:val="single" w:sz="8" w:space="0" w:color="auto"/>
            </w:tcBorders>
            <w:shd w:val="clear" w:color="auto" w:fill="auto"/>
            <w:noWrap/>
            <w:vAlign w:val="bottom"/>
            <w:hideMark/>
          </w:tcPr>
          <w:p w:rsidR="00123DC4" w:rsidRPr="006F1378" w:rsidRDefault="00123DC4" w:rsidP="00132057">
            <w:pPr>
              <w:keepNext/>
              <w:keepLines/>
              <w:autoSpaceDE w:val="0"/>
              <w:autoSpaceDN w:val="0"/>
              <w:adjustRightInd w:val="0"/>
              <w:spacing w:before="40" w:after="40"/>
              <w:rPr>
                <w:sz w:val="16"/>
                <w:szCs w:val="16"/>
              </w:rPr>
            </w:pPr>
            <w:r w:rsidRPr="006F1378">
              <w:rPr>
                <w:sz w:val="16"/>
                <w:szCs w:val="16"/>
              </w:rPr>
              <w:t>Implementation partner tender completed</w:t>
            </w:r>
          </w:p>
        </w:tc>
        <w:tc>
          <w:tcPr>
            <w:tcW w:w="260" w:type="dxa"/>
            <w:tcBorders>
              <w:top w:val="nil"/>
              <w:left w:val="nil"/>
              <w:bottom w:val="single" w:sz="4" w:space="0" w:color="auto"/>
              <w:right w:val="single" w:sz="4" w:space="0" w:color="auto"/>
            </w:tcBorders>
            <w:shd w:val="clear" w:color="auto" w:fill="auto"/>
            <w:noWrap/>
            <w:vAlign w:val="bottom"/>
            <w:hideMark/>
          </w:tcPr>
          <w:p w:rsidR="00123DC4" w:rsidRPr="007F4916" w:rsidRDefault="00123DC4" w:rsidP="00132057">
            <w:pPr>
              <w:rPr>
                <w:rFonts w:cs="Arial"/>
                <w:color w:val="000000"/>
                <w:sz w:val="16"/>
                <w:szCs w:val="16"/>
              </w:rPr>
            </w:pPr>
            <w:r w:rsidRPr="007F4916">
              <w:rPr>
                <w:rFonts w:cs="Arial"/>
                <w:color w:val="000000"/>
                <w:sz w:val="16"/>
                <w:szCs w:val="16"/>
              </w:rPr>
              <w:t> </w:t>
            </w:r>
          </w:p>
        </w:tc>
        <w:tc>
          <w:tcPr>
            <w:tcW w:w="480" w:type="dxa"/>
            <w:tcBorders>
              <w:top w:val="nil"/>
              <w:left w:val="nil"/>
              <w:bottom w:val="single" w:sz="4" w:space="0" w:color="auto"/>
              <w:right w:val="single" w:sz="4" w:space="0" w:color="auto"/>
            </w:tcBorders>
            <w:shd w:val="clear" w:color="auto" w:fill="auto"/>
            <w:noWrap/>
            <w:vAlign w:val="bottom"/>
            <w:hideMark/>
          </w:tcPr>
          <w:p w:rsidR="00123DC4" w:rsidRPr="007F4916" w:rsidRDefault="00123DC4" w:rsidP="00132057">
            <w:pPr>
              <w:rPr>
                <w:rFonts w:cs="Arial"/>
                <w:color w:val="000000"/>
                <w:sz w:val="16"/>
                <w:szCs w:val="16"/>
              </w:rPr>
            </w:pPr>
            <w:r w:rsidRPr="007F4916">
              <w:rPr>
                <w:rFonts w:cs="Arial"/>
                <w:color w:val="000000"/>
                <w:sz w:val="16"/>
                <w:szCs w:val="16"/>
              </w:rPr>
              <w:t> </w:t>
            </w:r>
          </w:p>
        </w:tc>
        <w:tc>
          <w:tcPr>
            <w:tcW w:w="480" w:type="dxa"/>
            <w:tcBorders>
              <w:top w:val="nil"/>
              <w:left w:val="nil"/>
              <w:bottom w:val="single" w:sz="4" w:space="0" w:color="auto"/>
              <w:right w:val="single" w:sz="4" w:space="0" w:color="auto"/>
            </w:tcBorders>
            <w:shd w:val="clear" w:color="auto" w:fill="auto"/>
            <w:noWrap/>
            <w:vAlign w:val="bottom"/>
            <w:hideMark/>
          </w:tcPr>
          <w:p w:rsidR="00123DC4" w:rsidRPr="007F4916" w:rsidRDefault="00123DC4" w:rsidP="00132057">
            <w:pPr>
              <w:rPr>
                <w:rFonts w:cs="Arial"/>
                <w:color w:val="000000"/>
                <w:sz w:val="16"/>
                <w:szCs w:val="16"/>
              </w:rPr>
            </w:pPr>
            <w:r w:rsidRPr="007F4916">
              <w:rPr>
                <w:rFonts w:cs="Arial"/>
                <w:color w:val="000000"/>
                <w:sz w:val="16"/>
                <w:szCs w:val="16"/>
              </w:rPr>
              <w:t> </w:t>
            </w:r>
          </w:p>
        </w:tc>
        <w:tc>
          <w:tcPr>
            <w:tcW w:w="480" w:type="dxa"/>
            <w:tcBorders>
              <w:top w:val="nil"/>
              <w:left w:val="nil"/>
              <w:bottom w:val="single" w:sz="4" w:space="0" w:color="auto"/>
              <w:right w:val="single" w:sz="8" w:space="0" w:color="auto"/>
            </w:tcBorders>
            <w:shd w:val="clear" w:color="auto" w:fill="auto"/>
            <w:noWrap/>
            <w:vAlign w:val="center"/>
            <w:hideMark/>
          </w:tcPr>
          <w:p w:rsidR="00123DC4" w:rsidRPr="007F4916" w:rsidRDefault="00123DC4" w:rsidP="00132057">
            <w:pPr>
              <w:jc w:val="center"/>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7F4916" w:rsidRDefault="00123DC4" w:rsidP="00132057">
            <w:pPr>
              <w:jc w:val="center"/>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7F4916" w:rsidRDefault="00123DC4" w:rsidP="00132057">
            <w:pPr>
              <w:jc w:val="center"/>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7F4916" w:rsidRDefault="00123DC4" w:rsidP="00132057">
            <w:pPr>
              <w:jc w:val="center"/>
              <w:rPr>
                <w:rFonts w:cs="Arial"/>
                <w:color w:val="000000"/>
                <w:sz w:val="16"/>
                <w:szCs w:val="16"/>
              </w:rPr>
            </w:pPr>
          </w:p>
        </w:tc>
        <w:tc>
          <w:tcPr>
            <w:tcW w:w="480" w:type="dxa"/>
            <w:tcBorders>
              <w:top w:val="nil"/>
              <w:left w:val="nil"/>
              <w:bottom w:val="single" w:sz="4" w:space="0" w:color="auto"/>
              <w:right w:val="single" w:sz="8" w:space="0" w:color="auto"/>
            </w:tcBorders>
            <w:shd w:val="clear" w:color="auto" w:fill="auto"/>
            <w:noWrap/>
            <w:vAlign w:val="center"/>
            <w:hideMark/>
          </w:tcPr>
          <w:p w:rsidR="00123DC4" w:rsidRPr="007F4916" w:rsidRDefault="00123DC4" w:rsidP="00132057">
            <w:pPr>
              <w:jc w:val="center"/>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7F4916" w:rsidRDefault="00123DC4" w:rsidP="00132057">
            <w:pPr>
              <w:jc w:val="center"/>
              <w:rPr>
                <w:rFonts w:cs="Arial"/>
                <w:color w:val="000000"/>
                <w:sz w:val="16"/>
                <w:szCs w:val="16"/>
              </w:rPr>
            </w:pPr>
            <w:r>
              <w:rPr>
                <w:rFonts w:cs="Arial"/>
                <w:color w:val="000000"/>
                <w:sz w:val="16"/>
                <w:szCs w:val="16"/>
              </w:rPr>
              <w:t>X</w:t>
            </w: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7F4916" w:rsidRDefault="00123DC4" w:rsidP="00132057">
            <w:pPr>
              <w:jc w:val="center"/>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7F4916" w:rsidRDefault="00123DC4" w:rsidP="00132057">
            <w:pPr>
              <w:jc w:val="center"/>
              <w:rPr>
                <w:rFonts w:cs="Arial"/>
                <w:color w:val="000000"/>
                <w:sz w:val="16"/>
                <w:szCs w:val="16"/>
              </w:rPr>
            </w:pPr>
          </w:p>
        </w:tc>
        <w:tc>
          <w:tcPr>
            <w:tcW w:w="480" w:type="dxa"/>
            <w:tcBorders>
              <w:top w:val="nil"/>
              <w:left w:val="nil"/>
              <w:bottom w:val="single" w:sz="4" w:space="0" w:color="auto"/>
              <w:right w:val="single" w:sz="8" w:space="0" w:color="auto"/>
            </w:tcBorders>
            <w:shd w:val="clear" w:color="auto" w:fill="auto"/>
            <w:noWrap/>
            <w:vAlign w:val="center"/>
            <w:hideMark/>
          </w:tcPr>
          <w:p w:rsidR="00123DC4" w:rsidRPr="007F4916" w:rsidRDefault="00123DC4" w:rsidP="00132057">
            <w:pPr>
              <w:jc w:val="center"/>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7F4916" w:rsidRDefault="00123DC4" w:rsidP="00132057">
            <w:pPr>
              <w:jc w:val="center"/>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7F4916" w:rsidRDefault="00123DC4" w:rsidP="00132057">
            <w:pPr>
              <w:jc w:val="center"/>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7F4916" w:rsidRDefault="00123DC4" w:rsidP="00132057">
            <w:pPr>
              <w:jc w:val="center"/>
              <w:rPr>
                <w:rFonts w:cs="Arial"/>
                <w:color w:val="000000"/>
                <w:sz w:val="16"/>
                <w:szCs w:val="16"/>
              </w:rPr>
            </w:pPr>
          </w:p>
        </w:tc>
        <w:tc>
          <w:tcPr>
            <w:tcW w:w="480" w:type="dxa"/>
            <w:tcBorders>
              <w:top w:val="nil"/>
              <w:left w:val="nil"/>
              <w:bottom w:val="single" w:sz="4" w:space="0" w:color="auto"/>
              <w:right w:val="single" w:sz="8" w:space="0" w:color="auto"/>
            </w:tcBorders>
            <w:shd w:val="clear" w:color="auto" w:fill="auto"/>
            <w:noWrap/>
            <w:vAlign w:val="center"/>
            <w:hideMark/>
          </w:tcPr>
          <w:p w:rsidR="00123DC4" w:rsidRPr="007F4916" w:rsidRDefault="00123DC4" w:rsidP="00132057">
            <w:pPr>
              <w:jc w:val="center"/>
              <w:rPr>
                <w:rFonts w:cs="Arial"/>
                <w:color w:val="000000"/>
                <w:sz w:val="16"/>
                <w:szCs w:val="16"/>
              </w:rPr>
            </w:pPr>
          </w:p>
        </w:tc>
      </w:tr>
      <w:tr w:rsidR="00123DC4" w:rsidRPr="00656CC0" w:rsidTr="00132057">
        <w:trPr>
          <w:trHeight w:val="449"/>
          <w:jc w:val="center"/>
        </w:trPr>
        <w:tc>
          <w:tcPr>
            <w:tcW w:w="2060" w:type="dxa"/>
            <w:tcBorders>
              <w:top w:val="nil"/>
              <w:left w:val="single" w:sz="8" w:space="0" w:color="auto"/>
              <w:bottom w:val="single" w:sz="4" w:space="0" w:color="auto"/>
              <w:right w:val="single" w:sz="8" w:space="0" w:color="auto"/>
            </w:tcBorders>
            <w:shd w:val="clear" w:color="auto" w:fill="auto"/>
            <w:noWrap/>
            <w:vAlign w:val="bottom"/>
            <w:hideMark/>
          </w:tcPr>
          <w:p w:rsidR="00123DC4" w:rsidRPr="006F1378" w:rsidRDefault="00123DC4" w:rsidP="00132057">
            <w:pPr>
              <w:keepNext/>
              <w:keepLines/>
              <w:autoSpaceDE w:val="0"/>
              <w:autoSpaceDN w:val="0"/>
              <w:adjustRightInd w:val="0"/>
              <w:spacing w:before="40" w:after="40"/>
              <w:rPr>
                <w:sz w:val="16"/>
                <w:szCs w:val="16"/>
              </w:rPr>
            </w:pPr>
            <w:r w:rsidRPr="006F1378">
              <w:rPr>
                <w:sz w:val="16"/>
                <w:szCs w:val="16"/>
              </w:rPr>
              <w:t>Base ECM Configuration accepted</w:t>
            </w:r>
          </w:p>
        </w:tc>
        <w:tc>
          <w:tcPr>
            <w:tcW w:w="260" w:type="dxa"/>
            <w:tcBorders>
              <w:top w:val="nil"/>
              <w:left w:val="nil"/>
              <w:bottom w:val="single" w:sz="4" w:space="0" w:color="auto"/>
              <w:right w:val="single" w:sz="4" w:space="0" w:color="auto"/>
            </w:tcBorders>
            <w:shd w:val="clear" w:color="auto" w:fill="auto"/>
            <w:noWrap/>
            <w:vAlign w:val="bottom"/>
            <w:hideMark/>
          </w:tcPr>
          <w:p w:rsidR="00123DC4" w:rsidRPr="007F4916" w:rsidRDefault="00123DC4" w:rsidP="00132057">
            <w:pPr>
              <w:rPr>
                <w:rFonts w:cs="Arial"/>
                <w:color w:val="000000"/>
                <w:sz w:val="16"/>
                <w:szCs w:val="16"/>
              </w:rPr>
            </w:pPr>
            <w:r w:rsidRPr="007F4916">
              <w:rPr>
                <w:rFonts w:cs="Arial"/>
                <w:color w:val="000000"/>
                <w:sz w:val="16"/>
                <w:szCs w:val="16"/>
              </w:rPr>
              <w:t> </w:t>
            </w:r>
          </w:p>
        </w:tc>
        <w:tc>
          <w:tcPr>
            <w:tcW w:w="480" w:type="dxa"/>
            <w:tcBorders>
              <w:top w:val="nil"/>
              <w:left w:val="nil"/>
              <w:bottom w:val="single" w:sz="4" w:space="0" w:color="auto"/>
              <w:right w:val="single" w:sz="4" w:space="0" w:color="auto"/>
            </w:tcBorders>
            <w:shd w:val="clear" w:color="auto" w:fill="auto"/>
            <w:noWrap/>
            <w:vAlign w:val="bottom"/>
            <w:hideMark/>
          </w:tcPr>
          <w:p w:rsidR="00123DC4" w:rsidRPr="007F4916" w:rsidRDefault="00123DC4" w:rsidP="00132057">
            <w:pPr>
              <w:rPr>
                <w:rFonts w:cs="Arial"/>
                <w:color w:val="000000"/>
                <w:sz w:val="16"/>
                <w:szCs w:val="16"/>
              </w:rPr>
            </w:pPr>
            <w:r w:rsidRPr="007F4916">
              <w:rPr>
                <w:rFonts w:cs="Arial"/>
                <w:color w:val="000000"/>
                <w:sz w:val="16"/>
                <w:szCs w:val="16"/>
              </w:rPr>
              <w:t> </w:t>
            </w:r>
          </w:p>
        </w:tc>
        <w:tc>
          <w:tcPr>
            <w:tcW w:w="480" w:type="dxa"/>
            <w:tcBorders>
              <w:top w:val="nil"/>
              <w:left w:val="nil"/>
              <w:bottom w:val="single" w:sz="4" w:space="0" w:color="auto"/>
              <w:right w:val="single" w:sz="4" w:space="0" w:color="auto"/>
            </w:tcBorders>
            <w:shd w:val="clear" w:color="auto" w:fill="auto"/>
            <w:noWrap/>
            <w:vAlign w:val="bottom"/>
            <w:hideMark/>
          </w:tcPr>
          <w:p w:rsidR="00123DC4" w:rsidRPr="007F4916" w:rsidRDefault="00123DC4" w:rsidP="00132057">
            <w:pPr>
              <w:rPr>
                <w:rFonts w:cs="Arial"/>
                <w:color w:val="000000"/>
                <w:sz w:val="16"/>
                <w:szCs w:val="16"/>
              </w:rPr>
            </w:pPr>
            <w:r w:rsidRPr="007F4916">
              <w:rPr>
                <w:rFonts w:cs="Arial"/>
                <w:color w:val="000000"/>
                <w:sz w:val="16"/>
                <w:szCs w:val="16"/>
              </w:rPr>
              <w:t> </w:t>
            </w:r>
          </w:p>
        </w:tc>
        <w:tc>
          <w:tcPr>
            <w:tcW w:w="480" w:type="dxa"/>
            <w:tcBorders>
              <w:top w:val="nil"/>
              <w:left w:val="nil"/>
              <w:bottom w:val="single" w:sz="4" w:space="0" w:color="auto"/>
              <w:right w:val="single" w:sz="8" w:space="0" w:color="auto"/>
            </w:tcBorders>
            <w:shd w:val="clear" w:color="auto" w:fill="auto"/>
            <w:noWrap/>
            <w:vAlign w:val="center"/>
            <w:hideMark/>
          </w:tcPr>
          <w:p w:rsidR="00123DC4" w:rsidRPr="007F4916" w:rsidRDefault="00123DC4" w:rsidP="00132057">
            <w:pPr>
              <w:jc w:val="center"/>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7F4916" w:rsidRDefault="00123DC4" w:rsidP="00132057">
            <w:pPr>
              <w:jc w:val="center"/>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7F4916" w:rsidRDefault="00123DC4" w:rsidP="00132057">
            <w:pPr>
              <w:jc w:val="center"/>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7F4916" w:rsidRDefault="00123DC4" w:rsidP="00132057">
            <w:pPr>
              <w:jc w:val="center"/>
              <w:rPr>
                <w:rFonts w:cs="Arial"/>
                <w:color w:val="000000"/>
                <w:sz w:val="16"/>
                <w:szCs w:val="16"/>
              </w:rPr>
            </w:pPr>
          </w:p>
        </w:tc>
        <w:tc>
          <w:tcPr>
            <w:tcW w:w="480" w:type="dxa"/>
            <w:tcBorders>
              <w:top w:val="nil"/>
              <w:left w:val="nil"/>
              <w:bottom w:val="single" w:sz="4" w:space="0" w:color="auto"/>
              <w:right w:val="single" w:sz="8" w:space="0" w:color="auto"/>
            </w:tcBorders>
            <w:shd w:val="clear" w:color="auto" w:fill="auto"/>
            <w:noWrap/>
            <w:vAlign w:val="center"/>
            <w:hideMark/>
          </w:tcPr>
          <w:p w:rsidR="00123DC4" w:rsidRPr="007F4916" w:rsidRDefault="00123DC4" w:rsidP="00132057">
            <w:pPr>
              <w:jc w:val="center"/>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center"/>
          </w:tcPr>
          <w:p w:rsidR="00123DC4" w:rsidRPr="007F4916" w:rsidRDefault="00123DC4" w:rsidP="00132057">
            <w:pPr>
              <w:jc w:val="center"/>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center"/>
          </w:tcPr>
          <w:p w:rsidR="00123DC4" w:rsidRPr="007F4916" w:rsidRDefault="00123DC4" w:rsidP="00132057">
            <w:pPr>
              <w:jc w:val="center"/>
              <w:rPr>
                <w:rFonts w:cs="Arial"/>
                <w:color w:val="000000"/>
                <w:sz w:val="16"/>
                <w:szCs w:val="16"/>
              </w:rPr>
            </w:pPr>
            <w:r w:rsidRPr="007F4916">
              <w:rPr>
                <w:rFonts w:cs="Arial"/>
                <w:color w:val="000000"/>
                <w:sz w:val="16"/>
                <w:szCs w:val="16"/>
              </w:rPr>
              <w:t>X</w:t>
            </w: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7F4916" w:rsidRDefault="00123DC4" w:rsidP="00132057">
            <w:pPr>
              <w:jc w:val="center"/>
              <w:rPr>
                <w:rFonts w:cs="Arial"/>
                <w:color w:val="000000"/>
                <w:sz w:val="16"/>
                <w:szCs w:val="16"/>
              </w:rPr>
            </w:pPr>
          </w:p>
        </w:tc>
        <w:tc>
          <w:tcPr>
            <w:tcW w:w="480" w:type="dxa"/>
            <w:tcBorders>
              <w:top w:val="nil"/>
              <w:left w:val="nil"/>
              <w:bottom w:val="single" w:sz="4" w:space="0" w:color="auto"/>
              <w:right w:val="single" w:sz="8" w:space="0" w:color="auto"/>
            </w:tcBorders>
            <w:shd w:val="clear" w:color="auto" w:fill="auto"/>
            <w:noWrap/>
            <w:vAlign w:val="center"/>
            <w:hideMark/>
          </w:tcPr>
          <w:p w:rsidR="00123DC4" w:rsidRPr="007F4916" w:rsidRDefault="00123DC4" w:rsidP="00132057">
            <w:pPr>
              <w:jc w:val="center"/>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7F4916" w:rsidRDefault="00123DC4" w:rsidP="00132057">
            <w:pPr>
              <w:jc w:val="center"/>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7F4916" w:rsidRDefault="00123DC4" w:rsidP="00132057">
            <w:pPr>
              <w:jc w:val="center"/>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7F4916" w:rsidRDefault="00123DC4" w:rsidP="00132057">
            <w:pPr>
              <w:jc w:val="center"/>
              <w:rPr>
                <w:rFonts w:cs="Arial"/>
                <w:color w:val="000000"/>
                <w:sz w:val="16"/>
                <w:szCs w:val="16"/>
              </w:rPr>
            </w:pPr>
          </w:p>
        </w:tc>
        <w:tc>
          <w:tcPr>
            <w:tcW w:w="480" w:type="dxa"/>
            <w:tcBorders>
              <w:top w:val="nil"/>
              <w:left w:val="nil"/>
              <w:bottom w:val="single" w:sz="4" w:space="0" w:color="auto"/>
              <w:right w:val="single" w:sz="8" w:space="0" w:color="auto"/>
            </w:tcBorders>
            <w:shd w:val="clear" w:color="auto" w:fill="auto"/>
            <w:noWrap/>
            <w:vAlign w:val="center"/>
            <w:hideMark/>
          </w:tcPr>
          <w:p w:rsidR="00123DC4" w:rsidRPr="007F4916" w:rsidRDefault="00123DC4" w:rsidP="00132057">
            <w:pPr>
              <w:jc w:val="center"/>
              <w:rPr>
                <w:rFonts w:cs="Arial"/>
                <w:color w:val="000000"/>
                <w:sz w:val="16"/>
                <w:szCs w:val="16"/>
              </w:rPr>
            </w:pPr>
          </w:p>
        </w:tc>
      </w:tr>
      <w:tr w:rsidR="00123DC4" w:rsidRPr="00656CC0" w:rsidTr="00132057">
        <w:trPr>
          <w:trHeight w:val="615"/>
          <w:jc w:val="center"/>
        </w:trPr>
        <w:tc>
          <w:tcPr>
            <w:tcW w:w="2060" w:type="dxa"/>
            <w:tcBorders>
              <w:top w:val="nil"/>
              <w:left w:val="single" w:sz="8" w:space="0" w:color="auto"/>
              <w:bottom w:val="single" w:sz="4" w:space="0" w:color="auto"/>
              <w:right w:val="single" w:sz="8" w:space="0" w:color="auto"/>
            </w:tcBorders>
            <w:shd w:val="clear" w:color="auto" w:fill="auto"/>
            <w:noWrap/>
            <w:vAlign w:val="bottom"/>
            <w:hideMark/>
          </w:tcPr>
          <w:p w:rsidR="00123DC4" w:rsidRPr="006F1378" w:rsidRDefault="00123DC4" w:rsidP="00132057">
            <w:pPr>
              <w:keepNext/>
              <w:keepLines/>
              <w:autoSpaceDE w:val="0"/>
              <w:autoSpaceDN w:val="0"/>
              <w:adjustRightInd w:val="0"/>
              <w:spacing w:before="40" w:after="40"/>
              <w:rPr>
                <w:sz w:val="16"/>
                <w:szCs w:val="16"/>
              </w:rPr>
            </w:pPr>
            <w:r w:rsidRPr="006F1378">
              <w:rPr>
                <w:sz w:val="16"/>
                <w:szCs w:val="16"/>
              </w:rPr>
              <w:t>Enhanced Records &amp; Archives configuration accepted</w:t>
            </w:r>
          </w:p>
        </w:tc>
        <w:tc>
          <w:tcPr>
            <w:tcW w:w="260" w:type="dxa"/>
            <w:tcBorders>
              <w:top w:val="nil"/>
              <w:left w:val="nil"/>
              <w:bottom w:val="single" w:sz="4" w:space="0" w:color="auto"/>
              <w:right w:val="single" w:sz="4" w:space="0" w:color="auto"/>
            </w:tcBorders>
            <w:shd w:val="clear" w:color="auto" w:fill="auto"/>
            <w:noWrap/>
            <w:vAlign w:val="bottom"/>
            <w:hideMark/>
          </w:tcPr>
          <w:p w:rsidR="00123DC4" w:rsidRPr="007F4916" w:rsidRDefault="00123DC4" w:rsidP="00132057">
            <w:pPr>
              <w:rPr>
                <w:rFonts w:cs="Arial"/>
                <w:color w:val="000000"/>
                <w:sz w:val="16"/>
                <w:szCs w:val="16"/>
              </w:rPr>
            </w:pPr>
            <w:r w:rsidRPr="007F4916">
              <w:rPr>
                <w:rFonts w:cs="Arial"/>
                <w:color w:val="000000"/>
                <w:sz w:val="16"/>
                <w:szCs w:val="16"/>
              </w:rPr>
              <w:t> </w:t>
            </w:r>
          </w:p>
        </w:tc>
        <w:tc>
          <w:tcPr>
            <w:tcW w:w="480" w:type="dxa"/>
            <w:tcBorders>
              <w:top w:val="nil"/>
              <w:left w:val="nil"/>
              <w:bottom w:val="single" w:sz="4" w:space="0" w:color="auto"/>
              <w:right w:val="single" w:sz="4" w:space="0" w:color="auto"/>
            </w:tcBorders>
            <w:shd w:val="clear" w:color="auto" w:fill="auto"/>
            <w:noWrap/>
            <w:vAlign w:val="bottom"/>
            <w:hideMark/>
          </w:tcPr>
          <w:p w:rsidR="00123DC4" w:rsidRPr="007F4916" w:rsidRDefault="00123DC4" w:rsidP="00132057">
            <w:pPr>
              <w:rPr>
                <w:rFonts w:cs="Arial"/>
                <w:color w:val="000000"/>
                <w:sz w:val="16"/>
                <w:szCs w:val="16"/>
              </w:rPr>
            </w:pPr>
            <w:r w:rsidRPr="007F4916">
              <w:rPr>
                <w:rFonts w:cs="Arial"/>
                <w:color w:val="000000"/>
                <w:sz w:val="16"/>
                <w:szCs w:val="16"/>
              </w:rPr>
              <w:t> </w:t>
            </w:r>
          </w:p>
        </w:tc>
        <w:tc>
          <w:tcPr>
            <w:tcW w:w="480" w:type="dxa"/>
            <w:tcBorders>
              <w:top w:val="nil"/>
              <w:left w:val="nil"/>
              <w:bottom w:val="single" w:sz="4" w:space="0" w:color="auto"/>
              <w:right w:val="single" w:sz="4" w:space="0" w:color="auto"/>
            </w:tcBorders>
            <w:shd w:val="clear" w:color="auto" w:fill="auto"/>
            <w:noWrap/>
            <w:vAlign w:val="bottom"/>
            <w:hideMark/>
          </w:tcPr>
          <w:p w:rsidR="00123DC4" w:rsidRPr="007F4916" w:rsidRDefault="00123DC4" w:rsidP="00132057">
            <w:pPr>
              <w:rPr>
                <w:rFonts w:cs="Arial"/>
                <w:color w:val="000000"/>
                <w:sz w:val="16"/>
                <w:szCs w:val="16"/>
              </w:rPr>
            </w:pPr>
            <w:r w:rsidRPr="007F4916">
              <w:rPr>
                <w:rFonts w:cs="Arial"/>
                <w:color w:val="000000"/>
                <w:sz w:val="16"/>
                <w:szCs w:val="16"/>
              </w:rPr>
              <w:t> </w:t>
            </w:r>
          </w:p>
        </w:tc>
        <w:tc>
          <w:tcPr>
            <w:tcW w:w="480" w:type="dxa"/>
            <w:tcBorders>
              <w:top w:val="nil"/>
              <w:left w:val="nil"/>
              <w:bottom w:val="single" w:sz="4" w:space="0" w:color="auto"/>
              <w:right w:val="single" w:sz="8" w:space="0" w:color="auto"/>
            </w:tcBorders>
            <w:shd w:val="clear" w:color="auto" w:fill="auto"/>
            <w:noWrap/>
            <w:vAlign w:val="center"/>
            <w:hideMark/>
          </w:tcPr>
          <w:p w:rsidR="00123DC4" w:rsidRPr="007F4916" w:rsidRDefault="00123DC4" w:rsidP="00132057">
            <w:pPr>
              <w:jc w:val="center"/>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7F4916" w:rsidRDefault="00123DC4" w:rsidP="00132057">
            <w:pPr>
              <w:jc w:val="center"/>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7F4916" w:rsidRDefault="00123DC4" w:rsidP="00132057">
            <w:pPr>
              <w:jc w:val="center"/>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7F4916" w:rsidRDefault="00123DC4" w:rsidP="00132057">
            <w:pPr>
              <w:jc w:val="center"/>
              <w:rPr>
                <w:rFonts w:cs="Arial"/>
                <w:color w:val="000000"/>
                <w:sz w:val="16"/>
                <w:szCs w:val="16"/>
              </w:rPr>
            </w:pPr>
          </w:p>
        </w:tc>
        <w:tc>
          <w:tcPr>
            <w:tcW w:w="480" w:type="dxa"/>
            <w:tcBorders>
              <w:top w:val="nil"/>
              <w:left w:val="nil"/>
              <w:bottom w:val="single" w:sz="4" w:space="0" w:color="auto"/>
              <w:right w:val="single" w:sz="8" w:space="0" w:color="auto"/>
            </w:tcBorders>
            <w:shd w:val="clear" w:color="auto" w:fill="auto"/>
            <w:noWrap/>
            <w:vAlign w:val="center"/>
            <w:hideMark/>
          </w:tcPr>
          <w:p w:rsidR="00123DC4" w:rsidRPr="007F4916" w:rsidRDefault="00123DC4" w:rsidP="00132057">
            <w:pPr>
              <w:jc w:val="center"/>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7F4916" w:rsidRDefault="00123DC4" w:rsidP="00132057">
            <w:pPr>
              <w:jc w:val="center"/>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7F4916" w:rsidRDefault="00123DC4" w:rsidP="00132057">
            <w:pPr>
              <w:jc w:val="center"/>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7F4916" w:rsidRDefault="00123DC4" w:rsidP="00132057">
            <w:pPr>
              <w:jc w:val="center"/>
              <w:rPr>
                <w:rFonts w:cs="Arial"/>
                <w:color w:val="000000"/>
                <w:sz w:val="16"/>
                <w:szCs w:val="16"/>
              </w:rPr>
            </w:pPr>
            <w:r>
              <w:rPr>
                <w:rFonts w:cs="Arial"/>
                <w:color w:val="000000"/>
                <w:sz w:val="16"/>
                <w:szCs w:val="16"/>
              </w:rPr>
              <w:t>X</w:t>
            </w:r>
          </w:p>
        </w:tc>
        <w:tc>
          <w:tcPr>
            <w:tcW w:w="480" w:type="dxa"/>
            <w:tcBorders>
              <w:top w:val="nil"/>
              <w:left w:val="nil"/>
              <w:bottom w:val="single" w:sz="4" w:space="0" w:color="auto"/>
              <w:right w:val="single" w:sz="8" w:space="0" w:color="auto"/>
            </w:tcBorders>
            <w:shd w:val="clear" w:color="auto" w:fill="auto"/>
            <w:noWrap/>
            <w:vAlign w:val="center"/>
            <w:hideMark/>
          </w:tcPr>
          <w:p w:rsidR="00123DC4" w:rsidRPr="007F4916" w:rsidRDefault="00123DC4" w:rsidP="00132057">
            <w:pPr>
              <w:jc w:val="center"/>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7F4916" w:rsidRDefault="00123DC4" w:rsidP="00132057">
            <w:pPr>
              <w:jc w:val="center"/>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7F4916" w:rsidRDefault="00123DC4" w:rsidP="00132057">
            <w:pPr>
              <w:jc w:val="center"/>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7F4916" w:rsidRDefault="00123DC4" w:rsidP="00132057">
            <w:pPr>
              <w:jc w:val="center"/>
              <w:rPr>
                <w:rFonts w:cs="Arial"/>
                <w:color w:val="000000"/>
                <w:sz w:val="16"/>
                <w:szCs w:val="16"/>
              </w:rPr>
            </w:pPr>
          </w:p>
        </w:tc>
        <w:tc>
          <w:tcPr>
            <w:tcW w:w="480" w:type="dxa"/>
            <w:tcBorders>
              <w:top w:val="nil"/>
              <w:left w:val="nil"/>
              <w:bottom w:val="single" w:sz="4" w:space="0" w:color="auto"/>
              <w:right w:val="single" w:sz="8" w:space="0" w:color="auto"/>
            </w:tcBorders>
            <w:shd w:val="clear" w:color="auto" w:fill="auto"/>
            <w:noWrap/>
            <w:vAlign w:val="center"/>
            <w:hideMark/>
          </w:tcPr>
          <w:p w:rsidR="00123DC4" w:rsidRPr="007F4916" w:rsidRDefault="00123DC4" w:rsidP="00132057">
            <w:pPr>
              <w:jc w:val="center"/>
              <w:rPr>
                <w:rFonts w:cs="Arial"/>
                <w:color w:val="000000"/>
                <w:sz w:val="16"/>
                <w:szCs w:val="16"/>
              </w:rPr>
            </w:pPr>
          </w:p>
        </w:tc>
      </w:tr>
      <w:tr w:rsidR="00123DC4" w:rsidRPr="00656CC0" w:rsidTr="00132057">
        <w:trPr>
          <w:trHeight w:val="615"/>
          <w:jc w:val="center"/>
        </w:trPr>
        <w:tc>
          <w:tcPr>
            <w:tcW w:w="2060" w:type="dxa"/>
            <w:tcBorders>
              <w:top w:val="single" w:sz="4" w:space="0" w:color="auto"/>
              <w:left w:val="single" w:sz="8" w:space="0" w:color="auto"/>
              <w:bottom w:val="single" w:sz="4" w:space="0" w:color="auto"/>
              <w:right w:val="single" w:sz="8" w:space="0" w:color="auto"/>
            </w:tcBorders>
            <w:shd w:val="clear" w:color="auto" w:fill="auto"/>
            <w:noWrap/>
            <w:vAlign w:val="bottom"/>
          </w:tcPr>
          <w:p w:rsidR="00123DC4" w:rsidRPr="006F1378" w:rsidRDefault="00123DC4" w:rsidP="00132057">
            <w:pPr>
              <w:keepNext/>
              <w:keepLines/>
              <w:autoSpaceDE w:val="0"/>
              <w:autoSpaceDN w:val="0"/>
              <w:adjustRightInd w:val="0"/>
              <w:spacing w:before="40" w:after="40"/>
              <w:rPr>
                <w:sz w:val="16"/>
                <w:szCs w:val="16"/>
              </w:rPr>
            </w:pPr>
            <w:r w:rsidRPr="006F1378">
              <w:rPr>
                <w:sz w:val="16"/>
                <w:szCs w:val="16"/>
              </w:rPr>
              <w:t>Translation workflow and status tracking ECM configuration operational</w:t>
            </w:r>
          </w:p>
        </w:tc>
        <w:tc>
          <w:tcPr>
            <w:tcW w:w="260" w:type="dxa"/>
            <w:tcBorders>
              <w:top w:val="single" w:sz="4" w:space="0" w:color="auto"/>
              <w:left w:val="nil"/>
              <w:bottom w:val="single" w:sz="4" w:space="0" w:color="auto"/>
              <w:right w:val="single" w:sz="4" w:space="0" w:color="auto"/>
            </w:tcBorders>
            <w:shd w:val="clear" w:color="auto" w:fill="auto"/>
            <w:noWrap/>
            <w:vAlign w:val="bottom"/>
          </w:tcPr>
          <w:p w:rsidR="00123DC4" w:rsidRPr="007F4916" w:rsidRDefault="00123DC4" w:rsidP="00132057">
            <w:pPr>
              <w:rPr>
                <w:rFonts w:cs="Arial"/>
                <w:color w:val="000000"/>
                <w:sz w:val="16"/>
                <w:szCs w:val="16"/>
              </w:rPr>
            </w:pPr>
          </w:p>
        </w:tc>
        <w:tc>
          <w:tcPr>
            <w:tcW w:w="480" w:type="dxa"/>
            <w:tcBorders>
              <w:top w:val="single" w:sz="4" w:space="0" w:color="auto"/>
              <w:left w:val="nil"/>
              <w:bottom w:val="single" w:sz="4" w:space="0" w:color="auto"/>
              <w:right w:val="single" w:sz="4" w:space="0" w:color="auto"/>
            </w:tcBorders>
            <w:shd w:val="clear" w:color="auto" w:fill="auto"/>
            <w:noWrap/>
            <w:vAlign w:val="bottom"/>
          </w:tcPr>
          <w:p w:rsidR="00123DC4" w:rsidRPr="007F4916" w:rsidRDefault="00123DC4" w:rsidP="00132057">
            <w:pPr>
              <w:rPr>
                <w:rFonts w:cs="Arial"/>
                <w:color w:val="000000"/>
                <w:sz w:val="16"/>
                <w:szCs w:val="16"/>
              </w:rPr>
            </w:pPr>
          </w:p>
        </w:tc>
        <w:tc>
          <w:tcPr>
            <w:tcW w:w="480" w:type="dxa"/>
            <w:tcBorders>
              <w:top w:val="single" w:sz="4" w:space="0" w:color="auto"/>
              <w:left w:val="nil"/>
              <w:bottom w:val="single" w:sz="4" w:space="0" w:color="auto"/>
              <w:right w:val="single" w:sz="4" w:space="0" w:color="auto"/>
            </w:tcBorders>
            <w:shd w:val="clear" w:color="auto" w:fill="auto"/>
            <w:noWrap/>
            <w:vAlign w:val="bottom"/>
          </w:tcPr>
          <w:p w:rsidR="00123DC4" w:rsidRPr="007F4916" w:rsidRDefault="00123DC4" w:rsidP="00132057">
            <w:pPr>
              <w:rPr>
                <w:rFonts w:cs="Arial"/>
                <w:color w:val="000000"/>
                <w:sz w:val="16"/>
                <w:szCs w:val="16"/>
              </w:rPr>
            </w:pPr>
          </w:p>
        </w:tc>
        <w:tc>
          <w:tcPr>
            <w:tcW w:w="480" w:type="dxa"/>
            <w:tcBorders>
              <w:top w:val="single" w:sz="4" w:space="0" w:color="auto"/>
              <w:left w:val="nil"/>
              <w:bottom w:val="single" w:sz="4" w:space="0" w:color="auto"/>
              <w:right w:val="single" w:sz="8" w:space="0" w:color="auto"/>
            </w:tcBorders>
            <w:shd w:val="clear" w:color="auto" w:fill="auto"/>
            <w:noWrap/>
            <w:vAlign w:val="center"/>
          </w:tcPr>
          <w:p w:rsidR="00123DC4" w:rsidRPr="007F4916" w:rsidRDefault="00123DC4" w:rsidP="00132057">
            <w:pPr>
              <w:jc w:val="center"/>
              <w:rPr>
                <w:rFonts w:cs="Arial"/>
                <w:color w:val="000000"/>
                <w:sz w:val="16"/>
                <w:szCs w:val="16"/>
              </w:rPr>
            </w:pPr>
          </w:p>
        </w:tc>
        <w:tc>
          <w:tcPr>
            <w:tcW w:w="480" w:type="dxa"/>
            <w:tcBorders>
              <w:top w:val="single" w:sz="4" w:space="0" w:color="auto"/>
              <w:left w:val="nil"/>
              <w:bottom w:val="single" w:sz="4" w:space="0" w:color="auto"/>
              <w:right w:val="single" w:sz="4" w:space="0" w:color="auto"/>
            </w:tcBorders>
            <w:shd w:val="clear" w:color="auto" w:fill="auto"/>
            <w:noWrap/>
            <w:vAlign w:val="center"/>
          </w:tcPr>
          <w:p w:rsidR="00123DC4" w:rsidRPr="007F4916" w:rsidRDefault="00123DC4" w:rsidP="00132057">
            <w:pPr>
              <w:jc w:val="center"/>
              <w:rPr>
                <w:rFonts w:cs="Arial"/>
                <w:color w:val="000000"/>
                <w:sz w:val="16"/>
                <w:szCs w:val="16"/>
              </w:rPr>
            </w:pPr>
          </w:p>
        </w:tc>
        <w:tc>
          <w:tcPr>
            <w:tcW w:w="480" w:type="dxa"/>
            <w:tcBorders>
              <w:top w:val="single" w:sz="4" w:space="0" w:color="auto"/>
              <w:left w:val="nil"/>
              <w:bottom w:val="single" w:sz="4" w:space="0" w:color="auto"/>
              <w:right w:val="single" w:sz="4" w:space="0" w:color="auto"/>
            </w:tcBorders>
            <w:shd w:val="clear" w:color="auto" w:fill="auto"/>
            <w:noWrap/>
            <w:vAlign w:val="center"/>
          </w:tcPr>
          <w:p w:rsidR="00123DC4" w:rsidRPr="007F4916" w:rsidRDefault="00123DC4" w:rsidP="00132057">
            <w:pPr>
              <w:jc w:val="center"/>
              <w:rPr>
                <w:rFonts w:cs="Arial"/>
                <w:color w:val="000000"/>
                <w:sz w:val="16"/>
                <w:szCs w:val="16"/>
              </w:rPr>
            </w:pPr>
          </w:p>
        </w:tc>
        <w:tc>
          <w:tcPr>
            <w:tcW w:w="480" w:type="dxa"/>
            <w:tcBorders>
              <w:top w:val="single" w:sz="4" w:space="0" w:color="auto"/>
              <w:left w:val="nil"/>
              <w:bottom w:val="single" w:sz="4" w:space="0" w:color="auto"/>
              <w:right w:val="single" w:sz="4" w:space="0" w:color="auto"/>
            </w:tcBorders>
            <w:shd w:val="clear" w:color="auto" w:fill="auto"/>
            <w:noWrap/>
            <w:vAlign w:val="center"/>
          </w:tcPr>
          <w:p w:rsidR="00123DC4" w:rsidRPr="007F4916" w:rsidRDefault="00123DC4" w:rsidP="00132057">
            <w:pPr>
              <w:jc w:val="center"/>
              <w:rPr>
                <w:rFonts w:cs="Arial"/>
                <w:color w:val="000000"/>
                <w:sz w:val="16"/>
                <w:szCs w:val="16"/>
              </w:rPr>
            </w:pPr>
          </w:p>
        </w:tc>
        <w:tc>
          <w:tcPr>
            <w:tcW w:w="480" w:type="dxa"/>
            <w:tcBorders>
              <w:top w:val="single" w:sz="4" w:space="0" w:color="auto"/>
              <w:left w:val="nil"/>
              <w:bottom w:val="single" w:sz="4" w:space="0" w:color="auto"/>
              <w:right w:val="single" w:sz="8" w:space="0" w:color="auto"/>
            </w:tcBorders>
            <w:shd w:val="clear" w:color="auto" w:fill="auto"/>
            <w:noWrap/>
            <w:vAlign w:val="center"/>
          </w:tcPr>
          <w:p w:rsidR="00123DC4" w:rsidRPr="007F4916" w:rsidRDefault="00123DC4" w:rsidP="00132057">
            <w:pPr>
              <w:jc w:val="center"/>
              <w:rPr>
                <w:rFonts w:cs="Arial"/>
                <w:color w:val="000000"/>
                <w:sz w:val="16"/>
                <w:szCs w:val="16"/>
              </w:rPr>
            </w:pPr>
          </w:p>
        </w:tc>
        <w:tc>
          <w:tcPr>
            <w:tcW w:w="480" w:type="dxa"/>
            <w:tcBorders>
              <w:top w:val="single" w:sz="4" w:space="0" w:color="auto"/>
              <w:left w:val="nil"/>
              <w:bottom w:val="single" w:sz="4" w:space="0" w:color="auto"/>
              <w:right w:val="single" w:sz="4" w:space="0" w:color="auto"/>
            </w:tcBorders>
            <w:shd w:val="clear" w:color="auto" w:fill="auto"/>
            <w:noWrap/>
            <w:vAlign w:val="center"/>
          </w:tcPr>
          <w:p w:rsidR="00123DC4" w:rsidRPr="007F4916" w:rsidRDefault="00123DC4" w:rsidP="00132057">
            <w:pPr>
              <w:jc w:val="center"/>
              <w:rPr>
                <w:rFonts w:cs="Arial"/>
                <w:color w:val="000000"/>
                <w:sz w:val="16"/>
                <w:szCs w:val="16"/>
              </w:rPr>
            </w:pPr>
          </w:p>
        </w:tc>
        <w:tc>
          <w:tcPr>
            <w:tcW w:w="480" w:type="dxa"/>
            <w:tcBorders>
              <w:top w:val="single" w:sz="4" w:space="0" w:color="auto"/>
              <w:left w:val="nil"/>
              <w:bottom w:val="single" w:sz="4" w:space="0" w:color="auto"/>
              <w:right w:val="single" w:sz="4" w:space="0" w:color="auto"/>
            </w:tcBorders>
            <w:shd w:val="clear" w:color="auto" w:fill="auto"/>
            <w:noWrap/>
            <w:vAlign w:val="center"/>
          </w:tcPr>
          <w:p w:rsidR="00123DC4" w:rsidRPr="007F4916" w:rsidRDefault="00123DC4" w:rsidP="00132057">
            <w:pPr>
              <w:jc w:val="center"/>
              <w:rPr>
                <w:rFonts w:cs="Arial"/>
                <w:color w:val="000000"/>
                <w:sz w:val="16"/>
                <w:szCs w:val="16"/>
              </w:rPr>
            </w:pPr>
          </w:p>
        </w:tc>
        <w:tc>
          <w:tcPr>
            <w:tcW w:w="480" w:type="dxa"/>
            <w:tcBorders>
              <w:top w:val="single" w:sz="4" w:space="0" w:color="auto"/>
              <w:left w:val="nil"/>
              <w:bottom w:val="single" w:sz="4" w:space="0" w:color="auto"/>
              <w:right w:val="single" w:sz="4" w:space="0" w:color="auto"/>
            </w:tcBorders>
            <w:shd w:val="clear" w:color="auto" w:fill="auto"/>
            <w:noWrap/>
            <w:vAlign w:val="center"/>
          </w:tcPr>
          <w:p w:rsidR="00123DC4" w:rsidRPr="007F4916" w:rsidRDefault="00123DC4" w:rsidP="00132057">
            <w:pPr>
              <w:jc w:val="center"/>
              <w:rPr>
                <w:rFonts w:cs="Arial"/>
                <w:color w:val="000000"/>
                <w:sz w:val="16"/>
                <w:szCs w:val="16"/>
              </w:rPr>
            </w:pPr>
          </w:p>
        </w:tc>
        <w:tc>
          <w:tcPr>
            <w:tcW w:w="480" w:type="dxa"/>
            <w:tcBorders>
              <w:top w:val="single" w:sz="4" w:space="0" w:color="auto"/>
              <w:left w:val="nil"/>
              <w:bottom w:val="single" w:sz="4" w:space="0" w:color="auto"/>
              <w:right w:val="single" w:sz="8" w:space="0" w:color="auto"/>
            </w:tcBorders>
            <w:shd w:val="clear" w:color="auto" w:fill="auto"/>
            <w:noWrap/>
            <w:vAlign w:val="center"/>
          </w:tcPr>
          <w:p w:rsidR="00123DC4" w:rsidRPr="007F4916" w:rsidRDefault="00123DC4" w:rsidP="00132057">
            <w:pPr>
              <w:jc w:val="center"/>
              <w:rPr>
                <w:rFonts w:cs="Arial"/>
                <w:color w:val="000000"/>
                <w:sz w:val="16"/>
                <w:szCs w:val="16"/>
              </w:rPr>
            </w:pPr>
            <w:r>
              <w:rPr>
                <w:rFonts w:cs="Arial"/>
                <w:color w:val="000000"/>
                <w:sz w:val="16"/>
                <w:szCs w:val="16"/>
              </w:rPr>
              <w:t>X</w:t>
            </w:r>
          </w:p>
        </w:tc>
        <w:tc>
          <w:tcPr>
            <w:tcW w:w="480" w:type="dxa"/>
            <w:tcBorders>
              <w:top w:val="single" w:sz="4" w:space="0" w:color="auto"/>
              <w:left w:val="nil"/>
              <w:bottom w:val="single" w:sz="4" w:space="0" w:color="auto"/>
              <w:right w:val="single" w:sz="4" w:space="0" w:color="auto"/>
            </w:tcBorders>
            <w:shd w:val="clear" w:color="auto" w:fill="auto"/>
            <w:noWrap/>
            <w:vAlign w:val="center"/>
          </w:tcPr>
          <w:p w:rsidR="00123DC4" w:rsidRPr="007F4916" w:rsidRDefault="00123DC4" w:rsidP="00132057">
            <w:pPr>
              <w:jc w:val="center"/>
              <w:rPr>
                <w:rFonts w:cs="Arial"/>
                <w:color w:val="000000"/>
                <w:sz w:val="16"/>
                <w:szCs w:val="16"/>
              </w:rPr>
            </w:pPr>
          </w:p>
        </w:tc>
        <w:tc>
          <w:tcPr>
            <w:tcW w:w="480" w:type="dxa"/>
            <w:tcBorders>
              <w:top w:val="single" w:sz="4" w:space="0" w:color="auto"/>
              <w:left w:val="nil"/>
              <w:bottom w:val="single" w:sz="4" w:space="0" w:color="auto"/>
              <w:right w:val="single" w:sz="4" w:space="0" w:color="auto"/>
            </w:tcBorders>
            <w:shd w:val="clear" w:color="auto" w:fill="auto"/>
            <w:noWrap/>
            <w:vAlign w:val="center"/>
          </w:tcPr>
          <w:p w:rsidR="00123DC4" w:rsidRPr="007F4916" w:rsidRDefault="00123DC4" w:rsidP="00132057">
            <w:pPr>
              <w:jc w:val="center"/>
              <w:rPr>
                <w:rFonts w:cs="Arial"/>
                <w:color w:val="000000"/>
                <w:sz w:val="16"/>
                <w:szCs w:val="16"/>
              </w:rPr>
            </w:pPr>
          </w:p>
        </w:tc>
        <w:tc>
          <w:tcPr>
            <w:tcW w:w="480" w:type="dxa"/>
            <w:tcBorders>
              <w:top w:val="single" w:sz="4" w:space="0" w:color="auto"/>
              <w:left w:val="nil"/>
              <w:bottom w:val="single" w:sz="4" w:space="0" w:color="auto"/>
              <w:right w:val="single" w:sz="4" w:space="0" w:color="auto"/>
            </w:tcBorders>
            <w:shd w:val="clear" w:color="auto" w:fill="auto"/>
            <w:noWrap/>
            <w:vAlign w:val="center"/>
          </w:tcPr>
          <w:p w:rsidR="00123DC4" w:rsidRPr="007F4916" w:rsidRDefault="00123DC4" w:rsidP="00132057">
            <w:pPr>
              <w:jc w:val="center"/>
              <w:rPr>
                <w:rFonts w:cs="Arial"/>
                <w:color w:val="000000"/>
                <w:sz w:val="16"/>
                <w:szCs w:val="16"/>
              </w:rPr>
            </w:pPr>
          </w:p>
        </w:tc>
        <w:tc>
          <w:tcPr>
            <w:tcW w:w="480" w:type="dxa"/>
            <w:tcBorders>
              <w:top w:val="single" w:sz="4" w:space="0" w:color="auto"/>
              <w:left w:val="nil"/>
              <w:bottom w:val="single" w:sz="4" w:space="0" w:color="auto"/>
              <w:right w:val="single" w:sz="8" w:space="0" w:color="auto"/>
            </w:tcBorders>
            <w:shd w:val="clear" w:color="auto" w:fill="auto"/>
            <w:noWrap/>
            <w:vAlign w:val="center"/>
          </w:tcPr>
          <w:p w:rsidR="00123DC4" w:rsidRPr="007F4916" w:rsidRDefault="00123DC4" w:rsidP="00132057">
            <w:pPr>
              <w:jc w:val="center"/>
              <w:rPr>
                <w:rFonts w:cs="Arial"/>
                <w:color w:val="000000"/>
                <w:sz w:val="16"/>
                <w:szCs w:val="16"/>
              </w:rPr>
            </w:pPr>
          </w:p>
        </w:tc>
      </w:tr>
      <w:tr w:rsidR="00123DC4" w:rsidRPr="00656CC0" w:rsidTr="00132057">
        <w:trPr>
          <w:trHeight w:val="440"/>
          <w:jc w:val="center"/>
        </w:trPr>
        <w:tc>
          <w:tcPr>
            <w:tcW w:w="2060" w:type="dxa"/>
            <w:tcBorders>
              <w:top w:val="single" w:sz="4" w:space="0" w:color="auto"/>
              <w:left w:val="single" w:sz="8" w:space="0" w:color="auto"/>
              <w:bottom w:val="single" w:sz="4" w:space="0" w:color="auto"/>
              <w:right w:val="single" w:sz="8" w:space="0" w:color="auto"/>
            </w:tcBorders>
            <w:shd w:val="clear" w:color="auto" w:fill="auto"/>
            <w:noWrap/>
            <w:vAlign w:val="bottom"/>
          </w:tcPr>
          <w:p w:rsidR="00123DC4" w:rsidRPr="006F1378" w:rsidRDefault="00123DC4" w:rsidP="00132057">
            <w:pPr>
              <w:keepNext/>
              <w:keepLines/>
              <w:autoSpaceDE w:val="0"/>
              <w:autoSpaceDN w:val="0"/>
              <w:adjustRightInd w:val="0"/>
              <w:spacing w:before="40" w:after="40"/>
              <w:rPr>
                <w:sz w:val="16"/>
                <w:szCs w:val="16"/>
              </w:rPr>
            </w:pPr>
            <w:r w:rsidRPr="006F1378">
              <w:rPr>
                <w:sz w:val="16"/>
                <w:szCs w:val="16"/>
              </w:rPr>
              <w:t>OGD Incoming Mail ECM configuration operational</w:t>
            </w:r>
          </w:p>
        </w:tc>
        <w:tc>
          <w:tcPr>
            <w:tcW w:w="260" w:type="dxa"/>
            <w:tcBorders>
              <w:top w:val="single" w:sz="4" w:space="0" w:color="auto"/>
              <w:left w:val="nil"/>
              <w:bottom w:val="single" w:sz="4" w:space="0" w:color="auto"/>
              <w:right w:val="single" w:sz="4" w:space="0" w:color="auto"/>
            </w:tcBorders>
            <w:shd w:val="clear" w:color="auto" w:fill="auto"/>
            <w:noWrap/>
            <w:vAlign w:val="bottom"/>
          </w:tcPr>
          <w:p w:rsidR="00123DC4" w:rsidRPr="007F4916" w:rsidRDefault="00123DC4" w:rsidP="00132057">
            <w:pPr>
              <w:rPr>
                <w:rFonts w:cs="Arial"/>
                <w:color w:val="000000"/>
                <w:sz w:val="16"/>
                <w:szCs w:val="16"/>
              </w:rPr>
            </w:pPr>
          </w:p>
        </w:tc>
        <w:tc>
          <w:tcPr>
            <w:tcW w:w="480" w:type="dxa"/>
            <w:tcBorders>
              <w:top w:val="single" w:sz="4" w:space="0" w:color="auto"/>
              <w:left w:val="nil"/>
              <w:bottom w:val="single" w:sz="4" w:space="0" w:color="auto"/>
              <w:right w:val="single" w:sz="4" w:space="0" w:color="auto"/>
            </w:tcBorders>
            <w:shd w:val="clear" w:color="auto" w:fill="auto"/>
            <w:noWrap/>
            <w:vAlign w:val="bottom"/>
          </w:tcPr>
          <w:p w:rsidR="00123DC4" w:rsidRPr="007F4916" w:rsidRDefault="00123DC4" w:rsidP="00132057">
            <w:pPr>
              <w:rPr>
                <w:rFonts w:cs="Arial"/>
                <w:color w:val="000000"/>
                <w:sz w:val="16"/>
                <w:szCs w:val="16"/>
              </w:rPr>
            </w:pPr>
          </w:p>
        </w:tc>
        <w:tc>
          <w:tcPr>
            <w:tcW w:w="480" w:type="dxa"/>
            <w:tcBorders>
              <w:top w:val="single" w:sz="4" w:space="0" w:color="auto"/>
              <w:left w:val="nil"/>
              <w:bottom w:val="single" w:sz="4" w:space="0" w:color="auto"/>
              <w:right w:val="single" w:sz="4" w:space="0" w:color="auto"/>
            </w:tcBorders>
            <w:shd w:val="clear" w:color="auto" w:fill="auto"/>
            <w:noWrap/>
            <w:vAlign w:val="bottom"/>
          </w:tcPr>
          <w:p w:rsidR="00123DC4" w:rsidRPr="007F4916" w:rsidRDefault="00123DC4" w:rsidP="00132057">
            <w:pPr>
              <w:rPr>
                <w:rFonts w:cs="Arial"/>
                <w:color w:val="000000"/>
                <w:sz w:val="16"/>
                <w:szCs w:val="16"/>
              </w:rPr>
            </w:pPr>
          </w:p>
        </w:tc>
        <w:tc>
          <w:tcPr>
            <w:tcW w:w="480" w:type="dxa"/>
            <w:tcBorders>
              <w:top w:val="single" w:sz="4" w:space="0" w:color="auto"/>
              <w:left w:val="nil"/>
              <w:bottom w:val="single" w:sz="4" w:space="0" w:color="auto"/>
              <w:right w:val="single" w:sz="8" w:space="0" w:color="auto"/>
            </w:tcBorders>
            <w:shd w:val="clear" w:color="auto" w:fill="auto"/>
            <w:noWrap/>
            <w:vAlign w:val="center"/>
          </w:tcPr>
          <w:p w:rsidR="00123DC4" w:rsidRPr="007F4916" w:rsidRDefault="00123DC4" w:rsidP="00132057">
            <w:pPr>
              <w:jc w:val="center"/>
              <w:rPr>
                <w:rFonts w:cs="Arial"/>
                <w:color w:val="000000"/>
                <w:sz w:val="16"/>
                <w:szCs w:val="16"/>
              </w:rPr>
            </w:pPr>
          </w:p>
        </w:tc>
        <w:tc>
          <w:tcPr>
            <w:tcW w:w="480" w:type="dxa"/>
            <w:tcBorders>
              <w:top w:val="single" w:sz="4" w:space="0" w:color="auto"/>
              <w:left w:val="nil"/>
              <w:bottom w:val="single" w:sz="4" w:space="0" w:color="auto"/>
              <w:right w:val="single" w:sz="4" w:space="0" w:color="auto"/>
            </w:tcBorders>
            <w:shd w:val="clear" w:color="auto" w:fill="auto"/>
            <w:noWrap/>
            <w:vAlign w:val="center"/>
          </w:tcPr>
          <w:p w:rsidR="00123DC4" w:rsidRPr="007F4916" w:rsidRDefault="00123DC4" w:rsidP="00132057">
            <w:pPr>
              <w:jc w:val="center"/>
              <w:rPr>
                <w:rFonts w:cs="Arial"/>
                <w:color w:val="000000"/>
                <w:sz w:val="16"/>
                <w:szCs w:val="16"/>
              </w:rPr>
            </w:pPr>
          </w:p>
        </w:tc>
        <w:tc>
          <w:tcPr>
            <w:tcW w:w="480" w:type="dxa"/>
            <w:tcBorders>
              <w:top w:val="single" w:sz="4" w:space="0" w:color="auto"/>
              <w:left w:val="nil"/>
              <w:bottom w:val="single" w:sz="4" w:space="0" w:color="auto"/>
              <w:right w:val="single" w:sz="4" w:space="0" w:color="auto"/>
            </w:tcBorders>
            <w:shd w:val="clear" w:color="auto" w:fill="auto"/>
            <w:noWrap/>
            <w:vAlign w:val="center"/>
          </w:tcPr>
          <w:p w:rsidR="00123DC4" w:rsidRPr="007F4916" w:rsidRDefault="00123DC4" w:rsidP="00132057">
            <w:pPr>
              <w:jc w:val="center"/>
              <w:rPr>
                <w:rFonts w:cs="Arial"/>
                <w:color w:val="000000"/>
                <w:sz w:val="16"/>
                <w:szCs w:val="16"/>
              </w:rPr>
            </w:pPr>
          </w:p>
        </w:tc>
        <w:tc>
          <w:tcPr>
            <w:tcW w:w="480" w:type="dxa"/>
            <w:tcBorders>
              <w:top w:val="single" w:sz="4" w:space="0" w:color="auto"/>
              <w:left w:val="nil"/>
              <w:bottom w:val="single" w:sz="4" w:space="0" w:color="auto"/>
              <w:right w:val="single" w:sz="4" w:space="0" w:color="auto"/>
            </w:tcBorders>
            <w:shd w:val="clear" w:color="auto" w:fill="auto"/>
            <w:noWrap/>
            <w:vAlign w:val="center"/>
          </w:tcPr>
          <w:p w:rsidR="00123DC4" w:rsidRPr="007F4916" w:rsidRDefault="00123DC4" w:rsidP="00132057">
            <w:pPr>
              <w:jc w:val="center"/>
              <w:rPr>
                <w:rFonts w:cs="Arial"/>
                <w:color w:val="000000"/>
                <w:sz w:val="16"/>
                <w:szCs w:val="16"/>
              </w:rPr>
            </w:pPr>
          </w:p>
        </w:tc>
        <w:tc>
          <w:tcPr>
            <w:tcW w:w="480" w:type="dxa"/>
            <w:tcBorders>
              <w:top w:val="single" w:sz="4" w:space="0" w:color="auto"/>
              <w:left w:val="nil"/>
              <w:bottom w:val="single" w:sz="4" w:space="0" w:color="auto"/>
              <w:right w:val="single" w:sz="8" w:space="0" w:color="auto"/>
            </w:tcBorders>
            <w:shd w:val="clear" w:color="auto" w:fill="auto"/>
            <w:noWrap/>
            <w:vAlign w:val="center"/>
          </w:tcPr>
          <w:p w:rsidR="00123DC4" w:rsidRPr="007F4916" w:rsidRDefault="00123DC4" w:rsidP="00132057">
            <w:pPr>
              <w:jc w:val="center"/>
              <w:rPr>
                <w:rFonts w:cs="Arial"/>
                <w:color w:val="000000"/>
                <w:sz w:val="16"/>
                <w:szCs w:val="16"/>
              </w:rPr>
            </w:pPr>
          </w:p>
        </w:tc>
        <w:tc>
          <w:tcPr>
            <w:tcW w:w="480" w:type="dxa"/>
            <w:tcBorders>
              <w:top w:val="single" w:sz="4" w:space="0" w:color="auto"/>
              <w:left w:val="nil"/>
              <w:bottom w:val="single" w:sz="4" w:space="0" w:color="auto"/>
              <w:right w:val="single" w:sz="4" w:space="0" w:color="auto"/>
            </w:tcBorders>
            <w:shd w:val="clear" w:color="auto" w:fill="auto"/>
            <w:noWrap/>
            <w:vAlign w:val="center"/>
          </w:tcPr>
          <w:p w:rsidR="00123DC4" w:rsidRPr="007F4916" w:rsidRDefault="00123DC4" w:rsidP="00132057">
            <w:pPr>
              <w:jc w:val="center"/>
              <w:rPr>
                <w:rFonts w:cs="Arial"/>
                <w:color w:val="000000"/>
                <w:sz w:val="16"/>
                <w:szCs w:val="16"/>
              </w:rPr>
            </w:pPr>
          </w:p>
        </w:tc>
        <w:tc>
          <w:tcPr>
            <w:tcW w:w="480" w:type="dxa"/>
            <w:tcBorders>
              <w:top w:val="single" w:sz="4" w:space="0" w:color="auto"/>
              <w:left w:val="nil"/>
              <w:bottom w:val="single" w:sz="4" w:space="0" w:color="auto"/>
              <w:right w:val="single" w:sz="4" w:space="0" w:color="auto"/>
            </w:tcBorders>
            <w:shd w:val="clear" w:color="auto" w:fill="auto"/>
            <w:noWrap/>
            <w:vAlign w:val="center"/>
          </w:tcPr>
          <w:p w:rsidR="00123DC4" w:rsidRPr="007F4916" w:rsidRDefault="00123DC4" w:rsidP="00132057">
            <w:pPr>
              <w:jc w:val="center"/>
              <w:rPr>
                <w:rFonts w:cs="Arial"/>
                <w:color w:val="000000"/>
                <w:sz w:val="16"/>
                <w:szCs w:val="16"/>
              </w:rPr>
            </w:pPr>
          </w:p>
        </w:tc>
        <w:tc>
          <w:tcPr>
            <w:tcW w:w="480" w:type="dxa"/>
            <w:tcBorders>
              <w:top w:val="single" w:sz="4" w:space="0" w:color="auto"/>
              <w:left w:val="nil"/>
              <w:bottom w:val="single" w:sz="4" w:space="0" w:color="auto"/>
              <w:right w:val="single" w:sz="4" w:space="0" w:color="auto"/>
            </w:tcBorders>
            <w:shd w:val="clear" w:color="auto" w:fill="auto"/>
            <w:noWrap/>
            <w:vAlign w:val="center"/>
          </w:tcPr>
          <w:p w:rsidR="00123DC4" w:rsidRPr="007F4916" w:rsidRDefault="00123DC4" w:rsidP="00132057">
            <w:pPr>
              <w:jc w:val="center"/>
              <w:rPr>
                <w:rFonts w:cs="Arial"/>
                <w:color w:val="000000"/>
                <w:sz w:val="16"/>
                <w:szCs w:val="16"/>
              </w:rPr>
            </w:pPr>
          </w:p>
        </w:tc>
        <w:tc>
          <w:tcPr>
            <w:tcW w:w="480" w:type="dxa"/>
            <w:tcBorders>
              <w:top w:val="single" w:sz="4" w:space="0" w:color="auto"/>
              <w:left w:val="nil"/>
              <w:bottom w:val="single" w:sz="4" w:space="0" w:color="auto"/>
              <w:right w:val="single" w:sz="8" w:space="0" w:color="auto"/>
            </w:tcBorders>
            <w:shd w:val="clear" w:color="auto" w:fill="auto"/>
            <w:noWrap/>
            <w:vAlign w:val="center"/>
          </w:tcPr>
          <w:p w:rsidR="00123DC4" w:rsidRPr="007F4916" w:rsidRDefault="00123DC4" w:rsidP="00132057">
            <w:pPr>
              <w:jc w:val="center"/>
              <w:rPr>
                <w:rFonts w:cs="Arial"/>
                <w:color w:val="000000"/>
                <w:sz w:val="16"/>
                <w:szCs w:val="16"/>
              </w:rPr>
            </w:pPr>
          </w:p>
        </w:tc>
        <w:tc>
          <w:tcPr>
            <w:tcW w:w="480" w:type="dxa"/>
            <w:tcBorders>
              <w:top w:val="single" w:sz="4" w:space="0" w:color="auto"/>
              <w:left w:val="nil"/>
              <w:bottom w:val="single" w:sz="4" w:space="0" w:color="auto"/>
              <w:right w:val="single" w:sz="4" w:space="0" w:color="auto"/>
            </w:tcBorders>
            <w:shd w:val="clear" w:color="auto" w:fill="auto"/>
            <w:noWrap/>
            <w:vAlign w:val="center"/>
          </w:tcPr>
          <w:p w:rsidR="00123DC4" w:rsidRPr="007F4916" w:rsidRDefault="00123DC4" w:rsidP="00132057">
            <w:pPr>
              <w:jc w:val="center"/>
              <w:rPr>
                <w:rFonts w:cs="Arial"/>
                <w:color w:val="000000"/>
                <w:sz w:val="16"/>
                <w:szCs w:val="16"/>
              </w:rPr>
            </w:pPr>
            <w:r>
              <w:rPr>
                <w:rFonts w:cs="Arial"/>
                <w:color w:val="000000"/>
                <w:sz w:val="16"/>
                <w:szCs w:val="16"/>
              </w:rPr>
              <w:t>X</w:t>
            </w:r>
          </w:p>
        </w:tc>
        <w:tc>
          <w:tcPr>
            <w:tcW w:w="480" w:type="dxa"/>
            <w:tcBorders>
              <w:top w:val="single" w:sz="4" w:space="0" w:color="auto"/>
              <w:left w:val="nil"/>
              <w:bottom w:val="single" w:sz="4" w:space="0" w:color="auto"/>
              <w:right w:val="single" w:sz="4" w:space="0" w:color="auto"/>
            </w:tcBorders>
            <w:shd w:val="clear" w:color="auto" w:fill="auto"/>
            <w:noWrap/>
            <w:vAlign w:val="center"/>
          </w:tcPr>
          <w:p w:rsidR="00123DC4" w:rsidRPr="007F4916" w:rsidRDefault="00123DC4" w:rsidP="00132057">
            <w:pPr>
              <w:jc w:val="center"/>
              <w:rPr>
                <w:rFonts w:cs="Arial"/>
                <w:color w:val="000000"/>
                <w:sz w:val="16"/>
                <w:szCs w:val="16"/>
              </w:rPr>
            </w:pPr>
          </w:p>
        </w:tc>
        <w:tc>
          <w:tcPr>
            <w:tcW w:w="480" w:type="dxa"/>
            <w:tcBorders>
              <w:top w:val="single" w:sz="4" w:space="0" w:color="auto"/>
              <w:left w:val="nil"/>
              <w:bottom w:val="single" w:sz="4" w:space="0" w:color="auto"/>
              <w:right w:val="single" w:sz="4" w:space="0" w:color="auto"/>
            </w:tcBorders>
            <w:shd w:val="clear" w:color="auto" w:fill="auto"/>
            <w:noWrap/>
            <w:vAlign w:val="center"/>
          </w:tcPr>
          <w:p w:rsidR="00123DC4" w:rsidRPr="007F4916" w:rsidRDefault="00123DC4" w:rsidP="00132057">
            <w:pPr>
              <w:jc w:val="center"/>
              <w:rPr>
                <w:rFonts w:cs="Arial"/>
                <w:color w:val="000000"/>
                <w:sz w:val="16"/>
                <w:szCs w:val="16"/>
              </w:rPr>
            </w:pPr>
          </w:p>
        </w:tc>
        <w:tc>
          <w:tcPr>
            <w:tcW w:w="480" w:type="dxa"/>
            <w:tcBorders>
              <w:top w:val="single" w:sz="4" w:space="0" w:color="auto"/>
              <w:left w:val="nil"/>
              <w:bottom w:val="single" w:sz="4" w:space="0" w:color="auto"/>
              <w:right w:val="single" w:sz="8" w:space="0" w:color="auto"/>
            </w:tcBorders>
            <w:shd w:val="clear" w:color="auto" w:fill="auto"/>
            <w:noWrap/>
            <w:vAlign w:val="center"/>
          </w:tcPr>
          <w:p w:rsidR="00123DC4" w:rsidRPr="007F4916" w:rsidRDefault="00123DC4" w:rsidP="00132057">
            <w:pPr>
              <w:jc w:val="center"/>
              <w:rPr>
                <w:rFonts w:cs="Arial"/>
                <w:color w:val="000000"/>
                <w:sz w:val="16"/>
                <w:szCs w:val="16"/>
              </w:rPr>
            </w:pPr>
          </w:p>
        </w:tc>
      </w:tr>
      <w:tr w:rsidR="00123DC4" w:rsidRPr="00656CC0" w:rsidTr="00132057">
        <w:trPr>
          <w:trHeight w:val="615"/>
          <w:jc w:val="center"/>
        </w:trPr>
        <w:tc>
          <w:tcPr>
            <w:tcW w:w="2060" w:type="dxa"/>
            <w:tcBorders>
              <w:top w:val="single" w:sz="4" w:space="0" w:color="auto"/>
              <w:left w:val="single" w:sz="8" w:space="0" w:color="auto"/>
              <w:bottom w:val="single" w:sz="4" w:space="0" w:color="auto"/>
              <w:right w:val="single" w:sz="8" w:space="0" w:color="auto"/>
            </w:tcBorders>
            <w:shd w:val="clear" w:color="auto" w:fill="auto"/>
            <w:noWrap/>
            <w:vAlign w:val="bottom"/>
            <w:hideMark/>
          </w:tcPr>
          <w:p w:rsidR="00123DC4" w:rsidRPr="006F1378" w:rsidRDefault="00123DC4" w:rsidP="00132057">
            <w:pPr>
              <w:keepNext/>
              <w:keepLines/>
              <w:autoSpaceDE w:val="0"/>
              <w:autoSpaceDN w:val="0"/>
              <w:adjustRightInd w:val="0"/>
              <w:spacing w:before="40" w:after="40"/>
              <w:rPr>
                <w:sz w:val="16"/>
                <w:szCs w:val="16"/>
              </w:rPr>
            </w:pPr>
            <w:r w:rsidRPr="006F1378">
              <w:rPr>
                <w:sz w:val="16"/>
                <w:szCs w:val="16"/>
              </w:rPr>
              <w:t> Vendor &amp; Contract management ECM configuration operational</w:t>
            </w:r>
          </w:p>
        </w:tc>
        <w:tc>
          <w:tcPr>
            <w:tcW w:w="260" w:type="dxa"/>
            <w:tcBorders>
              <w:top w:val="single" w:sz="4" w:space="0" w:color="auto"/>
              <w:left w:val="nil"/>
              <w:bottom w:val="single" w:sz="4" w:space="0" w:color="auto"/>
              <w:right w:val="single" w:sz="4" w:space="0" w:color="auto"/>
            </w:tcBorders>
            <w:shd w:val="clear" w:color="auto" w:fill="auto"/>
            <w:noWrap/>
            <w:vAlign w:val="bottom"/>
            <w:hideMark/>
          </w:tcPr>
          <w:p w:rsidR="00123DC4" w:rsidRPr="007F4916" w:rsidRDefault="00123DC4" w:rsidP="00132057">
            <w:pPr>
              <w:rPr>
                <w:rFonts w:cs="Arial"/>
                <w:color w:val="000000"/>
                <w:sz w:val="16"/>
                <w:szCs w:val="16"/>
              </w:rPr>
            </w:pPr>
            <w:r w:rsidRPr="007F4916">
              <w:rPr>
                <w:rFonts w:cs="Arial"/>
                <w:color w:val="000000"/>
                <w:sz w:val="16"/>
                <w:szCs w:val="16"/>
              </w:rPr>
              <w:t> </w:t>
            </w:r>
          </w:p>
        </w:tc>
        <w:tc>
          <w:tcPr>
            <w:tcW w:w="480" w:type="dxa"/>
            <w:tcBorders>
              <w:top w:val="single" w:sz="4" w:space="0" w:color="auto"/>
              <w:left w:val="nil"/>
              <w:bottom w:val="single" w:sz="4" w:space="0" w:color="auto"/>
              <w:right w:val="single" w:sz="4" w:space="0" w:color="auto"/>
            </w:tcBorders>
            <w:shd w:val="clear" w:color="auto" w:fill="auto"/>
            <w:noWrap/>
            <w:vAlign w:val="bottom"/>
            <w:hideMark/>
          </w:tcPr>
          <w:p w:rsidR="00123DC4" w:rsidRPr="007F4916" w:rsidRDefault="00123DC4" w:rsidP="00132057">
            <w:pPr>
              <w:rPr>
                <w:rFonts w:cs="Arial"/>
                <w:color w:val="000000"/>
                <w:sz w:val="16"/>
                <w:szCs w:val="16"/>
              </w:rPr>
            </w:pPr>
            <w:r w:rsidRPr="007F4916">
              <w:rPr>
                <w:rFonts w:cs="Arial"/>
                <w:color w:val="000000"/>
                <w:sz w:val="16"/>
                <w:szCs w:val="16"/>
              </w:rPr>
              <w:t> </w:t>
            </w:r>
          </w:p>
        </w:tc>
        <w:tc>
          <w:tcPr>
            <w:tcW w:w="480" w:type="dxa"/>
            <w:tcBorders>
              <w:top w:val="single" w:sz="4" w:space="0" w:color="auto"/>
              <w:left w:val="nil"/>
              <w:bottom w:val="single" w:sz="4" w:space="0" w:color="auto"/>
              <w:right w:val="single" w:sz="4" w:space="0" w:color="auto"/>
            </w:tcBorders>
            <w:shd w:val="clear" w:color="auto" w:fill="auto"/>
            <w:noWrap/>
            <w:vAlign w:val="bottom"/>
            <w:hideMark/>
          </w:tcPr>
          <w:p w:rsidR="00123DC4" w:rsidRPr="007F4916" w:rsidRDefault="00123DC4" w:rsidP="00132057">
            <w:pPr>
              <w:rPr>
                <w:rFonts w:cs="Arial"/>
                <w:color w:val="000000"/>
                <w:sz w:val="16"/>
                <w:szCs w:val="16"/>
              </w:rPr>
            </w:pPr>
            <w:r w:rsidRPr="007F4916">
              <w:rPr>
                <w:rFonts w:cs="Arial"/>
                <w:color w:val="000000"/>
                <w:sz w:val="16"/>
                <w:szCs w:val="16"/>
              </w:rPr>
              <w:t> </w:t>
            </w:r>
          </w:p>
        </w:tc>
        <w:tc>
          <w:tcPr>
            <w:tcW w:w="480" w:type="dxa"/>
            <w:tcBorders>
              <w:top w:val="single" w:sz="4" w:space="0" w:color="auto"/>
              <w:left w:val="nil"/>
              <w:bottom w:val="single" w:sz="4" w:space="0" w:color="auto"/>
              <w:right w:val="single" w:sz="8" w:space="0" w:color="auto"/>
            </w:tcBorders>
            <w:shd w:val="clear" w:color="auto" w:fill="auto"/>
            <w:noWrap/>
            <w:vAlign w:val="center"/>
            <w:hideMark/>
          </w:tcPr>
          <w:p w:rsidR="00123DC4" w:rsidRPr="007F4916" w:rsidRDefault="00123DC4" w:rsidP="00132057">
            <w:pPr>
              <w:jc w:val="center"/>
              <w:rPr>
                <w:rFonts w:cs="Arial"/>
                <w:color w:val="000000"/>
                <w:sz w:val="16"/>
                <w:szCs w:val="16"/>
              </w:rPr>
            </w:pPr>
          </w:p>
        </w:tc>
        <w:tc>
          <w:tcPr>
            <w:tcW w:w="480" w:type="dxa"/>
            <w:tcBorders>
              <w:top w:val="single" w:sz="4" w:space="0" w:color="auto"/>
              <w:left w:val="nil"/>
              <w:bottom w:val="single" w:sz="4" w:space="0" w:color="auto"/>
              <w:right w:val="single" w:sz="4" w:space="0" w:color="auto"/>
            </w:tcBorders>
            <w:shd w:val="clear" w:color="auto" w:fill="auto"/>
            <w:noWrap/>
            <w:vAlign w:val="center"/>
            <w:hideMark/>
          </w:tcPr>
          <w:p w:rsidR="00123DC4" w:rsidRPr="007F4916" w:rsidRDefault="00123DC4" w:rsidP="00132057">
            <w:pPr>
              <w:jc w:val="center"/>
              <w:rPr>
                <w:rFonts w:cs="Arial"/>
                <w:color w:val="000000"/>
                <w:sz w:val="16"/>
                <w:szCs w:val="16"/>
              </w:rPr>
            </w:pPr>
          </w:p>
        </w:tc>
        <w:tc>
          <w:tcPr>
            <w:tcW w:w="480" w:type="dxa"/>
            <w:tcBorders>
              <w:top w:val="single" w:sz="4" w:space="0" w:color="auto"/>
              <w:left w:val="nil"/>
              <w:bottom w:val="single" w:sz="4" w:space="0" w:color="auto"/>
              <w:right w:val="single" w:sz="4" w:space="0" w:color="auto"/>
            </w:tcBorders>
            <w:shd w:val="clear" w:color="auto" w:fill="auto"/>
            <w:noWrap/>
            <w:vAlign w:val="center"/>
            <w:hideMark/>
          </w:tcPr>
          <w:p w:rsidR="00123DC4" w:rsidRPr="007F4916" w:rsidRDefault="00123DC4" w:rsidP="00132057">
            <w:pPr>
              <w:jc w:val="center"/>
              <w:rPr>
                <w:rFonts w:cs="Arial"/>
                <w:color w:val="000000"/>
                <w:sz w:val="16"/>
                <w:szCs w:val="16"/>
              </w:rPr>
            </w:pPr>
          </w:p>
        </w:tc>
        <w:tc>
          <w:tcPr>
            <w:tcW w:w="480" w:type="dxa"/>
            <w:tcBorders>
              <w:top w:val="single" w:sz="4" w:space="0" w:color="auto"/>
              <w:left w:val="nil"/>
              <w:bottom w:val="single" w:sz="4" w:space="0" w:color="auto"/>
              <w:right w:val="single" w:sz="4" w:space="0" w:color="auto"/>
            </w:tcBorders>
            <w:shd w:val="clear" w:color="auto" w:fill="auto"/>
            <w:noWrap/>
            <w:vAlign w:val="center"/>
            <w:hideMark/>
          </w:tcPr>
          <w:p w:rsidR="00123DC4" w:rsidRPr="007F4916" w:rsidRDefault="00123DC4" w:rsidP="00132057">
            <w:pPr>
              <w:jc w:val="center"/>
              <w:rPr>
                <w:rFonts w:cs="Arial"/>
                <w:color w:val="000000"/>
                <w:sz w:val="16"/>
                <w:szCs w:val="16"/>
              </w:rPr>
            </w:pPr>
          </w:p>
        </w:tc>
        <w:tc>
          <w:tcPr>
            <w:tcW w:w="480" w:type="dxa"/>
            <w:tcBorders>
              <w:top w:val="single" w:sz="4" w:space="0" w:color="auto"/>
              <w:left w:val="nil"/>
              <w:bottom w:val="single" w:sz="4" w:space="0" w:color="auto"/>
              <w:right w:val="single" w:sz="8" w:space="0" w:color="auto"/>
            </w:tcBorders>
            <w:shd w:val="clear" w:color="auto" w:fill="auto"/>
            <w:noWrap/>
            <w:vAlign w:val="center"/>
            <w:hideMark/>
          </w:tcPr>
          <w:p w:rsidR="00123DC4" w:rsidRPr="007F4916" w:rsidRDefault="00123DC4" w:rsidP="00132057">
            <w:pPr>
              <w:jc w:val="center"/>
              <w:rPr>
                <w:rFonts w:cs="Arial"/>
                <w:color w:val="000000"/>
                <w:sz w:val="16"/>
                <w:szCs w:val="16"/>
              </w:rPr>
            </w:pPr>
          </w:p>
        </w:tc>
        <w:tc>
          <w:tcPr>
            <w:tcW w:w="480" w:type="dxa"/>
            <w:tcBorders>
              <w:top w:val="single" w:sz="4" w:space="0" w:color="auto"/>
              <w:left w:val="nil"/>
              <w:bottom w:val="single" w:sz="4" w:space="0" w:color="auto"/>
              <w:right w:val="single" w:sz="4" w:space="0" w:color="auto"/>
            </w:tcBorders>
            <w:shd w:val="clear" w:color="auto" w:fill="auto"/>
            <w:noWrap/>
            <w:vAlign w:val="center"/>
            <w:hideMark/>
          </w:tcPr>
          <w:p w:rsidR="00123DC4" w:rsidRPr="007F4916" w:rsidRDefault="00123DC4" w:rsidP="00132057">
            <w:pPr>
              <w:jc w:val="center"/>
              <w:rPr>
                <w:rFonts w:cs="Arial"/>
                <w:color w:val="000000"/>
                <w:sz w:val="16"/>
                <w:szCs w:val="16"/>
              </w:rPr>
            </w:pPr>
          </w:p>
        </w:tc>
        <w:tc>
          <w:tcPr>
            <w:tcW w:w="480" w:type="dxa"/>
            <w:tcBorders>
              <w:top w:val="single" w:sz="4" w:space="0" w:color="auto"/>
              <w:left w:val="nil"/>
              <w:bottom w:val="single" w:sz="4" w:space="0" w:color="auto"/>
              <w:right w:val="single" w:sz="4" w:space="0" w:color="auto"/>
            </w:tcBorders>
            <w:shd w:val="clear" w:color="auto" w:fill="auto"/>
            <w:noWrap/>
            <w:vAlign w:val="center"/>
            <w:hideMark/>
          </w:tcPr>
          <w:p w:rsidR="00123DC4" w:rsidRPr="007F4916" w:rsidRDefault="00123DC4" w:rsidP="00132057">
            <w:pPr>
              <w:jc w:val="center"/>
              <w:rPr>
                <w:rFonts w:cs="Arial"/>
                <w:color w:val="000000"/>
                <w:sz w:val="16"/>
                <w:szCs w:val="16"/>
              </w:rPr>
            </w:pPr>
          </w:p>
        </w:tc>
        <w:tc>
          <w:tcPr>
            <w:tcW w:w="480" w:type="dxa"/>
            <w:tcBorders>
              <w:top w:val="single" w:sz="4" w:space="0" w:color="auto"/>
              <w:left w:val="nil"/>
              <w:bottom w:val="single" w:sz="4" w:space="0" w:color="auto"/>
              <w:right w:val="single" w:sz="4" w:space="0" w:color="auto"/>
            </w:tcBorders>
            <w:shd w:val="clear" w:color="auto" w:fill="auto"/>
            <w:noWrap/>
            <w:vAlign w:val="center"/>
            <w:hideMark/>
          </w:tcPr>
          <w:p w:rsidR="00123DC4" w:rsidRPr="007F4916" w:rsidRDefault="00123DC4" w:rsidP="00132057">
            <w:pPr>
              <w:jc w:val="center"/>
              <w:rPr>
                <w:rFonts w:cs="Arial"/>
                <w:color w:val="000000"/>
                <w:sz w:val="16"/>
                <w:szCs w:val="16"/>
              </w:rPr>
            </w:pPr>
          </w:p>
        </w:tc>
        <w:tc>
          <w:tcPr>
            <w:tcW w:w="480" w:type="dxa"/>
            <w:tcBorders>
              <w:top w:val="single" w:sz="4" w:space="0" w:color="auto"/>
              <w:left w:val="nil"/>
              <w:bottom w:val="single" w:sz="4" w:space="0" w:color="auto"/>
              <w:right w:val="single" w:sz="8" w:space="0" w:color="auto"/>
            </w:tcBorders>
            <w:shd w:val="clear" w:color="auto" w:fill="auto"/>
            <w:noWrap/>
            <w:vAlign w:val="center"/>
            <w:hideMark/>
          </w:tcPr>
          <w:p w:rsidR="00123DC4" w:rsidRPr="007F4916" w:rsidRDefault="00123DC4" w:rsidP="00132057">
            <w:pPr>
              <w:jc w:val="center"/>
              <w:rPr>
                <w:rFonts w:cs="Arial"/>
                <w:color w:val="000000"/>
                <w:sz w:val="16"/>
                <w:szCs w:val="16"/>
              </w:rPr>
            </w:pPr>
          </w:p>
        </w:tc>
        <w:tc>
          <w:tcPr>
            <w:tcW w:w="480" w:type="dxa"/>
            <w:tcBorders>
              <w:top w:val="single" w:sz="4" w:space="0" w:color="auto"/>
              <w:left w:val="nil"/>
              <w:bottom w:val="single" w:sz="4" w:space="0" w:color="auto"/>
              <w:right w:val="single" w:sz="4" w:space="0" w:color="auto"/>
            </w:tcBorders>
            <w:shd w:val="clear" w:color="auto" w:fill="auto"/>
            <w:noWrap/>
            <w:vAlign w:val="center"/>
            <w:hideMark/>
          </w:tcPr>
          <w:p w:rsidR="00123DC4" w:rsidRPr="007F4916" w:rsidRDefault="00123DC4" w:rsidP="00132057">
            <w:pPr>
              <w:jc w:val="center"/>
              <w:rPr>
                <w:rFonts w:cs="Arial"/>
                <w:color w:val="000000"/>
                <w:sz w:val="16"/>
                <w:szCs w:val="16"/>
              </w:rPr>
            </w:pPr>
            <w:r>
              <w:rPr>
                <w:rFonts w:cs="Arial"/>
                <w:color w:val="000000"/>
                <w:sz w:val="16"/>
                <w:szCs w:val="16"/>
              </w:rPr>
              <w:t>X</w:t>
            </w:r>
          </w:p>
        </w:tc>
        <w:tc>
          <w:tcPr>
            <w:tcW w:w="480" w:type="dxa"/>
            <w:tcBorders>
              <w:top w:val="single" w:sz="4" w:space="0" w:color="auto"/>
              <w:left w:val="nil"/>
              <w:bottom w:val="single" w:sz="4" w:space="0" w:color="auto"/>
              <w:right w:val="single" w:sz="4" w:space="0" w:color="auto"/>
            </w:tcBorders>
            <w:shd w:val="clear" w:color="auto" w:fill="auto"/>
            <w:noWrap/>
            <w:vAlign w:val="center"/>
            <w:hideMark/>
          </w:tcPr>
          <w:p w:rsidR="00123DC4" w:rsidRPr="007F4916" w:rsidRDefault="00123DC4" w:rsidP="00132057">
            <w:pPr>
              <w:jc w:val="center"/>
              <w:rPr>
                <w:rFonts w:cs="Arial"/>
                <w:color w:val="000000"/>
                <w:sz w:val="16"/>
                <w:szCs w:val="16"/>
              </w:rPr>
            </w:pPr>
          </w:p>
        </w:tc>
        <w:tc>
          <w:tcPr>
            <w:tcW w:w="480" w:type="dxa"/>
            <w:tcBorders>
              <w:top w:val="single" w:sz="4" w:space="0" w:color="auto"/>
              <w:left w:val="nil"/>
              <w:bottom w:val="single" w:sz="4" w:space="0" w:color="auto"/>
              <w:right w:val="single" w:sz="4" w:space="0" w:color="auto"/>
            </w:tcBorders>
            <w:shd w:val="clear" w:color="auto" w:fill="auto"/>
            <w:noWrap/>
            <w:vAlign w:val="center"/>
            <w:hideMark/>
          </w:tcPr>
          <w:p w:rsidR="00123DC4" w:rsidRPr="007F4916" w:rsidRDefault="00123DC4" w:rsidP="00132057">
            <w:pPr>
              <w:jc w:val="center"/>
              <w:rPr>
                <w:rFonts w:cs="Arial"/>
                <w:color w:val="000000"/>
                <w:sz w:val="16"/>
                <w:szCs w:val="16"/>
              </w:rPr>
            </w:pPr>
          </w:p>
        </w:tc>
        <w:tc>
          <w:tcPr>
            <w:tcW w:w="480" w:type="dxa"/>
            <w:tcBorders>
              <w:top w:val="single" w:sz="4" w:space="0" w:color="auto"/>
              <w:left w:val="nil"/>
              <w:bottom w:val="single" w:sz="4" w:space="0" w:color="auto"/>
              <w:right w:val="single" w:sz="8" w:space="0" w:color="auto"/>
            </w:tcBorders>
            <w:shd w:val="clear" w:color="auto" w:fill="auto"/>
            <w:noWrap/>
            <w:vAlign w:val="center"/>
            <w:hideMark/>
          </w:tcPr>
          <w:p w:rsidR="00123DC4" w:rsidRPr="007F4916" w:rsidRDefault="00123DC4" w:rsidP="00132057">
            <w:pPr>
              <w:jc w:val="center"/>
              <w:rPr>
                <w:rFonts w:cs="Arial"/>
                <w:color w:val="000000"/>
                <w:sz w:val="16"/>
                <w:szCs w:val="16"/>
              </w:rPr>
            </w:pPr>
          </w:p>
        </w:tc>
      </w:tr>
      <w:tr w:rsidR="00123DC4" w:rsidRPr="00656CC0" w:rsidTr="00132057">
        <w:trPr>
          <w:trHeight w:val="449"/>
          <w:jc w:val="center"/>
        </w:trPr>
        <w:tc>
          <w:tcPr>
            <w:tcW w:w="2060" w:type="dxa"/>
            <w:tcBorders>
              <w:top w:val="single" w:sz="4" w:space="0" w:color="auto"/>
              <w:left w:val="single" w:sz="8" w:space="0" w:color="auto"/>
              <w:bottom w:val="single" w:sz="4" w:space="0" w:color="auto"/>
              <w:right w:val="single" w:sz="8" w:space="0" w:color="auto"/>
            </w:tcBorders>
            <w:shd w:val="clear" w:color="auto" w:fill="auto"/>
            <w:noWrap/>
            <w:vAlign w:val="bottom"/>
          </w:tcPr>
          <w:p w:rsidR="00123DC4" w:rsidRPr="006F1378" w:rsidRDefault="00123DC4" w:rsidP="00132057">
            <w:pPr>
              <w:keepNext/>
              <w:keepLines/>
              <w:autoSpaceDE w:val="0"/>
              <w:autoSpaceDN w:val="0"/>
              <w:adjustRightInd w:val="0"/>
              <w:spacing w:before="40" w:after="40"/>
              <w:rPr>
                <w:sz w:val="16"/>
                <w:szCs w:val="16"/>
              </w:rPr>
            </w:pPr>
            <w:r w:rsidRPr="006F1378">
              <w:rPr>
                <w:sz w:val="16"/>
                <w:szCs w:val="16"/>
              </w:rPr>
              <w:t>Mission Reports ECM configuration operational</w:t>
            </w:r>
          </w:p>
        </w:tc>
        <w:tc>
          <w:tcPr>
            <w:tcW w:w="260" w:type="dxa"/>
            <w:tcBorders>
              <w:top w:val="single" w:sz="4" w:space="0" w:color="auto"/>
              <w:left w:val="nil"/>
              <w:bottom w:val="single" w:sz="4" w:space="0" w:color="auto"/>
              <w:right w:val="single" w:sz="4" w:space="0" w:color="auto"/>
            </w:tcBorders>
            <w:shd w:val="clear" w:color="auto" w:fill="auto"/>
            <w:noWrap/>
            <w:vAlign w:val="bottom"/>
          </w:tcPr>
          <w:p w:rsidR="00123DC4" w:rsidRPr="007F4916" w:rsidRDefault="00123DC4" w:rsidP="00132057">
            <w:pPr>
              <w:rPr>
                <w:rFonts w:cs="Arial"/>
                <w:color w:val="000000"/>
                <w:sz w:val="16"/>
                <w:szCs w:val="16"/>
              </w:rPr>
            </w:pPr>
          </w:p>
        </w:tc>
        <w:tc>
          <w:tcPr>
            <w:tcW w:w="480" w:type="dxa"/>
            <w:tcBorders>
              <w:top w:val="single" w:sz="4" w:space="0" w:color="auto"/>
              <w:left w:val="nil"/>
              <w:bottom w:val="single" w:sz="4" w:space="0" w:color="auto"/>
              <w:right w:val="single" w:sz="4" w:space="0" w:color="auto"/>
            </w:tcBorders>
            <w:shd w:val="clear" w:color="auto" w:fill="auto"/>
            <w:noWrap/>
            <w:vAlign w:val="bottom"/>
          </w:tcPr>
          <w:p w:rsidR="00123DC4" w:rsidRPr="007F4916" w:rsidRDefault="00123DC4" w:rsidP="00132057">
            <w:pPr>
              <w:rPr>
                <w:rFonts w:cs="Arial"/>
                <w:color w:val="000000"/>
                <w:sz w:val="16"/>
                <w:szCs w:val="16"/>
              </w:rPr>
            </w:pPr>
          </w:p>
        </w:tc>
        <w:tc>
          <w:tcPr>
            <w:tcW w:w="480" w:type="dxa"/>
            <w:tcBorders>
              <w:top w:val="single" w:sz="4" w:space="0" w:color="auto"/>
              <w:left w:val="nil"/>
              <w:bottom w:val="single" w:sz="4" w:space="0" w:color="auto"/>
              <w:right w:val="single" w:sz="4" w:space="0" w:color="auto"/>
            </w:tcBorders>
            <w:shd w:val="clear" w:color="auto" w:fill="auto"/>
            <w:noWrap/>
            <w:vAlign w:val="bottom"/>
          </w:tcPr>
          <w:p w:rsidR="00123DC4" w:rsidRPr="007F4916" w:rsidRDefault="00123DC4" w:rsidP="00132057">
            <w:pPr>
              <w:rPr>
                <w:rFonts w:cs="Arial"/>
                <w:color w:val="000000"/>
                <w:sz w:val="16"/>
                <w:szCs w:val="16"/>
              </w:rPr>
            </w:pPr>
          </w:p>
        </w:tc>
        <w:tc>
          <w:tcPr>
            <w:tcW w:w="480" w:type="dxa"/>
            <w:tcBorders>
              <w:top w:val="single" w:sz="4" w:space="0" w:color="auto"/>
              <w:left w:val="nil"/>
              <w:bottom w:val="single" w:sz="4" w:space="0" w:color="auto"/>
              <w:right w:val="single" w:sz="8" w:space="0" w:color="auto"/>
            </w:tcBorders>
            <w:shd w:val="clear" w:color="auto" w:fill="auto"/>
            <w:noWrap/>
            <w:vAlign w:val="center"/>
          </w:tcPr>
          <w:p w:rsidR="00123DC4" w:rsidRPr="007F4916" w:rsidRDefault="00123DC4" w:rsidP="00132057">
            <w:pPr>
              <w:jc w:val="center"/>
              <w:rPr>
                <w:rFonts w:cs="Arial"/>
                <w:color w:val="000000"/>
                <w:sz w:val="16"/>
                <w:szCs w:val="16"/>
              </w:rPr>
            </w:pPr>
          </w:p>
        </w:tc>
        <w:tc>
          <w:tcPr>
            <w:tcW w:w="480" w:type="dxa"/>
            <w:tcBorders>
              <w:top w:val="single" w:sz="4" w:space="0" w:color="auto"/>
              <w:left w:val="nil"/>
              <w:bottom w:val="single" w:sz="4" w:space="0" w:color="auto"/>
              <w:right w:val="single" w:sz="4" w:space="0" w:color="auto"/>
            </w:tcBorders>
            <w:shd w:val="clear" w:color="auto" w:fill="auto"/>
            <w:noWrap/>
            <w:vAlign w:val="center"/>
          </w:tcPr>
          <w:p w:rsidR="00123DC4" w:rsidRPr="007F4916" w:rsidRDefault="00123DC4" w:rsidP="00132057">
            <w:pPr>
              <w:jc w:val="center"/>
              <w:rPr>
                <w:rFonts w:cs="Arial"/>
                <w:color w:val="000000"/>
                <w:sz w:val="16"/>
                <w:szCs w:val="16"/>
              </w:rPr>
            </w:pPr>
          </w:p>
        </w:tc>
        <w:tc>
          <w:tcPr>
            <w:tcW w:w="480" w:type="dxa"/>
            <w:tcBorders>
              <w:top w:val="single" w:sz="4" w:space="0" w:color="auto"/>
              <w:left w:val="nil"/>
              <w:bottom w:val="single" w:sz="4" w:space="0" w:color="auto"/>
              <w:right w:val="single" w:sz="4" w:space="0" w:color="auto"/>
            </w:tcBorders>
            <w:shd w:val="clear" w:color="auto" w:fill="auto"/>
            <w:noWrap/>
            <w:vAlign w:val="center"/>
          </w:tcPr>
          <w:p w:rsidR="00123DC4" w:rsidRPr="007F4916" w:rsidRDefault="00123DC4" w:rsidP="00132057">
            <w:pPr>
              <w:jc w:val="center"/>
              <w:rPr>
                <w:rFonts w:cs="Arial"/>
                <w:color w:val="000000"/>
                <w:sz w:val="16"/>
                <w:szCs w:val="16"/>
              </w:rPr>
            </w:pPr>
          </w:p>
        </w:tc>
        <w:tc>
          <w:tcPr>
            <w:tcW w:w="480" w:type="dxa"/>
            <w:tcBorders>
              <w:top w:val="single" w:sz="4" w:space="0" w:color="auto"/>
              <w:left w:val="nil"/>
              <w:bottom w:val="single" w:sz="4" w:space="0" w:color="auto"/>
              <w:right w:val="single" w:sz="4" w:space="0" w:color="auto"/>
            </w:tcBorders>
            <w:shd w:val="clear" w:color="auto" w:fill="auto"/>
            <w:noWrap/>
            <w:vAlign w:val="center"/>
          </w:tcPr>
          <w:p w:rsidR="00123DC4" w:rsidRPr="007F4916" w:rsidRDefault="00123DC4" w:rsidP="00132057">
            <w:pPr>
              <w:jc w:val="center"/>
              <w:rPr>
                <w:rFonts w:cs="Arial"/>
                <w:color w:val="000000"/>
                <w:sz w:val="16"/>
                <w:szCs w:val="16"/>
              </w:rPr>
            </w:pPr>
          </w:p>
        </w:tc>
        <w:tc>
          <w:tcPr>
            <w:tcW w:w="480" w:type="dxa"/>
            <w:tcBorders>
              <w:top w:val="single" w:sz="4" w:space="0" w:color="auto"/>
              <w:left w:val="nil"/>
              <w:bottom w:val="single" w:sz="4" w:space="0" w:color="auto"/>
              <w:right w:val="single" w:sz="8" w:space="0" w:color="auto"/>
            </w:tcBorders>
            <w:shd w:val="clear" w:color="auto" w:fill="auto"/>
            <w:noWrap/>
            <w:vAlign w:val="center"/>
          </w:tcPr>
          <w:p w:rsidR="00123DC4" w:rsidRPr="007F4916" w:rsidRDefault="00123DC4" w:rsidP="00132057">
            <w:pPr>
              <w:jc w:val="center"/>
              <w:rPr>
                <w:rFonts w:cs="Arial"/>
                <w:color w:val="000000"/>
                <w:sz w:val="16"/>
                <w:szCs w:val="16"/>
              </w:rPr>
            </w:pPr>
          </w:p>
        </w:tc>
        <w:tc>
          <w:tcPr>
            <w:tcW w:w="480" w:type="dxa"/>
            <w:tcBorders>
              <w:top w:val="single" w:sz="4" w:space="0" w:color="auto"/>
              <w:left w:val="nil"/>
              <w:bottom w:val="single" w:sz="4" w:space="0" w:color="auto"/>
              <w:right w:val="single" w:sz="4" w:space="0" w:color="auto"/>
            </w:tcBorders>
            <w:shd w:val="clear" w:color="auto" w:fill="auto"/>
            <w:noWrap/>
            <w:vAlign w:val="center"/>
          </w:tcPr>
          <w:p w:rsidR="00123DC4" w:rsidRPr="007F4916" w:rsidRDefault="00123DC4" w:rsidP="00132057">
            <w:pPr>
              <w:jc w:val="center"/>
              <w:rPr>
                <w:rFonts w:cs="Arial"/>
                <w:color w:val="000000"/>
                <w:sz w:val="16"/>
                <w:szCs w:val="16"/>
              </w:rPr>
            </w:pPr>
          </w:p>
        </w:tc>
        <w:tc>
          <w:tcPr>
            <w:tcW w:w="480" w:type="dxa"/>
            <w:tcBorders>
              <w:top w:val="single" w:sz="4" w:space="0" w:color="auto"/>
              <w:left w:val="nil"/>
              <w:bottom w:val="single" w:sz="4" w:space="0" w:color="auto"/>
              <w:right w:val="single" w:sz="4" w:space="0" w:color="auto"/>
            </w:tcBorders>
            <w:shd w:val="clear" w:color="auto" w:fill="auto"/>
            <w:noWrap/>
            <w:vAlign w:val="center"/>
          </w:tcPr>
          <w:p w:rsidR="00123DC4" w:rsidRPr="007F4916" w:rsidRDefault="00123DC4" w:rsidP="00132057">
            <w:pPr>
              <w:jc w:val="center"/>
              <w:rPr>
                <w:rFonts w:cs="Arial"/>
                <w:color w:val="000000"/>
                <w:sz w:val="16"/>
                <w:szCs w:val="16"/>
              </w:rPr>
            </w:pPr>
          </w:p>
        </w:tc>
        <w:tc>
          <w:tcPr>
            <w:tcW w:w="480" w:type="dxa"/>
            <w:tcBorders>
              <w:top w:val="single" w:sz="4" w:space="0" w:color="auto"/>
              <w:left w:val="nil"/>
              <w:bottom w:val="single" w:sz="4" w:space="0" w:color="auto"/>
              <w:right w:val="single" w:sz="4" w:space="0" w:color="auto"/>
            </w:tcBorders>
            <w:shd w:val="clear" w:color="auto" w:fill="auto"/>
            <w:noWrap/>
            <w:vAlign w:val="center"/>
          </w:tcPr>
          <w:p w:rsidR="00123DC4" w:rsidRPr="007F4916" w:rsidRDefault="00123DC4" w:rsidP="00132057">
            <w:pPr>
              <w:jc w:val="center"/>
              <w:rPr>
                <w:rFonts w:cs="Arial"/>
                <w:color w:val="000000"/>
                <w:sz w:val="16"/>
                <w:szCs w:val="16"/>
              </w:rPr>
            </w:pPr>
          </w:p>
        </w:tc>
        <w:tc>
          <w:tcPr>
            <w:tcW w:w="480" w:type="dxa"/>
            <w:tcBorders>
              <w:top w:val="single" w:sz="4" w:space="0" w:color="auto"/>
              <w:left w:val="nil"/>
              <w:bottom w:val="single" w:sz="4" w:space="0" w:color="auto"/>
              <w:right w:val="single" w:sz="8" w:space="0" w:color="auto"/>
            </w:tcBorders>
            <w:shd w:val="clear" w:color="auto" w:fill="auto"/>
            <w:noWrap/>
            <w:vAlign w:val="center"/>
          </w:tcPr>
          <w:p w:rsidR="00123DC4" w:rsidRPr="007F4916" w:rsidRDefault="00123DC4" w:rsidP="00132057">
            <w:pPr>
              <w:jc w:val="center"/>
              <w:rPr>
                <w:rFonts w:cs="Arial"/>
                <w:color w:val="000000"/>
                <w:sz w:val="16"/>
                <w:szCs w:val="16"/>
              </w:rPr>
            </w:pPr>
          </w:p>
        </w:tc>
        <w:tc>
          <w:tcPr>
            <w:tcW w:w="480" w:type="dxa"/>
            <w:tcBorders>
              <w:top w:val="single" w:sz="4" w:space="0" w:color="auto"/>
              <w:left w:val="nil"/>
              <w:bottom w:val="single" w:sz="4" w:space="0" w:color="auto"/>
              <w:right w:val="single" w:sz="4" w:space="0" w:color="auto"/>
            </w:tcBorders>
            <w:shd w:val="clear" w:color="auto" w:fill="auto"/>
            <w:noWrap/>
            <w:vAlign w:val="center"/>
          </w:tcPr>
          <w:p w:rsidR="00123DC4" w:rsidRPr="007F4916" w:rsidRDefault="00123DC4" w:rsidP="00132057">
            <w:pPr>
              <w:jc w:val="center"/>
              <w:rPr>
                <w:rFonts w:cs="Arial"/>
                <w:color w:val="000000"/>
                <w:sz w:val="16"/>
                <w:szCs w:val="16"/>
              </w:rPr>
            </w:pPr>
          </w:p>
        </w:tc>
        <w:tc>
          <w:tcPr>
            <w:tcW w:w="480" w:type="dxa"/>
            <w:tcBorders>
              <w:top w:val="single" w:sz="4" w:space="0" w:color="auto"/>
              <w:left w:val="nil"/>
              <w:bottom w:val="single" w:sz="4" w:space="0" w:color="auto"/>
              <w:right w:val="single" w:sz="4" w:space="0" w:color="auto"/>
            </w:tcBorders>
            <w:shd w:val="clear" w:color="auto" w:fill="auto"/>
            <w:noWrap/>
            <w:vAlign w:val="center"/>
          </w:tcPr>
          <w:p w:rsidR="00123DC4" w:rsidRPr="007F4916" w:rsidRDefault="00123DC4" w:rsidP="00132057">
            <w:pPr>
              <w:jc w:val="center"/>
              <w:rPr>
                <w:rFonts w:cs="Arial"/>
                <w:color w:val="000000"/>
                <w:sz w:val="16"/>
                <w:szCs w:val="16"/>
              </w:rPr>
            </w:pPr>
            <w:r>
              <w:rPr>
                <w:rFonts w:cs="Arial"/>
                <w:color w:val="000000"/>
                <w:sz w:val="16"/>
                <w:szCs w:val="16"/>
              </w:rPr>
              <w:t>X</w:t>
            </w:r>
          </w:p>
        </w:tc>
        <w:tc>
          <w:tcPr>
            <w:tcW w:w="480" w:type="dxa"/>
            <w:tcBorders>
              <w:top w:val="single" w:sz="4" w:space="0" w:color="auto"/>
              <w:left w:val="nil"/>
              <w:bottom w:val="single" w:sz="4" w:space="0" w:color="auto"/>
              <w:right w:val="single" w:sz="4" w:space="0" w:color="auto"/>
            </w:tcBorders>
            <w:shd w:val="clear" w:color="auto" w:fill="auto"/>
            <w:noWrap/>
            <w:vAlign w:val="center"/>
          </w:tcPr>
          <w:p w:rsidR="00123DC4" w:rsidRPr="007F4916" w:rsidRDefault="00123DC4" w:rsidP="00132057">
            <w:pPr>
              <w:jc w:val="center"/>
              <w:rPr>
                <w:rFonts w:cs="Arial"/>
                <w:color w:val="000000"/>
                <w:sz w:val="16"/>
                <w:szCs w:val="16"/>
              </w:rPr>
            </w:pPr>
          </w:p>
        </w:tc>
        <w:tc>
          <w:tcPr>
            <w:tcW w:w="480" w:type="dxa"/>
            <w:tcBorders>
              <w:top w:val="single" w:sz="4" w:space="0" w:color="auto"/>
              <w:left w:val="nil"/>
              <w:bottom w:val="single" w:sz="4" w:space="0" w:color="auto"/>
              <w:right w:val="single" w:sz="8" w:space="0" w:color="auto"/>
            </w:tcBorders>
            <w:shd w:val="clear" w:color="auto" w:fill="auto"/>
            <w:noWrap/>
            <w:vAlign w:val="center"/>
          </w:tcPr>
          <w:p w:rsidR="00123DC4" w:rsidRPr="007F4916" w:rsidRDefault="00123DC4" w:rsidP="00132057">
            <w:pPr>
              <w:jc w:val="center"/>
              <w:rPr>
                <w:rFonts w:cs="Arial"/>
                <w:color w:val="000000"/>
                <w:sz w:val="16"/>
                <w:szCs w:val="16"/>
              </w:rPr>
            </w:pPr>
          </w:p>
        </w:tc>
      </w:tr>
      <w:tr w:rsidR="00123DC4" w:rsidRPr="00656CC0" w:rsidTr="00132057">
        <w:trPr>
          <w:trHeight w:val="530"/>
          <w:jc w:val="center"/>
        </w:trPr>
        <w:tc>
          <w:tcPr>
            <w:tcW w:w="2060" w:type="dxa"/>
            <w:tcBorders>
              <w:top w:val="single" w:sz="4" w:space="0" w:color="auto"/>
              <w:left w:val="single" w:sz="8" w:space="0" w:color="auto"/>
              <w:bottom w:val="single" w:sz="4" w:space="0" w:color="auto"/>
              <w:right w:val="single" w:sz="8" w:space="0" w:color="auto"/>
            </w:tcBorders>
            <w:shd w:val="clear" w:color="auto" w:fill="auto"/>
            <w:noWrap/>
            <w:vAlign w:val="bottom"/>
          </w:tcPr>
          <w:p w:rsidR="00123DC4" w:rsidRPr="006F1378" w:rsidRDefault="00123DC4" w:rsidP="00132057">
            <w:pPr>
              <w:keepNext/>
              <w:keepLines/>
              <w:autoSpaceDE w:val="0"/>
              <w:autoSpaceDN w:val="0"/>
              <w:adjustRightInd w:val="0"/>
              <w:spacing w:before="40" w:after="40"/>
              <w:rPr>
                <w:sz w:val="16"/>
                <w:szCs w:val="16"/>
              </w:rPr>
            </w:pPr>
            <w:r w:rsidRPr="006F1378">
              <w:rPr>
                <w:sz w:val="16"/>
                <w:szCs w:val="16"/>
              </w:rPr>
              <w:t>HR Staff eFile ECM configuration operational</w:t>
            </w:r>
          </w:p>
        </w:tc>
        <w:tc>
          <w:tcPr>
            <w:tcW w:w="260" w:type="dxa"/>
            <w:tcBorders>
              <w:top w:val="single" w:sz="4" w:space="0" w:color="auto"/>
              <w:left w:val="nil"/>
              <w:bottom w:val="single" w:sz="4" w:space="0" w:color="auto"/>
              <w:right w:val="single" w:sz="4" w:space="0" w:color="auto"/>
            </w:tcBorders>
            <w:shd w:val="clear" w:color="auto" w:fill="auto"/>
            <w:noWrap/>
            <w:vAlign w:val="bottom"/>
          </w:tcPr>
          <w:p w:rsidR="00123DC4" w:rsidRPr="007F4916" w:rsidRDefault="00123DC4" w:rsidP="00132057">
            <w:pPr>
              <w:rPr>
                <w:rFonts w:cs="Arial"/>
                <w:color w:val="000000"/>
                <w:sz w:val="16"/>
                <w:szCs w:val="16"/>
              </w:rPr>
            </w:pPr>
          </w:p>
        </w:tc>
        <w:tc>
          <w:tcPr>
            <w:tcW w:w="480" w:type="dxa"/>
            <w:tcBorders>
              <w:top w:val="single" w:sz="4" w:space="0" w:color="auto"/>
              <w:left w:val="nil"/>
              <w:bottom w:val="single" w:sz="4" w:space="0" w:color="auto"/>
              <w:right w:val="single" w:sz="4" w:space="0" w:color="auto"/>
            </w:tcBorders>
            <w:shd w:val="clear" w:color="auto" w:fill="auto"/>
            <w:noWrap/>
            <w:vAlign w:val="bottom"/>
          </w:tcPr>
          <w:p w:rsidR="00123DC4" w:rsidRPr="007F4916" w:rsidRDefault="00123DC4" w:rsidP="00132057">
            <w:pPr>
              <w:rPr>
                <w:rFonts w:cs="Arial"/>
                <w:color w:val="000000"/>
                <w:sz w:val="16"/>
                <w:szCs w:val="16"/>
              </w:rPr>
            </w:pPr>
          </w:p>
        </w:tc>
        <w:tc>
          <w:tcPr>
            <w:tcW w:w="480" w:type="dxa"/>
            <w:tcBorders>
              <w:top w:val="single" w:sz="4" w:space="0" w:color="auto"/>
              <w:left w:val="nil"/>
              <w:bottom w:val="single" w:sz="4" w:space="0" w:color="auto"/>
              <w:right w:val="single" w:sz="4" w:space="0" w:color="auto"/>
            </w:tcBorders>
            <w:shd w:val="clear" w:color="auto" w:fill="auto"/>
            <w:noWrap/>
            <w:vAlign w:val="bottom"/>
          </w:tcPr>
          <w:p w:rsidR="00123DC4" w:rsidRPr="007F4916" w:rsidRDefault="00123DC4" w:rsidP="00132057">
            <w:pPr>
              <w:rPr>
                <w:rFonts w:cs="Arial"/>
                <w:color w:val="000000"/>
                <w:sz w:val="16"/>
                <w:szCs w:val="16"/>
              </w:rPr>
            </w:pPr>
          </w:p>
        </w:tc>
        <w:tc>
          <w:tcPr>
            <w:tcW w:w="480" w:type="dxa"/>
            <w:tcBorders>
              <w:top w:val="single" w:sz="4" w:space="0" w:color="auto"/>
              <w:left w:val="nil"/>
              <w:bottom w:val="single" w:sz="4" w:space="0" w:color="auto"/>
              <w:right w:val="single" w:sz="8" w:space="0" w:color="auto"/>
            </w:tcBorders>
            <w:shd w:val="clear" w:color="auto" w:fill="auto"/>
            <w:noWrap/>
            <w:vAlign w:val="center"/>
          </w:tcPr>
          <w:p w:rsidR="00123DC4" w:rsidRPr="007F4916" w:rsidRDefault="00123DC4" w:rsidP="00132057">
            <w:pPr>
              <w:jc w:val="center"/>
              <w:rPr>
                <w:rFonts w:cs="Arial"/>
                <w:color w:val="000000"/>
                <w:sz w:val="16"/>
                <w:szCs w:val="16"/>
              </w:rPr>
            </w:pPr>
          </w:p>
        </w:tc>
        <w:tc>
          <w:tcPr>
            <w:tcW w:w="480" w:type="dxa"/>
            <w:tcBorders>
              <w:top w:val="single" w:sz="4" w:space="0" w:color="auto"/>
              <w:left w:val="nil"/>
              <w:bottom w:val="single" w:sz="4" w:space="0" w:color="auto"/>
              <w:right w:val="single" w:sz="4" w:space="0" w:color="auto"/>
            </w:tcBorders>
            <w:shd w:val="clear" w:color="auto" w:fill="auto"/>
            <w:noWrap/>
            <w:vAlign w:val="center"/>
          </w:tcPr>
          <w:p w:rsidR="00123DC4" w:rsidRPr="007F4916" w:rsidRDefault="00123DC4" w:rsidP="00132057">
            <w:pPr>
              <w:jc w:val="center"/>
              <w:rPr>
                <w:rFonts w:cs="Arial"/>
                <w:color w:val="000000"/>
                <w:sz w:val="16"/>
                <w:szCs w:val="16"/>
              </w:rPr>
            </w:pPr>
          </w:p>
        </w:tc>
        <w:tc>
          <w:tcPr>
            <w:tcW w:w="480" w:type="dxa"/>
            <w:tcBorders>
              <w:top w:val="single" w:sz="4" w:space="0" w:color="auto"/>
              <w:left w:val="nil"/>
              <w:bottom w:val="single" w:sz="4" w:space="0" w:color="auto"/>
              <w:right w:val="single" w:sz="4" w:space="0" w:color="auto"/>
            </w:tcBorders>
            <w:shd w:val="clear" w:color="auto" w:fill="auto"/>
            <w:noWrap/>
            <w:vAlign w:val="center"/>
          </w:tcPr>
          <w:p w:rsidR="00123DC4" w:rsidRPr="007F4916" w:rsidRDefault="00123DC4" w:rsidP="00132057">
            <w:pPr>
              <w:jc w:val="center"/>
              <w:rPr>
                <w:rFonts w:cs="Arial"/>
                <w:color w:val="000000"/>
                <w:sz w:val="16"/>
                <w:szCs w:val="16"/>
              </w:rPr>
            </w:pPr>
          </w:p>
        </w:tc>
        <w:tc>
          <w:tcPr>
            <w:tcW w:w="480" w:type="dxa"/>
            <w:tcBorders>
              <w:top w:val="single" w:sz="4" w:space="0" w:color="auto"/>
              <w:left w:val="nil"/>
              <w:bottom w:val="single" w:sz="4" w:space="0" w:color="auto"/>
              <w:right w:val="single" w:sz="4" w:space="0" w:color="auto"/>
            </w:tcBorders>
            <w:shd w:val="clear" w:color="auto" w:fill="auto"/>
            <w:noWrap/>
            <w:vAlign w:val="center"/>
          </w:tcPr>
          <w:p w:rsidR="00123DC4" w:rsidRPr="007F4916" w:rsidRDefault="00123DC4" w:rsidP="00132057">
            <w:pPr>
              <w:jc w:val="center"/>
              <w:rPr>
                <w:rFonts w:cs="Arial"/>
                <w:color w:val="000000"/>
                <w:sz w:val="16"/>
                <w:szCs w:val="16"/>
              </w:rPr>
            </w:pPr>
          </w:p>
        </w:tc>
        <w:tc>
          <w:tcPr>
            <w:tcW w:w="480" w:type="dxa"/>
            <w:tcBorders>
              <w:top w:val="single" w:sz="4" w:space="0" w:color="auto"/>
              <w:left w:val="nil"/>
              <w:bottom w:val="single" w:sz="4" w:space="0" w:color="auto"/>
              <w:right w:val="single" w:sz="8" w:space="0" w:color="auto"/>
            </w:tcBorders>
            <w:shd w:val="clear" w:color="auto" w:fill="auto"/>
            <w:noWrap/>
            <w:vAlign w:val="center"/>
          </w:tcPr>
          <w:p w:rsidR="00123DC4" w:rsidRPr="007F4916" w:rsidRDefault="00123DC4" w:rsidP="00132057">
            <w:pPr>
              <w:jc w:val="center"/>
              <w:rPr>
                <w:rFonts w:cs="Arial"/>
                <w:color w:val="000000"/>
                <w:sz w:val="16"/>
                <w:szCs w:val="16"/>
              </w:rPr>
            </w:pPr>
          </w:p>
        </w:tc>
        <w:tc>
          <w:tcPr>
            <w:tcW w:w="480" w:type="dxa"/>
            <w:tcBorders>
              <w:top w:val="single" w:sz="4" w:space="0" w:color="auto"/>
              <w:left w:val="nil"/>
              <w:bottom w:val="single" w:sz="4" w:space="0" w:color="auto"/>
              <w:right w:val="single" w:sz="4" w:space="0" w:color="auto"/>
            </w:tcBorders>
            <w:shd w:val="clear" w:color="auto" w:fill="auto"/>
            <w:noWrap/>
            <w:vAlign w:val="center"/>
          </w:tcPr>
          <w:p w:rsidR="00123DC4" w:rsidRPr="007F4916" w:rsidRDefault="00123DC4" w:rsidP="00132057">
            <w:pPr>
              <w:jc w:val="center"/>
              <w:rPr>
                <w:rFonts w:cs="Arial"/>
                <w:color w:val="000000"/>
                <w:sz w:val="16"/>
                <w:szCs w:val="16"/>
              </w:rPr>
            </w:pPr>
          </w:p>
        </w:tc>
        <w:tc>
          <w:tcPr>
            <w:tcW w:w="480" w:type="dxa"/>
            <w:tcBorders>
              <w:top w:val="single" w:sz="4" w:space="0" w:color="auto"/>
              <w:left w:val="nil"/>
              <w:bottom w:val="single" w:sz="4" w:space="0" w:color="auto"/>
              <w:right w:val="single" w:sz="4" w:space="0" w:color="auto"/>
            </w:tcBorders>
            <w:shd w:val="clear" w:color="auto" w:fill="auto"/>
            <w:noWrap/>
            <w:vAlign w:val="center"/>
          </w:tcPr>
          <w:p w:rsidR="00123DC4" w:rsidRPr="007F4916" w:rsidRDefault="00123DC4" w:rsidP="00132057">
            <w:pPr>
              <w:jc w:val="center"/>
              <w:rPr>
                <w:rFonts w:cs="Arial"/>
                <w:color w:val="000000"/>
                <w:sz w:val="16"/>
                <w:szCs w:val="16"/>
              </w:rPr>
            </w:pPr>
          </w:p>
        </w:tc>
        <w:tc>
          <w:tcPr>
            <w:tcW w:w="480" w:type="dxa"/>
            <w:tcBorders>
              <w:top w:val="single" w:sz="4" w:space="0" w:color="auto"/>
              <w:left w:val="nil"/>
              <w:bottom w:val="single" w:sz="4" w:space="0" w:color="auto"/>
              <w:right w:val="single" w:sz="4" w:space="0" w:color="auto"/>
            </w:tcBorders>
            <w:shd w:val="clear" w:color="auto" w:fill="auto"/>
            <w:noWrap/>
            <w:vAlign w:val="center"/>
          </w:tcPr>
          <w:p w:rsidR="00123DC4" w:rsidRPr="007F4916" w:rsidRDefault="00123DC4" w:rsidP="00132057">
            <w:pPr>
              <w:jc w:val="center"/>
              <w:rPr>
                <w:rFonts w:cs="Arial"/>
                <w:color w:val="000000"/>
                <w:sz w:val="16"/>
                <w:szCs w:val="16"/>
              </w:rPr>
            </w:pPr>
          </w:p>
        </w:tc>
        <w:tc>
          <w:tcPr>
            <w:tcW w:w="480" w:type="dxa"/>
            <w:tcBorders>
              <w:top w:val="single" w:sz="4" w:space="0" w:color="auto"/>
              <w:left w:val="nil"/>
              <w:bottom w:val="single" w:sz="4" w:space="0" w:color="auto"/>
              <w:right w:val="single" w:sz="8" w:space="0" w:color="auto"/>
            </w:tcBorders>
            <w:shd w:val="clear" w:color="auto" w:fill="auto"/>
            <w:noWrap/>
            <w:vAlign w:val="center"/>
          </w:tcPr>
          <w:p w:rsidR="00123DC4" w:rsidRPr="007F4916" w:rsidRDefault="00123DC4" w:rsidP="00132057">
            <w:pPr>
              <w:jc w:val="center"/>
              <w:rPr>
                <w:rFonts w:cs="Arial"/>
                <w:color w:val="000000"/>
                <w:sz w:val="16"/>
                <w:szCs w:val="16"/>
              </w:rPr>
            </w:pPr>
          </w:p>
        </w:tc>
        <w:tc>
          <w:tcPr>
            <w:tcW w:w="480" w:type="dxa"/>
            <w:tcBorders>
              <w:top w:val="single" w:sz="4" w:space="0" w:color="auto"/>
              <w:left w:val="nil"/>
              <w:bottom w:val="single" w:sz="4" w:space="0" w:color="auto"/>
              <w:right w:val="single" w:sz="4" w:space="0" w:color="auto"/>
            </w:tcBorders>
            <w:shd w:val="clear" w:color="auto" w:fill="auto"/>
            <w:noWrap/>
            <w:vAlign w:val="center"/>
          </w:tcPr>
          <w:p w:rsidR="00123DC4" w:rsidRPr="007F4916" w:rsidRDefault="00123DC4" w:rsidP="00132057">
            <w:pPr>
              <w:jc w:val="center"/>
              <w:rPr>
                <w:rFonts w:cs="Arial"/>
                <w:color w:val="000000"/>
                <w:sz w:val="16"/>
                <w:szCs w:val="16"/>
              </w:rPr>
            </w:pPr>
          </w:p>
        </w:tc>
        <w:tc>
          <w:tcPr>
            <w:tcW w:w="480" w:type="dxa"/>
            <w:tcBorders>
              <w:top w:val="single" w:sz="4" w:space="0" w:color="auto"/>
              <w:left w:val="nil"/>
              <w:bottom w:val="single" w:sz="4" w:space="0" w:color="auto"/>
              <w:right w:val="single" w:sz="4" w:space="0" w:color="auto"/>
            </w:tcBorders>
            <w:shd w:val="clear" w:color="auto" w:fill="auto"/>
            <w:noWrap/>
            <w:vAlign w:val="center"/>
          </w:tcPr>
          <w:p w:rsidR="00123DC4" w:rsidRPr="007F4916" w:rsidRDefault="00123DC4" w:rsidP="00132057">
            <w:pPr>
              <w:jc w:val="center"/>
              <w:rPr>
                <w:rFonts w:cs="Arial"/>
                <w:color w:val="000000"/>
                <w:sz w:val="16"/>
                <w:szCs w:val="16"/>
              </w:rPr>
            </w:pPr>
          </w:p>
        </w:tc>
        <w:tc>
          <w:tcPr>
            <w:tcW w:w="480" w:type="dxa"/>
            <w:tcBorders>
              <w:top w:val="single" w:sz="4" w:space="0" w:color="auto"/>
              <w:left w:val="nil"/>
              <w:bottom w:val="single" w:sz="4" w:space="0" w:color="auto"/>
              <w:right w:val="single" w:sz="4" w:space="0" w:color="auto"/>
            </w:tcBorders>
            <w:shd w:val="clear" w:color="auto" w:fill="auto"/>
            <w:noWrap/>
            <w:vAlign w:val="center"/>
          </w:tcPr>
          <w:p w:rsidR="00123DC4" w:rsidRPr="007F4916" w:rsidRDefault="00123DC4" w:rsidP="00132057">
            <w:pPr>
              <w:jc w:val="center"/>
              <w:rPr>
                <w:rFonts w:cs="Arial"/>
                <w:color w:val="000000"/>
                <w:sz w:val="16"/>
                <w:szCs w:val="16"/>
              </w:rPr>
            </w:pPr>
            <w:r>
              <w:rPr>
                <w:rFonts w:cs="Arial"/>
                <w:color w:val="000000"/>
                <w:sz w:val="16"/>
                <w:szCs w:val="16"/>
              </w:rPr>
              <w:t>X</w:t>
            </w:r>
          </w:p>
        </w:tc>
        <w:tc>
          <w:tcPr>
            <w:tcW w:w="480" w:type="dxa"/>
            <w:tcBorders>
              <w:top w:val="single" w:sz="4" w:space="0" w:color="auto"/>
              <w:left w:val="nil"/>
              <w:bottom w:val="single" w:sz="4" w:space="0" w:color="auto"/>
              <w:right w:val="single" w:sz="8" w:space="0" w:color="auto"/>
            </w:tcBorders>
            <w:shd w:val="clear" w:color="auto" w:fill="auto"/>
            <w:noWrap/>
            <w:vAlign w:val="center"/>
          </w:tcPr>
          <w:p w:rsidR="00123DC4" w:rsidRPr="007F4916" w:rsidRDefault="00123DC4" w:rsidP="00132057">
            <w:pPr>
              <w:jc w:val="center"/>
              <w:rPr>
                <w:rFonts w:cs="Arial"/>
                <w:color w:val="000000"/>
                <w:sz w:val="16"/>
                <w:szCs w:val="16"/>
              </w:rPr>
            </w:pPr>
          </w:p>
        </w:tc>
      </w:tr>
      <w:tr w:rsidR="00123DC4" w:rsidRPr="00656CC0" w:rsidTr="00132057">
        <w:trPr>
          <w:trHeight w:val="890"/>
          <w:jc w:val="center"/>
        </w:trPr>
        <w:tc>
          <w:tcPr>
            <w:tcW w:w="2060" w:type="dxa"/>
            <w:tcBorders>
              <w:top w:val="single" w:sz="4" w:space="0" w:color="auto"/>
              <w:left w:val="single" w:sz="8" w:space="0" w:color="auto"/>
              <w:bottom w:val="single" w:sz="4" w:space="0" w:color="auto"/>
              <w:right w:val="single" w:sz="8" w:space="0" w:color="auto"/>
            </w:tcBorders>
            <w:shd w:val="clear" w:color="auto" w:fill="auto"/>
            <w:noWrap/>
            <w:vAlign w:val="center"/>
          </w:tcPr>
          <w:p w:rsidR="00123DC4" w:rsidRPr="006F1378" w:rsidRDefault="00123DC4" w:rsidP="00132057">
            <w:pPr>
              <w:keepNext/>
              <w:keepLines/>
              <w:autoSpaceDE w:val="0"/>
              <w:autoSpaceDN w:val="0"/>
              <w:adjustRightInd w:val="0"/>
              <w:spacing w:before="40" w:after="40"/>
              <w:rPr>
                <w:sz w:val="16"/>
                <w:szCs w:val="16"/>
              </w:rPr>
            </w:pPr>
            <w:r w:rsidRPr="006F1378">
              <w:rPr>
                <w:sz w:val="16"/>
                <w:szCs w:val="16"/>
              </w:rPr>
              <w:t>Organizational wide ECM Capability configuration operational</w:t>
            </w:r>
          </w:p>
        </w:tc>
        <w:tc>
          <w:tcPr>
            <w:tcW w:w="260" w:type="dxa"/>
            <w:tcBorders>
              <w:top w:val="single" w:sz="4" w:space="0" w:color="auto"/>
              <w:left w:val="nil"/>
              <w:bottom w:val="single" w:sz="4" w:space="0" w:color="auto"/>
              <w:right w:val="single" w:sz="4" w:space="0" w:color="auto"/>
            </w:tcBorders>
            <w:shd w:val="clear" w:color="auto" w:fill="auto"/>
            <w:noWrap/>
            <w:vAlign w:val="bottom"/>
          </w:tcPr>
          <w:p w:rsidR="00123DC4" w:rsidRPr="007F4916" w:rsidRDefault="00123DC4" w:rsidP="00132057">
            <w:pPr>
              <w:rPr>
                <w:rFonts w:cs="Arial"/>
                <w:color w:val="000000"/>
                <w:sz w:val="16"/>
                <w:szCs w:val="16"/>
              </w:rPr>
            </w:pPr>
          </w:p>
        </w:tc>
        <w:tc>
          <w:tcPr>
            <w:tcW w:w="480" w:type="dxa"/>
            <w:tcBorders>
              <w:top w:val="single" w:sz="4" w:space="0" w:color="auto"/>
              <w:left w:val="nil"/>
              <w:bottom w:val="single" w:sz="4" w:space="0" w:color="auto"/>
              <w:right w:val="single" w:sz="4" w:space="0" w:color="auto"/>
            </w:tcBorders>
            <w:shd w:val="clear" w:color="auto" w:fill="auto"/>
            <w:noWrap/>
            <w:vAlign w:val="bottom"/>
          </w:tcPr>
          <w:p w:rsidR="00123DC4" w:rsidRPr="007F4916" w:rsidRDefault="00123DC4" w:rsidP="00132057">
            <w:pPr>
              <w:rPr>
                <w:rFonts w:cs="Arial"/>
                <w:color w:val="000000"/>
                <w:sz w:val="16"/>
                <w:szCs w:val="16"/>
              </w:rPr>
            </w:pPr>
          </w:p>
        </w:tc>
        <w:tc>
          <w:tcPr>
            <w:tcW w:w="480" w:type="dxa"/>
            <w:tcBorders>
              <w:top w:val="single" w:sz="4" w:space="0" w:color="auto"/>
              <w:left w:val="nil"/>
              <w:bottom w:val="single" w:sz="4" w:space="0" w:color="auto"/>
              <w:right w:val="single" w:sz="4" w:space="0" w:color="auto"/>
            </w:tcBorders>
            <w:shd w:val="clear" w:color="auto" w:fill="auto"/>
            <w:noWrap/>
            <w:vAlign w:val="bottom"/>
          </w:tcPr>
          <w:p w:rsidR="00123DC4" w:rsidRPr="007F4916" w:rsidRDefault="00123DC4" w:rsidP="00132057">
            <w:pPr>
              <w:rPr>
                <w:rFonts w:cs="Arial"/>
                <w:color w:val="000000"/>
                <w:sz w:val="16"/>
                <w:szCs w:val="16"/>
              </w:rPr>
            </w:pPr>
          </w:p>
        </w:tc>
        <w:tc>
          <w:tcPr>
            <w:tcW w:w="480" w:type="dxa"/>
            <w:tcBorders>
              <w:top w:val="single" w:sz="4" w:space="0" w:color="auto"/>
              <w:left w:val="nil"/>
              <w:bottom w:val="single" w:sz="4" w:space="0" w:color="auto"/>
              <w:right w:val="single" w:sz="8" w:space="0" w:color="auto"/>
            </w:tcBorders>
            <w:shd w:val="clear" w:color="auto" w:fill="auto"/>
            <w:noWrap/>
            <w:vAlign w:val="center"/>
          </w:tcPr>
          <w:p w:rsidR="00123DC4" w:rsidRPr="007F4916" w:rsidRDefault="00123DC4" w:rsidP="00132057">
            <w:pPr>
              <w:jc w:val="center"/>
              <w:rPr>
                <w:rFonts w:cs="Arial"/>
                <w:color w:val="000000"/>
                <w:sz w:val="16"/>
                <w:szCs w:val="16"/>
              </w:rPr>
            </w:pPr>
          </w:p>
        </w:tc>
        <w:tc>
          <w:tcPr>
            <w:tcW w:w="480" w:type="dxa"/>
            <w:tcBorders>
              <w:top w:val="single" w:sz="4" w:space="0" w:color="auto"/>
              <w:left w:val="nil"/>
              <w:bottom w:val="single" w:sz="4" w:space="0" w:color="auto"/>
              <w:right w:val="single" w:sz="4" w:space="0" w:color="auto"/>
            </w:tcBorders>
            <w:shd w:val="clear" w:color="auto" w:fill="auto"/>
            <w:noWrap/>
            <w:vAlign w:val="center"/>
          </w:tcPr>
          <w:p w:rsidR="00123DC4" w:rsidRPr="007F4916" w:rsidRDefault="00123DC4" w:rsidP="00132057">
            <w:pPr>
              <w:jc w:val="center"/>
              <w:rPr>
                <w:rFonts w:cs="Arial"/>
                <w:color w:val="000000"/>
                <w:sz w:val="16"/>
                <w:szCs w:val="16"/>
              </w:rPr>
            </w:pPr>
          </w:p>
        </w:tc>
        <w:tc>
          <w:tcPr>
            <w:tcW w:w="480" w:type="dxa"/>
            <w:tcBorders>
              <w:top w:val="single" w:sz="4" w:space="0" w:color="auto"/>
              <w:left w:val="nil"/>
              <w:bottom w:val="single" w:sz="4" w:space="0" w:color="auto"/>
              <w:right w:val="single" w:sz="4" w:space="0" w:color="auto"/>
            </w:tcBorders>
            <w:shd w:val="clear" w:color="auto" w:fill="auto"/>
            <w:noWrap/>
            <w:vAlign w:val="center"/>
          </w:tcPr>
          <w:p w:rsidR="00123DC4" w:rsidRPr="007F4916" w:rsidRDefault="00123DC4" w:rsidP="00132057">
            <w:pPr>
              <w:jc w:val="center"/>
              <w:rPr>
                <w:rFonts w:cs="Arial"/>
                <w:color w:val="000000"/>
                <w:sz w:val="16"/>
                <w:szCs w:val="16"/>
              </w:rPr>
            </w:pPr>
          </w:p>
        </w:tc>
        <w:tc>
          <w:tcPr>
            <w:tcW w:w="480" w:type="dxa"/>
            <w:tcBorders>
              <w:top w:val="single" w:sz="4" w:space="0" w:color="auto"/>
              <w:left w:val="nil"/>
              <w:bottom w:val="single" w:sz="4" w:space="0" w:color="auto"/>
              <w:right w:val="single" w:sz="4" w:space="0" w:color="auto"/>
            </w:tcBorders>
            <w:shd w:val="clear" w:color="auto" w:fill="auto"/>
            <w:noWrap/>
            <w:vAlign w:val="center"/>
          </w:tcPr>
          <w:p w:rsidR="00123DC4" w:rsidRPr="007F4916" w:rsidRDefault="00123DC4" w:rsidP="00132057">
            <w:pPr>
              <w:jc w:val="center"/>
              <w:rPr>
                <w:rFonts w:cs="Arial"/>
                <w:color w:val="000000"/>
                <w:sz w:val="16"/>
                <w:szCs w:val="16"/>
              </w:rPr>
            </w:pPr>
          </w:p>
        </w:tc>
        <w:tc>
          <w:tcPr>
            <w:tcW w:w="480" w:type="dxa"/>
            <w:tcBorders>
              <w:top w:val="single" w:sz="4" w:space="0" w:color="auto"/>
              <w:left w:val="nil"/>
              <w:bottom w:val="single" w:sz="4" w:space="0" w:color="auto"/>
              <w:right w:val="single" w:sz="8" w:space="0" w:color="auto"/>
            </w:tcBorders>
            <w:shd w:val="clear" w:color="auto" w:fill="auto"/>
            <w:noWrap/>
            <w:vAlign w:val="center"/>
          </w:tcPr>
          <w:p w:rsidR="00123DC4" w:rsidRPr="007F4916" w:rsidRDefault="00123DC4" w:rsidP="00132057">
            <w:pPr>
              <w:jc w:val="center"/>
              <w:rPr>
                <w:rFonts w:cs="Arial"/>
                <w:color w:val="000000"/>
                <w:sz w:val="16"/>
                <w:szCs w:val="16"/>
              </w:rPr>
            </w:pPr>
          </w:p>
        </w:tc>
        <w:tc>
          <w:tcPr>
            <w:tcW w:w="480" w:type="dxa"/>
            <w:tcBorders>
              <w:top w:val="single" w:sz="4" w:space="0" w:color="auto"/>
              <w:left w:val="nil"/>
              <w:bottom w:val="single" w:sz="4" w:space="0" w:color="auto"/>
              <w:right w:val="single" w:sz="4" w:space="0" w:color="auto"/>
            </w:tcBorders>
            <w:shd w:val="clear" w:color="auto" w:fill="auto"/>
            <w:noWrap/>
            <w:vAlign w:val="center"/>
          </w:tcPr>
          <w:p w:rsidR="00123DC4" w:rsidRPr="007F4916" w:rsidRDefault="00123DC4" w:rsidP="00132057">
            <w:pPr>
              <w:jc w:val="center"/>
              <w:rPr>
                <w:rFonts w:cs="Arial"/>
                <w:color w:val="000000"/>
                <w:sz w:val="16"/>
                <w:szCs w:val="16"/>
              </w:rPr>
            </w:pPr>
          </w:p>
        </w:tc>
        <w:tc>
          <w:tcPr>
            <w:tcW w:w="480" w:type="dxa"/>
            <w:tcBorders>
              <w:top w:val="single" w:sz="4" w:space="0" w:color="auto"/>
              <w:left w:val="nil"/>
              <w:bottom w:val="single" w:sz="4" w:space="0" w:color="auto"/>
              <w:right w:val="single" w:sz="4" w:space="0" w:color="auto"/>
            </w:tcBorders>
            <w:shd w:val="clear" w:color="auto" w:fill="auto"/>
            <w:noWrap/>
            <w:vAlign w:val="center"/>
          </w:tcPr>
          <w:p w:rsidR="00123DC4" w:rsidRPr="007F4916" w:rsidRDefault="00123DC4" w:rsidP="00132057">
            <w:pPr>
              <w:jc w:val="center"/>
              <w:rPr>
                <w:rFonts w:cs="Arial"/>
                <w:color w:val="000000"/>
                <w:sz w:val="16"/>
                <w:szCs w:val="16"/>
              </w:rPr>
            </w:pPr>
          </w:p>
        </w:tc>
        <w:tc>
          <w:tcPr>
            <w:tcW w:w="480" w:type="dxa"/>
            <w:tcBorders>
              <w:top w:val="single" w:sz="4" w:space="0" w:color="auto"/>
              <w:left w:val="nil"/>
              <w:bottom w:val="single" w:sz="4" w:space="0" w:color="auto"/>
              <w:right w:val="single" w:sz="4" w:space="0" w:color="auto"/>
            </w:tcBorders>
            <w:shd w:val="clear" w:color="auto" w:fill="auto"/>
            <w:noWrap/>
            <w:vAlign w:val="center"/>
          </w:tcPr>
          <w:p w:rsidR="00123DC4" w:rsidRPr="007F4916" w:rsidRDefault="00123DC4" w:rsidP="00132057">
            <w:pPr>
              <w:jc w:val="center"/>
              <w:rPr>
                <w:rFonts w:cs="Arial"/>
                <w:color w:val="000000"/>
                <w:sz w:val="16"/>
                <w:szCs w:val="16"/>
              </w:rPr>
            </w:pPr>
          </w:p>
        </w:tc>
        <w:tc>
          <w:tcPr>
            <w:tcW w:w="480" w:type="dxa"/>
            <w:tcBorders>
              <w:top w:val="single" w:sz="4" w:space="0" w:color="auto"/>
              <w:left w:val="nil"/>
              <w:bottom w:val="single" w:sz="4" w:space="0" w:color="auto"/>
              <w:right w:val="single" w:sz="8" w:space="0" w:color="auto"/>
            </w:tcBorders>
            <w:shd w:val="clear" w:color="auto" w:fill="auto"/>
            <w:noWrap/>
            <w:vAlign w:val="center"/>
          </w:tcPr>
          <w:p w:rsidR="00123DC4" w:rsidRPr="007F4916" w:rsidRDefault="00123DC4" w:rsidP="00132057">
            <w:pPr>
              <w:jc w:val="center"/>
              <w:rPr>
                <w:rFonts w:cs="Arial"/>
                <w:color w:val="000000"/>
                <w:sz w:val="16"/>
                <w:szCs w:val="16"/>
              </w:rPr>
            </w:pPr>
          </w:p>
        </w:tc>
        <w:tc>
          <w:tcPr>
            <w:tcW w:w="480" w:type="dxa"/>
            <w:tcBorders>
              <w:top w:val="single" w:sz="4" w:space="0" w:color="auto"/>
              <w:left w:val="nil"/>
              <w:bottom w:val="single" w:sz="4" w:space="0" w:color="auto"/>
              <w:right w:val="single" w:sz="4" w:space="0" w:color="auto"/>
            </w:tcBorders>
            <w:shd w:val="clear" w:color="auto" w:fill="auto"/>
            <w:noWrap/>
            <w:vAlign w:val="center"/>
          </w:tcPr>
          <w:p w:rsidR="00123DC4" w:rsidRPr="007F4916" w:rsidRDefault="00123DC4" w:rsidP="00132057">
            <w:pPr>
              <w:jc w:val="center"/>
              <w:rPr>
                <w:rFonts w:cs="Arial"/>
                <w:color w:val="000000"/>
                <w:sz w:val="16"/>
                <w:szCs w:val="16"/>
              </w:rPr>
            </w:pPr>
          </w:p>
        </w:tc>
        <w:tc>
          <w:tcPr>
            <w:tcW w:w="480" w:type="dxa"/>
            <w:tcBorders>
              <w:top w:val="single" w:sz="4" w:space="0" w:color="auto"/>
              <w:left w:val="nil"/>
              <w:bottom w:val="single" w:sz="4" w:space="0" w:color="auto"/>
              <w:right w:val="single" w:sz="4" w:space="0" w:color="auto"/>
            </w:tcBorders>
            <w:shd w:val="clear" w:color="auto" w:fill="auto"/>
            <w:noWrap/>
            <w:vAlign w:val="center"/>
          </w:tcPr>
          <w:p w:rsidR="00123DC4" w:rsidRPr="007F4916" w:rsidRDefault="00123DC4" w:rsidP="00132057">
            <w:pPr>
              <w:jc w:val="center"/>
              <w:rPr>
                <w:rFonts w:cs="Arial"/>
                <w:color w:val="000000"/>
                <w:sz w:val="16"/>
                <w:szCs w:val="16"/>
              </w:rPr>
            </w:pPr>
          </w:p>
        </w:tc>
        <w:tc>
          <w:tcPr>
            <w:tcW w:w="480" w:type="dxa"/>
            <w:tcBorders>
              <w:top w:val="single" w:sz="4" w:space="0" w:color="auto"/>
              <w:left w:val="nil"/>
              <w:bottom w:val="single" w:sz="4" w:space="0" w:color="auto"/>
              <w:right w:val="single" w:sz="4" w:space="0" w:color="auto"/>
            </w:tcBorders>
            <w:shd w:val="clear" w:color="auto" w:fill="auto"/>
            <w:noWrap/>
            <w:vAlign w:val="center"/>
          </w:tcPr>
          <w:p w:rsidR="00123DC4" w:rsidRPr="007F4916" w:rsidRDefault="00123DC4" w:rsidP="00132057">
            <w:pPr>
              <w:jc w:val="center"/>
              <w:rPr>
                <w:rFonts w:cs="Arial"/>
                <w:color w:val="000000"/>
                <w:sz w:val="16"/>
                <w:szCs w:val="16"/>
              </w:rPr>
            </w:pPr>
          </w:p>
        </w:tc>
        <w:tc>
          <w:tcPr>
            <w:tcW w:w="480" w:type="dxa"/>
            <w:tcBorders>
              <w:top w:val="single" w:sz="4" w:space="0" w:color="auto"/>
              <w:left w:val="nil"/>
              <w:bottom w:val="single" w:sz="4" w:space="0" w:color="auto"/>
              <w:right w:val="single" w:sz="8" w:space="0" w:color="auto"/>
            </w:tcBorders>
            <w:shd w:val="clear" w:color="auto" w:fill="auto"/>
            <w:noWrap/>
            <w:vAlign w:val="center"/>
          </w:tcPr>
          <w:p w:rsidR="00123DC4" w:rsidRPr="007F4916" w:rsidRDefault="00123DC4" w:rsidP="00132057">
            <w:pPr>
              <w:jc w:val="center"/>
              <w:rPr>
                <w:rFonts w:cs="Arial"/>
                <w:color w:val="000000"/>
                <w:sz w:val="16"/>
                <w:szCs w:val="16"/>
              </w:rPr>
            </w:pPr>
            <w:r>
              <w:rPr>
                <w:rFonts w:cs="Arial"/>
                <w:color w:val="000000"/>
                <w:sz w:val="16"/>
                <w:szCs w:val="16"/>
              </w:rPr>
              <w:t>X</w:t>
            </w:r>
          </w:p>
        </w:tc>
      </w:tr>
    </w:tbl>
    <w:p w:rsidR="00123DC4" w:rsidRDefault="00123DC4" w:rsidP="00132057"/>
    <w:p w:rsidR="00123DC4" w:rsidRDefault="00123DC4" w:rsidP="00132057"/>
    <w:p w:rsidR="00123DC4" w:rsidRDefault="00123DC4">
      <w:pPr>
        <w:spacing w:after="200" w:line="276" w:lineRule="auto"/>
        <w:rPr>
          <w:b/>
          <w:szCs w:val="20"/>
        </w:rPr>
      </w:pPr>
      <w:r>
        <w:rPr>
          <w:b/>
          <w:szCs w:val="20"/>
        </w:rPr>
        <w:br w:type="page"/>
      </w:r>
    </w:p>
    <w:p w:rsidR="00123DC4" w:rsidRPr="007A7ED0" w:rsidRDefault="00123DC4" w:rsidP="00132057">
      <w:pPr>
        <w:rPr>
          <w:b/>
          <w:szCs w:val="20"/>
        </w:rPr>
      </w:pPr>
      <w:r w:rsidRPr="007A7ED0">
        <w:rPr>
          <w:b/>
          <w:szCs w:val="20"/>
        </w:rPr>
        <w:t>BUILDINGS-RELATED PROJECTS</w:t>
      </w:r>
    </w:p>
    <w:p w:rsidR="00123DC4" w:rsidRPr="007A7ED0" w:rsidRDefault="00123DC4" w:rsidP="00132057">
      <w:pPr>
        <w:pStyle w:val="StyleHeading3BoldNounderline"/>
        <w:ind w:left="1440" w:hanging="1440"/>
        <w:rPr>
          <w:b/>
          <w:sz w:val="20"/>
          <w:szCs w:val="20"/>
        </w:rPr>
      </w:pPr>
      <w:bookmarkStart w:id="124" w:name="_Toc422210525"/>
      <w:bookmarkStart w:id="125" w:name="_Toc454544510"/>
      <w:r w:rsidRPr="007A7ED0">
        <w:rPr>
          <w:b/>
          <w:sz w:val="20"/>
          <w:szCs w:val="20"/>
        </w:rPr>
        <w:t>PROJECT</w:t>
      </w:r>
      <w:r>
        <w:rPr>
          <w:b/>
          <w:sz w:val="20"/>
          <w:szCs w:val="20"/>
        </w:rPr>
        <w:t xml:space="preserve"> 3</w:t>
      </w:r>
      <w:r>
        <w:rPr>
          <w:b/>
          <w:sz w:val="20"/>
          <w:szCs w:val="20"/>
        </w:rPr>
        <w:tab/>
      </w:r>
      <w:r w:rsidRPr="007A7ED0">
        <w:rPr>
          <w:b/>
          <w:sz w:val="20"/>
          <w:szCs w:val="20"/>
        </w:rPr>
        <w:t>RENOVATION OF THE FACADES AND COOLING/HEATING INSTALLATION IN PCT BUILDING (CMP 3)</w:t>
      </w:r>
      <w:bookmarkEnd w:id="124"/>
      <w:bookmarkEnd w:id="125"/>
    </w:p>
    <w:p w:rsidR="00123DC4" w:rsidRPr="004F1DE0" w:rsidRDefault="00123DC4" w:rsidP="00132057">
      <w:pPr>
        <w:rPr>
          <w:b/>
        </w:rPr>
      </w:pPr>
    </w:p>
    <w:p w:rsidR="00123DC4" w:rsidRPr="004F1DE0" w:rsidRDefault="00123DC4" w:rsidP="00132057">
      <w:pPr>
        <w:rPr>
          <w:b/>
        </w:rPr>
      </w:pPr>
      <w:r w:rsidRPr="004F1DE0">
        <w:rPr>
          <w:b/>
        </w:rPr>
        <w:t xml:space="preserve">Project Manager </w:t>
      </w:r>
      <w:r w:rsidRPr="004F1DE0">
        <w:rPr>
          <w:b/>
        </w:rPr>
        <w:tab/>
        <w:t>Mr. A. FAVERO</w:t>
      </w:r>
    </w:p>
    <w:p w:rsidR="00123DC4" w:rsidRPr="004F1DE0" w:rsidRDefault="00123DC4" w:rsidP="00132057">
      <w:pPr>
        <w:rPr>
          <w:b/>
        </w:rPr>
      </w:pPr>
    </w:p>
    <w:p w:rsidR="00123DC4" w:rsidRPr="007A7ED0" w:rsidRDefault="00123DC4" w:rsidP="00132057">
      <w:pPr>
        <w:rPr>
          <w:bCs/>
          <w:szCs w:val="20"/>
        </w:rPr>
      </w:pPr>
    </w:p>
    <w:p w:rsidR="00123DC4" w:rsidRPr="00CC40FA" w:rsidRDefault="00123DC4" w:rsidP="00132057">
      <w:pPr>
        <w:rPr>
          <w:bCs/>
          <w:szCs w:val="22"/>
        </w:rPr>
      </w:pPr>
      <w:r w:rsidRPr="00CC40FA">
        <w:rPr>
          <w:bCs/>
          <w:szCs w:val="22"/>
        </w:rPr>
        <w:t>EXPECTED RESULT</w:t>
      </w:r>
    </w:p>
    <w:p w:rsidR="00123DC4" w:rsidRDefault="00123DC4" w:rsidP="00132057">
      <w:pPr>
        <w:rPr>
          <w:bCs/>
          <w:szCs w:val="20"/>
        </w:rPr>
      </w:pPr>
    </w:p>
    <w:p w:rsidR="00123DC4" w:rsidRPr="00F47045" w:rsidRDefault="00123DC4" w:rsidP="00132057">
      <w:pPr>
        <w:rPr>
          <w:i/>
          <w:iCs/>
          <w:szCs w:val="20"/>
        </w:rPr>
      </w:pPr>
      <w:r w:rsidRPr="000C1DF7">
        <w:rPr>
          <w:i/>
          <w:iCs/>
          <w:szCs w:val="20"/>
        </w:rPr>
        <w:t xml:space="preserve">IX.1 </w:t>
      </w:r>
      <w:r w:rsidRPr="00F47045">
        <w:rPr>
          <w:i/>
          <w:iCs/>
          <w:szCs w:val="20"/>
        </w:rPr>
        <w:t xml:space="preserve"> Effective, efficient, quality and customer-oriented support services both to internal clients and to external stakeholders</w:t>
      </w:r>
    </w:p>
    <w:p w:rsidR="00123DC4" w:rsidRDefault="00123DC4" w:rsidP="00132057">
      <w:pPr>
        <w:rPr>
          <w:bCs/>
          <w:color w:val="000000"/>
          <w:szCs w:val="20"/>
        </w:rPr>
      </w:pPr>
    </w:p>
    <w:p w:rsidR="00545826" w:rsidRPr="00F47045" w:rsidRDefault="00545826" w:rsidP="00132057">
      <w:pPr>
        <w:rPr>
          <w:bCs/>
          <w:color w:val="000000"/>
          <w:szCs w:val="20"/>
        </w:rPr>
      </w:pPr>
    </w:p>
    <w:p w:rsidR="00123DC4" w:rsidRPr="00CC40FA" w:rsidRDefault="00123DC4" w:rsidP="00132057">
      <w:pPr>
        <w:rPr>
          <w:bCs/>
          <w:szCs w:val="22"/>
        </w:rPr>
      </w:pPr>
      <w:r w:rsidRPr="00CC40FA">
        <w:rPr>
          <w:bCs/>
          <w:color w:val="000000"/>
          <w:szCs w:val="22"/>
        </w:rPr>
        <w:t>OBJECTIVES, SCOPE AND APPROACH- BACKGROUND</w:t>
      </w:r>
    </w:p>
    <w:p w:rsidR="00123DC4" w:rsidRPr="00F47045" w:rsidRDefault="00123DC4" w:rsidP="00132057">
      <w:pPr>
        <w:rPr>
          <w:bCs/>
          <w:szCs w:val="20"/>
        </w:rPr>
      </w:pPr>
    </w:p>
    <w:p w:rsidR="00123DC4" w:rsidRPr="00F47045" w:rsidRDefault="00123DC4" w:rsidP="00123DC4">
      <w:pPr>
        <w:pStyle w:val="ONUME"/>
        <w:numPr>
          <w:ilvl w:val="0"/>
          <w:numId w:val="132"/>
        </w:numPr>
        <w:tabs>
          <w:tab w:val="left" w:pos="567"/>
        </w:tabs>
        <w:ind w:left="0" w:firstLine="0"/>
        <w:jc w:val="both"/>
      </w:pPr>
      <w:r w:rsidRPr="000C1DF7">
        <w:t xml:space="preserve">The project objectives are twofold:  (i) a complete replacement of the false ceiling </w:t>
      </w:r>
      <w:r w:rsidRPr="00F47045">
        <w:t xml:space="preserve">installation for the cooling and heating system in the upper floors of the PCT Building, and (ii) a major renovation of structural elements of all the facades of that Building (in other words, the windows </w:t>
      </w:r>
      <w:r w:rsidRPr="00AF084D">
        <w:rPr>
          <w:i/>
        </w:rPr>
        <w:t>per se</w:t>
      </w:r>
      <w:r w:rsidRPr="00F47045">
        <w:t xml:space="preserve"> are generally not </w:t>
      </w:r>
      <w:r>
        <w:t>implicated</w:t>
      </w:r>
      <w:r w:rsidRPr="00F47045">
        <w:t>).  It has been determined in recent years that the minor low-scale reactive repairs</w:t>
      </w:r>
      <w:r>
        <w:t xml:space="preserve"> – for such as breakdowns and un</w:t>
      </w:r>
      <w:r w:rsidRPr="00F47045">
        <w:t>controllable excessively high or low temperature inside the offices – which have been ongoing for about 10 years, were no longer sustainable.  Furthermore, a number of components of the current cooling/heating installation are no longer available on the market and spare parts can no longer be purchased, which would in the short-term put at risk the viability of the whole cooling and heating installation in the Building.  The wasted energy consumption caused by the defective systems and installations and by the defective structural elements of the facades is significant and will only continue to increase year after year.  A technical audit of the cooling and heating installatio</w:t>
      </w:r>
      <w:r>
        <w:t>n was carried out in 2011;</w:t>
      </w:r>
      <w:r w:rsidRPr="00F47045">
        <w:t xml:space="preserve"> a technical audit of the facades was carried out during the first semester of 2013.</w:t>
      </w:r>
    </w:p>
    <w:p w:rsidR="00123DC4" w:rsidRPr="00F47045" w:rsidRDefault="00123DC4" w:rsidP="00123DC4">
      <w:pPr>
        <w:pStyle w:val="ONUME"/>
        <w:numPr>
          <w:ilvl w:val="0"/>
          <w:numId w:val="132"/>
        </w:numPr>
        <w:tabs>
          <w:tab w:val="left" w:pos="567"/>
        </w:tabs>
        <w:ind w:left="0" w:firstLine="0"/>
        <w:jc w:val="both"/>
      </w:pPr>
      <w:r w:rsidRPr="00F47045">
        <w:t>The expected results of the renovation are fully operational and reliable cooling and heating installation</w:t>
      </w:r>
      <w:r>
        <w:t>s</w:t>
      </w:r>
      <w:r w:rsidRPr="00F47045">
        <w:t xml:space="preserve"> and facades, and significant energy consumption reduction by eliminating current waste.  </w:t>
      </w:r>
    </w:p>
    <w:p w:rsidR="00123DC4" w:rsidRPr="00F47045" w:rsidRDefault="00123DC4" w:rsidP="00123DC4">
      <w:pPr>
        <w:pStyle w:val="ONUME"/>
        <w:numPr>
          <w:ilvl w:val="0"/>
          <w:numId w:val="132"/>
        </w:numPr>
        <w:tabs>
          <w:tab w:val="left" w:pos="567"/>
        </w:tabs>
        <w:ind w:left="0" w:firstLine="0"/>
        <w:jc w:val="both"/>
        <w:rPr>
          <w:bCs/>
        </w:rPr>
      </w:pPr>
      <w:r w:rsidRPr="001E15AA">
        <w:t>The objectives of the project are to:  (i) reduce energy loss (facades); (ii) reduce energy consumption (thermal false ceilings and facades);  (iii) improve technical facilities to reduce the need for maintenance (thermal false ceilings and facades);  (iv) improve the comfort of occupants;  (v) use new, more environmentally</w:t>
      </w:r>
      <w:r w:rsidRPr="00F47045">
        <w:rPr>
          <w:bCs/>
          <w:color w:val="000000"/>
        </w:rPr>
        <w:t xml:space="preserve">-friendly technology; </w:t>
      </w:r>
      <w:r>
        <w:rPr>
          <w:bCs/>
          <w:color w:val="000000"/>
        </w:rPr>
        <w:t xml:space="preserve"> and </w:t>
      </w:r>
      <w:r w:rsidRPr="00F47045">
        <w:rPr>
          <w:bCs/>
          <w:color w:val="000000"/>
        </w:rPr>
        <w:t xml:space="preserve">(vi) modernize for longer life-cycles (thermal </w:t>
      </w:r>
      <w:r>
        <w:rPr>
          <w:bCs/>
          <w:color w:val="000000"/>
        </w:rPr>
        <w:t xml:space="preserve">false </w:t>
      </w:r>
      <w:r w:rsidRPr="00F47045">
        <w:rPr>
          <w:bCs/>
          <w:color w:val="000000"/>
        </w:rPr>
        <w:t>ceilings).</w:t>
      </w:r>
      <w:r>
        <w:rPr>
          <w:bCs/>
          <w:color w:val="000000"/>
        </w:rPr>
        <w:t xml:space="preserve"> </w:t>
      </w:r>
    </w:p>
    <w:p w:rsidR="00123DC4" w:rsidRPr="00CC40FA" w:rsidRDefault="00123DC4" w:rsidP="00132057">
      <w:pPr>
        <w:rPr>
          <w:bCs/>
          <w:color w:val="000000"/>
          <w:sz w:val="18"/>
          <w:szCs w:val="20"/>
        </w:rPr>
      </w:pPr>
      <w:r w:rsidRPr="00CC40FA">
        <w:rPr>
          <w:bCs/>
          <w:color w:val="000000"/>
          <w:szCs w:val="22"/>
        </w:rPr>
        <w:t>OVERVIEW OF PROGRESS IN 2015 (KEY MILESTONES</w:t>
      </w:r>
      <w:r w:rsidRPr="00CC40FA">
        <w:rPr>
          <w:bCs/>
          <w:color w:val="000000"/>
          <w:sz w:val="18"/>
          <w:szCs w:val="20"/>
        </w:rPr>
        <w:t>)</w:t>
      </w:r>
    </w:p>
    <w:p w:rsidR="00123DC4" w:rsidRPr="00CC40FA" w:rsidRDefault="00123DC4" w:rsidP="00132057">
      <w:pPr>
        <w:autoSpaceDE w:val="0"/>
        <w:autoSpaceDN w:val="0"/>
        <w:adjustRightInd w:val="0"/>
        <w:rPr>
          <w:rFonts w:eastAsiaTheme="minorHAnsi" w:cs="Arial"/>
          <w:color w:val="000000"/>
          <w:sz w:val="18"/>
          <w:szCs w:val="20"/>
        </w:rPr>
      </w:pPr>
    </w:p>
    <w:p w:rsidR="00123DC4" w:rsidRDefault="00123DC4" w:rsidP="00123DC4">
      <w:pPr>
        <w:pStyle w:val="ONUME"/>
        <w:numPr>
          <w:ilvl w:val="0"/>
          <w:numId w:val="132"/>
        </w:numPr>
        <w:tabs>
          <w:tab w:val="left" w:pos="567"/>
        </w:tabs>
        <w:ind w:left="0" w:firstLine="0"/>
        <w:jc w:val="both"/>
        <w:rPr>
          <w:rFonts w:eastAsiaTheme="minorHAnsi"/>
          <w:color w:val="000000"/>
        </w:rPr>
      </w:pPr>
      <w:r w:rsidRPr="00CC40FA">
        <w:t>In</w:t>
      </w:r>
      <w:r w:rsidRPr="007119BC">
        <w:rPr>
          <w:rFonts w:eastAsiaTheme="minorHAnsi"/>
          <w:color w:val="000000"/>
        </w:rPr>
        <w:t xml:space="preserve"> 2014, the following progress was made: </w:t>
      </w:r>
    </w:p>
    <w:p w:rsidR="00123DC4" w:rsidRPr="00DB5CD1" w:rsidRDefault="00123DC4" w:rsidP="00123DC4">
      <w:pPr>
        <w:pStyle w:val="ListParagraph"/>
        <w:numPr>
          <w:ilvl w:val="0"/>
          <w:numId w:val="147"/>
        </w:numPr>
        <w:autoSpaceDE w:val="0"/>
        <w:autoSpaceDN w:val="0"/>
        <w:adjustRightInd w:val="0"/>
        <w:spacing w:after="120"/>
        <w:ind w:left="714" w:hanging="357"/>
        <w:rPr>
          <w:bCs/>
        </w:rPr>
      </w:pPr>
      <w:r w:rsidRPr="00DB5CD1">
        <w:rPr>
          <w:bCs/>
        </w:rPr>
        <w:t xml:space="preserve">drafting and launch of the call for Expressions of Interest for the pilot/architect; </w:t>
      </w:r>
    </w:p>
    <w:p w:rsidR="00123DC4" w:rsidRPr="00DB5CD1" w:rsidRDefault="00123DC4" w:rsidP="00123DC4">
      <w:pPr>
        <w:pStyle w:val="ListParagraph"/>
        <w:numPr>
          <w:ilvl w:val="0"/>
          <w:numId w:val="147"/>
        </w:numPr>
        <w:autoSpaceDE w:val="0"/>
        <w:autoSpaceDN w:val="0"/>
        <w:adjustRightInd w:val="0"/>
        <w:spacing w:after="120"/>
        <w:ind w:left="714" w:hanging="357"/>
        <w:rPr>
          <w:bCs/>
        </w:rPr>
      </w:pPr>
      <w:r w:rsidRPr="00DB5CD1">
        <w:rPr>
          <w:bCs/>
        </w:rPr>
        <w:t xml:space="preserve">completion of the short-listing and evaluation of the call for Expressions of Interest for the pilot/architect mandate; </w:t>
      </w:r>
      <w:r>
        <w:rPr>
          <w:bCs/>
        </w:rPr>
        <w:t xml:space="preserve"> </w:t>
      </w:r>
      <w:r w:rsidRPr="00DB5CD1">
        <w:rPr>
          <w:bCs/>
        </w:rPr>
        <w:t xml:space="preserve">and </w:t>
      </w:r>
    </w:p>
    <w:p w:rsidR="00123DC4" w:rsidRPr="00DB5CD1" w:rsidRDefault="00123DC4" w:rsidP="006775C3">
      <w:pPr>
        <w:pStyle w:val="ListParagraph"/>
        <w:numPr>
          <w:ilvl w:val="0"/>
          <w:numId w:val="147"/>
        </w:numPr>
        <w:autoSpaceDE w:val="0"/>
        <w:autoSpaceDN w:val="0"/>
        <w:adjustRightInd w:val="0"/>
        <w:ind w:left="714" w:hanging="357"/>
        <w:rPr>
          <w:bCs/>
        </w:rPr>
      </w:pPr>
      <w:r w:rsidRPr="00DB5CD1">
        <w:rPr>
          <w:bCs/>
        </w:rPr>
        <w:t xml:space="preserve">drafting of the technical specifications for the call for tenders for the pilot/architect. </w:t>
      </w:r>
    </w:p>
    <w:p w:rsidR="00123DC4" w:rsidRDefault="00123DC4" w:rsidP="00132057">
      <w:pPr>
        <w:autoSpaceDE w:val="0"/>
        <w:autoSpaceDN w:val="0"/>
        <w:adjustRightInd w:val="0"/>
        <w:rPr>
          <w:rFonts w:eastAsiaTheme="minorHAnsi" w:cs="Arial"/>
          <w:color w:val="000000"/>
          <w:szCs w:val="20"/>
        </w:rPr>
      </w:pPr>
    </w:p>
    <w:p w:rsidR="00123DC4" w:rsidRDefault="00123DC4" w:rsidP="00123DC4">
      <w:pPr>
        <w:pStyle w:val="ONUME"/>
        <w:numPr>
          <w:ilvl w:val="0"/>
          <w:numId w:val="132"/>
        </w:numPr>
        <w:tabs>
          <w:tab w:val="left" w:pos="567"/>
        </w:tabs>
        <w:ind w:left="0" w:firstLine="0"/>
        <w:jc w:val="both"/>
        <w:rPr>
          <w:rFonts w:eastAsiaTheme="minorHAnsi"/>
          <w:color w:val="000000"/>
        </w:rPr>
      </w:pPr>
      <w:r w:rsidRPr="007119BC">
        <w:rPr>
          <w:rFonts w:eastAsiaTheme="minorHAnsi"/>
          <w:color w:val="000000"/>
        </w:rPr>
        <w:t>Due to the delayed completion (from beginning 2014 to September 2014) of the new WIPO Conference Hall, the start of the project was delayed by nine months relative to the original plan.</w:t>
      </w:r>
      <w:r>
        <w:rPr>
          <w:rFonts w:eastAsiaTheme="minorHAnsi"/>
          <w:color w:val="000000"/>
        </w:rPr>
        <w:t xml:space="preserve"> </w:t>
      </w:r>
      <w:r w:rsidRPr="007119BC">
        <w:rPr>
          <w:rFonts w:eastAsiaTheme="minorHAnsi"/>
          <w:color w:val="000000"/>
        </w:rPr>
        <w:t xml:space="preserve"> The timeline for the project </w:t>
      </w:r>
      <w:r>
        <w:rPr>
          <w:rFonts w:eastAsiaTheme="minorHAnsi"/>
          <w:color w:val="000000"/>
        </w:rPr>
        <w:t>was</w:t>
      </w:r>
      <w:r w:rsidRPr="007119BC">
        <w:rPr>
          <w:rFonts w:eastAsiaTheme="minorHAnsi"/>
          <w:color w:val="000000"/>
        </w:rPr>
        <w:t xml:space="preserve"> extended to 2018. </w:t>
      </w:r>
    </w:p>
    <w:p w:rsidR="00123DC4" w:rsidRDefault="00123DC4" w:rsidP="00123DC4">
      <w:pPr>
        <w:pStyle w:val="ONUME"/>
        <w:numPr>
          <w:ilvl w:val="0"/>
          <w:numId w:val="132"/>
        </w:numPr>
        <w:tabs>
          <w:tab w:val="left" w:pos="567"/>
        </w:tabs>
        <w:ind w:left="0" w:firstLine="0"/>
        <w:jc w:val="both"/>
        <w:rPr>
          <w:rFonts w:eastAsiaTheme="minorHAnsi"/>
        </w:rPr>
      </w:pPr>
      <w:r w:rsidRPr="00AF084D">
        <w:rPr>
          <w:rFonts w:eastAsiaTheme="minorHAnsi"/>
        </w:rPr>
        <w:t>In 2015, the following progress was made:</w:t>
      </w:r>
    </w:p>
    <w:p w:rsidR="00123DC4" w:rsidRPr="007A7ED0" w:rsidRDefault="00123DC4" w:rsidP="00123DC4">
      <w:pPr>
        <w:pStyle w:val="ListParagraph"/>
        <w:numPr>
          <w:ilvl w:val="0"/>
          <w:numId w:val="147"/>
        </w:numPr>
        <w:autoSpaceDE w:val="0"/>
        <w:autoSpaceDN w:val="0"/>
        <w:adjustRightInd w:val="0"/>
        <w:spacing w:after="120"/>
        <w:ind w:left="714" w:hanging="357"/>
        <w:rPr>
          <w:bCs/>
        </w:rPr>
      </w:pPr>
      <w:r w:rsidRPr="007A7ED0">
        <w:rPr>
          <w:bCs/>
        </w:rPr>
        <w:t>call for tender for the pilot/architect;</w:t>
      </w:r>
    </w:p>
    <w:p w:rsidR="00123DC4" w:rsidRPr="009C009C" w:rsidRDefault="00123DC4" w:rsidP="00123DC4">
      <w:pPr>
        <w:pStyle w:val="ListParagraph"/>
        <w:numPr>
          <w:ilvl w:val="0"/>
          <w:numId w:val="147"/>
        </w:numPr>
        <w:autoSpaceDE w:val="0"/>
        <w:autoSpaceDN w:val="0"/>
        <w:adjustRightInd w:val="0"/>
        <w:spacing w:after="120"/>
        <w:ind w:left="714" w:hanging="357"/>
        <w:rPr>
          <w:bCs/>
        </w:rPr>
      </w:pPr>
      <w:r w:rsidRPr="007A7ED0">
        <w:rPr>
          <w:bCs/>
        </w:rPr>
        <w:t>award of contract to the pilot/architect in December 2015, which was delayed from the original timeline of second quarter 2015 due to the final closure of the New Conference Hall Project;</w:t>
      </w:r>
    </w:p>
    <w:p w:rsidR="00123DC4" w:rsidRPr="009C009C" w:rsidRDefault="00123DC4" w:rsidP="00123DC4">
      <w:pPr>
        <w:pStyle w:val="ListParagraph"/>
        <w:numPr>
          <w:ilvl w:val="0"/>
          <w:numId w:val="147"/>
        </w:numPr>
        <w:autoSpaceDE w:val="0"/>
        <w:autoSpaceDN w:val="0"/>
        <w:adjustRightInd w:val="0"/>
        <w:spacing w:after="120"/>
        <w:ind w:left="714" w:hanging="357"/>
        <w:rPr>
          <w:bCs/>
        </w:rPr>
      </w:pPr>
      <w:r w:rsidRPr="007A7ED0">
        <w:rPr>
          <w:bCs/>
        </w:rPr>
        <w:t xml:space="preserve">preparation of preliminary specifications for HVAC and facade engineers; </w:t>
      </w:r>
      <w:r>
        <w:rPr>
          <w:bCs/>
        </w:rPr>
        <w:t xml:space="preserve"> </w:t>
      </w:r>
      <w:r w:rsidRPr="007A7ED0">
        <w:rPr>
          <w:bCs/>
        </w:rPr>
        <w:t xml:space="preserve">and </w:t>
      </w:r>
    </w:p>
    <w:p w:rsidR="00123DC4" w:rsidRPr="009C009C" w:rsidRDefault="00123DC4" w:rsidP="00123DC4">
      <w:pPr>
        <w:pStyle w:val="ListParagraph"/>
        <w:numPr>
          <w:ilvl w:val="0"/>
          <w:numId w:val="147"/>
        </w:numPr>
        <w:autoSpaceDE w:val="0"/>
        <w:autoSpaceDN w:val="0"/>
        <w:adjustRightInd w:val="0"/>
        <w:spacing w:after="120"/>
        <w:ind w:left="714" w:hanging="357"/>
        <w:rPr>
          <w:bCs/>
        </w:rPr>
      </w:pPr>
      <w:r w:rsidRPr="007A7ED0">
        <w:rPr>
          <w:bCs/>
        </w:rPr>
        <w:t>launch of the call for tender f</w:t>
      </w:r>
      <w:r w:rsidR="000C34CF">
        <w:rPr>
          <w:bCs/>
        </w:rPr>
        <w:t xml:space="preserve">or HVAC and facade engineers.  </w:t>
      </w:r>
      <w:r w:rsidRPr="007A7ED0">
        <w:rPr>
          <w:bCs/>
        </w:rPr>
        <w:t>In order for the selected pilot/architect to be fully involved in this process</w:t>
      </w:r>
      <w:r w:rsidRPr="009C009C">
        <w:rPr>
          <w:bCs/>
        </w:rPr>
        <w:footnoteReference w:id="174"/>
      </w:r>
      <w:r w:rsidRPr="007A7ED0">
        <w:rPr>
          <w:bCs/>
        </w:rPr>
        <w:t>, the timeline for the completion of the call for tender was pushed back.</w:t>
      </w:r>
    </w:p>
    <w:p w:rsidR="00123DC4" w:rsidRDefault="00123DC4" w:rsidP="00123DC4">
      <w:pPr>
        <w:pStyle w:val="ONUME"/>
        <w:numPr>
          <w:ilvl w:val="0"/>
          <w:numId w:val="132"/>
        </w:numPr>
        <w:tabs>
          <w:tab w:val="left" w:pos="567"/>
        </w:tabs>
        <w:ind w:left="0" w:firstLine="0"/>
        <w:jc w:val="both"/>
      </w:pPr>
      <w:r>
        <w:t>The timeline for the project has been further updated to reflect the shifts in schedule referenced above.</w:t>
      </w:r>
    </w:p>
    <w:p w:rsidR="00545826" w:rsidRPr="00D81B73" w:rsidRDefault="00545826" w:rsidP="00545826">
      <w:pPr>
        <w:pStyle w:val="ONUME"/>
        <w:tabs>
          <w:tab w:val="left" w:pos="567"/>
        </w:tabs>
        <w:spacing w:after="0"/>
        <w:jc w:val="both"/>
      </w:pPr>
    </w:p>
    <w:p w:rsidR="00123DC4" w:rsidRPr="00811367" w:rsidRDefault="00123DC4" w:rsidP="00132057">
      <w:pPr>
        <w:keepNext/>
        <w:keepLines/>
        <w:rPr>
          <w:bCs/>
          <w:szCs w:val="20"/>
        </w:rPr>
      </w:pPr>
      <w:r w:rsidRPr="00811367">
        <w:rPr>
          <w:bCs/>
          <w:szCs w:val="20"/>
        </w:rPr>
        <w:t>BENEFITS REALIZATION</w:t>
      </w:r>
    </w:p>
    <w:p w:rsidR="00123DC4" w:rsidRPr="00811367" w:rsidRDefault="00123DC4" w:rsidP="00132057">
      <w:pPr>
        <w:keepNext/>
        <w:keepLines/>
        <w:rPr>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39"/>
        <w:gridCol w:w="4539"/>
      </w:tblGrid>
      <w:tr w:rsidR="00123DC4" w:rsidRPr="00970583" w:rsidTr="00132057">
        <w:trPr>
          <w:trHeight w:val="552"/>
          <w:tblHeader/>
          <w:jc w:val="center"/>
        </w:trPr>
        <w:tc>
          <w:tcPr>
            <w:tcW w:w="4539" w:type="dxa"/>
            <w:shd w:val="clear" w:color="auto" w:fill="C6D9F1" w:themeFill="text2" w:themeFillTint="33"/>
            <w:vAlign w:val="center"/>
          </w:tcPr>
          <w:p w:rsidR="00123DC4" w:rsidRPr="00DA618E" w:rsidRDefault="00123DC4" w:rsidP="00132057">
            <w:pPr>
              <w:keepNext/>
              <w:keepLines/>
              <w:jc w:val="center"/>
              <w:rPr>
                <w:b/>
                <w:bCs/>
                <w:sz w:val="16"/>
                <w:szCs w:val="16"/>
              </w:rPr>
            </w:pPr>
            <w:r w:rsidRPr="00DA618E">
              <w:rPr>
                <w:b/>
                <w:bCs/>
                <w:color w:val="000000"/>
                <w:sz w:val="16"/>
                <w:szCs w:val="16"/>
              </w:rPr>
              <w:t>Expected Benefits 2017</w:t>
            </w:r>
          </w:p>
        </w:tc>
        <w:tc>
          <w:tcPr>
            <w:tcW w:w="4539" w:type="dxa"/>
            <w:shd w:val="clear" w:color="auto" w:fill="C6D9F1" w:themeFill="text2" w:themeFillTint="33"/>
            <w:vAlign w:val="center"/>
          </w:tcPr>
          <w:p w:rsidR="00123DC4" w:rsidRPr="009266AF" w:rsidRDefault="00123DC4" w:rsidP="00132057">
            <w:pPr>
              <w:keepNext/>
              <w:keepLines/>
              <w:jc w:val="center"/>
              <w:rPr>
                <w:b/>
                <w:bCs/>
                <w:sz w:val="16"/>
                <w:szCs w:val="16"/>
              </w:rPr>
            </w:pPr>
            <w:r w:rsidRPr="00DA618E">
              <w:rPr>
                <w:b/>
                <w:bCs/>
                <w:color w:val="000000"/>
                <w:sz w:val="16"/>
                <w:szCs w:val="16"/>
              </w:rPr>
              <w:t>Expected Benefits 2018</w:t>
            </w:r>
          </w:p>
        </w:tc>
      </w:tr>
      <w:tr w:rsidR="00123DC4" w:rsidRPr="00970583" w:rsidTr="00132057">
        <w:trPr>
          <w:trHeight w:val="417"/>
          <w:jc w:val="center"/>
        </w:trPr>
        <w:tc>
          <w:tcPr>
            <w:tcW w:w="4539" w:type="dxa"/>
            <w:shd w:val="clear" w:color="auto" w:fill="auto"/>
            <w:vAlign w:val="center"/>
          </w:tcPr>
          <w:p w:rsidR="00123DC4" w:rsidRPr="009266AF" w:rsidRDefault="00123DC4" w:rsidP="00132057">
            <w:pPr>
              <w:keepNext/>
              <w:keepLines/>
              <w:rPr>
                <w:bCs/>
                <w:iCs/>
                <w:sz w:val="16"/>
                <w:szCs w:val="16"/>
              </w:rPr>
            </w:pPr>
            <w:r w:rsidRPr="00DA618E">
              <w:rPr>
                <w:bCs/>
                <w:iCs/>
                <w:color w:val="000000"/>
                <w:sz w:val="16"/>
                <w:szCs w:val="16"/>
              </w:rPr>
              <w:t>Partial improvements in technical facilities</w:t>
            </w:r>
            <w:r>
              <w:rPr>
                <w:bCs/>
                <w:iCs/>
                <w:color w:val="000000"/>
                <w:sz w:val="16"/>
                <w:szCs w:val="16"/>
              </w:rPr>
              <w:t>.</w:t>
            </w:r>
          </w:p>
        </w:tc>
        <w:tc>
          <w:tcPr>
            <w:tcW w:w="4539" w:type="dxa"/>
            <w:shd w:val="clear" w:color="auto" w:fill="auto"/>
            <w:vAlign w:val="center"/>
          </w:tcPr>
          <w:p w:rsidR="00123DC4" w:rsidRPr="009266AF" w:rsidRDefault="00123DC4" w:rsidP="00132057">
            <w:pPr>
              <w:keepNext/>
              <w:keepLines/>
              <w:rPr>
                <w:bCs/>
                <w:iCs/>
                <w:sz w:val="16"/>
                <w:szCs w:val="16"/>
              </w:rPr>
            </w:pPr>
            <w:r w:rsidRPr="009266AF">
              <w:rPr>
                <w:bCs/>
                <w:iCs/>
                <w:color w:val="000000"/>
                <w:sz w:val="16"/>
                <w:szCs w:val="16"/>
              </w:rPr>
              <w:t>Full improvement in technical facilities</w:t>
            </w:r>
            <w:r>
              <w:rPr>
                <w:bCs/>
                <w:iCs/>
                <w:color w:val="000000"/>
                <w:sz w:val="16"/>
                <w:szCs w:val="16"/>
              </w:rPr>
              <w:t>.</w:t>
            </w:r>
          </w:p>
        </w:tc>
      </w:tr>
      <w:tr w:rsidR="00123DC4" w:rsidRPr="00970583" w:rsidTr="00132057">
        <w:trPr>
          <w:trHeight w:val="423"/>
          <w:jc w:val="center"/>
        </w:trPr>
        <w:tc>
          <w:tcPr>
            <w:tcW w:w="4539" w:type="dxa"/>
            <w:shd w:val="clear" w:color="auto" w:fill="auto"/>
            <w:vAlign w:val="center"/>
          </w:tcPr>
          <w:p w:rsidR="00123DC4" w:rsidRPr="00DA618E" w:rsidRDefault="00123DC4" w:rsidP="00132057">
            <w:pPr>
              <w:keepNext/>
              <w:keepLines/>
              <w:rPr>
                <w:bCs/>
                <w:iCs/>
                <w:sz w:val="16"/>
                <w:szCs w:val="16"/>
              </w:rPr>
            </w:pPr>
            <w:r w:rsidRPr="00DA618E">
              <w:rPr>
                <w:bCs/>
                <w:iCs/>
                <w:color w:val="000000"/>
                <w:sz w:val="16"/>
                <w:szCs w:val="16"/>
              </w:rPr>
              <w:t xml:space="preserve">Partial improvement in the comfort of </w:t>
            </w:r>
            <w:r w:rsidRPr="00DA618E">
              <w:rPr>
                <w:bCs/>
                <w:iCs/>
                <w:sz w:val="16"/>
                <w:szCs w:val="16"/>
              </w:rPr>
              <w:t>occupants</w:t>
            </w:r>
            <w:r>
              <w:rPr>
                <w:bCs/>
                <w:iCs/>
                <w:sz w:val="16"/>
                <w:szCs w:val="16"/>
              </w:rPr>
              <w:t>.</w:t>
            </w:r>
          </w:p>
        </w:tc>
        <w:tc>
          <w:tcPr>
            <w:tcW w:w="4539" w:type="dxa"/>
            <w:shd w:val="clear" w:color="auto" w:fill="auto"/>
            <w:vAlign w:val="center"/>
          </w:tcPr>
          <w:p w:rsidR="00123DC4" w:rsidRPr="009266AF" w:rsidRDefault="00123DC4" w:rsidP="00132057">
            <w:pPr>
              <w:keepNext/>
              <w:keepLines/>
              <w:rPr>
                <w:bCs/>
                <w:iCs/>
                <w:sz w:val="16"/>
                <w:szCs w:val="16"/>
              </w:rPr>
            </w:pPr>
            <w:r w:rsidRPr="009266AF">
              <w:rPr>
                <w:bCs/>
                <w:iCs/>
                <w:color w:val="000000"/>
                <w:sz w:val="16"/>
                <w:szCs w:val="16"/>
              </w:rPr>
              <w:t xml:space="preserve">Full improvement in the comfort of </w:t>
            </w:r>
            <w:r w:rsidRPr="009266AF">
              <w:rPr>
                <w:bCs/>
                <w:iCs/>
                <w:sz w:val="16"/>
                <w:szCs w:val="16"/>
              </w:rPr>
              <w:t>occupants</w:t>
            </w:r>
            <w:r>
              <w:rPr>
                <w:bCs/>
                <w:iCs/>
                <w:sz w:val="16"/>
                <w:szCs w:val="16"/>
              </w:rPr>
              <w:t>.</w:t>
            </w:r>
          </w:p>
        </w:tc>
      </w:tr>
      <w:tr w:rsidR="00123DC4" w:rsidRPr="00970583" w:rsidTr="00132057">
        <w:trPr>
          <w:trHeight w:val="416"/>
          <w:jc w:val="center"/>
        </w:trPr>
        <w:tc>
          <w:tcPr>
            <w:tcW w:w="4539" w:type="dxa"/>
            <w:shd w:val="clear" w:color="auto" w:fill="auto"/>
            <w:vAlign w:val="center"/>
          </w:tcPr>
          <w:p w:rsidR="00123DC4" w:rsidRPr="00DA618E" w:rsidRDefault="00123DC4" w:rsidP="00132057">
            <w:pPr>
              <w:rPr>
                <w:bCs/>
                <w:iCs/>
                <w:sz w:val="16"/>
                <w:szCs w:val="16"/>
              </w:rPr>
            </w:pPr>
          </w:p>
        </w:tc>
        <w:tc>
          <w:tcPr>
            <w:tcW w:w="4539" w:type="dxa"/>
            <w:shd w:val="clear" w:color="auto" w:fill="auto"/>
            <w:vAlign w:val="center"/>
          </w:tcPr>
          <w:p w:rsidR="00123DC4" w:rsidRPr="009266AF" w:rsidRDefault="00123DC4" w:rsidP="00132057">
            <w:pPr>
              <w:rPr>
                <w:bCs/>
                <w:iCs/>
                <w:sz w:val="16"/>
                <w:szCs w:val="16"/>
              </w:rPr>
            </w:pPr>
            <w:r w:rsidRPr="00DA618E">
              <w:rPr>
                <w:bCs/>
                <w:iCs/>
                <w:color w:val="000000"/>
                <w:sz w:val="16"/>
                <w:szCs w:val="16"/>
              </w:rPr>
              <w:t xml:space="preserve">Partial reduction in energy loss thanks to </w:t>
            </w:r>
            <w:r w:rsidRPr="009266AF">
              <w:rPr>
                <w:bCs/>
                <w:iCs/>
                <w:color w:val="000000"/>
                <w:sz w:val="16"/>
                <w:szCs w:val="16"/>
              </w:rPr>
              <w:t>improved facades</w:t>
            </w:r>
            <w:r>
              <w:rPr>
                <w:bCs/>
                <w:iCs/>
                <w:color w:val="000000"/>
                <w:sz w:val="16"/>
                <w:szCs w:val="16"/>
              </w:rPr>
              <w:t>.</w:t>
            </w:r>
          </w:p>
        </w:tc>
      </w:tr>
      <w:tr w:rsidR="00123DC4" w:rsidRPr="00970583" w:rsidTr="00132057">
        <w:trPr>
          <w:trHeight w:val="552"/>
          <w:jc w:val="center"/>
        </w:trPr>
        <w:tc>
          <w:tcPr>
            <w:tcW w:w="4539" w:type="dxa"/>
            <w:shd w:val="clear" w:color="auto" w:fill="auto"/>
            <w:vAlign w:val="center"/>
          </w:tcPr>
          <w:p w:rsidR="00123DC4" w:rsidRPr="00DA618E" w:rsidRDefault="00123DC4" w:rsidP="00132057">
            <w:pPr>
              <w:rPr>
                <w:bCs/>
                <w:iCs/>
                <w:sz w:val="16"/>
                <w:szCs w:val="16"/>
              </w:rPr>
            </w:pPr>
          </w:p>
        </w:tc>
        <w:tc>
          <w:tcPr>
            <w:tcW w:w="4539" w:type="dxa"/>
            <w:shd w:val="clear" w:color="auto" w:fill="auto"/>
            <w:vAlign w:val="center"/>
          </w:tcPr>
          <w:p w:rsidR="00123DC4" w:rsidRPr="009266AF" w:rsidRDefault="00123DC4" w:rsidP="00132057">
            <w:pPr>
              <w:rPr>
                <w:bCs/>
                <w:iCs/>
                <w:sz w:val="16"/>
                <w:szCs w:val="16"/>
              </w:rPr>
            </w:pPr>
            <w:r w:rsidRPr="00DA618E">
              <w:rPr>
                <w:bCs/>
                <w:iCs/>
                <w:color w:val="000000"/>
                <w:sz w:val="16"/>
                <w:szCs w:val="16"/>
              </w:rPr>
              <w:t xml:space="preserve">Partial reduction in energy consumption due to new thermal </w:t>
            </w:r>
            <w:r w:rsidRPr="009266AF">
              <w:rPr>
                <w:bCs/>
                <w:iCs/>
                <w:color w:val="000000"/>
                <w:sz w:val="16"/>
                <w:szCs w:val="16"/>
              </w:rPr>
              <w:t>false ceilings</w:t>
            </w:r>
            <w:r>
              <w:rPr>
                <w:bCs/>
                <w:iCs/>
                <w:sz w:val="16"/>
                <w:szCs w:val="16"/>
              </w:rPr>
              <w:t>.</w:t>
            </w:r>
          </w:p>
        </w:tc>
      </w:tr>
      <w:tr w:rsidR="00123DC4" w:rsidRPr="00970583" w:rsidTr="00132057">
        <w:trPr>
          <w:trHeight w:val="427"/>
          <w:jc w:val="center"/>
        </w:trPr>
        <w:tc>
          <w:tcPr>
            <w:tcW w:w="4539" w:type="dxa"/>
            <w:shd w:val="clear" w:color="auto" w:fill="auto"/>
            <w:vAlign w:val="center"/>
          </w:tcPr>
          <w:p w:rsidR="00123DC4" w:rsidRPr="00DA618E" w:rsidRDefault="00123DC4" w:rsidP="00132057">
            <w:pPr>
              <w:rPr>
                <w:b/>
                <w:bCs/>
                <w:i/>
                <w:iCs/>
                <w:sz w:val="16"/>
                <w:szCs w:val="16"/>
              </w:rPr>
            </w:pPr>
          </w:p>
        </w:tc>
        <w:tc>
          <w:tcPr>
            <w:tcW w:w="4539" w:type="dxa"/>
            <w:shd w:val="clear" w:color="auto" w:fill="auto"/>
            <w:vAlign w:val="center"/>
          </w:tcPr>
          <w:p w:rsidR="00123DC4" w:rsidRPr="009266AF" w:rsidRDefault="00123DC4" w:rsidP="00132057">
            <w:pPr>
              <w:rPr>
                <w:bCs/>
                <w:iCs/>
                <w:sz w:val="16"/>
                <w:szCs w:val="16"/>
              </w:rPr>
            </w:pPr>
            <w:r w:rsidRPr="00DA618E">
              <w:rPr>
                <w:bCs/>
                <w:iCs/>
                <w:color w:val="000000"/>
                <w:sz w:val="16"/>
                <w:szCs w:val="16"/>
              </w:rPr>
              <w:t xml:space="preserve">Increased life-cycle of new thermal </w:t>
            </w:r>
            <w:r w:rsidRPr="009266AF">
              <w:rPr>
                <w:bCs/>
                <w:iCs/>
                <w:color w:val="000000"/>
                <w:sz w:val="16"/>
                <w:szCs w:val="16"/>
              </w:rPr>
              <w:t>false ceilings</w:t>
            </w:r>
            <w:r>
              <w:rPr>
                <w:bCs/>
                <w:iCs/>
                <w:color w:val="000000"/>
                <w:sz w:val="16"/>
                <w:szCs w:val="16"/>
              </w:rPr>
              <w:t>.</w:t>
            </w:r>
          </w:p>
        </w:tc>
      </w:tr>
      <w:tr w:rsidR="00123DC4" w:rsidRPr="00970583" w:rsidTr="00132057">
        <w:trPr>
          <w:trHeight w:val="552"/>
          <w:jc w:val="center"/>
        </w:trPr>
        <w:tc>
          <w:tcPr>
            <w:tcW w:w="4539" w:type="dxa"/>
            <w:shd w:val="clear" w:color="auto" w:fill="auto"/>
            <w:vAlign w:val="center"/>
          </w:tcPr>
          <w:p w:rsidR="00123DC4" w:rsidRPr="00DA618E" w:rsidRDefault="00123DC4" w:rsidP="00132057">
            <w:pPr>
              <w:rPr>
                <w:b/>
                <w:bCs/>
                <w:i/>
                <w:iCs/>
                <w:sz w:val="16"/>
                <w:szCs w:val="16"/>
              </w:rPr>
            </w:pPr>
          </w:p>
        </w:tc>
        <w:tc>
          <w:tcPr>
            <w:tcW w:w="4539" w:type="dxa"/>
            <w:shd w:val="clear" w:color="auto" w:fill="auto"/>
            <w:vAlign w:val="center"/>
          </w:tcPr>
          <w:p w:rsidR="00123DC4" w:rsidRPr="009266AF" w:rsidRDefault="00123DC4" w:rsidP="00132057">
            <w:pPr>
              <w:rPr>
                <w:bCs/>
                <w:iCs/>
                <w:sz w:val="16"/>
                <w:szCs w:val="16"/>
              </w:rPr>
            </w:pPr>
            <w:r w:rsidRPr="00DA618E">
              <w:rPr>
                <w:bCs/>
                <w:iCs/>
                <w:color w:val="000000"/>
                <w:sz w:val="16"/>
                <w:szCs w:val="16"/>
              </w:rPr>
              <w:t>Reduced cost in corrective ma</w:t>
            </w:r>
            <w:r w:rsidRPr="009266AF">
              <w:rPr>
                <w:bCs/>
                <w:iCs/>
                <w:color w:val="000000"/>
                <w:sz w:val="16"/>
                <w:szCs w:val="16"/>
              </w:rPr>
              <w:t>intenance due to new thermal false ceilings</w:t>
            </w:r>
            <w:r>
              <w:rPr>
                <w:bCs/>
                <w:iCs/>
                <w:color w:val="000000"/>
                <w:sz w:val="16"/>
                <w:szCs w:val="16"/>
              </w:rPr>
              <w:t>.</w:t>
            </w:r>
          </w:p>
        </w:tc>
      </w:tr>
    </w:tbl>
    <w:p w:rsidR="00123DC4" w:rsidRDefault="00123DC4" w:rsidP="00132057">
      <w:pPr>
        <w:rPr>
          <w:b/>
          <w:sz w:val="18"/>
          <w:szCs w:val="20"/>
        </w:rPr>
      </w:pPr>
    </w:p>
    <w:p w:rsidR="00545826" w:rsidRPr="00811367" w:rsidRDefault="00545826" w:rsidP="00132057">
      <w:pPr>
        <w:rPr>
          <w:b/>
          <w:sz w:val="18"/>
          <w:szCs w:val="20"/>
        </w:rPr>
      </w:pPr>
    </w:p>
    <w:p w:rsidR="00123DC4" w:rsidRPr="00811367" w:rsidRDefault="00123DC4" w:rsidP="00132057">
      <w:pPr>
        <w:rPr>
          <w:rFonts w:cs="Arial"/>
          <w:color w:val="000000"/>
          <w:szCs w:val="20"/>
        </w:rPr>
      </w:pPr>
      <w:r w:rsidRPr="00811367">
        <w:rPr>
          <w:rFonts w:cs="Arial"/>
          <w:color w:val="000000"/>
          <w:szCs w:val="20"/>
        </w:rPr>
        <w:t>RESOURCE UTILIZATION</w:t>
      </w:r>
      <w:r w:rsidRPr="00811367">
        <w:rPr>
          <w:rStyle w:val="FootnoteReference"/>
          <w:szCs w:val="20"/>
        </w:rPr>
        <w:footnoteReference w:id="175"/>
      </w:r>
      <w:r w:rsidRPr="00811367">
        <w:rPr>
          <w:rFonts w:cs="Arial"/>
          <w:color w:val="000000"/>
          <w:szCs w:val="20"/>
        </w:rPr>
        <w:tab/>
      </w:r>
    </w:p>
    <w:p w:rsidR="00123DC4" w:rsidRPr="00811367" w:rsidRDefault="00123DC4" w:rsidP="00132057">
      <w:pPr>
        <w:rPr>
          <w:rFonts w:cs="Arial"/>
          <w:color w:val="000000"/>
          <w:szCs w:val="20"/>
        </w:rPr>
      </w:pPr>
    </w:p>
    <w:p w:rsidR="00123DC4" w:rsidRPr="00970583" w:rsidRDefault="00123DC4" w:rsidP="00132057">
      <w:pPr>
        <w:keepNext/>
        <w:keepLines/>
        <w:tabs>
          <w:tab w:val="left" w:pos="3261"/>
        </w:tabs>
        <w:autoSpaceDE w:val="0"/>
        <w:autoSpaceDN w:val="0"/>
        <w:adjustRightInd w:val="0"/>
        <w:jc w:val="center"/>
        <w:rPr>
          <w:b/>
          <w:szCs w:val="22"/>
        </w:rPr>
      </w:pPr>
      <w:r w:rsidRPr="00970583">
        <w:rPr>
          <w:b/>
          <w:color w:val="000000"/>
          <w:szCs w:val="22"/>
        </w:rPr>
        <w:t>Project Budget Utilization</w:t>
      </w:r>
      <w:r w:rsidRPr="00970583">
        <w:rPr>
          <w:b/>
          <w:szCs w:val="22"/>
        </w:rPr>
        <w:t xml:space="preserve"> </w:t>
      </w:r>
    </w:p>
    <w:p w:rsidR="00123DC4" w:rsidRPr="00811367" w:rsidRDefault="00123DC4" w:rsidP="00132057">
      <w:pPr>
        <w:keepNext/>
        <w:keepLines/>
        <w:tabs>
          <w:tab w:val="left" w:pos="3261"/>
        </w:tabs>
        <w:autoSpaceDE w:val="0"/>
        <w:autoSpaceDN w:val="0"/>
        <w:adjustRightInd w:val="0"/>
        <w:spacing w:after="120"/>
        <w:jc w:val="center"/>
        <w:rPr>
          <w:i/>
          <w:iCs/>
          <w:sz w:val="18"/>
          <w:szCs w:val="18"/>
        </w:rPr>
      </w:pPr>
      <w:r w:rsidRPr="00970583">
        <w:rPr>
          <w:i/>
          <w:iCs/>
          <w:color w:val="000000"/>
          <w:sz w:val="18"/>
          <w:szCs w:val="18"/>
        </w:rPr>
        <w:t>(</w:t>
      </w:r>
      <w:r>
        <w:rPr>
          <w:i/>
          <w:iCs/>
          <w:color w:val="000000"/>
          <w:sz w:val="18"/>
          <w:szCs w:val="18"/>
        </w:rPr>
        <w:t>i</w:t>
      </w:r>
      <w:r w:rsidRPr="00970583">
        <w:rPr>
          <w:i/>
          <w:iCs/>
          <w:color w:val="000000"/>
          <w:sz w:val="18"/>
          <w:szCs w:val="18"/>
        </w:rPr>
        <w:t>n Swiss francs, as at December 31, 201</w:t>
      </w:r>
      <w:r>
        <w:rPr>
          <w:i/>
          <w:iCs/>
          <w:color w:val="000000"/>
          <w:sz w:val="18"/>
          <w:szCs w:val="18"/>
        </w:rPr>
        <w:t>5</w:t>
      </w:r>
      <w:r w:rsidRPr="00970583">
        <w:rPr>
          <w:i/>
          <w:iCs/>
          <w:color w:val="000000"/>
          <w:sz w:val="18"/>
          <w:szCs w:val="18"/>
        </w:rPr>
        <w:t>)</w:t>
      </w:r>
    </w:p>
    <w:tbl>
      <w:tblPr>
        <w:tblpPr w:leftFromText="180" w:rightFromText="180" w:vertAnchor="text" w:horzAnchor="margin" w:tblpX="182" w:tblpY="17"/>
        <w:tblW w:w="480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40"/>
        <w:gridCol w:w="1564"/>
        <w:gridCol w:w="1565"/>
        <w:gridCol w:w="1565"/>
        <w:gridCol w:w="1564"/>
      </w:tblGrid>
      <w:tr w:rsidR="00123DC4" w:rsidRPr="00970583" w:rsidTr="00132057">
        <w:trPr>
          <w:trHeight w:val="410"/>
        </w:trPr>
        <w:tc>
          <w:tcPr>
            <w:tcW w:w="1598"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970583" w:rsidRDefault="00123DC4" w:rsidP="00132057">
            <w:pPr>
              <w:keepNext/>
              <w:keepLines/>
              <w:autoSpaceDE w:val="0"/>
              <w:autoSpaceDN w:val="0"/>
              <w:adjustRightInd w:val="0"/>
              <w:spacing w:before="40" w:after="40"/>
              <w:ind w:left="-74" w:right="-60"/>
              <w:jc w:val="center"/>
              <w:rPr>
                <w:b/>
                <w:bCs/>
                <w:sz w:val="16"/>
                <w:szCs w:val="16"/>
              </w:rPr>
            </w:pPr>
            <w:r w:rsidRPr="00970583">
              <w:rPr>
                <w:b/>
                <w:bCs/>
                <w:sz w:val="16"/>
                <w:szCs w:val="16"/>
              </w:rPr>
              <w:t>Project Name</w:t>
            </w:r>
          </w:p>
        </w:tc>
        <w:tc>
          <w:tcPr>
            <w:tcW w:w="850"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970583" w:rsidRDefault="00123DC4" w:rsidP="00132057">
            <w:pPr>
              <w:keepNext/>
              <w:keepLines/>
              <w:autoSpaceDE w:val="0"/>
              <w:autoSpaceDN w:val="0"/>
              <w:adjustRightInd w:val="0"/>
              <w:spacing w:before="40" w:after="40"/>
              <w:ind w:left="-107" w:right="-108"/>
              <w:jc w:val="center"/>
              <w:rPr>
                <w:b/>
                <w:bCs/>
                <w:sz w:val="16"/>
                <w:szCs w:val="16"/>
              </w:rPr>
            </w:pPr>
            <w:r w:rsidRPr="00970583">
              <w:rPr>
                <w:b/>
                <w:bCs/>
                <w:color w:val="000000"/>
                <w:sz w:val="16"/>
                <w:szCs w:val="16"/>
              </w:rPr>
              <w:t>Project Budget</w:t>
            </w:r>
          </w:p>
        </w:tc>
        <w:tc>
          <w:tcPr>
            <w:tcW w:w="851"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970583" w:rsidRDefault="00123DC4" w:rsidP="00132057">
            <w:pPr>
              <w:keepNext/>
              <w:keepLines/>
              <w:autoSpaceDE w:val="0"/>
              <w:autoSpaceDN w:val="0"/>
              <w:adjustRightInd w:val="0"/>
              <w:spacing w:before="40" w:after="40"/>
              <w:ind w:left="-108" w:right="-106"/>
              <w:jc w:val="center"/>
              <w:rPr>
                <w:b/>
                <w:bCs/>
                <w:sz w:val="16"/>
                <w:szCs w:val="16"/>
              </w:rPr>
            </w:pPr>
            <w:r w:rsidRPr="00970583">
              <w:rPr>
                <w:b/>
                <w:bCs/>
                <w:color w:val="000000"/>
                <w:sz w:val="16"/>
                <w:szCs w:val="16"/>
              </w:rPr>
              <w:t>Actual Expenditure to Date</w:t>
            </w:r>
          </w:p>
        </w:tc>
        <w:tc>
          <w:tcPr>
            <w:tcW w:w="851"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970583" w:rsidRDefault="00123DC4" w:rsidP="00132057">
            <w:pPr>
              <w:keepNext/>
              <w:keepLines/>
              <w:autoSpaceDE w:val="0"/>
              <w:autoSpaceDN w:val="0"/>
              <w:adjustRightInd w:val="0"/>
              <w:spacing w:before="40" w:after="40"/>
              <w:ind w:left="-109" w:right="-108"/>
              <w:jc w:val="center"/>
              <w:rPr>
                <w:b/>
                <w:bCs/>
                <w:sz w:val="16"/>
                <w:szCs w:val="16"/>
              </w:rPr>
            </w:pPr>
            <w:r w:rsidRPr="00970583">
              <w:rPr>
                <w:b/>
                <w:bCs/>
                <w:sz w:val="16"/>
                <w:szCs w:val="16"/>
              </w:rPr>
              <w:t>Actual Budget Utilization</w:t>
            </w:r>
          </w:p>
        </w:tc>
        <w:tc>
          <w:tcPr>
            <w:tcW w:w="850"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970583" w:rsidRDefault="00123DC4" w:rsidP="00132057">
            <w:pPr>
              <w:keepNext/>
              <w:keepLines/>
              <w:autoSpaceDE w:val="0"/>
              <w:autoSpaceDN w:val="0"/>
              <w:adjustRightInd w:val="0"/>
              <w:spacing w:before="40" w:after="40"/>
              <w:ind w:left="-109" w:right="-73" w:firstLine="1"/>
              <w:jc w:val="center"/>
              <w:rPr>
                <w:b/>
                <w:bCs/>
                <w:sz w:val="16"/>
                <w:szCs w:val="16"/>
              </w:rPr>
            </w:pPr>
            <w:r w:rsidRPr="00970583">
              <w:rPr>
                <w:b/>
                <w:bCs/>
                <w:color w:val="000000"/>
                <w:sz w:val="16"/>
                <w:szCs w:val="16"/>
              </w:rPr>
              <w:t>Implementation Progress Rate of the Project</w:t>
            </w:r>
          </w:p>
        </w:tc>
      </w:tr>
      <w:tr w:rsidR="00123DC4" w:rsidRPr="00970583" w:rsidTr="00132057">
        <w:trPr>
          <w:trHeight w:val="389"/>
        </w:trPr>
        <w:tc>
          <w:tcPr>
            <w:tcW w:w="1598" w:type="pct"/>
            <w:tcBorders>
              <w:top w:val="single" w:sz="4" w:space="0" w:color="auto"/>
              <w:left w:val="single" w:sz="4" w:space="0" w:color="auto"/>
              <w:bottom w:val="single" w:sz="4" w:space="0" w:color="auto"/>
              <w:right w:val="single" w:sz="4" w:space="0" w:color="auto"/>
            </w:tcBorders>
            <w:vAlign w:val="center"/>
          </w:tcPr>
          <w:p w:rsidR="00123DC4" w:rsidRPr="00B90F7D" w:rsidRDefault="00123DC4" w:rsidP="00132057">
            <w:pPr>
              <w:keepNext/>
              <w:keepLines/>
              <w:autoSpaceDE w:val="0"/>
              <w:autoSpaceDN w:val="0"/>
              <w:adjustRightInd w:val="0"/>
              <w:spacing w:before="40" w:after="40"/>
              <w:rPr>
                <w:b/>
                <w:bCs/>
                <w:sz w:val="16"/>
                <w:szCs w:val="16"/>
              </w:rPr>
            </w:pPr>
            <w:r w:rsidRPr="00B90F7D">
              <w:rPr>
                <w:sz w:val="16"/>
                <w:szCs w:val="16"/>
              </w:rPr>
              <w:t>Renovation of the facades and cooling/heating installation of the</w:t>
            </w:r>
          </w:p>
          <w:p w:rsidR="00123DC4" w:rsidRPr="00970583" w:rsidRDefault="00123DC4" w:rsidP="00132057">
            <w:pPr>
              <w:keepNext/>
              <w:keepLines/>
              <w:autoSpaceDE w:val="0"/>
              <w:autoSpaceDN w:val="0"/>
              <w:adjustRightInd w:val="0"/>
              <w:spacing w:before="40" w:after="40"/>
              <w:rPr>
                <w:sz w:val="16"/>
                <w:szCs w:val="16"/>
              </w:rPr>
            </w:pPr>
            <w:r w:rsidRPr="00B90F7D">
              <w:rPr>
                <w:sz w:val="16"/>
                <w:szCs w:val="16"/>
              </w:rPr>
              <w:t>PCT Building</w:t>
            </w:r>
            <w:r>
              <w:rPr>
                <w:sz w:val="16"/>
                <w:szCs w:val="16"/>
              </w:rPr>
              <w:t xml:space="preserve"> (CMP3)</w:t>
            </w:r>
          </w:p>
        </w:tc>
        <w:tc>
          <w:tcPr>
            <w:tcW w:w="850" w:type="pct"/>
            <w:tcBorders>
              <w:top w:val="single" w:sz="4" w:space="0" w:color="auto"/>
              <w:left w:val="single" w:sz="4" w:space="0" w:color="auto"/>
              <w:bottom w:val="single" w:sz="4" w:space="0" w:color="auto"/>
              <w:right w:val="single" w:sz="4" w:space="0" w:color="auto"/>
            </w:tcBorders>
            <w:vAlign w:val="center"/>
          </w:tcPr>
          <w:p w:rsidR="00123DC4" w:rsidRPr="00970583" w:rsidRDefault="00123DC4" w:rsidP="00132057">
            <w:pPr>
              <w:keepNext/>
              <w:keepLines/>
              <w:autoSpaceDE w:val="0"/>
              <w:autoSpaceDN w:val="0"/>
              <w:adjustRightInd w:val="0"/>
              <w:spacing w:before="40" w:after="40"/>
              <w:jc w:val="center"/>
              <w:rPr>
                <w:sz w:val="16"/>
                <w:szCs w:val="16"/>
              </w:rPr>
            </w:pPr>
            <w:r w:rsidRPr="00970583">
              <w:rPr>
                <w:sz w:val="16"/>
                <w:szCs w:val="16"/>
              </w:rPr>
              <w:t>6</w:t>
            </w:r>
            <w:r>
              <w:rPr>
                <w:sz w:val="16"/>
                <w:szCs w:val="16"/>
              </w:rPr>
              <w:t>,</w:t>
            </w:r>
            <w:r w:rsidRPr="00970583">
              <w:rPr>
                <w:sz w:val="16"/>
                <w:szCs w:val="16"/>
              </w:rPr>
              <w:t>000</w:t>
            </w:r>
            <w:r>
              <w:rPr>
                <w:sz w:val="16"/>
                <w:szCs w:val="16"/>
              </w:rPr>
              <w:t>,</w:t>
            </w:r>
            <w:r w:rsidRPr="00970583">
              <w:rPr>
                <w:sz w:val="16"/>
                <w:szCs w:val="16"/>
              </w:rPr>
              <w:t>000</w:t>
            </w:r>
          </w:p>
        </w:tc>
        <w:tc>
          <w:tcPr>
            <w:tcW w:w="851" w:type="pct"/>
            <w:tcBorders>
              <w:top w:val="single" w:sz="4" w:space="0" w:color="auto"/>
              <w:left w:val="single" w:sz="4" w:space="0" w:color="auto"/>
              <w:bottom w:val="single" w:sz="4" w:space="0" w:color="auto"/>
              <w:right w:val="single" w:sz="4" w:space="0" w:color="auto"/>
            </w:tcBorders>
            <w:vAlign w:val="center"/>
          </w:tcPr>
          <w:p w:rsidR="00123DC4" w:rsidRPr="00EC7C86" w:rsidRDefault="00123DC4" w:rsidP="00132057">
            <w:pPr>
              <w:keepNext/>
              <w:keepLines/>
              <w:autoSpaceDE w:val="0"/>
              <w:autoSpaceDN w:val="0"/>
              <w:adjustRightInd w:val="0"/>
              <w:spacing w:before="40" w:after="40"/>
              <w:jc w:val="center"/>
              <w:rPr>
                <w:sz w:val="16"/>
                <w:szCs w:val="16"/>
              </w:rPr>
            </w:pPr>
            <w:r w:rsidRPr="00EC7C86">
              <w:rPr>
                <w:sz w:val="16"/>
                <w:szCs w:val="16"/>
              </w:rPr>
              <w:t>83,651</w:t>
            </w:r>
          </w:p>
        </w:tc>
        <w:tc>
          <w:tcPr>
            <w:tcW w:w="851" w:type="pct"/>
            <w:tcBorders>
              <w:top w:val="single" w:sz="4" w:space="0" w:color="auto"/>
              <w:left w:val="single" w:sz="4" w:space="0" w:color="auto"/>
              <w:bottom w:val="single" w:sz="4" w:space="0" w:color="auto"/>
              <w:right w:val="single" w:sz="4" w:space="0" w:color="auto"/>
            </w:tcBorders>
            <w:vAlign w:val="center"/>
          </w:tcPr>
          <w:p w:rsidR="00123DC4" w:rsidRPr="00EC7C86" w:rsidRDefault="00123DC4" w:rsidP="00132057">
            <w:pPr>
              <w:keepNext/>
              <w:keepLines/>
              <w:autoSpaceDE w:val="0"/>
              <w:autoSpaceDN w:val="0"/>
              <w:adjustRightInd w:val="0"/>
              <w:spacing w:before="40" w:after="40"/>
              <w:jc w:val="center"/>
              <w:rPr>
                <w:sz w:val="16"/>
                <w:szCs w:val="16"/>
              </w:rPr>
            </w:pPr>
            <w:r w:rsidRPr="00EC7C86">
              <w:rPr>
                <w:sz w:val="16"/>
                <w:szCs w:val="16"/>
              </w:rPr>
              <w:t>1.4%</w:t>
            </w:r>
          </w:p>
        </w:tc>
        <w:tc>
          <w:tcPr>
            <w:tcW w:w="850" w:type="pct"/>
            <w:tcBorders>
              <w:top w:val="single" w:sz="4" w:space="0" w:color="auto"/>
              <w:left w:val="single" w:sz="4" w:space="0" w:color="auto"/>
              <w:bottom w:val="single" w:sz="4" w:space="0" w:color="auto"/>
              <w:right w:val="single" w:sz="4" w:space="0" w:color="auto"/>
            </w:tcBorders>
            <w:vAlign w:val="center"/>
          </w:tcPr>
          <w:p w:rsidR="00123DC4" w:rsidRPr="00EC7C86" w:rsidRDefault="00123DC4" w:rsidP="00132057">
            <w:pPr>
              <w:keepNext/>
              <w:keepLines/>
              <w:autoSpaceDE w:val="0"/>
              <w:autoSpaceDN w:val="0"/>
              <w:adjustRightInd w:val="0"/>
              <w:spacing w:before="40" w:after="40"/>
              <w:jc w:val="center"/>
              <w:rPr>
                <w:sz w:val="16"/>
                <w:szCs w:val="16"/>
              </w:rPr>
            </w:pPr>
            <w:r w:rsidRPr="00EC7C86">
              <w:rPr>
                <w:sz w:val="16"/>
                <w:szCs w:val="16"/>
              </w:rPr>
              <w:t>10%</w:t>
            </w:r>
          </w:p>
        </w:tc>
      </w:tr>
    </w:tbl>
    <w:p w:rsidR="00123DC4" w:rsidRDefault="00123DC4" w:rsidP="00132057">
      <w:pPr>
        <w:rPr>
          <w:b/>
          <w:szCs w:val="22"/>
        </w:rPr>
      </w:pPr>
    </w:p>
    <w:p w:rsidR="00123DC4" w:rsidRPr="00970583" w:rsidRDefault="00123DC4" w:rsidP="00132057">
      <w:pPr>
        <w:keepNext/>
        <w:keepLines/>
        <w:tabs>
          <w:tab w:val="left" w:pos="3261"/>
        </w:tabs>
        <w:autoSpaceDE w:val="0"/>
        <w:autoSpaceDN w:val="0"/>
        <w:adjustRightInd w:val="0"/>
        <w:jc w:val="center"/>
        <w:rPr>
          <w:b/>
          <w:szCs w:val="22"/>
        </w:rPr>
      </w:pPr>
      <w:r w:rsidRPr="00970583">
        <w:rPr>
          <w:b/>
          <w:color w:val="000000"/>
          <w:szCs w:val="22"/>
        </w:rPr>
        <w:t>Project Budget Utilization (by Milestone)</w:t>
      </w:r>
    </w:p>
    <w:p w:rsidR="00123DC4" w:rsidRPr="00811367" w:rsidRDefault="00123DC4" w:rsidP="00132057">
      <w:pPr>
        <w:keepNext/>
        <w:keepLines/>
        <w:tabs>
          <w:tab w:val="left" w:pos="3261"/>
        </w:tabs>
        <w:autoSpaceDE w:val="0"/>
        <w:autoSpaceDN w:val="0"/>
        <w:adjustRightInd w:val="0"/>
        <w:spacing w:after="120"/>
        <w:jc w:val="center"/>
        <w:rPr>
          <w:i/>
          <w:iCs/>
          <w:sz w:val="18"/>
          <w:szCs w:val="18"/>
        </w:rPr>
      </w:pPr>
      <w:r w:rsidRPr="00970583">
        <w:rPr>
          <w:i/>
          <w:iCs/>
          <w:sz w:val="18"/>
          <w:szCs w:val="18"/>
        </w:rPr>
        <w:t>(</w:t>
      </w:r>
      <w:r>
        <w:rPr>
          <w:i/>
          <w:iCs/>
          <w:sz w:val="18"/>
          <w:szCs w:val="18"/>
        </w:rPr>
        <w:t>i</w:t>
      </w:r>
      <w:r w:rsidRPr="00970583">
        <w:rPr>
          <w:i/>
          <w:iCs/>
          <w:sz w:val="18"/>
          <w:szCs w:val="18"/>
        </w:rPr>
        <w:t>n Swiss francs, as at December 31, 201</w:t>
      </w:r>
      <w:r>
        <w:rPr>
          <w:i/>
          <w:iCs/>
          <w:sz w:val="18"/>
          <w:szCs w:val="18"/>
        </w:rPr>
        <w:t>5</w:t>
      </w:r>
      <w:r w:rsidRPr="00970583">
        <w:rPr>
          <w:i/>
          <w:iCs/>
          <w:sz w:val="18"/>
          <w:szCs w:val="18"/>
        </w:rPr>
        <w:t>)</w:t>
      </w:r>
    </w:p>
    <w:tbl>
      <w:tblPr>
        <w:tblpPr w:leftFromText="180" w:rightFromText="180" w:vertAnchor="text" w:horzAnchor="margin" w:tblpX="182" w:tblpY="17"/>
        <w:tblW w:w="480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898"/>
        <w:gridCol w:w="1575"/>
        <w:gridCol w:w="1575"/>
        <w:gridCol w:w="1575"/>
        <w:gridCol w:w="1575"/>
      </w:tblGrid>
      <w:tr w:rsidR="00123DC4" w:rsidRPr="00970583" w:rsidTr="00132057">
        <w:trPr>
          <w:trHeight w:val="410"/>
        </w:trPr>
        <w:tc>
          <w:tcPr>
            <w:tcW w:w="1575"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970583" w:rsidRDefault="00123DC4" w:rsidP="00132057">
            <w:pPr>
              <w:keepNext/>
              <w:keepLines/>
              <w:autoSpaceDE w:val="0"/>
              <w:autoSpaceDN w:val="0"/>
              <w:adjustRightInd w:val="0"/>
              <w:spacing w:before="40" w:after="40"/>
              <w:ind w:left="-74" w:right="-60"/>
              <w:jc w:val="center"/>
              <w:rPr>
                <w:b/>
                <w:bCs/>
                <w:sz w:val="16"/>
                <w:szCs w:val="16"/>
              </w:rPr>
            </w:pPr>
            <w:r w:rsidRPr="00970583">
              <w:rPr>
                <w:b/>
                <w:bCs/>
                <w:sz w:val="16"/>
                <w:szCs w:val="16"/>
              </w:rPr>
              <w:t>Key Milestone</w:t>
            </w:r>
          </w:p>
        </w:tc>
        <w:tc>
          <w:tcPr>
            <w:tcW w:w="856"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970583" w:rsidRDefault="00123DC4" w:rsidP="00132057">
            <w:pPr>
              <w:keepNext/>
              <w:keepLines/>
              <w:autoSpaceDE w:val="0"/>
              <w:autoSpaceDN w:val="0"/>
              <w:adjustRightInd w:val="0"/>
              <w:spacing w:before="40" w:after="40"/>
              <w:ind w:left="-107" w:right="-108"/>
              <w:jc w:val="center"/>
              <w:rPr>
                <w:b/>
                <w:bCs/>
                <w:sz w:val="16"/>
                <w:szCs w:val="16"/>
              </w:rPr>
            </w:pPr>
            <w:r w:rsidRPr="00970583">
              <w:rPr>
                <w:b/>
                <w:bCs/>
                <w:sz w:val="16"/>
                <w:szCs w:val="16"/>
              </w:rPr>
              <w:t>Project Budget</w:t>
            </w:r>
          </w:p>
        </w:tc>
        <w:tc>
          <w:tcPr>
            <w:tcW w:w="856"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970583" w:rsidRDefault="00123DC4" w:rsidP="00132057">
            <w:pPr>
              <w:keepNext/>
              <w:keepLines/>
              <w:autoSpaceDE w:val="0"/>
              <w:autoSpaceDN w:val="0"/>
              <w:adjustRightInd w:val="0"/>
              <w:spacing w:before="40" w:after="40"/>
              <w:ind w:left="-108" w:right="-106"/>
              <w:jc w:val="center"/>
              <w:rPr>
                <w:b/>
                <w:bCs/>
                <w:sz w:val="16"/>
                <w:szCs w:val="16"/>
              </w:rPr>
            </w:pPr>
            <w:r w:rsidRPr="00970583">
              <w:rPr>
                <w:b/>
                <w:bCs/>
                <w:sz w:val="16"/>
                <w:szCs w:val="16"/>
              </w:rPr>
              <w:t>Actual Expenditure to Date</w:t>
            </w:r>
          </w:p>
        </w:tc>
        <w:tc>
          <w:tcPr>
            <w:tcW w:w="856"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970583" w:rsidRDefault="00123DC4" w:rsidP="00132057">
            <w:pPr>
              <w:keepNext/>
              <w:keepLines/>
              <w:autoSpaceDE w:val="0"/>
              <w:autoSpaceDN w:val="0"/>
              <w:adjustRightInd w:val="0"/>
              <w:spacing w:before="40" w:after="40"/>
              <w:ind w:left="-109" w:right="-108"/>
              <w:jc w:val="center"/>
              <w:rPr>
                <w:b/>
                <w:bCs/>
                <w:sz w:val="16"/>
                <w:szCs w:val="16"/>
              </w:rPr>
            </w:pPr>
            <w:r w:rsidRPr="00970583">
              <w:rPr>
                <w:b/>
                <w:bCs/>
                <w:sz w:val="16"/>
                <w:szCs w:val="16"/>
              </w:rPr>
              <w:t>Actual Budget Utilization</w:t>
            </w:r>
          </w:p>
        </w:tc>
        <w:tc>
          <w:tcPr>
            <w:tcW w:w="856"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970583" w:rsidRDefault="00123DC4" w:rsidP="00132057">
            <w:pPr>
              <w:keepNext/>
              <w:keepLines/>
              <w:autoSpaceDE w:val="0"/>
              <w:autoSpaceDN w:val="0"/>
              <w:adjustRightInd w:val="0"/>
              <w:spacing w:before="40" w:after="40"/>
              <w:ind w:left="-109" w:right="-73" w:firstLine="1"/>
              <w:jc w:val="center"/>
              <w:rPr>
                <w:b/>
                <w:bCs/>
                <w:sz w:val="16"/>
                <w:szCs w:val="16"/>
              </w:rPr>
            </w:pPr>
            <w:r w:rsidRPr="00970583">
              <w:rPr>
                <w:b/>
                <w:bCs/>
                <w:sz w:val="16"/>
                <w:szCs w:val="16"/>
              </w:rPr>
              <w:t>Implementation Progress Rate by Milestone</w:t>
            </w:r>
          </w:p>
        </w:tc>
      </w:tr>
      <w:tr w:rsidR="00123DC4" w:rsidRPr="00970583" w:rsidTr="00132057">
        <w:trPr>
          <w:trHeight w:val="389"/>
        </w:trPr>
        <w:tc>
          <w:tcPr>
            <w:tcW w:w="1575" w:type="pct"/>
            <w:tcBorders>
              <w:top w:val="single" w:sz="4" w:space="0" w:color="auto"/>
              <w:left w:val="single" w:sz="4" w:space="0" w:color="auto"/>
              <w:bottom w:val="single" w:sz="4" w:space="0" w:color="auto"/>
              <w:right w:val="single" w:sz="4" w:space="0" w:color="auto"/>
            </w:tcBorders>
            <w:vAlign w:val="center"/>
          </w:tcPr>
          <w:p w:rsidR="00123DC4" w:rsidRPr="00EC7C86" w:rsidRDefault="00123DC4" w:rsidP="00132057">
            <w:pPr>
              <w:keepNext/>
              <w:keepLines/>
              <w:autoSpaceDE w:val="0"/>
              <w:autoSpaceDN w:val="0"/>
              <w:adjustRightInd w:val="0"/>
              <w:spacing w:before="40" w:after="40"/>
              <w:rPr>
                <w:sz w:val="16"/>
                <w:szCs w:val="16"/>
              </w:rPr>
            </w:pPr>
            <w:r w:rsidRPr="00EC7C86">
              <w:rPr>
                <w:sz w:val="16"/>
                <w:szCs w:val="16"/>
              </w:rPr>
              <w:t>Award of contract to the pilot/architect</w:t>
            </w:r>
          </w:p>
        </w:tc>
        <w:tc>
          <w:tcPr>
            <w:tcW w:w="856" w:type="pct"/>
            <w:tcBorders>
              <w:top w:val="single" w:sz="4" w:space="0" w:color="auto"/>
              <w:left w:val="single" w:sz="4" w:space="0" w:color="auto"/>
              <w:bottom w:val="single" w:sz="4" w:space="0" w:color="auto"/>
              <w:right w:val="single" w:sz="4" w:space="0" w:color="auto"/>
            </w:tcBorders>
            <w:vAlign w:val="center"/>
          </w:tcPr>
          <w:p w:rsidR="00123DC4" w:rsidRPr="00EC7C86" w:rsidRDefault="00123DC4" w:rsidP="00132057">
            <w:pPr>
              <w:keepNext/>
              <w:keepLines/>
              <w:autoSpaceDE w:val="0"/>
              <w:autoSpaceDN w:val="0"/>
              <w:adjustRightInd w:val="0"/>
              <w:spacing w:before="40" w:after="40"/>
              <w:jc w:val="center"/>
              <w:rPr>
                <w:sz w:val="16"/>
                <w:szCs w:val="16"/>
              </w:rPr>
            </w:pPr>
            <w:r w:rsidRPr="00EC7C86">
              <w:rPr>
                <w:sz w:val="16"/>
                <w:szCs w:val="16"/>
              </w:rPr>
              <w:t>124,000</w:t>
            </w:r>
          </w:p>
        </w:tc>
        <w:tc>
          <w:tcPr>
            <w:tcW w:w="856" w:type="pct"/>
            <w:tcBorders>
              <w:top w:val="single" w:sz="4" w:space="0" w:color="auto"/>
              <w:left w:val="single" w:sz="4" w:space="0" w:color="auto"/>
              <w:bottom w:val="single" w:sz="4" w:space="0" w:color="auto"/>
              <w:right w:val="single" w:sz="4" w:space="0" w:color="auto"/>
            </w:tcBorders>
            <w:vAlign w:val="center"/>
          </w:tcPr>
          <w:p w:rsidR="00123DC4" w:rsidRPr="00EC7C86" w:rsidRDefault="00123DC4" w:rsidP="00132057">
            <w:pPr>
              <w:keepNext/>
              <w:keepLines/>
              <w:autoSpaceDE w:val="0"/>
              <w:autoSpaceDN w:val="0"/>
              <w:adjustRightInd w:val="0"/>
              <w:spacing w:before="40" w:after="40"/>
              <w:jc w:val="center"/>
              <w:rPr>
                <w:sz w:val="16"/>
                <w:szCs w:val="16"/>
              </w:rPr>
            </w:pPr>
            <w:r w:rsidRPr="00EC7C86">
              <w:rPr>
                <w:sz w:val="16"/>
                <w:szCs w:val="16"/>
              </w:rPr>
              <w:t>0</w:t>
            </w:r>
          </w:p>
        </w:tc>
        <w:tc>
          <w:tcPr>
            <w:tcW w:w="856" w:type="pct"/>
            <w:tcBorders>
              <w:top w:val="single" w:sz="4" w:space="0" w:color="auto"/>
              <w:left w:val="single" w:sz="4" w:space="0" w:color="auto"/>
              <w:bottom w:val="single" w:sz="4" w:space="0" w:color="auto"/>
              <w:right w:val="single" w:sz="4" w:space="0" w:color="auto"/>
            </w:tcBorders>
            <w:vAlign w:val="center"/>
          </w:tcPr>
          <w:p w:rsidR="00123DC4" w:rsidRPr="00EC7C86" w:rsidRDefault="00123DC4" w:rsidP="00132057">
            <w:pPr>
              <w:keepNext/>
              <w:keepLines/>
              <w:autoSpaceDE w:val="0"/>
              <w:autoSpaceDN w:val="0"/>
              <w:adjustRightInd w:val="0"/>
              <w:spacing w:before="40" w:after="40"/>
              <w:jc w:val="center"/>
              <w:rPr>
                <w:sz w:val="16"/>
                <w:szCs w:val="16"/>
              </w:rPr>
            </w:pPr>
            <w:r w:rsidRPr="00EC7C86">
              <w:rPr>
                <w:sz w:val="16"/>
                <w:szCs w:val="16"/>
              </w:rPr>
              <w:t>0%</w:t>
            </w:r>
          </w:p>
        </w:tc>
        <w:tc>
          <w:tcPr>
            <w:tcW w:w="856" w:type="pct"/>
            <w:tcBorders>
              <w:top w:val="single" w:sz="4" w:space="0" w:color="auto"/>
              <w:left w:val="single" w:sz="4" w:space="0" w:color="auto"/>
              <w:bottom w:val="single" w:sz="4" w:space="0" w:color="auto"/>
              <w:right w:val="single" w:sz="4" w:space="0" w:color="auto"/>
            </w:tcBorders>
            <w:vAlign w:val="center"/>
          </w:tcPr>
          <w:p w:rsidR="00123DC4" w:rsidRPr="00EC7C86" w:rsidRDefault="00123DC4" w:rsidP="00132057">
            <w:pPr>
              <w:keepNext/>
              <w:keepLines/>
              <w:autoSpaceDE w:val="0"/>
              <w:autoSpaceDN w:val="0"/>
              <w:adjustRightInd w:val="0"/>
              <w:spacing w:before="40" w:after="40"/>
              <w:jc w:val="center"/>
              <w:rPr>
                <w:sz w:val="16"/>
                <w:szCs w:val="16"/>
              </w:rPr>
            </w:pPr>
            <w:r w:rsidRPr="00EC7C86">
              <w:rPr>
                <w:sz w:val="16"/>
                <w:szCs w:val="16"/>
              </w:rPr>
              <w:t>100%</w:t>
            </w:r>
          </w:p>
        </w:tc>
      </w:tr>
      <w:tr w:rsidR="00123DC4" w:rsidRPr="00970583" w:rsidTr="00132057">
        <w:trPr>
          <w:trHeight w:val="389"/>
        </w:trPr>
        <w:tc>
          <w:tcPr>
            <w:tcW w:w="1575" w:type="pct"/>
            <w:tcBorders>
              <w:top w:val="single" w:sz="4" w:space="0" w:color="auto"/>
              <w:left w:val="single" w:sz="4" w:space="0" w:color="auto"/>
              <w:bottom w:val="single" w:sz="4" w:space="0" w:color="auto"/>
              <w:right w:val="single" w:sz="4" w:space="0" w:color="auto"/>
            </w:tcBorders>
            <w:vAlign w:val="center"/>
          </w:tcPr>
          <w:p w:rsidR="00123DC4" w:rsidRPr="00EC7C86" w:rsidRDefault="00123DC4" w:rsidP="00132057">
            <w:pPr>
              <w:keepNext/>
              <w:keepLines/>
              <w:autoSpaceDE w:val="0"/>
              <w:autoSpaceDN w:val="0"/>
              <w:adjustRightInd w:val="0"/>
              <w:spacing w:before="40" w:after="40"/>
              <w:rPr>
                <w:sz w:val="16"/>
                <w:szCs w:val="16"/>
              </w:rPr>
            </w:pPr>
            <w:r w:rsidRPr="00EC7C86">
              <w:rPr>
                <w:sz w:val="16"/>
                <w:szCs w:val="16"/>
              </w:rPr>
              <w:t>Award of contracts to agents</w:t>
            </w:r>
          </w:p>
        </w:tc>
        <w:tc>
          <w:tcPr>
            <w:tcW w:w="856" w:type="pct"/>
            <w:tcBorders>
              <w:top w:val="single" w:sz="4" w:space="0" w:color="auto"/>
              <w:left w:val="single" w:sz="4" w:space="0" w:color="auto"/>
              <w:bottom w:val="single" w:sz="4" w:space="0" w:color="auto"/>
              <w:right w:val="single" w:sz="4" w:space="0" w:color="auto"/>
            </w:tcBorders>
            <w:vAlign w:val="center"/>
          </w:tcPr>
          <w:p w:rsidR="00123DC4" w:rsidRPr="00EC7C86" w:rsidRDefault="00123DC4" w:rsidP="00132057">
            <w:pPr>
              <w:keepNext/>
              <w:keepLines/>
              <w:autoSpaceDE w:val="0"/>
              <w:autoSpaceDN w:val="0"/>
              <w:adjustRightInd w:val="0"/>
              <w:spacing w:before="40" w:after="40"/>
              <w:jc w:val="center"/>
              <w:rPr>
                <w:sz w:val="16"/>
                <w:szCs w:val="16"/>
              </w:rPr>
            </w:pPr>
            <w:r w:rsidRPr="00EC7C86">
              <w:rPr>
                <w:sz w:val="16"/>
                <w:szCs w:val="16"/>
              </w:rPr>
              <w:t>900,000</w:t>
            </w:r>
          </w:p>
        </w:tc>
        <w:tc>
          <w:tcPr>
            <w:tcW w:w="856" w:type="pct"/>
            <w:tcBorders>
              <w:top w:val="single" w:sz="4" w:space="0" w:color="auto"/>
              <w:left w:val="single" w:sz="4" w:space="0" w:color="auto"/>
              <w:bottom w:val="single" w:sz="4" w:space="0" w:color="auto"/>
              <w:right w:val="single" w:sz="4" w:space="0" w:color="auto"/>
            </w:tcBorders>
            <w:vAlign w:val="center"/>
          </w:tcPr>
          <w:p w:rsidR="00123DC4" w:rsidRPr="00EC7C86" w:rsidRDefault="00123DC4" w:rsidP="00132057">
            <w:pPr>
              <w:keepNext/>
              <w:keepLines/>
              <w:autoSpaceDE w:val="0"/>
              <w:autoSpaceDN w:val="0"/>
              <w:adjustRightInd w:val="0"/>
              <w:spacing w:before="40" w:after="40"/>
              <w:jc w:val="center"/>
              <w:rPr>
                <w:sz w:val="16"/>
                <w:szCs w:val="16"/>
              </w:rPr>
            </w:pPr>
            <w:r w:rsidRPr="00EC7C86">
              <w:rPr>
                <w:sz w:val="16"/>
                <w:szCs w:val="16"/>
              </w:rPr>
              <w:t>0</w:t>
            </w:r>
          </w:p>
        </w:tc>
        <w:tc>
          <w:tcPr>
            <w:tcW w:w="856" w:type="pct"/>
            <w:tcBorders>
              <w:top w:val="single" w:sz="4" w:space="0" w:color="auto"/>
              <w:left w:val="single" w:sz="4" w:space="0" w:color="auto"/>
              <w:bottom w:val="single" w:sz="4" w:space="0" w:color="auto"/>
              <w:right w:val="single" w:sz="4" w:space="0" w:color="auto"/>
            </w:tcBorders>
            <w:vAlign w:val="center"/>
          </w:tcPr>
          <w:p w:rsidR="00123DC4" w:rsidRPr="00EC7C86" w:rsidRDefault="00123DC4" w:rsidP="00132057">
            <w:pPr>
              <w:keepNext/>
              <w:keepLines/>
              <w:autoSpaceDE w:val="0"/>
              <w:autoSpaceDN w:val="0"/>
              <w:adjustRightInd w:val="0"/>
              <w:spacing w:before="40" w:after="40"/>
              <w:jc w:val="center"/>
              <w:rPr>
                <w:sz w:val="16"/>
                <w:szCs w:val="16"/>
              </w:rPr>
            </w:pPr>
            <w:r w:rsidRPr="00EC7C86">
              <w:rPr>
                <w:sz w:val="16"/>
                <w:szCs w:val="16"/>
              </w:rPr>
              <w:t>0%</w:t>
            </w:r>
          </w:p>
        </w:tc>
        <w:tc>
          <w:tcPr>
            <w:tcW w:w="856" w:type="pct"/>
            <w:tcBorders>
              <w:top w:val="single" w:sz="4" w:space="0" w:color="auto"/>
              <w:left w:val="single" w:sz="4" w:space="0" w:color="auto"/>
              <w:bottom w:val="single" w:sz="4" w:space="0" w:color="auto"/>
              <w:right w:val="single" w:sz="4" w:space="0" w:color="auto"/>
            </w:tcBorders>
            <w:vAlign w:val="center"/>
          </w:tcPr>
          <w:p w:rsidR="00123DC4" w:rsidRPr="00EC7C86" w:rsidRDefault="00123DC4" w:rsidP="00132057">
            <w:pPr>
              <w:keepNext/>
              <w:keepLines/>
              <w:autoSpaceDE w:val="0"/>
              <w:autoSpaceDN w:val="0"/>
              <w:adjustRightInd w:val="0"/>
              <w:spacing w:before="40" w:after="40"/>
              <w:jc w:val="center"/>
              <w:rPr>
                <w:sz w:val="16"/>
                <w:szCs w:val="16"/>
              </w:rPr>
            </w:pPr>
            <w:r w:rsidRPr="00EC7C86">
              <w:rPr>
                <w:sz w:val="16"/>
                <w:szCs w:val="16"/>
              </w:rPr>
              <w:t>30%</w:t>
            </w:r>
          </w:p>
        </w:tc>
      </w:tr>
      <w:tr w:rsidR="00123DC4" w:rsidRPr="00970583" w:rsidTr="00132057">
        <w:trPr>
          <w:trHeight w:val="389"/>
        </w:trPr>
        <w:tc>
          <w:tcPr>
            <w:tcW w:w="1575" w:type="pct"/>
            <w:tcBorders>
              <w:top w:val="single" w:sz="4" w:space="0" w:color="auto"/>
              <w:left w:val="single" w:sz="4" w:space="0" w:color="auto"/>
              <w:bottom w:val="single" w:sz="4" w:space="0" w:color="auto"/>
              <w:right w:val="single" w:sz="4" w:space="0" w:color="auto"/>
            </w:tcBorders>
            <w:vAlign w:val="center"/>
          </w:tcPr>
          <w:p w:rsidR="00123DC4" w:rsidRPr="00EC7C86" w:rsidRDefault="00123DC4" w:rsidP="00132057">
            <w:pPr>
              <w:keepNext/>
              <w:keepLines/>
              <w:autoSpaceDE w:val="0"/>
              <w:autoSpaceDN w:val="0"/>
              <w:adjustRightInd w:val="0"/>
              <w:spacing w:before="40" w:after="40"/>
              <w:rPr>
                <w:sz w:val="16"/>
                <w:szCs w:val="16"/>
              </w:rPr>
            </w:pPr>
            <w:r w:rsidRPr="00EC7C86">
              <w:rPr>
                <w:sz w:val="16"/>
                <w:szCs w:val="16"/>
              </w:rPr>
              <w:t>Internal and external resource commitment</w:t>
            </w:r>
          </w:p>
        </w:tc>
        <w:tc>
          <w:tcPr>
            <w:tcW w:w="856" w:type="pct"/>
            <w:tcBorders>
              <w:top w:val="single" w:sz="4" w:space="0" w:color="auto"/>
              <w:left w:val="single" w:sz="4" w:space="0" w:color="auto"/>
              <w:bottom w:val="single" w:sz="4" w:space="0" w:color="auto"/>
              <w:right w:val="single" w:sz="4" w:space="0" w:color="auto"/>
            </w:tcBorders>
            <w:vAlign w:val="center"/>
          </w:tcPr>
          <w:p w:rsidR="00123DC4" w:rsidRPr="00EC7C86" w:rsidRDefault="00123DC4" w:rsidP="00132057">
            <w:pPr>
              <w:keepNext/>
              <w:keepLines/>
              <w:autoSpaceDE w:val="0"/>
              <w:autoSpaceDN w:val="0"/>
              <w:adjustRightInd w:val="0"/>
              <w:spacing w:before="40" w:after="40"/>
              <w:jc w:val="center"/>
              <w:rPr>
                <w:sz w:val="16"/>
                <w:szCs w:val="16"/>
              </w:rPr>
            </w:pPr>
            <w:r w:rsidRPr="00EC7C86">
              <w:rPr>
                <w:sz w:val="16"/>
                <w:szCs w:val="16"/>
              </w:rPr>
              <w:t>867,000</w:t>
            </w:r>
          </w:p>
        </w:tc>
        <w:tc>
          <w:tcPr>
            <w:tcW w:w="856" w:type="pct"/>
            <w:tcBorders>
              <w:top w:val="single" w:sz="4" w:space="0" w:color="auto"/>
              <w:left w:val="single" w:sz="4" w:space="0" w:color="auto"/>
              <w:bottom w:val="single" w:sz="4" w:space="0" w:color="auto"/>
              <w:right w:val="single" w:sz="4" w:space="0" w:color="auto"/>
            </w:tcBorders>
            <w:vAlign w:val="center"/>
          </w:tcPr>
          <w:p w:rsidR="00123DC4" w:rsidRPr="00EC7C86" w:rsidRDefault="00123DC4" w:rsidP="00132057">
            <w:pPr>
              <w:keepNext/>
              <w:keepLines/>
              <w:autoSpaceDE w:val="0"/>
              <w:autoSpaceDN w:val="0"/>
              <w:adjustRightInd w:val="0"/>
              <w:spacing w:before="40" w:after="40"/>
              <w:jc w:val="center"/>
              <w:rPr>
                <w:sz w:val="16"/>
                <w:szCs w:val="16"/>
              </w:rPr>
            </w:pPr>
            <w:r w:rsidRPr="00EC7C86">
              <w:rPr>
                <w:sz w:val="16"/>
                <w:szCs w:val="16"/>
              </w:rPr>
              <w:t>83,651</w:t>
            </w:r>
          </w:p>
        </w:tc>
        <w:tc>
          <w:tcPr>
            <w:tcW w:w="856" w:type="pct"/>
            <w:tcBorders>
              <w:top w:val="single" w:sz="4" w:space="0" w:color="auto"/>
              <w:left w:val="single" w:sz="4" w:space="0" w:color="auto"/>
              <w:bottom w:val="single" w:sz="4" w:space="0" w:color="auto"/>
              <w:right w:val="single" w:sz="4" w:space="0" w:color="auto"/>
            </w:tcBorders>
            <w:vAlign w:val="center"/>
          </w:tcPr>
          <w:p w:rsidR="00123DC4" w:rsidRPr="00EC7C86" w:rsidRDefault="00123DC4" w:rsidP="00132057">
            <w:pPr>
              <w:keepNext/>
              <w:keepLines/>
              <w:autoSpaceDE w:val="0"/>
              <w:autoSpaceDN w:val="0"/>
              <w:adjustRightInd w:val="0"/>
              <w:spacing w:before="40" w:after="40"/>
              <w:jc w:val="center"/>
              <w:rPr>
                <w:sz w:val="16"/>
                <w:szCs w:val="16"/>
              </w:rPr>
            </w:pPr>
            <w:r w:rsidRPr="00EC7C86">
              <w:rPr>
                <w:sz w:val="16"/>
                <w:szCs w:val="16"/>
              </w:rPr>
              <w:t>9.6%</w:t>
            </w:r>
          </w:p>
        </w:tc>
        <w:tc>
          <w:tcPr>
            <w:tcW w:w="856" w:type="pct"/>
            <w:tcBorders>
              <w:top w:val="single" w:sz="4" w:space="0" w:color="auto"/>
              <w:left w:val="single" w:sz="4" w:space="0" w:color="auto"/>
              <w:bottom w:val="single" w:sz="4" w:space="0" w:color="auto"/>
              <w:right w:val="single" w:sz="4" w:space="0" w:color="auto"/>
            </w:tcBorders>
            <w:vAlign w:val="center"/>
          </w:tcPr>
          <w:p w:rsidR="00123DC4" w:rsidRPr="00EC7C86" w:rsidRDefault="00123DC4" w:rsidP="00132057">
            <w:pPr>
              <w:keepNext/>
              <w:keepLines/>
              <w:autoSpaceDE w:val="0"/>
              <w:autoSpaceDN w:val="0"/>
              <w:adjustRightInd w:val="0"/>
              <w:spacing w:before="40" w:after="40"/>
              <w:jc w:val="center"/>
              <w:rPr>
                <w:sz w:val="16"/>
                <w:szCs w:val="16"/>
              </w:rPr>
            </w:pPr>
            <w:r w:rsidRPr="00EC7C86">
              <w:rPr>
                <w:sz w:val="16"/>
                <w:szCs w:val="16"/>
              </w:rPr>
              <w:t>15%</w:t>
            </w:r>
          </w:p>
        </w:tc>
      </w:tr>
      <w:tr w:rsidR="00123DC4" w:rsidRPr="00970583" w:rsidTr="00132057">
        <w:trPr>
          <w:trHeight w:val="389"/>
        </w:trPr>
        <w:tc>
          <w:tcPr>
            <w:tcW w:w="1575" w:type="pct"/>
            <w:tcBorders>
              <w:top w:val="single" w:sz="4" w:space="0" w:color="auto"/>
              <w:left w:val="single" w:sz="4" w:space="0" w:color="auto"/>
              <w:bottom w:val="single" w:sz="4" w:space="0" w:color="auto"/>
              <w:right w:val="single" w:sz="4" w:space="0" w:color="auto"/>
            </w:tcBorders>
            <w:vAlign w:val="center"/>
          </w:tcPr>
          <w:p w:rsidR="00123DC4" w:rsidRPr="00EC7C86" w:rsidRDefault="00123DC4" w:rsidP="00132057">
            <w:pPr>
              <w:keepNext/>
              <w:keepLines/>
              <w:autoSpaceDE w:val="0"/>
              <w:autoSpaceDN w:val="0"/>
              <w:adjustRightInd w:val="0"/>
              <w:spacing w:before="40" w:after="40"/>
              <w:rPr>
                <w:sz w:val="16"/>
                <w:szCs w:val="16"/>
              </w:rPr>
            </w:pPr>
            <w:r w:rsidRPr="00EC7C86">
              <w:rPr>
                <w:sz w:val="16"/>
                <w:szCs w:val="16"/>
              </w:rPr>
              <w:t>Work and commissioning</w:t>
            </w:r>
          </w:p>
        </w:tc>
        <w:tc>
          <w:tcPr>
            <w:tcW w:w="856" w:type="pct"/>
            <w:tcBorders>
              <w:top w:val="single" w:sz="4" w:space="0" w:color="auto"/>
              <w:left w:val="single" w:sz="4" w:space="0" w:color="auto"/>
              <w:bottom w:val="single" w:sz="4" w:space="0" w:color="auto"/>
              <w:right w:val="single" w:sz="4" w:space="0" w:color="auto"/>
            </w:tcBorders>
            <w:vAlign w:val="center"/>
          </w:tcPr>
          <w:p w:rsidR="00123DC4" w:rsidRPr="00EC7C86" w:rsidRDefault="00123DC4" w:rsidP="00132057">
            <w:pPr>
              <w:keepNext/>
              <w:keepLines/>
              <w:autoSpaceDE w:val="0"/>
              <w:autoSpaceDN w:val="0"/>
              <w:adjustRightInd w:val="0"/>
              <w:spacing w:before="40" w:after="40"/>
              <w:jc w:val="center"/>
              <w:rPr>
                <w:sz w:val="16"/>
                <w:szCs w:val="16"/>
              </w:rPr>
            </w:pPr>
            <w:r w:rsidRPr="00EC7C86">
              <w:rPr>
                <w:sz w:val="16"/>
                <w:szCs w:val="16"/>
              </w:rPr>
              <w:t>4,109,000</w:t>
            </w:r>
          </w:p>
        </w:tc>
        <w:tc>
          <w:tcPr>
            <w:tcW w:w="856" w:type="pct"/>
            <w:tcBorders>
              <w:top w:val="single" w:sz="4" w:space="0" w:color="auto"/>
              <w:left w:val="single" w:sz="4" w:space="0" w:color="auto"/>
              <w:bottom w:val="single" w:sz="4" w:space="0" w:color="auto"/>
              <w:right w:val="single" w:sz="4" w:space="0" w:color="auto"/>
            </w:tcBorders>
            <w:vAlign w:val="center"/>
          </w:tcPr>
          <w:p w:rsidR="00123DC4" w:rsidRPr="00EC7C86" w:rsidRDefault="00123DC4" w:rsidP="00132057">
            <w:pPr>
              <w:keepNext/>
              <w:keepLines/>
              <w:autoSpaceDE w:val="0"/>
              <w:autoSpaceDN w:val="0"/>
              <w:adjustRightInd w:val="0"/>
              <w:spacing w:before="40" w:after="40"/>
              <w:jc w:val="center"/>
              <w:rPr>
                <w:sz w:val="16"/>
                <w:szCs w:val="16"/>
              </w:rPr>
            </w:pPr>
            <w:r w:rsidRPr="00EC7C86">
              <w:rPr>
                <w:sz w:val="16"/>
                <w:szCs w:val="16"/>
              </w:rPr>
              <w:t>0</w:t>
            </w:r>
          </w:p>
        </w:tc>
        <w:tc>
          <w:tcPr>
            <w:tcW w:w="856" w:type="pct"/>
            <w:tcBorders>
              <w:top w:val="single" w:sz="4" w:space="0" w:color="auto"/>
              <w:left w:val="single" w:sz="4" w:space="0" w:color="auto"/>
              <w:bottom w:val="single" w:sz="4" w:space="0" w:color="auto"/>
              <w:right w:val="single" w:sz="4" w:space="0" w:color="auto"/>
            </w:tcBorders>
            <w:vAlign w:val="center"/>
          </w:tcPr>
          <w:p w:rsidR="00123DC4" w:rsidRPr="00EC7C86" w:rsidRDefault="00123DC4" w:rsidP="00132057">
            <w:pPr>
              <w:keepNext/>
              <w:keepLines/>
              <w:autoSpaceDE w:val="0"/>
              <w:autoSpaceDN w:val="0"/>
              <w:adjustRightInd w:val="0"/>
              <w:spacing w:before="40" w:after="40"/>
              <w:jc w:val="center"/>
              <w:rPr>
                <w:sz w:val="16"/>
                <w:szCs w:val="16"/>
              </w:rPr>
            </w:pPr>
            <w:r w:rsidRPr="00EC7C86">
              <w:rPr>
                <w:sz w:val="16"/>
                <w:szCs w:val="16"/>
              </w:rPr>
              <w:t>0%</w:t>
            </w:r>
          </w:p>
        </w:tc>
        <w:tc>
          <w:tcPr>
            <w:tcW w:w="856" w:type="pct"/>
            <w:tcBorders>
              <w:top w:val="single" w:sz="4" w:space="0" w:color="auto"/>
              <w:left w:val="single" w:sz="4" w:space="0" w:color="auto"/>
              <w:bottom w:val="single" w:sz="4" w:space="0" w:color="auto"/>
              <w:right w:val="single" w:sz="4" w:space="0" w:color="auto"/>
            </w:tcBorders>
            <w:vAlign w:val="center"/>
          </w:tcPr>
          <w:p w:rsidR="00123DC4" w:rsidRPr="00EC7C86" w:rsidRDefault="00123DC4" w:rsidP="00132057">
            <w:pPr>
              <w:keepNext/>
              <w:keepLines/>
              <w:autoSpaceDE w:val="0"/>
              <w:autoSpaceDN w:val="0"/>
              <w:adjustRightInd w:val="0"/>
              <w:spacing w:before="40" w:after="40"/>
              <w:jc w:val="center"/>
              <w:rPr>
                <w:sz w:val="16"/>
                <w:szCs w:val="16"/>
              </w:rPr>
            </w:pPr>
            <w:r>
              <w:rPr>
                <w:sz w:val="16"/>
                <w:szCs w:val="16"/>
              </w:rPr>
              <w:t>-</w:t>
            </w:r>
          </w:p>
        </w:tc>
      </w:tr>
      <w:tr w:rsidR="00123DC4" w:rsidRPr="00970583" w:rsidTr="00132057">
        <w:trPr>
          <w:trHeight w:val="389"/>
        </w:trPr>
        <w:tc>
          <w:tcPr>
            <w:tcW w:w="1575"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EC7C86" w:rsidRDefault="00123DC4" w:rsidP="00132057">
            <w:pPr>
              <w:keepNext/>
              <w:keepLines/>
              <w:autoSpaceDE w:val="0"/>
              <w:autoSpaceDN w:val="0"/>
              <w:adjustRightInd w:val="0"/>
              <w:spacing w:before="40" w:after="40"/>
              <w:rPr>
                <w:b/>
                <w:sz w:val="16"/>
                <w:szCs w:val="16"/>
              </w:rPr>
            </w:pPr>
            <w:r w:rsidRPr="00EC7C86">
              <w:rPr>
                <w:b/>
                <w:sz w:val="16"/>
                <w:szCs w:val="16"/>
              </w:rPr>
              <w:t>Total</w:t>
            </w:r>
          </w:p>
        </w:tc>
        <w:tc>
          <w:tcPr>
            <w:tcW w:w="856"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EC7C86" w:rsidRDefault="00123DC4" w:rsidP="00132057">
            <w:pPr>
              <w:keepNext/>
              <w:keepLines/>
              <w:autoSpaceDE w:val="0"/>
              <w:autoSpaceDN w:val="0"/>
              <w:adjustRightInd w:val="0"/>
              <w:spacing w:before="40" w:after="40"/>
              <w:jc w:val="center"/>
              <w:rPr>
                <w:b/>
                <w:sz w:val="16"/>
                <w:szCs w:val="16"/>
              </w:rPr>
            </w:pPr>
            <w:r w:rsidRPr="00EC7C86">
              <w:rPr>
                <w:b/>
                <w:sz w:val="16"/>
                <w:szCs w:val="16"/>
              </w:rPr>
              <w:t>6,000,000</w:t>
            </w:r>
          </w:p>
        </w:tc>
        <w:tc>
          <w:tcPr>
            <w:tcW w:w="856" w:type="pct"/>
            <w:tcBorders>
              <w:top w:val="single" w:sz="4" w:space="0" w:color="auto"/>
              <w:left w:val="single" w:sz="4" w:space="0" w:color="auto"/>
              <w:bottom w:val="single" w:sz="4" w:space="0" w:color="auto"/>
              <w:right w:val="single" w:sz="4" w:space="0" w:color="auto"/>
            </w:tcBorders>
            <w:shd w:val="clear" w:color="auto" w:fill="C6D9F1" w:themeFill="text2" w:themeFillTint="33"/>
          </w:tcPr>
          <w:p w:rsidR="00123DC4" w:rsidRPr="00EC7C86" w:rsidRDefault="00123DC4" w:rsidP="00132057">
            <w:pPr>
              <w:keepNext/>
              <w:keepLines/>
              <w:autoSpaceDE w:val="0"/>
              <w:autoSpaceDN w:val="0"/>
              <w:adjustRightInd w:val="0"/>
              <w:spacing w:before="40" w:after="40"/>
              <w:jc w:val="center"/>
              <w:rPr>
                <w:b/>
                <w:sz w:val="16"/>
                <w:szCs w:val="16"/>
              </w:rPr>
            </w:pPr>
            <w:r w:rsidRPr="00EC7C86">
              <w:rPr>
                <w:b/>
                <w:sz w:val="16"/>
                <w:szCs w:val="16"/>
              </w:rPr>
              <w:t>83,651</w:t>
            </w:r>
          </w:p>
        </w:tc>
        <w:tc>
          <w:tcPr>
            <w:tcW w:w="856" w:type="pct"/>
            <w:tcBorders>
              <w:top w:val="single" w:sz="4" w:space="0" w:color="auto"/>
              <w:left w:val="single" w:sz="4" w:space="0" w:color="auto"/>
              <w:bottom w:val="single" w:sz="4" w:space="0" w:color="auto"/>
              <w:right w:val="single" w:sz="4" w:space="0" w:color="auto"/>
            </w:tcBorders>
            <w:shd w:val="clear" w:color="auto" w:fill="C6D9F1" w:themeFill="text2" w:themeFillTint="33"/>
          </w:tcPr>
          <w:p w:rsidR="00123DC4" w:rsidRPr="00EC7C86" w:rsidRDefault="00123DC4" w:rsidP="00132057">
            <w:pPr>
              <w:keepNext/>
              <w:keepLines/>
              <w:autoSpaceDE w:val="0"/>
              <w:autoSpaceDN w:val="0"/>
              <w:adjustRightInd w:val="0"/>
              <w:spacing w:before="40" w:after="40"/>
              <w:jc w:val="center"/>
              <w:rPr>
                <w:b/>
                <w:sz w:val="16"/>
                <w:szCs w:val="16"/>
              </w:rPr>
            </w:pPr>
          </w:p>
        </w:tc>
        <w:tc>
          <w:tcPr>
            <w:tcW w:w="856" w:type="pct"/>
            <w:tcBorders>
              <w:top w:val="single" w:sz="4" w:space="0" w:color="auto"/>
              <w:left w:val="single" w:sz="4" w:space="0" w:color="auto"/>
              <w:bottom w:val="single" w:sz="4" w:space="0" w:color="auto"/>
              <w:right w:val="single" w:sz="4" w:space="0" w:color="auto"/>
            </w:tcBorders>
            <w:shd w:val="clear" w:color="auto" w:fill="C6D9F1" w:themeFill="text2" w:themeFillTint="33"/>
          </w:tcPr>
          <w:p w:rsidR="00123DC4" w:rsidRPr="00EC7C86" w:rsidRDefault="00123DC4" w:rsidP="00132057">
            <w:pPr>
              <w:keepNext/>
              <w:keepLines/>
              <w:autoSpaceDE w:val="0"/>
              <w:autoSpaceDN w:val="0"/>
              <w:adjustRightInd w:val="0"/>
              <w:spacing w:before="40" w:after="40"/>
              <w:jc w:val="center"/>
              <w:rPr>
                <w:b/>
                <w:sz w:val="16"/>
                <w:szCs w:val="16"/>
              </w:rPr>
            </w:pPr>
          </w:p>
        </w:tc>
      </w:tr>
    </w:tbl>
    <w:p w:rsidR="006775C3" w:rsidRDefault="006775C3" w:rsidP="00132057">
      <w:pPr>
        <w:keepNext/>
        <w:keepLines/>
        <w:tabs>
          <w:tab w:val="left" w:pos="3261"/>
        </w:tabs>
        <w:autoSpaceDE w:val="0"/>
        <w:autoSpaceDN w:val="0"/>
        <w:adjustRightInd w:val="0"/>
        <w:jc w:val="center"/>
        <w:rPr>
          <w:b/>
          <w:color w:val="000000"/>
          <w:szCs w:val="22"/>
        </w:rPr>
      </w:pPr>
    </w:p>
    <w:p w:rsidR="006775C3" w:rsidRDefault="006775C3">
      <w:pPr>
        <w:rPr>
          <w:b/>
          <w:color w:val="000000"/>
          <w:szCs w:val="22"/>
        </w:rPr>
      </w:pPr>
      <w:r>
        <w:rPr>
          <w:b/>
          <w:color w:val="000000"/>
          <w:szCs w:val="22"/>
        </w:rPr>
        <w:br w:type="page"/>
      </w:r>
    </w:p>
    <w:p w:rsidR="006775C3" w:rsidRDefault="006775C3" w:rsidP="00132057">
      <w:pPr>
        <w:keepNext/>
        <w:keepLines/>
        <w:tabs>
          <w:tab w:val="left" w:pos="3261"/>
        </w:tabs>
        <w:autoSpaceDE w:val="0"/>
        <w:autoSpaceDN w:val="0"/>
        <w:adjustRightInd w:val="0"/>
        <w:jc w:val="center"/>
        <w:rPr>
          <w:b/>
          <w:color w:val="000000"/>
          <w:szCs w:val="22"/>
        </w:rPr>
      </w:pPr>
    </w:p>
    <w:p w:rsidR="00123DC4" w:rsidRPr="00970583" w:rsidRDefault="00123DC4" w:rsidP="00132057">
      <w:pPr>
        <w:keepNext/>
        <w:keepLines/>
        <w:tabs>
          <w:tab w:val="left" w:pos="3261"/>
        </w:tabs>
        <w:autoSpaceDE w:val="0"/>
        <w:autoSpaceDN w:val="0"/>
        <w:adjustRightInd w:val="0"/>
        <w:jc w:val="center"/>
        <w:rPr>
          <w:b/>
          <w:szCs w:val="22"/>
        </w:rPr>
      </w:pPr>
      <w:r w:rsidRPr="00970583">
        <w:rPr>
          <w:b/>
          <w:color w:val="000000"/>
          <w:szCs w:val="22"/>
        </w:rPr>
        <w:t>Project Budget Utilization (by Cost Category)</w:t>
      </w:r>
    </w:p>
    <w:p w:rsidR="00123DC4" w:rsidRPr="00970583" w:rsidRDefault="00123DC4" w:rsidP="006775C3">
      <w:pPr>
        <w:keepNext/>
        <w:keepLines/>
        <w:tabs>
          <w:tab w:val="left" w:pos="3261"/>
        </w:tabs>
        <w:autoSpaceDE w:val="0"/>
        <w:autoSpaceDN w:val="0"/>
        <w:adjustRightInd w:val="0"/>
        <w:spacing w:after="120"/>
        <w:jc w:val="center"/>
        <w:rPr>
          <w:i/>
          <w:iCs/>
          <w:sz w:val="18"/>
          <w:szCs w:val="18"/>
        </w:rPr>
      </w:pPr>
      <w:r w:rsidRPr="00970583">
        <w:rPr>
          <w:i/>
          <w:iCs/>
          <w:sz w:val="18"/>
          <w:szCs w:val="18"/>
        </w:rPr>
        <w:t>(</w:t>
      </w:r>
      <w:r>
        <w:rPr>
          <w:i/>
          <w:iCs/>
          <w:sz w:val="18"/>
          <w:szCs w:val="18"/>
        </w:rPr>
        <w:t>i</w:t>
      </w:r>
      <w:r w:rsidRPr="00970583">
        <w:rPr>
          <w:i/>
          <w:iCs/>
          <w:sz w:val="18"/>
          <w:szCs w:val="18"/>
        </w:rPr>
        <w:t>n Swiss francs, as at December 31, 201</w:t>
      </w:r>
      <w:r>
        <w:rPr>
          <w:i/>
          <w:iCs/>
          <w:sz w:val="18"/>
          <w:szCs w:val="18"/>
        </w:rPr>
        <w:t>5</w:t>
      </w:r>
      <w:r w:rsidRPr="00970583">
        <w:rPr>
          <w:i/>
          <w:iCs/>
          <w:sz w:val="18"/>
          <w:szCs w:val="18"/>
        </w:rPr>
        <w:t>)</w:t>
      </w:r>
    </w:p>
    <w:tbl>
      <w:tblPr>
        <w:tblW w:w="4739" w:type="pct"/>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50"/>
        <w:gridCol w:w="1840"/>
        <w:gridCol w:w="1840"/>
        <w:gridCol w:w="2141"/>
      </w:tblGrid>
      <w:tr w:rsidR="00123DC4" w:rsidRPr="00970583" w:rsidTr="00132057">
        <w:trPr>
          <w:trHeight w:val="569"/>
        </w:trPr>
        <w:tc>
          <w:tcPr>
            <w:tcW w:w="1791"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970583" w:rsidRDefault="00123DC4" w:rsidP="00132057">
            <w:pPr>
              <w:keepNext/>
              <w:keepLines/>
              <w:autoSpaceDE w:val="0"/>
              <w:autoSpaceDN w:val="0"/>
              <w:adjustRightInd w:val="0"/>
              <w:spacing w:before="40" w:after="40" w:line="260" w:lineRule="exact"/>
              <w:ind w:left="-74" w:right="-60"/>
              <w:jc w:val="center"/>
              <w:rPr>
                <w:b/>
                <w:bCs/>
                <w:sz w:val="16"/>
                <w:szCs w:val="16"/>
              </w:rPr>
            </w:pPr>
            <w:r w:rsidRPr="00970583">
              <w:rPr>
                <w:b/>
                <w:bCs/>
                <w:sz w:val="16"/>
                <w:szCs w:val="16"/>
              </w:rPr>
              <w:t>Cost Category</w:t>
            </w:r>
          </w:p>
        </w:tc>
        <w:tc>
          <w:tcPr>
            <w:tcW w:w="1014"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970583" w:rsidRDefault="00123DC4" w:rsidP="00132057">
            <w:pPr>
              <w:keepNext/>
              <w:keepLines/>
              <w:autoSpaceDE w:val="0"/>
              <w:autoSpaceDN w:val="0"/>
              <w:adjustRightInd w:val="0"/>
              <w:spacing w:before="40" w:after="40" w:line="260" w:lineRule="exact"/>
              <w:ind w:left="-107" w:right="-108"/>
              <w:jc w:val="center"/>
              <w:rPr>
                <w:b/>
                <w:bCs/>
                <w:sz w:val="16"/>
                <w:szCs w:val="16"/>
              </w:rPr>
            </w:pPr>
            <w:r w:rsidRPr="00970583">
              <w:rPr>
                <w:b/>
                <w:bCs/>
                <w:sz w:val="16"/>
                <w:szCs w:val="16"/>
              </w:rPr>
              <w:t>Project Budget</w:t>
            </w:r>
          </w:p>
        </w:tc>
        <w:tc>
          <w:tcPr>
            <w:tcW w:w="1014"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970583" w:rsidRDefault="00123DC4" w:rsidP="00132057">
            <w:pPr>
              <w:keepNext/>
              <w:keepLines/>
              <w:autoSpaceDE w:val="0"/>
              <w:autoSpaceDN w:val="0"/>
              <w:adjustRightInd w:val="0"/>
              <w:spacing w:before="40" w:after="40" w:line="260" w:lineRule="exact"/>
              <w:ind w:left="-108"/>
              <w:jc w:val="center"/>
              <w:rPr>
                <w:b/>
                <w:bCs/>
                <w:sz w:val="16"/>
                <w:szCs w:val="16"/>
              </w:rPr>
            </w:pPr>
            <w:r w:rsidRPr="00970583">
              <w:rPr>
                <w:b/>
                <w:bCs/>
                <w:sz w:val="16"/>
                <w:szCs w:val="16"/>
              </w:rPr>
              <w:t xml:space="preserve">Actual Expenditure to Date </w:t>
            </w:r>
          </w:p>
        </w:tc>
        <w:tc>
          <w:tcPr>
            <w:tcW w:w="1180"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970583" w:rsidRDefault="00123DC4" w:rsidP="00132057">
            <w:pPr>
              <w:keepNext/>
              <w:keepLines/>
              <w:autoSpaceDE w:val="0"/>
              <w:autoSpaceDN w:val="0"/>
              <w:adjustRightInd w:val="0"/>
              <w:spacing w:before="40" w:after="40" w:line="260" w:lineRule="exact"/>
              <w:ind w:left="-109"/>
              <w:jc w:val="center"/>
              <w:rPr>
                <w:b/>
                <w:bCs/>
                <w:sz w:val="16"/>
                <w:szCs w:val="16"/>
              </w:rPr>
            </w:pPr>
            <w:r w:rsidRPr="00970583">
              <w:rPr>
                <w:b/>
                <w:bCs/>
                <w:sz w:val="16"/>
                <w:szCs w:val="16"/>
              </w:rPr>
              <w:t>Actual Budget Utilization</w:t>
            </w:r>
          </w:p>
        </w:tc>
      </w:tr>
      <w:tr w:rsidR="00123DC4" w:rsidRPr="00970583" w:rsidTr="00132057">
        <w:tc>
          <w:tcPr>
            <w:tcW w:w="1791" w:type="pct"/>
            <w:tcBorders>
              <w:top w:val="single" w:sz="4" w:space="0" w:color="auto"/>
              <w:left w:val="single" w:sz="4" w:space="0" w:color="auto"/>
              <w:bottom w:val="single" w:sz="4" w:space="0" w:color="auto"/>
              <w:right w:val="single" w:sz="4" w:space="0" w:color="auto"/>
            </w:tcBorders>
            <w:vAlign w:val="center"/>
          </w:tcPr>
          <w:p w:rsidR="00123DC4" w:rsidRPr="00970583" w:rsidRDefault="00123DC4" w:rsidP="00132057">
            <w:pPr>
              <w:autoSpaceDE w:val="0"/>
              <w:autoSpaceDN w:val="0"/>
              <w:adjustRightInd w:val="0"/>
              <w:spacing w:before="40" w:after="40" w:line="260" w:lineRule="exact"/>
              <w:rPr>
                <w:sz w:val="16"/>
                <w:szCs w:val="16"/>
              </w:rPr>
            </w:pPr>
            <w:r w:rsidRPr="00970583">
              <w:rPr>
                <w:color w:val="000000"/>
                <w:sz w:val="16"/>
                <w:szCs w:val="16"/>
              </w:rPr>
              <w:t>Construction</w:t>
            </w:r>
            <w:r>
              <w:rPr>
                <w:color w:val="000000"/>
                <w:sz w:val="16"/>
                <w:szCs w:val="16"/>
              </w:rPr>
              <w:t>-related</w:t>
            </w:r>
            <w:r w:rsidRPr="00970583">
              <w:rPr>
                <w:color w:val="000000"/>
                <w:sz w:val="16"/>
                <w:szCs w:val="16"/>
              </w:rPr>
              <w:t xml:space="preserve"> </w:t>
            </w:r>
            <w:r w:rsidRPr="00970583">
              <w:rPr>
                <w:sz w:val="16"/>
                <w:szCs w:val="16"/>
              </w:rPr>
              <w:t>costs</w:t>
            </w:r>
          </w:p>
        </w:tc>
        <w:tc>
          <w:tcPr>
            <w:tcW w:w="1014" w:type="pct"/>
            <w:tcBorders>
              <w:top w:val="single" w:sz="4" w:space="0" w:color="auto"/>
              <w:left w:val="single" w:sz="4" w:space="0" w:color="auto"/>
              <w:bottom w:val="single" w:sz="4" w:space="0" w:color="auto"/>
              <w:right w:val="single" w:sz="4" w:space="0" w:color="auto"/>
            </w:tcBorders>
            <w:vAlign w:val="center"/>
          </w:tcPr>
          <w:p w:rsidR="00123DC4" w:rsidRPr="00800070" w:rsidRDefault="00123DC4" w:rsidP="00132057">
            <w:pPr>
              <w:autoSpaceDE w:val="0"/>
              <w:autoSpaceDN w:val="0"/>
              <w:adjustRightInd w:val="0"/>
              <w:spacing w:before="40" w:after="40" w:line="260" w:lineRule="exact"/>
              <w:jc w:val="center"/>
              <w:rPr>
                <w:sz w:val="16"/>
                <w:szCs w:val="16"/>
              </w:rPr>
            </w:pPr>
            <w:r w:rsidRPr="00800070">
              <w:rPr>
                <w:sz w:val="16"/>
                <w:szCs w:val="16"/>
              </w:rPr>
              <w:t>3,569,000</w:t>
            </w:r>
          </w:p>
        </w:tc>
        <w:tc>
          <w:tcPr>
            <w:tcW w:w="1014" w:type="pct"/>
            <w:tcBorders>
              <w:top w:val="single" w:sz="4" w:space="0" w:color="auto"/>
              <w:left w:val="single" w:sz="4" w:space="0" w:color="auto"/>
              <w:bottom w:val="single" w:sz="4" w:space="0" w:color="auto"/>
              <w:right w:val="single" w:sz="4" w:space="0" w:color="auto"/>
            </w:tcBorders>
            <w:vAlign w:val="center"/>
          </w:tcPr>
          <w:p w:rsidR="00123DC4" w:rsidRPr="00800070" w:rsidRDefault="00123DC4" w:rsidP="00132057">
            <w:pPr>
              <w:autoSpaceDE w:val="0"/>
              <w:autoSpaceDN w:val="0"/>
              <w:adjustRightInd w:val="0"/>
              <w:spacing w:before="40" w:after="40" w:line="260" w:lineRule="exact"/>
              <w:jc w:val="center"/>
              <w:rPr>
                <w:sz w:val="16"/>
                <w:szCs w:val="16"/>
              </w:rPr>
            </w:pPr>
            <w:r>
              <w:rPr>
                <w:sz w:val="16"/>
                <w:szCs w:val="16"/>
              </w:rPr>
              <w:t>0</w:t>
            </w:r>
          </w:p>
        </w:tc>
        <w:tc>
          <w:tcPr>
            <w:tcW w:w="1180" w:type="pct"/>
            <w:tcBorders>
              <w:top w:val="single" w:sz="4" w:space="0" w:color="auto"/>
              <w:left w:val="single" w:sz="4" w:space="0" w:color="auto"/>
              <w:bottom w:val="single" w:sz="4" w:space="0" w:color="auto"/>
              <w:right w:val="single" w:sz="4" w:space="0" w:color="auto"/>
            </w:tcBorders>
            <w:vAlign w:val="center"/>
          </w:tcPr>
          <w:p w:rsidR="00123DC4" w:rsidRPr="00800070" w:rsidRDefault="00123DC4" w:rsidP="00132057">
            <w:pPr>
              <w:autoSpaceDE w:val="0"/>
              <w:autoSpaceDN w:val="0"/>
              <w:adjustRightInd w:val="0"/>
              <w:spacing w:before="40" w:after="40" w:line="260" w:lineRule="exact"/>
              <w:jc w:val="center"/>
              <w:rPr>
                <w:sz w:val="16"/>
                <w:szCs w:val="16"/>
              </w:rPr>
            </w:pPr>
            <w:r>
              <w:rPr>
                <w:sz w:val="16"/>
                <w:szCs w:val="16"/>
              </w:rPr>
              <w:t>0%</w:t>
            </w:r>
          </w:p>
        </w:tc>
      </w:tr>
      <w:tr w:rsidR="00123DC4" w:rsidRPr="00970583" w:rsidTr="00132057">
        <w:tc>
          <w:tcPr>
            <w:tcW w:w="1791" w:type="pct"/>
            <w:tcBorders>
              <w:top w:val="single" w:sz="4" w:space="0" w:color="auto"/>
              <w:left w:val="single" w:sz="4" w:space="0" w:color="auto"/>
              <w:bottom w:val="single" w:sz="4" w:space="0" w:color="auto"/>
              <w:right w:val="single" w:sz="4" w:space="0" w:color="auto"/>
            </w:tcBorders>
            <w:vAlign w:val="center"/>
          </w:tcPr>
          <w:p w:rsidR="00123DC4" w:rsidRPr="00970583" w:rsidRDefault="00123DC4" w:rsidP="00132057">
            <w:pPr>
              <w:autoSpaceDE w:val="0"/>
              <w:autoSpaceDN w:val="0"/>
              <w:adjustRightInd w:val="0"/>
              <w:spacing w:before="40" w:after="40" w:line="260" w:lineRule="exact"/>
              <w:rPr>
                <w:sz w:val="16"/>
                <w:szCs w:val="16"/>
              </w:rPr>
            </w:pPr>
            <w:r>
              <w:rPr>
                <w:color w:val="000000"/>
                <w:sz w:val="16"/>
                <w:szCs w:val="16"/>
              </w:rPr>
              <w:t>Honoraria</w:t>
            </w:r>
          </w:p>
        </w:tc>
        <w:tc>
          <w:tcPr>
            <w:tcW w:w="1014" w:type="pct"/>
            <w:tcBorders>
              <w:top w:val="single" w:sz="4" w:space="0" w:color="auto"/>
              <w:left w:val="single" w:sz="4" w:space="0" w:color="auto"/>
              <w:bottom w:val="single" w:sz="4" w:space="0" w:color="auto"/>
              <w:right w:val="single" w:sz="4" w:space="0" w:color="auto"/>
            </w:tcBorders>
            <w:vAlign w:val="center"/>
          </w:tcPr>
          <w:p w:rsidR="00123DC4" w:rsidRPr="00800070" w:rsidRDefault="00123DC4" w:rsidP="00132057">
            <w:pPr>
              <w:autoSpaceDE w:val="0"/>
              <w:autoSpaceDN w:val="0"/>
              <w:adjustRightInd w:val="0"/>
              <w:spacing w:before="40" w:after="40" w:line="260" w:lineRule="exact"/>
              <w:jc w:val="center"/>
              <w:rPr>
                <w:sz w:val="16"/>
                <w:szCs w:val="16"/>
              </w:rPr>
            </w:pPr>
            <w:r w:rsidRPr="00800070">
              <w:rPr>
                <w:sz w:val="16"/>
                <w:szCs w:val="16"/>
              </w:rPr>
              <w:t>1,024,000</w:t>
            </w:r>
          </w:p>
        </w:tc>
        <w:tc>
          <w:tcPr>
            <w:tcW w:w="1014" w:type="pct"/>
            <w:tcBorders>
              <w:top w:val="single" w:sz="4" w:space="0" w:color="auto"/>
              <w:left w:val="single" w:sz="4" w:space="0" w:color="auto"/>
              <w:bottom w:val="single" w:sz="4" w:space="0" w:color="auto"/>
              <w:right w:val="single" w:sz="4" w:space="0" w:color="auto"/>
            </w:tcBorders>
            <w:vAlign w:val="center"/>
          </w:tcPr>
          <w:p w:rsidR="00123DC4" w:rsidRPr="00800070" w:rsidRDefault="00123DC4" w:rsidP="00132057">
            <w:pPr>
              <w:jc w:val="center"/>
              <w:rPr>
                <w:sz w:val="16"/>
                <w:szCs w:val="16"/>
              </w:rPr>
            </w:pPr>
            <w:r>
              <w:rPr>
                <w:sz w:val="16"/>
                <w:szCs w:val="16"/>
              </w:rPr>
              <w:t>0</w:t>
            </w:r>
          </w:p>
        </w:tc>
        <w:tc>
          <w:tcPr>
            <w:tcW w:w="1180" w:type="pct"/>
            <w:tcBorders>
              <w:top w:val="single" w:sz="4" w:space="0" w:color="auto"/>
              <w:left w:val="single" w:sz="4" w:space="0" w:color="auto"/>
              <w:bottom w:val="single" w:sz="4" w:space="0" w:color="auto"/>
              <w:right w:val="single" w:sz="4" w:space="0" w:color="auto"/>
            </w:tcBorders>
            <w:vAlign w:val="center"/>
          </w:tcPr>
          <w:p w:rsidR="00123DC4" w:rsidRPr="00800070" w:rsidRDefault="00123DC4" w:rsidP="00132057">
            <w:pPr>
              <w:jc w:val="center"/>
              <w:rPr>
                <w:sz w:val="16"/>
                <w:szCs w:val="16"/>
              </w:rPr>
            </w:pPr>
            <w:r>
              <w:rPr>
                <w:sz w:val="16"/>
                <w:szCs w:val="16"/>
              </w:rPr>
              <w:t>0%</w:t>
            </w:r>
          </w:p>
        </w:tc>
      </w:tr>
      <w:tr w:rsidR="00123DC4" w:rsidRPr="00EC7C86" w:rsidTr="00132057">
        <w:tc>
          <w:tcPr>
            <w:tcW w:w="1791" w:type="pct"/>
            <w:tcBorders>
              <w:top w:val="single" w:sz="4" w:space="0" w:color="auto"/>
              <w:left w:val="single" w:sz="4" w:space="0" w:color="auto"/>
              <w:bottom w:val="single" w:sz="4" w:space="0" w:color="auto"/>
              <w:right w:val="single" w:sz="4" w:space="0" w:color="auto"/>
            </w:tcBorders>
            <w:vAlign w:val="center"/>
          </w:tcPr>
          <w:p w:rsidR="00123DC4" w:rsidRPr="00EC7C86" w:rsidRDefault="00123DC4" w:rsidP="00132057">
            <w:pPr>
              <w:autoSpaceDE w:val="0"/>
              <w:autoSpaceDN w:val="0"/>
              <w:adjustRightInd w:val="0"/>
              <w:spacing w:before="40" w:after="40" w:line="260" w:lineRule="exact"/>
              <w:rPr>
                <w:sz w:val="16"/>
                <w:szCs w:val="16"/>
              </w:rPr>
            </w:pPr>
            <w:r w:rsidRPr="00EC7C86">
              <w:rPr>
                <w:sz w:val="16"/>
                <w:szCs w:val="16"/>
              </w:rPr>
              <w:t>Internal/external resources</w:t>
            </w:r>
          </w:p>
        </w:tc>
        <w:tc>
          <w:tcPr>
            <w:tcW w:w="1014" w:type="pct"/>
            <w:tcBorders>
              <w:top w:val="single" w:sz="4" w:space="0" w:color="auto"/>
              <w:left w:val="single" w:sz="4" w:space="0" w:color="auto"/>
              <w:bottom w:val="single" w:sz="4" w:space="0" w:color="auto"/>
              <w:right w:val="single" w:sz="4" w:space="0" w:color="auto"/>
            </w:tcBorders>
            <w:vAlign w:val="center"/>
          </w:tcPr>
          <w:p w:rsidR="00123DC4" w:rsidRPr="00EC7C86" w:rsidRDefault="00123DC4" w:rsidP="00132057">
            <w:pPr>
              <w:autoSpaceDE w:val="0"/>
              <w:autoSpaceDN w:val="0"/>
              <w:adjustRightInd w:val="0"/>
              <w:spacing w:before="40" w:after="40" w:line="260" w:lineRule="exact"/>
              <w:jc w:val="center"/>
              <w:rPr>
                <w:sz w:val="16"/>
                <w:szCs w:val="16"/>
              </w:rPr>
            </w:pPr>
            <w:r w:rsidRPr="00EC7C86">
              <w:rPr>
                <w:sz w:val="16"/>
                <w:szCs w:val="16"/>
              </w:rPr>
              <w:t>867,000</w:t>
            </w:r>
          </w:p>
        </w:tc>
        <w:tc>
          <w:tcPr>
            <w:tcW w:w="1014" w:type="pct"/>
            <w:tcBorders>
              <w:top w:val="single" w:sz="4" w:space="0" w:color="auto"/>
              <w:left w:val="single" w:sz="4" w:space="0" w:color="auto"/>
              <w:bottom w:val="single" w:sz="4" w:space="0" w:color="auto"/>
              <w:right w:val="single" w:sz="4" w:space="0" w:color="auto"/>
            </w:tcBorders>
            <w:vAlign w:val="center"/>
          </w:tcPr>
          <w:p w:rsidR="00123DC4" w:rsidRPr="00EC7C86" w:rsidRDefault="00123DC4" w:rsidP="00132057">
            <w:pPr>
              <w:jc w:val="center"/>
              <w:rPr>
                <w:sz w:val="16"/>
                <w:szCs w:val="16"/>
              </w:rPr>
            </w:pPr>
            <w:r w:rsidRPr="00EC7C86">
              <w:rPr>
                <w:sz w:val="16"/>
                <w:szCs w:val="16"/>
              </w:rPr>
              <w:t>83,651</w:t>
            </w:r>
          </w:p>
        </w:tc>
        <w:tc>
          <w:tcPr>
            <w:tcW w:w="1180" w:type="pct"/>
            <w:tcBorders>
              <w:top w:val="single" w:sz="4" w:space="0" w:color="auto"/>
              <w:left w:val="single" w:sz="4" w:space="0" w:color="auto"/>
              <w:bottom w:val="single" w:sz="4" w:space="0" w:color="auto"/>
              <w:right w:val="single" w:sz="4" w:space="0" w:color="auto"/>
            </w:tcBorders>
            <w:vAlign w:val="center"/>
          </w:tcPr>
          <w:p w:rsidR="00123DC4" w:rsidRPr="00EC7C86" w:rsidRDefault="00123DC4" w:rsidP="00132057">
            <w:pPr>
              <w:jc w:val="center"/>
              <w:rPr>
                <w:sz w:val="16"/>
                <w:szCs w:val="16"/>
              </w:rPr>
            </w:pPr>
            <w:r w:rsidRPr="00EC7C86">
              <w:rPr>
                <w:sz w:val="16"/>
                <w:szCs w:val="16"/>
              </w:rPr>
              <w:t>9.6%</w:t>
            </w:r>
          </w:p>
        </w:tc>
      </w:tr>
      <w:tr w:rsidR="00123DC4" w:rsidRPr="00EC7C86" w:rsidTr="00132057">
        <w:tc>
          <w:tcPr>
            <w:tcW w:w="1791" w:type="pct"/>
            <w:tcBorders>
              <w:top w:val="single" w:sz="4" w:space="0" w:color="auto"/>
              <w:left w:val="single" w:sz="4" w:space="0" w:color="auto"/>
              <w:bottom w:val="single" w:sz="4" w:space="0" w:color="auto"/>
              <w:right w:val="single" w:sz="4" w:space="0" w:color="auto"/>
            </w:tcBorders>
            <w:vAlign w:val="center"/>
          </w:tcPr>
          <w:p w:rsidR="00123DC4" w:rsidRPr="00EC7C86" w:rsidRDefault="00123DC4" w:rsidP="00132057">
            <w:pPr>
              <w:autoSpaceDE w:val="0"/>
              <w:autoSpaceDN w:val="0"/>
              <w:adjustRightInd w:val="0"/>
              <w:spacing w:before="40" w:after="40" w:line="260" w:lineRule="exact"/>
              <w:rPr>
                <w:sz w:val="16"/>
                <w:szCs w:val="16"/>
              </w:rPr>
            </w:pPr>
            <w:r w:rsidRPr="00EC7C86">
              <w:rPr>
                <w:sz w:val="16"/>
                <w:szCs w:val="16"/>
              </w:rPr>
              <w:t>Fees</w:t>
            </w:r>
          </w:p>
        </w:tc>
        <w:tc>
          <w:tcPr>
            <w:tcW w:w="1014" w:type="pct"/>
            <w:tcBorders>
              <w:top w:val="single" w:sz="4" w:space="0" w:color="auto"/>
              <w:left w:val="single" w:sz="4" w:space="0" w:color="auto"/>
              <w:bottom w:val="single" w:sz="4" w:space="0" w:color="auto"/>
              <w:right w:val="single" w:sz="4" w:space="0" w:color="auto"/>
            </w:tcBorders>
            <w:vAlign w:val="center"/>
          </w:tcPr>
          <w:p w:rsidR="00123DC4" w:rsidRPr="00EC7C86" w:rsidRDefault="00123DC4" w:rsidP="00132057">
            <w:pPr>
              <w:autoSpaceDE w:val="0"/>
              <w:autoSpaceDN w:val="0"/>
              <w:adjustRightInd w:val="0"/>
              <w:spacing w:before="40" w:after="40" w:line="260" w:lineRule="exact"/>
              <w:jc w:val="center"/>
              <w:rPr>
                <w:sz w:val="16"/>
                <w:szCs w:val="16"/>
              </w:rPr>
            </w:pPr>
            <w:r w:rsidRPr="00EC7C86">
              <w:rPr>
                <w:sz w:val="16"/>
                <w:szCs w:val="16"/>
              </w:rPr>
              <w:t>120,000</w:t>
            </w:r>
          </w:p>
        </w:tc>
        <w:tc>
          <w:tcPr>
            <w:tcW w:w="1014" w:type="pct"/>
            <w:tcBorders>
              <w:top w:val="single" w:sz="4" w:space="0" w:color="auto"/>
              <w:left w:val="single" w:sz="4" w:space="0" w:color="auto"/>
              <w:bottom w:val="single" w:sz="4" w:space="0" w:color="auto"/>
              <w:right w:val="single" w:sz="4" w:space="0" w:color="auto"/>
            </w:tcBorders>
            <w:vAlign w:val="center"/>
          </w:tcPr>
          <w:p w:rsidR="00123DC4" w:rsidRPr="00EC7C86" w:rsidRDefault="00123DC4" w:rsidP="00132057">
            <w:pPr>
              <w:jc w:val="center"/>
              <w:rPr>
                <w:sz w:val="16"/>
                <w:szCs w:val="16"/>
              </w:rPr>
            </w:pPr>
            <w:r w:rsidRPr="00EC7C86">
              <w:rPr>
                <w:sz w:val="16"/>
                <w:szCs w:val="16"/>
              </w:rPr>
              <w:t>0</w:t>
            </w:r>
          </w:p>
        </w:tc>
        <w:tc>
          <w:tcPr>
            <w:tcW w:w="1180" w:type="pct"/>
            <w:tcBorders>
              <w:top w:val="single" w:sz="4" w:space="0" w:color="auto"/>
              <w:left w:val="single" w:sz="4" w:space="0" w:color="auto"/>
              <w:bottom w:val="single" w:sz="4" w:space="0" w:color="auto"/>
              <w:right w:val="single" w:sz="4" w:space="0" w:color="auto"/>
            </w:tcBorders>
            <w:vAlign w:val="center"/>
          </w:tcPr>
          <w:p w:rsidR="00123DC4" w:rsidRPr="00EC7C86" w:rsidRDefault="00123DC4" w:rsidP="00132057">
            <w:pPr>
              <w:jc w:val="center"/>
              <w:rPr>
                <w:sz w:val="16"/>
                <w:szCs w:val="16"/>
              </w:rPr>
            </w:pPr>
            <w:r w:rsidRPr="00EC7C86">
              <w:rPr>
                <w:sz w:val="16"/>
                <w:szCs w:val="16"/>
              </w:rPr>
              <w:t>0%</w:t>
            </w:r>
          </w:p>
        </w:tc>
      </w:tr>
      <w:tr w:rsidR="00123DC4" w:rsidRPr="00EC7C86" w:rsidTr="00132057">
        <w:tc>
          <w:tcPr>
            <w:tcW w:w="1791" w:type="pct"/>
            <w:tcBorders>
              <w:top w:val="single" w:sz="4" w:space="0" w:color="auto"/>
              <w:left w:val="single" w:sz="4" w:space="0" w:color="auto"/>
              <w:bottom w:val="single" w:sz="4" w:space="0" w:color="auto"/>
              <w:right w:val="single" w:sz="4" w:space="0" w:color="auto"/>
            </w:tcBorders>
            <w:vAlign w:val="center"/>
          </w:tcPr>
          <w:p w:rsidR="00123DC4" w:rsidRPr="00EC7C86" w:rsidRDefault="00123DC4" w:rsidP="00132057">
            <w:pPr>
              <w:autoSpaceDE w:val="0"/>
              <w:autoSpaceDN w:val="0"/>
              <w:adjustRightInd w:val="0"/>
              <w:spacing w:before="40" w:after="40" w:line="260" w:lineRule="exact"/>
              <w:rPr>
                <w:sz w:val="16"/>
                <w:szCs w:val="16"/>
              </w:rPr>
            </w:pPr>
            <w:r w:rsidRPr="00EC7C86">
              <w:rPr>
                <w:sz w:val="16"/>
                <w:szCs w:val="16"/>
              </w:rPr>
              <w:t>Miscellaneous and  unforeseen</w:t>
            </w:r>
          </w:p>
        </w:tc>
        <w:tc>
          <w:tcPr>
            <w:tcW w:w="1014" w:type="pct"/>
            <w:tcBorders>
              <w:top w:val="single" w:sz="4" w:space="0" w:color="auto"/>
              <w:left w:val="single" w:sz="4" w:space="0" w:color="auto"/>
              <w:bottom w:val="single" w:sz="4" w:space="0" w:color="auto"/>
              <w:right w:val="single" w:sz="4" w:space="0" w:color="auto"/>
            </w:tcBorders>
            <w:vAlign w:val="center"/>
          </w:tcPr>
          <w:p w:rsidR="00123DC4" w:rsidRPr="00EC7C86" w:rsidRDefault="00123DC4" w:rsidP="00132057">
            <w:pPr>
              <w:autoSpaceDE w:val="0"/>
              <w:autoSpaceDN w:val="0"/>
              <w:adjustRightInd w:val="0"/>
              <w:spacing w:before="40" w:after="40" w:line="260" w:lineRule="exact"/>
              <w:jc w:val="center"/>
              <w:rPr>
                <w:sz w:val="16"/>
                <w:szCs w:val="16"/>
              </w:rPr>
            </w:pPr>
            <w:r w:rsidRPr="00EC7C86">
              <w:rPr>
                <w:sz w:val="16"/>
                <w:szCs w:val="16"/>
              </w:rPr>
              <w:t>420,000</w:t>
            </w:r>
          </w:p>
        </w:tc>
        <w:tc>
          <w:tcPr>
            <w:tcW w:w="1014" w:type="pct"/>
            <w:tcBorders>
              <w:top w:val="single" w:sz="4" w:space="0" w:color="auto"/>
              <w:left w:val="single" w:sz="4" w:space="0" w:color="auto"/>
              <w:bottom w:val="single" w:sz="4" w:space="0" w:color="auto"/>
              <w:right w:val="single" w:sz="4" w:space="0" w:color="auto"/>
            </w:tcBorders>
            <w:vAlign w:val="center"/>
          </w:tcPr>
          <w:p w:rsidR="00123DC4" w:rsidRPr="00EC7C86" w:rsidRDefault="00123DC4" w:rsidP="00132057">
            <w:pPr>
              <w:jc w:val="center"/>
              <w:rPr>
                <w:sz w:val="16"/>
                <w:szCs w:val="16"/>
              </w:rPr>
            </w:pPr>
            <w:r w:rsidRPr="00EC7C86">
              <w:rPr>
                <w:sz w:val="16"/>
                <w:szCs w:val="16"/>
              </w:rPr>
              <w:t>0</w:t>
            </w:r>
          </w:p>
        </w:tc>
        <w:tc>
          <w:tcPr>
            <w:tcW w:w="1180" w:type="pct"/>
            <w:tcBorders>
              <w:top w:val="single" w:sz="4" w:space="0" w:color="auto"/>
              <w:left w:val="single" w:sz="4" w:space="0" w:color="auto"/>
              <w:bottom w:val="single" w:sz="4" w:space="0" w:color="auto"/>
              <w:right w:val="single" w:sz="4" w:space="0" w:color="auto"/>
            </w:tcBorders>
            <w:vAlign w:val="center"/>
          </w:tcPr>
          <w:p w:rsidR="00123DC4" w:rsidRPr="00EC7C86" w:rsidRDefault="00123DC4" w:rsidP="00132057">
            <w:pPr>
              <w:jc w:val="center"/>
              <w:rPr>
                <w:sz w:val="16"/>
                <w:szCs w:val="16"/>
              </w:rPr>
            </w:pPr>
            <w:r w:rsidRPr="00EC7C86">
              <w:rPr>
                <w:sz w:val="16"/>
                <w:szCs w:val="16"/>
              </w:rPr>
              <w:t>0%</w:t>
            </w:r>
          </w:p>
        </w:tc>
      </w:tr>
      <w:tr w:rsidR="00123DC4" w:rsidRPr="00EC7C86" w:rsidTr="00132057">
        <w:tc>
          <w:tcPr>
            <w:tcW w:w="1791"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EC7C86" w:rsidRDefault="00123DC4" w:rsidP="00132057">
            <w:pPr>
              <w:autoSpaceDE w:val="0"/>
              <w:autoSpaceDN w:val="0"/>
              <w:adjustRightInd w:val="0"/>
              <w:spacing w:before="40" w:after="40" w:line="260" w:lineRule="exact"/>
              <w:rPr>
                <w:b/>
                <w:sz w:val="16"/>
                <w:szCs w:val="16"/>
              </w:rPr>
            </w:pPr>
            <w:r w:rsidRPr="00EC7C86">
              <w:rPr>
                <w:b/>
                <w:sz w:val="16"/>
                <w:szCs w:val="16"/>
              </w:rPr>
              <w:t>Total</w:t>
            </w:r>
          </w:p>
        </w:tc>
        <w:tc>
          <w:tcPr>
            <w:tcW w:w="1014"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EC7C86" w:rsidRDefault="00123DC4" w:rsidP="00132057">
            <w:pPr>
              <w:autoSpaceDE w:val="0"/>
              <w:autoSpaceDN w:val="0"/>
              <w:adjustRightInd w:val="0"/>
              <w:spacing w:before="40" w:after="40" w:line="260" w:lineRule="exact"/>
              <w:jc w:val="center"/>
              <w:rPr>
                <w:b/>
                <w:sz w:val="16"/>
                <w:szCs w:val="16"/>
              </w:rPr>
            </w:pPr>
            <w:r w:rsidRPr="00EC7C86">
              <w:rPr>
                <w:b/>
                <w:sz w:val="16"/>
                <w:szCs w:val="16"/>
              </w:rPr>
              <w:t>6,000,000</w:t>
            </w:r>
          </w:p>
        </w:tc>
        <w:tc>
          <w:tcPr>
            <w:tcW w:w="1014"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EC7C86" w:rsidRDefault="00123DC4" w:rsidP="00132057">
            <w:pPr>
              <w:autoSpaceDE w:val="0"/>
              <w:autoSpaceDN w:val="0"/>
              <w:adjustRightInd w:val="0"/>
              <w:spacing w:before="40" w:after="40" w:line="260" w:lineRule="exact"/>
              <w:jc w:val="center"/>
              <w:rPr>
                <w:b/>
                <w:sz w:val="16"/>
                <w:szCs w:val="16"/>
              </w:rPr>
            </w:pPr>
            <w:r w:rsidRPr="00EC7C86">
              <w:rPr>
                <w:b/>
                <w:sz w:val="16"/>
                <w:szCs w:val="16"/>
              </w:rPr>
              <w:t>83,651</w:t>
            </w:r>
          </w:p>
        </w:tc>
        <w:tc>
          <w:tcPr>
            <w:tcW w:w="1180" w:type="pct"/>
            <w:tcBorders>
              <w:top w:val="single" w:sz="4" w:space="0" w:color="auto"/>
              <w:left w:val="single" w:sz="4" w:space="0" w:color="auto"/>
              <w:bottom w:val="single" w:sz="4" w:space="0" w:color="auto"/>
              <w:right w:val="single" w:sz="4" w:space="0" w:color="auto"/>
            </w:tcBorders>
            <w:shd w:val="clear" w:color="auto" w:fill="C6D9F1" w:themeFill="text2" w:themeFillTint="33"/>
          </w:tcPr>
          <w:p w:rsidR="00123DC4" w:rsidRPr="00EC7C86" w:rsidRDefault="00123DC4" w:rsidP="00132057">
            <w:pPr>
              <w:autoSpaceDE w:val="0"/>
              <w:autoSpaceDN w:val="0"/>
              <w:adjustRightInd w:val="0"/>
              <w:spacing w:before="40" w:after="40" w:line="260" w:lineRule="exact"/>
              <w:jc w:val="center"/>
              <w:rPr>
                <w:b/>
                <w:sz w:val="16"/>
                <w:szCs w:val="16"/>
              </w:rPr>
            </w:pPr>
          </w:p>
        </w:tc>
      </w:tr>
    </w:tbl>
    <w:p w:rsidR="00123DC4" w:rsidRDefault="00123DC4" w:rsidP="00132057">
      <w:pPr>
        <w:rPr>
          <w:rFonts w:cs="Arial"/>
          <w:color w:val="000000"/>
          <w:szCs w:val="22"/>
        </w:rPr>
      </w:pPr>
    </w:p>
    <w:p w:rsidR="00545826" w:rsidRPr="00811367" w:rsidRDefault="00545826" w:rsidP="00132057">
      <w:pPr>
        <w:rPr>
          <w:rFonts w:cs="Arial"/>
          <w:color w:val="000000"/>
          <w:szCs w:val="22"/>
        </w:rPr>
      </w:pPr>
    </w:p>
    <w:p w:rsidR="00123DC4" w:rsidRPr="00811367" w:rsidRDefault="00123DC4" w:rsidP="00132057">
      <w:pPr>
        <w:rPr>
          <w:rFonts w:cs="Arial"/>
          <w:color w:val="000000"/>
          <w:szCs w:val="22"/>
        </w:rPr>
      </w:pPr>
      <w:r w:rsidRPr="00811367">
        <w:rPr>
          <w:rFonts w:cs="Arial"/>
          <w:color w:val="000000"/>
          <w:szCs w:val="22"/>
        </w:rPr>
        <w:t>RISK AND MITIGATION STRATEGIES</w:t>
      </w:r>
    </w:p>
    <w:p w:rsidR="00123DC4" w:rsidRPr="00811367" w:rsidRDefault="00123DC4" w:rsidP="00132057">
      <w:pPr>
        <w:rPr>
          <w:rFonts w:cs="Arial"/>
          <w:color w:val="000000"/>
          <w:szCs w:val="22"/>
        </w:rPr>
      </w:pPr>
    </w:p>
    <w:tbl>
      <w:tblPr>
        <w:tblW w:w="4947" w:type="pct"/>
        <w:jc w:val="center"/>
        <w:tblInd w:w="-1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19"/>
        <w:gridCol w:w="2835"/>
        <w:gridCol w:w="3316"/>
      </w:tblGrid>
      <w:tr w:rsidR="00123DC4" w:rsidRPr="00970583" w:rsidTr="006775C3">
        <w:trPr>
          <w:trHeight w:val="507"/>
          <w:tblHeader/>
          <w:jc w:val="center"/>
        </w:trPr>
        <w:tc>
          <w:tcPr>
            <w:tcW w:w="1752" w:type="pct"/>
            <w:shd w:val="clear" w:color="auto" w:fill="C6D9F1" w:themeFill="text2" w:themeFillTint="33"/>
            <w:vAlign w:val="center"/>
          </w:tcPr>
          <w:p w:rsidR="00123DC4" w:rsidRPr="00970583" w:rsidRDefault="00123DC4" w:rsidP="00132057">
            <w:pPr>
              <w:autoSpaceDE w:val="0"/>
              <w:autoSpaceDN w:val="0"/>
              <w:adjustRightInd w:val="0"/>
              <w:spacing w:before="40" w:after="40" w:line="260" w:lineRule="exact"/>
              <w:ind w:left="-74" w:right="-60"/>
              <w:jc w:val="center"/>
              <w:rPr>
                <w:b/>
                <w:bCs/>
                <w:sz w:val="16"/>
                <w:szCs w:val="16"/>
              </w:rPr>
            </w:pPr>
            <w:r>
              <w:rPr>
                <w:b/>
                <w:bCs/>
                <w:iCs/>
                <w:sz w:val="18"/>
                <w:szCs w:val="18"/>
              </w:rPr>
              <w:t>Risk / Risk Description</w:t>
            </w:r>
            <w:r w:rsidRPr="00970583" w:rsidDel="009F2067">
              <w:rPr>
                <w:b/>
                <w:bCs/>
                <w:sz w:val="16"/>
                <w:szCs w:val="16"/>
              </w:rPr>
              <w:t xml:space="preserve"> </w:t>
            </w:r>
          </w:p>
        </w:tc>
        <w:tc>
          <w:tcPr>
            <w:tcW w:w="1497" w:type="pct"/>
            <w:shd w:val="clear" w:color="auto" w:fill="C6D9F1" w:themeFill="text2" w:themeFillTint="33"/>
            <w:vAlign w:val="center"/>
          </w:tcPr>
          <w:p w:rsidR="00123DC4" w:rsidRPr="00970583" w:rsidRDefault="00123DC4" w:rsidP="00132057">
            <w:pPr>
              <w:autoSpaceDE w:val="0"/>
              <w:autoSpaceDN w:val="0"/>
              <w:adjustRightInd w:val="0"/>
              <w:spacing w:before="40" w:after="40" w:line="260" w:lineRule="exact"/>
              <w:ind w:left="-107" w:right="-108"/>
              <w:jc w:val="center"/>
              <w:rPr>
                <w:b/>
                <w:bCs/>
                <w:sz w:val="16"/>
                <w:szCs w:val="16"/>
              </w:rPr>
            </w:pPr>
            <w:r>
              <w:rPr>
                <w:b/>
                <w:bCs/>
                <w:iCs/>
                <w:sz w:val="18"/>
                <w:szCs w:val="18"/>
              </w:rPr>
              <w:t xml:space="preserve">Risk </w:t>
            </w:r>
            <w:r w:rsidRPr="00F40ED0">
              <w:rPr>
                <w:b/>
                <w:bCs/>
                <w:iCs/>
                <w:sz w:val="18"/>
                <w:szCs w:val="18"/>
              </w:rPr>
              <w:t xml:space="preserve">Mitigation </w:t>
            </w:r>
          </w:p>
        </w:tc>
        <w:tc>
          <w:tcPr>
            <w:tcW w:w="1751" w:type="pct"/>
            <w:shd w:val="clear" w:color="auto" w:fill="C6D9F1" w:themeFill="text2" w:themeFillTint="33"/>
          </w:tcPr>
          <w:p w:rsidR="00123DC4" w:rsidRPr="00970583" w:rsidDel="005B0FC6" w:rsidRDefault="00123DC4" w:rsidP="00132057">
            <w:pPr>
              <w:autoSpaceDE w:val="0"/>
              <w:autoSpaceDN w:val="0"/>
              <w:adjustRightInd w:val="0"/>
              <w:spacing w:before="40" w:after="40" w:line="260" w:lineRule="exact"/>
              <w:ind w:left="-109"/>
              <w:jc w:val="center"/>
              <w:rPr>
                <w:b/>
                <w:bCs/>
                <w:sz w:val="16"/>
                <w:szCs w:val="16"/>
              </w:rPr>
            </w:pPr>
            <w:r>
              <w:rPr>
                <w:b/>
                <w:bCs/>
                <w:iCs/>
                <w:sz w:val="18"/>
                <w:szCs w:val="18"/>
              </w:rPr>
              <w:t>Comment</w:t>
            </w:r>
            <w:r w:rsidRPr="00F40ED0">
              <w:rPr>
                <w:b/>
                <w:bCs/>
                <w:iCs/>
                <w:sz w:val="18"/>
                <w:szCs w:val="18"/>
              </w:rPr>
              <w:t xml:space="preserve"> </w:t>
            </w:r>
          </w:p>
        </w:tc>
      </w:tr>
      <w:tr w:rsidR="00123DC4" w:rsidRPr="000B110A" w:rsidTr="006775C3">
        <w:trPr>
          <w:trHeight w:val="776"/>
          <w:jc w:val="center"/>
        </w:trPr>
        <w:tc>
          <w:tcPr>
            <w:tcW w:w="1752" w:type="pct"/>
            <w:shd w:val="clear" w:color="auto" w:fill="auto"/>
          </w:tcPr>
          <w:p w:rsidR="00123DC4" w:rsidRPr="006F1378" w:rsidRDefault="00123DC4" w:rsidP="00132057">
            <w:pPr>
              <w:autoSpaceDE w:val="0"/>
              <w:autoSpaceDN w:val="0"/>
              <w:adjustRightInd w:val="0"/>
              <w:spacing w:before="40" w:after="40"/>
              <w:rPr>
                <w:sz w:val="16"/>
                <w:szCs w:val="16"/>
              </w:rPr>
            </w:pPr>
            <w:r w:rsidRPr="00EC7C86">
              <w:rPr>
                <w:sz w:val="16"/>
                <w:szCs w:val="16"/>
              </w:rPr>
              <w:t>Delay in starting project</w:t>
            </w:r>
            <w:r>
              <w:rPr>
                <w:sz w:val="16"/>
                <w:szCs w:val="16"/>
              </w:rPr>
              <w:t xml:space="preserve"> </w:t>
            </w:r>
            <w:r w:rsidRPr="006F1378">
              <w:rPr>
                <w:sz w:val="16"/>
                <w:szCs w:val="16"/>
              </w:rPr>
              <w:t xml:space="preserve">by </w:t>
            </w:r>
            <w:r>
              <w:rPr>
                <w:sz w:val="16"/>
                <w:szCs w:val="16"/>
              </w:rPr>
              <w:t xml:space="preserve">up to </w:t>
            </w:r>
            <w:r w:rsidRPr="006F1378">
              <w:rPr>
                <w:sz w:val="16"/>
                <w:szCs w:val="16"/>
              </w:rPr>
              <w:t>one year due to the delay in completion of the new WIPO Conference Hall</w:t>
            </w:r>
            <w:r>
              <w:rPr>
                <w:sz w:val="16"/>
                <w:szCs w:val="16"/>
              </w:rPr>
              <w:t>.</w:t>
            </w:r>
          </w:p>
          <w:p w:rsidR="00123DC4" w:rsidRPr="00EC7C86" w:rsidRDefault="00123DC4" w:rsidP="00132057">
            <w:pPr>
              <w:autoSpaceDE w:val="0"/>
              <w:autoSpaceDN w:val="0"/>
              <w:adjustRightInd w:val="0"/>
              <w:spacing w:before="40" w:after="40"/>
              <w:rPr>
                <w:sz w:val="16"/>
                <w:szCs w:val="16"/>
              </w:rPr>
            </w:pPr>
          </w:p>
        </w:tc>
        <w:tc>
          <w:tcPr>
            <w:tcW w:w="1497" w:type="pct"/>
            <w:shd w:val="clear" w:color="auto" w:fill="auto"/>
          </w:tcPr>
          <w:p w:rsidR="00123DC4" w:rsidRPr="00F054D8" w:rsidRDefault="00123DC4" w:rsidP="00132057">
            <w:pPr>
              <w:autoSpaceDE w:val="0"/>
              <w:autoSpaceDN w:val="0"/>
              <w:adjustRightInd w:val="0"/>
              <w:spacing w:before="40" w:after="40"/>
              <w:rPr>
                <w:sz w:val="16"/>
                <w:szCs w:val="16"/>
              </w:rPr>
            </w:pPr>
            <w:r w:rsidRPr="00EC7C86">
              <w:rPr>
                <w:sz w:val="16"/>
                <w:szCs w:val="16"/>
              </w:rPr>
              <w:t>Shift the project’s general schedule</w:t>
            </w:r>
            <w:r>
              <w:rPr>
                <w:sz w:val="16"/>
                <w:szCs w:val="16"/>
              </w:rPr>
              <w:t>.</w:t>
            </w:r>
          </w:p>
          <w:p w:rsidR="00123DC4" w:rsidRPr="00EC7C86" w:rsidRDefault="00123DC4" w:rsidP="00132057">
            <w:pPr>
              <w:autoSpaceDE w:val="0"/>
              <w:autoSpaceDN w:val="0"/>
              <w:adjustRightInd w:val="0"/>
              <w:spacing w:before="40" w:after="40"/>
              <w:rPr>
                <w:sz w:val="16"/>
                <w:szCs w:val="16"/>
              </w:rPr>
            </w:pPr>
          </w:p>
        </w:tc>
        <w:tc>
          <w:tcPr>
            <w:tcW w:w="1751" w:type="pct"/>
            <w:shd w:val="clear" w:color="auto" w:fill="auto"/>
          </w:tcPr>
          <w:p w:rsidR="00123DC4" w:rsidRPr="00F054D8" w:rsidRDefault="00123DC4" w:rsidP="00132057">
            <w:pPr>
              <w:autoSpaceDE w:val="0"/>
              <w:autoSpaceDN w:val="0"/>
              <w:adjustRightInd w:val="0"/>
              <w:spacing w:before="40" w:after="40"/>
              <w:rPr>
                <w:sz w:val="16"/>
                <w:szCs w:val="16"/>
              </w:rPr>
            </w:pPr>
            <w:r>
              <w:rPr>
                <w:sz w:val="16"/>
                <w:szCs w:val="16"/>
              </w:rPr>
              <w:t xml:space="preserve">This risk event did occur in 2014.  The project’s general schedule was delayed by </w:t>
            </w:r>
            <w:r w:rsidRPr="007905DE">
              <w:rPr>
                <w:sz w:val="16"/>
                <w:szCs w:val="16"/>
              </w:rPr>
              <w:t>nine months relative to the original plan.  The timeline for the project was extended to 2018</w:t>
            </w:r>
            <w:r>
              <w:rPr>
                <w:sz w:val="16"/>
                <w:szCs w:val="16"/>
              </w:rPr>
              <w:t>, as per the planned risk mitigation measure</w:t>
            </w:r>
            <w:r w:rsidRPr="007905DE">
              <w:rPr>
                <w:sz w:val="16"/>
                <w:szCs w:val="16"/>
              </w:rPr>
              <w:t>.</w:t>
            </w:r>
            <w:r>
              <w:rPr>
                <w:sz w:val="16"/>
                <w:szCs w:val="16"/>
              </w:rPr>
              <w:t xml:space="preserve">  There was no material impact to the project deliverables.</w:t>
            </w:r>
          </w:p>
          <w:p w:rsidR="00123DC4" w:rsidRDefault="00123DC4" w:rsidP="00132057">
            <w:pPr>
              <w:autoSpaceDE w:val="0"/>
              <w:autoSpaceDN w:val="0"/>
              <w:adjustRightInd w:val="0"/>
              <w:spacing w:before="40" w:after="40"/>
              <w:rPr>
                <w:sz w:val="16"/>
                <w:szCs w:val="16"/>
              </w:rPr>
            </w:pPr>
          </w:p>
          <w:p w:rsidR="00123DC4" w:rsidRPr="0091658B" w:rsidDel="005B0FC6" w:rsidRDefault="00123DC4" w:rsidP="00132057">
            <w:pPr>
              <w:keepNext/>
              <w:autoSpaceDE w:val="0"/>
              <w:autoSpaceDN w:val="0"/>
              <w:adjustRightInd w:val="0"/>
              <w:spacing w:before="40" w:after="40"/>
              <w:outlineLvl w:val="3"/>
              <w:rPr>
                <w:b/>
                <w:bCs/>
                <w:sz w:val="16"/>
                <w:szCs w:val="16"/>
              </w:rPr>
            </w:pPr>
            <w:r w:rsidRPr="00A9317B">
              <w:rPr>
                <w:i/>
                <w:sz w:val="16"/>
                <w:szCs w:val="16"/>
              </w:rPr>
              <w:t>Th</w:t>
            </w:r>
            <w:r>
              <w:rPr>
                <w:i/>
                <w:sz w:val="16"/>
                <w:szCs w:val="16"/>
              </w:rPr>
              <w:t>is</w:t>
            </w:r>
            <w:r w:rsidRPr="006F1378">
              <w:rPr>
                <w:i/>
                <w:sz w:val="16"/>
                <w:szCs w:val="16"/>
              </w:rPr>
              <w:t xml:space="preserve"> risk has been closed.</w:t>
            </w:r>
          </w:p>
        </w:tc>
      </w:tr>
      <w:tr w:rsidR="00123DC4" w:rsidRPr="000B110A" w:rsidTr="006775C3">
        <w:trPr>
          <w:trHeight w:val="776"/>
          <w:jc w:val="center"/>
        </w:trPr>
        <w:tc>
          <w:tcPr>
            <w:tcW w:w="1752" w:type="pct"/>
            <w:shd w:val="clear" w:color="auto" w:fill="auto"/>
          </w:tcPr>
          <w:p w:rsidR="00123DC4" w:rsidRPr="006F1378" w:rsidRDefault="00123DC4" w:rsidP="00132057">
            <w:pPr>
              <w:autoSpaceDE w:val="0"/>
              <w:autoSpaceDN w:val="0"/>
              <w:adjustRightInd w:val="0"/>
              <w:spacing w:before="40" w:after="40"/>
              <w:rPr>
                <w:sz w:val="16"/>
                <w:szCs w:val="16"/>
              </w:rPr>
            </w:pPr>
            <w:r w:rsidRPr="001B128D">
              <w:rPr>
                <w:sz w:val="16"/>
                <w:szCs w:val="16"/>
              </w:rPr>
              <w:t xml:space="preserve">Delay in starting the works, as </w:t>
            </w:r>
            <w:r>
              <w:rPr>
                <w:sz w:val="16"/>
                <w:szCs w:val="16"/>
              </w:rPr>
              <w:t>this</w:t>
            </w:r>
            <w:r w:rsidRPr="006F1378">
              <w:rPr>
                <w:sz w:val="16"/>
                <w:szCs w:val="16"/>
              </w:rPr>
              <w:t xml:space="preserve"> will depend on the time needed to choose the technical solution</w:t>
            </w:r>
            <w:r>
              <w:rPr>
                <w:sz w:val="16"/>
                <w:szCs w:val="16"/>
              </w:rPr>
              <w:t>.</w:t>
            </w:r>
          </w:p>
        </w:tc>
        <w:tc>
          <w:tcPr>
            <w:tcW w:w="1497" w:type="pct"/>
            <w:shd w:val="clear" w:color="auto" w:fill="auto"/>
          </w:tcPr>
          <w:p w:rsidR="00123DC4" w:rsidRPr="00EC7C86" w:rsidRDefault="00123DC4" w:rsidP="00132057">
            <w:pPr>
              <w:autoSpaceDE w:val="0"/>
              <w:autoSpaceDN w:val="0"/>
              <w:adjustRightInd w:val="0"/>
              <w:spacing w:before="40" w:after="40"/>
              <w:rPr>
                <w:sz w:val="16"/>
                <w:szCs w:val="16"/>
              </w:rPr>
            </w:pPr>
            <w:r w:rsidRPr="00EC7C86">
              <w:rPr>
                <w:sz w:val="16"/>
                <w:szCs w:val="16"/>
              </w:rPr>
              <w:t>Shift the works timetable</w:t>
            </w:r>
            <w:r>
              <w:rPr>
                <w:sz w:val="16"/>
                <w:szCs w:val="16"/>
              </w:rPr>
              <w:t>.</w:t>
            </w:r>
            <w:r w:rsidRPr="00EC7C86" w:rsidDel="005B0FC6">
              <w:rPr>
                <w:sz w:val="16"/>
                <w:szCs w:val="16"/>
              </w:rPr>
              <w:t xml:space="preserve"> </w:t>
            </w:r>
          </w:p>
        </w:tc>
        <w:tc>
          <w:tcPr>
            <w:tcW w:w="1751" w:type="pct"/>
            <w:shd w:val="clear" w:color="auto" w:fill="auto"/>
          </w:tcPr>
          <w:p w:rsidR="00123DC4" w:rsidRDefault="00123DC4" w:rsidP="00132057">
            <w:pPr>
              <w:autoSpaceDE w:val="0"/>
              <w:autoSpaceDN w:val="0"/>
              <w:adjustRightInd w:val="0"/>
              <w:spacing w:before="40" w:after="40"/>
              <w:rPr>
                <w:sz w:val="16"/>
                <w:szCs w:val="16"/>
              </w:rPr>
            </w:pPr>
            <w:r>
              <w:rPr>
                <w:sz w:val="16"/>
                <w:szCs w:val="16"/>
              </w:rPr>
              <w:t xml:space="preserve">Due to </w:t>
            </w:r>
            <w:r w:rsidRPr="007905DE">
              <w:rPr>
                <w:sz w:val="16"/>
                <w:szCs w:val="16"/>
              </w:rPr>
              <w:t>the final closure of the New Conference Hall Project</w:t>
            </w:r>
            <w:r>
              <w:rPr>
                <w:sz w:val="16"/>
                <w:szCs w:val="16"/>
              </w:rPr>
              <w:t xml:space="preserve"> taking longer than anticipated, the project timeline was further delayed, with the start of works scheduled to begin in the third quarter of 2017 as compared to the first quarter of 2017, as previously reported.  There was no material impact to the project deliverables.</w:t>
            </w:r>
          </w:p>
        </w:tc>
      </w:tr>
      <w:tr w:rsidR="00123DC4" w:rsidRPr="000B110A" w:rsidTr="006775C3">
        <w:trPr>
          <w:trHeight w:val="776"/>
          <w:jc w:val="center"/>
        </w:trPr>
        <w:tc>
          <w:tcPr>
            <w:tcW w:w="1752" w:type="pct"/>
            <w:shd w:val="clear" w:color="auto" w:fill="auto"/>
          </w:tcPr>
          <w:p w:rsidR="00123DC4" w:rsidRPr="00EC7C86" w:rsidRDefault="00123DC4" w:rsidP="00132057">
            <w:pPr>
              <w:autoSpaceDE w:val="0"/>
              <w:autoSpaceDN w:val="0"/>
              <w:adjustRightInd w:val="0"/>
              <w:spacing w:before="40" w:after="40"/>
              <w:rPr>
                <w:b/>
                <w:bCs/>
                <w:sz w:val="16"/>
                <w:szCs w:val="16"/>
              </w:rPr>
            </w:pPr>
            <w:r w:rsidRPr="00EC7C86">
              <w:rPr>
                <w:sz w:val="16"/>
                <w:szCs w:val="16"/>
              </w:rPr>
              <w:t>Delay in commissioning the renovation</w:t>
            </w:r>
            <w:r>
              <w:rPr>
                <w:sz w:val="16"/>
                <w:szCs w:val="16"/>
              </w:rPr>
              <w:t xml:space="preserve"> as a result of </w:t>
            </w:r>
            <w:r w:rsidRPr="00EC7C86">
              <w:rPr>
                <w:sz w:val="16"/>
                <w:szCs w:val="16"/>
              </w:rPr>
              <w:t>the technical solution</w:t>
            </w:r>
            <w:r>
              <w:rPr>
                <w:sz w:val="16"/>
                <w:szCs w:val="16"/>
              </w:rPr>
              <w:t xml:space="preserve"> selected and/or the i</w:t>
            </w:r>
            <w:r w:rsidRPr="00EC7C86">
              <w:rPr>
                <w:sz w:val="16"/>
                <w:szCs w:val="16"/>
              </w:rPr>
              <w:t>nternal logistics for office relocations</w:t>
            </w:r>
            <w:r>
              <w:rPr>
                <w:sz w:val="16"/>
                <w:szCs w:val="16"/>
              </w:rPr>
              <w:t>.</w:t>
            </w:r>
          </w:p>
        </w:tc>
        <w:tc>
          <w:tcPr>
            <w:tcW w:w="1497" w:type="pct"/>
            <w:shd w:val="clear" w:color="auto" w:fill="auto"/>
          </w:tcPr>
          <w:p w:rsidR="00123DC4" w:rsidRPr="00EC7C86" w:rsidRDefault="00123DC4" w:rsidP="00123DC4">
            <w:pPr>
              <w:pStyle w:val="ListParagraph"/>
              <w:numPr>
                <w:ilvl w:val="0"/>
                <w:numId w:val="150"/>
              </w:numPr>
              <w:autoSpaceDE w:val="0"/>
              <w:autoSpaceDN w:val="0"/>
              <w:adjustRightInd w:val="0"/>
              <w:spacing w:before="40" w:after="40"/>
              <w:rPr>
                <w:sz w:val="16"/>
                <w:szCs w:val="16"/>
              </w:rPr>
            </w:pPr>
            <w:r w:rsidRPr="00EC7C86">
              <w:rPr>
                <w:sz w:val="16"/>
                <w:szCs w:val="16"/>
              </w:rPr>
              <w:t>Appraisal of the choice of technical solution</w:t>
            </w:r>
            <w:r>
              <w:rPr>
                <w:sz w:val="16"/>
                <w:szCs w:val="16"/>
              </w:rPr>
              <w:t>.</w:t>
            </w:r>
          </w:p>
          <w:p w:rsidR="00123DC4" w:rsidRPr="00EC7C86" w:rsidRDefault="00123DC4" w:rsidP="00123DC4">
            <w:pPr>
              <w:pStyle w:val="ListParagraph"/>
              <w:numPr>
                <w:ilvl w:val="0"/>
                <w:numId w:val="150"/>
              </w:numPr>
              <w:autoSpaceDE w:val="0"/>
              <w:autoSpaceDN w:val="0"/>
              <w:adjustRightInd w:val="0"/>
              <w:spacing w:before="40" w:after="40"/>
              <w:rPr>
                <w:sz w:val="16"/>
                <w:szCs w:val="16"/>
              </w:rPr>
            </w:pPr>
            <w:r w:rsidRPr="00EC7C86">
              <w:rPr>
                <w:sz w:val="16"/>
                <w:szCs w:val="16"/>
              </w:rPr>
              <w:t>Appraisal with a view to shortening the schedule</w:t>
            </w:r>
            <w:r>
              <w:rPr>
                <w:sz w:val="16"/>
                <w:szCs w:val="16"/>
              </w:rPr>
              <w:t>.</w:t>
            </w:r>
          </w:p>
          <w:p w:rsidR="00123DC4" w:rsidRPr="00EC7C86" w:rsidRDefault="00123DC4" w:rsidP="00123DC4">
            <w:pPr>
              <w:pStyle w:val="ListParagraph"/>
              <w:numPr>
                <w:ilvl w:val="0"/>
                <w:numId w:val="150"/>
              </w:numPr>
              <w:autoSpaceDE w:val="0"/>
              <w:autoSpaceDN w:val="0"/>
              <w:adjustRightInd w:val="0"/>
              <w:spacing w:before="40" w:after="40"/>
              <w:rPr>
                <w:sz w:val="16"/>
                <w:szCs w:val="16"/>
              </w:rPr>
            </w:pPr>
            <w:r w:rsidRPr="00EC7C86">
              <w:rPr>
                <w:sz w:val="16"/>
                <w:szCs w:val="16"/>
              </w:rPr>
              <w:t>Planning with PCT, IT, SSCS</w:t>
            </w:r>
            <w:r>
              <w:rPr>
                <w:sz w:val="16"/>
                <w:szCs w:val="16"/>
              </w:rPr>
              <w:t>.</w:t>
            </w:r>
          </w:p>
        </w:tc>
        <w:tc>
          <w:tcPr>
            <w:tcW w:w="1751" w:type="pct"/>
            <w:shd w:val="clear" w:color="auto" w:fill="auto"/>
          </w:tcPr>
          <w:p w:rsidR="00123DC4" w:rsidRPr="00EC7C86" w:rsidRDefault="00123DC4" w:rsidP="00132057">
            <w:pPr>
              <w:autoSpaceDE w:val="0"/>
              <w:autoSpaceDN w:val="0"/>
              <w:adjustRightInd w:val="0"/>
              <w:spacing w:before="40" w:after="40"/>
              <w:rPr>
                <w:sz w:val="16"/>
                <w:szCs w:val="16"/>
              </w:rPr>
            </w:pPr>
          </w:p>
        </w:tc>
      </w:tr>
      <w:tr w:rsidR="00123DC4" w:rsidRPr="000B110A" w:rsidTr="006775C3">
        <w:trPr>
          <w:trHeight w:val="776"/>
          <w:jc w:val="center"/>
        </w:trPr>
        <w:tc>
          <w:tcPr>
            <w:tcW w:w="1752" w:type="pct"/>
            <w:shd w:val="clear" w:color="auto" w:fill="auto"/>
          </w:tcPr>
          <w:p w:rsidR="00123DC4" w:rsidRPr="00EC7C86" w:rsidRDefault="00123DC4" w:rsidP="00132057">
            <w:pPr>
              <w:autoSpaceDE w:val="0"/>
              <w:autoSpaceDN w:val="0"/>
              <w:adjustRightInd w:val="0"/>
              <w:spacing w:before="40" w:after="40"/>
              <w:rPr>
                <w:b/>
                <w:bCs/>
                <w:sz w:val="16"/>
                <w:szCs w:val="16"/>
              </w:rPr>
            </w:pPr>
            <w:r w:rsidRPr="00EC7C86">
              <w:rPr>
                <w:sz w:val="16"/>
                <w:szCs w:val="16"/>
              </w:rPr>
              <w:t>Financial risk</w:t>
            </w:r>
            <w:r>
              <w:rPr>
                <w:sz w:val="16"/>
                <w:szCs w:val="16"/>
              </w:rPr>
              <w:t xml:space="preserve"> due to</w:t>
            </w:r>
            <w:r w:rsidRPr="00EC7C86">
              <w:rPr>
                <w:sz w:val="16"/>
                <w:szCs w:val="16"/>
              </w:rPr>
              <w:t xml:space="preserve"> </w:t>
            </w:r>
            <w:r>
              <w:rPr>
                <w:sz w:val="16"/>
                <w:szCs w:val="16"/>
              </w:rPr>
              <w:t xml:space="preserve">unknown cost of the </w:t>
            </w:r>
            <w:r w:rsidRPr="00EC7C86">
              <w:rPr>
                <w:sz w:val="16"/>
                <w:szCs w:val="16"/>
              </w:rPr>
              <w:t>technical solution</w:t>
            </w:r>
            <w:r>
              <w:rPr>
                <w:sz w:val="16"/>
                <w:szCs w:val="16"/>
              </w:rPr>
              <w:t xml:space="preserve"> to be chosen.  The cost of the project may also be</w:t>
            </w:r>
            <w:r w:rsidRPr="00EC7C86">
              <w:rPr>
                <w:sz w:val="16"/>
                <w:szCs w:val="16"/>
              </w:rPr>
              <w:t xml:space="preserve"> higher than the approved budget as a result of the construction market situation during the call for tenders from firms in 2016</w:t>
            </w:r>
            <w:r>
              <w:rPr>
                <w:sz w:val="16"/>
                <w:szCs w:val="16"/>
              </w:rPr>
              <w:t>.</w:t>
            </w:r>
          </w:p>
        </w:tc>
        <w:tc>
          <w:tcPr>
            <w:tcW w:w="1497" w:type="pct"/>
            <w:shd w:val="clear" w:color="auto" w:fill="auto"/>
          </w:tcPr>
          <w:p w:rsidR="00123DC4" w:rsidRPr="00EC7C86" w:rsidRDefault="00123DC4" w:rsidP="00132057">
            <w:pPr>
              <w:autoSpaceDE w:val="0"/>
              <w:autoSpaceDN w:val="0"/>
              <w:adjustRightInd w:val="0"/>
              <w:spacing w:before="40" w:after="40"/>
              <w:rPr>
                <w:sz w:val="16"/>
                <w:szCs w:val="16"/>
              </w:rPr>
            </w:pPr>
            <w:r w:rsidRPr="00EC7C86">
              <w:rPr>
                <w:sz w:val="16"/>
                <w:szCs w:val="16"/>
              </w:rPr>
              <w:t>Review of the choice of technical solution</w:t>
            </w:r>
            <w:r>
              <w:rPr>
                <w:sz w:val="16"/>
                <w:szCs w:val="16"/>
              </w:rPr>
              <w:t>, and monitor construction market situation – include mitigating clauses in contracts as appropriate.</w:t>
            </w:r>
          </w:p>
          <w:p w:rsidR="00123DC4" w:rsidRPr="00EC7C86" w:rsidRDefault="00123DC4" w:rsidP="00132057">
            <w:pPr>
              <w:autoSpaceDE w:val="0"/>
              <w:autoSpaceDN w:val="0"/>
              <w:adjustRightInd w:val="0"/>
              <w:spacing w:before="40" w:after="40"/>
              <w:rPr>
                <w:sz w:val="16"/>
                <w:szCs w:val="16"/>
              </w:rPr>
            </w:pPr>
          </w:p>
        </w:tc>
        <w:tc>
          <w:tcPr>
            <w:tcW w:w="1751" w:type="pct"/>
            <w:shd w:val="clear" w:color="auto" w:fill="auto"/>
          </w:tcPr>
          <w:p w:rsidR="00123DC4" w:rsidRPr="00EC7C86" w:rsidRDefault="00123DC4" w:rsidP="00132057">
            <w:pPr>
              <w:autoSpaceDE w:val="0"/>
              <w:autoSpaceDN w:val="0"/>
              <w:adjustRightInd w:val="0"/>
              <w:spacing w:before="40" w:after="40"/>
              <w:rPr>
                <w:sz w:val="16"/>
                <w:szCs w:val="16"/>
              </w:rPr>
            </w:pPr>
          </w:p>
        </w:tc>
      </w:tr>
    </w:tbl>
    <w:p w:rsidR="00123DC4" w:rsidRDefault="00123DC4" w:rsidP="00132057">
      <w:pPr>
        <w:keepNext/>
        <w:keepLines/>
        <w:rPr>
          <w:rFonts w:cs="Arial"/>
          <w:color w:val="000000"/>
          <w:sz w:val="22"/>
          <w:szCs w:val="22"/>
        </w:rPr>
      </w:pPr>
    </w:p>
    <w:p w:rsidR="00123DC4" w:rsidRDefault="00123DC4" w:rsidP="00132057">
      <w:pPr>
        <w:keepNext/>
        <w:keepLines/>
        <w:rPr>
          <w:rFonts w:cs="Arial"/>
          <w:color w:val="000000"/>
          <w:sz w:val="22"/>
          <w:szCs w:val="22"/>
        </w:rPr>
      </w:pPr>
    </w:p>
    <w:p w:rsidR="00123DC4" w:rsidRDefault="00123DC4" w:rsidP="00132057">
      <w:pPr>
        <w:keepNext/>
        <w:keepLines/>
        <w:rPr>
          <w:rFonts w:cs="Arial"/>
          <w:color w:val="000000"/>
          <w:sz w:val="22"/>
          <w:szCs w:val="22"/>
        </w:rPr>
      </w:pPr>
      <w:r>
        <w:rPr>
          <w:rFonts w:cs="Arial"/>
          <w:color w:val="000000"/>
          <w:sz w:val="22"/>
          <w:szCs w:val="22"/>
        </w:rPr>
        <w:br w:type="page"/>
      </w:r>
    </w:p>
    <w:p w:rsidR="00123DC4" w:rsidRPr="00811367" w:rsidRDefault="00123DC4" w:rsidP="00132057">
      <w:pPr>
        <w:keepNext/>
        <w:keepLines/>
        <w:rPr>
          <w:rFonts w:cs="Arial"/>
          <w:color w:val="000000"/>
          <w:szCs w:val="22"/>
        </w:rPr>
      </w:pPr>
      <w:r w:rsidRPr="00811367">
        <w:rPr>
          <w:rFonts w:cs="Arial"/>
          <w:color w:val="000000"/>
          <w:szCs w:val="22"/>
        </w:rPr>
        <w:t>PROJECT TIMELINE BY MILESTONE</w:t>
      </w:r>
    </w:p>
    <w:p w:rsidR="00123DC4" w:rsidRPr="00811367" w:rsidRDefault="00123DC4" w:rsidP="00132057">
      <w:pPr>
        <w:keepNext/>
        <w:keepLines/>
        <w:rPr>
          <w:rFonts w:cs="Arial"/>
          <w:color w:val="000000"/>
          <w:szCs w:val="22"/>
        </w:rPr>
      </w:pPr>
    </w:p>
    <w:tbl>
      <w:tblPr>
        <w:tblW w:w="9666" w:type="dxa"/>
        <w:jc w:val="center"/>
        <w:tblLook w:val="04A0" w:firstRow="1" w:lastRow="0" w:firstColumn="1" w:lastColumn="0" w:noHBand="0" w:noVBand="1"/>
      </w:tblPr>
      <w:tblGrid>
        <w:gridCol w:w="1999"/>
        <w:gridCol w:w="391"/>
        <w:gridCol w:w="384"/>
        <w:gridCol w:w="384"/>
        <w:gridCol w:w="374"/>
        <w:gridCol w:w="10"/>
        <w:gridCol w:w="384"/>
        <w:gridCol w:w="352"/>
        <w:gridCol w:w="384"/>
        <w:gridCol w:w="384"/>
        <w:gridCol w:w="19"/>
        <w:gridCol w:w="366"/>
        <w:gridCol w:w="385"/>
        <w:gridCol w:w="385"/>
        <w:gridCol w:w="385"/>
        <w:gridCol w:w="13"/>
        <w:gridCol w:w="372"/>
        <w:gridCol w:w="385"/>
        <w:gridCol w:w="385"/>
        <w:gridCol w:w="385"/>
        <w:gridCol w:w="6"/>
        <w:gridCol w:w="310"/>
        <w:gridCol w:w="364"/>
        <w:gridCol w:w="430"/>
        <w:gridCol w:w="430"/>
      </w:tblGrid>
      <w:tr w:rsidR="00123DC4" w:rsidRPr="00970583" w:rsidTr="00132057">
        <w:trPr>
          <w:trHeight w:val="270"/>
          <w:tblHeader/>
          <w:jc w:val="center"/>
        </w:trPr>
        <w:tc>
          <w:tcPr>
            <w:tcW w:w="1999" w:type="dxa"/>
            <w:tcBorders>
              <w:top w:val="nil"/>
              <w:left w:val="nil"/>
              <w:bottom w:val="nil"/>
              <w:right w:val="nil"/>
            </w:tcBorders>
            <w:shd w:val="clear" w:color="auto" w:fill="auto"/>
            <w:noWrap/>
            <w:vAlign w:val="bottom"/>
            <w:hideMark/>
          </w:tcPr>
          <w:p w:rsidR="00123DC4" w:rsidRPr="00970583" w:rsidRDefault="00123DC4" w:rsidP="00132057">
            <w:pPr>
              <w:keepNext/>
              <w:keepLines/>
              <w:rPr>
                <w:rFonts w:cs="Arial"/>
                <w:color w:val="000000"/>
                <w:sz w:val="16"/>
                <w:szCs w:val="16"/>
              </w:rPr>
            </w:pPr>
          </w:p>
        </w:tc>
        <w:tc>
          <w:tcPr>
            <w:tcW w:w="1533" w:type="dxa"/>
            <w:gridSpan w:val="4"/>
            <w:tcBorders>
              <w:top w:val="single" w:sz="8" w:space="0" w:color="auto"/>
              <w:left w:val="single" w:sz="8" w:space="0" w:color="auto"/>
              <w:bottom w:val="single" w:sz="4" w:space="0" w:color="auto"/>
              <w:right w:val="single" w:sz="4" w:space="0" w:color="auto"/>
            </w:tcBorders>
            <w:shd w:val="clear" w:color="auto" w:fill="C6D9F1" w:themeFill="text2" w:themeFillTint="33"/>
            <w:noWrap/>
            <w:tcMar>
              <w:left w:w="0" w:type="dxa"/>
              <w:right w:w="0" w:type="dxa"/>
            </w:tcMar>
            <w:vAlign w:val="bottom"/>
            <w:hideMark/>
          </w:tcPr>
          <w:p w:rsidR="00123DC4" w:rsidRPr="00970583" w:rsidRDefault="00123DC4" w:rsidP="00132057">
            <w:pPr>
              <w:keepNext/>
              <w:keepLines/>
              <w:jc w:val="center"/>
              <w:rPr>
                <w:rFonts w:cs="Arial"/>
                <w:b/>
                <w:bCs/>
                <w:color w:val="000000"/>
                <w:sz w:val="16"/>
                <w:szCs w:val="16"/>
              </w:rPr>
            </w:pPr>
            <w:r w:rsidRPr="00970583">
              <w:rPr>
                <w:rFonts w:cs="Arial"/>
                <w:b/>
                <w:bCs/>
                <w:color w:val="000000"/>
                <w:sz w:val="16"/>
                <w:szCs w:val="16"/>
              </w:rPr>
              <w:t>2014</w:t>
            </w:r>
          </w:p>
        </w:tc>
        <w:tc>
          <w:tcPr>
            <w:tcW w:w="1533" w:type="dxa"/>
            <w:gridSpan w:val="6"/>
            <w:tcBorders>
              <w:top w:val="single" w:sz="8" w:space="0" w:color="auto"/>
              <w:left w:val="single" w:sz="8" w:space="0" w:color="auto"/>
              <w:bottom w:val="single" w:sz="4" w:space="0" w:color="auto"/>
              <w:right w:val="single" w:sz="4" w:space="0" w:color="auto"/>
            </w:tcBorders>
            <w:shd w:val="clear" w:color="auto" w:fill="C6D9F1" w:themeFill="text2" w:themeFillTint="33"/>
            <w:vAlign w:val="bottom"/>
          </w:tcPr>
          <w:p w:rsidR="00123DC4" w:rsidRPr="00970583" w:rsidRDefault="00123DC4" w:rsidP="00132057">
            <w:pPr>
              <w:keepNext/>
              <w:keepLines/>
              <w:jc w:val="center"/>
              <w:rPr>
                <w:rFonts w:cs="Arial"/>
                <w:b/>
                <w:bCs/>
                <w:color w:val="000000"/>
                <w:sz w:val="16"/>
                <w:szCs w:val="16"/>
              </w:rPr>
            </w:pPr>
            <w:r w:rsidRPr="00970583">
              <w:rPr>
                <w:rFonts w:cs="Arial"/>
                <w:b/>
                <w:bCs/>
                <w:color w:val="000000"/>
                <w:sz w:val="16"/>
                <w:szCs w:val="16"/>
              </w:rPr>
              <w:t>2015</w:t>
            </w:r>
          </w:p>
        </w:tc>
        <w:tc>
          <w:tcPr>
            <w:tcW w:w="1534" w:type="dxa"/>
            <w:gridSpan w:val="5"/>
            <w:tcBorders>
              <w:top w:val="single" w:sz="8" w:space="0" w:color="auto"/>
              <w:left w:val="single" w:sz="8" w:space="0" w:color="auto"/>
              <w:bottom w:val="single" w:sz="4" w:space="0" w:color="auto"/>
              <w:right w:val="single" w:sz="4" w:space="0" w:color="auto"/>
            </w:tcBorders>
            <w:shd w:val="clear" w:color="auto" w:fill="C6D9F1" w:themeFill="text2" w:themeFillTint="33"/>
            <w:vAlign w:val="bottom"/>
          </w:tcPr>
          <w:p w:rsidR="00123DC4" w:rsidRPr="00970583" w:rsidRDefault="00123DC4" w:rsidP="00132057">
            <w:pPr>
              <w:keepNext/>
              <w:keepLines/>
              <w:jc w:val="center"/>
              <w:rPr>
                <w:rFonts w:cs="Arial"/>
                <w:b/>
                <w:bCs/>
                <w:color w:val="000000"/>
                <w:sz w:val="16"/>
                <w:szCs w:val="16"/>
              </w:rPr>
            </w:pPr>
            <w:r w:rsidRPr="00970583">
              <w:rPr>
                <w:rFonts w:cs="Arial"/>
                <w:b/>
                <w:bCs/>
                <w:color w:val="000000"/>
                <w:sz w:val="16"/>
                <w:szCs w:val="16"/>
              </w:rPr>
              <w:t>2016</w:t>
            </w:r>
          </w:p>
        </w:tc>
        <w:tc>
          <w:tcPr>
            <w:tcW w:w="1533" w:type="dxa"/>
            <w:gridSpan w:val="5"/>
            <w:tcBorders>
              <w:top w:val="single" w:sz="8" w:space="0" w:color="auto"/>
              <w:left w:val="single" w:sz="8" w:space="0" w:color="auto"/>
              <w:bottom w:val="single" w:sz="4" w:space="0" w:color="auto"/>
              <w:right w:val="single" w:sz="4" w:space="0" w:color="auto"/>
            </w:tcBorders>
            <w:shd w:val="clear" w:color="auto" w:fill="C6D9F1" w:themeFill="text2" w:themeFillTint="33"/>
            <w:vAlign w:val="bottom"/>
          </w:tcPr>
          <w:p w:rsidR="00123DC4" w:rsidRPr="00970583" w:rsidRDefault="00123DC4" w:rsidP="00132057">
            <w:pPr>
              <w:keepNext/>
              <w:keepLines/>
              <w:jc w:val="center"/>
              <w:rPr>
                <w:rFonts w:cs="Arial"/>
                <w:b/>
                <w:bCs/>
                <w:color w:val="000000"/>
                <w:sz w:val="16"/>
                <w:szCs w:val="16"/>
              </w:rPr>
            </w:pPr>
            <w:r w:rsidRPr="00970583">
              <w:rPr>
                <w:rFonts w:cs="Arial"/>
                <w:b/>
                <w:bCs/>
                <w:color w:val="000000"/>
                <w:sz w:val="16"/>
                <w:szCs w:val="16"/>
              </w:rPr>
              <w:t>2017</w:t>
            </w:r>
          </w:p>
        </w:tc>
        <w:tc>
          <w:tcPr>
            <w:tcW w:w="1534" w:type="dxa"/>
            <w:gridSpan w:val="4"/>
            <w:tcBorders>
              <w:top w:val="single" w:sz="8" w:space="0" w:color="auto"/>
              <w:left w:val="single" w:sz="8" w:space="0" w:color="auto"/>
              <w:bottom w:val="single" w:sz="4" w:space="0" w:color="auto"/>
              <w:right w:val="single" w:sz="4" w:space="0" w:color="auto"/>
            </w:tcBorders>
            <w:shd w:val="clear" w:color="auto" w:fill="C6D9F1" w:themeFill="text2" w:themeFillTint="33"/>
            <w:vAlign w:val="bottom"/>
          </w:tcPr>
          <w:p w:rsidR="00123DC4" w:rsidRPr="00970583" w:rsidRDefault="00123DC4" w:rsidP="00132057">
            <w:pPr>
              <w:keepNext/>
              <w:keepLines/>
              <w:jc w:val="center"/>
              <w:rPr>
                <w:rFonts w:cs="Arial"/>
                <w:b/>
                <w:bCs/>
                <w:color w:val="000000"/>
                <w:sz w:val="16"/>
                <w:szCs w:val="16"/>
              </w:rPr>
            </w:pPr>
            <w:r w:rsidRPr="00970583">
              <w:rPr>
                <w:rFonts w:cs="Arial"/>
                <w:b/>
                <w:bCs/>
                <w:color w:val="000000"/>
                <w:sz w:val="16"/>
                <w:szCs w:val="16"/>
              </w:rPr>
              <w:t>2018</w:t>
            </w:r>
          </w:p>
        </w:tc>
      </w:tr>
      <w:tr w:rsidR="00123DC4" w:rsidRPr="00970583" w:rsidTr="00132057">
        <w:trPr>
          <w:trHeight w:val="375"/>
          <w:tblHeader/>
          <w:jc w:val="center"/>
        </w:trPr>
        <w:tc>
          <w:tcPr>
            <w:tcW w:w="1999" w:type="dxa"/>
            <w:tcBorders>
              <w:top w:val="single" w:sz="8" w:space="0" w:color="auto"/>
              <w:left w:val="single" w:sz="4" w:space="0" w:color="auto"/>
              <w:bottom w:val="single" w:sz="4" w:space="0" w:color="auto"/>
              <w:right w:val="single" w:sz="8" w:space="0" w:color="auto"/>
            </w:tcBorders>
            <w:shd w:val="clear" w:color="auto" w:fill="C6D9F1" w:themeFill="text2" w:themeFillTint="33"/>
            <w:noWrap/>
            <w:vAlign w:val="bottom"/>
            <w:hideMark/>
          </w:tcPr>
          <w:p w:rsidR="00123DC4" w:rsidRPr="00970583" w:rsidRDefault="00123DC4" w:rsidP="00132057">
            <w:pPr>
              <w:keepNext/>
              <w:keepLines/>
              <w:rPr>
                <w:rFonts w:cs="Arial"/>
                <w:b/>
                <w:bCs/>
                <w:color w:val="000000"/>
                <w:sz w:val="16"/>
                <w:szCs w:val="16"/>
              </w:rPr>
            </w:pPr>
            <w:r w:rsidRPr="00970583">
              <w:rPr>
                <w:rFonts w:cs="Arial"/>
                <w:b/>
                <w:bCs/>
                <w:color w:val="000000"/>
                <w:sz w:val="16"/>
                <w:szCs w:val="16"/>
              </w:rPr>
              <w:t>Key Milestone</w:t>
            </w:r>
          </w:p>
        </w:tc>
        <w:tc>
          <w:tcPr>
            <w:tcW w:w="391" w:type="dxa"/>
            <w:tcBorders>
              <w:top w:val="nil"/>
              <w:left w:val="nil"/>
              <w:bottom w:val="single" w:sz="4" w:space="0" w:color="auto"/>
              <w:right w:val="single" w:sz="4" w:space="0" w:color="auto"/>
            </w:tcBorders>
            <w:shd w:val="clear" w:color="auto" w:fill="C6D9F1" w:themeFill="text2" w:themeFillTint="33"/>
            <w:noWrap/>
            <w:tcMar>
              <w:left w:w="0" w:type="dxa"/>
              <w:right w:w="0" w:type="dxa"/>
            </w:tcMar>
            <w:vAlign w:val="bottom"/>
            <w:hideMark/>
          </w:tcPr>
          <w:p w:rsidR="00123DC4" w:rsidRPr="00970583" w:rsidRDefault="00123DC4" w:rsidP="00132057">
            <w:pPr>
              <w:keepNext/>
              <w:keepLines/>
              <w:jc w:val="center"/>
              <w:rPr>
                <w:rFonts w:cs="Arial"/>
                <w:b/>
                <w:bCs/>
                <w:color w:val="000000"/>
                <w:sz w:val="16"/>
                <w:szCs w:val="16"/>
              </w:rPr>
            </w:pPr>
            <w:r w:rsidRPr="00970583">
              <w:rPr>
                <w:rFonts w:cs="Arial"/>
                <w:b/>
                <w:bCs/>
                <w:sz w:val="16"/>
                <w:szCs w:val="16"/>
              </w:rPr>
              <w:t>Q1</w:t>
            </w:r>
          </w:p>
        </w:tc>
        <w:tc>
          <w:tcPr>
            <w:tcW w:w="384" w:type="dxa"/>
            <w:tcBorders>
              <w:top w:val="nil"/>
              <w:left w:val="nil"/>
              <w:bottom w:val="single" w:sz="4" w:space="0" w:color="auto"/>
              <w:right w:val="single" w:sz="4" w:space="0" w:color="auto"/>
            </w:tcBorders>
            <w:shd w:val="clear" w:color="auto" w:fill="C6D9F1" w:themeFill="text2" w:themeFillTint="33"/>
            <w:noWrap/>
            <w:tcMar>
              <w:left w:w="0" w:type="dxa"/>
              <w:right w:w="0" w:type="dxa"/>
            </w:tcMar>
            <w:vAlign w:val="bottom"/>
            <w:hideMark/>
          </w:tcPr>
          <w:p w:rsidR="00123DC4" w:rsidRPr="00970583" w:rsidRDefault="00123DC4" w:rsidP="00132057">
            <w:pPr>
              <w:keepNext/>
              <w:keepLines/>
              <w:jc w:val="center"/>
              <w:rPr>
                <w:rFonts w:cs="Arial"/>
                <w:b/>
                <w:bCs/>
                <w:color w:val="000000"/>
                <w:sz w:val="16"/>
                <w:szCs w:val="16"/>
              </w:rPr>
            </w:pPr>
            <w:r w:rsidRPr="00970583">
              <w:rPr>
                <w:rFonts w:cs="Arial"/>
                <w:b/>
                <w:bCs/>
                <w:sz w:val="16"/>
                <w:szCs w:val="16"/>
              </w:rPr>
              <w:t>Q2</w:t>
            </w:r>
          </w:p>
        </w:tc>
        <w:tc>
          <w:tcPr>
            <w:tcW w:w="384" w:type="dxa"/>
            <w:tcBorders>
              <w:top w:val="nil"/>
              <w:left w:val="nil"/>
              <w:bottom w:val="single" w:sz="4" w:space="0" w:color="auto"/>
              <w:right w:val="single" w:sz="4" w:space="0" w:color="auto"/>
            </w:tcBorders>
            <w:shd w:val="clear" w:color="auto" w:fill="C6D9F1" w:themeFill="text2" w:themeFillTint="33"/>
            <w:noWrap/>
            <w:tcMar>
              <w:left w:w="0" w:type="dxa"/>
              <w:right w:w="0" w:type="dxa"/>
            </w:tcMar>
            <w:vAlign w:val="bottom"/>
            <w:hideMark/>
          </w:tcPr>
          <w:p w:rsidR="00123DC4" w:rsidRPr="00970583" w:rsidRDefault="00123DC4" w:rsidP="00132057">
            <w:pPr>
              <w:keepNext/>
              <w:keepLines/>
              <w:jc w:val="center"/>
              <w:rPr>
                <w:rFonts w:cs="Arial"/>
                <w:b/>
                <w:bCs/>
                <w:color w:val="000000"/>
                <w:sz w:val="16"/>
                <w:szCs w:val="16"/>
              </w:rPr>
            </w:pPr>
            <w:r w:rsidRPr="00970583">
              <w:rPr>
                <w:rFonts w:cs="Arial"/>
                <w:b/>
                <w:bCs/>
                <w:sz w:val="16"/>
                <w:szCs w:val="16"/>
              </w:rPr>
              <w:t>Q3</w:t>
            </w:r>
          </w:p>
        </w:tc>
        <w:tc>
          <w:tcPr>
            <w:tcW w:w="384" w:type="dxa"/>
            <w:gridSpan w:val="2"/>
            <w:tcBorders>
              <w:top w:val="nil"/>
              <w:left w:val="nil"/>
              <w:bottom w:val="single" w:sz="4" w:space="0" w:color="auto"/>
              <w:right w:val="single" w:sz="8" w:space="0" w:color="auto"/>
            </w:tcBorders>
            <w:shd w:val="clear" w:color="auto" w:fill="C6D9F1" w:themeFill="text2" w:themeFillTint="33"/>
            <w:noWrap/>
            <w:tcMar>
              <w:left w:w="0" w:type="dxa"/>
              <w:right w:w="0" w:type="dxa"/>
            </w:tcMar>
            <w:vAlign w:val="bottom"/>
            <w:hideMark/>
          </w:tcPr>
          <w:p w:rsidR="00123DC4" w:rsidRPr="00970583" w:rsidRDefault="00123DC4" w:rsidP="00132057">
            <w:pPr>
              <w:keepNext/>
              <w:keepLines/>
              <w:jc w:val="center"/>
              <w:rPr>
                <w:rFonts w:cs="Arial"/>
                <w:b/>
                <w:bCs/>
                <w:color w:val="000000"/>
                <w:sz w:val="16"/>
                <w:szCs w:val="16"/>
              </w:rPr>
            </w:pPr>
            <w:r w:rsidRPr="00970583">
              <w:rPr>
                <w:rFonts w:cs="Arial"/>
                <w:b/>
                <w:bCs/>
                <w:sz w:val="16"/>
                <w:szCs w:val="16"/>
              </w:rPr>
              <w:t>Q4</w:t>
            </w:r>
          </w:p>
        </w:tc>
        <w:tc>
          <w:tcPr>
            <w:tcW w:w="384" w:type="dxa"/>
            <w:tcBorders>
              <w:top w:val="nil"/>
              <w:left w:val="nil"/>
              <w:bottom w:val="single" w:sz="4" w:space="0" w:color="auto"/>
              <w:right w:val="single" w:sz="4" w:space="0" w:color="auto"/>
            </w:tcBorders>
            <w:shd w:val="clear" w:color="auto" w:fill="C6D9F1" w:themeFill="text2" w:themeFillTint="33"/>
            <w:noWrap/>
            <w:tcMar>
              <w:left w:w="0" w:type="dxa"/>
              <w:right w:w="0" w:type="dxa"/>
            </w:tcMar>
            <w:vAlign w:val="bottom"/>
            <w:hideMark/>
          </w:tcPr>
          <w:p w:rsidR="00123DC4" w:rsidRPr="00970583" w:rsidRDefault="00123DC4" w:rsidP="00132057">
            <w:pPr>
              <w:keepNext/>
              <w:keepLines/>
              <w:jc w:val="center"/>
              <w:rPr>
                <w:rFonts w:cs="Arial"/>
                <w:b/>
                <w:bCs/>
                <w:color w:val="000000"/>
                <w:sz w:val="16"/>
                <w:szCs w:val="16"/>
              </w:rPr>
            </w:pPr>
            <w:r w:rsidRPr="00970583">
              <w:rPr>
                <w:rFonts w:cs="Arial"/>
                <w:b/>
                <w:bCs/>
                <w:color w:val="000000"/>
                <w:sz w:val="16"/>
                <w:szCs w:val="16"/>
              </w:rPr>
              <w:t>Q1</w:t>
            </w:r>
          </w:p>
        </w:tc>
        <w:tc>
          <w:tcPr>
            <w:tcW w:w="352" w:type="dxa"/>
            <w:tcBorders>
              <w:top w:val="nil"/>
              <w:left w:val="nil"/>
              <w:bottom w:val="single" w:sz="4" w:space="0" w:color="auto"/>
              <w:right w:val="single" w:sz="4" w:space="0" w:color="auto"/>
            </w:tcBorders>
            <w:shd w:val="clear" w:color="auto" w:fill="C6D9F1" w:themeFill="text2" w:themeFillTint="33"/>
            <w:noWrap/>
            <w:tcMar>
              <w:left w:w="0" w:type="dxa"/>
              <w:right w:w="0" w:type="dxa"/>
            </w:tcMar>
            <w:vAlign w:val="bottom"/>
            <w:hideMark/>
          </w:tcPr>
          <w:p w:rsidR="00123DC4" w:rsidRPr="00970583" w:rsidRDefault="00123DC4" w:rsidP="00132057">
            <w:pPr>
              <w:keepNext/>
              <w:keepLines/>
              <w:jc w:val="center"/>
              <w:rPr>
                <w:rFonts w:cs="Arial"/>
                <w:b/>
                <w:bCs/>
                <w:color w:val="000000"/>
                <w:sz w:val="16"/>
                <w:szCs w:val="16"/>
              </w:rPr>
            </w:pPr>
            <w:r w:rsidRPr="00970583">
              <w:rPr>
                <w:rFonts w:cs="Arial"/>
                <w:b/>
                <w:bCs/>
                <w:color w:val="000000"/>
                <w:sz w:val="16"/>
                <w:szCs w:val="16"/>
              </w:rPr>
              <w:t>Q2</w:t>
            </w:r>
          </w:p>
        </w:tc>
        <w:tc>
          <w:tcPr>
            <w:tcW w:w="384" w:type="dxa"/>
            <w:tcBorders>
              <w:top w:val="nil"/>
              <w:left w:val="nil"/>
              <w:bottom w:val="single" w:sz="4" w:space="0" w:color="auto"/>
              <w:right w:val="single" w:sz="4" w:space="0" w:color="auto"/>
            </w:tcBorders>
            <w:shd w:val="clear" w:color="auto" w:fill="C6D9F1" w:themeFill="text2" w:themeFillTint="33"/>
            <w:noWrap/>
            <w:tcMar>
              <w:left w:w="0" w:type="dxa"/>
              <w:right w:w="0" w:type="dxa"/>
            </w:tcMar>
            <w:vAlign w:val="bottom"/>
            <w:hideMark/>
          </w:tcPr>
          <w:p w:rsidR="00123DC4" w:rsidRPr="00970583" w:rsidRDefault="00123DC4" w:rsidP="00132057">
            <w:pPr>
              <w:keepNext/>
              <w:keepLines/>
              <w:jc w:val="center"/>
              <w:rPr>
                <w:rFonts w:cs="Arial"/>
                <w:b/>
                <w:bCs/>
                <w:color w:val="000000"/>
                <w:sz w:val="16"/>
                <w:szCs w:val="16"/>
              </w:rPr>
            </w:pPr>
            <w:r w:rsidRPr="00970583">
              <w:rPr>
                <w:rFonts w:cs="Arial"/>
                <w:b/>
                <w:bCs/>
                <w:color w:val="000000"/>
                <w:sz w:val="16"/>
                <w:szCs w:val="16"/>
              </w:rPr>
              <w:t>Q3</w:t>
            </w:r>
          </w:p>
        </w:tc>
        <w:tc>
          <w:tcPr>
            <w:tcW w:w="384" w:type="dxa"/>
            <w:tcBorders>
              <w:top w:val="nil"/>
              <w:left w:val="nil"/>
              <w:bottom w:val="single" w:sz="4" w:space="0" w:color="auto"/>
              <w:right w:val="single" w:sz="8" w:space="0" w:color="auto"/>
            </w:tcBorders>
            <w:shd w:val="clear" w:color="auto" w:fill="C6D9F1" w:themeFill="text2" w:themeFillTint="33"/>
            <w:noWrap/>
            <w:tcMar>
              <w:left w:w="0" w:type="dxa"/>
              <w:right w:w="0" w:type="dxa"/>
            </w:tcMar>
            <w:vAlign w:val="bottom"/>
            <w:hideMark/>
          </w:tcPr>
          <w:p w:rsidR="00123DC4" w:rsidRPr="00970583" w:rsidRDefault="00123DC4" w:rsidP="00132057">
            <w:pPr>
              <w:keepNext/>
              <w:keepLines/>
              <w:jc w:val="center"/>
              <w:rPr>
                <w:rFonts w:cs="Arial"/>
                <w:b/>
                <w:bCs/>
                <w:color w:val="000000"/>
                <w:sz w:val="16"/>
                <w:szCs w:val="16"/>
              </w:rPr>
            </w:pPr>
            <w:r w:rsidRPr="00970583">
              <w:rPr>
                <w:rFonts w:cs="Arial"/>
                <w:b/>
                <w:bCs/>
                <w:color w:val="000000"/>
                <w:sz w:val="16"/>
                <w:szCs w:val="16"/>
              </w:rPr>
              <w:t>Q4</w:t>
            </w:r>
          </w:p>
        </w:tc>
        <w:tc>
          <w:tcPr>
            <w:tcW w:w="385" w:type="dxa"/>
            <w:gridSpan w:val="2"/>
            <w:tcBorders>
              <w:top w:val="nil"/>
              <w:left w:val="nil"/>
              <w:bottom w:val="single" w:sz="4" w:space="0" w:color="auto"/>
              <w:right w:val="single" w:sz="4" w:space="0" w:color="auto"/>
            </w:tcBorders>
            <w:shd w:val="clear" w:color="auto" w:fill="C6D9F1" w:themeFill="text2" w:themeFillTint="33"/>
            <w:noWrap/>
            <w:tcMar>
              <w:left w:w="0" w:type="dxa"/>
              <w:right w:w="0" w:type="dxa"/>
            </w:tcMar>
            <w:vAlign w:val="bottom"/>
            <w:hideMark/>
          </w:tcPr>
          <w:p w:rsidR="00123DC4" w:rsidRPr="00970583" w:rsidRDefault="00123DC4" w:rsidP="00132057">
            <w:pPr>
              <w:keepNext/>
              <w:keepLines/>
              <w:jc w:val="center"/>
              <w:rPr>
                <w:rFonts w:cs="Arial"/>
                <w:b/>
                <w:bCs/>
                <w:color w:val="000000"/>
                <w:sz w:val="16"/>
                <w:szCs w:val="16"/>
              </w:rPr>
            </w:pPr>
            <w:r w:rsidRPr="00970583">
              <w:rPr>
                <w:rFonts w:cs="Arial"/>
                <w:b/>
                <w:bCs/>
                <w:color w:val="000000"/>
                <w:sz w:val="16"/>
                <w:szCs w:val="16"/>
              </w:rPr>
              <w:t>Q1</w:t>
            </w:r>
          </w:p>
        </w:tc>
        <w:tc>
          <w:tcPr>
            <w:tcW w:w="385" w:type="dxa"/>
            <w:tcBorders>
              <w:top w:val="nil"/>
              <w:left w:val="nil"/>
              <w:bottom w:val="single" w:sz="4" w:space="0" w:color="auto"/>
              <w:right w:val="single" w:sz="4" w:space="0" w:color="auto"/>
            </w:tcBorders>
            <w:shd w:val="clear" w:color="auto" w:fill="C6D9F1" w:themeFill="text2" w:themeFillTint="33"/>
            <w:noWrap/>
            <w:tcMar>
              <w:left w:w="0" w:type="dxa"/>
              <w:right w:w="0" w:type="dxa"/>
            </w:tcMar>
            <w:vAlign w:val="bottom"/>
            <w:hideMark/>
          </w:tcPr>
          <w:p w:rsidR="00123DC4" w:rsidRPr="00970583" w:rsidRDefault="00123DC4" w:rsidP="00132057">
            <w:pPr>
              <w:keepNext/>
              <w:keepLines/>
              <w:jc w:val="center"/>
              <w:rPr>
                <w:rFonts w:cs="Arial"/>
                <w:b/>
                <w:bCs/>
                <w:color w:val="000000"/>
                <w:sz w:val="16"/>
                <w:szCs w:val="16"/>
              </w:rPr>
            </w:pPr>
            <w:r w:rsidRPr="00970583">
              <w:rPr>
                <w:rFonts w:cs="Arial"/>
                <w:b/>
                <w:bCs/>
                <w:color w:val="000000"/>
                <w:sz w:val="16"/>
                <w:szCs w:val="16"/>
              </w:rPr>
              <w:t>Q2</w:t>
            </w:r>
          </w:p>
        </w:tc>
        <w:tc>
          <w:tcPr>
            <w:tcW w:w="385" w:type="dxa"/>
            <w:tcBorders>
              <w:top w:val="nil"/>
              <w:left w:val="nil"/>
              <w:bottom w:val="single" w:sz="4" w:space="0" w:color="auto"/>
              <w:right w:val="single" w:sz="4" w:space="0" w:color="auto"/>
            </w:tcBorders>
            <w:shd w:val="clear" w:color="auto" w:fill="C6D9F1" w:themeFill="text2" w:themeFillTint="33"/>
            <w:noWrap/>
            <w:tcMar>
              <w:left w:w="0" w:type="dxa"/>
              <w:right w:w="0" w:type="dxa"/>
            </w:tcMar>
            <w:vAlign w:val="bottom"/>
            <w:hideMark/>
          </w:tcPr>
          <w:p w:rsidR="00123DC4" w:rsidRPr="00970583" w:rsidRDefault="00123DC4" w:rsidP="00132057">
            <w:pPr>
              <w:keepNext/>
              <w:keepLines/>
              <w:jc w:val="center"/>
              <w:rPr>
                <w:rFonts w:cs="Arial"/>
                <w:b/>
                <w:bCs/>
                <w:color w:val="000000"/>
                <w:sz w:val="16"/>
                <w:szCs w:val="16"/>
              </w:rPr>
            </w:pPr>
            <w:r w:rsidRPr="00970583">
              <w:rPr>
                <w:rFonts w:cs="Arial"/>
                <w:b/>
                <w:bCs/>
                <w:color w:val="000000"/>
                <w:sz w:val="16"/>
                <w:szCs w:val="16"/>
              </w:rPr>
              <w:t>Q3</w:t>
            </w:r>
          </w:p>
        </w:tc>
        <w:tc>
          <w:tcPr>
            <w:tcW w:w="385" w:type="dxa"/>
            <w:tcBorders>
              <w:top w:val="nil"/>
              <w:left w:val="nil"/>
              <w:bottom w:val="single" w:sz="4" w:space="0" w:color="auto"/>
              <w:right w:val="single" w:sz="8" w:space="0" w:color="auto"/>
            </w:tcBorders>
            <w:shd w:val="clear" w:color="auto" w:fill="C6D9F1" w:themeFill="text2" w:themeFillTint="33"/>
            <w:noWrap/>
            <w:tcMar>
              <w:left w:w="0" w:type="dxa"/>
              <w:right w:w="0" w:type="dxa"/>
            </w:tcMar>
            <w:vAlign w:val="bottom"/>
            <w:hideMark/>
          </w:tcPr>
          <w:p w:rsidR="00123DC4" w:rsidRPr="00970583" w:rsidRDefault="00123DC4" w:rsidP="00132057">
            <w:pPr>
              <w:keepNext/>
              <w:keepLines/>
              <w:jc w:val="center"/>
              <w:rPr>
                <w:rFonts w:cs="Arial"/>
                <w:b/>
                <w:bCs/>
                <w:color w:val="000000"/>
                <w:sz w:val="16"/>
                <w:szCs w:val="16"/>
              </w:rPr>
            </w:pPr>
            <w:r w:rsidRPr="00970583">
              <w:rPr>
                <w:rFonts w:cs="Arial"/>
                <w:b/>
                <w:bCs/>
                <w:color w:val="000000"/>
                <w:sz w:val="16"/>
                <w:szCs w:val="16"/>
              </w:rPr>
              <w:t>Q4</w:t>
            </w:r>
          </w:p>
        </w:tc>
        <w:tc>
          <w:tcPr>
            <w:tcW w:w="385" w:type="dxa"/>
            <w:gridSpan w:val="2"/>
            <w:tcBorders>
              <w:top w:val="nil"/>
              <w:left w:val="nil"/>
              <w:bottom w:val="single" w:sz="4" w:space="0" w:color="auto"/>
              <w:right w:val="single" w:sz="4" w:space="0" w:color="auto"/>
            </w:tcBorders>
            <w:shd w:val="clear" w:color="auto" w:fill="C6D9F1" w:themeFill="text2" w:themeFillTint="33"/>
            <w:noWrap/>
            <w:tcMar>
              <w:left w:w="0" w:type="dxa"/>
              <w:right w:w="0" w:type="dxa"/>
            </w:tcMar>
            <w:vAlign w:val="bottom"/>
            <w:hideMark/>
          </w:tcPr>
          <w:p w:rsidR="00123DC4" w:rsidRPr="00970583" w:rsidRDefault="00123DC4" w:rsidP="00132057">
            <w:pPr>
              <w:keepNext/>
              <w:keepLines/>
              <w:jc w:val="center"/>
              <w:rPr>
                <w:rFonts w:cs="Arial"/>
                <w:b/>
                <w:bCs/>
                <w:color w:val="000000"/>
                <w:sz w:val="16"/>
                <w:szCs w:val="16"/>
              </w:rPr>
            </w:pPr>
            <w:r w:rsidRPr="00970583">
              <w:rPr>
                <w:rFonts w:cs="Arial"/>
                <w:b/>
                <w:bCs/>
                <w:color w:val="000000"/>
                <w:sz w:val="16"/>
                <w:szCs w:val="16"/>
              </w:rPr>
              <w:t>Q1</w:t>
            </w:r>
          </w:p>
        </w:tc>
        <w:tc>
          <w:tcPr>
            <w:tcW w:w="385" w:type="dxa"/>
            <w:tcBorders>
              <w:top w:val="nil"/>
              <w:left w:val="nil"/>
              <w:bottom w:val="single" w:sz="4" w:space="0" w:color="auto"/>
              <w:right w:val="single" w:sz="4" w:space="0" w:color="auto"/>
            </w:tcBorders>
            <w:shd w:val="clear" w:color="auto" w:fill="C6D9F1" w:themeFill="text2" w:themeFillTint="33"/>
            <w:noWrap/>
            <w:tcMar>
              <w:left w:w="0" w:type="dxa"/>
              <w:right w:w="0" w:type="dxa"/>
            </w:tcMar>
            <w:vAlign w:val="bottom"/>
            <w:hideMark/>
          </w:tcPr>
          <w:p w:rsidR="00123DC4" w:rsidRPr="00970583" w:rsidRDefault="00123DC4" w:rsidP="00132057">
            <w:pPr>
              <w:keepNext/>
              <w:keepLines/>
              <w:jc w:val="center"/>
              <w:rPr>
                <w:rFonts w:cs="Arial"/>
                <w:b/>
                <w:bCs/>
                <w:color w:val="000000"/>
                <w:sz w:val="16"/>
                <w:szCs w:val="16"/>
              </w:rPr>
            </w:pPr>
            <w:r w:rsidRPr="00970583">
              <w:rPr>
                <w:rFonts w:cs="Arial"/>
                <w:b/>
                <w:bCs/>
                <w:color w:val="000000"/>
                <w:sz w:val="16"/>
                <w:szCs w:val="16"/>
              </w:rPr>
              <w:t>Q2</w:t>
            </w:r>
          </w:p>
        </w:tc>
        <w:tc>
          <w:tcPr>
            <w:tcW w:w="385" w:type="dxa"/>
            <w:tcBorders>
              <w:top w:val="nil"/>
              <w:left w:val="nil"/>
              <w:bottom w:val="single" w:sz="4" w:space="0" w:color="auto"/>
              <w:right w:val="single" w:sz="4" w:space="0" w:color="auto"/>
            </w:tcBorders>
            <w:shd w:val="clear" w:color="auto" w:fill="C6D9F1" w:themeFill="text2" w:themeFillTint="33"/>
            <w:noWrap/>
            <w:tcMar>
              <w:left w:w="0" w:type="dxa"/>
              <w:right w:w="0" w:type="dxa"/>
            </w:tcMar>
            <w:vAlign w:val="bottom"/>
            <w:hideMark/>
          </w:tcPr>
          <w:p w:rsidR="00123DC4" w:rsidRPr="00970583" w:rsidRDefault="00123DC4" w:rsidP="00132057">
            <w:pPr>
              <w:keepNext/>
              <w:keepLines/>
              <w:jc w:val="center"/>
              <w:rPr>
                <w:rFonts w:cs="Arial"/>
                <w:b/>
                <w:bCs/>
                <w:color w:val="000000"/>
                <w:sz w:val="16"/>
                <w:szCs w:val="16"/>
              </w:rPr>
            </w:pPr>
            <w:r w:rsidRPr="00970583">
              <w:rPr>
                <w:rFonts w:cs="Arial"/>
                <w:b/>
                <w:bCs/>
                <w:color w:val="000000"/>
                <w:sz w:val="16"/>
                <w:szCs w:val="16"/>
              </w:rPr>
              <w:t>Q3</w:t>
            </w:r>
          </w:p>
        </w:tc>
        <w:tc>
          <w:tcPr>
            <w:tcW w:w="385" w:type="dxa"/>
            <w:tcBorders>
              <w:top w:val="nil"/>
              <w:left w:val="nil"/>
              <w:bottom w:val="single" w:sz="4" w:space="0" w:color="auto"/>
              <w:right w:val="single" w:sz="8" w:space="0" w:color="auto"/>
            </w:tcBorders>
            <w:shd w:val="clear" w:color="auto" w:fill="C6D9F1" w:themeFill="text2" w:themeFillTint="33"/>
            <w:noWrap/>
            <w:tcMar>
              <w:left w:w="0" w:type="dxa"/>
              <w:right w:w="0" w:type="dxa"/>
            </w:tcMar>
            <w:vAlign w:val="bottom"/>
            <w:hideMark/>
          </w:tcPr>
          <w:p w:rsidR="00123DC4" w:rsidRPr="00970583" w:rsidRDefault="00123DC4" w:rsidP="00132057">
            <w:pPr>
              <w:keepNext/>
              <w:keepLines/>
              <w:jc w:val="center"/>
              <w:rPr>
                <w:rFonts w:cs="Arial"/>
                <w:b/>
                <w:bCs/>
                <w:color w:val="000000"/>
                <w:sz w:val="16"/>
                <w:szCs w:val="16"/>
              </w:rPr>
            </w:pPr>
            <w:r w:rsidRPr="00970583">
              <w:rPr>
                <w:rFonts w:cs="Arial"/>
                <w:b/>
                <w:bCs/>
                <w:color w:val="000000"/>
                <w:sz w:val="16"/>
                <w:szCs w:val="16"/>
              </w:rPr>
              <w:t>Q4</w:t>
            </w:r>
          </w:p>
        </w:tc>
        <w:tc>
          <w:tcPr>
            <w:tcW w:w="347" w:type="dxa"/>
            <w:gridSpan w:val="2"/>
            <w:tcBorders>
              <w:top w:val="nil"/>
              <w:left w:val="nil"/>
              <w:bottom w:val="single" w:sz="4" w:space="0" w:color="auto"/>
              <w:right w:val="single" w:sz="8" w:space="0" w:color="auto"/>
            </w:tcBorders>
            <w:shd w:val="clear" w:color="auto" w:fill="C6D9F1" w:themeFill="text2" w:themeFillTint="33"/>
            <w:tcMar>
              <w:left w:w="0" w:type="dxa"/>
              <w:right w:w="0" w:type="dxa"/>
            </w:tcMar>
            <w:vAlign w:val="bottom"/>
          </w:tcPr>
          <w:p w:rsidR="00123DC4" w:rsidRPr="00970583" w:rsidRDefault="00123DC4" w:rsidP="00132057">
            <w:pPr>
              <w:keepNext/>
              <w:keepLines/>
              <w:jc w:val="center"/>
              <w:rPr>
                <w:rFonts w:cs="Arial"/>
                <w:b/>
                <w:bCs/>
                <w:color w:val="000000"/>
                <w:sz w:val="16"/>
                <w:szCs w:val="16"/>
              </w:rPr>
            </w:pPr>
            <w:r w:rsidRPr="00970583">
              <w:rPr>
                <w:rFonts w:cs="Arial"/>
                <w:b/>
                <w:bCs/>
                <w:color w:val="000000"/>
                <w:sz w:val="16"/>
                <w:szCs w:val="16"/>
              </w:rPr>
              <w:t>Q1</w:t>
            </w:r>
          </w:p>
        </w:tc>
        <w:tc>
          <w:tcPr>
            <w:tcW w:w="413" w:type="dxa"/>
            <w:tcBorders>
              <w:top w:val="nil"/>
              <w:left w:val="nil"/>
              <w:bottom w:val="single" w:sz="4" w:space="0" w:color="auto"/>
              <w:right w:val="single" w:sz="8" w:space="0" w:color="auto"/>
            </w:tcBorders>
            <w:shd w:val="clear" w:color="auto" w:fill="C6D9F1" w:themeFill="text2" w:themeFillTint="33"/>
            <w:tcMar>
              <w:left w:w="0" w:type="dxa"/>
              <w:right w:w="0" w:type="dxa"/>
            </w:tcMar>
            <w:vAlign w:val="bottom"/>
          </w:tcPr>
          <w:p w:rsidR="00123DC4" w:rsidRPr="00970583" w:rsidRDefault="00123DC4" w:rsidP="00132057">
            <w:pPr>
              <w:keepNext/>
              <w:keepLines/>
              <w:jc w:val="center"/>
              <w:rPr>
                <w:rFonts w:cs="Arial"/>
                <w:b/>
                <w:bCs/>
                <w:color w:val="000000"/>
                <w:sz w:val="16"/>
                <w:szCs w:val="16"/>
              </w:rPr>
            </w:pPr>
            <w:r w:rsidRPr="00970583">
              <w:rPr>
                <w:rFonts w:cs="Arial"/>
                <w:b/>
                <w:bCs/>
                <w:color w:val="000000"/>
                <w:sz w:val="16"/>
                <w:szCs w:val="16"/>
              </w:rPr>
              <w:t>Q2</w:t>
            </w:r>
          </w:p>
        </w:tc>
        <w:tc>
          <w:tcPr>
            <w:tcW w:w="350" w:type="dxa"/>
            <w:tcBorders>
              <w:top w:val="nil"/>
              <w:left w:val="nil"/>
              <w:bottom w:val="single" w:sz="4" w:space="0" w:color="auto"/>
              <w:right w:val="single" w:sz="8" w:space="0" w:color="auto"/>
            </w:tcBorders>
            <w:shd w:val="clear" w:color="auto" w:fill="C6D9F1" w:themeFill="text2" w:themeFillTint="33"/>
            <w:vAlign w:val="bottom"/>
          </w:tcPr>
          <w:p w:rsidR="00123DC4" w:rsidRPr="00970583" w:rsidRDefault="00123DC4" w:rsidP="00132057">
            <w:pPr>
              <w:keepNext/>
              <w:keepLines/>
              <w:jc w:val="center"/>
              <w:rPr>
                <w:rFonts w:cs="Arial"/>
                <w:b/>
                <w:bCs/>
                <w:color w:val="000000"/>
                <w:sz w:val="16"/>
                <w:szCs w:val="16"/>
              </w:rPr>
            </w:pPr>
            <w:r w:rsidRPr="00970583">
              <w:rPr>
                <w:rFonts w:cs="Arial"/>
                <w:b/>
                <w:bCs/>
                <w:color w:val="000000"/>
                <w:sz w:val="16"/>
                <w:szCs w:val="16"/>
              </w:rPr>
              <w:t>Q3</w:t>
            </w:r>
          </w:p>
        </w:tc>
        <w:tc>
          <w:tcPr>
            <w:tcW w:w="430" w:type="dxa"/>
            <w:tcBorders>
              <w:top w:val="nil"/>
              <w:left w:val="nil"/>
              <w:bottom w:val="single" w:sz="4" w:space="0" w:color="auto"/>
              <w:right w:val="single" w:sz="4" w:space="0" w:color="auto"/>
            </w:tcBorders>
            <w:shd w:val="clear" w:color="auto" w:fill="C6D9F1" w:themeFill="text2" w:themeFillTint="33"/>
            <w:vAlign w:val="bottom"/>
          </w:tcPr>
          <w:p w:rsidR="00123DC4" w:rsidRPr="00970583" w:rsidRDefault="00123DC4" w:rsidP="00132057">
            <w:pPr>
              <w:keepNext/>
              <w:keepLines/>
              <w:jc w:val="center"/>
              <w:rPr>
                <w:rFonts w:cs="Arial"/>
                <w:b/>
                <w:bCs/>
                <w:color w:val="000000"/>
                <w:sz w:val="16"/>
                <w:szCs w:val="16"/>
              </w:rPr>
            </w:pPr>
            <w:r w:rsidRPr="00970583">
              <w:rPr>
                <w:rFonts w:cs="Arial"/>
                <w:b/>
                <w:bCs/>
                <w:color w:val="000000"/>
                <w:sz w:val="16"/>
                <w:szCs w:val="16"/>
              </w:rPr>
              <w:t>Q4</w:t>
            </w:r>
          </w:p>
        </w:tc>
      </w:tr>
      <w:tr w:rsidR="00123DC4" w:rsidRPr="00EC7C86" w:rsidTr="00132057">
        <w:trPr>
          <w:trHeight w:val="512"/>
          <w:jc w:val="center"/>
        </w:trPr>
        <w:tc>
          <w:tcPr>
            <w:tcW w:w="1999" w:type="dxa"/>
            <w:tcBorders>
              <w:top w:val="nil"/>
              <w:left w:val="single" w:sz="4" w:space="0" w:color="auto"/>
              <w:bottom w:val="single" w:sz="4" w:space="0" w:color="auto"/>
              <w:right w:val="single" w:sz="8" w:space="0" w:color="auto"/>
            </w:tcBorders>
            <w:shd w:val="clear" w:color="auto" w:fill="auto"/>
            <w:noWrap/>
            <w:vAlign w:val="center"/>
            <w:hideMark/>
          </w:tcPr>
          <w:p w:rsidR="00123DC4" w:rsidRPr="006F1378" w:rsidRDefault="00123DC4" w:rsidP="00132057">
            <w:pPr>
              <w:autoSpaceDE w:val="0"/>
              <w:autoSpaceDN w:val="0"/>
              <w:adjustRightInd w:val="0"/>
              <w:spacing w:before="40" w:after="40"/>
              <w:rPr>
                <w:rFonts w:cs="Arial"/>
                <w:color w:val="000000"/>
                <w:sz w:val="16"/>
                <w:szCs w:val="16"/>
              </w:rPr>
            </w:pPr>
            <w:r w:rsidRPr="006F1378">
              <w:rPr>
                <w:color w:val="000000"/>
                <w:sz w:val="16"/>
                <w:szCs w:val="16"/>
              </w:rPr>
              <w:t>Call for expressions of interest pilot/architect</w:t>
            </w:r>
          </w:p>
        </w:tc>
        <w:tc>
          <w:tcPr>
            <w:tcW w:w="391" w:type="dxa"/>
            <w:tcBorders>
              <w:top w:val="nil"/>
              <w:left w:val="nil"/>
              <w:bottom w:val="single" w:sz="4" w:space="0" w:color="auto"/>
              <w:right w:val="single" w:sz="4" w:space="0" w:color="auto"/>
            </w:tcBorders>
            <w:shd w:val="clear" w:color="auto" w:fill="auto"/>
            <w:noWrap/>
            <w:tcMar>
              <w:left w:w="0" w:type="dxa"/>
              <w:right w:w="0" w:type="dxa"/>
            </w:tcMar>
            <w:vAlign w:val="center"/>
            <w:hideMark/>
          </w:tcPr>
          <w:p w:rsidR="00123DC4" w:rsidRPr="00EC7C86" w:rsidRDefault="00123DC4" w:rsidP="00132057">
            <w:pPr>
              <w:jc w:val="center"/>
              <w:rPr>
                <w:rFonts w:cs="Arial"/>
                <w:sz w:val="16"/>
                <w:szCs w:val="16"/>
              </w:rPr>
            </w:pPr>
          </w:p>
        </w:tc>
        <w:tc>
          <w:tcPr>
            <w:tcW w:w="384" w:type="dxa"/>
            <w:tcBorders>
              <w:top w:val="nil"/>
              <w:left w:val="nil"/>
              <w:bottom w:val="single" w:sz="4" w:space="0" w:color="auto"/>
              <w:right w:val="single" w:sz="4" w:space="0" w:color="auto"/>
            </w:tcBorders>
            <w:shd w:val="clear" w:color="auto" w:fill="auto"/>
            <w:noWrap/>
            <w:tcMar>
              <w:left w:w="0" w:type="dxa"/>
              <w:right w:w="0" w:type="dxa"/>
            </w:tcMar>
            <w:vAlign w:val="center"/>
            <w:hideMark/>
          </w:tcPr>
          <w:p w:rsidR="00123DC4" w:rsidRPr="00EC7C86" w:rsidRDefault="00123DC4" w:rsidP="00132057">
            <w:pPr>
              <w:jc w:val="center"/>
              <w:rPr>
                <w:rFonts w:cs="Arial"/>
                <w:sz w:val="16"/>
                <w:szCs w:val="16"/>
              </w:rPr>
            </w:pPr>
          </w:p>
        </w:tc>
        <w:tc>
          <w:tcPr>
            <w:tcW w:w="384" w:type="dxa"/>
            <w:tcBorders>
              <w:top w:val="nil"/>
              <w:left w:val="nil"/>
              <w:bottom w:val="single" w:sz="4" w:space="0" w:color="auto"/>
              <w:right w:val="single" w:sz="4" w:space="0" w:color="auto"/>
            </w:tcBorders>
            <w:shd w:val="clear" w:color="auto" w:fill="auto"/>
            <w:noWrap/>
            <w:tcMar>
              <w:left w:w="0" w:type="dxa"/>
              <w:right w:w="0" w:type="dxa"/>
            </w:tcMar>
            <w:vAlign w:val="center"/>
            <w:hideMark/>
          </w:tcPr>
          <w:p w:rsidR="00123DC4" w:rsidRPr="00EC7C86" w:rsidRDefault="00123DC4" w:rsidP="00132057">
            <w:pPr>
              <w:jc w:val="center"/>
              <w:rPr>
                <w:rFonts w:cs="Arial"/>
                <w:sz w:val="16"/>
                <w:szCs w:val="16"/>
              </w:rPr>
            </w:pPr>
          </w:p>
        </w:tc>
        <w:tc>
          <w:tcPr>
            <w:tcW w:w="384" w:type="dxa"/>
            <w:gridSpan w:val="2"/>
            <w:tcBorders>
              <w:top w:val="nil"/>
              <w:left w:val="nil"/>
              <w:bottom w:val="single" w:sz="4" w:space="0" w:color="auto"/>
              <w:right w:val="single" w:sz="8" w:space="0" w:color="auto"/>
            </w:tcBorders>
            <w:shd w:val="clear" w:color="auto" w:fill="auto"/>
            <w:noWrap/>
            <w:tcMar>
              <w:left w:w="0" w:type="dxa"/>
              <w:right w:w="0" w:type="dxa"/>
            </w:tcMar>
            <w:vAlign w:val="center"/>
            <w:hideMark/>
          </w:tcPr>
          <w:p w:rsidR="00123DC4" w:rsidRPr="00EC7C86" w:rsidRDefault="00123DC4" w:rsidP="00132057">
            <w:pPr>
              <w:jc w:val="center"/>
              <w:rPr>
                <w:rFonts w:cs="Arial"/>
                <w:sz w:val="16"/>
                <w:szCs w:val="16"/>
              </w:rPr>
            </w:pPr>
            <w:r w:rsidRPr="00EC7C86">
              <w:rPr>
                <w:rFonts w:cs="Arial"/>
                <w:sz w:val="16"/>
                <w:szCs w:val="16"/>
              </w:rPr>
              <w:t>X</w:t>
            </w:r>
          </w:p>
        </w:tc>
        <w:tc>
          <w:tcPr>
            <w:tcW w:w="384" w:type="dxa"/>
            <w:tcBorders>
              <w:top w:val="nil"/>
              <w:left w:val="nil"/>
              <w:bottom w:val="single" w:sz="4" w:space="0" w:color="auto"/>
              <w:right w:val="single" w:sz="4" w:space="0" w:color="auto"/>
            </w:tcBorders>
            <w:shd w:val="clear" w:color="auto" w:fill="auto"/>
            <w:noWrap/>
            <w:tcMar>
              <w:left w:w="0" w:type="dxa"/>
              <w:right w:w="0" w:type="dxa"/>
            </w:tcMar>
            <w:vAlign w:val="center"/>
            <w:hideMark/>
          </w:tcPr>
          <w:p w:rsidR="00123DC4" w:rsidRPr="00EC7C86" w:rsidRDefault="00123DC4" w:rsidP="00132057">
            <w:pPr>
              <w:jc w:val="center"/>
              <w:rPr>
                <w:rFonts w:cs="Arial"/>
                <w:sz w:val="16"/>
                <w:szCs w:val="16"/>
              </w:rPr>
            </w:pPr>
          </w:p>
        </w:tc>
        <w:tc>
          <w:tcPr>
            <w:tcW w:w="352" w:type="dxa"/>
            <w:tcBorders>
              <w:top w:val="nil"/>
              <w:left w:val="nil"/>
              <w:bottom w:val="single" w:sz="4" w:space="0" w:color="auto"/>
              <w:right w:val="single" w:sz="4" w:space="0" w:color="auto"/>
            </w:tcBorders>
            <w:shd w:val="clear" w:color="auto" w:fill="auto"/>
            <w:noWrap/>
            <w:tcMar>
              <w:left w:w="0" w:type="dxa"/>
              <w:right w:w="0" w:type="dxa"/>
            </w:tcMar>
            <w:vAlign w:val="center"/>
            <w:hideMark/>
          </w:tcPr>
          <w:p w:rsidR="00123DC4" w:rsidRPr="00EC7C86" w:rsidRDefault="00123DC4" w:rsidP="00132057">
            <w:pPr>
              <w:jc w:val="center"/>
              <w:rPr>
                <w:rFonts w:cs="Arial"/>
                <w:sz w:val="16"/>
                <w:szCs w:val="16"/>
              </w:rPr>
            </w:pPr>
          </w:p>
        </w:tc>
        <w:tc>
          <w:tcPr>
            <w:tcW w:w="384" w:type="dxa"/>
            <w:tcBorders>
              <w:top w:val="nil"/>
              <w:left w:val="nil"/>
              <w:bottom w:val="single" w:sz="4" w:space="0" w:color="auto"/>
              <w:right w:val="single" w:sz="4" w:space="0" w:color="auto"/>
            </w:tcBorders>
            <w:shd w:val="clear" w:color="auto" w:fill="auto"/>
            <w:noWrap/>
            <w:tcMar>
              <w:left w:w="0" w:type="dxa"/>
              <w:right w:w="0" w:type="dxa"/>
            </w:tcMar>
            <w:vAlign w:val="center"/>
            <w:hideMark/>
          </w:tcPr>
          <w:p w:rsidR="00123DC4" w:rsidRPr="00EC7C86" w:rsidRDefault="00123DC4" w:rsidP="00132057">
            <w:pPr>
              <w:jc w:val="center"/>
              <w:rPr>
                <w:rFonts w:cs="Arial"/>
                <w:sz w:val="16"/>
                <w:szCs w:val="16"/>
              </w:rPr>
            </w:pPr>
          </w:p>
        </w:tc>
        <w:tc>
          <w:tcPr>
            <w:tcW w:w="384" w:type="dxa"/>
            <w:tcBorders>
              <w:top w:val="nil"/>
              <w:left w:val="nil"/>
              <w:bottom w:val="single" w:sz="4" w:space="0" w:color="auto"/>
              <w:right w:val="single" w:sz="8" w:space="0" w:color="auto"/>
            </w:tcBorders>
            <w:shd w:val="clear" w:color="auto" w:fill="auto"/>
            <w:noWrap/>
            <w:tcMar>
              <w:left w:w="0" w:type="dxa"/>
              <w:right w:w="0" w:type="dxa"/>
            </w:tcMar>
            <w:vAlign w:val="center"/>
            <w:hideMark/>
          </w:tcPr>
          <w:p w:rsidR="00123DC4" w:rsidRPr="00EC7C86" w:rsidRDefault="00123DC4" w:rsidP="00132057">
            <w:pPr>
              <w:jc w:val="center"/>
              <w:rPr>
                <w:rFonts w:cs="Arial"/>
                <w:sz w:val="16"/>
                <w:szCs w:val="16"/>
              </w:rPr>
            </w:pPr>
          </w:p>
        </w:tc>
        <w:tc>
          <w:tcPr>
            <w:tcW w:w="385" w:type="dxa"/>
            <w:gridSpan w:val="2"/>
            <w:tcBorders>
              <w:top w:val="nil"/>
              <w:left w:val="nil"/>
              <w:bottom w:val="single" w:sz="4" w:space="0" w:color="auto"/>
              <w:right w:val="single" w:sz="4" w:space="0" w:color="auto"/>
            </w:tcBorders>
            <w:shd w:val="clear" w:color="auto" w:fill="auto"/>
            <w:noWrap/>
            <w:tcMar>
              <w:left w:w="0" w:type="dxa"/>
              <w:right w:w="0" w:type="dxa"/>
            </w:tcMar>
            <w:vAlign w:val="center"/>
            <w:hideMark/>
          </w:tcPr>
          <w:p w:rsidR="00123DC4" w:rsidRPr="00EC7C86" w:rsidRDefault="00123DC4" w:rsidP="00132057">
            <w:pPr>
              <w:jc w:val="center"/>
              <w:rPr>
                <w:rFonts w:cs="Arial"/>
                <w:sz w:val="16"/>
                <w:szCs w:val="16"/>
              </w:rPr>
            </w:pPr>
          </w:p>
        </w:tc>
        <w:tc>
          <w:tcPr>
            <w:tcW w:w="385" w:type="dxa"/>
            <w:tcBorders>
              <w:top w:val="nil"/>
              <w:left w:val="nil"/>
              <w:bottom w:val="single" w:sz="4" w:space="0" w:color="auto"/>
              <w:right w:val="single" w:sz="4" w:space="0" w:color="auto"/>
            </w:tcBorders>
            <w:shd w:val="clear" w:color="auto" w:fill="auto"/>
            <w:noWrap/>
            <w:tcMar>
              <w:left w:w="0" w:type="dxa"/>
              <w:right w:w="0" w:type="dxa"/>
            </w:tcMar>
            <w:vAlign w:val="center"/>
            <w:hideMark/>
          </w:tcPr>
          <w:p w:rsidR="00123DC4" w:rsidRPr="00EC7C86" w:rsidRDefault="00123DC4" w:rsidP="00132057">
            <w:pPr>
              <w:jc w:val="center"/>
              <w:rPr>
                <w:rFonts w:cs="Arial"/>
                <w:sz w:val="16"/>
                <w:szCs w:val="16"/>
              </w:rPr>
            </w:pPr>
          </w:p>
        </w:tc>
        <w:tc>
          <w:tcPr>
            <w:tcW w:w="385" w:type="dxa"/>
            <w:tcBorders>
              <w:top w:val="nil"/>
              <w:left w:val="nil"/>
              <w:bottom w:val="single" w:sz="4" w:space="0" w:color="auto"/>
              <w:right w:val="single" w:sz="4" w:space="0" w:color="auto"/>
            </w:tcBorders>
            <w:shd w:val="clear" w:color="auto" w:fill="auto"/>
            <w:noWrap/>
            <w:tcMar>
              <w:left w:w="0" w:type="dxa"/>
              <w:right w:w="0" w:type="dxa"/>
            </w:tcMar>
            <w:vAlign w:val="center"/>
            <w:hideMark/>
          </w:tcPr>
          <w:p w:rsidR="00123DC4" w:rsidRPr="00EC7C86" w:rsidRDefault="00123DC4" w:rsidP="00132057">
            <w:pPr>
              <w:jc w:val="center"/>
              <w:rPr>
                <w:rFonts w:cs="Arial"/>
                <w:sz w:val="16"/>
                <w:szCs w:val="16"/>
              </w:rPr>
            </w:pPr>
          </w:p>
        </w:tc>
        <w:tc>
          <w:tcPr>
            <w:tcW w:w="385" w:type="dxa"/>
            <w:tcBorders>
              <w:top w:val="nil"/>
              <w:left w:val="nil"/>
              <w:bottom w:val="single" w:sz="4" w:space="0" w:color="auto"/>
              <w:right w:val="single" w:sz="8" w:space="0" w:color="auto"/>
            </w:tcBorders>
            <w:shd w:val="clear" w:color="auto" w:fill="auto"/>
            <w:noWrap/>
            <w:tcMar>
              <w:left w:w="0" w:type="dxa"/>
              <w:right w:w="0" w:type="dxa"/>
            </w:tcMar>
            <w:vAlign w:val="center"/>
            <w:hideMark/>
          </w:tcPr>
          <w:p w:rsidR="00123DC4" w:rsidRPr="00EC7C86" w:rsidRDefault="00123DC4" w:rsidP="00132057">
            <w:pPr>
              <w:jc w:val="center"/>
              <w:rPr>
                <w:rFonts w:cs="Arial"/>
                <w:sz w:val="16"/>
                <w:szCs w:val="16"/>
              </w:rPr>
            </w:pPr>
          </w:p>
        </w:tc>
        <w:tc>
          <w:tcPr>
            <w:tcW w:w="385" w:type="dxa"/>
            <w:gridSpan w:val="2"/>
            <w:tcBorders>
              <w:top w:val="nil"/>
              <w:left w:val="nil"/>
              <w:bottom w:val="single" w:sz="4" w:space="0" w:color="auto"/>
              <w:right w:val="single" w:sz="4" w:space="0" w:color="auto"/>
            </w:tcBorders>
            <w:shd w:val="clear" w:color="auto" w:fill="auto"/>
            <w:noWrap/>
            <w:tcMar>
              <w:left w:w="0" w:type="dxa"/>
              <w:right w:w="0" w:type="dxa"/>
            </w:tcMar>
            <w:vAlign w:val="center"/>
            <w:hideMark/>
          </w:tcPr>
          <w:p w:rsidR="00123DC4" w:rsidRPr="00EC7C86" w:rsidRDefault="00123DC4" w:rsidP="00132057">
            <w:pPr>
              <w:jc w:val="center"/>
              <w:rPr>
                <w:rFonts w:cs="Arial"/>
                <w:sz w:val="16"/>
                <w:szCs w:val="16"/>
              </w:rPr>
            </w:pPr>
          </w:p>
        </w:tc>
        <w:tc>
          <w:tcPr>
            <w:tcW w:w="385" w:type="dxa"/>
            <w:tcBorders>
              <w:top w:val="nil"/>
              <w:left w:val="nil"/>
              <w:bottom w:val="single" w:sz="4" w:space="0" w:color="auto"/>
              <w:right w:val="single" w:sz="4" w:space="0" w:color="auto"/>
            </w:tcBorders>
            <w:shd w:val="clear" w:color="auto" w:fill="auto"/>
            <w:noWrap/>
            <w:tcMar>
              <w:left w:w="0" w:type="dxa"/>
              <w:right w:w="0" w:type="dxa"/>
            </w:tcMar>
            <w:vAlign w:val="center"/>
            <w:hideMark/>
          </w:tcPr>
          <w:p w:rsidR="00123DC4" w:rsidRPr="00EC7C86" w:rsidRDefault="00123DC4" w:rsidP="00132057">
            <w:pPr>
              <w:jc w:val="center"/>
              <w:rPr>
                <w:rFonts w:cs="Arial"/>
                <w:sz w:val="16"/>
                <w:szCs w:val="16"/>
              </w:rPr>
            </w:pPr>
          </w:p>
        </w:tc>
        <w:tc>
          <w:tcPr>
            <w:tcW w:w="385" w:type="dxa"/>
            <w:tcBorders>
              <w:top w:val="nil"/>
              <w:left w:val="nil"/>
              <w:bottom w:val="single" w:sz="4" w:space="0" w:color="auto"/>
              <w:right w:val="single" w:sz="4" w:space="0" w:color="auto"/>
            </w:tcBorders>
            <w:shd w:val="clear" w:color="auto" w:fill="auto"/>
            <w:noWrap/>
            <w:tcMar>
              <w:left w:w="0" w:type="dxa"/>
              <w:right w:w="0" w:type="dxa"/>
            </w:tcMar>
            <w:vAlign w:val="center"/>
            <w:hideMark/>
          </w:tcPr>
          <w:p w:rsidR="00123DC4" w:rsidRPr="00EC7C86" w:rsidRDefault="00123DC4" w:rsidP="00132057">
            <w:pPr>
              <w:jc w:val="center"/>
              <w:rPr>
                <w:rFonts w:cs="Arial"/>
                <w:sz w:val="16"/>
                <w:szCs w:val="16"/>
              </w:rPr>
            </w:pPr>
          </w:p>
        </w:tc>
        <w:tc>
          <w:tcPr>
            <w:tcW w:w="385" w:type="dxa"/>
            <w:tcBorders>
              <w:top w:val="nil"/>
              <w:left w:val="nil"/>
              <w:bottom w:val="single" w:sz="4" w:space="0" w:color="auto"/>
              <w:right w:val="single" w:sz="8" w:space="0" w:color="auto"/>
            </w:tcBorders>
            <w:shd w:val="clear" w:color="auto" w:fill="auto"/>
            <w:noWrap/>
            <w:tcMar>
              <w:left w:w="0" w:type="dxa"/>
              <w:right w:w="0" w:type="dxa"/>
            </w:tcMar>
            <w:vAlign w:val="center"/>
            <w:hideMark/>
          </w:tcPr>
          <w:p w:rsidR="00123DC4" w:rsidRPr="00EC7C86" w:rsidRDefault="00123DC4" w:rsidP="00132057">
            <w:pPr>
              <w:jc w:val="center"/>
              <w:rPr>
                <w:rFonts w:cs="Arial"/>
                <w:sz w:val="16"/>
                <w:szCs w:val="16"/>
              </w:rPr>
            </w:pPr>
          </w:p>
        </w:tc>
        <w:tc>
          <w:tcPr>
            <w:tcW w:w="347" w:type="dxa"/>
            <w:gridSpan w:val="2"/>
            <w:tcBorders>
              <w:top w:val="nil"/>
              <w:left w:val="nil"/>
              <w:bottom w:val="single" w:sz="4" w:space="0" w:color="auto"/>
              <w:right w:val="single" w:sz="8" w:space="0" w:color="auto"/>
            </w:tcBorders>
            <w:tcMar>
              <w:left w:w="0" w:type="dxa"/>
              <w:right w:w="0" w:type="dxa"/>
            </w:tcMar>
            <w:vAlign w:val="center"/>
          </w:tcPr>
          <w:p w:rsidR="00123DC4" w:rsidRPr="00EC7C86" w:rsidRDefault="00123DC4" w:rsidP="00132057">
            <w:pPr>
              <w:jc w:val="center"/>
              <w:rPr>
                <w:rFonts w:cs="Arial"/>
                <w:sz w:val="16"/>
                <w:szCs w:val="16"/>
              </w:rPr>
            </w:pPr>
          </w:p>
        </w:tc>
        <w:tc>
          <w:tcPr>
            <w:tcW w:w="413" w:type="dxa"/>
            <w:tcBorders>
              <w:top w:val="nil"/>
              <w:left w:val="nil"/>
              <w:bottom w:val="single" w:sz="4" w:space="0" w:color="auto"/>
              <w:right w:val="single" w:sz="8" w:space="0" w:color="auto"/>
            </w:tcBorders>
            <w:tcMar>
              <w:left w:w="0" w:type="dxa"/>
              <w:right w:w="0" w:type="dxa"/>
            </w:tcMar>
            <w:vAlign w:val="center"/>
          </w:tcPr>
          <w:p w:rsidR="00123DC4" w:rsidRPr="00EC7C86" w:rsidRDefault="00123DC4" w:rsidP="00132057">
            <w:pPr>
              <w:jc w:val="center"/>
              <w:rPr>
                <w:rFonts w:cs="Arial"/>
                <w:sz w:val="16"/>
                <w:szCs w:val="16"/>
              </w:rPr>
            </w:pPr>
          </w:p>
        </w:tc>
        <w:tc>
          <w:tcPr>
            <w:tcW w:w="350" w:type="dxa"/>
            <w:tcBorders>
              <w:top w:val="nil"/>
              <w:left w:val="nil"/>
              <w:bottom w:val="single" w:sz="4" w:space="0" w:color="auto"/>
              <w:right w:val="single" w:sz="8" w:space="0" w:color="auto"/>
            </w:tcBorders>
            <w:vAlign w:val="center"/>
          </w:tcPr>
          <w:p w:rsidR="00123DC4" w:rsidRPr="00EC7C86" w:rsidRDefault="00123DC4" w:rsidP="00132057">
            <w:pPr>
              <w:jc w:val="center"/>
              <w:rPr>
                <w:rFonts w:cs="Arial"/>
                <w:sz w:val="16"/>
                <w:szCs w:val="16"/>
              </w:rPr>
            </w:pPr>
          </w:p>
        </w:tc>
        <w:tc>
          <w:tcPr>
            <w:tcW w:w="430" w:type="dxa"/>
            <w:tcBorders>
              <w:top w:val="nil"/>
              <w:left w:val="nil"/>
              <w:bottom w:val="single" w:sz="4" w:space="0" w:color="auto"/>
              <w:right w:val="single" w:sz="4" w:space="0" w:color="auto"/>
            </w:tcBorders>
            <w:vAlign w:val="center"/>
          </w:tcPr>
          <w:p w:rsidR="00123DC4" w:rsidRPr="00EC7C86" w:rsidRDefault="00123DC4" w:rsidP="00132057">
            <w:pPr>
              <w:jc w:val="center"/>
              <w:rPr>
                <w:rFonts w:cs="Arial"/>
                <w:sz w:val="16"/>
                <w:szCs w:val="16"/>
              </w:rPr>
            </w:pPr>
          </w:p>
        </w:tc>
      </w:tr>
      <w:tr w:rsidR="00123DC4" w:rsidRPr="00EC7C86" w:rsidTr="00132057">
        <w:trPr>
          <w:trHeight w:val="413"/>
          <w:jc w:val="center"/>
        </w:trPr>
        <w:tc>
          <w:tcPr>
            <w:tcW w:w="1999" w:type="dxa"/>
            <w:tcBorders>
              <w:top w:val="nil"/>
              <w:left w:val="single" w:sz="4" w:space="0" w:color="auto"/>
              <w:bottom w:val="single" w:sz="4" w:space="0" w:color="auto"/>
              <w:right w:val="single" w:sz="8" w:space="0" w:color="auto"/>
            </w:tcBorders>
            <w:shd w:val="clear" w:color="auto" w:fill="auto"/>
            <w:noWrap/>
            <w:vAlign w:val="center"/>
            <w:hideMark/>
          </w:tcPr>
          <w:p w:rsidR="00123DC4" w:rsidRPr="006F1378" w:rsidRDefault="00123DC4" w:rsidP="00132057">
            <w:pPr>
              <w:autoSpaceDE w:val="0"/>
              <w:autoSpaceDN w:val="0"/>
              <w:adjustRightInd w:val="0"/>
              <w:spacing w:before="40" w:after="40"/>
              <w:rPr>
                <w:rFonts w:cs="Arial"/>
                <w:color w:val="000000"/>
                <w:sz w:val="16"/>
                <w:szCs w:val="16"/>
              </w:rPr>
            </w:pPr>
            <w:r w:rsidRPr="006F1378">
              <w:rPr>
                <w:color w:val="000000"/>
                <w:sz w:val="16"/>
                <w:szCs w:val="16"/>
              </w:rPr>
              <w:t>Call for tenders and selection of pilot/architect and engineers</w:t>
            </w:r>
          </w:p>
        </w:tc>
        <w:tc>
          <w:tcPr>
            <w:tcW w:w="391" w:type="dxa"/>
            <w:tcBorders>
              <w:top w:val="nil"/>
              <w:left w:val="nil"/>
              <w:bottom w:val="single" w:sz="4" w:space="0" w:color="auto"/>
              <w:right w:val="single" w:sz="4" w:space="0" w:color="auto"/>
            </w:tcBorders>
            <w:shd w:val="clear" w:color="auto" w:fill="auto"/>
            <w:noWrap/>
            <w:tcMar>
              <w:left w:w="0" w:type="dxa"/>
              <w:right w:w="0" w:type="dxa"/>
            </w:tcMar>
            <w:vAlign w:val="center"/>
            <w:hideMark/>
          </w:tcPr>
          <w:p w:rsidR="00123DC4" w:rsidRPr="00EC7C86" w:rsidRDefault="00123DC4" w:rsidP="00132057">
            <w:pPr>
              <w:jc w:val="center"/>
              <w:rPr>
                <w:rFonts w:cs="Arial"/>
                <w:sz w:val="16"/>
                <w:szCs w:val="16"/>
              </w:rPr>
            </w:pPr>
          </w:p>
        </w:tc>
        <w:tc>
          <w:tcPr>
            <w:tcW w:w="384" w:type="dxa"/>
            <w:tcBorders>
              <w:top w:val="nil"/>
              <w:left w:val="nil"/>
              <w:bottom w:val="single" w:sz="4" w:space="0" w:color="auto"/>
              <w:right w:val="single" w:sz="4" w:space="0" w:color="auto"/>
            </w:tcBorders>
            <w:shd w:val="clear" w:color="auto" w:fill="auto"/>
            <w:noWrap/>
            <w:tcMar>
              <w:left w:w="0" w:type="dxa"/>
              <w:right w:w="0" w:type="dxa"/>
            </w:tcMar>
            <w:vAlign w:val="center"/>
            <w:hideMark/>
          </w:tcPr>
          <w:p w:rsidR="00123DC4" w:rsidRPr="00EC7C86" w:rsidRDefault="00123DC4" w:rsidP="00132057">
            <w:pPr>
              <w:jc w:val="center"/>
              <w:rPr>
                <w:rFonts w:cs="Arial"/>
                <w:sz w:val="16"/>
                <w:szCs w:val="16"/>
              </w:rPr>
            </w:pPr>
          </w:p>
        </w:tc>
        <w:tc>
          <w:tcPr>
            <w:tcW w:w="384" w:type="dxa"/>
            <w:tcBorders>
              <w:top w:val="nil"/>
              <w:left w:val="nil"/>
              <w:bottom w:val="single" w:sz="4" w:space="0" w:color="auto"/>
              <w:right w:val="single" w:sz="4" w:space="0" w:color="auto"/>
            </w:tcBorders>
            <w:shd w:val="clear" w:color="auto" w:fill="auto"/>
            <w:noWrap/>
            <w:tcMar>
              <w:left w:w="0" w:type="dxa"/>
              <w:right w:w="0" w:type="dxa"/>
            </w:tcMar>
            <w:vAlign w:val="center"/>
            <w:hideMark/>
          </w:tcPr>
          <w:p w:rsidR="00123DC4" w:rsidRPr="00EC7C86" w:rsidRDefault="00123DC4" w:rsidP="00132057">
            <w:pPr>
              <w:jc w:val="center"/>
              <w:rPr>
                <w:rFonts w:cs="Arial"/>
                <w:sz w:val="16"/>
                <w:szCs w:val="16"/>
              </w:rPr>
            </w:pPr>
          </w:p>
        </w:tc>
        <w:tc>
          <w:tcPr>
            <w:tcW w:w="384" w:type="dxa"/>
            <w:gridSpan w:val="2"/>
            <w:tcBorders>
              <w:top w:val="nil"/>
              <w:left w:val="nil"/>
              <w:bottom w:val="single" w:sz="4" w:space="0" w:color="auto"/>
              <w:right w:val="single" w:sz="8" w:space="0" w:color="auto"/>
            </w:tcBorders>
            <w:shd w:val="clear" w:color="auto" w:fill="auto"/>
            <w:noWrap/>
            <w:tcMar>
              <w:left w:w="0" w:type="dxa"/>
              <w:right w:w="0" w:type="dxa"/>
            </w:tcMar>
            <w:vAlign w:val="center"/>
            <w:hideMark/>
          </w:tcPr>
          <w:p w:rsidR="00123DC4" w:rsidRPr="00EC7C86" w:rsidRDefault="00123DC4" w:rsidP="00132057">
            <w:pPr>
              <w:jc w:val="center"/>
              <w:rPr>
                <w:rFonts w:cs="Arial"/>
                <w:sz w:val="16"/>
                <w:szCs w:val="16"/>
              </w:rPr>
            </w:pPr>
          </w:p>
        </w:tc>
        <w:tc>
          <w:tcPr>
            <w:tcW w:w="384" w:type="dxa"/>
            <w:tcBorders>
              <w:top w:val="nil"/>
              <w:left w:val="nil"/>
              <w:bottom w:val="single" w:sz="4" w:space="0" w:color="auto"/>
              <w:right w:val="single" w:sz="4" w:space="0" w:color="auto"/>
            </w:tcBorders>
            <w:shd w:val="clear" w:color="auto" w:fill="auto"/>
            <w:noWrap/>
            <w:tcMar>
              <w:left w:w="0" w:type="dxa"/>
              <w:right w:w="0" w:type="dxa"/>
            </w:tcMar>
            <w:vAlign w:val="center"/>
            <w:hideMark/>
          </w:tcPr>
          <w:p w:rsidR="00123DC4" w:rsidRPr="00EC7C86" w:rsidRDefault="00123DC4" w:rsidP="00132057">
            <w:pPr>
              <w:jc w:val="center"/>
              <w:rPr>
                <w:rFonts w:cs="Arial"/>
                <w:sz w:val="16"/>
                <w:szCs w:val="16"/>
              </w:rPr>
            </w:pPr>
          </w:p>
        </w:tc>
        <w:tc>
          <w:tcPr>
            <w:tcW w:w="352" w:type="dxa"/>
            <w:tcBorders>
              <w:top w:val="nil"/>
              <w:left w:val="nil"/>
              <w:bottom w:val="single" w:sz="4" w:space="0" w:color="auto"/>
              <w:right w:val="single" w:sz="4" w:space="0" w:color="auto"/>
            </w:tcBorders>
            <w:shd w:val="clear" w:color="auto" w:fill="auto"/>
            <w:noWrap/>
            <w:tcMar>
              <w:left w:w="0" w:type="dxa"/>
              <w:right w:w="0" w:type="dxa"/>
            </w:tcMar>
            <w:vAlign w:val="center"/>
            <w:hideMark/>
          </w:tcPr>
          <w:p w:rsidR="00123DC4" w:rsidRPr="00EC7C86" w:rsidRDefault="00123DC4" w:rsidP="00132057">
            <w:pPr>
              <w:jc w:val="center"/>
              <w:rPr>
                <w:rFonts w:cs="Arial"/>
                <w:sz w:val="16"/>
                <w:szCs w:val="16"/>
              </w:rPr>
            </w:pPr>
          </w:p>
        </w:tc>
        <w:tc>
          <w:tcPr>
            <w:tcW w:w="384" w:type="dxa"/>
            <w:tcBorders>
              <w:top w:val="nil"/>
              <w:left w:val="nil"/>
              <w:bottom w:val="single" w:sz="4" w:space="0" w:color="auto"/>
              <w:right w:val="single" w:sz="4" w:space="0" w:color="auto"/>
            </w:tcBorders>
            <w:shd w:val="clear" w:color="auto" w:fill="auto"/>
            <w:noWrap/>
            <w:tcMar>
              <w:left w:w="0" w:type="dxa"/>
              <w:right w:w="0" w:type="dxa"/>
            </w:tcMar>
            <w:vAlign w:val="center"/>
          </w:tcPr>
          <w:p w:rsidR="00123DC4" w:rsidRPr="0056209E" w:rsidRDefault="00123DC4" w:rsidP="00132057">
            <w:pPr>
              <w:jc w:val="center"/>
              <w:rPr>
                <w:rFonts w:cs="Arial"/>
                <w:sz w:val="16"/>
                <w:szCs w:val="16"/>
              </w:rPr>
            </w:pPr>
            <w:r w:rsidRPr="0056209E">
              <w:rPr>
                <w:rFonts w:cs="Arial"/>
                <w:sz w:val="16"/>
                <w:szCs w:val="16"/>
              </w:rPr>
              <w:t>X</w:t>
            </w:r>
          </w:p>
        </w:tc>
        <w:tc>
          <w:tcPr>
            <w:tcW w:w="384" w:type="dxa"/>
            <w:tcBorders>
              <w:top w:val="nil"/>
              <w:left w:val="nil"/>
              <w:bottom w:val="single" w:sz="4" w:space="0" w:color="auto"/>
              <w:right w:val="single" w:sz="8" w:space="0" w:color="auto"/>
            </w:tcBorders>
            <w:shd w:val="clear" w:color="auto" w:fill="auto"/>
            <w:noWrap/>
            <w:tcMar>
              <w:left w:w="0" w:type="dxa"/>
              <w:right w:w="0" w:type="dxa"/>
            </w:tcMar>
            <w:vAlign w:val="center"/>
          </w:tcPr>
          <w:p w:rsidR="00123DC4" w:rsidRPr="0056209E" w:rsidRDefault="00123DC4" w:rsidP="00132057">
            <w:pPr>
              <w:jc w:val="center"/>
              <w:rPr>
                <w:rFonts w:cs="Arial"/>
                <w:sz w:val="16"/>
                <w:szCs w:val="16"/>
              </w:rPr>
            </w:pPr>
            <w:r w:rsidRPr="0056209E">
              <w:rPr>
                <w:rFonts w:cs="Arial"/>
                <w:sz w:val="16"/>
                <w:szCs w:val="16"/>
              </w:rPr>
              <w:t>X</w:t>
            </w:r>
          </w:p>
        </w:tc>
        <w:tc>
          <w:tcPr>
            <w:tcW w:w="385" w:type="dxa"/>
            <w:gridSpan w:val="2"/>
            <w:tcBorders>
              <w:top w:val="nil"/>
              <w:left w:val="nil"/>
              <w:bottom w:val="single" w:sz="4" w:space="0" w:color="auto"/>
              <w:right w:val="single" w:sz="4" w:space="0" w:color="auto"/>
            </w:tcBorders>
            <w:shd w:val="clear" w:color="auto" w:fill="auto"/>
            <w:noWrap/>
            <w:tcMar>
              <w:left w:w="0" w:type="dxa"/>
              <w:right w:w="0" w:type="dxa"/>
            </w:tcMar>
            <w:vAlign w:val="center"/>
            <w:hideMark/>
          </w:tcPr>
          <w:p w:rsidR="00123DC4" w:rsidRPr="0056209E" w:rsidRDefault="00123DC4" w:rsidP="00132057">
            <w:pPr>
              <w:jc w:val="center"/>
              <w:rPr>
                <w:rFonts w:cs="Arial"/>
                <w:sz w:val="16"/>
                <w:szCs w:val="16"/>
              </w:rPr>
            </w:pPr>
            <w:r w:rsidRPr="0056209E">
              <w:rPr>
                <w:rFonts w:cs="Arial"/>
                <w:sz w:val="16"/>
                <w:szCs w:val="16"/>
              </w:rPr>
              <w:t>X</w:t>
            </w:r>
          </w:p>
        </w:tc>
        <w:tc>
          <w:tcPr>
            <w:tcW w:w="385" w:type="dxa"/>
            <w:tcBorders>
              <w:top w:val="nil"/>
              <w:left w:val="nil"/>
              <w:bottom w:val="single" w:sz="4" w:space="0" w:color="auto"/>
              <w:right w:val="single" w:sz="4" w:space="0" w:color="auto"/>
            </w:tcBorders>
            <w:shd w:val="clear" w:color="auto" w:fill="auto"/>
            <w:noWrap/>
            <w:tcMar>
              <w:left w:w="0" w:type="dxa"/>
              <w:right w:w="0" w:type="dxa"/>
            </w:tcMar>
            <w:vAlign w:val="center"/>
            <w:hideMark/>
          </w:tcPr>
          <w:p w:rsidR="00123DC4" w:rsidRPr="0056209E" w:rsidRDefault="00123DC4" w:rsidP="00132057">
            <w:pPr>
              <w:jc w:val="center"/>
              <w:rPr>
                <w:rFonts w:cs="Arial"/>
                <w:sz w:val="16"/>
                <w:szCs w:val="16"/>
              </w:rPr>
            </w:pPr>
          </w:p>
        </w:tc>
        <w:tc>
          <w:tcPr>
            <w:tcW w:w="385" w:type="dxa"/>
            <w:tcBorders>
              <w:top w:val="nil"/>
              <w:left w:val="nil"/>
              <w:bottom w:val="single" w:sz="4" w:space="0" w:color="auto"/>
              <w:right w:val="single" w:sz="4" w:space="0" w:color="auto"/>
            </w:tcBorders>
            <w:shd w:val="clear" w:color="auto" w:fill="auto"/>
            <w:noWrap/>
            <w:tcMar>
              <w:left w:w="0" w:type="dxa"/>
              <w:right w:w="0" w:type="dxa"/>
            </w:tcMar>
            <w:vAlign w:val="center"/>
            <w:hideMark/>
          </w:tcPr>
          <w:p w:rsidR="00123DC4" w:rsidRPr="0056209E" w:rsidRDefault="00123DC4" w:rsidP="00132057">
            <w:pPr>
              <w:jc w:val="center"/>
              <w:rPr>
                <w:rFonts w:cs="Arial"/>
                <w:sz w:val="16"/>
                <w:szCs w:val="16"/>
              </w:rPr>
            </w:pPr>
          </w:p>
        </w:tc>
        <w:tc>
          <w:tcPr>
            <w:tcW w:w="385" w:type="dxa"/>
            <w:tcBorders>
              <w:top w:val="nil"/>
              <w:left w:val="nil"/>
              <w:bottom w:val="single" w:sz="4" w:space="0" w:color="auto"/>
              <w:right w:val="single" w:sz="8" w:space="0" w:color="auto"/>
            </w:tcBorders>
            <w:shd w:val="clear" w:color="auto" w:fill="auto"/>
            <w:noWrap/>
            <w:tcMar>
              <w:left w:w="0" w:type="dxa"/>
              <w:right w:w="0" w:type="dxa"/>
            </w:tcMar>
            <w:vAlign w:val="center"/>
            <w:hideMark/>
          </w:tcPr>
          <w:p w:rsidR="00123DC4" w:rsidRPr="0056209E" w:rsidRDefault="00123DC4" w:rsidP="00132057">
            <w:pPr>
              <w:jc w:val="center"/>
              <w:rPr>
                <w:rFonts w:cs="Arial"/>
                <w:sz w:val="16"/>
                <w:szCs w:val="16"/>
              </w:rPr>
            </w:pPr>
          </w:p>
        </w:tc>
        <w:tc>
          <w:tcPr>
            <w:tcW w:w="385" w:type="dxa"/>
            <w:gridSpan w:val="2"/>
            <w:tcBorders>
              <w:top w:val="nil"/>
              <w:left w:val="nil"/>
              <w:bottom w:val="single" w:sz="4" w:space="0" w:color="auto"/>
              <w:right w:val="single" w:sz="4" w:space="0" w:color="auto"/>
            </w:tcBorders>
            <w:shd w:val="clear" w:color="auto" w:fill="auto"/>
            <w:noWrap/>
            <w:tcMar>
              <w:left w:w="0" w:type="dxa"/>
              <w:right w:w="0" w:type="dxa"/>
            </w:tcMar>
            <w:vAlign w:val="center"/>
            <w:hideMark/>
          </w:tcPr>
          <w:p w:rsidR="00123DC4" w:rsidRPr="0056209E" w:rsidRDefault="00123DC4" w:rsidP="00132057">
            <w:pPr>
              <w:jc w:val="center"/>
              <w:rPr>
                <w:rFonts w:cs="Arial"/>
                <w:sz w:val="16"/>
                <w:szCs w:val="16"/>
              </w:rPr>
            </w:pPr>
          </w:p>
        </w:tc>
        <w:tc>
          <w:tcPr>
            <w:tcW w:w="385" w:type="dxa"/>
            <w:tcBorders>
              <w:top w:val="nil"/>
              <w:left w:val="nil"/>
              <w:bottom w:val="single" w:sz="4" w:space="0" w:color="auto"/>
              <w:right w:val="single" w:sz="4" w:space="0" w:color="auto"/>
            </w:tcBorders>
            <w:shd w:val="clear" w:color="auto" w:fill="auto"/>
            <w:noWrap/>
            <w:tcMar>
              <w:left w:w="0" w:type="dxa"/>
              <w:right w:w="0" w:type="dxa"/>
            </w:tcMar>
            <w:vAlign w:val="center"/>
            <w:hideMark/>
          </w:tcPr>
          <w:p w:rsidR="00123DC4" w:rsidRPr="0056209E" w:rsidRDefault="00123DC4" w:rsidP="00132057">
            <w:pPr>
              <w:jc w:val="center"/>
              <w:rPr>
                <w:rFonts w:cs="Arial"/>
                <w:sz w:val="16"/>
                <w:szCs w:val="16"/>
              </w:rPr>
            </w:pPr>
          </w:p>
        </w:tc>
        <w:tc>
          <w:tcPr>
            <w:tcW w:w="385" w:type="dxa"/>
            <w:tcBorders>
              <w:top w:val="nil"/>
              <w:left w:val="nil"/>
              <w:bottom w:val="single" w:sz="4" w:space="0" w:color="auto"/>
              <w:right w:val="single" w:sz="4" w:space="0" w:color="auto"/>
            </w:tcBorders>
            <w:shd w:val="clear" w:color="auto" w:fill="auto"/>
            <w:noWrap/>
            <w:tcMar>
              <w:left w:w="0" w:type="dxa"/>
              <w:right w:w="0" w:type="dxa"/>
            </w:tcMar>
            <w:vAlign w:val="center"/>
            <w:hideMark/>
          </w:tcPr>
          <w:p w:rsidR="00123DC4" w:rsidRPr="0056209E" w:rsidRDefault="00123DC4" w:rsidP="00132057">
            <w:pPr>
              <w:jc w:val="center"/>
              <w:rPr>
                <w:rFonts w:cs="Arial"/>
                <w:sz w:val="16"/>
                <w:szCs w:val="16"/>
              </w:rPr>
            </w:pPr>
          </w:p>
        </w:tc>
        <w:tc>
          <w:tcPr>
            <w:tcW w:w="385" w:type="dxa"/>
            <w:tcBorders>
              <w:top w:val="nil"/>
              <w:left w:val="nil"/>
              <w:bottom w:val="single" w:sz="4" w:space="0" w:color="auto"/>
              <w:right w:val="single" w:sz="8" w:space="0" w:color="auto"/>
            </w:tcBorders>
            <w:shd w:val="clear" w:color="auto" w:fill="auto"/>
            <w:noWrap/>
            <w:tcMar>
              <w:left w:w="0" w:type="dxa"/>
              <w:right w:w="0" w:type="dxa"/>
            </w:tcMar>
            <w:vAlign w:val="center"/>
            <w:hideMark/>
          </w:tcPr>
          <w:p w:rsidR="00123DC4" w:rsidRPr="0056209E" w:rsidRDefault="00123DC4" w:rsidP="00132057">
            <w:pPr>
              <w:jc w:val="center"/>
              <w:rPr>
                <w:rFonts w:cs="Arial"/>
                <w:sz w:val="16"/>
                <w:szCs w:val="16"/>
              </w:rPr>
            </w:pPr>
          </w:p>
        </w:tc>
        <w:tc>
          <w:tcPr>
            <w:tcW w:w="347" w:type="dxa"/>
            <w:gridSpan w:val="2"/>
            <w:tcBorders>
              <w:top w:val="nil"/>
              <w:left w:val="nil"/>
              <w:bottom w:val="single" w:sz="4" w:space="0" w:color="auto"/>
              <w:right w:val="single" w:sz="8" w:space="0" w:color="auto"/>
            </w:tcBorders>
            <w:tcMar>
              <w:left w:w="0" w:type="dxa"/>
              <w:right w:w="0" w:type="dxa"/>
            </w:tcMar>
            <w:vAlign w:val="center"/>
          </w:tcPr>
          <w:p w:rsidR="00123DC4" w:rsidRPr="0056209E" w:rsidRDefault="00123DC4" w:rsidP="00132057">
            <w:pPr>
              <w:jc w:val="center"/>
              <w:rPr>
                <w:rFonts w:cs="Arial"/>
                <w:sz w:val="16"/>
                <w:szCs w:val="16"/>
              </w:rPr>
            </w:pPr>
          </w:p>
        </w:tc>
        <w:tc>
          <w:tcPr>
            <w:tcW w:w="413" w:type="dxa"/>
            <w:tcBorders>
              <w:top w:val="nil"/>
              <w:left w:val="nil"/>
              <w:bottom w:val="single" w:sz="4" w:space="0" w:color="auto"/>
              <w:right w:val="single" w:sz="8" w:space="0" w:color="auto"/>
            </w:tcBorders>
            <w:tcMar>
              <w:left w:w="0" w:type="dxa"/>
              <w:right w:w="0" w:type="dxa"/>
            </w:tcMar>
            <w:vAlign w:val="center"/>
          </w:tcPr>
          <w:p w:rsidR="00123DC4" w:rsidRPr="0056209E" w:rsidRDefault="00123DC4" w:rsidP="00132057">
            <w:pPr>
              <w:jc w:val="center"/>
              <w:rPr>
                <w:rFonts w:cs="Arial"/>
                <w:sz w:val="16"/>
                <w:szCs w:val="16"/>
              </w:rPr>
            </w:pPr>
          </w:p>
        </w:tc>
        <w:tc>
          <w:tcPr>
            <w:tcW w:w="350" w:type="dxa"/>
            <w:tcBorders>
              <w:top w:val="nil"/>
              <w:left w:val="nil"/>
              <w:bottom w:val="single" w:sz="4" w:space="0" w:color="auto"/>
              <w:right w:val="single" w:sz="8" w:space="0" w:color="auto"/>
            </w:tcBorders>
            <w:vAlign w:val="center"/>
          </w:tcPr>
          <w:p w:rsidR="00123DC4" w:rsidRPr="0056209E" w:rsidRDefault="00123DC4" w:rsidP="00132057">
            <w:pPr>
              <w:jc w:val="center"/>
              <w:rPr>
                <w:rFonts w:cs="Arial"/>
                <w:sz w:val="16"/>
                <w:szCs w:val="16"/>
              </w:rPr>
            </w:pPr>
          </w:p>
        </w:tc>
        <w:tc>
          <w:tcPr>
            <w:tcW w:w="430" w:type="dxa"/>
            <w:tcBorders>
              <w:top w:val="nil"/>
              <w:left w:val="nil"/>
              <w:bottom w:val="single" w:sz="4" w:space="0" w:color="auto"/>
              <w:right w:val="single" w:sz="4" w:space="0" w:color="auto"/>
            </w:tcBorders>
            <w:vAlign w:val="center"/>
          </w:tcPr>
          <w:p w:rsidR="00123DC4" w:rsidRPr="0056209E" w:rsidRDefault="00123DC4" w:rsidP="00132057">
            <w:pPr>
              <w:jc w:val="center"/>
              <w:rPr>
                <w:rFonts w:cs="Arial"/>
                <w:sz w:val="16"/>
                <w:szCs w:val="16"/>
              </w:rPr>
            </w:pPr>
          </w:p>
        </w:tc>
      </w:tr>
      <w:tr w:rsidR="00123DC4" w:rsidRPr="00EC7C86" w:rsidTr="00132057">
        <w:trPr>
          <w:trHeight w:val="494"/>
          <w:jc w:val="center"/>
        </w:trPr>
        <w:tc>
          <w:tcPr>
            <w:tcW w:w="1999" w:type="dxa"/>
            <w:tcBorders>
              <w:top w:val="nil"/>
              <w:left w:val="single" w:sz="4" w:space="0" w:color="auto"/>
              <w:bottom w:val="single" w:sz="4" w:space="0" w:color="auto"/>
              <w:right w:val="single" w:sz="8" w:space="0" w:color="auto"/>
            </w:tcBorders>
            <w:shd w:val="clear" w:color="auto" w:fill="auto"/>
            <w:noWrap/>
            <w:vAlign w:val="center"/>
            <w:hideMark/>
          </w:tcPr>
          <w:p w:rsidR="00123DC4" w:rsidRPr="006F1378" w:rsidRDefault="00123DC4" w:rsidP="00132057">
            <w:pPr>
              <w:autoSpaceDE w:val="0"/>
              <w:autoSpaceDN w:val="0"/>
              <w:adjustRightInd w:val="0"/>
              <w:spacing w:before="40" w:after="40"/>
              <w:rPr>
                <w:color w:val="000000"/>
                <w:sz w:val="16"/>
                <w:szCs w:val="16"/>
              </w:rPr>
            </w:pPr>
            <w:r w:rsidRPr="006F1378">
              <w:rPr>
                <w:color w:val="000000"/>
                <w:sz w:val="16"/>
                <w:szCs w:val="16"/>
              </w:rPr>
              <w:t>Comprehensive study on implementation</w:t>
            </w:r>
          </w:p>
        </w:tc>
        <w:tc>
          <w:tcPr>
            <w:tcW w:w="391" w:type="dxa"/>
            <w:tcBorders>
              <w:top w:val="nil"/>
              <w:left w:val="nil"/>
              <w:bottom w:val="single" w:sz="4" w:space="0" w:color="auto"/>
              <w:right w:val="single" w:sz="4" w:space="0" w:color="auto"/>
            </w:tcBorders>
            <w:shd w:val="clear" w:color="auto" w:fill="auto"/>
            <w:noWrap/>
            <w:tcMar>
              <w:left w:w="0" w:type="dxa"/>
              <w:right w:w="0" w:type="dxa"/>
            </w:tcMar>
            <w:vAlign w:val="center"/>
            <w:hideMark/>
          </w:tcPr>
          <w:p w:rsidR="00123DC4" w:rsidRPr="00EC7C86" w:rsidRDefault="00123DC4" w:rsidP="00132057">
            <w:pPr>
              <w:jc w:val="center"/>
              <w:rPr>
                <w:rFonts w:cs="Arial"/>
                <w:sz w:val="16"/>
                <w:szCs w:val="16"/>
              </w:rPr>
            </w:pPr>
          </w:p>
        </w:tc>
        <w:tc>
          <w:tcPr>
            <w:tcW w:w="384" w:type="dxa"/>
            <w:tcBorders>
              <w:top w:val="nil"/>
              <w:left w:val="nil"/>
              <w:bottom w:val="single" w:sz="4" w:space="0" w:color="auto"/>
              <w:right w:val="single" w:sz="4" w:space="0" w:color="auto"/>
            </w:tcBorders>
            <w:shd w:val="clear" w:color="auto" w:fill="auto"/>
            <w:noWrap/>
            <w:tcMar>
              <w:left w:w="0" w:type="dxa"/>
              <w:right w:w="0" w:type="dxa"/>
            </w:tcMar>
            <w:vAlign w:val="center"/>
            <w:hideMark/>
          </w:tcPr>
          <w:p w:rsidR="00123DC4" w:rsidRPr="00EC7C86" w:rsidRDefault="00123DC4" w:rsidP="00132057">
            <w:pPr>
              <w:jc w:val="center"/>
              <w:rPr>
                <w:rFonts w:cs="Arial"/>
                <w:sz w:val="16"/>
                <w:szCs w:val="16"/>
              </w:rPr>
            </w:pPr>
          </w:p>
        </w:tc>
        <w:tc>
          <w:tcPr>
            <w:tcW w:w="384" w:type="dxa"/>
            <w:tcBorders>
              <w:top w:val="nil"/>
              <w:left w:val="nil"/>
              <w:bottom w:val="single" w:sz="4" w:space="0" w:color="auto"/>
              <w:right w:val="single" w:sz="4" w:space="0" w:color="auto"/>
            </w:tcBorders>
            <w:shd w:val="clear" w:color="auto" w:fill="auto"/>
            <w:noWrap/>
            <w:tcMar>
              <w:left w:w="0" w:type="dxa"/>
              <w:right w:w="0" w:type="dxa"/>
            </w:tcMar>
            <w:vAlign w:val="center"/>
            <w:hideMark/>
          </w:tcPr>
          <w:p w:rsidR="00123DC4" w:rsidRPr="00EC7C86" w:rsidRDefault="00123DC4" w:rsidP="00132057">
            <w:pPr>
              <w:jc w:val="center"/>
              <w:rPr>
                <w:rFonts w:cs="Arial"/>
                <w:sz w:val="16"/>
                <w:szCs w:val="16"/>
              </w:rPr>
            </w:pPr>
          </w:p>
        </w:tc>
        <w:tc>
          <w:tcPr>
            <w:tcW w:w="384" w:type="dxa"/>
            <w:gridSpan w:val="2"/>
            <w:tcBorders>
              <w:top w:val="nil"/>
              <w:left w:val="nil"/>
              <w:bottom w:val="single" w:sz="4" w:space="0" w:color="auto"/>
              <w:right w:val="single" w:sz="8" w:space="0" w:color="auto"/>
            </w:tcBorders>
            <w:shd w:val="clear" w:color="auto" w:fill="auto"/>
            <w:noWrap/>
            <w:tcMar>
              <w:left w:w="0" w:type="dxa"/>
              <w:right w:w="0" w:type="dxa"/>
            </w:tcMar>
            <w:vAlign w:val="center"/>
            <w:hideMark/>
          </w:tcPr>
          <w:p w:rsidR="00123DC4" w:rsidRPr="00EC7C86" w:rsidRDefault="00123DC4" w:rsidP="00132057">
            <w:pPr>
              <w:jc w:val="center"/>
              <w:rPr>
                <w:rFonts w:cs="Arial"/>
                <w:sz w:val="16"/>
                <w:szCs w:val="16"/>
              </w:rPr>
            </w:pPr>
          </w:p>
        </w:tc>
        <w:tc>
          <w:tcPr>
            <w:tcW w:w="384" w:type="dxa"/>
            <w:tcBorders>
              <w:top w:val="nil"/>
              <w:left w:val="nil"/>
              <w:bottom w:val="single" w:sz="4" w:space="0" w:color="auto"/>
              <w:right w:val="single" w:sz="4" w:space="0" w:color="auto"/>
            </w:tcBorders>
            <w:shd w:val="clear" w:color="auto" w:fill="auto"/>
            <w:noWrap/>
            <w:tcMar>
              <w:left w:w="0" w:type="dxa"/>
              <w:right w:w="0" w:type="dxa"/>
            </w:tcMar>
            <w:vAlign w:val="center"/>
            <w:hideMark/>
          </w:tcPr>
          <w:p w:rsidR="00123DC4" w:rsidRPr="00EC7C86" w:rsidRDefault="00123DC4" w:rsidP="00132057">
            <w:pPr>
              <w:jc w:val="center"/>
              <w:rPr>
                <w:rFonts w:cs="Arial"/>
                <w:sz w:val="16"/>
                <w:szCs w:val="16"/>
              </w:rPr>
            </w:pPr>
          </w:p>
        </w:tc>
        <w:tc>
          <w:tcPr>
            <w:tcW w:w="352" w:type="dxa"/>
            <w:tcBorders>
              <w:top w:val="nil"/>
              <w:left w:val="nil"/>
              <w:bottom w:val="single" w:sz="4" w:space="0" w:color="auto"/>
              <w:right w:val="single" w:sz="4" w:space="0" w:color="auto"/>
            </w:tcBorders>
            <w:shd w:val="clear" w:color="auto" w:fill="auto"/>
            <w:noWrap/>
            <w:tcMar>
              <w:left w:w="0" w:type="dxa"/>
              <w:right w:w="0" w:type="dxa"/>
            </w:tcMar>
            <w:vAlign w:val="center"/>
            <w:hideMark/>
          </w:tcPr>
          <w:p w:rsidR="00123DC4" w:rsidRPr="00EC7C86" w:rsidRDefault="00123DC4" w:rsidP="00132057">
            <w:pPr>
              <w:jc w:val="center"/>
              <w:rPr>
                <w:rFonts w:cs="Arial"/>
                <w:sz w:val="16"/>
                <w:szCs w:val="16"/>
              </w:rPr>
            </w:pPr>
          </w:p>
        </w:tc>
        <w:tc>
          <w:tcPr>
            <w:tcW w:w="384" w:type="dxa"/>
            <w:tcBorders>
              <w:top w:val="nil"/>
              <w:left w:val="nil"/>
              <w:bottom w:val="single" w:sz="4" w:space="0" w:color="auto"/>
              <w:right w:val="single" w:sz="4" w:space="0" w:color="auto"/>
            </w:tcBorders>
            <w:shd w:val="clear" w:color="auto" w:fill="auto"/>
            <w:noWrap/>
            <w:tcMar>
              <w:left w:w="0" w:type="dxa"/>
              <w:right w:w="0" w:type="dxa"/>
            </w:tcMar>
            <w:vAlign w:val="center"/>
          </w:tcPr>
          <w:p w:rsidR="00123DC4" w:rsidRPr="0056209E" w:rsidRDefault="00123DC4" w:rsidP="00132057">
            <w:pPr>
              <w:jc w:val="center"/>
              <w:rPr>
                <w:rFonts w:cs="Arial"/>
                <w:sz w:val="16"/>
                <w:szCs w:val="16"/>
              </w:rPr>
            </w:pPr>
          </w:p>
        </w:tc>
        <w:tc>
          <w:tcPr>
            <w:tcW w:w="384" w:type="dxa"/>
            <w:tcBorders>
              <w:top w:val="nil"/>
              <w:left w:val="nil"/>
              <w:bottom w:val="single" w:sz="4" w:space="0" w:color="auto"/>
              <w:right w:val="single" w:sz="8" w:space="0" w:color="auto"/>
            </w:tcBorders>
            <w:shd w:val="clear" w:color="auto" w:fill="auto"/>
            <w:noWrap/>
            <w:tcMar>
              <w:left w:w="0" w:type="dxa"/>
              <w:right w:w="0" w:type="dxa"/>
            </w:tcMar>
            <w:vAlign w:val="center"/>
          </w:tcPr>
          <w:p w:rsidR="00123DC4" w:rsidRPr="0056209E" w:rsidRDefault="00123DC4" w:rsidP="00132057">
            <w:pPr>
              <w:jc w:val="center"/>
              <w:rPr>
                <w:rFonts w:cs="Arial"/>
                <w:sz w:val="16"/>
                <w:szCs w:val="16"/>
              </w:rPr>
            </w:pPr>
          </w:p>
        </w:tc>
        <w:tc>
          <w:tcPr>
            <w:tcW w:w="385" w:type="dxa"/>
            <w:gridSpan w:val="2"/>
            <w:tcBorders>
              <w:top w:val="nil"/>
              <w:left w:val="nil"/>
              <w:bottom w:val="single" w:sz="4" w:space="0" w:color="auto"/>
              <w:right w:val="single" w:sz="4" w:space="0" w:color="auto"/>
            </w:tcBorders>
            <w:shd w:val="clear" w:color="auto" w:fill="auto"/>
            <w:noWrap/>
            <w:tcMar>
              <w:left w:w="0" w:type="dxa"/>
              <w:right w:w="0" w:type="dxa"/>
            </w:tcMar>
            <w:vAlign w:val="center"/>
            <w:hideMark/>
          </w:tcPr>
          <w:p w:rsidR="00123DC4" w:rsidRPr="0056209E" w:rsidRDefault="00123DC4" w:rsidP="00132057">
            <w:pPr>
              <w:jc w:val="center"/>
              <w:rPr>
                <w:rFonts w:cs="Arial"/>
                <w:sz w:val="16"/>
                <w:szCs w:val="16"/>
              </w:rPr>
            </w:pPr>
          </w:p>
        </w:tc>
        <w:tc>
          <w:tcPr>
            <w:tcW w:w="385" w:type="dxa"/>
            <w:tcBorders>
              <w:top w:val="nil"/>
              <w:left w:val="nil"/>
              <w:bottom w:val="single" w:sz="4" w:space="0" w:color="auto"/>
              <w:right w:val="single" w:sz="4" w:space="0" w:color="auto"/>
            </w:tcBorders>
            <w:shd w:val="clear" w:color="auto" w:fill="auto"/>
            <w:noWrap/>
            <w:tcMar>
              <w:left w:w="0" w:type="dxa"/>
              <w:right w:w="0" w:type="dxa"/>
            </w:tcMar>
            <w:vAlign w:val="center"/>
            <w:hideMark/>
          </w:tcPr>
          <w:p w:rsidR="00123DC4" w:rsidRPr="0056209E" w:rsidRDefault="00123DC4" w:rsidP="00132057">
            <w:pPr>
              <w:jc w:val="center"/>
              <w:rPr>
                <w:rFonts w:cs="Arial"/>
                <w:sz w:val="16"/>
                <w:szCs w:val="16"/>
              </w:rPr>
            </w:pPr>
            <w:r w:rsidRPr="0056209E">
              <w:rPr>
                <w:rFonts w:cs="Arial"/>
                <w:sz w:val="16"/>
                <w:szCs w:val="16"/>
              </w:rPr>
              <w:t>X</w:t>
            </w:r>
          </w:p>
        </w:tc>
        <w:tc>
          <w:tcPr>
            <w:tcW w:w="385" w:type="dxa"/>
            <w:tcBorders>
              <w:top w:val="nil"/>
              <w:left w:val="nil"/>
              <w:bottom w:val="single" w:sz="4" w:space="0" w:color="auto"/>
              <w:right w:val="single" w:sz="4" w:space="0" w:color="auto"/>
            </w:tcBorders>
            <w:shd w:val="clear" w:color="auto" w:fill="auto"/>
            <w:noWrap/>
            <w:tcMar>
              <w:left w:w="0" w:type="dxa"/>
              <w:right w:w="0" w:type="dxa"/>
            </w:tcMar>
            <w:vAlign w:val="center"/>
            <w:hideMark/>
          </w:tcPr>
          <w:p w:rsidR="00123DC4" w:rsidRPr="0056209E" w:rsidRDefault="00123DC4" w:rsidP="00132057">
            <w:pPr>
              <w:jc w:val="center"/>
              <w:rPr>
                <w:rFonts w:cs="Arial"/>
                <w:sz w:val="16"/>
                <w:szCs w:val="16"/>
              </w:rPr>
            </w:pPr>
            <w:r w:rsidRPr="0056209E">
              <w:rPr>
                <w:rFonts w:cs="Arial"/>
                <w:sz w:val="16"/>
                <w:szCs w:val="16"/>
              </w:rPr>
              <w:t>X</w:t>
            </w:r>
          </w:p>
        </w:tc>
        <w:tc>
          <w:tcPr>
            <w:tcW w:w="385" w:type="dxa"/>
            <w:tcBorders>
              <w:top w:val="nil"/>
              <w:left w:val="nil"/>
              <w:bottom w:val="single" w:sz="4" w:space="0" w:color="auto"/>
              <w:right w:val="single" w:sz="8" w:space="0" w:color="auto"/>
            </w:tcBorders>
            <w:shd w:val="clear" w:color="auto" w:fill="auto"/>
            <w:noWrap/>
            <w:tcMar>
              <w:left w:w="0" w:type="dxa"/>
              <w:right w:w="0" w:type="dxa"/>
            </w:tcMar>
            <w:vAlign w:val="center"/>
            <w:hideMark/>
          </w:tcPr>
          <w:p w:rsidR="00123DC4" w:rsidRPr="0056209E" w:rsidRDefault="00123DC4" w:rsidP="00132057">
            <w:pPr>
              <w:jc w:val="center"/>
              <w:rPr>
                <w:rFonts w:cs="Arial"/>
                <w:sz w:val="16"/>
                <w:szCs w:val="16"/>
              </w:rPr>
            </w:pPr>
          </w:p>
        </w:tc>
        <w:tc>
          <w:tcPr>
            <w:tcW w:w="385" w:type="dxa"/>
            <w:gridSpan w:val="2"/>
            <w:tcBorders>
              <w:top w:val="nil"/>
              <w:left w:val="nil"/>
              <w:bottom w:val="single" w:sz="4" w:space="0" w:color="auto"/>
              <w:right w:val="single" w:sz="4" w:space="0" w:color="auto"/>
            </w:tcBorders>
            <w:shd w:val="clear" w:color="auto" w:fill="auto"/>
            <w:noWrap/>
            <w:tcMar>
              <w:left w:w="0" w:type="dxa"/>
              <w:right w:w="0" w:type="dxa"/>
            </w:tcMar>
            <w:vAlign w:val="center"/>
            <w:hideMark/>
          </w:tcPr>
          <w:p w:rsidR="00123DC4" w:rsidRPr="0056209E" w:rsidRDefault="00123DC4" w:rsidP="00132057">
            <w:pPr>
              <w:jc w:val="center"/>
              <w:rPr>
                <w:rFonts w:cs="Arial"/>
                <w:sz w:val="16"/>
                <w:szCs w:val="16"/>
              </w:rPr>
            </w:pPr>
          </w:p>
        </w:tc>
        <w:tc>
          <w:tcPr>
            <w:tcW w:w="385" w:type="dxa"/>
            <w:tcBorders>
              <w:top w:val="nil"/>
              <w:left w:val="nil"/>
              <w:bottom w:val="single" w:sz="4" w:space="0" w:color="auto"/>
              <w:right w:val="single" w:sz="4" w:space="0" w:color="auto"/>
            </w:tcBorders>
            <w:shd w:val="clear" w:color="auto" w:fill="auto"/>
            <w:noWrap/>
            <w:tcMar>
              <w:left w:w="0" w:type="dxa"/>
              <w:right w:w="0" w:type="dxa"/>
            </w:tcMar>
            <w:vAlign w:val="center"/>
            <w:hideMark/>
          </w:tcPr>
          <w:p w:rsidR="00123DC4" w:rsidRPr="0056209E" w:rsidRDefault="00123DC4" w:rsidP="00132057">
            <w:pPr>
              <w:jc w:val="center"/>
              <w:rPr>
                <w:rFonts w:cs="Arial"/>
                <w:sz w:val="16"/>
                <w:szCs w:val="16"/>
              </w:rPr>
            </w:pPr>
          </w:p>
        </w:tc>
        <w:tc>
          <w:tcPr>
            <w:tcW w:w="385" w:type="dxa"/>
            <w:tcBorders>
              <w:top w:val="nil"/>
              <w:left w:val="nil"/>
              <w:bottom w:val="single" w:sz="4" w:space="0" w:color="auto"/>
              <w:right w:val="single" w:sz="4" w:space="0" w:color="auto"/>
            </w:tcBorders>
            <w:shd w:val="clear" w:color="auto" w:fill="auto"/>
            <w:noWrap/>
            <w:tcMar>
              <w:left w:w="0" w:type="dxa"/>
              <w:right w:w="0" w:type="dxa"/>
            </w:tcMar>
            <w:vAlign w:val="center"/>
            <w:hideMark/>
          </w:tcPr>
          <w:p w:rsidR="00123DC4" w:rsidRPr="0056209E" w:rsidRDefault="00123DC4" w:rsidP="00132057">
            <w:pPr>
              <w:jc w:val="center"/>
              <w:rPr>
                <w:rFonts w:cs="Arial"/>
                <w:sz w:val="16"/>
                <w:szCs w:val="16"/>
              </w:rPr>
            </w:pPr>
          </w:p>
        </w:tc>
        <w:tc>
          <w:tcPr>
            <w:tcW w:w="385" w:type="dxa"/>
            <w:tcBorders>
              <w:top w:val="nil"/>
              <w:left w:val="nil"/>
              <w:bottom w:val="single" w:sz="4" w:space="0" w:color="auto"/>
              <w:right w:val="single" w:sz="8" w:space="0" w:color="auto"/>
            </w:tcBorders>
            <w:shd w:val="clear" w:color="auto" w:fill="auto"/>
            <w:noWrap/>
            <w:tcMar>
              <w:left w:w="0" w:type="dxa"/>
              <w:right w:w="0" w:type="dxa"/>
            </w:tcMar>
            <w:vAlign w:val="center"/>
            <w:hideMark/>
          </w:tcPr>
          <w:p w:rsidR="00123DC4" w:rsidRPr="0056209E" w:rsidRDefault="00123DC4" w:rsidP="00132057">
            <w:pPr>
              <w:jc w:val="center"/>
              <w:rPr>
                <w:rFonts w:cs="Arial"/>
                <w:sz w:val="16"/>
                <w:szCs w:val="16"/>
              </w:rPr>
            </w:pPr>
          </w:p>
        </w:tc>
        <w:tc>
          <w:tcPr>
            <w:tcW w:w="347" w:type="dxa"/>
            <w:gridSpan w:val="2"/>
            <w:tcBorders>
              <w:top w:val="nil"/>
              <w:left w:val="nil"/>
              <w:bottom w:val="single" w:sz="4" w:space="0" w:color="auto"/>
              <w:right w:val="single" w:sz="8" w:space="0" w:color="auto"/>
            </w:tcBorders>
            <w:tcMar>
              <w:left w:w="0" w:type="dxa"/>
              <w:right w:w="0" w:type="dxa"/>
            </w:tcMar>
            <w:vAlign w:val="center"/>
          </w:tcPr>
          <w:p w:rsidR="00123DC4" w:rsidRPr="0056209E" w:rsidRDefault="00123DC4" w:rsidP="00132057">
            <w:pPr>
              <w:jc w:val="center"/>
              <w:rPr>
                <w:rFonts w:cs="Arial"/>
                <w:sz w:val="16"/>
                <w:szCs w:val="16"/>
              </w:rPr>
            </w:pPr>
          </w:p>
        </w:tc>
        <w:tc>
          <w:tcPr>
            <w:tcW w:w="413" w:type="dxa"/>
            <w:tcBorders>
              <w:top w:val="nil"/>
              <w:left w:val="nil"/>
              <w:bottom w:val="single" w:sz="4" w:space="0" w:color="auto"/>
              <w:right w:val="single" w:sz="8" w:space="0" w:color="auto"/>
            </w:tcBorders>
            <w:tcMar>
              <w:left w:w="0" w:type="dxa"/>
              <w:right w:w="0" w:type="dxa"/>
            </w:tcMar>
            <w:vAlign w:val="center"/>
          </w:tcPr>
          <w:p w:rsidR="00123DC4" w:rsidRPr="0056209E" w:rsidRDefault="00123DC4" w:rsidP="00132057">
            <w:pPr>
              <w:jc w:val="center"/>
              <w:rPr>
                <w:rFonts w:cs="Arial"/>
                <w:sz w:val="16"/>
                <w:szCs w:val="16"/>
              </w:rPr>
            </w:pPr>
          </w:p>
        </w:tc>
        <w:tc>
          <w:tcPr>
            <w:tcW w:w="350" w:type="dxa"/>
            <w:tcBorders>
              <w:top w:val="nil"/>
              <w:left w:val="nil"/>
              <w:bottom w:val="single" w:sz="4" w:space="0" w:color="auto"/>
              <w:right w:val="single" w:sz="8" w:space="0" w:color="auto"/>
            </w:tcBorders>
            <w:vAlign w:val="center"/>
          </w:tcPr>
          <w:p w:rsidR="00123DC4" w:rsidRPr="0056209E" w:rsidRDefault="00123DC4" w:rsidP="00132057">
            <w:pPr>
              <w:jc w:val="center"/>
              <w:rPr>
                <w:rFonts w:cs="Arial"/>
                <w:sz w:val="16"/>
                <w:szCs w:val="16"/>
              </w:rPr>
            </w:pPr>
          </w:p>
        </w:tc>
        <w:tc>
          <w:tcPr>
            <w:tcW w:w="430" w:type="dxa"/>
            <w:tcBorders>
              <w:top w:val="nil"/>
              <w:left w:val="nil"/>
              <w:bottom w:val="single" w:sz="4" w:space="0" w:color="auto"/>
              <w:right w:val="single" w:sz="4" w:space="0" w:color="auto"/>
            </w:tcBorders>
            <w:vAlign w:val="center"/>
          </w:tcPr>
          <w:p w:rsidR="00123DC4" w:rsidRPr="0056209E" w:rsidRDefault="00123DC4" w:rsidP="00132057">
            <w:pPr>
              <w:jc w:val="center"/>
              <w:rPr>
                <w:rFonts w:cs="Arial"/>
                <w:sz w:val="16"/>
                <w:szCs w:val="16"/>
              </w:rPr>
            </w:pPr>
          </w:p>
        </w:tc>
      </w:tr>
      <w:tr w:rsidR="00123DC4" w:rsidRPr="00EC7C86" w:rsidTr="00132057">
        <w:trPr>
          <w:trHeight w:val="431"/>
          <w:jc w:val="center"/>
        </w:trPr>
        <w:tc>
          <w:tcPr>
            <w:tcW w:w="1999" w:type="dxa"/>
            <w:tcBorders>
              <w:top w:val="nil"/>
              <w:left w:val="single" w:sz="4" w:space="0" w:color="auto"/>
              <w:bottom w:val="single" w:sz="4" w:space="0" w:color="auto"/>
              <w:right w:val="single" w:sz="8" w:space="0" w:color="auto"/>
            </w:tcBorders>
            <w:shd w:val="clear" w:color="auto" w:fill="auto"/>
            <w:noWrap/>
            <w:vAlign w:val="center"/>
            <w:hideMark/>
          </w:tcPr>
          <w:p w:rsidR="00123DC4" w:rsidRPr="006F1378" w:rsidRDefault="00123DC4" w:rsidP="00132057">
            <w:pPr>
              <w:autoSpaceDE w:val="0"/>
              <w:autoSpaceDN w:val="0"/>
              <w:adjustRightInd w:val="0"/>
              <w:spacing w:before="40" w:after="40"/>
              <w:rPr>
                <w:color w:val="000000"/>
                <w:sz w:val="16"/>
                <w:szCs w:val="16"/>
              </w:rPr>
            </w:pPr>
            <w:r w:rsidRPr="006F1378">
              <w:rPr>
                <w:color w:val="000000"/>
                <w:sz w:val="16"/>
                <w:szCs w:val="16"/>
              </w:rPr>
              <w:t>Choice of technical solution</w:t>
            </w:r>
          </w:p>
        </w:tc>
        <w:tc>
          <w:tcPr>
            <w:tcW w:w="391" w:type="dxa"/>
            <w:tcBorders>
              <w:top w:val="nil"/>
              <w:left w:val="nil"/>
              <w:bottom w:val="single" w:sz="4" w:space="0" w:color="auto"/>
              <w:right w:val="single" w:sz="4" w:space="0" w:color="auto"/>
            </w:tcBorders>
            <w:shd w:val="clear" w:color="auto" w:fill="auto"/>
            <w:noWrap/>
            <w:tcMar>
              <w:left w:w="0" w:type="dxa"/>
              <w:right w:w="0" w:type="dxa"/>
            </w:tcMar>
            <w:vAlign w:val="center"/>
            <w:hideMark/>
          </w:tcPr>
          <w:p w:rsidR="00123DC4" w:rsidRPr="00EC7C86" w:rsidRDefault="00123DC4" w:rsidP="00132057">
            <w:pPr>
              <w:jc w:val="center"/>
              <w:rPr>
                <w:rFonts w:cs="Arial"/>
                <w:sz w:val="16"/>
                <w:szCs w:val="16"/>
              </w:rPr>
            </w:pPr>
          </w:p>
        </w:tc>
        <w:tc>
          <w:tcPr>
            <w:tcW w:w="384" w:type="dxa"/>
            <w:tcBorders>
              <w:top w:val="nil"/>
              <w:left w:val="nil"/>
              <w:bottom w:val="single" w:sz="4" w:space="0" w:color="auto"/>
              <w:right w:val="single" w:sz="4" w:space="0" w:color="auto"/>
            </w:tcBorders>
            <w:shd w:val="clear" w:color="auto" w:fill="auto"/>
            <w:noWrap/>
            <w:tcMar>
              <w:left w:w="0" w:type="dxa"/>
              <w:right w:w="0" w:type="dxa"/>
            </w:tcMar>
            <w:vAlign w:val="center"/>
            <w:hideMark/>
          </w:tcPr>
          <w:p w:rsidR="00123DC4" w:rsidRPr="00EC7C86" w:rsidRDefault="00123DC4" w:rsidP="00132057">
            <w:pPr>
              <w:jc w:val="center"/>
              <w:rPr>
                <w:rFonts w:cs="Arial"/>
                <w:sz w:val="16"/>
                <w:szCs w:val="16"/>
              </w:rPr>
            </w:pPr>
          </w:p>
        </w:tc>
        <w:tc>
          <w:tcPr>
            <w:tcW w:w="384" w:type="dxa"/>
            <w:tcBorders>
              <w:top w:val="nil"/>
              <w:left w:val="nil"/>
              <w:bottom w:val="single" w:sz="4" w:space="0" w:color="auto"/>
              <w:right w:val="single" w:sz="4" w:space="0" w:color="auto"/>
            </w:tcBorders>
            <w:shd w:val="clear" w:color="auto" w:fill="auto"/>
            <w:noWrap/>
            <w:tcMar>
              <w:left w:w="0" w:type="dxa"/>
              <w:right w:w="0" w:type="dxa"/>
            </w:tcMar>
            <w:vAlign w:val="center"/>
            <w:hideMark/>
          </w:tcPr>
          <w:p w:rsidR="00123DC4" w:rsidRPr="00EC7C86" w:rsidRDefault="00123DC4" w:rsidP="00132057">
            <w:pPr>
              <w:jc w:val="center"/>
              <w:rPr>
                <w:rFonts w:cs="Arial"/>
                <w:sz w:val="16"/>
                <w:szCs w:val="16"/>
              </w:rPr>
            </w:pPr>
          </w:p>
        </w:tc>
        <w:tc>
          <w:tcPr>
            <w:tcW w:w="384" w:type="dxa"/>
            <w:gridSpan w:val="2"/>
            <w:tcBorders>
              <w:top w:val="nil"/>
              <w:left w:val="nil"/>
              <w:bottom w:val="single" w:sz="4" w:space="0" w:color="auto"/>
              <w:right w:val="single" w:sz="8" w:space="0" w:color="auto"/>
            </w:tcBorders>
            <w:shd w:val="clear" w:color="auto" w:fill="auto"/>
            <w:noWrap/>
            <w:tcMar>
              <w:left w:w="0" w:type="dxa"/>
              <w:right w:w="0" w:type="dxa"/>
            </w:tcMar>
            <w:vAlign w:val="center"/>
            <w:hideMark/>
          </w:tcPr>
          <w:p w:rsidR="00123DC4" w:rsidRPr="00EC7C86" w:rsidRDefault="00123DC4" w:rsidP="00132057">
            <w:pPr>
              <w:jc w:val="center"/>
              <w:rPr>
                <w:rFonts w:cs="Arial"/>
                <w:sz w:val="16"/>
                <w:szCs w:val="16"/>
              </w:rPr>
            </w:pPr>
          </w:p>
        </w:tc>
        <w:tc>
          <w:tcPr>
            <w:tcW w:w="384" w:type="dxa"/>
            <w:tcBorders>
              <w:top w:val="nil"/>
              <w:left w:val="nil"/>
              <w:bottom w:val="single" w:sz="4" w:space="0" w:color="auto"/>
              <w:right w:val="single" w:sz="4" w:space="0" w:color="auto"/>
            </w:tcBorders>
            <w:shd w:val="clear" w:color="auto" w:fill="auto"/>
            <w:noWrap/>
            <w:tcMar>
              <w:left w:w="0" w:type="dxa"/>
              <w:right w:w="0" w:type="dxa"/>
            </w:tcMar>
            <w:vAlign w:val="center"/>
            <w:hideMark/>
          </w:tcPr>
          <w:p w:rsidR="00123DC4" w:rsidRPr="00EC7C86" w:rsidRDefault="00123DC4" w:rsidP="00132057">
            <w:pPr>
              <w:jc w:val="center"/>
              <w:rPr>
                <w:rFonts w:cs="Arial"/>
                <w:sz w:val="16"/>
                <w:szCs w:val="16"/>
              </w:rPr>
            </w:pPr>
          </w:p>
        </w:tc>
        <w:tc>
          <w:tcPr>
            <w:tcW w:w="352" w:type="dxa"/>
            <w:tcBorders>
              <w:top w:val="nil"/>
              <w:left w:val="nil"/>
              <w:bottom w:val="single" w:sz="4" w:space="0" w:color="auto"/>
              <w:right w:val="single" w:sz="4" w:space="0" w:color="auto"/>
            </w:tcBorders>
            <w:shd w:val="clear" w:color="auto" w:fill="auto"/>
            <w:noWrap/>
            <w:tcMar>
              <w:left w:w="0" w:type="dxa"/>
              <w:right w:w="0" w:type="dxa"/>
            </w:tcMar>
            <w:vAlign w:val="center"/>
            <w:hideMark/>
          </w:tcPr>
          <w:p w:rsidR="00123DC4" w:rsidRPr="00EC7C86" w:rsidRDefault="00123DC4" w:rsidP="00132057">
            <w:pPr>
              <w:jc w:val="center"/>
              <w:rPr>
                <w:rFonts w:cs="Arial"/>
                <w:sz w:val="16"/>
                <w:szCs w:val="16"/>
              </w:rPr>
            </w:pPr>
          </w:p>
        </w:tc>
        <w:tc>
          <w:tcPr>
            <w:tcW w:w="384" w:type="dxa"/>
            <w:tcBorders>
              <w:top w:val="nil"/>
              <w:left w:val="nil"/>
              <w:bottom w:val="single" w:sz="4" w:space="0" w:color="auto"/>
              <w:right w:val="single" w:sz="4" w:space="0" w:color="auto"/>
            </w:tcBorders>
            <w:shd w:val="clear" w:color="auto" w:fill="auto"/>
            <w:noWrap/>
            <w:tcMar>
              <w:left w:w="0" w:type="dxa"/>
              <w:right w:w="0" w:type="dxa"/>
            </w:tcMar>
            <w:vAlign w:val="center"/>
            <w:hideMark/>
          </w:tcPr>
          <w:p w:rsidR="00123DC4" w:rsidRPr="0056209E" w:rsidRDefault="00123DC4" w:rsidP="00132057">
            <w:pPr>
              <w:jc w:val="center"/>
              <w:rPr>
                <w:rFonts w:cs="Arial"/>
                <w:sz w:val="16"/>
                <w:szCs w:val="16"/>
              </w:rPr>
            </w:pPr>
          </w:p>
        </w:tc>
        <w:tc>
          <w:tcPr>
            <w:tcW w:w="384" w:type="dxa"/>
            <w:tcBorders>
              <w:top w:val="nil"/>
              <w:left w:val="nil"/>
              <w:bottom w:val="single" w:sz="4" w:space="0" w:color="auto"/>
              <w:right w:val="single" w:sz="8" w:space="0" w:color="auto"/>
            </w:tcBorders>
            <w:shd w:val="clear" w:color="auto" w:fill="auto"/>
            <w:noWrap/>
            <w:tcMar>
              <w:left w:w="0" w:type="dxa"/>
              <w:right w:w="0" w:type="dxa"/>
            </w:tcMar>
            <w:vAlign w:val="center"/>
            <w:hideMark/>
          </w:tcPr>
          <w:p w:rsidR="00123DC4" w:rsidRPr="0056209E" w:rsidRDefault="00123DC4" w:rsidP="00132057">
            <w:pPr>
              <w:jc w:val="center"/>
              <w:rPr>
                <w:rFonts w:cs="Arial"/>
                <w:sz w:val="16"/>
                <w:szCs w:val="16"/>
              </w:rPr>
            </w:pPr>
          </w:p>
        </w:tc>
        <w:tc>
          <w:tcPr>
            <w:tcW w:w="385" w:type="dxa"/>
            <w:gridSpan w:val="2"/>
            <w:tcBorders>
              <w:top w:val="nil"/>
              <w:left w:val="nil"/>
              <w:bottom w:val="single" w:sz="4" w:space="0" w:color="auto"/>
              <w:right w:val="single" w:sz="4" w:space="0" w:color="auto"/>
            </w:tcBorders>
            <w:shd w:val="clear" w:color="auto" w:fill="auto"/>
            <w:noWrap/>
            <w:tcMar>
              <w:left w:w="0" w:type="dxa"/>
              <w:right w:w="0" w:type="dxa"/>
            </w:tcMar>
            <w:vAlign w:val="center"/>
            <w:hideMark/>
          </w:tcPr>
          <w:p w:rsidR="00123DC4" w:rsidRPr="0056209E" w:rsidRDefault="00123DC4" w:rsidP="00132057">
            <w:pPr>
              <w:jc w:val="center"/>
              <w:rPr>
                <w:rFonts w:cs="Arial"/>
                <w:sz w:val="16"/>
                <w:szCs w:val="16"/>
              </w:rPr>
            </w:pPr>
          </w:p>
        </w:tc>
        <w:tc>
          <w:tcPr>
            <w:tcW w:w="385" w:type="dxa"/>
            <w:tcBorders>
              <w:top w:val="nil"/>
              <w:left w:val="nil"/>
              <w:bottom w:val="single" w:sz="4" w:space="0" w:color="auto"/>
              <w:right w:val="single" w:sz="4" w:space="0" w:color="auto"/>
            </w:tcBorders>
            <w:shd w:val="clear" w:color="auto" w:fill="auto"/>
            <w:noWrap/>
            <w:tcMar>
              <w:left w:w="0" w:type="dxa"/>
              <w:right w:w="0" w:type="dxa"/>
            </w:tcMar>
            <w:vAlign w:val="center"/>
            <w:hideMark/>
          </w:tcPr>
          <w:p w:rsidR="00123DC4" w:rsidRPr="0056209E" w:rsidRDefault="00123DC4" w:rsidP="00132057">
            <w:pPr>
              <w:jc w:val="center"/>
              <w:rPr>
                <w:rFonts w:cs="Arial"/>
                <w:sz w:val="16"/>
                <w:szCs w:val="16"/>
              </w:rPr>
            </w:pPr>
          </w:p>
        </w:tc>
        <w:tc>
          <w:tcPr>
            <w:tcW w:w="385" w:type="dxa"/>
            <w:tcBorders>
              <w:top w:val="nil"/>
              <w:left w:val="nil"/>
              <w:bottom w:val="single" w:sz="4" w:space="0" w:color="auto"/>
              <w:right w:val="single" w:sz="4" w:space="0" w:color="auto"/>
            </w:tcBorders>
            <w:shd w:val="clear" w:color="auto" w:fill="auto"/>
            <w:noWrap/>
            <w:tcMar>
              <w:left w:w="0" w:type="dxa"/>
              <w:right w:w="0" w:type="dxa"/>
            </w:tcMar>
            <w:vAlign w:val="center"/>
            <w:hideMark/>
          </w:tcPr>
          <w:p w:rsidR="00123DC4" w:rsidRPr="0056209E" w:rsidRDefault="00123DC4" w:rsidP="00132057">
            <w:pPr>
              <w:jc w:val="center"/>
              <w:rPr>
                <w:rFonts w:cs="Arial"/>
                <w:sz w:val="16"/>
                <w:szCs w:val="16"/>
              </w:rPr>
            </w:pPr>
          </w:p>
        </w:tc>
        <w:tc>
          <w:tcPr>
            <w:tcW w:w="385" w:type="dxa"/>
            <w:tcBorders>
              <w:top w:val="nil"/>
              <w:left w:val="nil"/>
              <w:bottom w:val="single" w:sz="4" w:space="0" w:color="auto"/>
              <w:right w:val="single" w:sz="8" w:space="0" w:color="auto"/>
            </w:tcBorders>
            <w:shd w:val="clear" w:color="auto" w:fill="auto"/>
            <w:noWrap/>
            <w:tcMar>
              <w:left w:w="0" w:type="dxa"/>
              <w:right w:w="0" w:type="dxa"/>
            </w:tcMar>
            <w:vAlign w:val="center"/>
            <w:hideMark/>
          </w:tcPr>
          <w:p w:rsidR="00123DC4" w:rsidRPr="0056209E" w:rsidRDefault="00123DC4" w:rsidP="00132057">
            <w:pPr>
              <w:jc w:val="center"/>
              <w:rPr>
                <w:rFonts w:cs="Arial"/>
                <w:sz w:val="16"/>
                <w:szCs w:val="16"/>
              </w:rPr>
            </w:pPr>
            <w:r w:rsidRPr="0056209E">
              <w:rPr>
                <w:rFonts w:cs="Arial"/>
                <w:sz w:val="16"/>
                <w:szCs w:val="16"/>
              </w:rPr>
              <w:t>X</w:t>
            </w:r>
          </w:p>
        </w:tc>
        <w:tc>
          <w:tcPr>
            <w:tcW w:w="385" w:type="dxa"/>
            <w:gridSpan w:val="2"/>
            <w:tcBorders>
              <w:top w:val="nil"/>
              <w:left w:val="nil"/>
              <w:bottom w:val="single" w:sz="4" w:space="0" w:color="auto"/>
              <w:right w:val="single" w:sz="4" w:space="0" w:color="auto"/>
            </w:tcBorders>
            <w:shd w:val="clear" w:color="auto" w:fill="auto"/>
            <w:noWrap/>
            <w:tcMar>
              <w:left w:w="0" w:type="dxa"/>
              <w:right w:w="0" w:type="dxa"/>
            </w:tcMar>
            <w:vAlign w:val="center"/>
            <w:hideMark/>
          </w:tcPr>
          <w:p w:rsidR="00123DC4" w:rsidRPr="0056209E" w:rsidRDefault="00123DC4" w:rsidP="00132057">
            <w:pPr>
              <w:jc w:val="center"/>
              <w:rPr>
                <w:rFonts w:cs="Arial"/>
                <w:sz w:val="16"/>
                <w:szCs w:val="16"/>
              </w:rPr>
            </w:pPr>
          </w:p>
        </w:tc>
        <w:tc>
          <w:tcPr>
            <w:tcW w:w="385" w:type="dxa"/>
            <w:tcBorders>
              <w:top w:val="nil"/>
              <w:left w:val="nil"/>
              <w:bottom w:val="single" w:sz="4" w:space="0" w:color="auto"/>
              <w:right w:val="single" w:sz="4" w:space="0" w:color="auto"/>
            </w:tcBorders>
            <w:shd w:val="clear" w:color="auto" w:fill="auto"/>
            <w:noWrap/>
            <w:tcMar>
              <w:left w:w="0" w:type="dxa"/>
              <w:right w:w="0" w:type="dxa"/>
            </w:tcMar>
            <w:vAlign w:val="center"/>
            <w:hideMark/>
          </w:tcPr>
          <w:p w:rsidR="00123DC4" w:rsidRPr="0056209E" w:rsidRDefault="00123DC4" w:rsidP="00132057">
            <w:pPr>
              <w:jc w:val="center"/>
              <w:rPr>
                <w:rFonts w:cs="Arial"/>
                <w:sz w:val="16"/>
                <w:szCs w:val="16"/>
              </w:rPr>
            </w:pPr>
          </w:p>
        </w:tc>
        <w:tc>
          <w:tcPr>
            <w:tcW w:w="385" w:type="dxa"/>
            <w:tcBorders>
              <w:top w:val="nil"/>
              <w:left w:val="nil"/>
              <w:bottom w:val="single" w:sz="4" w:space="0" w:color="auto"/>
              <w:right w:val="single" w:sz="4" w:space="0" w:color="auto"/>
            </w:tcBorders>
            <w:shd w:val="clear" w:color="auto" w:fill="auto"/>
            <w:noWrap/>
            <w:tcMar>
              <w:left w:w="0" w:type="dxa"/>
              <w:right w:w="0" w:type="dxa"/>
            </w:tcMar>
            <w:vAlign w:val="center"/>
            <w:hideMark/>
          </w:tcPr>
          <w:p w:rsidR="00123DC4" w:rsidRPr="0056209E" w:rsidRDefault="00123DC4" w:rsidP="00132057">
            <w:pPr>
              <w:jc w:val="center"/>
              <w:rPr>
                <w:rFonts w:cs="Arial"/>
                <w:sz w:val="16"/>
                <w:szCs w:val="16"/>
              </w:rPr>
            </w:pPr>
          </w:p>
        </w:tc>
        <w:tc>
          <w:tcPr>
            <w:tcW w:w="385" w:type="dxa"/>
            <w:tcBorders>
              <w:top w:val="nil"/>
              <w:left w:val="nil"/>
              <w:bottom w:val="single" w:sz="4" w:space="0" w:color="auto"/>
              <w:right w:val="single" w:sz="8" w:space="0" w:color="auto"/>
            </w:tcBorders>
            <w:shd w:val="clear" w:color="auto" w:fill="auto"/>
            <w:noWrap/>
            <w:tcMar>
              <w:left w:w="0" w:type="dxa"/>
              <w:right w:w="0" w:type="dxa"/>
            </w:tcMar>
            <w:vAlign w:val="center"/>
            <w:hideMark/>
          </w:tcPr>
          <w:p w:rsidR="00123DC4" w:rsidRPr="0056209E" w:rsidRDefault="00123DC4" w:rsidP="00132057">
            <w:pPr>
              <w:jc w:val="center"/>
              <w:rPr>
                <w:rFonts w:cs="Arial"/>
                <w:sz w:val="16"/>
                <w:szCs w:val="16"/>
              </w:rPr>
            </w:pPr>
          </w:p>
        </w:tc>
        <w:tc>
          <w:tcPr>
            <w:tcW w:w="347" w:type="dxa"/>
            <w:gridSpan w:val="2"/>
            <w:tcBorders>
              <w:top w:val="nil"/>
              <w:left w:val="nil"/>
              <w:bottom w:val="single" w:sz="4" w:space="0" w:color="auto"/>
              <w:right w:val="single" w:sz="8" w:space="0" w:color="auto"/>
            </w:tcBorders>
            <w:tcMar>
              <w:left w:w="0" w:type="dxa"/>
              <w:right w:w="0" w:type="dxa"/>
            </w:tcMar>
            <w:vAlign w:val="center"/>
          </w:tcPr>
          <w:p w:rsidR="00123DC4" w:rsidRPr="0056209E" w:rsidRDefault="00123DC4" w:rsidP="00132057">
            <w:pPr>
              <w:jc w:val="center"/>
              <w:rPr>
                <w:rFonts w:cs="Arial"/>
                <w:sz w:val="16"/>
                <w:szCs w:val="16"/>
              </w:rPr>
            </w:pPr>
          </w:p>
        </w:tc>
        <w:tc>
          <w:tcPr>
            <w:tcW w:w="413" w:type="dxa"/>
            <w:tcBorders>
              <w:top w:val="nil"/>
              <w:left w:val="nil"/>
              <w:bottom w:val="single" w:sz="4" w:space="0" w:color="auto"/>
              <w:right w:val="single" w:sz="8" w:space="0" w:color="auto"/>
            </w:tcBorders>
            <w:tcMar>
              <w:left w:w="0" w:type="dxa"/>
              <w:right w:w="0" w:type="dxa"/>
            </w:tcMar>
            <w:vAlign w:val="center"/>
          </w:tcPr>
          <w:p w:rsidR="00123DC4" w:rsidRPr="0056209E" w:rsidRDefault="00123DC4" w:rsidP="00132057">
            <w:pPr>
              <w:jc w:val="center"/>
              <w:rPr>
                <w:rFonts w:cs="Arial"/>
                <w:sz w:val="16"/>
                <w:szCs w:val="16"/>
              </w:rPr>
            </w:pPr>
          </w:p>
        </w:tc>
        <w:tc>
          <w:tcPr>
            <w:tcW w:w="350" w:type="dxa"/>
            <w:tcBorders>
              <w:top w:val="nil"/>
              <w:left w:val="nil"/>
              <w:bottom w:val="single" w:sz="4" w:space="0" w:color="auto"/>
              <w:right w:val="single" w:sz="8" w:space="0" w:color="auto"/>
            </w:tcBorders>
            <w:vAlign w:val="center"/>
          </w:tcPr>
          <w:p w:rsidR="00123DC4" w:rsidRPr="0056209E" w:rsidRDefault="00123DC4" w:rsidP="00132057">
            <w:pPr>
              <w:jc w:val="center"/>
              <w:rPr>
                <w:rFonts w:cs="Arial"/>
                <w:sz w:val="16"/>
                <w:szCs w:val="16"/>
              </w:rPr>
            </w:pPr>
          </w:p>
        </w:tc>
        <w:tc>
          <w:tcPr>
            <w:tcW w:w="430" w:type="dxa"/>
            <w:tcBorders>
              <w:top w:val="nil"/>
              <w:left w:val="nil"/>
              <w:bottom w:val="single" w:sz="4" w:space="0" w:color="auto"/>
              <w:right w:val="single" w:sz="4" w:space="0" w:color="auto"/>
            </w:tcBorders>
            <w:vAlign w:val="center"/>
          </w:tcPr>
          <w:p w:rsidR="00123DC4" w:rsidRPr="0056209E" w:rsidRDefault="00123DC4" w:rsidP="00132057">
            <w:pPr>
              <w:jc w:val="center"/>
              <w:rPr>
                <w:rFonts w:cs="Arial"/>
                <w:sz w:val="16"/>
                <w:szCs w:val="16"/>
              </w:rPr>
            </w:pPr>
          </w:p>
        </w:tc>
      </w:tr>
      <w:tr w:rsidR="00123DC4" w:rsidRPr="00EC7C86" w:rsidTr="00132057">
        <w:trPr>
          <w:trHeight w:val="431"/>
          <w:jc w:val="center"/>
        </w:trPr>
        <w:tc>
          <w:tcPr>
            <w:tcW w:w="1999" w:type="dxa"/>
            <w:tcBorders>
              <w:top w:val="nil"/>
              <w:left w:val="single" w:sz="4" w:space="0" w:color="auto"/>
              <w:bottom w:val="single" w:sz="4" w:space="0" w:color="auto"/>
              <w:right w:val="single" w:sz="8" w:space="0" w:color="auto"/>
            </w:tcBorders>
            <w:shd w:val="clear" w:color="auto" w:fill="auto"/>
            <w:noWrap/>
            <w:vAlign w:val="center"/>
            <w:hideMark/>
          </w:tcPr>
          <w:p w:rsidR="00123DC4" w:rsidRPr="00EC7C86" w:rsidRDefault="00123DC4" w:rsidP="00132057">
            <w:pPr>
              <w:autoSpaceDE w:val="0"/>
              <w:autoSpaceDN w:val="0"/>
              <w:adjustRightInd w:val="0"/>
              <w:spacing w:before="40" w:after="40"/>
              <w:rPr>
                <w:rFonts w:cs="Arial"/>
                <w:sz w:val="16"/>
                <w:szCs w:val="16"/>
              </w:rPr>
            </w:pPr>
            <w:r w:rsidRPr="006F1378">
              <w:rPr>
                <w:color w:val="000000"/>
                <w:sz w:val="16"/>
                <w:szCs w:val="16"/>
              </w:rPr>
              <w:t>Call for tenders from firms</w:t>
            </w:r>
          </w:p>
        </w:tc>
        <w:tc>
          <w:tcPr>
            <w:tcW w:w="391" w:type="dxa"/>
            <w:tcBorders>
              <w:top w:val="nil"/>
              <w:left w:val="nil"/>
              <w:bottom w:val="single" w:sz="4" w:space="0" w:color="auto"/>
              <w:right w:val="single" w:sz="4" w:space="0" w:color="auto"/>
            </w:tcBorders>
            <w:shd w:val="clear" w:color="auto" w:fill="auto"/>
            <w:noWrap/>
            <w:tcMar>
              <w:left w:w="0" w:type="dxa"/>
              <w:right w:w="0" w:type="dxa"/>
            </w:tcMar>
            <w:vAlign w:val="center"/>
            <w:hideMark/>
          </w:tcPr>
          <w:p w:rsidR="00123DC4" w:rsidRPr="00EC7C86" w:rsidRDefault="00123DC4" w:rsidP="00132057">
            <w:pPr>
              <w:jc w:val="center"/>
              <w:rPr>
                <w:rFonts w:cs="Arial"/>
                <w:sz w:val="16"/>
                <w:szCs w:val="16"/>
              </w:rPr>
            </w:pPr>
          </w:p>
        </w:tc>
        <w:tc>
          <w:tcPr>
            <w:tcW w:w="384" w:type="dxa"/>
            <w:tcBorders>
              <w:top w:val="nil"/>
              <w:left w:val="nil"/>
              <w:bottom w:val="single" w:sz="4" w:space="0" w:color="auto"/>
              <w:right w:val="single" w:sz="4" w:space="0" w:color="auto"/>
            </w:tcBorders>
            <w:shd w:val="clear" w:color="auto" w:fill="auto"/>
            <w:noWrap/>
            <w:tcMar>
              <w:left w:w="0" w:type="dxa"/>
              <w:right w:w="0" w:type="dxa"/>
            </w:tcMar>
            <w:vAlign w:val="center"/>
            <w:hideMark/>
          </w:tcPr>
          <w:p w:rsidR="00123DC4" w:rsidRPr="00EC7C86" w:rsidRDefault="00123DC4" w:rsidP="00132057">
            <w:pPr>
              <w:jc w:val="center"/>
              <w:rPr>
                <w:rFonts w:cs="Arial"/>
                <w:sz w:val="16"/>
                <w:szCs w:val="16"/>
              </w:rPr>
            </w:pPr>
          </w:p>
        </w:tc>
        <w:tc>
          <w:tcPr>
            <w:tcW w:w="384" w:type="dxa"/>
            <w:tcBorders>
              <w:top w:val="nil"/>
              <w:left w:val="nil"/>
              <w:bottom w:val="single" w:sz="4" w:space="0" w:color="auto"/>
              <w:right w:val="single" w:sz="4" w:space="0" w:color="auto"/>
            </w:tcBorders>
            <w:shd w:val="clear" w:color="auto" w:fill="auto"/>
            <w:noWrap/>
            <w:tcMar>
              <w:left w:w="0" w:type="dxa"/>
              <w:right w:w="0" w:type="dxa"/>
            </w:tcMar>
            <w:vAlign w:val="center"/>
            <w:hideMark/>
          </w:tcPr>
          <w:p w:rsidR="00123DC4" w:rsidRPr="00EC7C86" w:rsidRDefault="00123DC4" w:rsidP="00132057">
            <w:pPr>
              <w:jc w:val="center"/>
              <w:rPr>
                <w:rFonts w:cs="Arial"/>
                <w:sz w:val="16"/>
                <w:szCs w:val="16"/>
              </w:rPr>
            </w:pPr>
          </w:p>
        </w:tc>
        <w:tc>
          <w:tcPr>
            <w:tcW w:w="384" w:type="dxa"/>
            <w:gridSpan w:val="2"/>
            <w:tcBorders>
              <w:top w:val="nil"/>
              <w:left w:val="nil"/>
              <w:bottom w:val="single" w:sz="4" w:space="0" w:color="auto"/>
              <w:right w:val="single" w:sz="8" w:space="0" w:color="auto"/>
            </w:tcBorders>
            <w:shd w:val="clear" w:color="auto" w:fill="auto"/>
            <w:noWrap/>
            <w:tcMar>
              <w:left w:w="0" w:type="dxa"/>
              <w:right w:w="0" w:type="dxa"/>
            </w:tcMar>
            <w:vAlign w:val="center"/>
            <w:hideMark/>
          </w:tcPr>
          <w:p w:rsidR="00123DC4" w:rsidRPr="00EC7C86" w:rsidRDefault="00123DC4" w:rsidP="00132057">
            <w:pPr>
              <w:jc w:val="center"/>
              <w:rPr>
                <w:rFonts w:cs="Arial"/>
                <w:sz w:val="16"/>
                <w:szCs w:val="16"/>
              </w:rPr>
            </w:pPr>
          </w:p>
        </w:tc>
        <w:tc>
          <w:tcPr>
            <w:tcW w:w="384" w:type="dxa"/>
            <w:tcBorders>
              <w:top w:val="nil"/>
              <w:left w:val="nil"/>
              <w:bottom w:val="single" w:sz="4" w:space="0" w:color="auto"/>
              <w:right w:val="single" w:sz="4" w:space="0" w:color="auto"/>
            </w:tcBorders>
            <w:shd w:val="clear" w:color="auto" w:fill="auto"/>
            <w:noWrap/>
            <w:tcMar>
              <w:left w:w="0" w:type="dxa"/>
              <w:right w:w="0" w:type="dxa"/>
            </w:tcMar>
            <w:vAlign w:val="center"/>
            <w:hideMark/>
          </w:tcPr>
          <w:p w:rsidR="00123DC4" w:rsidRPr="00EC7C86" w:rsidRDefault="00123DC4" w:rsidP="00132057">
            <w:pPr>
              <w:jc w:val="center"/>
              <w:rPr>
                <w:rFonts w:cs="Arial"/>
                <w:sz w:val="16"/>
                <w:szCs w:val="16"/>
              </w:rPr>
            </w:pPr>
          </w:p>
        </w:tc>
        <w:tc>
          <w:tcPr>
            <w:tcW w:w="352" w:type="dxa"/>
            <w:tcBorders>
              <w:top w:val="nil"/>
              <w:left w:val="nil"/>
              <w:bottom w:val="single" w:sz="4" w:space="0" w:color="auto"/>
              <w:right w:val="single" w:sz="4" w:space="0" w:color="auto"/>
            </w:tcBorders>
            <w:shd w:val="clear" w:color="auto" w:fill="auto"/>
            <w:noWrap/>
            <w:tcMar>
              <w:left w:w="0" w:type="dxa"/>
              <w:right w:w="0" w:type="dxa"/>
            </w:tcMar>
            <w:vAlign w:val="center"/>
            <w:hideMark/>
          </w:tcPr>
          <w:p w:rsidR="00123DC4" w:rsidRPr="00EC7C86" w:rsidRDefault="00123DC4" w:rsidP="00132057">
            <w:pPr>
              <w:jc w:val="center"/>
              <w:rPr>
                <w:rFonts w:cs="Arial"/>
                <w:sz w:val="16"/>
                <w:szCs w:val="16"/>
              </w:rPr>
            </w:pPr>
          </w:p>
        </w:tc>
        <w:tc>
          <w:tcPr>
            <w:tcW w:w="384" w:type="dxa"/>
            <w:tcBorders>
              <w:top w:val="nil"/>
              <w:left w:val="nil"/>
              <w:bottom w:val="single" w:sz="4" w:space="0" w:color="auto"/>
              <w:right w:val="single" w:sz="4" w:space="0" w:color="auto"/>
            </w:tcBorders>
            <w:shd w:val="clear" w:color="auto" w:fill="auto"/>
            <w:noWrap/>
            <w:tcMar>
              <w:left w:w="0" w:type="dxa"/>
              <w:right w:w="0" w:type="dxa"/>
            </w:tcMar>
            <w:vAlign w:val="center"/>
            <w:hideMark/>
          </w:tcPr>
          <w:p w:rsidR="00123DC4" w:rsidRPr="0056209E" w:rsidRDefault="00123DC4" w:rsidP="00132057">
            <w:pPr>
              <w:jc w:val="center"/>
              <w:rPr>
                <w:rFonts w:cs="Arial"/>
                <w:sz w:val="16"/>
                <w:szCs w:val="16"/>
              </w:rPr>
            </w:pPr>
          </w:p>
        </w:tc>
        <w:tc>
          <w:tcPr>
            <w:tcW w:w="384" w:type="dxa"/>
            <w:tcBorders>
              <w:top w:val="nil"/>
              <w:left w:val="nil"/>
              <w:bottom w:val="single" w:sz="4" w:space="0" w:color="auto"/>
              <w:right w:val="single" w:sz="8" w:space="0" w:color="auto"/>
            </w:tcBorders>
            <w:shd w:val="clear" w:color="auto" w:fill="auto"/>
            <w:noWrap/>
            <w:tcMar>
              <w:left w:w="0" w:type="dxa"/>
              <w:right w:w="0" w:type="dxa"/>
            </w:tcMar>
            <w:vAlign w:val="center"/>
            <w:hideMark/>
          </w:tcPr>
          <w:p w:rsidR="00123DC4" w:rsidRPr="0056209E" w:rsidRDefault="00123DC4" w:rsidP="00132057">
            <w:pPr>
              <w:jc w:val="center"/>
              <w:rPr>
                <w:rFonts w:cs="Arial"/>
                <w:sz w:val="16"/>
                <w:szCs w:val="16"/>
              </w:rPr>
            </w:pPr>
          </w:p>
        </w:tc>
        <w:tc>
          <w:tcPr>
            <w:tcW w:w="385" w:type="dxa"/>
            <w:gridSpan w:val="2"/>
            <w:tcBorders>
              <w:top w:val="nil"/>
              <w:left w:val="nil"/>
              <w:bottom w:val="single" w:sz="4" w:space="0" w:color="auto"/>
              <w:right w:val="single" w:sz="4" w:space="0" w:color="auto"/>
            </w:tcBorders>
            <w:shd w:val="clear" w:color="auto" w:fill="auto"/>
            <w:noWrap/>
            <w:tcMar>
              <w:left w:w="0" w:type="dxa"/>
              <w:right w:w="0" w:type="dxa"/>
            </w:tcMar>
            <w:vAlign w:val="center"/>
            <w:hideMark/>
          </w:tcPr>
          <w:p w:rsidR="00123DC4" w:rsidRPr="0056209E" w:rsidRDefault="00123DC4" w:rsidP="00132057">
            <w:pPr>
              <w:jc w:val="center"/>
              <w:rPr>
                <w:rFonts w:cs="Arial"/>
                <w:sz w:val="16"/>
                <w:szCs w:val="16"/>
              </w:rPr>
            </w:pPr>
          </w:p>
        </w:tc>
        <w:tc>
          <w:tcPr>
            <w:tcW w:w="385" w:type="dxa"/>
            <w:tcBorders>
              <w:top w:val="nil"/>
              <w:left w:val="nil"/>
              <w:bottom w:val="single" w:sz="4" w:space="0" w:color="auto"/>
              <w:right w:val="single" w:sz="4" w:space="0" w:color="auto"/>
            </w:tcBorders>
            <w:shd w:val="clear" w:color="auto" w:fill="auto"/>
            <w:noWrap/>
            <w:tcMar>
              <w:left w:w="0" w:type="dxa"/>
              <w:right w:w="0" w:type="dxa"/>
            </w:tcMar>
            <w:vAlign w:val="center"/>
          </w:tcPr>
          <w:p w:rsidR="00123DC4" w:rsidRPr="0056209E" w:rsidRDefault="00123DC4" w:rsidP="00132057">
            <w:pPr>
              <w:jc w:val="center"/>
              <w:rPr>
                <w:rFonts w:cs="Arial"/>
                <w:sz w:val="16"/>
                <w:szCs w:val="16"/>
              </w:rPr>
            </w:pPr>
          </w:p>
        </w:tc>
        <w:tc>
          <w:tcPr>
            <w:tcW w:w="385" w:type="dxa"/>
            <w:tcBorders>
              <w:top w:val="nil"/>
              <w:left w:val="nil"/>
              <w:bottom w:val="single" w:sz="4" w:space="0" w:color="auto"/>
              <w:right w:val="single" w:sz="4" w:space="0" w:color="auto"/>
            </w:tcBorders>
            <w:shd w:val="clear" w:color="auto" w:fill="auto"/>
            <w:noWrap/>
            <w:tcMar>
              <w:left w:w="0" w:type="dxa"/>
              <w:right w:w="0" w:type="dxa"/>
            </w:tcMar>
            <w:vAlign w:val="center"/>
          </w:tcPr>
          <w:p w:rsidR="00123DC4" w:rsidRPr="0056209E" w:rsidRDefault="00123DC4" w:rsidP="00132057">
            <w:pPr>
              <w:jc w:val="center"/>
              <w:rPr>
                <w:rFonts w:cs="Arial"/>
                <w:sz w:val="16"/>
                <w:szCs w:val="16"/>
              </w:rPr>
            </w:pPr>
          </w:p>
        </w:tc>
        <w:tc>
          <w:tcPr>
            <w:tcW w:w="385" w:type="dxa"/>
            <w:tcBorders>
              <w:top w:val="nil"/>
              <w:left w:val="nil"/>
              <w:bottom w:val="single" w:sz="4" w:space="0" w:color="auto"/>
              <w:right w:val="single" w:sz="8" w:space="0" w:color="auto"/>
            </w:tcBorders>
            <w:shd w:val="clear" w:color="auto" w:fill="auto"/>
            <w:noWrap/>
            <w:tcMar>
              <w:left w:w="0" w:type="dxa"/>
              <w:right w:w="0" w:type="dxa"/>
            </w:tcMar>
            <w:vAlign w:val="center"/>
          </w:tcPr>
          <w:p w:rsidR="00123DC4" w:rsidRPr="0056209E" w:rsidRDefault="00123DC4" w:rsidP="00132057">
            <w:pPr>
              <w:jc w:val="center"/>
              <w:rPr>
                <w:rFonts w:cs="Arial"/>
                <w:sz w:val="16"/>
                <w:szCs w:val="16"/>
              </w:rPr>
            </w:pPr>
          </w:p>
        </w:tc>
        <w:tc>
          <w:tcPr>
            <w:tcW w:w="385" w:type="dxa"/>
            <w:gridSpan w:val="2"/>
            <w:tcBorders>
              <w:top w:val="nil"/>
              <w:left w:val="nil"/>
              <w:bottom w:val="single" w:sz="4" w:space="0" w:color="auto"/>
              <w:right w:val="single" w:sz="4" w:space="0" w:color="auto"/>
            </w:tcBorders>
            <w:shd w:val="clear" w:color="auto" w:fill="auto"/>
            <w:noWrap/>
            <w:tcMar>
              <w:left w:w="0" w:type="dxa"/>
              <w:right w:w="0" w:type="dxa"/>
            </w:tcMar>
            <w:vAlign w:val="center"/>
            <w:hideMark/>
          </w:tcPr>
          <w:p w:rsidR="00123DC4" w:rsidRPr="0056209E" w:rsidRDefault="00123DC4" w:rsidP="00132057">
            <w:pPr>
              <w:jc w:val="center"/>
              <w:rPr>
                <w:rFonts w:cs="Arial"/>
                <w:sz w:val="16"/>
                <w:szCs w:val="16"/>
              </w:rPr>
            </w:pPr>
            <w:r w:rsidRPr="0056209E">
              <w:rPr>
                <w:rFonts w:cs="Arial"/>
                <w:sz w:val="16"/>
                <w:szCs w:val="16"/>
              </w:rPr>
              <w:t>X</w:t>
            </w:r>
          </w:p>
        </w:tc>
        <w:tc>
          <w:tcPr>
            <w:tcW w:w="385" w:type="dxa"/>
            <w:tcBorders>
              <w:top w:val="nil"/>
              <w:left w:val="nil"/>
              <w:bottom w:val="single" w:sz="4" w:space="0" w:color="auto"/>
              <w:right w:val="single" w:sz="4" w:space="0" w:color="auto"/>
            </w:tcBorders>
            <w:shd w:val="clear" w:color="auto" w:fill="auto"/>
            <w:noWrap/>
            <w:tcMar>
              <w:left w:w="0" w:type="dxa"/>
              <w:right w:w="0" w:type="dxa"/>
            </w:tcMar>
            <w:vAlign w:val="center"/>
            <w:hideMark/>
          </w:tcPr>
          <w:p w:rsidR="00123DC4" w:rsidRPr="0056209E" w:rsidRDefault="00123DC4" w:rsidP="00132057">
            <w:pPr>
              <w:jc w:val="center"/>
              <w:rPr>
                <w:rFonts w:cs="Arial"/>
                <w:sz w:val="16"/>
                <w:szCs w:val="16"/>
              </w:rPr>
            </w:pPr>
            <w:r w:rsidRPr="0056209E">
              <w:rPr>
                <w:rFonts w:cs="Arial"/>
                <w:sz w:val="16"/>
                <w:szCs w:val="16"/>
              </w:rPr>
              <w:t>X</w:t>
            </w:r>
          </w:p>
        </w:tc>
        <w:tc>
          <w:tcPr>
            <w:tcW w:w="385" w:type="dxa"/>
            <w:tcBorders>
              <w:top w:val="nil"/>
              <w:left w:val="nil"/>
              <w:bottom w:val="single" w:sz="4" w:space="0" w:color="auto"/>
              <w:right w:val="single" w:sz="4" w:space="0" w:color="auto"/>
            </w:tcBorders>
            <w:shd w:val="clear" w:color="auto" w:fill="auto"/>
            <w:noWrap/>
            <w:tcMar>
              <w:left w:w="0" w:type="dxa"/>
              <w:right w:w="0" w:type="dxa"/>
            </w:tcMar>
            <w:vAlign w:val="center"/>
            <w:hideMark/>
          </w:tcPr>
          <w:p w:rsidR="00123DC4" w:rsidRPr="0056209E" w:rsidRDefault="00123DC4" w:rsidP="00132057">
            <w:pPr>
              <w:jc w:val="center"/>
              <w:rPr>
                <w:rFonts w:cs="Arial"/>
                <w:sz w:val="16"/>
                <w:szCs w:val="16"/>
              </w:rPr>
            </w:pPr>
            <w:r w:rsidRPr="0056209E">
              <w:rPr>
                <w:rFonts w:cs="Arial"/>
                <w:sz w:val="16"/>
                <w:szCs w:val="16"/>
              </w:rPr>
              <w:t>X</w:t>
            </w:r>
          </w:p>
        </w:tc>
        <w:tc>
          <w:tcPr>
            <w:tcW w:w="385" w:type="dxa"/>
            <w:tcBorders>
              <w:top w:val="nil"/>
              <w:left w:val="nil"/>
              <w:bottom w:val="single" w:sz="4" w:space="0" w:color="auto"/>
              <w:right w:val="single" w:sz="8" w:space="0" w:color="auto"/>
            </w:tcBorders>
            <w:shd w:val="clear" w:color="auto" w:fill="auto"/>
            <w:noWrap/>
            <w:tcMar>
              <w:left w:w="0" w:type="dxa"/>
              <w:right w:w="0" w:type="dxa"/>
            </w:tcMar>
            <w:vAlign w:val="center"/>
            <w:hideMark/>
          </w:tcPr>
          <w:p w:rsidR="00123DC4" w:rsidRPr="0056209E" w:rsidRDefault="00123DC4" w:rsidP="00132057">
            <w:pPr>
              <w:jc w:val="center"/>
              <w:rPr>
                <w:rFonts w:cs="Arial"/>
                <w:sz w:val="16"/>
                <w:szCs w:val="16"/>
              </w:rPr>
            </w:pPr>
          </w:p>
        </w:tc>
        <w:tc>
          <w:tcPr>
            <w:tcW w:w="347" w:type="dxa"/>
            <w:gridSpan w:val="2"/>
            <w:tcBorders>
              <w:top w:val="nil"/>
              <w:left w:val="nil"/>
              <w:bottom w:val="single" w:sz="4" w:space="0" w:color="auto"/>
              <w:right w:val="single" w:sz="8" w:space="0" w:color="auto"/>
            </w:tcBorders>
            <w:tcMar>
              <w:left w:w="0" w:type="dxa"/>
              <w:right w:w="0" w:type="dxa"/>
            </w:tcMar>
            <w:vAlign w:val="center"/>
          </w:tcPr>
          <w:p w:rsidR="00123DC4" w:rsidRPr="0056209E" w:rsidRDefault="00123DC4" w:rsidP="00132057">
            <w:pPr>
              <w:jc w:val="center"/>
              <w:rPr>
                <w:rFonts w:cs="Arial"/>
                <w:sz w:val="16"/>
                <w:szCs w:val="16"/>
              </w:rPr>
            </w:pPr>
          </w:p>
        </w:tc>
        <w:tc>
          <w:tcPr>
            <w:tcW w:w="413" w:type="dxa"/>
            <w:tcBorders>
              <w:top w:val="nil"/>
              <w:left w:val="nil"/>
              <w:bottom w:val="single" w:sz="4" w:space="0" w:color="auto"/>
              <w:right w:val="single" w:sz="8" w:space="0" w:color="auto"/>
            </w:tcBorders>
            <w:tcMar>
              <w:left w:w="0" w:type="dxa"/>
              <w:right w:w="0" w:type="dxa"/>
            </w:tcMar>
            <w:vAlign w:val="center"/>
          </w:tcPr>
          <w:p w:rsidR="00123DC4" w:rsidRPr="0056209E" w:rsidRDefault="00123DC4" w:rsidP="00132057">
            <w:pPr>
              <w:jc w:val="center"/>
              <w:rPr>
                <w:rFonts w:cs="Arial"/>
                <w:sz w:val="16"/>
                <w:szCs w:val="16"/>
              </w:rPr>
            </w:pPr>
          </w:p>
        </w:tc>
        <w:tc>
          <w:tcPr>
            <w:tcW w:w="350" w:type="dxa"/>
            <w:tcBorders>
              <w:top w:val="nil"/>
              <w:left w:val="nil"/>
              <w:bottom w:val="single" w:sz="4" w:space="0" w:color="auto"/>
              <w:right w:val="single" w:sz="8" w:space="0" w:color="auto"/>
            </w:tcBorders>
            <w:vAlign w:val="center"/>
          </w:tcPr>
          <w:p w:rsidR="00123DC4" w:rsidRPr="0056209E" w:rsidRDefault="00123DC4" w:rsidP="00132057">
            <w:pPr>
              <w:jc w:val="center"/>
              <w:rPr>
                <w:rFonts w:cs="Arial"/>
                <w:sz w:val="16"/>
                <w:szCs w:val="16"/>
              </w:rPr>
            </w:pPr>
          </w:p>
        </w:tc>
        <w:tc>
          <w:tcPr>
            <w:tcW w:w="430" w:type="dxa"/>
            <w:tcBorders>
              <w:top w:val="nil"/>
              <w:left w:val="nil"/>
              <w:bottom w:val="single" w:sz="4" w:space="0" w:color="auto"/>
              <w:right w:val="single" w:sz="4" w:space="0" w:color="auto"/>
            </w:tcBorders>
            <w:vAlign w:val="center"/>
          </w:tcPr>
          <w:p w:rsidR="00123DC4" w:rsidRPr="0056209E" w:rsidRDefault="00123DC4" w:rsidP="00132057">
            <w:pPr>
              <w:jc w:val="center"/>
              <w:rPr>
                <w:rFonts w:cs="Arial"/>
                <w:sz w:val="16"/>
                <w:szCs w:val="16"/>
              </w:rPr>
            </w:pPr>
          </w:p>
        </w:tc>
      </w:tr>
      <w:tr w:rsidR="00123DC4" w:rsidRPr="00EC7C86" w:rsidTr="00132057">
        <w:trPr>
          <w:trHeight w:val="296"/>
          <w:jc w:val="center"/>
        </w:trPr>
        <w:tc>
          <w:tcPr>
            <w:tcW w:w="1999" w:type="dxa"/>
            <w:tcBorders>
              <w:top w:val="single" w:sz="4" w:space="0" w:color="auto"/>
              <w:left w:val="single" w:sz="4" w:space="0" w:color="auto"/>
              <w:bottom w:val="single" w:sz="4" w:space="0" w:color="auto"/>
              <w:right w:val="single" w:sz="8" w:space="0" w:color="auto"/>
            </w:tcBorders>
            <w:shd w:val="clear" w:color="auto" w:fill="auto"/>
            <w:noWrap/>
            <w:vAlign w:val="center"/>
          </w:tcPr>
          <w:p w:rsidR="00123DC4" w:rsidRPr="00EC7C86" w:rsidRDefault="00123DC4" w:rsidP="00132057">
            <w:pPr>
              <w:autoSpaceDE w:val="0"/>
              <w:autoSpaceDN w:val="0"/>
              <w:adjustRightInd w:val="0"/>
              <w:spacing w:before="40" w:after="40"/>
              <w:rPr>
                <w:rFonts w:cs="Arial"/>
                <w:b/>
                <w:bCs/>
                <w:sz w:val="16"/>
                <w:szCs w:val="16"/>
              </w:rPr>
            </w:pPr>
            <w:r w:rsidRPr="006F1378">
              <w:rPr>
                <w:color w:val="000000"/>
                <w:sz w:val="16"/>
                <w:szCs w:val="16"/>
              </w:rPr>
              <w:t>Works</w:t>
            </w:r>
          </w:p>
        </w:tc>
        <w:tc>
          <w:tcPr>
            <w:tcW w:w="391" w:type="dxa"/>
            <w:tcBorders>
              <w:top w:val="single" w:sz="4" w:space="0" w:color="auto"/>
              <w:left w:val="nil"/>
              <w:bottom w:val="single" w:sz="4" w:space="0" w:color="auto"/>
              <w:right w:val="single" w:sz="4" w:space="0" w:color="auto"/>
            </w:tcBorders>
            <w:shd w:val="clear" w:color="auto" w:fill="auto"/>
            <w:noWrap/>
            <w:tcMar>
              <w:left w:w="0" w:type="dxa"/>
              <w:right w:w="0" w:type="dxa"/>
            </w:tcMar>
            <w:vAlign w:val="center"/>
          </w:tcPr>
          <w:p w:rsidR="00123DC4" w:rsidRPr="00EC7C86" w:rsidRDefault="00123DC4" w:rsidP="00132057">
            <w:pPr>
              <w:spacing w:before="240"/>
              <w:jc w:val="center"/>
              <w:rPr>
                <w:rFonts w:cs="Arial"/>
                <w:sz w:val="16"/>
                <w:szCs w:val="16"/>
              </w:rPr>
            </w:pPr>
          </w:p>
        </w:tc>
        <w:tc>
          <w:tcPr>
            <w:tcW w:w="384" w:type="dxa"/>
            <w:tcBorders>
              <w:top w:val="single" w:sz="4" w:space="0" w:color="auto"/>
              <w:left w:val="nil"/>
              <w:bottom w:val="single" w:sz="4" w:space="0" w:color="auto"/>
              <w:right w:val="single" w:sz="4" w:space="0" w:color="auto"/>
            </w:tcBorders>
            <w:shd w:val="clear" w:color="auto" w:fill="auto"/>
            <w:noWrap/>
            <w:tcMar>
              <w:left w:w="0" w:type="dxa"/>
              <w:right w:w="0" w:type="dxa"/>
            </w:tcMar>
            <w:vAlign w:val="center"/>
          </w:tcPr>
          <w:p w:rsidR="00123DC4" w:rsidRPr="00EC7C86" w:rsidRDefault="00123DC4" w:rsidP="00132057">
            <w:pPr>
              <w:spacing w:before="240"/>
              <w:jc w:val="center"/>
              <w:rPr>
                <w:rFonts w:cs="Arial"/>
                <w:sz w:val="16"/>
                <w:szCs w:val="16"/>
              </w:rPr>
            </w:pPr>
          </w:p>
        </w:tc>
        <w:tc>
          <w:tcPr>
            <w:tcW w:w="384" w:type="dxa"/>
            <w:tcBorders>
              <w:top w:val="single" w:sz="4" w:space="0" w:color="auto"/>
              <w:left w:val="nil"/>
              <w:bottom w:val="single" w:sz="4" w:space="0" w:color="auto"/>
              <w:right w:val="single" w:sz="4" w:space="0" w:color="auto"/>
            </w:tcBorders>
            <w:shd w:val="clear" w:color="auto" w:fill="auto"/>
            <w:noWrap/>
            <w:tcMar>
              <w:left w:w="0" w:type="dxa"/>
              <w:right w:w="0" w:type="dxa"/>
            </w:tcMar>
            <w:vAlign w:val="center"/>
          </w:tcPr>
          <w:p w:rsidR="00123DC4" w:rsidRPr="00EC7C86" w:rsidRDefault="00123DC4" w:rsidP="00132057">
            <w:pPr>
              <w:spacing w:before="240"/>
              <w:jc w:val="center"/>
              <w:rPr>
                <w:rFonts w:cs="Arial"/>
                <w:sz w:val="16"/>
                <w:szCs w:val="16"/>
              </w:rPr>
            </w:pPr>
          </w:p>
        </w:tc>
        <w:tc>
          <w:tcPr>
            <w:tcW w:w="384" w:type="dxa"/>
            <w:gridSpan w:val="2"/>
            <w:tcBorders>
              <w:top w:val="single" w:sz="4" w:space="0" w:color="auto"/>
              <w:left w:val="nil"/>
              <w:bottom w:val="single" w:sz="4" w:space="0" w:color="auto"/>
              <w:right w:val="single" w:sz="8" w:space="0" w:color="auto"/>
            </w:tcBorders>
            <w:shd w:val="clear" w:color="auto" w:fill="auto"/>
            <w:noWrap/>
            <w:tcMar>
              <w:left w:w="0" w:type="dxa"/>
              <w:right w:w="0" w:type="dxa"/>
            </w:tcMar>
            <w:vAlign w:val="center"/>
          </w:tcPr>
          <w:p w:rsidR="00123DC4" w:rsidRPr="00EC7C86" w:rsidRDefault="00123DC4" w:rsidP="00132057">
            <w:pPr>
              <w:spacing w:before="240"/>
              <w:jc w:val="center"/>
              <w:rPr>
                <w:rFonts w:cs="Arial"/>
                <w:sz w:val="16"/>
                <w:szCs w:val="16"/>
              </w:rPr>
            </w:pPr>
          </w:p>
        </w:tc>
        <w:tc>
          <w:tcPr>
            <w:tcW w:w="384" w:type="dxa"/>
            <w:tcBorders>
              <w:top w:val="single" w:sz="4" w:space="0" w:color="auto"/>
              <w:left w:val="nil"/>
              <w:bottom w:val="single" w:sz="4" w:space="0" w:color="auto"/>
              <w:right w:val="single" w:sz="4" w:space="0" w:color="auto"/>
            </w:tcBorders>
            <w:shd w:val="clear" w:color="auto" w:fill="auto"/>
            <w:noWrap/>
            <w:tcMar>
              <w:left w:w="0" w:type="dxa"/>
              <w:right w:w="0" w:type="dxa"/>
            </w:tcMar>
            <w:vAlign w:val="center"/>
          </w:tcPr>
          <w:p w:rsidR="00123DC4" w:rsidRPr="00EC7C86" w:rsidRDefault="00123DC4" w:rsidP="00132057">
            <w:pPr>
              <w:spacing w:before="240"/>
              <w:jc w:val="center"/>
              <w:rPr>
                <w:rFonts w:cs="Arial"/>
                <w:sz w:val="16"/>
                <w:szCs w:val="16"/>
              </w:rPr>
            </w:pPr>
          </w:p>
        </w:tc>
        <w:tc>
          <w:tcPr>
            <w:tcW w:w="352" w:type="dxa"/>
            <w:tcBorders>
              <w:top w:val="single" w:sz="4" w:space="0" w:color="auto"/>
              <w:left w:val="nil"/>
              <w:bottom w:val="single" w:sz="4" w:space="0" w:color="auto"/>
              <w:right w:val="single" w:sz="4" w:space="0" w:color="auto"/>
            </w:tcBorders>
            <w:shd w:val="clear" w:color="auto" w:fill="auto"/>
            <w:noWrap/>
            <w:tcMar>
              <w:left w:w="0" w:type="dxa"/>
              <w:right w:w="0" w:type="dxa"/>
            </w:tcMar>
            <w:vAlign w:val="center"/>
          </w:tcPr>
          <w:p w:rsidR="00123DC4" w:rsidRPr="00EC7C86" w:rsidRDefault="00123DC4" w:rsidP="00132057">
            <w:pPr>
              <w:spacing w:before="240"/>
              <w:jc w:val="center"/>
              <w:rPr>
                <w:rFonts w:cs="Arial"/>
                <w:sz w:val="16"/>
                <w:szCs w:val="16"/>
              </w:rPr>
            </w:pPr>
          </w:p>
        </w:tc>
        <w:tc>
          <w:tcPr>
            <w:tcW w:w="384" w:type="dxa"/>
            <w:tcBorders>
              <w:top w:val="single" w:sz="4" w:space="0" w:color="auto"/>
              <w:left w:val="nil"/>
              <w:bottom w:val="single" w:sz="4" w:space="0" w:color="auto"/>
              <w:right w:val="single" w:sz="4" w:space="0" w:color="auto"/>
            </w:tcBorders>
            <w:shd w:val="clear" w:color="auto" w:fill="auto"/>
            <w:noWrap/>
            <w:tcMar>
              <w:left w:w="0" w:type="dxa"/>
              <w:right w:w="0" w:type="dxa"/>
            </w:tcMar>
            <w:vAlign w:val="center"/>
          </w:tcPr>
          <w:p w:rsidR="00123DC4" w:rsidRPr="0056209E" w:rsidRDefault="00123DC4" w:rsidP="00132057">
            <w:pPr>
              <w:spacing w:before="240"/>
              <w:jc w:val="center"/>
              <w:rPr>
                <w:rFonts w:cs="Arial"/>
                <w:sz w:val="16"/>
                <w:szCs w:val="16"/>
              </w:rPr>
            </w:pPr>
          </w:p>
        </w:tc>
        <w:tc>
          <w:tcPr>
            <w:tcW w:w="384" w:type="dxa"/>
            <w:tcBorders>
              <w:top w:val="single" w:sz="4" w:space="0" w:color="auto"/>
              <w:left w:val="nil"/>
              <w:bottom w:val="single" w:sz="4" w:space="0" w:color="auto"/>
              <w:right w:val="single" w:sz="8" w:space="0" w:color="auto"/>
            </w:tcBorders>
            <w:shd w:val="clear" w:color="auto" w:fill="auto"/>
            <w:noWrap/>
            <w:tcMar>
              <w:left w:w="0" w:type="dxa"/>
              <w:right w:w="0" w:type="dxa"/>
            </w:tcMar>
            <w:vAlign w:val="center"/>
          </w:tcPr>
          <w:p w:rsidR="00123DC4" w:rsidRPr="0056209E" w:rsidRDefault="00123DC4" w:rsidP="00132057">
            <w:pPr>
              <w:spacing w:before="240"/>
              <w:jc w:val="center"/>
              <w:rPr>
                <w:rFonts w:cs="Arial"/>
                <w:sz w:val="16"/>
                <w:szCs w:val="16"/>
              </w:rPr>
            </w:pPr>
          </w:p>
        </w:tc>
        <w:tc>
          <w:tcPr>
            <w:tcW w:w="385" w:type="dxa"/>
            <w:gridSpan w:val="2"/>
            <w:tcBorders>
              <w:top w:val="single" w:sz="4" w:space="0" w:color="auto"/>
              <w:left w:val="nil"/>
              <w:bottom w:val="single" w:sz="4" w:space="0" w:color="auto"/>
              <w:right w:val="single" w:sz="4" w:space="0" w:color="auto"/>
            </w:tcBorders>
            <w:shd w:val="clear" w:color="auto" w:fill="auto"/>
            <w:noWrap/>
            <w:tcMar>
              <w:left w:w="0" w:type="dxa"/>
              <w:right w:w="0" w:type="dxa"/>
            </w:tcMar>
            <w:vAlign w:val="center"/>
          </w:tcPr>
          <w:p w:rsidR="00123DC4" w:rsidRPr="0056209E" w:rsidRDefault="00123DC4" w:rsidP="00132057">
            <w:pPr>
              <w:spacing w:before="240"/>
              <w:jc w:val="center"/>
              <w:rPr>
                <w:rFonts w:cs="Arial"/>
                <w:sz w:val="16"/>
                <w:szCs w:val="16"/>
              </w:rPr>
            </w:pPr>
          </w:p>
        </w:tc>
        <w:tc>
          <w:tcPr>
            <w:tcW w:w="385" w:type="dxa"/>
            <w:tcBorders>
              <w:top w:val="single" w:sz="4" w:space="0" w:color="auto"/>
              <w:left w:val="nil"/>
              <w:bottom w:val="single" w:sz="4" w:space="0" w:color="auto"/>
              <w:right w:val="single" w:sz="4" w:space="0" w:color="auto"/>
            </w:tcBorders>
            <w:shd w:val="clear" w:color="auto" w:fill="auto"/>
            <w:noWrap/>
            <w:tcMar>
              <w:left w:w="0" w:type="dxa"/>
              <w:right w:w="0" w:type="dxa"/>
            </w:tcMar>
            <w:vAlign w:val="center"/>
          </w:tcPr>
          <w:p w:rsidR="00123DC4" w:rsidRPr="0056209E" w:rsidRDefault="00123DC4" w:rsidP="00132057">
            <w:pPr>
              <w:spacing w:before="240"/>
              <w:jc w:val="center"/>
              <w:rPr>
                <w:rFonts w:cs="Arial"/>
                <w:sz w:val="16"/>
                <w:szCs w:val="16"/>
              </w:rPr>
            </w:pPr>
          </w:p>
        </w:tc>
        <w:tc>
          <w:tcPr>
            <w:tcW w:w="385" w:type="dxa"/>
            <w:tcBorders>
              <w:top w:val="single" w:sz="4" w:space="0" w:color="auto"/>
              <w:left w:val="nil"/>
              <w:bottom w:val="single" w:sz="4" w:space="0" w:color="auto"/>
              <w:right w:val="single" w:sz="4" w:space="0" w:color="auto"/>
            </w:tcBorders>
            <w:shd w:val="clear" w:color="auto" w:fill="auto"/>
            <w:noWrap/>
            <w:tcMar>
              <w:left w:w="0" w:type="dxa"/>
              <w:right w:w="0" w:type="dxa"/>
            </w:tcMar>
            <w:vAlign w:val="center"/>
          </w:tcPr>
          <w:p w:rsidR="00123DC4" w:rsidRPr="0056209E" w:rsidRDefault="00123DC4" w:rsidP="00132057">
            <w:pPr>
              <w:spacing w:before="240"/>
              <w:jc w:val="center"/>
              <w:rPr>
                <w:rFonts w:cs="Arial"/>
                <w:sz w:val="16"/>
                <w:szCs w:val="16"/>
              </w:rPr>
            </w:pPr>
          </w:p>
        </w:tc>
        <w:tc>
          <w:tcPr>
            <w:tcW w:w="385" w:type="dxa"/>
            <w:tcBorders>
              <w:top w:val="single" w:sz="4" w:space="0" w:color="auto"/>
              <w:left w:val="nil"/>
              <w:bottom w:val="single" w:sz="4" w:space="0" w:color="auto"/>
              <w:right w:val="single" w:sz="8" w:space="0" w:color="auto"/>
            </w:tcBorders>
            <w:shd w:val="clear" w:color="auto" w:fill="auto"/>
            <w:noWrap/>
            <w:tcMar>
              <w:left w:w="0" w:type="dxa"/>
              <w:right w:w="0" w:type="dxa"/>
            </w:tcMar>
            <w:vAlign w:val="center"/>
          </w:tcPr>
          <w:p w:rsidR="00123DC4" w:rsidRPr="0056209E" w:rsidRDefault="00123DC4" w:rsidP="00132057">
            <w:pPr>
              <w:spacing w:before="240"/>
              <w:jc w:val="center"/>
              <w:rPr>
                <w:rFonts w:cs="Arial"/>
                <w:sz w:val="16"/>
                <w:szCs w:val="16"/>
              </w:rPr>
            </w:pPr>
          </w:p>
        </w:tc>
        <w:tc>
          <w:tcPr>
            <w:tcW w:w="385" w:type="dxa"/>
            <w:gridSpan w:val="2"/>
            <w:tcBorders>
              <w:top w:val="single" w:sz="4" w:space="0" w:color="auto"/>
              <w:left w:val="nil"/>
              <w:bottom w:val="single" w:sz="4" w:space="0" w:color="auto"/>
              <w:right w:val="single" w:sz="4" w:space="0" w:color="auto"/>
            </w:tcBorders>
            <w:shd w:val="clear" w:color="auto" w:fill="auto"/>
            <w:noWrap/>
            <w:tcMar>
              <w:left w:w="0" w:type="dxa"/>
              <w:right w:w="0" w:type="dxa"/>
            </w:tcMar>
            <w:vAlign w:val="center"/>
          </w:tcPr>
          <w:p w:rsidR="00123DC4" w:rsidRPr="0056209E" w:rsidRDefault="00123DC4" w:rsidP="00132057">
            <w:pPr>
              <w:spacing w:before="240"/>
              <w:jc w:val="center"/>
              <w:rPr>
                <w:rFonts w:cs="Arial"/>
                <w:sz w:val="16"/>
                <w:szCs w:val="16"/>
              </w:rPr>
            </w:pPr>
          </w:p>
        </w:tc>
        <w:tc>
          <w:tcPr>
            <w:tcW w:w="385" w:type="dxa"/>
            <w:tcBorders>
              <w:top w:val="single" w:sz="4" w:space="0" w:color="auto"/>
              <w:left w:val="nil"/>
              <w:bottom w:val="single" w:sz="4" w:space="0" w:color="auto"/>
              <w:right w:val="single" w:sz="4" w:space="0" w:color="auto"/>
            </w:tcBorders>
            <w:shd w:val="clear" w:color="auto" w:fill="auto"/>
            <w:noWrap/>
            <w:tcMar>
              <w:left w:w="0" w:type="dxa"/>
              <w:right w:w="0" w:type="dxa"/>
            </w:tcMar>
            <w:vAlign w:val="center"/>
          </w:tcPr>
          <w:p w:rsidR="00123DC4" w:rsidRPr="0056209E" w:rsidRDefault="00123DC4" w:rsidP="00132057">
            <w:pPr>
              <w:spacing w:before="240"/>
              <w:jc w:val="center"/>
              <w:rPr>
                <w:rFonts w:cs="Arial"/>
                <w:sz w:val="16"/>
                <w:szCs w:val="16"/>
              </w:rPr>
            </w:pPr>
          </w:p>
        </w:tc>
        <w:tc>
          <w:tcPr>
            <w:tcW w:w="385" w:type="dxa"/>
            <w:tcBorders>
              <w:top w:val="single" w:sz="4" w:space="0" w:color="auto"/>
              <w:left w:val="nil"/>
              <w:bottom w:val="single" w:sz="4" w:space="0" w:color="auto"/>
              <w:right w:val="single" w:sz="4" w:space="0" w:color="auto"/>
            </w:tcBorders>
            <w:shd w:val="clear" w:color="auto" w:fill="auto"/>
            <w:noWrap/>
            <w:tcMar>
              <w:left w:w="0" w:type="dxa"/>
              <w:right w:w="0" w:type="dxa"/>
            </w:tcMar>
            <w:vAlign w:val="center"/>
          </w:tcPr>
          <w:p w:rsidR="00123DC4" w:rsidRPr="0056209E" w:rsidRDefault="00123DC4" w:rsidP="00132057">
            <w:pPr>
              <w:spacing w:before="240"/>
              <w:jc w:val="center"/>
              <w:rPr>
                <w:rFonts w:cs="Arial"/>
                <w:sz w:val="16"/>
                <w:szCs w:val="16"/>
              </w:rPr>
            </w:pPr>
            <w:r w:rsidRPr="0056209E">
              <w:rPr>
                <w:rFonts w:cs="Arial"/>
                <w:sz w:val="16"/>
                <w:szCs w:val="16"/>
              </w:rPr>
              <w:t>X</w:t>
            </w:r>
          </w:p>
        </w:tc>
        <w:tc>
          <w:tcPr>
            <w:tcW w:w="385" w:type="dxa"/>
            <w:tcBorders>
              <w:top w:val="single" w:sz="4" w:space="0" w:color="auto"/>
              <w:left w:val="nil"/>
              <w:bottom w:val="single" w:sz="4" w:space="0" w:color="auto"/>
              <w:right w:val="single" w:sz="8" w:space="0" w:color="auto"/>
            </w:tcBorders>
            <w:shd w:val="clear" w:color="auto" w:fill="auto"/>
            <w:noWrap/>
            <w:tcMar>
              <w:left w:w="0" w:type="dxa"/>
              <w:right w:w="0" w:type="dxa"/>
            </w:tcMar>
            <w:vAlign w:val="center"/>
          </w:tcPr>
          <w:p w:rsidR="00123DC4" w:rsidRPr="0056209E" w:rsidRDefault="00123DC4" w:rsidP="00132057">
            <w:pPr>
              <w:spacing w:before="240"/>
              <w:jc w:val="center"/>
              <w:rPr>
                <w:rFonts w:cs="Arial"/>
                <w:sz w:val="16"/>
                <w:szCs w:val="16"/>
              </w:rPr>
            </w:pPr>
            <w:r w:rsidRPr="0056209E">
              <w:rPr>
                <w:rFonts w:cs="Arial"/>
                <w:sz w:val="16"/>
                <w:szCs w:val="16"/>
              </w:rPr>
              <w:t>X</w:t>
            </w:r>
          </w:p>
        </w:tc>
        <w:tc>
          <w:tcPr>
            <w:tcW w:w="347" w:type="dxa"/>
            <w:gridSpan w:val="2"/>
            <w:tcBorders>
              <w:top w:val="single" w:sz="4" w:space="0" w:color="auto"/>
              <w:left w:val="nil"/>
              <w:bottom w:val="single" w:sz="4" w:space="0" w:color="auto"/>
              <w:right w:val="single" w:sz="8" w:space="0" w:color="auto"/>
            </w:tcBorders>
            <w:tcMar>
              <w:left w:w="0" w:type="dxa"/>
              <w:right w:w="0" w:type="dxa"/>
            </w:tcMar>
            <w:vAlign w:val="center"/>
          </w:tcPr>
          <w:p w:rsidR="00123DC4" w:rsidRPr="0056209E" w:rsidRDefault="00123DC4" w:rsidP="00132057">
            <w:pPr>
              <w:spacing w:before="240"/>
              <w:jc w:val="center"/>
              <w:rPr>
                <w:rFonts w:cs="Arial"/>
                <w:sz w:val="16"/>
                <w:szCs w:val="16"/>
              </w:rPr>
            </w:pPr>
            <w:r w:rsidRPr="0056209E">
              <w:rPr>
                <w:rFonts w:cs="Arial"/>
                <w:sz w:val="16"/>
                <w:szCs w:val="16"/>
              </w:rPr>
              <w:t>X</w:t>
            </w:r>
          </w:p>
        </w:tc>
        <w:tc>
          <w:tcPr>
            <w:tcW w:w="413" w:type="dxa"/>
            <w:tcBorders>
              <w:top w:val="single" w:sz="4" w:space="0" w:color="auto"/>
              <w:left w:val="nil"/>
              <w:bottom w:val="single" w:sz="4" w:space="0" w:color="auto"/>
              <w:right w:val="single" w:sz="8" w:space="0" w:color="auto"/>
            </w:tcBorders>
            <w:tcMar>
              <w:left w:w="0" w:type="dxa"/>
              <w:right w:w="0" w:type="dxa"/>
            </w:tcMar>
            <w:vAlign w:val="center"/>
          </w:tcPr>
          <w:p w:rsidR="00123DC4" w:rsidRPr="0056209E" w:rsidRDefault="00123DC4" w:rsidP="00132057">
            <w:pPr>
              <w:spacing w:before="240"/>
              <w:jc w:val="center"/>
              <w:rPr>
                <w:rFonts w:cs="Arial"/>
                <w:sz w:val="16"/>
                <w:szCs w:val="16"/>
              </w:rPr>
            </w:pPr>
            <w:r w:rsidRPr="0056209E">
              <w:rPr>
                <w:rFonts w:cs="Arial"/>
                <w:sz w:val="16"/>
                <w:szCs w:val="16"/>
              </w:rPr>
              <w:t>X</w:t>
            </w:r>
          </w:p>
        </w:tc>
        <w:tc>
          <w:tcPr>
            <w:tcW w:w="350" w:type="dxa"/>
            <w:tcBorders>
              <w:top w:val="single" w:sz="4" w:space="0" w:color="auto"/>
              <w:left w:val="nil"/>
              <w:bottom w:val="single" w:sz="4" w:space="0" w:color="auto"/>
              <w:right w:val="single" w:sz="8" w:space="0" w:color="auto"/>
            </w:tcBorders>
            <w:vAlign w:val="center"/>
          </w:tcPr>
          <w:p w:rsidR="00123DC4" w:rsidRPr="0056209E" w:rsidRDefault="00123DC4" w:rsidP="00132057">
            <w:pPr>
              <w:spacing w:before="240"/>
              <w:jc w:val="center"/>
              <w:rPr>
                <w:rFonts w:cs="Arial"/>
                <w:sz w:val="16"/>
                <w:szCs w:val="16"/>
              </w:rPr>
            </w:pPr>
          </w:p>
        </w:tc>
        <w:tc>
          <w:tcPr>
            <w:tcW w:w="430" w:type="dxa"/>
            <w:tcBorders>
              <w:top w:val="single" w:sz="4" w:space="0" w:color="auto"/>
              <w:left w:val="nil"/>
              <w:bottom w:val="single" w:sz="4" w:space="0" w:color="auto"/>
              <w:right w:val="single" w:sz="4" w:space="0" w:color="auto"/>
            </w:tcBorders>
            <w:vAlign w:val="center"/>
          </w:tcPr>
          <w:p w:rsidR="00123DC4" w:rsidRPr="0056209E" w:rsidRDefault="00123DC4" w:rsidP="00132057">
            <w:pPr>
              <w:spacing w:before="240"/>
              <w:jc w:val="center"/>
              <w:rPr>
                <w:rFonts w:cs="Arial"/>
                <w:sz w:val="16"/>
                <w:szCs w:val="16"/>
              </w:rPr>
            </w:pPr>
          </w:p>
        </w:tc>
      </w:tr>
      <w:tr w:rsidR="00123DC4" w:rsidRPr="00EC7C86" w:rsidTr="00132057">
        <w:trPr>
          <w:trHeight w:val="305"/>
          <w:jc w:val="center"/>
        </w:trPr>
        <w:tc>
          <w:tcPr>
            <w:tcW w:w="1999" w:type="dxa"/>
            <w:tcBorders>
              <w:top w:val="single" w:sz="4" w:space="0" w:color="auto"/>
              <w:left w:val="single" w:sz="4" w:space="0" w:color="auto"/>
              <w:bottom w:val="single" w:sz="4" w:space="0" w:color="auto"/>
              <w:right w:val="single" w:sz="8" w:space="0" w:color="auto"/>
            </w:tcBorders>
            <w:shd w:val="clear" w:color="auto" w:fill="auto"/>
            <w:noWrap/>
            <w:vAlign w:val="center"/>
          </w:tcPr>
          <w:p w:rsidR="00123DC4" w:rsidRPr="00EC7C86" w:rsidRDefault="00123DC4" w:rsidP="00132057">
            <w:pPr>
              <w:autoSpaceDE w:val="0"/>
              <w:autoSpaceDN w:val="0"/>
              <w:adjustRightInd w:val="0"/>
              <w:spacing w:before="40" w:after="40"/>
              <w:rPr>
                <w:rFonts w:cs="Arial"/>
                <w:b/>
                <w:bCs/>
                <w:sz w:val="16"/>
                <w:szCs w:val="16"/>
              </w:rPr>
            </w:pPr>
            <w:r w:rsidRPr="006F1378">
              <w:rPr>
                <w:color w:val="000000"/>
                <w:sz w:val="16"/>
                <w:szCs w:val="16"/>
              </w:rPr>
              <w:t>Commissioning</w:t>
            </w:r>
          </w:p>
        </w:tc>
        <w:tc>
          <w:tcPr>
            <w:tcW w:w="391" w:type="dxa"/>
            <w:tcBorders>
              <w:top w:val="single" w:sz="4" w:space="0" w:color="auto"/>
              <w:left w:val="nil"/>
              <w:bottom w:val="single" w:sz="4" w:space="0" w:color="auto"/>
              <w:right w:val="single" w:sz="4" w:space="0" w:color="auto"/>
            </w:tcBorders>
            <w:shd w:val="clear" w:color="auto" w:fill="auto"/>
            <w:noWrap/>
            <w:tcMar>
              <w:left w:w="0" w:type="dxa"/>
              <w:right w:w="0" w:type="dxa"/>
            </w:tcMar>
            <w:vAlign w:val="center"/>
          </w:tcPr>
          <w:p w:rsidR="00123DC4" w:rsidRPr="00EC7C86" w:rsidRDefault="00123DC4" w:rsidP="00132057">
            <w:pPr>
              <w:spacing w:before="240"/>
              <w:jc w:val="center"/>
              <w:rPr>
                <w:rFonts w:cs="Arial"/>
                <w:sz w:val="16"/>
                <w:szCs w:val="16"/>
              </w:rPr>
            </w:pPr>
          </w:p>
        </w:tc>
        <w:tc>
          <w:tcPr>
            <w:tcW w:w="384" w:type="dxa"/>
            <w:tcBorders>
              <w:top w:val="single" w:sz="4" w:space="0" w:color="auto"/>
              <w:left w:val="nil"/>
              <w:bottom w:val="single" w:sz="4" w:space="0" w:color="auto"/>
              <w:right w:val="single" w:sz="4" w:space="0" w:color="auto"/>
            </w:tcBorders>
            <w:shd w:val="clear" w:color="auto" w:fill="auto"/>
            <w:noWrap/>
            <w:tcMar>
              <w:left w:w="0" w:type="dxa"/>
              <w:right w:w="0" w:type="dxa"/>
            </w:tcMar>
            <w:vAlign w:val="center"/>
          </w:tcPr>
          <w:p w:rsidR="00123DC4" w:rsidRPr="00EC7C86" w:rsidRDefault="00123DC4" w:rsidP="00132057">
            <w:pPr>
              <w:spacing w:before="240"/>
              <w:jc w:val="center"/>
              <w:rPr>
                <w:rFonts w:cs="Arial"/>
                <w:sz w:val="16"/>
                <w:szCs w:val="16"/>
              </w:rPr>
            </w:pPr>
          </w:p>
        </w:tc>
        <w:tc>
          <w:tcPr>
            <w:tcW w:w="384" w:type="dxa"/>
            <w:tcBorders>
              <w:top w:val="single" w:sz="4" w:space="0" w:color="auto"/>
              <w:left w:val="nil"/>
              <w:bottom w:val="single" w:sz="4" w:space="0" w:color="auto"/>
              <w:right w:val="single" w:sz="4" w:space="0" w:color="auto"/>
            </w:tcBorders>
            <w:shd w:val="clear" w:color="auto" w:fill="auto"/>
            <w:noWrap/>
            <w:tcMar>
              <w:left w:w="0" w:type="dxa"/>
              <w:right w:w="0" w:type="dxa"/>
            </w:tcMar>
            <w:vAlign w:val="center"/>
          </w:tcPr>
          <w:p w:rsidR="00123DC4" w:rsidRPr="00EC7C86" w:rsidRDefault="00123DC4" w:rsidP="00132057">
            <w:pPr>
              <w:spacing w:before="240"/>
              <w:jc w:val="center"/>
              <w:rPr>
                <w:rFonts w:cs="Arial"/>
                <w:sz w:val="16"/>
                <w:szCs w:val="16"/>
              </w:rPr>
            </w:pPr>
          </w:p>
        </w:tc>
        <w:tc>
          <w:tcPr>
            <w:tcW w:w="384" w:type="dxa"/>
            <w:gridSpan w:val="2"/>
            <w:tcBorders>
              <w:top w:val="single" w:sz="4" w:space="0" w:color="auto"/>
              <w:left w:val="nil"/>
              <w:bottom w:val="single" w:sz="4" w:space="0" w:color="auto"/>
              <w:right w:val="single" w:sz="8" w:space="0" w:color="auto"/>
            </w:tcBorders>
            <w:shd w:val="clear" w:color="auto" w:fill="auto"/>
            <w:noWrap/>
            <w:tcMar>
              <w:left w:w="0" w:type="dxa"/>
              <w:right w:w="0" w:type="dxa"/>
            </w:tcMar>
            <w:vAlign w:val="center"/>
          </w:tcPr>
          <w:p w:rsidR="00123DC4" w:rsidRPr="00EC7C86" w:rsidRDefault="00123DC4" w:rsidP="00132057">
            <w:pPr>
              <w:spacing w:before="240"/>
              <w:jc w:val="center"/>
              <w:rPr>
                <w:rFonts w:cs="Arial"/>
                <w:sz w:val="16"/>
                <w:szCs w:val="16"/>
              </w:rPr>
            </w:pPr>
          </w:p>
        </w:tc>
        <w:tc>
          <w:tcPr>
            <w:tcW w:w="384" w:type="dxa"/>
            <w:tcBorders>
              <w:top w:val="single" w:sz="4" w:space="0" w:color="auto"/>
              <w:left w:val="nil"/>
              <w:bottom w:val="single" w:sz="4" w:space="0" w:color="auto"/>
              <w:right w:val="single" w:sz="4" w:space="0" w:color="auto"/>
            </w:tcBorders>
            <w:shd w:val="clear" w:color="auto" w:fill="auto"/>
            <w:noWrap/>
            <w:tcMar>
              <w:left w:w="0" w:type="dxa"/>
              <w:right w:w="0" w:type="dxa"/>
            </w:tcMar>
            <w:vAlign w:val="center"/>
          </w:tcPr>
          <w:p w:rsidR="00123DC4" w:rsidRPr="00EC7C86" w:rsidRDefault="00123DC4" w:rsidP="00132057">
            <w:pPr>
              <w:spacing w:before="240"/>
              <w:jc w:val="center"/>
              <w:rPr>
                <w:rFonts w:cs="Arial"/>
                <w:sz w:val="16"/>
                <w:szCs w:val="16"/>
              </w:rPr>
            </w:pPr>
          </w:p>
        </w:tc>
        <w:tc>
          <w:tcPr>
            <w:tcW w:w="352" w:type="dxa"/>
            <w:tcBorders>
              <w:top w:val="single" w:sz="4" w:space="0" w:color="auto"/>
              <w:left w:val="nil"/>
              <w:bottom w:val="single" w:sz="4" w:space="0" w:color="auto"/>
              <w:right w:val="single" w:sz="4" w:space="0" w:color="auto"/>
            </w:tcBorders>
            <w:shd w:val="clear" w:color="auto" w:fill="auto"/>
            <w:noWrap/>
            <w:tcMar>
              <w:left w:w="0" w:type="dxa"/>
              <w:right w:w="0" w:type="dxa"/>
            </w:tcMar>
            <w:vAlign w:val="center"/>
          </w:tcPr>
          <w:p w:rsidR="00123DC4" w:rsidRPr="00EC7C86" w:rsidRDefault="00123DC4" w:rsidP="00132057">
            <w:pPr>
              <w:spacing w:before="240"/>
              <w:jc w:val="center"/>
              <w:rPr>
                <w:rFonts w:cs="Arial"/>
                <w:sz w:val="16"/>
                <w:szCs w:val="16"/>
              </w:rPr>
            </w:pPr>
          </w:p>
        </w:tc>
        <w:tc>
          <w:tcPr>
            <w:tcW w:w="384" w:type="dxa"/>
            <w:tcBorders>
              <w:top w:val="single" w:sz="4" w:space="0" w:color="auto"/>
              <w:left w:val="nil"/>
              <w:bottom w:val="single" w:sz="4" w:space="0" w:color="auto"/>
              <w:right w:val="single" w:sz="4" w:space="0" w:color="auto"/>
            </w:tcBorders>
            <w:shd w:val="clear" w:color="auto" w:fill="auto"/>
            <w:noWrap/>
            <w:tcMar>
              <w:left w:w="0" w:type="dxa"/>
              <w:right w:w="0" w:type="dxa"/>
            </w:tcMar>
            <w:vAlign w:val="center"/>
          </w:tcPr>
          <w:p w:rsidR="00123DC4" w:rsidRPr="0056209E" w:rsidRDefault="00123DC4" w:rsidP="00132057">
            <w:pPr>
              <w:spacing w:before="240"/>
              <w:jc w:val="center"/>
              <w:rPr>
                <w:rFonts w:cs="Arial"/>
                <w:sz w:val="16"/>
                <w:szCs w:val="16"/>
              </w:rPr>
            </w:pPr>
          </w:p>
        </w:tc>
        <w:tc>
          <w:tcPr>
            <w:tcW w:w="384" w:type="dxa"/>
            <w:tcBorders>
              <w:top w:val="single" w:sz="4" w:space="0" w:color="auto"/>
              <w:left w:val="nil"/>
              <w:bottom w:val="single" w:sz="4" w:space="0" w:color="auto"/>
              <w:right w:val="single" w:sz="8" w:space="0" w:color="auto"/>
            </w:tcBorders>
            <w:shd w:val="clear" w:color="auto" w:fill="auto"/>
            <w:noWrap/>
            <w:tcMar>
              <w:left w:w="0" w:type="dxa"/>
              <w:right w:w="0" w:type="dxa"/>
            </w:tcMar>
            <w:vAlign w:val="center"/>
          </w:tcPr>
          <w:p w:rsidR="00123DC4" w:rsidRPr="0056209E" w:rsidRDefault="00123DC4" w:rsidP="00132057">
            <w:pPr>
              <w:spacing w:before="240"/>
              <w:jc w:val="center"/>
              <w:rPr>
                <w:rFonts w:cs="Arial"/>
                <w:sz w:val="16"/>
                <w:szCs w:val="16"/>
              </w:rPr>
            </w:pPr>
          </w:p>
        </w:tc>
        <w:tc>
          <w:tcPr>
            <w:tcW w:w="385" w:type="dxa"/>
            <w:gridSpan w:val="2"/>
            <w:tcBorders>
              <w:top w:val="single" w:sz="4" w:space="0" w:color="auto"/>
              <w:left w:val="nil"/>
              <w:bottom w:val="single" w:sz="4" w:space="0" w:color="auto"/>
              <w:right w:val="single" w:sz="4" w:space="0" w:color="auto"/>
            </w:tcBorders>
            <w:shd w:val="clear" w:color="auto" w:fill="auto"/>
            <w:noWrap/>
            <w:tcMar>
              <w:left w:w="0" w:type="dxa"/>
              <w:right w:w="0" w:type="dxa"/>
            </w:tcMar>
            <w:vAlign w:val="center"/>
          </w:tcPr>
          <w:p w:rsidR="00123DC4" w:rsidRPr="0056209E" w:rsidRDefault="00123DC4" w:rsidP="00132057">
            <w:pPr>
              <w:spacing w:before="240"/>
              <w:jc w:val="center"/>
              <w:rPr>
                <w:rFonts w:cs="Arial"/>
                <w:sz w:val="16"/>
                <w:szCs w:val="16"/>
              </w:rPr>
            </w:pPr>
          </w:p>
        </w:tc>
        <w:tc>
          <w:tcPr>
            <w:tcW w:w="385" w:type="dxa"/>
            <w:tcBorders>
              <w:top w:val="single" w:sz="4" w:space="0" w:color="auto"/>
              <w:left w:val="nil"/>
              <w:bottom w:val="single" w:sz="4" w:space="0" w:color="auto"/>
              <w:right w:val="single" w:sz="4" w:space="0" w:color="auto"/>
            </w:tcBorders>
            <w:shd w:val="clear" w:color="auto" w:fill="auto"/>
            <w:noWrap/>
            <w:tcMar>
              <w:left w:w="0" w:type="dxa"/>
              <w:right w:w="0" w:type="dxa"/>
            </w:tcMar>
            <w:vAlign w:val="center"/>
          </w:tcPr>
          <w:p w:rsidR="00123DC4" w:rsidRPr="0056209E" w:rsidRDefault="00123DC4" w:rsidP="00132057">
            <w:pPr>
              <w:spacing w:before="240"/>
              <w:jc w:val="center"/>
              <w:rPr>
                <w:rFonts w:cs="Arial"/>
                <w:sz w:val="16"/>
                <w:szCs w:val="16"/>
              </w:rPr>
            </w:pPr>
          </w:p>
        </w:tc>
        <w:tc>
          <w:tcPr>
            <w:tcW w:w="385" w:type="dxa"/>
            <w:tcBorders>
              <w:top w:val="single" w:sz="4" w:space="0" w:color="auto"/>
              <w:left w:val="nil"/>
              <w:bottom w:val="single" w:sz="4" w:space="0" w:color="auto"/>
              <w:right w:val="single" w:sz="4" w:space="0" w:color="auto"/>
            </w:tcBorders>
            <w:shd w:val="clear" w:color="auto" w:fill="auto"/>
            <w:noWrap/>
            <w:tcMar>
              <w:left w:w="0" w:type="dxa"/>
              <w:right w:w="0" w:type="dxa"/>
            </w:tcMar>
            <w:vAlign w:val="center"/>
          </w:tcPr>
          <w:p w:rsidR="00123DC4" w:rsidRPr="0056209E" w:rsidRDefault="00123DC4" w:rsidP="00132057">
            <w:pPr>
              <w:spacing w:before="240"/>
              <w:jc w:val="center"/>
              <w:rPr>
                <w:rFonts w:cs="Arial"/>
                <w:sz w:val="16"/>
                <w:szCs w:val="16"/>
              </w:rPr>
            </w:pPr>
          </w:p>
        </w:tc>
        <w:tc>
          <w:tcPr>
            <w:tcW w:w="385" w:type="dxa"/>
            <w:tcBorders>
              <w:top w:val="single" w:sz="4" w:space="0" w:color="auto"/>
              <w:left w:val="nil"/>
              <w:bottom w:val="single" w:sz="4" w:space="0" w:color="auto"/>
              <w:right w:val="single" w:sz="8" w:space="0" w:color="auto"/>
            </w:tcBorders>
            <w:shd w:val="clear" w:color="auto" w:fill="auto"/>
            <w:noWrap/>
            <w:tcMar>
              <w:left w:w="0" w:type="dxa"/>
              <w:right w:w="0" w:type="dxa"/>
            </w:tcMar>
            <w:vAlign w:val="center"/>
          </w:tcPr>
          <w:p w:rsidR="00123DC4" w:rsidRPr="0056209E" w:rsidRDefault="00123DC4" w:rsidP="00132057">
            <w:pPr>
              <w:spacing w:before="240"/>
              <w:jc w:val="center"/>
              <w:rPr>
                <w:rFonts w:cs="Arial"/>
                <w:sz w:val="16"/>
                <w:szCs w:val="16"/>
              </w:rPr>
            </w:pPr>
          </w:p>
        </w:tc>
        <w:tc>
          <w:tcPr>
            <w:tcW w:w="385" w:type="dxa"/>
            <w:gridSpan w:val="2"/>
            <w:tcBorders>
              <w:top w:val="single" w:sz="4" w:space="0" w:color="auto"/>
              <w:left w:val="nil"/>
              <w:bottom w:val="single" w:sz="4" w:space="0" w:color="auto"/>
              <w:right w:val="single" w:sz="4" w:space="0" w:color="auto"/>
            </w:tcBorders>
            <w:shd w:val="clear" w:color="auto" w:fill="auto"/>
            <w:noWrap/>
            <w:tcMar>
              <w:left w:w="0" w:type="dxa"/>
              <w:right w:w="0" w:type="dxa"/>
            </w:tcMar>
            <w:vAlign w:val="center"/>
          </w:tcPr>
          <w:p w:rsidR="00123DC4" w:rsidRPr="0056209E" w:rsidRDefault="00123DC4" w:rsidP="00132057">
            <w:pPr>
              <w:spacing w:before="240"/>
              <w:jc w:val="center"/>
              <w:rPr>
                <w:rFonts w:cs="Arial"/>
                <w:sz w:val="16"/>
                <w:szCs w:val="16"/>
              </w:rPr>
            </w:pPr>
          </w:p>
        </w:tc>
        <w:tc>
          <w:tcPr>
            <w:tcW w:w="385" w:type="dxa"/>
            <w:tcBorders>
              <w:top w:val="single" w:sz="4" w:space="0" w:color="auto"/>
              <w:left w:val="nil"/>
              <w:bottom w:val="single" w:sz="4" w:space="0" w:color="auto"/>
              <w:right w:val="single" w:sz="4" w:space="0" w:color="auto"/>
            </w:tcBorders>
            <w:shd w:val="clear" w:color="auto" w:fill="auto"/>
            <w:noWrap/>
            <w:tcMar>
              <w:left w:w="0" w:type="dxa"/>
              <w:right w:w="0" w:type="dxa"/>
            </w:tcMar>
            <w:vAlign w:val="center"/>
          </w:tcPr>
          <w:p w:rsidR="00123DC4" w:rsidRPr="0056209E" w:rsidRDefault="00123DC4" w:rsidP="00132057">
            <w:pPr>
              <w:spacing w:before="240"/>
              <w:jc w:val="center"/>
              <w:rPr>
                <w:rFonts w:cs="Arial"/>
                <w:sz w:val="16"/>
                <w:szCs w:val="16"/>
              </w:rPr>
            </w:pPr>
          </w:p>
        </w:tc>
        <w:tc>
          <w:tcPr>
            <w:tcW w:w="385" w:type="dxa"/>
            <w:tcBorders>
              <w:top w:val="single" w:sz="4" w:space="0" w:color="auto"/>
              <w:left w:val="nil"/>
              <w:bottom w:val="single" w:sz="4" w:space="0" w:color="auto"/>
              <w:right w:val="single" w:sz="4" w:space="0" w:color="auto"/>
            </w:tcBorders>
            <w:shd w:val="clear" w:color="auto" w:fill="auto"/>
            <w:noWrap/>
            <w:tcMar>
              <w:left w:w="0" w:type="dxa"/>
              <w:right w:w="0" w:type="dxa"/>
            </w:tcMar>
            <w:vAlign w:val="center"/>
          </w:tcPr>
          <w:p w:rsidR="00123DC4" w:rsidRPr="0056209E" w:rsidRDefault="00123DC4" w:rsidP="00132057">
            <w:pPr>
              <w:spacing w:before="240"/>
              <w:jc w:val="center"/>
              <w:rPr>
                <w:rFonts w:cs="Arial"/>
                <w:sz w:val="16"/>
                <w:szCs w:val="16"/>
              </w:rPr>
            </w:pPr>
          </w:p>
        </w:tc>
        <w:tc>
          <w:tcPr>
            <w:tcW w:w="385" w:type="dxa"/>
            <w:tcBorders>
              <w:top w:val="single" w:sz="4" w:space="0" w:color="auto"/>
              <w:left w:val="nil"/>
              <w:bottom w:val="single" w:sz="4" w:space="0" w:color="auto"/>
              <w:right w:val="single" w:sz="8" w:space="0" w:color="auto"/>
            </w:tcBorders>
            <w:shd w:val="clear" w:color="auto" w:fill="auto"/>
            <w:noWrap/>
            <w:tcMar>
              <w:left w:w="0" w:type="dxa"/>
              <w:right w:w="0" w:type="dxa"/>
            </w:tcMar>
            <w:vAlign w:val="center"/>
          </w:tcPr>
          <w:p w:rsidR="00123DC4" w:rsidRPr="0056209E" w:rsidRDefault="00123DC4" w:rsidP="00132057">
            <w:pPr>
              <w:spacing w:before="240"/>
              <w:jc w:val="center"/>
              <w:rPr>
                <w:rFonts w:cs="Arial"/>
                <w:sz w:val="16"/>
                <w:szCs w:val="16"/>
              </w:rPr>
            </w:pPr>
          </w:p>
        </w:tc>
        <w:tc>
          <w:tcPr>
            <w:tcW w:w="347" w:type="dxa"/>
            <w:gridSpan w:val="2"/>
            <w:tcBorders>
              <w:top w:val="single" w:sz="4" w:space="0" w:color="auto"/>
              <w:left w:val="nil"/>
              <w:bottom w:val="single" w:sz="4" w:space="0" w:color="auto"/>
              <w:right w:val="single" w:sz="8" w:space="0" w:color="auto"/>
            </w:tcBorders>
            <w:shd w:val="clear" w:color="auto" w:fill="auto"/>
            <w:tcMar>
              <w:left w:w="0" w:type="dxa"/>
              <w:right w:w="0" w:type="dxa"/>
            </w:tcMar>
            <w:vAlign w:val="center"/>
          </w:tcPr>
          <w:p w:rsidR="00123DC4" w:rsidRPr="0056209E" w:rsidRDefault="00123DC4" w:rsidP="00132057">
            <w:pPr>
              <w:spacing w:before="240"/>
              <w:jc w:val="center"/>
              <w:rPr>
                <w:rFonts w:cs="Arial"/>
                <w:sz w:val="16"/>
                <w:szCs w:val="16"/>
              </w:rPr>
            </w:pPr>
          </w:p>
        </w:tc>
        <w:tc>
          <w:tcPr>
            <w:tcW w:w="413" w:type="dxa"/>
            <w:tcBorders>
              <w:top w:val="single" w:sz="4" w:space="0" w:color="auto"/>
              <w:left w:val="nil"/>
              <w:bottom w:val="single" w:sz="4" w:space="0" w:color="auto"/>
              <w:right w:val="single" w:sz="8" w:space="0" w:color="auto"/>
            </w:tcBorders>
            <w:shd w:val="clear" w:color="auto" w:fill="auto"/>
            <w:tcMar>
              <w:left w:w="0" w:type="dxa"/>
              <w:right w:w="0" w:type="dxa"/>
            </w:tcMar>
            <w:vAlign w:val="center"/>
          </w:tcPr>
          <w:p w:rsidR="00123DC4" w:rsidRPr="0056209E" w:rsidRDefault="00123DC4" w:rsidP="00132057">
            <w:pPr>
              <w:spacing w:before="240"/>
              <w:jc w:val="center"/>
              <w:rPr>
                <w:rFonts w:cs="Arial"/>
                <w:sz w:val="16"/>
                <w:szCs w:val="16"/>
              </w:rPr>
            </w:pPr>
          </w:p>
        </w:tc>
        <w:tc>
          <w:tcPr>
            <w:tcW w:w="350" w:type="dxa"/>
            <w:tcBorders>
              <w:top w:val="single" w:sz="4" w:space="0" w:color="auto"/>
              <w:left w:val="nil"/>
              <w:bottom w:val="single" w:sz="4" w:space="0" w:color="auto"/>
              <w:right w:val="single" w:sz="8" w:space="0" w:color="auto"/>
            </w:tcBorders>
            <w:vAlign w:val="center"/>
          </w:tcPr>
          <w:p w:rsidR="00123DC4" w:rsidRPr="0056209E" w:rsidRDefault="00123DC4" w:rsidP="00132057">
            <w:pPr>
              <w:spacing w:before="240"/>
              <w:jc w:val="center"/>
              <w:rPr>
                <w:rFonts w:cs="Arial"/>
                <w:sz w:val="16"/>
                <w:szCs w:val="16"/>
              </w:rPr>
            </w:pPr>
            <w:r w:rsidRPr="0056209E">
              <w:rPr>
                <w:rFonts w:cs="Arial"/>
                <w:sz w:val="16"/>
                <w:szCs w:val="16"/>
              </w:rPr>
              <w:t>X</w:t>
            </w:r>
          </w:p>
        </w:tc>
        <w:tc>
          <w:tcPr>
            <w:tcW w:w="430" w:type="dxa"/>
            <w:tcBorders>
              <w:top w:val="single" w:sz="4" w:space="0" w:color="auto"/>
              <w:left w:val="nil"/>
              <w:bottom w:val="single" w:sz="4" w:space="0" w:color="auto"/>
              <w:right w:val="single" w:sz="4" w:space="0" w:color="auto"/>
            </w:tcBorders>
            <w:vAlign w:val="center"/>
          </w:tcPr>
          <w:p w:rsidR="00123DC4" w:rsidRPr="0056209E" w:rsidRDefault="00123DC4" w:rsidP="00132057">
            <w:pPr>
              <w:spacing w:before="240"/>
              <w:jc w:val="center"/>
              <w:rPr>
                <w:rFonts w:cs="Arial"/>
                <w:sz w:val="16"/>
                <w:szCs w:val="16"/>
              </w:rPr>
            </w:pPr>
            <w:r w:rsidRPr="0056209E">
              <w:rPr>
                <w:rFonts w:cs="Arial"/>
                <w:sz w:val="16"/>
                <w:szCs w:val="16"/>
              </w:rPr>
              <w:t>X</w:t>
            </w:r>
          </w:p>
        </w:tc>
      </w:tr>
    </w:tbl>
    <w:p w:rsidR="00123DC4" w:rsidRDefault="00123DC4" w:rsidP="00132057">
      <w:pPr>
        <w:rPr>
          <w:b/>
          <w:sz w:val="22"/>
        </w:rPr>
      </w:pPr>
    </w:p>
    <w:p w:rsidR="00123DC4" w:rsidRDefault="00123DC4">
      <w:pPr>
        <w:spacing w:after="200" w:line="276" w:lineRule="auto"/>
        <w:rPr>
          <w:b/>
          <w:sz w:val="22"/>
        </w:rPr>
      </w:pPr>
      <w:r>
        <w:rPr>
          <w:b/>
          <w:sz w:val="22"/>
        </w:rPr>
        <w:br w:type="page"/>
      </w:r>
    </w:p>
    <w:p w:rsidR="00123DC4" w:rsidRPr="00994B87" w:rsidRDefault="00123DC4" w:rsidP="00132057">
      <w:pPr>
        <w:rPr>
          <w:b/>
          <w:sz w:val="22"/>
        </w:rPr>
      </w:pPr>
      <w:r w:rsidRPr="00994B87">
        <w:rPr>
          <w:b/>
          <w:sz w:val="22"/>
        </w:rPr>
        <w:t>BUILDINGS</w:t>
      </w:r>
      <w:r w:rsidRPr="00994B87">
        <w:rPr>
          <w:b/>
          <w:bCs/>
          <w:sz w:val="22"/>
        </w:rPr>
        <w:t>–</w:t>
      </w:r>
      <w:r w:rsidRPr="00994B87">
        <w:rPr>
          <w:b/>
          <w:sz w:val="22"/>
        </w:rPr>
        <w:t>RELATED PROJECTS</w:t>
      </w:r>
    </w:p>
    <w:p w:rsidR="00123DC4" w:rsidRPr="00456D61" w:rsidRDefault="00123DC4" w:rsidP="00132057">
      <w:pPr>
        <w:pStyle w:val="StyleHeading3BoldNounderline"/>
        <w:ind w:left="1440" w:hanging="1440"/>
        <w:rPr>
          <w:b/>
          <w:sz w:val="20"/>
        </w:rPr>
      </w:pPr>
      <w:bookmarkStart w:id="126" w:name="_Toc422210526"/>
      <w:bookmarkStart w:id="127" w:name="_Toc454544511"/>
      <w:r w:rsidRPr="00456D61">
        <w:rPr>
          <w:b/>
          <w:sz w:val="20"/>
        </w:rPr>
        <w:t>PROJECT</w:t>
      </w:r>
      <w:r>
        <w:rPr>
          <w:b/>
          <w:sz w:val="20"/>
        </w:rPr>
        <w:t xml:space="preserve"> 4</w:t>
      </w:r>
      <w:r>
        <w:rPr>
          <w:b/>
          <w:sz w:val="20"/>
        </w:rPr>
        <w:tab/>
      </w:r>
      <w:r w:rsidRPr="00456D61">
        <w:rPr>
          <w:b/>
          <w:sz w:val="20"/>
        </w:rPr>
        <w:t>DEPLOYMENT OF GENEVA LAKE WATER (“GLN”) COOLING SYSTEM TO AB AND PCT BUILDINGS (CMP 4)</w:t>
      </w:r>
      <w:bookmarkEnd w:id="126"/>
      <w:bookmarkEnd w:id="127"/>
    </w:p>
    <w:p w:rsidR="00123DC4" w:rsidRPr="00800070" w:rsidRDefault="00123DC4" w:rsidP="00132057">
      <w:pPr>
        <w:rPr>
          <w:szCs w:val="20"/>
        </w:rPr>
      </w:pPr>
    </w:p>
    <w:p w:rsidR="00123DC4" w:rsidRPr="00800070" w:rsidRDefault="00123DC4" w:rsidP="00132057">
      <w:pPr>
        <w:rPr>
          <w:b/>
          <w:szCs w:val="20"/>
        </w:rPr>
      </w:pPr>
      <w:r w:rsidRPr="00800070">
        <w:rPr>
          <w:b/>
          <w:color w:val="000000"/>
          <w:szCs w:val="20"/>
        </w:rPr>
        <w:t>Project Manager</w:t>
      </w:r>
      <w:r>
        <w:rPr>
          <w:b/>
          <w:color w:val="000000"/>
          <w:szCs w:val="20"/>
        </w:rPr>
        <w:tab/>
      </w:r>
      <w:r w:rsidRPr="00800070">
        <w:rPr>
          <w:b/>
          <w:color w:val="000000"/>
          <w:szCs w:val="20"/>
        </w:rPr>
        <w:t>Mr.</w:t>
      </w:r>
      <w:r w:rsidRPr="00800070">
        <w:rPr>
          <w:b/>
          <w:szCs w:val="20"/>
        </w:rPr>
        <w:t xml:space="preserve"> A. FAVERO</w:t>
      </w:r>
    </w:p>
    <w:p w:rsidR="00123DC4" w:rsidRPr="00800070" w:rsidRDefault="00123DC4" w:rsidP="00132057">
      <w:pPr>
        <w:rPr>
          <w:szCs w:val="20"/>
        </w:rPr>
      </w:pPr>
    </w:p>
    <w:p w:rsidR="00123DC4" w:rsidRPr="00811367" w:rsidRDefault="00123DC4" w:rsidP="00132057">
      <w:pPr>
        <w:rPr>
          <w:bCs/>
          <w:szCs w:val="22"/>
        </w:rPr>
      </w:pPr>
      <w:r w:rsidRPr="00811367">
        <w:rPr>
          <w:bCs/>
          <w:szCs w:val="22"/>
        </w:rPr>
        <w:t>EXPECTED RESULT</w:t>
      </w:r>
    </w:p>
    <w:p w:rsidR="00123DC4" w:rsidRPr="00811367" w:rsidRDefault="00123DC4" w:rsidP="00132057">
      <w:pPr>
        <w:rPr>
          <w:bCs/>
          <w:sz w:val="18"/>
          <w:szCs w:val="20"/>
        </w:rPr>
      </w:pPr>
    </w:p>
    <w:p w:rsidR="00123DC4" w:rsidRPr="00811367" w:rsidRDefault="00123DC4" w:rsidP="00132057">
      <w:pPr>
        <w:rPr>
          <w:i/>
          <w:iCs/>
          <w:szCs w:val="20"/>
        </w:rPr>
      </w:pPr>
      <w:r w:rsidRPr="00811367">
        <w:rPr>
          <w:i/>
          <w:iCs/>
          <w:szCs w:val="20"/>
        </w:rPr>
        <w:t>IX.1  Effective, efficient, quality and customer-oriented support services both to internal clients and to external stakeholders</w:t>
      </w:r>
    </w:p>
    <w:p w:rsidR="00123DC4" w:rsidRPr="00811367" w:rsidRDefault="00123DC4" w:rsidP="00132057">
      <w:pPr>
        <w:rPr>
          <w:bCs/>
          <w:color w:val="000000"/>
          <w:sz w:val="18"/>
          <w:szCs w:val="20"/>
        </w:rPr>
      </w:pPr>
    </w:p>
    <w:p w:rsidR="00545826" w:rsidRDefault="00545826" w:rsidP="00132057">
      <w:pPr>
        <w:rPr>
          <w:bCs/>
          <w:color w:val="000000"/>
          <w:szCs w:val="22"/>
        </w:rPr>
      </w:pPr>
    </w:p>
    <w:p w:rsidR="00123DC4" w:rsidRPr="00C31DF2" w:rsidRDefault="00123DC4" w:rsidP="00132057">
      <w:pPr>
        <w:rPr>
          <w:bCs/>
          <w:sz w:val="22"/>
          <w:szCs w:val="22"/>
        </w:rPr>
      </w:pPr>
      <w:r w:rsidRPr="00811367">
        <w:rPr>
          <w:bCs/>
          <w:color w:val="000000"/>
          <w:szCs w:val="22"/>
        </w:rPr>
        <w:t>OBJECTIVES, SCOPE AND APPROACH- BACKGROUND</w:t>
      </w:r>
    </w:p>
    <w:p w:rsidR="00123DC4" w:rsidRPr="00800070" w:rsidRDefault="00123DC4" w:rsidP="00132057">
      <w:pPr>
        <w:rPr>
          <w:bCs/>
          <w:szCs w:val="20"/>
        </w:rPr>
      </w:pPr>
    </w:p>
    <w:p w:rsidR="00123DC4" w:rsidRPr="004860F6" w:rsidRDefault="00123DC4" w:rsidP="00123DC4">
      <w:pPr>
        <w:pStyle w:val="ListParagraph"/>
        <w:numPr>
          <w:ilvl w:val="0"/>
          <w:numId w:val="133"/>
        </w:numPr>
        <w:tabs>
          <w:tab w:val="left" w:pos="567"/>
        </w:tabs>
        <w:ind w:left="0" w:firstLine="0"/>
        <w:jc w:val="both"/>
        <w:rPr>
          <w:bCs/>
        </w:rPr>
      </w:pPr>
      <w:r w:rsidRPr="004860F6">
        <w:t>The Geneva Lake Water (“GLN”) cooling system – which is a system created a few years ago, managed by and made operational by the local energy provider (</w:t>
      </w:r>
      <w:r w:rsidRPr="004860F6">
        <w:rPr>
          <w:i/>
          <w:iCs/>
        </w:rPr>
        <w:t>Services Industriels de Genève</w:t>
      </w:r>
      <w:r w:rsidRPr="004860F6">
        <w:t xml:space="preserve"> (SIG)) through which cool water is drawn from the deep waters of the Lake Geneva and brought to the northern bank of the City of Geneva to be used for producing the cooling capacity for a variety of administrative buildings in the area of Place des Nations.  WIPO has been, since a few years ago, one of the first clients amongst the UN Agencies to enter into an agreement with the SIG to reserve the capacity required for all its buildings (including the then-construction projects).  By the end of 2013, the following buildings of the WIPO Campus were fully connected to the GLN system for cooling:  the New Building (operational since 2011), the GBI and GBII Buildings (operational by mid-2013), the new WIPO Conference Hall (integrated during the construction phase and operational by end-2013).  The only two buildings left to be connected to the GLN system are the AB Building and the PCT Building, which are the subject of this particular feature of the Capital Master Plan Project.  </w:t>
      </w:r>
      <w:r w:rsidRPr="004860F6">
        <w:rPr>
          <w:bCs/>
        </w:rPr>
        <w:t xml:space="preserve">It should also be noted that the passed life time of the remaining various existing cooling production machines for the AB Building and the PCT Building range from about ten years to about 33 years, while their expected life time is 30 years.  </w:t>
      </w:r>
    </w:p>
    <w:p w:rsidR="00123DC4" w:rsidRPr="00800070" w:rsidRDefault="00123DC4" w:rsidP="00132057">
      <w:pPr>
        <w:tabs>
          <w:tab w:val="left" w:pos="567"/>
        </w:tabs>
        <w:jc w:val="both"/>
        <w:rPr>
          <w:bCs/>
          <w:szCs w:val="20"/>
        </w:rPr>
      </w:pPr>
    </w:p>
    <w:p w:rsidR="00123DC4" w:rsidRPr="004860F6" w:rsidRDefault="00123DC4" w:rsidP="00123DC4">
      <w:pPr>
        <w:pStyle w:val="ListParagraph"/>
        <w:numPr>
          <w:ilvl w:val="0"/>
          <w:numId w:val="133"/>
        </w:numPr>
        <w:tabs>
          <w:tab w:val="left" w:pos="567"/>
        </w:tabs>
        <w:ind w:left="0" w:firstLine="0"/>
        <w:jc w:val="both"/>
      </w:pPr>
      <w:r w:rsidRPr="004860F6">
        <w:t>The project objectives are to (i) complete the deployment of an improved technological solution in building maintenance relating to cooling installations already implemented in more than half of the overall buildings volume concerned in the WIPO Campus;  (ii) anticipate the need to replace the classical cooling machines in the two remaining buildings by doing so before the installations break down (which is what happened to the installation in GBII in 2011);  (iii) reduce the maintenance cost of the installations compared to the cost of maintenance of classic cooling installations;  and (iv) upgrade this type of the technical installations and equipment with more environmentally friendly solutions.</w:t>
      </w:r>
    </w:p>
    <w:p w:rsidR="00123DC4" w:rsidRDefault="00123DC4" w:rsidP="00132057">
      <w:pPr>
        <w:rPr>
          <w:bCs/>
          <w:szCs w:val="20"/>
        </w:rPr>
      </w:pPr>
    </w:p>
    <w:p w:rsidR="00545826" w:rsidRPr="00811367" w:rsidRDefault="00545826" w:rsidP="00132057">
      <w:pPr>
        <w:rPr>
          <w:bCs/>
          <w:szCs w:val="20"/>
        </w:rPr>
      </w:pPr>
    </w:p>
    <w:p w:rsidR="00123DC4" w:rsidRPr="00811367" w:rsidRDefault="00123DC4" w:rsidP="00132057">
      <w:pPr>
        <w:rPr>
          <w:bCs/>
          <w:szCs w:val="20"/>
        </w:rPr>
      </w:pPr>
      <w:r w:rsidRPr="00811367">
        <w:rPr>
          <w:bCs/>
          <w:color w:val="000000"/>
          <w:szCs w:val="20"/>
        </w:rPr>
        <w:t>OVERVIEW OF PROGRESS IN 2015 (KEY MILESTONES)</w:t>
      </w:r>
    </w:p>
    <w:p w:rsidR="00123DC4" w:rsidRPr="00811367" w:rsidRDefault="00123DC4" w:rsidP="00132057">
      <w:pPr>
        <w:rPr>
          <w:bCs/>
          <w:szCs w:val="20"/>
          <w:u w:val="single"/>
        </w:rPr>
      </w:pPr>
    </w:p>
    <w:p w:rsidR="00123DC4" w:rsidRDefault="00123DC4" w:rsidP="00123DC4">
      <w:pPr>
        <w:pStyle w:val="ListParagraph"/>
        <w:numPr>
          <w:ilvl w:val="0"/>
          <w:numId w:val="133"/>
        </w:numPr>
        <w:tabs>
          <w:tab w:val="left" w:pos="567"/>
        </w:tabs>
        <w:ind w:left="0" w:firstLine="0"/>
        <w:jc w:val="both"/>
        <w:rPr>
          <w:rFonts w:eastAsiaTheme="minorHAnsi" w:cs="Arial"/>
          <w:color w:val="000000"/>
        </w:rPr>
      </w:pPr>
      <w:r w:rsidRPr="007119BC">
        <w:rPr>
          <w:rFonts w:eastAsiaTheme="minorHAnsi" w:cs="Arial"/>
          <w:color w:val="000000"/>
        </w:rPr>
        <w:t xml:space="preserve">In 2014, the following progress was made: </w:t>
      </w:r>
    </w:p>
    <w:p w:rsidR="00123DC4" w:rsidRDefault="00123DC4" w:rsidP="00132057">
      <w:pPr>
        <w:autoSpaceDE w:val="0"/>
        <w:autoSpaceDN w:val="0"/>
        <w:adjustRightInd w:val="0"/>
        <w:rPr>
          <w:rFonts w:eastAsiaTheme="minorHAnsi" w:cs="Arial"/>
          <w:color w:val="000000"/>
          <w:szCs w:val="20"/>
          <w:u w:val="single"/>
        </w:rPr>
      </w:pPr>
    </w:p>
    <w:p w:rsidR="00123DC4" w:rsidRPr="00445ECA" w:rsidRDefault="00123DC4" w:rsidP="00132057">
      <w:pPr>
        <w:autoSpaceDE w:val="0"/>
        <w:autoSpaceDN w:val="0"/>
        <w:adjustRightInd w:val="0"/>
        <w:ind w:firstLine="357"/>
        <w:rPr>
          <w:rFonts w:eastAsiaTheme="minorHAnsi" w:cs="Arial"/>
          <w:color w:val="000000"/>
          <w:szCs w:val="20"/>
          <w:u w:val="single"/>
        </w:rPr>
      </w:pPr>
      <w:r w:rsidRPr="00445ECA">
        <w:rPr>
          <w:rFonts w:eastAsiaTheme="minorHAnsi" w:cs="Arial"/>
          <w:color w:val="000000"/>
          <w:szCs w:val="20"/>
          <w:u w:val="single"/>
        </w:rPr>
        <w:t xml:space="preserve">AB Building </w:t>
      </w:r>
    </w:p>
    <w:p w:rsidR="00123DC4" w:rsidRPr="00445ECA" w:rsidRDefault="00123DC4" w:rsidP="006775C3">
      <w:pPr>
        <w:autoSpaceDE w:val="0"/>
        <w:autoSpaceDN w:val="0"/>
        <w:adjustRightInd w:val="0"/>
        <w:ind w:left="567"/>
        <w:rPr>
          <w:rFonts w:eastAsiaTheme="minorHAnsi" w:cs="Arial"/>
          <w:color w:val="000000"/>
          <w:szCs w:val="20"/>
        </w:rPr>
      </w:pPr>
    </w:p>
    <w:p w:rsidR="00123DC4" w:rsidRPr="009C009C" w:rsidRDefault="00123DC4" w:rsidP="006775C3">
      <w:pPr>
        <w:pStyle w:val="ListParagraph"/>
        <w:numPr>
          <w:ilvl w:val="0"/>
          <w:numId w:val="147"/>
        </w:numPr>
        <w:autoSpaceDE w:val="0"/>
        <w:autoSpaceDN w:val="0"/>
        <w:adjustRightInd w:val="0"/>
        <w:spacing w:after="120"/>
        <w:ind w:left="567" w:firstLine="0"/>
        <w:rPr>
          <w:bCs/>
        </w:rPr>
      </w:pPr>
      <w:r w:rsidRPr="009C009C">
        <w:rPr>
          <w:bCs/>
        </w:rPr>
        <w:t xml:space="preserve">Award of contract to the HVAC engineer </w:t>
      </w:r>
    </w:p>
    <w:p w:rsidR="00123DC4" w:rsidRPr="009C009C" w:rsidRDefault="00123DC4" w:rsidP="006775C3">
      <w:pPr>
        <w:pStyle w:val="ListParagraph"/>
        <w:numPr>
          <w:ilvl w:val="0"/>
          <w:numId w:val="147"/>
        </w:numPr>
        <w:autoSpaceDE w:val="0"/>
        <w:autoSpaceDN w:val="0"/>
        <w:adjustRightInd w:val="0"/>
        <w:spacing w:after="120"/>
        <w:ind w:left="567" w:firstLine="0"/>
        <w:rPr>
          <w:bCs/>
        </w:rPr>
      </w:pPr>
      <w:r w:rsidRPr="009C009C">
        <w:rPr>
          <w:bCs/>
        </w:rPr>
        <w:t xml:space="preserve">Requests for offers and selection of firms </w:t>
      </w:r>
    </w:p>
    <w:p w:rsidR="00123DC4" w:rsidRPr="009C009C" w:rsidRDefault="00123DC4" w:rsidP="006775C3">
      <w:pPr>
        <w:pStyle w:val="ListParagraph"/>
        <w:numPr>
          <w:ilvl w:val="0"/>
          <w:numId w:val="147"/>
        </w:numPr>
        <w:autoSpaceDE w:val="0"/>
        <w:autoSpaceDN w:val="0"/>
        <w:adjustRightInd w:val="0"/>
        <w:spacing w:after="120"/>
        <w:ind w:left="567" w:firstLine="0"/>
        <w:rPr>
          <w:bCs/>
        </w:rPr>
      </w:pPr>
      <w:r w:rsidRPr="009C009C">
        <w:rPr>
          <w:bCs/>
        </w:rPr>
        <w:t>Work carried out</w:t>
      </w:r>
    </w:p>
    <w:p w:rsidR="00123DC4" w:rsidRPr="009C009C" w:rsidRDefault="00123DC4" w:rsidP="006775C3">
      <w:pPr>
        <w:pStyle w:val="ListParagraph"/>
        <w:numPr>
          <w:ilvl w:val="0"/>
          <w:numId w:val="147"/>
        </w:numPr>
        <w:autoSpaceDE w:val="0"/>
        <w:autoSpaceDN w:val="0"/>
        <w:adjustRightInd w:val="0"/>
        <w:spacing w:after="120"/>
        <w:ind w:left="567" w:firstLine="0"/>
        <w:rPr>
          <w:bCs/>
        </w:rPr>
      </w:pPr>
      <w:r w:rsidRPr="009C009C">
        <w:rPr>
          <w:bCs/>
        </w:rPr>
        <w:t>Project completed.</w:t>
      </w:r>
    </w:p>
    <w:p w:rsidR="00123DC4" w:rsidRPr="00445ECA" w:rsidRDefault="00123DC4" w:rsidP="00132057">
      <w:pPr>
        <w:autoSpaceDE w:val="0"/>
        <w:autoSpaceDN w:val="0"/>
        <w:adjustRightInd w:val="0"/>
        <w:ind w:firstLine="357"/>
        <w:rPr>
          <w:rFonts w:eastAsiaTheme="minorHAnsi" w:cs="Arial"/>
          <w:color w:val="000000"/>
          <w:szCs w:val="20"/>
          <w:u w:val="single"/>
        </w:rPr>
      </w:pPr>
      <w:r w:rsidRPr="00445ECA">
        <w:rPr>
          <w:rFonts w:eastAsiaTheme="minorHAnsi" w:cs="Arial"/>
          <w:color w:val="000000"/>
          <w:szCs w:val="20"/>
          <w:u w:val="single"/>
        </w:rPr>
        <w:t xml:space="preserve">PCT Building </w:t>
      </w:r>
    </w:p>
    <w:p w:rsidR="00123DC4" w:rsidRPr="00445ECA" w:rsidRDefault="00123DC4" w:rsidP="006775C3">
      <w:pPr>
        <w:autoSpaceDE w:val="0"/>
        <w:autoSpaceDN w:val="0"/>
        <w:adjustRightInd w:val="0"/>
        <w:ind w:left="567"/>
        <w:rPr>
          <w:rFonts w:eastAsiaTheme="minorHAnsi" w:cs="Arial"/>
          <w:color w:val="000000"/>
          <w:szCs w:val="20"/>
        </w:rPr>
      </w:pPr>
    </w:p>
    <w:p w:rsidR="00123DC4" w:rsidRPr="009C009C" w:rsidRDefault="00123DC4" w:rsidP="006775C3">
      <w:pPr>
        <w:pStyle w:val="ListParagraph"/>
        <w:numPr>
          <w:ilvl w:val="0"/>
          <w:numId w:val="147"/>
        </w:numPr>
        <w:autoSpaceDE w:val="0"/>
        <w:autoSpaceDN w:val="0"/>
        <w:adjustRightInd w:val="0"/>
        <w:spacing w:after="120"/>
        <w:ind w:left="567" w:firstLine="0"/>
        <w:rPr>
          <w:bCs/>
        </w:rPr>
      </w:pPr>
      <w:r w:rsidRPr="009C009C">
        <w:rPr>
          <w:bCs/>
        </w:rPr>
        <w:t xml:space="preserve">Award of contract to the HVAC engineer </w:t>
      </w:r>
    </w:p>
    <w:p w:rsidR="00123DC4" w:rsidRPr="009C009C" w:rsidRDefault="00123DC4" w:rsidP="006775C3">
      <w:pPr>
        <w:pStyle w:val="ListParagraph"/>
        <w:numPr>
          <w:ilvl w:val="0"/>
          <w:numId w:val="147"/>
        </w:numPr>
        <w:autoSpaceDE w:val="0"/>
        <w:autoSpaceDN w:val="0"/>
        <w:adjustRightInd w:val="0"/>
        <w:spacing w:after="120"/>
        <w:ind w:left="567" w:firstLine="0"/>
        <w:rPr>
          <w:bCs/>
        </w:rPr>
      </w:pPr>
      <w:r w:rsidRPr="009C009C">
        <w:rPr>
          <w:bCs/>
        </w:rPr>
        <w:t xml:space="preserve">Validation of the project with HVAC engineer </w:t>
      </w:r>
    </w:p>
    <w:p w:rsidR="00123DC4" w:rsidRPr="009C009C" w:rsidRDefault="00123DC4" w:rsidP="006775C3">
      <w:pPr>
        <w:pStyle w:val="ListParagraph"/>
        <w:numPr>
          <w:ilvl w:val="0"/>
          <w:numId w:val="147"/>
        </w:numPr>
        <w:autoSpaceDE w:val="0"/>
        <w:autoSpaceDN w:val="0"/>
        <w:adjustRightInd w:val="0"/>
        <w:spacing w:after="200"/>
        <w:ind w:left="567" w:firstLine="0"/>
        <w:rPr>
          <w:bCs/>
        </w:rPr>
      </w:pPr>
      <w:r w:rsidRPr="009C009C">
        <w:rPr>
          <w:bCs/>
        </w:rPr>
        <w:t xml:space="preserve">Ducting work within the building, by SIG </w:t>
      </w:r>
    </w:p>
    <w:p w:rsidR="00123DC4" w:rsidRDefault="00123DC4" w:rsidP="00545826">
      <w:pPr>
        <w:pStyle w:val="ListParagraph"/>
        <w:keepNext/>
        <w:keepLines/>
        <w:numPr>
          <w:ilvl w:val="0"/>
          <w:numId w:val="133"/>
        </w:numPr>
        <w:tabs>
          <w:tab w:val="left" w:pos="567"/>
        </w:tabs>
        <w:ind w:left="0" w:firstLine="0"/>
        <w:jc w:val="both"/>
        <w:rPr>
          <w:rFonts w:eastAsiaTheme="minorHAnsi" w:cs="Arial"/>
          <w:color w:val="000000"/>
        </w:rPr>
      </w:pPr>
      <w:r w:rsidRPr="00811367">
        <w:t>I</w:t>
      </w:r>
      <w:r>
        <w:rPr>
          <w:rFonts w:eastAsiaTheme="minorHAnsi" w:cs="Arial"/>
          <w:color w:val="000000"/>
        </w:rPr>
        <w:t>n 2015</w:t>
      </w:r>
      <w:r w:rsidRPr="007119BC">
        <w:rPr>
          <w:rFonts w:eastAsiaTheme="minorHAnsi" w:cs="Arial"/>
          <w:color w:val="000000"/>
        </w:rPr>
        <w:t>, the following progress was made</w:t>
      </w:r>
      <w:r>
        <w:rPr>
          <w:rFonts w:eastAsiaTheme="minorHAnsi" w:cs="Arial"/>
          <w:color w:val="000000"/>
        </w:rPr>
        <w:t xml:space="preserve"> on the PCT Building</w:t>
      </w:r>
      <w:r w:rsidRPr="007119BC">
        <w:rPr>
          <w:rFonts w:eastAsiaTheme="minorHAnsi" w:cs="Arial"/>
          <w:color w:val="000000"/>
        </w:rPr>
        <w:t xml:space="preserve">: </w:t>
      </w:r>
    </w:p>
    <w:p w:rsidR="00123DC4" w:rsidRPr="006A01FE" w:rsidRDefault="00123DC4" w:rsidP="00545826">
      <w:pPr>
        <w:keepNext/>
        <w:keepLines/>
        <w:autoSpaceDE w:val="0"/>
        <w:autoSpaceDN w:val="0"/>
        <w:adjustRightInd w:val="0"/>
        <w:rPr>
          <w:rFonts w:eastAsiaTheme="minorHAnsi" w:cs="Arial"/>
          <w:color w:val="000000"/>
        </w:rPr>
      </w:pPr>
    </w:p>
    <w:p w:rsidR="00123DC4" w:rsidRPr="008458AD" w:rsidRDefault="00123DC4" w:rsidP="00545826">
      <w:pPr>
        <w:pStyle w:val="ListParagraph"/>
        <w:keepNext/>
        <w:keepLines/>
        <w:numPr>
          <w:ilvl w:val="0"/>
          <w:numId w:val="147"/>
        </w:numPr>
        <w:autoSpaceDE w:val="0"/>
        <w:autoSpaceDN w:val="0"/>
        <w:adjustRightInd w:val="0"/>
        <w:spacing w:after="120"/>
        <w:ind w:left="714" w:hanging="357"/>
        <w:rPr>
          <w:bCs/>
        </w:rPr>
      </w:pPr>
      <w:r w:rsidRPr="008458AD">
        <w:rPr>
          <w:bCs/>
        </w:rPr>
        <w:t>Requests for offers and selection of firms</w:t>
      </w:r>
    </w:p>
    <w:p w:rsidR="00123DC4" w:rsidRDefault="00123DC4" w:rsidP="00545826">
      <w:pPr>
        <w:pStyle w:val="ListParagraph"/>
        <w:keepNext/>
        <w:keepLines/>
        <w:numPr>
          <w:ilvl w:val="0"/>
          <w:numId w:val="147"/>
        </w:numPr>
        <w:autoSpaceDE w:val="0"/>
        <w:autoSpaceDN w:val="0"/>
        <w:adjustRightInd w:val="0"/>
        <w:spacing w:after="120"/>
        <w:ind w:left="714" w:hanging="357"/>
        <w:rPr>
          <w:bCs/>
        </w:rPr>
      </w:pPr>
      <w:r w:rsidRPr="008458AD">
        <w:rPr>
          <w:bCs/>
        </w:rPr>
        <w:t>Work carried out</w:t>
      </w:r>
    </w:p>
    <w:p w:rsidR="006775C3" w:rsidRDefault="006775C3" w:rsidP="00132057">
      <w:pPr>
        <w:rPr>
          <w:bCs/>
          <w:sz w:val="18"/>
        </w:rPr>
      </w:pPr>
    </w:p>
    <w:p w:rsidR="00545826" w:rsidRPr="00811367" w:rsidRDefault="00545826" w:rsidP="00132057">
      <w:pPr>
        <w:rPr>
          <w:bCs/>
          <w:sz w:val="18"/>
        </w:rPr>
      </w:pPr>
    </w:p>
    <w:p w:rsidR="00123DC4" w:rsidRPr="00811367" w:rsidRDefault="00123DC4" w:rsidP="00132057">
      <w:pPr>
        <w:rPr>
          <w:bCs/>
          <w:szCs w:val="22"/>
        </w:rPr>
      </w:pPr>
      <w:r w:rsidRPr="00811367">
        <w:rPr>
          <w:bCs/>
          <w:szCs w:val="22"/>
        </w:rPr>
        <w:t>BENEFITS REALIZATION</w:t>
      </w:r>
    </w:p>
    <w:p w:rsidR="00123DC4" w:rsidRPr="00E32074" w:rsidRDefault="00123DC4" w:rsidP="00132057">
      <w:pPr>
        <w:rPr>
          <w:szCs w:val="20"/>
        </w:rPr>
      </w:pPr>
    </w:p>
    <w:tbl>
      <w:tblPr>
        <w:tblW w:w="4813" w:type="pct"/>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552"/>
        <w:gridCol w:w="3260"/>
        <w:gridCol w:w="3401"/>
      </w:tblGrid>
      <w:tr w:rsidR="00123DC4" w:rsidRPr="00E32074" w:rsidTr="00D53642">
        <w:trPr>
          <w:trHeight w:val="314"/>
          <w:tblHeader/>
        </w:trPr>
        <w:tc>
          <w:tcPr>
            <w:tcW w:w="1385" w:type="pct"/>
            <w:tcBorders>
              <w:bottom w:val="single" w:sz="4" w:space="0" w:color="auto"/>
            </w:tcBorders>
            <w:shd w:val="clear" w:color="auto" w:fill="C6D9F1" w:themeFill="text2" w:themeFillTint="33"/>
            <w:tcMar>
              <w:top w:w="113" w:type="dxa"/>
              <w:bottom w:w="113" w:type="dxa"/>
            </w:tcMar>
            <w:vAlign w:val="center"/>
          </w:tcPr>
          <w:p w:rsidR="00123DC4" w:rsidRPr="00E32074" w:rsidRDefault="00123DC4" w:rsidP="00132057">
            <w:pPr>
              <w:jc w:val="center"/>
              <w:rPr>
                <w:b/>
                <w:bCs/>
                <w:sz w:val="16"/>
                <w:szCs w:val="16"/>
              </w:rPr>
            </w:pPr>
            <w:r w:rsidRPr="00E32074">
              <w:rPr>
                <w:b/>
                <w:bCs/>
                <w:sz w:val="16"/>
                <w:szCs w:val="16"/>
              </w:rPr>
              <w:t>Benefits Delivered 2014</w:t>
            </w:r>
          </w:p>
        </w:tc>
        <w:tc>
          <w:tcPr>
            <w:tcW w:w="1769" w:type="pct"/>
            <w:tcBorders>
              <w:bottom w:val="single" w:sz="4" w:space="0" w:color="auto"/>
            </w:tcBorders>
            <w:shd w:val="clear" w:color="auto" w:fill="C6D9F1" w:themeFill="text2" w:themeFillTint="33"/>
            <w:vAlign w:val="center"/>
          </w:tcPr>
          <w:p w:rsidR="00123DC4" w:rsidRPr="00E32074" w:rsidRDefault="00123DC4" w:rsidP="00132057">
            <w:pPr>
              <w:jc w:val="center"/>
              <w:rPr>
                <w:b/>
                <w:bCs/>
                <w:sz w:val="16"/>
                <w:szCs w:val="16"/>
              </w:rPr>
            </w:pPr>
            <w:r w:rsidRPr="00E32074">
              <w:rPr>
                <w:b/>
                <w:bCs/>
                <w:color w:val="000000"/>
                <w:sz w:val="16"/>
                <w:szCs w:val="16"/>
              </w:rPr>
              <w:t xml:space="preserve">Benefits </w:t>
            </w:r>
            <w:r>
              <w:rPr>
                <w:b/>
                <w:bCs/>
                <w:color w:val="000000"/>
                <w:sz w:val="16"/>
                <w:szCs w:val="16"/>
              </w:rPr>
              <w:t xml:space="preserve">Delivered </w:t>
            </w:r>
            <w:r w:rsidRPr="00E32074">
              <w:rPr>
                <w:b/>
                <w:bCs/>
                <w:color w:val="000000"/>
                <w:sz w:val="16"/>
                <w:szCs w:val="16"/>
              </w:rPr>
              <w:t>2015</w:t>
            </w:r>
          </w:p>
        </w:tc>
        <w:tc>
          <w:tcPr>
            <w:tcW w:w="1846" w:type="pct"/>
            <w:tcBorders>
              <w:bottom w:val="single" w:sz="4" w:space="0" w:color="auto"/>
            </w:tcBorders>
            <w:shd w:val="clear" w:color="auto" w:fill="C6D9F1" w:themeFill="text2" w:themeFillTint="33"/>
            <w:vAlign w:val="center"/>
          </w:tcPr>
          <w:p w:rsidR="00123DC4" w:rsidRPr="00E32074" w:rsidRDefault="00123DC4" w:rsidP="00132057">
            <w:pPr>
              <w:jc w:val="center"/>
              <w:rPr>
                <w:b/>
                <w:bCs/>
                <w:color w:val="000000"/>
                <w:sz w:val="16"/>
                <w:szCs w:val="16"/>
              </w:rPr>
            </w:pPr>
            <w:r>
              <w:rPr>
                <w:b/>
                <w:bCs/>
                <w:color w:val="000000"/>
                <w:sz w:val="16"/>
                <w:szCs w:val="16"/>
              </w:rPr>
              <w:t xml:space="preserve">Expected Benefits 2016 </w:t>
            </w:r>
          </w:p>
        </w:tc>
      </w:tr>
      <w:tr w:rsidR="00123DC4" w:rsidRPr="00E32074" w:rsidTr="00D53642">
        <w:trPr>
          <w:trHeight w:val="564"/>
        </w:trPr>
        <w:tc>
          <w:tcPr>
            <w:tcW w:w="1385" w:type="pct"/>
            <w:tcBorders>
              <w:top w:val="single" w:sz="4" w:space="0" w:color="auto"/>
              <w:bottom w:val="single" w:sz="4" w:space="0" w:color="auto"/>
            </w:tcBorders>
            <w:shd w:val="clear" w:color="auto" w:fill="auto"/>
            <w:tcMar>
              <w:top w:w="113" w:type="dxa"/>
              <w:bottom w:w="113" w:type="dxa"/>
            </w:tcMar>
          </w:tcPr>
          <w:p w:rsidR="00123DC4" w:rsidRPr="00E32074" w:rsidRDefault="00123DC4" w:rsidP="00132057">
            <w:pPr>
              <w:rPr>
                <w:bCs/>
                <w:sz w:val="16"/>
                <w:szCs w:val="16"/>
              </w:rPr>
            </w:pPr>
            <w:r w:rsidRPr="00E32074">
              <w:rPr>
                <w:bCs/>
                <w:color w:val="000000"/>
                <w:sz w:val="16"/>
                <w:szCs w:val="16"/>
              </w:rPr>
              <w:t xml:space="preserve">AB Building cooling system commissioned on August 13, 2014, and partial reduction in electrical energy </w:t>
            </w:r>
            <w:r>
              <w:rPr>
                <w:bCs/>
                <w:color w:val="000000"/>
                <w:sz w:val="16"/>
                <w:szCs w:val="16"/>
              </w:rPr>
              <w:t>consumption.</w:t>
            </w:r>
          </w:p>
        </w:tc>
        <w:tc>
          <w:tcPr>
            <w:tcW w:w="1769" w:type="pct"/>
            <w:tcBorders>
              <w:top w:val="single" w:sz="4" w:space="0" w:color="auto"/>
              <w:bottom w:val="single" w:sz="4" w:space="0" w:color="auto"/>
            </w:tcBorders>
          </w:tcPr>
          <w:p w:rsidR="00123DC4" w:rsidRPr="00445ECA" w:rsidRDefault="00123DC4" w:rsidP="00132057">
            <w:pPr>
              <w:rPr>
                <w:bCs/>
                <w:sz w:val="16"/>
                <w:szCs w:val="16"/>
              </w:rPr>
            </w:pPr>
            <w:r w:rsidRPr="00445ECA">
              <w:rPr>
                <w:bCs/>
                <w:sz w:val="16"/>
                <w:szCs w:val="16"/>
              </w:rPr>
              <w:t>Reduction in electrical energy use and environmental impact of the consumption of electricity to cool the AB Building</w:t>
            </w:r>
            <w:r>
              <w:rPr>
                <w:bCs/>
                <w:sz w:val="16"/>
                <w:szCs w:val="16"/>
              </w:rPr>
              <w:t>.</w:t>
            </w:r>
          </w:p>
        </w:tc>
        <w:tc>
          <w:tcPr>
            <w:tcW w:w="1846" w:type="pct"/>
            <w:tcBorders>
              <w:bottom w:val="single" w:sz="4" w:space="0" w:color="auto"/>
              <w:tr2bl w:val="nil"/>
            </w:tcBorders>
          </w:tcPr>
          <w:p w:rsidR="00123DC4" w:rsidRPr="00445ECA" w:rsidRDefault="00123DC4" w:rsidP="00132057">
            <w:pPr>
              <w:rPr>
                <w:bCs/>
                <w:iCs/>
                <w:sz w:val="16"/>
                <w:szCs w:val="16"/>
              </w:rPr>
            </w:pPr>
            <w:r w:rsidRPr="00445ECA">
              <w:rPr>
                <w:bCs/>
                <w:iCs/>
                <w:sz w:val="16"/>
                <w:szCs w:val="16"/>
              </w:rPr>
              <w:t>Reduction in electricity consumption and the environmental impact of the use of electricity to cool the PCT Building</w:t>
            </w:r>
            <w:r>
              <w:rPr>
                <w:bCs/>
                <w:iCs/>
                <w:sz w:val="16"/>
                <w:szCs w:val="16"/>
              </w:rPr>
              <w:t>.</w:t>
            </w:r>
          </w:p>
        </w:tc>
      </w:tr>
      <w:tr w:rsidR="00123DC4" w:rsidRPr="00E32074" w:rsidTr="00D53642">
        <w:trPr>
          <w:trHeight w:val="516"/>
        </w:trPr>
        <w:tc>
          <w:tcPr>
            <w:tcW w:w="1385" w:type="pct"/>
            <w:tcBorders>
              <w:top w:val="single" w:sz="4" w:space="0" w:color="auto"/>
              <w:bottom w:val="single" w:sz="4" w:space="0" w:color="auto"/>
            </w:tcBorders>
            <w:shd w:val="clear" w:color="auto" w:fill="auto"/>
            <w:tcMar>
              <w:top w:w="113" w:type="dxa"/>
              <w:bottom w:w="113" w:type="dxa"/>
            </w:tcMar>
          </w:tcPr>
          <w:p w:rsidR="00123DC4" w:rsidRPr="00E32074" w:rsidRDefault="00123DC4" w:rsidP="00132057">
            <w:pPr>
              <w:rPr>
                <w:bCs/>
                <w:sz w:val="16"/>
                <w:szCs w:val="16"/>
              </w:rPr>
            </w:pPr>
          </w:p>
        </w:tc>
        <w:tc>
          <w:tcPr>
            <w:tcW w:w="1769" w:type="pct"/>
            <w:tcBorders>
              <w:top w:val="single" w:sz="4" w:space="0" w:color="auto"/>
              <w:bottom w:val="single" w:sz="4" w:space="0" w:color="auto"/>
            </w:tcBorders>
          </w:tcPr>
          <w:p w:rsidR="00123DC4" w:rsidRPr="00445ECA" w:rsidRDefault="00123DC4" w:rsidP="00132057">
            <w:pPr>
              <w:rPr>
                <w:bCs/>
                <w:sz w:val="16"/>
                <w:szCs w:val="16"/>
              </w:rPr>
            </w:pPr>
            <w:r w:rsidRPr="00445ECA">
              <w:rPr>
                <w:bCs/>
                <w:sz w:val="16"/>
                <w:szCs w:val="16"/>
              </w:rPr>
              <w:t>Reduction in the corrective maintenance cost of the AB Building cooling system</w:t>
            </w:r>
            <w:r>
              <w:rPr>
                <w:bCs/>
                <w:sz w:val="16"/>
                <w:szCs w:val="16"/>
              </w:rPr>
              <w:t>.</w:t>
            </w:r>
          </w:p>
        </w:tc>
        <w:tc>
          <w:tcPr>
            <w:tcW w:w="1846" w:type="pct"/>
            <w:tcBorders>
              <w:tr2bl w:val="nil"/>
            </w:tcBorders>
          </w:tcPr>
          <w:p w:rsidR="00123DC4" w:rsidRPr="00445ECA" w:rsidRDefault="00123DC4" w:rsidP="00132057">
            <w:pPr>
              <w:rPr>
                <w:bCs/>
                <w:iCs/>
                <w:sz w:val="16"/>
                <w:szCs w:val="16"/>
              </w:rPr>
            </w:pPr>
            <w:r w:rsidRPr="00445ECA">
              <w:rPr>
                <w:bCs/>
                <w:iCs/>
                <w:sz w:val="16"/>
                <w:szCs w:val="16"/>
              </w:rPr>
              <w:t>Reduction in corrective maintenance cost of the PCT Building cooling system</w:t>
            </w:r>
            <w:r>
              <w:rPr>
                <w:bCs/>
                <w:iCs/>
                <w:sz w:val="16"/>
                <w:szCs w:val="16"/>
              </w:rPr>
              <w:t>.</w:t>
            </w:r>
          </w:p>
        </w:tc>
      </w:tr>
      <w:tr w:rsidR="00123DC4" w:rsidRPr="00E32074" w:rsidTr="00D53642">
        <w:trPr>
          <w:trHeight w:val="414"/>
        </w:trPr>
        <w:tc>
          <w:tcPr>
            <w:tcW w:w="1385" w:type="pct"/>
            <w:tcBorders>
              <w:top w:val="single" w:sz="4" w:space="0" w:color="auto"/>
              <w:bottom w:val="single" w:sz="4" w:space="0" w:color="auto"/>
            </w:tcBorders>
            <w:shd w:val="clear" w:color="auto" w:fill="auto"/>
            <w:tcMar>
              <w:top w:w="113" w:type="dxa"/>
              <w:bottom w:w="113" w:type="dxa"/>
            </w:tcMar>
          </w:tcPr>
          <w:p w:rsidR="00123DC4" w:rsidRPr="00E32074" w:rsidRDefault="00123DC4" w:rsidP="00132057">
            <w:pPr>
              <w:rPr>
                <w:b/>
                <w:bCs/>
                <w:sz w:val="16"/>
                <w:szCs w:val="16"/>
                <w:u w:val="single"/>
              </w:rPr>
            </w:pPr>
          </w:p>
        </w:tc>
        <w:tc>
          <w:tcPr>
            <w:tcW w:w="1769" w:type="pct"/>
            <w:tcBorders>
              <w:top w:val="single" w:sz="4" w:space="0" w:color="auto"/>
              <w:bottom w:val="single" w:sz="4" w:space="0" w:color="auto"/>
            </w:tcBorders>
          </w:tcPr>
          <w:p w:rsidR="00123DC4" w:rsidRPr="00445ECA" w:rsidRDefault="00123DC4" w:rsidP="00132057">
            <w:pPr>
              <w:rPr>
                <w:bCs/>
                <w:sz w:val="16"/>
                <w:szCs w:val="16"/>
              </w:rPr>
            </w:pPr>
            <w:r w:rsidRPr="00445ECA">
              <w:rPr>
                <w:bCs/>
                <w:sz w:val="16"/>
                <w:szCs w:val="16"/>
              </w:rPr>
              <w:t>Increase in the life-cycle of the AB Building cooling system</w:t>
            </w:r>
            <w:r>
              <w:rPr>
                <w:bCs/>
                <w:sz w:val="16"/>
                <w:szCs w:val="16"/>
              </w:rPr>
              <w:t>.</w:t>
            </w:r>
          </w:p>
        </w:tc>
        <w:tc>
          <w:tcPr>
            <w:tcW w:w="1846" w:type="pct"/>
          </w:tcPr>
          <w:p w:rsidR="00123DC4" w:rsidRPr="00445ECA" w:rsidRDefault="00123DC4" w:rsidP="00132057">
            <w:pPr>
              <w:rPr>
                <w:bCs/>
                <w:iCs/>
                <w:sz w:val="16"/>
                <w:szCs w:val="16"/>
              </w:rPr>
            </w:pPr>
            <w:r w:rsidRPr="00445ECA">
              <w:rPr>
                <w:bCs/>
                <w:iCs/>
                <w:sz w:val="16"/>
                <w:szCs w:val="16"/>
              </w:rPr>
              <w:t>Increase in the life-cycle of the PCT Building cooling system</w:t>
            </w:r>
            <w:r>
              <w:rPr>
                <w:bCs/>
                <w:iCs/>
                <w:sz w:val="16"/>
                <w:szCs w:val="16"/>
              </w:rPr>
              <w:t>.</w:t>
            </w:r>
          </w:p>
        </w:tc>
      </w:tr>
      <w:tr w:rsidR="00123DC4" w:rsidRPr="00E32074" w:rsidTr="00D53642">
        <w:trPr>
          <w:trHeight w:val="564"/>
        </w:trPr>
        <w:tc>
          <w:tcPr>
            <w:tcW w:w="1385" w:type="pct"/>
            <w:tcBorders>
              <w:top w:val="single" w:sz="4" w:space="0" w:color="auto"/>
              <w:bottom w:val="single" w:sz="4" w:space="0" w:color="auto"/>
            </w:tcBorders>
            <w:shd w:val="clear" w:color="auto" w:fill="auto"/>
            <w:tcMar>
              <w:top w:w="113" w:type="dxa"/>
              <w:bottom w:w="113" w:type="dxa"/>
            </w:tcMar>
          </w:tcPr>
          <w:p w:rsidR="00123DC4" w:rsidRPr="00E32074" w:rsidRDefault="00123DC4" w:rsidP="00132057">
            <w:pPr>
              <w:rPr>
                <w:b/>
                <w:bCs/>
                <w:sz w:val="16"/>
                <w:szCs w:val="16"/>
                <w:u w:val="single"/>
              </w:rPr>
            </w:pPr>
          </w:p>
        </w:tc>
        <w:tc>
          <w:tcPr>
            <w:tcW w:w="1769" w:type="pct"/>
            <w:tcBorders>
              <w:top w:val="single" w:sz="4" w:space="0" w:color="auto"/>
              <w:bottom w:val="single" w:sz="4" w:space="0" w:color="auto"/>
            </w:tcBorders>
          </w:tcPr>
          <w:p w:rsidR="00123DC4" w:rsidRPr="00445ECA" w:rsidRDefault="00123DC4" w:rsidP="00132057">
            <w:pPr>
              <w:rPr>
                <w:bCs/>
                <w:sz w:val="16"/>
                <w:szCs w:val="16"/>
              </w:rPr>
            </w:pPr>
            <w:r w:rsidRPr="00445ECA">
              <w:rPr>
                <w:bCs/>
                <w:sz w:val="16"/>
                <w:szCs w:val="16"/>
              </w:rPr>
              <w:t>Installation and maintenance of a more environmentally-friendly AB Building cooling system</w:t>
            </w:r>
            <w:r>
              <w:rPr>
                <w:bCs/>
                <w:sz w:val="16"/>
                <w:szCs w:val="16"/>
              </w:rPr>
              <w:t>.</w:t>
            </w:r>
          </w:p>
        </w:tc>
        <w:tc>
          <w:tcPr>
            <w:tcW w:w="1846" w:type="pct"/>
          </w:tcPr>
          <w:p w:rsidR="00123DC4" w:rsidRPr="00445ECA" w:rsidRDefault="00123DC4" w:rsidP="00132057">
            <w:pPr>
              <w:rPr>
                <w:bCs/>
                <w:iCs/>
                <w:sz w:val="16"/>
                <w:szCs w:val="16"/>
              </w:rPr>
            </w:pPr>
            <w:r w:rsidRPr="00445ECA">
              <w:rPr>
                <w:bCs/>
                <w:iCs/>
                <w:sz w:val="16"/>
                <w:szCs w:val="16"/>
              </w:rPr>
              <w:t>Installation and maintenance of a more environmentally-friendly PCT Building cooling system</w:t>
            </w:r>
            <w:r>
              <w:rPr>
                <w:bCs/>
                <w:iCs/>
                <w:sz w:val="16"/>
                <w:szCs w:val="16"/>
              </w:rPr>
              <w:t>.</w:t>
            </w:r>
          </w:p>
        </w:tc>
      </w:tr>
      <w:tr w:rsidR="00123DC4" w:rsidRPr="00E32074" w:rsidTr="00D53642">
        <w:trPr>
          <w:trHeight w:val="564"/>
        </w:trPr>
        <w:tc>
          <w:tcPr>
            <w:tcW w:w="1385" w:type="pct"/>
            <w:tcBorders>
              <w:top w:val="single" w:sz="4" w:space="0" w:color="auto"/>
              <w:bottom w:val="single" w:sz="4" w:space="0" w:color="auto"/>
            </w:tcBorders>
            <w:shd w:val="clear" w:color="auto" w:fill="auto"/>
            <w:tcMar>
              <w:top w:w="113" w:type="dxa"/>
              <w:bottom w:w="113" w:type="dxa"/>
            </w:tcMar>
          </w:tcPr>
          <w:p w:rsidR="00123DC4" w:rsidRPr="00E32074" w:rsidRDefault="00123DC4" w:rsidP="00132057">
            <w:pPr>
              <w:rPr>
                <w:b/>
                <w:bCs/>
                <w:sz w:val="16"/>
                <w:szCs w:val="16"/>
                <w:u w:val="single"/>
              </w:rPr>
            </w:pPr>
          </w:p>
        </w:tc>
        <w:tc>
          <w:tcPr>
            <w:tcW w:w="1769" w:type="pct"/>
            <w:tcBorders>
              <w:top w:val="single" w:sz="4" w:space="0" w:color="auto"/>
              <w:bottom w:val="single" w:sz="4" w:space="0" w:color="auto"/>
            </w:tcBorders>
          </w:tcPr>
          <w:p w:rsidR="00123DC4" w:rsidRPr="00445ECA" w:rsidRDefault="00123DC4" w:rsidP="00132057">
            <w:pPr>
              <w:rPr>
                <w:bCs/>
                <w:sz w:val="16"/>
                <w:szCs w:val="16"/>
              </w:rPr>
            </w:pPr>
            <w:r w:rsidRPr="00445ECA">
              <w:rPr>
                <w:bCs/>
                <w:sz w:val="16"/>
                <w:szCs w:val="16"/>
              </w:rPr>
              <w:t xml:space="preserve">Commissioning of the PCT cooling </w:t>
            </w:r>
            <w:r w:rsidRPr="008A011F">
              <w:rPr>
                <w:bCs/>
                <w:sz w:val="16"/>
                <w:szCs w:val="16"/>
              </w:rPr>
              <w:t xml:space="preserve">system in October 2015, </w:t>
            </w:r>
            <w:r w:rsidRPr="00445ECA">
              <w:rPr>
                <w:bCs/>
                <w:sz w:val="16"/>
                <w:szCs w:val="16"/>
              </w:rPr>
              <w:t>and partial reduction in electricity consumption</w:t>
            </w:r>
            <w:r>
              <w:rPr>
                <w:bCs/>
                <w:sz w:val="16"/>
                <w:szCs w:val="16"/>
              </w:rPr>
              <w:t>.</w:t>
            </w:r>
          </w:p>
        </w:tc>
        <w:tc>
          <w:tcPr>
            <w:tcW w:w="1846" w:type="pct"/>
          </w:tcPr>
          <w:p w:rsidR="00123DC4" w:rsidRPr="00445ECA" w:rsidRDefault="00123DC4" w:rsidP="00132057">
            <w:pPr>
              <w:rPr>
                <w:bCs/>
                <w:iCs/>
                <w:sz w:val="16"/>
                <w:szCs w:val="16"/>
              </w:rPr>
            </w:pPr>
          </w:p>
        </w:tc>
      </w:tr>
    </w:tbl>
    <w:p w:rsidR="00545826" w:rsidRDefault="00545826" w:rsidP="00132057">
      <w:pPr>
        <w:rPr>
          <w:szCs w:val="20"/>
        </w:rPr>
      </w:pPr>
    </w:p>
    <w:p w:rsidR="00D53642" w:rsidRDefault="00D53642" w:rsidP="00132057">
      <w:pPr>
        <w:rPr>
          <w:szCs w:val="20"/>
        </w:rPr>
      </w:pPr>
    </w:p>
    <w:p w:rsidR="00123DC4" w:rsidRPr="00811367" w:rsidRDefault="00123DC4" w:rsidP="00132057">
      <w:pPr>
        <w:rPr>
          <w:rFonts w:cs="Arial"/>
          <w:color w:val="000000"/>
          <w:szCs w:val="20"/>
        </w:rPr>
      </w:pPr>
      <w:r w:rsidRPr="00811367">
        <w:rPr>
          <w:rFonts w:cs="Arial"/>
          <w:color w:val="000000"/>
          <w:szCs w:val="20"/>
        </w:rPr>
        <w:t>RESOURCE UTILIZATION</w:t>
      </w:r>
      <w:r w:rsidRPr="00811367">
        <w:rPr>
          <w:rStyle w:val="FootnoteReference"/>
          <w:szCs w:val="20"/>
        </w:rPr>
        <w:footnoteReference w:id="176"/>
      </w:r>
      <w:r w:rsidRPr="00811367">
        <w:rPr>
          <w:rFonts w:cs="Arial"/>
          <w:color w:val="000000"/>
          <w:szCs w:val="20"/>
        </w:rPr>
        <w:tab/>
      </w:r>
    </w:p>
    <w:p w:rsidR="00123DC4" w:rsidRPr="00E32074" w:rsidRDefault="00123DC4" w:rsidP="00132057">
      <w:pPr>
        <w:keepNext/>
        <w:keepLines/>
        <w:tabs>
          <w:tab w:val="left" w:pos="3261"/>
        </w:tabs>
        <w:autoSpaceDE w:val="0"/>
        <w:autoSpaceDN w:val="0"/>
        <w:adjustRightInd w:val="0"/>
        <w:jc w:val="center"/>
        <w:rPr>
          <w:b/>
          <w:szCs w:val="22"/>
        </w:rPr>
      </w:pPr>
      <w:r w:rsidRPr="00E32074">
        <w:rPr>
          <w:b/>
          <w:color w:val="000000"/>
          <w:szCs w:val="22"/>
        </w:rPr>
        <w:t>Project Budget Utilization</w:t>
      </w:r>
    </w:p>
    <w:p w:rsidR="00123DC4" w:rsidRPr="00E32074" w:rsidRDefault="00123DC4" w:rsidP="00132057">
      <w:pPr>
        <w:keepNext/>
        <w:keepLines/>
        <w:tabs>
          <w:tab w:val="left" w:pos="3261"/>
        </w:tabs>
        <w:autoSpaceDE w:val="0"/>
        <w:autoSpaceDN w:val="0"/>
        <w:adjustRightInd w:val="0"/>
        <w:spacing w:after="120"/>
        <w:jc w:val="center"/>
        <w:rPr>
          <w:i/>
          <w:iCs/>
          <w:sz w:val="18"/>
          <w:szCs w:val="18"/>
        </w:rPr>
      </w:pPr>
      <w:r w:rsidRPr="00E32074">
        <w:rPr>
          <w:i/>
          <w:iCs/>
          <w:sz w:val="18"/>
          <w:szCs w:val="18"/>
        </w:rPr>
        <w:t>(</w:t>
      </w:r>
      <w:r>
        <w:rPr>
          <w:i/>
          <w:iCs/>
          <w:sz w:val="18"/>
          <w:szCs w:val="18"/>
        </w:rPr>
        <w:t>i</w:t>
      </w:r>
      <w:r w:rsidRPr="00E32074">
        <w:rPr>
          <w:i/>
          <w:iCs/>
          <w:sz w:val="18"/>
          <w:szCs w:val="18"/>
        </w:rPr>
        <w:t>n Swiss francs, as at December 31, 201</w:t>
      </w:r>
      <w:r>
        <w:rPr>
          <w:i/>
          <w:iCs/>
          <w:sz w:val="18"/>
          <w:szCs w:val="18"/>
        </w:rPr>
        <w:t>5</w:t>
      </w:r>
      <w:r w:rsidRPr="00E32074">
        <w:rPr>
          <w:i/>
          <w:iCs/>
          <w:sz w:val="18"/>
          <w:szCs w:val="18"/>
        </w:rPr>
        <w:t>)</w:t>
      </w:r>
    </w:p>
    <w:tbl>
      <w:tblPr>
        <w:tblpPr w:leftFromText="180" w:rightFromText="180" w:vertAnchor="text" w:horzAnchor="margin" w:tblpX="182" w:tblpY="17"/>
        <w:tblW w:w="487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28"/>
        <w:gridCol w:w="1415"/>
        <w:gridCol w:w="1561"/>
        <w:gridCol w:w="1434"/>
        <w:gridCol w:w="1684"/>
      </w:tblGrid>
      <w:tr w:rsidR="00123DC4" w:rsidRPr="00E32074" w:rsidTr="00545826">
        <w:trPr>
          <w:trHeight w:val="410"/>
        </w:trPr>
        <w:tc>
          <w:tcPr>
            <w:tcW w:w="1731"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E32074" w:rsidRDefault="00123DC4" w:rsidP="00132057">
            <w:pPr>
              <w:keepNext/>
              <w:keepLines/>
              <w:autoSpaceDE w:val="0"/>
              <w:autoSpaceDN w:val="0"/>
              <w:adjustRightInd w:val="0"/>
              <w:spacing w:before="40" w:after="40"/>
              <w:ind w:left="-74" w:right="-60"/>
              <w:jc w:val="center"/>
              <w:rPr>
                <w:b/>
                <w:bCs/>
                <w:sz w:val="16"/>
                <w:szCs w:val="16"/>
              </w:rPr>
            </w:pPr>
            <w:r w:rsidRPr="00E32074">
              <w:rPr>
                <w:b/>
                <w:bCs/>
                <w:sz w:val="16"/>
                <w:szCs w:val="16"/>
              </w:rPr>
              <w:t>Project Name</w:t>
            </w:r>
          </w:p>
        </w:tc>
        <w:tc>
          <w:tcPr>
            <w:tcW w:w="759"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E32074" w:rsidRDefault="00123DC4" w:rsidP="00132057">
            <w:pPr>
              <w:keepNext/>
              <w:keepLines/>
              <w:autoSpaceDE w:val="0"/>
              <w:autoSpaceDN w:val="0"/>
              <w:adjustRightInd w:val="0"/>
              <w:spacing w:before="40" w:after="40"/>
              <w:ind w:left="-107" w:right="-108"/>
              <w:jc w:val="center"/>
              <w:rPr>
                <w:b/>
                <w:bCs/>
                <w:sz w:val="16"/>
                <w:szCs w:val="16"/>
              </w:rPr>
            </w:pPr>
            <w:r w:rsidRPr="00E32074">
              <w:rPr>
                <w:b/>
                <w:bCs/>
                <w:sz w:val="16"/>
                <w:szCs w:val="16"/>
              </w:rPr>
              <w:t>Project Budget</w:t>
            </w:r>
          </w:p>
        </w:tc>
        <w:tc>
          <w:tcPr>
            <w:tcW w:w="837"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E32074" w:rsidRDefault="00123DC4" w:rsidP="00132057">
            <w:pPr>
              <w:keepNext/>
              <w:keepLines/>
              <w:autoSpaceDE w:val="0"/>
              <w:autoSpaceDN w:val="0"/>
              <w:adjustRightInd w:val="0"/>
              <w:spacing w:before="40" w:after="40"/>
              <w:ind w:left="-108" w:right="-106"/>
              <w:jc w:val="center"/>
              <w:rPr>
                <w:b/>
                <w:bCs/>
                <w:sz w:val="16"/>
                <w:szCs w:val="16"/>
              </w:rPr>
            </w:pPr>
            <w:r w:rsidRPr="00E32074">
              <w:rPr>
                <w:b/>
                <w:bCs/>
                <w:sz w:val="16"/>
                <w:szCs w:val="16"/>
              </w:rPr>
              <w:t>Actual Expenditure to Date</w:t>
            </w:r>
          </w:p>
        </w:tc>
        <w:tc>
          <w:tcPr>
            <w:tcW w:w="769"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E32074" w:rsidRDefault="00123DC4" w:rsidP="00132057">
            <w:pPr>
              <w:keepNext/>
              <w:keepLines/>
              <w:autoSpaceDE w:val="0"/>
              <w:autoSpaceDN w:val="0"/>
              <w:adjustRightInd w:val="0"/>
              <w:spacing w:before="40" w:after="40"/>
              <w:ind w:left="-109" w:right="-108"/>
              <w:jc w:val="center"/>
              <w:rPr>
                <w:b/>
                <w:bCs/>
                <w:sz w:val="16"/>
                <w:szCs w:val="16"/>
              </w:rPr>
            </w:pPr>
            <w:r w:rsidRPr="00E32074">
              <w:rPr>
                <w:b/>
                <w:bCs/>
                <w:sz w:val="16"/>
                <w:szCs w:val="16"/>
              </w:rPr>
              <w:t>Actual Budget Utilization</w:t>
            </w:r>
          </w:p>
        </w:tc>
        <w:tc>
          <w:tcPr>
            <w:tcW w:w="903"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E32074" w:rsidRDefault="00123DC4" w:rsidP="00132057">
            <w:pPr>
              <w:keepNext/>
              <w:keepLines/>
              <w:autoSpaceDE w:val="0"/>
              <w:autoSpaceDN w:val="0"/>
              <w:adjustRightInd w:val="0"/>
              <w:spacing w:before="40" w:after="40"/>
              <w:ind w:left="-109" w:right="-73" w:firstLine="1"/>
              <w:jc w:val="center"/>
              <w:rPr>
                <w:b/>
                <w:bCs/>
                <w:sz w:val="16"/>
                <w:szCs w:val="16"/>
              </w:rPr>
            </w:pPr>
            <w:r w:rsidRPr="00E32074">
              <w:rPr>
                <w:b/>
                <w:bCs/>
                <w:sz w:val="16"/>
                <w:szCs w:val="16"/>
              </w:rPr>
              <w:t>Implementation Progress Rate of the Project</w:t>
            </w:r>
          </w:p>
        </w:tc>
      </w:tr>
      <w:tr w:rsidR="00123DC4" w:rsidRPr="00E32074" w:rsidTr="00545826">
        <w:trPr>
          <w:trHeight w:val="389"/>
        </w:trPr>
        <w:tc>
          <w:tcPr>
            <w:tcW w:w="1731" w:type="pct"/>
            <w:tcBorders>
              <w:top w:val="single" w:sz="4" w:space="0" w:color="auto"/>
              <w:left w:val="single" w:sz="4" w:space="0" w:color="auto"/>
              <w:bottom w:val="single" w:sz="4" w:space="0" w:color="auto"/>
              <w:right w:val="single" w:sz="4" w:space="0" w:color="auto"/>
            </w:tcBorders>
            <w:vAlign w:val="center"/>
          </w:tcPr>
          <w:p w:rsidR="00123DC4" w:rsidRPr="00E32074" w:rsidRDefault="00123DC4" w:rsidP="00545826">
            <w:pPr>
              <w:keepNext/>
              <w:keepLines/>
              <w:autoSpaceDE w:val="0"/>
              <w:autoSpaceDN w:val="0"/>
              <w:adjustRightInd w:val="0"/>
              <w:spacing w:before="40" w:after="40"/>
              <w:rPr>
                <w:sz w:val="16"/>
                <w:szCs w:val="16"/>
              </w:rPr>
            </w:pPr>
            <w:r w:rsidRPr="00DE12BB">
              <w:rPr>
                <w:sz w:val="16"/>
                <w:szCs w:val="16"/>
              </w:rPr>
              <w:t>Deployment of Geneva Lake Water (“GLN”) cooling system</w:t>
            </w:r>
            <w:r w:rsidR="00545826">
              <w:rPr>
                <w:sz w:val="16"/>
                <w:szCs w:val="16"/>
              </w:rPr>
              <w:t xml:space="preserve"> </w:t>
            </w:r>
            <w:r w:rsidRPr="00DE12BB">
              <w:rPr>
                <w:sz w:val="16"/>
                <w:szCs w:val="16"/>
              </w:rPr>
              <w:t>to AB and PCT Buildings</w:t>
            </w:r>
          </w:p>
        </w:tc>
        <w:tc>
          <w:tcPr>
            <w:tcW w:w="759" w:type="pct"/>
            <w:tcBorders>
              <w:top w:val="single" w:sz="4" w:space="0" w:color="auto"/>
              <w:left w:val="single" w:sz="4" w:space="0" w:color="auto"/>
              <w:bottom w:val="single" w:sz="4" w:space="0" w:color="auto"/>
              <w:right w:val="single" w:sz="4" w:space="0" w:color="auto"/>
            </w:tcBorders>
            <w:vAlign w:val="center"/>
          </w:tcPr>
          <w:p w:rsidR="00123DC4" w:rsidRPr="00E32074" w:rsidRDefault="00123DC4" w:rsidP="00132057">
            <w:pPr>
              <w:keepNext/>
              <w:keepLines/>
              <w:autoSpaceDE w:val="0"/>
              <w:autoSpaceDN w:val="0"/>
              <w:adjustRightInd w:val="0"/>
              <w:spacing w:before="40" w:after="40"/>
              <w:jc w:val="center"/>
              <w:rPr>
                <w:sz w:val="16"/>
                <w:szCs w:val="16"/>
              </w:rPr>
            </w:pPr>
            <w:r w:rsidRPr="00E32074">
              <w:rPr>
                <w:sz w:val="16"/>
                <w:szCs w:val="16"/>
              </w:rPr>
              <w:t>750</w:t>
            </w:r>
            <w:r>
              <w:rPr>
                <w:sz w:val="16"/>
                <w:szCs w:val="16"/>
              </w:rPr>
              <w:t>,</w:t>
            </w:r>
            <w:r w:rsidRPr="00E32074">
              <w:rPr>
                <w:sz w:val="16"/>
                <w:szCs w:val="16"/>
              </w:rPr>
              <w:t>000</w:t>
            </w:r>
          </w:p>
        </w:tc>
        <w:tc>
          <w:tcPr>
            <w:tcW w:w="837" w:type="pct"/>
            <w:tcBorders>
              <w:top w:val="single" w:sz="4" w:space="0" w:color="auto"/>
              <w:left w:val="single" w:sz="4" w:space="0" w:color="auto"/>
              <w:bottom w:val="single" w:sz="4" w:space="0" w:color="auto"/>
              <w:right w:val="single" w:sz="4" w:space="0" w:color="auto"/>
            </w:tcBorders>
            <w:vAlign w:val="center"/>
          </w:tcPr>
          <w:p w:rsidR="00123DC4" w:rsidRPr="008A011F" w:rsidRDefault="00123DC4" w:rsidP="00132057">
            <w:pPr>
              <w:keepNext/>
              <w:keepLines/>
              <w:autoSpaceDE w:val="0"/>
              <w:autoSpaceDN w:val="0"/>
              <w:adjustRightInd w:val="0"/>
              <w:spacing w:before="40" w:after="40"/>
              <w:jc w:val="center"/>
              <w:rPr>
                <w:sz w:val="16"/>
                <w:szCs w:val="16"/>
              </w:rPr>
            </w:pPr>
            <w:r w:rsidRPr="008A011F">
              <w:rPr>
                <w:sz w:val="16"/>
                <w:szCs w:val="16"/>
              </w:rPr>
              <w:t>262,727</w:t>
            </w:r>
          </w:p>
        </w:tc>
        <w:tc>
          <w:tcPr>
            <w:tcW w:w="769" w:type="pct"/>
            <w:tcBorders>
              <w:top w:val="single" w:sz="4" w:space="0" w:color="auto"/>
              <w:left w:val="single" w:sz="4" w:space="0" w:color="auto"/>
              <w:bottom w:val="single" w:sz="4" w:space="0" w:color="auto"/>
              <w:right w:val="single" w:sz="4" w:space="0" w:color="auto"/>
            </w:tcBorders>
            <w:vAlign w:val="center"/>
          </w:tcPr>
          <w:p w:rsidR="00123DC4" w:rsidRPr="008A011F" w:rsidRDefault="00123DC4" w:rsidP="00132057">
            <w:pPr>
              <w:keepNext/>
              <w:keepLines/>
              <w:autoSpaceDE w:val="0"/>
              <w:autoSpaceDN w:val="0"/>
              <w:adjustRightInd w:val="0"/>
              <w:spacing w:before="40" w:after="40"/>
              <w:jc w:val="center"/>
              <w:rPr>
                <w:sz w:val="16"/>
                <w:szCs w:val="16"/>
              </w:rPr>
            </w:pPr>
            <w:r w:rsidRPr="008A011F">
              <w:rPr>
                <w:sz w:val="16"/>
                <w:szCs w:val="16"/>
              </w:rPr>
              <w:t>35%</w:t>
            </w:r>
          </w:p>
        </w:tc>
        <w:tc>
          <w:tcPr>
            <w:tcW w:w="903" w:type="pct"/>
            <w:tcBorders>
              <w:top w:val="single" w:sz="4" w:space="0" w:color="auto"/>
              <w:left w:val="single" w:sz="4" w:space="0" w:color="auto"/>
              <w:bottom w:val="single" w:sz="4" w:space="0" w:color="auto"/>
              <w:right w:val="single" w:sz="4" w:space="0" w:color="auto"/>
            </w:tcBorders>
            <w:vAlign w:val="center"/>
          </w:tcPr>
          <w:p w:rsidR="00123DC4" w:rsidRPr="008A011F" w:rsidRDefault="00123DC4" w:rsidP="00132057">
            <w:pPr>
              <w:keepNext/>
              <w:keepLines/>
              <w:autoSpaceDE w:val="0"/>
              <w:autoSpaceDN w:val="0"/>
              <w:adjustRightInd w:val="0"/>
              <w:spacing w:before="40" w:after="40"/>
              <w:jc w:val="center"/>
              <w:rPr>
                <w:sz w:val="16"/>
                <w:szCs w:val="16"/>
              </w:rPr>
            </w:pPr>
            <w:r w:rsidRPr="008A011F">
              <w:rPr>
                <w:sz w:val="16"/>
                <w:szCs w:val="16"/>
              </w:rPr>
              <w:t>AB 100%</w:t>
            </w:r>
          </w:p>
          <w:p w:rsidR="00123DC4" w:rsidRPr="008A011F" w:rsidRDefault="00123DC4" w:rsidP="00132057">
            <w:pPr>
              <w:keepNext/>
              <w:keepLines/>
              <w:autoSpaceDE w:val="0"/>
              <w:autoSpaceDN w:val="0"/>
              <w:adjustRightInd w:val="0"/>
              <w:spacing w:before="40" w:after="40"/>
              <w:jc w:val="center"/>
              <w:rPr>
                <w:sz w:val="16"/>
                <w:szCs w:val="16"/>
              </w:rPr>
            </w:pPr>
            <w:r w:rsidRPr="008A011F">
              <w:rPr>
                <w:sz w:val="16"/>
                <w:szCs w:val="16"/>
              </w:rPr>
              <w:t>PCT 90%</w:t>
            </w:r>
          </w:p>
        </w:tc>
      </w:tr>
    </w:tbl>
    <w:p w:rsidR="00123DC4" w:rsidRDefault="00123DC4" w:rsidP="00132057">
      <w:pPr>
        <w:keepNext/>
        <w:autoSpaceDE w:val="0"/>
        <w:autoSpaceDN w:val="0"/>
        <w:rPr>
          <w:sz w:val="16"/>
          <w:szCs w:val="16"/>
        </w:rPr>
        <w:sectPr w:rsidR="00123DC4" w:rsidSect="006775C3">
          <w:headerReference w:type="even" r:id="rId201"/>
          <w:headerReference w:type="default" r:id="rId202"/>
          <w:footerReference w:type="even" r:id="rId203"/>
          <w:footerReference w:type="default" r:id="rId204"/>
          <w:pgSz w:w="11907" w:h="16840" w:code="9"/>
          <w:pgMar w:top="567" w:right="1134" w:bottom="1247" w:left="1418" w:header="567" w:footer="964" w:gutter="0"/>
          <w:cols w:space="720"/>
          <w:docGrid w:linePitch="272"/>
        </w:sectPr>
      </w:pPr>
    </w:p>
    <w:p w:rsidR="00123DC4" w:rsidRPr="00E32074" w:rsidRDefault="00123DC4" w:rsidP="00545826">
      <w:pPr>
        <w:tabs>
          <w:tab w:val="left" w:pos="3261"/>
        </w:tabs>
        <w:autoSpaceDE w:val="0"/>
        <w:autoSpaceDN w:val="0"/>
        <w:adjustRightInd w:val="0"/>
        <w:jc w:val="center"/>
        <w:rPr>
          <w:b/>
          <w:szCs w:val="22"/>
        </w:rPr>
      </w:pPr>
      <w:r w:rsidRPr="00E32074">
        <w:rPr>
          <w:b/>
          <w:szCs w:val="22"/>
        </w:rPr>
        <w:t>Project Budget Utilization (by Milestone)</w:t>
      </w:r>
    </w:p>
    <w:p w:rsidR="00123DC4" w:rsidRPr="00811367" w:rsidRDefault="00123DC4" w:rsidP="00545826">
      <w:pPr>
        <w:tabs>
          <w:tab w:val="left" w:pos="3261"/>
        </w:tabs>
        <w:autoSpaceDE w:val="0"/>
        <w:autoSpaceDN w:val="0"/>
        <w:adjustRightInd w:val="0"/>
        <w:spacing w:after="120"/>
        <w:jc w:val="center"/>
        <w:rPr>
          <w:i/>
          <w:iCs/>
          <w:sz w:val="18"/>
          <w:szCs w:val="18"/>
        </w:rPr>
      </w:pPr>
      <w:r w:rsidRPr="00E32074">
        <w:rPr>
          <w:i/>
          <w:iCs/>
          <w:sz w:val="18"/>
          <w:szCs w:val="18"/>
        </w:rPr>
        <w:t>(</w:t>
      </w:r>
      <w:r>
        <w:rPr>
          <w:i/>
          <w:iCs/>
          <w:sz w:val="18"/>
          <w:szCs w:val="18"/>
        </w:rPr>
        <w:t>i</w:t>
      </w:r>
      <w:r w:rsidRPr="00E32074">
        <w:rPr>
          <w:i/>
          <w:iCs/>
          <w:sz w:val="18"/>
          <w:szCs w:val="18"/>
        </w:rPr>
        <w:t>n Swiss francs, as at December 31, 201</w:t>
      </w:r>
      <w:r>
        <w:rPr>
          <w:i/>
          <w:iCs/>
          <w:sz w:val="18"/>
          <w:szCs w:val="18"/>
        </w:rPr>
        <w:t>5</w:t>
      </w:r>
      <w:r w:rsidRPr="00E32074">
        <w:rPr>
          <w:i/>
          <w:iCs/>
          <w:sz w:val="18"/>
          <w:szCs w:val="18"/>
        </w:rPr>
        <w:t>)</w:t>
      </w:r>
    </w:p>
    <w:tbl>
      <w:tblPr>
        <w:tblpPr w:leftFromText="180" w:rightFromText="180" w:vertAnchor="text" w:horzAnchor="margin" w:tblpX="182" w:tblpY="17"/>
        <w:tblW w:w="487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28"/>
        <w:gridCol w:w="1416"/>
        <w:gridCol w:w="1561"/>
        <w:gridCol w:w="1415"/>
        <w:gridCol w:w="1702"/>
      </w:tblGrid>
      <w:tr w:rsidR="00123DC4" w:rsidRPr="00E32074" w:rsidTr="00545826">
        <w:trPr>
          <w:trHeight w:val="389"/>
        </w:trPr>
        <w:tc>
          <w:tcPr>
            <w:tcW w:w="1731"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E32074" w:rsidRDefault="00123DC4" w:rsidP="00545826">
            <w:pPr>
              <w:autoSpaceDE w:val="0"/>
              <w:autoSpaceDN w:val="0"/>
              <w:adjustRightInd w:val="0"/>
              <w:spacing w:before="40" w:after="40"/>
              <w:ind w:left="-74" w:right="-60"/>
              <w:jc w:val="center"/>
              <w:rPr>
                <w:b/>
                <w:bCs/>
                <w:sz w:val="16"/>
                <w:szCs w:val="16"/>
              </w:rPr>
            </w:pPr>
            <w:r w:rsidRPr="00E32074">
              <w:rPr>
                <w:b/>
                <w:bCs/>
                <w:sz w:val="16"/>
                <w:szCs w:val="16"/>
              </w:rPr>
              <w:t>Key Milestone</w:t>
            </w:r>
          </w:p>
        </w:tc>
        <w:tc>
          <w:tcPr>
            <w:tcW w:w="759"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E32074" w:rsidRDefault="00123DC4" w:rsidP="00545826">
            <w:pPr>
              <w:autoSpaceDE w:val="0"/>
              <w:autoSpaceDN w:val="0"/>
              <w:adjustRightInd w:val="0"/>
              <w:spacing w:before="40" w:after="40"/>
              <w:ind w:left="-107" w:right="-108"/>
              <w:jc w:val="center"/>
              <w:rPr>
                <w:b/>
                <w:bCs/>
                <w:sz w:val="16"/>
                <w:szCs w:val="16"/>
              </w:rPr>
            </w:pPr>
            <w:r w:rsidRPr="00E32074">
              <w:rPr>
                <w:b/>
                <w:bCs/>
                <w:sz w:val="16"/>
                <w:szCs w:val="16"/>
              </w:rPr>
              <w:t>Project Budget</w:t>
            </w:r>
          </w:p>
        </w:tc>
        <w:tc>
          <w:tcPr>
            <w:tcW w:w="837"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E32074" w:rsidRDefault="00123DC4" w:rsidP="00545826">
            <w:pPr>
              <w:autoSpaceDE w:val="0"/>
              <w:autoSpaceDN w:val="0"/>
              <w:adjustRightInd w:val="0"/>
              <w:spacing w:before="40" w:after="40"/>
              <w:ind w:left="-108" w:right="-106"/>
              <w:jc w:val="center"/>
              <w:rPr>
                <w:b/>
                <w:bCs/>
                <w:sz w:val="16"/>
                <w:szCs w:val="16"/>
              </w:rPr>
            </w:pPr>
            <w:r w:rsidRPr="00E32074">
              <w:rPr>
                <w:b/>
                <w:bCs/>
                <w:sz w:val="16"/>
                <w:szCs w:val="16"/>
              </w:rPr>
              <w:t>Actual Expenditure to Date</w:t>
            </w:r>
          </w:p>
        </w:tc>
        <w:tc>
          <w:tcPr>
            <w:tcW w:w="759"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E32074" w:rsidRDefault="00123DC4" w:rsidP="00545826">
            <w:pPr>
              <w:autoSpaceDE w:val="0"/>
              <w:autoSpaceDN w:val="0"/>
              <w:adjustRightInd w:val="0"/>
              <w:spacing w:before="40" w:after="40"/>
              <w:ind w:left="-109" w:right="-108"/>
              <w:jc w:val="center"/>
              <w:rPr>
                <w:b/>
                <w:bCs/>
                <w:sz w:val="16"/>
                <w:szCs w:val="16"/>
              </w:rPr>
            </w:pPr>
            <w:r w:rsidRPr="00E32074">
              <w:rPr>
                <w:b/>
                <w:bCs/>
                <w:sz w:val="16"/>
                <w:szCs w:val="16"/>
              </w:rPr>
              <w:t>Actual Budget Utilization</w:t>
            </w:r>
          </w:p>
        </w:tc>
        <w:tc>
          <w:tcPr>
            <w:tcW w:w="913"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E32074" w:rsidRDefault="00123DC4" w:rsidP="00545826">
            <w:pPr>
              <w:autoSpaceDE w:val="0"/>
              <w:autoSpaceDN w:val="0"/>
              <w:adjustRightInd w:val="0"/>
              <w:spacing w:before="40" w:after="40"/>
              <w:ind w:left="-109" w:right="-73" w:firstLine="1"/>
              <w:jc w:val="center"/>
              <w:rPr>
                <w:b/>
                <w:bCs/>
                <w:sz w:val="16"/>
                <w:szCs w:val="16"/>
              </w:rPr>
            </w:pPr>
            <w:r w:rsidRPr="00E32074">
              <w:rPr>
                <w:b/>
                <w:bCs/>
                <w:sz w:val="16"/>
                <w:szCs w:val="16"/>
              </w:rPr>
              <w:t>Implementation Progress Rate by Milestone</w:t>
            </w:r>
          </w:p>
        </w:tc>
      </w:tr>
      <w:tr w:rsidR="00123DC4" w:rsidRPr="00E32074" w:rsidTr="00545826">
        <w:trPr>
          <w:trHeight w:val="369"/>
        </w:trPr>
        <w:tc>
          <w:tcPr>
            <w:tcW w:w="1731" w:type="pct"/>
            <w:tcBorders>
              <w:top w:val="single" w:sz="4" w:space="0" w:color="auto"/>
              <w:left w:val="single" w:sz="4" w:space="0" w:color="auto"/>
              <w:bottom w:val="single" w:sz="4" w:space="0" w:color="auto"/>
              <w:right w:val="single" w:sz="4" w:space="0" w:color="auto"/>
            </w:tcBorders>
            <w:vAlign w:val="center"/>
          </w:tcPr>
          <w:p w:rsidR="00123DC4" w:rsidRPr="00E32074" w:rsidRDefault="00123DC4" w:rsidP="00545826">
            <w:pPr>
              <w:autoSpaceDE w:val="0"/>
              <w:autoSpaceDN w:val="0"/>
              <w:adjustRightInd w:val="0"/>
              <w:spacing w:before="40" w:after="40"/>
              <w:rPr>
                <w:sz w:val="16"/>
                <w:szCs w:val="16"/>
              </w:rPr>
            </w:pPr>
            <w:r>
              <w:rPr>
                <w:color w:val="000000"/>
                <w:sz w:val="16"/>
                <w:szCs w:val="16"/>
              </w:rPr>
              <w:t>Award of contract to the</w:t>
            </w:r>
            <w:r w:rsidRPr="00E32074">
              <w:rPr>
                <w:color w:val="000000"/>
                <w:sz w:val="16"/>
                <w:szCs w:val="16"/>
              </w:rPr>
              <w:t xml:space="preserve"> </w:t>
            </w:r>
            <w:r>
              <w:rPr>
                <w:color w:val="000000"/>
                <w:sz w:val="16"/>
                <w:szCs w:val="16"/>
              </w:rPr>
              <w:t>HVAC</w:t>
            </w:r>
            <w:r w:rsidRPr="00E32074">
              <w:rPr>
                <w:color w:val="000000"/>
                <w:sz w:val="16"/>
                <w:szCs w:val="16"/>
              </w:rPr>
              <w:t xml:space="preserve"> engineer for AB Building</w:t>
            </w:r>
          </w:p>
        </w:tc>
        <w:tc>
          <w:tcPr>
            <w:tcW w:w="759" w:type="pct"/>
            <w:tcBorders>
              <w:top w:val="single" w:sz="4" w:space="0" w:color="auto"/>
              <w:left w:val="single" w:sz="4" w:space="0" w:color="auto"/>
              <w:bottom w:val="single" w:sz="4" w:space="0" w:color="auto"/>
              <w:right w:val="single" w:sz="4" w:space="0" w:color="auto"/>
            </w:tcBorders>
            <w:vAlign w:val="center"/>
          </w:tcPr>
          <w:p w:rsidR="00123DC4" w:rsidRPr="00E32074" w:rsidRDefault="00123DC4" w:rsidP="00545826">
            <w:pPr>
              <w:autoSpaceDE w:val="0"/>
              <w:autoSpaceDN w:val="0"/>
              <w:adjustRightInd w:val="0"/>
              <w:spacing w:before="40" w:after="40"/>
              <w:jc w:val="center"/>
              <w:rPr>
                <w:sz w:val="16"/>
                <w:szCs w:val="16"/>
              </w:rPr>
            </w:pPr>
            <w:r w:rsidRPr="00E32074">
              <w:rPr>
                <w:sz w:val="16"/>
                <w:szCs w:val="16"/>
              </w:rPr>
              <w:t>30</w:t>
            </w:r>
            <w:r>
              <w:rPr>
                <w:sz w:val="16"/>
                <w:szCs w:val="16"/>
              </w:rPr>
              <w:t>,00</w:t>
            </w:r>
            <w:r w:rsidRPr="00E32074">
              <w:rPr>
                <w:sz w:val="16"/>
                <w:szCs w:val="16"/>
              </w:rPr>
              <w:t>0</w:t>
            </w:r>
          </w:p>
        </w:tc>
        <w:tc>
          <w:tcPr>
            <w:tcW w:w="837" w:type="pct"/>
            <w:tcBorders>
              <w:top w:val="single" w:sz="4" w:space="0" w:color="auto"/>
              <w:left w:val="single" w:sz="4" w:space="0" w:color="auto"/>
              <w:bottom w:val="single" w:sz="4" w:space="0" w:color="auto"/>
              <w:right w:val="single" w:sz="4" w:space="0" w:color="auto"/>
            </w:tcBorders>
            <w:vAlign w:val="center"/>
          </w:tcPr>
          <w:p w:rsidR="00123DC4" w:rsidRPr="00445ECA" w:rsidRDefault="00123DC4" w:rsidP="00545826">
            <w:pPr>
              <w:autoSpaceDE w:val="0"/>
              <w:autoSpaceDN w:val="0"/>
              <w:adjustRightInd w:val="0"/>
              <w:spacing w:before="40" w:after="40"/>
              <w:jc w:val="center"/>
              <w:rPr>
                <w:sz w:val="16"/>
                <w:szCs w:val="16"/>
              </w:rPr>
            </w:pPr>
            <w:r w:rsidRPr="00445ECA">
              <w:rPr>
                <w:sz w:val="16"/>
                <w:szCs w:val="16"/>
              </w:rPr>
              <w:t>16,200</w:t>
            </w:r>
          </w:p>
        </w:tc>
        <w:tc>
          <w:tcPr>
            <w:tcW w:w="759" w:type="pct"/>
            <w:tcBorders>
              <w:top w:val="single" w:sz="4" w:space="0" w:color="auto"/>
              <w:left w:val="single" w:sz="4" w:space="0" w:color="auto"/>
              <w:bottom w:val="single" w:sz="4" w:space="0" w:color="auto"/>
              <w:right w:val="single" w:sz="4" w:space="0" w:color="auto"/>
            </w:tcBorders>
            <w:vAlign w:val="center"/>
          </w:tcPr>
          <w:p w:rsidR="00123DC4" w:rsidRPr="00445ECA" w:rsidRDefault="00123DC4" w:rsidP="00545826">
            <w:pPr>
              <w:autoSpaceDE w:val="0"/>
              <w:autoSpaceDN w:val="0"/>
              <w:adjustRightInd w:val="0"/>
              <w:spacing w:before="40" w:after="40"/>
              <w:jc w:val="center"/>
              <w:rPr>
                <w:sz w:val="16"/>
                <w:szCs w:val="16"/>
              </w:rPr>
            </w:pPr>
            <w:r w:rsidRPr="00445ECA">
              <w:rPr>
                <w:sz w:val="16"/>
                <w:szCs w:val="16"/>
              </w:rPr>
              <w:t>54%</w:t>
            </w:r>
          </w:p>
        </w:tc>
        <w:tc>
          <w:tcPr>
            <w:tcW w:w="913" w:type="pct"/>
            <w:tcBorders>
              <w:top w:val="single" w:sz="4" w:space="0" w:color="auto"/>
              <w:left w:val="single" w:sz="4" w:space="0" w:color="auto"/>
              <w:bottom w:val="single" w:sz="4" w:space="0" w:color="auto"/>
              <w:right w:val="single" w:sz="4" w:space="0" w:color="auto"/>
            </w:tcBorders>
            <w:vAlign w:val="center"/>
          </w:tcPr>
          <w:p w:rsidR="00123DC4" w:rsidRPr="00445ECA" w:rsidRDefault="00123DC4" w:rsidP="00545826">
            <w:pPr>
              <w:autoSpaceDE w:val="0"/>
              <w:autoSpaceDN w:val="0"/>
              <w:adjustRightInd w:val="0"/>
              <w:spacing w:before="40" w:after="40"/>
              <w:jc w:val="center"/>
              <w:rPr>
                <w:sz w:val="16"/>
                <w:szCs w:val="16"/>
              </w:rPr>
            </w:pPr>
            <w:r w:rsidRPr="00445ECA">
              <w:rPr>
                <w:sz w:val="16"/>
                <w:szCs w:val="16"/>
              </w:rPr>
              <w:t>100%</w:t>
            </w:r>
          </w:p>
        </w:tc>
      </w:tr>
      <w:tr w:rsidR="00123DC4" w:rsidRPr="00E32074" w:rsidTr="00545826">
        <w:trPr>
          <w:trHeight w:val="369"/>
        </w:trPr>
        <w:tc>
          <w:tcPr>
            <w:tcW w:w="1731" w:type="pct"/>
            <w:tcBorders>
              <w:top w:val="single" w:sz="4" w:space="0" w:color="auto"/>
              <w:left w:val="single" w:sz="4" w:space="0" w:color="auto"/>
              <w:bottom w:val="single" w:sz="4" w:space="0" w:color="auto"/>
              <w:right w:val="single" w:sz="4" w:space="0" w:color="auto"/>
            </w:tcBorders>
            <w:vAlign w:val="center"/>
          </w:tcPr>
          <w:p w:rsidR="00123DC4" w:rsidRPr="00E32074" w:rsidRDefault="00123DC4" w:rsidP="00545826">
            <w:pPr>
              <w:autoSpaceDE w:val="0"/>
              <w:autoSpaceDN w:val="0"/>
              <w:adjustRightInd w:val="0"/>
              <w:spacing w:before="40" w:after="40"/>
              <w:rPr>
                <w:sz w:val="16"/>
                <w:szCs w:val="16"/>
              </w:rPr>
            </w:pPr>
            <w:r>
              <w:rPr>
                <w:color w:val="000000"/>
                <w:sz w:val="16"/>
                <w:szCs w:val="16"/>
              </w:rPr>
              <w:t>Award of contract to the</w:t>
            </w:r>
            <w:r w:rsidRPr="00E32074">
              <w:rPr>
                <w:color w:val="000000"/>
                <w:sz w:val="16"/>
                <w:szCs w:val="16"/>
              </w:rPr>
              <w:t xml:space="preserve"> engineer for PCT Building</w:t>
            </w:r>
          </w:p>
        </w:tc>
        <w:tc>
          <w:tcPr>
            <w:tcW w:w="759" w:type="pct"/>
            <w:tcBorders>
              <w:top w:val="single" w:sz="4" w:space="0" w:color="auto"/>
              <w:left w:val="single" w:sz="4" w:space="0" w:color="auto"/>
              <w:bottom w:val="single" w:sz="4" w:space="0" w:color="auto"/>
              <w:right w:val="single" w:sz="4" w:space="0" w:color="auto"/>
            </w:tcBorders>
            <w:vAlign w:val="center"/>
          </w:tcPr>
          <w:p w:rsidR="00123DC4" w:rsidRPr="00E32074" w:rsidRDefault="00123DC4" w:rsidP="00545826">
            <w:pPr>
              <w:autoSpaceDE w:val="0"/>
              <w:autoSpaceDN w:val="0"/>
              <w:adjustRightInd w:val="0"/>
              <w:spacing w:before="40" w:after="40"/>
              <w:jc w:val="center"/>
              <w:rPr>
                <w:sz w:val="16"/>
                <w:szCs w:val="16"/>
              </w:rPr>
            </w:pPr>
            <w:r w:rsidRPr="00E32074">
              <w:rPr>
                <w:sz w:val="16"/>
                <w:szCs w:val="16"/>
              </w:rPr>
              <w:t>83</w:t>
            </w:r>
            <w:r>
              <w:rPr>
                <w:sz w:val="16"/>
                <w:szCs w:val="16"/>
              </w:rPr>
              <w:t>,00</w:t>
            </w:r>
            <w:r w:rsidRPr="00E32074">
              <w:rPr>
                <w:sz w:val="16"/>
                <w:szCs w:val="16"/>
              </w:rPr>
              <w:t>0</w:t>
            </w:r>
          </w:p>
        </w:tc>
        <w:tc>
          <w:tcPr>
            <w:tcW w:w="837" w:type="pct"/>
            <w:tcBorders>
              <w:top w:val="single" w:sz="4" w:space="0" w:color="auto"/>
              <w:left w:val="single" w:sz="4" w:space="0" w:color="auto"/>
              <w:bottom w:val="single" w:sz="4" w:space="0" w:color="auto"/>
              <w:right w:val="single" w:sz="4" w:space="0" w:color="auto"/>
            </w:tcBorders>
            <w:vAlign w:val="center"/>
          </w:tcPr>
          <w:p w:rsidR="00123DC4" w:rsidRPr="008A011F" w:rsidRDefault="00123DC4" w:rsidP="00545826">
            <w:pPr>
              <w:autoSpaceDE w:val="0"/>
              <w:autoSpaceDN w:val="0"/>
              <w:adjustRightInd w:val="0"/>
              <w:spacing w:before="40" w:after="40"/>
              <w:jc w:val="center"/>
              <w:rPr>
                <w:sz w:val="16"/>
                <w:szCs w:val="16"/>
              </w:rPr>
            </w:pPr>
            <w:r w:rsidRPr="008A011F">
              <w:rPr>
                <w:sz w:val="16"/>
                <w:szCs w:val="16"/>
              </w:rPr>
              <w:t>43,440</w:t>
            </w:r>
          </w:p>
        </w:tc>
        <w:tc>
          <w:tcPr>
            <w:tcW w:w="759" w:type="pct"/>
            <w:tcBorders>
              <w:top w:val="single" w:sz="4" w:space="0" w:color="auto"/>
              <w:left w:val="single" w:sz="4" w:space="0" w:color="auto"/>
              <w:bottom w:val="single" w:sz="4" w:space="0" w:color="auto"/>
              <w:right w:val="single" w:sz="4" w:space="0" w:color="auto"/>
            </w:tcBorders>
            <w:vAlign w:val="center"/>
          </w:tcPr>
          <w:p w:rsidR="00123DC4" w:rsidRPr="008A011F" w:rsidRDefault="00123DC4" w:rsidP="00545826">
            <w:pPr>
              <w:autoSpaceDE w:val="0"/>
              <w:autoSpaceDN w:val="0"/>
              <w:adjustRightInd w:val="0"/>
              <w:spacing w:before="40" w:after="40"/>
              <w:jc w:val="center"/>
              <w:rPr>
                <w:sz w:val="16"/>
                <w:szCs w:val="16"/>
              </w:rPr>
            </w:pPr>
            <w:r w:rsidRPr="008A011F">
              <w:rPr>
                <w:sz w:val="16"/>
                <w:szCs w:val="16"/>
              </w:rPr>
              <w:t>52.3%</w:t>
            </w:r>
          </w:p>
        </w:tc>
        <w:tc>
          <w:tcPr>
            <w:tcW w:w="913" w:type="pct"/>
            <w:tcBorders>
              <w:top w:val="single" w:sz="4" w:space="0" w:color="auto"/>
              <w:left w:val="single" w:sz="4" w:space="0" w:color="auto"/>
              <w:bottom w:val="single" w:sz="4" w:space="0" w:color="auto"/>
              <w:right w:val="single" w:sz="4" w:space="0" w:color="auto"/>
            </w:tcBorders>
            <w:vAlign w:val="center"/>
          </w:tcPr>
          <w:p w:rsidR="00123DC4" w:rsidRPr="008A011F" w:rsidRDefault="00123DC4" w:rsidP="00545826">
            <w:pPr>
              <w:autoSpaceDE w:val="0"/>
              <w:autoSpaceDN w:val="0"/>
              <w:adjustRightInd w:val="0"/>
              <w:spacing w:before="40" w:after="40"/>
              <w:jc w:val="center"/>
              <w:rPr>
                <w:sz w:val="16"/>
                <w:szCs w:val="16"/>
              </w:rPr>
            </w:pPr>
            <w:r w:rsidRPr="008A011F">
              <w:rPr>
                <w:sz w:val="16"/>
                <w:szCs w:val="16"/>
              </w:rPr>
              <w:t>100%</w:t>
            </w:r>
          </w:p>
        </w:tc>
      </w:tr>
      <w:tr w:rsidR="00123DC4" w:rsidRPr="00E32074" w:rsidTr="00545826">
        <w:trPr>
          <w:trHeight w:val="369"/>
        </w:trPr>
        <w:tc>
          <w:tcPr>
            <w:tcW w:w="1731" w:type="pct"/>
            <w:tcBorders>
              <w:top w:val="single" w:sz="4" w:space="0" w:color="auto"/>
              <w:left w:val="single" w:sz="4" w:space="0" w:color="auto"/>
              <w:bottom w:val="single" w:sz="4" w:space="0" w:color="auto"/>
              <w:right w:val="single" w:sz="4" w:space="0" w:color="auto"/>
            </w:tcBorders>
            <w:vAlign w:val="center"/>
          </w:tcPr>
          <w:p w:rsidR="00123DC4" w:rsidRPr="00E32074" w:rsidRDefault="00123DC4" w:rsidP="00545826">
            <w:pPr>
              <w:autoSpaceDE w:val="0"/>
              <w:autoSpaceDN w:val="0"/>
              <w:adjustRightInd w:val="0"/>
              <w:spacing w:before="40" w:after="40"/>
              <w:rPr>
                <w:sz w:val="16"/>
                <w:szCs w:val="16"/>
              </w:rPr>
            </w:pPr>
            <w:r w:rsidRPr="00E32074">
              <w:rPr>
                <w:color w:val="000000"/>
                <w:sz w:val="16"/>
                <w:szCs w:val="16"/>
              </w:rPr>
              <w:t xml:space="preserve">Commissioning of GLN </w:t>
            </w:r>
            <w:r>
              <w:rPr>
                <w:color w:val="000000"/>
                <w:sz w:val="16"/>
                <w:szCs w:val="16"/>
              </w:rPr>
              <w:t>facilities</w:t>
            </w:r>
            <w:r w:rsidRPr="00E32074">
              <w:rPr>
                <w:color w:val="000000"/>
                <w:sz w:val="16"/>
                <w:szCs w:val="16"/>
              </w:rPr>
              <w:t xml:space="preserve"> in AB Building</w:t>
            </w:r>
          </w:p>
        </w:tc>
        <w:tc>
          <w:tcPr>
            <w:tcW w:w="759" w:type="pct"/>
            <w:tcBorders>
              <w:top w:val="single" w:sz="4" w:space="0" w:color="auto"/>
              <w:left w:val="single" w:sz="4" w:space="0" w:color="auto"/>
              <w:bottom w:val="single" w:sz="4" w:space="0" w:color="auto"/>
              <w:right w:val="single" w:sz="4" w:space="0" w:color="auto"/>
            </w:tcBorders>
            <w:vAlign w:val="center"/>
          </w:tcPr>
          <w:p w:rsidR="00123DC4" w:rsidRPr="00E32074" w:rsidRDefault="00123DC4" w:rsidP="00545826">
            <w:pPr>
              <w:autoSpaceDE w:val="0"/>
              <w:autoSpaceDN w:val="0"/>
              <w:adjustRightInd w:val="0"/>
              <w:spacing w:before="40" w:after="40"/>
              <w:jc w:val="center"/>
              <w:rPr>
                <w:sz w:val="16"/>
                <w:szCs w:val="16"/>
              </w:rPr>
            </w:pPr>
            <w:r w:rsidRPr="00E32074">
              <w:rPr>
                <w:sz w:val="16"/>
                <w:szCs w:val="16"/>
              </w:rPr>
              <w:t>170</w:t>
            </w:r>
            <w:r>
              <w:rPr>
                <w:sz w:val="16"/>
                <w:szCs w:val="16"/>
              </w:rPr>
              <w:t>,00</w:t>
            </w:r>
            <w:r w:rsidRPr="00E32074">
              <w:rPr>
                <w:sz w:val="16"/>
                <w:szCs w:val="16"/>
              </w:rPr>
              <w:t>0</w:t>
            </w:r>
          </w:p>
        </w:tc>
        <w:tc>
          <w:tcPr>
            <w:tcW w:w="837" w:type="pct"/>
            <w:tcBorders>
              <w:top w:val="single" w:sz="4" w:space="0" w:color="auto"/>
              <w:left w:val="single" w:sz="4" w:space="0" w:color="auto"/>
              <w:bottom w:val="single" w:sz="4" w:space="0" w:color="auto"/>
              <w:right w:val="single" w:sz="4" w:space="0" w:color="auto"/>
            </w:tcBorders>
            <w:vAlign w:val="center"/>
          </w:tcPr>
          <w:p w:rsidR="00123DC4" w:rsidRPr="008A011F" w:rsidRDefault="00123DC4" w:rsidP="00545826">
            <w:pPr>
              <w:autoSpaceDE w:val="0"/>
              <w:autoSpaceDN w:val="0"/>
              <w:adjustRightInd w:val="0"/>
              <w:spacing w:before="40" w:after="40"/>
              <w:jc w:val="center"/>
              <w:rPr>
                <w:sz w:val="16"/>
                <w:szCs w:val="16"/>
              </w:rPr>
            </w:pPr>
            <w:r w:rsidRPr="008A011F">
              <w:rPr>
                <w:sz w:val="16"/>
                <w:szCs w:val="16"/>
              </w:rPr>
              <w:t>61,791</w:t>
            </w:r>
          </w:p>
        </w:tc>
        <w:tc>
          <w:tcPr>
            <w:tcW w:w="759" w:type="pct"/>
            <w:tcBorders>
              <w:top w:val="single" w:sz="4" w:space="0" w:color="auto"/>
              <w:left w:val="single" w:sz="4" w:space="0" w:color="auto"/>
              <w:bottom w:val="single" w:sz="4" w:space="0" w:color="auto"/>
              <w:right w:val="single" w:sz="4" w:space="0" w:color="auto"/>
            </w:tcBorders>
            <w:vAlign w:val="center"/>
          </w:tcPr>
          <w:p w:rsidR="00123DC4" w:rsidRPr="008A011F" w:rsidRDefault="00123DC4" w:rsidP="00545826">
            <w:pPr>
              <w:autoSpaceDE w:val="0"/>
              <w:autoSpaceDN w:val="0"/>
              <w:adjustRightInd w:val="0"/>
              <w:spacing w:before="40" w:after="40"/>
              <w:jc w:val="center"/>
              <w:rPr>
                <w:sz w:val="16"/>
                <w:szCs w:val="16"/>
              </w:rPr>
            </w:pPr>
            <w:r w:rsidRPr="008A011F">
              <w:rPr>
                <w:sz w:val="16"/>
                <w:szCs w:val="16"/>
              </w:rPr>
              <w:t>36.3%</w:t>
            </w:r>
          </w:p>
        </w:tc>
        <w:tc>
          <w:tcPr>
            <w:tcW w:w="913" w:type="pct"/>
            <w:tcBorders>
              <w:top w:val="single" w:sz="4" w:space="0" w:color="auto"/>
              <w:left w:val="single" w:sz="4" w:space="0" w:color="auto"/>
              <w:bottom w:val="single" w:sz="4" w:space="0" w:color="auto"/>
              <w:right w:val="single" w:sz="4" w:space="0" w:color="auto"/>
            </w:tcBorders>
            <w:vAlign w:val="center"/>
          </w:tcPr>
          <w:p w:rsidR="00123DC4" w:rsidRPr="008A011F" w:rsidRDefault="00123DC4" w:rsidP="00545826">
            <w:pPr>
              <w:autoSpaceDE w:val="0"/>
              <w:autoSpaceDN w:val="0"/>
              <w:adjustRightInd w:val="0"/>
              <w:spacing w:before="40" w:after="40"/>
              <w:jc w:val="center"/>
              <w:rPr>
                <w:sz w:val="16"/>
                <w:szCs w:val="16"/>
              </w:rPr>
            </w:pPr>
            <w:r w:rsidRPr="008A011F">
              <w:rPr>
                <w:sz w:val="16"/>
                <w:szCs w:val="16"/>
              </w:rPr>
              <w:t>100%</w:t>
            </w:r>
          </w:p>
        </w:tc>
      </w:tr>
      <w:tr w:rsidR="00123DC4" w:rsidRPr="00E32074" w:rsidTr="00545826">
        <w:trPr>
          <w:trHeight w:val="369"/>
        </w:trPr>
        <w:tc>
          <w:tcPr>
            <w:tcW w:w="1731" w:type="pct"/>
            <w:tcBorders>
              <w:top w:val="single" w:sz="4" w:space="0" w:color="auto"/>
              <w:left w:val="single" w:sz="4" w:space="0" w:color="auto"/>
              <w:bottom w:val="single" w:sz="4" w:space="0" w:color="auto"/>
              <w:right w:val="single" w:sz="4" w:space="0" w:color="auto"/>
            </w:tcBorders>
            <w:vAlign w:val="center"/>
          </w:tcPr>
          <w:p w:rsidR="00123DC4" w:rsidRPr="00E32074" w:rsidRDefault="00123DC4" w:rsidP="00545826">
            <w:pPr>
              <w:autoSpaceDE w:val="0"/>
              <w:autoSpaceDN w:val="0"/>
              <w:adjustRightInd w:val="0"/>
              <w:spacing w:before="40" w:after="40"/>
              <w:rPr>
                <w:sz w:val="16"/>
                <w:szCs w:val="16"/>
              </w:rPr>
            </w:pPr>
            <w:r w:rsidRPr="00E32074">
              <w:rPr>
                <w:color w:val="000000"/>
                <w:sz w:val="16"/>
                <w:szCs w:val="16"/>
              </w:rPr>
              <w:t xml:space="preserve">Commissioning of GLN </w:t>
            </w:r>
            <w:r>
              <w:rPr>
                <w:color w:val="000000"/>
                <w:sz w:val="16"/>
                <w:szCs w:val="16"/>
              </w:rPr>
              <w:t>facilities</w:t>
            </w:r>
            <w:r w:rsidRPr="00E32074">
              <w:rPr>
                <w:color w:val="000000"/>
                <w:sz w:val="16"/>
                <w:szCs w:val="16"/>
              </w:rPr>
              <w:t xml:space="preserve"> in PCT Building</w:t>
            </w:r>
          </w:p>
        </w:tc>
        <w:tc>
          <w:tcPr>
            <w:tcW w:w="759" w:type="pct"/>
            <w:tcBorders>
              <w:top w:val="single" w:sz="4" w:space="0" w:color="auto"/>
              <w:left w:val="single" w:sz="4" w:space="0" w:color="auto"/>
              <w:bottom w:val="single" w:sz="4" w:space="0" w:color="auto"/>
              <w:right w:val="single" w:sz="4" w:space="0" w:color="auto"/>
            </w:tcBorders>
            <w:vAlign w:val="center"/>
          </w:tcPr>
          <w:p w:rsidR="00123DC4" w:rsidRPr="00E32074" w:rsidRDefault="00123DC4" w:rsidP="00545826">
            <w:pPr>
              <w:autoSpaceDE w:val="0"/>
              <w:autoSpaceDN w:val="0"/>
              <w:adjustRightInd w:val="0"/>
              <w:spacing w:before="40" w:after="40"/>
              <w:jc w:val="center"/>
              <w:rPr>
                <w:sz w:val="16"/>
                <w:szCs w:val="16"/>
              </w:rPr>
            </w:pPr>
            <w:r w:rsidRPr="00E32074">
              <w:rPr>
                <w:sz w:val="16"/>
                <w:szCs w:val="16"/>
              </w:rPr>
              <w:t>46</w:t>
            </w:r>
            <w:r>
              <w:rPr>
                <w:sz w:val="16"/>
                <w:szCs w:val="16"/>
              </w:rPr>
              <w:t>7,00</w:t>
            </w:r>
            <w:r w:rsidRPr="00E32074">
              <w:rPr>
                <w:sz w:val="16"/>
                <w:szCs w:val="16"/>
              </w:rPr>
              <w:t>0</w:t>
            </w:r>
          </w:p>
        </w:tc>
        <w:tc>
          <w:tcPr>
            <w:tcW w:w="837" w:type="pct"/>
            <w:tcBorders>
              <w:top w:val="single" w:sz="4" w:space="0" w:color="auto"/>
              <w:left w:val="single" w:sz="4" w:space="0" w:color="auto"/>
              <w:bottom w:val="single" w:sz="4" w:space="0" w:color="auto"/>
              <w:right w:val="single" w:sz="4" w:space="0" w:color="auto"/>
            </w:tcBorders>
            <w:vAlign w:val="center"/>
          </w:tcPr>
          <w:p w:rsidR="00123DC4" w:rsidRPr="008A011F" w:rsidRDefault="00123DC4" w:rsidP="00545826">
            <w:pPr>
              <w:autoSpaceDE w:val="0"/>
              <w:autoSpaceDN w:val="0"/>
              <w:adjustRightInd w:val="0"/>
              <w:spacing w:before="40" w:after="40"/>
              <w:jc w:val="center"/>
              <w:rPr>
                <w:sz w:val="16"/>
                <w:szCs w:val="16"/>
              </w:rPr>
            </w:pPr>
            <w:r w:rsidRPr="008A011F">
              <w:rPr>
                <w:sz w:val="16"/>
                <w:szCs w:val="16"/>
              </w:rPr>
              <w:t>141,296</w:t>
            </w:r>
          </w:p>
        </w:tc>
        <w:tc>
          <w:tcPr>
            <w:tcW w:w="759" w:type="pct"/>
            <w:tcBorders>
              <w:top w:val="single" w:sz="4" w:space="0" w:color="auto"/>
              <w:left w:val="single" w:sz="4" w:space="0" w:color="auto"/>
              <w:bottom w:val="single" w:sz="4" w:space="0" w:color="auto"/>
              <w:right w:val="single" w:sz="4" w:space="0" w:color="auto"/>
            </w:tcBorders>
            <w:vAlign w:val="center"/>
          </w:tcPr>
          <w:p w:rsidR="00123DC4" w:rsidRPr="008A011F" w:rsidRDefault="00123DC4" w:rsidP="00545826">
            <w:pPr>
              <w:autoSpaceDE w:val="0"/>
              <w:autoSpaceDN w:val="0"/>
              <w:adjustRightInd w:val="0"/>
              <w:spacing w:before="40" w:after="40"/>
              <w:jc w:val="center"/>
              <w:rPr>
                <w:sz w:val="16"/>
                <w:szCs w:val="16"/>
              </w:rPr>
            </w:pPr>
            <w:r w:rsidRPr="008A011F">
              <w:rPr>
                <w:sz w:val="16"/>
                <w:szCs w:val="16"/>
              </w:rPr>
              <w:t>30.3%</w:t>
            </w:r>
          </w:p>
        </w:tc>
        <w:tc>
          <w:tcPr>
            <w:tcW w:w="913" w:type="pct"/>
            <w:tcBorders>
              <w:top w:val="single" w:sz="4" w:space="0" w:color="auto"/>
              <w:left w:val="single" w:sz="4" w:space="0" w:color="auto"/>
              <w:bottom w:val="single" w:sz="4" w:space="0" w:color="auto"/>
              <w:right w:val="single" w:sz="4" w:space="0" w:color="auto"/>
            </w:tcBorders>
            <w:vAlign w:val="center"/>
          </w:tcPr>
          <w:p w:rsidR="00123DC4" w:rsidRPr="008A011F" w:rsidRDefault="00123DC4" w:rsidP="00545826">
            <w:pPr>
              <w:autoSpaceDE w:val="0"/>
              <w:autoSpaceDN w:val="0"/>
              <w:adjustRightInd w:val="0"/>
              <w:spacing w:before="40" w:after="40"/>
              <w:jc w:val="center"/>
              <w:rPr>
                <w:sz w:val="16"/>
                <w:szCs w:val="16"/>
              </w:rPr>
            </w:pPr>
            <w:r w:rsidRPr="008A011F">
              <w:rPr>
                <w:sz w:val="16"/>
                <w:szCs w:val="16"/>
              </w:rPr>
              <w:t>90%</w:t>
            </w:r>
          </w:p>
        </w:tc>
      </w:tr>
      <w:tr w:rsidR="00123DC4" w:rsidRPr="008A011F" w:rsidTr="00545826">
        <w:trPr>
          <w:trHeight w:val="369"/>
        </w:trPr>
        <w:tc>
          <w:tcPr>
            <w:tcW w:w="1731"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8A011F" w:rsidRDefault="00123DC4" w:rsidP="00545826">
            <w:pPr>
              <w:autoSpaceDE w:val="0"/>
              <w:autoSpaceDN w:val="0"/>
              <w:adjustRightInd w:val="0"/>
              <w:spacing w:before="40" w:after="40"/>
              <w:rPr>
                <w:b/>
                <w:sz w:val="16"/>
                <w:szCs w:val="16"/>
              </w:rPr>
            </w:pPr>
            <w:r w:rsidRPr="008A011F">
              <w:rPr>
                <w:b/>
                <w:sz w:val="16"/>
                <w:szCs w:val="16"/>
              </w:rPr>
              <w:t>Total</w:t>
            </w:r>
          </w:p>
        </w:tc>
        <w:tc>
          <w:tcPr>
            <w:tcW w:w="759"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8A011F" w:rsidRDefault="00123DC4" w:rsidP="00545826">
            <w:pPr>
              <w:autoSpaceDE w:val="0"/>
              <w:autoSpaceDN w:val="0"/>
              <w:adjustRightInd w:val="0"/>
              <w:spacing w:before="40" w:after="40"/>
              <w:jc w:val="center"/>
              <w:rPr>
                <w:b/>
                <w:sz w:val="16"/>
                <w:szCs w:val="16"/>
              </w:rPr>
            </w:pPr>
            <w:r w:rsidRPr="008A011F">
              <w:rPr>
                <w:b/>
                <w:sz w:val="16"/>
                <w:szCs w:val="16"/>
              </w:rPr>
              <w:t>750,000</w:t>
            </w:r>
          </w:p>
        </w:tc>
        <w:tc>
          <w:tcPr>
            <w:tcW w:w="837"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8A011F" w:rsidRDefault="00123DC4" w:rsidP="00545826">
            <w:pPr>
              <w:autoSpaceDE w:val="0"/>
              <w:autoSpaceDN w:val="0"/>
              <w:adjustRightInd w:val="0"/>
              <w:spacing w:before="40" w:after="40"/>
              <w:jc w:val="center"/>
              <w:rPr>
                <w:b/>
                <w:sz w:val="16"/>
                <w:szCs w:val="16"/>
              </w:rPr>
            </w:pPr>
            <w:r w:rsidRPr="008A011F">
              <w:rPr>
                <w:b/>
                <w:sz w:val="16"/>
                <w:szCs w:val="16"/>
              </w:rPr>
              <w:t>262,727</w:t>
            </w:r>
          </w:p>
        </w:tc>
        <w:tc>
          <w:tcPr>
            <w:tcW w:w="759" w:type="pct"/>
            <w:tcBorders>
              <w:top w:val="single" w:sz="4" w:space="0" w:color="auto"/>
              <w:left w:val="single" w:sz="4" w:space="0" w:color="auto"/>
              <w:bottom w:val="single" w:sz="4" w:space="0" w:color="auto"/>
              <w:right w:val="single" w:sz="4" w:space="0" w:color="auto"/>
            </w:tcBorders>
            <w:shd w:val="clear" w:color="auto" w:fill="C6D9F1" w:themeFill="text2" w:themeFillTint="33"/>
          </w:tcPr>
          <w:p w:rsidR="00123DC4" w:rsidRPr="008A011F" w:rsidRDefault="00123DC4" w:rsidP="00545826">
            <w:pPr>
              <w:autoSpaceDE w:val="0"/>
              <w:autoSpaceDN w:val="0"/>
              <w:adjustRightInd w:val="0"/>
              <w:spacing w:before="40" w:after="40"/>
              <w:jc w:val="center"/>
              <w:rPr>
                <w:b/>
                <w:sz w:val="16"/>
                <w:szCs w:val="16"/>
              </w:rPr>
            </w:pPr>
          </w:p>
        </w:tc>
        <w:tc>
          <w:tcPr>
            <w:tcW w:w="913" w:type="pct"/>
            <w:tcBorders>
              <w:top w:val="single" w:sz="4" w:space="0" w:color="auto"/>
              <w:left w:val="single" w:sz="4" w:space="0" w:color="auto"/>
              <w:bottom w:val="single" w:sz="4" w:space="0" w:color="auto"/>
              <w:right w:val="single" w:sz="4" w:space="0" w:color="auto"/>
            </w:tcBorders>
            <w:shd w:val="clear" w:color="auto" w:fill="C6D9F1" w:themeFill="text2" w:themeFillTint="33"/>
          </w:tcPr>
          <w:p w:rsidR="00123DC4" w:rsidRPr="008A011F" w:rsidRDefault="00123DC4" w:rsidP="00545826">
            <w:pPr>
              <w:autoSpaceDE w:val="0"/>
              <w:autoSpaceDN w:val="0"/>
              <w:adjustRightInd w:val="0"/>
              <w:spacing w:before="40" w:after="40"/>
              <w:jc w:val="center"/>
              <w:rPr>
                <w:b/>
                <w:sz w:val="16"/>
                <w:szCs w:val="16"/>
              </w:rPr>
            </w:pPr>
          </w:p>
        </w:tc>
      </w:tr>
    </w:tbl>
    <w:p w:rsidR="00123DC4" w:rsidRDefault="00123DC4" w:rsidP="00545826">
      <w:pPr>
        <w:tabs>
          <w:tab w:val="left" w:pos="3261"/>
        </w:tabs>
        <w:autoSpaceDE w:val="0"/>
        <w:autoSpaceDN w:val="0"/>
        <w:adjustRightInd w:val="0"/>
        <w:rPr>
          <w:szCs w:val="22"/>
        </w:rPr>
      </w:pPr>
    </w:p>
    <w:p w:rsidR="00123DC4" w:rsidRPr="008A011F" w:rsidRDefault="00123DC4" w:rsidP="00132057">
      <w:pPr>
        <w:tabs>
          <w:tab w:val="left" w:pos="3261"/>
        </w:tabs>
        <w:autoSpaceDE w:val="0"/>
        <w:autoSpaceDN w:val="0"/>
        <w:adjustRightInd w:val="0"/>
        <w:jc w:val="center"/>
        <w:rPr>
          <w:b/>
          <w:szCs w:val="22"/>
        </w:rPr>
      </w:pPr>
      <w:r w:rsidRPr="008A011F">
        <w:rPr>
          <w:b/>
          <w:szCs w:val="22"/>
        </w:rPr>
        <w:t>Project Budget Utilization (by Cost Category)</w:t>
      </w:r>
    </w:p>
    <w:p w:rsidR="00123DC4" w:rsidRPr="00811367" w:rsidRDefault="00123DC4" w:rsidP="00132057">
      <w:pPr>
        <w:keepNext/>
        <w:keepLines/>
        <w:tabs>
          <w:tab w:val="left" w:pos="3261"/>
        </w:tabs>
        <w:autoSpaceDE w:val="0"/>
        <w:autoSpaceDN w:val="0"/>
        <w:adjustRightInd w:val="0"/>
        <w:spacing w:after="120"/>
        <w:jc w:val="center"/>
        <w:rPr>
          <w:i/>
          <w:iCs/>
          <w:sz w:val="18"/>
          <w:szCs w:val="18"/>
        </w:rPr>
      </w:pPr>
      <w:r w:rsidRPr="008A011F">
        <w:rPr>
          <w:i/>
          <w:iCs/>
          <w:sz w:val="18"/>
          <w:szCs w:val="18"/>
        </w:rPr>
        <w:t>(</w:t>
      </w:r>
      <w:r>
        <w:rPr>
          <w:i/>
          <w:iCs/>
          <w:sz w:val="18"/>
          <w:szCs w:val="18"/>
        </w:rPr>
        <w:t>i</w:t>
      </w:r>
      <w:r w:rsidRPr="008A011F">
        <w:rPr>
          <w:i/>
          <w:iCs/>
          <w:sz w:val="18"/>
          <w:szCs w:val="18"/>
        </w:rPr>
        <w:t>n Swiss francs, as at December 31, 2015)</w:t>
      </w:r>
    </w:p>
    <w:tbl>
      <w:tblPr>
        <w:tblW w:w="4888"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4"/>
        <w:gridCol w:w="1996"/>
        <w:gridCol w:w="1684"/>
        <w:gridCol w:w="2143"/>
      </w:tblGrid>
      <w:tr w:rsidR="00123DC4" w:rsidRPr="008A011F" w:rsidTr="00545826">
        <w:trPr>
          <w:trHeight w:val="569"/>
        </w:trPr>
        <w:tc>
          <w:tcPr>
            <w:tcW w:w="1888"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8A011F" w:rsidRDefault="00123DC4" w:rsidP="00132057">
            <w:pPr>
              <w:keepNext/>
              <w:keepLines/>
              <w:autoSpaceDE w:val="0"/>
              <w:autoSpaceDN w:val="0"/>
              <w:adjustRightInd w:val="0"/>
              <w:spacing w:before="40" w:after="40" w:line="260" w:lineRule="exact"/>
              <w:ind w:left="-74" w:right="-60"/>
              <w:jc w:val="center"/>
              <w:rPr>
                <w:b/>
                <w:bCs/>
                <w:sz w:val="16"/>
                <w:szCs w:val="16"/>
              </w:rPr>
            </w:pPr>
            <w:r w:rsidRPr="008A011F">
              <w:rPr>
                <w:b/>
                <w:bCs/>
                <w:sz w:val="16"/>
                <w:szCs w:val="16"/>
              </w:rPr>
              <w:t>Cost Category</w:t>
            </w:r>
          </w:p>
        </w:tc>
        <w:tc>
          <w:tcPr>
            <w:tcW w:w="1066"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8A011F" w:rsidRDefault="00123DC4" w:rsidP="00132057">
            <w:pPr>
              <w:keepNext/>
              <w:keepLines/>
              <w:autoSpaceDE w:val="0"/>
              <w:autoSpaceDN w:val="0"/>
              <w:adjustRightInd w:val="0"/>
              <w:spacing w:before="40" w:after="40" w:line="260" w:lineRule="exact"/>
              <w:ind w:left="-107" w:right="-108"/>
              <w:jc w:val="center"/>
              <w:rPr>
                <w:b/>
                <w:bCs/>
                <w:sz w:val="16"/>
                <w:szCs w:val="16"/>
              </w:rPr>
            </w:pPr>
            <w:r w:rsidRPr="008A011F">
              <w:rPr>
                <w:b/>
                <w:bCs/>
                <w:sz w:val="16"/>
                <w:szCs w:val="16"/>
              </w:rPr>
              <w:t>Project Budget</w:t>
            </w:r>
          </w:p>
        </w:tc>
        <w:tc>
          <w:tcPr>
            <w:tcW w:w="900"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8A011F" w:rsidRDefault="00123DC4" w:rsidP="00132057">
            <w:pPr>
              <w:keepNext/>
              <w:keepLines/>
              <w:autoSpaceDE w:val="0"/>
              <w:autoSpaceDN w:val="0"/>
              <w:adjustRightInd w:val="0"/>
              <w:spacing w:before="40" w:after="40" w:line="260" w:lineRule="exact"/>
              <w:ind w:left="-108"/>
              <w:jc w:val="center"/>
              <w:rPr>
                <w:b/>
                <w:bCs/>
                <w:sz w:val="16"/>
                <w:szCs w:val="16"/>
              </w:rPr>
            </w:pPr>
            <w:r w:rsidRPr="008A011F">
              <w:rPr>
                <w:b/>
                <w:bCs/>
                <w:sz w:val="16"/>
                <w:szCs w:val="16"/>
              </w:rPr>
              <w:t xml:space="preserve">Actual Expenditure to Date </w:t>
            </w:r>
          </w:p>
        </w:tc>
        <w:tc>
          <w:tcPr>
            <w:tcW w:w="1145"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8A011F" w:rsidRDefault="00123DC4" w:rsidP="00132057">
            <w:pPr>
              <w:keepNext/>
              <w:keepLines/>
              <w:autoSpaceDE w:val="0"/>
              <w:autoSpaceDN w:val="0"/>
              <w:adjustRightInd w:val="0"/>
              <w:spacing w:before="40" w:after="40" w:line="260" w:lineRule="exact"/>
              <w:ind w:left="-109"/>
              <w:jc w:val="center"/>
              <w:rPr>
                <w:b/>
                <w:bCs/>
                <w:sz w:val="16"/>
                <w:szCs w:val="16"/>
              </w:rPr>
            </w:pPr>
            <w:r w:rsidRPr="008A011F">
              <w:rPr>
                <w:b/>
                <w:bCs/>
                <w:sz w:val="16"/>
                <w:szCs w:val="16"/>
              </w:rPr>
              <w:t>Actual Budget Utilization</w:t>
            </w:r>
          </w:p>
        </w:tc>
      </w:tr>
      <w:tr w:rsidR="00123DC4" w:rsidRPr="008A011F" w:rsidTr="00545826">
        <w:tc>
          <w:tcPr>
            <w:tcW w:w="1888" w:type="pct"/>
            <w:tcBorders>
              <w:top w:val="single" w:sz="4" w:space="0" w:color="auto"/>
              <w:left w:val="single" w:sz="4" w:space="0" w:color="auto"/>
              <w:bottom w:val="single" w:sz="4" w:space="0" w:color="auto"/>
              <w:right w:val="single" w:sz="4" w:space="0" w:color="auto"/>
            </w:tcBorders>
            <w:vAlign w:val="center"/>
          </w:tcPr>
          <w:p w:rsidR="00123DC4" w:rsidRPr="008A011F" w:rsidRDefault="00123DC4" w:rsidP="00132057">
            <w:pPr>
              <w:autoSpaceDE w:val="0"/>
              <w:autoSpaceDN w:val="0"/>
              <w:adjustRightInd w:val="0"/>
              <w:spacing w:before="40" w:after="40" w:line="260" w:lineRule="exact"/>
              <w:rPr>
                <w:sz w:val="16"/>
                <w:szCs w:val="16"/>
              </w:rPr>
            </w:pPr>
            <w:r w:rsidRPr="008A011F">
              <w:rPr>
                <w:sz w:val="16"/>
                <w:szCs w:val="16"/>
              </w:rPr>
              <w:t xml:space="preserve">Construction-related costs </w:t>
            </w:r>
          </w:p>
        </w:tc>
        <w:tc>
          <w:tcPr>
            <w:tcW w:w="1066" w:type="pct"/>
            <w:tcBorders>
              <w:top w:val="single" w:sz="4" w:space="0" w:color="auto"/>
              <w:left w:val="single" w:sz="4" w:space="0" w:color="auto"/>
              <w:bottom w:val="single" w:sz="4" w:space="0" w:color="auto"/>
              <w:right w:val="single" w:sz="4" w:space="0" w:color="auto"/>
            </w:tcBorders>
            <w:vAlign w:val="center"/>
          </w:tcPr>
          <w:p w:rsidR="00123DC4" w:rsidRPr="008A011F" w:rsidRDefault="00123DC4" w:rsidP="00132057">
            <w:pPr>
              <w:autoSpaceDE w:val="0"/>
              <w:autoSpaceDN w:val="0"/>
              <w:adjustRightInd w:val="0"/>
              <w:spacing w:before="40" w:after="40" w:line="260" w:lineRule="exact"/>
              <w:jc w:val="center"/>
              <w:rPr>
                <w:sz w:val="16"/>
                <w:szCs w:val="16"/>
              </w:rPr>
            </w:pPr>
            <w:r w:rsidRPr="008A011F">
              <w:rPr>
                <w:sz w:val="16"/>
                <w:szCs w:val="16"/>
              </w:rPr>
              <w:t>585,000</w:t>
            </w:r>
          </w:p>
        </w:tc>
        <w:tc>
          <w:tcPr>
            <w:tcW w:w="900" w:type="pct"/>
            <w:tcBorders>
              <w:top w:val="single" w:sz="4" w:space="0" w:color="auto"/>
              <w:left w:val="single" w:sz="4" w:space="0" w:color="auto"/>
              <w:bottom w:val="single" w:sz="4" w:space="0" w:color="auto"/>
              <w:right w:val="single" w:sz="4" w:space="0" w:color="auto"/>
            </w:tcBorders>
            <w:vAlign w:val="center"/>
          </w:tcPr>
          <w:p w:rsidR="00123DC4" w:rsidRPr="008A011F" w:rsidRDefault="00123DC4" w:rsidP="00132057">
            <w:pPr>
              <w:autoSpaceDE w:val="0"/>
              <w:autoSpaceDN w:val="0"/>
              <w:adjustRightInd w:val="0"/>
              <w:spacing w:before="40" w:after="40" w:line="260" w:lineRule="exact"/>
              <w:jc w:val="center"/>
              <w:rPr>
                <w:sz w:val="16"/>
                <w:szCs w:val="16"/>
              </w:rPr>
            </w:pPr>
            <w:r w:rsidRPr="008A011F">
              <w:rPr>
                <w:sz w:val="16"/>
                <w:szCs w:val="16"/>
              </w:rPr>
              <w:t>203,087</w:t>
            </w:r>
          </w:p>
        </w:tc>
        <w:tc>
          <w:tcPr>
            <w:tcW w:w="1145" w:type="pct"/>
            <w:tcBorders>
              <w:top w:val="single" w:sz="4" w:space="0" w:color="auto"/>
              <w:left w:val="single" w:sz="4" w:space="0" w:color="auto"/>
              <w:bottom w:val="single" w:sz="4" w:space="0" w:color="auto"/>
              <w:right w:val="single" w:sz="4" w:space="0" w:color="auto"/>
            </w:tcBorders>
            <w:vAlign w:val="center"/>
          </w:tcPr>
          <w:p w:rsidR="00123DC4" w:rsidRPr="008A011F" w:rsidRDefault="00123DC4" w:rsidP="00132057">
            <w:pPr>
              <w:autoSpaceDE w:val="0"/>
              <w:autoSpaceDN w:val="0"/>
              <w:adjustRightInd w:val="0"/>
              <w:spacing w:before="40" w:after="40" w:line="260" w:lineRule="exact"/>
              <w:jc w:val="center"/>
              <w:rPr>
                <w:sz w:val="16"/>
                <w:szCs w:val="16"/>
              </w:rPr>
            </w:pPr>
            <w:r w:rsidRPr="008A011F">
              <w:rPr>
                <w:sz w:val="16"/>
                <w:szCs w:val="16"/>
              </w:rPr>
              <w:t>34.7%</w:t>
            </w:r>
          </w:p>
        </w:tc>
      </w:tr>
      <w:tr w:rsidR="00123DC4" w:rsidRPr="008A011F" w:rsidTr="00545826">
        <w:tc>
          <w:tcPr>
            <w:tcW w:w="1888" w:type="pct"/>
            <w:tcBorders>
              <w:top w:val="single" w:sz="4" w:space="0" w:color="auto"/>
              <w:left w:val="single" w:sz="4" w:space="0" w:color="auto"/>
              <w:bottom w:val="single" w:sz="4" w:space="0" w:color="auto"/>
              <w:right w:val="single" w:sz="4" w:space="0" w:color="auto"/>
            </w:tcBorders>
            <w:vAlign w:val="center"/>
          </w:tcPr>
          <w:p w:rsidR="00123DC4" w:rsidRPr="008A011F" w:rsidRDefault="00123DC4" w:rsidP="00132057">
            <w:pPr>
              <w:autoSpaceDE w:val="0"/>
              <w:autoSpaceDN w:val="0"/>
              <w:adjustRightInd w:val="0"/>
              <w:spacing w:before="40" w:after="40" w:line="260" w:lineRule="exact"/>
              <w:rPr>
                <w:sz w:val="16"/>
                <w:szCs w:val="16"/>
              </w:rPr>
            </w:pPr>
            <w:r w:rsidRPr="008A011F">
              <w:rPr>
                <w:sz w:val="16"/>
                <w:szCs w:val="16"/>
              </w:rPr>
              <w:t>Honoraria</w:t>
            </w:r>
          </w:p>
        </w:tc>
        <w:tc>
          <w:tcPr>
            <w:tcW w:w="1066" w:type="pct"/>
            <w:tcBorders>
              <w:top w:val="single" w:sz="4" w:space="0" w:color="auto"/>
              <w:left w:val="single" w:sz="4" w:space="0" w:color="auto"/>
              <w:bottom w:val="single" w:sz="4" w:space="0" w:color="auto"/>
              <w:right w:val="single" w:sz="4" w:space="0" w:color="auto"/>
            </w:tcBorders>
            <w:vAlign w:val="center"/>
          </w:tcPr>
          <w:p w:rsidR="00123DC4" w:rsidRPr="008A011F" w:rsidRDefault="00123DC4" w:rsidP="00132057">
            <w:pPr>
              <w:autoSpaceDE w:val="0"/>
              <w:autoSpaceDN w:val="0"/>
              <w:adjustRightInd w:val="0"/>
              <w:spacing w:before="40" w:after="40" w:line="260" w:lineRule="exact"/>
              <w:jc w:val="center"/>
              <w:rPr>
                <w:sz w:val="16"/>
                <w:szCs w:val="16"/>
              </w:rPr>
            </w:pPr>
            <w:r w:rsidRPr="008A011F">
              <w:rPr>
                <w:sz w:val="16"/>
                <w:szCs w:val="16"/>
              </w:rPr>
              <w:t>113,000</w:t>
            </w:r>
          </w:p>
        </w:tc>
        <w:tc>
          <w:tcPr>
            <w:tcW w:w="900" w:type="pct"/>
            <w:tcBorders>
              <w:top w:val="single" w:sz="4" w:space="0" w:color="auto"/>
              <w:left w:val="single" w:sz="4" w:space="0" w:color="auto"/>
              <w:bottom w:val="single" w:sz="4" w:space="0" w:color="auto"/>
              <w:right w:val="single" w:sz="4" w:space="0" w:color="auto"/>
            </w:tcBorders>
          </w:tcPr>
          <w:p w:rsidR="00123DC4" w:rsidRPr="008A011F" w:rsidRDefault="00123DC4" w:rsidP="00132057">
            <w:pPr>
              <w:autoSpaceDE w:val="0"/>
              <w:autoSpaceDN w:val="0"/>
              <w:adjustRightInd w:val="0"/>
              <w:spacing w:before="40" w:after="40" w:line="260" w:lineRule="exact"/>
              <w:jc w:val="center"/>
              <w:rPr>
                <w:sz w:val="16"/>
                <w:szCs w:val="16"/>
              </w:rPr>
            </w:pPr>
            <w:r w:rsidRPr="008A011F">
              <w:rPr>
                <w:sz w:val="16"/>
                <w:szCs w:val="16"/>
              </w:rPr>
              <w:t>59,640</w:t>
            </w:r>
          </w:p>
        </w:tc>
        <w:tc>
          <w:tcPr>
            <w:tcW w:w="1145" w:type="pct"/>
            <w:tcBorders>
              <w:top w:val="single" w:sz="4" w:space="0" w:color="auto"/>
              <w:left w:val="single" w:sz="4" w:space="0" w:color="auto"/>
              <w:bottom w:val="single" w:sz="4" w:space="0" w:color="auto"/>
              <w:right w:val="single" w:sz="4" w:space="0" w:color="auto"/>
            </w:tcBorders>
          </w:tcPr>
          <w:p w:rsidR="00123DC4" w:rsidRPr="008A011F" w:rsidRDefault="00123DC4" w:rsidP="00132057">
            <w:pPr>
              <w:autoSpaceDE w:val="0"/>
              <w:autoSpaceDN w:val="0"/>
              <w:adjustRightInd w:val="0"/>
              <w:spacing w:before="40" w:after="40" w:line="260" w:lineRule="exact"/>
              <w:jc w:val="center"/>
              <w:rPr>
                <w:sz w:val="16"/>
                <w:szCs w:val="16"/>
              </w:rPr>
            </w:pPr>
            <w:r w:rsidRPr="008A011F">
              <w:rPr>
                <w:sz w:val="16"/>
                <w:szCs w:val="16"/>
              </w:rPr>
              <w:t>52.8%</w:t>
            </w:r>
          </w:p>
        </w:tc>
      </w:tr>
      <w:tr w:rsidR="00123DC4" w:rsidRPr="008A011F" w:rsidTr="00545826">
        <w:tc>
          <w:tcPr>
            <w:tcW w:w="1888" w:type="pct"/>
            <w:tcBorders>
              <w:top w:val="single" w:sz="4" w:space="0" w:color="auto"/>
              <w:left w:val="single" w:sz="4" w:space="0" w:color="auto"/>
              <w:bottom w:val="single" w:sz="4" w:space="0" w:color="auto"/>
              <w:right w:val="single" w:sz="4" w:space="0" w:color="auto"/>
            </w:tcBorders>
            <w:vAlign w:val="center"/>
          </w:tcPr>
          <w:p w:rsidR="00123DC4" w:rsidRPr="008A011F" w:rsidRDefault="00123DC4" w:rsidP="00132057">
            <w:pPr>
              <w:autoSpaceDE w:val="0"/>
              <w:autoSpaceDN w:val="0"/>
              <w:adjustRightInd w:val="0"/>
              <w:spacing w:before="40" w:after="40" w:line="260" w:lineRule="exact"/>
              <w:rPr>
                <w:sz w:val="16"/>
                <w:szCs w:val="16"/>
              </w:rPr>
            </w:pPr>
            <w:r w:rsidRPr="008A011F">
              <w:rPr>
                <w:sz w:val="16"/>
                <w:szCs w:val="16"/>
              </w:rPr>
              <w:t xml:space="preserve">Miscellaneous and  unforeseen </w:t>
            </w:r>
          </w:p>
        </w:tc>
        <w:tc>
          <w:tcPr>
            <w:tcW w:w="1066" w:type="pct"/>
            <w:tcBorders>
              <w:top w:val="single" w:sz="4" w:space="0" w:color="auto"/>
              <w:left w:val="single" w:sz="4" w:space="0" w:color="auto"/>
              <w:bottom w:val="single" w:sz="4" w:space="0" w:color="auto"/>
              <w:right w:val="single" w:sz="4" w:space="0" w:color="auto"/>
            </w:tcBorders>
            <w:vAlign w:val="center"/>
          </w:tcPr>
          <w:p w:rsidR="00123DC4" w:rsidRPr="008A011F" w:rsidRDefault="00123DC4" w:rsidP="00132057">
            <w:pPr>
              <w:autoSpaceDE w:val="0"/>
              <w:autoSpaceDN w:val="0"/>
              <w:adjustRightInd w:val="0"/>
              <w:spacing w:before="40" w:after="40" w:line="260" w:lineRule="exact"/>
              <w:jc w:val="center"/>
              <w:rPr>
                <w:sz w:val="16"/>
                <w:szCs w:val="16"/>
              </w:rPr>
            </w:pPr>
            <w:r w:rsidRPr="008A011F">
              <w:rPr>
                <w:sz w:val="16"/>
                <w:szCs w:val="16"/>
              </w:rPr>
              <w:t>52,000</w:t>
            </w:r>
          </w:p>
        </w:tc>
        <w:tc>
          <w:tcPr>
            <w:tcW w:w="900" w:type="pct"/>
            <w:tcBorders>
              <w:top w:val="single" w:sz="4" w:space="0" w:color="auto"/>
              <w:left w:val="single" w:sz="4" w:space="0" w:color="auto"/>
              <w:bottom w:val="single" w:sz="4" w:space="0" w:color="auto"/>
              <w:right w:val="single" w:sz="4" w:space="0" w:color="auto"/>
            </w:tcBorders>
            <w:vAlign w:val="center"/>
          </w:tcPr>
          <w:p w:rsidR="00123DC4" w:rsidRPr="008A011F" w:rsidRDefault="00123DC4" w:rsidP="00132057">
            <w:pPr>
              <w:autoSpaceDE w:val="0"/>
              <w:autoSpaceDN w:val="0"/>
              <w:adjustRightInd w:val="0"/>
              <w:spacing w:before="40" w:after="40" w:line="260" w:lineRule="exact"/>
              <w:jc w:val="center"/>
              <w:rPr>
                <w:sz w:val="16"/>
                <w:szCs w:val="16"/>
              </w:rPr>
            </w:pPr>
            <w:r w:rsidRPr="008A011F">
              <w:rPr>
                <w:sz w:val="16"/>
                <w:szCs w:val="16"/>
              </w:rPr>
              <w:t>0</w:t>
            </w:r>
          </w:p>
        </w:tc>
        <w:tc>
          <w:tcPr>
            <w:tcW w:w="1145" w:type="pct"/>
            <w:tcBorders>
              <w:top w:val="single" w:sz="4" w:space="0" w:color="auto"/>
              <w:left w:val="single" w:sz="4" w:space="0" w:color="auto"/>
              <w:bottom w:val="single" w:sz="4" w:space="0" w:color="auto"/>
              <w:right w:val="single" w:sz="4" w:space="0" w:color="auto"/>
            </w:tcBorders>
            <w:vAlign w:val="center"/>
          </w:tcPr>
          <w:p w:rsidR="00123DC4" w:rsidRPr="008A011F" w:rsidRDefault="00123DC4" w:rsidP="00132057">
            <w:pPr>
              <w:autoSpaceDE w:val="0"/>
              <w:autoSpaceDN w:val="0"/>
              <w:adjustRightInd w:val="0"/>
              <w:spacing w:before="40" w:after="40" w:line="260" w:lineRule="exact"/>
              <w:jc w:val="center"/>
              <w:rPr>
                <w:sz w:val="16"/>
                <w:szCs w:val="16"/>
              </w:rPr>
            </w:pPr>
            <w:r w:rsidRPr="008A011F">
              <w:rPr>
                <w:sz w:val="16"/>
                <w:szCs w:val="16"/>
              </w:rPr>
              <w:t>0%</w:t>
            </w:r>
          </w:p>
        </w:tc>
      </w:tr>
      <w:tr w:rsidR="00123DC4" w:rsidRPr="008A011F" w:rsidTr="00545826">
        <w:tc>
          <w:tcPr>
            <w:tcW w:w="1888"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8A011F" w:rsidRDefault="00123DC4" w:rsidP="00132057">
            <w:pPr>
              <w:autoSpaceDE w:val="0"/>
              <w:autoSpaceDN w:val="0"/>
              <w:adjustRightInd w:val="0"/>
              <w:spacing w:before="40" w:after="40" w:line="260" w:lineRule="exact"/>
              <w:rPr>
                <w:b/>
                <w:sz w:val="16"/>
                <w:szCs w:val="16"/>
              </w:rPr>
            </w:pPr>
            <w:r w:rsidRPr="008A011F">
              <w:rPr>
                <w:b/>
                <w:sz w:val="16"/>
                <w:szCs w:val="16"/>
              </w:rPr>
              <w:t>Total</w:t>
            </w:r>
          </w:p>
        </w:tc>
        <w:tc>
          <w:tcPr>
            <w:tcW w:w="1066"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8A011F" w:rsidRDefault="00123DC4" w:rsidP="00132057">
            <w:pPr>
              <w:autoSpaceDE w:val="0"/>
              <w:autoSpaceDN w:val="0"/>
              <w:adjustRightInd w:val="0"/>
              <w:spacing w:before="40" w:after="40" w:line="260" w:lineRule="exact"/>
              <w:jc w:val="center"/>
              <w:rPr>
                <w:b/>
                <w:sz w:val="16"/>
                <w:szCs w:val="16"/>
              </w:rPr>
            </w:pPr>
            <w:r w:rsidRPr="008A011F">
              <w:rPr>
                <w:b/>
                <w:sz w:val="16"/>
                <w:szCs w:val="16"/>
              </w:rPr>
              <w:t>750,000</w:t>
            </w:r>
          </w:p>
        </w:tc>
        <w:tc>
          <w:tcPr>
            <w:tcW w:w="900" w:type="pct"/>
            <w:tcBorders>
              <w:top w:val="single" w:sz="4" w:space="0" w:color="auto"/>
              <w:left w:val="single" w:sz="4" w:space="0" w:color="auto"/>
              <w:bottom w:val="single" w:sz="4" w:space="0" w:color="auto"/>
              <w:right w:val="single" w:sz="4" w:space="0" w:color="auto"/>
            </w:tcBorders>
            <w:shd w:val="clear" w:color="auto" w:fill="C6D9F1" w:themeFill="text2" w:themeFillTint="33"/>
          </w:tcPr>
          <w:p w:rsidR="00123DC4" w:rsidRPr="008A011F" w:rsidRDefault="00123DC4" w:rsidP="00132057">
            <w:pPr>
              <w:autoSpaceDE w:val="0"/>
              <w:autoSpaceDN w:val="0"/>
              <w:adjustRightInd w:val="0"/>
              <w:spacing w:before="40" w:after="40" w:line="260" w:lineRule="exact"/>
              <w:jc w:val="center"/>
              <w:rPr>
                <w:b/>
                <w:sz w:val="16"/>
                <w:szCs w:val="16"/>
              </w:rPr>
            </w:pPr>
            <w:r w:rsidRPr="008A011F">
              <w:rPr>
                <w:b/>
                <w:sz w:val="16"/>
                <w:szCs w:val="16"/>
              </w:rPr>
              <w:t>262,727</w:t>
            </w:r>
          </w:p>
        </w:tc>
        <w:tc>
          <w:tcPr>
            <w:tcW w:w="1145" w:type="pct"/>
            <w:tcBorders>
              <w:top w:val="single" w:sz="4" w:space="0" w:color="auto"/>
              <w:left w:val="single" w:sz="4" w:space="0" w:color="auto"/>
              <w:bottom w:val="single" w:sz="4" w:space="0" w:color="auto"/>
              <w:right w:val="single" w:sz="4" w:space="0" w:color="auto"/>
            </w:tcBorders>
            <w:shd w:val="clear" w:color="auto" w:fill="C6D9F1" w:themeFill="text2" w:themeFillTint="33"/>
          </w:tcPr>
          <w:p w:rsidR="00123DC4" w:rsidRPr="008A011F" w:rsidRDefault="00123DC4" w:rsidP="00132057">
            <w:pPr>
              <w:autoSpaceDE w:val="0"/>
              <w:autoSpaceDN w:val="0"/>
              <w:adjustRightInd w:val="0"/>
              <w:spacing w:before="40" w:after="40" w:line="260" w:lineRule="exact"/>
              <w:jc w:val="center"/>
              <w:rPr>
                <w:b/>
                <w:sz w:val="16"/>
                <w:szCs w:val="16"/>
              </w:rPr>
            </w:pPr>
          </w:p>
        </w:tc>
      </w:tr>
    </w:tbl>
    <w:p w:rsidR="00123DC4" w:rsidRDefault="00123DC4" w:rsidP="00132057">
      <w:pPr>
        <w:rPr>
          <w:rFonts w:cs="Arial"/>
          <w:szCs w:val="20"/>
        </w:rPr>
      </w:pPr>
    </w:p>
    <w:p w:rsidR="00545826" w:rsidRPr="00E012EF" w:rsidRDefault="00545826" w:rsidP="00132057">
      <w:pPr>
        <w:rPr>
          <w:rFonts w:cs="Arial"/>
          <w:szCs w:val="20"/>
        </w:rPr>
      </w:pPr>
    </w:p>
    <w:p w:rsidR="00123DC4" w:rsidRPr="00E012EF" w:rsidRDefault="00123DC4" w:rsidP="00132057">
      <w:pPr>
        <w:rPr>
          <w:rFonts w:cs="Arial"/>
          <w:color w:val="000000"/>
          <w:szCs w:val="20"/>
        </w:rPr>
      </w:pPr>
      <w:r w:rsidRPr="00E012EF">
        <w:rPr>
          <w:rFonts w:cs="Arial"/>
          <w:color w:val="000000"/>
          <w:szCs w:val="20"/>
        </w:rPr>
        <w:t>RISK AND MITIGATION STRATEGIES</w:t>
      </w:r>
    </w:p>
    <w:p w:rsidR="00123DC4" w:rsidRPr="00E012EF" w:rsidRDefault="00123DC4" w:rsidP="00132057">
      <w:pPr>
        <w:rPr>
          <w:rFonts w:cs="Arial"/>
          <w:color w:val="000000"/>
          <w:szCs w:val="20"/>
        </w:rPr>
      </w:pPr>
    </w:p>
    <w:tbl>
      <w:tblPr>
        <w:tblW w:w="483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79"/>
        <w:gridCol w:w="2836"/>
        <w:gridCol w:w="2834"/>
      </w:tblGrid>
      <w:tr w:rsidR="00123DC4" w:rsidRPr="00E32074" w:rsidTr="00545826">
        <w:trPr>
          <w:trHeight w:val="477"/>
          <w:tblHeader/>
          <w:jc w:val="center"/>
        </w:trPr>
        <w:tc>
          <w:tcPr>
            <w:tcW w:w="1935" w:type="pct"/>
            <w:shd w:val="clear" w:color="auto" w:fill="C6D9F1" w:themeFill="text2" w:themeFillTint="33"/>
            <w:vAlign w:val="center"/>
          </w:tcPr>
          <w:p w:rsidR="00123DC4" w:rsidRPr="00E32074" w:rsidRDefault="00123DC4" w:rsidP="00132057">
            <w:pPr>
              <w:autoSpaceDE w:val="0"/>
              <w:autoSpaceDN w:val="0"/>
              <w:adjustRightInd w:val="0"/>
              <w:spacing w:before="40" w:after="40" w:line="260" w:lineRule="exact"/>
              <w:ind w:left="-74" w:right="-60"/>
              <w:jc w:val="center"/>
              <w:rPr>
                <w:b/>
                <w:bCs/>
                <w:sz w:val="16"/>
                <w:szCs w:val="16"/>
              </w:rPr>
            </w:pPr>
            <w:r w:rsidRPr="00E32074">
              <w:rPr>
                <w:b/>
                <w:bCs/>
                <w:sz w:val="16"/>
                <w:szCs w:val="16"/>
              </w:rPr>
              <w:t xml:space="preserve">Risk </w:t>
            </w:r>
            <w:r>
              <w:rPr>
                <w:b/>
                <w:bCs/>
                <w:sz w:val="16"/>
                <w:szCs w:val="16"/>
              </w:rPr>
              <w:t xml:space="preserve">/ Risk </w:t>
            </w:r>
            <w:r w:rsidRPr="00E32074">
              <w:rPr>
                <w:b/>
                <w:bCs/>
                <w:color w:val="000000"/>
                <w:sz w:val="16"/>
                <w:szCs w:val="16"/>
              </w:rPr>
              <w:t>D</w:t>
            </w:r>
            <w:r w:rsidRPr="00E32074">
              <w:rPr>
                <w:b/>
                <w:bCs/>
                <w:sz w:val="16"/>
                <w:szCs w:val="16"/>
              </w:rPr>
              <w:t>escription</w:t>
            </w:r>
          </w:p>
        </w:tc>
        <w:tc>
          <w:tcPr>
            <w:tcW w:w="1533" w:type="pct"/>
            <w:tcBorders>
              <w:bottom w:val="single" w:sz="4" w:space="0" w:color="auto"/>
            </w:tcBorders>
            <w:shd w:val="clear" w:color="auto" w:fill="C6D9F1" w:themeFill="text2" w:themeFillTint="33"/>
            <w:vAlign w:val="center"/>
          </w:tcPr>
          <w:p w:rsidR="00123DC4" w:rsidRPr="00E32074" w:rsidRDefault="00123DC4" w:rsidP="00132057">
            <w:pPr>
              <w:autoSpaceDE w:val="0"/>
              <w:autoSpaceDN w:val="0"/>
              <w:adjustRightInd w:val="0"/>
              <w:spacing w:before="40" w:after="40" w:line="260" w:lineRule="exact"/>
              <w:ind w:left="-107" w:right="-108"/>
              <w:jc w:val="center"/>
              <w:rPr>
                <w:b/>
                <w:bCs/>
                <w:sz w:val="16"/>
                <w:szCs w:val="16"/>
              </w:rPr>
            </w:pPr>
            <w:r w:rsidRPr="00E32074">
              <w:rPr>
                <w:b/>
                <w:bCs/>
                <w:sz w:val="16"/>
                <w:szCs w:val="16"/>
              </w:rPr>
              <w:t>Risk Mitigation</w:t>
            </w:r>
            <w:r w:rsidRPr="00E32074" w:rsidDel="003965B5">
              <w:rPr>
                <w:b/>
                <w:bCs/>
                <w:color w:val="000000"/>
                <w:sz w:val="16"/>
                <w:szCs w:val="16"/>
              </w:rPr>
              <w:t xml:space="preserve"> </w:t>
            </w:r>
          </w:p>
        </w:tc>
        <w:tc>
          <w:tcPr>
            <w:tcW w:w="1532" w:type="pct"/>
            <w:shd w:val="clear" w:color="auto" w:fill="C6D9F1" w:themeFill="text2" w:themeFillTint="33"/>
            <w:vAlign w:val="center"/>
          </w:tcPr>
          <w:p w:rsidR="00123DC4" w:rsidRPr="00E32074" w:rsidRDefault="00123DC4" w:rsidP="00132057">
            <w:pPr>
              <w:autoSpaceDE w:val="0"/>
              <w:autoSpaceDN w:val="0"/>
              <w:adjustRightInd w:val="0"/>
              <w:spacing w:before="40" w:after="40" w:line="260" w:lineRule="exact"/>
              <w:ind w:left="-109"/>
              <w:jc w:val="center"/>
              <w:rPr>
                <w:b/>
                <w:bCs/>
                <w:sz w:val="16"/>
                <w:szCs w:val="16"/>
              </w:rPr>
            </w:pPr>
            <w:r>
              <w:rPr>
                <w:b/>
                <w:bCs/>
                <w:sz w:val="16"/>
                <w:szCs w:val="16"/>
              </w:rPr>
              <w:t>Comment</w:t>
            </w:r>
          </w:p>
        </w:tc>
      </w:tr>
      <w:tr w:rsidR="00123DC4" w:rsidRPr="00A30A17" w:rsidTr="00D53642">
        <w:trPr>
          <w:trHeight w:val="881"/>
          <w:jc w:val="center"/>
        </w:trPr>
        <w:tc>
          <w:tcPr>
            <w:tcW w:w="1935" w:type="pct"/>
            <w:shd w:val="clear" w:color="auto" w:fill="auto"/>
            <w:tcMar>
              <w:top w:w="85" w:type="dxa"/>
            </w:tcMar>
          </w:tcPr>
          <w:tbl>
            <w:tblPr>
              <w:tblW w:w="0" w:type="auto"/>
              <w:tblBorders>
                <w:top w:val="nil"/>
                <w:left w:val="nil"/>
                <w:bottom w:val="nil"/>
                <w:right w:val="nil"/>
              </w:tblBorders>
              <w:tblLook w:val="0000" w:firstRow="0" w:lastRow="0" w:firstColumn="0" w:lastColumn="0" w:noHBand="0" w:noVBand="0"/>
            </w:tblPr>
            <w:tblGrid>
              <w:gridCol w:w="3363"/>
            </w:tblGrid>
            <w:tr w:rsidR="00123DC4" w:rsidRPr="008A011F" w:rsidTr="00132057">
              <w:trPr>
                <w:trHeight w:val="801"/>
              </w:trPr>
              <w:tc>
                <w:tcPr>
                  <w:tcW w:w="0" w:type="auto"/>
                </w:tcPr>
                <w:p w:rsidR="00123DC4" w:rsidRPr="008A011F" w:rsidRDefault="00123DC4" w:rsidP="00132057">
                  <w:pPr>
                    <w:autoSpaceDE w:val="0"/>
                    <w:autoSpaceDN w:val="0"/>
                    <w:adjustRightInd w:val="0"/>
                    <w:spacing w:before="40" w:after="40"/>
                    <w:ind w:left="-107"/>
                    <w:rPr>
                      <w:rFonts w:eastAsiaTheme="minorHAnsi" w:cs="Arial"/>
                      <w:b/>
                      <w:bCs/>
                      <w:sz w:val="16"/>
                      <w:szCs w:val="16"/>
                    </w:rPr>
                  </w:pPr>
                  <w:r w:rsidRPr="006F1378">
                    <w:rPr>
                      <w:sz w:val="16"/>
                      <w:szCs w:val="16"/>
                    </w:rPr>
                    <w:t>Inability to carry out works before summer 2015 in the PCT Building</w:t>
                  </w:r>
                  <w:r>
                    <w:rPr>
                      <w:sz w:val="16"/>
                      <w:szCs w:val="16"/>
                    </w:rPr>
                    <w:t xml:space="preserve"> due to u</w:t>
                  </w:r>
                  <w:r w:rsidRPr="008A011F">
                    <w:rPr>
                      <w:sz w:val="16"/>
                      <w:szCs w:val="16"/>
                    </w:rPr>
                    <w:t>navailability of firms within the WIPO schedule</w:t>
                  </w:r>
                  <w:r>
                    <w:rPr>
                      <w:sz w:val="16"/>
                      <w:szCs w:val="16"/>
                    </w:rPr>
                    <w:t>.</w:t>
                  </w:r>
                </w:p>
              </w:tc>
            </w:tr>
          </w:tbl>
          <w:p w:rsidR="00123DC4" w:rsidRPr="008A011F" w:rsidRDefault="00123DC4" w:rsidP="00132057">
            <w:pPr>
              <w:autoSpaceDE w:val="0"/>
              <w:autoSpaceDN w:val="0"/>
              <w:adjustRightInd w:val="0"/>
              <w:spacing w:before="40" w:after="40"/>
              <w:rPr>
                <w:sz w:val="16"/>
                <w:szCs w:val="16"/>
              </w:rPr>
            </w:pPr>
          </w:p>
        </w:tc>
        <w:tc>
          <w:tcPr>
            <w:tcW w:w="1533" w:type="pct"/>
            <w:shd w:val="clear" w:color="auto" w:fill="auto"/>
            <w:tcMar>
              <w:top w:w="85" w:type="dxa"/>
            </w:tcMar>
          </w:tcPr>
          <w:p w:rsidR="00123DC4" w:rsidRPr="008A011F" w:rsidRDefault="00123DC4" w:rsidP="00132057">
            <w:pPr>
              <w:pStyle w:val="Default"/>
              <w:rPr>
                <w:color w:val="auto"/>
                <w:sz w:val="16"/>
                <w:szCs w:val="16"/>
              </w:rPr>
            </w:pPr>
            <w:r w:rsidRPr="008A011F">
              <w:rPr>
                <w:color w:val="auto"/>
                <w:sz w:val="16"/>
                <w:szCs w:val="16"/>
              </w:rPr>
              <w:t>Delay works until Oct/</w:t>
            </w:r>
            <w:r>
              <w:rPr>
                <w:i/>
                <w:sz w:val="16"/>
                <w:szCs w:val="16"/>
              </w:rPr>
              <w:t xml:space="preserve"> </w:t>
            </w:r>
            <w:r w:rsidRPr="008A011F">
              <w:rPr>
                <w:color w:val="auto"/>
                <w:sz w:val="16"/>
                <w:szCs w:val="16"/>
              </w:rPr>
              <w:t>Nov 2015.</w:t>
            </w:r>
          </w:p>
        </w:tc>
        <w:tc>
          <w:tcPr>
            <w:tcW w:w="1532" w:type="pct"/>
            <w:shd w:val="clear" w:color="auto" w:fill="auto"/>
            <w:tcMar>
              <w:top w:w="85" w:type="dxa"/>
            </w:tcMar>
          </w:tcPr>
          <w:p w:rsidR="00123DC4" w:rsidRPr="008A011F" w:rsidRDefault="00123DC4" w:rsidP="00132057">
            <w:pPr>
              <w:autoSpaceDE w:val="0"/>
              <w:autoSpaceDN w:val="0"/>
              <w:adjustRightInd w:val="0"/>
              <w:spacing w:before="40" w:after="40"/>
              <w:rPr>
                <w:sz w:val="16"/>
                <w:szCs w:val="16"/>
              </w:rPr>
            </w:pPr>
            <w:r>
              <w:rPr>
                <w:sz w:val="16"/>
                <w:szCs w:val="16"/>
              </w:rPr>
              <w:t>This risk event did occur.  The project’s general schedule was delayed</w:t>
            </w:r>
            <w:r w:rsidRPr="007905DE">
              <w:rPr>
                <w:sz w:val="16"/>
                <w:szCs w:val="16"/>
              </w:rPr>
              <w:t xml:space="preserve">.  </w:t>
            </w:r>
          </w:p>
        </w:tc>
      </w:tr>
      <w:tr w:rsidR="00123DC4" w:rsidRPr="00FC2AA8" w:rsidTr="00D53642">
        <w:trPr>
          <w:trHeight w:val="776"/>
          <w:jc w:val="center"/>
        </w:trPr>
        <w:tc>
          <w:tcPr>
            <w:tcW w:w="1935" w:type="pct"/>
            <w:shd w:val="clear" w:color="auto" w:fill="auto"/>
            <w:tcMar>
              <w:top w:w="85" w:type="dxa"/>
            </w:tcMar>
          </w:tcPr>
          <w:p w:rsidR="00123DC4" w:rsidRPr="008A011F" w:rsidRDefault="00123DC4" w:rsidP="00132057">
            <w:pPr>
              <w:pStyle w:val="Default"/>
              <w:rPr>
                <w:sz w:val="16"/>
                <w:szCs w:val="16"/>
              </w:rPr>
            </w:pPr>
            <w:r w:rsidRPr="008A011F">
              <w:rPr>
                <w:color w:val="auto"/>
                <w:sz w:val="16"/>
                <w:szCs w:val="16"/>
              </w:rPr>
              <w:t xml:space="preserve">Unforeseen circumstances in PCT construction site </w:t>
            </w:r>
            <w:r>
              <w:rPr>
                <w:color w:val="auto"/>
                <w:sz w:val="16"/>
                <w:szCs w:val="16"/>
              </w:rPr>
              <w:t>such as d</w:t>
            </w:r>
            <w:r w:rsidRPr="008A011F">
              <w:rPr>
                <w:color w:val="auto"/>
                <w:sz w:val="16"/>
                <w:szCs w:val="16"/>
              </w:rPr>
              <w:t>elay in the PCT Building internal equipment installation works by SIG and/or technical problems arising during or caused by the dismantling of existing</w:t>
            </w:r>
            <w:r>
              <w:rPr>
                <w:color w:val="auto"/>
                <w:sz w:val="16"/>
                <w:szCs w:val="16"/>
              </w:rPr>
              <w:t xml:space="preserve"> </w:t>
            </w:r>
            <w:r>
              <w:rPr>
                <w:sz w:val="16"/>
                <w:szCs w:val="16"/>
              </w:rPr>
              <w:t>d</w:t>
            </w:r>
            <w:r w:rsidRPr="008A011F">
              <w:rPr>
                <w:sz w:val="16"/>
                <w:szCs w:val="16"/>
              </w:rPr>
              <w:t>ucting</w:t>
            </w:r>
            <w:r>
              <w:rPr>
                <w:sz w:val="16"/>
                <w:szCs w:val="16"/>
              </w:rPr>
              <w:t>.</w:t>
            </w:r>
          </w:p>
        </w:tc>
        <w:tc>
          <w:tcPr>
            <w:tcW w:w="1533" w:type="pct"/>
            <w:shd w:val="clear" w:color="auto" w:fill="auto"/>
            <w:tcMar>
              <w:top w:w="85" w:type="dxa"/>
            </w:tcMar>
          </w:tcPr>
          <w:p w:rsidR="00123DC4" w:rsidRPr="008A011F" w:rsidRDefault="00123DC4" w:rsidP="00132057">
            <w:pPr>
              <w:pStyle w:val="Default"/>
              <w:rPr>
                <w:color w:val="auto"/>
                <w:sz w:val="16"/>
                <w:szCs w:val="16"/>
              </w:rPr>
            </w:pPr>
            <w:r w:rsidRPr="008A011F">
              <w:rPr>
                <w:color w:val="auto"/>
                <w:sz w:val="16"/>
                <w:szCs w:val="16"/>
              </w:rPr>
              <w:t>Carry out any repairs and update the works timetable where necessary, including for 2016.</w:t>
            </w:r>
          </w:p>
          <w:p w:rsidR="00123DC4" w:rsidRPr="008A011F" w:rsidRDefault="00123DC4" w:rsidP="00132057">
            <w:pPr>
              <w:autoSpaceDE w:val="0"/>
              <w:autoSpaceDN w:val="0"/>
              <w:adjustRightInd w:val="0"/>
              <w:spacing w:before="40" w:after="40"/>
              <w:rPr>
                <w:sz w:val="16"/>
                <w:szCs w:val="16"/>
              </w:rPr>
            </w:pPr>
          </w:p>
        </w:tc>
        <w:tc>
          <w:tcPr>
            <w:tcW w:w="1532" w:type="pct"/>
            <w:shd w:val="clear" w:color="auto" w:fill="auto"/>
            <w:tcMar>
              <w:top w:w="85" w:type="dxa"/>
            </w:tcMar>
          </w:tcPr>
          <w:p w:rsidR="00123DC4" w:rsidRPr="008A011F" w:rsidRDefault="00123DC4" w:rsidP="00132057">
            <w:pPr>
              <w:autoSpaceDE w:val="0"/>
              <w:autoSpaceDN w:val="0"/>
              <w:adjustRightInd w:val="0"/>
              <w:spacing w:before="40" w:after="40"/>
              <w:rPr>
                <w:sz w:val="16"/>
                <w:szCs w:val="16"/>
              </w:rPr>
            </w:pPr>
          </w:p>
        </w:tc>
      </w:tr>
      <w:tr w:rsidR="00123DC4" w:rsidRPr="00FC2AA8" w:rsidTr="00D53642">
        <w:trPr>
          <w:trHeight w:val="776"/>
          <w:jc w:val="center"/>
        </w:trPr>
        <w:tc>
          <w:tcPr>
            <w:tcW w:w="1935" w:type="pct"/>
            <w:shd w:val="clear" w:color="auto" w:fill="auto"/>
            <w:tcMar>
              <w:top w:w="85" w:type="dxa"/>
            </w:tcMar>
          </w:tcPr>
          <w:p w:rsidR="00123DC4" w:rsidRPr="008A011F" w:rsidRDefault="00123DC4" w:rsidP="00132057">
            <w:pPr>
              <w:autoSpaceDE w:val="0"/>
              <w:autoSpaceDN w:val="0"/>
              <w:adjustRightInd w:val="0"/>
              <w:spacing w:before="40" w:after="40"/>
              <w:rPr>
                <w:sz w:val="16"/>
                <w:szCs w:val="16"/>
              </w:rPr>
            </w:pPr>
            <w:r w:rsidRPr="008A011F">
              <w:rPr>
                <w:sz w:val="16"/>
                <w:szCs w:val="16"/>
              </w:rPr>
              <w:t>Unforeseen circumstances during the guarantee period of the installations</w:t>
            </w:r>
            <w:r>
              <w:rPr>
                <w:sz w:val="16"/>
                <w:szCs w:val="16"/>
              </w:rPr>
              <w:t>, such as b</w:t>
            </w:r>
            <w:r w:rsidRPr="008A011F">
              <w:rPr>
                <w:sz w:val="16"/>
                <w:szCs w:val="16"/>
              </w:rPr>
              <w:t>reakdown due to defective equipment or bad installation</w:t>
            </w:r>
            <w:r>
              <w:rPr>
                <w:sz w:val="16"/>
                <w:szCs w:val="16"/>
              </w:rPr>
              <w:t>.</w:t>
            </w:r>
          </w:p>
        </w:tc>
        <w:tc>
          <w:tcPr>
            <w:tcW w:w="1533" w:type="pct"/>
            <w:shd w:val="clear" w:color="auto" w:fill="auto"/>
            <w:tcMar>
              <w:top w:w="85" w:type="dxa"/>
            </w:tcMar>
          </w:tcPr>
          <w:p w:rsidR="00123DC4" w:rsidRPr="008A011F" w:rsidRDefault="00123DC4" w:rsidP="00132057">
            <w:pPr>
              <w:autoSpaceDE w:val="0"/>
              <w:autoSpaceDN w:val="0"/>
              <w:adjustRightInd w:val="0"/>
              <w:spacing w:before="40" w:after="40"/>
              <w:rPr>
                <w:sz w:val="16"/>
                <w:szCs w:val="16"/>
              </w:rPr>
            </w:pPr>
            <w:r w:rsidRPr="008A011F">
              <w:rPr>
                <w:sz w:val="16"/>
                <w:szCs w:val="16"/>
              </w:rPr>
              <w:t>Carry</w:t>
            </w:r>
            <w:r>
              <w:rPr>
                <w:sz w:val="16"/>
                <w:szCs w:val="16"/>
              </w:rPr>
              <w:t xml:space="preserve"> </w:t>
            </w:r>
            <w:r w:rsidRPr="008A011F">
              <w:rPr>
                <w:sz w:val="16"/>
                <w:szCs w:val="16"/>
              </w:rPr>
              <w:t>out possible repairs during the guarantee period</w:t>
            </w:r>
            <w:r w:rsidRPr="008A011F" w:rsidDel="003965B5">
              <w:rPr>
                <w:sz w:val="16"/>
                <w:szCs w:val="16"/>
              </w:rPr>
              <w:t>.</w:t>
            </w:r>
          </w:p>
        </w:tc>
        <w:tc>
          <w:tcPr>
            <w:tcW w:w="1532" w:type="pct"/>
            <w:shd w:val="clear" w:color="auto" w:fill="auto"/>
            <w:tcMar>
              <w:top w:w="85" w:type="dxa"/>
            </w:tcMar>
          </w:tcPr>
          <w:p w:rsidR="00123DC4" w:rsidRPr="008A011F" w:rsidRDefault="00123DC4" w:rsidP="00132057">
            <w:pPr>
              <w:autoSpaceDE w:val="0"/>
              <w:autoSpaceDN w:val="0"/>
              <w:adjustRightInd w:val="0"/>
              <w:spacing w:before="40" w:after="40"/>
              <w:rPr>
                <w:sz w:val="16"/>
                <w:szCs w:val="16"/>
              </w:rPr>
            </w:pPr>
          </w:p>
        </w:tc>
      </w:tr>
    </w:tbl>
    <w:p w:rsidR="00123DC4" w:rsidRDefault="00123DC4" w:rsidP="00132057">
      <w:pPr>
        <w:autoSpaceDE w:val="0"/>
        <w:autoSpaceDN w:val="0"/>
        <w:jc w:val="both"/>
      </w:pPr>
    </w:p>
    <w:p w:rsidR="00545826" w:rsidRDefault="00545826">
      <w:r>
        <w:br w:type="page"/>
      </w:r>
    </w:p>
    <w:p w:rsidR="00545826" w:rsidRPr="00A30A17" w:rsidRDefault="00545826" w:rsidP="00132057">
      <w:pPr>
        <w:autoSpaceDE w:val="0"/>
        <w:autoSpaceDN w:val="0"/>
        <w:jc w:val="both"/>
      </w:pPr>
    </w:p>
    <w:p w:rsidR="00123DC4" w:rsidRPr="00E012EF" w:rsidRDefault="00123DC4" w:rsidP="00132057">
      <w:pPr>
        <w:rPr>
          <w:rFonts w:cs="Arial"/>
          <w:color w:val="000000"/>
          <w:szCs w:val="22"/>
        </w:rPr>
      </w:pPr>
      <w:r w:rsidRPr="00E012EF">
        <w:rPr>
          <w:rFonts w:cs="Arial"/>
          <w:color w:val="000000"/>
          <w:szCs w:val="22"/>
        </w:rPr>
        <w:t>PROJECT TIMELINE BY MILESTONE</w:t>
      </w:r>
    </w:p>
    <w:p w:rsidR="00123DC4" w:rsidRPr="00E012EF" w:rsidRDefault="00123DC4" w:rsidP="00132057">
      <w:pPr>
        <w:autoSpaceDE w:val="0"/>
        <w:autoSpaceDN w:val="0"/>
        <w:jc w:val="both"/>
        <w:rPr>
          <w:sz w:val="18"/>
        </w:rPr>
      </w:pPr>
    </w:p>
    <w:tbl>
      <w:tblPr>
        <w:tblW w:w="8968" w:type="dxa"/>
        <w:jc w:val="center"/>
        <w:tblLook w:val="04A0" w:firstRow="1" w:lastRow="0" w:firstColumn="1" w:lastColumn="0" w:noHBand="0" w:noVBand="1"/>
      </w:tblPr>
      <w:tblGrid>
        <w:gridCol w:w="4167"/>
        <w:gridCol w:w="480"/>
        <w:gridCol w:w="480"/>
        <w:gridCol w:w="480"/>
        <w:gridCol w:w="480"/>
        <w:gridCol w:w="480"/>
        <w:gridCol w:w="480"/>
        <w:gridCol w:w="480"/>
        <w:gridCol w:w="560"/>
        <w:gridCol w:w="431"/>
        <w:gridCol w:w="450"/>
      </w:tblGrid>
      <w:tr w:rsidR="00123DC4" w:rsidRPr="00E32074" w:rsidTr="00132057">
        <w:trPr>
          <w:trHeight w:val="299"/>
          <w:jc w:val="center"/>
        </w:trPr>
        <w:tc>
          <w:tcPr>
            <w:tcW w:w="1418" w:type="dxa"/>
            <w:tcBorders>
              <w:top w:val="nil"/>
              <w:left w:val="nil"/>
              <w:bottom w:val="nil"/>
              <w:right w:val="nil"/>
            </w:tcBorders>
            <w:shd w:val="clear" w:color="auto" w:fill="auto"/>
            <w:noWrap/>
            <w:vAlign w:val="center"/>
            <w:hideMark/>
          </w:tcPr>
          <w:p w:rsidR="00123DC4" w:rsidRPr="00341D60" w:rsidRDefault="00123DC4" w:rsidP="00132057">
            <w:pPr>
              <w:jc w:val="center"/>
              <w:rPr>
                <w:rFonts w:cs="Arial"/>
                <w:b/>
                <w:bCs/>
                <w:color w:val="000000"/>
                <w:sz w:val="16"/>
                <w:szCs w:val="16"/>
              </w:rPr>
            </w:pPr>
          </w:p>
        </w:tc>
        <w:tc>
          <w:tcPr>
            <w:tcW w:w="1531" w:type="dxa"/>
            <w:gridSpan w:val="4"/>
            <w:tcBorders>
              <w:top w:val="single" w:sz="8" w:space="0" w:color="auto"/>
              <w:left w:val="single" w:sz="8" w:space="0" w:color="auto"/>
              <w:bottom w:val="single" w:sz="4" w:space="0" w:color="auto"/>
              <w:right w:val="single" w:sz="8" w:space="0" w:color="000000"/>
            </w:tcBorders>
            <w:shd w:val="clear" w:color="auto" w:fill="C6D9F1" w:themeFill="text2" w:themeFillTint="33"/>
            <w:noWrap/>
            <w:vAlign w:val="bottom"/>
            <w:hideMark/>
          </w:tcPr>
          <w:p w:rsidR="00123DC4" w:rsidRPr="003962D0" w:rsidRDefault="00123DC4" w:rsidP="00132057">
            <w:pPr>
              <w:jc w:val="center"/>
              <w:rPr>
                <w:rFonts w:cs="Arial"/>
                <w:b/>
                <w:bCs/>
                <w:color w:val="000000"/>
                <w:sz w:val="16"/>
                <w:szCs w:val="16"/>
              </w:rPr>
            </w:pPr>
            <w:r w:rsidRPr="003962D0">
              <w:rPr>
                <w:rFonts w:cs="Arial"/>
                <w:b/>
                <w:bCs/>
                <w:color w:val="000000"/>
                <w:sz w:val="16"/>
                <w:szCs w:val="16"/>
              </w:rPr>
              <w:t>2014</w:t>
            </w:r>
          </w:p>
        </w:tc>
        <w:tc>
          <w:tcPr>
            <w:tcW w:w="1531" w:type="dxa"/>
            <w:gridSpan w:val="4"/>
            <w:tcBorders>
              <w:top w:val="single" w:sz="8" w:space="0" w:color="auto"/>
              <w:left w:val="nil"/>
              <w:bottom w:val="single" w:sz="4" w:space="0" w:color="auto"/>
              <w:right w:val="single" w:sz="8" w:space="0" w:color="000000"/>
            </w:tcBorders>
            <w:shd w:val="clear" w:color="auto" w:fill="C6D9F1" w:themeFill="text2" w:themeFillTint="33"/>
            <w:noWrap/>
            <w:vAlign w:val="bottom"/>
            <w:hideMark/>
          </w:tcPr>
          <w:p w:rsidR="00123DC4" w:rsidRPr="003962D0" w:rsidRDefault="00123DC4" w:rsidP="00132057">
            <w:pPr>
              <w:jc w:val="center"/>
              <w:rPr>
                <w:rFonts w:cs="Arial"/>
                <w:b/>
                <w:bCs/>
                <w:color w:val="000000"/>
                <w:sz w:val="16"/>
                <w:szCs w:val="16"/>
              </w:rPr>
            </w:pPr>
            <w:r w:rsidRPr="003962D0">
              <w:rPr>
                <w:rFonts w:cs="Arial"/>
                <w:b/>
                <w:bCs/>
                <w:color w:val="000000"/>
                <w:sz w:val="16"/>
                <w:szCs w:val="16"/>
              </w:rPr>
              <w:t>2015</w:t>
            </w:r>
          </w:p>
        </w:tc>
        <w:tc>
          <w:tcPr>
            <w:tcW w:w="1531" w:type="dxa"/>
            <w:gridSpan w:val="2"/>
            <w:tcBorders>
              <w:top w:val="single" w:sz="4" w:space="0" w:color="auto"/>
              <w:bottom w:val="single" w:sz="4" w:space="0" w:color="auto"/>
              <w:right w:val="single" w:sz="4" w:space="0" w:color="auto"/>
            </w:tcBorders>
            <w:shd w:val="clear" w:color="auto" w:fill="C6D9F1" w:themeFill="text2" w:themeFillTint="33"/>
            <w:vAlign w:val="bottom"/>
          </w:tcPr>
          <w:p w:rsidR="00123DC4" w:rsidRPr="00341D60" w:rsidRDefault="00123DC4" w:rsidP="00132057">
            <w:pPr>
              <w:jc w:val="center"/>
              <w:rPr>
                <w:b/>
              </w:rPr>
            </w:pPr>
            <w:r w:rsidRPr="00341D60">
              <w:rPr>
                <w:b/>
                <w:sz w:val="16"/>
              </w:rPr>
              <w:t>2016</w:t>
            </w:r>
          </w:p>
        </w:tc>
      </w:tr>
      <w:tr w:rsidR="00123DC4" w:rsidRPr="00E32074" w:rsidTr="00545826">
        <w:trPr>
          <w:cantSplit/>
          <w:trHeight w:val="337"/>
          <w:jc w:val="center"/>
        </w:trPr>
        <w:tc>
          <w:tcPr>
            <w:tcW w:w="0" w:type="auto"/>
            <w:tcBorders>
              <w:top w:val="single" w:sz="8" w:space="0" w:color="auto"/>
              <w:left w:val="single" w:sz="8" w:space="0" w:color="auto"/>
              <w:bottom w:val="single" w:sz="4" w:space="0" w:color="auto"/>
              <w:right w:val="single" w:sz="8" w:space="0" w:color="auto"/>
            </w:tcBorders>
            <w:shd w:val="clear" w:color="auto" w:fill="C6D9F1" w:themeFill="text2" w:themeFillTint="33"/>
            <w:noWrap/>
            <w:tcMar>
              <w:top w:w="0" w:type="dxa"/>
            </w:tcMar>
            <w:vAlign w:val="bottom"/>
            <w:hideMark/>
          </w:tcPr>
          <w:p w:rsidR="00123DC4" w:rsidRPr="003962D0" w:rsidRDefault="00123DC4" w:rsidP="00132057">
            <w:pPr>
              <w:spacing w:after="240"/>
              <w:rPr>
                <w:rFonts w:cs="Arial"/>
                <w:b/>
                <w:bCs/>
                <w:color w:val="000000"/>
                <w:sz w:val="16"/>
                <w:szCs w:val="16"/>
              </w:rPr>
            </w:pPr>
            <w:r w:rsidRPr="003962D0">
              <w:rPr>
                <w:rFonts w:cs="Arial"/>
                <w:b/>
                <w:bCs/>
                <w:color w:val="000000"/>
                <w:sz w:val="16"/>
                <w:szCs w:val="16"/>
              </w:rPr>
              <w:t>Key Milestone</w:t>
            </w:r>
          </w:p>
        </w:tc>
        <w:tc>
          <w:tcPr>
            <w:tcW w:w="0" w:type="auto"/>
            <w:tcBorders>
              <w:top w:val="nil"/>
              <w:left w:val="nil"/>
              <w:bottom w:val="single" w:sz="4" w:space="0" w:color="auto"/>
              <w:right w:val="single" w:sz="4" w:space="0" w:color="auto"/>
            </w:tcBorders>
            <w:shd w:val="clear" w:color="auto" w:fill="C6D9F1" w:themeFill="text2" w:themeFillTint="33"/>
            <w:noWrap/>
            <w:tcMar>
              <w:top w:w="0" w:type="dxa"/>
            </w:tcMar>
            <w:vAlign w:val="bottom"/>
            <w:hideMark/>
          </w:tcPr>
          <w:p w:rsidR="00123DC4" w:rsidRPr="003962D0" w:rsidRDefault="00123DC4" w:rsidP="00132057">
            <w:pPr>
              <w:spacing w:after="240"/>
              <w:rPr>
                <w:rFonts w:cs="Arial"/>
                <w:b/>
                <w:bCs/>
                <w:color w:val="000000"/>
                <w:sz w:val="16"/>
                <w:szCs w:val="16"/>
              </w:rPr>
            </w:pPr>
            <w:r w:rsidRPr="003962D0">
              <w:rPr>
                <w:rFonts w:cs="Arial"/>
                <w:b/>
                <w:bCs/>
                <w:sz w:val="16"/>
                <w:szCs w:val="16"/>
              </w:rPr>
              <w:t>Q1</w:t>
            </w:r>
          </w:p>
        </w:tc>
        <w:tc>
          <w:tcPr>
            <w:tcW w:w="0" w:type="auto"/>
            <w:tcBorders>
              <w:top w:val="nil"/>
              <w:left w:val="nil"/>
              <w:bottom w:val="single" w:sz="4" w:space="0" w:color="auto"/>
              <w:right w:val="single" w:sz="4" w:space="0" w:color="auto"/>
            </w:tcBorders>
            <w:shd w:val="clear" w:color="auto" w:fill="C6D9F1" w:themeFill="text2" w:themeFillTint="33"/>
            <w:noWrap/>
            <w:tcMar>
              <w:top w:w="0" w:type="dxa"/>
            </w:tcMar>
            <w:vAlign w:val="bottom"/>
            <w:hideMark/>
          </w:tcPr>
          <w:p w:rsidR="00123DC4" w:rsidRPr="003962D0" w:rsidRDefault="00123DC4" w:rsidP="00132057">
            <w:pPr>
              <w:spacing w:after="240"/>
              <w:rPr>
                <w:rFonts w:cs="Arial"/>
                <w:b/>
                <w:bCs/>
                <w:color w:val="000000"/>
                <w:sz w:val="16"/>
                <w:szCs w:val="16"/>
              </w:rPr>
            </w:pPr>
            <w:r w:rsidRPr="003962D0">
              <w:rPr>
                <w:rFonts w:cs="Arial"/>
                <w:b/>
                <w:bCs/>
                <w:sz w:val="16"/>
                <w:szCs w:val="16"/>
              </w:rPr>
              <w:t>Q2</w:t>
            </w:r>
          </w:p>
        </w:tc>
        <w:tc>
          <w:tcPr>
            <w:tcW w:w="0" w:type="auto"/>
            <w:tcBorders>
              <w:top w:val="nil"/>
              <w:left w:val="nil"/>
              <w:bottom w:val="single" w:sz="4" w:space="0" w:color="auto"/>
              <w:right w:val="single" w:sz="4" w:space="0" w:color="auto"/>
            </w:tcBorders>
            <w:shd w:val="clear" w:color="auto" w:fill="C6D9F1" w:themeFill="text2" w:themeFillTint="33"/>
            <w:noWrap/>
            <w:tcMar>
              <w:top w:w="0" w:type="dxa"/>
            </w:tcMar>
            <w:vAlign w:val="bottom"/>
            <w:hideMark/>
          </w:tcPr>
          <w:p w:rsidR="00123DC4" w:rsidRPr="003962D0" w:rsidRDefault="00123DC4" w:rsidP="00132057">
            <w:pPr>
              <w:spacing w:after="240"/>
              <w:rPr>
                <w:rFonts w:cs="Arial"/>
                <w:b/>
                <w:bCs/>
                <w:color w:val="000000"/>
                <w:sz w:val="16"/>
                <w:szCs w:val="16"/>
              </w:rPr>
            </w:pPr>
            <w:r w:rsidRPr="003962D0">
              <w:rPr>
                <w:rFonts w:cs="Arial"/>
                <w:b/>
                <w:bCs/>
                <w:sz w:val="16"/>
                <w:szCs w:val="16"/>
              </w:rPr>
              <w:t>Q3</w:t>
            </w:r>
          </w:p>
        </w:tc>
        <w:tc>
          <w:tcPr>
            <w:tcW w:w="0" w:type="auto"/>
            <w:tcBorders>
              <w:top w:val="nil"/>
              <w:left w:val="nil"/>
              <w:bottom w:val="single" w:sz="4" w:space="0" w:color="auto"/>
              <w:right w:val="single" w:sz="8" w:space="0" w:color="auto"/>
            </w:tcBorders>
            <w:shd w:val="clear" w:color="auto" w:fill="C6D9F1" w:themeFill="text2" w:themeFillTint="33"/>
            <w:noWrap/>
            <w:tcMar>
              <w:top w:w="0" w:type="dxa"/>
            </w:tcMar>
            <w:vAlign w:val="bottom"/>
            <w:hideMark/>
          </w:tcPr>
          <w:p w:rsidR="00123DC4" w:rsidRPr="003962D0" w:rsidRDefault="00123DC4" w:rsidP="00132057">
            <w:pPr>
              <w:spacing w:after="240"/>
              <w:rPr>
                <w:rFonts w:cs="Arial"/>
                <w:b/>
                <w:bCs/>
                <w:color w:val="000000"/>
                <w:sz w:val="16"/>
                <w:szCs w:val="16"/>
              </w:rPr>
            </w:pPr>
            <w:r w:rsidRPr="003962D0">
              <w:rPr>
                <w:rFonts w:cs="Arial"/>
                <w:b/>
                <w:bCs/>
                <w:sz w:val="16"/>
                <w:szCs w:val="16"/>
              </w:rPr>
              <w:t>Q4</w:t>
            </w:r>
          </w:p>
        </w:tc>
        <w:tc>
          <w:tcPr>
            <w:tcW w:w="0" w:type="auto"/>
            <w:tcBorders>
              <w:top w:val="nil"/>
              <w:left w:val="nil"/>
              <w:bottom w:val="single" w:sz="4" w:space="0" w:color="auto"/>
              <w:right w:val="single" w:sz="4" w:space="0" w:color="auto"/>
            </w:tcBorders>
            <w:shd w:val="clear" w:color="auto" w:fill="C6D9F1" w:themeFill="text2" w:themeFillTint="33"/>
            <w:noWrap/>
            <w:tcMar>
              <w:top w:w="0" w:type="dxa"/>
            </w:tcMar>
            <w:vAlign w:val="bottom"/>
            <w:hideMark/>
          </w:tcPr>
          <w:p w:rsidR="00123DC4" w:rsidRPr="003962D0" w:rsidRDefault="00123DC4" w:rsidP="00132057">
            <w:pPr>
              <w:spacing w:after="240"/>
              <w:rPr>
                <w:rFonts w:cs="Arial"/>
                <w:b/>
                <w:bCs/>
                <w:color w:val="000000"/>
                <w:sz w:val="16"/>
                <w:szCs w:val="16"/>
              </w:rPr>
            </w:pPr>
            <w:r w:rsidRPr="003962D0">
              <w:rPr>
                <w:rFonts w:cs="Arial"/>
                <w:b/>
                <w:bCs/>
                <w:color w:val="000000"/>
                <w:sz w:val="16"/>
                <w:szCs w:val="16"/>
              </w:rPr>
              <w:t>Q1</w:t>
            </w:r>
          </w:p>
        </w:tc>
        <w:tc>
          <w:tcPr>
            <w:tcW w:w="0" w:type="auto"/>
            <w:tcBorders>
              <w:top w:val="nil"/>
              <w:left w:val="nil"/>
              <w:bottom w:val="single" w:sz="4" w:space="0" w:color="auto"/>
              <w:right w:val="single" w:sz="4" w:space="0" w:color="auto"/>
            </w:tcBorders>
            <w:shd w:val="clear" w:color="auto" w:fill="C6D9F1" w:themeFill="text2" w:themeFillTint="33"/>
            <w:noWrap/>
            <w:tcMar>
              <w:top w:w="0" w:type="dxa"/>
            </w:tcMar>
            <w:vAlign w:val="bottom"/>
            <w:hideMark/>
          </w:tcPr>
          <w:p w:rsidR="00123DC4" w:rsidRPr="003962D0" w:rsidRDefault="00123DC4" w:rsidP="00132057">
            <w:pPr>
              <w:spacing w:after="240"/>
              <w:rPr>
                <w:rFonts w:cs="Arial"/>
                <w:b/>
                <w:bCs/>
                <w:color w:val="000000"/>
                <w:sz w:val="16"/>
                <w:szCs w:val="16"/>
              </w:rPr>
            </w:pPr>
            <w:r w:rsidRPr="003962D0">
              <w:rPr>
                <w:rFonts w:cs="Arial"/>
                <w:b/>
                <w:bCs/>
                <w:color w:val="000000"/>
                <w:sz w:val="16"/>
                <w:szCs w:val="16"/>
              </w:rPr>
              <w:t>Q2</w:t>
            </w:r>
          </w:p>
        </w:tc>
        <w:tc>
          <w:tcPr>
            <w:tcW w:w="0" w:type="auto"/>
            <w:tcBorders>
              <w:top w:val="nil"/>
              <w:left w:val="nil"/>
              <w:bottom w:val="single" w:sz="4" w:space="0" w:color="auto"/>
              <w:right w:val="single" w:sz="4" w:space="0" w:color="auto"/>
            </w:tcBorders>
            <w:shd w:val="clear" w:color="auto" w:fill="C6D9F1" w:themeFill="text2" w:themeFillTint="33"/>
            <w:noWrap/>
            <w:tcMar>
              <w:top w:w="0" w:type="dxa"/>
            </w:tcMar>
            <w:vAlign w:val="bottom"/>
            <w:hideMark/>
          </w:tcPr>
          <w:p w:rsidR="00123DC4" w:rsidRPr="003962D0" w:rsidRDefault="00123DC4" w:rsidP="00132057">
            <w:pPr>
              <w:spacing w:after="240"/>
              <w:rPr>
                <w:rFonts w:cs="Arial"/>
                <w:b/>
                <w:bCs/>
                <w:color w:val="000000"/>
                <w:sz w:val="16"/>
                <w:szCs w:val="16"/>
              </w:rPr>
            </w:pPr>
            <w:r w:rsidRPr="003962D0">
              <w:rPr>
                <w:rFonts w:cs="Arial"/>
                <w:b/>
                <w:bCs/>
                <w:color w:val="000000"/>
                <w:sz w:val="16"/>
                <w:szCs w:val="16"/>
              </w:rPr>
              <w:t>Q3</w:t>
            </w:r>
          </w:p>
        </w:tc>
        <w:tc>
          <w:tcPr>
            <w:tcW w:w="0" w:type="auto"/>
            <w:tcBorders>
              <w:top w:val="nil"/>
              <w:left w:val="nil"/>
              <w:bottom w:val="single" w:sz="4" w:space="0" w:color="auto"/>
              <w:right w:val="single" w:sz="8" w:space="0" w:color="auto"/>
            </w:tcBorders>
            <w:shd w:val="clear" w:color="auto" w:fill="C6D9F1" w:themeFill="text2" w:themeFillTint="33"/>
            <w:noWrap/>
            <w:tcMar>
              <w:top w:w="0" w:type="dxa"/>
            </w:tcMar>
            <w:vAlign w:val="bottom"/>
            <w:hideMark/>
          </w:tcPr>
          <w:p w:rsidR="00123DC4" w:rsidRPr="003962D0" w:rsidRDefault="00123DC4" w:rsidP="00132057">
            <w:pPr>
              <w:spacing w:after="240"/>
              <w:rPr>
                <w:rFonts w:cs="Arial"/>
                <w:b/>
                <w:bCs/>
                <w:color w:val="000000"/>
                <w:sz w:val="16"/>
                <w:szCs w:val="16"/>
              </w:rPr>
            </w:pPr>
            <w:r w:rsidRPr="003962D0">
              <w:rPr>
                <w:rFonts w:cs="Arial"/>
                <w:b/>
                <w:bCs/>
                <w:color w:val="000000"/>
                <w:sz w:val="16"/>
                <w:szCs w:val="16"/>
              </w:rPr>
              <w:t>Q4</w:t>
            </w:r>
          </w:p>
        </w:tc>
        <w:tc>
          <w:tcPr>
            <w:tcW w:w="0" w:type="auto"/>
            <w:tcBorders>
              <w:top w:val="single" w:sz="4" w:space="0" w:color="auto"/>
              <w:bottom w:val="single" w:sz="4" w:space="0" w:color="auto"/>
              <w:right w:val="single" w:sz="4" w:space="0" w:color="auto"/>
            </w:tcBorders>
            <w:shd w:val="clear" w:color="auto" w:fill="C6D9F1" w:themeFill="text2" w:themeFillTint="33"/>
            <w:tcMar>
              <w:top w:w="0" w:type="dxa"/>
            </w:tcMar>
          </w:tcPr>
          <w:p w:rsidR="00123DC4" w:rsidRPr="008A011F" w:rsidRDefault="00123DC4" w:rsidP="00132057">
            <w:pPr>
              <w:spacing w:before="240" w:after="240"/>
              <w:rPr>
                <w:b/>
                <w:sz w:val="16"/>
                <w:szCs w:val="16"/>
              </w:rPr>
            </w:pPr>
            <w:r w:rsidRPr="008A011F">
              <w:rPr>
                <w:b/>
                <w:sz w:val="16"/>
                <w:szCs w:val="16"/>
              </w:rPr>
              <w:t>Q1</w:t>
            </w:r>
          </w:p>
        </w:tc>
        <w:tc>
          <w:tcPr>
            <w:tcW w:w="0" w:type="auto"/>
            <w:tcBorders>
              <w:top w:val="single" w:sz="4" w:space="0" w:color="auto"/>
              <w:bottom w:val="single" w:sz="4" w:space="0" w:color="auto"/>
              <w:right w:val="single" w:sz="4" w:space="0" w:color="auto"/>
            </w:tcBorders>
            <w:shd w:val="clear" w:color="auto" w:fill="C6D9F1" w:themeFill="text2" w:themeFillTint="33"/>
            <w:tcMar>
              <w:top w:w="0" w:type="dxa"/>
            </w:tcMar>
          </w:tcPr>
          <w:p w:rsidR="00123DC4" w:rsidRPr="008A011F" w:rsidRDefault="00123DC4" w:rsidP="00132057">
            <w:pPr>
              <w:spacing w:before="240" w:after="240"/>
              <w:rPr>
                <w:b/>
                <w:sz w:val="16"/>
                <w:szCs w:val="16"/>
              </w:rPr>
            </w:pPr>
            <w:r w:rsidRPr="008A011F">
              <w:rPr>
                <w:b/>
                <w:sz w:val="16"/>
                <w:szCs w:val="16"/>
              </w:rPr>
              <w:t>Q2</w:t>
            </w:r>
          </w:p>
        </w:tc>
      </w:tr>
      <w:tr w:rsidR="00123DC4" w:rsidRPr="00E32074" w:rsidTr="00132057">
        <w:trPr>
          <w:trHeight w:val="425"/>
          <w:jc w:val="center"/>
        </w:trPr>
        <w:tc>
          <w:tcPr>
            <w:tcW w:w="4167" w:type="dxa"/>
            <w:tcBorders>
              <w:top w:val="nil"/>
              <w:left w:val="single" w:sz="8" w:space="0" w:color="auto"/>
              <w:bottom w:val="single" w:sz="4" w:space="0" w:color="auto"/>
              <w:right w:val="single" w:sz="8" w:space="0" w:color="auto"/>
            </w:tcBorders>
            <w:shd w:val="clear" w:color="auto" w:fill="auto"/>
            <w:noWrap/>
            <w:vAlign w:val="center"/>
            <w:hideMark/>
          </w:tcPr>
          <w:p w:rsidR="00123DC4" w:rsidRPr="003962D0" w:rsidRDefault="00123DC4" w:rsidP="00132057">
            <w:pPr>
              <w:spacing w:before="40" w:after="40"/>
              <w:rPr>
                <w:rFonts w:cs="Arial"/>
                <w:color w:val="000000"/>
                <w:sz w:val="16"/>
                <w:szCs w:val="16"/>
              </w:rPr>
            </w:pPr>
            <w:r w:rsidRPr="003962D0">
              <w:rPr>
                <w:rFonts w:cs="Arial"/>
                <w:color w:val="000000"/>
                <w:sz w:val="16"/>
                <w:szCs w:val="16"/>
              </w:rPr>
              <w:t>Award of contract to the HVAC engineer (AB and PCT)</w:t>
            </w:r>
          </w:p>
        </w:tc>
        <w:tc>
          <w:tcPr>
            <w:tcW w:w="480" w:type="dxa"/>
            <w:tcBorders>
              <w:top w:val="nil"/>
              <w:left w:val="nil"/>
              <w:bottom w:val="single" w:sz="4" w:space="0" w:color="auto"/>
              <w:right w:val="single" w:sz="4" w:space="0" w:color="auto"/>
            </w:tcBorders>
            <w:shd w:val="clear" w:color="auto" w:fill="auto"/>
            <w:noWrap/>
            <w:vAlign w:val="bottom"/>
            <w:hideMark/>
          </w:tcPr>
          <w:p w:rsidR="00123DC4" w:rsidRPr="003962D0" w:rsidRDefault="00123DC4" w:rsidP="00132057">
            <w:pPr>
              <w:spacing w:before="40" w:after="40"/>
              <w:rPr>
                <w:rFonts w:cs="Arial"/>
                <w:color w:val="000000"/>
                <w:sz w:val="16"/>
                <w:szCs w:val="16"/>
              </w:rPr>
            </w:pPr>
            <w:r w:rsidRPr="003962D0">
              <w:rPr>
                <w:rFonts w:cs="Arial"/>
                <w:color w:val="000000"/>
                <w:sz w:val="16"/>
                <w:szCs w:val="16"/>
              </w:rPr>
              <w:t> </w:t>
            </w: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3962D0" w:rsidRDefault="00123DC4" w:rsidP="00132057">
            <w:pPr>
              <w:spacing w:before="40" w:after="40"/>
              <w:jc w:val="center"/>
              <w:rPr>
                <w:rFonts w:cs="Arial"/>
                <w:color w:val="000000"/>
                <w:sz w:val="16"/>
                <w:szCs w:val="16"/>
              </w:rPr>
            </w:pPr>
            <w:r w:rsidRPr="003962D0">
              <w:rPr>
                <w:rFonts w:cs="Arial"/>
                <w:color w:val="000000"/>
                <w:sz w:val="16"/>
                <w:szCs w:val="16"/>
              </w:rPr>
              <w:t>X</w:t>
            </w: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3962D0" w:rsidRDefault="00123DC4" w:rsidP="00132057">
            <w:pPr>
              <w:spacing w:before="40" w:after="40"/>
              <w:jc w:val="center"/>
              <w:rPr>
                <w:rFonts w:cs="Arial"/>
                <w:color w:val="000000"/>
                <w:sz w:val="16"/>
                <w:szCs w:val="16"/>
              </w:rPr>
            </w:pPr>
          </w:p>
        </w:tc>
        <w:tc>
          <w:tcPr>
            <w:tcW w:w="480" w:type="dxa"/>
            <w:tcBorders>
              <w:top w:val="nil"/>
              <w:left w:val="nil"/>
              <w:bottom w:val="single" w:sz="4" w:space="0" w:color="auto"/>
              <w:right w:val="single" w:sz="8" w:space="0" w:color="auto"/>
            </w:tcBorders>
            <w:shd w:val="clear" w:color="auto" w:fill="auto"/>
            <w:noWrap/>
            <w:vAlign w:val="center"/>
            <w:hideMark/>
          </w:tcPr>
          <w:p w:rsidR="00123DC4" w:rsidRPr="003962D0" w:rsidRDefault="00123DC4" w:rsidP="00132057">
            <w:pPr>
              <w:spacing w:before="40" w:after="40"/>
              <w:jc w:val="center"/>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3962D0" w:rsidRDefault="00123DC4" w:rsidP="00132057">
            <w:pPr>
              <w:spacing w:before="40" w:after="40"/>
              <w:jc w:val="center"/>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3962D0" w:rsidRDefault="00123DC4" w:rsidP="00132057">
            <w:pPr>
              <w:spacing w:before="40" w:after="40"/>
              <w:jc w:val="center"/>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3962D0" w:rsidRDefault="00123DC4" w:rsidP="00132057">
            <w:pPr>
              <w:spacing w:before="40" w:after="40"/>
              <w:jc w:val="center"/>
              <w:rPr>
                <w:rFonts w:cs="Arial"/>
                <w:color w:val="000000"/>
                <w:sz w:val="16"/>
                <w:szCs w:val="16"/>
              </w:rPr>
            </w:pPr>
          </w:p>
        </w:tc>
        <w:tc>
          <w:tcPr>
            <w:tcW w:w="560" w:type="dxa"/>
            <w:tcBorders>
              <w:top w:val="nil"/>
              <w:left w:val="nil"/>
              <w:bottom w:val="single" w:sz="4" w:space="0" w:color="auto"/>
              <w:right w:val="single" w:sz="8" w:space="0" w:color="auto"/>
            </w:tcBorders>
            <w:shd w:val="clear" w:color="auto" w:fill="auto"/>
            <w:noWrap/>
            <w:vAlign w:val="center"/>
            <w:hideMark/>
          </w:tcPr>
          <w:p w:rsidR="00123DC4" w:rsidRPr="003962D0" w:rsidRDefault="00123DC4" w:rsidP="00132057">
            <w:pPr>
              <w:spacing w:before="40" w:after="40"/>
              <w:jc w:val="center"/>
              <w:rPr>
                <w:rFonts w:cs="Arial"/>
                <w:color w:val="000000"/>
                <w:sz w:val="16"/>
                <w:szCs w:val="16"/>
              </w:rPr>
            </w:pPr>
          </w:p>
        </w:tc>
        <w:tc>
          <w:tcPr>
            <w:tcW w:w="450" w:type="dxa"/>
            <w:tcBorders>
              <w:top w:val="single" w:sz="4" w:space="0" w:color="auto"/>
              <w:bottom w:val="single" w:sz="4" w:space="0" w:color="auto"/>
              <w:right w:val="single" w:sz="4" w:space="0" w:color="auto"/>
            </w:tcBorders>
            <w:shd w:val="clear" w:color="auto" w:fill="auto"/>
            <w:vAlign w:val="center"/>
          </w:tcPr>
          <w:p w:rsidR="00123DC4" w:rsidRPr="008A011F" w:rsidRDefault="00123DC4" w:rsidP="00132057">
            <w:pPr>
              <w:spacing w:before="40" w:after="40"/>
              <w:jc w:val="center"/>
            </w:pPr>
          </w:p>
        </w:tc>
        <w:tc>
          <w:tcPr>
            <w:tcW w:w="431" w:type="dxa"/>
            <w:tcBorders>
              <w:top w:val="single" w:sz="4" w:space="0" w:color="auto"/>
              <w:bottom w:val="single" w:sz="4" w:space="0" w:color="auto"/>
              <w:right w:val="single" w:sz="4" w:space="0" w:color="auto"/>
            </w:tcBorders>
            <w:shd w:val="clear" w:color="auto" w:fill="auto"/>
            <w:vAlign w:val="center"/>
          </w:tcPr>
          <w:p w:rsidR="00123DC4" w:rsidRPr="008A011F" w:rsidRDefault="00123DC4" w:rsidP="00132057">
            <w:pPr>
              <w:spacing w:before="40" w:after="40"/>
              <w:jc w:val="center"/>
            </w:pPr>
          </w:p>
        </w:tc>
      </w:tr>
      <w:tr w:rsidR="00123DC4" w:rsidRPr="00E32074" w:rsidTr="00545826">
        <w:trPr>
          <w:trHeight w:val="377"/>
          <w:jc w:val="center"/>
        </w:trPr>
        <w:tc>
          <w:tcPr>
            <w:tcW w:w="4167" w:type="dxa"/>
            <w:tcBorders>
              <w:top w:val="nil"/>
              <w:left w:val="single" w:sz="8" w:space="0" w:color="auto"/>
              <w:bottom w:val="single" w:sz="4" w:space="0" w:color="auto"/>
              <w:right w:val="single" w:sz="8" w:space="0" w:color="auto"/>
            </w:tcBorders>
            <w:shd w:val="clear" w:color="auto" w:fill="auto"/>
            <w:noWrap/>
            <w:vAlign w:val="center"/>
            <w:hideMark/>
          </w:tcPr>
          <w:p w:rsidR="00123DC4" w:rsidRPr="003962D0" w:rsidRDefault="00123DC4" w:rsidP="00132057">
            <w:pPr>
              <w:spacing w:before="40" w:after="40"/>
              <w:rPr>
                <w:rFonts w:cs="Arial"/>
                <w:color w:val="000000"/>
                <w:sz w:val="16"/>
                <w:szCs w:val="16"/>
              </w:rPr>
            </w:pPr>
            <w:r w:rsidRPr="003962D0">
              <w:rPr>
                <w:rFonts w:cs="Arial"/>
                <w:color w:val="000000"/>
                <w:sz w:val="16"/>
                <w:szCs w:val="16"/>
              </w:rPr>
              <w:t>Requests for offers from firms (AB)</w:t>
            </w:r>
          </w:p>
        </w:tc>
        <w:tc>
          <w:tcPr>
            <w:tcW w:w="480" w:type="dxa"/>
            <w:tcBorders>
              <w:top w:val="nil"/>
              <w:left w:val="nil"/>
              <w:bottom w:val="single" w:sz="4" w:space="0" w:color="auto"/>
              <w:right w:val="single" w:sz="4" w:space="0" w:color="auto"/>
            </w:tcBorders>
            <w:shd w:val="clear" w:color="auto" w:fill="auto"/>
            <w:noWrap/>
            <w:vAlign w:val="bottom"/>
            <w:hideMark/>
          </w:tcPr>
          <w:p w:rsidR="00123DC4" w:rsidRPr="003962D0" w:rsidRDefault="00123DC4" w:rsidP="00132057">
            <w:pPr>
              <w:spacing w:before="40" w:after="40"/>
              <w:rPr>
                <w:rFonts w:cs="Arial"/>
                <w:color w:val="000000"/>
                <w:sz w:val="16"/>
                <w:szCs w:val="16"/>
              </w:rPr>
            </w:pPr>
            <w:r w:rsidRPr="003962D0">
              <w:rPr>
                <w:rFonts w:cs="Arial"/>
                <w:color w:val="000000"/>
                <w:sz w:val="16"/>
                <w:szCs w:val="16"/>
              </w:rPr>
              <w:t> </w:t>
            </w: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3962D0" w:rsidRDefault="00123DC4" w:rsidP="00132057">
            <w:pPr>
              <w:spacing w:before="40" w:after="40"/>
              <w:jc w:val="center"/>
              <w:rPr>
                <w:rFonts w:cs="Arial"/>
                <w:color w:val="000000"/>
                <w:sz w:val="16"/>
                <w:szCs w:val="16"/>
              </w:rPr>
            </w:pPr>
            <w:r w:rsidRPr="003962D0">
              <w:rPr>
                <w:rFonts w:cs="Arial"/>
                <w:color w:val="000000"/>
                <w:sz w:val="16"/>
                <w:szCs w:val="16"/>
              </w:rPr>
              <w:t>X</w:t>
            </w: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3962D0" w:rsidRDefault="00123DC4" w:rsidP="00132057">
            <w:pPr>
              <w:spacing w:before="40" w:after="40"/>
              <w:jc w:val="center"/>
              <w:rPr>
                <w:rFonts w:cs="Arial"/>
                <w:color w:val="000000"/>
                <w:sz w:val="16"/>
                <w:szCs w:val="16"/>
              </w:rPr>
            </w:pPr>
          </w:p>
        </w:tc>
        <w:tc>
          <w:tcPr>
            <w:tcW w:w="480" w:type="dxa"/>
            <w:tcBorders>
              <w:top w:val="nil"/>
              <w:left w:val="nil"/>
              <w:bottom w:val="single" w:sz="4" w:space="0" w:color="auto"/>
              <w:right w:val="single" w:sz="8" w:space="0" w:color="auto"/>
            </w:tcBorders>
            <w:shd w:val="clear" w:color="auto" w:fill="auto"/>
            <w:noWrap/>
            <w:vAlign w:val="center"/>
            <w:hideMark/>
          </w:tcPr>
          <w:p w:rsidR="00123DC4" w:rsidRPr="003962D0" w:rsidRDefault="00123DC4" w:rsidP="00132057">
            <w:pPr>
              <w:spacing w:before="40" w:after="40"/>
              <w:jc w:val="center"/>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3962D0" w:rsidRDefault="00123DC4" w:rsidP="00132057">
            <w:pPr>
              <w:spacing w:before="40" w:after="40"/>
              <w:jc w:val="center"/>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3962D0" w:rsidRDefault="00123DC4" w:rsidP="00132057">
            <w:pPr>
              <w:spacing w:before="40" w:after="40"/>
              <w:jc w:val="center"/>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3962D0" w:rsidRDefault="00123DC4" w:rsidP="00132057">
            <w:pPr>
              <w:spacing w:before="40" w:after="40"/>
              <w:jc w:val="center"/>
              <w:rPr>
                <w:rFonts w:cs="Arial"/>
                <w:color w:val="000000"/>
                <w:sz w:val="16"/>
                <w:szCs w:val="16"/>
              </w:rPr>
            </w:pPr>
          </w:p>
        </w:tc>
        <w:tc>
          <w:tcPr>
            <w:tcW w:w="560" w:type="dxa"/>
            <w:tcBorders>
              <w:top w:val="nil"/>
              <w:left w:val="nil"/>
              <w:bottom w:val="single" w:sz="4" w:space="0" w:color="auto"/>
              <w:right w:val="single" w:sz="8" w:space="0" w:color="auto"/>
            </w:tcBorders>
            <w:shd w:val="clear" w:color="auto" w:fill="auto"/>
            <w:noWrap/>
            <w:vAlign w:val="center"/>
            <w:hideMark/>
          </w:tcPr>
          <w:p w:rsidR="00123DC4" w:rsidRPr="003962D0" w:rsidRDefault="00123DC4" w:rsidP="00132057">
            <w:pPr>
              <w:spacing w:before="40" w:after="40"/>
              <w:jc w:val="center"/>
              <w:rPr>
                <w:rFonts w:cs="Arial"/>
                <w:color w:val="000000"/>
                <w:sz w:val="16"/>
                <w:szCs w:val="16"/>
              </w:rPr>
            </w:pPr>
          </w:p>
        </w:tc>
        <w:tc>
          <w:tcPr>
            <w:tcW w:w="450" w:type="dxa"/>
            <w:tcBorders>
              <w:top w:val="single" w:sz="4" w:space="0" w:color="auto"/>
              <w:bottom w:val="single" w:sz="4" w:space="0" w:color="auto"/>
              <w:right w:val="single" w:sz="4" w:space="0" w:color="auto"/>
            </w:tcBorders>
            <w:shd w:val="clear" w:color="auto" w:fill="auto"/>
            <w:vAlign w:val="center"/>
          </w:tcPr>
          <w:p w:rsidR="00123DC4" w:rsidRPr="008A011F" w:rsidRDefault="00123DC4" w:rsidP="00132057">
            <w:pPr>
              <w:spacing w:before="40" w:after="40"/>
              <w:jc w:val="center"/>
            </w:pPr>
          </w:p>
        </w:tc>
        <w:tc>
          <w:tcPr>
            <w:tcW w:w="431" w:type="dxa"/>
            <w:tcBorders>
              <w:top w:val="single" w:sz="4" w:space="0" w:color="auto"/>
              <w:bottom w:val="single" w:sz="4" w:space="0" w:color="auto"/>
              <w:right w:val="single" w:sz="4" w:space="0" w:color="auto"/>
            </w:tcBorders>
            <w:shd w:val="clear" w:color="auto" w:fill="auto"/>
            <w:vAlign w:val="center"/>
          </w:tcPr>
          <w:p w:rsidR="00123DC4" w:rsidRPr="008A011F" w:rsidRDefault="00123DC4" w:rsidP="00132057">
            <w:pPr>
              <w:spacing w:before="40" w:after="40"/>
              <w:jc w:val="center"/>
            </w:pPr>
          </w:p>
        </w:tc>
      </w:tr>
      <w:tr w:rsidR="00123DC4" w:rsidRPr="00E32074" w:rsidTr="00545826">
        <w:trPr>
          <w:trHeight w:val="412"/>
          <w:jc w:val="center"/>
        </w:trPr>
        <w:tc>
          <w:tcPr>
            <w:tcW w:w="4167" w:type="dxa"/>
            <w:tcBorders>
              <w:top w:val="nil"/>
              <w:left w:val="single" w:sz="8" w:space="0" w:color="auto"/>
              <w:bottom w:val="single" w:sz="4" w:space="0" w:color="auto"/>
              <w:right w:val="single" w:sz="8" w:space="0" w:color="auto"/>
            </w:tcBorders>
            <w:shd w:val="clear" w:color="auto" w:fill="auto"/>
            <w:noWrap/>
            <w:vAlign w:val="center"/>
            <w:hideMark/>
          </w:tcPr>
          <w:p w:rsidR="00123DC4" w:rsidRPr="003962D0" w:rsidRDefault="00123DC4" w:rsidP="00132057">
            <w:pPr>
              <w:spacing w:before="40" w:after="40"/>
              <w:rPr>
                <w:rFonts w:cs="Arial"/>
                <w:color w:val="000000"/>
                <w:sz w:val="16"/>
                <w:szCs w:val="16"/>
              </w:rPr>
            </w:pPr>
            <w:r w:rsidRPr="003962D0">
              <w:rPr>
                <w:rFonts w:cs="Arial"/>
                <w:color w:val="000000"/>
                <w:sz w:val="16"/>
                <w:szCs w:val="16"/>
              </w:rPr>
              <w:t>Execution and commissioning  of works (AB)</w:t>
            </w:r>
          </w:p>
        </w:tc>
        <w:tc>
          <w:tcPr>
            <w:tcW w:w="480" w:type="dxa"/>
            <w:tcBorders>
              <w:top w:val="nil"/>
              <w:left w:val="nil"/>
              <w:bottom w:val="single" w:sz="4" w:space="0" w:color="auto"/>
              <w:right w:val="single" w:sz="4" w:space="0" w:color="auto"/>
            </w:tcBorders>
            <w:shd w:val="clear" w:color="auto" w:fill="auto"/>
            <w:noWrap/>
            <w:vAlign w:val="bottom"/>
            <w:hideMark/>
          </w:tcPr>
          <w:p w:rsidR="00123DC4" w:rsidRPr="003962D0" w:rsidRDefault="00123DC4" w:rsidP="00132057">
            <w:pPr>
              <w:spacing w:before="40" w:after="40"/>
              <w:rPr>
                <w:rFonts w:cs="Arial"/>
                <w:color w:val="000000"/>
                <w:sz w:val="16"/>
                <w:szCs w:val="16"/>
              </w:rPr>
            </w:pPr>
            <w:r w:rsidRPr="003962D0">
              <w:rPr>
                <w:rFonts w:cs="Arial"/>
                <w:color w:val="000000"/>
                <w:sz w:val="16"/>
                <w:szCs w:val="16"/>
              </w:rPr>
              <w:t> </w:t>
            </w: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3962D0" w:rsidRDefault="00123DC4" w:rsidP="00132057">
            <w:pPr>
              <w:spacing w:before="40" w:after="40"/>
              <w:jc w:val="center"/>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3962D0" w:rsidRDefault="00123DC4" w:rsidP="00132057">
            <w:pPr>
              <w:spacing w:before="40" w:after="40"/>
              <w:jc w:val="center"/>
              <w:rPr>
                <w:rFonts w:cs="Arial"/>
                <w:color w:val="000000"/>
                <w:sz w:val="16"/>
                <w:szCs w:val="16"/>
              </w:rPr>
            </w:pPr>
            <w:r w:rsidRPr="003962D0">
              <w:rPr>
                <w:rFonts w:cs="Arial"/>
                <w:color w:val="000000"/>
                <w:sz w:val="16"/>
                <w:szCs w:val="16"/>
              </w:rPr>
              <w:t>X</w:t>
            </w:r>
          </w:p>
        </w:tc>
        <w:tc>
          <w:tcPr>
            <w:tcW w:w="480" w:type="dxa"/>
            <w:tcBorders>
              <w:top w:val="nil"/>
              <w:left w:val="nil"/>
              <w:bottom w:val="single" w:sz="4" w:space="0" w:color="auto"/>
              <w:right w:val="single" w:sz="8" w:space="0" w:color="auto"/>
            </w:tcBorders>
            <w:shd w:val="clear" w:color="auto" w:fill="auto"/>
            <w:noWrap/>
            <w:vAlign w:val="center"/>
            <w:hideMark/>
          </w:tcPr>
          <w:p w:rsidR="00123DC4" w:rsidRPr="003962D0" w:rsidRDefault="00123DC4" w:rsidP="00132057">
            <w:pPr>
              <w:spacing w:before="40" w:after="40"/>
              <w:jc w:val="center"/>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3962D0" w:rsidRDefault="00123DC4" w:rsidP="00132057">
            <w:pPr>
              <w:spacing w:before="40" w:after="40"/>
              <w:jc w:val="center"/>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3962D0" w:rsidRDefault="00123DC4" w:rsidP="00132057">
            <w:pPr>
              <w:spacing w:before="40" w:after="40"/>
              <w:jc w:val="center"/>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3962D0" w:rsidRDefault="00123DC4" w:rsidP="00132057">
            <w:pPr>
              <w:spacing w:before="40" w:after="40"/>
              <w:jc w:val="center"/>
              <w:rPr>
                <w:rFonts w:cs="Arial"/>
                <w:color w:val="000000"/>
                <w:sz w:val="16"/>
                <w:szCs w:val="16"/>
              </w:rPr>
            </w:pPr>
          </w:p>
        </w:tc>
        <w:tc>
          <w:tcPr>
            <w:tcW w:w="560" w:type="dxa"/>
            <w:tcBorders>
              <w:top w:val="nil"/>
              <w:left w:val="nil"/>
              <w:bottom w:val="single" w:sz="4" w:space="0" w:color="auto"/>
              <w:right w:val="single" w:sz="8" w:space="0" w:color="auto"/>
            </w:tcBorders>
            <w:shd w:val="clear" w:color="auto" w:fill="auto"/>
            <w:noWrap/>
            <w:vAlign w:val="center"/>
            <w:hideMark/>
          </w:tcPr>
          <w:p w:rsidR="00123DC4" w:rsidRPr="003962D0" w:rsidRDefault="00123DC4" w:rsidP="00132057">
            <w:pPr>
              <w:spacing w:before="40" w:after="40"/>
              <w:jc w:val="center"/>
              <w:rPr>
                <w:rFonts w:cs="Arial"/>
                <w:color w:val="000000"/>
                <w:sz w:val="16"/>
                <w:szCs w:val="16"/>
              </w:rPr>
            </w:pPr>
          </w:p>
        </w:tc>
        <w:tc>
          <w:tcPr>
            <w:tcW w:w="450" w:type="dxa"/>
            <w:tcBorders>
              <w:top w:val="single" w:sz="4" w:space="0" w:color="auto"/>
              <w:bottom w:val="single" w:sz="4" w:space="0" w:color="auto"/>
              <w:right w:val="single" w:sz="4" w:space="0" w:color="auto"/>
            </w:tcBorders>
            <w:shd w:val="clear" w:color="auto" w:fill="auto"/>
            <w:vAlign w:val="center"/>
          </w:tcPr>
          <w:p w:rsidR="00123DC4" w:rsidRPr="008A011F" w:rsidRDefault="00123DC4" w:rsidP="00132057">
            <w:pPr>
              <w:spacing w:before="40" w:after="40"/>
              <w:jc w:val="center"/>
            </w:pPr>
          </w:p>
        </w:tc>
        <w:tc>
          <w:tcPr>
            <w:tcW w:w="431" w:type="dxa"/>
            <w:tcBorders>
              <w:top w:val="single" w:sz="4" w:space="0" w:color="auto"/>
              <w:bottom w:val="single" w:sz="4" w:space="0" w:color="auto"/>
              <w:right w:val="single" w:sz="4" w:space="0" w:color="auto"/>
            </w:tcBorders>
            <w:shd w:val="clear" w:color="auto" w:fill="auto"/>
            <w:vAlign w:val="center"/>
          </w:tcPr>
          <w:p w:rsidR="00123DC4" w:rsidRPr="008A011F" w:rsidRDefault="00123DC4" w:rsidP="00132057">
            <w:pPr>
              <w:spacing w:before="40" w:after="40"/>
              <w:jc w:val="center"/>
            </w:pPr>
          </w:p>
        </w:tc>
      </w:tr>
      <w:tr w:rsidR="00123DC4" w:rsidRPr="00E32074" w:rsidTr="00132057">
        <w:trPr>
          <w:trHeight w:val="417"/>
          <w:jc w:val="center"/>
        </w:trPr>
        <w:tc>
          <w:tcPr>
            <w:tcW w:w="4167" w:type="dxa"/>
            <w:tcBorders>
              <w:top w:val="nil"/>
              <w:left w:val="single" w:sz="8" w:space="0" w:color="auto"/>
              <w:bottom w:val="single" w:sz="4" w:space="0" w:color="auto"/>
              <w:right w:val="single" w:sz="8" w:space="0" w:color="auto"/>
            </w:tcBorders>
            <w:shd w:val="clear" w:color="auto" w:fill="auto"/>
            <w:noWrap/>
            <w:vAlign w:val="center"/>
            <w:hideMark/>
          </w:tcPr>
          <w:p w:rsidR="00123DC4" w:rsidRPr="003962D0" w:rsidRDefault="00123DC4" w:rsidP="00132057">
            <w:pPr>
              <w:spacing w:before="40" w:after="40"/>
              <w:rPr>
                <w:rFonts w:cs="Arial"/>
                <w:color w:val="000000"/>
                <w:sz w:val="16"/>
                <w:szCs w:val="16"/>
              </w:rPr>
            </w:pPr>
            <w:r w:rsidRPr="003962D0">
              <w:rPr>
                <w:rFonts w:cs="Arial"/>
                <w:color w:val="000000"/>
                <w:sz w:val="16"/>
                <w:szCs w:val="16"/>
              </w:rPr>
              <w:t>Validation of project with HVAC engineer (PCT)</w:t>
            </w:r>
          </w:p>
        </w:tc>
        <w:tc>
          <w:tcPr>
            <w:tcW w:w="480" w:type="dxa"/>
            <w:tcBorders>
              <w:top w:val="nil"/>
              <w:left w:val="nil"/>
              <w:bottom w:val="single" w:sz="4" w:space="0" w:color="auto"/>
              <w:right w:val="single" w:sz="4" w:space="0" w:color="auto"/>
            </w:tcBorders>
            <w:shd w:val="clear" w:color="auto" w:fill="auto"/>
            <w:noWrap/>
            <w:vAlign w:val="bottom"/>
            <w:hideMark/>
          </w:tcPr>
          <w:p w:rsidR="00123DC4" w:rsidRPr="003962D0" w:rsidRDefault="00123DC4" w:rsidP="00132057">
            <w:pPr>
              <w:spacing w:before="40" w:after="40"/>
              <w:rPr>
                <w:rFonts w:cs="Arial"/>
                <w:color w:val="000000"/>
                <w:sz w:val="16"/>
                <w:szCs w:val="16"/>
              </w:rPr>
            </w:pPr>
            <w:r w:rsidRPr="003962D0">
              <w:rPr>
                <w:rFonts w:cs="Arial"/>
                <w:color w:val="000000"/>
                <w:sz w:val="16"/>
                <w:szCs w:val="16"/>
              </w:rPr>
              <w:t> </w:t>
            </w: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3962D0" w:rsidRDefault="00123DC4" w:rsidP="00132057">
            <w:pPr>
              <w:spacing w:before="40" w:after="40"/>
              <w:jc w:val="center"/>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3962D0" w:rsidRDefault="00123DC4" w:rsidP="00132057">
            <w:pPr>
              <w:spacing w:before="40" w:after="40"/>
              <w:jc w:val="center"/>
              <w:rPr>
                <w:rFonts w:cs="Arial"/>
                <w:color w:val="000000"/>
                <w:sz w:val="16"/>
                <w:szCs w:val="16"/>
              </w:rPr>
            </w:pPr>
          </w:p>
        </w:tc>
        <w:tc>
          <w:tcPr>
            <w:tcW w:w="480" w:type="dxa"/>
            <w:tcBorders>
              <w:top w:val="nil"/>
              <w:left w:val="nil"/>
              <w:bottom w:val="single" w:sz="4" w:space="0" w:color="auto"/>
              <w:right w:val="single" w:sz="8" w:space="0" w:color="auto"/>
            </w:tcBorders>
            <w:shd w:val="clear" w:color="auto" w:fill="auto"/>
            <w:noWrap/>
            <w:vAlign w:val="center"/>
            <w:hideMark/>
          </w:tcPr>
          <w:p w:rsidR="00123DC4" w:rsidRPr="003962D0" w:rsidRDefault="00123DC4" w:rsidP="00132057">
            <w:pPr>
              <w:spacing w:before="40" w:after="40"/>
              <w:jc w:val="center"/>
              <w:rPr>
                <w:rFonts w:cs="Arial"/>
                <w:color w:val="000000"/>
                <w:sz w:val="16"/>
                <w:szCs w:val="16"/>
              </w:rPr>
            </w:pPr>
            <w:r w:rsidRPr="003962D0">
              <w:rPr>
                <w:rFonts w:cs="Arial"/>
                <w:color w:val="000000"/>
                <w:sz w:val="16"/>
                <w:szCs w:val="16"/>
              </w:rPr>
              <w:t>X</w:t>
            </w: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3962D0" w:rsidRDefault="00123DC4" w:rsidP="00132057">
            <w:pPr>
              <w:spacing w:before="40" w:after="40"/>
              <w:jc w:val="center"/>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3962D0" w:rsidRDefault="00123DC4" w:rsidP="00132057">
            <w:pPr>
              <w:spacing w:before="40" w:after="40"/>
              <w:jc w:val="center"/>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3962D0" w:rsidRDefault="00123DC4" w:rsidP="00132057">
            <w:pPr>
              <w:spacing w:before="40" w:after="40"/>
              <w:jc w:val="center"/>
              <w:rPr>
                <w:rFonts w:cs="Arial"/>
                <w:color w:val="000000"/>
                <w:sz w:val="16"/>
                <w:szCs w:val="16"/>
              </w:rPr>
            </w:pPr>
          </w:p>
        </w:tc>
        <w:tc>
          <w:tcPr>
            <w:tcW w:w="560" w:type="dxa"/>
            <w:tcBorders>
              <w:top w:val="nil"/>
              <w:left w:val="nil"/>
              <w:bottom w:val="single" w:sz="4" w:space="0" w:color="auto"/>
              <w:right w:val="single" w:sz="8" w:space="0" w:color="auto"/>
            </w:tcBorders>
            <w:shd w:val="clear" w:color="auto" w:fill="auto"/>
            <w:noWrap/>
            <w:vAlign w:val="center"/>
            <w:hideMark/>
          </w:tcPr>
          <w:p w:rsidR="00123DC4" w:rsidRPr="003962D0" w:rsidRDefault="00123DC4" w:rsidP="00132057">
            <w:pPr>
              <w:spacing w:before="40" w:after="40"/>
              <w:jc w:val="center"/>
              <w:rPr>
                <w:rFonts w:cs="Arial"/>
                <w:color w:val="000000"/>
                <w:sz w:val="16"/>
                <w:szCs w:val="16"/>
              </w:rPr>
            </w:pPr>
          </w:p>
        </w:tc>
        <w:tc>
          <w:tcPr>
            <w:tcW w:w="450" w:type="dxa"/>
            <w:tcBorders>
              <w:top w:val="single" w:sz="4" w:space="0" w:color="auto"/>
              <w:bottom w:val="single" w:sz="4" w:space="0" w:color="auto"/>
              <w:right w:val="single" w:sz="4" w:space="0" w:color="auto"/>
            </w:tcBorders>
            <w:shd w:val="clear" w:color="auto" w:fill="auto"/>
            <w:vAlign w:val="center"/>
          </w:tcPr>
          <w:p w:rsidR="00123DC4" w:rsidRPr="008A011F" w:rsidRDefault="00123DC4" w:rsidP="00132057">
            <w:pPr>
              <w:spacing w:before="40" w:after="40"/>
              <w:jc w:val="center"/>
            </w:pPr>
          </w:p>
        </w:tc>
        <w:tc>
          <w:tcPr>
            <w:tcW w:w="431" w:type="dxa"/>
            <w:tcBorders>
              <w:top w:val="single" w:sz="4" w:space="0" w:color="auto"/>
              <w:bottom w:val="single" w:sz="4" w:space="0" w:color="auto"/>
              <w:right w:val="single" w:sz="4" w:space="0" w:color="auto"/>
            </w:tcBorders>
            <w:shd w:val="clear" w:color="auto" w:fill="auto"/>
            <w:vAlign w:val="center"/>
          </w:tcPr>
          <w:p w:rsidR="00123DC4" w:rsidRPr="008A011F" w:rsidRDefault="00123DC4" w:rsidP="00132057">
            <w:pPr>
              <w:spacing w:before="40" w:after="40"/>
              <w:jc w:val="center"/>
            </w:pPr>
          </w:p>
        </w:tc>
      </w:tr>
      <w:tr w:rsidR="00123DC4" w:rsidRPr="00E32074" w:rsidTr="00132057">
        <w:trPr>
          <w:trHeight w:val="410"/>
          <w:jc w:val="center"/>
        </w:trPr>
        <w:tc>
          <w:tcPr>
            <w:tcW w:w="4167" w:type="dxa"/>
            <w:tcBorders>
              <w:top w:val="nil"/>
              <w:left w:val="single" w:sz="8" w:space="0" w:color="auto"/>
              <w:bottom w:val="single" w:sz="4" w:space="0" w:color="auto"/>
              <w:right w:val="single" w:sz="8" w:space="0" w:color="auto"/>
            </w:tcBorders>
            <w:shd w:val="clear" w:color="auto" w:fill="auto"/>
            <w:noWrap/>
            <w:vAlign w:val="center"/>
          </w:tcPr>
          <w:p w:rsidR="00123DC4" w:rsidRPr="003962D0" w:rsidRDefault="00123DC4" w:rsidP="00132057">
            <w:pPr>
              <w:spacing w:before="40" w:after="40"/>
              <w:rPr>
                <w:rFonts w:cs="Arial"/>
                <w:color w:val="000000"/>
                <w:sz w:val="16"/>
                <w:szCs w:val="16"/>
              </w:rPr>
            </w:pPr>
            <w:r w:rsidRPr="003962D0">
              <w:rPr>
                <w:rFonts w:cs="Arial"/>
                <w:color w:val="000000"/>
                <w:sz w:val="16"/>
                <w:szCs w:val="16"/>
              </w:rPr>
              <w:t>Call for tenders from firms (PCT)</w:t>
            </w:r>
          </w:p>
        </w:tc>
        <w:tc>
          <w:tcPr>
            <w:tcW w:w="480" w:type="dxa"/>
            <w:tcBorders>
              <w:top w:val="nil"/>
              <w:left w:val="nil"/>
              <w:bottom w:val="single" w:sz="4" w:space="0" w:color="auto"/>
              <w:right w:val="single" w:sz="4" w:space="0" w:color="auto"/>
            </w:tcBorders>
            <w:shd w:val="clear" w:color="auto" w:fill="auto"/>
            <w:noWrap/>
            <w:vAlign w:val="bottom"/>
          </w:tcPr>
          <w:p w:rsidR="00123DC4" w:rsidRPr="003962D0" w:rsidRDefault="00123DC4" w:rsidP="00132057">
            <w:pPr>
              <w:spacing w:before="40" w:after="40"/>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center"/>
          </w:tcPr>
          <w:p w:rsidR="00123DC4" w:rsidRPr="003962D0" w:rsidRDefault="00123DC4" w:rsidP="00132057">
            <w:pPr>
              <w:spacing w:before="40" w:after="40"/>
              <w:jc w:val="center"/>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center"/>
          </w:tcPr>
          <w:p w:rsidR="00123DC4" w:rsidRPr="003962D0" w:rsidRDefault="00123DC4" w:rsidP="00132057">
            <w:pPr>
              <w:spacing w:before="40" w:after="40"/>
              <w:jc w:val="center"/>
              <w:rPr>
                <w:rFonts w:cs="Arial"/>
                <w:color w:val="000000"/>
                <w:sz w:val="16"/>
                <w:szCs w:val="16"/>
              </w:rPr>
            </w:pPr>
          </w:p>
        </w:tc>
        <w:tc>
          <w:tcPr>
            <w:tcW w:w="480" w:type="dxa"/>
            <w:tcBorders>
              <w:top w:val="nil"/>
              <w:left w:val="nil"/>
              <w:bottom w:val="single" w:sz="4" w:space="0" w:color="auto"/>
              <w:right w:val="single" w:sz="8" w:space="0" w:color="auto"/>
            </w:tcBorders>
            <w:shd w:val="clear" w:color="auto" w:fill="auto"/>
            <w:noWrap/>
            <w:vAlign w:val="center"/>
          </w:tcPr>
          <w:p w:rsidR="00123DC4" w:rsidRPr="003962D0" w:rsidRDefault="00123DC4" w:rsidP="00132057">
            <w:pPr>
              <w:spacing w:before="40" w:after="40"/>
              <w:jc w:val="center"/>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center"/>
          </w:tcPr>
          <w:p w:rsidR="00123DC4" w:rsidRPr="003962D0" w:rsidRDefault="00123DC4" w:rsidP="00132057">
            <w:pPr>
              <w:spacing w:before="40" w:after="40"/>
              <w:jc w:val="center"/>
              <w:rPr>
                <w:rFonts w:cs="Arial"/>
                <w:color w:val="000000"/>
                <w:sz w:val="16"/>
                <w:szCs w:val="16"/>
              </w:rPr>
            </w:pPr>
            <w:r w:rsidRPr="003962D0">
              <w:rPr>
                <w:rFonts w:cs="Arial"/>
                <w:color w:val="000000"/>
                <w:sz w:val="16"/>
                <w:szCs w:val="16"/>
              </w:rPr>
              <w:t>X</w:t>
            </w:r>
          </w:p>
        </w:tc>
        <w:tc>
          <w:tcPr>
            <w:tcW w:w="480" w:type="dxa"/>
            <w:tcBorders>
              <w:top w:val="nil"/>
              <w:left w:val="nil"/>
              <w:bottom w:val="single" w:sz="4" w:space="0" w:color="auto"/>
              <w:right w:val="single" w:sz="4" w:space="0" w:color="auto"/>
            </w:tcBorders>
            <w:shd w:val="clear" w:color="auto" w:fill="auto"/>
            <w:noWrap/>
            <w:vAlign w:val="center"/>
          </w:tcPr>
          <w:p w:rsidR="00123DC4" w:rsidRPr="003962D0" w:rsidRDefault="00123DC4" w:rsidP="00132057">
            <w:pPr>
              <w:spacing w:before="40" w:after="40"/>
              <w:jc w:val="center"/>
              <w:rPr>
                <w:rFonts w:cs="Arial"/>
                <w:color w:val="000000"/>
                <w:sz w:val="16"/>
                <w:szCs w:val="16"/>
              </w:rPr>
            </w:pPr>
            <w:r w:rsidRPr="003962D0">
              <w:rPr>
                <w:rFonts w:cs="Arial"/>
                <w:color w:val="000000"/>
                <w:sz w:val="16"/>
                <w:szCs w:val="16"/>
              </w:rPr>
              <w:t>X</w:t>
            </w:r>
          </w:p>
        </w:tc>
        <w:tc>
          <w:tcPr>
            <w:tcW w:w="480" w:type="dxa"/>
            <w:tcBorders>
              <w:top w:val="nil"/>
              <w:left w:val="nil"/>
              <w:bottom w:val="single" w:sz="4" w:space="0" w:color="auto"/>
              <w:right w:val="single" w:sz="4" w:space="0" w:color="auto"/>
            </w:tcBorders>
            <w:shd w:val="clear" w:color="auto" w:fill="auto"/>
            <w:noWrap/>
            <w:vAlign w:val="center"/>
          </w:tcPr>
          <w:p w:rsidR="00123DC4" w:rsidRPr="003962D0" w:rsidRDefault="00123DC4" w:rsidP="00132057">
            <w:pPr>
              <w:spacing w:before="40" w:after="40"/>
              <w:jc w:val="center"/>
              <w:rPr>
                <w:rFonts w:cs="Arial"/>
                <w:color w:val="000000"/>
                <w:sz w:val="16"/>
                <w:szCs w:val="16"/>
              </w:rPr>
            </w:pPr>
          </w:p>
        </w:tc>
        <w:tc>
          <w:tcPr>
            <w:tcW w:w="560" w:type="dxa"/>
            <w:tcBorders>
              <w:top w:val="nil"/>
              <w:left w:val="nil"/>
              <w:bottom w:val="single" w:sz="4" w:space="0" w:color="auto"/>
              <w:right w:val="single" w:sz="8" w:space="0" w:color="auto"/>
            </w:tcBorders>
            <w:shd w:val="clear" w:color="auto" w:fill="auto"/>
            <w:noWrap/>
            <w:vAlign w:val="center"/>
          </w:tcPr>
          <w:p w:rsidR="00123DC4" w:rsidRPr="003962D0" w:rsidRDefault="00123DC4" w:rsidP="00132057">
            <w:pPr>
              <w:spacing w:before="40" w:after="40"/>
              <w:jc w:val="center"/>
              <w:rPr>
                <w:rFonts w:cs="Arial"/>
                <w:color w:val="000000"/>
                <w:sz w:val="16"/>
                <w:szCs w:val="16"/>
              </w:rPr>
            </w:pPr>
          </w:p>
        </w:tc>
        <w:tc>
          <w:tcPr>
            <w:tcW w:w="450" w:type="dxa"/>
            <w:tcBorders>
              <w:top w:val="single" w:sz="4" w:space="0" w:color="auto"/>
              <w:bottom w:val="single" w:sz="4" w:space="0" w:color="auto"/>
              <w:right w:val="single" w:sz="4" w:space="0" w:color="auto"/>
            </w:tcBorders>
            <w:shd w:val="clear" w:color="auto" w:fill="auto"/>
            <w:vAlign w:val="center"/>
          </w:tcPr>
          <w:p w:rsidR="00123DC4" w:rsidRPr="008A011F" w:rsidRDefault="00123DC4" w:rsidP="00132057">
            <w:pPr>
              <w:spacing w:before="40" w:after="40"/>
              <w:jc w:val="center"/>
            </w:pPr>
          </w:p>
        </w:tc>
        <w:tc>
          <w:tcPr>
            <w:tcW w:w="431" w:type="dxa"/>
            <w:tcBorders>
              <w:top w:val="single" w:sz="4" w:space="0" w:color="auto"/>
              <w:bottom w:val="single" w:sz="4" w:space="0" w:color="auto"/>
              <w:right w:val="single" w:sz="4" w:space="0" w:color="auto"/>
            </w:tcBorders>
            <w:shd w:val="clear" w:color="auto" w:fill="auto"/>
            <w:vAlign w:val="center"/>
          </w:tcPr>
          <w:p w:rsidR="00123DC4" w:rsidRPr="008A011F" w:rsidRDefault="00123DC4" w:rsidP="00132057">
            <w:pPr>
              <w:spacing w:before="40" w:after="40"/>
              <w:jc w:val="center"/>
            </w:pPr>
          </w:p>
        </w:tc>
      </w:tr>
      <w:tr w:rsidR="00123DC4" w:rsidRPr="008A011F" w:rsidTr="00132057">
        <w:trPr>
          <w:trHeight w:val="413"/>
          <w:jc w:val="center"/>
        </w:trPr>
        <w:tc>
          <w:tcPr>
            <w:tcW w:w="4167" w:type="dxa"/>
            <w:tcBorders>
              <w:top w:val="nil"/>
              <w:left w:val="single" w:sz="8" w:space="0" w:color="auto"/>
              <w:bottom w:val="single" w:sz="4" w:space="0" w:color="auto"/>
              <w:right w:val="single" w:sz="8" w:space="0" w:color="auto"/>
            </w:tcBorders>
            <w:shd w:val="clear" w:color="auto" w:fill="auto"/>
            <w:noWrap/>
            <w:vAlign w:val="center"/>
          </w:tcPr>
          <w:p w:rsidR="00123DC4" w:rsidRPr="003962D0" w:rsidRDefault="00123DC4" w:rsidP="00132057">
            <w:pPr>
              <w:spacing w:before="40" w:after="40"/>
              <w:rPr>
                <w:rFonts w:cs="Arial"/>
                <w:color w:val="000000"/>
                <w:sz w:val="16"/>
                <w:szCs w:val="16"/>
              </w:rPr>
            </w:pPr>
            <w:r w:rsidRPr="003962D0">
              <w:rPr>
                <w:rFonts w:cs="Arial"/>
                <w:color w:val="000000"/>
                <w:sz w:val="16"/>
                <w:szCs w:val="16"/>
              </w:rPr>
              <w:t>Execution and commissioning  of works (PCT)</w:t>
            </w:r>
          </w:p>
        </w:tc>
        <w:tc>
          <w:tcPr>
            <w:tcW w:w="480" w:type="dxa"/>
            <w:tcBorders>
              <w:top w:val="nil"/>
              <w:left w:val="nil"/>
              <w:bottom w:val="single" w:sz="4" w:space="0" w:color="auto"/>
              <w:right w:val="single" w:sz="4" w:space="0" w:color="auto"/>
            </w:tcBorders>
            <w:shd w:val="clear" w:color="auto" w:fill="auto"/>
            <w:noWrap/>
            <w:vAlign w:val="bottom"/>
          </w:tcPr>
          <w:p w:rsidR="00123DC4" w:rsidRPr="003962D0" w:rsidRDefault="00123DC4" w:rsidP="00132057">
            <w:pPr>
              <w:spacing w:before="40" w:after="40"/>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center"/>
          </w:tcPr>
          <w:p w:rsidR="00123DC4" w:rsidRPr="003962D0" w:rsidRDefault="00123DC4" w:rsidP="00132057">
            <w:pPr>
              <w:spacing w:before="40" w:after="40"/>
              <w:jc w:val="center"/>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center"/>
          </w:tcPr>
          <w:p w:rsidR="00123DC4" w:rsidRPr="003962D0" w:rsidRDefault="00123DC4" w:rsidP="00132057">
            <w:pPr>
              <w:spacing w:before="40" w:after="40"/>
              <w:jc w:val="center"/>
              <w:rPr>
                <w:rFonts w:cs="Arial"/>
                <w:color w:val="000000"/>
                <w:sz w:val="16"/>
                <w:szCs w:val="16"/>
              </w:rPr>
            </w:pPr>
          </w:p>
        </w:tc>
        <w:tc>
          <w:tcPr>
            <w:tcW w:w="480" w:type="dxa"/>
            <w:tcBorders>
              <w:top w:val="nil"/>
              <w:left w:val="nil"/>
              <w:bottom w:val="single" w:sz="4" w:space="0" w:color="auto"/>
              <w:right w:val="single" w:sz="8" w:space="0" w:color="auto"/>
            </w:tcBorders>
            <w:shd w:val="clear" w:color="auto" w:fill="auto"/>
            <w:noWrap/>
            <w:vAlign w:val="center"/>
          </w:tcPr>
          <w:p w:rsidR="00123DC4" w:rsidRPr="003962D0" w:rsidRDefault="00123DC4" w:rsidP="00132057">
            <w:pPr>
              <w:spacing w:before="40" w:after="40"/>
              <w:jc w:val="center"/>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center"/>
          </w:tcPr>
          <w:p w:rsidR="00123DC4" w:rsidRPr="003962D0" w:rsidRDefault="00123DC4" w:rsidP="00132057">
            <w:pPr>
              <w:spacing w:before="40" w:after="40"/>
              <w:jc w:val="center"/>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center"/>
          </w:tcPr>
          <w:p w:rsidR="00123DC4" w:rsidRPr="003962D0" w:rsidRDefault="00123DC4" w:rsidP="00132057">
            <w:pPr>
              <w:spacing w:before="40" w:after="40"/>
              <w:jc w:val="center"/>
              <w:rPr>
                <w:rFonts w:cs="Arial"/>
                <w:color w:val="000000"/>
                <w:sz w:val="16"/>
                <w:szCs w:val="16"/>
              </w:rPr>
            </w:pPr>
            <w:r w:rsidRPr="003962D0">
              <w:rPr>
                <w:rFonts w:cs="Arial"/>
                <w:color w:val="000000"/>
                <w:sz w:val="16"/>
                <w:szCs w:val="16"/>
              </w:rPr>
              <w:t>X</w:t>
            </w:r>
          </w:p>
        </w:tc>
        <w:tc>
          <w:tcPr>
            <w:tcW w:w="480" w:type="dxa"/>
            <w:tcBorders>
              <w:top w:val="nil"/>
              <w:left w:val="nil"/>
              <w:bottom w:val="single" w:sz="4" w:space="0" w:color="auto"/>
              <w:right w:val="single" w:sz="4" w:space="0" w:color="auto"/>
            </w:tcBorders>
            <w:shd w:val="clear" w:color="auto" w:fill="auto"/>
            <w:noWrap/>
            <w:vAlign w:val="center"/>
          </w:tcPr>
          <w:p w:rsidR="00123DC4" w:rsidRPr="003962D0" w:rsidRDefault="00123DC4" w:rsidP="00132057">
            <w:pPr>
              <w:spacing w:before="40" w:after="40"/>
              <w:jc w:val="center"/>
              <w:rPr>
                <w:rFonts w:cs="Arial"/>
                <w:color w:val="000000"/>
                <w:sz w:val="16"/>
                <w:szCs w:val="16"/>
              </w:rPr>
            </w:pPr>
            <w:r w:rsidRPr="003962D0">
              <w:rPr>
                <w:rFonts w:cs="Arial"/>
                <w:color w:val="000000"/>
                <w:sz w:val="16"/>
                <w:szCs w:val="16"/>
              </w:rPr>
              <w:t>X</w:t>
            </w:r>
          </w:p>
        </w:tc>
        <w:tc>
          <w:tcPr>
            <w:tcW w:w="560" w:type="dxa"/>
            <w:tcBorders>
              <w:top w:val="nil"/>
              <w:left w:val="nil"/>
              <w:bottom w:val="single" w:sz="4" w:space="0" w:color="auto"/>
              <w:right w:val="single" w:sz="8" w:space="0" w:color="auto"/>
            </w:tcBorders>
            <w:shd w:val="clear" w:color="auto" w:fill="auto"/>
            <w:noWrap/>
            <w:vAlign w:val="center"/>
          </w:tcPr>
          <w:p w:rsidR="00123DC4" w:rsidRPr="008A011F" w:rsidRDefault="00123DC4" w:rsidP="00132057">
            <w:pPr>
              <w:spacing w:before="40" w:after="40"/>
              <w:jc w:val="center"/>
              <w:rPr>
                <w:rFonts w:cs="Arial"/>
                <w:sz w:val="16"/>
                <w:szCs w:val="16"/>
              </w:rPr>
            </w:pPr>
            <w:r w:rsidRPr="008A011F">
              <w:rPr>
                <w:rFonts w:cs="Arial"/>
                <w:sz w:val="16"/>
                <w:szCs w:val="16"/>
              </w:rPr>
              <w:t>X</w:t>
            </w:r>
          </w:p>
        </w:tc>
        <w:tc>
          <w:tcPr>
            <w:tcW w:w="450" w:type="dxa"/>
            <w:tcBorders>
              <w:top w:val="single" w:sz="4" w:space="0" w:color="auto"/>
              <w:bottom w:val="single" w:sz="4" w:space="0" w:color="auto"/>
              <w:right w:val="single" w:sz="4" w:space="0" w:color="auto"/>
            </w:tcBorders>
            <w:shd w:val="clear" w:color="auto" w:fill="auto"/>
            <w:vAlign w:val="center"/>
          </w:tcPr>
          <w:p w:rsidR="00123DC4" w:rsidRPr="008A011F" w:rsidRDefault="00123DC4" w:rsidP="00132057">
            <w:pPr>
              <w:spacing w:before="40" w:after="40"/>
              <w:jc w:val="center"/>
              <w:rPr>
                <w:sz w:val="16"/>
                <w:szCs w:val="16"/>
              </w:rPr>
            </w:pPr>
            <w:r w:rsidRPr="008A011F">
              <w:rPr>
                <w:sz w:val="16"/>
                <w:szCs w:val="16"/>
              </w:rPr>
              <w:t>X</w:t>
            </w:r>
          </w:p>
        </w:tc>
        <w:tc>
          <w:tcPr>
            <w:tcW w:w="431" w:type="dxa"/>
            <w:tcBorders>
              <w:top w:val="single" w:sz="4" w:space="0" w:color="auto"/>
              <w:bottom w:val="single" w:sz="4" w:space="0" w:color="auto"/>
              <w:right w:val="single" w:sz="4" w:space="0" w:color="auto"/>
            </w:tcBorders>
            <w:shd w:val="clear" w:color="auto" w:fill="auto"/>
            <w:vAlign w:val="center"/>
          </w:tcPr>
          <w:p w:rsidR="00123DC4" w:rsidRPr="008A011F" w:rsidRDefault="00123DC4" w:rsidP="00132057">
            <w:pPr>
              <w:spacing w:before="40" w:after="40"/>
              <w:jc w:val="center"/>
            </w:pPr>
          </w:p>
        </w:tc>
      </w:tr>
    </w:tbl>
    <w:p w:rsidR="00545826" w:rsidRDefault="00545826">
      <w:pPr>
        <w:spacing w:after="200" w:line="276" w:lineRule="auto"/>
        <w:rPr>
          <w:b/>
          <w:noProof/>
          <w:sz w:val="22"/>
        </w:rPr>
      </w:pPr>
    </w:p>
    <w:p w:rsidR="00545826" w:rsidRDefault="00545826">
      <w:pPr>
        <w:rPr>
          <w:b/>
          <w:noProof/>
          <w:sz w:val="22"/>
        </w:rPr>
      </w:pPr>
      <w:r>
        <w:rPr>
          <w:b/>
          <w:noProof/>
          <w:sz w:val="22"/>
        </w:rPr>
        <w:br w:type="page"/>
      </w:r>
    </w:p>
    <w:p w:rsidR="00123DC4" w:rsidRPr="00994B87" w:rsidRDefault="00123DC4" w:rsidP="00132057">
      <w:pPr>
        <w:rPr>
          <w:b/>
          <w:noProof/>
          <w:sz w:val="22"/>
        </w:rPr>
      </w:pPr>
      <w:r w:rsidRPr="00994B87">
        <w:rPr>
          <w:b/>
          <w:noProof/>
          <w:sz w:val="22"/>
        </w:rPr>
        <w:t>BUILDINGS</w:t>
      </w:r>
      <w:r w:rsidRPr="00994B87">
        <w:rPr>
          <w:b/>
          <w:sz w:val="22"/>
        </w:rPr>
        <w:t xml:space="preserve"> – </w:t>
      </w:r>
      <w:r w:rsidRPr="00994B87">
        <w:rPr>
          <w:b/>
          <w:noProof/>
          <w:sz w:val="22"/>
        </w:rPr>
        <w:t>RELATED PROJECTS</w:t>
      </w:r>
    </w:p>
    <w:p w:rsidR="00123DC4" w:rsidRPr="00456D61" w:rsidRDefault="00123DC4" w:rsidP="00132057">
      <w:pPr>
        <w:pStyle w:val="StyleHeading3BoldNounderline"/>
        <w:ind w:left="1440" w:hanging="1440"/>
        <w:rPr>
          <w:b/>
          <w:sz w:val="20"/>
        </w:rPr>
      </w:pPr>
      <w:bookmarkStart w:id="128" w:name="_Toc422210527"/>
      <w:bookmarkStart w:id="129" w:name="_Toc454544512"/>
      <w:r w:rsidRPr="00456D61">
        <w:rPr>
          <w:b/>
          <w:sz w:val="20"/>
        </w:rPr>
        <w:t>PROJECT</w:t>
      </w:r>
      <w:r>
        <w:rPr>
          <w:b/>
          <w:sz w:val="20"/>
        </w:rPr>
        <w:t xml:space="preserve"> 5</w:t>
      </w:r>
      <w:r>
        <w:rPr>
          <w:b/>
          <w:sz w:val="20"/>
        </w:rPr>
        <w:tab/>
      </w:r>
      <w:r w:rsidRPr="00456D61">
        <w:rPr>
          <w:b/>
          <w:sz w:val="20"/>
        </w:rPr>
        <w:t>ARPAD BOGSCH BUILDING - PHASE 1 OF BASEMENT RENOVATION (RESIZING OF DATA CENTER AND RENOVATION OF THE PRINTSHOP) (CMP 5)</w:t>
      </w:r>
      <w:bookmarkEnd w:id="128"/>
      <w:bookmarkEnd w:id="129"/>
    </w:p>
    <w:p w:rsidR="00123DC4" w:rsidRPr="00456D61" w:rsidRDefault="00123DC4" w:rsidP="00132057">
      <w:pPr>
        <w:rPr>
          <w:b/>
          <w:noProof/>
          <w:sz w:val="18"/>
        </w:rPr>
      </w:pPr>
    </w:p>
    <w:p w:rsidR="00123DC4" w:rsidRPr="00F47045" w:rsidRDefault="00123DC4" w:rsidP="00132057">
      <w:pPr>
        <w:rPr>
          <w:b/>
          <w:noProof/>
          <w:szCs w:val="20"/>
        </w:rPr>
      </w:pPr>
      <w:r w:rsidRPr="00F47045">
        <w:rPr>
          <w:b/>
          <w:noProof/>
          <w:szCs w:val="20"/>
        </w:rPr>
        <w:t>Project Manager:</w:t>
      </w:r>
      <w:r>
        <w:rPr>
          <w:b/>
          <w:noProof/>
          <w:szCs w:val="20"/>
        </w:rPr>
        <w:tab/>
      </w:r>
      <w:r w:rsidRPr="00F47045">
        <w:rPr>
          <w:b/>
          <w:noProof/>
          <w:szCs w:val="20"/>
        </w:rPr>
        <w:t>Mr. A. FAVERO</w:t>
      </w:r>
    </w:p>
    <w:p w:rsidR="00123DC4" w:rsidRPr="00E012EF" w:rsidRDefault="00123DC4" w:rsidP="00132057">
      <w:pPr>
        <w:rPr>
          <w:noProof/>
          <w:sz w:val="18"/>
          <w:szCs w:val="20"/>
        </w:rPr>
      </w:pPr>
    </w:p>
    <w:p w:rsidR="00123DC4" w:rsidRPr="00E012EF" w:rsidRDefault="00123DC4" w:rsidP="00132057">
      <w:pPr>
        <w:rPr>
          <w:bCs/>
          <w:noProof/>
          <w:sz w:val="18"/>
          <w:szCs w:val="20"/>
        </w:rPr>
      </w:pPr>
    </w:p>
    <w:p w:rsidR="00123DC4" w:rsidRPr="00E012EF" w:rsidRDefault="00123DC4" w:rsidP="00132057">
      <w:pPr>
        <w:rPr>
          <w:bCs/>
          <w:szCs w:val="22"/>
        </w:rPr>
      </w:pPr>
      <w:r w:rsidRPr="00E012EF">
        <w:rPr>
          <w:bCs/>
          <w:szCs w:val="22"/>
        </w:rPr>
        <w:t>EXPECTED RESULT</w:t>
      </w:r>
    </w:p>
    <w:p w:rsidR="00123DC4" w:rsidRPr="00E012EF" w:rsidRDefault="00123DC4" w:rsidP="00132057">
      <w:pPr>
        <w:rPr>
          <w:bCs/>
          <w:sz w:val="18"/>
          <w:szCs w:val="20"/>
        </w:rPr>
      </w:pPr>
    </w:p>
    <w:p w:rsidR="00123DC4" w:rsidRPr="00F47045" w:rsidRDefault="00123DC4" w:rsidP="00132057">
      <w:pPr>
        <w:rPr>
          <w:i/>
          <w:iCs/>
          <w:szCs w:val="20"/>
        </w:rPr>
      </w:pPr>
      <w:r w:rsidRPr="005E07CA">
        <w:rPr>
          <w:i/>
          <w:iCs/>
          <w:szCs w:val="20"/>
        </w:rPr>
        <w:t>IX.1  Effective, efficient, quality and customer-oriented support services both to internal clients and to external stakeholders</w:t>
      </w:r>
    </w:p>
    <w:p w:rsidR="00123DC4" w:rsidRPr="00F47045" w:rsidRDefault="00123DC4" w:rsidP="00132057">
      <w:pPr>
        <w:rPr>
          <w:bCs/>
          <w:noProof/>
          <w:szCs w:val="20"/>
        </w:rPr>
      </w:pPr>
    </w:p>
    <w:p w:rsidR="00123DC4" w:rsidRPr="00F47045" w:rsidRDefault="00123DC4" w:rsidP="00132057">
      <w:pPr>
        <w:rPr>
          <w:bCs/>
          <w:noProof/>
          <w:szCs w:val="20"/>
        </w:rPr>
      </w:pPr>
    </w:p>
    <w:p w:rsidR="00123DC4" w:rsidRPr="00B13A30" w:rsidRDefault="00123DC4" w:rsidP="00132057">
      <w:pPr>
        <w:rPr>
          <w:bCs/>
          <w:noProof/>
          <w:szCs w:val="22"/>
        </w:rPr>
      </w:pPr>
      <w:r w:rsidRPr="00B13A30">
        <w:rPr>
          <w:bCs/>
          <w:noProof/>
          <w:szCs w:val="22"/>
        </w:rPr>
        <w:t>OBJECTIVES, SCOPE AND APPROACH</w:t>
      </w:r>
      <w:r w:rsidRPr="00B13A30">
        <w:rPr>
          <w:szCs w:val="22"/>
        </w:rPr>
        <w:t xml:space="preserve"> – </w:t>
      </w:r>
      <w:r w:rsidRPr="00B13A30">
        <w:rPr>
          <w:bCs/>
          <w:noProof/>
          <w:szCs w:val="22"/>
        </w:rPr>
        <w:t>BACKGROUND</w:t>
      </w:r>
    </w:p>
    <w:p w:rsidR="00123DC4" w:rsidRPr="00F47045" w:rsidRDefault="00123DC4" w:rsidP="00132057">
      <w:pPr>
        <w:rPr>
          <w:bCs/>
          <w:noProof/>
          <w:szCs w:val="20"/>
        </w:rPr>
      </w:pPr>
    </w:p>
    <w:p w:rsidR="00123DC4" w:rsidRPr="004860F6" w:rsidRDefault="00123DC4" w:rsidP="00123DC4">
      <w:pPr>
        <w:pStyle w:val="ListParagraph"/>
        <w:numPr>
          <w:ilvl w:val="0"/>
          <w:numId w:val="134"/>
        </w:numPr>
        <w:tabs>
          <w:tab w:val="left" w:pos="567"/>
        </w:tabs>
        <w:ind w:left="0" w:firstLine="0"/>
        <w:jc w:val="both"/>
        <w:rPr>
          <w:bCs/>
        </w:rPr>
      </w:pPr>
      <w:r w:rsidRPr="004860F6">
        <w:rPr>
          <w:bCs/>
        </w:rPr>
        <w:t>The existing data center located in the basement of the AB Building needs to be resized in order to correspond to its updated and reduced purpose of a computer room for servicing the AB Building only.  The resizing is expected to free a significant floor surface area, which will subsequently become available for enlarging the current printshop in need of renovation.</w:t>
      </w:r>
    </w:p>
    <w:p w:rsidR="00123DC4" w:rsidRPr="00F47045" w:rsidRDefault="00123DC4" w:rsidP="00132057">
      <w:pPr>
        <w:tabs>
          <w:tab w:val="left" w:pos="567"/>
        </w:tabs>
        <w:jc w:val="both"/>
        <w:rPr>
          <w:bCs/>
          <w:szCs w:val="20"/>
        </w:rPr>
      </w:pPr>
    </w:p>
    <w:p w:rsidR="00123DC4" w:rsidRPr="004860F6" w:rsidRDefault="00123DC4" w:rsidP="00123DC4">
      <w:pPr>
        <w:pStyle w:val="ListParagraph"/>
        <w:numPr>
          <w:ilvl w:val="0"/>
          <w:numId w:val="134"/>
        </w:numPr>
        <w:tabs>
          <w:tab w:val="left" w:pos="567"/>
        </w:tabs>
        <w:ind w:left="0" w:firstLine="0"/>
        <w:jc w:val="both"/>
        <w:rPr>
          <w:bCs/>
          <w:noProof/>
        </w:rPr>
      </w:pPr>
      <w:r w:rsidRPr="004860F6">
        <w:rPr>
          <w:bCs/>
        </w:rPr>
        <w:t xml:space="preserve">The objectives of the project are to:  (i) </w:t>
      </w:r>
      <w:r w:rsidRPr="004860F6">
        <w:rPr>
          <w:bCs/>
          <w:noProof/>
          <w:color w:val="000000"/>
        </w:rPr>
        <w:t xml:space="preserve">establish the appropriate surface area needed for the printshop, documents and </w:t>
      </w:r>
      <w:r w:rsidRPr="004860F6">
        <w:rPr>
          <w:bCs/>
          <w:noProof/>
        </w:rPr>
        <w:t>computer room</w:t>
      </w:r>
      <w:r w:rsidRPr="004860F6">
        <w:rPr>
          <w:bCs/>
          <w:noProof/>
          <w:color w:val="000000"/>
        </w:rPr>
        <w:t xml:space="preserve"> by reducing the area of the </w:t>
      </w:r>
      <w:r w:rsidRPr="004860F6">
        <w:rPr>
          <w:bCs/>
          <w:noProof/>
        </w:rPr>
        <w:t>data center</w:t>
      </w:r>
      <w:r w:rsidRPr="004860F6">
        <w:rPr>
          <w:bCs/>
          <w:noProof/>
          <w:color w:val="000000"/>
        </w:rPr>
        <w:t xml:space="preserve"> to free up a relatively large space to allow for the expansion and renovation of the printshop;  (ii) reduce energy  consumption via the removal of specific technical equipment from the </w:t>
      </w:r>
      <w:r w:rsidRPr="004860F6">
        <w:rPr>
          <w:bCs/>
          <w:noProof/>
        </w:rPr>
        <w:t>data center</w:t>
      </w:r>
      <w:r w:rsidRPr="004860F6">
        <w:rPr>
          <w:bCs/>
          <w:noProof/>
          <w:color w:val="000000"/>
        </w:rPr>
        <w:t>;  and (iii) improve the working spaces of the printshop and documents staff.</w:t>
      </w:r>
    </w:p>
    <w:p w:rsidR="00123DC4" w:rsidRPr="00F47045" w:rsidRDefault="00123DC4" w:rsidP="00132057">
      <w:pPr>
        <w:rPr>
          <w:bCs/>
          <w:noProof/>
          <w:szCs w:val="20"/>
        </w:rPr>
      </w:pPr>
    </w:p>
    <w:p w:rsidR="00123DC4" w:rsidRPr="00F47045" w:rsidRDefault="00123DC4" w:rsidP="00132057">
      <w:pPr>
        <w:rPr>
          <w:bCs/>
          <w:noProof/>
          <w:szCs w:val="20"/>
        </w:rPr>
      </w:pPr>
    </w:p>
    <w:p w:rsidR="00123DC4" w:rsidRPr="00B13A30" w:rsidRDefault="00123DC4" w:rsidP="00132057">
      <w:pPr>
        <w:rPr>
          <w:bCs/>
          <w:noProof/>
          <w:szCs w:val="22"/>
        </w:rPr>
      </w:pPr>
      <w:r w:rsidRPr="00B13A30">
        <w:rPr>
          <w:bCs/>
          <w:noProof/>
          <w:szCs w:val="22"/>
        </w:rPr>
        <w:t>OVERVIEW OF PROGRESS IN 2015 (KEY MILESTONES)</w:t>
      </w:r>
    </w:p>
    <w:p w:rsidR="00123DC4" w:rsidRPr="00E012EF" w:rsidRDefault="00123DC4" w:rsidP="00132057">
      <w:pPr>
        <w:autoSpaceDE w:val="0"/>
        <w:autoSpaceDN w:val="0"/>
        <w:adjustRightInd w:val="0"/>
        <w:rPr>
          <w:rFonts w:eastAsiaTheme="minorHAnsi" w:cs="Arial"/>
          <w:color w:val="000000"/>
        </w:rPr>
      </w:pPr>
    </w:p>
    <w:p w:rsidR="00123DC4" w:rsidRDefault="00123DC4" w:rsidP="00123DC4">
      <w:pPr>
        <w:pStyle w:val="ListParagraph"/>
        <w:numPr>
          <w:ilvl w:val="0"/>
          <w:numId w:val="134"/>
        </w:numPr>
        <w:tabs>
          <w:tab w:val="left" w:pos="567"/>
        </w:tabs>
        <w:ind w:left="0" w:firstLine="0"/>
        <w:jc w:val="both"/>
        <w:rPr>
          <w:rFonts w:eastAsiaTheme="minorHAnsi" w:cs="Arial"/>
          <w:color w:val="000000"/>
        </w:rPr>
      </w:pPr>
      <w:r w:rsidRPr="00B024E4">
        <w:rPr>
          <w:rFonts w:eastAsiaTheme="minorHAnsi" w:cs="Arial"/>
          <w:color w:val="000000"/>
        </w:rPr>
        <w:t xml:space="preserve">In 2014, the following progress was made: </w:t>
      </w:r>
    </w:p>
    <w:p w:rsidR="00123DC4" w:rsidRPr="00B024E4" w:rsidRDefault="00123DC4" w:rsidP="00132057">
      <w:pPr>
        <w:autoSpaceDE w:val="0"/>
        <w:autoSpaceDN w:val="0"/>
        <w:adjustRightInd w:val="0"/>
        <w:spacing w:after="13"/>
        <w:rPr>
          <w:rFonts w:eastAsiaTheme="minorHAnsi" w:cs="Arial"/>
          <w:color w:val="000000"/>
          <w:szCs w:val="20"/>
        </w:rPr>
      </w:pPr>
    </w:p>
    <w:p w:rsidR="00123DC4" w:rsidRPr="00855F38" w:rsidRDefault="00123DC4" w:rsidP="00012EE2">
      <w:pPr>
        <w:pStyle w:val="ListParagraph"/>
        <w:numPr>
          <w:ilvl w:val="0"/>
          <w:numId w:val="147"/>
        </w:numPr>
        <w:autoSpaceDE w:val="0"/>
        <w:autoSpaceDN w:val="0"/>
        <w:adjustRightInd w:val="0"/>
        <w:spacing w:after="120"/>
        <w:ind w:left="1134" w:hanging="567"/>
        <w:rPr>
          <w:bCs/>
        </w:rPr>
      </w:pPr>
      <w:r w:rsidRPr="00855F38">
        <w:rPr>
          <w:bCs/>
        </w:rPr>
        <w:t xml:space="preserve">drafting of the terms of reference for the architect; </w:t>
      </w:r>
    </w:p>
    <w:p w:rsidR="00123DC4" w:rsidRPr="00855F38" w:rsidRDefault="00123DC4" w:rsidP="00012EE2">
      <w:pPr>
        <w:pStyle w:val="ListParagraph"/>
        <w:numPr>
          <w:ilvl w:val="0"/>
          <w:numId w:val="147"/>
        </w:numPr>
        <w:autoSpaceDE w:val="0"/>
        <w:autoSpaceDN w:val="0"/>
        <w:adjustRightInd w:val="0"/>
        <w:spacing w:after="120"/>
        <w:ind w:left="1134" w:hanging="567"/>
        <w:rPr>
          <w:bCs/>
        </w:rPr>
      </w:pPr>
      <w:r w:rsidRPr="00855F38">
        <w:rPr>
          <w:bCs/>
        </w:rPr>
        <w:t xml:space="preserve">launching a call for tenders for the architect; </w:t>
      </w:r>
      <w:r>
        <w:rPr>
          <w:bCs/>
        </w:rPr>
        <w:t xml:space="preserve"> </w:t>
      </w:r>
      <w:r w:rsidRPr="00855F38">
        <w:rPr>
          <w:bCs/>
        </w:rPr>
        <w:t xml:space="preserve">and </w:t>
      </w:r>
    </w:p>
    <w:p w:rsidR="00123DC4" w:rsidRPr="00855F38" w:rsidRDefault="00123DC4" w:rsidP="00012EE2">
      <w:pPr>
        <w:pStyle w:val="ListParagraph"/>
        <w:numPr>
          <w:ilvl w:val="0"/>
          <w:numId w:val="147"/>
        </w:numPr>
        <w:autoSpaceDE w:val="0"/>
        <w:autoSpaceDN w:val="0"/>
        <w:adjustRightInd w:val="0"/>
        <w:spacing w:after="120"/>
        <w:ind w:left="1134" w:hanging="567"/>
        <w:rPr>
          <w:bCs/>
        </w:rPr>
      </w:pPr>
      <w:r w:rsidRPr="00855F38">
        <w:rPr>
          <w:bCs/>
        </w:rPr>
        <w:t xml:space="preserve">award of the contracts to the architect and HVAC engineer. </w:t>
      </w:r>
    </w:p>
    <w:p w:rsidR="00123DC4" w:rsidRPr="00B024E4" w:rsidRDefault="00123DC4" w:rsidP="00132057">
      <w:pPr>
        <w:autoSpaceDE w:val="0"/>
        <w:autoSpaceDN w:val="0"/>
        <w:adjustRightInd w:val="0"/>
        <w:rPr>
          <w:rFonts w:eastAsiaTheme="minorHAnsi" w:cs="Arial"/>
          <w:color w:val="000000"/>
          <w:szCs w:val="20"/>
        </w:rPr>
      </w:pPr>
    </w:p>
    <w:p w:rsidR="00123DC4" w:rsidRDefault="00123DC4" w:rsidP="00123DC4">
      <w:pPr>
        <w:pStyle w:val="ListParagraph"/>
        <w:numPr>
          <w:ilvl w:val="0"/>
          <w:numId w:val="134"/>
        </w:numPr>
        <w:tabs>
          <w:tab w:val="left" w:pos="567"/>
        </w:tabs>
        <w:ind w:left="0" w:firstLine="0"/>
        <w:jc w:val="both"/>
        <w:rPr>
          <w:rFonts w:eastAsiaTheme="minorHAnsi" w:cs="Arial"/>
          <w:color w:val="000000"/>
        </w:rPr>
      </w:pPr>
      <w:r w:rsidRPr="00B024E4">
        <w:rPr>
          <w:rFonts w:eastAsiaTheme="minorHAnsi" w:cs="Arial"/>
          <w:color w:val="000000"/>
        </w:rPr>
        <w:t xml:space="preserve">Due to the delayed completion (from beginning 2014 to September 2014) of the new WIPO Conference Hall, the start of the project was delayed by six months relative to the original plan. As such, the project schedule </w:t>
      </w:r>
      <w:r>
        <w:rPr>
          <w:rFonts w:eastAsiaTheme="minorHAnsi" w:cs="Arial"/>
          <w:color w:val="000000"/>
        </w:rPr>
        <w:t>was</w:t>
      </w:r>
      <w:r w:rsidRPr="00B024E4">
        <w:rPr>
          <w:rFonts w:eastAsiaTheme="minorHAnsi" w:cs="Arial"/>
          <w:color w:val="000000"/>
        </w:rPr>
        <w:t xml:space="preserve"> amended. </w:t>
      </w:r>
    </w:p>
    <w:p w:rsidR="00123DC4" w:rsidRDefault="00123DC4" w:rsidP="00132057">
      <w:pPr>
        <w:autoSpaceDE w:val="0"/>
        <w:autoSpaceDN w:val="0"/>
        <w:adjustRightInd w:val="0"/>
        <w:rPr>
          <w:rFonts w:eastAsiaTheme="minorHAnsi" w:cs="Arial"/>
          <w:color w:val="000000"/>
          <w:szCs w:val="20"/>
        </w:rPr>
      </w:pPr>
    </w:p>
    <w:p w:rsidR="00123DC4" w:rsidRDefault="00123DC4" w:rsidP="00123DC4">
      <w:pPr>
        <w:pStyle w:val="ListParagraph"/>
        <w:numPr>
          <w:ilvl w:val="0"/>
          <w:numId w:val="134"/>
        </w:numPr>
        <w:tabs>
          <w:tab w:val="left" w:pos="567"/>
        </w:tabs>
        <w:ind w:left="0" w:firstLine="0"/>
        <w:jc w:val="both"/>
        <w:rPr>
          <w:rFonts w:eastAsiaTheme="minorHAnsi" w:cs="Arial"/>
          <w:color w:val="000000"/>
        </w:rPr>
      </w:pPr>
      <w:r w:rsidRPr="00B024E4">
        <w:rPr>
          <w:rFonts w:eastAsiaTheme="minorHAnsi" w:cs="Arial"/>
          <w:color w:val="000000"/>
        </w:rPr>
        <w:t>In 201</w:t>
      </w:r>
      <w:r>
        <w:rPr>
          <w:rFonts w:eastAsiaTheme="minorHAnsi" w:cs="Arial"/>
          <w:color w:val="000000"/>
        </w:rPr>
        <w:t>5</w:t>
      </w:r>
      <w:r w:rsidRPr="00B024E4">
        <w:rPr>
          <w:rFonts w:eastAsiaTheme="minorHAnsi" w:cs="Arial"/>
          <w:color w:val="000000"/>
        </w:rPr>
        <w:t xml:space="preserve">, the following progress was made: </w:t>
      </w:r>
    </w:p>
    <w:p w:rsidR="00123DC4" w:rsidRDefault="00123DC4" w:rsidP="00132057">
      <w:pPr>
        <w:pStyle w:val="ListParagraph"/>
        <w:autoSpaceDE w:val="0"/>
        <w:autoSpaceDN w:val="0"/>
        <w:adjustRightInd w:val="0"/>
        <w:ind w:left="714"/>
        <w:rPr>
          <w:bCs/>
        </w:rPr>
      </w:pPr>
    </w:p>
    <w:p w:rsidR="00123DC4" w:rsidRPr="003F7CB0" w:rsidRDefault="00123DC4" w:rsidP="00012EE2">
      <w:pPr>
        <w:pStyle w:val="ListParagraph"/>
        <w:numPr>
          <w:ilvl w:val="0"/>
          <w:numId w:val="147"/>
        </w:numPr>
        <w:autoSpaceDE w:val="0"/>
        <w:autoSpaceDN w:val="0"/>
        <w:adjustRightInd w:val="0"/>
        <w:spacing w:after="120"/>
        <w:ind w:left="1134" w:hanging="567"/>
        <w:rPr>
          <w:bCs/>
        </w:rPr>
      </w:pPr>
      <w:r w:rsidRPr="003F7CB0">
        <w:rPr>
          <w:bCs/>
        </w:rPr>
        <w:t>start of studies by the architect</w:t>
      </w:r>
      <w:r w:rsidRPr="00E012EF">
        <w:rPr>
          <w:bCs/>
        </w:rPr>
        <w:t xml:space="preserve">; </w:t>
      </w:r>
      <w:r>
        <w:rPr>
          <w:bCs/>
        </w:rPr>
        <w:t xml:space="preserve"> </w:t>
      </w:r>
      <w:r w:rsidRPr="00E012EF">
        <w:rPr>
          <w:bCs/>
        </w:rPr>
        <w:t xml:space="preserve">and </w:t>
      </w:r>
    </w:p>
    <w:p w:rsidR="00123DC4" w:rsidRPr="003F7CB0" w:rsidRDefault="00123DC4" w:rsidP="00012EE2">
      <w:pPr>
        <w:pStyle w:val="ListParagraph"/>
        <w:numPr>
          <w:ilvl w:val="0"/>
          <w:numId w:val="147"/>
        </w:numPr>
        <w:autoSpaceDE w:val="0"/>
        <w:autoSpaceDN w:val="0"/>
        <w:adjustRightInd w:val="0"/>
        <w:spacing w:after="120"/>
        <w:ind w:left="1134" w:hanging="567"/>
        <w:rPr>
          <w:bCs/>
        </w:rPr>
      </w:pPr>
      <w:r w:rsidRPr="003F7CB0">
        <w:rPr>
          <w:bCs/>
        </w:rPr>
        <w:t>moving of computer equipment in the resized data center in order to determine the available surface   area for the future printshop</w:t>
      </w:r>
      <w:r w:rsidRPr="00E012EF">
        <w:rPr>
          <w:bCs/>
        </w:rPr>
        <w:t>.</w:t>
      </w:r>
    </w:p>
    <w:p w:rsidR="00123DC4" w:rsidRPr="00BD06DF" w:rsidRDefault="00123DC4" w:rsidP="00123DC4">
      <w:pPr>
        <w:pStyle w:val="ListParagraph"/>
        <w:numPr>
          <w:ilvl w:val="0"/>
          <w:numId w:val="134"/>
        </w:numPr>
        <w:tabs>
          <w:tab w:val="left" w:pos="567"/>
        </w:tabs>
        <w:ind w:left="0" w:firstLine="0"/>
        <w:jc w:val="both"/>
        <w:rPr>
          <w:rFonts w:eastAsiaTheme="minorHAnsi" w:cs="Arial"/>
        </w:rPr>
      </w:pPr>
      <w:r>
        <w:rPr>
          <w:rFonts w:eastAsiaTheme="minorHAnsi" w:cs="Arial"/>
        </w:rPr>
        <w:t xml:space="preserve">At the end of 2015, </w:t>
      </w:r>
      <w:r w:rsidRPr="00BD06DF">
        <w:rPr>
          <w:bCs/>
          <w:noProof/>
        </w:rPr>
        <w:t xml:space="preserve">the space necessary for the expanded and renovated printshop </w:t>
      </w:r>
      <w:r>
        <w:rPr>
          <w:bCs/>
          <w:noProof/>
        </w:rPr>
        <w:t xml:space="preserve"> still </w:t>
      </w:r>
      <w:r w:rsidRPr="00BD06DF">
        <w:rPr>
          <w:bCs/>
          <w:noProof/>
        </w:rPr>
        <w:t>remain</w:t>
      </w:r>
      <w:r>
        <w:rPr>
          <w:bCs/>
          <w:noProof/>
        </w:rPr>
        <w:t>ed</w:t>
      </w:r>
      <w:r w:rsidRPr="00BD06DF">
        <w:rPr>
          <w:bCs/>
          <w:noProof/>
        </w:rPr>
        <w:t xml:space="preserve"> to be validated internally</w:t>
      </w:r>
      <w:r>
        <w:rPr>
          <w:bCs/>
          <w:noProof/>
        </w:rPr>
        <w:t>, resulting in further delays to the project implementation</w:t>
      </w:r>
      <w:r w:rsidRPr="00BD06DF">
        <w:rPr>
          <w:bCs/>
          <w:noProof/>
        </w:rPr>
        <w:t>.</w:t>
      </w:r>
      <w:r>
        <w:rPr>
          <w:bCs/>
          <w:noProof/>
        </w:rPr>
        <w:t xml:space="preserve">  As such, the project schedule has been amended.</w:t>
      </w:r>
    </w:p>
    <w:p w:rsidR="00123DC4" w:rsidRDefault="00123DC4">
      <w:pPr>
        <w:spacing w:after="200" w:line="276" w:lineRule="auto"/>
        <w:rPr>
          <w:rFonts w:eastAsiaTheme="minorHAnsi" w:cs="Arial"/>
          <w:szCs w:val="20"/>
        </w:rPr>
      </w:pPr>
      <w:r>
        <w:rPr>
          <w:rFonts w:eastAsiaTheme="minorHAnsi" w:cs="Arial"/>
          <w:szCs w:val="20"/>
        </w:rPr>
        <w:br w:type="page"/>
      </w:r>
    </w:p>
    <w:p w:rsidR="00123DC4" w:rsidRPr="00821FE0" w:rsidRDefault="00123DC4" w:rsidP="00132057">
      <w:pPr>
        <w:keepNext/>
        <w:keepLines/>
        <w:rPr>
          <w:noProof/>
          <w:sz w:val="18"/>
        </w:rPr>
      </w:pPr>
      <w:r w:rsidRPr="00821FE0">
        <w:rPr>
          <w:bCs/>
          <w:noProof/>
          <w:szCs w:val="22"/>
        </w:rPr>
        <w:t>BENEFITS REALIZATION</w:t>
      </w:r>
    </w:p>
    <w:p w:rsidR="00123DC4" w:rsidRPr="004E3CEE" w:rsidRDefault="00123DC4" w:rsidP="00132057">
      <w:pPr>
        <w:keepNext/>
        <w:keepLines/>
        <w:rPr>
          <w:noProof/>
          <w:szCs w:val="20"/>
        </w:rPr>
      </w:pPr>
    </w:p>
    <w:tbl>
      <w:tblPr>
        <w:tblW w:w="356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820"/>
      </w:tblGrid>
      <w:tr w:rsidR="00123DC4" w:rsidRPr="004E3CEE" w:rsidTr="00132057">
        <w:trPr>
          <w:trHeight w:val="442"/>
          <w:tblHeader/>
          <w:jc w:val="center"/>
        </w:trPr>
        <w:tc>
          <w:tcPr>
            <w:tcW w:w="5000" w:type="pct"/>
            <w:shd w:val="clear" w:color="auto" w:fill="C6D9F1" w:themeFill="text2" w:themeFillTint="33"/>
            <w:vAlign w:val="center"/>
          </w:tcPr>
          <w:p w:rsidR="00123DC4" w:rsidRPr="004E3CEE" w:rsidRDefault="00123DC4" w:rsidP="00132057">
            <w:pPr>
              <w:keepNext/>
              <w:keepLines/>
              <w:jc w:val="center"/>
              <w:rPr>
                <w:b/>
                <w:bCs/>
                <w:noProof/>
                <w:sz w:val="16"/>
                <w:szCs w:val="16"/>
              </w:rPr>
            </w:pPr>
            <w:r w:rsidRPr="004E3CEE">
              <w:rPr>
                <w:b/>
                <w:bCs/>
                <w:noProof/>
                <w:sz w:val="16"/>
                <w:szCs w:val="16"/>
              </w:rPr>
              <w:t>Expected Benefits 2017</w:t>
            </w:r>
          </w:p>
        </w:tc>
      </w:tr>
      <w:tr w:rsidR="00123DC4" w:rsidRPr="004E3CEE" w:rsidTr="00132057">
        <w:trPr>
          <w:trHeight w:val="348"/>
          <w:jc w:val="center"/>
        </w:trPr>
        <w:tc>
          <w:tcPr>
            <w:tcW w:w="5000" w:type="pct"/>
            <w:shd w:val="clear" w:color="auto" w:fill="auto"/>
            <w:vAlign w:val="center"/>
          </w:tcPr>
          <w:p w:rsidR="00123DC4" w:rsidRPr="00821FE0" w:rsidRDefault="00123DC4" w:rsidP="00132057">
            <w:pPr>
              <w:spacing w:before="60" w:after="60"/>
              <w:rPr>
                <w:bCs/>
                <w:iCs/>
                <w:noProof/>
                <w:color w:val="000000"/>
                <w:sz w:val="16"/>
                <w:szCs w:val="16"/>
              </w:rPr>
            </w:pPr>
            <w:r w:rsidRPr="004E3CEE">
              <w:rPr>
                <w:bCs/>
                <w:iCs/>
                <w:noProof/>
                <w:color w:val="000000"/>
                <w:sz w:val="16"/>
                <w:szCs w:val="16"/>
              </w:rPr>
              <w:t xml:space="preserve">Better </w:t>
            </w:r>
            <w:r>
              <w:rPr>
                <w:bCs/>
                <w:iCs/>
                <w:noProof/>
                <w:color w:val="000000"/>
                <w:sz w:val="16"/>
                <w:szCs w:val="16"/>
              </w:rPr>
              <w:t>allocation</w:t>
            </w:r>
            <w:r w:rsidRPr="004E3CEE">
              <w:rPr>
                <w:bCs/>
                <w:iCs/>
                <w:noProof/>
                <w:color w:val="000000"/>
                <w:sz w:val="16"/>
                <w:szCs w:val="16"/>
              </w:rPr>
              <w:t xml:space="preserve"> of </w:t>
            </w:r>
            <w:r>
              <w:rPr>
                <w:bCs/>
                <w:iCs/>
                <w:noProof/>
                <w:color w:val="000000"/>
                <w:sz w:val="16"/>
                <w:szCs w:val="16"/>
              </w:rPr>
              <w:t>space</w:t>
            </w:r>
            <w:r w:rsidRPr="004E3CEE">
              <w:rPr>
                <w:bCs/>
                <w:iCs/>
                <w:noProof/>
                <w:color w:val="000000"/>
                <w:sz w:val="16"/>
                <w:szCs w:val="16"/>
              </w:rPr>
              <w:t xml:space="preserve"> according to respective uses</w:t>
            </w:r>
            <w:r>
              <w:rPr>
                <w:bCs/>
                <w:iCs/>
                <w:noProof/>
                <w:color w:val="000000"/>
                <w:sz w:val="16"/>
                <w:szCs w:val="16"/>
              </w:rPr>
              <w:t>.</w:t>
            </w:r>
          </w:p>
        </w:tc>
      </w:tr>
      <w:tr w:rsidR="00123DC4" w:rsidRPr="004E3CEE" w:rsidTr="00132057">
        <w:trPr>
          <w:trHeight w:val="281"/>
          <w:jc w:val="center"/>
        </w:trPr>
        <w:tc>
          <w:tcPr>
            <w:tcW w:w="5000" w:type="pct"/>
            <w:shd w:val="clear" w:color="auto" w:fill="auto"/>
            <w:vAlign w:val="center"/>
          </w:tcPr>
          <w:p w:rsidR="00123DC4" w:rsidRPr="004E3CEE" w:rsidRDefault="00123DC4" w:rsidP="00132057">
            <w:pPr>
              <w:spacing w:before="60" w:after="60"/>
              <w:rPr>
                <w:bCs/>
                <w:iCs/>
                <w:noProof/>
                <w:sz w:val="16"/>
                <w:szCs w:val="16"/>
              </w:rPr>
            </w:pPr>
            <w:r w:rsidRPr="004E3CEE">
              <w:rPr>
                <w:bCs/>
                <w:iCs/>
                <w:noProof/>
                <w:color w:val="000000"/>
                <w:sz w:val="16"/>
                <w:szCs w:val="16"/>
              </w:rPr>
              <w:t xml:space="preserve">Partial reduction in energy </w:t>
            </w:r>
            <w:r>
              <w:rPr>
                <w:bCs/>
                <w:iCs/>
                <w:noProof/>
                <w:color w:val="000000"/>
                <w:sz w:val="16"/>
                <w:szCs w:val="16"/>
              </w:rPr>
              <w:t>consumption in</w:t>
            </w:r>
            <w:r w:rsidRPr="004E3CEE">
              <w:rPr>
                <w:bCs/>
                <w:iCs/>
                <w:noProof/>
                <w:color w:val="000000"/>
                <w:sz w:val="16"/>
                <w:szCs w:val="16"/>
              </w:rPr>
              <w:t xml:space="preserve"> the area affected by the works in the AB Building</w:t>
            </w:r>
            <w:r>
              <w:rPr>
                <w:bCs/>
                <w:iCs/>
                <w:noProof/>
                <w:color w:val="000000"/>
                <w:sz w:val="16"/>
                <w:szCs w:val="16"/>
              </w:rPr>
              <w:t>.</w:t>
            </w:r>
          </w:p>
        </w:tc>
      </w:tr>
      <w:tr w:rsidR="00123DC4" w:rsidRPr="004E3CEE" w:rsidTr="00132057">
        <w:trPr>
          <w:trHeight w:val="274"/>
          <w:jc w:val="center"/>
        </w:trPr>
        <w:tc>
          <w:tcPr>
            <w:tcW w:w="5000" w:type="pct"/>
            <w:shd w:val="clear" w:color="auto" w:fill="auto"/>
            <w:vAlign w:val="center"/>
          </w:tcPr>
          <w:p w:rsidR="00123DC4" w:rsidRPr="004E3CEE" w:rsidRDefault="00123DC4" w:rsidP="00132057">
            <w:pPr>
              <w:spacing w:before="60" w:after="60"/>
              <w:rPr>
                <w:bCs/>
                <w:iCs/>
                <w:noProof/>
                <w:sz w:val="16"/>
                <w:szCs w:val="16"/>
              </w:rPr>
            </w:pPr>
            <w:r w:rsidRPr="004E3CEE">
              <w:rPr>
                <w:bCs/>
                <w:iCs/>
                <w:noProof/>
                <w:color w:val="000000"/>
                <w:sz w:val="16"/>
                <w:szCs w:val="16"/>
              </w:rPr>
              <w:t xml:space="preserve">Improvement of </w:t>
            </w:r>
            <w:r>
              <w:rPr>
                <w:bCs/>
                <w:iCs/>
                <w:noProof/>
                <w:color w:val="000000"/>
                <w:sz w:val="16"/>
                <w:szCs w:val="16"/>
              </w:rPr>
              <w:t xml:space="preserve">the </w:t>
            </w:r>
            <w:r w:rsidRPr="004E3CEE">
              <w:rPr>
                <w:bCs/>
                <w:iCs/>
                <w:noProof/>
                <w:color w:val="000000"/>
                <w:sz w:val="16"/>
                <w:szCs w:val="16"/>
              </w:rPr>
              <w:t xml:space="preserve">working spaces of </w:t>
            </w:r>
            <w:r>
              <w:rPr>
                <w:bCs/>
                <w:iCs/>
                <w:noProof/>
                <w:color w:val="000000"/>
                <w:sz w:val="16"/>
                <w:szCs w:val="16"/>
              </w:rPr>
              <w:t>printshop</w:t>
            </w:r>
            <w:r w:rsidRPr="004E3CEE">
              <w:rPr>
                <w:bCs/>
                <w:iCs/>
                <w:noProof/>
                <w:color w:val="000000"/>
                <w:sz w:val="16"/>
                <w:szCs w:val="16"/>
              </w:rPr>
              <w:t xml:space="preserve"> and document</w:t>
            </w:r>
            <w:r>
              <w:rPr>
                <w:bCs/>
                <w:iCs/>
                <w:noProof/>
                <w:color w:val="000000"/>
                <w:sz w:val="16"/>
                <w:szCs w:val="16"/>
              </w:rPr>
              <w:t>s</w:t>
            </w:r>
            <w:r w:rsidRPr="004E3CEE">
              <w:rPr>
                <w:bCs/>
                <w:iCs/>
                <w:noProof/>
                <w:color w:val="000000"/>
                <w:sz w:val="16"/>
                <w:szCs w:val="16"/>
              </w:rPr>
              <w:t xml:space="preserve"> staff</w:t>
            </w:r>
            <w:r>
              <w:rPr>
                <w:bCs/>
                <w:iCs/>
                <w:noProof/>
                <w:color w:val="000000"/>
                <w:sz w:val="16"/>
                <w:szCs w:val="16"/>
              </w:rPr>
              <w:t>.</w:t>
            </w:r>
          </w:p>
        </w:tc>
      </w:tr>
    </w:tbl>
    <w:p w:rsidR="00123DC4" w:rsidRPr="00821FE0" w:rsidRDefault="00123DC4" w:rsidP="00132057">
      <w:pPr>
        <w:rPr>
          <w:rFonts w:cs="Arial"/>
          <w:noProof/>
          <w:color w:val="000000"/>
          <w:szCs w:val="20"/>
        </w:rPr>
      </w:pPr>
    </w:p>
    <w:p w:rsidR="00123DC4" w:rsidRPr="00821FE0" w:rsidRDefault="00123DC4" w:rsidP="00132057">
      <w:pPr>
        <w:rPr>
          <w:rFonts w:cs="Arial"/>
          <w:noProof/>
          <w:color w:val="000000"/>
          <w:szCs w:val="20"/>
        </w:rPr>
      </w:pPr>
    </w:p>
    <w:p w:rsidR="00123DC4" w:rsidRPr="00821FE0" w:rsidRDefault="00123DC4" w:rsidP="00132057">
      <w:pPr>
        <w:rPr>
          <w:rFonts w:cs="Arial"/>
          <w:noProof/>
          <w:color w:val="000000"/>
          <w:szCs w:val="20"/>
        </w:rPr>
      </w:pPr>
      <w:r w:rsidRPr="00821FE0">
        <w:rPr>
          <w:rFonts w:cs="Arial"/>
          <w:noProof/>
          <w:color w:val="000000"/>
          <w:szCs w:val="20"/>
        </w:rPr>
        <w:t>RESOURCE UTILIZATION</w:t>
      </w:r>
      <w:r w:rsidRPr="00821FE0">
        <w:rPr>
          <w:rStyle w:val="FootnoteReference"/>
          <w:szCs w:val="20"/>
        </w:rPr>
        <w:footnoteReference w:id="177"/>
      </w:r>
      <w:r w:rsidRPr="00821FE0">
        <w:rPr>
          <w:rFonts w:cs="Arial"/>
          <w:noProof/>
          <w:color w:val="000000"/>
          <w:szCs w:val="20"/>
        </w:rPr>
        <w:tab/>
      </w:r>
    </w:p>
    <w:p w:rsidR="00123DC4" w:rsidRPr="00821FE0" w:rsidRDefault="00123DC4" w:rsidP="00132057">
      <w:pPr>
        <w:rPr>
          <w:rFonts w:cs="Arial"/>
          <w:noProof/>
          <w:color w:val="000000"/>
          <w:szCs w:val="20"/>
        </w:rPr>
      </w:pPr>
    </w:p>
    <w:p w:rsidR="00123DC4" w:rsidRPr="004E3CEE" w:rsidRDefault="00123DC4" w:rsidP="00132057">
      <w:pPr>
        <w:keepNext/>
        <w:keepLines/>
        <w:tabs>
          <w:tab w:val="left" w:pos="3261"/>
        </w:tabs>
        <w:autoSpaceDE w:val="0"/>
        <w:autoSpaceDN w:val="0"/>
        <w:adjustRightInd w:val="0"/>
        <w:jc w:val="center"/>
        <w:rPr>
          <w:b/>
          <w:noProof/>
          <w:szCs w:val="22"/>
        </w:rPr>
      </w:pPr>
      <w:r w:rsidRPr="004E3CEE">
        <w:rPr>
          <w:b/>
          <w:noProof/>
          <w:szCs w:val="22"/>
        </w:rPr>
        <w:t>Project Budget Utilization</w:t>
      </w:r>
    </w:p>
    <w:p w:rsidR="00123DC4" w:rsidRPr="004860F6" w:rsidRDefault="00123DC4" w:rsidP="00132057">
      <w:pPr>
        <w:keepNext/>
        <w:keepLines/>
        <w:tabs>
          <w:tab w:val="left" w:pos="3261"/>
        </w:tabs>
        <w:autoSpaceDE w:val="0"/>
        <w:autoSpaceDN w:val="0"/>
        <w:adjustRightInd w:val="0"/>
        <w:spacing w:after="120"/>
        <w:jc w:val="center"/>
        <w:rPr>
          <w:i/>
          <w:iCs/>
          <w:noProof/>
          <w:sz w:val="18"/>
          <w:szCs w:val="18"/>
        </w:rPr>
      </w:pPr>
      <w:r w:rsidRPr="004E3CEE">
        <w:rPr>
          <w:i/>
          <w:iCs/>
          <w:noProof/>
          <w:sz w:val="18"/>
          <w:szCs w:val="18"/>
        </w:rPr>
        <w:t>(</w:t>
      </w:r>
      <w:r>
        <w:rPr>
          <w:i/>
          <w:iCs/>
          <w:noProof/>
          <w:sz w:val="18"/>
          <w:szCs w:val="18"/>
        </w:rPr>
        <w:t>i</w:t>
      </w:r>
      <w:r w:rsidRPr="004E3CEE">
        <w:rPr>
          <w:i/>
          <w:iCs/>
          <w:noProof/>
          <w:sz w:val="18"/>
          <w:szCs w:val="18"/>
        </w:rPr>
        <w:t>n Swiss francs, as at December 31, 201</w:t>
      </w:r>
      <w:r>
        <w:rPr>
          <w:i/>
          <w:iCs/>
          <w:noProof/>
          <w:sz w:val="18"/>
          <w:szCs w:val="18"/>
        </w:rPr>
        <w:t>5</w:t>
      </w:r>
      <w:r w:rsidRPr="004E3CEE">
        <w:rPr>
          <w:i/>
          <w:iCs/>
          <w:noProof/>
          <w:sz w:val="18"/>
          <w:szCs w:val="18"/>
        </w:rPr>
        <w:t>)</w:t>
      </w:r>
    </w:p>
    <w:tbl>
      <w:tblPr>
        <w:tblpPr w:leftFromText="180" w:rightFromText="180" w:vertAnchor="text" w:horzAnchor="margin" w:tblpX="182" w:tblpY="17"/>
        <w:tblW w:w="480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40"/>
        <w:gridCol w:w="1564"/>
        <w:gridCol w:w="1565"/>
        <w:gridCol w:w="1565"/>
        <w:gridCol w:w="1564"/>
      </w:tblGrid>
      <w:tr w:rsidR="00123DC4" w:rsidRPr="004E3CEE" w:rsidTr="00132057">
        <w:trPr>
          <w:trHeight w:val="410"/>
        </w:trPr>
        <w:tc>
          <w:tcPr>
            <w:tcW w:w="1598"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4E3CEE" w:rsidRDefault="00123DC4" w:rsidP="00132057">
            <w:pPr>
              <w:keepNext/>
              <w:keepLines/>
              <w:autoSpaceDE w:val="0"/>
              <w:autoSpaceDN w:val="0"/>
              <w:adjustRightInd w:val="0"/>
              <w:spacing w:before="40" w:after="40"/>
              <w:ind w:left="-74" w:right="-60"/>
              <w:jc w:val="center"/>
              <w:rPr>
                <w:b/>
                <w:bCs/>
                <w:noProof/>
                <w:sz w:val="16"/>
                <w:szCs w:val="16"/>
              </w:rPr>
            </w:pPr>
            <w:r w:rsidRPr="004E3CEE">
              <w:rPr>
                <w:b/>
                <w:bCs/>
                <w:noProof/>
                <w:sz w:val="16"/>
                <w:szCs w:val="16"/>
              </w:rPr>
              <w:t>Project Name</w:t>
            </w:r>
          </w:p>
        </w:tc>
        <w:tc>
          <w:tcPr>
            <w:tcW w:w="850"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4E3CEE" w:rsidRDefault="00123DC4" w:rsidP="00132057">
            <w:pPr>
              <w:keepNext/>
              <w:keepLines/>
              <w:autoSpaceDE w:val="0"/>
              <w:autoSpaceDN w:val="0"/>
              <w:adjustRightInd w:val="0"/>
              <w:spacing w:before="40" w:after="40"/>
              <w:ind w:left="-107" w:right="-108"/>
              <w:jc w:val="center"/>
              <w:rPr>
                <w:b/>
                <w:bCs/>
                <w:noProof/>
                <w:sz w:val="16"/>
                <w:szCs w:val="16"/>
              </w:rPr>
            </w:pPr>
            <w:r w:rsidRPr="004E3CEE">
              <w:rPr>
                <w:b/>
                <w:bCs/>
                <w:noProof/>
                <w:sz w:val="16"/>
                <w:szCs w:val="16"/>
              </w:rPr>
              <w:t>Project Budget</w:t>
            </w:r>
          </w:p>
        </w:tc>
        <w:tc>
          <w:tcPr>
            <w:tcW w:w="851"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4E3CEE" w:rsidRDefault="00123DC4" w:rsidP="00132057">
            <w:pPr>
              <w:keepNext/>
              <w:keepLines/>
              <w:autoSpaceDE w:val="0"/>
              <w:autoSpaceDN w:val="0"/>
              <w:adjustRightInd w:val="0"/>
              <w:spacing w:before="40" w:after="40"/>
              <w:ind w:left="-108" w:right="-106"/>
              <w:jc w:val="center"/>
              <w:rPr>
                <w:b/>
                <w:bCs/>
                <w:noProof/>
                <w:sz w:val="16"/>
                <w:szCs w:val="16"/>
              </w:rPr>
            </w:pPr>
            <w:r w:rsidRPr="004E3CEE">
              <w:rPr>
                <w:b/>
                <w:bCs/>
                <w:noProof/>
                <w:sz w:val="16"/>
                <w:szCs w:val="16"/>
              </w:rPr>
              <w:t>Actual Expenditure to Date</w:t>
            </w:r>
          </w:p>
        </w:tc>
        <w:tc>
          <w:tcPr>
            <w:tcW w:w="851"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4E3CEE" w:rsidRDefault="00123DC4" w:rsidP="00132057">
            <w:pPr>
              <w:keepNext/>
              <w:keepLines/>
              <w:autoSpaceDE w:val="0"/>
              <w:autoSpaceDN w:val="0"/>
              <w:adjustRightInd w:val="0"/>
              <w:spacing w:before="40" w:after="40"/>
              <w:ind w:left="-109" w:right="-108"/>
              <w:jc w:val="center"/>
              <w:rPr>
                <w:b/>
                <w:bCs/>
                <w:noProof/>
                <w:sz w:val="16"/>
                <w:szCs w:val="16"/>
              </w:rPr>
            </w:pPr>
            <w:r w:rsidRPr="004E3CEE">
              <w:rPr>
                <w:b/>
                <w:bCs/>
                <w:noProof/>
                <w:sz w:val="16"/>
                <w:szCs w:val="16"/>
              </w:rPr>
              <w:t>Actual Budget Utilization</w:t>
            </w:r>
          </w:p>
        </w:tc>
        <w:tc>
          <w:tcPr>
            <w:tcW w:w="850"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4E3CEE" w:rsidRDefault="00123DC4" w:rsidP="00132057">
            <w:pPr>
              <w:keepNext/>
              <w:keepLines/>
              <w:autoSpaceDE w:val="0"/>
              <w:autoSpaceDN w:val="0"/>
              <w:adjustRightInd w:val="0"/>
              <w:spacing w:before="40" w:after="40"/>
              <w:ind w:left="-109" w:right="-73" w:firstLine="1"/>
              <w:jc w:val="center"/>
              <w:rPr>
                <w:b/>
                <w:bCs/>
                <w:noProof/>
                <w:sz w:val="16"/>
                <w:szCs w:val="16"/>
              </w:rPr>
            </w:pPr>
            <w:r w:rsidRPr="004E3CEE">
              <w:rPr>
                <w:b/>
                <w:bCs/>
                <w:noProof/>
                <w:sz w:val="16"/>
                <w:szCs w:val="16"/>
              </w:rPr>
              <w:t>Implementation Progress Rate of the Project</w:t>
            </w:r>
          </w:p>
        </w:tc>
      </w:tr>
      <w:tr w:rsidR="00123DC4" w:rsidRPr="004E3CEE" w:rsidTr="00132057">
        <w:trPr>
          <w:trHeight w:val="389"/>
        </w:trPr>
        <w:tc>
          <w:tcPr>
            <w:tcW w:w="1598" w:type="pct"/>
            <w:tcBorders>
              <w:top w:val="single" w:sz="4" w:space="0" w:color="auto"/>
              <w:left w:val="single" w:sz="4" w:space="0" w:color="auto"/>
              <w:bottom w:val="single" w:sz="4" w:space="0" w:color="auto"/>
              <w:right w:val="single" w:sz="4" w:space="0" w:color="auto"/>
            </w:tcBorders>
            <w:vAlign w:val="center"/>
          </w:tcPr>
          <w:p w:rsidR="00123DC4" w:rsidRPr="004E3CEE" w:rsidRDefault="00123DC4" w:rsidP="00132057">
            <w:pPr>
              <w:keepNext/>
              <w:keepLines/>
              <w:autoSpaceDE w:val="0"/>
              <w:autoSpaceDN w:val="0"/>
              <w:adjustRightInd w:val="0"/>
              <w:spacing w:before="40" w:after="40"/>
              <w:rPr>
                <w:noProof/>
                <w:sz w:val="16"/>
                <w:szCs w:val="16"/>
              </w:rPr>
            </w:pPr>
            <w:r w:rsidRPr="00CD47DE">
              <w:rPr>
                <w:noProof/>
                <w:sz w:val="16"/>
                <w:szCs w:val="16"/>
              </w:rPr>
              <w:t>Arpad Bogsch Building — phase 1 of basement renovation (resizing of data center and renovation of printshop)</w:t>
            </w:r>
          </w:p>
        </w:tc>
        <w:tc>
          <w:tcPr>
            <w:tcW w:w="850" w:type="pct"/>
            <w:tcBorders>
              <w:top w:val="single" w:sz="4" w:space="0" w:color="auto"/>
              <w:left w:val="single" w:sz="4" w:space="0" w:color="auto"/>
              <w:bottom w:val="single" w:sz="4" w:space="0" w:color="auto"/>
              <w:right w:val="single" w:sz="4" w:space="0" w:color="auto"/>
            </w:tcBorders>
            <w:vAlign w:val="center"/>
          </w:tcPr>
          <w:p w:rsidR="00123DC4" w:rsidRPr="004E3CEE" w:rsidRDefault="00123DC4" w:rsidP="00132057">
            <w:pPr>
              <w:keepNext/>
              <w:keepLines/>
              <w:autoSpaceDE w:val="0"/>
              <w:autoSpaceDN w:val="0"/>
              <w:adjustRightInd w:val="0"/>
              <w:spacing w:before="40" w:after="40"/>
              <w:jc w:val="center"/>
              <w:rPr>
                <w:noProof/>
                <w:sz w:val="16"/>
                <w:szCs w:val="16"/>
              </w:rPr>
            </w:pPr>
            <w:r w:rsidRPr="004E3CEE">
              <w:rPr>
                <w:noProof/>
                <w:sz w:val="16"/>
                <w:szCs w:val="16"/>
              </w:rPr>
              <w:t>960</w:t>
            </w:r>
            <w:r>
              <w:rPr>
                <w:noProof/>
                <w:sz w:val="16"/>
                <w:szCs w:val="16"/>
              </w:rPr>
              <w:t>,</w:t>
            </w:r>
            <w:r w:rsidRPr="004E3CEE">
              <w:rPr>
                <w:noProof/>
                <w:sz w:val="16"/>
                <w:szCs w:val="16"/>
              </w:rPr>
              <w:t>000</w:t>
            </w:r>
          </w:p>
        </w:tc>
        <w:tc>
          <w:tcPr>
            <w:tcW w:w="851" w:type="pct"/>
            <w:tcBorders>
              <w:top w:val="single" w:sz="4" w:space="0" w:color="auto"/>
              <w:left w:val="single" w:sz="4" w:space="0" w:color="auto"/>
              <w:bottom w:val="single" w:sz="4" w:space="0" w:color="auto"/>
              <w:right w:val="single" w:sz="4" w:space="0" w:color="auto"/>
            </w:tcBorders>
            <w:vAlign w:val="center"/>
          </w:tcPr>
          <w:p w:rsidR="00123DC4" w:rsidRPr="00BD06DF" w:rsidRDefault="00123DC4" w:rsidP="00132057">
            <w:pPr>
              <w:keepNext/>
              <w:keepLines/>
              <w:autoSpaceDE w:val="0"/>
              <w:autoSpaceDN w:val="0"/>
              <w:adjustRightInd w:val="0"/>
              <w:spacing w:before="40" w:after="40"/>
              <w:jc w:val="center"/>
              <w:rPr>
                <w:noProof/>
                <w:sz w:val="16"/>
                <w:szCs w:val="16"/>
              </w:rPr>
            </w:pPr>
            <w:r w:rsidRPr="00BD06DF">
              <w:rPr>
                <w:noProof/>
                <w:sz w:val="16"/>
                <w:szCs w:val="16"/>
              </w:rPr>
              <w:t>5,000</w:t>
            </w:r>
          </w:p>
        </w:tc>
        <w:tc>
          <w:tcPr>
            <w:tcW w:w="851" w:type="pct"/>
            <w:tcBorders>
              <w:top w:val="single" w:sz="4" w:space="0" w:color="auto"/>
              <w:left w:val="single" w:sz="4" w:space="0" w:color="auto"/>
              <w:bottom w:val="single" w:sz="4" w:space="0" w:color="auto"/>
              <w:right w:val="single" w:sz="4" w:space="0" w:color="auto"/>
            </w:tcBorders>
            <w:vAlign w:val="center"/>
          </w:tcPr>
          <w:p w:rsidR="00123DC4" w:rsidRPr="00BD06DF" w:rsidRDefault="00123DC4" w:rsidP="00132057">
            <w:pPr>
              <w:keepNext/>
              <w:keepLines/>
              <w:autoSpaceDE w:val="0"/>
              <w:autoSpaceDN w:val="0"/>
              <w:adjustRightInd w:val="0"/>
              <w:spacing w:before="40" w:after="40"/>
              <w:jc w:val="center"/>
              <w:rPr>
                <w:noProof/>
                <w:sz w:val="16"/>
                <w:szCs w:val="16"/>
              </w:rPr>
            </w:pPr>
            <w:r w:rsidRPr="00BD06DF">
              <w:rPr>
                <w:noProof/>
                <w:sz w:val="16"/>
                <w:szCs w:val="16"/>
              </w:rPr>
              <w:t>0.5%</w:t>
            </w:r>
          </w:p>
        </w:tc>
        <w:tc>
          <w:tcPr>
            <w:tcW w:w="850" w:type="pct"/>
            <w:tcBorders>
              <w:top w:val="single" w:sz="4" w:space="0" w:color="auto"/>
              <w:left w:val="single" w:sz="4" w:space="0" w:color="auto"/>
              <w:bottom w:val="single" w:sz="4" w:space="0" w:color="auto"/>
              <w:right w:val="single" w:sz="4" w:space="0" w:color="auto"/>
            </w:tcBorders>
            <w:vAlign w:val="center"/>
          </w:tcPr>
          <w:p w:rsidR="00123DC4" w:rsidRPr="00BD06DF" w:rsidRDefault="00123DC4" w:rsidP="00132057">
            <w:pPr>
              <w:keepNext/>
              <w:keepLines/>
              <w:autoSpaceDE w:val="0"/>
              <w:autoSpaceDN w:val="0"/>
              <w:adjustRightInd w:val="0"/>
              <w:spacing w:before="40" w:after="40"/>
              <w:jc w:val="center"/>
              <w:rPr>
                <w:noProof/>
                <w:sz w:val="16"/>
                <w:szCs w:val="16"/>
              </w:rPr>
            </w:pPr>
            <w:r w:rsidRPr="00BD06DF">
              <w:rPr>
                <w:noProof/>
                <w:sz w:val="16"/>
                <w:szCs w:val="16"/>
              </w:rPr>
              <w:t>15%</w:t>
            </w:r>
          </w:p>
        </w:tc>
      </w:tr>
    </w:tbl>
    <w:p w:rsidR="00123DC4" w:rsidRPr="004E3CEE" w:rsidRDefault="00123DC4" w:rsidP="00132057">
      <w:pPr>
        <w:keepNext/>
        <w:keepLines/>
        <w:tabs>
          <w:tab w:val="left" w:pos="3261"/>
        </w:tabs>
        <w:autoSpaceDE w:val="0"/>
        <w:autoSpaceDN w:val="0"/>
        <w:adjustRightInd w:val="0"/>
        <w:jc w:val="center"/>
        <w:rPr>
          <w:b/>
          <w:noProof/>
          <w:szCs w:val="22"/>
        </w:rPr>
      </w:pPr>
    </w:p>
    <w:p w:rsidR="00123DC4" w:rsidRPr="004E3CEE" w:rsidRDefault="00123DC4" w:rsidP="00132057">
      <w:pPr>
        <w:keepNext/>
        <w:keepLines/>
        <w:tabs>
          <w:tab w:val="left" w:pos="3261"/>
        </w:tabs>
        <w:autoSpaceDE w:val="0"/>
        <w:autoSpaceDN w:val="0"/>
        <w:adjustRightInd w:val="0"/>
        <w:jc w:val="center"/>
        <w:rPr>
          <w:b/>
          <w:noProof/>
          <w:szCs w:val="22"/>
        </w:rPr>
      </w:pPr>
    </w:p>
    <w:p w:rsidR="00123DC4" w:rsidRPr="004E3CEE" w:rsidRDefault="00123DC4" w:rsidP="00132057">
      <w:pPr>
        <w:keepNext/>
        <w:keepLines/>
        <w:tabs>
          <w:tab w:val="left" w:pos="3261"/>
        </w:tabs>
        <w:autoSpaceDE w:val="0"/>
        <w:autoSpaceDN w:val="0"/>
        <w:adjustRightInd w:val="0"/>
        <w:jc w:val="center"/>
        <w:rPr>
          <w:b/>
          <w:noProof/>
          <w:szCs w:val="22"/>
        </w:rPr>
      </w:pPr>
      <w:r w:rsidRPr="004E3CEE">
        <w:rPr>
          <w:b/>
          <w:noProof/>
          <w:szCs w:val="22"/>
        </w:rPr>
        <w:t>Project Budget Utilization (by Milestone)</w:t>
      </w:r>
    </w:p>
    <w:p w:rsidR="00123DC4" w:rsidRPr="00821FE0" w:rsidRDefault="00123DC4" w:rsidP="00132057">
      <w:pPr>
        <w:keepNext/>
        <w:keepLines/>
        <w:tabs>
          <w:tab w:val="left" w:pos="3261"/>
        </w:tabs>
        <w:autoSpaceDE w:val="0"/>
        <w:autoSpaceDN w:val="0"/>
        <w:adjustRightInd w:val="0"/>
        <w:spacing w:after="120"/>
        <w:jc w:val="center"/>
        <w:rPr>
          <w:i/>
          <w:iCs/>
          <w:noProof/>
          <w:sz w:val="18"/>
          <w:szCs w:val="18"/>
        </w:rPr>
      </w:pPr>
      <w:r w:rsidRPr="004E3CEE">
        <w:rPr>
          <w:i/>
          <w:iCs/>
          <w:noProof/>
          <w:sz w:val="18"/>
          <w:szCs w:val="18"/>
        </w:rPr>
        <w:t>(</w:t>
      </w:r>
      <w:r>
        <w:rPr>
          <w:i/>
          <w:iCs/>
          <w:noProof/>
          <w:sz w:val="18"/>
          <w:szCs w:val="18"/>
        </w:rPr>
        <w:t>i</w:t>
      </w:r>
      <w:r w:rsidRPr="004E3CEE">
        <w:rPr>
          <w:i/>
          <w:iCs/>
          <w:noProof/>
          <w:sz w:val="18"/>
          <w:szCs w:val="18"/>
        </w:rPr>
        <w:t>n Swiss francs, as at December 31, 201</w:t>
      </w:r>
      <w:r>
        <w:rPr>
          <w:i/>
          <w:iCs/>
          <w:noProof/>
          <w:sz w:val="18"/>
          <w:szCs w:val="18"/>
        </w:rPr>
        <w:t>5</w:t>
      </w:r>
      <w:r w:rsidRPr="004E3CEE">
        <w:rPr>
          <w:i/>
          <w:iCs/>
          <w:noProof/>
          <w:sz w:val="18"/>
          <w:szCs w:val="18"/>
        </w:rPr>
        <w:t>)</w:t>
      </w:r>
    </w:p>
    <w:tbl>
      <w:tblPr>
        <w:tblpPr w:leftFromText="180" w:rightFromText="180" w:vertAnchor="text" w:horzAnchor="margin" w:tblpX="182" w:tblpY="17"/>
        <w:tblW w:w="479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899"/>
        <w:gridCol w:w="1575"/>
        <w:gridCol w:w="1575"/>
        <w:gridCol w:w="1575"/>
        <w:gridCol w:w="1557"/>
      </w:tblGrid>
      <w:tr w:rsidR="00123DC4" w:rsidRPr="004E3CEE" w:rsidTr="00132057">
        <w:trPr>
          <w:trHeight w:val="410"/>
        </w:trPr>
        <w:tc>
          <w:tcPr>
            <w:tcW w:w="1578"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4E3CEE" w:rsidRDefault="00123DC4" w:rsidP="00132057">
            <w:pPr>
              <w:keepNext/>
              <w:keepLines/>
              <w:autoSpaceDE w:val="0"/>
              <w:autoSpaceDN w:val="0"/>
              <w:adjustRightInd w:val="0"/>
              <w:spacing w:before="40" w:after="40"/>
              <w:ind w:left="-74" w:right="-60"/>
              <w:jc w:val="center"/>
              <w:rPr>
                <w:b/>
                <w:bCs/>
                <w:noProof/>
                <w:sz w:val="16"/>
                <w:szCs w:val="16"/>
              </w:rPr>
            </w:pPr>
            <w:r w:rsidRPr="004E3CEE">
              <w:rPr>
                <w:b/>
                <w:bCs/>
                <w:noProof/>
                <w:sz w:val="16"/>
                <w:szCs w:val="16"/>
              </w:rPr>
              <w:t>Key Milestone</w:t>
            </w:r>
          </w:p>
        </w:tc>
        <w:tc>
          <w:tcPr>
            <w:tcW w:w="858"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4E3CEE" w:rsidRDefault="00123DC4" w:rsidP="00132057">
            <w:pPr>
              <w:keepNext/>
              <w:keepLines/>
              <w:autoSpaceDE w:val="0"/>
              <w:autoSpaceDN w:val="0"/>
              <w:adjustRightInd w:val="0"/>
              <w:spacing w:before="40" w:after="40"/>
              <w:ind w:left="-107" w:right="-108"/>
              <w:jc w:val="center"/>
              <w:rPr>
                <w:b/>
                <w:bCs/>
                <w:noProof/>
                <w:sz w:val="16"/>
                <w:szCs w:val="16"/>
              </w:rPr>
            </w:pPr>
            <w:r w:rsidRPr="004E3CEE">
              <w:rPr>
                <w:b/>
                <w:bCs/>
                <w:noProof/>
                <w:sz w:val="16"/>
                <w:szCs w:val="16"/>
              </w:rPr>
              <w:t>Project Budget</w:t>
            </w:r>
          </w:p>
        </w:tc>
        <w:tc>
          <w:tcPr>
            <w:tcW w:w="858"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4E3CEE" w:rsidRDefault="00123DC4" w:rsidP="00132057">
            <w:pPr>
              <w:keepNext/>
              <w:keepLines/>
              <w:autoSpaceDE w:val="0"/>
              <w:autoSpaceDN w:val="0"/>
              <w:adjustRightInd w:val="0"/>
              <w:spacing w:before="40" w:after="40"/>
              <w:ind w:left="-108" w:right="-106"/>
              <w:jc w:val="center"/>
              <w:rPr>
                <w:b/>
                <w:bCs/>
                <w:noProof/>
                <w:sz w:val="16"/>
                <w:szCs w:val="16"/>
              </w:rPr>
            </w:pPr>
            <w:r w:rsidRPr="004E3CEE">
              <w:rPr>
                <w:b/>
                <w:bCs/>
                <w:noProof/>
                <w:sz w:val="16"/>
                <w:szCs w:val="16"/>
              </w:rPr>
              <w:t>Actual Expenditure to Date</w:t>
            </w:r>
          </w:p>
        </w:tc>
        <w:tc>
          <w:tcPr>
            <w:tcW w:w="858"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4E3CEE" w:rsidRDefault="00123DC4" w:rsidP="00132057">
            <w:pPr>
              <w:keepNext/>
              <w:keepLines/>
              <w:autoSpaceDE w:val="0"/>
              <w:autoSpaceDN w:val="0"/>
              <w:adjustRightInd w:val="0"/>
              <w:spacing w:before="40" w:after="40"/>
              <w:ind w:left="-109" w:right="-108"/>
              <w:jc w:val="center"/>
              <w:rPr>
                <w:b/>
                <w:bCs/>
                <w:noProof/>
                <w:sz w:val="16"/>
                <w:szCs w:val="16"/>
              </w:rPr>
            </w:pPr>
            <w:r w:rsidRPr="004E3CEE">
              <w:rPr>
                <w:b/>
                <w:bCs/>
                <w:noProof/>
                <w:sz w:val="16"/>
                <w:szCs w:val="16"/>
              </w:rPr>
              <w:t>Actual Budget Utilization</w:t>
            </w:r>
          </w:p>
        </w:tc>
        <w:tc>
          <w:tcPr>
            <w:tcW w:w="848"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4E3CEE" w:rsidRDefault="00123DC4" w:rsidP="00132057">
            <w:pPr>
              <w:keepNext/>
              <w:keepLines/>
              <w:autoSpaceDE w:val="0"/>
              <w:autoSpaceDN w:val="0"/>
              <w:adjustRightInd w:val="0"/>
              <w:spacing w:before="40" w:after="40"/>
              <w:ind w:left="-109" w:right="-73" w:firstLine="1"/>
              <w:jc w:val="center"/>
              <w:rPr>
                <w:b/>
                <w:bCs/>
                <w:noProof/>
                <w:sz w:val="16"/>
                <w:szCs w:val="16"/>
              </w:rPr>
            </w:pPr>
            <w:r w:rsidRPr="004E3CEE">
              <w:rPr>
                <w:b/>
                <w:bCs/>
                <w:noProof/>
                <w:sz w:val="16"/>
                <w:szCs w:val="16"/>
              </w:rPr>
              <w:t>Implementation Progress Rate by Milestone</w:t>
            </w:r>
          </w:p>
        </w:tc>
      </w:tr>
      <w:tr w:rsidR="00123DC4" w:rsidRPr="004E3CEE" w:rsidTr="00132057">
        <w:trPr>
          <w:trHeight w:val="389"/>
        </w:trPr>
        <w:tc>
          <w:tcPr>
            <w:tcW w:w="1578" w:type="pct"/>
            <w:tcBorders>
              <w:top w:val="single" w:sz="4" w:space="0" w:color="auto"/>
              <w:left w:val="single" w:sz="4" w:space="0" w:color="auto"/>
              <w:bottom w:val="single" w:sz="4" w:space="0" w:color="auto"/>
              <w:right w:val="single" w:sz="4" w:space="0" w:color="auto"/>
            </w:tcBorders>
            <w:vAlign w:val="center"/>
          </w:tcPr>
          <w:p w:rsidR="00123DC4" w:rsidRPr="004E3CEE" w:rsidRDefault="00123DC4" w:rsidP="00132057">
            <w:pPr>
              <w:keepNext/>
              <w:keepLines/>
              <w:autoSpaceDE w:val="0"/>
              <w:autoSpaceDN w:val="0"/>
              <w:adjustRightInd w:val="0"/>
              <w:spacing w:before="40" w:after="40"/>
              <w:rPr>
                <w:noProof/>
                <w:sz w:val="16"/>
                <w:szCs w:val="16"/>
              </w:rPr>
            </w:pPr>
            <w:r>
              <w:rPr>
                <w:noProof/>
                <w:color w:val="000000"/>
                <w:sz w:val="16"/>
                <w:szCs w:val="16"/>
              </w:rPr>
              <w:t>Award of contracts to the</w:t>
            </w:r>
            <w:r w:rsidRPr="004E3CEE">
              <w:rPr>
                <w:noProof/>
                <w:color w:val="000000"/>
                <w:sz w:val="16"/>
                <w:szCs w:val="16"/>
              </w:rPr>
              <w:t xml:space="preserve"> </w:t>
            </w:r>
            <w:r>
              <w:rPr>
                <w:noProof/>
                <w:color w:val="000000"/>
                <w:sz w:val="16"/>
                <w:szCs w:val="16"/>
              </w:rPr>
              <w:t>a</w:t>
            </w:r>
            <w:r w:rsidRPr="004E3CEE">
              <w:rPr>
                <w:noProof/>
                <w:color w:val="000000"/>
                <w:sz w:val="16"/>
                <w:szCs w:val="16"/>
              </w:rPr>
              <w:t>rchitect and</w:t>
            </w:r>
            <w:r>
              <w:rPr>
                <w:noProof/>
                <w:color w:val="000000"/>
                <w:sz w:val="16"/>
                <w:szCs w:val="16"/>
              </w:rPr>
              <w:t xml:space="preserve"> engineers</w:t>
            </w:r>
            <w:r w:rsidRPr="004E3CEE">
              <w:rPr>
                <w:noProof/>
                <w:color w:val="000000"/>
                <w:sz w:val="16"/>
                <w:szCs w:val="16"/>
              </w:rPr>
              <w:t xml:space="preserve"> </w:t>
            </w:r>
          </w:p>
        </w:tc>
        <w:tc>
          <w:tcPr>
            <w:tcW w:w="858" w:type="pct"/>
            <w:tcBorders>
              <w:top w:val="single" w:sz="4" w:space="0" w:color="auto"/>
              <w:left w:val="single" w:sz="4" w:space="0" w:color="auto"/>
              <w:bottom w:val="single" w:sz="4" w:space="0" w:color="auto"/>
              <w:right w:val="single" w:sz="4" w:space="0" w:color="auto"/>
            </w:tcBorders>
            <w:vAlign w:val="center"/>
          </w:tcPr>
          <w:p w:rsidR="00123DC4" w:rsidRPr="004E3CEE" w:rsidRDefault="00123DC4" w:rsidP="00132057">
            <w:pPr>
              <w:keepNext/>
              <w:keepLines/>
              <w:autoSpaceDE w:val="0"/>
              <w:autoSpaceDN w:val="0"/>
              <w:adjustRightInd w:val="0"/>
              <w:spacing w:before="40" w:after="40"/>
              <w:jc w:val="center"/>
              <w:rPr>
                <w:noProof/>
                <w:sz w:val="16"/>
                <w:szCs w:val="16"/>
              </w:rPr>
            </w:pPr>
            <w:r w:rsidRPr="004E3CEE">
              <w:rPr>
                <w:noProof/>
                <w:sz w:val="16"/>
                <w:szCs w:val="16"/>
              </w:rPr>
              <w:t>144</w:t>
            </w:r>
            <w:r>
              <w:rPr>
                <w:noProof/>
                <w:sz w:val="16"/>
                <w:szCs w:val="16"/>
              </w:rPr>
              <w:t>,</w:t>
            </w:r>
            <w:r w:rsidRPr="004E3CEE">
              <w:rPr>
                <w:noProof/>
                <w:sz w:val="16"/>
                <w:szCs w:val="16"/>
              </w:rPr>
              <w:t>000</w:t>
            </w:r>
          </w:p>
        </w:tc>
        <w:tc>
          <w:tcPr>
            <w:tcW w:w="858" w:type="pct"/>
            <w:tcBorders>
              <w:top w:val="single" w:sz="4" w:space="0" w:color="auto"/>
              <w:left w:val="single" w:sz="4" w:space="0" w:color="auto"/>
              <w:bottom w:val="single" w:sz="4" w:space="0" w:color="auto"/>
              <w:right w:val="single" w:sz="4" w:space="0" w:color="auto"/>
            </w:tcBorders>
            <w:vAlign w:val="center"/>
          </w:tcPr>
          <w:p w:rsidR="00123DC4" w:rsidRPr="00BD06DF" w:rsidRDefault="00123DC4" w:rsidP="00132057">
            <w:pPr>
              <w:keepNext/>
              <w:keepLines/>
              <w:autoSpaceDE w:val="0"/>
              <w:autoSpaceDN w:val="0"/>
              <w:adjustRightInd w:val="0"/>
              <w:spacing w:before="40" w:after="40"/>
              <w:jc w:val="center"/>
              <w:rPr>
                <w:noProof/>
                <w:sz w:val="16"/>
                <w:szCs w:val="16"/>
              </w:rPr>
            </w:pPr>
            <w:r w:rsidRPr="00BD06DF">
              <w:rPr>
                <w:noProof/>
                <w:sz w:val="16"/>
                <w:szCs w:val="16"/>
              </w:rPr>
              <w:t>5,000</w:t>
            </w:r>
            <w:r>
              <w:rPr>
                <w:rStyle w:val="FootnoteReference"/>
                <w:noProof/>
                <w:sz w:val="16"/>
                <w:szCs w:val="16"/>
              </w:rPr>
              <w:footnoteReference w:id="178"/>
            </w:r>
          </w:p>
        </w:tc>
        <w:tc>
          <w:tcPr>
            <w:tcW w:w="858" w:type="pct"/>
            <w:tcBorders>
              <w:top w:val="single" w:sz="4" w:space="0" w:color="auto"/>
              <w:left w:val="single" w:sz="4" w:space="0" w:color="auto"/>
              <w:bottom w:val="single" w:sz="4" w:space="0" w:color="auto"/>
              <w:right w:val="single" w:sz="4" w:space="0" w:color="auto"/>
            </w:tcBorders>
            <w:vAlign w:val="center"/>
          </w:tcPr>
          <w:p w:rsidR="00123DC4" w:rsidRPr="00BD06DF" w:rsidRDefault="00123DC4" w:rsidP="00132057">
            <w:pPr>
              <w:keepNext/>
              <w:keepLines/>
              <w:autoSpaceDE w:val="0"/>
              <w:autoSpaceDN w:val="0"/>
              <w:adjustRightInd w:val="0"/>
              <w:spacing w:before="40" w:after="40"/>
              <w:jc w:val="center"/>
              <w:rPr>
                <w:noProof/>
                <w:sz w:val="16"/>
                <w:szCs w:val="16"/>
              </w:rPr>
            </w:pPr>
            <w:r w:rsidRPr="00BD06DF">
              <w:rPr>
                <w:noProof/>
                <w:sz w:val="16"/>
                <w:szCs w:val="16"/>
              </w:rPr>
              <w:t>3.5%</w:t>
            </w:r>
          </w:p>
        </w:tc>
        <w:tc>
          <w:tcPr>
            <w:tcW w:w="848" w:type="pct"/>
            <w:tcBorders>
              <w:top w:val="single" w:sz="4" w:space="0" w:color="auto"/>
              <w:left w:val="single" w:sz="4" w:space="0" w:color="auto"/>
              <w:bottom w:val="single" w:sz="4" w:space="0" w:color="auto"/>
              <w:right w:val="single" w:sz="4" w:space="0" w:color="auto"/>
            </w:tcBorders>
            <w:vAlign w:val="center"/>
          </w:tcPr>
          <w:p w:rsidR="00123DC4" w:rsidRPr="00BD06DF" w:rsidRDefault="00123DC4" w:rsidP="00132057">
            <w:pPr>
              <w:keepNext/>
              <w:keepLines/>
              <w:autoSpaceDE w:val="0"/>
              <w:autoSpaceDN w:val="0"/>
              <w:adjustRightInd w:val="0"/>
              <w:spacing w:before="40" w:after="40"/>
              <w:jc w:val="center"/>
              <w:rPr>
                <w:noProof/>
                <w:sz w:val="16"/>
                <w:szCs w:val="16"/>
              </w:rPr>
            </w:pPr>
            <w:r w:rsidRPr="00BD06DF">
              <w:rPr>
                <w:noProof/>
                <w:sz w:val="16"/>
                <w:szCs w:val="16"/>
              </w:rPr>
              <w:t>100%</w:t>
            </w:r>
          </w:p>
        </w:tc>
      </w:tr>
      <w:tr w:rsidR="00123DC4" w:rsidRPr="004E3CEE" w:rsidTr="00132057">
        <w:trPr>
          <w:trHeight w:val="389"/>
        </w:trPr>
        <w:tc>
          <w:tcPr>
            <w:tcW w:w="1578" w:type="pct"/>
            <w:tcBorders>
              <w:top w:val="single" w:sz="4" w:space="0" w:color="auto"/>
              <w:left w:val="single" w:sz="4" w:space="0" w:color="auto"/>
              <w:bottom w:val="single" w:sz="4" w:space="0" w:color="auto"/>
              <w:right w:val="single" w:sz="4" w:space="0" w:color="auto"/>
            </w:tcBorders>
            <w:vAlign w:val="center"/>
          </w:tcPr>
          <w:p w:rsidR="00123DC4" w:rsidRPr="004E3CEE" w:rsidRDefault="00123DC4" w:rsidP="00132057">
            <w:pPr>
              <w:keepNext/>
              <w:keepLines/>
              <w:autoSpaceDE w:val="0"/>
              <w:autoSpaceDN w:val="0"/>
              <w:adjustRightInd w:val="0"/>
              <w:spacing w:before="40" w:after="40"/>
              <w:rPr>
                <w:noProof/>
                <w:sz w:val="16"/>
                <w:szCs w:val="16"/>
              </w:rPr>
            </w:pPr>
            <w:r w:rsidRPr="004E3CEE">
              <w:rPr>
                <w:noProof/>
                <w:color w:val="000000"/>
                <w:sz w:val="16"/>
                <w:szCs w:val="16"/>
              </w:rPr>
              <w:t>Works and commissioning</w:t>
            </w:r>
          </w:p>
        </w:tc>
        <w:tc>
          <w:tcPr>
            <w:tcW w:w="858" w:type="pct"/>
            <w:tcBorders>
              <w:top w:val="single" w:sz="4" w:space="0" w:color="auto"/>
              <w:left w:val="single" w:sz="4" w:space="0" w:color="auto"/>
              <w:bottom w:val="single" w:sz="4" w:space="0" w:color="auto"/>
              <w:right w:val="single" w:sz="4" w:space="0" w:color="auto"/>
            </w:tcBorders>
            <w:vAlign w:val="center"/>
          </w:tcPr>
          <w:p w:rsidR="00123DC4" w:rsidRPr="004E3CEE" w:rsidRDefault="00123DC4" w:rsidP="00132057">
            <w:pPr>
              <w:keepNext/>
              <w:keepLines/>
              <w:autoSpaceDE w:val="0"/>
              <w:autoSpaceDN w:val="0"/>
              <w:adjustRightInd w:val="0"/>
              <w:spacing w:before="40" w:after="40"/>
              <w:jc w:val="center"/>
              <w:rPr>
                <w:noProof/>
                <w:sz w:val="16"/>
                <w:szCs w:val="16"/>
              </w:rPr>
            </w:pPr>
            <w:r w:rsidRPr="004E3CEE">
              <w:rPr>
                <w:noProof/>
                <w:sz w:val="16"/>
                <w:szCs w:val="16"/>
              </w:rPr>
              <w:t>816</w:t>
            </w:r>
            <w:r>
              <w:rPr>
                <w:noProof/>
                <w:sz w:val="16"/>
                <w:szCs w:val="16"/>
              </w:rPr>
              <w:t>,</w:t>
            </w:r>
            <w:r w:rsidRPr="004E3CEE">
              <w:rPr>
                <w:noProof/>
                <w:sz w:val="16"/>
                <w:szCs w:val="16"/>
              </w:rPr>
              <w:t>000</w:t>
            </w:r>
          </w:p>
        </w:tc>
        <w:tc>
          <w:tcPr>
            <w:tcW w:w="858" w:type="pct"/>
            <w:tcBorders>
              <w:top w:val="single" w:sz="4" w:space="0" w:color="auto"/>
              <w:left w:val="single" w:sz="4" w:space="0" w:color="auto"/>
              <w:bottom w:val="single" w:sz="4" w:space="0" w:color="auto"/>
              <w:right w:val="single" w:sz="4" w:space="0" w:color="auto"/>
            </w:tcBorders>
            <w:vAlign w:val="center"/>
          </w:tcPr>
          <w:p w:rsidR="00123DC4" w:rsidRPr="00BD06DF" w:rsidRDefault="00123DC4" w:rsidP="00132057">
            <w:pPr>
              <w:keepNext/>
              <w:keepLines/>
              <w:autoSpaceDE w:val="0"/>
              <w:autoSpaceDN w:val="0"/>
              <w:adjustRightInd w:val="0"/>
              <w:spacing w:before="40" w:after="40"/>
              <w:jc w:val="center"/>
              <w:rPr>
                <w:noProof/>
                <w:sz w:val="16"/>
                <w:szCs w:val="16"/>
              </w:rPr>
            </w:pPr>
            <w:r w:rsidRPr="00BD06DF">
              <w:rPr>
                <w:noProof/>
                <w:sz w:val="16"/>
                <w:szCs w:val="16"/>
              </w:rPr>
              <w:t>0</w:t>
            </w:r>
          </w:p>
        </w:tc>
        <w:tc>
          <w:tcPr>
            <w:tcW w:w="858" w:type="pct"/>
            <w:tcBorders>
              <w:top w:val="single" w:sz="4" w:space="0" w:color="auto"/>
              <w:left w:val="single" w:sz="4" w:space="0" w:color="auto"/>
              <w:bottom w:val="single" w:sz="4" w:space="0" w:color="auto"/>
              <w:right w:val="single" w:sz="4" w:space="0" w:color="auto"/>
            </w:tcBorders>
            <w:vAlign w:val="center"/>
          </w:tcPr>
          <w:p w:rsidR="00123DC4" w:rsidRPr="00BD06DF" w:rsidRDefault="00123DC4" w:rsidP="00132057">
            <w:pPr>
              <w:keepNext/>
              <w:keepLines/>
              <w:autoSpaceDE w:val="0"/>
              <w:autoSpaceDN w:val="0"/>
              <w:adjustRightInd w:val="0"/>
              <w:spacing w:before="40" w:after="40"/>
              <w:jc w:val="center"/>
              <w:rPr>
                <w:noProof/>
                <w:sz w:val="16"/>
                <w:szCs w:val="16"/>
              </w:rPr>
            </w:pPr>
            <w:r w:rsidRPr="00BD06DF">
              <w:rPr>
                <w:noProof/>
                <w:sz w:val="16"/>
                <w:szCs w:val="16"/>
              </w:rPr>
              <w:t>0</w:t>
            </w:r>
            <w:r>
              <w:rPr>
                <w:noProof/>
                <w:sz w:val="16"/>
                <w:szCs w:val="16"/>
              </w:rPr>
              <w:t>%</w:t>
            </w:r>
          </w:p>
        </w:tc>
        <w:tc>
          <w:tcPr>
            <w:tcW w:w="848" w:type="pct"/>
            <w:tcBorders>
              <w:top w:val="single" w:sz="4" w:space="0" w:color="auto"/>
              <w:left w:val="single" w:sz="4" w:space="0" w:color="auto"/>
              <w:bottom w:val="single" w:sz="4" w:space="0" w:color="auto"/>
              <w:right w:val="single" w:sz="4" w:space="0" w:color="auto"/>
            </w:tcBorders>
            <w:vAlign w:val="center"/>
          </w:tcPr>
          <w:p w:rsidR="00123DC4" w:rsidRPr="00BD06DF" w:rsidRDefault="00123DC4" w:rsidP="00132057">
            <w:pPr>
              <w:keepNext/>
              <w:keepLines/>
              <w:autoSpaceDE w:val="0"/>
              <w:autoSpaceDN w:val="0"/>
              <w:adjustRightInd w:val="0"/>
              <w:spacing w:before="40" w:after="40"/>
              <w:jc w:val="center"/>
              <w:rPr>
                <w:noProof/>
                <w:sz w:val="16"/>
                <w:szCs w:val="16"/>
              </w:rPr>
            </w:pPr>
            <w:r>
              <w:rPr>
                <w:noProof/>
                <w:sz w:val="16"/>
                <w:szCs w:val="16"/>
              </w:rPr>
              <w:t>-</w:t>
            </w:r>
          </w:p>
        </w:tc>
      </w:tr>
      <w:tr w:rsidR="00123DC4" w:rsidRPr="004E3CEE" w:rsidTr="00132057">
        <w:trPr>
          <w:trHeight w:val="389"/>
        </w:trPr>
        <w:tc>
          <w:tcPr>
            <w:tcW w:w="1578"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4E3CEE" w:rsidRDefault="00123DC4" w:rsidP="00132057">
            <w:pPr>
              <w:keepNext/>
              <w:keepLines/>
              <w:autoSpaceDE w:val="0"/>
              <w:autoSpaceDN w:val="0"/>
              <w:adjustRightInd w:val="0"/>
              <w:spacing w:before="40" w:after="40"/>
              <w:rPr>
                <w:b/>
                <w:noProof/>
                <w:sz w:val="16"/>
                <w:szCs w:val="16"/>
              </w:rPr>
            </w:pPr>
            <w:r w:rsidRPr="004E3CEE">
              <w:rPr>
                <w:b/>
                <w:noProof/>
                <w:sz w:val="16"/>
                <w:szCs w:val="16"/>
              </w:rPr>
              <w:t>Total</w:t>
            </w:r>
          </w:p>
        </w:tc>
        <w:tc>
          <w:tcPr>
            <w:tcW w:w="858"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bottom"/>
          </w:tcPr>
          <w:p w:rsidR="00123DC4" w:rsidRPr="004E3CEE" w:rsidRDefault="00123DC4" w:rsidP="00132057">
            <w:pPr>
              <w:keepNext/>
              <w:keepLines/>
              <w:autoSpaceDE w:val="0"/>
              <w:autoSpaceDN w:val="0"/>
              <w:adjustRightInd w:val="0"/>
              <w:spacing w:before="40" w:after="40"/>
              <w:jc w:val="center"/>
              <w:rPr>
                <w:b/>
                <w:noProof/>
                <w:sz w:val="16"/>
                <w:szCs w:val="16"/>
              </w:rPr>
            </w:pPr>
            <w:r w:rsidRPr="004E3CEE">
              <w:rPr>
                <w:b/>
                <w:noProof/>
                <w:sz w:val="16"/>
                <w:szCs w:val="16"/>
              </w:rPr>
              <w:t>960</w:t>
            </w:r>
            <w:r>
              <w:rPr>
                <w:b/>
                <w:noProof/>
                <w:sz w:val="16"/>
                <w:szCs w:val="16"/>
              </w:rPr>
              <w:t>,</w:t>
            </w:r>
            <w:r w:rsidRPr="004E3CEE">
              <w:rPr>
                <w:b/>
                <w:noProof/>
                <w:sz w:val="16"/>
                <w:szCs w:val="16"/>
              </w:rPr>
              <w:t>000</w:t>
            </w:r>
          </w:p>
        </w:tc>
        <w:tc>
          <w:tcPr>
            <w:tcW w:w="858"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bottom"/>
          </w:tcPr>
          <w:p w:rsidR="00123DC4" w:rsidRPr="00BD06DF" w:rsidRDefault="00123DC4" w:rsidP="00132057">
            <w:pPr>
              <w:keepNext/>
              <w:keepLines/>
              <w:autoSpaceDE w:val="0"/>
              <w:autoSpaceDN w:val="0"/>
              <w:adjustRightInd w:val="0"/>
              <w:spacing w:before="40" w:after="40"/>
              <w:jc w:val="center"/>
              <w:rPr>
                <w:b/>
                <w:noProof/>
                <w:sz w:val="16"/>
                <w:szCs w:val="16"/>
              </w:rPr>
            </w:pPr>
            <w:r w:rsidRPr="00BD06DF">
              <w:rPr>
                <w:b/>
                <w:noProof/>
                <w:sz w:val="16"/>
                <w:szCs w:val="16"/>
              </w:rPr>
              <w:t>5,000</w:t>
            </w:r>
          </w:p>
        </w:tc>
        <w:tc>
          <w:tcPr>
            <w:tcW w:w="858"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bottom"/>
          </w:tcPr>
          <w:p w:rsidR="00123DC4" w:rsidRPr="00BD06DF" w:rsidRDefault="00123DC4" w:rsidP="00132057">
            <w:pPr>
              <w:keepNext/>
              <w:keepLines/>
              <w:autoSpaceDE w:val="0"/>
              <w:autoSpaceDN w:val="0"/>
              <w:adjustRightInd w:val="0"/>
              <w:spacing w:before="40" w:after="40"/>
              <w:jc w:val="center"/>
              <w:rPr>
                <w:b/>
                <w:noProof/>
                <w:sz w:val="16"/>
                <w:szCs w:val="16"/>
              </w:rPr>
            </w:pPr>
            <w:r w:rsidRPr="00BD06DF">
              <w:rPr>
                <w:b/>
                <w:noProof/>
                <w:sz w:val="16"/>
                <w:szCs w:val="16"/>
              </w:rPr>
              <w:t>0.5%</w:t>
            </w:r>
          </w:p>
        </w:tc>
        <w:tc>
          <w:tcPr>
            <w:tcW w:w="848"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bottom"/>
          </w:tcPr>
          <w:p w:rsidR="00123DC4" w:rsidRPr="00BD06DF" w:rsidRDefault="00123DC4" w:rsidP="00132057">
            <w:pPr>
              <w:keepNext/>
              <w:keepLines/>
              <w:autoSpaceDE w:val="0"/>
              <w:autoSpaceDN w:val="0"/>
              <w:adjustRightInd w:val="0"/>
              <w:spacing w:before="40" w:after="40"/>
              <w:jc w:val="center"/>
              <w:rPr>
                <w:b/>
                <w:noProof/>
                <w:sz w:val="16"/>
                <w:szCs w:val="16"/>
              </w:rPr>
            </w:pPr>
          </w:p>
        </w:tc>
      </w:tr>
    </w:tbl>
    <w:p w:rsidR="00123DC4" w:rsidRDefault="00123DC4" w:rsidP="00132057">
      <w:pPr>
        <w:keepNext/>
        <w:keepLines/>
        <w:tabs>
          <w:tab w:val="left" w:pos="3261"/>
        </w:tabs>
        <w:autoSpaceDE w:val="0"/>
        <w:autoSpaceDN w:val="0"/>
        <w:adjustRightInd w:val="0"/>
        <w:rPr>
          <w:b/>
          <w:noProof/>
          <w:szCs w:val="22"/>
        </w:rPr>
      </w:pPr>
    </w:p>
    <w:p w:rsidR="00123DC4" w:rsidRPr="004E3CEE" w:rsidRDefault="00123DC4" w:rsidP="00132057">
      <w:pPr>
        <w:keepNext/>
        <w:keepLines/>
        <w:tabs>
          <w:tab w:val="left" w:pos="3261"/>
        </w:tabs>
        <w:autoSpaceDE w:val="0"/>
        <w:autoSpaceDN w:val="0"/>
        <w:adjustRightInd w:val="0"/>
        <w:jc w:val="center"/>
        <w:rPr>
          <w:b/>
          <w:noProof/>
          <w:szCs w:val="22"/>
        </w:rPr>
      </w:pPr>
    </w:p>
    <w:p w:rsidR="00123DC4" w:rsidRPr="004E3CEE" w:rsidRDefault="00123DC4" w:rsidP="00132057">
      <w:pPr>
        <w:keepNext/>
        <w:keepLines/>
        <w:tabs>
          <w:tab w:val="left" w:pos="3261"/>
        </w:tabs>
        <w:autoSpaceDE w:val="0"/>
        <w:autoSpaceDN w:val="0"/>
        <w:adjustRightInd w:val="0"/>
        <w:jc w:val="center"/>
        <w:rPr>
          <w:b/>
          <w:noProof/>
          <w:szCs w:val="22"/>
        </w:rPr>
      </w:pPr>
      <w:r w:rsidRPr="004E3CEE">
        <w:rPr>
          <w:b/>
          <w:noProof/>
          <w:szCs w:val="22"/>
        </w:rPr>
        <w:t>Project Budget Utilization (by Cost Category)</w:t>
      </w:r>
    </w:p>
    <w:p w:rsidR="00123DC4" w:rsidRPr="00821FE0" w:rsidRDefault="00123DC4" w:rsidP="00132057">
      <w:pPr>
        <w:keepNext/>
        <w:keepLines/>
        <w:tabs>
          <w:tab w:val="left" w:pos="3261"/>
        </w:tabs>
        <w:autoSpaceDE w:val="0"/>
        <w:autoSpaceDN w:val="0"/>
        <w:adjustRightInd w:val="0"/>
        <w:spacing w:after="120"/>
        <w:jc w:val="center"/>
        <w:rPr>
          <w:i/>
          <w:iCs/>
          <w:noProof/>
          <w:sz w:val="18"/>
          <w:szCs w:val="18"/>
        </w:rPr>
      </w:pPr>
      <w:r w:rsidRPr="004E3CEE">
        <w:rPr>
          <w:i/>
          <w:iCs/>
          <w:noProof/>
          <w:sz w:val="18"/>
          <w:szCs w:val="18"/>
        </w:rPr>
        <w:t>(</w:t>
      </w:r>
      <w:r>
        <w:rPr>
          <w:i/>
          <w:iCs/>
          <w:noProof/>
          <w:sz w:val="18"/>
          <w:szCs w:val="18"/>
        </w:rPr>
        <w:t>i</w:t>
      </w:r>
      <w:r w:rsidRPr="004E3CEE">
        <w:rPr>
          <w:i/>
          <w:iCs/>
          <w:noProof/>
          <w:sz w:val="18"/>
          <w:szCs w:val="18"/>
        </w:rPr>
        <w:t>n Swiss francs, as at December 31, 201</w:t>
      </w:r>
      <w:r>
        <w:rPr>
          <w:i/>
          <w:iCs/>
          <w:noProof/>
          <w:sz w:val="18"/>
          <w:szCs w:val="18"/>
        </w:rPr>
        <w:t>5</w:t>
      </w:r>
      <w:r w:rsidRPr="004E3CEE">
        <w:rPr>
          <w:i/>
          <w:iCs/>
          <w:noProof/>
          <w:sz w:val="18"/>
          <w:szCs w:val="18"/>
        </w:rPr>
        <w:t>)</w:t>
      </w:r>
    </w:p>
    <w:tbl>
      <w:tblPr>
        <w:tblW w:w="4740" w:type="pct"/>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93"/>
        <w:gridCol w:w="1840"/>
        <w:gridCol w:w="1840"/>
        <w:gridCol w:w="2000"/>
      </w:tblGrid>
      <w:tr w:rsidR="00123DC4" w:rsidRPr="004E3CEE" w:rsidTr="00D979B0">
        <w:trPr>
          <w:trHeight w:val="569"/>
        </w:trPr>
        <w:tc>
          <w:tcPr>
            <w:tcW w:w="1870"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4E3CEE" w:rsidRDefault="00123DC4" w:rsidP="00132057">
            <w:pPr>
              <w:keepNext/>
              <w:keepLines/>
              <w:autoSpaceDE w:val="0"/>
              <w:autoSpaceDN w:val="0"/>
              <w:adjustRightInd w:val="0"/>
              <w:spacing w:before="40" w:after="40"/>
              <w:ind w:left="-74" w:right="-60"/>
              <w:jc w:val="center"/>
              <w:rPr>
                <w:b/>
                <w:bCs/>
                <w:noProof/>
                <w:sz w:val="16"/>
                <w:szCs w:val="16"/>
              </w:rPr>
            </w:pPr>
            <w:r w:rsidRPr="004E3CEE">
              <w:rPr>
                <w:b/>
                <w:bCs/>
                <w:noProof/>
                <w:sz w:val="16"/>
                <w:szCs w:val="16"/>
              </w:rPr>
              <w:t>Cost Category</w:t>
            </w:r>
          </w:p>
        </w:tc>
        <w:tc>
          <w:tcPr>
            <w:tcW w:w="1014"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4E3CEE" w:rsidRDefault="00123DC4" w:rsidP="00132057">
            <w:pPr>
              <w:keepNext/>
              <w:keepLines/>
              <w:autoSpaceDE w:val="0"/>
              <w:autoSpaceDN w:val="0"/>
              <w:adjustRightInd w:val="0"/>
              <w:spacing w:before="40" w:after="40"/>
              <w:ind w:left="-107" w:right="-108"/>
              <w:jc w:val="center"/>
              <w:rPr>
                <w:b/>
                <w:bCs/>
                <w:noProof/>
                <w:sz w:val="16"/>
                <w:szCs w:val="16"/>
              </w:rPr>
            </w:pPr>
            <w:r w:rsidRPr="004E3CEE">
              <w:rPr>
                <w:b/>
                <w:bCs/>
                <w:noProof/>
                <w:sz w:val="16"/>
                <w:szCs w:val="16"/>
              </w:rPr>
              <w:t>Project Budget</w:t>
            </w:r>
          </w:p>
        </w:tc>
        <w:tc>
          <w:tcPr>
            <w:tcW w:w="1014"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4E3CEE" w:rsidRDefault="00123DC4" w:rsidP="00132057">
            <w:pPr>
              <w:keepNext/>
              <w:keepLines/>
              <w:autoSpaceDE w:val="0"/>
              <w:autoSpaceDN w:val="0"/>
              <w:adjustRightInd w:val="0"/>
              <w:spacing w:before="40" w:after="40"/>
              <w:ind w:left="-108"/>
              <w:jc w:val="center"/>
              <w:rPr>
                <w:b/>
                <w:bCs/>
                <w:noProof/>
                <w:sz w:val="16"/>
                <w:szCs w:val="16"/>
              </w:rPr>
            </w:pPr>
            <w:r w:rsidRPr="004E3CEE">
              <w:rPr>
                <w:b/>
                <w:bCs/>
                <w:noProof/>
                <w:sz w:val="16"/>
                <w:szCs w:val="16"/>
              </w:rPr>
              <w:t xml:space="preserve">Actual Expenditure to Date </w:t>
            </w:r>
          </w:p>
        </w:tc>
        <w:tc>
          <w:tcPr>
            <w:tcW w:w="1103"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4E3CEE" w:rsidRDefault="00123DC4" w:rsidP="00132057">
            <w:pPr>
              <w:keepNext/>
              <w:keepLines/>
              <w:autoSpaceDE w:val="0"/>
              <w:autoSpaceDN w:val="0"/>
              <w:adjustRightInd w:val="0"/>
              <w:spacing w:before="40" w:after="40"/>
              <w:ind w:left="-109"/>
              <w:jc w:val="center"/>
              <w:rPr>
                <w:b/>
                <w:bCs/>
                <w:noProof/>
                <w:sz w:val="16"/>
                <w:szCs w:val="16"/>
              </w:rPr>
            </w:pPr>
            <w:r w:rsidRPr="004E3CEE">
              <w:rPr>
                <w:b/>
                <w:bCs/>
                <w:noProof/>
                <w:sz w:val="16"/>
                <w:szCs w:val="16"/>
              </w:rPr>
              <w:t>Actual Budget Utilization</w:t>
            </w:r>
          </w:p>
        </w:tc>
      </w:tr>
      <w:tr w:rsidR="00123DC4" w:rsidRPr="004E3CEE" w:rsidTr="00D979B0">
        <w:tc>
          <w:tcPr>
            <w:tcW w:w="1870" w:type="pct"/>
            <w:tcBorders>
              <w:top w:val="single" w:sz="4" w:space="0" w:color="auto"/>
              <w:left w:val="single" w:sz="4" w:space="0" w:color="auto"/>
              <w:bottom w:val="single" w:sz="4" w:space="0" w:color="auto"/>
              <w:right w:val="single" w:sz="4" w:space="0" w:color="auto"/>
            </w:tcBorders>
            <w:vAlign w:val="center"/>
          </w:tcPr>
          <w:p w:rsidR="00123DC4" w:rsidRPr="004E3CEE" w:rsidRDefault="00123DC4" w:rsidP="00132057">
            <w:pPr>
              <w:autoSpaceDE w:val="0"/>
              <w:autoSpaceDN w:val="0"/>
              <w:adjustRightInd w:val="0"/>
              <w:spacing w:before="40" w:after="40"/>
              <w:rPr>
                <w:noProof/>
                <w:sz w:val="16"/>
                <w:szCs w:val="16"/>
              </w:rPr>
            </w:pPr>
            <w:r w:rsidRPr="004E3CEE">
              <w:rPr>
                <w:noProof/>
                <w:color w:val="000000"/>
                <w:sz w:val="16"/>
                <w:szCs w:val="16"/>
              </w:rPr>
              <w:t>Construction</w:t>
            </w:r>
            <w:r>
              <w:rPr>
                <w:noProof/>
                <w:color w:val="000000"/>
                <w:sz w:val="16"/>
                <w:szCs w:val="16"/>
              </w:rPr>
              <w:t>-related</w:t>
            </w:r>
            <w:r w:rsidRPr="004E3CEE">
              <w:rPr>
                <w:noProof/>
                <w:color w:val="000000"/>
                <w:sz w:val="16"/>
                <w:szCs w:val="16"/>
              </w:rPr>
              <w:t xml:space="preserve"> </w:t>
            </w:r>
            <w:r w:rsidRPr="004E3CEE">
              <w:rPr>
                <w:noProof/>
                <w:sz w:val="16"/>
                <w:szCs w:val="16"/>
              </w:rPr>
              <w:t>costs</w:t>
            </w:r>
          </w:p>
        </w:tc>
        <w:tc>
          <w:tcPr>
            <w:tcW w:w="1014" w:type="pct"/>
            <w:tcBorders>
              <w:top w:val="single" w:sz="4" w:space="0" w:color="auto"/>
              <w:left w:val="single" w:sz="4" w:space="0" w:color="auto"/>
              <w:bottom w:val="single" w:sz="4" w:space="0" w:color="auto"/>
              <w:right w:val="single" w:sz="4" w:space="0" w:color="auto"/>
            </w:tcBorders>
            <w:vAlign w:val="center"/>
          </w:tcPr>
          <w:p w:rsidR="00123DC4" w:rsidRPr="004E3CEE" w:rsidRDefault="00123DC4" w:rsidP="00132057">
            <w:pPr>
              <w:autoSpaceDE w:val="0"/>
              <w:autoSpaceDN w:val="0"/>
              <w:adjustRightInd w:val="0"/>
              <w:spacing w:before="40" w:after="40"/>
              <w:jc w:val="center"/>
              <w:rPr>
                <w:noProof/>
                <w:sz w:val="16"/>
                <w:szCs w:val="16"/>
              </w:rPr>
            </w:pPr>
            <w:r w:rsidRPr="004E3CEE">
              <w:rPr>
                <w:noProof/>
                <w:sz w:val="16"/>
                <w:szCs w:val="16"/>
              </w:rPr>
              <w:t>759</w:t>
            </w:r>
            <w:r>
              <w:rPr>
                <w:noProof/>
                <w:sz w:val="16"/>
                <w:szCs w:val="16"/>
              </w:rPr>
              <w:t>,</w:t>
            </w:r>
            <w:r w:rsidRPr="004E3CEE">
              <w:rPr>
                <w:noProof/>
                <w:sz w:val="16"/>
                <w:szCs w:val="16"/>
              </w:rPr>
              <w:t>000</w:t>
            </w:r>
          </w:p>
        </w:tc>
        <w:tc>
          <w:tcPr>
            <w:tcW w:w="1014" w:type="pct"/>
            <w:tcBorders>
              <w:top w:val="single" w:sz="4" w:space="0" w:color="auto"/>
              <w:left w:val="single" w:sz="4" w:space="0" w:color="auto"/>
              <w:bottom w:val="single" w:sz="4" w:space="0" w:color="auto"/>
              <w:right w:val="single" w:sz="4" w:space="0" w:color="auto"/>
            </w:tcBorders>
          </w:tcPr>
          <w:p w:rsidR="00123DC4" w:rsidRPr="004E3CEE" w:rsidRDefault="00123DC4" w:rsidP="00132057">
            <w:pPr>
              <w:autoSpaceDE w:val="0"/>
              <w:autoSpaceDN w:val="0"/>
              <w:adjustRightInd w:val="0"/>
              <w:spacing w:before="40" w:after="40"/>
              <w:jc w:val="center"/>
              <w:rPr>
                <w:noProof/>
                <w:sz w:val="16"/>
                <w:szCs w:val="16"/>
              </w:rPr>
            </w:pPr>
            <w:r>
              <w:rPr>
                <w:noProof/>
                <w:sz w:val="16"/>
                <w:szCs w:val="16"/>
              </w:rPr>
              <w:t>0</w:t>
            </w:r>
          </w:p>
        </w:tc>
        <w:tc>
          <w:tcPr>
            <w:tcW w:w="1103" w:type="pct"/>
            <w:tcBorders>
              <w:top w:val="single" w:sz="4" w:space="0" w:color="auto"/>
              <w:left w:val="single" w:sz="4" w:space="0" w:color="auto"/>
              <w:bottom w:val="single" w:sz="4" w:space="0" w:color="auto"/>
              <w:right w:val="single" w:sz="4" w:space="0" w:color="auto"/>
            </w:tcBorders>
          </w:tcPr>
          <w:p w:rsidR="00123DC4" w:rsidRPr="004E3CEE" w:rsidRDefault="00123DC4" w:rsidP="00132057">
            <w:pPr>
              <w:autoSpaceDE w:val="0"/>
              <w:autoSpaceDN w:val="0"/>
              <w:adjustRightInd w:val="0"/>
              <w:spacing w:before="40" w:after="40"/>
              <w:jc w:val="center"/>
              <w:rPr>
                <w:noProof/>
                <w:sz w:val="16"/>
                <w:szCs w:val="16"/>
              </w:rPr>
            </w:pPr>
            <w:r>
              <w:rPr>
                <w:noProof/>
                <w:sz w:val="16"/>
                <w:szCs w:val="16"/>
              </w:rPr>
              <w:t>0%</w:t>
            </w:r>
          </w:p>
        </w:tc>
      </w:tr>
      <w:tr w:rsidR="00123DC4" w:rsidRPr="004E3CEE" w:rsidTr="00D979B0">
        <w:tc>
          <w:tcPr>
            <w:tcW w:w="1870" w:type="pct"/>
            <w:tcBorders>
              <w:top w:val="single" w:sz="4" w:space="0" w:color="auto"/>
              <w:left w:val="single" w:sz="4" w:space="0" w:color="auto"/>
              <w:bottom w:val="single" w:sz="4" w:space="0" w:color="auto"/>
              <w:right w:val="single" w:sz="4" w:space="0" w:color="auto"/>
            </w:tcBorders>
            <w:vAlign w:val="center"/>
          </w:tcPr>
          <w:p w:rsidR="00123DC4" w:rsidRPr="004E3CEE" w:rsidRDefault="00123DC4" w:rsidP="00132057">
            <w:pPr>
              <w:autoSpaceDE w:val="0"/>
              <w:autoSpaceDN w:val="0"/>
              <w:adjustRightInd w:val="0"/>
              <w:spacing w:before="40" w:after="40"/>
              <w:rPr>
                <w:noProof/>
                <w:sz w:val="16"/>
                <w:szCs w:val="16"/>
              </w:rPr>
            </w:pPr>
            <w:r>
              <w:rPr>
                <w:noProof/>
                <w:sz w:val="16"/>
                <w:szCs w:val="16"/>
              </w:rPr>
              <w:t>Honoraria</w:t>
            </w:r>
          </w:p>
        </w:tc>
        <w:tc>
          <w:tcPr>
            <w:tcW w:w="1014" w:type="pct"/>
            <w:tcBorders>
              <w:top w:val="single" w:sz="4" w:space="0" w:color="auto"/>
              <w:left w:val="single" w:sz="4" w:space="0" w:color="auto"/>
              <w:bottom w:val="single" w:sz="4" w:space="0" w:color="auto"/>
              <w:right w:val="single" w:sz="4" w:space="0" w:color="auto"/>
            </w:tcBorders>
            <w:vAlign w:val="center"/>
          </w:tcPr>
          <w:p w:rsidR="00123DC4" w:rsidRPr="004E3CEE" w:rsidRDefault="00123DC4" w:rsidP="00132057">
            <w:pPr>
              <w:autoSpaceDE w:val="0"/>
              <w:autoSpaceDN w:val="0"/>
              <w:adjustRightInd w:val="0"/>
              <w:spacing w:before="40" w:after="40"/>
              <w:jc w:val="center"/>
              <w:rPr>
                <w:noProof/>
                <w:sz w:val="16"/>
                <w:szCs w:val="16"/>
              </w:rPr>
            </w:pPr>
            <w:r w:rsidRPr="004E3CEE">
              <w:rPr>
                <w:noProof/>
                <w:sz w:val="16"/>
                <w:szCs w:val="16"/>
              </w:rPr>
              <w:t>144</w:t>
            </w:r>
            <w:r>
              <w:rPr>
                <w:noProof/>
                <w:sz w:val="16"/>
                <w:szCs w:val="16"/>
              </w:rPr>
              <w:t>,</w:t>
            </w:r>
            <w:r w:rsidRPr="004E3CEE">
              <w:rPr>
                <w:noProof/>
                <w:sz w:val="16"/>
                <w:szCs w:val="16"/>
              </w:rPr>
              <w:t>000</w:t>
            </w:r>
          </w:p>
        </w:tc>
        <w:tc>
          <w:tcPr>
            <w:tcW w:w="1014" w:type="pct"/>
            <w:tcBorders>
              <w:top w:val="single" w:sz="4" w:space="0" w:color="auto"/>
              <w:left w:val="single" w:sz="4" w:space="0" w:color="auto"/>
              <w:bottom w:val="single" w:sz="4" w:space="0" w:color="auto"/>
              <w:right w:val="single" w:sz="4" w:space="0" w:color="auto"/>
            </w:tcBorders>
            <w:vAlign w:val="center"/>
          </w:tcPr>
          <w:p w:rsidR="00123DC4" w:rsidRPr="00BD06DF" w:rsidRDefault="00123DC4" w:rsidP="00132057">
            <w:pPr>
              <w:spacing w:before="40" w:after="40"/>
              <w:jc w:val="center"/>
              <w:rPr>
                <w:noProof/>
                <w:sz w:val="16"/>
                <w:szCs w:val="16"/>
              </w:rPr>
            </w:pPr>
            <w:r w:rsidRPr="00BD06DF">
              <w:rPr>
                <w:noProof/>
                <w:sz w:val="16"/>
                <w:szCs w:val="16"/>
              </w:rPr>
              <w:t>5,000</w:t>
            </w:r>
            <w:r>
              <w:rPr>
                <w:rStyle w:val="FootnoteReference"/>
                <w:noProof/>
                <w:sz w:val="16"/>
                <w:szCs w:val="16"/>
              </w:rPr>
              <w:footnoteReference w:id="179"/>
            </w:r>
          </w:p>
        </w:tc>
        <w:tc>
          <w:tcPr>
            <w:tcW w:w="1103" w:type="pct"/>
            <w:tcBorders>
              <w:top w:val="single" w:sz="4" w:space="0" w:color="auto"/>
              <w:left w:val="single" w:sz="4" w:space="0" w:color="auto"/>
              <w:bottom w:val="single" w:sz="4" w:space="0" w:color="auto"/>
              <w:right w:val="single" w:sz="4" w:space="0" w:color="auto"/>
            </w:tcBorders>
            <w:vAlign w:val="center"/>
          </w:tcPr>
          <w:p w:rsidR="00123DC4" w:rsidRPr="00BD06DF" w:rsidRDefault="00123DC4" w:rsidP="00132057">
            <w:pPr>
              <w:spacing w:before="40" w:after="40"/>
              <w:jc w:val="center"/>
              <w:rPr>
                <w:noProof/>
                <w:sz w:val="16"/>
                <w:szCs w:val="16"/>
              </w:rPr>
            </w:pPr>
            <w:r w:rsidRPr="00BD06DF">
              <w:rPr>
                <w:noProof/>
                <w:sz w:val="16"/>
                <w:szCs w:val="16"/>
              </w:rPr>
              <w:t>3.5%</w:t>
            </w:r>
          </w:p>
        </w:tc>
      </w:tr>
      <w:tr w:rsidR="00123DC4" w:rsidRPr="004E3CEE" w:rsidTr="00D979B0">
        <w:tc>
          <w:tcPr>
            <w:tcW w:w="1870" w:type="pct"/>
            <w:tcBorders>
              <w:top w:val="single" w:sz="4" w:space="0" w:color="auto"/>
              <w:left w:val="single" w:sz="4" w:space="0" w:color="auto"/>
              <w:bottom w:val="single" w:sz="4" w:space="0" w:color="auto"/>
              <w:right w:val="single" w:sz="4" w:space="0" w:color="auto"/>
            </w:tcBorders>
            <w:vAlign w:val="center"/>
          </w:tcPr>
          <w:p w:rsidR="00123DC4" w:rsidRPr="004E3CEE" w:rsidRDefault="00123DC4" w:rsidP="00132057">
            <w:pPr>
              <w:autoSpaceDE w:val="0"/>
              <w:autoSpaceDN w:val="0"/>
              <w:adjustRightInd w:val="0"/>
              <w:spacing w:before="40" w:after="40"/>
              <w:rPr>
                <w:noProof/>
                <w:sz w:val="16"/>
                <w:szCs w:val="16"/>
              </w:rPr>
            </w:pPr>
            <w:r w:rsidRPr="004E3CEE">
              <w:rPr>
                <w:noProof/>
                <w:sz w:val="16"/>
                <w:szCs w:val="16"/>
              </w:rPr>
              <w:t xml:space="preserve">Miscellaneous and </w:t>
            </w:r>
            <w:r>
              <w:rPr>
                <w:noProof/>
                <w:sz w:val="16"/>
                <w:szCs w:val="16"/>
              </w:rPr>
              <w:t xml:space="preserve"> unforeseen</w:t>
            </w:r>
          </w:p>
        </w:tc>
        <w:tc>
          <w:tcPr>
            <w:tcW w:w="1014" w:type="pct"/>
            <w:tcBorders>
              <w:top w:val="single" w:sz="4" w:space="0" w:color="auto"/>
              <w:left w:val="single" w:sz="4" w:space="0" w:color="auto"/>
              <w:bottom w:val="single" w:sz="4" w:space="0" w:color="auto"/>
              <w:right w:val="single" w:sz="4" w:space="0" w:color="auto"/>
            </w:tcBorders>
            <w:vAlign w:val="center"/>
          </w:tcPr>
          <w:p w:rsidR="00123DC4" w:rsidRPr="004E3CEE" w:rsidRDefault="00123DC4" w:rsidP="00132057">
            <w:pPr>
              <w:autoSpaceDE w:val="0"/>
              <w:autoSpaceDN w:val="0"/>
              <w:adjustRightInd w:val="0"/>
              <w:spacing w:before="40" w:after="40"/>
              <w:jc w:val="center"/>
              <w:rPr>
                <w:noProof/>
                <w:sz w:val="16"/>
                <w:szCs w:val="16"/>
              </w:rPr>
            </w:pPr>
            <w:r w:rsidRPr="004E3CEE">
              <w:rPr>
                <w:noProof/>
                <w:sz w:val="16"/>
                <w:szCs w:val="16"/>
              </w:rPr>
              <w:t>67</w:t>
            </w:r>
            <w:r>
              <w:rPr>
                <w:noProof/>
                <w:sz w:val="16"/>
                <w:szCs w:val="16"/>
              </w:rPr>
              <w:t>,</w:t>
            </w:r>
            <w:r w:rsidRPr="004E3CEE">
              <w:rPr>
                <w:noProof/>
                <w:sz w:val="16"/>
                <w:szCs w:val="16"/>
              </w:rPr>
              <w:t>000</w:t>
            </w:r>
          </w:p>
        </w:tc>
        <w:tc>
          <w:tcPr>
            <w:tcW w:w="1014" w:type="pct"/>
            <w:tcBorders>
              <w:top w:val="single" w:sz="4" w:space="0" w:color="auto"/>
              <w:left w:val="single" w:sz="4" w:space="0" w:color="auto"/>
              <w:bottom w:val="single" w:sz="4" w:space="0" w:color="auto"/>
              <w:right w:val="single" w:sz="4" w:space="0" w:color="auto"/>
            </w:tcBorders>
            <w:vAlign w:val="center"/>
          </w:tcPr>
          <w:p w:rsidR="00123DC4" w:rsidRPr="00BD06DF" w:rsidRDefault="00123DC4" w:rsidP="00132057">
            <w:pPr>
              <w:spacing w:before="40" w:after="40"/>
              <w:jc w:val="center"/>
              <w:rPr>
                <w:noProof/>
                <w:sz w:val="16"/>
                <w:szCs w:val="16"/>
              </w:rPr>
            </w:pPr>
            <w:r w:rsidRPr="00BD06DF">
              <w:rPr>
                <w:noProof/>
                <w:sz w:val="16"/>
                <w:szCs w:val="16"/>
              </w:rPr>
              <w:t>0</w:t>
            </w:r>
          </w:p>
        </w:tc>
        <w:tc>
          <w:tcPr>
            <w:tcW w:w="1103" w:type="pct"/>
            <w:tcBorders>
              <w:top w:val="single" w:sz="4" w:space="0" w:color="auto"/>
              <w:left w:val="single" w:sz="4" w:space="0" w:color="auto"/>
              <w:bottom w:val="single" w:sz="4" w:space="0" w:color="auto"/>
              <w:right w:val="single" w:sz="4" w:space="0" w:color="auto"/>
            </w:tcBorders>
            <w:vAlign w:val="center"/>
          </w:tcPr>
          <w:p w:rsidR="00123DC4" w:rsidRPr="00BD06DF" w:rsidRDefault="00123DC4" w:rsidP="00132057">
            <w:pPr>
              <w:spacing w:before="40" w:after="40"/>
              <w:jc w:val="center"/>
              <w:rPr>
                <w:noProof/>
                <w:sz w:val="16"/>
                <w:szCs w:val="16"/>
              </w:rPr>
            </w:pPr>
            <w:r w:rsidRPr="00BD06DF">
              <w:rPr>
                <w:noProof/>
                <w:sz w:val="16"/>
                <w:szCs w:val="16"/>
              </w:rPr>
              <w:t>0%</w:t>
            </w:r>
          </w:p>
        </w:tc>
      </w:tr>
      <w:tr w:rsidR="00123DC4" w:rsidRPr="004E3CEE" w:rsidTr="00D979B0">
        <w:tc>
          <w:tcPr>
            <w:tcW w:w="1870"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4E3CEE" w:rsidRDefault="00123DC4" w:rsidP="00132057">
            <w:pPr>
              <w:autoSpaceDE w:val="0"/>
              <w:autoSpaceDN w:val="0"/>
              <w:adjustRightInd w:val="0"/>
              <w:spacing w:before="40" w:after="40"/>
              <w:rPr>
                <w:b/>
                <w:noProof/>
                <w:sz w:val="16"/>
                <w:szCs w:val="16"/>
              </w:rPr>
            </w:pPr>
            <w:r w:rsidRPr="004E3CEE">
              <w:rPr>
                <w:b/>
                <w:noProof/>
                <w:sz w:val="16"/>
                <w:szCs w:val="16"/>
              </w:rPr>
              <w:t>Total</w:t>
            </w:r>
          </w:p>
        </w:tc>
        <w:tc>
          <w:tcPr>
            <w:tcW w:w="1014"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4E3CEE" w:rsidRDefault="00123DC4" w:rsidP="00132057">
            <w:pPr>
              <w:autoSpaceDE w:val="0"/>
              <w:autoSpaceDN w:val="0"/>
              <w:adjustRightInd w:val="0"/>
              <w:spacing w:before="40" w:after="40"/>
              <w:jc w:val="center"/>
              <w:rPr>
                <w:b/>
                <w:noProof/>
                <w:sz w:val="16"/>
                <w:szCs w:val="16"/>
              </w:rPr>
            </w:pPr>
            <w:r w:rsidRPr="004E3CEE">
              <w:rPr>
                <w:b/>
                <w:noProof/>
                <w:sz w:val="16"/>
                <w:szCs w:val="16"/>
              </w:rPr>
              <w:t>960</w:t>
            </w:r>
            <w:r>
              <w:rPr>
                <w:b/>
                <w:noProof/>
                <w:sz w:val="16"/>
                <w:szCs w:val="16"/>
              </w:rPr>
              <w:t>,</w:t>
            </w:r>
            <w:r w:rsidRPr="004E3CEE">
              <w:rPr>
                <w:b/>
                <w:noProof/>
                <w:sz w:val="16"/>
                <w:szCs w:val="16"/>
              </w:rPr>
              <w:t>000</w:t>
            </w:r>
          </w:p>
        </w:tc>
        <w:tc>
          <w:tcPr>
            <w:tcW w:w="1014" w:type="pct"/>
            <w:tcBorders>
              <w:top w:val="single" w:sz="4" w:space="0" w:color="auto"/>
              <w:left w:val="single" w:sz="4" w:space="0" w:color="auto"/>
              <w:bottom w:val="single" w:sz="4" w:space="0" w:color="auto"/>
              <w:right w:val="single" w:sz="4" w:space="0" w:color="auto"/>
            </w:tcBorders>
            <w:shd w:val="clear" w:color="auto" w:fill="C6D9F1" w:themeFill="text2" w:themeFillTint="33"/>
          </w:tcPr>
          <w:p w:rsidR="00123DC4" w:rsidRPr="00BD06DF" w:rsidRDefault="00123DC4" w:rsidP="00132057">
            <w:pPr>
              <w:autoSpaceDE w:val="0"/>
              <w:autoSpaceDN w:val="0"/>
              <w:adjustRightInd w:val="0"/>
              <w:spacing w:before="40" w:after="40"/>
              <w:jc w:val="center"/>
              <w:rPr>
                <w:b/>
                <w:noProof/>
                <w:sz w:val="16"/>
                <w:szCs w:val="16"/>
              </w:rPr>
            </w:pPr>
            <w:r w:rsidRPr="00BD06DF">
              <w:rPr>
                <w:b/>
                <w:noProof/>
                <w:sz w:val="16"/>
                <w:szCs w:val="16"/>
              </w:rPr>
              <w:t>5,000</w:t>
            </w:r>
          </w:p>
        </w:tc>
        <w:tc>
          <w:tcPr>
            <w:tcW w:w="1103" w:type="pct"/>
            <w:tcBorders>
              <w:top w:val="single" w:sz="4" w:space="0" w:color="auto"/>
              <w:left w:val="single" w:sz="4" w:space="0" w:color="auto"/>
              <w:bottom w:val="single" w:sz="4" w:space="0" w:color="auto"/>
              <w:right w:val="single" w:sz="4" w:space="0" w:color="auto"/>
            </w:tcBorders>
            <w:shd w:val="clear" w:color="auto" w:fill="C6D9F1" w:themeFill="text2" w:themeFillTint="33"/>
          </w:tcPr>
          <w:p w:rsidR="00123DC4" w:rsidRPr="00BD06DF" w:rsidRDefault="00123DC4" w:rsidP="00132057">
            <w:pPr>
              <w:autoSpaceDE w:val="0"/>
              <w:autoSpaceDN w:val="0"/>
              <w:adjustRightInd w:val="0"/>
              <w:spacing w:before="40" w:after="40"/>
              <w:jc w:val="center"/>
              <w:rPr>
                <w:b/>
                <w:noProof/>
                <w:sz w:val="16"/>
                <w:szCs w:val="16"/>
              </w:rPr>
            </w:pPr>
            <w:r w:rsidRPr="00BD06DF">
              <w:rPr>
                <w:b/>
                <w:noProof/>
                <w:sz w:val="16"/>
                <w:szCs w:val="16"/>
              </w:rPr>
              <w:t>0.5%</w:t>
            </w:r>
          </w:p>
        </w:tc>
      </w:tr>
    </w:tbl>
    <w:p w:rsidR="00123DC4" w:rsidRPr="00821FE0" w:rsidRDefault="00123DC4" w:rsidP="00132057">
      <w:pPr>
        <w:rPr>
          <w:rFonts w:cs="Arial"/>
          <w:noProof/>
          <w:color w:val="000000"/>
          <w:szCs w:val="22"/>
        </w:rPr>
      </w:pPr>
    </w:p>
    <w:p w:rsidR="00123DC4" w:rsidRPr="00821FE0" w:rsidRDefault="00123DC4" w:rsidP="00132057">
      <w:pPr>
        <w:rPr>
          <w:rFonts w:cs="Arial"/>
          <w:noProof/>
          <w:color w:val="000000"/>
          <w:szCs w:val="22"/>
        </w:rPr>
      </w:pPr>
    </w:p>
    <w:p w:rsidR="00123DC4" w:rsidRPr="00821FE0" w:rsidRDefault="00123DC4" w:rsidP="00132057">
      <w:pPr>
        <w:rPr>
          <w:rFonts w:cs="Arial"/>
          <w:noProof/>
          <w:color w:val="000000"/>
          <w:szCs w:val="22"/>
        </w:rPr>
      </w:pPr>
      <w:r w:rsidRPr="00821FE0">
        <w:rPr>
          <w:rFonts w:cs="Arial"/>
          <w:noProof/>
          <w:color w:val="000000"/>
          <w:szCs w:val="22"/>
        </w:rPr>
        <w:t>RISK AND MITIGATION STRATEGIES</w:t>
      </w:r>
    </w:p>
    <w:p w:rsidR="00123DC4" w:rsidRPr="00821FE0" w:rsidRDefault="00123DC4" w:rsidP="00132057">
      <w:pPr>
        <w:rPr>
          <w:rFonts w:cs="Arial"/>
          <w:noProof/>
          <w:color w:val="000000"/>
          <w:szCs w:val="22"/>
        </w:rPr>
      </w:pPr>
    </w:p>
    <w:tbl>
      <w:tblPr>
        <w:tblW w:w="481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92"/>
        <w:gridCol w:w="2991"/>
        <w:gridCol w:w="3330"/>
      </w:tblGrid>
      <w:tr w:rsidR="00123DC4" w:rsidRPr="004E3CEE" w:rsidTr="00D979B0">
        <w:trPr>
          <w:trHeight w:val="445"/>
          <w:tblHeader/>
          <w:jc w:val="center"/>
        </w:trPr>
        <w:tc>
          <w:tcPr>
            <w:tcW w:w="1570" w:type="pct"/>
            <w:shd w:val="clear" w:color="auto" w:fill="C6D9F1" w:themeFill="text2" w:themeFillTint="33"/>
            <w:vAlign w:val="center"/>
          </w:tcPr>
          <w:p w:rsidR="00123DC4" w:rsidRPr="004E3CEE" w:rsidRDefault="00123DC4" w:rsidP="00132057">
            <w:pPr>
              <w:autoSpaceDE w:val="0"/>
              <w:autoSpaceDN w:val="0"/>
              <w:adjustRightInd w:val="0"/>
              <w:spacing w:before="40" w:after="40" w:line="260" w:lineRule="exact"/>
              <w:ind w:left="-74" w:right="-60"/>
              <w:jc w:val="center"/>
              <w:rPr>
                <w:b/>
                <w:bCs/>
                <w:noProof/>
                <w:sz w:val="16"/>
                <w:szCs w:val="16"/>
              </w:rPr>
            </w:pPr>
            <w:r w:rsidRPr="004E3CEE">
              <w:rPr>
                <w:b/>
                <w:bCs/>
                <w:noProof/>
                <w:sz w:val="16"/>
                <w:szCs w:val="16"/>
              </w:rPr>
              <w:t xml:space="preserve">Risk </w:t>
            </w:r>
            <w:r>
              <w:rPr>
                <w:b/>
                <w:bCs/>
                <w:noProof/>
                <w:sz w:val="16"/>
                <w:szCs w:val="16"/>
              </w:rPr>
              <w:t xml:space="preserve">/ Risk </w:t>
            </w:r>
            <w:r w:rsidRPr="004E3CEE">
              <w:rPr>
                <w:b/>
                <w:bCs/>
                <w:noProof/>
                <w:color w:val="000000"/>
                <w:sz w:val="16"/>
                <w:szCs w:val="16"/>
              </w:rPr>
              <w:t>D</w:t>
            </w:r>
            <w:r w:rsidRPr="004E3CEE">
              <w:rPr>
                <w:b/>
                <w:bCs/>
                <w:noProof/>
                <w:sz w:val="16"/>
                <w:szCs w:val="16"/>
              </w:rPr>
              <w:t>escription</w:t>
            </w:r>
          </w:p>
        </w:tc>
        <w:tc>
          <w:tcPr>
            <w:tcW w:w="1623" w:type="pct"/>
            <w:shd w:val="clear" w:color="auto" w:fill="C6D9F1" w:themeFill="text2" w:themeFillTint="33"/>
            <w:vAlign w:val="center"/>
          </w:tcPr>
          <w:p w:rsidR="00123DC4" w:rsidRPr="004E3CEE" w:rsidRDefault="00123DC4" w:rsidP="00132057">
            <w:pPr>
              <w:autoSpaceDE w:val="0"/>
              <w:autoSpaceDN w:val="0"/>
              <w:adjustRightInd w:val="0"/>
              <w:spacing w:before="40" w:after="40" w:line="260" w:lineRule="exact"/>
              <w:ind w:left="-107" w:right="-108"/>
              <w:jc w:val="center"/>
              <w:rPr>
                <w:b/>
                <w:bCs/>
                <w:noProof/>
                <w:sz w:val="16"/>
                <w:szCs w:val="16"/>
              </w:rPr>
            </w:pPr>
            <w:r w:rsidRPr="004E3CEE">
              <w:rPr>
                <w:b/>
                <w:bCs/>
                <w:noProof/>
                <w:sz w:val="16"/>
                <w:szCs w:val="16"/>
              </w:rPr>
              <w:t>Risk Mitigation</w:t>
            </w:r>
            <w:r w:rsidRPr="004E3CEE" w:rsidDel="003965B5">
              <w:rPr>
                <w:b/>
                <w:bCs/>
                <w:noProof/>
                <w:color w:val="000000"/>
                <w:sz w:val="16"/>
                <w:szCs w:val="16"/>
              </w:rPr>
              <w:t xml:space="preserve"> </w:t>
            </w:r>
          </w:p>
        </w:tc>
        <w:tc>
          <w:tcPr>
            <w:tcW w:w="1807" w:type="pct"/>
            <w:shd w:val="clear" w:color="auto" w:fill="C6D9F1" w:themeFill="text2" w:themeFillTint="33"/>
            <w:vAlign w:val="center"/>
          </w:tcPr>
          <w:p w:rsidR="00123DC4" w:rsidRPr="004E3CEE" w:rsidRDefault="00123DC4" w:rsidP="00132057">
            <w:pPr>
              <w:autoSpaceDE w:val="0"/>
              <w:autoSpaceDN w:val="0"/>
              <w:adjustRightInd w:val="0"/>
              <w:spacing w:before="40" w:after="40" w:line="260" w:lineRule="exact"/>
              <w:ind w:left="-109"/>
              <w:jc w:val="center"/>
              <w:rPr>
                <w:b/>
                <w:bCs/>
                <w:noProof/>
                <w:sz w:val="16"/>
                <w:szCs w:val="16"/>
              </w:rPr>
            </w:pPr>
            <w:r>
              <w:rPr>
                <w:b/>
                <w:bCs/>
                <w:noProof/>
                <w:sz w:val="16"/>
                <w:szCs w:val="16"/>
              </w:rPr>
              <w:t>Comment</w:t>
            </w:r>
          </w:p>
        </w:tc>
      </w:tr>
      <w:tr w:rsidR="00123DC4" w:rsidRPr="004E3CEE" w:rsidTr="00D979B0">
        <w:trPr>
          <w:trHeight w:val="411"/>
          <w:jc w:val="center"/>
        </w:trPr>
        <w:tc>
          <w:tcPr>
            <w:tcW w:w="1570" w:type="pct"/>
            <w:shd w:val="clear" w:color="auto" w:fill="auto"/>
          </w:tcPr>
          <w:p w:rsidR="00123DC4" w:rsidRDefault="00123DC4" w:rsidP="00132057">
            <w:pPr>
              <w:autoSpaceDE w:val="0"/>
              <w:autoSpaceDN w:val="0"/>
              <w:adjustRightInd w:val="0"/>
              <w:spacing w:before="40" w:after="40"/>
              <w:rPr>
                <w:noProof/>
                <w:sz w:val="16"/>
                <w:szCs w:val="16"/>
              </w:rPr>
            </w:pPr>
            <w:r w:rsidRPr="00481DEE">
              <w:rPr>
                <w:noProof/>
                <w:sz w:val="16"/>
                <w:szCs w:val="16"/>
              </w:rPr>
              <w:t>Delay in starting the project</w:t>
            </w:r>
            <w:r>
              <w:rPr>
                <w:noProof/>
                <w:sz w:val="16"/>
                <w:szCs w:val="16"/>
              </w:rPr>
              <w:t xml:space="preserve"> by six months to one year as a result of the delay in completion of the new WIPO Conference Hall.</w:t>
            </w:r>
          </w:p>
          <w:p w:rsidR="00123DC4" w:rsidRPr="00481DEE" w:rsidRDefault="00123DC4" w:rsidP="00132057">
            <w:pPr>
              <w:autoSpaceDE w:val="0"/>
              <w:autoSpaceDN w:val="0"/>
              <w:adjustRightInd w:val="0"/>
              <w:spacing w:before="40" w:after="40"/>
              <w:rPr>
                <w:noProof/>
                <w:sz w:val="16"/>
                <w:szCs w:val="16"/>
              </w:rPr>
            </w:pPr>
          </w:p>
        </w:tc>
        <w:tc>
          <w:tcPr>
            <w:tcW w:w="1623" w:type="pct"/>
            <w:shd w:val="clear" w:color="auto" w:fill="auto"/>
          </w:tcPr>
          <w:p w:rsidR="00123DC4" w:rsidRPr="00481DEE" w:rsidRDefault="00123DC4" w:rsidP="00132057">
            <w:pPr>
              <w:autoSpaceDE w:val="0"/>
              <w:autoSpaceDN w:val="0"/>
              <w:adjustRightInd w:val="0"/>
              <w:spacing w:before="40" w:after="40"/>
              <w:rPr>
                <w:noProof/>
                <w:sz w:val="16"/>
                <w:szCs w:val="16"/>
              </w:rPr>
            </w:pPr>
            <w:r>
              <w:rPr>
                <w:noProof/>
                <w:sz w:val="16"/>
                <w:szCs w:val="16"/>
              </w:rPr>
              <w:t>Adjust timeline to accommodate delay.</w:t>
            </w:r>
          </w:p>
        </w:tc>
        <w:tc>
          <w:tcPr>
            <w:tcW w:w="1807" w:type="pct"/>
            <w:shd w:val="clear" w:color="auto" w:fill="auto"/>
          </w:tcPr>
          <w:p w:rsidR="00123DC4" w:rsidRPr="00481DEE" w:rsidRDefault="00123DC4" w:rsidP="00132057">
            <w:pPr>
              <w:autoSpaceDE w:val="0"/>
              <w:autoSpaceDN w:val="0"/>
              <w:adjustRightInd w:val="0"/>
              <w:spacing w:before="40" w:after="40"/>
              <w:rPr>
                <w:noProof/>
                <w:sz w:val="16"/>
                <w:szCs w:val="16"/>
              </w:rPr>
            </w:pPr>
            <w:r>
              <w:rPr>
                <w:sz w:val="16"/>
                <w:szCs w:val="16"/>
              </w:rPr>
              <w:t>This risk event did occur in 2014.  The project’s general schedule was delayed by six</w:t>
            </w:r>
            <w:r w:rsidRPr="007905DE">
              <w:rPr>
                <w:sz w:val="16"/>
                <w:szCs w:val="16"/>
              </w:rPr>
              <w:t xml:space="preserve"> months relative to the original plan. </w:t>
            </w:r>
            <w:r w:rsidR="00D979B0">
              <w:rPr>
                <w:sz w:val="16"/>
                <w:szCs w:val="16"/>
              </w:rPr>
              <w:t xml:space="preserve"> </w:t>
            </w:r>
            <w:r w:rsidRPr="007905DE">
              <w:rPr>
                <w:sz w:val="16"/>
                <w:szCs w:val="16"/>
              </w:rPr>
              <w:t xml:space="preserve">The timeline for the project was </w:t>
            </w:r>
            <w:r>
              <w:rPr>
                <w:sz w:val="16"/>
                <w:szCs w:val="16"/>
              </w:rPr>
              <w:t>adjusted, as per the planned risk mitigation measure</w:t>
            </w:r>
            <w:r w:rsidRPr="007905DE">
              <w:rPr>
                <w:sz w:val="16"/>
                <w:szCs w:val="16"/>
              </w:rPr>
              <w:t>.</w:t>
            </w:r>
            <w:r>
              <w:rPr>
                <w:sz w:val="16"/>
                <w:szCs w:val="16"/>
              </w:rPr>
              <w:t xml:space="preserve">  There was no material impact to the project deliverables.</w:t>
            </w:r>
          </w:p>
        </w:tc>
      </w:tr>
      <w:tr w:rsidR="00123DC4" w:rsidRPr="004E3CEE" w:rsidTr="00D979B0">
        <w:trPr>
          <w:trHeight w:val="776"/>
          <w:jc w:val="center"/>
        </w:trPr>
        <w:tc>
          <w:tcPr>
            <w:tcW w:w="1570" w:type="pct"/>
            <w:shd w:val="clear" w:color="auto" w:fill="auto"/>
          </w:tcPr>
          <w:p w:rsidR="00123DC4" w:rsidRPr="00481DEE" w:rsidRDefault="00123DC4" w:rsidP="00132057">
            <w:pPr>
              <w:autoSpaceDE w:val="0"/>
              <w:autoSpaceDN w:val="0"/>
              <w:adjustRightInd w:val="0"/>
              <w:spacing w:before="40" w:after="40"/>
              <w:rPr>
                <w:noProof/>
                <w:sz w:val="16"/>
                <w:szCs w:val="16"/>
              </w:rPr>
            </w:pPr>
            <w:r w:rsidRPr="00481DEE">
              <w:rPr>
                <w:noProof/>
                <w:sz w:val="16"/>
                <w:szCs w:val="16"/>
              </w:rPr>
              <w:t xml:space="preserve">Delay in starting the works </w:t>
            </w:r>
            <w:r>
              <w:rPr>
                <w:noProof/>
                <w:sz w:val="16"/>
                <w:szCs w:val="16"/>
              </w:rPr>
              <w:t>due to u</w:t>
            </w:r>
            <w:r w:rsidRPr="00481DEE">
              <w:rPr>
                <w:noProof/>
                <w:sz w:val="16"/>
                <w:szCs w:val="16"/>
              </w:rPr>
              <w:t>ncertainty in internal decisions regarding the options for installing machines and staff in the planned printshop for a better use of the space by the units concerned</w:t>
            </w:r>
            <w:r>
              <w:rPr>
                <w:noProof/>
                <w:sz w:val="16"/>
                <w:szCs w:val="16"/>
              </w:rPr>
              <w:t>.</w:t>
            </w:r>
          </w:p>
        </w:tc>
        <w:tc>
          <w:tcPr>
            <w:tcW w:w="1623" w:type="pct"/>
            <w:shd w:val="clear" w:color="auto" w:fill="auto"/>
          </w:tcPr>
          <w:p w:rsidR="00123DC4" w:rsidRPr="00481DEE" w:rsidRDefault="00123DC4" w:rsidP="00132057">
            <w:pPr>
              <w:autoSpaceDE w:val="0"/>
              <w:autoSpaceDN w:val="0"/>
              <w:adjustRightInd w:val="0"/>
              <w:spacing w:before="40" w:after="40"/>
              <w:rPr>
                <w:noProof/>
                <w:sz w:val="16"/>
                <w:szCs w:val="16"/>
              </w:rPr>
            </w:pPr>
            <w:r>
              <w:rPr>
                <w:noProof/>
                <w:sz w:val="16"/>
                <w:szCs w:val="16"/>
              </w:rPr>
              <w:t>Review necessary surface area to better assess needs.</w:t>
            </w:r>
          </w:p>
        </w:tc>
        <w:tc>
          <w:tcPr>
            <w:tcW w:w="1807" w:type="pct"/>
            <w:shd w:val="clear" w:color="auto" w:fill="auto"/>
          </w:tcPr>
          <w:p w:rsidR="00123DC4" w:rsidRPr="00481DEE" w:rsidRDefault="00123DC4" w:rsidP="00132057">
            <w:pPr>
              <w:autoSpaceDE w:val="0"/>
              <w:autoSpaceDN w:val="0"/>
              <w:adjustRightInd w:val="0"/>
              <w:spacing w:before="40" w:after="40"/>
              <w:rPr>
                <w:noProof/>
                <w:sz w:val="16"/>
                <w:szCs w:val="16"/>
              </w:rPr>
            </w:pPr>
            <w:r>
              <w:rPr>
                <w:sz w:val="16"/>
                <w:szCs w:val="16"/>
              </w:rPr>
              <w:t xml:space="preserve">This risk event did occur in 2015, </w:t>
            </w:r>
            <w:r w:rsidRPr="00966938">
              <w:rPr>
                <w:sz w:val="16"/>
                <w:szCs w:val="16"/>
              </w:rPr>
              <w:t>resulting in further delays to project implementation</w:t>
            </w:r>
            <w:r>
              <w:rPr>
                <w:sz w:val="16"/>
                <w:szCs w:val="16"/>
              </w:rPr>
              <w:t xml:space="preserve">.  At the end of the year, a review of the necessary surface area was in the process of being completed, as per the risk mitigation measure.  The project timeline has been further amended. </w:t>
            </w:r>
            <w:r w:rsidRPr="007905DE">
              <w:rPr>
                <w:sz w:val="16"/>
                <w:szCs w:val="16"/>
              </w:rPr>
              <w:t xml:space="preserve">  </w:t>
            </w:r>
            <w:r>
              <w:rPr>
                <w:sz w:val="16"/>
                <w:szCs w:val="16"/>
              </w:rPr>
              <w:t xml:space="preserve"> </w:t>
            </w:r>
          </w:p>
        </w:tc>
      </w:tr>
      <w:tr w:rsidR="00123DC4" w:rsidRPr="004E3CEE" w:rsidTr="00D979B0">
        <w:trPr>
          <w:trHeight w:val="776"/>
          <w:jc w:val="center"/>
        </w:trPr>
        <w:tc>
          <w:tcPr>
            <w:tcW w:w="1570" w:type="pct"/>
            <w:shd w:val="clear" w:color="auto" w:fill="auto"/>
          </w:tcPr>
          <w:p w:rsidR="00123DC4" w:rsidRPr="00481DEE" w:rsidRDefault="00123DC4" w:rsidP="00132057">
            <w:pPr>
              <w:autoSpaceDE w:val="0"/>
              <w:autoSpaceDN w:val="0"/>
              <w:adjustRightInd w:val="0"/>
              <w:spacing w:before="40" w:after="40"/>
              <w:rPr>
                <w:noProof/>
                <w:sz w:val="16"/>
                <w:szCs w:val="16"/>
              </w:rPr>
            </w:pPr>
            <w:r w:rsidRPr="00481DEE">
              <w:rPr>
                <w:noProof/>
                <w:sz w:val="16"/>
                <w:szCs w:val="16"/>
              </w:rPr>
              <w:t xml:space="preserve">Delay in finishing the works </w:t>
            </w:r>
            <w:r>
              <w:rPr>
                <w:noProof/>
                <w:sz w:val="16"/>
                <w:szCs w:val="16"/>
              </w:rPr>
              <w:t>due to t</w:t>
            </w:r>
            <w:r w:rsidRPr="00481DEE">
              <w:rPr>
                <w:noProof/>
                <w:sz w:val="16"/>
                <w:szCs w:val="16"/>
              </w:rPr>
              <w:t>echnical problem discovered during or caused by the dismantling of existing installations</w:t>
            </w:r>
            <w:r>
              <w:rPr>
                <w:noProof/>
                <w:sz w:val="16"/>
                <w:szCs w:val="16"/>
              </w:rPr>
              <w:t>.</w:t>
            </w:r>
          </w:p>
        </w:tc>
        <w:tc>
          <w:tcPr>
            <w:tcW w:w="1623" w:type="pct"/>
            <w:shd w:val="clear" w:color="auto" w:fill="auto"/>
          </w:tcPr>
          <w:p w:rsidR="00123DC4" w:rsidRPr="00481DEE" w:rsidRDefault="00123DC4" w:rsidP="00132057">
            <w:pPr>
              <w:autoSpaceDE w:val="0"/>
              <w:autoSpaceDN w:val="0"/>
              <w:adjustRightInd w:val="0"/>
              <w:spacing w:before="40" w:after="40"/>
              <w:rPr>
                <w:noProof/>
                <w:sz w:val="16"/>
                <w:szCs w:val="16"/>
              </w:rPr>
            </w:pPr>
            <w:r w:rsidRPr="00481DEE">
              <w:rPr>
                <w:noProof/>
                <w:sz w:val="16"/>
                <w:szCs w:val="16"/>
              </w:rPr>
              <w:t>Carry out any repairs and update the works timetable as necessary</w:t>
            </w:r>
            <w:r>
              <w:rPr>
                <w:noProof/>
                <w:sz w:val="16"/>
                <w:szCs w:val="16"/>
              </w:rPr>
              <w:t>.</w:t>
            </w:r>
          </w:p>
        </w:tc>
        <w:tc>
          <w:tcPr>
            <w:tcW w:w="1807" w:type="pct"/>
            <w:shd w:val="clear" w:color="auto" w:fill="auto"/>
          </w:tcPr>
          <w:p w:rsidR="00123DC4" w:rsidRPr="00481DEE" w:rsidRDefault="00123DC4" w:rsidP="00132057">
            <w:pPr>
              <w:autoSpaceDE w:val="0"/>
              <w:autoSpaceDN w:val="0"/>
              <w:adjustRightInd w:val="0"/>
              <w:spacing w:before="40" w:after="40"/>
              <w:rPr>
                <w:noProof/>
                <w:sz w:val="16"/>
                <w:szCs w:val="16"/>
              </w:rPr>
            </w:pPr>
          </w:p>
        </w:tc>
      </w:tr>
      <w:tr w:rsidR="00123DC4" w:rsidRPr="004E3CEE" w:rsidTr="00D979B0">
        <w:trPr>
          <w:trHeight w:val="776"/>
          <w:jc w:val="center"/>
        </w:trPr>
        <w:tc>
          <w:tcPr>
            <w:tcW w:w="1570" w:type="pct"/>
            <w:shd w:val="clear" w:color="auto" w:fill="auto"/>
          </w:tcPr>
          <w:p w:rsidR="00123DC4" w:rsidRPr="00481DEE" w:rsidRDefault="00123DC4" w:rsidP="00132057">
            <w:pPr>
              <w:autoSpaceDE w:val="0"/>
              <w:autoSpaceDN w:val="0"/>
              <w:adjustRightInd w:val="0"/>
              <w:spacing w:before="40" w:after="40"/>
              <w:rPr>
                <w:noProof/>
                <w:sz w:val="16"/>
                <w:szCs w:val="16"/>
              </w:rPr>
            </w:pPr>
            <w:r w:rsidRPr="00481DEE">
              <w:rPr>
                <w:noProof/>
                <w:sz w:val="16"/>
                <w:szCs w:val="16"/>
              </w:rPr>
              <w:t xml:space="preserve">Financial risk </w:t>
            </w:r>
            <w:r>
              <w:rPr>
                <w:noProof/>
                <w:sz w:val="16"/>
                <w:szCs w:val="16"/>
              </w:rPr>
              <w:t xml:space="preserve">as a result of the costs incurred for the </w:t>
            </w:r>
            <w:r w:rsidRPr="00481DEE">
              <w:rPr>
                <w:noProof/>
                <w:sz w:val="16"/>
                <w:szCs w:val="16"/>
              </w:rPr>
              <w:t>partial temporary relocation of printshop and documents staff</w:t>
            </w:r>
            <w:r>
              <w:rPr>
                <w:noProof/>
                <w:sz w:val="16"/>
                <w:szCs w:val="16"/>
              </w:rPr>
              <w:t>.</w:t>
            </w:r>
          </w:p>
        </w:tc>
        <w:tc>
          <w:tcPr>
            <w:tcW w:w="1623" w:type="pct"/>
            <w:shd w:val="clear" w:color="auto" w:fill="auto"/>
          </w:tcPr>
          <w:p w:rsidR="00123DC4" w:rsidRPr="00481DEE" w:rsidRDefault="00123DC4" w:rsidP="00132057">
            <w:pPr>
              <w:autoSpaceDE w:val="0"/>
              <w:autoSpaceDN w:val="0"/>
              <w:adjustRightInd w:val="0"/>
              <w:spacing w:before="40" w:after="40"/>
              <w:rPr>
                <w:noProof/>
                <w:sz w:val="16"/>
                <w:szCs w:val="16"/>
              </w:rPr>
            </w:pPr>
            <w:r>
              <w:rPr>
                <w:noProof/>
                <w:sz w:val="16"/>
                <w:szCs w:val="16"/>
              </w:rPr>
              <w:t>Use the “miscellaneous and unforeseen” provision in the approved budget.</w:t>
            </w:r>
          </w:p>
        </w:tc>
        <w:tc>
          <w:tcPr>
            <w:tcW w:w="1807" w:type="pct"/>
            <w:shd w:val="clear" w:color="auto" w:fill="auto"/>
          </w:tcPr>
          <w:p w:rsidR="00123DC4" w:rsidRPr="00481DEE" w:rsidRDefault="00123DC4" w:rsidP="00132057">
            <w:pPr>
              <w:autoSpaceDE w:val="0"/>
              <w:autoSpaceDN w:val="0"/>
              <w:adjustRightInd w:val="0"/>
              <w:spacing w:before="40" w:after="40"/>
              <w:rPr>
                <w:noProof/>
                <w:sz w:val="16"/>
                <w:szCs w:val="16"/>
              </w:rPr>
            </w:pPr>
          </w:p>
        </w:tc>
      </w:tr>
    </w:tbl>
    <w:p w:rsidR="00123DC4" w:rsidRPr="00821FE0" w:rsidRDefault="00123DC4" w:rsidP="00132057">
      <w:pPr>
        <w:rPr>
          <w:rFonts w:cs="Arial"/>
          <w:noProof/>
          <w:color w:val="000000"/>
          <w:szCs w:val="22"/>
        </w:rPr>
      </w:pPr>
    </w:p>
    <w:p w:rsidR="00123DC4" w:rsidRPr="00821FE0" w:rsidRDefault="00123DC4" w:rsidP="00132057">
      <w:pPr>
        <w:rPr>
          <w:rFonts w:cs="Arial"/>
          <w:noProof/>
          <w:color w:val="000000"/>
          <w:szCs w:val="22"/>
        </w:rPr>
      </w:pPr>
    </w:p>
    <w:p w:rsidR="00123DC4" w:rsidRPr="00821FE0" w:rsidRDefault="00123DC4" w:rsidP="00132057">
      <w:pPr>
        <w:rPr>
          <w:rFonts w:cs="Arial"/>
          <w:noProof/>
          <w:color w:val="000000"/>
          <w:szCs w:val="22"/>
        </w:rPr>
      </w:pPr>
      <w:r w:rsidRPr="00821FE0">
        <w:rPr>
          <w:rFonts w:cs="Arial"/>
          <w:noProof/>
          <w:color w:val="000000"/>
          <w:szCs w:val="22"/>
        </w:rPr>
        <w:t>PROJECT TIMELINE BY MILESTONE</w:t>
      </w:r>
    </w:p>
    <w:p w:rsidR="00123DC4" w:rsidRPr="00821FE0" w:rsidRDefault="00123DC4" w:rsidP="00132057">
      <w:pPr>
        <w:autoSpaceDE w:val="0"/>
        <w:autoSpaceDN w:val="0"/>
        <w:jc w:val="both"/>
        <w:rPr>
          <w:noProof/>
          <w:sz w:val="18"/>
        </w:rPr>
      </w:pPr>
    </w:p>
    <w:p w:rsidR="00123DC4" w:rsidRPr="00821FE0" w:rsidRDefault="00123DC4" w:rsidP="00132057">
      <w:pPr>
        <w:autoSpaceDE w:val="0"/>
        <w:autoSpaceDN w:val="0"/>
        <w:jc w:val="both"/>
        <w:rPr>
          <w:noProof/>
          <w:sz w:val="18"/>
        </w:rPr>
      </w:pPr>
    </w:p>
    <w:tbl>
      <w:tblPr>
        <w:tblW w:w="9520" w:type="dxa"/>
        <w:jc w:val="center"/>
        <w:tblLook w:val="04A0" w:firstRow="1" w:lastRow="0" w:firstColumn="1" w:lastColumn="0" w:noHBand="0" w:noVBand="1"/>
      </w:tblPr>
      <w:tblGrid>
        <w:gridCol w:w="1840"/>
        <w:gridCol w:w="480"/>
        <w:gridCol w:w="480"/>
        <w:gridCol w:w="480"/>
        <w:gridCol w:w="480"/>
        <w:gridCol w:w="480"/>
        <w:gridCol w:w="480"/>
        <w:gridCol w:w="480"/>
        <w:gridCol w:w="480"/>
        <w:gridCol w:w="480"/>
        <w:gridCol w:w="480"/>
        <w:gridCol w:w="480"/>
        <w:gridCol w:w="480"/>
        <w:gridCol w:w="480"/>
        <w:gridCol w:w="480"/>
        <w:gridCol w:w="480"/>
        <w:gridCol w:w="480"/>
      </w:tblGrid>
      <w:tr w:rsidR="00123DC4" w:rsidRPr="004E3CEE" w:rsidTr="00132057">
        <w:trPr>
          <w:trHeight w:val="270"/>
          <w:jc w:val="center"/>
        </w:trPr>
        <w:tc>
          <w:tcPr>
            <w:tcW w:w="1840" w:type="dxa"/>
            <w:tcBorders>
              <w:top w:val="nil"/>
              <w:left w:val="nil"/>
              <w:bottom w:val="nil"/>
              <w:right w:val="nil"/>
            </w:tcBorders>
            <w:shd w:val="clear" w:color="auto" w:fill="auto"/>
            <w:noWrap/>
            <w:vAlign w:val="bottom"/>
            <w:hideMark/>
          </w:tcPr>
          <w:p w:rsidR="00123DC4" w:rsidRPr="003962D0" w:rsidRDefault="00123DC4" w:rsidP="00132057">
            <w:pPr>
              <w:rPr>
                <w:rFonts w:cs="Arial"/>
                <w:noProof/>
                <w:color w:val="000000"/>
                <w:sz w:val="16"/>
                <w:szCs w:val="16"/>
              </w:rPr>
            </w:pPr>
          </w:p>
        </w:tc>
        <w:tc>
          <w:tcPr>
            <w:tcW w:w="1920" w:type="dxa"/>
            <w:gridSpan w:val="4"/>
            <w:tcBorders>
              <w:top w:val="single" w:sz="8" w:space="0" w:color="auto"/>
              <w:left w:val="single" w:sz="8" w:space="0" w:color="auto"/>
              <w:bottom w:val="single" w:sz="4" w:space="0" w:color="auto"/>
              <w:right w:val="single" w:sz="8" w:space="0" w:color="000000"/>
            </w:tcBorders>
            <w:shd w:val="clear" w:color="auto" w:fill="C6D9F1" w:themeFill="text2" w:themeFillTint="33"/>
            <w:noWrap/>
            <w:vAlign w:val="bottom"/>
            <w:hideMark/>
          </w:tcPr>
          <w:p w:rsidR="00123DC4" w:rsidRPr="003962D0" w:rsidRDefault="00123DC4" w:rsidP="00132057">
            <w:pPr>
              <w:jc w:val="center"/>
              <w:rPr>
                <w:rFonts w:cs="Arial"/>
                <w:b/>
                <w:bCs/>
                <w:noProof/>
                <w:color w:val="000000"/>
                <w:sz w:val="16"/>
                <w:szCs w:val="16"/>
              </w:rPr>
            </w:pPr>
            <w:r w:rsidRPr="003962D0">
              <w:rPr>
                <w:rFonts w:cs="Arial"/>
                <w:b/>
                <w:bCs/>
                <w:noProof/>
                <w:color w:val="000000"/>
                <w:sz w:val="16"/>
                <w:szCs w:val="16"/>
              </w:rPr>
              <w:t>2014</w:t>
            </w:r>
          </w:p>
        </w:tc>
        <w:tc>
          <w:tcPr>
            <w:tcW w:w="1920" w:type="dxa"/>
            <w:gridSpan w:val="4"/>
            <w:tcBorders>
              <w:top w:val="single" w:sz="8" w:space="0" w:color="auto"/>
              <w:left w:val="nil"/>
              <w:bottom w:val="single" w:sz="4" w:space="0" w:color="auto"/>
              <w:right w:val="single" w:sz="8" w:space="0" w:color="000000"/>
            </w:tcBorders>
            <w:shd w:val="clear" w:color="auto" w:fill="C6D9F1" w:themeFill="text2" w:themeFillTint="33"/>
            <w:noWrap/>
            <w:vAlign w:val="bottom"/>
            <w:hideMark/>
          </w:tcPr>
          <w:p w:rsidR="00123DC4" w:rsidRPr="003962D0" w:rsidRDefault="00123DC4" w:rsidP="00132057">
            <w:pPr>
              <w:jc w:val="center"/>
              <w:rPr>
                <w:rFonts w:cs="Arial"/>
                <w:b/>
                <w:bCs/>
                <w:noProof/>
                <w:color w:val="000000"/>
                <w:sz w:val="16"/>
                <w:szCs w:val="16"/>
              </w:rPr>
            </w:pPr>
            <w:r w:rsidRPr="003962D0">
              <w:rPr>
                <w:rFonts w:cs="Arial"/>
                <w:b/>
                <w:bCs/>
                <w:noProof/>
                <w:color w:val="000000"/>
                <w:sz w:val="16"/>
                <w:szCs w:val="16"/>
              </w:rPr>
              <w:t>2015</w:t>
            </w:r>
          </w:p>
        </w:tc>
        <w:tc>
          <w:tcPr>
            <w:tcW w:w="1920" w:type="dxa"/>
            <w:gridSpan w:val="4"/>
            <w:tcBorders>
              <w:top w:val="single" w:sz="8" w:space="0" w:color="auto"/>
              <w:left w:val="nil"/>
              <w:bottom w:val="single" w:sz="4" w:space="0" w:color="auto"/>
              <w:right w:val="single" w:sz="8" w:space="0" w:color="000000"/>
            </w:tcBorders>
            <w:shd w:val="clear" w:color="auto" w:fill="C6D9F1" w:themeFill="text2" w:themeFillTint="33"/>
            <w:noWrap/>
            <w:vAlign w:val="bottom"/>
            <w:hideMark/>
          </w:tcPr>
          <w:p w:rsidR="00123DC4" w:rsidRPr="003962D0" w:rsidRDefault="00123DC4" w:rsidP="00132057">
            <w:pPr>
              <w:jc w:val="center"/>
              <w:rPr>
                <w:rFonts w:cs="Arial"/>
                <w:b/>
                <w:bCs/>
                <w:noProof/>
                <w:color w:val="000000"/>
                <w:sz w:val="16"/>
                <w:szCs w:val="16"/>
              </w:rPr>
            </w:pPr>
            <w:r w:rsidRPr="003962D0">
              <w:rPr>
                <w:rFonts w:cs="Arial"/>
                <w:b/>
                <w:bCs/>
                <w:noProof/>
                <w:color w:val="000000"/>
                <w:sz w:val="16"/>
                <w:szCs w:val="16"/>
              </w:rPr>
              <w:t>2016</w:t>
            </w:r>
          </w:p>
        </w:tc>
        <w:tc>
          <w:tcPr>
            <w:tcW w:w="1920" w:type="dxa"/>
            <w:gridSpan w:val="4"/>
            <w:tcBorders>
              <w:top w:val="single" w:sz="8" w:space="0" w:color="auto"/>
              <w:left w:val="nil"/>
              <w:bottom w:val="single" w:sz="4" w:space="0" w:color="auto"/>
              <w:right w:val="single" w:sz="8" w:space="0" w:color="000000"/>
            </w:tcBorders>
            <w:shd w:val="clear" w:color="auto" w:fill="C6D9F1" w:themeFill="text2" w:themeFillTint="33"/>
            <w:noWrap/>
            <w:vAlign w:val="bottom"/>
            <w:hideMark/>
          </w:tcPr>
          <w:p w:rsidR="00123DC4" w:rsidRPr="003962D0" w:rsidRDefault="00123DC4" w:rsidP="00132057">
            <w:pPr>
              <w:jc w:val="center"/>
              <w:rPr>
                <w:rFonts w:cs="Arial"/>
                <w:b/>
                <w:bCs/>
                <w:noProof/>
                <w:color w:val="000000"/>
                <w:sz w:val="16"/>
                <w:szCs w:val="16"/>
              </w:rPr>
            </w:pPr>
            <w:r w:rsidRPr="003962D0">
              <w:rPr>
                <w:rFonts w:cs="Arial"/>
                <w:b/>
                <w:bCs/>
                <w:noProof/>
                <w:color w:val="000000"/>
                <w:sz w:val="16"/>
                <w:szCs w:val="16"/>
              </w:rPr>
              <w:t>2017</w:t>
            </w:r>
          </w:p>
        </w:tc>
      </w:tr>
      <w:tr w:rsidR="00123DC4" w:rsidRPr="004E3CEE" w:rsidTr="00132057">
        <w:trPr>
          <w:trHeight w:val="375"/>
          <w:jc w:val="center"/>
        </w:trPr>
        <w:tc>
          <w:tcPr>
            <w:tcW w:w="1840" w:type="dxa"/>
            <w:tcBorders>
              <w:top w:val="single" w:sz="8" w:space="0" w:color="auto"/>
              <w:left w:val="single" w:sz="8" w:space="0" w:color="auto"/>
              <w:bottom w:val="single" w:sz="4" w:space="0" w:color="auto"/>
              <w:right w:val="single" w:sz="8" w:space="0" w:color="auto"/>
            </w:tcBorders>
            <w:shd w:val="clear" w:color="auto" w:fill="C6D9F1" w:themeFill="text2" w:themeFillTint="33"/>
            <w:noWrap/>
            <w:vAlign w:val="bottom"/>
            <w:hideMark/>
          </w:tcPr>
          <w:p w:rsidR="00123DC4" w:rsidRPr="003962D0" w:rsidRDefault="00123DC4" w:rsidP="00132057">
            <w:pPr>
              <w:spacing w:before="40" w:after="40"/>
              <w:rPr>
                <w:rFonts w:cs="Arial"/>
                <w:b/>
                <w:bCs/>
                <w:noProof/>
                <w:color w:val="000000"/>
                <w:sz w:val="16"/>
                <w:szCs w:val="16"/>
              </w:rPr>
            </w:pPr>
            <w:r w:rsidRPr="003962D0">
              <w:rPr>
                <w:rFonts w:cs="Arial"/>
                <w:b/>
                <w:bCs/>
                <w:noProof/>
                <w:color w:val="000000"/>
                <w:sz w:val="16"/>
                <w:szCs w:val="16"/>
              </w:rPr>
              <w:t>Key Milestone</w:t>
            </w:r>
          </w:p>
        </w:tc>
        <w:tc>
          <w:tcPr>
            <w:tcW w:w="480" w:type="dxa"/>
            <w:tcBorders>
              <w:top w:val="nil"/>
              <w:left w:val="nil"/>
              <w:bottom w:val="single" w:sz="4" w:space="0" w:color="auto"/>
              <w:right w:val="single" w:sz="4" w:space="0" w:color="auto"/>
            </w:tcBorders>
            <w:shd w:val="clear" w:color="auto" w:fill="C6D9F1" w:themeFill="text2" w:themeFillTint="33"/>
            <w:noWrap/>
            <w:vAlign w:val="bottom"/>
            <w:hideMark/>
          </w:tcPr>
          <w:p w:rsidR="00123DC4" w:rsidRPr="003962D0" w:rsidRDefault="00123DC4" w:rsidP="00132057">
            <w:pPr>
              <w:spacing w:before="40" w:after="40"/>
              <w:rPr>
                <w:rFonts w:cs="Arial"/>
                <w:b/>
                <w:bCs/>
                <w:noProof/>
                <w:color w:val="000000"/>
                <w:sz w:val="16"/>
                <w:szCs w:val="16"/>
              </w:rPr>
            </w:pPr>
            <w:r w:rsidRPr="003962D0">
              <w:rPr>
                <w:rFonts w:cs="Arial"/>
                <w:b/>
                <w:bCs/>
                <w:noProof/>
                <w:sz w:val="16"/>
                <w:szCs w:val="16"/>
              </w:rPr>
              <w:t>Q1</w:t>
            </w:r>
          </w:p>
        </w:tc>
        <w:tc>
          <w:tcPr>
            <w:tcW w:w="480" w:type="dxa"/>
            <w:tcBorders>
              <w:top w:val="nil"/>
              <w:left w:val="nil"/>
              <w:bottom w:val="single" w:sz="4" w:space="0" w:color="auto"/>
              <w:right w:val="single" w:sz="4" w:space="0" w:color="auto"/>
            </w:tcBorders>
            <w:shd w:val="clear" w:color="auto" w:fill="C6D9F1" w:themeFill="text2" w:themeFillTint="33"/>
            <w:noWrap/>
            <w:vAlign w:val="bottom"/>
            <w:hideMark/>
          </w:tcPr>
          <w:p w:rsidR="00123DC4" w:rsidRPr="003962D0" w:rsidRDefault="00123DC4" w:rsidP="00132057">
            <w:pPr>
              <w:spacing w:before="40" w:after="40"/>
              <w:rPr>
                <w:rFonts w:cs="Arial"/>
                <w:b/>
                <w:bCs/>
                <w:noProof/>
                <w:color w:val="000000"/>
                <w:sz w:val="16"/>
                <w:szCs w:val="16"/>
              </w:rPr>
            </w:pPr>
            <w:r w:rsidRPr="003962D0">
              <w:rPr>
                <w:rFonts w:cs="Arial"/>
                <w:b/>
                <w:bCs/>
                <w:noProof/>
                <w:sz w:val="16"/>
                <w:szCs w:val="16"/>
              </w:rPr>
              <w:t>Q2</w:t>
            </w:r>
          </w:p>
        </w:tc>
        <w:tc>
          <w:tcPr>
            <w:tcW w:w="480" w:type="dxa"/>
            <w:tcBorders>
              <w:top w:val="nil"/>
              <w:left w:val="nil"/>
              <w:bottom w:val="single" w:sz="4" w:space="0" w:color="auto"/>
              <w:right w:val="single" w:sz="4" w:space="0" w:color="auto"/>
            </w:tcBorders>
            <w:shd w:val="clear" w:color="auto" w:fill="C6D9F1" w:themeFill="text2" w:themeFillTint="33"/>
            <w:noWrap/>
            <w:vAlign w:val="bottom"/>
            <w:hideMark/>
          </w:tcPr>
          <w:p w:rsidR="00123DC4" w:rsidRPr="003962D0" w:rsidRDefault="00123DC4" w:rsidP="00132057">
            <w:pPr>
              <w:spacing w:before="40" w:after="40"/>
              <w:rPr>
                <w:rFonts w:cs="Arial"/>
                <w:b/>
                <w:bCs/>
                <w:noProof/>
                <w:color w:val="000000"/>
                <w:sz w:val="16"/>
                <w:szCs w:val="16"/>
              </w:rPr>
            </w:pPr>
            <w:r w:rsidRPr="003962D0">
              <w:rPr>
                <w:rFonts w:cs="Arial"/>
                <w:b/>
                <w:bCs/>
                <w:noProof/>
                <w:sz w:val="16"/>
                <w:szCs w:val="16"/>
              </w:rPr>
              <w:t>Q3</w:t>
            </w:r>
          </w:p>
        </w:tc>
        <w:tc>
          <w:tcPr>
            <w:tcW w:w="480" w:type="dxa"/>
            <w:tcBorders>
              <w:top w:val="nil"/>
              <w:left w:val="nil"/>
              <w:bottom w:val="single" w:sz="4" w:space="0" w:color="auto"/>
              <w:right w:val="single" w:sz="8" w:space="0" w:color="auto"/>
            </w:tcBorders>
            <w:shd w:val="clear" w:color="auto" w:fill="C6D9F1" w:themeFill="text2" w:themeFillTint="33"/>
            <w:noWrap/>
            <w:vAlign w:val="bottom"/>
            <w:hideMark/>
          </w:tcPr>
          <w:p w:rsidR="00123DC4" w:rsidRPr="003962D0" w:rsidRDefault="00123DC4" w:rsidP="00132057">
            <w:pPr>
              <w:spacing w:before="40" w:after="40"/>
              <w:rPr>
                <w:rFonts w:cs="Arial"/>
                <w:b/>
                <w:bCs/>
                <w:noProof/>
                <w:color w:val="000000"/>
                <w:sz w:val="16"/>
                <w:szCs w:val="16"/>
              </w:rPr>
            </w:pPr>
            <w:r w:rsidRPr="003962D0">
              <w:rPr>
                <w:rFonts w:cs="Arial"/>
                <w:b/>
                <w:bCs/>
                <w:noProof/>
                <w:sz w:val="16"/>
                <w:szCs w:val="16"/>
              </w:rPr>
              <w:t>Q4</w:t>
            </w:r>
          </w:p>
        </w:tc>
        <w:tc>
          <w:tcPr>
            <w:tcW w:w="480" w:type="dxa"/>
            <w:tcBorders>
              <w:top w:val="nil"/>
              <w:left w:val="nil"/>
              <w:bottom w:val="single" w:sz="4" w:space="0" w:color="auto"/>
              <w:right w:val="single" w:sz="4" w:space="0" w:color="auto"/>
            </w:tcBorders>
            <w:shd w:val="clear" w:color="auto" w:fill="C6D9F1" w:themeFill="text2" w:themeFillTint="33"/>
            <w:noWrap/>
            <w:vAlign w:val="bottom"/>
            <w:hideMark/>
          </w:tcPr>
          <w:p w:rsidR="00123DC4" w:rsidRPr="003962D0" w:rsidRDefault="00123DC4" w:rsidP="00132057">
            <w:pPr>
              <w:spacing w:before="40" w:after="40"/>
              <w:rPr>
                <w:rFonts w:cs="Arial"/>
                <w:b/>
                <w:bCs/>
                <w:noProof/>
                <w:color w:val="000000"/>
                <w:sz w:val="16"/>
                <w:szCs w:val="16"/>
              </w:rPr>
            </w:pPr>
            <w:r w:rsidRPr="003962D0">
              <w:rPr>
                <w:rFonts w:cs="Arial"/>
                <w:b/>
                <w:bCs/>
                <w:noProof/>
                <w:color w:val="000000"/>
                <w:sz w:val="16"/>
                <w:szCs w:val="16"/>
              </w:rPr>
              <w:t>Q1</w:t>
            </w:r>
          </w:p>
        </w:tc>
        <w:tc>
          <w:tcPr>
            <w:tcW w:w="480" w:type="dxa"/>
            <w:tcBorders>
              <w:top w:val="nil"/>
              <w:left w:val="nil"/>
              <w:bottom w:val="single" w:sz="4" w:space="0" w:color="auto"/>
              <w:right w:val="single" w:sz="4" w:space="0" w:color="auto"/>
            </w:tcBorders>
            <w:shd w:val="clear" w:color="auto" w:fill="C6D9F1" w:themeFill="text2" w:themeFillTint="33"/>
            <w:noWrap/>
            <w:vAlign w:val="bottom"/>
            <w:hideMark/>
          </w:tcPr>
          <w:p w:rsidR="00123DC4" w:rsidRPr="003962D0" w:rsidRDefault="00123DC4" w:rsidP="00132057">
            <w:pPr>
              <w:spacing w:before="40" w:after="40"/>
              <w:rPr>
                <w:rFonts w:cs="Arial"/>
                <w:b/>
                <w:bCs/>
                <w:noProof/>
                <w:color w:val="000000"/>
                <w:sz w:val="16"/>
                <w:szCs w:val="16"/>
              </w:rPr>
            </w:pPr>
            <w:r w:rsidRPr="003962D0">
              <w:rPr>
                <w:rFonts w:cs="Arial"/>
                <w:b/>
                <w:bCs/>
                <w:noProof/>
                <w:color w:val="000000"/>
                <w:sz w:val="16"/>
                <w:szCs w:val="16"/>
              </w:rPr>
              <w:t>Q2</w:t>
            </w:r>
          </w:p>
        </w:tc>
        <w:tc>
          <w:tcPr>
            <w:tcW w:w="480" w:type="dxa"/>
            <w:tcBorders>
              <w:top w:val="nil"/>
              <w:left w:val="nil"/>
              <w:bottom w:val="single" w:sz="4" w:space="0" w:color="auto"/>
              <w:right w:val="single" w:sz="4" w:space="0" w:color="auto"/>
            </w:tcBorders>
            <w:shd w:val="clear" w:color="auto" w:fill="C6D9F1" w:themeFill="text2" w:themeFillTint="33"/>
            <w:noWrap/>
            <w:vAlign w:val="bottom"/>
            <w:hideMark/>
          </w:tcPr>
          <w:p w:rsidR="00123DC4" w:rsidRPr="003962D0" w:rsidRDefault="00123DC4" w:rsidP="00132057">
            <w:pPr>
              <w:spacing w:before="40" w:after="40"/>
              <w:rPr>
                <w:rFonts w:cs="Arial"/>
                <w:b/>
                <w:bCs/>
                <w:noProof/>
                <w:color w:val="000000"/>
                <w:sz w:val="16"/>
                <w:szCs w:val="16"/>
              </w:rPr>
            </w:pPr>
            <w:r w:rsidRPr="003962D0">
              <w:rPr>
                <w:rFonts w:cs="Arial"/>
                <w:b/>
                <w:bCs/>
                <w:noProof/>
                <w:color w:val="000000"/>
                <w:sz w:val="16"/>
                <w:szCs w:val="16"/>
              </w:rPr>
              <w:t>Q3</w:t>
            </w:r>
          </w:p>
        </w:tc>
        <w:tc>
          <w:tcPr>
            <w:tcW w:w="480" w:type="dxa"/>
            <w:tcBorders>
              <w:top w:val="nil"/>
              <w:left w:val="nil"/>
              <w:bottom w:val="single" w:sz="4" w:space="0" w:color="auto"/>
              <w:right w:val="single" w:sz="8" w:space="0" w:color="auto"/>
            </w:tcBorders>
            <w:shd w:val="clear" w:color="auto" w:fill="C6D9F1" w:themeFill="text2" w:themeFillTint="33"/>
            <w:noWrap/>
            <w:vAlign w:val="bottom"/>
            <w:hideMark/>
          </w:tcPr>
          <w:p w:rsidR="00123DC4" w:rsidRPr="003962D0" w:rsidRDefault="00123DC4" w:rsidP="00132057">
            <w:pPr>
              <w:spacing w:before="40" w:after="40"/>
              <w:rPr>
                <w:rFonts w:cs="Arial"/>
                <w:b/>
                <w:bCs/>
                <w:noProof/>
                <w:color w:val="000000"/>
                <w:sz w:val="16"/>
                <w:szCs w:val="16"/>
              </w:rPr>
            </w:pPr>
            <w:r w:rsidRPr="003962D0">
              <w:rPr>
                <w:rFonts w:cs="Arial"/>
                <w:b/>
                <w:bCs/>
                <w:noProof/>
                <w:color w:val="000000"/>
                <w:sz w:val="16"/>
                <w:szCs w:val="16"/>
              </w:rPr>
              <w:t>Q4</w:t>
            </w:r>
          </w:p>
        </w:tc>
        <w:tc>
          <w:tcPr>
            <w:tcW w:w="480" w:type="dxa"/>
            <w:tcBorders>
              <w:top w:val="nil"/>
              <w:left w:val="nil"/>
              <w:bottom w:val="single" w:sz="4" w:space="0" w:color="auto"/>
              <w:right w:val="single" w:sz="4" w:space="0" w:color="auto"/>
            </w:tcBorders>
            <w:shd w:val="clear" w:color="auto" w:fill="C6D9F1" w:themeFill="text2" w:themeFillTint="33"/>
            <w:noWrap/>
            <w:vAlign w:val="bottom"/>
            <w:hideMark/>
          </w:tcPr>
          <w:p w:rsidR="00123DC4" w:rsidRPr="003962D0" w:rsidRDefault="00123DC4" w:rsidP="00132057">
            <w:pPr>
              <w:spacing w:before="40" w:after="40"/>
              <w:rPr>
                <w:rFonts w:cs="Arial"/>
                <w:b/>
                <w:bCs/>
                <w:noProof/>
                <w:color w:val="000000"/>
                <w:sz w:val="16"/>
                <w:szCs w:val="16"/>
              </w:rPr>
            </w:pPr>
            <w:r w:rsidRPr="003962D0">
              <w:rPr>
                <w:rFonts w:cs="Arial"/>
                <w:b/>
                <w:bCs/>
                <w:noProof/>
                <w:color w:val="000000"/>
                <w:sz w:val="16"/>
                <w:szCs w:val="16"/>
              </w:rPr>
              <w:t>Q1</w:t>
            </w:r>
          </w:p>
        </w:tc>
        <w:tc>
          <w:tcPr>
            <w:tcW w:w="480" w:type="dxa"/>
            <w:tcBorders>
              <w:top w:val="nil"/>
              <w:left w:val="nil"/>
              <w:bottom w:val="single" w:sz="4" w:space="0" w:color="auto"/>
              <w:right w:val="single" w:sz="4" w:space="0" w:color="auto"/>
            </w:tcBorders>
            <w:shd w:val="clear" w:color="auto" w:fill="C6D9F1" w:themeFill="text2" w:themeFillTint="33"/>
            <w:noWrap/>
            <w:vAlign w:val="bottom"/>
            <w:hideMark/>
          </w:tcPr>
          <w:p w:rsidR="00123DC4" w:rsidRPr="003962D0" w:rsidRDefault="00123DC4" w:rsidP="00132057">
            <w:pPr>
              <w:spacing w:before="40" w:after="40"/>
              <w:rPr>
                <w:rFonts w:cs="Arial"/>
                <w:b/>
                <w:bCs/>
                <w:noProof/>
                <w:color w:val="000000"/>
                <w:sz w:val="16"/>
                <w:szCs w:val="16"/>
              </w:rPr>
            </w:pPr>
            <w:r w:rsidRPr="003962D0">
              <w:rPr>
                <w:rFonts w:cs="Arial"/>
                <w:b/>
                <w:bCs/>
                <w:noProof/>
                <w:color w:val="000000"/>
                <w:sz w:val="16"/>
                <w:szCs w:val="16"/>
              </w:rPr>
              <w:t>Q2</w:t>
            </w:r>
          </w:p>
        </w:tc>
        <w:tc>
          <w:tcPr>
            <w:tcW w:w="480" w:type="dxa"/>
            <w:tcBorders>
              <w:top w:val="nil"/>
              <w:left w:val="nil"/>
              <w:bottom w:val="single" w:sz="4" w:space="0" w:color="auto"/>
              <w:right w:val="single" w:sz="4" w:space="0" w:color="auto"/>
            </w:tcBorders>
            <w:shd w:val="clear" w:color="auto" w:fill="C6D9F1" w:themeFill="text2" w:themeFillTint="33"/>
            <w:noWrap/>
            <w:vAlign w:val="bottom"/>
            <w:hideMark/>
          </w:tcPr>
          <w:p w:rsidR="00123DC4" w:rsidRPr="003962D0" w:rsidRDefault="00123DC4" w:rsidP="00132057">
            <w:pPr>
              <w:spacing w:before="40" w:after="40"/>
              <w:rPr>
                <w:rFonts w:cs="Arial"/>
                <w:b/>
                <w:bCs/>
                <w:noProof/>
                <w:color w:val="000000"/>
                <w:sz w:val="16"/>
                <w:szCs w:val="16"/>
              </w:rPr>
            </w:pPr>
            <w:r w:rsidRPr="003962D0">
              <w:rPr>
                <w:rFonts w:cs="Arial"/>
                <w:b/>
                <w:bCs/>
                <w:noProof/>
                <w:color w:val="000000"/>
                <w:sz w:val="16"/>
                <w:szCs w:val="16"/>
              </w:rPr>
              <w:t>Q3</w:t>
            </w:r>
          </w:p>
        </w:tc>
        <w:tc>
          <w:tcPr>
            <w:tcW w:w="480" w:type="dxa"/>
            <w:tcBorders>
              <w:top w:val="nil"/>
              <w:left w:val="nil"/>
              <w:bottom w:val="single" w:sz="4" w:space="0" w:color="auto"/>
              <w:right w:val="single" w:sz="8" w:space="0" w:color="auto"/>
            </w:tcBorders>
            <w:shd w:val="clear" w:color="auto" w:fill="C6D9F1" w:themeFill="text2" w:themeFillTint="33"/>
            <w:noWrap/>
            <w:vAlign w:val="bottom"/>
            <w:hideMark/>
          </w:tcPr>
          <w:p w:rsidR="00123DC4" w:rsidRPr="003962D0" w:rsidRDefault="00123DC4" w:rsidP="00132057">
            <w:pPr>
              <w:spacing w:before="40" w:after="40"/>
              <w:rPr>
                <w:rFonts w:cs="Arial"/>
                <w:b/>
                <w:bCs/>
                <w:noProof/>
                <w:color w:val="000000"/>
                <w:sz w:val="16"/>
                <w:szCs w:val="16"/>
              </w:rPr>
            </w:pPr>
            <w:r w:rsidRPr="003962D0">
              <w:rPr>
                <w:rFonts w:cs="Arial"/>
                <w:b/>
                <w:bCs/>
                <w:noProof/>
                <w:color w:val="000000"/>
                <w:sz w:val="16"/>
                <w:szCs w:val="16"/>
              </w:rPr>
              <w:t>Q4</w:t>
            </w:r>
          </w:p>
        </w:tc>
        <w:tc>
          <w:tcPr>
            <w:tcW w:w="480" w:type="dxa"/>
            <w:tcBorders>
              <w:top w:val="nil"/>
              <w:left w:val="nil"/>
              <w:bottom w:val="single" w:sz="4" w:space="0" w:color="auto"/>
              <w:right w:val="single" w:sz="4" w:space="0" w:color="auto"/>
            </w:tcBorders>
            <w:shd w:val="clear" w:color="auto" w:fill="C6D9F1" w:themeFill="text2" w:themeFillTint="33"/>
            <w:noWrap/>
            <w:vAlign w:val="bottom"/>
            <w:hideMark/>
          </w:tcPr>
          <w:p w:rsidR="00123DC4" w:rsidRPr="003962D0" w:rsidRDefault="00123DC4" w:rsidP="00132057">
            <w:pPr>
              <w:spacing w:before="40" w:after="40"/>
              <w:rPr>
                <w:rFonts w:cs="Arial"/>
                <w:b/>
                <w:bCs/>
                <w:noProof/>
                <w:color w:val="000000"/>
                <w:sz w:val="16"/>
                <w:szCs w:val="16"/>
              </w:rPr>
            </w:pPr>
            <w:r w:rsidRPr="003962D0">
              <w:rPr>
                <w:rFonts w:cs="Arial"/>
                <w:b/>
                <w:bCs/>
                <w:noProof/>
                <w:color w:val="000000"/>
                <w:sz w:val="16"/>
                <w:szCs w:val="16"/>
              </w:rPr>
              <w:t>Q1</w:t>
            </w:r>
          </w:p>
        </w:tc>
        <w:tc>
          <w:tcPr>
            <w:tcW w:w="480" w:type="dxa"/>
            <w:tcBorders>
              <w:top w:val="nil"/>
              <w:left w:val="nil"/>
              <w:bottom w:val="single" w:sz="4" w:space="0" w:color="auto"/>
              <w:right w:val="single" w:sz="4" w:space="0" w:color="auto"/>
            </w:tcBorders>
            <w:shd w:val="clear" w:color="auto" w:fill="C6D9F1" w:themeFill="text2" w:themeFillTint="33"/>
            <w:noWrap/>
            <w:vAlign w:val="bottom"/>
            <w:hideMark/>
          </w:tcPr>
          <w:p w:rsidR="00123DC4" w:rsidRPr="003962D0" w:rsidRDefault="00123DC4" w:rsidP="00132057">
            <w:pPr>
              <w:spacing w:before="40" w:after="40"/>
              <w:rPr>
                <w:rFonts w:cs="Arial"/>
                <w:b/>
                <w:bCs/>
                <w:noProof/>
                <w:color w:val="000000"/>
                <w:sz w:val="16"/>
                <w:szCs w:val="16"/>
              </w:rPr>
            </w:pPr>
            <w:r w:rsidRPr="003962D0">
              <w:rPr>
                <w:rFonts w:cs="Arial"/>
                <w:b/>
                <w:bCs/>
                <w:noProof/>
                <w:color w:val="000000"/>
                <w:sz w:val="16"/>
                <w:szCs w:val="16"/>
              </w:rPr>
              <w:t>Q2</w:t>
            </w:r>
          </w:p>
        </w:tc>
        <w:tc>
          <w:tcPr>
            <w:tcW w:w="480" w:type="dxa"/>
            <w:tcBorders>
              <w:top w:val="nil"/>
              <w:left w:val="nil"/>
              <w:bottom w:val="single" w:sz="4" w:space="0" w:color="auto"/>
              <w:right w:val="single" w:sz="4" w:space="0" w:color="auto"/>
            </w:tcBorders>
            <w:shd w:val="clear" w:color="auto" w:fill="C6D9F1" w:themeFill="text2" w:themeFillTint="33"/>
            <w:noWrap/>
            <w:vAlign w:val="bottom"/>
            <w:hideMark/>
          </w:tcPr>
          <w:p w:rsidR="00123DC4" w:rsidRPr="003962D0" w:rsidRDefault="00123DC4" w:rsidP="00132057">
            <w:pPr>
              <w:spacing w:before="40" w:after="40"/>
              <w:rPr>
                <w:rFonts w:cs="Arial"/>
                <w:b/>
                <w:bCs/>
                <w:noProof/>
                <w:color w:val="000000"/>
                <w:sz w:val="16"/>
                <w:szCs w:val="16"/>
              </w:rPr>
            </w:pPr>
            <w:r w:rsidRPr="003962D0">
              <w:rPr>
                <w:rFonts w:cs="Arial"/>
                <w:b/>
                <w:bCs/>
                <w:noProof/>
                <w:color w:val="000000"/>
                <w:sz w:val="16"/>
                <w:szCs w:val="16"/>
              </w:rPr>
              <w:t>Q3</w:t>
            </w:r>
          </w:p>
        </w:tc>
        <w:tc>
          <w:tcPr>
            <w:tcW w:w="480" w:type="dxa"/>
            <w:tcBorders>
              <w:top w:val="nil"/>
              <w:left w:val="nil"/>
              <w:bottom w:val="single" w:sz="4" w:space="0" w:color="auto"/>
              <w:right w:val="single" w:sz="8" w:space="0" w:color="auto"/>
            </w:tcBorders>
            <w:shd w:val="clear" w:color="auto" w:fill="C6D9F1" w:themeFill="text2" w:themeFillTint="33"/>
            <w:noWrap/>
            <w:vAlign w:val="bottom"/>
            <w:hideMark/>
          </w:tcPr>
          <w:p w:rsidR="00123DC4" w:rsidRPr="003962D0" w:rsidRDefault="00123DC4" w:rsidP="00132057">
            <w:pPr>
              <w:spacing w:before="40" w:after="40"/>
              <w:rPr>
                <w:rFonts w:cs="Arial"/>
                <w:b/>
                <w:bCs/>
                <w:noProof/>
                <w:color w:val="000000"/>
                <w:sz w:val="16"/>
                <w:szCs w:val="16"/>
              </w:rPr>
            </w:pPr>
            <w:r w:rsidRPr="003962D0">
              <w:rPr>
                <w:rFonts w:cs="Arial"/>
                <w:b/>
                <w:bCs/>
                <w:noProof/>
                <w:color w:val="000000"/>
                <w:sz w:val="16"/>
                <w:szCs w:val="16"/>
              </w:rPr>
              <w:t>Q4</w:t>
            </w:r>
          </w:p>
        </w:tc>
      </w:tr>
      <w:tr w:rsidR="00123DC4" w:rsidRPr="00BD06DF" w:rsidTr="00132057">
        <w:trPr>
          <w:trHeight w:val="615"/>
          <w:jc w:val="center"/>
        </w:trPr>
        <w:tc>
          <w:tcPr>
            <w:tcW w:w="1840" w:type="dxa"/>
            <w:tcBorders>
              <w:top w:val="nil"/>
              <w:left w:val="single" w:sz="8" w:space="0" w:color="auto"/>
              <w:bottom w:val="single" w:sz="4" w:space="0" w:color="auto"/>
              <w:right w:val="single" w:sz="8" w:space="0" w:color="auto"/>
            </w:tcBorders>
            <w:shd w:val="clear" w:color="auto" w:fill="auto"/>
            <w:noWrap/>
            <w:vAlign w:val="center"/>
            <w:hideMark/>
          </w:tcPr>
          <w:p w:rsidR="00123DC4" w:rsidRPr="00BD06DF" w:rsidRDefault="00123DC4" w:rsidP="00132057">
            <w:pPr>
              <w:spacing w:before="40" w:after="40"/>
              <w:rPr>
                <w:rFonts w:cs="Arial"/>
                <w:noProof/>
                <w:sz w:val="16"/>
                <w:szCs w:val="16"/>
              </w:rPr>
            </w:pPr>
            <w:r w:rsidRPr="00BD06DF">
              <w:rPr>
                <w:rFonts w:cs="Arial"/>
                <w:noProof/>
                <w:sz w:val="16"/>
                <w:szCs w:val="16"/>
              </w:rPr>
              <w:t>In-house definition of project goals</w:t>
            </w:r>
          </w:p>
        </w:tc>
        <w:tc>
          <w:tcPr>
            <w:tcW w:w="480" w:type="dxa"/>
            <w:tcBorders>
              <w:top w:val="nil"/>
              <w:left w:val="nil"/>
              <w:bottom w:val="single" w:sz="4" w:space="0" w:color="auto"/>
              <w:right w:val="single" w:sz="4" w:space="0" w:color="auto"/>
            </w:tcBorders>
            <w:shd w:val="clear" w:color="auto" w:fill="auto"/>
            <w:noWrap/>
            <w:vAlign w:val="bottom"/>
            <w:hideMark/>
          </w:tcPr>
          <w:p w:rsidR="00123DC4" w:rsidRPr="00BD06DF" w:rsidRDefault="00123DC4" w:rsidP="00132057">
            <w:pPr>
              <w:spacing w:before="40" w:after="40"/>
              <w:rPr>
                <w:rFonts w:cs="Arial"/>
                <w:noProof/>
                <w:sz w:val="16"/>
                <w:szCs w:val="16"/>
              </w:rPr>
            </w:pPr>
            <w:r w:rsidRPr="00BD06DF">
              <w:rPr>
                <w:rFonts w:cs="Arial"/>
                <w:noProof/>
                <w:sz w:val="16"/>
                <w:szCs w:val="16"/>
              </w:rPr>
              <w:t> </w:t>
            </w: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BD06DF" w:rsidRDefault="00123DC4" w:rsidP="00132057">
            <w:pPr>
              <w:spacing w:before="40" w:after="40"/>
              <w:jc w:val="center"/>
              <w:rPr>
                <w:rFonts w:cs="Arial"/>
                <w:noProof/>
                <w:sz w:val="16"/>
                <w:szCs w:val="16"/>
              </w:rPr>
            </w:pPr>
            <w:r w:rsidRPr="00BD06DF">
              <w:rPr>
                <w:rFonts w:cs="Arial"/>
                <w:noProof/>
                <w:sz w:val="16"/>
                <w:szCs w:val="16"/>
              </w:rPr>
              <w:t>X</w:t>
            </w: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BD06DF" w:rsidRDefault="00123DC4" w:rsidP="00132057">
            <w:pPr>
              <w:spacing w:before="40" w:after="40"/>
              <w:jc w:val="center"/>
              <w:rPr>
                <w:rFonts w:cs="Arial"/>
                <w:noProof/>
                <w:sz w:val="16"/>
                <w:szCs w:val="16"/>
              </w:rPr>
            </w:pPr>
          </w:p>
        </w:tc>
        <w:tc>
          <w:tcPr>
            <w:tcW w:w="480" w:type="dxa"/>
            <w:tcBorders>
              <w:top w:val="nil"/>
              <w:left w:val="nil"/>
              <w:bottom w:val="single" w:sz="4" w:space="0" w:color="auto"/>
              <w:right w:val="single" w:sz="8" w:space="0" w:color="auto"/>
            </w:tcBorders>
            <w:shd w:val="clear" w:color="auto" w:fill="auto"/>
            <w:noWrap/>
            <w:vAlign w:val="center"/>
            <w:hideMark/>
          </w:tcPr>
          <w:p w:rsidR="00123DC4" w:rsidRPr="00BD06DF" w:rsidRDefault="00123DC4" w:rsidP="00132057">
            <w:pPr>
              <w:spacing w:before="40" w:after="40"/>
              <w:jc w:val="center"/>
              <w:rPr>
                <w:rFonts w:cs="Arial"/>
                <w:noProof/>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BD06DF" w:rsidRDefault="00123DC4" w:rsidP="00132057">
            <w:pPr>
              <w:spacing w:before="40" w:after="40"/>
              <w:jc w:val="center"/>
              <w:rPr>
                <w:rFonts w:cs="Arial"/>
                <w:noProof/>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BD06DF" w:rsidRDefault="00123DC4" w:rsidP="00132057">
            <w:pPr>
              <w:spacing w:before="40" w:after="40"/>
              <w:jc w:val="center"/>
              <w:rPr>
                <w:rFonts w:cs="Arial"/>
                <w:noProof/>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BD06DF" w:rsidRDefault="00123DC4" w:rsidP="00132057">
            <w:pPr>
              <w:spacing w:before="40" w:after="40"/>
              <w:jc w:val="center"/>
              <w:rPr>
                <w:rFonts w:cs="Arial"/>
                <w:noProof/>
                <w:sz w:val="16"/>
                <w:szCs w:val="16"/>
              </w:rPr>
            </w:pPr>
          </w:p>
        </w:tc>
        <w:tc>
          <w:tcPr>
            <w:tcW w:w="480" w:type="dxa"/>
            <w:tcBorders>
              <w:top w:val="nil"/>
              <w:left w:val="nil"/>
              <w:bottom w:val="single" w:sz="4" w:space="0" w:color="auto"/>
              <w:right w:val="single" w:sz="8" w:space="0" w:color="auto"/>
            </w:tcBorders>
            <w:shd w:val="clear" w:color="auto" w:fill="auto"/>
            <w:noWrap/>
            <w:vAlign w:val="center"/>
            <w:hideMark/>
          </w:tcPr>
          <w:p w:rsidR="00123DC4" w:rsidRPr="00BD06DF" w:rsidRDefault="00123DC4" w:rsidP="00132057">
            <w:pPr>
              <w:spacing w:before="40" w:after="40"/>
              <w:jc w:val="center"/>
              <w:rPr>
                <w:rFonts w:cs="Arial"/>
                <w:noProof/>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BD06DF" w:rsidRDefault="00123DC4" w:rsidP="00132057">
            <w:pPr>
              <w:spacing w:before="40" w:after="40"/>
              <w:jc w:val="center"/>
              <w:rPr>
                <w:rFonts w:cs="Arial"/>
                <w:noProof/>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BD06DF" w:rsidRDefault="00123DC4" w:rsidP="00132057">
            <w:pPr>
              <w:spacing w:before="40" w:after="40"/>
              <w:jc w:val="center"/>
              <w:rPr>
                <w:rFonts w:cs="Arial"/>
                <w:noProof/>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BD06DF" w:rsidRDefault="00123DC4" w:rsidP="00132057">
            <w:pPr>
              <w:spacing w:before="40" w:after="40"/>
              <w:jc w:val="center"/>
              <w:rPr>
                <w:rFonts w:cs="Arial"/>
                <w:noProof/>
                <w:sz w:val="16"/>
                <w:szCs w:val="16"/>
              </w:rPr>
            </w:pPr>
          </w:p>
        </w:tc>
        <w:tc>
          <w:tcPr>
            <w:tcW w:w="480" w:type="dxa"/>
            <w:tcBorders>
              <w:top w:val="nil"/>
              <w:left w:val="nil"/>
              <w:bottom w:val="single" w:sz="4" w:space="0" w:color="auto"/>
              <w:right w:val="single" w:sz="8" w:space="0" w:color="auto"/>
            </w:tcBorders>
            <w:shd w:val="clear" w:color="auto" w:fill="auto"/>
            <w:noWrap/>
            <w:vAlign w:val="center"/>
            <w:hideMark/>
          </w:tcPr>
          <w:p w:rsidR="00123DC4" w:rsidRPr="00BD06DF" w:rsidRDefault="00123DC4" w:rsidP="00132057">
            <w:pPr>
              <w:spacing w:before="40" w:after="40"/>
              <w:jc w:val="center"/>
              <w:rPr>
                <w:rFonts w:cs="Arial"/>
                <w:noProof/>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BD06DF" w:rsidRDefault="00123DC4" w:rsidP="00132057">
            <w:pPr>
              <w:spacing w:before="40" w:after="40"/>
              <w:jc w:val="center"/>
              <w:rPr>
                <w:rFonts w:cs="Arial"/>
                <w:noProof/>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BD06DF" w:rsidRDefault="00123DC4" w:rsidP="00132057">
            <w:pPr>
              <w:spacing w:before="40" w:after="40"/>
              <w:jc w:val="center"/>
              <w:rPr>
                <w:rFonts w:cs="Arial"/>
                <w:noProof/>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BD06DF" w:rsidRDefault="00123DC4" w:rsidP="00132057">
            <w:pPr>
              <w:spacing w:before="40" w:after="40"/>
              <w:jc w:val="center"/>
              <w:rPr>
                <w:rFonts w:cs="Arial"/>
                <w:noProof/>
                <w:sz w:val="16"/>
                <w:szCs w:val="16"/>
              </w:rPr>
            </w:pPr>
          </w:p>
        </w:tc>
        <w:tc>
          <w:tcPr>
            <w:tcW w:w="480" w:type="dxa"/>
            <w:tcBorders>
              <w:top w:val="nil"/>
              <w:left w:val="nil"/>
              <w:bottom w:val="single" w:sz="4" w:space="0" w:color="auto"/>
              <w:right w:val="single" w:sz="8" w:space="0" w:color="auto"/>
            </w:tcBorders>
            <w:shd w:val="clear" w:color="auto" w:fill="auto"/>
            <w:noWrap/>
            <w:vAlign w:val="center"/>
            <w:hideMark/>
          </w:tcPr>
          <w:p w:rsidR="00123DC4" w:rsidRPr="00BD06DF" w:rsidRDefault="00123DC4" w:rsidP="00132057">
            <w:pPr>
              <w:spacing w:before="40" w:after="40"/>
              <w:jc w:val="center"/>
              <w:rPr>
                <w:rFonts w:cs="Arial"/>
                <w:noProof/>
                <w:sz w:val="16"/>
                <w:szCs w:val="16"/>
              </w:rPr>
            </w:pPr>
          </w:p>
        </w:tc>
      </w:tr>
      <w:tr w:rsidR="00123DC4" w:rsidRPr="00BD06DF" w:rsidTr="00132057">
        <w:trPr>
          <w:trHeight w:val="615"/>
          <w:jc w:val="center"/>
        </w:trPr>
        <w:tc>
          <w:tcPr>
            <w:tcW w:w="1840" w:type="dxa"/>
            <w:tcBorders>
              <w:top w:val="nil"/>
              <w:left w:val="single" w:sz="8" w:space="0" w:color="auto"/>
              <w:bottom w:val="single" w:sz="4" w:space="0" w:color="auto"/>
              <w:right w:val="single" w:sz="8" w:space="0" w:color="auto"/>
            </w:tcBorders>
            <w:shd w:val="clear" w:color="auto" w:fill="auto"/>
            <w:noWrap/>
            <w:vAlign w:val="center"/>
          </w:tcPr>
          <w:p w:rsidR="00123DC4" w:rsidRPr="00BD06DF" w:rsidRDefault="00123DC4" w:rsidP="00132057">
            <w:pPr>
              <w:spacing w:before="40" w:after="40"/>
              <w:rPr>
                <w:rFonts w:cs="Arial"/>
                <w:noProof/>
                <w:sz w:val="16"/>
                <w:szCs w:val="16"/>
              </w:rPr>
            </w:pPr>
            <w:r w:rsidRPr="00BD06DF">
              <w:rPr>
                <w:rFonts w:cs="Arial"/>
                <w:noProof/>
                <w:sz w:val="16"/>
                <w:szCs w:val="16"/>
              </w:rPr>
              <w:t>Award of contracts to  the architect</w:t>
            </w:r>
          </w:p>
        </w:tc>
        <w:tc>
          <w:tcPr>
            <w:tcW w:w="480" w:type="dxa"/>
            <w:tcBorders>
              <w:top w:val="nil"/>
              <w:left w:val="nil"/>
              <w:bottom w:val="single" w:sz="4" w:space="0" w:color="auto"/>
              <w:right w:val="single" w:sz="4" w:space="0" w:color="auto"/>
            </w:tcBorders>
            <w:shd w:val="clear" w:color="auto" w:fill="auto"/>
            <w:noWrap/>
            <w:vAlign w:val="bottom"/>
          </w:tcPr>
          <w:p w:rsidR="00123DC4" w:rsidRPr="00BD06DF" w:rsidRDefault="00123DC4" w:rsidP="00132057">
            <w:pPr>
              <w:spacing w:before="40" w:after="40"/>
              <w:rPr>
                <w:rFonts w:cs="Arial"/>
                <w:noProof/>
                <w:sz w:val="16"/>
                <w:szCs w:val="16"/>
              </w:rPr>
            </w:pPr>
          </w:p>
        </w:tc>
        <w:tc>
          <w:tcPr>
            <w:tcW w:w="480" w:type="dxa"/>
            <w:tcBorders>
              <w:top w:val="nil"/>
              <w:left w:val="nil"/>
              <w:bottom w:val="single" w:sz="4" w:space="0" w:color="auto"/>
              <w:right w:val="single" w:sz="4" w:space="0" w:color="auto"/>
            </w:tcBorders>
            <w:shd w:val="clear" w:color="auto" w:fill="auto"/>
            <w:noWrap/>
            <w:vAlign w:val="center"/>
          </w:tcPr>
          <w:p w:rsidR="00123DC4" w:rsidRPr="00BD06DF" w:rsidRDefault="00123DC4" w:rsidP="00132057">
            <w:pPr>
              <w:spacing w:before="40" w:after="40"/>
              <w:jc w:val="center"/>
              <w:rPr>
                <w:rFonts w:cs="Arial"/>
                <w:noProof/>
                <w:sz w:val="16"/>
                <w:szCs w:val="16"/>
              </w:rPr>
            </w:pPr>
          </w:p>
        </w:tc>
        <w:tc>
          <w:tcPr>
            <w:tcW w:w="480" w:type="dxa"/>
            <w:tcBorders>
              <w:top w:val="nil"/>
              <w:left w:val="nil"/>
              <w:bottom w:val="single" w:sz="4" w:space="0" w:color="auto"/>
              <w:right w:val="single" w:sz="4" w:space="0" w:color="auto"/>
            </w:tcBorders>
            <w:shd w:val="clear" w:color="auto" w:fill="auto"/>
            <w:noWrap/>
            <w:vAlign w:val="center"/>
          </w:tcPr>
          <w:p w:rsidR="00123DC4" w:rsidRPr="00BD06DF" w:rsidRDefault="00123DC4" w:rsidP="00132057">
            <w:pPr>
              <w:spacing w:before="40" w:after="40"/>
              <w:jc w:val="center"/>
              <w:rPr>
                <w:rFonts w:cs="Arial"/>
                <w:noProof/>
                <w:sz w:val="16"/>
                <w:szCs w:val="16"/>
              </w:rPr>
            </w:pPr>
            <w:r w:rsidRPr="00BD06DF">
              <w:rPr>
                <w:rFonts w:cs="Arial"/>
                <w:noProof/>
                <w:sz w:val="16"/>
                <w:szCs w:val="16"/>
              </w:rPr>
              <w:t>X</w:t>
            </w:r>
          </w:p>
        </w:tc>
        <w:tc>
          <w:tcPr>
            <w:tcW w:w="480" w:type="dxa"/>
            <w:tcBorders>
              <w:top w:val="nil"/>
              <w:left w:val="nil"/>
              <w:bottom w:val="single" w:sz="4" w:space="0" w:color="auto"/>
              <w:right w:val="single" w:sz="8" w:space="0" w:color="auto"/>
            </w:tcBorders>
            <w:shd w:val="clear" w:color="auto" w:fill="auto"/>
            <w:noWrap/>
            <w:vAlign w:val="center"/>
          </w:tcPr>
          <w:p w:rsidR="00123DC4" w:rsidRPr="00BD06DF" w:rsidRDefault="00123DC4" w:rsidP="00132057">
            <w:pPr>
              <w:spacing w:before="40" w:after="40"/>
              <w:jc w:val="center"/>
              <w:rPr>
                <w:rFonts w:cs="Arial"/>
                <w:noProof/>
                <w:color w:val="243F60" w:themeColor="accent1" w:themeShade="7F"/>
                <w:sz w:val="16"/>
                <w:szCs w:val="16"/>
              </w:rPr>
            </w:pPr>
            <w:r w:rsidRPr="00BD06DF">
              <w:rPr>
                <w:rFonts w:cs="Arial"/>
                <w:noProof/>
                <w:sz w:val="16"/>
                <w:szCs w:val="16"/>
              </w:rPr>
              <w:t>X</w:t>
            </w: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BD06DF" w:rsidRDefault="00123DC4" w:rsidP="00132057">
            <w:pPr>
              <w:spacing w:before="40" w:after="40"/>
              <w:jc w:val="center"/>
              <w:rPr>
                <w:rFonts w:cs="Arial"/>
                <w:noProof/>
                <w:color w:val="243F60" w:themeColor="accent1" w:themeShade="7F"/>
                <w:sz w:val="16"/>
                <w:szCs w:val="16"/>
              </w:rPr>
            </w:pPr>
            <w:r w:rsidRPr="00BD06DF">
              <w:rPr>
                <w:rFonts w:cs="Arial"/>
                <w:noProof/>
                <w:sz w:val="16"/>
                <w:szCs w:val="16"/>
              </w:rPr>
              <w:t>X</w:t>
            </w: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BD06DF" w:rsidRDefault="00123DC4" w:rsidP="00132057">
            <w:pPr>
              <w:spacing w:before="40" w:after="40"/>
              <w:jc w:val="center"/>
              <w:rPr>
                <w:rFonts w:cs="Arial"/>
                <w:noProof/>
                <w:color w:val="243F60" w:themeColor="accent1" w:themeShade="7F"/>
                <w:sz w:val="16"/>
                <w:szCs w:val="16"/>
              </w:rPr>
            </w:pPr>
            <w:r w:rsidRPr="00BD06DF">
              <w:rPr>
                <w:rFonts w:cs="Arial"/>
                <w:noProof/>
                <w:sz w:val="16"/>
                <w:szCs w:val="16"/>
              </w:rPr>
              <w:t>X</w:t>
            </w: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BD06DF" w:rsidRDefault="00123DC4" w:rsidP="00132057">
            <w:pPr>
              <w:spacing w:before="40" w:after="40"/>
              <w:jc w:val="center"/>
              <w:rPr>
                <w:rFonts w:cs="Arial"/>
                <w:noProof/>
                <w:sz w:val="16"/>
                <w:szCs w:val="16"/>
              </w:rPr>
            </w:pPr>
          </w:p>
        </w:tc>
        <w:tc>
          <w:tcPr>
            <w:tcW w:w="480" w:type="dxa"/>
            <w:tcBorders>
              <w:top w:val="nil"/>
              <w:left w:val="nil"/>
              <w:bottom w:val="single" w:sz="4" w:space="0" w:color="auto"/>
              <w:right w:val="single" w:sz="8" w:space="0" w:color="auto"/>
            </w:tcBorders>
            <w:shd w:val="clear" w:color="auto" w:fill="auto"/>
            <w:noWrap/>
            <w:vAlign w:val="center"/>
            <w:hideMark/>
          </w:tcPr>
          <w:p w:rsidR="00123DC4" w:rsidRPr="00BD06DF" w:rsidRDefault="00123DC4" w:rsidP="00132057">
            <w:pPr>
              <w:spacing w:before="40" w:after="40"/>
              <w:jc w:val="center"/>
              <w:rPr>
                <w:rFonts w:cs="Arial"/>
                <w:noProof/>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BD06DF" w:rsidRDefault="00123DC4" w:rsidP="00132057">
            <w:pPr>
              <w:spacing w:before="40" w:after="40"/>
              <w:jc w:val="center"/>
              <w:rPr>
                <w:rFonts w:cs="Arial"/>
                <w:noProof/>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BD06DF" w:rsidRDefault="00123DC4" w:rsidP="00132057">
            <w:pPr>
              <w:spacing w:before="40" w:after="40"/>
              <w:jc w:val="center"/>
              <w:rPr>
                <w:rFonts w:cs="Arial"/>
                <w:b/>
                <w:bCs/>
                <w:noProof/>
                <w:kern w:val="32"/>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BD06DF" w:rsidRDefault="00123DC4" w:rsidP="00132057">
            <w:pPr>
              <w:spacing w:before="40" w:after="40"/>
              <w:jc w:val="center"/>
              <w:rPr>
                <w:rFonts w:cs="Arial"/>
                <w:noProof/>
                <w:sz w:val="16"/>
                <w:szCs w:val="16"/>
              </w:rPr>
            </w:pPr>
          </w:p>
        </w:tc>
        <w:tc>
          <w:tcPr>
            <w:tcW w:w="480" w:type="dxa"/>
            <w:tcBorders>
              <w:top w:val="nil"/>
              <w:left w:val="nil"/>
              <w:bottom w:val="single" w:sz="4" w:space="0" w:color="auto"/>
              <w:right w:val="single" w:sz="8" w:space="0" w:color="auto"/>
            </w:tcBorders>
            <w:shd w:val="clear" w:color="auto" w:fill="auto"/>
            <w:noWrap/>
            <w:vAlign w:val="center"/>
            <w:hideMark/>
          </w:tcPr>
          <w:p w:rsidR="00123DC4" w:rsidRPr="00BD06DF" w:rsidRDefault="00123DC4" w:rsidP="00132057">
            <w:pPr>
              <w:spacing w:before="40" w:after="40"/>
              <w:jc w:val="center"/>
              <w:rPr>
                <w:rFonts w:cs="Arial"/>
                <w:noProof/>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BD06DF" w:rsidRDefault="00123DC4" w:rsidP="00132057">
            <w:pPr>
              <w:spacing w:before="40" w:after="40"/>
              <w:jc w:val="center"/>
              <w:rPr>
                <w:rFonts w:cs="Arial"/>
                <w:noProof/>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BD06DF" w:rsidRDefault="00123DC4" w:rsidP="00132057">
            <w:pPr>
              <w:spacing w:before="40" w:after="40"/>
              <w:jc w:val="center"/>
              <w:rPr>
                <w:rFonts w:cs="Arial"/>
                <w:noProof/>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BD06DF" w:rsidRDefault="00123DC4" w:rsidP="00132057">
            <w:pPr>
              <w:spacing w:before="40" w:after="40"/>
              <w:jc w:val="center"/>
              <w:rPr>
                <w:rFonts w:cs="Arial"/>
                <w:noProof/>
                <w:sz w:val="16"/>
                <w:szCs w:val="16"/>
              </w:rPr>
            </w:pPr>
          </w:p>
        </w:tc>
        <w:tc>
          <w:tcPr>
            <w:tcW w:w="480" w:type="dxa"/>
            <w:tcBorders>
              <w:top w:val="nil"/>
              <w:left w:val="nil"/>
              <w:bottom w:val="single" w:sz="4" w:space="0" w:color="auto"/>
              <w:right w:val="single" w:sz="8" w:space="0" w:color="auto"/>
            </w:tcBorders>
            <w:shd w:val="clear" w:color="auto" w:fill="auto"/>
            <w:noWrap/>
            <w:vAlign w:val="center"/>
            <w:hideMark/>
          </w:tcPr>
          <w:p w:rsidR="00123DC4" w:rsidRPr="00BD06DF" w:rsidRDefault="00123DC4" w:rsidP="00132057">
            <w:pPr>
              <w:spacing w:before="40" w:after="40"/>
              <w:jc w:val="center"/>
              <w:rPr>
                <w:rFonts w:cs="Arial"/>
                <w:noProof/>
                <w:sz w:val="16"/>
                <w:szCs w:val="16"/>
              </w:rPr>
            </w:pPr>
          </w:p>
        </w:tc>
      </w:tr>
      <w:tr w:rsidR="00123DC4" w:rsidRPr="00BD06DF" w:rsidTr="00132057">
        <w:trPr>
          <w:trHeight w:val="615"/>
          <w:jc w:val="center"/>
        </w:trPr>
        <w:tc>
          <w:tcPr>
            <w:tcW w:w="1840" w:type="dxa"/>
            <w:tcBorders>
              <w:top w:val="nil"/>
              <w:left w:val="single" w:sz="8" w:space="0" w:color="auto"/>
              <w:bottom w:val="single" w:sz="4" w:space="0" w:color="auto"/>
              <w:right w:val="single" w:sz="8" w:space="0" w:color="auto"/>
            </w:tcBorders>
            <w:shd w:val="clear" w:color="auto" w:fill="auto"/>
            <w:noWrap/>
            <w:vAlign w:val="center"/>
            <w:hideMark/>
          </w:tcPr>
          <w:p w:rsidR="00123DC4" w:rsidRPr="00BD06DF" w:rsidRDefault="00123DC4" w:rsidP="00132057">
            <w:pPr>
              <w:spacing w:before="40" w:after="40"/>
              <w:rPr>
                <w:rFonts w:cs="Arial"/>
                <w:noProof/>
                <w:sz w:val="16"/>
                <w:szCs w:val="16"/>
              </w:rPr>
            </w:pPr>
            <w:r w:rsidRPr="00BD06DF">
              <w:rPr>
                <w:rFonts w:cs="Arial"/>
                <w:noProof/>
                <w:sz w:val="16"/>
                <w:szCs w:val="16"/>
              </w:rPr>
              <w:t>Award of contracts to the engineers</w:t>
            </w:r>
          </w:p>
        </w:tc>
        <w:tc>
          <w:tcPr>
            <w:tcW w:w="480" w:type="dxa"/>
            <w:tcBorders>
              <w:top w:val="nil"/>
              <w:left w:val="nil"/>
              <w:bottom w:val="single" w:sz="4" w:space="0" w:color="auto"/>
              <w:right w:val="single" w:sz="4" w:space="0" w:color="auto"/>
            </w:tcBorders>
            <w:shd w:val="clear" w:color="auto" w:fill="auto"/>
            <w:noWrap/>
            <w:vAlign w:val="bottom"/>
            <w:hideMark/>
          </w:tcPr>
          <w:p w:rsidR="00123DC4" w:rsidRPr="00BD06DF" w:rsidRDefault="00123DC4" w:rsidP="00132057">
            <w:pPr>
              <w:spacing w:before="40" w:after="40"/>
              <w:rPr>
                <w:rFonts w:cs="Arial"/>
                <w:noProof/>
                <w:sz w:val="16"/>
                <w:szCs w:val="16"/>
              </w:rPr>
            </w:pPr>
            <w:r w:rsidRPr="00BD06DF">
              <w:rPr>
                <w:rFonts w:cs="Arial"/>
                <w:noProof/>
                <w:sz w:val="16"/>
                <w:szCs w:val="16"/>
              </w:rPr>
              <w:t> </w:t>
            </w: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BD06DF" w:rsidRDefault="00123DC4" w:rsidP="00132057">
            <w:pPr>
              <w:spacing w:before="40" w:after="40"/>
              <w:jc w:val="center"/>
              <w:rPr>
                <w:rFonts w:cs="Arial"/>
                <w:noProof/>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BD06DF" w:rsidRDefault="00123DC4" w:rsidP="00132057">
            <w:pPr>
              <w:spacing w:before="40" w:after="40"/>
              <w:jc w:val="center"/>
              <w:rPr>
                <w:rFonts w:cs="Arial"/>
                <w:noProof/>
                <w:sz w:val="16"/>
                <w:szCs w:val="16"/>
              </w:rPr>
            </w:pPr>
          </w:p>
        </w:tc>
        <w:tc>
          <w:tcPr>
            <w:tcW w:w="480" w:type="dxa"/>
            <w:tcBorders>
              <w:top w:val="nil"/>
              <w:left w:val="nil"/>
              <w:bottom w:val="single" w:sz="4" w:space="0" w:color="auto"/>
              <w:right w:val="single" w:sz="8" w:space="0" w:color="auto"/>
            </w:tcBorders>
            <w:shd w:val="clear" w:color="auto" w:fill="auto"/>
            <w:noWrap/>
            <w:vAlign w:val="center"/>
            <w:hideMark/>
          </w:tcPr>
          <w:p w:rsidR="00123DC4" w:rsidRPr="00BD06DF" w:rsidRDefault="00123DC4" w:rsidP="00132057">
            <w:pPr>
              <w:spacing w:before="40" w:after="40"/>
              <w:jc w:val="center"/>
              <w:rPr>
                <w:rFonts w:cs="Arial"/>
                <w:noProof/>
                <w:sz w:val="16"/>
                <w:szCs w:val="16"/>
              </w:rPr>
            </w:pPr>
          </w:p>
        </w:tc>
        <w:tc>
          <w:tcPr>
            <w:tcW w:w="480" w:type="dxa"/>
            <w:tcBorders>
              <w:top w:val="nil"/>
              <w:left w:val="nil"/>
              <w:bottom w:val="single" w:sz="4" w:space="0" w:color="auto"/>
              <w:right w:val="single" w:sz="4" w:space="0" w:color="auto"/>
            </w:tcBorders>
            <w:shd w:val="clear" w:color="auto" w:fill="auto"/>
            <w:noWrap/>
            <w:vAlign w:val="center"/>
          </w:tcPr>
          <w:p w:rsidR="00123DC4" w:rsidRPr="00BD06DF" w:rsidRDefault="00123DC4" w:rsidP="00132057">
            <w:pPr>
              <w:spacing w:before="40" w:after="40"/>
              <w:jc w:val="center"/>
              <w:rPr>
                <w:rFonts w:cs="Arial"/>
                <w:noProof/>
                <w:sz w:val="16"/>
                <w:szCs w:val="16"/>
              </w:rPr>
            </w:pPr>
          </w:p>
        </w:tc>
        <w:tc>
          <w:tcPr>
            <w:tcW w:w="480" w:type="dxa"/>
            <w:tcBorders>
              <w:top w:val="nil"/>
              <w:left w:val="nil"/>
              <w:bottom w:val="single" w:sz="4" w:space="0" w:color="auto"/>
              <w:right w:val="single" w:sz="4" w:space="0" w:color="auto"/>
            </w:tcBorders>
            <w:shd w:val="clear" w:color="auto" w:fill="auto"/>
            <w:noWrap/>
            <w:vAlign w:val="center"/>
          </w:tcPr>
          <w:p w:rsidR="00123DC4" w:rsidRPr="00BD06DF" w:rsidRDefault="00123DC4" w:rsidP="00132057">
            <w:pPr>
              <w:spacing w:before="40" w:after="40"/>
              <w:jc w:val="center"/>
              <w:rPr>
                <w:rFonts w:cs="Arial"/>
                <w:noProof/>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BD06DF" w:rsidRDefault="00123DC4" w:rsidP="00132057">
            <w:pPr>
              <w:spacing w:before="40" w:after="40"/>
              <w:jc w:val="center"/>
              <w:rPr>
                <w:rFonts w:cs="Arial"/>
                <w:noProof/>
                <w:sz w:val="16"/>
                <w:szCs w:val="16"/>
              </w:rPr>
            </w:pPr>
          </w:p>
        </w:tc>
        <w:tc>
          <w:tcPr>
            <w:tcW w:w="480" w:type="dxa"/>
            <w:tcBorders>
              <w:top w:val="nil"/>
              <w:left w:val="nil"/>
              <w:bottom w:val="single" w:sz="4" w:space="0" w:color="auto"/>
              <w:right w:val="single" w:sz="8" w:space="0" w:color="auto"/>
            </w:tcBorders>
            <w:shd w:val="clear" w:color="auto" w:fill="auto"/>
            <w:noWrap/>
            <w:vAlign w:val="center"/>
            <w:hideMark/>
          </w:tcPr>
          <w:p w:rsidR="00123DC4" w:rsidRPr="00BD06DF" w:rsidRDefault="00123DC4" w:rsidP="00132057">
            <w:pPr>
              <w:spacing w:before="40" w:after="40"/>
              <w:jc w:val="center"/>
              <w:rPr>
                <w:rFonts w:cs="Arial"/>
                <w:noProof/>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BD06DF" w:rsidRDefault="00123DC4" w:rsidP="00132057">
            <w:pPr>
              <w:spacing w:before="40" w:after="40"/>
              <w:jc w:val="center"/>
              <w:rPr>
                <w:rFonts w:cs="Arial"/>
                <w:noProof/>
                <w:sz w:val="16"/>
                <w:szCs w:val="16"/>
              </w:rPr>
            </w:pPr>
            <w:r w:rsidRPr="00BD06DF">
              <w:rPr>
                <w:rFonts w:cs="Arial"/>
                <w:noProof/>
                <w:sz w:val="16"/>
                <w:szCs w:val="16"/>
              </w:rPr>
              <w:t>X</w:t>
            </w: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BD06DF" w:rsidRDefault="00123DC4" w:rsidP="00132057">
            <w:pPr>
              <w:spacing w:before="40" w:after="40"/>
              <w:jc w:val="center"/>
              <w:rPr>
                <w:rFonts w:cs="Arial"/>
                <w:noProof/>
                <w:sz w:val="16"/>
                <w:szCs w:val="16"/>
              </w:rPr>
            </w:pPr>
            <w:r w:rsidRPr="00BD06DF">
              <w:rPr>
                <w:rFonts w:cs="Arial"/>
                <w:noProof/>
                <w:sz w:val="16"/>
                <w:szCs w:val="16"/>
              </w:rPr>
              <w:t>X</w:t>
            </w: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BD06DF" w:rsidRDefault="00123DC4" w:rsidP="00132057">
            <w:pPr>
              <w:spacing w:before="40" w:after="40"/>
              <w:jc w:val="center"/>
              <w:rPr>
                <w:rFonts w:cs="Arial"/>
                <w:noProof/>
                <w:sz w:val="16"/>
                <w:szCs w:val="16"/>
              </w:rPr>
            </w:pPr>
          </w:p>
        </w:tc>
        <w:tc>
          <w:tcPr>
            <w:tcW w:w="480" w:type="dxa"/>
            <w:tcBorders>
              <w:top w:val="nil"/>
              <w:left w:val="nil"/>
              <w:bottom w:val="single" w:sz="4" w:space="0" w:color="auto"/>
              <w:right w:val="single" w:sz="8" w:space="0" w:color="auto"/>
            </w:tcBorders>
            <w:shd w:val="clear" w:color="auto" w:fill="auto"/>
            <w:noWrap/>
            <w:vAlign w:val="center"/>
            <w:hideMark/>
          </w:tcPr>
          <w:p w:rsidR="00123DC4" w:rsidRPr="00BD06DF" w:rsidRDefault="00123DC4" w:rsidP="00132057">
            <w:pPr>
              <w:spacing w:before="40" w:after="40"/>
              <w:jc w:val="center"/>
              <w:rPr>
                <w:rFonts w:cs="Arial"/>
                <w:noProof/>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BD06DF" w:rsidRDefault="00123DC4" w:rsidP="00132057">
            <w:pPr>
              <w:spacing w:before="40" w:after="40"/>
              <w:jc w:val="center"/>
              <w:rPr>
                <w:rFonts w:cs="Arial"/>
                <w:noProof/>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BD06DF" w:rsidRDefault="00123DC4" w:rsidP="00132057">
            <w:pPr>
              <w:spacing w:before="40" w:after="40"/>
              <w:jc w:val="center"/>
              <w:rPr>
                <w:rFonts w:cs="Arial"/>
                <w:noProof/>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BD06DF" w:rsidRDefault="00123DC4" w:rsidP="00132057">
            <w:pPr>
              <w:spacing w:before="40" w:after="40"/>
              <w:jc w:val="center"/>
              <w:rPr>
                <w:rFonts w:cs="Arial"/>
                <w:noProof/>
                <w:sz w:val="16"/>
                <w:szCs w:val="16"/>
              </w:rPr>
            </w:pPr>
          </w:p>
        </w:tc>
        <w:tc>
          <w:tcPr>
            <w:tcW w:w="480" w:type="dxa"/>
            <w:tcBorders>
              <w:top w:val="nil"/>
              <w:left w:val="nil"/>
              <w:bottom w:val="single" w:sz="4" w:space="0" w:color="auto"/>
              <w:right w:val="single" w:sz="8" w:space="0" w:color="auto"/>
            </w:tcBorders>
            <w:shd w:val="clear" w:color="auto" w:fill="auto"/>
            <w:noWrap/>
            <w:vAlign w:val="center"/>
            <w:hideMark/>
          </w:tcPr>
          <w:p w:rsidR="00123DC4" w:rsidRPr="00BD06DF" w:rsidRDefault="00123DC4" w:rsidP="00132057">
            <w:pPr>
              <w:spacing w:before="40" w:after="40"/>
              <w:jc w:val="center"/>
              <w:rPr>
                <w:rFonts w:cs="Arial"/>
                <w:noProof/>
                <w:sz w:val="16"/>
                <w:szCs w:val="16"/>
              </w:rPr>
            </w:pPr>
          </w:p>
        </w:tc>
      </w:tr>
      <w:tr w:rsidR="00123DC4" w:rsidRPr="00BD06DF" w:rsidTr="00132057">
        <w:trPr>
          <w:trHeight w:val="615"/>
          <w:jc w:val="center"/>
        </w:trPr>
        <w:tc>
          <w:tcPr>
            <w:tcW w:w="1840" w:type="dxa"/>
            <w:tcBorders>
              <w:top w:val="nil"/>
              <w:left w:val="single" w:sz="8" w:space="0" w:color="auto"/>
              <w:bottom w:val="single" w:sz="4" w:space="0" w:color="auto"/>
              <w:right w:val="single" w:sz="8" w:space="0" w:color="auto"/>
            </w:tcBorders>
            <w:shd w:val="clear" w:color="auto" w:fill="auto"/>
            <w:noWrap/>
            <w:vAlign w:val="center"/>
            <w:hideMark/>
          </w:tcPr>
          <w:p w:rsidR="00123DC4" w:rsidRPr="00BD06DF" w:rsidRDefault="00123DC4" w:rsidP="00132057">
            <w:pPr>
              <w:spacing w:before="40" w:after="40"/>
              <w:rPr>
                <w:rFonts w:cs="Arial"/>
                <w:noProof/>
                <w:sz w:val="16"/>
                <w:szCs w:val="16"/>
              </w:rPr>
            </w:pPr>
            <w:r w:rsidRPr="00BD06DF">
              <w:rPr>
                <w:rFonts w:cs="Arial"/>
                <w:noProof/>
                <w:sz w:val="16"/>
                <w:szCs w:val="16"/>
              </w:rPr>
              <w:t>Comprehensive works execution review</w:t>
            </w:r>
          </w:p>
        </w:tc>
        <w:tc>
          <w:tcPr>
            <w:tcW w:w="480" w:type="dxa"/>
            <w:tcBorders>
              <w:top w:val="nil"/>
              <w:left w:val="nil"/>
              <w:bottom w:val="single" w:sz="4" w:space="0" w:color="auto"/>
              <w:right w:val="single" w:sz="4" w:space="0" w:color="auto"/>
            </w:tcBorders>
            <w:shd w:val="clear" w:color="auto" w:fill="auto"/>
            <w:noWrap/>
            <w:vAlign w:val="bottom"/>
            <w:hideMark/>
          </w:tcPr>
          <w:p w:rsidR="00123DC4" w:rsidRPr="00BD06DF" w:rsidRDefault="00123DC4" w:rsidP="00132057">
            <w:pPr>
              <w:spacing w:before="40" w:after="40"/>
              <w:rPr>
                <w:rFonts w:cs="Arial"/>
                <w:noProof/>
                <w:sz w:val="16"/>
                <w:szCs w:val="16"/>
              </w:rPr>
            </w:pPr>
            <w:r w:rsidRPr="00BD06DF">
              <w:rPr>
                <w:rFonts w:cs="Arial"/>
                <w:noProof/>
                <w:sz w:val="16"/>
                <w:szCs w:val="16"/>
              </w:rPr>
              <w:t> </w:t>
            </w: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BD06DF" w:rsidRDefault="00123DC4" w:rsidP="00132057">
            <w:pPr>
              <w:spacing w:before="40" w:after="40"/>
              <w:jc w:val="center"/>
              <w:rPr>
                <w:rFonts w:cs="Arial"/>
                <w:noProof/>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BD06DF" w:rsidRDefault="00123DC4" w:rsidP="00132057">
            <w:pPr>
              <w:spacing w:before="40" w:after="40"/>
              <w:jc w:val="center"/>
              <w:rPr>
                <w:rFonts w:cs="Arial"/>
                <w:noProof/>
                <w:sz w:val="16"/>
                <w:szCs w:val="16"/>
              </w:rPr>
            </w:pPr>
          </w:p>
        </w:tc>
        <w:tc>
          <w:tcPr>
            <w:tcW w:w="480" w:type="dxa"/>
            <w:tcBorders>
              <w:top w:val="nil"/>
              <w:left w:val="nil"/>
              <w:bottom w:val="single" w:sz="4" w:space="0" w:color="auto"/>
              <w:right w:val="single" w:sz="8" w:space="0" w:color="auto"/>
            </w:tcBorders>
            <w:shd w:val="clear" w:color="auto" w:fill="auto"/>
            <w:noWrap/>
            <w:vAlign w:val="center"/>
            <w:hideMark/>
          </w:tcPr>
          <w:p w:rsidR="00123DC4" w:rsidRPr="00BD06DF" w:rsidRDefault="00123DC4" w:rsidP="00132057">
            <w:pPr>
              <w:spacing w:before="40" w:after="40"/>
              <w:jc w:val="center"/>
              <w:rPr>
                <w:rFonts w:cs="Arial"/>
                <w:noProof/>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BD06DF" w:rsidRDefault="00123DC4" w:rsidP="00132057">
            <w:pPr>
              <w:spacing w:before="40" w:after="40"/>
              <w:jc w:val="center"/>
              <w:rPr>
                <w:rFonts w:cs="Arial"/>
                <w:noProof/>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BD06DF" w:rsidRDefault="00123DC4" w:rsidP="00132057">
            <w:pPr>
              <w:spacing w:before="40" w:after="40"/>
              <w:jc w:val="center"/>
              <w:rPr>
                <w:rFonts w:cs="Arial"/>
                <w:noProof/>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BD06DF" w:rsidRDefault="00123DC4" w:rsidP="00132057">
            <w:pPr>
              <w:spacing w:before="40" w:after="40"/>
              <w:jc w:val="center"/>
              <w:rPr>
                <w:rFonts w:cs="Arial"/>
                <w:noProof/>
                <w:sz w:val="16"/>
                <w:szCs w:val="16"/>
              </w:rPr>
            </w:pPr>
          </w:p>
        </w:tc>
        <w:tc>
          <w:tcPr>
            <w:tcW w:w="480" w:type="dxa"/>
            <w:tcBorders>
              <w:top w:val="nil"/>
              <w:left w:val="nil"/>
              <w:bottom w:val="single" w:sz="4" w:space="0" w:color="auto"/>
              <w:right w:val="single" w:sz="8" w:space="0" w:color="auto"/>
            </w:tcBorders>
            <w:shd w:val="clear" w:color="auto" w:fill="auto"/>
            <w:noWrap/>
            <w:vAlign w:val="center"/>
            <w:hideMark/>
          </w:tcPr>
          <w:p w:rsidR="00123DC4" w:rsidRPr="00BD06DF" w:rsidRDefault="00123DC4" w:rsidP="00132057">
            <w:pPr>
              <w:spacing w:before="40" w:after="40"/>
              <w:jc w:val="center"/>
              <w:rPr>
                <w:rFonts w:cs="Arial"/>
                <w:noProof/>
                <w:sz w:val="16"/>
                <w:szCs w:val="16"/>
              </w:rPr>
            </w:pPr>
            <w:r w:rsidRPr="00BD06DF">
              <w:rPr>
                <w:rFonts w:cs="Arial"/>
                <w:noProof/>
                <w:sz w:val="16"/>
                <w:szCs w:val="16"/>
              </w:rPr>
              <w:t>X</w:t>
            </w: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BD06DF" w:rsidRDefault="00123DC4" w:rsidP="00132057">
            <w:pPr>
              <w:spacing w:before="40" w:after="40"/>
              <w:jc w:val="center"/>
              <w:rPr>
                <w:rFonts w:cs="Arial"/>
                <w:noProof/>
                <w:sz w:val="16"/>
                <w:szCs w:val="16"/>
              </w:rPr>
            </w:pPr>
            <w:r w:rsidRPr="00BD06DF">
              <w:rPr>
                <w:rFonts w:cs="Arial"/>
                <w:noProof/>
                <w:sz w:val="16"/>
                <w:szCs w:val="16"/>
              </w:rPr>
              <w:t>X</w:t>
            </w: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BD06DF" w:rsidRDefault="00123DC4" w:rsidP="00132057">
            <w:pPr>
              <w:spacing w:before="40" w:after="40"/>
              <w:jc w:val="center"/>
              <w:rPr>
                <w:rFonts w:cs="Arial"/>
                <w:noProof/>
                <w:sz w:val="16"/>
                <w:szCs w:val="16"/>
              </w:rPr>
            </w:pPr>
            <w:r w:rsidRPr="00BD06DF">
              <w:rPr>
                <w:rFonts w:cs="Arial"/>
                <w:noProof/>
                <w:sz w:val="16"/>
                <w:szCs w:val="16"/>
              </w:rPr>
              <w:t>X</w:t>
            </w: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BD06DF" w:rsidRDefault="00123DC4" w:rsidP="00132057">
            <w:pPr>
              <w:spacing w:before="40" w:after="40"/>
              <w:jc w:val="center"/>
              <w:rPr>
                <w:rFonts w:cs="Arial"/>
                <w:noProof/>
                <w:sz w:val="16"/>
                <w:szCs w:val="16"/>
              </w:rPr>
            </w:pPr>
          </w:p>
        </w:tc>
        <w:tc>
          <w:tcPr>
            <w:tcW w:w="480" w:type="dxa"/>
            <w:tcBorders>
              <w:top w:val="nil"/>
              <w:left w:val="nil"/>
              <w:bottom w:val="single" w:sz="4" w:space="0" w:color="auto"/>
              <w:right w:val="single" w:sz="8" w:space="0" w:color="auto"/>
            </w:tcBorders>
            <w:shd w:val="clear" w:color="auto" w:fill="auto"/>
            <w:noWrap/>
            <w:vAlign w:val="center"/>
            <w:hideMark/>
          </w:tcPr>
          <w:p w:rsidR="00123DC4" w:rsidRPr="00BD06DF" w:rsidRDefault="00123DC4" w:rsidP="00132057">
            <w:pPr>
              <w:spacing w:before="40" w:after="40"/>
              <w:jc w:val="center"/>
              <w:rPr>
                <w:rFonts w:cs="Arial"/>
                <w:noProof/>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BD06DF" w:rsidRDefault="00123DC4" w:rsidP="00132057">
            <w:pPr>
              <w:spacing w:before="40" w:after="40"/>
              <w:jc w:val="center"/>
              <w:rPr>
                <w:rFonts w:cs="Arial"/>
                <w:noProof/>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BD06DF" w:rsidRDefault="00123DC4" w:rsidP="00132057">
            <w:pPr>
              <w:spacing w:before="40" w:after="40"/>
              <w:jc w:val="center"/>
              <w:rPr>
                <w:rFonts w:cs="Arial"/>
                <w:noProof/>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BD06DF" w:rsidRDefault="00123DC4" w:rsidP="00132057">
            <w:pPr>
              <w:spacing w:before="40" w:after="40"/>
              <w:jc w:val="center"/>
              <w:rPr>
                <w:rFonts w:cs="Arial"/>
                <w:noProof/>
                <w:sz w:val="16"/>
                <w:szCs w:val="16"/>
              </w:rPr>
            </w:pPr>
          </w:p>
        </w:tc>
        <w:tc>
          <w:tcPr>
            <w:tcW w:w="480" w:type="dxa"/>
            <w:tcBorders>
              <w:top w:val="nil"/>
              <w:left w:val="nil"/>
              <w:bottom w:val="single" w:sz="4" w:space="0" w:color="auto"/>
              <w:right w:val="single" w:sz="8" w:space="0" w:color="auto"/>
            </w:tcBorders>
            <w:shd w:val="clear" w:color="auto" w:fill="auto"/>
            <w:noWrap/>
            <w:vAlign w:val="center"/>
            <w:hideMark/>
          </w:tcPr>
          <w:p w:rsidR="00123DC4" w:rsidRPr="00BD06DF" w:rsidRDefault="00123DC4" w:rsidP="00132057">
            <w:pPr>
              <w:spacing w:before="40" w:after="40"/>
              <w:jc w:val="center"/>
              <w:rPr>
                <w:rFonts w:cs="Arial"/>
                <w:noProof/>
                <w:sz w:val="16"/>
                <w:szCs w:val="16"/>
              </w:rPr>
            </w:pPr>
          </w:p>
        </w:tc>
      </w:tr>
      <w:tr w:rsidR="00123DC4" w:rsidRPr="00BD06DF" w:rsidTr="00132057">
        <w:trPr>
          <w:trHeight w:val="615"/>
          <w:jc w:val="center"/>
        </w:trPr>
        <w:tc>
          <w:tcPr>
            <w:tcW w:w="1840" w:type="dxa"/>
            <w:tcBorders>
              <w:top w:val="nil"/>
              <w:left w:val="single" w:sz="8" w:space="0" w:color="auto"/>
              <w:bottom w:val="single" w:sz="4" w:space="0" w:color="auto"/>
              <w:right w:val="single" w:sz="8" w:space="0" w:color="auto"/>
            </w:tcBorders>
            <w:shd w:val="clear" w:color="auto" w:fill="auto"/>
            <w:noWrap/>
            <w:vAlign w:val="center"/>
          </w:tcPr>
          <w:p w:rsidR="00123DC4" w:rsidRPr="00BD06DF" w:rsidRDefault="00123DC4" w:rsidP="00132057">
            <w:pPr>
              <w:spacing w:before="40" w:after="40"/>
              <w:rPr>
                <w:rFonts w:cs="Arial"/>
                <w:noProof/>
                <w:sz w:val="16"/>
                <w:szCs w:val="16"/>
              </w:rPr>
            </w:pPr>
            <w:r w:rsidRPr="00BD06DF">
              <w:rPr>
                <w:rFonts w:cs="Arial"/>
                <w:noProof/>
                <w:sz w:val="16"/>
                <w:szCs w:val="16"/>
              </w:rPr>
              <w:t>Call for tenders from firms and selection</w:t>
            </w:r>
          </w:p>
        </w:tc>
        <w:tc>
          <w:tcPr>
            <w:tcW w:w="480" w:type="dxa"/>
            <w:tcBorders>
              <w:top w:val="nil"/>
              <w:left w:val="nil"/>
              <w:bottom w:val="single" w:sz="4" w:space="0" w:color="auto"/>
              <w:right w:val="single" w:sz="4" w:space="0" w:color="auto"/>
            </w:tcBorders>
            <w:shd w:val="clear" w:color="auto" w:fill="auto"/>
            <w:noWrap/>
            <w:vAlign w:val="bottom"/>
          </w:tcPr>
          <w:p w:rsidR="00123DC4" w:rsidRPr="00BD06DF" w:rsidRDefault="00123DC4" w:rsidP="00132057">
            <w:pPr>
              <w:spacing w:before="40" w:after="40"/>
              <w:rPr>
                <w:rFonts w:cs="Arial"/>
                <w:noProof/>
                <w:sz w:val="16"/>
                <w:szCs w:val="16"/>
              </w:rPr>
            </w:pPr>
          </w:p>
        </w:tc>
        <w:tc>
          <w:tcPr>
            <w:tcW w:w="480" w:type="dxa"/>
            <w:tcBorders>
              <w:top w:val="nil"/>
              <w:left w:val="nil"/>
              <w:bottom w:val="single" w:sz="4" w:space="0" w:color="auto"/>
              <w:right w:val="single" w:sz="4" w:space="0" w:color="auto"/>
            </w:tcBorders>
            <w:shd w:val="clear" w:color="auto" w:fill="auto"/>
            <w:noWrap/>
            <w:vAlign w:val="center"/>
          </w:tcPr>
          <w:p w:rsidR="00123DC4" w:rsidRPr="00BD06DF" w:rsidRDefault="00123DC4" w:rsidP="00132057">
            <w:pPr>
              <w:spacing w:before="40" w:after="40"/>
              <w:jc w:val="center"/>
              <w:rPr>
                <w:rFonts w:cs="Arial"/>
                <w:noProof/>
                <w:sz w:val="16"/>
                <w:szCs w:val="16"/>
              </w:rPr>
            </w:pPr>
          </w:p>
        </w:tc>
        <w:tc>
          <w:tcPr>
            <w:tcW w:w="480" w:type="dxa"/>
            <w:tcBorders>
              <w:top w:val="nil"/>
              <w:left w:val="nil"/>
              <w:bottom w:val="single" w:sz="4" w:space="0" w:color="auto"/>
              <w:right w:val="single" w:sz="4" w:space="0" w:color="auto"/>
            </w:tcBorders>
            <w:shd w:val="clear" w:color="auto" w:fill="auto"/>
            <w:noWrap/>
            <w:vAlign w:val="center"/>
          </w:tcPr>
          <w:p w:rsidR="00123DC4" w:rsidRPr="00BD06DF" w:rsidRDefault="00123DC4" w:rsidP="00132057">
            <w:pPr>
              <w:spacing w:before="40" w:after="40"/>
              <w:jc w:val="center"/>
              <w:rPr>
                <w:rFonts w:cs="Arial"/>
                <w:noProof/>
                <w:sz w:val="16"/>
                <w:szCs w:val="16"/>
              </w:rPr>
            </w:pPr>
          </w:p>
        </w:tc>
        <w:tc>
          <w:tcPr>
            <w:tcW w:w="480" w:type="dxa"/>
            <w:tcBorders>
              <w:top w:val="nil"/>
              <w:left w:val="nil"/>
              <w:bottom w:val="single" w:sz="4" w:space="0" w:color="auto"/>
              <w:right w:val="single" w:sz="8" w:space="0" w:color="auto"/>
            </w:tcBorders>
            <w:shd w:val="clear" w:color="auto" w:fill="auto"/>
            <w:noWrap/>
            <w:vAlign w:val="center"/>
          </w:tcPr>
          <w:p w:rsidR="00123DC4" w:rsidRPr="00BD06DF" w:rsidRDefault="00123DC4" w:rsidP="00132057">
            <w:pPr>
              <w:spacing w:before="40" w:after="40"/>
              <w:jc w:val="center"/>
              <w:rPr>
                <w:rFonts w:cs="Arial"/>
                <w:noProof/>
                <w:sz w:val="16"/>
                <w:szCs w:val="16"/>
              </w:rPr>
            </w:pPr>
          </w:p>
        </w:tc>
        <w:tc>
          <w:tcPr>
            <w:tcW w:w="480" w:type="dxa"/>
            <w:tcBorders>
              <w:top w:val="nil"/>
              <w:left w:val="nil"/>
              <w:bottom w:val="single" w:sz="4" w:space="0" w:color="auto"/>
              <w:right w:val="single" w:sz="4" w:space="0" w:color="auto"/>
            </w:tcBorders>
            <w:shd w:val="clear" w:color="auto" w:fill="auto"/>
            <w:noWrap/>
            <w:vAlign w:val="center"/>
          </w:tcPr>
          <w:p w:rsidR="00123DC4" w:rsidRPr="00BD06DF" w:rsidRDefault="00123DC4" w:rsidP="00132057">
            <w:pPr>
              <w:spacing w:before="40" w:after="40"/>
              <w:jc w:val="center"/>
              <w:rPr>
                <w:rFonts w:cs="Arial"/>
                <w:noProof/>
                <w:sz w:val="16"/>
                <w:szCs w:val="16"/>
              </w:rPr>
            </w:pPr>
          </w:p>
        </w:tc>
        <w:tc>
          <w:tcPr>
            <w:tcW w:w="480" w:type="dxa"/>
            <w:tcBorders>
              <w:top w:val="nil"/>
              <w:left w:val="nil"/>
              <w:bottom w:val="single" w:sz="4" w:space="0" w:color="auto"/>
              <w:right w:val="single" w:sz="4" w:space="0" w:color="auto"/>
            </w:tcBorders>
            <w:shd w:val="clear" w:color="auto" w:fill="auto"/>
            <w:noWrap/>
            <w:vAlign w:val="center"/>
          </w:tcPr>
          <w:p w:rsidR="00123DC4" w:rsidRPr="00BD06DF" w:rsidRDefault="00123DC4" w:rsidP="00132057">
            <w:pPr>
              <w:spacing w:before="40" w:after="40"/>
              <w:jc w:val="center"/>
              <w:rPr>
                <w:rFonts w:cs="Arial"/>
                <w:noProof/>
                <w:sz w:val="16"/>
                <w:szCs w:val="16"/>
              </w:rPr>
            </w:pPr>
          </w:p>
        </w:tc>
        <w:tc>
          <w:tcPr>
            <w:tcW w:w="480" w:type="dxa"/>
            <w:tcBorders>
              <w:top w:val="nil"/>
              <w:left w:val="nil"/>
              <w:bottom w:val="single" w:sz="4" w:space="0" w:color="auto"/>
              <w:right w:val="single" w:sz="4" w:space="0" w:color="auto"/>
            </w:tcBorders>
            <w:shd w:val="clear" w:color="auto" w:fill="auto"/>
            <w:noWrap/>
            <w:vAlign w:val="center"/>
          </w:tcPr>
          <w:p w:rsidR="00123DC4" w:rsidRPr="00BD06DF" w:rsidRDefault="00123DC4" w:rsidP="00132057">
            <w:pPr>
              <w:spacing w:before="40" w:after="40"/>
              <w:jc w:val="center"/>
              <w:rPr>
                <w:rFonts w:cs="Arial"/>
                <w:noProof/>
                <w:sz w:val="16"/>
                <w:szCs w:val="16"/>
              </w:rPr>
            </w:pPr>
          </w:p>
        </w:tc>
        <w:tc>
          <w:tcPr>
            <w:tcW w:w="480" w:type="dxa"/>
            <w:tcBorders>
              <w:top w:val="nil"/>
              <w:left w:val="nil"/>
              <w:bottom w:val="single" w:sz="4" w:space="0" w:color="auto"/>
              <w:right w:val="single" w:sz="8" w:space="0" w:color="auto"/>
            </w:tcBorders>
            <w:shd w:val="clear" w:color="auto" w:fill="auto"/>
            <w:noWrap/>
            <w:vAlign w:val="center"/>
          </w:tcPr>
          <w:p w:rsidR="00123DC4" w:rsidRPr="00BD06DF" w:rsidRDefault="00123DC4" w:rsidP="00132057">
            <w:pPr>
              <w:spacing w:before="40" w:after="40"/>
              <w:jc w:val="center"/>
              <w:rPr>
                <w:rFonts w:cs="Arial"/>
                <w:noProof/>
                <w:sz w:val="16"/>
                <w:szCs w:val="16"/>
              </w:rPr>
            </w:pPr>
          </w:p>
        </w:tc>
        <w:tc>
          <w:tcPr>
            <w:tcW w:w="480" w:type="dxa"/>
            <w:tcBorders>
              <w:top w:val="nil"/>
              <w:left w:val="nil"/>
              <w:bottom w:val="single" w:sz="4" w:space="0" w:color="auto"/>
              <w:right w:val="single" w:sz="4" w:space="0" w:color="auto"/>
            </w:tcBorders>
            <w:shd w:val="clear" w:color="auto" w:fill="auto"/>
            <w:noWrap/>
            <w:vAlign w:val="center"/>
          </w:tcPr>
          <w:p w:rsidR="00123DC4" w:rsidRPr="00BD06DF" w:rsidRDefault="00123DC4" w:rsidP="00132057">
            <w:pPr>
              <w:spacing w:before="40" w:after="40"/>
              <w:jc w:val="center"/>
              <w:rPr>
                <w:rFonts w:cs="Arial"/>
                <w:noProof/>
                <w:sz w:val="16"/>
                <w:szCs w:val="16"/>
              </w:rPr>
            </w:pPr>
          </w:p>
        </w:tc>
        <w:tc>
          <w:tcPr>
            <w:tcW w:w="480" w:type="dxa"/>
            <w:tcBorders>
              <w:top w:val="nil"/>
              <w:left w:val="nil"/>
              <w:bottom w:val="single" w:sz="4" w:space="0" w:color="auto"/>
              <w:right w:val="single" w:sz="4" w:space="0" w:color="auto"/>
            </w:tcBorders>
            <w:shd w:val="clear" w:color="auto" w:fill="auto"/>
            <w:noWrap/>
            <w:vAlign w:val="center"/>
          </w:tcPr>
          <w:p w:rsidR="00123DC4" w:rsidRPr="00BD06DF" w:rsidRDefault="00123DC4" w:rsidP="00132057">
            <w:pPr>
              <w:spacing w:before="40" w:after="40"/>
              <w:jc w:val="center"/>
              <w:rPr>
                <w:rFonts w:cs="Arial"/>
                <w:noProof/>
                <w:sz w:val="16"/>
                <w:szCs w:val="16"/>
              </w:rPr>
            </w:pPr>
            <w:r w:rsidRPr="00BD06DF">
              <w:rPr>
                <w:rFonts w:cs="Arial"/>
                <w:noProof/>
                <w:sz w:val="16"/>
                <w:szCs w:val="16"/>
              </w:rPr>
              <w:t>X</w:t>
            </w:r>
          </w:p>
        </w:tc>
        <w:tc>
          <w:tcPr>
            <w:tcW w:w="480" w:type="dxa"/>
            <w:tcBorders>
              <w:top w:val="nil"/>
              <w:left w:val="nil"/>
              <w:bottom w:val="single" w:sz="4" w:space="0" w:color="auto"/>
              <w:right w:val="single" w:sz="4" w:space="0" w:color="auto"/>
            </w:tcBorders>
            <w:shd w:val="clear" w:color="auto" w:fill="auto"/>
            <w:noWrap/>
            <w:vAlign w:val="center"/>
          </w:tcPr>
          <w:p w:rsidR="00123DC4" w:rsidRPr="00BD06DF" w:rsidRDefault="00123DC4" w:rsidP="00132057">
            <w:pPr>
              <w:spacing w:before="40" w:after="40"/>
              <w:jc w:val="center"/>
              <w:rPr>
                <w:rFonts w:cs="Arial"/>
                <w:noProof/>
                <w:sz w:val="16"/>
                <w:szCs w:val="16"/>
              </w:rPr>
            </w:pPr>
            <w:r w:rsidRPr="00BD06DF">
              <w:rPr>
                <w:rFonts w:cs="Arial"/>
                <w:noProof/>
                <w:sz w:val="16"/>
                <w:szCs w:val="16"/>
              </w:rPr>
              <w:t>X</w:t>
            </w:r>
          </w:p>
        </w:tc>
        <w:tc>
          <w:tcPr>
            <w:tcW w:w="480" w:type="dxa"/>
            <w:tcBorders>
              <w:top w:val="nil"/>
              <w:left w:val="nil"/>
              <w:bottom w:val="single" w:sz="4" w:space="0" w:color="auto"/>
              <w:right w:val="single" w:sz="8" w:space="0" w:color="auto"/>
            </w:tcBorders>
            <w:shd w:val="clear" w:color="auto" w:fill="auto"/>
            <w:noWrap/>
            <w:vAlign w:val="center"/>
          </w:tcPr>
          <w:p w:rsidR="00123DC4" w:rsidRPr="00BD06DF" w:rsidRDefault="00123DC4" w:rsidP="00132057">
            <w:pPr>
              <w:spacing w:before="40" w:after="40"/>
              <w:jc w:val="center"/>
              <w:rPr>
                <w:rFonts w:cs="Arial"/>
                <w:noProof/>
                <w:sz w:val="16"/>
                <w:szCs w:val="16"/>
              </w:rPr>
            </w:pPr>
          </w:p>
        </w:tc>
        <w:tc>
          <w:tcPr>
            <w:tcW w:w="480" w:type="dxa"/>
            <w:tcBorders>
              <w:top w:val="nil"/>
              <w:left w:val="nil"/>
              <w:bottom w:val="single" w:sz="4" w:space="0" w:color="auto"/>
              <w:right w:val="single" w:sz="4" w:space="0" w:color="auto"/>
            </w:tcBorders>
            <w:shd w:val="clear" w:color="auto" w:fill="auto"/>
            <w:noWrap/>
            <w:vAlign w:val="center"/>
          </w:tcPr>
          <w:p w:rsidR="00123DC4" w:rsidRPr="00BD06DF" w:rsidRDefault="00123DC4" w:rsidP="00132057">
            <w:pPr>
              <w:spacing w:before="40" w:after="40"/>
              <w:jc w:val="center"/>
              <w:rPr>
                <w:rFonts w:cs="Arial"/>
                <w:noProof/>
                <w:sz w:val="16"/>
                <w:szCs w:val="16"/>
              </w:rPr>
            </w:pPr>
          </w:p>
        </w:tc>
        <w:tc>
          <w:tcPr>
            <w:tcW w:w="480" w:type="dxa"/>
            <w:tcBorders>
              <w:top w:val="nil"/>
              <w:left w:val="nil"/>
              <w:bottom w:val="single" w:sz="4" w:space="0" w:color="auto"/>
              <w:right w:val="single" w:sz="4" w:space="0" w:color="auto"/>
            </w:tcBorders>
            <w:shd w:val="clear" w:color="auto" w:fill="auto"/>
            <w:noWrap/>
            <w:vAlign w:val="center"/>
          </w:tcPr>
          <w:p w:rsidR="00123DC4" w:rsidRPr="00BD06DF" w:rsidRDefault="00123DC4" w:rsidP="00132057">
            <w:pPr>
              <w:spacing w:before="40" w:after="40"/>
              <w:jc w:val="center"/>
              <w:rPr>
                <w:rFonts w:cs="Arial"/>
                <w:noProof/>
                <w:sz w:val="16"/>
                <w:szCs w:val="16"/>
              </w:rPr>
            </w:pPr>
          </w:p>
        </w:tc>
        <w:tc>
          <w:tcPr>
            <w:tcW w:w="480" w:type="dxa"/>
            <w:tcBorders>
              <w:top w:val="nil"/>
              <w:left w:val="nil"/>
              <w:bottom w:val="single" w:sz="4" w:space="0" w:color="auto"/>
              <w:right w:val="single" w:sz="4" w:space="0" w:color="auto"/>
            </w:tcBorders>
            <w:shd w:val="clear" w:color="auto" w:fill="auto"/>
            <w:noWrap/>
            <w:vAlign w:val="center"/>
          </w:tcPr>
          <w:p w:rsidR="00123DC4" w:rsidRPr="00BD06DF" w:rsidRDefault="00123DC4" w:rsidP="00132057">
            <w:pPr>
              <w:spacing w:before="40" w:after="40"/>
              <w:jc w:val="center"/>
              <w:rPr>
                <w:rFonts w:cs="Arial"/>
                <w:noProof/>
                <w:sz w:val="16"/>
                <w:szCs w:val="16"/>
              </w:rPr>
            </w:pPr>
          </w:p>
        </w:tc>
        <w:tc>
          <w:tcPr>
            <w:tcW w:w="480" w:type="dxa"/>
            <w:tcBorders>
              <w:top w:val="nil"/>
              <w:left w:val="nil"/>
              <w:bottom w:val="single" w:sz="4" w:space="0" w:color="auto"/>
              <w:right w:val="single" w:sz="8" w:space="0" w:color="auto"/>
            </w:tcBorders>
            <w:shd w:val="clear" w:color="auto" w:fill="auto"/>
            <w:noWrap/>
            <w:vAlign w:val="center"/>
          </w:tcPr>
          <w:p w:rsidR="00123DC4" w:rsidRPr="00BD06DF" w:rsidRDefault="00123DC4" w:rsidP="00132057">
            <w:pPr>
              <w:spacing w:before="40" w:after="40"/>
              <w:jc w:val="center"/>
              <w:rPr>
                <w:rFonts w:cs="Arial"/>
                <w:noProof/>
                <w:sz w:val="16"/>
                <w:szCs w:val="16"/>
              </w:rPr>
            </w:pPr>
          </w:p>
        </w:tc>
      </w:tr>
      <w:tr w:rsidR="00123DC4" w:rsidRPr="00BD06DF" w:rsidTr="00132057">
        <w:trPr>
          <w:trHeight w:val="425"/>
          <w:jc w:val="center"/>
        </w:trPr>
        <w:tc>
          <w:tcPr>
            <w:tcW w:w="1840" w:type="dxa"/>
            <w:tcBorders>
              <w:top w:val="nil"/>
              <w:left w:val="single" w:sz="8" w:space="0" w:color="auto"/>
              <w:bottom w:val="single" w:sz="4" w:space="0" w:color="auto"/>
              <w:right w:val="single" w:sz="8" w:space="0" w:color="auto"/>
            </w:tcBorders>
            <w:shd w:val="clear" w:color="auto" w:fill="auto"/>
            <w:noWrap/>
            <w:vAlign w:val="center"/>
          </w:tcPr>
          <w:p w:rsidR="00123DC4" w:rsidRPr="00BD06DF" w:rsidRDefault="00123DC4" w:rsidP="00132057">
            <w:pPr>
              <w:spacing w:before="40" w:after="40"/>
              <w:rPr>
                <w:rFonts w:cs="Arial"/>
                <w:noProof/>
                <w:sz w:val="16"/>
                <w:szCs w:val="16"/>
              </w:rPr>
            </w:pPr>
            <w:r w:rsidRPr="00BD06DF">
              <w:rPr>
                <w:rFonts w:cs="Arial"/>
                <w:noProof/>
                <w:sz w:val="16"/>
                <w:szCs w:val="16"/>
              </w:rPr>
              <w:t>Works</w:t>
            </w:r>
          </w:p>
        </w:tc>
        <w:tc>
          <w:tcPr>
            <w:tcW w:w="480" w:type="dxa"/>
            <w:tcBorders>
              <w:top w:val="nil"/>
              <w:left w:val="nil"/>
              <w:bottom w:val="single" w:sz="4" w:space="0" w:color="auto"/>
              <w:right w:val="single" w:sz="4" w:space="0" w:color="auto"/>
            </w:tcBorders>
            <w:shd w:val="clear" w:color="auto" w:fill="auto"/>
            <w:noWrap/>
            <w:vAlign w:val="bottom"/>
          </w:tcPr>
          <w:p w:rsidR="00123DC4" w:rsidRPr="00BD06DF" w:rsidRDefault="00123DC4" w:rsidP="00132057">
            <w:pPr>
              <w:spacing w:before="40" w:after="40"/>
              <w:rPr>
                <w:rFonts w:cs="Arial"/>
                <w:noProof/>
                <w:sz w:val="16"/>
                <w:szCs w:val="16"/>
              </w:rPr>
            </w:pPr>
          </w:p>
        </w:tc>
        <w:tc>
          <w:tcPr>
            <w:tcW w:w="480" w:type="dxa"/>
            <w:tcBorders>
              <w:top w:val="nil"/>
              <w:left w:val="nil"/>
              <w:bottom w:val="single" w:sz="4" w:space="0" w:color="auto"/>
              <w:right w:val="single" w:sz="4" w:space="0" w:color="auto"/>
            </w:tcBorders>
            <w:shd w:val="clear" w:color="auto" w:fill="auto"/>
            <w:noWrap/>
            <w:vAlign w:val="center"/>
          </w:tcPr>
          <w:p w:rsidR="00123DC4" w:rsidRPr="00BD06DF" w:rsidRDefault="00123DC4" w:rsidP="00132057">
            <w:pPr>
              <w:spacing w:before="40" w:after="40"/>
              <w:jc w:val="center"/>
              <w:rPr>
                <w:rFonts w:cs="Arial"/>
                <w:noProof/>
                <w:sz w:val="16"/>
                <w:szCs w:val="16"/>
              </w:rPr>
            </w:pPr>
          </w:p>
        </w:tc>
        <w:tc>
          <w:tcPr>
            <w:tcW w:w="480" w:type="dxa"/>
            <w:tcBorders>
              <w:top w:val="nil"/>
              <w:left w:val="nil"/>
              <w:bottom w:val="single" w:sz="4" w:space="0" w:color="auto"/>
              <w:right w:val="single" w:sz="4" w:space="0" w:color="auto"/>
            </w:tcBorders>
            <w:shd w:val="clear" w:color="auto" w:fill="auto"/>
            <w:noWrap/>
            <w:vAlign w:val="center"/>
          </w:tcPr>
          <w:p w:rsidR="00123DC4" w:rsidRPr="00BD06DF" w:rsidRDefault="00123DC4" w:rsidP="00132057">
            <w:pPr>
              <w:spacing w:before="40" w:after="40"/>
              <w:jc w:val="center"/>
              <w:rPr>
                <w:rFonts w:cs="Arial"/>
                <w:noProof/>
                <w:sz w:val="16"/>
                <w:szCs w:val="16"/>
              </w:rPr>
            </w:pPr>
          </w:p>
        </w:tc>
        <w:tc>
          <w:tcPr>
            <w:tcW w:w="480" w:type="dxa"/>
            <w:tcBorders>
              <w:top w:val="nil"/>
              <w:left w:val="nil"/>
              <w:bottom w:val="single" w:sz="4" w:space="0" w:color="auto"/>
              <w:right w:val="single" w:sz="8" w:space="0" w:color="auto"/>
            </w:tcBorders>
            <w:shd w:val="clear" w:color="auto" w:fill="auto"/>
            <w:noWrap/>
            <w:vAlign w:val="center"/>
          </w:tcPr>
          <w:p w:rsidR="00123DC4" w:rsidRPr="00BD06DF" w:rsidRDefault="00123DC4" w:rsidP="00132057">
            <w:pPr>
              <w:spacing w:before="40" w:after="40"/>
              <w:jc w:val="center"/>
              <w:rPr>
                <w:rFonts w:cs="Arial"/>
                <w:noProof/>
                <w:sz w:val="16"/>
                <w:szCs w:val="16"/>
              </w:rPr>
            </w:pPr>
          </w:p>
        </w:tc>
        <w:tc>
          <w:tcPr>
            <w:tcW w:w="480" w:type="dxa"/>
            <w:tcBorders>
              <w:top w:val="nil"/>
              <w:left w:val="nil"/>
              <w:bottom w:val="single" w:sz="4" w:space="0" w:color="auto"/>
              <w:right w:val="single" w:sz="4" w:space="0" w:color="auto"/>
            </w:tcBorders>
            <w:shd w:val="clear" w:color="auto" w:fill="auto"/>
            <w:noWrap/>
            <w:vAlign w:val="center"/>
          </w:tcPr>
          <w:p w:rsidR="00123DC4" w:rsidRPr="00BD06DF" w:rsidRDefault="00123DC4" w:rsidP="00132057">
            <w:pPr>
              <w:spacing w:before="40" w:after="40"/>
              <w:jc w:val="center"/>
              <w:rPr>
                <w:rFonts w:cs="Arial"/>
                <w:noProof/>
                <w:sz w:val="16"/>
                <w:szCs w:val="16"/>
              </w:rPr>
            </w:pPr>
          </w:p>
        </w:tc>
        <w:tc>
          <w:tcPr>
            <w:tcW w:w="480" w:type="dxa"/>
            <w:tcBorders>
              <w:top w:val="nil"/>
              <w:left w:val="nil"/>
              <w:bottom w:val="single" w:sz="4" w:space="0" w:color="auto"/>
              <w:right w:val="single" w:sz="4" w:space="0" w:color="auto"/>
            </w:tcBorders>
            <w:shd w:val="clear" w:color="auto" w:fill="auto"/>
            <w:noWrap/>
            <w:vAlign w:val="center"/>
          </w:tcPr>
          <w:p w:rsidR="00123DC4" w:rsidRPr="00BD06DF" w:rsidRDefault="00123DC4" w:rsidP="00132057">
            <w:pPr>
              <w:spacing w:before="40" w:after="40"/>
              <w:jc w:val="center"/>
              <w:rPr>
                <w:rFonts w:cs="Arial"/>
                <w:noProof/>
                <w:sz w:val="16"/>
                <w:szCs w:val="16"/>
              </w:rPr>
            </w:pPr>
          </w:p>
        </w:tc>
        <w:tc>
          <w:tcPr>
            <w:tcW w:w="480" w:type="dxa"/>
            <w:tcBorders>
              <w:top w:val="nil"/>
              <w:left w:val="nil"/>
              <w:bottom w:val="single" w:sz="4" w:space="0" w:color="auto"/>
              <w:right w:val="single" w:sz="4" w:space="0" w:color="auto"/>
            </w:tcBorders>
            <w:shd w:val="clear" w:color="auto" w:fill="auto"/>
            <w:noWrap/>
            <w:vAlign w:val="center"/>
          </w:tcPr>
          <w:p w:rsidR="00123DC4" w:rsidRPr="00BD06DF" w:rsidRDefault="00123DC4" w:rsidP="00132057">
            <w:pPr>
              <w:spacing w:before="40" w:after="40"/>
              <w:jc w:val="center"/>
              <w:rPr>
                <w:rFonts w:cs="Arial"/>
                <w:noProof/>
                <w:sz w:val="16"/>
                <w:szCs w:val="16"/>
              </w:rPr>
            </w:pPr>
          </w:p>
        </w:tc>
        <w:tc>
          <w:tcPr>
            <w:tcW w:w="480" w:type="dxa"/>
            <w:tcBorders>
              <w:top w:val="nil"/>
              <w:left w:val="nil"/>
              <w:bottom w:val="single" w:sz="4" w:space="0" w:color="auto"/>
              <w:right w:val="single" w:sz="8" w:space="0" w:color="auto"/>
            </w:tcBorders>
            <w:shd w:val="clear" w:color="auto" w:fill="auto"/>
            <w:noWrap/>
            <w:vAlign w:val="center"/>
          </w:tcPr>
          <w:p w:rsidR="00123DC4" w:rsidRPr="00BD06DF" w:rsidRDefault="00123DC4" w:rsidP="00132057">
            <w:pPr>
              <w:spacing w:before="40" w:after="40"/>
              <w:jc w:val="center"/>
              <w:rPr>
                <w:rFonts w:cs="Arial"/>
                <w:noProof/>
                <w:sz w:val="16"/>
                <w:szCs w:val="16"/>
              </w:rPr>
            </w:pPr>
          </w:p>
        </w:tc>
        <w:tc>
          <w:tcPr>
            <w:tcW w:w="480" w:type="dxa"/>
            <w:tcBorders>
              <w:top w:val="nil"/>
              <w:left w:val="nil"/>
              <w:bottom w:val="single" w:sz="4" w:space="0" w:color="auto"/>
              <w:right w:val="single" w:sz="4" w:space="0" w:color="auto"/>
            </w:tcBorders>
            <w:shd w:val="clear" w:color="auto" w:fill="auto"/>
            <w:noWrap/>
            <w:vAlign w:val="center"/>
          </w:tcPr>
          <w:p w:rsidR="00123DC4" w:rsidRPr="00BD06DF" w:rsidRDefault="00123DC4" w:rsidP="00132057">
            <w:pPr>
              <w:spacing w:before="40" w:after="40"/>
              <w:jc w:val="center"/>
              <w:rPr>
                <w:rFonts w:cs="Arial"/>
                <w:noProof/>
                <w:sz w:val="16"/>
                <w:szCs w:val="16"/>
              </w:rPr>
            </w:pPr>
          </w:p>
        </w:tc>
        <w:tc>
          <w:tcPr>
            <w:tcW w:w="480" w:type="dxa"/>
            <w:tcBorders>
              <w:top w:val="nil"/>
              <w:left w:val="nil"/>
              <w:bottom w:val="single" w:sz="4" w:space="0" w:color="auto"/>
              <w:right w:val="single" w:sz="4" w:space="0" w:color="auto"/>
            </w:tcBorders>
            <w:shd w:val="clear" w:color="auto" w:fill="auto"/>
            <w:noWrap/>
            <w:vAlign w:val="center"/>
          </w:tcPr>
          <w:p w:rsidR="00123DC4" w:rsidRPr="00BD06DF" w:rsidRDefault="00123DC4" w:rsidP="00132057">
            <w:pPr>
              <w:spacing w:before="40" w:after="40"/>
              <w:jc w:val="center"/>
              <w:rPr>
                <w:rFonts w:cs="Arial"/>
                <w:noProof/>
                <w:sz w:val="16"/>
                <w:szCs w:val="16"/>
              </w:rPr>
            </w:pPr>
          </w:p>
        </w:tc>
        <w:tc>
          <w:tcPr>
            <w:tcW w:w="480" w:type="dxa"/>
            <w:tcBorders>
              <w:top w:val="nil"/>
              <w:left w:val="nil"/>
              <w:bottom w:val="single" w:sz="4" w:space="0" w:color="auto"/>
              <w:right w:val="single" w:sz="4" w:space="0" w:color="auto"/>
            </w:tcBorders>
            <w:shd w:val="clear" w:color="auto" w:fill="auto"/>
            <w:noWrap/>
            <w:vAlign w:val="center"/>
          </w:tcPr>
          <w:p w:rsidR="00123DC4" w:rsidRPr="00BD06DF" w:rsidRDefault="00123DC4" w:rsidP="00132057">
            <w:pPr>
              <w:spacing w:before="40" w:after="40"/>
              <w:jc w:val="center"/>
              <w:rPr>
                <w:rFonts w:cs="Arial"/>
                <w:noProof/>
                <w:sz w:val="16"/>
                <w:szCs w:val="16"/>
              </w:rPr>
            </w:pPr>
            <w:r w:rsidRPr="00BD06DF">
              <w:rPr>
                <w:rFonts w:cs="Arial"/>
                <w:noProof/>
                <w:sz w:val="16"/>
                <w:szCs w:val="16"/>
              </w:rPr>
              <w:t>X</w:t>
            </w:r>
          </w:p>
        </w:tc>
        <w:tc>
          <w:tcPr>
            <w:tcW w:w="480" w:type="dxa"/>
            <w:tcBorders>
              <w:top w:val="nil"/>
              <w:left w:val="nil"/>
              <w:bottom w:val="single" w:sz="4" w:space="0" w:color="auto"/>
              <w:right w:val="single" w:sz="8" w:space="0" w:color="auto"/>
            </w:tcBorders>
            <w:shd w:val="clear" w:color="auto" w:fill="auto"/>
            <w:noWrap/>
            <w:vAlign w:val="center"/>
          </w:tcPr>
          <w:p w:rsidR="00123DC4" w:rsidRPr="00BD06DF" w:rsidRDefault="00123DC4" w:rsidP="00132057">
            <w:pPr>
              <w:spacing w:before="40" w:after="40"/>
              <w:jc w:val="center"/>
              <w:rPr>
                <w:rFonts w:cs="Arial"/>
                <w:noProof/>
                <w:sz w:val="16"/>
                <w:szCs w:val="16"/>
              </w:rPr>
            </w:pPr>
            <w:r w:rsidRPr="00BD06DF">
              <w:rPr>
                <w:rFonts w:cs="Arial"/>
                <w:noProof/>
                <w:sz w:val="16"/>
                <w:szCs w:val="16"/>
              </w:rPr>
              <w:t>X</w:t>
            </w:r>
          </w:p>
        </w:tc>
        <w:tc>
          <w:tcPr>
            <w:tcW w:w="480" w:type="dxa"/>
            <w:tcBorders>
              <w:top w:val="nil"/>
              <w:left w:val="nil"/>
              <w:bottom w:val="single" w:sz="4" w:space="0" w:color="auto"/>
              <w:right w:val="single" w:sz="4" w:space="0" w:color="auto"/>
            </w:tcBorders>
            <w:shd w:val="clear" w:color="auto" w:fill="auto"/>
            <w:noWrap/>
            <w:vAlign w:val="center"/>
          </w:tcPr>
          <w:p w:rsidR="00123DC4" w:rsidRPr="00BD06DF" w:rsidRDefault="00123DC4" w:rsidP="00132057">
            <w:pPr>
              <w:spacing w:before="40" w:after="40"/>
              <w:jc w:val="center"/>
              <w:rPr>
                <w:rFonts w:cs="Arial"/>
                <w:noProof/>
                <w:sz w:val="16"/>
                <w:szCs w:val="16"/>
              </w:rPr>
            </w:pPr>
            <w:r w:rsidRPr="00BD06DF">
              <w:rPr>
                <w:rFonts w:cs="Arial"/>
                <w:noProof/>
                <w:sz w:val="16"/>
                <w:szCs w:val="16"/>
              </w:rPr>
              <w:t>X</w:t>
            </w:r>
          </w:p>
        </w:tc>
        <w:tc>
          <w:tcPr>
            <w:tcW w:w="480" w:type="dxa"/>
            <w:tcBorders>
              <w:top w:val="nil"/>
              <w:left w:val="nil"/>
              <w:bottom w:val="single" w:sz="4" w:space="0" w:color="auto"/>
              <w:right w:val="single" w:sz="4" w:space="0" w:color="auto"/>
            </w:tcBorders>
            <w:shd w:val="clear" w:color="auto" w:fill="auto"/>
            <w:noWrap/>
            <w:vAlign w:val="center"/>
          </w:tcPr>
          <w:p w:rsidR="00123DC4" w:rsidRPr="00BD06DF" w:rsidRDefault="00123DC4" w:rsidP="00132057">
            <w:pPr>
              <w:spacing w:before="40" w:after="40"/>
              <w:jc w:val="center"/>
              <w:rPr>
                <w:rFonts w:cs="Arial"/>
                <w:noProof/>
                <w:sz w:val="16"/>
                <w:szCs w:val="16"/>
              </w:rPr>
            </w:pPr>
            <w:r w:rsidRPr="00BD06DF">
              <w:rPr>
                <w:rFonts w:cs="Arial"/>
                <w:noProof/>
                <w:sz w:val="16"/>
                <w:szCs w:val="16"/>
              </w:rPr>
              <w:t>X</w:t>
            </w:r>
          </w:p>
        </w:tc>
        <w:tc>
          <w:tcPr>
            <w:tcW w:w="480" w:type="dxa"/>
            <w:tcBorders>
              <w:top w:val="nil"/>
              <w:left w:val="nil"/>
              <w:bottom w:val="single" w:sz="4" w:space="0" w:color="auto"/>
              <w:right w:val="single" w:sz="4" w:space="0" w:color="auto"/>
            </w:tcBorders>
            <w:shd w:val="clear" w:color="auto" w:fill="auto"/>
            <w:noWrap/>
            <w:vAlign w:val="center"/>
          </w:tcPr>
          <w:p w:rsidR="00123DC4" w:rsidRPr="00BD06DF" w:rsidRDefault="00123DC4" w:rsidP="00132057">
            <w:pPr>
              <w:spacing w:before="40" w:after="40"/>
              <w:jc w:val="center"/>
              <w:rPr>
                <w:rFonts w:cs="Arial"/>
                <w:noProof/>
                <w:sz w:val="16"/>
                <w:szCs w:val="16"/>
              </w:rPr>
            </w:pPr>
            <w:r w:rsidRPr="00BD06DF">
              <w:rPr>
                <w:rFonts w:cs="Arial"/>
                <w:noProof/>
                <w:sz w:val="16"/>
                <w:szCs w:val="16"/>
              </w:rPr>
              <w:t>X</w:t>
            </w:r>
          </w:p>
        </w:tc>
        <w:tc>
          <w:tcPr>
            <w:tcW w:w="480" w:type="dxa"/>
            <w:tcBorders>
              <w:top w:val="nil"/>
              <w:left w:val="nil"/>
              <w:bottom w:val="single" w:sz="4" w:space="0" w:color="auto"/>
              <w:right w:val="single" w:sz="8" w:space="0" w:color="auto"/>
            </w:tcBorders>
            <w:shd w:val="clear" w:color="auto" w:fill="auto"/>
            <w:noWrap/>
            <w:vAlign w:val="center"/>
          </w:tcPr>
          <w:p w:rsidR="00123DC4" w:rsidRPr="00BD06DF" w:rsidRDefault="00123DC4" w:rsidP="00132057">
            <w:pPr>
              <w:spacing w:before="40" w:after="40"/>
              <w:jc w:val="center"/>
              <w:rPr>
                <w:rFonts w:cs="Arial"/>
                <w:noProof/>
                <w:sz w:val="16"/>
                <w:szCs w:val="16"/>
              </w:rPr>
            </w:pPr>
          </w:p>
        </w:tc>
      </w:tr>
      <w:tr w:rsidR="00123DC4" w:rsidRPr="00BD06DF" w:rsidTr="00132057">
        <w:trPr>
          <w:trHeight w:val="397"/>
          <w:jc w:val="center"/>
        </w:trPr>
        <w:tc>
          <w:tcPr>
            <w:tcW w:w="1840" w:type="dxa"/>
            <w:tcBorders>
              <w:top w:val="nil"/>
              <w:left w:val="single" w:sz="8" w:space="0" w:color="auto"/>
              <w:bottom w:val="single" w:sz="4" w:space="0" w:color="auto"/>
              <w:right w:val="single" w:sz="8" w:space="0" w:color="auto"/>
            </w:tcBorders>
            <w:shd w:val="clear" w:color="auto" w:fill="auto"/>
            <w:noWrap/>
            <w:vAlign w:val="center"/>
            <w:hideMark/>
          </w:tcPr>
          <w:p w:rsidR="00123DC4" w:rsidRPr="00BD06DF" w:rsidRDefault="00123DC4" w:rsidP="00132057">
            <w:pPr>
              <w:spacing w:before="40" w:after="40"/>
              <w:rPr>
                <w:rFonts w:cs="Arial"/>
                <w:noProof/>
                <w:sz w:val="16"/>
                <w:szCs w:val="16"/>
              </w:rPr>
            </w:pPr>
            <w:r w:rsidRPr="00BD06DF">
              <w:rPr>
                <w:rFonts w:cs="Arial"/>
                <w:noProof/>
                <w:sz w:val="16"/>
                <w:szCs w:val="16"/>
              </w:rPr>
              <w:t>Commissioning</w:t>
            </w:r>
          </w:p>
        </w:tc>
        <w:tc>
          <w:tcPr>
            <w:tcW w:w="480" w:type="dxa"/>
            <w:tcBorders>
              <w:top w:val="nil"/>
              <w:left w:val="nil"/>
              <w:bottom w:val="single" w:sz="4" w:space="0" w:color="auto"/>
              <w:right w:val="single" w:sz="4" w:space="0" w:color="auto"/>
            </w:tcBorders>
            <w:shd w:val="clear" w:color="auto" w:fill="auto"/>
            <w:noWrap/>
            <w:vAlign w:val="bottom"/>
            <w:hideMark/>
          </w:tcPr>
          <w:p w:rsidR="00123DC4" w:rsidRPr="00BD06DF" w:rsidRDefault="00123DC4" w:rsidP="00132057">
            <w:pPr>
              <w:spacing w:before="40" w:after="40"/>
              <w:rPr>
                <w:rFonts w:cs="Arial"/>
                <w:noProof/>
                <w:sz w:val="16"/>
                <w:szCs w:val="16"/>
              </w:rPr>
            </w:pPr>
            <w:r w:rsidRPr="00BD06DF">
              <w:rPr>
                <w:rFonts w:cs="Arial"/>
                <w:noProof/>
                <w:sz w:val="16"/>
                <w:szCs w:val="16"/>
              </w:rPr>
              <w:t> </w:t>
            </w: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BD06DF" w:rsidRDefault="00123DC4" w:rsidP="00132057">
            <w:pPr>
              <w:spacing w:before="40" w:after="40"/>
              <w:jc w:val="center"/>
              <w:rPr>
                <w:rFonts w:cs="Arial"/>
                <w:noProof/>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BD06DF" w:rsidRDefault="00123DC4" w:rsidP="00132057">
            <w:pPr>
              <w:spacing w:before="40" w:after="40"/>
              <w:jc w:val="center"/>
              <w:rPr>
                <w:rFonts w:cs="Arial"/>
                <w:noProof/>
                <w:sz w:val="16"/>
                <w:szCs w:val="16"/>
              </w:rPr>
            </w:pPr>
          </w:p>
        </w:tc>
        <w:tc>
          <w:tcPr>
            <w:tcW w:w="480" w:type="dxa"/>
            <w:tcBorders>
              <w:top w:val="nil"/>
              <w:left w:val="nil"/>
              <w:bottom w:val="single" w:sz="4" w:space="0" w:color="auto"/>
              <w:right w:val="single" w:sz="8" w:space="0" w:color="auto"/>
            </w:tcBorders>
            <w:shd w:val="clear" w:color="auto" w:fill="auto"/>
            <w:noWrap/>
            <w:vAlign w:val="center"/>
            <w:hideMark/>
          </w:tcPr>
          <w:p w:rsidR="00123DC4" w:rsidRPr="00BD06DF" w:rsidRDefault="00123DC4" w:rsidP="00132057">
            <w:pPr>
              <w:spacing w:before="40" w:after="40"/>
              <w:jc w:val="center"/>
              <w:rPr>
                <w:rFonts w:cs="Arial"/>
                <w:noProof/>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BD06DF" w:rsidRDefault="00123DC4" w:rsidP="00132057">
            <w:pPr>
              <w:spacing w:before="40" w:after="40"/>
              <w:jc w:val="center"/>
              <w:rPr>
                <w:rFonts w:cs="Arial"/>
                <w:noProof/>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BD06DF" w:rsidRDefault="00123DC4" w:rsidP="00132057">
            <w:pPr>
              <w:spacing w:before="40" w:after="40"/>
              <w:jc w:val="center"/>
              <w:rPr>
                <w:rFonts w:cs="Arial"/>
                <w:noProof/>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BD06DF" w:rsidRDefault="00123DC4" w:rsidP="00132057">
            <w:pPr>
              <w:spacing w:before="40" w:after="40"/>
              <w:jc w:val="center"/>
              <w:rPr>
                <w:rFonts w:cs="Arial"/>
                <w:noProof/>
                <w:sz w:val="16"/>
                <w:szCs w:val="16"/>
              </w:rPr>
            </w:pPr>
          </w:p>
        </w:tc>
        <w:tc>
          <w:tcPr>
            <w:tcW w:w="480" w:type="dxa"/>
            <w:tcBorders>
              <w:top w:val="nil"/>
              <w:left w:val="nil"/>
              <w:bottom w:val="single" w:sz="4" w:space="0" w:color="auto"/>
              <w:right w:val="single" w:sz="8" w:space="0" w:color="auto"/>
            </w:tcBorders>
            <w:shd w:val="clear" w:color="auto" w:fill="auto"/>
            <w:noWrap/>
            <w:vAlign w:val="center"/>
            <w:hideMark/>
          </w:tcPr>
          <w:p w:rsidR="00123DC4" w:rsidRPr="00BD06DF" w:rsidRDefault="00123DC4" w:rsidP="00132057">
            <w:pPr>
              <w:spacing w:before="40" w:after="40"/>
              <w:jc w:val="center"/>
              <w:rPr>
                <w:rFonts w:cs="Arial"/>
                <w:noProof/>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BD06DF" w:rsidRDefault="00123DC4" w:rsidP="00132057">
            <w:pPr>
              <w:spacing w:before="40" w:after="40"/>
              <w:jc w:val="center"/>
              <w:rPr>
                <w:rFonts w:cs="Arial"/>
                <w:noProof/>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BD06DF" w:rsidRDefault="00123DC4" w:rsidP="00132057">
            <w:pPr>
              <w:spacing w:before="40" w:after="40"/>
              <w:jc w:val="center"/>
              <w:rPr>
                <w:rFonts w:cs="Arial"/>
                <w:noProof/>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BD06DF" w:rsidRDefault="00123DC4" w:rsidP="00132057">
            <w:pPr>
              <w:spacing w:before="40" w:after="40"/>
              <w:jc w:val="center"/>
              <w:rPr>
                <w:rFonts w:cs="Arial"/>
                <w:noProof/>
                <w:sz w:val="16"/>
                <w:szCs w:val="16"/>
              </w:rPr>
            </w:pPr>
          </w:p>
        </w:tc>
        <w:tc>
          <w:tcPr>
            <w:tcW w:w="480" w:type="dxa"/>
            <w:tcBorders>
              <w:top w:val="nil"/>
              <w:left w:val="nil"/>
              <w:bottom w:val="single" w:sz="4" w:space="0" w:color="auto"/>
              <w:right w:val="single" w:sz="8" w:space="0" w:color="auto"/>
            </w:tcBorders>
            <w:shd w:val="clear" w:color="auto" w:fill="auto"/>
            <w:noWrap/>
            <w:vAlign w:val="center"/>
            <w:hideMark/>
          </w:tcPr>
          <w:p w:rsidR="00123DC4" w:rsidRPr="00BD06DF" w:rsidRDefault="00123DC4" w:rsidP="00132057">
            <w:pPr>
              <w:spacing w:before="40" w:after="40"/>
              <w:jc w:val="center"/>
              <w:rPr>
                <w:rFonts w:cs="Arial"/>
                <w:noProof/>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BD06DF" w:rsidRDefault="00123DC4" w:rsidP="00132057">
            <w:pPr>
              <w:spacing w:before="40" w:after="40"/>
              <w:jc w:val="center"/>
              <w:rPr>
                <w:rFonts w:cs="Arial"/>
                <w:noProof/>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BD06DF" w:rsidRDefault="00123DC4" w:rsidP="00132057">
            <w:pPr>
              <w:spacing w:before="40" w:after="40"/>
              <w:jc w:val="center"/>
              <w:rPr>
                <w:rFonts w:cs="Arial"/>
                <w:noProof/>
                <w:sz w:val="16"/>
                <w:szCs w:val="16"/>
              </w:rPr>
            </w:pPr>
          </w:p>
        </w:tc>
        <w:tc>
          <w:tcPr>
            <w:tcW w:w="480" w:type="dxa"/>
            <w:tcBorders>
              <w:top w:val="nil"/>
              <w:left w:val="nil"/>
              <w:bottom w:val="single" w:sz="4" w:space="0" w:color="auto"/>
              <w:right w:val="single" w:sz="4" w:space="0" w:color="auto"/>
            </w:tcBorders>
            <w:shd w:val="clear" w:color="auto" w:fill="auto"/>
            <w:noWrap/>
            <w:vAlign w:val="center"/>
          </w:tcPr>
          <w:p w:rsidR="00123DC4" w:rsidRPr="00BD06DF" w:rsidRDefault="00123DC4" w:rsidP="00132057">
            <w:pPr>
              <w:spacing w:before="40" w:after="40"/>
              <w:jc w:val="center"/>
              <w:rPr>
                <w:rFonts w:cs="Arial"/>
                <w:noProof/>
                <w:sz w:val="16"/>
                <w:szCs w:val="16"/>
              </w:rPr>
            </w:pPr>
          </w:p>
        </w:tc>
        <w:tc>
          <w:tcPr>
            <w:tcW w:w="480" w:type="dxa"/>
            <w:tcBorders>
              <w:top w:val="nil"/>
              <w:left w:val="nil"/>
              <w:bottom w:val="single" w:sz="4" w:space="0" w:color="auto"/>
              <w:right w:val="single" w:sz="8" w:space="0" w:color="auto"/>
            </w:tcBorders>
            <w:shd w:val="clear" w:color="auto" w:fill="auto"/>
            <w:noWrap/>
            <w:vAlign w:val="center"/>
          </w:tcPr>
          <w:p w:rsidR="00123DC4" w:rsidRPr="00BD06DF" w:rsidRDefault="00123DC4" w:rsidP="00132057">
            <w:pPr>
              <w:spacing w:before="40" w:after="40"/>
              <w:jc w:val="center"/>
              <w:rPr>
                <w:rFonts w:cs="Arial"/>
                <w:noProof/>
                <w:sz w:val="16"/>
                <w:szCs w:val="16"/>
              </w:rPr>
            </w:pPr>
            <w:r w:rsidRPr="00BD06DF">
              <w:rPr>
                <w:rFonts w:cs="Arial"/>
                <w:noProof/>
                <w:sz w:val="16"/>
                <w:szCs w:val="16"/>
              </w:rPr>
              <w:t>X</w:t>
            </w:r>
          </w:p>
        </w:tc>
      </w:tr>
    </w:tbl>
    <w:p w:rsidR="00123DC4" w:rsidRDefault="00123DC4" w:rsidP="00132057"/>
    <w:p w:rsidR="00123DC4" w:rsidRDefault="00123DC4">
      <w:pPr>
        <w:spacing w:after="200" w:line="276" w:lineRule="auto"/>
      </w:pPr>
      <w:r>
        <w:br w:type="page"/>
      </w:r>
    </w:p>
    <w:p w:rsidR="00123DC4" w:rsidRDefault="00123DC4" w:rsidP="00132057">
      <w:pPr>
        <w:rPr>
          <w:b/>
          <w:sz w:val="22"/>
        </w:rPr>
      </w:pPr>
      <w:r w:rsidRPr="00994B87">
        <w:rPr>
          <w:b/>
          <w:sz w:val="22"/>
        </w:rPr>
        <w:t>BUILDINGS – RELATED PROJECTS</w:t>
      </w:r>
    </w:p>
    <w:p w:rsidR="00123DC4" w:rsidRPr="00994B87" w:rsidRDefault="00123DC4" w:rsidP="00132057">
      <w:pPr>
        <w:rPr>
          <w:b/>
          <w:sz w:val="22"/>
        </w:rPr>
      </w:pPr>
    </w:p>
    <w:p w:rsidR="00123DC4" w:rsidRPr="00456D61" w:rsidRDefault="00123DC4" w:rsidP="00550437">
      <w:pPr>
        <w:pStyle w:val="StyleHeading3BoldNounderline"/>
        <w:spacing w:before="0" w:after="0"/>
        <w:ind w:left="1418" w:hanging="1418"/>
        <w:rPr>
          <w:b/>
          <w:sz w:val="20"/>
        </w:rPr>
      </w:pPr>
      <w:bookmarkStart w:id="130" w:name="_Toc422210528"/>
      <w:bookmarkStart w:id="131" w:name="_Toc454544513"/>
      <w:r w:rsidRPr="00456D61">
        <w:rPr>
          <w:b/>
          <w:sz w:val="20"/>
        </w:rPr>
        <w:t>PROJECT</w:t>
      </w:r>
      <w:r w:rsidR="00550437">
        <w:rPr>
          <w:b/>
          <w:sz w:val="20"/>
        </w:rPr>
        <w:t xml:space="preserve"> 6</w:t>
      </w:r>
      <w:r w:rsidR="00550437">
        <w:rPr>
          <w:b/>
          <w:sz w:val="20"/>
        </w:rPr>
        <w:tab/>
      </w:r>
      <w:r w:rsidRPr="00456D61">
        <w:rPr>
          <w:b/>
          <w:sz w:val="20"/>
        </w:rPr>
        <w:t>ARPAD BOGSCH BUILDING - REPLACEMENT OF CERTAIN WINDOWS (CMP 6)</w:t>
      </w:r>
      <w:bookmarkEnd w:id="130"/>
      <w:bookmarkEnd w:id="131"/>
    </w:p>
    <w:p w:rsidR="00123DC4" w:rsidRPr="00994B87" w:rsidRDefault="00123DC4" w:rsidP="00132057">
      <w:pPr>
        <w:rPr>
          <w:sz w:val="22"/>
          <w:szCs w:val="20"/>
        </w:rPr>
      </w:pPr>
    </w:p>
    <w:p w:rsidR="00123DC4" w:rsidRPr="00F47045" w:rsidRDefault="00123DC4" w:rsidP="00132057">
      <w:pPr>
        <w:rPr>
          <w:b/>
          <w:szCs w:val="20"/>
        </w:rPr>
      </w:pPr>
      <w:r w:rsidRPr="00F47045">
        <w:rPr>
          <w:b/>
          <w:szCs w:val="20"/>
        </w:rPr>
        <w:t>Project Manager:</w:t>
      </w:r>
      <w:r w:rsidRPr="00F47045">
        <w:rPr>
          <w:b/>
          <w:szCs w:val="20"/>
        </w:rPr>
        <w:tab/>
        <w:t>Mr. A. FAVERO</w:t>
      </w:r>
    </w:p>
    <w:p w:rsidR="00123DC4" w:rsidRPr="00CF53EE" w:rsidRDefault="00123DC4" w:rsidP="00132057">
      <w:pPr>
        <w:rPr>
          <w:szCs w:val="20"/>
        </w:rPr>
      </w:pPr>
    </w:p>
    <w:p w:rsidR="00123DC4" w:rsidRPr="00F47045" w:rsidRDefault="00123DC4" w:rsidP="00132057">
      <w:pPr>
        <w:rPr>
          <w:bCs/>
          <w:szCs w:val="20"/>
        </w:rPr>
      </w:pPr>
    </w:p>
    <w:p w:rsidR="00123DC4" w:rsidRPr="00F47045" w:rsidRDefault="00123DC4" w:rsidP="00132057">
      <w:pPr>
        <w:rPr>
          <w:bCs/>
          <w:szCs w:val="20"/>
        </w:rPr>
      </w:pPr>
      <w:r w:rsidRPr="00F47045">
        <w:rPr>
          <w:bCs/>
          <w:szCs w:val="20"/>
        </w:rPr>
        <w:t>EXPECTED RESULT</w:t>
      </w:r>
    </w:p>
    <w:p w:rsidR="00123DC4" w:rsidRPr="00F47045" w:rsidRDefault="00123DC4" w:rsidP="00132057">
      <w:pPr>
        <w:rPr>
          <w:bCs/>
          <w:szCs w:val="20"/>
        </w:rPr>
      </w:pPr>
    </w:p>
    <w:p w:rsidR="00123DC4" w:rsidRPr="00F47045" w:rsidRDefault="00123DC4" w:rsidP="00132057">
      <w:pPr>
        <w:rPr>
          <w:i/>
          <w:iCs/>
          <w:szCs w:val="20"/>
        </w:rPr>
      </w:pPr>
      <w:r w:rsidRPr="00CF53EE">
        <w:rPr>
          <w:i/>
          <w:iCs/>
          <w:szCs w:val="20"/>
        </w:rPr>
        <w:t>IX.1  Effective, efficient, quality and customer-oriented support services both to internal clients and to external stakeholders</w:t>
      </w:r>
    </w:p>
    <w:p w:rsidR="00123DC4" w:rsidRDefault="00123DC4" w:rsidP="00132057">
      <w:pPr>
        <w:rPr>
          <w:bCs/>
          <w:szCs w:val="20"/>
        </w:rPr>
      </w:pPr>
    </w:p>
    <w:p w:rsidR="00123DC4" w:rsidRPr="00F47045" w:rsidRDefault="00123DC4" w:rsidP="00132057">
      <w:pPr>
        <w:rPr>
          <w:bCs/>
          <w:szCs w:val="20"/>
        </w:rPr>
      </w:pPr>
    </w:p>
    <w:p w:rsidR="00123DC4" w:rsidRPr="00F47045" w:rsidRDefault="00123DC4" w:rsidP="00132057">
      <w:pPr>
        <w:rPr>
          <w:bCs/>
          <w:szCs w:val="20"/>
        </w:rPr>
      </w:pPr>
      <w:r w:rsidRPr="00F47045">
        <w:rPr>
          <w:bCs/>
          <w:szCs w:val="20"/>
        </w:rPr>
        <w:t>OBJECTIVES, SCOPE AND APPROACH – BACKGROUND</w:t>
      </w:r>
    </w:p>
    <w:p w:rsidR="00123DC4" w:rsidRPr="00F47045" w:rsidRDefault="00123DC4" w:rsidP="00132057">
      <w:pPr>
        <w:rPr>
          <w:bCs/>
          <w:szCs w:val="20"/>
        </w:rPr>
      </w:pPr>
    </w:p>
    <w:p w:rsidR="00123DC4" w:rsidRPr="004860F6" w:rsidRDefault="00123DC4" w:rsidP="00123DC4">
      <w:pPr>
        <w:pStyle w:val="ListParagraph"/>
        <w:numPr>
          <w:ilvl w:val="0"/>
          <w:numId w:val="135"/>
        </w:numPr>
        <w:tabs>
          <w:tab w:val="left" w:pos="567"/>
        </w:tabs>
        <w:ind w:left="0" w:firstLine="0"/>
        <w:jc w:val="both"/>
        <w:rPr>
          <w:bCs/>
        </w:rPr>
      </w:pPr>
      <w:r w:rsidRPr="004860F6">
        <w:rPr>
          <w:bCs/>
        </w:rPr>
        <w:t>The windows on the South-West facade of the AB Building are those which have suffered most over the past three decades from their sunniest and warmest exposure and from the greatest temperature differences each year between winter and summer, with the consequence that their thermic qualities have significantly deteriorated.  In addition, for a number of the same windows as well as for other windows elsewhere on the facade, there has been a color degradation of the blue shade (turning to a variety of pink and purple shades) due to the ageing of the gas components filling the space between the layers of glass.</w:t>
      </w:r>
    </w:p>
    <w:p w:rsidR="00123DC4" w:rsidRPr="00F47045" w:rsidRDefault="00123DC4" w:rsidP="00132057">
      <w:pPr>
        <w:tabs>
          <w:tab w:val="left" w:pos="567"/>
        </w:tabs>
        <w:jc w:val="both"/>
        <w:rPr>
          <w:bCs/>
          <w:szCs w:val="20"/>
        </w:rPr>
      </w:pPr>
    </w:p>
    <w:p w:rsidR="00123DC4" w:rsidRPr="004860F6" w:rsidRDefault="00123DC4" w:rsidP="00123DC4">
      <w:pPr>
        <w:pStyle w:val="ListParagraph"/>
        <w:numPr>
          <w:ilvl w:val="0"/>
          <w:numId w:val="135"/>
        </w:numPr>
        <w:tabs>
          <w:tab w:val="left" w:pos="567"/>
        </w:tabs>
        <w:ind w:left="0" w:firstLine="0"/>
        <w:jc w:val="both"/>
        <w:rPr>
          <w:bCs/>
        </w:rPr>
      </w:pPr>
      <w:r w:rsidRPr="004860F6">
        <w:rPr>
          <w:bCs/>
        </w:rPr>
        <w:t xml:space="preserve">The replacement of these windows will reduce the energy consumption required mainly for cooling the offices concerned in warm weather periods.  It will also allow for a needed aesthetic improvement </w:t>
      </w:r>
      <w:r>
        <w:rPr>
          <w:bCs/>
        </w:rPr>
        <w:t xml:space="preserve">to </w:t>
      </w:r>
      <w:r w:rsidRPr="004860F6">
        <w:rPr>
          <w:bCs/>
        </w:rPr>
        <w:t>the AB Building</w:t>
      </w:r>
      <w:r>
        <w:rPr>
          <w:bCs/>
        </w:rPr>
        <w:t>,</w:t>
      </w:r>
      <w:r w:rsidRPr="004860F6">
        <w:rPr>
          <w:bCs/>
        </w:rPr>
        <w:t xml:space="preserve"> which is one of Geneva’s landmark buildings. </w:t>
      </w:r>
    </w:p>
    <w:p w:rsidR="00123DC4" w:rsidRPr="00F47045" w:rsidRDefault="00123DC4" w:rsidP="00132057">
      <w:pPr>
        <w:tabs>
          <w:tab w:val="left" w:pos="567"/>
        </w:tabs>
        <w:jc w:val="both"/>
        <w:rPr>
          <w:bCs/>
          <w:szCs w:val="20"/>
        </w:rPr>
      </w:pPr>
    </w:p>
    <w:p w:rsidR="00123DC4" w:rsidRPr="004860F6" w:rsidRDefault="00123DC4" w:rsidP="00123DC4">
      <w:pPr>
        <w:pStyle w:val="ListParagraph"/>
        <w:numPr>
          <w:ilvl w:val="0"/>
          <w:numId w:val="135"/>
        </w:numPr>
        <w:tabs>
          <w:tab w:val="left" w:pos="567"/>
        </w:tabs>
        <w:ind w:left="0" w:firstLine="0"/>
        <w:jc w:val="both"/>
        <w:rPr>
          <w:bCs/>
        </w:rPr>
      </w:pPr>
      <w:r w:rsidRPr="004860F6">
        <w:rPr>
          <w:bCs/>
        </w:rPr>
        <w:t>The objectives of the project are to:</w:t>
      </w:r>
      <w:r w:rsidRPr="004860F6">
        <w:rPr>
          <w:bCs/>
          <w:color w:val="000000"/>
        </w:rPr>
        <w:t xml:space="preserve"> (i) improve the thermic quality and the energy efficiency of the South-West facade of the AB Building; (ii) </w:t>
      </w:r>
      <w:r w:rsidRPr="004860F6">
        <w:rPr>
          <w:bCs/>
        </w:rPr>
        <w:t xml:space="preserve">reduce </w:t>
      </w:r>
      <w:r w:rsidRPr="004860F6">
        <w:rPr>
          <w:bCs/>
          <w:color w:val="000000"/>
        </w:rPr>
        <w:t xml:space="preserve">energy </w:t>
      </w:r>
      <w:r w:rsidRPr="004860F6">
        <w:rPr>
          <w:bCs/>
        </w:rPr>
        <w:t xml:space="preserve">consumption; (iii) </w:t>
      </w:r>
      <w:r w:rsidRPr="004860F6">
        <w:rPr>
          <w:bCs/>
          <w:color w:val="000000"/>
        </w:rPr>
        <w:t>improve the thermic comfort of occupants; and (iv) improve the aesthetics of the AB Building.</w:t>
      </w:r>
    </w:p>
    <w:p w:rsidR="00123DC4" w:rsidRDefault="00123DC4" w:rsidP="00132057">
      <w:pPr>
        <w:jc w:val="both"/>
        <w:rPr>
          <w:bCs/>
          <w:szCs w:val="20"/>
        </w:rPr>
      </w:pPr>
    </w:p>
    <w:p w:rsidR="00123DC4" w:rsidRPr="00F47045" w:rsidRDefault="00123DC4" w:rsidP="00132057">
      <w:pPr>
        <w:jc w:val="both"/>
        <w:rPr>
          <w:bCs/>
          <w:szCs w:val="20"/>
        </w:rPr>
      </w:pPr>
    </w:p>
    <w:p w:rsidR="00123DC4" w:rsidRPr="00B13A30" w:rsidRDefault="00123DC4" w:rsidP="00132057">
      <w:pPr>
        <w:jc w:val="both"/>
        <w:rPr>
          <w:bCs/>
          <w:sz w:val="18"/>
          <w:szCs w:val="20"/>
        </w:rPr>
      </w:pPr>
      <w:r w:rsidRPr="00B13A30">
        <w:rPr>
          <w:bCs/>
          <w:szCs w:val="20"/>
        </w:rPr>
        <w:t>OVERVIEW OF PROGRESS IN 2015 (KEY MILESTONES)</w:t>
      </w:r>
    </w:p>
    <w:p w:rsidR="00123DC4" w:rsidRDefault="00123DC4" w:rsidP="00132057">
      <w:pPr>
        <w:jc w:val="both"/>
        <w:rPr>
          <w:bCs/>
          <w:szCs w:val="20"/>
        </w:rPr>
      </w:pPr>
    </w:p>
    <w:p w:rsidR="00123DC4" w:rsidRDefault="00123DC4" w:rsidP="00123DC4">
      <w:pPr>
        <w:pStyle w:val="ListParagraph"/>
        <w:numPr>
          <w:ilvl w:val="0"/>
          <w:numId w:val="135"/>
        </w:numPr>
        <w:tabs>
          <w:tab w:val="left" w:pos="567"/>
        </w:tabs>
        <w:ind w:left="0" w:firstLine="0"/>
        <w:jc w:val="both"/>
        <w:rPr>
          <w:rFonts w:eastAsiaTheme="minorHAnsi" w:cs="Arial"/>
          <w:color w:val="000000"/>
        </w:rPr>
      </w:pPr>
      <w:r w:rsidRPr="00821FE0">
        <w:rPr>
          <w:bCs/>
        </w:rPr>
        <w:t>In</w:t>
      </w:r>
      <w:r w:rsidRPr="00D448D3">
        <w:rPr>
          <w:rFonts w:eastAsiaTheme="minorHAnsi" w:cs="Arial"/>
          <w:color w:val="000000"/>
        </w:rPr>
        <w:t xml:space="preserve"> 2014, the following progress was made: </w:t>
      </w:r>
    </w:p>
    <w:p w:rsidR="00123DC4" w:rsidRPr="00D448D3" w:rsidRDefault="00123DC4" w:rsidP="00132057">
      <w:pPr>
        <w:pStyle w:val="ListParagraph"/>
        <w:tabs>
          <w:tab w:val="left" w:pos="567"/>
        </w:tabs>
        <w:ind w:left="0"/>
        <w:jc w:val="both"/>
        <w:rPr>
          <w:rFonts w:eastAsiaTheme="minorHAnsi" w:cs="Arial"/>
          <w:color w:val="000000"/>
        </w:rPr>
      </w:pPr>
    </w:p>
    <w:p w:rsidR="00123DC4" w:rsidRPr="00821FE0" w:rsidRDefault="00123DC4" w:rsidP="00012EE2">
      <w:pPr>
        <w:pStyle w:val="ListParagraph"/>
        <w:numPr>
          <w:ilvl w:val="0"/>
          <w:numId w:val="147"/>
        </w:numPr>
        <w:autoSpaceDE w:val="0"/>
        <w:autoSpaceDN w:val="0"/>
        <w:adjustRightInd w:val="0"/>
        <w:spacing w:after="120"/>
        <w:ind w:left="1134" w:hanging="567"/>
        <w:rPr>
          <w:bCs/>
        </w:rPr>
      </w:pPr>
      <w:r w:rsidRPr="00821FE0">
        <w:rPr>
          <w:bCs/>
        </w:rPr>
        <w:t xml:space="preserve">drafting of terms of reference (ToRs) for the mandate of facade engineer; </w:t>
      </w:r>
    </w:p>
    <w:p w:rsidR="00123DC4" w:rsidRPr="00821FE0" w:rsidRDefault="00123DC4" w:rsidP="00012EE2">
      <w:pPr>
        <w:pStyle w:val="ListParagraph"/>
        <w:numPr>
          <w:ilvl w:val="0"/>
          <w:numId w:val="147"/>
        </w:numPr>
        <w:autoSpaceDE w:val="0"/>
        <w:autoSpaceDN w:val="0"/>
        <w:adjustRightInd w:val="0"/>
        <w:spacing w:after="120"/>
        <w:ind w:left="1134" w:hanging="567"/>
        <w:rPr>
          <w:bCs/>
        </w:rPr>
      </w:pPr>
      <w:r w:rsidRPr="00821FE0">
        <w:rPr>
          <w:bCs/>
        </w:rPr>
        <w:t xml:space="preserve">launching a call for tenders for a facade engineer; </w:t>
      </w:r>
    </w:p>
    <w:p w:rsidR="00123DC4" w:rsidRPr="00821FE0" w:rsidRDefault="00123DC4" w:rsidP="00012EE2">
      <w:pPr>
        <w:pStyle w:val="ListParagraph"/>
        <w:numPr>
          <w:ilvl w:val="0"/>
          <w:numId w:val="147"/>
        </w:numPr>
        <w:autoSpaceDE w:val="0"/>
        <w:autoSpaceDN w:val="0"/>
        <w:adjustRightInd w:val="0"/>
        <w:spacing w:after="120"/>
        <w:ind w:left="1134" w:hanging="567"/>
        <w:rPr>
          <w:bCs/>
        </w:rPr>
      </w:pPr>
      <w:r w:rsidRPr="00821FE0">
        <w:rPr>
          <w:bCs/>
        </w:rPr>
        <w:t xml:space="preserve">award of contract to the facade engineer; </w:t>
      </w:r>
      <w:r>
        <w:rPr>
          <w:bCs/>
        </w:rPr>
        <w:t xml:space="preserve"> </w:t>
      </w:r>
      <w:r w:rsidRPr="00821FE0">
        <w:rPr>
          <w:bCs/>
        </w:rPr>
        <w:t xml:space="preserve">and </w:t>
      </w:r>
    </w:p>
    <w:p w:rsidR="00123DC4" w:rsidRPr="00821FE0" w:rsidRDefault="00123DC4" w:rsidP="00012EE2">
      <w:pPr>
        <w:pStyle w:val="ListParagraph"/>
        <w:numPr>
          <w:ilvl w:val="0"/>
          <w:numId w:val="147"/>
        </w:numPr>
        <w:autoSpaceDE w:val="0"/>
        <w:autoSpaceDN w:val="0"/>
        <w:adjustRightInd w:val="0"/>
        <w:spacing w:after="120"/>
        <w:ind w:left="1134" w:hanging="567"/>
        <w:rPr>
          <w:bCs/>
        </w:rPr>
      </w:pPr>
      <w:r w:rsidRPr="00821FE0">
        <w:rPr>
          <w:bCs/>
        </w:rPr>
        <w:t xml:space="preserve">review and validation of the project with the facade engineer. </w:t>
      </w:r>
    </w:p>
    <w:p w:rsidR="00123DC4" w:rsidRPr="00D448D3" w:rsidRDefault="00123DC4" w:rsidP="00132057">
      <w:pPr>
        <w:autoSpaceDE w:val="0"/>
        <w:autoSpaceDN w:val="0"/>
        <w:adjustRightInd w:val="0"/>
        <w:rPr>
          <w:rFonts w:eastAsiaTheme="minorHAnsi" w:cs="Arial"/>
          <w:color w:val="000000"/>
          <w:szCs w:val="20"/>
        </w:rPr>
      </w:pPr>
    </w:p>
    <w:p w:rsidR="00123DC4" w:rsidRDefault="00123DC4" w:rsidP="00123DC4">
      <w:pPr>
        <w:pStyle w:val="ListParagraph"/>
        <w:numPr>
          <w:ilvl w:val="0"/>
          <w:numId w:val="135"/>
        </w:numPr>
        <w:tabs>
          <w:tab w:val="left" w:pos="567"/>
        </w:tabs>
        <w:ind w:left="0" w:firstLine="0"/>
        <w:jc w:val="both"/>
        <w:rPr>
          <w:rFonts w:eastAsiaTheme="minorHAnsi" w:cs="Arial"/>
          <w:color w:val="000000"/>
        </w:rPr>
      </w:pPr>
      <w:r w:rsidRPr="00D448D3">
        <w:rPr>
          <w:rFonts w:eastAsiaTheme="minorHAnsi" w:cs="Arial"/>
          <w:color w:val="000000"/>
        </w:rPr>
        <w:t xml:space="preserve">Due to the delayed completion (from beginning 2014 to September 2014) of the new WIPO Conference Hall, the start of the project was delayed by one year relative to the original plan. </w:t>
      </w:r>
      <w:r>
        <w:rPr>
          <w:rFonts w:eastAsiaTheme="minorHAnsi" w:cs="Arial"/>
          <w:color w:val="000000"/>
        </w:rPr>
        <w:t xml:space="preserve"> </w:t>
      </w:r>
      <w:r w:rsidRPr="00D448D3">
        <w:rPr>
          <w:rFonts w:eastAsiaTheme="minorHAnsi" w:cs="Arial"/>
          <w:color w:val="000000"/>
        </w:rPr>
        <w:t xml:space="preserve">As such, the project schedule </w:t>
      </w:r>
      <w:r>
        <w:rPr>
          <w:rFonts w:eastAsiaTheme="minorHAnsi" w:cs="Arial"/>
          <w:color w:val="000000"/>
        </w:rPr>
        <w:t>was</w:t>
      </w:r>
      <w:r w:rsidRPr="00D448D3">
        <w:rPr>
          <w:rFonts w:eastAsiaTheme="minorHAnsi" w:cs="Arial"/>
          <w:color w:val="000000"/>
        </w:rPr>
        <w:t xml:space="preserve"> amended. </w:t>
      </w:r>
    </w:p>
    <w:p w:rsidR="00123DC4" w:rsidRDefault="00123DC4" w:rsidP="00132057">
      <w:pPr>
        <w:autoSpaceDE w:val="0"/>
        <w:autoSpaceDN w:val="0"/>
        <w:adjustRightInd w:val="0"/>
        <w:rPr>
          <w:rFonts w:eastAsiaTheme="minorHAnsi" w:cs="Arial"/>
          <w:color w:val="000000"/>
          <w:szCs w:val="20"/>
        </w:rPr>
      </w:pPr>
    </w:p>
    <w:p w:rsidR="00123DC4" w:rsidRDefault="00123DC4" w:rsidP="00123DC4">
      <w:pPr>
        <w:pStyle w:val="ListParagraph"/>
        <w:numPr>
          <w:ilvl w:val="0"/>
          <w:numId w:val="135"/>
        </w:numPr>
        <w:tabs>
          <w:tab w:val="left" w:pos="567"/>
        </w:tabs>
        <w:ind w:left="0" w:firstLine="0"/>
        <w:jc w:val="both"/>
        <w:rPr>
          <w:rFonts w:eastAsiaTheme="minorHAnsi" w:cs="Arial"/>
        </w:rPr>
      </w:pPr>
      <w:r w:rsidRPr="00821FE0">
        <w:rPr>
          <w:bCs/>
        </w:rPr>
        <w:t>In</w:t>
      </w:r>
      <w:r w:rsidRPr="00723CCF">
        <w:rPr>
          <w:rFonts w:eastAsiaTheme="minorHAnsi" w:cs="Arial"/>
        </w:rPr>
        <w:t xml:space="preserve"> 2015, the following progress was made: </w:t>
      </w:r>
    </w:p>
    <w:p w:rsidR="00123DC4" w:rsidRPr="00723CCF" w:rsidRDefault="00123DC4" w:rsidP="00132057">
      <w:pPr>
        <w:autoSpaceDE w:val="0"/>
        <w:autoSpaceDN w:val="0"/>
        <w:adjustRightInd w:val="0"/>
        <w:rPr>
          <w:rFonts w:eastAsiaTheme="minorHAnsi" w:cs="Arial"/>
          <w:szCs w:val="20"/>
        </w:rPr>
      </w:pPr>
    </w:p>
    <w:p w:rsidR="00123DC4" w:rsidRPr="00821FE0" w:rsidRDefault="00123DC4" w:rsidP="00012EE2">
      <w:pPr>
        <w:pStyle w:val="ListParagraph"/>
        <w:numPr>
          <w:ilvl w:val="0"/>
          <w:numId w:val="147"/>
        </w:numPr>
        <w:autoSpaceDE w:val="0"/>
        <w:autoSpaceDN w:val="0"/>
        <w:adjustRightInd w:val="0"/>
        <w:spacing w:after="120"/>
        <w:ind w:left="1134" w:hanging="567"/>
        <w:rPr>
          <w:bCs/>
        </w:rPr>
      </w:pPr>
      <w:r w:rsidRPr="0011058B">
        <w:rPr>
          <w:bCs/>
        </w:rPr>
        <w:t>carrying out of preparatory work (July and August 2015) to order the windows</w:t>
      </w:r>
      <w:r w:rsidRPr="00821FE0">
        <w:rPr>
          <w:bCs/>
        </w:rPr>
        <w:t xml:space="preserve">; </w:t>
      </w:r>
    </w:p>
    <w:p w:rsidR="00123DC4" w:rsidRPr="00821FE0" w:rsidRDefault="00123DC4" w:rsidP="00012EE2">
      <w:pPr>
        <w:pStyle w:val="ListParagraph"/>
        <w:numPr>
          <w:ilvl w:val="0"/>
          <w:numId w:val="147"/>
        </w:numPr>
        <w:autoSpaceDE w:val="0"/>
        <w:autoSpaceDN w:val="0"/>
        <w:adjustRightInd w:val="0"/>
        <w:spacing w:after="120"/>
        <w:ind w:left="1134" w:hanging="567"/>
        <w:rPr>
          <w:bCs/>
        </w:rPr>
      </w:pPr>
      <w:r w:rsidRPr="00821FE0">
        <w:rPr>
          <w:bCs/>
        </w:rPr>
        <w:t>discovery of technical problems</w:t>
      </w:r>
      <w:r w:rsidR="00550437">
        <w:rPr>
          <w:rStyle w:val="FootnoteReference"/>
          <w:bCs/>
        </w:rPr>
        <w:footnoteReference w:id="180"/>
      </w:r>
      <w:r w:rsidRPr="00821FE0">
        <w:rPr>
          <w:bCs/>
        </w:rPr>
        <w:t xml:space="preserve"> during restricted sample work, which resulted in the work being stopped;</w:t>
      </w:r>
    </w:p>
    <w:p w:rsidR="00123DC4" w:rsidRPr="00821FE0" w:rsidRDefault="00123DC4" w:rsidP="00012EE2">
      <w:pPr>
        <w:pStyle w:val="ListParagraph"/>
        <w:numPr>
          <w:ilvl w:val="0"/>
          <w:numId w:val="147"/>
        </w:numPr>
        <w:autoSpaceDE w:val="0"/>
        <w:autoSpaceDN w:val="0"/>
        <w:adjustRightInd w:val="0"/>
        <w:spacing w:after="120"/>
        <w:ind w:left="1134" w:hanging="567"/>
        <w:rPr>
          <w:bCs/>
        </w:rPr>
      </w:pPr>
      <w:r w:rsidRPr="00821FE0">
        <w:rPr>
          <w:bCs/>
        </w:rPr>
        <w:t>decision to engage experts to re-assess the technical situation</w:t>
      </w:r>
      <w:r w:rsidR="00550437">
        <w:rPr>
          <w:bCs/>
        </w:rPr>
        <w:t>, which will now require a much more complex dismantling operation for the windows and their frames,</w:t>
      </w:r>
      <w:r w:rsidRPr="00821FE0">
        <w:rPr>
          <w:bCs/>
        </w:rPr>
        <w:t xml:space="preserve"> and advise on the next course of actions; </w:t>
      </w:r>
      <w:r>
        <w:rPr>
          <w:bCs/>
        </w:rPr>
        <w:t xml:space="preserve"> </w:t>
      </w:r>
      <w:r w:rsidRPr="00821FE0">
        <w:rPr>
          <w:bCs/>
        </w:rPr>
        <w:t>and</w:t>
      </w:r>
    </w:p>
    <w:p w:rsidR="00123DC4" w:rsidRPr="00821FE0" w:rsidRDefault="00123DC4" w:rsidP="00012EE2">
      <w:pPr>
        <w:pStyle w:val="ListParagraph"/>
        <w:numPr>
          <w:ilvl w:val="0"/>
          <w:numId w:val="147"/>
        </w:numPr>
        <w:autoSpaceDE w:val="0"/>
        <w:autoSpaceDN w:val="0"/>
        <w:adjustRightInd w:val="0"/>
        <w:spacing w:after="120"/>
        <w:ind w:left="1134" w:hanging="567"/>
        <w:rPr>
          <w:bCs/>
        </w:rPr>
      </w:pPr>
      <w:r w:rsidRPr="00821FE0">
        <w:rPr>
          <w:bCs/>
        </w:rPr>
        <w:t>postponement of the execution of the project until technical problems are solved.</w:t>
      </w:r>
    </w:p>
    <w:p w:rsidR="00123DC4" w:rsidRDefault="00123DC4" w:rsidP="00132057">
      <w:pPr>
        <w:autoSpaceDE w:val="0"/>
        <w:autoSpaceDN w:val="0"/>
        <w:adjustRightInd w:val="0"/>
        <w:rPr>
          <w:rFonts w:eastAsiaTheme="minorHAnsi" w:cs="Arial"/>
        </w:rPr>
      </w:pPr>
    </w:p>
    <w:p w:rsidR="00123DC4" w:rsidRDefault="00123DC4" w:rsidP="00123DC4">
      <w:pPr>
        <w:pStyle w:val="ListParagraph"/>
        <w:numPr>
          <w:ilvl w:val="0"/>
          <w:numId w:val="135"/>
        </w:numPr>
        <w:tabs>
          <w:tab w:val="left" w:pos="567"/>
        </w:tabs>
        <w:ind w:left="0" w:firstLine="0"/>
        <w:jc w:val="both"/>
        <w:rPr>
          <w:rFonts w:eastAsiaTheme="minorHAnsi" w:cs="Arial"/>
        </w:rPr>
      </w:pPr>
      <w:r>
        <w:rPr>
          <w:rFonts w:eastAsiaTheme="minorHAnsi" w:cs="Arial"/>
        </w:rPr>
        <w:t xml:space="preserve">At the end of 2015, the full impact of the technical problems on the project was still unknown.  In order to mitigate the risk event, additional </w:t>
      </w:r>
      <w:r w:rsidRPr="000E65C9">
        <w:rPr>
          <w:rFonts w:eastAsiaTheme="minorHAnsi" w:cs="Arial"/>
        </w:rPr>
        <w:t xml:space="preserve">experts </w:t>
      </w:r>
      <w:r>
        <w:rPr>
          <w:rFonts w:eastAsiaTheme="minorHAnsi" w:cs="Arial"/>
        </w:rPr>
        <w:t xml:space="preserve">will be engaged </w:t>
      </w:r>
      <w:r w:rsidRPr="000E65C9">
        <w:rPr>
          <w:rFonts w:eastAsiaTheme="minorHAnsi" w:cs="Arial"/>
        </w:rPr>
        <w:t>and studies</w:t>
      </w:r>
      <w:r>
        <w:rPr>
          <w:rFonts w:eastAsiaTheme="minorHAnsi" w:cs="Arial"/>
        </w:rPr>
        <w:t xml:space="preserve"> conducted</w:t>
      </w:r>
      <w:r w:rsidRPr="000E65C9">
        <w:rPr>
          <w:rFonts w:eastAsiaTheme="minorHAnsi" w:cs="Arial"/>
        </w:rPr>
        <w:t xml:space="preserve"> to advise WIPO </w:t>
      </w:r>
      <w:r>
        <w:rPr>
          <w:rFonts w:eastAsiaTheme="minorHAnsi" w:cs="Arial"/>
        </w:rPr>
        <w:t>on the</w:t>
      </w:r>
      <w:r w:rsidRPr="000E65C9">
        <w:rPr>
          <w:rFonts w:eastAsiaTheme="minorHAnsi" w:cs="Arial"/>
        </w:rPr>
        <w:t xml:space="preserve"> </w:t>
      </w:r>
      <w:r>
        <w:rPr>
          <w:rFonts w:eastAsiaTheme="minorHAnsi" w:cs="Arial"/>
        </w:rPr>
        <w:t>best</w:t>
      </w:r>
      <w:r w:rsidRPr="000E65C9">
        <w:rPr>
          <w:rFonts w:eastAsiaTheme="minorHAnsi" w:cs="Arial"/>
        </w:rPr>
        <w:t xml:space="preserve"> course of action</w:t>
      </w:r>
      <w:r>
        <w:rPr>
          <w:rFonts w:eastAsiaTheme="minorHAnsi" w:cs="Arial"/>
        </w:rPr>
        <w:t xml:space="preserve">.  </w:t>
      </w:r>
    </w:p>
    <w:p w:rsidR="00550437" w:rsidRPr="000E65C9" w:rsidRDefault="00550437" w:rsidP="00550437">
      <w:pPr>
        <w:pStyle w:val="ListParagraph"/>
        <w:tabs>
          <w:tab w:val="left" w:pos="567"/>
        </w:tabs>
        <w:ind w:left="0"/>
        <w:jc w:val="both"/>
        <w:rPr>
          <w:rFonts w:eastAsiaTheme="minorHAnsi" w:cs="Arial"/>
        </w:rPr>
      </w:pPr>
    </w:p>
    <w:p w:rsidR="00123DC4" w:rsidRPr="00F47045" w:rsidRDefault="00123DC4" w:rsidP="00132057">
      <w:pPr>
        <w:rPr>
          <w:bCs/>
          <w:szCs w:val="20"/>
        </w:rPr>
      </w:pPr>
      <w:r w:rsidRPr="00D0210E">
        <w:rPr>
          <w:bCs/>
          <w:szCs w:val="20"/>
          <w:lang w:val="fr-CH"/>
        </w:rPr>
        <w:t>BENEFITS REALIZ</w:t>
      </w:r>
      <w:r w:rsidRPr="00F47045">
        <w:rPr>
          <w:bCs/>
          <w:szCs w:val="20"/>
        </w:rPr>
        <w:t>ATION</w:t>
      </w:r>
    </w:p>
    <w:p w:rsidR="00123DC4" w:rsidRPr="00CF53EE" w:rsidRDefault="00123DC4" w:rsidP="00132057">
      <w:pPr>
        <w:rPr>
          <w:szCs w:val="20"/>
        </w:rPr>
      </w:pPr>
    </w:p>
    <w:tbl>
      <w:tblPr>
        <w:tblW w:w="462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423"/>
        <w:gridCol w:w="4424"/>
      </w:tblGrid>
      <w:tr w:rsidR="00123DC4" w:rsidRPr="00E04EBD" w:rsidTr="00132057">
        <w:trPr>
          <w:trHeight w:val="421"/>
          <w:tblHeader/>
          <w:jc w:val="center"/>
        </w:trPr>
        <w:tc>
          <w:tcPr>
            <w:tcW w:w="2500" w:type="pct"/>
            <w:tcBorders>
              <w:bottom w:val="single" w:sz="4" w:space="0" w:color="auto"/>
            </w:tcBorders>
            <w:shd w:val="clear" w:color="auto" w:fill="C6D9F1" w:themeFill="text2" w:themeFillTint="33"/>
            <w:vAlign w:val="center"/>
          </w:tcPr>
          <w:p w:rsidR="00123DC4" w:rsidRPr="00E04EBD" w:rsidRDefault="00123DC4" w:rsidP="00132057">
            <w:pPr>
              <w:jc w:val="center"/>
              <w:rPr>
                <w:b/>
                <w:bCs/>
                <w:sz w:val="16"/>
                <w:szCs w:val="16"/>
              </w:rPr>
            </w:pPr>
            <w:r>
              <w:rPr>
                <w:b/>
                <w:bCs/>
                <w:sz w:val="16"/>
                <w:szCs w:val="16"/>
              </w:rPr>
              <w:t>Benefits Delivered</w:t>
            </w:r>
            <w:r w:rsidRPr="00E04EBD">
              <w:rPr>
                <w:b/>
                <w:bCs/>
                <w:sz w:val="16"/>
                <w:szCs w:val="16"/>
              </w:rPr>
              <w:t xml:space="preserve"> 2015</w:t>
            </w:r>
          </w:p>
        </w:tc>
        <w:tc>
          <w:tcPr>
            <w:tcW w:w="2500" w:type="pct"/>
            <w:shd w:val="clear" w:color="auto" w:fill="C6D9F1" w:themeFill="text2" w:themeFillTint="33"/>
            <w:vAlign w:val="center"/>
          </w:tcPr>
          <w:p w:rsidR="00123DC4" w:rsidRPr="00E04EBD" w:rsidRDefault="00123DC4" w:rsidP="00132057">
            <w:pPr>
              <w:jc w:val="center"/>
              <w:rPr>
                <w:b/>
                <w:bCs/>
                <w:sz w:val="16"/>
                <w:szCs w:val="16"/>
              </w:rPr>
            </w:pPr>
            <w:r>
              <w:rPr>
                <w:b/>
                <w:bCs/>
                <w:sz w:val="16"/>
                <w:szCs w:val="16"/>
              </w:rPr>
              <w:t xml:space="preserve">Future </w:t>
            </w:r>
            <w:r w:rsidRPr="00E04EBD">
              <w:rPr>
                <w:b/>
                <w:bCs/>
                <w:sz w:val="16"/>
                <w:szCs w:val="16"/>
              </w:rPr>
              <w:t xml:space="preserve">Expected Benefits </w:t>
            </w:r>
          </w:p>
        </w:tc>
      </w:tr>
      <w:tr w:rsidR="00123DC4" w:rsidRPr="00E04EBD" w:rsidTr="00132057">
        <w:trPr>
          <w:trHeight w:val="564"/>
          <w:jc w:val="center"/>
        </w:trPr>
        <w:tc>
          <w:tcPr>
            <w:tcW w:w="2500" w:type="pct"/>
            <w:tcBorders>
              <w:top w:val="single" w:sz="4" w:space="0" w:color="auto"/>
              <w:bottom w:val="single" w:sz="4" w:space="0" w:color="auto"/>
            </w:tcBorders>
            <w:vAlign w:val="center"/>
          </w:tcPr>
          <w:p w:rsidR="00123DC4" w:rsidRPr="00855F38" w:rsidRDefault="00123DC4" w:rsidP="00132057">
            <w:pPr>
              <w:rPr>
                <w:bCs/>
                <w:sz w:val="16"/>
                <w:szCs w:val="16"/>
              </w:rPr>
            </w:pPr>
            <w:r w:rsidRPr="00855F38">
              <w:rPr>
                <w:bCs/>
                <w:sz w:val="16"/>
                <w:szCs w:val="16"/>
              </w:rPr>
              <w:t>No benefits were delivered in 2015 due to the interruption of the work following the discovery of technical problems.</w:t>
            </w:r>
          </w:p>
        </w:tc>
        <w:tc>
          <w:tcPr>
            <w:tcW w:w="2500" w:type="pct"/>
            <w:shd w:val="clear" w:color="auto" w:fill="auto"/>
            <w:vAlign w:val="center"/>
          </w:tcPr>
          <w:p w:rsidR="00123DC4" w:rsidRPr="00A62678" w:rsidRDefault="00123DC4" w:rsidP="00132057">
            <w:pPr>
              <w:rPr>
                <w:bCs/>
                <w:sz w:val="16"/>
                <w:szCs w:val="16"/>
              </w:rPr>
            </w:pPr>
            <w:r w:rsidRPr="0091658B">
              <w:rPr>
                <w:bCs/>
                <w:sz w:val="16"/>
                <w:szCs w:val="16"/>
              </w:rPr>
              <w:t>Complete reduction in energy loss through the south-west facade of the AB Building</w:t>
            </w:r>
            <w:r w:rsidRPr="00A62678">
              <w:rPr>
                <w:bCs/>
                <w:sz w:val="16"/>
                <w:szCs w:val="16"/>
              </w:rPr>
              <w:t>.</w:t>
            </w:r>
          </w:p>
        </w:tc>
      </w:tr>
      <w:tr w:rsidR="00123DC4" w:rsidRPr="00E04EBD" w:rsidTr="00132057">
        <w:trPr>
          <w:trHeight w:val="564"/>
          <w:jc w:val="center"/>
        </w:trPr>
        <w:tc>
          <w:tcPr>
            <w:tcW w:w="2500" w:type="pct"/>
            <w:tcBorders>
              <w:top w:val="single" w:sz="4" w:space="0" w:color="auto"/>
              <w:bottom w:val="single" w:sz="4" w:space="0" w:color="auto"/>
            </w:tcBorders>
            <w:vAlign w:val="center"/>
          </w:tcPr>
          <w:p w:rsidR="00123DC4" w:rsidRPr="00855F38" w:rsidRDefault="00123DC4" w:rsidP="00132057">
            <w:pPr>
              <w:rPr>
                <w:bCs/>
                <w:sz w:val="16"/>
                <w:szCs w:val="16"/>
              </w:rPr>
            </w:pPr>
          </w:p>
        </w:tc>
        <w:tc>
          <w:tcPr>
            <w:tcW w:w="2500" w:type="pct"/>
            <w:shd w:val="clear" w:color="auto" w:fill="auto"/>
            <w:vAlign w:val="center"/>
          </w:tcPr>
          <w:p w:rsidR="00123DC4" w:rsidRPr="00A62678" w:rsidRDefault="00123DC4" w:rsidP="00132057">
            <w:pPr>
              <w:rPr>
                <w:bCs/>
                <w:sz w:val="16"/>
                <w:szCs w:val="16"/>
              </w:rPr>
            </w:pPr>
            <w:r w:rsidRPr="0091658B">
              <w:rPr>
                <w:bCs/>
                <w:sz w:val="16"/>
                <w:szCs w:val="16"/>
              </w:rPr>
              <w:t>Better thermic comfort year-round</w:t>
            </w:r>
            <w:r w:rsidRPr="00A62678">
              <w:rPr>
                <w:bCs/>
                <w:sz w:val="16"/>
                <w:szCs w:val="16"/>
              </w:rPr>
              <w:t>.</w:t>
            </w:r>
          </w:p>
        </w:tc>
      </w:tr>
      <w:tr w:rsidR="00123DC4" w:rsidRPr="00E04EBD" w:rsidTr="00132057">
        <w:trPr>
          <w:trHeight w:val="564"/>
          <w:jc w:val="center"/>
        </w:trPr>
        <w:tc>
          <w:tcPr>
            <w:tcW w:w="2500" w:type="pct"/>
            <w:tcBorders>
              <w:top w:val="single" w:sz="4" w:space="0" w:color="auto"/>
              <w:bottom w:val="single" w:sz="4" w:space="0" w:color="auto"/>
            </w:tcBorders>
            <w:vAlign w:val="center"/>
          </w:tcPr>
          <w:p w:rsidR="00123DC4" w:rsidRPr="00855F38" w:rsidRDefault="00123DC4" w:rsidP="00132057">
            <w:pPr>
              <w:rPr>
                <w:bCs/>
                <w:sz w:val="16"/>
                <w:szCs w:val="16"/>
              </w:rPr>
            </w:pPr>
          </w:p>
        </w:tc>
        <w:tc>
          <w:tcPr>
            <w:tcW w:w="2500" w:type="pct"/>
            <w:shd w:val="clear" w:color="auto" w:fill="auto"/>
            <w:vAlign w:val="center"/>
          </w:tcPr>
          <w:p w:rsidR="00123DC4" w:rsidRPr="00855F38" w:rsidRDefault="00123DC4" w:rsidP="00132057">
            <w:pPr>
              <w:rPr>
                <w:bCs/>
                <w:sz w:val="16"/>
                <w:szCs w:val="16"/>
              </w:rPr>
            </w:pPr>
            <w:r w:rsidRPr="00855F38">
              <w:rPr>
                <w:bCs/>
                <w:sz w:val="16"/>
                <w:szCs w:val="16"/>
              </w:rPr>
              <w:t>Recycling of least damaged windows for use in other facades of the AB Building</w:t>
            </w:r>
            <w:r>
              <w:rPr>
                <w:bCs/>
                <w:sz w:val="16"/>
                <w:szCs w:val="16"/>
              </w:rPr>
              <w:t>.</w:t>
            </w:r>
          </w:p>
        </w:tc>
      </w:tr>
      <w:tr w:rsidR="00123DC4" w:rsidRPr="00E04EBD" w:rsidTr="00132057">
        <w:trPr>
          <w:trHeight w:val="564"/>
          <w:jc w:val="center"/>
        </w:trPr>
        <w:tc>
          <w:tcPr>
            <w:tcW w:w="2500" w:type="pct"/>
            <w:tcBorders>
              <w:top w:val="single" w:sz="4" w:space="0" w:color="auto"/>
              <w:bottom w:val="single" w:sz="4" w:space="0" w:color="auto"/>
            </w:tcBorders>
            <w:vAlign w:val="center"/>
          </w:tcPr>
          <w:p w:rsidR="00123DC4" w:rsidRPr="00855F38" w:rsidRDefault="00123DC4" w:rsidP="00132057">
            <w:pPr>
              <w:rPr>
                <w:bCs/>
                <w:sz w:val="16"/>
                <w:szCs w:val="16"/>
              </w:rPr>
            </w:pPr>
          </w:p>
        </w:tc>
        <w:tc>
          <w:tcPr>
            <w:tcW w:w="2500" w:type="pct"/>
            <w:shd w:val="clear" w:color="auto" w:fill="auto"/>
            <w:vAlign w:val="center"/>
          </w:tcPr>
          <w:p w:rsidR="00123DC4" w:rsidRPr="00855F38" w:rsidRDefault="00123DC4" w:rsidP="00132057">
            <w:pPr>
              <w:rPr>
                <w:bCs/>
                <w:sz w:val="16"/>
                <w:szCs w:val="16"/>
              </w:rPr>
            </w:pPr>
            <w:r w:rsidRPr="00855F38">
              <w:rPr>
                <w:bCs/>
                <w:sz w:val="16"/>
                <w:szCs w:val="16"/>
              </w:rPr>
              <w:t>Improved aesthetics of the south-west facade of the AB Building</w:t>
            </w:r>
            <w:r>
              <w:rPr>
                <w:bCs/>
                <w:sz w:val="16"/>
                <w:szCs w:val="16"/>
              </w:rPr>
              <w:t>.</w:t>
            </w:r>
          </w:p>
        </w:tc>
      </w:tr>
      <w:tr w:rsidR="00123DC4" w:rsidRPr="00E04EBD" w:rsidTr="00132057">
        <w:trPr>
          <w:trHeight w:val="564"/>
          <w:jc w:val="center"/>
        </w:trPr>
        <w:tc>
          <w:tcPr>
            <w:tcW w:w="2500" w:type="pct"/>
            <w:tcBorders>
              <w:top w:val="single" w:sz="4" w:space="0" w:color="auto"/>
              <w:bottom w:val="single" w:sz="4" w:space="0" w:color="auto"/>
            </w:tcBorders>
            <w:vAlign w:val="center"/>
          </w:tcPr>
          <w:p w:rsidR="00123DC4" w:rsidRPr="00855F38" w:rsidRDefault="00123DC4" w:rsidP="00132057">
            <w:pPr>
              <w:rPr>
                <w:bCs/>
                <w:sz w:val="16"/>
                <w:szCs w:val="16"/>
              </w:rPr>
            </w:pPr>
          </w:p>
        </w:tc>
        <w:tc>
          <w:tcPr>
            <w:tcW w:w="2500" w:type="pct"/>
            <w:shd w:val="clear" w:color="auto" w:fill="auto"/>
            <w:vAlign w:val="center"/>
          </w:tcPr>
          <w:p w:rsidR="00123DC4" w:rsidRPr="00855F38" w:rsidRDefault="00123DC4" w:rsidP="00132057">
            <w:pPr>
              <w:rPr>
                <w:bCs/>
                <w:sz w:val="16"/>
                <w:szCs w:val="16"/>
              </w:rPr>
            </w:pPr>
            <w:r w:rsidRPr="00855F38">
              <w:rPr>
                <w:bCs/>
                <w:sz w:val="16"/>
                <w:szCs w:val="16"/>
              </w:rPr>
              <w:t>Better energy efficiency</w:t>
            </w:r>
            <w:r>
              <w:rPr>
                <w:bCs/>
                <w:sz w:val="16"/>
                <w:szCs w:val="16"/>
              </w:rPr>
              <w:t>.</w:t>
            </w:r>
          </w:p>
        </w:tc>
      </w:tr>
    </w:tbl>
    <w:p w:rsidR="00123DC4" w:rsidRPr="00E04EBD" w:rsidRDefault="00123DC4" w:rsidP="00132057">
      <w:pPr>
        <w:rPr>
          <w:b/>
          <w:szCs w:val="20"/>
        </w:rPr>
      </w:pPr>
    </w:p>
    <w:p w:rsidR="00123DC4" w:rsidRPr="00E04EBD" w:rsidRDefault="00123DC4" w:rsidP="00132057">
      <w:pPr>
        <w:rPr>
          <w:szCs w:val="20"/>
        </w:rPr>
      </w:pPr>
    </w:p>
    <w:p w:rsidR="00123DC4" w:rsidRPr="00ED7C01" w:rsidRDefault="00123DC4" w:rsidP="00132057">
      <w:pPr>
        <w:rPr>
          <w:rFonts w:cs="Arial"/>
          <w:color w:val="000000"/>
          <w:szCs w:val="20"/>
        </w:rPr>
      </w:pPr>
      <w:r w:rsidRPr="00ED7C01">
        <w:rPr>
          <w:rFonts w:cs="Arial"/>
          <w:color w:val="000000"/>
          <w:szCs w:val="20"/>
        </w:rPr>
        <w:t>RESOURCE UTILIZATION</w:t>
      </w:r>
      <w:r w:rsidRPr="00ED7C01">
        <w:rPr>
          <w:rStyle w:val="FootnoteReference"/>
          <w:szCs w:val="20"/>
        </w:rPr>
        <w:footnoteReference w:id="181"/>
      </w:r>
      <w:r w:rsidRPr="00ED7C01">
        <w:rPr>
          <w:rFonts w:cs="Arial"/>
          <w:color w:val="000000"/>
          <w:szCs w:val="20"/>
        </w:rPr>
        <w:tab/>
      </w:r>
    </w:p>
    <w:p w:rsidR="00123DC4" w:rsidRPr="00E04EBD" w:rsidRDefault="00123DC4" w:rsidP="00132057">
      <w:pPr>
        <w:rPr>
          <w:rFonts w:cs="Arial"/>
          <w:color w:val="000000"/>
          <w:sz w:val="22"/>
          <w:szCs w:val="22"/>
        </w:rPr>
      </w:pPr>
    </w:p>
    <w:p w:rsidR="00123DC4" w:rsidRPr="00E04EBD" w:rsidRDefault="00123DC4" w:rsidP="00132057">
      <w:pPr>
        <w:keepNext/>
        <w:keepLines/>
        <w:tabs>
          <w:tab w:val="left" w:pos="3261"/>
        </w:tabs>
        <w:autoSpaceDE w:val="0"/>
        <w:autoSpaceDN w:val="0"/>
        <w:adjustRightInd w:val="0"/>
        <w:jc w:val="center"/>
        <w:rPr>
          <w:b/>
          <w:szCs w:val="22"/>
        </w:rPr>
      </w:pPr>
      <w:r w:rsidRPr="00E04EBD">
        <w:rPr>
          <w:b/>
          <w:szCs w:val="22"/>
        </w:rPr>
        <w:t>Project Budget Utilization</w:t>
      </w:r>
    </w:p>
    <w:p w:rsidR="00123DC4" w:rsidRPr="00ED7C01" w:rsidRDefault="00123DC4" w:rsidP="00132057">
      <w:pPr>
        <w:keepNext/>
        <w:keepLines/>
        <w:tabs>
          <w:tab w:val="left" w:pos="3261"/>
        </w:tabs>
        <w:autoSpaceDE w:val="0"/>
        <w:autoSpaceDN w:val="0"/>
        <w:adjustRightInd w:val="0"/>
        <w:spacing w:after="120"/>
        <w:jc w:val="center"/>
        <w:rPr>
          <w:i/>
          <w:iCs/>
          <w:sz w:val="18"/>
          <w:szCs w:val="18"/>
        </w:rPr>
      </w:pPr>
      <w:r w:rsidRPr="00E04EBD">
        <w:rPr>
          <w:i/>
          <w:iCs/>
          <w:sz w:val="18"/>
          <w:szCs w:val="18"/>
        </w:rPr>
        <w:t>(</w:t>
      </w:r>
      <w:r>
        <w:rPr>
          <w:i/>
          <w:iCs/>
          <w:sz w:val="18"/>
          <w:szCs w:val="18"/>
        </w:rPr>
        <w:t>i</w:t>
      </w:r>
      <w:r w:rsidRPr="00E04EBD">
        <w:rPr>
          <w:i/>
          <w:iCs/>
          <w:sz w:val="18"/>
          <w:szCs w:val="18"/>
        </w:rPr>
        <w:t>n Swiss francs, as at December 31, 201</w:t>
      </w:r>
      <w:r>
        <w:rPr>
          <w:i/>
          <w:iCs/>
          <w:sz w:val="18"/>
          <w:szCs w:val="18"/>
        </w:rPr>
        <w:t>5</w:t>
      </w:r>
      <w:r w:rsidRPr="00E04EBD">
        <w:rPr>
          <w:i/>
          <w:iCs/>
          <w:sz w:val="18"/>
          <w:szCs w:val="18"/>
        </w:rPr>
        <w:t>)</w:t>
      </w:r>
    </w:p>
    <w:tbl>
      <w:tblPr>
        <w:tblpPr w:leftFromText="180" w:rightFromText="180" w:vertAnchor="text" w:horzAnchor="margin" w:tblpX="182" w:tblpY="17"/>
        <w:tblW w:w="487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41"/>
        <w:gridCol w:w="1565"/>
        <w:gridCol w:w="1565"/>
        <w:gridCol w:w="1564"/>
        <w:gridCol w:w="1687"/>
      </w:tblGrid>
      <w:tr w:rsidR="00123DC4" w:rsidRPr="00E04EBD" w:rsidTr="00132057">
        <w:trPr>
          <w:trHeight w:val="410"/>
        </w:trPr>
        <w:tc>
          <w:tcPr>
            <w:tcW w:w="1577"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A62678" w:rsidRDefault="00123DC4" w:rsidP="00132057">
            <w:pPr>
              <w:keepNext/>
              <w:keepLines/>
              <w:autoSpaceDE w:val="0"/>
              <w:autoSpaceDN w:val="0"/>
              <w:adjustRightInd w:val="0"/>
              <w:spacing w:before="40" w:after="40"/>
              <w:ind w:left="-74" w:right="-60"/>
              <w:jc w:val="center"/>
              <w:rPr>
                <w:b/>
                <w:bCs/>
                <w:sz w:val="16"/>
                <w:szCs w:val="16"/>
              </w:rPr>
            </w:pPr>
            <w:r w:rsidRPr="00A62678">
              <w:rPr>
                <w:b/>
                <w:bCs/>
                <w:sz w:val="16"/>
                <w:szCs w:val="16"/>
              </w:rPr>
              <w:t>Project Name</w:t>
            </w:r>
          </w:p>
        </w:tc>
        <w:tc>
          <w:tcPr>
            <w:tcW w:w="839"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122972" w:rsidRDefault="00123DC4" w:rsidP="00132057">
            <w:pPr>
              <w:keepNext/>
              <w:keepLines/>
              <w:autoSpaceDE w:val="0"/>
              <w:autoSpaceDN w:val="0"/>
              <w:adjustRightInd w:val="0"/>
              <w:spacing w:before="40" w:after="40"/>
              <w:ind w:left="-107" w:right="-108"/>
              <w:jc w:val="center"/>
              <w:rPr>
                <w:b/>
                <w:bCs/>
                <w:sz w:val="16"/>
                <w:szCs w:val="16"/>
              </w:rPr>
            </w:pPr>
            <w:r w:rsidRPr="00122972">
              <w:rPr>
                <w:b/>
                <w:bCs/>
                <w:sz w:val="16"/>
                <w:szCs w:val="16"/>
              </w:rPr>
              <w:t>Project Budget</w:t>
            </w:r>
          </w:p>
        </w:tc>
        <w:tc>
          <w:tcPr>
            <w:tcW w:w="839"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122972" w:rsidRDefault="00123DC4" w:rsidP="00132057">
            <w:pPr>
              <w:keepNext/>
              <w:keepLines/>
              <w:autoSpaceDE w:val="0"/>
              <w:autoSpaceDN w:val="0"/>
              <w:adjustRightInd w:val="0"/>
              <w:spacing w:before="40" w:after="40"/>
              <w:ind w:left="-108" w:right="-106"/>
              <w:jc w:val="center"/>
              <w:rPr>
                <w:b/>
                <w:bCs/>
                <w:sz w:val="16"/>
                <w:szCs w:val="16"/>
              </w:rPr>
            </w:pPr>
            <w:r w:rsidRPr="00122972">
              <w:rPr>
                <w:b/>
                <w:bCs/>
                <w:sz w:val="16"/>
                <w:szCs w:val="16"/>
              </w:rPr>
              <w:t>Actual Expenditure to Date</w:t>
            </w:r>
          </w:p>
        </w:tc>
        <w:tc>
          <w:tcPr>
            <w:tcW w:w="839"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C67D85" w:rsidRDefault="00123DC4" w:rsidP="00132057">
            <w:pPr>
              <w:keepNext/>
              <w:keepLines/>
              <w:autoSpaceDE w:val="0"/>
              <w:autoSpaceDN w:val="0"/>
              <w:adjustRightInd w:val="0"/>
              <w:spacing w:before="40" w:after="40"/>
              <w:ind w:left="-109" w:right="-108"/>
              <w:jc w:val="center"/>
              <w:rPr>
                <w:b/>
                <w:bCs/>
                <w:sz w:val="16"/>
                <w:szCs w:val="16"/>
              </w:rPr>
            </w:pPr>
            <w:r w:rsidRPr="00122972">
              <w:rPr>
                <w:b/>
                <w:bCs/>
                <w:sz w:val="16"/>
                <w:szCs w:val="16"/>
              </w:rPr>
              <w:t>Actua</w:t>
            </w:r>
            <w:r w:rsidRPr="00C67D85">
              <w:rPr>
                <w:b/>
                <w:bCs/>
                <w:sz w:val="16"/>
                <w:szCs w:val="16"/>
              </w:rPr>
              <w:t>l Budget Utilization</w:t>
            </w:r>
          </w:p>
        </w:tc>
        <w:tc>
          <w:tcPr>
            <w:tcW w:w="905"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E04EBD" w:rsidRDefault="00123DC4" w:rsidP="00132057">
            <w:pPr>
              <w:keepNext/>
              <w:keepLines/>
              <w:autoSpaceDE w:val="0"/>
              <w:autoSpaceDN w:val="0"/>
              <w:adjustRightInd w:val="0"/>
              <w:spacing w:before="40" w:after="40"/>
              <w:ind w:left="-109" w:right="-73" w:firstLine="1"/>
              <w:jc w:val="center"/>
              <w:rPr>
                <w:b/>
                <w:bCs/>
                <w:sz w:val="16"/>
                <w:szCs w:val="16"/>
              </w:rPr>
            </w:pPr>
            <w:r w:rsidRPr="0003400D">
              <w:rPr>
                <w:b/>
                <w:bCs/>
                <w:sz w:val="16"/>
                <w:szCs w:val="16"/>
              </w:rPr>
              <w:t>Implementation Progress Rate of the Project</w:t>
            </w:r>
          </w:p>
        </w:tc>
      </w:tr>
      <w:tr w:rsidR="00123DC4" w:rsidRPr="00E04EBD" w:rsidTr="00132057">
        <w:trPr>
          <w:trHeight w:val="389"/>
        </w:trPr>
        <w:tc>
          <w:tcPr>
            <w:tcW w:w="1577" w:type="pct"/>
            <w:tcBorders>
              <w:top w:val="single" w:sz="4" w:space="0" w:color="auto"/>
              <w:left w:val="single" w:sz="4" w:space="0" w:color="auto"/>
              <w:bottom w:val="single" w:sz="4" w:space="0" w:color="auto"/>
              <w:right w:val="single" w:sz="4" w:space="0" w:color="auto"/>
            </w:tcBorders>
            <w:vAlign w:val="center"/>
          </w:tcPr>
          <w:p w:rsidR="00123DC4" w:rsidRPr="00E04EBD" w:rsidRDefault="00123DC4" w:rsidP="00D979B0">
            <w:pPr>
              <w:keepNext/>
              <w:keepLines/>
              <w:autoSpaceDE w:val="0"/>
              <w:autoSpaceDN w:val="0"/>
              <w:adjustRightInd w:val="0"/>
              <w:spacing w:before="40" w:after="40"/>
              <w:rPr>
                <w:sz w:val="16"/>
                <w:szCs w:val="16"/>
              </w:rPr>
            </w:pPr>
            <w:r w:rsidRPr="00C7742C">
              <w:rPr>
                <w:sz w:val="16"/>
                <w:szCs w:val="16"/>
              </w:rPr>
              <w:t>Arpad Bogsch Building</w:t>
            </w:r>
            <w:r w:rsidR="00D979B0">
              <w:rPr>
                <w:sz w:val="16"/>
                <w:szCs w:val="16"/>
              </w:rPr>
              <w:t xml:space="preserve">: </w:t>
            </w:r>
            <w:r w:rsidRPr="00C7742C">
              <w:rPr>
                <w:sz w:val="16"/>
                <w:szCs w:val="16"/>
              </w:rPr>
              <w:t xml:space="preserve"> replacement of certain windows</w:t>
            </w:r>
          </w:p>
        </w:tc>
        <w:tc>
          <w:tcPr>
            <w:tcW w:w="839" w:type="pct"/>
            <w:tcBorders>
              <w:top w:val="single" w:sz="4" w:space="0" w:color="auto"/>
              <w:left w:val="single" w:sz="4" w:space="0" w:color="auto"/>
              <w:bottom w:val="single" w:sz="4" w:space="0" w:color="auto"/>
              <w:right w:val="single" w:sz="4" w:space="0" w:color="auto"/>
            </w:tcBorders>
            <w:vAlign w:val="center"/>
          </w:tcPr>
          <w:p w:rsidR="00123DC4" w:rsidRPr="00E04EBD" w:rsidRDefault="00123DC4" w:rsidP="00132057">
            <w:pPr>
              <w:keepNext/>
              <w:keepLines/>
              <w:autoSpaceDE w:val="0"/>
              <w:autoSpaceDN w:val="0"/>
              <w:adjustRightInd w:val="0"/>
              <w:spacing w:before="40" w:after="40"/>
              <w:jc w:val="center"/>
              <w:rPr>
                <w:sz w:val="16"/>
                <w:szCs w:val="16"/>
              </w:rPr>
            </w:pPr>
            <w:r w:rsidRPr="00E04EBD">
              <w:rPr>
                <w:sz w:val="16"/>
                <w:szCs w:val="16"/>
              </w:rPr>
              <w:t>300</w:t>
            </w:r>
            <w:r>
              <w:rPr>
                <w:sz w:val="16"/>
                <w:szCs w:val="16"/>
              </w:rPr>
              <w:t>,</w:t>
            </w:r>
            <w:r w:rsidRPr="00E04EBD">
              <w:rPr>
                <w:sz w:val="16"/>
                <w:szCs w:val="16"/>
              </w:rPr>
              <w:t>000</w:t>
            </w:r>
          </w:p>
        </w:tc>
        <w:tc>
          <w:tcPr>
            <w:tcW w:w="839" w:type="pct"/>
            <w:tcBorders>
              <w:top w:val="single" w:sz="4" w:space="0" w:color="auto"/>
              <w:left w:val="single" w:sz="4" w:space="0" w:color="auto"/>
              <w:bottom w:val="single" w:sz="4" w:space="0" w:color="auto"/>
              <w:right w:val="single" w:sz="4" w:space="0" w:color="auto"/>
            </w:tcBorders>
            <w:vAlign w:val="center"/>
          </w:tcPr>
          <w:p w:rsidR="00123DC4" w:rsidRPr="00723CCF" w:rsidRDefault="00123DC4" w:rsidP="00132057">
            <w:pPr>
              <w:keepNext/>
              <w:keepLines/>
              <w:autoSpaceDE w:val="0"/>
              <w:autoSpaceDN w:val="0"/>
              <w:adjustRightInd w:val="0"/>
              <w:spacing w:before="40" w:after="40"/>
              <w:jc w:val="center"/>
              <w:rPr>
                <w:sz w:val="16"/>
                <w:szCs w:val="16"/>
              </w:rPr>
            </w:pPr>
            <w:r w:rsidRPr="00723CCF">
              <w:rPr>
                <w:sz w:val="16"/>
                <w:szCs w:val="16"/>
              </w:rPr>
              <w:t>47,042</w:t>
            </w:r>
          </w:p>
        </w:tc>
        <w:tc>
          <w:tcPr>
            <w:tcW w:w="839" w:type="pct"/>
            <w:tcBorders>
              <w:top w:val="single" w:sz="4" w:space="0" w:color="auto"/>
              <w:left w:val="single" w:sz="4" w:space="0" w:color="auto"/>
              <w:bottom w:val="single" w:sz="4" w:space="0" w:color="auto"/>
              <w:right w:val="single" w:sz="4" w:space="0" w:color="auto"/>
            </w:tcBorders>
            <w:vAlign w:val="center"/>
          </w:tcPr>
          <w:p w:rsidR="00123DC4" w:rsidRPr="00723CCF" w:rsidRDefault="00123DC4" w:rsidP="00132057">
            <w:pPr>
              <w:keepNext/>
              <w:keepLines/>
              <w:autoSpaceDE w:val="0"/>
              <w:autoSpaceDN w:val="0"/>
              <w:adjustRightInd w:val="0"/>
              <w:spacing w:before="40" w:after="40"/>
              <w:jc w:val="center"/>
              <w:rPr>
                <w:sz w:val="16"/>
                <w:szCs w:val="16"/>
              </w:rPr>
            </w:pPr>
            <w:r w:rsidRPr="00723CCF">
              <w:rPr>
                <w:sz w:val="16"/>
                <w:szCs w:val="16"/>
              </w:rPr>
              <w:t>15.7%</w:t>
            </w:r>
          </w:p>
        </w:tc>
        <w:tc>
          <w:tcPr>
            <w:tcW w:w="905" w:type="pct"/>
            <w:tcBorders>
              <w:top w:val="single" w:sz="4" w:space="0" w:color="auto"/>
              <w:left w:val="single" w:sz="4" w:space="0" w:color="auto"/>
              <w:bottom w:val="single" w:sz="4" w:space="0" w:color="auto"/>
              <w:right w:val="single" w:sz="4" w:space="0" w:color="auto"/>
            </w:tcBorders>
            <w:vAlign w:val="center"/>
          </w:tcPr>
          <w:p w:rsidR="00123DC4" w:rsidRPr="00723CCF" w:rsidRDefault="00123DC4" w:rsidP="00132057">
            <w:pPr>
              <w:keepNext/>
              <w:keepLines/>
              <w:autoSpaceDE w:val="0"/>
              <w:autoSpaceDN w:val="0"/>
              <w:adjustRightInd w:val="0"/>
              <w:spacing w:before="40" w:after="40"/>
              <w:jc w:val="center"/>
              <w:rPr>
                <w:sz w:val="16"/>
                <w:szCs w:val="16"/>
              </w:rPr>
            </w:pPr>
            <w:r w:rsidRPr="00723CCF">
              <w:rPr>
                <w:sz w:val="16"/>
                <w:szCs w:val="16"/>
              </w:rPr>
              <w:t>15%</w:t>
            </w:r>
          </w:p>
        </w:tc>
      </w:tr>
    </w:tbl>
    <w:p w:rsidR="00123DC4" w:rsidRPr="00ED7C01" w:rsidRDefault="00123DC4" w:rsidP="00132057">
      <w:pPr>
        <w:keepNext/>
        <w:autoSpaceDE w:val="0"/>
        <w:autoSpaceDN w:val="0"/>
        <w:rPr>
          <w:szCs w:val="16"/>
        </w:rPr>
      </w:pPr>
    </w:p>
    <w:p w:rsidR="00123DC4" w:rsidRPr="00E04EBD" w:rsidRDefault="00123DC4" w:rsidP="00132057">
      <w:pPr>
        <w:keepNext/>
        <w:keepLines/>
        <w:tabs>
          <w:tab w:val="left" w:pos="3261"/>
        </w:tabs>
        <w:autoSpaceDE w:val="0"/>
        <w:autoSpaceDN w:val="0"/>
        <w:adjustRightInd w:val="0"/>
        <w:jc w:val="center"/>
        <w:rPr>
          <w:b/>
          <w:szCs w:val="22"/>
        </w:rPr>
      </w:pPr>
      <w:r w:rsidRPr="00E04EBD">
        <w:rPr>
          <w:b/>
          <w:szCs w:val="22"/>
        </w:rPr>
        <w:t>Project Budget Utilization (by Milestone)</w:t>
      </w:r>
    </w:p>
    <w:p w:rsidR="00123DC4" w:rsidRPr="00ED7C01" w:rsidRDefault="00123DC4" w:rsidP="00132057">
      <w:pPr>
        <w:keepNext/>
        <w:keepLines/>
        <w:tabs>
          <w:tab w:val="left" w:pos="3261"/>
        </w:tabs>
        <w:autoSpaceDE w:val="0"/>
        <w:autoSpaceDN w:val="0"/>
        <w:adjustRightInd w:val="0"/>
        <w:spacing w:after="120"/>
        <w:jc w:val="center"/>
        <w:rPr>
          <w:i/>
          <w:iCs/>
          <w:sz w:val="18"/>
          <w:szCs w:val="18"/>
        </w:rPr>
      </w:pPr>
      <w:r w:rsidRPr="00E04EBD">
        <w:rPr>
          <w:i/>
          <w:iCs/>
          <w:sz w:val="18"/>
          <w:szCs w:val="18"/>
        </w:rPr>
        <w:t>(</w:t>
      </w:r>
      <w:r>
        <w:rPr>
          <w:i/>
          <w:iCs/>
          <w:sz w:val="18"/>
          <w:szCs w:val="18"/>
        </w:rPr>
        <w:t>i</w:t>
      </w:r>
      <w:r w:rsidRPr="00E04EBD">
        <w:rPr>
          <w:i/>
          <w:iCs/>
          <w:sz w:val="18"/>
          <w:szCs w:val="18"/>
        </w:rPr>
        <w:t>n Swiss francs, as at December 31, 201</w:t>
      </w:r>
      <w:r>
        <w:rPr>
          <w:i/>
          <w:iCs/>
          <w:sz w:val="18"/>
          <w:szCs w:val="18"/>
        </w:rPr>
        <w:t>5</w:t>
      </w:r>
      <w:r w:rsidRPr="00E04EBD">
        <w:rPr>
          <w:i/>
          <w:iCs/>
          <w:sz w:val="18"/>
          <w:szCs w:val="18"/>
        </w:rPr>
        <w:t>)</w:t>
      </w:r>
    </w:p>
    <w:tbl>
      <w:tblPr>
        <w:tblpPr w:leftFromText="180" w:rightFromText="180" w:vertAnchor="text" w:horzAnchor="margin" w:tblpX="182" w:tblpY="17"/>
        <w:tblW w:w="487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00"/>
        <w:gridCol w:w="1575"/>
        <w:gridCol w:w="1575"/>
        <w:gridCol w:w="1575"/>
        <w:gridCol w:w="1697"/>
      </w:tblGrid>
      <w:tr w:rsidR="00123DC4" w:rsidRPr="00E04EBD" w:rsidTr="00132057">
        <w:trPr>
          <w:trHeight w:val="410"/>
        </w:trPr>
        <w:tc>
          <w:tcPr>
            <w:tcW w:w="1555"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E04EBD" w:rsidRDefault="00123DC4" w:rsidP="00132057">
            <w:pPr>
              <w:keepNext/>
              <w:keepLines/>
              <w:autoSpaceDE w:val="0"/>
              <w:autoSpaceDN w:val="0"/>
              <w:adjustRightInd w:val="0"/>
              <w:spacing w:before="40" w:after="40"/>
              <w:ind w:left="-74" w:right="-60"/>
              <w:jc w:val="center"/>
              <w:rPr>
                <w:b/>
                <w:bCs/>
                <w:sz w:val="16"/>
                <w:szCs w:val="16"/>
              </w:rPr>
            </w:pPr>
            <w:r w:rsidRPr="00E04EBD">
              <w:rPr>
                <w:b/>
                <w:bCs/>
                <w:sz w:val="16"/>
                <w:szCs w:val="16"/>
              </w:rPr>
              <w:t>Key Milestone</w:t>
            </w:r>
          </w:p>
        </w:tc>
        <w:tc>
          <w:tcPr>
            <w:tcW w:w="845"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E04EBD" w:rsidRDefault="00123DC4" w:rsidP="00132057">
            <w:pPr>
              <w:keepNext/>
              <w:keepLines/>
              <w:autoSpaceDE w:val="0"/>
              <w:autoSpaceDN w:val="0"/>
              <w:adjustRightInd w:val="0"/>
              <w:spacing w:before="40" w:after="40"/>
              <w:ind w:left="-107" w:right="-108"/>
              <w:jc w:val="center"/>
              <w:rPr>
                <w:b/>
                <w:bCs/>
                <w:sz w:val="16"/>
                <w:szCs w:val="16"/>
              </w:rPr>
            </w:pPr>
            <w:r w:rsidRPr="00E04EBD">
              <w:rPr>
                <w:b/>
                <w:bCs/>
                <w:sz w:val="16"/>
                <w:szCs w:val="16"/>
              </w:rPr>
              <w:t>Project Budget</w:t>
            </w:r>
          </w:p>
        </w:tc>
        <w:tc>
          <w:tcPr>
            <w:tcW w:w="845"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E04EBD" w:rsidRDefault="00123DC4" w:rsidP="00132057">
            <w:pPr>
              <w:keepNext/>
              <w:keepLines/>
              <w:autoSpaceDE w:val="0"/>
              <w:autoSpaceDN w:val="0"/>
              <w:adjustRightInd w:val="0"/>
              <w:spacing w:before="40" w:after="40"/>
              <w:ind w:left="-108" w:right="-106"/>
              <w:jc w:val="center"/>
              <w:rPr>
                <w:b/>
                <w:bCs/>
                <w:sz w:val="16"/>
                <w:szCs w:val="16"/>
              </w:rPr>
            </w:pPr>
            <w:r w:rsidRPr="00E04EBD">
              <w:rPr>
                <w:b/>
                <w:bCs/>
                <w:sz w:val="16"/>
                <w:szCs w:val="16"/>
              </w:rPr>
              <w:t>Actual Expenditure to Date</w:t>
            </w:r>
          </w:p>
        </w:tc>
        <w:tc>
          <w:tcPr>
            <w:tcW w:w="845"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E04EBD" w:rsidRDefault="00123DC4" w:rsidP="00132057">
            <w:pPr>
              <w:keepNext/>
              <w:keepLines/>
              <w:autoSpaceDE w:val="0"/>
              <w:autoSpaceDN w:val="0"/>
              <w:adjustRightInd w:val="0"/>
              <w:spacing w:before="40" w:after="40"/>
              <w:ind w:left="-109" w:right="-108"/>
              <w:jc w:val="center"/>
              <w:rPr>
                <w:b/>
                <w:bCs/>
                <w:sz w:val="16"/>
                <w:szCs w:val="16"/>
              </w:rPr>
            </w:pPr>
            <w:r w:rsidRPr="00E04EBD">
              <w:rPr>
                <w:b/>
                <w:bCs/>
                <w:sz w:val="16"/>
                <w:szCs w:val="16"/>
              </w:rPr>
              <w:t>Actual Budget Utilization</w:t>
            </w:r>
          </w:p>
        </w:tc>
        <w:tc>
          <w:tcPr>
            <w:tcW w:w="911"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E04EBD" w:rsidRDefault="00123DC4" w:rsidP="00132057">
            <w:pPr>
              <w:keepNext/>
              <w:keepLines/>
              <w:autoSpaceDE w:val="0"/>
              <w:autoSpaceDN w:val="0"/>
              <w:adjustRightInd w:val="0"/>
              <w:spacing w:before="40" w:after="40"/>
              <w:ind w:left="-109" w:right="-73" w:firstLine="1"/>
              <w:jc w:val="center"/>
              <w:rPr>
                <w:b/>
                <w:bCs/>
                <w:sz w:val="16"/>
                <w:szCs w:val="16"/>
              </w:rPr>
            </w:pPr>
            <w:r w:rsidRPr="00E04EBD">
              <w:rPr>
                <w:b/>
                <w:bCs/>
                <w:sz w:val="16"/>
                <w:szCs w:val="16"/>
              </w:rPr>
              <w:t>Implementation Progress Rate by Milestone</w:t>
            </w:r>
          </w:p>
        </w:tc>
      </w:tr>
      <w:tr w:rsidR="00123DC4" w:rsidRPr="00E04EBD" w:rsidTr="00132057">
        <w:trPr>
          <w:trHeight w:val="389"/>
        </w:trPr>
        <w:tc>
          <w:tcPr>
            <w:tcW w:w="1555" w:type="pct"/>
            <w:tcBorders>
              <w:top w:val="single" w:sz="4" w:space="0" w:color="auto"/>
              <w:left w:val="single" w:sz="4" w:space="0" w:color="auto"/>
              <w:bottom w:val="single" w:sz="4" w:space="0" w:color="auto"/>
              <w:right w:val="single" w:sz="4" w:space="0" w:color="auto"/>
            </w:tcBorders>
            <w:vAlign w:val="center"/>
          </w:tcPr>
          <w:p w:rsidR="00123DC4" w:rsidRPr="00E04EBD" w:rsidRDefault="00123DC4" w:rsidP="00132057">
            <w:pPr>
              <w:keepNext/>
              <w:keepLines/>
              <w:autoSpaceDE w:val="0"/>
              <w:autoSpaceDN w:val="0"/>
              <w:adjustRightInd w:val="0"/>
              <w:spacing w:before="40" w:after="40" w:line="260" w:lineRule="exact"/>
              <w:rPr>
                <w:sz w:val="16"/>
                <w:szCs w:val="16"/>
              </w:rPr>
            </w:pPr>
            <w:r>
              <w:rPr>
                <w:rFonts w:cs="Arial"/>
                <w:color w:val="000000"/>
                <w:sz w:val="16"/>
                <w:szCs w:val="16"/>
              </w:rPr>
              <w:t>Award of contract to the</w:t>
            </w:r>
            <w:r w:rsidRPr="00E04EBD">
              <w:rPr>
                <w:rFonts w:cs="Arial"/>
                <w:color w:val="000000"/>
                <w:sz w:val="16"/>
                <w:szCs w:val="16"/>
              </w:rPr>
              <w:t xml:space="preserve"> </w:t>
            </w:r>
            <w:r w:rsidRPr="00E04EBD">
              <w:rPr>
                <w:color w:val="000000"/>
                <w:sz w:val="16"/>
                <w:szCs w:val="16"/>
              </w:rPr>
              <w:t>facade engineer</w:t>
            </w:r>
          </w:p>
        </w:tc>
        <w:tc>
          <w:tcPr>
            <w:tcW w:w="845" w:type="pct"/>
            <w:tcBorders>
              <w:top w:val="single" w:sz="4" w:space="0" w:color="auto"/>
              <w:left w:val="single" w:sz="4" w:space="0" w:color="auto"/>
              <w:bottom w:val="single" w:sz="4" w:space="0" w:color="auto"/>
              <w:right w:val="single" w:sz="4" w:space="0" w:color="auto"/>
            </w:tcBorders>
            <w:vAlign w:val="center"/>
          </w:tcPr>
          <w:p w:rsidR="00123DC4" w:rsidRPr="00E04EBD" w:rsidRDefault="00123DC4" w:rsidP="00132057">
            <w:pPr>
              <w:keepNext/>
              <w:keepLines/>
              <w:autoSpaceDE w:val="0"/>
              <w:autoSpaceDN w:val="0"/>
              <w:adjustRightInd w:val="0"/>
              <w:spacing w:before="40" w:after="40" w:line="260" w:lineRule="exact"/>
              <w:jc w:val="center"/>
              <w:rPr>
                <w:sz w:val="16"/>
                <w:szCs w:val="16"/>
              </w:rPr>
            </w:pPr>
            <w:r w:rsidRPr="00E04EBD">
              <w:rPr>
                <w:sz w:val="16"/>
                <w:szCs w:val="16"/>
              </w:rPr>
              <w:t>45</w:t>
            </w:r>
            <w:r>
              <w:rPr>
                <w:sz w:val="16"/>
                <w:szCs w:val="16"/>
              </w:rPr>
              <w:t>,</w:t>
            </w:r>
            <w:r w:rsidRPr="00E04EBD">
              <w:rPr>
                <w:sz w:val="16"/>
                <w:szCs w:val="16"/>
              </w:rPr>
              <w:t>000</w:t>
            </w:r>
          </w:p>
        </w:tc>
        <w:tc>
          <w:tcPr>
            <w:tcW w:w="845" w:type="pct"/>
            <w:tcBorders>
              <w:top w:val="single" w:sz="4" w:space="0" w:color="auto"/>
              <w:left w:val="single" w:sz="4" w:space="0" w:color="auto"/>
              <w:bottom w:val="single" w:sz="4" w:space="0" w:color="auto"/>
              <w:right w:val="single" w:sz="4" w:space="0" w:color="auto"/>
            </w:tcBorders>
            <w:vAlign w:val="center"/>
          </w:tcPr>
          <w:p w:rsidR="00123DC4" w:rsidRPr="00723CCF" w:rsidRDefault="00123DC4" w:rsidP="00132057">
            <w:pPr>
              <w:keepNext/>
              <w:keepLines/>
              <w:autoSpaceDE w:val="0"/>
              <w:autoSpaceDN w:val="0"/>
              <w:adjustRightInd w:val="0"/>
              <w:spacing w:before="40" w:after="40" w:line="260" w:lineRule="exact"/>
              <w:jc w:val="center"/>
              <w:rPr>
                <w:sz w:val="16"/>
                <w:szCs w:val="16"/>
              </w:rPr>
            </w:pPr>
            <w:r w:rsidRPr="00723CCF">
              <w:rPr>
                <w:sz w:val="16"/>
                <w:szCs w:val="16"/>
              </w:rPr>
              <w:t>36,812</w:t>
            </w:r>
          </w:p>
        </w:tc>
        <w:tc>
          <w:tcPr>
            <w:tcW w:w="845" w:type="pct"/>
            <w:tcBorders>
              <w:top w:val="single" w:sz="4" w:space="0" w:color="auto"/>
              <w:left w:val="single" w:sz="4" w:space="0" w:color="auto"/>
              <w:bottom w:val="single" w:sz="4" w:space="0" w:color="auto"/>
              <w:right w:val="single" w:sz="4" w:space="0" w:color="auto"/>
            </w:tcBorders>
            <w:vAlign w:val="center"/>
          </w:tcPr>
          <w:p w:rsidR="00123DC4" w:rsidRPr="00723CCF" w:rsidRDefault="00123DC4" w:rsidP="00132057">
            <w:pPr>
              <w:keepNext/>
              <w:keepLines/>
              <w:autoSpaceDE w:val="0"/>
              <w:autoSpaceDN w:val="0"/>
              <w:adjustRightInd w:val="0"/>
              <w:spacing w:before="40" w:after="40" w:line="260" w:lineRule="exact"/>
              <w:jc w:val="center"/>
              <w:rPr>
                <w:sz w:val="16"/>
                <w:szCs w:val="16"/>
              </w:rPr>
            </w:pPr>
            <w:r w:rsidRPr="00723CCF">
              <w:rPr>
                <w:sz w:val="16"/>
                <w:szCs w:val="16"/>
              </w:rPr>
              <w:t>81.8%</w:t>
            </w:r>
          </w:p>
        </w:tc>
        <w:tc>
          <w:tcPr>
            <w:tcW w:w="911" w:type="pct"/>
            <w:tcBorders>
              <w:top w:val="single" w:sz="4" w:space="0" w:color="auto"/>
              <w:left w:val="single" w:sz="4" w:space="0" w:color="auto"/>
              <w:bottom w:val="single" w:sz="4" w:space="0" w:color="auto"/>
              <w:right w:val="single" w:sz="4" w:space="0" w:color="auto"/>
            </w:tcBorders>
            <w:vAlign w:val="center"/>
          </w:tcPr>
          <w:p w:rsidR="00123DC4" w:rsidRPr="00723CCF" w:rsidRDefault="00123DC4" w:rsidP="00132057">
            <w:pPr>
              <w:keepNext/>
              <w:keepLines/>
              <w:autoSpaceDE w:val="0"/>
              <w:autoSpaceDN w:val="0"/>
              <w:adjustRightInd w:val="0"/>
              <w:spacing w:before="40" w:after="40" w:line="260" w:lineRule="exact"/>
              <w:jc w:val="center"/>
              <w:rPr>
                <w:sz w:val="16"/>
                <w:szCs w:val="16"/>
              </w:rPr>
            </w:pPr>
            <w:r w:rsidRPr="00723CCF">
              <w:rPr>
                <w:sz w:val="16"/>
                <w:szCs w:val="16"/>
              </w:rPr>
              <w:t>90%</w:t>
            </w:r>
          </w:p>
        </w:tc>
      </w:tr>
      <w:tr w:rsidR="00123DC4" w:rsidRPr="00E04EBD" w:rsidTr="00132057">
        <w:trPr>
          <w:trHeight w:val="389"/>
        </w:trPr>
        <w:tc>
          <w:tcPr>
            <w:tcW w:w="1555" w:type="pct"/>
            <w:tcBorders>
              <w:top w:val="single" w:sz="4" w:space="0" w:color="auto"/>
              <w:left w:val="single" w:sz="4" w:space="0" w:color="auto"/>
              <w:bottom w:val="single" w:sz="4" w:space="0" w:color="auto"/>
              <w:right w:val="single" w:sz="4" w:space="0" w:color="auto"/>
            </w:tcBorders>
            <w:vAlign w:val="center"/>
          </w:tcPr>
          <w:p w:rsidR="00123DC4" w:rsidRPr="00E04EBD" w:rsidRDefault="00123DC4" w:rsidP="00132057">
            <w:pPr>
              <w:keepNext/>
              <w:keepLines/>
              <w:autoSpaceDE w:val="0"/>
              <w:autoSpaceDN w:val="0"/>
              <w:adjustRightInd w:val="0"/>
              <w:spacing w:before="40" w:after="40" w:line="260" w:lineRule="exact"/>
              <w:rPr>
                <w:sz w:val="16"/>
                <w:szCs w:val="16"/>
              </w:rPr>
            </w:pPr>
            <w:r w:rsidRPr="00E04EBD">
              <w:rPr>
                <w:color w:val="000000"/>
                <w:sz w:val="16"/>
                <w:szCs w:val="16"/>
              </w:rPr>
              <w:t>Works and commissioning</w:t>
            </w:r>
          </w:p>
        </w:tc>
        <w:tc>
          <w:tcPr>
            <w:tcW w:w="845" w:type="pct"/>
            <w:tcBorders>
              <w:top w:val="single" w:sz="4" w:space="0" w:color="auto"/>
              <w:left w:val="single" w:sz="4" w:space="0" w:color="auto"/>
              <w:bottom w:val="single" w:sz="4" w:space="0" w:color="auto"/>
              <w:right w:val="single" w:sz="4" w:space="0" w:color="auto"/>
            </w:tcBorders>
            <w:vAlign w:val="center"/>
          </w:tcPr>
          <w:p w:rsidR="00123DC4" w:rsidRPr="00E04EBD" w:rsidRDefault="00123DC4" w:rsidP="00132057">
            <w:pPr>
              <w:keepNext/>
              <w:keepLines/>
              <w:autoSpaceDE w:val="0"/>
              <w:autoSpaceDN w:val="0"/>
              <w:adjustRightInd w:val="0"/>
              <w:spacing w:before="40" w:after="40" w:line="260" w:lineRule="exact"/>
              <w:jc w:val="center"/>
              <w:rPr>
                <w:sz w:val="16"/>
                <w:szCs w:val="16"/>
              </w:rPr>
            </w:pPr>
            <w:r w:rsidRPr="00E04EBD">
              <w:rPr>
                <w:sz w:val="16"/>
                <w:szCs w:val="16"/>
              </w:rPr>
              <w:t>255</w:t>
            </w:r>
            <w:r>
              <w:rPr>
                <w:sz w:val="16"/>
                <w:szCs w:val="16"/>
              </w:rPr>
              <w:t>,</w:t>
            </w:r>
            <w:r w:rsidRPr="00E04EBD">
              <w:rPr>
                <w:sz w:val="16"/>
                <w:szCs w:val="16"/>
              </w:rPr>
              <w:t>000</w:t>
            </w:r>
          </w:p>
        </w:tc>
        <w:tc>
          <w:tcPr>
            <w:tcW w:w="845" w:type="pct"/>
            <w:tcBorders>
              <w:top w:val="single" w:sz="4" w:space="0" w:color="auto"/>
              <w:left w:val="single" w:sz="4" w:space="0" w:color="auto"/>
              <w:bottom w:val="single" w:sz="4" w:space="0" w:color="auto"/>
              <w:right w:val="single" w:sz="4" w:space="0" w:color="auto"/>
            </w:tcBorders>
            <w:vAlign w:val="center"/>
          </w:tcPr>
          <w:p w:rsidR="00123DC4" w:rsidRPr="00723CCF" w:rsidRDefault="00123DC4" w:rsidP="00132057">
            <w:pPr>
              <w:keepNext/>
              <w:keepLines/>
              <w:autoSpaceDE w:val="0"/>
              <w:autoSpaceDN w:val="0"/>
              <w:adjustRightInd w:val="0"/>
              <w:spacing w:before="40" w:after="40" w:line="260" w:lineRule="exact"/>
              <w:jc w:val="center"/>
              <w:rPr>
                <w:sz w:val="16"/>
                <w:szCs w:val="16"/>
              </w:rPr>
            </w:pPr>
            <w:r w:rsidRPr="00723CCF">
              <w:rPr>
                <w:sz w:val="16"/>
                <w:szCs w:val="16"/>
              </w:rPr>
              <w:t>10,230</w:t>
            </w:r>
          </w:p>
        </w:tc>
        <w:tc>
          <w:tcPr>
            <w:tcW w:w="845" w:type="pct"/>
            <w:tcBorders>
              <w:top w:val="single" w:sz="4" w:space="0" w:color="auto"/>
              <w:left w:val="single" w:sz="4" w:space="0" w:color="auto"/>
              <w:bottom w:val="single" w:sz="4" w:space="0" w:color="auto"/>
              <w:right w:val="single" w:sz="4" w:space="0" w:color="auto"/>
            </w:tcBorders>
            <w:vAlign w:val="center"/>
          </w:tcPr>
          <w:p w:rsidR="00123DC4" w:rsidRPr="00723CCF" w:rsidRDefault="00123DC4" w:rsidP="00132057">
            <w:pPr>
              <w:keepNext/>
              <w:keepLines/>
              <w:autoSpaceDE w:val="0"/>
              <w:autoSpaceDN w:val="0"/>
              <w:adjustRightInd w:val="0"/>
              <w:spacing w:before="40" w:after="40" w:line="260" w:lineRule="exact"/>
              <w:jc w:val="center"/>
              <w:rPr>
                <w:sz w:val="16"/>
                <w:szCs w:val="16"/>
              </w:rPr>
            </w:pPr>
            <w:r w:rsidRPr="00723CCF">
              <w:rPr>
                <w:sz w:val="16"/>
                <w:szCs w:val="16"/>
              </w:rPr>
              <w:t>4%</w:t>
            </w:r>
          </w:p>
        </w:tc>
        <w:tc>
          <w:tcPr>
            <w:tcW w:w="911" w:type="pct"/>
            <w:tcBorders>
              <w:top w:val="single" w:sz="4" w:space="0" w:color="auto"/>
              <w:left w:val="single" w:sz="4" w:space="0" w:color="auto"/>
              <w:bottom w:val="single" w:sz="4" w:space="0" w:color="auto"/>
              <w:right w:val="single" w:sz="4" w:space="0" w:color="auto"/>
            </w:tcBorders>
            <w:vAlign w:val="center"/>
          </w:tcPr>
          <w:p w:rsidR="00123DC4" w:rsidRPr="00723CCF" w:rsidRDefault="00123DC4" w:rsidP="00132057">
            <w:pPr>
              <w:keepNext/>
              <w:keepLines/>
              <w:autoSpaceDE w:val="0"/>
              <w:autoSpaceDN w:val="0"/>
              <w:adjustRightInd w:val="0"/>
              <w:spacing w:before="40" w:after="40" w:line="260" w:lineRule="exact"/>
              <w:jc w:val="center"/>
              <w:rPr>
                <w:sz w:val="16"/>
                <w:szCs w:val="16"/>
              </w:rPr>
            </w:pPr>
            <w:r w:rsidRPr="00723CCF">
              <w:rPr>
                <w:sz w:val="16"/>
                <w:szCs w:val="16"/>
              </w:rPr>
              <w:t>6%</w:t>
            </w:r>
          </w:p>
        </w:tc>
      </w:tr>
      <w:tr w:rsidR="00123DC4" w:rsidRPr="00E04EBD" w:rsidTr="00132057">
        <w:trPr>
          <w:trHeight w:val="389"/>
        </w:trPr>
        <w:tc>
          <w:tcPr>
            <w:tcW w:w="1555"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E04EBD" w:rsidRDefault="00123DC4" w:rsidP="00132057">
            <w:pPr>
              <w:keepNext/>
              <w:keepLines/>
              <w:autoSpaceDE w:val="0"/>
              <w:autoSpaceDN w:val="0"/>
              <w:adjustRightInd w:val="0"/>
              <w:spacing w:before="40" w:after="40" w:line="260" w:lineRule="exact"/>
              <w:rPr>
                <w:b/>
                <w:sz w:val="16"/>
                <w:szCs w:val="16"/>
              </w:rPr>
            </w:pPr>
            <w:r w:rsidRPr="00E04EBD">
              <w:rPr>
                <w:b/>
                <w:sz w:val="16"/>
                <w:szCs w:val="16"/>
              </w:rPr>
              <w:t>Total</w:t>
            </w:r>
          </w:p>
        </w:tc>
        <w:tc>
          <w:tcPr>
            <w:tcW w:w="845"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E04EBD" w:rsidRDefault="00123DC4" w:rsidP="00132057">
            <w:pPr>
              <w:keepNext/>
              <w:keepLines/>
              <w:autoSpaceDE w:val="0"/>
              <w:autoSpaceDN w:val="0"/>
              <w:adjustRightInd w:val="0"/>
              <w:spacing w:before="40" w:after="40" w:line="260" w:lineRule="exact"/>
              <w:jc w:val="center"/>
              <w:rPr>
                <w:b/>
                <w:sz w:val="16"/>
                <w:szCs w:val="16"/>
              </w:rPr>
            </w:pPr>
            <w:r w:rsidRPr="00E04EBD">
              <w:rPr>
                <w:b/>
                <w:sz w:val="16"/>
                <w:szCs w:val="16"/>
              </w:rPr>
              <w:t>300</w:t>
            </w:r>
            <w:r>
              <w:rPr>
                <w:b/>
                <w:sz w:val="16"/>
                <w:szCs w:val="16"/>
              </w:rPr>
              <w:t>,</w:t>
            </w:r>
            <w:r w:rsidRPr="00E04EBD">
              <w:rPr>
                <w:b/>
                <w:sz w:val="16"/>
                <w:szCs w:val="16"/>
              </w:rPr>
              <w:t>000</w:t>
            </w:r>
          </w:p>
        </w:tc>
        <w:tc>
          <w:tcPr>
            <w:tcW w:w="845" w:type="pct"/>
            <w:tcBorders>
              <w:top w:val="single" w:sz="4" w:space="0" w:color="auto"/>
              <w:left w:val="single" w:sz="4" w:space="0" w:color="auto"/>
              <w:bottom w:val="single" w:sz="4" w:space="0" w:color="auto"/>
              <w:right w:val="single" w:sz="4" w:space="0" w:color="auto"/>
            </w:tcBorders>
            <w:shd w:val="clear" w:color="auto" w:fill="C6D9F1" w:themeFill="text2" w:themeFillTint="33"/>
          </w:tcPr>
          <w:p w:rsidR="00123DC4" w:rsidRPr="00723CCF" w:rsidRDefault="00123DC4" w:rsidP="00132057">
            <w:pPr>
              <w:keepNext/>
              <w:keepLines/>
              <w:autoSpaceDE w:val="0"/>
              <w:autoSpaceDN w:val="0"/>
              <w:adjustRightInd w:val="0"/>
              <w:spacing w:before="40" w:after="40" w:line="260" w:lineRule="exact"/>
              <w:jc w:val="center"/>
              <w:rPr>
                <w:b/>
                <w:sz w:val="16"/>
                <w:szCs w:val="16"/>
              </w:rPr>
            </w:pPr>
            <w:r w:rsidRPr="00723CCF">
              <w:rPr>
                <w:b/>
                <w:sz w:val="16"/>
                <w:szCs w:val="16"/>
              </w:rPr>
              <w:t>47,042</w:t>
            </w:r>
          </w:p>
        </w:tc>
        <w:tc>
          <w:tcPr>
            <w:tcW w:w="845" w:type="pct"/>
            <w:tcBorders>
              <w:top w:val="single" w:sz="4" w:space="0" w:color="auto"/>
              <w:left w:val="single" w:sz="4" w:space="0" w:color="auto"/>
              <w:bottom w:val="single" w:sz="4" w:space="0" w:color="auto"/>
              <w:right w:val="single" w:sz="4" w:space="0" w:color="auto"/>
            </w:tcBorders>
            <w:shd w:val="clear" w:color="auto" w:fill="C6D9F1" w:themeFill="text2" w:themeFillTint="33"/>
          </w:tcPr>
          <w:p w:rsidR="00123DC4" w:rsidRPr="00723CCF" w:rsidRDefault="00123DC4" w:rsidP="00132057">
            <w:pPr>
              <w:keepNext/>
              <w:keepLines/>
              <w:autoSpaceDE w:val="0"/>
              <w:autoSpaceDN w:val="0"/>
              <w:adjustRightInd w:val="0"/>
              <w:spacing w:before="40" w:after="40" w:line="260" w:lineRule="exact"/>
              <w:jc w:val="center"/>
              <w:rPr>
                <w:b/>
                <w:sz w:val="16"/>
                <w:szCs w:val="16"/>
              </w:rPr>
            </w:pPr>
          </w:p>
        </w:tc>
        <w:tc>
          <w:tcPr>
            <w:tcW w:w="911" w:type="pct"/>
            <w:tcBorders>
              <w:top w:val="single" w:sz="4" w:space="0" w:color="auto"/>
              <w:left w:val="single" w:sz="4" w:space="0" w:color="auto"/>
              <w:bottom w:val="single" w:sz="4" w:space="0" w:color="auto"/>
              <w:right w:val="single" w:sz="4" w:space="0" w:color="auto"/>
            </w:tcBorders>
            <w:shd w:val="clear" w:color="auto" w:fill="C6D9F1" w:themeFill="text2" w:themeFillTint="33"/>
          </w:tcPr>
          <w:p w:rsidR="00123DC4" w:rsidRPr="00723CCF" w:rsidRDefault="00123DC4" w:rsidP="00132057">
            <w:pPr>
              <w:keepNext/>
              <w:keepLines/>
              <w:autoSpaceDE w:val="0"/>
              <w:autoSpaceDN w:val="0"/>
              <w:adjustRightInd w:val="0"/>
              <w:spacing w:before="40" w:after="40" w:line="260" w:lineRule="exact"/>
              <w:jc w:val="center"/>
              <w:rPr>
                <w:b/>
                <w:sz w:val="16"/>
                <w:szCs w:val="16"/>
              </w:rPr>
            </w:pPr>
          </w:p>
        </w:tc>
      </w:tr>
    </w:tbl>
    <w:p w:rsidR="00123DC4" w:rsidRPr="00ED7C01" w:rsidRDefault="00123DC4" w:rsidP="00132057">
      <w:pPr>
        <w:keepNext/>
        <w:keepLines/>
        <w:tabs>
          <w:tab w:val="left" w:pos="3261"/>
        </w:tabs>
        <w:autoSpaceDE w:val="0"/>
        <w:autoSpaceDN w:val="0"/>
        <w:adjustRightInd w:val="0"/>
        <w:rPr>
          <w:szCs w:val="22"/>
        </w:rPr>
      </w:pPr>
    </w:p>
    <w:p w:rsidR="00123DC4" w:rsidRPr="00E04EBD" w:rsidRDefault="00123DC4" w:rsidP="00132057">
      <w:pPr>
        <w:keepNext/>
        <w:keepLines/>
        <w:tabs>
          <w:tab w:val="left" w:pos="3261"/>
        </w:tabs>
        <w:autoSpaceDE w:val="0"/>
        <w:autoSpaceDN w:val="0"/>
        <w:adjustRightInd w:val="0"/>
        <w:jc w:val="center"/>
        <w:rPr>
          <w:b/>
          <w:szCs w:val="22"/>
        </w:rPr>
      </w:pPr>
      <w:r w:rsidRPr="00E04EBD">
        <w:rPr>
          <w:b/>
          <w:szCs w:val="22"/>
        </w:rPr>
        <w:t>Project Budget Utilization (by Cost Category)</w:t>
      </w:r>
    </w:p>
    <w:p w:rsidR="00123DC4" w:rsidRPr="00ED7C01" w:rsidRDefault="00123DC4" w:rsidP="00132057">
      <w:pPr>
        <w:keepNext/>
        <w:keepLines/>
        <w:tabs>
          <w:tab w:val="left" w:pos="3261"/>
        </w:tabs>
        <w:autoSpaceDE w:val="0"/>
        <w:autoSpaceDN w:val="0"/>
        <w:adjustRightInd w:val="0"/>
        <w:spacing w:after="120"/>
        <w:jc w:val="center"/>
        <w:rPr>
          <w:i/>
          <w:iCs/>
          <w:sz w:val="18"/>
          <w:szCs w:val="18"/>
        </w:rPr>
      </w:pPr>
      <w:r w:rsidRPr="00E04EBD">
        <w:rPr>
          <w:i/>
          <w:iCs/>
          <w:sz w:val="18"/>
          <w:szCs w:val="18"/>
        </w:rPr>
        <w:t>(</w:t>
      </w:r>
      <w:r>
        <w:rPr>
          <w:i/>
          <w:iCs/>
          <w:sz w:val="18"/>
          <w:szCs w:val="18"/>
        </w:rPr>
        <w:t>i</w:t>
      </w:r>
      <w:r w:rsidRPr="00E04EBD">
        <w:rPr>
          <w:i/>
          <w:iCs/>
          <w:sz w:val="18"/>
          <w:szCs w:val="18"/>
        </w:rPr>
        <w:t>n Swiss francs, as at December 31, 201</w:t>
      </w:r>
      <w:r>
        <w:rPr>
          <w:i/>
          <w:iCs/>
          <w:sz w:val="18"/>
          <w:szCs w:val="18"/>
        </w:rPr>
        <w:t>5</w:t>
      </w:r>
      <w:r w:rsidRPr="00E04EBD">
        <w:rPr>
          <w:i/>
          <w:iCs/>
          <w:sz w:val="18"/>
          <w:szCs w:val="18"/>
        </w:rPr>
        <w:t>)</w:t>
      </w:r>
    </w:p>
    <w:tbl>
      <w:tblPr>
        <w:tblW w:w="4739" w:type="pct"/>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50"/>
        <w:gridCol w:w="1840"/>
        <w:gridCol w:w="1840"/>
        <w:gridCol w:w="2141"/>
      </w:tblGrid>
      <w:tr w:rsidR="00123DC4" w:rsidRPr="00E04EBD" w:rsidTr="00132057">
        <w:trPr>
          <w:trHeight w:val="569"/>
        </w:trPr>
        <w:tc>
          <w:tcPr>
            <w:tcW w:w="1792"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E04EBD" w:rsidRDefault="00123DC4" w:rsidP="00132057">
            <w:pPr>
              <w:keepNext/>
              <w:keepLines/>
              <w:autoSpaceDE w:val="0"/>
              <w:autoSpaceDN w:val="0"/>
              <w:adjustRightInd w:val="0"/>
              <w:spacing w:before="40" w:after="40" w:line="260" w:lineRule="exact"/>
              <w:ind w:left="-74" w:right="-60"/>
              <w:jc w:val="center"/>
              <w:rPr>
                <w:b/>
                <w:bCs/>
                <w:sz w:val="16"/>
                <w:szCs w:val="16"/>
              </w:rPr>
            </w:pPr>
            <w:r w:rsidRPr="00E04EBD">
              <w:rPr>
                <w:b/>
                <w:bCs/>
                <w:sz w:val="16"/>
                <w:szCs w:val="16"/>
              </w:rPr>
              <w:t>Cost Category</w:t>
            </w:r>
          </w:p>
        </w:tc>
        <w:tc>
          <w:tcPr>
            <w:tcW w:w="1014"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E04EBD" w:rsidRDefault="00123DC4" w:rsidP="00132057">
            <w:pPr>
              <w:keepNext/>
              <w:keepLines/>
              <w:autoSpaceDE w:val="0"/>
              <w:autoSpaceDN w:val="0"/>
              <w:adjustRightInd w:val="0"/>
              <w:spacing w:before="40" w:after="40" w:line="260" w:lineRule="exact"/>
              <w:ind w:left="-107" w:right="-108"/>
              <w:jc w:val="center"/>
              <w:rPr>
                <w:b/>
                <w:bCs/>
                <w:sz w:val="16"/>
                <w:szCs w:val="16"/>
              </w:rPr>
            </w:pPr>
            <w:r w:rsidRPr="00E04EBD">
              <w:rPr>
                <w:b/>
                <w:bCs/>
                <w:sz w:val="16"/>
                <w:szCs w:val="16"/>
              </w:rPr>
              <w:t>Project Budget</w:t>
            </w:r>
          </w:p>
        </w:tc>
        <w:tc>
          <w:tcPr>
            <w:tcW w:w="1014"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E04EBD" w:rsidRDefault="00123DC4" w:rsidP="00132057">
            <w:pPr>
              <w:keepNext/>
              <w:keepLines/>
              <w:autoSpaceDE w:val="0"/>
              <w:autoSpaceDN w:val="0"/>
              <w:adjustRightInd w:val="0"/>
              <w:spacing w:before="40" w:after="40" w:line="260" w:lineRule="exact"/>
              <w:ind w:left="-108"/>
              <w:jc w:val="center"/>
              <w:rPr>
                <w:b/>
                <w:bCs/>
                <w:sz w:val="16"/>
                <w:szCs w:val="16"/>
              </w:rPr>
            </w:pPr>
            <w:r w:rsidRPr="00E04EBD">
              <w:rPr>
                <w:b/>
                <w:bCs/>
                <w:sz w:val="16"/>
                <w:szCs w:val="16"/>
              </w:rPr>
              <w:t xml:space="preserve">Actual Expenditure to Date </w:t>
            </w:r>
          </w:p>
        </w:tc>
        <w:tc>
          <w:tcPr>
            <w:tcW w:w="1180"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E04EBD" w:rsidRDefault="00123DC4" w:rsidP="00132057">
            <w:pPr>
              <w:keepNext/>
              <w:keepLines/>
              <w:autoSpaceDE w:val="0"/>
              <w:autoSpaceDN w:val="0"/>
              <w:adjustRightInd w:val="0"/>
              <w:spacing w:before="40" w:after="40" w:line="260" w:lineRule="exact"/>
              <w:ind w:left="-109"/>
              <w:jc w:val="center"/>
              <w:rPr>
                <w:b/>
                <w:bCs/>
                <w:sz w:val="16"/>
                <w:szCs w:val="16"/>
              </w:rPr>
            </w:pPr>
            <w:r w:rsidRPr="00E04EBD">
              <w:rPr>
                <w:b/>
                <w:bCs/>
                <w:sz w:val="16"/>
                <w:szCs w:val="16"/>
              </w:rPr>
              <w:t>Actual Budget Utilization</w:t>
            </w:r>
          </w:p>
        </w:tc>
      </w:tr>
      <w:tr w:rsidR="00123DC4" w:rsidRPr="00E04EBD" w:rsidTr="00132057">
        <w:tc>
          <w:tcPr>
            <w:tcW w:w="1792" w:type="pct"/>
            <w:tcBorders>
              <w:top w:val="single" w:sz="4" w:space="0" w:color="auto"/>
              <w:left w:val="single" w:sz="4" w:space="0" w:color="auto"/>
              <w:bottom w:val="single" w:sz="4" w:space="0" w:color="auto"/>
              <w:right w:val="single" w:sz="4" w:space="0" w:color="auto"/>
            </w:tcBorders>
            <w:vAlign w:val="center"/>
          </w:tcPr>
          <w:p w:rsidR="00123DC4" w:rsidRPr="00E04EBD" w:rsidRDefault="00123DC4" w:rsidP="00132057">
            <w:pPr>
              <w:autoSpaceDE w:val="0"/>
              <w:autoSpaceDN w:val="0"/>
              <w:adjustRightInd w:val="0"/>
              <w:spacing w:before="40" w:after="40" w:line="260" w:lineRule="exact"/>
              <w:rPr>
                <w:sz w:val="16"/>
                <w:szCs w:val="16"/>
              </w:rPr>
            </w:pPr>
            <w:r w:rsidRPr="00E04EBD">
              <w:rPr>
                <w:color w:val="000000"/>
                <w:sz w:val="16"/>
                <w:szCs w:val="16"/>
              </w:rPr>
              <w:t>Construction</w:t>
            </w:r>
            <w:r>
              <w:rPr>
                <w:color w:val="000000"/>
                <w:sz w:val="16"/>
                <w:szCs w:val="16"/>
              </w:rPr>
              <w:t>-related</w:t>
            </w:r>
            <w:r w:rsidRPr="00E04EBD">
              <w:rPr>
                <w:color w:val="000000"/>
                <w:sz w:val="16"/>
                <w:szCs w:val="16"/>
              </w:rPr>
              <w:t xml:space="preserve"> </w:t>
            </w:r>
            <w:r w:rsidRPr="00E04EBD">
              <w:rPr>
                <w:sz w:val="16"/>
                <w:szCs w:val="16"/>
              </w:rPr>
              <w:t>costs</w:t>
            </w:r>
          </w:p>
        </w:tc>
        <w:tc>
          <w:tcPr>
            <w:tcW w:w="1014" w:type="pct"/>
            <w:tcBorders>
              <w:top w:val="single" w:sz="4" w:space="0" w:color="auto"/>
              <w:left w:val="single" w:sz="4" w:space="0" w:color="auto"/>
              <w:bottom w:val="single" w:sz="4" w:space="0" w:color="auto"/>
              <w:right w:val="single" w:sz="4" w:space="0" w:color="auto"/>
            </w:tcBorders>
            <w:vAlign w:val="center"/>
          </w:tcPr>
          <w:p w:rsidR="00123DC4" w:rsidRPr="00E04EBD" w:rsidRDefault="00123DC4" w:rsidP="00132057">
            <w:pPr>
              <w:autoSpaceDE w:val="0"/>
              <w:autoSpaceDN w:val="0"/>
              <w:adjustRightInd w:val="0"/>
              <w:spacing w:before="40" w:after="40" w:line="260" w:lineRule="exact"/>
              <w:jc w:val="center"/>
              <w:rPr>
                <w:sz w:val="16"/>
                <w:szCs w:val="16"/>
              </w:rPr>
            </w:pPr>
            <w:r w:rsidRPr="00E04EBD">
              <w:rPr>
                <w:sz w:val="16"/>
                <w:szCs w:val="16"/>
              </w:rPr>
              <w:t>234</w:t>
            </w:r>
            <w:r>
              <w:rPr>
                <w:sz w:val="16"/>
                <w:szCs w:val="16"/>
              </w:rPr>
              <w:t>,</w:t>
            </w:r>
            <w:r w:rsidRPr="00E04EBD">
              <w:rPr>
                <w:sz w:val="16"/>
                <w:szCs w:val="16"/>
              </w:rPr>
              <w:t>000</w:t>
            </w:r>
          </w:p>
        </w:tc>
        <w:tc>
          <w:tcPr>
            <w:tcW w:w="1014" w:type="pct"/>
            <w:tcBorders>
              <w:top w:val="single" w:sz="4" w:space="0" w:color="auto"/>
              <w:left w:val="single" w:sz="4" w:space="0" w:color="auto"/>
              <w:bottom w:val="single" w:sz="4" w:space="0" w:color="auto"/>
              <w:right w:val="single" w:sz="4" w:space="0" w:color="auto"/>
            </w:tcBorders>
          </w:tcPr>
          <w:p w:rsidR="00123DC4" w:rsidRPr="00723CCF" w:rsidRDefault="00123DC4" w:rsidP="00132057">
            <w:pPr>
              <w:autoSpaceDE w:val="0"/>
              <w:autoSpaceDN w:val="0"/>
              <w:adjustRightInd w:val="0"/>
              <w:spacing w:before="40" w:after="40" w:line="260" w:lineRule="exact"/>
              <w:jc w:val="center"/>
              <w:rPr>
                <w:sz w:val="16"/>
                <w:szCs w:val="16"/>
              </w:rPr>
            </w:pPr>
            <w:r w:rsidRPr="00723CCF">
              <w:rPr>
                <w:sz w:val="16"/>
                <w:szCs w:val="16"/>
              </w:rPr>
              <w:t>10,230</w:t>
            </w:r>
          </w:p>
        </w:tc>
        <w:tc>
          <w:tcPr>
            <w:tcW w:w="1180" w:type="pct"/>
            <w:tcBorders>
              <w:top w:val="single" w:sz="4" w:space="0" w:color="auto"/>
              <w:left w:val="single" w:sz="4" w:space="0" w:color="auto"/>
              <w:bottom w:val="single" w:sz="4" w:space="0" w:color="auto"/>
              <w:right w:val="single" w:sz="4" w:space="0" w:color="auto"/>
            </w:tcBorders>
          </w:tcPr>
          <w:p w:rsidR="00123DC4" w:rsidRPr="00723CCF" w:rsidRDefault="00123DC4" w:rsidP="00132057">
            <w:pPr>
              <w:autoSpaceDE w:val="0"/>
              <w:autoSpaceDN w:val="0"/>
              <w:adjustRightInd w:val="0"/>
              <w:spacing w:before="40" w:after="40" w:line="260" w:lineRule="exact"/>
              <w:jc w:val="center"/>
              <w:rPr>
                <w:sz w:val="16"/>
                <w:szCs w:val="16"/>
              </w:rPr>
            </w:pPr>
            <w:r w:rsidRPr="00723CCF">
              <w:rPr>
                <w:sz w:val="16"/>
                <w:szCs w:val="16"/>
              </w:rPr>
              <w:t>4.4%</w:t>
            </w:r>
          </w:p>
        </w:tc>
      </w:tr>
      <w:tr w:rsidR="00123DC4" w:rsidRPr="00E04EBD" w:rsidTr="00132057">
        <w:tc>
          <w:tcPr>
            <w:tcW w:w="1792" w:type="pct"/>
            <w:tcBorders>
              <w:top w:val="single" w:sz="4" w:space="0" w:color="auto"/>
              <w:left w:val="single" w:sz="4" w:space="0" w:color="auto"/>
              <w:bottom w:val="single" w:sz="4" w:space="0" w:color="auto"/>
              <w:right w:val="single" w:sz="4" w:space="0" w:color="auto"/>
            </w:tcBorders>
            <w:vAlign w:val="center"/>
          </w:tcPr>
          <w:p w:rsidR="00123DC4" w:rsidRPr="00E04EBD" w:rsidRDefault="00123DC4" w:rsidP="00132057">
            <w:pPr>
              <w:autoSpaceDE w:val="0"/>
              <w:autoSpaceDN w:val="0"/>
              <w:adjustRightInd w:val="0"/>
              <w:spacing w:before="40" w:after="40" w:line="260" w:lineRule="exact"/>
              <w:rPr>
                <w:sz w:val="16"/>
                <w:szCs w:val="16"/>
              </w:rPr>
            </w:pPr>
            <w:r>
              <w:rPr>
                <w:sz w:val="16"/>
                <w:szCs w:val="16"/>
              </w:rPr>
              <w:t>Honoraria</w:t>
            </w:r>
          </w:p>
        </w:tc>
        <w:tc>
          <w:tcPr>
            <w:tcW w:w="1014" w:type="pct"/>
            <w:tcBorders>
              <w:top w:val="single" w:sz="4" w:space="0" w:color="auto"/>
              <w:left w:val="single" w:sz="4" w:space="0" w:color="auto"/>
              <w:bottom w:val="single" w:sz="4" w:space="0" w:color="auto"/>
              <w:right w:val="single" w:sz="4" w:space="0" w:color="auto"/>
            </w:tcBorders>
            <w:vAlign w:val="center"/>
          </w:tcPr>
          <w:p w:rsidR="00123DC4" w:rsidRPr="00E04EBD" w:rsidRDefault="00123DC4" w:rsidP="00132057">
            <w:pPr>
              <w:autoSpaceDE w:val="0"/>
              <w:autoSpaceDN w:val="0"/>
              <w:adjustRightInd w:val="0"/>
              <w:spacing w:before="40" w:after="40" w:line="260" w:lineRule="exact"/>
              <w:jc w:val="center"/>
              <w:rPr>
                <w:sz w:val="16"/>
                <w:szCs w:val="16"/>
              </w:rPr>
            </w:pPr>
            <w:r w:rsidRPr="00E04EBD">
              <w:rPr>
                <w:sz w:val="16"/>
                <w:szCs w:val="16"/>
              </w:rPr>
              <w:t>45</w:t>
            </w:r>
            <w:r>
              <w:rPr>
                <w:sz w:val="16"/>
                <w:szCs w:val="16"/>
              </w:rPr>
              <w:t>,</w:t>
            </w:r>
            <w:r w:rsidRPr="00E04EBD">
              <w:rPr>
                <w:sz w:val="16"/>
                <w:szCs w:val="16"/>
              </w:rPr>
              <w:t>000</w:t>
            </w:r>
          </w:p>
        </w:tc>
        <w:tc>
          <w:tcPr>
            <w:tcW w:w="1014" w:type="pct"/>
            <w:tcBorders>
              <w:top w:val="single" w:sz="4" w:space="0" w:color="auto"/>
              <w:left w:val="single" w:sz="4" w:space="0" w:color="auto"/>
              <w:bottom w:val="single" w:sz="4" w:space="0" w:color="auto"/>
              <w:right w:val="single" w:sz="4" w:space="0" w:color="auto"/>
            </w:tcBorders>
          </w:tcPr>
          <w:p w:rsidR="00123DC4" w:rsidRPr="00723CCF" w:rsidRDefault="00123DC4" w:rsidP="00132057">
            <w:pPr>
              <w:autoSpaceDE w:val="0"/>
              <w:autoSpaceDN w:val="0"/>
              <w:adjustRightInd w:val="0"/>
              <w:spacing w:before="40" w:after="40" w:line="260" w:lineRule="exact"/>
              <w:jc w:val="center"/>
              <w:rPr>
                <w:sz w:val="16"/>
                <w:szCs w:val="16"/>
              </w:rPr>
            </w:pPr>
            <w:r w:rsidRPr="00723CCF">
              <w:rPr>
                <w:sz w:val="16"/>
                <w:szCs w:val="16"/>
              </w:rPr>
              <w:t>36,812</w:t>
            </w:r>
          </w:p>
        </w:tc>
        <w:tc>
          <w:tcPr>
            <w:tcW w:w="1180" w:type="pct"/>
            <w:tcBorders>
              <w:top w:val="single" w:sz="4" w:space="0" w:color="auto"/>
              <w:left w:val="single" w:sz="4" w:space="0" w:color="auto"/>
              <w:bottom w:val="single" w:sz="4" w:space="0" w:color="auto"/>
              <w:right w:val="single" w:sz="4" w:space="0" w:color="auto"/>
            </w:tcBorders>
          </w:tcPr>
          <w:p w:rsidR="00123DC4" w:rsidRPr="00723CCF" w:rsidRDefault="00123DC4" w:rsidP="00132057">
            <w:pPr>
              <w:autoSpaceDE w:val="0"/>
              <w:autoSpaceDN w:val="0"/>
              <w:adjustRightInd w:val="0"/>
              <w:spacing w:before="40" w:after="40" w:line="260" w:lineRule="exact"/>
              <w:jc w:val="center"/>
              <w:rPr>
                <w:sz w:val="16"/>
                <w:szCs w:val="16"/>
              </w:rPr>
            </w:pPr>
            <w:r w:rsidRPr="00723CCF">
              <w:rPr>
                <w:sz w:val="16"/>
                <w:szCs w:val="16"/>
              </w:rPr>
              <w:t>81.8%</w:t>
            </w:r>
          </w:p>
        </w:tc>
      </w:tr>
      <w:tr w:rsidR="00123DC4" w:rsidRPr="00E04EBD" w:rsidTr="00132057">
        <w:tc>
          <w:tcPr>
            <w:tcW w:w="1792" w:type="pct"/>
            <w:tcBorders>
              <w:top w:val="single" w:sz="4" w:space="0" w:color="auto"/>
              <w:left w:val="single" w:sz="4" w:space="0" w:color="auto"/>
              <w:bottom w:val="single" w:sz="4" w:space="0" w:color="auto"/>
              <w:right w:val="single" w:sz="4" w:space="0" w:color="auto"/>
            </w:tcBorders>
            <w:vAlign w:val="center"/>
          </w:tcPr>
          <w:p w:rsidR="00123DC4" w:rsidRPr="00E04EBD" w:rsidRDefault="00123DC4" w:rsidP="00132057">
            <w:pPr>
              <w:autoSpaceDE w:val="0"/>
              <w:autoSpaceDN w:val="0"/>
              <w:adjustRightInd w:val="0"/>
              <w:spacing w:before="40" w:after="40" w:line="260" w:lineRule="exact"/>
              <w:rPr>
                <w:sz w:val="16"/>
                <w:szCs w:val="16"/>
              </w:rPr>
            </w:pPr>
            <w:r w:rsidRPr="00E04EBD">
              <w:rPr>
                <w:sz w:val="16"/>
                <w:szCs w:val="16"/>
              </w:rPr>
              <w:t>Miscellaneous and unforeseen</w:t>
            </w:r>
          </w:p>
        </w:tc>
        <w:tc>
          <w:tcPr>
            <w:tcW w:w="1014" w:type="pct"/>
            <w:tcBorders>
              <w:top w:val="single" w:sz="4" w:space="0" w:color="auto"/>
              <w:left w:val="single" w:sz="4" w:space="0" w:color="auto"/>
              <w:bottom w:val="single" w:sz="4" w:space="0" w:color="auto"/>
              <w:right w:val="single" w:sz="4" w:space="0" w:color="auto"/>
            </w:tcBorders>
            <w:vAlign w:val="center"/>
          </w:tcPr>
          <w:p w:rsidR="00123DC4" w:rsidRPr="00E04EBD" w:rsidRDefault="00123DC4" w:rsidP="00132057">
            <w:pPr>
              <w:autoSpaceDE w:val="0"/>
              <w:autoSpaceDN w:val="0"/>
              <w:adjustRightInd w:val="0"/>
              <w:spacing w:before="40" w:after="40" w:line="260" w:lineRule="exact"/>
              <w:jc w:val="center"/>
              <w:rPr>
                <w:sz w:val="16"/>
                <w:szCs w:val="16"/>
              </w:rPr>
            </w:pPr>
            <w:r w:rsidRPr="00E04EBD">
              <w:rPr>
                <w:sz w:val="16"/>
                <w:szCs w:val="16"/>
              </w:rPr>
              <w:t>21</w:t>
            </w:r>
            <w:r>
              <w:rPr>
                <w:sz w:val="16"/>
                <w:szCs w:val="16"/>
              </w:rPr>
              <w:t>,</w:t>
            </w:r>
            <w:r w:rsidRPr="00E04EBD">
              <w:rPr>
                <w:sz w:val="16"/>
                <w:szCs w:val="16"/>
              </w:rPr>
              <w:t>000</w:t>
            </w:r>
          </w:p>
        </w:tc>
        <w:tc>
          <w:tcPr>
            <w:tcW w:w="1014" w:type="pct"/>
            <w:tcBorders>
              <w:top w:val="single" w:sz="4" w:space="0" w:color="auto"/>
              <w:left w:val="single" w:sz="4" w:space="0" w:color="auto"/>
              <w:bottom w:val="single" w:sz="4" w:space="0" w:color="auto"/>
              <w:right w:val="single" w:sz="4" w:space="0" w:color="auto"/>
            </w:tcBorders>
          </w:tcPr>
          <w:p w:rsidR="00123DC4" w:rsidRPr="00723CCF" w:rsidRDefault="00123DC4" w:rsidP="00132057">
            <w:pPr>
              <w:autoSpaceDE w:val="0"/>
              <w:autoSpaceDN w:val="0"/>
              <w:adjustRightInd w:val="0"/>
              <w:spacing w:before="40" w:after="40" w:line="260" w:lineRule="exact"/>
              <w:jc w:val="center"/>
              <w:rPr>
                <w:sz w:val="16"/>
                <w:szCs w:val="16"/>
              </w:rPr>
            </w:pPr>
            <w:r w:rsidRPr="00723CCF">
              <w:rPr>
                <w:sz w:val="16"/>
                <w:szCs w:val="16"/>
              </w:rPr>
              <w:t>0</w:t>
            </w:r>
          </w:p>
        </w:tc>
        <w:tc>
          <w:tcPr>
            <w:tcW w:w="1180" w:type="pct"/>
            <w:tcBorders>
              <w:top w:val="single" w:sz="4" w:space="0" w:color="auto"/>
              <w:left w:val="single" w:sz="4" w:space="0" w:color="auto"/>
              <w:bottom w:val="single" w:sz="4" w:space="0" w:color="auto"/>
              <w:right w:val="single" w:sz="4" w:space="0" w:color="auto"/>
            </w:tcBorders>
          </w:tcPr>
          <w:p w:rsidR="00123DC4" w:rsidRPr="00723CCF" w:rsidRDefault="00123DC4" w:rsidP="00132057">
            <w:pPr>
              <w:autoSpaceDE w:val="0"/>
              <w:autoSpaceDN w:val="0"/>
              <w:adjustRightInd w:val="0"/>
              <w:spacing w:before="40" w:after="40" w:line="260" w:lineRule="exact"/>
              <w:jc w:val="center"/>
              <w:rPr>
                <w:sz w:val="16"/>
                <w:szCs w:val="16"/>
              </w:rPr>
            </w:pPr>
            <w:r w:rsidRPr="00723CCF">
              <w:rPr>
                <w:sz w:val="16"/>
                <w:szCs w:val="16"/>
              </w:rPr>
              <w:t>0%</w:t>
            </w:r>
          </w:p>
        </w:tc>
      </w:tr>
      <w:tr w:rsidR="00123DC4" w:rsidRPr="00E04EBD" w:rsidTr="00132057">
        <w:tc>
          <w:tcPr>
            <w:tcW w:w="1792"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E04EBD" w:rsidRDefault="00123DC4" w:rsidP="00132057">
            <w:pPr>
              <w:autoSpaceDE w:val="0"/>
              <w:autoSpaceDN w:val="0"/>
              <w:adjustRightInd w:val="0"/>
              <w:spacing w:before="40" w:after="40" w:line="260" w:lineRule="exact"/>
              <w:rPr>
                <w:b/>
                <w:sz w:val="16"/>
                <w:szCs w:val="16"/>
              </w:rPr>
            </w:pPr>
            <w:r w:rsidRPr="00E04EBD">
              <w:rPr>
                <w:b/>
                <w:sz w:val="16"/>
                <w:szCs w:val="16"/>
              </w:rPr>
              <w:t>Total</w:t>
            </w:r>
          </w:p>
        </w:tc>
        <w:tc>
          <w:tcPr>
            <w:tcW w:w="1014"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E04EBD" w:rsidRDefault="00123DC4" w:rsidP="00132057">
            <w:pPr>
              <w:autoSpaceDE w:val="0"/>
              <w:autoSpaceDN w:val="0"/>
              <w:adjustRightInd w:val="0"/>
              <w:spacing w:before="40" w:after="40" w:line="260" w:lineRule="exact"/>
              <w:jc w:val="center"/>
              <w:rPr>
                <w:b/>
                <w:sz w:val="16"/>
                <w:szCs w:val="16"/>
              </w:rPr>
            </w:pPr>
            <w:r w:rsidRPr="00E04EBD">
              <w:rPr>
                <w:b/>
                <w:sz w:val="16"/>
                <w:szCs w:val="16"/>
              </w:rPr>
              <w:t>300</w:t>
            </w:r>
            <w:r>
              <w:rPr>
                <w:b/>
                <w:sz w:val="16"/>
                <w:szCs w:val="16"/>
              </w:rPr>
              <w:t>,</w:t>
            </w:r>
            <w:r w:rsidRPr="00E04EBD">
              <w:rPr>
                <w:b/>
                <w:sz w:val="16"/>
                <w:szCs w:val="16"/>
              </w:rPr>
              <w:t>000</w:t>
            </w:r>
          </w:p>
        </w:tc>
        <w:tc>
          <w:tcPr>
            <w:tcW w:w="1014" w:type="pct"/>
            <w:tcBorders>
              <w:top w:val="single" w:sz="4" w:space="0" w:color="auto"/>
              <w:left w:val="single" w:sz="4" w:space="0" w:color="auto"/>
              <w:bottom w:val="single" w:sz="4" w:space="0" w:color="auto"/>
              <w:right w:val="single" w:sz="4" w:space="0" w:color="auto"/>
            </w:tcBorders>
            <w:shd w:val="clear" w:color="auto" w:fill="C6D9F1" w:themeFill="text2" w:themeFillTint="33"/>
          </w:tcPr>
          <w:p w:rsidR="00123DC4" w:rsidRPr="00723CCF" w:rsidRDefault="00123DC4" w:rsidP="00132057">
            <w:pPr>
              <w:autoSpaceDE w:val="0"/>
              <w:autoSpaceDN w:val="0"/>
              <w:adjustRightInd w:val="0"/>
              <w:spacing w:before="40" w:after="40" w:line="260" w:lineRule="exact"/>
              <w:jc w:val="center"/>
              <w:rPr>
                <w:b/>
                <w:sz w:val="16"/>
                <w:szCs w:val="16"/>
              </w:rPr>
            </w:pPr>
            <w:r w:rsidRPr="00723CCF">
              <w:rPr>
                <w:b/>
                <w:sz w:val="16"/>
                <w:szCs w:val="16"/>
              </w:rPr>
              <w:t>47,042</w:t>
            </w:r>
          </w:p>
        </w:tc>
        <w:tc>
          <w:tcPr>
            <w:tcW w:w="1180" w:type="pct"/>
            <w:tcBorders>
              <w:top w:val="single" w:sz="4" w:space="0" w:color="auto"/>
              <w:left w:val="single" w:sz="4" w:space="0" w:color="auto"/>
              <w:bottom w:val="single" w:sz="4" w:space="0" w:color="auto"/>
              <w:right w:val="single" w:sz="4" w:space="0" w:color="auto"/>
            </w:tcBorders>
            <w:shd w:val="clear" w:color="auto" w:fill="C6D9F1" w:themeFill="text2" w:themeFillTint="33"/>
          </w:tcPr>
          <w:p w:rsidR="00123DC4" w:rsidRPr="00723CCF" w:rsidRDefault="00123DC4" w:rsidP="00132057">
            <w:pPr>
              <w:autoSpaceDE w:val="0"/>
              <w:autoSpaceDN w:val="0"/>
              <w:adjustRightInd w:val="0"/>
              <w:spacing w:before="40" w:after="40" w:line="260" w:lineRule="exact"/>
              <w:jc w:val="center"/>
              <w:rPr>
                <w:b/>
                <w:sz w:val="16"/>
                <w:szCs w:val="16"/>
              </w:rPr>
            </w:pPr>
          </w:p>
        </w:tc>
      </w:tr>
    </w:tbl>
    <w:p w:rsidR="00012EE2" w:rsidRDefault="00012EE2">
      <w:pPr>
        <w:rPr>
          <w:rFonts w:cs="Arial"/>
          <w:color w:val="000000"/>
          <w:szCs w:val="22"/>
        </w:rPr>
      </w:pPr>
    </w:p>
    <w:p w:rsidR="00123DC4" w:rsidRPr="00ED7C01" w:rsidRDefault="00123DC4" w:rsidP="00132057">
      <w:pPr>
        <w:rPr>
          <w:rFonts w:cs="Arial"/>
          <w:color w:val="000000"/>
          <w:szCs w:val="22"/>
        </w:rPr>
      </w:pPr>
      <w:r w:rsidRPr="00ED7C01">
        <w:rPr>
          <w:rFonts w:cs="Arial"/>
          <w:color w:val="000000"/>
          <w:szCs w:val="22"/>
        </w:rPr>
        <w:t>RISK AND MITIGATION STRATEGIES</w:t>
      </w:r>
    </w:p>
    <w:p w:rsidR="00123DC4" w:rsidRPr="00ED7C01" w:rsidRDefault="00123DC4" w:rsidP="00132057">
      <w:pPr>
        <w:rPr>
          <w:rFonts w:cs="Arial"/>
          <w:color w:val="000000"/>
          <w:szCs w:val="22"/>
        </w:rPr>
      </w:pPr>
    </w:p>
    <w:tbl>
      <w:tblPr>
        <w:tblW w:w="481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06"/>
        <w:gridCol w:w="3237"/>
        <w:gridCol w:w="3070"/>
      </w:tblGrid>
      <w:tr w:rsidR="00123DC4" w:rsidRPr="00E04EBD" w:rsidTr="00132057">
        <w:trPr>
          <w:trHeight w:val="534"/>
          <w:tblHeader/>
          <w:jc w:val="center"/>
        </w:trPr>
        <w:tc>
          <w:tcPr>
            <w:tcW w:w="1577" w:type="pct"/>
            <w:shd w:val="clear" w:color="auto" w:fill="C6D9F1" w:themeFill="text2" w:themeFillTint="33"/>
            <w:vAlign w:val="center"/>
          </w:tcPr>
          <w:p w:rsidR="00123DC4" w:rsidRPr="00E04EBD" w:rsidRDefault="00123DC4" w:rsidP="00132057">
            <w:pPr>
              <w:autoSpaceDE w:val="0"/>
              <w:autoSpaceDN w:val="0"/>
              <w:adjustRightInd w:val="0"/>
              <w:spacing w:before="40" w:after="40" w:line="260" w:lineRule="exact"/>
              <w:ind w:left="-74" w:right="-60"/>
              <w:jc w:val="center"/>
              <w:rPr>
                <w:b/>
                <w:bCs/>
                <w:sz w:val="16"/>
                <w:szCs w:val="16"/>
              </w:rPr>
            </w:pPr>
            <w:r w:rsidRPr="00E04EBD">
              <w:rPr>
                <w:b/>
                <w:bCs/>
                <w:sz w:val="16"/>
                <w:szCs w:val="16"/>
              </w:rPr>
              <w:t xml:space="preserve">Risk </w:t>
            </w:r>
            <w:r>
              <w:rPr>
                <w:b/>
                <w:bCs/>
                <w:sz w:val="16"/>
                <w:szCs w:val="16"/>
              </w:rPr>
              <w:t>/ Risk Description</w:t>
            </w:r>
          </w:p>
        </w:tc>
        <w:tc>
          <w:tcPr>
            <w:tcW w:w="1757" w:type="pct"/>
            <w:shd w:val="clear" w:color="auto" w:fill="C6D9F1" w:themeFill="text2" w:themeFillTint="33"/>
            <w:vAlign w:val="center"/>
          </w:tcPr>
          <w:p w:rsidR="00123DC4" w:rsidRPr="00E04EBD" w:rsidRDefault="00123DC4" w:rsidP="00132057">
            <w:pPr>
              <w:autoSpaceDE w:val="0"/>
              <w:autoSpaceDN w:val="0"/>
              <w:adjustRightInd w:val="0"/>
              <w:spacing w:before="40" w:after="40" w:line="260" w:lineRule="exact"/>
              <w:ind w:left="-107" w:right="-108"/>
              <w:jc w:val="center"/>
              <w:rPr>
                <w:b/>
                <w:bCs/>
                <w:sz w:val="16"/>
                <w:szCs w:val="16"/>
              </w:rPr>
            </w:pPr>
            <w:r w:rsidRPr="00E04EBD">
              <w:rPr>
                <w:b/>
                <w:bCs/>
                <w:sz w:val="16"/>
                <w:szCs w:val="16"/>
              </w:rPr>
              <w:t>Risk Mitigation</w:t>
            </w:r>
            <w:r w:rsidRPr="00E04EBD" w:rsidDel="00826D61">
              <w:rPr>
                <w:b/>
                <w:bCs/>
                <w:sz w:val="16"/>
                <w:szCs w:val="16"/>
              </w:rPr>
              <w:t xml:space="preserve"> </w:t>
            </w:r>
          </w:p>
        </w:tc>
        <w:tc>
          <w:tcPr>
            <w:tcW w:w="1666" w:type="pct"/>
            <w:shd w:val="clear" w:color="auto" w:fill="C6D9F1" w:themeFill="text2" w:themeFillTint="33"/>
            <w:vAlign w:val="center"/>
          </w:tcPr>
          <w:p w:rsidR="00123DC4" w:rsidRPr="00E04EBD" w:rsidRDefault="00123DC4" w:rsidP="00132057">
            <w:pPr>
              <w:autoSpaceDE w:val="0"/>
              <w:autoSpaceDN w:val="0"/>
              <w:adjustRightInd w:val="0"/>
              <w:spacing w:before="40" w:after="40" w:line="260" w:lineRule="exact"/>
              <w:ind w:left="-109"/>
              <w:jc w:val="center"/>
              <w:rPr>
                <w:b/>
                <w:bCs/>
                <w:sz w:val="16"/>
                <w:szCs w:val="16"/>
              </w:rPr>
            </w:pPr>
            <w:r>
              <w:rPr>
                <w:b/>
                <w:bCs/>
                <w:sz w:val="16"/>
                <w:szCs w:val="16"/>
              </w:rPr>
              <w:t>Comment</w:t>
            </w:r>
          </w:p>
        </w:tc>
      </w:tr>
      <w:tr w:rsidR="00123DC4" w:rsidRPr="00E04EBD" w:rsidTr="00132057">
        <w:trPr>
          <w:trHeight w:val="776"/>
          <w:jc w:val="center"/>
        </w:trPr>
        <w:tc>
          <w:tcPr>
            <w:tcW w:w="1577" w:type="pct"/>
            <w:shd w:val="clear" w:color="auto" w:fill="auto"/>
          </w:tcPr>
          <w:p w:rsidR="00123DC4" w:rsidRPr="00723CCF" w:rsidRDefault="00123DC4" w:rsidP="00132057">
            <w:pPr>
              <w:autoSpaceDE w:val="0"/>
              <w:autoSpaceDN w:val="0"/>
              <w:adjustRightInd w:val="0"/>
              <w:spacing w:before="40" w:after="40"/>
              <w:rPr>
                <w:sz w:val="16"/>
                <w:szCs w:val="16"/>
              </w:rPr>
            </w:pPr>
            <w:r w:rsidRPr="00723CCF">
              <w:rPr>
                <w:sz w:val="16"/>
                <w:szCs w:val="16"/>
              </w:rPr>
              <w:t>Delay in starting the project</w:t>
            </w:r>
            <w:r>
              <w:rPr>
                <w:sz w:val="16"/>
                <w:szCs w:val="16"/>
              </w:rPr>
              <w:t xml:space="preserve"> by up to one year as a result of delay in completion of the new WIPO Conference Hall.</w:t>
            </w:r>
          </w:p>
        </w:tc>
        <w:tc>
          <w:tcPr>
            <w:tcW w:w="1757" w:type="pct"/>
            <w:shd w:val="clear" w:color="auto" w:fill="auto"/>
          </w:tcPr>
          <w:p w:rsidR="00123DC4" w:rsidRPr="00857B82" w:rsidRDefault="00123DC4" w:rsidP="00132057">
            <w:pPr>
              <w:autoSpaceDE w:val="0"/>
              <w:autoSpaceDN w:val="0"/>
              <w:adjustRightInd w:val="0"/>
              <w:spacing w:before="40" w:after="40"/>
              <w:rPr>
                <w:sz w:val="16"/>
                <w:szCs w:val="16"/>
              </w:rPr>
            </w:pPr>
            <w:r>
              <w:rPr>
                <w:sz w:val="16"/>
                <w:szCs w:val="16"/>
              </w:rPr>
              <w:t>Adjust timelines and carry out works over the summer to the extent possible.</w:t>
            </w:r>
          </w:p>
        </w:tc>
        <w:tc>
          <w:tcPr>
            <w:tcW w:w="1666" w:type="pct"/>
            <w:shd w:val="clear" w:color="auto" w:fill="auto"/>
          </w:tcPr>
          <w:p w:rsidR="00123DC4" w:rsidRPr="00857B82" w:rsidRDefault="00123DC4" w:rsidP="00132057">
            <w:pPr>
              <w:autoSpaceDE w:val="0"/>
              <w:autoSpaceDN w:val="0"/>
              <w:adjustRightInd w:val="0"/>
              <w:spacing w:before="40" w:after="40"/>
              <w:rPr>
                <w:sz w:val="16"/>
                <w:szCs w:val="16"/>
              </w:rPr>
            </w:pPr>
            <w:r>
              <w:rPr>
                <w:sz w:val="16"/>
                <w:szCs w:val="16"/>
              </w:rPr>
              <w:t>This risk event did occur in 2014.  The project’s general schedule was delayed by 12</w:t>
            </w:r>
            <w:r w:rsidRPr="007905DE">
              <w:rPr>
                <w:sz w:val="16"/>
                <w:szCs w:val="16"/>
              </w:rPr>
              <w:t xml:space="preserve"> months relative to the original plan.  The timeline for the project was </w:t>
            </w:r>
            <w:r>
              <w:rPr>
                <w:sz w:val="16"/>
                <w:szCs w:val="16"/>
              </w:rPr>
              <w:t>adjusted, as per the planned risk mitigation measure</w:t>
            </w:r>
            <w:r w:rsidRPr="007905DE">
              <w:rPr>
                <w:sz w:val="16"/>
                <w:szCs w:val="16"/>
              </w:rPr>
              <w:t>.</w:t>
            </w:r>
            <w:r>
              <w:rPr>
                <w:sz w:val="16"/>
                <w:szCs w:val="16"/>
              </w:rPr>
              <w:t xml:space="preserve">  There was no material impact to the project deliverables.</w:t>
            </w:r>
            <w:r>
              <w:rPr>
                <w:i/>
                <w:sz w:val="16"/>
                <w:szCs w:val="16"/>
              </w:rPr>
              <w:t xml:space="preserve"> </w:t>
            </w:r>
          </w:p>
        </w:tc>
      </w:tr>
      <w:tr w:rsidR="00123DC4" w:rsidRPr="00E04EBD" w:rsidTr="00132057">
        <w:trPr>
          <w:trHeight w:val="776"/>
          <w:jc w:val="center"/>
        </w:trPr>
        <w:tc>
          <w:tcPr>
            <w:tcW w:w="1577" w:type="pct"/>
            <w:shd w:val="clear" w:color="auto" w:fill="auto"/>
          </w:tcPr>
          <w:p w:rsidR="00123DC4" w:rsidRPr="00723CCF" w:rsidRDefault="00123DC4" w:rsidP="00132057">
            <w:pPr>
              <w:autoSpaceDE w:val="0"/>
              <w:autoSpaceDN w:val="0"/>
              <w:adjustRightInd w:val="0"/>
              <w:spacing w:before="40" w:after="40"/>
              <w:rPr>
                <w:sz w:val="16"/>
                <w:szCs w:val="16"/>
              </w:rPr>
            </w:pPr>
            <w:r w:rsidRPr="00723CCF">
              <w:rPr>
                <w:sz w:val="16"/>
                <w:szCs w:val="16"/>
              </w:rPr>
              <w:t>Conflicting priorities between advancing works and use of the offices by their occupants</w:t>
            </w:r>
            <w:r>
              <w:rPr>
                <w:sz w:val="16"/>
                <w:szCs w:val="16"/>
              </w:rPr>
              <w:t>, resulting in an i</w:t>
            </w:r>
            <w:r w:rsidRPr="00723CCF">
              <w:rPr>
                <w:sz w:val="16"/>
                <w:szCs w:val="16"/>
              </w:rPr>
              <w:t>nability to free the offices of their occupants to be able to begin works on the floor concerned</w:t>
            </w:r>
            <w:r>
              <w:rPr>
                <w:sz w:val="16"/>
                <w:szCs w:val="16"/>
              </w:rPr>
              <w:t>.</w:t>
            </w:r>
          </w:p>
        </w:tc>
        <w:tc>
          <w:tcPr>
            <w:tcW w:w="1757" w:type="pct"/>
            <w:shd w:val="clear" w:color="auto" w:fill="auto"/>
          </w:tcPr>
          <w:p w:rsidR="00123DC4" w:rsidRPr="00723CCF" w:rsidRDefault="00123DC4" w:rsidP="00132057">
            <w:pPr>
              <w:autoSpaceDE w:val="0"/>
              <w:autoSpaceDN w:val="0"/>
              <w:adjustRightInd w:val="0"/>
              <w:spacing w:before="40" w:after="40"/>
              <w:rPr>
                <w:sz w:val="16"/>
                <w:szCs w:val="16"/>
              </w:rPr>
            </w:pPr>
            <w:r>
              <w:rPr>
                <w:sz w:val="16"/>
                <w:szCs w:val="16"/>
              </w:rPr>
              <w:t>Reorganize the construction works if possible, and review the works timetable.</w:t>
            </w:r>
            <w:r w:rsidRPr="00723CCF" w:rsidDel="00826D61">
              <w:rPr>
                <w:sz w:val="16"/>
                <w:szCs w:val="16"/>
              </w:rPr>
              <w:t xml:space="preserve"> </w:t>
            </w:r>
          </w:p>
        </w:tc>
        <w:tc>
          <w:tcPr>
            <w:tcW w:w="1666" w:type="pct"/>
            <w:shd w:val="clear" w:color="auto" w:fill="auto"/>
          </w:tcPr>
          <w:p w:rsidR="00123DC4" w:rsidRPr="00DB2FBD" w:rsidRDefault="00123DC4" w:rsidP="00132057">
            <w:pPr>
              <w:autoSpaceDE w:val="0"/>
              <w:autoSpaceDN w:val="0"/>
              <w:adjustRightInd w:val="0"/>
              <w:spacing w:before="40" w:after="40"/>
              <w:rPr>
                <w:sz w:val="16"/>
                <w:szCs w:val="16"/>
              </w:rPr>
            </w:pPr>
          </w:p>
        </w:tc>
      </w:tr>
      <w:tr w:rsidR="00123DC4" w:rsidRPr="00E04EBD" w:rsidTr="00132057">
        <w:trPr>
          <w:trHeight w:val="776"/>
          <w:jc w:val="center"/>
        </w:trPr>
        <w:tc>
          <w:tcPr>
            <w:tcW w:w="1577" w:type="pct"/>
            <w:shd w:val="clear" w:color="auto" w:fill="auto"/>
          </w:tcPr>
          <w:p w:rsidR="00123DC4" w:rsidRPr="00723CCF" w:rsidRDefault="00123DC4" w:rsidP="00132057">
            <w:pPr>
              <w:autoSpaceDE w:val="0"/>
              <w:autoSpaceDN w:val="0"/>
              <w:adjustRightInd w:val="0"/>
              <w:spacing w:before="40" w:after="40"/>
              <w:rPr>
                <w:sz w:val="16"/>
                <w:szCs w:val="16"/>
              </w:rPr>
            </w:pPr>
            <w:r w:rsidRPr="00723CCF">
              <w:rPr>
                <w:sz w:val="16"/>
                <w:szCs w:val="16"/>
              </w:rPr>
              <w:t>Inability to carry out the works during Summer 2015</w:t>
            </w:r>
            <w:r>
              <w:rPr>
                <w:sz w:val="16"/>
                <w:szCs w:val="16"/>
              </w:rPr>
              <w:t xml:space="preserve"> due to u</w:t>
            </w:r>
            <w:r w:rsidRPr="00723CCF">
              <w:rPr>
                <w:sz w:val="16"/>
                <w:szCs w:val="16"/>
              </w:rPr>
              <w:t>navailability of firms within WIPO’s requested deadline</w:t>
            </w:r>
            <w:r>
              <w:rPr>
                <w:sz w:val="16"/>
                <w:szCs w:val="16"/>
              </w:rPr>
              <w:t>.</w:t>
            </w:r>
          </w:p>
        </w:tc>
        <w:tc>
          <w:tcPr>
            <w:tcW w:w="1757" w:type="pct"/>
            <w:shd w:val="clear" w:color="auto" w:fill="auto"/>
          </w:tcPr>
          <w:p w:rsidR="00123DC4" w:rsidRPr="00723CCF" w:rsidRDefault="00123DC4" w:rsidP="00132057">
            <w:pPr>
              <w:autoSpaceDE w:val="0"/>
              <w:autoSpaceDN w:val="0"/>
              <w:adjustRightInd w:val="0"/>
              <w:spacing w:before="40" w:after="40"/>
              <w:rPr>
                <w:sz w:val="16"/>
                <w:szCs w:val="16"/>
              </w:rPr>
            </w:pPr>
            <w:r>
              <w:rPr>
                <w:sz w:val="16"/>
                <w:szCs w:val="16"/>
              </w:rPr>
              <w:t>Postpone the works until Summer 2016.</w:t>
            </w:r>
            <w:r>
              <w:rPr>
                <w:i/>
                <w:sz w:val="16"/>
                <w:szCs w:val="16"/>
              </w:rPr>
              <w:t xml:space="preserve"> </w:t>
            </w:r>
          </w:p>
        </w:tc>
        <w:tc>
          <w:tcPr>
            <w:tcW w:w="1666" w:type="pct"/>
            <w:shd w:val="clear" w:color="auto" w:fill="auto"/>
          </w:tcPr>
          <w:p w:rsidR="00123DC4" w:rsidRPr="00DB2FBD" w:rsidRDefault="00123DC4" w:rsidP="00132057">
            <w:pPr>
              <w:autoSpaceDE w:val="0"/>
              <w:autoSpaceDN w:val="0"/>
              <w:adjustRightInd w:val="0"/>
              <w:spacing w:before="40" w:after="40"/>
              <w:rPr>
                <w:sz w:val="16"/>
                <w:szCs w:val="16"/>
              </w:rPr>
            </w:pPr>
          </w:p>
        </w:tc>
      </w:tr>
      <w:tr w:rsidR="00123DC4" w:rsidRPr="00E04EBD" w:rsidTr="00132057">
        <w:trPr>
          <w:trHeight w:val="776"/>
          <w:jc w:val="center"/>
        </w:trPr>
        <w:tc>
          <w:tcPr>
            <w:tcW w:w="1577" w:type="pct"/>
            <w:shd w:val="clear" w:color="auto" w:fill="auto"/>
          </w:tcPr>
          <w:p w:rsidR="00123DC4" w:rsidRPr="00DB2FBD" w:rsidRDefault="00123DC4" w:rsidP="00132057">
            <w:pPr>
              <w:autoSpaceDE w:val="0"/>
              <w:autoSpaceDN w:val="0"/>
              <w:adjustRightInd w:val="0"/>
              <w:spacing w:before="40" w:after="40"/>
              <w:rPr>
                <w:sz w:val="16"/>
                <w:szCs w:val="16"/>
              </w:rPr>
            </w:pPr>
            <w:r>
              <w:rPr>
                <w:sz w:val="16"/>
                <w:szCs w:val="16"/>
              </w:rPr>
              <w:t>Delay or interruption of works due to site accident.</w:t>
            </w:r>
          </w:p>
        </w:tc>
        <w:tc>
          <w:tcPr>
            <w:tcW w:w="1757" w:type="pct"/>
            <w:shd w:val="clear" w:color="auto" w:fill="auto"/>
          </w:tcPr>
          <w:p w:rsidR="00123DC4" w:rsidRPr="00DB2FBD" w:rsidRDefault="00123DC4" w:rsidP="00132057">
            <w:pPr>
              <w:autoSpaceDE w:val="0"/>
              <w:autoSpaceDN w:val="0"/>
              <w:adjustRightInd w:val="0"/>
              <w:spacing w:before="40" w:after="40"/>
              <w:rPr>
                <w:sz w:val="16"/>
                <w:szCs w:val="16"/>
              </w:rPr>
            </w:pPr>
            <w:r>
              <w:rPr>
                <w:sz w:val="16"/>
                <w:szCs w:val="16"/>
              </w:rPr>
              <w:t>Revalidation and strengthening of the security measures and review of the works timetable, as far ahead as 2016.</w:t>
            </w:r>
          </w:p>
        </w:tc>
        <w:tc>
          <w:tcPr>
            <w:tcW w:w="1666" w:type="pct"/>
            <w:shd w:val="clear" w:color="auto" w:fill="auto"/>
          </w:tcPr>
          <w:p w:rsidR="00123DC4" w:rsidRPr="00DB2FBD" w:rsidRDefault="00123DC4" w:rsidP="00132057">
            <w:pPr>
              <w:autoSpaceDE w:val="0"/>
              <w:autoSpaceDN w:val="0"/>
              <w:adjustRightInd w:val="0"/>
              <w:spacing w:before="40" w:after="40"/>
              <w:rPr>
                <w:sz w:val="16"/>
                <w:szCs w:val="16"/>
              </w:rPr>
            </w:pPr>
          </w:p>
        </w:tc>
      </w:tr>
      <w:tr w:rsidR="00123DC4" w:rsidRPr="00E04EBD" w:rsidTr="00132057">
        <w:trPr>
          <w:trHeight w:val="776"/>
          <w:jc w:val="center"/>
        </w:trPr>
        <w:tc>
          <w:tcPr>
            <w:tcW w:w="1577" w:type="pct"/>
            <w:shd w:val="clear" w:color="auto" w:fill="auto"/>
          </w:tcPr>
          <w:p w:rsidR="00123DC4" w:rsidRDefault="00123DC4" w:rsidP="00132057">
            <w:pPr>
              <w:autoSpaceDE w:val="0"/>
              <w:autoSpaceDN w:val="0"/>
              <w:adjustRightInd w:val="0"/>
              <w:spacing w:before="40" w:after="40"/>
              <w:rPr>
                <w:sz w:val="16"/>
                <w:szCs w:val="16"/>
              </w:rPr>
            </w:pPr>
            <w:r>
              <w:rPr>
                <w:sz w:val="16"/>
                <w:szCs w:val="16"/>
              </w:rPr>
              <w:t>W</w:t>
            </w:r>
            <w:r w:rsidRPr="00723CCF">
              <w:rPr>
                <w:sz w:val="16"/>
                <w:szCs w:val="16"/>
              </w:rPr>
              <w:t>ork interrupted on the construction site</w:t>
            </w:r>
            <w:r>
              <w:rPr>
                <w:sz w:val="16"/>
                <w:szCs w:val="16"/>
              </w:rPr>
              <w:t xml:space="preserve"> due to t</w:t>
            </w:r>
            <w:r w:rsidRPr="00723CCF">
              <w:rPr>
                <w:sz w:val="16"/>
                <w:szCs w:val="16"/>
              </w:rPr>
              <w:t xml:space="preserve">echnical problems discovered during </w:t>
            </w:r>
            <w:r>
              <w:rPr>
                <w:sz w:val="16"/>
                <w:szCs w:val="16"/>
              </w:rPr>
              <w:t xml:space="preserve">preparatory </w:t>
            </w:r>
            <w:r w:rsidRPr="00723CCF">
              <w:rPr>
                <w:sz w:val="16"/>
                <w:szCs w:val="16"/>
              </w:rPr>
              <w:t>works</w:t>
            </w:r>
            <w:r>
              <w:rPr>
                <w:sz w:val="16"/>
                <w:szCs w:val="16"/>
              </w:rPr>
              <w:t xml:space="preserve"> for the worksite</w:t>
            </w:r>
            <w:r w:rsidDel="00062DB2">
              <w:rPr>
                <w:sz w:val="16"/>
                <w:szCs w:val="16"/>
              </w:rPr>
              <w:t>.</w:t>
            </w:r>
          </w:p>
        </w:tc>
        <w:tc>
          <w:tcPr>
            <w:tcW w:w="1757" w:type="pct"/>
            <w:shd w:val="clear" w:color="auto" w:fill="auto"/>
          </w:tcPr>
          <w:p w:rsidR="00123DC4" w:rsidRDefault="00123DC4" w:rsidP="00132057">
            <w:pPr>
              <w:autoSpaceDE w:val="0"/>
              <w:autoSpaceDN w:val="0"/>
              <w:adjustRightInd w:val="0"/>
              <w:spacing w:before="40" w:after="40"/>
              <w:rPr>
                <w:sz w:val="16"/>
                <w:szCs w:val="16"/>
              </w:rPr>
            </w:pPr>
            <w:r>
              <w:rPr>
                <w:sz w:val="16"/>
                <w:szCs w:val="16"/>
              </w:rPr>
              <w:t>Engage appropriate expertise to advise on best way of addressing the problems encountered.</w:t>
            </w:r>
          </w:p>
        </w:tc>
        <w:tc>
          <w:tcPr>
            <w:tcW w:w="1666" w:type="pct"/>
            <w:shd w:val="clear" w:color="auto" w:fill="auto"/>
          </w:tcPr>
          <w:p w:rsidR="00123DC4" w:rsidRDefault="00123DC4" w:rsidP="00132057">
            <w:pPr>
              <w:autoSpaceDE w:val="0"/>
              <w:autoSpaceDN w:val="0"/>
              <w:adjustRightInd w:val="0"/>
              <w:spacing w:before="40" w:after="40"/>
              <w:rPr>
                <w:sz w:val="16"/>
                <w:szCs w:val="16"/>
              </w:rPr>
            </w:pPr>
            <w:r>
              <w:rPr>
                <w:sz w:val="16"/>
                <w:szCs w:val="16"/>
              </w:rPr>
              <w:t>The risk event did occur in 2015.  Additional experts were engaged to conduct studies to advise the Secretariat on the best course of action in order to reduce the impact.</w:t>
            </w:r>
          </w:p>
        </w:tc>
      </w:tr>
    </w:tbl>
    <w:p w:rsidR="00123DC4" w:rsidRPr="00ED7C01" w:rsidRDefault="00123DC4" w:rsidP="00132057">
      <w:pPr>
        <w:autoSpaceDE w:val="0"/>
        <w:autoSpaceDN w:val="0"/>
        <w:jc w:val="both"/>
        <w:rPr>
          <w:sz w:val="18"/>
        </w:rPr>
      </w:pPr>
    </w:p>
    <w:p w:rsidR="00123DC4" w:rsidRPr="00ED7C01" w:rsidRDefault="00123DC4" w:rsidP="00132057">
      <w:pPr>
        <w:rPr>
          <w:rFonts w:cs="Arial"/>
          <w:szCs w:val="22"/>
        </w:rPr>
      </w:pPr>
    </w:p>
    <w:p w:rsidR="00123DC4" w:rsidRPr="00ED7C01" w:rsidRDefault="00123DC4" w:rsidP="00132057">
      <w:pPr>
        <w:rPr>
          <w:rFonts w:cs="Arial"/>
          <w:szCs w:val="22"/>
        </w:rPr>
      </w:pPr>
      <w:r w:rsidRPr="00ED7C01">
        <w:rPr>
          <w:rFonts w:cs="Arial"/>
          <w:szCs w:val="22"/>
        </w:rPr>
        <w:t>PROJECT TIMELINE BY MILESTONE</w:t>
      </w:r>
    </w:p>
    <w:p w:rsidR="00123DC4" w:rsidRPr="00ED7C01" w:rsidRDefault="00123DC4" w:rsidP="00132057">
      <w:pPr>
        <w:autoSpaceDE w:val="0"/>
        <w:autoSpaceDN w:val="0"/>
        <w:jc w:val="both"/>
        <w:rPr>
          <w:sz w:val="18"/>
        </w:rPr>
      </w:pPr>
    </w:p>
    <w:tbl>
      <w:tblPr>
        <w:tblW w:w="8690" w:type="dxa"/>
        <w:jc w:val="center"/>
        <w:tblLook w:val="04A0" w:firstRow="1" w:lastRow="0" w:firstColumn="1" w:lastColumn="0" w:noHBand="0" w:noVBand="1"/>
      </w:tblPr>
      <w:tblGrid>
        <w:gridCol w:w="3782"/>
        <w:gridCol w:w="430"/>
        <w:gridCol w:w="430"/>
        <w:gridCol w:w="430"/>
        <w:gridCol w:w="430"/>
        <w:gridCol w:w="430"/>
        <w:gridCol w:w="430"/>
        <w:gridCol w:w="430"/>
        <w:gridCol w:w="430"/>
        <w:gridCol w:w="430"/>
        <w:gridCol w:w="430"/>
        <w:gridCol w:w="430"/>
        <w:gridCol w:w="430"/>
      </w:tblGrid>
      <w:tr w:rsidR="00123DC4" w:rsidRPr="00723CCF" w:rsidTr="00132057">
        <w:trPr>
          <w:trHeight w:val="244"/>
          <w:jc w:val="center"/>
        </w:trPr>
        <w:tc>
          <w:tcPr>
            <w:tcW w:w="3782" w:type="dxa"/>
            <w:tcBorders>
              <w:top w:val="nil"/>
              <w:left w:val="nil"/>
              <w:bottom w:val="nil"/>
              <w:right w:val="nil"/>
            </w:tcBorders>
            <w:shd w:val="clear" w:color="auto" w:fill="auto"/>
            <w:noWrap/>
            <w:vAlign w:val="bottom"/>
            <w:hideMark/>
          </w:tcPr>
          <w:p w:rsidR="00123DC4" w:rsidRPr="00723CCF" w:rsidRDefault="00123DC4" w:rsidP="00132057">
            <w:pPr>
              <w:rPr>
                <w:rFonts w:cs="Arial"/>
                <w:sz w:val="16"/>
                <w:szCs w:val="16"/>
              </w:rPr>
            </w:pPr>
          </w:p>
        </w:tc>
        <w:tc>
          <w:tcPr>
            <w:tcW w:w="1635" w:type="dxa"/>
            <w:gridSpan w:val="4"/>
            <w:tcBorders>
              <w:top w:val="single" w:sz="8" w:space="0" w:color="auto"/>
              <w:left w:val="single" w:sz="8" w:space="0" w:color="auto"/>
              <w:bottom w:val="single" w:sz="4" w:space="0" w:color="auto"/>
              <w:right w:val="single" w:sz="4" w:space="0" w:color="auto"/>
            </w:tcBorders>
            <w:shd w:val="clear" w:color="auto" w:fill="C6D9F1" w:themeFill="text2" w:themeFillTint="33"/>
            <w:vAlign w:val="bottom"/>
          </w:tcPr>
          <w:p w:rsidR="00123DC4" w:rsidRPr="00723CCF" w:rsidRDefault="00123DC4" w:rsidP="00132057">
            <w:pPr>
              <w:jc w:val="center"/>
              <w:rPr>
                <w:rFonts w:cs="Arial"/>
                <w:b/>
                <w:bCs/>
                <w:sz w:val="16"/>
                <w:szCs w:val="16"/>
              </w:rPr>
            </w:pPr>
            <w:r w:rsidRPr="00723CCF">
              <w:rPr>
                <w:rFonts w:cs="Arial"/>
                <w:b/>
                <w:bCs/>
                <w:sz w:val="16"/>
                <w:szCs w:val="16"/>
              </w:rPr>
              <w:t>2014</w:t>
            </w:r>
          </w:p>
        </w:tc>
        <w:tc>
          <w:tcPr>
            <w:tcW w:w="1635" w:type="dxa"/>
            <w:gridSpan w:val="4"/>
            <w:tcBorders>
              <w:top w:val="single" w:sz="8" w:space="0" w:color="auto"/>
              <w:left w:val="single" w:sz="4" w:space="0" w:color="auto"/>
              <w:bottom w:val="single" w:sz="4" w:space="0" w:color="auto"/>
              <w:right w:val="single" w:sz="8" w:space="0" w:color="000000"/>
            </w:tcBorders>
            <w:shd w:val="clear" w:color="auto" w:fill="C6D9F1" w:themeFill="text2" w:themeFillTint="33"/>
            <w:noWrap/>
            <w:vAlign w:val="bottom"/>
            <w:hideMark/>
          </w:tcPr>
          <w:p w:rsidR="00123DC4" w:rsidRPr="00723CCF" w:rsidRDefault="00123DC4" w:rsidP="00132057">
            <w:pPr>
              <w:jc w:val="center"/>
              <w:rPr>
                <w:rFonts w:cs="Arial"/>
                <w:b/>
                <w:bCs/>
                <w:sz w:val="16"/>
                <w:szCs w:val="16"/>
              </w:rPr>
            </w:pPr>
            <w:r w:rsidRPr="00723CCF">
              <w:rPr>
                <w:rFonts w:cs="Arial"/>
                <w:b/>
                <w:bCs/>
                <w:sz w:val="16"/>
                <w:szCs w:val="16"/>
              </w:rPr>
              <w:t>2015</w:t>
            </w:r>
          </w:p>
        </w:tc>
        <w:tc>
          <w:tcPr>
            <w:tcW w:w="1635" w:type="dxa"/>
            <w:gridSpan w:val="4"/>
            <w:tcBorders>
              <w:top w:val="single" w:sz="8" w:space="0" w:color="auto"/>
              <w:left w:val="nil"/>
              <w:bottom w:val="single" w:sz="4" w:space="0" w:color="auto"/>
              <w:right w:val="single" w:sz="8" w:space="0" w:color="000000"/>
            </w:tcBorders>
            <w:shd w:val="clear" w:color="auto" w:fill="C6D9F1" w:themeFill="text2" w:themeFillTint="33"/>
            <w:noWrap/>
            <w:vAlign w:val="bottom"/>
            <w:hideMark/>
          </w:tcPr>
          <w:p w:rsidR="00123DC4" w:rsidRPr="00723CCF" w:rsidRDefault="00123DC4" w:rsidP="00132057">
            <w:pPr>
              <w:jc w:val="center"/>
              <w:rPr>
                <w:rFonts w:cs="Arial"/>
                <w:b/>
                <w:bCs/>
                <w:sz w:val="16"/>
                <w:szCs w:val="16"/>
              </w:rPr>
            </w:pPr>
            <w:r w:rsidRPr="00723CCF">
              <w:rPr>
                <w:rFonts w:cs="Arial"/>
                <w:b/>
                <w:bCs/>
                <w:sz w:val="16"/>
                <w:szCs w:val="16"/>
              </w:rPr>
              <w:t>2016</w:t>
            </w:r>
          </w:p>
        </w:tc>
      </w:tr>
      <w:tr w:rsidR="00123DC4" w:rsidRPr="00723CCF" w:rsidTr="00012EE2">
        <w:trPr>
          <w:trHeight w:val="499"/>
          <w:jc w:val="center"/>
        </w:trPr>
        <w:tc>
          <w:tcPr>
            <w:tcW w:w="3782" w:type="dxa"/>
            <w:tcBorders>
              <w:top w:val="single" w:sz="8" w:space="0" w:color="auto"/>
              <w:left w:val="single" w:sz="8" w:space="0" w:color="auto"/>
              <w:bottom w:val="single" w:sz="4" w:space="0" w:color="auto"/>
              <w:right w:val="single" w:sz="8" w:space="0" w:color="auto"/>
            </w:tcBorders>
            <w:shd w:val="clear" w:color="auto" w:fill="C6D9F1" w:themeFill="text2" w:themeFillTint="33"/>
            <w:noWrap/>
            <w:vAlign w:val="bottom"/>
            <w:hideMark/>
          </w:tcPr>
          <w:p w:rsidR="00123DC4" w:rsidRPr="00723CCF" w:rsidRDefault="00123DC4" w:rsidP="00132057">
            <w:pPr>
              <w:spacing w:before="40" w:after="40"/>
              <w:rPr>
                <w:rFonts w:cs="Arial"/>
                <w:b/>
                <w:bCs/>
                <w:sz w:val="16"/>
                <w:szCs w:val="16"/>
              </w:rPr>
            </w:pPr>
            <w:r w:rsidRPr="00723CCF">
              <w:rPr>
                <w:rFonts w:cs="Arial"/>
                <w:b/>
                <w:bCs/>
                <w:sz w:val="16"/>
                <w:szCs w:val="16"/>
              </w:rPr>
              <w:t>Key Milestone</w:t>
            </w:r>
          </w:p>
        </w:tc>
        <w:tc>
          <w:tcPr>
            <w:tcW w:w="409" w:type="dxa"/>
            <w:tcBorders>
              <w:top w:val="nil"/>
              <w:left w:val="nil"/>
              <w:bottom w:val="single" w:sz="4" w:space="0" w:color="auto"/>
              <w:right w:val="single" w:sz="4" w:space="0" w:color="auto"/>
            </w:tcBorders>
            <w:shd w:val="clear" w:color="auto" w:fill="C6D9F1" w:themeFill="text2" w:themeFillTint="33"/>
            <w:vAlign w:val="bottom"/>
          </w:tcPr>
          <w:p w:rsidR="00123DC4" w:rsidRPr="00723CCF" w:rsidRDefault="00123DC4" w:rsidP="00132057">
            <w:pPr>
              <w:spacing w:before="40" w:after="40"/>
              <w:jc w:val="center"/>
              <w:rPr>
                <w:rFonts w:cs="Arial"/>
                <w:b/>
                <w:bCs/>
                <w:sz w:val="16"/>
                <w:szCs w:val="16"/>
              </w:rPr>
            </w:pPr>
            <w:r w:rsidRPr="00723CCF">
              <w:rPr>
                <w:rFonts w:cs="Arial"/>
                <w:b/>
                <w:bCs/>
                <w:sz w:val="16"/>
                <w:szCs w:val="16"/>
              </w:rPr>
              <w:t>Q1</w:t>
            </w:r>
          </w:p>
        </w:tc>
        <w:tc>
          <w:tcPr>
            <w:tcW w:w="409" w:type="dxa"/>
            <w:tcBorders>
              <w:top w:val="nil"/>
              <w:left w:val="nil"/>
              <w:bottom w:val="single" w:sz="4" w:space="0" w:color="auto"/>
              <w:right w:val="single" w:sz="4" w:space="0" w:color="auto"/>
            </w:tcBorders>
            <w:shd w:val="clear" w:color="auto" w:fill="C6D9F1" w:themeFill="text2" w:themeFillTint="33"/>
            <w:vAlign w:val="bottom"/>
          </w:tcPr>
          <w:p w:rsidR="00123DC4" w:rsidRPr="00723CCF" w:rsidRDefault="00123DC4" w:rsidP="00132057">
            <w:pPr>
              <w:spacing w:before="40" w:after="40"/>
              <w:jc w:val="center"/>
              <w:rPr>
                <w:rFonts w:cs="Arial"/>
                <w:b/>
                <w:bCs/>
                <w:sz w:val="16"/>
                <w:szCs w:val="16"/>
              </w:rPr>
            </w:pPr>
            <w:r w:rsidRPr="00723CCF">
              <w:rPr>
                <w:rFonts w:cs="Arial"/>
                <w:b/>
                <w:bCs/>
                <w:sz w:val="16"/>
                <w:szCs w:val="16"/>
              </w:rPr>
              <w:t>Q2</w:t>
            </w:r>
          </w:p>
        </w:tc>
        <w:tc>
          <w:tcPr>
            <w:tcW w:w="409" w:type="dxa"/>
            <w:tcBorders>
              <w:top w:val="nil"/>
              <w:left w:val="nil"/>
              <w:bottom w:val="single" w:sz="4" w:space="0" w:color="auto"/>
              <w:right w:val="single" w:sz="4" w:space="0" w:color="auto"/>
            </w:tcBorders>
            <w:shd w:val="clear" w:color="auto" w:fill="C6D9F1" w:themeFill="text2" w:themeFillTint="33"/>
            <w:vAlign w:val="bottom"/>
          </w:tcPr>
          <w:p w:rsidR="00123DC4" w:rsidRPr="00723CCF" w:rsidRDefault="00123DC4" w:rsidP="00132057">
            <w:pPr>
              <w:spacing w:before="40" w:after="40"/>
              <w:jc w:val="center"/>
              <w:rPr>
                <w:rFonts w:cs="Arial"/>
                <w:b/>
                <w:bCs/>
                <w:sz w:val="16"/>
                <w:szCs w:val="16"/>
              </w:rPr>
            </w:pPr>
            <w:r w:rsidRPr="00723CCF">
              <w:rPr>
                <w:rFonts w:cs="Arial"/>
                <w:b/>
                <w:bCs/>
                <w:sz w:val="16"/>
                <w:szCs w:val="16"/>
              </w:rPr>
              <w:t>Q3</w:t>
            </w:r>
          </w:p>
        </w:tc>
        <w:tc>
          <w:tcPr>
            <w:tcW w:w="409" w:type="dxa"/>
            <w:tcBorders>
              <w:top w:val="nil"/>
              <w:left w:val="nil"/>
              <w:bottom w:val="single" w:sz="4" w:space="0" w:color="auto"/>
              <w:right w:val="single" w:sz="4" w:space="0" w:color="auto"/>
            </w:tcBorders>
            <w:shd w:val="clear" w:color="auto" w:fill="C6D9F1" w:themeFill="text2" w:themeFillTint="33"/>
            <w:vAlign w:val="bottom"/>
          </w:tcPr>
          <w:p w:rsidR="00123DC4" w:rsidRPr="00723CCF" w:rsidRDefault="00123DC4" w:rsidP="00132057">
            <w:pPr>
              <w:spacing w:before="40" w:after="40"/>
              <w:jc w:val="center"/>
              <w:rPr>
                <w:rFonts w:cs="Arial"/>
                <w:b/>
                <w:bCs/>
                <w:sz w:val="16"/>
                <w:szCs w:val="16"/>
              </w:rPr>
            </w:pPr>
            <w:r w:rsidRPr="00723CCF">
              <w:rPr>
                <w:rFonts w:cs="Arial"/>
                <w:b/>
                <w:bCs/>
                <w:sz w:val="16"/>
                <w:szCs w:val="16"/>
              </w:rPr>
              <w:t>Q4</w:t>
            </w:r>
          </w:p>
        </w:tc>
        <w:tc>
          <w:tcPr>
            <w:tcW w:w="409" w:type="dxa"/>
            <w:tcBorders>
              <w:top w:val="nil"/>
              <w:left w:val="single" w:sz="4" w:space="0" w:color="auto"/>
              <w:bottom w:val="single" w:sz="4" w:space="0" w:color="auto"/>
              <w:right w:val="single" w:sz="4" w:space="0" w:color="auto"/>
            </w:tcBorders>
            <w:shd w:val="clear" w:color="auto" w:fill="C6D9F1" w:themeFill="text2" w:themeFillTint="33"/>
            <w:noWrap/>
            <w:vAlign w:val="bottom"/>
            <w:hideMark/>
          </w:tcPr>
          <w:p w:rsidR="00123DC4" w:rsidRPr="00723CCF" w:rsidRDefault="00123DC4" w:rsidP="00132057">
            <w:pPr>
              <w:spacing w:before="40" w:after="40"/>
              <w:jc w:val="center"/>
              <w:rPr>
                <w:rFonts w:cs="Arial"/>
                <w:b/>
                <w:bCs/>
                <w:sz w:val="16"/>
                <w:szCs w:val="16"/>
              </w:rPr>
            </w:pPr>
            <w:r w:rsidRPr="00723CCF">
              <w:rPr>
                <w:rFonts w:cs="Arial"/>
                <w:b/>
                <w:bCs/>
                <w:sz w:val="16"/>
                <w:szCs w:val="16"/>
              </w:rPr>
              <w:t>Q1</w:t>
            </w:r>
          </w:p>
        </w:tc>
        <w:tc>
          <w:tcPr>
            <w:tcW w:w="409" w:type="dxa"/>
            <w:tcBorders>
              <w:top w:val="nil"/>
              <w:left w:val="nil"/>
              <w:bottom w:val="single" w:sz="4" w:space="0" w:color="auto"/>
              <w:right w:val="single" w:sz="4" w:space="0" w:color="auto"/>
            </w:tcBorders>
            <w:shd w:val="clear" w:color="auto" w:fill="C6D9F1" w:themeFill="text2" w:themeFillTint="33"/>
            <w:noWrap/>
            <w:vAlign w:val="bottom"/>
            <w:hideMark/>
          </w:tcPr>
          <w:p w:rsidR="00123DC4" w:rsidRPr="00723CCF" w:rsidRDefault="00123DC4" w:rsidP="00132057">
            <w:pPr>
              <w:spacing w:before="40" w:after="40"/>
              <w:jc w:val="center"/>
              <w:rPr>
                <w:rFonts w:cs="Arial"/>
                <w:b/>
                <w:bCs/>
                <w:sz w:val="16"/>
                <w:szCs w:val="16"/>
              </w:rPr>
            </w:pPr>
            <w:r w:rsidRPr="00723CCF">
              <w:rPr>
                <w:rFonts w:cs="Arial"/>
                <w:b/>
                <w:bCs/>
                <w:sz w:val="16"/>
                <w:szCs w:val="16"/>
              </w:rPr>
              <w:t>Q2</w:t>
            </w:r>
          </w:p>
        </w:tc>
        <w:tc>
          <w:tcPr>
            <w:tcW w:w="409" w:type="dxa"/>
            <w:tcBorders>
              <w:top w:val="nil"/>
              <w:left w:val="nil"/>
              <w:bottom w:val="single" w:sz="4" w:space="0" w:color="auto"/>
              <w:right w:val="single" w:sz="4" w:space="0" w:color="auto"/>
            </w:tcBorders>
            <w:shd w:val="clear" w:color="auto" w:fill="C6D9F1" w:themeFill="text2" w:themeFillTint="33"/>
            <w:noWrap/>
            <w:vAlign w:val="bottom"/>
            <w:hideMark/>
          </w:tcPr>
          <w:p w:rsidR="00123DC4" w:rsidRPr="00723CCF" w:rsidRDefault="00123DC4" w:rsidP="00132057">
            <w:pPr>
              <w:spacing w:before="40" w:after="40"/>
              <w:jc w:val="center"/>
              <w:rPr>
                <w:rFonts w:cs="Arial"/>
                <w:b/>
                <w:bCs/>
                <w:sz w:val="16"/>
                <w:szCs w:val="16"/>
              </w:rPr>
            </w:pPr>
            <w:r w:rsidRPr="00723CCF">
              <w:rPr>
                <w:rFonts w:cs="Arial"/>
                <w:b/>
                <w:bCs/>
                <w:sz w:val="16"/>
                <w:szCs w:val="16"/>
              </w:rPr>
              <w:t>Q3</w:t>
            </w:r>
          </w:p>
        </w:tc>
        <w:tc>
          <w:tcPr>
            <w:tcW w:w="409" w:type="dxa"/>
            <w:tcBorders>
              <w:top w:val="nil"/>
              <w:left w:val="nil"/>
              <w:bottom w:val="single" w:sz="4" w:space="0" w:color="auto"/>
              <w:right w:val="single" w:sz="8" w:space="0" w:color="auto"/>
            </w:tcBorders>
            <w:shd w:val="clear" w:color="auto" w:fill="C6D9F1" w:themeFill="text2" w:themeFillTint="33"/>
            <w:noWrap/>
            <w:vAlign w:val="bottom"/>
            <w:hideMark/>
          </w:tcPr>
          <w:p w:rsidR="00123DC4" w:rsidRPr="00723CCF" w:rsidRDefault="00123DC4" w:rsidP="00132057">
            <w:pPr>
              <w:spacing w:before="40" w:after="40"/>
              <w:jc w:val="center"/>
              <w:rPr>
                <w:rFonts w:cs="Arial"/>
                <w:b/>
                <w:bCs/>
                <w:sz w:val="16"/>
                <w:szCs w:val="16"/>
              </w:rPr>
            </w:pPr>
            <w:r w:rsidRPr="00723CCF">
              <w:rPr>
                <w:rFonts w:cs="Arial"/>
                <w:b/>
                <w:bCs/>
                <w:sz w:val="16"/>
                <w:szCs w:val="16"/>
              </w:rPr>
              <w:t>Q4</w:t>
            </w:r>
          </w:p>
        </w:tc>
        <w:tc>
          <w:tcPr>
            <w:tcW w:w="409" w:type="dxa"/>
            <w:tcBorders>
              <w:top w:val="nil"/>
              <w:left w:val="nil"/>
              <w:bottom w:val="single" w:sz="4" w:space="0" w:color="auto"/>
              <w:right w:val="single" w:sz="4" w:space="0" w:color="auto"/>
            </w:tcBorders>
            <w:shd w:val="clear" w:color="auto" w:fill="C6D9F1" w:themeFill="text2" w:themeFillTint="33"/>
            <w:noWrap/>
            <w:vAlign w:val="bottom"/>
            <w:hideMark/>
          </w:tcPr>
          <w:p w:rsidR="00123DC4" w:rsidRPr="00723CCF" w:rsidRDefault="00123DC4" w:rsidP="00132057">
            <w:pPr>
              <w:spacing w:before="40" w:after="40"/>
              <w:jc w:val="center"/>
              <w:rPr>
                <w:rFonts w:cs="Arial"/>
                <w:b/>
                <w:bCs/>
                <w:sz w:val="16"/>
                <w:szCs w:val="16"/>
              </w:rPr>
            </w:pPr>
            <w:r w:rsidRPr="00723CCF">
              <w:rPr>
                <w:rFonts w:cs="Arial"/>
                <w:b/>
                <w:bCs/>
                <w:sz w:val="16"/>
                <w:szCs w:val="16"/>
              </w:rPr>
              <w:t>Q1</w:t>
            </w:r>
          </w:p>
        </w:tc>
        <w:tc>
          <w:tcPr>
            <w:tcW w:w="409" w:type="dxa"/>
            <w:tcBorders>
              <w:top w:val="nil"/>
              <w:left w:val="nil"/>
              <w:bottom w:val="single" w:sz="4" w:space="0" w:color="auto"/>
              <w:right w:val="single" w:sz="4" w:space="0" w:color="auto"/>
            </w:tcBorders>
            <w:shd w:val="clear" w:color="auto" w:fill="C6D9F1" w:themeFill="text2" w:themeFillTint="33"/>
            <w:noWrap/>
            <w:vAlign w:val="bottom"/>
            <w:hideMark/>
          </w:tcPr>
          <w:p w:rsidR="00123DC4" w:rsidRPr="00723CCF" w:rsidRDefault="00123DC4" w:rsidP="00132057">
            <w:pPr>
              <w:spacing w:before="40" w:after="40"/>
              <w:jc w:val="center"/>
              <w:rPr>
                <w:rFonts w:cs="Arial"/>
                <w:b/>
                <w:bCs/>
                <w:sz w:val="16"/>
                <w:szCs w:val="16"/>
              </w:rPr>
            </w:pPr>
            <w:r w:rsidRPr="00723CCF">
              <w:rPr>
                <w:rFonts w:cs="Arial"/>
                <w:b/>
                <w:bCs/>
                <w:sz w:val="16"/>
                <w:szCs w:val="16"/>
              </w:rPr>
              <w:t>Q2</w:t>
            </w:r>
          </w:p>
        </w:tc>
        <w:tc>
          <w:tcPr>
            <w:tcW w:w="409" w:type="dxa"/>
            <w:tcBorders>
              <w:top w:val="nil"/>
              <w:left w:val="nil"/>
              <w:bottom w:val="single" w:sz="4" w:space="0" w:color="auto"/>
              <w:right w:val="single" w:sz="4" w:space="0" w:color="auto"/>
            </w:tcBorders>
            <w:shd w:val="clear" w:color="auto" w:fill="C6D9F1" w:themeFill="text2" w:themeFillTint="33"/>
            <w:noWrap/>
            <w:vAlign w:val="bottom"/>
            <w:hideMark/>
          </w:tcPr>
          <w:p w:rsidR="00123DC4" w:rsidRPr="00723CCF" w:rsidRDefault="00123DC4" w:rsidP="00132057">
            <w:pPr>
              <w:spacing w:before="40" w:after="40"/>
              <w:jc w:val="center"/>
              <w:rPr>
                <w:rFonts w:cs="Arial"/>
                <w:b/>
                <w:bCs/>
                <w:sz w:val="16"/>
                <w:szCs w:val="16"/>
              </w:rPr>
            </w:pPr>
            <w:r w:rsidRPr="00723CCF">
              <w:rPr>
                <w:rFonts w:cs="Arial"/>
                <w:b/>
                <w:bCs/>
                <w:sz w:val="16"/>
                <w:szCs w:val="16"/>
              </w:rPr>
              <w:t>Q3</w:t>
            </w:r>
          </w:p>
        </w:tc>
        <w:tc>
          <w:tcPr>
            <w:tcW w:w="409" w:type="dxa"/>
            <w:tcBorders>
              <w:top w:val="nil"/>
              <w:left w:val="nil"/>
              <w:bottom w:val="single" w:sz="4" w:space="0" w:color="auto"/>
              <w:right w:val="single" w:sz="8" w:space="0" w:color="auto"/>
            </w:tcBorders>
            <w:shd w:val="clear" w:color="auto" w:fill="C6D9F1" w:themeFill="text2" w:themeFillTint="33"/>
            <w:noWrap/>
            <w:vAlign w:val="bottom"/>
            <w:hideMark/>
          </w:tcPr>
          <w:p w:rsidR="00123DC4" w:rsidRPr="00723CCF" w:rsidRDefault="00123DC4" w:rsidP="00132057">
            <w:pPr>
              <w:spacing w:before="40" w:after="40"/>
              <w:jc w:val="center"/>
              <w:rPr>
                <w:rFonts w:cs="Arial"/>
                <w:b/>
                <w:bCs/>
                <w:sz w:val="16"/>
                <w:szCs w:val="16"/>
              </w:rPr>
            </w:pPr>
            <w:r w:rsidRPr="00723CCF">
              <w:rPr>
                <w:rFonts w:cs="Arial"/>
                <w:b/>
                <w:bCs/>
                <w:sz w:val="16"/>
                <w:szCs w:val="16"/>
              </w:rPr>
              <w:t>Q4</w:t>
            </w:r>
          </w:p>
        </w:tc>
      </w:tr>
      <w:tr w:rsidR="00123DC4" w:rsidRPr="00723CCF" w:rsidTr="00132057">
        <w:trPr>
          <w:trHeight w:val="416"/>
          <w:jc w:val="center"/>
        </w:trPr>
        <w:tc>
          <w:tcPr>
            <w:tcW w:w="3782" w:type="dxa"/>
            <w:tcBorders>
              <w:top w:val="nil"/>
              <w:left w:val="single" w:sz="8" w:space="0" w:color="auto"/>
              <w:bottom w:val="single" w:sz="4" w:space="0" w:color="auto"/>
              <w:right w:val="single" w:sz="8" w:space="0" w:color="auto"/>
            </w:tcBorders>
            <w:shd w:val="clear" w:color="auto" w:fill="auto"/>
            <w:noWrap/>
            <w:vAlign w:val="center"/>
            <w:hideMark/>
          </w:tcPr>
          <w:p w:rsidR="00123DC4" w:rsidRPr="00723CCF" w:rsidRDefault="00123DC4" w:rsidP="00132057">
            <w:pPr>
              <w:spacing w:before="40" w:after="40"/>
              <w:rPr>
                <w:rFonts w:cs="Arial"/>
                <w:sz w:val="16"/>
                <w:szCs w:val="16"/>
              </w:rPr>
            </w:pPr>
            <w:r w:rsidRPr="00723CCF">
              <w:rPr>
                <w:rFonts w:cs="Arial"/>
                <w:sz w:val="16"/>
                <w:szCs w:val="16"/>
              </w:rPr>
              <w:t>Award of contract to the facade engineer</w:t>
            </w:r>
          </w:p>
        </w:tc>
        <w:tc>
          <w:tcPr>
            <w:tcW w:w="409" w:type="dxa"/>
            <w:tcBorders>
              <w:top w:val="nil"/>
              <w:left w:val="nil"/>
              <w:bottom w:val="single" w:sz="4" w:space="0" w:color="auto"/>
              <w:right w:val="single" w:sz="4" w:space="0" w:color="auto"/>
            </w:tcBorders>
            <w:vAlign w:val="center"/>
          </w:tcPr>
          <w:p w:rsidR="00123DC4" w:rsidRPr="00723CCF" w:rsidRDefault="00123DC4" w:rsidP="00132057">
            <w:pPr>
              <w:spacing w:before="40" w:after="40"/>
              <w:rPr>
                <w:rFonts w:cs="Arial"/>
                <w:sz w:val="16"/>
                <w:szCs w:val="16"/>
              </w:rPr>
            </w:pPr>
          </w:p>
        </w:tc>
        <w:tc>
          <w:tcPr>
            <w:tcW w:w="409" w:type="dxa"/>
            <w:tcBorders>
              <w:top w:val="nil"/>
              <w:left w:val="nil"/>
              <w:bottom w:val="single" w:sz="4" w:space="0" w:color="auto"/>
              <w:right w:val="single" w:sz="4" w:space="0" w:color="auto"/>
            </w:tcBorders>
            <w:vAlign w:val="center"/>
          </w:tcPr>
          <w:p w:rsidR="00123DC4" w:rsidRPr="00723CCF" w:rsidRDefault="00123DC4" w:rsidP="00132057">
            <w:pPr>
              <w:spacing w:before="40" w:after="40"/>
              <w:rPr>
                <w:rFonts w:cs="Arial"/>
                <w:sz w:val="16"/>
                <w:szCs w:val="16"/>
              </w:rPr>
            </w:pPr>
          </w:p>
        </w:tc>
        <w:tc>
          <w:tcPr>
            <w:tcW w:w="409" w:type="dxa"/>
            <w:tcBorders>
              <w:top w:val="nil"/>
              <w:left w:val="nil"/>
              <w:bottom w:val="single" w:sz="4" w:space="0" w:color="auto"/>
              <w:right w:val="single" w:sz="4" w:space="0" w:color="auto"/>
            </w:tcBorders>
            <w:vAlign w:val="center"/>
          </w:tcPr>
          <w:p w:rsidR="00123DC4" w:rsidRPr="00723CCF" w:rsidRDefault="00123DC4" w:rsidP="00132057">
            <w:pPr>
              <w:spacing w:before="40" w:after="40"/>
              <w:jc w:val="center"/>
              <w:rPr>
                <w:rFonts w:cs="Arial"/>
                <w:color w:val="243F60" w:themeColor="accent1" w:themeShade="7F"/>
                <w:sz w:val="16"/>
                <w:szCs w:val="16"/>
              </w:rPr>
            </w:pPr>
            <w:r w:rsidRPr="00723CCF">
              <w:rPr>
                <w:rFonts w:cs="Arial"/>
                <w:sz w:val="16"/>
                <w:szCs w:val="16"/>
              </w:rPr>
              <w:t>X</w:t>
            </w:r>
          </w:p>
        </w:tc>
        <w:tc>
          <w:tcPr>
            <w:tcW w:w="409" w:type="dxa"/>
            <w:tcBorders>
              <w:top w:val="nil"/>
              <w:left w:val="nil"/>
              <w:bottom w:val="single" w:sz="4" w:space="0" w:color="auto"/>
              <w:right w:val="single" w:sz="4" w:space="0" w:color="auto"/>
            </w:tcBorders>
            <w:vAlign w:val="center"/>
          </w:tcPr>
          <w:p w:rsidR="00123DC4" w:rsidRPr="00723CCF" w:rsidRDefault="00123DC4" w:rsidP="00132057">
            <w:pPr>
              <w:spacing w:before="40" w:after="40"/>
              <w:jc w:val="center"/>
              <w:rPr>
                <w:rFonts w:cs="Arial"/>
                <w:color w:val="243F60" w:themeColor="accent1" w:themeShade="7F"/>
                <w:sz w:val="16"/>
                <w:szCs w:val="16"/>
              </w:rPr>
            </w:pPr>
            <w:r w:rsidRPr="00723CCF">
              <w:rPr>
                <w:rFonts w:cs="Arial"/>
                <w:sz w:val="16"/>
                <w:szCs w:val="16"/>
              </w:rPr>
              <w:t>X</w:t>
            </w:r>
          </w:p>
        </w:tc>
        <w:tc>
          <w:tcPr>
            <w:tcW w:w="409" w:type="dxa"/>
            <w:tcBorders>
              <w:top w:val="nil"/>
              <w:left w:val="single" w:sz="4" w:space="0" w:color="auto"/>
              <w:bottom w:val="single" w:sz="4" w:space="0" w:color="auto"/>
              <w:right w:val="single" w:sz="4" w:space="0" w:color="auto"/>
            </w:tcBorders>
            <w:shd w:val="clear" w:color="auto" w:fill="auto"/>
            <w:noWrap/>
            <w:vAlign w:val="center"/>
            <w:hideMark/>
          </w:tcPr>
          <w:p w:rsidR="00123DC4" w:rsidRPr="00723CCF" w:rsidRDefault="00123DC4" w:rsidP="00132057">
            <w:pPr>
              <w:spacing w:before="40" w:after="40"/>
              <w:jc w:val="center"/>
              <w:rPr>
                <w:rFonts w:cs="Arial"/>
                <w:sz w:val="16"/>
                <w:szCs w:val="16"/>
              </w:rPr>
            </w:pPr>
          </w:p>
        </w:tc>
        <w:tc>
          <w:tcPr>
            <w:tcW w:w="409" w:type="dxa"/>
            <w:tcBorders>
              <w:top w:val="nil"/>
              <w:left w:val="nil"/>
              <w:bottom w:val="single" w:sz="4" w:space="0" w:color="auto"/>
              <w:right w:val="single" w:sz="4" w:space="0" w:color="auto"/>
            </w:tcBorders>
            <w:shd w:val="clear" w:color="auto" w:fill="auto"/>
            <w:noWrap/>
            <w:vAlign w:val="center"/>
            <w:hideMark/>
          </w:tcPr>
          <w:p w:rsidR="00123DC4" w:rsidRPr="00723CCF" w:rsidRDefault="00123DC4" w:rsidP="00132057">
            <w:pPr>
              <w:spacing w:before="40" w:after="40"/>
              <w:jc w:val="center"/>
              <w:rPr>
                <w:rFonts w:cs="Arial"/>
                <w:sz w:val="16"/>
                <w:szCs w:val="16"/>
              </w:rPr>
            </w:pPr>
          </w:p>
        </w:tc>
        <w:tc>
          <w:tcPr>
            <w:tcW w:w="409" w:type="dxa"/>
            <w:tcBorders>
              <w:top w:val="nil"/>
              <w:left w:val="nil"/>
              <w:bottom w:val="single" w:sz="4" w:space="0" w:color="auto"/>
              <w:right w:val="single" w:sz="4" w:space="0" w:color="auto"/>
            </w:tcBorders>
            <w:shd w:val="clear" w:color="auto" w:fill="auto"/>
            <w:noWrap/>
            <w:vAlign w:val="center"/>
          </w:tcPr>
          <w:p w:rsidR="00123DC4" w:rsidRPr="00723CCF" w:rsidRDefault="00123DC4" w:rsidP="00132057">
            <w:pPr>
              <w:spacing w:before="40" w:after="40"/>
              <w:jc w:val="center"/>
              <w:rPr>
                <w:rFonts w:cs="Arial"/>
                <w:sz w:val="16"/>
                <w:szCs w:val="16"/>
              </w:rPr>
            </w:pPr>
          </w:p>
        </w:tc>
        <w:tc>
          <w:tcPr>
            <w:tcW w:w="409" w:type="dxa"/>
            <w:tcBorders>
              <w:top w:val="nil"/>
              <w:left w:val="nil"/>
              <w:bottom w:val="single" w:sz="4" w:space="0" w:color="auto"/>
              <w:right w:val="single" w:sz="8" w:space="0" w:color="auto"/>
            </w:tcBorders>
            <w:shd w:val="clear" w:color="auto" w:fill="auto"/>
            <w:noWrap/>
            <w:vAlign w:val="center"/>
          </w:tcPr>
          <w:p w:rsidR="00123DC4" w:rsidRPr="00723CCF" w:rsidRDefault="00123DC4" w:rsidP="00132057">
            <w:pPr>
              <w:spacing w:before="40" w:after="40"/>
              <w:jc w:val="center"/>
              <w:rPr>
                <w:rFonts w:cs="Arial"/>
                <w:sz w:val="16"/>
                <w:szCs w:val="16"/>
              </w:rPr>
            </w:pPr>
          </w:p>
        </w:tc>
        <w:tc>
          <w:tcPr>
            <w:tcW w:w="409" w:type="dxa"/>
            <w:tcBorders>
              <w:top w:val="nil"/>
              <w:left w:val="nil"/>
              <w:bottom w:val="single" w:sz="4" w:space="0" w:color="auto"/>
              <w:right w:val="single" w:sz="4" w:space="0" w:color="auto"/>
            </w:tcBorders>
            <w:shd w:val="clear" w:color="auto" w:fill="auto"/>
            <w:noWrap/>
            <w:vAlign w:val="center"/>
            <w:hideMark/>
          </w:tcPr>
          <w:p w:rsidR="00123DC4" w:rsidRPr="00723CCF" w:rsidRDefault="00123DC4" w:rsidP="00132057">
            <w:pPr>
              <w:spacing w:before="40" w:after="40"/>
              <w:jc w:val="center"/>
              <w:rPr>
                <w:rFonts w:cs="Arial"/>
                <w:sz w:val="16"/>
                <w:szCs w:val="16"/>
              </w:rPr>
            </w:pPr>
          </w:p>
        </w:tc>
        <w:tc>
          <w:tcPr>
            <w:tcW w:w="409" w:type="dxa"/>
            <w:tcBorders>
              <w:top w:val="nil"/>
              <w:left w:val="nil"/>
              <w:bottom w:val="single" w:sz="4" w:space="0" w:color="auto"/>
              <w:right w:val="single" w:sz="4" w:space="0" w:color="auto"/>
            </w:tcBorders>
            <w:shd w:val="clear" w:color="auto" w:fill="auto"/>
            <w:noWrap/>
            <w:vAlign w:val="center"/>
            <w:hideMark/>
          </w:tcPr>
          <w:p w:rsidR="00123DC4" w:rsidRPr="00723CCF" w:rsidRDefault="00123DC4" w:rsidP="00132057">
            <w:pPr>
              <w:spacing w:before="40" w:after="40"/>
              <w:jc w:val="center"/>
              <w:rPr>
                <w:rFonts w:cs="Arial"/>
                <w:sz w:val="16"/>
                <w:szCs w:val="16"/>
              </w:rPr>
            </w:pPr>
          </w:p>
        </w:tc>
        <w:tc>
          <w:tcPr>
            <w:tcW w:w="409" w:type="dxa"/>
            <w:tcBorders>
              <w:top w:val="nil"/>
              <w:left w:val="nil"/>
              <w:bottom w:val="single" w:sz="4" w:space="0" w:color="auto"/>
              <w:right w:val="single" w:sz="4" w:space="0" w:color="auto"/>
            </w:tcBorders>
            <w:shd w:val="clear" w:color="auto" w:fill="auto"/>
            <w:noWrap/>
            <w:vAlign w:val="center"/>
            <w:hideMark/>
          </w:tcPr>
          <w:p w:rsidR="00123DC4" w:rsidRPr="00723CCF" w:rsidRDefault="00123DC4" w:rsidP="00132057">
            <w:pPr>
              <w:spacing w:before="40" w:after="40"/>
              <w:jc w:val="center"/>
              <w:rPr>
                <w:rFonts w:cs="Arial"/>
                <w:sz w:val="16"/>
                <w:szCs w:val="16"/>
              </w:rPr>
            </w:pPr>
          </w:p>
        </w:tc>
        <w:tc>
          <w:tcPr>
            <w:tcW w:w="409" w:type="dxa"/>
            <w:tcBorders>
              <w:top w:val="nil"/>
              <w:left w:val="nil"/>
              <w:bottom w:val="single" w:sz="4" w:space="0" w:color="auto"/>
              <w:right w:val="single" w:sz="8" w:space="0" w:color="auto"/>
            </w:tcBorders>
            <w:shd w:val="clear" w:color="auto" w:fill="auto"/>
            <w:noWrap/>
            <w:vAlign w:val="bottom"/>
            <w:hideMark/>
          </w:tcPr>
          <w:p w:rsidR="00123DC4" w:rsidRPr="00723CCF" w:rsidRDefault="00123DC4" w:rsidP="00132057">
            <w:pPr>
              <w:spacing w:before="40" w:after="40"/>
              <w:rPr>
                <w:rFonts w:cs="Arial"/>
                <w:sz w:val="16"/>
                <w:szCs w:val="16"/>
              </w:rPr>
            </w:pPr>
            <w:r w:rsidRPr="00723CCF">
              <w:rPr>
                <w:rFonts w:cs="Arial"/>
                <w:sz w:val="16"/>
                <w:szCs w:val="16"/>
              </w:rPr>
              <w:t> </w:t>
            </w:r>
          </w:p>
        </w:tc>
      </w:tr>
      <w:tr w:rsidR="00123DC4" w:rsidRPr="00723CCF" w:rsidTr="00132057">
        <w:trPr>
          <w:trHeight w:val="416"/>
          <w:jc w:val="center"/>
        </w:trPr>
        <w:tc>
          <w:tcPr>
            <w:tcW w:w="3782" w:type="dxa"/>
            <w:tcBorders>
              <w:top w:val="nil"/>
              <w:left w:val="single" w:sz="8" w:space="0" w:color="auto"/>
              <w:bottom w:val="single" w:sz="4" w:space="0" w:color="auto"/>
              <w:right w:val="single" w:sz="8" w:space="0" w:color="auto"/>
            </w:tcBorders>
            <w:shd w:val="clear" w:color="auto" w:fill="auto"/>
            <w:noWrap/>
            <w:vAlign w:val="center"/>
            <w:hideMark/>
          </w:tcPr>
          <w:p w:rsidR="00123DC4" w:rsidRPr="00723CCF" w:rsidRDefault="00123DC4" w:rsidP="00132057">
            <w:pPr>
              <w:spacing w:before="40" w:after="40"/>
              <w:rPr>
                <w:rFonts w:cs="Arial"/>
                <w:sz w:val="16"/>
                <w:szCs w:val="16"/>
              </w:rPr>
            </w:pPr>
            <w:r w:rsidRPr="00723CCF">
              <w:rPr>
                <w:rFonts w:cs="Arial"/>
                <w:sz w:val="16"/>
                <w:szCs w:val="16"/>
              </w:rPr>
              <w:t xml:space="preserve">Development and validation of project with facade engineer </w:t>
            </w:r>
          </w:p>
        </w:tc>
        <w:tc>
          <w:tcPr>
            <w:tcW w:w="409" w:type="dxa"/>
            <w:tcBorders>
              <w:top w:val="nil"/>
              <w:left w:val="nil"/>
              <w:bottom w:val="single" w:sz="4" w:space="0" w:color="auto"/>
              <w:right w:val="single" w:sz="4" w:space="0" w:color="auto"/>
            </w:tcBorders>
            <w:vAlign w:val="center"/>
          </w:tcPr>
          <w:p w:rsidR="00123DC4" w:rsidRPr="00723CCF" w:rsidRDefault="00123DC4" w:rsidP="00132057">
            <w:pPr>
              <w:spacing w:before="40" w:after="40"/>
              <w:rPr>
                <w:rFonts w:cs="Arial"/>
                <w:sz w:val="16"/>
                <w:szCs w:val="16"/>
              </w:rPr>
            </w:pPr>
          </w:p>
        </w:tc>
        <w:tc>
          <w:tcPr>
            <w:tcW w:w="409" w:type="dxa"/>
            <w:tcBorders>
              <w:top w:val="nil"/>
              <w:left w:val="nil"/>
              <w:bottom w:val="single" w:sz="4" w:space="0" w:color="auto"/>
              <w:right w:val="single" w:sz="4" w:space="0" w:color="auto"/>
            </w:tcBorders>
            <w:vAlign w:val="center"/>
          </w:tcPr>
          <w:p w:rsidR="00123DC4" w:rsidRPr="00723CCF" w:rsidRDefault="00123DC4" w:rsidP="00132057">
            <w:pPr>
              <w:spacing w:before="40" w:after="40"/>
              <w:rPr>
                <w:rFonts w:cs="Arial"/>
                <w:sz w:val="16"/>
                <w:szCs w:val="16"/>
              </w:rPr>
            </w:pPr>
          </w:p>
        </w:tc>
        <w:tc>
          <w:tcPr>
            <w:tcW w:w="409" w:type="dxa"/>
            <w:tcBorders>
              <w:top w:val="nil"/>
              <w:left w:val="nil"/>
              <w:bottom w:val="single" w:sz="4" w:space="0" w:color="auto"/>
              <w:right w:val="single" w:sz="4" w:space="0" w:color="auto"/>
            </w:tcBorders>
            <w:vAlign w:val="center"/>
          </w:tcPr>
          <w:p w:rsidR="00123DC4" w:rsidRPr="00723CCF" w:rsidRDefault="00123DC4" w:rsidP="00132057">
            <w:pPr>
              <w:spacing w:before="40" w:after="40"/>
              <w:jc w:val="center"/>
              <w:rPr>
                <w:rFonts w:cs="Arial"/>
                <w:sz w:val="16"/>
                <w:szCs w:val="16"/>
              </w:rPr>
            </w:pPr>
          </w:p>
        </w:tc>
        <w:tc>
          <w:tcPr>
            <w:tcW w:w="409" w:type="dxa"/>
            <w:tcBorders>
              <w:top w:val="nil"/>
              <w:left w:val="nil"/>
              <w:bottom w:val="single" w:sz="4" w:space="0" w:color="auto"/>
              <w:right w:val="single" w:sz="4" w:space="0" w:color="auto"/>
            </w:tcBorders>
            <w:vAlign w:val="center"/>
          </w:tcPr>
          <w:p w:rsidR="00123DC4" w:rsidRPr="00723CCF" w:rsidRDefault="00123DC4" w:rsidP="00132057">
            <w:pPr>
              <w:spacing w:before="40" w:after="40"/>
              <w:jc w:val="center"/>
              <w:rPr>
                <w:rFonts w:cs="Arial"/>
                <w:sz w:val="16"/>
                <w:szCs w:val="16"/>
              </w:rPr>
            </w:pPr>
          </w:p>
        </w:tc>
        <w:tc>
          <w:tcPr>
            <w:tcW w:w="409" w:type="dxa"/>
            <w:tcBorders>
              <w:top w:val="nil"/>
              <w:left w:val="single" w:sz="4" w:space="0" w:color="auto"/>
              <w:bottom w:val="single" w:sz="4" w:space="0" w:color="auto"/>
              <w:right w:val="single" w:sz="4" w:space="0" w:color="auto"/>
            </w:tcBorders>
            <w:shd w:val="clear" w:color="auto" w:fill="auto"/>
            <w:noWrap/>
            <w:vAlign w:val="center"/>
            <w:hideMark/>
          </w:tcPr>
          <w:p w:rsidR="00123DC4" w:rsidRPr="00723CCF" w:rsidRDefault="00123DC4" w:rsidP="00132057">
            <w:pPr>
              <w:spacing w:before="40" w:after="40"/>
              <w:jc w:val="center"/>
              <w:rPr>
                <w:rFonts w:cs="Arial"/>
                <w:color w:val="243F60" w:themeColor="accent1" w:themeShade="7F"/>
                <w:sz w:val="16"/>
                <w:szCs w:val="16"/>
              </w:rPr>
            </w:pPr>
            <w:r w:rsidRPr="00723CCF">
              <w:rPr>
                <w:rFonts w:cs="Arial"/>
                <w:sz w:val="16"/>
                <w:szCs w:val="16"/>
              </w:rPr>
              <w:t>X</w:t>
            </w:r>
          </w:p>
        </w:tc>
        <w:tc>
          <w:tcPr>
            <w:tcW w:w="409" w:type="dxa"/>
            <w:tcBorders>
              <w:top w:val="nil"/>
              <w:left w:val="nil"/>
              <w:bottom w:val="single" w:sz="4" w:space="0" w:color="auto"/>
              <w:right w:val="single" w:sz="4" w:space="0" w:color="auto"/>
            </w:tcBorders>
            <w:shd w:val="clear" w:color="auto" w:fill="auto"/>
            <w:noWrap/>
            <w:vAlign w:val="center"/>
            <w:hideMark/>
          </w:tcPr>
          <w:p w:rsidR="00123DC4" w:rsidRPr="00723CCF" w:rsidRDefault="00123DC4" w:rsidP="00132057">
            <w:pPr>
              <w:spacing w:before="40" w:after="40"/>
              <w:jc w:val="center"/>
              <w:rPr>
                <w:rFonts w:cs="Arial"/>
                <w:sz w:val="16"/>
                <w:szCs w:val="16"/>
              </w:rPr>
            </w:pPr>
          </w:p>
        </w:tc>
        <w:tc>
          <w:tcPr>
            <w:tcW w:w="409" w:type="dxa"/>
            <w:tcBorders>
              <w:top w:val="nil"/>
              <w:left w:val="nil"/>
              <w:bottom w:val="single" w:sz="4" w:space="0" w:color="auto"/>
              <w:right w:val="single" w:sz="4" w:space="0" w:color="auto"/>
            </w:tcBorders>
            <w:shd w:val="clear" w:color="auto" w:fill="auto"/>
            <w:noWrap/>
            <w:vAlign w:val="center"/>
            <w:hideMark/>
          </w:tcPr>
          <w:p w:rsidR="00123DC4" w:rsidRPr="00723CCF" w:rsidRDefault="00123DC4" w:rsidP="00132057">
            <w:pPr>
              <w:spacing w:before="40" w:after="40"/>
              <w:jc w:val="center"/>
              <w:rPr>
                <w:rFonts w:cs="Arial"/>
                <w:sz w:val="16"/>
                <w:szCs w:val="16"/>
              </w:rPr>
            </w:pPr>
          </w:p>
        </w:tc>
        <w:tc>
          <w:tcPr>
            <w:tcW w:w="409" w:type="dxa"/>
            <w:tcBorders>
              <w:top w:val="nil"/>
              <w:left w:val="nil"/>
              <w:bottom w:val="single" w:sz="4" w:space="0" w:color="auto"/>
              <w:right w:val="single" w:sz="8" w:space="0" w:color="auto"/>
            </w:tcBorders>
            <w:shd w:val="clear" w:color="auto" w:fill="auto"/>
            <w:noWrap/>
            <w:vAlign w:val="center"/>
            <w:hideMark/>
          </w:tcPr>
          <w:p w:rsidR="00123DC4" w:rsidRPr="00723CCF" w:rsidRDefault="00123DC4" w:rsidP="00132057">
            <w:pPr>
              <w:spacing w:before="40" w:after="40"/>
              <w:jc w:val="center"/>
              <w:rPr>
                <w:rFonts w:cs="Arial"/>
                <w:sz w:val="16"/>
                <w:szCs w:val="16"/>
              </w:rPr>
            </w:pPr>
          </w:p>
        </w:tc>
        <w:tc>
          <w:tcPr>
            <w:tcW w:w="409" w:type="dxa"/>
            <w:tcBorders>
              <w:top w:val="nil"/>
              <w:left w:val="nil"/>
              <w:bottom w:val="single" w:sz="4" w:space="0" w:color="auto"/>
              <w:right w:val="single" w:sz="4" w:space="0" w:color="auto"/>
            </w:tcBorders>
            <w:shd w:val="clear" w:color="auto" w:fill="auto"/>
            <w:noWrap/>
            <w:vAlign w:val="center"/>
          </w:tcPr>
          <w:p w:rsidR="00123DC4" w:rsidRPr="00723CCF" w:rsidRDefault="00123DC4" w:rsidP="00132057">
            <w:pPr>
              <w:spacing w:before="40" w:after="40"/>
              <w:jc w:val="center"/>
              <w:rPr>
                <w:rFonts w:cs="Arial"/>
                <w:sz w:val="16"/>
                <w:szCs w:val="16"/>
              </w:rPr>
            </w:pPr>
          </w:p>
        </w:tc>
        <w:tc>
          <w:tcPr>
            <w:tcW w:w="409" w:type="dxa"/>
            <w:tcBorders>
              <w:top w:val="nil"/>
              <w:left w:val="nil"/>
              <w:bottom w:val="single" w:sz="4" w:space="0" w:color="auto"/>
              <w:right w:val="single" w:sz="4" w:space="0" w:color="auto"/>
            </w:tcBorders>
            <w:shd w:val="clear" w:color="auto" w:fill="auto"/>
            <w:noWrap/>
            <w:vAlign w:val="center"/>
            <w:hideMark/>
          </w:tcPr>
          <w:p w:rsidR="00123DC4" w:rsidRPr="00723CCF" w:rsidRDefault="00123DC4" w:rsidP="00132057">
            <w:pPr>
              <w:spacing w:before="40" w:after="40"/>
              <w:jc w:val="center"/>
              <w:rPr>
                <w:rFonts w:cs="Arial"/>
                <w:sz w:val="16"/>
                <w:szCs w:val="16"/>
              </w:rPr>
            </w:pPr>
          </w:p>
        </w:tc>
        <w:tc>
          <w:tcPr>
            <w:tcW w:w="409" w:type="dxa"/>
            <w:tcBorders>
              <w:top w:val="nil"/>
              <w:left w:val="nil"/>
              <w:bottom w:val="single" w:sz="4" w:space="0" w:color="auto"/>
              <w:right w:val="single" w:sz="4" w:space="0" w:color="auto"/>
            </w:tcBorders>
            <w:shd w:val="clear" w:color="auto" w:fill="auto"/>
            <w:noWrap/>
            <w:vAlign w:val="center"/>
            <w:hideMark/>
          </w:tcPr>
          <w:p w:rsidR="00123DC4" w:rsidRPr="00723CCF" w:rsidRDefault="00123DC4" w:rsidP="00132057">
            <w:pPr>
              <w:spacing w:before="40" w:after="40"/>
              <w:jc w:val="center"/>
              <w:rPr>
                <w:rFonts w:cs="Arial"/>
                <w:sz w:val="16"/>
                <w:szCs w:val="16"/>
              </w:rPr>
            </w:pPr>
          </w:p>
        </w:tc>
        <w:tc>
          <w:tcPr>
            <w:tcW w:w="409" w:type="dxa"/>
            <w:tcBorders>
              <w:top w:val="nil"/>
              <w:left w:val="nil"/>
              <w:bottom w:val="single" w:sz="4" w:space="0" w:color="auto"/>
              <w:right w:val="single" w:sz="8" w:space="0" w:color="auto"/>
            </w:tcBorders>
            <w:shd w:val="clear" w:color="auto" w:fill="auto"/>
            <w:noWrap/>
            <w:vAlign w:val="bottom"/>
            <w:hideMark/>
          </w:tcPr>
          <w:p w:rsidR="00123DC4" w:rsidRPr="00723CCF" w:rsidRDefault="00123DC4" w:rsidP="00132057">
            <w:pPr>
              <w:spacing w:before="40" w:after="40"/>
              <w:rPr>
                <w:rFonts w:cs="Arial"/>
                <w:sz w:val="16"/>
                <w:szCs w:val="16"/>
              </w:rPr>
            </w:pPr>
            <w:r w:rsidRPr="00723CCF">
              <w:rPr>
                <w:rFonts w:cs="Arial"/>
                <w:sz w:val="16"/>
                <w:szCs w:val="16"/>
              </w:rPr>
              <w:t> </w:t>
            </w:r>
          </w:p>
        </w:tc>
      </w:tr>
      <w:tr w:rsidR="00123DC4" w:rsidRPr="00723CCF" w:rsidTr="00132057">
        <w:trPr>
          <w:trHeight w:val="416"/>
          <w:jc w:val="center"/>
        </w:trPr>
        <w:tc>
          <w:tcPr>
            <w:tcW w:w="3782" w:type="dxa"/>
            <w:tcBorders>
              <w:top w:val="nil"/>
              <w:left w:val="single" w:sz="8" w:space="0" w:color="auto"/>
              <w:bottom w:val="single" w:sz="4" w:space="0" w:color="auto"/>
              <w:right w:val="single" w:sz="8" w:space="0" w:color="auto"/>
            </w:tcBorders>
            <w:shd w:val="clear" w:color="auto" w:fill="auto"/>
            <w:noWrap/>
            <w:vAlign w:val="center"/>
            <w:hideMark/>
          </w:tcPr>
          <w:p w:rsidR="00123DC4" w:rsidRPr="00723CCF" w:rsidRDefault="00123DC4" w:rsidP="00132057">
            <w:pPr>
              <w:spacing w:before="40" w:after="40"/>
              <w:rPr>
                <w:rFonts w:cs="Arial"/>
                <w:sz w:val="16"/>
                <w:szCs w:val="16"/>
              </w:rPr>
            </w:pPr>
            <w:r w:rsidRPr="00723CCF">
              <w:rPr>
                <w:rFonts w:cs="Arial"/>
                <w:sz w:val="16"/>
                <w:szCs w:val="16"/>
              </w:rPr>
              <w:t>Call for tenders and selection of firms</w:t>
            </w:r>
          </w:p>
        </w:tc>
        <w:tc>
          <w:tcPr>
            <w:tcW w:w="409" w:type="dxa"/>
            <w:tcBorders>
              <w:top w:val="nil"/>
              <w:left w:val="nil"/>
              <w:bottom w:val="single" w:sz="4" w:space="0" w:color="auto"/>
              <w:right w:val="single" w:sz="4" w:space="0" w:color="auto"/>
            </w:tcBorders>
            <w:vAlign w:val="center"/>
          </w:tcPr>
          <w:p w:rsidR="00123DC4" w:rsidRPr="00723CCF" w:rsidRDefault="00123DC4" w:rsidP="00132057">
            <w:pPr>
              <w:spacing w:before="40" w:after="40"/>
              <w:rPr>
                <w:rFonts w:cs="Arial"/>
                <w:sz w:val="16"/>
                <w:szCs w:val="16"/>
              </w:rPr>
            </w:pPr>
          </w:p>
        </w:tc>
        <w:tc>
          <w:tcPr>
            <w:tcW w:w="409" w:type="dxa"/>
            <w:tcBorders>
              <w:top w:val="nil"/>
              <w:left w:val="nil"/>
              <w:bottom w:val="single" w:sz="4" w:space="0" w:color="auto"/>
              <w:right w:val="single" w:sz="4" w:space="0" w:color="auto"/>
            </w:tcBorders>
            <w:vAlign w:val="center"/>
          </w:tcPr>
          <w:p w:rsidR="00123DC4" w:rsidRPr="00723CCF" w:rsidRDefault="00123DC4" w:rsidP="00132057">
            <w:pPr>
              <w:spacing w:before="40" w:after="40"/>
              <w:rPr>
                <w:rFonts w:cs="Arial"/>
                <w:sz w:val="16"/>
                <w:szCs w:val="16"/>
              </w:rPr>
            </w:pPr>
          </w:p>
        </w:tc>
        <w:tc>
          <w:tcPr>
            <w:tcW w:w="409" w:type="dxa"/>
            <w:tcBorders>
              <w:top w:val="nil"/>
              <w:left w:val="nil"/>
              <w:bottom w:val="single" w:sz="4" w:space="0" w:color="auto"/>
              <w:right w:val="single" w:sz="4" w:space="0" w:color="auto"/>
            </w:tcBorders>
            <w:vAlign w:val="center"/>
          </w:tcPr>
          <w:p w:rsidR="00123DC4" w:rsidRPr="00723CCF" w:rsidRDefault="00123DC4" w:rsidP="00132057">
            <w:pPr>
              <w:spacing w:before="40" w:after="40"/>
              <w:jc w:val="center"/>
              <w:rPr>
                <w:rFonts w:cs="Arial"/>
                <w:sz w:val="16"/>
                <w:szCs w:val="16"/>
              </w:rPr>
            </w:pPr>
          </w:p>
        </w:tc>
        <w:tc>
          <w:tcPr>
            <w:tcW w:w="409" w:type="dxa"/>
            <w:tcBorders>
              <w:top w:val="nil"/>
              <w:left w:val="nil"/>
              <w:bottom w:val="single" w:sz="4" w:space="0" w:color="auto"/>
              <w:right w:val="single" w:sz="4" w:space="0" w:color="auto"/>
            </w:tcBorders>
            <w:vAlign w:val="center"/>
          </w:tcPr>
          <w:p w:rsidR="00123DC4" w:rsidRPr="00723CCF" w:rsidRDefault="00123DC4" w:rsidP="00132057">
            <w:pPr>
              <w:spacing w:before="40" w:after="40"/>
              <w:jc w:val="center"/>
              <w:rPr>
                <w:rFonts w:cs="Arial"/>
                <w:sz w:val="16"/>
                <w:szCs w:val="16"/>
              </w:rPr>
            </w:pPr>
          </w:p>
        </w:tc>
        <w:tc>
          <w:tcPr>
            <w:tcW w:w="409" w:type="dxa"/>
            <w:tcBorders>
              <w:top w:val="nil"/>
              <w:left w:val="single" w:sz="4" w:space="0" w:color="auto"/>
              <w:bottom w:val="single" w:sz="4" w:space="0" w:color="auto"/>
              <w:right w:val="single" w:sz="4" w:space="0" w:color="auto"/>
            </w:tcBorders>
            <w:shd w:val="clear" w:color="auto" w:fill="auto"/>
            <w:noWrap/>
            <w:vAlign w:val="center"/>
            <w:hideMark/>
          </w:tcPr>
          <w:p w:rsidR="00123DC4" w:rsidRPr="00723CCF" w:rsidRDefault="00123DC4" w:rsidP="00132057">
            <w:pPr>
              <w:spacing w:before="40" w:after="40"/>
              <w:jc w:val="center"/>
              <w:rPr>
                <w:rFonts w:cs="Arial"/>
                <w:sz w:val="16"/>
                <w:szCs w:val="16"/>
              </w:rPr>
            </w:pPr>
          </w:p>
        </w:tc>
        <w:tc>
          <w:tcPr>
            <w:tcW w:w="409" w:type="dxa"/>
            <w:tcBorders>
              <w:top w:val="nil"/>
              <w:left w:val="nil"/>
              <w:bottom w:val="single" w:sz="4" w:space="0" w:color="auto"/>
              <w:right w:val="single" w:sz="4" w:space="0" w:color="auto"/>
            </w:tcBorders>
            <w:shd w:val="clear" w:color="auto" w:fill="auto"/>
            <w:noWrap/>
            <w:vAlign w:val="center"/>
            <w:hideMark/>
          </w:tcPr>
          <w:p w:rsidR="00123DC4" w:rsidRPr="00723CCF" w:rsidRDefault="00123DC4" w:rsidP="00132057">
            <w:pPr>
              <w:spacing w:before="40" w:after="40"/>
              <w:jc w:val="center"/>
              <w:rPr>
                <w:rFonts w:cs="Arial"/>
                <w:color w:val="243F60" w:themeColor="accent1" w:themeShade="7F"/>
                <w:sz w:val="16"/>
                <w:szCs w:val="16"/>
              </w:rPr>
            </w:pPr>
            <w:r w:rsidRPr="00723CCF">
              <w:rPr>
                <w:rFonts w:cs="Arial"/>
                <w:sz w:val="16"/>
                <w:szCs w:val="16"/>
              </w:rPr>
              <w:t>X</w:t>
            </w:r>
          </w:p>
        </w:tc>
        <w:tc>
          <w:tcPr>
            <w:tcW w:w="409" w:type="dxa"/>
            <w:tcBorders>
              <w:top w:val="nil"/>
              <w:left w:val="nil"/>
              <w:bottom w:val="single" w:sz="4" w:space="0" w:color="auto"/>
              <w:right w:val="single" w:sz="4" w:space="0" w:color="auto"/>
            </w:tcBorders>
            <w:shd w:val="clear" w:color="auto" w:fill="auto"/>
            <w:noWrap/>
            <w:vAlign w:val="center"/>
            <w:hideMark/>
          </w:tcPr>
          <w:p w:rsidR="00123DC4" w:rsidRPr="00723CCF" w:rsidRDefault="00123DC4" w:rsidP="00132057">
            <w:pPr>
              <w:spacing w:before="40" w:after="40"/>
              <w:jc w:val="center"/>
              <w:rPr>
                <w:rFonts w:cs="Arial"/>
                <w:sz w:val="16"/>
                <w:szCs w:val="16"/>
              </w:rPr>
            </w:pPr>
          </w:p>
        </w:tc>
        <w:tc>
          <w:tcPr>
            <w:tcW w:w="409" w:type="dxa"/>
            <w:tcBorders>
              <w:top w:val="nil"/>
              <w:left w:val="nil"/>
              <w:bottom w:val="single" w:sz="4" w:space="0" w:color="auto"/>
              <w:right w:val="single" w:sz="8" w:space="0" w:color="auto"/>
            </w:tcBorders>
            <w:shd w:val="clear" w:color="auto" w:fill="auto"/>
            <w:noWrap/>
            <w:vAlign w:val="center"/>
            <w:hideMark/>
          </w:tcPr>
          <w:p w:rsidR="00123DC4" w:rsidRPr="00723CCF" w:rsidRDefault="00123DC4" w:rsidP="00132057">
            <w:pPr>
              <w:spacing w:before="40" w:after="40"/>
              <w:jc w:val="center"/>
              <w:rPr>
                <w:rFonts w:cs="Arial"/>
                <w:sz w:val="16"/>
                <w:szCs w:val="16"/>
              </w:rPr>
            </w:pPr>
          </w:p>
        </w:tc>
        <w:tc>
          <w:tcPr>
            <w:tcW w:w="409" w:type="dxa"/>
            <w:tcBorders>
              <w:top w:val="nil"/>
              <w:left w:val="nil"/>
              <w:bottom w:val="single" w:sz="4" w:space="0" w:color="auto"/>
              <w:right w:val="single" w:sz="4" w:space="0" w:color="auto"/>
            </w:tcBorders>
            <w:shd w:val="clear" w:color="auto" w:fill="auto"/>
            <w:noWrap/>
            <w:vAlign w:val="center"/>
            <w:hideMark/>
          </w:tcPr>
          <w:p w:rsidR="00123DC4" w:rsidRPr="00723CCF" w:rsidRDefault="00123DC4" w:rsidP="00132057">
            <w:pPr>
              <w:spacing w:before="40" w:after="40"/>
              <w:jc w:val="center"/>
              <w:rPr>
                <w:rFonts w:cs="Arial"/>
                <w:sz w:val="16"/>
                <w:szCs w:val="16"/>
              </w:rPr>
            </w:pPr>
          </w:p>
        </w:tc>
        <w:tc>
          <w:tcPr>
            <w:tcW w:w="409" w:type="dxa"/>
            <w:tcBorders>
              <w:top w:val="nil"/>
              <w:left w:val="nil"/>
              <w:bottom w:val="single" w:sz="4" w:space="0" w:color="auto"/>
              <w:right w:val="single" w:sz="4" w:space="0" w:color="auto"/>
            </w:tcBorders>
            <w:shd w:val="clear" w:color="auto" w:fill="auto"/>
            <w:noWrap/>
            <w:vAlign w:val="center"/>
            <w:hideMark/>
          </w:tcPr>
          <w:p w:rsidR="00123DC4" w:rsidRPr="00723CCF" w:rsidRDefault="00123DC4" w:rsidP="00132057">
            <w:pPr>
              <w:spacing w:before="40" w:after="40"/>
              <w:jc w:val="center"/>
              <w:rPr>
                <w:rFonts w:cs="Arial"/>
                <w:sz w:val="16"/>
                <w:szCs w:val="16"/>
              </w:rPr>
            </w:pPr>
          </w:p>
        </w:tc>
        <w:tc>
          <w:tcPr>
            <w:tcW w:w="409" w:type="dxa"/>
            <w:tcBorders>
              <w:top w:val="nil"/>
              <w:left w:val="nil"/>
              <w:bottom w:val="single" w:sz="4" w:space="0" w:color="auto"/>
              <w:right w:val="single" w:sz="4" w:space="0" w:color="auto"/>
            </w:tcBorders>
            <w:shd w:val="clear" w:color="auto" w:fill="auto"/>
            <w:noWrap/>
            <w:vAlign w:val="center"/>
            <w:hideMark/>
          </w:tcPr>
          <w:p w:rsidR="00123DC4" w:rsidRPr="00723CCF" w:rsidRDefault="00123DC4" w:rsidP="00132057">
            <w:pPr>
              <w:spacing w:before="40" w:after="40"/>
              <w:jc w:val="center"/>
              <w:rPr>
                <w:rFonts w:cs="Arial"/>
                <w:sz w:val="16"/>
                <w:szCs w:val="16"/>
              </w:rPr>
            </w:pPr>
          </w:p>
        </w:tc>
        <w:tc>
          <w:tcPr>
            <w:tcW w:w="409" w:type="dxa"/>
            <w:tcBorders>
              <w:top w:val="nil"/>
              <w:left w:val="nil"/>
              <w:bottom w:val="single" w:sz="4" w:space="0" w:color="auto"/>
              <w:right w:val="single" w:sz="8" w:space="0" w:color="auto"/>
            </w:tcBorders>
            <w:shd w:val="clear" w:color="auto" w:fill="auto"/>
            <w:noWrap/>
            <w:vAlign w:val="bottom"/>
            <w:hideMark/>
          </w:tcPr>
          <w:p w:rsidR="00123DC4" w:rsidRPr="00723CCF" w:rsidRDefault="00123DC4" w:rsidP="00132057">
            <w:pPr>
              <w:spacing w:before="40" w:after="40"/>
              <w:rPr>
                <w:rFonts w:cs="Arial"/>
                <w:sz w:val="16"/>
                <w:szCs w:val="16"/>
              </w:rPr>
            </w:pPr>
            <w:r w:rsidRPr="00723CCF">
              <w:rPr>
                <w:rFonts w:cs="Arial"/>
                <w:sz w:val="16"/>
                <w:szCs w:val="16"/>
              </w:rPr>
              <w:t> </w:t>
            </w:r>
          </w:p>
        </w:tc>
      </w:tr>
      <w:tr w:rsidR="00123DC4" w:rsidRPr="00723CCF" w:rsidTr="00132057">
        <w:trPr>
          <w:trHeight w:val="416"/>
          <w:jc w:val="center"/>
        </w:trPr>
        <w:tc>
          <w:tcPr>
            <w:tcW w:w="3782" w:type="dxa"/>
            <w:tcBorders>
              <w:top w:val="nil"/>
              <w:left w:val="single" w:sz="8" w:space="0" w:color="auto"/>
              <w:bottom w:val="single" w:sz="4" w:space="0" w:color="auto"/>
              <w:right w:val="single" w:sz="8" w:space="0" w:color="auto"/>
            </w:tcBorders>
            <w:shd w:val="clear" w:color="auto" w:fill="auto"/>
            <w:noWrap/>
            <w:vAlign w:val="center"/>
          </w:tcPr>
          <w:p w:rsidR="00123DC4" w:rsidRPr="00723CCF" w:rsidRDefault="00123DC4" w:rsidP="00132057">
            <w:pPr>
              <w:spacing w:before="40" w:after="40"/>
              <w:rPr>
                <w:rFonts w:cs="Arial"/>
                <w:sz w:val="16"/>
                <w:szCs w:val="16"/>
              </w:rPr>
            </w:pPr>
            <w:r w:rsidRPr="00723CCF">
              <w:rPr>
                <w:rFonts w:cs="Arial"/>
                <w:sz w:val="16"/>
                <w:szCs w:val="16"/>
              </w:rPr>
              <w:t>Execution and commissioning of works</w:t>
            </w:r>
          </w:p>
        </w:tc>
        <w:tc>
          <w:tcPr>
            <w:tcW w:w="409" w:type="dxa"/>
            <w:tcBorders>
              <w:top w:val="nil"/>
              <w:left w:val="nil"/>
              <w:bottom w:val="single" w:sz="4" w:space="0" w:color="auto"/>
              <w:right w:val="single" w:sz="4" w:space="0" w:color="auto"/>
            </w:tcBorders>
            <w:vAlign w:val="center"/>
          </w:tcPr>
          <w:p w:rsidR="00123DC4" w:rsidRPr="00723CCF" w:rsidRDefault="00123DC4" w:rsidP="00132057">
            <w:pPr>
              <w:spacing w:before="40" w:after="40"/>
              <w:rPr>
                <w:rFonts w:cs="Arial"/>
                <w:sz w:val="16"/>
                <w:szCs w:val="16"/>
              </w:rPr>
            </w:pPr>
          </w:p>
        </w:tc>
        <w:tc>
          <w:tcPr>
            <w:tcW w:w="409" w:type="dxa"/>
            <w:tcBorders>
              <w:top w:val="nil"/>
              <w:left w:val="nil"/>
              <w:bottom w:val="single" w:sz="4" w:space="0" w:color="auto"/>
              <w:right w:val="single" w:sz="4" w:space="0" w:color="auto"/>
            </w:tcBorders>
            <w:vAlign w:val="center"/>
          </w:tcPr>
          <w:p w:rsidR="00123DC4" w:rsidRPr="00723CCF" w:rsidRDefault="00123DC4" w:rsidP="00132057">
            <w:pPr>
              <w:spacing w:before="40" w:after="40"/>
              <w:rPr>
                <w:rFonts w:cs="Arial"/>
                <w:sz w:val="16"/>
                <w:szCs w:val="16"/>
              </w:rPr>
            </w:pPr>
          </w:p>
        </w:tc>
        <w:tc>
          <w:tcPr>
            <w:tcW w:w="409" w:type="dxa"/>
            <w:tcBorders>
              <w:top w:val="nil"/>
              <w:left w:val="nil"/>
              <w:bottom w:val="single" w:sz="4" w:space="0" w:color="auto"/>
              <w:right w:val="single" w:sz="4" w:space="0" w:color="auto"/>
            </w:tcBorders>
            <w:vAlign w:val="center"/>
          </w:tcPr>
          <w:p w:rsidR="00123DC4" w:rsidRPr="00723CCF" w:rsidRDefault="00123DC4" w:rsidP="00132057">
            <w:pPr>
              <w:spacing w:before="40" w:after="40"/>
              <w:jc w:val="center"/>
              <w:rPr>
                <w:rFonts w:cs="Arial"/>
                <w:sz w:val="16"/>
                <w:szCs w:val="16"/>
              </w:rPr>
            </w:pPr>
          </w:p>
        </w:tc>
        <w:tc>
          <w:tcPr>
            <w:tcW w:w="409" w:type="dxa"/>
            <w:tcBorders>
              <w:top w:val="nil"/>
              <w:left w:val="nil"/>
              <w:bottom w:val="single" w:sz="4" w:space="0" w:color="auto"/>
              <w:right w:val="single" w:sz="4" w:space="0" w:color="auto"/>
            </w:tcBorders>
            <w:vAlign w:val="center"/>
          </w:tcPr>
          <w:p w:rsidR="00123DC4" w:rsidRPr="00723CCF" w:rsidRDefault="00123DC4" w:rsidP="00132057">
            <w:pPr>
              <w:spacing w:before="40" w:after="40"/>
              <w:jc w:val="center"/>
              <w:rPr>
                <w:rFonts w:cs="Arial"/>
                <w:sz w:val="16"/>
                <w:szCs w:val="16"/>
              </w:rPr>
            </w:pPr>
          </w:p>
        </w:tc>
        <w:tc>
          <w:tcPr>
            <w:tcW w:w="409" w:type="dxa"/>
            <w:tcBorders>
              <w:top w:val="nil"/>
              <w:left w:val="single" w:sz="4" w:space="0" w:color="auto"/>
              <w:bottom w:val="single" w:sz="4" w:space="0" w:color="auto"/>
              <w:right w:val="single" w:sz="4" w:space="0" w:color="auto"/>
            </w:tcBorders>
            <w:shd w:val="clear" w:color="auto" w:fill="auto"/>
            <w:noWrap/>
            <w:vAlign w:val="center"/>
          </w:tcPr>
          <w:p w:rsidR="00123DC4" w:rsidRPr="00723CCF" w:rsidRDefault="00123DC4" w:rsidP="00132057">
            <w:pPr>
              <w:spacing w:before="40" w:after="40"/>
              <w:jc w:val="center"/>
              <w:rPr>
                <w:rFonts w:cs="Arial"/>
                <w:sz w:val="16"/>
                <w:szCs w:val="16"/>
              </w:rPr>
            </w:pPr>
          </w:p>
        </w:tc>
        <w:tc>
          <w:tcPr>
            <w:tcW w:w="409" w:type="dxa"/>
            <w:tcBorders>
              <w:top w:val="nil"/>
              <w:left w:val="nil"/>
              <w:bottom w:val="single" w:sz="4" w:space="0" w:color="auto"/>
              <w:right w:val="single" w:sz="4" w:space="0" w:color="auto"/>
            </w:tcBorders>
            <w:shd w:val="clear" w:color="auto" w:fill="auto"/>
            <w:noWrap/>
            <w:vAlign w:val="center"/>
          </w:tcPr>
          <w:p w:rsidR="00123DC4" w:rsidRPr="00723CCF" w:rsidRDefault="00123DC4" w:rsidP="00132057">
            <w:pPr>
              <w:spacing w:before="40" w:after="40"/>
              <w:jc w:val="center"/>
              <w:rPr>
                <w:rFonts w:cs="Arial"/>
                <w:sz w:val="16"/>
                <w:szCs w:val="16"/>
              </w:rPr>
            </w:pPr>
          </w:p>
        </w:tc>
        <w:tc>
          <w:tcPr>
            <w:tcW w:w="409" w:type="dxa"/>
            <w:tcBorders>
              <w:top w:val="nil"/>
              <w:left w:val="nil"/>
              <w:bottom w:val="single" w:sz="4" w:space="0" w:color="auto"/>
              <w:right w:val="single" w:sz="4" w:space="0" w:color="auto"/>
            </w:tcBorders>
            <w:shd w:val="clear" w:color="auto" w:fill="auto"/>
            <w:noWrap/>
            <w:vAlign w:val="center"/>
          </w:tcPr>
          <w:p w:rsidR="00123DC4" w:rsidRPr="00723CCF" w:rsidRDefault="00123DC4" w:rsidP="00132057">
            <w:pPr>
              <w:spacing w:before="40" w:after="40"/>
              <w:jc w:val="center"/>
              <w:rPr>
                <w:rFonts w:cs="Arial"/>
                <w:color w:val="243F60" w:themeColor="accent1" w:themeShade="7F"/>
                <w:sz w:val="16"/>
                <w:szCs w:val="16"/>
              </w:rPr>
            </w:pPr>
            <w:r w:rsidRPr="00723CCF">
              <w:rPr>
                <w:rFonts w:cs="Arial"/>
                <w:sz w:val="16"/>
                <w:szCs w:val="16"/>
              </w:rPr>
              <w:t>X</w:t>
            </w:r>
          </w:p>
        </w:tc>
        <w:tc>
          <w:tcPr>
            <w:tcW w:w="409" w:type="dxa"/>
            <w:tcBorders>
              <w:top w:val="nil"/>
              <w:left w:val="nil"/>
              <w:bottom w:val="single" w:sz="4" w:space="0" w:color="auto"/>
              <w:right w:val="single" w:sz="8" w:space="0" w:color="auto"/>
            </w:tcBorders>
            <w:shd w:val="clear" w:color="auto" w:fill="auto"/>
            <w:noWrap/>
            <w:vAlign w:val="center"/>
          </w:tcPr>
          <w:p w:rsidR="00123DC4" w:rsidRPr="00723CCF" w:rsidRDefault="00123DC4" w:rsidP="00132057">
            <w:pPr>
              <w:spacing w:before="40" w:after="40"/>
              <w:jc w:val="center"/>
              <w:rPr>
                <w:rFonts w:cs="Arial"/>
                <w:sz w:val="16"/>
                <w:szCs w:val="16"/>
              </w:rPr>
            </w:pPr>
          </w:p>
        </w:tc>
        <w:tc>
          <w:tcPr>
            <w:tcW w:w="409" w:type="dxa"/>
            <w:tcBorders>
              <w:top w:val="nil"/>
              <w:left w:val="nil"/>
              <w:bottom w:val="single" w:sz="4" w:space="0" w:color="auto"/>
              <w:right w:val="single" w:sz="4" w:space="0" w:color="auto"/>
            </w:tcBorders>
            <w:shd w:val="clear" w:color="auto" w:fill="auto"/>
            <w:noWrap/>
            <w:vAlign w:val="center"/>
          </w:tcPr>
          <w:p w:rsidR="00123DC4" w:rsidRPr="00723CCF" w:rsidRDefault="00123DC4" w:rsidP="00132057">
            <w:pPr>
              <w:spacing w:before="40" w:after="40"/>
              <w:jc w:val="center"/>
              <w:rPr>
                <w:rFonts w:cs="Arial"/>
                <w:sz w:val="16"/>
                <w:szCs w:val="16"/>
              </w:rPr>
            </w:pPr>
          </w:p>
        </w:tc>
        <w:tc>
          <w:tcPr>
            <w:tcW w:w="409" w:type="dxa"/>
            <w:tcBorders>
              <w:top w:val="nil"/>
              <w:left w:val="nil"/>
              <w:bottom w:val="single" w:sz="4" w:space="0" w:color="auto"/>
              <w:right w:val="single" w:sz="4" w:space="0" w:color="auto"/>
            </w:tcBorders>
            <w:shd w:val="clear" w:color="auto" w:fill="auto"/>
            <w:noWrap/>
            <w:vAlign w:val="center"/>
          </w:tcPr>
          <w:p w:rsidR="00123DC4" w:rsidRPr="00723CCF" w:rsidRDefault="00123DC4" w:rsidP="00132057">
            <w:pPr>
              <w:spacing w:before="40" w:after="40"/>
              <w:jc w:val="center"/>
              <w:rPr>
                <w:rFonts w:cs="Arial"/>
                <w:sz w:val="16"/>
                <w:szCs w:val="16"/>
              </w:rPr>
            </w:pPr>
            <w:r w:rsidRPr="00723CCF">
              <w:rPr>
                <w:rFonts w:cs="Arial"/>
                <w:sz w:val="16"/>
                <w:szCs w:val="16"/>
              </w:rPr>
              <w:t>X</w:t>
            </w:r>
          </w:p>
        </w:tc>
        <w:tc>
          <w:tcPr>
            <w:tcW w:w="409" w:type="dxa"/>
            <w:tcBorders>
              <w:top w:val="nil"/>
              <w:left w:val="nil"/>
              <w:bottom w:val="single" w:sz="4" w:space="0" w:color="auto"/>
              <w:right w:val="single" w:sz="4" w:space="0" w:color="auto"/>
            </w:tcBorders>
            <w:shd w:val="clear" w:color="auto" w:fill="auto"/>
            <w:noWrap/>
            <w:vAlign w:val="center"/>
          </w:tcPr>
          <w:p w:rsidR="00123DC4" w:rsidRPr="00723CCF" w:rsidRDefault="00123DC4" w:rsidP="00132057">
            <w:pPr>
              <w:spacing w:before="40" w:after="40"/>
              <w:jc w:val="center"/>
              <w:rPr>
                <w:rFonts w:cs="Arial"/>
                <w:sz w:val="16"/>
                <w:szCs w:val="16"/>
              </w:rPr>
            </w:pPr>
          </w:p>
        </w:tc>
        <w:tc>
          <w:tcPr>
            <w:tcW w:w="409" w:type="dxa"/>
            <w:tcBorders>
              <w:top w:val="nil"/>
              <w:left w:val="nil"/>
              <w:bottom w:val="single" w:sz="4" w:space="0" w:color="auto"/>
              <w:right w:val="single" w:sz="8" w:space="0" w:color="auto"/>
            </w:tcBorders>
            <w:shd w:val="clear" w:color="auto" w:fill="auto"/>
            <w:noWrap/>
            <w:vAlign w:val="bottom"/>
          </w:tcPr>
          <w:p w:rsidR="00123DC4" w:rsidRPr="00723CCF" w:rsidRDefault="00123DC4" w:rsidP="00132057">
            <w:pPr>
              <w:spacing w:before="40" w:after="40"/>
              <w:rPr>
                <w:rFonts w:cs="Arial"/>
                <w:sz w:val="16"/>
                <w:szCs w:val="16"/>
              </w:rPr>
            </w:pPr>
          </w:p>
        </w:tc>
      </w:tr>
      <w:tr w:rsidR="00123DC4" w:rsidRPr="00723CCF" w:rsidTr="00132057">
        <w:trPr>
          <w:trHeight w:val="416"/>
          <w:jc w:val="center"/>
        </w:trPr>
        <w:tc>
          <w:tcPr>
            <w:tcW w:w="3782" w:type="dxa"/>
            <w:tcBorders>
              <w:top w:val="nil"/>
              <w:left w:val="single" w:sz="8" w:space="0" w:color="auto"/>
              <w:bottom w:val="single" w:sz="4" w:space="0" w:color="auto"/>
              <w:right w:val="single" w:sz="8" w:space="0" w:color="auto"/>
            </w:tcBorders>
            <w:shd w:val="clear" w:color="auto" w:fill="auto"/>
            <w:noWrap/>
            <w:vAlign w:val="center"/>
            <w:hideMark/>
          </w:tcPr>
          <w:p w:rsidR="00123DC4" w:rsidRPr="00723CCF" w:rsidRDefault="00123DC4" w:rsidP="00132057">
            <w:pPr>
              <w:spacing w:before="40" w:after="40"/>
              <w:rPr>
                <w:rFonts w:cs="Arial"/>
                <w:sz w:val="16"/>
                <w:szCs w:val="16"/>
              </w:rPr>
            </w:pPr>
            <w:r w:rsidRPr="00723CCF">
              <w:rPr>
                <w:rFonts w:cs="Arial"/>
                <w:sz w:val="16"/>
                <w:szCs w:val="16"/>
              </w:rPr>
              <w:t xml:space="preserve">Award of contract to experts </w:t>
            </w:r>
            <w:r>
              <w:rPr>
                <w:rFonts w:cs="Arial"/>
                <w:sz w:val="16"/>
                <w:szCs w:val="16"/>
              </w:rPr>
              <w:t xml:space="preserve">to conduct </w:t>
            </w:r>
            <w:r w:rsidRPr="00723CCF">
              <w:rPr>
                <w:rFonts w:cs="Arial"/>
                <w:sz w:val="16"/>
                <w:szCs w:val="16"/>
              </w:rPr>
              <w:t xml:space="preserve">studies to advise </w:t>
            </w:r>
            <w:r>
              <w:rPr>
                <w:rFonts w:cs="Arial"/>
                <w:sz w:val="16"/>
                <w:szCs w:val="16"/>
              </w:rPr>
              <w:t>the Secretariat</w:t>
            </w:r>
            <w:r w:rsidRPr="00723CCF">
              <w:rPr>
                <w:rFonts w:cs="Arial"/>
                <w:sz w:val="16"/>
                <w:szCs w:val="16"/>
              </w:rPr>
              <w:t xml:space="preserve"> on the </w:t>
            </w:r>
            <w:r>
              <w:rPr>
                <w:rFonts w:cs="Arial"/>
                <w:sz w:val="16"/>
                <w:szCs w:val="16"/>
              </w:rPr>
              <w:t>best</w:t>
            </w:r>
            <w:r w:rsidRPr="00723CCF">
              <w:rPr>
                <w:rFonts w:cs="Arial"/>
                <w:sz w:val="16"/>
                <w:szCs w:val="16"/>
              </w:rPr>
              <w:t xml:space="preserve"> course of action </w:t>
            </w:r>
          </w:p>
        </w:tc>
        <w:tc>
          <w:tcPr>
            <w:tcW w:w="409" w:type="dxa"/>
            <w:tcBorders>
              <w:top w:val="nil"/>
              <w:left w:val="nil"/>
              <w:bottom w:val="single" w:sz="4" w:space="0" w:color="auto"/>
              <w:right w:val="single" w:sz="4" w:space="0" w:color="auto"/>
            </w:tcBorders>
            <w:vAlign w:val="center"/>
          </w:tcPr>
          <w:p w:rsidR="00123DC4" w:rsidRPr="00723CCF" w:rsidRDefault="00123DC4" w:rsidP="00132057">
            <w:pPr>
              <w:spacing w:before="40" w:after="40"/>
              <w:rPr>
                <w:rFonts w:cs="Arial"/>
                <w:sz w:val="16"/>
                <w:szCs w:val="16"/>
              </w:rPr>
            </w:pPr>
          </w:p>
        </w:tc>
        <w:tc>
          <w:tcPr>
            <w:tcW w:w="409" w:type="dxa"/>
            <w:tcBorders>
              <w:top w:val="nil"/>
              <w:left w:val="nil"/>
              <w:bottom w:val="single" w:sz="4" w:space="0" w:color="auto"/>
              <w:right w:val="single" w:sz="4" w:space="0" w:color="auto"/>
            </w:tcBorders>
            <w:vAlign w:val="center"/>
          </w:tcPr>
          <w:p w:rsidR="00123DC4" w:rsidRPr="00723CCF" w:rsidRDefault="00123DC4" w:rsidP="00132057">
            <w:pPr>
              <w:spacing w:before="40" w:after="40"/>
              <w:rPr>
                <w:rFonts w:cs="Arial"/>
                <w:sz w:val="16"/>
                <w:szCs w:val="16"/>
              </w:rPr>
            </w:pPr>
          </w:p>
        </w:tc>
        <w:tc>
          <w:tcPr>
            <w:tcW w:w="409" w:type="dxa"/>
            <w:tcBorders>
              <w:top w:val="nil"/>
              <w:left w:val="nil"/>
              <w:bottom w:val="single" w:sz="4" w:space="0" w:color="auto"/>
              <w:right w:val="single" w:sz="4" w:space="0" w:color="auto"/>
            </w:tcBorders>
            <w:vAlign w:val="center"/>
          </w:tcPr>
          <w:p w:rsidR="00123DC4" w:rsidRPr="00723CCF" w:rsidRDefault="00123DC4" w:rsidP="00132057">
            <w:pPr>
              <w:spacing w:before="40" w:after="40"/>
              <w:jc w:val="center"/>
              <w:rPr>
                <w:rFonts w:cs="Arial"/>
                <w:sz w:val="16"/>
                <w:szCs w:val="16"/>
              </w:rPr>
            </w:pPr>
          </w:p>
        </w:tc>
        <w:tc>
          <w:tcPr>
            <w:tcW w:w="409" w:type="dxa"/>
            <w:tcBorders>
              <w:top w:val="nil"/>
              <w:left w:val="nil"/>
              <w:bottom w:val="single" w:sz="4" w:space="0" w:color="auto"/>
              <w:right w:val="single" w:sz="4" w:space="0" w:color="auto"/>
            </w:tcBorders>
            <w:vAlign w:val="center"/>
          </w:tcPr>
          <w:p w:rsidR="00123DC4" w:rsidRPr="00723CCF" w:rsidRDefault="00123DC4" w:rsidP="00132057">
            <w:pPr>
              <w:spacing w:before="40" w:after="40"/>
              <w:jc w:val="center"/>
              <w:rPr>
                <w:rFonts w:cs="Arial"/>
                <w:sz w:val="16"/>
                <w:szCs w:val="16"/>
              </w:rPr>
            </w:pPr>
          </w:p>
        </w:tc>
        <w:tc>
          <w:tcPr>
            <w:tcW w:w="409" w:type="dxa"/>
            <w:tcBorders>
              <w:top w:val="nil"/>
              <w:left w:val="single" w:sz="4" w:space="0" w:color="auto"/>
              <w:bottom w:val="single" w:sz="4" w:space="0" w:color="auto"/>
              <w:right w:val="single" w:sz="4" w:space="0" w:color="auto"/>
            </w:tcBorders>
            <w:shd w:val="clear" w:color="auto" w:fill="auto"/>
            <w:noWrap/>
            <w:vAlign w:val="center"/>
            <w:hideMark/>
          </w:tcPr>
          <w:p w:rsidR="00123DC4" w:rsidRPr="00723CCF" w:rsidRDefault="00123DC4" w:rsidP="00132057">
            <w:pPr>
              <w:spacing w:before="40" w:after="40"/>
              <w:jc w:val="center"/>
              <w:rPr>
                <w:rFonts w:cs="Arial"/>
                <w:sz w:val="16"/>
                <w:szCs w:val="16"/>
              </w:rPr>
            </w:pPr>
          </w:p>
        </w:tc>
        <w:tc>
          <w:tcPr>
            <w:tcW w:w="409" w:type="dxa"/>
            <w:tcBorders>
              <w:top w:val="nil"/>
              <w:left w:val="nil"/>
              <w:bottom w:val="single" w:sz="4" w:space="0" w:color="auto"/>
              <w:right w:val="single" w:sz="4" w:space="0" w:color="auto"/>
            </w:tcBorders>
            <w:shd w:val="clear" w:color="auto" w:fill="auto"/>
            <w:noWrap/>
            <w:vAlign w:val="center"/>
            <w:hideMark/>
          </w:tcPr>
          <w:p w:rsidR="00123DC4" w:rsidRPr="00723CCF" w:rsidRDefault="00123DC4" w:rsidP="00132057">
            <w:pPr>
              <w:spacing w:before="40" w:after="40"/>
              <w:jc w:val="center"/>
              <w:rPr>
                <w:rFonts w:cs="Arial"/>
                <w:sz w:val="16"/>
                <w:szCs w:val="16"/>
              </w:rPr>
            </w:pPr>
          </w:p>
        </w:tc>
        <w:tc>
          <w:tcPr>
            <w:tcW w:w="409" w:type="dxa"/>
            <w:tcBorders>
              <w:top w:val="nil"/>
              <w:left w:val="nil"/>
              <w:bottom w:val="single" w:sz="4" w:space="0" w:color="auto"/>
              <w:right w:val="single" w:sz="4" w:space="0" w:color="auto"/>
            </w:tcBorders>
            <w:shd w:val="clear" w:color="auto" w:fill="auto"/>
            <w:noWrap/>
            <w:vAlign w:val="center"/>
            <w:hideMark/>
          </w:tcPr>
          <w:p w:rsidR="00123DC4" w:rsidRPr="00723CCF" w:rsidRDefault="00123DC4" w:rsidP="00132057">
            <w:pPr>
              <w:spacing w:before="40" w:after="40"/>
              <w:jc w:val="center"/>
              <w:rPr>
                <w:rFonts w:cs="Arial"/>
                <w:sz w:val="16"/>
                <w:szCs w:val="16"/>
              </w:rPr>
            </w:pPr>
          </w:p>
        </w:tc>
        <w:tc>
          <w:tcPr>
            <w:tcW w:w="409" w:type="dxa"/>
            <w:tcBorders>
              <w:top w:val="nil"/>
              <w:left w:val="nil"/>
              <w:bottom w:val="single" w:sz="4" w:space="0" w:color="auto"/>
              <w:right w:val="single" w:sz="8" w:space="0" w:color="auto"/>
            </w:tcBorders>
            <w:shd w:val="clear" w:color="auto" w:fill="auto"/>
            <w:noWrap/>
            <w:vAlign w:val="center"/>
            <w:hideMark/>
          </w:tcPr>
          <w:p w:rsidR="00123DC4" w:rsidRPr="00723CCF" w:rsidRDefault="00123DC4" w:rsidP="00132057">
            <w:pPr>
              <w:spacing w:before="40" w:after="40"/>
              <w:jc w:val="center"/>
              <w:rPr>
                <w:rFonts w:cs="Arial"/>
                <w:sz w:val="16"/>
                <w:szCs w:val="16"/>
              </w:rPr>
            </w:pPr>
          </w:p>
        </w:tc>
        <w:tc>
          <w:tcPr>
            <w:tcW w:w="409" w:type="dxa"/>
            <w:tcBorders>
              <w:top w:val="nil"/>
              <w:left w:val="nil"/>
              <w:bottom w:val="single" w:sz="4" w:space="0" w:color="auto"/>
              <w:right w:val="single" w:sz="4" w:space="0" w:color="auto"/>
            </w:tcBorders>
            <w:shd w:val="clear" w:color="auto" w:fill="auto"/>
            <w:noWrap/>
            <w:vAlign w:val="center"/>
            <w:hideMark/>
          </w:tcPr>
          <w:p w:rsidR="00123DC4" w:rsidRPr="00723CCF" w:rsidRDefault="00123DC4" w:rsidP="00132057">
            <w:pPr>
              <w:spacing w:before="40" w:after="40"/>
              <w:jc w:val="center"/>
              <w:rPr>
                <w:rFonts w:cs="Arial"/>
                <w:sz w:val="16"/>
                <w:szCs w:val="16"/>
              </w:rPr>
            </w:pPr>
          </w:p>
        </w:tc>
        <w:tc>
          <w:tcPr>
            <w:tcW w:w="409" w:type="dxa"/>
            <w:tcBorders>
              <w:top w:val="nil"/>
              <w:left w:val="nil"/>
              <w:bottom w:val="single" w:sz="4" w:space="0" w:color="auto"/>
              <w:right w:val="single" w:sz="4" w:space="0" w:color="auto"/>
            </w:tcBorders>
            <w:shd w:val="clear" w:color="auto" w:fill="auto"/>
            <w:noWrap/>
            <w:vAlign w:val="center"/>
            <w:hideMark/>
          </w:tcPr>
          <w:p w:rsidR="00123DC4" w:rsidRPr="00723CCF" w:rsidRDefault="00123DC4" w:rsidP="00132057">
            <w:pPr>
              <w:spacing w:before="40" w:after="40"/>
              <w:jc w:val="center"/>
              <w:rPr>
                <w:rFonts w:cs="Arial"/>
                <w:sz w:val="16"/>
                <w:szCs w:val="16"/>
              </w:rPr>
            </w:pPr>
            <w:r w:rsidRPr="00723CCF">
              <w:rPr>
                <w:rFonts w:cs="Arial"/>
                <w:sz w:val="16"/>
                <w:szCs w:val="16"/>
              </w:rPr>
              <w:t>X</w:t>
            </w:r>
          </w:p>
        </w:tc>
        <w:tc>
          <w:tcPr>
            <w:tcW w:w="409" w:type="dxa"/>
            <w:tcBorders>
              <w:top w:val="nil"/>
              <w:left w:val="nil"/>
              <w:bottom w:val="single" w:sz="4" w:space="0" w:color="auto"/>
              <w:right w:val="single" w:sz="4" w:space="0" w:color="auto"/>
            </w:tcBorders>
            <w:shd w:val="clear" w:color="auto" w:fill="auto"/>
            <w:noWrap/>
            <w:vAlign w:val="center"/>
            <w:hideMark/>
          </w:tcPr>
          <w:p w:rsidR="00123DC4" w:rsidRPr="00723CCF" w:rsidRDefault="00123DC4" w:rsidP="00132057">
            <w:pPr>
              <w:spacing w:before="40" w:after="40"/>
              <w:jc w:val="center"/>
              <w:rPr>
                <w:rFonts w:cs="Arial"/>
                <w:color w:val="243F60" w:themeColor="accent1" w:themeShade="7F"/>
                <w:sz w:val="16"/>
                <w:szCs w:val="16"/>
              </w:rPr>
            </w:pPr>
            <w:r w:rsidRPr="00723CCF">
              <w:rPr>
                <w:rFonts w:cs="Arial"/>
                <w:sz w:val="16"/>
                <w:szCs w:val="16"/>
              </w:rPr>
              <w:t>X</w:t>
            </w:r>
          </w:p>
        </w:tc>
        <w:tc>
          <w:tcPr>
            <w:tcW w:w="409" w:type="dxa"/>
            <w:tcBorders>
              <w:top w:val="nil"/>
              <w:left w:val="nil"/>
              <w:bottom w:val="single" w:sz="4" w:space="0" w:color="auto"/>
              <w:right w:val="single" w:sz="8" w:space="0" w:color="auto"/>
            </w:tcBorders>
            <w:shd w:val="clear" w:color="auto" w:fill="auto"/>
            <w:noWrap/>
            <w:vAlign w:val="bottom"/>
            <w:hideMark/>
          </w:tcPr>
          <w:p w:rsidR="00123DC4" w:rsidRPr="00723CCF" w:rsidRDefault="00123DC4" w:rsidP="00132057">
            <w:pPr>
              <w:spacing w:before="40" w:after="40"/>
              <w:rPr>
                <w:rFonts w:cs="Arial"/>
                <w:sz w:val="16"/>
                <w:szCs w:val="16"/>
              </w:rPr>
            </w:pPr>
            <w:r w:rsidRPr="00723CCF">
              <w:rPr>
                <w:rFonts w:cs="Arial"/>
                <w:sz w:val="16"/>
                <w:szCs w:val="16"/>
              </w:rPr>
              <w:t> </w:t>
            </w:r>
          </w:p>
        </w:tc>
      </w:tr>
    </w:tbl>
    <w:p w:rsidR="00123DC4" w:rsidRPr="00723CCF" w:rsidRDefault="00123DC4" w:rsidP="00132057">
      <w:pPr>
        <w:autoSpaceDE w:val="0"/>
        <w:autoSpaceDN w:val="0"/>
        <w:jc w:val="both"/>
      </w:pPr>
    </w:p>
    <w:p w:rsidR="00123DC4" w:rsidRPr="00723CCF" w:rsidRDefault="00123DC4" w:rsidP="00132057"/>
    <w:p w:rsidR="00123DC4" w:rsidRDefault="00123DC4" w:rsidP="00132057">
      <w:pPr>
        <w:rPr>
          <w:b/>
          <w:sz w:val="22"/>
        </w:rPr>
      </w:pPr>
      <w:r>
        <w:br w:type="page"/>
      </w:r>
      <w:r w:rsidRPr="00994B87">
        <w:rPr>
          <w:b/>
          <w:sz w:val="22"/>
        </w:rPr>
        <w:t>SAFETY/SECURITY-RELATED PROJECTS</w:t>
      </w:r>
    </w:p>
    <w:p w:rsidR="00123DC4" w:rsidRPr="00994B87" w:rsidRDefault="00123DC4" w:rsidP="00132057">
      <w:pPr>
        <w:rPr>
          <w:b/>
          <w:sz w:val="22"/>
        </w:rPr>
      </w:pPr>
    </w:p>
    <w:p w:rsidR="00123DC4" w:rsidRPr="00994B87" w:rsidRDefault="00123DC4" w:rsidP="00132057">
      <w:pPr>
        <w:pStyle w:val="StyleHeading3BoldNounderline"/>
        <w:spacing w:before="0" w:after="0"/>
        <w:rPr>
          <w:b/>
        </w:rPr>
      </w:pPr>
      <w:bookmarkStart w:id="132" w:name="_Toc422210529"/>
      <w:bookmarkStart w:id="133" w:name="_Toc454544514"/>
      <w:r>
        <w:rPr>
          <w:b/>
        </w:rPr>
        <w:t>PROJECT 7</w:t>
      </w:r>
      <w:r>
        <w:rPr>
          <w:b/>
        </w:rPr>
        <w:tab/>
      </w:r>
      <w:r w:rsidRPr="001E4922">
        <w:rPr>
          <w:b/>
        </w:rPr>
        <w:t>SAFETY AND FIREPROTECTION MEASURES</w:t>
      </w:r>
      <w:r w:rsidRPr="00994B87">
        <w:rPr>
          <w:b/>
        </w:rPr>
        <w:t xml:space="preserve"> (CMP 7)</w:t>
      </w:r>
      <w:bookmarkEnd w:id="132"/>
      <w:bookmarkEnd w:id="133"/>
    </w:p>
    <w:p w:rsidR="00123DC4" w:rsidRPr="00994B87" w:rsidRDefault="00123DC4" w:rsidP="00132057">
      <w:pPr>
        <w:rPr>
          <w:rFonts w:cs="Arial"/>
          <w:b/>
          <w:sz w:val="22"/>
        </w:rPr>
      </w:pPr>
    </w:p>
    <w:p w:rsidR="00123DC4" w:rsidRPr="00F47045" w:rsidRDefault="00123DC4" w:rsidP="00132057">
      <w:pPr>
        <w:rPr>
          <w:rFonts w:cs="Arial"/>
          <w:b/>
          <w:szCs w:val="20"/>
        </w:rPr>
      </w:pPr>
      <w:r w:rsidRPr="00F47045">
        <w:rPr>
          <w:rFonts w:cs="Arial"/>
          <w:b/>
          <w:szCs w:val="20"/>
        </w:rPr>
        <w:t>Project Manager</w:t>
      </w:r>
      <w:r>
        <w:rPr>
          <w:rFonts w:cs="Arial"/>
          <w:b/>
          <w:szCs w:val="20"/>
        </w:rPr>
        <w:tab/>
      </w:r>
      <w:r w:rsidRPr="003962D0">
        <w:rPr>
          <w:rFonts w:cs="Arial"/>
          <w:b/>
          <w:szCs w:val="20"/>
        </w:rPr>
        <w:t xml:space="preserve">Mr. </w:t>
      </w:r>
      <w:r>
        <w:rPr>
          <w:rFonts w:cs="Arial"/>
          <w:b/>
          <w:szCs w:val="20"/>
        </w:rPr>
        <w:t>M. Gibb</w:t>
      </w:r>
      <w:r w:rsidRPr="00F47045">
        <w:rPr>
          <w:rFonts w:cs="Arial"/>
          <w:b/>
          <w:szCs w:val="20"/>
        </w:rPr>
        <w:t xml:space="preserve"> </w:t>
      </w:r>
    </w:p>
    <w:p w:rsidR="00123DC4" w:rsidRPr="00571EF2" w:rsidRDefault="00123DC4" w:rsidP="00132057">
      <w:pPr>
        <w:rPr>
          <w:rFonts w:cs="Arial"/>
          <w:szCs w:val="20"/>
        </w:rPr>
      </w:pPr>
    </w:p>
    <w:p w:rsidR="00123DC4" w:rsidRPr="00F47045" w:rsidRDefault="00123DC4" w:rsidP="00132057">
      <w:pPr>
        <w:rPr>
          <w:rFonts w:cs="Arial"/>
          <w:bCs/>
          <w:szCs w:val="20"/>
        </w:rPr>
      </w:pPr>
    </w:p>
    <w:p w:rsidR="00123DC4" w:rsidRPr="00F47045" w:rsidRDefault="00123DC4" w:rsidP="00132057">
      <w:pPr>
        <w:rPr>
          <w:rFonts w:cs="Arial"/>
          <w:bCs/>
          <w:szCs w:val="20"/>
        </w:rPr>
      </w:pPr>
      <w:r w:rsidRPr="00F47045">
        <w:rPr>
          <w:rFonts w:cs="Arial"/>
          <w:bCs/>
          <w:szCs w:val="20"/>
        </w:rPr>
        <w:t>EXPECTED RESULT</w:t>
      </w:r>
    </w:p>
    <w:p w:rsidR="00123DC4" w:rsidRPr="00F47045" w:rsidRDefault="00123DC4" w:rsidP="00132057">
      <w:pPr>
        <w:rPr>
          <w:rFonts w:cs="Arial"/>
          <w:bCs/>
          <w:szCs w:val="20"/>
        </w:rPr>
      </w:pPr>
    </w:p>
    <w:p w:rsidR="00123DC4" w:rsidRPr="00F47045" w:rsidRDefault="00123DC4" w:rsidP="00132057">
      <w:pPr>
        <w:rPr>
          <w:rFonts w:cs="Arial"/>
          <w:bCs/>
          <w:szCs w:val="20"/>
        </w:rPr>
      </w:pPr>
      <w:r w:rsidRPr="00571EF2">
        <w:rPr>
          <w:rFonts w:cs="Arial"/>
          <w:i/>
          <w:iCs/>
          <w:szCs w:val="20"/>
        </w:rPr>
        <w:t>IX.4  An environmentally and socially responsible Organization in which WIPO staff, delegates, visitors and information and physical assets are safe and secure</w:t>
      </w:r>
    </w:p>
    <w:p w:rsidR="00123DC4" w:rsidRPr="00F47045" w:rsidRDefault="00123DC4" w:rsidP="00132057">
      <w:pPr>
        <w:rPr>
          <w:rFonts w:cs="Arial"/>
          <w:bCs/>
          <w:szCs w:val="20"/>
        </w:rPr>
      </w:pPr>
    </w:p>
    <w:p w:rsidR="00123DC4" w:rsidRPr="00F47045" w:rsidRDefault="00123DC4" w:rsidP="00132057">
      <w:pPr>
        <w:rPr>
          <w:rFonts w:cs="Arial"/>
          <w:bCs/>
          <w:szCs w:val="20"/>
        </w:rPr>
      </w:pPr>
    </w:p>
    <w:p w:rsidR="00123DC4" w:rsidRPr="00F47045" w:rsidRDefault="00123DC4" w:rsidP="00132057">
      <w:pPr>
        <w:rPr>
          <w:rFonts w:cs="Arial"/>
          <w:bCs/>
          <w:szCs w:val="20"/>
        </w:rPr>
      </w:pPr>
      <w:r w:rsidRPr="00F47045">
        <w:rPr>
          <w:rFonts w:cs="Arial"/>
          <w:bCs/>
          <w:szCs w:val="20"/>
        </w:rPr>
        <w:t>OBJECTIVES, SCOPE AND APPROACH</w:t>
      </w:r>
      <w:r>
        <w:rPr>
          <w:rFonts w:cs="Arial"/>
          <w:bCs/>
          <w:szCs w:val="20"/>
        </w:rPr>
        <w:t xml:space="preserve"> </w:t>
      </w:r>
      <w:r w:rsidRPr="00F47045">
        <w:rPr>
          <w:rFonts w:cs="Arial"/>
          <w:bCs/>
          <w:szCs w:val="20"/>
        </w:rPr>
        <w:t>- BACKGROUND</w:t>
      </w:r>
    </w:p>
    <w:p w:rsidR="00123DC4" w:rsidRPr="00F47045" w:rsidRDefault="00123DC4" w:rsidP="00132057">
      <w:pPr>
        <w:rPr>
          <w:rFonts w:cs="Arial"/>
          <w:bCs/>
          <w:szCs w:val="20"/>
        </w:rPr>
      </w:pPr>
    </w:p>
    <w:p w:rsidR="00123DC4" w:rsidRPr="00B72CC6" w:rsidRDefault="00123DC4" w:rsidP="00123DC4">
      <w:pPr>
        <w:pStyle w:val="ListParagraph"/>
        <w:numPr>
          <w:ilvl w:val="0"/>
          <w:numId w:val="136"/>
        </w:numPr>
        <w:tabs>
          <w:tab w:val="left" w:pos="567"/>
        </w:tabs>
        <w:ind w:left="0" w:firstLine="0"/>
        <w:jc w:val="both"/>
        <w:rPr>
          <w:rFonts w:cs="Arial"/>
        </w:rPr>
      </w:pPr>
      <w:r w:rsidRPr="00B72CC6">
        <w:rPr>
          <w:rFonts w:cs="Arial"/>
        </w:rPr>
        <w:t>On the basis of a safety and security audit carried out by a specialized institute at the request of the Secretariat, a number of recommendations related to safety and fire protection measures need to be implemented in the older WIPO buildings in order to bring those buildings to the updated compliance level</w:t>
      </w:r>
      <w:r>
        <w:rPr>
          <w:rFonts w:cs="Arial"/>
        </w:rPr>
        <w:t xml:space="preserve"> (n</w:t>
      </w:r>
      <w:r w:rsidRPr="00B72CC6">
        <w:rPr>
          <w:rFonts w:cs="Arial"/>
        </w:rPr>
        <w:t>ote that the New Building and the new WIPO Conference Hall are excluded from this Project since the technical specifications already reflect the updated compliance level</w:t>
      </w:r>
      <w:r>
        <w:rPr>
          <w:rFonts w:cs="Arial"/>
        </w:rPr>
        <w:t>)</w:t>
      </w:r>
      <w:r w:rsidRPr="00B72CC6">
        <w:rPr>
          <w:rFonts w:cs="Arial"/>
        </w:rPr>
        <w:t>.  The safety and fire protection measures to be implemented in the older WIPO buildings are</w:t>
      </w:r>
      <w:r>
        <w:rPr>
          <w:rFonts w:cs="Arial"/>
        </w:rPr>
        <w:t xml:space="preserve">: </w:t>
      </w:r>
      <w:r w:rsidRPr="00B72CC6">
        <w:rPr>
          <w:rFonts w:cs="Arial"/>
        </w:rPr>
        <w:t xml:space="preserve"> </w:t>
      </w:r>
      <w:r>
        <w:rPr>
          <w:rFonts w:cs="Arial"/>
        </w:rPr>
        <w:t xml:space="preserve">(i) </w:t>
      </w:r>
      <w:r w:rsidRPr="00B72CC6">
        <w:rPr>
          <w:rFonts w:cs="Arial"/>
        </w:rPr>
        <w:t>the compartmentalization between buildings</w:t>
      </w:r>
      <w:r>
        <w:rPr>
          <w:rFonts w:cs="Arial"/>
        </w:rPr>
        <w:t xml:space="preserve">; </w:t>
      </w:r>
      <w:r w:rsidRPr="00B72CC6">
        <w:rPr>
          <w:rFonts w:cs="Arial"/>
        </w:rPr>
        <w:t xml:space="preserve"> and </w:t>
      </w:r>
      <w:r>
        <w:rPr>
          <w:rFonts w:cs="Arial"/>
        </w:rPr>
        <w:t xml:space="preserve">(ii) further compartmentalization </w:t>
      </w:r>
      <w:r w:rsidRPr="00B72CC6">
        <w:rPr>
          <w:rFonts w:cs="Arial"/>
        </w:rPr>
        <w:t>between particular areas of a given building (building partitioning)</w:t>
      </w:r>
      <w:r>
        <w:rPr>
          <w:rFonts w:cs="Arial"/>
        </w:rPr>
        <w:t>.</w:t>
      </w:r>
      <w:r w:rsidRPr="00B72CC6">
        <w:rPr>
          <w:rFonts w:cs="Arial"/>
        </w:rPr>
        <w:t xml:space="preserve"> </w:t>
      </w:r>
      <w:r>
        <w:rPr>
          <w:rFonts w:cs="Arial"/>
        </w:rPr>
        <w:t xml:space="preserve"> The aim of this two layered compartmentalization is </w:t>
      </w:r>
      <w:r w:rsidRPr="00B72CC6">
        <w:rPr>
          <w:rFonts w:cs="Arial"/>
        </w:rPr>
        <w:t>to better isolate a single building or area from another building or area in case a fire or smoke may have spread after an incident.  The building partitioning will be done by means of building infrastructure elements or doors in addition to, or instead of, the existing doors and, in some cases</w:t>
      </w:r>
      <w:r>
        <w:rPr>
          <w:rFonts w:cs="Arial"/>
        </w:rPr>
        <w:t>,</w:t>
      </w:r>
      <w:r w:rsidRPr="00B72CC6">
        <w:rPr>
          <w:rFonts w:cs="Arial"/>
        </w:rPr>
        <w:t xml:space="preserve"> new doors will be installed in existing corridors or pathways.  </w:t>
      </w:r>
    </w:p>
    <w:p w:rsidR="00123DC4" w:rsidRPr="00571EF2" w:rsidRDefault="00123DC4" w:rsidP="00132057">
      <w:pPr>
        <w:tabs>
          <w:tab w:val="left" w:pos="567"/>
        </w:tabs>
        <w:rPr>
          <w:rFonts w:cs="Arial"/>
          <w:color w:val="000000" w:themeColor="text1"/>
          <w:szCs w:val="20"/>
        </w:rPr>
      </w:pPr>
    </w:p>
    <w:p w:rsidR="00123DC4" w:rsidRDefault="00123DC4" w:rsidP="00123DC4">
      <w:pPr>
        <w:pStyle w:val="ListParagraph"/>
        <w:numPr>
          <w:ilvl w:val="0"/>
          <w:numId w:val="136"/>
        </w:numPr>
        <w:tabs>
          <w:tab w:val="left" w:pos="567"/>
        </w:tabs>
        <w:ind w:left="0" w:firstLine="0"/>
        <w:rPr>
          <w:rFonts w:cs="Arial"/>
          <w:color w:val="000000" w:themeColor="text1"/>
        </w:rPr>
      </w:pPr>
      <w:r w:rsidRPr="00B72CC6">
        <w:rPr>
          <w:rFonts w:cs="Arial"/>
          <w:color w:val="000000" w:themeColor="text1"/>
        </w:rPr>
        <w:t>Implementation of the project should result in:</w:t>
      </w:r>
    </w:p>
    <w:p w:rsidR="00123DC4" w:rsidRDefault="00123DC4" w:rsidP="00132057">
      <w:pPr>
        <w:pStyle w:val="ListParagraph"/>
        <w:tabs>
          <w:tab w:val="left" w:pos="567"/>
        </w:tabs>
        <w:ind w:left="0"/>
        <w:rPr>
          <w:rFonts w:cs="Arial"/>
          <w:color w:val="000000" w:themeColor="text1"/>
        </w:rPr>
      </w:pPr>
    </w:p>
    <w:p w:rsidR="00123DC4" w:rsidRPr="00821FE0" w:rsidRDefault="00123DC4" w:rsidP="00FC43E9">
      <w:pPr>
        <w:pStyle w:val="ListParagraph"/>
        <w:numPr>
          <w:ilvl w:val="0"/>
          <w:numId w:val="147"/>
        </w:numPr>
        <w:autoSpaceDE w:val="0"/>
        <w:autoSpaceDN w:val="0"/>
        <w:adjustRightInd w:val="0"/>
        <w:spacing w:after="120"/>
        <w:ind w:left="1134" w:hanging="567"/>
        <w:rPr>
          <w:bCs/>
        </w:rPr>
      </w:pPr>
      <w:r w:rsidRPr="00821FE0">
        <w:rPr>
          <w:bCs/>
        </w:rPr>
        <w:t xml:space="preserve">cost reductions in:  (i) damage caused to premises or internal assets from the prevention and limitation of potential incidents;  and (ii) repairs, replacement and cleaning; </w:t>
      </w:r>
    </w:p>
    <w:p w:rsidR="00123DC4" w:rsidRPr="00821FE0" w:rsidRDefault="00123DC4" w:rsidP="00FC43E9">
      <w:pPr>
        <w:pStyle w:val="ListParagraph"/>
        <w:numPr>
          <w:ilvl w:val="0"/>
          <w:numId w:val="147"/>
        </w:numPr>
        <w:autoSpaceDE w:val="0"/>
        <w:autoSpaceDN w:val="0"/>
        <w:adjustRightInd w:val="0"/>
        <w:spacing w:after="120"/>
        <w:ind w:left="1134" w:hanging="567"/>
        <w:rPr>
          <w:bCs/>
        </w:rPr>
      </w:pPr>
      <w:r w:rsidRPr="00821FE0">
        <w:rPr>
          <w:bCs/>
        </w:rPr>
        <w:t>enhancement of protection of data relating to filing of applications according to various registration systems;</w:t>
      </w:r>
    </w:p>
    <w:p w:rsidR="00123DC4" w:rsidRPr="00821FE0" w:rsidRDefault="00123DC4" w:rsidP="00FC43E9">
      <w:pPr>
        <w:pStyle w:val="ListParagraph"/>
        <w:numPr>
          <w:ilvl w:val="0"/>
          <w:numId w:val="147"/>
        </w:numPr>
        <w:autoSpaceDE w:val="0"/>
        <w:autoSpaceDN w:val="0"/>
        <w:adjustRightInd w:val="0"/>
        <w:spacing w:after="120"/>
        <w:ind w:left="1134" w:hanging="567"/>
        <w:rPr>
          <w:bCs/>
        </w:rPr>
      </w:pPr>
      <w:r w:rsidRPr="00821FE0">
        <w:rPr>
          <w:bCs/>
        </w:rPr>
        <w:t>creation of a safer working environment, i.e. in the event of an incident, strengthening of security and measures for the protection of staff and other people working in the buildings, and improvement of evacuation procedures;</w:t>
      </w:r>
    </w:p>
    <w:p w:rsidR="00123DC4" w:rsidRPr="00821FE0" w:rsidRDefault="00123DC4" w:rsidP="00FC43E9">
      <w:pPr>
        <w:pStyle w:val="ListParagraph"/>
        <w:numPr>
          <w:ilvl w:val="0"/>
          <w:numId w:val="147"/>
        </w:numPr>
        <w:autoSpaceDE w:val="0"/>
        <w:autoSpaceDN w:val="0"/>
        <w:adjustRightInd w:val="0"/>
        <w:spacing w:after="120"/>
        <w:ind w:left="1134" w:hanging="567"/>
        <w:rPr>
          <w:bCs/>
        </w:rPr>
      </w:pPr>
      <w:r w:rsidRPr="00821FE0">
        <w:rPr>
          <w:bCs/>
        </w:rPr>
        <w:t>better protection and material separation of critical installations in buildings;</w:t>
      </w:r>
    </w:p>
    <w:p w:rsidR="00123DC4" w:rsidRPr="00821FE0" w:rsidRDefault="00123DC4" w:rsidP="00FC43E9">
      <w:pPr>
        <w:pStyle w:val="ListParagraph"/>
        <w:numPr>
          <w:ilvl w:val="0"/>
          <w:numId w:val="147"/>
        </w:numPr>
        <w:autoSpaceDE w:val="0"/>
        <w:autoSpaceDN w:val="0"/>
        <w:adjustRightInd w:val="0"/>
        <w:spacing w:after="120"/>
        <w:ind w:left="1134" w:hanging="567"/>
        <w:rPr>
          <w:bCs/>
        </w:rPr>
      </w:pPr>
      <w:r w:rsidRPr="00821FE0">
        <w:rPr>
          <w:bCs/>
        </w:rPr>
        <w:t>compliance with Geneva Canton Fire Safety Standards;  and</w:t>
      </w:r>
    </w:p>
    <w:p w:rsidR="00123DC4" w:rsidRPr="00821FE0" w:rsidRDefault="00123DC4" w:rsidP="00FC43E9">
      <w:pPr>
        <w:pStyle w:val="ListParagraph"/>
        <w:numPr>
          <w:ilvl w:val="0"/>
          <w:numId w:val="147"/>
        </w:numPr>
        <w:autoSpaceDE w:val="0"/>
        <w:autoSpaceDN w:val="0"/>
        <w:adjustRightInd w:val="0"/>
        <w:spacing w:after="120"/>
        <w:ind w:left="1134" w:hanging="567"/>
        <w:rPr>
          <w:bCs/>
        </w:rPr>
      </w:pPr>
      <w:r w:rsidRPr="00821FE0">
        <w:rPr>
          <w:bCs/>
        </w:rPr>
        <w:t>alignment with UN Fire Safety Policy.</w:t>
      </w:r>
    </w:p>
    <w:p w:rsidR="00123DC4" w:rsidRPr="00F47045" w:rsidRDefault="00123DC4" w:rsidP="00132057">
      <w:pPr>
        <w:rPr>
          <w:rFonts w:cs="Arial"/>
          <w:bCs/>
          <w:szCs w:val="20"/>
        </w:rPr>
      </w:pPr>
    </w:p>
    <w:p w:rsidR="00123DC4" w:rsidRPr="00821FE0" w:rsidRDefault="00123DC4" w:rsidP="00132057">
      <w:pPr>
        <w:rPr>
          <w:rFonts w:cs="Arial"/>
          <w:bCs/>
          <w:sz w:val="18"/>
          <w:szCs w:val="20"/>
        </w:rPr>
      </w:pPr>
      <w:r w:rsidRPr="00821FE0">
        <w:rPr>
          <w:rFonts w:cs="Arial"/>
          <w:bCs/>
          <w:szCs w:val="20"/>
        </w:rPr>
        <w:t>OVERVIEW OF PROGRESS IN 2015 (KEY MILESTONES)</w:t>
      </w:r>
    </w:p>
    <w:p w:rsidR="00123DC4" w:rsidRPr="00821FE0" w:rsidRDefault="00123DC4" w:rsidP="00132057">
      <w:pPr>
        <w:spacing w:line="276" w:lineRule="auto"/>
        <w:rPr>
          <w:rFonts w:cs="Arial"/>
          <w:bCs/>
          <w:szCs w:val="20"/>
        </w:rPr>
      </w:pPr>
    </w:p>
    <w:p w:rsidR="00123DC4" w:rsidRPr="00821FE0" w:rsidRDefault="00123DC4" w:rsidP="002D16CD">
      <w:pPr>
        <w:pStyle w:val="ListParagraph"/>
        <w:numPr>
          <w:ilvl w:val="0"/>
          <w:numId w:val="136"/>
        </w:numPr>
        <w:tabs>
          <w:tab w:val="left" w:pos="567"/>
        </w:tabs>
        <w:ind w:left="0" w:firstLine="0"/>
        <w:rPr>
          <w:rFonts w:cs="Arial"/>
          <w:bCs/>
        </w:rPr>
      </w:pPr>
      <w:r w:rsidRPr="002D16CD">
        <w:rPr>
          <w:rFonts w:cs="Arial"/>
          <w:color w:val="000000" w:themeColor="text1"/>
        </w:rPr>
        <w:t>The</w:t>
      </w:r>
      <w:r w:rsidRPr="00821FE0">
        <w:rPr>
          <w:rFonts w:cs="Arial"/>
        </w:rPr>
        <w:t xml:space="preserve"> compartmentalization of the PCT building was conducted and finalized in 2014 and included a feasibility study, installation, and connection for the fire doors.  </w:t>
      </w:r>
      <w:r w:rsidRPr="00821FE0">
        <w:rPr>
          <w:rFonts w:cs="Arial"/>
          <w:bCs/>
        </w:rPr>
        <w:t xml:space="preserve">In 2015, the work on the AB (-2 level) fire partition between the AB underground parking and the AB building, started in 2014, was completed and the fire proof equipment fully operational.  The cost to complete this work was higher than originally budgeted and will be covered from savings under the project related to compartmentalization between GBI and AB (see below).  </w:t>
      </w:r>
    </w:p>
    <w:p w:rsidR="00123DC4" w:rsidRDefault="00123DC4" w:rsidP="00132057">
      <w:pPr>
        <w:rPr>
          <w:rFonts w:cs="Arial"/>
          <w:bCs/>
          <w:szCs w:val="20"/>
        </w:rPr>
      </w:pPr>
    </w:p>
    <w:p w:rsidR="00123DC4" w:rsidRPr="00342186" w:rsidRDefault="00123DC4" w:rsidP="002D16CD">
      <w:pPr>
        <w:pStyle w:val="ListParagraph"/>
        <w:numPr>
          <w:ilvl w:val="0"/>
          <w:numId w:val="136"/>
        </w:numPr>
        <w:tabs>
          <w:tab w:val="left" w:pos="567"/>
        </w:tabs>
        <w:ind w:left="0" w:firstLine="0"/>
        <w:rPr>
          <w:rFonts w:cs="Arial"/>
        </w:rPr>
      </w:pPr>
      <w:r w:rsidRPr="00342186">
        <w:rPr>
          <w:rFonts w:cs="Arial"/>
        </w:rPr>
        <w:t>In the second half of 2015, as part of the project related to compartmentalization between GBI and AB, the Secretariat conducted a study and prepared Terms of Reference (ToR) for three additional fire doors to be installed between the AB and GB I building (level -1, ground floor and first floor) in 2016, which took longer than expected due to the unexpected departure of the consultant originally responsible for conducting the study, resulting in a 6-month delay for this deliverable.  The project schedule has been amended accordingly.</w:t>
      </w:r>
    </w:p>
    <w:p w:rsidR="00123DC4" w:rsidRPr="00342186" w:rsidRDefault="00123DC4" w:rsidP="00132057">
      <w:pPr>
        <w:rPr>
          <w:rFonts w:cs="Arial"/>
          <w:szCs w:val="20"/>
        </w:rPr>
      </w:pPr>
    </w:p>
    <w:p w:rsidR="00123DC4" w:rsidRPr="008133E5" w:rsidRDefault="00123DC4" w:rsidP="002D16CD">
      <w:pPr>
        <w:pStyle w:val="ListParagraph"/>
        <w:numPr>
          <w:ilvl w:val="0"/>
          <w:numId w:val="136"/>
        </w:numPr>
        <w:tabs>
          <w:tab w:val="left" w:pos="567"/>
        </w:tabs>
        <w:ind w:left="0" w:firstLine="0"/>
        <w:rPr>
          <w:rFonts w:cs="Arial"/>
          <w:bCs/>
        </w:rPr>
      </w:pPr>
      <w:r w:rsidRPr="00342186">
        <w:rPr>
          <w:rFonts w:cs="Arial"/>
        </w:rPr>
        <w:t>At the end of 2015, enhanced coordination and planning was under way to ensure that the project is completed on time and within budget</w:t>
      </w:r>
      <w:r>
        <w:rPr>
          <w:rFonts w:cs="Arial"/>
          <w:bCs/>
        </w:rPr>
        <w:t>.</w:t>
      </w:r>
    </w:p>
    <w:p w:rsidR="00FC43E9" w:rsidRDefault="00FC43E9" w:rsidP="00FC43E9">
      <w:pPr>
        <w:spacing w:line="276" w:lineRule="auto"/>
        <w:rPr>
          <w:rFonts w:cs="Arial"/>
          <w:color w:val="000000"/>
          <w:szCs w:val="22"/>
        </w:rPr>
      </w:pPr>
    </w:p>
    <w:p w:rsidR="00FC43E9" w:rsidRDefault="00FC43E9" w:rsidP="00FC43E9">
      <w:pPr>
        <w:spacing w:line="276" w:lineRule="auto"/>
        <w:rPr>
          <w:rFonts w:cs="Arial"/>
          <w:color w:val="000000"/>
          <w:szCs w:val="22"/>
        </w:rPr>
      </w:pPr>
    </w:p>
    <w:p w:rsidR="00123DC4" w:rsidRPr="00ED7C01" w:rsidRDefault="00123DC4" w:rsidP="00132057">
      <w:pPr>
        <w:spacing w:after="200" w:line="276" w:lineRule="auto"/>
        <w:rPr>
          <w:rFonts w:cs="Arial"/>
          <w:color w:val="000000"/>
          <w:szCs w:val="22"/>
        </w:rPr>
      </w:pPr>
      <w:r w:rsidRPr="00ED7C01">
        <w:rPr>
          <w:rFonts w:cs="Arial"/>
          <w:color w:val="000000"/>
          <w:szCs w:val="22"/>
        </w:rPr>
        <w:t>BENEFITS REALIZATION</w:t>
      </w:r>
    </w:p>
    <w:p w:rsidR="00123DC4" w:rsidRPr="009A7C08" w:rsidRDefault="00123DC4" w:rsidP="00132057">
      <w:pPr>
        <w:rPr>
          <w:szCs w:val="20"/>
          <w:lang w:val="fr-CH"/>
        </w:rPr>
      </w:pPr>
    </w:p>
    <w:tbl>
      <w:tblPr>
        <w:tblW w:w="4892" w:type="pct"/>
        <w:jc w:val="center"/>
        <w:tblInd w:w="-4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02"/>
        <w:gridCol w:w="1833"/>
        <w:gridCol w:w="2249"/>
        <w:gridCol w:w="2980"/>
      </w:tblGrid>
      <w:tr w:rsidR="00123DC4" w:rsidRPr="009A7C08" w:rsidTr="00D979B0">
        <w:trPr>
          <w:trHeight w:val="209"/>
          <w:tblHeader/>
          <w:jc w:val="center"/>
        </w:trPr>
        <w:tc>
          <w:tcPr>
            <w:tcW w:w="1229" w:type="pct"/>
            <w:tcBorders>
              <w:bottom w:val="single" w:sz="4" w:space="0" w:color="auto"/>
            </w:tcBorders>
            <w:shd w:val="clear" w:color="auto" w:fill="C6D9F1" w:themeFill="text2" w:themeFillTint="33"/>
            <w:tcMar>
              <w:top w:w="113" w:type="dxa"/>
              <w:bottom w:w="113" w:type="dxa"/>
            </w:tcMar>
            <w:vAlign w:val="center"/>
          </w:tcPr>
          <w:p w:rsidR="00123DC4" w:rsidRPr="005158E3" w:rsidRDefault="00123DC4" w:rsidP="00132057">
            <w:pPr>
              <w:spacing w:before="40" w:after="40"/>
              <w:jc w:val="center"/>
              <w:rPr>
                <w:b/>
                <w:bCs/>
                <w:sz w:val="16"/>
                <w:szCs w:val="16"/>
              </w:rPr>
            </w:pPr>
            <w:r w:rsidRPr="005158E3">
              <w:rPr>
                <w:b/>
                <w:bCs/>
                <w:sz w:val="16"/>
                <w:szCs w:val="16"/>
              </w:rPr>
              <w:t>Benefits Delivered 2014</w:t>
            </w:r>
          </w:p>
        </w:tc>
        <w:tc>
          <w:tcPr>
            <w:tcW w:w="979" w:type="pct"/>
            <w:tcBorders>
              <w:bottom w:val="single" w:sz="4" w:space="0" w:color="auto"/>
            </w:tcBorders>
            <w:shd w:val="clear" w:color="auto" w:fill="C6D9F1" w:themeFill="text2" w:themeFillTint="33"/>
            <w:vAlign w:val="center"/>
          </w:tcPr>
          <w:p w:rsidR="00123DC4" w:rsidRPr="005158E3" w:rsidRDefault="00123DC4" w:rsidP="00132057">
            <w:pPr>
              <w:spacing w:before="40" w:after="40"/>
              <w:jc w:val="center"/>
              <w:rPr>
                <w:b/>
                <w:bCs/>
                <w:sz w:val="16"/>
                <w:szCs w:val="16"/>
              </w:rPr>
            </w:pPr>
            <w:r>
              <w:rPr>
                <w:b/>
                <w:bCs/>
                <w:sz w:val="16"/>
                <w:szCs w:val="16"/>
              </w:rPr>
              <w:t>Benefits Delivered 2015</w:t>
            </w:r>
          </w:p>
        </w:tc>
        <w:tc>
          <w:tcPr>
            <w:tcW w:w="1201" w:type="pct"/>
            <w:shd w:val="clear" w:color="auto" w:fill="C6D9F1" w:themeFill="text2" w:themeFillTint="33"/>
            <w:vAlign w:val="center"/>
          </w:tcPr>
          <w:p w:rsidR="00123DC4" w:rsidRPr="005158E3" w:rsidRDefault="00123DC4" w:rsidP="00132057">
            <w:pPr>
              <w:spacing w:before="40" w:after="40"/>
              <w:jc w:val="center"/>
              <w:rPr>
                <w:b/>
                <w:bCs/>
                <w:sz w:val="16"/>
                <w:szCs w:val="16"/>
              </w:rPr>
            </w:pPr>
            <w:r w:rsidRPr="005158E3">
              <w:rPr>
                <w:b/>
                <w:bCs/>
                <w:sz w:val="16"/>
                <w:szCs w:val="16"/>
              </w:rPr>
              <w:t xml:space="preserve">Expected Benefits </w:t>
            </w:r>
            <w:r w:rsidR="00D979B0">
              <w:rPr>
                <w:b/>
                <w:bCs/>
                <w:sz w:val="16"/>
                <w:szCs w:val="16"/>
              </w:rPr>
              <w:br/>
            </w:r>
            <w:r w:rsidRPr="005158E3">
              <w:rPr>
                <w:b/>
                <w:bCs/>
                <w:sz w:val="16"/>
                <w:szCs w:val="16"/>
              </w:rPr>
              <w:t>2016</w:t>
            </w:r>
          </w:p>
        </w:tc>
        <w:tc>
          <w:tcPr>
            <w:tcW w:w="1591" w:type="pct"/>
            <w:shd w:val="clear" w:color="auto" w:fill="C6D9F1" w:themeFill="text2" w:themeFillTint="33"/>
            <w:vAlign w:val="center"/>
          </w:tcPr>
          <w:p w:rsidR="00123DC4" w:rsidRPr="005158E3" w:rsidRDefault="00123DC4" w:rsidP="00132057">
            <w:pPr>
              <w:spacing w:before="40" w:after="40"/>
              <w:jc w:val="center"/>
              <w:rPr>
                <w:b/>
                <w:bCs/>
                <w:sz w:val="16"/>
                <w:szCs w:val="16"/>
              </w:rPr>
            </w:pPr>
            <w:r>
              <w:rPr>
                <w:b/>
                <w:bCs/>
                <w:sz w:val="16"/>
                <w:szCs w:val="16"/>
              </w:rPr>
              <w:t>Expected Benefits 2017</w:t>
            </w:r>
          </w:p>
        </w:tc>
      </w:tr>
      <w:tr w:rsidR="00123DC4" w:rsidRPr="00165870" w:rsidTr="00D979B0">
        <w:trPr>
          <w:trHeight w:val="935"/>
          <w:jc w:val="center"/>
        </w:trPr>
        <w:tc>
          <w:tcPr>
            <w:tcW w:w="1229" w:type="pct"/>
            <w:tcBorders>
              <w:top w:val="single" w:sz="4" w:space="0" w:color="auto"/>
              <w:bottom w:val="single" w:sz="4" w:space="0" w:color="auto"/>
            </w:tcBorders>
            <w:shd w:val="clear" w:color="auto" w:fill="auto"/>
            <w:tcMar>
              <w:top w:w="113" w:type="dxa"/>
              <w:bottom w:w="113" w:type="dxa"/>
            </w:tcMar>
          </w:tcPr>
          <w:p w:rsidR="00123DC4" w:rsidRPr="005158E3" w:rsidRDefault="00123DC4" w:rsidP="00132057">
            <w:pPr>
              <w:spacing w:before="40" w:after="40"/>
              <w:rPr>
                <w:bCs/>
                <w:sz w:val="16"/>
                <w:szCs w:val="16"/>
              </w:rPr>
            </w:pPr>
            <w:r w:rsidRPr="005158E3">
              <w:rPr>
                <w:bCs/>
                <w:sz w:val="16"/>
                <w:szCs w:val="22"/>
              </w:rPr>
              <w:t xml:space="preserve">Enhancement of security </w:t>
            </w:r>
            <w:r>
              <w:rPr>
                <w:bCs/>
                <w:sz w:val="16"/>
                <w:szCs w:val="22"/>
              </w:rPr>
              <w:t xml:space="preserve">and safety </w:t>
            </w:r>
            <w:r w:rsidRPr="005158E3">
              <w:rPr>
                <w:bCs/>
                <w:sz w:val="16"/>
                <w:szCs w:val="22"/>
              </w:rPr>
              <w:t>measures for the protection of staff upon completion of PCT compartmentalization</w:t>
            </w:r>
            <w:r>
              <w:rPr>
                <w:bCs/>
                <w:sz w:val="16"/>
                <w:szCs w:val="22"/>
              </w:rPr>
              <w:t>.</w:t>
            </w:r>
          </w:p>
        </w:tc>
        <w:tc>
          <w:tcPr>
            <w:tcW w:w="979" w:type="pct"/>
            <w:tcBorders>
              <w:top w:val="single" w:sz="4" w:space="0" w:color="auto"/>
              <w:bottom w:val="single" w:sz="4" w:space="0" w:color="auto"/>
            </w:tcBorders>
          </w:tcPr>
          <w:p w:rsidR="00123DC4" w:rsidRPr="0038636E" w:rsidRDefault="00123DC4" w:rsidP="00132057">
            <w:pPr>
              <w:spacing w:before="40" w:after="40"/>
              <w:rPr>
                <w:b/>
                <w:bCs/>
                <w:sz w:val="16"/>
                <w:szCs w:val="16"/>
                <w:u w:val="single"/>
              </w:rPr>
            </w:pPr>
            <w:r w:rsidRPr="0038636E">
              <w:rPr>
                <w:sz w:val="16"/>
                <w:szCs w:val="16"/>
              </w:rPr>
              <w:t>Maintain</w:t>
            </w:r>
            <w:r>
              <w:rPr>
                <w:sz w:val="16"/>
                <w:szCs w:val="16"/>
              </w:rPr>
              <w:t>ed</w:t>
            </w:r>
            <w:r w:rsidRPr="0038636E">
              <w:rPr>
                <w:sz w:val="16"/>
                <w:szCs w:val="16"/>
              </w:rPr>
              <w:t xml:space="preserve"> level of safety and security in PCT building</w:t>
            </w:r>
            <w:r>
              <w:rPr>
                <w:sz w:val="16"/>
                <w:szCs w:val="16"/>
              </w:rPr>
              <w:t>.</w:t>
            </w:r>
          </w:p>
        </w:tc>
        <w:tc>
          <w:tcPr>
            <w:tcW w:w="1201" w:type="pct"/>
            <w:shd w:val="clear" w:color="auto" w:fill="auto"/>
          </w:tcPr>
          <w:p w:rsidR="00123DC4" w:rsidRPr="0038636E" w:rsidRDefault="00123DC4" w:rsidP="00132057">
            <w:pPr>
              <w:spacing w:before="40" w:after="40"/>
              <w:rPr>
                <w:b/>
                <w:bCs/>
                <w:i/>
                <w:iCs/>
                <w:sz w:val="16"/>
                <w:szCs w:val="16"/>
              </w:rPr>
            </w:pPr>
            <w:r w:rsidRPr="0038636E">
              <w:rPr>
                <w:sz w:val="16"/>
                <w:szCs w:val="16"/>
              </w:rPr>
              <w:t>Maintain</w:t>
            </w:r>
            <w:r>
              <w:rPr>
                <w:sz w:val="16"/>
                <w:szCs w:val="16"/>
              </w:rPr>
              <w:t>ed</w:t>
            </w:r>
            <w:r w:rsidRPr="0038636E">
              <w:rPr>
                <w:sz w:val="16"/>
                <w:szCs w:val="16"/>
              </w:rPr>
              <w:t xml:space="preserve"> level of safety and security in PCT building</w:t>
            </w:r>
            <w:r>
              <w:rPr>
                <w:sz w:val="16"/>
                <w:szCs w:val="16"/>
              </w:rPr>
              <w:t>.</w:t>
            </w:r>
          </w:p>
        </w:tc>
        <w:tc>
          <w:tcPr>
            <w:tcW w:w="1591" w:type="pct"/>
          </w:tcPr>
          <w:p w:rsidR="00123DC4" w:rsidRPr="0038636E" w:rsidRDefault="00123DC4" w:rsidP="00132057">
            <w:pPr>
              <w:spacing w:before="40" w:after="40"/>
              <w:rPr>
                <w:b/>
                <w:bCs/>
                <w:i/>
                <w:iCs/>
                <w:sz w:val="16"/>
                <w:szCs w:val="16"/>
              </w:rPr>
            </w:pPr>
            <w:r w:rsidRPr="0038636E">
              <w:rPr>
                <w:sz w:val="16"/>
                <w:szCs w:val="16"/>
              </w:rPr>
              <w:t>Maintain</w:t>
            </w:r>
            <w:r>
              <w:rPr>
                <w:sz w:val="16"/>
                <w:szCs w:val="16"/>
              </w:rPr>
              <w:t>ed</w:t>
            </w:r>
            <w:r w:rsidRPr="0038636E">
              <w:rPr>
                <w:sz w:val="16"/>
                <w:szCs w:val="16"/>
              </w:rPr>
              <w:t xml:space="preserve"> level of safety and security in PCT building</w:t>
            </w:r>
            <w:r>
              <w:rPr>
                <w:sz w:val="16"/>
                <w:szCs w:val="16"/>
              </w:rPr>
              <w:t>.</w:t>
            </w:r>
          </w:p>
        </w:tc>
      </w:tr>
      <w:tr w:rsidR="00123DC4" w:rsidRPr="002005BF" w:rsidTr="00D979B0">
        <w:trPr>
          <w:trHeight w:val="955"/>
          <w:jc w:val="center"/>
        </w:trPr>
        <w:tc>
          <w:tcPr>
            <w:tcW w:w="1229" w:type="pct"/>
            <w:tcBorders>
              <w:top w:val="single" w:sz="4" w:space="0" w:color="auto"/>
              <w:bottom w:val="single" w:sz="4" w:space="0" w:color="auto"/>
            </w:tcBorders>
            <w:shd w:val="clear" w:color="auto" w:fill="auto"/>
            <w:tcMar>
              <w:top w:w="113" w:type="dxa"/>
              <w:bottom w:w="113" w:type="dxa"/>
            </w:tcMar>
          </w:tcPr>
          <w:p w:rsidR="00123DC4" w:rsidRPr="00165870" w:rsidRDefault="00123DC4" w:rsidP="00132057">
            <w:pPr>
              <w:spacing w:before="40" w:after="40"/>
              <w:rPr>
                <w:b/>
                <w:bCs/>
                <w:sz w:val="16"/>
                <w:szCs w:val="16"/>
                <w:u w:val="single"/>
              </w:rPr>
            </w:pPr>
          </w:p>
        </w:tc>
        <w:tc>
          <w:tcPr>
            <w:tcW w:w="979" w:type="pct"/>
            <w:tcBorders>
              <w:top w:val="single" w:sz="4" w:space="0" w:color="auto"/>
              <w:bottom w:val="single" w:sz="4" w:space="0" w:color="auto"/>
            </w:tcBorders>
          </w:tcPr>
          <w:p w:rsidR="00123DC4" w:rsidRPr="0038636E" w:rsidRDefault="00123DC4" w:rsidP="00132057">
            <w:pPr>
              <w:spacing w:before="40" w:after="40"/>
              <w:rPr>
                <w:bCs/>
                <w:sz w:val="16"/>
                <w:szCs w:val="16"/>
              </w:rPr>
            </w:pPr>
            <w:r w:rsidRPr="0038636E">
              <w:rPr>
                <w:sz w:val="16"/>
                <w:szCs w:val="16"/>
              </w:rPr>
              <w:t>Enhancement of security linked to staff and delegates by creating an airlock on landing of lifts AB -2</w:t>
            </w:r>
            <w:r>
              <w:rPr>
                <w:sz w:val="16"/>
                <w:szCs w:val="16"/>
              </w:rPr>
              <w:t>.</w:t>
            </w:r>
          </w:p>
        </w:tc>
        <w:tc>
          <w:tcPr>
            <w:tcW w:w="1201" w:type="pct"/>
            <w:shd w:val="clear" w:color="auto" w:fill="auto"/>
          </w:tcPr>
          <w:p w:rsidR="00123DC4" w:rsidRPr="0038636E" w:rsidRDefault="00123DC4" w:rsidP="00132057">
            <w:pPr>
              <w:spacing w:before="40" w:after="40"/>
              <w:rPr>
                <w:sz w:val="16"/>
                <w:szCs w:val="16"/>
              </w:rPr>
            </w:pPr>
            <w:r w:rsidRPr="0038636E">
              <w:rPr>
                <w:sz w:val="16"/>
                <w:szCs w:val="16"/>
              </w:rPr>
              <w:t>Maintain</w:t>
            </w:r>
            <w:r>
              <w:rPr>
                <w:sz w:val="16"/>
                <w:szCs w:val="16"/>
              </w:rPr>
              <w:t>ed</w:t>
            </w:r>
            <w:r w:rsidRPr="0038636E">
              <w:rPr>
                <w:sz w:val="16"/>
                <w:szCs w:val="16"/>
              </w:rPr>
              <w:t xml:space="preserve"> level of security and safety of access to landing AB -2</w:t>
            </w:r>
            <w:r>
              <w:rPr>
                <w:sz w:val="16"/>
                <w:szCs w:val="16"/>
              </w:rPr>
              <w:t>.</w:t>
            </w:r>
          </w:p>
        </w:tc>
        <w:tc>
          <w:tcPr>
            <w:tcW w:w="1591" w:type="pct"/>
          </w:tcPr>
          <w:p w:rsidR="00123DC4" w:rsidRPr="0038636E" w:rsidRDefault="00123DC4" w:rsidP="00132057">
            <w:pPr>
              <w:spacing w:before="40" w:after="40"/>
              <w:rPr>
                <w:sz w:val="16"/>
                <w:szCs w:val="16"/>
              </w:rPr>
            </w:pPr>
            <w:r w:rsidRPr="0038636E">
              <w:rPr>
                <w:sz w:val="16"/>
                <w:szCs w:val="16"/>
              </w:rPr>
              <w:t>Maintain</w:t>
            </w:r>
            <w:r>
              <w:rPr>
                <w:sz w:val="16"/>
                <w:szCs w:val="16"/>
              </w:rPr>
              <w:t>ed</w:t>
            </w:r>
            <w:r w:rsidRPr="0038636E">
              <w:rPr>
                <w:sz w:val="16"/>
                <w:szCs w:val="16"/>
              </w:rPr>
              <w:t xml:space="preserve"> level of security and safety of access to landing AB -2</w:t>
            </w:r>
            <w:r>
              <w:rPr>
                <w:sz w:val="16"/>
                <w:szCs w:val="16"/>
              </w:rPr>
              <w:t>.</w:t>
            </w:r>
          </w:p>
        </w:tc>
      </w:tr>
      <w:tr w:rsidR="00123DC4" w:rsidRPr="00722411" w:rsidTr="00D979B0">
        <w:trPr>
          <w:trHeight w:val="718"/>
          <w:jc w:val="center"/>
        </w:trPr>
        <w:tc>
          <w:tcPr>
            <w:tcW w:w="1229" w:type="pct"/>
            <w:tcBorders>
              <w:top w:val="single" w:sz="4" w:space="0" w:color="auto"/>
              <w:bottom w:val="single" w:sz="4" w:space="0" w:color="auto"/>
            </w:tcBorders>
            <w:shd w:val="clear" w:color="auto" w:fill="auto"/>
            <w:tcMar>
              <w:top w:w="113" w:type="dxa"/>
              <w:bottom w:w="113" w:type="dxa"/>
            </w:tcMar>
          </w:tcPr>
          <w:p w:rsidR="00123DC4" w:rsidRPr="002005BF" w:rsidRDefault="00123DC4" w:rsidP="00132057">
            <w:pPr>
              <w:spacing w:before="40" w:after="40"/>
              <w:rPr>
                <w:b/>
                <w:bCs/>
                <w:sz w:val="16"/>
                <w:szCs w:val="16"/>
                <w:u w:val="single"/>
              </w:rPr>
            </w:pPr>
          </w:p>
        </w:tc>
        <w:tc>
          <w:tcPr>
            <w:tcW w:w="979" w:type="pct"/>
            <w:tcBorders>
              <w:top w:val="single" w:sz="4" w:space="0" w:color="auto"/>
              <w:bottom w:val="single" w:sz="4" w:space="0" w:color="auto"/>
            </w:tcBorders>
          </w:tcPr>
          <w:p w:rsidR="00123DC4" w:rsidRPr="0038636E" w:rsidRDefault="00123DC4" w:rsidP="00132057">
            <w:pPr>
              <w:spacing w:before="40" w:after="40"/>
              <w:rPr>
                <w:b/>
                <w:bCs/>
                <w:sz w:val="16"/>
                <w:szCs w:val="16"/>
                <w:u w:val="single"/>
              </w:rPr>
            </w:pPr>
          </w:p>
        </w:tc>
        <w:tc>
          <w:tcPr>
            <w:tcW w:w="1201" w:type="pct"/>
            <w:shd w:val="clear" w:color="auto" w:fill="auto"/>
          </w:tcPr>
          <w:p w:rsidR="00123DC4" w:rsidRPr="0038636E" w:rsidRDefault="00123DC4" w:rsidP="00132057">
            <w:pPr>
              <w:spacing w:before="40" w:after="40"/>
              <w:rPr>
                <w:b/>
                <w:bCs/>
                <w:i/>
                <w:iCs/>
                <w:sz w:val="16"/>
                <w:szCs w:val="16"/>
              </w:rPr>
            </w:pPr>
            <w:r w:rsidRPr="0038636E">
              <w:rPr>
                <w:sz w:val="16"/>
                <w:szCs w:val="16"/>
              </w:rPr>
              <w:t>Improve</w:t>
            </w:r>
            <w:r>
              <w:rPr>
                <w:sz w:val="16"/>
                <w:szCs w:val="16"/>
              </w:rPr>
              <w:t>d</w:t>
            </w:r>
            <w:r w:rsidRPr="0038636E">
              <w:rPr>
                <w:sz w:val="16"/>
                <w:szCs w:val="16"/>
              </w:rPr>
              <w:t xml:space="preserve"> level of security and safety between buildings AB and GBI</w:t>
            </w:r>
            <w:r>
              <w:rPr>
                <w:sz w:val="16"/>
                <w:szCs w:val="16"/>
              </w:rPr>
              <w:t>.</w:t>
            </w:r>
          </w:p>
        </w:tc>
        <w:tc>
          <w:tcPr>
            <w:tcW w:w="1591" w:type="pct"/>
          </w:tcPr>
          <w:p w:rsidR="00123DC4" w:rsidRPr="0038636E" w:rsidRDefault="00123DC4" w:rsidP="00132057">
            <w:pPr>
              <w:spacing w:before="40" w:after="40"/>
              <w:rPr>
                <w:bCs/>
                <w:sz w:val="16"/>
                <w:szCs w:val="16"/>
              </w:rPr>
            </w:pPr>
            <w:r w:rsidRPr="0038636E">
              <w:rPr>
                <w:sz w:val="16"/>
                <w:szCs w:val="16"/>
              </w:rPr>
              <w:t>Improve</w:t>
            </w:r>
            <w:r>
              <w:rPr>
                <w:sz w:val="16"/>
                <w:szCs w:val="16"/>
              </w:rPr>
              <w:t>d</w:t>
            </w:r>
            <w:r w:rsidRPr="0038636E">
              <w:rPr>
                <w:sz w:val="16"/>
                <w:szCs w:val="16"/>
              </w:rPr>
              <w:t xml:space="preserve"> level of security and safety between buildings AB and GBI</w:t>
            </w:r>
            <w:r>
              <w:rPr>
                <w:sz w:val="16"/>
                <w:szCs w:val="16"/>
              </w:rPr>
              <w:t>.</w:t>
            </w:r>
          </w:p>
        </w:tc>
      </w:tr>
      <w:tr w:rsidR="00123DC4" w:rsidRPr="00722411" w:rsidTr="00D979B0">
        <w:trPr>
          <w:trHeight w:val="376"/>
          <w:jc w:val="center"/>
        </w:trPr>
        <w:tc>
          <w:tcPr>
            <w:tcW w:w="1229" w:type="pct"/>
            <w:tcBorders>
              <w:top w:val="single" w:sz="4" w:space="0" w:color="auto"/>
              <w:bottom w:val="single" w:sz="4" w:space="0" w:color="auto"/>
            </w:tcBorders>
            <w:shd w:val="clear" w:color="auto" w:fill="auto"/>
            <w:tcMar>
              <w:top w:w="113" w:type="dxa"/>
              <w:bottom w:w="113" w:type="dxa"/>
            </w:tcMar>
          </w:tcPr>
          <w:p w:rsidR="00123DC4" w:rsidRPr="002005BF" w:rsidRDefault="00123DC4" w:rsidP="00132057">
            <w:pPr>
              <w:spacing w:before="40" w:after="40"/>
              <w:rPr>
                <w:b/>
                <w:bCs/>
                <w:sz w:val="16"/>
                <w:szCs w:val="16"/>
                <w:u w:val="single"/>
              </w:rPr>
            </w:pPr>
          </w:p>
        </w:tc>
        <w:tc>
          <w:tcPr>
            <w:tcW w:w="979" w:type="pct"/>
            <w:tcBorders>
              <w:top w:val="single" w:sz="4" w:space="0" w:color="auto"/>
              <w:bottom w:val="single" w:sz="4" w:space="0" w:color="auto"/>
            </w:tcBorders>
          </w:tcPr>
          <w:p w:rsidR="00123DC4" w:rsidRPr="0038636E" w:rsidRDefault="00123DC4" w:rsidP="00132057">
            <w:pPr>
              <w:spacing w:before="40" w:after="40"/>
              <w:rPr>
                <w:b/>
                <w:bCs/>
                <w:sz w:val="16"/>
                <w:szCs w:val="16"/>
                <w:u w:val="single"/>
              </w:rPr>
            </w:pPr>
          </w:p>
        </w:tc>
        <w:tc>
          <w:tcPr>
            <w:tcW w:w="1201" w:type="pct"/>
            <w:shd w:val="clear" w:color="auto" w:fill="auto"/>
          </w:tcPr>
          <w:p w:rsidR="00123DC4" w:rsidRPr="0038636E" w:rsidRDefault="00123DC4" w:rsidP="00132057">
            <w:pPr>
              <w:spacing w:before="40" w:after="40"/>
              <w:rPr>
                <w:b/>
                <w:bCs/>
                <w:i/>
                <w:iCs/>
                <w:sz w:val="16"/>
                <w:szCs w:val="16"/>
              </w:rPr>
            </w:pPr>
            <w:r w:rsidRPr="0038636E">
              <w:rPr>
                <w:sz w:val="16"/>
                <w:szCs w:val="16"/>
              </w:rPr>
              <w:t>Improve</w:t>
            </w:r>
            <w:r>
              <w:rPr>
                <w:sz w:val="16"/>
                <w:szCs w:val="16"/>
              </w:rPr>
              <w:t>d</w:t>
            </w:r>
            <w:r w:rsidRPr="0038636E">
              <w:rPr>
                <w:sz w:val="16"/>
                <w:szCs w:val="16"/>
              </w:rPr>
              <w:t xml:space="preserve"> level of security and safety between buildings GBI and GBII</w:t>
            </w:r>
            <w:r>
              <w:rPr>
                <w:sz w:val="16"/>
                <w:szCs w:val="16"/>
              </w:rPr>
              <w:t>.</w:t>
            </w:r>
          </w:p>
        </w:tc>
        <w:tc>
          <w:tcPr>
            <w:tcW w:w="1591" w:type="pct"/>
          </w:tcPr>
          <w:p w:rsidR="00123DC4" w:rsidRPr="0038636E" w:rsidRDefault="00123DC4" w:rsidP="00132057">
            <w:pPr>
              <w:spacing w:before="40" w:after="40"/>
              <w:rPr>
                <w:bCs/>
                <w:sz w:val="16"/>
                <w:szCs w:val="16"/>
              </w:rPr>
            </w:pPr>
            <w:r w:rsidRPr="0038636E">
              <w:rPr>
                <w:sz w:val="16"/>
                <w:szCs w:val="16"/>
              </w:rPr>
              <w:t>Improve</w:t>
            </w:r>
            <w:r>
              <w:rPr>
                <w:sz w:val="16"/>
                <w:szCs w:val="16"/>
              </w:rPr>
              <w:t>d</w:t>
            </w:r>
            <w:r w:rsidRPr="0038636E">
              <w:rPr>
                <w:sz w:val="16"/>
                <w:szCs w:val="16"/>
              </w:rPr>
              <w:t xml:space="preserve"> level of security and safety between buildings GBI and GBII</w:t>
            </w:r>
            <w:r>
              <w:rPr>
                <w:sz w:val="16"/>
                <w:szCs w:val="16"/>
              </w:rPr>
              <w:t>.</w:t>
            </w:r>
          </w:p>
        </w:tc>
      </w:tr>
      <w:tr w:rsidR="00123DC4" w:rsidRPr="00722411" w:rsidTr="00D979B0">
        <w:trPr>
          <w:trHeight w:val="376"/>
          <w:jc w:val="center"/>
        </w:trPr>
        <w:tc>
          <w:tcPr>
            <w:tcW w:w="1229" w:type="pct"/>
            <w:tcBorders>
              <w:top w:val="single" w:sz="4" w:space="0" w:color="auto"/>
              <w:bottom w:val="single" w:sz="4" w:space="0" w:color="auto"/>
            </w:tcBorders>
            <w:shd w:val="clear" w:color="auto" w:fill="auto"/>
            <w:tcMar>
              <w:top w:w="113" w:type="dxa"/>
              <w:bottom w:w="113" w:type="dxa"/>
            </w:tcMar>
          </w:tcPr>
          <w:p w:rsidR="00123DC4" w:rsidRPr="002005BF" w:rsidRDefault="00123DC4" w:rsidP="00132057">
            <w:pPr>
              <w:spacing w:before="40" w:after="40"/>
              <w:rPr>
                <w:b/>
                <w:bCs/>
                <w:sz w:val="16"/>
                <w:szCs w:val="16"/>
                <w:u w:val="single"/>
              </w:rPr>
            </w:pPr>
          </w:p>
        </w:tc>
        <w:tc>
          <w:tcPr>
            <w:tcW w:w="979" w:type="pct"/>
            <w:tcBorders>
              <w:top w:val="single" w:sz="4" w:space="0" w:color="auto"/>
              <w:bottom w:val="single" w:sz="4" w:space="0" w:color="auto"/>
            </w:tcBorders>
          </w:tcPr>
          <w:p w:rsidR="00123DC4" w:rsidRPr="0038636E" w:rsidRDefault="00123DC4" w:rsidP="00132057">
            <w:pPr>
              <w:spacing w:before="40" w:after="40"/>
              <w:rPr>
                <w:b/>
                <w:bCs/>
                <w:sz w:val="16"/>
                <w:szCs w:val="16"/>
                <w:u w:val="single"/>
              </w:rPr>
            </w:pPr>
          </w:p>
        </w:tc>
        <w:tc>
          <w:tcPr>
            <w:tcW w:w="1201" w:type="pct"/>
            <w:shd w:val="clear" w:color="auto" w:fill="auto"/>
          </w:tcPr>
          <w:p w:rsidR="00123DC4" w:rsidRPr="0038636E" w:rsidRDefault="00123DC4" w:rsidP="00132057">
            <w:pPr>
              <w:spacing w:before="40" w:after="40"/>
              <w:rPr>
                <w:sz w:val="16"/>
                <w:szCs w:val="16"/>
              </w:rPr>
            </w:pPr>
          </w:p>
        </w:tc>
        <w:tc>
          <w:tcPr>
            <w:tcW w:w="1591" w:type="pct"/>
          </w:tcPr>
          <w:p w:rsidR="00123DC4" w:rsidRPr="0038636E" w:rsidRDefault="00123DC4" w:rsidP="00132057">
            <w:pPr>
              <w:spacing w:before="40" w:after="40"/>
              <w:rPr>
                <w:sz w:val="16"/>
                <w:szCs w:val="16"/>
              </w:rPr>
            </w:pPr>
            <w:r w:rsidRPr="0038636E">
              <w:rPr>
                <w:sz w:val="16"/>
                <w:szCs w:val="16"/>
              </w:rPr>
              <w:t>Improve</w:t>
            </w:r>
            <w:r>
              <w:rPr>
                <w:sz w:val="16"/>
                <w:szCs w:val="16"/>
              </w:rPr>
              <w:t>d</w:t>
            </w:r>
            <w:r w:rsidRPr="0038636E">
              <w:rPr>
                <w:sz w:val="16"/>
                <w:szCs w:val="16"/>
              </w:rPr>
              <w:t xml:space="preserve"> level of security and safety between part of AB building</w:t>
            </w:r>
            <w:r>
              <w:rPr>
                <w:sz w:val="16"/>
                <w:szCs w:val="16"/>
              </w:rPr>
              <w:t>.</w:t>
            </w:r>
          </w:p>
        </w:tc>
      </w:tr>
    </w:tbl>
    <w:p w:rsidR="00123DC4" w:rsidRDefault="00123DC4" w:rsidP="00132057">
      <w:pPr>
        <w:rPr>
          <w:szCs w:val="20"/>
        </w:rPr>
      </w:pPr>
    </w:p>
    <w:p w:rsidR="00123DC4" w:rsidRPr="00722411" w:rsidRDefault="00123DC4" w:rsidP="00132057">
      <w:pPr>
        <w:rPr>
          <w:szCs w:val="20"/>
        </w:rPr>
      </w:pPr>
    </w:p>
    <w:p w:rsidR="00123DC4" w:rsidRPr="00ED7C01" w:rsidRDefault="00123DC4" w:rsidP="00132057">
      <w:pPr>
        <w:rPr>
          <w:rFonts w:cs="Arial"/>
          <w:color w:val="000000"/>
          <w:szCs w:val="20"/>
        </w:rPr>
      </w:pPr>
      <w:r w:rsidRPr="00ED7C01">
        <w:rPr>
          <w:rFonts w:cs="Arial"/>
          <w:color w:val="000000"/>
          <w:szCs w:val="20"/>
        </w:rPr>
        <w:t>RESOURCE UTILIZATION</w:t>
      </w:r>
      <w:r w:rsidRPr="00ED7C01">
        <w:rPr>
          <w:rStyle w:val="FootnoteReference"/>
          <w:szCs w:val="20"/>
        </w:rPr>
        <w:footnoteReference w:id="182"/>
      </w:r>
      <w:r w:rsidRPr="00ED7C01">
        <w:rPr>
          <w:rFonts w:cs="Arial"/>
          <w:color w:val="000000"/>
          <w:szCs w:val="20"/>
        </w:rPr>
        <w:tab/>
      </w:r>
    </w:p>
    <w:p w:rsidR="00123DC4" w:rsidRPr="0079178E" w:rsidRDefault="00123DC4" w:rsidP="00132057">
      <w:pPr>
        <w:rPr>
          <w:rFonts w:cs="Arial"/>
          <w:color w:val="000000"/>
          <w:sz w:val="22"/>
          <w:szCs w:val="22"/>
        </w:rPr>
      </w:pPr>
    </w:p>
    <w:p w:rsidR="00123DC4" w:rsidRPr="0079178E" w:rsidRDefault="00123DC4" w:rsidP="00132057">
      <w:pPr>
        <w:keepNext/>
        <w:keepLines/>
        <w:tabs>
          <w:tab w:val="left" w:pos="3261"/>
        </w:tabs>
        <w:autoSpaceDE w:val="0"/>
        <w:autoSpaceDN w:val="0"/>
        <w:adjustRightInd w:val="0"/>
        <w:jc w:val="center"/>
        <w:rPr>
          <w:b/>
          <w:szCs w:val="22"/>
        </w:rPr>
      </w:pPr>
      <w:r w:rsidRPr="0079178E">
        <w:rPr>
          <w:b/>
          <w:szCs w:val="22"/>
        </w:rPr>
        <w:t xml:space="preserve">Project Budget Utilization </w:t>
      </w:r>
    </w:p>
    <w:p w:rsidR="00123DC4" w:rsidRPr="00B72CC6" w:rsidRDefault="00123DC4" w:rsidP="00132057">
      <w:pPr>
        <w:keepNext/>
        <w:keepLines/>
        <w:tabs>
          <w:tab w:val="left" w:pos="3261"/>
        </w:tabs>
        <w:autoSpaceDE w:val="0"/>
        <w:autoSpaceDN w:val="0"/>
        <w:adjustRightInd w:val="0"/>
        <w:spacing w:after="120"/>
        <w:jc w:val="center"/>
        <w:rPr>
          <w:i/>
          <w:iCs/>
          <w:sz w:val="18"/>
          <w:szCs w:val="18"/>
        </w:rPr>
      </w:pPr>
      <w:r w:rsidRPr="0079178E">
        <w:rPr>
          <w:i/>
          <w:iCs/>
          <w:sz w:val="18"/>
          <w:szCs w:val="18"/>
        </w:rPr>
        <w:t>(</w:t>
      </w:r>
      <w:r>
        <w:rPr>
          <w:i/>
          <w:iCs/>
          <w:sz w:val="18"/>
          <w:szCs w:val="18"/>
        </w:rPr>
        <w:t>i</w:t>
      </w:r>
      <w:r w:rsidRPr="0079178E">
        <w:rPr>
          <w:i/>
          <w:iCs/>
          <w:sz w:val="18"/>
          <w:szCs w:val="18"/>
        </w:rPr>
        <w:t>n Swiss francs, as at December 31, 201</w:t>
      </w:r>
      <w:r>
        <w:rPr>
          <w:i/>
          <w:iCs/>
          <w:sz w:val="18"/>
          <w:szCs w:val="18"/>
        </w:rPr>
        <w:t>5</w:t>
      </w:r>
      <w:r w:rsidRPr="0079178E">
        <w:rPr>
          <w:i/>
          <w:iCs/>
          <w:sz w:val="18"/>
          <w:szCs w:val="18"/>
        </w:rPr>
        <w:t>)</w:t>
      </w:r>
    </w:p>
    <w:tbl>
      <w:tblPr>
        <w:tblpPr w:leftFromText="180" w:rightFromText="180" w:vertAnchor="text" w:horzAnchor="margin" w:tblpX="182" w:tblpY="17"/>
        <w:tblW w:w="479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40"/>
        <w:gridCol w:w="1759"/>
        <w:gridCol w:w="1711"/>
        <w:gridCol w:w="1225"/>
        <w:gridCol w:w="1546"/>
      </w:tblGrid>
      <w:tr w:rsidR="00123DC4" w:rsidRPr="009A7C08" w:rsidTr="00132057">
        <w:trPr>
          <w:trHeight w:val="410"/>
        </w:trPr>
        <w:tc>
          <w:tcPr>
            <w:tcW w:w="1601"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9A7C08" w:rsidRDefault="00123DC4" w:rsidP="00132057">
            <w:pPr>
              <w:keepNext/>
              <w:keepLines/>
              <w:autoSpaceDE w:val="0"/>
              <w:autoSpaceDN w:val="0"/>
              <w:adjustRightInd w:val="0"/>
              <w:spacing w:before="40" w:after="40"/>
              <w:ind w:left="-74" w:right="-60"/>
              <w:jc w:val="center"/>
              <w:rPr>
                <w:b/>
                <w:bCs/>
                <w:sz w:val="16"/>
                <w:szCs w:val="16"/>
                <w:lang w:val="fr-CH"/>
              </w:rPr>
            </w:pPr>
            <w:r w:rsidRPr="009A7C08">
              <w:rPr>
                <w:b/>
                <w:bCs/>
                <w:sz w:val="16"/>
                <w:szCs w:val="16"/>
                <w:lang w:val="fr-CH"/>
              </w:rPr>
              <w:t>Project Name</w:t>
            </w:r>
          </w:p>
        </w:tc>
        <w:tc>
          <w:tcPr>
            <w:tcW w:w="958"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9A7C08" w:rsidRDefault="00123DC4" w:rsidP="00132057">
            <w:pPr>
              <w:keepNext/>
              <w:keepLines/>
              <w:autoSpaceDE w:val="0"/>
              <w:autoSpaceDN w:val="0"/>
              <w:adjustRightInd w:val="0"/>
              <w:spacing w:before="40" w:after="40"/>
              <w:ind w:left="-107" w:right="-108"/>
              <w:jc w:val="center"/>
              <w:rPr>
                <w:b/>
                <w:bCs/>
                <w:sz w:val="16"/>
                <w:szCs w:val="16"/>
                <w:lang w:val="fr-CH"/>
              </w:rPr>
            </w:pPr>
            <w:r w:rsidRPr="009A7C08">
              <w:rPr>
                <w:b/>
                <w:bCs/>
                <w:sz w:val="16"/>
                <w:szCs w:val="16"/>
                <w:lang w:val="fr-CH"/>
              </w:rPr>
              <w:t>Project Budget</w:t>
            </w:r>
          </w:p>
        </w:tc>
        <w:tc>
          <w:tcPr>
            <w:tcW w:w="932"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9A7C08" w:rsidRDefault="00123DC4" w:rsidP="00132057">
            <w:pPr>
              <w:keepNext/>
              <w:keepLines/>
              <w:autoSpaceDE w:val="0"/>
              <w:autoSpaceDN w:val="0"/>
              <w:adjustRightInd w:val="0"/>
              <w:spacing w:before="40" w:after="40"/>
              <w:ind w:left="-108" w:right="-106"/>
              <w:jc w:val="center"/>
              <w:rPr>
                <w:b/>
                <w:bCs/>
                <w:sz w:val="16"/>
                <w:szCs w:val="16"/>
                <w:lang w:val="fr-CH"/>
              </w:rPr>
            </w:pPr>
            <w:r w:rsidRPr="009A7C08">
              <w:rPr>
                <w:b/>
                <w:bCs/>
                <w:sz w:val="16"/>
                <w:szCs w:val="16"/>
                <w:lang w:val="fr-CH"/>
              </w:rPr>
              <w:t>Actual Expenditure to Date</w:t>
            </w:r>
          </w:p>
        </w:tc>
        <w:tc>
          <w:tcPr>
            <w:tcW w:w="667"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9A7C08" w:rsidRDefault="00123DC4" w:rsidP="00132057">
            <w:pPr>
              <w:keepNext/>
              <w:keepLines/>
              <w:autoSpaceDE w:val="0"/>
              <w:autoSpaceDN w:val="0"/>
              <w:adjustRightInd w:val="0"/>
              <w:spacing w:before="40" w:after="40"/>
              <w:ind w:left="-109" w:right="-108"/>
              <w:jc w:val="center"/>
              <w:rPr>
                <w:b/>
                <w:bCs/>
                <w:sz w:val="16"/>
                <w:szCs w:val="16"/>
                <w:lang w:val="fr-CH"/>
              </w:rPr>
            </w:pPr>
            <w:r w:rsidRPr="009A7C08">
              <w:rPr>
                <w:b/>
                <w:bCs/>
                <w:sz w:val="16"/>
                <w:szCs w:val="16"/>
                <w:lang w:val="fr-CH"/>
              </w:rPr>
              <w:t>Actual Budget Utilization</w:t>
            </w:r>
          </w:p>
        </w:tc>
        <w:tc>
          <w:tcPr>
            <w:tcW w:w="842"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79178E" w:rsidRDefault="00123DC4" w:rsidP="00132057">
            <w:pPr>
              <w:keepNext/>
              <w:keepLines/>
              <w:autoSpaceDE w:val="0"/>
              <w:autoSpaceDN w:val="0"/>
              <w:adjustRightInd w:val="0"/>
              <w:spacing w:before="40" w:after="40"/>
              <w:ind w:left="-109" w:right="-73" w:firstLine="1"/>
              <w:jc w:val="center"/>
              <w:rPr>
                <w:b/>
                <w:bCs/>
                <w:sz w:val="16"/>
                <w:szCs w:val="16"/>
              </w:rPr>
            </w:pPr>
            <w:r w:rsidRPr="0079178E">
              <w:rPr>
                <w:b/>
                <w:bCs/>
                <w:sz w:val="16"/>
                <w:szCs w:val="16"/>
              </w:rPr>
              <w:t>Implementation Progress Rate of the Project</w:t>
            </w:r>
          </w:p>
        </w:tc>
      </w:tr>
      <w:tr w:rsidR="00123DC4" w:rsidRPr="009A7C08" w:rsidTr="00132057">
        <w:trPr>
          <w:trHeight w:val="389"/>
        </w:trPr>
        <w:tc>
          <w:tcPr>
            <w:tcW w:w="1601" w:type="pct"/>
            <w:tcBorders>
              <w:top w:val="single" w:sz="4" w:space="0" w:color="auto"/>
              <w:left w:val="single" w:sz="4" w:space="0" w:color="auto"/>
              <w:bottom w:val="single" w:sz="4" w:space="0" w:color="auto"/>
              <w:right w:val="single" w:sz="4" w:space="0" w:color="auto"/>
            </w:tcBorders>
            <w:vAlign w:val="center"/>
          </w:tcPr>
          <w:p w:rsidR="00123DC4" w:rsidRPr="0004498F" w:rsidRDefault="00123DC4" w:rsidP="00132057">
            <w:pPr>
              <w:keepNext/>
              <w:keepLines/>
              <w:autoSpaceDE w:val="0"/>
              <w:autoSpaceDN w:val="0"/>
              <w:adjustRightInd w:val="0"/>
              <w:spacing w:before="40" w:after="40"/>
              <w:jc w:val="center"/>
              <w:rPr>
                <w:sz w:val="16"/>
                <w:szCs w:val="16"/>
              </w:rPr>
            </w:pPr>
            <w:r w:rsidRPr="0004498F">
              <w:rPr>
                <w:sz w:val="16"/>
                <w:szCs w:val="16"/>
              </w:rPr>
              <w:t>Safety and Fire Protection Measures</w:t>
            </w:r>
          </w:p>
        </w:tc>
        <w:tc>
          <w:tcPr>
            <w:tcW w:w="958" w:type="pct"/>
            <w:tcBorders>
              <w:top w:val="single" w:sz="4" w:space="0" w:color="auto"/>
              <w:left w:val="single" w:sz="4" w:space="0" w:color="auto"/>
              <w:bottom w:val="single" w:sz="4" w:space="0" w:color="auto"/>
              <w:right w:val="single" w:sz="4" w:space="0" w:color="auto"/>
            </w:tcBorders>
            <w:vAlign w:val="center"/>
          </w:tcPr>
          <w:p w:rsidR="00123DC4" w:rsidRPr="0004498F" w:rsidRDefault="00123DC4" w:rsidP="00132057">
            <w:pPr>
              <w:keepNext/>
              <w:keepLines/>
              <w:autoSpaceDE w:val="0"/>
              <w:autoSpaceDN w:val="0"/>
              <w:adjustRightInd w:val="0"/>
              <w:spacing w:before="40" w:after="40"/>
              <w:jc w:val="center"/>
              <w:rPr>
                <w:sz w:val="16"/>
                <w:szCs w:val="16"/>
                <w:lang w:val="fr-CH"/>
              </w:rPr>
            </w:pPr>
            <w:r w:rsidRPr="0004498F">
              <w:rPr>
                <w:sz w:val="16"/>
                <w:szCs w:val="16"/>
                <w:lang w:val="fr-CH"/>
              </w:rPr>
              <w:t>400,000</w:t>
            </w:r>
          </w:p>
        </w:tc>
        <w:tc>
          <w:tcPr>
            <w:tcW w:w="932" w:type="pct"/>
            <w:tcBorders>
              <w:top w:val="single" w:sz="4" w:space="0" w:color="auto"/>
              <w:left w:val="single" w:sz="4" w:space="0" w:color="auto"/>
              <w:bottom w:val="single" w:sz="4" w:space="0" w:color="auto"/>
              <w:right w:val="single" w:sz="4" w:space="0" w:color="auto"/>
            </w:tcBorders>
            <w:vAlign w:val="center"/>
          </w:tcPr>
          <w:p w:rsidR="00123DC4" w:rsidRPr="0004498F" w:rsidRDefault="00123DC4" w:rsidP="00132057">
            <w:pPr>
              <w:keepNext/>
              <w:keepLines/>
              <w:autoSpaceDE w:val="0"/>
              <w:autoSpaceDN w:val="0"/>
              <w:adjustRightInd w:val="0"/>
              <w:spacing w:before="40" w:after="40"/>
              <w:jc w:val="center"/>
              <w:rPr>
                <w:sz w:val="16"/>
                <w:szCs w:val="16"/>
                <w:lang w:val="fr-CH"/>
              </w:rPr>
            </w:pPr>
            <w:r>
              <w:rPr>
                <w:sz w:val="16"/>
                <w:szCs w:val="16"/>
                <w:lang w:val="fr-CH"/>
              </w:rPr>
              <w:t>122,587</w:t>
            </w:r>
          </w:p>
        </w:tc>
        <w:tc>
          <w:tcPr>
            <w:tcW w:w="667" w:type="pct"/>
            <w:tcBorders>
              <w:top w:val="single" w:sz="4" w:space="0" w:color="auto"/>
              <w:left w:val="single" w:sz="4" w:space="0" w:color="auto"/>
              <w:bottom w:val="single" w:sz="4" w:space="0" w:color="auto"/>
              <w:right w:val="single" w:sz="4" w:space="0" w:color="auto"/>
            </w:tcBorders>
            <w:vAlign w:val="center"/>
          </w:tcPr>
          <w:p w:rsidR="00123DC4" w:rsidRPr="0004498F" w:rsidRDefault="00123DC4" w:rsidP="00132057">
            <w:pPr>
              <w:keepNext/>
              <w:keepLines/>
              <w:autoSpaceDE w:val="0"/>
              <w:autoSpaceDN w:val="0"/>
              <w:adjustRightInd w:val="0"/>
              <w:spacing w:before="40" w:after="40"/>
              <w:jc w:val="center"/>
              <w:rPr>
                <w:sz w:val="16"/>
                <w:szCs w:val="16"/>
                <w:lang w:val="fr-CH"/>
              </w:rPr>
            </w:pPr>
            <w:r>
              <w:rPr>
                <w:sz w:val="16"/>
                <w:szCs w:val="16"/>
                <w:lang w:val="fr-CH"/>
              </w:rPr>
              <w:t>31%</w:t>
            </w:r>
          </w:p>
        </w:tc>
        <w:tc>
          <w:tcPr>
            <w:tcW w:w="842" w:type="pct"/>
            <w:tcBorders>
              <w:top w:val="single" w:sz="4" w:space="0" w:color="auto"/>
              <w:left w:val="single" w:sz="4" w:space="0" w:color="auto"/>
              <w:bottom w:val="single" w:sz="4" w:space="0" w:color="auto"/>
              <w:right w:val="single" w:sz="4" w:space="0" w:color="auto"/>
            </w:tcBorders>
            <w:vAlign w:val="center"/>
          </w:tcPr>
          <w:p w:rsidR="00123DC4" w:rsidRPr="0004498F" w:rsidRDefault="00123DC4" w:rsidP="00132057">
            <w:pPr>
              <w:keepNext/>
              <w:keepLines/>
              <w:autoSpaceDE w:val="0"/>
              <w:autoSpaceDN w:val="0"/>
              <w:adjustRightInd w:val="0"/>
              <w:spacing w:before="40" w:after="40"/>
              <w:jc w:val="center"/>
              <w:rPr>
                <w:sz w:val="16"/>
                <w:szCs w:val="16"/>
                <w:lang w:val="fr-CH"/>
              </w:rPr>
            </w:pPr>
            <w:r>
              <w:rPr>
                <w:sz w:val="16"/>
                <w:szCs w:val="16"/>
                <w:lang w:val="fr-CH"/>
              </w:rPr>
              <w:t>40%</w:t>
            </w:r>
          </w:p>
        </w:tc>
      </w:tr>
    </w:tbl>
    <w:p w:rsidR="00123DC4" w:rsidRPr="009A7C08" w:rsidRDefault="00123DC4" w:rsidP="00132057">
      <w:pPr>
        <w:keepNext/>
        <w:autoSpaceDE w:val="0"/>
        <w:autoSpaceDN w:val="0"/>
        <w:rPr>
          <w:sz w:val="16"/>
          <w:szCs w:val="16"/>
          <w:lang w:val="fr-CH"/>
        </w:rPr>
      </w:pPr>
    </w:p>
    <w:p w:rsidR="00123DC4" w:rsidRDefault="00123DC4">
      <w:pPr>
        <w:spacing w:after="200" w:line="276" w:lineRule="auto"/>
        <w:rPr>
          <w:b/>
          <w:szCs w:val="22"/>
        </w:rPr>
      </w:pPr>
      <w:r>
        <w:rPr>
          <w:b/>
          <w:szCs w:val="22"/>
        </w:rPr>
        <w:br w:type="page"/>
      </w:r>
    </w:p>
    <w:p w:rsidR="00123DC4" w:rsidRPr="0079178E" w:rsidRDefault="00123DC4" w:rsidP="00132057">
      <w:pPr>
        <w:keepNext/>
        <w:keepLines/>
        <w:tabs>
          <w:tab w:val="left" w:pos="3261"/>
        </w:tabs>
        <w:autoSpaceDE w:val="0"/>
        <w:autoSpaceDN w:val="0"/>
        <w:adjustRightInd w:val="0"/>
        <w:jc w:val="center"/>
        <w:rPr>
          <w:b/>
          <w:szCs w:val="22"/>
        </w:rPr>
      </w:pPr>
      <w:r w:rsidRPr="0079178E">
        <w:rPr>
          <w:b/>
          <w:szCs w:val="22"/>
        </w:rPr>
        <w:t>Project Budget Utilization (by Milestone)</w:t>
      </w:r>
    </w:p>
    <w:p w:rsidR="00123DC4" w:rsidRPr="00B72CC6" w:rsidRDefault="00123DC4" w:rsidP="00132057">
      <w:pPr>
        <w:keepNext/>
        <w:keepLines/>
        <w:tabs>
          <w:tab w:val="left" w:pos="3261"/>
        </w:tabs>
        <w:autoSpaceDE w:val="0"/>
        <w:autoSpaceDN w:val="0"/>
        <w:adjustRightInd w:val="0"/>
        <w:spacing w:after="120"/>
        <w:jc w:val="center"/>
        <w:rPr>
          <w:i/>
          <w:iCs/>
          <w:sz w:val="18"/>
          <w:szCs w:val="18"/>
        </w:rPr>
      </w:pPr>
      <w:r w:rsidRPr="0079178E">
        <w:rPr>
          <w:i/>
          <w:iCs/>
          <w:sz w:val="18"/>
          <w:szCs w:val="18"/>
        </w:rPr>
        <w:t>(</w:t>
      </w:r>
      <w:r>
        <w:rPr>
          <w:i/>
          <w:iCs/>
          <w:sz w:val="18"/>
          <w:szCs w:val="18"/>
        </w:rPr>
        <w:t>i</w:t>
      </w:r>
      <w:r w:rsidRPr="0079178E">
        <w:rPr>
          <w:i/>
          <w:iCs/>
          <w:sz w:val="18"/>
          <w:szCs w:val="18"/>
        </w:rPr>
        <w:t>n Swiss francs, as at December 31, 201</w:t>
      </w:r>
      <w:r>
        <w:rPr>
          <w:i/>
          <w:iCs/>
          <w:sz w:val="18"/>
          <w:szCs w:val="18"/>
        </w:rPr>
        <w:t>5</w:t>
      </w:r>
      <w:r w:rsidRPr="0079178E">
        <w:rPr>
          <w:i/>
          <w:iCs/>
          <w:sz w:val="18"/>
          <w:szCs w:val="18"/>
        </w:rPr>
        <w:t>)</w:t>
      </w:r>
      <w:r>
        <w:rPr>
          <w:i/>
          <w:iCs/>
          <w:sz w:val="18"/>
          <w:szCs w:val="18"/>
        </w:rPr>
        <w:t xml:space="preserve"> </w:t>
      </w:r>
    </w:p>
    <w:tbl>
      <w:tblPr>
        <w:tblpPr w:leftFromText="180" w:rightFromText="180" w:vertAnchor="text" w:horzAnchor="margin" w:tblpX="182" w:tblpY="17"/>
        <w:tblW w:w="487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370"/>
        <w:gridCol w:w="1415"/>
        <w:gridCol w:w="1559"/>
        <w:gridCol w:w="1281"/>
        <w:gridCol w:w="1697"/>
      </w:tblGrid>
      <w:tr w:rsidR="00123DC4" w:rsidRPr="009A7C08" w:rsidTr="00FC43E9">
        <w:trPr>
          <w:trHeight w:val="410"/>
        </w:trPr>
        <w:tc>
          <w:tcPr>
            <w:tcW w:w="1807"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5158E3" w:rsidRDefault="00123DC4" w:rsidP="00132057">
            <w:pPr>
              <w:autoSpaceDE w:val="0"/>
              <w:autoSpaceDN w:val="0"/>
              <w:adjustRightInd w:val="0"/>
              <w:spacing w:before="40" w:after="40"/>
              <w:ind w:left="-74" w:right="-60"/>
              <w:jc w:val="center"/>
              <w:rPr>
                <w:b/>
                <w:bCs/>
                <w:sz w:val="16"/>
                <w:szCs w:val="16"/>
              </w:rPr>
            </w:pPr>
            <w:r w:rsidRPr="005158E3">
              <w:rPr>
                <w:b/>
                <w:bCs/>
                <w:sz w:val="16"/>
                <w:szCs w:val="16"/>
              </w:rPr>
              <w:t>Key Milestone</w:t>
            </w:r>
          </w:p>
        </w:tc>
        <w:tc>
          <w:tcPr>
            <w:tcW w:w="759"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5158E3" w:rsidRDefault="00123DC4" w:rsidP="00132057">
            <w:pPr>
              <w:autoSpaceDE w:val="0"/>
              <w:autoSpaceDN w:val="0"/>
              <w:adjustRightInd w:val="0"/>
              <w:spacing w:before="40" w:after="40"/>
              <w:ind w:left="-107" w:right="-108"/>
              <w:jc w:val="center"/>
              <w:rPr>
                <w:b/>
                <w:bCs/>
                <w:sz w:val="16"/>
                <w:szCs w:val="16"/>
              </w:rPr>
            </w:pPr>
            <w:r w:rsidRPr="005158E3">
              <w:rPr>
                <w:b/>
                <w:bCs/>
                <w:sz w:val="16"/>
                <w:szCs w:val="16"/>
              </w:rPr>
              <w:t>Project Budget</w:t>
            </w:r>
          </w:p>
        </w:tc>
        <w:tc>
          <w:tcPr>
            <w:tcW w:w="836"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5158E3" w:rsidRDefault="00123DC4" w:rsidP="00132057">
            <w:pPr>
              <w:autoSpaceDE w:val="0"/>
              <w:autoSpaceDN w:val="0"/>
              <w:adjustRightInd w:val="0"/>
              <w:spacing w:before="40" w:after="40"/>
              <w:ind w:left="-108" w:right="-106"/>
              <w:jc w:val="center"/>
              <w:rPr>
                <w:b/>
                <w:bCs/>
                <w:sz w:val="16"/>
                <w:szCs w:val="16"/>
              </w:rPr>
            </w:pPr>
            <w:r w:rsidRPr="005158E3">
              <w:rPr>
                <w:b/>
                <w:bCs/>
                <w:sz w:val="16"/>
                <w:szCs w:val="16"/>
              </w:rPr>
              <w:t>Actual Expenditure to Date</w:t>
            </w:r>
          </w:p>
        </w:tc>
        <w:tc>
          <w:tcPr>
            <w:tcW w:w="687"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5158E3" w:rsidRDefault="00123DC4" w:rsidP="00132057">
            <w:pPr>
              <w:autoSpaceDE w:val="0"/>
              <w:autoSpaceDN w:val="0"/>
              <w:adjustRightInd w:val="0"/>
              <w:spacing w:before="40" w:after="40"/>
              <w:ind w:left="-109" w:right="-108"/>
              <w:jc w:val="center"/>
              <w:rPr>
                <w:b/>
                <w:bCs/>
                <w:sz w:val="16"/>
                <w:szCs w:val="16"/>
              </w:rPr>
            </w:pPr>
            <w:r w:rsidRPr="005158E3">
              <w:rPr>
                <w:b/>
                <w:bCs/>
                <w:sz w:val="16"/>
                <w:szCs w:val="16"/>
              </w:rPr>
              <w:t>Actual Budget Utilization</w:t>
            </w:r>
          </w:p>
        </w:tc>
        <w:tc>
          <w:tcPr>
            <w:tcW w:w="910"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5158E3" w:rsidRDefault="00123DC4" w:rsidP="00132057">
            <w:pPr>
              <w:autoSpaceDE w:val="0"/>
              <w:autoSpaceDN w:val="0"/>
              <w:adjustRightInd w:val="0"/>
              <w:spacing w:before="40" w:after="40"/>
              <w:ind w:left="-109" w:right="-73" w:firstLine="1"/>
              <w:jc w:val="center"/>
              <w:rPr>
                <w:b/>
                <w:bCs/>
                <w:sz w:val="16"/>
                <w:szCs w:val="16"/>
              </w:rPr>
            </w:pPr>
            <w:r w:rsidRPr="005158E3">
              <w:rPr>
                <w:b/>
                <w:bCs/>
                <w:sz w:val="16"/>
                <w:szCs w:val="16"/>
              </w:rPr>
              <w:t>Implementation Progress Rate by Milestone</w:t>
            </w:r>
          </w:p>
        </w:tc>
      </w:tr>
      <w:tr w:rsidR="00123DC4" w:rsidRPr="009A7C08" w:rsidTr="00FC43E9">
        <w:trPr>
          <w:trHeight w:val="389"/>
        </w:trPr>
        <w:tc>
          <w:tcPr>
            <w:tcW w:w="1807" w:type="pct"/>
            <w:tcBorders>
              <w:top w:val="single" w:sz="4" w:space="0" w:color="auto"/>
              <w:left w:val="single" w:sz="4" w:space="0" w:color="auto"/>
              <w:bottom w:val="single" w:sz="4" w:space="0" w:color="auto"/>
              <w:right w:val="single" w:sz="4" w:space="0" w:color="auto"/>
            </w:tcBorders>
            <w:vAlign w:val="center"/>
          </w:tcPr>
          <w:p w:rsidR="00123DC4" w:rsidRPr="005158E3" w:rsidRDefault="00123DC4" w:rsidP="00132057">
            <w:pPr>
              <w:autoSpaceDE w:val="0"/>
              <w:autoSpaceDN w:val="0"/>
              <w:adjustRightInd w:val="0"/>
              <w:spacing w:before="40" w:after="40"/>
              <w:rPr>
                <w:sz w:val="16"/>
                <w:szCs w:val="16"/>
              </w:rPr>
            </w:pPr>
            <w:r w:rsidRPr="005158E3">
              <w:rPr>
                <w:sz w:val="16"/>
                <w:szCs w:val="16"/>
              </w:rPr>
              <w:t>Compartmentalization of PCT</w:t>
            </w:r>
          </w:p>
        </w:tc>
        <w:tc>
          <w:tcPr>
            <w:tcW w:w="759" w:type="pct"/>
            <w:tcBorders>
              <w:top w:val="single" w:sz="4" w:space="0" w:color="auto"/>
              <w:left w:val="single" w:sz="4" w:space="0" w:color="auto"/>
              <w:bottom w:val="single" w:sz="4" w:space="0" w:color="auto"/>
              <w:right w:val="single" w:sz="4" w:space="0" w:color="auto"/>
            </w:tcBorders>
            <w:vAlign w:val="center"/>
          </w:tcPr>
          <w:p w:rsidR="00123DC4" w:rsidRPr="005158E3" w:rsidRDefault="00123DC4" w:rsidP="00132057">
            <w:pPr>
              <w:autoSpaceDE w:val="0"/>
              <w:autoSpaceDN w:val="0"/>
              <w:adjustRightInd w:val="0"/>
              <w:spacing w:before="40" w:after="40"/>
              <w:jc w:val="center"/>
              <w:rPr>
                <w:sz w:val="16"/>
                <w:szCs w:val="16"/>
              </w:rPr>
            </w:pPr>
            <w:r w:rsidRPr="005158E3">
              <w:rPr>
                <w:sz w:val="16"/>
                <w:szCs w:val="16"/>
              </w:rPr>
              <w:t>45,000</w:t>
            </w:r>
          </w:p>
        </w:tc>
        <w:tc>
          <w:tcPr>
            <w:tcW w:w="836" w:type="pct"/>
            <w:tcBorders>
              <w:top w:val="single" w:sz="4" w:space="0" w:color="auto"/>
              <w:left w:val="single" w:sz="4" w:space="0" w:color="auto"/>
              <w:bottom w:val="single" w:sz="4" w:space="0" w:color="auto"/>
              <w:right w:val="single" w:sz="4" w:space="0" w:color="auto"/>
            </w:tcBorders>
            <w:vAlign w:val="center"/>
          </w:tcPr>
          <w:p w:rsidR="00123DC4" w:rsidRPr="005158E3" w:rsidRDefault="00123DC4" w:rsidP="00132057">
            <w:pPr>
              <w:autoSpaceDE w:val="0"/>
              <w:autoSpaceDN w:val="0"/>
              <w:adjustRightInd w:val="0"/>
              <w:spacing w:before="40" w:after="40"/>
              <w:jc w:val="center"/>
              <w:rPr>
                <w:sz w:val="16"/>
                <w:szCs w:val="16"/>
              </w:rPr>
            </w:pPr>
            <w:r>
              <w:rPr>
                <w:sz w:val="16"/>
                <w:szCs w:val="16"/>
              </w:rPr>
              <w:t>44,392</w:t>
            </w:r>
          </w:p>
        </w:tc>
        <w:tc>
          <w:tcPr>
            <w:tcW w:w="687" w:type="pct"/>
            <w:tcBorders>
              <w:top w:val="single" w:sz="4" w:space="0" w:color="auto"/>
              <w:left w:val="single" w:sz="4" w:space="0" w:color="auto"/>
              <w:bottom w:val="single" w:sz="4" w:space="0" w:color="auto"/>
              <w:right w:val="single" w:sz="4" w:space="0" w:color="auto"/>
            </w:tcBorders>
            <w:vAlign w:val="center"/>
          </w:tcPr>
          <w:p w:rsidR="00123DC4" w:rsidRPr="005158E3" w:rsidRDefault="00123DC4" w:rsidP="00132057">
            <w:pPr>
              <w:autoSpaceDE w:val="0"/>
              <w:autoSpaceDN w:val="0"/>
              <w:adjustRightInd w:val="0"/>
              <w:spacing w:before="40" w:after="40"/>
              <w:jc w:val="center"/>
              <w:rPr>
                <w:sz w:val="16"/>
                <w:szCs w:val="16"/>
              </w:rPr>
            </w:pPr>
            <w:r>
              <w:rPr>
                <w:sz w:val="16"/>
                <w:szCs w:val="16"/>
              </w:rPr>
              <w:t>98%</w:t>
            </w:r>
          </w:p>
        </w:tc>
        <w:tc>
          <w:tcPr>
            <w:tcW w:w="910" w:type="pct"/>
            <w:tcBorders>
              <w:top w:val="single" w:sz="4" w:space="0" w:color="auto"/>
              <w:left w:val="single" w:sz="4" w:space="0" w:color="auto"/>
              <w:bottom w:val="single" w:sz="4" w:space="0" w:color="auto"/>
              <w:right w:val="single" w:sz="4" w:space="0" w:color="auto"/>
            </w:tcBorders>
            <w:vAlign w:val="center"/>
          </w:tcPr>
          <w:p w:rsidR="00123DC4" w:rsidRPr="005158E3" w:rsidRDefault="00123DC4" w:rsidP="00132057">
            <w:pPr>
              <w:autoSpaceDE w:val="0"/>
              <w:autoSpaceDN w:val="0"/>
              <w:adjustRightInd w:val="0"/>
              <w:spacing w:before="40" w:after="40"/>
              <w:jc w:val="center"/>
              <w:rPr>
                <w:sz w:val="16"/>
                <w:szCs w:val="16"/>
              </w:rPr>
            </w:pPr>
            <w:r>
              <w:rPr>
                <w:sz w:val="16"/>
                <w:szCs w:val="16"/>
              </w:rPr>
              <w:t>100%</w:t>
            </w:r>
          </w:p>
        </w:tc>
      </w:tr>
      <w:tr w:rsidR="00123DC4" w:rsidRPr="009A7C08" w:rsidTr="00FC43E9">
        <w:trPr>
          <w:trHeight w:val="389"/>
        </w:trPr>
        <w:tc>
          <w:tcPr>
            <w:tcW w:w="1807" w:type="pct"/>
            <w:tcBorders>
              <w:top w:val="single" w:sz="4" w:space="0" w:color="auto"/>
              <w:left w:val="single" w:sz="4" w:space="0" w:color="auto"/>
              <w:bottom w:val="single" w:sz="4" w:space="0" w:color="auto"/>
              <w:right w:val="single" w:sz="4" w:space="0" w:color="auto"/>
            </w:tcBorders>
            <w:vAlign w:val="center"/>
          </w:tcPr>
          <w:p w:rsidR="00123DC4" w:rsidRPr="005158E3" w:rsidRDefault="00123DC4" w:rsidP="00132057">
            <w:pPr>
              <w:autoSpaceDE w:val="0"/>
              <w:autoSpaceDN w:val="0"/>
              <w:adjustRightInd w:val="0"/>
              <w:spacing w:before="40" w:after="40"/>
              <w:rPr>
                <w:sz w:val="16"/>
                <w:szCs w:val="16"/>
              </w:rPr>
            </w:pPr>
            <w:r w:rsidRPr="005158E3">
              <w:rPr>
                <w:sz w:val="16"/>
                <w:szCs w:val="16"/>
              </w:rPr>
              <w:t>Improved space planning in delegates’ area AB -2/Creation of an airlock on the landing of lifts on AB -2</w:t>
            </w:r>
          </w:p>
        </w:tc>
        <w:tc>
          <w:tcPr>
            <w:tcW w:w="759" w:type="pct"/>
            <w:tcBorders>
              <w:top w:val="single" w:sz="4" w:space="0" w:color="auto"/>
              <w:left w:val="single" w:sz="4" w:space="0" w:color="auto"/>
              <w:bottom w:val="single" w:sz="4" w:space="0" w:color="auto"/>
              <w:right w:val="single" w:sz="4" w:space="0" w:color="auto"/>
            </w:tcBorders>
            <w:vAlign w:val="center"/>
          </w:tcPr>
          <w:p w:rsidR="00123DC4" w:rsidRPr="005158E3" w:rsidRDefault="00123DC4" w:rsidP="00132057">
            <w:pPr>
              <w:autoSpaceDE w:val="0"/>
              <w:autoSpaceDN w:val="0"/>
              <w:adjustRightInd w:val="0"/>
              <w:spacing w:before="40" w:after="40"/>
              <w:jc w:val="center"/>
              <w:rPr>
                <w:sz w:val="16"/>
                <w:szCs w:val="16"/>
              </w:rPr>
            </w:pPr>
            <w:r w:rsidRPr="005158E3">
              <w:rPr>
                <w:sz w:val="16"/>
                <w:szCs w:val="16"/>
              </w:rPr>
              <w:t>55,000</w:t>
            </w:r>
          </w:p>
        </w:tc>
        <w:tc>
          <w:tcPr>
            <w:tcW w:w="836" w:type="pct"/>
            <w:tcBorders>
              <w:top w:val="single" w:sz="4" w:space="0" w:color="auto"/>
              <w:left w:val="single" w:sz="4" w:space="0" w:color="auto"/>
              <w:bottom w:val="single" w:sz="4" w:space="0" w:color="auto"/>
              <w:right w:val="single" w:sz="4" w:space="0" w:color="auto"/>
            </w:tcBorders>
            <w:vAlign w:val="center"/>
          </w:tcPr>
          <w:p w:rsidR="00123DC4" w:rsidRPr="005158E3" w:rsidRDefault="00123DC4" w:rsidP="00132057">
            <w:pPr>
              <w:autoSpaceDE w:val="0"/>
              <w:autoSpaceDN w:val="0"/>
              <w:adjustRightInd w:val="0"/>
              <w:spacing w:before="40" w:after="40"/>
              <w:jc w:val="center"/>
              <w:rPr>
                <w:sz w:val="16"/>
                <w:szCs w:val="16"/>
              </w:rPr>
            </w:pPr>
            <w:r>
              <w:rPr>
                <w:sz w:val="16"/>
                <w:szCs w:val="16"/>
              </w:rPr>
              <w:t>78,195</w:t>
            </w:r>
          </w:p>
        </w:tc>
        <w:tc>
          <w:tcPr>
            <w:tcW w:w="687" w:type="pct"/>
            <w:tcBorders>
              <w:top w:val="single" w:sz="4" w:space="0" w:color="auto"/>
              <w:left w:val="single" w:sz="4" w:space="0" w:color="auto"/>
              <w:bottom w:val="single" w:sz="4" w:space="0" w:color="auto"/>
              <w:right w:val="single" w:sz="4" w:space="0" w:color="auto"/>
            </w:tcBorders>
            <w:vAlign w:val="center"/>
          </w:tcPr>
          <w:p w:rsidR="00123DC4" w:rsidRPr="005158E3" w:rsidRDefault="00123DC4" w:rsidP="00132057">
            <w:pPr>
              <w:autoSpaceDE w:val="0"/>
              <w:autoSpaceDN w:val="0"/>
              <w:adjustRightInd w:val="0"/>
              <w:spacing w:before="40" w:after="40"/>
              <w:jc w:val="center"/>
              <w:rPr>
                <w:sz w:val="16"/>
                <w:szCs w:val="16"/>
              </w:rPr>
            </w:pPr>
            <w:r>
              <w:rPr>
                <w:sz w:val="16"/>
                <w:szCs w:val="16"/>
              </w:rPr>
              <w:t>142%</w:t>
            </w:r>
          </w:p>
        </w:tc>
        <w:tc>
          <w:tcPr>
            <w:tcW w:w="910" w:type="pct"/>
            <w:tcBorders>
              <w:top w:val="single" w:sz="4" w:space="0" w:color="auto"/>
              <w:left w:val="single" w:sz="4" w:space="0" w:color="auto"/>
              <w:bottom w:val="single" w:sz="4" w:space="0" w:color="auto"/>
              <w:right w:val="single" w:sz="4" w:space="0" w:color="auto"/>
            </w:tcBorders>
            <w:vAlign w:val="center"/>
          </w:tcPr>
          <w:p w:rsidR="00123DC4" w:rsidRPr="005158E3" w:rsidRDefault="00123DC4" w:rsidP="00132057">
            <w:pPr>
              <w:autoSpaceDE w:val="0"/>
              <w:autoSpaceDN w:val="0"/>
              <w:adjustRightInd w:val="0"/>
              <w:spacing w:before="40" w:after="40"/>
              <w:jc w:val="center"/>
              <w:rPr>
                <w:sz w:val="16"/>
                <w:szCs w:val="16"/>
              </w:rPr>
            </w:pPr>
            <w:r>
              <w:rPr>
                <w:sz w:val="16"/>
                <w:szCs w:val="16"/>
              </w:rPr>
              <w:t>100%</w:t>
            </w:r>
          </w:p>
        </w:tc>
      </w:tr>
      <w:tr w:rsidR="00123DC4" w:rsidRPr="009A7C08" w:rsidTr="00FC43E9">
        <w:trPr>
          <w:trHeight w:val="389"/>
        </w:trPr>
        <w:tc>
          <w:tcPr>
            <w:tcW w:w="1807" w:type="pct"/>
            <w:tcBorders>
              <w:top w:val="single" w:sz="4" w:space="0" w:color="auto"/>
              <w:left w:val="single" w:sz="4" w:space="0" w:color="auto"/>
              <w:bottom w:val="single" w:sz="4" w:space="0" w:color="auto"/>
              <w:right w:val="single" w:sz="4" w:space="0" w:color="auto"/>
            </w:tcBorders>
            <w:vAlign w:val="center"/>
          </w:tcPr>
          <w:p w:rsidR="00123DC4" w:rsidRPr="005158E3" w:rsidRDefault="00123DC4" w:rsidP="00132057">
            <w:pPr>
              <w:autoSpaceDE w:val="0"/>
              <w:autoSpaceDN w:val="0"/>
              <w:adjustRightInd w:val="0"/>
              <w:spacing w:before="40" w:after="40"/>
              <w:rPr>
                <w:sz w:val="16"/>
                <w:szCs w:val="16"/>
              </w:rPr>
            </w:pPr>
            <w:r w:rsidRPr="005158E3">
              <w:rPr>
                <w:sz w:val="16"/>
                <w:szCs w:val="16"/>
              </w:rPr>
              <w:t>Study and project related to compartmentalization between GBI and AB</w:t>
            </w:r>
          </w:p>
        </w:tc>
        <w:tc>
          <w:tcPr>
            <w:tcW w:w="759" w:type="pct"/>
            <w:tcBorders>
              <w:top w:val="single" w:sz="4" w:space="0" w:color="auto"/>
              <w:left w:val="single" w:sz="4" w:space="0" w:color="auto"/>
              <w:bottom w:val="single" w:sz="4" w:space="0" w:color="auto"/>
              <w:right w:val="single" w:sz="4" w:space="0" w:color="auto"/>
            </w:tcBorders>
            <w:vAlign w:val="center"/>
          </w:tcPr>
          <w:p w:rsidR="00123DC4" w:rsidRPr="005158E3" w:rsidRDefault="00123DC4" w:rsidP="00132057">
            <w:pPr>
              <w:autoSpaceDE w:val="0"/>
              <w:autoSpaceDN w:val="0"/>
              <w:adjustRightInd w:val="0"/>
              <w:spacing w:before="40" w:after="40"/>
              <w:jc w:val="center"/>
              <w:rPr>
                <w:sz w:val="16"/>
                <w:szCs w:val="16"/>
              </w:rPr>
            </w:pPr>
            <w:r w:rsidRPr="005158E3">
              <w:rPr>
                <w:sz w:val="16"/>
                <w:szCs w:val="16"/>
              </w:rPr>
              <w:t>175,000</w:t>
            </w:r>
          </w:p>
        </w:tc>
        <w:tc>
          <w:tcPr>
            <w:tcW w:w="836" w:type="pct"/>
            <w:tcBorders>
              <w:top w:val="single" w:sz="4" w:space="0" w:color="auto"/>
              <w:left w:val="single" w:sz="4" w:space="0" w:color="auto"/>
              <w:bottom w:val="single" w:sz="4" w:space="0" w:color="auto"/>
              <w:right w:val="single" w:sz="4" w:space="0" w:color="auto"/>
            </w:tcBorders>
            <w:vAlign w:val="center"/>
          </w:tcPr>
          <w:p w:rsidR="00123DC4" w:rsidRPr="005158E3" w:rsidRDefault="00123DC4" w:rsidP="00132057">
            <w:pPr>
              <w:autoSpaceDE w:val="0"/>
              <w:autoSpaceDN w:val="0"/>
              <w:adjustRightInd w:val="0"/>
              <w:spacing w:before="40" w:after="40"/>
              <w:jc w:val="center"/>
              <w:rPr>
                <w:sz w:val="16"/>
                <w:szCs w:val="16"/>
              </w:rPr>
            </w:pPr>
            <w:r>
              <w:rPr>
                <w:sz w:val="16"/>
                <w:szCs w:val="16"/>
              </w:rPr>
              <w:t>0</w:t>
            </w:r>
          </w:p>
        </w:tc>
        <w:tc>
          <w:tcPr>
            <w:tcW w:w="687" w:type="pct"/>
            <w:tcBorders>
              <w:top w:val="single" w:sz="4" w:space="0" w:color="auto"/>
              <w:left w:val="single" w:sz="4" w:space="0" w:color="auto"/>
              <w:bottom w:val="single" w:sz="4" w:space="0" w:color="auto"/>
              <w:right w:val="single" w:sz="4" w:space="0" w:color="auto"/>
            </w:tcBorders>
            <w:vAlign w:val="center"/>
          </w:tcPr>
          <w:p w:rsidR="00123DC4" w:rsidRPr="005158E3" w:rsidRDefault="00123DC4" w:rsidP="00132057">
            <w:pPr>
              <w:autoSpaceDE w:val="0"/>
              <w:autoSpaceDN w:val="0"/>
              <w:adjustRightInd w:val="0"/>
              <w:spacing w:before="40" w:after="40"/>
              <w:jc w:val="center"/>
              <w:rPr>
                <w:sz w:val="16"/>
                <w:szCs w:val="16"/>
              </w:rPr>
            </w:pPr>
            <w:r>
              <w:rPr>
                <w:sz w:val="16"/>
                <w:szCs w:val="16"/>
              </w:rPr>
              <w:t>0%</w:t>
            </w:r>
          </w:p>
        </w:tc>
        <w:tc>
          <w:tcPr>
            <w:tcW w:w="910" w:type="pct"/>
            <w:tcBorders>
              <w:top w:val="single" w:sz="4" w:space="0" w:color="auto"/>
              <w:left w:val="single" w:sz="4" w:space="0" w:color="auto"/>
              <w:bottom w:val="single" w:sz="4" w:space="0" w:color="auto"/>
              <w:right w:val="single" w:sz="4" w:space="0" w:color="auto"/>
            </w:tcBorders>
            <w:vAlign w:val="center"/>
          </w:tcPr>
          <w:p w:rsidR="00123DC4" w:rsidRPr="005158E3" w:rsidRDefault="00123DC4" w:rsidP="00132057">
            <w:pPr>
              <w:autoSpaceDE w:val="0"/>
              <w:autoSpaceDN w:val="0"/>
              <w:adjustRightInd w:val="0"/>
              <w:spacing w:before="40" w:after="40"/>
              <w:jc w:val="center"/>
              <w:rPr>
                <w:sz w:val="16"/>
                <w:szCs w:val="16"/>
              </w:rPr>
            </w:pPr>
            <w:r>
              <w:rPr>
                <w:sz w:val="16"/>
                <w:szCs w:val="16"/>
              </w:rPr>
              <w:t>10%</w:t>
            </w:r>
          </w:p>
        </w:tc>
      </w:tr>
      <w:tr w:rsidR="00123DC4" w:rsidRPr="009A7C08" w:rsidTr="00FC43E9">
        <w:trPr>
          <w:trHeight w:val="389"/>
        </w:trPr>
        <w:tc>
          <w:tcPr>
            <w:tcW w:w="1807" w:type="pct"/>
            <w:tcBorders>
              <w:top w:val="single" w:sz="4" w:space="0" w:color="auto"/>
              <w:left w:val="single" w:sz="4" w:space="0" w:color="auto"/>
              <w:bottom w:val="single" w:sz="4" w:space="0" w:color="auto"/>
              <w:right w:val="single" w:sz="4" w:space="0" w:color="auto"/>
            </w:tcBorders>
            <w:vAlign w:val="center"/>
          </w:tcPr>
          <w:p w:rsidR="00123DC4" w:rsidRPr="005158E3" w:rsidRDefault="00123DC4" w:rsidP="00132057">
            <w:pPr>
              <w:autoSpaceDE w:val="0"/>
              <w:autoSpaceDN w:val="0"/>
              <w:adjustRightInd w:val="0"/>
              <w:spacing w:before="40" w:after="40"/>
              <w:rPr>
                <w:sz w:val="16"/>
                <w:szCs w:val="16"/>
              </w:rPr>
            </w:pPr>
            <w:r w:rsidRPr="005158E3">
              <w:rPr>
                <w:sz w:val="16"/>
                <w:szCs w:val="16"/>
              </w:rPr>
              <w:t>Project related to compartmentalization between GBI and GBII (all levels except -1)</w:t>
            </w:r>
          </w:p>
        </w:tc>
        <w:tc>
          <w:tcPr>
            <w:tcW w:w="759" w:type="pct"/>
            <w:tcBorders>
              <w:top w:val="single" w:sz="4" w:space="0" w:color="auto"/>
              <w:left w:val="single" w:sz="4" w:space="0" w:color="auto"/>
              <w:bottom w:val="single" w:sz="4" w:space="0" w:color="auto"/>
              <w:right w:val="single" w:sz="4" w:space="0" w:color="auto"/>
            </w:tcBorders>
            <w:vAlign w:val="center"/>
          </w:tcPr>
          <w:p w:rsidR="00123DC4" w:rsidRPr="005158E3" w:rsidRDefault="00123DC4" w:rsidP="00132057">
            <w:pPr>
              <w:autoSpaceDE w:val="0"/>
              <w:autoSpaceDN w:val="0"/>
              <w:adjustRightInd w:val="0"/>
              <w:spacing w:before="40" w:after="40"/>
              <w:jc w:val="center"/>
              <w:rPr>
                <w:sz w:val="16"/>
                <w:szCs w:val="16"/>
              </w:rPr>
            </w:pPr>
            <w:r w:rsidRPr="005158E3">
              <w:rPr>
                <w:sz w:val="16"/>
                <w:szCs w:val="16"/>
              </w:rPr>
              <w:t>65,000</w:t>
            </w:r>
          </w:p>
        </w:tc>
        <w:tc>
          <w:tcPr>
            <w:tcW w:w="836" w:type="pct"/>
            <w:tcBorders>
              <w:top w:val="single" w:sz="4" w:space="0" w:color="auto"/>
              <w:left w:val="single" w:sz="4" w:space="0" w:color="auto"/>
              <w:bottom w:val="single" w:sz="4" w:space="0" w:color="auto"/>
              <w:right w:val="single" w:sz="4" w:space="0" w:color="auto"/>
            </w:tcBorders>
            <w:vAlign w:val="center"/>
          </w:tcPr>
          <w:p w:rsidR="00123DC4" w:rsidRPr="005158E3" w:rsidRDefault="00123DC4" w:rsidP="00132057">
            <w:pPr>
              <w:autoSpaceDE w:val="0"/>
              <w:autoSpaceDN w:val="0"/>
              <w:adjustRightInd w:val="0"/>
              <w:spacing w:before="40" w:after="40"/>
              <w:jc w:val="center"/>
              <w:rPr>
                <w:sz w:val="16"/>
                <w:szCs w:val="16"/>
              </w:rPr>
            </w:pPr>
            <w:r>
              <w:rPr>
                <w:sz w:val="16"/>
                <w:szCs w:val="16"/>
              </w:rPr>
              <w:t>0</w:t>
            </w:r>
          </w:p>
        </w:tc>
        <w:tc>
          <w:tcPr>
            <w:tcW w:w="687" w:type="pct"/>
            <w:tcBorders>
              <w:top w:val="single" w:sz="4" w:space="0" w:color="auto"/>
              <w:left w:val="single" w:sz="4" w:space="0" w:color="auto"/>
              <w:bottom w:val="single" w:sz="4" w:space="0" w:color="auto"/>
              <w:right w:val="single" w:sz="4" w:space="0" w:color="auto"/>
            </w:tcBorders>
            <w:vAlign w:val="center"/>
          </w:tcPr>
          <w:p w:rsidR="00123DC4" w:rsidRPr="005158E3" w:rsidRDefault="00123DC4" w:rsidP="00132057">
            <w:pPr>
              <w:autoSpaceDE w:val="0"/>
              <w:autoSpaceDN w:val="0"/>
              <w:adjustRightInd w:val="0"/>
              <w:spacing w:before="40" w:after="40"/>
              <w:jc w:val="center"/>
              <w:rPr>
                <w:sz w:val="16"/>
                <w:szCs w:val="16"/>
              </w:rPr>
            </w:pPr>
            <w:r>
              <w:rPr>
                <w:sz w:val="16"/>
                <w:szCs w:val="16"/>
              </w:rPr>
              <w:t>0%</w:t>
            </w:r>
          </w:p>
        </w:tc>
        <w:tc>
          <w:tcPr>
            <w:tcW w:w="910" w:type="pct"/>
            <w:tcBorders>
              <w:top w:val="single" w:sz="4" w:space="0" w:color="auto"/>
              <w:left w:val="single" w:sz="4" w:space="0" w:color="auto"/>
              <w:bottom w:val="single" w:sz="4" w:space="0" w:color="auto"/>
              <w:right w:val="single" w:sz="4" w:space="0" w:color="auto"/>
            </w:tcBorders>
            <w:vAlign w:val="center"/>
          </w:tcPr>
          <w:p w:rsidR="00123DC4" w:rsidRPr="005158E3" w:rsidRDefault="00123DC4" w:rsidP="00132057">
            <w:pPr>
              <w:autoSpaceDE w:val="0"/>
              <w:autoSpaceDN w:val="0"/>
              <w:adjustRightInd w:val="0"/>
              <w:spacing w:before="40" w:after="40"/>
              <w:jc w:val="center"/>
              <w:rPr>
                <w:sz w:val="16"/>
                <w:szCs w:val="16"/>
              </w:rPr>
            </w:pPr>
            <w:r>
              <w:rPr>
                <w:sz w:val="16"/>
                <w:szCs w:val="16"/>
              </w:rPr>
              <w:t>-</w:t>
            </w:r>
          </w:p>
        </w:tc>
      </w:tr>
      <w:tr w:rsidR="00123DC4" w:rsidRPr="009A7C08" w:rsidTr="00FC43E9">
        <w:trPr>
          <w:trHeight w:val="389"/>
        </w:trPr>
        <w:tc>
          <w:tcPr>
            <w:tcW w:w="1807" w:type="pct"/>
            <w:tcBorders>
              <w:top w:val="single" w:sz="4" w:space="0" w:color="auto"/>
              <w:left w:val="single" w:sz="4" w:space="0" w:color="auto"/>
              <w:bottom w:val="single" w:sz="4" w:space="0" w:color="auto"/>
              <w:right w:val="single" w:sz="4" w:space="0" w:color="auto"/>
            </w:tcBorders>
            <w:vAlign w:val="center"/>
          </w:tcPr>
          <w:p w:rsidR="00123DC4" w:rsidRPr="005158E3" w:rsidRDefault="00123DC4" w:rsidP="00132057">
            <w:pPr>
              <w:autoSpaceDE w:val="0"/>
              <w:autoSpaceDN w:val="0"/>
              <w:adjustRightInd w:val="0"/>
              <w:spacing w:before="40" w:after="40"/>
              <w:rPr>
                <w:sz w:val="16"/>
                <w:szCs w:val="16"/>
              </w:rPr>
            </w:pPr>
            <w:r w:rsidRPr="005158E3">
              <w:rPr>
                <w:sz w:val="16"/>
                <w:szCs w:val="16"/>
              </w:rPr>
              <w:t>Project relating to compartmentalization in AB (except -2)</w:t>
            </w:r>
          </w:p>
        </w:tc>
        <w:tc>
          <w:tcPr>
            <w:tcW w:w="759" w:type="pct"/>
            <w:tcBorders>
              <w:top w:val="single" w:sz="4" w:space="0" w:color="auto"/>
              <w:left w:val="single" w:sz="4" w:space="0" w:color="auto"/>
              <w:bottom w:val="single" w:sz="4" w:space="0" w:color="auto"/>
              <w:right w:val="single" w:sz="4" w:space="0" w:color="auto"/>
            </w:tcBorders>
            <w:vAlign w:val="center"/>
          </w:tcPr>
          <w:p w:rsidR="00123DC4" w:rsidRPr="005158E3" w:rsidRDefault="00123DC4" w:rsidP="00132057">
            <w:pPr>
              <w:autoSpaceDE w:val="0"/>
              <w:autoSpaceDN w:val="0"/>
              <w:adjustRightInd w:val="0"/>
              <w:spacing w:before="40" w:after="40"/>
              <w:jc w:val="center"/>
              <w:rPr>
                <w:sz w:val="16"/>
                <w:szCs w:val="16"/>
              </w:rPr>
            </w:pPr>
            <w:r w:rsidRPr="005158E3">
              <w:rPr>
                <w:sz w:val="16"/>
                <w:szCs w:val="16"/>
              </w:rPr>
              <w:t>60,000</w:t>
            </w:r>
          </w:p>
        </w:tc>
        <w:tc>
          <w:tcPr>
            <w:tcW w:w="836" w:type="pct"/>
            <w:tcBorders>
              <w:top w:val="single" w:sz="4" w:space="0" w:color="auto"/>
              <w:left w:val="single" w:sz="4" w:space="0" w:color="auto"/>
              <w:bottom w:val="single" w:sz="4" w:space="0" w:color="auto"/>
              <w:right w:val="single" w:sz="4" w:space="0" w:color="auto"/>
            </w:tcBorders>
            <w:vAlign w:val="center"/>
          </w:tcPr>
          <w:p w:rsidR="00123DC4" w:rsidRPr="005158E3" w:rsidRDefault="00123DC4" w:rsidP="00132057">
            <w:pPr>
              <w:autoSpaceDE w:val="0"/>
              <w:autoSpaceDN w:val="0"/>
              <w:adjustRightInd w:val="0"/>
              <w:spacing w:before="40" w:after="40"/>
              <w:jc w:val="center"/>
              <w:rPr>
                <w:sz w:val="16"/>
                <w:szCs w:val="16"/>
              </w:rPr>
            </w:pPr>
            <w:r>
              <w:rPr>
                <w:sz w:val="16"/>
                <w:szCs w:val="16"/>
              </w:rPr>
              <w:t>0</w:t>
            </w:r>
          </w:p>
        </w:tc>
        <w:tc>
          <w:tcPr>
            <w:tcW w:w="687" w:type="pct"/>
            <w:tcBorders>
              <w:top w:val="single" w:sz="4" w:space="0" w:color="auto"/>
              <w:left w:val="single" w:sz="4" w:space="0" w:color="auto"/>
              <w:bottom w:val="single" w:sz="4" w:space="0" w:color="auto"/>
              <w:right w:val="single" w:sz="4" w:space="0" w:color="auto"/>
            </w:tcBorders>
            <w:vAlign w:val="center"/>
          </w:tcPr>
          <w:p w:rsidR="00123DC4" w:rsidRPr="005158E3" w:rsidRDefault="00123DC4" w:rsidP="00132057">
            <w:pPr>
              <w:autoSpaceDE w:val="0"/>
              <w:autoSpaceDN w:val="0"/>
              <w:adjustRightInd w:val="0"/>
              <w:spacing w:before="40" w:after="40"/>
              <w:jc w:val="center"/>
              <w:rPr>
                <w:sz w:val="16"/>
                <w:szCs w:val="16"/>
              </w:rPr>
            </w:pPr>
            <w:r>
              <w:rPr>
                <w:sz w:val="16"/>
                <w:szCs w:val="16"/>
              </w:rPr>
              <w:t>0%</w:t>
            </w:r>
          </w:p>
        </w:tc>
        <w:tc>
          <w:tcPr>
            <w:tcW w:w="910" w:type="pct"/>
            <w:tcBorders>
              <w:top w:val="single" w:sz="4" w:space="0" w:color="auto"/>
              <w:left w:val="single" w:sz="4" w:space="0" w:color="auto"/>
              <w:bottom w:val="single" w:sz="4" w:space="0" w:color="auto"/>
              <w:right w:val="single" w:sz="4" w:space="0" w:color="auto"/>
            </w:tcBorders>
            <w:vAlign w:val="center"/>
          </w:tcPr>
          <w:p w:rsidR="00123DC4" w:rsidRPr="005158E3" w:rsidRDefault="00123DC4" w:rsidP="00132057">
            <w:pPr>
              <w:autoSpaceDE w:val="0"/>
              <w:autoSpaceDN w:val="0"/>
              <w:adjustRightInd w:val="0"/>
              <w:spacing w:before="40" w:after="40"/>
              <w:jc w:val="center"/>
              <w:rPr>
                <w:sz w:val="16"/>
                <w:szCs w:val="16"/>
              </w:rPr>
            </w:pPr>
            <w:r>
              <w:rPr>
                <w:sz w:val="16"/>
                <w:szCs w:val="16"/>
              </w:rPr>
              <w:t>-</w:t>
            </w:r>
          </w:p>
        </w:tc>
      </w:tr>
      <w:tr w:rsidR="00123DC4" w:rsidRPr="009A7C08" w:rsidTr="00FC43E9">
        <w:trPr>
          <w:trHeight w:val="389"/>
        </w:trPr>
        <w:tc>
          <w:tcPr>
            <w:tcW w:w="1807"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5158E3" w:rsidRDefault="00123DC4" w:rsidP="00132057">
            <w:pPr>
              <w:autoSpaceDE w:val="0"/>
              <w:autoSpaceDN w:val="0"/>
              <w:adjustRightInd w:val="0"/>
              <w:spacing w:before="40" w:after="40"/>
              <w:rPr>
                <w:b/>
                <w:sz w:val="16"/>
                <w:szCs w:val="16"/>
              </w:rPr>
            </w:pPr>
            <w:r w:rsidRPr="005158E3">
              <w:rPr>
                <w:b/>
                <w:sz w:val="16"/>
                <w:szCs w:val="16"/>
              </w:rPr>
              <w:t>Total</w:t>
            </w:r>
          </w:p>
        </w:tc>
        <w:tc>
          <w:tcPr>
            <w:tcW w:w="759"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5158E3" w:rsidRDefault="00123DC4" w:rsidP="00132057">
            <w:pPr>
              <w:autoSpaceDE w:val="0"/>
              <w:autoSpaceDN w:val="0"/>
              <w:adjustRightInd w:val="0"/>
              <w:spacing w:before="40" w:after="40"/>
              <w:jc w:val="center"/>
              <w:rPr>
                <w:b/>
                <w:sz w:val="16"/>
                <w:szCs w:val="16"/>
              </w:rPr>
            </w:pPr>
            <w:r w:rsidRPr="005158E3">
              <w:rPr>
                <w:b/>
                <w:sz w:val="16"/>
                <w:szCs w:val="16"/>
              </w:rPr>
              <w:t>400,000</w:t>
            </w:r>
          </w:p>
        </w:tc>
        <w:tc>
          <w:tcPr>
            <w:tcW w:w="836" w:type="pct"/>
            <w:tcBorders>
              <w:top w:val="single" w:sz="4" w:space="0" w:color="auto"/>
              <w:left w:val="single" w:sz="4" w:space="0" w:color="auto"/>
              <w:bottom w:val="single" w:sz="4" w:space="0" w:color="auto"/>
              <w:right w:val="single" w:sz="4" w:space="0" w:color="auto"/>
            </w:tcBorders>
            <w:shd w:val="clear" w:color="auto" w:fill="C6D9F1" w:themeFill="text2" w:themeFillTint="33"/>
          </w:tcPr>
          <w:p w:rsidR="00123DC4" w:rsidRPr="00E63242" w:rsidRDefault="00123DC4" w:rsidP="00132057">
            <w:pPr>
              <w:autoSpaceDE w:val="0"/>
              <w:autoSpaceDN w:val="0"/>
              <w:adjustRightInd w:val="0"/>
              <w:spacing w:before="40" w:after="40"/>
              <w:jc w:val="center"/>
              <w:rPr>
                <w:b/>
                <w:sz w:val="16"/>
                <w:szCs w:val="16"/>
              </w:rPr>
            </w:pPr>
            <w:r w:rsidRPr="00F80A65">
              <w:rPr>
                <w:b/>
                <w:sz w:val="16"/>
                <w:szCs w:val="16"/>
                <w:lang w:val="fr-CH"/>
              </w:rPr>
              <w:t>122,587</w:t>
            </w:r>
          </w:p>
        </w:tc>
        <w:tc>
          <w:tcPr>
            <w:tcW w:w="687" w:type="pct"/>
            <w:tcBorders>
              <w:top w:val="single" w:sz="4" w:space="0" w:color="auto"/>
              <w:left w:val="single" w:sz="4" w:space="0" w:color="auto"/>
              <w:bottom w:val="single" w:sz="4" w:space="0" w:color="auto"/>
              <w:right w:val="single" w:sz="4" w:space="0" w:color="auto"/>
            </w:tcBorders>
            <w:shd w:val="clear" w:color="auto" w:fill="C6D9F1" w:themeFill="text2" w:themeFillTint="33"/>
          </w:tcPr>
          <w:p w:rsidR="00123DC4" w:rsidRPr="00E63242" w:rsidRDefault="00123DC4" w:rsidP="00132057">
            <w:pPr>
              <w:autoSpaceDE w:val="0"/>
              <w:autoSpaceDN w:val="0"/>
              <w:adjustRightInd w:val="0"/>
              <w:spacing w:before="40" w:after="40"/>
              <w:jc w:val="center"/>
              <w:rPr>
                <w:b/>
                <w:sz w:val="16"/>
                <w:szCs w:val="16"/>
              </w:rPr>
            </w:pPr>
          </w:p>
        </w:tc>
        <w:tc>
          <w:tcPr>
            <w:tcW w:w="910" w:type="pct"/>
            <w:tcBorders>
              <w:top w:val="single" w:sz="4" w:space="0" w:color="auto"/>
              <w:left w:val="single" w:sz="4" w:space="0" w:color="auto"/>
              <w:bottom w:val="single" w:sz="4" w:space="0" w:color="auto"/>
              <w:right w:val="single" w:sz="4" w:space="0" w:color="auto"/>
            </w:tcBorders>
            <w:shd w:val="clear" w:color="auto" w:fill="C6D9F1" w:themeFill="text2" w:themeFillTint="33"/>
          </w:tcPr>
          <w:p w:rsidR="00123DC4" w:rsidRPr="005158E3" w:rsidRDefault="00123DC4" w:rsidP="00132057">
            <w:pPr>
              <w:autoSpaceDE w:val="0"/>
              <w:autoSpaceDN w:val="0"/>
              <w:adjustRightInd w:val="0"/>
              <w:spacing w:before="40" w:after="40"/>
              <w:jc w:val="center"/>
              <w:rPr>
                <w:b/>
                <w:sz w:val="16"/>
                <w:szCs w:val="16"/>
              </w:rPr>
            </w:pPr>
          </w:p>
        </w:tc>
      </w:tr>
    </w:tbl>
    <w:p w:rsidR="00123DC4" w:rsidRDefault="00123DC4" w:rsidP="00FC43E9">
      <w:pPr>
        <w:tabs>
          <w:tab w:val="left" w:pos="3261"/>
        </w:tabs>
        <w:autoSpaceDE w:val="0"/>
        <w:autoSpaceDN w:val="0"/>
        <w:adjustRightInd w:val="0"/>
        <w:jc w:val="center"/>
        <w:rPr>
          <w:b/>
          <w:szCs w:val="22"/>
        </w:rPr>
      </w:pPr>
    </w:p>
    <w:p w:rsidR="00123DC4" w:rsidRDefault="00123DC4" w:rsidP="00FC43E9">
      <w:pPr>
        <w:tabs>
          <w:tab w:val="left" w:pos="3261"/>
        </w:tabs>
        <w:autoSpaceDE w:val="0"/>
        <w:autoSpaceDN w:val="0"/>
        <w:adjustRightInd w:val="0"/>
        <w:jc w:val="center"/>
        <w:rPr>
          <w:b/>
          <w:szCs w:val="22"/>
        </w:rPr>
      </w:pPr>
    </w:p>
    <w:p w:rsidR="00123DC4" w:rsidRPr="0079178E" w:rsidRDefault="00123DC4" w:rsidP="00132057">
      <w:pPr>
        <w:keepNext/>
        <w:keepLines/>
        <w:tabs>
          <w:tab w:val="left" w:pos="3261"/>
        </w:tabs>
        <w:autoSpaceDE w:val="0"/>
        <w:autoSpaceDN w:val="0"/>
        <w:adjustRightInd w:val="0"/>
        <w:jc w:val="center"/>
        <w:rPr>
          <w:b/>
          <w:szCs w:val="22"/>
        </w:rPr>
      </w:pPr>
      <w:r w:rsidRPr="0079178E">
        <w:rPr>
          <w:b/>
          <w:szCs w:val="22"/>
        </w:rPr>
        <w:t>Project Budget Utilization (by Cost Category)</w:t>
      </w:r>
    </w:p>
    <w:p w:rsidR="00123DC4" w:rsidRPr="00ED7C01" w:rsidRDefault="00123DC4" w:rsidP="00132057">
      <w:pPr>
        <w:keepNext/>
        <w:keepLines/>
        <w:tabs>
          <w:tab w:val="left" w:pos="3261"/>
        </w:tabs>
        <w:autoSpaceDE w:val="0"/>
        <w:autoSpaceDN w:val="0"/>
        <w:adjustRightInd w:val="0"/>
        <w:spacing w:after="120"/>
        <w:jc w:val="center"/>
        <w:rPr>
          <w:i/>
          <w:iCs/>
          <w:sz w:val="18"/>
          <w:szCs w:val="18"/>
        </w:rPr>
      </w:pPr>
      <w:r w:rsidRPr="0079178E">
        <w:rPr>
          <w:i/>
          <w:iCs/>
          <w:sz w:val="18"/>
          <w:szCs w:val="18"/>
        </w:rPr>
        <w:t>(</w:t>
      </w:r>
      <w:r>
        <w:rPr>
          <w:i/>
          <w:iCs/>
          <w:sz w:val="18"/>
          <w:szCs w:val="18"/>
        </w:rPr>
        <w:t>i</w:t>
      </w:r>
      <w:r w:rsidRPr="0079178E">
        <w:rPr>
          <w:i/>
          <w:iCs/>
          <w:sz w:val="18"/>
          <w:szCs w:val="18"/>
        </w:rPr>
        <w:t>n Swiss francs, as at December 31, 201</w:t>
      </w:r>
      <w:r>
        <w:rPr>
          <w:i/>
          <w:iCs/>
          <w:sz w:val="18"/>
          <w:szCs w:val="18"/>
        </w:rPr>
        <w:t>5</w:t>
      </w:r>
      <w:r w:rsidRPr="0079178E">
        <w:rPr>
          <w:i/>
          <w:iCs/>
          <w:sz w:val="18"/>
          <w:szCs w:val="18"/>
        </w:rPr>
        <w:t>)</w:t>
      </w:r>
    </w:p>
    <w:tbl>
      <w:tblPr>
        <w:tblW w:w="4813" w:type="pct"/>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92"/>
        <w:gridCol w:w="1841"/>
        <w:gridCol w:w="1841"/>
        <w:gridCol w:w="2139"/>
      </w:tblGrid>
      <w:tr w:rsidR="00123DC4" w:rsidRPr="005158E3" w:rsidTr="00D979B0">
        <w:trPr>
          <w:trHeight w:val="569"/>
        </w:trPr>
        <w:tc>
          <w:tcPr>
            <w:tcW w:w="1841"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5158E3" w:rsidRDefault="00123DC4" w:rsidP="00132057">
            <w:pPr>
              <w:keepNext/>
              <w:keepLines/>
              <w:autoSpaceDE w:val="0"/>
              <w:autoSpaceDN w:val="0"/>
              <w:adjustRightInd w:val="0"/>
              <w:spacing w:before="40" w:after="40"/>
              <w:ind w:left="-74" w:right="-60"/>
              <w:jc w:val="center"/>
              <w:rPr>
                <w:b/>
                <w:bCs/>
                <w:sz w:val="16"/>
                <w:szCs w:val="16"/>
              </w:rPr>
            </w:pPr>
            <w:r w:rsidRPr="005158E3">
              <w:rPr>
                <w:b/>
                <w:bCs/>
                <w:sz w:val="16"/>
                <w:szCs w:val="16"/>
              </w:rPr>
              <w:t>Cost Category</w:t>
            </w:r>
          </w:p>
        </w:tc>
        <w:tc>
          <w:tcPr>
            <w:tcW w:w="999"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5158E3" w:rsidRDefault="00123DC4" w:rsidP="00132057">
            <w:pPr>
              <w:keepNext/>
              <w:keepLines/>
              <w:autoSpaceDE w:val="0"/>
              <w:autoSpaceDN w:val="0"/>
              <w:adjustRightInd w:val="0"/>
              <w:spacing w:before="40" w:after="40"/>
              <w:ind w:left="-107" w:right="-108"/>
              <w:jc w:val="center"/>
              <w:rPr>
                <w:b/>
                <w:bCs/>
                <w:sz w:val="16"/>
                <w:szCs w:val="16"/>
              </w:rPr>
            </w:pPr>
            <w:r w:rsidRPr="005158E3">
              <w:rPr>
                <w:b/>
                <w:bCs/>
                <w:sz w:val="16"/>
                <w:szCs w:val="16"/>
              </w:rPr>
              <w:t xml:space="preserve">Project Budget </w:t>
            </w:r>
          </w:p>
        </w:tc>
        <w:tc>
          <w:tcPr>
            <w:tcW w:w="999"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5158E3" w:rsidRDefault="00123DC4" w:rsidP="00132057">
            <w:pPr>
              <w:keepNext/>
              <w:keepLines/>
              <w:autoSpaceDE w:val="0"/>
              <w:autoSpaceDN w:val="0"/>
              <w:adjustRightInd w:val="0"/>
              <w:spacing w:before="40" w:after="40"/>
              <w:ind w:left="-108"/>
              <w:jc w:val="center"/>
              <w:rPr>
                <w:b/>
                <w:bCs/>
                <w:sz w:val="16"/>
                <w:szCs w:val="16"/>
              </w:rPr>
            </w:pPr>
            <w:r w:rsidRPr="005158E3">
              <w:rPr>
                <w:b/>
                <w:bCs/>
                <w:sz w:val="16"/>
                <w:szCs w:val="16"/>
              </w:rPr>
              <w:t xml:space="preserve">Actual Expenditure to Date </w:t>
            </w:r>
          </w:p>
        </w:tc>
        <w:tc>
          <w:tcPr>
            <w:tcW w:w="1162"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5158E3" w:rsidRDefault="00123DC4" w:rsidP="00132057">
            <w:pPr>
              <w:keepNext/>
              <w:keepLines/>
              <w:autoSpaceDE w:val="0"/>
              <w:autoSpaceDN w:val="0"/>
              <w:adjustRightInd w:val="0"/>
              <w:spacing w:before="40" w:after="40"/>
              <w:ind w:left="-109"/>
              <w:jc w:val="center"/>
              <w:rPr>
                <w:b/>
                <w:bCs/>
                <w:sz w:val="16"/>
                <w:szCs w:val="16"/>
              </w:rPr>
            </w:pPr>
            <w:r w:rsidRPr="005158E3">
              <w:rPr>
                <w:b/>
                <w:bCs/>
                <w:sz w:val="16"/>
                <w:szCs w:val="16"/>
              </w:rPr>
              <w:t>Actual Budget Utilization</w:t>
            </w:r>
          </w:p>
        </w:tc>
      </w:tr>
      <w:tr w:rsidR="00123DC4" w:rsidRPr="005158E3" w:rsidTr="00D979B0">
        <w:tc>
          <w:tcPr>
            <w:tcW w:w="1841" w:type="pct"/>
            <w:tcBorders>
              <w:top w:val="single" w:sz="4" w:space="0" w:color="auto"/>
              <w:left w:val="single" w:sz="4" w:space="0" w:color="auto"/>
              <w:bottom w:val="single" w:sz="4" w:space="0" w:color="auto"/>
              <w:right w:val="single" w:sz="4" w:space="0" w:color="auto"/>
            </w:tcBorders>
            <w:vAlign w:val="center"/>
          </w:tcPr>
          <w:p w:rsidR="00123DC4" w:rsidRPr="005158E3" w:rsidRDefault="00123DC4" w:rsidP="00132057">
            <w:pPr>
              <w:autoSpaceDE w:val="0"/>
              <w:autoSpaceDN w:val="0"/>
              <w:adjustRightInd w:val="0"/>
              <w:spacing w:before="40" w:after="40"/>
              <w:rPr>
                <w:sz w:val="16"/>
                <w:szCs w:val="16"/>
              </w:rPr>
            </w:pPr>
            <w:r w:rsidRPr="005158E3">
              <w:rPr>
                <w:sz w:val="16"/>
                <w:szCs w:val="16"/>
              </w:rPr>
              <w:t>Construction-related costs</w:t>
            </w:r>
          </w:p>
        </w:tc>
        <w:tc>
          <w:tcPr>
            <w:tcW w:w="999" w:type="pct"/>
            <w:tcBorders>
              <w:top w:val="single" w:sz="4" w:space="0" w:color="auto"/>
              <w:left w:val="single" w:sz="4" w:space="0" w:color="auto"/>
              <w:bottom w:val="single" w:sz="4" w:space="0" w:color="auto"/>
              <w:right w:val="single" w:sz="4" w:space="0" w:color="auto"/>
            </w:tcBorders>
            <w:vAlign w:val="center"/>
          </w:tcPr>
          <w:p w:rsidR="00123DC4" w:rsidRPr="005158E3" w:rsidRDefault="00123DC4" w:rsidP="00132057">
            <w:pPr>
              <w:autoSpaceDE w:val="0"/>
              <w:autoSpaceDN w:val="0"/>
              <w:adjustRightInd w:val="0"/>
              <w:spacing w:before="40" w:after="40"/>
              <w:jc w:val="center"/>
              <w:rPr>
                <w:sz w:val="16"/>
                <w:szCs w:val="16"/>
              </w:rPr>
            </w:pPr>
            <w:r w:rsidRPr="005158E3">
              <w:rPr>
                <w:sz w:val="16"/>
                <w:szCs w:val="16"/>
              </w:rPr>
              <w:t>312,000</w:t>
            </w:r>
          </w:p>
        </w:tc>
        <w:tc>
          <w:tcPr>
            <w:tcW w:w="999" w:type="pct"/>
            <w:tcBorders>
              <w:top w:val="single" w:sz="4" w:space="0" w:color="auto"/>
              <w:left w:val="single" w:sz="4" w:space="0" w:color="auto"/>
              <w:bottom w:val="single" w:sz="4" w:space="0" w:color="auto"/>
              <w:right w:val="single" w:sz="4" w:space="0" w:color="auto"/>
            </w:tcBorders>
          </w:tcPr>
          <w:p w:rsidR="00123DC4" w:rsidRPr="005158E3" w:rsidRDefault="00123DC4" w:rsidP="00132057">
            <w:pPr>
              <w:autoSpaceDE w:val="0"/>
              <w:autoSpaceDN w:val="0"/>
              <w:adjustRightInd w:val="0"/>
              <w:spacing w:before="40" w:after="40"/>
              <w:jc w:val="center"/>
              <w:rPr>
                <w:sz w:val="16"/>
                <w:szCs w:val="16"/>
              </w:rPr>
            </w:pPr>
            <w:r>
              <w:rPr>
                <w:sz w:val="16"/>
                <w:szCs w:val="16"/>
                <w:lang w:val="fr-CH"/>
              </w:rPr>
              <w:t>122,587</w:t>
            </w:r>
          </w:p>
        </w:tc>
        <w:tc>
          <w:tcPr>
            <w:tcW w:w="1162" w:type="pct"/>
            <w:tcBorders>
              <w:top w:val="single" w:sz="4" w:space="0" w:color="auto"/>
              <w:left w:val="single" w:sz="4" w:space="0" w:color="auto"/>
              <w:bottom w:val="single" w:sz="4" w:space="0" w:color="auto"/>
              <w:right w:val="single" w:sz="4" w:space="0" w:color="auto"/>
            </w:tcBorders>
          </w:tcPr>
          <w:p w:rsidR="00123DC4" w:rsidRPr="005158E3" w:rsidRDefault="00123DC4" w:rsidP="00132057">
            <w:pPr>
              <w:autoSpaceDE w:val="0"/>
              <w:autoSpaceDN w:val="0"/>
              <w:adjustRightInd w:val="0"/>
              <w:spacing w:before="40" w:after="40"/>
              <w:jc w:val="center"/>
              <w:rPr>
                <w:sz w:val="16"/>
                <w:szCs w:val="16"/>
              </w:rPr>
            </w:pPr>
            <w:r>
              <w:rPr>
                <w:sz w:val="16"/>
                <w:szCs w:val="16"/>
              </w:rPr>
              <w:t>39%</w:t>
            </w:r>
          </w:p>
        </w:tc>
      </w:tr>
      <w:tr w:rsidR="00123DC4" w:rsidRPr="005158E3" w:rsidTr="00D979B0">
        <w:tc>
          <w:tcPr>
            <w:tcW w:w="1841" w:type="pct"/>
            <w:tcBorders>
              <w:top w:val="single" w:sz="4" w:space="0" w:color="auto"/>
              <w:left w:val="single" w:sz="4" w:space="0" w:color="auto"/>
              <w:bottom w:val="single" w:sz="4" w:space="0" w:color="auto"/>
              <w:right w:val="single" w:sz="4" w:space="0" w:color="auto"/>
            </w:tcBorders>
            <w:vAlign w:val="center"/>
          </w:tcPr>
          <w:p w:rsidR="00123DC4" w:rsidRPr="005158E3" w:rsidRDefault="00123DC4" w:rsidP="00132057">
            <w:pPr>
              <w:autoSpaceDE w:val="0"/>
              <w:autoSpaceDN w:val="0"/>
              <w:adjustRightInd w:val="0"/>
              <w:spacing w:before="40" w:after="40"/>
              <w:rPr>
                <w:sz w:val="16"/>
                <w:szCs w:val="16"/>
              </w:rPr>
            </w:pPr>
            <w:r w:rsidRPr="005158E3">
              <w:rPr>
                <w:sz w:val="16"/>
                <w:szCs w:val="16"/>
              </w:rPr>
              <w:t>Honoraria</w:t>
            </w:r>
          </w:p>
        </w:tc>
        <w:tc>
          <w:tcPr>
            <w:tcW w:w="999" w:type="pct"/>
            <w:tcBorders>
              <w:top w:val="single" w:sz="4" w:space="0" w:color="auto"/>
              <w:left w:val="single" w:sz="4" w:space="0" w:color="auto"/>
              <w:bottom w:val="single" w:sz="4" w:space="0" w:color="auto"/>
              <w:right w:val="single" w:sz="4" w:space="0" w:color="auto"/>
            </w:tcBorders>
            <w:vAlign w:val="center"/>
          </w:tcPr>
          <w:p w:rsidR="00123DC4" w:rsidRPr="005158E3" w:rsidRDefault="00123DC4" w:rsidP="00132057">
            <w:pPr>
              <w:autoSpaceDE w:val="0"/>
              <w:autoSpaceDN w:val="0"/>
              <w:adjustRightInd w:val="0"/>
              <w:spacing w:before="40" w:after="40"/>
              <w:jc w:val="center"/>
              <w:rPr>
                <w:sz w:val="16"/>
                <w:szCs w:val="16"/>
              </w:rPr>
            </w:pPr>
            <w:r w:rsidRPr="005158E3">
              <w:rPr>
                <w:sz w:val="16"/>
                <w:szCs w:val="16"/>
              </w:rPr>
              <w:t>60,000</w:t>
            </w:r>
          </w:p>
        </w:tc>
        <w:tc>
          <w:tcPr>
            <w:tcW w:w="999" w:type="pct"/>
            <w:tcBorders>
              <w:top w:val="single" w:sz="4" w:space="0" w:color="auto"/>
              <w:left w:val="single" w:sz="4" w:space="0" w:color="auto"/>
              <w:bottom w:val="single" w:sz="4" w:space="0" w:color="auto"/>
              <w:right w:val="single" w:sz="4" w:space="0" w:color="auto"/>
            </w:tcBorders>
          </w:tcPr>
          <w:p w:rsidR="00123DC4" w:rsidRPr="005158E3" w:rsidRDefault="00123DC4" w:rsidP="00132057">
            <w:pPr>
              <w:autoSpaceDE w:val="0"/>
              <w:autoSpaceDN w:val="0"/>
              <w:adjustRightInd w:val="0"/>
              <w:spacing w:before="40" w:after="40"/>
              <w:jc w:val="center"/>
              <w:rPr>
                <w:sz w:val="16"/>
                <w:szCs w:val="16"/>
              </w:rPr>
            </w:pPr>
            <w:r>
              <w:rPr>
                <w:sz w:val="16"/>
                <w:szCs w:val="16"/>
              </w:rPr>
              <w:t>0</w:t>
            </w:r>
          </w:p>
        </w:tc>
        <w:tc>
          <w:tcPr>
            <w:tcW w:w="1162" w:type="pct"/>
            <w:tcBorders>
              <w:top w:val="single" w:sz="4" w:space="0" w:color="auto"/>
              <w:left w:val="single" w:sz="4" w:space="0" w:color="auto"/>
              <w:bottom w:val="single" w:sz="4" w:space="0" w:color="auto"/>
              <w:right w:val="single" w:sz="4" w:space="0" w:color="auto"/>
            </w:tcBorders>
          </w:tcPr>
          <w:p w:rsidR="00123DC4" w:rsidRPr="005158E3" w:rsidRDefault="00123DC4" w:rsidP="00132057">
            <w:pPr>
              <w:autoSpaceDE w:val="0"/>
              <w:autoSpaceDN w:val="0"/>
              <w:adjustRightInd w:val="0"/>
              <w:spacing w:before="40" w:after="40"/>
              <w:jc w:val="center"/>
              <w:rPr>
                <w:sz w:val="16"/>
                <w:szCs w:val="16"/>
              </w:rPr>
            </w:pPr>
            <w:r>
              <w:rPr>
                <w:sz w:val="16"/>
                <w:szCs w:val="16"/>
              </w:rPr>
              <w:t>0%</w:t>
            </w:r>
          </w:p>
        </w:tc>
      </w:tr>
      <w:tr w:rsidR="00123DC4" w:rsidRPr="005158E3" w:rsidTr="00D979B0">
        <w:tc>
          <w:tcPr>
            <w:tcW w:w="1841" w:type="pct"/>
            <w:tcBorders>
              <w:top w:val="single" w:sz="4" w:space="0" w:color="auto"/>
              <w:left w:val="single" w:sz="4" w:space="0" w:color="auto"/>
              <w:bottom w:val="single" w:sz="4" w:space="0" w:color="auto"/>
              <w:right w:val="single" w:sz="4" w:space="0" w:color="auto"/>
            </w:tcBorders>
            <w:vAlign w:val="center"/>
          </w:tcPr>
          <w:p w:rsidR="00123DC4" w:rsidRPr="005158E3" w:rsidRDefault="00123DC4" w:rsidP="00132057">
            <w:pPr>
              <w:autoSpaceDE w:val="0"/>
              <w:autoSpaceDN w:val="0"/>
              <w:adjustRightInd w:val="0"/>
              <w:spacing w:before="40" w:after="40"/>
              <w:rPr>
                <w:sz w:val="16"/>
                <w:szCs w:val="16"/>
              </w:rPr>
            </w:pPr>
            <w:r w:rsidRPr="005158E3">
              <w:rPr>
                <w:sz w:val="16"/>
                <w:szCs w:val="16"/>
              </w:rPr>
              <w:t>Miscellaneous and unforeseen</w:t>
            </w:r>
          </w:p>
        </w:tc>
        <w:tc>
          <w:tcPr>
            <w:tcW w:w="999" w:type="pct"/>
            <w:tcBorders>
              <w:top w:val="single" w:sz="4" w:space="0" w:color="auto"/>
              <w:left w:val="single" w:sz="4" w:space="0" w:color="auto"/>
              <w:bottom w:val="single" w:sz="4" w:space="0" w:color="auto"/>
              <w:right w:val="single" w:sz="4" w:space="0" w:color="auto"/>
            </w:tcBorders>
            <w:vAlign w:val="center"/>
          </w:tcPr>
          <w:p w:rsidR="00123DC4" w:rsidRPr="005158E3" w:rsidRDefault="00123DC4" w:rsidP="00132057">
            <w:pPr>
              <w:autoSpaceDE w:val="0"/>
              <w:autoSpaceDN w:val="0"/>
              <w:adjustRightInd w:val="0"/>
              <w:spacing w:before="40" w:after="40"/>
              <w:jc w:val="center"/>
              <w:rPr>
                <w:sz w:val="16"/>
                <w:szCs w:val="16"/>
              </w:rPr>
            </w:pPr>
            <w:r w:rsidRPr="005158E3">
              <w:rPr>
                <w:sz w:val="16"/>
                <w:szCs w:val="16"/>
              </w:rPr>
              <w:t>28,000</w:t>
            </w:r>
          </w:p>
        </w:tc>
        <w:tc>
          <w:tcPr>
            <w:tcW w:w="999" w:type="pct"/>
            <w:tcBorders>
              <w:top w:val="single" w:sz="4" w:space="0" w:color="auto"/>
              <w:left w:val="single" w:sz="4" w:space="0" w:color="auto"/>
              <w:bottom w:val="single" w:sz="4" w:space="0" w:color="auto"/>
              <w:right w:val="single" w:sz="4" w:space="0" w:color="auto"/>
            </w:tcBorders>
          </w:tcPr>
          <w:p w:rsidR="00123DC4" w:rsidRPr="005158E3" w:rsidRDefault="00123DC4" w:rsidP="00132057">
            <w:pPr>
              <w:autoSpaceDE w:val="0"/>
              <w:autoSpaceDN w:val="0"/>
              <w:adjustRightInd w:val="0"/>
              <w:spacing w:before="40" w:after="40"/>
              <w:jc w:val="center"/>
              <w:rPr>
                <w:sz w:val="16"/>
                <w:szCs w:val="16"/>
              </w:rPr>
            </w:pPr>
            <w:r>
              <w:rPr>
                <w:sz w:val="16"/>
                <w:szCs w:val="16"/>
              </w:rPr>
              <w:t>0</w:t>
            </w:r>
          </w:p>
        </w:tc>
        <w:tc>
          <w:tcPr>
            <w:tcW w:w="1162" w:type="pct"/>
            <w:tcBorders>
              <w:top w:val="single" w:sz="4" w:space="0" w:color="auto"/>
              <w:left w:val="single" w:sz="4" w:space="0" w:color="auto"/>
              <w:bottom w:val="single" w:sz="4" w:space="0" w:color="auto"/>
              <w:right w:val="single" w:sz="4" w:space="0" w:color="auto"/>
            </w:tcBorders>
          </w:tcPr>
          <w:p w:rsidR="00123DC4" w:rsidRPr="005158E3" w:rsidRDefault="00123DC4" w:rsidP="00132057">
            <w:pPr>
              <w:autoSpaceDE w:val="0"/>
              <w:autoSpaceDN w:val="0"/>
              <w:adjustRightInd w:val="0"/>
              <w:spacing w:before="40" w:after="40"/>
              <w:jc w:val="center"/>
              <w:rPr>
                <w:sz w:val="16"/>
                <w:szCs w:val="16"/>
              </w:rPr>
            </w:pPr>
            <w:r>
              <w:rPr>
                <w:sz w:val="16"/>
                <w:szCs w:val="16"/>
              </w:rPr>
              <w:t>0%</w:t>
            </w:r>
          </w:p>
        </w:tc>
      </w:tr>
      <w:tr w:rsidR="00123DC4" w:rsidRPr="005158E3" w:rsidTr="00D979B0">
        <w:tc>
          <w:tcPr>
            <w:tcW w:w="1841"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5158E3" w:rsidRDefault="00123DC4" w:rsidP="00132057">
            <w:pPr>
              <w:autoSpaceDE w:val="0"/>
              <w:autoSpaceDN w:val="0"/>
              <w:adjustRightInd w:val="0"/>
              <w:spacing w:before="40" w:after="40"/>
              <w:rPr>
                <w:b/>
                <w:sz w:val="16"/>
                <w:szCs w:val="16"/>
              </w:rPr>
            </w:pPr>
            <w:r w:rsidRPr="005158E3">
              <w:rPr>
                <w:b/>
                <w:sz w:val="16"/>
                <w:szCs w:val="16"/>
              </w:rPr>
              <w:t>Total</w:t>
            </w:r>
          </w:p>
        </w:tc>
        <w:tc>
          <w:tcPr>
            <w:tcW w:w="999" w:type="pct"/>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123DC4" w:rsidRPr="005158E3" w:rsidRDefault="00123DC4" w:rsidP="00132057">
            <w:pPr>
              <w:autoSpaceDE w:val="0"/>
              <w:autoSpaceDN w:val="0"/>
              <w:adjustRightInd w:val="0"/>
              <w:spacing w:before="40" w:after="40"/>
              <w:jc w:val="center"/>
              <w:rPr>
                <w:b/>
                <w:sz w:val="16"/>
                <w:szCs w:val="16"/>
              </w:rPr>
            </w:pPr>
            <w:r w:rsidRPr="005158E3">
              <w:rPr>
                <w:b/>
                <w:sz w:val="16"/>
                <w:szCs w:val="16"/>
              </w:rPr>
              <w:t>400,000</w:t>
            </w:r>
          </w:p>
        </w:tc>
        <w:tc>
          <w:tcPr>
            <w:tcW w:w="999" w:type="pct"/>
            <w:tcBorders>
              <w:top w:val="single" w:sz="4" w:space="0" w:color="auto"/>
              <w:left w:val="single" w:sz="4" w:space="0" w:color="auto"/>
              <w:bottom w:val="single" w:sz="4" w:space="0" w:color="auto"/>
              <w:right w:val="single" w:sz="4" w:space="0" w:color="auto"/>
            </w:tcBorders>
            <w:shd w:val="clear" w:color="auto" w:fill="C6D9F1" w:themeFill="text2" w:themeFillTint="33"/>
          </w:tcPr>
          <w:p w:rsidR="00123DC4" w:rsidRPr="005158E3" w:rsidRDefault="00123DC4" w:rsidP="00132057">
            <w:pPr>
              <w:autoSpaceDE w:val="0"/>
              <w:autoSpaceDN w:val="0"/>
              <w:adjustRightInd w:val="0"/>
              <w:spacing w:before="40" w:after="40"/>
              <w:jc w:val="center"/>
              <w:rPr>
                <w:b/>
                <w:sz w:val="16"/>
                <w:szCs w:val="16"/>
              </w:rPr>
            </w:pPr>
            <w:r>
              <w:rPr>
                <w:b/>
                <w:sz w:val="16"/>
                <w:szCs w:val="16"/>
              </w:rPr>
              <w:t>122,587</w:t>
            </w:r>
          </w:p>
        </w:tc>
        <w:tc>
          <w:tcPr>
            <w:tcW w:w="1162" w:type="pct"/>
            <w:tcBorders>
              <w:top w:val="single" w:sz="4" w:space="0" w:color="auto"/>
              <w:left w:val="single" w:sz="4" w:space="0" w:color="auto"/>
              <w:bottom w:val="single" w:sz="4" w:space="0" w:color="auto"/>
              <w:right w:val="single" w:sz="4" w:space="0" w:color="auto"/>
            </w:tcBorders>
            <w:shd w:val="clear" w:color="auto" w:fill="C6D9F1" w:themeFill="text2" w:themeFillTint="33"/>
          </w:tcPr>
          <w:p w:rsidR="00123DC4" w:rsidRPr="005158E3" w:rsidRDefault="00123DC4" w:rsidP="00132057">
            <w:pPr>
              <w:autoSpaceDE w:val="0"/>
              <w:autoSpaceDN w:val="0"/>
              <w:adjustRightInd w:val="0"/>
              <w:spacing w:before="40" w:after="40"/>
              <w:jc w:val="center"/>
              <w:rPr>
                <w:b/>
                <w:sz w:val="16"/>
                <w:szCs w:val="16"/>
              </w:rPr>
            </w:pPr>
          </w:p>
        </w:tc>
      </w:tr>
    </w:tbl>
    <w:p w:rsidR="00123DC4" w:rsidRPr="00ED7C01" w:rsidRDefault="00123DC4" w:rsidP="00132057">
      <w:pPr>
        <w:rPr>
          <w:rFonts w:cs="Arial"/>
          <w:color w:val="000000"/>
          <w:szCs w:val="22"/>
        </w:rPr>
      </w:pPr>
    </w:p>
    <w:p w:rsidR="00123DC4" w:rsidRPr="00ED7C01" w:rsidRDefault="00123DC4" w:rsidP="00132057">
      <w:pPr>
        <w:rPr>
          <w:rFonts w:cs="Arial"/>
          <w:color w:val="000000"/>
          <w:szCs w:val="22"/>
        </w:rPr>
      </w:pPr>
    </w:p>
    <w:p w:rsidR="00123DC4" w:rsidRPr="00ED7C01" w:rsidRDefault="00123DC4" w:rsidP="00132057">
      <w:pPr>
        <w:rPr>
          <w:rFonts w:cs="Arial"/>
          <w:color w:val="000000"/>
          <w:szCs w:val="22"/>
        </w:rPr>
      </w:pPr>
      <w:r w:rsidRPr="00ED7C01">
        <w:rPr>
          <w:rFonts w:cs="Arial"/>
          <w:color w:val="000000"/>
          <w:szCs w:val="22"/>
        </w:rPr>
        <w:t>RISK AND MITIGATION STRATEGIES</w:t>
      </w:r>
    </w:p>
    <w:p w:rsidR="00123DC4" w:rsidRPr="00ED7C01" w:rsidRDefault="00123DC4" w:rsidP="00132057">
      <w:pPr>
        <w:rPr>
          <w:rFonts w:cs="Arial"/>
          <w:color w:val="000000"/>
          <w:szCs w:val="22"/>
        </w:rPr>
      </w:pPr>
    </w:p>
    <w:p w:rsidR="00123DC4" w:rsidRPr="00ED7C01" w:rsidRDefault="00123DC4" w:rsidP="00132057">
      <w:pPr>
        <w:rPr>
          <w:rFonts w:cs="Arial"/>
          <w:color w:val="000000"/>
          <w:szCs w:val="22"/>
        </w:rPr>
      </w:pPr>
    </w:p>
    <w:tbl>
      <w:tblPr>
        <w:tblW w:w="481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71"/>
        <w:gridCol w:w="2812"/>
        <w:gridCol w:w="3330"/>
      </w:tblGrid>
      <w:tr w:rsidR="00123DC4" w:rsidRPr="00296879" w:rsidTr="00FC43E9">
        <w:trPr>
          <w:trHeight w:val="308"/>
          <w:tblHeader/>
          <w:jc w:val="center"/>
        </w:trPr>
        <w:tc>
          <w:tcPr>
            <w:tcW w:w="1667" w:type="pct"/>
            <w:shd w:val="clear" w:color="auto" w:fill="C6D9F1" w:themeFill="text2" w:themeFillTint="33"/>
            <w:vAlign w:val="center"/>
          </w:tcPr>
          <w:p w:rsidR="00123DC4" w:rsidRPr="00296879" w:rsidRDefault="00123DC4" w:rsidP="00132057">
            <w:pPr>
              <w:autoSpaceDE w:val="0"/>
              <w:autoSpaceDN w:val="0"/>
              <w:adjustRightInd w:val="0"/>
              <w:spacing w:before="40" w:after="40" w:line="260" w:lineRule="exact"/>
              <w:ind w:left="-74" w:right="-60"/>
              <w:jc w:val="center"/>
              <w:rPr>
                <w:b/>
                <w:bCs/>
                <w:sz w:val="16"/>
                <w:szCs w:val="16"/>
                <w:lang w:val="fr-CH"/>
              </w:rPr>
            </w:pPr>
            <w:r w:rsidRPr="00296879">
              <w:rPr>
                <w:b/>
                <w:bCs/>
                <w:sz w:val="16"/>
                <w:szCs w:val="16"/>
                <w:lang w:val="fr-CH"/>
              </w:rPr>
              <w:t xml:space="preserve">Risk </w:t>
            </w:r>
            <w:r>
              <w:rPr>
                <w:b/>
                <w:bCs/>
                <w:sz w:val="16"/>
                <w:szCs w:val="16"/>
                <w:lang w:val="fr-CH"/>
              </w:rPr>
              <w:t xml:space="preserve">/ Risk </w:t>
            </w:r>
            <w:r w:rsidRPr="00296879">
              <w:rPr>
                <w:b/>
                <w:bCs/>
                <w:sz w:val="16"/>
                <w:szCs w:val="16"/>
                <w:lang w:val="fr-CH"/>
              </w:rPr>
              <w:t>Description</w:t>
            </w:r>
          </w:p>
        </w:tc>
        <w:tc>
          <w:tcPr>
            <w:tcW w:w="1526" w:type="pct"/>
            <w:shd w:val="clear" w:color="auto" w:fill="C6D9F1" w:themeFill="text2" w:themeFillTint="33"/>
            <w:vAlign w:val="center"/>
          </w:tcPr>
          <w:p w:rsidR="00123DC4" w:rsidRPr="00296879" w:rsidRDefault="00123DC4" w:rsidP="00132057">
            <w:pPr>
              <w:autoSpaceDE w:val="0"/>
              <w:autoSpaceDN w:val="0"/>
              <w:adjustRightInd w:val="0"/>
              <w:spacing w:before="40" w:after="40" w:line="260" w:lineRule="exact"/>
              <w:ind w:left="-107" w:right="-108"/>
              <w:jc w:val="center"/>
              <w:rPr>
                <w:b/>
                <w:bCs/>
                <w:sz w:val="16"/>
                <w:szCs w:val="16"/>
                <w:lang w:val="fr-CH"/>
              </w:rPr>
            </w:pPr>
            <w:r w:rsidRPr="00296879">
              <w:rPr>
                <w:b/>
                <w:bCs/>
                <w:sz w:val="16"/>
                <w:szCs w:val="16"/>
                <w:lang w:val="fr-CH"/>
              </w:rPr>
              <w:t>Risk Mitigation</w:t>
            </w:r>
            <w:r w:rsidRPr="00296879" w:rsidDel="00B70319">
              <w:rPr>
                <w:b/>
                <w:bCs/>
                <w:sz w:val="16"/>
                <w:szCs w:val="16"/>
                <w:lang w:val="fr-CH"/>
              </w:rPr>
              <w:t xml:space="preserve"> </w:t>
            </w:r>
          </w:p>
        </w:tc>
        <w:tc>
          <w:tcPr>
            <w:tcW w:w="1807" w:type="pct"/>
            <w:shd w:val="clear" w:color="auto" w:fill="C6D9F1" w:themeFill="text2" w:themeFillTint="33"/>
            <w:vAlign w:val="center"/>
          </w:tcPr>
          <w:p w:rsidR="00123DC4" w:rsidRPr="00296879" w:rsidRDefault="00123DC4" w:rsidP="00132057">
            <w:pPr>
              <w:autoSpaceDE w:val="0"/>
              <w:autoSpaceDN w:val="0"/>
              <w:adjustRightInd w:val="0"/>
              <w:spacing w:before="40" w:after="40" w:line="260" w:lineRule="exact"/>
              <w:ind w:left="-109"/>
              <w:jc w:val="center"/>
              <w:rPr>
                <w:b/>
                <w:bCs/>
                <w:sz w:val="16"/>
                <w:szCs w:val="16"/>
                <w:lang w:val="fr-CH"/>
              </w:rPr>
            </w:pPr>
            <w:r>
              <w:rPr>
                <w:b/>
                <w:bCs/>
                <w:sz w:val="16"/>
                <w:szCs w:val="16"/>
                <w:lang w:val="fr-CH"/>
              </w:rPr>
              <w:t>Comment</w:t>
            </w:r>
          </w:p>
        </w:tc>
      </w:tr>
      <w:tr w:rsidR="00123DC4" w:rsidRPr="00296879" w:rsidTr="00FC43E9">
        <w:trPr>
          <w:trHeight w:val="776"/>
          <w:jc w:val="center"/>
        </w:trPr>
        <w:tc>
          <w:tcPr>
            <w:tcW w:w="1667" w:type="pct"/>
            <w:shd w:val="clear" w:color="auto" w:fill="FFFFFF" w:themeFill="background1"/>
          </w:tcPr>
          <w:p w:rsidR="00123DC4" w:rsidRPr="00296879" w:rsidRDefault="00123DC4" w:rsidP="00132057">
            <w:pPr>
              <w:autoSpaceDE w:val="0"/>
              <w:autoSpaceDN w:val="0"/>
              <w:adjustRightInd w:val="0"/>
              <w:spacing w:before="40" w:after="40"/>
              <w:rPr>
                <w:sz w:val="16"/>
                <w:szCs w:val="16"/>
              </w:rPr>
            </w:pPr>
            <w:r w:rsidRPr="00296879">
              <w:rPr>
                <w:sz w:val="16"/>
                <w:szCs w:val="16"/>
              </w:rPr>
              <w:t xml:space="preserve">Inability to carry out the works during the planned timeframe </w:t>
            </w:r>
            <w:r>
              <w:rPr>
                <w:sz w:val="16"/>
                <w:szCs w:val="16"/>
              </w:rPr>
              <w:t>due to t</w:t>
            </w:r>
            <w:r w:rsidRPr="00296879">
              <w:rPr>
                <w:sz w:val="16"/>
                <w:szCs w:val="16"/>
              </w:rPr>
              <w:t>he unavailability of a vendor within WIPO’s requested timeframe</w:t>
            </w:r>
            <w:r>
              <w:rPr>
                <w:sz w:val="16"/>
                <w:szCs w:val="16"/>
              </w:rPr>
              <w:t>.</w:t>
            </w:r>
          </w:p>
        </w:tc>
        <w:tc>
          <w:tcPr>
            <w:tcW w:w="1526" w:type="pct"/>
            <w:shd w:val="clear" w:color="auto" w:fill="FFFFFF" w:themeFill="background1"/>
          </w:tcPr>
          <w:p w:rsidR="00123DC4" w:rsidRPr="00296879" w:rsidRDefault="00123DC4" w:rsidP="00132057">
            <w:pPr>
              <w:autoSpaceDE w:val="0"/>
              <w:autoSpaceDN w:val="0"/>
              <w:adjustRightInd w:val="0"/>
              <w:spacing w:before="40" w:after="40"/>
              <w:rPr>
                <w:sz w:val="16"/>
                <w:szCs w:val="16"/>
              </w:rPr>
            </w:pPr>
            <w:r>
              <w:rPr>
                <w:sz w:val="16"/>
                <w:szCs w:val="16"/>
              </w:rPr>
              <w:t>Use WIPO staff to address gaps where possible/appropriate.</w:t>
            </w:r>
          </w:p>
        </w:tc>
        <w:tc>
          <w:tcPr>
            <w:tcW w:w="1807" w:type="pct"/>
            <w:shd w:val="clear" w:color="auto" w:fill="FFFFFF" w:themeFill="background1"/>
          </w:tcPr>
          <w:p w:rsidR="00123DC4" w:rsidRPr="00296879" w:rsidRDefault="00123DC4" w:rsidP="00132057">
            <w:pPr>
              <w:autoSpaceDE w:val="0"/>
              <w:autoSpaceDN w:val="0"/>
              <w:adjustRightInd w:val="0"/>
              <w:spacing w:before="40" w:after="40"/>
              <w:rPr>
                <w:sz w:val="16"/>
                <w:szCs w:val="16"/>
              </w:rPr>
            </w:pPr>
            <w:r>
              <w:rPr>
                <w:sz w:val="16"/>
                <w:szCs w:val="16"/>
              </w:rPr>
              <w:t xml:space="preserve">In 2015, the study for the </w:t>
            </w:r>
            <w:r w:rsidRPr="003962D0">
              <w:rPr>
                <w:rFonts w:cs="Arial"/>
                <w:color w:val="000000"/>
                <w:sz w:val="16"/>
                <w:szCs w:val="16"/>
              </w:rPr>
              <w:t>project related to compartmentalization between GBI and AB</w:t>
            </w:r>
            <w:r>
              <w:rPr>
                <w:rFonts w:cs="Arial"/>
                <w:color w:val="000000"/>
                <w:sz w:val="16"/>
                <w:szCs w:val="16"/>
              </w:rPr>
              <w:t xml:space="preserve"> was delayed by six-months due to the unexpected departure of the consultant originally responsible for conducting the study.  In order to mitigate the impact of the risk event on the project implementation, the Secretariat conducted the study using WIPO staff.</w:t>
            </w:r>
          </w:p>
        </w:tc>
      </w:tr>
      <w:tr w:rsidR="00123DC4" w:rsidRPr="00296879" w:rsidTr="00FC43E9">
        <w:trPr>
          <w:trHeight w:val="669"/>
          <w:jc w:val="center"/>
        </w:trPr>
        <w:tc>
          <w:tcPr>
            <w:tcW w:w="1667" w:type="pct"/>
            <w:shd w:val="clear" w:color="auto" w:fill="FFFFFF" w:themeFill="background1"/>
          </w:tcPr>
          <w:p w:rsidR="00123DC4" w:rsidRPr="00296879" w:rsidRDefault="00123DC4" w:rsidP="00132057">
            <w:pPr>
              <w:autoSpaceDE w:val="0"/>
              <w:autoSpaceDN w:val="0"/>
              <w:adjustRightInd w:val="0"/>
              <w:spacing w:before="40" w:after="40"/>
              <w:rPr>
                <w:sz w:val="16"/>
                <w:szCs w:val="16"/>
              </w:rPr>
            </w:pPr>
            <w:r w:rsidRPr="00296879">
              <w:rPr>
                <w:sz w:val="16"/>
                <w:szCs w:val="16"/>
              </w:rPr>
              <w:t xml:space="preserve">Delay or interruption of works </w:t>
            </w:r>
            <w:r>
              <w:rPr>
                <w:sz w:val="16"/>
                <w:szCs w:val="16"/>
              </w:rPr>
              <w:t>due to s</w:t>
            </w:r>
            <w:r w:rsidRPr="00296879">
              <w:rPr>
                <w:sz w:val="16"/>
                <w:szCs w:val="16"/>
              </w:rPr>
              <w:t>ite accident</w:t>
            </w:r>
            <w:r>
              <w:rPr>
                <w:sz w:val="16"/>
                <w:szCs w:val="16"/>
              </w:rPr>
              <w:t>.</w:t>
            </w:r>
          </w:p>
        </w:tc>
        <w:tc>
          <w:tcPr>
            <w:tcW w:w="1526" w:type="pct"/>
            <w:shd w:val="clear" w:color="auto" w:fill="FFFFFF" w:themeFill="background1"/>
          </w:tcPr>
          <w:p w:rsidR="00123DC4" w:rsidRPr="00296879" w:rsidRDefault="00123DC4" w:rsidP="00132057">
            <w:pPr>
              <w:autoSpaceDE w:val="0"/>
              <w:autoSpaceDN w:val="0"/>
              <w:adjustRightInd w:val="0"/>
              <w:spacing w:before="40" w:after="40"/>
              <w:rPr>
                <w:sz w:val="16"/>
                <w:szCs w:val="16"/>
              </w:rPr>
            </w:pPr>
            <w:r w:rsidRPr="00296879">
              <w:rPr>
                <w:sz w:val="16"/>
                <w:szCs w:val="16"/>
              </w:rPr>
              <w:t xml:space="preserve">Revalidation and strengthening of the security measures </w:t>
            </w:r>
            <w:r>
              <w:rPr>
                <w:sz w:val="16"/>
                <w:szCs w:val="16"/>
              </w:rPr>
              <w:t>and r</w:t>
            </w:r>
            <w:r w:rsidRPr="00296879">
              <w:rPr>
                <w:sz w:val="16"/>
                <w:szCs w:val="16"/>
              </w:rPr>
              <w:t>eview of the works timetable</w:t>
            </w:r>
            <w:r>
              <w:rPr>
                <w:sz w:val="16"/>
                <w:szCs w:val="16"/>
              </w:rPr>
              <w:t>.</w:t>
            </w:r>
          </w:p>
        </w:tc>
        <w:tc>
          <w:tcPr>
            <w:tcW w:w="1807" w:type="pct"/>
            <w:shd w:val="clear" w:color="auto" w:fill="FFFFFF" w:themeFill="background1"/>
          </w:tcPr>
          <w:p w:rsidR="00123DC4" w:rsidRPr="00296879" w:rsidRDefault="00123DC4" w:rsidP="00132057">
            <w:pPr>
              <w:autoSpaceDE w:val="0"/>
              <w:autoSpaceDN w:val="0"/>
              <w:adjustRightInd w:val="0"/>
              <w:spacing w:before="40" w:after="40"/>
              <w:rPr>
                <w:sz w:val="16"/>
                <w:szCs w:val="16"/>
              </w:rPr>
            </w:pPr>
          </w:p>
        </w:tc>
      </w:tr>
    </w:tbl>
    <w:p w:rsidR="00123DC4" w:rsidRDefault="00123DC4" w:rsidP="00132057">
      <w:pPr>
        <w:rPr>
          <w:rFonts w:cs="Arial"/>
          <w:color w:val="000000"/>
          <w:sz w:val="22"/>
          <w:szCs w:val="22"/>
        </w:rPr>
      </w:pPr>
    </w:p>
    <w:p w:rsidR="00123DC4" w:rsidRDefault="00123DC4">
      <w:pPr>
        <w:spacing w:after="200" w:line="276" w:lineRule="auto"/>
        <w:rPr>
          <w:rFonts w:cs="Arial"/>
          <w:color w:val="000000"/>
          <w:sz w:val="22"/>
          <w:szCs w:val="22"/>
        </w:rPr>
      </w:pPr>
      <w:r>
        <w:rPr>
          <w:rFonts w:cs="Arial"/>
          <w:color w:val="000000"/>
          <w:sz w:val="22"/>
          <w:szCs w:val="22"/>
        </w:rPr>
        <w:br w:type="page"/>
      </w:r>
    </w:p>
    <w:p w:rsidR="00123DC4" w:rsidRPr="00ED7C01" w:rsidRDefault="00123DC4" w:rsidP="00132057">
      <w:pPr>
        <w:rPr>
          <w:szCs w:val="20"/>
        </w:rPr>
      </w:pPr>
      <w:r w:rsidRPr="00ED7C01">
        <w:rPr>
          <w:rFonts w:cs="Arial"/>
          <w:color w:val="000000"/>
          <w:szCs w:val="20"/>
        </w:rPr>
        <w:t>PROJECT TIMELINE BY MILESTONE</w:t>
      </w:r>
    </w:p>
    <w:p w:rsidR="00123DC4" w:rsidRPr="00ED7C01" w:rsidRDefault="00123DC4" w:rsidP="00132057">
      <w:pPr>
        <w:autoSpaceDE w:val="0"/>
        <w:autoSpaceDN w:val="0"/>
        <w:jc w:val="both"/>
        <w:rPr>
          <w:szCs w:val="20"/>
        </w:rPr>
      </w:pPr>
    </w:p>
    <w:tbl>
      <w:tblPr>
        <w:tblW w:w="10004" w:type="dxa"/>
        <w:jc w:val="center"/>
        <w:tblLook w:val="04A0" w:firstRow="1" w:lastRow="0" w:firstColumn="1" w:lastColumn="0" w:noHBand="0" w:noVBand="1"/>
      </w:tblPr>
      <w:tblGrid>
        <w:gridCol w:w="2324"/>
        <w:gridCol w:w="480"/>
        <w:gridCol w:w="480"/>
        <w:gridCol w:w="480"/>
        <w:gridCol w:w="480"/>
        <w:gridCol w:w="480"/>
        <w:gridCol w:w="480"/>
        <w:gridCol w:w="480"/>
        <w:gridCol w:w="480"/>
        <w:gridCol w:w="480"/>
        <w:gridCol w:w="480"/>
        <w:gridCol w:w="480"/>
        <w:gridCol w:w="480"/>
        <w:gridCol w:w="480"/>
        <w:gridCol w:w="480"/>
        <w:gridCol w:w="480"/>
        <w:gridCol w:w="480"/>
      </w:tblGrid>
      <w:tr w:rsidR="00123DC4" w:rsidRPr="005158E3" w:rsidTr="00132057">
        <w:trPr>
          <w:trHeight w:val="270"/>
          <w:tblHeader/>
          <w:jc w:val="center"/>
        </w:trPr>
        <w:tc>
          <w:tcPr>
            <w:tcW w:w="2324" w:type="dxa"/>
            <w:tcBorders>
              <w:top w:val="nil"/>
              <w:left w:val="nil"/>
              <w:bottom w:val="nil"/>
              <w:right w:val="nil"/>
            </w:tcBorders>
            <w:shd w:val="clear" w:color="auto" w:fill="auto"/>
            <w:noWrap/>
            <w:vAlign w:val="bottom"/>
            <w:hideMark/>
          </w:tcPr>
          <w:p w:rsidR="00123DC4" w:rsidRPr="00ED7C01" w:rsidRDefault="00123DC4" w:rsidP="00132057">
            <w:pPr>
              <w:rPr>
                <w:rFonts w:cs="Arial"/>
                <w:color w:val="000000"/>
                <w:sz w:val="18"/>
                <w:szCs w:val="18"/>
              </w:rPr>
            </w:pPr>
          </w:p>
        </w:tc>
        <w:tc>
          <w:tcPr>
            <w:tcW w:w="1920" w:type="dxa"/>
            <w:gridSpan w:val="4"/>
            <w:tcBorders>
              <w:top w:val="single" w:sz="8" w:space="0" w:color="auto"/>
              <w:left w:val="single" w:sz="8" w:space="0" w:color="auto"/>
              <w:bottom w:val="single" w:sz="4" w:space="0" w:color="auto"/>
              <w:right w:val="single" w:sz="8" w:space="0" w:color="000000"/>
            </w:tcBorders>
            <w:shd w:val="clear" w:color="auto" w:fill="C6D9F1" w:themeFill="text2" w:themeFillTint="33"/>
            <w:noWrap/>
            <w:vAlign w:val="bottom"/>
            <w:hideMark/>
          </w:tcPr>
          <w:p w:rsidR="00123DC4" w:rsidRPr="00ED7C01" w:rsidRDefault="00123DC4" w:rsidP="00132057">
            <w:pPr>
              <w:jc w:val="center"/>
              <w:rPr>
                <w:rFonts w:cs="Arial"/>
                <w:b/>
                <w:bCs/>
                <w:color w:val="000000"/>
                <w:sz w:val="18"/>
                <w:szCs w:val="18"/>
              </w:rPr>
            </w:pPr>
            <w:r w:rsidRPr="00ED7C01">
              <w:rPr>
                <w:rFonts w:cs="Arial"/>
                <w:b/>
                <w:bCs/>
                <w:color w:val="000000"/>
                <w:sz w:val="18"/>
                <w:szCs w:val="18"/>
              </w:rPr>
              <w:t>2014</w:t>
            </w:r>
          </w:p>
        </w:tc>
        <w:tc>
          <w:tcPr>
            <w:tcW w:w="1920" w:type="dxa"/>
            <w:gridSpan w:val="4"/>
            <w:tcBorders>
              <w:top w:val="single" w:sz="8" w:space="0" w:color="auto"/>
              <w:left w:val="nil"/>
              <w:bottom w:val="single" w:sz="4" w:space="0" w:color="auto"/>
              <w:right w:val="single" w:sz="8" w:space="0" w:color="000000"/>
            </w:tcBorders>
            <w:shd w:val="clear" w:color="auto" w:fill="C6D9F1" w:themeFill="text2" w:themeFillTint="33"/>
            <w:noWrap/>
            <w:vAlign w:val="bottom"/>
            <w:hideMark/>
          </w:tcPr>
          <w:p w:rsidR="00123DC4" w:rsidRPr="00ED7C01" w:rsidRDefault="00123DC4" w:rsidP="00132057">
            <w:pPr>
              <w:jc w:val="center"/>
              <w:rPr>
                <w:rFonts w:cs="Arial"/>
                <w:b/>
                <w:bCs/>
                <w:color w:val="000000"/>
                <w:sz w:val="18"/>
                <w:szCs w:val="18"/>
              </w:rPr>
            </w:pPr>
            <w:r w:rsidRPr="00ED7C01">
              <w:rPr>
                <w:rFonts w:cs="Arial"/>
                <w:b/>
                <w:bCs/>
                <w:color w:val="000000"/>
                <w:sz w:val="18"/>
                <w:szCs w:val="18"/>
              </w:rPr>
              <w:t>2015</w:t>
            </w:r>
          </w:p>
        </w:tc>
        <w:tc>
          <w:tcPr>
            <w:tcW w:w="1920" w:type="dxa"/>
            <w:gridSpan w:val="4"/>
            <w:tcBorders>
              <w:top w:val="single" w:sz="8" w:space="0" w:color="auto"/>
              <w:left w:val="nil"/>
              <w:bottom w:val="single" w:sz="4" w:space="0" w:color="auto"/>
              <w:right w:val="single" w:sz="8" w:space="0" w:color="000000"/>
            </w:tcBorders>
            <w:shd w:val="clear" w:color="auto" w:fill="C6D9F1" w:themeFill="text2" w:themeFillTint="33"/>
            <w:noWrap/>
            <w:vAlign w:val="bottom"/>
            <w:hideMark/>
          </w:tcPr>
          <w:p w:rsidR="00123DC4" w:rsidRPr="00ED7C01" w:rsidRDefault="00123DC4" w:rsidP="00132057">
            <w:pPr>
              <w:jc w:val="center"/>
              <w:rPr>
                <w:rFonts w:cs="Arial"/>
                <w:b/>
                <w:bCs/>
                <w:color w:val="000000"/>
                <w:sz w:val="18"/>
                <w:szCs w:val="18"/>
              </w:rPr>
            </w:pPr>
            <w:r w:rsidRPr="00ED7C01">
              <w:rPr>
                <w:rFonts w:cs="Arial"/>
                <w:b/>
                <w:bCs/>
                <w:color w:val="000000"/>
                <w:sz w:val="18"/>
                <w:szCs w:val="18"/>
              </w:rPr>
              <w:t>2016</w:t>
            </w:r>
          </w:p>
        </w:tc>
        <w:tc>
          <w:tcPr>
            <w:tcW w:w="1920" w:type="dxa"/>
            <w:gridSpan w:val="4"/>
            <w:tcBorders>
              <w:top w:val="single" w:sz="8" w:space="0" w:color="auto"/>
              <w:left w:val="nil"/>
              <w:bottom w:val="single" w:sz="4" w:space="0" w:color="auto"/>
              <w:right w:val="single" w:sz="8" w:space="0" w:color="000000"/>
            </w:tcBorders>
            <w:shd w:val="clear" w:color="auto" w:fill="C6D9F1" w:themeFill="text2" w:themeFillTint="33"/>
            <w:noWrap/>
            <w:vAlign w:val="bottom"/>
            <w:hideMark/>
          </w:tcPr>
          <w:p w:rsidR="00123DC4" w:rsidRPr="00ED7C01" w:rsidRDefault="00123DC4" w:rsidP="00132057">
            <w:pPr>
              <w:jc w:val="center"/>
              <w:rPr>
                <w:rFonts w:cs="Arial"/>
                <w:b/>
                <w:bCs/>
                <w:color w:val="000000"/>
                <w:sz w:val="18"/>
                <w:szCs w:val="18"/>
              </w:rPr>
            </w:pPr>
            <w:r w:rsidRPr="00ED7C01">
              <w:rPr>
                <w:rFonts w:cs="Arial"/>
                <w:b/>
                <w:bCs/>
                <w:color w:val="000000"/>
                <w:sz w:val="18"/>
                <w:szCs w:val="18"/>
              </w:rPr>
              <w:t>2017</w:t>
            </w:r>
          </w:p>
        </w:tc>
      </w:tr>
      <w:tr w:rsidR="00123DC4" w:rsidRPr="005158E3" w:rsidTr="00132057">
        <w:trPr>
          <w:trHeight w:val="375"/>
          <w:tblHeader/>
          <w:jc w:val="center"/>
        </w:trPr>
        <w:tc>
          <w:tcPr>
            <w:tcW w:w="2324" w:type="dxa"/>
            <w:tcBorders>
              <w:top w:val="single" w:sz="8" w:space="0" w:color="auto"/>
              <w:left w:val="single" w:sz="8" w:space="0" w:color="auto"/>
              <w:bottom w:val="single" w:sz="4" w:space="0" w:color="auto"/>
              <w:right w:val="single" w:sz="8" w:space="0" w:color="auto"/>
            </w:tcBorders>
            <w:shd w:val="clear" w:color="auto" w:fill="C6D9F1" w:themeFill="text2" w:themeFillTint="33"/>
            <w:noWrap/>
            <w:vAlign w:val="bottom"/>
            <w:hideMark/>
          </w:tcPr>
          <w:p w:rsidR="00123DC4" w:rsidRPr="00ED7C01" w:rsidRDefault="00123DC4" w:rsidP="00132057">
            <w:pPr>
              <w:jc w:val="center"/>
              <w:rPr>
                <w:rFonts w:cs="Arial"/>
                <w:b/>
                <w:bCs/>
                <w:color w:val="000000"/>
                <w:sz w:val="18"/>
                <w:szCs w:val="18"/>
              </w:rPr>
            </w:pPr>
            <w:r w:rsidRPr="00ED7C01">
              <w:rPr>
                <w:rFonts w:cs="Arial"/>
                <w:b/>
                <w:bCs/>
                <w:color w:val="000000"/>
                <w:sz w:val="18"/>
                <w:szCs w:val="18"/>
              </w:rPr>
              <w:t>Key Milestone</w:t>
            </w:r>
          </w:p>
        </w:tc>
        <w:tc>
          <w:tcPr>
            <w:tcW w:w="480" w:type="dxa"/>
            <w:tcBorders>
              <w:top w:val="nil"/>
              <w:left w:val="nil"/>
              <w:bottom w:val="single" w:sz="4" w:space="0" w:color="auto"/>
              <w:right w:val="single" w:sz="4" w:space="0" w:color="auto"/>
            </w:tcBorders>
            <w:shd w:val="clear" w:color="auto" w:fill="C6D9F1" w:themeFill="text2" w:themeFillTint="33"/>
            <w:noWrap/>
            <w:vAlign w:val="bottom"/>
            <w:hideMark/>
          </w:tcPr>
          <w:p w:rsidR="00123DC4" w:rsidRPr="00ED7C01" w:rsidRDefault="00123DC4" w:rsidP="00132057">
            <w:pPr>
              <w:rPr>
                <w:rFonts w:cs="Arial"/>
                <w:b/>
                <w:bCs/>
                <w:color w:val="000000"/>
                <w:sz w:val="18"/>
                <w:szCs w:val="18"/>
              </w:rPr>
            </w:pPr>
            <w:r w:rsidRPr="00ED7C01">
              <w:rPr>
                <w:rFonts w:cs="Arial"/>
                <w:b/>
                <w:bCs/>
                <w:color w:val="000000"/>
                <w:sz w:val="18"/>
                <w:szCs w:val="18"/>
              </w:rPr>
              <w:t>Q1</w:t>
            </w:r>
          </w:p>
        </w:tc>
        <w:tc>
          <w:tcPr>
            <w:tcW w:w="480" w:type="dxa"/>
            <w:tcBorders>
              <w:top w:val="nil"/>
              <w:left w:val="nil"/>
              <w:bottom w:val="single" w:sz="4" w:space="0" w:color="auto"/>
              <w:right w:val="single" w:sz="4" w:space="0" w:color="auto"/>
            </w:tcBorders>
            <w:shd w:val="clear" w:color="auto" w:fill="C6D9F1" w:themeFill="text2" w:themeFillTint="33"/>
            <w:noWrap/>
            <w:vAlign w:val="bottom"/>
            <w:hideMark/>
          </w:tcPr>
          <w:p w:rsidR="00123DC4" w:rsidRPr="00ED7C01" w:rsidRDefault="00123DC4" w:rsidP="00132057">
            <w:pPr>
              <w:rPr>
                <w:rFonts w:cs="Arial"/>
                <w:b/>
                <w:bCs/>
                <w:color w:val="000000"/>
                <w:sz w:val="18"/>
                <w:szCs w:val="18"/>
              </w:rPr>
            </w:pPr>
            <w:r w:rsidRPr="00ED7C01">
              <w:rPr>
                <w:rFonts w:cs="Arial"/>
                <w:b/>
                <w:bCs/>
                <w:color w:val="000000"/>
                <w:sz w:val="18"/>
                <w:szCs w:val="18"/>
              </w:rPr>
              <w:t>Q2</w:t>
            </w:r>
          </w:p>
        </w:tc>
        <w:tc>
          <w:tcPr>
            <w:tcW w:w="480" w:type="dxa"/>
            <w:tcBorders>
              <w:top w:val="nil"/>
              <w:left w:val="nil"/>
              <w:bottom w:val="single" w:sz="4" w:space="0" w:color="auto"/>
              <w:right w:val="single" w:sz="4" w:space="0" w:color="auto"/>
            </w:tcBorders>
            <w:shd w:val="clear" w:color="auto" w:fill="C6D9F1" w:themeFill="text2" w:themeFillTint="33"/>
            <w:noWrap/>
            <w:vAlign w:val="bottom"/>
            <w:hideMark/>
          </w:tcPr>
          <w:p w:rsidR="00123DC4" w:rsidRPr="00ED7C01" w:rsidRDefault="00123DC4" w:rsidP="00132057">
            <w:pPr>
              <w:rPr>
                <w:rFonts w:cs="Arial"/>
                <w:b/>
                <w:bCs/>
                <w:color w:val="000000"/>
                <w:sz w:val="18"/>
                <w:szCs w:val="18"/>
              </w:rPr>
            </w:pPr>
            <w:r w:rsidRPr="00ED7C01">
              <w:rPr>
                <w:rFonts w:cs="Arial"/>
                <w:b/>
                <w:bCs/>
                <w:color w:val="000000"/>
                <w:sz w:val="18"/>
                <w:szCs w:val="18"/>
              </w:rPr>
              <w:t>Q3</w:t>
            </w:r>
          </w:p>
        </w:tc>
        <w:tc>
          <w:tcPr>
            <w:tcW w:w="480" w:type="dxa"/>
            <w:tcBorders>
              <w:top w:val="nil"/>
              <w:left w:val="nil"/>
              <w:bottom w:val="single" w:sz="4" w:space="0" w:color="auto"/>
              <w:right w:val="single" w:sz="8" w:space="0" w:color="auto"/>
            </w:tcBorders>
            <w:shd w:val="clear" w:color="auto" w:fill="C6D9F1" w:themeFill="text2" w:themeFillTint="33"/>
            <w:noWrap/>
            <w:vAlign w:val="bottom"/>
            <w:hideMark/>
          </w:tcPr>
          <w:p w:rsidR="00123DC4" w:rsidRPr="00ED7C01" w:rsidRDefault="00123DC4" w:rsidP="00132057">
            <w:pPr>
              <w:rPr>
                <w:rFonts w:cs="Arial"/>
                <w:b/>
                <w:bCs/>
                <w:color w:val="000000"/>
                <w:sz w:val="18"/>
                <w:szCs w:val="18"/>
              </w:rPr>
            </w:pPr>
            <w:r w:rsidRPr="00ED7C01">
              <w:rPr>
                <w:rFonts w:cs="Arial"/>
                <w:b/>
                <w:bCs/>
                <w:color w:val="000000"/>
                <w:sz w:val="18"/>
                <w:szCs w:val="18"/>
              </w:rPr>
              <w:t>Q4</w:t>
            </w:r>
          </w:p>
        </w:tc>
        <w:tc>
          <w:tcPr>
            <w:tcW w:w="480" w:type="dxa"/>
            <w:tcBorders>
              <w:top w:val="nil"/>
              <w:left w:val="nil"/>
              <w:bottom w:val="single" w:sz="4" w:space="0" w:color="auto"/>
              <w:right w:val="single" w:sz="4" w:space="0" w:color="auto"/>
            </w:tcBorders>
            <w:shd w:val="clear" w:color="auto" w:fill="C6D9F1" w:themeFill="text2" w:themeFillTint="33"/>
            <w:noWrap/>
            <w:vAlign w:val="bottom"/>
            <w:hideMark/>
          </w:tcPr>
          <w:p w:rsidR="00123DC4" w:rsidRPr="00ED7C01" w:rsidRDefault="00123DC4" w:rsidP="00132057">
            <w:pPr>
              <w:rPr>
                <w:rFonts w:cs="Arial"/>
                <w:b/>
                <w:bCs/>
                <w:color w:val="000000"/>
                <w:sz w:val="18"/>
                <w:szCs w:val="18"/>
              </w:rPr>
            </w:pPr>
            <w:r w:rsidRPr="00ED7C01">
              <w:rPr>
                <w:rFonts w:cs="Arial"/>
                <w:b/>
                <w:bCs/>
                <w:color w:val="000000"/>
                <w:sz w:val="18"/>
                <w:szCs w:val="18"/>
              </w:rPr>
              <w:t>Q1</w:t>
            </w:r>
          </w:p>
        </w:tc>
        <w:tc>
          <w:tcPr>
            <w:tcW w:w="480" w:type="dxa"/>
            <w:tcBorders>
              <w:top w:val="nil"/>
              <w:left w:val="nil"/>
              <w:bottom w:val="single" w:sz="4" w:space="0" w:color="auto"/>
              <w:right w:val="single" w:sz="4" w:space="0" w:color="auto"/>
            </w:tcBorders>
            <w:shd w:val="clear" w:color="auto" w:fill="C6D9F1" w:themeFill="text2" w:themeFillTint="33"/>
            <w:noWrap/>
            <w:vAlign w:val="bottom"/>
            <w:hideMark/>
          </w:tcPr>
          <w:p w:rsidR="00123DC4" w:rsidRPr="00ED7C01" w:rsidRDefault="00123DC4" w:rsidP="00132057">
            <w:pPr>
              <w:rPr>
                <w:rFonts w:cs="Arial"/>
                <w:b/>
                <w:bCs/>
                <w:color w:val="000000"/>
                <w:sz w:val="18"/>
                <w:szCs w:val="18"/>
              </w:rPr>
            </w:pPr>
            <w:r w:rsidRPr="00ED7C01">
              <w:rPr>
                <w:rFonts w:cs="Arial"/>
                <w:b/>
                <w:bCs/>
                <w:color w:val="000000"/>
                <w:sz w:val="18"/>
                <w:szCs w:val="18"/>
              </w:rPr>
              <w:t>Q2</w:t>
            </w:r>
          </w:p>
        </w:tc>
        <w:tc>
          <w:tcPr>
            <w:tcW w:w="480" w:type="dxa"/>
            <w:tcBorders>
              <w:top w:val="nil"/>
              <w:left w:val="nil"/>
              <w:bottom w:val="single" w:sz="4" w:space="0" w:color="auto"/>
              <w:right w:val="single" w:sz="4" w:space="0" w:color="auto"/>
            </w:tcBorders>
            <w:shd w:val="clear" w:color="auto" w:fill="C6D9F1" w:themeFill="text2" w:themeFillTint="33"/>
            <w:noWrap/>
            <w:vAlign w:val="bottom"/>
            <w:hideMark/>
          </w:tcPr>
          <w:p w:rsidR="00123DC4" w:rsidRPr="00ED7C01" w:rsidRDefault="00123DC4" w:rsidP="00132057">
            <w:pPr>
              <w:rPr>
                <w:rFonts w:cs="Arial"/>
                <w:b/>
                <w:bCs/>
                <w:color w:val="000000"/>
                <w:sz w:val="18"/>
                <w:szCs w:val="18"/>
              </w:rPr>
            </w:pPr>
            <w:r w:rsidRPr="00ED7C01">
              <w:rPr>
                <w:rFonts w:cs="Arial"/>
                <w:b/>
                <w:bCs/>
                <w:color w:val="000000"/>
                <w:sz w:val="18"/>
                <w:szCs w:val="18"/>
              </w:rPr>
              <w:t>Q3</w:t>
            </w:r>
          </w:p>
        </w:tc>
        <w:tc>
          <w:tcPr>
            <w:tcW w:w="480" w:type="dxa"/>
            <w:tcBorders>
              <w:top w:val="nil"/>
              <w:left w:val="nil"/>
              <w:bottom w:val="single" w:sz="4" w:space="0" w:color="auto"/>
              <w:right w:val="single" w:sz="8" w:space="0" w:color="auto"/>
            </w:tcBorders>
            <w:shd w:val="clear" w:color="auto" w:fill="C6D9F1" w:themeFill="text2" w:themeFillTint="33"/>
            <w:noWrap/>
            <w:vAlign w:val="bottom"/>
            <w:hideMark/>
          </w:tcPr>
          <w:p w:rsidR="00123DC4" w:rsidRPr="00ED7C01" w:rsidRDefault="00123DC4" w:rsidP="00132057">
            <w:pPr>
              <w:rPr>
                <w:rFonts w:cs="Arial"/>
                <w:b/>
                <w:bCs/>
                <w:color w:val="000000"/>
                <w:sz w:val="18"/>
                <w:szCs w:val="18"/>
              </w:rPr>
            </w:pPr>
            <w:r w:rsidRPr="00ED7C01">
              <w:rPr>
                <w:rFonts w:cs="Arial"/>
                <w:b/>
                <w:bCs/>
                <w:color w:val="000000"/>
                <w:sz w:val="18"/>
                <w:szCs w:val="18"/>
              </w:rPr>
              <w:t>Q4</w:t>
            </w:r>
          </w:p>
        </w:tc>
        <w:tc>
          <w:tcPr>
            <w:tcW w:w="480" w:type="dxa"/>
            <w:tcBorders>
              <w:top w:val="nil"/>
              <w:left w:val="nil"/>
              <w:bottom w:val="single" w:sz="4" w:space="0" w:color="auto"/>
              <w:right w:val="single" w:sz="4" w:space="0" w:color="auto"/>
            </w:tcBorders>
            <w:shd w:val="clear" w:color="auto" w:fill="C6D9F1" w:themeFill="text2" w:themeFillTint="33"/>
            <w:noWrap/>
            <w:vAlign w:val="bottom"/>
            <w:hideMark/>
          </w:tcPr>
          <w:p w:rsidR="00123DC4" w:rsidRPr="00ED7C01" w:rsidRDefault="00123DC4" w:rsidP="00132057">
            <w:pPr>
              <w:rPr>
                <w:rFonts w:cs="Arial"/>
                <w:b/>
                <w:bCs/>
                <w:color w:val="000000"/>
                <w:sz w:val="18"/>
                <w:szCs w:val="18"/>
              </w:rPr>
            </w:pPr>
            <w:r w:rsidRPr="00ED7C01">
              <w:rPr>
                <w:rFonts w:cs="Arial"/>
                <w:b/>
                <w:bCs/>
                <w:color w:val="000000"/>
                <w:sz w:val="18"/>
                <w:szCs w:val="18"/>
              </w:rPr>
              <w:t>Q1</w:t>
            </w:r>
          </w:p>
        </w:tc>
        <w:tc>
          <w:tcPr>
            <w:tcW w:w="480" w:type="dxa"/>
            <w:tcBorders>
              <w:top w:val="nil"/>
              <w:left w:val="nil"/>
              <w:bottom w:val="single" w:sz="4" w:space="0" w:color="auto"/>
              <w:right w:val="single" w:sz="4" w:space="0" w:color="auto"/>
            </w:tcBorders>
            <w:shd w:val="clear" w:color="auto" w:fill="C6D9F1" w:themeFill="text2" w:themeFillTint="33"/>
            <w:noWrap/>
            <w:vAlign w:val="bottom"/>
            <w:hideMark/>
          </w:tcPr>
          <w:p w:rsidR="00123DC4" w:rsidRPr="00ED7C01" w:rsidRDefault="00123DC4" w:rsidP="00132057">
            <w:pPr>
              <w:rPr>
                <w:rFonts w:cs="Arial"/>
                <w:b/>
                <w:bCs/>
                <w:color w:val="000000"/>
                <w:sz w:val="18"/>
                <w:szCs w:val="18"/>
              </w:rPr>
            </w:pPr>
            <w:r w:rsidRPr="00ED7C01">
              <w:rPr>
                <w:rFonts w:cs="Arial"/>
                <w:b/>
                <w:bCs/>
                <w:color w:val="000000"/>
                <w:sz w:val="18"/>
                <w:szCs w:val="18"/>
              </w:rPr>
              <w:t>Q2</w:t>
            </w:r>
          </w:p>
        </w:tc>
        <w:tc>
          <w:tcPr>
            <w:tcW w:w="480" w:type="dxa"/>
            <w:tcBorders>
              <w:top w:val="nil"/>
              <w:left w:val="nil"/>
              <w:bottom w:val="single" w:sz="4" w:space="0" w:color="auto"/>
              <w:right w:val="single" w:sz="4" w:space="0" w:color="auto"/>
            </w:tcBorders>
            <w:shd w:val="clear" w:color="auto" w:fill="C6D9F1" w:themeFill="text2" w:themeFillTint="33"/>
            <w:noWrap/>
            <w:vAlign w:val="bottom"/>
            <w:hideMark/>
          </w:tcPr>
          <w:p w:rsidR="00123DC4" w:rsidRPr="00ED7C01" w:rsidRDefault="00123DC4" w:rsidP="00132057">
            <w:pPr>
              <w:rPr>
                <w:rFonts w:cs="Arial"/>
                <w:b/>
                <w:bCs/>
                <w:color w:val="000000"/>
                <w:sz w:val="18"/>
                <w:szCs w:val="18"/>
              </w:rPr>
            </w:pPr>
            <w:r w:rsidRPr="00ED7C01">
              <w:rPr>
                <w:rFonts w:cs="Arial"/>
                <w:b/>
                <w:bCs/>
                <w:color w:val="000000"/>
                <w:sz w:val="18"/>
                <w:szCs w:val="18"/>
              </w:rPr>
              <w:t>Q3</w:t>
            </w:r>
          </w:p>
        </w:tc>
        <w:tc>
          <w:tcPr>
            <w:tcW w:w="480" w:type="dxa"/>
            <w:tcBorders>
              <w:top w:val="nil"/>
              <w:left w:val="nil"/>
              <w:bottom w:val="single" w:sz="4" w:space="0" w:color="auto"/>
              <w:right w:val="single" w:sz="8" w:space="0" w:color="auto"/>
            </w:tcBorders>
            <w:shd w:val="clear" w:color="auto" w:fill="C6D9F1" w:themeFill="text2" w:themeFillTint="33"/>
            <w:noWrap/>
            <w:vAlign w:val="bottom"/>
            <w:hideMark/>
          </w:tcPr>
          <w:p w:rsidR="00123DC4" w:rsidRPr="00ED7C01" w:rsidRDefault="00123DC4" w:rsidP="00132057">
            <w:pPr>
              <w:rPr>
                <w:rFonts w:cs="Arial"/>
                <w:b/>
                <w:bCs/>
                <w:color w:val="000000"/>
                <w:sz w:val="18"/>
                <w:szCs w:val="18"/>
              </w:rPr>
            </w:pPr>
            <w:r w:rsidRPr="00ED7C01">
              <w:rPr>
                <w:rFonts w:cs="Arial"/>
                <w:b/>
                <w:bCs/>
                <w:color w:val="000000"/>
                <w:sz w:val="18"/>
                <w:szCs w:val="18"/>
              </w:rPr>
              <w:t>Q4</w:t>
            </w:r>
          </w:p>
        </w:tc>
        <w:tc>
          <w:tcPr>
            <w:tcW w:w="480" w:type="dxa"/>
            <w:tcBorders>
              <w:top w:val="nil"/>
              <w:left w:val="nil"/>
              <w:bottom w:val="single" w:sz="4" w:space="0" w:color="auto"/>
              <w:right w:val="single" w:sz="4" w:space="0" w:color="auto"/>
            </w:tcBorders>
            <w:shd w:val="clear" w:color="auto" w:fill="C6D9F1" w:themeFill="text2" w:themeFillTint="33"/>
            <w:noWrap/>
            <w:vAlign w:val="bottom"/>
            <w:hideMark/>
          </w:tcPr>
          <w:p w:rsidR="00123DC4" w:rsidRPr="00ED7C01" w:rsidRDefault="00123DC4" w:rsidP="00132057">
            <w:pPr>
              <w:rPr>
                <w:rFonts w:cs="Arial"/>
                <w:b/>
                <w:bCs/>
                <w:color w:val="000000"/>
                <w:sz w:val="18"/>
                <w:szCs w:val="18"/>
              </w:rPr>
            </w:pPr>
            <w:r w:rsidRPr="00ED7C01">
              <w:rPr>
                <w:rFonts w:cs="Arial"/>
                <w:b/>
                <w:bCs/>
                <w:color w:val="000000"/>
                <w:sz w:val="18"/>
                <w:szCs w:val="18"/>
              </w:rPr>
              <w:t>Q1</w:t>
            </w:r>
          </w:p>
        </w:tc>
        <w:tc>
          <w:tcPr>
            <w:tcW w:w="480" w:type="dxa"/>
            <w:tcBorders>
              <w:top w:val="nil"/>
              <w:left w:val="nil"/>
              <w:bottom w:val="single" w:sz="4" w:space="0" w:color="auto"/>
              <w:right w:val="single" w:sz="4" w:space="0" w:color="auto"/>
            </w:tcBorders>
            <w:shd w:val="clear" w:color="auto" w:fill="C6D9F1" w:themeFill="text2" w:themeFillTint="33"/>
            <w:noWrap/>
            <w:vAlign w:val="bottom"/>
            <w:hideMark/>
          </w:tcPr>
          <w:p w:rsidR="00123DC4" w:rsidRPr="00ED7C01" w:rsidRDefault="00123DC4" w:rsidP="00132057">
            <w:pPr>
              <w:rPr>
                <w:rFonts w:cs="Arial"/>
                <w:b/>
                <w:bCs/>
                <w:color w:val="000000"/>
                <w:sz w:val="18"/>
                <w:szCs w:val="18"/>
              </w:rPr>
            </w:pPr>
            <w:r w:rsidRPr="00ED7C01">
              <w:rPr>
                <w:rFonts w:cs="Arial"/>
                <w:b/>
                <w:bCs/>
                <w:color w:val="000000"/>
                <w:sz w:val="18"/>
                <w:szCs w:val="18"/>
              </w:rPr>
              <w:t>Q2</w:t>
            </w:r>
          </w:p>
        </w:tc>
        <w:tc>
          <w:tcPr>
            <w:tcW w:w="480" w:type="dxa"/>
            <w:tcBorders>
              <w:top w:val="nil"/>
              <w:left w:val="nil"/>
              <w:bottom w:val="single" w:sz="4" w:space="0" w:color="auto"/>
              <w:right w:val="single" w:sz="4" w:space="0" w:color="auto"/>
            </w:tcBorders>
            <w:shd w:val="clear" w:color="auto" w:fill="C6D9F1" w:themeFill="text2" w:themeFillTint="33"/>
            <w:noWrap/>
            <w:vAlign w:val="bottom"/>
            <w:hideMark/>
          </w:tcPr>
          <w:p w:rsidR="00123DC4" w:rsidRPr="00ED7C01" w:rsidRDefault="00123DC4" w:rsidP="00132057">
            <w:pPr>
              <w:rPr>
                <w:rFonts w:cs="Arial"/>
                <w:b/>
                <w:bCs/>
                <w:color w:val="000000"/>
                <w:sz w:val="18"/>
                <w:szCs w:val="18"/>
              </w:rPr>
            </w:pPr>
            <w:r w:rsidRPr="00ED7C01">
              <w:rPr>
                <w:rFonts w:cs="Arial"/>
                <w:b/>
                <w:bCs/>
                <w:color w:val="000000"/>
                <w:sz w:val="18"/>
                <w:szCs w:val="18"/>
              </w:rPr>
              <w:t>Q3</w:t>
            </w:r>
          </w:p>
        </w:tc>
        <w:tc>
          <w:tcPr>
            <w:tcW w:w="480" w:type="dxa"/>
            <w:tcBorders>
              <w:top w:val="nil"/>
              <w:left w:val="nil"/>
              <w:bottom w:val="single" w:sz="4" w:space="0" w:color="auto"/>
              <w:right w:val="single" w:sz="8" w:space="0" w:color="auto"/>
            </w:tcBorders>
            <w:shd w:val="clear" w:color="auto" w:fill="C6D9F1" w:themeFill="text2" w:themeFillTint="33"/>
            <w:noWrap/>
            <w:vAlign w:val="bottom"/>
            <w:hideMark/>
          </w:tcPr>
          <w:p w:rsidR="00123DC4" w:rsidRPr="00ED7C01" w:rsidRDefault="00123DC4" w:rsidP="00132057">
            <w:pPr>
              <w:rPr>
                <w:rFonts w:cs="Arial"/>
                <w:b/>
                <w:bCs/>
                <w:color w:val="000000"/>
                <w:sz w:val="18"/>
                <w:szCs w:val="18"/>
              </w:rPr>
            </w:pPr>
            <w:r w:rsidRPr="00ED7C01">
              <w:rPr>
                <w:rFonts w:cs="Arial"/>
                <w:b/>
                <w:bCs/>
                <w:color w:val="000000"/>
                <w:sz w:val="18"/>
                <w:szCs w:val="18"/>
              </w:rPr>
              <w:t>Q4</w:t>
            </w:r>
          </w:p>
        </w:tc>
      </w:tr>
      <w:tr w:rsidR="00123DC4" w:rsidRPr="003962D0" w:rsidTr="00132057">
        <w:trPr>
          <w:trHeight w:val="615"/>
          <w:jc w:val="center"/>
        </w:trPr>
        <w:tc>
          <w:tcPr>
            <w:tcW w:w="2324" w:type="dxa"/>
            <w:tcBorders>
              <w:top w:val="nil"/>
              <w:left w:val="single" w:sz="8" w:space="0" w:color="auto"/>
              <w:bottom w:val="single" w:sz="4" w:space="0" w:color="auto"/>
              <w:right w:val="single" w:sz="8" w:space="0" w:color="auto"/>
            </w:tcBorders>
            <w:shd w:val="clear" w:color="auto" w:fill="auto"/>
            <w:noWrap/>
            <w:vAlign w:val="center"/>
            <w:hideMark/>
          </w:tcPr>
          <w:p w:rsidR="00123DC4" w:rsidRPr="00ED7C01" w:rsidRDefault="00123DC4" w:rsidP="00132057">
            <w:pPr>
              <w:spacing w:before="40" w:after="40"/>
              <w:rPr>
                <w:rFonts w:cs="Arial"/>
                <w:b/>
                <w:bCs/>
                <w:color w:val="000000"/>
                <w:sz w:val="16"/>
                <w:szCs w:val="16"/>
              </w:rPr>
            </w:pPr>
            <w:r w:rsidRPr="00ED7C01">
              <w:rPr>
                <w:rFonts w:cs="Arial"/>
                <w:color w:val="000000"/>
                <w:sz w:val="16"/>
                <w:szCs w:val="16"/>
              </w:rPr>
              <w:t>PCT compartmentalization</w:t>
            </w:r>
            <w:r>
              <w:rPr>
                <w:rFonts w:cs="Arial"/>
                <w:color w:val="000000"/>
                <w:sz w:val="16"/>
                <w:szCs w:val="16"/>
              </w:rPr>
              <w:t xml:space="preserve"> </w:t>
            </w:r>
            <w:r w:rsidRPr="00ED7C01">
              <w:rPr>
                <w:rFonts w:cs="Arial"/>
                <w:color w:val="000000"/>
                <w:sz w:val="16"/>
                <w:szCs w:val="16"/>
              </w:rPr>
              <w:t>Completion of work</w:t>
            </w: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ED7C01" w:rsidRDefault="00123DC4" w:rsidP="00132057">
            <w:pPr>
              <w:spacing w:before="40" w:after="40"/>
              <w:jc w:val="center"/>
              <w:rPr>
                <w:rFonts w:cs="Arial"/>
                <w:color w:val="000000"/>
                <w:sz w:val="16"/>
                <w:szCs w:val="16"/>
                <w:lang w:val="fr-CH"/>
              </w:rPr>
            </w:pPr>
            <w:r w:rsidRPr="00ED7C01">
              <w:rPr>
                <w:rFonts w:cs="Arial"/>
                <w:color w:val="000000"/>
                <w:sz w:val="16"/>
                <w:szCs w:val="16"/>
                <w:lang w:val="fr-CH"/>
              </w:rPr>
              <w:t>X</w:t>
            </w: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ED7C01" w:rsidRDefault="00123DC4" w:rsidP="00132057">
            <w:pPr>
              <w:spacing w:before="40" w:after="40"/>
              <w:jc w:val="center"/>
              <w:rPr>
                <w:rFonts w:cs="Arial"/>
                <w:color w:val="000000"/>
                <w:sz w:val="16"/>
                <w:szCs w:val="16"/>
                <w:lang w:val="fr-CH"/>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ED7C01" w:rsidRDefault="00123DC4" w:rsidP="00132057">
            <w:pPr>
              <w:spacing w:before="40" w:after="40"/>
              <w:jc w:val="center"/>
              <w:rPr>
                <w:rFonts w:cs="Arial"/>
                <w:color w:val="000000"/>
                <w:sz w:val="16"/>
                <w:szCs w:val="16"/>
                <w:lang w:val="fr-CH"/>
              </w:rPr>
            </w:pPr>
          </w:p>
        </w:tc>
        <w:tc>
          <w:tcPr>
            <w:tcW w:w="480" w:type="dxa"/>
            <w:tcBorders>
              <w:top w:val="nil"/>
              <w:left w:val="nil"/>
              <w:bottom w:val="single" w:sz="4" w:space="0" w:color="auto"/>
              <w:right w:val="single" w:sz="8" w:space="0" w:color="auto"/>
            </w:tcBorders>
            <w:shd w:val="clear" w:color="auto" w:fill="auto"/>
            <w:noWrap/>
            <w:vAlign w:val="center"/>
            <w:hideMark/>
          </w:tcPr>
          <w:p w:rsidR="00123DC4" w:rsidRPr="00ED7C01" w:rsidRDefault="00123DC4" w:rsidP="00132057">
            <w:pPr>
              <w:spacing w:before="40" w:after="40"/>
              <w:jc w:val="center"/>
              <w:rPr>
                <w:rFonts w:cs="Arial"/>
                <w:color w:val="000000"/>
                <w:sz w:val="16"/>
                <w:szCs w:val="16"/>
                <w:lang w:val="fr-CH"/>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ED7C01" w:rsidRDefault="00123DC4" w:rsidP="00132057">
            <w:pPr>
              <w:spacing w:before="40" w:after="40"/>
              <w:jc w:val="center"/>
              <w:rPr>
                <w:rFonts w:cs="Arial"/>
                <w:color w:val="000000"/>
                <w:sz w:val="16"/>
                <w:szCs w:val="16"/>
                <w:lang w:val="fr-CH"/>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ED7C01" w:rsidRDefault="00123DC4" w:rsidP="00132057">
            <w:pPr>
              <w:spacing w:before="40" w:after="40"/>
              <w:jc w:val="center"/>
              <w:rPr>
                <w:rFonts w:cs="Arial"/>
                <w:color w:val="000000"/>
                <w:sz w:val="16"/>
                <w:szCs w:val="16"/>
                <w:lang w:val="fr-CH"/>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ED7C01" w:rsidRDefault="00123DC4" w:rsidP="00132057">
            <w:pPr>
              <w:spacing w:before="40" w:after="40"/>
              <w:jc w:val="center"/>
              <w:rPr>
                <w:rFonts w:cs="Arial"/>
                <w:color w:val="000000"/>
                <w:sz w:val="16"/>
                <w:szCs w:val="16"/>
                <w:lang w:val="fr-CH"/>
              </w:rPr>
            </w:pPr>
          </w:p>
        </w:tc>
        <w:tc>
          <w:tcPr>
            <w:tcW w:w="480" w:type="dxa"/>
            <w:tcBorders>
              <w:top w:val="nil"/>
              <w:left w:val="nil"/>
              <w:bottom w:val="single" w:sz="4" w:space="0" w:color="auto"/>
              <w:right w:val="single" w:sz="8" w:space="0" w:color="auto"/>
            </w:tcBorders>
            <w:shd w:val="clear" w:color="auto" w:fill="auto"/>
            <w:noWrap/>
            <w:vAlign w:val="center"/>
            <w:hideMark/>
          </w:tcPr>
          <w:p w:rsidR="00123DC4" w:rsidRPr="00ED7C01" w:rsidRDefault="00123DC4" w:rsidP="00132057">
            <w:pPr>
              <w:spacing w:before="40" w:after="40"/>
              <w:jc w:val="center"/>
              <w:rPr>
                <w:rFonts w:cs="Arial"/>
                <w:color w:val="000000"/>
                <w:sz w:val="16"/>
                <w:szCs w:val="16"/>
                <w:lang w:val="fr-CH"/>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ED7C01" w:rsidRDefault="00123DC4" w:rsidP="00132057">
            <w:pPr>
              <w:spacing w:before="40" w:after="40"/>
              <w:jc w:val="center"/>
              <w:rPr>
                <w:rFonts w:cs="Arial"/>
                <w:color w:val="000000"/>
                <w:sz w:val="16"/>
                <w:szCs w:val="16"/>
                <w:lang w:val="fr-CH"/>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ED7C01" w:rsidRDefault="00123DC4" w:rsidP="00132057">
            <w:pPr>
              <w:spacing w:before="40" w:after="40"/>
              <w:jc w:val="center"/>
              <w:rPr>
                <w:rFonts w:cs="Arial"/>
                <w:color w:val="000000"/>
                <w:sz w:val="16"/>
                <w:szCs w:val="16"/>
                <w:lang w:val="fr-CH"/>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ED7C01" w:rsidRDefault="00123DC4" w:rsidP="00132057">
            <w:pPr>
              <w:spacing w:before="40" w:after="40"/>
              <w:jc w:val="center"/>
              <w:rPr>
                <w:rFonts w:cs="Arial"/>
                <w:color w:val="000000"/>
                <w:sz w:val="16"/>
                <w:szCs w:val="16"/>
                <w:lang w:val="fr-CH"/>
              </w:rPr>
            </w:pPr>
          </w:p>
        </w:tc>
        <w:tc>
          <w:tcPr>
            <w:tcW w:w="480" w:type="dxa"/>
            <w:tcBorders>
              <w:top w:val="nil"/>
              <w:left w:val="nil"/>
              <w:bottom w:val="single" w:sz="4" w:space="0" w:color="auto"/>
              <w:right w:val="single" w:sz="8" w:space="0" w:color="auto"/>
            </w:tcBorders>
            <w:shd w:val="clear" w:color="auto" w:fill="auto"/>
            <w:noWrap/>
            <w:vAlign w:val="center"/>
            <w:hideMark/>
          </w:tcPr>
          <w:p w:rsidR="00123DC4" w:rsidRPr="00ED7C01" w:rsidRDefault="00123DC4" w:rsidP="00132057">
            <w:pPr>
              <w:spacing w:before="40" w:after="40"/>
              <w:jc w:val="center"/>
              <w:rPr>
                <w:rFonts w:cs="Arial"/>
                <w:color w:val="000000"/>
                <w:sz w:val="16"/>
                <w:szCs w:val="16"/>
                <w:lang w:val="fr-CH"/>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ED7C01" w:rsidRDefault="00123DC4" w:rsidP="00132057">
            <w:pPr>
              <w:spacing w:before="40" w:after="40"/>
              <w:jc w:val="center"/>
              <w:rPr>
                <w:rFonts w:cs="Arial"/>
                <w:color w:val="000000"/>
                <w:sz w:val="16"/>
                <w:szCs w:val="16"/>
                <w:lang w:val="fr-CH"/>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ED7C01" w:rsidRDefault="00123DC4" w:rsidP="00132057">
            <w:pPr>
              <w:spacing w:before="40" w:after="40"/>
              <w:jc w:val="center"/>
              <w:rPr>
                <w:rFonts w:cs="Arial"/>
                <w:color w:val="000000"/>
                <w:sz w:val="16"/>
                <w:szCs w:val="16"/>
                <w:lang w:val="fr-CH"/>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ED7C01" w:rsidRDefault="00123DC4" w:rsidP="00132057">
            <w:pPr>
              <w:spacing w:before="40" w:after="40"/>
              <w:jc w:val="center"/>
              <w:rPr>
                <w:rFonts w:cs="Arial"/>
                <w:color w:val="000000"/>
                <w:sz w:val="16"/>
                <w:szCs w:val="16"/>
                <w:lang w:val="fr-CH"/>
              </w:rPr>
            </w:pPr>
          </w:p>
        </w:tc>
        <w:tc>
          <w:tcPr>
            <w:tcW w:w="480" w:type="dxa"/>
            <w:tcBorders>
              <w:top w:val="nil"/>
              <w:left w:val="nil"/>
              <w:bottom w:val="single" w:sz="4" w:space="0" w:color="auto"/>
              <w:right w:val="single" w:sz="8" w:space="0" w:color="auto"/>
            </w:tcBorders>
            <w:shd w:val="clear" w:color="auto" w:fill="auto"/>
            <w:noWrap/>
            <w:vAlign w:val="center"/>
            <w:hideMark/>
          </w:tcPr>
          <w:p w:rsidR="00123DC4" w:rsidRPr="00ED7C01" w:rsidRDefault="00123DC4" w:rsidP="00132057">
            <w:pPr>
              <w:spacing w:before="40" w:after="40"/>
              <w:jc w:val="center"/>
              <w:rPr>
                <w:rFonts w:cs="Arial"/>
                <w:color w:val="000000"/>
                <w:sz w:val="16"/>
                <w:szCs w:val="16"/>
                <w:lang w:val="fr-CH"/>
              </w:rPr>
            </w:pPr>
          </w:p>
        </w:tc>
      </w:tr>
      <w:tr w:rsidR="00123DC4" w:rsidRPr="003962D0" w:rsidTr="00132057">
        <w:trPr>
          <w:trHeight w:val="615"/>
          <w:jc w:val="center"/>
        </w:trPr>
        <w:tc>
          <w:tcPr>
            <w:tcW w:w="2324" w:type="dxa"/>
            <w:tcBorders>
              <w:top w:val="nil"/>
              <w:left w:val="single" w:sz="8" w:space="0" w:color="auto"/>
              <w:bottom w:val="single" w:sz="4" w:space="0" w:color="auto"/>
              <w:right w:val="single" w:sz="8" w:space="0" w:color="auto"/>
            </w:tcBorders>
            <w:shd w:val="clear" w:color="auto" w:fill="auto"/>
            <w:noWrap/>
            <w:vAlign w:val="center"/>
            <w:hideMark/>
          </w:tcPr>
          <w:p w:rsidR="00123DC4" w:rsidRPr="00ED7C01" w:rsidRDefault="00123DC4" w:rsidP="00132057">
            <w:pPr>
              <w:spacing w:before="40" w:after="40"/>
              <w:rPr>
                <w:rFonts w:cs="Arial"/>
                <w:b/>
                <w:bCs/>
                <w:color w:val="000000"/>
                <w:sz w:val="16"/>
                <w:szCs w:val="16"/>
              </w:rPr>
            </w:pPr>
            <w:r w:rsidRPr="00ED7C01">
              <w:rPr>
                <w:rFonts w:cs="Arial"/>
                <w:color w:val="000000"/>
                <w:sz w:val="16"/>
                <w:szCs w:val="16"/>
              </w:rPr>
              <w:t>Compartmentalization AB -2 Creation of an airlock</w:t>
            </w: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ED7C01" w:rsidRDefault="00123DC4" w:rsidP="00132057">
            <w:pPr>
              <w:spacing w:before="40" w:after="40"/>
              <w:jc w:val="center"/>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ED7C01" w:rsidRDefault="00123DC4" w:rsidP="00132057">
            <w:pPr>
              <w:spacing w:before="40" w:after="40"/>
              <w:jc w:val="center"/>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ED7C01" w:rsidRDefault="00123DC4" w:rsidP="00132057">
            <w:pPr>
              <w:spacing w:before="40" w:after="40"/>
              <w:jc w:val="center"/>
              <w:rPr>
                <w:rFonts w:cs="Arial"/>
                <w:color w:val="000000"/>
                <w:sz w:val="16"/>
                <w:szCs w:val="16"/>
                <w:lang w:val="fr-CH"/>
              </w:rPr>
            </w:pPr>
            <w:r w:rsidRPr="00ED7C01">
              <w:rPr>
                <w:rFonts w:cs="Arial"/>
                <w:color w:val="000000"/>
                <w:sz w:val="16"/>
                <w:szCs w:val="16"/>
                <w:lang w:val="fr-CH"/>
              </w:rPr>
              <w:t>X</w:t>
            </w:r>
          </w:p>
        </w:tc>
        <w:tc>
          <w:tcPr>
            <w:tcW w:w="480" w:type="dxa"/>
            <w:tcBorders>
              <w:top w:val="nil"/>
              <w:left w:val="nil"/>
              <w:bottom w:val="single" w:sz="4" w:space="0" w:color="auto"/>
              <w:right w:val="single" w:sz="8" w:space="0" w:color="auto"/>
            </w:tcBorders>
            <w:shd w:val="clear" w:color="auto" w:fill="auto"/>
            <w:noWrap/>
            <w:vAlign w:val="center"/>
            <w:hideMark/>
          </w:tcPr>
          <w:p w:rsidR="00123DC4" w:rsidRPr="00ED7C01" w:rsidRDefault="00123DC4" w:rsidP="00132057">
            <w:pPr>
              <w:spacing w:before="40" w:after="40"/>
              <w:jc w:val="center"/>
              <w:rPr>
                <w:rFonts w:cs="Arial"/>
                <w:color w:val="000000"/>
                <w:sz w:val="16"/>
                <w:szCs w:val="16"/>
                <w:lang w:val="fr-CH"/>
              </w:rPr>
            </w:pPr>
            <w:r w:rsidRPr="00ED7C01">
              <w:rPr>
                <w:rFonts w:cs="Arial"/>
                <w:color w:val="000000"/>
                <w:sz w:val="16"/>
                <w:szCs w:val="16"/>
                <w:lang w:val="fr-CH"/>
              </w:rPr>
              <w:t>X</w:t>
            </w: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ED7C01" w:rsidRDefault="00123DC4" w:rsidP="00132057">
            <w:pPr>
              <w:spacing w:before="40" w:after="40"/>
              <w:jc w:val="center"/>
              <w:rPr>
                <w:rFonts w:cs="Arial"/>
                <w:color w:val="000000"/>
                <w:sz w:val="16"/>
                <w:szCs w:val="16"/>
                <w:lang w:val="fr-CH"/>
              </w:rPr>
            </w:pPr>
            <w:r w:rsidRPr="00ED7C01">
              <w:rPr>
                <w:rFonts w:cs="Arial"/>
                <w:color w:val="000000"/>
                <w:sz w:val="16"/>
                <w:szCs w:val="16"/>
                <w:lang w:val="fr-CH"/>
              </w:rPr>
              <w:t>X</w:t>
            </w: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ED7C01" w:rsidRDefault="00123DC4" w:rsidP="00132057">
            <w:pPr>
              <w:spacing w:before="40" w:after="40"/>
              <w:jc w:val="center"/>
              <w:rPr>
                <w:rFonts w:cs="Arial"/>
                <w:color w:val="000000"/>
                <w:sz w:val="16"/>
                <w:szCs w:val="16"/>
                <w:lang w:val="fr-CH"/>
              </w:rPr>
            </w:pPr>
            <w:r w:rsidRPr="00ED7C01">
              <w:rPr>
                <w:rFonts w:cs="Arial"/>
                <w:color w:val="000000"/>
                <w:sz w:val="16"/>
                <w:szCs w:val="16"/>
                <w:lang w:val="fr-CH"/>
              </w:rPr>
              <w:t>X</w:t>
            </w: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ED7C01" w:rsidRDefault="00123DC4" w:rsidP="00132057">
            <w:pPr>
              <w:spacing w:before="40" w:after="40"/>
              <w:jc w:val="center"/>
              <w:rPr>
                <w:rFonts w:cs="Arial"/>
                <w:color w:val="000000"/>
                <w:sz w:val="16"/>
                <w:szCs w:val="16"/>
                <w:lang w:val="fr-CH"/>
              </w:rPr>
            </w:pPr>
          </w:p>
        </w:tc>
        <w:tc>
          <w:tcPr>
            <w:tcW w:w="480" w:type="dxa"/>
            <w:tcBorders>
              <w:top w:val="nil"/>
              <w:left w:val="nil"/>
              <w:bottom w:val="single" w:sz="4" w:space="0" w:color="auto"/>
              <w:right w:val="single" w:sz="8" w:space="0" w:color="auto"/>
            </w:tcBorders>
            <w:shd w:val="clear" w:color="auto" w:fill="auto"/>
            <w:noWrap/>
            <w:vAlign w:val="center"/>
            <w:hideMark/>
          </w:tcPr>
          <w:p w:rsidR="00123DC4" w:rsidRPr="00ED7C01" w:rsidRDefault="00123DC4" w:rsidP="00132057">
            <w:pPr>
              <w:spacing w:before="40" w:after="40"/>
              <w:jc w:val="center"/>
              <w:rPr>
                <w:rFonts w:cs="Arial"/>
                <w:color w:val="000000"/>
                <w:sz w:val="16"/>
                <w:szCs w:val="16"/>
                <w:lang w:val="fr-CH"/>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ED7C01" w:rsidRDefault="00123DC4" w:rsidP="00132057">
            <w:pPr>
              <w:spacing w:before="40" w:after="40"/>
              <w:jc w:val="center"/>
              <w:rPr>
                <w:rFonts w:cs="Arial"/>
                <w:color w:val="000000"/>
                <w:sz w:val="16"/>
                <w:szCs w:val="16"/>
                <w:lang w:val="fr-CH"/>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ED7C01" w:rsidRDefault="00123DC4" w:rsidP="00132057">
            <w:pPr>
              <w:spacing w:before="40" w:after="40"/>
              <w:jc w:val="center"/>
              <w:rPr>
                <w:rFonts w:cs="Arial"/>
                <w:color w:val="000000"/>
                <w:sz w:val="16"/>
                <w:szCs w:val="16"/>
                <w:lang w:val="fr-CH"/>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ED7C01" w:rsidRDefault="00123DC4" w:rsidP="00132057">
            <w:pPr>
              <w:spacing w:before="40" w:after="40"/>
              <w:jc w:val="center"/>
              <w:rPr>
                <w:rFonts w:cs="Arial"/>
                <w:color w:val="000000"/>
                <w:sz w:val="16"/>
                <w:szCs w:val="16"/>
                <w:lang w:val="fr-CH"/>
              </w:rPr>
            </w:pPr>
          </w:p>
        </w:tc>
        <w:tc>
          <w:tcPr>
            <w:tcW w:w="480" w:type="dxa"/>
            <w:tcBorders>
              <w:top w:val="nil"/>
              <w:left w:val="nil"/>
              <w:bottom w:val="single" w:sz="4" w:space="0" w:color="auto"/>
              <w:right w:val="single" w:sz="8" w:space="0" w:color="auto"/>
            </w:tcBorders>
            <w:shd w:val="clear" w:color="auto" w:fill="auto"/>
            <w:noWrap/>
            <w:vAlign w:val="center"/>
            <w:hideMark/>
          </w:tcPr>
          <w:p w:rsidR="00123DC4" w:rsidRPr="00ED7C01" w:rsidRDefault="00123DC4" w:rsidP="00132057">
            <w:pPr>
              <w:spacing w:before="40" w:after="40"/>
              <w:jc w:val="center"/>
              <w:rPr>
                <w:rFonts w:cs="Arial"/>
                <w:color w:val="000000"/>
                <w:sz w:val="16"/>
                <w:szCs w:val="16"/>
                <w:lang w:val="fr-CH"/>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ED7C01" w:rsidRDefault="00123DC4" w:rsidP="00132057">
            <w:pPr>
              <w:spacing w:before="40" w:after="40"/>
              <w:jc w:val="center"/>
              <w:rPr>
                <w:rFonts w:cs="Arial"/>
                <w:color w:val="000000"/>
                <w:sz w:val="16"/>
                <w:szCs w:val="16"/>
                <w:lang w:val="fr-CH"/>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ED7C01" w:rsidRDefault="00123DC4" w:rsidP="00132057">
            <w:pPr>
              <w:spacing w:before="40" w:after="40"/>
              <w:jc w:val="center"/>
              <w:rPr>
                <w:rFonts w:cs="Arial"/>
                <w:color w:val="000000"/>
                <w:sz w:val="16"/>
                <w:szCs w:val="16"/>
                <w:lang w:val="fr-CH"/>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ED7C01" w:rsidRDefault="00123DC4" w:rsidP="00132057">
            <w:pPr>
              <w:spacing w:before="40" w:after="40"/>
              <w:jc w:val="center"/>
              <w:rPr>
                <w:rFonts w:cs="Arial"/>
                <w:color w:val="000000"/>
                <w:sz w:val="16"/>
                <w:szCs w:val="16"/>
                <w:lang w:val="fr-CH"/>
              </w:rPr>
            </w:pPr>
          </w:p>
        </w:tc>
        <w:tc>
          <w:tcPr>
            <w:tcW w:w="480" w:type="dxa"/>
            <w:tcBorders>
              <w:top w:val="nil"/>
              <w:left w:val="nil"/>
              <w:bottom w:val="single" w:sz="4" w:space="0" w:color="auto"/>
              <w:right w:val="single" w:sz="8" w:space="0" w:color="auto"/>
            </w:tcBorders>
            <w:shd w:val="clear" w:color="auto" w:fill="auto"/>
            <w:noWrap/>
            <w:vAlign w:val="center"/>
            <w:hideMark/>
          </w:tcPr>
          <w:p w:rsidR="00123DC4" w:rsidRPr="00ED7C01" w:rsidRDefault="00123DC4" w:rsidP="00132057">
            <w:pPr>
              <w:spacing w:before="40" w:after="40"/>
              <w:jc w:val="center"/>
              <w:rPr>
                <w:rFonts w:cs="Arial"/>
                <w:color w:val="000000"/>
                <w:sz w:val="16"/>
                <w:szCs w:val="16"/>
                <w:lang w:val="fr-CH"/>
              </w:rPr>
            </w:pPr>
          </w:p>
        </w:tc>
      </w:tr>
      <w:tr w:rsidR="00123DC4" w:rsidRPr="003962D0" w:rsidTr="00132057">
        <w:trPr>
          <w:trHeight w:val="615"/>
          <w:jc w:val="center"/>
        </w:trPr>
        <w:tc>
          <w:tcPr>
            <w:tcW w:w="2324" w:type="dxa"/>
            <w:tcBorders>
              <w:top w:val="nil"/>
              <w:left w:val="single" w:sz="8" w:space="0" w:color="auto"/>
              <w:bottom w:val="single" w:sz="4" w:space="0" w:color="auto"/>
              <w:right w:val="single" w:sz="8" w:space="0" w:color="auto"/>
            </w:tcBorders>
            <w:shd w:val="clear" w:color="auto" w:fill="auto"/>
            <w:noWrap/>
            <w:vAlign w:val="bottom"/>
            <w:hideMark/>
          </w:tcPr>
          <w:p w:rsidR="00123DC4" w:rsidRPr="00ED7C01" w:rsidRDefault="00123DC4" w:rsidP="00132057">
            <w:pPr>
              <w:spacing w:before="40" w:after="40"/>
              <w:rPr>
                <w:rFonts w:cs="Arial"/>
                <w:color w:val="000000"/>
                <w:sz w:val="16"/>
                <w:szCs w:val="16"/>
              </w:rPr>
            </w:pPr>
            <w:r w:rsidRPr="00ED7C01">
              <w:rPr>
                <w:rFonts w:cs="Arial"/>
                <w:color w:val="000000"/>
                <w:sz w:val="16"/>
                <w:szCs w:val="16"/>
              </w:rPr>
              <w:t>Study and project related to compartmentalization between GBI and AB</w:t>
            </w: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ED7C01" w:rsidRDefault="00123DC4" w:rsidP="00132057">
            <w:pPr>
              <w:spacing w:before="40" w:after="40"/>
              <w:jc w:val="center"/>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ED7C01" w:rsidRDefault="00123DC4" w:rsidP="00132057">
            <w:pPr>
              <w:spacing w:before="40" w:after="40"/>
              <w:jc w:val="center"/>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ED7C01" w:rsidRDefault="00123DC4" w:rsidP="00132057">
            <w:pPr>
              <w:spacing w:before="40" w:after="40"/>
              <w:jc w:val="center"/>
              <w:rPr>
                <w:rFonts w:cs="Arial"/>
                <w:color w:val="000000"/>
                <w:sz w:val="16"/>
                <w:szCs w:val="16"/>
              </w:rPr>
            </w:pPr>
          </w:p>
        </w:tc>
        <w:tc>
          <w:tcPr>
            <w:tcW w:w="480" w:type="dxa"/>
            <w:tcBorders>
              <w:top w:val="nil"/>
              <w:left w:val="nil"/>
              <w:bottom w:val="single" w:sz="4" w:space="0" w:color="auto"/>
              <w:right w:val="single" w:sz="8" w:space="0" w:color="auto"/>
            </w:tcBorders>
            <w:shd w:val="clear" w:color="auto" w:fill="auto"/>
            <w:noWrap/>
            <w:vAlign w:val="center"/>
            <w:hideMark/>
          </w:tcPr>
          <w:p w:rsidR="00123DC4" w:rsidRPr="00ED7C01" w:rsidRDefault="00123DC4" w:rsidP="00132057">
            <w:pPr>
              <w:spacing w:before="40" w:after="40"/>
              <w:jc w:val="center"/>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ED7C01" w:rsidRDefault="00123DC4" w:rsidP="00132057">
            <w:pPr>
              <w:spacing w:before="40" w:after="40"/>
              <w:jc w:val="center"/>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ED7C01" w:rsidRDefault="00123DC4" w:rsidP="00132057">
            <w:pPr>
              <w:spacing w:before="40" w:after="40"/>
              <w:jc w:val="center"/>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ED7C01" w:rsidRDefault="00123DC4" w:rsidP="00132057">
            <w:pPr>
              <w:spacing w:before="40" w:after="40"/>
              <w:jc w:val="center"/>
              <w:rPr>
                <w:rFonts w:cs="Arial"/>
                <w:color w:val="000000"/>
                <w:sz w:val="16"/>
                <w:szCs w:val="16"/>
                <w:lang w:val="fr-CH"/>
              </w:rPr>
            </w:pPr>
            <w:r w:rsidRPr="00ED7C01">
              <w:rPr>
                <w:rFonts w:cs="Arial"/>
                <w:color w:val="000000"/>
                <w:sz w:val="16"/>
                <w:szCs w:val="16"/>
                <w:lang w:val="fr-CH"/>
              </w:rPr>
              <w:t>X</w:t>
            </w:r>
          </w:p>
        </w:tc>
        <w:tc>
          <w:tcPr>
            <w:tcW w:w="480" w:type="dxa"/>
            <w:tcBorders>
              <w:top w:val="nil"/>
              <w:left w:val="nil"/>
              <w:bottom w:val="single" w:sz="4" w:space="0" w:color="auto"/>
              <w:right w:val="single" w:sz="8" w:space="0" w:color="auto"/>
            </w:tcBorders>
            <w:shd w:val="clear" w:color="auto" w:fill="auto"/>
            <w:noWrap/>
            <w:vAlign w:val="center"/>
            <w:hideMark/>
          </w:tcPr>
          <w:p w:rsidR="00123DC4" w:rsidRPr="00ED7C01" w:rsidRDefault="00123DC4" w:rsidP="00132057">
            <w:pPr>
              <w:spacing w:before="40" w:after="40"/>
              <w:jc w:val="center"/>
              <w:rPr>
                <w:rFonts w:cs="Arial"/>
                <w:color w:val="000000"/>
                <w:sz w:val="16"/>
                <w:szCs w:val="16"/>
                <w:lang w:val="fr-CH"/>
              </w:rPr>
            </w:pPr>
            <w:r w:rsidRPr="00ED7C01">
              <w:rPr>
                <w:rFonts w:cs="Arial"/>
                <w:color w:val="000000"/>
                <w:sz w:val="16"/>
                <w:szCs w:val="16"/>
                <w:lang w:val="fr-CH"/>
              </w:rPr>
              <w:t>X</w:t>
            </w: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ED7C01" w:rsidRDefault="00123DC4" w:rsidP="00132057">
            <w:pPr>
              <w:spacing w:before="40" w:after="40"/>
              <w:jc w:val="center"/>
              <w:rPr>
                <w:rFonts w:cs="Arial"/>
                <w:color w:val="000000"/>
                <w:sz w:val="16"/>
                <w:szCs w:val="16"/>
                <w:lang w:val="fr-CH"/>
              </w:rPr>
            </w:pPr>
            <w:r w:rsidRPr="00ED7C01">
              <w:rPr>
                <w:rFonts w:cs="Arial"/>
                <w:color w:val="000000"/>
                <w:sz w:val="16"/>
                <w:szCs w:val="16"/>
                <w:lang w:val="fr-CH"/>
              </w:rPr>
              <w:t>X</w:t>
            </w: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ED7C01" w:rsidRDefault="00123DC4" w:rsidP="00132057">
            <w:pPr>
              <w:spacing w:before="40" w:after="40"/>
              <w:jc w:val="center"/>
              <w:rPr>
                <w:rFonts w:cs="Arial"/>
                <w:color w:val="000000"/>
                <w:sz w:val="16"/>
                <w:szCs w:val="16"/>
                <w:lang w:val="fr-CH"/>
              </w:rPr>
            </w:pPr>
            <w:r w:rsidRPr="00ED7C01">
              <w:rPr>
                <w:rFonts w:cs="Arial"/>
                <w:color w:val="000000"/>
                <w:sz w:val="16"/>
                <w:szCs w:val="16"/>
                <w:lang w:val="fr-CH"/>
              </w:rPr>
              <w:t>X</w:t>
            </w: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ED7C01" w:rsidRDefault="00123DC4" w:rsidP="00132057">
            <w:pPr>
              <w:spacing w:before="40" w:after="40"/>
              <w:jc w:val="center"/>
              <w:rPr>
                <w:rFonts w:cs="Arial"/>
                <w:color w:val="000000"/>
                <w:sz w:val="16"/>
                <w:szCs w:val="16"/>
                <w:lang w:val="fr-CH"/>
              </w:rPr>
            </w:pPr>
            <w:r w:rsidRPr="00ED7C01">
              <w:rPr>
                <w:rFonts w:cs="Arial"/>
                <w:color w:val="000000"/>
                <w:sz w:val="16"/>
                <w:szCs w:val="16"/>
                <w:lang w:val="fr-CH"/>
              </w:rPr>
              <w:t>X</w:t>
            </w:r>
          </w:p>
        </w:tc>
        <w:tc>
          <w:tcPr>
            <w:tcW w:w="480" w:type="dxa"/>
            <w:tcBorders>
              <w:top w:val="nil"/>
              <w:left w:val="nil"/>
              <w:bottom w:val="single" w:sz="4" w:space="0" w:color="auto"/>
              <w:right w:val="single" w:sz="8" w:space="0" w:color="auto"/>
            </w:tcBorders>
            <w:shd w:val="clear" w:color="auto" w:fill="auto"/>
            <w:noWrap/>
            <w:vAlign w:val="center"/>
            <w:hideMark/>
          </w:tcPr>
          <w:p w:rsidR="00123DC4" w:rsidRPr="00ED7C01" w:rsidRDefault="00123DC4" w:rsidP="00132057">
            <w:pPr>
              <w:spacing w:before="40" w:after="40"/>
              <w:jc w:val="center"/>
              <w:rPr>
                <w:rFonts w:cs="Arial"/>
                <w:color w:val="000000"/>
                <w:sz w:val="16"/>
                <w:szCs w:val="16"/>
                <w:lang w:val="fr-CH"/>
              </w:rPr>
            </w:pPr>
            <w:r w:rsidRPr="00ED7C01">
              <w:rPr>
                <w:rFonts w:cs="Arial"/>
                <w:color w:val="000000"/>
                <w:sz w:val="16"/>
                <w:szCs w:val="16"/>
                <w:lang w:val="fr-CH"/>
              </w:rPr>
              <w:t>X</w:t>
            </w: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ED7C01" w:rsidRDefault="00123DC4" w:rsidP="00132057">
            <w:pPr>
              <w:spacing w:before="40" w:after="40"/>
              <w:jc w:val="center"/>
              <w:rPr>
                <w:rFonts w:cs="Arial"/>
                <w:color w:val="000000"/>
                <w:sz w:val="16"/>
                <w:szCs w:val="16"/>
                <w:lang w:val="fr-CH"/>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ED7C01" w:rsidRDefault="00123DC4" w:rsidP="00132057">
            <w:pPr>
              <w:spacing w:before="40" w:after="40"/>
              <w:jc w:val="center"/>
              <w:rPr>
                <w:rFonts w:cs="Arial"/>
                <w:color w:val="000000"/>
                <w:sz w:val="16"/>
                <w:szCs w:val="16"/>
                <w:lang w:val="fr-CH"/>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ED7C01" w:rsidRDefault="00123DC4" w:rsidP="00132057">
            <w:pPr>
              <w:spacing w:before="40" w:after="40"/>
              <w:jc w:val="center"/>
              <w:rPr>
                <w:rFonts w:cs="Arial"/>
                <w:color w:val="000000"/>
                <w:sz w:val="16"/>
                <w:szCs w:val="16"/>
                <w:lang w:val="fr-CH"/>
              </w:rPr>
            </w:pPr>
          </w:p>
        </w:tc>
        <w:tc>
          <w:tcPr>
            <w:tcW w:w="480" w:type="dxa"/>
            <w:tcBorders>
              <w:top w:val="nil"/>
              <w:left w:val="nil"/>
              <w:bottom w:val="single" w:sz="4" w:space="0" w:color="auto"/>
              <w:right w:val="single" w:sz="8" w:space="0" w:color="auto"/>
            </w:tcBorders>
            <w:shd w:val="clear" w:color="auto" w:fill="auto"/>
            <w:noWrap/>
            <w:vAlign w:val="center"/>
            <w:hideMark/>
          </w:tcPr>
          <w:p w:rsidR="00123DC4" w:rsidRPr="00ED7C01" w:rsidRDefault="00123DC4" w:rsidP="00132057">
            <w:pPr>
              <w:spacing w:before="40" w:after="40"/>
              <w:jc w:val="center"/>
              <w:rPr>
                <w:rFonts w:cs="Arial"/>
                <w:color w:val="000000"/>
                <w:sz w:val="16"/>
                <w:szCs w:val="16"/>
                <w:lang w:val="fr-CH"/>
              </w:rPr>
            </w:pPr>
          </w:p>
        </w:tc>
      </w:tr>
      <w:tr w:rsidR="00123DC4" w:rsidRPr="003962D0" w:rsidTr="00132057">
        <w:trPr>
          <w:trHeight w:val="615"/>
          <w:jc w:val="center"/>
        </w:trPr>
        <w:tc>
          <w:tcPr>
            <w:tcW w:w="2324" w:type="dxa"/>
            <w:tcBorders>
              <w:top w:val="nil"/>
              <w:left w:val="single" w:sz="8" w:space="0" w:color="auto"/>
              <w:bottom w:val="single" w:sz="4" w:space="0" w:color="auto"/>
              <w:right w:val="single" w:sz="8" w:space="0" w:color="auto"/>
            </w:tcBorders>
            <w:shd w:val="clear" w:color="auto" w:fill="auto"/>
            <w:noWrap/>
            <w:vAlign w:val="bottom"/>
            <w:hideMark/>
          </w:tcPr>
          <w:p w:rsidR="00123DC4" w:rsidRPr="00ED7C01" w:rsidRDefault="00123DC4" w:rsidP="00132057">
            <w:pPr>
              <w:spacing w:before="40" w:after="40"/>
              <w:rPr>
                <w:rFonts w:cs="Arial"/>
                <w:color w:val="000000"/>
                <w:sz w:val="16"/>
                <w:szCs w:val="16"/>
              </w:rPr>
            </w:pPr>
            <w:r w:rsidRPr="00ED7C01">
              <w:rPr>
                <w:rFonts w:cs="Arial"/>
                <w:color w:val="000000"/>
                <w:sz w:val="16"/>
                <w:szCs w:val="16"/>
              </w:rPr>
              <w:t>Project related to compartmentalization between GBI and GBII (all levels except -1)</w:t>
            </w: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ED7C01" w:rsidRDefault="00123DC4" w:rsidP="00132057">
            <w:pPr>
              <w:spacing w:before="40" w:after="40"/>
              <w:jc w:val="center"/>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ED7C01" w:rsidRDefault="00123DC4" w:rsidP="00132057">
            <w:pPr>
              <w:spacing w:before="40" w:after="40"/>
              <w:jc w:val="center"/>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ED7C01" w:rsidRDefault="00123DC4" w:rsidP="00132057">
            <w:pPr>
              <w:spacing w:before="40" w:after="40"/>
              <w:jc w:val="center"/>
              <w:rPr>
                <w:rFonts w:cs="Arial"/>
                <w:color w:val="000000"/>
                <w:sz w:val="16"/>
                <w:szCs w:val="16"/>
              </w:rPr>
            </w:pPr>
          </w:p>
        </w:tc>
        <w:tc>
          <w:tcPr>
            <w:tcW w:w="480" w:type="dxa"/>
            <w:tcBorders>
              <w:top w:val="nil"/>
              <w:left w:val="nil"/>
              <w:bottom w:val="single" w:sz="4" w:space="0" w:color="auto"/>
              <w:right w:val="single" w:sz="8" w:space="0" w:color="auto"/>
            </w:tcBorders>
            <w:shd w:val="clear" w:color="auto" w:fill="auto"/>
            <w:noWrap/>
            <w:vAlign w:val="center"/>
            <w:hideMark/>
          </w:tcPr>
          <w:p w:rsidR="00123DC4" w:rsidRPr="00ED7C01" w:rsidRDefault="00123DC4" w:rsidP="00132057">
            <w:pPr>
              <w:spacing w:before="40" w:after="40"/>
              <w:jc w:val="center"/>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ED7C01" w:rsidRDefault="00123DC4" w:rsidP="00132057">
            <w:pPr>
              <w:spacing w:before="40" w:after="40"/>
              <w:jc w:val="center"/>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ED7C01" w:rsidRDefault="00123DC4" w:rsidP="00132057">
            <w:pPr>
              <w:spacing w:before="40" w:after="40"/>
              <w:jc w:val="center"/>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ED7C01" w:rsidRDefault="00123DC4" w:rsidP="00132057">
            <w:pPr>
              <w:spacing w:before="40" w:after="40"/>
              <w:jc w:val="center"/>
              <w:rPr>
                <w:rFonts w:cs="Arial"/>
                <w:color w:val="000000"/>
                <w:sz w:val="16"/>
                <w:szCs w:val="16"/>
              </w:rPr>
            </w:pPr>
          </w:p>
        </w:tc>
        <w:tc>
          <w:tcPr>
            <w:tcW w:w="480" w:type="dxa"/>
            <w:tcBorders>
              <w:top w:val="nil"/>
              <w:left w:val="nil"/>
              <w:bottom w:val="single" w:sz="4" w:space="0" w:color="auto"/>
              <w:right w:val="single" w:sz="8" w:space="0" w:color="auto"/>
            </w:tcBorders>
            <w:shd w:val="clear" w:color="auto" w:fill="auto"/>
            <w:noWrap/>
            <w:vAlign w:val="center"/>
            <w:hideMark/>
          </w:tcPr>
          <w:p w:rsidR="00123DC4" w:rsidRPr="00ED7C01" w:rsidRDefault="00123DC4" w:rsidP="00132057">
            <w:pPr>
              <w:spacing w:before="40" w:after="40"/>
              <w:jc w:val="center"/>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ED7C01" w:rsidRDefault="00123DC4" w:rsidP="00132057">
            <w:pPr>
              <w:spacing w:before="40" w:after="40"/>
              <w:jc w:val="center"/>
              <w:rPr>
                <w:rFonts w:cs="Arial"/>
                <w:color w:val="000000"/>
                <w:sz w:val="16"/>
                <w:szCs w:val="16"/>
                <w:lang w:val="fr-CH"/>
              </w:rPr>
            </w:pPr>
            <w:r w:rsidRPr="00ED7C01">
              <w:rPr>
                <w:rFonts w:cs="Arial"/>
                <w:color w:val="000000"/>
                <w:sz w:val="16"/>
                <w:szCs w:val="16"/>
                <w:lang w:val="fr-CH"/>
              </w:rPr>
              <w:t>X</w:t>
            </w: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ED7C01" w:rsidRDefault="00123DC4" w:rsidP="00132057">
            <w:pPr>
              <w:spacing w:before="40" w:after="40"/>
              <w:jc w:val="center"/>
              <w:rPr>
                <w:rFonts w:cs="Arial"/>
                <w:color w:val="000000"/>
                <w:sz w:val="16"/>
                <w:szCs w:val="16"/>
                <w:lang w:val="fr-CH"/>
              </w:rPr>
            </w:pPr>
            <w:r w:rsidRPr="00ED7C01">
              <w:rPr>
                <w:rFonts w:cs="Arial"/>
                <w:color w:val="000000"/>
                <w:sz w:val="16"/>
                <w:szCs w:val="16"/>
                <w:lang w:val="fr-CH"/>
              </w:rPr>
              <w:t>X</w:t>
            </w: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ED7C01" w:rsidRDefault="00123DC4" w:rsidP="00132057">
            <w:pPr>
              <w:spacing w:before="40" w:after="40"/>
              <w:jc w:val="center"/>
              <w:rPr>
                <w:rFonts w:cs="Arial"/>
                <w:color w:val="000000"/>
                <w:sz w:val="16"/>
                <w:szCs w:val="16"/>
                <w:lang w:val="fr-CH"/>
              </w:rPr>
            </w:pPr>
            <w:r w:rsidRPr="00ED7C01">
              <w:rPr>
                <w:rFonts w:cs="Arial"/>
                <w:color w:val="000000"/>
                <w:sz w:val="16"/>
                <w:szCs w:val="16"/>
                <w:lang w:val="fr-CH"/>
              </w:rPr>
              <w:t>X</w:t>
            </w:r>
          </w:p>
        </w:tc>
        <w:tc>
          <w:tcPr>
            <w:tcW w:w="480" w:type="dxa"/>
            <w:tcBorders>
              <w:top w:val="nil"/>
              <w:left w:val="nil"/>
              <w:bottom w:val="single" w:sz="4" w:space="0" w:color="auto"/>
              <w:right w:val="single" w:sz="8" w:space="0" w:color="auto"/>
            </w:tcBorders>
            <w:shd w:val="clear" w:color="auto" w:fill="auto"/>
            <w:noWrap/>
            <w:vAlign w:val="center"/>
            <w:hideMark/>
          </w:tcPr>
          <w:p w:rsidR="00123DC4" w:rsidRPr="00ED7C01" w:rsidRDefault="00123DC4" w:rsidP="00132057">
            <w:pPr>
              <w:spacing w:before="40" w:after="40"/>
              <w:jc w:val="center"/>
              <w:rPr>
                <w:rFonts w:cs="Arial"/>
                <w:color w:val="000000"/>
                <w:sz w:val="16"/>
                <w:szCs w:val="16"/>
                <w:lang w:val="fr-CH"/>
              </w:rPr>
            </w:pPr>
            <w:r w:rsidRPr="00ED7C01">
              <w:rPr>
                <w:rFonts w:cs="Arial"/>
                <w:color w:val="000000"/>
                <w:sz w:val="16"/>
                <w:szCs w:val="16"/>
                <w:lang w:val="fr-CH"/>
              </w:rPr>
              <w:t>X</w:t>
            </w: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ED7C01" w:rsidRDefault="00123DC4" w:rsidP="00132057">
            <w:pPr>
              <w:spacing w:before="40" w:after="40"/>
              <w:jc w:val="center"/>
              <w:rPr>
                <w:rFonts w:cs="Arial"/>
                <w:color w:val="000000"/>
                <w:sz w:val="16"/>
                <w:szCs w:val="16"/>
                <w:lang w:val="fr-CH"/>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ED7C01" w:rsidRDefault="00123DC4" w:rsidP="00132057">
            <w:pPr>
              <w:spacing w:before="40" w:after="40"/>
              <w:jc w:val="center"/>
              <w:rPr>
                <w:rFonts w:cs="Arial"/>
                <w:color w:val="000000"/>
                <w:sz w:val="16"/>
                <w:szCs w:val="16"/>
                <w:lang w:val="fr-CH"/>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ED7C01" w:rsidRDefault="00123DC4" w:rsidP="00132057">
            <w:pPr>
              <w:spacing w:before="40" w:after="40"/>
              <w:jc w:val="center"/>
              <w:rPr>
                <w:rFonts w:cs="Arial"/>
                <w:color w:val="000000"/>
                <w:sz w:val="16"/>
                <w:szCs w:val="16"/>
                <w:lang w:val="fr-CH"/>
              </w:rPr>
            </w:pPr>
          </w:p>
        </w:tc>
        <w:tc>
          <w:tcPr>
            <w:tcW w:w="480" w:type="dxa"/>
            <w:tcBorders>
              <w:top w:val="nil"/>
              <w:left w:val="nil"/>
              <w:bottom w:val="single" w:sz="4" w:space="0" w:color="auto"/>
              <w:right w:val="single" w:sz="8" w:space="0" w:color="auto"/>
            </w:tcBorders>
            <w:shd w:val="clear" w:color="auto" w:fill="auto"/>
            <w:noWrap/>
            <w:vAlign w:val="center"/>
            <w:hideMark/>
          </w:tcPr>
          <w:p w:rsidR="00123DC4" w:rsidRPr="00ED7C01" w:rsidRDefault="00123DC4" w:rsidP="00132057">
            <w:pPr>
              <w:spacing w:before="40" w:after="40"/>
              <w:jc w:val="center"/>
              <w:rPr>
                <w:rFonts w:cs="Arial"/>
                <w:color w:val="000000"/>
                <w:sz w:val="16"/>
                <w:szCs w:val="16"/>
                <w:lang w:val="fr-CH"/>
              </w:rPr>
            </w:pPr>
          </w:p>
        </w:tc>
      </w:tr>
      <w:tr w:rsidR="00123DC4" w:rsidRPr="003962D0" w:rsidTr="00132057">
        <w:trPr>
          <w:trHeight w:val="615"/>
          <w:jc w:val="center"/>
        </w:trPr>
        <w:tc>
          <w:tcPr>
            <w:tcW w:w="2324" w:type="dxa"/>
            <w:tcBorders>
              <w:top w:val="nil"/>
              <w:left w:val="single" w:sz="8" w:space="0" w:color="auto"/>
              <w:bottom w:val="single" w:sz="4" w:space="0" w:color="auto"/>
              <w:right w:val="single" w:sz="8" w:space="0" w:color="auto"/>
            </w:tcBorders>
            <w:shd w:val="clear" w:color="auto" w:fill="auto"/>
            <w:noWrap/>
            <w:vAlign w:val="bottom"/>
            <w:hideMark/>
          </w:tcPr>
          <w:p w:rsidR="00123DC4" w:rsidRPr="00ED7C01" w:rsidRDefault="00123DC4" w:rsidP="00132057">
            <w:pPr>
              <w:spacing w:before="40" w:after="40"/>
              <w:rPr>
                <w:rFonts w:cs="Arial"/>
                <w:color w:val="000000"/>
                <w:sz w:val="16"/>
                <w:szCs w:val="16"/>
              </w:rPr>
            </w:pPr>
            <w:r w:rsidRPr="00ED7C01">
              <w:rPr>
                <w:rFonts w:cs="Arial"/>
                <w:color w:val="000000"/>
                <w:sz w:val="16"/>
                <w:szCs w:val="16"/>
              </w:rPr>
              <w:t>Project relating to compartmentalization in AB (except -2)</w:t>
            </w: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ED7C01" w:rsidRDefault="00123DC4" w:rsidP="00132057">
            <w:pPr>
              <w:spacing w:before="40" w:after="40"/>
              <w:jc w:val="center"/>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ED7C01" w:rsidRDefault="00123DC4" w:rsidP="00132057">
            <w:pPr>
              <w:spacing w:before="40" w:after="40"/>
              <w:jc w:val="center"/>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ED7C01" w:rsidRDefault="00123DC4" w:rsidP="00132057">
            <w:pPr>
              <w:spacing w:before="40" w:after="40"/>
              <w:jc w:val="center"/>
              <w:rPr>
                <w:rFonts w:cs="Arial"/>
                <w:color w:val="000000"/>
                <w:sz w:val="16"/>
                <w:szCs w:val="16"/>
              </w:rPr>
            </w:pPr>
          </w:p>
        </w:tc>
        <w:tc>
          <w:tcPr>
            <w:tcW w:w="480" w:type="dxa"/>
            <w:tcBorders>
              <w:top w:val="nil"/>
              <w:left w:val="nil"/>
              <w:bottom w:val="single" w:sz="4" w:space="0" w:color="auto"/>
              <w:right w:val="single" w:sz="8" w:space="0" w:color="auto"/>
            </w:tcBorders>
            <w:shd w:val="clear" w:color="auto" w:fill="auto"/>
            <w:noWrap/>
            <w:vAlign w:val="center"/>
            <w:hideMark/>
          </w:tcPr>
          <w:p w:rsidR="00123DC4" w:rsidRPr="00ED7C01" w:rsidRDefault="00123DC4" w:rsidP="00132057">
            <w:pPr>
              <w:spacing w:before="40" w:after="40"/>
              <w:jc w:val="center"/>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ED7C01" w:rsidRDefault="00123DC4" w:rsidP="00132057">
            <w:pPr>
              <w:spacing w:before="40" w:after="40"/>
              <w:jc w:val="center"/>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ED7C01" w:rsidRDefault="00123DC4" w:rsidP="00132057">
            <w:pPr>
              <w:spacing w:before="40" w:after="40"/>
              <w:jc w:val="center"/>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ED7C01" w:rsidRDefault="00123DC4" w:rsidP="00132057">
            <w:pPr>
              <w:spacing w:before="40" w:after="40"/>
              <w:jc w:val="center"/>
              <w:rPr>
                <w:rFonts w:cs="Arial"/>
                <w:color w:val="000000"/>
                <w:sz w:val="16"/>
                <w:szCs w:val="16"/>
              </w:rPr>
            </w:pPr>
          </w:p>
        </w:tc>
        <w:tc>
          <w:tcPr>
            <w:tcW w:w="480" w:type="dxa"/>
            <w:tcBorders>
              <w:top w:val="nil"/>
              <w:left w:val="nil"/>
              <w:bottom w:val="single" w:sz="4" w:space="0" w:color="auto"/>
              <w:right w:val="single" w:sz="8" w:space="0" w:color="auto"/>
            </w:tcBorders>
            <w:shd w:val="clear" w:color="auto" w:fill="auto"/>
            <w:noWrap/>
            <w:vAlign w:val="center"/>
            <w:hideMark/>
          </w:tcPr>
          <w:p w:rsidR="00123DC4" w:rsidRPr="00ED7C01" w:rsidRDefault="00123DC4" w:rsidP="00132057">
            <w:pPr>
              <w:spacing w:before="40" w:after="40"/>
              <w:jc w:val="center"/>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ED7C01" w:rsidRDefault="00123DC4" w:rsidP="00132057">
            <w:pPr>
              <w:spacing w:before="40" w:after="40"/>
              <w:jc w:val="center"/>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ED7C01" w:rsidRDefault="00123DC4" w:rsidP="00132057">
            <w:pPr>
              <w:spacing w:before="40" w:after="40"/>
              <w:jc w:val="center"/>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ED7C01" w:rsidRDefault="00123DC4" w:rsidP="00132057">
            <w:pPr>
              <w:spacing w:before="40" w:after="40"/>
              <w:jc w:val="center"/>
              <w:rPr>
                <w:rFonts w:cs="Arial"/>
                <w:color w:val="000000"/>
                <w:sz w:val="16"/>
                <w:szCs w:val="16"/>
              </w:rPr>
            </w:pPr>
          </w:p>
        </w:tc>
        <w:tc>
          <w:tcPr>
            <w:tcW w:w="480" w:type="dxa"/>
            <w:tcBorders>
              <w:top w:val="nil"/>
              <w:left w:val="nil"/>
              <w:bottom w:val="single" w:sz="4" w:space="0" w:color="auto"/>
              <w:right w:val="single" w:sz="8" w:space="0" w:color="auto"/>
            </w:tcBorders>
            <w:shd w:val="clear" w:color="auto" w:fill="auto"/>
            <w:noWrap/>
            <w:vAlign w:val="center"/>
            <w:hideMark/>
          </w:tcPr>
          <w:p w:rsidR="00123DC4" w:rsidRPr="00ED7C01" w:rsidRDefault="00123DC4" w:rsidP="00132057">
            <w:pPr>
              <w:spacing w:before="40" w:after="40"/>
              <w:jc w:val="center"/>
              <w:rPr>
                <w:rFonts w:cs="Arial"/>
                <w:color w:val="000000"/>
                <w:sz w:val="16"/>
                <w:szCs w:val="16"/>
              </w:rPr>
            </w:pP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ED7C01" w:rsidRDefault="00123DC4" w:rsidP="00132057">
            <w:pPr>
              <w:spacing w:before="40" w:after="40"/>
              <w:jc w:val="center"/>
              <w:rPr>
                <w:rFonts w:cs="Arial"/>
                <w:color w:val="000000"/>
                <w:sz w:val="16"/>
                <w:szCs w:val="16"/>
                <w:lang w:val="fr-CH"/>
              </w:rPr>
            </w:pPr>
            <w:r w:rsidRPr="00ED7C01">
              <w:rPr>
                <w:rFonts w:cs="Arial"/>
                <w:color w:val="000000"/>
                <w:sz w:val="16"/>
                <w:szCs w:val="16"/>
                <w:lang w:val="fr-CH"/>
              </w:rPr>
              <w:t>X</w:t>
            </w: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ED7C01" w:rsidRDefault="00123DC4" w:rsidP="00132057">
            <w:pPr>
              <w:spacing w:before="40" w:after="40"/>
              <w:jc w:val="center"/>
              <w:rPr>
                <w:rFonts w:cs="Arial"/>
                <w:color w:val="000000"/>
                <w:sz w:val="16"/>
                <w:szCs w:val="16"/>
                <w:lang w:val="fr-CH"/>
              </w:rPr>
            </w:pPr>
            <w:r w:rsidRPr="00ED7C01">
              <w:rPr>
                <w:rFonts w:cs="Arial"/>
                <w:color w:val="000000"/>
                <w:sz w:val="16"/>
                <w:szCs w:val="16"/>
                <w:lang w:val="fr-CH"/>
              </w:rPr>
              <w:t>X</w:t>
            </w:r>
          </w:p>
        </w:tc>
        <w:tc>
          <w:tcPr>
            <w:tcW w:w="480" w:type="dxa"/>
            <w:tcBorders>
              <w:top w:val="nil"/>
              <w:left w:val="nil"/>
              <w:bottom w:val="single" w:sz="4" w:space="0" w:color="auto"/>
              <w:right w:val="single" w:sz="4" w:space="0" w:color="auto"/>
            </w:tcBorders>
            <w:shd w:val="clear" w:color="auto" w:fill="auto"/>
            <w:noWrap/>
            <w:vAlign w:val="center"/>
            <w:hideMark/>
          </w:tcPr>
          <w:p w:rsidR="00123DC4" w:rsidRPr="00ED7C01" w:rsidRDefault="00123DC4" w:rsidP="00132057">
            <w:pPr>
              <w:spacing w:before="40" w:after="40"/>
              <w:jc w:val="center"/>
              <w:rPr>
                <w:rFonts w:cs="Arial"/>
                <w:color w:val="000000"/>
                <w:sz w:val="16"/>
                <w:szCs w:val="16"/>
                <w:lang w:val="fr-CH"/>
              </w:rPr>
            </w:pPr>
            <w:r w:rsidRPr="00ED7C01">
              <w:rPr>
                <w:rFonts w:cs="Arial"/>
                <w:color w:val="000000"/>
                <w:sz w:val="16"/>
                <w:szCs w:val="16"/>
                <w:lang w:val="fr-CH"/>
              </w:rPr>
              <w:t>X</w:t>
            </w:r>
          </w:p>
        </w:tc>
        <w:tc>
          <w:tcPr>
            <w:tcW w:w="480" w:type="dxa"/>
            <w:tcBorders>
              <w:top w:val="nil"/>
              <w:left w:val="nil"/>
              <w:bottom w:val="single" w:sz="4" w:space="0" w:color="auto"/>
              <w:right w:val="single" w:sz="8" w:space="0" w:color="auto"/>
            </w:tcBorders>
            <w:shd w:val="clear" w:color="auto" w:fill="auto"/>
            <w:noWrap/>
            <w:vAlign w:val="center"/>
            <w:hideMark/>
          </w:tcPr>
          <w:p w:rsidR="00123DC4" w:rsidRPr="00ED7C01" w:rsidRDefault="00123DC4" w:rsidP="00132057">
            <w:pPr>
              <w:spacing w:before="40" w:after="40"/>
              <w:jc w:val="center"/>
              <w:rPr>
                <w:rFonts w:cs="Arial"/>
                <w:color w:val="000000"/>
                <w:sz w:val="16"/>
                <w:szCs w:val="16"/>
                <w:lang w:val="fr-CH"/>
              </w:rPr>
            </w:pPr>
            <w:r w:rsidRPr="00ED7C01">
              <w:rPr>
                <w:rFonts w:cs="Arial"/>
                <w:color w:val="000000"/>
                <w:sz w:val="16"/>
                <w:szCs w:val="16"/>
                <w:lang w:val="fr-CH"/>
              </w:rPr>
              <w:t>X</w:t>
            </w:r>
          </w:p>
        </w:tc>
      </w:tr>
    </w:tbl>
    <w:p w:rsidR="00123DC4" w:rsidRPr="00FC7785" w:rsidRDefault="00123DC4" w:rsidP="00132057"/>
    <w:p w:rsidR="00123DC4" w:rsidRDefault="00123DC4"/>
    <w:p w:rsidR="00123DC4" w:rsidRDefault="00123DC4" w:rsidP="00132057">
      <w:pPr>
        <w:pStyle w:val="Endofdocument-Annex"/>
      </w:pPr>
    </w:p>
    <w:p w:rsidR="008D1891" w:rsidRDefault="008D1891" w:rsidP="00123DC4">
      <w:pPr>
        <w:autoSpaceDE w:val="0"/>
        <w:autoSpaceDN w:val="0"/>
        <w:ind w:left="5103" w:firstLine="567"/>
        <w:jc w:val="both"/>
      </w:pPr>
      <w:r>
        <w:t>[Appendix IV follows]</w:t>
      </w:r>
    </w:p>
    <w:p w:rsidR="008D1891" w:rsidRDefault="008D1891">
      <w:r>
        <w:br w:type="page"/>
      </w:r>
    </w:p>
    <w:p w:rsidR="00815ABB" w:rsidRPr="00A35313" w:rsidRDefault="00FB3CE3" w:rsidP="00815ABB">
      <w:pPr>
        <w:pStyle w:val="Heading2"/>
        <w:ind w:left="0" w:firstLine="0"/>
        <w:rPr>
          <w:b w:val="0"/>
          <w:i/>
        </w:rPr>
      </w:pPr>
      <w:bookmarkStart w:id="134" w:name="_Toc454544515"/>
      <w:r>
        <w:rPr>
          <w:bCs w:val="0"/>
          <w:szCs w:val="22"/>
          <w:lang w:eastAsia="zh-CN"/>
        </w:rPr>
        <w:t xml:space="preserve">APPENDIX </w:t>
      </w:r>
      <w:r w:rsidRPr="0063033D">
        <w:rPr>
          <w:bCs w:val="0"/>
          <w:szCs w:val="22"/>
          <w:lang w:eastAsia="zh-CN"/>
        </w:rPr>
        <w:t>I</w:t>
      </w:r>
      <w:r>
        <w:rPr>
          <w:bCs w:val="0"/>
          <w:szCs w:val="22"/>
          <w:lang w:eastAsia="zh-CN"/>
        </w:rPr>
        <w:t>V</w:t>
      </w:r>
      <w:r w:rsidR="006C404A">
        <w:rPr>
          <w:bCs w:val="0"/>
          <w:szCs w:val="22"/>
          <w:lang w:eastAsia="zh-CN"/>
        </w:rPr>
        <w:t xml:space="preserve">   </w:t>
      </w:r>
      <w:r w:rsidR="00815ABB">
        <w:rPr>
          <w:bCs w:val="0"/>
          <w:szCs w:val="22"/>
          <w:lang w:eastAsia="zh-CN"/>
        </w:rPr>
        <w:br/>
      </w:r>
      <w:bookmarkStart w:id="135" w:name="_Toc293334854"/>
      <w:bookmarkStart w:id="136" w:name="_Toc298920436"/>
      <w:bookmarkStart w:id="137" w:name="_Toc310950817"/>
      <w:bookmarkStart w:id="138" w:name="_Toc356567803"/>
      <w:bookmarkStart w:id="139" w:name="_Toc367350629"/>
      <w:bookmarkStart w:id="140" w:name="_Toc392610068"/>
      <w:r w:rsidR="00815ABB">
        <w:br/>
      </w:r>
      <w:r w:rsidR="00815ABB" w:rsidRPr="00A35313">
        <w:t>ACRONYMS AND ABBREVIATIONS USED IN THE PRESENT DOCUMENT</w:t>
      </w:r>
      <w:bookmarkEnd w:id="135"/>
      <w:bookmarkEnd w:id="136"/>
      <w:bookmarkEnd w:id="137"/>
      <w:bookmarkEnd w:id="138"/>
      <w:bookmarkEnd w:id="139"/>
      <w:bookmarkEnd w:id="140"/>
      <w:bookmarkEnd w:id="134"/>
    </w:p>
    <w:p w:rsidR="00815ABB" w:rsidRPr="00727DFF" w:rsidRDefault="00815ABB" w:rsidP="00B11299">
      <w:pPr>
        <w:tabs>
          <w:tab w:val="left" w:pos="1980"/>
          <w:tab w:val="left" w:pos="3261"/>
        </w:tabs>
        <w:ind w:left="2268" w:hanging="2268"/>
        <w:jc w:val="both"/>
        <w:rPr>
          <w:rFonts w:cs="Arial"/>
          <w:sz w:val="16"/>
          <w:szCs w:val="16"/>
        </w:rPr>
      </w:pPr>
    </w:p>
    <w:p w:rsidR="00815ABB" w:rsidRPr="00727DFF" w:rsidRDefault="00815ABB" w:rsidP="00B11299">
      <w:pPr>
        <w:tabs>
          <w:tab w:val="left" w:pos="1980"/>
          <w:tab w:val="left" w:pos="3261"/>
        </w:tabs>
        <w:ind w:left="2268" w:hanging="2268"/>
        <w:jc w:val="both"/>
        <w:rPr>
          <w:rFonts w:cs="Arial"/>
          <w:sz w:val="16"/>
          <w:szCs w:val="16"/>
        </w:rPr>
      </w:pPr>
    </w:p>
    <w:p w:rsidR="00815ABB" w:rsidRPr="00F10C59" w:rsidRDefault="00815ABB" w:rsidP="00B11299">
      <w:pPr>
        <w:tabs>
          <w:tab w:val="left" w:pos="2127"/>
        </w:tabs>
        <w:spacing w:after="40"/>
        <w:ind w:left="2126" w:right="-476" w:hanging="2126"/>
        <w:rPr>
          <w:rFonts w:cs="Arial"/>
        </w:rPr>
      </w:pPr>
      <w:r w:rsidRPr="00F10AB9">
        <w:rPr>
          <w:rFonts w:cs="Arial"/>
          <w:b/>
          <w:bCs/>
        </w:rPr>
        <w:t>A</w:t>
      </w:r>
      <w:r w:rsidRPr="00F10C59">
        <w:rPr>
          <w:rFonts w:cs="Arial"/>
        </w:rPr>
        <w:t>CE</w:t>
      </w:r>
      <w:r w:rsidRPr="00F10C59">
        <w:rPr>
          <w:rFonts w:cs="Arial"/>
        </w:rPr>
        <w:tab/>
        <w:t xml:space="preserve">Advisory Committee on Enforcement </w:t>
      </w:r>
    </w:p>
    <w:p w:rsidR="00990915" w:rsidRDefault="00990915" w:rsidP="00B11299">
      <w:pPr>
        <w:tabs>
          <w:tab w:val="left" w:pos="2127"/>
        </w:tabs>
        <w:spacing w:after="40"/>
        <w:ind w:left="2126" w:hanging="2126"/>
        <w:rPr>
          <w:rFonts w:cs="Arial"/>
        </w:rPr>
      </w:pPr>
      <w:r>
        <w:rPr>
          <w:szCs w:val="20"/>
        </w:rPr>
        <w:t>AADD</w:t>
      </w:r>
      <w:r>
        <w:rPr>
          <w:szCs w:val="20"/>
        </w:rPr>
        <w:tab/>
      </w:r>
      <w:r w:rsidRPr="00A26C66">
        <w:rPr>
          <w:szCs w:val="20"/>
        </w:rPr>
        <w:t xml:space="preserve">Assemblies Affairs and Documentation Division </w:t>
      </w:r>
    </w:p>
    <w:p w:rsidR="00AC5CD9" w:rsidRDefault="00AC5CD9" w:rsidP="00B11299">
      <w:pPr>
        <w:tabs>
          <w:tab w:val="left" w:pos="2127"/>
        </w:tabs>
        <w:spacing w:after="40"/>
        <w:ind w:left="2126" w:hanging="2126"/>
        <w:rPr>
          <w:rFonts w:cs="Arial"/>
        </w:rPr>
      </w:pPr>
      <w:r>
        <w:rPr>
          <w:rFonts w:cs="Arial"/>
        </w:rPr>
        <w:t>ABC</w:t>
      </w:r>
      <w:r>
        <w:rPr>
          <w:rFonts w:cs="Arial"/>
        </w:rPr>
        <w:tab/>
        <w:t xml:space="preserve">Accessible Books Consortium </w:t>
      </w:r>
    </w:p>
    <w:p w:rsidR="00990915" w:rsidRPr="00E37059" w:rsidRDefault="00990915" w:rsidP="00B11299">
      <w:pPr>
        <w:tabs>
          <w:tab w:val="left" w:pos="2127"/>
        </w:tabs>
        <w:spacing w:after="40"/>
        <w:ind w:left="2126" w:hanging="2126"/>
        <w:rPr>
          <w:rFonts w:cs="Arial"/>
        </w:rPr>
      </w:pPr>
      <w:r w:rsidRPr="00E37059">
        <w:rPr>
          <w:rFonts w:cs="Arial"/>
        </w:rPr>
        <w:t>AIMS</w:t>
      </w:r>
      <w:r w:rsidRPr="00E37059">
        <w:rPr>
          <w:rFonts w:cs="Arial"/>
        </w:rPr>
        <w:tab/>
      </w:r>
      <w:r w:rsidRPr="00CD55B6">
        <w:rPr>
          <w:bCs/>
          <w:szCs w:val="22"/>
        </w:rPr>
        <w:t>Administrative Integrated Management System</w:t>
      </w:r>
    </w:p>
    <w:p w:rsidR="00815ABB" w:rsidRPr="002D16CD" w:rsidRDefault="00815ABB" w:rsidP="00B11299">
      <w:pPr>
        <w:tabs>
          <w:tab w:val="left" w:pos="2127"/>
        </w:tabs>
        <w:spacing w:after="40"/>
        <w:ind w:left="2126" w:hanging="2126"/>
        <w:rPr>
          <w:rFonts w:cs="Arial"/>
          <w:lang w:val="fr-CH"/>
        </w:rPr>
      </w:pPr>
      <w:r w:rsidRPr="002D16CD">
        <w:rPr>
          <w:rFonts w:cs="Arial"/>
          <w:lang w:val="fr-CH"/>
        </w:rPr>
        <w:t>AIPMS</w:t>
      </w:r>
      <w:r w:rsidRPr="002D16CD">
        <w:rPr>
          <w:rFonts w:cs="Arial"/>
          <w:lang w:val="fr-CH"/>
        </w:rPr>
        <w:tab/>
        <w:t>Arab IP Management System</w:t>
      </w:r>
    </w:p>
    <w:p w:rsidR="00A32886" w:rsidRPr="00A32886" w:rsidRDefault="00A32886" w:rsidP="00B11299">
      <w:pPr>
        <w:tabs>
          <w:tab w:val="left" w:pos="2127"/>
        </w:tabs>
        <w:spacing w:after="40"/>
        <w:ind w:left="2126" w:hanging="2126"/>
        <w:rPr>
          <w:rFonts w:cs="Arial"/>
          <w:lang w:val="fr-FR"/>
        </w:rPr>
      </w:pPr>
      <w:r w:rsidRPr="00A32886">
        <w:rPr>
          <w:rFonts w:cs="Arial"/>
          <w:lang w:val="fr-FR"/>
        </w:rPr>
        <w:t>AMFI</w:t>
      </w:r>
      <w:r>
        <w:rPr>
          <w:rFonts w:cs="Arial"/>
          <w:lang w:val="fr-FR"/>
        </w:rPr>
        <w:t>E</w:t>
      </w:r>
      <w:r>
        <w:rPr>
          <w:rFonts w:cs="Arial"/>
          <w:i/>
          <w:lang w:val="fr-FR"/>
        </w:rPr>
        <w:tab/>
      </w:r>
      <w:r w:rsidRPr="00A32886">
        <w:rPr>
          <w:rFonts w:cs="Arial"/>
          <w:i/>
          <w:lang w:val="fr-FR"/>
        </w:rPr>
        <w:t>Association Coopérative Financière des Fonctionnaires Internationaux</w:t>
      </w:r>
    </w:p>
    <w:p w:rsidR="00815ABB" w:rsidRDefault="00191B3E" w:rsidP="00B11299">
      <w:pPr>
        <w:tabs>
          <w:tab w:val="left" w:pos="2127"/>
        </w:tabs>
        <w:spacing w:after="40"/>
        <w:ind w:left="2126" w:hanging="2126"/>
        <w:rPr>
          <w:rFonts w:cs="Arial"/>
        </w:rPr>
      </w:pPr>
      <w:r>
        <w:rPr>
          <w:rFonts w:cs="Arial"/>
        </w:rPr>
        <w:t>A</w:t>
      </w:r>
      <w:r w:rsidR="00815ABB">
        <w:rPr>
          <w:rFonts w:cs="Arial"/>
        </w:rPr>
        <w:t>RD</w:t>
      </w:r>
      <w:r>
        <w:rPr>
          <w:rFonts w:cs="Arial"/>
        </w:rPr>
        <w:t>I</w:t>
      </w:r>
      <w:r w:rsidR="00815ABB">
        <w:rPr>
          <w:rFonts w:cs="Arial"/>
        </w:rPr>
        <w:tab/>
      </w:r>
      <w:r w:rsidR="00815ABB" w:rsidRPr="00371DB3">
        <w:rPr>
          <w:rFonts w:cs="Arial"/>
          <w:bCs/>
        </w:rPr>
        <w:t>Access to Research for Development and Innovation</w:t>
      </w:r>
    </w:p>
    <w:p w:rsidR="00815ABB" w:rsidRDefault="00815ABB" w:rsidP="00B11299">
      <w:pPr>
        <w:tabs>
          <w:tab w:val="left" w:pos="2127"/>
        </w:tabs>
        <w:spacing w:after="40"/>
        <w:rPr>
          <w:rFonts w:cs="Arial"/>
          <w:bCs/>
        </w:rPr>
      </w:pPr>
      <w:r>
        <w:rPr>
          <w:rFonts w:cs="Arial"/>
          <w:bCs/>
        </w:rPr>
        <w:t>ARIPO</w:t>
      </w:r>
      <w:r>
        <w:rPr>
          <w:rFonts w:cs="Arial"/>
          <w:bCs/>
        </w:rPr>
        <w:tab/>
      </w:r>
      <w:r w:rsidRPr="00812B04">
        <w:t>African Regional Intellectual Property Organization</w:t>
      </w:r>
    </w:p>
    <w:p w:rsidR="00815ABB" w:rsidRDefault="00815ABB" w:rsidP="00B11299">
      <w:pPr>
        <w:tabs>
          <w:tab w:val="left" w:pos="2127"/>
        </w:tabs>
        <w:spacing w:after="40"/>
        <w:rPr>
          <w:rFonts w:cs="Arial"/>
        </w:rPr>
      </w:pPr>
      <w:r w:rsidRPr="002F7977">
        <w:rPr>
          <w:rFonts w:cs="Arial"/>
          <w:bCs/>
        </w:rPr>
        <w:t>A</w:t>
      </w:r>
      <w:r>
        <w:rPr>
          <w:rFonts w:cs="Arial"/>
        </w:rPr>
        <w:t>SEAN</w:t>
      </w:r>
      <w:r>
        <w:rPr>
          <w:rFonts w:cs="Arial"/>
        </w:rPr>
        <w:tab/>
      </w:r>
      <w:r w:rsidRPr="0036669E">
        <w:rPr>
          <w:rFonts w:cs="Arial"/>
          <w:lang w:val="en"/>
        </w:rPr>
        <w:t>Association of South East Asian Nations</w:t>
      </w:r>
    </w:p>
    <w:p w:rsidR="00815ABB" w:rsidRDefault="00815ABB" w:rsidP="00B11299">
      <w:pPr>
        <w:tabs>
          <w:tab w:val="left" w:pos="2127"/>
        </w:tabs>
        <w:spacing w:after="40"/>
        <w:rPr>
          <w:rFonts w:cs="Arial"/>
        </w:rPr>
      </w:pPr>
      <w:r>
        <w:rPr>
          <w:rFonts w:cs="Arial"/>
        </w:rPr>
        <w:t>ASHI</w:t>
      </w:r>
      <w:r>
        <w:rPr>
          <w:rFonts w:cs="Arial"/>
        </w:rPr>
        <w:tab/>
        <w:t>After-Service Health Insurance</w:t>
      </w:r>
    </w:p>
    <w:p w:rsidR="00815ABB" w:rsidRDefault="00815ABB" w:rsidP="00B11299">
      <w:pPr>
        <w:tabs>
          <w:tab w:val="left" w:pos="2127"/>
        </w:tabs>
        <w:spacing w:after="40"/>
        <w:rPr>
          <w:rFonts w:cs="Arial"/>
        </w:rPr>
      </w:pPr>
      <w:r w:rsidRPr="00F10C59">
        <w:rPr>
          <w:rFonts w:cs="Arial"/>
        </w:rPr>
        <w:t>ASPI</w:t>
      </w:r>
      <w:r w:rsidRPr="00F10C59">
        <w:rPr>
          <w:rFonts w:cs="Arial"/>
        </w:rPr>
        <w:tab/>
        <w:t>A</w:t>
      </w:r>
      <w:r>
        <w:rPr>
          <w:rFonts w:cs="Arial"/>
        </w:rPr>
        <w:t>c</w:t>
      </w:r>
      <w:r w:rsidRPr="00F10C59">
        <w:rPr>
          <w:rFonts w:cs="Arial"/>
        </w:rPr>
        <w:t>cess to Specialized Patent Information</w:t>
      </w:r>
    </w:p>
    <w:p w:rsidR="00135F6B" w:rsidRPr="00F10C59" w:rsidRDefault="00135F6B" w:rsidP="00135F6B">
      <w:pPr>
        <w:spacing w:after="40"/>
        <w:ind w:left="2127" w:hanging="2127"/>
        <w:rPr>
          <w:rFonts w:cs="Arial"/>
        </w:rPr>
      </w:pPr>
      <w:r>
        <w:rPr>
          <w:rFonts w:cs="Arial"/>
        </w:rPr>
        <w:t>ATRIP</w:t>
      </w:r>
      <w:r>
        <w:rPr>
          <w:rFonts w:cs="Arial"/>
        </w:rPr>
        <w:tab/>
        <w:t>Association for the Advancement of Teaching and Research in Intellectual Property</w:t>
      </w:r>
    </w:p>
    <w:p w:rsidR="00815ABB" w:rsidRPr="00F10C59" w:rsidRDefault="00815ABB" w:rsidP="00860D6F">
      <w:pPr>
        <w:tabs>
          <w:tab w:val="left" w:pos="2127"/>
        </w:tabs>
        <w:spacing w:after="120"/>
        <w:ind w:left="2126" w:hanging="2126"/>
        <w:rPr>
          <w:rFonts w:cs="Arial"/>
        </w:rPr>
      </w:pPr>
    </w:p>
    <w:p w:rsidR="00815ABB" w:rsidRPr="00F10C59" w:rsidRDefault="00815ABB" w:rsidP="00B11299">
      <w:pPr>
        <w:tabs>
          <w:tab w:val="left" w:pos="2127"/>
        </w:tabs>
        <w:spacing w:after="40"/>
        <w:ind w:left="2127" w:hanging="2127"/>
        <w:rPr>
          <w:rFonts w:cs="Arial"/>
        </w:rPr>
      </w:pPr>
      <w:r w:rsidRPr="00F10AB9">
        <w:rPr>
          <w:rFonts w:cs="Arial"/>
          <w:b/>
          <w:bCs/>
        </w:rPr>
        <w:t>C</w:t>
      </w:r>
      <w:r w:rsidRPr="00F10C59">
        <w:rPr>
          <w:rFonts w:cs="Arial"/>
        </w:rPr>
        <w:t>ASE</w:t>
      </w:r>
      <w:r w:rsidRPr="00F10C59">
        <w:rPr>
          <w:rFonts w:cs="Arial"/>
        </w:rPr>
        <w:tab/>
        <w:t>Centralized Access to Search and Examination Results</w:t>
      </w:r>
    </w:p>
    <w:p w:rsidR="00990915" w:rsidRDefault="00990915" w:rsidP="00B11299">
      <w:pPr>
        <w:tabs>
          <w:tab w:val="left" w:pos="2127"/>
        </w:tabs>
        <w:spacing w:after="40"/>
        <w:ind w:left="2127" w:hanging="2127"/>
        <w:rPr>
          <w:rFonts w:cs="Arial"/>
        </w:rPr>
      </w:pPr>
      <w:r>
        <w:rPr>
          <w:rFonts w:cs="Arial"/>
        </w:rPr>
        <w:t>CATT</w:t>
      </w:r>
      <w:r>
        <w:rPr>
          <w:rFonts w:cs="Arial"/>
        </w:rPr>
        <w:tab/>
      </w:r>
      <w:r w:rsidRPr="00A42E04">
        <w:rPr>
          <w:rFonts w:cs="Arial"/>
          <w:bCs/>
          <w:lang w:eastAsia="zh-CN"/>
        </w:rPr>
        <w:t>Computer-Assisted Translation and Terminological</w:t>
      </w:r>
      <w:r>
        <w:rPr>
          <w:rFonts w:cs="Arial"/>
          <w:bCs/>
          <w:lang w:eastAsia="zh-CN"/>
        </w:rPr>
        <w:t xml:space="preserve"> tool</w:t>
      </w:r>
    </w:p>
    <w:p w:rsidR="00815ABB" w:rsidRDefault="00815ABB" w:rsidP="00B11299">
      <w:pPr>
        <w:tabs>
          <w:tab w:val="left" w:pos="2127"/>
        </w:tabs>
        <w:spacing w:after="40"/>
        <w:ind w:left="2127" w:hanging="2127"/>
        <w:rPr>
          <w:rFonts w:cs="Arial"/>
        </w:rPr>
      </w:pPr>
      <w:r>
        <w:rPr>
          <w:rFonts w:cs="Arial"/>
        </w:rPr>
        <w:t>CBD</w:t>
      </w:r>
      <w:r>
        <w:rPr>
          <w:rFonts w:cs="Arial"/>
        </w:rPr>
        <w:tab/>
        <w:t>Convention on Biological Diversity</w:t>
      </w:r>
    </w:p>
    <w:p w:rsidR="00815ABB" w:rsidRPr="00F10C59" w:rsidRDefault="00815ABB" w:rsidP="00B11299">
      <w:pPr>
        <w:tabs>
          <w:tab w:val="left" w:pos="2127"/>
        </w:tabs>
        <w:spacing w:after="40"/>
        <w:ind w:left="2127" w:hanging="2127"/>
        <w:rPr>
          <w:rFonts w:cs="Arial"/>
        </w:rPr>
      </w:pPr>
      <w:r w:rsidRPr="00F10C59">
        <w:rPr>
          <w:rFonts w:cs="Arial"/>
        </w:rPr>
        <w:t>ccTLDs</w:t>
      </w:r>
      <w:r w:rsidRPr="00F10C59">
        <w:rPr>
          <w:rFonts w:cs="Arial"/>
        </w:rPr>
        <w:tab/>
        <w:t>country code Top-Level Domain</w:t>
      </w:r>
    </w:p>
    <w:p w:rsidR="00815ABB" w:rsidRPr="00F10C59" w:rsidRDefault="00815ABB" w:rsidP="00B11299">
      <w:pPr>
        <w:pStyle w:val="BlockText"/>
        <w:tabs>
          <w:tab w:val="left" w:pos="2127"/>
        </w:tabs>
        <w:ind w:left="0"/>
        <w:rPr>
          <w:rFonts w:cs="Arial"/>
          <w:sz w:val="20"/>
        </w:rPr>
      </w:pPr>
      <w:r w:rsidRPr="00F10C59">
        <w:rPr>
          <w:rFonts w:cs="Arial"/>
          <w:sz w:val="20"/>
        </w:rPr>
        <w:t>CDIP</w:t>
      </w:r>
      <w:r w:rsidRPr="00F10C59">
        <w:rPr>
          <w:rFonts w:cs="Arial"/>
          <w:sz w:val="20"/>
        </w:rPr>
        <w:tab/>
        <w:t>Conference on Development and Intellectual Property</w:t>
      </w:r>
    </w:p>
    <w:p w:rsidR="00F02072" w:rsidRPr="00F02072" w:rsidRDefault="00F02072" w:rsidP="00B11299">
      <w:pPr>
        <w:tabs>
          <w:tab w:val="left" w:pos="2127"/>
        </w:tabs>
        <w:spacing w:after="40"/>
        <w:ind w:left="2127" w:hanging="2127"/>
        <w:rPr>
          <w:rFonts w:cs="Arial"/>
          <w:bCs/>
          <w:lang w:val="fr-FR"/>
        </w:rPr>
      </w:pPr>
      <w:r w:rsidRPr="00F02072">
        <w:rPr>
          <w:rFonts w:eastAsiaTheme="minorHAnsi" w:cs="Arial"/>
          <w:color w:val="000000"/>
          <w:lang w:val="fr-FR"/>
        </w:rPr>
        <w:t>CEIPI</w:t>
      </w:r>
      <w:r>
        <w:rPr>
          <w:rFonts w:eastAsiaTheme="minorHAnsi" w:cs="Arial"/>
          <w:i/>
          <w:color w:val="000000"/>
          <w:lang w:val="fr-FR"/>
        </w:rPr>
        <w:tab/>
      </w:r>
      <w:r w:rsidRPr="00F02072">
        <w:rPr>
          <w:rFonts w:eastAsiaTheme="minorHAnsi" w:cs="Arial"/>
          <w:i/>
          <w:color w:val="000000"/>
          <w:lang w:val="fr-FR"/>
        </w:rPr>
        <w:t>Centre d’Études Internationales de la Propriété Intellectuelle</w:t>
      </w:r>
      <w:r w:rsidRPr="00F02072">
        <w:rPr>
          <w:rFonts w:eastAsiaTheme="minorHAnsi" w:cs="Arial"/>
          <w:color w:val="000000"/>
          <w:lang w:val="fr-FR"/>
        </w:rPr>
        <w:t xml:space="preserve"> </w:t>
      </w:r>
    </w:p>
    <w:p w:rsidR="0084413C" w:rsidRPr="00E37059" w:rsidRDefault="0084413C" w:rsidP="00B11299">
      <w:pPr>
        <w:tabs>
          <w:tab w:val="left" w:pos="2127"/>
        </w:tabs>
        <w:spacing w:after="40"/>
        <w:ind w:left="2127" w:hanging="2127"/>
        <w:rPr>
          <w:rFonts w:cs="Arial"/>
          <w:bCs/>
          <w:lang w:val="es-ES"/>
        </w:rPr>
      </w:pPr>
      <w:r w:rsidRPr="00F70371">
        <w:rPr>
          <w:rFonts w:eastAsia="SimSun" w:cs="Arial"/>
          <w:bCs/>
          <w:szCs w:val="20"/>
          <w:lang w:val="es-ES" w:eastAsia="zh-CN"/>
        </w:rPr>
        <w:t>CERLALC</w:t>
      </w:r>
      <w:r w:rsidRPr="0084413C">
        <w:rPr>
          <w:rFonts w:eastAsia="SimSun" w:cs="Arial"/>
          <w:bCs/>
          <w:i/>
          <w:szCs w:val="20"/>
          <w:lang w:val="es-ES" w:eastAsia="zh-CN"/>
        </w:rPr>
        <w:t xml:space="preserve"> </w:t>
      </w:r>
      <w:r>
        <w:rPr>
          <w:rFonts w:eastAsia="SimSun" w:cs="Arial"/>
          <w:bCs/>
          <w:i/>
          <w:szCs w:val="20"/>
          <w:lang w:val="es-ES" w:eastAsia="zh-CN"/>
        </w:rPr>
        <w:tab/>
      </w:r>
      <w:r w:rsidRPr="00E37059">
        <w:rPr>
          <w:rFonts w:eastAsia="SimSun" w:cs="Arial"/>
          <w:bCs/>
          <w:i/>
          <w:szCs w:val="20"/>
          <w:lang w:val="es-ES" w:eastAsia="zh-CN"/>
        </w:rPr>
        <w:t>Centro Regional para el Fomento del Libro en América Latina y el Caribe</w:t>
      </w:r>
      <w:r w:rsidRPr="00E37059">
        <w:rPr>
          <w:rFonts w:eastAsia="SimSun" w:cs="Arial"/>
          <w:bCs/>
          <w:szCs w:val="20"/>
          <w:lang w:val="es-ES" w:eastAsia="zh-CN"/>
        </w:rPr>
        <w:t xml:space="preserve"> (</w:t>
      </w:r>
    </w:p>
    <w:p w:rsidR="00F02072" w:rsidRDefault="00F02072" w:rsidP="00B11299">
      <w:pPr>
        <w:tabs>
          <w:tab w:val="left" w:pos="2127"/>
        </w:tabs>
        <w:spacing w:after="40"/>
        <w:ind w:left="2127" w:hanging="2127"/>
        <w:rPr>
          <w:rFonts w:cs="Arial"/>
          <w:bCs/>
        </w:rPr>
      </w:pPr>
      <w:r>
        <w:rPr>
          <w:szCs w:val="20"/>
        </w:rPr>
        <w:t>CISAC</w:t>
      </w:r>
      <w:r>
        <w:rPr>
          <w:szCs w:val="20"/>
        </w:rPr>
        <w:tab/>
      </w:r>
      <w:r w:rsidRPr="009B1A53">
        <w:rPr>
          <w:szCs w:val="20"/>
        </w:rPr>
        <w:t xml:space="preserve">Confederation of International Societies of Authors and Composers </w:t>
      </w:r>
    </w:p>
    <w:p w:rsidR="00815ABB" w:rsidRDefault="00815ABB" w:rsidP="00B11299">
      <w:pPr>
        <w:tabs>
          <w:tab w:val="left" w:pos="2127"/>
        </w:tabs>
        <w:spacing w:after="40"/>
        <w:ind w:left="2127" w:hanging="2127"/>
        <w:rPr>
          <w:rFonts w:cs="Arial"/>
        </w:rPr>
      </w:pPr>
      <w:r>
        <w:rPr>
          <w:rFonts w:cs="Arial"/>
          <w:bCs/>
        </w:rPr>
        <w:t>CLIR</w:t>
      </w:r>
      <w:r>
        <w:rPr>
          <w:rFonts w:cs="Arial"/>
          <w:bCs/>
        </w:rPr>
        <w:tab/>
      </w:r>
      <w:r w:rsidRPr="003A6A2F">
        <w:rPr>
          <w:rFonts w:cs="Arial"/>
          <w:bCs/>
        </w:rPr>
        <w:t>Cross Lingual Information Retrieval</w:t>
      </w:r>
    </w:p>
    <w:p w:rsidR="00815ABB" w:rsidRPr="00F10C59" w:rsidRDefault="00815ABB" w:rsidP="00B11299">
      <w:pPr>
        <w:tabs>
          <w:tab w:val="left" w:pos="2127"/>
        </w:tabs>
        <w:spacing w:after="40"/>
        <w:ind w:left="2127" w:hanging="2127"/>
        <w:rPr>
          <w:rFonts w:cs="Arial"/>
        </w:rPr>
      </w:pPr>
      <w:r w:rsidRPr="00F10C59">
        <w:rPr>
          <w:rFonts w:cs="Arial"/>
        </w:rPr>
        <w:t>CMG</w:t>
      </w:r>
      <w:r w:rsidRPr="00F10C59">
        <w:rPr>
          <w:rFonts w:cs="Arial"/>
        </w:rPr>
        <w:tab/>
        <w:t>Crisis Management Group</w:t>
      </w:r>
    </w:p>
    <w:p w:rsidR="00815ABB" w:rsidRDefault="00815ABB" w:rsidP="00B11299">
      <w:pPr>
        <w:tabs>
          <w:tab w:val="left" w:pos="2127"/>
        </w:tabs>
        <w:spacing w:after="40"/>
        <w:ind w:left="2127" w:hanging="2127"/>
        <w:rPr>
          <w:rFonts w:cs="Arial"/>
        </w:rPr>
      </w:pPr>
      <w:r w:rsidRPr="00F10C59">
        <w:rPr>
          <w:rFonts w:cs="Arial"/>
        </w:rPr>
        <w:t>CMOs</w:t>
      </w:r>
      <w:r w:rsidRPr="00F10C59">
        <w:rPr>
          <w:rFonts w:cs="Arial"/>
        </w:rPr>
        <w:tab/>
        <w:t>collective management organizations</w:t>
      </w:r>
    </w:p>
    <w:p w:rsidR="005B41BE" w:rsidRDefault="005B41BE" w:rsidP="00B11299">
      <w:pPr>
        <w:tabs>
          <w:tab w:val="left" w:pos="2127"/>
        </w:tabs>
        <w:spacing w:after="40"/>
        <w:ind w:left="2127" w:hanging="2127"/>
        <w:rPr>
          <w:szCs w:val="20"/>
        </w:rPr>
      </w:pPr>
      <w:r>
        <w:rPr>
          <w:szCs w:val="20"/>
        </w:rPr>
        <w:t>COMESA</w:t>
      </w:r>
      <w:r>
        <w:rPr>
          <w:szCs w:val="20"/>
        </w:rPr>
        <w:tab/>
      </w:r>
      <w:r w:rsidRPr="005D5F9D">
        <w:rPr>
          <w:bCs/>
        </w:rPr>
        <w:t>Common market for Eas</w:t>
      </w:r>
      <w:r>
        <w:rPr>
          <w:bCs/>
        </w:rPr>
        <w:t xml:space="preserve">tern and Southern Africa </w:t>
      </w:r>
    </w:p>
    <w:p w:rsidR="00F02072" w:rsidRDefault="00F02072" w:rsidP="00B11299">
      <w:pPr>
        <w:tabs>
          <w:tab w:val="left" w:pos="2127"/>
        </w:tabs>
        <w:spacing w:after="40"/>
        <w:ind w:left="2127" w:hanging="2127"/>
        <w:rPr>
          <w:rFonts w:cs="Arial"/>
        </w:rPr>
      </w:pPr>
      <w:r>
        <w:rPr>
          <w:szCs w:val="20"/>
        </w:rPr>
        <w:t>CTCN</w:t>
      </w:r>
      <w:r>
        <w:rPr>
          <w:szCs w:val="20"/>
        </w:rPr>
        <w:tab/>
      </w:r>
      <w:r w:rsidRPr="00B03ABB">
        <w:rPr>
          <w:szCs w:val="20"/>
        </w:rPr>
        <w:t xml:space="preserve">Climate Technology Center and Network </w:t>
      </w:r>
    </w:p>
    <w:p w:rsidR="00815ABB" w:rsidRDefault="00815ABB" w:rsidP="00B11299">
      <w:pPr>
        <w:tabs>
          <w:tab w:val="left" w:pos="2127"/>
        </w:tabs>
        <w:spacing w:after="40"/>
        <w:ind w:left="2127" w:hanging="2127"/>
        <w:rPr>
          <w:rFonts w:cs="Arial"/>
        </w:rPr>
      </w:pPr>
      <w:r>
        <w:rPr>
          <w:rFonts w:cs="Arial"/>
        </w:rPr>
        <w:t>CWS</w:t>
      </w:r>
      <w:r>
        <w:rPr>
          <w:rFonts w:cs="Arial"/>
        </w:rPr>
        <w:tab/>
        <w:t>Committee on WIPO Standards</w:t>
      </w:r>
    </w:p>
    <w:p w:rsidR="00F02072" w:rsidRPr="00F10C59" w:rsidRDefault="00F02072" w:rsidP="00860D6F">
      <w:pPr>
        <w:tabs>
          <w:tab w:val="left" w:pos="2127"/>
        </w:tabs>
        <w:spacing w:after="120"/>
        <w:ind w:left="2126" w:hanging="2126"/>
        <w:rPr>
          <w:rFonts w:cs="Arial"/>
        </w:rPr>
      </w:pPr>
    </w:p>
    <w:p w:rsidR="00815ABB" w:rsidRPr="00F10C59" w:rsidRDefault="00815ABB" w:rsidP="00B11299">
      <w:pPr>
        <w:tabs>
          <w:tab w:val="left" w:pos="2127"/>
        </w:tabs>
        <w:spacing w:after="40"/>
        <w:rPr>
          <w:rFonts w:cs="Arial"/>
        </w:rPr>
      </w:pPr>
      <w:r w:rsidRPr="00F10AB9">
        <w:rPr>
          <w:rFonts w:cs="Arial"/>
          <w:b/>
          <w:bCs/>
        </w:rPr>
        <w:t>D</w:t>
      </w:r>
      <w:r w:rsidRPr="00F10C59">
        <w:rPr>
          <w:rFonts w:cs="Arial"/>
        </w:rPr>
        <w:t>A</w:t>
      </w:r>
      <w:r w:rsidRPr="00F10C59">
        <w:rPr>
          <w:rFonts w:cs="Arial"/>
        </w:rPr>
        <w:tab/>
        <w:t>Development Agenda</w:t>
      </w:r>
    </w:p>
    <w:p w:rsidR="00815ABB" w:rsidRDefault="00815ABB" w:rsidP="00B11299">
      <w:pPr>
        <w:tabs>
          <w:tab w:val="left" w:pos="2127"/>
          <w:tab w:val="left" w:pos="2268"/>
        </w:tabs>
        <w:spacing w:after="40"/>
        <w:rPr>
          <w:rFonts w:cs="Arial"/>
        </w:rPr>
      </w:pPr>
      <w:r>
        <w:rPr>
          <w:rFonts w:cs="Arial"/>
        </w:rPr>
        <w:t>DAG</w:t>
      </w:r>
      <w:r>
        <w:rPr>
          <w:rFonts w:cs="Arial"/>
        </w:rPr>
        <w:tab/>
        <w:t>Development Agenda Group</w:t>
      </w:r>
    </w:p>
    <w:p w:rsidR="00815ABB" w:rsidRPr="00F10C59" w:rsidRDefault="00815ABB" w:rsidP="00B11299">
      <w:pPr>
        <w:tabs>
          <w:tab w:val="left" w:pos="2127"/>
          <w:tab w:val="left" w:pos="2268"/>
        </w:tabs>
        <w:spacing w:after="40"/>
        <w:rPr>
          <w:rFonts w:cs="Arial"/>
        </w:rPr>
      </w:pPr>
      <w:r w:rsidRPr="00F10C59">
        <w:rPr>
          <w:rFonts w:cs="Arial"/>
        </w:rPr>
        <w:t>DAS</w:t>
      </w:r>
      <w:r w:rsidRPr="00F10C59">
        <w:rPr>
          <w:rFonts w:cs="Arial"/>
        </w:rPr>
        <w:tab/>
        <w:t>Digital Access Service for Priority Documents</w:t>
      </w:r>
    </w:p>
    <w:p w:rsidR="00815ABB" w:rsidRDefault="00815ABB" w:rsidP="00845557">
      <w:pPr>
        <w:tabs>
          <w:tab w:val="left" w:pos="2127"/>
        </w:tabs>
        <w:ind w:left="2126" w:hanging="2126"/>
        <w:rPr>
          <w:rFonts w:cs="Arial"/>
        </w:rPr>
      </w:pPr>
      <w:r>
        <w:rPr>
          <w:rFonts w:cs="Arial"/>
        </w:rPr>
        <w:t>DL</w:t>
      </w:r>
      <w:r>
        <w:rPr>
          <w:rFonts w:cs="Arial"/>
        </w:rPr>
        <w:tab/>
        <w:t xml:space="preserve">distance learning </w:t>
      </w:r>
    </w:p>
    <w:p w:rsidR="00815ABB" w:rsidRPr="00F10C59" w:rsidRDefault="00815ABB" w:rsidP="00860D6F">
      <w:pPr>
        <w:tabs>
          <w:tab w:val="left" w:pos="2127"/>
        </w:tabs>
        <w:spacing w:after="120"/>
        <w:ind w:left="2126" w:hanging="2126"/>
        <w:rPr>
          <w:rFonts w:cs="Arial"/>
        </w:rPr>
      </w:pPr>
    </w:p>
    <w:p w:rsidR="00990915" w:rsidRDefault="00990915" w:rsidP="00B11299">
      <w:pPr>
        <w:tabs>
          <w:tab w:val="left" w:pos="2127"/>
        </w:tabs>
        <w:spacing w:after="40"/>
        <w:ind w:left="2127" w:hanging="2127"/>
        <w:rPr>
          <w:rFonts w:cs="Arial"/>
          <w:b/>
        </w:rPr>
      </w:pPr>
      <w:r w:rsidRPr="00E37059">
        <w:rPr>
          <w:rFonts w:cs="Arial"/>
          <w:b/>
        </w:rPr>
        <w:t>E</w:t>
      </w:r>
      <w:r>
        <w:rPr>
          <w:rFonts w:cs="Arial"/>
        </w:rPr>
        <w:t>CAF</w:t>
      </w:r>
      <w:r>
        <w:rPr>
          <w:rFonts w:cs="Arial"/>
        </w:rPr>
        <w:tab/>
      </w:r>
      <w:r w:rsidRPr="00813B88">
        <w:rPr>
          <w:rFonts w:cs="Arial"/>
        </w:rPr>
        <w:t>WIPO Electronic Case Facility</w:t>
      </w:r>
    </w:p>
    <w:p w:rsidR="00815ABB" w:rsidRDefault="00815ABB" w:rsidP="00B11299">
      <w:pPr>
        <w:tabs>
          <w:tab w:val="left" w:pos="2127"/>
        </w:tabs>
        <w:spacing w:after="40"/>
        <w:ind w:left="2127" w:hanging="2127"/>
        <w:rPr>
          <w:rFonts w:cs="Arial"/>
          <w:b/>
          <w:bCs/>
        </w:rPr>
      </w:pPr>
      <w:r w:rsidRPr="00E37059">
        <w:rPr>
          <w:rFonts w:cs="Arial"/>
        </w:rPr>
        <w:t>E</w:t>
      </w:r>
      <w:r>
        <w:rPr>
          <w:rFonts w:cs="Arial"/>
        </w:rPr>
        <w:t>CLA</w:t>
      </w:r>
      <w:r>
        <w:rPr>
          <w:rFonts w:cs="Arial"/>
        </w:rPr>
        <w:tab/>
        <w:t>patent classification assigned by the European Patent office</w:t>
      </w:r>
    </w:p>
    <w:p w:rsidR="00F02072" w:rsidRDefault="00F02072" w:rsidP="00B11299">
      <w:pPr>
        <w:tabs>
          <w:tab w:val="left" w:pos="2127"/>
        </w:tabs>
        <w:spacing w:after="40"/>
        <w:ind w:left="2127" w:hanging="2127"/>
        <w:rPr>
          <w:szCs w:val="20"/>
        </w:rPr>
      </w:pPr>
      <w:r>
        <w:rPr>
          <w:szCs w:val="20"/>
        </w:rPr>
        <w:t>ECOSOC</w:t>
      </w:r>
      <w:r>
        <w:rPr>
          <w:szCs w:val="20"/>
        </w:rPr>
        <w:tab/>
      </w:r>
      <w:r w:rsidRPr="00B03ABB">
        <w:rPr>
          <w:szCs w:val="20"/>
        </w:rPr>
        <w:t xml:space="preserve">Economic and Social Council </w:t>
      </w:r>
    </w:p>
    <w:p w:rsidR="00815ABB" w:rsidRPr="00845557" w:rsidRDefault="00815ABB" w:rsidP="00B11299">
      <w:pPr>
        <w:tabs>
          <w:tab w:val="left" w:pos="2127"/>
        </w:tabs>
        <w:spacing w:after="40"/>
        <w:ind w:left="2127" w:hanging="2127"/>
        <w:rPr>
          <w:rFonts w:cs="Arial"/>
        </w:rPr>
      </w:pPr>
      <w:r w:rsidRPr="00845557">
        <w:rPr>
          <w:rFonts w:cs="Arial"/>
        </w:rPr>
        <w:t>EDMS</w:t>
      </w:r>
      <w:r w:rsidRPr="00845557">
        <w:rPr>
          <w:rFonts w:cs="Arial"/>
        </w:rPr>
        <w:tab/>
        <w:t>Electronic Document Management System</w:t>
      </w:r>
    </w:p>
    <w:p w:rsidR="00815ABB" w:rsidRPr="00E37059" w:rsidRDefault="00815ABB" w:rsidP="00B11299">
      <w:pPr>
        <w:tabs>
          <w:tab w:val="left" w:pos="2127"/>
        </w:tabs>
        <w:spacing w:after="40"/>
        <w:ind w:left="2127" w:hanging="2127"/>
        <w:rPr>
          <w:rFonts w:cs="Arial"/>
        </w:rPr>
      </w:pPr>
      <w:r w:rsidRPr="00E37059">
        <w:rPr>
          <w:rFonts w:cs="Arial"/>
        </w:rPr>
        <w:t>EPM</w:t>
      </w:r>
      <w:r w:rsidRPr="00E37059">
        <w:rPr>
          <w:rFonts w:cs="Arial"/>
        </w:rPr>
        <w:tab/>
        <w:t>enterprise performance management</w:t>
      </w:r>
    </w:p>
    <w:p w:rsidR="00815ABB" w:rsidRPr="00E37059" w:rsidRDefault="00815ABB" w:rsidP="00B11299">
      <w:pPr>
        <w:tabs>
          <w:tab w:val="left" w:pos="2127"/>
        </w:tabs>
        <w:spacing w:after="40"/>
        <w:ind w:left="2127" w:hanging="2127"/>
        <w:rPr>
          <w:rFonts w:cs="Arial"/>
        </w:rPr>
      </w:pPr>
      <w:r w:rsidRPr="00E37059">
        <w:rPr>
          <w:rFonts w:cs="Arial"/>
        </w:rPr>
        <w:t>EPO</w:t>
      </w:r>
      <w:r w:rsidRPr="00E37059">
        <w:rPr>
          <w:rFonts w:cs="Arial"/>
        </w:rPr>
        <w:tab/>
        <w:t>European Patent Office</w:t>
      </w:r>
    </w:p>
    <w:p w:rsidR="00815ABB" w:rsidRPr="00E37059" w:rsidRDefault="00815ABB" w:rsidP="00B11299">
      <w:pPr>
        <w:ind w:left="2127" w:hanging="2127"/>
        <w:rPr>
          <w:rFonts w:cs="Arial"/>
        </w:rPr>
      </w:pPr>
      <w:r w:rsidRPr="00E37059">
        <w:rPr>
          <w:rFonts w:cs="Arial"/>
        </w:rPr>
        <w:t>ERM</w:t>
      </w:r>
      <w:r w:rsidRPr="00E37059">
        <w:rPr>
          <w:rFonts w:cs="Arial"/>
        </w:rPr>
        <w:tab/>
        <w:t>enterprise risk management</w:t>
      </w:r>
    </w:p>
    <w:p w:rsidR="00815ABB" w:rsidRPr="00E37059" w:rsidRDefault="00815ABB" w:rsidP="00B11299">
      <w:pPr>
        <w:ind w:left="2127" w:hanging="2127"/>
        <w:rPr>
          <w:rFonts w:cs="Arial"/>
        </w:rPr>
      </w:pPr>
      <w:r w:rsidRPr="00E37059">
        <w:rPr>
          <w:rFonts w:cs="Arial"/>
        </w:rPr>
        <w:t>ERP</w:t>
      </w:r>
      <w:r w:rsidRPr="00E37059">
        <w:rPr>
          <w:rFonts w:cs="Arial"/>
        </w:rPr>
        <w:tab/>
        <w:t>enterprise resource planning</w:t>
      </w:r>
    </w:p>
    <w:p w:rsidR="00FA22EA" w:rsidRPr="00E37059" w:rsidRDefault="00FA22EA" w:rsidP="00B11299">
      <w:pPr>
        <w:tabs>
          <w:tab w:val="left" w:pos="2127"/>
        </w:tabs>
        <w:spacing w:after="40"/>
        <w:ind w:left="2127" w:right="-759" w:hanging="2127"/>
        <w:rPr>
          <w:rFonts w:cs="Arial"/>
        </w:rPr>
      </w:pPr>
      <w:r w:rsidRPr="00E37059">
        <w:rPr>
          <w:rFonts w:cs="Arial"/>
        </w:rPr>
        <w:t>ETSI</w:t>
      </w:r>
      <w:r w:rsidRPr="00E37059">
        <w:rPr>
          <w:rFonts w:cs="Arial"/>
        </w:rPr>
        <w:tab/>
        <w:t>European Telecommunications Standards Institute</w:t>
      </w:r>
    </w:p>
    <w:p w:rsidR="00815ABB" w:rsidRPr="00F10C59" w:rsidRDefault="00815ABB" w:rsidP="00B11299">
      <w:pPr>
        <w:tabs>
          <w:tab w:val="left" w:pos="2127"/>
        </w:tabs>
        <w:spacing w:after="40"/>
        <w:ind w:left="2127" w:right="-759" w:hanging="2127"/>
        <w:rPr>
          <w:rFonts w:cs="Arial"/>
        </w:rPr>
      </w:pPr>
      <w:r w:rsidRPr="00F10C59">
        <w:rPr>
          <w:rFonts w:cs="Arial"/>
        </w:rPr>
        <w:t>EU</w:t>
      </w:r>
      <w:r w:rsidRPr="00F10C59">
        <w:rPr>
          <w:rFonts w:cs="Arial"/>
        </w:rPr>
        <w:tab/>
        <w:t>European Union</w:t>
      </w:r>
    </w:p>
    <w:p w:rsidR="00815ABB" w:rsidRPr="00F10C59" w:rsidRDefault="00815ABB" w:rsidP="00860D6F">
      <w:pPr>
        <w:tabs>
          <w:tab w:val="left" w:pos="2127"/>
        </w:tabs>
        <w:spacing w:after="120"/>
        <w:ind w:left="2126" w:hanging="2126"/>
        <w:rPr>
          <w:rFonts w:cs="Arial"/>
        </w:rPr>
      </w:pPr>
    </w:p>
    <w:p w:rsidR="00815ABB" w:rsidRPr="00F10C59" w:rsidRDefault="00815ABB" w:rsidP="00B11299">
      <w:pPr>
        <w:tabs>
          <w:tab w:val="left" w:pos="2127"/>
        </w:tabs>
        <w:spacing w:after="40"/>
        <w:ind w:left="2127" w:right="-759" w:hanging="2127"/>
        <w:rPr>
          <w:rFonts w:cs="Arial"/>
        </w:rPr>
      </w:pPr>
      <w:r w:rsidRPr="00F10AB9">
        <w:rPr>
          <w:rFonts w:cs="Arial"/>
          <w:b/>
          <w:bCs/>
        </w:rPr>
        <w:t>F</w:t>
      </w:r>
      <w:r w:rsidRPr="00F10C59">
        <w:rPr>
          <w:rFonts w:cs="Arial"/>
        </w:rPr>
        <w:t>AO</w:t>
      </w:r>
      <w:r w:rsidRPr="00F10C59">
        <w:rPr>
          <w:rFonts w:cs="Arial"/>
        </w:rPr>
        <w:tab/>
        <w:t xml:space="preserve">Food and Agricultural Organization </w:t>
      </w:r>
    </w:p>
    <w:p w:rsidR="00815ABB" w:rsidRDefault="00815ABB" w:rsidP="00B11299">
      <w:pPr>
        <w:tabs>
          <w:tab w:val="left" w:pos="2127"/>
        </w:tabs>
        <w:spacing w:after="40"/>
        <w:ind w:left="2127" w:hanging="2127"/>
        <w:rPr>
          <w:rFonts w:cs="Arial"/>
        </w:rPr>
      </w:pPr>
      <w:r>
        <w:rPr>
          <w:rFonts w:cs="Arial"/>
        </w:rPr>
        <w:t>FI</w:t>
      </w:r>
      <w:r>
        <w:rPr>
          <w:rFonts w:cs="Arial"/>
        </w:rPr>
        <w:tab/>
        <w:t>patent classification assigned by the Japanese Patent office</w:t>
      </w:r>
    </w:p>
    <w:p w:rsidR="00815ABB" w:rsidRPr="00F10C59" w:rsidRDefault="00815ABB" w:rsidP="00B11299">
      <w:pPr>
        <w:tabs>
          <w:tab w:val="left" w:pos="2127"/>
        </w:tabs>
        <w:spacing w:after="40"/>
        <w:ind w:left="2127" w:hanging="2127"/>
        <w:rPr>
          <w:rFonts w:cs="Arial"/>
        </w:rPr>
      </w:pPr>
      <w:r w:rsidRPr="00F10C59">
        <w:rPr>
          <w:rFonts w:cs="Arial"/>
        </w:rPr>
        <w:t>FIT</w:t>
      </w:r>
      <w:r w:rsidRPr="00F10C59">
        <w:rPr>
          <w:rFonts w:cs="Arial"/>
        </w:rPr>
        <w:tab/>
        <w:t>Fund-in-Trust</w:t>
      </w:r>
    </w:p>
    <w:p w:rsidR="00815ABB" w:rsidRPr="002F7977" w:rsidRDefault="00815ABB" w:rsidP="00B11299">
      <w:pPr>
        <w:tabs>
          <w:tab w:val="left" w:pos="2127"/>
        </w:tabs>
        <w:spacing w:after="40"/>
        <w:ind w:left="2127" w:hanging="2127"/>
        <w:rPr>
          <w:rFonts w:cs="Arial"/>
          <w:bCs/>
        </w:rPr>
      </w:pPr>
      <w:r w:rsidRPr="002F7977">
        <w:rPr>
          <w:rFonts w:cs="Arial"/>
          <w:b/>
          <w:bCs/>
        </w:rPr>
        <w:t>G</w:t>
      </w:r>
      <w:r w:rsidRPr="002F7977">
        <w:rPr>
          <w:rFonts w:cs="Arial"/>
          <w:bCs/>
        </w:rPr>
        <w:t>CC</w:t>
      </w:r>
      <w:r>
        <w:rPr>
          <w:rFonts w:cs="Arial"/>
          <w:bCs/>
        </w:rPr>
        <w:tab/>
      </w:r>
      <w:r w:rsidRPr="0027745B">
        <w:rPr>
          <w:rFonts w:cs="Arial"/>
          <w:bCs/>
          <w:color w:val="000000"/>
          <w:lang w:val="en"/>
        </w:rPr>
        <w:t>Cooperation Council for the Arab States of the Gulf</w:t>
      </w:r>
    </w:p>
    <w:p w:rsidR="00815ABB" w:rsidRDefault="00815ABB" w:rsidP="00B11299">
      <w:pPr>
        <w:tabs>
          <w:tab w:val="left" w:pos="2127"/>
        </w:tabs>
        <w:spacing w:after="40"/>
        <w:ind w:left="2127" w:hanging="2127"/>
        <w:rPr>
          <w:rFonts w:cs="Arial"/>
          <w:bCs/>
        </w:rPr>
      </w:pPr>
      <w:r>
        <w:rPr>
          <w:rFonts w:cs="Arial"/>
          <w:bCs/>
        </w:rPr>
        <w:t>GDA</w:t>
      </w:r>
      <w:r>
        <w:rPr>
          <w:rFonts w:cs="Arial"/>
          <w:bCs/>
        </w:rPr>
        <w:tab/>
      </w:r>
      <w:r w:rsidRPr="00FF1219">
        <w:rPr>
          <w:rFonts w:cs="Arial"/>
          <w:lang w:val="en"/>
        </w:rPr>
        <w:t>software for collective management of copyright and neighboring rights</w:t>
      </w:r>
    </w:p>
    <w:p w:rsidR="00815ABB" w:rsidRDefault="00815ABB" w:rsidP="00B11299">
      <w:pPr>
        <w:tabs>
          <w:tab w:val="left" w:pos="2127"/>
        </w:tabs>
        <w:spacing w:after="40"/>
        <w:ind w:left="2127" w:hanging="2127"/>
        <w:rPr>
          <w:rFonts w:cs="Arial"/>
          <w:bCs/>
        </w:rPr>
      </w:pPr>
      <w:r>
        <w:rPr>
          <w:rFonts w:cs="Arial"/>
          <w:bCs/>
        </w:rPr>
        <w:t>GII</w:t>
      </w:r>
      <w:r>
        <w:rPr>
          <w:rFonts w:cs="Arial"/>
          <w:bCs/>
        </w:rPr>
        <w:tab/>
        <w:t>Global Innovation Index</w:t>
      </w:r>
    </w:p>
    <w:p w:rsidR="00815ABB" w:rsidRDefault="00815ABB" w:rsidP="00B11299">
      <w:pPr>
        <w:tabs>
          <w:tab w:val="left" w:pos="2127"/>
        </w:tabs>
        <w:spacing w:after="40"/>
        <w:ind w:left="2127" w:hanging="2127"/>
        <w:rPr>
          <w:rFonts w:cs="Arial"/>
          <w:bCs/>
        </w:rPr>
      </w:pPr>
      <w:r>
        <w:rPr>
          <w:rFonts w:cs="Arial"/>
          <w:bCs/>
        </w:rPr>
        <w:t>GIs</w:t>
      </w:r>
      <w:r>
        <w:rPr>
          <w:rFonts w:cs="Arial"/>
          <w:bCs/>
        </w:rPr>
        <w:tab/>
        <w:t>geographical indications</w:t>
      </w:r>
    </w:p>
    <w:p w:rsidR="00815ABB" w:rsidRDefault="00815ABB" w:rsidP="00B11299">
      <w:pPr>
        <w:tabs>
          <w:tab w:val="left" w:pos="2127"/>
        </w:tabs>
        <w:spacing w:after="40"/>
        <w:ind w:left="2127" w:hanging="2127"/>
        <w:rPr>
          <w:rFonts w:cs="Arial"/>
          <w:b/>
          <w:bCs/>
        </w:rPr>
      </w:pPr>
      <w:r w:rsidRPr="002F7977">
        <w:rPr>
          <w:rFonts w:cs="Arial"/>
          <w:bCs/>
        </w:rPr>
        <w:t>G</w:t>
      </w:r>
      <w:r w:rsidRPr="002F7977">
        <w:rPr>
          <w:rFonts w:cs="Arial"/>
        </w:rPr>
        <w:t>NIPA</w:t>
      </w:r>
      <w:r w:rsidRPr="00C02386">
        <w:rPr>
          <w:rFonts w:cs="Arial"/>
        </w:rPr>
        <w:tab/>
        <w:t>Global Network of IP Academies</w:t>
      </w:r>
    </w:p>
    <w:p w:rsidR="00815ABB" w:rsidRDefault="00815ABB" w:rsidP="00B11299">
      <w:pPr>
        <w:tabs>
          <w:tab w:val="left" w:pos="2127"/>
        </w:tabs>
        <w:spacing w:after="40"/>
        <w:ind w:left="2127" w:hanging="2127"/>
        <w:rPr>
          <w:rFonts w:cs="Arial"/>
        </w:rPr>
      </w:pPr>
      <w:r>
        <w:rPr>
          <w:rFonts w:cs="Arial"/>
        </w:rPr>
        <w:t>GRs</w:t>
      </w:r>
      <w:r>
        <w:rPr>
          <w:rFonts w:cs="Arial"/>
        </w:rPr>
        <w:tab/>
        <w:t>genetic resources</w:t>
      </w:r>
    </w:p>
    <w:p w:rsidR="00815ABB" w:rsidRPr="00F10C59" w:rsidRDefault="00815ABB" w:rsidP="00B11299">
      <w:pPr>
        <w:tabs>
          <w:tab w:val="left" w:pos="2127"/>
        </w:tabs>
        <w:spacing w:after="40"/>
        <w:ind w:left="2127" w:hanging="2127"/>
        <w:rPr>
          <w:rFonts w:cs="Arial"/>
        </w:rPr>
      </w:pPr>
      <w:r w:rsidRPr="00F10C59">
        <w:rPr>
          <w:rFonts w:cs="Arial"/>
        </w:rPr>
        <w:t>gTLDs</w:t>
      </w:r>
      <w:r w:rsidRPr="00F10C59">
        <w:rPr>
          <w:rFonts w:cs="Arial"/>
        </w:rPr>
        <w:tab/>
        <w:t>generic Top-Level Domains</w:t>
      </w:r>
    </w:p>
    <w:p w:rsidR="00815ABB" w:rsidRPr="00860D6F" w:rsidRDefault="00815ABB" w:rsidP="00860D6F">
      <w:pPr>
        <w:tabs>
          <w:tab w:val="left" w:pos="2127"/>
        </w:tabs>
        <w:spacing w:after="120"/>
        <w:ind w:left="2126" w:hanging="2126"/>
        <w:rPr>
          <w:rFonts w:cs="Arial"/>
        </w:rPr>
      </w:pPr>
    </w:p>
    <w:p w:rsidR="00815ABB" w:rsidRDefault="00815ABB" w:rsidP="00B11299">
      <w:pPr>
        <w:tabs>
          <w:tab w:val="left" w:pos="2127"/>
        </w:tabs>
        <w:spacing w:after="40"/>
        <w:ind w:left="2127" w:hanging="2127"/>
        <w:rPr>
          <w:rFonts w:cs="Arial"/>
        </w:rPr>
      </w:pPr>
      <w:r w:rsidRPr="009D020E">
        <w:rPr>
          <w:rFonts w:cs="Arial"/>
          <w:b/>
        </w:rPr>
        <w:t>H</w:t>
      </w:r>
      <w:r>
        <w:rPr>
          <w:rFonts w:cs="Arial"/>
        </w:rPr>
        <w:t>LCM</w:t>
      </w:r>
      <w:r>
        <w:rPr>
          <w:rFonts w:cs="Arial"/>
        </w:rPr>
        <w:tab/>
        <w:t>High Level Committee on Management</w:t>
      </w:r>
    </w:p>
    <w:p w:rsidR="00815ABB" w:rsidRPr="00F10C59" w:rsidRDefault="00815ABB" w:rsidP="00B11299">
      <w:pPr>
        <w:tabs>
          <w:tab w:val="left" w:pos="2127"/>
        </w:tabs>
        <w:spacing w:after="40"/>
        <w:ind w:left="2127" w:hanging="2127"/>
        <w:rPr>
          <w:rFonts w:cs="Arial"/>
        </w:rPr>
      </w:pPr>
      <w:r w:rsidRPr="00F10C59">
        <w:rPr>
          <w:rFonts w:cs="Arial"/>
        </w:rPr>
        <w:t>HR</w:t>
      </w:r>
      <w:r w:rsidRPr="00F10C59">
        <w:rPr>
          <w:rFonts w:cs="Arial"/>
        </w:rPr>
        <w:tab/>
      </w:r>
      <w:r>
        <w:rPr>
          <w:rFonts w:cs="Arial"/>
        </w:rPr>
        <w:t>h</w:t>
      </w:r>
      <w:r w:rsidRPr="00F10C59">
        <w:rPr>
          <w:rFonts w:cs="Arial"/>
        </w:rPr>
        <w:t xml:space="preserve">uman </w:t>
      </w:r>
      <w:r>
        <w:rPr>
          <w:rFonts w:cs="Arial"/>
        </w:rPr>
        <w:t>r</w:t>
      </w:r>
      <w:r w:rsidRPr="00F10C59">
        <w:rPr>
          <w:rFonts w:cs="Arial"/>
        </w:rPr>
        <w:t>esources</w:t>
      </w:r>
    </w:p>
    <w:p w:rsidR="00815ABB" w:rsidRPr="00F10C59" w:rsidRDefault="00815ABB" w:rsidP="00B11299">
      <w:pPr>
        <w:tabs>
          <w:tab w:val="left" w:pos="2127"/>
        </w:tabs>
        <w:spacing w:after="40"/>
        <w:ind w:left="2127" w:hanging="2127"/>
        <w:rPr>
          <w:rFonts w:cs="Arial"/>
        </w:rPr>
      </w:pPr>
      <w:r w:rsidRPr="00F10C59">
        <w:rPr>
          <w:rFonts w:cs="Arial"/>
        </w:rPr>
        <w:t>HRMD</w:t>
      </w:r>
      <w:r w:rsidRPr="00F10C59">
        <w:rPr>
          <w:rFonts w:cs="Arial"/>
        </w:rPr>
        <w:tab/>
        <w:t>Human Resources Management Department</w:t>
      </w:r>
    </w:p>
    <w:p w:rsidR="00815ABB" w:rsidRDefault="00815ABB" w:rsidP="00860D6F">
      <w:pPr>
        <w:tabs>
          <w:tab w:val="left" w:pos="2127"/>
        </w:tabs>
        <w:spacing w:after="120"/>
        <w:ind w:left="2126" w:hanging="2126"/>
        <w:rPr>
          <w:rFonts w:cs="Arial"/>
          <w:b/>
          <w:bCs/>
        </w:rPr>
      </w:pPr>
    </w:p>
    <w:p w:rsidR="00815ABB" w:rsidRPr="00EF08FB" w:rsidRDefault="00815ABB" w:rsidP="00B11299">
      <w:pPr>
        <w:tabs>
          <w:tab w:val="left" w:pos="2127"/>
        </w:tabs>
        <w:spacing w:after="40"/>
        <w:ind w:left="2127" w:hanging="2127"/>
        <w:rPr>
          <w:rFonts w:cs="Arial"/>
          <w:bCs/>
        </w:rPr>
      </w:pPr>
      <w:r w:rsidRPr="00EF08FB">
        <w:rPr>
          <w:rFonts w:cs="Arial"/>
          <w:b/>
          <w:bCs/>
        </w:rPr>
        <w:t>I</w:t>
      </w:r>
      <w:r w:rsidRPr="00EF08FB">
        <w:rPr>
          <w:rFonts w:cs="Arial"/>
          <w:bCs/>
        </w:rPr>
        <w:t>B</w:t>
      </w:r>
      <w:r>
        <w:rPr>
          <w:rFonts w:cs="Arial"/>
          <w:bCs/>
        </w:rPr>
        <w:tab/>
        <w:t>International Bureau</w:t>
      </w:r>
    </w:p>
    <w:p w:rsidR="00815ABB" w:rsidRPr="00F10C59" w:rsidRDefault="00815ABB" w:rsidP="00B11299">
      <w:pPr>
        <w:tabs>
          <w:tab w:val="left" w:pos="2127"/>
        </w:tabs>
        <w:spacing w:after="40"/>
        <w:ind w:left="2127" w:hanging="2127"/>
        <w:rPr>
          <w:rFonts w:cs="Arial"/>
        </w:rPr>
      </w:pPr>
      <w:r w:rsidRPr="00EF08FB">
        <w:rPr>
          <w:rFonts w:cs="Arial"/>
          <w:bCs/>
        </w:rPr>
        <w:t>I</w:t>
      </w:r>
      <w:r w:rsidRPr="00EF08FB">
        <w:rPr>
          <w:rFonts w:cs="Arial"/>
        </w:rPr>
        <w:t>A</w:t>
      </w:r>
      <w:r w:rsidRPr="00F10C59">
        <w:rPr>
          <w:rFonts w:cs="Arial"/>
        </w:rPr>
        <w:t>OC</w:t>
      </w:r>
      <w:r w:rsidRPr="00F10C59">
        <w:rPr>
          <w:rFonts w:cs="Arial"/>
        </w:rPr>
        <w:tab/>
        <w:t>Independent Advisory and Oversight Committee</w:t>
      </w:r>
    </w:p>
    <w:p w:rsidR="00815ABB" w:rsidRDefault="00815ABB" w:rsidP="00B11299">
      <w:pPr>
        <w:tabs>
          <w:tab w:val="left" w:pos="2127"/>
        </w:tabs>
        <w:spacing w:after="40"/>
        <w:rPr>
          <w:rFonts w:cs="Arial"/>
        </w:rPr>
      </w:pPr>
      <w:r>
        <w:rPr>
          <w:rFonts w:cs="Arial"/>
        </w:rPr>
        <w:t>IOD</w:t>
      </w:r>
      <w:r>
        <w:rPr>
          <w:rFonts w:cs="Arial"/>
        </w:rPr>
        <w:tab/>
        <w:t>Internal Oversight Division</w:t>
      </w:r>
    </w:p>
    <w:p w:rsidR="00815ABB" w:rsidRPr="00F10C59" w:rsidRDefault="00815ABB" w:rsidP="00B11299">
      <w:pPr>
        <w:tabs>
          <w:tab w:val="left" w:pos="2127"/>
        </w:tabs>
        <w:spacing w:after="40"/>
        <w:rPr>
          <w:rFonts w:cs="Arial"/>
        </w:rPr>
      </w:pPr>
      <w:r w:rsidRPr="00F10C59">
        <w:rPr>
          <w:rFonts w:cs="Arial"/>
        </w:rPr>
        <w:t>ICANN</w:t>
      </w:r>
      <w:r w:rsidRPr="00F10C59">
        <w:rPr>
          <w:rFonts w:cs="Arial"/>
        </w:rPr>
        <w:tab/>
        <w:t xml:space="preserve">Internet Corporation for Assigned Names and Numbers </w:t>
      </w:r>
    </w:p>
    <w:p w:rsidR="00815ABB" w:rsidRPr="00F10C59" w:rsidRDefault="00815ABB" w:rsidP="00B11299">
      <w:pPr>
        <w:tabs>
          <w:tab w:val="left" w:pos="2127"/>
        </w:tabs>
        <w:spacing w:after="40"/>
        <w:rPr>
          <w:rFonts w:cs="Arial"/>
        </w:rPr>
      </w:pPr>
      <w:r w:rsidRPr="00F10C59">
        <w:rPr>
          <w:rFonts w:cs="Arial"/>
        </w:rPr>
        <w:t>ICE</w:t>
      </w:r>
      <w:r w:rsidRPr="00F10C59">
        <w:rPr>
          <w:rFonts w:cs="Arial"/>
        </w:rPr>
        <w:tab/>
        <w:t>International Cooperation on Examination</w:t>
      </w:r>
    </w:p>
    <w:p w:rsidR="00310527" w:rsidRDefault="00310527" w:rsidP="00B11299">
      <w:pPr>
        <w:tabs>
          <w:tab w:val="left" w:pos="2127"/>
        </w:tabs>
        <w:spacing w:after="40"/>
        <w:rPr>
          <w:rFonts w:cs="Arial"/>
        </w:rPr>
      </w:pPr>
      <w:r>
        <w:rPr>
          <w:bCs/>
        </w:rPr>
        <w:t>ICN</w:t>
      </w:r>
      <w:r>
        <w:rPr>
          <w:bCs/>
        </w:rPr>
        <w:tab/>
      </w:r>
      <w:r w:rsidRPr="005D5F9D">
        <w:rPr>
          <w:bCs/>
        </w:rPr>
        <w:t>Interna</w:t>
      </w:r>
      <w:r>
        <w:rPr>
          <w:bCs/>
        </w:rPr>
        <w:t xml:space="preserve">tional Competition Network </w:t>
      </w:r>
    </w:p>
    <w:p w:rsidR="00815ABB" w:rsidRDefault="00815ABB" w:rsidP="00B11299">
      <w:pPr>
        <w:tabs>
          <w:tab w:val="left" w:pos="2127"/>
        </w:tabs>
        <w:spacing w:after="40"/>
        <w:rPr>
          <w:rFonts w:cs="Arial"/>
        </w:rPr>
      </w:pPr>
      <w:r>
        <w:rPr>
          <w:rFonts w:cs="Arial"/>
        </w:rPr>
        <w:t>ICS</w:t>
      </w:r>
      <w:r>
        <w:rPr>
          <w:rFonts w:cs="Arial"/>
        </w:rPr>
        <w:tab/>
        <w:t>Individual Contractual Servies</w:t>
      </w:r>
    </w:p>
    <w:p w:rsidR="00815ABB" w:rsidRPr="00F10C59" w:rsidRDefault="00815ABB" w:rsidP="00B11299">
      <w:pPr>
        <w:tabs>
          <w:tab w:val="left" w:pos="2127"/>
        </w:tabs>
        <w:spacing w:after="40"/>
        <w:rPr>
          <w:rFonts w:cs="Arial"/>
        </w:rPr>
      </w:pPr>
      <w:r w:rsidRPr="00F10C59">
        <w:rPr>
          <w:rFonts w:cs="Arial"/>
        </w:rPr>
        <w:t>ICT</w:t>
      </w:r>
      <w:r w:rsidRPr="00F10C59">
        <w:rPr>
          <w:rFonts w:cs="Arial"/>
        </w:rPr>
        <w:tab/>
        <w:t xml:space="preserve">Information and Communication Technology </w:t>
      </w:r>
    </w:p>
    <w:p w:rsidR="00FA22EA" w:rsidRDefault="00FA22EA" w:rsidP="00B11299">
      <w:pPr>
        <w:tabs>
          <w:tab w:val="left" w:pos="2127"/>
        </w:tabs>
        <w:spacing w:after="40"/>
        <w:ind w:left="2127" w:hanging="2127"/>
        <w:rPr>
          <w:rFonts w:cs="Arial"/>
        </w:rPr>
      </w:pPr>
      <w:r>
        <w:rPr>
          <w:rFonts w:cs="Arial"/>
        </w:rPr>
        <w:t>IEEE</w:t>
      </w:r>
      <w:r>
        <w:rPr>
          <w:rFonts w:cs="Arial"/>
        </w:rPr>
        <w:tab/>
        <w:t>Institute of Electrical and Electronics Engineers</w:t>
      </w:r>
    </w:p>
    <w:p w:rsidR="00E525EE" w:rsidRDefault="00E525EE" w:rsidP="00B11299">
      <w:pPr>
        <w:tabs>
          <w:tab w:val="left" w:pos="2127"/>
        </w:tabs>
        <w:spacing w:after="40"/>
        <w:ind w:left="2127" w:hanging="2127"/>
        <w:rPr>
          <w:rFonts w:cs="Arial"/>
        </w:rPr>
      </w:pPr>
      <w:r>
        <w:rPr>
          <w:rStyle w:val="st"/>
        </w:rPr>
        <w:t>IFFRO</w:t>
      </w:r>
      <w:r>
        <w:rPr>
          <w:rStyle w:val="st"/>
        </w:rPr>
        <w:tab/>
        <w:t xml:space="preserve">International </w:t>
      </w:r>
      <w:r w:rsidRPr="0091028D">
        <w:rPr>
          <w:rStyle w:val="st"/>
        </w:rPr>
        <w:t>Federation of Reproduction Rights Organisations</w:t>
      </w:r>
    </w:p>
    <w:p w:rsidR="00815ABB" w:rsidRDefault="00815ABB" w:rsidP="00B11299">
      <w:pPr>
        <w:tabs>
          <w:tab w:val="left" w:pos="2127"/>
        </w:tabs>
        <w:spacing w:after="40"/>
        <w:ind w:left="2127" w:hanging="2127"/>
        <w:rPr>
          <w:rFonts w:cs="Arial"/>
        </w:rPr>
      </w:pPr>
      <w:r w:rsidRPr="00F10C59">
        <w:rPr>
          <w:rFonts w:cs="Arial"/>
        </w:rPr>
        <w:t>IGC</w:t>
      </w:r>
      <w:r w:rsidRPr="00F10C59">
        <w:rPr>
          <w:rFonts w:cs="Arial"/>
        </w:rPr>
        <w:tab/>
        <w:t>Intergovernmental Committee on Intellectual Property and Genetic Resources, Traditional Knowledge and Folklore</w:t>
      </w:r>
    </w:p>
    <w:p w:rsidR="00815ABB" w:rsidRDefault="00815ABB" w:rsidP="00B11299">
      <w:pPr>
        <w:tabs>
          <w:tab w:val="left" w:pos="2127"/>
        </w:tabs>
        <w:spacing w:after="40"/>
        <w:ind w:left="2127" w:hanging="2127"/>
        <w:rPr>
          <w:rFonts w:cs="Arial"/>
        </w:rPr>
      </w:pPr>
      <w:r>
        <w:rPr>
          <w:rFonts w:cs="Arial"/>
        </w:rPr>
        <w:t>IGF</w:t>
      </w:r>
      <w:r>
        <w:rPr>
          <w:rFonts w:cs="Arial"/>
        </w:rPr>
        <w:tab/>
        <w:t>Internet Governance Forum</w:t>
      </w:r>
    </w:p>
    <w:p w:rsidR="00815ABB" w:rsidRPr="00F10C59" w:rsidRDefault="00815ABB" w:rsidP="00B11299">
      <w:pPr>
        <w:tabs>
          <w:tab w:val="left" w:pos="2127"/>
        </w:tabs>
        <w:spacing w:after="40"/>
        <w:ind w:left="2127" w:hanging="2127"/>
        <w:rPr>
          <w:rFonts w:cs="Arial"/>
        </w:rPr>
      </w:pPr>
      <w:r w:rsidRPr="00F10C59">
        <w:rPr>
          <w:rFonts w:cs="Arial"/>
        </w:rPr>
        <w:t>IGOs</w:t>
      </w:r>
      <w:r w:rsidRPr="00F10C59">
        <w:rPr>
          <w:rFonts w:cs="Arial"/>
        </w:rPr>
        <w:tab/>
        <w:t>inter-governmental organizations</w:t>
      </w:r>
    </w:p>
    <w:p w:rsidR="00BD316A" w:rsidRDefault="00BD316A" w:rsidP="00B11299">
      <w:pPr>
        <w:tabs>
          <w:tab w:val="left" w:pos="2127"/>
        </w:tabs>
        <w:spacing w:after="40"/>
        <w:ind w:left="2127" w:hanging="2127"/>
        <w:rPr>
          <w:rFonts w:cs="Arial"/>
        </w:rPr>
      </w:pPr>
      <w:r>
        <w:rPr>
          <w:rFonts w:cs="Arial"/>
        </w:rPr>
        <w:t>ICOM</w:t>
      </w:r>
      <w:r>
        <w:rPr>
          <w:rFonts w:cs="Arial"/>
        </w:rPr>
        <w:tab/>
      </w:r>
    </w:p>
    <w:p w:rsidR="00815ABB" w:rsidRDefault="00815ABB" w:rsidP="00B11299">
      <w:pPr>
        <w:tabs>
          <w:tab w:val="left" w:pos="2127"/>
        </w:tabs>
        <w:spacing w:after="40"/>
        <w:ind w:left="2127" w:hanging="2127"/>
        <w:rPr>
          <w:rFonts w:cs="Arial"/>
        </w:rPr>
      </w:pPr>
      <w:r>
        <w:rPr>
          <w:rFonts w:cs="Arial"/>
        </w:rPr>
        <w:t>IIA</w:t>
      </w:r>
      <w:r>
        <w:rPr>
          <w:rFonts w:cs="Arial"/>
        </w:rPr>
        <w:tab/>
        <w:t>Institute of Internal Auditors</w:t>
      </w:r>
    </w:p>
    <w:p w:rsidR="00815ABB" w:rsidRDefault="00815ABB" w:rsidP="00B11299">
      <w:pPr>
        <w:tabs>
          <w:tab w:val="left" w:pos="2127"/>
        </w:tabs>
        <w:spacing w:after="40"/>
        <w:ind w:left="2127" w:hanging="2127"/>
        <w:rPr>
          <w:rFonts w:cs="Arial"/>
        </w:rPr>
      </w:pPr>
      <w:r>
        <w:rPr>
          <w:rFonts w:cs="Arial"/>
        </w:rPr>
        <w:t>ILO</w:t>
      </w:r>
      <w:r>
        <w:rPr>
          <w:rFonts w:cs="Arial"/>
        </w:rPr>
        <w:tab/>
        <w:t>International Labour Organisation</w:t>
      </w:r>
    </w:p>
    <w:p w:rsidR="00815ABB" w:rsidRPr="00F10C59" w:rsidRDefault="00815ABB" w:rsidP="00B11299">
      <w:pPr>
        <w:tabs>
          <w:tab w:val="left" w:pos="2127"/>
        </w:tabs>
        <w:spacing w:after="40"/>
        <w:ind w:left="2127" w:hanging="2127"/>
        <w:rPr>
          <w:rFonts w:cs="Arial"/>
        </w:rPr>
      </w:pPr>
      <w:r w:rsidRPr="00F10C59">
        <w:rPr>
          <w:rFonts w:cs="Arial"/>
        </w:rPr>
        <w:t>IP</w:t>
      </w:r>
      <w:r w:rsidRPr="00F10C59">
        <w:rPr>
          <w:rFonts w:cs="Arial"/>
        </w:rPr>
        <w:tab/>
        <w:t>Intellectual Property</w:t>
      </w:r>
    </w:p>
    <w:p w:rsidR="00815ABB" w:rsidRPr="00C02386" w:rsidRDefault="00815ABB" w:rsidP="00B11299">
      <w:pPr>
        <w:tabs>
          <w:tab w:val="left" w:pos="2127"/>
        </w:tabs>
        <w:spacing w:after="40"/>
        <w:ind w:left="2126" w:hanging="2126"/>
        <w:rPr>
          <w:rFonts w:cs="Arial"/>
          <w:lang w:val="en"/>
        </w:rPr>
      </w:pPr>
      <w:r w:rsidRPr="00C02386">
        <w:rPr>
          <w:rFonts w:cs="Arial"/>
          <w:lang w:val="en"/>
        </w:rPr>
        <w:t>IPAS</w:t>
      </w:r>
      <w:r w:rsidRPr="00C02386">
        <w:rPr>
          <w:rFonts w:cs="Arial"/>
          <w:lang w:val="en"/>
        </w:rPr>
        <w:tab/>
        <w:t>IP Office Administration System</w:t>
      </w:r>
    </w:p>
    <w:p w:rsidR="00815ABB" w:rsidRPr="00C02386" w:rsidRDefault="00815ABB" w:rsidP="00B11299">
      <w:pPr>
        <w:tabs>
          <w:tab w:val="left" w:pos="2127"/>
        </w:tabs>
        <w:spacing w:after="40"/>
        <w:ind w:left="2127" w:hanging="2127"/>
        <w:rPr>
          <w:rFonts w:cs="Arial"/>
        </w:rPr>
      </w:pPr>
      <w:r w:rsidRPr="00C02386">
        <w:rPr>
          <w:rFonts w:cs="Arial"/>
        </w:rPr>
        <w:t>IPC</w:t>
      </w:r>
      <w:r w:rsidRPr="00C02386">
        <w:rPr>
          <w:rFonts w:cs="Arial"/>
        </w:rPr>
        <w:tab/>
        <w:t>International Patent Classification</w:t>
      </w:r>
    </w:p>
    <w:p w:rsidR="00815ABB" w:rsidRPr="00C02386" w:rsidRDefault="00815ABB" w:rsidP="00B11299">
      <w:pPr>
        <w:tabs>
          <w:tab w:val="left" w:pos="2127"/>
        </w:tabs>
        <w:spacing w:after="40"/>
        <w:ind w:left="2127" w:hanging="2127"/>
        <w:rPr>
          <w:rFonts w:cs="Arial"/>
        </w:rPr>
      </w:pPr>
      <w:r w:rsidRPr="00C02386">
        <w:rPr>
          <w:rFonts w:cs="Arial"/>
        </w:rPr>
        <w:t>IPO</w:t>
      </w:r>
      <w:r w:rsidRPr="00C02386">
        <w:rPr>
          <w:rFonts w:cs="Arial"/>
        </w:rPr>
        <w:tab/>
        <w:t>Intellectual Property Office</w:t>
      </w:r>
    </w:p>
    <w:p w:rsidR="00815ABB" w:rsidRPr="00F10C59" w:rsidRDefault="00815ABB" w:rsidP="00B11299">
      <w:pPr>
        <w:tabs>
          <w:tab w:val="left" w:pos="2127"/>
        </w:tabs>
        <w:spacing w:after="40"/>
        <w:ind w:left="2127" w:hanging="2127"/>
        <w:rPr>
          <w:rFonts w:cs="Arial"/>
        </w:rPr>
      </w:pPr>
      <w:r w:rsidRPr="00F10C59">
        <w:rPr>
          <w:rFonts w:cs="Arial"/>
        </w:rPr>
        <w:t>IPRs</w:t>
      </w:r>
      <w:r w:rsidRPr="00F10C59">
        <w:rPr>
          <w:rFonts w:cs="Arial"/>
        </w:rPr>
        <w:tab/>
        <w:t>Intellectual Property Rights</w:t>
      </w:r>
    </w:p>
    <w:p w:rsidR="00815ABB" w:rsidRPr="00F10C59" w:rsidRDefault="00815ABB" w:rsidP="00B11299">
      <w:pPr>
        <w:tabs>
          <w:tab w:val="left" w:pos="2127"/>
        </w:tabs>
        <w:spacing w:after="40"/>
        <w:ind w:left="2127" w:hanging="2127"/>
        <w:rPr>
          <w:rFonts w:cs="Arial"/>
        </w:rPr>
      </w:pPr>
      <w:r w:rsidRPr="00F10C59">
        <w:rPr>
          <w:rFonts w:cs="Arial"/>
        </w:rPr>
        <w:t>IPSAS</w:t>
      </w:r>
      <w:r w:rsidRPr="00F10C59">
        <w:rPr>
          <w:rFonts w:cs="Arial"/>
        </w:rPr>
        <w:tab/>
        <w:t>International Public Sector Accounting Standards</w:t>
      </w:r>
    </w:p>
    <w:p w:rsidR="00815ABB" w:rsidRPr="00F10C59" w:rsidRDefault="00815ABB" w:rsidP="00B11299">
      <w:pPr>
        <w:tabs>
          <w:tab w:val="left" w:pos="2127"/>
        </w:tabs>
        <w:spacing w:after="40"/>
        <w:ind w:left="2127" w:hanging="2127"/>
        <w:rPr>
          <w:rFonts w:cs="Arial"/>
        </w:rPr>
      </w:pPr>
      <w:r w:rsidRPr="00F10C59">
        <w:rPr>
          <w:rFonts w:cs="Arial"/>
        </w:rPr>
        <w:t>IT</w:t>
      </w:r>
      <w:r w:rsidRPr="00F10C59">
        <w:rPr>
          <w:rFonts w:cs="Arial"/>
        </w:rPr>
        <w:tab/>
        <w:t>Information Technology</w:t>
      </w:r>
    </w:p>
    <w:p w:rsidR="00815ABB" w:rsidRPr="00F10C59" w:rsidRDefault="00815ABB" w:rsidP="00B11299">
      <w:pPr>
        <w:tabs>
          <w:tab w:val="left" w:pos="2127"/>
        </w:tabs>
        <w:spacing w:after="40"/>
        <w:ind w:left="2127" w:hanging="2127"/>
        <w:rPr>
          <w:rFonts w:cs="Arial"/>
        </w:rPr>
      </w:pPr>
      <w:r w:rsidRPr="00F10C59">
        <w:rPr>
          <w:rFonts w:cs="Arial"/>
        </w:rPr>
        <w:t>ITIL</w:t>
      </w:r>
      <w:r w:rsidRPr="00F10C59">
        <w:rPr>
          <w:rFonts w:cs="Arial"/>
        </w:rPr>
        <w:tab/>
        <w:t>Information Technology Infrastructure Library</w:t>
      </w:r>
    </w:p>
    <w:p w:rsidR="00815ABB" w:rsidRPr="00F10C59" w:rsidRDefault="00815ABB" w:rsidP="00B11299">
      <w:pPr>
        <w:tabs>
          <w:tab w:val="left" w:pos="2127"/>
        </w:tabs>
        <w:spacing w:after="40"/>
        <w:ind w:left="2127" w:hanging="2127"/>
        <w:rPr>
          <w:rFonts w:cs="Arial"/>
        </w:rPr>
      </w:pPr>
      <w:r w:rsidRPr="00F10C59">
        <w:rPr>
          <w:rFonts w:cs="Arial"/>
        </w:rPr>
        <w:t>ITU</w:t>
      </w:r>
      <w:r w:rsidRPr="00F10C59">
        <w:rPr>
          <w:rFonts w:cs="Arial"/>
        </w:rPr>
        <w:tab/>
      </w:r>
      <w:r w:rsidRPr="00F10C59">
        <w:rPr>
          <w:rFonts w:cs="Arial"/>
          <w:snapToGrid w:val="0"/>
        </w:rPr>
        <w:t>International Telecommunications Union</w:t>
      </w:r>
    </w:p>
    <w:p w:rsidR="00815ABB" w:rsidRPr="00F10C59" w:rsidRDefault="00815ABB" w:rsidP="00860D6F">
      <w:pPr>
        <w:tabs>
          <w:tab w:val="left" w:pos="2127"/>
        </w:tabs>
        <w:spacing w:after="120"/>
        <w:ind w:left="2126" w:hanging="2126"/>
        <w:rPr>
          <w:rFonts w:cs="Arial"/>
        </w:rPr>
      </w:pPr>
    </w:p>
    <w:p w:rsidR="00815ABB" w:rsidRDefault="00815ABB" w:rsidP="00845557">
      <w:pPr>
        <w:tabs>
          <w:tab w:val="left" w:pos="2127"/>
        </w:tabs>
        <w:spacing w:after="180"/>
        <w:ind w:left="2126" w:hanging="2126"/>
        <w:rPr>
          <w:rFonts w:cs="Arial"/>
        </w:rPr>
      </w:pPr>
      <w:r w:rsidRPr="00845557">
        <w:rPr>
          <w:rFonts w:cs="Arial"/>
          <w:b/>
        </w:rPr>
        <w:t>J</w:t>
      </w:r>
      <w:r w:rsidRPr="00992595">
        <w:rPr>
          <w:rFonts w:cs="Arial"/>
        </w:rPr>
        <w:t>AG</w:t>
      </w:r>
      <w:r w:rsidRPr="00992595">
        <w:rPr>
          <w:rFonts w:cs="Arial"/>
        </w:rPr>
        <w:tab/>
        <w:t xml:space="preserve">Joint Advisory Group </w:t>
      </w:r>
    </w:p>
    <w:p w:rsidR="00860D6F" w:rsidRPr="00845557" w:rsidRDefault="00860D6F" w:rsidP="00845557">
      <w:pPr>
        <w:tabs>
          <w:tab w:val="left" w:pos="2127"/>
        </w:tabs>
        <w:spacing w:after="180"/>
        <w:ind w:left="2126" w:hanging="2126"/>
        <w:rPr>
          <w:rFonts w:cs="Arial"/>
        </w:rPr>
      </w:pPr>
    </w:p>
    <w:p w:rsidR="00815ABB" w:rsidRPr="00F10C59" w:rsidRDefault="00815ABB" w:rsidP="00B11299">
      <w:pPr>
        <w:tabs>
          <w:tab w:val="left" w:pos="2127"/>
        </w:tabs>
        <w:spacing w:after="40"/>
        <w:ind w:left="2127" w:hanging="2127"/>
        <w:rPr>
          <w:rFonts w:cs="Arial"/>
        </w:rPr>
      </w:pPr>
      <w:r w:rsidRPr="00F10AB9">
        <w:rPr>
          <w:rFonts w:cs="Arial"/>
          <w:b/>
          <w:bCs/>
        </w:rPr>
        <w:t>L</w:t>
      </w:r>
      <w:r w:rsidRPr="00F10C59">
        <w:rPr>
          <w:rFonts w:cs="Arial"/>
        </w:rPr>
        <w:t>DCs</w:t>
      </w:r>
      <w:r w:rsidRPr="00F10C59">
        <w:rPr>
          <w:rFonts w:cs="Arial"/>
        </w:rPr>
        <w:tab/>
        <w:t>Least Developed Countries</w:t>
      </w:r>
    </w:p>
    <w:p w:rsidR="00815ABB" w:rsidRPr="00F10C59" w:rsidRDefault="00815ABB" w:rsidP="00B11299">
      <w:pPr>
        <w:tabs>
          <w:tab w:val="left" w:pos="2127"/>
        </w:tabs>
        <w:spacing w:after="180"/>
        <w:ind w:left="2126" w:hanging="2126"/>
        <w:rPr>
          <w:rFonts w:cs="Arial"/>
        </w:rPr>
      </w:pPr>
      <w:r>
        <w:rPr>
          <w:rFonts w:cs="Arial"/>
        </w:rPr>
        <w:t>LTSEs</w:t>
      </w:r>
      <w:r>
        <w:rPr>
          <w:rFonts w:cs="Arial"/>
        </w:rPr>
        <w:tab/>
        <w:t>long-serving temporary employees</w:t>
      </w:r>
    </w:p>
    <w:p w:rsidR="00815ABB" w:rsidRPr="00F10C59" w:rsidRDefault="00815ABB" w:rsidP="00B11299">
      <w:pPr>
        <w:tabs>
          <w:tab w:val="left" w:pos="2127"/>
        </w:tabs>
        <w:spacing w:after="40"/>
        <w:ind w:left="2127" w:hanging="2127"/>
        <w:rPr>
          <w:rFonts w:cs="Arial"/>
        </w:rPr>
      </w:pPr>
      <w:r w:rsidRPr="00FF1219">
        <w:rPr>
          <w:rFonts w:cs="Arial"/>
          <w:b/>
          <w:bCs/>
        </w:rPr>
        <w:t>M</w:t>
      </w:r>
      <w:r w:rsidRPr="00F10C59">
        <w:rPr>
          <w:rFonts w:cs="Arial"/>
        </w:rPr>
        <w:t>DGs</w:t>
      </w:r>
      <w:r w:rsidRPr="00F10C59">
        <w:rPr>
          <w:rFonts w:cs="Arial"/>
        </w:rPr>
        <w:tab/>
        <w:t>Millenium Development Goals</w:t>
      </w:r>
    </w:p>
    <w:p w:rsidR="00815ABB" w:rsidRDefault="00815ABB" w:rsidP="00B11299">
      <w:pPr>
        <w:tabs>
          <w:tab w:val="left" w:pos="2127"/>
        </w:tabs>
        <w:spacing w:after="40"/>
        <w:ind w:left="2127" w:hanging="2127"/>
        <w:rPr>
          <w:rFonts w:cs="Arial"/>
        </w:rPr>
      </w:pPr>
      <w:r>
        <w:rPr>
          <w:rFonts w:cs="Arial"/>
        </w:rPr>
        <w:t>MoU</w:t>
      </w:r>
      <w:r>
        <w:rPr>
          <w:rFonts w:cs="Arial"/>
        </w:rPr>
        <w:tab/>
        <w:t>Memorandum of Understanding</w:t>
      </w:r>
    </w:p>
    <w:p w:rsidR="00815ABB" w:rsidRPr="00F10C59" w:rsidRDefault="00815ABB" w:rsidP="00B11299">
      <w:pPr>
        <w:tabs>
          <w:tab w:val="left" w:pos="2127"/>
        </w:tabs>
        <w:spacing w:after="40"/>
        <w:ind w:left="2127" w:hanging="2127"/>
        <w:rPr>
          <w:rFonts w:cs="Arial"/>
        </w:rPr>
      </w:pPr>
      <w:r w:rsidRPr="00F10C59">
        <w:rPr>
          <w:rFonts w:cs="Arial"/>
        </w:rPr>
        <w:t>MTSP</w:t>
      </w:r>
      <w:r w:rsidRPr="00F10C59">
        <w:rPr>
          <w:rFonts w:cs="Arial"/>
        </w:rPr>
        <w:tab/>
        <w:t>Medium Term Strategic Plan</w:t>
      </w:r>
    </w:p>
    <w:p w:rsidR="00815ABB" w:rsidRPr="00F10C59" w:rsidRDefault="00815ABB" w:rsidP="00860D6F">
      <w:pPr>
        <w:tabs>
          <w:tab w:val="left" w:pos="2127"/>
        </w:tabs>
        <w:spacing w:after="120"/>
        <w:ind w:left="2126" w:hanging="2126"/>
        <w:rPr>
          <w:rFonts w:cs="Arial"/>
        </w:rPr>
      </w:pPr>
    </w:p>
    <w:p w:rsidR="00815ABB" w:rsidRPr="00845557" w:rsidRDefault="00815ABB" w:rsidP="00B11299">
      <w:pPr>
        <w:tabs>
          <w:tab w:val="left" w:pos="2127"/>
        </w:tabs>
        <w:spacing w:after="40"/>
        <w:ind w:left="2127" w:hanging="2127"/>
        <w:rPr>
          <w:rFonts w:cs="Arial"/>
        </w:rPr>
      </w:pPr>
      <w:r w:rsidRPr="00845557">
        <w:rPr>
          <w:rFonts w:cs="Arial"/>
          <w:b/>
          <w:bCs/>
        </w:rPr>
        <w:t>N</w:t>
      </w:r>
      <w:r w:rsidRPr="00845557">
        <w:rPr>
          <w:rFonts w:cs="Arial"/>
        </w:rPr>
        <w:t>GOs</w:t>
      </w:r>
      <w:r w:rsidRPr="00845557">
        <w:rPr>
          <w:rFonts w:cs="Arial"/>
        </w:rPr>
        <w:tab/>
        <w:t>non-governmental organizations</w:t>
      </w:r>
    </w:p>
    <w:p w:rsidR="00815ABB" w:rsidRPr="00BA6F3B" w:rsidRDefault="00815ABB" w:rsidP="00B11299">
      <w:pPr>
        <w:tabs>
          <w:tab w:val="left" w:pos="2127"/>
        </w:tabs>
        <w:spacing w:after="40"/>
        <w:ind w:left="2127" w:hanging="2127"/>
        <w:rPr>
          <w:rFonts w:cs="Arial"/>
          <w:lang w:val="fr-FR"/>
        </w:rPr>
      </w:pPr>
      <w:r w:rsidRPr="00BA6F3B">
        <w:rPr>
          <w:rFonts w:cs="Arial"/>
          <w:szCs w:val="20"/>
          <w:lang w:val="fr-FR"/>
        </w:rPr>
        <w:t>NPO</w:t>
      </w:r>
      <w:r w:rsidRPr="00BA6F3B">
        <w:rPr>
          <w:rFonts w:cs="Arial"/>
          <w:szCs w:val="20"/>
          <w:lang w:val="fr-FR"/>
        </w:rPr>
        <w:tab/>
        <w:t xml:space="preserve">National Professional Officer </w:t>
      </w:r>
    </w:p>
    <w:p w:rsidR="00815ABB" w:rsidRPr="00F10C59" w:rsidRDefault="00815ABB" w:rsidP="00B11299">
      <w:pPr>
        <w:tabs>
          <w:tab w:val="left" w:pos="2127"/>
        </w:tabs>
        <w:spacing w:after="40"/>
        <w:ind w:left="2127" w:hanging="2127"/>
        <w:rPr>
          <w:rFonts w:cs="Arial"/>
          <w:lang w:val="fr-FR"/>
        </w:rPr>
      </w:pPr>
      <w:r w:rsidRPr="00F10AB9">
        <w:rPr>
          <w:rFonts w:cs="Arial"/>
          <w:b/>
          <w:bCs/>
          <w:lang w:val="fr-FR"/>
        </w:rPr>
        <w:t>O</w:t>
      </w:r>
      <w:r w:rsidRPr="00F10C59">
        <w:rPr>
          <w:rFonts w:cs="Arial"/>
          <w:lang w:val="fr-FR"/>
        </w:rPr>
        <w:t>API</w:t>
      </w:r>
      <w:r w:rsidRPr="00F10C59">
        <w:rPr>
          <w:rFonts w:cs="Arial"/>
          <w:lang w:val="fr-FR"/>
        </w:rPr>
        <w:tab/>
      </w:r>
      <w:r w:rsidRPr="00F10C59">
        <w:rPr>
          <w:rFonts w:cs="Arial"/>
          <w:i/>
          <w:lang w:val="fr-FR"/>
        </w:rPr>
        <w:t>l’Organisation Africaine de la Propriété Intellectuelle</w:t>
      </w:r>
      <w:r w:rsidRPr="00F10C59">
        <w:rPr>
          <w:rFonts w:cs="Arial"/>
          <w:lang w:val="fr-FR"/>
        </w:rPr>
        <w:t xml:space="preserve"> (African Intellectual Property Organization)</w:t>
      </w:r>
    </w:p>
    <w:p w:rsidR="00815ABB" w:rsidRDefault="00815ABB" w:rsidP="00B11299">
      <w:pPr>
        <w:tabs>
          <w:tab w:val="left" w:pos="2127"/>
        </w:tabs>
        <w:spacing w:after="40"/>
        <w:ind w:left="2127" w:hanging="2127"/>
        <w:rPr>
          <w:rFonts w:eastAsia="SimSun" w:cs="Arial"/>
          <w:color w:val="000000"/>
          <w:szCs w:val="20"/>
          <w:shd w:val="clear" w:color="auto" w:fill="FFFFFF"/>
          <w:lang w:eastAsia="zh-CN"/>
        </w:rPr>
      </w:pPr>
      <w:r w:rsidRPr="0010747F">
        <w:rPr>
          <w:rFonts w:cs="Arial"/>
        </w:rPr>
        <w:t>OECD</w:t>
      </w:r>
      <w:r w:rsidRPr="0010747F">
        <w:rPr>
          <w:rFonts w:cs="Arial"/>
        </w:rPr>
        <w:tab/>
      </w:r>
      <w:r w:rsidRPr="0010747F">
        <w:rPr>
          <w:rFonts w:eastAsia="SimSun" w:cs="Arial"/>
          <w:color w:val="000000"/>
          <w:szCs w:val="20"/>
          <w:shd w:val="clear" w:color="auto" w:fill="FFFFFF"/>
          <w:lang w:eastAsia="zh-CN"/>
        </w:rPr>
        <w:t xml:space="preserve">Organization </w:t>
      </w:r>
      <w:r w:rsidRPr="00EF08FB">
        <w:rPr>
          <w:rFonts w:eastAsia="SimSun" w:cs="Arial"/>
          <w:color w:val="000000"/>
          <w:szCs w:val="20"/>
          <w:shd w:val="clear" w:color="auto" w:fill="FFFFFF"/>
          <w:lang w:eastAsia="zh-CN"/>
        </w:rPr>
        <w:t>for Economic Cooperation and Development</w:t>
      </w:r>
    </w:p>
    <w:p w:rsidR="001115A0" w:rsidRDefault="001115A0" w:rsidP="00B11299">
      <w:pPr>
        <w:tabs>
          <w:tab w:val="left" w:pos="2127"/>
        </w:tabs>
        <w:spacing w:after="40"/>
        <w:ind w:left="2127" w:hanging="2127"/>
        <w:rPr>
          <w:rFonts w:cs="Arial"/>
        </w:rPr>
      </w:pPr>
      <w:r>
        <w:rPr>
          <w:rFonts w:eastAsia="SimSun" w:cs="Arial"/>
          <w:bCs/>
          <w:lang w:eastAsia="zh-CN"/>
        </w:rPr>
        <w:t>OECS</w:t>
      </w:r>
      <w:r>
        <w:rPr>
          <w:rFonts w:eastAsia="SimSun" w:cs="Arial"/>
          <w:bCs/>
          <w:lang w:eastAsia="zh-CN"/>
        </w:rPr>
        <w:tab/>
      </w:r>
      <w:r w:rsidRPr="0091028D">
        <w:rPr>
          <w:rFonts w:eastAsia="SimSun" w:cs="Arial"/>
          <w:bCs/>
          <w:lang w:eastAsia="zh-CN"/>
        </w:rPr>
        <w:t>Organization of the East Caribbean States</w:t>
      </w:r>
    </w:p>
    <w:p w:rsidR="00815ABB" w:rsidRPr="00F10C59" w:rsidRDefault="00815ABB" w:rsidP="00B11299">
      <w:pPr>
        <w:tabs>
          <w:tab w:val="left" w:pos="2127"/>
        </w:tabs>
        <w:spacing w:after="40"/>
        <w:ind w:left="2127" w:hanging="2127"/>
        <w:rPr>
          <w:rFonts w:cs="Arial"/>
        </w:rPr>
      </w:pPr>
      <w:r w:rsidRPr="00F10C59">
        <w:rPr>
          <w:rFonts w:cs="Arial"/>
        </w:rPr>
        <w:t>OHIM</w:t>
      </w:r>
      <w:r w:rsidRPr="00F10C59">
        <w:rPr>
          <w:rFonts w:cs="Arial"/>
        </w:rPr>
        <w:tab/>
        <w:t>Office for Harmonization in the Internal Market (Community Trademarks)</w:t>
      </w:r>
    </w:p>
    <w:p w:rsidR="00815ABB" w:rsidRPr="00815ABB" w:rsidRDefault="00815ABB" w:rsidP="00B11299">
      <w:pPr>
        <w:tabs>
          <w:tab w:val="left" w:pos="2127"/>
        </w:tabs>
        <w:spacing w:after="40"/>
        <w:ind w:left="2127" w:hanging="2127"/>
        <w:rPr>
          <w:rFonts w:cs="Arial"/>
          <w:lang w:val="fr-FR"/>
        </w:rPr>
      </w:pPr>
      <w:r w:rsidRPr="00815ABB">
        <w:rPr>
          <w:rFonts w:cs="Arial"/>
          <w:lang w:val="fr-FR"/>
        </w:rPr>
        <w:t>OIC</w:t>
      </w:r>
      <w:r w:rsidRPr="00815ABB">
        <w:rPr>
          <w:rFonts w:cs="Arial"/>
          <w:lang w:val="fr-FR"/>
        </w:rPr>
        <w:tab/>
      </w:r>
      <w:r w:rsidRPr="00815ABB">
        <w:rPr>
          <w:rFonts w:cs="Arial"/>
          <w:szCs w:val="20"/>
          <w:lang w:val="fr-FR"/>
        </w:rPr>
        <w:t>Organisation of Islamic Cooperation</w:t>
      </w:r>
    </w:p>
    <w:p w:rsidR="00815ABB" w:rsidRPr="00845557" w:rsidRDefault="00815ABB" w:rsidP="00B11299">
      <w:pPr>
        <w:tabs>
          <w:tab w:val="left" w:pos="2127"/>
        </w:tabs>
        <w:spacing w:after="40"/>
        <w:ind w:left="2127" w:hanging="2127"/>
        <w:rPr>
          <w:rFonts w:cs="Arial"/>
          <w:lang w:val="fr-FR"/>
        </w:rPr>
      </w:pPr>
      <w:r w:rsidRPr="00845557">
        <w:rPr>
          <w:rFonts w:cs="Arial"/>
          <w:lang w:val="fr-FR"/>
        </w:rPr>
        <w:t>OIF</w:t>
      </w:r>
      <w:r w:rsidRPr="00845557">
        <w:rPr>
          <w:rFonts w:cs="Arial"/>
          <w:lang w:val="fr-FR"/>
        </w:rPr>
        <w:tab/>
      </w:r>
      <w:r w:rsidRPr="00845557">
        <w:rPr>
          <w:rFonts w:eastAsia="SimSun"/>
          <w:bCs/>
          <w:lang w:val="fr-FR" w:eastAsia="zh-CN"/>
        </w:rPr>
        <w:t>Organisation Internationale de la Francophonie</w:t>
      </w:r>
    </w:p>
    <w:p w:rsidR="00815ABB" w:rsidRPr="00033D90" w:rsidRDefault="00815ABB" w:rsidP="00B11299">
      <w:pPr>
        <w:tabs>
          <w:tab w:val="left" w:pos="2127"/>
        </w:tabs>
        <w:spacing w:after="40"/>
        <w:ind w:left="2127" w:hanging="2127"/>
        <w:rPr>
          <w:rFonts w:cs="Arial"/>
        </w:rPr>
      </w:pPr>
      <w:r w:rsidRPr="00033D90">
        <w:rPr>
          <w:rFonts w:cs="Arial"/>
        </w:rPr>
        <w:t>OPD</w:t>
      </w:r>
      <w:r w:rsidRPr="00033D90">
        <w:rPr>
          <w:rFonts w:cs="Arial"/>
        </w:rPr>
        <w:tab/>
        <w:t>One Portal Dossier system</w:t>
      </w:r>
    </w:p>
    <w:p w:rsidR="00815ABB" w:rsidRPr="00860D6F" w:rsidRDefault="00815ABB" w:rsidP="00860D6F">
      <w:pPr>
        <w:tabs>
          <w:tab w:val="left" w:pos="2127"/>
        </w:tabs>
        <w:spacing w:after="120"/>
        <w:ind w:left="2126" w:hanging="2126"/>
        <w:rPr>
          <w:rFonts w:cs="Arial"/>
        </w:rPr>
      </w:pPr>
    </w:p>
    <w:p w:rsidR="00815ABB" w:rsidRPr="00F10C59" w:rsidRDefault="00815ABB" w:rsidP="00B11299">
      <w:pPr>
        <w:tabs>
          <w:tab w:val="left" w:pos="2127"/>
        </w:tabs>
        <w:spacing w:after="40"/>
        <w:ind w:left="2127" w:hanging="2127"/>
        <w:rPr>
          <w:rFonts w:cs="Arial"/>
        </w:rPr>
      </w:pPr>
      <w:r w:rsidRPr="009D020E">
        <w:rPr>
          <w:rFonts w:cs="Arial"/>
          <w:b/>
        </w:rPr>
        <w:t>P</w:t>
      </w:r>
      <w:r w:rsidRPr="00F10C59">
        <w:rPr>
          <w:rFonts w:cs="Arial"/>
        </w:rPr>
        <w:t>CT</w:t>
      </w:r>
      <w:r w:rsidRPr="00F10C59">
        <w:rPr>
          <w:rFonts w:cs="Arial"/>
        </w:rPr>
        <w:tab/>
        <w:t>Patent Cooperation Treaty</w:t>
      </w:r>
    </w:p>
    <w:p w:rsidR="0084413C" w:rsidRDefault="0084413C" w:rsidP="00B11299">
      <w:pPr>
        <w:tabs>
          <w:tab w:val="left" w:pos="2127"/>
        </w:tabs>
        <w:spacing w:after="40"/>
        <w:ind w:left="2127" w:hanging="2127"/>
        <w:rPr>
          <w:rFonts w:cs="Arial"/>
        </w:rPr>
      </w:pPr>
      <w:r>
        <w:rPr>
          <w:rFonts w:eastAsia="SimSun" w:cs="Arial"/>
          <w:bCs/>
          <w:szCs w:val="20"/>
          <w:lang w:eastAsia="zh-CN"/>
        </w:rPr>
        <w:t>PIFS</w:t>
      </w:r>
      <w:r>
        <w:rPr>
          <w:rFonts w:eastAsia="SimSun" w:cs="Arial"/>
          <w:bCs/>
          <w:szCs w:val="20"/>
          <w:lang w:eastAsia="zh-CN"/>
        </w:rPr>
        <w:tab/>
      </w:r>
      <w:r w:rsidRPr="00FC60BC">
        <w:rPr>
          <w:rFonts w:eastAsia="SimSun" w:cs="Arial"/>
          <w:bCs/>
          <w:szCs w:val="20"/>
          <w:lang w:eastAsia="zh-CN"/>
        </w:rPr>
        <w:t>Pacific Islands Secretariat</w:t>
      </w:r>
    </w:p>
    <w:p w:rsidR="00815ABB" w:rsidRDefault="00815ABB" w:rsidP="00B11299">
      <w:pPr>
        <w:tabs>
          <w:tab w:val="left" w:pos="2127"/>
        </w:tabs>
        <w:spacing w:after="40"/>
        <w:ind w:left="2127" w:hanging="2127"/>
        <w:rPr>
          <w:rFonts w:cs="Arial"/>
        </w:rPr>
      </w:pPr>
      <w:r>
        <w:rPr>
          <w:rFonts w:cs="Arial"/>
        </w:rPr>
        <w:t>PLR</w:t>
      </w:r>
      <w:r>
        <w:rPr>
          <w:rFonts w:cs="Arial"/>
        </w:rPr>
        <w:tab/>
        <w:t>Patent Landscape Reports</w:t>
      </w:r>
    </w:p>
    <w:p w:rsidR="00815ABB" w:rsidRPr="00F10C59" w:rsidRDefault="00815ABB" w:rsidP="00B11299">
      <w:pPr>
        <w:tabs>
          <w:tab w:val="left" w:pos="2127"/>
        </w:tabs>
        <w:spacing w:after="40"/>
        <w:ind w:left="2127" w:hanging="2127"/>
        <w:rPr>
          <w:rFonts w:cs="Arial"/>
        </w:rPr>
      </w:pPr>
      <w:r w:rsidRPr="00F10C59">
        <w:rPr>
          <w:rFonts w:cs="Arial"/>
        </w:rPr>
        <w:t>PLT</w:t>
      </w:r>
      <w:r w:rsidRPr="00F10C59">
        <w:rPr>
          <w:rFonts w:cs="Arial"/>
        </w:rPr>
        <w:tab/>
        <w:t>Patent Law Treaty</w:t>
      </w:r>
    </w:p>
    <w:p w:rsidR="00815ABB" w:rsidRPr="00F10C59" w:rsidRDefault="00815ABB" w:rsidP="00B11299">
      <w:pPr>
        <w:tabs>
          <w:tab w:val="left" w:pos="2127"/>
        </w:tabs>
        <w:spacing w:after="40"/>
        <w:ind w:left="2127" w:hanging="2127"/>
        <w:rPr>
          <w:rFonts w:cs="Arial"/>
        </w:rPr>
      </w:pPr>
      <w:r w:rsidRPr="00F10C59">
        <w:rPr>
          <w:rFonts w:cs="Arial"/>
        </w:rPr>
        <w:t>PMSDS</w:t>
      </w:r>
      <w:r w:rsidRPr="00F10C59">
        <w:rPr>
          <w:rFonts w:cs="Arial"/>
        </w:rPr>
        <w:tab/>
      </w:r>
      <w:r w:rsidRPr="00F10C59">
        <w:rPr>
          <w:rFonts w:cs="Arial"/>
          <w:snapToGrid w:val="0"/>
        </w:rPr>
        <w:t>Performance Management and Staff Development System</w:t>
      </w:r>
    </w:p>
    <w:p w:rsidR="00815ABB" w:rsidRPr="00F10C59" w:rsidRDefault="00815ABB" w:rsidP="00B11299">
      <w:pPr>
        <w:tabs>
          <w:tab w:val="left" w:pos="2127"/>
        </w:tabs>
        <w:spacing w:after="180"/>
        <w:ind w:left="2126" w:hanging="2126"/>
        <w:rPr>
          <w:rFonts w:cs="Arial"/>
        </w:rPr>
      </w:pPr>
      <w:r>
        <w:rPr>
          <w:rFonts w:cs="Arial"/>
        </w:rPr>
        <w:t>PPR</w:t>
      </w:r>
      <w:r>
        <w:rPr>
          <w:rFonts w:cs="Arial"/>
        </w:rPr>
        <w:tab/>
        <w:t>Program Performance Report</w:t>
      </w:r>
    </w:p>
    <w:p w:rsidR="00860D6F" w:rsidRDefault="00860D6F" w:rsidP="00B11299">
      <w:pPr>
        <w:tabs>
          <w:tab w:val="left" w:pos="2127"/>
        </w:tabs>
        <w:spacing w:after="40"/>
        <w:ind w:left="2127" w:hanging="2127"/>
        <w:rPr>
          <w:rFonts w:cs="Arial"/>
          <w:b/>
          <w:bCs/>
        </w:rPr>
      </w:pPr>
    </w:p>
    <w:p w:rsidR="00815ABB" w:rsidRPr="00F10C59" w:rsidRDefault="00815ABB" w:rsidP="00B11299">
      <w:pPr>
        <w:tabs>
          <w:tab w:val="left" w:pos="2127"/>
        </w:tabs>
        <w:spacing w:after="40"/>
        <w:ind w:left="2127" w:hanging="2127"/>
        <w:rPr>
          <w:rFonts w:cs="Arial"/>
        </w:rPr>
      </w:pPr>
      <w:r w:rsidRPr="00F10AB9">
        <w:rPr>
          <w:rFonts w:cs="Arial"/>
          <w:b/>
          <w:bCs/>
        </w:rPr>
        <w:t>R</w:t>
      </w:r>
      <w:r w:rsidRPr="00F10C59">
        <w:rPr>
          <w:rFonts w:cs="Arial"/>
        </w:rPr>
        <w:t>BM</w:t>
      </w:r>
      <w:r w:rsidRPr="00F10C59">
        <w:rPr>
          <w:rFonts w:cs="Arial"/>
        </w:rPr>
        <w:tab/>
        <w:t>Results-based Management</w:t>
      </w:r>
    </w:p>
    <w:p w:rsidR="00815ABB" w:rsidRPr="00F10C59" w:rsidRDefault="00815ABB" w:rsidP="00B11299">
      <w:pPr>
        <w:tabs>
          <w:tab w:val="left" w:pos="2127"/>
        </w:tabs>
        <w:spacing w:after="40"/>
        <w:ind w:left="2127" w:hanging="2127"/>
        <w:rPr>
          <w:rFonts w:cs="Arial"/>
        </w:rPr>
      </w:pPr>
      <w:r w:rsidRPr="00F10C59">
        <w:rPr>
          <w:rFonts w:cs="Arial"/>
        </w:rPr>
        <w:t>R&amp;D</w:t>
      </w:r>
      <w:r w:rsidRPr="00F10C59">
        <w:rPr>
          <w:rFonts w:cs="Arial"/>
        </w:rPr>
        <w:tab/>
        <w:t>research and development</w:t>
      </w:r>
    </w:p>
    <w:p w:rsidR="00815ABB" w:rsidRDefault="00815ABB" w:rsidP="00B11299">
      <w:pPr>
        <w:tabs>
          <w:tab w:val="left" w:pos="2127"/>
        </w:tabs>
        <w:spacing w:after="40"/>
        <w:ind w:left="2127" w:hanging="2127"/>
        <w:rPr>
          <w:rFonts w:cs="Arial"/>
        </w:rPr>
      </w:pPr>
      <w:r>
        <w:rPr>
          <w:rFonts w:cs="Arial"/>
        </w:rPr>
        <w:t>RFPs</w:t>
      </w:r>
      <w:r>
        <w:rPr>
          <w:rFonts w:cs="Arial"/>
        </w:rPr>
        <w:tab/>
        <w:t>Requests for Proposals</w:t>
      </w:r>
    </w:p>
    <w:p w:rsidR="00815ABB" w:rsidRPr="00F10C59" w:rsidRDefault="00815ABB" w:rsidP="00B11299">
      <w:pPr>
        <w:tabs>
          <w:tab w:val="left" w:pos="2127"/>
        </w:tabs>
        <w:spacing w:after="40"/>
        <w:ind w:left="2127" w:hanging="2127"/>
        <w:rPr>
          <w:rFonts w:cs="Arial"/>
        </w:rPr>
      </w:pPr>
      <w:r w:rsidRPr="00F10C59">
        <w:rPr>
          <w:rFonts w:cs="Arial"/>
        </w:rPr>
        <w:t>RO</w:t>
      </w:r>
      <w:r w:rsidRPr="00F10C59">
        <w:rPr>
          <w:rFonts w:cs="Arial"/>
        </w:rPr>
        <w:tab/>
        <w:t>Receiving Office</w:t>
      </w:r>
    </w:p>
    <w:p w:rsidR="00815ABB" w:rsidRPr="00F10C59" w:rsidRDefault="00815ABB" w:rsidP="00860D6F">
      <w:pPr>
        <w:tabs>
          <w:tab w:val="left" w:pos="2127"/>
        </w:tabs>
        <w:spacing w:after="120"/>
        <w:ind w:left="2126" w:hanging="2126"/>
        <w:rPr>
          <w:rFonts w:cs="Arial"/>
        </w:rPr>
      </w:pPr>
    </w:p>
    <w:p w:rsidR="00815ABB" w:rsidRPr="00F10C59" w:rsidRDefault="00815ABB" w:rsidP="00B11299">
      <w:pPr>
        <w:tabs>
          <w:tab w:val="left" w:pos="2127"/>
        </w:tabs>
        <w:spacing w:after="40"/>
        <w:ind w:left="2127" w:hanging="2127"/>
        <w:rPr>
          <w:rFonts w:cs="Arial"/>
        </w:rPr>
      </w:pPr>
      <w:r w:rsidRPr="00FF1219">
        <w:rPr>
          <w:rFonts w:cs="Arial"/>
          <w:b/>
          <w:bCs/>
        </w:rPr>
        <w:t>S</w:t>
      </w:r>
      <w:r w:rsidRPr="00F10C59">
        <w:rPr>
          <w:rFonts w:cs="Arial"/>
        </w:rPr>
        <w:t>CCR</w:t>
      </w:r>
      <w:r w:rsidRPr="00F10C59">
        <w:rPr>
          <w:rFonts w:cs="Arial"/>
        </w:rPr>
        <w:tab/>
        <w:t>Standing Committee on Copyright and Related Rights</w:t>
      </w:r>
    </w:p>
    <w:p w:rsidR="00815ABB" w:rsidRPr="00F10C59" w:rsidRDefault="00815ABB" w:rsidP="00B11299">
      <w:pPr>
        <w:tabs>
          <w:tab w:val="left" w:pos="2127"/>
        </w:tabs>
        <w:spacing w:after="40"/>
        <w:ind w:left="2127" w:hanging="2127"/>
        <w:rPr>
          <w:rFonts w:cs="Arial"/>
        </w:rPr>
      </w:pPr>
      <w:r w:rsidRPr="00F10C59">
        <w:rPr>
          <w:rFonts w:cs="Arial"/>
        </w:rPr>
        <w:t>SCP</w:t>
      </w:r>
      <w:r w:rsidRPr="00F10C59">
        <w:rPr>
          <w:rFonts w:cs="Arial"/>
        </w:rPr>
        <w:tab/>
        <w:t>Standing Committee on the Law of Patents</w:t>
      </w:r>
    </w:p>
    <w:p w:rsidR="00815ABB" w:rsidRPr="00F10C59" w:rsidRDefault="00815ABB" w:rsidP="00B11299">
      <w:pPr>
        <w:tabs>
          <w:tab w:val="left" w:pos="2127"/>
        </w:tabs>
        <w:spacing w:after="40"/>
        <w:ind w:left="2127" w:hanging="2127"/>
        <w:rPr>
          <w:rFonts w:cs="Arial"/>
        </w:rPr>
      </w:pPr>
      <w:r w:rsidRPr="00F10C59">
        <w:rPr>
          <w:rFonts w:cs="Arial"/>
        </w:rPr>
        <w:t>SCT</w:t>
      </w:r>
      <w:r w:rsidRPr="00F10C59">
        <w:rPr>
          <w:rFonts w:cs="Arial"/>
        </w:rPr>
        <w:tab/>
        <w:t>Standing Committee on the Law of Trademarks, Industrial Designs and Geographical Indications</w:t>
      </w:r>
    </w:p>
    <w:p w:rsidR="00815ABB" w:rsidRDefault="00815ABB" w:rsidP="00B11299">
      <w:pPr>
        <w:tabs>
          <w:tab w:val="left" w:pos="2127"/>
        </w:tabs>
        <w:spacing w:after="40"/>
        <w:ind w:left="2127" w:hanging="2127"/>
        <w:rPr>
          <w:rFonts w:cs="Arial"/>
        </w:rPr>
      </w:pPr>
      <w:r>
        <w:rPr>
          <w:rFonts w:cs="Arial"/>
        </w:rPr>
        <w:t>SLC</w:t>
      </w:r>
      <w:r>
        <w:rPr>
          <w:rFonts w:cs="Arial"/>
        </w:rPr>
        <w:tab/>
        <w:t>Special Labor Contract</w:t>
      </w:r>
    </w:p>
    <w:p w:rsidR="00815ABB" w:rsidRDefault="00815ABB" w:rsidP="00B11299">
      <w:pPr>
        <w:tabs>
          <w:tab w:val="left" w:pos="2127"/>
        </w:tabs>
        <w:spacing w:after="40"/>
        <w:ind w:left="2127" w:hanging="2127"/>
        <w:rPr>
          <w:rFonts w:cs="Arial"/>
        </w:rPr>
      </w:pPr>
      <w:r>
        <w:rPr>
          <w:rFonts w:cs="Arial"/>
        </w:rPr>
        <w:t>SMEs</w:t>
      </w:r>
      <w:r>
        <w:rPr>
          <w:rFonts w:cs="Arial"/>
        </w:rPr>
        <w:tab/>
        <w:t>small and medium sized enterprises</w:t>
      </w:r>
    </w:p>
    <w:p w:rsidR="00815ABB" w:rsidRDefault="00815ABB" w:rsidP="00B11299">
      <w:pPr>
        <w:tabs>
          <w:tab w:val="left" w:pos="2127"/>
        </w:tabs>
        <w:spacing w:after="40"/>
        <w:ind w:left="2127" w:hanging="2127"/>
        <w:rPr>
          <w:rFonts w:cs="Arial"/>
        </w:rPr>
      </w:pPr>
      <w:r>
        <w:rPr>
          <w:rFonts w:cs="Arial"/>
        </w:rPr>
        <w:t>SSA</w:t>
      </w:r>
      <w:r>
        <w:rPr>
          <w:rFonts w:cs="Arial"/>
        </w:rPr>
        <w:tab/>
        <w:t>Special Service Agreements</w:t>
      </w:r>
    </w:p>
    <w:p w:rsidR="00815ABB" w:rsidRPr="00F10C59" w:rsidRDefault="00815ABB" w:rsidP="00B11299">
      <w:pPr>
        <w:tabs>
          <w:tab w:val="left" w:pos="2127"/>
        </w:tabs>
        <w:spacing w:after="40"/>
        <w:ind w:left="2127" w:hanging="2127"/>
        <w:rPr>
          <w:rFonts w:cs="Arial"/>
        </w:rPr>
      </w:pPr>
      <w:r w:rsidRPr="00F10C59">
        <w:rPr>
          <w:rFonts w:cs="Arial"/>
        </w:rPr>
        <w:t>SRP</w:t>
      </w:r>
      <w:r w:rsidRPr="00F10C59">
        <w:rPr>
          <w:rFonts w:cs="Arial"/>
        </w:rPr>
        <w:tab/>
        <w:t>Strategic Realignment Program</w:t>
      </w:r>
    </w:p>
    <w:p w:rsidR="00815ABB" w:rsidRPr="00F10C59" w:rsidRDefault="00815ABB" w:rsidP="00860D6F">
      <w:pPr>
        <w:tabs>
          <w:tab w:val="left" w:pos="2127"/>
        </w:tabs>
        <w:spacing w:after="120"/>
        <w:ind w:left="2126" w:hanging="2126"/>
        <w:rPr>
          <w:rFonts w:cs="Arial"/>
        </w:rPr>
      </w:pPr>
    </w:p>
    <w:p w:rsidR="00815ABB" w:rsidRPr="002C4083" w:rsidRDefault="00815ABB" w:rsidP="00B11299">
      <w:pPr>
        <w:keepNext/>
        <w:tabs>
          <w:tab w:val="left" w:pos="2127"/>
        </w:tabs>
        <w:spacing w:after="40"/>
        <w:ind w:left="2126" w:hanging="2126"/>
        <w:rPr>
          <w:rFonts w:cs="Arial"/>
          <w:b/>
          <w:bCs/>
        </w:rPr>
      </w:pPr>
      <w:r w:rsidRPr="002C4083">
        <w:rPr>
          <w:rFonts w:cs="Arial"/>
          <w:b/>
          <w:bCs/>
        </w:rPr>
        <w:t>T</w:t>
      </w:r>
      <w:r w:rsidRPr="002C4083">
        <w:rPr>
          <w:rFonts w:cs="Arial"/>
        </w:rPr>
        <w:t>A</w:t>
      </w:r>
      <w:r w:rsidRPr="002C4083">
        <w:rPr>
          <w:rFonts w:cs="Arial"/>
        </w:rPr>
        <w:tab/>
        <w:t>Travel Authorization</w:t>
      </w:r>
    </w:p>
    <w:p w:rsidR="00815ABB" w:rsidRDefault="00815ABB" w:rsidP="00B11299">
      <w:pPr>
        <w:keepNext/>
        <w:tabs>
          <w:tab w:val="left" w:pos="2127"/>
        </w:tabs>
        <w:spacing w:after="40"/>
        <w:ind w:left="2126" w:hanging="2126"/>
        <w:rPr>
          <w:rFonts w:cs="Arial"/>
        </w:rPr>
      </w:pPr>
      <w:r>
        <w:rPr>
          <w:szCs w:val="20"/>
        </w:rPr>
        <w:t>TAPTA</w:t>
      </w:r>
      <w:r>
        <w:rPr>
          <w:szCs w:val="20"/>
        </w:rPr>
        <w:tab/>
      </w:r>
      <w:r w:rsidRPr="00480AE9">
        <w:rPr>
          <w:szCs w:val="20"/>
        </w:rPr>
        <w:t xml:space="preserve">Translation Assistant for Patent Titles and Abstracts </w:t>
      </w:r>
    </w:p>
    <w:p w:rsidR="00815ABB" w:rsidRPr="00845557" w:rsidRDefault="00815ABB" w:rsidP="00B11299">
      <w:pPr>
        <w:keepNext/>
        <w:tabs>
          <w:tab w:val="left" w:pos="2127"/>
        </w:tabs>
        <w:spacing w:after="40"/>
        <w:ind w:left="2126" w:hanging="2126"/>
        <w:rPr>
          <w:rFonts w:cs="Arial"/>
          <w:lang w:val="fr-FR"/>
        </w:rPr>
      </w:pPr>
      <w:r w:rsidRPr="00845557">
        <w:rPr>
          <w:rFonts w:cs="Arial"/>
          <w:lang w:val="fr-FR"/>
        </w:rPr>
        <w:t>TAD</w:t>
      </w:r>
      <w:r w:rsidRPr="00845557">
        <w:rPr>
          <w:rFonts w:cs="Arial"/>
          <w:lang w:val="fr-FR"/>
        </w:rPr>
        <w:tab/>
      </w:r>
      <w:r w:rsidRPr="00845557">
        <w:rPr>
          <w:rFonts w:cs="Tahoma"/>
          <w:lang w:val="fr-FR"/>
        </w:rPr>
        <w:t>IP Technical Assistance Database</w:t>
      </w:r>
      <w:r w:rsidRPr="00845557">
        <w:rPr>
          <w:rFonts w:cs="Arial"/>
          <w:lang w:val="fr-FR"/>
        </w:rPr>
        <w:t xml:space="preserve"> </w:t>
      </w:r>
    </w:p>
    <w:p w:rsidR="00815ABB" w:rsidRPr="00845557" w:rsidRDefault="00815ABB" w:rsidP="00B11299">
      <w:pPr>
        <w:keepNext/>
        <w:tabs>
          <w:tab w:val="left" w:pos="2127"/>
        </w:tabs>
        <w:spacing w:after="40"/>
        <w:ind w:left="2126" w:hanging="2126"/>
        <w:rPr>
          <w:rFonts w:cs="Arial"/>
          <w:lang w:val="fr-FR"/>
        </w:rPr>
      </w:pPr>
      <w:r w:rsidRPr="00845557">
        <w:rPr>
          <w:rFonts w:cs="Arial"/>
          <w:lang w:val="fr-FR"/>
        </w:rPr>
        <w:t>TCEs</w:t>
      </w:r>
      <w:r w:rsidRPr="00845557">
        <w:rPr>
          <w:rFonts w:cs="Arial"/>
          <w:lang w:val="fr-FR"/>
        </w:rPr>
        <w:tab/>
        <w:t>Traditional Cultural Expressions/Folklore</w:t>
      </w:r>
    </w:p>
    <w:p w:rsidR="00815ABB" w:rsidRPr="00F10C59" w:rsidRDefault="00815ABB" w:rsidP="00B11299">
      <w:pPr>
        <w:tabs>
          <w:tab w:val="left" w:pos="2127"/>
        </w:tabs>
        <w:spacing w:after="40"/>
        <w:ind w:left="2127" w:hanging="2127"/>
        <w:rPr>
          <w:rFonts w:cs="Arial"/>
        </w:rPr>
      </w:pPr>
      <w:r w:rsidRPr="00F10C59">
        <w:rPr>
          <w:rFonts w:cs="Arial"/>
        </w:rPr>
        <w:t>TIGAR</w:t>
      </w:r>
      <w:r w:rsidRPr="00F10C59">
        <w:rPr>
          <w:rFonts w:cs="Arial"/>
        </w:rPr>
        <w:tab/>
        <w:t xml:space="preserve">Trusted Intermediary Global </w:t>
      </w:r>
      <w:r>
        <w:rPr>
          <w:rFonts w:cs="Arial"/>
        </w:rPr>
        <w:t>Accessible</w:t>
      </w:r>
      <w:r w:rsidRPr="00F10C59">
        <w:rPr>
          <w:rFonts w:cs="Arial"/>
        </w:rPr>
        <w:t xml:space="preserve"> Resources</w:t>
      </w:r>
    </w:p>
    <w:p w:rsidR="00815ABB" w:rsidRPr="00F10C59" w:rsidRDefault="00815ABB" w:rsidP="00B11299">
      <w:pPr>
        <w:tabs>
          <w:tab w:val="left" w:pos="2127"/>
        </w:tabs>
        <w:spacing w:after="40"/>
        <w:ind w:left="2127" w:hanging="2127"/>
        <w:rPr>
          <w:rFonts w:cs="Arial"/>
        </w:rPr>
      </w:pPr>
      <w:r w:rsidRPr="00F10C59">
        <w:rPr>
          <w:rFonts w:cs="Arial"/>
        </w:rPr>
        <w:t>TISCs</w:t>
      </w:r>
      <w:r w:rsidRPr="00F10C59">
        <w:rPr>
          <w:rFonts w:cs="Arial"/>
        </w:rPr>
        <w:tab/>
        <w:t>Technology Innovation Support Centers</w:t>
      </w:r>
    </w:p>
    <w:p w:rsidR="00815ABB" w:rsidRPr="00F10C59" w:rsidRDefault="00815ABB" w:rsidP="00B11299">
      <w:pPr>
        <w:tabs>
          <w:tab w:val="left" w:pos="2127"/>
        </w:tabs>
        <w:spacing w:after="40"/>
        <w:ind w:left="2127" w:hanging="2127"/>
        <w:rPr>
          <w:rFonts w:cs="Arial"/>
        </w:rPr>
      </w:pPr>
      <w:r w:rsidRPr="00F10C59">
        <w:rPr>
          <w:rFonts w:cs="Arial"/>
        </w:rPr>
        <w:t>TK</w:t>
      </w:r>
      <w:r w:rsidRPr="00F10C59">
        <w:rPr>
          <w:rFonts w:cs="Arial"/>
        </w:rPr>
        <w:tab/>
        <w:t>Traditional Knowledge</w:t>
      </w:r>
    </w:p>
    <w:p w:rsidR="00815ABB" w:rsidRPr="00F10C59" w:rsidRDefault="00815ABB" w:rsidP="00B11299">
      <w:pPr>
        <w:tabs>
          <w:tab w:val="left" w:pos="2127"/>
        </w:tabs>
        <w:spacing w:after="40"/>
        <w:ind w:left="2127" w:hanging="2127"/>
        <w:rPr>
          <w:rFonts w:cs="Arial"/>
        </w:rPr>
      </w:pPr>
      <w:r w:rsidRPr="00F10C59">
        <w:rPr>
          <w:rFonts w:cs="Arial"/>
        </w:rPr>
        <w:t>TTO</w:t>
      </w:r>
      <w:r w:rsidRPr="00F10C59">
        <w:rPr>
          <w:rFonts w:cs="Arial"/>
        </w:rPr>
        <w:tab/>
        <w:t>Technology Transfer Office</w:t>
      </w:r>
    </w:p>
    <w:p w:rsidR="00815ABB" w:rsidRPr="00F10C59" w:rsidRDefault="00815ABB" w:rsidP="00860D6F">
      <w:pPr>
        <w:tabs>
          <w:tab w:val="left" w:pos="2127"/>
        </w:tabs>
        <w:spacing w:after="120"/>
        <w:ind w:left="2126" w:hanging="2126"/>
        <w:rPr>
          <w:rFonts w:cs="Arial"/>
        </w:rPr>
      </w:pPr>
    </w:p>
    <w:p w:rsidR="00815ABB" w:rsidRPr="00F10C59" w:rsidRDefault="00815ABB" w:rsidP="00B11299">
      <w:pPr>
        <w:tabs>
          <w:tab w:val="left" w:pos="2127"/>
        </w:tabs>
        <w:spacing w:after="40"/>
        <w:ind w:left="2127" w:hanging="2127"/>
        <w:rPr>
          <w:rFonts w:cs="Arial"/>
        </w:rPr>
      </w:pPr>
      <w:r w:rsidRPr="00F10AB9">
        <w:rPr>
          <w:rFonts w:cs="Arial"/>
          <w:b/>
          <w:bCs/>
        </w:rPr>
        <w:t>U</w:t>
      </w:r>
      <w:r w:rsidRPr="00F10C59">
        <w:rPr>
          <w:rFonts w:cs="Arial"/>
        </w:rPr>
        <w:t>DRP</w:t>
      </w:r>
      <w:r w:rsidRPr="00F10C59">
        <w:rPr>
          <w:rFonts w:cs="Arial"/>
        </w:rPr>
        <w:tab/>
        <w:t>Uniform Domain Name Dispute Resolution Policy</w:t>
      </w:r>
    </w:p>
    <w:p w:rsidR="00815ABB" w:rsidRPr="00F10C59" w:rsidRDefault="00815ABB" w:rsidP="00B11299">
      <w:pPr>
        <w:tabs>
          <w:tab w:val="left" w:pos="2127"/>
        </w:tabs>
        <w:spacing w:after="40"/>
        <w:ind w:left="2127" w:hanging="2127"/>
        <w:rPr>
          <w:rFonts w:cs="Arial"/>
        </w:rPr>
      </w:pPr>
      <w:r w:rsidRPr="00F10C59">
        <w:rPr>
          <w:rFonts w:cs="Arial"/>
        </w:rPr>
        <w:t>UN</w:t>
      </w:r>
      <w:r w:rsidRPr="00F10C59">
        <w:rPr>
          <w:rFonts w:cs="Arial"/>
        </w:rPr>
        <w:tab/>
        <w:t>United Nations</w:t>
      </w:r>
    </w:p>
    <w:p w:rsidR="00815ABB" w:rsidRDefault="00815ABB" w:rsidP="00B11299">
      <w:pPr>
        <w:tabs>
          <w:tab w:val="left" w:pos="2127"/>
        </w:tabs>
        <w:spacing w:after="40"/>
        <w:ind w:left="2127" w:hanging="2127"/>
        <w:rPr>
          <w:rFonts w:cs="Arial"/>
        </w:rPr>
      </w:pPr>
      <w:r>
        <w:rPr>
          <w:rFonts w:eastAsia="SimSun"/>
          <w:bCs/>
          <w:lang w:eastAsia="zh-CN"/>
        </w:rPr>
        <w:t>UNCDF</w:t>
      </w:r>
      <w:r>
        <w:rPr>
          <w:rFonts w:eastAsia="SimSun"/>
          <w:bCs/>
          <w:lang w:eastAsia="zh-CN"/>
        </w:rPr>
        <w:tab/>
      </w:r>
      <w:r w:rsidRPr="0023662D">
        <w:rPr>
          <w:rFonts w:eastAsia="SimSun"/>
          <w:bCs/>
          <w:lang w:eastAsia="zh-CN"/>
        </w:rPr>
        <w:t>United Nations Capital Development Fund</w:t>
      </w:r>
    </w:p>
    <w:p w:rsidR="00815ABB" w:rsidRPr="00F10C59" w:rsidRDefault="00815ABB" w:rsidP="00B11299">
      <w:pPr>
        <w:tabs>
          <w:tab w:val="left" w:pos="2127"/>
        </w:tabs>
        <w:spacing w:after="40"/>
        <w:ind w:left="2127" w:hanging="2127"/>
        <w:rPr>
          <w:rFonts w:cs="Arial"/>
        </w:rPr>
      </w:pPr>
      <w:r w:rsidRPr="00F10C59">
        <w:rPr>
          <w:rFonts w:cs="Arial"/>
        </w:rPr>
        <w:t>UNCTAD</w:t>
      </w:r>
      <w:r w:rsidRPr="00F10C59">
        <w:rPr>
          <w:rFonts w:cs="Arial"/>
        </w:rPr>
        <w:tab/>
        <w:t>United Nations Conference on Trade and Development</w:t>
      </w:r>
    </w:p>
    <w:p w:rsidR="00815ABB" w:rsidRPr="00F10C59" w:rsidRDefault="00815ABB" w:rsidP="00B11299">
      <w:pPr>
        <w:tabs>
          <w:tab w:val="left" w:pos="2127"/>
        </w:tabs>
        <w:spacing w:after="40"/>
        <w:ind w:left="2127" w:hanging="2127"/>
        <w:rPr>
          <w:rFonts w:cs="Arial"/>
        </w:rPr>
      </w:pPr>
      <w:r w:rsidRPr="00F10C59">
        <w:rPr>
          <w:rFonts w:cs="Arial"/>
        </w:rPr>
        <w:t>UN CEB</w:t>
      </w:r>
      <w:r w:rsidRPr="00F10C59">
        <w:rPr>
          <w:rFonts w:cs="Arial"/>
        </w:rPr>
        <w:tab/>
        <w:t>United Nations Chief Executives Board</w:t>
      </w:r>
    </w:p>
    <w:p w:rsidR="00815ABB" w:rsidRPr="00EC6D63" w:rsidRDefault="00815ABB" w:rsidP="00B11299">
      <w:pPr>
        <w:tabs>
          <w:tab w:val="left" w:pos="2127"/>
        </w:tabs>
        <w:spacing w:after="40"/>
        <w:ind w:left="2127" w:hanging="2127"/>
        <w:rPr>
          <w:rFonts w:cs="Arial"/>
        </w:rPr>
      </w:pPr>
      <w:r>
        <w:rPr>
          <w:rFonts w:cs="Arial"/>
          <w:noProof/>
        </w:rPr>
        <mc:AlternateContent>
          <mc:Choice Requires="wps">
            <w:drawing>
              <wp:anchor distT="0" distB="0" distL="114300" distR="114300" simplePos="0" relativeHeight="251659264" behindDoc="0" locked="0" layoutInCell="0" allowOverlap="1" wp14:anchorId="2602D74B" wp14:editId="560A2964">
                <wp:simplePos x="0" y="0"/>
                <wp:positionH relativeFrom="column">
                  <wp:posOffset>-2118995</wp:posOffset>
                </wp:positionH>
                <wp:positionV relativeFrom="paragraph">
                  <wp:posOffset>83185</wp:posOffset>
                </wp:positionV>
                <wp:extent cx="731520" cy="1097280"/>
                <wp:effectExtent l="10160" t="10795" r="10795" b="6350"/>
                <wp:wrapNone/>
                <wp:docPr id="844" name="Text Box 8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1520" cy="1097280"/>
                        </a:xfrm>
                        <a:prstGeom prst="rect">
                          <a:avLst/>
                        </a:prstGeom>
                        <a:solidFill>
                          <a:srgbClr val="FFFFFF"/>
                        </a:solidFill>
                        <a:ln w="9525">
                          <a:solidFill>
                            <a:srgbClr val="000000"/>
                          </a:solidFill>
                          <a:miter lim="800000"/>
                          <a:headEnd/>
                          <a:tailEnd/>
                        </a:ln>
                      </wps:spPr>
                      <wps:txbx>
                        <w:txbxContent>
                          <w:p w:rsidR="000F38B9" w:rsidRDefault="000F38B9" w:rsidP="00B11299">
                            <w:pPr>
                              <w:pStyle w:val="BodyText2"/>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44" o:spid="_x0000_s1026" type="#_x0000_t202" style="position:absolute;left:0;text-align:left;margin-left:-166.85pt;margin-top:6.55pt;width:57.6pt;height:86.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" o:allowincell="f">
                <v:textbox>
                  <w:txbxContent>
                    <w:p w:rsidR="000F38B9" w:rsidRDefault="000F38B9" w:rsidP="00B11299">
                      <w:pPr>
                        <w:pStyle w:val="BodyText2"/>
                      </w:pPr>
                    </w:p>
                  </w:txbxContent>
                </v:textbox>
              </v:shape>
            </w:pict>
          </mc:Fallback>
        </mc:AlternateContent>
      </w:r>
      <w:r w:rsidRPr="00EC6D63">
        <w:rPr>
          <w:rFonts w:cs="Arial"/>
        </w:rPr>
        <w:t>UNEP</w:t>
      </w:r>
      <w:r w:rsidRPr="00EC6D63">
        <w:rPr>
          <w:rFonts w:cs="Arial"/>
        </w:rPr>
        <w:tab/>
        <w:t>United Nations Environmental Programme</w:t>
      </w:r>
    </w:p>
    <w:p w:rsidR="009F2B48" w:rsidRDefault="009F2B48" w:rsidP="00B11299">
      <w:pPr>
        <w:tabs>
          <w:tab w:val="left" w:pos="2127"/>
        </w:tabs>
        <w:spacing w:after="40"/>
        <w:ind w:left="2127" w:hanging="2127"/>
        <w:rPr>
          <w:rFonts w:cs="Arial"/>
        </w:rPr>
      </w:pPr>
      <w:r>
        <w:rPr>
          <w:rFonts w:cs="Arial"/>
        </w:rPr>
        <w:t>UNECA</w:t>
      </w:r>
      <w:r>
        <w:rPr>
          <w:rFonts w:cs="Arial"/>
        </w:rPr>
        <w:tab/>
      </w:r>
      <w:r w:rsidRPr="007861F3">
        <w:rPr>
          <w:bCs/>
        </w:rPr>
        <w:t>United Nations Economic Commission for Africa</w:t>
      </w:r>
    </w:p>
    <w:p w:rsidR="009F2B48" w:rsidRDefault="009F2B48" w:rsidP="00B11299">
      <w:pPr>
        <w:tabs>
          <w:tab w:val="left" w:pos="2127"/>
        </w:tabs>
        <w:spacing w:after="40"/>
        <w:ind w:left="2127" w:hanging="2127"/>
        <w:rPr>
          <w:rFonts w:cs="Arial"/>
        </w:rPr>
      </w:pPr>
      <w:r>
        <w:rPr>
          <w:rFonts w:cs="Arial"/>
        </w:rPr>
        <w:t>UNESCAP</w:t>
      </w:r>
      <w:r>
        <w:rPr>
          <w:rFonts w:cs="Arial"/>
        </w:rPr>
        <w:tab/>
      </w:r>
      <w:r w:rsidRPr="007861F3">
        <w:rPr>
          <w:bCs/>
        </w:rPr>
        <w:t>United Nations Economic Commission for Asia and the Pacific</w:t>
      </w:r>
    </w:p>
    <w:p w:rsidR="00815ABB" w:rsidRPr="00F10C59" w:rsidRDefault="00815ABB" w:rsidP="00B11299">
      <w:pPr>
        <w:tabs>
          <w:tab w:val="left" w:pos="2127"/>
        </w:tabs>
        <w:spacing w:after="40"/>
        <w:ind w:left="2127" w:hanging="2127"/>
        <w:rPr>
          <w:rFonts w:cs="Arial"/>
        </w:rPr>
      </w:pPr>
      <w:r w:rsidRPr="00F10C59">
        <w:rPr>
          <w:rFonts w:cs="Arial"/>
        </w:rPr>
        <w:t>UNESCO</w:t>
      </w:r>
      <w:r w:rsidRPr="00F10C59">
        <w:rPr>
          <w:rFonts w:cs="Arial"/>
        </w:rPr>
        <w:tab/>
        <w:t>United Nations Educational, Scientific and Cultural Organization</w:t>
      </w:r>
    </w:p>
    <w:p w:rsidR="00815ABB" w:rsidRPr="00E37059" w:rsidRDefault="00815ABB" w:rsidP="00B11299">
      <w:pPr>
        <w:tabs>
          <w:tab w:val="left" w:pos="2127"/>
        </w:tabs>
        <w:spacing w:after="40"/>
        <w:ind w:left="2127" w:hanging="2127"/>
        <w:rPr>
          <w:rFonts w:cs="Arial"/>
          <w:lang w:val="fr-FR"/>
        </w:rPr>
      </w:pPr>
      <w:r w:rsidRPr="00E37059">
        <w:rPr>
          <w:rFonts w:cs="Arial"/>
          <w:lang w:val="fr-FR"/>
        </w:rPr>
        <w:t>UNFCCC</w:t>
      </w:r>
      <w:r w:rsidRPr="00E37059">
        <w:rPr>
          <w:rFonts w:cs="Arial"/>
          <w:lang w:val="fr-FR"/>
        </w:rPr>
        <w:tab/>
      </w:r>
      <w:r w:rsidR="00F02072" w:rsidRPr="00B1329C">
        <w:rPr>
          <w:szCs w:val="20"/>
          <w:lang w:val="fr-FR"/>
        </w:rPr>
        <w:t xml:space="preserve">UN Framework Convention on Climate Change </w:t>
      </w:r>
    </w:p>
    <w:p w:rsidR="00815ABB" w:rsidRPr="00844511" w:rsidRDefault="00815ABB" w:rsidP="00B11299">
      <w:pPr>
        <w:tabs>
          <w:tab w:val="left" w:pos="2127"/>
        </w:tabs>
        <w:spacing w:after="40"/>
        <w:ind w:left="2127" w:right="-476" w:hanging="2127"/>
        <w:rPr>
          <w:rFonts w:cs="Arial"/>
          <w:lang w:val="fr-FR"/>
        </w:rPr>
      </w:pPr>
      <w:r w:rsidRPr="00844511">
        <w:rPr>
          <w:rFonts w:cs="Arial"/>
          <w:lang w:val="fr-FR"/>
        </w:rPr>
        <w:t>UNICC</w:t>
      </w:r>
      <w:r w:rsidRPr="00844511">
        <w:rPr>
          <w:rFonts w:cs="Arial"/>
          <w:lang w:val="fr-FR"/>
        </w:rPr>
        <w:tab/>
        <w:t>UN International Computing Centre</w:t>
      </w:r>
    </w:p>
    <w:p w:rsidR="00815ABB" w:rsidRPr="00F10C59" w:rsidRDefault="00815ABB" w:rsidP="00B11299">
      <w:pPr>
        <w:tabs>
          <w:tab w:val="left" w:pos="2127"/>
        </w:tabs>
        <w:spacing w:after="40"/>
        <w:ind w:left="2127" w:right="-476" w:hanging="2127"/>
        <w:rPr>
          <w:rFonts w:cs="Arial"/>
        </w:rPr>
      </w:pPr>
      <w:r w:rsidRPr="00F10C59">
        <w:rPr>
          <w:rFonts w:cs="Arial"/>
        </w:rPr>
        <w:t>UNIDO</w:t>
      </w:r>
      <w:r w:rsidRPr="00F10C59">
        <w:rPr>
          <w:rFonts w:cs="Arial"/>
        </w:rPr>
        <w:tab/>
        <w:t>United Nations Industrial Development Organization</w:t>
      </w:r>
    </w:p>
    <w:p w:rsidR="00815ABB" w:rsidRDefault="00815ABB" w:rsidP="00B11299">
      <w:pPr>
        <w:tabs>
          <w:tab w:val="left" w:pos="2127"/>
        </w:tabs>
        <w:spacing w:after="40"/>
        <w:ind w:left="2127" w:right="-476" w:hanging="2127"/>
        <w:rPr>
          <w:rFonts w:cs="Arial"/>
        </w:rPr>
      </w:pPr>
      <w:r>
        <w:rPr>
          <w:rFonts w:cs="Arial"/>
        </w:rPr>
        <w:t>UNPFII</w:t>
      </w:r>
      <w:r>
        <w:rPr>
          <w:rFonts w:cs="Arial"/>
        </w:rPr>
        <w:tab/>
        <w:t>United Nations Permanent Forum on Indigenous Issues</w:t>
      </w:r>
    </w:p>
    <w:p w:rsidR="00815ABB" w:rsidRDefault="00815ABB" w:rsidP="00B11299">
      <w:pPr>
        <w:tabs>
          <w:tab w:val="left" w:pos="2127"/>
        </w:tabs>
        <w:spacing w:after="40"/>
        <w:ind w:left="2127" w:right="-476" w:hanging="2127"/>
        <w:rPr>
          <w:rFonts w:cs="Arial"/>
        </w:rPr>
      </w:pPr>
      <w:r w:rsidRPr="00F10C59">
        <w:rPr>
          <w:rFonts w:cs="Arial"/>
        </w:rPr>
        <w:t>USPTO</w:t>
      </w:r>
      <w:r w:rsidRPr="00F10C59">
        <w:rPr>
          <w:rFonts w:cs="Arial"/>
        </w:rPr>
        <w:tab/>
        <w:t>United States Patent and Trademark Office</w:t>
      </w:r>
    </w:p>
    <w:p w:rsidR="00815ABB" w:rsidRPr="00F10C59" w:rsidRDefault="00815ABB" w:rsidP="00860D6F">
      <w:pPr>
        <w:tabs>
          <w:tab w:val="left" w:pos="2127"/>
        </w:tabs>
        <w:spacing w:after="120"/>
        <w:ind w:left="2126" w:hanging="2126"/>
        <w:rPr>
          <w:rFonts w:cs="Arial"/>
        </w:rPr>
      </w:pPr>
    </w:p>
    <w:p w:rsidR="00815ABB" w:rsidRPr="00F10C59" w:rsidRDefault="00815ABB" w:rsidP="00B11299">
      <w:pPr>
        <w:tabs>
          <w:tab w:val="left" w:pos="2127"/>
        </w:tabs>
        <w:spacing w:after="40"/>
        <w:ind w:left="2127" w:hanging="2127"/>
        <w:rPr>
          <w:rFonts w:cs="Arial"/>
        </w:rPr>
      </w:pPr>
      <w:r w:rsidRPr="00F10AB9">
        <w:rPr>
          <w:rFonts w:cs="Arial"/>
          <w:b/>
          <w:bCs/>
        </w:rPr>
        <w:t>V</w:t>
      </w:r>
      <w:r w:rsidRPr="00F10C59">
        <w:rPr>
          <w:rFonts w:cs="Arial"/>
        </w:rPr>
        <w:t>IP</w:t>
      </w:r>
      <w:r w:rsidRPr="00F10C59">
        <w:rPr>
          <w:rFonts w:cs="Arial"/>
        </w:rPr>
        <w:tab/>
        <w:t>Visually Impaired Persons</w:t>
      </w:r>
      <w:r>
        <w:rPr>
          <w:rFonts w:cs="Arial"/>
        </w:rPr>
        <w:t xml:space="preserve"> and other persons with print disabilities</w:t>
      </w:r>
    </w:p>
    <w:p w:rsidR="00815ABB" w:rsidRPr="00F10C59" w:rsidRDefault="00815ABB" w:rsidP="00860D6F">
      <w:pPr>
        <w:tabs>
          <w:tab w:val="left" w:pos="2127"/>
        </w:tabs>
        <w:spacing w:after="120"/>
        <w:ind w:left="2126" w:hanging="2126"/>
        <w:rPr>
          <w:rFonts w:cs="Arial"/>
        </w:rPr>
      </w:pPr>
    </w:p>
    <w:p w:rsidR="00815ABB" w:rsidRDefault="00815ABB" w:rsidP="00B11299">
      <w:pPr>
        <w:tabs>
          <w:tab w:val="left" w:pos="2127"/>
        </w:tabs>
        <w:spacing w:after="40"/>
        <w:ind w:left="2127" w:hanging="2127"/>
        <w:rPr>
          <w:rFonts w:cs="Arial"/>
        </w:rPr>
      </w:pPr>
      <w:r w:rsidRPr="00727DFF">
        <w:rPr>
          <w:rFonts w:cs="Arial"/>
          <w:b/>
        </w:rPr>
        <w:t>W</w:t>
      </w:r>
      <w:r>
        <w:rPr>
          <w:rFonts w:cs="Arial"/>
        </w:rPr>
        <w:t>BO</w:t>
      </w:r>
      <w:r>
        <w:rPr>
          <w:rFonts w:cs="Arial"/>
        </w:rPr>
        <w:tab/>
        <w:t>WIPO Brazil Office</w:t>
      </w:r>
    </w:p>
    <w:p w:rsidR="006C3FC1" w:rsidRDefault="006C3FC1" w:rsidP="00B11299">
      <w:pPr>
        <w:tabs>
          <w:tab w:val="left" w:pos="2127"/>
        </w:tabs>
        <w:spacing w:after="40"/>
        <w:ind w:left="2127" w:hanging="2127"/>
        <w:rPr>
          <w:rFonts w:cs="Arial"/>
        </w:rPr>
      </w:pPr>
      <w:r>
        <w:rPr>
          <w:rFonts w:cs="Arial"/>
        </w:rPr>
        <w:t>WCC</w:t>
      </w:r>
      <w:r>
        <w:rPr>
          <w:rFonts w:cs="Arial"/>
        </w:rPr>
        <w:tab/>
      </w:r>
      <w:r w:rsidRPr="00CE1FA2">
        <w:rPr>
          <w:rFonts w:cs="Arial"/>
        </w:rPr>
        <w:t>WIPO Copyright Connection</w:t>
      </w:r>
    </w:p>
    <w:p w:rsidR="00815ABB" w:rsidRPr="00F10C59" w:rsidRDefault="00815ABB" w:rsidP="00B11299">
      <w:pPr>
        <w:tabs>
          <w:tab w:val="left" w:pos="2127"/>
        </w:tabs>
        <w:spacing w:after="40"/>
        <w:ind w:left="2127" w:hanging="2127"/>
        <w:rPr>
          <w:rFonts w:cs="Arial"/>
        </w:rPr>
      </w:pPr>
      <w:r w:rsidRPr="00F10C59">
        <w:rPr>
          <w:rFonts w:cs="Arial"/>
        </w:rPr>
        <w:t>WCT</w:t>
      </w:r>
      <w:r w:rsidRPr="00F10C59">
        <w:rPr>
          <w:rFonts w:cs="Arial"/>
        </w:rPr>
        <w:tab/>
        <w:t>WIPO Copyright Treaty</w:t>
      </w:r>
    </w:p>
    <w:p w:rsidR="00815ABB" w:rsidRPr="00F10C59" w:rsidRDefault="00815ABB" w:rsidP="00B11299">
      <w:pPr>
        <w:tabs>
          <w:tab w:val="left" w:pos="2127"/>
        </w:tabs>
        <w:spacing w:after="40"/>
        <w:ind w:left="2127" w:hanging="2127"/>
        <w:rPr>
          <w:rFonts w:cs="Arial"/>
        </w:rPr>
      </w:pPr>
      <w:r w:rsidRPr="00F10C59">
        <w:rPr>
          <w:rFonts w:cs="Arial"/>
        </w:rPr>
        <w:t>WHO</w:t>
      </w:r>
      <w:r w:rsidRPr="00F10C59">
        <w:rPr>
          <w:rFonts w:cs="Arial"/>
        </w:rPr>
        <w:tab/>
        <w:t>World Health Organization</w:t>
      </w:r>
    </w:p>
    <w:p w:rsidR="00815ABB" w:rsidRDefault="00815ABB" w:rsidP="00B11299">
      <w:pPr>
        <w:tabs>
          <w:tab w:val="left" w:pos="2127"/>
        </w:tabs>
        <w:spacing w:after="40"/>
        <w:ind w:left="2127" w:hanging="2127"/>
        <w:rPr>
          <w:rFonts w:cs="Arial"/>
        </w:rPr>
      </w:pPr>
      <w:r>
        <w:rPr>
          <w:rFonts w:cs="Arial"/>
        </w:rPr>
        <w:t>WINS</w:t>
      </w:r>
      <w:r>
        <w:rPr>
          <w:rFonts w:cs="Arial"/>
        </w:rPr>
        <w:tab/>
        <w:t>WIPO Inquiry Notification System</w:t>
      </w:r>
    </w:p>
    <w:p w:rsidR="00815ABB" w:rsidRDefault="00815ABB" w:rsidP="00B11299">
      <w:pPr>
        <w:tabs>
          <w:tab w:val="left" w:pos="2127"/>
        </w:tabs>
        <w:spacing w:after="40"/>
        <w:ind w:left="2127" w:hanging="2127"/>
        <w:rPr>
          <w:rFonts w:cs="Arial"/>
        </w:rPr>
      </w:pPr>
      <w:r>
        <w:rPr>
          <w:rFonts w:cs="Arial"/>
        </w:rPr>
        <w:t>WIPOCOS</w:t>
      </w:r>
      <w:r>
        <w:rPr>
          <w:rFonts w:cs="Arial"/>
        </w:rPr>
        <w:tab/>
      </w:r>
      <w:r w:rsidRPr="00FF1219">
        <w:rPr>
          <w:rFonts w:cs="Arial"/>
          <w:lang w:val="en"/>
        </w:rPr>
        <w:t>software for collective management of copyright and neighboring rights</w:t>
      </w:r>
    </w:p>
    <w:p w:rsidR="004B29CC" w:rsidRDefault="004B29CC" w:rsidP="00B11299">
      <w:pPr>
        <w:tabs>
          <w:tab w:val="left" w:pos="2127"/>
        </w:tabs>
        <w:spacing w:after="40"/>
        <w:ind w:left="2127" w:hanging="2127"/>
        <w:rPr>
          <w:rFonts w:cs="Arial"/>
        </w:rPr>
      </w:pPr>
      <w:r>
        <w:rPr>
          <w:rFonts w:cs="Arial"/>
        </w:rPr>
        <w:t>WWIEA</w:t>
      </w:r>
      <w:r>
        <w:rPr>
          <w:rFonts w:cs="Arial"/>
        </w:rPr>
        <w:tab/>
      </w:r>
      <w:r w:rsidRPr="00641FF5">
        <w:rPr>
          <w:rFonts w:cs="Arial"/>
        </w:rPr>
        <w:t>World Women Inventors and Entrepreneurs Association</w:t>
      </w:r>
    </w:p>
    <w:p w:rsidR="00815ABB" w:rsidRDefault="00815ABB" w:rsidP="00B11299">
      <w:pPr>
        <w:tabs>
          <w:tab w:val="left" w:pos="2127"/>
        </w:tabs>
        <w:spacing w:after="40"/>
        <w:ind w:left="2127" w:hanging="2127"/>
        <w:rPr>
          <w:rFonts w:cs="Arial"/>
        </w:rPr>
      </w:pPr>
      <w:r>
        <w:rPr>
          <w:rFonts w:cs="Arial"/>
        </w:rPr>
        <w:t>WJO</w:t>
      </w:r>
      <w:r>
        <w:rPr>
          <w:rFonts w:cs="Arial"/>
        </w:rPr>
        <w:tab/>
        <w:t>WIPO Japan Office</w:t>
      </w:r>
    </w:p>
    <w:p w:rsidR="00815ABB" w:rsidRDefault="00815ABB" w:rsidP="00B11299">
      <w:pPr>
        <w:tabs>
          <w:tab w:val="left" w:pos="2127"/>
        </w:tabs>
        <w:spacing w:after="40"/>
        <w:ind w:left="2127" w:hanging="2127"/>
        <w:rPr>
          <w:rFonts w:cs="Arial"/>
        </w:rPr>
      </w:pPr>
      <w:r>
        <w:rPr>
          <w:rFonts w:cs="Arial"/>
          <w:szCs w:val="20"/>
        </w:rPr>
        <w:t>WPIS</w:t>
      </w:r>
      <w:r>
        <w:rPr>
          <w:rFonts w:cs="Arial"/>
          <w:szCs w:val="20"/>
        </w:rPr>
        <w:tab/>
      </w:r>
      <w:r w:rsidRPr="00BD71FF">
        <w:rPr>
          <w:rFonts w:cs="Arial"/>
          <w:szCs w:val="20"/>
        </w:rPr>
        <w:t xml:space="preserve">WIPO Patent Information Services </w:t>
      </w:r>
    </w:p>
    <w:p w:rsidR="00815ABB" w:rsidRPr="00F10C59" w:rsidRDefault="00815ABB" w:rsidP="00B11299">
      <w:pPr>
        <w:tabs>
          <w:tab w:val="left" w:pos="2127"/>
        </w:tabs>
        <w:spacing w:after="40"/>
        <w:ind w:left="2127" w:hanging="2127"/>
        <w:rPr>
          <w:rFonts w:cs="Arial"/>
        </w:rPr>
      </w:pPr>
      <w:r w:rsidRPr="00F10C59">
        <w:rPr>
          <w:rFonts w:cs="Arial"/>
        </w:rPr>
        <w:t>WPPT</w:t>
      </w:r>
      <w:r w:rsidRPr="00F10C59">
        <w:rPr>
          <w:rFonts w:cs="Arial"/>
        </w:rPr>
        <w:tab/>
        <w:t>WIPO Performances and Phonograms Treaty</w:t>
      </w:r>
    </w:p>
    <w:p w:rsidR="00815ABB" w:rsidRPr="00C02386" w:rsidRDefault="00815ABB" w:rsidP="00B11299">
      <w:pPr>
        <w:tabs>
          <w:tab w:val="left" w:pos="2127"/>
        </w:tabs>
        <w:spacing w:after="40"/>
        <w:ind w:left="2127" w:hanging="2127"/>
        <w:rPr>
          <w:rFonts w:cs="Arial"/>
        </w:rPr>
      </w:pPr>
      <w:r w:rsidRPr="00C02386">
        <w:rPr>
          <w:rFonts w:cs="Arial"/>
        </w:rPr>
        <w:t>WSIS</w:t>
      </w:r>
      <w:r w:rsidRPr="00C02386">
        <w:rPr>
          <w:rFonts w:cs="Arial"/>
        </w:rPr>
        <w:tab/>
      </w:r>
      <w:r w:rsidRPr="00C02386">
        <w:rPr>
          <w:rFonts w:cs="Arial"/>
          <w:bCs/>
        </w:rPr>
        <w:t>World Summit on the Information Society</w:t>
      </w:r>
    </w:p>
    <w:p w:rsidR="00815ABB" w:rsidRDefault="00815ABB" w:rsidP="00B11299">
      <w:pPr>
        <w:tabs>
          <w:tab w:val="left" w:pos="2127"/>
        </w:tabs>
        <w:spacing w:after="40"/>
        <w:ind w:left="2127" w:hanging="2127"/>
        <w:rPr>
          <w:rFonts w:cs="Arial"/>
        </w:rPr>
      </w:pPr>
      <w:r w:rsidRPr="00C02386">
        <w:rPr>
          <w:rFonts w:cs="Arial"/>
        </w:rPr>
        <w:t>WSO</w:t>
      </w:r>
      <w:r w:rsidRPr="00C02386">
        <w:rPr>
          <w:rFonts w:cs="Arial"/>
        </w:rPr>
        <w:tab/>
        <w:t>WIPO Singapore Office</w:t>
      </w:r>
    </w:p>
    <w:p w:rsidR="00815ABB" w:rsidRPr="00F10C59" w:rsidRDefault="00815ABB" w:rsidP="00B11299">
      <w:pPr>
        <w:tabs>
          <w:tab w:val="left" w:pos="2127"/>
        </w:tabs>
        <w:spacing w:after="40"/>
        <w:ind w:left="2127" w:hanging="2127"/>
        <w:rPr>
          <w:rFonts w:cs="Arial"/>
        </w:rPr>
      </w:pPr>
      <w:r w:rsidRPr="00F10C59">
        <w:rPr>
          <w:rFonts w:cs="Arial"/>
        </w:rPr>
        <w:t>WTO</w:t>
      </w:r>
      <w:r w:rsidRPr="00F10C59">
        <w:rPr>
          <w:rFonts w:cs="Arial"/>
        </w:rPr>
        <w:tab/>
        <w:t xml:space="preserve">World Trade Organization </w:t>
      </w:r>
    </w:p>
    <w:p w:rsidR="00815ABB" w:rsidRPr="00860D6F" w:rsidRDefault="00815ABB" w:rsidP="00860D6F">
      <w:pPr>
        <w:tabs>
          <w:tab w:val="left" w:pos="2127"/>
        </w:tabs>
        <w:spacing w:after="120"/>
        <w:ind w:left="2126" w:hanging="2126"/>
        <w:rPr>
          <w:rFonts w:cs="Arial"/>
        </w:rPr>
      </w:pPr>
    </w:p>
    <w:p w:rsidR="00815ABB" w:rsidRPr="00F10C59" w:rsidRDefault="00815ABB" w:rsidP="00B11299">
      <w:pPr>
        <w:pStyle w:val="BodyText"/>
      </w:pPr>
    </w:p>
    <w:p w:rsidR="00815ABB" w:rsidRPr="009706FB" w:rsidRDefault="00815ABB" w:rsidP="00B11299">
      <w:pPr>
        <w:ind w:left="4253"/>
        <w:jc w:val="center"/>
      </w:pPr>
      <w:r>
        <w:rPr>
          <w:color w:val="000000"/>
        </w:rPr>
        <w:t xml:space="preserve"> [End of Appendix I</w:t>
      </w:r>
      <w:r w:rsidR="000723D4">
        <w:rPr>
          <w:color w:val="000000"/>
        </w:rPr>
        <w:t>V</w:t>
      </w:r>
      <w:r>
        <w:rPr>
          <w:color w:val="000000"/>
        </w:rPr>
        <w:t xml:space="preserve"> and of document]</w:t>
      </w:r>
    </w:p>
    <w:p w:rsidR="00815ABB" w:rsidRDefault="00815ABB" w:rsidP="00B11299"/>
    <w:p w:rsidR="00FB3CE3" w:rsidRPr="008D1891" w:rsidRDefault="00FB3CE3" w:rsidP="008D1891">
      <w:pPr>
        <w:autoSpaceDE w:val="0"/>
        <w:autoSpaceDN w:val="0"/>
        <w:jc w:val="both"/>
      </w:pPr>
    </w:p>
    <w:sectPr w:rsidR="00FB3CE3" w:rsidRPr="008D1891" w:rsidSect="00545826">
      <w:headerReference w:type="even" r:id="rId205"/>
      <w:headerReference w:type="default" r:id="rId206"/>
      <w:headerReference w:type="first" r:id="rId207"/>
      <w:pgSz w:w="11907" w:h="16840" w:code="9"/>
      <w:pgMar w:top="567" w:right="1134" w:bottom="1361" w:left="1418" w:header="567" w:footer="680" w:gutter="0"/>
      <w:cols w:space="720"/>
      <w:docGrid w:linePitch="27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F38B9" w:rsidRDefault="000F38B9">
      <w:r>
        <w:separator/>
      </w:r>
    </w:p>
  </w:endnote>
  <w:endnote w:type="continuationSeparator" w:id="0">
    <w:p w:rsidR="000F38B9" w:rsidRDefault="000F38B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Verdana">
    <w:panose1 w:val="020B0604030504040204"/>
    <w:charset w:val="00"/>
    <w:family w:val="swiss"/>
    <w:pitch w:val="variable"/>
    <w:sig w:usb0="A1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Arial Black">
    <w:panose1 w:val="020B0A04020102020204"/>
    <w:charset w:val="00"/>
    <w:family w:val="swiss"/>
    <w:pitch w:val="variable"/>
    <w:sig w:usb0="00000287" w:usb1="00000000" w:usb2="00000000" w:usb3="00000000" w:csb0="0000009F" w:csb1="00000000"/>
  </w:font>
  <w:font w:name="Helvetica">
    <w:panose1 w:val="020B0604020202020204"/>
    <w:charset w:val="00"/>
    <w:family w:val="swiss"/>
    <w:notTrueType/>
    <w:pitch w:val="variable"/>
    <w:sig w:usb0="00000003" w:usb1="00000000" w:usb2="00000000" w:usb3="00000000" w:csb0="00000001" w:csb1="00000000"/>
  </w:font>
  <w:font w:name="ヒラギノ角ゴ Pro W3">
    <w:altName w:val="MS Mincho"/>
    <w:charset w:val="80"/>
    <w:family w:val="auto"/>
    <w:pitch w:val="variable"/>
    <w:sig w:usb0="00000001" w:usb1="00000000" w:usb2="01000407" w:usb3="00000000" w:csb0="00020000" w:csb1="00000000"/>
  </w:font>
  <w:font w:name="PMingLiU">
    <w:altName w:val="新細明體"/>
    <w:panose1 w:val="02020500000000000000"/>
    <w:charset w:val="88"/>
    <w:family w:val="roman"/>
    <w:pitch w:val="variable"/>
    <w:sig w:usb0="A00002FF" w:usb1="28CFFCFA" w:usb2="00000016" w:usb3="00000000" w:csb0="00100001" w:csb1="00000000"/>
  </w:font>
  <w:font w:name="Arial Bold">
    <w:panose1 w:val="020B0704020202020204"/>
    <w:charset w:val="00"/>
    <w:family w:val="roman"/>
    <w:notTrueType/>
    <w:pitch w:val="default"/>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rialMT">
    <w:altName w:val="Arial"/>
    <w:panose1 w:val="00000000000000000000"/>
    <w:charset w:val="00"/>
    <w:family w:val="swiss"/>
    <w:notTrueType/>
    <w:pitch w:val="default"/>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Malgun Gothic">
    <w:panose1 w:val="020B0503020000020004"/>
    <w:charset w:val="81"/>
    <w:family w:val="swiss"/>
    <w:pitch w:val="variable"/>
    <w:sig w:usb0="900002AF" w:usb1="09D77CFB" w:usb2="00000012" w:usb3="00000000" w:csb0="0008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38B9" w:rsidRPr="00E31A65" w:rsidRDefault="000F38B9" w:rsidP="00E31A65">
    <w:pPr>
      <w:pStyle w:val="Footer"/>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38B9" w:rsidRDefault="00271F1E" w:rsidP="00FF768F">
    <w:pPr>
      <w:pStyle w:val="Footer"/>
      <w:jc w:val="center"/>
    </w:pPr>
    <w:sdt>
      <w:sdtPr>
        <w:id w:val="1499537925"/>
        <w:docPartObj>
          <w:docPartGallery w:val="Page Numbers (Bottom of Page)"/>
          <w:docPartUnique/>
        </w:docPartObj>
      </w:sdtPr>
      <w:sdtEndPr>
        <w:rPr>
          <w:noProof/>
        </w:rPr>
      </w:sdtEndPr>
      <w:sdtContent>
        <w:r w:rsidR="000F38B9">
          <w:fldChar w:fldCharType="begin"/>
        </w:r>
        <w:r w:rsidR="000F38B9">
          <w:instrText xml:space="preserve"> PAGE   \* MERGEFORMAT </w:instrText>
        </w:r>
        <w:r w:rsidR="000F38B9">
          <w:fldChar w:fldCharType="separate"/>
        </w:r>
        <w:r w:rsidR="004E4E0A">
          <w:rPr>
            <w:noProof/>
          </w:rPr>
          <w:t>316</w:t>
        </w:r>
        <w:r w:rsidR="000F38B9">
          <w:rPr>
            <w:noProof/>
          </w:rPr>
          <w:fldChar w:fldCharType="end"/>
        </w:r>
      </w:sdtContent>
    </w:sdt>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11457828"/>
      <w:docPartObj>
        <w:docPartGallery w:val="Page Numbers (Bottom of Page)"/>
        <w:docPartUnique/>
      </w:docPartObj>
    </w:sdtPr>
    <w:sdtEndPr>
      <w:rPr>
        <w:noProof/>
      </w:rPr>
    </w:sdtEndPr>
    <w:sdtContent>
      <w:p w:rsidR="000F38B9" w:rsidRPr="00E31A65" w:rsidRDefault="000F38B9" w:rsidP="00E31A65">
        <w:pPr>
          <w:pStyle w:val="Footer"/>
          <w:jc w:val="center"/>
        </w:pPr>
        <w:r>
          <w:fldChar w:fldCharType="begin"/>
        </w:r>
        <w:r>
          <w:instrText xml:space="preserve"> PAGE   \* MERGEFORMAT </w:instrText>
        </w:r>
        <w:r>
          <w:fldChar w:fldCharType="separate"/>
        </w:r>
        <w:r w:rsidR="00271F1E">
          <w:rPr>
            <w:noProof/>
          </w:rPr>
          <w:t>200</w:t>
        </w:r>
        <w:r>
          <w:rPr>
            <w:noProof/>
          </w:rPr>
          <w:fldChar w:fldCharType="end"/>
        </w:r>
      </w:p>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90086163"/>
      <w:docPartObj>
        <w:docPartGallery w:val="Page Numbers (Bottom of Page)"/>
        <w:docPartUnique/>
      </w:docPartObj>
    </w:sdtPr>
    <w:sdtEndPr>
      <w:rPr>
        <w:noProof/>
      </w:rPr>
    </w:sdtEndPr>
    <w:sdtContent>
      <w:p w:rsidR="000F38B9" w:rsidRDefault="000F38B9" w:rsidP="00FF768F">
        <w:pPr>
          <w:pStyle w:val="Footer"/>
          <w:jc w:val="center"/>
        </w:pPr>
        <w:r>
          <w:fldChar w:fldCharType="begin"/>
        </w:r>
        <w:r>
          <w:instrText xml:space="preserve"> PAGE   \* MERGEFORMAT </w:instrText>
        </w:r>
        <w:r>
          <w:fldChar w:fldCharType="separate"/>
        </w:r>
        <w:r w:rsidR="00271F1E">
          <w:rPr>
            <w:noProof/>
          </w:rPr>
          <w:t>199</w:t>
        </w:r>
        <w:r>
          <w:rPr>
            <w:noProof/>
          </w:rPr>
          <w:fldChar w:fldCharType="end"/>
        </w:r>
      </w:p>
    </w:sdtContent>
  </w:sdt>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38B9" w:rsidRDefault="00271F1E" w:rsidP="004A4516">
    <w:pPr>
      <w:pStyle w:val="Footer"/>
      <w:jc w:val="center"/>
    </w:pPr>
    <w:sdt>
      <w:sdtPr>
        <w:id w:val="363251060"/>
        <w:docPartObj>
          <w:docPartGallery w:val="Page Numbers (Bottom of Page)"/>
          <w:docPartUnique/>
        </w:docPartObj>
      </w:sdtPr>
      <w:sdtEndPr>
        <w:rPr>
          <w:noProof/>
        </w:rPr>
      </w:sdtEndPr>
      <w:sdtContent>
        <w:r w:rsidR="000F38B9">
          <w:fldChar w:fldCharType="begin"/>
        </w:r>
        <w:r w:rsidR="000F38B9">
          <w:instrText xml:space="preserve"> PAGE   \* MERGEFORMAT </w:instrText>
        </w:r>
        <w:r w:rsidR="000F38B9">
          <w:fldChar w:fldCharType="separate"/>
        </w:r>
        <w:r>
          <w:rPr>
            <w:noProof/>
          </w:rPr>
          <w:t>1</w:t>
        </w:r>
        <w:r w:rsidR="000F38B9">
          <w:rPr>
            <w:noProof/>
          </w:rPr>
          <w:fldChar w:fldCharType="end"/>
        </w:r>
      </w:sdtContent>
    </w:sdt>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50823021"/>
      <w:docPartObj>
        <w:docPartGallery w:val="Page Numbers (Bottom of Page)"/>
        <w:docPartUnique/>
      </w:docPartObj>
    </w:sdtPr>
    <w:sdtEndPr>
      <w:rPr>
        <w:noProof/>
      </w:rPr>
    </w:sdtEndPr>
    <w:sdtContent>
      <w:p w:rsidR="000F38B9" w:rsidRDefault="000F38B9">
        <w:pPr>
          <w:pStyle w:val="Footer"/>
          <w:jc w:val="center"/>
        </w:pPr>
        <w:r>
          <w:fldChar w:fldCharType="begin"/>
        </w:r>
        <w:r>
          <w:instrText xml:space="preserve"> PAGE   \* MERGEFORMAT </w:instrText>
        </w:r>
        <w:r>
          <w:fldChar w:fldCharType="separate"/>
        </w:r>
        <w:r w:rsidR="004E4E0A">
          <w:rPr>
            <w:noProof/>
          </w:rPr>
          <w:t>318</w:t>
        </w:r>
        <w:r>
          <w:rPr>
            <w:noProof/>
          </w:rPr>
          <w:fldChar w:fldCharType="end"/>
        </w:r>
      </w:p>
    </w:sdtContent>
  </w:sdt>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80258244"/>
      <w:docPartObj>
        <w:docPartGallery w:val="Page Numbers (Bottom of Page)"/>
        <w:docPartUnique/>
      </w:docPartObj>
    </w:sdtPr>
    <w:sdtEndPr>
      <w:rPr>
        <w:noProof/>
      </w:rPr>
    </w:sdtEndPr>
    <w:sdtContent>
      <w:p w:rsidR="000F38B9" w:rsidRDefault="000F38B9">
        <w:pPr>
          <w:pStyle w:val="Footer"/>
          <w:jc w:val="center"/>
        </w:pPr>
        <w:r>
          <w:fldChar w:fldCharType="begin"/>
        </w:r>
        <w:r>
          <w:instrText xml:space="preserve"> PAGE   \* MERGEFORMAT </w:instrText>
        </w:r>
        <w:r>
          <w:fldChar w:fldCharType="separate"/>
        </w:r>
        <w:r w:rsidR="004E4E0A">
          <w:rPr>
            <w:noProof/>
          </w:rPr>
          <w:t>319</w:t>
        </w:r>
        <w:r>
          <w:rPr>
            <w:noProof/>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F38B9" w:rsidRDefault="000F38B9">
      <w:r>
        <w:separator/>
      </w:r>
    </w:p>
  </w:footnote>
  <w:footnote w:type="continuationSeparator" w:id="0">
    <w:p w:rsidR="000F38B9" w:rsidRDefault="000F38B9">
      <w:r>
        <w:continuationSeparator/>
      </w:r>
    </w:p>
  </w:footnote>
  <w:footnote w:id="1">
    <w:p w:rsidR="000F38B9" w:rsidRDefault="000F38B9" w:rsidP="00547ACE">
      <w:pPr>
        <w:pStyle w:val="FootnoteText"/>
      </w:pPr>
      <w:r w:rsidRPr="00AE650F">
        <w:rPr>
          <w:sz w:val="16"/>
          <w:szCs w:val="16"/>
          <w:vertAlign w:val="superscript"/>
        </w:rPr>
        <w:footnoteRef/>
      </w:r>
      <w:r w:rsidRPr="00AE650F">
        <w:rPr>
          <w:sz w:val="16"/>
          <w:szCs w:val="16"/>
        </w:rPr>
        <w:t xml:space="preserve"> As a general rule, where performance data are measured by percentage changes (increases or decreases), unless otherwise indicated, the percentage changes are in comparison to the previous year, i.e. the percentage change in 2014 as compared to 2013, and the percentage change in 2015 as compared to 2014.</w:t>
      </w:r>
    </w:p>
  </w:footnote>
  <w:footnote w:id="2">
    <w:p w:rsidR="000F38B9" w:rsidRPr="00BD5BF9" w:rsidRDefault="000F38B9" w:rsidP="00547ACE">
      <w:pPr>
        <w:pStyle w:val="FootnoteText"/>
        <w:rPr>
          <w:sz w:val="16"/>
          <w:szCs w:val="16"/>
        </w:rPr>
      </w:pPr>
      <w:r w:rsidRPr="00BD5BF9">
        <w:rPr>
          <w:rStyle w:val="FootnoteReference"/>
          <w:sz w:val="16"/>
          <w:szCs w:val="16"/>
        </w:rPr>
        <w:footnoteRef/>
      </w:r>
      <w:r w:rsidRPr="00BD5BF9">
        <w:rPr>
          <w:sz w:val="16"/>
          <w:szCs w:val="16"/>
        </w:rPr>
        <w:t xml:space="preserve"> In line with Member States’ requests, Programs were provided an opportunity to define targets that had not been defined in the Program and Budget 2014/15, i.e. “tbd” targets, during the baseline update exercise (launched in July 2014), using the year-end 2013 data as the basis. </w:t>
      </w:r>
      <w:r>
        <w:rPr>
          <w:sz w:val="16"/>
          <w:szCs w:val="16"/>
        </w:rPr>
        <w:t xml:space="preserve"> </w:t>
      </w:r>
      <w:r w:rsidRPr="00BD5BF9">
        <w:rPr>
          <w:sz w:val="16"/>
          <w:szCs w:val="16"/>
        </w:rPr>
        <w:t xml:space="preserve">Targets that were not defined during this process remain undefined, and performance data are consequently rated as “not assessable.”  </w:t>
      </w:r>
    </w:p>
  </w:footnote>
  <w:footnote w:id="3">
    <w:p w:rsidR="000F38B9" w:rsidRPr="00043C9C" w:rsidRDefault="000F38B9" w:rsidP="00547ACE">
      <w:pPr>
        <w:pStyle w:val="FootnoteText"/>
      </w:pPr>
      <w:r w:rsidRPr="00BE0BC5">
        <w:rPr>
          <w:rStyle w:val="FootnoteReference"/>
          <w:sz w:val="16"/>
          <w:szCs w:val="16"/>
        </w:rPr>
        <w:footnoteRef/>
      </w:r>
      <w:r>
        <w:t xml:space="preserve"> </w:t>
      </w:r>
      <w:r>
        <w:rPr>
          <w:sz w:val="16"/>
          <w:szCs w:val="16"/>
        </w:rPr>
        <w:t xml:space="preserve">At the end of 2015, there were a total of </w:t>
      </w:r>
      <w:r w:rsidRPr="000C6814">
        <w:rPr>
          <w:sz w:val="16"/>
          <w:szCs w:val="16"/>
        </w:rPr>
        <w:t xml:space="preserve">29,567 gTLD </w:t>
      </w:r>
      <w:r>
        <w:rPr>
          <w:sz w:val="16"/>
          <w:szCs w:val="16"/>
        </w:rPr>
        <w:t xml:space="preserve">cases </w:t>
      </w:r>
      <w:r w:rsidRPr="000C6814">
        <w:rPr>
          <w:sz w:val="16"/>
          <w:szCs w:val="16"/>
        </w:rPr>
        <w:t>and 3,520 country code Top-Level Domains (ccTLD) ca</w:t>
      </w:r>
      <w:r w:rsidRPr="00043C9C">
        <w:rPr>
          <w:sz w:val="16"/>
          <w:szCs w:val="16"/>
        </w:rPr>
        <w:t>ses</w:t>
      </w:r>
      <w:r>
        <w:rPr>
          <w:sz w:val="16"/>
          <w:szCs w:val="16"/>
        </w:rPr>
        <w:t>.</w:t>
      </w:r>
    </w:p>
  </w:footnote>
  <w:footnote w:id="4">
    <w:p w:rsidR="000F38B9" w:rsidRPr="006A17C8" w:rsidRDefault="000F38B9" w:rsidP="00547ACE">
      <w:pPr>
        <w:pStyle w:val="FootnoteText"/>
      </w:pPr>
      <w:r w:rsidRPr="00B527D7">
        <w:rPr>
          <w:sz w:val="16"/>
          <w:szCs w:val="16"/>
          <w:vertAlign w:val="superscript"/>
        </w:rPr>
        <w:footnoteRef/>
      </w:r>
      <w:r w:rsidRPr="00B527D7">
        <w:rPr>
          <w:sz w:val="16"/>
          <w:szCs w:val="16"/>
        </w:rPr>
        <w:t xml:space="preserve"> The increase of 138 per cent in the demand for the DL advanced courses is related to the high participation of TISCs, in particular from Morocco, Madagascar and South Africa, and the increased availability of DL courses in all six UN languages by the end of 2015.</w:t>
      </w:r>
      <w:r>
        <w:t xml:space="preserve">  </w:t>
      </w:r>
    </w:p>
  </w:footnote>
  <w:footnote w:id="5">
    <w:p w:rsidR="000F38B9" w:rsidRPr="00E6263F" w:rsidRDefault="000F38B9" w:rsidP="00547ACE">
      <w:pPr>
        <w:pStyle w:val="FootnoteText"/>
        <w:rPr>
          <w:sz w:val="16"/>
          <w:szCs w:val="16"/>
        </w:rPr>
      </w:pPr>
      <w:r>
        <w:rPr>
          <w:rStyle w:val="FootnoteReference"/>
        </w:rPr>
        <w:footnoteRef/>
      </w:r>
      <w:proofErr w:type="gramStart"/>
      <w:r>
        <w:rPr>
          <w:sz w:val="16"/>
          <w:szCs w:val="16"/>
        </w:rPr>
        <w:t xml:space="preserve">Formerly called </w:t>
      </w:r>
      <w:r w:rsidRPr="004B16AA">
        <w:rPr>
          <w:sz w:val="16"/>
          <w:szCs w:val="16"/>
        </w:rPr>
        <w:t>Translation Assistant for Patent Titles and Abstracts (TAPTA)</w:t>
      </w:r>
      <w:r w:rsidRPr="00E6263F">
        <w:rPr>
          <w:sz w:val="16"/>
          <w:szCs w:val="16"/>
        </w:rPr>
        <w:t>.</w:t>
      </w:r>
      <w:proofErr w:type="gramEnd"/>
    </w:p>
  </w:footnote>
  <w:footnote w:id="6">
    <w:p w:rsidR="000F38B9" w:rsidRDefault="000F38B9" w:rsidP="00547ACE">
      <w:pPr>
        <w:pStyle w:val="FootnoteText"/>
      </w:pPr>
      <w:r>
        <w:rPr>
          <w:rStyle w:val="FootnoteReference"/>
        </w:rPr>
        <w:footnoteRef/>
      </w:r>
      <w:r>
        <w:t xml:space="preserve"> </w:t>
      </w:r>
      <w:r w:rsidRPr="00A870A2">
        <w:rPr>
          <w:sz w:val="16"/>
          <w:szCs w:val="16"/>
        </w:rPr>
        <w:t xml:space="preserve">In the PPR 2012/13, it was reported that reference to the </w:t>
      </w:r>
      <w:r w:rsidRPr="00A870A2">
        <w:rPr>
          <w:rFonts w:cs="Arial"/>
          <w:sz w:val="16"/>
          <w:szCs w:val="16"/>
        </w:rPr>
        <w:t xml:space="preserve">annual World IP Day campaign </w:t>
      </w:r>
      <w:r w:rsidRPr="00A870A2">
        <w:rPr>
          <w:sz w:val="16"/>
          <w:szCs w:val="16"/>
        </w:rPr>
        <w:t>was reported in 89 countries.  The actual number of countries reporting was 93.</w:t>
      </w:r>
    </w:p>
  </w:footnote>
  <w:footnote w:id="7">
    <w:p w:rsidR="000F38B9" w:rsidRPr="00CD26D6" w:rsidRDefault="000F38B9" w:rsidP="00E3403E">
      <w:pPr>
        <w:pStyle w:val="FootnoteText"/>
        <w:rPr>
          <w:sz w:val="16"/>
          <w:szCs w:val="16"/>
        </w:rPr>
      </w:pPr>
      <w:r>
        <w:rPr>
          <w:rStyle w:val="FootnoteReference"/>
        </w:rPr>
        <w:footnoteRef/>
      </w:r>
      <w:r>
        <w:t xml:space="preserve"> </w:t>
      </w:r>
      <w:r w:rsidRPr="00CD26D6">
        <w:rPr>
          <w:sz w:val="16"/>
          <w:szCs w:val="16"/>
        </w:rPr>
        <w:t xml:space="preserve">Consistent with past practice, countries with economies in transition </w:t>
      </w:r>
      <w:r>
        <w:rPr>
          <w:sz w:val="16"/>
          <w:szCs w:val="16"/>
        </w:rPr>
        <w:t>were</w:t>
      </w:r>
      <w:r w:rsidRPr="00CD26D6">
        <w:rPr>
          <w:sz w:val="16"/>
          <w:szCs w:val="16"/>
        </w:rPr>
        <w:t xml:space="preserve"> included for the purpose of the Program and Budget.</w:t>
      </w:r>
    </w:p>
  </w:footnote>
  <w:footnote w:id="8">
    <w:p w:rsidR="000F38B9" w:rsidRPr="00E92213" w:rsidRDefault="000F38B9" w:rsidP="00F56F17">
      <w:pPr>
        <w:pStyle w:val="FootnoteText"/>
        <w:rPr>
          <w:sz w:val="16"/>
          <w:szCs w:val="16"/>
        </w:rPr>
      </w:pPr>
      <w:r w:rsidRPr="00E92213">
        <w:rPr>
          <w:rStyle w:val="FootnoteReference"/>
          <w:sz w:val="16"/>
          <w:szCs w:val="16"/>
        </w:rPr>
        <w:footnoteRef/>
      </w:r>
      <w:r w:rsidRPr="00E92213">
        <w:rPr>
          <w:sz w:val="16"/>
          <w:szCs w:val="16"/>
        </w:rPr>
        <w:t xml:space="preserve"> The data reported in 2015 reflects a new methodology for calculating the percentage of satisfaction</w:t>
      </w:r>
      <w:r>
        <w:rPr>
          <w:sz w:val="16"/>
          <w:szCs w:val="16"/>
        </w:rPr>
        <w:t>.</w:t>
      </w:r>
    </w:p>
  </w:footnote>
  <w:footnote w:id="9">
    <w:p w:rsidR="000F38B9" w:rsidRPr="00EE0FB0" w:rsidRDefault="000F38B9" w:rsidP="00547ACE">
      <w:pPr>
        <w:pStyle w:val="FootnoteText"/>
        <w:rPr>
          <w:sz w:val="16"/>
          <w:szCs w:val="16"/>
        </w:rPr>
      </w:pPr>
      <w:r w:rsidRPr="00EE0FB0">
        <w:rPr>
          <w:rStyle w:val="FootnoteReference"/>
          <w:sz w:val="16"/>
          <w:szCs w:val="16"/>
        </w:rPr>
        <w:footnoteRef/>
      </w:r>
      <w:r w:rsidRPr="00EE0FB0">
        <w:rPr>
          <w:sz w:val="16"/>
          <w:szCs w:val="16"/>
        </w:rPr>
        <w:t xml:space="preserve"> </w:t>
      </w:r>
      <w:r>
        <w:rPr>
          <w:sz w:val="16"/>
          <w:szCs w:val="16"/>
        </w:rPr>
        <w:t xml:space="preserve">Report of the WIPO General Assembly forty-seventh session: </w:t>
      </w:r>
      <w:hyperlink r:id="rId1" w:history="1">
        <w:r w:rsidRPr="00013F8A">
          <w:rPr>
            <w:rStyle w:val="Hyperlink"/>
            <w:sz w:val="16"/>
            <w:szCs w:val="16"/>
          </w:rPr>
          <w:t>WO/GA/47/19</w:t>
        </w:r>
      </w:hyperlink>
    </w:p>
  </w:footnote>
  <w:footnote w:id="10">
    <w:p w:rsidR="000F38B9" w:rsidRDefault="000F38B9" w:rsidP="008A4774">
      <w:pPr>
        <w:pStyle w:val="FootnoteText"/>
      </w:pPr>
      <w:r>
        <w:rPr>
          <w:rStyle w:val="FootnoteReference"/>
        </w:rPr>
        <w:footnoteRef/>
      </w:r>
      <w:r>
        <w:t xml:space="preserve"> </w:t>
      </w:r>
      <w:r w:rsidRPr="00FE6CAD">
        <w:rPr>
          <w:sz w:val="16"/>
          <w:szCs w:val="16"/>
        </w:rPr>
        <w:t>Corrigendum: The number of requests for communication under Article 6</w:t>
      </w:r>
      <w:r w:rsidRPr="00FE6CAD">
        <w:rPr>
          <w:i/>
          <w:sz w:val="16"/>
          <w:szCs w:val="16"/>
        </w:rPr>
        <w:t>ter</w:t>
      </w:r>
      <w:r w:rsidRPr="00FE6CAD">
        <w:rPr>
          <w:sz w:val="16"/>
          <w:szCs w:val="16"/>
        </w:rPr>
        <w:t xml:space="preserve"> dealt with in 2012 was actually 69, as reported in the PPR 2012/13.</w:t>
      </w:r>
    </w:p>
  </w:footnote>
  <w:footnote w:id="11">
    <w:p w:rsidR="000F38B9" w:rsidRPr="00FE6CAD" w:rsidRDefault="000F38B9" w:rsidP="008A4774">
      <w:pPr>
        <w:pStyle w:val="FootnoteText"/>
        <w:rPr>
          <w:sz w:val="16"/>
          <w:szCs w:val="16"/>
        </w:rPr>
      </w:pPr>
      <w:r>
        <w:rPr>
          <w:rStyle w:val="FootnoteReference"/>
        </w:rPr>
        <w:footnoteRef/>
      </w:r>
      <w:r>
        <w:t xml:space="preserve"> </w:t>
      </w:r>
      <w:r w:rsidRPr="00FE6CAD">
        <w:rPr>
          <w:sz w:val="16"/>
          <w:szCs w:val="16"/>
        </w:rPr>
        <w:t xml:space="preserve">Corrigendum: The number of signs published in Article </w:t>
      </w:r>
      <w:r w:rsidRPr="00845557">
        <w:rPr>
          <w:i/>
          <w:sz w:val="16"/>
          <w:szCs w:val="16"/>
        </w:rPr>
        <w:t>6</w:t>
      </w:r>
      <w:r w:rsidRPr="00304D88">
        <w:rPr>
          <w:i/>
          <w:sz w:val="16"/>
          <w:szCs w:val="16"/>
        </w:rPr>
        <w:t>ter</w:t>
      </w:r>
      <w:r w:rsidRPr="00845557">
        <w:rPr>
          <w:i/>
          <w:sz w:val="16"/>
          <w:szCs w:val="16"/>
        </w:rPr>
        <w:t xml:space="preserve"> </w:t>
      </w:r>
      <w:r w:rsidRPr="00FE6CAD">
        <w:rPr>
          <w:sz w:val="16"/>
          <w:szCs w:val="16"/>
        </w:rPr>
        <w:t>database at the end of 2012 was actually 84, as reported in the PPR 2012/13.</w:t>
      </w:r>
    </w:p>
  </w:footnote>
  <w:footnote w:id="12">
    <w:p w:rsidR="000F38B9" w:rsidRDefault="000F38B9" w:rsidP="008A4774">
      <w:pPr>
        <w:pStyle w:val="FootnoteText"/>
      </w:pPr>
      <w:r w:rsidRPr="00FE6CAD">
        <w:rPr>
          <w:rStyle w:val="FootnoteReference"/>
          <w:sz w:val="16"/>
          <w:szCs w:val="16"/>
        </w:rPr>
        <w:footnoteRef/>
      </w:r>
      <w:r w:rsidRPr="00FE6CAD">
        <w:rPr>
          <w:sz w:val="16"/>
          <w:szCs w:val="16"/>
        </w:rPr>
        <w:t xml:space="preserve"> The target refers to the number of signs published during the biennium 2014/15.</w:t>
      </w:r>
    </w:p>
  </w:footnote>
  <w:footnote w:id="13">
    <w:p w:rsidR="000F38B9" w:rsidRPr="002F1170" w:rsidRDefault="000F38B9">
      <w:pPr>
        <w:pStyle w:val="FootnoteText"/>
        <w:rPr>
          <w:sz w:val="16"/>
          <w:szCs w:val="16"/>
        </w:rPr>
      </w:pPr>
      <w:r w:rsidRPr="002F1170">
        <w:rPr>
          <w:rStyle w:val="FootnoteReference"/>
          <w:sz w:val="16"/>
          <w:szCs w:val="16"/>
        </w:rPr>
        <w:footnoteRef/>
      </w:r>
      <w:r w:rsidRPr="002F1170">
        <w:rPr>
          <w:sz w:val="16"/>
          <w:szCs w:val="16"/>
        </w:rPr>
        <w:t xml:space="preserve"> http://www.bakermckenzie.com/intellectualproperty/csh2014/</w:t>
      </w:r>
    </w:p>
  </w:footnote>
  <w:footnote w:id="14">
    <w:p w:rsidR="000F38B9" w:rsidRPr="002B53C9" w:rsidRDefault="000F38B9">
      <w:pPr>
        <w:pStyle w:val="FootnoteText"/>
        <w:rPr>
          <w:sz w:val="16"/>
          <w:szCs w:val="16"/>
        </w:rPr>
      </w:pPr>
      <w:r w:rsidRPr="002B53C9">
        <w:rPr>
          <w:rStyle w:val="FootnoteReference"/>
          <w:sz w:val="16"/>
          <w:szCs w:val="16"/>
        </w:rPr>
        <w:footnoteRef/>
      </w:r>
      <w:r w:rsidRPr="002B53C9">
        <w:rPr>
          <w:sz w:val="16"/>
          <w:szCs w:val="16"/>
        </w:rPr>
        <w:t xml:space="preserve"> </w:t>
      </w:r>
      <w:r>
        <w:rPr>
          <w:sz w:val="16"/>
          <w:szCs w:val="16"/>
        </w:rPr>
        <w:t>Corrigendum:  The countries listed above reflect a more systematic tracking system for monitoring the TAG, which was implemented in 2015.  In 2014, Cape Verde and Ethiopia had not formally signed an expression of interest, as reflected in the PPR 2014.</w:t>
      </w:r>
    </w:p>
  </w:footnote>
  <w:footnote w:id="15">
    <w:p w:rsidR="000F38B9" w:rsidRDefault="000F38B9">
      <w:pPr>
        <w:pStyle w:val="FootnoteText"/>
      </w:pPr>
      <w:r>
        <w:rPr>
          <w:rStyle w:val="FootnoteReference"/>
        </w:rPr>
        <w:footnoteRef/>
      </w:r>
      <w:r>
        <w:t xml:space="preserve"> </w:t>
      </w:r>
      <w:r w:rsidRPr="00E13322">
        <w:rPr>
          <w:sz w:val="16"/>
          <w:szCs w:val="16"/>
        </w:rPr>
        <w:t xml:space="preserve">Corrigendum: Due to a clerical error, it was inadvertently reported that there were 18 </w:t>
      </w:r>
      <w:r>
        <w:rPr>
          <w:sz w:val="16"/>
          <w:szCs w:val="16"/>
        </w:rPr>
        <w:t>c</w:t>
      </w:r>
      <w:r w:rsidRPr="00E13322">
        <w:rPr>
          <w:sz w:val="16"/>
          <w:szCs w:val="16"/>
        </w:rPr>
        <w:t>opyright offices using GDA at the end of 2013.  The cumulative number was actually 15, which was in line with the target of 15 offices set or the 2012/13 biennium.</w:t>
      </w:r>
    </w:p>
  </w:footnote>
  <w:footnote w:id="16">
    <w:p w:rsidR="000F38B9" w:rsidRDefault="000F38B9">
      <w:pPr>
        <w:pStyle w:val="FootnoteText"/>
      </w:pPr>
      <w:r w:rsidRPr="000E6F6E">
        <w:rPr>
          <w:rStyle w:val="FootnoteReference"/>
          <w:sz w:val="18"/>
        </w:rPr>
        <w:footnoteRef/>
      </w:r>
      <w:r>
        <w:t xml:space="preserve"> </w:t>
      </w:r>
      <w:r w:rsidRPr="00BF59A0">
        <w:rPr>
          <w:sz w:val="16"/>
          <w:szCs w:val="16"/>
        </w:rPr>
        <w:t>http://www.wipo.int/edocs/pubdocs/en/wipo_pub_1043.pdf</w:t>
      </w:r>
    </w:p>
  </w:footnote>
  <w:footnote w:id="17">
    <w:p w:rsidR="000F38B9" w:rsidRPr="006A50BE" w:rsidRDefault="000F38B9" w:rsidP="00F11DB9">
      <w:pPr>
        <w:rPr>
          <w:rFonts w:cs="Arial"/>
        </w:rPr>
      </w:pPr>
      <w:r w:rsidRPr="006C26D8">
        <w:rPr>
          <w:rStyle w:val="FootnoteReference"/>
          <w:sz w:val="16"/>
          <w:szCs w:val="16"/>
        </w:rPr>
        <w:footnoteRef/>
      </w:r>
      <w:r>
        <w:rPr>
          <w:sz w:val="16"/>
          <w:szCs w:val="16"/>
        </w:rPr>
        <w:t xml:space="preserve"> </w:t>
      </w:r>
      <w:r w:rsidRPr="006C26D8">
        <w:rPr>
          <w:sz w:val="16"/>
          <w:szCs w:val="16"/>
        </w:rPr>
        <w:t>Exceptionally</w:t>
      </w:r>
      <w:r>
        <w:rPr>
          <w:sz w:val="16"/>
          <w:szCs w:val="16"/>
        </w:rPr>
        <w:t>,</w:t>
      </w:r>
      <w:r w:rsidRPr="006C26D8">
        <w:rPr>
          <w:sz w:val="16"/>
          <w:szCs w:val="16"/>
        </w:rPr>
        <w:t xml:space="preserve"> the </w:t>
      </w:r>
      <w:r w:rsidRPr="006C26D8">
        <w:rPr>
          <w:rFonts w:cs="Arial"/>
          <w:sz w:val="16"/>
          <w:szCs w:val="16"/>
        </w:rPr>
        <w:t>original target “</w:t>
      </w:r>
      <w:r w:rsidRPr="002463A9">
        <w:rPr>
          <w:rFonts w:cs="Arial"/>
          <w:sz w:val="16"/>
          <w:szCs w:val="16"/>
        </w:rPr>
        <w:t xml:space="preserve">Decisions by appropriate PCT bodies up to the end of 2015” has been changed in order to better </w:t>
      </w:r>
      <w:r>
        <w:rPr>
          <w:rFonts w:cs="Arial"/>
          <w:sz w:val="16"/>
          <w:szCs w:val="16"/>
        </w:rPr>
        <w:t xml:space="preserve">enable the measurement of the progress made towards </w:t>
      </w:r>
      <w:r w:rsidRPr="006C26D8">
        <w:rPr>
          <w:rFonts w:cs="Arial"/>
          <w:sz w:val="16"/>
          <w:szCs w:val="16"/>
        </w:rPr>
        <w:t>further develop</w:t>
      </w:r>
      <w:r>
        <w:rPr>
          <w:rFonts w:cs="Arial"/>
          <w:sz w:val="16"/>
          <w:szCs w:val="16"/>
        </w:rPr>
        <w:t>ing</w:t>
      </w:r>
      <w:r w:rsidRPr="006C26D8">
        <w:rPr>
          <w:rFonts w:cs="Arial"/>
          <w:sz w:val="16"/>
          <w:szCs w:val="16"/>
        </w:rPr>
        <w:t xml:space="preserve"> the PCT system in line with the PCT roadmap recommendations</w:t>
      </w:r>
      <w:r>
        <w:rPr>
          <w:rFonts w:cs="Arial"/>
          <w:sz w:val="16"/>
          <w:szCs w:val="16"/>
        </w:rPr>
        <w:t xml:space="preserve">. </w:t>
      </w:r>
    </w:p>
  </w:footnote>
  <w:footnote w:id="18">
    <w:p w:rsidR="000F38B9" w:rsidRPr="00CE1D82" w:rsidRDefault="000F38B9" w:rsidP="00F11DB9">
      <w:pPr>
        <w:rPr>
          <w:i/>
        </w:rPr>
      </w:pPr>
      <w:r>
        <w:rPr>
          <w:rStyle w:val="FootnoteReference"/>
        </w:rPr>
        <w:footnoteRef/>
      </w:r>
      <w:r>
        <w:t xml:space="preserve"> </w:t>
      </w:r>
      <w:r>
        <w:rPr>
          <w:rFonts w:cs="Arial"/>
          <w:sz w:val="16"/>
          <w:szCs w:val="16"/>
        </w:rPr>
        <w:t>The</w:t>
      </w:r>
      <w:r w:rsidRPr="000A156B">
        <w:rPr>
          <w:rFonts w:cs="Arial"/>
          <w:sz w:val="16"/>
          <w:szCs w:val="16"/>
        </w:rPr>
        <w:t xml:space="preserve"> increase</w:t>
      </w:r>
      <w:r>
        <w:rPr>
          <w:rFonts w:cs="Arial"/>
          <w:sz w:val="16"/>
          <w:szCs w:val="16"/>
        </w:rPr>
        <w:t xml:space="preserve"> in the unit cost in 2015</w:t>
      </w:r>
      <w:r w:rsidRPr="000A156B">
        <w:rPr>
          <w:rFonts w:cs="Arial"/>
          <w:sz w:val="16"/>
          <w:szCs w:val="16"/>
        </w:rPr>
        <w:t xml:space="preserve"> was due to higher direct and indirect expenditures, combined with a lower number of applications published in 2015</w:t>
      </w:r>
      <w:r>
        <w:rPr>
          <w:rFonts w:cs="Arial"/>
          <w:sz w:val="16"/>
          <w:szCs w:val="16"/>
        </w:rPr>
        <w:t xml:space="preserve"> as</w:t>
      </w:r>
      <w:r w:rsidRPr="000A156B">
        <w:rPr>
          <w:rFonts w:cs="Arial"/>
          <w:sz w:val="16"/>
          <w:szCs w:val="16"/>
        </w:rPr>
        <w:t xml:space="preserve"> compared to 2014.</w:t>
      </w:r>
      <w:r>
        <w:rPr>
          <w:rFonts w:cs="Arial"/>
          <w:sz w:val="16"/>
          <w:szCs w:val="16"/>
        </w:rPr>
        <w:t xml:space="preserve">  </w:t>
      </w:r>
      <w:r w:rsidRPr="00CE1D82">
        <w:rPr>
          <w:rFonts w:cs="Arial"/>
          <w:sz w:val="16"/>
          <w:szCs w:val="16"/>
        </w:rPr>
        <w:t xml:space="preserve">For a more </w:t>
      </w:r>
      <w:r>
        <w:rPr>
          <w:rFonts w:cs="Arial"/>
          <w:sz w:val="16"/>
          <w:szCs w:val="16"/>
        </w:rPr>
        <w:t>detailed</w:t>
      </w:r>
      <w:r w:rsidRPr="00CE1D82">
        <w:rPr>
          <w:rFonts w:cs="Arial"/>
          <w:sz w:val="16"/>
          <w:szCs w:val="16"/>
        </w:rPr>
        <w:t xml:space="preserve"> explanation, please see</w:t>
      </w:r>
      <w:r>
        <w:rPr>
          <w:rFonts w:cs="Arial"/>
          <w:sz w:val="16"/>
          <w:szCs w:val="16"/>
        </w:rPr>
        <w:t xml:space="preserve"> the section ‘</w:t>
      </w:r>
      <w:r w:rsidRPr="003D6AF9">
        <w:rPr>
          <w:sz w:val="16"/>
          <w:szCs w:val="16"/>
        </w:rPr>
        <w:t>Unit cost of processing an application’</w:t>
      </w:r>
      <w:r>
        <w:rPr>
          <w:sz w:val="16"/>
          <w:szCs w:val="16"/>
        </w:rPr>
        <w:t xml:space="preserve"> in</w:t>
      </w:r>
      <w:r w:rsidRPr="00CE1D82">
        <w:rPr>
          <w:rFonts w:cs="Arial"/>
          <w:sz w:val="16"/>
          <w:szCs w:val="16"/>
        </w:rPr>
        <w:t xml:space="preserve"> the Annex</w:t>
      </w:r>
      <w:r>
        <w:rPr>
          <w:rFonts w:cs="Arial"/>
          <w:sz w:val="16"/>
          <w:szCs w:val="16"/>
        </w:rPr>
        <w:t>: Indicators for PCT Operations</w:t>
      </w:r>
      <w:r w:rsidRPr="00095B3C">
        <w:rPr>
          <w:sz w:val="16"/>
          <w:szCs w:val="16"/>
        </w:rPr>
        <w:t>.</w:t>
      </w:r>
    </w:p>
    <w:p w:rsidR="000F38B9" w:rsidRPr="00430AA7" w:rsidRDefault="000F38B9" w:rsidP="00F11DB9">
      <w:pPr>
        <w:pStyle w:val="FootnoteText"/>
      </w:pPr>
    </w:p>
  </w:footnote>
  <w:footnote w:id="19">
    <w:p w:rsidR="000F38B9" w:rsidRPr="00C765F9" w:rsidRDefault="000F38B9">
      <w:pPr>
        <w:pStyle w:val="FootnoteText"/>
        <w:rPr>
          <w:sz w:val="16"/>
          <w:szCs w:val="16"/>
        </w:rPr>
      </w:pPr>
      <w:r w:rsidRPr="00C765F9">
        <w:rPr>
          <w:rStyle w:val="FootnoteReference"/>
          <w:sz w:val="16"/>
          <w:szCs w:val="16"/>
        </w:rPr>
        <w:footnoteRef/>
      </w:r>
      <w:r w:rsidRPr="00C765F9">
        <w:rPr>
          <w:sz w:val="16"/>
          <w:szCs w:val="16"/>
        </w:rPr>
        <w:t xml:space="preserve"> The updated figure, as compared to the figure (95.3</w:t>
      </w:r>
      <w:r>
        <w:rPr>
          <w:sz w:val="16"/>
          <w:szCs w:val="16"/>
        </w:rPr>
        <w:t xml:space="preserve"> per cent</w:t>
      </w:r>
      <w:r w:rsidRPr="00C765F9">
        <w:rPr>
          <w:sz w:val="16"/>
          <w:szCs w:val="16"/>
        </w:rPr>
        <w:t xml:space="preserve">) published in the PPR 2014, was calculated using the most </w:t>
      </w:r>
      <w:r>
        <w:rPr>
          <w:sz w:val="16"/>
          <w:szCs w:val="16"/>
        </w:rPr>
        <w:br/>
      </w:r>
      <w:r w:rsidRPr="00C765F9">
        <w:rPr>
          <w:sz w:val="16"/>
          <w:szCs w:val="16"/>
        </w:rPr>
        <w:t>up-to-date data.</w:t>
      </w:r>
    </w:p>
  </w:footnote>
  <w:footnote w:id="20">
    <w:p w:rsidR="000F38B9" w:rsidRPr="00F907A7" w:rsidRDefault="000F38B9" w:rsidP="00E023E5">
      <w:pPr>
        <w:tabs>
          <w:tab w:val="left" w:pos="330"/>
        </w:tabs>
        <w:spacing w:after="120"/>
        <w:rPr>
          <w:sz w:val="16"/>
          <w:szCs w:val="16"/>
        </w:rPr>
      </w:pPr>
      <w:r w:rsidRPr="000D2666">
        <w:rPr>
          <w:rStyle w:val="FootnoteReference"/>
        </w:rPr>
        <w:footnoteRef/>
      </w:r>
      <w:r w:rsidRPr="000D2666">
        <w:rPr>
          <w:sz w:val="18"/>
        </w:rPr>
        <w:t xml:space="preserve"> </w:t>
      </w:r>
      <w:r w:rsidRPr="00F907A7">
        <w:rPr>
          <w:sz w:val="16"/>
          <w:szCs w:val="16"/>
        </w:rPr>
        <w:t xml:space="preserve">A record copy is a PCT application transmitted to the International Bureau </w:t>
      </w:r>
      <w:r>
        <w:rPr>
          <w:sz w:val="16"/>
          <w:szCs w:val="16"/>
        </w:rPr>
        <w:t xml:space="preserve">(IB) </w:t>
      </w:r>
      <w:r w:rsidRPr="00F907A7">
        <w:rPr>
          <w:sz w:val="16"/>
          <w:szCs w:val="16"/>
        </w:rPr>
        <w:t xml:space="preserve">by a receiving </w:t>
      </w:r>
      <w:r>
        <w:rPr>
          <w:sz w:val="16"/>
          <w:szCs w:val="16"/>
        </w:rPr>
        <w:t>O</w:t>
      </w:r>
      <w:r w:rsidRPr="00F907A7">
        <w:rPr>
          <w:sz w:val="16"/>
          <w:szCs w:val="16"/>
        </w:rPr>
        <w:t xml:space="preserve">ffice after its filing at, and </w:t>
      </w:r>
      <w:proofErr w:type="gramStart"/>
      <w:r w:rsidRPr="00F907A7">
        <w:rPr>
          <w:sz w:val="16"/>
          <w:szCs w:val="16"/>
        </w:rPr>
        <w:t>its</w:t>
      </w:r>
      <w:proofErr w:type="gramEnd"/>
      <w:r w:rsidRPr="00F907A7">
        <w:rPr>
          <w:sz w:val="16"/>
          <w:szCs w:val="16"/>
        </w:rPr>
        <w:t xml:space="preserve"> processing by, that </w:t>
      </w:r>
      <w:r>
        <w:rPr>
          <w:sz w:val="16"/>
          <w:szCs w:val="16"/>
        </w:rPr>
        <w:t>O</w:t>
      </w:r>
      <w:r w:rsidRPr="00F907A7">
        <w:rPr>
          <w:sz w:val="16"/>
          <w:szCs w:val="16"/>
        </w:rPr>
        <w:t>ffice.  B</w:t>
      </w:r>
      <w:r w:rsidRPr="00F907A7">
        <w:rPr>
          <w:sz w:val="16"/>
          <w:szCs w:val="16"/>
          <w:lang w:val="en-GB"/>
        </w:rPr>
        <w:t>ecause record copies are only received at the IB after processing at a receiving Office, the figures are strongly influenced by processing times at the</w:t>
      </w:r>
      <w:r>
        <w:rPr>
          <w:sz w:val="16"/>
          <w:szCs w:val="16"/>
          <w:lang w:val="en-GB"/>
        </w:rPr>
        <w:t>se</w:t>
      </w:r>
      <w:r w:rsidRPr="00F907A7">
        <w:rPr>
          <w:sz w:val="16"/>
          <w:szCs w:val="16"/>
          <w:lang w:val="en-GB"/>
        </w:rPr>
        <w:t xml:space="preserve"> Offices. </w:t>
      </w:r>
      <w:r>
        <w:rPr>
          <w:sz w:val="16"/>
          <w:szCs w:val="16"/>
          <w:lang w:val="en-GB"/>
        </w:rPr>
        <w:t xml:space="preserve"> </w:t>
      </w:r>
      <w:r w:rsidRPr="00F907A7">
        <w:rPr>
          <w:sz w:val="16"/>
          <w:szCs w:val="16"/>
          <w:lang w:val="en-GB"/>
        </w:rPr>
        <w:t xml:space="preserve">For this reason, trends in the receipt of record copies, while valid indicators of IB </w:t>
      </w:r>
      <w:proofErr w:type="gramStart"/>
      <w:r w:rsidRPr="00F907A7">
        <w:rPr>
          <w:sz w:val="16"/>
          <w:szCs w:val="16"/>
          <w:lang w:val="en-GB"/>
        </w:rPr>
        <w:t>workloads</w:t>
      </w:r>
      <w:r>
        <w:rPr>
          <w:sz w:val="16"/>
          <w:szCs w:val="16"/>
          <w:lang w:val="en-GB"/>
        </w:rPr>
        <w:t>,</w:t>
      </w:r>
      <w:proofErr w:type="gramEnd"/>
      <w:r w:rsidRPr="00F907A7">
        <w:rPr>
          <w:sz w:val="16"/>
          <w:szCs w:val="16"/>
          <w:lang w:val="en-GB"/>
        </w:rPr>
        <w:t xml:space="preserve"> do no</w:t>
      </w:r>
      <w:r>
        <w:rPr>
          <w:sz w:val="16"/>
          <w:szCs w:val="16"/>
          <w:lang w:val="en-GB"/>
        </w:rPr>
        <w:t xml:space="preserve"> exactly match trends in the filing</w:t>
      </w:r>
      <w:r w:rsidRPr="00F907A7">
        <w:rPr>
          <w:sz w:val="16"/>
          <w:szCs w:val="16"/>
          <w:lang w:val="en-GB"/>
        </w:rPr>
        <w:t xml:space="preserve"> of PCT applications.</w:t>
      </w:r>
    </w:p>
  </w:footnote>
  <w:footnote w:id="21">
    <w:p w:rsidR="000F38B9" w:rsidRPr="000D2666" w:rsidRDefault="000F38B9" w:rsidP="00E023E5">
      <w:r w:rsidRPr="000D2666">
        <w:rPr>
          <w:rStyle w:val="FootnoteReference"/>
          <w:sz w:val="18"/>
          <w:szCs w:val="18"/>
        </w:rPr>
        <w:footnoteRef/>
      </w:r>
      <w:r w:rsidRPr="000D2666">
        <w:rPr>
          <w:sz w:val="18"/>
          <w:szCs w:val="18"/>
        </w:rPr>
        <w:t xml:space="preserve"> </w:t>
      </w:r>
      <w:r w:rsidRPr="000D2666">
        <w:rPr>
          <w:sz w:val="16"/>
          <w:szCs w:val="18"/>
        </w:rPr>
        <w:t xml:space="preserve">Following an independent review of PCTIS performance metrics, its definition slightly changed from the one </w:t>
      </w:r>
      <w:r w:rsidRPr="000D2666">
        <w:rPr>
          <w:sz w:val="16"/>
          <w:szCs w:val="18"/>
          <w:lang w:val="en-GB"/>
        </w:rPr>
        <w:t>described in the Program and Budget 2014/15</w:t>
      </w:r>
    </w:p>
  </w:footnote>
  <w:footnote w:id="22">
    <w:p w:rsidR="000F38B9" w:rsidRPr="000C22A0" w:rsidRDefault="000F38B9">
      <w:pPr>
        <w:pStyle w:val="FootnoteText"/>
        <w:rPr>
          <w:sz w:val="16"/>
          <w:szCs w:val="16"/>
        </w:rPr>
      </w:pPr>
      <w:r w:rsidRPr="000C22A0">
        <w:rPr>
          <w:rStyle w:val="FootnoteReference"/>
          <w:sz w:val="16"/>
          <w:szCs w:val="16"/>
        </w:rPr>
        <w:footnoteRef/>
      </w:r>
      <w:r w:rsidRPr="000C22A0">
        <w:rPr>
          <w:sz w:val="16"/>
          <w:szCs w:val="16"/>
        </w:rPr>
        <w:t xml:space="preserve"> </w:t>
      </w:r>
      <w:r>
        <w:rPr>
          <w:sz w:val="16"/>
          <w:szCs w:val="16"/>
        </w:rPr>
        <w:t xml:space="preserve"> Data was updated to reflect the most recent figures since the finalization of the PPR 2014.</w:t>
      </w:r>
    </w:p>
  </w:footnote>
  <w:footnote w:id="23">
    <w:p w:rsidR="000F38B9" w:rsidRPr="000C22A0" w:rsidRDefault="000F38B9">
      <w:pPr>
        <w:pStyle w:val="FootnoteText"/>
        <w:rPr>
          <w:sz w:val="16"/>
          <w:szCs w:val="16"/>
        </w:rPr>
      </w:pPr>
      <w:r w:rsidRPr="000C22A0">
        <w:rPr>
          <w:rStyle w:val="FootnoteReference"/>
          <w:sz w:val="16"/>
          <w:szCs w:val="16"/>
        </w:rPr>
        <w:footnoteRef/>
      </w:r>
      <w:r w:rsidRPr="000C22A0">
        <w:rPr>
          <w:sz w:val="16"/>
          <w:szCs w:val="16"/>
        </w:rPr>
        <w:t xml:space="preserve"> </w:t>
      </w:r>
      <w:r>
        <w:rPr>
          <w:sz w:val="16"/>
          <w:szCs w:val="16"/>
        </w:rPr>
        <w:t xml:space="preserve"> </w:t>
      </w:r>
      <w:r w:rsidRPr="00C765F9">
        <w:rPr>
          <w:sz w:val="16"/>
          <w:szCs w:val="16"/>
        </w:rPr>
        <w:t>The updated figure, as compared to the figure (95.3</w:t>
      </w:r>
      <w:r>
        <w:rPr>
          <w:sz w:val="16"/>
          <w:szCs w:val="16"/>
        </w:rPr>
        <w:t xml:space="preserve"> per cent</w:t>
      </w:r>
      <w:r w:rsidRPr="00C765F9">
        <w:rPr>
          <w:sz w:val="16"/>
          <w:szCs w:val="16"/>
        </w:rPr>
        <w:t xml:space="preserve">) published in the PPR 2014, was calculated using the most </w:t>
      </w:r>
      <w:r>
        <w:rPr>
          <w:sz w:val="16"/>
          <w:szCs w:val="16"/>
        </w:rPr>
        <w:br/>
      </w:r>
      <w:r w:rsidRPr="00C765F9">
        <w:rPr>
          <w:sz w:val="16"/>
          <w:szCs w:val="16"/>
        </w:rPr>
        <w:t>up-to-date data.</w:t>
      </w:r>
    </w:p>
  </w:footnote>
  <w:footnote w:id="24">
    <w:p w:rsidR="000F38B9" w:rsidRDefault="000F38B9">
      <w:pPr>
        <w:pStyle w:val="FootnoteText"/>
      </w:pPr>
      <w:r w:rsidRPr="005B3335">
        <w:rPr>
          <w:rStyle w:val="FootnoteReference"/>
          <w:sz w:val="16"/>
          <w:szCs w:val="16"/>
        </w:rPr>
        <w:footnoteRef/>
      </w:r>
      <w:r>
        <w:t xml:space="preserve"> </w:t>
      </w:r>
      <w:r>
        <w:rPr>
          <w:sz w:val="16"/>
          <w:szCs w:val="16"/>
        </w:rPr>
        <w:t>Corrigendum: The percentage of irregularities at the end of 2013 was 32 per cent and not 36 per cent as reflected in the PPR 2014.</w:t>
      </w:r>
    </w:p>
  </w:footnote>
  <w:footnote w:id="25">
    <w:p w:rsidR="000F38B9" w:rsidRPr="00E808CB" w:rsidRDefault="000F38B9">
      <w:pPr>
        <w:pStyle w:val="FootnoteText"/>
        <w:rPr>
          <w:sz w:val="16"/>
          <w:szCs w:val="16"/>
        </w:rPr>
      </w:pPr>
      <w:r w:rsidRPr="00E808CB">
        <w:rPr>
          <w:rStyle w:val="FootnoteReference"/>
          <w:sz w:val="16"/>
          <w:szCs w:val="16"/>
        </w:rPr>
        <w:footnoteRef/>
      </w:r>
      <w:r w:rsidRPr="00E808CB">
        <w:rPr>
          <w:sz w:val="16"/>
          <w:szCs w:val="16"/>
        </w:rPr>
        <w:t xml:space="preserve"> Corrigendum: The percentage of irregularities at the end of 2012 was 32 per cent</w:t>
      </w:r>
      <w:r>
        <w:rPr>
          <w:sz w:val="16"/>
          <w:szCs w:val="16"/>
        </w:rPr>
        <w:t xml:space="preserve"> and not 34 per cent as reflected in the PPR 2014 and the Program and budget 2014/15.</w:t>
      </w:r>
    </w:p>
  </w:footnote>
  <w:footnote w:id="26">
    <w:p w:rsidR="000F38B9" w:rsidRPr="00287BA8" w:rsidRDefault="000F38B9">
      <w:pPr>
        <w:pStyle w:val="FootnoteText"/>
        <w:rPr>
          <w:sz w:val="16"/>
          <w:szCs w:val="16"/>
        </w:rPr>
      </w:pPr>
      <w:r w:rsidRPr="00287BA8">
        <w:rPr>
          <w:rStyle w:val="FootnoteReference"/>
          <w:sz w:val="16"/>
          <w:szCs w:val="16"/>
        </w:rPr>
        <w:footnoteRef/>
      </w:r>
      <w:r w:rsidRPr="00287BA8">
        <w:rPr>
          <w:sz w:val="16"/>
          <w:szCs w:val="16"/>
        </w:rPr>
        <w:t xml:space="preserve"> Corrigendum: In the PPR 2014, the percentage of irregularities was incorrectly reflected as</w:t>
      </w:r>
      <w:r>
        <w:rPr>
          <w:sz w:val="16"/>
          <w:szCs w:val="16"/>
        </w:rPr>
        <w:t xml:space="preserve"> 36 per cent</w:t>
      </w:r>
      <w:r w:rsidRPr="00287BA8">
        <w:rPr>
          <w:sz w:val="16"/>
          <w:szCs w:val="16"/>
        </w:rPr>
        <w:t xml:space="preserve"> in the Performance Data Table.  The correct percentage was 34 per cent.</w:t>
      </w:r>
    </w:p>
  </w:footnote>
  <w:footnote w:id="27">
    <w:p w:rsidR="000F38B9" w:rsidRPr="00D63292" w:rsidRDefault="000F38B9">
      <w:pPr>
        <w:pStyle w:val="FootnoteText"/>
        <w:rPr>
          <w:sz w:val="16"/>
          <w:szCs w:val="16"/>
        </w:rPr>
      </w:pPr>
      <w:r w:rsidRPr="00D63292">
        <w:rPr>
          <w:rStyle w:val="FootnoteReference"/>
          <w:sz w:val="16"/>
          <w:szCs w:val="16"/>
        </w:rPr>
        <w:footnoteRef/>
      </w:r>
      <w:r w:rsidRPr="00D63292">
        <w:rPr>
          <w:sz w:val="16"/>
          <w:szCs w:val="16"/>
        </w:rPr>
        <w:t xml:space="preserve"> </w:t>
      </w:r>
      <w:r>
        <w:rPr>
          <w:sz w:val="16"/>
          <w:szCs w:val="16"/>
        </w:rPr>
        <w:t xml:space="preserve"> The target figure for 2014: Registrations and renewals (71,676).</w:t>
      </w:r>
    </w:p>
  </w:footnote>
  <w:footnote w:id="28">
    <w:p w:rsidR="000F38B9" w:rsidRDefault="000F38B9">
      <w:pPr>
        <w:pStyle w:val="FootnoteText"/>
      </w:pPr>
      <w:r w:rsidRPr="00BA6F3B">
        <w:rPr>
          <w:rStyle w:val="FootnoteReference"/>
          <w:sz w:val="16"/>
        </w:rPr>
        <w:footnoteRef/>
      </w:r>
      <w:r>
        <w:t xml:space="preserve"> </w:t>
      </w:r>
      <w:r>
        <w:rPr>
          <w:sz w:val="16"/>
          <w:szCs w:val="16"/>
        </w:rPr>
        <w:t>The percentage change and the rating</w:t>
      </w:r>
      <w:r w:rsidRPr="00D63292">
        <w:rPr>
          <w:sz w:val="16"/>
          <w:szCs w:val="16"/>
        </w:rPr>
        <w:t xml:space="preserve"> for 2015 are calculat</w:t>
      </w:r>
      <w:r>
        <w:rPr>
          <w:sz w:val="16"/>
          <w:szCs w:val="16"/>
        </w:rPr>
        <w:t>ed using the 2014 target figure, i.e. assuming that the target</w:t>
      </w:r>
      <w:r w:rsidRPr="00D63292">
        <w:rPr>
          <w:sz w:val="16"/>
          <w:szCs w:val="16"/>
        </w:rPr>
        <w:t xml:space="preserve"> for 2014 had been met</w:t>
      </w:r>
      <w:r>
        <w:rPr>
          <w:sz w:val="16"/>
          <w:szCs w:val="16"/>
        </w:rPr>
        <w:t>.  The actual percentage change</w:t>
      </w:r>
      <w:r w:rsidRPr="00D63292">
        <w:rPr>
          <w:sz w:val="16"/>
          <w:szCs w:val="16"/>
        </w:rPr>
        <w:t xml:space="preserve"> from 2014 to 2015 </w:t>
      </w:r>
      <w:r>
        <w:rPr>
          <w:sz w:val="16"/>
          <w:szCs w:val="16"/>
        </w:rPr>
        <w:t>was an increase in registrations and renewals of 18 per cent</w:t>
      </w:r>
      <w:r w:rsidRPr="00D63292">
        <w:rPr>
          <w:sz w:val="16"/>
          <w:szCs w:val="16"/>
        </w:rPr>
        <w:t>.</w:t>
      </w:r>
    </w:p>
  </w:footnote>
  <w:footnote w:id="29">
    <w:p w:rsidR="000F38B9" w:rsidRDefault="000F38B9">
      <w:pPr>
        <w:pStyle w:val="FootnoteText"/>
      </w:pPr>
      <w:r w:rsidRPr="00BA6F3B">
        <w:rPr>
          <w:rStyle w:val="FootnoteReference"/>
          <w:sz w:val="16"/>
        </w:rPr>
        <w:footnoteRef/>
      </w:r>
      <w:r w:rsidRPr="00BA6F3B">
        <w:rPr>
          <w:sz w:val="16"/>
        </w:rPr>
        <w:t xml:space="preserve"> </w:t>
      </w:r>
      <w:r>
        <w:rPr>
          <w:sz w:val="16"/>
          <w:szCs w:val="16"/>
        </w:rPr>
        <w:t>The percentage change and the rating</w:t>
      </w:r>
      <w:r w:rsidRPr="00D63292">
        <w:rPr>
          <w:sz w:val="16"/>
          <w:szCs w:val="16"/>
        </w:rPr>
        <w:t xml:space="preserve"> for 2015 are calculat</w:t>
      </w:r>
      <w:r>
        <w:rPr>
          <w:sz w:val="16"/>
          <w:szCs w:val="16"/>
        </w:rPr>
        <w:t>ed using the 2014 target figure, i.e. assuming that the target</w:t>
      </w:r>
      <w:r w:rsidRPr="00D63292">
        <w:rPr>
          <w:sz w:val="16"/>
          <w:szCs w:val="16"/>
        </w:rPr>
        <w:t xml:space="preserve"> for 2014 had been met</w:t>
      </w:r>
      <w:r>
        <w:rPr>
          <w:sz w:val="16"/>
          <w:szCs w:val="16"/>
        </w:rPr>
        <w:t>.  The actual percentage change</w:t>
      </w:r>
      <w:r w:rsidRPr="00D63292">
        <w:rPr>
          <w:sz w:val="16"/>
          <w:szCs w:val="16"/>
        </w:rPr>
        <w:t xml:space="preserve"> from 2014 to 2015 </w:t>
      </w:r>
      <w:r>
        <w:rPr>
          <w:sz w:val="16"/>
          <w:szCs w:val="16"/>
        </w:rPr>
        <w:t>was an increase in corrections of 0.9 per cent</w:t>
      </w:r>
      <w:r w:rsidRPr="00D63292">
        <w:rPr>
          <w:sz w:val="16"/>
          <w:szCs w:val="16"/>
        </w:rPr>
        <w:t>.</w:t>
      </w:r>
    </w:p>
  </w:footnote>
  <w:footnote w:id="30">
    <w:p w:rsidR="000F38B9" w:rsidRDefault="000F38B9" w:rsidP="00E3403E">
      <w:pPr>
        <w:pStyle w:val="FootnoteText"/>
      </w:pPr>
      <w:r w:rsidRPr="00BA6F3B">
        <w:rPr>
          <w:rStyle w:val="FootnoteReference"/>
          <w:sz w:val="16"/>
        </w:rPr>
        <w:footnoteRef/>
      </w:r>
      <w:r w:rsidRPr="00BA6F3B">
        <w:rPr>
          <w:sz w:val="16"/>
        </w:rPr>
        <w:t xml:space="preserve"> </w:t>
      </w:r>
      <w:r w:rsidRPr="006F27F9">
        <w:rPr>
          <w:sz w:val="16"/>
          <w:szCs w:val="16"/>
        </w:rPr>
        <w:t>The scale in 2012 used a different set of criteria.  The set of criteria was refined for 2013 to consider more relevant factors.  This change explains the differences in the ratings for 2013 and 2014 (e.g. 38 and 39 respectively) and 2012 (79).</w:t>
      </w:r>
    </w:p>
  </w:footnote>
  <w:footnote w:id="31">
    <w:p w:rsidR="000F38B9" w:rsidRPr="00105A55" w:rsidRDefault="000F38B9" w:rsidP="00E3403E">
      <w:pPr>
        <w:pStyle w:val="FootnoteText"/>
      </w:pPr>
      <w:r>
        <w:rPr>
          <w:rStyle w:val="FootnoteReference"/>
        </w:rPr>
        <w:footnoteRef/>
      </w:r>
      <w:r>
        <w:t xml:space="preserve"> </w:t>
      </w:r>
      <w:r>
        <w:rPr>
          <w:rFonts w:cs="Arial"/>
          <w:sz w:val="16"/>
        </w:rPr>
        <w:t xml:space="preserve">Expenditure related to </w:t>
      </w:r>
      <w:r w:rsidRPr="00BC5451">
        <w:rPr>
          <w:rFonts w:cs="Arial"/>
          <w:sz w:val="16"/>
        </w:rPr>
        <w:t xml:space="preserve">translation and IT </w:t>
      </w:r>
      <w:r>
        <w:rPr>
          <w:rFonts w:cs="Arial"/>
          <w:sz w:val="16"/>
        </w:rPr>
        <w:t>developments</w:t>
      </w:r>
      <w:r w:rsidRPr="00BC5451">
        <w:rPr>
          <w:rFonts w:cs="Arial"/>
          <w:sz w:val="16"/>
        </w:rPr>
        <w:t xml:space="preserve"> of </w:t>
      </w:r>
      <w:proofErr w:type="gramStart"/>
      <w:r w:rsidRPr="00BC5451">
        <w:rPr>
          <w:rFonts w:cs="Arial"/>
          <w:sz w:val="16"/>
        </w:rPr>
        <w:t>the</w:t>
      </w:r>
      <w:proofErr w:type="gramEnd"/>
      <w:r w:rsidRPr="00BC5451">
        <w:rPr>
          <w:rFonts w:cs="Arial"/>
          <w:sz w:val="16"/>
        </w:rPr>
        <w:t xml:space="preserve"> Hague and Lisbon Systems are </w:t>
      </w:r>
      <w:r>
        <w:rPr>
          <w:rFonts w:cs="Arial"/>
          <w:sz w:val="16"/>
        </w:rPr>
        <w:t>an integral part of the expenditure of Program 6</w:t>
      </w:r>
      <w:r w:rsidRPr="00BC5451">
        <w:rPr>
          <w:rFonts w:cs="Arial"/>
          <w:sz w:val="16"/>
        </w:rPr>
        <w:t xml:space="preserve">. </w:t>
      </w:r>
      <w:r>
        <w:rPr>
          <w:rFonts w:cs="Arial"/>
          <w:sz w:val="16"/>
        </w:rPr>
        <w:t xml:space="preserve"> </w:t>
      </w:r>
      <w:r w:rsidRPr="00BC5451">
        <w:rPr>
          <w:rFonts w:cs="Arial"/>
          <w:sz w:val="16"/>
        </w:rPr>
        <w:t xml:space="preserve">There is currently no methodology </w:t>
      </w:r>
      <w:r>
        <w:rPr>
          <w:rFonts w:cs="Arial"/>
          <w:sz w:val="16"/>
        </w:rPr>
        <w:t xml:space="preserve">that allows for the </w:t>
      </w:r>
      <w:r w:rsidRPr="00BC5451">
        <w:rPr>
          <w:rFonts w:cs="Arial"/>
          <w:sz w:val="16"/>
        </w:rPr>
        <w:t>separat</w:t>
      </w:r>
      <w:r>
        <w:rPr>
          <w:rFonts w:cs="Arial"/>
          <w:sz w:val="16"/>
        </w:rPr>
        <w:t>ion</w:t>
      </w:r>
      <w:r w:rsidRPr="00BC5451">
        <w:rPr>
          <w:rFonts w:cs="Arial"/>
          <w:sz w:val="16"/>
        </w:rPr>
        <w:t xml:space="preserve"> </w:t>
      </w:r>
      <w:r>
        <w:rPr>
          <w:rFonts w:cs="Arial"/>
          <w:sz w:val="16"/>
        </w:rPr>
        <w:t xml:space="preserve">of such </w:t>
      </w:r>
      <w:r w:rsidRPr="00BC5451">
        <w:rPr>
          <w:rFonts w:cs="Arial"/>
          <w:sz w:val="16"/>
        </w:rPr>
        <w:t>expenditures from the Madrid System expenditure.</w:t>
      </w:r>
    </w:p>
  </w:footnote>
  <w:footnote w:id="32">
    <w:p w:rsidR="000F38B9" w:rsidRPr="00BC5451" w:rsidRDefault="000F38B9" w:rsidP="00E3403E">
      <w:pPr>
        <w:pStyle w:val="FootnoteText"/>
        <w:rPr>
          <w:rFonts w:cs="Arial"/>
          <w:sz w:val="18"/>
        </w:rPr>
      </w:pPr>
      <w:r>
        <w:rPr>
          <w:rStyle w:val="FootnoteReference"/>
        </w:rPr>
        <w:footnoteRef/>
      </w:r>
      <w:r>
        <w:t xml:space="preserve"> </w:t>
      </w:r>
      <w:r w:rsidRPr="00BC5451">
        <w:rPr>
          <w:rFonts w:cs="Arial"/>
          <w:sz w:val="16"/>
        </w:rPr>
        <w:t xml:space="preserve">The Lisbon Registry </w:t>
      </w:r>
      <w:r>
        <w:rPr>
          <w:rFonts w:cs="Arial"/>
          <w:sz w:val="16"/>
        </w:rPr>
        <w:t xml:space="preserve">was created as a separate </w:t>
      </w:r>
      <w:r w:rsidRPr="00BC5451">
        <w:rPr>
          <w:rFonts w:cs="Arial"/>
          <w:sz w:val="16"/>
        </w:rPr>
        <w:t xml:space="preserve">budgetary unit </w:t>
      </w:r>
      <w:r>
        <w:rPr>
          <w:rFonts w:cs="Arial"/>
          <w:sz w:val="16"/>
        </w:rPr>
        <w:t>in</w:t>
      </w:r>
      <w:r w:rsidRPr="00BC5451">
        <w:rPr>
          <w:rFonts w:cs="Arial"/>
          <w:sz w:val="16"/>
        </w:rPr>
        <w:t xml:space="preserve"> 2015</w:t>
      </w:r>
      <w:r>
        <w:rPr>
          <w:rFonts w:cs="Arial"/>
          <w:sz w:val="16"/>
        </w:rPr>
        <w:t xml:space="preserve"> only</w:t>
      </w:r>
      <w:r w:rsidRPr="00BC5451">
        <w:rPr>
          <w:rFonts w:cs="Arial"/>
          <w:sz w:val="16"/>
        </w:rPr>
        <w:t>.</w:t>
      </w:r>
      <w:r w:rsidRPr="00BC5451">
        <w:rPr>
          <w:sz w:val="16"/>
        </w:rPr>
        <w:t xml:space="preserve"> </w:t>
      </w:r>
      <w:r>
        <w:rPr>
          <w:sz w:val="16"/>
        </w:rPr>
        <w:t xml:space="preserve"> </w:t>
      </w:r>
      <w:r>
        <w:rPr>
          <w:rFonts w:cs="Arial"/>
          <w:sz w:val="16"/>
        </w:rPr>
        <w:t>F</w:t>
      </w:r>
      <w:r w:rsidRPr="00BC5451">
        <w:rPr>
          <w:rFonts w:cs="Arial"/>
          <w:sz w:val="16"/>
        </w:rPr>
        <w:t xml:space="preserve">or </w:t>
      </w:r>
      <w:r>
        <w:rPr>
          <w:rFonts w:cs="Arial"/>
          <w:sz w:val="16"/>
        </w:rPr>
        <w:t xml:space="preserve">the </w:t>
      </w:r>
      <w:r w:rsidRPr="00BC5451">
        <w:rPr>
          <w:rFonts w:cs="Arial"/>
          <w:sz w:val="16"/>
        </w:rPr>
        <w:t>years prior to 2015</w:t>
      </w:r>
      <w:r>
        <w:rPr>
          <w:rFonts w:cs="Arial"/>
          <w:sz w:val="16"/>
        </w:rPr>
        <w:t xml:space="preserve">, </w:t>
      </w:r>
      <w:r w:rsidRPr="00BC5451">
        <w:rPr>
          <w:rFonts w:cs="Arial"/>
          <w:sz w:val="16"/>
        </w:rPr>
        <w:t xml:space="preserve">the expenditures of the Lisbon System are included in the total cost of production of the Madrid System. </w:t>
      </w:r>
    </w:p>
  </w:footnote>
  <w:footnote w:id="33">
    <w:p w:rsidR="000F38B9" w:rsidRPr="004469FF" w:rsidRDefault="000F38B9" w:rsidP="00E3403E">
      <w:pPr>
        <w:pStyle w:val="FootnoteText"/>
      </w:pPr>
      <w:r w:rsidRPr="0043175E">
        <w:rPr>
          <w:rStyle w:val="FootnoteReference"/>
          <w:rFonts w:cs="Arial"/>
        </w:rPr>
        <w:footnoteRef/>
      </w:r>
      <w:r w:rsidRPr="0043175E">
        <w:rPr>
          <w:rFonts w:cs="Arial"/>
        </w:rPr>
        <w:t xml:space="preserve">  </w:t>
      </w:r>
      <w:proofErr w:type="gramStart"/>
      <w:r w:rsidRPr="0043175E">
        <w:rPr>
          <w:rFonts w:cs="Arial"/>
          <w:sz w:val="18"/>
        </w:rPr>
        <w:t>See “Total workload” above</w:t>
      </w:r>
      <w:r>
        <w:rPr>
          <w:rFonts w:cs="Arial"/>
          <w:sz w:val="18"/>
        </w:rPr>
        <w:t>.</w:t>
      </w:r>
      <w:proofErr w:type="gramEnd"/>
    </w:p>
  </w:footnote>
  <w:footnote w:id="34">
    <w:p w:rsidR="000F38B9" w:rsidRPr="0043175E" w:rsidRDefault="000F38B9" w:rsidP="00E3403E">
      <w:pPr>
        <w:pStyle w:val="FootnoteText"/>
        <w:rPr>
          <w:rFonts w:cs="Arial"/>
          <w:sz w:val="18"/>
          <w:szCs w:val="18"/>
        </w:rPr>
      </w:pPr>
      <w:r w:rsidRPr="0043175E">
        <w:rPr>
          <w:rStyle w:val="FootnoteReference"/>
          <w:rFonts w:cs="Arial"/>
          <w:sz w:val="18"/>
          <w:szCs w:val="18"/>
        </w:rPr>
        <w:footnoteRef/>
      </w:r>
      <w:r w:rsidRPr="0043175E">
        <w:rPr>
          <w:rFonts w:cs="Arial"/>
          <w:sz w:val="18"/>
          <w:szCs w:val="18"/>
        </w:rPr>
        <w:t xml:space="preserve"> See “Total workload” above</w:t>
      </w:r>
    </w:p>
  </w:footnote>
  <w:footnote w:id="35">
    <w:p w:rsidR="000F38B9" w:rsidRPr="006F26F3" w:rsidRDefault="000F38B9">
      <w:pPr>
        <w:pStyle w:val="FootnoteText"/>
      </w:pPr>
      <w:r>
        <w:rPr>
          <w:rStyle w:val="FootnoteReference"/>
        </w:rPr>
        <w:footnoteRef/>
      </w:r>
      <w:r>
        <w:t xml:space="preserve"> The </w:t>
      </w:r>
      <w:r w:rsidRPr="004644B2">
        <w:rPr>
          <w:rFonts w:cs="Arial"/>
          <w:sz w:val="18"/>
        </w:rPr>
        <w:t xml:space="preserve">Madrid Registry </w:t>
      </w:r>
      <w:r>
        <w:rPr>
          <w:rFonts w:cs="Arial"/>
          <w:sz w:val="18"/>
        </w:rPr>
        <w:t>QMF</w:t>
      </w:r>
      <w:r w:rsidRPr="004644B2">
        <w:rPr>
          <w:rFonts w:cs="Arial"/>
          <w:sz w:val="18"/>
        </w:rPr>
        <w:t xml:space="preserve"> </w:t>
      </w:r>
      <w:r w:rsidRPr="00BC5451">
        <w:rPr>
          <w:rFonts w:cs="Arial"/>
          <w:sz w:val="18"/>
        </w:rPr>
        <w:t xml:space="preserve">is available on request at </w:t>
      </w:r>
      <w:hyperlink r:id="rId2" w:history="1">
        <w:r w:rsidRPr="00BC5451">
          <w:rPr>
            <w:rStyle w:val="Hyperlink"/>
            <w:rFonts w:cs="Arial"/>
            <w:sz w:val="18"/>
          </w:rPr>
          <w:t>madrid.qp@wipo.int</w:t>
        </w:r>
      </w:hyperlink>
      <w:r>
        <w:rPr>
          <w:sz w:val="18"/>
        </w:rPr>
        <w:t>.</w:t>
      </w:r>
    </w:p>
  </w:footnote>
  <w:footnote w:id="36">
    <w:p w:rsidR="000F38B9" w:rsidRDefault="000F38B9" w:rsidP="001363EE">
      <w:pPr>
        <w:pStyle w:val="FootnoteText"/>
      </w:pPr>
      <w:r w:rsidRPr="002F3933">
        <w:rPr>
          <w:rStyle w:val="FootnoteReference"/>
          <w:sz w:val="18"/>
          <w:szCs w:val="18"/>
        </w:rPr>
        <w:footnoteRef/>
      </w:r>
      <w:r>
        <w:t xml:space="preserve"> </w:t>
      </w:r>
      <w:r w:rsidRPr="001B4532">
        <w:rPr>
          <w:sz w:val="16"/>
          <w:szCs w:val="16"/>
        </w:rPr>
        <w:t>Corrigendum:</w:t>
      </w:r>
      <w:r>
        <w:rPr>
          <w:sz w:val="16"/>
          <w:szCs w:val="16"/>
        </w:rPr>
        <w:t xml:space="preserve">  </w:t>
      </w:r>
      <w:r w:rsidRPr="001B4532">
        <w:rPr>
          <w:sz w:val="16"/>
          <w:szCs w:val="16"/>
        </w:rPr>
        <w:t>The actual number of designs contained in 2012 was 12,454 and not 12,506</w:t>
      </w:r>
      <w:r>
        <w:rPr>
          <w:sz w:val="16"/>
          <w:szCs w:val="16"/>
        </w:rPr>
        <w:t>,</w:t>
      </w:r>
      <w:r w:rsidRPr="001B4532">
        <w:rPr>
          <w:sz w:val="16"/>
          <w:szCs w:val="16"/>
        </w:rPr>
        <w:t xml:space="preserve"> as published in the Program and Budget 2014/15 or 11,971 (the number of international registrations in 2012), as published in the PPR 2012/13.</w:t>
      </w:r>
    </w:p>
  </w:footnote>
  <w:footnote w:id="37">
    <w:p w:rsidR="000F38B9" w:rsidRPr="00694907" w:rsidRDefault="000F38B9">
      <w:pPr>
        <w:pStyle w:val="FootnoteText"/>
        <w:rPr>
          <w:sz w:val="16"/>
          <w:szCs w:val="16"/>
        </w:rPr>
      </w:pPr>
      <w:r w:rsidRPr="00694907">
        <w:rPr>
          <w:rStyle w:val="FootnoteReference"/>
          <w:sz w:val="16"/>
          <w:szCs w:val="16"/>
        </w:rPr>
        <w:footnoteRef/>
      </w:r>
      <w:r w:rsidRPr="00694907">
        <w:rPr>
          <w:sz w:val="16"/>
          <w:szCs w:val="16"/>
        </w:rPr>
        <w:t xml:space="preserve"> </w:t>
      </w:r>
      <w:r>
        <w:rPr>
          <w:sz w:val="16"/>
          <w:szCs w:val="16"/>
        </w:rPr>
        <w:t>Target figures for 2014: Applications (4,004)</w:t>
      </w:r>
      <w:proofErr w:type="gramStart"/>
      <w:r>
        <w:rPr>
          <w:sz w:val="16"/>
          <w:szCs w:val="16"/>
        </w:rPr>
        <w:t>;  Designs</w:t>
      </w:r>
      <w:proofErr w:type="gramEnd"/>
      <w:r>
        <w:rPr>
          <w:sz w:val="16"/>
          <w:szCs w:val="16"/>
        </w:rPr>
        <w:t xml:space="preserve"> contained (17,519);  Renewals (2,942).</w:t>
      </w:r>
    </w:p>
  </w:footnote>
  <w:footnote w:id="38">
    <w:p w:rsidR="000F38B9" w:rsidRPr="00694907" w:rsidRDefault="000F38B9">
      <w:pPr>
        <w:pStyle w:val="FootnoteText"/>
        <w:rPr>
          <w:sz w:val="16"/>
          <w:szCs w:val="16"/>
        </w:rPr>
      </w:pPr>
      <w:r w:rsidRPr="00694907">
        <w:rPr>
          <w:rStyle w:val="FootnoteReference"/>
          <w:sz w:val="16"/>
          <w:szCs w:val="16"/>
        </w:rPr>
        <w:footnoteRef/>
      </w:r>
      <w:r w:rsidRPr="00694907">
        <w:rPr>
          <w:sz w:val="16"/>
          <w:szCs w:val="16"/>
        </w:rPr>
        <w:t xml:space="preserve"> </w:t>
      </w:r>
      <w:r>
        <w:rPr>
          <w:sz w:val="16"/>
          <w:szCs w:val="16"/>
        </w:rPr>
        <w:t>The percentage changes and the ratings for 2015 are calculated using the 2014 target figures, i.e. assuming that the targets for 2014 had been met.  The actual percentage changes from 2014 to 2015 are as follows:  Applications (41% increase)</w:t>
      </w:r>
      <w:proofErr w:type="gramStart"/>
      <w:r>
        <w:rPr>
          <w:sz w:val="16"/>
          <w:szCs w:val="16"/>
        </w:rPr>
        <w:t>;  Designs</w:t>
      </w:r>
      <w:proofErr w:type="gramEnd"/>
      <w:r>
        <w:rPr>
          <w:sz w:val="16"/>
          <w:szCs w:val="16"/>
        </w:rPr>
        <w:t xml:space="preserve"> contained (14% increase);  Renewals (18% increase).</w:t>
      </w:r>
    </w:p>
  </w:footnote>
  <w:footnote w:id="39">
    <w:p w:rsidR="000F38B9" w:rsidRDefault="000F38B9" w:rsidP="001363EE">
      <w:pPr>
        <w:pStyle w:val="FootnoteText"/>
      </w:pPr>
      <w:r w:rsidRPr="000C1926">
        <w:rPr>
          <w:rStyle w:val="FootnoteReference"/>
          <w:sz w:val="18"/>
        </w:rPr>
        <w:footnoteRef/>
      </w:r>
      <w:r>
        <w:t xml:space="preserve"> </w:t>
      </w:r>
      <w:r w:rsidRPr="008E7427">
        <w:rPr>
          <w:sz w:val="16"/>
          <w:szCs w:val="16"/>
        </w:rPr>
        <w:t>Corrigendum: The PPR 2012/13 reported renewals and grant of protection as the two automated processes.</w:t>
      </w:r>
      <w:r>
        <w:rPr>
          <w:sz w:val="16"/>
          <w:szCs w:val="16"/>
        </w:rPr>
        <w:t xml:space="preserve">  The grant of protection process was not automated at the end of 2013. </w:t>
      </w:r>
    </w:p>
  </w:footnote>
  <w:footnote w:id="40">
    <w:p w:rsidR="000F38B9" w:rsidRPr="00935630" w:rsidRDefault="000F38B9">
      <w:pPr>
        <w:pStyle w:val="FootnoteText"/>
        <w:rPr>
          <w:rFonts w:cs="Arial"/>
          <w:sz w:val="16"/>
          <w:szCs w:val="16"/>
        </w:rPr>
      </w:pPr>
      <w:r w:rsidRPr="00935630">
        <w:rPr>
          <w:rStyle w:val="FootnoteReference"/>
          <w:rFonts w:cs="Arial"/>
          <w:sz w:val="16"/>
          <w:szCs w:val="16"/>
        </w:rPr>
        <w:footnoteRef/>
      </w:r>
      <w:r w:rsidRPr="00935630">
        <w:rPr>
          <w:rFonts w:cs="Arial"/>
          <w:sz w:val="16"/>
          <w:szCs w:val="16"/>
        </w:rPr>
        <w:t xml:space="preserve"> Data was updated to reflect the most recent figures since the finalization of the PPR 2014.</w:t>
      </w:r>
    </w:p>
  </w:footnote>
  <w:footnote w:id="41">
    <w:p w:rsidR="000F38B9" w:rsidRPr="00115026" w:rsidRDefault="000F38B9">
      <w:pPr>
        <w:pStyle w:val="FootnoteText"/>
        <w:rPr>
          <w:sz w:val="18"/>
          <w:szCs w:val="18"/>
        </w:rPr>
      </w:pPr>
      <w:r w:rsidRPr="00115026">
        <w:rPr>
          <w:rStyle w:val="FootnoteReference"/>
          <w:sz w:val="18"/>
          <w:szCs w:val="18"/>
        </w:rPr>
        <w:footnoteRef/>
      </w:r>
      <w:r w:rsidRPr="00115026">
        <w:rPr>
          <w:sz w:val="18"/>
          <w:szCs w:val="18"/>
        </w:rPr>
        <w:t xml:space="preserve"> </w:t>
      </w:r>
      <w:r w:rsidRPr="00115026">
        <w:rPr>
          <w:rFonts w:cs="Arial"/>
          <w:sz w:val="18"/>
          <w:szCs w:val="18"/>
        </w:rPr>
        <w:t xml:space="preserve">In the graphical views of the total cost of production and of the unit costs, the expenditure relating exclusively to the Hague System </w:t>
      </w:r>
      <w:r>
        <w:rPr>
          <w:rFonts w:cs="Arial"/>
          <w:sz w:val="18"/>
          <w:szCs w:val="18"/>
        </w:rPr>
        <w:t>is</w:t>
      </w:r>
      <w:r w:rsidRPr="00115026">
        <w:rPr>
          <w:rFonts w:cs="Arial"/>
          <w:sz w:val="18"/>
          <w:szCs w:val="18"/>
        </w:rPr>
        <w:t xml:space="preserve"> presented as “direct costs” and the expenditure of activities supporting the System as “indirect costs”.</w:t>
      </w:r>
    </w:p>
  </w:footnote>
  <w:footnote w:id="42">
    <w:p w:rsidR="000F38B9" w:rsidRPr="00115026" w:rsidRDefault="000F38B9" w:rsidP="001363EE">
      <w:pPr>
        <w:pStyle w:val="FootnoteText"/>
        <w:tabs>
          <w:tab w:val="left" w:pos="567"/>
        </w:tabs>
        <w:rPr>
          <w:rFonts w:cs="Arial"/>
          <w:sz w:val="18"/>
          <w:szCs w:val="18"/>
        </w:rPr>
      </w:pPr>
      <w:r w:rsidRPr="00115026">
        <w:rPr>
          <w:rStyle w:val="FootnoteReference"/>
          <w:sz w:val="18"/>
          <w:szCs w:val="18"/>
        </w:rPr>
        <w:footnoteRef/>
      </w:r>
      <w:r w:rsidRPr="00115026">
        <w:rPr>
          <w:sz w:val="18"/>
          <w:szCs w:val="18"/>
        </w:rPr>
        <w:t xml:space="preserve"> </w:t>
      </w:r>
      <w:r w:rsidRPr="00115026">
        <w:rPr>
          <w:rFonts w:cs="Arial"/>
          <w:sz w:val="18"/>
          <w:szCs w:val="18"/>
        </w:rPr>
        <w:t>The Madrid System provides support to the Hague System, in particular related to translation and IT developments. The expenditure associated with these services cannot easily be distinguished from the overall expenditure in relation to translation and IT developments in Program 6 (Madrid and Lisbon Systems), and are therefore not included.</w:t>
      </w:r>
    </w:p>
    <w:p w:rsidR="000F38B9" w:rsidRPr="00023122" w:rsidRDefault="000F38B9">
      <w:pPr>
        <w:pStyle w:val="FootnoteText"/>
      </w:pPr>
    </w:p>
  </w:footnote>
  <w:footnote w:id="43">
    <w:p w:rsidR="000F38B9" w:rsidRPr="00687982" w:rsidRDefault="000F38B9" w:rsidP="001363EE">
      <w:pPr>
        <w:pStyle w:val="FootnoteText"/>
        <w:tabs>
          <w:tab w:val="left" w:pos="567"/>
        </w:tabs>
        <w:rPr>
          <w:rFonts w:cs="Arial"/>
          <w:sz w:val="18"/>
          <w:szCs w:val="18"/>
        </w:rPr>
      </w:pPr>
      <w:r w:rsidRPr="00687982">
        <w:rPr>
          <w:rStyle w:val="FootnoteReference"/>
          <w:rFonts w:cs="Arial"/>
          <w:sz w:val="18"/>
          <w:szCs w:val="18"/>
        </w:rPr>
        <w:footnoteRef/>
      </w:r>
      <w:r w:rsidRPr="00687982">
        <w:rPr>
          <w:rFonts w:cs="Arial"/>
          <w:sz w:val="18"/>
          <w:szCs w:val="18"/>
        </w:rPr>
        <w:t xml:space="preserve"> </w:t>
      </w:r>
      <w:r w:rsidRPr="00687982">
        <w:rPr>
          <w:rFonts w:cs="Arial"/>
          <w:sz w:val="18"/>
          <w:szCs w:val="18"/>
        </w:rPr>
        <w:tab/>
        <w:t xml:space="preserve">The revisions in question were explained in detail in the </w:t>
      </w:r>
      <w:hyperlink r:id="rId3" w:history="1">
        <w:r w:rsidRPr="00F70E7D">
          <w:rPr>
            <w:rStyle w:val="Hyperlink"/>
            <w:rFonts w:cs="Arial"/>
            <w:sz w:val="18"/>
            <w:szCs w:val="18"/>
          </w:rPr>
          <w:t>PPR 2014</w:t>
        </w:r>
      </w:hyperlink>
      <w:r w:rsidRPr="00687982">
        <w:rPr>
          <w:rFonts w:cs="Arial"/>
          <w:sz w:val="18"/>
          <w:szCs w:val="18"/>
        </w:rPr>
        <w:t xml:space="preserve"> and included in particular aligning the methodology for calculating direct and indirect costs for </w:t>
      </w:r>
      <w:proofErr w:type="gramStart"/>
      <w:r w:rsidRPr="00687982">
        <w:rPr>
          <w:rFonts w:cs="Arial"/>
          <w:sz w:val="18"/>
          <w:szCs w:val="18"/>
        </w:rPr>
        <w:t>the</w:t>
      </w:r>
      <w:proofErr w:type="gramEnd"/>
      <w:r w:rsidRPr="00687982">
        <w:rPr>
          <w:rFonts w:cs="Arial"/>
          <w:sz w:val="18"/>
          <w:szCs w:val="18"/>
        </w:rPr>
        <w:t xml:space="preserve"> Hague with the methodologies for calculating PCT and Madrid unit costs.</w:t>
      </w:r>
    </w:p>
  </w:footnote>
  <w:footnote w:id="44">
    <w:p w:rsidR="000F38B9" w:rsidRPr="00613F8E" w:rsidRDefault="000F38B9" w:rsidP="001363EE">
      <w:pPr>
        <w:pStyle w:val="FootnoteText"/>
        <w:tabs>
          <w:tab w:val="left" w:pos="567"/>
        </w:tabs>
        <w:rPr>
          <w:rFonts w:cs="Arial"/>
          <w:sz w:val="16"/>
          <w:szCs w:val="16"/>
        </w:rPr>
      </w:pPr>
      <w:r w:rsidRPr="00613F8E">
        <w:rPr>
          <w:rStyle w:val="FootnoteReference"/>
          <w:rFonts w:cs="Arial"/>
          <w:szCs w:val="16"/>
        </w:rPr>
        <w:footnoteRef/>
      </w:r>
      <w:r w:rsidRPr="00613F8E">
        <w:rPr>
          <w:rFonts w:cs="Arial"/>
          <w:sz w:val="16"/>
          <w:szCs w:val="16"/>
        </w:rPr>
        <w:t xml:space="preserve"> </w:t>
      </w:r>
      <w:r>
        <w:rPr>
          <w:rFonts w:cs="Arial"/>
          <w:sz w:val="16"/>
          <w:szCs w:val="16"/>
        </w:rPr>
        <w:tab/>
      </w:r>
      <w:r w:rsidRPr="00011CA5">
        <w:rPr>
          <w:rFonts w:cs="Arial"/>
          <w:sz w:val="18"/>
          <w:szCs w:val="18"/>
        </w:rPr>
        <w:t>See the ratios for applications and renewals in</w:t>
      </w:r>
      <w:r>
        <w:rPr>
          <w:rFonts w:cs="Arial"/>
          <w:sz w:val="18"/>
          <w:szCs w:val="18"/>
        </w:rPr>
        <w:t xml:space="preserve"> “Total W</w:t>
      </w:r>
      <w:r w:rsidRPr="00011CA5">
        <w:rPr>
          <w:rFonts w:cs="Arial"/>
          <w:sz w:val="18"/>
          <w:szCs w:val="18"/>
        </w:rPr>
        <w:t>orkload”, above.</w:t>
      </w:r>
    </w:p>
  </w:footnote>
  <w:footnote w:id="45">
    <w:p w:rsidR="000F38B9" w:rsidRPr="00935630" w:rsidRDefault="000F38B9">
      <w:pPr>
        <w:pStyle w:val="FootnoteText"/>
        <w:rPr>
          <w:rFonts w:cs="Arial"/>
          <w:sz w:val="16"/>
          <w:szCs w:val="16"/>
        </w:rPr>
      </w:pPr>
      <w:r w:rsidRPr="00935630">
        <w:rPr>
          <w:rStyle w:val="FootnoteReference"/>
          <w:rFonts w:cs="Arial"/>
          <w:sz w:val="16"/>
          <w:szCs w:val="16"/>
        </w:rPr>
        <w:footnoteRef/>
      </w:r>
      <w:r w:rsidRPr="00935630">
        <w:rPr>
          <w:rFonts w:cs="Arial"/>
          <w:sz w:val="16"/>
          <w:szCs w:val="16"/>
        </w:rPr>
        <w:t xml:space="preserve"> Data was updated to reflect the most recent figures since the finalization of the PPR 2014.</w:t>
      </w:r>
    </w:p>
  </w:footnote>
  <w:footnote w:id="46">
    <w:p w:rsidR="000F38B9" w:rsidRDefault="000F38B9" w:rsidP="008A4774">
      <w:pPr>
        <w:pStyle w:val="FootnoteText"/>
      </w:pPr>
      <w:r w:rsidRPr="00BA6F3B">
        <w:rPr>
          <w:rStyle w:val="FootnoteReference"/>
          <w:sz w:val="16"/>
        </w:rPr>
        <w:footnoteRef/>
      </w:r>
      <w:r>
        <w:t xml:space="preserve"> </w:t>
      </w:r>
      <w:r w:rsidRPr="00813B88">
        <w:rPr>
          <w:sz w:val="16"/>
          <w:szCs w:val="16"/>
        </w:rPr>
        <w:t>http://www.wipo.int/amc/en/rules/</w:t>
      </w:r>
    </w:p>
  </w:footnote>
  <w:footnote w:id="47">
    <w:p w:rsidR="000F38B9" w:rsidRPr="00BE0BC5" w:rsidRDefault="000F38B9">
      <w:pPr>
        <w:pStyle w:val="FootnoteText"/>
        <w:rPr>
          <w:sz w:val="16"/>
          <w:szCs w:val="16"/>
        </w:rPr>
      </w:pPr>
      <w:r w:rsidRPr="00BE0BC5">
        <w:rPr>
          <w:rStyle w:val="FootnoteReference"/>
          <w:sz w:val="16"/>
          <w:szCs w:val="16"/>
        </w:rPr>
        <w:footnoteRef/>
      </w:r>
      <w:r w:rsidRPr="00BE0BC5">
        <w:rPr>
          <w:sz w:val="16"/>
          <w:szCs w:val="16"/>
        </w:rPr>
        <w:t xml:space="preserve"> http://www.wipo.int/amc-apps/clause-generator/</w:t>
      </w:r>
    </w:p>
  </w:footnote>
  <w:footnote w:id="48">
    <w:p w:rsidR="000F38B9" w:rsidRPr="00043C9C" w:rsidRDefault="000F38B9">
      <w:pPr>
        <w:pStyle w:val="FootnoteText"/>
      </w:pPr>
      <w:r w:rsidRPr="00BE0BC5">
        <w:rPr>
          <w:rStyle w:val="FootnoteReference"/>
          <w:sz w:val="16"/>
          <w:szCs w:val="16"/>
        </w:rPr>
        <w:footnoteRef/>
      </w:r>
      <w:r>
        <w:t xml:space="preserve"> </w:t>
      </w:r>
      <w:r>
        <w:rPr>
          <w:sz w:val="16"/>
          <w:szCs w:val="16"/>
        </w:rPr>
        <w:t xml:space="preserve">At the end of 2015, there were a total of </w:t>
      </w:r>
      <w:r w:rsidRPr="000C6814">
        <w:rPr>
          <w:sz w:val="16"/>
          <w:szCs w:val="16"/>
        </w:rPr>
        <w:t xml:space="preserve">29,567 gTLD </w:t>
      </w:r>
      <w:r>
        <w:rPr>
          <w:sz w:val="16"/>
          <w:szCs w:val="16"/>
        </w:rPr>
        <w:t xml:space="preserve">cases </w:t>
      </w:r>
      <w:r w:rsidRPr="000C6814">
        <w:rPr>
          <w:sz w:val="16"/>
          <w:szCs w:val="16"/>
        </w:rPr>
        <w:t>and 3,520 country code Top-Level Domains (ccTLD) ca</w:t>
      </w:r>
      <w:r w:rsidRPr="00043C9C">
        <w:rPr>
          <w:sz w:val="16"/>
          <w:szCs w:val="16"/>
        </w:rPr>
        <w:t>ses</w:t>
      </w:r>
      <w:r>
        <w:rPr>
          <w:sz w:val="16"/>
          <w:szCs w:val="16"/>
        </w:rPr>
        <w:t>.</w:t>
      </w:r>
    </w:p>
  </w:footnote>
  <w:footnote w:id="49">
    <w:p w:rsidR="000F38B9" w:rsidRPr="006A63C4" w:rsidRDefault="000F38B9">
      <w:pPr>
        <w:pStyle w:val="FootnoteText"/>
        <w:rPr>
          <w:sz w:val="16"/>
          <w:szCs w:val="16"/>
        </w:rPr>
      </w:pPr>
      <w:r>
        <w:rPr>
          <w:rStyle w:val="FootnoteReference"/>
        </w:rPr>
        <w:footnoteRef/>
      </w:r>
      <w:r>
        <w:t xml:space="preserve"> </w:t>
      </w:r>
      <w:r>
        <w:rPr>
          <w:sz w:val="16"/>
          <w:szCs w:val="16"/>
        </w:rPr>
        <w:t>T</w:t>
      </w:r>
      <w:r w:rsidRPr="00EA200D">
        <w:rPr>
          <w:sz w:val="16"/>
          <w:szCs w:val="16"/>
        </w:rPr>
        <w:t xml:space="preserve">he total </w:t>
      </w:r>
      <w:r>
        <w:rPr>
          <w:sz w:val="16"/>
          <w:szCs w:val="16"/>
        </w:rPr>
        <w:t xml:space="preserve">number </w:t>
      </w:r>
      <w:r w:rsidRPr="00EA200D">
        <w:rPr>
          <w:sz w:val="16"/>
          <w:szCs w:val="16"/>
        </w:rPr>
        <w:t>of ccTLDs for which WIPO provides such services</w:t>
      </w:r>
      <w:r>
        <w:rPr>
          <w:sz w:val="16"/>
          <w:szCs w:val="16"/>
        </w:rPr>
        <w:t xml:space="preserve"> is 71, following the discontinuation of one administrator in 2015.</w:t>
      </w:r>
    </w:p>
  </w:footnote>
  <w:footnote w:id="50">
    <w:p w:rsidR="000F38B9" w:rsidRDefault="000F38B9">
      <w:pPr>
        <w:pStyle w:val="FootnoteText"/>
      </w:pPr>
      <w:r w:rsidRPr="00861E65">
        <w:rPr>
          <w:rStyle w:val="FootnoteReference"/>
          <w:sz w:val="16"/>
          <w:szCs w:val="16"/>
        </w:rPr>
        <w:footnoteRef/>
      </w:r>
      <w:r w:rsidRPr="00861E65">
        <w:rPr>
          <w:sz w:val="16"/>
          <w:szCs w:val="16"/>
        </w:rPr>
        <w:t xml:space="preserve"> </w:t>
      </w:r>
      <w:r>
        <w:rPr>
          <w:sz w:val="16"/>
          <w:szCs w:val="16"/>
        </w:rPr>
        <w:t>Corrigendum:  The cumulative number of schemes adopted by the end of 2013 was 12 and not 10 as reported in the PPR 2012/13 or as reflected as the updated baseline in the PPR 2014.</w:t>
      </w:r>
    </w:p>
  </w:footnote>
  <w:footnote w:id="51">
    <w:p w:rsidR="000F38B9" w:rsidRPr="001D5B4F" w:rsidRDefault="000F38B9">
      <w:pPr>
        <w:pStyle w:val="FootnoteText"/>
        <w:rPr>
          <w:sz w:val="16"/>
          <w:szCs w:val="16"/>
        </w:rPr>
      </w:pPr>
      <w:r w:rsidRPr="001D5B4F">
        <w:rPr>
          <w:rStyle w:val="FootnoteReference"/>
          <w:sz w:val="16"/>
          <w:szCs w:val="16"/>
        </w:rPr>
        <w:footnoteRef/>
      </w:r>
      <w:r w:rsidRPr="001D5B4F">
        <w:rPr>
          <w:sz w:val="16"/>
          <w:szCs w:val="16"/>
        </w:rPr>
        <w:t xml:space="preserve"> </w:t>
      </w:r>
      <w:r>
        <w:rPr>
          <w:sz w:val="16"/>
          <w:szCs w:val="16"/>
        </w:rPr>
        <w:t>Corrigendum: The cumulative number of ccTLD-only cases per end 2013 was 2,798 and not 2,788 as reported in the PPR 2012/13 and as reflected as the updated baseline in the PPR 2014.</w:t>
      </w:r>
    </w:p>
  </w:footnote>
  <w:footnote w:id="52">
    <w:p w:rsidR="000F38B9" w:rsidRDefault="000F38B9" w:rsidP="001363EE">
      <w:pPr>
        <w:pStyle w:val="FootnoteText"/>
        <w:tabs>
          <w:tab w:val="left" w:pos="284"/>
        </w:tabs>
        <w:rPr>
          <w:sz w:val="16"/>
          <w:szCs w:val="16"/>
        </w:rPr>
      </w:pPr>
      <w:r>
        <w:rPr>
          <w:rStyle w:val="FootnoteReference"/>
        </w:rPr>
        <w:footnoteRef/>
      </w:r>
      <w:r>
        <w:t xml:space="preserve"> </w:t>
      </w:r>
      <w:r>
        <w:tab/>
      </w:r>
      <w:hyperlink r:id="rId4" w:tooltip="http://www.wipo.int/meetings/en/doc_details.jsp?doc_id=208882" w:history="1">
        <w:r w:rsidRPr="00B56FE4">
          <w:rPr>
            <w:rStyle w:val="Hyperlink"/>
            <w:sz w:val="16"/>
            <w:szCs w:val="16"/>
          </w:rPr>
          <w:t>http://www.wipo.int/meetings/en/doc_details.jsp?doc_id=208882</w:t>
        </w:r>
      </w:hyperlink>
      <w:r>
        <w:rPr>
          <w:sz w:val="16"/>
          <w:szCs w:val="16"/>
        </w:rPr>
        <w:t xml:space="preserve"> and</w:t>
      </w:r>
    </w:p>
    <w:p w:rsidR="000F38B9" w:rsidRDefault="000F38B9" w:rsidP="001363EE">
      <w:pPr>
        <w:pStyle w:val="FootnoteText"/>
        <w:tabs>
          <w:tab w:val="left" w:pos="284"/>
        </w:tabs>
      </w:pPr>
      <w:r>
        <w:rPr>
          <w:sz w:val="16"/>
          <w:szCs w:val="16"/>
        </w:rPr>
        <w:tab/>
      </w:r>
      <w:hyperlink r:id="rId5" w:history="1">
        <w:r w:rsidRPr="00F527AD">
          <w:rPr>
            <w:rStyle w:val="Hyperlink"/>
            <w:sz w:val="16"/>
            <w:szCs w:val="16"/>
          </w:rPr>
          <w:t>http://www.wipo.int/meetings/en/doc_details.jsp?doc_id=239806</w:t>
        </w:r>
      </w:hyperlink>
      <w:r>
        <w:rPr>
          <w:sz w:val="16"/>
          <w:szCs w:val="16"/>
        </w:rPr>
        <w:t xml:space="preserve"> </w:t>
      </w:r>
    </w:p>
  </w:footnote>
  <w:footnote w:id="53">
    <w:p w:rsidR="000F38B9" w:rsidRDefault="000F38B9">
      <w:pPr>
        <w:pStyle w:val="FootnoteText"/>
      </w:pPr>
      <w:r w:rsidRPr="000A6078">
        <w:rPr>
          <w:rStyle w:val="FootnoteReference"/>
          <w:sz w:val="16"/>
          <w:szCs w:val="16"/>
        </w:rPr>
        <w:footnoteRef/>
      </w:r>
      <w:r w:rsidRPr="000A6078">
        <w:rPr>
          <w:sz w:val="16"/>
          <w:szCs w:val="16"/>
        </w:rPr>
        <w:t xml:space="preserve"> </w:t>
      </w:r>
      <w:hyperlink r:id="rId6" w:history="1">
        <w:r w:rsidRPr="00D71C7A">
          <w:rPr>
            <w:rStyle w:val="Hyperlink"/>
            <w:sz w:val="16"/>
            <w:szCs w:val="16"/>
          </w:rPr>
          <w:t>Evaluation of Sida’s International Training Programmes in Intellectual Property - Final Report</w:t>
        </w:r>
      </w:hyperlink>
    </w:p>
  </w:footnote>
  <w:footnote w:id="54">
    <w:p w:rsidR="000F38B9" w:rsidRPr="00444EA9" w:rsidRDefault="000F38B9">
      <w:pPr>
        <w:pStyle w:val="FootnoteText"/>
        <w:rPr>
          <w:sz w:val="16"/>
          <w:szCs w:val="16"/>
        </w:rPr>
      </w:pPr>
      <w:r w:rsidRPr="00444EA9">
        <w:rPr>
          <w:rStyle w:val="FootnoteReference"/>
          <w:sz w:val="16"/>
          <w:szCs w:val="16"/>
        </w:rPr>
        <w:footnoteRef/>
      </w:r>
      <w:r w:rsidRPr="00444EA9">
        <w:rPr>
          <w:sz w:val="16"/>
          <w:szCs w:val="16"/>
        </w:rPr>
        <w:t xml:space="preserve"> http://www.wipo.int/cooperation/en/south_south/</w:t>
      </w:r>
    </w:p>
  </w:footnote>
  <w:footnote w:id="55">
    <w:p w:rsidR="000F38B9" w:rsidRPr="007861F3" w:rsidRDefault="000F38B9" w:rsidP="00E3403E">
      <w:r w:rsidRPr="007861F3">
        <w:rPr>
          <w:rStyle w:val="FootnoteReference"/>
          <w:sz w:val="16"/>
        </w:rPr>
        <w:footnoteRef/>
      </w:r>
      <w:r w:rsidRPr="007861F3">
        <w:rPr>
          <w:sz w:val="16"/>
        </w:rPr>
        <w:t xml:space="preserve"> The mapping of WIPO SSC activities will be presented and discussed at CDIP/17 in April 2016.</w:t>
      </w:r>
    </w:p>
  </w:footnote>
  <w:footnote w:id="56">
    <w:p w:rsidR="000F38B9" w:rsidRPr="00172B25" w:rsidRDefault="000F38B9">
      <w:pPr>
        <w:pStyle w:val="FootnoteText"/>
        <w:rPr>
          <w:sz w:val="16"/>
          <w:szCs w:val="16"/>
        </w:rPr>
      </w:pPr>
      <w:r w:rsidRPr="00172B25">
        <w:rPr>
          <w:rStyle w:val="FootnoteReference"/>
          <w:sz w:val="16"/>
          <w:szCs w:val="16"/>
        </w:rPr>
        <w:footnoteRef/>
      </w:r>
      <w:r w:rsidRPr="00172B25">
        <w:rPr>
          <w:sz w:val="16"/>
          <w:szCs w:val="16"/>
        </w:rPr>
        <w:t xml:space="preserve"> http://www.wipo.int/edocs/mdocs/mdocs/en/ompi_pi_dak_15/ompi_pi_dak_15_www_319536.pdf</w:t>
      </w:r>
    </w:p>
  </w:footnote>
  <w:footnote w:id="57">
    <w:p w:rsidR="000F38B9" w:rsidRPr="00A161DA" w:rsidRDefault="000F38B9" w:rsidP="00E3403E">
      <w:pPr>
        <w:pStyle w:val="FootnoteText"/>
        <w:rPr>
          <w:sz w:val="16"/>
          <w:szCs w:val="16"/>
        </w:rPr>
      </w:pPr>
      <w:r w:rsidRPr="00A161DA">
        <w:rPr>
          <w:rStyle w:val="FootnoteReference"/>
          <w:sz w:val="16"/>
          <w:szCs w:val="16"/>
        </w:rPr>
        <w:footnoteRef/>
      </w:r>
      <w:r w:rsidRPr="00A161DA">
        <w:rPr>
          <w:sz w:val="16"/>
          <w:szCs w:val="16"/>
        </w:rPr>
        <w:t xml:space="preserve"> http://www.wipo.int/export/sites/www/cooperation/en/pdf/ta_manual.pdf </w:t>
      </w:r>
    </w:p>
  </w:footnote>
  <w:footnote w:id="58">
    <w:p w:rsidR="000F38B9" w:rsidRDefault="000F38B9">
      <w:pPr>
        <w:pStyle w:val="FootnoteText"/>
      </w:pPr>
      <w:r w:rsidRPr="00A161DA">
        <w:rPr>
          <w:rStyle w:val="FootnoteReference"/>
          <w:sz w:val="16"/>
          <w:szCs w:val="16"/>
        </w:rPr>
        <w:footnoteRef/>
      </w:r>
      <w:r w:rsidRPr="00A161DA">
        <w:rPr>
          <w:sz w:val="16"/>
          <w:szCs w:val="16"/>
        </w:rPr>
        <w:t xml:space="preserve"> The data reported in 2015 reflects a new methodology for calculating the percentage of satisfaction.</w:t>
      </w:r>
    </w:p>
  </w:footnote>
  <w:footnote w:id="59">
    <w:p w:rsidR="000F38B9" w:rsidRPr="00DA0C13" w:rsidRDefault="000F38B9" w:rsidP="00E3403E">
      <w:pPr>
        <w:pStyle w:val="FootnoteText"/>
        <w:rPr>
          <w:sz w:val="16"/>
          <w:szCs w:val="16"/>
        </w:rPr>
      </w:pPr>
      <w:r w:rsidRPr="00DA0C13">
        <w:rPr>
          <w:rStyle w:val="FootnoteReference"/>
          <w:sz w:val="16"/>
          <w:szCs w:val="16"/>
        </w:rPr>
        <w:footnoteRef/>
      </w:r>
      <w:r w:rsidRPr="00DA0C13">
        <w:rPr>
          <w:sz w:val="16"/>
          <w:szCs w:val="16"/>
        </w:rPr>
        <w:t xml:space="preserve"> Corrigendum: In the PPR 2012/13, it was reported that Ethiopia had adopted an IP policy in 2012/13.  The IP Policy was finalized in 2014 for consideration in the national approval process.  </w:t>
      </w:r>
    </w:p>
  </w:footnote>
  <w:footnote w:id="60">
    <w:p w:rsidR="000F38B9" w:rsidRPr="00DA0C13" w:rsidRDefault="000F38B9" w:rsidP="00E3403E">
      <w:pPr>
        <w:pStyle w:val="FootnoteText"/>
        <w:rPr>
          <w:sz w:val="16"/>
          <w:szCs w:val="16"/>
        </w:rPr>
      </w:pPr>
      <w:r w:rsidRPr="00DA0C13">
        <w:rPr>
          <w:rStyle w:val="FootnoteReference"/>
          <w:sz w:val="16"/>
          <w:szCs w:val="16"/>
        </w:rPr>
        <w:footnoteRef/>
      </w:r>
      <w:r w:rsidRPr="00DA0C13">
        <w:rPr>
          <w:sz w:val="16"/>
          <w:szCs w:val="16"/>
        </w:rPr>
        <w:t xml:space="preserve"> Corrigendum: In the PPR 2012/13, it was reported that a national IP innovation strategy was under development in Tunisia.  Discussions began on the possibility of developing such a strategy but the process has not yet moved on. </w:t>
      </w:r>
    </w:p>
  </w:footnote>
  <w:footnote w:id="61">
    <w:p w:rsidR="000F38B9" w:rsidRPr="00C517B4" w:rsidRDefault="000F38B9" w:rsidP="00E3403E">
      <w:pPr>
        <w:pStyle w:val="FootnoteText"/>
        <w:rPr>
          <w:sz w:val="16"/>
          <w:szCs w:val="16"/>
        </w:rPr>
      </w:pPr>
      <w:r w:rsidRPr="00DA0C13">
        <w:rPr>
          <w:rStyle w:val="FootnoteReference"/>
          <w:sz w:val="16"/>
          <w:szCs w:val="16"/>
        </w:rPr>
        <w:footnoteRef/>
      </w:r>
      <w:r w:rsidRPr="00DA0C13">
        <w:rPr>
          <w:sz w:val="16"/>
          <w:szCs w:val="16"/>
        </w:rPr>
        <w:t xml:space="preserve"> Corrigendum: In the PPR 2012/13, it was reported that Algeria was in the course of adopting a national IP strat</w:t>
      </w:r>
      <w:r w:rsidRPr="00C517B4">
        <w:rPr>
          <w:sz w:val="16"/>
          <w:szCs w:val="16"/>
        </w:rPr>
        <w:t xml:space="preserve">egy.  WIPO collaborated with Algeria in elaborating a Draft national IP strategy and this Document is still under consideration.   </w:t>
      </w:r>
    </w:p>
  </w:footnote>
  <w:footnote w:id="62">
    <w:p w:rsidR="000F38B9" w:rsidRPr="002D7824" w:rsidRDefault="000F38B9" w:rsidP="00E3403E">
      <w:pPr>
        <w:pStyle w:val="FootnoteText"/>
        <w:rPr>
          <w:sz w:val="16"/>
          <w:szCs w:val="16"/>
        </w:rPr>
      </w:pPr>
      <w:r w:rsidRPr="002D7824">
        <w:rPr>
          <w:rStyle w:val="FootnoteReference"/>
          <w:sz w:val="16"/>
          <w:szCs w:val="16"/>
        </w:rPr>
        <w:footnoteRef/>
      </w:r>
      <w:r w:rsidRPr="002D7824">
        <w:rPr>
          <w:sz w:val="16"/>
          <w:szCs w:val="16"/>
        </w:rPr>
        <w:t xml:space="preserve"> The process was delayed because of structural changes in the Government. </w:t>
      </w:r>
    </w:p>
  </w:footnote>
  <w:footnote w:id="63">
    <w:p w:rsidR="000F38B9" w:rsidRPr="00DA0C13" w:rsidRDefault="000F38B9">
      <w:pPr>
        <w:pStyle w:val="FootnoteText"/>
        <w:rPr>
          <w:sz w:val="16"/>
          <w:szCs w:val="16"/>
        </w:rPr>
      </w:pPr>
      <w:r w:rsidRPr="002D7824">
        <w:rPr>
          <w:rStyle w:val="FootnoteReference"/>
          <w:sz w:val="16"/>
          <w:szCs w:val="16"/>
        </w:rPr>
        <w:footnoteRef/>
      </w:r>
      <w:r w:rsidRPr="002D7824">
        <w:rPr>
          <w:sz w:val="16"/>
          <w:szCs w:val="16"/>
        </w:rPr>
        <w:t xml:space="preserve"> The process had stalled in 2011.  In 2014, a consultative process was re-initiated.</w:t>
      </w:r>
    </w:p>
  </w:footnote>
  <w:footnote w:id="64">
    <w:p w:rsidR="000F38B9" w:rsidRPr="007B4697" w:rsidRDefault="000F38B9" w:rsidP="00E3403E">
      <w:pPr>
        <w:pStyle w:val="FootnoteText"/>
        <w:rPr>
          <w:sz w:val="16"/>
          <w:szCs w:val="16"/>
        </w:rPr>
      </w:pPr>
      <w:r w:rsidRPr="00390B42">
        <w:rPr>
          <w:rStyle w:val="FootnoteReference"/>
          <w:sz w:val="16"/>
          <w:szCs w:val="16"/>
        </w:rPr>
        <w:footnoteRef/>
      </w:r>
      <w:r w:rsidRPr="00390B42">
        <w:rPr>
          <w:sz w:val="16"/>
          <w:szCs w:val="16"/>
        </w:rPr>
        <w:t xml:space="preserve"> </w:t>
      </w:r>
      <w:r>
        <w:rPr>
          <w:sz w:val="16"/>
          <w:szCs w:val="16"/>
        </w:rPr>
        <w:t>Corrigendum:  Bangladesh is currently in the process of formulating its national IP strategy and has not yet adopted as reported in previous biennia; it has been removed from this baseline.</w:t>
      </w:r>
    </w:p>
  </w:footnote>
  <w:footnote w:id="65">
    <w:p w:rsidR="000F38B9" w:rsidRPr="007861F3" w:rsidRDefault="000F38B9" w:rsidP="00E3403E">
      <w:pPr>
        <w:pStyle w:val="FootnoteText"/>
      </w:pPr>
      <w:r w:rsidRPr="00A14C20">
        <w:rPr>
          <w:rStyle w:val="FootnoteReference"/>
          <w:sz w:val="16"/>
          <w:szCs w:val="16"/>
        </w:rPr>
        <w:footnoteRef/>
      </w:r>
      <w:r w:rsidRPr="007861F3">
        <w:t xml:space="preserve"> </w:t>
      </w:r>
      <w:r w:rsidRPr="007861F3">
        <w:rPr>
          <w:sz w:val="16"/>
          <w:szCs w:val="16"/>
        </w:rPr>
        <w:t xml:space="preserve">No available existing mechanism.  An appropriate mechanism will be developed in the course of </w:t>
      </w:r>
      <w:r>
        <w:rPr>
          <w:sz w:val="16"/>
          <w:szCs w:val="16"/>
        </w:rPr>
        <w:t>2016/17</w:t>
      </w:r>
      <w:r w:rsidRPr="007861F3">
        <w:rPr>
          <w:sz w:val="16"/>
          <w:szCs w:val="16"/>
        </w:rPr>
        <w:t xml:space="preserve">. </w:t>
      </w:r>
    </w:p>
  </w:footnote>
  <w:footnote w:id="66">
    <w:p w:rsidR="000F38B9" w:rsidRPr="00321A09" w:rsidRDefault="000F38B9">
      <w:pPr>
        <w:pStyle w:val="FootnoteText"/>
        <w:rPr>
          <w:sz w:val="16"/>
          <w:szCs w:val="16"/>
        </w:rPr>
      </w:pPr>
      <w:r w:rsidRPr="00321A09">
        <w:rPr>
          <w:rStyle w:val="FootnoteReference"/>
          <w:sz w:val="16"/>
          <w:szCs w:val="16"/>
        </w:rPr>
        <w:footnoteRef/>
      </w:r>
      <w:r w:rsidRPr="00321A09">
        <w:rPr>
          <w:sz w:val="16"/>
          <w:szCs w:val="16"/>
        </w:rPr>
        <w:t xml:space="preserve"> http://www.wipo.int/edocs/mdocs/africa/en/ompi_pi_dak_15/ompi_pi_dak_15_declaration.pdf</w:t>
      </w:r>
    </w:p>
  </w:footnote>
  <w:footnote w:id="67">
    <w:p w:rsidR="000F38B9" w:rsidRPr="009E3CE7" w:rsidRDefault="000F38B9">
      <w:pPr>
        <w:pStyle w:val="FootnoteText"/>
        <w:rPr>
          <w:sz w:val="16"/>
          <w:szCs w:val="16"/>
        </w:rPr>
      </w:pPr>
      <w:r w:rsidRPr="009E3CE7">
        <w:rPr>
          <w:rStyle w:val="FootnoteReference"/>
          <w:sz w:val="16"/>
          <w:szCs w:val="16"/>
        </w:rPr>
        <w:footnoteRef/>
      </w:r>
      <w:r w:rsidRPr="009E3CE7">
        <w:rPr>
          <w:sz w:val="16"/>
          <w:szCs w:val="16"/>
        </w:rPr>
        <w:t xml:space="preserve"> Corrigendum: The </w:t>
      </w:r>
      <w:r>
        <w:rPr>
          <w:sz w:val="16"/>
          <w:szCs w:val="16"/>
        </w:rPr>
        <w:t>a</w:t>
      </w:r>
      <w:r w:rsidRPr="009E3CE7">
        <w:rPr>
          <w:sz w:val="16"/>
          <w:szCs w:val="16"/>
        </w:rPr>
        <w:t>wareness raising cartoon movie program on building respect for IP in cooperation with the League of Arab States (LAS)</w:t>
      </w:r>
      <w:r>
        <w:rPr>
          <w:sz w:val="16"/>
          <w:szCs w:val="16"/>
        </w:rPr>
        <w:t xml:space="preserve"> that was reported in the PPR 2014 was implemented under </w:t>
      </w:r>
      <w:proofErr w:type="gramStart"/>
      <w:r>
        <w:rPr>
          <w:sz w:val="16"/>
          <w:szCs w:val="16"/>
        </w:rPr>
        <w:t>an</w:t>
      </w:r>
      <w:proofErr w:type="gramEnd"/>
      <w:r>
        <w:rPr>
          <w:sz w:val="16"/>
          <w:szCs w:val="16"/>
        </w:rPr>
        <w:t xml:space="preserve"> MoU with LAS that was signed prior to the 2014/15 biennium.</w:t>
      </w:r>
    </w:p>
  </w:footnote>
  <w:footnote w:id="68">
    <w:p w:rsidR="000F38B9" w:rsidRDefault="000F38B9" w:rsidP="00674EDC">
      <w:pPr>
        <w:pStyle w:val="FootnoteText"/>
      </w:pPr>
      <w:r w:rsidRPr="008F6408">
        <w:rPr>
          <w:sz w:val="16"/>
          <w:szCs w:val="16"/>
          <w:vertAlign w:val="superscript"/>
        </w:rPr>
        <w:footnoteRef/>
      </w:r>
      <w:r w:rsidRPr="008F6408">
        <w:rPr>
          <w:sz w:val="16"/>
          <w:szCs w:val="16"/>
          <w:vertAlign w:val="superscript"/>
        </w:rPr>
        <w:t xml:space="preserve"> </w:t>
      </w:r>
      <w:r w:rsidRPr="00DF7A07">
        <w:rPr>
          <w:sz w:val="16"/>
          <w:szCs w:val="16"/>
        </w:rPr>
        <w:t>Corrigendum: The cooperation with the South</w:t>
      </w:r>
      <w:r>
        <w:rPr>
          <w:sz w:val="16"/>
          <w:szCs w:val="16"/>
        </w:rPr>
        <w:t xml:space="preserve"> Asia Association for Regional Cooperation (SAARC), reported in the PPR 2014, was implemented under an agreement that pre-dated the 2014/15 biennium.</w:t>
      </w:r>
    </w:p>
  </w:footnote>
  <w:footnote w:id="69">
    <w:p w:rsidR="000F38B9" w:rsidRPr="00A0381E" w:rsidRDefault="000F38B9" w:rsidP="00E3403E">
      <w:pPr>
        <w:tabs>
          <w:tab w:val="left" w:pos="0"/>
        </w:tabs>
        <w:jc w:val="both"/>
        <w:rPr>
          <w:sz w:val="16"/>
          <w:szCs w:val="16"/>
        </w:rPr>
      </w:pPr>
      <w:r w:rsidRPr="00DD3502">
        <w:rPr>
          <w:rStyle w:val="FootnoteReference"/>
          <w:sz w:val="16"/>
          <w:szCs w:val="16"/>
        </w:rPr>
        <w:footnoteRef/>
      </w:r>
      <w:r>
        <w:t xml:space="preserve"> </w:t>
      </w:r>
      <w:r>
        <w:rPr>
          <w:sz w:val="16"/>
          <w:szCs w:val="16"/>
          <w:lang w:bidi="th-TH"/>
        </w:rPr>
        <w:t xml:space="preserve"> </w:t>
      </w:r>
      <w:r w:rsidRPr="00DD3502">
        <w:rPr>
          <w:sz w:val="16"/>
          <w:szCs w:val="16"/>
          <w:lang w:bidi="th-TH"/>
        </w:rPr>
        <w:t>(i) Patent &amp; Trademark harmonization projects in Central America jointly with the European Patent Office (EPO), the Spanish Patent and Trademark Office (OEPM), and with the collaboration of the Mexican Institute of Industrial Property (IMPI); (ii)  LATIPAT jointly with the EPO and OEPM;  (iii) Project on Geographical Indications, Origin Linked Products (OLPs) and Branding in partnership with the Inter-American Development Bank (IDB), Caribbean Export Development Agency (CEDA) and Technical Centre for Agricultural and Rural Corporation (CTA);  (iv) Regional Patent Office in Caribbean with Caribbean Patent Administration (CPAS);  (v) Ibero-American Program under the Funds-in-Trust; (vi) Continued collaboration on the Regional Entrepreneurial Asset Commercialization Hub (REACH) with IDB and the Young Americas Business Trust (YABT)</w:t>
      </w:r>
    </w:p>
  </w:footnote>
  <w:footnote w:id="70">
    <w:p w:rsidR="000F38B9" w:rsidRPr="008C45FF" w:rsidRDefault="000F38B9" w:rsidP="00E3403E">
      <w:pPr>
        <w:pStyle w:val="FootnoteText"/>
        <w:rPr>
          <w:sz w:val="16"/>
          <w:szCs w:val="16"/>
        </w:rPr>
      </w:pPr>
      <w:r w:rsidRPr="008C45FF">
        <w:rPr>
          <w:rStyle w:val="FootnoteReference"/>
          <w:sz w:val="16"/>
          <w:szCs w:val="16"/>
        </w:rPr>
        <w:footnoteRef/>
      </w:r>
      <w:r w:rsidRPr="008C45FF">
        <w:rPr>
          <w:sz w:val="16"/>
          <w:szCs w:val="16"/>
        </w:rPr>
        <w:t xml:space="preserve"> </w:t>
      </w:r>
      <w:r>
        <w:rPr>
          <w:sz w:val="16"/>
          <w:szCs w:val="16"/>
        </w:rPr>
        <w:t>Corrigendum</w:t>
      </w:r>
      <w:r w:rsidRPr="008C45FF">
        <w:rPr>
          <w:sz w:val="16"/>
          <w:szCs w:val="16"/>
        </w:rPr>
        <w:t xml:space="preserve">:  </w:t>
      </w:r>
      <w:r>
        <w:rPr>
          <w:sz w:val="16"/>
          <w:szCs w:val="16"/>
        </w:rPr>
        <w:t xml:space="preserve">The number of participants in the Professional Development Program was 226 in 2014, not 216 as reported in the PPR 2014. </w:t>
      </w:r>
    </w:p>
    <w:p w:rsidR="000F38B9" w:rsidRPr="008C45FF" w:rsidRDefault="000F38B9">
      <w:pPr>
        <w:pStyle w:val="FootnoteText"/>
        <w:rPr>
          <w:sz w:val="16"/>
          <w:szCs w:val="16"/>
        </w:rPr>
      </w:pPr>
    </w:p>
  </w:footnote>
  <w:footnote w:id="71">
    <w:p w:rsidR="000F38B9" w:rsidRPr="00490D0E" w:rsidRDefault="000F38B9" w:rsidP="00E3403E">
      <w:pPr>
        <w:pStyle w:val="FootnoteText"/>
      </w:pPr>
      <w:r w:rsidRPr="00F64CE5">
        <w:rPr>
          <w:rStyle w:val="FootnoteReference"/>
          <w:sz w:val="16"/>
          <w:szCs w:val="16"/>
        </w:rPr>
        <w:footnoteRef/>
      </w:r>
      <w:r w:rsidRPr="00F64CE5">
        <w:rPr>
          <w:sz w:val="16"/>
          <w:szCs w:val="16"/>
        </w:rPr>
        <w:t xml:space="preserve"> </w:t>
      </w:r>
      <w:r w:rsidRPr="00B527D7">
        <w:rPr>
          <w:sz w:val="16"/>
          <w:szCs w:val="16"/>
        </w:rPr>
        <w:t>Of the 12 official courses offered in both biennia, 11 were available in the six UN languages as well as Portuguese and one course was made available in 3 UN languages.</w:t>
      </w:r>
      <w:r>
        <w:t xml:space="preserve">  </w:t>
      </w:r>
    </w:p>
  </w:footnote>
  <w:footnote w:id="72">
    <w:p w:rsidR="000F38B9" w:rsidRPr="006A17C8" w:rsidRDefault="000F38B9" w:rsidP="00E3403E">
      <w:pPr>
        <w:pStyle w:val="FootnoteText"/>
      </w:pPr>
      <w:r w:rsidRPr="00B527D7">
        <w:rPr>
          <w:sz w:val="16"/>
          <w:szCs w:val="16"/>
          <w:vertAlign w:val="superscript"/>
        </w:rPr>
        <w:footnoteRef/>
      </w:r>
      <w:r w:rsidRPr="00B527D7">
        <w:rPr>
          <w:sz w:val="16"/>
          <w:szCs w:val="16"/>
        </w:rPr>
        <w:t xml:space="preserve"> The increase of 138 per cent in the demand for the DL advanced courses is related to the high participation of TISCs, in particular from Morocco, Madagascar and South Africa, and the increased availability of DL courses in all six UN languages by the end of 2015.</w:t>
      </w:r>
      <w:r>
        <w:t xml:space="preserve">  </w:t>
      </w:r>
    </w:p>
  </w:footnote>
  <w:footnote w:id="73">
    <w:p w:rsidR="000F38B9" w:rsidRPr="00C92C63" w:rsidRDefault="000F38B9" w:rsidP="00E3403E">
      <w:pPr>
        <w:pStyle w:val="FootnoteText"/>
        <w:rPr>
          <w:sz w:val="16"/>
          <w:szCs w:val="16"/>
        </w:rPr>
      </w:pPr>
      <w:r w:rsidRPr="00B9794F">
        <w:rPr>
          <w:sz w:val="16"/>
          <w:szCs w:val="16"/>
          <w:vertAlign w:val="superscript"/>
        </w:rPr>
        <w:footnoteRef/>
      </w:r>
      <w:r>
        <w:rPr>
          <w:sz w:val="16"/>
          <w:szCs w:val="16"/>
        </w:rPr>
        <w:t xml:space="preserve"> </w:t>
      </w:r>
      <w:r w:rsidRPr="00C92C63">
        <w:rPr>
          <w:sz w:val="16"/>
          <w:szCs w:val="16"/>
        </w:rPr>
        <w:t>The higher level of participation from Latin America and the Caribbean was primarily due to the customized version of the General course on IP (DL-101) in Portuguese and Spanish.</w:t>
      </w:r>
    </w:p>
  </w:footnote>
  <w:footnote w:id="74">
    <w:p w:rsidR="000F38B9" w:rsidRPr="00C20768" w:rsidRDefault="000F38B9">
      <w:pPr>
        <w:pStyle w:val="FootnoteText"/>
        <w:rPr>
          <w:sz w:val="16"/>
          <w:szCs w:val="16"/>
        </w:rPr>
      </w:pPr>
      <w:r w:rsidRPr="00C20768">
        <w:rPr>
          <w:rStyle w:val="FootnoteReference"/>
          <w:sz w:val="16"/>
          <w:szCs w:val="16"/>
        </w:rPr>
        <w:footnoteRef/>
      </w:r>
      <w:r w:rsidRPr="00C20768">
        <w:rPr>
          <w:sz w:val="16"/>
          <w:szCs w:val="16"/>
        </w:rPr>
        <w:t xml:space="preserve"> </w:t>
      </w:r>
      <w:r>
        <w:rPr>
          <w:sz w:val="16"/>
          <w:szCs w:val="16"/>
        </w:rPr>
        <w:t xml:space="preserve">Corrigendum:  In 2014, general courses were offered in 13 languages (including English), not 12 as reported in the PPR 2014. </w:t>
      </w:r>
    </w:p>
  </w:footnote>
  <w:footnote w:id="75">
    <w:p w:rsidR="000F38B9" w:rsidRDefault="000F38B9" w:rsidP="00E3403E">
      <w:pPr>
        <w:pStyle w:val="FootnoteText"/>
      </w:pPr>
      <w:r w:rsidRPr="00BD18C1">
        <w:rPr>
          <w:sz w:val="16"/>
          <w:szCs w:val="16"/>
          <w:vertAlign w:val="superscript"/>
        </w:rPr>
        <w:footnoteRef/>
      </w:r>
      <w:r w:rsidRPr="00C92C63">
        <w:rPr>
          <w:sz w:val="16"/>
          <w:szCs w:val="16"/>
        </w:rPr>
        <w:t xml:space="preserve"> It should be noted that in most instances the academic year overlaps the calendar year (</w:t>
      </w:r>
      <w:r>
        <w:rPr>
          <w:sz w:val="16"/>
          <w:szCs w:val="16"/>
        </w:rPr>
        <w:t xml:space="preserve">e.g. </w:t>
      </w:r>
      <w:r w:rsidRPr="00C92C63">
        <w:rPr>
          <w:sz w:val="16"/>
          <w:szCs w:val="16"/>
        </w:rPr>
        <w:t>programs run from 2013 to 2014, 2014 to 2015</w:t>
      </w:r>
      <w:r>
        <w:rPr>
          <w:sz w:val="16"/>
          <w:szCs w:val="16"/>
        </w:rPr>
        <w:t xml:space="preserve">).  </w:t>
      </w:r>
      <w:r w:rsidRPr="00C92C63">
        <w:rPr>
          <w:sz w:val="16"/>
          <w:szCs w:val="16"/>
        </w:rPr>
        <w:t>Consequently, it is not possible in this report to correlate the number of new students with the number of graduates. However, an overall pass rate has been included by consolidating results from all LLM courses for the academic year 2014/15.</w:t>
      </w:r>
    </w:p>
  </w:footnote>
  <w:footnote w:id="76">
    <w:p w:rsidR="000F38B9" w:rsidRPr="00F92DCF" w:rsidRDefault="000F38B9" w:rsidP="00E3403E">
      <w:pPr>
        <w:pStyle w:val="FootnoteText"/>
        <w:rPr>
          <w:sz w:val="16"/>
          <w:szCs w:val="16"/>
        </w:rPr>
      </w:pPr>
      <w:r w:rsidRPr="00C432D5">
        <w:rPr>
          <w:rStyle w:val="FootnoteReference"/>
          <w:sz w:val="16"/>
          <w:szCs w:val="16"/>
        </w:rPr>
        <w:footnoteRef/>
      </w:r>
      <w:r w:rsidRPr="00C432D5">
        <w:rPr>
          <w:sz w:val="16"/>
          <w:szCs w:val="16"/>
        </w:rPr>
        <w:t xml:space="preserve"> In 2014, the Joint Master Program with</w:t>
      </w:r>
      <w:r w:rsidRPr="00C432D5">
        <w:rPr>
          <w:rFonts w:eastAsiaTheme="minorHAnsi" w:cs="Arial"/>
          <w:sz w:val="16"/>
          <w:szCs w:val="16"/>
        </w:rPr>
        <w:t xml:space="preserve"> the Haifa University (Israel) was discontinued.</w:t>
      </w:r>
      <w:r w:rsidRPr="00F92DCF">
        <w:rPr>
          <w:rFonts w:eastAsiaTheme="minorHAnsi" w:cs="Arial"/>
          <w:sz w:val="16"/>
          <w:szCs w:val="16"/>
        </w:rPr>
        <w:t xml:space="preserve">  </w:t>
      </w:r>
    </w:p>
  </w:footnote>
  <w:footnote w:id="77">
    <w:p w:rsidR="000F38B9" w:rsidRPr="00BD18C1" w:rsidRDefault="000F38B9" w:rsidP="00E3403E">
      <w:pPr>
        <w:pStyle w:val="FootnoteText"/>
        <w:rPr>
          <w:sz w:val="16"/>
          <w:szCs w:val="16"/>
        </w:rPr>
      </w:pPr>
      <w:r w:rsidRPr="00BD18C1">
        <w:rPr>
          <w:rStyle w:val="FootnoteReference"/>
          <w:sz w:val="16"/>
          <w:szCs w:val="16"/>
        </w:rPr>
        <w:footnoteRef/>
      </w:r>
      <w:r w:rsidRPr="00BD18C1">
        <w:rPr>
          <w:sz w:val="16"/>
          <w:szCs w:val="16"/>
        </w:rPr>
        <w:t xml:space="preserve"> Corrigendum: Due to a typographical error, the figure reported in the PPR 2014 was reported at 247 teachers.</w:t>
      </w:r>
    </w:p>
  </w:footnote>
  <w:footnote w:id="78">
    <w:p w:rsidR="000F38B9" w:rsidRDefault="000F38B9">
      <w:pPr>
        <w:pStyle w:val="FootnoteText"/>
      </w:pPr>
      <w:r w:rsidRPr="00F64CE5">
        <w:rPr>
          <w:rStyle w:val="FootnoteReference"/>
          <w:sz w:val="16"/>
          <w:szCs w:val="16"/>
        </w:rPr>
        <w:footnoteRef/>
      </w:r>
      <w:r w:rsidRPr="00F64CE5">
        <w:rPr>
          <w:sz w:val="16"/>
          <w:szCs w:val="16"/>
        </w:rPr>
        <w:t xml:space="preserve"> </w:t>
      </w:r>
      <w:r w:rsidRPr="006B5BBA">
        <w:rPr>
          <w:sz w:val="16"/>
          <w:szCs w:val="16"/>
        </w:rPr>
        <w:t>Available is defined as having been translated into the language and able to be offered to partner IP Offices.  It should be noted that in a given year not all available courses are offered in all language versions, depending on when the new language version might become available in the year and/or the preparedness of the partner IP Offices with whom the courses are run.</w:t>
      </w:r>
    </w:p>
  </w:footnote>
  <w:footnote w:id="79">
    <w:p w:rsidR="000F38B9" w:rsidRPr="006C688C" w:rsidRDefault="000F38B9" w:rsidP="00C25166">
      <w:pPr>
        <w:pStyle w:val="FootnoteText"/>
        <w:rPr>
          <w:sz w:val="16"/>
          <w:szCs w:val="16"/>
        </w:rPr>
      </w:pPr>
      <w:r w:rsidRPr="006C688C">
        <w:rPr>
          <w:rStyle w:val="FootnoteReference"/>
          <w:sz w:val="16"/>
          <w:szCs w:val="16"/>
        </w:rPr>
        <w:footnoteRef/>
      </w:r>
      <w:r w:rsidRPr="006C688C">
        <w:rPr>
          <w:sz w:val="16"/>
          <w:szCs w:val="16"/>
        </w:rPr>
        <w:t xml:space="preserve"> Contribution to this publication was done under the FIT US SMEs, which was closed during Q1 2015. </w:t>
      </w:r>
    </w:p>
  </w:footnote>
  <w:footnote w:id="80">
    <w:p w:rsidR="000F38B9" w:rsidRPr="00951631" w:rsidRDefault="000F38B9" w:rsidP="00C25166">
      <w:pPr>
        <w:pStyle w:val="FootnoteText"/>
        <w:rPr>
          <w:sz w:val="16"/>
          <w:szCs w:val="16"/>
        </w:rPr>
      </w:pPr>
      <w:r>
        <w:rPr>
          <w:rStyle w:val="FootnoteReference"/>
        </w:rPr>
        <w:footnoteRef/>
      </w:r>
      <w:r>
        <w:t xml:space="preserve"> </w:t>
      </w:r>
      <w:r>
        <w:rPr>
          <w:sz w:val="16"/>
          <w:szCs w:val="16"/>
        </w:rPr>
        <w:t>See</w:t>
      </w:r>
      <w:r w:rsidRPr="00951631">
        <w:rPr>
          <w:sz w:val="16"/>
          <w:szCs w:val="16"/>
        </w:rPr>
        <w:t xml:space="preserve"> Program 10.</w:t>
      </w:r>
    </w:p>
  </w:footnote>
  <w:footnote w:id="81">
    <w:p w:rsidR="000F38B9" w:rsidRPr="00316356" w:rsidRDefault="000F38B9" w:rsidP="00B22C7E">
      <w:pPr>
        <w:pStyle w:val="FootnoteText"/>
        <w:rPr>
          <w:sz w:val="16"/>
          <w:szCs w:val="16"/>
        </w:rPr>
      </w:pPr>
      <w:r w:rsidRPr="00316356">
        <w:rPr>
          <w:rStyle w:val="FootnoteReference"/>
        </w:rPr>
        <w:footnoteRef/>
      </w:r>
      <w:r w:rsidRPr="00316356">
        <w:rPr>
          <w:sz w:val="16"/>
          <w:szCs w:val="16"/>
        </w:rPr>
        <w:t xml:space="preserve"> Corrigendum:  The total number of amendments in 2013 was 423 as reported in the PPR 2012/13, not 432 as reported in the PPR</w:t>
      </w:r>
      <w:r>
        <w:rPr>
          <w:sz w:val="16"/>
          <w:szCs w:val="16"/>
        </w:rPr>
        <w:t> </w:t>
      </w:r>
      <w:r w:rsidRPr="00316356">
        <w:rPr>
          <w:sz w:val="16"/>
          <w:szCs w:val="16"/>
        </w:rPr>
        <w:t>2014.</w:t>
      </w:r>
    </w:p>
  </w:footnote>
  <w:footnote w:id="82">
    <w:p w:rsidR="000F38B9" w:rsidRPr="00C037D0" w:rsidRDefault="000F38B9" w:rsidP="00B22C7E">
      <w:pPr>
        <w:pStyle w:val="Default"/>
        <w:rPr>
          <w:sz w:val="16"/>
          <w:szCs w:val="16"/>
        </w:rPr>
      </w:pPr>
      <w:r w:rsidRPr="000E3EAD">
        <w:rPr>
          <w:rStyle w:val="FootnoteReference"/>
          <w:rFonts w:eastAsia="Times New Roman" w:cs="Times New Roman"/>
          <w:color w:val="auto"/>
          <w:sz w:val="20"/>
        </w:rPr>
        <w:footnoteRef/>
      </w:r>
      <w:r w:rsidRPr="00316356">
        <w:rPr>
          <w:sz w:val="16"/>
          <w:szCs w:val="16"/>
        </w:rPr>
        <w:t xml:space="preserve"> Corrigendum:  The total number of amendments in 2014 was 560, not 570 as reported in the PPR 2014.</w:t>
      </w:r>
    </w:p>
  </w:footnote>
  <w:footnote w:id="83">
    <w:p w:rsidR="000F38B9" w:rsidRPr="00E6263F" w:rsidRDefault="000F38B9" w:rsidP="00F11DB9">
      <w:pPr>
        <w:pStyle w:val="FootnoteText"/>
        <w:rPr>
          <w:sz w:val="16"/>
          <w:szCs w:val="16"/>
        </w:rPr>
      </w:pPr>
      <w:r>
        <w:rPr>
          <w:rStyle w:val="FootnoteReference"/>
        </w:rPr>
        <w:footnoteRef/>
      </w:r>
      <w:proofErr w:type="gramStart"/>
      <w:r>
        <w:rPr>
          <w:sz w:val="16"/>
          <w:szCs w:val="16"/>
        </w:rPr>
        <w:t xml:space="preserve">Formerly called </w:t>
      </w:r>
      <w:r w:rsidRPr="004B16AA">
        <w:rPr>
          <w:sz w:val="16"/>
          <w:szCs w:val="16"/>
        </w:rPr>
        <w:t>Translation Assistant for Patent Titles and Abstracts (TAPTA)</w:t>
      </w:r>
      <w:r w:rsidRPr="00E6263F">
        <w:rPr>
          <w:sz w:val="16"/>
          <w:szCs w:val="16"/>
        </w:rPr>
        <w:t>.</w:t>
      </w:r>
      <w:proofErr w:type="gramEnd"/>
    </w:p>
  </w:footnote>
  <w:footnote w:id="84">
    <w:p w:rsidR="000F38B9" w:rsidRPr="006F1155" w:rsidRDefault="000F38B9" w:rsidP="00F11DB9">
      <w:pPr>
        <w:pStyle w:val="FootnoteText"/>
        <w:rPr>
          <w:sz w:val="16"/>
          <w:szCs w:val="16"/>
        </w:rPr>
      </w:pPr>
      <w:r w:rsidRPr="006F1155">
        <w:rPr>
          <w:rStyle w:val="FootnoteReference"/>
          <w:sz w:val="16"/>
          <w:szCs w:val="16"/>
        </w:rPr>
        <w:footnoteRef/>
      </w:r>
      <w:r w:rsidRPr="006F1155">
        <w:rPr>
          <w:sz w:val="16"/>
          <w:szCs w:val="16"/>
        </w:rPr>
        <w:t xml:space="preserve"> The number of users refers to unique ‘users’ rather than unique ‘visitors</w:t>
      </w:r>
      <w:r w:rsidRPr="007F4900">
        <w:rPr>
          <w:sz w:val="16"/>
          <w:szCs w:val="16"/>
        </w:rPr>
        <w:t xml:space="preserve">’, which </w:t>
      </w:r>
      <w:r w:rsidRPr="006F1155">
        <w:rPr>
          <w:sz w:val="16"/>
          <w:szCs w:val="16"/>
        </w:rPr>
        <w:t xml:space="preserve">avoids the risk of counting the number of unique visitors who only view the page and do not perform searches, and thus provides a more accurate representation of the database usage. </w:t>
      </w:r>
    </w:p>
  </w:footnote>
  <w:footnote w:id="85">
    <w:p w:rsidR="000F38B9" w:rsidRPr="000F04C0" w:rsidRDefault="000F38B9" w:rsidP="00F11DB9">
      <w:pPr>
        <w:pStyle w:val="FootnoteText"/>
        <w:rPr>
          <w:lang w:val="fr-CH"/>
        </w:rPr>
      </w:pPr>
      <w:r w:rsidRPr="006F1155">
        <w:rPr>
          <w:rStyle w:val="FootnoteReference"/>
          <w:sz w:val="16"/>
          <w:szCs w:val="16"/>
        </w:rPr>
        <w:footnoteRef/>
      </w:r>
      <w:r w:rsidRPr="000F04C0">
        <w:rPr>
          <w:sz w:val="16"/>
          <w:szCs w:val="16"/>
          <w:lang w:val="fr-CH"/>
        </w:rPr>
        <w:t xml:space="preserve"> </w:t>
      </w:r>
      <w:r w:rsidRPr="000F04C0">
        <w:rPr>
          <w:i/>
          <w:sz w:val="16"/>
          <w:szCs w:val="16"/>
          <w:lang w:val="fr-CH"/>
        </w:rPr>
        <w:t>Idem</w:t>
      </w:r>
      <w:r w:rsidRPr="000F04C0">
        <w:rPr>
          <w:sz w:val="16"/>
          <w:szCs w:val="16"/>
          <w:lang w:val="fr-CH"/>
        </w:rPr>
        <w:t>.</w:t>
      </w:r>
    </w:p>
  </w:footnote>
  <w:footnote w:id="86">
    <w:p w:rsidR="000F38B9" w:rsidRPr="006067F7" w:rsidRDefault="000F38B9">
      <w:pPr>
        <w:pStyle w:val="FootnoteText"/>
        <w:rPr>
          <w:sz w:val="16"/>
          <w:szCs w:val="16"/>
          <w:lang w:val="fr-CH"/>
        </w:rPr>
      </w:pPr>
      <w:r w:rsidRPr="006067F7">
        <w:rPr>
          <w:rStyle w:val="FootnoteReference"/>
          <w:sz w:val="16"/>
          <w:szCs w:val="16"/>
        </w:rPr>
        <w:footnoteRef/>
      </w:r>
      <w:r w:rsidRPr="000F04C0">
        <w:rPr>
          <w:sz w:val="16"/>
          <w:szCs w:val="16"/>
          <w:lang w:val="fr-CH"/>
        </w:rPr>
        <w:t xml:space="preserve"> </w:t>
      </w:r>
      <w:r w:rsidR="00271F1E">
        <w:fldChar w:fldCharType="begin"/>
      </w:r>
      <w:r w:rsidR="00271F1E" w:rsidRPr="00271F1E">
        <w:rPr>
          <w:lang w:val="fr-FR"/>
        </w:rPr>
        <w:instrText xml:space="preserve"> HYPERLINK "http://www.wipo.int/tisc/en/search/" </w:instrText>
      </w:r>
      <w:r w:rsidR="00271F1E">
        <w:fldChar w:fldCharType="separate"/>
      </w:r>
      <w:r w:rsidRPr="000F04C0">
        <w:rPr>
          <w:rStyle w:val="Hyperlink"/>
          <w:sz w:val="16"/>
          <w:szCs w:val="16"/>
          <w:lang w:val="fr-CH"/>
        </w:rPr>
        <w:t>http://www.wipo.int/tisc/en/search/</w:t>
      </w:r>
      <w:r w:rsidR="00271F1E">
        <w:rPr>
          <w:rStyle w:val="Hyperlink"/>
          <w:sz w:val="16"/>
          <w:szCs w:val="16"/>
          <w:lang w:val="fr-CH"/>
        </w:rPr>
        <w:fldChar w:fldCharType="end"/>
      </w:r>
    </w:p>
  </w:footnote>
  <w:footnote w:id="87">
    <w:p w:rsidR="000F38B9" w:rsidRPr="006067F7" w:rsidRDefault="000F38B9" w:rsidP="00E3403E">
      <w:pPr>
        <w:pStyle w:val="FootnoteText"/>
        <w:rPr>
          <w:sz w:val="16"/>
          <w:szCs w:val="16"/>
          <w:lang w:val="fr-CH"/>
        </w:rPr>
      </w:pPr>
      <w:r w:rsidRPr="006067F7">
        <w:rPr>
          <w:rStyle w:val="FootnoteReference"/>
          <w:sz w:val="16"/>
          <w:szCs w:val="16"/>
        </w:rPr>
        <w:footnoteRef/>
      </w:r>
      <w:r w:rsidRPr="006067F7">
        <w:rPr>
          <w:sz w:val="16"/>
          <w:szCs w:val="16"/>
          <w:lang w:val="fr-CH"/>
        </w:rPr>
        <w:t xml:space="preserve"> </w:t>
      </w:r>
      <w:r w:rsidR="00271F1E">
        <w:fldChar w:fldCharType="begin"/>
      </w:r>
      <w:r w:rsidR="00271F1E" w:rsidRPr="00271F1E">
        <w:rPr>
          <w:lang w:val="fr-CH"/>
        </w:rPr>
        <w:instrText xml:space="preserve"> HYPERLINK "http://etisc.wipo.org/" </w:instrText>
      </w:r>
      <w:r w:rsidR="00271F1E">
        <w:fldChar w:fldCharType="separate"/>
      </w:r>
      <w:r w:rsidRPr="006067F7">
        <w:rPr>
          <w:rStyle w:val="Hyperlink"/>
          <w:rFonts w:cs="Arial"/>
          <w:sz w:val="16"/>
          <w:szCs w:val="16"/>
          <w:lang w:val="fr-CH"/>
        </w:rPr>
        <w:t>http://etisc.wipo.org</w:t>
      </w:r>
      <w:r w:rsidR="00271F1E">
        <w:rPr>
          <w:rStyle w:val="Hyperlink"/>
          <w:rFonts w:cs="Arial"/>
          <w:sz w:val="16"/>
          <w:szCs w:val="16"/>
          <w:lang w:val="fr-CH"/>
        </w:rPr>
        <w:fldChar w:fldCharType="end"/>
      </w:r>
    </w:p>
  </w:footnote>
  <w:footnote w:id="88">
    <w:p w:rsidR="000F38B9" w:rsidRPr="006067F7" w:rsidRDefault="000F38B9" w:rsidP="00E3403E">
      <w:pPr>
        <w:pStyle w:val="FootnoteText"/>
        <w:rPr>
          <w:sz w:val="16"/>
          <w:szCs w:val="16"/>
          <w:lang w:val="fr-CH"/>
        </w:rPr>
      </w:pPr>
      <w:r w:rsidRPr="00964A8E">
        <w:rPr>
          <w:rStyle w:val="FootnoteReference"/>
          <w:sz w:val="16"/>
          <w:szCs w:val="16"/>
        </w:rPr>
        <w:footnoteRef/>
      </w:r>
      <w:r w:rsidRPr="00964A8E">
        <w:rPr>
          <w:sz w:val="16"/>
          <w:szCs w:val="16"/>
          <w:lang w:val="fr-CH"/>
        </w:rPr>
        <w:t xml:space="preserve"> </w:t>
      </w:r>
      <w:r w:rsidR="00271F1E">
        <w:fldChar w:fldCharType="begin"/>
      </w:r>
      <w:r w:rsidR="00271F1E" w:rsidRPr="00271F1E">
        <w:rPr>
          <w:lang w:val="fr-CH"/>
        </w:rPr>
        <w:instrText xml:space="preserve"> HYPERLINK "http://www.wipo.int/tisc/en/etutorial.html" </w:instrText>
      </w:r>
      <w:r w:rsidR="00271F1E">
        <w:fldChar w:fldCharType="separate"/>
      </w:r>
      <w:r w:rsidRPr="00A36229">
        <w:rPr>
          <w:rStyle w:val="Hyperlink"/>
          <w:rFonts w:cs="Arial"/>
          <w:sz w:val="16"/>
          <w:szCs w:val="16"/>
          <w:lang w:val="fr-CH"/>
        </w:rPr>
        <w:t>http://www.wipo.int/tisc/en/etutorial.html</w:t>
      </w:r>
      <w:r w:rsidR="00271F1E">
        <w:rPr>
          <w:rStyle w:val="Hyperlink"/>
          <w:rFonts w:cs="Arial"/>
          <w:sz w:val="16"/>
          <w:szCs w:val="16"/>
          <w:lang w:val="fr-CH"/>
        </w:rPr>
        <w:fldChar w:fldCharType="end"/>
      </w:r>
      <w:r>
        <w:rPr>
          <w:rFonts w:cs="Arial"/>
          <w:sz w:val="16"/>
          <w:szCs w:val="16"/>
          <w:lang w:val="fr-CH"/>
        </w:rPr>
        <w:t xml:space="preserve"> </w:t>
      </w:r>
    </w:p>
  </w:footnote>
  <w:footnote w:id="89">
    <w:p w:rsidR="000F38B9" w:rsidRPr="008C5DB6" w:rsidRDefault="000F38B9">
      <w:pPr>
        <w:pStyle w:val="FootnoteText"/>
        <w:rPr>
          <w:sz w:val="16"/>
          <w:szCs w:val="16"/>
          <w:lang w:val="fr-CH"/>
        </w:rPr>
      </w:pPr>
      <w:r w:rsidRPr="009B1837">
        <w:rPr>
          <w:rStyle w:val="FootnoteReference"/>
          <w:sz w:val="16"/>
          <w:szCs w:val="16"/>
        </w:rPr>
        <w:footnoteRef/>
      </w:r>
      <w:r w:rsidRPr="008C5DB6">
        <w:rPr>
          <w:sz w:val="16"/>
          <w:szCs w:val="16"/>
          <w:lang w:val="fr-CH"/>
        </w:rPr>
        <w:t xml:space="preserve"> </w:t>
      </w:r>
      <w:r w:rsidR="00271F1E">
        <w:fldChar w:fldCharType="begin"/>
      </w:r>
      <w:r w:rsidR="00271F1E" w:rsidRPr="00271F1E">
        <w:rPr>
          <w:lang w:val="fr-CH"/>
        </w:rPr>
        <w:instrText xml:space="preserve"> HYPERLINK "http://www.wipo.int/tisc/fr/etutorial/main.html" </w:instrText>
      </w:r>
      <w:r w:rsidR="00271F1E">
        <w:fldChar w:fldCharType="separate"/>
      </w:r>
      <w:r w:rsidRPr="008C5DB6">
        <w:rPr>
          <w:rStyle w:val="Hyperlink"/>
          <w:sz w:val="16"/>
          <w:szCs w:val="16"/>
          <w:lang w:val="fr-CH"/>
        </w:rPr>
        <w:t>http://www.wipo.int/tisc/fr/etutorial/main.html</w:t>
      </w:r>
      <w:r w:rsidR="00271F1E">
        <w:rPr>
          <w:rStyle w:val="Hyperlink"/>
          <w:sz w:val="16"/>
          <w:szCs w:val="16"/>
          <w:lang w:val="fr-CH"/>
        </w:rPr>
        <w:fldChar w:fldCharType="end"/>
      </w:r>
      <w:r w:rsidRPr="008C5DB6">
        <w:rPr>
          <w:sz w:val="16"/>
          <w:szCs w:val="16"/>
          <w:lang w:val="fr-CH"/>
        </w:rPr>
        <w:t xml:space="preserve"> </w:t>
      </w:r>
    </w:p>
  </w:footnote>
  <w:footnote w:id="90">
    <w:p w:rsidR="000F38B9" w:rsidRPr="008C5DB6" w:rsidRDefault="000F38B9">
      <w:pPr>
        <w:pStyle w:val="FootnoteText"/>
        <w:rPr>
          <w:lang w:val="fr-CH"/>
        </w:rPr>
      </w:pPr>
      <w:r w:rsidRPr="00701465">
        <w:rPr>
          <w:rStyle w:val="FootnoteReference"/>
          <w:sz w:val="16"/>
          <w:szCs w:val="16"/>
        </w:rPr>
        <w:footnoteRef/>
      </w:r>
      <w:r w:rsidRPr="008C5DB6">
        <w:rPr>
          <w:sz w:val="16"/>
          <w:szCs w:val="16"/>
          <w:lang w:val="fr-CH"/>
        </w:rPr>
        <w:t xml:space="preserve"> http://poldham.github.io/project_files/</w:t>
      </w:r>
      <w:r>
        <w:rPr>
          <w:sz w:val="16"/>
          <w:szCs w:val="16"/>
          <w:lang w:val="fr-CH"/>
        </w:rPr>
        <w:t xml:space="preserve"> </w:t>
      </w:r>
    </w:p>
  </w:footnote>
  <w:footnote w:id="91">
    <w:p w:rsidR="000F38B9" w:rsidRPr="00D2060F" w:rsidRDefault="000F38B9">
      <w:pPr>
        <w:pStyle w:val="FootnoteText"/>
        <w:rPr>
          <w:sz w:val="16"/>
          <w:szCs w:val="16"/>
        </w:rPr>
      </w:pPr>
      <w:r w:rsidRPr="00D2060F">
        <w:rPr>
          <w:rStyle w:val="FootnoteReference"/>
          <w:sz w:val="16"/>
          <w:szCs w:val="16"/>
        </w:rPr>
        <w:footnoteRef/>
      </w:r>
      <w:r w:rsidRPr="00D2060F">
        <w:rPr>
          <w:sz w:val="16"/>
          <w:szCs w:val="16"/>
        </w:rPr>
        <w:t xml:space="preserve"> </w:t>
      </w:r>
      <w:r>
        <w:rPr>
          <w:sz w:val="16"/>
          <w:szCs w:val="16"/>
        </w:rPr>
        <w:t>S</w:t>
      </w:r>
      <w:r w:rsidRPr="00D2060F">
        <w:rPr>
          <w:sz w:val="16"/>
          <w:szCs w:val="16"/>
        </w:rPr>
        <w:t>tatistics from previous years have been updated with information received since the</w:t>
      </w:r>
      <w:r>
        <w:rPr>
          <w:sz w:val="16"/>
          <w:szCs w:val="16"/>
        </w:rPr>
        <w:t xml:space="preserve"> date of publication of the </w:t>
      </w:r>
      <w:r w:rsidRPr="00D2060F">
        <w:rPr>
          <w:sz w:val="16"/>
          <w:szCs w:val="16"/>
        </w:rPr>
        <w:t>last report.</w:t>
      </w:r>
    </w:p>
  </w:footnote>
  <w:footnote w:id="92">
    <w:p w:rsidR="000F38B9" w:rsidRPr="006D22A6" w:rsidRDefault="000F38B9">
      <w:pPr>
        <w:pStyle w:val="FootnoteText"/>
        <w:rPr>
          <w:sz w:val="16"/>
          <w:szCs w:val="16"/>
        </w:rPr>
      </w:pPr>
      <w:r w:rsidRPr="006D22A6">
        <w:rPr>
          <w:rStyle w:val="FootnoteReference"/>
          <w:sz w:val="16"/>
          <w:szCs w:val="16"/>
        </w:rPr>
        <w:footnoteRef/>
      </w:r>
      <w:r w:rsidRPr="006D22A6">
        <w:rPr>
          <w:sz w:val="16"/>
          <w:szCs w:val="16"/>
        </w:rPr>
        <w:t xml:space="preserve"> </w:t>
      </w:r>
      <w:r>
        <w:rPr>
          <w:sz w:val="16"/>
          <w:szCs w:val="16"/>
        </w:rPr>
        <w:t>Corrigendum:  In the 2014 PPR, Republic Korea was included under ‘Other’ and not the Asia and the Pacific Region.</w:t>
      </w:r>
    </w:p>
  </w:footnote>
  <w:footnote w:id="93">
    <w:p w:rsidR="000F38B9" w:rsidRPr="00B84105" w:rsidRDefault="000F38B9">
      <w:pPr>
        <w:pStyle w:val="FootnoteText"/>
        <w:rPr>
          <w:sz w:val="16"/>
          <w:szCs w:val="16"/>
        </w:rPr>
      </w:pPr>
      <w:r w:rsidRPr="00B84105">
        <w:rPr>
          <w:rStyle w:val="FootnoteReference"/>
          <w:sz w:val="16"/>
          <w:szCs w:val="16"/>
        </w:rPr>
        <w:footnoteRef/>
      </w:r>
      <w:r w:rsidRPr="00B84105">
        <w:rPr>
          <w:sz w:val="16"/>
          <w:szCs w:val="16"/>
        </w:rPr>
        <w:t xml:space="preserve"> </w:t>
      </w:r>
      <w:r w:rsidRPr="0003661F">
        <w:rPr>
          <w:sz w:val="16"/>
          <w:szCs w:val="16"/>
        </w:rPr>
        <w:t>In June 2014, a new version of the IP Statistics Data Center was implemented</w:t>
      </w:r>
      <w:r>
        <w:rPr>
          <w:sz w:val="16"/>
          <w:szCs w:val="16"/>
        </w:rPr>
        <w:t xml:space="preserve">, resulting in the inability to track the </w:t>
      </w:r>
      <w:r w:rsidRPr="0003661F">
        <w:rPr>
          <w:sz w:val="16"/>
          <w:szCs w:val="16"/>
        </w:rPr>
        <w:t>data for the second half of the year.</w:t>
      </w:r>
      <w:r>
        <w:t xml:space="preserve"> </w:t>
      </w:r>
    </w:p>
  </w:footnote>
  <w:footnote w:id="94">
    <w:p w:rsidR="000F38B9" w:rsidRPr="002B3AE7" w:rsidRDefault="000F38B9">
      <w:pPr>
        <w:pStyle w:val="FootnoteText"/>
        <w:rPr>
          <w:sz w:val="16"/>
          <w:szCs w:val="16"/>
        </w:rPr>
      </w:pPr>
      <w:r w:rsidRPr="002B3AE7">
        <w:rPr>
          <w:rStyle w:val="FootnoteReference"/>
          <w:sz w:val="16"/>
          <w:szCs w:val="16"/>
        </w:rPr>
        <w:footnoteRef/>
      </w:r>
      <w:r w:rsidRPr="002B3AE7">
        <w:rPr>
          <w:sz w:val="16"/>
          <w:szCs w:val="16"/>
        </w:rPr>
        <w:t xml:space="preserve"> http://www.wipo.int/econ_stat/en/economics/gii/</w:t>
      </w:r>
    </w:p>
  </w:footnote>
  <w:footnote w:id="95">
    <w:p w:rsidR="000F38B9" w:rsidRPr="001F26BB" w:rsidRDefault="000F38B9" w:rsidP="00B9043D">
      <w:pPr>
        <w:pStyle w:val="FootnoteText"/>
        <w:rPr>
          <w:sz w:val="16"/>
          <w:szCs w:val="16"/>
        </w:rPr>
      </w:pPr>
      <w:r w:rsidRPr="001F26BB">
        <w:rPr>
          <w:rStyle w:val="FootnoteReference"/>
          <w:sz w:val="16"/>
          <w:szCs w:val="16"/>
        </w:rPr>
        <w:footnoteRef/>
      </w:r>
      <w:r w:rsidRPr="001F26BB">
        <w:rPr>
          <w:sz w:val="16"/>
          <w:szCs w:val="16"/>
        </w:rPr>
        <w:t xml:space="preserve"> https://www.globalinnovationindex.org/content/page/GII-Home</w:t>
      </w:r>
    </w:p>
  </w:footnote>
  <w:footnote w:id="96">
    <w:p w:rsidR="000F38B9" w:rsidRPr="00A34E52" w:rsidRDefault="000F38B9">
      <w:pPr>
        <w:pStyle w:val="FootnoteText"/>
        <w:rPr>
          <w:sz w:val="16"/>
          <w:szCs w:val="16"/>
        </w:rPr>
      </w:pPr>
      <w:r w:rsidRPr="00A34E52">
        <w:rPr>
          <w:rStyle w:val="FootnoteReference"/>
          <w:sz w:val="16"/>
          <w:szCs w:val="16"/>
        </w:rPr>
        <w:footnoteRef/>
      </w:r>
      <w:r w:rsidRPr="00A34E52">
        <w:rPr>
          <w:sz w:val="16"/>
          <w:szCs w:val="16"/>
        </w:rPr>
        <w:t xml:space="preserve"> http://www.wipo.int/edocs/pubdocs/en/wipo_rep_rfip_2015_1.pdf</w:t>
      </w:r>
    </w:p>
  </w:footnote>
  <w:footnote w:id="97">
    <w:p w:rsidR="000F38B9" w:rsidRPr="004F36D0" w:rsidRDefault="000F38B9" w:rsidP="00B9043D">
      <w:pPr>
        <w:pStyle w:val="FootnoteText"/>
        <w:jc w:val="both"/>
        <w:rPr>
          <w:sz w:val="16"/>
          <w:szCs w:val="16"/>
        </w:rPr>
      </w:pPr>
      <w:r w:rsidRPr="00FC1857">
        <w:rPr>
          <w:rStyle w:val="FootnoteReference"/>
          <w:sz w:val="16"/>
          <w:szCs w:val="16"/>
        </w:rPr>
        <w:footnoteRef/>
      </w:r>
      <w:r>
        <w:t xml:space="preserve"> </w:t>
      </w:r>
      <w:r>
        <w:rPr>
          <w:sz w:val="16"/>
          <w:szCs w:val="16"/>
        </w:rPr>
        <w:t>Corrigendum: The actual number of countries that participated in the WIPO Awards Program in 2014 was 40 and not 38 as reported in the PPR 2014.</w:t>
      </w:r>
    </w:p>
  </w:footnote>
  <w:footnote w:id="98">
    <w:p w:rsidR="000F38B9" w:rsidRPr="00FC1857" w:rsidRDefault="000F38B9" w:rsidP="00B9043D">
      <w:pPr>
        <w:pStyle w:val="FootnoteText"/>
        <w:jc w:val="both"/>
        <w:rPr>
          <w:sz w:val="16"/>
          <w:szCs w:val="16"/>
        </w:rPr>
      </w:pPr>
      <w:r w:rsidRPr="00FC1857">
        <w:rPr>
          <w:rStyle w:val="FootnoteReference"/>
          <w:sz w:val="16"/>
          <w:szCs w:val="16"/>
        </w:rPr>
        <w:footnoteRef/>
      </w:r>
      <w:r w:rsidRPr="00FC1857">
        <w:rPr>
          <w:sz w:val="16"/>
          <w:szCs w:val="16"/>
        </w:rPr>
        <w:t xml:space="preserve"> Strategic collaborations capture partnerships of systematic and long-term nature, including those established t</w:t>
      </w:r>
      <w:r>
        <w:rPr>
          <w:sz w:val="16"/>
          <w:szCs w:val="16"/>
        </w:rPr>
        <w:t xml:space="preserve">hrough cooperation agreements, and </w:t>
      </w:r>
      <w:r w:rsidRPr="00FC1857">
        <w:rPr>
          <w:sz w:val="16"/>
          <w:szCs w:val="16"/>
        </w:rPr>
        <w:t>address elements of building respect for IP.</w:t>
      </w:r>
    </w:p>
  </w:footnote>
  <w:footnote w:id="99">
    <w:p w:rsidR="000F38B9" w:rsidRPr="008E2F3F" w:rsidRDefault="000F38B9" w:rsidP="00B9043D">
      <w:pPr>
        <w:pStyle w:val="FootnoteText"/>
        <w:jc w:val="both"/>
        <w:rPr>
          <w:sz w:val="16"/>
          <w:szCs w:val="16"/>
        </w:rPr>
      </w:pPr>
      <w:r w:rsidRPr="008E2F3F">
        <w:rPr>
          <w:rStyle w:val="FootnoteReference"/>
          <w:sz w:val="16"/>
          <w:szCs w:val="16"/>
        </w:rPr>
        <w:footnoteRef/>
      </w:r>
      <w:r w:rsidRPr="008E2F3F">
        <w:rPr>
          <w:sz w:val="16"/>
          <w:szCs w:val="16"/>
        </w:rPr>
        <w:t xml:space="preserve"> </w:t>
      </w:r>
      <w:r>
        <w:rPr>
          <w:sz w:val="16"/>
          <w:szCs w:val="16"/>
        </w:rPr>
        <w:t>Corrigendum: The total number of jointly held activities for 2014 was actually 35 and not 30 as reported in the PPR 2014.</w:t>
      </w:r>
    </w:p>
  </w:footnote>
  <w:footnote w:id="100">
    <w:p w:rsidR="000F38B9" w:rsidRPr="008B625F" w:rsidRDefault="000F38B9">
      <w:pPr>
        <w:pStyle w:val="FootnoteText"/>
        <w:rPr>
          <w:sz w:val="16"/>
          <w:szCs w:val="16"/>
        </w:rPr>
      </w:pPr>
      <w:r w:rsidRPr="008B625F">
        <w:rPr>
          <w:rStyle w:val="FootnoteReference"/>
          <w:sz w:val="16"/>
          <w:szCs w:val="16"/>
        </w:rPr>
        <w:footnoteRef/>
      </w:r>
      <w:r w:rsidRPr="008B625F">
        <w:rPr>
          <w:sz w:val="16"/>
          <w:szCs w:val="16"/>
        </w:rPr>
        <w:t xml:space="preserve"> http://www.wipo.int/export/sites/www/about-wipo/en/oversight/iaod/evaluation/pdf/evaluation_strategic_goal_vi.pdf</w:t>
      </w:r>
    </w:p>
  </w:footnote>
  <w:footnote w:id="101">
    <w:p w:rsidR="000F38B9" w:rsidRPr="0000286F" w:rsidRDefault="000F38B9" w:rsidP="007854A1">
      <w:pPr>
        <w:pStyle w:val="FootnoteText"/>
        <w:spacing w:after="60"/>
        <w:rPr>
          <w:sz w:val="16"/>
          <w:szCs w:val="16"/>
        </w:rPr>
      </w:pPr>
      <w:r w:rsidRPr="0000286F">
        <w:rPr>
          <w:rStyle w:val="FootnoteReference"/>
          <w:sz w:val="16"/>
          <w:szCs w:val="16"/>
        </w:rPr>
        <w:footnoteRef/>
      </w:r>
      <w:r w:rsidRPr="0000286F">
        <w:rPr>
          <w:sz w:val="16"/>
          <w:szCs w:val="16"/>
        </w:rPr>
        <w:t xml:space="preserve"> Global Challenges Briefs published in 2014/15:  (i) </w:t>
      </w:r>
      <w:hyperlink r:id="rId7" w:history="1">
        <w:r w:rsidRPr="0000286F">
          <w:rPr>
            <w:rStyle w:val="Hyperlink"/>
            <w:bCs/>
            <w:i/>
            <w:sz w:val="16"/>
            <w:szCs w:val="16"/>
          </w:rPr>
          <w:t>The Acceleration of Climate Change and Mitigation Technologies: Intellectual Property Trends in the Renewable Energy Landscape</w:t>
        </w:r>
      </w:hyperlink>
      <w:r w:rsidRPr="0000286F">
        <w:rPr>
          <w:i/>
          <w:sz w:val="16"/>
          <w:szCs w:val="16"/>
        </w:rPr>
        <w:t xml:space="preserve"> (2014);  (ii) </w:t>
      </w:r>
      <w:hyperlink r:id="rId8" w:history="1">
        <w:r w:rsidRPr="0000286F">
          <w:rPr>
            <w:rStyle w:val="Hyperlink"/>
            <w:bCs/>
            <w:i/>
            <w:sz w:val="16"/>
            <w:szCs w:val="16"/>
          </w:rPr>
          <w:t>Incentivizing the Adoption of Green Technology on a Global Scale</w:t>
        </w:r>
      </w:hyperlink>
      <w:r w:rsidRPr="0000286F">
        <w:rPr>
          <w:i/>
          <w:sz w:val="16"/>
          <w:szCs w:val="16"/>
        </w:rPr>
        <w:t xml:space="preserve">, released at UNFCCC’s COP 20 in Lima (2014);  (iii) </w:t>
      </w:r>
      <w:hyperlink r:id="rId9" w:history="1">
        <w:r w:rsidRPr="0000286F">
          <w:rPr>
            <w:rStyle w:val="Hyperlink"/>
            <w:bCs/>
            <w:i/>
            <w:sz w:val="16"/>
            <w:szCs w:val="16"/>
          </w:rPr>
          <w:t>The Changing Landscape of Medical Innovation: How Have Business Models Responded?</w:t>
        </w:r>
      </w:hyperlink>
      <w:r w:rsidRPr="0000286F">
        <w:rPr>
          <w:i/>
          <w:sz w:val="16"/>
          <w:szCs w:val="16"/>
        </w:rPr>
        <w:t xml:space="preserve"> (2014);  (iv) </w:t>
      </w:r>
      <w:hyperlink r:id="rId10" w:history="1">
        <w:r w:rsidRPr="0000286F">
          <w:rPr>
            <w:rStyle w:val="Hyperlink"/>
            <w:bCs/>
            <w:i/>
            <w:sz w:val="16"/>
            <w:szCs w:val="16"/>
          </w:rPr>
          <w:t>Promoting Medical Innovation and Access, Together</w:t>
        </w:r>
      </w:hyperlink>
      <w:r w:rsidRPr="0000286F">
        <w:rPr>
          <w:i/>
          <w:sz w:val="16"/>
          <w:szCs w:val="16"/>
        </w:rPr>
        <w:t xml:space="preserve"> (2015)</w:t>
      </w:r>
    </w:p>
    <w:p w:rsidR="000F38B9" w:rsidRPr="0000286F" w:rsidRDefault="000F38B9">
      <w:pPr>
        <w:pStyle w:val="FootnoteText"/>
        <w:rPr>
          <w:sz w:val="2"/>
          <w:szCs w:val="2"/>
        </w:rPr>
      </w:pPr>
    </w:p>
  </w:footnote>
  <w:footnote w:id="102">
    <w:p w:rsidR="000F38B9" w:rsidRPr="0000286F" w:rsidRDefault="000F38B9" w:rsidP="007854A1">
      <w:pPr>
        <w:pStyle w:val="Default"/>
        <w:tabs>
          <w:tab w:val="left" w:pos="709"/>
        </w:tabs>
        <w:jc w:val="both"/>
        <w:rPr>
          <w:bCs/>
          <w:color w:val="000000" w:themeColor="text1"/>
          <w:sz w:val="16"/>
          <w:szCs w:val="16"/>
        </w:rPr>
      </w:pPr>
      <w:r w:rsidRPr="0000286F">
        <w:rPr>
          <w:rStyle w:val="FootnoteReference"/>
          <w:sz w:val="16"/>
          <w:szCs w:val="16"/>
        </w:rPr>
        <w:footnoteRef/>
      </w:r>
      <w:r w:rsidRPr="0000286F">
        <w:rPr>
          <w:sz w:val="16"/>
          <w:szCs w:val="16"/>
        </w:rPr>
        <w:t xml:space="preserve"> </w:t>
      </w:r>
      <w:r>
        <w:rPr>
          <w:sz w:val="16"/>
          <w:szCs w:val="16"/>
        </w:rPr>
        <w:t>G</w:t>
      </w:r>
      <w:r w:rsidRPr="0000286F">
        <w:rPr>
          <w:sz w:val="16"/>
          <w:szCs w:val="16"/>
        </w:rPr>
        <w:t xml:space="preserve">lobal Challenges Reports published in 2014/15:  (i) </w:t>
      </w:r>
      <w:hyperlink r:id="rId11" w:history="1">
        <w:r w:rsidRPr="0000286F">
          <w:rPr>
            <w:rStyle w:val="Hyperlink"/>
            <w:bCs/>
            <w:sz w:val="16"/>
            <w:szCs w:val="16"/>
          </w:rPr>
          <w:t>Renewable Energy Technology: Evolution and Policy Implications – Evidence from Patent Literature</w:t>
        </w:r>
      </w:hyperlink>
      <w:r w:rsidRPr="0000286F">
        <w:rPr>
          <w:i/>
          <w:iCs/>
          <w:sz w:val="16"/>
          <w:szCs w:val="16"/>
        </w:rPr>
        <w:t xml:space="preserve"> (2014)</w:t>
      </w:r>
      <w:r w:rsidRPr="0000286F">
        <w:rPr>
          <w:sz w:val="16"/>
          <w:szCs w:val="16"/>
        </w:rPr>
        <w:t xml:space="preserve">;  (ii)  </w:t>
      </w:r>
      <w:hyperlink r:id="rId12" w:history="1">
        <w:r w:rsidRPr="0000286F">
          <w:rPr>
            <w:rStyle w:val="Hyperlink"/>
            <w:bCs/>
            <w:i/>
            <w:sz w:val="16"/>
            <w:szCs w:val="16"/>
          </w:rPr>
          <w:t>Innovation and Diffusion of Green Technologies: The Role of Intellectual Property and Other Enabling Factors</w:t>
        </w:r>
      </w:hyperlink>
      <w:r w:rsidRPr="0000286F">
        <w:rPr>
          <w:sz w:val="16"/>
          <w:szCs w:val="16"/>
        </w:rPr>
        <w:t xml:space="preserve"> (2015);  (i</w:t>
      </w:r>
      <w:r>
        <w:rPr>
          <w:sz w:val="16"/>
          <w:szCs w:val="16"/>
        </w:rPr>
        <w:t>ii</w:t>
      </w:r>
      <w:r w:rsidRPr="0000286F">
        <w:rPr>
          <w:sz w:val="16"/>
          <w:szCs w:val="16"/>
        </w:rPr>
        <w:t xml:space="preserve">) </w:t>
      </w:r>
      <w:hyperlink r:id="rId13" w:history="1">
        <w:r w:rsidRPr="0000286F">
          <w:rPr>
            <w:rStyle w:val="Hyperlink"/>
            <w:i/>
            <w:sz w:val="16"/>
            <w:szCs w:val="16"/>
          </w:rPr>
          <w:t>Strategic Review of WIPO Re:Search</w:t>
        </w:r>
      </w:hyperlink>
      <w:r w:rsidRPr="0000286F">
        <w:rPr>
          <w:sz w:val="16"/>
          <w:szCs w:val="16"/>
        </w:rPr>
        <w:t xml:space="preserve"> (2015)</w:t>
      </w:r>
    </w:p>
    <w:p w:rsidR="000F38B9" w:rsidRPr="0000286F" w:rsidRDefault="000F38B9">
      <w:pPr>
        <w:pStyle w:val="FootnoteText"/>
        <w:rPr>
          <w:sz w:val="2"/>
          <w:szCs w:val="2"/>
        </w:rPr>
      </w:pPr>
    </w:p>
  </w:footnote>
  <w:footnote w:id="103">
    <w:p w:rsidR="000F38B9" w:rsidRDefault="000F38B9" w:rsidP="007854A1">
      <w:pPr>
        <w:pStyle w:val="FootnoteText"/>
      </w:pPr>
      <w:r>
        <w:rPr>
          <w:rStyle w:val="FootnoteReference"/>
        </w:rPr>
        <w:footnoteRef/>
      </w:r>
      <w:r>
        <w:t xml:space="preserve"> </w:t>
      </w:r>
      <w:r w:rsidRPr="00057D8E">
        <w:rPr>
          <w:sz w:val="16"/>
          <w:szCs w:val="16"/>
        </w:rPr>
        <w:t xml:space="preserve">Corrigendum: </w:t>
      </w:r>
      <w:r>
        <w:rPr>
          <w:sz w:val="16"/>
          <w:szCs w:val="16"/>
        </w:rPr>
        <w:t xml:space="preserve"> </w:t>
      </w:r>
      <w:r w:rsidRPr="00057D8E">
        <w:rPr>
          <w:sz w:val="16"/>
          <w:szCs w:val="16"/>
        </w:rPr>
        <w:t xml:space="preserve">The actual number of Partners at the end of 2013 was 36 and the actual number of uploads 820, as opposed to the 37 and 800 reported in the PPR 2012/13.  </w:t>
      </w:r>
    </w:p>
  </w:footnote>
  <w:footnote w:id="104">
    <w:p w:rsidR="000F38B9" w:rsidRDefault="000F38B9">
      <w:pPr>
        <w:pStyle w:val="FootnoteText"/>
      </w:pPr>
      <w:r>
        <w:rPr>
          <w:rStyle w:val="FootnoteReference"/>
        </w:rPr>
        <w:footnoteRef/>
      </w:r>
      <w:r>
        <w:t xml:space="preserve"> </w:t>
      </w:r>
      <w:r w:rsidRPr="00104B61">
        <w:rPr>
          <w:sz w:val="16"/>
          <w:szCs w:val="16"/>
        </w:rPr>
        <w:t>Corrigendum:  The total number of uploads at the end of 2014 was 1,773 and not 2,050 as reported in the PPR 2014.</w:t>
      </w:r>
    </w:p>
  </w:footnote>
  <w:footnote w:id="105">
    <w:p w:rsidR="000F38B9" w:rsidRPr="001E6C53" w:rsidRDefault="000F38B9" w:rsidP="001363EE">
      <w:pPr>
        <w:pStyle w:val="FootnoteText"/>
      </w:pPr>
      <w:r>
        <w:rPr>
          <w:rStyle w:val="FootnoteReference"/>
        </w:rPr>
        <w:footnoteRef/>
      </w:r>
      <w:r>
        <w:t xml:space="preserve"> </w:t>
      </w:r>
      <w:r w:rsidRPr="001E6C53">
        <w:rPr>
          <w:rFonts w:cs="Arial"/>
          <w:sz w:val="16"/>
          <w:szCs w:val="16"/>
        </w:rPr>
        <w:t>Because a</w:t>
      </w:r>
      <w:r w:rsidRPr="001E6C53">
        <w:t xml:space="preserve"> </w:t>
      </w:r>
      <w:r w:rsidRPr="001E6C53">
        <w:rPr>
          <w:rFonts w:cs="Arial"/>
          <w:sz w:val="16"/>
          <w:szCs w:val="16"/>
        </w:rPr>
        <w:t>WIPO Stakeholders Perceptions Survey was not conducted in 2013, t</w:t>
      </w:r>
      <w:r w:rsidRPr="001E6C53">
        <w:rPr>
          <w:sz w:val="16"/>
          <w:szCs w:val="16"/>
        </w:rPr>
        <w:t xml:space="preserve">he data reported in the PPR 2012/13 were extrapolated from the </w:t>
      </w:r>
      <w:r w:rsidRPr="001E6C53">
        <w:rPr>
          <w:rFonts w:cs="Arial"/>
          <w:sz w:val="16"/>
          <w:szCs w:val="16"/>
        </w:rPr>
        <w:t>WIPO Service Orientation Survey, which uses a different methodology and is sent to a different stakeholder group.  As such, the updated baseline for 2013 is not comparable with the data for 2014.</w:t>
      </w:r>
      <w:r w:rsidRPr="001E6C53">
        <w:t xml:space="preserve"> </w:t>
      </w:r>
    </w:p>
  </w:footnote>
  <w:footnote w:id="106">
    <w:p w:rsidR="000F38B9" w:rsidRPr="00A006CF" w:rsidRDefault="000F38B9" w:rsidP="001363EE">
      <w:pPr>
        <w:pStyle w:val="Footer"/>
      </w:pPr>
      <w:r>
        <w:rPr>
          <w:rStyle w:val="FootnoteReference"/>
        </w:rPr>
        <w:footnoteRef/>
      </w:r>
      <w:r>
        <w:t xml:space="preserve"> </w:t>
      </w:r>
      <w:r w:rsidRPr="00A006CF">
        <w:rPr>
          <w:sz w:val="16"/>
          <w:szCs w:val="16"/>
        </w:rPr>
        <w:t>The 2014 performance data i</w:t>
      </w:r>
      <w:r>
        <w:rPr>
          <w:sz w:val="16"/>
          <w:szCs w:val="16"/>
        </w:rPr>
        <w:t>s comparable with the Original B</w:t>
      </w:r>
      <w:r w:rsidRPr="00A006CF">
        <w:rPr>
          <w:sz w:val="16"/>
          <w:szCs w:val="16"/>
        </w:rPr>
        <w:t xml:space="preserve">aseline P&amp;B 2014/15 of 65 per cent, which was based on the WIPO Stakeholders Perceptions Survey 2012. </w:t>
      </w:r>
    </w:p>
  </w:footnote>
  <w:footnote w:id="107">
    <w:p w:rsidR="000F38B9" w:rsidRPr="001E6C53" w:rsidRDefault="000F38B9" w:rsidP="001363EE">
      <w:pPr>
        <w:pStyle w:val="FootnoteText"/>
      </w:pPr>
      <w:r w:rsidRPr="001E6C53">
        <w:rPr>
          <w:rStyle w:val="FootnoteReference"/>
        </w:rPr>
        <w:footnoteRef/>
      </w:r>
      <w:r w:rsidRPr="001E6C53">
        <w:t xml:space="preserve"> </w:t>
      </w:r>
      <w:r w:rsidRPr="001E6C53">
        <w:rPr>
          <w:sz w:val="16"/>
          <w:szCs w:val="16"/>
        </w:rPr>
        <w:t>In the 2012/13 PPR, it was reported that there were 226 videos.  The actual number of videos at the end of 2013 was 228.  The average number of views has been updated accordingly.</w:t>
      </w:r>
    </w:p>
  </w:footnote>
  <w:footnote w:id="108">
    <w:p w:rsidR="000F38B9" w:rsidRPr="0075534B" w:rsidRDefault="000F38B9">
      <w:pPr>
        <w:pStyle w:val="FootnoteText"/>
        <w:rPr>
          <w:sz w:val="16"/>
          <w:szCs w:val="16"/>
        </w:rPr>
      </w:pPr>
      <w:r w:rsidRPr="0075534B">
        <w:rPr>
          <w:rStyle w:val="FootnoteReference"/>
          <w:szCs w:val="16"/>
        </w:rPr>
        <w:footnoteRef/>
      </w:r>
      <w:r w:rsidRPr="0075534B">
        <w:rPr>
          <w:sz w:val="16"/>
          <w:szCs w:val="16"/>
        </w:rPr>
        <w:t xml:space="preserve"> Unless otherwise indicated, the percentage changes are in comparison to the previous year, i.e. the percentage change in 2014 is as compared to 2013, and the percentage change in 2015 is as compared to 2014.</w:t>
      </w:r>
    </w:p>
  </w:footnote>
  <w:footnote w:id="109">
    <w:p w:rsidR="000F38B9" w:rsidRPr="00D2634F" w:rsidRDefault="000F38B9">
      <w:pPr>
        <w:pStyle w:val="FootnoteText"/>
        <w:rPr>
          <w:sz w:val="16"/>
          <w:szCs w:val="16"/>
        </w:rPr>
      </w:pPr>
      <w:r w:rsidRPr="00D2634F">
        <w:rPr>
          <w:rStyle w:val="FootnoteReference"/>
          <w:szCs w:val="16"/>
        </w:rPr>
        <w:footnoteRef/>
      </w:r>
      <w:r w:rsidRPr="00D2634F">
        <w:rPr>
          <w:sz w:val="16"/>
          <w:szCs w:val="16"/>
        </w:rPr>
        <w:t xml:space="preserve"> The percentage change for </w:t>
      </w:r>
      <w:r>
        <w:rPr>
          <w:sz w:val="16"/>
          <w:szCs w:val="16"/>
        </w:rPr>
        <w:t>2014/15 is as compared to 2012/13.</w:t>
      </w:r>
    </w:p>
  </w:footnote>
  <w:footnote w:id="110">
    <w:p w:rsidR="000F38B9" w:rsidRPr="00502A6A" w:rsidRDefault="000F38B9">
      <w:pPr>
        <w:pStyle w:val="FootnoteText"/>
        <w:rPr>
          <w:sz w:val="16"/>
          <w:szCs w:val="16"/>
        </w:rPr>
      </w:pPr>
      <w:r w:rsidRPr="00502A6A">
        <w:rPr>
          <w:rStyle w:val="FootnoteReference"/>
          <w:szCs w:val="16"/>
        </w:rPr>
        <w:footnoteRef/>
      </w:r>
      <w:r w:rsidRPr="00502A6A">
        <w:rPr>
          <w:sz w:val="16"/>
          <w:szCs w:val="16"/>
        </w:rPr>
        <w:t xml:space="preserve"> As the data for this performance indicator in the PPR 2014 were based on estimated figures at the time of publication, the figures have been updated where relevant to reflect the most accurate data.</w:t>
      </w:r>
    </w:p>
  </w:footnote>
  <w:footnote w:id="111">
    <w:p w:rsidR="000F38B9" w:rsidRPr="00FE1F7F" w:rsidRDefault="000F38B9">
      <w:pPr>
        <w:pStyle w:val="FootnoteText"/>
        <w:rPr>
          <w:sz w:val="16"/>
          <w:szCs w:val="16"/>
        </w:rPr>
      </w:pPr>
      <w:r w:rsidRPr="00FE1F7F">
        <w:rPr>
          <w:rStyle w:val="FootnoteReference"/>
          <w:szCs w:val="16"/>
        </w:rPr>
        <w:footnoteRef/>
      </w:r>
      <w:r w:rsidRPr="00FE1F7F">
        <w:t xml:space="preserve"> </w:t>
      </w:r>
      <w:r>
        <w:rPr>
          <w:sz w:val="16"/>
          <w:szCs w:val="16"/>
        </w:rPr>
        <w:t xml:space="preserve">The target for 2014 was 354 new registrations.  </w:t>
      </w:r>
    </w:p>
  </w:footnote>
  <w:footnote w:id="112">
    <w:p w:rsidR="000F38B9" w:rsidRPr="00280A37" w:rsidRDefault="000F38B9">
      <w:pPr>
        <w:pStyle w:val="FootnoteText"/>
      </w:pPr>
      <w:r>
        <w:rPr>
          <w:rStyle w:val="FootnoteReference"/>
        </w:rPr>
        <w:footnoteRef/>
      </w:r>
      <w:r>
        <w:t xml:space="preserve"> </w:t>
      </w:r>
      <w:r w:rsidRPr="00D05FA1">
        <w:rPr>
          <w:sz w:val="16"/>
          <w:szCs w:val="16"/>
        </w:rPr>
        <w:t>The</w:t>
      </w:r>
      <w:r w:rsidRPr="00FE1F7F">
        <w:rPr>
          <w:sz w:val="16"/>
          <w:szCs w:val="16"/>
        </w:rPr>
        <w:t xml:space="preserve"> percentage chang</w:t>
      </w:r>
      <w:r>
        <w:rPr>
          <w:sz w:val="16"/>
          <w:szCs w:val="16"/>
        </w:rPr>
        <w:t xml:space="preserve">e for 2015 is </w:t>
      </w:r>
      <w:r w:rsidRPr="00FE1F7F">
        <w:rPr>
          <w:sz w:val="16"/>
          <w:szCs w:val="16"/>
        </w:rPr>
        <w:t>calculated usi</w:t>
      </w:r>
      <w:r>
        <w:rPr>
          <w:sz w:val="16"/>
          <w:szCs w:val="16"/>
        </w:rPr>
        <w:t>ng the 2014 target</w:t>
      </w:r>
      <w:r w:rsidRPr="00FE1F7F">
        <w:rPr>
          <w:sz w:val="16"/>
          <w:szCs w:val="16"/>
        </w:rPr>
        <w:t>, i.e. assuming that the target</w:t>
      </w:r>
      <w:r>
        <w:rPr>
          <w:sz w:val="16"/>
          <w:szCs w:val="16"/>
        </w:rPr>
        <w:t xml:space="preserve"> </w:t>
      </w:r>
      <w:r w:rsidRPr="00FE1F7F">
        <w:rPr>
          <w:sz w:val="16"/>
          <w:szCs w:val="16"/>
        </w:rPr>
        <w:t xml:space="preserve">for 2014 had been met.  </w:t>
      </w:r>
    </w:p>
  </w:footnote>
  <w:footnote w:id="113">
    <w:p w:rsidR="000F38B9" w:rsidRPr="00884EFD" w:rsidRDefault="000F38B9" w:rsidP="00547ACE">
      <w:pPr>
        <w:pStyle w:val="FootnoteText"/>
      </w:pPr>
      <w:r w:rsidRPr="00D230C4">
        <w:rPr>
          <w:rStyle w:val="FootnoteReference"/>
          <w:szCs w:val="16"/>
        </w:rPr>
        <w:footnoteRef/>
      </w:r>
      <w:r w:rsidRPr="00D230C4">
        <w:rPr>
          <w:sz w:val="16"/>
          <w:szCs w:val="16"/>
        </w:rPr>
        <w:t xml:space="preserve"> Corrigendum</w:t>
      </w:r>
      <w:proofErr w:type="gramStart"/>
      <w:r>
        <w:rPr>
          <w:sz w:val="16"/>
          <w:szCs w:val="16"/>
        </w:rPr>
        <w:t>:.</w:t>
      </w:r>
      <w:proofErr w:type="gramEnd"/>
      <w:r>
        <w:rPr>
          <w:sz w:val="16"/>
          <w:szCs w:val="16"/>
        </w:rPr>
        <w:t xml:space="preserve"> In 2014, Madrid renewals for the WSO were 54, not 56, as reported in the PPR 2014</w:t>
      </w:r>
      <w:r>
        <w:rPr>
          <w:rFonts w:eastAsia="SimSun" w:cs="Arial"/>
          <w:sz w:val="16"/>
          <w:szCs w:val="16"/>
          <w:lang w:eastAsia="zh-CN"/>
        </w:rPr>
        <w:t>.</w:t>
      </w:r>
      <w:r>
        <w:rPr>
          <w:sz w:val="16"/>
          <w:szCs w:val="16"/>
        </w:rPr>
        <w:t xml:space="preserve">  </w:t>
      </w:r>
    </w:p>
  </w:footnote>
  <w:footnote w:id="114">
    <w:p w:rsidR="000F38B9" w:rsidRPr="0063275C" w:rsidRDefault="000F38B9">
      <w:pPr>
        <w:pStyle w:val="FootnoteText"/>
      </w:pPr>
      <w:r>
        <w:rPr>
          <w:rStyle w:val="FootnoteReference"/>
        </w:rPr>
        <w:footnoteRef/>
      </w:r>
      <w:r>
        <w:t xml:space="preserve"> </w:t>
      </w:r>
      <w:r w:rsidRPr="00D2634F">
        <w:rPr>
          <w:sz w:val="16"/>
          <w:szCs w:val="16"/>
        </w:rPr>
        <w:t xml:space="preserve">The percentage change for </w:t>
      </w:r>
      <w:r>
        <w:rPr>
          <w:sz w:val="16"/>
          <w:szCs w:val="16"/>
        </w:rPr>
        <w:t xml:space="preserve">2014/15 is as compared to 2012/13. </w:t>
      </w:r>
    </w:p>
  </w:footnote>
  <w:footnote w:id="115">
    <w:p w:rsidR="000F38B9" w:rsidRPr="00144187" w:rsidRDefault="000F38B9">
      <w:pPr>
        <w:pStyle w:val="FootnoteText"/>
        <w:rPr>
          <w:sz w:val="16"/>
          <w:szCs w:val="16"/>
        </w:rPr>
      </w:pPr>
      <w:r w:rsidRPr="00144187">
        <w:rPr>
          <w:rStyle w:val="FootnoteReference"/>
          <w:szCs w:val="16"/>
        </w:rPr>
        <w:footnoteRef/>
      </w:r>
      <w:r>
        <w:rPr>
          <w:sz w:val="16"/>
          <w:szCs w:val="16"/>
        </w:rPr>
        <w:t xml:space="preserve"> The Updated B</w:t>
      </w:r>
      <w:r w:rsidRPr="00144187">
        <w:rPr>
          <w:sz w:val="16"/>
          <w:szCs w:val="16"/>
        </w:rPr>
        <w:t xml:space="preserve">aseline </w:t>
      </w:r>
      <w:r>
        <w:rPr>
          <w:sz w:val="16"/>
          <w:szCs w:val="16"/>
        </w:rPr>
        <w:t xml:space="preserve">end </w:t>
      </w:r>
      <w:r w:rsidRPr="00144187">
        <w:rPr>
          <w:sz w:val="16"/>
          <w:szCs w:val="16"/>
        </w:rPr>
        <w:t>2013 has been updated to include 2012</w:t>
      </w:r>
      <w:r>
        <w:rPr>
          <w:sz w:val="16"/>
          <w:szCs w:val="16"/>
        </w:rPr>
        <w:t xml:space="preserve"> data for the purpose of the biennium comparison.</w:t>
      </w:r>
    </w:p>
  </w:footnote>
  <w:footnote w:id="116">
    <w:p w:rsidR="000F38B9" w:rsidRPr="00FC6FD8" w:rsidRDefault="000F38B9">
      <w:pPr>
        <w:pStyle w:val="FootnoteText"/>
        <w:rPr>
          <w:sz w:val="16"/>
          <w:szCs w:val="16"/>
        </w:rPr>
      </w:pPr>
      <w:r w:rsidRPr="00FC6FD8">
        <w:rPr>
          <w:rStyle w:val="FootnoteReference"/>
          <w:szCs w:val="16"/>
        </w:rPr>
        <w:footnoteRef/>
      </w:r>
      <w:r w:rsidRPr="00FC6FD8">
        <w:rPr>
          <w:sz w:val="16"/>
          <w:szCs w:val="16"/>
        </w:rPr>
        <w:t xml:space="preserve"> The 2014 target for the WJO is 15,651.</w:t>
      </w:r>
    </w:p>
  </w:footnote>
  <w:footnote w:id="117">
    <w:p w:rsidR="000F38B9" w:rsidRDefault="000F38B9" w:rsidP="00547ACE">
      <w:pPr>
        <w:pStyle w:val="FootnoteText"/>
      </w:pPr>
      <w:r w:rsidRPr="00D05FA1">
        <w:rPr>
          <w:rStyle w:val="FootnoteReference"/>
          <w:szCs w:val="16"/>
        </w:rPr>
        <w:footnoteRef/>
      </w:r>
      <w:r w:rsidRPr="00D05FA1">
        <w:rPr>
          <w:sz w:val="16"/>
          <w:szCs w:val="16"/>
        </w:rPr>
        <w:t xml:space="preserve"> The</w:t>
      </w:r>
      <w:r w:rsidRPr="00FE1F7F">
        <w:rPr>
          <w:sz w:val="16"/>
          <w:szCs w:val="16"/>
        </w:rPr>
        <w:t xml:space="preserve"> percentage chang</w:t>
      </w:r>
      <w:r>
        <w:rPr>
          <w:sz w:val="16"/>
          <w:szCs w:val="16"/>
        </w:rPr>
        <w:t>e for 2015</w:t>
      </w:r>
      <w:r w:rsidRPr="00FE1F7F">
        <w:rPr>
          <w:sz w:val="16"/>
          <w:szCs w:val="16"/>
        </w:rPr>
        <w:t xml:space="preserve"> </w:t>
      </w:r>
      <w:r>
        <w:rPr>
          <w:sz w:val="16"/>
          <w:szCs w:val="16"/>
        </w:rPr>
        <w:t xml:space="preserve">is </w:t>
      </w:r>
      <w:r w:rsidRPr="00FE1F7F">
        <w:rPr>
          <w:sz w:val="16"/>
          <w:szCs w:val="16"/>
        </w:rPr>
        <w:t>calculated usi</w:t>
      </w:r>
      <w:r>
        <w:rPr>
          <w:sz w:val="16"/>
          <w:szCs w:val="16"/>
        </w:rPr>
        <w:t>ng the 2014 target</w:t>
      </w:r>
      <w:r w:rsidRPr="00FE1F7F">
        <w:rPr>
          <w:sz w:val="16"/>
          <w:szCs w:val="16"/>
        </w:rPr>
        <w:t xml:space="preserve">, i.e. assuming that the target for 2014 had been met.  </w:t>
      </w:r>
    </w:p>
  </w:footnote>
  <w:footnote w:id="118">
    <w:p w:rsidR="000F38B9" w:rsidRPr="00C34000" w:rsidRDefault="000F38B9">
      <w:pPr>
        <w:pStyle w:val="FootnoteText"/>
        <w:rPr>
          <w:sz w:val="16"/>
          <w:szCs w:val="16"/>
        </w:rPr>
      </w:pPr>
      <w:r w:rsidRPr="00C34000">
        <w:rPr>
          <w:rStyle w:val="FootnoteReference"/>
          <w:szCs w:val="16"/>
        </w:rPr>
        <w:footnoteRef/>
      </w:r>
      <w:r>
        <w:rPr>
          <w:sz w:val="16"/>
          <w:szCs w:val="16"/>
        </w:rPr>
        <w:t xml:space="preserve"> The 2014 target for WJO was 6,195 page views.</w:t>
      </w:r>
    </w:p>
  </w:footnote>
  <w:footnote w:id="119">
    <w:p w:rsidR="000F38B9" w:rsidRPr="00B478F1" w:rsidRDefault="000F38B9">
      <w:pPr>
        <w:pStyle w:val="FootnoteText"/>
        <w:rPr>
          <w:sz w:val="16"/>
          <w:szCs w:val="16"/>
        </w:rPr>
      </w:pPr>
      <w:r w:rsidRPr="00B478F1">
        <w:rPr>
          <w:rStyle w:val="FootnoteReference"/>
          <w:szCs w:val="16"/>
        </w:rPr>
        <w:footnoteRef/>
      </w:r>
      <w:r w:rsidRPr="00B478F1">
        <w:rPr>
          <w:sz w:val="16"/>
          <w:szCs w:val="16"/>
        </w:rPr>
        <w:t xml:space="preserve"> </w:t>
      </w:r>
      <w:r>
        <w:rPr>
          <w:sz w:val="16"/>
          <w:szCs w:val="16"/>
        </w:rPr>
        <w:t>The WIPO Brazil Office web page was not created until February 2015.</w:t>
      </w:r>
    </w:p>
  </w:footnote>
  <w:footnote w:id="120">
    <w:p w:rsidR="000F38B9" w:rsidRPr="00936487" w:rsidRDefault="000F38B9">
      <w:pPr>
        <w:pStyle w:val="FootnoteText"/>
        <w:rPr>
          <w:sz w:val="16"/>
          <w:szCs w:val="16"/>
        </w:rPr>
      </w:pPr>
      <w:r>
        <w:rPr>
          <w:rStyle w:val="FootnoteReference"/>
        </w:rPr>
        <w:footnoteRef/>
      </w:r>
      <w:r>
        <w:t xml:space="preserve"> </w:t>
      </w:r>
      <w:r>
        <w:rPr>
          <w:sz w:val="16"/>
          <w:szCs w:val="16"/>
        </w:rPr>
        <w:t>The percentage change for 2015 is as measured against the 2014 target (6,195 page views).  The actual percentage change as measured against the previous year was an eight per cent decrease.</w:t>
      </w:r>
    </w:p>
  </w:footnote>
  <w:footnote w:id="121">
    <w:p w:rsidR="000F38B9" w:rsidRPr="008C0497" w:rsidRDefault="000F38B9" w:rsidP="00F11DB9">
      <w:pPr>
        <w:rPr>
          <w:sz w:val="16"/>
          <w:szCs w:val="16"/>
        </w:rPr>
      </w:pPr>
      <w:r w:rsidRPr="008C0497">
        <w:rPr>
          <w:rStyle w:val="FootnoteReference"/>
          <w:sz w:val="16"/>
          <w:szCs w:val="16"/>
        </w:rPr>
        <w:footnoteRef/>
      </w:r>
      <w:r w:rsidRPr="008C0497">
        <w:rPr>
          <w:sz w:val="16"/>
          <w:szCs w:val="16"/>
        </w:rPr>
        <w:t xml:space="preserve"> The original baseline in the Program and Budget 2014/15 was calculated using estimated figures as at mid-2013.  These figures have now been updated.</w:t>
      </w:r>
    </w:p>
  </w:footnote>
  <w:footnote w:id="122">
    <w:p w:rsidR="000F38B9" w:rsidRPr="008C0497" w:rsidRDefault="000F38B9">
      <w:pPr>
        <w:pStyle w:val="FootnoteText"/>
        <w:rPr>
          <w:sz w:val="16"/>
          <w:szCs w:val="16"/>
        </w:rPr>
      </w:pPr>
      <w:r w:rsidRPr="008C0497">
        <w:rPr>
          <w:rStyle w:val="FootnoteReference"/>
          <w:sz w:val="16"/>
          <w:szCs w:val="16"/>
        </w:rPr>
        <w:footnoteRef/>
      </w:r>
      <w:r w:rsidRPr="008C0497">
        <w:rPr>
          <w:sz w:val="16"/>
          <w:szCs w:val="16"/>
        </w:rPr>
        <w:t xml:space="preserve"> Link to the 2014 WIPO Assemblies Survey: http://www.wipo.int/export/sites/www/about-wipo/en/assemblies/pdf/survey_2014.pdf</w:t>
      </w:r>
    </w:p>
  </w:footnote>
  <w:footnote w:id="123">
    <w:p w:rsidR="000F38B9" w:rsidRPr="00CD55B6" w:rsidRDefault="000F38B9" w:rsidP="001363EE">
      <w:pPr>
        <w:pStyle w:val="FootnoteText"/>
        <w:rPr>
          <w:sz w:val="16"/>
          <w:lang w:val="en-GB"/>
        </w:rPr>
      </w:pPr>
      <w:r>
        <w:rPr>
          <w:rStyle w:val="FootnoteReference"/>
        </w:rPr>
        <w:footnoteRef/>
      </w:r>
      <w:r>
        <w:t xml:space="preserve"> </w:t>
      </w:r>
      <w:r w:rsidRPr="00CD55B6">
        <w:rPr>
          <w:sz w:val="16"/>
        </w:rPr>
        <w:t>See also WO/PBC/22/12 WIPO’s Accountability Framework</w:t>
      </w:r>
    </w:p>
  </w:footnote>
  <w:footnote w:id="124">
    <w:p w:rsidR="000F38B9" w:rsidRPr="00646A5E" w:rsidRDefault="000F38B9" w:rsidP="000474D7">
      <w:pPr>
        <w:pStyle w:val="FootnoteText"/>
        <w:rPr>
          <w:sz w:val="16"/>
          <w:szCs w:val="16"/>
        </w:rPr>
      </w:pPr>
      <w:r w:rsidRPr="00646A5E">
        <w:rPr>
          <w:rStyle w:val="FootnoteReference"/>
          <w:sz w:val="16"/>
          <w:szCs w:val="16"/>
        </w:rPr>
        <w:footnoteRef/>
      </w:r>
      <w:r w:rsidRPr="00646A5E">
        <w:rPr>
          <w:sz w:val="16"/>
          <w:szCs w:val="16"/>
        </w:rPr>
        <w:t xml:space="preserve"> Some 21 out of 31 Programs (67 per cent) responded to the IOD survey</w:t>
      </w:r>
      <w:r>
        <w:rPr>
          <w:sz w:val="16"/>
          <w:szCs w:val="16"/>
        </w:rPr>
        <w:t xml:space="preserve"> questionnaire</w:t>
      </w:r>
      <w:r w:rsidRPr="00646A5E">
        <w:rPr>
          <w:sz w:val="16"/>
          <w:szCs w:val="16"/>
        </w:rPr>
        <w:t xml:space="preserve"> for the validation of the PPR 2014/15.</w:t>
      </w:r>
    </w:p>
  </w:footnote>
  <w:footnote w:id="125">
    <w:p w:rsidR="000F38B9" w:rsidRPr="00432B1E" w:rsidRDefault="000F38B9" w:rsidP="001363EE">
      <w:pPr>
        <w:pStyle w:val="FootnoteText"/>
        <w:rPr>
          <w:sz w:val="16"/>
          <w:szCs w:val="16"/>
        </w:rPr>
      </w:pPr>
      <w:r w:rsidRPr="00740A21">
        <w:rPr>
          <w:rStyle w:val="FootnoteReference"/>
          <w:sz w:val="16"/>
          <w:szCs w:val="16"/>
        </w:rPr>
        <w:footnoteRef/>
      </w:r>
      <w:r w:rsidRPr="00740A21">
        <w:rPr>
          <w:sz w:val="16"/>
          <w:szCs w:val="16"/>
        </w:rPr>
        <w:t xml:space="preserve"> </w:t>
      </w:r>
      <w:r>
        <w:rPr>
          <w:sz w:val="16"/>
          <w:szCs w:val="16"/>
        </w:rPr>
        <w:t xml:space="preserve">Corrigendum: </w:t>
      </w:r>
      <w:r w:rsidRPr="00432B1E">
        <w:rPr>
          <w:sz w:val="16"/>
          <w:szCs w:val="16"/>
        </w:rPr>
        <w:t>In the 2012/13 PPR</w:t>
      </w:r>
      <w:r>
        <w:rPr>
          <w:sz w:val="16"/>
          <w:szCs w:val="16"/>
        </w:rPr>
        <w:t>,</w:t>
      </w:r>
      <w:r w:rsidRPr="00432B1E">
        <w:rPr>
          <w:sz w:val="16"/>
          <w:szCs w:val="16"/>
        </w:rPr>
        <w:t xml:space="preserve"> it was reported that 53</w:t>
      </w:r>
      <w:r>
        <w:rPr>
          <w:sz w:val="16"/>
          <w:szCs w:val="16"/>
        </w:rPr>
        <w:t xml:space="preserve"> per cent</w:t>
      </w:r>
      <w:r w:rsidRPr="00432B1E">
        <w:rPr>
          <w:sz w:val="16"/>
          <w:szCs w:val="16"/>
        </w:rPr>
        <w:t xml:space="preserve"> of Programs were using performance data for managing program performance</w:t>
      </w:r>
      <w:r>
        <w:rPr>
          <w:sz w:val="16"/>
          <w:szCs w:val="16"/>
        </w:rPr>
        <w:t>.</w:t>
      </w:r>
    </w:p>
  </w:footnote>
  <w:footnote w:id="126">
    <w:p w:rsidR="000F38B9" w:rsidRPr="00A56978" w:rsidRDefault="000F38B9" w:rsidP="000474D7">
      <w:pPr>
        <w:pStyle w:val="FootnoteText"/>
        <w:rPr>
          <w:sz w:val="16"/>
          <w:szCs w:val="16"/>
        </w:rPr>
      </w:pPr>
      <w:r w:rsidRPr="00646A5E">
        <w:rPr>
          <w:rStyle w:val="FootnoteReference"/>
          <w:sz w:val="16"/>
          <w:szCs w:val="16"/>
        </w:rPr>
        <w:footnoteRef/>
      </w:r>
      <w:r w:rsidRPr="00A56978">
        <w:rPr>
          <w:sz w:val="16"/>
          <w:szCs w:val="16"/>
        </w:rPr>
        <w:t xml:space="preserve"> </w:t>
      </w:r>
      <w:r w:rsidRPr="00646A5E">
        <w:rPr>
          <w:sz w:val="16"/>
          <w:szCs w:val="16"/>
        </w:rPr>
        <w:t>Some 21 out of 31 Programs (67 per cent) responded to the IOD survey</w:t>
      </w:r>
      <w:r>
        <w:rPr>
          <w:sz w:val="16"/>
          <w:szCs w:val="16"/>
        </w:rPr>
        <w:t xml:space="preserve"> questionnaire</w:t>
      </w:r>
      <w:r w:rsidRPr="00646A5E">
        <w:rPr>
          <w:sz w:val="16"/>
          <w:szCs w:val="16"/>
        </w:rPr>
        <w:t xml:space="preserve"> for the validation of the PPR 2014/15.</w:t>
      </w:r>
    </w:p>
  </w:footnote>
  <w:footnote w:id="127">
    <w:p w:rsidR="000F38B9" w:rsidRPr="00E37059" w:rsidRDefault="000F38B9" w:rsidP="000474D7">
      <w:pPr>
        <w:pStyle w:val="FootnoteText"/>
        <w:rPr>
          <w:lang w:val="fr-FR"/>
        </w:rPr>
      </w:pPr>
      <w:r w:rsidRPr="00646A5E">
        <w:rPr>
          <w:rStyle w:val="FootnoteReference"/>
          <w:sz w:val="16"/>
          <w:szCs w:val="16"/>
        </w:rPr>
        <w:footnoteRef/>
      </w:r>
      <w:r w:rsidRPr="00E37059">
        <w:rPr>
          <w:sz w:val="16"/>
          <w:szCs w:val="16"/>
          <w:lang w:val="fr-FR"/>
        </w:rPr>
        <w:t xml:space="preserve"> Idem.</w:t>
      </w:r>
    </w:p>
  </w:footnote>
  <w:footnote w:id="128">
    <w:p w:rsidR="000F38B9" w:rsidRPr="00E37059" w:rsidRDefault="000F38B9">
      <w:pPr>
        <w:pStyle w:val="FootnoteText"/>
        <w:rPr>
          <w:sz w:val="16"/>
          <w:szCs w:val="16"/>
          <w:lang w:val="fr-FR"/>
        </w:rPr>
      </w:pPr>
      <w:r w:rsidRPr="00FD046E">
        <w:rPr>
          <w:rStyle w:val="FootnoteReference"/>
          <w:sz w:val="16"/>
          <w:szCs w:val="16"/>
        </w:rPr>
        <w:footnoteRef/>
      </w:r>
      <w:r w:rsidRPr="00E37059">
        <w:rPr>
          <w:sz w:val="16"/>
          <w:szCs w:val="16"/>
          <w:lang w:val="fr-FR"/>
        </w:rPr>
        <w:t xml:space="preserve"> http://www.wipo.int/erecruitment/en/</w:t>
      </w:r>
    </w:p>
  </w:footnote>
  <w:footnote w:id="129">
    <w:p w:rsidR="000F38B9" w:rsidRPr="00021ED0" w:rsidRDefault="000F38B9" w:rsidP="007854A1">
      <w:pPr>
        <w:pStyle w:val="NormalWeb"/>
        <w:rPr>
          <w:sz w:val="16"/>
          <w:szCs w:val="16"/>
        </w:rPr>
      </w:pPr>
      <w:r w:rsidRPr="00021ED0">
        <w:rPr>
          <w:rStyle w:val="FootnoteReference"/>
          <w:sz w:val="16"/>
          <w:szCs w:val="16"/>
        </w:rPr>
        <w:footnoteRef/>
      </w:r>
      <w:r>
        <w:rPr>
          <w:sz w:val="16"/>
          <w:szCs w:val="16"/>
        </w:rPr>
        <w:t xml:space="preserve"> C</w:t>
      </w:r>
      <w:r w:rsidRPr="00021ED0">
        <w:rPr>
          <w:sz w:val="16"/>
          <w:szCs w:val="16"/>
        </w:rPr>
        <w:t xml:space="preserve">alculated </w:t>
      </w:r>
      <w:r>
        <w:rPr>
          <w:sz w:val="16"/>
          <w:szCs w:val="16"/>
        </w:rPr>
        <w:t>as follows: total number of training days (number of participants * days of training) divided by total number of staff (as of December 31 of a given year).</w:t>
      </w:r>
    </w:p>
    <w:p w:rsidR="000F38B9" w:rsidRPr="00021ED0" w:rsidRDefault="000F38B9">
      <w:pPr>
        <w:pStyle w:val="FootnoteText"/>
      </w:pPr>
    </w:p>
  </w:footnote>
  <w:footnote w:id="130">
    <w:p w:rsidR="000F38B9" w:rsidRPr="00D344C2" w:rsidRDefault="000F38B9">
      <w:pPr>
        <w:pStyle w:val="FootnoteText"/>
        <w:rPr>
          <w:sz w:val="16"/>
          <w:szCs w:val="16"/>
        </w:rPr>
      </w:pPr>
      <w:r>
        <w:rPr>
          <w:rStyle w:val="FootnoteReference"/>
        </w:rPr>
        <w:footnoteRef/>
      </w:r>
      <w:r>
        <w:t xml:space="preserve"> </w:t>
      </w:r>
      <w:r>
        <w:rPr>
          <w:sz w:val="16"/>
          <w:szCs w:val="16"/>
        </w:rPr>
        <w:t xml:space="preserve">Corrigendum: The 2014 PPR figure for recruitment lead time (14.7 weeks) was calculated based on the 2014 competitions that had been completed by DATE.  The updated figure reflects the final calculation, with all 2014 competitions now having been completed. </w:t>
      </w:r>
    </w:p>
  </w:footnote>
  <w:footnote w:id="131">
    <w:p w:rsidR="000F38B9" w:rsidRPr="00D344C2" w:rsidRDefault="000F38B9">
      <w:pPr>
        <w:pStyle w:val="FootnoteText"/>
        <w:rPr>
          <w:sz w:val="16"/>
          <w:szCs w:val="16"/>
        </w:rPr>
      </w:pPr>
      <w:r>
        <w:rPr>
          <w:rStyle w:val="FootnoteReference"/>
        </w:rPr>
        <w:footnoteRef/>
      </w:r>
      <w:r>
        <w:t xml:space="preserve"> </w:t>
      </w:r>
      <w:r>
        <w:rPr>
          <w:sz w:val="16"/>
          <w:szCs w:val="16"/>
        </w:rPr>
        <w:t xml:space="preserve">The 2015 figure for recruitment lead time reflects 2015 competitions completed as of April 19, 2015. </w:t>
      </w:r>
    </w:p>
  </w:footnote>
  <w:footnote w:id="132">
    <w:p w:rsidR="000F38B9" w:rsidRDefault="000F38B9">
      <w:pPr>
        <w:pStyle w:val="FootnoteText"/>
      </w:pPr>
      <w:r w:rsidRPr="0065541F">
        <w:rPr>
          <w:rStyle w:val="FootnoteReference"/>
          <w:sz w:val="16"/>
          <w:szCs w:val="16"/>
        </w:rPr>
        <w:footnoteRef/>
      </w:r>
      <w:r w:rsidRPr="0065541F">
        <w:rPr>
          <w:sz w:val="16"/>
          <w:szCs w:val="16"/>
        </w:rPr>
        <w:t xml:space="preserve"> </w:t>
      </w:r>
      <w:r w:rsidRPr="0065541F">
        <w:rPr>
          <w:rFonts w:cs="Arial"/>
          <w:iCs/>
          <w:sz w:val="16"/>
          <w:szCs w:val="16"/>
        </w:rPr>
        <w:t>Corrigendum: The average number of sick leave days per employee in 2014 was actually 11.2, which reflects the most current statistics, and not 9 as reported in the PPR 2014.</w:t>
      </w:r>
    </w:p>
  </w:footnote>
  <w:footnote w:id="133">
    <w:p w:rsidR="000F38B9" w:rsidRPr="000A3B37" w:rsidRDefault="000F38B9" w:rsidP="007854A1">
      <w:pPr>
        <w:pStyle w:val="FootnoteText"/>
      </w:pPr>
      <w:r>
        <w:rPr>
          <w:rStyle w:val="FootnoteReference"/>
        </w:rPr>
        <w:footnoteRef/>
      </w:r>
      <w:r>
        <w:t xml:space="preserve"> </w:t>
      </w:r>
      <w:proofErr w:type="gramStart"/>
      <w:r>
        <w:rPr>
          <w:rFonts w:cs="Arial"/>
          <w:sz w:val="16"/>
          <w:szCs w:val="16"/>
        </w:rPr>
        <w:t xml:space="preserve">Only staff members </w:t>
      </w:r>
      <w:r w:rsidRPr="002B02C3">
        <w:rPr>
          <w:rFonts w:cs="Arial"/>
          <w:sz w:val="16"/>
          <w:szCs w:val="16"/>
        </w:rPr>
        <w:t>in the Professional and higher categories.</w:t>
      </w:r>
      <w:proofErr w:type="gramEnd"/>
    </w:p>
  </w:footnote>
  <w:footnote w:id="134">
    <w:p w:rsidR="000F38B9" w:rsidRPr="00C714EC" w:rsidRDefault="000F38B9" w:rsidP="007854A1">
      <w:pPr>
        <w:pStyle w:val="FootnoteText"/>
      </w:pPr>
      <w:r>
        <w:rPr>
          <w:rStyle w:val="FootnoteReference"/>
        </w:rPr>
        <w:footnoteRef/>
      </w:r>
      <w:r>
        <w:t xml:space="preserve"> </w:t>
      </w:r>
      <w:r>
        <w:rPr>
          <w:rFonts w:cs="Arial"/>
          <w:sz w:val="16"/>
          <w:szCs w:val="16"/>
        </w:rPr>
        <w:t xml:space="preserve">The </w:t>
      </w:r>
      <w:r w:rsidRPr="008D1362">
        <w:rPr>
          <w:rFonts w:cs="Arial"/>
          <w:sz w:val="16"/>
          <w:szCs w:val="16"/>
        </w:rPr>
        <w:t xml:space="preserve">Coordination Committee </w:t>
      </w:r>
      <w:r>
        <w:rPr>
          <w:rFonts w:cs="Arial"/>
          <w:sz w:val="16"/>
          <w:szCs w:val="16"/>
        </w:rPr>
        <w:t xml:space="preserve">is yet to reach a conclusion on </w:t>
      </w:r>
      <w:r w:rsidRPr="008D1362">
        <w:rPr>
          <w:rFonts w:cs="Arial"/>
          <w:sz w:val="16"/>
          <w:szCs w:val="16"/>
        </w:rPr>
        <w:t>whether or not a formal system should replace the 1975 accord on geographical distribution.</w:t>
      </w:r>
    </w:p>
  </w:footnote>
  <w:footnote w:id="135">
    <w:p w:rsidR="000F38B9" w:rsidRPr="00B50427" w:rsidRDefault="000F38B9">
      <w:pPr>
        <w:pStyle w:val="FootnoteText"/>
        <w:rPr>
          <w:sz w:val="16"/>
          <w:szCs w:val="16"/>
        </w:rPr>
      </w:pPr>
      <w:r w:rsidRPr="00B50427">
        <w:rPr>
          <w:rStyle w:val="FootnoteReference"/>
          <w:sz w:val="16"/>
          <w:szCs w:val="16"/>
        </w:rPr>
        <w:footnoteRef/>
      </w:r>
      <w:r w:rsidRPr="00B50427">
        <w:rPr>
          <w:sz w:val="16"/>
          <w:szCs w:val="16"/>
        </w:rPr>
        <w:t xml:space="preserve"> See Program 29 for more details.</w:t>
      </w:r>
    </w:p>
  </w:footnote>
  <w:footnote w:id="136">
    <w:p w:rsidR="000F38B9" w:rsidRDefault="000F38B9" w:rsidP="001363EE">
      <w:pPr>
        <w:pStyle w:val="FootnoteText"/>
      </w:pPr>
      <w:r>
        <w:rPr>
          <w:rStyle w:val="FootnoteReference"/>
        </w:rPr>
        <w:footnoteRef/>
      </w:r>
      <w:r>
        <w:t xml:space="preserve"> </w:t>
      </w:r>
      <w:r w:rsidRPr="005C1F88">
        <w:rPr>
          <w:sz w:val="16"/>
          <w:szCs w:val="16"/>
        </w:rPr>
        <w:t>Corrigendum: Due to a typographical error, the target date as published in the Program and Budget 2014/15 reflected the December 31, 2013 instead of December 31, 2015.</w:t>
      </w:r>
      <w:r>
        <w:t xml:space="preserve"> </w:t>
      </w:r>
    </w:p>
  </w:footnote>
  <w:footnote w:id="137">
    <w:p w:rsidR="000F38B9" w:rsidRPr="00745922" w:rsidRDefault="000F38B9">
      <w:pPr>
        <w:pStyle w:val="FootnoteText"/>
        <w:rPr>
          <w:sz w:val="16"/>
          <w:szCs w:val="16"/>
        </w:rPr>
      </w:pPr>
      <w:r w:rsidRPr="00745922">
        <w:rPr>
          <w:rStyle w:val="FootnoteReference"/>
          <w:sz w:val="16"/>
          <w:szCs w:val="16"/>
        </w:rPr>
        <w:footnoteRef/>
      </w:r>
      <w:r w:rsidRPr="00745922">
        <w:rPr>
          <w:sz w:val="16"/>
          <w:szCs w:val="16"/>
        </w:rPr>
        <w:t xml:space="preserve"> </w:t>
      </w:r>
      <w:r>
        <w:rPr>
          <w:sz w:val="16"/>
          <w:szCs w:val="16"/>
        </w:rPr>
        <w:t xml:space="preserve">In the PPR 2014: </w:t>
      </w:r>
      <w:r w:rsidRPr="00745922">
        <w:rPr>
          <w:sz w:val="16"/>
          <w:szCs w:val="16"/>
        </w:rPr>
        <w:t>http://www.wipo.int/edocs/mdocs/govbody/en/a_55/a_55_6.pdf</w:t>
      </w:r>
    </w:p>
  </w:footnote>
  <w:footnote w:id="138">
    <w:p w:rsidR="000F38B9" w:rsidRPr="00872358" w:rsidRDefault="000F38B9">
      <w:pPr>
        <w:pStyle w:val="FootnoteText"/>
        <w:rPr>
          <w:sz w:val="16"/>
          <w:szCs w:val="16"/>
        </w:rPr>
      </w:pPr>
      <w:r w:rsidRPr="00872358">
        <w:rPr>
          <w:rStyle w:val="FootnoteReference"/>
          <w:sz w:val="16"/>
          <w:szCs w:val="16"/>
        </w:rPr>
        <w:footnoteRef/>
      </w:r>
      <w:r w:rsidRPr="00872358">
        <w:rPr>
          <w:sz w:val="16"/>
          <w:szCs w:val="16"/>
        </w:rPr>
        <w:t xml:space="preserve"> http://www.wipo.int/edocs/mdocs/govbody/en/a_55/a_55_inf_5.pdf</w:t>
      </w:r>
      <w:r>
        <w:rPr>
          <w:sz w:val="16"/>
          <w:szCs w:val="16"/>
        </w:rPr>
        <w:t xml:space="preserve"> </w:t>
      </w:r>
    </w:p>
  </w:footnote>
  <w:footnote w:id="139">
    <w:p w:rsidR="000F38B9" w:rsidRPr="00102CD5" w:rsidRDefault="000F38B9">
      <w:pPr>
        <w:pStyle w:val="FootnoteText"/>
        <w:rPr>
          <w:sz w:val="16"/>
          <w:szCs w:val="16"/>
        </w:rPr>
      </w:pPr>
      <w:r w:rsidRPr="00102CD5">
        <w:rPr>
          <w:rStyle w:val="FootnoteReference"/>
          <w:sz w:val="16"/>
          <w:szCs w:val="16"/>
        </w:rPr>
        <w:footnoteRef/>
      </w:r>
      <w:r w:rsidRPr="00102CD5">
        <w:rPr>
          <w:sz w:val="16"/>
          <w:szCs w:val="16"/>
        </w:rPr>
        <w:t xml:space="preserve"> The</w:t>
      </w:r>
      <w:r>
        <w:rPr>
          <w:sz w:val="16"/>
          <w:szCs w:val="16"/>
        </w:rPr>
        <w:t xml:space="preserve"> terminology of the scale used in the Helpdesk survey relevant to this Performance Indicator was changed in 2015.  T</w:t>
      </w:r>
      <w:r w:rsidRPr="00102CD5">
        <w:rPr>
          <w:sz w:val="16"/>
          <w:szCs w:val="16"/>
        </w:rPr>
        <w:t xml:space="preserve">he term </w:t>
      </w:r>
      <w:r w:rsidRPr="00082F80">
        <w:rPr>
          <w:sz w:val="16"/>
          <w:szCs w:val="16"/>
        </w:rPr>
        <w:t xml:space="preserve">“Completely </w:t>
      </w:r>
      <w:r>
        <w:rPr>
          <w:sz w:val="16"/>
          <w:szCs w:val="16"/>
        </w:rPr>
        <w:t>S</w:t>
      </w:r>
      <w:r w:rsidRPr="00102CD5">
        <w:rPr>
          <w:sz w:val="16"/>
          <w:szCs w:val="16"/>
        </w:rPr>
        <w:t xml:space="preserve">atisfied” corresponds to the </w:t>
      </w:r>
      <w:r w:rsidRPr="00082F80">
        <w:rPr>
          <w:sz w:val="16"/>
          <w:szCs w:val="16"/>
        </w:rPr>
        <w:t xml:space="preserve">term </w:t>
      </w:r>
      <w:r w:rsidRPr="00102CD5">
        <w:rPr>
          <w:sz w:val="16"/>
          <w:szCs w:val="16"/>
        </w:rPr>
        <w:t xml:space="preserve">“Highly satisfied” in the </w:t>
      </w:r>
      <w:r>
        <w:rPr>
          <w:sz w:val="16"/>
          <w:szCs w:val="16"/>
        </w:rPr>
        <w:t>Updated Baseline</w:t>
      </w:r>
      <w:r w:rsidRPr="00102CD5">
        <w:rPr>
          <w:sz w:val="16"/>
          <w:szCs w:val="16"/>
        </w:rPr>
        <w:t xml:space="preserve"> </w:t>
      </w:r>
      <w:r>
        <w:rPr>
          <w:sz w:val="16"/>
          <w:szCs w:val="16"/>
        </w:rPr>
        <w:t>end 2013.</w:t>
      </w:r>
    </w:p>
  </w:footnote>
  <w:footnote w:id="140">
    <w:p w:rsidR="000F38B9" w:rsidRPr="00D46D06" w:rsidRDefault="000F38B9">
      <w:pPr>
        <w:pStyle w:val="FootnoteText"/>
        <w:rPr>
          <w:sz w:val="16"/>
          <w:szCs w:val="16"/>
        </w:rPr>
      </w:pPr>
      <w:r w:rsidRPr="00D46D06">
        <w:rPr>
          <w:rStyle w:val="FootnoteReference"/>
          <w:sz w:val="16"/>
          <w:szCs w:val="16"/>
        </w:rPr>
        <w:footnoteRef/>
      </w:r>
      <w:r w:rsidRPr="00D46D06">
        <w:rPr>
          <w:sz w:val="16"/>
          <w:szCs w:val="16"/>
        </w:rPr>
        <w:t xml:space="preserve"> </w:t>
      </w:r>
      <w:hyperlink r:id="rId14" w:history="1">
        <w:r w:rsidRPr="00D46D06">
          <w:rPr>
            <w:rStyle w:val="Hyperlink"/>
            <w:sz w:val="16"/>
            <w:szCs w:val="16"/>
          </w:rPr>
          <w:t>EQA Report of Audit function</w:t>
        </w:r>
      </w:hyperlink>
    </w:p>
  </w:footnote>
  <w:footnote w:id="141">
    <w:p w:rsidR="000F38B9" w:rsidRPr="00D46D06" w:rsidRDefault="000F38B9">
      <w:pPr>
        <w:pStyle w:val="FootnoteText"/>
        <w:rPr>
          <w:sz w:val="16"/>
          <w:szCs w:val="16"/>
        </w:rPr>
      </w:pPr>
      <w:r w:rsidRPr="00D46D06">
        <w:rPr>
          <w:rStyle w:val="FootnoteReference"/>
          <w:sz w:val="16"/>
          <w:szCs w:val="16"/>
        </w:rPr>
        <w:footnoteRef/>
      </w:r>
      <w:r w:rsidRPr="00D46D06">
        <w:rPr>
          <w:sz w:val="16"/>
          <w:szCs w:val="16"/>
        </w:rPr>
        <w:t xml:space="preserve"> </w:t>
      </w:r>
      <w:hyperlink r:id="rId15" w:history="1">
        <w:r w:rsidRPr="00D46D06">
          <w:rPr>
            <w:rStyle w:val="Hyperlink"/>
            <w:sz w:val="16"/>
            <w:szCs w:val="16"/>
          </w:rPr>
          <w:t>EQA Report of Evaluation function</w:t>
        </w:r>
      </w:hyperlink>
    </w:p>
  </w:footnote>
  <w:footnote w:id="142">
    <w:p w:rsidR="000F38B9" w:rsidRDefault="000F38B9">
      <w:pPr>
        <w:pStyle w:val="FootnoteText"/>
      </w:pPr>
      <w:r w:rsidRPr="00D46D06">
        <w:rPr>
          <w:rStyle w:val="FootnoteReference"/>
          <w:sz w:val="16"/>
          <w:szCs w:val="16"/>
        </w:rPr>
        <w:footnoteRef/>
      </w:r>
      <w:r w:rsidRPr="00D46D06">
        <w:rPr>
          <w:sz w:val="16"/>
          <w:szCs w:val="16"/>
        </w:rPr>
        <w:t xml:space="preserve"> </w:t>
      </w:r>
      <w:hyperlink r:id="rId16" w:history="1">
        <w:r w:rsidRPr="00D46D06">
          <w:rPr>
            <w:rStyle w:val="Hyperlink"/>
            <w:sz w:val="16"/>
            <w:szCs w:val="16"/>
          </w:rPr>
          <w:t>EQA Report of Investigation function</w:t>
        </w:r>
      </w:hyperlink>
    </w:p>
  </w:footnote>
  <w:footnote w:id="143">
    <w:p w:rsidR="000F38B9" w:rsidRPr="00A94BB6" w:rsidRDefault="000F38B9">
      <w:pPr>
        <w:pStyle w:val="FootnoteText"/>
        <w:rPr>
          <w:sz w:val="16"/>
          <w:szCs w:val="16"/>
        </w:rPr>
      </w:pPr>
      <w:r w:rsidRPr="00A94BB6">
        <w:rPr>
          <w:rStyle w:val="FootnoteReference"/>
          <w:sz w:val="16"/>
          <w:szCs w:val="16"/>
        </w:rPr>
        <w:footnoteRef/>
      </w:r>
      <w:r w:rsidRPr="00A94BB6">
        <w:rPr>
          <w:sz w:val="16"/>
          <w:szCs w:val="16"/>
        </w:rPr>
        <w:t xml:space="preserve"> </w:t>
      </w:r>
      <w:r>
        <w:rPr>
          <w:sz w:val="16"/>
          <w:szCs w:val="16"/>
        </w:rPr>
        <w:t xml:space="preserve"> </w:t>
      </w:r>
      <w:proofErr w:type="gramStart"/>
      <w:r w:rsidRPr="00A94BB6">
        <w:rPr>
          <w:iCs/>
          <w:sz w:val="16"/>
          <w:szCs w:val="16"/>
        </w:rPr>
        <w:t>For Audit,</w:t>
      </w:r>
      <w:r w:rsidRPr="00A94BB6">
        <w:rPr>
          <w:sz w:val="16"/>
          <w:szCs w:val="16"/>
        </w:rPr>
        <w:t xml:space="preserve"> the</w:t>
      </w:r>
      <w:r w:rsidRPr="00856E1E">
        <w:rPr>
          <w:sz w:val="16"/>
          <w:szCs w:val="16"/>
        </w:rPr>
        <w:t xml:space="preserve"> Institute of Internal Auditors</w:t>
      </w:r>
      <w:r w:rsidRPr="00A94BB6">
        <w:rPr>
          <w:sz w:val="16"/>
          <w:szCs w:val="16"/>
        </w:rPr>
        <w:t xml:space="preserve"> </w:t>
      </w:r>
      <w:r>
        <w:rPr>
          <w:sz w:val="16"/>
          <w:szCs w:val="16"/>
        </w:rPr>
        <w:t>(</w:t>
      </w:r>
      <w:r w:rsidRPr="00A94BB6">
        <w:rPr>
          <w:sz w:val="16"/>
          <w:szCs w:val="16"/>
        </w:rPr>
        <w:t>IIA</w:t>
      </w:r>
      <w:r>
        <w:rPr>
          <w:sz w:val="16"/>
          <w:szCs w:val="16"/>
        </w:rPr>
        <w:t>)</w:t>
      </w:r>
      <w:r w:rsidRPr="00A94BB6">
        <w:rPr>
          <w:sz w:val="16"/>
          <w:szCs w:val="16"/>
        </w:rPr>
        <w:t xml:space="preserve"> Standards</w:t>
      </w:r>
      <w:r w:rsidRPr="00A94BB6">
        <w:rPr>
          <w:rFonts w:cs="Arial"/>
          <w:sz w:val="16"/>
          <w:szCs w:val="16"/>
        </w:rPr>
        <w:t>.</w:t>
      </w:r>
      <w:proofErr w:type="gramEnd"/>
      <w:r w:rsidRPr="00A94BB6">
        <w:rPr>
          <w:rFonts w:cs="Arial"/>
          <w:sz w:val="16"/>
          <w:szCs w:val="16"/>
        </w:rPr>
        <w:t xml:space="preserve">  </w:t>
      </w:r>
      <w:proofErr w:type="gramStart"/>
      <w:r w:rsidRPr="00A94BB6">
        <w:rPr>
          <w:rFonts w:cs="Arial"/>
          <w:sz w:val="16"/>
          <w:szCs w:val="16"/>
        </w:rPr>
        <w:t xml:space="preserve">For Evaluation, the </w:t>
      </w:r>
      <w:r w:rsidRPr="00856E1E">
        <w:rPr>
          <w:rFonts w:cs="Arial"/>
          <w:sz w:val="16"/>
          <w:szCs w:val="16"/>
        </w:rPr>
        <w:t>United Nations Evaluation Group</w:t>
      </w:r>
      <w:r>
        <w:rPr>
          <w:rFonts w:cs="Arial"/>
          <w:sz w:val="16"/>
          <w:szCs w:val="16"/>
        </w:rPr>
        <w:t xml:space="preserve"> (</w:t>
      </w:r>
      <w:r w:rsidRPr="00A94BB6">
        <w:rPr>
          <w:rFonts w:cs="Arial"/>
          <w:sz w:val="16"/>
          <w:szCs w:val="16"/>
        </w:rPr>
        <w:t>UNEG</w:t>
      </w:r>
      <w:r>
        <w:rPr>
          <w:rFonts w:cs="Arial"/>
          <w:sz w:val="16"/>
          <w:szCs w:val="16"/>
        </w:rPr>
        <w:t>)</w:t>
      </w:r>
      <w:r w:rsidRPr="00A94BB6">
        <w:rPr>
          <w:rFonts w:cs="Arial"/>
          <w:sz w:val="16"/>
          <w:szCs w:val="16"/>
        </w:rPr>
        <w:t xml:space="preserve"> norms and standards.</w:t>
      </w:r>
      <w:proofErr w:type="gramEnd"/>
      <w:r w:rsidRPr="00A94BB6">
        <w:rPr>
          <w:rFonts w:cs="Arial"/>
          <w:sz w:val="16"/>
          <w:szCs w:val="16"/>
        </w:rPr>
        <w:t xml:space="preserve">  </w:t>
      </w:r>
      <w:proofErr w:type="gramStart"/>
      <w:r w:rsidRPr="00A94BB6">
        <w:rPr>
          <w:rFonts w:cs="Arial"/>
          <w:sz w:val="16"/>
          <w:szCs w:val="16"/>
        </w:rPr>
        <w:t xml:space="preserve">For Investigation, the </w:t>
      </w:r>
      <w:r w:rsidRPr="00A94BB6">
        <w:rPr>
          <w:sz w:val="16"/>
          <w:szCs w:val="16"/>
        </w:rPr>
        <w:t>Uniform guidelines for investigation from the Conference of International Investigators (CII).</w:t>
      </w:r>
      <w:proofErr w:type="gramEnd"/>
    </w:p>
  </w:footnote>
  <w:footnote w:id="144">
    <w:p w:rsidR="000F38B9" w:rsidRPr="00AF5461" w:rsidRDefault="000F38B9">
      <w:pPr>
        <w:pStyle w:val="FootnoteText"/>
        <w:rPr>
          <w:sz w:val="16"/>
          <w:szCs w:val="16"/>
        </w:rPr>
      </w:pPr>
      <w:r w:rsidRPr="00A94BB6">
        <w:rPr>
          <w:rStyle w:val="FootnoteReference"/>
          <w:sz w:val="16"/>
          <w:szCs w:val="16"/>
        </w:rPr>
        <w:footnoteRef/>
      </w:r>
      <w:r w:rsidRPr="00A94BB6">
        <w:rPr>
          <w:sz w:val="16"/>
          <w:szCs w:val="16"/>
        </w:rPr>
        <w:t xml:space="preserve">  Thirty</w:t>
      </w:r>
      <w:r w:rsidRPr="00AF5461">
        <w:rPr>
          <w:sz w:val="16"/>
          <w:szCs w:val="16"/>
        </w:rPr>
        <w:t xml:space="preserve"> </w:t>
      </w:r>
      <w:r>
        <w:rPr>
          <w:sz w:val="16"/>
          <w:szCs w:val="16"/>
        </w:rPr>
        <w:t xml:space="preserve">of the 186 </w:t>
      </w:r>
      <w:r w:rsidRPr="00AF5461">
        <w:rPr>
          <w:sz w:val="16"/>
          <w:szCs w:val="16"/>
        </w:rPr>
        <w:t xml:space="preserve">recommendations come from </w:t>
      </w:r>
      <w:r>
        <w:rPr>
          <w:sz w:val="16"/>
          <w:szCs w:val="16"/>
        </w:rPr>
        <w:t>the EQAs</w:t>
      </w:r>
      <w:r w:rsidRPr="00AF5461">
        <w:rPr>
          <w:sz w:val="16"/>
          <w:szCs w:val="16"/>
        </w:rPr>
        <w:t xml:space="preserve"> </w:t>
      </w:r>
      <w:r>
        <w:rPr>
          <w:sz w:val="16"/>
          <w:szCs w:val="16"/>
        </w:rPr>
        <w:t xml:space="preserve">of </w:t>
      </w:r>
      <w:r w:rsidRPr="00AF5461">
        <w:rPr>
          <w:sz w:val="16"/>
          <w:szCs w:val="16"/>
        </w:rPr>
        <w:t>IOD’s Audit and Evaluation functions</w:t>
      </w:r>
      <w:r>
        <w:rPr>
          <w:sz w:val="16"/>
          <w:szCs w:val="16"/>
        </w:rPr>
        <w:t>.</w:t>
      </w:r>
    </w:p>
  </w:footnote>
  <w:footnote w:id="145">
    <w:p w:rsidR="000F38B9" w:rsidRPr="00ED3490" w:rsidRDefault="000F38B9">
      <w:pPr>
        <w:pStyle w:val="FootnoteText"/>
        <w:rPr>
          <w:sz w:val="16"/>
          <w:szCs w:val="16"/>
        </w:rPr>
      </w:pPr>
      <w:r w:rsidRPr="00ED3490">
        <w:rPr>
          <w:rStyle w:val="FootnoteReference"/>
          <w:sz w:val="16"/>
          <w:szCs w:val="16"/>
        </w:rPr>
        <w:footnoteRef/>
      </w:r>
      <w:r w:rsidRPr="00ED3490">
        <w:rPr>
          <w:rFonts w:cs="Arial"/>
          <w:sz w:val="16"/>
          <w:szCs w:val="16"/>
        </w:rPr>
        <w:t>(i) the ITU World Forum in May 2015, (ii)</w:t>
      </w:r>
      <w:r w:rsidRPr="00ED3490">
        <w:rPr>
          <w:sz w:val="16"/>
          <w:szCs w:val="16"/>
        </w:rPr>
        <w:t xml:space="preserve"> the </w:t>
      </w:r>
      <w:r w:rsidRPr="00ED3490">
        <w:rPr>
          <w:rFonts w:cs="Arial"/>
          <w:sz w:val="16"/>
          <w:szCs w:val="16"/>
        </w:rPr>
        <w:t>International Center for Sport Security in September 2015, (iii) the Geneva Water Hub Launch by Switzerland in November 2015, (iv) the Swiss Firefighters (Ecole latine) Federal Diploma Ceremony in November 2015, and (v) the IOM Annual Meeting in November 2015</w:t>
      </w:r>
      <w:r>
        <w:rPr>
          <w:rFonts w:cs="Arial"/>
          <w:sz w:val="16"/>
          <w:szCs w:val="16"/>
        </w:rPr>
        <w:t xml:space="preserve">.  </w:t>
      </w:r>
      <w:r w:rsidRPr="00ED3490">
        <w:rPr>
          <w:sz w:val="16"/>
          <w:szCs w:val="16"/>
        </w:rPr>
        <w:t>See Program 29 for additional details.</w:t>
      </w:r>
    </w:p>
  </w:footnote>
  <w:footnote w:id="146">
    <w:p w:rsidR="000F38B9" w:rsidRDefault="000F38B9">
      <w:pPr>
        <w:pStyle w:val="FootnoteText"/>
      </w:pPr>
      <w:r w:rsidRPr="001C11AD">
        <w:rPr>
          <w:rStyle w:val="FootnoteReference"/>
          <w:sz w:val="16"/>
          <w:szCs w:val="16"/>
        </w:rPr>
        <w:footnoteRef/>
      </w:r>
      <w:r w:rsidRPr="001C11AD">
        <w:rPr>
          <w:sz w:val="16"/>
          <w:szCs w:val="16"/>
        </w:rPr>
        <w:t xml:space="preserve"> Corrigendum: The baseline has been updated to reflect the most recent figures.  The cost per page was 0.20 Swiss francs at the end of 2013 and not 0.19 Swiss francs, as reported in the PPR 2014.</w:t>
      </w:r>
    </w:p>
  </w:footnote>
  <w:footnote w:id="147">
    <w:p w:rsidR="000F38B9" w:rsidRPr="001C11AD" w:rsidRDefault="000F38B9">
      <w:pPr>
        <w:pStyle w:val="FootnoteText"/>
        <w:rPr>
          <w:sz w:val="16"/>
          <w:szCs w:val="16"/>
        </w:rPr>
      </w:pPr>
      <w:r w:rsidRPr="001C11AD">
        <w:rPr>
          <w:rStyle w:val="FootnoteReference"/>
          <w:sz w:val="16"/>
          <w:szCs w:val="16"/>
        </w:rPr>
        <w:footnoteRef/>
      </w:r>
      <w:r w:rsidRPr="001C11AD">
        <w:rPr>
          <w:sz w:val="16"/>
          <w:szCs w:val="16"/>
        </w:rPr>
        <w:t xml:space="preserve"> </w:t>
      </w:r>
      <w:r>
        <w:rPr>
          <w:sz w:val="16"/>
          <w:szCs w:val="16"/>
        </w:rPr>
        <w:t>Idem</w:t>
      </w:r>
    </w:p>
  </w:footnote>
  <w:footnote w:id="148">
    <w:p w:rsidR="000F38B9" w:rsidRDefault="000F38B9">
      <w:pPr>
        <w:pStyle w:val="FootnoteText"/>
      </w:pPr>
      <w:r w:rsidRPr="008A5A43">
        <w:rPr>
          <w:rStyle w:val="FootnoteReference"/>
          <w:sz w:val="16"/>
          <w:szCs w:val="16"/>
        </w:rPr>
        <w:footnoteRef/>
      </w:r>
      <w:r w:rsidRPr="008A5A43">
        <w:rPr>
          <w:sz w:val="16"/>
          <w:szCs w:val="16"/>
        </w:rPr>
        <w:t xml:space="preserve"> </w:t>
      </w:r>
      <w:r w:rsidRPr="001C11AD">
        <w:rPr>
          <w:sz w:val="16"/>
          <w:szCs w:val="16"/>
        </w:rPr>
        <w:t>Corrigendum: The baseline has been updated to reflect the most recent figures.  The cost per page was 0.</w:t>
      </w:r>
      <w:r>
        <w:rPr>
          <w:sz w:val="16"/>
          <w:szCs w:val="16"/>
        </w:rPr>
        <w:t xml:space="preserve">15 Swiss francs in 2014 </w:t>
      </w:r>
      <w:r w:rsidRPr="001C11AD">
        <w:rPr>
          <w:sz w:val="16"/>
          <w:szCs w:val="16"/>
        </w:rPr>
        <w:t>and not 0.1</w:t>
      </w:r>
      <w:r>
        <w:rPr>
          <w:sz w:val="16"/>
          <w:szCs w:val="16"/>
        </w:rPr>
        <w:t>4</w:t>
      </w:r>
      <w:r w:rsidRPr="001C11AD">
        <w:rPr>
          <w:sz w:val="16"/>
          <w:szCs w:val="16"/>
        </w:rPr>
        <w:t xml:space="preserve"> Swiss francs, as reported in the PPR 2014.</w:t>
      </w:r>
    </w:p>
  </w:footnote>
  <w:footnote w:id="149">
    <w:p w:rsidR="000F38B9" w:rsidRDefault="000F38B9">
      <w:pPr>
        <w:pStyle w:val="FootnoteText"/>
      </w:pPr>
      <w:r>
        <w:rPr>
          <w:rStyle w:val="FootnoteReference"/>
        </w:rPr>
        <w:footnoteRef/>
      </w:r>
      <w:r>
        <w:t xml:space="preserve"> </w:t>
      </w:r>
      <w:r w:rsidRPr="004139FC">
        <w:rPr>
          <w:sz w:val="16"/>
          <w:szCs w:val="16"/>
          <w:lang w:bidi="th-TH"/>
        </w:rPr>
        <w:t>Review of Budgetary Process Applied to Projects Proposed by the Committee on Development and Intellectual Property (CDIP) for the Implementation of the Development Agenda Recommendations (A/48/5 REV.)</w:t>
      </w:r>
    </w:p>
  </w:footnote>
  <w:footnote w:id="150">
    <w:p w:rsidR="000F38B9" w:rsidRPr="00FE1AB9" w:rsidRDefault="000F38B9">
      <w:pPr>
        <w:pStyle w:val="FootnoteText"/>
        <w:rPr>
          <w:sz w:val="16"/>
          <w:szCs w:val="16"/>
        </w:rPr>
      </w:pPr>
      <w:r w:rsidRPr="00FE1AB9">
        <w:rPr>
          <w:rStyle w:val="FootnoteReference"/>
          <w:sz w:val="16"/>
          <w:szCs w:val="16"/>
        </w:rPr>
        <w:footnoteRef/>
      </w:r>
      <w:r w:rsidRPr="00FE1AB9">
        <w:rPr>
          <w:sz w:val="16"/>
          <w:szCs w:val="16"/>
        </w:rPr>
        <w:t xml:space="preserve"> </w:t>
      </w:r>
      <w:r w:rsidRPr="00FE1AB9">
        <w:rPr>
          <w:color w:val="000000"/>
          <w:sz w:val="16"/>
          <w:szCs w:val="16"/>
        </w:rPr>
        <w:t>Expected date of completio</w:t>
      </w:r>
      <w:r>
        <w:rPr>
          <w:color w:val="000000"/>
          <w:sz w:val="16"/>
          <w:szCs w:val="16"/>
        </w:rPr>
        <w:t>n:</w:t>
      </w:r>
      <w:r w:rsidRPr="00FE1AB9">
        <w:rPr>
          <w:color w:val="000000"/>
          <w:sz w:val="16"/>
          <w:szCs w:val="16"/>
        </w:rPr>
        <w:t xml:space="preserve"> March 2016</w:t>
      </w:r>
    </w:p>
  </w:footnote>
  <w:footnote w:id="151">
    <w:p w:rsidR="000F38B9" w:rsidRPr="006D0FA3" w:rsidRDefault="000F38B9">
      <w:pPr>
        <w:pStyle w:val="FootnoteText"/>
        <w:rPr>
          <w:sz w:val="16"/>
          <w:szCs w:val="16"/>
        </w:rPr>
      </w:pPr>
      <w:r w:rsidRPr="006D0FA3">
        <w:rPr>
          <w:rStyle w:val="FootnoteReference"/>
          <w:rFonts w:eastAsia="SimSun"/>
          <w:sz w:val="16"/>
          <w:szCs w:val="16"/>
        </w:rPr>
        <w:footnoteRef/>
      </w:r>
      <w:r w:rsidRPr="006D0FA3">
        <w:rPr>
          <w:sz w:val="16"/>
          <w:szCs w:val="16"/>
        </w:rPr>
        <w:t xml:space="preserve"> The Fund in Trust was established under a MoU between </w:t>
      </w:r>
      <w:r>
        <w:rPr>
          <w:sz w:val="16"/>
          <w:szCs w:val="16"/>
        </w:rPr>
        <w:t xml:space="preserve">WIPO and </w:t>
      </w:r>
      <w:r w:rsidRPr="006D0FA3">
        <w:rPr>
          <w:sz w:val="16"/>
          <w:szCs w:val="16"/>
        </w:rPr>
        <w:t xml:space="preserve">UNDP signed </w:t>
      </w:r>
      <w:r w:rsidRPr="006D0FA3">
        <w:rPr>
          <w:rFonts w:cs="Arial"/>
          <w:sz w:val="16"/>
          <w:szCs w:val="16"/>
        </w:rPr>
        <w:t>in October 2015</w:t>
      </w:r>
      <w:r>
        <w:rPr>
          <w:rFonts w:cs="Arial"/>
          <w:sz w:val="16"/>
          <w:szCs w:val="16"/>
        </w:rPr>
        <w:t>, and conducted in the context of a project</w:t>
      </w:r>
      <w:r w:rsidRPr="006D0FA3">
        <w:t xml:space="preserve"> </w:t>
      </w:r>
      <w:r w:rsidRPr="006D0FA3">
        <w:rPr>
          <w:rFonts w:cs="Arial"/>
          <w:sz w:val="16"/>
          <w:szCs w:val="16"/>
        </w:rPr>
        <w:t>the Brazilian Innovation Agency (FINEP)</w:t>
      </w:r>
      <w:r>
        <w:rPr>
          <w:rFonts w:cs="Arial"/>
          <w:sz w:val="16"/>
          <w:szCs w:val="16"/>
        </w:rPr>
        <w:t xml:space="preserve"> has </w:t>
      </w:r>
      <w:r w:rsidRPr="006D0FA3">
        <w:rPr>
          <w:rFonts w:cs="Arial"/>
          <w:sz w:val="16"/>
          <w:szCs w:val="16"/>
        </w:rPr>
        <w:t xml:space="preserve">with UNDP-Brazil (PNUD: BRA 12/001 </w:t>
      </w:r>
      <w:r w:rsidRPr="006D0FA3">
        <w:rPr>
          <w:rFonts w:cs="Arial"/>
          <w:i/>
          <w:sz w:val="16"/>
          <w:szCs w:val="16"/>
        </w:rPr>
        <w:t>Promoção da Inovação para o Desenvolvimento Sustentável</w:t>
      </w:r>
      <w:r w:rsidRPr="006D0FA3">
        <w:rPr>
          <w:rFonts w:cs="Arial"/>
          <w:sz w:val="16"/>
          <w:szCs w:val="16"/>
        </w:rPr>
        <w:t>).</w:t>
      </w:r>
    </w:p>
  </w:footnote>
  <w:footnote w:id="152">
    <w:p w:rsidR="000F38B9" w:rsidRPr="00605F17" w:rsidRDefault="000F38B9">
      <w:pPr>
        <w:pStyle w:val="FootnoteText"/>
        <w:rPr>
          <w:sz w:val="16"/>
          <w:szCs w:val="16"/>
        </w:rPr>
      </w:pPr>
      <w:r w:rsidRPr="00605F17">
        <w:rPr>
          <w:rStyle w:val="FootnoteReference"/>
          <w:rFonts w:eastAsia="SimSun"/>
          <w:sz w:val="16"/>
          <w:szCs w:val="16"/>
        </w:rPr>
        <w:footnoteRef/>
      </w:r>
      <w:r w:rsidRPr="00605F17">
        <w:rPr>
          <w:sz w:val="16"/>
          <w:szCs w:val="16"/>
        </w:rPr>
        <w:t xml:space="preserve"> Project initiated in August 2014.</w:t>
      </w:r>
    </w:p>
  </w:footnote>
  <w:footnote w:id="153">
    <w:p w:rsidR="000F38B9" w:rsidRDefault="000F38B9">
      <w:pPr>
        <w:pStyle w:val="FootnoteText"/>
      </w:pPr>
      <w:r w:rsidRPr="00605F17">
        <w:rPr>
          <w:rStyle w:val="FootnoteReference"/>
          <w:rFonts w:eastAsia="SimSun"/>
          <w:sz w:val="16"/>
          <w:szCs w:val="16"/>
        </w:rPr>
        <w:footnoteRef/>
      </w:r>
      <w:r w:rsidRPr="00605F17">
        <w:rPr>
          <w:sz w:val="16"/>
          <w:szCs w:val="16"/>
        </w:rPr>
        <w:t xml:space="preserve"> Project initiated in September 2014.</w:t>
      </w:r>
    </w:p>
  </w:footnote>
  <w:footnote w:id="154">
    <w:p w:rsidR="000F38B9" w:rsidRPr="00F150B4" w:rsidRDefault="000F38B9">
      <w:pPr>
        <w:pStyle w:val="FootnoteText"/>
        <w:rPr>
          <w:sz w:val="16"/>
          <w:szCs w:val="16"/>
        </w:rPr>
      </w:pPr>
      <w:r w:rsidRPr="00F150B4">
        <w:rPr>
          <w:rStyle w:val="FootnoteReference"/>
          <w:sz w:val="16"/>
          <w:szCs w:val="16"/>
        </w:rPr>
        <w:footnoteRef/>
      </w:r>
      <w:r w:rsidRPr="00F150B4">
        <w:rPr>
          <w:sz w:val="16"/>
          <w:szCs w:val="16"/>
        </w:rPr>
        <w:t xml:space="preserve"> </w:t>
      </w:r>
      <w:hyperlink r:id="rId17" w:history="1">
        <w:r w:rsidRPr="00F43BB5">
          <w:rPr>
            <w:rStyle w:val="Hyperlink"/>
            <w:sz w:val="16"/>
            <w:szCs w:val="16"/>
          </w:rPr>
          <w:t>http://www.wipo.int/publications/en/details.jsp?id=259&amp;plang=EN</w:t>
        </w:r>
      </w:hyperlink>
      <w:r>
        <w:rPr>
          <w:rStyle w:val="Strong"/>
          <w:sz w:val="16"/>
          <w:szCs w:val="16"/>
        </w:rPr>
        <w:t xml:space="preserve"> </w:t>
      </w:r>
    </w:p>
  </w:footnote>
  <w:footnote w:id="155">
    <w:p w:rsidR="000F38B9" w:rsidRDefault="000F38B9" w:rsidP="003867F8">
      <w:pPr>
        <w:pStyle w:val="FootnoteText"/>
      </w:pPr>
      <w:r w:rsidRPr="00152E3E">
        <w:rPr>
          <w:rStyle w:val="FootnoteReference"/>
          <w:rFonts w:cs="Arial"/>
          <w:sz w:val="16"/>
          <w:szCs w:val="16"/>
        </w:rPr>
        <w:footnoteRef/>
      </w:r>
      <w:r w:rsidRPr="00152E3E">
        <w:rPr>
          <w:rFonts w:cs="Arial"/>
          <w:sz w:val="16"/>
          <w:szCs w:val="16"/>
        </w:rPr>
        <w:t xml:space="preserve"> </w:t>
      </w:r>
      <w:r>
        <w:rPr>
          <w:rFonts w:cs="Arial"/>
          <w:sz w:val="16"/>
          <w:szCs w:val="16"/>
        </w:rPr>
        <w:t>I</w:t>
      </w:r>
      <w:r w:rsidRPr="00152E3E">
        <w:rPr>
          <w:rFonts w:cs="Arial"/>
          <w:sz w:val="16"/>
          <w:szCs w:val="16"/>
        </w:rPr>
        <w:t xml:space="preserve">n October </w:t>
      </w:r>
      <w:r>
        <w:rPr>
          <w:rFonts w:cs="Arial"/>
          <w:sz w:val="16"/>
          <w:szCs w:val="16"/>
        </w:rPr>
        <w:t>2012, a Memorandum creating the FIT/IBERO was signed as a financial instrument of the Ibero American Program of Industrial Property.  The</w:t>
      </w:r>
      <w:r w:rsidRPr="00152E3E">
        <w:rPr>
          <w:rFonts w:cs="Arial"/>
          <w:sz w:val="16"/>
          <w:szCs w:val="16"/>
        </w:rPr>
        <w:t xml:space="preserve"> </w:t>
      </w:r>
      <w:r>
        <w:rPr>
          <w:rFonts w:cs="Arial"/>
          <w:sz w:val="16"/>
          <w:szCs w:val="16"/>
        </w:rPr>
        <w:t>MoU was renewed in October 2015.</w:t>
      </w:r>
    </w:p>
  </w:footnote>
  <w:footnote w:id="156">
    <w:p w:rsidR="000F38B9" w:rsidRPr="007B0988" w:rsidRDefault="000F38B9">
      <w:pPr>
        <w:pStyle w:val="FootnoteText"/>
        <w:rPr>
          <w:sz w:val="16"/>
          <w:szCs w:val="16"/>
        </w:rPr>
      </w:pPr>
      <w:r w:rsidRPr="007B0988">
        <w:rPr>
          <w:rStyle w:val="FootnoteReference"/>
          <w:sz w:val="16"/>
          <w:szCs w:val="16"/>
        </w:rPr>
        <w:footnoteRef/>
      </w:r>
      <w:r w:rsidRPr="007B0988">
        <w:rPr>
          <w:sz w:val="16"/>
          <w:szCs w:val="16"/>
        </w:rPr>
        <w:t xml:space="preserve"> </w:t>
      </w:r>
      <w:proofErr w:type="gramStart"/>
      <w:r>
        <w:rPr>
          <w:sz w:val="16"/>
          <w:szCs w:val="16"/>
        </w:rPr>
        <w:t>I</w:t>
      </w:r>
      <w:r w:rsidRPr="007B0988">
        <w:rPr>
          <w:sz w:val="16"/>
          <w:szCs w:val="16"/>
        </w:rPr>
        <w:t>nitiated in June 2013.</w:t>
      </w:r>
      <w:proofErr w:type="gramEnd"/>
    </w:p>
  </w:footnote>
  <w:footnote w:id="157">
    <w:p w:rsidR="000F38B9" w:rsidRPr="007B0988" w:rsidRDefault="000F38B9">
      <w:pPr>
        <w:pStyle w:val="FootnoteText"/>
        <w:rPr>
          <w:sz w:val="16"/>
          <w:szCs w:val="16"/>
        </w:rPr>
      </w:pPr>
      <w:r w:rsidRPr="007B0988">
        <w:rPr>
          <w:rStyle w:val="FootnoteReference"/>
          <w:sz w:val="16"/>
          <w:szCs w:val="16"/>
        </w:rPr>
        <w:footnoteRef/>
      </w:r>
      <w:r w:rsidRPr="007B0988">
        <w:rPr>
          <w:sz w:val="16"/>
          <w:szCs w:val="16"/>
        </w:rPr>
        <w:t xml:space="preserve"> </w:t>
      </w:r>
      <w:hyperlink r:id="rId18" w:history="1">
        <w:r w:rsidRPr="007B0988">
          <w:rPr>
            <w:rStyle w:val="Hyperlink"/>
            <w:sz w:val="16"/>
            <w:szCs w:val="16"/>
          </w:rPr>
          <w:t>http://www.uibm.gov.it/attachments/FINAL%20Guide_for_IP%20Agri-food%20SME%20_Italian_publication_EN_GBA-Jaiya.pdf</w:t>
        </w:r>
      </w:hyperlink>
      <w:r w:rsidRPr="007B0988">
        <w:rPr>
          <w:sz w:val="16"/>
          <w:szCs w:val="16"/>
        </w:rPr>
        <w:t xml:space="preserve"> </w:t>
      </w:r>
    </w:p>
  </w:footnote>
  <w:footnote w:id="158">
    <w:p w:rsidR="000F38B9" w:rsidRDefault="000F38B9">
      <w:pPr>
        <w:pStyle w:val="FootnoteText"/>
      </w:pPr>
      <w:r w:rsidRPr="007B0988">
        <w:rPr>
          <w:rStyle w:val="FootnoteReference"/>
          <w:sz w:val="16"/>
          <w:szCs w:val="16"/>
        </w:rPr>
        <w:footnoteRef/>
      </w:r>
      <w:r w:rsidRPr="007B0988">
        <w:rPr>
          <w:sz w:val="16"/>
          <w:szCs w:val="16"/>
        </w:rPr>
        <w:t xml:space="preserve"> </w:t>
      </w:r>
      <w:proofErr w:type="gramStart"/>
      <w:r w:rsidRPr="007B0988">
        <w:rPr>
          <w:sz w:val="16"/>
          <w:szCs w:val="16"/>
        </w:rPr>
        <w:t>Initiated in March 2014.</w:t>
      </w:r>
      <w:proofErr w:type="gramEnd"/>
    </w:p>
  </w:footnote>
  <w:footnote w:id="159">
    <w:p w:rsidR="000F38B9" w:rsidRPr="00062D72" w:rsidRDefault="000F38B9">
      <w:pPr>
        <w:pStyle w:val="FootnoteText"/>
        <w:rPr>
          <w:sz w:val="16"/>
          <w:szCs w:val="16"/>
        </w:rPr>
      </w:pPr>
      <w:r w:rsidRPr="00062D72">
        <w:rPr>
          <w:rStyle w:val="FootnoteReference"/>
          <w:sz w:val="16"/>
          <w:szCs w:val="16"/>
        </w:rPr>
        <w:footnoteRef/>
      </w:r>
      <w:r w:rsidRPr="00062D72">
        <w:rPr>
          <w:sz w:val="16"/>
          <w:szCs w:val="16"/>
        </w:rPr>
        <w:t xml:space="preserve"> Initiated October 2014</w:t>
      </w:r>
    </w:p>
  </w:footnote>
  <w:footnote w:id="160">
    <w:p w:rsidR="000F38B9" w:rsidRDefault="000F38B9">
      <w:pPr>
        <w:pStyle w:val="FootnoteText"/>
      </w:pPr>
      <w:r w:rsidRPr="00062D72">
        <w:rPr>
          <w:rStyle w:val="FootnoteReference"/>
          <w:sz w:val="16"/>
          <w:szCs w:val="16"/>
        </w:rPr>
        <w:footnoteRef/>
      </w:r>
      <w:r w:rsidRPr="00062D72">
        <w:rPr>
          <w:sz w:val="16"/>
          <w:szCs w:val="16"/>
        </w:rPr>
        <w:t xml:space="preserve"> </w:t>
      </w:r>
      <w:r>
        <w:rPr>
          <w:sz w:val="16"/>
          <w:szCs w:val="16"/>
        </w:rPr>
        <w:t xml:space="preserve">Initiated </w:t>
      </w:r>
      <w:r w:rsidRPr="00062D72">
        <w:rPr>
          <w:sz w:val="16"/>
          <w:szCs w:val="16"/>
        </w:rPr>
        <w:t>February 2013</w:t>
      </w:r>
    </w:p>
  </w:footnote>
  <w:footnote w:id="161">
    <w:p w:rsidR="000F38B9" w:rsidRPr="00A12ABB" w:rsidRDefault="000F38B9">
      <w:pPr>
        <w:pStyle w:val="FootnoteText"/>
        <w:rPr>
          <w:sz w:val="16"/>
          <w:szCs w:val="16"/>
        </w:rPr>
      </w:pPr>
      <w:r w:rsidRPr="00A12ABB">
        <w:rPr>
          <w:rStyle w:val="FootnoteReference"/>
          <w:sz w:val="16"/>
          <w:szCs w:val="16"/>
        </w:rPr>
        <w:footnoteRef/>
      </w:r>
      <w:r w:rsidRPr="00A12ABB">
        <w:rPr>
          <w:sz w:val="16"/>
          <w:szCs w:val="16"/>
        </w:rPr>
        <w:t xml:space="preserve"> </w:t>
      </w:r>
      <w:proofErr w:type="gramStart"/>
      <w:r w:rsidRPr="00A12ABB">
        <w:rPr>
          <w:sz w:val="16"/>
          <w:szCs w:val="16"/>
        </w:rPr>
        <w:t>Initiated in October 2014.</w:t>
      </w:r>
      <w:proofErr w:type="gramEnd"/>
    </w:p>
  </w:footnote>
  <w:footnote w:id="162">
    <w:p w:rsidR="000F38B9" w:rsidRPr="003E2937" w:rsidRDefault="000F38B9">
      <w:pPr>
        <w:pStyle w:val="FootnoteText"/>
        <w:rPr>
          <w:sz w:val="16"/>
          <w:szCs w:val="16"/>
        </w:rPr>
      </w:pPr>
      <w:r w:rsidRPr="003E2937">
        <w:rPr>
          <w:rStyle w:val="FootnoteReference"/>
          <w:sz w:val="16"/>
          <w:szCs w:val="16"/>
        </w:rPr>
        <w:footnoteRef/>
      </w:r>
      <w:r w:rsidRPr="003E2937">
        <w:rPr>
          <w:sz w:val="16"/>
          <w:szCs w:val="16"/>
        </w:rPr>
        <w:t xml:space="preserve"> </w:t>
      </w:r>
      <w:proofErr w:type="gramStart"/>
      <w:r w:rsidRPr="003E2937">
        <w:rPr>
          <w:sz w:val="16"/>
          <w:szCs w:val="16"/>
        </w:rPr>
        <w:t>Initiated in December 2014.</w:t>
      </w:r>
      <w:proofErr w:type="gramEnd"/>
    </w:p>
  </w:footnote>
  <w:footnote w:id="163">
    <w:p w:rsidR="000F38B9" w:rsidRPr="003E2937" w:rsidRDefault="000F38B9">
      <w:pPr>
        <w:pStyle w:val="FootnoteText"/>
        <w:rPr>
          <w:sz w:val="16"/>
          <w:szCs w:val="16"/>
        </w:rPr>
      </w:pPr>
      <w:r w:rsidRPr="003E2937">
        <w:rPr>
          <w:rStyle w:val="FootnoteReference"/>
          <w:sz w:val="16"/>
          <w:szCs w:val="16"/>
        </w:rPr>
        <w:footnoteRef/>
      </w:r>
      <w:r w:rsidRPr="003E2937">
        <w:rPr>
          <w:sz w:val="16"/>
          <w:szCs w:val="16"/>
        </w:rPr>
        <w:t xml:space="preserve"> </w:t>
      </w:r>
      <w:proofErr w:type="gramStart"/>
      <w:r w:rsidRPr="003E2937">
        <w:rPr>
          <w:sz w:val="16"/>
          <w:szCs w:val="16"/>
        </w:rPr>
        <w:t xml:space="preserve">Initiated in </w:t>
      </w:r>
      <w:r>
        <w:rPr>
          <w:sz w:val="16"/>
          <w:szCs w:val="16"/>
        </w:rPr>
        <w:t xml:space="preserve">September </w:t>
      </w:r>
      <w:r w:rsidRPr="003E2937">
        <w:rPr>
          <w:sz w:val="16"/>
          <w:szCs w:val="16"/>
        </w:rPr>
        <w:t>2014.</w:t>
      </w:r>
      <w:proofErr w:type="gramEnd"/>
    </w:p>
  </w:footnote>
  <w:footnote w:id="164">
    <w:p w:rsidR="000F38B9" w:rsidRPr="002F477F" w:rsidRDefault="000F38B9" w:rsidP="00091CB9">
      <w:pPr>
        <w:pStyle w:val="FootnoteText"/>
        <w:rPr>
          <w:sz w:val="16"/>
          <w:szCs w:val="16"/>
        </w:rPr>
      </w:pPr>
      <w:r w:rsidRPr="002F477F">
        <w:rPr>
          <w:rStyle w:val="FootnoteReference"/>
          <w:sz w:val="16"/>
          <w:szCs w:val="16"/>
        </w:rPr>
        <w:footnoteRef/>
      </w:r>
      <w:r w:rsidRPr="002F477F">
        <w:rPr>
          <w:sz w:val="16"/>
          <w:szCs w:val="16"/>
        </w:rPr>
        <w:t xml:space="preserve"> The FIT Mexico also co-funded two activities in collaboration with FIT Spain (see below).</w:t>
      </w:r>
    </w:p>
  </w:footnote>
  <w:footnote w:id="165">
    <w:p w:rsidR="000F38B9" w:rsidRPr="00FE196C" w:rsidRDefault="000F38B9" w:rsidP="003867F8">
      <w:pPr>
        <w:pStyle w:val="FootnoteText"/>
        <w:rPr>
          <w:rFonts w:cs="Arial"/>
          <w:sz w:val="16"/>
          <w:szCs w:val="16"/>
        </w:rPr>
      </w:pPr>
      <w:r w:rsidRPr="00FE196C">
        <w:rPr>
          <w:rStyle w:val="FootnoteReference"/>
          <w:rFonts w:cs="Arial"/>
          <w:sz w:val="16"/>
          <w:szCs w:val="16"/>
        </w:rPr>
        <w:footnoteRef/>
      </w:r>
      <w:r w:rsidRPr="00FE196C">
        <w:rPr>
          <w:rFonts w:cs="Arial"/>
          <w:sz w:val="16"/>
          <w:szCs w:val="16"/>
        </w:rPr>
        <w:t xml:space="preserve"> </w:t>
      </w:r>
      <w:r w:rsidRPr="00B17586">
        <w:rPr>
          <w:rFonts w:cs="Arial"/>
          <w:sz w:val="16"/>
          <w:szCs w:val="16"/>
        </w:rPr>
        <w:t xml:space="preserve">The year 2015 </w:t>
      </w:r>
      <w:r>
        <w:rPr>
          <w:rFonts w:cs="Arial"/>
          <w:sz w:val="16"/>
          <w:szCs w:val="16"/>
        </w:rPr>
        <w:t>marked</w:t>
      </w:r>
      <w:r w:rsidRPr="00B17586">
        <w:rPr>
          <w:rFonts w:cs="Arial"/>
          <w:sz w:val="16"/>
          <w:szCs w:val="16"/>
        </w:rPr>
        <w:t xml:space="preserve"> the </w:t>
      </w:r>
      <w:r>
        <w:rPr>
          <w:rFonts w:cs="Arial"/>
          <w:sz w:val="16"/>
          <w:szCs w:val="16"/>
        </w:rPr>
        <w:t>10th</w:t>
      </w:r>
      <w:r w:rsidRPr="00B17586">
        <w:rPr>
          <w:rFonts w:cs="Arial"/>
          <w:sz w:val="16"/>
          <w:szCs w:val="16"/>
        </w:rPr>
        <w:t xml:space="preserve"> anniversary </w:t>
      </w:r>
      <w:r>
        <w:rPr>
          <w:rFonts w:cs="Arial"/>
          <w:sz w:val="16"/>
          <w:szCs w:val="16"/>
        </w:rPr>
        <w:t>t</w:t>
      </w:r>
      <w:r w:rsidRPr="00B17586">
        <w:rPr>
          <w:rFonts w:cs="Arial"/>
          <w:sz w:val="16"/>
          <w:szCs w:val="16"/>
        </w:rPr>
        <w:t>he Spanish Fund in Trust</w:t>
      </w:r>
      <w:r>
        <w:rPr>
          <w:rFonts w:cs="Arial"/>
          <w:sz w:val="16"/>
          <w:szCs w:val="16"/>
        </w:rPr>
        <w:t xml:space="preserve"> (FIT/ES).  The FIT/ES</w:t>
      </w:r>
      <w:r w:rsidRPr="00B17586">
        <w:rPr>
          <w:rFonts w:cs="Arial"/>
          <w:sz w:val="16"/>
          <w:szCs w:val="16"/>
        </w:rPr>
        <w:t xml:space="preserve"> is devoted to the design, planning and implementation of </w:t>
      </w:r>
      <w:r>
        <w:rPr>
          <w:rFonts w:cs="Arial"/>
          <w:sz w:val="16"/>
          <w:szCs w:val="16"/>
        </w:rPr>
        <w:t>r</w:t>
      </w:r>
      <w:r w:rsidRPr="00B17586">
        <w:rPr>
          <w:rFonts w:cs="Arial"/>
          <w:sz w:val="16"/>
          <w:szCs w:val="16"/>
        </w:rPr>
        <w:t xml:space="preserve">egional </w:t>
      </w:r>
      <w:r>
        <w:rPr>
          <w:rFonts w:cs="Arial"/>
          <w:sz w:val="16"/>
          <w:szCs w:val="16"/>
        </w:rPr>
        <w:t>p</w:t>
      </w:r>
      <w:r w:rsidRPr="00B17586">
        <w:rPr>
          <w:rFonts w:cs="Arial"/>
          <w:sz w:val="16"/>
          <w:szCs w:val="16"/>
        </w:rPr>
        <w:t>rojects in Industrial Property (IP) for the Ibero</w:t>
      </w:r>
      <w:r>
        <w:rPr>
          <w:rFonts w:cs="Arial"/>
          <w:sz w:val="16"/>
          <w:szCs w:val="16"/>
        </w:rPr>
        <w:t>-A</w:t>
      </w:r>
      <w:r w:rsidRPr="00B17586">
        <w:rPr>
          <w:rFonts w:cs="Arial"/>
          <w:sz w:val="16"/>
          <w:szCs w:val="16"/>
        </w:rPr>
        <w:t>merican region.</w:t>
      </w:r>
      <w:r>
        <w:rPr>
          <w:rFonts w:cs="Arial"/>
          <w:sz w:val="16"/>
          <w:szCs w:val="16"/>
        </w:rPr>
        <w:t xml:space="preserve"> </w:t>
      </w:r>
      <w:r w:rsidRPr="00B17586">
        <w:rPr>
          <w:rFonts w:cs="Arial"/>
          <w:sz w:val="16"/>
          <w:szCs w:val="16"/>
        </w:rPr>
        <w:t xml:space="preserve"> IP is a tool that is progressively incorporated in the adoption of public policies to promote innovation and hence economic activity as a whole for the benefit of the society.  In this context, the objectives of the FIT/ES cooperation are</w:t>
      </w:r>
      <w:r>
        <w:rPr>
          <w:rFonts w:cs="Arial"/>
          <w:sz w:val="16"/>
          <w:szCs w:val="16"/>
        </w:rPr>
        <w:t>:  (i)</w:t>
      </w:r>
      <w:r w:rsidRPr="00B17586">
        <w:rPr>
          <w:rFonts w:cs="Arial"/>
          <w:sz w:val="16"/>
          <w:szCs w:val="16"/>
        </w:rPr>
        <w:t xml:space="preserve"> promoti</w:t>
      </w:r>
      <w:r>
        <w:rPr>
          <w:rFonts w:cs="Arial"/>
          <w:sz w:val="16"/>
          <w:szCs w:val="16"/>
        </w:rPr>
        <w:t>on</w:t>
      </w:r>
      <w:r w:rsidRPr="00B17586">
        <w:rPr>
          <w:rFonts w:cs="Arial"/>
          <w:sz w:val="16"/>
          <w:szCs w:val="16"/>
        </w:rPr>
        <w:t xml:space="preserve"> Spanish as a technological language</w:t>
      </w:r>
      <w:proofErr w:type="gramStart"/>
      <w:r>
        <w:rPr>
          <w:rFonts w:cs="Arial"/>
          <w:sz w:val="16"/>
          <w:szCs w:val="16"/>
        </w:rPr>
        <w:t>;  (</w:t>
      </w:r>
      <w:proofErr w:type="gramEnd"/>
      <w:r>
        <w:rPr>
          <w:rFonts w:cs="Arial"/>
          <w:sz w:val="16"/>
          <w:szCs w:val="16"/>
        </w:rPr>
        <w:t xml:space="preserve">ii) </w:t>
      </w:r>
      <w:r w:rsidRPr="00B17586">
        <w:rPr>
          <w:rFonts w:cs="Arial"/>
          <w:sz w:val="16"/>
          <w:szCs w:val="16"/>
        </w:rPr>
        <w:t>support for institutional strengthening and training of human resources</w:t>
      </w:r>
      <w:r>
        <w:rPr>
          <w:rFonts w:cs="Arial"/>
          <w:sz w:val="16"/>
          <w:szCs w:val="16"/>
        </w:rPr>
        <w:t xml:space="preserve">; </w:t>
      </w:r>
      <w:r w:rsidRPr="00B17586">
        <w:rPr>
          <w:rFonts w:cs="Arial"/>
          <w:sz w:val="16"/>
          <w:szCs w:val="16"/>
        </w:rPr>
        <w:t xml:space="preserve"> </w:t>
      </w:r>
      <w:r>
        <w:rPr>
          <w:rFonts w:cs="Arial"/>
          <w:sz w:val="16"/>
          <w:szCs w:val="16"/>
        </w:rPr>
        <w:t xml:space="preserve">(iii) </w:t>
      </w:r>
      <w:r w:rsidRPr="00B17586">
        <w:rPr>
          <w:rFonts w:cs="Arial"/>
          <w:sz w:val="16"/>
          <w:szCs w:val="16"/>
        </w:rPr>
        <w:t xml:space="preserve">dissemination of industrial property in SMEs and </w:t>
      </w:r>
      <w:r>
        <w:rPr>
          <w:rFonts w:cs="Arial"/>
          <w:sz w:val="16"/>
          <w:szCs w:val="16"/>
        </w:rPr>
        <w:t>u</w:t>
      </w:r>
      <w:r w:rsidRPr="00B17586">
        <w:rPr>
          <w:rFonts w:cs="Arial"/>
          <w:sz w:val="16"/>
          <w:szCs w:val="16"/>
        </w:rPr>
        <w:t>niversities</w:t>
      </w:r>
      <w:r>
        <w:rPr>
          <w:rFonts w:cs="Arial"/>
          <w:sz w:val="16"/>
          <w:szCs w:val="16"/>
        </w:rPr>
        <w:t xml:space="preserve">; </w:t>
      </w:r>
      <w:r w:rsidRPr="00B17586">
        <w:rPr>
          <w:rFonts w:cs="Arial"/>
          <w:sz w:val="16"/>
          <w:szCs w:val="16"/>
        </w:rPr>
        <w:t xml:space="preserve"> and</w:t>
      </w:r>
      <w:r>
        <w:rPr>
          <w:rFonts w:cs="Arial"/>
          <w:sz w:val="16"/>
          <w:szCs w:val="16"/>
        </w:rPr>
        <w:t xml:space="preserve"> (iv)</w:t>
      </w:r>
      <w:r w:rsidRPr="00B17586">
        <w:rPr>
          <w:rFonts w:cs="Arial"/>
          <w:sz w:val="16"/>
          <w:szCs w:val="16"/>
        </w:rPr>
        <w:t xml:space="preserve"> modernization as well as exchanges of experiences among industrial property </w:t>
      </w:r>
      <w:r>
        <w:rPr>
          <w:rFonts w:cs="Arial"/>
          <w:sz w:val="16"/>
          <w:szCs w:val="16"/>
        </w:rPr>
        <w:t>O</w:t>
      </w:r>
      <w:r w:rsidRPr="00B17586">
        <w:rPr>
          <w:rFonts w:cs="Arial"/>
          <w:sz w:val="16"/>
          <w:szCs w:val="16"/>
        </w:rPr>
        <w:t xml:space="preserve">ffices </w:t>
      </w:r>
      <w:r>
        <w:rPr>
          <w:rFonts w:cs="Arial"/>
          <w:sz w:val="16"/>
          <w:szCs w:val="16"/>
        </w:rPr>
        <w:t xml:space="preserve">to </w:t>
      </w:r>
      <w:r w:rsidRPr="00B17586">
        <w:rPr>
          <w:rFonts w:cs="Arial"/>
          <w:sz w:val="16"/>
          <w:szCs w:val="16"/>
        </w:rPr>
        <w:t>promot</w:t>
      </w:r>
      <w:r>
        <w:rPr>
          <w:rFonts w:cs="Arial"/>
          <w:sz w:val="16"/>
          <w:szCs w:val="16"/>
        </w:rPr>
        <w:t>e</w:t>
      </w:r>
      <w:r w:rsidRPr="00B17586">
        <w:rPr>
          <w:rFonts w:cs="Arial"/>
          <w:sz w:val="16"/>
          <w:szCs w:val="16"/>
        </w:rPr>
        <w:t xml:space="preserve"> quality services.</w:t>
      </w:r>
    </w:p>
  </w:footnote>
  <w:footnote w:id="166">
    <w:p w:rsidR="000F38B9" w:rsidRPr="006839D1" w:rsidRDefault="000F38B9" w:rsidP="00091CB9">
      <w:pPr>
        <w:pStyle w:val="FootnoteText"/>
        <w:rPr>
          <w:sz w:val="16"/>
          <w:szCs w:val="16"/>
        </w:rPr>
      </w:pPr>
      <w:r w:rsidRPr="006839D1">
        <w:rPr>
          <w:rStyle w:val="FootnoteReference"/>
          <w:sz w:val="16"/>
          <w:szCs w:val="16"/>
        </w:rPr>
        <w:footnoteRef/>
      </w:r>
      <w:r w:rsidRPr="006839D1">
        <w:rPr>
          <w:sz w:val="16"/>
          <w:szCs w:val="16"/>
        </w:rPr>
        <w:t xml:space="preserve"> </w:t>
      </w:r>
      <w:r w:rsidRPr="002F477F">
        <w:rPr>
          <w:sz w:val="16"/>
          <w:szCs w:val="16"/>
        </w:rPr>
        <w:t xml:space="preserve">This activity was </w:t>
      </w:r>
      <w:r>
        <w:rPr>
          <w:sz w:val="16"/>
          <w:szCs w:val="16"/>
        </w:rPr>
        <w:t>co-</w:t>
      </w:r>
      <w:r w:rsidRPr="002F477F">
        <w:rPr>
          <w:sz w:val="16"/>
          <w:szCs w:val="16"/>
        </w:rPr>
        <w:t xml:space="preserve">funded </w:t>
      </w:r>
      <w:r>
        <w:rPr>
          <w:sz w:val="16"/>
          <w:szCs w:val="16"/>
        </w:rPr>
        <w:t>in collaboration with</w:t>
      </w:r>
      <w:r w:rsidRPr="002F477F">
        <w:rPr>
          <w:sz w:val="16"/>
          <w:szCs w:val="16"/>
        </w:rPr>
        <w:t xml:space="preserve"> FIT Mexico.</w:t>
      </w:r>
    </w:p>
  </w:footnote>
  <w:footnote w:id="167">
    <w:p w:rsidR="000F38B9" w:rsidRPr="002F477F" w:rsidRDefault="000F38B9" w:rsidP="00675B75">
      <w:pPr>
        <w:pStyle w:val="FootnoteText"/>
        <w:rPr>
          <w:sz w:val="16"/>
          <w:szCs w:val="16"/>
        </w:rPr>
      </w:pPr>
      <w:r w:rsidRPr="002F477F">
        <w:rPr>
          <w:rStyle w:val="FootnoteReference"/>
          <w:sz w:val="16"/>
          <w:szCs w:val="16"/>
        </w:rPr>
        <w:footnoteRef/>
      </w:r>
      <w:r w:rsidRPr="002F477F">
        <w:rPr>
          <w:sz w:val="16"/>
          <w:szCs w:val="16"/>
        </w:rPr>
        <w:t xml:space="preserve"> </w:t>
      </w:r>
      <w:proofErr w:type="gramStart"/>
      <w:r w:rsidRPr="002F477F">
        <w:rPr>
          <w:sz w:val="16"/>
          <w:szCs w:val="16"/>
        </w:rPr>
        <w:t>Idem.</w:t>
      </w:r>
      <w:proofErr w:type="gramEnd"/>
    </w:p>
  </w:footnote>
  <w:footnote w:id="168">
    <w:p w:rsidR="000F38B9" w:rsidRPr="00053B5B" w:rsidRDefault="000F38B9">
      <w:pPr>
        <w:pStyle w:val="FootnoteText"/>
        <w:rPr>
          <w:rFonts w:cs="Arial"/>
          <w:sz w:val="16"/>
          <w:szCs w:val="16"/>
        </w:rPr>
      </w:pPr>
      <w:r w:rsidRPr="00053B5B">
        <w:rPr>
          <w:rStyle w:val="FootnoteReference"/>
          <w:rFonts w:cs="Arial"/>
          <w:sz w:val="16"/>
          <w:szCs w:val="16"/>
        </w:rPr>
        <w:footnoteRef/>
      </w:r>
      <w:r w:rsidRPr="00053B5B">
        <w:rPr>
          <w:rFonts w:cs="Arial"/>
          <w:sz w:val="16"/>
          <w:szCs w:val="16"/>
        </w:rPr>
        <w:t xml:space="preserve"> </w:t>
      </w:r>
      <w:proofErr w:type="gramStart"/>
      <w:r w:rsidRPr="00053B5B">
        <w:rPr>
          <w:rFonts w:cs="Arial"/>
          <w:sz w:val="16"/>
          <w:szCs w:val="16"/>
        </w:rPr>
        <w:t>Initiated in May 2014.</w:t>
      </w:r>
      <w:proofErr w:type="gramEnd"/>
      <w:r w:rsidRPr="00053B5B">
        <w:rPr>
          <w:rFonts w:cs="Arial"/>
          <w:sz w:val="16"/>
          <w:szCs w:val="16"/>
        </w:rPr>
        <w:t xml:space="preserve">  </w:t>
      </w:r>
      <w:proofErr w:type="gramStart"/>
      <w:r w:rsidRPr="00053B5B">
        <w:rPr>
          <w:rFonts w:cs="Arial"/>
          <w:sz w:val="16"/>
          <w:szCs w:val="16"/>
        </w:rPr>
        <w:t>Expected date of completion: May 2016.</w:t>
      </w:r>
      <w:proofErr w:type="gramEnd"/>
    </w:p>
  </w:footnote>
  <w:footnote w:id="169">
    <w:p w:rsidR="000F38B9" w:rsidRDefault="000F38B9" w:rsidP="00132057">
      <w:pPr>
        <w:pStyle w:val="FootnoteText"/>
        <w:rPr>
          <w:sz w:val="16"/>
          <w:szCs w:val="16"/>
        </w:rPr>
      </w:pPr>
      <w:r>
        <w:rPr>
          <w:rStyle w:val="FootnoteReference"/>
          <w:sz w:val="16"/>
          <w:szCs w:val="16"/>
        </w:rPr>
        <w:footnoteRef/>
      </w:r>
      <w:r>
        <w:rPr>
          <w:sz w:val="16"/>
          <w:szCs w:val="16"/>
        </w:rPr>
        <w:t xml:space="preserve"> http://www.wipo.int/edocs/mdocs/govbody/en/a_51/a_51_16.pdf</w:t>
      </w:r>
    </w:p>
  </w:footnote>
  <w:footnote w:id="170">
    <w:p w:rsidR="000F38B9" w:rsidRDefault="000F38B9" w:rsidP="00132057">
      <w:pPr>
        <w:pStyle w:val="FootnoteText"/>
        <w:rPr>
          <w:sz w:val="18"/>
          <w:szCs w:val="24"/>
        </w:rPr>
      </w:pPr>
      <w:r>
        <w:rPr>
          <w:rStyle w:val="FootnoteReference"/>
          <w:sz w:val="16"/>
          <w:szCs w:val="16"/>
        </w:rPr>
        <w:footnoteRef/>
      </w:r>
      <w:r>
        <w:rPr>
          <w:sz w:val="16"/>
          <w:szCs w:val="16"/>
        </w:rPr>
        <w:t xml:space="preserve"> http://www.wipo.int/edocs/mdocs/govbody/en/wo_pbc_22/wo_pbc_22_21.pdf</w:t>
      </w:r>
    </w:p>
  </w:footnote>
  <w:footnote w:id="171">
    <w:p w:rsidR="000F38B9" w:rsidRPr="00A378B8" w:rsidRDefault="000F38B9" w:rsidP="00132057">
      <w:pPr>
        <w:pStyle w:val="FootnoteText"/>
        <w:rPr>
          <w:sz w:val="16"/>
          <w:szCs w:val="16"/>
        </w:rPr>
      </w:pPr>
      <w:r w:rsidRPr="00A378B8">
        <w:rPr>
          <w:rStyle w:val="FootnoteReference"/>
          <w:sz w:val="16"/>
          <w:szCs w:val="16"/>
        </w:rPr>
        <w:footnoteRef/>
      </w:r>
      <w:r w:rsidRPr="00A378B8">
        <w:rPr>
          <w:sz w:val="16"/>
          <w:szCs w:val="16"/>
        </w:rPr>
        <w:t xml:space="preserve"> It should be noted that in the resource utilization tables</w:t>
      </w:r>
      <w:r>
        <w:rPr>
          <w:sz w:val="16"/>
          <w:szCs w:val="16"/>
        </w:rPr>
        <w:t xml:space="preserve"> below</w:t>
      </w:r>
      <w:r w:rsidRPr="00A378B8">
        <w:rPr>
          <w:sz w:val="16"/>
          <w:szCs w:val="16"/>
        </w:rPr>
        <w:t xml:space="preserve">, the </w:t>
      </w:r>
      <w:r>
        <w:rPr>
          <w:sz w:val="16"/>
          <w:szCs w:val="16"/>
        </w:rPr>
        <w:t>“</w:t>
      </w:r>
      <w:r w:rsidRPr="00A378B8">
        <w:rPr>
          <w:bCs/>
          <w:sz w:val="16"/>
          <w:szCs w:val="16"/>
        </w:rPr>
        <w:t>Actual Expenditure to Date” columns do not include encumbrances.</w:t>
      </w:r>
    </w:p>
  </w:footnote>
  <w:footnote w:id="172">
    <w:p w:rsidR="000F38B9" w:rsidRPr="00573D87" w:rsidRDefault="000F38B9">
      <w:pPr>
        <w:pStyle w:val="FootnoteText"/>
        <w:rPr>
          <w:sz w:val="16"/>
          <w:szCs w:val="16"/>
        </w:rPr>
      </w:pPr>
      <w:r w:rsidRPr="00573D87">
        <w:rPr>
          <w:rStyle w:val="FootnoteReference"/>
          <w:sz w:val="16"/>
          <w:szCs w:val="16"/>
        </w:rPr>
        <w:footnoteRef/>
      </w:r>
      <w:r w:rsidRPr="00573D87">
        <w:rPr>
          <w:sz w:val="16"/>
          <w:szCs w:val="16"/>
        </w:rPr>
        <w:t xml:space="preserve"> The more detailed breakdown by cost category will be defined following the completion of the current state of assessment</w:t>
      </w:r>
      <w:r>
        <w:rPr>
          <w:sz w:val="16"/>
          <w:szCs w:val="16"/>
        </w:rPr>
        <w:t>, when the full technical solution will be defined</w:t>
      </w:r>
      <w:r w:rsidRPr="00573D87">
        <w:rPr>
          <w:sz w:val="16"/>
          <w:szCs w:val="16"/>
        </w:rPr>
        <w:t>.</w:t>
      </w:r>
    </w:p>
  </w:footnote>
  <w:footnote w:id="173">
    <w:p w:rsidR="000F38B9" w:rsidRPr="00A378B8" w:rsidRDefault="000F38B9" w:rsidP="00132057">
      <w:pPr>
        <w:pStyle w:val="FootnoteText"/>
        <w:rPr>
          <w:sz w:val="16"/>
          <w:szCs w:val="16"/>
        </w:rPr>
      </w:pPr>
      <w:r w:rsidRPr="00A378B8">
        <w:rPr>
          <w:rStyle w:val="FootnoteReference"/>
          <w:sz w:val="16"/>
          <w:szCs w:val="16"/>
        </w:rPr>
        <w:footnoteRef/>
      </w:r>
      <w:r w:rsidRPr="00A378B8">
        <w:rPr>
          <w:sz w:val="16"/>
          <w:szCs w:val="16"/>
        </w:rPr>
        <w:t xml:space="preserve"> It should be noted that in the resource utilization tables</w:t>
      </w:r>
      <w:r>
        <w:rPr>
          <w:sz w:val="16"/>
          <w:szCs w:val="16"/>
        </w:rPr>
        <w:t xml:space="preserve"> below</w:t>
      </w:r>
      <w:r w:rsidRPr="00A378B8">
        <w:rPr>
          <w:sz w:val="16"/>
          <w:szCs w:val="16"/>
        </w:rPr>
        <w:t xml:space="preserve">, the </w:t>
      </w:r>
      <w:r>
        <w:rPr>
          <w:sz w:val="16"/>
          <w:szCs w:val="16"/>
        </w:rPr>
        <w:t>“</w:t>
      </w:r>
      <w:r w:rsidRPr="00A378B8">
        <w:rPr>
          <w:bCs/>
          <w:sz w:val="16"/>
          <w:szCs w:val="16"/>
        </w:rPr>
        <w:t>Actual Expenditure to Date” columns do not include encumbrances.</w:t>
      </w:r>
    </w:p>
  </w:footnote>
  <w:footnote w:id="174">
    <w:p w:rsidR="000F38B9" w:rsidRPr="000A2559" w:rsidRDefault="000F38B9">
      <w:pPr>
        <w:pStyle w:val="FootnoteText"/>
        <w:rPr>
          <w:sz w:val="16"/>
          <w:szCs w:val="16"/>
        </w:rPr>
      </w:pPr>
      <w:r w:rsidRPr="000A2559">
        <w:rPr>
          <w:rStyle w:val="FootnoteReference"/>
          <w:sz w:val="16"/>
          <w:szCs w:val="16"/>
        </w:rPr>
        <w:footnoteRef/>
      </w:r>
      <w:r w:rsidRPr="000A2559">
        <w:rPr>
          <w:sz w:val="16"/>
          <w:szCs w:val="16"/>
        </w:rPr>
        <w:t xml:space="preserve"> As the selection of the pilot/architect was only completed in December 2015, the successful candidate came on board during the first quarter of 2016.</w:t>
      </w:r>
    </w:p>
  </w:footnote>
  <w:footnote w:id="175">
    <w:p w:rsidR="000F38B9" w:rsidRPr="00A378B8" w:rsidRDefault="000F38B9" w:rsidP="00132057">
      <w:pPr>
        <w:pStyle w:val="FootnoteText"/>
        <w:rPr>
          <w:sz w:val="16"/>
          <w:szCs w:val="16"/>
        </w:rPr>
      </w:pPr>
      <w:r w:rsidRPr="00A378B8">
        <w:rPr>
          <w:rStyle w:val="FootnoteReference"/>
          <w:sz w:val="16"/>
          <w:szCs w:val="16"/>
        </w:rPr>
        <w:footnoteRef/>
      </w:r>
      <w:r w:rsidRPr="00A378B8">
        <w:rPr>
          <w:sz w:val="16"/>
          <w:szCs w:val="16"/>
        </w:rPr>
        <w:t xml:space="preserve"> It should be noted that in the resource utilization tables</w:t>
      </w:r>
      <w:r>
        <w:rPr>
          <w:sz w:val="16"/>
          <w:szCs w:val="16"/>
        </w:rPr>
        <w:t xml:space="preserve"> below</w:t>
      </w:r>
      <w:r w:rsidRPr="00A378B8">
        <w:rPr>
          <w:sz w:val="16"/>
          <w:szCs w:val="16"/>
        </w:rPr>
        <w:t xml:space="preserve">, the </w:t>
      </w:r>
      <w:r>
        <w:rPr>
          <w:sz w:val="16"/>
          <w:szCs w:val="16"/>
        </w:rPr>
        <w:t>“</w:t>
      </w:r>
      <w:r w:rsidRPr="00A378B8">
        <w:rPr>
          <w:bCs/>
          <w:sz w:val="16"/>
          <w:szCs w:val="16"/>
        </w:rPr>
        <w:t>Actual Expenditure to Date” columns do not include encumbrances.</w:t>
      </w:r>
    </w:p>
  </w:footnote>
  <w:footnote w:id="176">
    <w:p w:rsidR="000F38B9" w:rsidRPr="00A378B8" w:rsidRDefault="000F38B9" w:rsidP="00132057">
      <w:pPr>
        <w:pStyle w:val="FootnoteText"/>
        <w:rPr>
          <w:sz w:val="16"/>
          <w:szCs w:val="16"/>
        </w:rPr>
      </w:pPr>
      <w:r w:rsidRPr="00A378B8">
        <w:rPr>
          <w:rStyle w:val="FootnoteReference"/>
          <w:sz w:val="16"/>
          <w:szCs w:val="16"/>
        </w:rPr>
        <w:footnoteRef/>
      </w:r>
      <w:r w:rsidRPr="00A378B8">
        <w:rPr>
          <w:sz w:val="16"/>
          <w:szCs w:val="16"/>
        </w:rPr>
        <w:t xml:space="preserve"> It should be noted that in the resource utilization tables</w:t>
      </w:r>
      <w:r>
        <w:rPr>
          <w:sz w:val="16"/>
          <w:szCs w:val="16"/>
        </w:rPr>
        <w:t xml:space="preserve"> below</w:t>
      </w:r>
      <w:r w:rsidRPr="00A378B8">
        <w:rPr>
          <w:sz w:val="16"/>
          <w:szCs w:val="16"/>
        </w:rPr>
        <w:t xml:space="preserve">, the </w:t>
      </w:r>
      <w:r>
        <w:rPr>
          <w:sz w:val="16"/>
          <w:szCs w:val="16"/>
        </w:rPr>
        <w:t>“</w:t>
      </w:r>
      <w:r w:rsidRPr="00A378B8">
        <w:rPr>
          <w:bCs/>
          <w:sz w:val="16"/>
          <w:szCs w:val="16"/>
        </w:rPr>
        <w:t>Actual Expenditure to Date” columns do not include encumbrances.</w:t>
      </w:r>
    </w:p>
  </w:footnote>
  <w:footnote w:id="177">
    <w:p w:rsidR="000F38B9" w:rsidRPr="00A378B8" w:rsidRDefault="000F38B9" w:rsidP="00132057">
      <w:pPr>
        <w:pStyle w:val="FootnoteText"/>
        <w:rPr>
          <w:sz w:val="16"/>
          <w:szCs w:val="16"/>
        </w:rPr>
      </w:pPr>
      <w:r w:rsidRPr="00A378B8">
        <w:rPr>
          <w:rStyle w:val="FootnoteReference"/>
          <w:sz w:val="16"/>
          <w:szCs w:val="16"/>
        </w:rPr>
        <w:footnoteRef/>
      </w:r>
      <w:r w:rsidRPr="00A378B8">
        <w:rPr>
          <w:sz w:val="16"/>
          <w:szCs w:val="16"/>
        </w:rPr>
        <w:t xml:space="preserve"> It should be noted that in the resource utilization tables</w:t>
      </w:r>
      <w:r>
        <w:rPr>
          <w:sz w:val="16"/>
          <w:szCs w:val="16"/>
        </w:rPr>
        <w:t xml:space="preserve"> below</w:t>
      </w:r>
      <w:r w:rsidRPr="00A378B8">
        <w:rPr>
          <w:sz w:val="16"/>
          <w:szCs w:val="16"/>
        </w:rPr>
        <w:t xml:space="preserve">, the </w:t>
      </w:r>
      <w:r>
        <w:rPr>
          <w:sz w:val="16"/>
          <w:szCs w:val="16"/>
        </w:rPr>
        <w:t>“</w:t>
      </w:r>
      <w:r w:rsidRPr="00A378B8">
        <w:rPr>
          <w:bCs/>
          <w:sz w:val="16"/>
          <w:szCs w:val="16"/>
        </w:rPr>
        <w:t>Actual Expenditure to Date” columns do not include encumbrances.</w:t>
      </w:r>
    </w:p>
  </w:footnote>
  <w:footnote w:id="178">
    <w:p w:rsidR="000F38B9" w:rsidRPr="00A378B8" w:rsidRDefault="000F38B9">
      <w:pPr>
        <w:pStyle w:val="FootnoteText"/>
        <w:rPr>
          <w:sz w:val="16"/>
          <w:szCs w:val="16"/>
        </w:rPr>
      </w:pPr>
      <w:r w:rsidRPr="00A378B8">
        <w:rPr>
          <w:rStyle w:val="FootnoteReference"/>
          <w:sz w:val="16"/>
          <w:szCs w:val="16"/>
        </w:rPr>
        <w:footnoteRef/>
      </w:r>
      <w:r w:rsidRPr="00A378B8">
        <w:rPr>
          <w:sz w:val="16"/>
          <w:szCs w:val="16"/>
        </w:rPr>
        <w:t xml:space="preserve"> </w:t>
      </w:r>
      <w:r>
        <w:rPr>
          <w:sz w:val="16"/>
          <w:szCs w:val="16"/>
        </w:rPr>
        <w:t>In</w:t>
      </w:r>
      <w:r w:rsidRPr="00A378B8">
        <w:rPr>
          <w:sz w:val="16"/>
          <w:szCs w:val="16"/>
        </w:rPr>
        <w:t xml:space="preserve"> 2015, encumbrances for the honoraria due to the</w:t>
      </w:r>
      <w:r>
        <w:rPr>
          <w:sz w:val="16"/>
          <w:szCs w:val="16"/>
        </w:rPr>
        <w:t xml:space="preserve"> architect and engineers totaled 115,000 </w:t>
      </w:r>
      <w:r w:rsidRPr="00762A9B">
        <w:rPr>
          <w:sz w:val="16"/>
          <w:szCs w:val="16"/>
        </w:rPr>
        <w:t>Swiss francs</w:t>
      </w:r>
      <w:r w:rsidRPr="00A378B8">
        <w:rPr>
          <w:sz w:val="16"/>
          <w:szCs w:val="16"/>
        </w:rPr>
        <w:t xml:space="preserve"> </w:t>
      </w:r>
    </w:p>
  </w:footnote>
  <w:footnote w:id="179">
    <w:p w:rsidR="000F38B9" w:rsidRPr="00AF2A70" w:rsidRDefault="000F38B9">
      <w:pPr>
        <w:pStyle w:val="FootnoteText"/>
        <w:rPr>
          <w:sz w:val="16"/>
          <w:szCs w:val="16"/>
        </w:rPr>
      </w:pPr>
      <w:r w:rsidRPr="00AF2A70">
        <w:rPr>
          <w:rStyle w:val="FootnoteReference"/>
          <w:sz w:val="16"/>
          <w:szCs w:val="16"/>
        </w:rPr>
        <w:footnoteRef/>
      </w:r>
      <w:r w:rsidRPr="00AF2A70">
        <w:rPr>
          <w:sz w:val="16"/>
          <w:szCs w:val="16"/>
        </w:rPr>
        <w:t xml:space="preserve"> </w:t>
      </w:r>
      <w:proofErr w:type="gramStart"/>
      <w:r w:rsidRPr="00AF2A70">
        <w:rPr>
          <w:sz w:val="16"/>
          <w:szCs w:val="16"/>
        </w:rPr>
        <w:t>Idem.</w:t>
      </w:r>
      <w:proofErr w:type="gramEnd"/>
    </w:p>
  </w:footnote>
  <w:footnote w:id="180">
    <w:p w:rsidR="000F38B9" w:rsidRPr="00550437" w:rsidRDefault="000F38B9">
      <w:pPr>
        <w:pStyle w:val="FootnoteText"/>
      </w:pPr>
      <w:r w:rsidRPr="00CE5B6D">
        <w:rPr>
          <w:rStyle w:val="FootnoteReference"/>
          <w:sz w:val="16"/>
        </w:rPr>
        <w:footnoteRef/>
      </w:r>
      <w:r w:rsidRPr="00CE5B6D">
        <w:rPr>
          <w:sz w:val="16"/>
        </w:rPr>
        <w:t xml:space="preserve"> During the preparatory work, it was realized that the initial installation of the windows at the time of construction in the late 1970s will prevent the originally planned dismantling operation for the windows from being technically simple and straightforward.</w:t>
      </w:r>
    </w:p>
  </w:footnote>
  <w:footnote w:id="181">
    <w:p w:rsidR="000F38B9" w:rsidRPr="00A378B8" w:rsidRDefault="000F38B9" w:rsidP="00132057">
      <w:pPr>
        <w:pStyle w:val="FootnoteText"/>
        <w:rPr>
          <w:sz w:val="16"/>
          <w:szCs w:val="16"/>
        </w:rPr>
      </w:pPr>
      <w:r w:rsidRPr="00A378B8">
        <w:rPr>
          <w:rStyle w:val="FootnoteReference"/>
          <w:sz w:val="16"/>
          <w:szCs w:val="16"/>
        </w:rPr>
        <w:footnoteRef/>
      </w:r>
      <w:r w:rsidRPr="00A378B8">
        <w:rPr>
          <w:sz w:val="16"/>
          <w:szCs w:val="16"/>
        </w:rPr>
        <w:t xml:space="preserve"> It should be noted that in the resource utilization tables</w:t>
      </w:r>
      <w:r>
        <w:rPr>
          <w:sz w:val="16"/>
          <w:szCs w:val="16"/>
        </w:rPr>
        <w:t xml:space="preserve"> below</w:t>
      </w:r>
      <w:r w:rsidRPr="00A378B8">
        <w:rPr>
          <w:sz w:val="16"/>
          <w:szCs w:val="16"/>
        </w:rPr>
        <w:t xml:space="preserve">, the </w:t>
      </w:r>
      <w:r>
        <w:rPr>
          <w:sz w:val="16"/>
          <w:szCs w:val="16"/>
        </w:rPr>
        <w:t>“</w:t>
      </w:r>
      <w:r w:rsidRPr="00A378B8">
        <w:rPr>
          <w:bCs/>
          <w:sz w:val="16"/>
          <w:szCs w:val="16"/>
        </w:rPr>
        <w:t>Actual Expenditure to Date” columns do not include encumbrances.</w:t>
      </w:r>
    </w:p>
  </w:footnote>
  <w:footnote w:id="182">
    <w:p w:rsidR="000F38B9" w:rsidRPr="00A378B8" w:rsidRDefault="000F38B9" w:rsidP="00132057">
      <w:pPr>
        <w:pStyle w:val="FootnoteText"/>
        <w:rPr>
          <w:sz w:val="16"/>
          <w:szCs w:val="16"/>
        </w:rPr>
      </w:pPr>
      <w:r w:rsidRPr="00A378B8">
        <w:rPr>
          <w:rStyle w:val="FootnoteReference"/>
          <w:sz w:val="16"/>
          <w:szCs w:val="16"/>
        </w:rPr>
        <w:footnoteRef/>
      </w:r>
      <w:r w:rsidRPr="00A378B8">
        <w:rPr>
          <w:sz w:val="16"/>
          <w:szCs w:val="16"/>
        </w:rPr>
        <w:t xml:space="preserve"> It should be noted that in the resource utilization tables</w:t>
      </w:r>
      <w:r>
        <w:rPr>
          <w:sz w:val="16"/>
          <w:szCs w:val="16"/>
        </w:rPr>
        <w:t xml:space="preserve"> below</w:t>
      </w:r>
      <w:r w:rsidRPr="00A378B8">
        <w:rPr>
          <w:sz w:val="16"/>
          <w:szCs w:val="16"/>
        </w:rPr>
        <w:t xml:space="preserve">, the </w:t>
      </w:r>
      <w:r>
        <w:rPr>
          <w:sz w:val="16"/>
          <w:szCs w:val="16"/>
        </w:rPr>
        <w:t>“</w:t>
      </w:r>
      <w:r w:rsidRPr="00A378B8">
        <w:rPr>
          <w:bCs/>
          <w:sz w:val="16"/>
          <w:szCs w:val="16"/>
        </w:rPr>
        <w:t>Actual Expenditure to Date” columns do not include encumbrances.</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38B9" w:rsidRPr="00E31A65" w:rsidRDefault="000F38B9">
    <w:pPr>
      <w:pStyle w:val="Header"/>
      <w:jc w:val="right"/>
      <w:rPr>
        <w:sz w:val="22"/>
      </w:rPr>
    </w:pPr>
    <w:r w:rsidRPr="00E31A65">
      <w:rPr>
        <w:sz w:val="22"/>
      </w:rPr>
      <w:t>W</w:t>
    </w:r>
    <w:r>
      <w:rPr>
        <w:sz w:val="22"/>
      </w:rPr>
      <w:t>O/PBC/25/7</w:t>
    </w:r>
  </w:p>
  <w:p w:rsidR="000F38B9" w:rsidRPr="00E31A65" w:rsidRDefault="000F38B9">
    <w:pPr>
      <w:pStyle w:val="Header"/>
      <w:jc w:val="right"/>
      <w:rPr>
        <w:sz w:val="22"/>
      </w:rPr>
    </w:pPr>
    <w:proofErr w:type="gramStart"/>
    <w:r w:rsidRPr="00E31A65">
      <w:rPr>
        <w:sz w:val="22"/>
      </w:rPr>
      <w:t>page</w:t>
    </w:r>
    <w:proofErr w:type="gramEnd"/>
    <w:r w:rsidRPr="00E31A65">
      <w:rPr>
        <w:sz w:val="22"/>
      </w:rPr>
      <w:t xml:space="preserve"> </w:t>
    </w:r>
    <w:sdt>
      <w:sdtPr>
        <w:rPr>
          <w:sz w:val="22"/>
        </w:rPr>
        <w:id w:val="558450989"/>
        <w:docPartObj>
          <w:docPartGallery w:val="Page Numbers (Top of Page)"/>
          <w:docPartUnique/>
        </w:docPartObj>
      </w:sdtPr>
      <w:sdtEndPr>
        <w:rPr>
          <w:noProof/>
        </w:rPr>
      </w:sdtEndPr>
      <w:sdtContent>
        <w:r w:rsidRPr="00E31A65">
          <w:rPr>
            <w:sz w:val="22"/>
          </w:rPr>
          <w:fldChar w:fldCharType="begin"/>
        </w:r>
        <w:r w:rsidRPr="00E31A65">
          <w:rPr>
            <w:sz w:val="22"/>
          </w:rPr>
          <w:instrText xml:space="preserve"> PAGE   \* MERGEFORMAT </w:instrText>
        </w:r>
        <w:r w:rsidRPr="00E31A65">
          <w:rPr>
            <w:sz w:val="22"/>
          </w:rPr>
          <w:fldChar w:fldCharType="separate"/>
        </w:r>
        <w:r w:rsidR="00271F1E">
          <w:rPr>
            <w:noProof/>
            <w:sz w:val="22"/>
          </w:rPr>
          <w:t>2</w:t>
        </w:r>
        <w:r w:rsidRPr="00E31A65">
          <w:rPr>
            <w:noProof/>
            <w:sz w:val="22"/>
          </w:rPr>
          <w:fldChar w:fldCharType="end"/>
        </w:r>
      </w:sdtContent>
    </w:sdt>
  </w:p>
  <w:p w:rsidR="000F38B9" w:rsidRDefault="000F38B9" w:rsidP="00E31A65">
    <w:pPr>
      <w:pStyle w:val="Header"/>
    </w:pPr>
  </w:p>
  <w:p w:rsidR="000F38B9" w:rsidRPr="00E31A65" w:rsidRDefault="000F38B9" w:rsidP="00E31A65">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38B9" w:rsidRPr="00E31A65" w:rsidRDefault="000F38B9">
    <w:pPr>
      <w:pStyle w:val="Header"/>
      <w:jc w:val="right"/>
      <w:rPr>
        <w:sz w:val="22"/>
      </w:rPr>
    </w:pPr>
    <w:r w:rsidRPr="00E31A65">
      <w:rPr>
        <w:sz w:val="22"/>
      </w:rPr>
      <w:t>WO/PBC/23/2</w:t>
    </w:r>
  </w:p>
  <w:p w:rsidR="000F38B9" w:rsidRPr="00E31A65" w:rsidRDefault="000F38B9">
    <w:pPr>
      <w:pStyle w:val="Header"/>
      <w:jc w:val="right"/>
      <w:rPr>
        <w:sz w:val="22"/>
      </w:rPr>
    </w:pPr>
    <w:proofErr w:type="gramStart"/>
    <w:r w:rsidRPr="00E31A65">
      <w:rPr>
        <w:sz w:val="22"/>
      </w:rPr>
      <w:t>page</w:t>
    </w:r>
    <w:proofErr w:type="gramEnd"/>
    <w:r w:rsidRPr="00E31A65">
      <w:rPr>
        <w:sz w:val="22"/>
      </w:rPr>
      <w:t xml:space="preserve"> </w:t>
    </w:r>
    <w:sdt>
      <w:sdtPr>
        <w:rPr>
          <w:sz w:val="22"/>
        </w:rPr>
        <w:id w:val="-1589464441"/>
        <w:docPartObj>
          <w:docPartGallery w:val="Page Numbers (Top of Page)"/>
          <w:docPartUnique/>
        </w:docPartObj>
      </w:sdtPr>
      <w:sdtEndPr>
        <w:rPr>
          <w:noProof/>
        </w:rPr>
      </w:sdtEndPr>
      <w:sdtContent>
        <w:r w:rsidRPr="00E31A65">
          <w:rPr>
            <w:sz w:val="22"/>
          </w:rPr>
          <w:fldChar w:fldCharType="begin"/>
        </w:r>
        <w:r w:rsidRPr="00E31A65">
          <w:rPr>
            <w:sz w:val="22"/>
          </w:rPr>
          <w:instrText xml:space="preserve"> PAGE   \* MERGEFORMAT </w:instrText>
        </w:r>
        <w:r w:rsidRPr="00E31A65">
          <w:rPr>
            <w:sz w:val="22"/>
          </w:rPr>
          <w:fldChar w:fldCharType="separate"/>
        </w:r>
        <w:r w:rsidR="004E4E0A">
          <w:rPr>
            <w:noProof/>
            <w:sz w:val="22"/>
          </w:rPr>
          <w:t>316</w:t>
        </w:r>
        <w:r w:rsidRPr="00E31A65">
          <w:rPr>
            <w:noProof/>
            <w:sz w:val="22"/>
          </w:rPr>
          <w:fldChar w:fldCharType="end"/>
        </w:r>
      </w:sdtContent>
    </w:sdt>
  </w:p>
  <w:p w:rsidR="000F38B9" w:rsidRPr="00E31A65" w:rsidRDefault="000F38B9" w:rsidP="009100BA">
    <w:pPr>
      <w:pStyle w:val="Header"/>
      <w:jc w:val="right"/>
      <w:rPr>
        <w:rFonts w:cs="Arial"/>
        <w:szCs w:val="18"/>
      </w:rPr>
    </w:pPr>
  </w:p>
  <w:p w:rsidR="000F38B9" w:rsidRPr="00E31A65" w:rsidRDefault="000F38B9" w:rsidP="009100BA">
    <w:pPr>
      <w:pStyle w:val="Header"/>
      <w:jc w:val="right"/>
      <w:rPr>
        <w:rFonts w:cs="Arial"/>
        <w:szCs w:val="18"/>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38B9" w:rsidRPr="00D339EC" w:rsidRDefault="000F38B9" w:rsidP="00E31A65">
    <w:pPr>
      <w:pStyle w:val="Header"/>
      <w:rPr>
        <w:b/>
        <w:sz w:val="18"/>
      </w:rPr>
    </w:pPr>
    <w:r w:rsidRPr="00D339EC">
      <w:rPr>
        <w:b/>
        <w:sz w:val="18"/>
      </w:rPr>
      <w:t>Program Performance Report 2014</w:t>
    </w:r>
    <w:r>
      <w:rPr>
        <w:b/>
        <w:sz w:val="18"/>
      </w:rPr>
      <w:t>/15</w:t>
    </w:r>
  </w:p>
  <w:p w:rsidR="000F38B9" w:rsidRDefault="000F38B9" w:rsidP="00E31A65">
    <w:pPr>
      <w:pStyle w:val="Header"/>
      <w:rPr>
        <w:rFonts w:cs="Arial"/>
        <w:sz w:val="18"/>
        <w:szCs w:val="18"/>
      </w:rPr>
    </w:pPr>
  </w:p>
  <w:p w:rsidR="000F38B9" w:rsidRPr="00101F3F" w:rsidRDefault="000F38B9" w:rsidP="00E31A65">
    <w:pPr>
      <w:pStyle w:val="Header"/>
      <w:rPr>
        <w:rFonts w:cs="Arial"/>
        <w:sz w:val="18"/>
        <w:szCs w:val="18"/>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38B9" w:rsidRPr="00D339EC" w:rsidRDefault="000F38B9">
    <w:pPr>
      <w:pStyle w:val="Header"/>
      <w:jc w:val="right"/>
      <w:rPr>
        <w:b/>
        <w:sz w:val="18"/>
      </w:rPr>
    </w:pPr>
    <w:r w:rsidRPr="00D339EC">
      <w:rPr>
        <w:b/>
        <w:sz w:val="18"/>
      </w:rPr>
      <w:t>Program Performance Report 2014</w:t>
    </w:r>
    <w:r>
      <w:rPr>
        <w:b/>
        <w:sz w:val="18"/>
      </w:rPr>
      <w:t>/15</w:t>
    </w:r>
  </w:p>
  <w:p w:rsidR="000F38B9" w:rsidRPr="00D339EC" w:rsidRDefault="000F38B9" w:rsidP="009100BA">
    <w:pPr>
      <w:pStyle w:val="Header"/>
      <w:jc w:val="right"/>
      <w:rPr>
        <w:rFonts w:cs="Arial"/>
        <w:b/>
        <w:sz w:val="16"/>
        <w:szCs w:val="18"/>
      </w:rPr>
    </w:pPr>
  </w:p>
  <w:p w:rsidR="000F38B9" w:rsidRPr="00101F3F" w:rsidRDefault="000F38B9" w:rsidP="009100BA">
    <w:pPr>
      <w:pStyle w:val="Header"/>
      <w:jc w:val="right"/>
      <w:rPr>
        <w:rFonts w:cs="Arial"/>
        <w:sz w:val="18"/>
        <w:szCs w:val="18"/>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38B9" w:rsidRDefault="000F38B9">
    <w:pPr>
      <w:pStyle w:val="Heade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38B9" w:rsidRPr="00D339EC" w:rsidRDefault="000F38B9" w:rsidP="00132057">
    <w:pPr>
      <w:pStyle w:val="Header"/>
      <w:rPr>
        <w:b/>
        <w:sz w:val="18"/>
      </w:rPr>
    </w:pPr>
    <w:r w:rsidRPr="00D339EC">
      <w:rPr>
        <w:b/>
        <w:sz w:val="18"/>
      </w:rPr>
      <w:t>Program Performance Report 2014</w:t>
    </w:r>
    <w:r>
      <w:rPr>
        <w:b/>
        <w:sz w:val="18"/>
      </w:rPr>
      <w:t>/15</w:t>
    </w:r>
  </w:p>
  <w:p w:rsidR="000F38B9" w:rsidRPr="00A13DDD" w:rsidRDefault="000F38B9" w:rsidP="00132057">
    <w:pPr>
      <w:pStyle w:val="Header"/>
      <w:rPr>
        <w:rFonts w:cs="Arial"/>
        <w:b/>
        <w:sz w:val="18"/>
        <w:szCs w:val="18"/>
      </w:rPr>
    </w:pPr>
    <w:r w:rsidRPr="00A13DDD">
      <w:rPr>
        <w:rFonts w:cs="Arial"/>
        <w:b/>
        <w:sz w:val="18"/>
        <w:szCs w:val="18"/>
      </w:rPr>
      <w:t>Appendices</w:t>
    </w:r>
  </w:p>
  <w:p w:rsidR="000F38B9" w:rsidRDefault="000F38B9" w:rsidP="00132057">
    <w:pPr>
      <w:pStyle w:val="Header"/>
      <w:rPr>
        <w:rFonts w:cs="Arial"/>
        <w:sz w:val="18"/>
        <w:szCs w:val="18"/>
      </w:rPr>
    </w:pPr>
  </w:p>
  <w:p w:rsidR="000F38B9" w:rsidRPr="00101F3F" w:rsidRDefault="000F38B9" w:rsidP="00132057">
    <w:pPr>
      <w:pStyle w:val="Header"/>
      <w:rPr>
        <w:rFonts w:cs="Arial"/>
        <w:sz w:val="18"/>
        <w:szCs w:val="18"/>
      </w:rP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38B9" w:rsidRPr="00312A2D" w:rsidRDefault="000F38B9" w:rsidP="00132057">
    <w:pPr>
      <w:pStyle w:val="Header"/>
      <w:jc w:val="right"/>
      <w:rPr>
        <w:rFonts w:cs="Arial"/>
        <w:b/>
        <w:sz w:val="18"/>
        <w:szCs w:val="18"/>
      </w:rPr>
    </w:pPr>
    <w:r w:rsidRPr="00A354ED">
      <w:rPr>
        <w:rFonts w:cs="Arial"/>
        <w:b/>
        <w:sz w:val="18"/>
        <w:szCs w:val="18"/>
      </w:rPr>
      <w:t>Program Performance Report 20</w:t>
    </w:r>
    <w:r>
      <w:rPr>
        <w:rFonts w:cs="Arial"/>
        <w:b/>
        <w:sz w:val="18"/>
        <w:szCs w:val="18"/>
      </w:rPr>
      <w:t>14/</w:t>
    </w:r>
    <w:r w:rsidRPr="00A354ED">
      <w:rPr>
        <w:rFonts w:cs="Arial"/>
        <w:b/>
        <w:sz w:val="18"/>
        <w:szCs w:val="18"/>
      </w:rPr>
      <w:t>1</w:t>
    </w:r>
    <w:r>
      <w:rPr>
        <w:rFonts w:cs="Arial"/>
        <w:b/>
        <w:sz w:val="18"/>
        <w:szCs w:val="18"/>
      </w:rPr>
      <w:t>5</w:t>
    </w:r>
  </w:p>
  <w:p w:rsidR="000F38B9" w:rsidRPr="00A13DDD" w:rsidRDefault="000F38B9" w:rsidP="00132057">
    <w:pPr>
      <w:pStyle w:val="Header"/>
      <w:jc w:val="right"/>
      <w:rPr>
        <w:rFonts w:cs="Arial"/>
        <w:b/>
        <w:sz w:val="18"/>
        <w:szCs w:val="18"/>
      </w:rPr>
    </w:pPr>
    <w:r w:rsidRPr="00A13DDD">
      <w:rPr>
        <w:rFonts w:cs="Arial"/>
        <w:b/>
        <w:sz w:val="18"/>
        <w:szCs w:val="18"/>
      </w:rPr>
      <w:t>Appendices</w:t>
    </w:r>
  </w:p>
  <w:p w:rsidR="000F38B9" w:rsidRDefault="000F38B9" w:rsidP="00132057">
    <w:pPr>
      <w:pStyle w:val="Header"/>
      <w:jc w:val="right"/>
      <w:rPr>
        <w:rFonts w:cs="Arial"/>
        <w:sz w:val="18"/>
        <w:szCs w:val="18"/>
      </w:rPr>
    </w:pPr>
  </w:p>
  <w:p w:rsidR="000F38B9" w:rsidRPr="00101F3F" w:rsidRDefault="000F38B9" w:rsidP="00132057">
    <w:pPr>
      <w:pStyle w:val="Header"/>
      <w:jc w:val="right"/>
      <w:rPr>
        <w:rFonts w:cs="Arial"/>
        <w:sz w:val="18"/>
        <w:szCs w:val="18"/>
      </w:rP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38B9" w:rsidRPr="00D339EC" w:rsidRDefault="000F38B9" w:rsidP="00E31A65">
    <w:pPr>
      <w:pStyle w:val="Header"/>
      <w:rPr>
        <w:b/>
        <w:sz w:val="18"/>
      </w:rPr>
    </w:pPr>
    <w:r w:rsidRPr="00D339EC">
      <w:rPr>
        <w:b/>
        <w:sz w:val="18"/>
      </w:rPr>
      <w:t>Program Performance Report 2014</w:t>
    </w:r>
    <w:r>
      <w:rPr>
        <w:b/>
        <w:sz w:val="18"/>
      </w:rPr>
      <w:t>/15</w:t>
    </w:r>
  </w:p>
  <w:p w:rsidR="000F38B9" w:rsidRPr="0063033D" w:rsidRDefault="000F38B9" w:rsidP="00E31A65">
    <w:pPr>
      <w:pStyle w:val="Header"/>
      <w:rPr>
        <w:rFonts w:cs="Arial"/>
        <w:b/>
        <w:sz w:val="18"/>
        <w:szCs w:val="18"/>
      </w:rPr>
    </w:pPr>
    <w:r w:rsidRPr="0063033D">
      <w:rPr>
        <w:rFonts w:cs="Arial"/>
        <w:b/>
        <w:sz w:val="18"/>
        <w:szCs w:val="18"/>
      </w:rPr>
      <w:t>Appendices</w:t>
    </w:r>
  </w:p>
  <w:p w:rsidR="000F38B9" w:rsidRDefault="000F38B9" w:rsidP="00E31A65">
    <w:pPr>
      <w:pStyle w:val="Header"/>
      <w:rPr>
        <w:rFonts w:cs="Arial"/>
        <w:sz w:val="18"/>
        <w:szCs w:val="18"/>
      </w:rPr>
    </w:pPr>
  </w:p>
  <w:p w:rsidR="000F38B9" w:rsidRPr="00101F3F" w:rsidRDefault="000F38B9" w:rsidP="00E31A65">
    <w:pPr>
      <w:pStyle w:val="Header"/>
      <w:rPr>
        <w:rFonts w:cs="Arial"/>
        <w:sz w:val="18"/>
        <w:szCs w:val="18"/>
      </w:rP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38B9" w:rsidRPr="00D339EC" w:rsidRDefault="000F38B9">
    <w:pPr>
      <w:pStyle w:val="Header"/>
      <w:jc w:val="right"/>
      <w:rPr>
        <w:b/>
        <w:sz w:val="18"/>
      </w:rPr>
    </w:pPr>
    <w:r w:rsidRPr="00D339EC">
      <w:rPr>
        <w:b/>
        <w:sz w:val="18"/>
      </w:rPr>
      <w:t>Program Performance Report 2014</w:t>
    </w:r>
    <w:r>
      <w:rPr>
        <w:b/>
        <w:sz w:val="18"/>
      </w:rPr>
      <w:t>/15</w:t>
    </w:r>
  </w:p>
  <w:p w:rsidR="000F38B9" w:rsidRPr="00D339EC" w:rsidRDefault="000F38B9" w:rsidP="009100BA">
    <w:pPr>
      <w:pStyle w:val="Header"/>
      <w:jc w:val="right"/>
      <w:rPr>
        <w:rFonts w:cs="Arial"/>
        <w:b/>
        <w:sz w:val="16"/>
        <w:szCs w:val="18"/>
      </w:rPr>
    </w:pPr>
    <w:r>
      <w:rPr>
        <w:rFonts w:cs="Arial"/>
        <w:b/>
        <w:sz w:val="16"/>
        <w:szCs w:val="18"/>
      </w:rPr>
      <w:t>Appendices</w:t>
    </w:r>
  </w:p>
  <w:p w:rsidR="000F38B9" w:rsidRPr="00101F3F" w:rsidRDefault="000F38B9" w:rsidP="009100BA">
    <w:pPr>
      <w:pStyle w:val="Header"/>
      <w:jc w:val="right"/>
      <w:rPr>
        <w:rFonts w:cs="Arial"/>
        <w:sz w:val="18"/>
        <w:szCs w:val="18"/>
      </w:rP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38B9" w:rsidRDefault="000F38B9">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9A214F"/>
    <w:multiLevelType w:val="hybridMultilevel"/>
    <w:tmpl w:val="F65A85A8"/>
    <w:lvl w:ilvl="0" w:tplc="DE4A5C86">
      <w:start w:val="7"/>
      <w:numFmt w:val="bullet"/>
      <w:lvlText w:val="-"/>
      <w:lvlJc w:val="left"/>
      <w:pPr>
        <w:ind w:left="360" w:hanging="360"/>
      </w:pPr>
      <w:rPr>
        <w:rFonts w:ascii="Arial" w:eastAsia="Times New Roman" w:hAnsi="Arial" w:cs="Aria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nsid w:val="021A5AC2"/>
    <w:multiLevelType w:val="hybridMultilevel"/>
    <w:tmpl w:val="28604B52"/>
    <w:lvl w:ilvl="0" w:tplc="E60881F2">
      <w:start w:val="1"/>
      <w:numFmt w:val="decimal"/>
      <w:lvlText w:val="9.%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2232E6D"/>
    <w:multiLevelType w:val="hybridMultilevel"/>
    <w:tmpl w:val="B328B0E2"/>
    <w:lvl w:ilvl="0" w:tplc="DE4A5C86">
      <w:start w:val="7"/>
      <w:numFmt w:val="bullet"/>
      <w:lvlText w:val="-"/>
      <w:lvlJc w:val="left"/>
      <w:pPr>
        <w:ind w:left="360" w:hanging="360"/>
      </w:pPr>
      <w:rPr>
        <w:rFonts w:ascii="Arial" w:eastAsia="Times New Roman" w:hAnsi="Arial" w:cs="Aria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nsid w:val="02325E3F"/>
    <w:multiLevelType w:val="hybridMultilevel"/>
    <w:tmpl w:val="D6B2F2C6"/>
    <w:lvl w:ilvl="0" w:tplc="2D4AE1C4">
      <w:start w:val="1"/>
      <w:numFmt w:val="bullet"/>
      <w:lvlText w:val="-"/>
      <w:lvlJc w:val="left"/>
      <w:pPr>
        <w:ind w:left="384" w:hanging="360"/>
      </w:pPr>
      <w:rPr>
        <w:rFonts w:ascii="Courier New" w:hAnsi="Courier New" w:hint="default"/>
      </w:rPr>
    </w:lvl>
    <w:lvl w:ilvl="1" w:tplc="04090003" w:tentative="1">
      <w:start w:val="1"/>
      <w:numFmt w:val="bullet"/>
      <w:lvlText w:val="o"/>
      <w:lvlJc w:val="left"/>
      <w:pPr>
        <w:ind w:left="1104" w:hanging="360"/>
      </w:pPr>
      <w:rPr>
        <w:rFonts w:ascii="Courier New" w:hAnsi="Courier New" w:cs="Courier New" w:hint="default"/>
      </w:rPr>
    </w:lvl>
    <w:lvl w:ilvl="2" w:tplc="04090005" w:tentative="1">
      <w:start w:val="1"/>
      <w:numFmt w:val="bullet"/>
      <w:lvlText w:val=""/>
      <w:lvlJc w:val="left"/>
      <w:pPr>
        <w:ind w:left="1824" w:hanging="360"/>
      </w:pPr>
      <w:rPr>
        <w:rFonts w:ascii="Wingdings" w:hAnsi="Wingdings" w:hint="default"/>
      </w:rPr>
    </w:lvl>
    <w:lvl w:ilvl="3" w:tplc="04090001" w:tentative="1">
      <w:start w:val="1"/>
      <w:numFmt w:val="bullet"/>
      <w:lvlText w:val=""/>
      <w:lvlJc w:val="left"/>
      <w:pPr>
        <w:ind w:left="2544" w:hanging="360"/>
      </w:pPr>
      <w:rPr>
        <w:rFonts w:ascii="Symbol" w:hAnsi="Symbol" w:hint="default"/>
      </w:rPr>
    </w:lvl>
    <w:lvl w:ilvl="4" w:tplc="04090003" w:tentative="1">
      <w:start w:val="1"/>
      <w:numFmt w:val="bullet"/>
      <w:lvlText w:val="o"/>
      <w:lvlJc w:val="left"/>
      <w:pPr>
        <w:ind w:left="3264" w:hanging="360"/>
      </w:pPr>
      <w:rPr>
        <w:rFonts w:ascii="Courier New" w:hAnsi="Courier New" w:cs="Courier New" w:hint="default"/>
      </w:rPr>
    </w:lvl>
    <w:lvl w:ilvl="5" w:tplc="04090005" w:tentative="1">
      <w:start w:val="1"/>
      <w:numFmt w:val="bullet"/>
      <w:lvlText w:val=""/>
      <w:lvlJc w:val="left"/>
      <w:pPr>
        <w:ind w:left="3984" w:hanging="360"/>
      </w:pPr>
      <w:rPr>
        <w:rFonts w:ascii="Wingdings" w:hAnsi="Wingdings" w:hint="default"/>
      </w:rPr>
    </w:lvl>
    <w:lvl w:ilvl="6" w:tplc="04090001" w:tentative="1">
      <w:start w:val="1"/>
      <w:numFmt w:val="bullet"/>
      <w:lvlText w:val=""/>
      <w:lvlJc w:val="left"/>
      <w:pPr>
        <w:ind w:left="4704" w:hanging="360"/>
      </w:pPr>
      <w:rPr>
        <w:rFonts w:ascii="Symbol" w:hAnsi="Symbol" w:hint="default"/>
      </w:rPr>
    </w:lvl>
    <w:lvl w:ilvl="7" w:tplc="04090003" w:tentative="1">
      <w:start w:val="1"/>
      <w:numFmt w:val="bullet"/>
      <w:lvlText w:val="o"/>
      <w:lvlJc w:val="left"/>
      <w:pPr>
        <w:ind w:left="5424" w:hanging="360"/>
      </w:pPr>
      <w:rPr>
        <w:rFonts w:ascii="Courier New" w:hAnsi="Courier New" w:cs="Courier New" w:hint="default"/>
      </w:rPr>
    </w:lvl>
    <w:lvl w:ilvl="8" w:tplc="04090005" w:tentative="1">
      <w:start w:val="1"/>
      <w:numFmt w:val="bullet"/>
      <w:lvlText w:val=""/>
      <w:lvlJc w:val="left"/>
      <w:pPr>
        <w:ind w:left="6144" w:hanging="360"/>
      </w:pPr>
      <w:rPr>
        <w:rFonts w:ascii="Wingdings" w:hAnsi="Wingdings" w:hint="default"/>
      </w:rPr>
    </w:lvl>
  </w:abstractNum>
  <w:abstractNum w:abstractNumId="4">
    <w:nsid w:val="04433EA9"/>
    <w:multiLevelType w:val="hybridMultilevel"/>
    <w:tmpl w:val="66540E22"/>
    <w:lvl w:ilvl="0" w:tplc="E60881F2">
      <w:start w:val="1"/>
      <w:numFmt w:val="decimal"/>
      <w:lvlText w:val="9.%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51B7A25"/>
    <w:multiLevelType w:val="hybridMultilevel"/>
    <w:tmpl w:val="906E5FE2"/>
    <w:lvl w:ilvl="0" w:tplc="BC2EDDF6">
      <w:start w:val="1"/>
      <w:numFmt w:val="bullet"/>
      <w:lvlText w:val="-"/>
      <w:lvlJc w:val="left"/>
      <w:pPr>
        <w:tabs>
          <w:tab w:val="num" w:pos="964"/>
        </w:tabs>
        <w:ind w:left="964" w:hanging="397"/>
      </w:pPr>
      <w:rPr>
        <w:rFonts w:ascii="Arial" w:eastAsia="Times New Roman" w:hAnsi="Arial" w:cs="Times New Roman" w:hint="default"/>
        <w:color w:val="auto"/>
      </w:rPr>
    </w:lvl>
    <w:lvl w:ilvl="1" w:tplc="1376EF62">
      <w:start w:val="1"/>
      <w:numFmt w:val="bullet"/>
      <w:lvlText w:val=""/>
      <w:lvlJc w:val="left"/>
      <w:pPr>
        <w:tabs>
          <w:tab w:val="num" w:pos="2160"/>
        </w:tabs>
        <w:ind w:left="2160" w:hanging="360"/>
      </w:pPr>
      <w:rPr>
        <w:rFonts w:ascii="Symbol" w:hAnsi="Symbol" w:hint="default"/>
        <w:color w:val="auto"/>
      </w:rPr>
    </w:lvl>
    <w:lvl w:ilvl="2" w:tplc="0409001B">
      <w:start w:val="1"/>
      <w:numFmt w:val="lowerRoman"/>
      <w:lvlText w:val="%3."/>
      <w:lvlJc w:val="right"/>
      <w:pPr>
        <w:tabs>
          <w:tab w:val="num" w:pos="2880"/>
        </w:tabs>
        <w:ind w:left="2880" w:hanging="180"/>
      </w:pPr>
    </w:lvl>
    <w:lvl w:ilvl="3" w:tplc="0409000F">
      <w:start w:val="1"/>
      <w:numFmt w:val="decimal"/>
      <w:lvlText w:val="%4."/>
      <w:lvlJc w:val="left"/>
      <w:pPr>
        <w:tabs>
          <w:tab w:val="num" w:pos="3600"/>
        </w:tabs>
        <w:ind w:left="3600" w:hanging="360"/>
      </w:pPr>
    </w:lvl>
    <w:lvl w:ilvl="4" w:tplc="04090019">
      <w:start w:val="1"/>
      <w:numFmt w:val="lowerLetter"/>
      <w:lvlText w:val="%5."/>
      <w:lvlJc w:val="left"/>
      <w:pPr>
        <w:tabs>
          <w:tab w:val="num" w:pos="4320"/>
        </w:tabs>
        <w:ind w:left="4320" w:hanging="360"/>
      </w:pPr>
    </w:lvl>
    <w:lvl w:ilvl="5" w:tplc="0409001B">
      <w:start w:val="1"/>
      <w:numFmt w:val="lowerRoman"/>
      <w:lvlText w:val="%6."/>
      <w:lvlJc w:val="right"/>
      <w:pPr>
        <w:tabs>
          <w:tab w:val="num" w:pos="5040"/>
        </w:tabs>
        <w:ind w:left="5040" w:hanging="180"/>
      </w:pPr>
    </w:lvl>
    <w:lvl w:ilvl="6" w:tplc="0409000F">
      <w:start w:val="1"/>
      <w:numFmt w:val="decimal"/>
      <w:lvlText w:val="%7."/>
      <w:lvlJc w:val="left"/>
      <w:pPr>
        <w:tabs>
          <w:tab w:val="num" w:pos="5760"/>
        </w:tabs>
        <w:ind w:left="5760" w:hanging="360"/>
      </w:pPr>
    </w:lvl>
    <w:lvl w:ilvl="7" w:tplc="04090019">
      <w:start w:val="1"/>
      <w:numFmt w:val="lowerLetter"/>
      <w:lvlText w:val="%8."/>
      <w:lvlJc w:val="left"/>
      <w:pPr>
        <w:tabs>
          <w:tab w:val="num" w:pos="6480"/>
        </w:tabs>
        <w:ind w:left="6480" w:hanging="360"/>
      </w:pPr>
    </w:lvl>
    <w:lvl w:ilvl="8" w:tplc="0409001B">
      <w:start w:val="1"/>
      <w:numFmt w:val="lowerRoman"/>
      <w:lvlText w:val="%9."/>
      <w:lvlJc w:val="right"/>
      <w:pPr>
        <w:tabs>
          <w:tab w:val="num" w:pos="7200"/>
        </w:tabs>
        <w:ind w:left="7200" w:hanging="180"/>
      </w:pPr>
    </w:lvl>
  </w:abstractNum>
  <w:abstractNum w:abstractNumId="6">
    <w:nsid w:val="06454746"/>
    <w:multiLevelType w:val="hybridMultilevel"/>
    <w:tmpl w:val="307C7642"/>
    <w:lvl w:ilvl="0" w:tplc="1AA0ABC2">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7">
    <w:nsid w:val="079B6BCD"/>
    <w:multiLevelType w:val="hybridMultilevel"/>
    <w:tmpl w:val="BC1E6008"/>
    <w:lvl w:ilvl="0" w:tplc="0409000F">
      <w:start w:val="1"/>
      <w:numFmt w:val="decimal"/>
      <w:lvlText w:val="%1."/>
      <w:lvlJc w:val="left"/>
      <w:pPr>
        <w:ind w:left="36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080F48ED"/>
    <w:multiLevelType w:val="hybridMultilevel"/>
    <w:tmpl w:val="D71499C0"/>
    <w:lvl w:ilvl="0" w:tplc="1AA0ABC2">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9">
    <w:nsid w:val="082B0061"/>
    <w:multiLevelType w:val="hybridMultilevel"/>
    <w:tmpl w:val="4970A348"/>
    <w:lvl w:ilvl="0" w:tplc="DE4A5C86">
      <w:start w:val="7"/>
      <w:numFmt w:val="bullet"/>
      <w:lvlText w:val="-"/>
      <w:lvlJc w:val="left"/>
      <w:pPr>
        <w:ind w:left="360" w:hanging="360"/>
      </w:pPr>
      <w:rPr>
        <w:rFonts w:ascii="Arial" w:eastAsia="Times New Roman" w:hAnsi="Arial" w:cs="Arial" w:hint="default"/>
      </w:rPr>
    </w:lvl>
    <w:lvl w:ilvl="1" w:tplc="040C0003" w:tentative="1">
      <w:start w:val="1"/>
      <w:numFmt w:val="bullet"/>
      <w:lvlText w:val="o"/>
      <w:lvlJc w:val="left"/>
      <w:pPr>
        <w:ind w:left="1080" w:hanging="360"/>
      </w:pPr>
      <w:rPr>
        <w:rFonts w:ascii="Courier New" w:hAnsi="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0">
    <w:nsid w:val="08362B6D"/>
    <w:multiLevelType w:val="hybridMultilevel"/>
    <w:tmpl w:val="74347372"/>
    <w:lvl w:ilvl="0" w:tplc="DE4A5C86">
      <w:start w:val="7"/>
      <w:numFmt w:val="bullet"/>
      <w:lvlText w:val="-"/>
      <w:lvlJc w:val="left"/>
      <w:pPr>
        <w:ind w:left="360" w:hanging="360"/>
      </w:pPr>
      <w:rPr>
        <w:rFonts w:ascii="Arial" w:eastAsia="Times New Roman" w:hAnsi="Arial" w:cs="Arial" w:hint="default"/>
      </w:rPr>
    </w:lvl>
    <w:lvl w:ilvl="1" w:tplc="040C0003" w:tentative="1">
      <w:start w:val="1"/>
      <w:numFmt w:val="bullet"/>
      <w:lvlText w:val="o"/>
      <w:lvlJc w:val="left"/>
      <w:pPr>
        <w:ind w:left="1080" w:hanging="360"/>
      </w:pPr>
      <w:rPr>
        <w:rFonts w:ascii="Courier New" w:hAnsi="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1">
    <w:nsid w:val="09BB7A06"/>
    <w:multiLevelType w:val="hybridMultilevel"/>
    <w:tmpl w:val="339EACD6"/>
    <w:lvl w:ilvl="0" w:tplc="04090001">
      <w:start w:val="1"/>
      <w:numFmt w:val="bullet"/>
      <w:lvlText w:val=""/>
      <w:lvlJc w:val="left"/>
      <w:pPr>
        <w:ind w:left="910" w:hanging="360"/>
      </w:pPr>
      <w:rPr>
        <w:rFonts w:ascii="Symbol" w:hAnsi="Symbol" w:hint="default"/>
      </w:rPr>
    </w:lvl>
    <w:lvl w:ilvl="1" w:tplc="04090003" w:tentative="1">
      <w:start w:val="1"/>
      <w:numFmt w:val="bullet"/>
      <w:lvlText w:val="o"/>
      <w:lvlJc w:val="left"/>
      <w:pPr>
        <w:ind w:left="1630" w:hanging="360"/>
      </w:pPr>
      <w:rPr>
        <w:rFonts w:ascii="Courier New" w:hAnsi="Courier New" w:cs="Courier New" w:hint="default"/>
      </w:rPr>
    </w:lvl>
    <w:lvl w:ilvl="2" w:tplc="04090005" w:tentative="1">
      <w:start w:val="1"/>
      <w:numFmt w:val="bullet"/>
      <w:lvlText w:val=""/>
      <w:lvlJc w:val="left"/>
      <w:pPr>
        <w:ind w:left="2350" w:hanging="360"/>
      </w:pPr>
      <w:rPr>
        <w:rFonts w:ascii="Wingdings" w:hAnsi="Wingdings" w:hint="default"/>
      </w:rPr>
    </w:lvl>
    <w:lvl w:ilvl="3" w:tplc="04090001" w:tentative="1">
      <w:start w:val="1"/>
      <w:numFmt w:val="bullet"/>
      <w:lvlText w:val=""/>
      <w:lvlJc w:val="left"/>
      <w:pPr>
        <w:ind w:left="3070" w:hanging="360"/>
      </w:pPr>
      <w:rPr>
        <w:rFonts w:ascii="Symbol" w:hAnsi="Symbol" w:hint="default"/>
      </w:rPr>
    </w:lvl>
    <w:lvl w:ilvl="4" w:tplc="04090003" w:tentative="1">
      <w:start w:val="1"/>
      <w:numFmt w:val="bullet"/>
      <w:lvlText w:val="o"/>
      <w:lvlJc w:val="left"/>
      <w:pPr>
        <w:ind w:left="3790" w:hanging="360"/>
      </w:pPr>
      <w:rPr>
        <w:rFonts w:ascii="Courier New" w:hAnsi="Courier New" w:cs="Courier New" w:hint="default"/>
      </w:rPr>
    </w:lvl>
    <w:lvl w:ilvl="5" w:tplc="04090005" w:tentative="1">
      <w:start w:val="1"/>
      <w:numFmt w:val="bullet"/>
      <w:lvlText w:val=""/>
      <w:lvlJc w:val="left"/>
      <w:pPr>
        <w:ind w:left="4510" w:hanging="360"/>
      </w:pPr>
      <w:rPr>
        <w:rFonts w:ascii="Wingdings" w:hAnsi="Wingdings" w:hint="default"/>
      </w:rPr>
    </w:lvl>
    <w:lvl w:ilvl="6" w:tplc="04090001" w:tentative="1">
      <w:start w:val="1"/>
      <w:numFmt w:val="bullet"/>
      <w:lvlText w:val=""/>
      <w:lvlJc w:val="left"/>
      <w:pPr>
        <w:ind w:left="5230" w:hanging="360"/>
      </w:pPr>
      <w:rPr>
        <w:rFonts w:ascii="Symbol" w:hAnsi="Symbol" w:hint="default"/>
      </w:rPr>
    </w:lvl>
    <w:lvl w:ilvl="7" w:tplc="04090003" w:tentative="1">
      <w:start w:val="1"/>
      <w:numFmt w:val="bullet"/>
      <w:lvlText w:val="o"/>
      <w:lvlJc w:val="left"/>
      <w:pPr>
        <w:ind w:left="5950" w:hanging="360"/>
      </w:pPr>
      <w:rPr>
        <w:rFonts w:ascii="Courier New" w:hAnsi="Courier New" w:cs="Courier New" w:hint="default"/>
      </w:rPr>
    </w:lvl>
    <w:lvl w:ilvl="8" w:tplc="04090005" w:tentative="1">
      <w:start w:val="1"/>
      <w:numFmt w:val="bullet"/>
      <w:lvlText w:val=""/>
      <w:lvlJc w:val="left"/>
      <w:pPr>
        <w:ind w:left="6670" w:hanging="360"/>
      </w:pPr>
      <w:rPr>
        <w:rFonts w:ascii="Wingdings" w:hAnsi="Wingdings" w:hint="default"/>
      </w:rPr>
    </w:lvl>
  </w:abstractNum>
  <w:abstractNum w:abstractNumId="12">
    <w:nsid w:val="0A13276A"/>
    <w:multiLevelType w:val="hybridMultilevel"/>
    <w:tmpl w:val="A336F356"/>
    <w:lvl w:ilvl="0" w:tplc="1AA0ABC2">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
    <w:nsid w:val="0B6C6A22"/>
    <w:multiLevelType w:val="hybridMultilevel"/>
    <w:tmpl w:val="C7C696A6"/>
    <w:lvl w:ilvl="0" w:tplc="223EE79E">
      <w:start w:val="1"/>
      <w:numFmt w:val="decimal"/>
      <w:lvlText w:val="29.%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0BD223AE"/>
    <w:multiLevelType w:val="hybridMultilevel"/>
    <w:tmpl w:val="61BE333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0C87516A"/>
    <w:multiLevelType w:val="hybridMultilevel"/>
    <w:tmpl w:val="2CF65484"/>
    <w:lvl w:ilvl="0" w:tplc="B03C6B0C">
      <w:start w:val="1"/>
      <w:numFmt w:val="lowerRoman"/>
      <w:lvlText w:val="(%1)"/>
      <w:lvlJc w:val="left"/>
      <w:pPr>
        <w:ind w:left="1695" w:hanging="975"/>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nsid w:val="0CC040EF"/>
    <w:multiLevelType w:val="hybridMultilevel"/>
    <w:tmpl w:val="B3AC4172"/>
    <w:lvl w:ilvl="0" w:tplc="7DACB712">
      <w:start w:val="1"/>
      <w:numFmt w:val="decimal"/>
      <w:lvlText w:val="3.%1"/>
      <w:lvlJc w:val="left"/>
      <w:pPr>
        <w:ind w:left="3510" w:hanging="360"/>
      </w:pPr>
      <w:rPr>
        <w:rFonts w:hint="default"/>
        <w:sz w:val="20"/>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0EF04629"/>
    <w:multiLevelType w:val="hybridMultilevel"/>
    <w:tmpl w:val="A08A59BE"/>
    <w:lvl w:ilvl="0" w:tplc="9D0E9620">
      <w:start w:val="1"/>
      <w:numFmt w:val="lowerRoman"/>
      <w:lvlText w:val="(%1)"/>
      <w:lvlJc w:val="left"/>
      <w:pPr>
        <w:ind w:left="371" w:hanging="360"/>
      </w:pPr>
      <w:rPr>
        <w:rFonts w:hint="default"/>
      </w:rPr>
    </w:lvl>
    <w:lvl w:ilvl="1" w:tplc="04090019" w:tentative="1">
      <w:start w:val="1"/>
      <w:numFmt w:val="lowerLetter"/>
      <w:lvlText w:val="%2."/>
      <w:lvlJc w:val="left"/>
      <w:pPr>
        <w:ind w:left="1091" w:hanging="360"/>
      </w:pPr>
    </w:lvl>
    <w:lvl w:ilvl="2" w:tplc="0409001B" w:tentative="1">
      <w:start w:val="1"/>
      <w:numFmt w:val="lowerRoman"/>
      <w:lvlText w:val="%3."/>
      <w:lvlJc w:val="right"/>
      <w:pPr>
        <w:ind w:left="1811" w:hanging="180"/>
      </w:pPr>
    </w:lvl>
    <w:lvl w:ilvl="3" w:tplc="0409000F" w:tentative="1">
      <w:start w:val="1"/>
      <w:numFmt w:val="decimal"/>
      <w:lvlText w:val="%4."/>
      <w:lvlJc w:val="left"/>
      <w:pPr>
        <w:ind w:left="2531" w:hanging="360"/>
      </w:pPr>
    </w:lvl>
    <w:lvl w:ilvl="4" w:tplc="04090019" w:tentative="1">
      <w:start w:val="1"/>
      <w:numFmt w:val="lowerLetter"/>
      <w:lvlText w:val="%5."/>
      <w:lvlJc w:val="left"/>
      <w:pPr>
        <w:ind w:left="3251" w:hanging="360"/>
      </w:pPr>
    </w:lvl>
    <w:lvl w:ilvl="5" w:tplc="0409001B" w:tentative="1">
      <w:start w:val="1"/>
      <w:numFmt w:val="lowerRoman"/>
      <w:lvlText w:val="%6."/>
      <w:lvlJc w:val="right"/>
      <w:pPr>
        <w:ind w:left="3971" w:hanging="180"/>
      </w:pPr>
    </w:lvl>
    <w:lvl w:ilvl="6" w:tplc="0409000F" w:tentative="1">
      <w:start w:val="1"/>
      <w:numFmt w:val="decimal"/>
      <w:lvlText w:val="%7."/>
      <w:lvlJc w:val="left"/>
      <w:pPr>
        <w:ind w:left="4691" w:hanging="360"/>
      </w:pPr>
    </w:lvl>
    <w:lvl w:ilvl="7" w:tplc="04090019" w:tentative="1">
      <w:start w:val="1"/>
      <w:numFmt w:val="lowerLetter"/>
      <w:lvlText w:val="%8."/>
      <w:lvlJc w:val="left"/>
      <w:pPr>
        <w:ind w:left="5411" w:hanging="360"/>
      </w:pPr>
    </w:lvl>
    <w:lvl w:ilvl="8" w:tplc="0409001B" w:tentative="1">
      <w:start w:val="1"/>
      <w:numFmt w:val="lowerRoman"/>
      <w:lvlText w:val="%9."/>
      <w:lvlJc w:val="right"/>
      <w:pPr>
        <w:ind w:left="6131" w:hanging="180"/>
      </w:pPr>
    </w:lvl>
  </w:abstractNum>
  <w:abstractNum w:abstractNumId="18">
    <w:nsid w:val="0FA2762D"/>
    <w:multiLevelType w:val="hybridMultilevel"/>
    <w:tmpl w:val="C95A2E86"/>
    <w:lvl w:ilvl="0" w:tplc="1AA0ABC2">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9">
    <w:nsid w:val="10192F6F"/>
    <w:multiLevelType w:val="hybridMultilevel"/>
    <w:tmpl w:val="8AE059B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10EE311F"/>
    <w:multiLevelType w:val="hybridMultilevel"/>
    <w:tmpl w:val="BE74EB3E"/>
    <w:lvl w:ilvl="0" w:tplc="1AA0ABC2">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1">
    <w:nsid w:val="10F11F0D"/>
    <w:multiLevelType w:val="hybridMultilevel"/>
    <w:tmpl w:val="00308932"/>
    <w:lvl w:ilvl="0" w:tplc="1AA0ABC2">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2">
    <w:nsid w:val="122B2A50"/>
    <w:multiLevelType w:val="hybridMultilevel"/>
    <w:tmpl w:val="19C26916"/>
    <w:lvl w:ilvl="0" w:tplc="88408418">
      <w:start w:val="1"/>
      <w:numFmt w:val="decimal"/>
      <w:lvlText w:val="%1."/>
      <w:lvlJc w:val="left"/>
      <w:pPr>
        <w:tabs>
          <w:tab w:val="num" w:pos="567"/>
        </w:tabs>
        <w:ind w:left="0" w:firstLine="0"/>
      </w:pPr>
      <w:rPr>
        <w:rFonts w:hint="default"/>
        <w:b w:val="0"/>
        <w:bCs/>
      </w:rPr>
    </w:lvl>
    <w:lvl w:ilvl="1" w:tplc="58C0532C">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
    <w:nsid w:val="123F2859"/>
    <w:multiLevelType w:val="hybridMultilevel"/>
    <w:tmpl w:val="85242A9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4">
    <w:nsid w:val="129A5F6B"/>
    <w:multiLevelType w:val="hybridMultilevel"/>
    <w:tmpl w:val="ED5EB35A"/>
    <w:lvl w:ilvl="0" w:tplc="9B6628FE">
      <w:numFmt w:val="bullet"/>
      <w:lvlText w:val="-"/>
      <w:lvlJc w:val="left"/>
      <w:pPr>
        <w:ind w:left="420" w:hanging="360"/>
      </w:pPr>
      <w:rPr>
        <w:rFonts w:ascii="Arial" w:eastAsia="Times New Roman" w:hAnsi="Arial" w:cs="Arial" w:hint="default"/>
      </w:rPr>
    </w:lvl>
    <w:lvl w:ilvl="1" w:tplc="04090003" w:tentative="1">
      <w:start w:val="1"/>
      <w:numFmt w:val="bullet"/>
      <w:lvlText w:val="o"/>
      <w:lvlJc w:val="left"/>
      <w:pPr>
        <w:ind w:left="1140" w:hanging="360"/>
      </w:pPr>
      <w:rPr>
        <w:rFonts w:ascii="Courier New" w:hAnsi="Courier New" w:cs="Courier New" w:hint="default"/>
      </w:rPr>
    </w:lvl>
    <w:lvl w:ilvl="2" w:tplc="04090005" w:tentative="1">
      <w:start w:val="1"/>
      <w:numFmt w:val="bullet"/>
      <w:lvlText w:val=""/>
      <w:lvlJc w:val="left"/>
      <w:pPr>
        <w:ind w:left="1860" w:hanging="360"/>
      </w:pPr>
      <w:rPr>
        <w:rFonts w:ascii="Wingdings" w:hAnsi="Wingdings" w:hint="default"/>
      </w:rPr>
    </w:lvl>
    <w:lvl w:ilvl="3" w:tplc="04090001" w:tentative="1">
      <w:start w:val="1"/>
      <w:numFmt w:val="bullet"/>
      <w:lvlText w:val=""/>
      <w:lvlJc w:val="left"/>
      <w:pPr>
        <w:ind w:left="2580" w:hanging="360"/>
      </w:pPr>
      <w:rPr>
        <w:rFonts w:ascii="Symbol" w:hAnsi="Symbol" w:hint="default"/>
      </w:rPr>
    </w:lvl>
    <w:lvl w:ilvl="4" w:tplc="04090003" w:tentative="1">
      <w:start w:val="1"/>
      <w:numFmt w:val="bullet"/>
      <w:lvlText w:val="o"/>
      <w:lvlJc w:val="left"/>
      <w:pPr>
        <w:ind w:left="3300" w:hanging="360"/>
      </w:pPr>
      <w:rPr>
        <w:rFonts w:ascii="Courier New" w:hAnsi="Courier New" w:cs="Courier New" w:hint="default"/>
      </w:rPr>
    </w:lvl>
    <w:lvl w:ilvl="5" w:tplc="04090005" w:tentative="1">
      <w:start w:val="1"/>
      <w:numFmt w:val="bullet"/>
      <w:lvlText w:val=""/>
      <w:lvlJc w:val="left"/>
      <w:pPr>
        <w:ind w:left="4020" w:hanging="360"/>
      </w:pPr>
      <w:rPr>
        <w:rFonts w:ascii="Wingdings" w:hAnsi="Wingdings" w:hint="default"/>
      </w:rPr>
    </w:lvl>
    <w:lvl w:ilvl="6" w:tplc="04090001" w:tentative="1">
      <w:start w:val="1"/>
      <w:numFmt w:val="bullet"/>
      <w:lvlText w:val=""/>
      <w:lvlJc w:val="left"/>
      <w:pPr>
        <w:ind w:left="4740" w:hanging="360"/>
      </w:pPr>
      <w:rPr>
        <w:rFonts w:ascii="Symbol" w:hAnsi="Symbol" w:hint="default"/>
      </w:rPr>
    </w:lvl>
    <w:lvl w:ilvl="7" w:tplc="04090003" w:tentative="1">
      <w:start w:val="1"/>
      <w:numFmt w:val="bullet"/>
      <w:lvlText w:val="o"/>
      <w:lvlJc w:val="left"/>
      <w:pPr>
        <w:ind w:left="5460" w:hanging="360"/>
      </w:pPr>
      <w:rPr>
        <w:rFonts w:ascii="Courier New" w:hAnsi="Courier New" w:cs="Courier New" w:hint="default"/>
      </w:rPr>
    </w:lvl>
    <w:lvl w:ilvl="8" w:tplc="04090005" w:tentative="1">
      <w:start w:val="1"/>
      <w:numFmt w:val="bullet"/>
      <w:lvlText w:val=""/>
      <w:lvlJc w:val="left"/>
      <w:pPr>
        <w:ind w:left="6180" w:hanging="360"/>
      </w:pPr>
      <w:rPr>
        <w:rFonts w:ascii="Wingdings" w:hAnsi="Wingdings" w:hint="default"/>
      </w:rPr>
    </w:lvl>
  </w:abstractNum>
  <w:abstractNum w:abstractNumId="25">
    <w:nsid w:val="12B30DEB"/>
    <w:multiLevelType w:val="hybridMultilevel"/>
    <w:tmpl w:val="78E8EB80"/>
    <w:lvl w:ilvl="0" w:tplc="1AA0ABC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13636494"/>
    <w:multiLevelType w:val="hybridMultilevel"/>
    <w:tmpl w:val="9F66909A"/>
    <w:lvl w:ilvl="0" w:tplc="DF3ED484">
      <w:start w:val="1"/>
      <w:numFmt w:val="lowerLetter"/>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13E272F6"/>
    <w:multiLevelType w:val="hybridMultilevel"/>
    <w:tmpl w:val="59DCCBCC"/>
    <w:lvl w:ilvl="0" w:tplc="1AA0ABC2">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8">
    <w:nsid w:val="141F0DE2"/>
    <w:multiLevelType w:val="hybridMultilevel"/>
    <w:tmpl w:val="841EDAD6"/>
    <w:lvl w:ilvl="0" w:tplc="2384CE1C">
      <w:start w:val="1"/>
      <w:numFmt w:val="decimal"/>
      <w:lvlText w:val="23.%1"/>
      <w:lvlJc w:val="left"/>
      <w:pPr>
        <w:ind w:left="720" w:hanging="360"/>
      </w:pPr>
      <w:rPr>
        <w:rFonts w:ascii="Arial" w:hAnsi="Arial" w:cs="Arial" w:hint="default"/>
        <w:color w:val="auto"/>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14AE7A95"/>
    <w:multiLevelType w:val="hybridMultilevel"/>
    <w:tmpl w:val="CD4430F2"/>
    <w:lvl w:ilvl="0" w:tplc="3D8C94B4">
      <w:start w:val="1"/>
      <w:numFmt w:val="decimal"/>
      <w:lvlText w:val="17.%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161E2E61"/>
    <w:multiLevelType w:val="hybridMultilevel"/>
    <w:tmpl w:val="F098835C"/>
    <w:lvl w:ilvl="0" w:tplc="8CB4571C">
      <w:start w:val="1"/>
      <w:numFmt w:val="upperRoman"/>
      <w:pStyle w:val="Heading1"/>
      <w:lvlText w:val="%1."/>
      <w:lvlJc w:val="right"/>
      <w:pPr>
        <w:tabs>
          <w:tab w:val="num" w:pos="284"/>
        </w:tabs>
        <w:ind w:left="720" w:hanging="720"/>
      </w:pPr>
      <w:rPr>
        <w:rFonts w:ascii="Arial" w:hAnsi="Arial" w:hint="default"/>
        <w:sz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1">
    <w:nsid w:val="177D5000"/>
    <w:multiLevelType w:val="singleLevel"/>
    <w:tmpl w:val="0409000F"/>
    <w:lvl w:ilvl="0">
      <w:start w:val="1"/>
      <w:numFmt w:val="decimal"/>
      <w:lvlText w:val="%1."/>
      <w:lvlJc w:val="left"/>
      <w:pPr>
        <w:tabs>
          <w:tab w:val="num" w:pos="360"/>
        </w:tabs>
        <w:ind w:left="360" w:hanging="360"/>
      </w:pPr>
    </w:lvl>
  </w:abstractNum>
  <w:abstractNum w:abstractNumId="32">
    <w:nsid w:val="18047F36"/>
    <w:multiLevelType w:val="hybridMultilevel"/>
    <w:tmpl w:val="3A0AF882"/>
    <w:lvl w:ilvl="0" w:tplc="737262D6">
      <w:start w:val="1"/>
      <w:numFmt w:val="decimal"/>
      <w:lvlText w:val="8.%1"/>
      <w:lvlJc w:val="left"/>
      <w:pPr>
        <w:ind w:left="720" w:hanging="360"/>
      </w:pPr>
      <w:rPr>
        <w:rFonts w:hint="default"/>
      </w:r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33">
    <w:nsid w:val="182D30F0"/>
    <w:multiLevelType w:val="hybridMultilevel"/>
    <w:tmpl w:val="2430CF06"/>
    <w:lvl w:ilvl="0" w:tplc="1AA0ABC2">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4">
    <w:nsid w:val="1A3B7367"/>
    <w:multiLevelType w:val="hybridMultilevel"/>
    <w:tmpl w:val="61BE333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1A6A153C"/>
    <w:multiLevelType w:val="hybridMultilevel"/>
    <w:tmpl w:val="AEB02704"/>
    <w:lvl w:ilvl="0" w:tplc="6074992C">
      <w:start w:val="9"/>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1B22262A"/>
    <w:multiLevelType w:val="hybridMultilevel"/>
    <w:tmpl w:val="C626543A"/>
    <w:lvl w:ilvl="0" w:tplc="1AA0ABC2">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7">
    <w:nsid w:val="1B605764"/>
    <w:multiLevelType w:val="hybridMultilevel"/>
    <w:tmpl w:val="5C1E54E8"/>
    <w:lvl w:ilvl="0" w:tplc="5B683A3A">
      <w:start w:val="1"/>
      <w:numFmt w:val="upperRoman"/>
      <w:lvlText w:val="%1."/>
      <w:lvlJc w:val="left"/>
      <w:pPr>
        <w:ind w:left="1080" w:hanging="720"/>
      </w:pPr>
      <w:rPr>
        <w:rFonts w:hint="default"/>
      </w:rPr>
    </w:lvl>
    <w:lvl w:ilvl="1" w:tplc="A2369E28">
      <w:start w:val="1"/>
      <w:numFmt w:val="lowerLetter"/>
      <w:lvlText w:val="(%2)"/>
      <w:lvlJc w:val="left"/>
      <w:pPr>
        <w:ind w:left="1440" w:hanging="360"/>
      </w:pPr>
      <w:rPr>
        <w:rFonts w:hint="default"/>
        <w:i/>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1B967EF8"/>
    <w:multiLevelType w:val="hybridMultilevel"/>
    <w:tmpl w:val="A5DA4748"/>
    <w:lvl w:ilvl="0" w:tplc="1C94BC9C">
      <w:start w:val="1"/>
      <w:numFmt w:val="decimal"/>
      <w:lvlText w:val="4.%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9">
    <w:nsid w:val="1C3C58AA"/>
    <w:multiLevelType w:val="hybridMultilevel"/>
    <w:tmpl w:val="AC8AD65E"/>
    <w:lvl w:ilvl="0" w:tplc="3D985CDC">
      <w:start w:val="1"/>
      <w:numFmt w:val="decimal"/>
      <w:lvlText w:val="22.%1"/>
      <w:lvlJc w:val="left"/>
      <w:pPr>
        <w:ind w:left="720" w:hanging="360"/>
      </w:pPr>
      <w:rPr>
        <w:rFonts w:ascii="Arial" w:hAnsi="Arial" w:cs="Arial" w:hint="default"/>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nsid w:val="1C5E683D"/>
    <w:multiLevelType w:val="hybridMultilevel"/>
    <w:tmpl w:val="54FA731E"/>
    <w:lvl w:ilvl="0" w:tplc="B0BCA630">
      <w:start w:val="19"/>
      <w:numFmt w:val="bullet"/>
      <w:lvlText w:val="-"/>
      <w:lvlJc w:val="left"/>
      <w:pPr>
        <w:ind w:left="360" w:hanging="360"/>
      </w:pPr>
      <w:rPr>
        <w:rFonts w:ascii="Arial" w:eastAsia="Times New Roman" w:hAnsi="Arial" w:cs="Aria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1">
    <w:nsid w:val="1ED221A1"/>
    <w:multiLevelType w:val="hybridMultilevel"/>
    <w:tmpl w:val="967A47AA"/>
    <w:lvl w:ilvl="0" w:tplc="1AA0ABC2">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42">
    <w:nsid w:val="1F153255"/>
    <w:multiLevelType w:val="hybridMultilevel"/>
    <w:tmpl w:val="BD02A80E"/>
    <w:lvl w:ilvl="0" w:tplc="A610436A">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nsid w:val="1F425DE0"/>
    <w:multiLevelType w:val="hybridMultilevel"/>
    <w:tmpl w:val="25847FA0"/>
    <w:lvl w:ilvl="0" w:tplc="04090015">
      <w:start w:val="1"/>
      <w:numFmt w:val="upp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4">
    <w:nsid w:val="201213CE"/>
    <w:multiLevelType w:val="hybridMultilevel"/>
    <w:tmpl w:val="6D0E47EC"/>
    <w:lvl w:ilvl="0" w:tplc="97763274">
      <w:start w:val="1"/>
      <w:numFmt w:val="decimal"/>
      <w:lvlText w:val="28.%1"/>
      <w:lvlJc w:val="left"/>
      <w:pPr>
        <w:ind w:left="720" w:hanging="360"/>
      </w:pPr>
      <w:rPr>
        <w:rFonts w:ascii="Arial" w:hAnsi="Arial" w:cs="Arial" w:hint="default"/>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nsid w:val="203A1B2A"/>
    <w:multiLevelType w:val="hybridMultilevel"/>
    <w:tmpl w:val="45B222E6"/>
    <w:lvl w:ilvl="0" w:tplc="1AA0ABC2">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6">
    <w:nsid w:val="214E6CDB"/>
    <w:multiLevelType w:val="hybridMultilevel"/>
    <w:tmpl w:val="DB1C7D08"/>
    <w:lvl w:ilvl="0" w:tplc="1AA0ABC2">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7">
    <w:nsid w:val="22264B9F"/>
    <w:multiLevelType w:val="hybridMultilevel"/>
    <w:tmpl w:val="C52A9286"/>
    <w:lvl w:ilvl="0" w:tplc="2D4AE1C4">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nsid w:val="22916058"/>
    <w:multiLevelType w:val="hybridMultilevel"/>
    <w:tmpl w:val="870670C6"/>
    <w:lvl w:ilvl="0" w:tplc="6438198C">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nsid w:val="25893C17"/>
    <w:multiLevelType w:val="hybridMultilevel"/>
    <w:tmpl w:val="E7E26952"/>
    <w:lvl w:ilvl="0" w:tplc="2D4AE1C4">
      <w:start w:val="1"/>
      <w:numFmt w:val="bullet"/>
      <w:lvlText w:val="-"/>
      <w:lvlJc w:val="left"/>
      <w:pPr>
        <w:ind w:left="360" w:hanging="360"/>
      </w:pPr>
      <w:rPr>
        <w:rFonts w:ascii="Courier New" w:hAnsi="Courier New"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0">
    <w:nsid w:val="267F2243"/>
    <w:multiLevelType w:val="hybridMultilevel"/>
    <w:tmpl w:val="3EA232B2"/>
    <w:lvl w:ilvl="0" w:tplc="1AA0ABC2">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51">
    <w:nsid w:val="26815950"/>
    <w:multiLevelType w:val="hybridMultilevel"/>
    <w:tmpl w:val="16DC58FA"/>
    <w:lvl w:ilvl="0" w:tplc="FF6A4096">
      <w:start w:val="1"/>
      <w:numFmt w:val="decimal"/>
      <w:lvlText w:val="18.%1"/>
      <w:lvlJc w:val="left"/>
      <w:pPr>
        <w:ind w:left="720" w:hanging="360"/>
      </w:pPr>
      <w:rPr>
        <w:rFonts w:ascii="Arial" w:hAnsi="Arial" w:cs="Arial" w:hint="default"/>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nsid w:val="26885FCA"/>
    <w:multiLevelType w:val="hybridMultilevel"/>
    <w:tmpl w:val="EE0CC2BC"/>
    <w:lvl w:ilvl="0" w:tplc="1AB84846">
      <w:start w:val="1"/>
      <w:numFmt w:val="decimal"/>
      <w:lvlText w:val="12.%1."/>
      <w:lvlJc w:val="left"/>
      <w:pPr>
        <w:ind w:left="720" w:hanging="360"/>
      </w:pPr>
      <w:rPr>
        <w:rFonts w:ascii="Arial" w:hAnsi="Arial" w:cs="Arial" w:hint="default"/>
        <w:b w:val="0"/>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nsid w:val="298752D8"/>
    <w:multiLevelType w:val="hybridMultilevel"/>
    <w:tmpl w:val="C6BA809C"/>
    <w:lvl w:ilvl="0" w:tplc="933273D0">
      <w:start w:val="20"/>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nsid w:val="29D20EFF"/>
    <w:multiLevelType w:val="hybridMultilevel"/>
    <w:tmpl w:val="21948684"/>
    <w:lvl w:ilvl="0" w:tplc="1AA0ABC2">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5">
    <w:nsid w:val="2A467875"/>
    <w:multiLevelType w:val="hybridMultilevel"/>
    <w:tmpl w:val="50B0D0D8"/>
    <w:lvl w:ilvl="0" w:tplc="712AC2B6">
      <w:start w:val="1"/>
      <w:numFmt w:val="decimal"/>
      <w:lvlText w:val="20.%1."/>
      <w:lvlJc w:val="left"/>
      <w:pPr>
        <w:ind w:left="720" w:hanging="360"/>
      </w:pPr>
      <w:rPr>
        <w:rFonts w:ascii="Arial" w:hAnsi="Arial" w:cs="Arial" w:hint="default"/>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nsid w:val="2A6D4D63"/>
    <w:multiLevelType w:val="hybridMultilevel"/>
    <w:tmpl w:val="C78852D8"/>
    <w:lvl w:ilvl="0" w:tplc="689471A2">
      <w:start w:val="1"/>
      <w:numFmt w:val="decimal"/>
      <w:lvlText w:val="13.%1"/>
      <w:lvlJc w:val="left"/>
      <w:pPr>
        <w:ind w:left="720" w:hanging="360"/>
      </w:pPr>
      <w:rPr>
        <w:rFonts w:ascii="Arial" w:hAnsi="Arial" w:cs="Arial" w:hint="default"/>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7">
    <w:nsid w:val="2B022C2D"/>
    <w:multiLevelType w:val="hybridMultilevel"/>
    <w:tmpl w:val="B5200226"/>
    <w:lvl w:ilvl="0" w:tplc="D92AB576">
      <w:start w:val="1"/>
      <w:numFmt w:val="decimal"/>
      <w:lvlText w:val="16.%1."/>
      <w:lvlJc w:val="left"/>
      <w:pPr>
        <w:ind w:left="720" w:hanging="360"/>
      </w:pPr>
      <w:rPr>
        <w:rFonts w:ascii="Arial" w:hAnsi="Arial" w:cs="Arial" w:hint="default"/>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nsid w:val="2B1A31DD"/>
    <w:multiLevelType w:val="hybridMultilevel"/>
    <w:tmpl w:val="0B202FC2"/>
    <w:lvl w:ilvl="0" w:tplc="1AA0ABC2">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59">
    <w:nsid w:val="2BEB10E3"/>
    <w:multiLevelType w:val="hybridMultilevel"/>
    <w:tmpl w:val="3314FC06"/>
    <w:lvl w:ilvl="0" w:tplc="DE4A5C86">
      <w:start w:val="7"/>
      <w:numFmt w:val="bullet"/>
      <w:lvlText w:val="-"/>
      <w:lvlJc w:val="left"/>
      <w:pPr>
        <w:ind w:left="360" w:hanging="360"/>
      </w:pPr>
      <w:rPr>
        <w:rFonts w:ascii="Arial" w:eastAsia="Times New Roman" w:hAnsi="Arial" w:cs="Arial" w:hint="default"/>
      </w:rPr>
    </w:lvl>
    <w:lvl w:ilvl="1" w:tplc="040C0003" w:tentative="1">
      <w:start w:val="1"/>
      <w:numFmt w:val="bullet"/>
      <w:lvlText w:val="o"/>
      <w:lvlJc w:val="left"/>
      <w:pPr>
        <w:ind w:left="1080" w:hanging="360"/>
      </w:pPr>
      <w:rPr>
        <w:rFonts w:ascii="Courier New" w:hAnsi="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60">
    <w:nsid w:val="2C556F6E"/>
    <w:multiLevelType w:val="hybridMultilevel"/>
    <w:tmpl w:val="2A5EDDE8"/>
    <w:lvl w:ilvl="0" w:tplc="8A627A10">
      <w:start w:val="1"/>
      <w:numFmt w:val="decimal"/>
      <w:lvlText w:val="26. %1"/>
      <w:lvlJc w:val="left"/>
      <w:pPr>
        <w:ind w:left="6120" w:hanging="360"/>
      </w:pPr>
      <w:rPr>
        <w:rFonts w:hint="default"/>
      </w:rPr>
    </w:lvl>
    <w:lvl w:ilvl="1" w:tplc="04090019" w:tentative="1">
      <w:start w:val="1"/>
      <w:numFmt w:val="lowerLetter"/>
      <w:lvlText w:val="%2."/>
      <w:lvlJc w:val="left"/>
      <w:pPr>
        <w:ind w:left="6840" w:hanging="360"/>
      </w:pPr>
    </w:lvl>
    <w:lvl w:ilvl="2" w:tplc="0409001B" w:tentative="1">
      <w:start w:val="1"/>
      <w:numFmt w:val="lowerRoman"/>
      <w:lvlText w:val="%3."/>
      <w:lvlJc w:val="right"/>
      <w:pPr>
        <w:ind w:left="7560" w:hanging="180"/>
      </w:pPr>
    </w:lvl>
    <w:lvl w:ilvl="3" w:tplc="0409000F" w:tentative="1">
      <w:start w:val="1"/>
      <w:numFmt w:val="decimal"/>
      <w:lvlText w:val="%4."/>
      <w:lvlJc w:val="left"/>
      <w:pPr>
        <w:ind w:left="8280" w:hanging="360"/>
      </w:pPr>
    </w:lvl>
    <w:lvl w:ilvl="4" w:tplc="04090019" w:tentative="1">
      <w:start w:val="1"/>
      <w:numFmt w:val="lowerLetter"/>
      <w:lvlText w:val="%5."/>
      <w:lvlJc w:val="left"/>
      <w:pPr>
        <w:ind w:left="9000" w:hanging="360"/>
      </w:pPr>
    </w:lvl>
    <w:lvl w:ilvl="5" w:tplc="0409001B" w:tentative="1">
      <w:start w:val="1"/>
      <w:numFmt w:val="lowerRoman"/>
      <w:lvlText w:val="%6."/>
      <w:lvlJc w:val="right"/>
      <w:pPr>
        <w:ind w:left="9720" w:hanging="180"/>
      </w:pPr>
    </w:lvl>
    <w:lvl w:ilvl="6" w:tplc="0409000F" w:tentative="1">
      <w:start w:val="1"/>
      <w:numFmt w:val="decimal"/>
      <w:lvlText w:val="%7."/>
      <w:lvlJc w:val="left"/>
      <w:pPr>
        <w:ind w:left="10440" w:hanging="360"/>
      </w:pPr>
    </w:lvl>
    <w:lvl w:ilvl="7" w:tplc="04090019" w:tentative="1">
      <w:start w:val="1"/>
      <w:numFmt w:val="lowerLetter"/>
      <w:lvlText w:val="%8."/>
      <w:lvlJc w:val="left"/>
      <w:pPr>
        <w:ind w:left="11160" w:hanging="360"/>
      </w:pPr>
    </w:lvl>
    <w:lvl w:ilvl="8" w:tplc="0409001B" w:tentative="1">
      <w:start w:val="1"/>
      <w:numFmt w:val="lowerRoman"/>
      <w:lvlText w:val="%9."/>
      <w:lvlJc w:val="right"/>
      <w:pPr>
        <w:ind w:left="11880" w:hanging="180"/>
      </w:pPr>
    </w:lvl>
  </w:abstractNum>
  <w:abstractNum w:abstractNumId="61">
    <w:nsid w:val="2D2D4A83"/>
    <w:multiLevelType w:val="hybridMultilevel"/>
    <w:tmpl w:val="6C962490"/>
    <w:lvl w:ilvl="0" w:tplc="1AA0ABC2">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2">
    <w:nsid w:val="2D7D5DCC"/>
    <w:multiLevelType w:val="hybridMultilevel"/>
    <w:tmpl w:val="88AEEE08"/>
    <w:lvl w:ilvl="0" w:tplc="1AA0ABC2">
      <w:start w:val="1"/>
      <w:numFmt w:val="bullet"/>
      <w:lvlText w:val=""/>
      <w:lvlJc w:val="left"/>
      <w:pPr>
        <w:ind w:left="720" w:hanging="360"/>
      </w:pPr>
      <w:rPr>
        <w:rFonts w:ascii="Symbol" w:hAnsi="Symbol" w:hint="default"/>
        <w:color w:val="1F497D" w:themeColor="text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nsid w:val="2F5B64AE"/>
    <w:multiLevelType w:val="hybridMultilevel"/>
    <w:tmpl w:val="41886E5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4">
    <w:nsid w:val="32BE5653"/>
    <w:multiLevelType w:val="hybridMultilevel"/>
    <w:tmpl w:val="E3803D42"/>
    <w:lvl w:ilvl="0" w:tplc="1AA0ABC2">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5">
    <w:nsid w:val="32D96041"/>
    <w:multiLevelType w:val="hybridMultilevel"/>
    <w:tmpl w:val="CCAA1184"/>
    <w:lvl w:ilvl="0" w:tplc="712AC2B6">
      <w:start w:val="1"/>
      <w:numFmt w:val="decimal"/>
      <w:lvlText w:val="20.%1."/>
      <w:lvlJc w:val="left"/>
      <w:pPr>
        <w:ind w:left="720" w:hanging="360"/>
      </w:pPr>
      <w:rPr>
        <w:rFonts w:ascii="Arial" w:hAnsi="Arial" w:cs="Arial" w:hint="default"/>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6">
    <w:nsid w:val="355F43FD"/>
    <w:multiLevelType w:val="hybridMultilevel"/>
    <w:tmpl w:val="2542DE42"/>
    <w:lvl w:ilvl="0" w:tplc="8FA8A862">
      <w:numFmt w:val="bullet"/>
      <w:lvlText w:val="-"/>
      <w:lvlJc w:val="left"/>
      <w:pPr>
        <w:ind w:left="420" w:hanging="360"/>
      </w:pPr>
      <w:rPr>
        <w:rFonts w:ascii="Arial" w:eastAsia="Times New Roman" w:hAnsi="Arial" w:cs="Arial" w:hint="default"/>
      </w:rPr>
    </w:lvl>
    <w:lvl w:ilvl="1" w:tplc="04090003" w:tentative="1">
      <w:start w:val="1"/>
      <w:numFmt w:val="bullet"/>
      <w:lvlText w:val="o"/>
      <w:lvlJc w:val="left"/>
      <w:pPr>
        <w:ind w:left="1140" w:hanging="360"/>
      </w:pPr>
      <w:rPr>
        <w:rFonts w:ascii="Courier New" w:hAnsi="Courier New" w:cs="Courier New" w:hint="default"/>
      </w:rPr>
    </w:lvl>
    <w:lvl w:ilvl="2" w:tplc="04090005" w:tentative="1">
      <w:start w:val="1"/>
      <w:numFmt w:val="bullet"/>
      <w:lvlText w:val=""/>
      <w:lvlJc w:val="left"/>
      <w:pPr>
        <w:ind w:left="1860" w:hanging="360"/>
      </w:pPr>
      <w:rPr>
        <w:rFonts w:ascii="Wingdings" w:hAnsi="Wingdings" w:hint="default"/>
      </w:rPr>
    </w:lvl>
    <w:lvl w:ilvl="3" w:tplc="04090001" w:tentative="1">
      <w:start w:val="1"/>
      <w:numFmt w:val="bullet"/>
      <w:lvlText w:val=""/>
      <w:lvlJc w:val="left"/>
      <w:pPr>
        <w:ind w:left="2580" w:hanging="360"/>
      </w:pPr>
      <w:rPr>
        <w:rFonts w:ascii="Symbol" w:hAnsi="Symbol" w:hint="default"/>
      </w:rPr>
    </w:lvl>
    <w:lvl w:ilvl="4" w:tplc="04090003" w:tentative="1">
      <w:start w:val="1"/>
      <w:numFmt w:val="bullet"/>
      <w:lvlText w:val="o"/>
      <w:lvlJc w:val="left"/>
      <w:pPr>
        <w:ind w:left="3300" w:hanging="360"/>
      </w:pPr>
      <w:rPr>
        <w:rFonts w:ascii="Courier New" w:hAnsi="Courier New" w:cs="Courier New" w:hint="default"/>
      </w:rPr>
    </w:lvl>
    <w:lvl w:ilvl="5" w:tplc="04090005" w:tentative="1">
      <w:start w:val="1"/>
      <w:numFmt w:val="bullet"/>
      <w:lvlText w:val=""/>
      <w:lvlJc w:val="left"/>
      <w:pPr>
        <w:ind w:left="4020" w:hanging="360"/>
      </w:pPr>
      <w:rPr>
        <w:rFonts w:ascii="Wingdings" w:hAnsi="Wingdings" w:hint="default"/>
      </w:rPr>
    </w:lvl>
    <w:lvl w:ilvl="6" w:tplc="04090001" w:tentative="1">
      <w:start w:val="1"/>
      <w:numFmt w:val="bullet"/>
      <w:lvlText w:val=""/>
      <w:lvlJc w:val="left"/>
      <w:pPr>
        <w:ind w:left="4740" w:hanging="360"/>
      </w:pPr>
      <w:rPr>
        <w:rFonts w:ascii="Symbol" w:hAnsi="Symbol" w:hint="default"/>
      </w:rPr>
    </w:lvl>
    <w:lvl w:ilvl="7" w:tplc="04090003" w:tentative="1">
      <w:start w:val="1"/>
      <w:numFmt w:val="bullet"/>
      <w:lvlText w:val="o"/>
      <w:lvlJc w:val="left"/>
      <w:pPr>
        <w:ind w:left="5460" w:hanging="360"/>
      </w:pPr>
      <w:rPr>
        <w:rFonts w:ascii="Courier New" w:hAnsi="Courier New" w:cs="Courier New" w:hint="default"/>
      </w:rPr>
    </w:lvl>
    <w:lvl w:ilvl="8" w:tplc="04090005" w:tentative="1">
      <w:start w:val="1"/>
      <w:numFmt w:val="bullet"/>
      <w:lvlText w:val=""/>
      <w:lvlJc w:val="left"/>
      <w:pPr>
        <w:ind w:left="6180" w:hanging="360"/>
      </w:pPr>
      <w:rPr>
        <w:rFonts w:ascii="Wingdings" w:hAnsi="Wingdings" w:hint="default"/>
      </w:rPr>
    </w:lvl>
  </w:abstractNum>
  <w:abstractNum w:abstractNumId="67">
    <w:nsid w:val="35D26F74"/>
    <w:multiLevelType w:val="hybridMultilevel"/>
    <w:tmpl w:val="A3404602"/>
    <w:lvl w:ilvl="0" w:tplc="04090001">
      <w:start w:val="1"/>
      <w:numFmt w:val="bullet"/>
      <w:lvlText w:val=""/>
      <w:lvlJc w:val="left"/>
      <w:pPr>
        <w:tabs>
          <w:tab w:val="num" w:pos="720"/>
        </w:tabs>
        <w:ind w:left="720" w:hanging="360"/>
      </w:pPr>
      <w:rPr>
        <w:rFonts w:ascii="Symbol" w:hAnsi="Symbol" w:hint="default"/>
        <w:sz w:val="24"/>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8">
    <w:nsid w:val="36AE669D"/>
    <w:multiLevelType w:val="hybridMultilevel"/>
    <w:tmpl w:val="3D766412"/>
    <w:lvl w:ilvl="0" w:tplc="3838478C">
      <w:start w:val="1"/>
      <w:numFmt w:val="decimal"/>
      <w:lvlText w:val="30.%1"/>
      <w:lvlJc w:val="left"/>
      <w:pPr>
        <w:ind w:left="360" w:hanging="360"/>
      </w:pPr>
      <w:rPr>
        <w:rFonts w:hint="default"/>
        <w:b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9">
    <w:nsid w:val="37061594"/>
    <w:multiLevelType w:val="hybridMultilevel"/>
    <w:tmpl w:val="1E5291E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nsid w:val="37A273F1"/>
    <w:multiLevelType w:val="hybridMultilevel"/>
    <w:tmpl w:val="C7047F96"/>
    <w:lvl w:ilvl="0" w:tplc="D5583286">
      <w:start w:val="1"/>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nsid w:val="382B066F"/>
    <w:multiLevelType w:val="hybridMultilevel"/>
    <w:tmpl w:val="CBD666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nsid w:val="383E717F"/>
    <w:multiLevelType w:val="hybridMultilevel"/>
    <w:tmpl w:val="22103E14"/>
    <w:lvl w:ilvl="0" w:tplc="B0BCA630">
      <w:start w:val="19"/>
      <w:numFmt w:val="bullet"/>
      <w:lvlText w:val="-"/>
      <w:lvlJc w:val="left"/>
      <w:pPr>
        <w:ind w:left="360" w:hanging="360"/>
      </w:pPr>
      <w:rPr>
        <w:rFonts w:ascii="Arial" w:eastAsia="Times New Roman" w:hAnsi="Arial" w:cs="Aria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3">
    <w:nsid w:val="393D127D"/>
    <w:multiLevelType w:val="hybridMultilevel"/>
    <w:tmpl w:val="76AC4420"/>
    <w:lvl w:ilvl="0" w:tplc="C1B4895E">
      <w:start w:val="1"/>
      <w:numFmt w:val="decimal"/>
      <w:lvlText w:val="20.%1"/>
      <w:lvlJc w:val="left"/>
      <w:pPr>
        <w:ind w:left="720" w:hanging="360"/>
      </w:pPr>
      <w:rPr>
        <w:rFonts w:ascii="Arial" w:hAnsi="Arial" w:cs="Arial" w:hint="default"/>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4">
    <w:nsid w:val="3A993A49"/>
    <w:multiLevelType w:val="hybridMultilevel"/>
    <w:tmpl w:val="AA5657BA"/>
    <w:lvl w:ilvl="0" w:tplc="B0BCA630">
      <w:start w:val="19"/>
      <w:numFmt w:val="bullet"/>
      <w:lvlText w:val="-"/>
      <w:lvlJc w:val="left"/>
      <w:pPr>
        <w:ind w:left="360" w:hanging="360"/>
      </w:pPr>
      <w:rPr>
        <w:rFonts w:ascii="Arial" w:eastAsia="Times New Roman" w:hAnsi="Arial" w:cs="Aria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5">
    <w:nsid w:val="3A9C377A"/>
    <w:multiLevelType w:val="hybridMultilevel"/>
    <w:tmpl w:val="24EE0FCE"/>
    <w:lvl w:ilvl="0" w:tplc="1AA0ABC2">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6">
    <w:nsid w:val="3AAE5412"/>
    <w:multiLevelType w:val="hybridMultilevel"/>
    <w:tmpl w:val="05FE46C4"/>
    <w:lvl w:ilvl="0" w:tplc="D5583286">
      <w:start w:val="1"/>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7">
    <w:nsid w:val="3B8233E1"/>
    <w:multiLevelType w:val="hybridMultilevel"/>
    <w:tmpl w:val="6ED68DFE"/>
    <w:lvl w:ilvl="0" w:tplc="3552032E">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nsid w:val="3B9C7EF3"/>
    <w:multiLevelType w:val="hybridMultilevel"/>
    <w:tmpl w:val="BE263B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nsid w:val="3C0307F0"/>
    <w:multiLevelType w:val="hybridMultilevel"/>
    <w:tmpl w:val="BAAC036E"/>
    <w:lvl w:ilvl="0" w:tplc="B0BCA630">
      <w:start w:val="19"/>
      <w:numFmt w:val="bullet"/>
      <w:lvlText w:val="-"/>
      <w:lvlJc w:val="left"/>
      <w:pPr>
        <w:ind w:left="360" w:hanging="360"/>
      </w:pPr>
      <w:rPr>
        <w:rFonts w:ascii="Arial" w:eastAsia="Times New Roman" w:hAnsi="Arial" w:cs="Aria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0">
    <w:nsid w:val="3CDC78F1"/>
    <w:multiLevelType w:val="hybridMultilevel"/>
    <w:tmpl w:val="0078420E"/>
    <w:lvl w:ilvl="0" w:tplc="DE4A5C86">
      <w:start w:val="7"/>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1">
    <w:nsid w:val="3D00797F"/>
    <w:multiLevelType w:val="hybridMultilevel"/>
    <w:tmpl w:val="955A3786"/>
    <w:lvl w:ilvl="0" w:tplc="CB5C0C20">
      <w:start w:val="1"/>
      <w:numFmt w:val="lowerRoman"/>
      <w:lvlText w:val="(%1)"/>
      <w:lvlJc w:val="left"/>
      <w:pPr>
        <w:ind w:left="720" w:hanging="72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2">
    <w:nsid w:val="3D787645"/>
    <w:multiLevelType w:val="hybridMultilevel"/>
    <w:tmpl w:val="0444E7C6"/>
    <w:lvl w:ilvl="0" w:tplc="1AA0ABC2">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3">
    <w:nsid w:val="3DBD2CB5"/>
    <w:multiLevelType w:val="hybridMultilevel"/>
    <w:tmpl w:val="C6820B60"/>
    <w:lvl w:ilvl="0" w:tplc="1AA0ABC2">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4">
    <w:nsid w:val="3F207D56"/>
    <w:multiLevelType w:val="hybridMultilevel"/>
    <w:tmpl w:val="676C3310"/>
    <w:lvl w:ilvl="0" w:tplc="04090015">
      <w:start w:val="1"/>
      <w:numFmt w:val="upperLetter"/>
      <w:lvlText w:val="%1."/>
      <w:lvlJc w:val="left"/>
      <w:pPr>
        <w:ind w:left="360" w:hanging="360"/>
      </w:pPr>
      <w:rPr>
        <w:rFonts w:hint="default"/>
        <w:u w:val="none"/>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5">
    <w:nsid w:val="3FB24D1A"/>
    <w:multiLevelType w:val="hybridMultilevel"/>
    <w:tmpl w:val="171A8C36"/>
    <w:lvl w:ilvl="0" w:tplc="DE4A5C86">
      <w:start w:val="7"/>
      <w:numFmt w:val="bullet"/>
      <w:lvlText w:val="-"/>
      <w:lvlJc w:val="left"/>
      <w:pPr>
        <w:ind w:left="533" w:hanging="360"/>
      </w:pPr>
      <w:rPr>
        <w:rFonts w:ascii="Arial" w:eastAsia="Times New Roman" w:hAnsi="Arial" w:cs="Arial" w:hint="default"/>
      </w:rPr>
    </w:lvl>
    <w:lvl w:ilvl="1" w:tplc="040C0003" w:tentative="1">
      <w:start w:val="1"/>
      <w:numFmt w:val="bullet"/>
      <w:lvlText w:val="o"/>
      <w:lvlJc w:val="left"/>
      <w:pPr>
        <w:ind w:left="1253" w:hanging="360"/>
      </w:pPr>
      <w:rPr>
        <w:rFonts w:ascii="Courier New" w:hAnsi="Courier New" w:hint="default"/>
      </w:rPr>
    </w:lvl>
    <w:lvl w:ilvl="2" w:tplc="040C0005" w:tentative="1">
      <w:start w:val="1"/>
      <w:numFmt w:val="bullet"/>
      <w:lvlText w:val=""/>
      <w:lvlJc w:val="left"/>
      <w:pPr>
        <w:ind w:left="1973" w:hanging="360"/>
      </w:pPr>
      <w:rPr>
        <w:rFonts w:ascii="Wingdings" w:hAnsi="Wingdings" w:hint="default"/>
      </w:rPr>
    </w:lvl>
    <w:lvl w:ilvl="3" w:tplc="040C0001" w:tentative="1">
      <w:start w:val="1"/>
      <w:numFmt w:val="bullet"/>
      <w:lvlText w:val=""/>
      <w:lvlJc w:val="left"/>
      <w:pPr>
        <w:ind w:left="2693" w:hanging="360"/>
      </w:pPr>
      <w:rPr>
        <w:rFonts w:ascii="Symbol" w:hAnsi="Symbol" w:hint="default"/>
      </w:rPr>
    </w:lvl>
    <w:lvl w:ilvl="4" w:tplc="040C0003" w:tentative="1">
      <w:start w:val="1"/>
      <w:numFmt w:val="bullet"/>
      <w:lvlText w:val="o"/>
      <w:lvlJc w:val="left"/>
      <w:pPr>
        <w:ind w:left="3413" w:hanging="360"/>
      </w:pPr>
      <w:rPr>
        <w:rFonts w:ascii="Courier New" w:hAnsi="Courier New" w:hint="default"/>
      </w:rPr>
    </w:lvl>
    <w:lvl w:ilvl="5" w:tplc="040C0005" w:tentative="1">
      <w:start w:val="1"/>
      <w:numFmt w:val="bullet"/>
      <w:lvlText w:val=""/>
      <w:lvlJc w:val="left"/>
      <w:pPr>
        <w:ind w:left="4133" w:hanging="360"/>
      </w:pPr>
      <w:rPr>
        <w:rFonts w:ascii="Wingdings" w:hAnsi="Wingdings" w:hint="default"/>
      </w:rPr>
    </w:lvl>
    <w:lvl w:ilvl="6" w:tplc="040C0001" w:tentative="1">
      <w:start w:val="1"/>
      <w:numFmt w:val="bullet"/>
      <w:lvlText w:val=""/>
      <w:lvlJc w:val="left"/>
      <w:pPr>
        <w:ind w:left="4853" w:hanging="360"/>
      </w:pPr>
      <w:rPr>
        <w:rFonts w:ascii="Symbol" w:hAnsi="Symbol" w:hint="default"/>
      </w:rPr>
    </w:lvl>
    <w:lvl w:ilvl="7" w:tplc="040C0003" w:tentative="1">
      <w:start w:val="1"/>
      <w:numFmt w:val="bullet"/>
      <w:lvlText w:val="o"/>
      <w:lvlJc w:val="left"/>
      <w:pPr>
        <w:ind w:left="5573" w:hanging="360"/>
      </w:pPr>
      <w:rPr>
        <w:rFonts w:ascii="Courier New" w:hAnsi="Courier New" w:hint="default"/>
      </w:rPr>
    </w:lvl>
    <w:lvl w:ilvl="8" w:tplc="040C0005" w:tentative="1">
      <w:start w:val="1"/>
      <w:numFmt w:val="bullet"/>
      <w:lvlText w:val=""/>
      <w:lvlJc w:val="left"/>
      <w:pPr>
        <w:ind w:left="6293" w:hanging="360"/>
      </w:pPr>
      <w:rPr>
        <w:rFonts w:ascii="Wingdings" w:hAnsi="Wingdings" w:hint="default"/>
      </w:rPr>
    </w:lvl>
  </w:abstractNum>
  <w:abstractNum w:abstractNumId="86">
    <w:nsid w:val="3FE03A0F"/>
    <w:multiLevelType w:val="hybridMultilevel"/>
    <w:tmpl w:val="61BE333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7">
    <w:nsid w:val="40275731"/>
    <w:multiLevelType w:val="hybridMultilevel"/>
    <w:tmpl w:val="924CF03E"/>
    <w:lvl w:ilvl="0" w:tplc="6E30C29C">
      <w:start w:val="1"/>
      <w:numFmt w:val="decimal"/>
      <w:lvlText w:val="31.%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8">
    <w:nsid w:val="40E7156C"/>
    <w:multiLevelType w:val="hybridMultilevel"/>
    <w:tmpl w:val="224E8446"/>
    <w:lvl w:ilvl="0" w:tplc="1AA0ABC2">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9">
    <w:nsid w:val="411F739B"/>
    <w:multiLevelType w:val="hybridMultilevel"/>
    <w:tmpl w:val="C81A3444"/>
    <w:lvl w:ilvl="0" w:tplc="1E1203C4">
      <w:start w:val="1"/>
      <w:numFmt w:val="decimal"/>
      <w:lvlText w:val="16.%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0">
    <w:nsid w:val="426E2EAE"/>
    <w:multiLevelType w:val="hybridMultilevel"/>
    <w:tmpl w:val="16CE3C8C"/>
    <w:lvl w:ilvl="0" w:tplc="DE4A5C86">
      <w:start w:val="7"/>
      <w:numFmt w:val="bullet"/>
      <w:lvlText w:val="-"/>
      <w:lvlJc w:val="left"/>
      <w:pPr>
        <w:ind w:left="360" w:hanging="360"/>
      </w:pPr>
      <w:rPr>
        <w:rFonts w:ascii="Arial" w:eastAsia="Times New Roman" w:hAnsi="Arial" w:cs="Aria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1">
    <w:nsid w:val="44954827"/>
    <w:multiLevelType w:val="hybridMultilevel"/>
    <w:tmpl w:val="A3C2D492"/>
    <w:lvl w:ilvl="0" w:tplc="1AA0ABC2">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2">
    <w:nsid w:val="450D473F"/>
    <w:multiLevelType w:val="hybridMultilevel"/>
    <w:tmpl w:val="E2AC7772"/>
    <w:lvl w:ilvl="0" w:tplc="712AC2B6">
      <w:start w:val="1"/>
      <w:numFmt w:val="decimal"/>
      <w:lvlText w:val="20.%1."/>
      <w:lvlJc w:val="left"/>
      <w:pPr>
        <w:ind w:left="720" w:hanging="360"/>
      </w:pPr>
      <w:rPr>
        <w:rFonts w:ascii="Arial" w:hAnsi="Arial" w:cs="Arial" w:hint="default"/>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3">
    <w:nsid w:val="450F0827"/>
    <w:multiLevelType w:val="hybridMultilevel"/>
    <w:tmpl w:val="75D4A0D8"/>
    <w:lvl w:ilvl="0" w:tplc="DE8A0844">
      <w:start w:val="1"/>
      <w:numFmt w:val="decimal"/>
      <w:lvlText w:val="5.%1."/>
      <w:lvlJc w:val="left"/>
      <w:pPr>
        <w:ind w:left="6598"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4">
    <w:nsid w:val="45FE5BD4"/>
    <w:multiLevelType w:val="hybridMultilevel"/>
    <w:tmpl w:val="A836D000"/>
    <w:lvl w:ilvl="0" w:tplc="1AA0ABC2">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5">
    <w:nsid w:val="461D03A5"/>
    <w:multiLevelType w:val="hybridMultilevel"/>
    <w:tmpl w:val="A6860030"/>
    <w:lvl w:ilvl="0" w:tplc="D3224CA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6">
    <w:nsid w:val="490C2843"/>
    <w:multiLevelType w:val="hybridMultilevel"/>
    <w:tmpl w:val="61BE333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7">
    <w:nsid w:val="4977170D"/>
    <w:multiLevelType w:val="hybridMultilevel"/>
    <w:tmpl w:val="ED2C5B10"/>
    <w:lvl w:ilvl="0" w:tplc="1AA0ABC2">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8">
    <w:nsid w:val="4A3213F3"/>
    <w:multiLevelType w:val="hybridMultilevel"/>
    <w:tmpl w:val="C9C6622C"/>
    <w:lvl w:ilvl="0" w:tplc="04090015">
      <w:start w:val="1"/>
      <w:numFmt w:val="upp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9">
    <w:nsid w:val="4A835AA1"/>
    <w:multiLevelType w:val="hybridMultilevel"/>
    <w:tmpl w:val="2222BDE0"/>
    <w:lvl w:ilvl="0" w:tplc="1AA0ABC2">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0">
    <w:nsid w:val="4AEF69E5"/>
    <w:multiLevelType w:val="hybridMultilevel"/>
    <w:tmpl w:val="2DEC4222"/>
    <w:lvl w:ilvl="0" w:tplc="BA144366">
      <w:start w:val="2"/>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1">
    <w:nsid w:val="4B025F33"/>
    <w:multiLevelType w:val="hybridMultilevel"/>
    <w:tmpl w:val="D8B677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2">
    <w:nsid w:val="4B6479D4"/>
    <w:multiLevelType w:val="hybridMultilevel"/>
    <w:tmpl w:val="B448BE3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3">
    <w:nsid w:val="4CED5FCF"/>
    <w:multiLevelType w:val="hybridMultilevel"/>
    <w:tmpl w:val="D960B3DA"/>
    <w:lvl w:ilvl="0" w:tplc="D22C8A48">
      <w:start w:val="1"/>
      <w:numFmt w:val="decimal"/>
      <w:lvlText w:val="11.%1."/>
      <w:lvlJc w:val="left"/>
      <w:pPr>
        <w:ind w:left="810" w:hanging="360"/>
      </w:pPr>
      <w:rPr>
        <w:rFonts w:ascii="Arial" w:hAnsi="Arial" w:cs="Arial" w:hint="default"/>
        <w:sz w:val="20"/>
        <w:szCs w:val="20"/>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104">
    <w:nsid w:val="5030080B"/>
    <w:multiLevelType w:val="hybridMultilevel"/>
    <w:tmpl w:val="96D289E8"/>
    <w:lvl w:ilvl="0" w:tplc="1AA0ABC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5">
    <w:nsid w:val="518A6B9D"/>
    <w:multiLevelType w:val="hybridMultilevel"/>
    <w:tmpl w:val="6BBCA6FA"/>
    <w:lvl w:ilvl="0" w:tplc="2D4AE1C4">
      <w:start w:val="1"/>
      <w:numFmt w:val="bullet"/>
      <w:lvlText w:val="-"/>
      <w:lvlJc w:val="left"/>
      <w:pPr>
        <w:ind w:left="360" w:hanging="360"/>
      </w:pPr>
      <w:rPr>
        <w:rFonts w:ascii="Courier New" w:hAnsi="Courier New"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6">
    <w:nsid w:val="5252687D"/>
    <w:multiLevelType w:val="hybridMultilevel"/>
    <w:tmpl w:val="F2E04444"/>
    <w:lvl w:ilvl="0" w:tplc="9BAC858C">
      <w:start w:val="1"/>
      <w:numFmt w:val="decimal"/>
      <w:lvlText w:val="7.%1"/>
      <w:lvlJc w:val="left"/>
      <w:pPr>
        <w:ind w:left="720" w:hanging="360"/>
      </w:pPr>
      <w:rPr>
        <w:rFonts w:ascii="Arial" w:hAnsi="Arial" w:cs="Arial" w:hint="default"/>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7">
    <w:nsid w:val="529B5A66"/>
    <w:multiLevelType w:val="hybridMultilevel"/>
    <w:tmpl w:val="12AA43F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8">
    <w:nsid w:val="54615C65"/>
    <w:multiLevelType w:val="hybridMultilevel"/>
    <w:tmpl w:val="26FA8C66"/>
    <w:lvl w:ilvl="0" w:tplc="63507EC8">
      <w:start w:val="1"/>
      <w:numFmt w:val="decimal"/>
      <w:lvlText w:val="24.%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9">
    <w:nsid w:val="55707975"/>
    <w:multiLevelType w:val="hybridMultilevel"/>
    <w:tmpl w:val="91FAA220"/>
    <w:lvl w:ilvl="0" w:tplc="22B84796">
      <w:start w:val="2014"/>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0">
    <w:nsid w:val="55A02C9F"/>
    <w:multiLevelType w:val="hybridMultilevel"/>
    <w:tmpl w:val="21CCFEF4"/>
    <w:lvl w:ilvl="0" w:tplc="B0BCA630">
      <w:start w:val="19"/>
      <w:numFmt w:val="bullet"/>
      <w:lvlText w:val="-"/>
      <w:lvlJc w:val="left"/>
      <w:pPr>
        <w:ind w:left="360" w:hanging="360"/>
      </w:pPr>
      <w:rPr>
        <w:rFonts w:ascii="Arial" w:eastAsia="Times New Roman" w:hAnsi="Arial" w:cs="Aria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1">
    <w:nsid w:val="55E7548C"/>
    <w:multiLevelType w:val="hybridMultilevel"/>
    <w:tmpl w:val="33E2E7AC"/>
    <w:lvl w:ilvl="0" w:tplc="1AA0ABC2">
      <w:start w:val="1"/>
      <w:numFmt w:val="bullet"/>
      <w:lvlText w:val=""/>
      <w:lvlJc w:val="left"/>
      <w:pPr>
        <w:ind w:left="720" w:hanging="360"/>
      </w:pPr>
      <w:rPr>
        <w:rFonts w:ascii="Symbol" w:hAnsi="Symbol" w:hint="default"/>
        <w:color w:val="1F497D" w:themeColor="text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2">
    <w:nsid w:val="56140B89"/>
    <w:multiLevelType w:val="hybridMultilevel"/>
    <w:tmpl w:val="6EA2DDF8"/>
    <w:lvl w:ilvl="0" w:tplc="D5583286">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3">
    <w:nsid w:val="5641547C"/>
    <w:multiLevelType w:val="hybridMultilevel"/>
    <w:tmpl w:val="08B8BB9C"/>
    <w:lvl w:ilvl="0" w:tplc="E4FC18EC">
      <w:start w:val="1"/>
      <w:numFmt w:val="decimal"/>
      <w:lvlText w:val="19.%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4">
    <w:nsid w:val="56F77FBA"/>
    <w:multiLevelType w:val="hybridMultilevel"/>
    <w:tmpl w:val="1F08F12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5">
    <w:nsid w:val="58370B29"/>
    <w:multiLevelType w:val="hybridMultilevel"/>
    <w:tmpl w:val="208604A8"/>
    <w:lvl w:ilvl="0" w:tplc="9FF03A6E">
      <w:start w:val="1"/>
      <w:numFmt w:val="decimal"/>
      <w:lvlText w:val="14.%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6">
    <w:nsid w:val="589D3AD1"/>
    <w:multiLevelType w:val="hybridMultilevel"/>
    <w:tmpl w:val="2F8A3AF2"/>
    <w:lvl w:ilvl="0" w:tplc="EDD0E678">
      <w:start w:val="1"/>
      <w:numFmt w:val="lowerLetter"/>
      <w:lvlText w:val="(%1)"/>
      <w:lvlJc w:val="left"/>
      <w:pPr>
        <w:ind w:left="720" w:hanging="360"/>
      </w:pPr>
      <w:rPr>
        <w:rFonts w:hint="default"/>
      </w:r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117">
    <w:nsid w:val="58AF0767"/>
    <w:multiLevelType w:val="hybridMultilevel"/>
    <w:tmpl w:val="50EE10F6"/>
    <w:lvl w:ilvl="0" w:tplc="10A60E36">
      <w:start w:val="1"/>
      <w:numFmt w:val="decimal"/>
      <w:lvlText w:val="12.%1"/>
      <w:lvlJc w:val="left"/>
      <w:pPr>
        <w:ind w:left="360" w:hanging="360"/>
      </w:pPr>
      <w:rPr>
        <w:rFonts w:hint="default"/>
        <w:sz w:val="2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8">
    <w:nsid w:val="58DE16A7"/>
    <w:multiLevelType w:val="hybridMultilevel"/>
    <w:tmpl w:val="F4FC0044"/>
    <w:lvl w:ilvl="0" w:tplc="C5D066B0">
      <w:start w:val="1"/>
      <w:numFmt w:val="decimal"/>
      <w:lvlText w:val="21.%1"/>
      <w:lvlJc w:val="left"/>
      <w:pPr>
        <w:ind w:left="720" w:hanging="360"/>
      </w:pPr>
      <w:rPr>
        <w:rFonts w:ascii="Arial" w:hAnsi="Arial" w:cs="Arial" w:hint="default"/>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9">
    <w:nsid w:val="5A232C8B"/>
    <w:multiLevelType w:val="hybridMultilevel"/>
    <w:tmpl w:val="38E8A43A"/>
    <w:lvl w:ilvl="0" w:tplc="75FA6534">
      <w:start w:val="1"/>
      <w:numFmt w:val="decimal"/>
      <w:lvlText w:val="%1."/>
      <w:lvlJc w:val="left"/>
      <w:pPr>
        <w:ind w:left="720" w:hanging="360"/>
      </w:pPr>
    </w:lvl>
    <w:lvl w:ilvl="1" w:tplc="DB503AA4">
      <w:start w:val="1"/>
      <w:numFmt w:val="lowerLetter"/>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0">
    <w:nsid w:val="5AE41D5E"/>
    <w:multiLevelType w:val="hybridMultilevel"/>
    <w:tmpl w:val="8AE059B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1">
    <w:nsid w:val="5C16756D"/>
    <w:multiLevelType w:val="hybridMultilevel"/>
    <w:tmpl w:val="6CB61330"/>
    <w:lvl w:ilvl="0" w:tplc="1AA0ABC2">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2">
    <w:nsid w:val="5D123CD6"/>
    <w:multiLevelType w:val="hybridMultilevel"/>
    <w:tmpl w:val="5C104AD8"/>
    <w:lvl w:ilvl="0" w:tplc="87009630">
      <w:start w:val="6"/>
      <w:numFmt w:val="bullet"/>
      <w:lvlText w:val="-"/>
      <w:lvlJc w:val="left"/>
      <w:pPr>
        <w:ind w:left="731" w:hanging="360"/>
      </w:pPr>
      <w:rPr>
        <w:rFonts w:ascii="Arial" w:eastAsia="Times New Roman" w:hAnsi="Arial" w:cs="Arial" w:hint="default"/>
      </w:rPr>
    </w:lvl>
    <w:lvl w:ilvl="1" w:tplc="04090003" w:tentative="1">
      <w:start w:val="1"/>
      <w:numFmt w:val="bullet"/>
      <w:lvlText w:val="o"/>
      <w:lvlJc w:val="left"/>
      <w:pPr>
        <w:ind w:left="1451" w:hanging="360"/>
      </w:pPr>
      <w:rPr>
        <w:rFonts w:ascii="Courier New" w:hAnsi="Courier New" w:cs="Courier New" w:hint="default"/>
      </w:rPr>
    </w:lvl>
    <w:lvl w:ilvl="2" w:tplc="04090005" w:tentative="1">
      <w:start w:val="1"/>
      <w:numFmt w:val="bullet"/>
      <w:lvlText w:val=""/>
      <w:lvlJc w:val="left"/>
      <w:pPr>
        <w:ind w:left="2171" w:hanging="360"/>
      </w:pPr>
      <w:rPr>
        <w:rFonts w:ascii="Wingdings" w:hAnsi="Wingdings" w:hint="default"/>
      </w:rPr>
    </w:lvl>
    <w:lvl w:ilvl="3" w:tplc="04090001" w:tentative="1">
      <w:start w:val="1"/>
      <w:numFmt w:val="bullet"/>
      <w:lvlText w:val=""/>
      <w:lvlJc w:val="left"/>
      <w:pPr>
        <w:ind w:left="2891" w:hanging="360"/>
      </w:pPr>
      <w:rPr>
        <w:rFonts w:ascii="Symbol" w:hAnsi="Symbol" w:hint="default"/>
      </w:rPr>
    </w:lvl>
    <w:lvl w:ilvl="4" w:tplc="04090003" w:tentative="1">
      <w:start w:val="1"/>
      <w:numFmt w:val="bullet"/>
      <w:lvlText w:val="o"/>
      <w:lvlJc w:val="left"/>
      <w:pPr>
        <w:ind w:left="3611" w:hanging="360"/>
      </w:pPr>
      <w:rPr>
        <w:rFonts w:ascii="Courier New" w:hAnsi="Courier New" w:cs="Courier New" w:hint="default"/>
      </w:rPr>
    </w:lvl>
    <w:lvl w:ilvl="5" w:tplc="04090005" w:tentative="1">
      <w:start w:val="1"/>
      <w:numFmt w:val="bullet"/>
      <w:lvlText w:val=""/>
      <w:lvlJc w:val="left"/>
      <w:pPr>
        <w:ind w:left="4331" w:hanging="360"/>
      </w:pPr>
      <w:rPr>
        <w:rFonts w:ascii="Wingdings" w:hAnsi="Wingdings" w:hint="default"/>
      </w:rPr>
    </w:lvl>
    <w:lvl w:ilvl="6" w:tplc="04090001" w:tentative="1">
      <w:start w:val="1"/>
      <w:numFmt w:val="bullet"/>
      <w:lvlText w:val=""/>
      <w:lvlJc w:val="left"/>
      <w:pPr>
        <w:ind w:left="5051" w:hanging="360"/>
      </w:pPr>
      <w:rPr>
        <w:rFonts w:ascii="Symbol" w:hAnsi="Symbol" w:hint="default"/>
      </w:rPr>
    </w:lvl>
    <w:lvl w:ilvl="7" w:tplc="04090003" w:tentative="1">
      <w:start w:val="1"/>
      <w:numFmt w:val="bullet"/>
      <w:lvlText w:val="o"/>
      <w:lvlJc w:val="left"/>
      <w:pPr>
        <w:ind w:left="5771" w:hanging="360"/>
      </w:pPr>
      <w:rPr>
        <w:rFonts w:ascii="Courier New" w:hAnsi="Courier New" w:cs="Courier New" w:hint="default"/>
      </w:rPr>
    </w:lvl>
    <w:lvl w:ilvl="8" w:tplc="04090005" w:tentative="1">
      <w:start w:val="1"/>
      <w:numFmt w:val="bullet"/>
      <w:lvlText w:val=""/>
      <w:lvlJc w:val="left"/>
      <w:pPr>
        <w:ind w:left="6491" w:hanging="360"/>
      </w:pPr>
      <w:rPr>
        <w:rFonts w:ascii="Wingdings" w:hAnsi="Wingdings" w:hint="default"/>
      </w:rPr>
    </w:lvl>
  </w:abstractNum>
  <w:abstractNum w:abstractNumId="123">
    <w:nsid w:val="5E203ED3"/>
    <w:multiLevelType w:val="hybridMultilevel"/>
    <w:tmpl w:val="0100DD74"/>
    <w:lvl w:ilvl="0" w:tplc="636457FE">
      <w:start w:val="1"/>
      <w:numFmt w:val="decimal"/>
      <w:lvlRestart w:val="0"/>
      <w:pStyle w:val="ListNumber"/>
      <w:lvlText w:val="03.%1."/>
      <w:lvlJc w:val="left"/>
      <w:pPr>
        <w:tabs>
          <w:tab w:val="num" w:pos="567"/>
        </w:tabs>
        <w:ind w:left="0" w:firstLine="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4">
    <w:nsid w:val="5EA93457"/>
    <w:multiLevelType w:val="hybridMultilevel"/>
    <w:tmpl w:val="333042DA"/>
    <w:lvl w:ilvl="0" w:tplc="1AA0ABC2">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5">
    <w:nsid w:val="5EFA5F3F"/>
    <w:multiLevelType w:val="hybridMultilevel"/>
    <w:tmpl w:val="9B90665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Tahoma"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Tahoma"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Tahoma"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6">
    <w:nsid w:val="60E16150"/>
    <w:multiLevelType w:val="hybridMultilevel"/>
    <w:tmpl w:val="FEB0664A"/>
    <w:lvl w:ilvl="0" w:tplc="81F2B812">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7">
    <w:nsid w:val="623029D2"/>
    <w:multiLevelType w:val="hybridMultilevel"/>
    <w:tmpl w:val="8F0AE39E"/>
    <w:lvl w:ilvl="0" w:tplc="0409000B">
      <w:start w:val="1"/>
      <w:numFmt w:val="decimal"/>
      <w:lvlRestart w:val="0"/>
      <w:lvlText w:val="03.%1."/>
      <w:lvlJc w:val="left"/>
      <w:pPr>
        <w:tabs>
          <w:tab w:val="num" w:pos="567"/>
        </w:tabs>
        <w:ind w:left="0" w:firstLine="0"/>
      </w:pPr>
      <w:rPr>
        <w:rFonts w:hint="default"/>
        <w:sz w:val="20"/>
      </w:r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128">
    <w:nsid w:val="62A804DC"/>
    <w:multiLevelType w:val="hybridMultilevel"/>
    <w:tmpl w:val="4D52A13C"/>
    <w:lvl w:ilvl="0" w:tplc="D4F8B0BA">
      <w:start w:val="1"/>
      <w:numFmt w:val="decimal"/>
      <w:lvlText w:val="5.%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9">
    <w:nsid w:val="63C00822"/>
    <w:multiLevelType w:val="hybridMultilevel"/>
    <w:tmpl w:val="7868B248"/>
    <w:lvl w:ilvl="0" w:tplc="F252CB60">
      <w:start w:val="1"/>
      <w:numFmt w:val="decimal"/>
      <w:lvlText w:val="1.%1"/>
      <w:lvlJc w:val="left"/>
      <w:pPr>
        <w:ind w:left="360" w:hanging="36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0">
    <w:nsid w:val="64055856"/>
    <w:multiLevelType w:val="hybridMultilevel"/>
    <w:tmpl w:val="DB5299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1">
    <w:nsid w:val="64DC190A"/>
    <w:multiLevelType w:val="hybridMultilevel"/>
    <w:tmpl w:val="DBD071DA"/>
    <w:lvl w:ilvl="0" w:tplc="DE4A5C86">
      <w:start w:val="7"/>
      <w:numFmt w:val="bullet"/>
      <w:lvlText w:val="-"/>
      <w:lvlJc w:val="left"/>
      <w:pPr>
        <w:ind w:left="360" w:hanging="360"/>
      </w:pPr>
      <w:rPr>
        <w:rFonts w:ascii="Arial" w:eastAsia="Times New Roman" w:hAnsi="Arial" w:cs="Aria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2">
    <w:nsid w:val="667313E9"/>
    <w:multiLevelType w:val="hybridMultilevel"/>
    <w:tmpl w:val="B8342FA2"/>
    <w:lvl w:ilvl="0" w:tplc="1AA0ABC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3">
    <w:nsid w:val="671966A3"/>
    <w:multiLevelType w:val="hybridMultilevel"/>
    <w:tmpl w:val="FD984FA8"/>
    <w:lvl w:ilvl="0" w:tplc="87009630">
      <w:start w:val="6"/>
      <w:numFmt w:val="bullet"/>
      <w:lvlText w:val="-"/>
      <w:lvlJc w:val="left"/>
      <w:pPr>
        <w:ind w:left="360" w:hanging="360"/>
      </w:pPr>
      <w:rPr>
        <w:rFonts w:ascii="Arial" w:eastAsia="Times New Roman" w:hAnsi="Arial" w:cs="Aria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4">
    <w:nsid w:val="67364E5C"/>
    <w:multiLevelType w:val="hybridMultilevel"/>
    <w:tmpl w:val="A8D2061E"/>
    <w:lvl w:ilvl="0" w:tplc="50B2493E">
      <w:start w:val="1"/>
      <w:numFmt w:val="lowerRoman"/>
      <w:lvlText w:val="(%1)"/>
      <w:lvlJc w:val="right"/>
      <w:pPr>
        <w:ind w:left="1440" w:hanging="360"/>
      </w:pPr>
      <w:rPr>
        <w:rFont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5">
    <w:nsid w:val="677D720E"/>
    <w:multiLevelType w:val="hybridMultilevel"/>
    <w:tmpl w:val="656AF448"/>
    <w:lvl w:ilvl="0" w:tplc="1AA0ABC2">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6">
    <w:nsid w:val="680300A9"/>
    <w:multiLevelType w:val="hybridMultilevel"/>
    <w:tmpl w:val="A6860030"/>
    <w:lvl w:ilvl="0" w:tplc="D3224CA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7">
    <w:nsid w:val="68321D13"/>
    <w:multiLevelType w:val="hybridMultilevel"/>
    <w:tmpl w:val="C0CCE232"/>
    <w:lvl w:ilvl="0" w:tplc="A250513C">
      <w:start w:val="1"/>
      <w:numFmt w:val="decimal"/>
      <w:lvlText w:val="31.%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8">
    <w:nsid w:val="6938645E"/>
    <w:multiLevelType w:val="multilevel"/>
    <w:tmpl w:val="0C9AF58C"/>
    <w:lvl w:ilvl="0">
      <w:start w:val="1"/>
      <w:numFmt w:val="decimal"/>
      <w:lvlRestart w:val="0"/>
      <w:pStyle w:val="ONUMFS"/>
      <w:lvlText w:val="%1."/>
      <w:lvlJc w:val="left"/>
      <w:pPr>
        <w:tabs>
          <w:tab w:val="num" w:pos="567"/>
        </w:tabs>
        <w:ind w:left="0" w:firstLine="0"/>
      </w:pPr>
    </w:lvl>
    <w:lvl w:ilvl="1">
      <w:start w:val="1"/>
      <w:numFmt w:val="lowerLetter"/>
      <w:lvlText w:val="%2)"/>
      <w:lvlJc w:val="left"/>
      <w:pPr>
        <w:tabs>
          <w:tab w:val="num" w:pos="1134"/>
        </w:tabs>
        <w:ind w:left="567" w:firstLine="0"/>
      </w:pPr>
    </w:lvl>
    <w:lvl w:ilvl="2">
      <w:start w:val="1"/>
      <w:numFmt w:val="lowerRoman"/>
      <w:lvlText w:val="%3)"/>
      <w:lvlJc w:val="left"/>
      <w:pPr>
        <w:tabs>
          <w:tab w:val="num" w:pos="1701"/>
        </w:tabs>
        <w:ind w:left="1134" w:firstLine="0"/>
      </w:pPr>
    </w:lvl>
    <w:lvl w:ilvl="3">
      <w:start w:val="1"/>
      <w:numFmt w:val="bullet"/>
      <w:lvlText w:val=""/>
      <w:lvlJc w:val="left"/>
      <w:pPr>
        <w:tabs>
          <w:tab w:val="num" w:pos="2268"/>
        </w:tabs>
        <w:ind w:left="1701" w:firstLine="0"/>
      </w:pPr>
    </w:lvl>
    <w:lvl w:ilvl="4">
      <w:start w:val="1"/>
      <w:numFmt w:val="bullet"/>
      <w:lvlText w:val=""/>
      <w:lvlJc w:val="left"/>
      <w:pPr>
        <w:tabs>
          <w:tab w:val="num" w:pos="2835"/>
        </w:tabs>
        <w:ind w:left="2268" w:firstLine="0"/>
      </w:pPr>
    </w:lvl>
    <w:lvl w:ilvl="5">
      <w:start w:val="1"/>
      <w:numFmt w:val="bullet"/>
      <w:lvlText w:val=""/>
      <w:lvlJc w:val="left"/>
      <w:pPr>
        <w:tabs>
          <w:tab w:val="num" w:pos="3402"/>
        </w:tabs>
        <w:ind w:left="2835" w:firstLine="0"/>
      </w:pPr>
    </w:lvl>
    <w:lvl w:ilvl="6">
      <w:start w:val="1"/>
      <w:numFmt w:val="bullet"/>
      <w:lvlText w:val=""/>
      <w:lvlJc w:val="left"/>
      <w:pPr>
        <w:tabs>
          <w:tab w:val="num" w:pos="3969"/>
        </w:tabs>
        <w:ind w:left="3402" w:firstLine="0"/>
      </w:pPr>
    </w:lvl>
    <w:lvl w:ilvl="7">
      <w:start w:val="1"/>
      <w:numFmt w:val="bullet"/>
      <w:lvlText w:val=""/>
      <w:lvlJc w:val="left"/>
      <w:pPr>
        <w:tabs>
          <w:tab w:val="num" w:pos="4535"/>
        </w:tabs>
        <w:ind w:left="3969" w:firstLine="0"/>
      </w:pPr>
    </w:lvl>
    <w:lvl w:ilvl="8">
      <w:start w:val="1"/>
      <w:numFmt w:val="bullet"/>
      <w:lvlText w:val=""/>
      <w:lvlJc w:val="left"/>
      <w:pPr>
        <w:tabs>
          <w:tab w:val="num" w:pos="5102"/>
        </w:tabs>
        <w:ind w:left="4535" w:firstLine="0"/>
      </w:pPr>
    </w:lvl>
  </w:abstractNum>
  <w:abstractNum w:abstractNumId="139">
    <w:nsid w:val="6A005E3D"/>
    <w:multiLevelType w:val="hybridMultilevel"/>
    <w:tmpl w:val="4822A66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0">
    <w:nsid w:val="6B643B61"/>
    <w:multiLevelType w:val="hybridMultilevel"/>
    <w:tmpl w:val="EB2CA3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1">
    <w:nsid w:val="6BAE3F18"/>
    <w:multiLevelType w:val="hybridMultilevel"/>
    <w:tmpl w:val="180A8A3A"/>
    <w:lvl w:ilvl="0" w:tplc="3342BADC">
      <w:start w:val="1"/>
      <w:numFmt w:val="decimal"/>
      <w:lvlText w:val="25.%1"/>
      <w:lvlJc w:val="left"/>
      <w:pPr>
        <w:ind w:left="720" w:hanging="360"/>
      </w:pPr>
      <w:rPr>
        <w:rFonts w:ascii="Arial" w:hAnsi="Arial" w:cs="Arial" w:hint="default"/>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2">
    <w:nsid w:val="6BEE66E5"/>
    <w:multiLevelType w:val="hybridMultilevel"/>
    <w:tmpl w:val="19067108"/>
    <w:lvl w:ilvl="0" w:tplc="1AA0ABC2">
      <w:start w:val="1"/>
      <w:numFmt w:val="bullet"/>
      <w:lvlText w:val=""/>
      <w:lvlJc w:val="left"/>
      <w:pPr>
        <w:ind w:left="780" w:hanging="360"/>
      </w:pPr>
      <w:rPr>
        <w:rFonts w:ascii="Symbol" w:hAnsi="Symbol" w:hint="default"/>
      </w:rPr>
    </w:lvl>
    <w:lvl w:ilvl="1" w:tplc="04090001">
      <w:start w:val="1"/>
      <w:numFmt w:val="bullet"/>
      <w:lvlText w:val=""/>
      <w:lvlJc w:val="left"/>
      <w:pPr>
        <w:ind w:left="1500" w:hanging="360"/>
      </w:pPr>
      <w:rPr>
        <w:rFonts w:ascii="Symbol" w:hAnsi="Symbol"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143">
    <w:nsid w:val="6BFC67D6"/>
    <w:multiLevelType w:val="hybridMultilevel"/>
    <w:tmpl w:val="7FE88666"/>
    <w:lvl w:ilvl="0" w:tplc="712AC2B6">
      <w:start w:val="1"/>
      <w:numFmt w:val="decimal"/>
      <w:lvlText w:val="20.%1."/>
      <w:lvlJc w:val="left"/>
      <w:pPr>
        <w:ind w:left="720" w:hanging="360"/>
      </w:pPr>
      <w:rPr>
        <w:rFonts w:ascii="Arial" w:hAnsi="Arial" w:cs="Arial" w:hint="default"/>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4">
    <w:nsid w:val="6D9418CC"/>
    <w:multiLevelType w:val="hybridMultilevel"/>
    <w:tmpl w:val="7E82E106"/>
    <w:lvl w:ilvl="0" w:tplc="1AA0ABC2">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5">
    <w:nsid w:val="70AC3B59"/>
    <w:multiLevelType w:val="hybridMultilevel"/>
    <w:tmpl w:val="1FD0C4F8"/>
    <w:lvl w:ilvl="0" w:tplc="1AA0ABC2">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6">
    <w:nsid w:val="71146A48"/>
    <w:multiLevelType w:val="hybridMultilevel"/>
    <w:tmpl w:val="32DC74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7">
    <w:nsid w:val="72376FFB"/>
    <w:multiLevelType w:val="multilevel"/>
    <w:tmpl w:val="12E4239A"/>
    <w:lvl w:ilvl="0">
      <w:start w:val="1"/>
      <w:numFmt w:val="bullet"/>
      <w:pStyle w:val="Tes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48">
    <w:nsid w:val="72475227"/>
    <w:multiLevelType w:val="hybridMultilevel"/>
    <w:tmpl w:val="BEF8ACD8"/>
    <w:lvl w:ilvl="0" w:tplc="DE4A5C86">
      <w:start w:val="7"/>
      <w:numFmt w:val="bullet"/>
      <w:lvlText w:val="-"/>
      <w:lvlJc w:val="left"/>
      <w:pPr>
        <w:ind w:left="360" w:hanging="360"/>
      </w:pPr>
      <w:rPr>
        <w:rFonts w:ascii="Arial" w:eastAsia="Times New Roman" w:hAnsi="Arial" w:cs="Arial" w:hint="default"/>
      </w:rPr>
    </w:lvl>
    <w:lvl w:ilvl="1" w:tplc="040C0003" w:tentative="1">
      <w:start w:val="1"/>
      <w:numFmt w:val="bullet"/>
      <w:lvlText w:val="o"/>
      <w:lvlJc w:val="left"/>
      <w:pPr>
        <w:ind w:left="1080" w:hanging="360"/>
      </w:pPr>
      <w:rPr>
        <w:rFonts w:ascii="Courier New" w:hAnsi="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49">
    <w:nsid w:val="73222A77"/>
    <w:multiLevelType w:val="hybridMultilevel"/>
    <w:tmpl w:val="BD700530"/>
    <w:lvl w:ilvl="0" w:tplc="1AA0ABC2">
      <w:start w:val="1"/>
      <w:numFmt w:val="bullet"/>
      <w:lvlText w:val=""/>
      <w:lvlJc w:val="left"/>
      <w:pPr>
        <w:tabs>
          <w:tab w:val="num" w:pos="794"/>
        </w:tabs>
        <w:ind w:left="794" w:hanging="397"/>
      </w:pPr>
      <w:rPr>
        <w:rFonts w:ascii="Symbol" w:hAnsi="Symbol" w:hint="default"/>
      </w:rPr>
    </w:lvl>
    <w:lvl w:ilvl="1" w:tplc="EA88E58A">
      <w:start w:val="1"/>
      <w:numFmt w:val="bullet"/>
      <w:lvlText w:val=""/>
      <w:lvlJc w:val="left"/>
      <w:pPr>
        <w:tabs>
          <w:tab w:val="num" w:pos="1990"/>
        </w:tabs>
        <w:ind w:left="1990" w:hanging="360"/>
      </w:pPr>
      <w:rPr>
        <w:rFonts w:ascii="Symbol" w:hAnsi="Symbol" w:hint="default"/>
        <w:color w:val="auto"/>
      </w:rPr>
    </w:lvl>
    <w:lvl w:ilvl="2" w:tplc="0409001B" w:tentative="1">
      <w:start w:val="1"/>
      <w:numFmt w:val="lowerRoman"/>
      <w:lvlText w:val="%3."/>
      <w:lvlJc w:val="right"/>
      <w:pPr>
        <w:tabs>
          <w:tab w:val="num" w:pos="2710"/>
        </w:tabs>
        <w:ind w:left="2710" w:hanging="180"/>
      </w:pPr>
    </w:lvl>
    <w:lvl w:ilvl="3" w:tplc="0409000F">
      <w:start w:val="1"/>
      <w:numFmt w:val="decimal"/>
      <w:lvlText w:val="%4."/>
      <w:lvlJc w:val="left"/>
      <w:pPr>
        <w:tabs>
          <w:tab w:val="num" w:pos="3430"/>
        </w:tabs>
        <w:ind w:left="3430" w:hanging="360"/>
      </w:pPr>
      <w:rPr>
        <w:rFonts w:hint="default"/>
      </w:rPr>
    </w:lvl>
    <w:lvl w:ilvl="4" w:tplc="04090019" w:tentative="1">
      <w:start w:val="1"/>
      <w:numFmt w:val="lowerLetter"/>
      <w:lvlText w:val="%5."/>
      <w:lvlJc w:val="left"/>
      <w:pPr>
        <w:tabs>
          <w:tab w:val="num" w:pos="4150"/>
        </w:tabs>
        <w:ind w:left="4150" w:hanging="360"/>
      </w:pPr>
    </w:lvl>
    <w:lvl w:ilvl="5" w:tplc="0409001B" w:tentative="1">
      <w:start w:val="1"/>
      <w:numFmt w:val="lowerRoman"/>
      <w:lvlText w:val="%6."/>
      <w:lvlJc w:val="right"/>
      <w:pPr>
        <w:tabs>
          <w:tab w:val="num" w:pos="4870"/>
        </w:tabs>
        <w:ind w:left="4870" w:hanging="180"/>
      </w:pPr>
    </w:lvl>
    <w:lvl w:ilvl="6" w:tplc="0409000F" w:tentative="1">
      <w:start w:val="1"/>
      <w:numFmt w:val="decimal"/>
      <w:lvlText w:val="%7."/>
      <w:lvlJc w:val="left"/>
      <w:pPr>
        <w:tabs>
          <w:tab w:val="num" w:pos="5590"/>
        </w:tabs>
        <w:ind w:left="5590" w:hanging="360"/>
      </w:pPr>
    </w:lvl>
    <w:lvl w:ilvl="7" w:tplc="04090019" w:tentative="1">
      <w:start w:val="1"/>
      <w:numFmt w:val="lowerLetter"/>
      <w:lvlText w:val="%8."/>
      <w:lvlJc w:val="left"/>
      <w:pPr>
        <w:tabs>
          <w:tab w:val="num" w:pos="6310"/>
        </w:tabs>
        <w:ind w:left="6310" w:hanging="360"/>
      </w:pPr>
    </w:lvl>
    <w:lvl w:ilvl="8" w:tplc="0409001B" w:tentative="1">
      <w:start w:val="1"/>
      <w:numFmt w:val="lowerRoman"/>
      <w:lvlText w:val="%9."/>
      <w:lvlJc w:val="right"/>
      <w:pPr>
        <w:tabs>
          <w:tab w:val="num" w:pos="7030"/>
        </w:tabs>
        <w:ind w:left="7030" w:hanging="180"/>
      </w:pPr>
    </w:lvl>
  </w:abstractNum>
  <w:abstractNum w:abstractNumId="150">
    <w:nsid w:val="733E68C7"/>
    <w:multiLevelType w:val="hybridMultilevel"/>
    <w:tmpl w:val="BB8A5216"/>
    <w:lvl w:ilvl="0" w:tplc="2130A91C">
      <w:numFmt w:val="bullet"/>
      <w:lvlText w:val="-"/>
      <w:lvlJc w:val="left"/>
      <w:pPr>
        <w:ind w:left="360" w:hanging="360"/>
      </w:pPr>
      <w:rPr>
        <w:rFonts w:ascii="Arial" w:eastAsia="SimSun" w:hAnsi="Arial" w:cs="Aria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1">
    <w:nsid w:val="73B6686E"/>
    <w:multiLevelType w:val="hybridMultilevel"/>
    <w:tmpl w:val="648014F8"/>
    <w:lvl w:ilvl="0" w:tplc="87009630">
      <w:start w:val="6"/>
      <w:numFmt w:val="bullet"/>
      <w:lvlText w:val="-"/>
      <w:lvlJc w:val="left"/>
      <w:pPr>
        <w:ind w:left="360" w:hanging="360"/>
      </w:pPr>
      <w:rPr>
        <w:rFonts w:ascii="Arial" w:eastAsia="Times New Roman" w:hAnsi="Arial" w:cs="Aria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2">
    <w:nsid w:val="73EF6FCB"/>
    <w:multiLevelType w:val="hybridMultilevel"/>
    <w:tmpl w:val="D94E09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3">
    <w:nsid w:val="74397032"/>
    <w:multiLevelType w:val="hybridMultilevel"/>
    <w:tmpl w:val="CE3EC29C"/>
    <w:lvl w:ilvl="0" w:tplc="92A6757A">
      <w:start w:val="1"/>
      <w:numFmt w:val="decimal"/>
      <w:lvlText w:val="6.%1."/>
      <w:lvlJc w:val="left"/>
      <w:pPr>
        <w:ind w:left="810" w:hanging="360"/>
      </w:pPr>
      <w:rPr>
        <w:rFonts w:ascii="Arial" w:hAnsi="Arial" w:cs="Arial" w:hint="default"/>
        <w:sz w:val="20"/>
        <w:szCs w:val="20"/>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154">
    <w:nsid w:val="745A662D"/>
    <w:multiLevelType w:val="hybridMultilevel"/>
    <w:tmpl w:val="63BA6656"/>
    <w:lvl w:ilvl="0" w:tplc="2C784CBE">
      <w:start w:val="1"/>
      <w:numFmt w:val="decimal"/>
      <w:pStyle w:val="Style1"/>
      <w:lvlText w:val="13.%1."/>
      <w:lvlJc w:val="left"/>
      <w:pPr>
        <w:ind w:left="720" w:hanging="360"/>
      </w:pPr>
      <w:rPr>
        <w:rFonts w:ascii="Arial" w:hAnsi="Arial" w:cs="Arial" w:hint="default"/>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5">
    <w:nsid w:val="7588458B"/>
    <w:multiLevelType w:val="multilevel"/>
    <w:tmpl w:val="305C8AE8"/>
    <w:lvl w:ilvl="0">
      <w:start w:val="9"/>
      <w:numFmt w:val="decimal"/>
      <w:lvlText w:val="%1."/>
      <w:lvlJc w:val="left"/>
      <w:pPr>
        <w:ind w:left="360" w:hanging="360"/>
      </w:pPr>
      <w:rPr>
        <w:rFonts w:hint="default"/>
      </w:rPr>
    </w:lvl>
    <w:lvl w:ilvl="1">
      <w:start w:val="1"/>
      <w:numFmt w:val="decimal"/>
      <w:lvlText w:val="%1.%2."/>
      <w:lvlJc w:val="left"/>
      <w:pPr>
        <w:ind w:left="0" w:firstLine="0"/>
      </w:pPr>
      <w:rPr>
        <w:rFonts w:hint="default"/>
        <w:b w: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6">
    <w:nsid w:val="75D11C28"/>
    <w:multiLevelType w:val="multilevel"/>
    <w:tmpl w:val="D86096B8"/>
    <w:lvl w:ilvl="0">
      <w:start w:val="1"/>
      <w:numFmt w:val="decimal"/>
      <w:lvlRestart w:val="0"/>
      <w:lvlText w:val="%1."/>
      <w:lvlJc w:val="left"/>
      <w:pPr>
        <w:tabs>
          <w:tab w:val="num" w:pos="567"/>
        </w:tabs>
        <w:ind w:left="0" w:firstLine="0"/>
      </w:pPr>
      <w:rPr>
        <w:b w:val="0"/>
      </w:rPr>
    </w:lvl>
    <w:lvl w:ilvl="1">
      <w:start w:val="1"/>
      <w:numFmt w:val="lowerLetter"/>
      <w:lvlText w:val="(%2)"/>
      <w:lvlJc w:val="left"/>
      <w:pPr>
        <w:tabs>
          <w:tab w:val="num" w:pos="1134"/>
        </w:tabs>
        <w:ind w:left="567" w:firstLine="0"/>
      </w:pPr>
    </w:lvl>
    <w:lvl w:ilvl="2">
      <w:start w:val="1"/>
      <w:numFmt w:val="lowerRoman"/>
      <w:lvlText w:val="(%3)"/>
      <w:lvlJc w:val="left"/>
      <w:pPr>
        <w:tabs>
          <w:tab w:val="num" w:pos="1701"/>
        </w:tabs>
        <w:ind w:left="1134" w:firstLine="0"/>
      </w:pPr>
    </w:lvl>
    <w:lvl w:ilvl="3">
      <w:start w:val="1"/>
      <w:numFmt w:val="bullet"/>
      <w:lvlText w:val=""/>
      <w:lvlJc w:val="left"/>
      <w:pPr>
        <w:tabs>
          <w:tab w:val="num" w:pos="2268"/>
        </w:tabs>
        <w:ind w:left="1701" w:firstLine="0"/>
      </w:pPr>
    </w:lvl>
    <w:lvl w:ilvl="4">
      <w:start w:val="1"/>
      <w:numFmt w:val="bullet"/>
      <w:lvlText w:val=""/>
      <w:lvlJc w:val="left"/>
      <w:pPr>
        <w:tabs>
          <w:tab w:val="num" w:pos="2835"/>
        </w:tabs>
        <w:ind w:left="2268" w:firstLine="0"/>
      </w:pPr>
    </w:lvl>
    <w:lvl w:ilvl="5">
      <w:start w:val="1"/>
      <w:numFmt w:val="bullet"/>
      <w:lvlText w:val=""/>
      <w:lvlJc w:val="left"/>
      <w:pPr>
        <w:tabs>
          <w:tab w:val="num" w:pos="3402"/>
        </w:tabs>
        <w:ind w:left="2835" w:firstLine="0"/>
      </w:pPr>
    </w:lvl>
    <w:lvl w:ilvl="6">
      <w:start w:val="1"/>
      <w:numFmt w:val="bullet"/>
      <w:lvlText w:val=""/>
      <w:lvlJc w:val="left"/>
      <w:pPr>
        <w:tabs>
          <w:tab w:val="num" w:pos="3969"/>
        </w:tabs>
        <w:ind w:left="3402" w:firstLine="0"/>
      </w:pPr>
    </w:lvl>
    <w:lvl w:ilvl="7">
      <w:start w:val="1"/>
      <w:numFmt w:val="bullet"/>
      <w:lvlText w:val=""/>
      <w:lvlJc w:val="left"/>
      <w:pPr>
        <w:tabs>
          <w:tab w:val="num" w:pos="4535"/>
        </w:tabs>
        <w:ind w:left="3969" w:firstLine="0"/>
      </w:pPr>
    </w:lvl>
    <w:lvl w:ilvl="8">
      <w:start w:val="1"/>
      <w:numFmt w:val="bullet"/>
      <w:lvlText w:val=""/>
      <w:lvlJc w:val="left"/>
      <w:pPr>
        <w:tabs>
          <w:tab w:val="num" w:pos="5102"/>
        </w:tabs>
        <w:ind w:left="4535" w:firstLine="0"/>
      </w:pPr>
    </w:lvl>
  </w:abstractNum>
  <w:abstractNum w:abstractNumId="157">
    <w:nsid w:val="77054D63"/>
    <w:multiLevelType w:val="hybridMultilevel"/>
    <w:tmpl w:val="B22A8138"/>
    <w:lvl w:ilvl="0" w:tplc="4F0CE326">
      <w:start w:val="1"/>
      <w:numFmt w:val="decimal"/>
      <w:lvlText w:val="27.%1"/>
      <w:lvlJc w:val="left"/>
      <w:pPr>
        <w:ind w:left="720" w:hanging="360"/>
      </w:pPr>
      <w:rPr>
        <w:rFonts w:hint="default"/>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8">
    <w:nsid w:val="77583041"/>
    <w:multiLevelType w:val="hybridMultilevel"/>
    <w:tmpl w:val="EC62EBB2"/>
    <w:lvl w:ilvl="0" w:tplc="616AAF6A">
      <w:start w:val="560"/>
      <w:numFmt w:val="bullet"/>
      <w:lvlText w:val="-"/>
      <w:lvlJc w:val="left"/>
      <w:pPr>
        <w:ind w:left="360" w:hanging="360"/>
      </w:pPr>
      <w:rPr>
        <w:rFonts w:ascii="Arial" w:eastAsiaTheme="minorHAnsi" w:hAnsi="Arial" w:cs="Aria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9">
    <w:nsid w:val="78A5226F"/>
    <w:multiLevelType w:val="hybridMultilevel"/>
    <w:tmpl w:val="8EE4259C"/>
    <w:lvl w:ilvl="0" w:tplc="DE4A5C86">
      <w:start w:val="7"/>
      <w:numFmt w:val="bullet"/>
      <w:lvlText w:val="-"/>
      <w:lvlJc w:val="left"/>
      <w:pPr>
        <w:ind w:left="360" w:hanging="360"/>
      </w:pPr>
      <w:rPr>
        <w:rFonts w:ascii="Arial" w:eastAsia="Times New Roman" w:hAnsi="Arial" w:cs="Aria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0">
    <w:nsid w:val="7A9C0334"/>
    <w:multiLevelType w:val="hybridMultilevel"/>
    <w:tmpl w:val="8AA8C8DE"/>
    <w:lvl w:ilvl="0" w:tplc="29AAD540">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1">
    <w:nsid w:val="7B9F54BC"/>
    <w:multiLevelType w:val="hybridMultilevel"/>
    <w:tmpl w:val="2EC80BE2"/>
    <w:lvl w:ilvl="0" w:tplc="06400788">
      <w:start w:val="1"/>
      <w:numFmt w:val="decimal"/>
      <w:lvlText w:val="15.%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2">
    <w:nsid w:val="7BAF4900"/>
    <w:multiLevelType w:val="hybridMultilevel"/>
    <w:tmpl w:val="F1B8CF6E"/>
    <w:lvl w:ilvl="0" w:tplc="42FC237E">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3">
    <w:nsid w:val="7C226849"/>
    <w:multiLevelType w:val="hybridMultilevel"/>
    <w:tmpl w:val="662656A8"/>
    <w:lvl w:ilvl="0" w:tplc="1AA0ABC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4">
    <w:nsid w:val="7CB87600"/>
    <w:multiLevelType w:val="hybridMultilevel"/>
    <w:tmpl w:val="B448BE3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5">
    <w:nsid w:val="7D4D5873"/>
    <w:multiLevelType w:val="hybridMultilevel"/>
    <w:tmpl w:val="5EDCA8DC"/>
    <w:lvl w:ilvl="0" w:tplc="0409001B">
      <w:start w:val="1"/>
      <w:numFmt w:val="lowerRoman"/>
      <w:lvlText w:val="%1."/>
      <w:lvlJc w:val="righ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6">
    <w:nsid w:val="7D916864"/>
    <w:multiLevelType w:val="hybridMultilevel"/>
    <w:tmpl w:val="483A6872"/>
    <w:lvl w:ilvl="0" w:tplc="F230E2B8">
      <w:start w:val="1"/>
      <w:numFmt w:val="decimal"/>
      <w:lvlText w:val="10.%1"/>
      <w:lvlJc w:val="left"/>
      <w:pPr>
        <w:ind w:left="3960" w:hanging="360"/>
      </w:pPr>
      <w:rPr>
        <w:rFonts w:hint="default"/>
        <w:sz w:val="20"/>
      </w:rPr>
    </w:lvl>
    <w:lvl w:ilvl="1" w:tplc="04090019" w:tentative="1">
      <w:start w:val="1"/>
      <w:numFmt w:val="lowerLetter"/>
      <w:lvlText w:val="%2."/>
      <w:lvlJc w:val="left"/>
      <w:pPr>
        <w:ind w:left="1710" w:hanging="360"/>
      </w:pPr>
    </w:lvl>
    <w:lvl w:ilvl="2" w:tplc="0409001B" w:tentative="1">
      <w:start w:val="1"/>
      <w:numFmt w:val="lowerRoman"/>
      <w:lvlText w:val="%3."/>
      <w:lvlJc w:val="right"/>
      <w:pPr>
        <w:ind w:left="2430" w:hanging="180"/>
      </w:pPr>
    </w:lvl>
    <w:lvl w:ilvl="3" w:tplc="0409000F" w:tentative="1">
      <w:start w:val="1"/>
      <w:numFmt w:val="decimal"/>
      <w:lvlText w:val="%4."/>
      <w:lvlJc w:val="left"/>
      <w:pPr>
        <w:ind w:left="3150" w:hanging="360"/>
      </w:pPr>
    </w:lvl>
    <w:lvl w:ilvl="4" w:tplc="04090019" w:tentative="1">
      <w:start w:val="1"/>
      <w:numFmt w:val="lowerLetter"/>
      <w:lvlText w:val="%5."/>
      <w:lvlJc w:val="left"/>
      <w:pPr>
        <w:ind w:left="3870" w:hanging="360"/>
      </w:pPr>
    </w:lvl>
    <w:lvl w:ilvl="5" w:tplc="0409001B" w:tentative="1">
      <w:start w:val="1"/>
      <w:numFmt w:val="lowerRoman"/>
      <w:lvlText w:val="%6."/>
      <w:lvlJc w:val="right"/>
      <w:pPr>
        <w:ind w:left="4590" w:hanging="180"/>
      </w:pPr>
    </w:lvl>
    <w:lvl w:ilvl="6" w:tplc="0409000F" w:tentative="1">
      <w:start w:val="1"/>
      <w:numFmt w:val="decimal"/>
      <w:lvlText w:val="%7."/>
      <w:lvlJc w:val="left"/>
      <w:pPr>
        <w:ind w:left="5310" w:hanging="360"/>
      </w:pPr>
    </w:lvl>
    <w:lvl w:ilvl="7" w:tplc="04090019" w:tentative="1">
      <w:start w:val="1"/>
      <w:numFmt w:val="lowerLetter"/>
      <w:lvlText w:val="%8."/>
      <w:lvlJc w:val="left"/>
      <w:pPr>
        <w:ind w:left="6030" w:hanging="360"/>
      </w:pPr>
    </w:lvl>
    <w:lvl w:ilvl="8" w:tplc="0409001B" w:tentative="1">
      <w:start w:val="1"/>
      <w:numFmt w:val="lowerRoman"/>
      <w:lvlText w:val="%9."/>
      <w:lvlJc w:val="right"/>
      <w:pPr>
        <w:ind w:left="6750" w:hanging="180"/>
      </w:pPr>
    </w:lvl>
  </w:abstractNum>
  <w:abstractNum w:abstractNumId="167">
    <w:nsid w:val="7DA6301D"/>
    <w:multiLevelType w:val="hybridMultilevel"/>
    <w:tmpl w:val="8DBCD8C6"/>
    <w:lvl w:ilvl="0" w:tplc="CCF0CE4A">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8">
    <w:nsid w:val="7E0549AC"/>
    <w:multiLevelType w:val="hybridMultilevel"/>
    <w:tmpl w:val="220EC26C"/>
    <w:lvl w:ilvl="0" w:tplc="04090001">
      <w:start w:val="1"/>
      <w:numFmt w:val="bullet"/>
      <w:lvlText w:val=""/>
      <w:lvlJc w:val="left"/>
      <w:pPr>
        <w:ind w:left="892" w:hanging="360"/>
      </w:pPr>
      <w:rPr>
        <w:rFonts w:ascii="Symbol" w:hAnsi="Symbol" w:hint="default"/>
      </w:rPr>
    </w:lvl>
    <w:lvl w:ilvl="1" w:tplc="04090003" w:tentative="1">
      <w:start w:val="1"/>
      <w:numFmt w:val="bullet"/>
      <w:lvlText w:val="o"/>
      <w:lvlJc w:val="left"/>
      <w:pPr>
        <w:ind w:left="1612" w:hanging="360"/>
      </w:pPr>
      <w:rPr>
        <w:rFonts w:ascii="Courier New" w:hAnsi="Courier New" w:cs="Courier New" w:hint="default"/>
      </w:rPr>
    </w:lvl>
    <w:lvl w:ilvl="2" w:tplc="04090005" w:tentative="1">
      <w:start w:val="1"/>
      <w:numFmt w:val="bullet"/>
      <w:lvlText w:val=""/>
      <w:lvlJc w:val="left"/>
      <w:pPr>
        <w:ind w:left="2332" w:hanging="360"/>
      </w:pPr>
      <w:rPr>
        <w:rFonts w:ascii="Wingdings" w:hAnsi="Wingdings" w:hint="default"/>
      </w:rPr>
    </w:lvl>
    <w:lvl w:ilvl="3" w:tplc="04090001" w:tentative="1">
      <w:start w:val="1"/>
      <w:numFmt w:val="bullet"/>
      <w:lvlText w:val=""/>
      <w:lvlJc w:val="left"/>
      <w:pPr>
        <w:ind w:left="3052" w:hanging="360"/>
      </w:pPr>
      <w:rPr>
        <w:rFonts w:ascii="Symbol" w:hAnsi="Symbol" w:hint="default"/>
      </w:rPr>
    </w:lvl>
    <w:lvl w:ilvl="4" w:tplc="04090003" w:tentative="1">
      <w:start w:val="1"/>
      <w:numFmt w:val="bullet"/>
      <w:lvlText w:val="o"/>
      <w:lvlJc w:val="left"/>
      <w:pPr>
        <w:ind w:left="3772" w:hanging="360"/>
      </w:pPr>
      <w:rPr>
        <w:rFonts w:ascii="Courier New" w:hAnsi="Courier New" w:cs="Courier New" w:hint="default"/>
      </w:rPr>
    </w:lvl>
    <w:lvl w:ilvl="5" w:tplc="04090005" w:tentative="1">
      <w:start w:val="1"/>
      <w:numFmt w:val="bullet"/>
      <w:lvlText w:val=""/>
      <w:lvlJc w:val="left"/>
      <w:pPr>
        <w:ind w:left="4492" w:hanging="360"/>
      </w:pPr>
      <w:rPr>
        <w:rFonts w:ascii="Wingdings" w:hAnsi="Wingdings" w:hint="default"/>
      </w:rPr>
    </w:lvl>
    <w:lvl w:ilvl="6" w:tplc="04090001" w:tentative="1">
      <w:start w:val="1"/>
      <w:numFmt w:val="bullet"/>
      <w:lvlText w:val=""/>
      <w:lvlJc w:val="left"/>
      <w:pPr>
        <w:ind w:left="5212" w:hanging="360"/>
      </w:pPr>
      <w:rPr>
        <w:rFonts w:ascii="Symbol" w:hAnsi="Symbol" w:hint="default"/>
      </w:rPr>
    </w:lvl>
    <w:lvl w:ilvl="7" w:tplc="04090003" w:tentative="1">
      <w:start w:val="1"/>
      <w:numFmt w:val="bullet"/>
      <w:lvlText w:val="o"/>
      <w:lvlJc w:val="left"/>
      <w:pPr>
        <w:ind w:left="5932" w:hanging="360"/>
      </w:pPr>
      <w:rPr>
        <w:rFonts w:ascii="Courier New" w:hAnsi="Courier New" w:cs="Courier New" w:hint="default"/>
      </w:rPr>
    </w:lvl>
    <w:lvl w:ilvl="8" w:tplc="04090005" w:tentative="1">
      <w:start w:val="1"/>
      <w:numFmt w:val="bullet"/>
      <w:lvlText w:val=""/>
      <w:lvlJc w:val="left"/>
      <w:pPr>
        <w:ind w:left="6652" w:hanging="360"/>
      </w:pPr>
      <w:rPr>
        <w:rFonts w:ascii="Wingdings" w:hAnsi="Wingdings" w:hint="default"/>
      </w:rPr>
    </w:lvl>
  </w:abstractNum>
  <w:abstractNum w:abstractNumId="169">
    <w:nsid w:val="7E43321F"/>
    <w:multiLevelType w:val="hybridMultilevel"/>
    <w:tmpl w:val="22C6762C"/>
    <w:lvl w:ilvl="0" w:tplc="D5583286">
      <w:start w:val="1"/>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0">
    <w:nsid w:val="7E5A0FB5"/>
    <w:multiLevelType w:val="hybridMultilevel"/>
    <w:tmpl w:val="70948022"/>
    <w:lvl w:ilvl="0" w:tplc="1AA0ABC2">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171">
    <w:nsid w:val="7E8D34AF"/>
    <w:multiLevelType w:val="hybridMultilevel"/>
    <w:tmpl w:val="3BF46F1C"/>
    <w:lvl w:ilvl="0" w:tplc="04090015">
      <w:start w:val="1"/>
      <w:numFmt w:val="upperLetter"/>
      <w:lvlText w:val="%1."/>
      <w:lvlJc w:val="left"/>
      <w:pPr>
        <w:ind w:left="360" w:hanging="360"/>
      </w:pPr>
      <w:rPr>
        <w:rFonts w:hint="default"/>
        <w:u w:val="none"/>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2">
    <w:nsid w:val="7F9425B3"/>
    <w:multiLevelType w:val="hybridMultilevel"/>
    <w:tmpl w:val="0C58CFE6"/>
    <w:lvl w:ilvl="0" w:tplc="712AC2B6">
      <w:start w:val="1"/>
      <w:numFmt w:val="decimal"/>
      <w:lvlText w:val="20.%1."/>
      <w:lvlJc w:val="left"/>
      <w:pPr>
        <w:ind w:left="720" w:hanging="360"/>
      </w:pPr>
      <w:rPr>
        <w:rFonts w:ascii="Arial" w:hAnsi="Arial" w:cs="Arial" w:hint="default"/>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3">
    <w:nsid w:val="7FC21B01"/>
    <w:multiLevelType w:val="hybridMultilevel"/>
    <w:tmpl w:val="75AA88A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0"/>
  </w:num>
  <w:num w:numId="2">
    <w:abstractNumId w:val="154"/>
  </w:num>
  <w:num w:numId="3">
    <w:abstractNumId w:val="138"/>
  </w:num>
  <w:num w:numId="4">
    <w:abstractNumId w:val="123"/>
  </w:num>
  <w:num w:numId="5">
    <w:abstractNumId w:val="75"/>
  </w:num>
  <w:num w:numId="6">
    <w:abstractNumId w:val="58"/>
  </w:num>
  <w:num w:numId="7">
    <w:abstractNumId w:val="126"/>
  </w:num>
  <w:num w:numId="8">
    <w:abstractNumId w:val="161"/>
  </w:num>
  <w:num w:numId="9">
    <w:abstractNumId w:val="147"/>
  </w:num>
  <w:num w:numId="10">
    <w:abstractNumId w:val="129"/>
  </w:num>
  <w:num w:numId="11">
    <w:abstractNumId w:val="38"/>
  </w:num>
  <w:num w:numId="12">
    <w:abstractNumId w:val="106"/>
  </w:num>
  <w:num w:numId="13">
    <w:abstractNumId w:val="151"/>
  </w:num>
  <w:num w:numId="14">
    <w:abstractNumId w:val="133"/>
  </w:num>
  <w:num w:numId="15">
    <w:abstractNumId w:val="122"/>
  </w:num>
  <w:num w:numId="16">
    <w:abstractNumId w:val="17"/>
  </w:num>
  <w:num w:numId="17">
    <w:abstractNumId w:val="89"/>
  </w:num>
  <w:num w:numId="18">
    <w:abstractNumId w:val="47"/>
  </w:num>
  <w:num w:numId="19">
    <w:abstractNumId w:val="3"/>
  </w:num>
  <w:num w:numId="20">
    <w:abstractNumId w:val="49"/>
  </w:num>
  <w:num w:numId="21">
    <w:abstractNumId w:val="60"/>
  </w:num>
  <w:num w:numId="22">
    <w:abstractNumId w:val="13"/>
  </w:num>
  <w:num w:numId="23">
    <w:abstractNumId w:val="100"/>
  </w:num>
  <w:num w:numId="24">
    <w:abstractNumId w:val="128"/>
  </w:num>
  <w:num w:numId="25">
    <w:abstractNumId w:val="83"/>
  </w:num>
  <w:num w:numId="26">
    <w:abstractNumId w:val="18"/>
  </w:num>
  <w:num w:numId="27">
    <w:abstractNumId w:val="158"/>
  </w:num>
  <w:num w:numId="28">
    <w:abstractNumId w:val="117"/>
  </w:num>
  <w:num w:numId="29">
    <w:abstractNumId w:val="56"/>
  </w:num>
  <w:num w:numId="30">
    <w:abstractNumId w:val="144"/>
  </w:num>
  <w:num w:numId="31">
    <w:abstractNumId w:val="145"/>
  </w:num>
  <w:num w:numId="32">
    <w:abstractNumId w:val="61"/>
  </w:num>
  <w:num w:numId="33">
    <w:abstractNumId w:val="15"/>
  </w:num>
  <w:num w:numId="34">
    <w:abstractNumId w:val="118"/>
  </w:num>
  <w:num w:numId="35">
    <w:abstractNumId w:val="104"/>
  </w:num>
  <w:num w:numId="36">
    <w:abstractNumId w:val="44"/>
  </w:num>
  <w:num w:numId="37">
    <w:abstractNumId w:val="36"/>
  </w:num>
  <w:num w:numId="38">
    <w:abstractNumId w:val="87"/>
  </w:num>
  <w:num w:numId="39">
    <w:abstractNumId w:val="63"/>
  </w:num>
  <w:num w:numId="40">
    <w:abstractNumId w:val="78"/>
  </w:num>
  <w:num w:numId="41">
    <w:abstractNumId w:val="130"/>
  </w:num>
  <w:num w:numId="42">
    <w:abstractNumId w:val="7"/>
  </w:num>
  <w:num w:numId="43">
    <w:abstractNumId w:val="139"/>
  </w:num>
  <w:num w:numId="44">
    <w:abstractNumId w:val="39"/>
  </w:num>
  <w:num w:numId="45">
    <w:abstractNumId w:val="27"/>
  </w:num>
  <w:num w:numId="46">
    <w:abstractNumId w:val="168"/>
  </w:num>
  <w:num w:numId="47">
    <w:abstractNumId w:val="21"/>
  </w:num>
  <w:num w:numId="48">
    <w:abstractNumId w:val="141"/>
  </w:num>
  <w:num w:numId="49">
    <w:abstractNumId w:val="171"/>
  </w:num>
  <w:num w:numId="50">
    <w:abstractNumId w:val="85"/>
  </w:num>
  <w:num w:numId="51">
    <w:abstractNumId w:val="9"/>
  </w:num>
  <w:num w:numId="52">
    <w:abstractNumId w:val="116"/>
  </w:num>
  <w:num w:numId="53">
    <w:abstractNumId w:val="67"/>
  </w:num>
  <w:num w:numId="54">
    <w:abstractNumId w:val="125"/>
  </w:num>
  <w:num w:numId="55">
    <w:abstractNumId w:val="22"/>
  </w:num>
  <w:num w:numId="56">
    <w:abstractNumId w:val="11"/>
  </w:num>
  <w:num w:numId="57">
    <w:abstractNumId w:val="64"/>
  </w:num>
  <w:num w:numId="58">
    <w:abstractNumId w:val="16"/>
  </w:num>
  <w:num w:numId="59">
    <w:abstractNumId w:val="43"/>
  </w:num>
  <w:num w:numId="60">
    <w:abstractNumId w:val="59"/>
  </w:num>
  <w:num w:numId="61">
    <w:abstractNumId w:val="148"/>
  </w:num>
  <w:num w:numId="62">
    <w:abstractNumId w:val="32"/>
  </w:num>
  <w:num w:numId="63">
    <w:abstractNumId w:val="113"/>
  </w:num>
  <w:num w:numId="64">
    <w:abstractNumId w:val="159"/>
  </w:num>
  <w:num w:numId="65">
    <w:abstractNumId w:val="0"/>
  </w:num>
  <w:num w:numId="66">
    <w:abstractNumId w:val="108"/>
  </w:num>
  <w:num w:numId="67">
    <w:abstractNumId w:val="110"/>
  </w:num>
  <w:num w:numId="68">
    <w:abstractNumId w:val="51"/>
  </w:num>
  <w:num w:numId="69">
    <w:abstractNumId w:val="79"/>
  </w:num>
  <w:num w:numId="70">
    <w:abstractNumId w:val="40"/>
  </w:num>
  <w:num w:numId="71">
    <w:abstractNumId w:val="105"/>
  </w:num>
  <w:num w:numId="72">
    <w:abstractNumId w:val="28"/>
  </w:num>
  <w:num w:numId="73">
    <w:abstractNumId w:val="157"/>
  </w:num>
  <w:num w:numId="74">
    <w:abstractNumId w:val="84"/>
  </w:num>
  <w:num w:numId="75">
    <w:abstractNumId w:val="82"/>
  </w:num>
  <w:num w:numId="76">
    <w:abstractNumId w:val="166"/>
  </w:num>
  <w:num w:numId="77">
    <w:abstractNumId w:val="10"/>
  </w:num>
  <w:num w:numId="78">
    <w:abstractNumId w:val="2"/>
  </w:num>
  <w:num w:numId="79">
    <w:abstractNumId w:val="68"/>
  </w:num>
  <w:num w:numId="80">
    <w:abstractNumId w:val="91"/>
  </w:num>
  <w:num w:numId="81">
    <w:abstractNumId w:val="35"/>
  </w:num>
  <w:num w:numId="82">
    <w:abstractNumId w:val="115"/>
  </w:num>
  <w:num w:numId="83">
    <w:abstractNumId w:val="124"/>
  </w:num>
  <w:num w:numId="84">
    <w:abstractNumId w:val="103"/>
  </w:num>
  <w:num w:numId="85">
    <w:abstractNumId w:val="109"/>
  </w:num>
  <w:num w:numId="86">
    <w:abstractNumId w:val="98"/>
  </w:num>
  <w:num w:numId="87">
    <w:abstractNumId w:val="121"/>
  </w:num>
  <w:num w:numId="88">
    <w:abstractNumId w:val="72"/>
  </w:num>
  <w:num w:numId="89">
    <w:abstractNumId w:val="74"/>
  </w:num>
  <w:num w:numId="90">
    <w:abstractNumId w:val="31"/>
  </w:num>
  <w:num w:numId="91">
    <w:abstractNumId w:val="30"/>
  </w:num>
  <w:num w:numId="92">
    <w:abstractNumId w:val="156"/>
  </w:num>
  <w:num w:numId="93">
    <w:abstractNumId w:val="30"/>
  </w:num>
  <w:num w:numId="94">
    <w:abstractNumId w:val="153"/>
  </w:num>
  <w:num w:numId="95">
    <w:abstractNumId w:val="41"/>
  </w:num>
  <w:num w:numId="96">
    <w:abstractNumId w:val="12"/>
  </w:num>
  <w:num w:numId="97">
    <w:abstractNumId w:val="45"/>
  </w:num>
  <w:num w:numId="98">
    <w:abstractNumId w:val="46"/>
  </w:num>
  <w:num w:numId="99">
    <w:abstractNumId w:val="37"/>
  </w:num>
  <w:num w:numId="100">
    <w:abstractNumId w:val="146"/>
  </w:num>
  <w:num w:numId="101">
    <w:abstractNumId w:val="71"/>
  </w:num>
  <w:num w:numId="102">
    <w:abstractNumId w:val="152"/>
  </w:num>
  <w:num w:numId="103">
    <w:abstractNumId w:val="173"/>
  </w:num>
  <w:num w:numId="104">
    <w:abstractNumId w:val="119"/>
  </w:num>
  <w:num w:numId="105">
    <w:abstractNumId w:val="101"/>
  </w:num>
  <w:num w:numId="106">
    <w:abstractNumId w:val="23"/>
  </w:num>
  <w:num w:numId="107">
    <w:abstractNumId w:val="140"/>
  </w:num>
  <w:num w:numId="108">
    <w:abstractNumId w:val="1"/>
  </w:num>
  <w:num w:numId="109">
    <w:abstractNumId w:val="155"/>
  </w:num>
  <w:num w:numId="110">
    <w:abstractNumId w:val="57"/>
  </w:num>
  <w:num w:numId="111">
    <w:abstractNumId w:val="131"/>
  </w:num>
  <w:num w:numId="112">
    <w:abstractNumId w:val="69"/>
  </w:num>
  <w:num w:numId="113">
    <w:abstractNumId w:val="107"/>
  </w:num>
  <w:num w:numId="114">
    <w:abstractNumId w:val="95"/>
  </w:num>
  <w:num w:numId="115">
    <w:abstractNumId w:val="136"/>
  </w:num>
  <w:num w:numId="116">
    <w:abstractNumId w:val="4"/>
  </w:num>
  <w:num w:numId="117">
    <w:abstractNumId w:val="156"/>
    <w:lvlOverride w:ilvl="0">
      <w:startOverride w:val="2"/>
    </w:lvlOverride>
    <w:lvlOverride w:ilvl="1">
      <w:startOverride w:val="2"/>
    </w:lvlOverride>
    <w:lvlOverride w:ilvl="2">
      <w:startOverride w:val="3"/>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8">
    <w:abstractNumId w:val="156"/>
    <w:lvlOverride w:ilvl="0">
      <w:startOverride w:val="2"/>
    </w:lvlOverride>
    <w:lvlOverride w:ilvl="1">
      <w:startOverride w:val="3"/>
    </w:lvlOverride>
    <w:lvlOverride w:ilvl="2">
      <w:startOverride w:val="7"/>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9">
    <w:abstractNumId w:val="70"/>
  </w:num>
  <w:num w:numId="120">
    <w:abstractNumId w:val="62"/>
  </w:num>
  <w:num w:numId="121">
    <w:abstractNumId w:val="111"/>
  </w:num>
  <w:num w:numId="122">
    <w:abstractNumId w:val="48"/>
  </w:num>
  <w:num w:numId="123">
    <w:abstractNumId w:val="42"/>
  </w:num>
  <w:num w:numId="124">
    <w:abstractNumId w:val="77"/>
  </w:num>
  <w:num w:numId="125">
    <w:abstractNumId w:val="66"/>
  </w:num>
  <w:num w:numId="126">
    <w:abstractNumId w:val="24"/>
  </w:num>
  <w:num w:numId="127">
    <w:abstractNumId w:val="167"/>
  </w:num>
  <w:num w:numId="128">
    <w:abstractNumId w:val="142"/>
  </w:num>
  <w:num w:numId="129">
    <w:abstractNumId w:val="96"/>
  </w:num>
  <w:num w:numId="130">
    <w:abstractNumId w:val="86"/>
  </w:num>
  <w:num w:numId="131">
    <w:abstractNumId w:val="34"/>
  </w:num>
  <w:num w:numId="132">
    <w:abstractNumId w:val="14"/>
  </w:num>
  <w:num w:numId="133">
    <w:abstractNumId w:val="120"/>
  </w:num>
  <w:num w:numId="134">
    <w:abstractNumId w:val="19"/>
  </w:num>
  <w:num w:numId="135">
    <w:abstractNumId w:val="102"/>
  </w:num>
  <w:num w:numId="136">
    <w:abstractNumId w:val="164"/>
  </w:num>
  <w:num w:numId="137">
    <w:abstractNumId w:val="81"/>
  </w:num>
  <w:num w:numId="138">
    <w:abstractNumId w:val="163"/>
  </w:num>
  <w:num w:numId="139">
    <w:abstractNumId w:val="53"/>
  </w:num>
  <w:num w:numId="140">
    <w:abstractNumId w:val="162"/>
  </w:num>
  <w:num w:numId="141">
    <w:abstractNumId w:val="132"/>
  </w:num>
  <w:num w:numId="142">
    <w:abstractNumId w:val="20"/>
  </w:num>
  <w:num w:numId="143">
    <w:abstractNumId w:val="112"/>
  </w:num>
  <w:num w:numId="144">
    <w:abstractNumId w:val="156"/>
    <w:lvlOverride w:ilvl="0">
      <w:startOverride w:val="1"/>
    </w:lvlOverride>
    <w:lvlOverride w:ilvl="1">
      <w:startOverride w:val="1"/>
    </w:lvlOverride>
    <w:lvlOverride w:ilvl="2">
      <w:startOverride w:val="1"/>
    </w:lvlOverride>
    <w:lvlOverride w:ilvl="3"/>
    <w:lvlOverride w:ilvl="4"/>
    <w:lvlOverride w:ilvl="5"/>
    <w:lvlOverride w:ilvl="6"/>
    <w:lvlOverride w:ilvl="7"/>
    <w:lvlOverride w:ilvl="8"/>
  </w:num>
  <w:num w:numId="145">
    <w:abstractNumId w:val="156"/>
    <w:lvlOverride w:ilvl="0">
      <w:startOverride w:val="2"/>
    </w:lvlOverride>
    <w:lvlOverride w:ilvl="1">
      <w:startOverride w:val="2"/>
    </w:lvlOverride>
    <w:lvlOverride w:ilvl="2">
      <w:startOverride w:val="3"/>
    </w:lvlOverride>
    <w:lvlOverride w:ilvl="3"/>
    <w:lvlOverride w:ilvl="4"/>
    <w:lvlOverride w:ilvl="5"/>
    <w:lvlOverride w:ilvl="6"/>
    <w:lvlOverride w:ilvl="7"/>
    <w:lvlOverride w:ilvl="8"/>
  </w:num>
  <w:num w:numId="146">
    <w:abstractNumId w:val="156"/>
    <w:lvlOverride w:ilvl="0">
      <w:startOverride w:val="2"/>
    </w:lvlOverride>
    <w:lvlOverride w:ilvl="1">
      <w:startOverride w:val="3"/>
    </w:lvlOverride>
    <w:lvlOverride w:ilvl="2">
      <w:startOverride w:val="7"/>
    </w:lvlOverride>
    <w:lvlOverride w:ilvl="3"/>
    <w:lvlOverride w:ilvl="4"/>
    <w:lvlOverride w:ilvl="5"/>
    <w:lvlOverride w:ilvl="6"/>
    <w:lvlOverride w:ilvl="7"/>
    <w:lvlOverride w:ilvl="8"/>
  </w:num>
  <w:num w:numId="147">
    <w:abstractNumId w:val="25"/>
  </w:num>
  <w:num w:numId="148">
    <w:abstractNumId w:val="76"/>
  </w:num>
  <w:num w:numId="149">
    <w:abstractNumId w:val="169"/>
  </w:num>
  <w:num w:numId="150">
    <w:abstractNumId w:val="150"/>
  </w:num>
  <w:num w:numId="151">
    <w:abstractNumId w:val="160"/>
  </w:num>
  <w:num w:numId="152">
    <w:abstractNumId w:val="6"/>
  </w:num>
  <w:num w:numId="153">
    <w:abstractNumId w:val="94"/>
  </w:num>
  <w:num w:numId="154">
    <w:abstractNumId w:val="54"/>
  </w:num>
  <w:num w:numId="155">
    <w:abstractNumId w:val="50"/>
  </w:num>
  <w:num w:numId="156">
    <w:abstractNumId w:val="170"/>
  </w:num>
  <w:num w:numId="157">
    <w:abstractNumId w:val="8"/>
  </w:num>
  <w:num w:numId="158">
    <w:abstractNumId w:val="55"/>
  </w:num>
  <w:num w:numId="159">
    <w:abstractNumId w:val="88"/>
  </w:num>
  <w:num w:numId="160">
    <w:abstractNumId w:val="73"/>
  </w:num>
  <w:num w:numId="161">
    <w:abstractNumId w:val="97"/>
  </w:num>
  <w:num w:numId="162">
    <w:abstractNumId w:val="33"/>
  </w:num>
  <w:num w:numId="163">
    <w:abstractNumId w:val="135"/>
  </w:num>
  <w:num w:numId="164">
    <w:abstractNumId w:val="80"/>
  </w:num>
  <w:num w:numId="165">
    <w:abstractNumId w:val="143"/>
  </w:num>
  <w:num w:numId="166">
    <w:abstractNumId w:val="92"/>
  </w:num>
  <w:num w:numId="167">
    <w:abstractNumId w:val="172"/>
  </w:num>
  <w:num w:numId="168">
    <w:abstractNumId w:val="65"/>
  </w:num>
  <w:num w:numId="169">
    <w:abstractNumId w:val="90"/>
  </w:num>
  <w:num w:numId="170">
    <w:abstractNumId w:val="99"/>
  </w:num>
  <w:num w:numId="171">
    <w:abstractNumId w:val="127"/>
  </w:num>
  <w:num w:numId="172">
    <w:abstractNumId w:val="26"/>
  </w:num>
  <w:num w:numId="173">
    <w:abstractNumId w:val="134"/>
  </w:num>
  <w:num w:numId="174">
    <w:abstractNumId w:val="149"/>
  </w:num>
  <w:num w:numId="175">
    <w:abstractNumId w:val="52"/>
  </w:num>
  <w:num w:numId="176">
    <w:abstractNumId w:val="29"/>
  </w:num>
  <w:num w:numId="177">
    <w:abstractNumId w:val="165"/>
  </w:num>
  <w:num w:numId="178">
    <w:abstractNumId w:val="93"/>
  </w:num>
  <w:num w:numId="179">
    <w:abstractNumId w:val="137"/>
  </w:num>
  <w:num w:numId="180">
    <w:abstractNumId w:val="5"/>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1">
    <w:abstractNumId w:val="114"/>
  </w:num>
  <w:numIdMacAtCleanup w:val="18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writeProtection w:recommended="1"/>
  <w:zoom w:percent="140"/>
  <w:displayBackgroundShape/>
  <w:hideSpellingErrors/>
  <w:hideGrammaticalErrors/>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567"/>
  <w:hyphenationZone w:val="425"/>
  <w:evenAndOddHeaders/>
  <w:displayHorizontalDrawingGridEvery w:val="0"/>
  <w:displayVerticalDrawingGridEvery w:val="0"/>
  <w:doNotUseMarginsForDrawingGridOrigin/>
  <w:noPunctuationKerning/>
  <w:characterSpacingControl w:val="doNotCompress"/>
  <w:hdrShapeDefaults>
    <o:shapedefaults v:ext="edit" spidmax="21299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658A8"/>
    <w:rsid w:val="00002CD7"/>
    <w:rsid w:val="00004027"/>
    <w:rsid w:val="00005AC2"/>
    <w:rsid w:val="00005E5B"/>
    <w:rsid w:val="00010322"/>
    <w:rsid w:val="00011829"/>
    <w:rsid w:val="0001289E"/>
    <w:rsid w:val="00012A02"/>
    <w:rsid w:val="00012EE2"/>
    <w:rsid w:val="0001351B"/>
    <w:rsid w:val="0001444E"/>
    <w:rsid w:val="00014996"/>
    <w:rsid w:val="00014B6A"/>
    <w:rsid w:val="00016727"/>
    <w:rsid w:val="00016B6B"/>
    <w:rsid w:val="00017954"/>
    <w:rsid w:val="00020A5F"/>
    <w:rsid w:val="00022EBD"/>
    <w:rsid w:val="00027DD5"/>
    <w:rsid w:val="0003119E"/>
    <w:rsid w:val="00032536"/>
    <w:rsid w:val="000326FA"/>
    <w:rsid w:val="00033607"/>
    <w:rsid w:val="00033790"/>
    <w:rsid w:val="000350AD"/>
    <w:rsid w:val="00035426"/>
    <w:rsid w:val="00035D25"/>
    <w:rsid w:val="0003626E"/>
    <w:rsid w:val="000364EA"/>
    <w:rsid w:val="0003661F"/>
    <w:rsid w:val="00036FD6"/>
    <w:rsid w:val="00037ACC"/>
    <w:rsid w:val="00041CE8"/>
    <w:rsid w:val="00042826"/>
    <w:rsid w:val="00043413"/>
    <w:rsid w:val="000439F3"/>
    <w:rsid w:val="00043AC3"/>
    <w:rsid w:val="00043E22"/>
    <w:rsid w:val="00043F45"/>
    <w:rsid w:val="0004489D"/>
    <w:rsid w:val="00044B39"/>
    <w:rsid w:val="00044C93"/>
    <w:rsid w:val="00045005"/>
    <w:rsid w:val="000454B1"/>
    <w:rsid w:val="00045D96"/>
    <w:rsid w:val="000474D7"/>
    <w:rsid w:val="00047E88"/>
    <w:rsid w:val="00050A46"/>
    <w:rsid w:val="00051E35"/>
    <w:rsid w:val="00052846"/>
    <w:rsid w:val="0005484B"/>
    <w:rsid w:val="000548CA"/>
    <w:rsid w:val="00054A91"/>
    <w:rsid w:val="000553F4"/>
    <w:rsid w:val="00055B26"/>
    <w:rsid w:val="00057099"/>
    <w:rsid w:val="000601E0"/>
    <w:rsid w:val="00060851"/>
    <w:rsid w:val="00061894"/>
    <w:rsid w:val="00062036"/>
    <w:rsid w:val="000630B2"/>
    <w:rsid w:val="000645CD"/>
    <w:rsid w:val="0006519F"/>
    <w:rsid w:val="0007212F"/>
    <w:rsid w:val="000723D4"/>
    <w:rsid w:val="000748DF"/>
    <w:rsid w:val="00076389"/>
    <w:rsid w:val="00076B49"/>
    <w:rsid w:val="0008127B"/>
    <w:rsid w:val="00086E9E"/>
    <w:rsid w:val="0009042A"/>
    <w:rsid w:val="000908D9"/>
    <w:rsid w:val="000917B4"/>
    <w:rsid w:val="00091CB9"/>
    <w:rsid w:val="00091D14"/>
    <w:rsid w:val="00091E0D"/>
    <w:rsid w:val="000927B3"/>
    <w:rsid w:val="00092CBA"/>
    <w:rsid w:val="00093C9E"/>
    <w:rsid w:val="000961FB"/>
    <w:rsid w:val="0009724A"/>
    <w:rsid w:val="0009735C"/>
    <w:rsid w:val="000A031B"/>
    <w:rsid w:val="000A134C"/>
    <w:rsid w:val="000A1987"/>
    <w:rsid w:val="000A52A5"/>
    <w:rsid w:val="000B01ED"/>
    <w:rsid w:val="000B0C3B"/>
    <w:rsid w:val="000B155B"/>
    <w:rsid w:val="000B15EA"/>
    <w:rsid w:val="000B1C74"/>
    <w:rsid w:val="000B2A8C"/>
    <w:rsid w:val="000B6001"/>
    <w:rsid w:val="000B67F5"/>
    <w:rsid w:val="000C1151"/>
    <w:rsid w:val="000C1693"/>
    <w:rsid w:val="000C2991"/>
    <w:rsid w:val="000C34CF"/>
    <w:rsid w:val="000C4CBD"/>
    <w:rsid w:val="000C60D1"/>
    <w:rsid w:val="000C6175"/>
    <w:rsid w:val="000D18DB"/>
    <w:rsid w:val="000D1A7B"/>
    <w:rsid w:val="000D2F60"/>
    <w:rsid w:val="000D3B97"/>
    <w:rsid w:val="000D6A68"/>
    <w:rsid w:val="000D733B"/>
    <w:rsid w:val="000E148D"/>
    <w:rsid w:val="000E1A74"/>
    <w:rsid w:val="000E1D5A"/>
    <w:rsid w:val="000E3EAD"/>
    <w:rsid w:val="000E3FE2"/>
    <w:rsid w:val="000E4782"/>
    <w:rsid w:val="000E6F6E"/>
    <w:rsid w:val="000F04C0"/>
    <w:rsid w:val="000F101C"/>
    <w:rsid w:val="000F1DDB"/>
    <w:rsid w:val="000F345E"/>
    <w:rsid w:val="000F38B9"/>
    <w:rsid w:val="000F4114"/>
    <w:rsid w:val="000F48F1"/>
    <w:rsid w:val="000F5600"/>
    <w:rsid w:val="000F5BFF"/>
    <w:rsid w:val="000F7A05"/>
    <w:rsid w:val="000F7C26"/>
    <w:rsid w:val="00100231"/>
    <w:rsid w:val="00100A4A"/>
    <w:rsid w:val="00100D47"/>
    <w:rsid w:val="00102710"/>
    <w:rsid w:val="00103504"/>
    <w:rsid w:val="00103F66"/>
    <w:rsid w:val="001040AD"/>
    <w:rsid w:val="00104BD7"/>
    <w:rsid w:val="00106B6A"/>
    <w:rsid w:val="00106B97"/>
    <w:rsid w:val="001115A0"/>
    <w:rsid w:val="00111956"/>
    <w:rsid w:val="0011197F"/>
    <w:rsid w:val="001129F4"/>
    <w:rsid w:val="0011421D"/>
    <w:rsid w:val="00114238"/>
    <w:rsid w:val="00114690"/>
    <w:rsid w:val="00120315"/>
    <w:rsid w:val="0012038D"/>
    <w:rsid w:val="001209D6"/>
    <w:rsid w:val="001218D9"/>
    <w:rsid w:val="001221C5"/>
    <w:rsid w:val="00123DC4"/>
    <w:rsid w:val="0012429F"/>
    <w:rsid w:val="001243AF"/>
    <w:rsid w:val="00124B39"/>
    <w:rsid w:val="00126520"/>
    <w:rsid w:val="0012783A"/>
    <w:rsid w:val="00127901"/>
    <w:rsid w:val="0013028A"/>
    <w:rsid w:val="001305C0"/>
    <w:rsid w:val="00132057"/>
    <w:rsid w:val="00132D80"/>
    <w:rsid w:val="00133F5E"/>
    <w:rsid w:val="001340F0"/>
    <w:rsid w:val="001346E3"/>
    <w:rsid w:val="0013586E"/>
    <w:rsid w:val="001358E4"/>
    <w:rsid w:val="00135F6B"/>
    <w:rsid w:val="001363EE"/>
    <w:rsid w:val="001368A5"/>
    <w:rsid w:val="00136AA7"/>
    <w:rsid w:val="001424A8"/>
    <w:rsid w:val="001428FA"/>
    <w:rsid w:val="00143CEF"/>
    <w:rsid w:val="001445A5"/>
    <w:rsid w:val="001446DA"/>
    <w:rsid w:val="00144890"/>
    <w:rsid w:val="00145D9E"/>
    <w:rsid w:val="0014622E"/>
    <w:rsid w:val="0015164C"/>
    <w:rsid w:val="00153A6E"/>
    <w:rsid w:val="00153D46"/>
    <w:rsid w:val="001562E0"/>
    <w:rsid w:val="001619FB"/>
    <w:rsid w:val="00161CD7"/>
    <w:rsid w:val="00163084"/>
    <w:rsid w:val="001636E8"/>
    <w:rsid w:val="001641A3"/>
    <w:rsid w:val="00164B85"/>
    <w:rsid w:val="0016615F"/>
    <w:rsid w:val="001706EA"/>
    <w:rsid w:val="0017096C"/>
    <w:rsid w:val="00170BA2"/>
    <w:rsid w:val="00171FE2"/>
    <w:rsid w:val="001752C9"/>
    <w:rsid w:val="0017534C"/>
    <w:rsid w:val="0017565C"/>
    <w:rsid w:val="00176773"/>
    <w:rsid w:val="00176AA3"/>
    <w:rsid w:val="00184DCA"/>
    <w:rsid w:val="00186E36"/>
    <w:rsid w:val="0018784A"/>
    <w:rsid w:val="00187D9B"/>
    <w:rsid w:val="00191B3E"/>
    <w:rsid w:val="00191E10"/>
    <w:rsid w:val="00195BC5"/>
    <w:rsid w:val="001961B1"/>
    <w:rsid w:val="001A118D"/>
    <w:rsid w:val="001A32EA"/>
    <w:rsid w:val="001A5541"/>
    <w:rsid w:val="001B013D"/>
    <w:rsid w:val="001B043B"/>
    <w:rsid w:val="001B17A5"/>
    <w:rsid w:val="001B1BAF"/>
    <w:rsid w:val="001B2366"/>
    <w:rsid w:val="001B3125"/>
    <w:rsid w:val="001B40EB"/>
    <w:rsid w:val="001B4655"/>
    <w:rsid w:val="001B5378"/>
    <w:rsid w:val="001B5F0A"/>
    <w:rsid w:val="001B7BAF"/>
    <w:rsid w:val="001C0B36"/>
    <w:rsid w:val="001C0FA1"/>
    <w:rsid w:val="001C1641"/>
    <w:rsid w:val="001C2781"/>
    <w:rsid w:val="001C6F4D"/>
    <w:rsid w:val="001D088C"/>
    <w:rsid w:val="001D2700"/>
    <w:rsid w:val="001D2A2C"/>
    <w:rsid w:val="001D2ACA"/>
    <w:rsid w:val="001D3E22"/>
    <w:rsid w:val="001D4172"/>
    <w:rsid w:val="001D42EF"/>
    <w:rsid w:val="001D61AA"/>
    <w:rsid w:val="001D6536"/>
    <w:rsid w:val="001E15AA"/>
    <w:rsid w:val="001E1B00"/>
    <w:rsid w:val="001E1D61"/>
    <w:rsid w:val="001E1EEF"/>
    <w:rsid w:val="001E2914"/>
    <w:rsid w:val="001E323F"/>
    <w:rsid w:val="001E40E8"/>
    <w:rsid w:val="001E4922"/>
    <w:rsid w:val="001E6CC3"/>
    <w:rsid w:val="001F0218"/>
    <w:rsid w:val="001F0FAB"/>
    <w:rsid w:val="001F17BB"/>
    <w:rsid w:val="001F2562"/>
    <w:rsid w:val="001F2617"/>
    <w:rsid w:val="001F2CB7"/>
    <w:rsid w:val="001F2DE0"/>
    <w:rsid w:val="001F6AD6"/>
    <w:rsid w:val="001F78C6"/>
    <w:rsid w:val="002001DE"/>
    <w:rsid w:val="002007BA"/>
    <w:rsid w:val="002013AB"/>
    <w:rsid w:val="00201AE9"/>
    <w:rsid w:val="00202AD2"/>
    <w:rsid w:val="0020511E"/>
    <w:rsid w:val="002069CD"/>
    <w:rsid w:val="00206B26"/>
    <w:rsid w:val="002102AD"/>
    <w:rsid w:val="002111C4"/>
    <w:rsid w:val="002117DE"/>
    <w:rsid w:val="00212F0A"/>
    <w:rsid w:val="00214ED2"/>
    <w:rsid w:val="00214F9F"/>
    <w:rsid w:val="00220419"/>
    <w:rsid w:val="002206B1"/>
    <w:rsid w:val="00220F68"/>
    <w:rsid w:val="00222A8D"/>
    <w:rsid w:val="00225288"/>
    <w:rsid w:val="0022536B"/>
    <w:rsid w:val="00225A0C"/>
    <w:rsid w:val="00226115"/>
    <w:rsid w:val="002262EB"/>
    <w:rsid w:val="00226725"/>
    <w:rsid w:val="00230E2A"/>
    <w:rsid w:val="0023125D"/>
    <w:rsid w:val="00232B14"/>
    <w:rsid w:val="00233C26"/>
    <w:rsid w:val="00234BEF"/>
    <w:rsid w:val="002371DD"/>
    <w:rsid w:val="00237520"/>
    <w:rsid w:val="002400BB"/>
    <w:rsid w:val="00240749"/>
    <w:rsid w:val="00241C17"/>
    <w:rsid w:val="00241DA6"/>
    <w:rsid w:val="00242929"/>
    <w:rsid w:val="00243E68"/>
    <w:rsid w:val="0024548C"/>
    <w:rsid w:val="00245797"/>
    <w:rsid w:val="00245FBB"/>
    <w:rsid w:val="002468FB"/>
    <w:rsid w:val="00246C7E"/>
    <w:rsid w:val="00246C95"/>
    <w:rsid w:val="002470A0"/>
    <w:rsid w:val="00251CB5"/>
    <w:rsid w:val="002528A0"/>
    <w:rsid w:val="00254433"/>
    <w:rsid w:val="00257165"/>
    <w:rsid w:val="002603B3"/>
    <w:rsid w:val="00260A06"/>
    <w:rsid w:val="0026223C"/>
    <w:rsid w:val="00264F68"/>
    <w:rsid w:val="002707F4"/>
    <w:rsid w:val="00270DEF"/>
    <w:rsid w:val="00271CFB"/>
    <w:rsid w:val="00271F1E"/>
    <w:rsid w:val="002732EA"/>
    <w:rsid w:val="00276E66"/>
    <w:rsid w:val="00280DA3"/>
    <w:rsid w:val="00281D8C"/>
    <w:rsid w:val="00281F9F"/>
    <w:rsid w:val="00282A24"/>
    <w:rsid w:val="00284065"/>
    <w:rsid w:val="002843AA"/>
    <w:rsid w:val="002846DC"/>
    <w:rsid w:val="002853DE"/>
    <w:rsid w:val="0028549E"/>
    <w:rsid w:val="0028688B"/>
    <w:rsid w:val="00287B80"/>
    <w:rsid w:val="00291097"/>
    <w:rsid w:val="002912AF"/>
    <w:rsid w:val="002919FF"/>
    <w:rsid w:val="00292D28"/>
    <w:rsid w:val="002938E8"/>
    <w:rsid w:val="002952A6"/>
    <w:rsid w:val="00295D7D"/>
    <w:rsid w:val="002970AE"/>
    <w:rsid w:val="002A1497"/>
    <w:rsid w:val="002A29FA"/>
    <w:rsid w:val="002A4407"/>
    <w:rsid w:val="002A4A43"/>
    <w:rsid w:val="002A635B"/>
    <w:rsid w:val="002A663B"/>
    <w:rsid w:val="002A6D86"/>
    <w:rsid w:val="002A7190"/>
    <w:rsid w:val="002A7742"/>
    <w:rsid w:val="002B02EA"/>
    <w:rsid w:val="002B0582"/>
    <w:rsid w:val="002B0AF4"/>
    <w:rsid w:val="002B0CDF"/>
    <w:rsid w:val="002B1C9C"/>
    <w:rsid w:val="002B5251"/>
    <w:rsid w:val="002B6601"/>
    <w:rsid w:val="002B69A3"/>
    <w:rsid w:val="002B7DE5"/>
    <w:rsid w:val="002C0BD5"/>
    <w:rsid w:val="002C2CA1"/>
    <w:rsid w:val="002C4A13"/>
    <w:rsid w:val="002C54C3"/>
    <w:rsid w:val="002D0856"/>
    <w:rsid w:val="002D1472"/>
    <w:rsid w:val="002D16CD"/>
    <w:rsid w:val="002D1C2D"/>
    <w:rsid w:val="002D1F33"/>
    <w:rsid w:val="002D2413"/>
    <w:rsid w:val="002D3FA2"/>
    <w:rsid w:val="002D70DD"/>
    <w:rsid w:val="002E062E"/>
    <w:rsid w:val="002E1DC0"/>
    <w:rsid w:val="002E3A73"/>
    <w:rsid w:val="002F09A0"/>
    <w:rsid w:val="002F1586"/>
    <w:rsid w:val="002F2855"/>
    <w:rsid w:val="002F5D79"/>
    <w:rsid w:val="00301514"/>
    <w:rsid w:val="003025BC"/>
    <w:rsid w:val="00304270"/>
    <w:rsid w:val="00304D88"/>
    <w:rsid w:val="003053C5"/>
    <w:rsid w:val="003071E6"/>
    <w:rsid w:val="003078E9"/>
    <w:rsid w:val="00310527"/>
    <w:rsid w:val="00310A0E"/>
    <w:rsid w:val="00311585"/>
    <w:rsid w:val="003148F6"/>
    <w:rsid w:val="00314E7C"/>
    <w:rsid w:val="0031570A"/>
    <w:rsid w:val="003157DB"/>
    <w:rsid w:val="0031605F"/>
    <w:rsid w:val="00316630"/>
    <w:rsid w:val="0032092F"/>
    <w:rsid w:val="003211D5"/>
    <w:rsid w:val="003214B5"/>
    <w:rsid w:val="00321AB9"/>
    <w:rsid w:val="00323D6E"/>
    <w:rsid w:val="0032659E"/>
    <w:rsid w:val="0033010F"/>
    <w:rsid w:val="00330226"/>
    <w:rsid w:val="00331BD0"/>
    <w:rsid w:val="003337F1"/>
    <w:rsid w:val="00335361"/>
    <w:rsid w:val="00336551"/>
    <w:rsid w:val="00337B17"/>
    <w:rsid w:val="00341202"/>
    <w:rsid w:val="0034162F"/>
    <w:rsid w:val="003429BB"/>
    <w:rsid w:val="00343C9C"/>
    <w:rsid w:val="00353560"/>
    <w:rsid w:val="00353999"/>
    <w:rsid w:val="00356403"/>
    <w:rsid w:val="003573DD"/>
    <w:rsid w:val="00357617"/>
    <w:rsid w:val="00361214"/>
    <w:rsid w:val="00361A1E"/>
    <w:rsid w:val="0036297A"/>
    <w:rsid w:val="00364618"/>
    <w:rsid w:val="00365438"/>
    <w:rsid w:val="003714F3"/>
    <w:rsid w:val="003736E4"/>
    <w:rsid w:val="003742AC"/>
    <w:rsid w:val="00375281"/>
    <w:rsid w:val="003770BC"/>
    <w:rsid w:val="00377D0B"/>
    <w:rsid w:val="00380229"/>
    <w:rsid w:val="00380E9D"/>
    <w:rsid w:val="00382132"/>
    <w:rsid w:val="00383D2D"/>
    <w:rsid w:val="003867F8"/>
    <w:rsid w:val="00386DDC"/>
    <w:rsid w:val="0038701B"/>
    <w:rsid w:val="00387D26"/>
    <w:rsid w:val="00390217"/>
    <w:rsid w:val="0039165D"/>
    <w:rsid w:val="003927FD"/>
    <w:rsid w:val="003943F0"/>
    <w:rsid w:val="00395421"/>
    <w:rsid w:val="003969F3"/>
    <w:rsid w:val="00396BE3"/>
    <w:rsid w:val="00396EB2"/>
    <w:rsid w:val="0039788A"/>
    <w:rsid w:val="003A0ADE"/>
    <w:rsid w:val="003A27B5"/>
    <w:rsid w:val="003A2976"/>
    <w:rsid w:val="003A4903"/>
    <w:rsid w:val="003A4953"/>
    <w:rsid w:val="003A5FF7"/>
    <w:rsid w:val="003A63F6"/>
    <w:rsid w:val="003B10D0"/>
    <w:rsid w:val="003B19F1"/>
    <w:rsid w:val="003B23AE"/>
    <w:rsid w:val="003B48C5"/>
    <w:rsid w:val="003B7BA3"/>
    <w:rsid w:val="003C006F"/>
    <w:rsid w:val="003C0198"/>
    <w:rsid w:val="003C151C"/>
    <w:rsid w:val="003C1F4D"/>
    <w:rsid w:val="003C203C"/>
    <w:rsid w:val="003C3AD4"/>
    <w:rsid w:val="003C4A82"/>
    <w:rsid w:val="003C6933"/>
    <w:rsid w:val="003D19E1"/>
    <w:rsid w:val="003D19E5"/>
    <w:rsid w:val="003D2534"/>
    <w:rsid w:val="003D343A"/>
    <w:rsid w:val="003D6551"/>
    <w:rsid w:val="003D676F"/>
    <w:rsid w:val="003D6CAF"/>
    <w:rsid w:val="003E0566"/>
    <w:rsid w:val="003E16BE"/>
    <w:rsid w:val="003E2D93"/>
    <w:rsid w:val="003E2F16"/>
    <w:rsid w:val="003E43F4"/>
    <w:rsid w:val="003E6354"/>
    <w:rsid w:val="003E6D5F"/>
    <w:rsid w:val="003E6F7B"/>
    <w:rsid w:val="003F0457"/>
    <w:rsid w:val="003F0777"/>
    <w:rsid w:val="003F15BD"/>
    <w:rsid w:val="003F3481"/>
    <w:rsid w:val="003F3CDF"/>
    <w:rsid w:val="003F5276"/>
    <w:rsid w:val="003F536E"/>
    <w:rsid w:val="003F5D84"/>
    <w:rsid w:val="003F6594"/>
    <w:rsid w:val="0040000A"/>
    <w:rsid w:val="00400A45"/>
    <w:rsid w:val="00404344"/>
    <w:rsid w:val="00404F7C"/>
    <w:rsid w:val="00407F3C"/>
    <w:rsid w:val="00410F75"/>
    <w:rsid w:val="0041239B"/>
    <w:rsid w:val="004132F4"/>
    <w:rsid w:val="00413EEB"/>
    <w:rsid w:val="004149DA"/>
    <w:rsid w:val="00415453"/>
    <w:rsid w:val="00417859"/>
    <w:rsid w:val="00420F90"/>
    <w:rsid w:val="00422AAD"/>
    <w:rsid w:val="00423B8B"/>
    <w:rsid w:val="0042593C"/>
    <w:rsid w:val="00426D79"/>
    <w:rsid w:val="004273CB"/>
    <w:rsid w:val="0042797C"/>
    <w:rsid w:val="00430ECC"/>
    <w:rsid w:val="004312A2"/>
    <w:rsid w:val="00431F4C"/>
    <w:rsid w:val="00432FF4"/>
    <w:rsid w:val="00433F7E"/>
    <w:rsid w:val="004370F9"/>
    <w:rsid w:val="00440BE5"/>
    <w:rsid w:val="00442578"/>
    <w:rsid w:val="004433C7"/>
    <w:rsid w:val="00444129"/>
    <w:rsid w:val="00446965"/>
    <w:rsid w:val="00446B5B"/>
    <w:rsid w:val="00446EA4"/>
    <w:rsid w:val="004474A6"/>
    <w:rsid w:val="004510AE"/>
    <w:rsid w:val="00452043"/>
    <w:rsid w:val="0045463F"/>
    <w:rsid w:val="00455B2F"/>
    <w:rsid w:val="00456D61"/>
    <w:rsid w:val="00457398"/>
    <w:rsid w:val="00460CD8"/>
    <w:rsid w:val="004611B9"/>
    <w:rsid w:val="00461304"/>
    <w:rsid w:val="004629EF"/>
    <w:rsid w:val="004634F2"/>
    <w:rsid w:val="00463C93"/>
    <w:rsid w:val="00463EE5"/>
    <w:rsid w:val="004664C6"/>
    <w:rsid w:val="00467F9C"/>
    <w:rsid w:val="004711D1"/>
    <w:rsid w:val="00471BE2"/>
    <w:rsid w:val="00471F93"/>
    <w:rsid w:val="0047262A"/>
    <w:rsid w:val="00472AA6"/>
    <w:rsid w:val="00472D34"/>
    <w:rsid w:val="0047308C"/>
    <w:rsid w:val="0047445F"/>
    <w:rsid w:val="00474F88"/>
    <w:rsid w:val="00475443"/>
    <w:rsid w:val="00475AE7"/>
    <w:rsid w:val="00475CB7"/>
    <w:rsid w:val="004760DF"/>
    <w:rsid w:val="00476102"/>
    <w:rsid w:val="00476562"/>
    <w:rsid w:val="00476B04"/>
    <w:rsid w:val="00480113"/>
    <w:rsid w:val="00484F04"/>
    <w:rsid w:val="004860F6"/>
    <w:rsid w:val="00486F3F"/>
    <w:rsid w:val="00487690"/>
    <w:rsid w:val="00491470"/>
    <w:rsid w:val="0049174E"/>
    <w:rsid w:val="00492433"/>
    <w:rsid w:val="004925A7"/>
    <w:rsid w:val="004926BA"/>
    <w:rsid w:val="0049737C"/>
    <w:rsid w:val="00497647"/>
    <w:rsid w:val="004A1757"/>
    <w:rsid w:val="004A19C1"/>
    <w:rsid w:val="004A4516"/>
    <w:rsid w:val="004A4F4D"/>
    <w:rsid w:val="004B29CC"/>
    <w:rsid w:val="004B2A00"/>
    <w:rsid w:val="004B373F"/>
    <w:rsid w:val="004B48A1"/>
    <w:rsid w:val="004B5923"/>
    <w:rsid w:val="004B5BA7"/>
    <w:rsid w:val="004B7566"/>
    <w:rsid w:val="004C34A3"/>
    <w:rsid w:val="004C53FA"/>
    <w:rsid w:val="004D086D"/>
    <w:rsid w:val="004D0E96"/>
    <w:rsid w:val="004D1375"/>
    <w:rsid w:val="004D288F"/>
    <w:rsid w:val="004D28F4"/>
    <w:rsid w:val="004D2B5C"/>
    <w:rsid w:val="004D4A8F"/>
    <w:rsid w:val="004D4B0C"/>
    <w:rsid w:val="004D51A0"/>
    <w:rsid w:val="004E0960"/>
    <w:rsid w:val="004E0F97"/>
    <w:rsid w:val="004E2769"/>
    <w:rsid w:val="004E366B"/>
    <w:rsid w:val="004E3A7F"/>
    <w:rsid w:val="004E4E0A"/>
    <w:rsid w:val="004E5E5D"/>
    <w:rsid w:val="004E6522"/>
    <w:rsid w:val="004E729D"/>
    <w:rsid w:val="004F051E"/>
    <w:rsid w:val="004F08E3"/>
    <w:rsid w:val="004F09F6"/>
    <w:rsid w:val="004F1DE0"/>
    <w:rsid w:val="004F395C"/>
    <w:rsid w:val="004F4CE3"/>
    <w:rsid w:val="004F4E2E"/>
    <w:rsid w:val="004F501F"/>
    <w:rsid w:val="004F7691"/>
    <w:rsid w:val="00500F91"/>
    <w:rsid w:val="00503603"/>
    <w:rsid w:val="00506551"/>
    <w:rsid w:val="0051060D"/>
    <w:rsid w:val="00510DCC"/>
    <w:rsid w:val="005158E3"/>
    <w:rsid w:val="00515CFD"/>
    <w:rsid w:val="005200D9"/>
    <w:rsid w:val="00520CAA"/>
    <w:rsid w:val="00520EB2"/>
    <w:rsid w:val="00522A3F"/>
    <w:rsid w:val="0052593C"/>
    <w:rsid w:val="00526527"/>
    <w:rsid w:val="005279AA"/>
    <w:rsid w:val="00531530"/>
    <w:rsid w:val="005321FA"/>
    <w:rsid w:val="005328F3"/>
    <w:rsid w:val="00534052"/>
    <w:rsid w:val="0054026E"/>
    <w:rsid w:val="00543017"/>
    <w:rsid w:val="005431EB"/>
    <w:rsid w:val="005432AF"/>
    <w:rsid w:val="00543EB7"/>
    <w:rsid w:val="00544DA7"/>
    <w:rsid w:val="00545826"/>
    <w:rsid w:val="005473E7"/>
    <w:rsid w:val="00547ACE"/>
    <w:rsid w:val="00547C0A"/>
    <w:rsid w:val="00550437"/>
    <w:rsid w:val="005516A9"/>
    <w:rsid w:val="00552619"/>
    <w:rsid w:val="00552637"/>
    <w:rsid w:val="005527F6"/>
    <w:rsid w:val="005531E0"/>
    <w:rsid w:val="00555171"/>
    <w:rsid w:val="00557923"/>
    <w:rsid w:val="0056031E"/>
    <w:rsid w:val="0056177B"/>
    <w:rsid w:val="005631F0"/>
    <w:rsid w:val="0056362E"/>
    <w:rsid w:val="005657EF"/>
    <w:rsid w:val="005658CF"/>
    <w:rsid w:val="00565921"/>
    <w:rsid w:val="00565E68"/>
    <w:rsid w:val="005663E7"/>
    <w:rsid w:val="00570611"/>
    <w:rsid w:val="00576D39"/>
    <w:rsid w:val="00577D22"/>
    <w:rsid w:val="0058017F"/>
    <w:rsid w:val="00581DD5"/>
    <w:rsid w:val="00583B18"/>
    <w:rsid w:val="00584365"/>
    <w:rsid w:val="00584894"/>
    <w:rsid w:val="00585A84"/>
    <w:rsid w:val="00587465"/>
    <w:rsid w:val="00592948"/>
    <w:rsid w:val="005932E6"/>
    <w:rsid w:val="00593FEA"/>
    <w:rsid w:val="005950FE"/>
    <w:rsid w:val="005977E0"/>
    <w:rsid w:val="005A0381"/>
    <w:rsid w:val="005A4AAF"/>
    <w:rsid w:val="005A5483"/>
    <w:rsid w:val="005A580A"/>
    <w:rsid w:val="005A58B4"/>
    <w:rsid w:val="005A5933"/>
    <w:rsid w:val="005A5984"/>
    <w:rsid w:val="005A60D1"/>
    <w:rsid w:val="005A7878"/>
    <w:rsid w:val="005A7AB6"/>
    <w:rsid w:val="005B0436"/>
    <w:rsid w:val="005B0F47"/>
    <w:rsid w:val="005B14F4"/>
    <w:rsid w:val="005B23C5"/>
    <w:rsid w:val="005B24A6"/>
    <w:rsid w:val="005B2973"/>
    <w:rsid w:val="005B2B98"/>
    <w:rsid w:val="005B3F5D"/>
    <w:rsid w:val="005B41BE"/>
    <w:rsid w:val="005B5956"/>
    <w:rsid w:val="005C01F3"/>
    <w:rsid w:val="005C0552"/>
    <w:rsid w:val="005C0E88"/>
    <w:rsid w:val="005C2300"/>
    <w:rsid w:val="005C2D42"/>
    <w:rsid w:val="005C6058"/>
    <w:rsid w:val="005C6292"/>
    <w:rsid w:val="005C6651"/>
    <w:rsid w:val="005C6C7C"/>
    <w:rsid w:val="005C6F8E"/>
    <w:rsid w:val="005D0A96"/>
    <w:rsid w:val="005D1A00"/>
    <w:rsid w:val="005D1C33"/>
    <w:rsid w:val="005D264A"/>
    <w:rsid w:val="005E4C4F"/>
    <w:rsid w:val="005E56AF"/>
    <w:rsid w:val="005E5BA7"/>
    <w:rsid w:val="005E61AB"/>
    <w:rsid w:val="005E65E3"/>
    <w:rsid w:val="005E6AFC"/>
    <w:rsid w:val="005F236D"/>
    <w:rsid w:val="005F3F50"/>
    <w:rsid w:val="005F56DB"/>
    <w:rsid w:val="005F5C1B"/>
    <w:rsid w:val="005F75C8"/>
    <w:rsid w:val="005F78B1"/>
    <w:rsid w:val="00601DE4"/>
    <w:rsid w:val="00603FB5"/>
    <w:rsid w:val="00610082"/>
    <w:rsid w:val="00614818"/>
    <w:rsid w:val="006164BE"/>
    <w:rsid w:val="0061695D"/>
    <w:rsid w:val="00617E0D"/>
    <w:rsid w:val="0062060F"/>
    <w:rsid w:val="006221E7"/>
    <w:rsid w:val="006230DD"/>
    <w:rsid w:val="006239A4"/>
    <w:rsid w:val="00624688"/>
    <w:rsid w:val="0063022B"/>
    <w:rsid w:val="0063033D"/>
    <w:rsid w:val="006317B3"/>
    <w:rsid w:val="006317EA"/>
    <w:rsid w:val="006325E6"/>
    <w:rsid w:val="00633D53"/>
    <w:rsid w:val="00634523"/>
    <w:rsid w:val="006355D7"/>
    <w:rsid w:val="00637DDF"/>
    <w:rsid w:val="00640664"/>
    <w:rsid w:val="00640A2D"/>
    <w:rsid w:val="00641ECA"/>
    <w:rsid w:val="006431B3"/>
    <w:rsid w:val="00644AD5"/>
    <w:rsid w:val="0064627E"/>
    <w:rsid w:val="006469CE"/>
    <w:rsid w:val="00647642"/>
    <w:rsid w:val="00650CAD"/>
    <w:rsid w:val="00654C60"/>
    <w:rsid w:val="00655F66"/>
    <w:rsid w:val="00656182"/>
    <w:rsid w:val="006568B3"/>
    <w:rsid w:val="00660313"/>
    <w:rsid w:val="00662CDE"/>
    <w:rsid w:val="006633F9"/>
    <w:rsid w:val="00663E2C"/>
    <w:rsid w:val="00665FF7"/>
    <w:rsid w:val="006703C6"/>
    <w:rsid w:val="00670BAE"/>
    <w:rsid w:val="00671363"/>
    <w:rsid w:val="0067142B"/>
    <w:rsid w:val="00671963"/>
    <w:rsid w:val="006720E4"/>
    <w:rsid w:val="00673335"/>
    <w:rsid w:val="006736C5"/>
    <w:rsid w:val="00674A39"/>
    <w:rsid w:val="00674B34"/>
    <w:rsid w:val="00674EDC"/>
    <w:rsid w:val="00675B75"/>
    <w:rsid w:val="006765DD"/>
    <w:rsid w:val="006775C3"/>
    <w:rsid w:val="00680FBD"/>
    <w:rsid w:val="006819EA"/>
    <w:rsid w:val="00682EC5"/>
    <w:rsid w:val="00683E47"/>
    <w:rsid w:val="006911D1"/>
    <w:rsid w:val="006921C7"/>
    <w:rsid w:val="00692F6F"/>
    <w:rsid w:val="00692F7A"/>
    <w:rsid w:val="00696029"/>
    <w:rsid w:val="0069693E"/>
    <w:rsid w:val="00697981"/>
    <w:rsid w:val="006A0B2F"/>
    <w:rsid w:val="006A4370"/>
    <w:rsid w:val="006B0539"/>
    <w:rsid w:val="006B1177"/>
    <w:rsid w:val="006B303B"/>
    <w:rsid w:val="006B792D"/>
    <w:rsid w:val="006B7B51"/>
    <w:rsid w:val="006C3236"/>
    <w:rsid w:val="006C3FC1"/>
    <w:rsid w:val="006C404A"/>
    <w:rsid w:val="006C451D"/>
    <w:rsid w:val="006C46D6"/>
    <w:rsid w:val="006C5AA1"/>
    <w:rsid w:val="006C65B1"/>
    <w:rsid w:val="006C6B35"/>
    <w:rsid w:val="006D14B6"/>
    <w:rsid w:val="006D56BB"/>
    <w:rsid w:val="006D5872"/>
    <w:rsid w:val="006D7132"/>
    <w:rsid w:val="006E0690"/>
    <w:rsid w:val="006E0F5A"/>
    <w:rsid w:val="006E41B7"/>
    <w:rsid w:val="006E4738"/>
    <w:rsid w:val="006E4DA1"/>
    <w:rsid w:val="006E5544"/>
    <w:rsid w:val="006E7692"/>
    <w:rsid w:val="006F062B"/>
    <w:rsid w:val="006F0B88"/>
    <w:rsid w:val="006F444D"/>
    <w:rsid w:val="006F4686"/>
    <w:rsid w:val="006F648A"/>
    <w:rsid w:val="00702E77"/>
    <w:rsid w:val="007047F4"/>
    <w:rsid w:val="0070488A"/>
    <w:rsid w:val="00714DE0"/>
    <w:rsid w:val="00715A3C"/>
    <w:rsid w:val="00715C23"/>
    <w:rsid w:val="00715DB4"/>
    <w:rsid w:val="00717BCF"/>
    <w:rsid w:val="007217CE"/>
    <w:rsid w:val="00723FF7"/>
    <w:rsid w:val="007245E8"/>
    <w:rsid w:val="00727F84"/>
    <w:rsid w:val="00731D81"/>
    <w:rsid w:val="00732265"/>
    <w:rsid w:val="00732673"/>
    <w:rsid w:val="00732CA0"/>
    <w:rsid w:val="00733344"/>
    <w:rsid w:val="00735AC6"/>
    <w:rsid w:val="007366F3"/>
    <w:rsid w:val="00736751"/>
    <w:rsid w:val="00737D45"/>
    <w:rsid w:val="00743383"/>
    <w:rsid w:val="00745225"/>
    <w:rsid w:val="007469D0"/>
    <w:rsid w:val="007505A5"/>
    <w:rsid w:val="00752418"/>
    <w:rsid w:val="007554B1"/>
    <w:rsid w:val="0075729A"/>
    <w:rsid w:val="0075764F"/>
    <w:rsid w:val="00757CE9"/>
    <w:rsid w:val="0076106B"/>
    <w:rsid w:val="007621D9"/>
    <w:rsid w:val="00765747"/>
    <w:rsid w:val="007658A8"/>
    <w:rsid w:val="0076664B"/>
    <w:rsid w:val="0076666B"/>
    <w:rsid w:val="007705FF"/>
    <w:rsid w:val="007719D8"/>
    <w:rsid w:val="00773ABA"/>
    <w:rsid w:val="00774BC6"/>
    <w:rsid w:val="00774D44"/>
    <w:rsid w:val="007752C5"/>
    <w:rsid w:val="00775673"/>
    <w:rsid w:val="007768C4"/>
    <w:rsid w:val="00776910"/>
    <w:rsid w:val="007769A6"/>
    <w:rsid w:val="007775AE"/>
    <w:rsid w:val="00777E28"/>
    <w:rsid w:val="00780C06"/>
    <w:rsid w:val="00781F31"/>
    <w:rsid w:val="00782713"/>
    <w:rsid w:val="00782C0D"/>
    <w:rsid w:val="0078312F"/>
    <w:rsid w:val="007838AB"/>
    <w:rsid w:val="007852E3"/>
    <w:rsid w:val="007854A1"/>
    <w:rsid w:val="007854BF"/>
    <w:rsid w:val="00785BEE"/>
    <w:rsid w:val="007865BB"/>
    <w:rsid w:val="00787009"/>
    <w:rsid w:val="00794D57"/>
    <w:rsid w:val="00794EDE"/>
    <w:rsid w:val="00797485"/>
    <w:rsid w:val="007A168A"/>
    <w:rsid w:val="007A19D3"/>
    <w:rsid w:val="007A29A7"/>
    <w:rsid w:val="007A47BE"/>
    <w:rsid w:val="007A4C80"/>
    <w:rsid w:val="007A5135"/>
    <w:rsid w:val="007B08E5"/>
    <w:rsid w:val="007B0B1B"/>
    <w:rsid w:val="007B1FFD"/>
    <w:rsid w:val="007B2DB1"/>
    <w:rsid w:val="007B71FE"/>
    <w:rsid w:val="007C20B6"/>
    <w:rsid w:val="007C3E81"/>
    <w:rsid w:val="007C62B7"/>
    <w:rsid w:val="007D027C"/>
    <w:rsid w:val="007D2229"/>
    <w:rsid w:val="007D2348"/>
    <w:rsid w:val="007D296F"/>
    <w:rsid w:val="007D306E"/>
    <w:rsid w:val="007D6440"/>
    <w:rsid w:val="007E336A"/>
    <w:rsid w:val="007E389C"/>
    <w:rsid w:val="007E4C83"/>
    <w:rsid w:val="007E6799"/>
    <w:rsid w:val="007E7815"/>
    <w:rsid w:val="007F11F9"/>
    <w:rsid w:val="007F6F24"/>
    <w:rsid w:val="00805A5E"/>
    <w:rsid w:val="00806D02"/>
    <w:rsid w:val="00806F90"/>
    <w:rsid w:val="008110B8"/>
    <w:rsid w:val="008111AA"/>
    <w:rsid w:val="008123E5"/>
    <w:rsid w:val="008144C5"/>
    <w:rsid w:val="00815ABB"/>
    <w:rsid w:val="0081654E"/>
    <w:rsid w:val="008200B0"/>
    <w:rsid w:val="008218F3"/>
    <w:rsid w:val="008218F6"/>
    <w:rsid w:val="008244DB"/>
    <w:rsid w:val="00824E3C"/>
    <w:rsid w:val="00825EF0"/>
    <w:rsid w:val="00827EEF"/>
    <w:rsid w:val="008328FF"/>
    <w:rsid w:val="00832AAB"/>
    <w:rsid w:val="00833A7B"/>
    <w:rsid w:val="00833F58"/>
    <w:rsid w:val="008355F0"/>
    <w:rsid w:val="00841F86"/>
    <w:rsid w:val="00842879"/>
    <w:rsid w:val="0084413C"/>
    <w:rsid w:val="00844188"/>
    <w:rsid w:val="00844511"/>
    <w:rsid w:val="00844B85"/>
    <w:rsid w:val="00845557"/>
    <w:rsid w:val="0085196E"/>
    <w:rsid w:val="0085395D"/>
    <w:rsid w:val="00856760"/>
    <w:rsid w:val="00856E62"/>
    <w:rsid w:val="00857DD7"/>
    <w:rsid w:val="00860D6F"/>
    <w:rsid w:val="00862E39"/>
    <w:rsid w:val="00864F09"/>
    <w:rsid w:val="00870330"/>
    <w:rsid w:val="008710A8"/>
    <w:rsid w:val="00872A86"/>
    <w:rsid w:val="0087375C"/>
    <w:rsid w:val="00874089"/>
    <w:rsid w:val="00876BD1"/>
    <w:rsid w:val="00876ED8"/>
    <w:rsid w:val="008813C8"/>
    <w:rsid w:val="008815C2"/>
    <w:rsid w:val="00881793"/>
    <w:rsid w:val="00884492"/>
    <w:rsid w:val="00884573"/>
    <w:rsid w:val="00885DDE"/>
    <w:rsid w:val="008863CA"/>
    <w:rsid w:val="00886F5F"/>
    <w:rsid w:val="00891A0B"/>
    <w:rsid w:val="00891A94"/>
    <w:rsid w:val="0089279A"/>
    <w:rsid w:val="008937E8"/>
    <w:rsid w:val="00894065"/>
    <w:rsid w:val="00894B44"/>
    <w:rsid w:val="00895440"/>
    <w:rsid w:val="008958CE"/>
    <w:rsid w:val="00896802"/>
    <w:rsid w:val="008A04AB"/>
    <w:rsid w:val="008A1E4D"/>
    <w:rsid w:val="008A3B3B"/>
    <w:rsid w:val="008A3EB4"/>
    <w:rsid w:val="008A42FE"/>
    <w:rsid w:val="008A4774"/>
    <w:rsid w:val="008A79AB"/>
    <w:rsid w:val="008A7EEB"/>
    <w:rsid w:val="008B0DA2"/>
    <w:rsid w:val="008B2847"/>
    <w:rsid w:val="008B4DFF"/>
    <w:rsid w:val="008B5AEF"/>
    <w:rsid w:val="008B6ED6"/>
    <w:rsid w:val="008C4427"/>
    <w:rsid w:val="008C4C7A"/>
    <w:rsid w:val="008D048E"/>
    <w:rsid w:val="008D094E"/>
    <w:rsid w:val="008D1891"/>
    <w:rsid w:val="008D43FD"/>
    <w:rsid w:val="008D620C"/>
    <w:rsid w:val="008E0AD7"/>
    <w:rsid w:val="008E175F"/>
    <w:rsid w:val="008E3290"/>
    <w:rsid w:val="008E3C0B"/>
    <w:rsid w:val="008E4D64"/>
    <w:rsid w:val="008E527A"/>
    <w:rsid w:val="008E5D42"/>
    <w:rsid w:val="008F04B5"/>
    <w:rsid w:val="008F061B"/>
    <w:rsid w:val="008F1E95"/>
    <w:rsid w:val="008F2277"/>
    <w:rsid w:val="008F2BDD"/>
    <w:rsid w:val="008F399E"/>
    <w:rsid w:val="008F457D"/>
    <w:rsid w:val="008F4A6D"/>
    <w:rsid w:val="008F675F"/>
    <w:rsid w:val="00900811"/>
    <w:rsid w:val="009026F9"/>
    <w:rsid w:val="00902BF4"/>
    <w:rsid w:val="00904223"/>
    <w:rsid w:val="0090466A"/>
    <w:rsid w:val="00904813"/>
    <w:rsid w:val="00906960"/>
    <w:rsid w:val="009100BA"/>
    <w:rsid w:val="00913A4D"/>
    <w:rsid w:val="009169FF"/>
    <w:rsid w:val="00916E8F"/>
    <w:rsid w:val="00917313"/>
    <w:rsid w:val="00917CAC"/>
    <w:rsid w:val="00917D2B"/>
    <w:rsid w:val="00920A65"/>
    <w:rsid w:val="009210CD"/>
    <w:rsid w:val="00921B2A"/>
    <w:rsid w:val="00922488"/>
    <w:rsid w:val="00923977"/>
    <w:rsid w:val="00924101"/>
    <w:rsid w:val="00924A5E"/>
    <w:rsid w:val="00933215"/>
    <w:rsid w:val="009336F3"/>
    <w:rsid w:val="00933C0B"/>
    <w:rsid w:val="00934183"/>
    <w:rsid w:val="00935016"/>
    <w:rsid w:val="009357E8"/>
    <w:rsid w:val="009375B7"/>
    <w:rsid w:val="00940CBE"/>
    <w:rsid w:val="009413C0"/>
    <w:rsid w:val="00941805"/>
    <w:rsid w:val="00943735"/>
    <w:rsid w:val="009439BF"/>
    <w:rsid w:val="0094455A"/>
    <w:rsid w:val="0094583D"/>
    <w:rsid w:val="00946D33"/>
    <w:rsid w:val="00946DF7"/>
    <w:rsid w:val="009544BF"/>
    <w:rsid w:val="009569B3"/>
    <w:rsid w:val="009570B8"/>
    <w:rsid w:val="00957FA1"/>
    <w:rsid w:val="00960467"/>
    <w:rsid w:val="009606BF"/>
    <w:rsid w:val="009613E8"/>
    <w:rsid w:val="0096152C"/>
    <w:rsid w:val="009630B7"/>
    <w:rsid w:val="009632F3"/>
    <w:rsid w:val="00964DE1"/>
    <w:rsid w:val="00965278"/>
    <w:rsid w:val="00965C8C"/>
    <w:rsid w:val="00970B89"/>
    <w:rsid w:val="00972729"/>
    <w:rsid w:val="0097436A"/>
    <w:rsid w:val="009752E9"/>
    <w:rsid w:val="00976A6B"/>
    <w:rsid w:val="00976ED9"/>
    <w:rsid w:val="00980175"/>
    <w:rsid w:val="009805D7"/>
    <w:rsid w:val="0098103F"/>
    <w:rsid w:val="00981E14"/>
    <w:rsid w:val="009823BF"/>
    <w:rsid w:val="00984ACD"/>
    <w:rsid w:val="0098531F"/>
    <w:rsid w:val="00986096"/>
    <w:rsid w:val="00986869"/>
    <w:rsid w:val="00986B86"/>
    <w:rsid w:val="00990807"/>
    <w:rsid w:val="00990915"/>
    <w:rsid w:val="00991381"/>
    <w:rsid w:val="00991FAD"/>
    <w:rsid w:val="00992595"/>
    <w:rsid w:val="00994B87"/>
    <w:rsid w:val="00997746"/>
    <w:rsid w:val="00997805"/>
    <w:rsid w:val="0099796E"/>
    <w:rsid w:val="009A04DE"/>
    <w:rsid w:val="009A0548"/>
    <w:rsid w:val="009A0D4E"/>
    <w:rsid w:val="009A10A8"/>
    <w:rsid w:val="009A2977"/>
    <w:rsid w:val="009A2A44"/>
    <w:rsid w:val="009A2CA2"/>
    <w:rsid w:val="009A33E5"/>
    <w:rsid w:val="009A3C93"/>
    <w:rsid w:val="009B1A50"/>
    <w:rsid w:val="009B5199"/>
    <w:rsid w:val="009B5BA3"/>
    <w:rsid w:val="009B7890"/>
    <w:rsid w:val="009C160B"/>
    <w:rsid w:val="009C2993"/>
    <w:rsid w:val="009C2D6B"/>
    <w:rsid w:val="009C39AE"/>
    <w:rsid w:val="009D0185"/>
    <w:rsid w:val="009D0487"/>
    <w:rsid w:val="009D2DA5"/>
    <w:rsid w:val="009D350C"/>
    <w:rsid w:val="009D4E7B"/>
    <w:rsid w:val="009D4F31"/>
    <w:rsid w:val="009D5C94"/>
    <w:rsid w:val="009D5EF6"/>
    <w:rsid w:val="009E20CD"/>
    <w:rsid w:val="009E4B99"/>
    <w:rsid w:val="009E5BE8"/>
    <w:rsid w:val="009E603B"/>
    <w:rsid w:val="009E789B"/>
    <w:rsid w:val="009F0F43"/>
    <w:rsid w:val="009F11BB"/>
    <w:rsid w:val="009F2410"/>
    <w:rsid w:val="009F2B48"/>
    <w:rsid w:val="009F3B91"/>
    <w:rsid w:val="009F5C0D"/>
    <w:rsid w:val="009F5D8F"/>
    <w:rsid w:val="009F72A7"/>
    <w:rsid w:val="00A04F9C"/>
    <w:rsid w:val="00A0562C"/>
    <w:rsid w:val="00A05F92"/>
    <w:rsid w:val="00A06215"/>
    <w:rsid w:val="00A0684B"/>
    <w:rsid w:val="00A06D29"/>
    <w:rsid w:val="00A07CC5"/>
    <w:rsid w:val="00A07D91"/>
    <w:rsid w:val="00A10B10"/>
    <w:rsid w:val="00A11681"/>
    <w:rsid w:val="00A1224B"/>
    <w:rsid w:val="00A13DDD"/>
    <w:rsid w:val="00A157E8"/>
    <w:rsid w:val="00A16837"/>
    <w:rsid w:val="00A17537"/>
    <w:rsid w:val="00A2049F"/>
    <w:rsid w:val="00A311F4"/>
    <w:rsid w:val="00A32886"/>
    <w:rsid w:val="00A3390F"/>
    <w:rsid w:val="00A33D99"/>
    <w:rsid w:val="00A35669"/>
    <w:rsid w:val="00A366F9"/>
    <w:rsid w:val="00A36E4B"/>
    <w:rsid w:val="00A37397"/>
    <w:rsid w:val="00A374C3"/>
    <w:rsid w:val="00A405AD"/>
    <w:rsid w:val="00A40688"/>
    <w:rsid w:val="00A40CC4"/>
    <w:rsid w:val="00A41C49"/>
    <w:rsid w:val="00A41D23"/>
    <w:rsid w:val="00A423C0"/>
    <w:rsid w:val="00A424FF"/>
    <w:rsid w:val="00A44A3E"/>
    <w:rsid w:val="00A44CCE"/>
    <w:rsid w:val="00A475FF"/>
    <w:rsid w:val="00A47701"/>
    <w:rsid w:val="00A5022B"/>
    <w:rsid w:val="00A53AE1"/>
    <w:rsid w:val="00A550CB"/>
    <w:rsid w:val="00A55AF1"/>
    <w:rsid w:val="00A56978"/>
    <w:rsid w:val="00A5701A"/>
    <w:rsid w:val="00A6213C"/>
    <w:rsid w:val="00A62D6A"/>
    <w:rsid w:val="00A636E5"/>
    <w:rsid w:val="00A658F3"/>
    <w:rsid w:val="00A71171"/>
    <w:rsid w:val="00A7222F"/>
    <w:rsid w:val="00A74810"/>
    <w:rsid w:val="00A75F19"/>
    <w:rsid w:val="00A77131"/>
    <w:rsid w:val="00A82DA8"/>
    <w:rsid w:val="00A83ECB"/>
    <w:rsid w:val="00A84540"/>
    <w:rsid w:val="00A8525E"/>
    <w:rsid w:val="00A85CFE"/>
    <w:rsid w:val="00A86C67"/>
    <w:rsid w:val="00A871ED"/>
    <w:rsid w:val="00A872A7"/>
    <w:rsid w:val="00A87689"/>
    <w:rsid w:val="00A91DB4"/>
    <w:rsid w:val="00A926C3"/>
    <w:rsid w:val="00A93B88"/>
    <w:rsid w:val="00A93C09"/>
    <w:rsid w:val="00A93FCA"/>
    <w:rsid w:val="00A952CD"/>
    <w:rsid w:val="00AA1762"/>
    <w:rsid w:val="00AB00F8"/>
    <w:rsid w:val="00AB1DC9"/>
    <w:rsid w:val="00AB4493"/>
    <w:rsid w:val="00AB46CE"/>
    <w:rsid w:val="00AB7E80"/>
    <w:rsid w:val="00AC2DF1"/>
    <w:rsid w:val="00AC5CD9"/>
    <w:rsid w:val="00AC75DE"/>
    <w:rsid w:val="00AC7840"/>
    <w:rsid w:val="00AD1AE9"/>
    <w:rsid w:val="00AD1E95"/>
    <w:rsid w:val="00AD567F"/>
    <w:rsid w:val="00AD6B60"/>
    <w:rsid w:val="00AD6C96"/>
    <w:rsid w:val="00AE6073"/>
    <w:rsid w:val="00AE61F9"/>
    <w:rsid w:val="00AE67B0"/>
    <w:rsid w:val="00AE6C0D"/>
    <w:rsid w:val="00AE7AFB"/>
    <w:rsid w:val="00AF087E"/>
    <w:rsid w:val="00AF3240"/>
    <w:rsid w:val="00AF356E"/>
    <w:rsid w:val="00AF37E6"/>
    <w:rsid w:val="00AF4D43"/>
    <w:rsid w:val="00AF6021"/>
    <w:rsid w:val="00AF64A5"/>
    <w:rsid w:val="00AF7A8B"/>
    <w:rsid w:val="00B007A4"/>
    <w:rsid w:val="00B01E74"/>
    <w:rsid w:val="00B02AE9"/>
    <w:rsid w:val="00B03622"/>
    <w:rsid w:val="00B03EDF"/>
    <w:rsid w:val="00B046CC"/>
    <w:rsid w:val="00B05B55"/>
    <w:rsid w:val="00B1072F"/>
    <w:rsid w:val="00B11299"/>
    <w:rsid w:val="00B1262D"/>
    <w:rsid w:val="00B1329C"/>
    <w:rsid w:val="00B13D49"/>
    <w:rsid w:val="00B14577"/>
    <w:rsid w:val="00B1461E"/>
    <w:rsid w:val="00B14A06"/>
    <w:rsid w:val="00B14F1C"/>
    <w:rsid w:val="00B16A60"/>
    <w:rsid w:val="00B17788"/>
    <w:rsid w:val="00B22C7E"/>
    <w:rsid w:val="00B242A6"/>
    <w:rsid w:val="00B2542C"/>
    <w:rsid w:val="00B25ED3"/>
    <w:rsid w:val="00B27EC6"/>
    <w:rsid w:val="00B3460D"/>
    <w:rsid w:val="00B35050"/>
    <w:rsid w:val="00B36E6D"/>
    <w:rsid w:val="00B37056"/>
    <w:rsid w:val="00B37D53"/>
    <w:rsid w:val="00B40BD2"/>
    <w:rsid w:val="00B40C75"/>
    <w:rsid w:val="00B4393A"/>
    <w:rsid w:val="00B44B17"/>
    <w:rsid w:val="00B45A34"/>
    <w:rsid w:val="00B46B32"/>
    <w:rsid w:val="00B46DC4"/>
    <w:rsid w:val="00B54F43"/>
    <w:rsid w:val="00B55D4C"/>
    <w:rsid w:val="00B56539"/>
    <w:rsid w:val="00B56898"/>
    <w:rsid w:val="00B56B19"/>
    <w:rsid w:val="00B6012F"/>
    <w:rsid w:val="00B6017C"/>
    <w:rsid w:val="00B60B1E"/>
    <w:rsid w:val="00B63AC7"/>
    <w:rsid w:val="00B65730"/>
    <w:rsid w:val="00B66F3B"/>
    <w:rsid w:val="00B6736A"/>
    <w:rsid w:val="00B67C98"/>
    <w:rsid w:val="00B703FF"/>
    <w:rsid w:val="00B709B7"/>
    <w:rsid w:val="00B70FC4"/>
    <w:rsid w:val="00B714FD"/>
    <w:rsid w:val="00B7296C"/>
    <w:rsid w:val="00B72CC6"/>
    <w:rsid w:val="00B74CDE"/>
    <w:rsid w:val="00B75862"/>
    <w:rsid w:val="00B767D6"/>
    <w:rsid w:val="00B772A4"/>
    <w:rsid w:val="00B774E1"/>
    <w:rsid w:val="00B778F6"/>
    <w:rsid w:val="00B80C22"/>
    <w:rsid w:val="00B831BD"/>
    <w:rsid w:val="00B87583"/>
    <w:rsid w:val="00B903AA"/>
    <w:rsid w:val="00B9043D"/>
    <w:rsid w:val="00B920F7"/>
    <w:rsid w:val="00B9323D"/>
    <w:rsid w:val="00B93EEF"/>
    <w:rsid w:val="00B954DD"/>
    <w:rsid w:val="00BA10F4"/>
    <w:rsid w:val="00BA1DB6"/>
    <w:rsid w:val="00BA279E"/>
    <w:rsid w:val="00BA5350"/>
    <w:rsid w:val="00BA56AC"/>
    <w:rsid w:val="00BA6444"/>
    <w:rsid w:val="00BA6F3B"/>
    <w:rsid w:val="00BA6F4A"/>
    <w:rsid w:val="00BB0D5B"/>
    <w:rsid w:val="00BB232D"/>
    <w:rsid w:val="00BB3BFE"/>
    <w:rsid w:val="00BB5C9B"/>
    <w:rsid w:val="00BC1236"/>
    <w:rsid w:val="00BC275E"/>
    <w:rsid w:val="00BC2ECD"/>
    <w:rsid w:val="00BC323A"/>
    <w:rsid w:val="00BC5956"/>
    <w:rsid w:val="00BC5A50"/>
    <w:rsid w:val="00BC5B20"/>
    <w:rsid w:val="00BC66E5"/>
    <w:rsid w:val="00BC735B"/>
    <w:rsid w:val="00BC7BC1"/>
    <w:rsid w:val="00BD0327"/>
    <w:rsid w:val="00BD0F22"/>
    <w:rsid w:val="00BD12C8"/>
    <w:rsid w:val="00BD1431"/>
    <w:rsid w:val="00BD1728"/>
    <w:rsid w:val="00BD2CFB"/>
    <w:rsid w:val="00BD2ECB"/>
    <w:rsid w:val="00BD316A"/>
    <w:rsid w:val="00BD3EFD"/>
    <w:rsid w:val="00BE124F"/>
    <w:rsid w:val="00BE192E"/>
    <w:rsid w:val="00BE1EF6"/>
    <w:rsid w:val="00BE24A7"/>
    <w:rsid w:val="00BE35A6"/>
    <w:rsid w:val="00BE3A34"/>
    <w:rsid w:val="00BE599D"/>
    <w:rsid w:val="00BE5B7D"/>
    <w:rsid w:val="00BE7769"/>
    <w:rsid w:val="00BE7F26"/>
    <w:rsid w:val="00BF01B2"/>
    <w:rsid w:val="00BF091C"/>
    <w:rsid w:val="00BF09CB"/>
    <w:rsid w:val="00BF1C4F"/>
    <w:rsid w:val="00BF1EC6"/>
    <w:rsid w:val="00BF236C"/>
    <w:rsid w:val="00BF317C"/>
    <w:rsid w:val="00BF7954"/>
    <w:rsid w:val="00BF7DD8"/>
    <w:rsid w:val="00C026BB"/>
    <w:rsid w:val="00C026C0"/>
    <w:rsid w:val="00C03EE7"/>
    <w:rsid w:val="00C04AE2"/>
    <w:rsid w:val="00C050A2"/>
    <w:rsid w:val="00C055E3"/>
    <w:rsid w:val="00C05A9B"/>
    <w:rsid w:val="00C06C6E"/>
    <w:rsid w:val="00C06E1F"/>
    <w:rsid w:val="00C0736E"/>
    <w:rsid w:val="00C07FBB"/>
    <w:rsid w:val="00C11068"/>
    <w:rsid w:val="00C11BAC"/>
    <w:rsid w:val="00C126AA"/>
    <w:rsid w:val="00C129E2"/>
    <w:rsid w:val="00C143C8"/>
    <w:rsid w:val="00C14481"/>
    <w:rsid w:val="00C14561"/>
    <w:rsid w:val="00C14963"/>
    <w:rsid w:val="00C150CD"/>
    <w:rsid w:val="00C15A9B"/>
    <w:rsid w:val="00C16459"/>
    <w:rsid w:val="00C1709D"/>
    <w:rsid w:val="00C1753F"/>
    <w:rsid w:val="00C21B24"/>
    <w:rsid w:val="00C234F4"/>
    <w:rsid w:val="00C25166"/>
    <w:rsid w:val="00C25EC7"/>
    <w:rsid w:val="00C2604B"/>
    <w:rsid w:val="00C2795A"/>
    <w:rsid w:val="00C347B5"/>
    <w:rsid w:val="00C3728B"/>
    <w:rsid w:val="00C37959"/>
    <w:rsid w:val="00C432EF"/>
    <w:rsid w:val="00C4441B"/>
    <w:rsid w:val="00C457B7"/>
    <w:rsid w:val="00C45B74"/>
    <w:rsid w:val="00C46441"/>
    <w:rsid w:val="00C4701A"/>
    <w:rsid w:val="00C51D94"/>
    <w:rsid w:val="00C52366"/>
    <w:rsid w:val="00C55EC5"/>
    <w:rsid w:val="00C57F1E"/>
    <w:rsid w:val="00C60020"/>
    <w:rsid w:val="00C63D62"/>
    <w:rsid w:val="00C71B6E"/>
    <w:rsid w:val="00C739A5"/>
    <w:rsid w:val="00C743CB"/>
    <w:rsid w:val="00C752AC"/>
    <w:rsid w:val="00C76218"/>
    <w:rsid w:val="00C77D42"/>
    <w:rsid w:val="00C803E9"/>
    <w:rsid w:val="00C816AA"/>
    <w:rsid w:val="00C83A38"/>
    <w:rsid w:val="00C83B3F"/>
    <w:rsid w:val="00C85039"/>
    <w:rsid w:val="00C86406"/>
    <w:rsid w:val="00C8734F"/>
    <w:rsid w:val="00C9051A"/>
    <w:rsid w:val="00C90907"/>
    <w:rsid w:val="00C9104E"/>
    <w:rsid w:val="00C92261"/>
    <w:rsid w:val="00C936D0"/>
    <w:rsid w:val="00C94A02"/>
    <w:rsid w:val="00C94B07"/>
    <w:rsid w:val="00C953B2"/>
    <w:rsid w:val="00CA03AE"/>
    <w:rsid w:val="00CA044B"/>
    <w:rsid w:val="00CA04C0"/>
    <w:rsid w:val="00CA4B32"/>
    <w:rsid w:val="00CA614D"/>
    <w:rsid w:val="00CA722C"/>
    <w:rsid w:val="00CB3798"/>
    <w:rsid w:val="00CB438D"/>
    <w:rsid w:val="00CB548E"/>
    <w:rsid w:val="00CB573E"/>
    <w:rsid w:val="00CB5864"/>
    <w:rsid w:val="00CB6447"/>
    <w:rsid w:val="00CB7FE3"/>
    <w:rsid w:val="00CC138D"/>
    <w:rsid w:val="00CC17C8"/>
    <w:rsid w:val="00CC1F2B"/>
    <w:rsid w:val="00CC22AD"/>
    <w:rsid w:val="00CC4A4E"/>
    <w:rsid w:val="00CC5E1F"/>
    <w:rsid w:val="00CC643C"/>
    <w:rsid w:val="00CC700A"/>
    <w:rsid w:val="00CC76C8"/>
    <w:rsid w:val="00CD02E8"/>
    <w:rsid w:val="00CD1E24"/>
    <w:rsid w:val="00CD2F5B"/>
    <w:rsid w:val="00CD5083"/>
    <w:rsid w:val="00CD55B6"/>
    <w:rsid w:val="00CD5784"/>
    <w:rsid w:val="00CD725E"/>
    <w:rsid w:val="00CD7740"/>
    <w:rsid w:val="00CE2348"/>
    <w:rsid w:val="00CE23AE"/>
    <w:rsid w:val="00CE267A"/>
    <w:rsid w:val="00CE367A"/>
    <w:rsid w:val="00CE3DF0"/>
    <w:rsid w:val="00CE4C9D"/>
    <w:rsid w:val="00CE5B6D"/>
    <w:rsid w:val="00CE6F69"/>
    <w:rsid w:val="00CE7389"/>
    <w:rsid w:val="00CF0838"/>
    <w:rsid w:val="00CF378C"/>
    <w:rsid w:val="00CF3D4E"/>
    <w:rsid w:val="00CF4C76"/>
    <w:rsid w:val="00CF5C45"/>
    <w:rsid w:val="00D0087F"/>
    <w:rsid w:val="00D0240D"/>
    <w:rsid w:val="00D044DD"/>
    <w:rsid w:val="00D05716"/>
    <w:rsid w:val="00D07F75"/>
    <w:rsid w:val="00D11A99"/>
    <w:rsid w:val="00D1222F"/>
    <w:rsid w:val="00D12994"/>
    <w:rsid w:val="00D13EE5"/>
    <w:rsid w:val="00D14C3A"/>
    <w:rsid w:val="00D15263"/>
    <w:rsid w:val="00D15368"/>
    <w:rsid w:val="00D218A3"/>
    <w:rsid w:val="00D228C5"/>
    <w:rsid w:val="00D23CD3"/>
    <w:rsid w:val="00D24708"/>
    <w:rsid w:val="00D24FEA"/>
    <w:rsid w:val="00D25F58"/>
    <w:rsid w:val="00D26459"/>
    <w:rsid w:val="00D339EC"/>
    <w:rsid w:val="00D34E80"/>
    <w:rsid w:val="00D35BF7"/>
    <w:rsid w:val="00D377EB"/>
    <w:rsid w:val="00D408E2"/>
    <w:rsid w:val="00D40CEF"/>
    <w:rsid w:val="00D40FD1"/>
    <w:rsid w:val="00D41796"/>
    <w:rsid w:val="00D42120"/>
    <w:rsid w:val="00D46130"/>
    <w:rsid w:val="00D50CE5"/>
    <w:rsid w:val="00D51425"/>
    <w:rsid w:val="00D5276A"/>
    <w:rsid w:val="00D534BE"/>
    <w:rsid w:val="00D535DA"/>
    <w:rsid w:val="00D53642"/>
    <w:rsid w:val="00D54B81"/>
    <w:rsid w:val="00D560C9"/>
    <w:rsid w:val="00D56489"/>
    <w:rsid w:val="00D618B9"/>
    <w:rsid w:val="00D64CDE"/>
    <w:rsid w:val="00D6575B"/>
    <w:rsid w:val="00D66E19"/>
    <w:rsid w:val="00D72E68"/>
    <w:rsid w:val="00D731D5"/>
    <w:rsid w:val="00D73383"/>
    <w:rsid w:val="00D735A1"/>
    <w:rsid w:val="00D73CFC"/>
    <w:rsid w:val="00D74FC2"/>
    <w:rsid w:val="00D75867"/>
    <w:rsid w:val="00D75DD0"/>
    <w:rsid w:val="00D771E2"/>
    <w:rsid w:val="00D77B3A"/>
    <w:rsid w:val="00D77FF6"/>
    <w:rsid w:val="00D81C79"/>
    <w:rsid w:val="00D81C9E"/>
    <w:rsid w:val="00D83567"/>
    <w:rsid w:val="00D84431"/>
    <w:rsid w:val="00D92B1D"/>
    <w:rsid w:val="00D944AE"/>
    <w:rsid w:val="00D94E3C"/>
    <w:rsid w:val="00D979B0"/>
    <w:rsid w:val="00D97F1C"/>
    <w:rsid w:val="00DA02EE"/>
    <w:rsid w:val="00DA0522"/>
    <w:rsid w:val="00DA2231"/>
    <w:rsid w:val="00DA2F24"/>
    <w:rsid w:val="00DA4571"/>
    <w:rsid w:val="00DA7475"/>
    <w:rsid w:val="00DA7C06"/>
    <w:rsid w:val="00DB0555"/>
    <w:rsid w:val="00DB082F"/>
    <w:rsid w:val="00DB18AE"/>
    <w:rsid w:val="00DB1D33"/>
    <w:rsid w:val="00DB4162"/>
    <w:rsid w:val="00DB4599"/>
    <w:rsid w:val="00DB6599"/>
    <w:rsid w:val="00DB7FBF"/>
    <w:rsid w:val="00DC1C47"/>
    <w:rsid w:val="00DC1DA9"/>
    <w:rsid w:val="00DC4093"/>
    <w:rsid w:val="00DC461D"/>
    <w:rsid w:val="00DD012F"/>
    <w:rsid w:val="00DD27EE"/>
    <w:rsid w:val="00DD579B"/>
    <w:rsid w:val="00DD7937"/>
    <w:rsid w:val="00DD7B00"/>
    <w:rsid w:val="00DD7BA9"/>
    <w:rsid w:val="00DE1D18"/>
    <w:rsid w:val="00DE6DD5"/>
    <w:rsid w:val="00DF09B5"/>
    <w:rsid w:val="00DF15C3"/>
    <w:rsid w:val="00DF19B4"/>
    <w:rsid w:val="00DF3F5F"/>
    <w:rsid w:val="00DF514E"/>
    <w:rsid w:val="00DF61BD"/>
    <w:rsid w:val="00DF671C"/>
    <w:rsid w:val="00E0029C"/>
    <w:rsid w:val="00E007E2"/>
    <w:rsid w:val="00E021F9"/>
    <w:rsid w:val="00E023E5"/>
    <w:rsid w:val="00E024C0"/>
    <w:rsid w:val="00E04504"/>
    <w:rsid w:val="00E06485"/>
    <w:rsid w:val="00E06D8B"/>
    <w:rsid w:val="00E0727B"/>
    <w:rsid w:val="00E11A65"/>
    <w:rsid w:val="00E145EE"/>
    <w:rsid w:val="00E148CA"/>
    <w:rsid w:val="00E16443"/>
    <w:rsid w:val="00E2310D"/>
    <w:rsid w:val="00E27D40"/>
    <w:rsid w:val="00E30078"/>
    <w:rsid w:val="00E30FF3"/>
    <w:rsid w:val="00E31A65"/>
    <w:rsid w:val="00E31F86"/>
    <w:rsid w:val="00E321A5"/>
    <w:rsid w:val="00E326CC"/>
    <w:rsid w:val="00E3403E"/>
    <w:rsid w:val="00E37059"/>
    <w:rsid w:val="00E372E5"/>
    <w:rsid w:val="00E37BDA"/>
    <w:rsid w:val="00E37CE6"/>
    <w:rsid w:val="00E40324"/>
    <w:rsid w:val="00E4128A"/>
    <w:rsid w:val="00E41325"/>
    <w:rsid w:val="00E41B0A"/>
    <w:rsid w:val="00E43356"/>
    <w:rsid w:val="00E43AF7"/>
    <w:rsid w:val="00E4458D"/>
    <w:rsid w:val="00E45160"/>
    <w:rsid w:val="00E4736A"/>
    <w:rsid w:val="00E4760D"/>
    <w:rsid w:val="00E5149E"/>
    <w:rsid w:val="00E51E18"/>
    <w:rsid w:val="00E525EE"/>
    <w:rsid w:val="00E535FF"/>
    <w:rsid w:val="00E54648"/>
    <w:rsid w:val="00E5516F"/>
    <w:rsid w:val="00E55863"/>
    <w:rsid w:val="00E56411"/>
    <w:rsid w:val="00E60495"/>
    <w:rsid w:val="00E63AD9"/>
    <w:rsid w:val="00E649BF"/>
    <w:rsid w:val="00E65604"/>
    <w:rsid w:val="00E67048"/>
    <w:rsid w:val="00E70144"/>
    <w:rsid w:val="00E70E02"/>
    <w:rsid w:val="00E732D1"/>
    <w:rsid w:val="00E750D5"/>
    <w:rsid w:val="00E774BF"/>
    <w:rsid w:val="00E7796E"/>
    <w:rsid w:val="00E8076B"/>
    <w:rsid w:val="00E80B41"/>
    <w:rsid w:val="00E8102F"/>
    <w:rsid w:val="00E81418"/>
    <w:rsid w:val="00E859BB"/>
    <w:rsid w:val="00E85CF2"/>
    <w:rsid w:val="00E8703A"/>
    <w:rsid w:val="00E8773E"/>
    <w:rsid w:val="00E87788"/>
    <w:rsid w:val="00E9122D"/>
    <w:rsid w:val="00E9195C"/>
    <w:rsid w:val="00E91DAC"/>
    <w:rsid w:val="00E91F68"/>
    <w:rsid w:val="00E92481"/>
    <w:rsid w:val="00E92F85"/>
    <w:rsid w:val="00E93B3C"/>
    <w:rsid w:val="00E97BE0"/>
    <w:rsid w:val="00EA098F"/>
    <w:rsid w:val="00EA0990"/>
    <w:rsid w:val="00EA53E0"/>
    <w:rsid w:val="00EA5ADF"/>
    <w:rsid w:val="00EA5F7A"/>
    <w:rsid w:val="00EA74CF"/>
    <w:rsid w:val="00EB5EDD"/>
    <w:rsid w:val="00EB68BF"/>
    <w:rsid w:val="00EB74A3"/>
    <w:rsid w:val="00EC03C9"/>
    <w:rsid w:val="00EC1724"/>
    <w:rsid w:val="00EC3F6F"/>
    <w:rsid w:val="00EC75C7"/>
    <w:rsid w:val="00ED00AA"/>
    <w:rsid w:val="00ED2068"/>
    <w:rsid w:val="00ED3544"/>
    <w:rsid w:val="00EE05F1"/>
    <w:rsid w:val="00EE106F"/>
    <w:rsid w:val="00EE4AA1"/>
    <w:rsid w:val="00EE4CDE"/>
    <w:rsid w:val="00EE5F3E"/>
    <w:rsid w:val="00EE61F4"/>
    <w:rsid w:val="00EE7ED6"/>
    <w:rsid w:val="00EF0E73"/>
    <w:rsid w:val="00EF2B51"/>
    <w:rsid w:val="00EF3BC1"/>
    <w:rsid w:val="00F02072"/>
    <w:rsid w:val="00F023D7"/>
    <w:rsid w:val="00F02784"/>
    <w:rsid w:val="00F03711"/>
    <w:rsid w:val="00F07F84"/>
    <w:rsid w:val="00F100EE"/>
    <w:rsid w:val="00F11DB9"/>
    <w:rsid w:val="00F13402"/>
    <w:rsid w:val="00F1518F"/>
    <w:rsid w:val="00F15382"/>
    <w:rsid w:val="00F153C1"/>
    <w:rsid w:val="00F153E5"/>
    <w:rsid w:val="00F1562F"/>
    <w:rsid w:val="00F15EE4"/>
    <w:rsid w:val="00F20A8C"/>
    <w:rsid w:val="00F21243"/>
    <w:rsid w:val="00F22358"/>
    <w:rsid w:val="00F25872"/>
    <w:rsid w:val="00F27486"/>
    <w:rsid w:val="00F27753"/>
    <w:rsid w:val="00F27B98"/>
    <w:rsid w:val="00F3029F"/>
    <w:rsid w:val="00F30487"/>
    <w:rsid w:val="00F309AD"/>
    <w:rsid w:val="00F30DE1"/>
    <w:rsid w:val="00F31292"/>
    <w:rsid w:val="00F333E5"/>
    <w:rsid w:val="00F33ED1"/>
    <w:rsid w:val="00F35F08"/>
    <w:rsid w:val="00F422B0"/>
    <w:rsid w:val="00F4234D"/>
    <w:rsid w:val="00F43A1A"/>
    <w:rsid w:val="00F44AAA"/>
    <w:rsid w:val="00F45213"/>
    <w:rsid w:val="00F47571"/>
    <w:rsid w:val="00F51210"/>
    <w:rsid w:val="00F521EA"/>
    <w:rsid w:val="00F52351"/>
    <w:rsid w:val="00F52522"/>
    <w:rsid w:val="00F53165"/>
    <w:rsid w:val="00F54902"/>
    <w:rsid w:val="00F54CA4"/>
    <w:rsid w:val="00F56F17"/>
    <w:rsid w:val="00F56F7F"/>
    <w:rsid w:val="00F60CAF"/>
    <w:rsid w:val="00F60E4C"/>
    <w:rsid w:val="00F60EF4"/>
    <w:rsid w:val="00F6175E"/>
    <w:rsid w:val="00F63261"/>
    <w:rsid w:val="00F646A8"/>
    <w:rsid w:val="00F6573D"/>
    <w:rsid w:val="00F65C1C"/>
    <w:rsid w:val="00F67428"/>
    <w:rsid w:val="00F71795"/>
    <w:rsid w:val="00F76317"/>
    <w:rsid w:val="00F770AD"/>
    <w:rsid w:val="00F77251"/>
    <w:rsid w:val="00F7760E"/>
    <w:rsid w:val="00F7799B"/>
    <w:rsid w:val="00F80D96"/>
    <w:rsid w:val="00F810A9"/>
    <w:rsid w:val="00F838C5"/>
    <w:rsid w:val="00F8463D"/>
    <w:rsid w:val="00F84D6B"/>
    <w:rsid w:val="00F87A4B"/>
    <w:rsid w:val="00F93721"/>
    <w:rsid w:val="00F96A1C"/>
    <w:rsid w:val="00F97143"/>
    <w:rsid w:val="00F977A2"/>
    <w:rsid w:val="00FA0C5A"/>
    <w:rsid w:val="00FA12D6"/>
    <w:rsid w:val="00FA1FCD"/>
    <w:rsid w:val="00FA2144"/>
    <w:rsid w:val="00FA22EA"/>
    <w:rsid w:val="00FA329B"/>
    <w:rsid w:val="00FA456B"/>
    <w:rsid w:val="00FA462D"/>
    <w:rsid w:val="00FA48B6"/>
    <w:rsid w:val="00FA73B6"/>
    <w:rsid w:val="00FA7C55"/>
    <w:rsid w:val="00FA7FB9"/>
    <w:rsid w:val="00FB35F2"/>
    <w:rsid w:val="00FB3CE3"/>
    <w:rsid w:val="00FB3DF3"/>
    <w:rsid w:val="00FB55F3"/>
    <w:rsid w:val="00FB6BCD"/>
    <w:rsid w:val="00FC1775"/>
    <w:rsid w:val="00FC1F02"/>
    <w:rsid w:val="00FC2CBE"/>
    <w:rsid w:val="00FC38C9"/>
    <w:rsid w:val="00FC3952"/>
    <w:rsid w:val="00FC43E9"/>
    <w:rsid w:val="00FC4FAD"/>
    <w:rsid w:val="00FC5302"/>
    <w:rsid w:val="00FC773E"/>
    <w:rsid w:val="00FD0D57"/>
    <w:rsid w:val="00FD13AE"/>
    <w:rsid w:val="00FD2D65"/>
    <w:rsid w:val="00FD3572"/>
    <w:rsid w:val="00FD576D"/>
    <w:rsid w:val="00FD670D"/>
    <w:rsid w:val="00FD7155"/>
    <w:rsid w:val="00FE0B36"/>
    <w:rsid w:val="00FE293D"/>
    <w:rsid w:val="00FE3B39"/>
    <w:rsid w:val="00FE3F9D"/>
    <w:rsid w:val="00FE48DC"/>
    <w:rsid w:val="00FE573E"/>
    <w:rsid w:val="00FE6205"/>
    <w:rsid w:val="00FE6C2F"/>
    <w:rsid w:val="00FF1B2D"/>
    <w:rsid w:val="00FF29FD"/>
    <w:rsid w:val="00FF3639"/>
    <w:rsid w:val="00FF6401"/>
    <w:rsid w:val="00FF768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laceType"/>
  <w:smartTagType w:namespaceuri="urn:schemas-microsoft-com:office:smarttags" w:name="PlaceName"/>
  <w:smartTagType w:namespaceuri="urn:schemas-microsoft-com:office:smarttags" w:name="PersonName"/>
  <w:smartTagType w:namespaceuri="urn:schemas-microsoft-com:office:smarttags" w:name="place"/>
  <w:smartTagType w:namespaceuri="urn:schemas-microsoft-com:office:smarttags" w:name="City"/>
  <w:shapeDefaults>
    <o:shapedefaults v:ext="edit" spidmax="21299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semiHidden="1" w:unhideWhenUsed="1"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annotation text" w:uiPriority="99"/>
    <w:lsdException w:name="caption" w:semiHidden="1" w:unhideWhenUsed="1" w:qFormat="1"/>
    <w:lsdException w:name="annotation reference" w:uiPriority="99"/>
    <w:lsdException w:name="endnote reference" w:uiPriority="99"/>
    <w:lsdException w:name="Title" w:qFormat="1"/>
    <w:lsdException w:name="Subtitle" w:qFormat="1"/>
    <w:lsdException w:name="Hyperlink" w:uiPriority="99"/>
    <w:lsdException w:name="Strong" w:uiPriority="22" w:qFormat="1"/>
    <w:lsdException w:name="Emphasis" w:qFormat="1"/>
    <w:lsdException w:name="Plain Text" w:uiPriority="99"/>
    <w:lsdException w:name="Normal (Web)" w:uiPriority="99"/>
    <w:lsdException w:name="HTML Cite"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1243AF"/>
    <w:rPr>
      <w:rFonts w:ascii="Arial" w:hAnsi="Arial"/>
      <w:szCs w:val="24"/>
    </w:rPr>
  </w:style>
  <w:style w:type="paragraph" w:styleId="Heading1">
    <w:name w:val="heading 1"/>
    <w:basedOn w:val="Normal"/>
    <w:next w:val="Normal"/>
    <w:link w:val="Heading1Char"/>
    <w:qFormat/>
    <w:rsid w:val="000F1DDB"/>
    <w:pPr>
      <w:keepNext/>
      <w:numPr>
        <w:numId w:val="1"/>
      </w:numPr>
      <w:spacing w:before="240" w:after="60"/>
      <w:jc w:val="center"/>
      <w:outlineLvl w:val="0"/>
    </w:pPr>
    <w:rPr>
      <w:rFonts w:cs="Arial"/>
      <w:b/>
      <w:bCs/>
      <w:kern w:val="32"/>
      <w:sz w:val="22"/>
      <w:szCs w:val="32"/>
    </w:rPr>
  </w:style>
  <w:style w:type="paragraph" w:styleId="Heading2">
    <w:name w:val="heading 2"/>
    <w:basedOn w:val="Normal"/>
    <w:next w:val="Normal"/>
    <w:link w:val="Heading2Char"/>
    <w:qFormat/>
    <w:rsid w:val="00A157E8"/>
    <w:pPr>
      <w:keepNext/>
      <w:tabs>
        <w:tab w:val="left" w:pos="567"/>
        <w:tab w:val="right" w:pos="9072"/>
      </w:tabs>
      <w:ind w:left="1701" w:hanging="1701"/>
      <w:outlineLvl w:val="1"/>
    </w:pPr>
    <w:rPr>
      <w:rFonts w:cs="Arial"/>
      <w:b/>
      <w:bCs/>
      <w:iCs/>
      <w:sz w:val="22"/>
      <w:szCs w:val="28"/>
    </w:rPr>
  </w:style>
  <w:style w:type="paragraph" w:styleId="Heading3">
    <w:name w:val="heading 3"/>
    <w:basedOn w:val="Normal"/>
    <w:next w:val="Normal"/>
    <w:link w:val="Heading3Char"/>
    <w:qFormat/>
    <w:rsid w:val="004B5923"/>
    <w:pPr>
      <w:keepNext/>
      <w:spacing w:before="240" w:after="60"/>
      <w:outlineLvl w:val="2"/>
    </w:pPr>
    <w:rPr>
      <w:rFonts w:eastAsia="SimSun" w:cs="Arial"/>
      <w:bCs/>
      <w:sz w:val="22"/>
      <w:szCs w:val="26"/>
      <w:u w:val="single"/>
    </w:rPr>
  </w:style>
  <w:style w:type="paragraph" w:styleId="Heading4">
    <w:name w:val="heading 4"/>
    <w:basedOn w:val="Normal"/>
    <w:next w:val="Normal"/>
    <w:link w:val="Heading4Char"/>
    <w:qFormat/>
    <w:rsid w:val="00933C0B"/>
    <w:pPr>
      <w:keepNext/>
      <w:spacing w:before="240" w:after="60"/>
      <w:outlineLvl w:val="3"/>
    </w:pPr>
    <w:rPr>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pPr>
      <w:tabs>
        <w:tab w:val="center" w:pos="4536"/>
        <w:tab w:val="right" w:pos="9072"/>
      </w:tabs>
    </w:pPr>
  </w:style>
  <w:style w:type="table" w:styleId="TableGrid">
    <w:name w:val="Table Grid"/>
    <w:basedOn w:val="TableNormal"/>
    <w:rsid w:val="007658A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CharChar">
    <w:name w:val="Char Char Char Char"/>
    <w:basedOn w:val="Normal"/>
    <w:rsid w:val="007658A8"/>
    <w:pPr>
      <w:spacing w:after="160" w:line="240" w:lineRule="exact"/>
    </w:pPr>
    <w:rPr>
      <w:rFonts w:ascii="Verdana" w:hAnsi="Verdana"/>
      <w:szCs w:val="20"/>
      <w:lang w:val="en-GB"/>
    </w:rPr>
  </w:style>
  <w:style w:type="paragraph" w:styleId="BodyText">
    <w:name w:val="Body Text"/>
    <w:basedOn w:val="Normal"/>
    <w:link w:val="BodyTextChar"/>
    <w:rsid w:val="007658A8"/>
    <w:rPr>
      <w:szCs w:val="20"/>
    </w:rPr>
  </w:style>
  <w:style w:type="character" w:customStyle="1" w:styleId="BodyTextChar">
    <w:name w:val="Body Text Char"/>
    <w:link w:val="BodyText"/>
    <w:rsid w:val="007658A8"/>
    <w:rPr>
      <w:rFonts w:ascii="Arial" w:hAnsi="Arial"/>
      <w:lang w:val="en-US" w:eastAsia="en-US" w:bidi="ar-SA"/>
    </w:rPr>
  </w:style>
  <w:style w:type="paragraph" w:styleId="BodyTextIndent">
    <w:name w:val="Body Text Indent"/>
    <w:basedOn w:val="Normal"/>
    <w:link w:val="BodyTextIndentChar"/>
    <w:rsid w:val="00101F3F"/>
    <w:pPr>
      <w:ind w:left="567"/>
    </w:pPr>
    <w:rPr>
      <w:szCs w:val="20"/>
    </w:rPr>
  </w:style>
  <w:style w:type="paragraph" w:styleId="Footer">
    <w:name w:val="footer"/>
    <w:basedOn w:val="Normal"/>
    <w:link w:val="FooterChar"/>
    <w:rsid w:val="00101F3F"/>
    <w:pPr>
      <w:tabs>
        <w:tab w:val="center" w:pos="4320"/>
        <w:tab w:val="right" w:pos="8640"/>
      </w:tabs>
    </w:pPr>
  </w:style>
  <w:style w:type="character" w:styleId="PageNumber">
    <w:name w:val="page number"/>
    <w:basedOn w:val="DefaultParagraphFont"/>
    <w:rsid w:val="00101F3F"/>
  </w:style>
  <w:style w:type="character" w:customStyle="1" w:styleId="CharChar">
    <w:name w:val="Char Char"/>
    <w:locked/>
    <w:rsid w:val="00FA18B8"/>
    <w:rPr>
      <w:rFonts w:ascii="Arial" w:hAnsi="Arial" w:cs="Times New Roman"/>
      <w:lang w:val="en-US" w:eastAsia="en-US" w:bidi="ar-SA"/>
    </w:rPr>
  </w:style>
  <w:style w:type="character" w:styleId="Hyperlink">
    <w:name w:val="Hyperlink"/>
    <w:uiPriority w:val="99"/>
    <w:rsid w:val="00BE6194"/>
    <w:rPr>
      <w:color w:val="000099"/>
      <w:u w:val="single"/>
    </w:rPr>
  </w:style>
  <w:style w:type="paragraph" w:styleId="FootnoteText">
    <w:name w:val="footnote text"/>
    <w:basedOn w:val="Normal"/>
    <w:link w:val="FootnoteTextChar"/>
    <w:rsid w:val="007C76C9"/>
    <w:rPr>
      <w:szCs w:val="20"/>
    </w:rPr>
  </w:style>
  <w:style w:type="character" w:styleId="FootnoteReference">
    <w:name w:val="footnote reference"/>
    <w:aliases w:val="Footnote"/>
    <w:rsid w:val="007C76C9"/>
    <w:rPr>
      <w:vertAlign w:val="superscript"/>
    </w:rPr>
  </w:style>
  <w:style w:type="paragraph" w:styleId="BalloonText">
    <w:name w:val="Balloon Text"/>
    <w:basedOn w:val="Normal"/>
    <w:link w:val="BalloonTextChar"/>
    <w:rsid w:val="005C3C2A"/>
    <w:rPr>
      <w:rFonts w:ascii="Tahoma" w:hAnsi="Tahoma" w:cs="Tahoma"/>
      <w:sz w:val="16"/>
      <w:szCs w:val="16"/>
    </w:rPr>
  </w:style>
  <w:style w:type="paragraph" w:customStyle="1" w:styleId="CarCar">
    <w:name w:val="Car Car"/>
    <w:basedOn w:val="Normal"/>
    <w:rsid w:val="00F229CA"/>
    <w:pPr>
      <w:spacing w:after="160" w:line="240" w:lineRule="exact"/>
    </w:pPr>
    <w:rPr>
      <w:rFonts w:ascii="Verdana" w:hAnsi="Verdana"/>
      <w:szCs w:val="20"/>
      <w:lang w:val="en-GB"/>
    </w:rPr>
  </w:style>
  <w:style w:type="character" w:styleId="CommentReference">
    <w:name w:val="annotation reference"/>
    <w:uiPriority w:val="99"/>
    <w:rsid w:val="00BE1EF6"/>
    <w:rPr>
      <w:sz w:val="16"/>
      <w:szCs w:val="16"/>
    </w:rPr>
  </w:style>
  <w:style w:type="paragraph" w:styleId="CommentText">
    <w:name w:val="annotation text"/>
    <w:basedOn w:val="Normal"/>
    <w:link w:val="CommentTextChar"/>
    <w:uiPriority w:val="99"/>
    <w:rsid w:val="00BE1EF6"/>
    <w:rPr>
      <w:szCs w:val="20"/>
    </w:rPr>
  </w:style>
  <w:style w:type="paragraph" w:styleId="CommentSubject">
    <w:name w:val="annotation subject"/>
    <w:basedOn w:val="CommentText"/>
    <w:next w:val="CommentText"/>
    <w:link w:val="CommentSubjectChar"/>
    <w:rsid w:val="00BE1EF6"/>
    <w:rPr>
      <w:b/>
      <w:bCs/>
    </w:rPr>
  </w:style>
  <w:style w:type="paragraph" w:customStyle="1" w:styleId="Default">
    <w:name w:val="Default"/>
    <w:rsid w:val="007E6799"/>
    <w:pPr>
      <w:autoSpaceDE w:val="0"/>
      <w:autoSpaceDN w:val="0"/>
      <w:adjustRightInd w:val="0"/>
    </w:pPr>
    <w:rPr>
      <w:rFonts w:ascii="Arial" w:eastAsia="Batang" w:hAnsi="Arial" w:cs="Arial"/>
      <w:color w:val="000000"/>
      <w:sz w:val="24"/>
      <w:szCs w:val="24"/>
      <w:lang w:eastAsia="ja-JP"/>
    </w:rPr>
  </w:style>
  <w:style w:type="character" w:customStyle="1" w:styleId="CharChar2">
    <w:name w:val="Char Char2"/>
    <w:rsid w:val="007E6799"/>
    <w:rPr>
      <w:rFonts w:ascii="Arial" w:hAnsi="Arial"/>
      <w:lang w:val="en-US" w:eastAsia="en-US" w:bidi="ar-SA"/>
    </w:rPr>
  </w:style>
  <w:style w:type="paragraph" w:styleId="TOC2">
    <w:name w:val="toc 2"/>
    <w:basedOn w:val="Normal"/>
    <w:next w:val="Normal"/>
    <w:autoRedefine/>
    <w:uiPriority w:val="39"/>
    <w:qFormat/>
    <w:rsid w:val="00E04504"/>
    <w:pPr>
      <w:tabs>
        <w:tab w:val="left" w:pos="1600"/>
        <w:tab w:val="right" w:leader="dot" w:pos="9498"/>
      </w:tabs>
      <w:ind w:left="200" w:right="-143"/>
    </w:pPr>
    <w:rPr>
      <w:rFonts w:asciiTheme="minorHAnsi" w:hAnsiTheme="minorHAnsi"/>
      <w:smallCaps/>
      <w:szCs w:val="20"/>
    </w:rPr>
  </w:style>
  <w:style w:type="paragraph" w:styleId="TOC1">
    <w:name w:val="toc 1"/>
    <w:basedOn w:val="Normal"/>
    <w:next w:val="Normal"/>
    <w:autoRedefine/>
    <w:uiPriority w:val="39"/>
    <w:qFormat/>
    <w:rsid w:val="007854A1"/>
    <w:pPr>
      <w:tabs>
        <w:tab w:val="left" w:pos="426"/>
        <w:tab w:val="right" w:leader="dot" w:pos="9498"/>
      </w:tabs>
      <w:spacing w:before="120" w:after="120"/>
      <w:ind w:left="426" w:right="-143" w:hanging="426"/>
    </w:pPr>
    <w:rPr>
      <w:rFonts w:cs="Arial"/>
      <w:b/>
      <w:bCs/>
      <w:caps/>
      <w:noProof/>
      <w:szCs w:val="20"/>
    </w:rPr>
  </w:style>
  <w:style w:type="paragraph" w:customStyle="1" w:styleId="Indicators">
    <w:name w:val="Indicators"/>
    <w:basedOn w:val="Normal"/>
    <w:link w:val="IndicatorsChar"/>
    <w:rsid w:val="00E7796E"/>
    <w:pPr>
      <w:spacing w:before="120"/>
      <w:ind w:left="284" w:right="170"/>
    </w:pPr>
    <w:rPr>
      <w:szCs w:val="20"/>
    </w:rPr>
  </w:style>
  <w:style w:type="character" w:customStyle="1" w:styleId="IndicatorsChar">
    <w:name w:val="Indicators Char"/>
    <w:link w:val="Indicators"/>
    <w:rsid w:val="00E7796E"/>
    <w:rPr>
      <w:rFonts w:ascii="Arial" w:hAnsi="Arial"/>
      <w:lang w:val="en-US" w:eastAsia="en-US" w:bidi="ar-SA"/>
    </w:rPr>
  </w:style>
  <w:style w:type="paragraph" w:customStyle="1" w:styleId="DecisionInvitingPara">
    <w:name w:val="Decision Inviting Para."/>
    <w:basedOn w:val="Normal"/>
    <w:link w:val="DecisionInvitingParaChar"/>
    <w:rsid w:val="00222A8D"/>
    <w:pPr>
      <w:spacing w:after="120" w:line="260" w:lineRule="exact"/>
      <w:ind w:left="5534"/>
    </w:pPr>
    <w:rPr>
      <w:i/>
      <w:szCs w:val="20"/>
    </w:rPr>
  </w:style>
  <w:style w:type="paragraph" w:customStyle="1" w:styleId="preparedby">
    <w:name w:val="prepared by"/>
    <w:basedOn w:val="Normal"/>
    <w:next w:val="Normal"/>
    <w:rsid w:val="00222A8D"/>
    <w:pPr>
      <w:spacing w:after="480" w:line="260" w:lineRule="exact"/>
      <w:ind w:left="1021"/>
    </w:pPr>
    <w:rPr>
      <w:i/>
      <w:szCs w:val="20"/>
    </w:rPr>
  </w:style>
  <w:style w:type="paragraph" w:customStyle="1" w:styleId="Documenttitle">
    <w:name w:val="Document title"/>
    <w:basedOn w:val="Normal"/>
    <w:rsid w:val="00222A8D"/>
    <w:pPr>
      <w:spacing w:before="1200" w:after="120" w:line="260" w:lineRule="exact"/>
      <w:ind w:left="1021"/>
    </w:pPr>
    <w:rPr>
      <w:b/>
      <w:caps/>
      <w:szCs w:val="20"/>
    </w:rPr>
  </w:style>
  <w:style w:type="paragraph" w:customStyle="1" w:styleId="MeetinglanguageDate">
    <w:name w:val="Meeting language &amp; Date"/>
    <w:basedOn w:val="Normal"/>
    <w:next w:val="Meetingtitle"/>
    <w:rsid w:val="00222A8D"/>
    <w:pPr>
      <w:spacing w:after="1680" w:line="160" w:lineRule="exact"/>
      <w:ind w:left="1021"/>
      <w:contextualSpacing/>
      <w:jc w:val="right"/>
    </w:pPr>
    <w:rPr>
      <w:rFonts w:ascii="Arial Black" w:hAnsi="Arial Black"/>
      <w:b/>
      <w:caps/>
      <w:sz w:val="15"/>
      <w:szCs w:val="20"/>
      <w:lang w:val="fr-FR"/>
    </w:rPr>
  </w:style>
  <w:style w:type="paragraph" w:customStyle="1" w:styleId="Language">
    <w:name w:val="Language"/>
    <w:basedOn w:val="Normal"/>
    <w:next w:val="Normal"/>
    <w:autoRedefine/>
    <w:rsid w:val="00222A8D"/>
    <w:pPr>
      <w:spacing w:after="120" w:line="340" w:lineRule="atLeast"/>
      <w:ind w:left="1021"/>
      <w:jc w:val="right"/>
    </w:pPr>
    <w:rPr>
      <w:b/>
      <w:caps/>
      <w:sz w:val="40"/>
      <w:szCs w:val="20"/>
      <w:lang w:val="pt-BR"/>
    </w:rPr>
  </w:style>
  <w:style w:type="paragraph" w:customStyle="1" w:styleId="MeetingCode">
    <w:name w:val="Meeting Code"/>
    <w:basedOn w:val="MeetinglanguageDate"/>
    <w:rsid w:val="00222A8D"/>
    <w:pPr>
      <w:spacing w:before="300" w:after="0"/>
    </w:pPr>
  </w:style>
  <w:style w:type="paragraph" w:customStyle="1" w:styleId="Meetingtitle">
    <w:name w:val="Meeting title"/>
    <w:basedOn w:val="Normal"/>
    <w:next w:val="Sessiontitle"/>
    <w:rsid w:val="00222A8D"/>
    <w:pPr>
      <w:spacing w:after="360" w:line="336" w:lineRule="exact"/>
      <w:ind w:left="1021"/>
    </w:pPr>
    <w:rPr>
      <w:b/>
      <w:sz w:val="28"/>
      <w:szCs w:val="20"/>
      <w:lang w:val="fr-FR"/>
    </w:rPr>
  </w:style>
  <w:style w:type="paragraph" w:customStyle="1" w:styleId="Sessiontitle">
    <w:name w:val="Session title"/>
    <w:basedOn w:val="Meetingtitle"/>
    <w:next w:val="Meetingdateplace"/>
    <w:rsid w:val="00222A8D"/>
    <w:pPr>
      <w:spacing w:after="0"/>
    </w:pPr>
    <w:rPr>
      <w:sz w:val="24"/>
    </w:rPr>
  </w:style>
  <w:style w:type="paragraph" w:customStyle="1" w:styleId="Meetingdateplace">
    <w:name w:val="Meeting date &amp; place"/>
    <w:basedOn w:val="Sessiontitle"/>
    <w:next w:val="Documenttitle"/>
    <w:rsid w:val="00222A8D"/>
    <w:rPr>
      <w:lang w:val="en-US"/>
    </w:rPr>
  </w:style>
  <w:style w:type="character" w:customStyle="1" w:styleId="CharChar3">
    <w:name w:val="Char Char3"/>
    <w:rsid w:val="009100BA"/>
    <w:rPr>
      <w:rFonts w:ascii="Arial" w:hAnsi="Arial"/>
      <w:lang w:val="en-US" w:eastAsia="en-US" w:bidi="ar-SA"/>
    </w:rPr>
  </w:style>
  <w:style w:type="paragraph" w:styleId="BlockText">
    <w:name w:val="Block Text"/>
    <w:basedOn w:val="Normal"/>
    <w:rsid w:val="009100BA"/>
    <w:pPr>
      <w:spacing w:before="60" w:after="60"/>
      <w:ind w:left="266" w:right="142"/>
    </w:pPr>
    <w:rPr>
      <w:sz w:val="22"/>
      <w:szCs w:val="20"/>
    </w:rPr>
  </w:style>
  <w:style w:type="paragraph" w:customStyle="1" w:styleId="BoxText1">
    <w:name w:val="Box Text1"/>
    <w:basedOn w:val="Normal"/>
    <w:rsid w:val="009100BA"/>
    <w:pPr>
      <w:ind w:left="284"/>
    </w:pPr>
    <w:rPr>
      <w:snapToGrid w:val="0"/>
      <w:sz w:val="22"/>
      <w:szCs w:val="20"/>
    </w:rPr>
  </w:style>
  <w:style w:type="paragraph" w:customStyle="1" w:styleId="Normal1">
    <w:name w:val="Normal+1"/>
    <w:basedOn w:val="Normal"/>
    <w:next w:val="Normal"/>
    <w:rsid w:val="00191E10"/>
    <w:pPr>
      <w:autoSpaceDE w:val="0"/>
      <w:autoSpaceDN w:val="0"/>
      <w:adjustRightInd w:val="0"/>
    </w:pPr>
  </w:style>
  <w:style w:type="paragraph" w:styleId="NormalWeb">
    <w:name w:val="Normal (Web)"/>
    <w:basedOn w:val="Normal"/>
    <w:uiPriority w:val="99"/>
    <w:rsid w:val="00EE4CDE"/>
    <w:pPr>
      <w:spacing w:before="100" w:beforeAutospacing="1" w:after="100" w:afterAutospacing="1"/>
    </w:pPr>
    <w:rPr>
      <w:rFonts w:cs="Arial"/>
      <w:sz w:val="18"/>
      <w:szCs w:val="18"/>
    </w:rPr>
  </w:style>
  <w:style w:type="paragraph" w:styleId="BodyText2">
    <w:name w:val="Body Text 2"/>
    <w:basedOn w:val="Normal"/>
    <w:link w:val="BodyText2Char"/>
    <w:rsid w:val="00EE4CDE"/>
    <w:pPr>
      <w:spacing w:after="120" w:line="480" w:lineRule="auto"/>
    </w:pPr>
  </w:style>
  <w:style w:type="character" w:customStyle="1" w:styleId="CharChar4">
    <w:name w:val="Char Char4"/>
    <w:rsid w:val="00027DD5"/>
    <w:rPr>
      <w:rFonts w:ascii="Arial" w:hAnsi="Arial"/>
      <w:lang w:val="en-US" w:eastAsia="en-US" w:bidi="ar-SA"/>
    </w:rPr>
  </w:style>
  <w:style w:type="paragraph" w:styleId="ListParagraph">
    <w:name w:val="List Paragraph"/>
    <w:basedOn w:val="Normal"/>
    <w:uiPriority w:val="34"/>
    <w:qFormat/>
    <w:rsid w:val="003071E6"/>
    <w:pPr>
      <w:ind w:left="720"/>
    </w:pPr>
    <w:rPr>
      <w:szCs w:val="20"/>
    </w:rPr>
  </w:style>
  <w:style w:type="character" w:styleId="FollowedHyperlink">
    <w:name w:val="FollowedHyperlink"/>
    <w:rsid w:val="009E4B99"/>
    <w:rPr>
      <w:color w:val="606420"/>
      <w:u w:val="single"/>
    </w:rPr>
  </w:style>
  <w:style w:type="paragraph" w:customStyle="1" w:styleId="Meetingplacedate">
    <w:name w:val="Meeting place &amp; date"/>
    <w:basedOn w:val="Sessiontitle"/>
    <w:next w:val="Documenttitle"/>
    <w:rsid w:val="00862E39"/>
    <w:rPr>
      <w:lang w:val="en-US"/>
    </w:rPr>
  </w:style>
  <w:style w:type="character" w:customStyle="1" w:styleId="CharChar6">
    <w:name w:val="Char Char6"/>
    <w:rsid w:val="00B767D6"/>
    <w:rPr>
      <w:rFonts w:ascii="Arial" w:hAnsi="Arial"/>
      <w:lang w:val="en-US" w:eastAsia="en-US" w:bidi="ar-SA"/>
    </w:rPr>
  </w:style>
  <w:style w:type="character" w:customStyle="1" w:styleId="Novruzova">
    <w:name w:val="Novruzova"/>
    <w:semiHidden/>
    <w:rsid w:val="00E774BF"/>
    <w:rPr>
      <w:rFonts w:ascii="Arial" w:hAnsi="Arial" w:cs="Arial"/>
      <w:color w:val="000080"/>
      <w:sz w:val="20"/>
      <w:szCs w:val="20"/>
    </w:rPr>
  </w:style>
  <w:style w:type="character" w:customStyle="1" w:styleId="description">
    <w:name w:val="description"/>
    <w:basedOn w:val="DefaultParagraphFont"/>
    <w:rsid w:val="008A7EEB"/>
  </w:style>
  <w:style w:type="paragraph" w:customStyle="1" w:styleId="FreeFormA">
    <w:name w:val="Free Form A"/>
    <w:rsid w:val="003214B5"/>
    <w:rPr>
      <w:rFonts w:ascii="Helvetica" w:eastAsia="ヒラギノ角ゴ Pro W3" w:hAnsi="Helvetica"/>
      <w:color w:val="000000"/>
      <w:sz w:val="24"/>
    </w:rPr>
  </w:style>
  <w:style w:type="paragraph" w:customStyle="1" w:styleId="ONUME">
    <w:name w:val="ONUM E"/>
    <w:basedOn w:val="BodyText"/>
    <w:link w:val="ONUMEChar"/>
    <w:rsid w:val="00042826"/>
    <w:pPr>
      <w:spacing w:after="220"/>
    </w:pPr>
    <w:rPr>
      <w:rFonts w:eastAsia="SimSun" w:cs="Arial"/>
      <w:lang w:eastAsia="zh-CN"/>
    </w:rPr>
  </w:style>
  <w:style w:type="paragraph" w:customStyle="1" w:styleId="Char">
    <w:name w:val="Char 字元 字元"/>
    <w:basedOn w:val="Normal"/>
    <w:rsid w:val="00C129E2"/>
    <w:pPr>
      <w:spacing w:after="160" w:line="240" w:lineRule="exact"/>
    </w:pPr>
    <w:rPr>
      <w:rFonts w:ascii="Verdana" w:eastAsia="PMingLiU" w:hAnsi="Verdana"/>
      <w:szCs w:val="20"/>
    </w:rPr>
  </w:style>
  <w:style w:type="character" w:customStyle="1" w:styleId="underline">
    <w:name w:val="underline"/>
    <w:rsid w:val="00C129E2"/>
    <w:rPr>
      <w:u w:val="single"/>
    </w:rPr>
  </w:style>
  <w:style w:type="paragraph" w:customStyle="1" w:styleId="FreeForm">
    <w:name w:val="Free Form"/>
    <w:rsid w:val="009336F3"/>
    <w:rPr>
      <w:rFonts w:eastAsia="ヒラギノ角ゴ Pro W3"/>
      <w:color w:val="000000"/>
    </w:rPr>
  </w:style>
  <w:style w:type="paragraph" w:customStyle="1" w:styleId="Heading2A">
    <w:name w:val="Heading 2 A"/>
    <w:next w:val="Normal"/>
    <w:rsid w:val="009336F3"/>
    <w:pPr>
      <w:keepNext/>
      <w:tabs>
        <w:tab w:val="left" w:pos="567"/>
        <w:tab w:val="right" w:pos="9072"/>
      </w:tabs>
      <w:ind w:left="1701" w:hanging="1701"/>
      <w:outlineLvl w:val="1"/>
    </w:pPr>
    <w:rPr>
      <w:rFonts w:ascii="Arial Bold" w:eastAsia="ヒラギノ角ゴ Pro W3" w:hAnsi="Arial Bold"/>
      <w:color w:val="000000"/>
      <w:sz w:val="22"/>
    </w:rPr>
  </w:style>
  <w:style w:type="character" w:customStyle="1" w:styleId="FootnoteTextChar">
    <w:name w:val="Footnote Text Char"/>
    <w:link w:val="FootnoteText"/>
    <w:locked/>
    <w:rsid w:val="00415453"/>
    <w:rPr>
      <w:lang w:val="en-US" w:eastAsia="en-US" w:bidi="ar-SA"/>
    </w:rPr>
  </w:style>
  <w:style w:type="paragraph" w:customStyle="1" w:styleId="Normal-Header">
    <w:name w:val="Normal-Header"/>
    <w:rsid w:val="008B6ED6"/>
    <w:rPr>
      <w:rFonts w:ascii="Arial" w:hAnsi="Arial"/>
      <w:sz w:val="16"/>
    </w:rPr>
  </w:style>
  <w:style w:type="character" w:styleId="PlaceholderText">
    <w:name w:val="Placeholder Text"/>
    <w:basedOn w:val="DefaultParagraphFont"/>
    <w:uiPriority w:val="99"/>
    <w:semiHidden/>
    <w:rsid w:val="00400A45"/>
    <w:rPr>
      <w:color w:val="808080"/>
    </w:rPr>
  </w:style>
  <w:style w:type="character" w:customStyle="1" w:styleId="Style5">
    <w:name w:val="Style5"/>
    <w:basedOn w:val="DefaultParagraphFont"/>
    <w:uiPriority w:val="99"/>
    <w:rsid w:val="00400A45"/>
    <w:rPr>
      <w:rFonts w:asciiTheme="minorHAnsi" w:hAnsiTheme="minorHAnsi"/>
      <w:sz w:val="20"/>
    </w:rPr>
  </w:style>
  <w:style w:type="paragraph" w:styleId="Revision">
    <w:name w:val="Revision"/>
    <w:hidden/>
    <w:uiPriority w:val="99"/>
    <w:semiHidden/>
    <w:rsid w:val="00A93FCA"/>
    <w:rPr>
      <w:rFonts w:ascii="Arial" w:hAnsi="Arial"/>
      <w:szCs w:val="24"/>
    </w:rPr>
  </w:style>
  <w:style w:type="character" w:customStyle="1" w:styleId="FooterChar">
    <w:name w:val="Footer Char"/>
    <w:basedOn w:val="DefaultParagraphFont"/>
    <w:link w:val="Footer"/>
    <w:uiPriority w:val="99"/>
    <w:rsid w:val="00FF768F"/>
    <w:rPr>
      <w:rFonts w:ascii="Arial" w:hAnsi="Arial"/>
      <w:szCs w:val="24"/>
    </w:rPr>
  </w:style>
  <w:style w:type="paragraph" w:styleId="TOCHeading">
    <w:name w:val="TOC Heading"/>
    <w:basedOn w:val="Heading1"/>
    <w:next w:val="Normal"/>
    <w:uiPriority w:val="39"/>
    <w:semiHidden/>
    <w:unhideWhenUsed/>
    <w:qFormat/>
    <w:rsid w:val="001562E0"/>
    <w:pPr>
      <w:keepLines/>
      <w:numPr>
        <w:numId w:val="0"/>
      </w:numPr>
      <w:spacing w:before="480" w:after="0" w:line="276" w:lineRule="auto"/>
      <w:jc w:val="left"/>
      <w:outlineLvl w:val="9"/>
    </w:pPr>
    <w:rPr>
      <w:rFonts w:asciiTheme="majorHAnsi" w:eastAsiaTheme="majorEastAsia" w:hAnsiTheme="majorHAnsi" w:cstheme="majorBidi"/>
      <w:color w:val="365F91" w:themeColor="accent1" w:themeShade="BF"/>
      <w:kern w:val="0"/>
      <w:sz w:val="28"/>
      <w:szCs w:val="28"/>
      <w:lang w:eastAsia="ja-JP"/>
    </w:rPr>
  </w:style>
  <w:style w:type="paragraph" w:styleId="TOC3">
    <w:name w:val="toc 3"/>
    <w:basedOn w:val="Normal"/>
    <w:next w:val="Normal"/>
    <w:autoRedefine/>
    <w:uiPriority w:val="39"/>
    <w:unhideWhenUsed/>
    <w:qFormat/>
    <w:rsid w:val="006325E6"/>
    <w:pPr>
      <w:tabs>
        <w:tab w:val="left" w:pos="1600"/>
        <w:tab w:val="right" w:leader="dot" w:pos="9498"/>
      </w:tabs>
      <w:ind w:left="1560" w:right="-143" w:hanging="1160"/>
    </w:pPr>
    <w:rPr>
      <w:rFonts w:asciiTheme="minorHAnsi" w:hAnsiTheme="minorHAnsi"/>
      <w:b/>
      <w:i/>
      <w:iCs/>
      <w:noProof/>
      <w:szCs w:val="20"/>
      <w:lang w:val="fr-FR"/>
    </w:rPr>
  </w:style>
  <w:style w:type="paragraph" w:styleId="TOC4">
    <w:name w:val="toc 4"/>
    <w:basedOn w:val="Normal"/>
    <w:next w:val="Normal"/>
    <w:autoRedefine/>
    <w:uiPriority w:val="39"/>
    <w:rsid w:val="007F6F24"/>
    <w:pPr>
      <w:ind w:left="600"/>
    </w:pPr>
    <w:rPr>
      <w:rFonts w:asciiTheme="minorHAnsi" w:hAnsiTheme="minorHAnsi"/>
      <w:sz w:val="18"/>
      <w:szCs w:val="18"/>
    </w:rPr>
  </w:style>
  <w:style w:type="paragraph" w:styleId="TOC5">
    <w:name w:val="toc 5"/>
    <w:basedOn w:val="Normal"/>
    <w:next w:val="Normal"/>
    <w:autoRedefine/>
    <w:rsid w:val="007F6F24"/>
    <w:pPr>
      <w:ind w:left="800"/>
    </w:pPr>
    <w:rPr>
      <w:rFonts w:asciiTheme="minorHAnsi" w:hAnsiTheme="minorHAnsi"/>
      <w:sz w:val="18"/>
      <w:szCs w:val="18"/>
    </w:rPr>
  </w:style>
  <w:style w:type="paragraph" w:styleId="TOC6">
    <w:name w:val="toc 6"/>
    <w:basedOn w:val="Normal"/>
    <w:next w:val="Normal"/>
    <w:autoRedefine/>
    <w:rsid w:val="007F6F24"/>
    <w:pPr>
      <w:ind w:left="1000"/>
    </w:pPr>
    <w:rPr>
      <w:rFonts w:asciiTheme="minorHAnsi" w:hAnsiTheme="minorHAnsi"/>
      <w:sz w:val="18"/>
      <w:szCs w:val="18"/>
    </w:rPr>
  </w:style>
  <w:style w:type="paragraph" w:styleId="TOC7">
    <w:name w:val="toc 7"/>
    <w:basedOn w:val="Normal"/>
    <w:next w:val="Normal"/>
    <w:autoRedefine/>
    <w:rsid w:val="007F6F24"/>
    <w:pPr>
      <w:ind w:left="1200"/>
    </w:pPr>
    <w:rPr>
      <w:rFonts w:asciiTheme="minorHAnsi" w:hAnsiTheme="minorHAnsi"/>
      <w:sz w:val="18"/>
      <w:szCs w:val="18"/>
    </w:rPr>
  </w:style>
  <w:style w:type="paragraph" w:styleId="TOC8">
    <w:name w:val="toc 8"/>
    <w:basedOn w:val="Normal"/>
    <w:next w:val="Normal"/>
    <w:autoRedefine/>
    <w:rsid w:val="007F6F24"/>
    <w:pPr>
      <w:ind w:left="1400"/>
    </w:pPr>
    <w:rPr>
      <w:rFonts w:asciiTheme="minorHAnsi" w:hAnsiTheme="minorHAnsi"/>
      <w:sz w:val="18"/>
      <w:szCs w:val="18"/>
    </w:rPr>
  </w:style>
  <w:style w:type="paragraph" w:styleId="TOC9">
    <w:name w:val="toc 9"/>
    <w:basedOn w:val="Normal"/>
    <w:next w:val="Normal"/>
    <w:autoRedefine/>
    <w:rsid w:val="007F6F24"/>
    <w:pPr>
      <w:ind w:left="1600"/>
    </w:pPr>
    <w:rPr>
      <w:rFonts w:asciiTheme="minorHAnsi" w:hAnsiTheme="minorHAnsi"/>
      <w:sz w:val="18"/>
      <w:szCs w:val="18"/>
    </w:rPr>
  </w:style>
  <w:style w:type="character" w:customStyle="1" w:styleId="Heading2Char">
    <w:name w:val="Heading 2 Char"/>
    <w:link w:val="Heading2"/>
    <w:rsid w:val="007F6F24"/>
    <w:rPr>
      <w:rFonts w:ascii="Arial" w:hAnsi="Arial" w:cs="Arial"/>
      <w:b/>
      <w:bCs/>
      <w:iCs/>
      <w:sz w:val="22"/>
      <w:szCs w:val="28"/>
    </w:rPr>
  </w:style>
  <w:style w:type="character" w:customStyle="1" w:styleId="DecisionInvitingParaChar">
    <w:name w:val="Decision Inviting Para. Char"/>
    <w:link w:val="DecisionInvitingPara"/>
    <w:locked/>
    <w:rsid w:val="00FE0B36"/>
    <w:rPr>
      <w:rFonts w:ascii="Arial" w:hAnsi="Arial"/>
      <w:i/>
    </w:rPr>
  </w:style>
  <w:style w:type="character" w:customStyle="1" w:styleId="HeaderChar">
    <w:name w:val="Header Char"/>
    <w:basedOn w:val="DefaultParagraphFont"/>
    <w:link w:val="Header"/>
    <w:rsid w:val="00BF01B2"/>
    <w:rPr>
      <w:rFonts w:ascii="Arial" w:hAnsi="Arial"/>
      <w:szCs w:val="24"/>
    </w:rPr>
  </w:style>
  <w:style w:type="paragraph" w:styleId="PlainText">
    <w:name w:val="Plain Text"/>
    <w:basedOn w:val="Normal"/>
    <w:link w:val="PlainTextChar"/>
    <w:uiPriority w:val="99"/>
    <w:rsid w:val="00E023E5"/>
    <w:rPr>
      <w:rFonts w:ascii="Courier New" w:eastAsia="SimSun" w:hAnsi="Courier New" w:cs="Courier New"/>
      <w:color w:val="0000FF"/>
      <w:szCs w:val="20"/>
      <w:lang w:eastAsia="zh-CN"/>
    </w:rPr>
  </w:style>
  <w:style w:type="character" w:customStyle="1" w:styleId="PlainTextChar">
    <w:name w:val="Plain Text Char"/>
    <w:basedOn w:val="DefaultParagraphFont"/>
    <w:link w:val="PlainText"/>
    <w:uiPriority w:val="99"/>
    <w:rsid w:val="00E023E5"/>
    <w:rPr>
      <w:rFonts w:ascii="Courier New" w:eastAsia="SimSun" w:hAnsi="Courier New" w:cs="Courier New"/>
      <w:color w:val="0000FF"/>
      <w:lang w:eastAsia="zh-CN"/>
    </w:rPr>
  </w:style>
  <w:style w:type="character" w:customStyle="1" w:styleId="Heading3Char">
    <w:name w:val="Heading 3 Char"/>
    <w:basedOn w:val="DefaultParagraphFont"/>
    <w:link w:val="Heading3"/>
    <w:rsid w:val="004B5923"/>
    <w:rPr>
      <w:rFonts w:ascii="Arial" w:eastAsia="SimSun" w:hAnsi="Arial" w:cs="Arial"/>
      <w:bCs/>
      <w:sz w:val="22"/>
      <w:szCs w:val="26"/>
      <w:u w:val="single"/>
    </w:rPr>
  </w:style>
  <w:style w:type="character" w:customStyle="1" w:styleId="ONUMEChar">
    <w:name w:val="ONUM E Char"/>
    <w:link w:val="ONUME"/>
    <w:locked/>
    <w:rsid w:val="009A04DE"/>
    <w:rPr>
      <w:rFonts w:ascii="Arial" w:eastAsia="SimSun" w:hAnsi="Arial" w:cs="Arial"/>
      <w:lang w:eastAsia="zh-CN"/>
    </w:rPr>
  </w:style>
  <w:style w:type="paragraph" w:customStyle="1" w:styleId="StyleHeading3BoldNounderline">
    <w:name w:val="Style Heading 3 + Bold No underline"/>
    <w:basedOn w:val="Heading3"/>
    <w:rsid w:val="00FA0C5A"/>
    <w:rPr>
      <w:i/>
      <w:u w:val="none"/>
    </w:rPr>
  </w:style>
  <w:style w:type="paragraph" w:customStyle="1" w:styleId="Style1">
    <w:name w:val="Style1"/>
    <w:basedOn w:val="Normal"/>
    <w:qFormat/>
    <w:rsid w:val="007852E3"/>
    <w:pPr>
      <w:numPr>
        <w:numId w:val="2"/>
      </w:numPr>
    </w:pPr>
  </w:style>
  <w:style w:type="paragraph" w:styleId="Salutation">
    <w:name w:val="Salutation"/>
    <w:basedOn w:val="Normal"/>
    <w:next w:val="Normal"/>
    <w:link w:val="SalutationChar"/>
    <w:rsid w:val="00F54CA4"/>
    <w:rPr>
      <w:rFonts w:cs="Arial"/>
      <w:sz w:val="22"/>
      <w:szCs w:val="20"/>
    </w:rPr>
  </w:style>
  <w:style w:type="character" w:customStyle="1" w:styleId="SalutationChar">
    <w:name w:val="Salutation Char"/>
    <w:basedOn w:val="DefaultParagraphFont"/>
    <w:link w:val="Salutation"/>
    <w:rsid w:val="00F54CA4"/>
    <w:rPr>
      <w:rFonts w:ascii="Arial" w:hAnsi="Arial" w:cs="Arial"/>
      <w:sz w:val="22"/>
    </w:rPr>
  </w:style>
  <w:style w:type="paragraph" w:styleId="Signature">
    <w:name w:val="Signature"/>
    <w:basedOn w:val="Normal"/>
    <w:link w:val="SignatureChar"/>
    <w:rsid w:val="00F54CA4"/>
    <w:pPr>
      <w:ind w:left="5250"/>
    </w:pPr>
    <w:rPr>
      <w:rFonts w:cs="Arial"/>
      <w:sz w:val="22"/>
      <w:szCs w:val="20"/>
    </w:rPr>
  </w:style>
  <w:style w:type="character" w:customStyle="1" w:styleId="SignatureChar">
    <w:name w:val="Signature Char"/>
    <w:basedOn w:val="DefaultParagraphFont"/>
    <w:link w:val="Signature"/>
    <w:rsid w:val="00F54CA4"/>
    <w:rPr>
      <w:rFonts w:ascii="Arial" w:hAnsi="Arial" w:cs="Arial"/>
      <w:sz w:val="22"/>
    </w:rPr>
  </w:style>
  <w:style w:type="paragraph" w:styleId="EndnoteText">
    <w:name w:val="endnote text"/>
    <w:basedOn w:val="Normal"/>
    <w:link w:val="EndnoteTextChar"/>
    <w:rsid w:val="00F54CA4"/>
    <w:rPr>
      <w:rFonts w:cs="Arial"/>
      <w:sz w:val="18"/>
      <w:szCs w:val="20"/>
    </w:rPr>
  </w:style>
  <w:style w:type="character" w:customStyle="1" w:styleId="EndnoteTextChar">
    <w:name w:val="Endnote Text Char"/>
    <w:basedOn w:val="DefaultParagraphFont"/>
    <w:link w:val="EndnoteText"/>
    <w:rsid w:val="00F54CA4"/>
    <w:rPr>
      <w:rFonts w:ascii="Arial" w:hAnsi="Arial" w:cs="Arial"/>
      <w:sz w:val="18"/>
    </w:rPr>
  </w:style>
  <w:style w:type="paragraph" w:styleId="Caption">
    <w:name w:val="caption"/>
    <w:basedOn w:val="Normal"/>
    <w:next w:val="Normal"/>
    <w:qFormat/>
    <w:rsid w:val="00F54CA4"/>
    <w:rPr>
      <w:rFonts w:cs="Arial"/>
      <w:b/>
      <w:bCs/>
      <w:sz w:val="18"/>
      <w:szCs w:val="20"/>
    </w:rPr>
  </w:style>
  <w:style w:type="paragraph" w:customStyle="1" w:styleId="ONUMFS">
    <w:name w:val="ONUM FS"/>
    <w:basedOn w:val="BodyText"/>
    <w:rsid w:val="00F54CA4"/>
    <w:pPr>
      <w:numPr>
        <w:numId w:val="3"/>
      </w:numPr>
      <w:spacing w:after="220"/>
    </w:pPr>
    <w:rPr>
      <w:rFonts w:cs="Arial"/>
      <w:sz w:val="22"/>
    </w:rPr>
  </w:style>
  <w:style w:type="paragraph" w:styleId="ListNumber">
    <w:name w:val="List Number"/>
    <w:basedOn w:val="Normal"/>
    <w:rsid w:val="00F54CA4"/>
    <w:pPr>
      <w:numPr>
        <w:numId w:val="4"/>
      </w:numPr>
    </w:pPr>
    <w:rPr>
      <w:rFonts w:cs="Arial"/>
      <w:sz w:val="22"/>
      <w:szCs w:val="20"/>
    </w:rPr>
  </w:style>
  <w:style w:type="character" w:customStyle="1" w:styleId="BalloonTextChar">
    <w:name w:val="Balloon Text Char"/>
    <w:basedOn w:val="DefaultParagraphFont"/>
    <w:link w:val="BalloonText"/>
    <w:rsid w:val="00F54CA4"/>
    <w:rPr>
      <w:rFonts w:ascii="Tahoma" w:hAnsi="Tahoma" w:cs="Tahoma"/>
      <w:sz w:val="16"/>
      <w:szCs w:val="16"/>
    </w:rPr>
  </w:style>
  <w:style w:type="character" w:customStyle="1" w:styleId="st">
    <w:name w:val="st"/>
    <w:basedOn w:val="DefaultParagraphFont"/>
    <w:rsid w:val="00F54CA4"/>
  </w:style>
  <w:style w:type="character" w:customStyle="1" w:styleId="CommentTextChar">
    <w:name w:val="Comment Text Char"/>
    <w:basedOn w:val="DefaultParagraphFont"/>
    <w:link w:val="CommentText"/>
    <w:uiPriority w:val="99"/>
    <w:rsid w:val="00F54CA4"/>
    <w:rPr>
      <w:rFonts w:ascii="Arial" w:hAnsi="Arial"/>
    </w:rPr>
  </w:style>
  <w:style w:type="character" w:customStyle="1" w:styleId="CommentSubjectChar">
    <w:name w:val="Comment Subject Char"/>
    <w:basedOn w:val="CommentTextChar"/>
    <w:link w:val="CommentSubject"/>
    <w:rsid w:val="00F54CA4"/>
    <w:rPr>
      <w:rFonts w:ascii="Arial" w:hAnsi="Arial"/>
      <w:b/>
      <w:bCs/>
    </w:rPr>
  </w:style>
  <w:style w:type="paragraph" w:styleId="NoSpacing">
    <w:name w:val="No Spacing"/>
    <w:uiPriority w:val="1"/>
    <w:qFormat/>
    <w:rsid w:val="00E43AF7"/>
    <w:rPr>
      <w:rFonts w:asciiTheme="minorHAnsi" w:eastAsiaTheme="minorHAnsi" w:hAnsiTheme="minorHAnsi" w:cstheme="minorBidi"/>
      <w:sz w:val="22"/>
      <w:szCs w:val="22"/>
    </w:rPr>
  </w:style>
  <w:style w:type="paragraph" w:customStyle="1" w:styleId="CharCharCharChar0">
    <w:name w:val="Char Char Char Char"/>
    <w:basedOn w:val="Normal"/>
    <w:rsid w:val="0063033D"/>
    <w:pPr>
      <w:spacing w:after="160" w:line="240" w:lineRule="exact"/>
    </w:pPr>
    <w:rPr>
      <w:rFonts w:ascii="Verdana" w:hAnsi="Verdana"/>
      <w:szCs w:val="20"/>
      <w:lang w:val="en-GB"/>
    </w:rPr>
  </w:style>
  <w:style w:type="character" w:customStyle="1" w:styleId="CharChar0">
    <w:name w:val="Char Char"/>
    <w:locked/>
    <w:rsid w:val="0063033D"/>
    <w:rPr>
      <w:rFonts w:ascii="Arial" w:hAnsi="Arial" w:cs="Times New Roman"/>
      <w:lang w:val="en-US" w:eastAsia="en-US" w:bidi="ar-SA"/>
    </w:rPr>
  </w:style>
  <w:style w:type="paragraph" w:customStyle="1" w:styleId="CarCar0">
    <w:name w:val="Car Car"/>
    <w:basedOn w:val="Normal"/>
    <w:rsid w:val="0063033D"/>
    <w:pPr>
      <w:spacing w:after="160" w:line="240" w:lineRule="exact"/>
    </w:pPr>
    <w:rPr>
      <w:rFonts w:ascii="Verdana" w:hAnsi="Verdana"/>
      <w:szCs w:val="20"/>
      <w:lang w:val="en-GB"/>
    </w:rPr>
  </w:style>
  <w:style w:type="character" w:customStyle="1" w:styleId="CharChar20">
    <w:name w:val="Char Char2"/>
    <w:rsid w:val="0063033D"/>
    <w:rPr>
      <w:rFonts w:ascii="Arial" w:hAnsi="Arial"/>
      <w:lang w:val="en-US" w:eastAsia="en-US" w:bidi="ar-SA"/>
    </w:rPr>
  </w:style>
  <w:style w:type="character" w:customStyle="1" w:styleId="CharChar30">
    <w:name w:val="Char Char3"/>
    <w:rsid w:val="0063033D"/>
    <w:rPr>
      <w:rFonts w:ascii="Arial" w:hAnsi="Arial"/>
      <w:lang w:val="en-US" w:eastAsia="en-US" w:bidi="ar-SA"/>
    </w:rPr>
  </w:style>
  <w:style w:type="character" w:customStyle="1" w:styleId="CharChar40">
    <w:name w:val="Char Char4"/>
    <w:rsid w:val="0063033D"/>
    <w:rPr>
      <w:rFonts w:ascii="Arial" w:hAnsi="Arial"/>
      <w:lang w:val="en-US" w:eastAsia="en-US" w:bidi="ar-SA"/>
    </w:rPr>
  </w:style>
  <w:style w:type="character" w:customStyle="1" w:styleId="CharChar60">
    <w:name w:val="Char Char6"/>
    <w:rsid w:val="0063033D"/>
    <w:rPr>
      <w:rFonts w:ascii="Arial" w:hAnsi="Arial"/>
      <w:lang w:val="en-US" w:eastAsia="en-US" w:bidi="ar-SA"/>
    </w:rPr>
  </w:style>
  <w:style w:type="paragraph" w:customStyle="1" w:styleId="Char0">
    <w:name w:val="Char 字元 字元"/>
    <w:basedOn w:val="Normal"/>
    <w:rsid w:val="0063033D"/>
    <w:pPr>
      <w:spacing w:after="160" w:line="240" w:lineRule="exact"/>
    </w:pPr>
    <w:rPr>
      <w:rFonts w:ascii="Verdana" w:eastAsia="PMingLiU" w:hAnsi="Verdana"/>
      <w:szCs w:val="20"/>
    </w:rPr>
  </w:style>
  <w:style w:type="character" w:customStyle="1" w:styleId="BodyText2Char">
    <w:name w:val="Body Text 2 Char"/>
    <w:basedOn w:val="DefaultParagraphFont"/>
    <w:link w:val="BodyText2"/>
    <w:rsid w:val="00815ABB"/>
    <w:rPr>
      <w:rFonts w:ascii="Arial" w:hAnsi="Arial"/>
      <w:szCs w:val="24"/>
    </w:rPr>
  </w:style>
  <w:style w:type="paragraph" w:customStyle="1" w:styleId="StyleStyleHeading3ComplexItalicLatin12pt">
    <w:name w:val="Style Style Heading 3 + (Complex) Italic + (Latin) 12 pt"/>
    <w:basedOn w:val="Normal"/>
    <w:link w:val="StyleStyleHeading3ComplexItalicLatin12ptChar"/>
    <w:rsid w:val="00F27486"/>
    <w:pPr>
      <w:keepNext/>
      <w:tabs>
        <w:tab w:val="left" w:pos="1985"/>
      </w:tabs>
      <w:outlineLvl w:val="2"/>
    </w:pPr>
    <w:rPr>
      <w:b/>
      <w:iCs/>
      <w:caps/>
      <w:szCs w:val="22"/>
    </w:rPr>
  </w:style>
  <w:style w:type="character" w:customStyle="1" w:styleId="StyleStyleHeading3ComplexItalicLatin12ptChar">
    <w:name w:val="Style Style Heading 3 + (Complex) Italic + (Latin) 12 pt Char"/>
    <w:basedOn w:val="DefaultParagraphFont"/>
    <w:link w:val="StyleStyleHeading3ComplexItalicLatin12pt"/>
    <w:rsid w:val="00F27486"/>
    <w:rPr>
      <w:rFonts w:ascii="Arial" w:hAnsi="Arial"/>
      <w:b/>
      <w:iCs/>
      <w:caps/>
      <w:szCs w:val="22"/>
    </w:rPr>
  </w:style>
  <w:style w:type="paragraph" w:customStyle="1" w:styleId="Test">
    <w:name w:val="Test"/>
    <w:basedOn w:val="Normal"/>
    <w:qFormat/>
    <w:rsid w:val="00CE4C9D"/>
    <w:pPr>
      <w:numPr>
        <w:numId w:val="9"/>
      </w:numPr>
    </w:pPr>
    <w:rPr>
      <w:rFonts w:eastAsiaTheme="minorHAnsi" w:cs="Arial"/>
      <w:sz w:val="22"/>
      <w:szCs w:val="22"/>
    </w:rPr>
  </w:style>
  <w:style w:type="paragraph" w:customStyle="1" w:styleId="StyleHeading214ptAuto">
    <w:name w:val="Style Heading 2 + 14 pt Auto"/>
    <w:basedOn w:val="Heading2"/>
    <w:rsid w:val="00A87689"/>
    <w:pPr>
      <w:keepNext w:val="0"/>
      <w:widowControl w:val="0"/>
      <w:tabs>
        <w:tab w:val="clear" w:pos="9072"/>
        <w:tab w:val="num" w:pos="567"/>
      </w:tabs>
      <w:spacing w:line="300" w:lineRule="atLeast"/>
      <w:ind w:left="567" w:hanging="567"/>
      <w:jc w:val="center"/>
    </w:pPr>
    <w:rPr>
      <w:rFonts w:ascii="Arial Bold" w:hAnsi="Arial Bold" w:cs="Times New Roman"/>
      <w:caps/>
      <w:sz w:val="24"/>
      <w:lang w:val="en-GB" w:eastAsia="da-DK"/>
    </w:rPr>
  </w:style>
  <w:style w:type="character" w:styleId="Strong">
    <w:name w:val="Strong"/>
    <w:basedOn w:val="DefaultParagraphFont"/>
    <w:uiPriority w:val="22"/>
    <w:qFormat/>
    <w:rsid w:val="000C2991"/>
    <w:rPr>
      <w:b/>
      <w:bCs/>
    </w:rPr>
  </w:style>
  <w:style w:type="paragraph" w:customStyle="1" w:styleId="StyleHeading3ComplexItalic">
    <w:name w:val="Style Heading 3 + (Complex) Italic"/>
    <w:basedOn w:val="Heading3"/>
    <w:link w:val="StyleHeading3ComplexItalicChar"/>
    <w:rsid w:val="00603FB5"/>
    <w:pPr>
      <w:tabs>
        <w:tab w:val="left" w:pos="1985"/>
      </w:tabs>
      <w:spacing w:before="0" w:after="0"/>
    </w:pPr>
    <w:rPr>
      <w:rFonts w:eastAsia="Times New Roman"/>
      <w:b/>
      <w:bCs w:val="0"/>
      <w:iCs/>
      <w:caps/>
      <w:szCs w:val="22"/>
      <w:u w:val="none"/>
    </w:rPr>
  </w:style>
  <w:style w:type="character" w:customStyle="1" w:styleId="StyleHeading3ComplexItalicChar">
    <w:name w:val="Style Heading 3 + (Complex) Italic Char"/>
    <w:link w:val="StyleHeading3ComplexItalic"/>
    <w:rsid w:val="00603FB5"/>
    <w:rPr>
      <w:rFonts w:ascii="Arial" w:hAnsi="Arial" w:cs="Arial"/>
      <w:b/>
      <w:iCs/>
      <w:caps/>
      <w:sz w:val="22"/>
      <w:szCs w:val="22"/>
    </w:rPr>
  </w:style>
  <w:style w:type="character" w:customStyle="1" w:styleId="Heading1Char">
    <w:name w:val="Heading 1 Char"/>
    <w:basedOn w:val="DefaultParagraphFont"/>
    <w:link w:val="Heading1"/>
    <w:rsid w:val="00A44CCE"/>
    <w:rPr>
      <w:rFonts w:ascii="Arial" w:hAnsi="Arial" w:cs="Arial"/>
      <w:b/>
      <w:bCs/>
      <w:kern w:val="32"/>
      <w:sz w:val="22"/>
      <w:szCs w:val="32"/>
    </w:rPr>
  </w:style>
  <w:style w:type="character" w:styleId="EndnoteReference">
    <w:name w:val="endnote reference"/>
    <w:basedOn w:val="DefaultParagraphFont"/>
    <w:uiPriority w:val="99"/>
    <w:unhideWhenUsed/>
    <w:rsid w:val="00D944AE"/>
    <w:rPr>
      <w:vertAlign w:val="superscript"/>
    </w:rPr>
  </w:style>
  <w:style w:type="character" w:styleId="HTMLCite">
    <w:name w:val="HTML Cite"/>
    <w:basedOn w:val="DefaultParagraphFont"/>
    <w:uiPriority w:val="99"/>
    <w:unhideWhenUsed/>
    <w:rsid w:val="00D944AE"/>
    <w:rPr>
      <w:i/>
      <w:iCs/>
    </w:rPr>
  </w:style>
  <w:style w:type="character" w:customStyle="1" w:styleId="Heading4Char">
    <w:name w:val="Heading 4 Char"/>
    <w:basedOn w:val="DefaultParagraphFont"/>
    <w:link w:val="Heading4"/>
    <w:rsid w:val="00123DC4"/>
    <w:rPr>
      <w:rFonts w:ascii="Arial" w:hAnsi="Arial"/>
      <w:b/>
      <w:bCs/>
      <w:sz w:val="28"/>
      <w:szCs w:val="28"/>
    </w:rPr>
  </w:style>
  <w:style w:type="character" w:customStyle="1" w:styleId="BodyTextIndentChar">
    <w:name w:val="Body Text Indent Char"/>
    <w:basedOn w:val="DefaultParagraphFont"/>
    <w:link w:val="BodyTextIndent"/>
    <w:rsid w:val="00123DC4"/>
    <w:rPr>
      <w:rFonts w:ascii="Arial" w:hAnsi="Arial"/>
    </w:rPr>
  </w:style>
  <w:style w:type="paragraph" w:customStyle="1" w:styleId="Endofdocument-Annex">
    <w:name w:val="[End of document - Annex]"/>
    <w:basedOn w:val="Normal"/>
    <w:rsid w:val="00123DC4"/>
    <w:pPr>
      <w:ind w:left="5534"/>
    </w:pPr>
    <w:rPr>
      <w:rFonts w:eastAsia="SimSun" w:cs="Arial"/>
      <w:sz w:val="22"/>
      <w:szCs w:val="20"/>
      <w:lang w:eastAsia="zh-CN"/>
    </w:rPr>
  </w:style>
  <w:style w:type="character" w:customStyle="1" w:styleId="hps">
    <w:name w:val="hps"/>
    <w:basedOn w:val="DefaultParagraphFont"/>
    <w:rsid w:val="00123DC4"/>
  </w:style>
  <w:style w:type="paragraph" w:customStyle="1" w:styleId="Normal-table">
    <w:name w:val="Normal-table"/>
    <w:rsid w:val="008355F0"/>
    <w:rPr>
      <w:rFonts w:ascii="Arial" w:eastAsia="Batang" w:hAnsi="Arial"/>
    </w:rPr>
  </w:style>
  <w:style w:type="paragraph" w:customStyle="1" w:styleId="CharCharCharChar2">
    <w:name w:val="Char Char Char Char2"/>
    <w:basedOn w:val="Normal"/>
    <w:rsid w:val="00DA0522"/>
    <w:pPr>
      <w:spacing w:after="160" w:line="240" w:lineRule="exact"/>
    </w:pPr>
    <w:rPr>
      <w:rFonts w:ascii="Verdana" w:hAnsi="Verdana"/>
      <w:szCs w:val="20"/>
      <w:lang w:val="en-GB"/>
    </w:rPr>
  </w:style>
  <w:style w:type="paragraph" w:customStyle="1" w:styleId="CharCharCharChar1">
    <w:name w:val="Char Char Char Char1"/>
    <w:basedOn w:val="Normal"/>
    <w:rsid w:val="00DA0522"/>
    <w:pPr>
      <w:spacing w:after="160" w:line="240" w:lineRule="exact"/>
    </w:pPr>
    <w:rPr>
      <w:rFonts w:ascii="Verdana" w:hAnsi="Verdana"/>
      <w:szCs w:val="20"/>
      <w:lang w:val="en-GB"/>
    </w:rPr>
  </w:style>
  <w:style w:type="character" w:customStyle="1" w:styleId="CharChar1">
    <w:name w:val="Char Char1"/>
    <w:locked/>
    <w:rsid w:val="00DA0522"/>
    <w:rPr>
      <w:rFonts w:ascii="Arial" w:hAnsi="Arial" w:cs="Times New Roman"/>
      <w:lang w:val="en-US" w:eastAsia="en-US" w:bidi="ar-SA"/>
    </w:rPr>
  </w:style>
  <w:style w:type="paragraph" w:customStyle="1" w:styleId="CarCar1">
    <w:name w:val="Car Car1"/>
    <w:basedOn w:val="Normal"/>
    <w:rsid w:val="00DA0522"/>
    <w:pPr>
      <w:spacing w:after="160" w:line="240" w:lineRule="exact"/>
    </w:pPr>
    <w:rPr>
      <w:rFonts w:ascii="Verdana" w:hAnsi="Verdana"/>
      <w:szCs w:val="20"/>
      <w:lang w:val="en-GB"/>
    </w:rPr>
  </w:style>
  <w:style w:type="character" w:customStyle="1" w:styleId="CharChar21">
    <w:name w:val="Char Char21"/>
    <w:rsid w:val="00DA0522"/>
    <w:rPr>
      <w:rFonts w:ascii="Arial" w:hAnsi="Arial"/>
      <w:lang w:val="en-US" w:eastAsia="en-US" w:bidi="ar-SA"/>
    </w:rPr>
  </w:style>
  <w:style w:type="character" w:customStyle="1" w:styleId="CharChar31">
    <w:name w:val="Char Char31"/>
    <w:rsid w:val="00DA0522"/>
    <w:rPr>
      <w:rFonts w:ascii="Arial" w:hAnsi="Arial"/>
      <w:lang w:val="en-US" w:eastAsia="en-US" w:bidi="ar-SA"/>
    </w:rPr>
  </w:style>
  <w:style w:type="character" w:customStyle="1" w:styleId="CharChar41">
    <w:name w:val="Char Char41"/>
    <w:rsid w:val="00DA0522"/>
    <w:rPr>
      <w:rFonts w:ascii="Arial" w:hAnsi="Arial"/>
      <w:lang w:val="en-US" w:eastAsia="en-US" w:bidi="ar-SA"/>
    </w:rPr>
  </w:style>
  <w:style w:type="character" w:customStyle="1" w:styleId="CharChar61">
    <w:name w:val="Char Char61"/>
    <w:rsid w:val="00DA0522"/>
    <w:rPr>
      <w:rFonts w:ascii="Arial" w:hAnsi="Arial"/>
      <w:lang w:val="en-US" w:eastAsia="en-US" w:bidi="ar-SA"/>
    </w:rPr>
  </w:style>
  <w:style w:type="paragraph" w:customStyle="1" w:styleId="Char1">
    <w:name w:val="Char 字元 字元1"/>
    <w:basedOn w:val="Normal"/>
    <w:rsid w:val="00DA0522"/>
    <w:pPr>
      <w:spacing w:after="160" w:line="240" w:lineRule="exact"/>
    </w:pPr>
    <w:rPr>
      <w:rFonts w:ascii="Verdana" w:eastAsia="PMingLiU" w:hAnsi="Verdana"/>
      <w:szCs w:val="20"/>
    </w:rPr>
  </w:style>
  <w:style w:type="table" w:customStyle="1" w:styleId="TableGrid1">
    <w:name w:val="Table Grid1"/>
    <w:basedOn w:val="TableNormal"/>
    <w:next w:val="TableGrid"/>
    <w:uiPriority w:val="59"/>
    <w:rsid w:val="00DA0522"/>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ndofdocument">
    <w:name w:val="End of document"/>
    <w:basedOn w:val="Normal"/>
    <w:rsid w:val="00DA0522"/>
    <w:pPr>
      <w:ind w:left="4536"/>
      <w:jc w:val="center"/>
    </w:pPr>
    <w:rPr>
      <w:rFonts w:ascii="Times New Roman" w:hAnsi="Times New Roman"/>
      <w:sz w:val="24"/>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semiHidden="1" w:unhideWhenUsed="1"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annotation text" w:uiPriority="99"/>
    <w:lsdException w:name="caption" w:semiHidden="1" w:unhideWhenUsed="1" w:qFormat="1"/>
    <w:lsdException w:name="annotation reference" w:uiPriority="99"/>
    <w:lsdException w:name="endnote reference" w:uiPriority="99"/>
    <w:lsdException w:name="Title" w:qFormat="1"/>
    <w:lsdException w:name="Subtitle" w:qFormat="1"/>
    <w:lsdException w:name="Hyperlink" w:uiPriority="99"/>
    <w:lsdException w:name="Strong" w:uiPriority="22" w:qFormat="1"/>
    <w:lsdException w:name="Emphasis" w:qFormat="1"/>
    <w:lsdException w:name="Plain Text" w:uiPriority="99"/>
    <w:lsdException w:name="Normal (Web)" w:uiPriority="99"/>
    <w:lsdException w:name="HTML Cite"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1243AF"/>
    <w:rPr>
      <w:rFonts w:ascii="Arial" w:hAnsi="Arial"/>
      <w:szCs w:val="24"/>
    </w:rPr>
  </w:style>
  <w:style w:type="paragraph" w:styleId="Heading1">
    <w:name w:val="heading 1"/>
    <w:basedOn w:val="Normal"/>
    <w:next w:val="Normal"/>
    <w:link w:val="Heading1Char"/>
    <w:qFormat/>
    <w:rsid w:val="000F1DDB"/>
    <w:pPr>
      <w:keepNext/>
      <w:numPr>
        <w:numId w:val="1"/>
      </w:numPr>
      <w:spacing w:before="240" w:after="60"/>
      <w:jc w:val="center"/>
      <w:outlineLvl w:val="0"/>
    </w:pPr>
    <w:rPr>
      <w:rFonts w:cs="Arial"/>
      <w:b/>
      <w:bCs/>
      <w:kern w:val="32"/>
      <w:sz w:val="22"/>
      <w:szCs w:val="32"/>
    </w:rPr>
  </w:style>
  <w:style w:type="paragraph" w:styleId="Heading2">
    <w:name w:val="heading 2"/>
    <w:basedOn w:val="Normal"/>
    <w:next w:val="Normal"/>
    <w:link w:val="Heading2Char"/>
    <w:qFormat/>
    <w:rsid w:val="00A157E8"/>
    <w:pPr>
      <w:keepNext/>
      <w:tabs>
        <w:tab w:val="left" w:pos="567"/>
        <w:tab w:val="right" w:pos="9072"/>
      </w:tabs>
      <w:ind w:left="1701" w:hanging="1701"/>
      <w:outlineLvl w:val="1"/>
    </w:pPr>
    <w:rPr>
      <w:rFonts w:cs="Arial"/>
      <w:b/>
      <w:bCs/>
      <w:iCs/>
      <w:sz w:val="22"/>
      <w:szCs w:val="28"/>
    </w:rPr>
  </w:style>
  <w:style w:type="paragraph" w:styleId="Heading3">
    <w:name w:val="heading 3"/>
    <w:basedOn w:val="Normal"/>
    <w:next w:val="Normal"/>
    <w:link w:val="Heading3Char"/>
    <w:qFormat/>
    <w:rsid w:val="004B5923"/>
    <w:pPr>
      <w:keepNext/>
      <w:spacing w:before="240" w:after="60"/>
      <w:outlineLvl w:val="2"/>
    </w:pPr>
    <w:rPr>
      <w:rFonts w:eastAsia="SimSun" w:cs="Arial"/>
      <w:bCs/>
      <w:sz w:val="22"/>
      <w:szCs w:val="26"/>
      <w:u w:val="single"/>
    </w:rPr>
  </w:style>
  <w:style w:type="paragraph" w:styleId="Heading4">
    <w:name w:val="heading 4"/>
    <w:basedOn w:val="Normal"/>
    <w:next w:val="Normal"/>
    <w:link w:val="Heading4Char"/>
    <w:qFormat/>
    <w:rsid w:val="00933C0B"/>
    <w:pPr>
      <w:keepNext/>
      <w:spacing w:before="240" w:after="60"/>
      <w:outlineLvl w:val="3"/>
    </w:pPr>
    <w:rPr>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pPr>
      <w:tabs>
        <w:tab w:val="center" w:pos="4536"/>
        <w:tab w:val="right" w:pos="9072"/>
      </w:tabs>
    </w:pPr>
  </w:style>
  <w:style w:type="table" w:styleId="TableGrid">
    <w:name w:val="Table Grid"/>
    <w:basedOn w:val="TableNormal"/>
    <w:rsid w:val="007658A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CharChar">
    <w:name w:val="Char Char Char Char"/>
    <w:basedOn w:val="Normal"/>
    <w:rsid w:val="007658A8"/>
    <w:pPr>
      <w:spacing w:after="160" w:line="240" w:lineRule="exact"/>
    </w:pPr>
    <w:rPr>
      <w:rFonts w:ascii="Verdana" w:hAnsi="Verdana"/>
      <w:szCs w:val="20"/>
      <w:lang w:val="en-GB"/>
    </w:rPr>
  </w:style>
  <w:style w:type="paragraph" w:styleId="BodyText">
    <w:name w:val="Body Text"/>
    <w:basedOn w:val="Normal"/>
    <w:link w:val="BodyTextChar"/>
    <w:rsid w:val="007658A8"/>
    <w:rPr>
      <w:szCs w:val="20"/>
    </w:rPr>
  </w:style>
  <w:style w:type="character" w:customStyle="1" w:styleId="BodyTextChar">
    <w:name w:val="Body Text Char"/>
    <w:link w:val="BodyText"/>
    <w:rsid w:val="007658A8"/>
    <w:rPr>
      <w:rFonts w:ascii="Arial" w:hAnsi="Arial"/>
      <w:lang w:val="en-US" w:eastAsia="en-US" w:bidi="ar-SA"/>
    </w:rPr>
  </w:style>
  <w:style w:type="paragraph" w:styleId="BodyTextIndent">
    <w:name w:val="Body Text Indent"/>
    <w:basedOn w:val="Normal"/>
    <w:link w:val="BodyTextIndentChar"/>
    <w:rsid w:val="00101F3F"/>
    <w:pPr>
      <w:ind w:left="567"/>
    </w:pPr>
    <w:rPr>
      <w:szCs w:val="20"/>
    </w:rPr>
  </w:style>
  <w:style w:type="paragraph" w:styleId="Footer">
    <w:name w:val="footer"/>
    <w:basedOn w:val="Normal"/>
    <w:link w:val="FooterChar"/>
    <w:rsid w:val="00101F3F"/>
    <w:pPr>
      <w:tabs>
        <w:tab w:val="center" w:pos="4320"/>
        <w:tab w:val="right" w:pos="8640"/>
      </w:tabs>
    </w:pPr>
  </w:style>
  <w:style w:type="character" w:styleId="PageNumber">
    <w:name w:val="page number"/>
    <w:basedOn w:val="DefaultParagraphFont"/>
    <w:rsid w:val="00101F3F"/>
  </w:style>
  <w:style w:type="character" w:customStyle="1" w:styleId="CharChar">
    <w:name w:val="Char Char"/>
    <w:locked/>
    <w:rsid w:val="00FA18B8"/>
    <w:rPr>
      <w:rFonts w:ascii="Arial" w:hAnsi="Arial" w:cs="Times New Roman"/>
      <w:lang w:val="en-US" w:eastAsia="en-US" w:bidi="ar-SA"/>
    </w:rPr>
  </w:style>
  <w:style w:type="character" w:styleId="Hyperlink">
    <w:name w:val="Hyperlink"/>
    <w:uiPriority w:val="99"/>
    <w:rsid w:val="00BE6194"/>
    <w:rPr>
      <w:color w:val="000099"/>
      <w:u w:val="single"/>
    </w:rPr>
  </w:style>
  <w:style w:type="paragraph" w:styleId="FootnoteText">
    <w:name w:val="footnote text"/>
    <w:basedOn w:val="Normal"/>
    <w:link w:val="FootnoteTextChar"/>
    <w:rsid w:val="007C76C9"/>
    <w:rPr>
      <w:szCs w:val="20"/>
    </w:rPr>
  </w:style>
  <w:style w:type="character" w:styleId="FootnoteReference">
    <w:name w:val="footnote reference"/>
    <w:aliases w:val="Footnote"/>
    <w:rsid w:val="007C76C9"/>
    <w:rPr>
      <w:vertAlign w:val="superscript"/>
    </w:rPr>
  </w:style>
  <w:style w:type="paragraph" w:styleId="BalloonText">
    <w:name w:val="Balloon Text"/>
    <w:basedOn w:val="Normal"/>
    <w:link w:val="BalloonTextChar"/>
    <w:rsid w:val="005C3C2A"/>
    <w:rPr>
      <w:rFonts w:ascii="Tahoma" w:hAnsi="Tahoma" w:cs="Tahoma"/>
      <w:sz w:val="16"/>
      <w:szCs w:val="16"/>
    </w:rPr>
  </w:style>
  <w:style w:type="paragraph" w:customStyle="1" w:styleId="CarCar">
    <w:name w:val="Car Car"/>
    <w:basedOn w:val="Normal"/>
    <w:rsid w:val="00F229CA"/>
    <w:pPr>
      <w:spacing w:after="160" w:line="240" w:lineRule="exact"/>
    </w:pPr>
    <w:rPr>
      <w:rFonts w:ascii="Verdana" w:hAnsi="Verdana"/>
      <w:szCs w:val="20"/>
      <w:lang w:val="en-GB"/>
    </w:rPr>
  </w:style>
  <w:style w:type="character" w:styleId="CommentReference">
    <w:name w:val="annotation reference"/>
    <w:uiPriority w:val="99"/>
    <w:rsid w:val="00BE1EF6"/>
    <w:rPr>
      <w:sz w:val="16"/>
      <w:szCs w:val="16"/>
    </w:rPr>
  </w:style>
  <w:style w:type="paragraph" w:styleId="CommentText">
    <w:name w:val="annotation text"/>
    <w:basedOn w:val="Normal"/>
    <w:link w:val="CommentTextChar"/>
    <w:uiPriority w:val="99"/>
    <w:rsid w:val="00BE1EF6"/>
    <w:rPr>
      <w:szCs w:val="20"/>
    </w:rPr>
  </w:style>
  <w:style w:type="paragraph" w:styleId="CommentSubject">
    <w:name w:val="annotation subject"/>
    <w:basedOn w:val="CommentText"/>
    <w:next w:val="CommentText"/>
    <w:link w:val="CommentSubjectChar"/>
    <w:rsid w:val="00BE1EF6"/>
    <w:rPr>
      <w:b/>
      <w:bCs/>
    </w:rPr>
  </w:style>
  <w:style w:type="paragraph" w:customStyle="1" w:styleId="Default">
    <w:name w:val="Default"/>
    <w:rsid w:val="007E6799"/>
    <w:pPr>
      <w:autoSpaceDE w:val="0"/>
      <w:autoSpaceDN w:val="0"/>
      <w:adjustRightInd w:val="0"/>
    </w:pPr>
    <w:rPr>
      <w:rFonts w:ascii="Arial" w:eastAsia="Batang" w:hAnsi="Arial" w:cs="Arial"/>
      <w:color w:val="000000"/>
      <w:sz w:val="24"/>
      <w:szCs w:val="24"/>
      <w:lang w:eastAsia="ja-JP"/>
    </w:rPr>
  </w:style>
  <w:style w:type="character" w:customStyle="1" w:styleId="CharChar2">
    <w:name w:val="Char Char2"/>
    <w:rsid w:val="007E6799"/>
    <w:rPr>
      <w:rFonts w:ascii="Arial" w:hAnsi="Arial"/>
      <w:lang w:val="en-US" w:eastAsia="en-US" w:bidi="ar-SA"/>
    </w:rPr>
  </w:style>
  <w:style w:type="paragraph" w:styleId="TOC2">
    <w:name w:val="toc 2"/>
    <w:basedOn w:val="Normal"/>
    <w:next w:val="Normal"/>
    <w:autoRedefine/>
    <w:uiPriority w:val="39"/>
    <w:qFormat/>
    <w:rsid w:val="00E04504"/>
    <w:pPr>
      <w:tabs>
        <w:tab w:val="left" w:pos="1600"/>
        <w:tab w:val="right" w:leader="dot" w:pos="9498"/>
      </w:tabs>
      <w:ind w:left="200" w:right="-143"/>
    </w:pPr>
    <w:rPr>
      <w:rFonts w:asciiTheme="minorHAnsi" w:hAnsiTheme="minorHAnsi"/>
      <w:smallCaps/>
      <w:szCs w:val="20"/>
    </w:rPr>
  </w:style>
  <w:style w:type="paragraph" w:styleId="TOC1">
    <w:name w:val="toc 1"/>
    <w:basedOn w:val="Normal"/>
    <w:next w:val="Normal"/>
    <w:autoRedefine/>
    <w:uiPriority w:val="39"/>
    <w:qFormat/>
    <w:rsid w:val="007854A1"/>
    <w:pPr>
      <w:tabs>
        <w:tab w:val="left" w:pos="426"/>
        <w:tab w:val="right" w:leader="dot" w:pos="9498"/>
      </w:tabs>
      <w:spacing w:before="120" w:after="120"/>
      <w:ind w:left="426" w:right="-143" w:hanging="426"/>
    </w:pPr>
    <w:rPr>
      <w:rFonts w:cs="Arial"/>
      <w:b/>
      <w:bCs/>
      <w:caps/>
      <w:noProof/>
      <w:szCs w:val="20"/>
    </w:rPr>
  </w:style>
  <w:style w:type="paragraph" w:customStyle="1" w:styleId="Indicators">
    <w:name w:val="Indicators"/>
    <w:basedOn w:val="Normal"/>
    <w:link w:val="IndicatorsChar"/>
    <w:rsid w:val="00E7796E"/>
    <w:pPr>
      <w:spacing w:before="120"/>
      <w:ind w:left="284" w:right="170"/>
    </w:pPr>
    <w:rPr>
      <w:szCs w:val="20"/>
    </w:rPr>
  </w:style>
  <w:style w:type="character" w:customStyle="1" w:styleId="IndicatorsChar">
    <w:name w:val="Indicators Char"/>
    <w:link w:val="Indicators"/>
    <w:rsid w:val="00E7796E"/>
    <w:rPr>
      <w:rFonts w:ascii="Arial" w:hAnsi="Arial"/>
      <w:lang w:val="en-US" w:eastAsia="en-US" w:bidi="ar-SA"/>
    </w:rPr>
  </w:style>
  <w:style w:type="paragraph" w:customStyle="1" w:styleId="DecisionInvitingPara">
    <w:name w:val="Decision Inviting Para."/>
    <w:basedOn w:val="Normal"/>
    <w:link w:val="DecisionInvitingParaChar"/>
    <w:rsid w:val="00222A8D"/>
    <w:pPr>
      <w:spacing w:after="120" w:line="260" w:lineRule="exact"/>
      <w:ind w:left="5534"/>
    </w:pPr>
    <w:rPr>
      <w:i/>
      <w:szCs w:val="20"/>
    </w:rPr>
  </w:style>
  <w:style w:type="paragraph" w:customStyle="1" w:styleId="preparedby">
    <w:name w:val="prepared by"/>
    <w:basedOn w:val="Normal"/>
    <w:next w:val="Normal"/>
    <w:rsid w:val="00222A8D"/>
    <w:pPr>
      <w:spacing w:after="480" w:line="260" w:lineRule="exact"/>
      <w:ind w:left="1021"/>
    </w:pPr>
    <w:rPr>
      <w:i/>
      <w:szCs w:val="20"/>
    </w:rPr>
  </w:style>
  <w:style w:type="paragraph" w:customStyle="1" w:styleId="Documenttitle">
    <w:name w:val="Document title"/>
    <w:basedOn w:val="Normal"/>
    <w:rsid w:val="00222A8D"/>
    <w:pPr>
      <w:spacing w:before="1200" w:after="120" w:line="260" w:lineRule="exact"/>
      <w:ind w:left="1021"/>
    </w:pPr>
    <w:rPr>
      <w:b/>
      <w:caps/>
      <w:szCs w:val="20"/>
    </w:rPr>
  </w:style>
  <w:style w:type="paragraph" w:customStyle="1" w:styleId="MeetinglanguageDate">
    <w:name w:val="Meeting language &amp; Date"/>
    <w:basedOn w:val="Normal"/>
    <w:next w:val="Meetingtitle"/>
    <w:rsid w:val="00222A8D"/>
    <w:pPr>
      <w:spacing w:after="1680" w:line="160" w:lineRule="exact"/>
      <w:ind w:left="1021"/>
      <w:contextualSpacing/>
      <w:jc w:val="right"/>
    </w:pPr>
    <w:rPr>
      <w:rFonts w:ascii="Arial Black" w:hAnsi="Arial Black"/>
      <w:b/>
      <w:caps/>
      <w:sz w:val="15"/>
      <w:szCs w:val="20"/>
      <w:lang w:val="fr-FR"/>
    </w:rPr>
  </w:style>
  <w:style w:type="paragraph" w:customStyle="1" w:styleId="Language">
    <w:name w:val="Language"/>
    <w:basedOn w:val="Normal"/>
    <w:next w:val="Normal"/>
    <w:autoRedefine/>
    <w:rsid w:val="00222A8D"/>
    <w:pPr>
      <w:spacing w:after="120" w:line="340" w:lineRule="atLeast"/>
      <w:ind w:left="1021"/>
      <w:jc w:val="right"/>
    </w:pPr>
    <w:rPr>
      <w:b/>
      <w:caps/>
      <w:sz w:val="40"/>
      <w:szCs w:val="20"/>
      <w:lang w:val="pt-BR"/>
    </w:rPr>
  </w:style>
  <w:style w:type="paragraph" w:customStyle="1" w:styleId="MeetingCode">
    <w:name w:val="Meeting Code"/>
    <w:basedOn w:val="MeetinglanguageDate"/>
    <w:rsid w:val="00222A8D"/>
    <w:pPr>
      <w:spacing w:before="300" w:after="0"/>
    </w:pPr>
  </w:style>
  <w:style w:type="paragraph" w:customStyle="1" w:styleId="Meetingtitle">
    <w:name w:val="Meeting title"/>
    <w:basedOn w:val="Normal"/>
    <w:next w:val="Sessiontitle"/>
    <w:rsid w:val="00222A8D"/>
    <w:pPr>
      <w:spacing w:after="360" w:line="336" w:lineRule="exact"/>
      <w:ind w:left="1021"/>
    </w:pPr>
    <w:rPr>
      <w:b/>
      <w:sz w:val="28"/>
      <w:szCs w:val="20"/>
      <w:lang w:val="fr-FR"/>
    </w:rPr>
  </w:style>
  <w:style w:type="paragraph" w:customStyle="1" w:styleId="Sessiontitle">
    <w:name w:val="Session title"/>
    <w:basedOn w:val="Meetingtitle"/>
    <w:next w:val="Meetingdateplace"/>
    <w:rsid w:val="00222A8D"/>
    <w:pPr>
      <w:spacing w:after="0"/>
    </w:pPr>
    <w:rPr>
      <w:sz w:val="24"/>
    </w:rPr>
  </w:style>
  <w:style w:type="paragraph" w:customStyle="1" w:styleId="Meetingdateplace">
    <w:name w:val="Meeting date &amp; place"/>
    <w:basedOn w:val="Sessiontitle"/>
    <w:next w:val="Documenttitle"/>
    <w:rsid w:val="00222A8D"/>
    <w:rPr>
      <w:lang w:val="en-US"/>
    </w:rPr>
  </w:style>
  <w:style w:type="character" w:customStyle="1" w:styleId="CharChar3">
    <w:name w:val="Char Char3"/>
    <w:rsid w:val="009100BA"/>
    <w:rPr>
      <w:rFonts w:ascii="Arial" w:hAnsi="Arial"/>
      <w:lang w:val="en-US" w:eastAsia="en-US" w:bidi="ar-SA"/>
    </w:rPr>
  </w:style>
  <w:style w:type="paragraph" w:styleId="BlockText">
    <w:name w:val="Block Text"/>
    <w:basedOn w:val="Normal"/>
    <w:rsid w:val="009100BA"/>
    <w:pPr>
      <w:spacing w:before="60" w:after="60"/>
      <w:ind w:left="266" w:right="142"/>
    </w:pPr>
    <w:rPr>
      <w:sz w:val="22"/>
      <w:szCs w:val="20"/>
    </w:rPr>
  </w:style>
  <w:style w:type="paragraph" w:customStyle="1" w:styleId="BoxText1">
    <w:name w:val="Box Text1"/>
    <w:basedOn w:val="Normal"/>
    <w:rsid w:val="009100BA"/>
    <w:pPr>
      <w:ind w:left="284"/>
    </w:pPr>
    <w:rPr>
      <w:snapToGrid w:val="0"/>
      <w:sz w:val="22"/>
      <w:szCs w:val="20"/>
    </w:rPr>
  </w:style>
  <w:style w:type="paragraph" w:customStyle="1" w:styleId="Normal1">
    <w:name w:val="Normal+1"/>
    <w:basedOn w:val="Normal"/>
    <w:next w:val="Normal"/>
    <w:rsid w:val="00191E10"/>
    <w:pPr>
      <w:autoSpaceDE w:val="0"/>
      <w:autoSpaceDN w:val="0"/>
      <w:adjustRightInd w:val="0"/>
    </w:pPr>
  </w:style>
  <w:style w:type="paragraph" w:styleId="NormalWeb">
    <w:name w:val="Normal (Web)"/>
    <w:basedOn w:val="Normal"/>
    <w:uiPriority w:val="99"/>
    <w:rsid w:val="00EE4CDE"/>
    <w:pPr>
      <w:spacing w:before="100" w:beforeAutospacing="1" w:after="100" w:afterAutospacing="1"/>
    </w:pPr>
    <w:rPr>
      <w:rFonts w:cs="Arial"/>
      <w:sz w:val="18"/>
      <w:szCs w:val="18"/>
    </w:rPr>
  </w:style>
  <w:style w:type="paragraph" w:styleId="BodyText2">
    <w:name w:val="Body Text 2"/>
    <w:basedOn w:val="Normal"/>
    <w:link w:val="BodyText2Char"/>
    <w:rsid w:val="00EE4CDE"/>
    <w:pPr>
      <w:spacing w:after="120" w:line="480" w:lineRule="auto"/>
    </w:pPr>
  </w:style>
  <w:style w:type="character" w:customStyle="1" w:styleId="CharChar4">
    <w:name w:val="Char Char4"/>
    <w:rsid w:val="00027DD5"/>
    <w:rPr>
      <w:rFonts w:ascii="Arial" w:hAnsi="Arial"/>
      <w:lang w:val="en-US" w:eastAsia="en-US" w:bidi="ar-SA"/>
    </w:rPr>
  </w:style>
  <w:style w:type="paragraph" w:styleId="ListParagraph">
    <w:name w:val="List Paragraph"/>
    <w:basedOn w:val="Normal"/>
    <w:uiPriority w:val="34"/>
    <w:qFormat/>
    <w:rsid w:val="003071E6"/>
    <w:pPr>
      <w:ind w:left="720"/>
    </w:pPr>
    <w:rPr>
      <w:szCs w:val="20"/>
    </w:rPr>
  </w:style>
  <w:style w:type="character" w:styleId="FollowedHyperlink">
    <w:name w:val="FollowedHyperlink"/>
    <w:rsid w:val="009E4B99"/>
    <w:rPr>
      <w:color w:val="606420"/>
      <w:u w:val="single"/>
    </w:rPr>
  </w:style>
  <w:style w:type="paragraph" w:customStyle="1" w:styleId="Meetingplacedate">
    <w:name w:val="Meeting place &amp; date"/>
    <w:basedOn w:val="Sessiontitle"/>
    <w:next w:val="Documenttitle"/>
    <w:rsid w:val="00862E39"/>
    <w:rPr>
      <w:lang w:val="en-US"/>
    </w:rPr>
  </w:style>
  <w:style w:type="character" w:customStyle="1" w:styleId="CharChar6">
    <w:name w:val="Char Char6"/>
    <w:rsid w:val="00B767D6"/>
    <w:rPr>
      <w:rFonts w:ascii="Arial" w:hAnsi="Arial"/>
      <w:lang w:val="en-US" w:eastAsia="en-US" w:bidi="ar-SA"/>
    </w:rPr>
  </w:style>
  <w:style w:type="character" w:customStyle="1" w:styleId="Novruzova">
    <w:name w:val="Novruzova"/>
    <w:semiHidden/>
    <w:rsid w:val="00E774BF"/>
    <w:rPr>
      <w:rFonts w:ascii="Arial" w:hAnsi="Arial" w:cs="Arial"/>
      <w:color w:val="000080"/>
      <w:sz w:val="20"/>
      <w:szCs w:val="20"/>
    </w:rPr>
  </w:style>
  <w:style w:type="character" w:customStyle="1" w:styleId="description">
    <w:name w:val="description"/>
    <w:basedOn w:val="DefaultParagraphFont"/>
    <w:rsid w:val="008A7EEB"/>
  </w:style>
  <w:style w:type="paragraph" w:customStyle="1" w:styleId="FreeFormA">
    <w:name w:val="Free Form A"/>
    <w:rsid w:val="003214B5"/>
    <w:rPr>
      <w:rFonts w:ascii="Helvetica" w:eastAsia="ヒラギノ角ゴ Pro W3" w:hAnsi="Helvetica"/>
      <w:color w:val="000000"/>
      <w:sz w:val="24"/>
    </w:rPr>
  </w:style>
  <w:style w:type="paragraph" w:customStyle="1" w:styleId="ONUME">
    <w:name w:val="ONUM E"/>
    <w:basedOn w:val="BodyText"/>
    <w:link w:val="ONUMEChar"/>
    <w:rsid w:val="00042826"/>
    <w:pPr>
      <w:spacing w:after="220"/>
    </w:pPr>
    <w:rPr>
      <w:rFonts w:eastAsia="SimSun" w:cs="Arial"/>
      <w:lang w:eastAsia="zh-CN"/>
    </w:rPr>
  </w:style>
  <w:style w:type="paragraph" w:customStyle="1" w:styleId="Char">
    <w:name w:val="Char 字元 字元"/>
    <w:basedOn w:val="Normal"/>
    <w:rsid w:val="00C129E2"/>
    <w:pPr>
      <w:spacing w:after="160" w:line="240" w:lineRule="exact"/>
    </w:pPr>
    <w:rPr>
      <w:rFonts w:ascii="Verdana" w:eastAsia="PMingLiU" w:hAnsi="Verdana"/>
      <w:szCs w:val="20"/>
    </w:rPr>
  </w:style>
  <w:style w:type="character" w:customStyle="1" w:styleId="underline">
    <w:name w:val="underline"/>
    <w:rsid w:val="00C129E2"/>
    <w:rPr>
      <w:u w:val="single"/>
    </w:rPr>
  </w:style>
  <w:style w:type="paragraph" w:customStyle="1" w:styleId="FreeForm">
    <w:name w:val="Free Form"/>
    <w:rsid w:val="009336F3"/>
    <w:rPr>
      <w:rFonts w:eastAsia="ヒラギノ角ゴ Pro W3"/>
      <w:color w:val="000000"/>
    </w:rPr>
  </w:style>
  <w:style w:type="paragraph" w:customStyle="1" w:styleId="Heading2A">
    <w:name w:val="Heading 2 A"/>
    <w:next w:val="Normal"/>
    <w:rsid w:val="009336F3"/>
    <w:pPr>
      <w:keepNext/>
      <w:tabs>
        <w:tab w:val="left" w:pos="567"/>
        <w:tab w:val="right" w:pos="9072"/>
      </w:tabs>
      <w:ind w:left="1701" w:hanging="1701"/>
      <w:outlineLvl w:val="1"/>
    </w:pPr>
    <w:rPr>
      <w:rFonts w:ascii="Arial Bold" w:eastAsia="ヒラギノ角ゴ Pro W3" w:hAnsi="Arial Bold"/>
      <w:color w:val="000000"/>
      <w:sz w:val="22"/>
    </w:rPr>
  </w:style>
  <w:style w:type="character" w:customStyle="1" w:styleId="FootnoteTextChar">
    <w:name w:val="Footnote Text Char"/>
    <w:link w:val="FootnoteText"/>
    <w:locked/>
    <w:rsid w:val="00415453"/>
    <w:rPr>
      <w:lang w:val="en-US" w:eastAsia="en-US" w:bidi="ar-SA"/>
    </w:rPr>
  </w:style>
  <w:style w:type="paragraph" w:customStyle="1" w:styleId="Normal-Header">
    <w:name w:val="Normal-Header"/>
    <w:rsid w:val="008B6ED6"/>
    <w:rPr>
      <w:rFonts w:ascii="Arial" w:hAnsi="Arial"/>
      <w:sz w:val="16"/>
    </w:rPr>
  </w:style>
  <w:style w:type="character" w:styleId="PlaceholderText">
    <w:name w:val="Placeholder Text"/>
    <w:basedOn w:val="DefaultParagraphFont"/>
    <w:uiPriority w:val="99"/>
    <w:semiHidden/>
    <w:rsid w:val="00400A45"/>
    <w:rPr>
      <w:color w:val="808080"/>
    </w:rPr>
  </w:style>
  <w:style w:type="character" w:customStyle="1" w:styleId="Style5">
    <w:name w:val="Style5"/>
    <w:basedOn w:val="DefaultParagraphFont"/>
    <w:uiPriority w:val="99"/>
    <w:rsid w:val="00400A45"/>
    <w:rPr>
      <w:rFonts w:asciiTheme="minorHAnsi" w:hAnsiTheme="minorHAnsi"/>
      <w:sz w:val="20"/>
    </w:rPr>
  </w:style>
  <w:style w:type="paragraph" w:styleId="Revision">
    <w:name w:val="Revision"/>
    <w:hidden/>
    <w:uiPriority w:val="99"/>
    <w:semiHidden/>
    <w:rsid w:val="00A93FCA"/>
    <w:rPr>
      <w:rFonts w:ascii="Arial" w:hAnsi="Arial"/>
      <w:szCs w:val="24"/>
    </w:rPr>
  </w:style>
  <w:style w:type="character" w:customStyle="1" w:styleId="FooterChar">
    <w:name w:val="Footer Char"/>
    <w:basedOn w:val="DefaultParagraphFont"/>
    <w:link w:val="Footer"/>
    <w:uiPriority w:val="99"/>
    <w:rsid w:val="00FF768F"/>
    <w:rPr>
      <w:rFonts w:ascii="Arial" w:hAnsi="Arial"/>
      <w:szCs w:val="24"/>
    </w:rPr>
  </w:style>
  <w:style w:type="paragraph" w:styleId="TOCHeading">
    <w:name w:val="TOC Heading"/>
    <w:basedOn w:val="Heading1"/>
    <w:next w:val="Normal"/>
    <w:uiPriority w:val="39"/>
    <w:semiHidden/>
    <w:unhideWhenUsed/>
    <w:qFormat/>
    <w:rsid w:val="001562E0"/>
    <w:pPr>
      <w:keepLines/>
      <w:numPr>
        <w:numId w:val="0"/>
      </w:numPr>
      <w:spacing w:before="480" w:after="0" w:line="276" w:lineRule="auto"/>
      <w:jc w:val="left"/>
      <w:outlineLvl w:val="9"/>
    </w:pPr>
    <w:rPr>
      <w:rFonts w:asciiTheme="majorHAnsi" w:eastAsiaTheme="majorEastAsia" w:hAnsiTheme="majorHAnsi" w:cstheme="majorBidi"/>
      <w:color w:val="365F91" w:themeColor="accent1" w:themeShade="BF"/>
      <w:kern w:val="0"/>
      <w:sz w:val="28"/>
      <w:szCs w:val="28"/>
      <w:lang w:eastAsia="ja-JP"/>
    </w:rPr>
  </w:style>
  <w:style w:type="paragraph" w:styleId="TOC3">
    <w:name w:val="toc 3"/>
    <w:basedOn w:val="Normal"/>
    <w:next w:val="Normal"/>
    <w:autoRedefine/>
    <w:uiPriority w:val="39"/>
    <w:unhideWhenUsed/>
    <w:qFormat/>
    <w:rsid w:val="006325E6"/>
    <w:pPr>
      <w:tabs>
        <w:tab w:val="left" w:pos="1600"/>
        <w:tab w:val="right" w:leader="dot" w:pos="9498"/>
      </w:tabs>
      <w:ind w:left="1560" w:right="-143" w:hanging="1160"/>
    </w:pPr>
    <w:rPr>
      <w:rFonts w:asciiTheme="minorHAnsi" w:hAnsiTheme="minorHAnsi"/>
      <w:b/>
      <w:i/>
      <w:iCs/>
      <w:noProof/>
      <w:szCs w:val="20"/>
      <w:lang w:val="fr-FR"/>
    </w:rPr>
  </w:style>
  <w:style w:type="paragraph" w:styleId="TOC4">
    <w:name w:val="toc 4"/>
    <w:basedOn w:val="Normal"/>
    <w:next w:val="Normal"/>
    <w:autoRedefine/>
    <w:uiPriority w:val="39"/>
    <w:rsid w:val="007F6F24"/>
    <w:pPr>
      <w:ind w:left="600"/>
    </w:pPr>
    <w:rPr>
      <w:rFonts w:asciiTheme="minorHAnsi" w:hAnsiTheme="minorHAnsi"/>
      <w:sz w:val="18"/>
      <w:szCs w:val="18"/>
    </w:rPr>
  </w:style>
  <w:style w:type="paragraph" w:styleId="TOC5">
    <w:name w:val="toc 5"/>
    <w:basedOn w:val="Normal"/>
    <w:next w:val="Normal"/>
    <w:autoRedefine/>
    <w:rsid w:val="007F6F24"/>
    <w:pPr>
      <w:ind w:left="800"/>
    </w:pPr>
    <w:rPr>
      <w:rFonts w:asciiTheme="minorHAnsi" w:hAnsiTheme="minorHAnsi"/>
      <w:sz w:val="18"/>
      <w:szCs w:val="18"/>
    </w:rPr>
  </w:style>
  <w:style w:type="paragraph" w:styleId="TOC6">
    <w:name w:val="toc 6"/>
    <w:basedOn w:val="Normal"/>
    <w:next w:val="Normal"/>
    <w:autoRedefine/>
    <w:rsid w:val="007F6F24"/>
    <w:pPr>
      <w:ind w:left="1000"/>
    </w:pPr>
    <w:rPr>
      <w:rFonts w:asciiTheme="minorHAnsi" w:hAnsiTheme="minorHAnsi"/>
      <w:sz w:val="18"/>
      <w:szCs w:val="18"/>
    </w:rPr>
  </w:style>
  <w:style w:type="paragraph" w:styleId="TOC7">
    <w:name w:val="toc 7"/>
    <w:basedOn w:val="Normal"/>
    <w:next w:val="Normal"/>
    <w:autoRedefine/>
    <w:rsid w:val="007F6F24"/>
    <w:pPr>
      <w:ind w:left="1200"/>
    </w:pPr>
    <w:rPr>
      <w:rFonts w:asciiTheme="minorHAnsi" w:hAnsiTheme="minorHAnsi"/>
      <w:sz w:val="18"/>
      <w:szCs w:val="18"/>
    </w:rPr>
  </w:style>
  <w:style w:type="paragraph" w:styleId="TOC8">
    <w:name w:val="toc 8"/>
    <w:basedOn w:val="Normal"/>
    <w:next w:val="Normal"/>
    <w:autoRedefine/>
    <w:rsid w:val="007F6F24"/>
    <w:pPr>
      <w:ind w:left="1400"/>
    </w:pPr>
    <w:rPr>
      <w:rFonts w:asciiTheme="minorHAnsi" w:hAnsiTheme="minorHAnsi"/>
      <w:sz w:val="18"/>
      <w:szCs w:val="18"/>
    </w:rPr>
  </w:style>
  <w:style w:type="paragraph" w:styleId="TOC9">
    <w:name w:val="toc 9"/>
    <w:basedOn w:val="Normal"/>
    <w:next w:val="Normal"/>
    <w:autoRedefine/>
    <w:rsid w:val="007F6F24"/>
    <w:pPr>
      <w:ind w:left="1600"/>
    </w:pPr>
    <w:rPr>
      <w:rFonts w:asciiTheme="minorHAnsi" w:hAnsiTheme="minorHAnsi"/>
      <w:sz w:val="18"/>
      <w:szCs w:val="18"/>
    </w:rPr>
  </w:style>
  <w:style w:type="character" w:customStyle="1" w:styleId="Heading2Char">
    <w:name w:val="Heading 2 Char"/>
    <w:link w:val="Heading2"/>
    <w:rsid w:val="007F6F24"/>
    <w:rPr>
      <w:rFonts w:ascii="Arial" w:hAnsi="Arial" w:cs="Arial"/>
      <w:b/>
      <w:bCs/>
      <w:iCs/>
      <w:sz w:val="22"/>
      <w:szCs w:val="28"/>
    </w:rPr>
  </w:style>
  <w:style w:type="character" w:customStyle="1" w:styleId="DecisionInvitingParaChar">
    <w:name w:val="Decision Inviting Para. Char"/>
    <w:link w:val="DecisionInvitingPara"/>
    <w:locked/>
    <w:rsid w:val="00FE0B36"/>
    <w:rPr>
      <w:rFonts w:ascii="Arial" w:hAnsi="Arial"/>
      <w:i/>
    </w:rPr>
  </w:style>
  <w:style w:type="character" w:customStyle="1" w:styleId="HeaderChar">
    <w:name w:val="Header Char"/>
    <w:basedOn w:val="DefaultParagraphFont"/>
    <w:link w:val="Header"/>
    <w:rsid w:val="00BF01B2"/>
    <w:rPr>
      <w:rFonts w:ascii="Arial" w:hAnsi="Arial"/>
      <w:szCs w:val="24"/>
    </w:rPr>
  </w:style>
  <w:style w:type="paragraph" w:styleId="PlainText">
    <w:name w:val="Plain Text"/>
    <w:basedOn w:val="Normal"/>
    <w:link w:val="PlainTextChar"/>
    <w:uiPriority w:val="99"/>
    <w:rsid w:val="00E023E5"/>
    <w:rPr>
      <w:rFonts w:ascii="Courier New" w:eastAsia="SimSun" w:hAnsi="Courier New" w:cs="Courier New"/>
      <w:color w:val="0000FF"/>
      <w:szCs w:val="20"/>
      <w:lang w:eastAsia="zh-CN"/>
    </w:rPr>
  </w:style>
  <w:style w:type="character" w:customStyle="1" w:styleId="PlainTextChar">
    <w:name w:val="Plain Text Char"/>
    <w:basedOn w:val="DefaultParagraphFont"/>
    <w:link w:val="PlainText"/>
    <w:uiPriority w:val="99"/>
    <w:rsid w:val="00E023E5"/>
    <w:rPr>
      <w:rFonts w:ascii="Courier New" w:eastAsia="SimSun" w:hAnsi="Courier New" w:cs="Courier New"/>
      <w:color w:val="0000FF"/>
      <w:lang w:eastAsia="zh-CN"/>
    </w:rPr>
  </w:style>
  <w:style w:type="character" w:customStyle="1" w:styleId="Heading3Char">
    <w:name w:val="Heading 3 Char"/>
    <w:basedOn w:val="DefaultParagraphFont"/>
    <w:link w:val="Heading3"/>
    <w:rsid w:val="004B5923"/>
    <w:rPr>
      <w:rFonts w:ascii="Arial" w:eastAsia="SimSun" w:hAnsi="Arial" w:cs="Arial"/>
      <w:bCs/>
      <w:sz w:val="22"/>
      <w:szCs w:val="26"/>
      <w:u w:val="single"/>
    </w:rPr>
  </w:style>
  <w:style w:type="character" w:customStyle="1" w:styleId="ONUMEChar">
    <w:name w:val="ONUM E Char"/>
    <w:link w:val="ONUME"/>
    <w:locked/>
    <w:rsid w:val="009A04DE"/>
    <w:rPr>
      <w:rFonts w:ascii="Arial" w:eastAsia="SimSun" w:hAnsi="Arial" w:cs="Arial"/>
      <w:lang w:eastAsia="zh-CN"/>
    </w:rPr>
  </w:style>
  <w:style w:type="paragraph" w:customStyle="1" w:styleId="StyleHeading3BoldNounderline">
    <w:name w:val="Style Heading 3 + Bold No underline"/>
    <w:basedOn w:val="Heading3"/>
    <w:rsid w:val="00FA0C5A"/>
    <w:rPr>
      <w:i/>
      <w:u w:val="none"/>
    </w:rPr>
  </w:style>
  <w:style w:type="paragraph" w:customStyle="1" w:styleId="Style1">
    <w:name w:val="Style1"/>
    <w:basedOn w:val="Normal"/>
    <w:qFormat/>
    <w:rsid w:val="007852E3"/>
    <w:pPr>
      <w:numPr>
        <w:numId w:val="2"/>
      </w:numPr>
    </w:pPr>
  </w:style>
  <w:style w:type="paragraph" w:styleId="Salutation">
    <w:name w:val="Salutation"/>
    <w:basedOn w:val="Normal"/>
    <w:next w:val="Normal"/>
    <w:link w:val="SalutationChar"/>
    <w:rsid w:val="00F54CA4"/>
    <w:rPr>
      <w:rFonts w:cs="Arial"/>
      <w:sz w:val="22"/>
      <w:szCs w:val="20"/>
    </w:rPr>
  </w:style>
  <w:style w:type="character" w:customStyle="1" w:styleId="SalutationChar">
    <w:name w:val="Salutation Char"/>
    <w:basedOn w:val="DefaultParagraphFont"/>
    <w:link w:val="Salutation"/>
    <w:rsid w:val="00F54CA4"/>
    <w:rPr>
      <w:rFonts w:ascii="Arial" w:hAnsi="Arial" w:cs="Arial"/>
      <w:sz w:val="22"/>
    </w:rPr>
  </w:style>
  <w:style w:type="paragraph" w:styleId="Signature">
    <w:name w:val="Signature"/>
    <w:basedOn w:val="Normal"/>
    <w:link w:val="SignatureChar"/>
    <w:rsid w:val="00F54CA4"/>
    <w:pPr>
      <w:ind w:left="5250"/>
    </w:pPr>
    <w:rPr>
      <w:rFonts w:cs="Arial"/>
      <w:sz w:val="22"/>
      <w:szCs w:val="20"/>
    </w:rPr>
  </w:style>
  <w:style w:type="character" w:customStyle="1" w:styleId="SignatureChar">
    <w:name w:val="Signature Char"/>
    <w:basedOn w:val="DefaultParagraphFont"/>
    <w:link w:val="Signature"/>
    <w:rsid w:val="00F54CA4"/>
    <w:rPr>
      <w:rFonts w:ascii="Arial" w:hAnsi="Arial" w:cs="Arial"/>
      <w:sz w:val="22"/>
    </w:rPr>
  </w:style>
  <w:style w:type="paragraph" w:styleId="EndnoteText">
    <w:name w:val="endnote text"/>
    <w:basedOn w:val="Normal"/>
    <w:link w:val="EndnoteTextChar"/>
    <w:rsid w:val="00F54CA4"/>
    <w:rPr>
      <w:rFonts w:cs="Arial"/>
      <w:sz w:val="18"/>
      <w:szCs w:val="20"/>
    </w:rPr>
  </w:style>
  <w:style w:type="character" w:customStyle="1" w:styleId="EndnoteTextChar">
    <w:name w:val="Endnote Text Char"/>
    <w:basedOn w:val="DefaultParagraphFont"/>
    <w:link w:val="EndnoteText"/>
    <w:rsid w:val="00F54CA4"/>
    <w:rPr>
      <w:rFonts w:ascii="Arial" w:hAnsi="Arial" w:cs="Arial"/>
      <w:sz w:val="18"/>
    </w:rPr>
  </w:style>
  <w:style w:type="paragraph" w:styleId="Caption">
    <w:name w:val="caption"/>
    <w:basedOn w:val="Normal"/>
    <w:next w:val="Normal"/>
    <w:qFormat/>
    <w:rsid w:val="00F54CA4"/>
    <w:rPr>
      <w:rFonts w:cs="Arial"/>
      <w:b/>
      <w:bCs/>
      <w:sz w:val="18"/>
      <w:szCs w:val="20"/>
    </w:rPr>
  </w:style>
  <w:style w:type="paragraph" w:customStyle="1" w:styleId="ONUMFS">
    <w:name w:val="ONUM FS"/>
    <w:basedOn w:val="BodyText"/>
    <w:rsid w:val="00F54CA4"/>
    <w:pPr>
      <w:numPr>
        <w:numId w:val="3"/>
      </w:numPr>
      <w:spacing w:after="220"/>
    </w:pPr>
    <w:rPr>
      <w:rFonts w:cs="Arial"/>
      <w:sz w:val="22"/>
    </w:rPr>
  </w:style>
  <w:style w:type="paragraph" w:styleId="ListNumber">
    <w:name w:val="List Number"/>
    <w:basedOn w:val="Normal"/>
    <w:rsid w:val="00F54CA4"/>
    <w:pPr>
      <w:numPr>
        <w:numId w:val="4"/>
      </w:numPr>
    </w:pPr>
    <w:rPr>
      <w:rFonts w:cs="Arial"/>
      <w:sz w:val="22"/>
      <w:szCs w:val="20"/>
    </w:rPr>
  </w:style>
  <w:style w:type="character" w:customStyle="1" w:styleId="BalloonTextChar">
    <w:name w:val="Balloon Text Char"/>
    <w:basedOn w:val="DefaultParagraphFont"/>
    <w:link w:val="BalloonText"/>
    <w:rsid w:val="00F54CA4"/>
    <w:rPr>
      <w:rFonts w:ascii="Tahoma" w:hAnsi="Tahoma" w:cs="Tahoma"/>
      <w:sz w:val="16"/>
      <w:szCs w:val="16"/>
    </w:rPr>
  </w:style>
  <w:style w:type="character" w:customStyle="1" w:styleId="st">
    <w:name w:val="st"/>
    <w:basedOn w:val="DefaultParagraphFont"/>
    <w:rsid w:val="00F54CA4"/>
  </w:style>
  <w:style w:type="character" w:customStyle="1" w:styleId="CommentTextChar">
    <w:name w:val="Comment Text Char"/>
    <w:basedOn w:val="DefaultParagraphFont"/>
    <w:link w:val="CommentText"/>
    <w:uiPriority w:val="99"/>
    <w:rsid w:val="00F54CA4"/>
    <w:rPr>
      <w:rFonts w:ascii="Arial" w:hAnsi="Arial"/>
    </w:rPr>
  </w:style>
  <w:style w:type="character" w:customStyle="1" w:styleId="CommentSubjectChar">
    <w:name w:val="Comment Subject Char"/>
    <w:basedOn w:val="CommentTextChar"/>
    <w:link w:val="CommentSubject"/>
    <w:rsid w:val="00F54CA4"/>
    <w:rPr>
      <w:rFonts w:ascii="Arial" w:hAnsi="Arial"/>
      <w:b/>
      <w:bCs/>
    </w:rPr>
  </w:style>
  <w:style w:type="paragraph" w:styleId="NoSpacing">
    <w:name w:val="No Spacing"/>
    <w:uiPriority w:val="1"/>
    <w:qFormat/>
    <w:rsid w:val="00E43AF7"/>
    <w:rPr>
      <w:rFonts w:asciiTheme="minorHAnsi" w:eastAsiaTheme="minorHAnsi" w:hAnsiTheme="minorHAnsi" w:cstheme="minorBidi"/>
      <w:sz w:val="22"/>
      <w:szCs w:val="22"/>
    </w:rPr>
  </w:style>
  <w:style w:type="paragraph" w:customStyle="1" w:styleId="CharCharCharChar0">
    <w:name w:val="Char Char Char Char"/>
    <w:basedOn w:val="Normal"/>
    <w:rsid w:val="0063033D"/>
    <w:pPr>
      <w:spacing w:after="160" w:line="240" w:lineRule="exact"/>
    </w:pPr>
    <w:rPr>
      <w:rFonts w:ascii="Verdana" w:hAnsi="Verdana"/>
      <w:szCs w:val="20"/>
      <w:lang w:val="en-GB"/>
    </w:rPr>
  </w:style>
  <w:style w:type="character" w:customStyle="1" w:styleId="CharChar0">
    <w:name w:val="Char Char"/>
    <w:locked/>
    <w:rsid w:val="0063033D"/>
    <w:rPr>
      <w:rFonts w:ascii="Arial" w:hAnsi="Arial" w:cs="Times New Roman"/>
      <w:lang w:val="en-US" w:eastAsia="en-US" w:bidi="ar-SA"/>
    </w:rPr>
  </w:style>
  <w:style w:type="paragraph" w:customStyle="1" w:styleId="CarCar0">
    <w:name w:val="Car Car"/>
    <w:basedOn w:val="Normal"/>
    <w:rsid w:val="0063033D"/>
    <w:pPr>
      <w:spacing w:after="160" w:line="240" w:lineRule="exact"/>
    </w:pPr>
    <w:rPr>
      <w:rFonts w:ascii="Verdana" w:hAnsi="Verdana"/>
      <w:szCs w:val="20"/>
      <w:lang w:val="en-GB"/>
    </w:rPr>
  </w:style>
  <w:style w:type="character" w:customStyle="1" w:styleId="CharChar20">
    <w:name w:val="Char Char2"/>
    <w:rsid w:val="0063033D"/>
    <w:rPr>
      <w:rFonts w:ascii="Arial" w:hAnsi="Arial"/>
      <w:lang w:val="en-US" w:eastAsia="en-US" w:bidi="ar-SA"/>
    </w:rPr>
  </w:style>
  <w:style w:type="character" w:customStyle="1" w:styleId="CharChar30">
    <w:name w:val="Char Char3"/>
    <w:rsid w:val="0063033D"/>
    <w:rPr>
      <w:rFonts w:ascii="Arial" w:hAnsi="Arial"/>
      <w:lang w:val="en-US" w:eastAsia="en-US" w:bidi="ar-SA"/>
    </w:rPr>
  </w:style>
  <w:style w:type="character" w:customStyle="1" w:styleId="CharChar40">
    <w:name w:val="Char Char4"/>
    <w:rsid w:val="0063033D"/>
    <w:rPr>
      <w:rFonts w:ascii="Arial" w:hAnsi="Arial"/>
      <w:lang w:val="en-US" w:eastAsia="en-US" w:bidi="ar-SA"/>
    </w:rPr>
  </w:style>
  <w:style w:type="character" w:customStyle="1" w:styleId="CharChar60">
    <w:name w:val="Char Char6"/>
    <w:rsid w:val="0063033D"/>
    <w:rPr>
      <w:rFonts w:ascii="Arial" w:hAnsi="Arial"/>
      <w:lang w:val="en-US" w:eastAsia="en-US" w:bidi="ar-SA"/>
    </w:rPr>
  </w:style>
  <w:style w:type="paragraph" w:customStyle="1" w:styleId="Char0">
    <w:name w:val="Char 字元 字元"/>
    <w:basedOn w:val="Normal"/>
    <w:rsid w:val="0063033D"/>
    <w:pPr>
      <w:spacing w:after="160" w:line="240" w:lineRule="exact"/>
    </w:pPr>
    <w:rPr>
      <w:rFonts w:ascii="Verdana" w:eastAsia="PMingLiU" w:hAnsi="Verdana"/>
      <w:szCs w:val="20"/>
    </w:rPr>
  </w:style>
  <w:style w:type="character" w:customStyle="1" w:styleId="BodyText2Char">
    <w:name w:val="Body Text 2 Char"/>
    <w:basedOn w:val="DefaultParagraphFont"/>
    <w:link w:val="BodyText2"/>
    <w:rsid w:val="00815ABB"/>
    <w:rPr>
      <w:rFonts w:ascii="Arial" w:hAnsi="Arial"/>
      <w:szCs w:val="24"/>
    </w:rPr>
  </w:style>
  <w:style w:type="paragraph" w:customStyle="1" w:styleId="StyleStyleHeading3ComplexItalicLatin12pt">
    <w:name w:val="Style Style Heading 3 + (Complex) Italic + (Latin) 12 pt"/>
    <w:basedOn w:val="Normal"/>
    <w:link w:val="StyleStyleHeading3ComplexItalicLatin12ptChar"/>
    <w:rsid w:val="00F27486"/>
    <w:pPr>
      <w:keepNext/>
      <w:tabs>
        <w:tab w:val="left" w:pos="1985"/>
      </w:tabs>
      <w:outlineLvl w:val="2"/>
    </w:pPr>
    <w:rPr>
      <w:b/>
      <w:iCs/>
      <w:caps/>
      <w:szCs w:val="22"/>
    </w:rPr>
  </w:style>
  <w:style w:type="character" w:customStyle="1" w:styleId="StyleStyleHeading3ComplexItalicLatin12ptChar">
    <w:name w:val="Style Style Heading 3 + (Complex) Italic + (Latin) 12 pt Char"/>
    <w:basedOn w:val="DefaultParagraphFont"/>
    <w:link w:val="StyleStyleHeading3ComplexItalicLatin12pt"/>
    <w:rsid w:val="00F27486"/>
    <w:rPr>
      <w:rFonts w:ascii="Arial" w:hAnsi="Arial"/>
      <w:b/>
      <w:iCs/>
      <w:caps/>
      <w:szCs w:val="22"/>
    </w:rPr>
  </w:style>
  <w:style w:type="paragraph" w:customStyle="1" w:styleId="Test">
    <w:name w:val="Test"/>
    <w:basedOn w:val="Normal"/>
    <w:qFormat/>
    <w:rsid w:val="00CE4C9D"/>
    <w:pPr>
      <w:numPr>
        <w:numId w:val="9"/>
      </w:numPr>
    </w:pPr>
    <w:rPr>
      <w:rFonts w:eastAsiaTheme="minorHAnsi" w:cs="Arial"/>
      <w:sz w:val="22"/>
      <w:szCs w:val="22"/>
    </w:rPr>
  </w:style>
  <w:style w:type="paragraph" w:customStyle="1" w:styleId="StyleHeading214ptAuto">
    <w:name w:val="Style Heading 2 + 14 pt Auto"/>
    <w:basedOn w:val="Heading2"/>
    <w:rsid w:val="00A87689"/>
    <w:pPr>
      <w:keepNext w:val="0"/>
      <w:widowControl w:val="0"/>
      <w:tabs>
        <w:tab w:val="clear" w:pos="9072"/>
        <w:tab w:val="num" w:pos="567"/>
      </w:tabs>
      <w:spacing w:line="300" w:lineRule="atLeast"/>
      <w:ind w:left="567" w:hanging="567"/>
      <w:jc w:val="center"/>
    </w:pPr>
    <w:rPr>
      <w:rFonts w:ascii="Arial Bold" w:hAnsi="Arial Bold" w:cs="Times New Roman"/>
      <w:caps/>
      <w:sz w:val="24"/>
      <w:lang w:val="en-GB" w:eastAsia="da-DK"/>
    </w:rPr>
  </w:style>
  <w:style w:type="character" w:styleId="Strong">
    <w:name w:val="Strong"/>
    <w:basedOn w:val="DefaultParagraphFont"/>
    <w:uiPriority w:val="22"/>
    <w:qFormat/>
    <w:rsid w:val="000C2991"/>
    <w:rPr>
      <w:b/>
      <w:bCs/>
    </w:rPr>
  </w:style>
  <w:style w:type="paragraph" w:customStyle="1" w:styleId="StyleHeading3ComplexItalic">
    <w:name w:val="Style Heading 3 + (Complex) Italic"/>
    <w:basedOn w:val="Heading3"/>
    <w:link w:val="StyleHeading3ComplexItalicChar"/>
    <w:rsid w:val="00603FB5"/>
    <w:pPr>
      <w:tabs>
        <w:tab w:val="left" w:pos="1985"/>
      </w:tabs>
      <w:spacing w:before="0" w:after="0"/>
    </w:pPr>
    <w:rPr>
      <w:rFonts w:eastAsia="Times New Roman"/>
      <w:b/>
      <w:bCs w:val="0"/>
      <w:iCs/>
      <w:caps/>
      <w:szCs w:val="22"/>
      <w:u w:val="none"/>
    </w:rPr>
  </w:style>
  <w:style w:type="character" w:customStyle="1" w:styleId="StyleHeading3ComplexItalicChar">
    <w:name w:val="Style Heading 3 + (Complex) Italic Char"/>
    <w:link w:val="StyleHeading3ComplexItalic"/>
    <w:rsid w:val="00603FB5"/>
    <w:rPr>
      <w:rFonts w:ascii="Arial" w:hAnsi="Arial" w:cs="Arial"/>
      <w:b/>
      <w:iCs/>
      <w:caps/>
      <w:sz w:val="22"/>
      <w:szCs w:val="22"/>
    </w:rPr>
  </w:style>
  <w:style w:type="character" w:customStyle="1" w:styleId="Heading1Char">
    <w:name w:val="Heading 1 Char"/>
    <w:basedOn w:val="DefaultParagraphFont"/>
    <w:link w:val="Heading1"/>
    <w:rsid w:val="00A44CCE"/>
    <w:rPr>
      <w:rFonts w:ascii="Arial" w:hAnsi="Arial" w:cs="Arial"/>
      <w:b/>
      <w:bCs/>
      <w:kern w:val="32"/>
      <w:sz w:val="22"/>
      <w:szCs w:val="32"/>
    </w:rPr>
  </w:style>
  <w:style w:type="character" w:styleId="EndnoteReference">
    <w:name w:val="endnote reference"/>
    <w:basedOn w:val="DefaultParagraphFont"/>
    <w:uiPriority w:val="99"/>
    <w:unhideWhenUsed/>
    <w:rsid w:val="00D944AE"/>
    <w:rPr>
      <w:vertAlign w:val="superscript"/>
    </w:rPr>
  </w:style>
  <w:style w:type="character" w:styleId="HTMLCite">
    <w:name w:val="HTML Cite"/>
    <w:basedOn w:val="DefaultParagraphFont"/>
    <w:uiPriority w:val="99"/>
    <w:unhideWhenUsed/>
    <w:rsid w:val="00D944AE"/>
    <w:rPr>
      <w:i/>
      <w:iCs/>
    </w:rPr>
  </w:style>
  <w:style w:type="character" w:customStyle="1" w:styleId="Heading4Char">
    <w:name w:val="Heading 4 Char"/>
    <w:basedOn w:val="DefaultParagraphFont"/>
    <w:link w:val="Heading4"/>
    <w:rsid w:val="00123DC4"/>
    <w:rPr>
      <w:rFonts w:ascii="Arial" w:hAnsi="Arial"/>
      <w:b/>
      <w:bCs/>
      <w:sz w:val="28"/>
      <w:szCs w:val="28"/>
    </w:rPr>
  </w:style>
  <w:style w:type="character" w:customStyle="1" w:styleId="BodyTextIndentChar">
    <w:name w:val="Body Text Indent Char"/>
    <w:basedOn w:val="DefaultParagraphFont"/>
    <w:link w:val="BodyTextIndent"/>
    <w:rsid w:val="00123DC4"/>
    <w:rPr>
      <w:rFonts w:ascii="Arial" w:hAnsi="Arial"/>
    </w:rPr>
  </w:style>
  <w:style w:type="paragraph" w:customStyle="1" w:styleId="Endofdocument-Annex">
    <w:name w:val="[End of document - Annex]"/>
    <w:basedOn w:val="Normal"/>
    <w:rsid w:val="00123DC4"/>
    <w:pPr>
      <w:ind w:left="5534"/>
    </w:pPr>
    <w:rPr>
      <w:rFonts w:eastAsia="SimSun" w:cs="Arial"/>
      <w:sz w:val="22"/>
      <w:szCs w:val="20"/>
      <w:lang w:eastAsia="zh-CN"/>
    </w:rPr>
  </w:style>
  <w:style w:type="character" w:customStyle="1" w:styleId="hps">
    <w:name w:val="hps"/>
    <w:basedOn w:val="DefaultParagraphFont"/>
    <w:rsid w:val="00123DC4"/>
  </w:style>
  <w:style w:type="paragraph" w:customStyle="1" w:styleId="Normal-table">
    <w:name w:val="Normal-table"/>
    <w:rsid w:val="008355F0"/>
    <w:rPr>
      <w:rFonts w:ascii="Arial" w:eastAsia="Batang" w:hAnsi="Arial"/>
    </w:rPr>
  </w:style>
  <w:style w:type="paragraph" w:customStyle="1" w:styleId="CharCharCharChar2">
    <w:name w:val="Char Char Char Char2"/>
    <w:basedOn w:val="Normal"/>
    <w:rsid w:val="00DA0522"/>
    <w:pPr>
      <w:spacing w:after="160" w:line="240" w:lineRule="exact"/>
    </w:pPr>
    <w:rPr>
      <w:rFonts w:ascii="Verdana" w:hAnsi="Verdana"/>
      <w:szCs w:val="20"/>
      <w:lang w:val="en-GB"/>
    </w:rPr>
  </w:style>
  <w:style w:type="paragraph" w:customStyle="1" w:styleId="CharCharCharChar1">
    <w:name w:val="Char Char Char Char1"/>
    <w:basedOn w:val="Normal"/>
    <w:rsid w:val="00DA0522"/>
    <w:pPr>
      <w:spacing w:after="160" w:line="240" w:lineRule="exact"/>
    </w:pPr>
    <w:rPr>
      <w:rFonts w:ascii="Verdana" w:hAnsi="Verdana"/>
      <w:szCs w:val="20"/>
      <w:lang w:val="en-GB"/>
    </w:rPr>
  </w:style>
  <w:style w:type="character" w:customStyle="1" w:styleId="CharChar1">
    <w:name w:val="Char Char1"/>
    <w:locked/>
    <w:rsid w:val="00DA0522"/>
    <w:rPr>
      <w:rFonts w:ascii="Arial" w:hAnsi="Arial" w:cs="Times New Roman"/>
      <w:lang w:val="en-US" w:eastAsia="en-US" w:bidi="ar-SA"/>
    </w:rPr>
  </w:style>
  <w:style w:type="paragraph" w:customStyle="1" w:styleId="CarCar1">
    <w:name w:val="Car Car1"/>
    <w:basedOn w:val="Normal"/>
    <w:rsid w:val="00DA0522"/>
    <w:pPr>
      <w:spacing w:after="160" w:line="240" w:lineRule="exact"/>
    </w:pPr>
    <w:rPr>
      <w:rFonts w:ascii="Verdana" w:hAnsi="Verdana"/>
      <w:szCs w:val="20"/>
      <w:lang w:val="en-GB"/>
    </w:rPr>
  </w:style>
  <w:style w:type="character" w:customStyle="1" w:styleId="CharChar21">
    <w:name w:val="Char Char21"/>
    <w:rsid w:val="00DA0522"/>
    <w:rPr>
      <w:rFonts w:ascii="Arial" w:hAnsi="Arial"/>
      <w:lang w:val="en-US" w:eastAsia="en-US" w:bidi="ar-SA"/>
    </w:rPr>
  </w:style>
  <w:style w:type="character" w:customStyle="1" w:styleId="CharChar31">
    <w:name w:val="Char Char31"/>
    <w:rsid w:val="00DA0522"/>
    <w:rPr>
      <w:rFonts w:ascii="Arial" w:hAnsi="Arial"/>
      <w:lang w:val="en-US" w:eastAsia="en-US" w:bidi="ar-SA"/>
    </w:rPr>
  </w:style>
  <w:style w:type="character" w:customStyle="1" w:styleId="CharChar41">
    <w:name w:val="Char Char41"/>
    <w:rsid w:val="00DA0522"/>
    <w:rPr>
      <w:rFonts w:ascii="Arial" w:hAnsi="Arial"/>
      <w:lang w:val="en-US" w:eastAsia="en-US" w:bidi="ar-SA"/>
    </w:rPr>
  </w:style>
  <w:style w:type="character" w:customStyle="1" w:styleId="CharChar61">
    <w:name w:val="Char Char61"/>
    <w:rsid w:val="00DA0522"/>
    <w:rPr>
      <w:rFonts w:ascii="Arial" w:hAnsi="Arial"/>
      <w:lang w:val="en-US" w:eastAsia="en-US" w:bidi="ar-SA"/>
    </w:rPr>
  </w:style>
  <w:style w:type="paragraph" w:customStyle="1" w:styleId="Char1">
    <w:name w:val="Char 字元 字元1"/>
    <w:basedOn w:val="Normal"/>
    <w:rsid w:val="00DA0522"/>
    <w:pPr>
      <w:spacing w:after="160" w:line="240" w:lineRule="exact"/>
    </w:pPr>
    <w:rPr>
      <w:rFonts w:ascii="Verdana" w:eastAsia="PMingLiU" w:hAnsi="Verdana"/>
      <w:szCs w:val="20"/>
    </w:rPr>
  </w:style>
  <w:style w:type="table" w:customStyle="1" w:styleId="TableGrid1">
    <w:name w:val="Table Grid1"/>
    <w:basedOn w:val="TableNormal"/>
    <w:next w:val="TableGrid"/>
    <w:uiPriority w:val="59"/>
    <w:rsid w:val="00DA0522"/>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ndofdocument">
    <w:name w:val="End of document"/>
    <w:basedOn w:val="Normal"/>
    <w:rsid w:val="00DA0522"/>
    <w:pPr>
      <w:ind w:left="4536"/>
      <w:jc w:val="center"/>
    </w:pPr>
    <w:rPr>
      <w:rFonts w:ascii="Times New Roman" w:hAnsi="Times New Roman"/>
      <w:sz w:val="24"/>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80818745">
      <w:bodyDiv w:val="1"/>
      <w:marLeft w:val="0"/>
      <w:marRight w:val="0"/>
      <w:marTop w:val="0"/>
      <w:marBottom w:val="0"/>
      <w:divBdr>
        <w:top w:val="none" w:sz="0" w:space="0" w:color="auto"/>
        <w:left w:val="none" w:sz="0" w:space="0" w:color="auto"/>
        <w:bottom w:val="none" w:sz="0" w:space="0" w:color="auto"/>
        <w:right w:val="none" w:sz="0" w:space="0" w:color="auto"/>
      </w:divBdr>
    </w:div>
    <w:div w:id="768699644">
      <w:bodyDiv w:val="1"/>
      <w:marLeft w:val="0"/>
      <w:marRight w:val="0"/>
      <w:marTop w:val="0"/>
      <w:marBottom w:val="0"/>
      <w:divBdr>
        <w:top w:val="none" w:sz="0" w:space="0" w:color="auto"/>
        <w:left w:val="none" w:sz="0" w:space="0" w:color="auto"/>
        <w:bottom w:val="none" w:sz="0" w:space="0" w:color="auto"/>
        <w:right w:val="none" w:sz="0" w:space="0" w:color="auto"/>
      </w:divBdr>
    </w:div>
    <w:div w:id="847603127">
      <w:bodyDiv w:val="1"/>
      <w:marLeft w:val="0"/>
      <w:marRight w:val="0"/>
      <w:marTop w:val="0"/>
      <w:marBottom w:val="0"/>
      <w:divBdr>
        <w:top w:val="none" w:sz="0" w:space="0" w:color="auto"/>
        <w:left w:val="none" w:sz="0" w:space="0" w:color="auto"/>
        <w:bottom w:val="none" w:sz="0" w:space="0" w:color="auto"/>
        <w:right w:val="none" w:sz="0" w:space="0" w:color="auto"/>
      </w:divBdr>
    </w:div>
    <w:div w:id="16074700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17" Type="http://schemas.openxmlformats.org/officeDocument/2006/relationships/image" Target="media/image103.png"/><Relationship Id="rId21" Type="http://schemas.openxmlformats.org/officeDocument/2006/relationships/image" Target="media/image9.png"/><Relationship Id="rId42" Type="http://schemas.openxmlformats.org/officeDocument/2006/relationships/image" Target="media/image30.emf"/><Relationship Id="rId63" Type="http://schemas.openxmlformats.org/officeDocument/2006/relationships/image" Target="media/image50.png"/><Relationship Id="rId84" Type="http://schemas.openxmlformats.org/officeDocument/2006/relationships/image" Target="media/image70.png"/><Relationship Id="rId138" Type="http://schemas.openxmlformats.org/officeDocument/2006/relationships/image" Target="media/image123.emf"/><Relationship Id="rId159" Type="http://schemas.openxmlformats.org/officeDocument/2006/relationships/image" Target="media/image144.emf"/><Relationship Id="rId170" Type="http://schemas.openxmlformats.org/officeDocument/2006/relationships/image" Target="media/image155.emf"/><Relationship Id="rId191" Type="http://schemas.openxmlformats.org/officeDocument/2006/relationships/image" Target="media/image176.emf"/><Relationship Id="rId205" Type="http://schemas.openxmlformats.org/officeDocument/2006/relationships/header" Target="header8.xml"/><Relationship Id="rId16" Type="http://schemas.openxmlformats.org/officeDocument/2006/relationships/image" Target="media/image4.png"/><Relationship Id="rId107" Type="http://schemas.openxmlformats.org/officeDocument/2006/relationships/image" Target="media/image93.emf"/><Relationship Id="rId11" Type="http://schemas.openxmlformats.org/officeDocument/2006/relationships/header" Target="header2.xml"/><Relationship Id="rId32" Type="http://schemas.openxmlformats.org/officeDocument/2006/relationships/image" Target="media/image20.png"/><Relationship Id="rId37" Type="http://schemas.openxmlformats.org/officeDocument/2006/relationships/image" Target="media/image25.emf"/><Relationship Id="rId53" Type="http://schemas.openxmlformats.org/officeDocument/2006/relationships/chart" Target="charts/chart1.xml"/><Relationship Id="rId58" Type="http://schemas.openxmlformats.org/officeDocument/2006/relationships/image" Target="media/image45.png"/><Relationship Id="rId74" Type="http://schemas.openxmlformats.org/officeDocument/2006/relationships/image" Target="media/image60.png"/><Relationship Id="rId79" Type="http://schemas.openxmlformats.org/officeDocument/2006/relationships/image" Target="media/image65.png"/><Relationship Id="rId102" Type="http://schemas.openxmlformats.org/officeDocument/2006/relationships/image" Target="media/image88.png"/><Relationship Id="rId123" Type="http://schemas.openxmlformats.org/officeDocument/2006/relationships/hyperlink" Target="http://www.wipo.int/amc/en/domains/tmpddrp/" TargetMode="External"/><Relationship Id="rId128" Type="http://schemas.openxmlformats.org/officeDocument/2006/relationships/image" Target="media/image113.emf"/><Relationship Id="rId144" Type="http://schemas.openxmlformats.org/officeDocument/2006/relationships/image" Target="media/image129.emf"/><Relationship Id="rId149" Type="http://schemas.openxmlformats.org/officeDocument/2006/relationships/image" Target="media/image134.emf"/><Relationship Id="rId5" Type="http://schemas.openxmlformats.org/officeDocument/2006/relationships/settings" Target="settings.xml"/><Relationship Id="rId90" Type="http://schemas.openxmlformats.org/officeDocument/2006/relationships/image" Target="media/image76.png"/><Relationship Id="rId95" Type="http://schemas.openxmlformats.org/officeDocument/2006/relationships/image" Target="media/image81.png"/><Relationship Id="rId160" Type="http://schemas.openxmlformats.org/officeDocument/2006/relationships/image" Target="media/image145.emf"/><Relationship Id="rId165" Type="http://schemas.openxmlformats.org/officeDocument/2006/relationships/image" Target="media/image150.emf"/><Relationship Id="rId181" Type="http://schemas.openxmlformats.org/officeDocument/2006/relationships/image" Target="media/image166.png"/><Relationship Id="rId186" Type="http://schemas.openxmlformats.org/officeDocument/2006/relationships/image" Target="media/image171.emf"/><Relationship Id="rId22" Type="http://schemas.openxmlformats.org/officeDocument/2006/relationships/image" Target="media/image10.png"/><Relationship Id="rId27" Type="http://schemas.openxmlformats.org/officeDocument/2006/relationships/image" Target="media/image15.png"/><Relationship Id="rId43" Type="http://schemas.openxmlformats.org/officeDocument/2006/relationships/image" Target="media/image31.emf"/><Relationship Id="rId48" Type="http://schemas.openxmlformats.org/officeDocument/2006/relationships/image" Target="media/image36.emf"/><Relationship Id="rId64" Type="http://schemas.openxmlformats.org/officeDocument/2006/relationships/image" Target="media/image51.emf"/><Relationship Id="rId69" Type="http://schemas.openxmlformats.org/officeDocument/2006/relationships/image" Target="media/image55.emf"/><Relationship Id="rId113" Type="http://schemas.openxmlformats.org/officeDocument/2006/relationships/image" Target="media/image99.png"/><Relationship Id="rId118" Type="http://schemas.openxmlformats.org/officeDocument/2006/relationships/image" Target="media/image104.png"/><Relationship Id="rId134" Type="http://schemas.openxmlformats.org/officeDocument/2006/relationships/image" Target="media/image119.png"/><Relationship Id="rId139" Type="http://schemas.openxmlformats.org/officeDocument/2006/relationships/image" Target="media/image124.emf"/><Relationship Id="rId80" Type="http://schemas.openxmlformats.org/officeDocument/2006/relationships/image" Target="media/image66.png"/><Relationship Id="rId85" Type="http://schemas.openxmlformats.org/officeDocument/2006/relationships/image" Target="media/image71.png"/><Relationship Id="rId150" Type="http://schemas.openxmlformats.org/officeDocument/2006/relationships/image" Target="media/image135.emf"/><Relationship Id="rId155" Type="http://schemas.openxmlformats.org/officeDocument/2006/relationships/image" Target="media/image140.png"/><Relationship Id="rId171" Type="http://schemas.openxmlformats.org/officeDocument/2006/relationships/image" Target="media/image156.png"/><Relationship Id="rId176" Type="http://schemas.openxmlformats.org/officeDocument/2006/relationships/image" Target="media/image161.png"/><Relationship Id="rId192" Type="http://schemas.openxmlformats.org/officeDocument/2006/relationships/image" Target="media/image177.emf"/><Relationship Id="rId197" Type="http://schemas.openxmlformats.org/officeDocument/2006/relationships/footer" Target="footer3.xml"/><Relationship Id="rId206" Type="http://schemas.openxmlformats.org/officeDocument/2006/relationships/header" Target="header9.xml"/><Relationship Id="rId201" Type="http://schemas.openxmlformats.org/officeDocument/2006/relationships/header" Target="header6.xml"/><Relationship Id="rId12" Type="http://schemas.openxmlformats.org/officeDocument/2006/relationships/footer" Target="footer1.xml"/><Relationship Id="rId17" Type="http://schemas.openxmlformats.org/officeDocument/2006/relationships/image" Target="media/image5.png"/><Relationship Id="rId33" Type="http://schemas.openxmlformats.org/officeDocument/2006/relationships/image" Target="media/image21.png"/><Relationship Id="rId38" Type="http://schemas.openxmlformats.org/officeDocument/2006/relationships/image" Target="media/image26.png"/><Relationship Id="rId59" Type="http://schemas.openxmlformats.org/officeDocument/2006/relationships/image" Target="media/image46.png"/><Relationship Id="rId103" Type="http://schemas.openxmlformats.org/officeDocument/2006/relationships/image" Target="media/image89.png"/><Relationship Id="rId108" Type="http://schemas.openxmlformats.org/officeDocument/2006/relationships/image" Target="media/image94.png"/><Relationship Id="rId124" Type="http://schemas.openxmlformats.org/officeDocument/2006/relationships/image" Target="media/image109.emf"/><Relationship Id="rId129" Type="http://schemas.openxmlformats.org/officeDocument/2006/relationships/image" Target="media/image114.emf"/><Relationship Id="rId54" Type="http://schemas.openxmlformats.org/officeDocument/2006/relationships/image" Target="media/image41.emf"/><Relationship Id="rId70" Type="http://schemas.openxmlformats.org/officeDocument/2006/relationships/image" Target="media/image56.emf"/><Relationship Id="rId75" Type="http://schemas.openxmlformats.org/officeDocument/2006/relationships/image" Target="media/image61.png"/><Relationship Id="rId91" Type="http://schemas.openxmlformats.org/officeDocument/2006/relationships/image" Target="media/image77.png"/><Relationship Id="rId96" Type="http://schemas.openxmlformats.org/officeDocument/2006/relationships/image" Target="media/image82.png"/><Relationship Id="rId140" Type="http://schemas.openxmlformats.org/officeDocument/2006/relationships/image" Target="media/image125.emf"/><Relationship Id="rId145" Type="http://schemas.openxmlformats.org/officeDocument/2006/relationships/image" Target="media/image130.png"/><Relationship Id="rId161" Type="http://schemas.openxmlformats.org/officeDocument/2006/relationships/image" Target="media/image146.png"/><Relationship Id="rId166" Type="http://schemas.openxmlformats.org/officeDocument/2006/relationships/image" Target="media/image151.png"/><Relationship Id="rId182" Type="http://schemas.openxmlformats.org/officeDocument/2006/relationships/image" Target="media/image167.emf"/><Relationship Id="rId187" Type="http://schemas.openxmlformats.org/officeDocument/2006/relationships/image" Target="media/image172.emf"/><Relationship Id="rId1" Type="http://schemas.openxmlformats.org/officeDocument/2006/relationships/customXml" Target="../customXml/item1.xml"/><Relationship Id="rId6" Type="http://schemas.openxmlformats.org/officeDocument/2006/relationships/webSettings" Target="webSettings.xml"/><Relationship Id="rId23" Type="http://schemas.openxmlformats.org/officeDocument/2006/relationships/image" Target="media/image11.png"/><Relationship Id="rId28" Type="http://schemas.openxmlformats.org/officeDocument/2006/relationships/image" Target="media/image16.png"/><Relationship Id="rId49" Type="http://schemas.openxmlformats.org/officeDocument/2006/relationships/image" Target="media/image37.emf"/><Relationship Id="rId114" Type="http://schemas.openxmlformats.org/officeDocument/2006/relationships/image" Target="media/image100.png"/><Relationship Id="rId119" Type="http://schemas.openxmlformats.org/officeDocument/2006/relationships/image" Target="media/image105.png"/><Relationship Id="rId44" Type="http://schemas.openxmlformats.org/officeDocument/2006/relationships/image" Target="media/image32.emf"/><Relationship Id="rId60" Type="http://schemas.openxmlformats.org/officeDocument/2006/relationships/image" Target="media/image47.png"/><Relationship Id="rId65" Type="http://schemas.openxmlformats.org/officeDocument/2006/relationships/image" Target="media/image52.png"/><Relationship Id="rId81" Type="http://schemas.openxmlformats.org/officeDocument/2006/relationships/image" Target="media/image67.png"/><Relationship Id="rId86" Type="http://schemas.openxmlformats.org/officeDocument/2006/relationships/image" Target="media/image72.png"/><Relationship Id="rId130" Type="http://schemas.openxmlformats.org/officeDocument/2006/relationships/image" Target="media/image115.emf"/><Relationship Id="rId135" Type="http://schemas.openxmlformats.org/officeDocument/2006/relationships/image" Target="media/image120.png"/><Relationship Id="rId151" Type="http://schemas.openxmlformats.org/officeDocument/2006/relationships/image" Target="media/image136.emf"/><Relationship Id="rId156" Type="http://schemas.openxmlformats.org/officeDocument/2006/relationships/image" Target="media/image141.emf"/><Relationship Id="rId177" Type="http://schemas.openxmlformats.org/officeDocument/2006/relationships/image" Target="media/image162.png"/><Relationship Id="rId198" Type="http://schemas.openxmlformats.org/officeDocument/2006/relationships/footer" Target="footer4.xml"/><Relationship Id="rId172" Type="http://schemas.openxmlformats.org/officeDocument/2006/relationships/image" Target="media/image157.emf"/><Relationship Id="rId193" Type="http://schemas.openxmlformats.org/officeDocument/2006/relationships/image" Target="media/image178.emf"/><Relationship Id="rId202" Type="http://schemas.openxmlformats.org/officeDocument/2006/relationships/header" Target="header7.xml"/><Relationship Id="rId207" Type="http://schemas.openxmlformats.org/officeDocument/2006/relationships/header" Target="header10.xml"/><Relationship Id="rId13" Type="http://schemas.openxmlformats.org/officeDocument/2006/relationships/footer" Target="footer2.xml"/><Relationship Id="rId18" Type="http://schemas.openxmlformats.org/officeDocument/2006/relationships/image" Target="media/image6.png"/><Relationship Id="rId39" Type="http://schemas.openxmlformats.org/officeDocument/2006/relationships/image" Target="media/image27.emf"/><Relationship Id="rId109" Type="http://schemas.openxmlformats.org/officeDocument/2006/relationships/image" Target="media/image95.png"/><Relationship Id="rId34" Type="http://schemas.openxmlformats.org/officeDocument/2006/relationships/image" Target="media/image22.emf"/><Relationship Id="rId50" Type="http://schemas.openxmlformats.org/officeDocument/2006/relationships/image" Target="media/image38.png"/><Relationship Id="rId55" Type="http://schemas.openxmlformats.org/officeDocument/2006/relationships/image" Target="media/image42.png"/><Relationship Id="rId76" Type="http://schemas.openxmlformats.org/officeDocument/2006/relationships/image" Target="media/image62.png"/><Relationship Id="rId97" Type="http://schemas.openxmlformats.org/officeDocument/2006/relationships/image" Target="media/image83.png"/><Relationship Id="rId104" Type="http://schemas.openxmlformats.org/officeDocument/2006/relationships/image" Target="media/image90.png"/><Relationship Id="rId120" Type="http://schemas.openxmlformats.org/officeDocument/2006/relationships/image" Target="media/image106.png"/><Relationship Id="rId125" Type="http://schemas.openxmlformats.org/officeDocument/2006/relationships/image" Target="media/image110.emf"/><Relationship Id="rId141" Type="http://schemas.openxmlformats.org/officeDocument/2006/relationships/image" Target="media/image126.emf"/><Relationship Id="rId146" Type="http://schemas.openxmlformats.org/officeDocument/2006/relationships/image" Target="media/image131.png"/><Relationship Id="rId167" Type="http://schemas.openxmlformats.org/officeDocument/2006/relationships/image" Target="media/image152.emf"/><Relationship Id="rId188" Type="http://schemas.openxmlformats.org/officeDocument/2006/relationships/image" Target="media/image173.png"/><Relationship Id="rId7" Type="http://schemas.openxmlformats.org/officeDocument/2006/relationships/footnotes" Target="footnotes.xml"/><Relationship Id="rId71" Type="http://schemas.openxmlformats.org/officeDocument/2006/relationships/image" Target="media/image57.png"/><Relationship Id="rId92" Type="http://schemas.openxmlformats.org/officeDocument/2006/relationships/image" Target="media/image78.png"/><Relationship Id="rId162" Type="http://schemas.openxmlformats.org/officeDocument/2006/relationships/image" Target="media/image147.png"/><Relationship Id="rId183" Type="http://schemas.openxmlformats.org/officeDocument/2006/relationships/image" Target="media/image168.emf"/><Relationship Id="rId2" Type="http://schemas.openxmlformats.org/officeDocument/2006/relationships/numbering" Target="numbering.xml"/><Relationship Id="rId29" Type="http://schemas.openxmlformats.org/officeDocument/2006/relationships/image" Target="media/image17.png"/><Relationship Id="rId24" Type="http://schemas.openxmlformats.org/officeDocument/2006/relationships/image" Target="media/image12.png"/><Relationship Id="rId40" Type="http://schemas.openxmlformats.org/officeDocument/2006/relationships/image" Target="media/image28.emf"/><Relationship Id="rId45" Type="http://schemas.openxmlformats.org/officeDocument/2006/relationships/image" Target="media/image33.emf"/><Relationship Id="rId66" Type="http://schemas.openxmlformats.org/officeDocument/2006/relationships/image" Target="media/image53.emf"/><Relationship Id="rId87" Type="http://schemas.openxmlformats.org/officeDocument/2006/relationships/image" Target="media/image73.png"/><Relationship Id="rId110" Type="http://schemas.openxmlformats.org/officeDocument/2006/relationships/image" Target="media/image96.png"/><Relationship Id="rId115" Type="http://schemas.openxmlformats.org/officeDocument/2006/relationships/image" Target="media/image101.png"/><Relationship Id="rId131" Type="http://schemas.openxmlformats.org/officeDocument/2006/relationships/image" Target="media/image116.emf"/><Relationship Id="rId136" Type="http://schemas.openxmlformats.org/officeDocument/2006/relationships/image" Target="media/image121.png"/><Relationship Id="rId157" Type="http://schemas.openxmlformats.org/officeDocument/2006/relationships/image" Target="media/image142.emf"/><Relationship Id="rId178" Type="http://schemas.openxmlformats.org/officeDocument/2006/relationships/image" Target="media/image163.emf"/><Relationship Id="rId61" Type="http://schemas.openxmlformats.org/officeDocument/2006/relationships/image" Target="media/image48.png"/><Relationship Id="rId82" Type="http://schemas.openxmlformats.org/officeDocument/2006/relationships/image" Target="media/image68.png"/><Relationship Id="rId152" Type="http://schemas.openxmlformats.org/officeDocument/2006/relationships/image" Target="media/image137.png"/><Relationship Id="rId173" Type="http://schemas.openxmlformats.org/officeDocument/2006/relationships/image" Target="media/image158.emf"/><Relationship Id="rId194" Type="http://schemas.openxmlformats.org/officeDocument/2006/relationships/image" Target="media/image179.emf"/><Relationship Id="rId199" Type="http://schemas.openxmlformats.org/officeDocument/2006/relationships/header" Target="header5.xml"/><Relationship Id="rId203" Type="http://schemas.openxmlformats.org/officeDocument/2006/relationships/footer" Target="footer6.xml"/><Relationship Id="rId208" Type="http://schemas.openxmlformats.org/officeDocument/2006/relationships/fontTable" Target="fontTable.xml"/><Relationship Id="rId19" Type="http://schemas.openxmlformats.org/officeDocument/2006/relationships/image" Target="media/image7.png"/><Relationship Id="rId14" Type="http://schemas.openxmlformats.org/officeDocument/2006/relationships/image" Target="media/image2.png"/><Relationship Id="rId30" Type="http://schemas.openxmlformats.org/officeDocument/2006/relationships/image" Target="media/image18.png"/><Relationship Id="rId35" Type="http://schemas.openxmlformats.org/officeDocument/2006/relationships/image" Target="media/image23.emf"/><Relationship Id="rId56" Type="http://schemas.openxmlformats.org/officeDocument/2006/relationships/image" Target="media/image43.png"/><Relationship Id="rId77" Type="http://schemas.openxmlformats.org/officeDocument/2006/relationships/image" Target="media/image63.png"/><Relationship Id="rId100" Type="http://schemas.openxmlformats.org/officeDocument/2006/relationships/image" Target="media/image86.png"/><Relationship Id="rId105" Type="http://schemas.openxmlformats.org/officeDocument/2006/relationships/image" Target="media/image91.png"/><Relationship Id="rId126" Type="http://schemas.openxmlformats.org/officeDocument/2006/relationships/image" Target="media/image111.png"/><Relationship Id="rId147" Type="http://schemas.openxmlformats.org/officeDocument/2006/relationships/image" Target="media/image132.png"/><Relationship Id="rId168" Type="http://schemas.openxmlformats.org/officeDocument/2006/relationships/image" Target="media/image153.emf"/><Relationship Id="rId8" Type="http://schemas.openxmlformats.org/officeDocument/2006/relationships/endnotes" Target="endnotes.xml"/><Relationship Id="rId51" Type="http://schemas.openxmlformats.org/officeDocument/2006/relationships/image" Target="media/image39.png"/><Relationship Id="rId72" Type="http://schemas.openxmlformats.org/officeDocument/2006/relationships/image" Target="media/image58.png"/><Relationship Id="rId93" Type="http://schemas.openxmlformats.org/officeDocument/2006/relationships/image" Target="media/image79.png"/><Relationship Id="rId98" Type="http://schemas.openxmlformats.org/officeDocument/2006/relationships/image" Target="media/image84.png"/><Relationship Id="rId121" Type="http://schemas.openxmlformats.org/officeDocument/2006/relationships/image" Target="media/image107.png"/><Relationship Id="rId142" Type="http://schemas.openxmlformats.org/officeDocument/2006/relationships/image" Target="media/image127.png"/><Relationship Id="rId163" Type="http://schemas.openxmlformats.org/officeDocument/2006/relationships/image" Target="media/image148.png"/><Relationship Id="rId184" Type="http://schemas.openxmlformats.org/officeDocument/2006/relationships/image" Target="media/image169.emf"/><Relationship Id="rId189" Type="http://schemas.openxmlformats.org/officeDocument/2006/relationships/image" Target="media/image174.emf"/><Relationship Id="rId3" Type="http://schemas.openxmlformats.org/officeDocument/2006/relationships/styles" Target="styles.xml"/><Relationship Id="rId25" Type="http://schemas.openxmlformats.org/officeDocument/2006/relationships/image" Target="media/image13.png"/><Relationship Id="rId46" Type="http://schemas.openxmlformats.org/officeDocument/2006/relationships/image" Target="media/image34.emf"/><Relationship Id="rId67" Type="http://schemas.openxmlformats.org/officeDocument/2006/relationships/chart" Target="charts/chart2.xml"/><Relationship Id="rId116" Type="http://schemas.openxmlformats.org/officeDocument/2006/relationships/image" Target="media/image102.png"/><Relationship Id="rId137" Type="http://schemas.openxmlformats.org/officeDocument/2006/relationships/image" Target="media/image122.png"/><Relationship Id="rId158" Type="http://schemas.openxmlformats.org/officeDocument/2006/relationships/image" Target="media/image143.png"/><Relationship Id="rId20" Type="http://schemas.openxmlformats.org/officeDocument/2006/relationships/image" Target="media/image8.png"/><Relationship Id="rId41" Type="http://schemas.openxmlformats.org/officeDocument/2006/relationships/image" Target="media/image29.emf"/><Relationship Id="rId62" Type="http://schemas.openxmlformats.org/officeDocument/2006/relationships/image" Target="media/image49.png"/><Relationship Id="rId83" Type="http://schemas.openxmlformats.org/officeDocument/2006/relationships/image" Target="media/image69.png"/><Relationship Id="rId88" Type="http://schemas.openxmlformats.org/officeDocument/2006/relationships/image" Target="media/image74.png"/><Relationship Id="rId111" Type="http://schemas.openxmlformats.org/officeDocument/2006/relationships/image" Target="media/image97.png"/><Relationship Id="rId132" Type="http://schemas.openxmlformats.org/officeDocument/2006/relationships/image" Target="media/image117.emf"/><Relationship Id="rId153" Type="http://schemas.openxmlformats.org/officeDocument/2006/relationships/image" Target="media/image138.emf"/><Relationship Id="rId174" Type="http://schemas.openxmlformats.org/officeDocument/2006/relationships/image" Target="media/image159.emf"/><Relationship Id="rId179" Type="http://schemas.openxmlformats.org/officeDocument/2006/relationships/image" Target="media/image164.emf"/><Relationship Id="rId195" Type="http://schemas.openxmlformats.org/officeDocument/2006/relationships/header" Target="header3.xml"/><Relationship Id="rId209" Type="http://schemas.openxmlformats.org/officeDocument/2006/relationships/theme" Target="theme/theme1.xml"/><Relationship Id="rId190" Type="http://schemas.openxmlformats.org/officeDocument/2006/relationships/image" Target="media/image175.emf"/><Relationship Id="rId204" Type="http://schemas.openxmlformats.org/officeDocument/2006/relationships/footer" Target="footer7.xml"/><Relationship Id="rId15" Type="http://schemas.openxmlformats.org/officeDocument/2006/relationships/image" Target="media/image3.png"/><Relationship Id="rId36" Type="http://schemas.openxmlformats.org/officeDocument/2006/relationships/image" Target="media/image24.emf"/><Relationship Id="rId57" Type="http://schemas.openxmlformats.org/officeDocument/2006/relationships/image" Target="media/image44.png"/><Relationship Id="rId106" Type="http://schemas.openxmlformats.org/officeDocument/2006/relationships/image" Target="media/image92.emf"/><Relationship Id="rId127" Type="http://schemas.openxmlformats.org/officeDocument/2006/relationships/image" Target="media/image112.emf"/><Relationship Id="rId10" Type="http://schemas.openxmlformats.org/officeDocument/2006/relationships/header" Target="header1.xml"/><Relationship Id="rId31" Type="http://schemas.openxmlformats.org/officeDocument/2006/relationships/image" Target="media/image19.png"/><Relationship Id="rId52" Type="http://schemas.openxmlformats.org/officeDocument/2006/relationships/image" Target="media/image40.png"/><Relationship Id="rId73" Type="http://schemas.openxmlformats.org/officeDocument/2006/relationships/image" Target="media/image59.png"/><Relationship Id="rId78" Type="http://schemas.openxmlformats.org/officeDocument/2006/relationships/image" Target="media/image64.png"/><Relationship Id="rId94" Type="http://schemas.openxmlformats.org/officeDocument/2006/relationships/image" Target="media/image80.png"/><Relationship Id="rId99" Type="http://schemas.openxmlformats.org/officeDocument/2006/relationships/image" Target="media/image85.png"/><Relationship Id="rId101" Type="http://schemas.openxmlformats.org/officeDocument/2006/relationships/image" Target="media/image87.png"/><Relationship Id="rId122" Type="http://schemas.openxmlformats.org/officeDocument/2006/relationships/image" Target="media/image108.png"/><Relationship Id="rId143" Type="http://schemas.openxmlformats.org/officeDocument/2006/relationships/image" Target="media/image128.emf"/><Relationship Id="rId148" Type="http://schemas.openxmlformats.org/officeDocument/2006/relationships/image" Target="media/image133.emf"/><Relationship Id="rId164" Type="http://schemas.openxmlformats.org/officeDocument/2006/relationships/image" Target="media/image149.emf"/><Relationship Id="rId169" Type="http://schemas.openxmlformats.org/officeDocument/2006/relationships/image" Target="media/image154.emf"/><Relationship Id="rId185" Type="http://schemas.openxmlformats.org/officeDocument/2006/relationships/image" Target="media/image170.emf"/><Relationship Id="rId4" Type="http://schemas.microsoft.com/office/2007/relationships/stylesWithEffects" Target="stylesWithEffects.xml"/><Relationship Id="rId9" Type="http://schemas.openxmlformats.org/officeDocument/2006/relationships/image" Target="media/image1.jpeg"/><Relationship Id="rId180" Type="http://schemas.openxmlformats.org/officeDocument/2006/relationships/image" Target="media/image165.png"/><Relationship Id="rId26" Type="http://schemas.openxmlformats.org/officeDocument/2006/relationships/image" Target="media/image14.png"/><Relationship Id="rId47" Type="http://schemas.openxmlformats.org/officeDocument/2006/relationships/image" Target="media/image35.png"/><Relationship Id="rId68" Type="http://schemas.openxmlformats.org/officeDocument/2006/relationships/image" Target="media/image54.png"/><Relationship Id="rId89" Type="http://schemas.openxmlformats.org/officeDocument/2006/relationships/image" Target="media/image75.png"/><Relationship Id="rId112" Type="http://schemas.openxmlformats.org/officeDocument/2006/relationships/image" Target="media/image98.png"/><Relationship Id="rId133" Type="http://schemas.openxmlformats.org/officeDocument/2006/relationships/image" Target="media/image118.png"/><Relationship Id="rId154" Type="http://schemas.openxmlformats.org/officeDocument/2006/relationships/image" Target="media/image139.emf"/><Relationship Id="rId175" Type="http://schemas.openxmlformats.org/officeDocument/2006/relationships/image" Target="media/image160.emf"/><Relationship Id="rId196" Type="http://schemas.openxmlformats.org/officeDocument/2006/relationships/header" Target="header4.xml"/><Relationship Id="rId200" Type="http://schemas.openxmlformats.org/officeDocument/2006/relationships/footer" Target="footer5.xml"/></Relationships>
</file>

<file path=word/_rels/footnotes.xml.rels><?xml version="1.0" encoding="UTF-8" standalone="yes"?>
<Relationships xmlns="http://schemas.openxmlformats.org/package/2006/relationships"><Relationship Id="rId8" Type="http://schemas.openxmlformats.org/officeDocument/2006/relationships/hyperlink" Target="http://www.wipo.int/publications/en/details.jsp?id=3912&amp;plang=EN" TargetMode="External"/><Relationship Id="rId13" Type="http://schemas.openxmlformats.org/officeDocument/2006/relationships/hyperlink" Target="http://www.wipo.int/export/sites/www/research/en/docs/wipo_research_external_review.pdf" TargetMode="External"/><Relationship Id="rId18" Type="http://schemas.openxmlformats.org/officeDocument/2006/relationships/hyperlink" Target="http://www.uibm.gov.it/attachments/FINAL%20Guide_for_IP%20Agri-food%20SME%20_Italian_publication_EN_GBA-Jaiya.pdf" TargetMode="External"/><Relationship Id="rId3" Type="http://schemas.openxmlformats.org/officeDocument/2006/relationships/hyperlink" Target="http://www.wipo.int/edocs/mdocs/govbody/en/a_55/a_55_6.pdf" TargetMode="External"/><Relationship Id="rId7" Type="http://schemas.openxmlformats.org/officeDocument/2006/relationships/hyperlink" Target="http://www.wipo.int/publications/en/details.jsp?id=3887&amp;plang=EN" TargetMode="External"/><Relationship Id="rId12" Type="http://schemas.openxmlformats.org/officeDocument/2006/relationships/hyperlink" Target="http://www.wipo.int/publications/en/details.jsp?id=3924&amp;plang=EN" TargetMode="External"/><Relationship Id="rId17" Type="http://schemas.openxmlformats.org/officeDocument/2006/relationships/hyperlink" Target="http://www.wipo.int/publications/en/details.jsp?id=259&amp;plang=EN" TargetMode="External"/><Relationship Id="rId2" Type="http://schemas.openxmlformats.org/officeDocument/2006/relationships/hyperlink" Target="mailto:madrid.qp@wipo.int" TargetMode="External"/><Relationship Id="rId16" Type="http://schemas.openxmlformats.org/officeDocument/2006/relationships/hyperlink" Target="http://www.wipo.int/about-wipo/en/oversight/pdf/external_quality_assessment_wipo_investigation_function.pdf" TargetMode="External"/><Relationship Id="rId1" Type="http://schemas.openxmlformats.org/officeDocument/2006/relationships/hyperlink" Target="http://www.wipo.int/meetings/en/doc_details.jsp?doc_id=327197" TargetMode="External"/><Relationship Id="rId6" Type="http://schemas.openxmlformats.org/officeDocument/2006/relationships/hyperlink" Target="http://www.sida.se/English/publications/Publication_database/publications-by-year1/2015/march/evaluation-of-sidas-international-training-programmes-in-intellectual-property---final-report/" TargetMode="External"/><Relationship Id="rId11" Type="http://schemas.openxmlformats.org/officeDocument/2006/relationships/hyperlink" Target="http://www.wipo.int/publications/en/details.jsp?id=3891&amp;plang=EN" TargetMode="External"/><Relationship Id="rId5" Type="http://schemas.openxmlformats.org/officeDocument/2006/relationships/hyperlink" Target="http://www.wipo.int/meetings/en/doc_details.jsp?doc_id=239806" TargetMode="External"/><Relationship Id="rId15" Type="http://schemas.openxmlformats.org/officeDocument/2006/relationships/hyperlink" Target="http://www.wipo.int/about-wipo/en/oversight/iaod/pdf/eqa_report.pdf" TargetMode="External"/><Relationship Id="rId10" Type="http://schemas.openxmlformats.org/officeDocument/2006/relationships/hyperlink" Target="http://www.wipo.int/publications/en/details.jsp?id=3990&amp;plang=EN" TargetMode="External"/><Relationship Id="rId4" Type="http://schemas.openxmlformats.org/officeDocument/2006/relationships/hyperlink" Target="http://www.wipo.int/meetings/en/doc_details.jsp?doc_id=208882" TargetMode="External"/><Relationship Id="rId9" Type="http://schemas.openxmlformats.org/officeDocument/2006/relationships/hyperlink" Target="http://www.wipo.int/publications/en/details.jsp?id=3893&amp;plang=EN" TargetMode="External"/><Relationship Id="rId14" Type="http://schemas.openxmlformats.org/officeDocument/2006/relationships/hyperlink" Target="http://www.wipo.int/about-wipo/en/oversight/iaod/pdf/qa_report.pdf" TargetMode="External"/></Relationships>
</file>

<file path=word/charts/_rels/chart1.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oleObject" Target="file:///\\wipogvafs01\PCT\OrgPCTopPB\Shared\_Ting's%20folder\PPR\2015\Table\PPR_2015.xlsx" TargetMode="External"/></Relationships>
</file>

<file path=word/charts/_rels/chart2.xml.rels><?xml version="1.0" encoding="UTF-8" standalone="yes"?>
<Relationships xmlns="http://schemas.openxmlformats.org/package/2006/relationships"><Relationship Id="rId2" Type="http://schemas.openxmlformats.org/officeDocument/2006/relationships/chartUserShapes" Target="../drawings/drawing2.xml"/><Relationship Id="rId1" Type="http://schemas.openxmlformats.org/officeDocument/2006/relationships/oleObject" Target="file:///D:\Users\zhao\AppData\Local\Microsoft\Windows\Temporary%20Internet%20Files\Content.Outlook\PM63RZSO\PPR_2015.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8.0696202531645611E-2"/>
          <c:y val="0.10434812145641267"/>
          <c:w val="0.87974683544303844"/>
          <c:h val="0.51884204835271841"/>
        </c:manualLayout>
      </c:layout>
      <c:lineChart>
        <c:grouping val="standard"/>
        <c:varyColors val="0"/>
        <c:ser>
          <c:idx val="0"/>
          <c:order val="0"/>
          <c:spPr>
            <a:ln w="25400">
              <a:solidFill>
                <a:srgbClr val="000080"/>
              </a:solidFill>
              <a:prstDash val="solid"/>
            </a:ln>
          </c:spPr>
          <c:marker>
            <c:symbol val="diamond"/>
            <c:size val="4"/>
            <c:spPr>
              <a:solidFill>
                <a:srgbClr val="000080"/>
              </a:solidFill>
              <a:ln>
                <a:solidFill>
                  <a:srgbClr val="000080"/>
                </a:solidFill>
                <a:prstDash val="solid"/>
              </a:ln>
            </c:spPr>
          </c:marker>
          <c:dLbls>
            <c:dLbl>
              <c:idx val="0"/>
              <c:layout>
                <c:manualLayout>
                  <c:x val="-2.6371308016877679E-3"/>
                  <c:y val="-5.2409836647004417E-2"/>
                </c:manualLayout>
              </c:layout>
              <c:dLblPos val="r"/>
              <c:showLegendKey val="0"/>
              <c:showVal val="1"/>
              <c:showCatName val="0"/>
              <c:showSerName val="0"/>
              <c:showPercent val="0"/>
              <c:showBubbleSize val="0"/>
            </c:dLbl>
            <c:dLbl>
              <c:idx val="1"/>
              <c:layout>
                <c:manualLayout>
                  <c:x val="-2.2487458055084914E-2"/>
                  <c:y val="4.3242608021373835E-2"/>
                </c:manualLayout>
              </c:layout>
              <c:spPr>
                <a:noFill/>
                <a:ln w="25400">
                  <a:noFill/>
                </a:ln>
              </c:spPr>
              <c:txPr>
                <a:bodyPr/>
                <a:lstStyle/>
                <a:p>
                  <a:pPr algn="ctr" rtl="1">
                    <a:defRPr sz="800" b="0" i="0" u="none" strike="noStrike" baseline="0">
                      <a:solidFill>
                        <a:srgbClr val="000000"/>
                      </a:solidFill>
                      <a:latin typeface="Arial"/>
                      <a:ea typeface="Arial"/>
                      <a:cs typeface="Arial"/>
                    </a:defRPr>
                  </a:pPr>
                  <a:endParaRPr lang="en-US"/>
                </a:p>
              </c:txPr>
              <c:dLblPos val="r"/>
              <c:showLegendKey val="0"/>
              <c:showVal val="1"/>
              <c:showCatName val="0"/>
              <c:showSerName val="0"/>
              <c:showPercent val="0"/>
              <c:showBubbleSize val="0"/>
            </c:dLbl>
            <c:dLbl>
              <c:idx val="2"/>
              <c:layout>
                <c:manualLayout>
                  <c:x val="-2.8097445097843798E-2"/>
                  <c:y val="-3.8563074533814856E-2"/>
                </c:manualLayout>
              </c:layout>
              <c:spPr>
                <a:noFill/>
                <a:ln w="25400">
                  <a:noFill/>
                </a:ln>
              </c:spPr>
              <c:txPr>
                <a:bodyPr/>
                <a:lstStyle/>
                <a:p>
                  <a:pPr algn="ctr" rtl="1">
                    <a:defRPr sz="800" b="0" i="0" u="none" strike="noStrike" baseline="0">
                      <a:solidFill>
                        <a:srgbClr val="000000"/>
                      </a:solidFill>
                      <a:latin typeface="Arial"/>
                      <a:ea typeface="Arial"/>
                      <a:cs typeface="Arial"/>
                    </a:defRPr>
                  </a:pPr>
                  <a:endParaRPr lang="en-US"/>
                </a:p>
              </c:txPr>
              <c:dLblPos val="r"/>
              <c:showLegendKey val="0"/>
              <c:showVal val="1"/>
              <c:showCatName val="0"/>
              <c:showSerName val="0"/>
              <c:showPercent val="0"/>
              <c:showBubbleSize val="0"/>
            </c:dLbl>
            <c:dLbl>
              <c:idx val="4"/>
              <c:layout>
                <c:manualLayout>
                  <c:x val="6.5688228844812185E-3"/>
                  <c:y val="-1.4281532018802041E-2"/>
                </c:manualLayout>
              </c:layout>
              <c:dLblPos val="r"/>
              <c:showLegendKey val="0"/>
              <c:showVal val="1"/>
              <c:showCatName val="0"/>
              <c:showSerName val="0"/>
              <c:showPercent val="0"/>
              <c:showBubbleSize val="0"/>
            </c:dLbl>
            <c:dLbl>
              <c:idx val="5"/>
              <c:layout>
                <c:manualLayout>
                  <c:x val="-4.018023854613112E-2"/>
                  <c:y val="3.966497659573754E-2"/>
                </c:manualLayout>
              </c:layout>
              <c:dLblPos val="r"/>
              <c:showLegendKey val="0"/>
              <c:showVal val="1"/>
              <c:showCatName val="0"/>
              <c:showSerName val="0"/>
              <c:showPercent val="0"/>
              <c:showBubbleSize val="0"/>
            </c:dLbl>
            <c:dLbl>
              <c:idx val="6"/>
              <c:layout>
                <c:manualLayout>
                  <c:x val="-3.3131997740788767E-2"/>
                  <c:y val="3.0439257795772806E-2"/>
                </c:manualLayout>
              </c:layout>
              <c:dLblPos val="r"/>
              <c:showLegendKey val="0"/>
              <c:showVal val="1"/>
              <c:showCatName val="0"/>
              <c:showSerName val="0"/>
              <c:showPercent val="0"/>
              <c:showBubbleSize val="0"/>
            </c:dLbl>
            <c:dLbl>
              <c:idx val="7"/>
              <c:layout>
                <c:manualLayout>
                  <c:x val="-2.1336755373932665E-2"/>
                  <c:y val="3.8869913577842002E-2"/>
                </c:manualLayout>
              </c:layout>
              <c:dLblPos val="r"/>
              <c:showLegendKey val="0"/>
              <c:showVal val="1"/>
              <c:showCatName val="0"/>
              <c:showSerName val="0"/>
              <c:showPercent val="0"/>
              <c:showBubbleSize val="0"/>
            </c:dLbl>
            <c:dLbl>
              <c:idx val="8"/>
              <c:layout>
                <c:manualLayout>
                  <c:x val="-2.5364463935678882E-2"/>
                  <c:y val="-5.315524047223405E-2"/>
                </c:manualLayout>
              </c:layout>
              <c:tx>
                <c:rich>
                  <a:bodyPr/>
                  <a:lstStyle/>
                  <a:p>
                    <a:r>
                      <a:rPr lang="en-US"/>
                      <a:t>367*</a:t>
                    </a:r>
                  </a:p>
                </c:rich>
              </c:tx>
              <c:dLblPos val="r"/>
              <c:showLegendKey val="0"/>
              <c:showVal val="0"/>
              <c:showCatName val="0"/>
              <c:showSerName val="0"/>
              <c:showPercent val="0"/>
              <c:showBubbleSize val="0"/>
            </c:dLbl>
            <c:dLbl>
              <c:idx val="9"/>
              <c:layout>
                <c:manualLayout>
                  <c:x val="-2.7809727897936867E-2"/>
                  <c:y val="-6.2198941731443955E-2"/>
                </c:manualLayout>
              </c:layout>
              <c:tx>
                <c:rich>
                  <a:bodyPr/>
                  <a:lstStyle/>
                  <a:p>
                    <a:r>
                      <a:rPr lang="en-US"/>
                      <a:t>318</a:t>
                    </a:r>
                  </a:p>
                </c:rich>
              </c:tx>
              <c:dLblPos val="r"/>
              <c:showLegendKey val="0"/>
              <c:showVal val="0"/>
              <c:showCatName val="0"/>
              <c:showSerName val="0"/>
              <c:showPercent val="0"/>
              <c:showBubbleSize val="0"/>
            </c:dLbl>
            <c:dLbl>
              <c:idx val="10"/>
              <c:layout>
                <c:manualLayout>
                  <c:x val="-3.3419714940695705E-2"/>
                  <c:y val="-5.3998250218722593E-2"/>
                </c:manualLayout>
              </c:layout>
              <c:dLblPos val="r"/>
              <c:showLegendKey val="0"/>
              <c:showVal val="1"/>
              <c:showCatName val="0"/>
              <c:showSerName val="0"/>
              <c:showPercent val="0"/>
              <c:showBubbleSize val="0"/>
            </c:dLbl>
            <c:dLbl>
              <c:idx val="11"/>
              <c:layout>
                <c:manualLayout>
                  <c:x val="-3.6181434599156133E-2"/>
                  <c:y val="-4.7904751036555157E-2"/>
                </c:manualLayout>
              </c:layout>
              <c:dLblPos val="r"/>
              <c:showLegendKey val="0"/>
              <c:showVal val="1"/>
              <c:showCatName val="0"/>
              <c:showSerName val="0"/>
              <c:showPercent val="0"/>
              <c:showBubbleSize val="0"/>
            </c:dLbl>
            <c:dLbl>
              <c:idx val="12"/>
              <c:layout>
                <c:manualLayout>
                  <c:x val="-3.7974683544303806E-2"/>
                  <c:y val="-5.0241545893719784E-2"/>
                </c:manualLayout>
              </c:layout>
              <c:showLegendKey val="0"/>
              <c:showVal val="1"/>
              <c:showCatName val="0"/>
              <c:showSerName val="0"/>
              <c:showPercent val="0"/>
              <c:showBubbleSize val="0"/>
            </c:dLbl>
            <c:dLbl>
              <c:idx val="13"/>
              <c:layout>
                <c:manualLayout>
                  <c:x val="-2.5316455696202528E-2"/>
                  <c:y val="-5.0241545893719715E-2"/>
                </c:manualLayout>
              </c:layout>
              <c:tx>
                <c:rich>
                  <a:bodyPr/>
                  <a:lstStyle/>
                  <a:p>
                    <a:r>
                      <a:rPr lang="en-US"/>
                      <a:t> 302</a:t>
                    </a:r>
                  </a:p>
                </c:rich>
              </c:tx>
              <c:showLegendKey val="0"/>
              <c:showVal val="1"/>
              <c:showCatName val="0"/>
              <c:showSerName val="0"/>
              <c:showPercent val="0"/>
              <c:showBubbleSize val="0"/>
            </c:dLbl>
            <c:dLbl>
              <c:idx val="14"/>
              <c:layout>
                <c:manualLayout>
                  <c:x val="-1.4767932489451475E-2"/>
                  <c:y val="-4.2512077294686014E-2"/>
                </c:manualLayout>
              </c:layout>
              <c:showLegendKey val="0"/>
              <c:showVal val="1"/>
              <c:showCatName val="0"/>
              <c:showSerName val="0"/>
              <c:showPercent val="0"/>
              <c:showBubbleSize val="0"/>
            </c:dLbl>
            <c:spPr>
              <a:noFill/>
              <a:ln w="25400">
                <a:noFill/>
              </a:ln>
            </c:spPr>
            <c:txPr>
              <a:bodyPr/>
              <a:lstStyle/>
              <a:p>
                <a:pPr>
                  <a:defRPr sz="800" b="0" i="0" u="none" strike="noStrike" baseline="0">
                    <a:solidFill>
                      <a:srgbClr val="000000"/>
                    </a:solidFill>
                    <a:latin typeface="Arial"/>
                    <a:ea typeface="Arial"/>
                    <a:cs typeface="Arial"/>
                  </a:defRPr>
                </a:pPr>
                <a:endParaRPr lang="en-US"/>
              </a:p>
            </c:txPr>
            <c:showLegendKey val="0"/>
            <c:showVal val="1"/>
            <c:showCatName val="0"/>
            <c:showSerName val="0"/>
            <c:showPercent val="0"/>
            <c:showBubbleSize val="0"/>
            <c:showLeaderLines val="0"/>
          </c:dLbls>
          <c:cat>
            <c:numRef>
              <c:f>Personnel!$C$6:$Q$6</c:f>
              <c:numCache>
                <c:formatCode>General</c:formatCode>
                <c:ptCount val="15"/>
                <c:pt idx="0">
                  <c:v>2001</c:v>
                </c:pt>
                <c:pt idx="1">
                  <c:v>2002</c:v>
                </c:pt>
                <c:pt idx="2">
                  <c:v>2003</c:v>
                </c:pt>
                <c:pt idx="3">
                  <c:v>2004</c:v>
                </c:pt>
                <c:pt idx="4">
                  <c:v>2005</c:v>
                </c:pt>
                <c:pt idx="5">
                  <c:v>2006</c:v>
                </c:pt>
                <c:pt idx="6">
                  <c:v>2007</c:v>
                </c:pt>
                <c:pt idx="7">
                  <c:v>2008</c:v>
                </c:pt>
                <c:pt idx="8">
                  <c:v>2009</c:v>
                </c:pt>
                <c:pt idx="9">
                  <c:v>2010</c:v>
                </c:pt>
                <c:pt idx="10">
                  <c:v>2011</c:v>
                </c:pt>
                <c:pt idx="11">
                  <c:v>2012</c:v>
                </c:pt>
                <c:pt idx="12">
                  <c:v>2013</c:v>
                </c:pt>
                <c:pt idx="13">
                  <c:v>2014</c:v>
                </c:pt>
                <c:pt idx="14">
                  <c:v>2015</c:v>
                </c:pt>
              </c:numCache>
            </c:numRef>
          </c:cat>
          <c:val>
            <c:numRef>
              <c:f>Personnel!$C$10:$Q$10</c:f>
              <c:numCache>
                <c:formatCode>General</c:formatCode>
                <c:ptCount val="15"/>
                <c:pt idx="0">
                  <c:v>422</c:v>
                </c:pt>
                <c:pt idx="1">
                  <c:v>422</c:v>
                </c:pt>
                <c:pt idx="2">
                  <c:v>456</c:v>
                </c:pt>
                <c:pt idx="3">
                  <c:v>409</c:v>
                </c:pt>
                <c:pt idx="4">
                  <c:v>385</c:v>
                </c:pt>
                <c:pt idx="5">
                  <c:v>368</c:v>
                </c:pt>
                <c:pt idx="6">
                  <c:v>360</c:v>
                </c:pt>
                <c:pt idx="7">
                  <c:v>356</c:v>
                </c:pt>
                <c:pt idx="8">
                  <c:v>367</c:v>
                </c:pt>
                <c:pt idx="9">
                  <c:v>318</c:v>
                </c:pt>
                <c:pt idx="10" formatCode="_-* #,##0_-;\-* #,##0_-;_-* &quot;-&quot;??_-;_-@_-">
                  <c:v>314.89999999999986</c:v>
                </c:pt>
                <c:pt idx="11">
                  <c:v>315</c:v>
                </c:pt>
                <c:pt idx="12" formatCode="_-* #,##0_-;\-* #,##0_-;_-* &quot;-&quot;??_-;_-@_-">
                  <c:v>305.79999999999984</c:v>
                </c:pt>
                <c:pt idx="13" formatCode="_-* #,##0.0_-;\-* #,##0.0_-;_-* &quot;-&quot;??_-;_-@_-">
                  <c:v>302.39999999999986</c:v>
                </c:pt>
                <c:pt idx="14" formatCode="0">
                  <c:v>296</c:v>
                </c:pt>
              </c:numCache>
            </c:numRef>
          </c:val>
          <c:smooth val="0"/>
        </c:ser>
        <c:dLbls>
          <c:showLegendKey val="0"/>
          <c:showVal val="1"/>
          <c:showCatName val="0"/>
          <c:showSerName val="0"/>
          <c:showPercent val="0"/>
          <c:showBubbleSize val="0"/>
        </c:dLbls>
        <c:marker val="1"/>
        <c:smooth val="0"/>
        <c:axId val="70737280"/>
        <c:axId val="70755840"/>
      </c:lineChart>
      <c:catAx>
        <c:axId val="70737280"/>
        <c:scaling>
          <c:orientation val="minMax"/>
        </c:scaling>
        <c:delete val="0"/>
        <c:axPos val="b"/>
        <c:title>
          <c:tx>
            <c:rich>
              <a:bodyPr/>
              <a:lstStyle/>
              <a:p>
                <a:pPr>
                  <a:defRPr sz="800" b="0" i="0" u="none" strike="noStrike" baseline="0">
                    <a:solidFill>
                      <a:srgbClr val="000000"/>
                    </a:solidFill>
                    <a:latin typeface="Arial"/>
                    <a:ea typeface="Arial"/>
                    <a:cs typeface="Arial"/>
                  </a:defRPr>
                </a:pPr>
                <a:r>
                  <a:rPr lang="en-US" b="0"/>
                  <a:t>Year</a:t>
                </a:r>
              </a:p>
            </c:rich>
          </c:tx>
          <c:layout>
            <c:manualLayout>
              <c:xMode val="edge"/>
              <c:yMode val="edge"/>
              <c:x val="0.50791139240506333"/>
              <c:y val="0.73333540912423323"/>
            </c:manualLayout>
          </c:layout>
          <c:overlay val="0"/>
          <c:spPr>
            <a:noFill/>
            <a:ln w="25400">
              <a:noFill/>
            </a:ln>
          </c:spPr>
        </c:title>
        <c:numFmt formatCode="General" sourceLinked="1"/>
        <c:majorTickMark val="out"/>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Arial"/>
                <a:ea typeface="Arial"/>
                <a:cs typeface="Arial"/>
              </a:defRPr>
            </a:pPr>
            <a:endParaRPr lang="en-US"/>
          </a:p>
        </c:txPr>
        <c:crossAx val="70755840"/>
        <c:crosses val="autoZero"/>
        <c:auto val="1"/>
        <c:lblAlgn val="ctr"/>
        <c:lblOffset val="100"/>
        <c:tickLblSkip val="1"/>
        <c:tickMarkSkip val="1"/>
        <c:noMultiLvlLbl val="0"/>
      </c:catAx>
      <c:valAx>
        <c:axId val="70755840"/>
        <c:scaling>
          <c:orientation val="minMax"/>
          <c:max val="475"/>
          <c:min val="250"/>
        </c:scaling>
        <c:delete val="0"/>
        <c:axPos val="l"/>
        <c:majorGridlines>
          <c:spPr>
            <a:ln w="3175">
              <a:solidFill>
                <a:srgbClr val="FFFFFF"/>
              </a:solidFill>
              <a:prstDash val="sysDash"/>
            </a:ln>
          </c:spPr>
        </c:majorGridlines>
        <c:title>
          <c:tx>
            <c:rich>
              <a:bodyPr/>
              <a:lstStyle/>
              <a:p>
                <a:pPr>
                  <a:defRPr sz="800" b="0" i="0" u="none" strike="noStrike" baseline="0">
                    <a:solidFill>
                      <a:srgbClr val="000000"/>
                    </a:solidFill>
                    <a:latin typeface="Arial"/>
                    <a:ea typeface="Arial"/>
                    <a:cs typeface="Arial"/>
                  </a:defRPr>
                </a:pPr>
                <a:r>
                  <a:rPr lang="en-US" b="0"/>
                  <a:t>Number of Personnel</a:t>
                </a:r>
              </a:p>
            </c:rich>
          </c:tx>
          <c:layout>
            <c:manualLayout>
              <c:xMode val="edge"/>
              <c:yMode val="edge"/>
              <c:x val="2.5316455696202528E-2"/>
              <c:y val="0.18550777147806691"/>
            </c:manualLayout>
          </c:layout>
          <c:overlay val="0"/>
          <c:spPr>
            <a:noFill/>
            <a:ln w="25400">
              <a:noFill/>
            </a:ln>
          </c:spPr>
        </c:title>
        <c:numFmt formatCode="General" sourceLinked="1"/>
        <c:majorTickMark val="none"/>
        <c:minorTickMark val="none"/>
        <c:tickLblPos val="none"/>
        <c:spPr>
          <a:ln w="3175">
            <a:solidFill>
              <a:srgbClr val="000000"/>
            </a:solidFill>
            <a:prstDash val="solid"/>
          </a:ln>
        </c:spPr>
        <c:crossAx val="70737280"/>
        <c:crosses val="autoZero"/>
        <c:crossBetween val="midCat"/>
        <c:majorUnit val="75"/>
      </c:valAx>
      <c:spPr>
        <a:noFill/>
        <a:ln w="25400">
          <a:noFill/>
        </a:ln>
      </c:spPr>
    </c:plotArea>
    <c:plotVisOnly val="1"/>
    <c:dispBlanksAs val="gap"/>
    <c:showDLblsOverMax val="0"/>
  </c:chart>
  <c:spPr>
    <a:solidFill>
      <a:srgbClr val="FFFFFF"/>
    </a:solidFill>
    <a:ln w="9525">
      <a:noFill/>
    </a:ln>
  </c:spPr>
  <c:txPr>
    <a:bodyPr/>
    <a:lstStyle/>
    <a:p>
      <a:pPr>
        <a:defRPr sz="800" b="0" i="0" u="none" strike="noStrike" baseline="0">
          <a:solidFill>
            <a:srgbClr val="000000"/>
          </a:solidFill>
          <a:latin typeface="Arial"/>
          <a:ea typeface="Arial"/>
          <a:cs typeface="Arial"/>
        </a:defRPr>
      </a:pPr>
      <a:endParaRPr lang="en-US"/>
    </a:p>
  </c:txPr>
  <c:externalData r:id="rId1">
    <c:autoUpdate val="0"/>
  </c:externalData>
  <c:userShapes r:id="rId2"/>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2516297262059969"/>
          <c:y val="0.17708363159150567"/>
          <c:w val="0.86049543676662343"/>
          <c:h val="0.61269028871391074"/>
        </c:manualLayout>
      </c:layout>
      <c:barChart>
        <c:barDir val="col"/>
        <c:grouping val="percentStacked"/>
        <c:varyColors val="0"/>
        <c:ser>
          <c:idx val="0"/>
          <c:order val="0"/>
          <c:tx>
            <c:strRef>
              <c:f>RO_IB_time_notif!$C$7</c:f>
              <c:strCache>
                <c:ptCount val="1"/>
                <c:pt idx="0">
                  <c:v>within 1 week</c:v>
                </c:pt>
              </c:strCache>
            </c:strRef>
          </c:tx>
          <c:spPr>
            <a:solidFill>
              <a:srgbClr val="FFCC99"/>
            </a:solidFill>
            <a:ln w="25400">
              <a:noFill/>
            </a:ln>
          </c:spPr>
          <c:invertIfNegative val="0"/>
          <c:cat>
            <c:numRef>
              <c:f>RO_IB_time_notif!$D$6:$L$6</c:f>
              <c:numCache>
                <c:formatCode>General</c:formatCode>
                <c:ptCount val="9"/>
                <c:pt idx="0">
                  <c:v>2007</c:v>
                </c:pt>
                <c:pt idx="1">
                  <c:v>2008</c:v>
                </c:pt>
                <c:pt idx="2">
                  <c:v>2009</c:v>
                </c:pt>
                <c:pt idx="3">
                  <c:v>2010</c:v>
                </c:pt>
                <c:pt idx="4">
                  <c:v>2011</c:v>
                </c:pt>
                <c:pt idx="5">
                  <c:v>2012</c:v>
                </c:pt>
                <c:pt idx="6">
                  <c:v>2013</c:v>
                </c:pt>
                <c:pt idx="7">
                  <c:v>2014</c:v>
                </c:pt>
                <c:pt idx="8">
                  <c:v>2015</c:v>
                </c:pt>
              </c:numCache>
            </c:numRef>
          </c:cat>
          <c:val>
            <c:numRef>
              <c:f>RO_IB_time_notif!$D$7:$L$7</c:f>
              <c:numCache>
                <c:formatCode>0.0%</c:formatCode>
                <c:ptCount val="9"/>
                <c:pt idx="0">
                  <c:v>9.1977516607051613E-3</c:v>
                </c:pt>
                <c:pt idx="1">
                  <c:v>1.8026196342886793E-2</c:v>
                </c:pt>
                <c:pt idx="2">
                  <c:v>0.55160831933858723</c:v>
                </c:pt>
                <c:pt idx="3">
                  <c:v>0.64110908617547557</c:v>
                </c:pt>
                <c:pt idx="4">
                  <c:v>0.30599162742019875</c:v>
                </c:pt>
                <c:pt idx="5">
                  <c:v>0.28611046914721538</c:v>
                </c:pt>
                <c:pt idx="6">
                  <c:v>0.22180242249138793</c:v>
                </c:pt>
                <c:pt idx="7">
                  <c:v>0.4368351063829789</c:v>
                </c:pt>
                <c:pt idx="8">
                  <c:v>0.61523788150807923</c:v>
                </c:pt>
              </c:numCache>
            </c:numRef>
          </c:val>
        </c:ser>
        <c:ser>
          <c:idx val="1"/>
          <c:order val="1"/>
          <c:tx>
            <c:strRef>
              <c:f>RO_IB_time_notif!$C$8</c:f>
              <c:strCache>
                <c:ptCount val="1"/>
                <c:pt idx="0">
                  <c:v>between 1 - 2 weeks</c:v>
                </c:pt>
              </c:strCache>
            </c:strRef>
          </c:tx>
          <c:spPr>
            <a:solidFill>
              <a:srgbClr val="FF6600"/>
            </a:solidFill>
            <a:ln w="25400">
              <a:noFill/>
            </a:ln>
          </c:spPr>
          <c:invertIfNegative val="0"/>
          <c:cat>
            <c:numRef>
              <c:f>RO_IB_time_notif!$D$6:$L$6</c:f>
              <c:numCache>
                <c:formatCode>General</c:formatCode>
                <c:ptCount val="9"/>
                <c:pt idx="0">
                  <c:v>2007</c:v>
                </c:pt>
                <c:pt idx="1">
                  <c:v>2008</c:v>
                </c:pt>
                <c:pt idx="2">
                  <c:v>2009</c:v>
                </c:pt>
                <c:pt idx="3">
                  <c:v>2010</c:v>
                </c:pt>
                <c:pt idx="4">
                  <c:v>2011</c:v>
                </c:pt>
                <c:pt idx="5">
                  <c:v>2012</c:v>
                </c:pt>
                <c:pt idx="6">
                  <c:v>2013</c:v>
                </c:pt>
                <c:pt idx="7">
                  <c:v>2014</c:v>
                </c:pt>
                <c:pt idx="8">
                  <c:v>2015</c:v>
                </c:pt>
              </c:numCache>
            </c:numRef>
          </c:cat>
          <c:val>
            <c:numRef>
              <c:f>RO_IB_time_notif!$D$8:$L$8</c:f>
              <c:numCache>
                <c:formatCode>0.0%</c:formatCode>
                <c:ptCount val="9"/>
                <c:pt idx="0">
                  <c:v>3.3725089422585591E-2</c:v>
                </c:pt>
                <c:pt idx="1">
                  <c:v>6.1859680975230202E-2</c:v>
                </c:pt>
                <c:pt idx="2">
                  <c:v>0.28678465314558854</c:v>
                </c:pt>
                <c:pt idx="3">
                  <c:v>0.27076282218172343</c:v>
                </c:pt>
                <c:pt idx="4">
                  <c:v>0.42543171114599687</c:v>
                </c:pt>
                <c:pt idx="5">
                  <c:v>0.20198752022186273</c:v>
                </c:pt>
                <c:pt idx="6">
                  <c:v>3.4559395488387615E-2</c:v>
                </c:pt>
                <c:pt idx="7">
                  <c:v>0.26462765957446821</c:v>
                </c:pt>
                <c:pt idx="8">
                  <c:v>0.13038599640933574</c:v>
                </c:pt>
              </c:numCache>
            </c:numRef>
          </c:val>
        </c:ser>
        <c:ser>
          <c:idx val="2"/>
          <c:order val="2"/>
          <c:tx>
            <c:strRef>
              <c:f>RO_IB_time_notif!$C$9</c:f>
              <c:strCache>
                <c:ptCount val="1"/>
                <c:pt idx="0">
                  <c:v>between 2 - 3 weeks</c:v>
                </c:pt>
              </c:strCache>
            </c:strRef>
          </c:tx>
          <c:spPr>
            <a:solidFill>
              <a:srgbClr val="99CCFF"/>
            </a:solidFill>
            <a:ln w="25400">
              <a:noFill/>
            </a:ln>
          </c:spPr>
          <c:invertIfNegative val="0"/>
          <c:cat>
            <c:numRef>
              <c:f>RO_IB_time_notif!$D$6:$L$6</c:f>
              <c:numCache>
                <c:formatCode>General</c:formatCode>
                <c:ptCount val="9"/>
                <c:pt idx="0">
                  <c:v>2007</c:v>
                </c:pt>
                <c:pt idx="1">
                  <c:v>2008</c:v>
                </c:pt>
                <c:pt idx="2">
                  <c:v>2009</c:v>
                </c:pt>
                <c:pt idx="3">
                  <c:v>2010</c:v>
                </c:pt>
                <c:pt idx="4">
                  <c:v>2011</c:v>
                </c:pt>
                <c:pt idx="5">
                  <c:v>2012</c:v>
                </c:pt>
                <c:pt idx="6">
                  <c:v>2013</c:v>
                </c:pt>
                <c:pt idx="7">
                  <c:v>2014</c:v>
                </c:pt>
                <c:pt idx="8">
                  <c:v>2015</c:v>
                </c:pt>
              </c:numCache>
            </c:numRef>
          </c:cat>
          <c:val>
            <c:numRef>
              <c:f>RO_IB_time_notif!$D$9:$L$9</c:f>
              <c:numCache>
                <c:formatCode>0.0%</c:formatCode>
                <c:ptCount val="9"/>
                <c:pt idx="0">
                  <c:v>4.3178334184977005E-2</c:v>
                </c:pt>
                <c:pt idx="1">
                  <c:v>0.13253793282323958</c:v>
                </c:pt>
                <c:pt idx="2">
                  <c:v>8.6422942772251682E-2</c:v>
                </c:pt>
                <c:pt idx="3">
                  <c:v>2.5904712314501432E-2</c:v>
                </c:pt>
                <c:pt idx="4">
                  <c:v>0.15881737310308741</c:v>
                </c:pt>
                <c:pt idx="5">
                  <c:v>0.14767737462445113</c:v>
                </c:pt>
                <c:pt idx="6">
                  <c:v>3.3892654739415488E-2</c:v>
                </c:pt>
                <c:pt idx="7">
                  <c:v>8.8652482269503591E-2</c:v>
                </c:pt>
                <c:pt idx="8">
                  <c:v>7.1925493716337524E-2</c:v>
                </c:pt>
              </c:numCache>
            </c:numRef>
          </c:val>
        </c:ser>
        <c:ser>
          <c:idx val="3"/>
          <c:order val="3"/>
          <c:tx>
            <c:strRef>
              <c:f>RO_IB_time_notif!$C$10</c:f>
              <c:strCache>
                <c:ptCount val="1"/>
                <c:pt idx="0">
                  <c:v>between 3 - 4 weeks</c:v>
                </c:pt>
              </c:strCache>
            </c:strRef>
          </c:tx>
          <c:spPr>
            <a:solidFill>
              <a:srgbClr val="339966"/>
            </a:solidFill>
            <a:ln w="25400">
              <a:noFill/>
            </a:ln>
          </c:spPr>
          <c:invertIfNegative val="0"/>
          <c:cat>
            <c:numRef>
              <c:f>RO_IB_time_notif!$D$6:$L$6</c:f>
              <c:numCache>
                <c:formatCode>General</c:formatCode>
                <c:ptCount val="9"/>
                <c:pt idx="0">
                  <c:v>2007</c:v>
                </c:pt>
                <c:pt idx="1">
                  <c:v>2008</c:v>
                </c:pt>
                <c:pt idx="2">
                  <c:v>2009</c:v>
                </c:pt>
                <c:pt idx="3">
                  <c:v>2010</c:v>
                </c:pt>
                <c:pt idx="4">
                  <c:v>2011</c:v>
                </c:pt>
                <c:pt idx="5">
                  <c:v>2012</c:v>
                </c:pt>
                <c:pt idx="6">
                  <c:v>2013</c:v>
                </c:pt>
                <c:pt idx="7">
                  <c:v>2014</c:v>
                </c:pt>
                <c:pt idx="8">
                  <c:v>2015</c:v>
                </c:pt>
              </c:numCache>
            </c:numRef>
          </c:cat>
          <c:val>
            <c:numRef>
              <c:f>RO_IB_time_notif!$D$10:$L$10</c:f>
              <c:numCache>
                <c:formatCode>0.0%</c:formatCode>
                <c:ptCount val="9"/>
                <c:pt idx="0">
                  <c:v>8.0735820132856503E-2</c:v>
                </c:pt>
                <c:pt idx="1">
                  <c:v>0.20879263389962396</c:v>
                </c:pt>
                <c:pt idx="2">
                  <c:v>2.9195194419325679E-2</c:v>
                </c:pt>
                <c:pt idx="3">
                  <c:v>3.2153085134079676E-2</c:v>
                </c:pt>
                <c:pt idx="4">
                  <c:v>0.10060177917320777</c:v>
                </c:pt>
                <c:pt idx="5">
                  <c:v>6.4016639704183073E-2</c:v>
                </c:pt>
                <c:pt idx="6">
                  <c:v>3.4226025113901541E-2</c:v>
                </c:pt>
                <c:pt idx="7">
                  <c:v>5.5851063829787245E-2</c:v>
                </c:pt>
                <c:pt idx="8">
                  <c:v>7.8545780969479354E-2</c:v>
                </c:pt>
              </c:numCache>
            </c:numRef>
          </c:val>
        </c:ser>
        <c:ser>
          <c:idx val="4"/>
          <c:order val="4"/>
          <c:tx>
            <c:strRef>
              <c:f>RO_IB_time_notif!$C$11</c:f>
              <c:strCache>
                <c:ptCount val="1"/>
                <c:pt idx="0">
                  <c:v>more than 4 weeks</c:v>
                </c:pt>
              </c:strCache>
            </c:strRef>
          </c:tx>
          <c:spPr>
            <a:solidFill>
              <a:srgbClr val="969696"/>
            </a:solidFill>
            <a:ln w="25400">
              <a:noFill/>
            </a:ln>
          </c:spPr>
          <c:invertIfNegative val="0"/>
          <c:cat>
            <c:numRef>
              <c:f>RO_IB_time_notif!$D$6:$L$6</c:f>
              <c:numCache>
                <c:formatCode>General</c:formatCode>
                <c:ptCount val="9"/>
                <c:pt idx="0">
                  <c:v>2007</c:v>
                </c:pt>
                <c:pt idx="1">
                  <c:v>2008</c:v>
                </c:pt>
                <c:pt idx="2">
                  <c:v>2009</c:v>
                </c:pt>
                <c:pt idx="3">
                  <c:v>2010</c:v>
                </c:pt>
                <c:pt idx="4">
                  <c:v>2011</c:v>
                </c:pt>
                <c:pt idx="5">
                  <c:v>2012</c:v>
                </c:pt>
                <c:pt idx="6">
                  <c:v>2013</c:v>
                </c:pt>
                <c:pt idx="7">
                  <c:v>2014</c:v>
                </c:pt>
                <c:pt idx="8">
                  <c:v>2015</c:v>
                </c:pt>
              </c:numCache>
            </c:numRef>
          </c:cat>
          <c:val>
            <c:numRef>
              <c:f>RO_IB_time_notif!$D$11:$L$11</c:f>
              <c:numCache>
                <c:formatCode>0.0%</c:formatCode>
                <c:ptCount val="9"/>
                <c:pt idx="0">
                  <c:v>0.83316300459887604</c:v>
                </c:pt>
                <c:pt idx="1">
                  <c:v>0.57878355595901954</c:v>
                </c:pt>
                <c:pt idx="2">
                  <c:v>4.5988890324247522E-2</c:v>
                </c:pt>
                <c:pt idx="3">
                  <c:v>3.0070294194220255E-2</c:v>
                </c:pt>
                <c:pt idx="4">
                  <c:v>9.1575091575091649E-3</c:v>
                </c:pt>
                <c:pt idx="5">
                  <c:v>0.30020799630228806</c:v>
                </c:pt>
                <c:pt idx="6">
                  <c:v>0.6755195021669077</c:v>
                </c:pt>
                <c:pt idx="7">
                  <c:v>0.15403368794326244</c:v>
                </c:pt>
                <c:pt idx="8">
                  <c:v>0.10390484739676838</c:v>
                </c:pt>
              </c:numCache>
            </c:numRef>
          </c:val>
        </c:ser>
        <c:dLbls>
          <c:showLegendKey val="0"/>
          <c:showVal val="0"/>
          <c:showCatName val="0"/>
          <c:showSerName val="0"/>
          <c:showPercent val="0"/>
          <c:showBubbleSize val="0"/>
        </c:dLbls>
        <c:gapWidth val="150"/>
        <c:overlap val="100"/>
        <c:axId val="71029888"/>
        <c:axId val="71031808"/>
      </c:barChart>
      <c:catAx>
        <c:axId val="71029888"/>
        <c:scaling>
          <c:orientation val="minMax"/>
        </c:scaling>
        <c:delete val="0"/>
        <c:axPos val="b"/>
        <c:title>
          <c:tx>
            <c:rich>
              <a:bodyPr/>
              <a:lstStyle/>
              <a:p>
                <a:pPr>
                  <a:defRPr sz="800" b="0" i="0" u="none" strike="noStrike" baseline="0">
                    <a:solidFill>
                      <a:srgbClr val="000000"/>
                    </a:solidFill>
                    <a:latin typeface="Arial"/>
                    <a:ea typeface="Arial"/>
                    <a:cs typeface="Arial"/>
                  </a:defRPr>
                </a:pPr>
                <a:r>
                  <a:rPr lang="en-US" b="0"/>
                  <a:t>Year of receipt at RO/IB</a:t>
                </a:r>
              </a:p>
            </c:rich>
          </c:tx>
          <c:layout>
            <c:manualLayout>
              <c:xMode val="edge"/>
              <c:yMode val="edge"/>
              <c:x val="0.48631029986962215"/>
              <c:y val="0.86647847467384342"/>
            </c:manualLayout>
          </c:layout>
          <c:overlay val="0"/>
          <c:spPr>
            <a:noFill/>
            <a:ln w="25400">
              <a:noFill/>
            </a:ln>
          </c:spPr>
        </c:title>
        <c:numFmt formatCode="General" sourceLinked="1"/>
        <c:majorTickMark val="out"/>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Arial"/>
                <a:ea typeface="Arial"/>
                <a:cs typeface="Arial"/>
              </a:defRPr>
            </a:pPr>
            <a:endParaRPr lang="en-US"/>
          </a:p>
        </c:txPr>
        <c:crossAx val="71031808"/>
        <c:crosses val="autoZero"/>
        <c:auto val="1"/>
        <c:lblAlgn val="ctr"/>
        <c:lblOffset val="100"/>
        <c:tickLblSkip val="1"/>
        <c:tickMarkSkip val="1"/>
        <c:noMultiLvlLbl val="0"/>
      </c:catAx>
      <c:valAx>
        <c:axId val="71031808"/>
        <c:scaling>
          <c:orientation val="minMax"/>
        </c:scaling>
        <c:delete val="0"/>
        <c:axPos val="l"/>
        <c:majorGridlines>
          <c:spPr>
            <a:ln w="3175">
              <a:solidFill>
                <a:srgbClr val="000000"/>
              </a:solidFill>
              <a:prstDash val="sysDash"/>
            </a:ln>
          </c:spPr>
        </c:majorGridlines>
        <c:title>
          <c:tx>
            <c:rich>
              <a:bodyPr/>
              <a:lstStyle/>
              <a:p>
                <a:pPr>
                  <a:defRPr sz="800" b="0" i="0" u="none" strike="noStrike" baseline="0">
                    <a:solidFill>
                      <a:srgbClr val="000000"/>
                    </a:solidFill>
                    <a:latin typeface="Arial"/>
                    <a:ea typeface="Arial"/>
                    <a:cs typeface="Arial"/>
                  </a:defRPr>
                </a:pPr>
                <a:r>
                  <a:rPr lang="en-US" b="0"/>
                  <a:t>Distribution by Delay (%)</a:t>
                </a:r>
              </a:p>
            </c:rich>
          </c:tx>
          <c:layout>
            <c:manualLayout>
              <c:xMode val="edge"/>
              <c:yMode val="edge"/>
              <c:x val="3.2594524119947843E-2"/>
              <c:y val="0.30397769439377453"/>
            </c:manualLayout>
          </c:layout>
          <c:overlay val="0"/>
          <c:spPr>
            <a:noFill/>
            <a:ln w="25400">
              <a:noFill/>
            </a:ln>
          </c:spPr>
        </c:title>
        <c:numFmt formatCode="0%" sourceLinked="1"/>
        <c:majorTickMark val="out"/>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Arial"/>
                <a:ea typeface="Arial"/>
                <a:cs typeface="Arial"/>
              </a:defRPr>
            </a:pPr>
            <a:endParaRPr lang="en-US"/>
          </a:p>
        </c:txPr>
        <c:crossAx val="71029888"/>
        <c:crosses val="autoZero"/>
        <c:crossBetween val="between"/>
        <c:majorUnit val="0.25"/>
      </c:valAx>
      <c:spPr>
        <a:noFill/>
        <a:ln w="25400">
          <a:noFill/>
        </a:ln>
      </c:spPr>
    </c:plotArea>
    <c:legend>
      <c:legendPos val="b"/>
      <c:layout>
        <c:manualLayout>
          <c:xMode val="edge"/>
          <c:yMode val="edge"/>
          <c:x val="0.16905699052950046"/>
          <c:y val="6.25E-2"/>
          <c:w val="0.71316818774445867"/>
          <c:h val="9.659104307839568E-2"/>
        </c:manualLayout>
      </c:layout>
      <c:overlay val="0"/>
      <c:spPr>
        <a:solidFill>
          <a:srgbClr val="FFFFFF"/>
        </a:solidFill>
        <a:ln w="25400">
          <a:noFill/>
        </a:ln>
      </c:spPr>
      <c:txPr>
        <a:bodyPr/>
        <a:lstStyle/>
        <a:p>
          <a:pPr>
            <a:defRPr sz="735" b="0" i="0" u="none" strike="noStrike" baseline="0">
              <a:solidFill>
                <a:srgbClr val="000000"/>
              </a:solidFill>
              <a:latin typeface="Arial"/>
              <a:ea typeface="Arial"/>
              <a:cs typeface="Arial"/>
            </a:defRPr>
          </a:pPr>
          <a:endParaRPr lang="en-US"/>
        </a:p>
      </c:txPr>
    </c:legend>
    <c:plotVisOnly val="1"/>
    <c:dispBlanksAs val="gap"/>
    <c:showDLblsOverMax val="0"/>
  </c:chart>
  <c:spPr>
    <a:solidFill>
      <a:srgbClr val="FFFFFF"/>
    </a:solidFill>
    <a:ln w="9525">
      <a:noFill/>
    </a:ln>
  </c:spPr>
  <c:txPr>
    <a:bodyPr/>
    <a:lstStyle/>
    <a:p>
      <a:pPr>
        <a:defRPr sz="800" b="0" i="0" u="none" strike="noStrike" baseline="0">
          <a:solidFill>
            <a:srgbClr val="000000"/>
          </a:solidFill>
          <a:latin typeface="Arial"/>
          <a:ea typeface="Arial"/>
          <a:cs typeface="Arial"/>
        </a:defRPr>
      </a:pPr>
      <a:endParaRPr lang="en-US"/>
    </a:p>
  </c:txPr>
  <c:externalData r:id="rId1">
    <c:autoUpdate val="0"/>
  </c:externalData>
  <c:userShapes r:id="rId2"/>
</c:chartSpace>
</file>

<file path=word/drawings/drawing1.xml><?xml version="1.0" encoding="utf-8"?>
<c:userShapes xmlns:c="http://schemas.openxmlformats.org/drawingml/2006/chart">
  <cdr:relSizeAnchor xmlns:cdr="http://schemas.openxmlformats.org/drawingml/2006/chartDrawing">
    <cdr:from>
      <cdr:x>0.0079</cdr:x>
      <cdr:y>0.78016</cdr:y>
    </cdr:from>
    <cdr:to>
      <cdr:x>0.94781</cdr:x>
      <cdr:y>0.98531</cdr:y>
    </cdr:to>
    <cdr:sp macro="" textlink="">
      <cdr:nvSpPr>
        <cdr:cNvPr id="11265" name="Text Box 1"/>
        <cdr:cNvSpPr txBox="1">
          <a:spLocks xmlns:a="http://schemas.openxmlformats.org/drawingml/2006/main" noChangeArrowheads="1"/>
        </cdr:cNvSpPr>
      </cdr:nvSpPr>
      <cdr:spPr bwMode="auto">
        <a:xfrm xmlns:a="http://schemas.openxmlformats.org/drawingml/2006/main">
          <a:off x="50800" y="2574315"/>
          <a:ext cx="5667042" cy="676085"/>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65"/>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18288" rIns="0" bIns="0" anchor="t" upright="1"/>
        <a:lstStyle xmlns:a="http://schemas.openxmlformats.org/drawingml/2006/main"/>
        <a:p xmlns:a="http://schemas.openxmlformats.org/drawingml/2006/main">
          <a:pPr algn="l" rtl="0">
            <a:defRPr sz="1000"/>
          </a:pPr>
          <a:r>
            <a:rPr lang="en-US" sz="725" b="0" i="0" u="none" strike="noStrike" baseline="0">
              <a:solidFill>
                <a:srgbClr val="000000"/>
              </a:solidFill>
              <a:latin typeface="Arial"/>
              <a:cs typeface="Arial"/>
            </a:rPr>
            <a:t>Source:  WIPO Statistics Database, February 2016</a:t>
          </a:r>
        </a:p>
        <a:p xmlns:a="http://schemas.openxmlformats.org/drawingml/2006/main">
          <a:pPr algn="l" rtl="0">
            <a:defRPr sz="1000"/>
          </a:pPr>
          <a:r>
            <a:rPr lang="en-US" sz="725" b="0" i="0" u="none" strike="noStrike" baseline="0">
              <a:solidFill>
                <a:srgbClr val="000000"/>
              </a:solidFill>
              <a:latin typeface="Arial"/>
              <a:cs typeface="Arial"/>
            </a:rPr>
            <a:t>Note:  Personnel is counted in full time equivalent from December lists of staff. </a:t>
          </a:r>
        </a:p>
        <a:p xmlns:a="http://schemas.openxmlformats.org/drawingml/2006/main">
          <a:pPr algn="l" rtl="0">
            <a:defRPr sz="1000"/>
          </a:pPr>
          <a:r>
            <a:rPr lang="en-US" sz="725" b="0" i="0" u="none" strike="noStrike" baseline="0">
              <a:solidFill>
                <a:srgbClr val="000000"/>
              </a:solidFill>
              <a:latin typeface="Arial"/>
              <a:cs typeface="Arial"/>
            </a:rPr>
            <a:t>* Note that the increase in personnel in 2009 is due to the integration into the PCT Operations Division of two units which were not part of the Division prior to 2009 (and therefore were not counted as part of its personnel at that time).  The units in question are the PCT Information Systems Service (30 persons) and the PCT fee handling team (two persons).  Without the integration of these two units, the number of personnel in the Division would have decreased from 356 in 2008 to 335 in 2009.</a:t>
          </a:r>
        </a:p>
      </cdr:txBody>
    </cdr:sp>
  </cdr:relSizeAnchor>
</c:userShapes>
</file>

<file path=word/drawings/drawing2.xml><?xml version="1.0" encoding="utf-8"?>
<c:userShapes xmlns:c="http://schemas.openxmlformats.org/drawingml/2006/chart">
  <cdr:relSizeAnchor xmlns:cdr="http://schemas.openxmlformats.org/drawingml/2006/chartDrawing">
    <cdr:from>
      <cdr:x>0.00651</cdr:x>
      <cdr:y>0.93482</cdr:y>
    </cdr:from>
    <cdr:to>
      <cdr:x>0.34648</cdr:x>
      <cdr:y>0.98133</cdr:y>
    </cdr:to>
    <cdr:sp macro="" textlink="">
      <cdr:nvSpPr>
        <cdr:cNvPr id="35841" name="Text Box 1"/>
        <cdr:cNvSpPr txBox="1">
          <a:spLocks xmlns:a="http://schemas.openxmlformats.org/drawingml/2006/main" noChangeArrowheads="1"/>
        </cdr:cNvSpPr>
      </cdr:nvSpPr>
      <cdr:spPr bwMode="auto">
        <a:xfrm xmlns:a="http://schemas.openxmlformats.org/drawingml/2006/main">
          <a:off x="38672" y="2446270"/>
          <a:ext cx="2019592" cy="121700"/>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65"/>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wrap="none" lIns="18288" tIns="18288" rIns="0" bIns="0" anchor="t" upright="1">
          <a:spAutoFit/>
        </a:bodyPr>
        <a:lstStyle xmlns:a="http://schemas.openxmlformats.org/drawingml/2006/main"/>
        <a:p xmlns:a="http://schemas.openxmlformats.org/drawingml/2006/main">
          <a:pPr algn="l" rtl="0">
            <a:defRPr sz="1000"/>
          </a:pPr>
          <a:r>
            <a:rPr lang="en-US" sz="700" b="0" i="0" u="none" strike="noStrike" baseline="0">
              <a:solidFill>
                <a:srgbClr val="000000"/>
              </a:solidFill>
              <a:latin typeface="Arial"/>
              <a:cs typeface="Arial"/>
            </a:rPr>
            <a:t>Source:  WIPO Statistics Database February 2016</a:t>
          </a:r>
        </a:p>
      </cdr:txBody>
    </cdr: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E92EA2C-C09A-4E7C-BCBB-86CEF3AC234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205</Pages>
  <Words>121072</Words>
  <Characters>690114</Characters>
  <Application>Microsoft Office Word</Application>
  <DocSecurity>2</DocSecurity>
  <Lines>5750</Lines>
  <Paragraphs>1619</Paragraphs>
  <ScaleCrop>false</ScaleCrop>
  <HeadingPairs>
    <vt:vector size="2" baseType="variant">
      <vt:variant>
        <vt:lpstr>Title</vt:lpstr>
      </vt:variant>
      <vt:variant>
        <vt:i4>1</vt:i4>
      </vt:variant>
    </vt:vector>
  </HeadingPairs>
  <TitlesOfParts>
    <vt:vector size="1" baseType="lpstr">
      <vt:lpstr>Program Performance Report 2008-09, program 1</vt:lpstr>
    </vt:vector>
  </TitlesOfParts>
  <Company>WIPO</Company>
  <LinksUpToDate>false</LinksUpToDate>
  <CharactersWithSpaces>809567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Program Performance Report 2008-09, program 1</dc:title>
  <dc:creator>baechtold</dc:creator>
  <cp:lastModifiedBy>NETTER Iza</cp:lastModifiedBy>
  <cp:revision>2</cp:revision>
  <cp:lastPrinted>2016-07-01T14:17:00Z</cp:lastPrinted>
  <dcterms:created xsi:type="dcterms:W3CDTF">2016-07-05T12:25:00Z</dcterms:created>
  <dcterms:modified xsi:type="dcterms:W3CDTF">2016-07-05T12:25:00Z</dcterms:modified>
</cp:coreProperties>
</file>